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9D3A3">
      <w:pPr>
        <w:pStyle w:val="17"/>
        <w:keepNext w:val="0"/>
        <w:keepLines w:val="0"/>
        <w:widowControl/>
        <w:suppressLineNumbers w:val="0"/>
        <w:ind w:left="0" w:right="75" w:firstLine="1321" w:firstLineChars="300"/>
        <w:jc w:val="both"/>
        <w:rPr>
          <w:rStyle w:val="20"/>
          <w:rFonts w:hint="eastAsia" w:ascii="方正小标宋简体" w:hAnsi="方正小标宋简体" w:eastAsia="方正小标宋简体" w:cs="方正小标宋简体"/>
          <w:sz w:val="44"/>
          <w:szCs w:val="44"/>
          <w:shd w:val="clear" w:color="auto" w:fill="FFFFFF"/>
        </w:rPr>
      </w:pPr>
    </w:p>
    <w:p w14:paraId="7F99EB53">
      <w:pPr>
        <w:pStyle w:val="17"/>
        <w:keepNext w:val="0"/>
        <w:keepLines w:val="0"/>
        <w:widowControl/>
        <w:suppressLineNumbers w:val="0"/>
        <w:ind w:left="0" w:right="75" w:firstLine="1321" w:firstLineChars="300"/>
        <w:jc w:val="both"/>
        <w:rPr>
          <w:rStyle w:val="20"/>
          <w:rFonts w:hint="eastAsia" w:ascii="方正小标宋简体" w:hAnsi="方正小标宋简体" w:eastAsia="方正小标宋简体" w:cs="方正小标宋简体"/>
          <w:sz w:val="44"/>
          <w:szCs w:val="44"/>
          <w:shd w:val="clear" w:color="auto" w:fill="FFFFFF"/>
        </w:rPr>
      </w:pPr>
    </w:p>
    <w:p w14:paraId="1FC82565">
      <w:pPr>
        <w:pStyle w:val="17"/>
        <w:keepNext w:val="0"/>
        <w:keepLines w:val="0"/>
        <w:widowControl/>
        <w:suppressLineNumbers w:val="0"/>
        <w:ind w:left="0" w:right="75" w:firstLine="1321" w:firstLineChars="300"/>
        <w:jc w:val="both"/>
        <w:rPr>
          <w:rStyle w:val="20"/>
          <w:rFonts w:hint="eastAsia" w:ascii="方正小标宋简体" w:hAnsi="方正小标宋简体" w:eastAsia="方正小标宋简体" w:cs="方正小标宋简体"/>
          <w:sz w:val="44"/>
          <w:szCs w:val="44"/>
          <w:shd w:val="clear" w:color="auto" w:fill="FFFFFF"/>
        </w:rPr>
      </w:pPr>
    </w:p>
    <w:p w14:paraId="1379423B">
      <w:pPr>
        <w:pStyle w:val="17"/>
        <w:keepNext w:val="0"/>
        <w:keepLines w:val="0"/>
        <w:widowControl/>
        <w:suppressLineNumbers w:val="0"/>
        <w:ind w:right="75" w:firstLine="1321" w:firstLineChars="300"/>
        <w:jc w:val="both"/>
        <w:rPr>
          <w:rStyle w:val="20"/>
          <w:rFonts w:hint="eastAsia" w:ascii="方正小标宋简体" w:hAnsi="方正小标宋简体" w:eastAsia="方正小标宋简体" w:cs="方正小标宋简体"/>
          <w:sz w:val="44"/>
          <w:szCs w:val="44"/>
          <w:shd w:val="clear" w:color="auto" w:fill="FFFFFF"/>
          <w:lang w:eastAsia="zh-CN"/>
        </w:rPr>
      </w:pPr>
      <w:r>
        <w:rPr>
          <w:rStyle w:val="20"/>
          <w:rFonts w:hint="eastAsia" w:ascii="方正小标宋简体" w:hAnsi="方正小标宋简体" w:eastAsia="方正小标宋简体" w:cs="方正小标宋简体"/>
          <w:sz w:val="44"/>
          <w:szCs w:val="44"/>
          <w:shd w:val="clear" w:color="auto" w:fill="FFFFFF"/>
        </w:rPr>
        <w:t>202</w:t>
      </w:r>
      <w:r>
        <w:rPr>
          <w:rStyle w:val="20"/>
          <w:rFonts w:hint="eastAsia" w:ascii="方正小标宋简体" w:hAnsi="方正小标宋简体" w:eastAsia="方正小标宋简体" w:cs="方正小标宋简体"/>
          <w:sz w:val="44"/>
          <w:szCs w:val="44"/>
          <w:shd w:val="clear" w:color="auto" w:fill="FFFFFF"/>
          <w:lang w:val="en-US" w:eastAsia="zh-CN"/>
        </w:rPr>
        <w:t>4</w:t>
      </w:r>
      <w:r>
        <w:rPr>
          <w:rStyle w:val="20"/>
          <w:rFonts w:hint="eastAsia" w:ascii="方正小标宋简体" w:hAnsi="方正小标宋简体" w:eastAsia="方正小标宋简体" w:cs="方正小标宋简体"/>
          <w:sz w:val="44"/>
          <w:szCs w:val="44"/>
          <w:shd w:val="clear" w:color="auto" w:fill="FFFFFF"/>
        </w:rPr>
        <w:t>年度红原县</w:t>
      </w:r>
      <w:r>
        <w:rPr>
          <w:rStyle w:val="20"/>
          <w:rFonts w:hint="eastAsia" w:ascii="方正小标宋简体" w:hAnsi="方正小标宋简体" w:eastAsia="方正小标宋简体" w:cs="方正小标宋简体"/>
          <w:sz w:val="44"/>
          <w:szCs w:val="44"/>
          <w:shd w:val="clear" w:color="auto" w:fill="FFFFFF"/>
          <w:lang w:eastAsia="zh-CN"/>
        </w:rPr>
        <w:t>残疾人联合会</w:t>
      </w:r>
    </w:p>
    <w:p w14:paraId="10AB8E5D">
      <w:pPr>
        <w:pStyle w:val="17"/>
        <w:keepNext w:val="0"/>
        <w:keepLines w:val="0"/>
        <w:widowControl/>
        <w:suppressLineNumbers w:val="0"/>
        <w:ind w:left="0" w:right="75"/>
        <w:jc w:val="center"/>
        <w:rPr>
          <w:rStyle w:val="20"/>
          <w:rFonts w:hint="eastAsia" w:ascii="方正小标宋简体" w:hAnsi="方正小标宋简体" w:eastAsia="方正小标宋简体" w:cs="方正小标宋简体"/>
          <w:sz w:val="44"/>
          <w:szCs w:val="44"/>
          <w:shd w:val="clear" w:color="auto" w:fill="FFFFFF"/>
          <w:lang w:eastAsia="zh-CN"/>
        </w:rPr>
      </w:pPr>
      <w:r>
        <w:rPr>
          <w:rStyle w:val="20"/>
          <w:rFonts w:hint="eastAsia" w:ascii="方正小标宋简体" w:hAnsi="方正小标宋简体" w:eastAsia="方正小标宋简体" w:cs="方正小标宋简体"/>
          <w:sz w:val="44"/>
          <w:szCs w:val="44"/>
          <w:shd w:val="clear" w:color="auto" w:fill="FFFFFF"/>
        </w:rPr>
        <w:t>部门决算</w:t>
      </w:r>
      <w:r>
        <w:rPr>
          <w:rStyle w:val="20"/>
          <w:rFonts w:hint="eastAsia" w:ascii="方正小标宋简体" w:hAnsi="方正小标宋简体" w:eastAsia="方正小标宋简体" w:cs="方正小标宋简体"/>
          <w:sz w:val="44"/>
          <w:szCs w:val="44"/>
          <w:shd w:val="clear" w:color="auto" w:fill="FFFFFF"/>
          <w:lang w:eastAsia="zh-CN"/>
        </w:rPr>
        <w:t>公开编制说明</w:t>
      </w:r>
    </w:p>
    <w:p w14:paraId="704D07D4">
      <w:pPr>
        <w:pStyle w:val="17"/>
        <w:keepNext w:val="0"/>
        <w:keepLines w:val="0"/>
        <w:widowControl/>
        <w:suppressLineNumbers w:val="0"/>
        <w:ind w:left="0" w:right="75"/>
        <w:jc w:val="center"/>
        <w:rPr>
          <w:rStyle w:val="20"/>
          <w:rFonts w:hint="eastAsia" w:ascii="方正小标宋简体" w:hAnsi="方正小标宋简体" w:eastAsia="方正小标宋简体" w:cs="方正小标宋简体"/>
          <w:sz w:val="44"/>
          <w:szCs w:val="44"/>
          <w:shd w:val="clear" w:color="auto" w:fill="FFFFFF"/>
          <w:lang w:eastAsia="zh-CN"/>
        </w:rPr>
      </w:pPr>
    </w:p>
    <w:p w14:paraId="50876202">
      <w:pPr>
        <w:pStyle w:val="17"/>
        <w:keepNext w:val="0"/>
        <w:keepLines w:val="0"/>
        <w:widowControl/>
        <w:suppressLineNumbers w:val="0"/>
        <w:ind w:left="0" w:right="75"/>
        <w:jc w:val="center"/>
        <w:rPr>
          <w:rStyle w:val="20"/>
          <w:rFonts w:hint="eastAsia" w:ascii="方正小标宋简体" w:hAnsi="方正小标宋简体" w:eastAsia="方正小标宋简体" w:cs="方正小标宋简体"/>
          <w:sz w:val="44"/>
          <w:szCs w:val="44"/>
          <w:shd w:val="clear" w:color="auto" w:fill="FFFFFF"/>
          <w:lang w:eastAsia="zh-CN"/>
        </w:rPr>
      </w:pPr>
    </w:p>
    <w:p w14:paraId="28F9EB24">
      <w:pPr>
        <w:pStyle w:val="17"/>
        <w:keepNext w:val="0"/>
        <w:keepLines w:val="0"/>
        <w:widowControl/>
        <w:suppressLineNumbers w:val="0"/>
        <w:ind w:left="0" w:right="75"/>
        <w:jc w:val="both"/>
        <w:rPr>
          <w:rStyle w:val="20"/>
          <w:rFonts w:hint="eastAsia" w:ascii="方正小标宋简体" w:hAnsi="方正小标宋简体" w:eastAsia="方正小标宋简体" w:cs="方正小标宋简体"/>
          <w:sz w:val="44"/>
          <w:szCs w:val="44"/>
          <w:shd w:val="clear" w:color="auto" w:fill="FFFFFF"/>
          <w:lang w:eastAsia="zh-CN"/>
        </w:rPr>
      </w:pPr>
    </w:p>
    <w:p w14:paraId="66772292">
      <w:pPr>
        <w:pStyle w:val="17"/>
        <w:keepNext w:val="0"/>
        <w:keepLines w:val="0"/>
        <w:widowControl/>
        <w:suppressLineNumbers w:val="0"/>
        <w:ind w:left="0" w:right="75"/>
        <w:jc w:val="center"/>
        <w:rPr>
          <w:rStyle w:val="20"/>
          <w:rFonts w:hint="eastAsia" w:ascii="方正小标宋简体" w:hAnsi="方正小标宋简体" w:eastAsia="方正小标宋简体" w:cs="方正小标宋简体"/>
          <w:sz w:val="44"/>
          <w:szCs w:val="44"/>
          <w:shd w:val="clear" w:color="auto" w:fill="FFFFFF"/>
          <w:lang w:eastAsia="zh-CN"/>
        </w:rPr>
      </w:pPr>
    </w:p>
    <w:p w14:paraId="69652D67">
      <w:pPr>
        <w:pStyle w:val="17"/>
        <w:keepNext w:val="0"/>
        <w:keepLines w:val="0"/>
        <w:widowControl/>
        <w:suppressLineNumbers w:val="0"/>
        <w:ind w:left="0" w:right="75"/>
        <w:jc w:val="left"/>
        <w:rPr>
          <w:sz w:val="24"/>
          <w:szCs w:val="24"/>
          <w:shd w:val="clear" w:color="auto" w:fill="FFFFFF"/>
        </w:rPr>
      </w:pPr>
    </w:p>
    <w:p w14:paraId="5B4467C9">
      <w:pPr>
        <w:pStyle w:val="17"/>
        <w:keepNext w:val="0"/>
        <w:keepLines w:val="0"/>
        <w:widowControl/>
        <w:suppressLineNumbers w:val="0"/>
        <w:ind w:left="0" w:right="75"/>
        <w:jc w:val="left"/>
        <w:rPr>
          <w:sz w:val="24"/>
          <w:szCs w:val="24"/>
          <w:shd w:val="clear" w:color="auto" w:fill="FFFFFF"/>
        </w:rPr>
      </w:pPr>
    </w:p>
    <w:p w14:paraId="568CC38C">
      <w:pPr>
        <w:pStyle w:val="17"/>
        <w:keepNext w:val="0"/>
        <w:keepLines w:val="0"/>
        <w:widowControl/>
        <w:suppressLineNumbers w:val="0"/>
        <w:ind w:left="0" w:right="75"/>
        <w:jc w:val="left"/>
        <w:rPr>
          <w:sz w:val="24"/>
          <w:szCs w:val="24"/>
          <w:shd w:val="clear" w:color="auto" w:fill="FFFFFF"/>
        </w:rPr>
      </w:pPr>
    </w:p>
    <w:p w14:paraId="6C64252D">
      <w:pPr>
        <w:pStyle w:val="17"/>
        <w:keepNext w:val="0"/>
        <w:keepLines w:val="0"/>
        <w:widowControl/>
        <w:suppressLineNumbers w:val="0"/>
        <w:ind w:left="0" w:right="75"/>
        <w:jc w:val="left"/>
      </w:pPr>
      <w:r>
        <w:rPr>
          <w:sz w:val="24"/>
          <w:szCs w:val="24"/>
          <w:shd w:val="clear" w:color="auto" w:fill="FFFFFF"/>
        </w:rPr>
        <w:t>保密审查情况：已审查，内容审定</w:t>
      </w:r>
    </w:p>
    <w:p w14:paraId="05D2CD77">
      <w:pPr>
        <w:pStyle w:val="17"/>
        <w:keepNext w:val="0"/>
        <w:keepLines w:val="0"/>
        <w:widowControl/>
        <w:suppressLineNumbers w:val="0"/>
        <w:ind w:left="0" w:right="75"/>
        <w:jc w:val="left"/>
        <w:rPr>
          <w:rStyle w:val="20"/>
          <w:sz w:val="30"/>
          <w:szCs w:val="30"/>
          <w:shd w:val="clear" w:color="auto" w:fill="FFFFFF"/>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r>
        <w:rPr>
          <w:sz w:val="24"/>
          <w:szCs w:val="24"/>
          <w:shd w:val="clear" w:color="auto" w:fill="FFFFFF"/>
        </w:rPr>
        <w:t>部门主要负责人审签情况：已审签，同意对外公开</w:t>
      </w:r>
    </w:p>
    <w:p w14:paraId="1095FFEC">
      <w:pPr>
        <w:widowControl/>
        <w:jc w:val="center"/>
        <w:rPr>
          <w:rFonts w:eastAsia="黑体"/>
          <w:sz w:val="48"/>
          <w:szCs w:val="48"/>
        </w:rPr>
      </w:pPr>
      <w:r>
        <w:rPr>
          <w:rFonts w:hint="eastAsia" w:eastAsia="黑体"/>
          <w:sz w:val="48"/>
          <w:szCs w:val="48"/>
        </w:rPr>
        <w:t>目录</w:t>
      </w:r>
    </w:p>
    <w:p w14:paraId="6442CAFD">
      <w:pPr>
        <w:widowControl/>
        <w:jc w:val="center"/>
        <w:rPr>
          <w:rFonts w:eastAsia="黑体" w:cstheme="minorBidi"/>
          <w:sz w:val="28"/>
          <w:szCs w:val="28"/>
        </w:rPr>
      </w:pPr>
    </w:p>
    <w:p w14:paraId="3BA454C6">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 xml:space="preserve">年 </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19</w:t>
      </w:r>
      <w:r>
        <w:rPr>
          <w:rFonts w:hint="eastAsia" w:ascii="Times New Roman" w:hAnsi="Times New Roman" w:eastAsia="仿宋_GB2312" w:cs="仿宋_GB2312"/>
          <w:sz w:val="32"/>
          <w:szCs w:val="32"/>
        </w:rPr>
        <w:t>日</w:t>
      </w:r>
    </w:p>
    <w:p w14:paraId="48ACAFDC"/>
    <w:p w14:paraId="2F9263CA">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5939C57B">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14:paraId="726ED8F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14:paraId="19C9F91C">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47137E7B">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14:paraId="69F8941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14:paraId="0CFB0D7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14:paraId="628069E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14:paraId="734FCEF6">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1EC7BCFB">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7C6E4D1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1234642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7E609D5D">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6A7E89D6">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07A0BA69">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5D345C5E">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4F4BF07E">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30FBEB5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742A711F">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CB7BB80">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57B9CAEB">
      <w:pPr>
        <w:pStyle w:val="16"/>
        <w:adjustRightInd w:val="0"/>
        <w:snapToGrid w:val="0"/>
        <w:spacing w:line="560" w:lineRule="exact"/>
        <w:ind w:left="0" w:leftChars="0" w:firstLine="640" w:firstLineChars="200"/>
        <w:jc w:val="left"/>
        <w:rPr>
          <w:rFonts w:hint="eastAsia" w:eastAsia="仿宋_GB2312" w:cs="仿宋_GB2312"/>
          <w:sz w:val="32"/>
          <w:szCs w:val="32"/>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165C7E26">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0025F047">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70BC4D4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76F83698">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5D91A11D">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58F47EF1">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40D1BE9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D82113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108FAB27">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76A2061B">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673AA3CA">
      <w:pPr>
        <w:widowControl/>
        <w:spacing w:line="560" w:lineRule="exact"/>
        <w:jc w:val="left"/>
        <w:rPr>
          <w:rFonts w:eastAsia="仿宋_GB2312" w:cs="仿宋_GB2312"/>
          <w:bCs/>
          <w:kern w:val="44"/>
          <w:sz w:val="32"/>
          <w:szCs w:val="32"/>
        </w:rPr>
      </w:pPr>
      <w:bookmarkStart w:id="0" w:name="_Toc15396599"/>
      <w:bookmarkStart w:id="1" w:name="_Toc15377196"/>
      <w:r>
        <w:rPr>
          <w:rFonts w:hint="eastAsia" w:eastAsia="仿宋_GB2312" w:cs="仿宋_GB2312"/>
          <w:b/>
          <w:sz w:val="32"/>
          <w:szCs w:val="32"/>
          <w:lang w:val="en-US" w:eastAsia="zh-CN"/>
        </w:rPr>
        <w:t xml:space="preserve">  </w:t>
      </w:r>
      <w:r>
        <w:rPr>
          <w:rFonts w:hint="eastAsia" w:ascii="Times New Roman" w:hAnsi="Times New Roman" w:eastAsia="仿宋_GB2312" w:cs="仿宋_GB2312"/>
          <w:kern w:val="2"/>
          <w:sz w:val="32"/>
          <w:szCs w:val="32"/>
          <w:lang w:val="en-US" w:eastAsia="zh-CN" w:bidi="ar-SA"/>
        </w:rPr>
        <w:t xml:space="preserve">  十四、部门项目支出绩效目标表</w:t>
      </w:r>
      <w:r>
        <w:rPr>
          <w:rFonts w:hint="eastAsia" w:eastAsia="仿宋_GB2312" w:cs="仿宋_GB2312"/>
          <w:b/>
          <w:sz w:val="32"/>
          <w:szCs w:val="32"/>
        </w:rPr>
        <w:br w:type="page"/>
      </w:r>
    </w:p>
    <w:p w14:paraId="25712542">
      <w:pPr>
        <w:pStyle w:val="2"/>
        <w:jc w:val="center"/>
        <w:rPr>
          <w:rStyle w:val="31"/>
          <w:rFonts w:eastAsia="方正小标宋简体" w:cs="方正小标宋简体"/>
          <w:b/>
          <w:bCs w:val="0"/>
        </w:rPr>
      </w:pPr>
      <w:r>
        <w:rPr>
          <w:rFonts w:hint="eastAsia" w:eastAsia="方正小标宋简体" w:cs="方正小标宋简体"/>
          <w:b w:val="0"/>
        </w:rPr>
        <w:t xml:space="preserve">第一部分  </w:t>
      </w:r>
      <w:r>
        <w:rPr>
          <w:rStyle w:val="31"/>
          <w:rFonts w:hint="eastAsia" w:eastAsia="方正小标宋简体" w:cs="方正小标宋简体"/>
          <w:b w:val="0"/>
          <w:bCs w:val="0"/>
        </w:rPr>
        <w:t>部门概况</w:t>
      </w:r>
      <w:bookmarkEnd w:id="0"/>
      <w:bookmarkEnd w:id="1"/>
    </w:p>
    <w:p w14:paraId="6F9021D5">
      <w:pPr>
        <w:widowControl/>
        <w:jc w:val="left"/>
        <w:rPr>
          <w:rFonts w:eastAsia="黑体"/>
          <w:sz w:val="32"/>
          <w:szCs w:val="32"/>
        </w:rPr>
      </w:pPr>
    </w:p>
    <w:p w14:paraId="1D7525FC">
      <w:pPr>
        <w:pStyle w:val="3"/>
        <w:numPr>
          <w:ilvl w:val="0"/>
          <w:numId w:val="1"/>
        </w:numPr>
        <w:rPr>
          <w:rFonts w:hint="eastAsia" w:ascii="Times New Roman" w:hAnsi="Times New Roman" w:eastAsia="黑体"/>
          <w:b w:val="0"/>
        </w:rPr>
      </w:pPr>
      <w:r>
        <w:rPr>
          <w:rFonts w:hint="eastAsia" w:ascii="Times New Roman" w:hAnsi="Times New Roman" w:eastAsia="黑体"/>
          <w:b w:val="0"/>
        </w:rPr>
        <w:t>部门职责</w:t>
      </w:r>
    </w:p>
    <w:p w14:paraId="620F0F8E">
      <w:pPr>
        <w:pStyle w:val="3"/>
        <w:ind w:firstLine="640" w:firstLineChars="200"/>
        <w:rPr>
          <w:rFonts w:hint="eastAsia" w:ascii="楷体" w:hAnsi="楷体" w:eastAsia="楷体" w:cs="楷体"/>
          <w:b w:val="0"/>
        </w:rPr>
      </w:pPr>
      <w:r>
        <w:rPr>
          <w:rFonts w:hint="eastAsia" w:ascii="楷体" w:hAnsi="楷体" w:eastAsia="楷体" w:cs="楷体"/>
          <w:b w:val="0"/>
        </w:rPr>
        <w:t>（一）主要职能</w:t>
      </w:r>
    </w:p>
    <w:p w14:paraId="76914962">
      <w:pPr>
        <w:pStyle w:val="3"/>
        <w:ind w:firstLine="800" w:firstLineChars="250"/>
        <w:rPr>
          <w:rFonts w:hint="eastAsia" w:ascii="仿宋" w:hAnsi="仿宋" w:eastAsia="仿宋" w:cs="仿宋"/>
          <w:b w:val="0"/>
        </w:rPr>
      </w:pPr>
      <w:r>
        <w:rPr>
          <w:rFonts w:hint="eastAsia" w:ascii="仿宋" w:hAnsi="仿宋" w:eastAsia="仿宋" w:cs="仿宋"/>
          <w:b w:val="0"/>
        </w:rPr>
        <w:t>1.组织和开展残疾人残疾人状况、致残原因和康复需求调查，掌握协调残疾人康复技术资源；</w:t>
      </w:r>
    </w:p>
    <w:p w14:paraId="6D5AEE3D">
      <w:pPr>
        <w:pStyle w:val="3"/>
        <w:ind w:firstLine="800" w:firstLineChars="250"/>
        <w:rPr>
          <w:rFonts w:hint="eastAsia" w:ascii="仿宋" w:hAnsi="仿宋" w:eastAsia="仿宋" w:cs="仿宋"/>
          <w:b w:val="0"/>
        </w:rPr>
      </w:pPr>
      <w:r>
        <w:rPr>
          <w:rFonts w:hint="eastAsia" w:ascii="仿宋" w:hAnsi="仿宋" w:eastAsia="仿宋" w:cs="仿宋"/>
          <w:b w:val="0"/>
        </w:rPr>
        <w:t>2.拟定和实施残疾人康复政策、工作规则、计划；</w:t>
      </w:r>
    </w:p>
    <w:p w14:paraId="5E100346">
      <w:pPr>
        <w:pStyle w:val="3"/>
        <w:ind w:firstLine="800" w:firstLineChars="250"/>
        <w:rPr>
          <w:rFonts w:hint="eastAsia" w:ascii="仿宋" w:hAnsi="仿宋" w:eastAsia="仿宋" w:cs="仿宋"/>
          <w:b w:val="0"/>
        </w:rPr>
      </w:pPr>
      <w:r>
        <w:rPr>
          <w:rFonts w:hint="eastAsia" w:ascii="仿宋" w:hAnsi="仿宋" w:eastAsia="仿宋" w:cs="仿宋"/>
          <w:b w:val="0"/>
        </w:rPr>
        <w:t>3.组织开展各类残疾人康复和各类残疾人辅助器具</w:t>
      </w:r>
      <w:r>
        <w:rPr>
          <w:rFonts w:hint="eastAsia" w:ascii="仿宋" w:hAnsi="仿宋" w:eastAsia="仿宋" w:cs="仿宋"/>
          <w:b w:val="0"/>
          <w:lang w:eastAsia="zh-CN"/>
        </w:rPr>
        <w:t>发放</w:t>
      </w:r>
      <w:r>
        <w:rPr>
          <w:rFonts w:hint="eastAsia" w:ascii="仿宋" w:hAnsi="仿宋" w:eastAsia="仿宋" w:cs="仿宋"/>
          <w:b w:val="0"/>
        </w:rPr>
        <w:t>、服务工作；</w:t>
      </w:r>
    </w:p>
    <w:p w14:paraId="52B7BF16">
      <w:pPr>
        <w:pStyle w:val="3"/>
        <w:ind w:firstLine="800" w:firstLineChars="250"/>
        <w:rPr>
          <w:rFonts w:hint="eastAsia" w:ascii="仿宋" w:hAnsi="仿宋" w:eastAsia="仿宋" w:cs="仿宋"/>
          <w:b w:val="0"/>
        </w:rPr>
      </w:pPr>
      <w:r>
        <w:rPr>
          <w:rFonts w:hint="eastAsia" w:ascii="仿宋" w:hAnsi="仿宋" w:eastAsia="仿宋" w:cs="仿宋"/>
          <w:b w:val="0"/>
        </w:rPr>
        <w:t>4.</w:t>
      </w:r>
      <w:r>
        <w:rPr>
          <w:rFonts w:hint="eastAsia" w:ascii="仿宋" w:hAnsi="仿宋" w:eastAsia="仿宋" w:cs="仿宋"/>
          <w:b w:val="0"/>
          <w:lang w:eastAsia="zh-CN"/>
        </w:rPr>
        <w:t>宣传贯彻残疾人相关法律法规，维护残疾人在就业、教育、康复、文化等方面的权益</w:t>
      </w:r>
      <w:r>
        <w:rPr>
          <w:rFonts w:hint="eastAsia" w:ascii="仿宋" w:hAnsi="仿宋" w:eastAsia="仿宋" w:cs="仿宋"/>
          <w:b w:val="0"/>
        </w:rPr>
        <w:t>；</w:t>
      </w:r>
    </w:p>
    <w:p w14:paraId="147E524B">
      <w:pPr>
        <w:pStyle w:val="3"/>
        <w:ind w:firstLine="800" w:firstLineChars="250"/>
        <w:rPr>
          <w:rFonts w:hint="eastAsia" w:ascii="仿宋" w:hAnsi="仿宋" w:eastAsia="仿宋" w:cs="仿宋"/>
          <w:b w:val="0"/>
        </w:rPr>
      </w:pPr>
      <w:r>
        <w:rPr>
          <w:rFonts w:hint="eastAsia" w:ascii="仿宋" w:hAnsi="仿宋" w:eastAsia="仿宋" w:cs="仿宋"/>
          <w:b w:val="0"/>
        </w:rPr>
        <w:t>5.</w:t>
      </w:r>
      <w:r>
        <w:rPr>
          <w:rFonts w:hint="eastAsia" w:ascii="仿宋" w:hAnsi="仿宋" w:eastAsia="仿宋" w:cs="仿宋"/>
          <w:b w:val="0"/>
          <w:lang w:eastAsia="zh-CN"/>
        </w:rPr>
        <w:t>团结、教育残疾人，鼓励其自尊自信自强自立，同时引</w:t>
      </w:r>
      <w:r>
        <w:rPr>
          <w:rFonts w:hint="eastAsia" w:ascii="仿宋" w:hAnsi="仿宋" w:eastAsia="仿宋" w:cs="仿宋"/>
          <w:b w:val="0"/>
          <w:lang w:val="en-US" w:eastAsia="zh-CN"/>
        </w:rPr>
        <w:t>导社会公众理解、尊重、关心、帮助残疾人</w:t>
      </w:r>
      <w:r>
        <w:rPr>
          <w:rFonts w:hint="eastAsia" w:ascii="仿宋" w:hAnsi="仿宋" w:eastAsia="仿宋" w:cs="仿宋"/>
          <w:b w:val="0"/>
        </w:rPr>
        <w:t>；</w:t>
      </w:r>
    </w:p>
    <w:p w14:paraId="2FEF57EB">
      <w:pPr>
        <w:pStyle w:val="3"/>
        <w:ind w:firstLine="800" w:firstLineChars="250"/>
        <w:rPr>
          <w:rFonts w:hint="eastAsia" w:ascii="仿宋" w:hAnsi="仿宋" w:eastAsia="仿宋" w:cs="仿宋"/>
          <w:b w:val="0"/>
          <w:lang w:eastAsia="zh-CN"/>
        </w:rPr>
      </w:pPr>
      <w:r>
        <w:rPr>
          <w:rFonts w:hint="eastAsia" w:ascii="仿宋" w:hAnsi="仿宋" w:eastAsia="仿宋" w:cs="仿宋"/>
          <w:b w:val="0"/>
        </w:rPr>
        <w:t>6.承担县残疾人康复</w:t>
      </w:r>
      <w:r>
        <w:rPr>
          <w:rFonts w:hint="eastAsia" w:ascii="仿宋" w:hAnsi="仿宋" w:eastAsia="仿宋" w:cs="仿宋"/>
          <w:b w:val="0"/>
          <w:lang w:eastAsia="zh-CN"/>
        </w:rPr>
        <w:t>中心</w:t>
      </w:r>
      <w:r>
        <w:rPr>
          <w:rFonts w:hint="eastAsia" w:ascii="仿宋" w:hAnsi="仿宋" w:eastAsia="仿宋" w:cs="仿宋"/>
          <w:b w:val="0"/>
        </w:rPr>
        <w:t>办公室的日常工作</w:t>
      </w:r>
      <w:r>
        <w:rPr>
          <w:rFonts w:hint="eastAsia" w:ascii="仿宋" w:hAnsi="仿宋" w:eastAsia="仿宋" w:cs="仿宋"/>
          <w:b w:val="0"/>
          <w:lang w:eastAsia="zh-CN"/>
        </w:rPr>
        <w:t>。</w:t>
      </w:r>
    </w:p>
    <w:p w14:paraId="28EF23E6">
      <w:pPr>
        <w:spacing w:line="600" w:lineRule="exact"/>
        <w:ind w:firstLine="640" w:firstLineChars="200"/>
        <w:outlineLvl w:val="2"/>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w:t>
      </w:r>
      <w:r>
        <w:rPr>
          <w:rFonts w:ascii="黑体" w:hAnsi="黑体" w:eastAsia="黑体"/>
          <w:sz w:val="32"/>
          <w:szCs w:val="32"/>
        </w:rPr>
        <w:t>202</w:t>
      </w:r>
      <w:r>
        <w:rPr>
          <w:rFonts w:hint="eastAsia" w:ascii="黑体" w:hAnsi="黑体" w:eastAsia="黑体"/>
          <w:sz w:val="32"/>
          <w:szCs w:val="32"/>
        </w:rPr>
        <w:t>4重点工作完成情况</w:t>
      </w:r>
    </w:p>
    <w:p w14:paraId="5DE9B3A0">
      <w:pPr>
        <w:ind w:firstLine="640" w:firstLineChars="200"/>
        <w:rPr>
          <w:rFonts w:hint="eastAsia" w:ascii="黑体" w:hAnsi="黑体" w:eastAsia="黑体"/>
          <w:sz w:val="32"/>
          <w:szCs w:val="32"/>
        </w:rPr>
      </w:pPr>
      <w:r>
        <w:rPr>
          <w:rFonts w:hint="eastAsia" w:ascii="黑体" w:hAnsi="黑体" w:eastAsia="黑体"/>
          <w:sz w:val="32"/>
          <w:szCs w:val="32"/>
        </w:rPr>
        <w:t>（一）康复维权项目</w:t>
      </w:r>
    </w:p>
    <w:p w14:paraId="631B9D9E">
      <w:pPr>
        <w:ind w:firstLine="640" w:firstLineChars="200"/>
        <w:rPr>
          <w:rFonts w:hint="eastAsia" w:ascii="黑体" w:hAnsi="黑体" w:eastAsia="仿宋"/>
          <w:sz w:val="32"/>
          <w:szCs w:val="32"/>
        </w:rPr>
      </w:pPr>
      <w:r>
        <w:rPr>
          <w:rFonts w:ascii="仿宋" w:hAnsi="黑体" w:eastAsia="仿宋"/>
          <w:sz w:val="32"/>
          <w:szCs w:val="32"/>
        </w:rPr>
        <w:t>1.</w:t>
      </w:r>
      <w:r>
        <w:rPr>
          <w:rFonts w:hint="eastAsia" w:ascii="仿宋" w:hAnsi="黑体" w:eastAsia="仿宋"/>
          <w:sz w:val="32"/>
          <w:szCs w:val="32"/>
        </w:rPr>
        <w:t>困难重度残疾人家庭实施无障碍改造。</w:t>
      </w:r>
      <w:r>
        <w:rPr>
          <w:rFonts w:eastAsia="仿宋_GB2312"/>
          <w:color w:val="333333"/>
          <w:sz w:val="32"/>
          <w:szCs w:val="32"/>
        </w:rPr>
        <w:t>4月份开始对刷经寺镇四个乡镇需实施无障碍改造的贫困残疾人家庭进行入户查看，5月份开始将对35户贫困残疾人进行无障碍改造</w:t>
      </w:r>
      <w:r>
        <w:rPr>
          <w:rFonts w:hint="eastAsia" w:eastAsia="仿宋_GB2312"/>
          <w:color w:val="333333"/>
          <w:sz w:val="32"/>
          <w:szCs w:val="32"/>
        </w:rPr>
        <w:t>工作</w:t>
      </w:r>
      <w:r>
        <w:rPr>
          <w:rFonts w:hint="eastAsia" w:ascii="仿宋" w:hAnsi="黑体" w:eastAsia="仿宋"/>
          <w:sz w:val="32"/>
          <w:szCs w:val="32"/>
        </w:rPr>
        <w:t>，6000元</w:t>
      </w:r>
      <w:r>
        <w:rPr>
          <w:rFonts w:ascii="仿宋" w:hAnsi="黑体" w:eastAsia="仿宋"/>
          <w:sz w:val="32"/>
          <w:szCs w:val="32"/>
        </w:rPr>
        <w:t>/</w:t>
      </w:r>
      <w:r>
        <w:rPr>
          <w:rFonts w:hint="eastAsia" w:ascii="仿宋" w:hAnsi="黑体" w:eastAsia="仿宋"/>
          <w:sz w:val="32"/>
          <w:szCs w:val="32"/>
        </w:rPr>
        <w:t>户。已完成35户改造工作，落实资金210000元。</w:t>
      </w:r>
      <w:r>
        <w:rPr>
          <w:rFonts w:ascii="仿宋" w:hAnsi="黑体" w:eastAsia="仿宋"/>
          <w:sz w:val="32"/>
          <w:szCs w:val="32"/>
        </w:rPr>
        <w:t>2.</w:t>
      </w:r>
      <w:r>
        <w:rPr>
          <w:rFonts w:hint="eastAsia" w:ascii="仿宋" w:hAnsi="黑体" w:eastAsia="仿宋"/>
          <w:sz w:val="32"/>
          <w:szCs w:val="32"/>
        </w:rPr>
        <w:t>为残疾人适配基本辅助器具。共为我县有需求的残疾人发放辅具150件。</w:t>
      </w:r>
      <w:r>
        <w:rPr>
          <w:rFonts w:ascii="仿宋" w:hAnsi="黑体" w:eastAsia="仿宋"/>
          <w:sz w:val="32"/>
          <w:szCs w:val="32"/>
        </w:rPr>
        <w:t>3.</w:t>
      </w:r>
      <w:r>
        <w:rPr>
          <w:rFonts w:hint="eastAsia" w:ascii="仿宋" w:hAnsi="黑体" w:eastAsia="仿宋"/>
          <w:sz w:val="32"/>
          <w:szCs w:val="32"/>
        </w:rPr>
        <w:t>残疾儿童康复救助。完成对2名7岁残疾儿童进行肢体康复救助并且对其中1名残疾儿童进行了手术及康复训练；共计拨付资金542575元。</w:t>
      </w:r>
      <w:r>
        <w:rPr>
          <w:rFonts w:ascii="仿宋" w:hAnsi="黑体" w:eastAsia="仿宋"/>
          <w:sz w:val="32"/>
          <w:szCs w:val="32"/>
        </w:rPr>
        <w:t>4.</w:t>
      </w:r>
      <w:r>
        <w:rPr>
          <w:rFonts w:hint="eastAsia" w:ascii="仿宋" w:hAnsi="黑体" w:eastAsia="仿宋"/>
          <w:sz w:val="32"/>
          <w:szCs w:val="32"/>
        </w:rPr>
        <w:t>机动车燃油补贴。已完成1名残疾人燃油补贴审核工作</w:t>
      </w:r>
      <w:r>
        <w:rPr>
          <w:rFonts w:ascii="仿宋" w:hAnsi="黑体" w:eastAsia="仿宋"/>
          <w:sz w:val="32"/>
          <w:szCs w:val="32"/>
        </w:rPr>
        <w:t>365</w:t>
      </w:r>
      <w:r>
        <w:rPr>
          <w:rFonts w:hint="eastAsia" w:ascii="仿宋" w:hAnsi="黑体" w:eastAsia="仿宋"/>
          <w:sz w:val="32"/>
          <w:szCs w:val="32"/>
        </w:rPr>
        <w:t>元</w:t>
      </w:r>
      <w:r>
        <w:rPr>
          <w:rFonts w:ascii="仿宋" w:hAnsi="黑体" w:eastAsia="仿宋"/>
          <w:sz w:val="32"/>
          <w:szCs w:val="32"/>
        </w:rPr>
        <w:t>/</w:t>
      </w:r>
      <w:r>
        <w:rPr>
          <w:rFonts w:hint="eastAsia" w:ascii="仿宋" w:hAnsi="黑体" w:eastAsia="仿宋"/>
          <w:sz w:val="32"/>
          <w:szCs w:val="32"/>
        </w:rPr>
        <w:t>人</w:t>
      </w:r>
      <w:r>
        <w:rPr>
          <w:rFonts w:ascii="仿宋" w:hAnsi="黑体" w:eastAsia="仿宋"/>
          <w:sz w:val="32"/>
          <w:szCs w:val="32"/>
        </w:rPr>
        <w:t>/</w:t>
      </w:r>
      <w:r>
        <w:rPr>
          <w:rFonts w:hint="eastAsia" w:ascii="仿宋" w:hAnsi="黑体" w:eastAsia="仿宋"/>
          <w:sz w:val="32"/>
          <w:szCs w:val="32"/>
        </w:rPr>
        <w:t>年，完成资金拨付工作。</w:t>
      </w:r>
      <w:r>
        <w:rPr>
          <w:rFonts w:ascii="仿宋" w:hAnsi="黑体" w:eastAsia="仿宋"/>
          <w:sz w:val="32"/>
          <w:szCs w:val="32"/>
        </w:rPr>
        <w:t xml:space="preserve">5. </w:t>
      </w:r>
      <w:r>
        <w:rPr>
          <w:rFonts w:hint="eastAsia" w:ascii="仿宋" w:hAnsi="黑体" w:eastAsia="仿宋"/>
          <w:sz w:val="32"/>
          <w:szCs w:val="32"/>
        </w:rPr>
        <w:t>文</w:t>
      </w:r>
      <w:r>
        <w:rPr>
          <w:rFonts w:hint="eastAsia" w:ascii="黑体" w:hAnsi="黑体" w:eastAsia="仿宋"/>
          <w:sz w:val="32"/>
          <w:szCs w:val="32"/>
        </w:rPr>
        <w:t>化家庭“五个一”。为30名残疾人发放书籍，落实资金3000元。</w:t>
      </w:r>
      <w:r>
        <w:rPr>
          <w:rFonts w:ascii="黑体" w:hAnsi="黑体" w:eastAsia="仿宋"/>
          <w:sz w:val="32"/>
          <w:szCs w:val="32"/>
        </w:rPr>
        <w:t>6.</w:t>
      </w:r>
      <w:r>
        <w:rPr>
          <w:rFonts w:hint="eastAsia" w:ascii="黑体" w:hAnsi="黑体" w:eastAsia="仿宋"/>
          <w:sz w:val="32"/>
          <w:szCs w:val="32"/>
        </w:rPr>
        <w:t>居家托养服务。我会已按照程序与红原县格桑花服务机构签订协议，将残疾人居家托养工作交由该机构，已对</w:t>
      </w:r>
      <w:r>
        <w:rPr>
          <w:rFonts w:ascii="黑体" w:hAnsi="黑体" w:eastAsia="仿宋"/>
          <w:sz w:val="32"/>
          <w:szCs w:val="32"/>
        </w:rPr>
        <w:t>100</w:t>
      </w:r>
      <w:r>
        <w:rPr>
          <w:rFonts w:hint="eastAsia" w:ascii="黑体" w:hAnsi="黑体" w:eastAsia="仿宋"/>
          <w:sz w:val="32"/>
          <w:szCs w:val="32"/>
        </w:rPr>
        <w:t>名残疾人进行了托养服务，已拨付资金6万元。7.家庭医生签约服务。今年已全覆盖完成1059名残疾人家庭医生签约工作，落实资金5.295万元，8.完成向100名有劳动力的困难残疾人居家灵活就业补助资金100000元（每人1000元），9.扶持残疾人发展生产工作向22户创业困难残疾人发放资金50000元，其中向16户发放2273元，6户发放2272元，落实资金5万元，10.向5户有自主创业的困难残疾人发放1户10000元创业补贴资金，落实资金50000元，10.完成发放助学资金88500元。11.完成向各村联络员发放误工补贴资金35000元。</w:t>
      </w:r>
    </w:p>
    <w:p w14:paraId="6C158673">
      <w:pPr>
        <w:ind w:firstLine="643" w:firstLineChars="200"/>
        <w:rPr>
          <w:rFonts w:hint="eastAsia" w:ascii="黑体" w:hAnsi="黑体" w:eastAsia="仿宋"/>
          <w:b/>
          <w:bCs/>
          <w:sz w:val="32"/>
          <w:szCs w:val="32"/>
        </w:rPr>
      </w:pPr>
      <w:r>
        <w:rPr>
          <w:rFonts w:hint="eastAsia" w:ascii="黑体" w:hAnsi="黑体" w:eastAsia="仿宋"/>
          <w:b/>
          <w:bCs/>
          <w:sz w:val="32"/>
          <w:szCs w:val="32"/>
        </w:rPr>
        <w:t>（二）</w:t>
      </w:r>
      <w:r>
        <w:rPr>
          <w:rFonts w:ascii="黑体" w:hAnsi="黑体" w:eastAsia="仿宋"/>
          <w:b/>
          <w:bCs/>
          <w:sz w:val="32"/>
          <w:szCs w:val="32"/>
        </w:rPr>
        <w:t>.</w:t>
      </w:r>
      <w:r>
        <w:rPr>
          <w:rFonts w:hint="eastAsia" w:ascii="黑体" w:hAnsi="黑体" w:eastAsia="仿宋"/>
          <w:b/>
          <w:bCs/>
          <w:sz w:val="32"/>
          <w:szCs w:val="32"/>
        </w:rPr>
        <w:t>农村贫困残疾人实用技术培训。</w:t>
      </w:r>
    </w:p>
    <w:p w14:paraId="01BFC194">
      <w:pPr>
        <w:ind w:firstLine="640" w:firstLineChars="200"/>
        <w:rPr>
          <w:rFonts w:hint="eastAsia" w:ascii="黑体" w:hAnsi="黑体" w:eastAsia="仿宋"/>
          <w:sz w:val="32"/>
          <w:szCs w:val="32"/>
        </w:rPr>
      </w:pPr>
      <w:r>
        <w:rPr>
          <w:rFonts w:hint="eastAsia" w:ascii="黑体" w:hAnsi="黑体" w:eastAsia="仿宋"/>
          <w:sz w:val="32"/>
          <w:szCs w:val="32"/>
        </w:rPr>
        <w:t>县残联开展了为期2天的</w:t>
      </w:r>
      <w:r>
        <w:rPr>
          <w:rFonts w:ascii="黑体" w:hAnsi="黑体" w:eastAsia="仿宋"/>
          <w:sz w:val="32"/>
          <w:szCs w:val="32"/>
        </w:rPr>
        <w:t>202</w:t>
      </w:r>
      <w:r>
        <w:rPr>
          <w:rFonts w:hint="eastAsia" w:ascii="黑体" w:hAnsi="黑体" w:eastAsia="仿宋"/>
          <w:sz w:val="32"/>
          <w:szCs w:val="32"/>
        </w:rPr>
        <w:t>4年农村贫困残疾人实用技术培训，共计30人参训，并颁发相关证书，切实增强了残疾人生活自信心，为残疾人就业提供了保障，落实资金44100元。</w:t>
      </w:r>
    </w:p>
    <w:p w14:paraId="36EC4B81">
      <w:pPr>
        <w:widowControl/>
        <w:spacing w:line="556" w:lineRule="exact"/>
        <w:ind w:firstLine="643" w:firstLineChars="200"/>
        <w:jc w:val="left"/>
        <w:rPr>
          <w:rFonts w:eastAsia="仿宋_GB2312"/>
          <w:color w:val="333333"/>
          <w:spacing w:val="3"/>
          <w:sz w:val="32"/>
          <w:szCs w:val="32"/>
        </w:rPr>
      </w:pPr>
      <w:r>
        <w:rPr>
          <w:rFonts w:hint="eastAsia" w:ascii="黑体" w:hAnsi="黑体" w:eastAsia="仿宋"/>
          <w:b/>
          <w:bCs/>
          <w:sz w:val="32"/>
          <w:szCs w:val="32"/>
        </w:rPr>
        <w:t>（三）</w:t>
      </w:r>
      <w:r>
        <w:rPr>
          <w:rFonts w:eastAsia="仿宋_GB2312"/>
          <w:b/>
          <w:bCs/>
          <w:color w:val="000000"/>
          <w:sz w:val="32"/>
          <w:szCs w:val="32"/>
        </w:rPr>
        <w:t>开展第三十四次全国助残日活动。</w:t>
      </w:r>
      <w:r>
        <w:rPr>
          <w:rFonts w:eastAsia="仿宋_GB2312"/>
          <w:color w:val="000000"/>
          <w:sz w:val="32"/>
          <w:szCs w:val="32"/>
        </w:rPr>
        <w:t>5月20日县残联在红军广场、李隆畜牧渔业饲料批发有限公司厂房、瓦切镇、藏医院开展了以“科技助残 共享美好生活”为主题的第三十四次全国助残日活动。向残疾人发放了轮椅、双拐等60余件辅助器具；为150人发放米、面、清油、洗漱盆等生活物品；发放惠残政策宣传册1500份；联合县人民医院在瓦切镇开展了上门评残服务活动；联合藏医院开展了残疾人康复服务活动；在李隆畜牧渔业饲料批发有限公司厂房为100户残疾人养殖户免费发放渡春牦牛饲料1000袋，</w:t>
      </w:r>
      <w:r>
        <w:rPr>
          <w:rFonts w:eastAsia="仿宋_GB2312"/>
          <w:color w:val="333333"/>
          <w:spacing w:val="3"/>
          <w:sz w:val="32"/>
          <w:szCs w:val="32"/>
        </w:rPr>
        <w:t>解决了残疾人牦牛喂养难问题。</w:t>
      </w:r>
    </w:p>
    <w:p w14:paraId="7A6CABBC">
      <w:pPr>
        <w:spacing w:line="556" w:lineRule="exact"/>
        <w:ind w:firstLine="643" w:firstLineChars="200"/>
        <w:jc w:val="left"/>
        <w:rPr>
          <w:rFonts w:eastAsia="仿宋_GB2312"/>
          <w:sz w:val="32"/>
          <w:szCs w:val="32"/>
        </w:rPr>
      </w:pPr>
      <w:r>
        <w:rPr>
          <w:rFonts w:hint="eastAsia" w:eastAsia="仿宋_GB2312"/>
          <w:b/>
          <w:bCs/>
          <w:sz w:val="32"/>
          <w:szCs w:val="32"/>
        </w:rPr>
        <w:t>（四）</w:t>
      </w:r>
      <w:r>
        <w:rPr>
          <w:rFonts w:eastAsia="仿宋_GB2312"/>
          <w:b/>
          <w:bCs/>
          <w:sz w:val="32"/>
          <w:szCs w:val="32"/>
        </w:rPr>
        <w:t>开展2024年关心关爱残疾人·集中评残服务活动。</w:t>
      </w:r>
      <w:r>
        <w:rPr>
          <w:rFonts w:eastAsia="仿宋_GB2312"/>
          <w:sz w:val="32"/>
          <w:szCs w:val="32"/>
        </w:rPr>
        <w:t>6月份，县残联邀请绵阳市第三人民医院、阿坝州康复中心、阿坝州精神卫生中心、马尔康市民医院、红原县人民医院赴我县开展了为期3天的免费评残工作，8名评定医师对300余名疑似残疾人及到期换证人员开展集中免费评残服务活动。</w:t>
      </w:r>
    </w:p>
    <w:p w14:paraId="23AD63A7">
      <w:pPr>
        <w:spacing w:line="556" w:lineRule="exact"/>
        <w:ind w:firstLine="643" w:firstLineChars="200"/>
        <w:jc w:val="left"/>
        <w:rPr>
          <w:rFonts w:eastAsia="仿宋_GB2312"/>
          <w:sz w:val="32"/>
          <w:szCs w:val="32"/>
        </w:rPr>
      </w:pPr>
      <w:r>
        <w:rPr>
          <w:rFonts w:hint="eastAsia" w:eastAsia="仿宋_GB2312"/>
          <w:b/>
          <w:bCs/>
          <w:sz w:val="32"/>
          <w:szCs w:val="32"/>
        </w:rPr>
        <w:t>（五）</w:t>
      </w:r>
      <w:r>
        <w:rPr>
          <w:rFonts w:eastAsia="仿宋_GB2312"/>
          <w:b/>
          <w:bCs/>
          <w:sz w:val="32"/>
          <w:szCs w:val="32"/>
        </w:rPr>
        <w:t>积极争取产业扶持</w:t>
      </w:r>
      <w:r>
        <w:rPr>
          <w:rFonts w:hint="eastAsia" w:eastAsia="仿宋_GB2312"/>
          <w:b/>
          <w:bCs/>
          <w:sz w:val="32"/>
          <w:szCs w:val="32"/>
        </w:rPr>
        <w:t>资金</w:t>
      </w:r>
      <w:r>
        <w:rPr>
          <w:rFonts w:eastAsia="仿宋_GB2312"/>
          <w:b/>
          <w:bCs/>
          <w:sz w:val="32"/>
          <w:szCs w:val="32"/>
        </w:rPr>
        <w:t>金。一是</w:t>
      </w:r>
      <w:r>
        <w:rPr>
          <w:rFonts w:eastAsia="仿宋_GB2312"/>
          <w:sz w:val="32"/>
          <w:szCs w:val="32"/>
        </w:rPr>
        <w:t>浙江永嘉县残联给予我县残疾人产业扶持资金12万元。我会通过实地走访、乡镇上报，向12户贫困残疾和残疾人监测户发放产业扶持资金每户1万元。</w:t>
      </w:r>
      <w:r>
        <w:rPr>
          <w:rFonts w:eastAsia="仿宋_GB2312"/>
          <w:b/>
          <w:bCs/>
          <w:sz w:val="32"/>
          <w:szCs w:val="32"/>
        </w:rPr>
        <w:t>二是</w:t>
      </w:r>
      <w:r>
        <w:rPr>
          <w:rFonts w:eastAsia="仿宋_GB2312"/>
          <w:sz w:val="32"/>
          <w:szCs w:val="32"/>
        </w:rPr>
        <w:t>红原亚珂畜产品产销协会进行了2024年度分红，给予8户残疾人分红，资金1000元—2000元不等，共计发放资金1万元。</w:t>
      </w:r>
    </w:p>
    <w:p w14:paraId="18C254CE">
      <w:pPr>
        <w:spacing w:line="556" w:lineRule="exact"/>
        <w:ind w:firstLine="643" w:firstLineChars="200"/>
        <w:jc w:val="left"/>
        <w:rPr>
          <w:rFonts w:eastAsia="仿宋_GB2312"/>
          <w:sz w:val="32"/>
          <w:szCs w:val="32"/>
        </w:rPr>
      </w:pPr>
      <w:r>
        <w:rPr>
          <w:rFonts w:hint="eastAsia" w:eastAsia="仿宋_GB2312"/>
          <w:b/>
          <w:bCs/>
          <w:sz w:val="32"/>
          <w:szCs w:val="32"/>
        </w:rPr>
        <w:t>（六）</w:t>
      </w:r>
      <w:r>
        <w:rPr>
          <w:rFonts w:eastAsia="仿宋_GB2312"/>
          <w:b/>
          <w:bCs/>
          <w:sz w:val="32"/>
          <w:szCs w:val="32"/>
        </w:rPr>
        <w:t>积极开展控辍保学工作。</w:t>
      </w:r>
      <w:r>
        <w:rPr>
          <w:rFonts w:eastAsia="仿宋_GB2312"/>
          <w:sz w:val="32"/>
          <w:szCs w:val="32"/>
        </w:rPr>
        <w:t>县残联作为控辍保学成员单位之一，主动与教育局进行残疾学生及控辍保学工作基础数据信息比对，配合教育部门共同对未入学名单进行核实，向教育局推送了46名需要做教育能力鉴定的儿童信息，并建立了115名义务教育阶段残疾学生一人一册台账，</w:t>
      </w:r>
      <w:r>
        <w:rPr>
          <w:rFonts w:eastAsia="仿宋_GB2312"/>
          <w:color w:val="000000"/>
          <w:sz w:val="32"/>
          <w:szCs w:val="32"/>
        </w:rPr>
        <w:t>县中第二教学点的</w:t>
      </w:r>
      <w:r>
        <w:rPr>
          <w:rFonts w:eastAsia="仿宋_GB2312"/>
          <w:sz w:val="32"/>
          <w:szCs w:val="32"/>
        </w:rPr>
        <w:t>9名残疾儿童发放助学金、学习和生活用品，确保适龄残疾儿童少年接受义务教育的权利得到保障，推动控辍保学工作取得实效。</w:t>
      </w:r>
    </w:p>
    <w:p w14:paraId="0AF7ABD4">
      <w:pPr>
        <w:spacing w:line="556" w:lineRule="exact"/>
        <w:ind w:firstLine="643" w:firstLineChars="200"/>
        <w:rPr>
          <w:rFonts w:eastAsia="仿宋_GB2312"/>
          <w:sz w:val="32"/>
          <w:szCs w:val="32"/>
        </w:rPr>
      </w:pPr>
      <w:r>
        <w:rPr>
          <w:rFonts w:hint="eastAsia" w:eastAsia="仿宋_GB2312"/>
          <w:b/>
          <w:bCs/>
          <w:sz w:val="32"/>
          <w:szCs w:val="32"/>
        </w:rPr>
        <w:t>（七）</w:t>
      </w:r>
      <w:r>
        <w:rPr>
          <w:rFonts w:eastAsia="仿宋_GB2312"/>
          <w:b/>
          <w:bCs/>
          <w:sz w:val="32"/>
          <w:szCs w:val="32"/>
        </w:rPr>
        <w:t>积极开展脱贫成功巩固，防止出现返贫风险。</w:t>
      </w:r>
      <w:r>
        <w:rPr>
          <w:rFonts w:eastAsia="仿宋_GB2312"/>
          <w:sz w:val="32"/>
          <w:szCs w:val="32"/>
        </w:rPr>
        <w:t>为防止因残致贫或返贫，我会坚持做好风险线索推送工作，每月定期向县科农局推送新增一、二级重度残疾人，截止9月底，已向推送45名。</w:t>
      </w:r>
      <w:r>
        <w:rPr>
          <w:rFonts w:eastAsia="仿宋"/>
          <w:spacing w:val="6"/>
          <w:sz w:val="31"/>
          <w:szCs w:val="31"/>
        </w:rPr>
        <w:t>并协调落实残疾人帮扶</w:t>
      </w:r>
      <w:r>
        <w:rPr>
          <w:rFonts w:eastAsia="仿宋"/>
          <w:spacing w:val="5"/>
          <w:sz w:val="31"/>
          <w:szCs w:val="31"/>
        </w:rPr>
        <w:t>等涉及的帮</w:t>
      </w:r>
      <w:r>
        <w:rPr>
          <w:rFonts w:eastAsia="仿宋"/>
          <w:sz w:val="31"/>
          <w:szCs w:val="31"/>
        </w:rPr>
        <w:t>扶措施；协作建立、维护县级帮扶措施库;对拟消除风险监测对象</w:t>
      </w:r>
      <w:r>
        <w:rPr>
          <w:rFonts w:eastAsia="仿宋"/>
          <w:spacing w:val="3"/>
          <w:sz w:val="31"/>
          <w:szCs w:val="31"/>
        </w:rPr>
        <w:t>帮扶措施落实情况开展复核。</w:t>
      </w:r>
    </w:p>
    <w:p w14:paraId="52B88DC1">
      <w:pPr>
        <w:pStyle w:val="17"/>
        <w:autoSpaceDE w:val="0"/>
        <w:spacing w:before="0" w:beforeAutospacing="0" w:after="0" w:afterAutospacing="0" w:line="556" w:lineRule="exact"/>
        <w:ind w:firstLine="643" w:firstLineChars="200"/>
        <w:jc w:val="both"/>
        <w:rPr>
          <w:rFonts w:eastAsia="仿宋_GB2312" w:cs="Times New Roman"/>
          <w:kern w:val="2"/>
          <w:sz w:val="32"/>
          <w:szCs w:val="32"/>
          <w:lang w:bidi="ar"/>
        </w:rPr>
      </w:pPr>
      <w:r>
        <w:rPr>
          <w:rFonts w:hint="eastAsia" w:eastAsia="仿宋_GB2312" w:cs="Times New Roman"/>
          <w:b/>
          <w:bCs/>
          <w:kern w:val="2"/>
          <w:sz w:val="32"/>
          <w:szCs w:val="32"/>
          <w:lang w:bidi="ar"/>
        </w:rPr>
        <w:t>（八）</w:t>
      </w:r>
      <w:r>
        <w:rPr>
          <w:rFonts w:eastAsia="仿宋_GB2312" w:cs="Times New Roman"/>
          <w:b/>
          <w:bCs/>
          <w:kern w:val="2"/>
          <w:sz w:val="32"/>
          <w:szCs w:val="32"/>
          <w:lang w:bidi="ar"/>
        </w:rPr>
        <w:t>州人大常委会赴我县开展残疾人“一法一实施办法”执法检查工作。</w:t>
      </w:r>
      <w:r>
        <w:rPr>
          <w:rFonts w:eastAsia="仿宋_GB2312" w:cs="Times New Roman"/>
          <w:kern w:val="2"/>
          <w:sz w:val="32"/>
          <w:szCs w:val="32"/>
          <w:lang w:bidi="ar"/>
        </w:rPr>
        <w:t>8月22日-23日，州人大常委会执法检查组赴我县开展残疾人保障“一法一实施办法”执法检查工作，</w:t>
      </w:r>
      <w:r>
        <w:rPr>
          <w:rFonts w:eastAsia="仿宋_GB2312" w:cs="Times New Roman"/>
          <w:color w:val="000000"/>
          <w:kern w:val="2"/>
          <w:sz w:val="32"/>
          <w:szCs w:val="32"/>
          <w:lang w:bidi="ar"/>
        </w:rPr>
        <w:t>检查组一行先后前往红原县新政务服务中心、县应急广场、县藏医院、残疾人创办的阿拉巴扎唐卡培训基地、红原县亚珂畜产品产销协会，分别就残联人就医便利化、城市无障碍环境建设、对残疾人产业扶持等进行现场查看、实地走访，</w:t>
      </w:r>
      <w:r>
        <w:rPr>
          <w:rFonts w:eastAsia="仿宋_GB2312" w:cs="Times New Roman"/>
          <w:kern w:val="2"/>
          <w:sz w:val="32"/>
          <w:szCs w:val="32"/>
          <w:lang w:bidi="ar"/>
        </w:rPr>
        <w:t>检查组对红原县近年来深入贯彻实施残疾人保障“一法一实施办法”，主动积极作为，持续改善残疾人生活质量，不断加强残疾人权益保障，积极推动残疾人事业更好发展的做法给予充分肯定。</w:t>
      </w:r>
      <w:r>
        <w:rPr>
          <w:rFonts w:hint="eastAsia" w:eastAsia="仿宋_GB2312" w:cs="Times New Roman"/>
          <w:kern w:val="2"/>
          <w:sz w:val="32"/>
          <w:szCs w:val="32"/>
          <w:lang w:bidi="ar"/>
        </w:rPr>
        <w:t>经县残联推荐，2024年</w:t>
      </w:r>
      <w:r>
        <w:rPr>
          <w:rFonts w:eastAsia="仿宋_GB2312" w:cs="Times New Roman"/>
          <w:color w:val="000000"/>
          <w:kern w:val="2"/>
          <w:sz w:val="32"/>
          <w:szCs w:val="32"/>
          <w:lang w:bidi="ar"/>
        </w:rPr>
        <w:t>阿拉巴扎唐卡培训基地</w:t>
      </w:r>
      <w:r>
        <w:rPr>
          <w:rFonts w:hint="eastAsia" w:eastAsia="仿宋_GB2312" w:cs="Times New Roman"/>
          <w:color w:val="000000"/>
          <w:kern w:val="2"/>
          <w:sz w:val="32"/>
          <w:szCs w:val="32"/>
          <w:lang w:bidi="ar"/>
        </w:rPr>
        <w:t>创始人扎巴被评为非遗导师，其作品被四川省第三届残疾人文化艺术节评选为优秀作品。</w:t>
      </w:r>
    </w:p>
    <w:p w14:paraId="207120B0">
      <w:pPr>
        <w:pStyle w:val="6"/>
        <w:numPr>
          <w:ilvl w:val="0"/>
          <w:numId w:val="0"/>
        </w:numPr>
        <w:ind w:firstLine="321" w:firstLineChars="100"/>
        <w:rPr>
          <w:rFonts w:ascii="Times New Roman" w:hAnsi="Times New Roman" w:eastAsia="仿宋_GB2312" w:cs="Times New Roman"/>
          <w:sz w:val="32"/>
          <w:szCs w:val="32"/>
          <w:lang w:bidi="ar"/>
        </w:rPr>
      </w:pPr>
      <w:r>
        <w:rPr>
          <w:rFonts w:hint="eastAsia" w:ascii="Times New Roman" w:hAnsi="Times New Roman" w:eastAsia="仿宋_GB2312" w:cs="Times New Roman"/>
          <w:b/>
          <w:bCs/>
          <w:sz w:val="32"/>
          <w:szCs w:val="32"/>
        </w:rPr>
        <w:t>（九）</w:t>
      </w:r>
      <w:r>
        <w:rPr>
          <w:rFonts w:ascii="Times New Roman" w:hAnsi="Times New Roman" w:eastAsia="仿宋_GB2312" w:cs="Times New Roman"/>
          <w:b/>
          <w:bCs/>
          <w:sz w:val="32"/>
          <w:szCs w:val="32"/>
        </w:rPr>
        <w:t>县残联开展“温心守护·共健阿坝”公益救助活动。</w:t>
      </w:r>
      <w:r>
        <w:rPr>
          <w:rFonts w:ascii="Times New Roman" w:hAnsi="Times New Roman" w:eastAsia="仿宋_GB2312" w:cs="Times New Roman"/>
          <w:color w:val="000000"/>
          <w:sz w:val="32"/>
          <w:szCs w:val="32"/>
        </w:rPr>
        <w:t>4月11日，</w:t>
      </w:r>
      <w:r>
        <w:rPr>
          <w:rFonts w:ascii="Times New Roman" w:hAnsi="Times New Roman" w:eastAsia="仿宋_GB2312" w:cs="Times New Roman"/>
          <w:bCs/>
          <w:sz w:val="32"/>
          <w:szCs w:val="32"/>
        </w:rPr>
        <w:t>“温心守护·共建阿坝”第一批唇腭裂公益救助活动在温州市启动，此次公益活动由温州残联、</w:t>
      </w:r>
      <w:r>
        <w:rPr>
          <w:rFonts w:ascii="Times New Roman" w:hAnsi="Times New Roman" w:eastAsia="仿宋_GB2312" w:cs="Times New Roman"/>
          <w:color w:val="000000"/>
          <w:sz w:val="32"/>
          <w:szCs w:val="32"/>
        </w:rPr>
        <w:t>世界温州人微笑联盟</w:t>
      </w:r>
      <w:r>
        <w:rPr>
          <w:rFonts w:ascii="Times New Roman" w:hAnsi="Times New Roman" w:eastAsia="仿宋_GB2312" w:cs="Times New Roman"/>
          <w:bCs/>
          <w:sz w:val="32"/>
          <w:szCs w:val="32"/>
        </w:rPr>
        <w:t>组织实施，为我县</w:t>
      </w:r>
      <w:r>
        <w:rPr>
          <w:rFonts w:ascii="Times New Roman" w:hAnsi="Times New Roman" w:eastAsia="仿宋_GB2312" w:cs="Times New Roman"/>
          <w:color w:val="000000"/>
          <w:sz w:val="32"/>
          <w:szCs w:val="32"/>
        </w:rPr>
        <w:t>5名唇腭裂儿童进行免费手术治疗。此次唇腭裂公益手术治疗最小患儿为3个月，最大患儿13岁，</w:t>
      </w:r>
      <w:r>
        <w:rPr>
          <w:rFonts w:ascii="Times New Roman" w:hAnsi="Times New Roman" w:eastAsia="仿宋_GB2312" w:cs="Times New Roman"/>
          <w:sz w:val="32"/>
          <w:szCs w:val="32"/>
          <w:lang w:bidi="ar"/>
        </w:rPr>
        <w:t>切实减轻了患者家庭经济负担，让患儿能够重新绽放美丽笑容，享受了生活的美好与生命的精彩；</w:t>
      </w:r>
      <w:r>
        <w:rPr>
          <w:rFonts w:hint="eastAsia" w:ascii="仿宋_GB2312" w:hAnsi="仿宋_GB2312" w:eastAsia="仿宋_GB2312" w:cs="仿宋_GB2312"/>
          <w:sz w:val="32"/>
          <w:szCs w:val="32"/>
          <w:lang w:bidi="ar"/>
        </w:rPr>
        <w:t>（第二批）脊柱侧弯患儿1人、家属1人于</w:t>
      </w:r>
      <w:r>
        <w:rPr>
          <w:rFonts w:hint="eastAsia" w:ascii="Times New Roman" w:hAnsi="Times New Roman" w:eastAsia="仿宋_GB2312" w:cs="Times New Roman"/>
          <w:color w:val="000000"/>
          <w:sz w:val="32"/>
          <w:szCs w:val="32"/>
        </w:rPr>
        <w:t>5</w:t>
      </w:r>
      <w:r>
        <w:rPr>
          <w:rFonts w:hint="eastAsia" w:ascii="仿宋_GB2312" w:hAnsi="仿宋_GB2312" w:eastAsia="仿宋_GB2312" w:cs="仿宋_GB2312"/>
          <w:sz w:val="32"/>
          <w:szCs w:val="32"/>
          <w:lang w:bidi="ar"/>
        </w:rPr>
        <w:t>月</w:t>
      </w:r>
      <w:r>
        <w:rPr>
          <w:rFonts w:hint="eastAsia" w:ascii="Times New Roman" w:hAnsi="Times New Roman" w:eastAsia="仿宋_GB2312" w:cs="Times New Roman"/>
          <w:color w:val="000000"/>
          <w:sz w:val="32"/>
          <w:szCs w:val="32"/>
        </w:rPr>
        <w:t>12</w:t>
      </w:r>
      <w:r>
        <w:rPr>
          <w:rFonts w:hint="eastAsia" w:ascii="仿宋_GB2312" w:hAnsi="仿宋_GB2312" w:eastAsia="仿宋_GB2312" w:cs="仿宋_GB2312"/>
          <w:sz w:val="32"/>
          <w:szCs w:val="32"/>
          <w:lang w:bidi="ar"/>
        </w:rPr>
        <w:t>日赴温州进行手术治疗；</w:t>
      </w:r>
      <w:r>
        <w:rPr>
          <w:rFonts w:hint="eastAsia" w:ascii="仿宋_GB2312" w:hAnsi="仿宋_GB2312" w:eastAsia="仿宋_GB2312" w:cs="仿宋_GB2312"/>
          <w:sz w:val="32"/>
          <w:szCs w:val="32"/>
        </w:rPr>
        <w:t>11月4日（第三批）5名手足畸形患儿、5名家属、县残联2名工作人员，共计12人赴温州市附二院开展免费手术救治，后又增加3名家属共计15人。2024年11月21日所有人员完成治疗出院，三批手术</w:t>
      </w:r>
      <w:r>
        <w:rPr>
          <w:rFonts w:hint="eastAsia" w:ascii="仿宋_GB2312" w:hAnsi="仿宋_GB2312" w:eastAsia="仿宋_GB2312" w:cs="仿宋_GB2312"/>
          <w:sz w:val="32"/>
          <w:szCs w:val="32"/>
          <w:lang w:bidi="ar"/>
        </w:rPr>
        <w:t>共支出</w:t>
      </w:r>
      <w:r>
        <w:rPr>
          <w:rFonts w:hint="eastAsia" w:ascii="Times New Roman" w:hAnsi="Times New Roman" w:eastAsia="仿宋_GB2312" w:cs="Times New Roman"/>
          <w:color w:val="000000"/>
          <w:sz w:val="32"/>
          <w:szCs w:val="32"/>
        </w:rPr>
        <w:t>85684.19</w:t>
      </w:r>
      <w:r>
        <w:rPr>
          <w:rFonts w:hint="eastAsia" w:ascii="仿宋_GB2312" w:hAnsi="仿宋_GB2312" w:eastAsia="仿宋_GB2312" w:cs="仿宋_GB2312"/>
          <w:sz w:val="32"/>
          <w:szCs w:val="32"/>
          <w:lang w:bidi="ar"/>
        </w:rPr>
        <w:t>元，已完成资金拨付工作</w:t>
      </w:r>
      <w:r>
        <w:rPr>
          <w:rFonts w:ascii="Times New Roman" w:hAnsi="Times New Roman" w:eastAsia="仿宋_GB2312" w:cs="Times New Roman"/>
          <w:sz w:val="32"/>
          <w:szCs w:val="32"/>
          <w:lang w:bidi="ar"/>
        </w:rPr>
        <w:t>。</w:t>
      </w:r>
    </w:p>
    <w:p w14:paraId="4F014497">
      <w:pPr>
        <w:pStyle w:val="12"/>
        <w:spacing w:line="576" w:lineRule="exact"/>
        <w:ind w:firstLine="321" w:firstLineChars="100"/>
        <w:jc w:val="both"/>
        <w:rPr>
          <w:rFonts w:eastAsia="仿宋_GB2312"/>
          <w:sz w:val="32"/>
          <w:szCs w:val="32"/>
        </w:rPr>
      </w:pPr>
      <w:r>
        <w:rPr>
          <w:rFonts w:hint="eastAsia" w:eastAsia="仿宋_GB2312"/>
          <w:b/>
          <w:bCs/>
          <w:sz w:val="32"/>
          <w:szCs w:val="32"/>
        </w:rPr>
        <w:t>（十）</w:t>
      </w:r>
      <w:r>
        <w:rPr>
          <w:rFonts w:eastAsia="仿宋_GB2312"/>
          <w:b/>
          <w:bCs/>
          <w:sz w:val="32"/>
          <w:szCs w:val="32"/>
        </w:rPr>
        <w:t>开展“进村进户”、</w:t>
      </w:r>
      <w:r>
        <w:rPr>
          <w:rFonts w:eastAsia="仿宋_GB2312"/>
          <w:b/>
          <w:bCs/>
          <w:color w:val="000000"/>
          <w:sz w:val="32"/>
          <w:szCs w:val="32"/>
        </w:rPr>
        <w:t>“联心同行”、“爱心妈妈”</w:t>
      </w:r>
      <w:r>
        <w:rPr>
          <w:rFonts w:eastAsia="仿宋_GB2312"/>
          <w:b/>
          <w:bCs/>
          <w:sz w:val="32"/>
          <w:szCs w:val="32"/>
        </w:rPr>
        <w:t>工作。</w:t>
      </w:r>
      <w:r>
        <w:rPr>
          <w:rFonts w:eastAsia="仿宋_GB2312"/>
          <w:sz w:val="32"/>
          <w:szCs w:val="32"/>
        </w:rPr>
        <w:t>按照县级部门工作安排，每月赴江宫玛村、茸日玛村开展“联户联情”、</w:t>
      </w:r>
      <w:r>
        <w:rPr>
          <w:rFonts w:eastAsia="仿宋_GB2312"/>
          <w:color w:val="000000"/>
          <w:sz w:val="32"/>
          <w:szCs w:val="32"/>
        </w:rPr>
        <w:t>“联心同行”</w:t>
      </w:r>
      <w:r>
        <w:rPr>
          <w:rFonts w:eastAsia="仿宋_GB2312"/>
          <w:sz w:val="32"/>
          <w:szCs w:val="32"/>
        </w:rPr>
        <w:t>、儿童入学工作，积极了解帮扶户存在的困难，并向他们发放米、面、清油等生活物资及残疾辅具；</w:t>
      </w:r>
      <w:r>
        <w:rPr>
          <w:rFonts w:eastAsia="仿宋_GB2312"/>
          <w:color w:val="000000"/>
          <w:sz w:val="32"/>
          <w:szCs w:val="32"/>
        </w:rPr>
        <w:t>赴麦洼寺、康玛寺开展慰问残疾僧人活动，为</w:t>
      </w:r>
      <w:r>
        <w:rPr>
          <w:rFonts w:hint="eastAsia" w:ascii="Times New Roman" w:hAnsi="Times New Roman" w:eastAsia="仿宋_GB2312" w:cs="Times New Roman"/>
          <w:color w:val="000000"/>
          <w:kern w:val="0"/>
          <w:sz w:val="32"/>
          <w:szCs w:val="32"/>
          <w:lang w:val="en-US" w:eastAsia="zh-CN" w:bidi="ar-SA"/>
        </w:rPr>
        <w:t>45</w:t>
      </w:r>
      <w:r>
        <w:rPr>
          <w:rFonts w:eastAsia="仿宋_GB2312"/>
          <w:color w:val="000000"/>
          <w:sz w:val="32"/>
          <w:szCs w:val="32"/>
        </w:rPr>
        <w:t>名残疾僧人送去了米、食用油、高压电饭煲等价值</w:t>
      </w:r>
      <w:r>
        <w:rPr>
          <w:rFonts w:hint="eastAsia" w:ascii="Times New Roman" w:hAnsi="Times New Roman" w:eastAsia="仿宋_GB2312" w:cs="Times New Roman"/>
          <w:color w:val="000000"/>
          <w:kern w:val="0"/>
          <w:sz w:val="32"/>
          <w:szCs w:val="32"/>
          <w:lang w:val="en-US" w:eastAsia="zh-CN" w:bidi="ar-SA"/>
        </w:rPr>
        <w:t>6000</w:t>
      </w:r>
      <w:r>
        <w:rPr>
          <w:rFonts w:eastAsia="仿宋_GB2312"/>
          <w:color w:val="000000"/>
          <w:sz w:val="32"/>
          <w:szCs w:val="32"/>
        </w:rPr>
        <w:t>余元的生活物资，详细了解了残疾僧人的生活状况、身体情况，倾听他们的困难诉求；赴江茸乡江宫玛村、茸日玛村开展“爱心妈妈”结对帮扶工作，送上了书包、文具、羽绒服等用品，了解了2名孩子的基本情况，近距离的与孩子们进行了心理沟通、疏导，宣讲了《中华人民共和国未成年人保护法》《中华人民共和国义务教育法》等法律法规。</w:t>
      </w:r>
    </w:p>
    <w:p w14:paraId="40DC15DE">
      <w:pPr>
        <w:rPr>
          <w:rFonts w:hint="eastAsia"/>
        </w:rPr>
      </w:pPr>
    </w:p>
    <w:p w14:paraId="7AE7B592">
      <w:pPr>
        <w:pStyle w:val="3"/>
        <w:rPr>
          <w:rStyle w:val="32"/>
          <w:rFonts w:ascii="Times New Roman" w:hAnsi="Times New Roman"/>
          <w:b w:val="0"/>
          <w:bCs w:val="0"/>
        </w:rPr>
      </w:pPr>
      <w:bookmarkStart w:id="2" w:name="_Toc15396601"/>
      <w:bookmarkStart w:id="3" w:name="_Toc15377200"/>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2"/>
      <w:bookmarkEnd w:id="3"/>
    </w:p>
    <w:p w14:paraId="7EAAD98F">
      <w:pPr>
        <w:ind w:firstLine="800" w:firstLineChars="250"/>
        <w:rPr>
          <w:rFonts w:eastAsia="仿宋_GB2312" w:cs="仿宋_GB2312"/>
          <w:sz w:val="32"/>
          <w:szCs w:val="32"/>
        </w:rPr>
      </w:pPr>
      <w:r>
        <w:rPr>
          <w:rFonts w:hint="eastAsia" w:ascii="仿宋_GB2312" w:hAnsi="仿宋_GB2312" w:eastAsia="仿宋_GB2312" w:cs="仿宋_GB2312"/>
          <w:sz w:val="32"/>
          <w:szCs w:val="32"/>
        </w:rPr>
        <w:t>红原县残疾人联合会</w:t>
      </w:r>
      <w:r>
        <w:rPr>
          <w:rFonts w:hint="eastAsia" w:eastAsia="仿宋_GB2312" w:cs="仿宋_GB2312"/>
          <w:sz w:val="32"/>
          <w:szCs w:val="32"/>
        </w:rPr>
        <w:t>下属二级预算单位</w:t>
      </w:r>
      <w:r>
        <w:rPr>
          <w:rFonts w:hint="eastAsia" w:eastAsia="仿宋_GB2312" w:cs="仿宋_GB2312"/>
          <w:sz w:val="32"/>
          <w:szCs w:val="32"/>
          <w:lang w:val="en-US" w:eastAsia="zh-CN"/>
        </w:rPr>
        <w:t>2</w:t>
      </w:r>
      <w:r>
        <w:rPr>
          <w:rFonts w:hint="eastAsia" w:eastAsia="仿宋_GB2312" w:cs="仿宋_GB2312"/>
          <w:sz w:val="32"/>
          <w:szCs w:val="32"/>
        </w:rPr>
        <w:t>个，其中行政单位</w:t>
      </w:r>
      <w:r>
        <w:rPr>
          <w:rFonts w:hint="eastAsia" w:eastAsia="仿宋_GB2312" w:cs="仿宋_GB2312"/>
          <w:sz w:val="32"/>
          <w:szCs w:val="32"/>
          <w:lang w:val="en-US" w:eastAsia="zh-CN"/>
        </w:rPr>
        <w:t>1</w:t>
      </w:r>
      <w:r>
        <w:rPr>
          <w:rFonts w:hint="eastAsia" w:eastAsia="仿宋_GB2312" w:cs="仿宋_GB2312"/>
          <w:sz w:val="32"/>
          <w:szCs w:val="32"/>
        </w:rPr>
        <w:t>个，参照公务员法管理的单位</w:t>
      </w:r>
      <w:r>
        <w:rPr>
          <w:rFonts w:hint="eastAsia" w:eastAsia="仿宋_GB2312" w:cs="仿宋_GB2312"/>
          <w:bCs/>
          <w:sz w:val="32"/>
          <w:szCs w:val="32"/>
          <w:lang w:val="en-US" w:eastAsia="zh-CN"/>
        </w:rPr>
        <w:t>1</w:t>
      </w:r>
      <w:r>
        <w:rPr>
          <w:rFonts w:hint="eastAsia" w:eastAsia="仿宋_GB2312" w:cs="仿宋_GB2312"/>
          <w:sz w:val="32"/>
          <w:szCs w:val="32"/>
        </w:rPr>
        <w:t>个。</w:t>
      </w:r>
    </w:p>
    <w:p w14:paraId="11A4F689">
      <w:pPr>
        <w:pStyle w:val="6"/>
        <w:adjustRightInd w:val="0"/>
        <w:snapToGrid w:val="0"/>
        <w:spacing w:before="93" w:line="600" w:lineRule="exact"/>
        <w:ind w:firstLine="672" w:firstLineChars="210"/>
        <w:rPr>
          <w:rFonts w:ascii="Times New Roman" w:cs="仿宋_GB2312"/>
          <w:sz w:val="32"/>
          <w:szCs w:val="32"/>
        </w:rPr>
      </w:pPr>
      <w:r>
        <w:rPr>
          <w:rFonts w:hint="eastAsia" w:ascii="Times New Roman" w:cs="仿宋_GB2312"/>
          <w:sz w:val="32"/>
          <w:szCs w:val="32"/>
        </w:rPr>
        <w:t>纳入</w:t>
      </w:r>
      <w:r>
        <w:rPr>
          <w:sz w:val="32"/>
          <w:szCs w:val="32"/>
        </w:rPr>
        <w:t>红原县残疾人联合会</w:t>
      </w:r>
      <w:r>
        <w:rPr>
          <w:rFonts w:hint="eastAsia" w:ascii="Times New Roman" w:cs="仿宋_GB2312"/>
          <w:sz w:val="32"/>
          <w:szCs w:val="32"/>
        </w:rPr>
        <w:t>2024年度部门决算编制范围的二级预算单位包括：</w:t>
      </w:r>
    </w:p>
    <w:p w14:paraId="47E2A695">
      <w:pPr>
        <w:pStyle w:val="6"/>
        <w:numPr>
          <w:ilvl w:val="0"/>
          <w:numId w:val="2"/>
        </w:numPr>
        <w:adjustRightInd w:val="0"/>
        <w:snapToGrid w:val="0"/>
        <w:spacing w:before="93" w:line="600" w:lineRule="exact"/>
        <w:outlineLvl w:val="2"/>
        <w:rPr>
          <w:rFonts w:ascii="Times New Roman" w:cs="仿宋_GB2312"/>
          <w:sz w:val="32"/>
          <w:szCs w:val="32"/>
        </w:rPr>
      </w:pPr>
      <w:bookmarkStart w:id="4" w:name="_Toc15377433"/>
      <w:bookmarkStart w:id="5" w:name="_Toc15306276"/>
      <w:bookmarkStart w:id="6" w:name="_Toc15377202"/>
      <w:bookmarkStart w:id="7" w:name="_Toc15378449"/>
      <w:r>
        <w:rPr>
          <w:rFonts w:hint="eastAsia" w:ascii="Times New Roman" w:cs="仿宋_GB2312"/>
          <w:sz w:val="32"/>
          <w:szCs w:val="32"/>
          <w:lang w:eastAsia="zh-CN"/>
        </w:rPr>
        <w:t>红原县残疾人联合会本级</w:t>
      </w:r>
      <w:bookmarkEnd w:id="4"/>
      <w:bookmarkEnd w:id="5"/>
      <w:bookmarkEnd w:id="6"/>
      <w:bookmarkEnd w:id="7"/>
    </w:p>
    <w:p w14:paraId="2511AEF2">
      <w:pPr>
        <w:pStyle w:val="6"/>
        <w:adjustRightInd w:val="0"/>
        <w:snapToGrid w:val="0"/>
        <w:spacing w:before="93" w:line="600" w:lineRule="exact"/>
        <w:ind w:firstLine="640" w:firstLineChars="200"/>
        <w:rPr>
          <w:rFonts w:ascii="Times New Roman" w:cs="仿宋_GB2312"/>
          <w:sz w:val="32"/>
          <w:szCs w:val="32"/>
        </w:rPr>
      </w:pPr>
      <w:r>
        <w:rPr>
          <w:rFonts w:hint="eastAsia" w:ascii="Times New Roman" w:cs="仿宋_GB2312"/>
          <w:sz w:val="32"/>
          <w:szCs w:val="32"/>
          <w:lang w:val="en-US" w:eastAsia="zh-CN"/>
        </w:rPr>
        <w:t>2.</w:t>
      </w:r>
      <w:r>
        <w:rPr>
          <w:rFonts w:hint="eastAsia" w:ascii="Times New Roman" w:cs="仿宋_GB2312"/>
          <w:sz w:val="32"/>
          <w:szCs w:val="32"/>
          <w:lang w:eastAsia="zh-CN"/>
        </w:rPr>
        <w:t>红原县残疾人联合会康复中心</w:t>
      </w:r>
    </w:p>
    <w:p w14:paraId="01FF23B2">
      <w:pPr>
        <w:widowControl/>
        <w:jc w:val="left"/>
        <w:rPr>
          <w:rFonts w:eastAsia="仿宋"/>
          <w:kern w:val="0"/>
          <w:sz w:val="32"/>
          <w:szCs w:val="32"/>
        </w:rPr>
      </w:pPr>
      <w:r>
        <w:rPr>
          <w:rFonts w:eastAsia="仿宋"/>
          <w:sz w:val="32"/>
          <w:szCs w:val="32"/>
        </w:rPr>
        <w:br w:type="page"/>
      </w:r>
    </w:p>
    <w:p w14:paraId="70BC732C">
      <w:pPr>
        <w:pStyle w:val="2"/>
        <w:jc w:val="center"/>
        <w:rPr>
          <w:rFonts w:eastAsia="方正小标宋简体" w:cs="方正小标宋简体"/>
          <w:b w:val="0"/>
        </w:rPr>
      </w:pPr>
      <w:bookmarkStart w:id="8" w:name="_Toc15396602"/>
      <w:bookmarkStart w:id="9" w:name="_Toc15377204"/>
      <w:r>
        <w:rPr>
          <w:rFonts w:hint="eastAsia" w:eastAsia="方正小标宋简体" w:cs="方正小标宋简体"/>
          <w:b w:val="0"/>
        </w:rPr>
        <w:t>第二部分  2024年度部门决算情况说明</w:t>
      </w:r>
      <w:bookmarkEnd w:id="8"/>
      <w:bookmarkEnd w:id="9"/>
    </w:p>
    <w:p w14:paraId="3EC2D18A"/>
    <w:p w14:paraId="26A255AB">
      <w:pPr>
        <w:pStyle w:val="30"/>
        <w:spacing w:line="600" w:lineRule="exact"/>
        <w:ind w:firstLine="640"/>
        <w:outlineLvl w:val="1"/>
        <w:rPr>
          <w:rFonts w:hint="eastAsia" w:ascii="黑体" w:hAnsi="黑体" w:eastAsia="黑体" w:cs="黑体"/>
          <w:b/>
          <w:bCs/>
          <w:color w:val="000000"/>
          <w:kern w:val="0"/>
          <w:sz w:val="32"/>
          <w:szCs w:val="32"/>
          <w:lang w:val="en-US" w:eastAsia="zh-CN" w:bidi="ar-SA"/>
        </w:rPr>
      </w:pPr>
      <w:bookmarkStart w:id="10" w:name="_Toc15396603"/>
      <w:bookmarkStart w:id="11" w:name="_Toc15377205"/>
      <w:r>
        <w:rPr>
          <w:rFonts w:hint="eastAsia" w:ascii="黑体" w:hAnsi="黑体" w:eastAsia="黑体" w:cs="黑体"/>
          <w:b/>
          <w:bCs/>
          <w:color w:val="000000"/>
          <w:kern w:val="0"/>
          <w:sz w:val="32"/>
          <w:szCs w:val="32"/>
          <w:lang w:val="en-US" w:eastAsia="zh-CN" w:bidi="ar-SA"/>
        </w:rPr>
        <w:t>一、收入支出决算总体情况说明</w:t>
      </w:r>
      <w:bookmarkEnd w:id="10"/>
      <w:bookmarkEnd w:id="11"/>
    </w:p>
    <w:p w14:paraId="07931C80">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入总计340.23万元，其中一般公共预算收入326.09万元，政府性基金收入14.14万元。支出总计340.23万元。与2023年相比，收入总计减少12.95万元，减少3.8%。其中一般公共预算收入减少8.56万元，减少2.6%，政府性基金收入增加0.61万元，增加4.5％。支出总计增加减少12.95万元，减少3.8%，其中一般公共预算支出326.09万元，比上年减少8.56万元，减少2.6％，政府性基金支出14.14万元，比上年增加0.61％，。</w:t>
      </w:r>
    </w:p>
    <w:p w14:paraId="4CED0B9A">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主要变动原因是我单位今年对残疾人专项补助项目资金减少。 </w:t>
      </w:r>
    </w:p>
    <w:p w14:paraId="0B767F4E">
      <w:pPr>
        <w:spacing w:line="600" w:lineRule="exact"/>
        <w:ind w:firstLine="640" w:firstLineChars="200"/>
        <w:rPr>
          <w:rFonts w:hint="eastAsia" w:ascii="Times New Roman" w:hAnsi="Times New Roman" w:eastAsia="仿宋_GB2312" w:cs="Times New Roman"/>
          <w:color w:val="000000"/>
          <w:kern w:val="0"/>
          <w:sz w:val="32"/>
          <w:szCs w:val="32"/>
          <w:lang w:val="en-US" w:eastAsia="zh-CN" w:bidi="ar-SA"/>
        </w:rPr>
      </w:pPr>
    </w:p>
    <w:p w14:paraId="1D1F4986">
      <w:pPr>
        <w:spacing w:line="600" w:lineRule="exact"/>
        <w:ind w:firstLine="640" w:firstLineChars="200"/>
        <w:rPr>
          <w:rFonts w:hint="eastAsia" w:ascii="黑体" w:hAnsi="黑体" w:eastAsia="黑体"/>
          <w:sz w:val="32"/>
          <w:szCs w:val="32"/>
        </w:rPr>
      </w:pPr>
    </w:p>
    <w:p w14:paraId="61880B90">
      <w:pPr>
        <w:ind w:firstLine="640" w:firstLineChars="200"/>
        <w:rPr>
          <w:rFonts w:hint="eastAsia" w:ascii="黑体" w:hAnsi="黑体" w:eastAsia="黑体"/>
          <w:sz w:val="32"/>
          <w:szCs w:val="32"/>
        </w:rPr>
      </w:pPr>
      <w:r>
        <w:rPr>
          <w:rFonts w:hint="eastAsia" w:ascii="黑体" w:hAnsi="黑体" w:eastAsia="黑体"/>
          <w:sz w:val="32"/>
          <w:szCs w:val="32"/>
        </w:rPr>
        <w:object>
          <v:shape id="_x0000_i1025" o:spt="75" type="#_x0000_t75" style="height:228.75pt;width:319.4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48A56356">
      <w:pPr>
        <w:spacing w:line="600" w:lineRule="exact"/>
        <w:ind w:firstLine="1120" w:firstLineChars="350"/>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31713767">
      <w:pPr>
        <w:ind w:firstLine="640" w:firstLineChars="200"/>
        <w:rPr>
          <w:rFonts w:eastAsia="仿宋_GB2312" w:cs="仿宋_GB2312"/>
          <w:sz w:val="32"/>
          <w:szCs w:val="32"/>
        </w:rPr>
      </w:pPr>
    </w:p>
    <w:p w14:paraId="5033A623">
      <w:pPr>
        <w:pStyle w:val="30"/>
        <w:spacing w:line="600" w:lineRule="exact"/>
        <w:ind w:firstLine="640"/>
        <w:outlineLvl w:val="1"/>
        <w:rPr>
          <w:rFonts w:eastAsia="黑体"/>
          <w:sz w:val="32"/>
          <w:szCs w:val="32"/>
        </w:rPr>
      </w:pPr>
      <w:bookmarkStart w:id="12" w:name="_Toc15396604"/>
      <w:bookmarkStart w:id="13" w:name="_Toc15377206"/>
      <w:r>
        <w:rPr>
          <w:rFonts w:hint="eastAsia" w:eastAsia="黑体"/>
          <w:sz w:val="32"/>
          <w:szCs w:val="32"/>
        </w:rPr>
        <w:t>二、收入决算情况说明</w:t>
      </w:r>
      <w:bookmarkEnd w:id="12"/>
      <w:bookmarkEnd w:id="13"/>
    </w:p>
    <w:p w14:paraId="69074729">
      <w:pPr>
        <w:pStyle w:val="30"/>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收入合计340.23万元，其中：一般公共预算财政拨款收入326.09万元，占95.84%；政府性基金预算财政拨款收入14.14万元，占4.15%%；国有资本经营预算财政拨款收入0万元，占0%；上级补助收入0万元，占0%；事业收入0万元，占0%；经营收入0万元，占0%；附属单位上缴收入0万元，占0%；其他收入0万元，占0%。</w:t>
      </w:r>
    </w:p>
    <w:p w14:paraId="245769B3">
      <w:pPr>
        <w:spacing w:line="600" w:lineRule="exact"/>
        <w:ind w:firstLine="640" w:firstLineChars="200"/>
        <w:rPr>
          <w:rFonts w:hint="eastAsia" w:ascii="黑体" w:hAnsi="黑体" w:eastAsia="黑体"/>
          <w:sz w:val="32"/>
        </w:rPr>
      </w:pPr>
    </w:p>
    <w:p w14:paraId="630C575B">
      <w:pPr>
        <w:spacing w:line="600" w:lineRule="exact"/>
        <w:rPr>
          <w:rFonts w:hint="eastAsia" w:ascii="黑体" w:hAnsi="黑体" w:eastAsia="黑体"/>
          <w:sz w:val="32"/>
        </w:rPr>
      </w:pPr>
    </w:p>
    <w:p w14:paraId="2922FBD0">
      <w:pPr>
        <w:ind w:firstLine="1600" w:firstLineChars="500"/>
        <w:rPr>
          <w:rFonts w:hint="eastAsia" w:ascii="黑体" w:hAnsi="黑体" w:eastAsia="黑体"/>
          <w:sz w:val="32"/>
        </w:rPr>
      </w:pPr>
      <w:r>
        <w:rPr>
          <w:rFonts w:hint="eastAsia" w:ascii="黑体" w:hAnsi="黑体" w:eastAsia="黑体"/>
          <w:sz w:val="32"/>
        </w:rPr>
        <w:object>
          <v:shape id="_x0000_i1026" o:spt="75" type="#_x0000_t75" style="height:198pt;width:261.75pt;" o:ole="t" filled="f" o:preferrelative="t" stroked="f" coordsize="21600,21600">
            <v:path/>
            <v:fill on="f" focussize="0,0"/>
            <v:stroke on="f"/>
            <v:imagedata r:id="rId13" o:title=""/>
            <o:lock v:ext="edit" aspectratio="t"/>
            <w10:wrap type="none"/>
            <w10:anchorlock/>
          </v:shape>
          <o:OLEObject Type="Embed" ProgID="Excel.Chart.8" ShapeID="_x0000_i1026" DrawAspect="Content" ObjectID="_1468075726" r:id="rId12">
            <o:LockedField>false</o:LockedField>
          </o:OLEObject>
        </w:object>
      </w:r>
    </w:p>
    <w:p w14:paraId="76B94B7C">
      <w:pPr>
        <w:spacing w:line="600" w:lineRule="exact"/>
        <w:ind w:firstLine="2080" w:firstLineChars="650"/>
        <w:rPr>
          <w:rFonts w:eastAsia="仿宋_GB2312" w:cs="仿宋_GB2312"/>
          <w:sz w:val="32"/>
          <w:szCs w:val="32"/>
        </w:rPr>
      </w:pPr>
      <w:r>
        <w:rPr>
          <w:rFonts w:hint="eastAsia" w:ascii="仿宋" w:hAnsi="仿宋" w:eastAsia="仿宋"/>
          <w:color w:val="000000"/>
          <w:sz w:val="32"/>
          <w:szCs w:val="32"/>
        </w:rPr>
        <w:t>（图2：收入决算总结构图）</w:t>
      </w:r>
    </w:p>
    <w:p w14:paraId="1B8AEB25">
      <w:pPr>
        <w:pStyle w:val="30"/>
        <w:spacing w:line="600" w:lineRule="exact"/>
        <w:ind w:firstLine="640"/>
        <w:outlineLvl w:val="1"/>
        <w:rPr>
          <w:rStyle w:val="32"/>
          <w:rFonts w:ascii="Times New Roman" w:hAnsi="Times New Roman" w:eastAsia="黑体"/>
          <w:b w:val="0"/>
        </w:rPr>
      </w:pPr>
      <w:bookmarkStart w:id="14" w:name="_Toc15396605"/>
      <w:bookmarkStart w:id="15" w:name="_Toc15377207"/>
      <w:r>
        <w:rPr>
          <w:rFonts w:hint="eastAsia" w:eastAsia="黑体"/>
          <w:sz w:val="32"/>
          <w:szCs w:val="32"/>
        </w:rPr>
        <w:t>三、支</w:t>
      </w:r>
      <w:r>
        <w:rPr>
          <w:rStyle w:val="32"/>
          <w:rFonts w:hint="eastAsia" w:ascii="Times New Roman" w:hAnsi="Times New Roman" w:eastAsia="黑体"/>
          <w:b w:val="0"/>
        </w:rPr>
        <w:t>出决算情况说明</w:t>
      </w:r>
      <w:bookmarkEnd w:id="14"/>
      <w:bookmarkEnd w:id="15"/>
    </w:p>
    <w:p w14:paraId="73C187C4">
      <w:pPr>
        <w:pStyle w:val="30"/>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2024年度本年支出合计340.23万元，其中：基本支出153.84万元，占45.21%；项目支出186.39万元，占54.78%；上缴上级支出0万元，占0%；经营支出0万元，占0%；对附属单位补助支出0万元，占0%%。</w:t>
      </w:r>
    </w:p>
    <w:p w14:paraId="26D9580F">
      <w:pPr>
        <w:snapToGrid w:val="0"/>
        <w:spacing w:line="520" w:lineRule="exact"/>
        <w:ind w:firstLine="643" w:firstLineChars="200"/>
        <w:rPr>
          <w:rFonts w:hint="eastAsia" w:ascii="黑体" w:hAnsi="黑体" w:eastAsia="黑体"/>
          <w:b/>
          <w:sz w:val="32"/>
          <w:szCs w:val="32"/>
        </w:rPr>
      </w:pPr>
    </w:p>
    <w:p w14:paraId="27E9356F">
      <w:pPr>
        <w:snapToGrid w:val="0"/>
        <w:ind w:firstLine="1285" w:firstLineChars="400"/>
        <w:rPr>
          <w:rFonts w:hint="eastAsia" w:ascii="黑体" w:hAnsi="黑体" w:eastAsia="黑体"/>
          <w:b/>
          <w:sz w:val="32"/>
          <w:szCs w:val="32"/>
        </w:rPr>
      </w:pPr>
      <w:r>
        <w:rPr>
          <w:rFonts w:hint="eastAsia" w:ascii="黑体" w:hAnsi="黑体" w:eastAsia="黑体"/>
          <w:b/>
          <w:sz w:val="32"/>
          <w:szCs w:val="32"/>
        </w:rPr>
        <w:object>
          <v:shape id="_x0000_i1027" o:spt="75" type="#_x0000_t75" style="height:222.75pt;width:267pt;" o:ole="t" filled="f" o:preferrelative="t" stroked="f" coordsize="21600,21600">
            <v:path/>
            <v:fill on="f" focussize="0,0"/>
            <v:stroke on="f"/>
            <v:imagedata r:id="rId15" o:title=""/>
            <o:lock v:ext="edit" aspectratio="t"/>
            <w10:wrap type="none"/>
            <w10:anchorlock/>
          </v:shape>
          <o:OLEObject Type="Embed" ProgID="Excel.Chart.8" ShapeID="_x0000_i1027" DrawAspect="Content" ObjectID="_1468075727" r:id="rId14">
            <o:LockedField>false</o:LockedField>
          </o:OLEObject>
        </w:object>
      </w:r>
    </w:p>
    <w:p w14:paraId="391CE3A2">
      <w:pPr>
        <w:spacing w:line="600" w:lineRule="exact"/>
        <w:ind w:firstLine="1900" w:firstLineChars="594"/>
      </w:pPr>
      <w:r>
        <w:rPr>
          <w:rFonts w:hint="eastAsia" w:ascii="仿宋" w:hAnsi="仿宋" w:eastAsia="仿宋"/>
          <w:color w:val="000000"/>
          <w:sz w:val="32"/>
          <w:szCs w:val="32"/>
        </w:rPr>
        <w:t>（图3：支出决算总结构图）</w:t>
      </w:r>
    </w:p>
    <w:p w14:paraId="75EBD905">
      <w:pPr>
        <w:rPr>
          <w:rFonts w:eastAsia="仿宋_GB2312" w:cs="仿宋_GB2312"/>
          <w:sz w:val="32"/>
          <w:szCs w:val="32"/>
        </w:rPr>
      </w:pPr>
    </w:p>
    <w:p w14:paraId="379E2ED2">
      <w:pPr>
        <w:spacing w:line="600" w:lineRule="exact"/>
        <w:ind w:firstLine="640" w:firstLineChars="200"/>
        <w:outlineLvl w:val="1"/>
        <w:rPr>
          <w:rStyle w:val="32"/>
          <w:rFonts w:ascii="Times New Roman" w:hAnsi="Times New Roman" w:eastAsia="黑体"/>
          <w:b w:val="0"/>
        </w:rPr>
      </w:pPr>
      <w:bookmarkStart w:id="16" w:name="_Toc15396606"/>
      <w:bookmarkStart w:id="17" w:name="_Toc15377208"/>
      <w:r>
        <w:rPr>
          <w:rFonts w:hint="eastAsia" w:eastAsia="黑体"/>
          <w:sz w:val="32"/>
          <w:szCs w:val="32"/>
        </w:rPr>
        <w:t>四、财</w:t>
      </w:r>
      <w:r>
        <w:rPr>
          <w:rStyle w:val="32"/>
          <w:rFonts w:hint="eastAsia" w:ascii="Times New Roman" w:hAnsi="Times New Roman" w:eastAsia="黑体"/>
          <w:b w:val="0"/>
        </w:rPr>
        <w:t>政拨款收入支出决算总体情况说明</w:t>
      </w:r>
      <w:bookmarkEnd w:id="16"/>
      <w:bookmarkEnd w:id="17"/>
    </w:p>
    <w:p w14:paraId="2AE723F4">
      <w:pPr>
        <w:spacing w:line="600" w:lineRule="exact"/>
        <w:ind w:firstLine="640" w:firstLineChars="200"/>
        <w:rPr>
          <w:rFonts w:hint="eastAsia" w:ascii="黑体" w:hAnsi="黑体" w:eastAsia="黑体"/>
          <w:color w:val="000000"/>
          <w:sz w:val="28"/>
          <w:szCs w:val="28"/>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340.23</w:t>
      </w:r>
      <w:r>
        <w:rPr>
          <w:rFonts w:hint="eastAsia" w:eastAsia="仿宋_GB2312" w:cs="仿宋_GB2312"/>
          <w:sz w:val="32"/>
          <w:szCs w:val="32"/>
        </w:rPr>
        <w:t>万元。与2023年度相比，财政拨款收入总计、支出总计各减少</w:t>
      </w:r>
      <w:r>
        <w:rPr>
          <w:rFonts w:hint="eastAsia" w:eastAsia="仿宋_GB2312" w:cs="仿宋_GB2312"/>
          <w:sz w:val="32"/>
          <w:szCs w:val="32"/>
          <w:lang w:val="en-US" w:eastAsia="zh-CN"/>
        </w:rPr>
        <w:t>12.95</w:t>
      </w:r>
      <w:r>
        <w:rPr>
          <w:rFonts w:hint="eastAsia" w:eastAsia="仿宋_GB2312" w:cs="仿宋_GB2312"/>
          <w:sz w:val="32"/>
          <w:szCs w:val="32"/>
        </w:rPr>
        <w:t>万元，下降</w:t>
      </w:r>
      <w:r>
        <w:rPr>
          <w:rFonts w:hint="eastAsia" w:eastAsia="仿宋_GB2312" w:cs="仿宋_GB2312"/>
          <w:sz w:val="32"/>
          <w:szCs w:val="32"/>
          <w:lang w:val="en-US" w:eastAsia="zh-CN"/>
        </w:rPr>
        <w:t>3.8</w:t>
      </w:r>
      <w:r>
        <w:rPr>
          <w:rFonts w:hint="eastAsia" w:eastAsia="仿宋_GB2312" w:cs="仿宋_GB2312"/>
          <w:sz w:val="32"/>
          <w:szCs w:val="32"/>
        </w:rPr>
        <w:t>%。主要变动原因</w:t>
      </w:r>
      <w:r>
        <w:rPr>
          <w:rFonts w:hint="eastAsia" w:ascii="Times New Roman" w:hAnsi="Times New Roman" w:eastAsia="仿宋_GB2312" w:cs="仿宋_GB2312"/>
          <w:sz w:val="32"/>
          <w:szCs w:val="32"/>
        </w:rPr>
        <w:t>是我单位今年对残疾人专项补助项目增加减少。</w:t>
      </w:r>
    </w:p>
    <w:p w14:paraId="5EF065D8">
      <w:pPr>
        <w:snapToGrid w:val="0"/>
        <w:ind w:firstLine="1280" w:firstLineChars="400"/>
        <w:rPr>
          <w:rFonts w:hint="eastAsia" w:ascii="黑体" w:hAnsi="黑体" w:eastAsia="黑体"/>
          <w:sz w:val="32"/>
          <w:szCs w:val="32"/>
        </w:rPr>
      </w:pPr>
      <w:r>
        <w:rPr>
          <w:rFonts w:hint="eastAsia" w:ascii="黑体" w:hAnsi="黑体" w:eastAsia="黑体"/>
          <w:sz w:val="32"/>
          <w:szCs w:val="32"/>
        </w:rPr>
        <w:object>
          <v:shape id="_x0000_i1028" o:spt="75" type="#_x0000_t75" style="height:222.75pt;width:323.95pt;" o:ole="t" filled="f" o:preferrelative="t" stroked="f" coordsize="21600,21600">
            <v:path/>
            <v:fill on="f" focussize="0,0"/>
            <v:stroke on="f"/>
            <v:imagedata r:id="rId17" o:title=""/>
            <o:lock v:ext="edit" aspectratio="t"/>
            <w10:wrap type="none"/>
            <w10:anchorlock/>
          </v:shape>
          <o:OLEObject Type="Embed" ProgID="Excel.Chart.8" ShapeID="_x0000_i1028" DrawAspect="Content" ObjectID="_1468075728" r:id="rId16">
            <o:LockedField>false</o:LockedField>
          </o:OLEObject>
        </w:object>
      </w:r>
    </w:p>
    <w:p w14:paraId="6A8B673B">
      <w:pPr>
        <w:snapToGrid w:val="0"/>
        <w:spacing w:line="520" w:lineRule="exact"/>
        <w:rPr>
          <w:rFonts w:eastAsia="仿宋_GB2312" w:cs="仿宋_GB2312"/>
          <w:sz w:val="32"/>
          <w:szCs w:val="32"/>
        </w:rPr>
      </w:pPr>
      <w:r>
        <w:rPr>
          <w:rFonts w:hint="eastAsia" w:ascii="黑体" w:hAnsi="黑体" w:eastAsia="黑体"/>
          <w:sz w:val="32"/>
          <w:szCs w:val="32"/>
        </w:rPr>
        <w:t xml:space="preserve">          </w:t>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4DC621D8">
      <w:pPr>
        <w:spacing w:line="600" w:lineRule="exact"/>
        <w:ind w:firstLine="640" w:firstLineChars="200"/>
        <w:outlineLvl w:val="1"/>
        <w:rPr>
          <w:rStyle w:val="32"/>
          <w:rFonts w:ascii="Times New Roman" w:hAnsi="Times New Roman" w:eastAsia="黑体"/>
          <w:b w:val="0"/>
        </w:rPr>
      </w:pPr>
      <w:bookmarkStart w:id="18" w:name="_Toc15377209"/>
      <w:bookmarkStart w:id="19" w:name="_Toc15396607"/>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18"/>
      <w:bookmarkEnd w:id="19"/>
    </w:p>
    <w:p w14:paraId="5B6FB239">
      <w:pPr>
        <w:spacing w:line="600" w:lineRule="exact"/>
        <w:ind w:firstLine="643" w:firstLineChars="200"/>
        <w:outlineLvl w:val="2"/>
        <w:rPr>
          <w:rFonts w:eastAsia="楷体_GB2312" w:cs="楷体_GB2312"/>
          <w:b/>
          <w:sz w:val="32"/>
          <w:szCs w:val="32"/>
        </w:rPr>
      </w:pPr>
      <w:bookmarkStart w:id="20" w:name="_Toc15377210"/>
      <w:r>
        <w:rPr>
          <w:rFonts w:hint="eastAsia" w:eastAsia="楷体_GB2312" w:cs="楷体_GB2312"/>
          <w:b/>
          <w:sz w:val="32"/>
          <w:szCs w:val="32"/>
        </w:rPr>
        <w:t>（一）一般公共预算财政拨款支出决算总体情况</w:t>
      </w:r>
      <w:bookmarkEnd w:id="20"/>
    </w:p>
    <w:p w14:paraId="263FB4E8">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2024年度一般公共预算财政拨款支出326.09万元，占本年支出合计的95.84%。与2023年度相比，一般公共预算财政拨款支出减少</w:t>
      </w:r>
      <w:r>
        <w:rPr>
          <w:rFonts w:hint="eastAsia" w:ascii="仿宋_GB2312" w:hAnsi="仿宋_GB2312" w:eastAsia="仿宋_GB2312" w:cs="仿宋_GB2312"/>
          <w:sz w:val="32"/>
          <w:szCs w:val="32"/>
          <w:lang w:val="en-US" w:eastAsia="zh-CN"/>
        </w:rPr>
        <w:t>8.56</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主要变动原因是我单位今年对残疾人专项补助项目增加减少。</w:t>
      </w:r>
    </w:p>
    <w:p w14:paraId="65D03A51">
      <w:pPr>
        <w:ind w:firstLine="960" w:firstLineChars="300"/>
        <w:rPr>
          <w:rFonts w:hint="eastAsia" w:ascii="仿宋_GB2312" w:hAnsi="仿宋" w:eastAsia="仿宋_GB2312"/>
          <w:color w:val="000000"/>
          <w:sz w:val="32"/>
          <w:szCs w:val="32"/>
        </w:rPr>
      </w:pPr>
      <w:r>
        <w:rPr>
          <w:rFonts w:hint="eastAsia" w:ascii="仿宋_GB2312" w:hAnsi="仿宋" w:eastAsia="仿宋_GB2312"/>
          <w:color w:val="000000"/>
          <w:sz w:val="32"/>
          <w:szCs w:val="32"/>
        </w:rPr>
        <w:object>
          <v:shape id="_x0000_i1029" o:spt="75" type="#_x0000_t75" style="height:222.75pt;width:345.8pt;" o:ole="t" filled="f" o:preferrelative="t" stroked="f" coordsize="21600,21600">
            <v:path/>
            <v:fill on="f" focussize="0,0"/>
            <v:stroke on="f"/>
            <v:imagedata r:id="rId19" o:title=""/>
            <o:lock v:ext="edit" aspectratio="t"/>
            <w10:wrap type="none"/>
            <w10:anchorlock/>
          </v:shape>
          <o:OLEObject Type="Embed" ProgID="Excel.Chart.8" ShapeID="_x0000_i1029" DrawAspect="Content" ObjectID="_1468075729" r:id="rId18">
            <o:LockedField>false</o:LockedField>
          </o:OLEObject>
        </w:object>
      </w:r>
    </w:p>
    <w:p w14:paraId="17334E54">
      <w:pPr>
        <w:spacing w:line="600" w:lineRule="exact"/>
        <w:ind w:firstLine="640" w:firstLineChars="200"/>
        <w:rPr>
          <w:rFonts w:eastAsia="仿宋_GB2312" w:cs="仿宋_GB2312"/>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2DFB5C24">
      <w:pPr>
        <w:spacing w:line="600" w:lineRule="exact"/>
        <w:ind w:firstLine="643" w:firstLineChars="200"/>
        <w:outlineLvl w:val="2"/>
        <w:rPr>
          <w:rFonts w:eastAsia="楷体_GB2312" w:cs="楷体_GB2312"/>
          <w:b/>
          <w:sz w:val="32"/>
          <w:szCs w:val="32"/>
        </w:rPr>
      </w:pPr>
      <w:bookmarkStart w:id="21" w:name="_Toc15377211"/>
      <w:r>
        <w:rPr>
          <w:rFonts w:hint="eastAsia" w:eastAsia="楷体_GB2312" w:cs="楷体_GB2312"/>
          <w:b/>
          <w:sz w:val="32"/>
          <w:szCs w:val="32"/>
        </w:rPr>
        <w:t>（二）一般公共预算财政拨款支出决算结构情况</w:t>
      </w:r>
      <w:bookmarkEnd w:id="21"/>
    </w:p>
    <w:p w14:paraId="22962EAE">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326.09万元</w:t>
      </w:r>
      <w:r>
        <w:rPr>
          <w:rFonts w:hint="eastAsia" w:eastAsia="仿宋_GB2312" w:cs="仿宋_GB2312"/>
          <w:sz w:val="32"/>
          <w:szCs w:val="32"/>
        </w:rPr>
        <w:t>，主要用于以下方面：社会保障和就业支出</w:t>
      </w:r>
      <w:r>
        <w:rPr>
          <w:rFonts w:hint="eastAsia" w:eastAsia="仿宋_GB2312" w:cs="仿宋_GB2312"/>
          <w:sz w:val="32"/>
          <w:szCs w:val="32"/>
          <w:lang w:val="en-US" w:eastAsia="zh-CN"/>
        </w:rPr>
        <w:t>305.5</w:t>
      </w:r>
      <w:r>
        <w:rPr>
          <w:rFonts w:hint="eastAsia" w:eastAsia="仿宋_GB2312" w:cs="仿宋_GB2312"/>
          <w:sz w:val="32"/>
          <w:szCs w:val="32"/>
        </w:rPr>
        <w:t>万元，占</w:t>
      </w:r>
      <w:r>
        <w:rPr>
          <w:rFonts w:hint="eastAsia" w:eastAsia="仿宋_GB2312" w:cs="仿宋_GB2312"/>
          <w:sz w:val="32"/>
          <w:szCs w:val="32"/>
          <w:lang w:val="en-US" w:eastAsia="zh-CN"/>
        </w:rPr>
        <w:t>93.7</w:t>
      </w:r>
      <w:r>
        <w:rPr>
          <w:rFonts w:hint="eastAsia" w:eastAsia="仿宋_GB2312" w:cs="仿宋_GB2312"/>
          <w:sz w:val="32"/>
          <w:szCs w:val="32"/>
        </w:rPr>
        <w:t>%；卫生健康支出</w:t>
      </w:r>
      <w:r>
        <w:rPr>
          <w:rFonts w:hint="eastAsia" w:eastAsia="仿宋_GB2312" w:cs="仿宋_GB2312"/>
          <w:sz w:val="32"/>
          <w:szCs w:val="32"/>
          <w:lang w:val="en-US" w:eastAsia="zh-CN"/>
        </w:rPr>
        <w:t>8.71</w:t>
      </w:r>
      <w:r>
        <w:rPr>
          <w:rFonts w:hint="eastAsia" w:eastAsia="仿宋_GB2312" w:cs="仿宋_GB2312"/>
          <w:sz w:val="32"/>
          <w:szCs w:val="32"/>
        </w:rPr>
        <w:t>万元，占</w:t>
      </w:r>
      <w:r>
        <w:rPr>
          <w:rFonts w:hint="eastAsia" w:eastAsia="仿宋_GB2312" w:cs="仿宋_GB2312"/>
          <w:sz w:val="32"/>
          <w:szCs w:val="32"/>
          <w:lang w:val="en-US" w:eastAsia="zh-CN"/>
        </w:rPr>
        <w:t>2.6</w:t>
      </w:r>
      <w:r>
        <w:rPr>
          <w:rFonts w:hint="eastAsia" w:eastAsia="仿宋_GB2312" w:cs="仿宋_GB2312"/>
          <w:sz w:val="32"/>
          <w:szCs w:val="32"/>
        </w:rPr>
        <w:t>%；住房保障支出</w:t>
      </w:r>
      <w:r>
        <w:rPr>
          <w:rFonts w:hint="eastAsia" w:eastAsia="仿宋_GB2312" w:cs="仿宋_GB2312"/>
          <w:sz w:val="32"/>
          <w:szCs w:val="32"/>
          <w:lang w:val="en-US" w:eastAsia="zh-CN"/>
        </w:rPr>
        <w:t>11.85</w:t>
      </w:r>
      <w:r>
        <w:rPr>
          <w:rFonts w:hint="eastAsia" w:eastAsia="仿宋_GB2312" w:cs="仿宋_GB2312"/>
          <w:sz w:val="32"/>
          <w:szCs w:val="32"/>
        </w:rPr>
        <w:t>万元，占</w:t>
      </w:r>
      <w:r>
        <w:rPr>
          <w:rFonts w:hint="eastAsia" w:eastAsia="仿宋_GB2312" w:cs="仿宋_GB2312"/>
          <w:sz w:val="32"/>
          <w:szCs w:val="32"/>
          <w:lang w:val="en-US" w:eastAsia="zh-CN"/>
        </w:rPr>
        <w:t>3.7</w:t>
      </w:r>
      <w:r>
        <w:rPr>
          <w:rFonts w:hint="eastAsia" w:eastAsia="仿宋_GB2312" w:cs="仿宋_GB2312"/>
          <w:sz w:val="32"/>
          <w:szCs w:val="32"/>
        </w:rPr>
        <w:t>%</w:t>
      </w:r>
      <w:r>
        <w:rPr>
          <w:rFonts w:hint="eastAsia" w:eastAsia="仿宋_GB2312" w:cs="仿宋_GB2312"/>
          <w:sz w:val="32"/>
          <w:szCs w:val="32"/>
          <w:lang w:eastAsia="zh-CN"/>
        </w:rPr>
        <w:t>。</w:t>
      </w:r>
    </w:p>
    <w:p w14:paraId="5E430E36">
      <w:pPr>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object>
          <v:shape id="_x0000_i1030" o:spt="75" type="#_x0000_t75" style="height:222.75pt;width:336pt;" o:ole="t" filled="f" o:preferrelative="t" stroked="f" coordsize="21600,21600">
            <v:path/>
            <v:fill on="f" focussize="0,0"/>
            <v:stroke on="f"/>
            <v:imagedata r:id="rId21" o:title=""/>
            <o:lock v:ext="edit" aspectratio="t"/>
            <w10:wrap type="none"/>
            <w10:anchorlock/>
          </v:shape>
          <o:OLEObject Type="Embed" ProgID="Excel.Chart.8" ShapeID="_x0000_i1030" DrawAspect="Content" ObjectID="_1468075730" r:id="rId20">
            <o:LockedField>false</o:LockedField>
          </o:OLEObject>
        </w:object>
      </w:r>
    </w:p>
    <w:p w14:paraId="42450556">
      <w:pPr>
        <w:spacing w:line="600" w:lineRule="exact"/>
        <w:ind w:firstLine="640" w:firstLineChars="200"/>
        <w:jc w:val="center"/>
        <w:rPr>
          <w:rFonts w:eastAsia="仿宋_GB2312" w:cs="仿宋_GB2312"/>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14:paraId="6669D633">
      <w:pPr>
        <w:spacing w:line="600" w:lineRule="exact"/>
        <w:ind w:firstLine="643" w:firstLineChars="200"/>
        <w:outlineLvl w:val="2"/>
        <w:rPr>
          <w:rFonts w:eastAsia="楷体_GB2312" w:cs="楷体_GB2312"/>
          <w:b/>
          <w:sz w:val="32"/>
          <w:szCs w:val="32"/>
        </w:rPr>
      </w:pPr>
      <w:bookmarkStart w:id="22" w:name="_Toc15377212"/>
      <w:r>
        <w:rPr>
          <w:rFonts w:hint="eastAsia" w:eastAsia="楷体_GB2312" w:cs="楷体_GB2312"/>
          <w:b/>
          <w:sz w:val="32"/>
          <w:szCs w:val="32"/>
        </w:rPr>
        <w:t>（三）一般公共预算财政拨款支出决算具体情况</w:t>
      </w:r>
      <w:bookmarkEnd w:id="22"/>
    </w:p>
    <w:p w14:paraId="45D83919">
      <w:pPr>
        <w:spacing w:line="600" w:lineRule="exact"/>
        <w:ind w:firstLine="640"/>
        <w:rPr>
          <w:rFonts w:hint="eastAsia" w:eastAsia="仿宋_GB2312" w:cs="仿宋_GB2312"/>
          <w:sz w:val="32"/>
          <w:szCs w:val="32"/>
        </w:rPr>
      </w:pPr>
      <w:bookmarkStart w:id="23" w:name="_Toc15378460"/>
      <w:bookmarkStart w:id="24" w:name="_Toc15377213"/>
      <w:bookmarkStart w:id="25" w:name="_Toc15377444"/>
      <w:r>
        <w:rPr>
          <w:rFonts w:hint="eastAsia" w:eastAsia="仿宋_GB2312" w:cs="仿宋_GB2312"/>
          <w:sz w:val="32"/>
          <w:szCs w:val="32"/>
        </w:rPr>
        <w:t>2024年度一般公共预算财政拨款支出决算数为326.09，完成预算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3"/>
      <w:bookmarkEnd w:id="24"/>
      <w:bookmarkEnd w:id="25"/>
    </w:p>
    <w:p w14:paraId="2F7D7031">
      <w:pPr>
        <w:numPr>
          <w:ilvl w:val="0"/>
          <w:numId w:val="3"/>
        </w:numPr>
        <w:spacing w:line="600" w:lineRule="exact"/>
        <w:ind w:firstLine="964" w:firstLineChars="300"/>
        <w:rPr>
          <w:rFonts w:hint="eastAsia" w:eastAsia="仿宋_GB2312" w:cs="仿宋_GB2312"/>
          <w:sz w:val="32"/>
          <w:szCs w:val="32"/>
        </w:rPr>
      </w:pPr>
      <w:r>
        <w:rPr>
          <w:rFonts w:hint="eastAsia" w:ascii="仿宋" w:hAnsi="仿宋" w:eastAsia="仿宋"/>
          <w:b/>
          <w:bCs/>
          <w:color w:val="000000"/>
          <w:sz w:val="32"/>
          <w:szCs w:val="32"/>
        </w:rPr>
        <w:t>社会保障和就业支出（</w:t>
      </w:r>
      <w:r>
        <w:rPr>
          <w:rFonts w:ascii="仿宋" w:hAnsi="仿宋" w:eastAsia="仿宋"/>
          <w:b/>
          <w:bCs/>
          <w:color w:val="000000"/>
          <w:sz w:val="32"/>
          <w:szCs w:val="32"/>
        </w:rPr>
        <w:t>208</w:t>
      </w:r>
      <w:r>
        <w:rPr>
          <w:rFonts w:hint="eastAsia" w:ascii="仿宋" w:hAnsi="仿宋" w:eastAsia="仿宋"/>
          <w:b/>
          <w:bCs/>
          <w:color w:val="000000"/>
          <w:sz w:val="32"/>
          <w:szCs w:val="32"/>
        </w:rPr>
        <w:t>）</w:t>
      </w:r>
      <w:r>
        <w:rPr>
          <w:rFonts w:hint="eastAsia" w:ascii="仿宋" w:hAnsi="仿宋" w:eastAsia="仿宋"/>
          <w:b/>
          <w:bCs/>
          <w:color w:val="000000"/>
          <w:sz w:val="32"/>
          <w:szCs w:val="32"/>
          <w:lang w:eastAsia="zh-CN"/>
        </w:rPr>
        <w:t>：</w:t>
      </w:r>
      <w:r>
        <w:rPr>
          <w:rFonts w:hint="eastAsia" w:eastAsia="仿宋_GB2312" w:cs="仿宋_GB2312"/>
          <w:sz w:val="32"/>
          <w:szCs w:val="32"/>
        </w:rPr>
        <w:t xml:space="preserve">机关事业单位基本养老保险缴费支出（2080505）支出决算14.2万元，完成预算100%。 机关事业单位职业年金缴费支出（2080506）支出决算7.1万元，完成预算100%。 </w:t>
      </w:r>
    </w:p>
    <w:p w14:paraId="4729791C">
      <w:pPr>
        <w:numPr>
          <w:ilvl w:val="0"/>
          <w:numId w:val="3"/>
        </w:numPr>
        <w:spacing w:line="600" w:lineRule="exact"/>
        <w:ind w:firstLine="964" w:firstLineChars="300"/>
        <w:rPr>
          <w:rFonts w:hint="eastAsia" w:eastAsia="仿宋_GB2312" w:cs="仿宋_GB2312"/>
          <w:sz w:val="32"/>
          <w:szCs w:val="32"/>
        </w:rPr>
      </w:pPr>
      <w:r>
        <w:rPr>
          <w:rFonts w:hint="eastAsia" w:ascii="仿宋" w:hAnsi="仿宋" w:eastAsia="仿宋"/>
          <w:b/>
          <w:bCs/>
          <w:color w:val="000000"/>
          <w:sz w:val="32"/>
          <w:szCs w:val="32"/>
          <w:lang w:eastAsia="zh-CN"/>
        </w:rPr>
        <w:t>一般公共服务支出：</w:t>
      </w:r>
      <w:r>
        <w:rPr>
          <w:rFonts w:hint="eastAsia" w:eastAsia="仿宋_GB2312" w:cs="仿宋_GB2312"/>
          <w:sz w:val="32"/>
          <w:szCs w:val="32"/>
        </w:rPr>
        <w:t>行政运行（2081101）支出决算43.72万元，完成预算100%</w:t>
      </w:r>
      <w:r>
        <w:rPr>
          <w:rFonts w:hint="eastAsia" w:eastAsia="仿宋_GB2312" w:cs="仿宋_GB2312"/>
          <w:sz w:val="32"/>
          <w:szCs w:val="32"/>
          <w:lang w:eastAsia="zh-CN"/>
        </w:rPr>
        <w:t>，</w:t>
      </w:r>
      <w:r>
        <w:rPr>
          <w:rFonts w:hint="eastAsia" w:eastAsia="仿宋_GB2312" w:cs="仿宋_GB2312"/>
          <w:sz w:val="32"/>
          <w:szCs w:val="32"/>
        </w:rPr>
        <w:t xml:space="preserve">  一般行政管理事务（2081102）支出决算17.57万元，完成预算100%</w:t>
      </w:r>
      <w:r>
        <w:rPr>
          <w:rFonts w:hint="eastAsia" w:eastAsia="仿宋_GB2312" w:cs="仿宋_GB2312"/>
          <w:sz w:val="32"/>
          <w:szCs w:val="32"/>
          <w:lang w:eastAsia="zh-CN"/>
        </w:rPr>
        <w:t>，</w:t>
      </w:r>
      <w:r>
        <w:rPr>
          <w:rFonts w:hint="eastAsia" w:eastAsia="仿宋_GB2312" w:cs="仿宋_GB2312"/>
          <w:sz w:val="32"/>
          <w:szCs w:val="32"/>
        </w:rPr>
        <w:t>机关服务（2081103）支出决算68.25万元，完成预算100%</w:t>
      </w:r>
      <w:r>
        <w:rPr>
          <w:rFonts w:hint="eastAsia" w:eastAsia="仿宋_GB2312" w:cs="仿宋_GB2312"/>
          <w:sz w:val="32"/>
          <w:szCs w:val="32"/>
          <w:lang w:eastAsia="zh-CN"/>
        </w:rPr>
        <w:t>，</w:t>
      </w:r>
      <w:r>
        <w:rPr>
          <w:rFonts w:hint="eastAsia" w:eastAsia="仿宋_GB2312" w:cs="仿宋_GB2312"/>
          <w:sz w:val="32"/>
          <w:szCs w:val="32"/>
        </w:rPr>
        <w:t>残疾人康复支出（2081104）支出决算18.56万元</w:t>
      </w:r>
      <w:r>
        <w:rPr>
          <w:rFonts w:hint="eastAsia" w:eastAsia="仿宋_GB2312" w:cs="仿宋_GB2312"/>
          <w:sz w:val="32"/>
          <w:szCs w:val="32"/>
          <w:lang w:val="en-US" w:eastAsia="zh-CN"/>
        </w:rPr>
        <w:t xml:space="preserve"> ，</w:t>
      </w:r>
      <w:r>
        <w:rPr>
          <w:rFonts w:hint="eastAsia" w:eastAsia="仿宋_GB2312" w:cs="仿宋_GB2312"/>
          <w:sz w:val="32"/>
          <w:szCs w:val="32"/>
        </w:rPr>
        <w:t>残疾人就业（2081105）支出决算30.78万元，完成预算100%</w:t>
      </w:r>
      <w:r>
        <w:rPr>
          <w:rFonts w:hint="eastAsia" w:eastAsia="仿宋_GB2312" w:cs="仿宋_GB2312"/>
          <w:sz w:val="32"/>
          <w:szCs w:val="32"/>
          <w:lang w:eastAsia="zh-CN"/>
        </w:rPr>
        <w:t>，</w:t>
      </w:r>
      <w:r>
        <w:rPr>
          <w:rFonts w:hint="eastAsia" w:eastAsia="仿宋_GB2312" w:cs="仿宋_GB2312"/>
          <w:sz w:val="32"/>
          <w:szCs w:val="32"/>
        </w:rPr>
        <w:t xml:space="preserve"> 其他残疾人事业支出（2081199）支出决算105.32万元，完成预算100%。 </w:t>
      </w:r>
    </w:p>
    <w:p w14:paraId="4EBBBF99">
      <w:pPr>
        <w:numPr>
          <w:ilvl w:val="0"/>
          <w:numId w:val="3"/>
        </w:numPr>
        <w:spacing w:line="600" w:lineRule="exact"/>
        <w:ind w:firstLine="964" w:firstLineChars="300"/>
        <w:rPr>
          <w:rFonts w:hint="eastAsia" w:eastAsia="仿宋_GB2312" w:cs="仿宋_GB2312"/>
          <w:sz w:val="32"/>
          <w:szCs w:val="32"/>
        </w:rPr>
      </w:pPr>
      <w:r>
        <w:rPr>
          <w:rFonts w:ascii="仿宋" w:hAnsi="仿宋" w:eastAsia="仿宋"/>
          <w:b/>
          <w:bCs/>
          <w:color w:val="000000"/>
          <w:sz w:val="32"/>
          <w:szCs w:val="32"/>
        </w:rPr>
        <w:t xml:space="preserve">  </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eastAsia="仿宋_GB2312" w:cs="仿宋_GB2312"/>
          <w:sz w:val="32"/>
          <w:szCs w:val="32"/>
        </w:rPr>
        <w:t>行政单位医疗（2101101）支出决算2.74万元，完成预算100%</w:t>
      </w:r>
      <w:r>
        <w:rPr>
          <w:rFonts w:hint="eastAsia" w:eastAsia="仿宋_GB2312" w:cs="仿宋_GB2312"/>
          <w:sz w:val="32"/>
          <w:szCs w:val="32"/>
          <w:lang w:eastAsia="zh-CN"/>
        </w:rPr>
        <w:t>，</w:t>
      </w:r>
      <w:r>
        <w:rPr>
          <w:rFonts w:hint="eastAsia" w:eastAsia="仿宋_GB2312" w:cs="仿宋_GB2312"/>
          <w:sz w:val="32"/>
          <w:szCs w:val="32"/>
        </w:rPr>
        <w:t>事业单位医疗（2101102）支出决算4.42万元，完成预算100%</w:t>
      </w:r>
      <w:r>
        <w:rPr>
          <w:rFonts w:hint="eastAsia" w:eastAsia="仿宋_GB2312" w:cs="仿宋_GB2312"/>
          <w:sz w:val="32"/>
          <w:szCs w:val="32"/>
          <w:lang w:eastAsia="zh-CN"/>
        </w:rPr>
        <w:t>，</w:t>
      </w:r>
      <w:r>
        <w:rPr>
          <w:rFonts w:hint="eastAsia" w:eastAsia="仿宋_GB2312" w:cs="仿宋_GB2312"/>
          <w:sz w:val="32"/>
          <w:szCs w:val="32"/>
        </w:rPr>
        <w:t>公务员医疗补助（2101103）支出决算0.66万元，完成预算100%</w:t>
      </w:r>
      <w:r>
        <w:rPr>
          <w:rFonts w:hint="eastAsia" w:eastAsia="仿宋_GB2312" w:cs="仿宋_GB2312"/>
          <w:sz w:val="32"/>
          <w:szCs w:val="32"/>
          <w:lang w:eastAsia="zh-CN"/>
        </w:rPr>
        <w:t>，</w:t>
      </w:r>
      <w:r>
        <w:rPr>
          <w:rFonts w:hint="eastAsia" w:eastAsia="仿宋_GB2312" w:cs="仿宋_GB2312"/>
          <w:sz w:val="32"/>
          <w:szCs w:val="32"/>
        </w:rPr>
        <w:t xml:space="preserve">其他行政事业单位医疗支出（2101199）支出决算0.88万元，完成预算100%。  </w:t>
      </w:r>
    </w:p>
    <w:p w14:paraId="0A997763">
      <w:pPr>
        <w:numPr>
          <w:ilvl w:val="0"/>
          <w:numId w:val="3"/>
        </w:numPr>
        <w:spacing w:line="600" w:lineRule="exact"/>
        <w:ind w:firstLine="964" w:firstLineChars="300"/>
        <w:rPr>
          <w:rFonts w:hint="eastAsia" w:eastAsia="仿宋_GB2312" w:cs="仿宋_GB2312"/>
          <w:sz w:val="32"/>
          <w:szCs w:val="32"/>
        </w:rPr>
      </w:pPr>
      <w:r>
        <w:rPr>
          <w:rFonts w:ascii="仿宋" w:hAnsi="仿宋" w:eastAsia="仿宋"/>
          <w:b/>
          <w:bCs/>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w:t>
      </w:r>
      <w:r>
        <w:rPr>
          <w:rFonts w:hint="eastAsia" w:eastAsia="仿宋_GB2312" w:cs="仿宋_GB2312"/>
          <w:sz w:val="32"/>
          <w:szCs w:val="32"/>
        </w:rPr>
        <w:t>住房公积金（2210201）支出决算11.85万元，完成预算100%。</w:t>
      </w:r>
    </w:p>
    <w:p w14:paraId="0C74AD0A">
      <w:pPr>
        <w:tabs>
          <w:tab w:val="right" w:pos="8306"/>
        </w:tabs>
        <w:spacing w:line="600" w:lineRule="exact"/>
        <w:ind w:firstLine="640"/>
        <w:outlineLvl w:val="1"/>
        <w:rPr>
          <w:rStyle w:val="32"/>
          <w:rFonts w:ascii="Times New Roman" w:hAnsi="Times New Roman"/>
        </w:rPr>
      </w:pPr>
      <w:bookmarkStart w:id="26" w:name="_Toc15377214"/>
      <w:bookmarkStart w:id="27" w:name="_Toc15396608"/>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26"/>
      <w:bookmarkEnd w:id="27"/>
      <w:r>
        <w:rPr>
          <w:rStyle w:val="32"/>
          <w:rFonts w:ascii="Times New Roman" w:hAnsi="Times New Roman" w:eastAsia="黑体"/>
          <w:b w:val="0"/>
        </w:rPr>
        <w:tab/>
      </w:r>
    </w:p>
    <w:p w14:paraId="1628A724">
      <w:pPr>
        <w:numPr>
          <w:ilvl w:val="0"/>
          <w:numId w:val="3"/>
        </w:numPr>
        <w:spacing w:line="600" w:lineRule="exact"/>
        <w:ind w:firstLine="960" w:firstLineChars="300"/>
        <w:rPr>
          <w:rFonts w:hint="eastAsia" w:eastAsia="仿宋_GB2312" w:cs="仿宋_GB2312"/>
          <w:sz w:val="32"/>
          <w:szCs w:val="32"/>
        </w:rPr>
      </w:pPr>
      <w:r>
        <w:rPr>
          <w:rFonts w:hint="eastAsia" w:eastAsia="仿宋_GB2312" w:cs="仿宋_GB2312"/>
          <w:sz w:val="32"/>
          <w:szCs w:val="32"/>
        </w:rPr>
        <w:t>2024年度一般公共预算财政拨款基本支出153.84万元，其中：</w:t>
      </w:r>
    </w:p>
    <w:p w14:paraId="0A334A77">
      <w:pPr>
        <w:numPr>
          <w:ilvl w:val="0"/>
          <w:numId w:val="3"/>
        </w:numPr>
        <w:spacing w:line="600" w:lineRule="exact"/>
        <w:ind w:firstLine="960" w:firstLineChars="300"/>
        <w:rPr>
          <w:rFonts w:hint="eastAsia" w:eastAsia="仿宋_GB2312" w:cs="仿宋_GB2312"/>
          <w:sz w:val="32"/>
          <w:szCs w:val="32"/>
        </w:rPr>
      </w:pPr>
      <w:r>
        <w:rPr>
          <w:rFonts w:hint="eastAsia" w:eastAsia="仿宋_GB2312" w:cs="仿宋_GB2312"/>
          <w:sz w:val="32"/>
          <w:szCs w:val="32"/>
        </w:rPr>
        <w:t>人员经费144.05万元，主要包括：基本工资25.4万元、津贴补贴32.2万元、机关事业单位基本养老保险缴费14.2万元、职业年金缴费7.1万元、职工基本医疗保险缴费7.16万元、公务员医疗补助缴费1.54万元、其他社会保障缴费0.47万元、住房公积金11.85万元、生活补助1万元、奖金30.9万元、绩效工资12.22万元。</w:t>
      </w:r>
    </w:p>
    <w:p w14:paraId="195700FE">
      <w:pPr>
        <w:numPr>
          <w:ilvl w:val="0"/>
          <w:numId w:val="3"/>
        </w:numPr>
        <w:spacing w:line="600" w:lineRule="exact"/>
        <w:ind w:firstLine="900" w:firstLineChars="300"/>
        <w:rPr>
          <w:rFonts w:hint="eastAsia" w:eastAsia="仿宋_GB2312" w:cs="仿宋_GB2312"/>
          <w:sz w:val="30"/>
          <w:szCs w:val="30"/>
        </w:rPr>
      </w:pPr>
      <w:r>
        <w:rPr>
          <w:rFonts w:hint="eastAsia" w:eastAsia="仿宋_GB2312" w:cs="仿宋_GB2312"/>
          <w:sz w:val="30"/>
          <w:szCs w:val="30"/>
        </w:rPr>
        <w:t>公用经费9.79万元，主要包括：办公费2.47万元、水费0.06万元，电费1.5万元、差旅费1.46万元、工会经费1.08万元、公务用车运行维护费2.07万元、邮电费1.01万元、委托业务费0.1万元。</w:t>
      </w:r>
    </w:p>
    <w:p w14:paraId="699B2102">
      <w:pPr>
        <w:spacing w:line="600" w:lineRule="exact"/>
        <w:ind w:firstLine="640"/>
        <w:outlineLvl w:val="1"/>
        <w:rPr>
          <w:rStyle w:val="32"/>
          <w:rFonts w:ascii="Times New Roman" w:hAnsi="Times New Roman" w:eastAsia="黑体"/>
          <w:b w:val="0"/>
        </w:rPr>
      </w:pPr>
      <w:bookmarkStart w:id="28" w:name="_Toc15396609"/>
      <w:bookmarkStart w:id="29" w:name="_Toc15377215"/>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28"/>
      <w:bookmarkEnd w:id="29"/>
    </w:p>
    <w:p w14:paraId="1813D50E">
      <w:pPr>
        <w:spacing w:line="600" w:lineRule="exact"/>
        <w:ind w:firstLine="643" w:firstLineChars="200"/>
        <w:outlineLvl w:val="2"/>
        <w:rPr>
          <w:rFonts w:eastAsia="楷体_GB2312" w:cs="楷体_GB2312"/>
          <w:b/>
          <w:sz w:val="32"/>
          <w:szCs w:val="32"/>
        </w:rPr>
      </w:pPr>
      <w:bookmarkStart w:id="30" w:name="_Toc15377216"/>
      <w:r>
        <w:rPr>
          <w:rFonts w:hint="eastAsia" w:eastAsia="楷体_GB2312" w:cs="楷体_GB2312"/>
          <w:b/>
          <w:sz w:val="32"/>
          <w:szCs w:val="32"/>
        </w:rPr>
        <w:t>（一）“三公”经费财政拨款支出决算总体情况说明</w:t>
      </w:r>
      <w:bookmarkEnd w:id="30"/>
    </w:p>
    <w:p w14:paraId="354F60C4">
      <w:pPr>
        <w:numPr>
          <w:ilvl w:val="0"/>
          <w:numId w:val="3"/>
        </w:numPr>
        <w:spacing w:line="600" w:lineRule="exact"/>
        <w:ind w:firstLine="900" w:firstLineChars="300"/>
        <w:rPr>
          <w:rFonts w:hint="eastAsia" w:eastAsia="仿宋_GB2312" w:cs="仿宋_GB2312"/>
          <w:sz w:val="30"/>
          <w:szCs w:val="30"/>
        </w:rPr>
      </w:pPr>
      <w:r>
        <w:rPr>
          <w:rFonts w:hint="eastAsia" w:eastAsia="仿宋_GB2312" w:cs="仿宋_GB2312"/>
          <w:sz w:val="30"/>
          <w:szCs w:val="30"/>
        </w:rPr>
        <w:t>2024年度“三公”经费财政拨款支出决算为2.07万元，完成预算</w:t>
      </w:r>
      <w:r>
        <w:rPr>
          <w:rFonts w:hint="eastAsia" w:eastAsia="仿宋_GB2312" w:cs="仿宋_GB2312"/>
          <w:sz w:val="30"/>
          <w:szCs w:val="30"/>
          <w:lang w:val="en-US" w:eastAsia="zh-CN"/>
        </w:rPr>
        <w:t>100</w:t>
      </w:r>
      <w:r>
        <w:rPr>
          <w:rFonts w:hint="eastAsia" w:eastAsia="仿宋_GB2312" w:cs="仿宋_GB2312"/>
          <w:sz w:val="30"/>
          <w:szCs w:val="30"/>
        </w:rPr>
        <w:t>%，较上年度减少</w:t>
      </w:r>
      <w:r>
        <w:rPr>
          <w:rFonts w:hint="eastAsia" w:eastAsia="仿宋_GB2312" w:cs="仿宋_GB2312"/>
          <w:sz w:val="30"/>
          <w:szCs w:val="30"/>
          <w:lang w:val="en-US" w:eastAsia="zh-CN"/>
        </w:rPr>
        <w:t>2.63</w:t>
      </w:r>
      <w:r>
        <w:rPr>
          <w:rFonts w:hint="eastAsia" w:eastAsia="仿宋_GB2312" w:cs="仿宋_GB2312"/>
          <w:sz w:val="30"/>
          <w:szCs w:val="30"/>
        </w:rPr>
        <w:t>万元，下降</w:t>
      </w:r>
      <w:r>
        <w:rPr>
          <w:rFonts w:hint="eastAsia" w:eastAsia="仿宋_GB2312" w:cs="仿宋_GB2312"/>
          <w:sz w:val="30"/>
          <w:szCs w:val="30"/>
          <w:lang w:val="en-US" w:eastAsia="zh-CN"/>
        </w:rPr>
        <w:t>44</w:t>
      </w:r>
      <w:r>
        <w:rPr>
          <w:rFonts w:hint="eastAsia" w:eastAsia="仿宋_GB2312" w:cs="仿宋_GB2312"/>
          <w:sz w:val="30"/>
          <w:szCs w:val="30"/>
        </w:rPr>
        <w:t>%</w:t>
      </w:r>
      <w:r>
        <w:rPr>
          <w:rFonts w:hint="eastAsia" w:eastAsia="仿宋_GB2312" w:cs="仿宋_GB2312"/>
          <w:sz w:val="30"/>
          <w:szCs w:val="30"/>
          <w:lang w:eastAsia="zh-CN"/>
        </w:rPr>
        <w:t>。</w:t>
      </w:r>
    </w:p>
    <w:p w14:paraId="7A098B8D">
      <w:pPr>
        <w:spacing w:line="600" w:lineRule="exact"/>
        <w:ind w:firstLine="643" w:firstLineChars="200"/>
        <w:outlineLvl w:val="2"/>
        <w:rPr>
          <w:rFonts w:eastAsia="楷体_GB2312" w:cs="楷体_GB2312"/>
          <w:b/>
          <w:sz w:val="32"/>
          <w:szCs w:val="32"/>
        </w:rPr>
      </w:pPr>
      <w:bookmarkStart w:id="31" w:name="_Toc15377217"/>
      <w:r>
        <w:rPr>
          <w:rFonts w:hint="eastAsia" w:eastAsia="楷体_GB2312" w:cs="楷体_GB2312"/>
          <w:b/>
          <w:sz w:val="32"/>
          <w:szCs w:val="32"/>
        </w:rPr>
        <w:t>（二）“三公”经费财政拨款支出决算具体情况说明</w:t>
      </w:r>
      <w:bookmarkEnd w:id="31"/>
    </w:p>
    <w:p w14:paraId="757B79B2">
      <w:pPr>
        <w:numPr>
          <w:ilvl w:val="0"/>
          <w:numId w:val="3"/>
        </w:numPr>
        <w:spacing w:line="600" w:lineRule="exact"/>
        <w:ind w:firstLine="900" w:firstLineChars="300"/>
        <w:rPr>
          <w:rFonts w:hint="eastAsia" w:eastAsia="仿宋_GB2312" w:cs="仿宋_GB2312"/>
          <w:sz w:val="30"/>
          <w:szCs w:val="30"/>
        </w:rPr>
      </w:pPr>
      <w:r>
        <w:rPr>
          <w:rFonts w:hint="eastAsia" w:eastAsia="仿宋_GB2312" w:cs="仿宋_GB2312"/>
          <w:sz w:val="30"/>
          <w:szCs w:val="30"/>
        </w:rPr>
        <w:t>2024年度“三公”经费财政拨款支出决算中，因公出国（境）费支出决算0万元，占</w:t>
      </w:r>
      <w:r>
        <w:rPr>
          <w:rFonts w:hint="eastAsia" w:eastAsia="仿宋_GB2312" w:cs="仿宋_GB2312"/>
          <w:sz w:val="30"/>
          <w:szCs w:val="30"/>
          <w:lang w:val="en-US" w:eastAsia="zh-CN"/>
        </w:rPr>
        <w:t>0</w:t>
      </w:r>
      <w:r>
        <w:rPr>
          <w:rFonts w:hint="eastAsia" w:eastAsia="仿宋_GB2312" w:cs="仿宋_GB2312"/>
          <w:sz w:val="30"/>
          <w:szCs w:val="30"/>
        </w:rPr>
        <w:t>%；公务用车购置及运行维护费支出决算2.07万元，占</w:t>
      </w:r>
      <w:r>
        <w:rPr>
          <w:rFonts w:hint="eastAsia" w:eastAsia="仿宋_GB2312" w:cs="仿宋_GB2312"/>
          <w:sz w:val="30"/>
          <w:szCs w:val="30"/>
          <w:lang w:val="en-US" w:eastAsia="zh-CN"/>
        </w:rPr>
        <w:t>100</w:t>
      </w:r>
      <w:r>
        <w:rPr>
          <w:rFonts w:hint="eastAsia" w:eastAsia="仿宋_GB2312" w:cs="仿宋_GB2312"/>
          <w:sz w:val="30"/>
          <w:szCs w:val="30"/>
        </w:rPr>
        <w:t>%；公务接待费支出决算0万元，占</w:t>
      </w:r>
      <w:r>
        <w:rPr>
          <w:rFonts w:hint="eastAsia" w:eastAsia="仿宋_GB2312" w:cs="仿宋_GB2312"/>
          <w:sz w:val="30"/>
          <w:szCs w:val="30"/>
          <w:lang w:val="en-US" w:eastAsia="zh-CN"/>
        </w:rPr>
        <w:t>0</w:t>
      </w:r>
      <w:r>
        <w:rPr>
          <w:rFonts w:hint="eastAsia" w:eastAsia="仿宋_GB2312" w:cs="仿宋_GB2312"/>
          <w:sz w:val="30"/>
          <w:szCs w:val="30"/>
        </w:rPr>
        <w:t>%。具体情况如下：</w:t>
      </w:r>
    </w:p>
    <w:p w14:paraId="150D2562">
      <w:pPr>
        <w:ind w:left="958" w:leftChars="304" w:hanging="320" w:hangingChars="100"/>
        <w:rPr>
          <w:rFonts w:hint="eastAsia" w:ascii="仿宋" w:hAnsi="仿宋" w:eastAsia="仿宋"/>
          <w:color w:val="000000"/>
          <w:sz w:val="32"/>
          <w:szCs w:val="32"/>
        </w:rPr>
      </w:pPr>
    </w:p>
    <w:p w14:paraId="365237DA">
      <w:pPr>
        <w:ind w:left="958" w:leftChars="304" w:hanging="320" w:hangingChars="100"/>
        <w:rPr>
          <w:rFonts w:hint="eastAsia" w:ascii="仿宋" w:hAnsi="仿宋" w:eastAsia="仿宋"/>
          <w:color w:val="000000"/>
          <w:sz w:val="32"/>
          <w:szCs w:val="32"/>
        </w:rPr>
      </w:pPr>
    </w:p>
    <w:p w14:paraId="2CBB9CB3">
      <w:pPr>
        <w:ind w:left="958" w:leftChars="304" w:hanging="320" w:hangingChars="100"/>
        <w:rPr>
          <w:rFonts w:hint="eastAsia" w:ascii="仿宋" w:hAnsi="仿宋" w:eastAsia="仿宋"/>
          <w:color w:val="000000"/>
          <w:sz w:val="32"/>
          <w:szCs w:val="32"/>
        </w:rPr>
      </w:pPr>
    </w:p>
    <w:p w14:paraId="0F5397FC">
      <w:pPr>
        <w:ind w:left="958" w:leftChars="304" w:hanging="320" w:hangingChars="100"/>
        <w:rPr>
          <w:rFonts w:ascii="仿宋" w:hAnsi="仿宋" w:eastAsia="仿宋"/>
          <w:color w:val="000000"/>
          <w:sz w:val="32"/>
          <w:szCs w:val="32"/>
        </w:rPr>
      </w:pPr>
      <w:r>
        <w:rPr>
          <w:rFonts w:hint="eastAsia" w:ascii="仿宋" w:hAnsi="仿宋" w:eastAsia="仿宋"/>
          <w:color w:val="000000"/>
          <w:sz w:val="32"/>
          <w:szCs w:val="32"/>
        </w:rPr>
        <w:object>
          <v:shape id="_x0000_i1031" o:spt="75" type="#_x0000_t75" style="height:222.75pt;width:330.75pt;" o:ole="t" filled="f" o:preferrelative="t" stroked="f" coordsize="21600,21600">
            <v:path/>
            <v:fill on="f" focussize="0,0"/>
            <v:stroke on="f"/>
            <v:imagedata r:id="rId23" o:title=""/>
            <o:lock v:ext="edit" aspectratio="t"/>
            <w10:wrap type="none"/>
            <w10:anchorlock/>
          </v:shape>
          <o:OLEObject Type="Embed" ProgID="Excel.Chart.8" ShapeID="_x0000_i1031" DrawAspect="Content" ObjectID="_1468075731" r:id="rId22">
            <o:LockedField>false</o:LockedField>
          </o:OLEObject>
        </w:object>
      </w:r>
      <w:r>
        <w:rPr>
          <w:rFonts w:hint="eastAsia" w:ascii="仿宋" w:hAnsi="仿宋" w:eastAsia="仿宋"/>
          <w:color w:val="000000"/>
          <w:sz w:val="32"/>
          <w:szCs w:val="32"/>
        </w:rPr>
        <w:t xml:space="preserve">        （图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00D0BED4">
      <w:pPr>
        <w:spacing w:line="600" w:lineRule="exact"/>
        <w:ind w:firstLine="640"/>
        <w:rPr>
          <w:rFonts w:hint="default" w:eastAsia="仿宋_GB2312" w:cs="仿宋_GB2312"/>
          <w:sz w:val="30"/>
          <w:szCs w:val="30"/>
          <w:lang w:val="en-US"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r>
        <w:rPr>
          <w:rFonts w:hint="eastAsia" w:eastAsia="仿宋_GB2312" w:cs="仿宋_GB2312"/>
          <w:b/>
          <w:bCs/>
          <w:sz w:val="32"/>
          <w:szCs w:val="32"/>
          <w:lang w:eastAsia="zh-CN"/>
        </w:rPr>
        <w:t>，</w:t>
      </w:r>
      <w:r>
        <w:rPr>
          <w:rFonts w:hint="eastAsia" w:eastAsia="仿宋_GB2312" w:cs="仿宋_GB2312"/>
          <w:b/>
          <w:bCs/>
          <w:sz w:val="32"/>
          <w:szCs w:val="32"/>
          <w:lang w:val="en-US" w:eastAsia="zh-CN"/>
        </w:rPr>
        <w:t>2024年我单位无此项经费支出。</w:t>
      </w:r>
    </w:p>
    <w:p w14:paraId="48D6B810">
      <w:pPr>
        <w:spacing w:line="600" w:lineRule="exact"/>
        <w:ind w:firstLine="640"/>
        <w:rPr>
          <w:rFonts w:hint="eastAsia" w:eastAsia="仿宋_GB2312" w:cs="仿宋_GB2312"/>
          <w:sz w:val="30"/>
          <w:szCs w:val="30"/>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2.07万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0"/>
          <w:szCs w:val="30"/>
        </w:rPr>
        <w:t>公务用车购置及运行维护费支出决算比2023年度减少</w:t>
      </w:r>
      <w:r>
        <w:rPr>
          <w:rFonts w:hint="eastAsia" w:eastAsia="仿宋_GB2312" w:cs="仿宋_GB2312"/>
          <w:sz w:val="30"/>
          <w:szCs w:val="30"/>
          <w:lang w:val="en-US" w:eastAsia="zh-CN"/>
        </w:rPr>
        <w:t>2.63</w:t>
      </w:r>
      <w:r>
        <w:rPr>
          <w:rFonts w:hint="eastAsia" w:eastAsia="仿宋_GB2312" w:cs="仿宋_GB2312"/>
          <w:sz w:val="30"/>
          <w:szCs w:val="30"/>
        </w:rPr>
        <w:t>万元，下降</w:t>
      </w:r>
      <w:r>
        <w:rPr>
          <w:rFonts w:hint="eastAsia" w:eastAsia="仿宋_GB2312" w:cs="仿宋_GB2312"/>
          <w:sz w:val="30"/>
          <w:szCs w:val="30"/>
          <w:lang w:val="en-US" w:eastAsia="zh-CN"/>
        </w:rPr>
        <w:t>44</w:t>
      </w:r>
      <w:r>
        <w:rPr>
          <w:rFonts w:hint="eastAsia" w:eastAsia="仿宋_GB2312" w:cs="仿宋_GB2312"/>
          <w:sz w:val="30"/>
          <w:szCs w:val="30"/>
        </w:rPr>
        <w:t>%。主要原因是</w:t>
      </w:r>
      <w:r>
        <w:rPr>
          <w:rFonts w:hint="eastAsia" w:eastAsia="仿宋_GB2312" w:cs="仿宋_GB2312"/>
          <w:sz w:val="30"/>
          <w:szCs w:val="30"/>
          <w:lang w:eastAsia="zh-CN"/>
        </w:rPr>
        <w:t>今年我单位公务用车运行维护支出减少。</w:t>
      </w:r>
    </w:p>
    <w:p w14:paraId="233EB229">
      <w:pPr>
        <w:spacing w:line="600" w:lineRule="exact"/>
        <w:ind w:firstLine="640"/>
        <w:rPr>
          <w:rFonts w:hint="eastAsia" w:eastAsia="仿宋_GB2312" w:cs="仿宋_GB2312"/>
          <w:sz w:val="30"/>
          <w:szCs w:val="30"/>
        </w:rPr>
      </w:pPr>
      <w:r>
        <w:rPr>
          <w:rFonts w:hint="eastAsia" w:eastAsia="仿宋_GB2312" w:cs="仿宋_GB2312"/>
          <w:sz w:val="30"/>
          <w:szCs w:val="30"/>
        </w:rPr>
        <w:t>公务用车运行维护费支出2.07万元。主要用于</w:t>
      </w:r>
      <w:r>
        <w:rPr>
          <w:rFonts w:hint="eastAsia" w:eastAsia="仿宋_GB2312" w:cs="仿宋_GB2312"/>
          <w:sz w:val="30"/>
          <w:szCs w:val="30"/>
          <w:lang w:eastAsia="zh-CN"/>
        </w:rPr>
        <w:t>下乡、出差等</w:t>
      </w:r>
      <w:r>
        <w:rPr>
          <w:rFonts w:hint="eastAsia" w:eastAsia="仿宋_GB2312" w:cs="仿宋_GB2312"/>
          <w:sz w:val="30"/>
          <w:szCs w:val="30"/>
        </w:rPr>
        <w:t>所需的公务用车燃料费、维修费、过路过桥费、保险费等支出。</w:t>
      </w:r>
    </w:p>
    <w:p w14:paraId="009C19D4">
      <w:pPr>
        <w:spacing w:line="600" w:lineRule="exact"/>
        <w:ind w:firstLine="640"/>
        <w:rPr>
          <w:rFonts w:hint="default" w:eastAsia="仿宋_GB2312" w:cs="仿宋_GB2312"/>
          <w:sz w:val="30"/>
          <w:szCs w:val="30"/>
          <w:lang w:val="en-US" w:eastAsia="zh-CN"/>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w:t>
      </w:r>
      <w:bookmarkStart w:id="32" w:name="_Toc15377218"/>
      <w:bookmarkStart w:id="33" w:name="_Toc15396610"/>
      <w:r>
        <w:rPr>
          <w:rFonts w:hint="eastAsia" w:eastAsia="仿宋_GB2312" w:cs="仿宋_GB2312"/>
          <w:b/>
          <w:bCs/>
          <w:sz w:val="32"/>
          <w:szCs w:val="32"/>
          <w:lang w:val="en-US" w:eastAsia="zh-CN"/>
        </w:rPr>
        <w:t>2024年我单位无此项经费支出。</w:t>
      </w:r>
    </w:p>
    <w:p w14:paraId="30B937B5">
      <w:pPr>
        <w:spacing w:line="600" w:lineRule="exact"/>
        <w:outlineLvl w:val="1"/>
        <w:rPr>
          <w:rStyle w:val="32"/>
          <w:rFonts w:ascii="Times New Roman" w:hAnsi="Times New Roman" w:eastAsia="黑体"/>
        </w:rPr>
      </w:pPr>
      <w:r>
        <w:rPr>
          <w:rFonts w:hint="eastAsia" w:eastAsia="黑体"/>
          <w:sz w:val="32"/>
          <w:szCs w:val="32"/>
        </w:rPr>
        <w:t>八、</w:t>
      </w:r>
      <w:r>
        <w:rPr>
          <w:rStyle w:val="32"/>
          <w:rFonts w:hint="eastAsia" w:ascii="Times New Roman" w:hAnsi="Times New Roman" w:eastAsia="黑体"/>
          <w:b w:val="0"/>
        </w:rPr>
        <w:t>政府性基金预算支出决算情况说明</w:t>
      </w:r>
      <w:bookmarkEnd w:id="32"/>
      <w:bookmarkEnd w:id="33"/>
    </w:p>
    <w:p w14:paraId="5DE8DBCD">
      <w:pPr>
        <w:spacing w:line="600" w:lineRule="exact"/>
        <w:ind w:firstLine="640"/>
        <w:rPr>
          <w:rFonts w:eastAsia="仿宋_GB2312" w:cs="仿宋_GB2312"/>
          <w:sz w:val="32"/>
          <w:szCs w:val="32"/>
        </w:rPr>
      </w:pPr>
      <w:r>
        <w:rPr>
          <w:rFonts w:hint="eastAsia" w:eastAsia="仿宋_GB2312" w:cs="仿宋_GB2312"/>
          <w:sz w:val="30"/>
          <w:szCs w:val="30"/>
        </w:rPr>
        <w:t>2024年度政府性基金预算财政拨款支出14.14万元，占本年支出合计的4.15%。与2023年度相比，政府性基金预算财政拨款支出增加</w:t>
      </w:r>
      <w:r>
        <w:rPr>
          <w:rFonts w:hint="eastAsia" w:eastAsia="仿宋_GB2312" w:cs="仿宋_GB2312"/>
          <w:sz w:val="30"/>
          <w:szCs w:val="30"/>
          <w:lang w:val="en-US" w:eastAsia="zh-CN"/>
        </w:rPr>
        <w:t>0.61</w:t>
      </w:r>
      <w:r>
        <w:rPr>
          <w:rFonts w:hint="eastAsia" w:eastAsia="仿宋_GB2312" w:cs="仿宋_GB2312"/>
          <w:sz w:val="30"/>
          <w:szCs w:val="30"/>
        </w:rPr>
        <w:t>万元，增长</w:t>
      </w:r>
      <w:r>
        <w:rPr>
          <w:rFonts w:hint="eastAsia" w:eastAsia="仿宋_GB2312" w:cs="仿宋_GB2312"/>
          <w:sz w:val="30"/>
          <w:szCs w:val="30"/>
          <w:lang w:val="en-US" w:eastAsia="zh-CN"/>
        </w:rPr>
        <w:t>4</w:t>
      </w:r>
      <w:r>
        <w:rPr>
          <w:rFonts w:hint="eastAsia" w:eastAsia="仿宋_GB2312" w:cs="仿宋_GB2312"/>
          <w:sz w:val="30"/>
          <w:szCs w:val="30"/>
        </w:rPr>
        <w:t>%。</w:t>
      </w:r>
    </w:p>
    <w:p w14:paraId="668A211D">
      <w:pPr>
        <w:spacing w:line="600" w:lineRule="exact"/>
        <w:ind w:left="630"/>
        <w:outlineLvl w:val="1"/>
        <w:rPr>
          <w:rStyle w:val="32"/>
          <w:rFonts w:ascii="Times New Roman" w:hAnsi="Times New Roman" w:eastAsia="黑体"/>
          <w:b w:val="0"/>
        </w:rPr>
      </w:pPr>
      <w:bookmarkStart w:id="34" w:name="_Toc15377219"/>
      <w:bookmarkStart w:id="35" w:name="_Toc15396611"/>
      <w:r>
        <w:rPr>
          <w:rStyle w:val="32"/>
          <w:rFonts w:hint="eastAsia" w:ascii="Times New Roman" w:hAnsi="Times New Roman" w:eastAsia="黑体"/>
          <w:b w:val="0"/>
        </w:rPr>
        <w:t>九、国有资本经营预算支出决算情况说明</w:t>
      </w:r>
      <w:bookmarkEnd w:id="34"/>
      <w:bookmarkEnd w:id="35"/>
    </w:p>
    <w:p w14:paraId="36723733">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w:t>
      </w:r>
      <w:r>
        <w:rPr>
          <w:rFonts w:hint="eastAsia" w:eastAsia="仿宋_GB2312" w:cs="仿宋_GB2312"/>
          <w:b/>
          <w:bCs/>
          <w:sz w:val="32"/>
          <w:szCs w:val="32"/>
          <w:lang w:val="en-US" w:eastAsia="zh-CN"/>
        </w:rPr>
        <w:t>2</w:t>
      </w:r>
      <w:r>
        <w:rPr>
          <w:rFonts w:hint="eastAsia" w:eastAsia="仿宋_GB2312" w:cs="仿宋_GB2312"/>
          <w:sz w:val="32"/>
          <w:szCs w:val="32"/>
          <w:lang w:val="en-US" w:eastAsia="zh-CN"/>
        </w:rPr>
        <w:t>024年我单位无此项经费支出。</w:t>
      </w:r>
    </w:p>
    <w:p w14:paraId="368251C7">
      <w:pPr>
        <w:spacing w:line="600" w:lineRule="exact"/>
        <w:ind w:left="630"/>
        <w:outlineLvl w:val="1"/>
        <w:rPr>
          <w:rStyle w:val="32"/>
          <w:rFonts w:ascii="Times New Roman" w:hAnsi="Times New Roman" w:eastAsia="黑体"/>
          <w:b w:val="0"/>
        </w:rPr>
      </w:pPr>
      <w:bookmarkStart w:id="36" w:name="_Toc15396612"/>
      <w:bookmarkStart w:id="37" w:name="_Toc15377221"/>
      <w:r>
        <w:rPr>
          <w:rStyle w:val="32"/>
          <w:rFonts w:hint="eastAsia" w:ascii="Times New Roman" w:hAnsi="Times New Roman" w:eastAsia="黑体"/>
          <w:b w:val="0"/>
        </w:rPr>
        <w:t>十、其他重要事项的情况说明</w:t>
      </w:r>
      <w:bookmarkEnd w:id="36"/>
      <w:bookmarkEnd w:id="37"/>
    </w:p>
    <w:p w14:paraId="4FB3DEC3">
      <w:pPr>
        <w:spacing w:line="600" w:lineRule="exact"/>
        <w:ind w:firstLine="643" w:firstLineChars="200"/>
        <w:outlineLvl w:val="2"/>
        <w:rPr>
          <w:rFonts w:eastAsia="楷体_GB2312" w:cs="楷体_GB2312"/>
          <w:b/>
          <w:sz w:val="32"/>
          <w:szCs w:val="32"/>
        </w:rPr>
      </w:pPr>
      <w:bookmarkStart w:id="38" w:name="_Toc15377222"/>
      <w:r>
        <w:rPr>
          <w:rFonts w:hint="eastAsia" w:eastAsia="楷体_GB2312" w:cs="楷体_GB2312"/>
          <w:b/>
          <w:sz w:val="32"/>
          <w:szCs w:val="32"/>
        </w:rPr>
        <w:t>（一）机关运行经费支出情况</w:t>
      </w:r>
      <w:bookmarkEnd w:id="38"/>
    </w:p>
    <w:p w14:paraId="166C2DB2">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，红原县残疾人联合会机关运行经费支出3.79万</w:t>
      </w:r>
      <w:r>
        <w:rPr>
          <w:rFonts w:hint="eastAsia" w:eastAsia="仿宋_GB2312" w:cs="仿宋_GB2312"/>
          <w:sz w:val="32"/>
          <w:szCs w:val="32"/>
        </w:rPr>
        <w:t>元，比2023年度减少</w:t>
      </w:r>
      <w:r>
        <w:rPr>
          <w:rFonts w:hint="eastAsia" w:eastAsia="仿宋_GB2312" w:cs="仿宋_GB2312"/>
          <w:sz w:val="32"/>
          <w:szCs w:val="32"/>
          <w:lang w:val="en-US" w:eastAsia="zh-CN"/>
        </w:rPr>
        <w:t>13.68</w:t>
      </w:r>
      <w:r>
        <w:rPr>
          <w:rFonts w:hint="eastAsia" w:eastAsia="仿宋_GB2312" w:cs="仿宋_GB2312"/>
          <w:sz w:val="32"/>
          <w:szCs w:val="32"/>
        </w:rPr>
        <w:t>万元，下降</w:t>
      </w:r>
      <w:r>
        <w:rPr>
          <w:rFonts w:hint="eastAsia" w:eastAsia="仿宋_GB2312" w:cs="仿宋_GB2312"/>
          <w:sz w:val="32"/>
          <w:szCs w:val="32"/>
          <w:lang w:val="en-US" w:eastAsia="zh-CN"/>
        </w:rPr>
        <w:t>78</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主要原因是</w:t>
      </w:r>
      <w:r>
        <w:rPr>
          <w:rFonts w:hint="eastAsia" w:ascii="仿宋" w:hAnsi="仿宋" w:eastAsia="仿宋"/>
          <w:color w:val="000000"/>
          <w:sz w:val="32"/>
        </w:rPr>
        <w:t>我单位日常办公运转支出</w:t>
      </w:r>
      <w:r>
        <w:rPr>
          <w:rFonts w:hint="eastAsia" w:ascii="仿宋" w:hAnsi="仿宋" w:eastAsia="仿宋"/>
          <w:color w:val="000000"/>
          <w:sz w:val="32"/>
          <w:lang w:eastAsia="zh-CN"/>
        </w:rPr>
        <w:t>减少</w:t>
      </w:r>
      <w:r>
        <w:rPr>
          <w:rFonts w:hint="eastAsia" w:ascii="仿宋" w:hAnsi="仿宋" w:eastAsia="仿宋"/>
          <w:color w:val="000000"/>
          <w:sz w:val="32"/>
        </w:rPr>
        <w:t>。</w:t>
      </w:r>
      <w:r>
        <w:rPr>
          <w:rFonts w:ascii="仿宋" w:hAnsi="仿宋" w:eastAsia="仿宋"/>
          <w:color w:val="000000"/>
          <w:sz w:val="32"/>
        </w:rPr>
        <w:t xml:space="preserve"> </w:t>
      </w:r>
    </w:p>
    <w:p w14:paraId="0FCAF6AD">
      <w:pPr>
        <w:spacing w:line="600" w:lineRule="exact"/>
        <w:ind w:firstLine="643" w:firstLineChars="200"/>
        <w:outlineLvl w:val="2"/>
        <w:rPr>
          <w:rFonts w:eastAsia="楷体_GB2312" w:cs="楷体_GB2312"/>
          <w:b/>
          <w:sz w:val="32"/>
          <w:szCs w:val="32"/>
        </w:rPr>
      </w:pPr>
      <w:bookmarkStart w:id="39" w:name="_Toc15377223"/>
      <w:r>
        <w:rPr>
          <w:rFonts w:hint="eastAsia" w:eastAsia="楷体_GB2312" w:cs="楷体_GB2312"/>
          <w:b/>
          <w:sz w:val="32"/>
          <w:szCs w:val="32"/>
        </w:rPr>
        <w:t>（二）政府采购支出情况</w:t>
      </w:r>
      <w:bookmarkEnd w:id="39"/>
    </w:p>
    <w:p w14:paraId="779296D8">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红原县残疾人联合会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63A0081E">
      <w:pPr>
        <w:spacing w:line="600" w:lineRule="exact"/>
        <w:ind w:firstLine="643" w:firstLineChars="200"/>
        <w:outlineLvl w:val="2"/>
        <w:rPr>
          <w:rFonts w:eastAsia="楷体_GB2312" w:cs="楷体_GB2312"/>
          <w:b/>
          <w:sz w:val="32"/>
          <w:szCs w:val="32"/>
        </w:rPr>
      </w:pPr>
      <w:bookmarkStart w:id="40" w:name="_Toc15377224"/>
      <w:r>
        <w:rPr>
          <w:rFonts w:hint="eastAsia" w:eastAsia="楷体_GB2312" w:cs="楷体_GB2312"/>
          <w:b/>
          <w:sz w:val="32"/>
          <w:szCs w:val="32"/>
        </w:rPr>
        <w:t>（三）国有资产占有使用情况</w:t>
      </w:r>
      <w:bookmarkEnd w:id="40"/>
    </w:p>
    <w:p w14:paraId="365F2049">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截至2024年12月31日，红原县残疾人联合会共有车辆2辆，其中：主要负责人用车0辆、机要通信用车0辆、应急保障用车2辆、其他用车0辆。单价100万元（含）以上设备（不含车辆）0台（套）</w:t>
      </w:r>
      <w:r>
        <w:rPr>
          <w:rFonts w:hint="eastAsia" w:eastAsia="仿宋_GB2312" w:cs="仿宋_GB2312"/>
          <w:sz w:val="32"/>
          <w:szCs w:val="32"/>
        </w:rPr>
        <w:t>。</w:t>
      </w:r>
    </w:p>
    <w:p w14:paraId="0322D6F2">
      <w:pPr>
        <w:widowControl/>
        <w:adjustRightInd w:val="0"/>
        <w:snapToGrid w:val="0"/>
        <w:spacing w:line="576" w:lineRule="exact"/>
        <w:ind w:firstLine="643" w:firstLineChars="200"/>
        <w:jc w:val="left"/>
        <w:outlineLvl w:val="1"/>
        <w:rPr>
          <w:rFonts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（四）综合管理情况。</w:t>
      </w:r>
    </w:p>
    <w:p w14:paraId="6DD744B9">
      <w:pPr>
        <w:widowControl/>
        <w:adjustRightInd w:val="0"/>
        <w:snapToGrid w:val="0"/>
        <w:spacing w:line="576" w:lineRule="exact"/>
        <w:ind w:firstLine="720"/>
        <w:jc w:val="left"/>
        <w:outlineLvl w:val="1"/>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我会在执行有关法律法规、财经纪律、财务规章制度的同时，结合自身实际情况，制度相关财务制度、政府采购管理制度、项目管理制度等。</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hint="eastAsia" w:ascii="仿宋_GB2312" w:hAnsi="仿宋_GB2312" w:eastAsia="仿宋_GB2312" w:cs="仿宋_GB2312"/>
          <w:color w:val="000000"/>
          <w:sz w:val="32"/>
          <w:szCs w:val="32"/>
          <w:lang w:val="zh-CN"/>
        </w:rPr>
        <w:t>，依法接受财政监督。</w:t>
      </w:r>
    </w:p>
    <w:p w14:paraId="7B17227B">
      <w:pPr>
        <w:widowControl/>
        <w:adjustRightInd w:val="0"/>
        <w:snapToGrid w:val="0"/>
        <w:spacing w:line="576" w:lineRule="exact"/>
        <w:ind w:firstLine="720"/>
        <w:jc w:val="left"/>
        <w:outlineLvl w:val="1"/>
        <w:rPr>
          <w:rFonts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（五）整体绩效。</w:t>
      </w:r>
    </w:p>
    <w:p w14:paraId="40593F8C">
      <w:pPr>
        <w:widowControl/>
        <w:adjustRightInd w:val="0"/>
        <w:snapToGrid w:val="0"/>
        <w:spacing w:line="576" w:lineRule="exact"/>
        <w:ind w:firstLine="720"/>
        <w:jc w:val="left"/>
        <w:rPr>
          <w:rFonts w:ascii="仿宋_GB2312" w:hAnsi="仿宋_GB2312" w:eastAsia="仿宋_GB2312" w:cs="仿宋_GB2312"/>
          <w:color w:val="000000"/>
          <w:kern w:val="0"/>
          <w:sz w:val="32"/>
          <w:szCs w:val="32"/>
          <w:lang w:val="zh-CN"/>
        </w:rPr>
      </w:pPr>
      <w:r>
        <w:rPr>
          <w:rFonts w:ascii="仿宋_GB2312" w:hAnsi="仿宋_GB2312" w:eastAsia="仿宋_GB2312" w:cs="仿宋_GB2312"/>
          <w:color w:val="000000"/>
          <w:sz w:val="32"/>
          <w:szCs w:val="32"/>
          <w:lang w:val="zh-CN"/>
        </w:rPr>
        <w:t>20</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年度我会年初</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val="zh-CN"/>
        </w:rPr>
        <w:t>工作规划和重点工作</w:t>
      </w:r>
      <w:r>
        <w:rPr>
          <w:rFonts w:hint="eastAsia" w:ascii="仿宋_GB2312" w:hAnsi="仿宋_GB2312" w:eastAsia="仿宋_GB2312" w:cs="仿宋_GB2312"/>
          <w:color w:val="000000"/>
          <w:sz w:val="32"/>
          <w:szCs w:val="32"/>
        </w:rPr>
        <w:t>规划</w:t>
      </w:r>
      <w:r>
        <w:rPr>
          <w:rFonts w:hint="eastAsia" w:ascii="仿宋_GB2312" w:hAnsi="仿宋_GB2312" w:eastAsia="仿宋_GB2312" w:cs="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14:paraId="269730AA">
      <w:pPr>
        <w:spacing w:line="600" w:lineRule="exact"/>
        <w:ind w:firstLine="640"/>
        <w:rPr>
          <w:rFonts w:eastAsia="仿宋_GB2312" w:cs="仿宋_GB2312"/>
          <w:sz w:val="32"/>
          <w:szCs w:val="32"/>
        </w:rPr>
      </w:pPr>
    </w:p>
    <w:p w14:paraId="14274263">
      <w:pPr>
        <w:spacing w:line="600" w:lineRule="exact"/>
        <w:ind w:firstLine="640"/>
        <w:rPr>
          <w:rFonts w:eastAsia="仿宋_GB2312" w:cs="仿宋_GB2312"/>
          <w:sz w:val="32"/>
          <w:szCs w:val="32"/>
        </w:rPr>
      </w:pPr>
    </w:p>
    <w:p w14:paraId="457C7171">
      <w:pPr>
        <w:pStyle w:val="5"/>
      </w:pPr>
    </w:p>
    <w:p w14:paraId="197B2351">
      <w:pPr>
        <w:pStyle w:val="5"/>
      </w:pPr>
    </w:p>
    <w:p w14:paraId="26800A4B">
      <w:pPr>
        <w:pStyle w:val="5"/>
      </w:pPr>
    </w:p>
    <w:p w14:paraId="4804A886">
      <w:pPr>
        <w:pStyle w:val="5"/>
      </w:pPr>
    </w:p>
    <w:p w14:paraId="2BDD8E73">
      <w:pPr>
        <w:pStyle w:val="5"/>
      </w:pPr>
    </w:p>
    <w:p w14:paraId="7D5F5F13">
      <w:pPr>
        <w:pStyle w:val="5"/>
      </w:pPr>
    </w:p>
    <w:p w14:paraId="5763D94B">
      <w:pPr>
        <w:pStyle w:val="5"/>
      </w:pPr>
    </w:p>
    <w:p w14:paraId="716D5489">
      <w:pPr>
        <w:pStyle w:val="5"/>
      </w:pPr>
    </w:p>
    <w:p w14:paraId="020D0CCF">
      <w:pPr>
        <w:pStyle w:val="5"/>
      </w:pPr>
    </w:p>
    <w:p w14:paraId="18E7F550">
      <w:pPr>
        <w:pStyle w:val="5"/>
      </w:pPr>
    </w:p>
    <w:p w14:paraId="64C91C86">
      <w:pPr>
        <w:pStyle w:val="5"/>
      </w:pPr>
    </w:p>
    <w:p w14:paraId="7FA97ADE">
      <w:pPr>
        <w:pStyle w:val="5"/>
      </w:pPr>
    </w:p>
    <w:p w14:paraId="662440BA">
      <w:pPr>
        <w:pStyle w:val="5"/>
      </w:pPr>
    </w:p>
    <w:p w14:paraId="65705FD0">
      <w:pPr>
        <w:pStyle w:val="5"/>
      </w:pPr>
    </w:p>
    <w:p w14:paraId="3F9AF89F">
      <w:pPr>
        <w:pStyle w:val="5"/>
      </w:pPr>
    </w:p>
    <w:p w14:paraId="7FCB77D0">
      <w:pPr>
        <w:pStyle w:val="5"/>
      </w:pPr>
    </w:p>
    <w:p w14:paraId="37D8CC23">
      <w:pPr>
        <w:pStyle w:val="5"/>
      </w:pPr>
    </w:p>
    <w:p w14:paraId="1DB08DDC">
      <w:pPr>
        <w:pStyle w:val="5"/>
      </w:pPr>
    </w:p>
    <w:p w14:paraId="4CD14B6B">
      <w:pPr>
        <w:pStyle w:val="5"/>
      </w:pPr>
    </w:p>
    <w:p w14:paraId="377D9E2A">
      <w:pPr>
        <w:pStyle w:val="5"/>
      </w:pPr>
    </w:p>
    <w:p w14:paraId="0A4F31AB">
      <w:pPr>
        <w:pStyle w:val="5"/>
        <w:ind w:left="0" w:leftChars="0" w:firstLine="0" w:firstLineChars="0"/>
      </w:pPr>
    </w:p>
    <w:p w14:paraId="06592C2C">
      <w:pPr>
        <w:spacing w:line="600" w:lineRule="exact"/>
        <w:ind w:firstLine="640"/>
        <w:rPr>
          <w:rFonts w:eastAsia="仿宋_GB2312" w:cs="仿宋_GB2312"/>
          <w:sz w:val="32"/>
          <w:szCs w:val="32"/>
        </w:rPr>
      </w:pPr>
    </w:p>
    <w:p w14:paraId="0E5854CF">
      <w:pPr>
        <w:spacing w:line="600" w:lineRule="exact"/>
        <w:jc w:val="center"/>
        <w:outlineLvl w:val="0"/>
        <w:rPr>
          <w:rFonts w:eastAsia="黑体"/>
          <w:sz w:val="44"/>
          <w:szCs w:val="44"/>
        </w:rPr>
      </w:pPr>
      <w:bookmarkStart w:id="41" w:name="_Toc15396613"/>
      <w:bookmarkStart w:id="42" w:name="_Toc15377225"/>
      <w:r>
        <w:rPr>
          <w:rFonts w:hint="eastAsia" w:eastAsia="黑体"/>
          <w:sz w:val="44"/>
          <w:szCs w:val="44"/>
        </w:rPr>
        <w:t>第三部分  名词解释</w:t>
      </w:r>
      <w:bookmarkEnd w:id="41"/>
      <w:bookmarkEnd w:id="42"/>
    </w:p>
    <w:p w14:paraId="108EEF50">
      <w:pPr>
        <w:spacing w:line="600" w:lineRule="exact"/>
        <w:jc w:val="left"/>
        <w:rPr>
          <w:b/>
          <w:sz w:val="44"/>
          <w:szCs w:val="44"/>
        </w:rPr>
      </w:pPr>
    </w:p>
    <w:p w14:paraId="6515EB41">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53CB1D07">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2.事业收入：指事业单位开展专业业务活动及辅助活动取得的收入。如……（二级预算单位事业收入情况）等。</w:t>
      </w:r>
    </w:p>
    <w:p w14:paraId="6FF2B615">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3.经营收入：指事业单位在专业业务活动及其辅助活动之外开展非独立核算经营活动取得的收入。如……（二级预算单位经营收入情况）等。</w:t>
      </w:r>
    </w:p>
    <w:p w14:paraId="7AE4FDF2">
      <w:pPr>
        <w:spacing w:line="600" w:lineRule="exact"/>
        <w:ind w:firstLine="640"/>
        <w:rPr>
          <w:rFonts w:eastAsia="仿宋_GB2312" w:cs="仿宋_GB2312"/>
          <w:sz w:val="32"/>
          <w:szCs w:val="32"/>
        </w:rPr>
      </w:pPr>
      <w:r>
        <w:rPr>
          <w:rFonts w:hint="eastAsia" w:eastAsia="仿宋_GB2312" w:cs="仿宋_GB2312"/>
          <w:sz w:val="32"/>
          <w:szCs w:val="32"/>
        </w:rPr>
        <w:t>4.其他收入：指单位取得的除上述收入以外的各项收入。主要是</w:t>
      </w:r>
      <w:r>
        <w:rPr>
          <w:rFonts w:hint="eastAsia" w:eastAsia="仿宋_GB2312" w:cs="仿宋_GB2312"/>
          <w:sz w:val="32"/>
          <w:szCs w:val="32"/>
          <w:lang w:eastAsia="zh-CN"/>
        </w:rPr>
        <w:t>债务收入、转移性收入</w:t>
      </w:r>
      <w:r>
        <w:rPr>
          <w:rFonts w:hint="eastAsia" w:eastAsia="仿宋_GB2312" w:cs="仿宋_GB2312"/>
          <w:sz w:val="32"/>
          <w:szCs w:val="32"/>
        </w:rPr>
        <w:t xml:space="preserve">等。 </w:t>
      </w:r>
    </w:p>
    <w:p w14:paraId="2A301D75">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064C2059">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0DDF94F3">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7639A974">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1462CDC5">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eastAsia" w:eastAsia="仿宋_GB2312" w:cs="仿宋_GB2312"/>
          <w:sz w:val="32"/>
          <w:szCs w:val="32"/>
          <w:lang w:val="en-US" w:eastAsia="zh-CN"/>
        </w:rPr>
        <w:t>9</w:t>
      </w:r>
      <w:r>
        <w:rPr>
          <w:rFonts w:hint="eastAsia" w:eastAsia="仿宋_GB2312" w:cs="仿宋_GB2312"/>
          <w:sz w:val="32"/>
          <w:szCs w:val="32"/>
        </w:rPr>
        <w:t>.社会保障和就业</w:t>
      </w:r>
      <w:r>
        <w:rPr>
          <w:rFonts w:hint="default" w:ascii="仿宋_GB2312" w:hAnsi="宋体" w:eastAsia="仿宋_GB2312" w:cs="仿宋_GB2312"/>
          <w:kern w:val="2"/>
          <w:sz w:val="32"/>
          <w:szCs w:val="32"/>
        </w:rPr>
        <w:t>：208类20802款2080505指机关事业单位基本养老保险缴费支出，2080506指机关事业单位职业年金缴费支出</w:t>
      </w:r>
      <w:r>
        <w:rPr>
          <w:rFonts w:hint="eastAsia" w:ascii="仿宋_GB2312" w:hAnsi="宋体" w:eastAsia="仿宋_GB2312" w:cs="仿宋_GB2312"/>
          <w:kern w:val="2"/>
          <w:sz w:val="32"/>
          <w:szCs w:val="32"/>
          <w:lang w:eastAsia="zh-CN"/>
        </w:rPr>
        <w:t>；</w:t>
      </w:r>
      <w:r>
        <w:rPr>
          <w:rFonts w:ascii="仿宋" w:hAnsi="仿宋" w:eastAsia="仿宋"/>
          <w:color w:val="000000"/>
          <w:sz w:val="32"/>
          <w:szCs w:val="32"/>
        </w:rPr>
        <w:t xml:space="preserve"> 2081101</w:t>
      </w:r>
      <w:r>
        <w:rPr>
          <w:rFonts w:hint="eastAsia" w:ascii="仿宋" w:hAnsi="仿宋" w:eastAsia="仿宋"/>
          <w:color w:val="000000"/>
          <w:sz w:val="32"/>
          <w:szCs w:val="32"/>
          <w:lang w:eastAsia="zh-CN"/>
        </w:rPr>
        <w:t>指残疾人事业</w:t>
      </w:r>
      <w:r>
        <w:rPr>
          <w:rFonts w:hint="eastAsia" w:ascii="仿宋" w:hAnsi="仿宋" w:eastAsia="仿宋"/>
          <w:color w:val="000000"/>
          <w:sz w:val="32"/>
          <w:szCs w:val="32"/>
        </w:rPr>
        <w:t>行政运行</w:t>
      </w:r>
      <w:r>
        <w:rPr>
          <w:rFonts w:hint="eastAsia" w:ascii="仿宋" w:hAnsi="仿宋" w:eastAsia="仿宋"/>
          <w:color w:val="000000"/>
          <w:sz w:val="32"/>
          <w:szCs w:val="32"/>
          <w:lang w:eastAsia="zh-CN"/>
        </w:rPr>
        <w:t>，</w:t>
      </w:r>
      <w:r>
        <w:rPr>
          <w:rFonts w:ascii="仿宋" w:hAnsi="仿宋" w:eastAsia="仿宋"/>
          <w:color w:val="000000"/>
          <w:sz w:val="32"/>
          <w:szCs w:val="32"/>
        </w:rPr>
        <w:t xml:space="preserve">  2081102</w:t>
      </w:r>
      <w:r>
        <w:rPr>
          <w:rFonts w:hint="eastAsia" w:ascii="仿宋" w:hAnsi="仿宋" w:eastAsia="仿宋"/>
          <w:color w:val="000000"/>
          <w:sz w:val="32"/>
          <w:szCs w:val="32"/>
        </w:rPr>
        <w:t>残疾人事业一般行政管理事务，</w:t>
      </w:r>
      <w:r>
        <w:rPr>
          <w:rFonts w:ascii="仿宋" w:hAnsi="仿宋" w:eastAsia="仿宋"/>
          <w:color w:val="000000"/>
          <w:sz w:val="32"/>
          <w:szCs w:val="32"/>
        </w:rPr>
        <w:t xml:space="preserve"> 2081103</w:t>
      </w:r>
      <w:r>
        <w:rPr>
          <w:rFonts w:hint="eastAsia" w:ascii="仿宋" w:hAnsi="仿宋" w:eastAsia="仿宋"/>
          <w:color w:val="000000"/>
          <w:sz w:val="32"/>
          <w:szCs w:val="32"/>
          <w:lang w:eastAsia="zh-CN"/>
        </w:rPr>
        <w:t>指</w:t>
      </w:r>
      <w:r>
        <w:rPr>
          <w:rFonts w:hint="eastAsia" w:ascii="仿宋" w:hAnsi="仿宋" w:eastAsia="仿宋"/>
          <w:color w:val="000000"/>
          <w:sz w:val="32"/>
          <w:szCs w:val="32"/>
        </w:rPr>
        <w:t>残疾人事业机关服务</w:t>
      </w:r>
      <w:r>
        <w:rPr>
          <w:rFonts w:hint="eastAsia" w:ascii="仿宋" w:hAnsi="仿宋" w:eastAsia="仿宋"/>
          <w:color w:val="000000"/>
          <w:sz w:val="32"/>
          <w:szCs w:val="32"/>
          <w:lang w:eastAsia="zh-CN"/>
        </w:rPr>
        <w:t>，</w:t>
      </w:r>
      <w:r>
        <w:rPr>
          <w:rFonts w:ascii="仿宋" w:hAnsi="仿宋" w:eastAsia="仿宋"/>
          <w:color w:val="000000"/>
          <w:sz w:val="32"/>
          <w:szCs w:val="32"/>
        </w:rPr>
        <w:t>2081105</w:t>
      </w:r>
      <w:r>
        <w:rPr>
          <w:rFonts w:hint="eastAsia" w:ascii="仿宋" w:hAnsi="仿宋" w:eastAsia="仿宋"/>
          <w:color w:val="000000"/>
          <w:sz w:val="32"/>
          <w:szCs w:val="32"/>
          <w:lang w:eastAsia="zh-CN"/>
        </w:rPr>
        <w:t>指</w:t>
      </w:r>
      <w:r>
        <w:rPr>
          <w:rFonts w:hint="eastAsia" w:ascii="仿宋" w:hAnsi="仿宋" w:eastAsia="仿宋"/>
          <w:color w:val="000000"/>
          <w:sz w:val="32"/>
          <w:szCs w:val="32"/>
        </w:rPr>
        <w:t>残疾人就业</w:t>
      </w:r>
      <w:r>
        <w:rPr>
          <w:rFonts w:hint="eastAsia" w:ascii="仿宋" w:hAnsi="仿宋" w:eastAsia="仿宋"/>
          <w:color w:val="000000"/>
          <w:sz w:val="32"/>
          <w:szCs w:val="32"/>
          <w:lang w:eastAsia="zh-CN"/>
        </w:rPr>
        <w:t>支出用于残疾人就业方面的</w:t>
      </w:r>
      <w:r>
        <w:rPr>
          <w:rFonts w:hint="eastAsia" w:ascii="仿宋" w:hAnsi="仿宋" w:eastAsia="仿宋"/>
          <w:color w:val="000000"/>
          <w:sz w:val="32"/>
          <w:szCs w:val="32"/>
        </w:rPr>
        <w:t>支出</w:t>
      </w:r>
      <w:r>
        <w:rPr>
          <w:rFonts w:hint="eastAsia" w:ascii="仿宋" w:hAnsi="仿宋" w:eastAsia="仿宋"/>
          <w:color w:val="000000"/>
          <w:sz w:val="32"/>
          <w:szCs w:val="32"/>
          <w:lang w:eastAsia="zh-CN"/>
        </w:rPr>
        <w:t>，</w:t>
      </w:r>
      <w:r>
        <w:rPr>
          <w:rFonts w:ascii="仿宋" w:hAnsi="仿宋" w:eastAsia="仿宋"/>
          <w:color w:val="000000"/>
          <w:sz w:val="32"/>
          <w:szCs w:val="32"/>
        </w:rPr>
        <w:t>2081106</w:t>
      </w:r>
      <w:r>
        <w:rPr>
          <w:rFonts w:hint="eastAsia" w:ascii="仿宋" w:hAnsi="仿宋" w:eastAsia="仿宋"/>
          <w:color w:val="000000"/>
          <w:sz w:val="32"/>
          <w:szCs w:val="32"/>
          <w:lang w:eastAsia="zh-CN"/>
        </w:rPr>
        <w:t>指</w:t>
      </w:r>
      <w:r>
        <w:rPr>
          <w:rFonts w:hint="eastAsia" w:ascii="仿宋" w:hAnsi="仿宋" w:eastAsia="仿宋"/>
          <w:color w:val="000000"/>
          <w:sz w:val="32"/>
          <w:szCs w:val="32"/>
        </w:rPr>
        <w:t>残疾人体育支出</w:t>
      </w:r>
      <w:r>
        <w:rPr>
          <w:rFonts w:hint="eastAsia" w:ascii="仿宋" w:hAnsi="仿宋" w:eastAsia="仿宋"/>
          <w:color w:val="000000"/>
          <w:sz w:val="32"/>
          <w:szCs w:val="32"/>
          <w:lang w:eastAsia="zh-CN"/>
        </w:rPr>
        <w:t>用于残疾人体育方面的支出，</w:t>
      </w:r>
      <w:r>
        <w:rPr>
          <w:rFonts w:ascii="仿宋" w:hAnsi="仿宋" w:eastAsia="仿宋"/>
          <w:color w:val="000000"/>
          <w:sz w:val="32"/>
          <w:szCs w:val="32"/>
        </w:rPr>
        <w:t>2081199</w:t>
      </w:r>
      <w:r>
        <w:rPr>
          <w:rFonts w:hint="eastAsia" w:ascii="仿宋" w:hAnsi="仿宋" w:eastAsia="仿宋"/>
          <w:color w:val="000000"/>
          <w:sz w:val="32"/>
          <w:szCs w:val="32"/>
        </w:rPr>
        <w:t>其他残疾人事业支出</w:t>
      </w:r>
      <w:r>
        <w:rPr>
          <w:rFonts w:hint="eastAsia" w:ascii="仿宋" w:hAnsi="仿宋" w:eastAsia="仿宋"/>
          <w:color w:val="000000"/>
          <w:sz w:val="32"/>
          <w:szCs w:val="32"/>
          <w:lang w:eastAsia="zh-CN"/>
        </w:rPr>
        <w:t>用于上述项目以外其他残疾人事业方面的支出</w:t>
      </w:r>
      <w:r>
        <w:rPr>
          <w:rFonts w:hint="default" w:ascii="仿宋_GB2312" w:hAnsi="宋体" w:eastAsia="仿宋_GB2312" w:cs="仿宋_GB2312"/>
          <w:kern w:val="2"/>
          <w:sz w:val="32"/>
          <w:szCs w:val="32"/>
        </w:rPr>
        <w:t>。</w:t>
      </w:r>
    </w:p>
    <w:p w14:paraId="4C6D5014">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eastAsia" w:eastAsia="仿宋_GB2312" w:cs="仿宋_GB2312"/>
          <w:sz w:val="32"/>
          <w:szCs w:val="32"/>
          <w:lang w:val="en-US" w:eastAsia="zh-CN"/>
        </w:rPr>
        <w:t>10</w:t>
      </w:r>
      <w:r>
        <w:rPr>
          <w:rFonts w:hint="default" w:ascii="仿宋_GB2312" w:hAnsi="宋体" w:eastAsia="仿宋_GB2312" w:cs="仿宋_GB2312"/>
          <w:kern w:val="2"/>
          <w:sz w:val="32"/>
          <w:szCs w:val="32"/>
        </w:rPr>
        <w:t>.医疗卫生与计划生育：210类21011款2101101项指行政单位医疗、2101102项指事业单位医疗、2101103项指公务员医疗补助、2101199项指其他行政事业单位医疗补助。</w:t>
      </w:r>
    </w:p>
    <w:p w14:paraId="34387D23">
      <w:pPr>
        <w:keepNext w:val="0"/>
        <w:keepLines w:val="0"/>
        <w:widowControl w:val="0"/>
        <w:suppressLineNumbers w:val="0"/>
        <w:spacing w:line="570" w:lineRule="exact"/>
        <w:ind w:left="0" w:firstLine="640" w:firstLineChars="200"/>
        <w:jc w:val="both"/>
        <w:rPr>
          <w:rFonts w:hint="default"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rPr>
        <w:t>11</w:t>
      </w:r>
      <w:r>
        <w:rPr>
          <w:rFonts w:hint="default" w:ascii="仿宋_GB2312" w:hAnsi="宋体" w:eastAsia="仿宋_GB2312" w:cs="仿宋_GB2312"/>
          <w:kern w:val="2"/>
          <w:sz w:val="32"/>
          <w:szCs w:val="32"/>
        </w:rPr>
        <w:t>.住房保障：221类22102款2210201项指住房公积金。</w:t>
      </w:r>
    </w:p>
    <w:p w14:paraId="2DEA6B44">
      <w:pPr>
        <w:spacing w:line="600" w:lineRule="exact"/>
        <w:ind w:firstLine="640"/>
        <w:rPr>
          <w:rFonts w:eastAsia="仿宋_GB2312" w:cs="仿宋_GB2312"/>
          <w:sz w:val="32"/>
          <w:szCs w:val="32"/>
        </w:rPr>
      </w:pPr>
      <w:r>
        <w:rPr>
          <w:rFonts w:hint="eastAsia" w:eastAsia="仿宋_GB2312" w:cs="仿宋_GB2312"/>
          <w:sz w:val="32"/>
          <w:szCs w:val="32"/>
          <w:lang w:val="en-US" w:eastAsia="zh-CN"/>
        </w:rPr>
        <w:t>12</w:t>
      </w:r>
      <w:r>
        <w:rPr>
          <w:rFonts w:hint="eastAsia" w:eastAsia="仿宋_GB2312" w:cs="仿宋_GB2312"/>
          <w:sz w:val="32"/>
          <w:szCs w:val="32"/>
        </w:rPr>
        <w:t>.基本支出：指为保障机构正常运转、完成日常工作任务而发生的人员支出和公用支出。</w:t>
      </w:r>
    </w:p>
    <w:p w14:paraId="2748BB32">
      <w:pPr>
        <w:spacing w:line="600" w:lineRule="exact"/>
        <w:ind w:firstLine="640"/>
        <w:rPr>
          <w:rFonts w:eastAsia="仿宋_GB2312" w:cs="仿宋_GB2312"/>
          <w:sz w:val="32"/>
          <w:szCs w:val="32"/>
        </w:rPr>
      </w:pPr>
      <w:r>
        <w:rPr>
          <w:rFonts w:hint="eastAsia" w:eastAsia="仿宋_GB2312" w:cs="仿宋_GB2312"/>
          <w:sz w:val="32"/>
          <w:szCs w:val="32"/>
          <w:lang w:val="en-US" w:eastAsia="zh-CN"/>
        </w:rPr>
        <w:t>13</w:t>
      </w:r>
      <w:r>
        <w:rPr>
          <w:rFonts w:hint="eastAsia" w:eastAsia="仿宋_GB2312" w:cs="仿宋_GB2312"/>
          <w:sz w:val="32"/>
          <w:szCs w:val="32"/>
        </w:rPr>
        <w:t xml:space="preserve">.项目支出：指在基本支出之外为完成特定行政任务和事业发展目标所发生的支出。 </w:t>
      </w:r>
    </w:p>
    <w:p w14:paraId="67F48806">
      <w:pPr>
        <w:spacing w:line="600" w:lineRule="exact"/>
        <w:ind w:firstLine="640"/>
        <w:rPr>
          <w:rFonts w:eastAsia="仿宋_GB2312" w:cs="仿宋_GB2312"/>
          <w:sz w:val="32"/>
          <w:szCs w:val="32"/>
        </w:rPr>
      </w:pPr>
      <w:r>
        <w:rPr>
          <w:rFonts w:hint="eastAsia" w:eastAsia="仿宋_GB2312" w:cs="仿宋_GB2312"/>
          <w:sz w:val="32"/>
          <w:szCs w:val="32"/>
          <w:lang w:val="en-US" w:eastAsia="zh-CN"/>
        </w:rPr>
        <w:t>14</w:t>
      </w:r>
      <w:r>
        <w:rPr>
          <w:rFonts w:hint="eastAsia" w:eastAsia="仿宋_GB2312" w:cs="仿宋_GB2312"/>
          <w:sz w:val="32"/>
          <w:szCs w:val="32"/>
        </w:rPr>
        <w:t>.经营支出：指事业单位在专业业务活动及其辅助活动之外开展非独立核算经营活动发生的支出。</w:t>
      </w:r>
    </w:p>
    <w:p w14:paraId="3704A18C">
      <w:pPr>
        <w:spacing w:line="600" w:lineRule="exact"/>
        <w:ind w:firstLine="640"/>
        <w:rPr>
          <w:rFonts w:eastAsia="仿宋_GB2312" w:cs="仿宋_GB2312"/>
          <w:sz w:val="32"/>
          <w:szCs w:val="32"/>
        </w:rPr>
      </w:pPr>
      <w:r>
        <w:rPr>
          <w:rFonts w:hint="eastAsia" w:eastAsia="仿宋_GB2312" w:cs="仿宋_GB2312"/>
          <w:sz w:val="32"/>
          <w:szCs w:val="32"/>
          <w:lang w:val="en-US" w:eastAsia="zh-CN"/>
        </w:rPr>
        <w:t>15</w:t>
      </w: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82413E3">
      <w:pPr>
        <w:spacing w:line="600" w:lineRule="exact"/>
        <w:ind w:firstLine="640"/>
        <w:rPr>
          <w:rFonts w:eastAsia="仿宋_GB2312" w:cs="仿宋_GB2312"/>
          <w:sz w:val="32"/>
          <w:szCs w:val="32"/>
        </w:rPr>
      </w:pPr>
      <w:r>
        <w:rPr>
          <w:rFonts w:hint="eastAsia" w:eastAsia="仿宋_GB2312" w:cs="仿宋_GB2312"/>
          <w:sz w:val="32"/>
          <w:szCs w:val="32"/>
          <w:lang w:val="en-US" w:eastAsia="zh-CN"/>
        </w:rPr>
        <w:t>16</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D136794">
      <w:pPr>
        <w:spacing w:line="600" w:lineRule="exact"/>
        <w:jc w:val="center"/>
        <w:rPr>
          <w:rStyle w:val="31"/>
          <w:rFonts w:eastAsia="黑体"/>
          <w:b w:val="0"/>
        </w:rPr>
      </w:pPr>
      <w:bookmarkStart w:id="43" w:name="_Toc15377226"/>
      <w:r>
        <w:rPr>
          <w:rFonts w:hint="eastAsia" w:eastAsia="仿宋_GB2312" w:cs="仿宋_GB2312"/>
          <w:sz w:val="32"/>
          <w:szCs w:val="32"/>
        </w:rPr>
        <w:br w:type="page"/>
      </w:r>
      <w:bookmarkStart w:id="44" w:name="_Toc15396614"/>
      <w:r>
        <w:rPr>
          <w:rFonts w:hint="eastAsia" w:eastAsia="黑体"/>
          <w:sz w:val="44"/>
          <w:szCs w:val="44"/>
        </w:rPr>
        <w:t>第四部分  附件</w:t>
      </w:r>
      <w:bookmarkEnd w:id="44"/>
    </w:p>
    <w:p w14:paraId="6EBB8B4C">
      <w:pPr>
        <w:spacing w:line="572" w:lineRule="exact"/>
        <w:jc w:val="left"/>
        <w:outlineLvl w:val="0"/>
        <w:rPr>
          <w:rFonts w:eastAsia="黑体" w:cs="黑体"/>
          <w:color w:val="FF0000"/>
          <w:sz w:val="32"/>
          <w:szCs w:val="32"/>
        </w:rPr>
      </w:pPr>
    </w:p>
    <w:p w14:paraId="1EF044B2">
      <w:pPr>
        <w:spacing w:line="572" w:lineRule="exact"/>
        <w:jc w:val="left"/>
        <w:outlineLvl w:val="0"/>
        <w:rPr>
          <w:rFonts w:eastAsia="黑体" w:cs="方正小标宋简体"/>
          <w:sz w:val="44"/>
          <w:szCs w:val="44"/>
        </w:rPr>
      </w:pPr>
      <w:r>
        <w:rPr>
          <w:rFonts w:hint="eastAsia" w:eastAsia="黑体" w:cs="黑体"/>
          <w:sz w:val="32"/>
          <w:szCs w:val="32"/>
        </w:rPr>
        <w:t>附件1</w:t>
      </w:r>
    </w:p>
    <w:p w14:paraId="61DFFB2D">
      <w:pPr>
        <w:widowControl/>
        <w:spacing w:line="578" w:lineRule="exact"/>
        <w:contextualSpacing/>
        <w:jc w:val="center"/>
        <w:rPr>
          <w:rFonts w:eastAsia="方正小标宋简体"/>
          <w:bCs/>
          <w:sz w:val="44"/>
          <w:szCs w:val="44"/>
          <w:shd w:val="clear" w:color="auto" w:fill="FFFFFF"/>
        </w:rPr>
      </w:pPr>
    </w:p>
    <w:p w14:paraId="10F03CF3">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1087FBDA">
      <w:pPr>
        <w:widowControl/>
        <w:adjustRightInd w:val="0"/>
        <w:snapToGrid w:val="0"/>
        <w:spacing w:line="576" w:lineRule="exact"/>
        <w:ind w:firstLine="720"/>
        <w:jc w:val="left"/>
        <w:outlineLvl w:val="0"/>
        <w:rPr>
          <w:rFonts w:ascii="Times New Roman" w:hAnsi="Times New Roman" w:eastAsia="黑体"/>
          <w:color w:val="000000"/>
          <w:kern w:val="0"/>
          <w:sz w:val="32"/>
          <w:szCs w:val="32"/>
          <w:lang w:val="zh-CN"/>
        </w:rPr>
      </w:pPr>
      <w:r>
        <w:rPr>
          <w:rFonts w:ascii="Times New Roman" w:hAnsi="Times New Roman" w:eastAsia="黑体"/>
          <w:color w:val="000000"/>
          <w:kern w:val="0"/>
          <w:sz w:val="32"/>
          <w:szCs w:val="32"/>
        </w:rPr>
        <w:t>一、</w:t>
      </w:r>
      <w:r>
        <w:rPr>
          <w:rFonts w:ascii="Times New Roman" w:hAnsi="Times New Roman" w:eastAsia="黑体"/>
          <w:color w:val="000000"/>
          <w:kern w:val="0"/>
          <w:sz w:val="32"/>
          <w:szCs w:val="32"/>
          <w:lang w:val="zh-CN"/>
        </w:rPr>
        <w:t>单位概况</w:t>
      </w:r>
    </w:p>
    <w:p w14:paraId="5FE01BA4">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（一）机构组成。</w:t>
      </w:r>
    </w:p>
    <w:p w14:paraId="60656EB4">
      <w:pPr>
        <w:widowControl/>
        <w:adjustRightInd w:val="0"/>
        <w:snapToGrid w:val="0"/>
        <w:spacing w:line="576" w:lineRule="exact"/>
        <w:ind w:firstLine="640" w:firstLineChars="200"/>
        <w:jc w:val="left"/>
        <w:outlineLvl w:val="1"/>
        <w:rPr>
          <w:rFonts w:ascii="Times New Roman" w:hAnsi="Times New Roman" w:eastAsia="仿宋_GB2312"/>
          <w:color w:val="000000"/>
          <w:kern w:val="0"/>
          <w:sz w:val="32"/>
          <w:szCs w:val="32"/>
          <w:lang w:val="zh-CN"/>
        </w:rPr>
      </w:pPr>
      <w:r>
        <w:rPr>
          <w:rFonts w:ascii="Times New Roman" w:hAnsi="Times New Roman" w:eastAsia="仿宋_GB2312"/>
          <w:color w:val="000000"/>
          <w:kern w:val="0"/>
          <w:sz w:val="32"/>
          <w:szCs w:val="32"/>
          <w:lang w:val="zh-CN"/>
        </w:rPr>
        <w:t>本单位内设机构</w:t>
      </w:r>
      <w:r>
        <w:rPr>
          <w:rFonts w:ascii="Times New Roman" w:hAnsi="Times New Roman" w:eastAsia="仿宋_GB2312"/>
          <w:color w:val="000000"/>
          <w:kern w:val="0"/>
          <w:sz w:val="32"/>
          <w:szCs w:val="32"/>
        </w:rPr>
        <w:t>2</w:t>
      </w:r>
      <w:r>
        <w:rPr>
          <w:rFonts w:ascii="Times New Roman" w:hAnsi="Times New Roman" w:eastAsia="仿宋_GB2312"/>
          <w:color w:val="000000"/>
          <w:kern w:val="0"/>
          <w:sz w:val="32"/>
          <w:szCs w:val="32"/>
          <w:lang w:val="zh-CN"/>
        </w:rPr>
        <w:t>个，为办公室、残疾人康复中心。</w:t>
      </w:r>
    </w:p>
    <w:p w14:paraId="1ED2D81C">
      <w:pPr>
        <w:widowControl/>
        <w:numPr>
          <w:ilvl w:val="0"/>
          <w:numId w:val="0"/>
        </w:numPr>
        <w:adjustRightInd w:val="0"/>
        <w:snapToGrid w:val="0"/>
        <w:spacing w:line="576" w:lineRule="exact"/>
        <w:ind w:firstLine="643" w:firstLineChars="200"/>
        <w:jc w:val="left"/>
        <w:outlineLvl w:val="1"/>
        <w:rPr>
          <w:rFonts w:ascii="Times New Roman" w:hAnsi="Times New Roman" w:eastAsia="仿宋_GB2312"/>
          <w:sz w:val="32"/>
          <w:szCs w:val="32"/>
        </w:rPr>
      </w:pPr>
      <w:r>
        <w:rPr>
          <w:rFonts w:hint="eastAsia" w:ascii="Times New Roman" w:hAnsi="Times New Roman" w:eastAsia="仿宋_GB2312"/>
          <w:b/>
          <w:bCs/>
          <w:color w:val="000000"/>
          <w:kern w:val="0"/>
          <w:sz w:val="32"/>
          <w:szCs w:val="32"/>
          <w:lang w:val="zh-CN"/>
        </w:rPr>
        <w:t>（二）</w:t>
      </w:r>
      <w:r>
        <w:rPr>
          <w:rFonts w:ascii="Times New Roman" w:hAnsi="Times New Roman" w:eastAsia="仿宋_GB2312"/>
          <w:b/>
          <w:bCs/>
          <w:color w:val="000000"/>
          <w:kern w:val="0"/>
          <w:sz w:val="32"/>
          <w:szCs w:val="32"/>
          <w:lang w:val="zh-CN"/>
        </w:rPr>
        <w:t>机构职能。</w:t>
      </w:r>
    </w:p>
    <w:p w14:paraId="6CD4963E">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1.组织和开展残疾人状况调查、致残原因和康复需求调查，掌握协调残疾人康复技术资源；</w:t>
      </w:r>
    </w:p>
    <w:p w14:paraId="00885443">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2.拟定和实施残疾人康复政策、工作规则、计划，指导和协调残疾人康复机构的业务；</w:t>
      </w:r>
    </w:p>
    <w:p w14:paraId="7ACABE87">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3.组织开展各类残疾人康复和各类残疾人辅助器具适配、发放、服务工作；</w:t>
      </w:r>
    </w:p>
    <w:p w14:paraId="69846A2B">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4.指导残疾人康复行业协会的工作，开展学术交流，培训康复人才；</w:t>
      </w:r>
    </w:p>
    <w:p w14:paraId="21CD7BB5">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5.开展残疾人康复专项统计，总结推广残疾人康复先进工作经验；</w:t>
      </w:r>
    </w:p>
    <w:p w14:paraId="4686DF43">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6.承担县残疾人康复中心及办公室的日常工作。</w:t>
      </w:r>
    </w:p>
    <w:p w14:paraId="7B816A9A">
      <w:pPr>
        <w:widowControl/>
        <w:adjustRightInd w:val="0"/>
        <w:snapToGrid w:val="0"/>
        <w:spacing w:line="576" w:lineRule="exact"/>
        <w:ind w:firstLine="643" w:firstLineChars="200"/>
        <w:jc w:val="left"/>
        <w:outlineLvl w:val="1"/>
        <w:rPr>
          <w:rFonts w:ascii="Times New Roman" w:hAnsi="Times New Roman" w:eastAsia="仿宋_GB2312"/>
          <w:color w:val="000000"/>
          <w:kern w:val="0"/>
          <w:sz w:val="32"/>
          <w:szCs w:val="32"/>
          <w:lang w:val="zh-CN"/>
        </w:rPr>
      </w:pPr>
      <w:r>
        <w:rPr>
          <w:rFonts w:ascii="Times New Roman" w:hAnsi="Times New Roman" w:eastAsia="仿宋_GB2312"/>
          <w:b/>
          <w:bCs/>
          <w:color w:val="000000"/>
          <w:kern w:val="0"/>
          <w:sz w:val="32"/>
          <w:szCs w:val="32"/>
        </w:rPr>
        <w:t>(三）</w:t>
      </w:r>
      <w:r>
        <w:rPr>
          <w:rFonts w:ascii="Times New Roman" w:hAnsi="Times New Roman" w:eastAsia="仿宋_GB2312"/>
          <w:b/>
          <w:bCs/>
          <w:color w:val="000000"/>
          <w:kern w:val="0"/>
          <w:sz w:val="32"/>
          <w:szCs w:val="32"/>
          <w:lang w:val="zh-CN"/>
        </w:rPr>
        <w:t>人员概况。</w:t>
      </w:r>
      <w:r>
        <w:rPr>
          <w:rFonts w:ascii="Times New Roman" w:hAnsi="Times New Roman" w:eastAsia="仿宋_GB2312"/>
          <w:color w:val="000000"/>
          <w:kern w:val="0"/>
          <w:sz w:val="32"/>
          <w:szCs w:val="32"/>
          <w:lang w:val="zh-CN"/>
        </w:rPr>
        <w:t xml:space="preserve"> </w:t>
      </w:r>
    </w:p>
    <w:p w14:paraId="0A977695">
      <w:pPr>
        <w:ind w:firstLine="800" w:firstLineChars="25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编制为6人，其中县残联编制2人，属行政编制，专职理事长1人，专职副理事长1人；县残疾人康复中心属下属事业机构，编制共4人。</w:t>
      </w:r>
    </w:p>
    <w:p w14:paraId="762487A0">
      <w:pPr>
        <w:widowControl/>
        <w:adjustRightInd w:val="0"/>
        <w:snapToGrid w:val="0"/>
        <w:spacing w:line="576" w:lineRule="exact"/>
        <w:ind w:firstLine="720"/>
        <w:jc w:val="left"/>
        <w:outlineLvl w:val="0"/>
        <w:rPr>
          <w:rFonts w:ascii="Times New Roman" w:hAnsi="Times New Roman" w:eastAsia="黑体"/>
          <w:color w:val="000000"/>
          <w:kern w:val="0"/>
          <w:sz w:val="32"/>
          <w:szCs w:val="32"/>
        </w:rPr>
      </w:pPr>
      <w:r>
        <w:rPr>
          <w:rFonts w:ascii="Times New Roman" w:hAnsi="Times New Roman" w:eastAsia="黑体"/>
          <w:color w:val="000000"/>
          <w:kern w:val="0"/>
          <w:sz w:val="32"/>
          <w:szCs w:val="32"/>
        </w:rPr>
        <w:t>二、部门财政资金收支情况</w:t>
      </w:r>
    </w:p>
    <w:p w14:paraId="5E5045C6">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（一）部门财政资金收入情况。</w:t>
      </w:r>
    </w:p>
    <w:p w14:paraId="359C8EBC">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2024年度收入总计340.23万元，其中一般公共预算收入326.09万元，占95.84％，政府性基金收入14.14万元，占4.15％。</w:t>
      </w:r>
    </w:p>
    <w:p w14:paraId="46BA1389">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2024年度收入总计340.23万元，其中一般公共预算收入326.09万元，政府性基金收入14.14万元。</w:t>
      </w:r>
    </w:p>
    <w:p w14:paraId="3EB5B0E3">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（二）部门财政资金支出情况。</w:t>
      </w:r>
    </w:p>
    <w:p w14:paraId="5529B0B2">
      <w:pPr>
        <w:ind w:firstLine="800" w:firstLineChars="25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2024年残疾人联合会本年支出合340.23万元，其中：基本支出153.84万元，占45.22%(其中：人员经费144.05万元, 公用经费9.79万元)；项目支出 186.39万元，占54.78%（主要用于残疾人康复、残疾人就业和扶贫及其他残疾人事业支出等）。</w:t>
      </w:r>
    </w:p>
    <w:p w14:paraId="15239723">
      <w:pPr>
        <w:widowControl/>
        <w:adjustRightInd w:val="0"/>
        <w:snapToGrid w:val="0"/>
        <w:spacing w:line="576" w:lineRule="exact"/>
        <w:ind w:firstLine="640" w:firstLineChars="200"/>
        <w:jc w:val="left"/>
        <w:outlineLvl w:val="0"/>
        <w:rPr>
          <w:rFonts w:ascii="Times New Roman" w:hAnsi="Times New Roman" w:eastAsia="黑体"/>
          <w:color w:val="000000"/>
          <w:kern w:val="0"/>
          <w:sz w:val="32"/>
          <w:szCs w:val="32"/>
        </w:rPr>
      </w:pPr>
      <w:r>
        <w:rPr>
          <w:rFonts w:ascii="Times New Roman" w:hAnsi="Times New Roman" w:eastAsia="黑体"/>
          <w:color w:val="000000"/>
          <w:kern w:val="0"/>
          <w:sz w:val="32"/>
          <w:szCs w:val="32"/>
        </w:rPr>
        <w:t>三、部门财政支出管理情况</w:t>
      </w:r>
    </w:p>
    <w:p w14:paraId="1FF316A8">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（一）预算编制情况。</w:t>
      </w:r>
    </w:p>
    <w:p w14:paraId="28644391">
      <w:pPr>
        <w:widowControl/>
        <w:adjustRightInd w:val="0"/>
        <w:snapToGrid w:val="0"/>
        <w:spacing w:line="576" w:lineRule="exact"/>
        <w:ind w:firstLine="640" w:firstLineChars="20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我会</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zh-CN" w:eastAsia="zh-CN"/>
        </w:rPr>
        <w:t>年预算编制严格按照县财政《关于编制20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val="zh-CN" w:eastAsia="zh-CN"/>
        </w:rPr>
        <w:t>年县本级预算通知》相关精神，认真学习《预算法》及其实施条例等预算编制的法律、法规，掌握预算编制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14:paraId="28590C45">
      <w:pPr>
        <w:widowControl/>
        <w:adjustRightInd w:val="0"/>
        <w:snapToGrid w:val="0"/>
        <w:spacing w:line="576" w:lineRule="exact"/>
        <w:ind w:firstLine="643" w:firstLineChars="200"/>
        <w:jc w:val="left"/>
        <w:outlineLvl w:val="1"/>
        <w:rPr>
          <w:rFonts w:ascii="Times New Roman" w:hAnsi="Times New Roman" w:eastAsia="仿宋_GB2312"/>
          <w:color w:val="000000"/>
          <w:kern w:val="0"/>
          <w:sz w:val="32"/>
          <w:szCs w:val="32"/>
          <w:lang w:val="zh-CN"/>
        </w:rPr>
      </w:pPr>
      <w:r>
        <w:rPr>
          <w:rFonts w:ascii="Times New Roman" w:hAnsi="Times New Roman" w:eastAsia="仿宋_GB2312"/>
          <w:b/>
          <w:bCs/>
          <w:color w:val="000000"/>
          <w:kern w:val="0"/>
          <w:sz w:val="32"/>
          <w:szCs w:val="32"/>
          <w:lang w:val="zh-CN"/>
        </w:rPr>
        <w:t>（二）执行管理情况。</w:t>
      </w:r>
      <w:r>
        <w:rPr>
          <w:rFonts w:ascii="Times New Roman" w:hAnsi="Times New Roman" w:eastAsia="仿宋_GB2312"/>
          <w:color w:val="000000"/>
          <w:kern w:val="0"/>
          <w:sz w:val="32"/>
          <w:szCs w:val="32"/>
          <w:lang w:val="zh-CN"/>
        </w:rPr>
        <w:tab/>
      </w:r>
    </w:p>
    <w:p w14:paraId="71A589D1">
      <w:pPr>
        <w:widowControl/>
        <w:adjustRightInd w:val="0"/>
        <w:snapToGrid w:val="0"/>
        <w:spacing w:line="576" w:lineRule="exact"/>
        <w:ind w:firstLine="640" w:firstLineChars="20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年度一般公共预算财政拨款基本支出</w:t>
      </w:r>
      <w:r>
        <w:rPr>
          <w:rFonts w:hint="eastAsia" w:ascii="仿宋_GB2312" w:hAnsi="仿宋_GB2312" w:eastAsia="仿宋_GB2312" w:cs="仿宋_GB2312"/>
          <w:sz w:val="32"/>
          <w:szCs w:val="32"/>
          <w:lang w:val="en-US" w:eastAsia="zh-CN"/>
        </w:rPr>
        <w:t>326.09</w:t>
      </w:r>
      <w:r>
        <w:rPr>
          <w:rFonts w:hint="eastAsia" w:ascii="仿宋_GB2312" w:hAnsi="仿宋_GB2312" w:eastAsia="仿宋_GB2312" w:cs="仿宋_GB2312"/>
          <w:sz w:val="32"/>
          <w:szCs w:val="32"/>
          <w:lang w:val="zh-CN" w:eastAsia="zh-CN"/>
        </w:rPr>
        <w:t>万元，政府性基金预算财政拨款支出</w:t>
      </w:r>
      <w:r>
        <w:rPr>
          <w:rFonts w:hint="eastAsia" w:ascii="仿宋_GB2312" w:hAnsi="仿宋_GB2312" w:eastAsia="仿宋_GB2312" w:cs="仿宋_GB2312"/>
          <w:sz w:val="32"/>
          <w:szCs w:val="32"/>
          <w:lang w:val="en-US" w:eastAsia="zh-CN"/>
        </w:rPr>
        <w:t>14.14</w:t>
      </w:r>
      <w:r>
        <w:rPr>
          <w:rFonts w:hint="eastAsia" w:ascii="仿宋_GB2312" w:hAnsi="仿宋_GB2312" w:eastAsia="仿宋_GB2312" w:cs="仿宋_GB2312"/>
          <w:sz w:val="32"/>
          <w:szCs w:val="32"/>
          <w:lang w:val="zh-CN" w:eastAsia="zh-CN"/>
        </w:rPr>
        <w:t>万元，合计支出</w:t>
      </w:r>
      <w:r>
        <w:rPr>
          <w:rFonts w:hint="eastAsia" w:ascii="仿宋_GB2312" w:hAnsi="仿宋_GB2312" w:eastAsia="仿宋_GB2312" w:cs="仿宋_GB2312"/>
          <w:sz w:val="32"/>
          <w:szCs w:val="32"/>
          <w:lang w:val="en-US" w:eastAsia="zh-CN"/>
        </w:rPr>
        <w:t>340.23</w:t>
      </w:r>
      <w:r>
        <w:rPr>
          <w:rFonts w:hint="eastAsia" w:ascii="仿宋_GB2312" w:hAnsi="仿宋_GB2312" w:eastAsia="仿宋_GB2312" w:cs="仿宋_GB2312"/>
          <w:sz w:val="32"/>
          <w:szCs w:val="32"/>
          <w:lang w:val="zh-CN" w:eastAsia="zh-CN"/>
        </w:rPr>
        <w:t>万元。</w:t>
      </w:r>
    </w:p>
    <w:p w14:paraId="0FE9E3EE">
      <w:pPr>
        <w:widowControl/>
        <w:adjustRightInd w:val="0"/>
        <w:snapToGrid w:val="0"/>
        <w:spacing w:line="576" w:lineRule="exact"/>
        <w:ind w:firstLine="640" w:firstLineChars="20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其中：人员经费</w:t>
      </w:r>
      <w:r>
        <w:rPr>
          <w:rFonts w:hint="eastAsia" w:ascii="仿宋_GB2312" w:hAnsi="仿宋_GB2312" w:eastAsia="仿宋_GB2312" w:cs="仿宋_GB2312"/>
          <w:sz w:val="32"/>
          <w:szCs w:val="32"/>
          <w:lang w:val="en-US" w:eastAsia="zh-CN"/>
        </w:rPr>
        <w:t>144.05</w:t>
      </w:r>
      <w:r>
        <w:rPr>
          <w:rFonts w:hint="eastAsia" w:ascii="仿宋_GB2312" w:hAnsi="仿宋_GB2312" w:eastAsia="仿宋_GB2312" w:cs="仿宋_GB2312"/>
          <w:sz w:val="32"/>
          <w:szCs w:val="32"/>
          <w:lang w:val="zh-CN" w:eastAsia="zh-CN"/>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  公用经费24.17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BD75E06">
      <w:pPr>
        <w:widowControl/>
        <w:adjustRightInd w:val="0"/>
        <w:snapToGrid w:val="0"/>
        <w:spacing w:line="576" w:lineRule="exact"/>
        <w:ind w:firstLine="640" w:firstLineChars="200"/>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年度“三公”经费财政拨款支出决算中，因公出国（境）费支出决算0元。公务用车购置及运行维护费支出决算</w:t>
      </w:r>
      <w:r>
        <w:rPr>
          <w:rFonts w:hint="eastAsia" w:ascii="仿宋_GB2312" w:hAnsi="仿宋_GB2312" w:eastAsia="仿宋_GB2312" w:cs="仿宋_GB2312"/>
          <w:sz w:val="32"/>
          <w:szCs w:val="32"/>
          <w:lang w:val="en-US" w:eastAsia="zh-CN"/>
        </w:rPr>
        <w:t>2.07</w:t>
      </w:r>
      <w:r>
        <w:rPr>
          <w:rFonts w:hint="eastAsia" w:ascii="仿宋_GB2312" w:hAnsi="仿宋_GB2312" w:eastAsia="仿宋_GB2312" w:cs="仿宋_GB2312"/>
          <w:sz w:val="32"/>
          <w:szCs w:val="32"/>
          <w:lang w:val="zh-CN" w:eastAsia="zh-CN"/>
        </w:rPr>
        <w:t>万元，占100%；公务接待费支出决算0元。具体情况如下：</w:t>
      </w:r>
    </w:p>
    <w:p w14:paraId="3A61D28B">
      <w:pPr>
        <w:spacing w:line="576" w:lineRule="exact"/>
        <w:ind w:firstLine="640"/>
        <w:rPr>
          <w:rFonts w:hint="eastAsia" w:ascii="仿宋_GB2312" w:hAnsi="仿宋_GB2312" w:eastAsia="仿宋_GB2312" w:cs="仿宋_GB2312"/>
          <w:sz w:val="32"/>
          <w:szCs w:val="32"/>
          <w:lang w:val="zh-CN" w:eastAsia="zh-CN"/>
        </w:rPr>
      </w:pPr>
      <w:r>
        <w:rPr>
          <w:rFonts w:ascii="Times New Roman" w:hAnsi="Times New Roman" w:eastAsia="仿宋_GB2312"/>
          <w:b/>
          <w:color w:val="000000"/>
          <w:sz w:val="32"/>
          <w:szCs w:val="32"/>
        </w:rPr>
        <w:t>1.因公出国（境）经费支出</w:t>
      </w:r>
      <w:r>
        <w:rPr>
          <w:rFonts w:ascii="Times New Roman" w:hAnsi="Times New Roman" w:eastAsia="仿宋_GB2312"/>
          <w:color w:val="000000"/>
          <w:sz w:val="32"/>
          <w:szCs w:val="32"/>
        </w:rPr>
        <w:t>0元。全</w:t>
      </w:r>
      <w:r>
        <w:rPr>
          <w:rFonts w:hint="eastAsia" w:ascii="仿宋_GB2312" w:hAnsi="仿宋_GB2312" w:eastAsia="仿宋_GB2312" w:cs="仿宋_GB2312"/>
          <w:sz w:val="32"/>
          <w:szCs w:val="32"/>
          <w:lang w:val="zh-CN" w:eastAsia="zh-CN"/>
        </w:rPr>
        <w:t>年安排因公出国（境）团组0次，出国（境）0人。</w:t>
      </w:r>
    </w:p>
    <w:p w14:paraId="1FCCB130">
      <w:pPr>
        <w:spacing w:line="576"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2.公务用车购置及运行维护费支出</w:t>
      </w:r>
      <w:r>
        <w:rPr>
          <w:rFonts w:hint="eastAsia" w:ascii="Times New Roman" w:hAnsi="Times New Roman" w:eastAsia="仿宋_GB2312"/>
          <w:color w:val="000000"/>
          <w:sz w:val="32"/>
          <w:szCs w:val="32"/>
          <w:lang w:val="en-US" w:eastAsia="zh-CN"/>
        </w:rPr>
        <w:t>2.07</w:t>
      </w:r>
      <w:r>
        <w:rPr>
          <w:rFonts w:ascii="Times New Roman" w:hAnsi="Times New Roman" w:eastAsia="仿宋_GB2312"/>
          <w:color w:val="000000"/>
          <w:sz w:val="32"/>
          <w:szCs w:val="32"/>
        </w:rPr>
        <w:t>万元。其中：</w:t>
      </w:r>
    </w:p>
    <w:p w14:paraId="729E7B8A">
      <w:pPr>
        <w:spacing w:line="576" w:lineRule="exact"/>
        <w:rPr>
          <w:rFonts w:hint="eastAsia" w:ascii="仿宋_GB2312" w:hAnsi="仿宋_GB2312" w:eastAsia="仿宋_GB2312" w:cs="仿宋_GB2312"/>
          <w:sz w:val="32"/>
          <w:szCs w:val="32"/>
          <w:lang w:val="zh-CN" w:eastAsia="zh-CN"/>
        </w:rPr>
      </w:pPr>
      <w:r>
        <w:rPr>
          <w:rFonts w:ascii="Times New Roman" w:hAnsi="Times New Roman" w:eastAsia="仿宋_GB2312"/>
          <w:b/>
          <w:bCs/>
          <w:color w:val="000000"/>
          <w:sz w:val="32"/>
          <w:szCs w:val="32"/>
        </w:rPr>
        <w:t>公务用车购置支出</w:t>
      </w:r>
      <w:r>
        <w:rPr>
          <w:rFonts w:ascii="Times New Roman" w:hAnsi="Times New Roman" w:eastAsia="仿宋_GB2312"/>
          <w:color w:val="000000"/>
          <w:sz w:val="32"/>
          <w:szCs w:val="32"/>
        </w:rPr>
        <w:t>0元。</w:t>
      </w:r>
      <w:r>
        <w:rPr>
          <w:rFonts w:hint="eastAsia" w:ascii="仿宋_GB2312" w:hAnsi="仿宋_GB2312" w:eastAsia="仿宋_GB2312" w:cs="仿宋_GB2312"/>
          <w:sz w:val="32"/>
          <w:szCs w:val="32"/>
          <w:lang w:val="zh-CN" w:eastAsia="zh-CN"/>
        </w:rPr>
        <w:t>全年按规定更新购置公务用车0辆，其中：轿车0辆、金额0元，越野车0辆、金额0元，载客汽车0辆、金额0元。</w:t>
      </w:r>
    </w:p>
    <w:p w14:paraId="63AE0552">
      <w:pPr>
        <w:spacing w:line="576" w:lineRule="exact"/>
        <w:ind w:firstLine="640"/>
        <w:rPr>
          <w:rFonts w:hint="eastAsia" w:ascii="仿宋_GB2312" w:hAnsi="仿宋_GB2312" w:eastAsia="仿宋_GB2312" w:cs="仿宋_GB2312"/>
          <w:sz w:val="32"/>
          <w:szCs w:val="32"/>
          <w:lang w:val="zh-CN" w:eastAsia="zh-CN"/>
        </w:rPr>
      </w:pPr>
      <w:r>
        <w:rPr>
          <w:rFonts w:ascii="Times New Roman" w:hAnsi="Times New Roman" w:eastAsia="仿宋_GB2312"/>
          <w:b/>
          <w:color w:val="000000"/>
          <w:sz w:val="32"/>
          <w:szCs w:val="32"/>
        </w:rPr>
        <w:t>公务用车运行维护费支出</w:t>
      </w:r>
      <w:r>
        <w:rPr>
          <w:rFonts w:hint="eastAsia" w:ascii="仿宋_GB2312" w:hAnsi="仿宋_GB2312" w:eastAsia="仿宋_GB2312" w:cs="仿宋_GB2312"/>
          <w:sz w:val="32"/>
          <w:szCs w:val="32"/>
          <w:lang w:val="en-US" w:eastAsia="zh-CN"/>
        </w:rPr>
        <w:t>2.07</w:t>
      </w:r>
      <w:r>
        <w:rPr>
          <w:rFonts w:hint="eastAsia" w:ascii="仿宋_GB2312" w:hAnsi="仿宋_GB2312" w:eastAsia="仿宋_GB2312" w:cs="仿宋_GB2312"/>
          <w:sz w:val="32"/>
          <w:szCs w:val="32"/>
          <w:lang w:val="zh-CN" w:eastAsia="zh-CN"/>
        </w:rPr>
        <w:t>万元。主要用于单位汽车所需的公务用车燃料费、维修费、过路过桥费、保险费等支出。</w:t>
      </w:r>
    </w:p>
    <w:p w14:paraId="6B086C70">
      <w:pPr>
        <w:spacing w:line="576"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公务用车购置及运行维护费支出决算比2023年减少2.63万元，主要原因是办公务用车运行维护费支出减少。</w:t>
      </w:r>
    </w:p>
    <w:p w14:paraId="5F12263A">
      <w:pPr>
        <w:spacing w:line="576" w:lineRule="exact"/>
        <w:ind w:firstLine="643" w:firstLineChars="200"/>
        <w:rPr>
          <w:rFonts w:ascii="Times New Roman" w:hAnsi="Times New Roman" w:eastAsia="仿宋_GB2312"/>
          <w:color w:val="000000"/>
          <w:sz w:val="32"/>
          <w:szCs w:val="32"/>
        </w:rPr>
      </w:pPr>
      <w:r>
        <w:rPr>
          <w:rFonts w:ascii="Times New Roman" w:hAnsi="Times New Roman" w:eastAsia="仿宋_GB2312"/>
          <w:b/>
          <w:color w:val="000000"/>
          <w:sz w:val="32"/>
          <w:szCs w:val="32"/>
        </w:rPr>
        <w:t>3.公务接待费支出</w:t>
      </w:r>
      <w:r>
        <w:rPr>
          <w:rFonts w:ascii="Times New Roman" w:hAnsi="Times New Roman" w:eastAsia="仿宋_GB2312"/>
          <w:color w:val="000000"/>
          <w:sz w:val="32"/>
          <w:szCs w:val="32"/>
        </w:rPr>
        <w:t>0元。</w:t>
      </w:r>
    </w:p>
    <w:p w14:paraId="072D774A">
      <w:pPr>
        <w:spacing w:line="576"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2024年项目支出186.39万元，主要用于残疾人康复、残疾人就业和扶贫及其他残疾人事业支出等。</w:t>
      </w:r>
    </w:p>
    <w:p w14:paraId="378CB9A1">
      <w:pPr>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zh-CN" w:eastAsia="zh-CN"/>
        </w:rPr>
        <w:t>我会严格执行新的《预算法》，切实按照中央八项规定、省委九项规定管理制度，坚决执行财经和财务规章制度，按照《财务管理规定》、《财产管理规定》、《公务接待费管理规定》、《差旅费、会议费、培训费管理规定》、《公务用车管理办法》等规章制度管理本单位的财务收支活动，进一步明确了本会财政预算资金的审批手续和拨付程序、机关行政运行经费报审手续和报销程序，加强了财务管理，规范了收支行为，保证了本会财务管理工作规范有序进行。</w:t>
      </w:r>
    </w:p>
    <w:p w14:paraId="4AD99FA3">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（三）综合管理情况。</w:t>
      </w:r>
    </w:p>
    <w:p w14:paraId="1D5E994E">
      <w:pPr>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我会在执行有关法律法规、财经纪律、财务规章制度的同时，结合自身实际情况，制度相关财务制度、政府采购管理制度、项目管理制度等。2024年所有物资采购均按政府采购要求执行，固定资产全部按要求录入资产管理系统并由专人负责管理。内控制度健全并执行良好，并及时向社会公开了本部门的预、决算</w:t>
      </w:r>
      <w:r>
        <w:rPr>
          <w:rFonts w:hint="eastAsia" w:ascii="仿宋_GB2312" w:hAnsi="仿宋_GB2312" w:eastAsia="仿宋_GB2312" w:cs="仿宋_GB2312"/>
          <w:sz w:val="32"/>
          <w:szCs w:val="32"/>
          <w:lang w:val="zh-CN" w:eastAsia="zh-CN"/>
        </w:rPr>
        <w:t>，依法接受财政监督。</w:t>
      </w:r>
    </w:p>
    <w:p w14:paraId="262D1B32">
      <w:pPr>
        <w:widowControl/>
        <w:adjustRightInd w:val="0"/>
        <w:snapToGrid w:val="0"/>
        <w:spacing w:line="576" w:lineRule="exact"/>
        <w:ind w:firstLine="72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（四）整体绩效。</w:t>
      </w:r>
    </w:p>
    <w:p w14:paraId="4999DB0C">
      <w:pPr>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val="zh-CN" w:eastAsia="zh-CN"/>
        </w:rPr>
        <w:t>年度我会年初</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val="zh-CN" w:eastAsia="zh-CN"/>
        </w:rPr>
        <w:t>工作规划和重点工作</w:t>
      </w:r>
      <w:r>
        <w:rPr>
          <w:rFonts w:hint="eastAsia" w:ascii="仿宋_GB2312" w:hAnsi="仿宋_GB2312" w:eastAsia="仿宋_GB2312" w:cs="仿宋_GB2312"/>
          <w:sz w:val="32"/>
          <w:szCs w:val="32"/>
          <w:lang w:val="en-US" w:eastAsia="zh-CN"/>
        </w:rPr>
        <w:t>规划</w:t>
      </w:r>
      <w:r>
        <w:rPr>
          <w:rFonts w:hint="eastAsia" w:ascii="仿宋_GB2312" w:hAnsi="仿宋_GB2312" w:eastAsia="仿宋_GB2312" w:cs="仿宋_GB2312"/>
          <w:sz w:val="32"/>
          <w:szCs w:val="32"/>
          <w:lang w:val="zh-CN" w:eastAsia="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14:paraId="5CBEC346">
      <w:pPr>
        <w:widowControl/>
        <w:adjustRightInd w:val="0"/>
        <w:snapToGrid w:val="0"/>
        <w:spacing w:line="576" w:lineRule="exact"/>
        <w:ind w:firstLine="720"/>
        <w:jc w:val="left"/>
        <w:outlineLvl w:val="0"/>
        <w:rPr>
          <w:rFonts w:ascii="Times New Roman" w:hAnsi="Times New Roman" w:eastAsia="黑体"/>
          <w:color w:val="000000"/>
          <w:kern w:val="0"/>
          <w:sz w:val="32"/>
          <w:szCs w:val="32"/>
        </w:rPr>
      </w:pPr>
      <w:r>
        <w:rPr>
          <w:rFonts w:ascii="Times New Roman" w:hAnsi="Times New Roman" w:eastAsia="黑体"/>
          <w:color w:val="000000"/>
          <w:kern w:val="0"/>
          <w:sz w:val="32"/>
          <w:szCs w:val="32"/>
        </w:rPr>
        <w:t>四、评价结论及建议</w:t>
      </w:r>
    </w:p>
    <w:p w14:paraId="45063AE4">
      <w:pPr>
        <w:widowControl/>
        <w:adjustRightInd w:val="0"/>
        <w:snapToGrid w:val="0"/>
        <w:spacing w:line="576" w:lineRule="exact"/>
        <w:ind w:firstLine="72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（一）评价结论。</w:t>
      </w:r>
    </w:p>
    <w:p w14:paraId="51042770">
      <w:pPr>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根据《202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年红原县部门支出绩效评价指标体系》评分得分97分，部门整体支出绩效为“好”。</w:t>
      </w:r>
    </w:p>
    <w:p w14:paraId="0A8D5F31">
      <w:pPr>
        <w:widowControl/>
        <w:adjustRightInd w:val="0"/>
        <w:snapToGrid w:val="0"/>
        <w:spacing w:line="576" w:lineRule="exact"/>
        <w:ind w:firstLine="643" w:firstLineChars="20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（二）存在问题。</w:t>
      </w:r>
    </w:p>
    <w:p w14:paraId="5F59E40D">
      <w:pPr>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一是要完善系统流程及规章制度；二是要了解财政各项规定，严格按照规定执行，做好费用报销审核工作；三是推进项目资金的使用进度，提高资金使用效率；四是加强制度建设，将行动落实到实处。</w:t>
      </w:r>
    </w:p>
    <w:p w14:paraId="3FD1E75E">
      <w:pPr>
        <w:widowControl/>
        <w:adjustRightInd w:val="0"/>
        <w:snapToGrid w:val="0"/>
        <w:spacing w:line="576" w:lineRule="exact"/>
        <w:ind w:left="630"/>
        <w:jc w:val="left"/>
        <w:outlineLvl w:val="1"/>
        <w:rPr>
          <w:rFonts w:ascii="Times New Roman" w:hAnsi="Times New Roman" w:eastAsia="仿宋_GB2312"/>
          <w:b/>
          <w:bCs/>
          <w:color w:val="000000"/>
          <w:kern w:val="0"/>
          <w:sz w:val="32"/>
          <w:szCs w:val="32"/>
          <w:lang w:val="zh-CN"/>
        </w:rPr>
      </w:pPr>
      <w:r>
        <w:rPr>
          <w:rFonts w:ascii="Times New Roman" w:hAnsi="Times New Roman" w:eastAsia="仿宋_GB2312"/>
          <w:b/>
          <w:bCs/>
          <w:color w:val="000000"/>
          <w:kern w:val="0"/>
          <w:sz w:val="32"/>
          <w:szCs w:val="32"/>
          <w:lang w:val="zh-CN"/>
        </w:rPr>
        <w:t>（三）改进建议。</w:t>
      </w:r>
    </w:p>
    <w:p w14:paraId="18525CA5">
      <w:pPr>
        <w:spacing w:line="576" w:lineRule="exact"/>
        <w:ind w:firstLine="640"/>
        <w:rPr>
          <w:rFonts w:ascii="Times New Roman"/>
          <w:sz w:val="32"/>
          <w:highlight w:val="yellow"/>
          <w:lang w:val="zh-CN"/>
        </w:rPr>
      </w:pPr>
      <w:r>
        <w:rPr>
          <w:rFonts w:hint="eastAsia" w:ascii="仿宋_GB2312" w:hAnsi="仿宋_GB2312" w:eastAsia="仿宋_GB2312" w:cs="仿宋_GB2312"/>
          <w:sz w:val="32"/>
          <w:szCs w:val="32"/>
          <w:lang w:val="zh-CN" w:eastAsia="zh-CN"/>
        </w:rPr>
        <w:t>加强内控制度建设力度，建立内控长效机制，严格财务管理，加强财务监督，坚持厉行节约，控制“三公经费”支出，严格管理现金支出，加强财务人员业务培训，提高业务水平。</w:t>
      </w:r>
    </w:p>
    <w:p w14:paraId="1EDCD6D7">
      <w:pPr>
        <w:pStyle w:val="6"/>
        <w:spacing w:before="93"/>
        <w:rPr>
          <w:rFonts w:ascii="Times New Roman" w:cs="宋体"/>
          <w:color w:val="FF0000"/>
          <w:sz w:val="32"/>
          <w:szCs w:val="32"/>
          <w:highlight w:val="yellow"/>
          <w:shd w:val="clear" w:color="auto" w:fill="FFFFFF"/>
          <w:lang w:val="zh-CN"/>
        </w:rPr>
      </w:pPr>
    </w:p>
    <w:p w14:paraId="015FFE27">
      <w:pPr>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586DF15E">
      <w:pPr>
        <w:pStyle w:val="37"/>
        <w:spacing w:line="578" w:lineRule="exact"/>
        <w:jc w:val="center"/>
        <w:rPr>
          <w:rFonts w:ascii="Times New Roman" w:hAnsi="Times New Roman" w:eastAsia="方正小标宋简体" w:cs="方正小标宋简体"/>
          <w:color w:val="auto"/>
          <w:kern w:val="2"/>
          <w:sz w:val="44"/>
          <w:szCs w:val="44"/>
          <w:lang w:val="en-US"/>
        </w:rPr>
      </w:pPr>
    </w:p>
    <w:p w14:paraId="26A84BDD">
      <w:pPr>
        <w:pStyle w:val="37"/>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14:paraId="2323B749">
      <w:pPr>
        <w:pStyle w:val="37"/>
        <w:spacing w:line="578" w:lineRule="exact"/>
        <w:ind w:firstLine="640"/>
        <w:jc w:val="center"/>
        <w:rPr>
          <w:rFonts w:ascii="Times New Roman" w:hAnsi="Times New Roman"/>
          <w:color w:val="auto"/>
          <w:kern w:val="2"/>
          <w:sz w:val="32"/>
          <w:szCs w:val="32"/>
        </w:rPr>
      </w:pPr>
    </w:p>
    <w:p w14:paraId="55531CBF">
      <w:pPr>
        <w:pStyle w:val="9"/>
        <w:widowControl/>
        <w:kinsoku w:val="0"/>
        <w:autoSpaceDE w:val="0"/>
        <w:autoSpaceDN w:val="0"/>
        <w:adjustRightInd w:val="0"/>
        <w:snapToGrid w:val="0"/>
        <w:spacing w:line="576" w:lineRule="exact"/>
        <w:ind w:firstLine="640" w:firstLineChars="200"/>
        <w:jc w:val="left"/>
        <w:textAlignment w:val="baseline"/>
        <w:rPr>
          <w:rFonts w:ascii="黑体" w:hAnsi="黑体" w:eastAsia="黑体" w:cs="黑体"/>
          <w:bCs/>
          <w:sz w:val="32"/>
          <w:szCs w:val="32"/>
        </w:rPr>
      </w:pPr>
      <w:bookmarkStart w:id="45" w:name="_Toc15396618"/>
      <w:r>
        <w:rPr>
          <w:rFonts w:hint="eastAsia" w:ascii="黑体" w:hAnsi="黑体" w:eastAsia="黑体" w:cs="黑体"/>
          <w:bCs/>
          <w:sz w:val="32"/>
          <w:szCs w:val="32"/>
        </w:rPr>
        <w:t>一、基本情况</w:t>
      </w:r>
    </w:p>
    <w:p w14:paraId="372A50B4">
      <w:pPr>
        <w:pStyle w:val="9"/>
        <w:widowControl/>
        <w:numPr>
          <w:ilvl w:val="0"/>
          <w:numId w:val="4"/>
        </w:numPr>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转移支付概况</w:t>
      </w:r>
    </w:p>
    <w:p w14:paraId="6C74D665">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（1）政策背景：为进一步支持残疾人事业发展，根据《财政厅关于下达2024年中央财政残疾人事业发展补助资金的通知》（川财社〔2024〕41号</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zh-CN" w:eastAsia="zh-CN" w:bidi="ar-SA"/>
        </w:rPr>
        <w:t>文件精神要求，结合我单位具体情况，现将我会202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年度转移支付情况报告如下：</w:t>
      </w:r>
    </w:p>
    <w:p w14:paraId="29059B48">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（2）项目概况及资金情况：202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年我单位涉及绩效自评的转移支付项目共</w:t>
      </w:r>
      <w:r>
        <w:rPr>
          <w:rFonts w:hint="eastAsia" w:ascii="仿宋_GB2312" w:hAnsi="仿宋_GB2312" w:eastAsia="仿宋_GB2312" w:cs="仿宋_GB2312"/>
          <w:kern w:val="2"/>
          <w:sz w:val="32"/>
          <w:szCs w:val="32"/>
          <w:lang w:val="en-US" w:eastAsia="zh-CN" w:bidi="ar-SA"/>
        </w:rPr>
        <w:t>16</w:t>
      </w:r>
      <w:r>
        <w:rPr>
          <w:rFonts w:hint="eastAsia" w:ascii="仿宋_GB2312" w:hAnsi="仿宋_GB2312" w:eastAsia="仿宋_GB2312" w:cs="仿宋_GB2312"/>
          <w:kern w:val="2"/>
          <w:sz w:val="32"/>
          <w:szCs w:val="32"/>
          <w:lang w:val="zh-CN" w:eastAsia="zh-CN" w:bidi="ar-SA"/>
        </w:rPr>
        <w:t>项，下达资金共计</w:t>
      </w:r>
      <w:r>
        <w:rPr>
          <w:rFonts w:hint="eastAsia" w:ascii="仿宋_GB2312" w:hAnsi="仿宋_GB2312" w:eastAsia="仿宋_GB2312" w:cs="仿宋_GB2312"/>
          <w:kern w:val="2"/>
          <w:sz w:val="32"/>
          <w:szCs w:val="32"/>
          <w:lang w:val="en-US" w:eastAsia="zh-CN" w:bidi="ar-SA"/>
        </w:rPr>
        <w:t>80.2845</w:t>
      </w:r>
      <w:r>
        <w:rPr>
          <w:rFonts w:hint="eastAsia" w:ascii="仿宋_GB2312" w:hAnsi="仿宋_GB2312" w:eastAsia="仿宋_GB2312" w:cs="仿宋_GB2312"/>
          <w:kern w:val="2"/>
          <w:sz w:val="32"/>
          <w:szCs w:val="32"/>
          <w:lang w:val="zh-CN" w:eastAsia="zh-CN" w:bidi="ar-SA"/>
        </w:rPr>
        <w:t>万元，其中中央彩票公益金项目共</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项，下达资金</w:t>
      </w:r>
      <w:r>
        <w:rPr>
          <w:rFonts w:hint="eastAsia" w:ascii="仿宋_GB2312" w:hAnsi="仿宋_GB2312" w:eastAsia="仿宋_GB2312" w:cs="仿宋_GB2312"/>
          <w:kern w:val="2"/>
          <w:sz w:val="32"/>
          <w:szCs w:val="32"/>
          <w:lang w:val="en-US" w:eastAsia="zh-CN" w:bidi="ar-SA"/>
        </w:rPr>
        <w:t>8.3</w:t>
      </w:r>
      <w:r>
        <w:rPr>
          <w:rFonts w:hint="eastAsia" w:ascii="仿宋_GB2312" w:hAnsi="仿宋_GB2312" w:eastAsia="仿宋_GB2312" w:cs="仿宋_GB2312"/>
          <w:kern w:val="2"/>
          <w:sz w:val="32"/>
          <w:szCs w:val="32"/>
          <w:lang w:val="zh-CN" w:eastAsia="zh-CN" w:bidi="ar-SA"/>
        </w:rPr>
        <w:t>万元；中央、省级一般公共预算项目共计</w:t>
      </w:r>
      <w:r>
        <w:rPr>
          <w:rFonts w:hint="eastAsia" w:ascii="仿宋_GB2312" w:hAnsi="仿宋_GB2312" w:eastAsia="仿宋_GB2312" w:cs="仿宋_GB2312"/>
          <w:kern w:val="2"/>
          <w:sz w:val="32"/>
          <w:szCs w:val="32"/>
          <w:lang w:val="en-US" w:eastAsia="zh-CN" w:bidi="ar-SA"/>
        </w:rPr>
        <w:t>15</w:t>
      </w:r>
      <w:r>
        <w:rPr>
          <w:rFonts w:hint="eastAsia" w:ascii="仿宋_GB2312" w:hAnsi="仿宋_GB2312" w:eastAsia="仿宋_GB2312" w:cs="仿宋_GB2312"/>
          <w:kern w:val="2"/>
          <w:sz w:val="32"/>
          <w:szCs w:val="32"/>
          <w:lang w:val="zh-CN" w:eastAsia="zh-CN" w:bidi="ar-SA"/>
        </w:rPr>
        <w:t>项，下达资金</w:t>
      </w:r>
      <w:r>
        <w:rPr>
          <w:rFonts w:hint="eastAsia" w:ascii="仿宋_GB2312" w:hAnsi="仿宋_GB2312" w:eastAsia="仿宋_GB2312" w:cs="仿宋_GB2312"/>
          <w:kern w:val="2"/>
          <w:sz w:val="32"/>
          <w:szCs w:val="32"/>
          <w:lang w:val="en-US" w:eastAsia="zh-CN" w:bidi="ar-SA"/>
        </w:rPr>
        <w:t>71.9845</w:t>
      </w:r>
      <w:r>
        <w:rPr>
          <w:rFonts w:hint="eastAsia" w:ascii="仿宋_GB2312" w:hAnsi="仿宋_GB2312" w:eastAsia="仿宋_GB2312" w:cs="仿宋_GB2312"/>
          <w:kern w:val="2"/>
          <w:sz w:val="32"/>
          <w:szCs w:val="32"/>
          <w:lang w:val="zh-CN" w:eastAsia="zh-CN" w:bidi="ar-SA"/>
        </w:rPr>
        <w:t>万元。</w:t>
      </w:r>
    </w:p>
    <w:p w14:paraId="5218165D">
      <w:pPr>
        <w:pStyle w:val="9"/>
        <w:widowControl/>
        <w:kinsoku w:val="0"/>
        <w:autoSpaceDE w:val="0"/>
        <w:autoSpaceDN w:val="0"/>
        <w:adjustRightInd w:val="0"/>
        <w:snapToGrid w:val="0"/>
        <w:spacing w:line="576" w:lineRule="exact"/>
        <w:ind w:firstLine="640" w:firstLineChars="200"/>
        <w:jc w:val="left"/>
        <w:textAlignment w:val="baseline"/>
        <w:rPr>
          <w:rFonts w:ascii="黑体" w:hAnsi="黑体" w:eastAsia="黑体" w:cs="黑体"/>
          <w:bCs/>
          <w:sz w:val="32"/>
          <w:szCs w:val="32"/>
        </w:rPr>
      </w:pPr>
      <w:r>
        <w:rPr>
          <w:rFonts w:hint="eastAsia" w:ascii="黑体" w:hAnsi="黑体" w:eastAsia="黑体" w:cs="黑体"/>
          <w:bCs/>
          <w:sz w:val="32"/>
          <w:szCs w:val="32"/>
        </w:rPr>
        <w:t>二、绩效目标完成情况分析</w:t>
      </w:r>
    </w:p>
    <w:p w14:paraId="2B8CB9B2">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（一）资金投入情况分析</w:t>
      </w:r>
    </w:p>
    <w:p w14:paraId="63DAC089">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hint="eastAsia" w:ascii="仿宋_GB2312" w:hAnsi="仿宋_GB2312" w:eastAsia="仿宋_GB2312" w:cs="仿宋_GB2312"/>
          <w:kern w:val="2"/>
          <w:sz w:val="32"/>
          <w:szCs w:val="32"/>
          <w:lang w:val="zh-CN" w:eastAsia="zh-CN" w:bidi="ar-SA"/>
        </w:rPr>
        <w:t xml:space="preserve"> 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年度上级下达资金共</w:t>
      </w:r>
      <w:r>
        <w:rPr>
          <w:rFonts w:hint="eastAsia" w:ascii="仿宋_GB2312" w:hAnsi="仿宋_GB2312" w:eastAsia="仿宋_GB2312" w:cs="仿宋_GB2312"/>
          <w:kern w:val="2"/>
          <w:sz w:val="32"/>
          <w:szCs w:val="32"/>
          <w:lang w:val="en-US" w:eastAsia="zh-CN" w:bidi="ar-SA"/>
        </w:rPr>
        <w:t>80.2845</w:t>
      </w:r>
      <w:r>
        <w:rPr>
          <w:rFonts w:hint="eastAsia" w:ascii="仿宋_GB2312" w:hAnsi="仿宋_GB2312" w:eastAsia="仿宋_GB2312" w:cs="仿宋_GB2312"/>
          <w:kern w:val="2"/>
          <w:sz w:val="32"/>
          <w:szCs w:val="32"/>
          <w:lang w:val="zh-CN" w:eastAsia="zh-CN" w:bidi="ar-SA"/>
        </w:rPr>
        <w:t>万元，其中：</w:t>
      </w:r>
    </w:p>
    <w:p w14:paraId="6D55ACF5">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（1）阿州财社〔202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19</w:t>
      </w:r>
      <w:r>
        <w:rPr>
          <w:rFonts w:hint="eastAsia" w:ascii="仿宋_GB2312" w:hAnsi="仿宋_GB2312" w:eastAsia="仿宋_GB2312" w:cs="仿宋_GB2312"/>
          <w:kern w:val="2"/>
          <w:sz w:val="32"/>
          <w:szCs w:val="32"/>
          <w:lang w:val="zh-CN" w:eastAsia="zh-CN" w:bidi="ar-SA"/>
        </w:rPr>
        <w:t>号文件下达资金共</w:t>
      </w:r>
      <w:r>
        <w:rPr>
          <w:rFonts w:hint="eastAsia" w:ascii="仿宋_GB2312" w:hAnsi="仿宋_GB2312" w:eastAsia="仿宋_GB2312" w:cs="仿宋_GB2312"/>
          <w:kern w:val="2"/>
          <w:sz w:val="32"/>
          <w:szCs w:val="32"/>
          <w:lang w:val="en-US" w:eastAsia="zh-CN" w:bidi="ar-SA"/>
        </w:rPr>
        <w:t>38.6315</w:t>
      </w:r>
      <w:r>
        <w:rPr>
          <w:rFonts w:hint="eastAsia" w:ascii="仿宋_GB2312" w:hAnsi="仿宋_GB2312" w:eastAsia="仿宋_GB2312" w:cs="仿宋_GB2312"/>
          <w:kern w:val="2"/>
          <w:sz w:val="32"/>
          <w:szCs w:val="32"/>
          <w:lang w:val="zh-CN" w:eastAsia="zh-CN" w:bidi="ar-SA"/>
        </w:rPr>
        <w:t>万元（其中：中央和省级转移支付彩票公益金</w:t>
      </w:r>
      <w:r>
        <w:rPr>
          <w:rFonts w:hint="eastAsia" w:ascii="仿宋_GB2312" w:hAnsi="仿宋_GB2312" w:eastAsia="仿宋_GB2312" w:cs="仿宋_GB2312"/>
          <w:kern w:val="2"/>
          <w:sz w:val="32"/>
          <w:szCs w:val="32"/>
          <w:lang w:val="en-US" w:eastAsia="zh-CN" w:bidi="ar-SA"/>
        </w:rPr>
        <w:t>4.3</w:t>
      </w:r>
      <w:r>
        <w:rPr>
          <w:rFonts w:hint="eastAsia" w:ascii="仿宋_GB2312" w:hAnsi="仿宋_GB2312" w:eastAsia="仿宋_GB2312" w:cs="仿宋_GB2312"/>
          <w:kern w:val="2"/>
          <w:sz w:val="32"/>
          <w:szCs w:val="32"/>
          <w:lang w:val="zh-CN" w:eastAsia="zh-CN" w:bidi="ar-SA"/>
        </w:rPr>
        <w:t>万元，中央和省级一般公共预算资金</w:t>
      </w:r>
      <w:r>
        <w:rPr>
          <w:rFonts w:hint="eastAsia" w:ascii="仿宋_GB2312" w:hAnsi="仿宋_GB2312" w:eastAsia="仿宋_GB2312" w:cs="仿宋_GB2312"/>
          <w:kern w:val="2"/>
          <w:sz w:val="32"/>
          <w:szCs w:val="32"/>
          <w:lang w:val="en-US" w:eastAsia="zh-CN" w:bidi="ar-SA"/>
        </w:rPr>
        <w:t>34.3315</w:t>
      </w:r>
      <w:r>
        <w:rPr>
          <w:rFonts w:hint="eastAsia" w:ascii="仿宋_GB2312" w:hAnsi="仿宋_GB2312" w:eastAsia="仿宋_GB2312" w:cs="仿宋_GB2312"/>
          <w:kern w:val="2"/>
          <w:sz w:val="32"/>
          <w:szCs w:val="32"/>
          <w:lang w:val="zh-CN" w:eastAsia="zh-CN" w:bidi="ar-SA"/>
        </w:rPr>
        <w:t>万元）；</w:t>
      </w:r>
    </w:p>
    <w:p w14:paraId="3BB999A9">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（2）阿州财社〔202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52</w:t>
      </w:r>
      <w:r>
        <w:rPr>
          <w:rFonts w:hint="eastAsia" w:ascii="仿宋_GB2312" w:hAnsi="仿宋_GB2312" w:eastAsia="仿宋_GB2312" w:cs="仿宋_GB2312"/>
          <w:kern w:val="2"/>
          <w:sz w:val="32"/>
          <w:szCs w:val="32"/>
          <w:lang w:val="zh-CN" w:eastAsia="zh-CN" w:bidi="ar-SA"/>
        </w:rPr>
        <w:t>号文件下达资金共</w:t>
      </w:r>
      <w:r>
        <w:rPr>
          <w:rFonts w:hint="eastAsia" w:ascii="仿宋_GB2312" w:hAnsi="仿宋_GB2312" w:eastAsia="仿宋_GB2312" w:cs="仿宋_GB2312"/>
          <w:kern w:val="2"/>
          <w:sz w:val="32"/>
          <w:szCs w:val="32"/>
          <w:lang w:val="en-US" w:eastAsia="zh-CN" w:bidi="ar-SA"/>
        </w:rPr>
        <w:t>25.653</w:t>
      </w:r>
      <w:r>
        <w:rPr>
          <w:rFonts w:hint="eastAsia" w:ascii="仿宋_GB2312" w:hAnsi="仿宋_GB2312" w:eastAsia="仿宋_GB2312" w:cs="仿宋_GB2312"/>
          <w:kern w:val="2"/>
          <w:sz w:val="32"/>
          <w:szCs w:val="32"/>
          <w:lang w:val="zh-CN" w:eastAsia="zh-CN" w:bidi="ar-SA"/>
        </w:rPr>
        <w:t>万元，（其中：省级彩票公益金</w:t>
      </w:r>
      <w:r>
        <w:rPr>
          <w:rFonts w:hint="eastAsia" w:ascii="仿宋_GB2312" w:hAnsi="仿宋_GB2312" w:eastAsia="仿宋_GB2312" w:cs="仿宋_GB2312"/>
          <w:kern w:val="2"/>
          <w:sz w:val="32"/>
          <w:szCs w:val="32"/>
          <w:lang w:val="en-US" w:eastAsia="zh-CN" w:bidi="ar-SA"/>
        </w:rPr>
        <w:t>3.888</w:t>
      </w:r>
      <w:r>
        <w:rPr>
          <w:rFonts w:hint="eastAsia" w:ascii="仿宋_GB2312" w:hAnsi="仿宋_GB2312" w:eastAsia="仿宋_GB2312" w:cs="仿宋_GB2312"/>
          <w:kern w:val="2"/>
          <w:sz w:val="32"/>
          <w:szCs w:val="32"/>
          <w:lang w:val="zh-CN" w:eastAsia="zh-CN" w:bidi="ar-SA"/>
        </w:rPr>
        <w:t>万元，省级和州级一般公共预算资金</w:t>
      </w:r>
      <w:r>
        <w:rPr>
          <w:rFonts w:hint="eastAsia" w:ascii="仿宋_GB2312" w:hAnsi="仿宋_GB2312" w:eastAsia="仿宋_GB2312" w:cs="仿宋_GB2312"/>
          <w:kern w:val="2"/>
          <w:sz w:val="32"/>
          <w:szCs w:val="32"/>
          <w:lang w:val="en-US" w:eastAsia="zh-CN" w:bidi="ar-SA"/>
        </w:rPr>
        <w:t>21.765</w:t>
      </w:r>
      <w:r>
        <w:rPr>
          <w:rFonts w:hint="eastAsia" w:ascii="仿宋_GB2312" w:hAnsi="仿宋_GB2312" w:eastAsia="仿宋_GB2312" w:cs="仿宋_GB2312"/>
          <w:kern w:val="2"/>
          <w:sz w:val="32"/>
          <w:szCs w:val="32"/>
          <w:lang w:val="zh-CN" w:eastAsia="zh-CN" w:bidi="ar-SA"/>
        </w:rPr>
        <w:t>万元）；</w:t>
      </w:r>
    </w:p>
    <w:p w14:paraId="0F9EE1CD">
      <w:pPr>
        <w:pStyle w:val="9"/>
        <w:spacing w:line="660" w:lineRule="exact"/>
        <w:ind w:firstLine="320" w:firstLineChars="100"/>
        <w:jc w:val="left"/>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（3）阿州财社〔202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62</w:t>
      </w:r>
      <w:r>
        <w:rPr>
          <w:rFonts w:hint="eastAsia" w:ascii="仿宋_GB2312" w:hAnsi="仿宋_GB2312" w:eastAsia="仿宋_GB2312" w:cs="仿宋_GB2312"/>
          <w:kern w:val="2"/>
          <w:sz w:val="32"/>
          <w:szCs w:val="32"/>
          <w:lang w:val="zh-CN" w:eastAsia="zh-CN" w:bidi="ar-SA"/>
        </w:rPr>
        <w:t>号文件下达资金共</w:t>
      </w:r>
      <w:r>
        <w:rPr>
          <w:rFonts w:hint="eastAsia" w:ascii="仿宋_GB2312" w:hAnsi="仿宋_GB2312" w:eastAsia="仿宋_GB2312" w:cs="仿宋_GB2312"/>
          <w:kern w:val="2"/>
          <w:sz w:val="32"/>
          <w:szCs w:val="32"/>
          <w:lang w:val="en-US" w:eastAsia="zh-CN" w:bidi="ar-SA"/>
        </w:rPr>
        <w:t>16万元，其中</w:t>
      </w:r>
      <w:r>
        <w:rPr>
          <w:rFonts w:hint="eastAsia" w:ascii="仿宋_GB2312" w:hAnsi="仿宋_GB2312" w:eastAsia="仿宋_GB2312" w:cs="仿宋_GB2312"/>
          <w:kern w:val="2"/>
          <w:sz w:val="32"/>
          <w:szCs w:val="32"/>
          <w:lang w:val="zh-CN" w:eastAsia="zh-CN" w:bidi="ar-SA"/>
        </w:rPr>
        <w:t>中央彩票公益金</w:t>
      </w:r>
      <w:r>
        <w:rPr>
          <w:rFonts w:hint="eastAsia" w:ascii="仿宋_GB2312" w:hAnsi="仿宋_GB2312" w:eastAsia="仿宋_GB2312" w:cs="仿宋_GB2312"/>
          <w:kern w:val="2"/>
          <w:sz w:val="32"/>
          <w:szCs w:val="32"/>
          <w:lang w:val="en-US" w:eastAsia="zh-CN" w:bidi="ar-SA"/>
        </w:rPr>
        <w:t>4万元，中央和州级</w:t>
      </w:r>
      <w:r>
        <w:rPr>
          <w:rFonts w:hint="eastAsia" w:ascii="仿宋_GB2312" w:hAnsi="仿宋_GB2312" w:eastAsia="仿宋_GB2312" w:cs="仿宋_GB2312"/>
          <w:kern w:val="2"/>
          <w:sz w:val="32"/>
          <w:szCs w:val="32"/>
          <w:lang w:val="zh-CN" w:eastAsia="zh-CN" w:bidi="ar-SA"/>
        </w:rPr>
        <w:t>一般公共预算资金</w:t>
      </w:r>
      <w:r>
        <w:rPr>
          <w:rFonts w:hint="eastAsia"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zh-CN" w:eastAsia="zh-CN" w:bidi="ar-SA"/>
        </w:rPr>
        <w:t>万元。</w:t>
      </w:r>
    </w:p>
    <w:p w14:paraId="6DEAEEA8">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（二）资金执行情况分析</w:t>
      </w:r>
    </w:p>
    <w:p w14:paraId="3631B429">
      <w:pPr>
        <w:pStyle w:val="9"/>
        <w:widowControl/>
        <w:kinsoku w:val="0"/>
        <w:autoSpaceDE w:val="0"/>
        <w:autoSpaceDN w:val="0"/>
        <w:adjustRightInd w:val="0"/>
        <w:snapToGrid w:val="0"/>
        <w:spacing w:line="576" w:lineRule="exact"/>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仿宋_GB2312" w:hAnsi="仿宋_GB2312" w:eastAsia="仿宋_GB2312" w:cs="仿宋_GB2312"/>
          <w:kern w:val="2"/>
          <w:sz w:val="32"/>
          <w:szCs w:val="32"/>
          <w:lang w:val="zh-CN" w:eastAsia="zh-CN" w:bidi="ar-SA"/>
        </w:rPr>
        <w:t>（1） 202</w:t>
      </w: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年度共下达资金</w:t>
      </w:r>
      <w:r>
        <w:rPr>
          <w:rFonts w:hint="eastAsia" w:ascii="仿宋_GB2312" w:hAnsi="仿宋_GB2312" w:eastAsia="仿宋_GB2312" w:cs="仿宋_GB2312"/>
          <w:kern w:val="2"/>
          <w:sz w:val="32"/>
          <w:szCs w:val="32"/>
          <w:lang w:val="en-US" w:eastAsia="zh-CN" w:bidi="ar-SA"/>
        </w:rPr>
        <w:t>80.2845</w:t>
      </w:r>
      <w:r>
        <w:rPr>
          <w:rFonts w:hint="eastAsia" w:ascii="仿宋_GB2312" w:hAnsi="仿宋_GB2312" w:eastAsia="仿宋_GB2312" w:cs="仿宋_GB2312"/>
          <w:kern w:val="2"/>
          <w:sz w:val="32"/>
          <w:szCs w:val="32"/>
          <w:lang w:val="zh-CN" w:eastAsia="zh-CN" w:bidi="ar-SA"/>
        </w:rPr>
        <w:t>万元，执行资金共</w:t>
      </w:r>
      <w:r>
        <w:rPr>
          <w:rFonts w:hint="eastAsia" w:ascii="仿宋_GB2312" w:hAnsi="仿宋_GB2312" w:eastAsia="仿宋_GB2312" w:cs="仿宋_GB2312"/>
          <w:kern w:val="2"/>
          <w:sz w:val="32"/>
          <w:szCs w:val="32"/>
          <w:lang w:val="en-US" w:eastAsia="zh-CN" w:bidi="ar-SA"/>
        </w:rPr>
        <w:t>75.4</w:t>
      </w:r>
      <w:r>
        <w:rPr>
          <w:rFonts w:hint="eastAsia" w:ascii="仿宋_GB2312" w:hAnsi="仿宋_GB2312" w:eastAsia="仿宋_GB2312" w:cs="仿宋_GB2312"/>
          <w:kern w:val="2"/>
          <w:sz w:val="32"/>
          <w:szCs w:val="32"/>
          <w:lang w:val="zh-CN" w:eastAsia="zh-CN" w:bidi="ar-SA"/>
        </w:rPr>
        <w:t>万元。其中：中央、省级和州级一般公共预算资金下达</w:t>
      </w:r>
      <w:r>
        <w:rPr>
          <w:rFonts w:hint="eastAsia" w:ascii="仿宋_GB2312" w:hAnsi="仿宋_GB2312" w:eastAsia="仿宋_GB2312" w:cs="仿宋_GB2312"/>
          <w:kern w:val="2"/>
          <w:sz w:val="32"/>
          <w:szCs w:val="32"/>
          <w:lang w:val="en-US" w:eastAsia="zh-CN" w:bidi="ar-SA"/>
        </w:rPr>
        <w:t>68.0965</w:t>
      </w:r>
      <w:r>
        <w:rPr>
          <w:rFonts w:hint="eastAsia" w:ascii="仿宋_GB2312" w:hAnsi="仿宋_GB2312" w:eastAsia="仿宋_GB2312" w:cs="仿宋_GB2312"/>
          <w:kern w:val="2"/>
          <w:sz w:val="32"/>
          <w:szCs w:val="32"/>
          <w:lang w:val="zh-CN" w:eastAsia="zh-CN" w:bidi="ar-SA"/>
        </w:rPr>
        <w:t>万元，执行</w:t>
      </w:r>
      <w:r>
        <w:rPr>
          <w:rFonts w:hint="eastAsia" w:ascii="仿宋_GB2312" w:hAnsi="仿宋_GB2312" w:eastAsia="仿宋_GB2312" w:cs="仿宋_GB2312"/>
          <w:kern w:val="2"/>
          <w:sz w:val="32"/>
          <w:szCs w:val="32"/>
          <w:lang w:val="en-US" w:eastAsia="zh-CN" w:bidi="ar-SA"/>
        </w:rPr>
        <w:t>65.236</w:t>
      </w:r>
      <w:r>
        <w:rPr>
          <w:rFonts w:hint="eastAsia" w:ascii="仿宋_GB2312" w:hAnsi="仿宋_GB2312" w:eastAsia="仿宋_GB2312" w:cs="仿宋_GB2312"/>
          <w:kern w:val="2"/>
          <w:sz w:val="32"/>
          <w:szCs w:val="32"/>
          <w:lang w:val="zh-CN" w:eastAsia="zh-CN" w:bidi="ar-SA"/>
        </w:rPr>
        <w:t>万元，执行率</w:t>
      </w:r>
      <w:r>
        <w:rPr>
          <w:rFonts w:hint="eastAsia" w:ascii="仿宋_GB2312" w:hAnsi="仿宋_GB2312" w:eastAsia="仿宋_GB2312" w:cs="仿宋_GB2312"/>
          <w:kern w:val="2"/>
          <w:sz w:val="32"/>
          <w:szCs w:val="32"/>
          <w:lang w:val="en-US" w:eastAsia="zh-CN" w:bidi="ar-SA"/>
        </w:rPr>
        <w:t>95.8</w:t>
      </w:r>
      <w:r>
        <w:rPr>
          <w:rFonts w:hint="eastAsia" w:ascii="仿宋_GB2312" w:hAnsi="仿宋_GB2312" w:eastAsia="仿宋_GB2312" w:cs="仿宋_GB2312"/>
          <w:kern w:val="2"/>
          <w:sz w:val="32"/>
          <w:szCs w:val="32"/>
          <w:lang w:val="zh-CN" w:eastAsia="zh-CN" w:bidi="ar-SA"/>
        </w:rPr>
        <w:t>％。中央和省级彩票公益金资金下达</w:t>
      </w:r>
      <w:r>
        <w:rPr>
          <w:rFonts w:hint="eastAsia" w:ascii="仿宋_GB2312" w:hAnsi="仿宋_GB2312" w:eastAsia="仿宋_GB2312" w:cs="仿宋_GB2312"/>
          <w:kern w:val="2"/>
          <w:sz w:val="32"/>
          <w:szCs w:val="32"/>
          <w:lang w:val="en-US" w:eastAsia="zh-CN" w:bidi="ar-SA"/>
        </w:rPr>
        <w:t>12.188</w:t>
      </w:r>
      <w:r>
        <w:rPr>
          <w:rFonts w:hint="eastAsia" w:ascii="仿宋_GB2312" w:hAnsi="仿宋_GB2312" w:eastAsia="仿宋_GB2312" w:cs="仿宋_GB2312"/>
          <w:kern w:val="2"/>
          <w:sz w:val="32"/>
          <w:szCs w:val="32"/>
          <w:lang w:val="zh-CN" w:eastAsia="zh-CN" w:bidi="ar-SA"/>
        </w:rPr>
        <w:t>万元，执行</w:t>
      </w:r>
      <w:r>
        <w:rPr>
          <w:rFonts w:hint="eastAsia" w:ascii="仿宋_GB2312" w:hAnsi="仿宋_GB2312" w:eastAsia="仿宋_GB2312" w:cs="仿宋_GB2312"/>
          <w:kern w:val="2"/>
          <w:sz w:val="32"/>
          <w:szCs w:val="32"/>
          <w:lang w:val="en-US" w:eastAsia="zh-CN" w:bidi="ar-SA"/>
        </w:rPr>
        <w:t>10.1855</w:t>
      </w:r>
      <w:r>
        <w:rPr>
          <w:rFonts w:hint="eastAsia" w:ascii="仿宋_GB2312" w:hAnsi="仿宋_GB2312" w:eastAsia="仿宋_GB2312" w:cs="仿宋_GB2312"/>
          <w:kern w:val="2"/>
          <w:sz w:val="32"/>
          <w:szCs w:val="32"/>
          <w:lang w:val="zh-CN" w:eastAsia="zh-CN" w:bidi="ar-SA"/>
        </w:rPr>
        <w:t>万元，执行率</w:t>
      </w:r>
      <w:r>
        <w:rPr>
          <w:rFonts w:hint="eastAsia" w:ascii="仿宋_GB2312" w:hAnsi="仿宋_GB2312" w:eastAsia="仿宋_GB2312" w:cs="仿宋_GB2312"/>
          <w:kern w:val="2"/>
          <w:sz w:val="32"/>
          <w:szCs w:val="32"/>
          <w:lang w:val="en-US" w:eastAsia="zh-CN" w:bidi="ar-SA"/>
        </w:rPr>
        <w:t>84</w:t>
      </w:r>
      <w:r>
        <w:rPr>
          <w:rFonts w:hint="eastAsia" w:ascii="仿宋_GB2312" w:hAnsi="仿宋_GB2312" w:eastAsia="仿宋_GB2312" w:cs="仿宋_GB2312"/>
          <w:kern w:val="2"/>
          <w:sz w:val="32"/>
          <w:szCs w:val="32"/>
          <w:lang w:val="zh-CN" w:eastAsia="zh-CN" w:bidi="ar-SA"/>
        </w:rPr>
        <w:t>％。</w:t>
      </w:r>
    </w:p>
    <w:p w14:paraId="22FD7C97">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（三）资金管理情况分析及总体目标完成情况</w:t>
      </w:r>
    </w:p>
    <w:p w14:paraId="601A0468">
      <w:pPr>
        <w:pStyle w:val="9"/>
        <w:widowControl/>
        <w:kinsoku w:val="0"/>
        <w:autoSpaceDE w:val="0"/>
        <w:autoSpaceDN w:val="0"/>
        <w:adjustRightInd w:val="0"/>
        <w:snapToGrid w:val="0"/>
        <w:spacing w:line="576" w:lineRule="exact"/>
        <w:ind w:firstLine="643" w:firstLineChars="200"/>
        <w:jc w:val="left"/>
        <w:textAlignment w:val="baseline"/>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sz w:val="32"/>
          <w:szCs w:val="32"/>
        </w:rPr>
        <w:t>1.202</w:t>
      </w:r>
      <w:r>
        <w:rPr>
          <w:rFonts w:hint="eastAsia" w:ascii="Times New Roman" w:hAnsi="Times New Roman" w:eastAsia="仿宋_GB2312" w:cs="Times New Roman"/>
          <w:b/>
          <w:sz w:val="32"/>
          <w:szCs w:val="32"/>
          <w:lang w:val="en-US" w:eastAsia="zh-CN"/>
        </w:rPr>
        <w:t>4</w:t>
      </w:r>
      <w:r>
        <w:rPr>
          <w:rFonts w:ascii="Times New Roman" w:hAnsi="Times New Roman" w:eastAsia="仿宋_GB2312" w:cs="Times New Roman"/>
          <w:b/>
          <w:sz w:val="32"/>
          <w:szCs w:val="32"/>
        </w:rPr>
        <w:t>年度中央、省级和州级一般公共预算</w:t>
      </w:r>
      <w:r>
        <w:rPr>
          <w:rFonts w:hint="eastAsia" w:ascii="仿宋_GB2312" w:hAnsi="仿宋_GB2312" w:eastAsia="仿宋_GB2312" w:cs="仿宋_GB2312"/>
          <w:kern w:val="2"/>
          <w:sz w:val="32"/>
          <w:szCs w:val="32"/>
          <w:lang w:val="zh-CN" w:eastAsia="zh-CN" w:bidi="ar-SA"/>
        </w:rPr>
        <w:t>下达</w:t>
      </w:r>
      <w:r>
        <w:rPr>
          <w:rFonts w:hint="eastAsia" w:ascii="仿宋_GB2312" w:hAnsi="仿宋_GB2312" w:eastAsia="仿宋_GB2312" w:cs="仿宋_GB2312"/>
          <w:kern w:val="2"/>
          <w:sz w:val="32"/>
          <w:szCs w:val="32"/>
          <w:lang w:val="en-US" w:eastAsia="zh-CN" w:bidi="ar-SA"/>
        </w:rPr>
        <w:t>68.0965</w:t>
      </w:r>
      <w:r>
        <w:rPr>
          <w:rFonts w:hint="eastAsia" w:ascii="仿宋_GB2312" w:hAnsi="仿宋_GB2312" w:eastAsia="仿宋_GB2312" w:cs="仿宋_GB2312"/>
          <w:kern w:val="2"/>
          <w:sz w:val="32"/>
          <w:szCs w:val="32"/>
          <w:lang w:val="zh-CN" w:eastAsia="zh-CN" w:bidi="ar-SA"/>
        </w:rPr>
        <w:t>万元，执行</w:t>
      </w:r>
      <w:r>
        <w:rPr>
          <w:rFonts w:hint="eastAsia" w:ascii="仿宋_GB2312" w:hAnsi="仿宋_GB2312" w:eastAsia="仿宋_GB2312" w:cs="仿宋_GB2312"/>
          <w:kern w:val="2"/>
          <w:sz w:val="32"/>
          <w:szCs w:val="32"/>
          <w:lang w:val="en-US" w:eastAsia="zh-CN" w:bidi="ar-SA"/>
        </w:rPr>
        <w:t>65.236</w:t>
      </w:r>
      <w:r>
        <w:rPr>
          <w:rFonts w:hint="eastAsia" w:ascii="仿宋_GB2312" w:hAnsi="仿宋_GB2312" w:eastAsia="仿宋_GB2312" w:cs="仿宋_GB2312"/>
          <w:kern w:val="2"/>
          <w:sz w:val="32"/>
          <w:szCs w:val="32"/>
          <w:lang w:val="zh-CN" w:eastAsia="zh-CN" w:bidi="ar-SA"/>
        </w:rPr>
        <w:t>万元，执行率</w:t>
      </w:r>
      <w:r>
        <w:rPr>
          <w:rFonts w:hint="eastAsia" w:ascii="仿宋_GB2312" w:hAnsi="仿宋_GB2312" w:eastAsia="仿宋_GB2312" w:cs="仿宋_GB2312"/>
          <w:kern w:val="2"/>
          <w:sz w:val="32"/>
          <w:szCs w:val="32"/>
          <w:lang w:val="en-US" w:eastAsia="zh-CN" w:bidi="ar-SA"/>
        </w:rPr>
        <w:t>95.8</w:t>
      </w:r>
      <w:r>
        <w:rPr>
          <w:rFonts w:hint="eastAsia" w:ascii="仿宋_GB2312" w:hAnsi="仿宋_GB2312" w:eastAsia="仿宋_GB2312" w:cs="仿宋_GB2312"/>
          <w:kern w:val="2"/>
          <w:sz w:val="32"/>
          <w:szCs w:val="32"/>
          <w:lang w:val="zh-CN" w:eastAsia="zh-CN" w:bidi="ar-SA"/>
        </w:rPr>
        <w:t>%；其中：</w:t>
      </w:r>
      <w:r>
        <w:rPr>
          <w:rFonts w:ascii="Times New Roman" w:hAnsi="Times New Roman" w:eastAsia="仿宋_GB2312" w:cs="Times New Roman"/>
          <w:b/>
          <w:sz w:val="32"/>
          <w:szCs w:val="32"/>
        </w:rPr>
        <w:t>（1）燃油补贴</w:t>
      </w:r>
      <w:r>
        <w:rPr>
          <w:rFonts w:ascii="Times New Roman" w:hAnsi="Times New Roman" w:eastAsia="仿宋_GB2312" w:cs="Times New Roman"/>
          <w:sz w:val="32"/>
          <w:szCs w:val="32"/>
        </w:rPr>
        <w:t xml:space="preserve">下达资金0.365万元，执行资金0.365万元，执行率100%； </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2</w:t>
      </w:r>
      <w:r>
        <w:rPr>
          <w:rFonts w:ascii="Times New Roman" w:hAnsi="Times New Roman" w:eastAsia="仿宋_GB2312" w:cs="Times New Roman"/>
          <w:b/>
          <w:sz w:val="32"/>
          <w:szCs w:val="32"/>
        </w:rPr>
        <w:t>）居家托养</w:t>
      </w:r>
      <w:r>
        <w:rPr>
          <w:rFonts w:ascii="Times New Roman" w:hAnsi="Times New Roman" w:eastAsia="仿宋_GB2312" w:cs="Times New Roman"/>
          <w:sz w:val="32"/>
          <w:szCs w:val="32"/>
        </w:rPr>
        <w:t>下达资金6万元，执行资金</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 xml:space="preserve">% </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3</w:t>
      </w:r>
      <w:r>
        <w:rPr>
          <w:rFonts w:ascii="Times New Roman" w:hAnsi="Times New Roman" w:eastAsia="仿宋_GB2312" w:cs="Times New Roman"/>
          <w:b/>
          <w:sz w:val="32"/>
          <w:szCs w:val="32"/>
        </w:rPr>
        <w:t>）居家灵活就业</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万元，执行资金</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 xml:space="preserve">万元，执行率100%; </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4</w:t>
      </w:r>
      <w:r>
        <w:rPr>
          <w:rFonts w:ascii="Times New Roman" w:hAnsi="Times New Roman" w:eastAsia="仿宋_GB2312" w:cs="Times New Roman"/>
          <w:b/>
          <w:sz w:val="32"/>
          <w:szCs w:val="32"/>
        </w:rPr>
        <w:t>）7岁以上残疾人康复</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11.795</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10.725</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91</w:t>
      </w:r>
      <w:r>
        <w:rPr>
          <w:rFonts w:ascii="Times New Roman" w:hAnsi="Times New Roman" w:eastAsia="仿宋_GB2312" w:cs="Times New Roman"/>
          <w:sz w:val="32"/>
          <w:szCs w:val="32"/>
        </w:rPr>
        <w:t xml:space="preserve">%； </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5</w:t>
      </w:r>
      <w:r>
        <w:rPr>
          <w:rFonts w:ascii="Times New Roman" w:hAnsi="Times New Roman" w:eastAsia="仿宋_GB2312" w:cs="Times New Roman"/>
          <w:b/>
          <w:sz w:val="32"/>
          <w:szCs w:val="32"/>
        </w:rPr>
        <w:t>)农村技术使用培训</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4.41</w:t>
      </w:r>
      <w:r>
        <w:rPr>
          <w:rFonts w:ascii="Times New Roman" w:hAnsi="Times New Roman" w:eastAsia="仿宋_GB2312" w:cs="Times New Roman"/>
          <w:sz w:val="32"/>
          <w:szCs w:val="32"/>
        </w:rPr>
        <w:t>万元，执行率98%；</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6</w:t>
      </w:r>
      <w:r>
        <w:rPr>
          <w:rFonts w:ascii="Times New Roman" w:hAnsi="Times New Roman" w:eastAsia="仿宋_GB2312" w:cs="Times New Roman"/>
          <w:b/>
          <w:sz w:val="32"/>
          <w:szCs w:val="32"/>
        </w:rPr>
        <w:t>）扶持残疾人发展生产</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7</w:t>
      </w:r>
      <w:r>
        <w:rPr>
          <w:rFonts w:ascii="Times New Roman" w:hAnsi="Times New Roman" w:eastAsia="仿宋_GB2312" w:cs="Times New Roman"/>
          <w:b/>
          <w:sz w:val="32"/>
          <w:szCs w:val="32"/>
        </w:rPr>
        <w:t>）助学资金</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2.445</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98.1</w:t>
      </w:r>
      <w:r>
        <w:rPr>
          <w:rFonts w:ascii="Times New Roman" w:hAnsi="Times New Roman" w:eastAsia="仿宋_GB2312" w:cs="Times New Roman"/>
          <w:sz w:val="32"/>
          <w:szCs w:val="32"/>
        </w:rPr>
        <w:t>%；</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8</w:t>
      </w:r>
      <w:r>
        <w:rPr>
          <w:rFonts w:ascii="Times New Roman" w:hAnsi="Times New Roman" w:eastAsia="仿宋_GB2312" w:cs="Times New Roman"/>
          <w:b/>
          <w:sz w:val="32"/>
          <w:szCs w:val="32"/>
        </w:rPr>
        <w:t>）联络员误工补贴</w:t>
      </w:r>
      <w:r>
        <w:rPr>
          <w:rFonts w:ascii="Times New Roman" w:hAnsi="Times New Roman" w:eastAsia="仿宋_GB2312" w:cs="Times New Roman"/>
          <w:sz w:val="32"/>
          <w:szCs w:val="32"/>
        </w:rPr>
        <w:t>下达资金2.52万元，执行2.52万元，执行率100%；</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9</w:t>
      </w:r>
      <w:r>
        <w:rPr>
          <w:rFonts w:ascii="Times New Roman" w:hAnsi="Times New Roman" w:eastAsia="仿宋_GB2312" w:cs="Times New Roman"/>
          <w:b/>
          <w:sz w:val="32"/>
          <w:szCs w:val="32"/>
        </w:rPr>
        <w:t>）无障碍督导员误工补贴</w:t>
      </w:r>
      <w:r>
        <w:rPr>
          <w:rFonts w:ascii="Times New Roman" w:hAnsi="Times New Roman" w:eastAsia="仿宋_GB2312" w:cs="Times New Roman"/>
          <w:sz w:val="32"/>
          <w:szCs w:val="32"/>
        </w:rPr>
        <w:t>下达资金0.9万元，执行</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%（因天数及人员少，资金使用率低）</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10</w:t>
      </w:r>
      <w:r>
        <w:rPr>
          <w:rFonts w:ascii="Times New Roman" w:hAnsi="Times New Roman" w:eastAsia="仿宋_GB2312" w:cs="Times New Roman"/>
          <w:b/>
          <w:sz w:val="32"/>
          <w:szCs w:val="32"/>
        </w:rPr>
        <w:t>）残协资金</w:t>
      </w:r>
      <w:r>
        <w:rPr>
          <w:rFonts w:ascii="Times New Roman" w:hAnsi="Times New Roman" w:eastAsia="仿宋_GB2312" w:cs="Times New Roman"/>
          <w:sz w:val="32"/>
          <w:szCs w:val="32"/>
        </w:rPr>
        <w:t>下达资金1.4万元，执行1.4万元，执行率100%；</w:t>
      </w:r>
      <w:r>
        <w:rPr>
          <w:rFonts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1</w:t>
      </w:r>
      <w:r>
        <w:rPr>
          <w:rFonts w:ascii="Times New Roman" w:hAnsi="Times New Roman" w:eastAsia="仿宋_GB2312" w:cs="Times New Roman"/>
          <w:b/>
          <w:sz w:val="32"/>
          <w:szCs w:val="32"/>
        </w:rPr>
        <w:t>）温暖万家行</w:t>
      </w:r>
      <w:r>
        <w:rPr>
          <w:rFonts w:ascii="Times New Roman" w:hAnsi="Times New Roman" w:eastAsia="仿宋_GB2312" w:cs="Times New Roman"/>
          <w:sz w:val="32"/>
          <w:szCs w:val="32"/>
        </w:rPr>
        <w:t>资金下达</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.5万元，执行</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12</w:t>
      </w:r>
      <w:r>
        <w:rPr>
          <w:rFonts w:hint="eastAsia" w:ascii="Times New Roman" w:hAnsi="Times New Roman" w:eastAsia="仿宋_GB2312" w:cs="Times New Roman"/>
          <w:b/>
          <w:bCs/>
          <w:sz w:val="32"/>
          <w:szCs w:val="32"/>
          <w:lang w:eastAsia="zh-CN"/>
        </w:rPr>
        <w:t>）自主创业</w:t>
      </w:r>
      <w:r>
        <w:rPr>
          <w:rFonts w:hint="eastAsia" w:ascii="Times New Roman" w:hAnsi="Times New Roman" w:eastAsia="仿宋_GB2312" w:cs="Times New Roman"/>
          <w:sz w:val="32"/>
          <w:szCs w:val="32"/>
          <w:lang w:eastAsia="zh-CN"/>
        </w:rPr>
        <w:t>下达资金</w:t>
      </w:r>
      <w:r>
        <w:rPr>
          <w:rFonts w:hint="eastAsia" w:ascii="Times New Roman" w:hAnsi="Times New Roman" w:eastAsia="仿宋_GB2312" w:cs="Times New Roman"/>
          <w:sz w:val="32"/>
          <w:szCs w:val="32"/>
          <w:lang w:val="en-US" w:eastAsia="zh-CN"/>
        </w:rPr>
        <w:t>5万元，执行5万元，执行率100%；（13）无障碍改造资金下达21万元，执行20.0305万元，执行率95.4%。</w:t>
      </w:r>
    </w:p>
    <w:p w14:paraId="4F07096F">
      <w:pPr>
        <w:pStyle w:val="9"/>
        <w:widowControl/>
        <w:kinsoku w:val="0"/>
        <w:autoSpaceDE w:val="0"/>
        <w:autoSpaceDN w:val="0"/>
        <w:adjustRightInd w:val="0"/>
        <w:snapToGrid w:val="0"/>
        <w:spacing w:line="576" w:lineRule="exact"/>
        <w:ind w:firstLine="482" w:firstLineChars="150"/>
        <w:jc w:val="left"/>
        <w:textAlignment w:val="baseline"/>
        <w:rPr>
          <w:rFonts w:hint="eastAsia" w:ascii="仿宋" w:hAnsi="仿宋" w:eastAsia="仿宋" w:cs="仿宋"/>
          <w:sz w:val="32"/>
          <w:szCs w:val="32"/>
        </w:rPr>
      </w:pPr>
      <w:r>
        <w:rPr>
          <w:rFonts w:ascii="Times New Roman" w:hAnsi="Times New Roman" w:eastAsia="仿宋_GB2312" w:cs="Times New Roman"/>
          <w:b/>
          <w:sz w:val="32"/>
          <w:szCs w:val="32"/>
        </w:rPr>
        <w:t>2.中央和省级彩票公益金</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12.188</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10.1855</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84</w:t>
      </w:r>
      <w:r>
        <w:rPr>
          <w:rFonts w:ascii="Times New Roman" w:hAnsi="Times New Roman" w:eastAsia="仿宋_GB2312" w:cs="Times New Roman"/>
          <w:sz w:val="32"/>
          <w:szCs w:val="32"/>
        </w:rPr>
        <w:t>%，其中：</w:t>
      </w:r>
      <w:r>
        <w:rPr>
          <w:rFonts w:ascii="Times New Roman" w:hAnsi="Times New Roman" w:eastAsia="仿宋_GB2312" w:cs="Times New Roman"/>
          <w:b/>
          <w:sz w:val="32"/>
          <w:szCs w:val="32"/>
        </w:rPr>
        <w:t>（1）文化进家庭“五个一”</w:t>
      </w:r>
      <w:r>
        <w:rPr>
          <w:rFonts w:ascii="Times New Roman" w:hAnsi="Times New Roman" w:eastAsia="仿宋_GB2312" w:cs="Times New Roman"/>
          <w:sz w:val="32"/>
          <w:szCs w:val="32"/>
        </w:rPr>
        <w:t>下达资金0.</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万元，执行0.</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万元，执行率100%；</w:t>
      </w:r>
      <w:r>
        <w:rPr>
          <w:rFonts w:ascii="Times New Roman" w:hAnsi="Times New Roman" w:eastAsia="仿宋_GB2312" w:cs="Times New Roman"/>
          <w:b/>
          <w:sz w:val="32"/>
          <w:szCs w:val="32"/>
        </w:rPr>
        <w:t>（2</w:t>
      </w:r>
      <w:r>
        <w:rPr>
          <w:rFonts w:hint="eastAsia" w:ascii="Times New Roman" w:hAnsi="Times New Roman" w:eastAsia="仿宋_GB2312" w:cs="Times New Roman"/>
          <w:b/>
          <w:sz w:val="32"/>
          <w:szCs w:val="32"/>
          <w:lang w:eastAsia="zh-CN"/>
        </w:rPr>
        <w:t>残疾人</w:t>
      </w:r>
      <w:r>
        <w:rPr>
          <w:rFonts w:ascii="Times New Roman" w:hAnsi="Times New Roman" w:eastAsia="仿宋_GB2312" w:cs="Times New Roman"/>
          <w:b/>
          <w:sz w:val="32"/>
          <w:szCs w:val="32"/>
        </w:rPr>
        <w:t>全民健身活动经费</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3.888</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3.8855</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99.93</w:t>
      </w:r>
      <w:r>
        <w:rPr>
          <w:rFonts w:ascii="Times New Roman" w:hAnsi="Times New Roman" w:eastAsia="仿宋_GB2312" w:cs="Times New Roman"/>
          <w:sz w:val="32"/>
          <w:szCs w:val="32"/>
        </w:rPr>
        <w:t>%；</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3</w:t>
      </w:r>
      <w:r>
        <w:rPr>
          <w:rFonts w:ascii="Times New Roman" w:hAnsi="Times New Roman" w:eastAsia="仿宋_GB2312" w:cs="Times New Roman"/>
          <w:b/>
          <w:sz w:val="32"/>
          <w:szCs w:val="32"/>
        </w:rPr>
        <w:t>）0-6岁残疾儿童康复</w:t>
      </w:r>
      <w:r>
        <w:rPr>
          <w:rFonts w:ascii="Times New Roman" w:hAnsi="Times New Roman" w:eastAsia="仿宋_GB2312" w:cs="Times New Roman"/>
          <w:sz w:val="32"/>
          <w:szCs w:val="32"/>
        </w:rPr>
        <w:t>下达资金</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万元，执行</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万元，执行率</w:t>
      </w:r>
      <w:r>
        <w:rPr>
          <w:rFonts w:hint="eastAsia" w:ascii="Times New Roman" w:hAnsi="Times New Roman" w:eastAsia="仿宋_GB2312" w:cs="Times New Roman"/>
          <w:sz w:val="32"/>
          <w:szCs w:val="32"/>
          <w:lang w:val="en-US" w:eastAsia="zh-CN"/>
        </w:rPr>
        <w:t>75</w:t>
      </w:r>
      <w:r>
        <w:rPr>
          <w:rFonts w:ascii="Times New Roman" w:hAnsi="Times New Roman" w:eastAsia="仿宋_GB2312" w:cs="Times New Roman"/>
          <w:sz w:val="32"/>
          <w:szCs w:val="32"/>
        </w:rPr>
        <w:t>%。</w:t>
      </w:r>
      <w:r>
        <w:rPr>
          <w:rFonts w:hint="eastAsia" w:ascii="仿宋" w:hAnsi="仿宋" w:eastAsia="仿宋" w:cs="仿宋"/>
          <w:sz w:val="32"/>
          <w:szCs w:val="32"/>
        </w:rPr>
        <w:t>（</w:t>
      </w:r>
      <w:r>
        <w:rPr>
          <w:rFonts w:hint="eastAsia" w:ascii="仿宋" w:hAnsi="仿宋" w:eastAsia="仿宋" w:cs="仿宋"/>
          <w:sz w:val="30"/>
          <w:lang w:eastAsia="zh-CN"/>
        </w:rPr>
        <w:t>其中一名儿童因癫痫未能按时完成康复，计划于今年继续使用此资金完成康复</w:t>
      </w:r>
      <w:r>
        <w:rPr>
          <w:rFonts w:hint="eastAsia" w:ascii="仿宋" w:hAnsi="仿宋" w:eastAsia="仿宋" w:cs="仿宋"/>
          <w:sz w:val="32"/>
          <w:szCs w:val="32"/>
        </w:rPr>
        <w:t>）</w:t>
      </w:r>
    </w:p>
    <w:p w14:paraId="3447C3A6">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（四）绩效指标完成情况分析</w:t>
      </w:r>
    </w:p>
    <w:p w14:paraId="64737E6C">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1.数量指标</w:t>
      </w:r>
    </w:p>
    <w:p w14:paraId="65DC6212">
      <w:pPr>
        <w:pStyle w:val="9"/>
        <w:widowControl/>
        <w:kinsoku w:val="0"/>
        <w:autoSpaceDE w:val="0"/>
        <w:autoSpaceDN w:val="0"/>
        <w:adjustRightInd w:val="0"/>
        <w:snapToGrid w:val="0"/>
        <w:spacing w:line="576" w:lineRule="exact"/>
        <w:ind w:left="296" w:leftChars="141"/>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（1）接受托养人数全年任务数100人，全年实际完成100人。（2）残疾人居家灵活就业全年任务数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人，全年实际完成对</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名有劳动力的残疾人发放居家灵活就业补贴。</w:t>
      </w:r>
    </w:p>
    <w:p w14:paraId="2C539628">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（3）重度残疾人</w:t>
      </w:r>
      <w:r>
        <w:rPr>
          <w:rFonts w:hint="eastAsia" w:ascii="Times New Roman" w:hAnsi="Times New Roman" w:eastAsia="仿宋_GB2312" w:cs="Times New Roman"/>
          <w:sz w:val="32"/>
          <w:szCs w:val="32"/>
          <w:lang w:eastAsia="zh-CN"/>
        </w:rPr>
        <w:t>无障碍改造</w:t>
      </w:r>
      <w:r>
        <w:rPr>
          <w:rFonts w:ascii="Times New Roman" w:hAnsi="Times New Roman" w:eastAsia="仿宋_GB2312" w:cs="Times New Roman"/>
          <w:sz w:val="32"/>
          <w:szCs w:val="32"/>
        </w:rPr>
        <w:t>全年任务数</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户，全年实际完成对</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户重度残疾人家庭完成无障碍改造。</w:t>
      </w:r>
    </w:p>
    <w:p w14:paraId="3BDE8AA6">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（4）残疾人燃油补贴全年任务数为1人，全年实际完成1人。</w:t>
      </w:r>
    </w:p>
    <w:p w14:paraId="62B746EA">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（5）7岁以上残疾人康复全年任务数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人，已实际完成</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人并完成资金拨付。</w:t>
      </w:r>
    </w:p>
    <w:p w14:paraId="715D7551">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（6）农村残疾人实用技术培训全年任务数</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0人，全年实际完成</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0人。</w:t>
      </w:r>
    </w:p>
    <w:p w14:paraId="54E49CD5">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（7）辅具发放全年任务数150人，全年实际完成150人。</w:t>
      </w:r>
    </w:p>
    <w:p w14:paraId="2A6610A1">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（8）0-6岁残疾儿童康复全民任务数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人，全年实际完成</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eastAsia="zh-CN"/>
        </w:rPr>
        <w:t>并完成资金拨付（</w:t>
      </w:r>
      <w:r>
        <w:rPr>
          <w:rFonts w:hint="eastAsia" w:ascii="仿宋" w:hAnsi="仿宋" w:eastAsia="仿宋" w:cs="仿宋"/>
          <w:sz w:val="30"/>
          <w:lang w:eastAsia="zh-CN"/>
        </w:rPr>
        <w:t>其中一名儿童因癫痫未能按时完成康复，计划于今年继续使用此资金完成康复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p>
    <w:p w14:paraId="6E40E09B">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2.质量指标</w:t>
      </w:r>
    </w:p>
    <w:p w14:paraId="06377308">
      <w:pPr>
        <w:pStyle w:val="9"/>
        <w:widowControl/>
        <w:kinsoku w:val="0"/>
        <w:autoSpaceDE w:val="0"/>
        <w:autoSpaceDN w:val="0"/>
        <w:adjustRightInd w:val="0"/>
        <w:snapToGrid w:val="0"/>
        <w:spacing w:line="576" w:lineRule="exact"/>
        <w:ind w:firstLine="640" w:firstLineChars="2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残疾人机动车燃油补贴应发尽发，接受农村实用技术培训残疾人掌握的生产技能数量2门以上。贫困重度残疾人进行无障碍改造严把质量，验收合格率100%。</w:t>
      </w:r>
    </w:p>
    <w:p w14:paraId="0B03A72E">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3.成本指标</w:t>
      </w:r>
    </w:p>
    <w:p w14:paraId="47C587C2">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残疾人机动车燃油补贴按照每年365/人补贴；</w:t>
      </w:r>
    </w:p>
    <w:p w14:paraId="78FEDA9A">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残疾儿童康复救助按照2万元/人补贴。</w:t>
      </w:r>
    </w:p>
    <w:p w14:paraId="7333A7CB">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4.时效指标</w:t>
      </w:r>
    </w:p>
    <w:p w14:paraId="5EAFC2A7">
      <w:pPr>
        <w:pStyle w:val="9"/>
        <w:widowControl/>
        <w:kinsoku w:val="0"/>
        <w:autoSpaceDE w:val="0"/>
        <w:autoSpaceDN w:val="0"/>
        <w:adjustRightInd w:val="0"/>
        <w:snapToGrid w:val="0"/>
        <w:spacing w:line="576" w:lineRule="exact"/>
        <w:ind w:firstLine="640" w:firstLineChars="20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根据资金下达进度，及时拨付各项资金，确保资金及时投入到各类项目当中，截止202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年12月31日，全部项目已完成</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w:t>
      </w:r>
    </w:p>
    <w:p w14:paraId="4A92B959">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5.效益指标</w:t>
      </w:r>
    </w:p>
    <w:p w14:paraId="31397417">
      <w:pPr>
        <w:pStyle w:val="9"/>
        <w:widowControl/>
        <w:kinsoku w:val="0"/>
        <w:autoSpaceDE w:val="0"/>
        <w:autoSpaceDN w:val="0"/>
        <w:adjustRightInd w:val="0"/>
        <w:snapToGrid w:val="0"/>
        <w:spacing w:line="576" w:lineRule="exact"/>
        <w:ind w:firstLine="320" w:firstLineChars="100"/>
        <w:jc w:val="left"/>
        <w:textAlignment w:val="baseline"/>
        <w:rPr>
          <w:rFonts w:ascii="Times New Roman" w:hAnsi="Times New Roman" w:eastAsia="仿宋_GB2312" w:cs="Times New Roman"/>
          <w:sz w:val="32"/>
          <w:szCs w:val="32"/>
        </w:rPr>
      </w:pPr>
      <w:r>
        <w:rPr>
          <w:rFonts w:hint="eastAsia" w:ascii="仿宋_GB2312" w:hAnsi="仿宋_GB2312" w:eastAsia="仿宋_GB2312" w:cs="仿宋_GB2312"/>
          <w:kern w:val="2"/>
          <w:sz w:val="32"/>
          <w:szCs w:val="32"/>
          <w:lang w:val="zh-CN" w:eastAsia="zh-CN" w:bidi="ar-SA"/>
        </w:rPr>
        <w:t xml:space="preserve">  通过发放残疾人机动车燃油补贴，残疾人出行便利程度大幅度提高；通过农村残疾人实用技术培训，让残疾人掌握基本技能，受教育水平和生活生产能力得到了提升；通过残疾人康复训练，改善残疾人身体状况，提高残疾人生活质量</w:t>
      </w:r>
      <w:r>
        <w:rPr>
          <w:rFonts w:ascii="Times New Roman" w:hAnsi="Times New Roman" w:eastAsia="仿宋_GB2312" w:cs="Times New Roman"/>
          <w:sz w:val="32"/>
          <w:szCs w:val="32"/>
        </w:rPr>
        <w:t>和融入社会的能力。通过各类项目的实施，全社会关心、理解、支持残疾人的社会氛围明显提高。</w:t>
      </w:r>
    </w:p>
    <w:p w14:paraId="1CFB2898">
      <w:pPr>
        <w:pStyle w:val="9"/>
        <w:widowControl/>
        <w:kinsoku w:val="0"/>
        <w:autoSpaceDE w:val="0"/>
        <w:autoSpaceDN w:val="0"/>
        <w:adjustRightInd w:val="0"/>
        <w:snapToGrid w:val="0"/>
        <w:spacing w:line="576" w:lineRule="exact"/>
        <w:ind w:firstLine="643" w:firstLineChars="200"/>
        <w:jc w:val="left"/>
        <w:textAlignment w:val="baseline"/>
        <w:rPr>
          <w:rFonts w:ascii="Times New Roman" w:hAnsi="Times New Roman" w:eastAsia="仿宋_GB2312" w:cs="Times New Roman"/>
          <w:b/>
          <w:sz w:val="32"/>
          <w:szCs w:val="32"/>
        </w:rPr>
      </w:pPr>
      <w:r>
        <w:rPr>
          <w:rFonts w:ascii="Times New Roman" w:hAnsi="Times New Roman" w:eastAsia="仿宋_GB2312" w:cs="Times New Roman"/>
          <w:b/>
          <w:sz w:val="32"/>
          <w:szCs w:val="32"/>
        </w:rPr>
        <w:t>6.满意度指标</w:t>
      </w:r>
    </w:p>
    <w:p w14:paraId="4BC9E1CF">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（1）残疾人及其家属对残疾人康复服务的满意度，年度指标值</w:t>
      </w:r>
      <w:r>
        <w:rPr>
          <w:rFonts w:ascii="Times New Roman" w:hAnsi="Times New Roman" w:cs="Times New Roman"/>
          <w:sz w:val="32"/>
          <w:szCs w:val="32"/>
        </w:rPr>
        <w:t>≧</w:t>
      </w:r>
      <w:r>
        <w:rPr>
          <w:rFonts w:ascii="Times New Roman" w:hAnsi="Times New Roman" w:eastAsia="仿宋_GB2312" w:cs="Times New Roman"/>
          <w:sz w:val="32"/>
          <w:szCs w:val="32"/>
        </w:rPr>
        <w:t>80%，全年完成值</w:t>
      </w:r>
      <w:r>
        <w:rPr>
          <w:rFonts w:ascii="Times New Roman" w:hAnsi="Times New Roman" w:cs="Times New Roman"/>
          <w:sz w:val="32"/>
          <w:szCs w:val="32"/>
        </w:rPr>
        <w:t>≧</w:t>
      </w:r>
      <w:r>
        <w:rPr>
          <w:rFonts w:ascii="Times New Roman" w:hAnsi="Times New Roman" w:eastAsia="仿宋_GB2312" w:cs="Times New Roman"/>
          <w:sz w:val="32"/>
          <w:szCs w:val="32"/>
        </w:rPr>
        <w:t>95%。</w:t>
      </w:r>
    </w:p>
    <w:p w14:paraId="707FC510">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（2）接受农村残疾人实用技术培训残疾人或其家属满意度，年度指标值</w:t>
      </w:r>
      <w:r>
        <w:rPr>
          <w:rFonts w:ascii="Times New Roman" w:hAnsi="Times New Roman" w:cs="Times New Roman"/>
          <w:sz w:val="32"/>
          <w:szCs w:val="32"/>
        </w:rPr>
        <w:t>≧</w:t>
      </w:r>
      <w:r>
        <w:rPr>
          <w:rFonts w:ascii="Times New Roman" w:hAnsi="Times New Roman" w:eastAsia="仿宋_GB2312" w:cs="Times New Roman"/>
          <w:sz w:val="32"/>
          <w:szCs w:val="32"/>
        </w:rPr>
        <w:t>70%，全年完成值</w:t>
      </w:r>
      <w:r>
        <w:rPr>
          <w:rFonts w:ascii="Times New Roman" w:hAnsi="Times New Roman" w:cs="Times New Roman"/>
          <w:sz w:val="32"/>
          <w:szCs w:val="32"/>
        </w:rPr>
        <w:t>≧</w:t>
      </w:r>
      <w:r>
        <w:rPr>
          <w:rFonts w:ascii="Times New Roman" w:hAnsi="Times New Roman" w:eastAsia="仿宋_GB2312" w:cs="Times New Roman"/>
          <w:sz w:val="32"/>
          <w:szCs w:val="32"/>
        </w:rPr>
        <w:t>95%。</w:t>
      </w:r>
    </w:p>
    <w:p w14:paraId="6109C9E4">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（3）接受托养服务残疾人或其家属的满意度，年度指标值</w:t>
      </w:r>
      <w:r>
        <w:rPr>
          <w:rFonts w:ascii="Times New Roman" w:hAnsi="Times New Roman" w:cs="Times New Roman"/>
          <w:sz w:val="32"/>
          <w:szCs w:val="32"/>
        </w:rPr>
        <w:t>≧</w:t>
      </w:r>
      <w:r>
        <w:rPr>
          <w:rFonts w:ascii="Times New Roman" w:hAnsi="Times New Roman" w:eastAsia="仿宋_GB2312" w:cs="Times New Roman"/>
          <w:sz w:val="32"/>
          <w:szCs w:val="32"/>
        </w:rPr>
        <w:t>70%，全年完成值</w:t>
      </w:r>
      <w:r>
        <w:rPr>
          <w:rFonts w:ascii="Times New Roman" w:hAnsi="Times New Roman" w:cs="Times New Roman"/>
          <w:sz w:val="32"/>
          <w:szCs w:val="32"/>
        </w:rPr>
        <w:t>≧</w:t>
      </w:r>
      <w:r>
        <w:rPr>
          <w:rFonts w:ascii="Times New Roman" w:hAnsi="Times New Roman" w:eastAsia="仿宋_GB2312" w:cs="Times New Roman"/>
          <w:sz w:val="32"/>
          <w:szCs w:val="32"/>
        </w:rPr>
        <w:t>95%。</w:t>
      </w:r>
    </w:p>
    <w:p w14:paraId="6A7D7620">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（4）接受燃油补贴残疾人满意度，年度指标值</w:t>
      </w:r>
      <w:r>
        <w:rPr>
          <w:rFonts w:ascii="Times New Roman" w:hAnsi="Times New Roman" w:cs="Times New Roman"/>
          <w:sz w:val="32"/>
          <w:szCs w:val="32"/>
        </w:rPr>
        <w:t>≧</w:t>
      </w:r>
      <w:r>
        <w:rPr>
          <w:rFonts w:ascii="Times New Roman" w:hAnsi="Times New Roman" w:eastAsia="仿宋_GB2312" w:cs="Times New Roman"/>
          <w:sz w:val="32"/>
          <w:szCs w:val="32"/>
        </w:rPr>
        <w:t>80%，全年完成值</w:t>
      </w:r>
      <w:r>
        <w:rPr>
          <w:rFonts w:ascii="Times New Roman" w:hAnsi="Times New Roman" w:cs="Times New Roman"/>
          <w:sz w:val="32"/>
          <w:szCs w:val="32"/>
        </w:rPr>
        <w:t>≧</w:t>
      </w:r>
      <w:r>
        <w:rPr>
          <w:rFonts w:ascii="Times New Roman" w:hAnsi="Times New Roman" w:eastAsia="仿宋_GB2312" w:cs="Times New Roman"/>
          <w:sz w:val="32"/>
          <w:szCs w:val="32"/>
        </w:rPr>
        <w:t>95%。</w:t>
      </w:r>
    </w:p>
    <w:p w14:paraId="30249E3B">
      <w:pPr>
        <w:pStyle w:val="9"/>
        <w:widowControl/>
        <w:kinsoku w:val="0"/>
        <w:autoSpaceDE w:val="0"/>
        <w:autoSpaceDN w:val="0"/>
        <w:adjustRightInd w:val="0"/>
        <w:snapToGrid w:val="0"/>
        <w:spacing w:line="576" w:lineRule="exact"/>
        <w:ind w:firstLine="640" w:firstLineChars="200"/>
        <w:jc w:val="left"/>
        <w:textAlignment w:val="baseline"/>
        <w:rPr>
          <w:rFonts w:ascii="黑体" w:hAnsi="黑体" w:eastAsia="黑体" w:cs="黑体"/>
          <w:bCs/>
          <w:sz w:val="32"/>
          <w:szCs w:val="32"/>
        </w:rPr>
      </w:pPr>
      <w:r>
        <w:rPr>
          <w:rFonts w:hint="eastAsia" w:ascii="黑体" w:hAnsi="黑体" w:eastAsia="黑体" w:cs="黑体"/>
          <w:bCs/>
          <w:sz w:val="32"/>
          <w:szCs w:val="32"/>
        </w:rPr>
        <w:t>三、发现的主要问题和改进措施</w:t>
      </w:r>
    </w:p>
    <w:p w14:paraId="7DD72C91">
      <w:pPr>
        <w:pStyle w:val="9"/>
        <w:widowControl/>
        <w:kinsoku w:val="0"/>
        <w:autoSpaceDE w:val="0"/>
        <w:autoSpaceDN w:val="0"/>
        <w:adjustRightInd w:val="0"/>
        <w:snapToGrid w:val="0"/>
        <w:spacing w:line="576" w:lineRule="exact"/>
        <w:ind w:firstLine="640" w:firstLineChars="200"/>
        <w:jc w:val="left"/>
        <w:textAlignment w:val="baseline"/>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根据残疾人实际需求与项目实施效果，合理增加项目预算资金，确保项目持续深入开展</w:t>
      </w:r>
      <w:r>
        <w:rPr>
          <w:rFonts w:ascii="Times New Roman" w:hAnsi="Times New Roman" w:eastAsia="仿宋_GB2312" w:cs="Times New Roman"/>
          <w:sz w:val="32"/>
          <w:szCs w:val="32"/>
        </w:rPr>
        <w:t>。</w:t>
      </w:r>
    </w:p>
    <w:p w14:paraId="226DE4A8">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2.对于弱势群体的残疾人，舆论先行引导还不够，社会各界的关注度和参与度还很低。今后将加大宣传力度，引导社会各界对残疾人事业的了解、关心、帮助和支持。</w:t>
      </w:r>
    </w:p>
    <w:p w14:paraId="7F88D2BF">
      <w:pPr>
        <w:pStyle w:val="9"/>
        <w:widowControl/>
        <w:kinsoku w:val="0"/>
        <w:autoSpaceDE w:val="0"/>
        <w:autoSpaceDN w:val="0"/>
        <w:adjustRightInd w:val="0"/>
        <w:snapToGrid w:val="0"/>
        <w:spacing w:line="576" w:lineRule="exact"/>
        <w:ind w:firstLine="480" w:firstLineChars="150"/>
        <w:jc w:val="left"/>
        <w:textAlignment w:val="baseline"/>
        <w:rPr>
          <w:rFonts w:ascii="Times New Roman" w:hAnsi="Times New Roman" w:eastAsia="仿宋_GB2312" w:cs="Times New Roman"/>
          <w:sz w:val="32"/>
          <w:szCs w:val="32"/>
        </w:rPr>
      </w:pPr>
      <w:r>
        <w:rPr>
          <w:rFonts w:ascii="Times New Roman" w:hAnsi="Times New Roman" w:eastAsia="仿宋_GB2312" w:cs="Times New Roman"/>
          <w:sz w:val="32"/>
          <w:szCs w:val="32"/>
        </w:rPr>
        <w:t>3.做到严格按照资金管理要求本着资金与任务相匹配的原则，实现转账管理，专款专用。</w:t>
      </w:r>
    </w:p>
    <w:p w14:paraId="3BC3BECD">
      <w:pPr>
        <w:pStyle w:val="9"/>
        <w:widowControl/>
        <w:kinsoku w:val="0"/>
        <w:autoSpaceDE w:val="0"/>
        <w:autoSpaceDN w:val="0"/>
        <w:adjustRightInd w:val="0"/>
        <w:snapToGrid w:val="0"/>
        <w:spacing w:line="576" w:lineRule="exact"/>
        <w:ind w:firstLine="480" w:firstLineChars="150"/>
        <w:jc w:val="left"/>
        <w:textAlignment w:val="baseline"/>
        <w:rPr>
          <w:rFonts w:ascii="黑体" w:hAnsi="黑体" w:eastAsia="黑体" w:cs="黑体"/>
          <w:sz w:val="32"/>
          <w:szCs w:val="32"/>
        </w:rPr>
      </w:pPr>
      <w:r>
        <w:rPr>
          <w:rFonts w:hint="eastAsia" w:ascii="黑体" w:hAnsi="黑体" w:eastAsia="黑体" w:cs="黑体"/>
          <w:sz w:val="32"/>
          <w:szCs w:val="32"/>
        </w:rPr>
        <w:t>四、无其他需要说明的问题。</w:t>
      </w:r>
    </w:p>
    <w:p w14:paraId="732BAC09">
      <w:pPr>
        <w:widowControl/>
        <w:jc w:val="center"/>
        <w:rPr>
          <w:rFonts w:hint="eastAsia" w:eastAsia="黑体"/>
          <w:sz w:val="44"/>
          <w:szCs w:val="44"/>
        </w:rPr>
      </w:pPr>
    </w:p>
    <w:p w14:paraId="43DF2DED">
      <w:pPr>
        <w:widowControl/>
        <w:jc w:val="center"/>
        <w:rPr>
          <w:rFonts w:hint="eastAsia" w:eastAsia="黑体"/>
          <w:sz w:val="44"/>
          <w:szCs w:val="44"/>
        </w:rPr>
      </w:pPr>
    </w:p>
    <w:p w14:paraId="464E06A5">
      <w:pPr>
        <w:widowControl/>
        <w:jc w:val="center"/>
        <w:rPr>
          <w:rFonts w:hint="eastAsia" w:eastAsia="黑体"/>
          <w:sz w:val="44"/>
          <w:szCs w:val="44"/>
        </w:rPr>
      </w:pPr>
    </w:p>
    <w:p w14:paraId="69EAA0C0">
      <w:pPr>
        <w:widowControl/>
        <w:jc w:val="center"/>
        <w:rPr>
          <w:rFonts w:eastAsia="仿宋"/>
        </w:rPr>
      </w:pPr>
      <w:r>
        <w:rPr>
          <w:rFonts w:hint="eastAsia" w:eastAsia="黑体"/>
          <w:sz w:val="44"/>
          <w:szCs w:val="44"/>
        </w:rPr>
        <w:t>第</w:t>
      </w:r>
      <w:r>
        <w:rPr>
          <w:rStyle w:val="31"/>
          <w:rFonts w:hint="eastAsia" w:eastAsia="黑体"/>
          <w:b w:val="0"/>
        </w:rPr>
        <w:t>五部分 附表</w:t>
      </w:r>
      <w:bookmarkEnd w:id="43"/>
      <w:bookmarkEnd w:id="45"/>
      <w:bookmarkStart w:id="46" w:name="_Toc15396619"/>
    </w:p>
    <w:p w14:paraId="411E6054">
      <w:pPr>
        <w:pStyle w:val="16"/>
        <w:adjustRightInd w:val="0"/>
        <w:snapToGrid w:val="0"/>
        <w:spacing w:line="560" w:lineRule="exact"/>
        <w:jc w:val="left"/>
        <w:rPr>
          <w:rFonts w:eastAsia="仿宋_GB2312" w:cs="仿宋_GB2312"/>
          <w:sz w:val="32"/>
          <w:szCs w:val="32"/>
        </w:rPr>
      </w:pPr>
    </w:p>
    <w:p w14:paraId="4D0110F3">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6"/>
    </w:p>
    <w:p w14:paraId="118273BC">
      <w:pPr>
        <w:pStyle w:val="16"/>
        <w:adjustRightInd w:val="0"/>
        <w:snapToGrid w:val="0"/>
        <w:spacing w:line="560" w:lineRule="exact"/>
        <w:jc w:val="left"/>
        <w:rPr>
          <w:rFonts w:eastAsia="仿宋_GB2312" w:cs="仿宋_GB2312"/>
          <w:sz w:val="32"/>
          <w:szCs w:val="32"/>
        </w:rPr>
      </w:pPr>
      <w:bookmarkStart w:id="47" w:name="_Toc15396620"/>
      <w:r>
        <w:rPr>
          <w:rFonts w:hint="eastAsia" w:eastAsia="仿宋_GB2312" w:cs="仿宋_GB2312"/>
          <w:sz w:val="32"/>
          <w:szCs w:val="32"/>
        </w:rPr>
        <w:t>二、收入决算表</w:t>
      </w:r>
      <w:bookmarkEnd w:id="47"/>
    </w:p>
    <w:p w14:paraId="55CE8A10">
      <w:pPr>
        <w:pStyle w:val="16"/>
        <w:adjustRightInd w:val="0"/>
        <w:snapToGrid w:val="0"/>
        <w:spacing w:line="560" w:lineRule="exact"/>
        <w:jc w:val="left"/>
        <w:rPr>
          <w:rFonts w:eastAsia="仿宋_GB2312" w:cs="仿宋_GB2312"/>
          <w:sz w:val="32"/>
          <w:szCs w:val="32"/>
        </w:rPr>
      </w:pPr>
      <w:bookmarkStart w:id="48" w:name="_Toc15396621"/>
      <w:r>
        <w:rPr>
          <w:rFonts w:hint="eastAsia" w:eastAsia="仿宋_GB2312" w:cs="仿宋_GB2312"/>
          <w:sz w:val="32"/>
          <w:szCs w:val="32"/>
        </w:rPr>
        <w:t>三、支出决算表</w:t>
      </w:r>
      <w:bookmarkEnd w:id="48"/>
    </w:p>
    <w:p w14:paraId="690749F5">
      <w:pPr>
        <w:pStyle w:val="16"/>
        <w:adjustRightInd w:val="0"/>
        <w:snapToGrid w:val="0"/>
        <w:spacing w:line="560" w:lineRule="exact"/>
        <w:jc w:val="left"/>
        <w:rPr>
          <w:rFonts w:eastAsia="仿宋_GB2312" w:cs="仿宋_GB2312"/>
          <w:sz w:val="32"/>
          <w:szCs w:val="32"/>
        </w:rPr>
      </w:pPr>
      <w:bookmarkStart w:id="49" w:name="_Toc15396622"/>
      <w:r>
        <w:rPr>
          <w:rFonts w:hint="eastAsia" w:eastAsia="仿宋_GB2312" w:cs="仿宋_GB2312"/>
          <w:sz w:val="32"/>
          <w:szCs w:val="32"/>
        </w:rPr>
        <w:t>四、财政拨款收入支出决算总表</w:t>
      </w:r>
      <w:bookmarkEnd w:id="49"/>
    </w:p>
    <w:p w14:paraId="6B1D5920">
      <w:pPr>
        <w:pStyle w:val="16"/>
        <w:adjustRightInd w:val="0"/>
        <w:snapToGrid w:val="0"/>
        <w:spacing w:line="560" w:lineRule="exact"/>
        <w:jc w:val="left"/>
        <w:rPr>
          <w:rFonts w:eastAsia="仿宋_GB2312" w:cs="仿宋_GB2312"/>
          <w:sz w:val="32"/>
          <w:szCs w:val="32"/>
        </w:rPr>
      </w:pPr>
      <w:bookmarkStart w:id="50" w:name="_Toc15396623"/>
      <w:r>
        <w:rPr>
          <w:rFonts w:hint="eastAsia" w:eastAsia="仿宋_GB2312" w:cs="仿宋_GB2312"/>
          <w:sz w:val="32"/>
          <w:szCs w:val="32"/>
        </w:rPr>
        <w:t>五、财政拨款支出决算明细表</w:t>
      </w:r>
      <w:bookmarkEnd w:id="50"/>
      <w:bookmarkStart w:id="51" w:name="_Toc15396624"/>
    </w:p>
    <w:p w14:paraId="63B97441">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1"/>
    </w:p>
    <w:p w14:paraId="39508563">
      <w:pPr>
        <w:pStyle w:val="16"/>
        <w:adjustRightInd w:val="0"/>
        <w:snapToGrid w:val="0"/>
        <w:spacing w:line="560" w:lineRule="exact"/>
        <w:jc w:val="left"/>
        <w:rPr>
          <w:rFonts w:eastAsia="仿宋_GB2312" w:cs="仿宋_GB2312"/>
          <w:sz w:val="32"/>
          <w:szCs w:val="32"/>
        </w:rPr>
      </w:pPr>
      <w:bookmarkStart w:id="52" w:name="_Toc15396625"/>
      <w:r>
        <w:rPr>
          <w:rFonts w:hint="eastAsia" w:eastAsia="仿宋_GB2312" w:cs="仿宋_GB2312"/>
          <w:sz w:val="32"/>
          <w:szCs w:val="32"/>
        </w:rPr>
        <w:t>七、一般公共预算财政拨款支出决算明细表</w:t>
      </w:r>
      <w:bookmarkEnd w:id="52"/>
    </w:p>
    <w:p w14:paraId="0E7B665F">
      <w:pPr>
        <w:pStyle w:val="16"/>
        <w:adjustRightInd w:val="0"/>
        <w:snapToGrid w:val="0"/>
        <w:spacing w:line="560" w:lineRule="exact"/>
        <w:jc w:val="left"/>
        <w:rPr>
          <w:rFonts w:eastAsia="仿宋_GB2312" w:cs="仿宋_GB2312"/>
          <w:sz w:val="32"/>
          <w:szCs w:val="32"/>
        </w:rPr>
      </w:pPr>
      <w:bookmarkStart w:id="53" w:name="_Toc15396626"/>
      <w:r>
        <w:rPr>
          <w:rFonts w:hint="eastAsia" w:eastAsia="仿宋_GB2312" w:cs="仿宋_GB2312"/>
          <w:sz w:val="32"/>
          <w:szCs w:val="32"/>
        </w:rPr>
        <w:t>八、一般公共预算财政拨款基本支出决算表</w:t>
      </w:r>
      <w:bookmarkEnd w:id="53"/>
    </w:p>
    <w:p w14:paraId="412DC521">
      <w:pPr>
        <w:pStyle w:val="16"/>
        <w:adjustRightInd w:val="0"/>
        <w:snapToGrid w:val="0"/>
        <w:spacing w:line="560" w:lineRule="exact"/>
        <w:jc w:val="left"/>
        <w:rPr>
          <w:rFonts w:eastAsia="仿宋_GB2312" w:cs="仿宋_GB2312"/>
          <w:sz w:val="32"/>
          <w:szCs w:val="32"/>
        </w:rPr>
      </w:pPr>
      <w:bookmarkStart w:id="54" w:name="_Toc15396627"/>
      <w:r>
        <w:rPr>
          <w:rFonts w:hint="eastAsia" w:eastAsia="仿宋_GB2312" w:cs="仿宋_GB2312"/>
          <w:sz w:val="32"/>
          <w:szCs w:val="32"/>
        </w:rPr>
        <w:t>九、一般公共预算财政拨款项目支出决算表</w:t>
      </w:r>
      <w:bookmarkEnd w:id="54"/>
    </w:p>
    <w:p w14:paraId="4694698A">
      <w:pPr>
        <w:pStyle w:val="16"/>
        <w:adjustRightInd w:val="0"/>
        <w:snapToGrid w:val="0"/>
        <w:spacing w:line="560" w:lineRule="exact"/>
        <w:jc w:val="left"/>
        <w:rPr>
          <w:rFonts w:eastAsia="仿宋_GB2312" w:cs="仿宋_GB2312"/>
          <w:sz w:val="32"/>
          <w:szCs w:val="32"/>
        </w:rPr>
      </w:pPr>
      <w:bookmarkStart w:id="55" w:name="_Toc15396628"/>
      <w:r>
        <w:rPr>
          <w:rFonts w:hint="eastAsia" w:eastAsia="仿宋_GB2312" w:cs="仿宋_GB2312"/>
          <w:sz w:val="32"/>
          <w:szCs w:val="32"/>
        </w:rPr>
        <w:t>十、</w:t>
      </w:r>
      <w:bookmarkEnd w:id="55"/>
      <w:r>
        <w:rPr>
          <w:rFonts w:hint="eastAsia" w:eastAsia="仿宋_GB2312" w:cs="仿宋_GB2312"/>
          <w:sz w:val="32"/>
          <w:szCs w:val="32"/>
        </w:rPr>
        <w:t>政府性基金预算财政拨款收入支出决算表</w:t>
      </w:r>
    </w:p>
    <w:p w14:paraId="2D405CD6">
      <w:pPr>
        <w:pStyle w:val="16"/>
        <w:adjustRightInd w:val="0"/>
        <w:snapToGrid w:val="0"/>
        <w:spacing w:line="560" w:lineRule="exact"/>
        <w:jc w:val="left"/>
        <w:rPr>
          <w:rFonts w:eastAsia="仿宋_GB2312" w:cs="仿宋_GB2312"/>
          <w:sz w:val="32"/>
          <w:szCs w:val="32"/>
        </w:rPr>
      </w:pPr>
      <w:bookmarkStart w:id="56" w:name="_Toc15396629"/>
      <w:r>
        <w:rPr>
          <w:rFonts w:hint="eastAsia" w:eastAsia="仿宋_GB2312" w:cs="仿宋_GB2312"/>
          <w:sz w:val="32"/>
          <w:szCs w:val="32"/>
        </w:rPr>
        <w:t>十一、</w:t>
      </w:r>
      <w:bookmarkEnd w:id="56"/>
      <w:r>
        <w:rPr>
          <w:rFonts w:hint="eastAsia" w:eastAsia="仿宋_GB2312" w:cs="仿宋_GB2312"/>
          <w:sz w:val="32"/>
          <w:szCs w:val="32"/>
        </w:rPr>
        <w:t>国有资本经营预算财政拨款收入支出决算表</w:t>
      </w:r>
    </w:p>
    <w:p w14:paraId="00DBE2E2">
      <w:pPr>
        <w:pStyle w:val="16"/>
        <w:adjustRightInd w:val="0"/>
        <w:snapToGrid w:val="0"/>
        <w:spacing w:line="560" w:lineRule="exact"/>
        <w:jc w:val="left"/>
        <w:rPr>
          <w:rFonts w:eastAsia="仿宋_GB2312" w:cs="仿宋_GB2312"/>
          <w:sz w:val="32"/>
          <w:szCs w:val="32"/>
        </w:rPr>
      </w:pPr>
      <w:bookmarkStart w:id="57" w:name="_Toc15396630"/>
      <w:r>
        <w:rPr>
          <w:rFonts w:hint="eastAsia" w:eastAsia="仿宋_GB2312" w:cs="仿宋_GB2312"/>
          <w:sz w:val="32"/>
          <w:szCs w:val="32"/>
        </w:rPr>
        <w:t>十二、</w:t>
      </w:r>
      <w:bookmarkEnd w:id="57"/>
      <w:r>
        <w:rPr>
          <w:rFonts w:hint="eastAsia" w:eastAsia="仿宋_GB2312" w:cs="仿宋_GB2312"/>
          <w:sz w:val="32"/>
          <w:szCs w:val="32"/>
        </w:rPr>
        <w:t>国有资本经营预算财政拨款支出决算表</w:t>
      </w:r>
    </w:p>
    <w:p w14:paraId="78CB91C0">
      <w:pPr>
        <w:pStyle w:val="16"/>
        <w:adjustRightInd w:val="0"/>
        <w:snapToGrid w:val="0"/>
        <w:spacing w:line="560" w:lineRule="exact"/>
        <w:jc w:val="left"/>
        <w:rPr>
          <w:rFonts w:hint="eastAsia" w:eastAsia="仿宋_GB2312" w:cs="仿宋_GB2312"/>
          <w:sz w:val="32"/>
          <w:szCs w:val="32"/>
        </w:rPr>
      </w:pPr>
      <w:bookmarkStart w:id="58" w:name="_Toc15396631"/>
      <w:r>
        <w:rPr>
          <w:rFonts w:hint="eastAsia" w:eastAsia="仿宋_GB2312" w:cs="仿宋_GB2312"/>
          <w:sz w:val="32"/>
          <w:szCs w:val="32"/>
        </w:rPr>
        <w:t>十三、</w:t>
      </w:r>
      <w:bookmarkEnd w:id="58"/>
      <w:r>
        <w:rPr>
          <w:rFonts w:hint="eastAsia" w:eastAsia="仿宋_GB2312" w:cs="仿宋_GB2312"/>
          <w:sz w:val="32"/>
          <w:szCs w:val="32"/>
        </w:rPr>
        <w:t>财政拨款“三公”经费支出决算表</w:t>
      </w:r>
    </w:p>
    <w:p w14:paraId="3F915376">
      <w:pPr>
        <w:pStyle w:val="16"/>
        <w:adjustRightInd w:val="0"/>
        <w:snapToGrid w:val="0"/>
        <w:spacing w:line="560" w:lineRule="exact"/>
        <w:jc w:val="left"/>
        <w:rPr>
          <w:rFonts w:hint="eastAsia" w:eastAsia="仿宋_GB2312"/>
          <w:lang w:eastAsia="zh-CN"/>
        </w:rPr>
      </w:pPr>
      <w:bookmarkStart w:id="59" w:name="_GoBack"/>
      <w:bookmarkEnd w:id="59"/>
      <w:r>
        <w:rPr>
          <w:rFonts w:hint="eastAsia" w:eastAsia="仿宋_GB2312" w:cs="仿宋_GB2312"/>
          <w:sz w:val="32"/>
          <w:szCs w:val="32"/>
          <w:lang w:eastAsia="zh-CN"/>
        </w:rPr>
        <w:t>十四、部门项目支出绩效目标表</w:t>
      </w:r>
    </w:p>
    <w:p w14:paraId="5B1D932F"/>
    <w:sectPr>
      <w:footerReference r:id="rId8" w:type="first"/>
      <w:footerReference r:id="rId7" w:type="default"/>
      <w:pgSz w:w="11906" w:h="16838"/>
      <w:pgMar w:top="1440" w:right="1800" w:bottom="1440" w:left="1800" w:header="851" w:footer="992" w:gutter="0"/>
      <w:pgNumType w:fmt="decimal" w:start="3"/>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48C82">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222441B">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0222441B">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415C82D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87627">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E8774C5">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S/LYV5wEAAMcD&#10;AAAOAAAAAAAAAAEAIAAAAB4BAABkcnMvZTJvRG9jLnhtbFBLBQYAAAAABgAGAFkBAAB3BQAAAAA=&#10;">
              <v:fill on="f" focussize="0,0"/>
              <v:stroke on="f"/>
              <v:imagedata o:title=""/>
              <o:lock v:ext="edit" aspectratio="f"/>
              <v:textbox inset="0mm,0mm,0mm,0mm" style="mso-fit-shape-to-text:t;">
                <w:txbxContent>
                  <w:p w14:paraId="3E8774C5">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7068A54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642D9">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977D98D">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78jLD5wEAAMcD&#10;AAAOAAAAAAAAAAEAIAAAAB4BAABkcnMvZTJvRG9jLnhtbFBLBQYAAAAABgAGAFkBAAB3BQAAAAA=&#10;">
              <v:fill on="f" focussize="0,0"/>
              <v:stroke on="f"/>
              <v:imagedata o:title=""/>
              <o:lock v:ext="edit" aspectratio="f"/>
              <v:textbox inset="0mm,0mm,0mm,0mm" style="mso-fit-shape-to-text:t;">
                <w:txbxContent>
                  <w:p w14:paraId="0977D98D">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F95AA93">
                          <w:pPr>
                            <w:pStyle w:val="12"/>
                            <w:rPr>
                              <w:rFonts w:hint="default" w:eastAsia="宋体"/>
                              <w:lang w:val="en-US" w:eastAsia="zh-CN"/>
                            </w:rPr>
                          </w:pPr>
                          <w:r>
                            <w:rPr>
                              <w:rFonts w:hint="eastAsia"/>
                              <w:lang w:val="en-US" w:eastAsia="zh-CN"/>
                            </w:rPr>
                            <w:t>2</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qXm5zwAAAAUBAAAP&#10;AAAAAAAAAAEAIAAAACIAAABkcnMvZG93bnJldi54bWxQSwECFAAUAAAACACHTuJAGRn5xOgBAADH&#10;AwAADgAAAAAAAAABACAAAAAeAQAAZHJzL2Uyb0RvYy54bWxQSwUGAAAAAAYABgBZAQAAeAUAAAAA&#10;">
              <v:fill on="f" focussize="0,0"/>
              <v:stroke on="f"/>
              <v:imagedata o:title=""/>
              <o:lock v:ext="edit" aspectratio="f"/>
              <v:textbox inset="0mm,0mm,0mm,0mm" style="mso-fit-shape-to-text:t;">
                <w:txbxContent>
                  <w:p w14:paraId="2F95AA93">
                    <w:pPr>
                      <w:pStyle w:val="12"/>
                      <w:rPr>
                        <w:rFonts w:hint="default" w:eastAsia="宋体"/>
                        <w:lang w:val="en-US" w:eastAsia="zh-CN"/>
                      </w:rPr>
                    </w:pPr>
                    <w:r>
                      <w:rPr>
                        <w:rFonts w:hint="eastAsia"/>
                        <w:lang w:val="en-US" w:eastAsia="zh-CN"/>
                      </w:rPr>
                      <w:t>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1DA0">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74DAAB">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4lM94BAAC+AwAADgAAAGRycy9lMm9Eb2MueG1srVPBjtMwEL0j8Q+W&#10;7zTZC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WziUz3gEAAL4DAAAOAAAAAAAA&#10;AAEAIAAAAB4BAABkcnMvZTJvRG9jLnhtbFBLBQYAAAAABgAGAFkBAABuBQAAAAA=&#10;">
              <v:fill on="f" focussize="0,0"/>
              <v:stroke on="f"/>
              <v:imagedata o:title=""/>
              <o:lock v:ext="edit" aspectratio="f"/>
              <v:textbox inset="0mm,0mm,0mm,0mm" style="mso-fit-shape-to-text:t;">
                <w:txbxContent>
                  <w:p w14:paraId="1B74DAAB">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37E1F893">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51F5">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332E707">
                          <w:pPr>
                            <w:pStyle w:val="12"/>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Nm7UO5wEAAMcD&#10;AAAOAAAAAAAAAAEAIAAAAB4BAABkcnMvZTJvRG9jLnhtbFBLBQYAAAAABgAGAFkBAAB3BQAAAAA=&#10;">
              <v:fill on="f" focussize="0,0"/>
              <v:stroke on="f"/>
              <v:imagedata o:title=""/>
              <o:lock v:ext="edit" aspectratio="f"/>
              <v:textbox inset="0mm,0mm,0mm,0mm" style="mso-fit-shape-to-text:t;">
                <w:txbxContent>
                  <w:p w14:paraId="6332E707">
                    <w:pPr>
                      <w:pStyle w:val="12"/>
                    </w:pPr>
                    <w:r>
                      <w:fldChar w:fldCharType="begin"/>
                    </w:r>
                    <w:r>
                      <w:instrText xml:space="preserve"> PAGE  \* MERGEFORMAT </w:instrText>
                    </w:r>
                    <w:r>
                      <w:fldChar w:fldCharType="separate"/>
                    </w:r>
                    <w:r>
                      <w:t>4</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6C5477">
                          <w:pPr>
                            <w:pStyle w:val="12"/>
                            <w:rPr>
                              <w:rFonts w:hint="default" w:eastAsia="宋体"/>
                              <w:lang w:val="en-US" w:eastAsia="zh-CN"/>
                            </w:rPr>
                          </w:pPr>
                          <w:r>
                            <w:rPr>
                              <w:rFonts w:hint="eastAsia" w:eastAsia="宋体"/>
                              <w:lang w:val="en-US" w:eastAsia="zh-CN"/>
                            </w:rPr>
                            <w:t>4</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WPMkBAACZ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9tY8yQEAAJkDAAAOAAAAAAAAAAEAIAAAAB4BAABkcnMvZTJvRG9j&#10;LnhtbFBLBQYAAAAABgAGAFkBAABZBQAAAAA=&#10;">
              <v:fill on="f" focussize="0,0"/>
              <v:stroke on="f"/>
              <v:imagedata o:title=""/>
              <o:lock v:ext="edit" aspectratio="f"/>
              <v:textbox inset="0mm,0mm,0mm,0mm" style="mso-fit-shape-to-text:t;">
                <w:txbxContent>
                  <w:p w14:paraId="1C6C5477">
                    <w:pPr>
                      <w:pStyle w:val="12"/>
                      <w:rPr>
                        <w:rFonts w:hint="default" w:eastAsia="宋体"/>
                        <w:lang w:val="en-US" w:eastAsia="zh-CN"/>
                      </w:rPr>
                    </w:pPr>
                    <w:r>
                      <w:rPr>
                        <w:rFonts w:hint="eastAsia" w:eastAsia="宋体"/>
                        <w:lang w:val="en-US" w:eastAsia="zh-CN"/>
                      </w:rPr>
                      <w:t>4</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F5521">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2BFA9"/>
    <w:multiLevelType w:val="singleLevel"/>
    <w:tmpl w:val="B672BFA9"/>
    <w:lvl w:ilvl="0" w:tentative="0">
      <w:start w:val="1"/>
      <w:numFmt w:val="chineseCounting"/>
      <w:suff w:val="nothing"/>
      <w:lvlText w:val="（%1）"/>
      <w:lvlJc w:val="left"/>
      <w:rPr>
        <w:rFonts w:hint="eastAsia"/>
      </w:rPr>
    </w:lvl>
  </w:abstractNum>
  <w:abstractNum w:abstractNumId="1">
    <w:nsid w:val="4184AA4B"/>
    <w:multiLevelType w:val="singleLevel"/>
    <w:tmpl w:val="4184AA4B"/>
    <w:lvl w:ilvl="0" w:tentative="0">
      <w:start w:val="1"/>
      <w:numFmt w:val="chineseCounting"/>
      <w:suff w:val="nothing"/>
      <w:lvlText w:val="%1、"/>
      <w:lvlJc w:val="left"/>
      <w:rPr>
        <w:rFonts w:hint="eastAsia"/>
      </w:rPr>
    </w:lvl>
  </w:abstractNum>
  <w:abstractNum w:abstractNumId="2">
    <w:nsid w:val="4DBFA9D2"/>
    <w:multiLevelType w:val="singleLevel"/>
    <w:tmpl w:val="4DBFA9D2"/>
    <w:lvl w:ilvl="0" w:tentative="0">
      <w:start w:val="1"/>
      <w:numFmt w:val="decimal"/>
      <w:lvlText w:val="%1."/>
      <w:lvlJc w:val="left"/>
      <w:pPr>
        <w:tabs>
          <w:tab w:val="left" w:pos="312"/>
        </w:tabs>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3765"/>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2A25"/>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A3877"/>
    <w:rsid w:val="02FEBE30"/>
    <w:rsid w:val="04916F1E"/>
    <w:rsid w:val="061033AE"/>
    <w:rsid w:val="061E35DE"/>
    <w:rsid w:val="066E0107"/>
    <w:rsid w:val="07996F6E"/>
    <w:rsid w:val="07DFD8BA"/>
    <w:rsid w:val="09867E8F"/>
    <w:rsid w:val="0A0E04A8"/>
    <w:rsid w:val="0A2032A3"/>
    <w:rsid w:val="0CA8290A"/>
    <w:rsid w:val="0D35B1ED"/>
    <w:rsid w:val="0D5B0FA7"/>
    <w:rsid w:val="0D9E6986"/>
    <w:rsid w:val="0E254B6B"/>
    <w:rsid w:val="0F98263C"/>
    <w:rsid w:val="101860EC"/>
    <w:rsid w:val="101F47CC"/>
    <w:rsid w:val="10C055FF"/>
    <w:rsid w:val="11694EBD"/>
    <w:rsid w:val="11772AA4"/>
    <w:rsid w:val="118107EC"/>
    <w:rsid w:val="12E24EE2"/>
    <w:rsid w:val="13D50BC4"/>
    <w:rsid w:val="14B17F78"/>
    <w:rsid w:val="15FE4D03"/>
    <w:rsid w:val="165E0673"/>
    <w:rsid w:val="16B831D5"/>
    <w:rsid w:val="16BB723D"/>
    <w:rsid w:val="178412FF"/>
    <w:rsid w:val="17E50567"/>
    <w:rsid w:val="181168DC"/>
    <w:rsid w:val="186504BB"/>
    <w:rsid w:val="19A445FC"/>
    <w:rsid w:val="19FB7AA8"/>
    <w:rsid w:val="1BE8440E"/>
    <w:rsid w:val="1D155CEE"/>
    <w:rsid w:val="1D1638FE"/>
    <w:rsid w:val="1E2E3FC6"/>
    <w:rsid w:val="1E312DEB"/>
    <w:rsid w:val="1E740ACF"/>
    <w:rsid w:val="1FF35744"/>
    <w:rsid w:val="1FF6BC77"/>
    <w:rsid w:val="2186353C"/>
    <w:rsid w:val="23860B96"/>
    <w:rsid w:val="240371BF"/>
    <w:rsid w:val="244F3473"/>
    <w:rsid w:val="24C97D99"/>
    <w:rsid w:val="251470D6"/>
    <w:rsid w:val="25A718F0"/>
    <w:rsid w:val="25BB59F6"/>
    <w:rsid w:val="260F557C"/>
    <w:rsid w:val="26970054"/>
    <w:rsid w:val="26D85F1A"/>
    <w:rsid w:val="281408E2"/>
    <w:rsid w:val="28A80261"/>
    <w:rsid w:val="29FD04D3"/>
    <w:rsid w:val="2B083239"/>
    <w:rsid w:val="2BFF7BC6"/>
    <w:rsid w:val="2C8A61B5"/>
    <w:rsid w:val="2DF04E50"/>
    <w:rsid w:val="2E586DFA"/>
    <w:rsid w:val="2EDF0755"/>
    <w:rsid w:val="2F040D46"/>
    <w:rsid w:val="2F6B035B"/>
    <w:rsid w:val="2FAE5751"/>
    <w:rsid w:val="2FB1A395"/>
    <w:rsid w:val="2FD9A7D8"/>
    <w:rsid w:val="2FDBF714"/>
    <w:rsid w:val="30AB6865"/>
    <w:rsid w:val="31992E3D"/>
    <w:rsid w:val="319F7F4E"/>
    <w:rsid w:val="32BD1EF1"/>
    <w:rsid w:val="3304709D"/>
    <w:rsid w:val="33A773CB"/>
    <w:rsid w:val="349D6851"/>
    <w:rsid w:val="36AA5135"/>
    <w:rsid w:val="36BE0DA7"/>
    <w:rsid w:val="3756532C"/>
    <w:rsid w:val="376B6AA6"/>
    <w:rsid w:val="376D39B2"/>
    <w:rsid w:val="37E16F03"/>
    <w:rsid w:val="37F53A3B"/>
    <w:rsid w:val="389B6C89"/>
    <w:rsid w:val="38D469F0"/>
    <w:rsid w:val="39115C35"/>
    <w:rsid w:val="39627CCD"/>
    <w:rsid w:val="397BAF1F"/>
    <w:rsid w:val="39895872"/>
    <w:rsid w:val="3AA953B6"/>
    <w:rsid w:val="3AB79AF3"/>
    <w:rsid w:val="3AE834C0"/>
    <w:rsid w:val="3B7EF35A"/>
    <w:rsid w:val="3B9FDB6C"/>
    <w:rsid w:val="3BF5BC2F"/>
    <w:rsid w:val="3CEBA265"/>
    <w:rsid w:val="3D98207C"/>
    <w:rsid w:val="3DE55091"/>
    <w:rsid w:val="3DEE7CF3"/>
    <w:rsid w:val="3E740A63"/>
    <w:rsid w:val="3E78745D"/>
    <w:rsid w:val="3EE17838"/>
    <w:rsid w:val="3F55381A"/>
    <w:rsid w:val="3F7F7599"/>
    <w:rsid w:val="3FF4CAE0"/>
    <w:rsid w:val="3FF7B227"/>
    <w:rsid w:val="418C02C8"/>
    <w:rsid w:val="41AD2400"/>
    <w:rsid w:val="41C537DA"/>
    <w:rsid w:val="44E268DA"/>
    <w:rsid w:val="450D13D7"/>
    <w:rsid w:val="45506656"/>
    <w:rsid w:val="486A6C7A"/>
    <w:rsid w:val="49C945F2"/>
    <w:rsid w:val="4A627F82"/>
    <w:rsid w:val="4A833ABF"/>
    <w:rsid w:val="4B0E749A"/>
    <w:rsid w:val="4B2477C4"/>
    <w:rsid w:val="4B4F25DA"/>
    <w:rsid w:val="4BE068DB"/>
    <w:rsid w:val="4CA566E2"/>
    <w:rsid w:val="4D577224"/>
    <w:rsid w:val="4DBF1CEB"/>
    <w:rsid w:val="4DF0007C"/>
    <w:rsid w:val="4EAB630A"/>
    <w:rsid w:val="4ECE2238"/>
    <w:rsid w:val="4F833267"/>
    <w:rsid w:val="4FE9BD67"/>
    <w:rsid w:val="4FFB052F"/>
    <w:rsid w:val="500656EA"/>
    <w:rsid w:val="503F4BD5"/>
    <w:rsid w:val="50C25AB5"/>
    <w:rsid w:val="537E6D0A"/>
    <w:rsid w:val="53F74C96"/>
    <w:rsid w:val="54D27232"/>
    <w:rsid w:val="55170BA8"/>
    <w:rsid w:val="553218C9"/>
    <w:rsid w:val="55367412"/>
    <w:rsid w:val="567E1AA5"/>
    <w:rsid w:val="56E47B74"/>
    <w:rsid w:val="57175D52"/>
    <w:rsid w:val="57BD3DD4"/>
    <w:rsid w:val="5A6516AD"/>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540E1C"/>
    <w:rsid w:val="698D0931"/>
    <w:rsid w:val="6A7FE5F3"/>
    <w:rsid w:val="6B053271"/>
    <w:rsid w:val="6BDD78B3"/>
    <w:rsid w:val="6C4A05C8"/>
    <w:rsid w:val="6C8742B8"/>
    <w:rsid w:val="6D3C6797"/>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12A3F"/>
    <w:rsid w:val="72734D90"/>
    <w:rsid w:val="73160E6D"/>
    <w:rsid w:val="7332FE48"/>
    <w:rsid w:val="73AB61DA"/>
    <w:rsid w:val="73AD73D5"/>
    <w:rsid w:val="73B6EB34"/>
    <w:rsid w:val="73FA497D"/>
    <w:rsid w:val="744731E5"/>
    <w:rsid w:val="74BBD01D"/>
    <w:rsid w:val="74ED5379"/>
    <w:rsid w:val="75DEEEC2"/>
    <w:rsid w:val="75E32345"/>
    <w:rsid w:val="76067FFD"/>
    <w:rsid w:val="76261E50"/>
    <w:rsid w:val="76E3355F"/>
    <w:rsid w:val="76FF5125"/>
    <w:rsid w:val="776F6FFA"/>
    <w:rsid w:val="778769C8"/>
    <w:rsid w:val="77A75DCA"/>
    <w:rsid w:val="77DC22F5"/>
    <w:rsid w:val="783E271A"/>
    <w:rsid w:val="78616DE9"/>
    <w:rsid w:val="78E875D7"/>
    <w:rsid w:val="79086DAD"/>
    <w:rsid w:val="79D7FD79"/>
    <w:rsid w:val="79EE5BA4"/>
    <w:rsid w:val="7A894339"/>
    <w:rsid w:val="7ACF7AD0"/>
    <w:rsid w:val="7AD284E8"/>
    <w:rsid w:val="7AFF7572"/>
    <w:rsid w:val="7B6C7DFB"/>
    <w:rsid w:val="7BBFBED0"/>
    <w:rsid w:val="7BC3E394"/>
    <w:rsid w:val="7C1F3737"/>
    <w:rsid w:val="7C3B427D"/>
    <w:rsid w:val="7CBFC87B"/>
    <w:rsid w:val="7CFE0F48"/>
    <w:rsid w:val="7D272ABC"/>
    <w:rsid w:val="7D7EC23E"/>
    <w:rsid w:val="7E8ADEBF"/>
    <w:rsid w:val="7EEF11D3"/>
    <w:rsid w:val="7EFE4840"/>
    <w:rsid w:val="7F0971A6"/>
    <w:rsid w:val="7F1D62E7"/>
    <w:rsid w:val="7F2A46A1"/>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680"/>
    </w:p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9"/>
    <w:unhideWhenUsed/>
    <w:qFormat/>
    <w:uiPriority w:val="99"/>
    <w:pPr>
      <w:ind w:firstLine="420" w:firstLineChars="200"/>
    </w:pPr>
  </w:style>
  <w:style w:type="paragraph" w:styleId="9">
    <w:name w:val="Plain Text"/>
    <w:basedOn w:val="1"/>
    <w:unhideWhenUsed/>
    <w:qFormat/>
    <w:uiPriority w:val="99"/>
    <w:rPr>
      <w:rFonts w:ascii="宋体" w:hAnsi="Courier New"/>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8"/>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2"/>
    <w:qFormat/>
    <w:uiPriority w:val="9"/>
    <w:rPr>
      <w:rFonts w:ascii="Times New Roman" w:hAnsi="Times New Roman"/>
      <w:b/>
      <w:bCs/>
      <w:kern w:val="44"/>
      <w:sz w:val="44"/>
      <w:szCs w:val="44"/>
    </w:rPr>
  </w:style>
  <w:style w:type="character" w:customStyle="1" w:styleId="32">
    <w:name w:val="标题 2 Char"/>
    <w:basedOn w:val="19"/>
    <w:link w:val="3"/>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1"/>
    <w:semiHidden/>
    <w:qFormat/>
    <w:uiPriority w:val="99"/>
    <w:rPr>
      <w:rFonts w:ascii="Times New Roman" w:hAnsi="Times New Roman"/>
      <w:kern w:val="2"/>
      <w:sz w:val="18"/>
      <w:szCs w:val="18"/>
    </w:rPr>
  </w:style>
  <w:style w:type="character" w:customStyle="1" w:styleId="35">
    <w:name w:val="标题 3 Char"/>
    <w:basedOn w:val="19"/>
    <w:link w:val="4"/>
    <w:qFormat/>
    <w:uiPriority w:val="9"/>
    <w:rPr>
      <w:rFonts w:ascii="Times New Roman" w:hAnsi="Times New Roman"/>
      <w:b/>
      <w:bCs/>
      <w:kern w:val="2"/>
      <w:sz w:val="32"/>
      <w:szCs w:val="32"/>
    </w:rPr>
  </w:style>
  <w:style w:type="paragraph" w:customStyle="1" w:styleId="3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7.emf"/><Relationship Id="rId22" Type="http://schemas.openxmlformats.org/officeDocument/2006/relationships/oleObject" Target="embeddings/oleObject7.bin"/><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9738</Words>
  <Characters>10857</Characters>
  <Lines>7</Lines>
  <Paragraphs>17</Paragraphs>
  <TotalTime>0</TotalTime>
  <ScaleCrop>false</ScaleCrop>
  <LinksUpToDate>false</LinksUpToDate>
  <CharactersWithSpaces>10921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2025-09-16T07:22:00Z</dcterms:created>
  <dc:creator>曹颖</dc:creator>
  <cp:lastModifiedBy>ནས་ནག</cp:lastModifiedBy>
  <cp:lastPrinted>2025-08-06T17:34:00Z</cp:lastPrinted>
  <dcterms:modified xsi:type="dcterms:W3CDTF">2025-09-24T07:47:22Z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42B16E4B4D9B4CC5BBA7E056F57BC4F0_13</vt:lpwstr>
  </property>
  <property fmtid="{D5CDD505-2E9C-101B-9397-08002B2CF9AE}" pid="4" name="KSOTemplateDocerSaveRecord">
    <vt:lpwstr>eyJoZGlkIjoiNmJkNWRjNDZiZWM1N2Y1N2Q2ZmJjMzkyZDI0MDMzNjUiLCJ1c2VySWQiOiIxMDgwNTgxNzQ0In0=</vt:lpwstr>
  </property>
</Properties>
</file>