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1"/>
        <w:keepNext w:val="0"/>
        <w:keepLines w:val="0"/>
        <w:widowControl/>
        <w:suppressLineNumbers w:val="0"/>
        <w:spacing w:before="0" w:beforeAutospacing="0"/>
        <w:ind w:left="0"/>
        <w:jc w:val="center"/>
      </w:pPr>
      <w:r>
        <w:rPr>
          <w:sz w:val="42"/>
          <w:szCs w:val="42"/>
          <w:shd w:val="clear" w:fill="FFFFFF"/>
        </w:rPr>
        <w:t>2021年度</w:t>
      </w:r>
    </w:p>
    <w:p>
      <w:pPr>
        <w:pStyle w:val="11"/>
        <w:keepNext w:val="0"/>
        <w:keepLines w:val="0"/>
        <w:widowControl/>
        <w:suppressLineNumbers w:val="0"/>
        <w:spacing w:before="0" w:beforeAutospacing="0"/>
        <w:ind w:left="0"/>
        <w:jc w:val="center"/>
      </w:pPr>
      <w:r>
        <w:rPr>
          <w:sz w:val="42"/>
          <w:szCs w:val="42"/>
          <w:shd w:val="clear" w:fill="FFFFFF"/>
        </w:rPr>
        <w:t>阿坝州红原县残疾人联合会部门决算</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已经保密审查、内容审定，同意对外公开</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rPr>
          <w:shd w:val="clear" w:fill="FFFFFF"/>
        </w:rPr>
      </w:pPr>
    </w:p>
    <w:p>
      <w:pPr>
        <w:pStyle w:val="11"/>
        <w:keepNext w:val="0"/>
        <w:keepLines w:val="0"/>
        <w:widowControl/>
        <w:suppressLineNumbers w:val="0"/>
        <w:spacing w:before="0" w:beforeAutospacing="0"/>
        <w:ind w:left="0"/>
        <w:jc w:val="both"/>
      </w:pPr>
      <w:r>
        <w:rPr>
          <w:shd w:val="clear" w:fill="FFFFFF"/>
        </w:rPr>
        <w:t> </w:t>
      </w:r>
    </w:p>
    <w:p>
      <w:pPr>
        <w:pStyle w:val="11"/>
        <w:keepNext w:val="0"/>
        <w:keepLines w:val="0"/>
        <w:widowControl/>
        <w:suppressLineNumbers w:val="0"/>
        <w:spacing w:before="0" w:beforeAutospacing="0"/>
        <w:ind w:left="0"/>
        <w:jc w:val="center"/>
      </w:pPr>
      <w:r>
        <w:rPr>
          <w:shd w:val="clear" w:fill="FFFFFF"/>
        </w:rPr>
        <w:br w:type="textWrapping"/>
      </w:r>
      <w:r>
        <w:rPr>
          <w:shd w:val="clear" w:fill="FFFFFF"/>
        </w:rPr>
        <w:t>目录</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公开时间：2022年9月29日</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第一部分 部门概况</w:t>
      </w:r>
    </w:p>
    <w:p>
      <w:pPr>
        <w:pStyle w:val="11"/>
        <w:keepNext w:val="0"/>
        <w:keepLines w:val="0"/>
        <w:widowControl/>
        <w:suppressLineNumbers w:val="0"/>
        <w:spacing w:before="0" w:beforeAutospacing="0"/>
        <w:ind w:left="420"/>
        <w:jc w:val="left"/>
      </w:pPr>
      <w:r>
        <w:rPr>
          <w:shd w:val="clear" w:fill="FFFFFF"/>
        </w:rPr>
        <w:t>一、基本职能及主要工作</w:t>
      </w:r>
    </w:p>
    <w:p>
      <w:pPr>
        <w:pStyle w:val="11"/>
        <w:keepNext w:val="0"/>
        <w:keepLines w:val="0"/>
        <w:widowControl/>
        <w:suppressLineNumbers w:val="0"/>
        <w:spacing w:before="0" w:beforeAutospacing="0"/>
        <w:ind w:left="420"/>
        <w:jc w:val="left"/>
      </w:pPr>
      <w:r>
        <w:rPr>
          <w:shd w:val="clear" w:fill="FFFFFF"/>
        </w:rPr>
        <w:t>二、机构设置</w:t>
      </w:r>
    </w:p>
    <w:p>
      <w:pPr>
        <w:pStyle w:val="11"/>
        <w:keepNext w:val="0"/>
        <w:keepLines w:val="0"/>
        <w:widowControl/>
        <w:suppressLineNumbers w:val="0"/>
        <w:spacing w:before="0" w:beforeAutospacing="0"/>
        <w:ind w:left="0"/>
        <w:jc w:val="left"/>
      </w:pPr>
      <w:r>
        <w:rPr>
          <w:shd w:val="clear" w:fill="FFFFFF"/>
        </w:rPr>
        <w:t>第二部分 2021年度部门决算情况说明</w:t>
      </w:r>
    </w:p>
    <w:p>
      <w:pPr>
        <w:pStyle w:val="11"/>
        <w:keepNext w:val="0"/>
        <w:keepLines w:val="0"/>
        <w:widowControl/>
        <w:suppressLineNumbers w:val="0"/>
        <w:spacing w:before="0" w:beforeAutospacing="0"/>
        <w:ind w:left="420"/>
        <w:jc w:val="left"/>
      </w:pPr>
      <w:r>
        <w:rPr>
          <w:shd w:val="clear" w:fill="FFFFFF"/>
        </w:rPr>
        <w:t>一、收入支出决算总体情况说明</w:t>
      </w:r>
    </w:p>
    <w:p>
      <w:pPr>
        <w:pStyle w:val="11"/>
        <w:keepNext w:val="0"/>
        <w:keepLines w:val="0"/>
        <w:widowControl/>
        <w:suppressLineNumbers w:val="0"/>
        <w:spacing w:before="0" w:beforeAutospacing="0"/>
        <w:ind w:left="420"/>
        <w:jc w:val="left"/>
      </w:pPr>
      <w:r>
        <w:rPr>
          <w:shd w:val="clear" w:fill="FFFFFF"/>
        </w:rPr>
        <w:t>二、收入决算情况说明</w:t>
      </w:r>
    </w:p>
    <w:p>
      <w:pPr>
        <w:pStyle w:val="11"/>
        <w:keepNext w:val="0"/>
        <w:keepLines w:val="0"/>
        <w:widowControl/>
        <w:suppressLineNumbers w:val="0"/>
        <w:spacing w:before="0" w:beforeAutospacing="0"/>
        <w:ind w:left="420"/>
        <w:jc w:val="left"/>
      </w:pPr>
      <w:r>
        <w:rPr>
          <w:shd w:val="clear" w:fill="FFFFFF"/>
        </w:rPr>
        <w:t>三、支出决算情况说明</w:t>
      </w:r>
    </w:p>
    <w:p>
      <w:pPr>
        <w:pStyle w:val="11"/>
        <w:keepNext w:val="0"/>
        <w:keepLines w:val="0"/>
        <w:widowControl/>
        <w:suppressLineNumbers w:val="0"/>
        <w:spacing w:before="0" w:beforeAutospacing="0"/>
        <w:ind w:left="420"/>
        <w:jc w:val="left"/>
      </w:pPr>
      <w:r>
        <w:rPr>
          <w:shd w:val="clear" w:fill="FFFFFF"/>
        </w:rPr>
        <w:t>四、财政拨款收入支出决算总体情况说明</w:t>
      </w:r>
    </w:p>
    <w:p>
      <w:pPr>
        <w:pStyle w:val="11"/>
        <w:keepNext w:val="0"/>
        <w:keepLines w:val="0"/>
        <w:widowControl/>
        <w:suppressLineNumbers w:val="0"/>
        <w:spacing w:before="0" w:beforeAutospacing="0"/>
        <w:ind w:left="420"/>
        <w:jc w:val="left"/>
      </w:pPr>
      <w:r>
        <w:rPr>
          <w:shd w:val="clear" w:fill="FFFFFF"/>
        </w:rPr>
        <w:t>五、一般公共预算财政拨款支出决算情况说明</w:t>
      </w:r>
    </w:p>
    <w:p>
      <w:pPr>
        <w:pStyle w:val="11"/>
        <w:keepNext w:val="0"/>
        <w:keepLines w:val="0"/>
        <w:widowControl/>
        <w:suppressLineNumbers w:val="0"/>
        <w:spacing w:before="0" w:beforeAutospacing="0"/>
        <w:ind w:left="420"/>
        <w:jc w:val="left"/>
      </w:pPr>
      <w:r>
        <w:rPr>
          <w:shd w:val="clear" w:fill="FFFFFF"/>
        </w:rPr>
        <w:t>六、一般公共预算财政拨款基本支出决算情况说明</w:t>
      </w:r>
    </w:p>
    <w:p>
      <w:pPr>
        <w:pStyle w:val="11"/>
        <w:keepNext w:val="0"/>
        <w:keepLines w:val="0"/>
        <w:widowControl/>
        <w:suppressLineNumbers w:val="0"/>
        <w:spacing w:before="0" w:beforeAutospacing="0"/>
        <w:ind w:left="420"/>
        <w:jc w:val="left"/>
      </w:pPr>
      <w:r>
        <w:rPr>
          <w:shd w:val="clear" w:fill="FFFFFF"/>
        </w:rPr>
        <w:t>七、“三公”经费财政拨款支出决算情况说明</w:t>
      </w:r>
    </w:p>
    <w:p>
      <w:pPr>
        <w:pStyle w:val="11"/>
        <w:keepNext w:val="0"/>
        <w:keepLines w:val="0"/>
        <w:widowControl/>
        <w:suppressLineNumbers w:val="0"/>
        <w:spacing w:before="0" w:beforeAutospacing="0"/>
        <w:ind w:left="420"/>
        <w:jc w:val="left"/>
      </w:pPr>
      <w:r>
        <w:rPr>
          <w:shd w:val="clear" w:fill="FFFFFF"/>
        </w:rPr>
        <w:t>八、政府性基金预算支出决算情况说明</w:t>
      </w:r>
    </w:p>
    <w:p>
      <w:pPr>
        <w:pStyle w:val="11"/>
        <w:keepNext w:val="0"/>
        <w:keepLines w:val="0"/>
        <w:widowControl/>
        <w:suppressLineNumbers w:val="0"/>
        <w:spacing w:before="0" w:beforeAutospacing="0"/>
        <w:ind w:left="0"/>
        <w:jc w:val="left"/>
      </w:pPr>
      <w:r>
        <w:rPr>
          <w:shd w:val="clear" w:fill="FFFFFF"/>
        </w:rPr>
        <w:t>九、国有资本经营预算支出决算情况说明</w:t>
      </w:r>
    </w:p>
    <w:p>
      <w:pPr>
        <w:pStyle w:val="11"/>
        <w:keepNext w:val="0"/>
        <w:keepLines w:val="0"/>
        <w:widowControl/>
        <w:suppressLineNumbers w:val="0"/>
        <w:spacing w:before="0" w:beforeAutospacing="0"/>
        <w:ind w:left="0"/>
        <w:jc w:val="left"/>
      </w:pPr>
      <w:r>
        <w:rPr>
          <w:shd w:val="clear" w:fill="FFFFFF"/>
        </w:rPr>
        <w:t>十、其他重要事项的情况说明 </w:t>
      </w:r>
    </w:p>
    <w:p>
      <w:pPr>
        <w:pStyle w:val="11"/>
        <w:keepNext w:val="0"/>
        <w:keepLines w:val="0"/>
        <w:widowControl/>
        <w:suppressLineNumbers w:val="0"/>
        <w:spacing w:before="0" w:beforeAutospacing="0"/>
        <w:ind w:left="0"/>
        <w:jc w:val="left"/>
      </w:pPr>
      <w:r>
        <w:rPr>
          <w:shd w:val="clear" w:fill="FFFFFF"/>
        </w:rPr>
        <w:t>第三部分 名词解释</w:t>
      </w:r>
    </w:p>
    <w:p>
      <w:pPr>
        <w:pStyle w:val="11"/>
        <w:keepNext w:val="0"/>
        <w:keepLines w:val="0"/>
        <w:widowControl/>
        <w:suppressLineNumbers w:val="0"/>
        <w:spacing w:before="0" w:beforeAutospacing="0"/>
        <w:ind w:left="0"/>
        <w:jc w:val="left"/>
      </w:pPr>
      <w:r>
        <w:rPr>
          <w:shd w:val="clear" w:fill="FFFFFF"/>
        </w:rPr>
        <w:t>第四部分 附件</w:t>
      </w:r>
    </w:p>
    <w:p>
      <w:pPr>
        <w:pStyle w:val="11"/>
        <w:keepNext w:val="0"/>
        <w:keepLines w:val="0"/>
        <w:widowControl/>
        <w:suppressLineNumbers w:val="0"/>
        <w:spacing w:before="0" w:beforeAutospacing="0"/>
        <w:ind w:left="0"/>
        <w:jc w:val="left"/>
      </w:pPr>
      <w:r>
        <w:rPr>
          <w:shd w:val="clear" w:fill="FFFFFF"/>
        </w:rPr>
        <w:t>第五部分 附表</w:t>
      </w:r>
    </w:p>
    <w:p>
      <w:pPr>
        <w:pStyle w:val="11"/>
        <w:keepNext w:val="0"/>
        <w:keepLines w:val="0"/>
        <w:widowControl/>
        <w:suppressLineNumbers w:val="0"/>
        <w:spacing w:before="0" w:beforeAutospacing="0"/>
        <w:ind w:left="420"/>
        <w:jc w:val="left"/>
      </w:pPr>
      <w:r>
        <w:rPr>
          <w:shd w:val="clear" w:fill="FFFFFF"/>
        </w:rPr>
        <w:t>一、收入支出决算总表</w:t>
      </w:r>
    </w:p>
    <w:p>
      <w:pPr>
        <w:pStyle w:val="11"/>
        <w:keepNext w:val="0"/>
        <w:keepLines w:val="0"/>
        <w:widowControl/>
        <w:suppressLineNumbers w:val="0"/>
        <w:spacing w:before="0" w:beforeAutospacing="0"/>
        <w:ind w:left="420"/>
        <w:jc w:val="left"/>
      </w:pPr>
      <w:r>
        <w:rPr>
          <w:shd w:val="clear" w:fill="FFFFFF"/>
        </w:rPr>
        <w:t>二、收入决算表</w:t>
      </w:r>
    </w:p>
    <w:p>
      <w:pPr>
        <w:pStyle w:val="11"/>
        <w:keepNext w:val="0"/>
        <w:keepLines w:val="0"/>
        <w:widowControl/>
        <w:suppressLineNumbers w:val="0"/>
        <w:spacing w:before="0" w:beforeAutospacing="0"/>
        <w:ind w:left="420"/>
        <w:jc w:val="left"/>
      </w:pPr>
      <w:r>
        <w:rPr>
          <w:shd w:val="clear" w:fill="FFFFFF"/>
        </w:rPr>
        <w:t>三、支出决算表</w:t>
      </w:r>
    </w:p>
    <w:p>
      <w:pPr>
        <w:pStyle w:val="11"/>
        <w:keepNext w:val="0"/>
        <w:keepLines w:val="0"/>
        <w:widowControl/>
        <w:suppressLineNumbers w:val="0"/>
        <w:spacing w:before="0" w:beforeAutospacing="0"/>
        <w:ind w:left="420"/>
        <w:jc w:val="left"/>
      </w:pPr>
      <w:r>
        <w:rPr>
          <w:shd w:val="clear" w:fill="FFFFFF"/>
        </w:rPr>
        <w:t>四、财政拨款收入支出决算总表</w:t>
      </w:r>
    </w:p>
    <w:p>
      <w:pPr>
        <w:pStyle w:val="11"/>
        <w:keepNext w:val="0"/>
        <w:keepLines w:val="0"/>
        <w:widowControl/>
        <w:suppressLineNumbers w:val="0"/>
        <w:spacing w:before="0" w:beforeAutospacing="0"/>
        <w:ind w:left="420"/>
        <w:jc w:val="left"/>
      </w:pPr>
      <w:r>
        <w:rPr>
          <w:shd w:val="clear" w:fill="FFFFFF"/>
        </w:rPr>
        <w:t>五、财政拨款支出决算明细表</w:t>
      </w:r>
    </w:p>
    <w:p>
      <w:pPr>
        <w:pStyle w:val="11"/>
        <w:keepNext w:val="0"/>
        <w:keepLines w:val="0"/>
        <w:widowControl/>
        <w:suppressLineNumbers w:val="0"/>
        <w:spacing w:before="0" w:beforeAutospacing="0"/>
        <w:ind w:left="420"/>
        <w:jc w:val="left"/>
      </w:pPr>
      <w:r>
        <w:rPr>
          <w:shd w:val="clear" w:fill="FFFFFF"/>
        </w:rPr>
        <w:t>六、一般公共预算财政拨款支出决算表</w:t>
      </w:r>
    </w:p>
    <w:p>
      <w:pPr>
        <w:pStyle w:val="11"/>
        <w:keepNext w:val="0"/>
        <w:keepLines w:val="0"/>
        <w:widowControl/>
        <w:suppressLineNumbers w:val="0"/>
        <w:spacing w:before="0" w:beforeAutospacing="0"/>
        <w:ind w:left="420"/>
        <w:jc w:val="left"/>
      </w:pPr>
      <w:r>
        <w:rPr>
          <w:shd w:val="clear" w:fill="FFFFFF"/>
        </w:rPr>
        <w:t>七、一般公共预算财政拨款支出决算明细表</w:t>
      </w:r>
    </w:p>
    <w:p>
      <w:pPr>
        <w:pStyle w:val="11"/>
        <w:keepNext w:val="0"/>
        <w:keepLines w:val="0"/>
        <w:widowControl/>
        <w:suppressLineNumbers w:val="0"/>
        <w:spacing w:before="0" w:beforeAutospacing="0"/>
        <w:ind w:left="420"/>
        <w:jc w:val="left"/>
      </w:pPr>
      <w:r>
        <w:rPr>
          <w:shd w:val="clear" w:fill="FFFFFF"/>
        </w:rPr>
        <w:t>八、一般公共预算财政拨款基本支出决算表</w:t>
      </w:r>
    </w:p>
    <w:p>
      <w:pPr>
        <w:pStyle w:val="11"/>
        <w:keepNext w:val="0"/>
        <w:keepLines w:val="0"/>
        <w:widowControl/>
        <w:suppressLineNumbers w:val="0"/>
        <w:spacing w:before="0" w:beforeAutospacing="0"/>
        <w:ind w:left="420"/>
        <w:jc w:val="left"/>
      </w:pPr>
      <w:r>
        <w:rPr>
          <w:shd w:val="clear" w:fill="FFFFFF"/>
        </w:rPr>
        <w:t>九、一般公共预算财政拨款项目支出决算表</w:t>
      </w:r>
    </w:p>
    <w:p>
      <w:pPr>
        <w:pStyle w:val="11"/>
        <w:keepNext w:val="0"/>
        <w:keepLines w:val="0"/>
        <w:widowControl/>
        <w:suppressLineNumbers w:val="0"/>
        <w:spacing w:before="0" w:beforeAutospacing="0"/>
        <w:ind w:left="420"/>
        <w:jc w:val="left"/>
      </w:pPr>
      <w:r>
        <w:rPr>
          <w:shd w:val="clear" w:fill="FFFFFF"/>
        </w:rPr>
        <w:t>十、一般公共预算财政拨款“三公”经费支出决算表</w:t>
      </w:r>
    </w:p>
    <w:p>
      <w:pPr>
        <w:pStyle w:val="11"/>
        <w:keepNext w:val="0"/>
        <w:keepLines w:val="0"/>
        <w:widowControl/>
        <w:suppressLineNumbers w:val="0"/>
        <w:spacing w:before="0" w:beforeAutospacing="0"/>
        <w:ind w:left="420"/>
        <w:jc w:val="left"/>
      </w:pPr>
      <w:r>
        <w:rPr>
          <w:shd w:val="clear" w:fill="FFFFFF"/>
        </w:rPr>
        <w:t>十一、政府性基金预算财政拨款收入支出决算表</w:t>
      </w:r>
    </w:p>
    <w:p>
      <w:pPr>
        <w:pStyle w:val="11"/>
        <w:keepNext w:val="0"/>
        <w:keepLines w:val="0"/>
        <w:widowControl/>
        <w:suppressLineNumbers w:val="0"/>
        <w:spacing w:before="0" w:beforeAutospacing="0"/>
        <w:ind w:left="420"/>
        <w:jc w:val="left"/>
      </w:pPr>
      <w:r>
        <w:rPr>
          <w:shd w:val="clear" w:fill="FFFFFF"/>
        </w:rPr>
        <w:t>十二、政府性基金预算财政拨款“三公”经费支出决算表</w:t>
      </w:r>
    </w:p>
    <w:p>
      <w:pPr>
        <w:pStyle w:val="11"/>
        <w:keepNext w:val="0"/>
        <w:keepLines w:val="0"/>
        <w:widowControl/>
        <w:suppressLineNumbers w:val="0"/>
        <w:spacing w:before="0" w:beforeAutospacing="0"/>
        <w:ind w:left="420"/>
        <w:jc w:val="left"/>
      </w:pPr>
      <w:r>
        <w:rPr>
          <w:shd w:val="clear" w:fill="FFFFFF"/>
        </w:rPr>
        <w:t>十三、国有资本经营预算财政拨款收入支出决算表</w:t>
      </w:r>
    </w:p>
    <w:p>
      <w:pPr>
        <w:pStyle w:val="11"/>
        <w:keepNext w:val="0"/>
        <w:keepLines w:val="0"/>
        <w:widowControl/>
        <w:suppressLineNumbers w:val="0"/>
        <w:spacing w:before="0" w:beforeAutospacing="0"/>
        <w:ind w:left="420"/>
        <w:jc w:val="left"/>
      </w:pPr>
      <w:r>
        <w:rPr>
          <w:shd w:val="clear" w:fill="FFFFFF"/>
        </w:rPr>
        <w:t>十四、国有资本经营预算财政拨款支出决算表</w:t>
      </w:r>
    </w:p>
    <w:p>
      <w:pPr>
        <w:pStyle w:val="11"/>
        <w:keepNext w:val="0"/>
        <w:keepLines w:val="0"/>
        <w:widowControl/>
        <w:suppressLineNumbers w:val="0"/>
        <w:spacing w:before="0" w:beforeAutospacing="0"/>
        <w:ind w:left="0"/>
        <w:jc w:val="left"/>
      </w:pPr>
      <w:r>
        <w:rPr>
          <w:shd w:val="clear" w:fill="FFFFFF"/>
        </w:rPr>
        <w:t>(注：请部门根据实际注明页码)</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3"/>
        <w:keepNext w:val="0"/>
        <w:keepLines w:val="0"/>
        <w:widowControl/>
        <w:suppressLineNumbers w:val="0"/>
        <w:spacing w:before="0" w:beforeAutospacing="0"/>
        <w:ind w:left="0"/>
        <w:jc w:val="center"/>
      </w:pPr>
      <w:r>
        <w:rPr>
          <w:shd w:val="clear" w:fill="FFFFFF"/>
        </w:rPr>
        <w:t>第一部分 部门概况</w:t>
      </w:r>
    </w:p>
    <w:p>
      <w:pPr>
        <w:pStyle w:val="11"/>
        <w:keepNext w:val="0"/>
        <w:keepLines w:val="0"/>
        <w:widowControl/>
        <w:suppressLineNumbers w:val="0"/>
        <w:spacing w:before="0" w:beforeAutospacing="0"/>
        <w:ind w:left="0"/>
        <w:jc w:val="left"/>
      </w:pPr>
      <w:r>
        <w:rPr>
          <w:shd w:val="clear" w:fill="FFFFFF"/>
        </w:rPr>
        <w:t> </w:t>
      </w:r>
    </w:p>
    <w:p>
      <w:pPr>
        <w:pStyle w:val="4"/>
        <w:keepNext w:val="0"/>
        <w:keepLines w:val="0"/>
        <w:widowControl/>
        <w:suppressLineNumbers w:val="0"/>
        <w:spacing w:before="0" w:beforeAutospacing="0"/>
        <w:ind w:left="0"/>
        <w:jc w:val="left"/>
      </w:pPr>
      <w:r>
        <w:rPr>
          <w:shd w:val="clear" w:fill="FFFFFF"/>
        </w:rPr>
        <w:t>一、基本职能及主要工作</w:t>
      </w:r>
    </w:p>
    <w:p>
      <w:pPr>
        <w:keepNext w:val="0"/>
        <w:keepLines w:val="0"/>
        <w:widowControl w:val="0"/>
        <w:suppressLineNumbers w:val="0"/>
        <w:autoSpaceDE w:val="0"/>
        <w:autoSpaceDN/>
        <w:spacing w:before="0" w:beforeAutospacing="0" w:line="576" w:lineRule="exact"/>
        <w:ind w:left="0" w:right="0" w:rightChars="0" w:firstLine="480" w:firstLineChars="200"/>
        <w:jc w:val="both"/>
        <w:rPr>
          <w:rFonts w:hint="eastAsia"/>
          <w:shd w:val="clear" w:fill="FFFFFF"/>
          <w:lang w:val="en-US" w:eastAsia="zh-CN"/>
        </w:rPr>
      </w:pPr>
      <w:r>
        <w:rPr>
          <w:shd w:val="clear" w:fill="FFFFFF"/>
        </w:rPr>
        <w:t>（一）主要职能。</w:t>
      </w:r>
      <w:r>
        <w:rPr>
          <w:rFonts w:hint="eastAsia"/>
          <w:shd w:val="clear" w:fill="FFFFFF"/>
          <w:lang w:val="en-US" w:eastAsia="zh-CN"/>
        </w:rPr>
        <w:t xml:space="preserve">  </w:t>
      </w:r>
    </w:p>
    <w:p>
      <w:pPr>
        <w:keepNext w:val="0"/>
        <w:keepLines w:val="0"/>
        <w:widowControl w:val="0"/>
        <w:suppressLineNumbers w:val="0"/>
        <w:autoSpaceDE w:val="0"/>
        <w:autoSpaceDN/>
        <w:spacing w:before="0" w:beforeAutospacing="0" w:line="576" w:lineRule="exact"/>
        <w:ind w:left="0" w:right="0" w:rightChars="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rPr>
        <w:t>（1）组织和开展残疾人残疾人状况、致残原因和康复需求调查，掌握协调残疾人康复技术资源；</w:t>
      </w:r>
    </w:p>
    <w:p>
      <w:pPr>
        <w:keepNext w:val="0"/>
        <w:keepLines w:val="0"/>
        <w:widowControl w:val="0"/>
        <w:suppressLineNumbers w:val="0"/>
        <w:autoSpaceDE w:val="0"/>
        <w:autoSpaceDN/>
        <w:spacing w:before="0" w:beforeAutospacing="0" w:line="576" w:lineRule="exact"/>
        <w:ind w:left="0" w:right="0" w:rightChars="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rPr>
        <w:t>（2）拟定和实施残疾人康复政策、工作规则、计划，指导和协调残疾人康复机构的业务；</w:t>
      </w:r>
    </w:p>
    <w:p>
      <w:pPr>
        <w:keepNext w:val="0"/>
        <w:keepLines w:val="0"/>
        <w:widowControl w:val="0"/>
        <w:suppressLineNumbers w:val="0"/>
        <w:autoSpaceDE w:val="0"/>
        <w:autoSpaceDN/>
        <w:spacing w:before="0" w:beforeAutospacing="0" w:line="576" w:lineRule="exact"/>
        <w:ind w:left="0" w:right="0" w:rightChars="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rPr>
        <w:t>（3）组织开展各类残疾人康复和各类残疾人辅助器具开发、供应、服务工作；</w:t>
      </w:r>
    </w:p>
    <w:p>
      <w:pPr>
        <w:keepNext w:val="0"/>
        <w:keepLines w:val="0"/>
        <w:widowControl w:val="0"/>
        <w:suppressLineNumbers w:val="0"/>
        <w:autoSpaceDE w:val="0"/>
        <w:autoSpaceDN/>
        <w:spacing w:before="0" w:beforeAutospacing="0" w:line="576" w:lineRule="exact"/>
        <w:ind w:left="0" w:right="0" w:rightChars="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rPr>
        <w:t>（4）知道残疾人康复行业协会的工作，开展学术交流，培训康复人才；</w:t>
      </w:r>
    </w:p>
    <w:p>
      <w:pPr>
        <w:keepNext w:val="0"/>
        <w:keepLines w:val="0"/>
        <w:widowControl w:val="0"/>
        <w:suppressLineNumbers w:val="0"/>
        <w:autoSpaceDE w:val="0"/>
        <w:autoSpaceDN/>
        <w:spacing w:before="0" w:beforeAutospacing="0" w:line="576" w:lineRule="exact"/>
        <w:ind w:left="0" w:right="0" w:rightChars="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rPr>
        <w:t>（5）开展残疾人康复专项统计，总结推广残疾人康复先进工作经验；</w:t>
      </w:r>
    </w:p>
    <w:p>
      <w:pPr>
        <w:pStyle w:val="11"/>
        <w:keepNext w:val="0"/>
        <w:keepLines w:val="0"/>
        <w:widowControl/>
        <w:suppressLineNumbers w:val="0"/>
        <w:spacing w:before="0" w:beforeAutospacing="0"/>
        <w:ind w:left="0"/>
        <w:jc w:val="left"/>
        <w:rPr>
          <w:rFonts w:hint="eastAsia"/>
          <w:shd w:val="clear" w:fill="FFFFFF"/>
          <w:lang w:val="en-US" w:eastAsia="zh-CN"/>
        </w:rPr>
      </w:pPr>
      <w:r>
        <w:rPr>
          <w:rFonts w:hint="default" w:ascii="仿宋_GB2312" w:hAnsi="宋体" w:eastAsia="仿宋_GB2312" w:cs="仿宋_GB2312"/>
          <w:color w:val="000000"/>
          <w:kern w:val="0"/>
          <w:sz w:val="32"/>
          <w:szCs w:val="32"/>
        </w:rPr>
        <w:t>（6）承担县残疾人康复工作办公室的日常工作</w:t>
      </w:r>
    </w:p>
    <w:p>
      <w:pPr>
        <w:pStyle w:val="11"/>
        <w:keepNext w:val="0"/>
        <w:keepLines w:val="0"/>
        <w:widowControl/>
        <w:suppressLineNumbers w:val="0"/>
        <w:spacing w:before="0" w:beforeAutospacing="0"/>
        <w:ind w:left="0"/>
        <w:jc w:val="left"/>
        <w:rPr>
          <w:shd w:val="clear" w:fill="FFFFFF"/>
        </w:rPr>
      </w:pPr>
      <w:r>
        <w:rPr>
          <w:shd w:val="clear" w:fill="FFFFFF"/>
        </w:rPr>
        <w:t>（二）2021年重点工作完成情况。</w:t>
      </w:r>
    </w:p>
    <w:p>
      <w:pPr>
        <w:pStyle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（一）残疾人组织不断加强和完善</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根据残疾人事业发展的需要，为进一步巩固和加强基层残联组织建设，全县</w:t>
      </w:r>
      <w:r>
        <w:rPr>
          <w:rFonts w:hint="eastAsia" w:ascii="仿宋_GB2312" w:hAnsi="仿宋_GB2312" w:eastAsia="仿宋_GB2312" w:cs="仿宋_GB2312"/>
          <w:sz w:val="32"/>
          <w:szCs w:val="32"/>
          <w:lang w:val="en-US" w:eastAsia="zh-CN"/>
        </w:rPr>
        <w:t>10个乡（镇）全部建成由政府主导、部门协作、社会参与、残疾人融入的“四位一体”工作机制，配备乡镇残联专干10人、村（社区）村级联络员21人，对联络员兑现了相关待遇，初步形成“横向到边，纵向到底”</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的残疾人工作网络。率先在全州试运行的“残疾人之家”已经逐步在全县范围内推广，通过残联与乡镇共同合作，就近为残疾人提供包括辅助器具适配、生活物资发放、政策法律援助等一系列快捷优质的服务，该工作模式受到上级领导的认同和残疾朋友的一致好评。</w:t>
      </w:r>
    </w:p>
    <w:p>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（二）残疾人劳动就业工作取得新进展</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近几年来，我们与社会各界广泛联系，广开门路多方做工作，多渠道、多层次拓展就业空间。县残联通过浙江援建、省州专项产业扶持等资金对残疾人创业带头人及残疾人协会进行扶持，投入资金达到166.03万元，今年对县域内有需求的100名残疾人开展烹饪培训，大大提高了残疾人的社会竞争力和就业能力。</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截止2021年8月底，全县共有21名残疾人在县内机关、事业单位和各类企业工作，其中通过培训在企业实现就业2人。实现残疾人居家灵活就业414人，发放资金61.9万元。</w:t>
      </w:r>
    </w:p>
    <w:p>
      <w:pPr>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（三）残疾人康复工作成效显著</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为进一步提高残疾人生活自理和社会适应能力，今年投入资金10.34万元为残疾群众发放各类残疾人辅具190件；邀请成都爱尔眼科专家为5名白内障患者进行复明手术，落实资金1.8万元；为6名</w:t>
      </w:r>
      <w:r>
        <w:rPr>
          <w:rFonts w:hint="eastAsia" w:ascii="仿宋_GB2312" w:eastAsia="仿宋_GB2312" w:cs="宋体"/>
          <w:kern w:val="0"/>
          <w:sz w:val="32"/>
          <w:szCs w:val="32"/>
          <w:lang w:val="en-US" w:eastAsia="zh-CN"/>
        </w:rPr>
        <w:t>听力障碍者</w:t>
      </w:r>
      <w:r>
        <w:rPr>
          <w:rFonts w:hint="eastAsia" w:ascii="仿宋_GB2312" w:eastAsia="仿宋_GB2312" w:cs="宋体"/>
          <w:kern w:val="0"/>
          <w:sz w:val="32"/>
          <w:szCs w:val="32"/>
          <w:lang w:val="zh-CN"/>
        </w:rPr>
        <w:t>适配助听器价值</w:t>
      </w:r>
      <w:r>
        <w:rPr>
          <w:rFonts w:hint="eastAsia" w:ascii="仿宋_GB2312" w:eastAsia="仿宋_GB2312" w:cs="宋体"/>
          <w:kern w:val="0"/>
          <w:sz w:val="32"/>
          <w:szCs w:val="32"/>
          <w:lang w:val="en-US" w:eastAsia="zh-CN"/>
        </w:rPr>
        <w:t>0.68万元；</w:t>
      </w:r>
      <w:r>
        <w:rPr>
          <w:rFonts w:hint="eastAsia" w:ascii="仿宋_GB2312" w:eastAsia="仿宋_GB2312" w:cs="宋体"/>
          <w:kern w:val="0"/>
          <w:sz w:val="32"/>
          <w:szCs w:val="32"/>
          <w:lang w:val="zh-CN"/>
        </w:rPr>
        <w:t>为</w:t>
      </w:r>
      <w:r>
        <w:rPr>
          <w:rFonts w:hint="eastAsia" w:ascii="仿宋_GB2312" w:eastAsia="仿宋_GB2312" w:cs="宋体"/>
          <w:kern w:val="0"/>
          <w:sz w:val="32"/>
          <w:szCs w:val="32"/>
          <w:lang w:val="en-US" w:eastAsia="zh-CN"/>
        </w:rPr>
        <w:t>3名</w:t>
      </w:r>
      <w:r>
        <w:rPr>
          <w:rFonts w:hint="eastAsia" w:ascii="仿宋_GB2312" w:eastAsia="仿宋_GB2312" w:cs="宋体"/>
          <w:kern w:val="0"/>
          <w:sz w:val="32"/>
          <w:szCs w:val="32"/>
          <w:lang w:val="zh-CN"/>
        </w:rPr>
        <w:t>精神病患者实施服药补贴，落实资金</w:t>
      </w:r>
      <w:r>
        <w:rPr>
          <w:rFonts w:hint="eastAsia" w:ascii="仿宋_GB2312" w:eastAsia="仿宋_GB2312" w:cs="宋体"/>
          <w:kern w:val="0"/>
          <w:sz w:val="32"/>
          <w:szCs w:val="32"/>
          <w:u w:val="none"/>
          <w:lang w:val="en-US" w:eastAsia="zh-CN"/>
        </w:rPr>
        <w:t>0.259</w:t>
      </w:r>
      <w:r>
        <w:rPr>
          <w:rFonts w:hint="eastAsia" w:ascii="仿宋_GB2312" w:eastAsia="仿宋_GB2312" w:cs="宋体"/>
          <w:kern w:val="0"/>
          <w:sz w:val="32"/>
          <w:szCs w:val="32"/>
          <w:lang w:val="zh-CN"/>
        </w:rPr>
        <w:t>万元；落实资金</w:t>
      </w:r>
      <w:r>
        <w:rPr>
          <w:rFonts w:hint="eastAsia" w:ascii="仿宋_GB2312" w:eastAsia="仿宋_GB2312" w:cs="宋体"/>
          <w:kern w:val="0"/>
          <w:sz w:val="32"/>
          <w:szCs w:val="32"/>
          <w:u w:val="none"/>
          <w:lang w:val="en-US" w:eastAsia="zh-CN"/>
        </w:rPr>
        <w:t>4.6</w:t>
      </w:r>
      <w:r>
        <w:rPr>
          <w:rFonts w:hint="eastAsia" w:ascii="仿宋_GB2312" w:eastAsia="仿宋_GB2312" w:cs="宋体"/>
          <w:kern w:val="0"/>
          <w:sz w:val="32"/>
          <w:szCs w:val="32"/>
          <w:lang w:val="zh-CN"/>
        </w:rPr>
        <w:t>万元为</w:t>
      </w:r>
      <w:r>
        <w:rPr>
          <w:rFonts w:hint="eastAsia" w:ascii="仿宋_GB2312" w:eastAsia="仿宋_GB2312" w:cs="宋体"/>
          <w:kern w:val="0"/>
          <w:sz w:val="32"/>
          <w:szCs w:val="32"/>
          <w:u w:val="none"/>
          <w:lang w:val="en-US" w:eastAsia="zh-CN"/>
        </w:rPr>
        <w:t>3</w:t>
      </w:r>
      <w:r>
        <w:rPr>
          <w:rFonts w:hint="eastAsia" w:ascii="仿宋_GB2312" w:eastAsia="仿宋_GB2312" w:cs="宋体"/>
          <w:kern w:val="0"/>
          <w:sz w:val="32"/>
          <w:szCs w:val="32"/>
          <w:lang w:val="en-US" w:eastAsia="zh-CN"/>
        </w:rPr>
        <w:t>名</w:t>
      </w:r>
      <w:r>
        <w:rPr>
          <w:rFonts w:hint="eastAsia" w:ascii="仿宋_GB2312" w:eastAsia="仿宋_GB2312" w:cs="宋体"/>
          <w:kern w:val="0"/>
          <w:sz w:val="32"/>
          <w:szCs w:val="32"/>
          <w:lang w:val="zh-CN"/>
        </w:rPr>
        <w:t>成人进行肢体康复训练；</w:t>
      </w:r>
      <w:r>
        <w:rPr>
          <w:rFonts w:hint="eastAsia" w:ascii="仿宋_GB2312" w:hAnsi="仿宋_GB2312" w:eastAsia="仿宋_GB2312" w:cs="仿宋_GB2312"/>
          <w:sz w:val="32"/>
          <w:szCs w:val="32"/>
          <w:lang w:val="en-US" w:eastAsia="zh-CN"/>
        </w:rPr>
        <w:t>累计发放残疾人机动车辆燃油补贴3人0.1095万元。为瓦切镇、邛溪镇设立残疾人康复训练室，极大方便了当地残疾群众的康复活动。</w:t>
      </w:r>
    </w:p>
    <w:p>
      <w:pPr>
        <w:tabs>
          <w:tab w:val="left" w:pos="913"/>
        </w:tabs>
        <w:bidi w:val="0"/>
        <w:ind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（四）残疾人儿童接受教育的权利得到保障</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真贯彻《残疾人教育条例》，密切配合教育部门，实行普及与提高相结合，进一步完善控辍保学机制，对重度残疾儿童建立个人档案并适时跟踪，将残疾儿童纳入普及九年义务教育总体规划，通过温州市、平阳县、永嘉县帮扶共救助106名贫困残疾家庭学生，发放资金9.2万元。</w:t>
      </w:r>
    </w:p>
    <w:p>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（五）残疾人文体宣传活动形式多样</w:t>
      </w:r>
    </w:p>
    <w:p>
      <w:pPr>
        <w:tabs>
          <w:tab w:val="left" w:pos="748"/>
        </w:tabs>
        <w:bidi w:val="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为保障我县残疾人充分平等参与社会文化活动，共享社会物质文化成果，我会积极开展一系列活动。</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以“爱眼日”、“助残日”、“爱耳日”、“国际残疾人日”等残疾人节庆日为契机，加大残疾人法律法规宣传，发放宣传资料7000余份，接受群众咨询700余人次。特别是今年助残日活动，在红原县麦洼寺开展助残扶残保稳定的“送温暖进寺庙”活动，对麦洼寺残疾僧人送去10台轮椅、10台坐便器及20余副腋拐（单拐）等康复器具；生活物资，慰问金,政策法规咨询等；并邀请八一康复中心医护人员对残疾僧人免费义诊，此举在僧人群体中引起极大反响，得到上级领导的充分肯定。</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充分利用红原门户网站、微信群、电信残疾人群等媒介做好残疾人重点工作的宣传报道。</w:t>
      </w:r>
    </w:p>
    <w:p>
      <w:pPr>
        <w:tabs>
          <w:tab w:val="left" w:pos="913"/>
        </w:tabs>
        <w:bidi w:val="0"/>
        <w:ind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（六）残疾人服务体系不断完善</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eastAsia" w:ascii="仿宋_GB2312" w:eastAsia="仿宋_GB2312"/>
          <w:b/>
          <w:sz w:val="32"/>
          <w:szCs w:val="32"/>
        </w:rPr>
      </w:pPr>
      <w:r>
        <w:rPr>
          <w:rFonts w:hint="eastAsia" w:ascii="仿宋_GB2312" w:hAnsi="仿宋_GB2312" w:eastAsia="仿宋_GB2312" w:cs="仿宋_GB2312"/>
          <w:kern w:val="2"/>
          <w:sz w:val="32"/>
          <w:szCs w:val="32"/>
          <w:lang w:val="en-US" w:eastAsia="zh-CN" w:bidi="ar-SA"/>
        </w:rPr>
        <w:t>按照“上为政府分忧，下为残疾人解难”的要求，紧密围绕县委、政府中心工作，多方位、多层次帮助残疾人解困脱贫，走共同富裕之路，</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kern w:val="2"/>
          <w:sz w:val="32"/>
          <w:szCs w:val="32"/>
          <w:lang w:val="en-US" w:eastAsia="zh-CN" w:bidi="ar-SA"/>
        </w:rPr>
        <w:t>抓住“以人为本”科学发展观的核心，让更多有一技之长无投资能力的贫困残疾人从事加工业、畜牧业、手工业生产，先后对</w:t>
      </w:r>
      <w:r>
        <w:rPr>
          <w:rFonts w:hint="eastAsia" w:ascii="仿宋_GB2312" w:hAnsi="仿宋_GB2312" w:eastAsia="仿宋_GB2312" w:cs="仿宋_GB2312"/>
          <w:b w:val="0"/>
          <w:bCs w:val="0"/>
          <w:color w:val="333333"/>
          <w:sz w:val="32"/>
          <w:szCs w:val="32"/>
          <w:lang w:val="en-US" w:eastAsia="zh-CN"/>
        </w:rPr>
        <w:t>5名残疾人进行产业扶持，发放资金9.99万元。</w:t>
      </w:r>
      <w:r>
        <w:rPr>
          <w:rFonts w:hint="eastAsia" w:ascii="仿宋_GB2312" w:hAnsi="仿宋_GB2312" w:eastAsia="仿宋_GB2312" w:cs="仿宋_GB2312"/>
          <w:b/>
          <w:bCs/>
          <w:color w:val="333333"/>
          <w:sz w:val="32"/>
          <w:szCs w:val="32"/>
          <w:lang w:val="en-US" w:eastAsia="zh-CN"/>
        </w:rPr>
        <w:t>二是</w:t>
      </w:r>
      <w:r>
        <w:rPr>
          <w:rFonts w:hint="eastAsia" w:ascii="仿宋_GB2312" w:hAnsi="仿宋_GB2312" w:eastAsia="仿宋_GB2312" w:cs="仿宋_GB2312"/>
          <w:b w:val="0"/>
          <w:bCs w:val="0"/>
          <w:color w:val="333333"/>
          <w:sz w:val="32"/>
          <w:szCs w:val="32"/>
          <w:lang w:val="en-US" w:eastAsia="zh-CN"/>
        </w:rPr>
        <w:t>今年1-11月对纳入低保贫困残疾人发放困难残疾人生活补贴6147人次共计61.47万元。</w:t>
      </w:r>
      <w:r>
        <w:rPr>
          <w:rFonts w:hint="eastAsia" w:ascii="仿宋_GB2312" w:hAnsi="仿宋_GB2312" w:eastAsia="仿宋_GB2312" w:cs="仿宋_GB2312"/>
          <w:b/>
          <w:bCs/>
          <w:color w:val="333333"/>
          <w:sz w:val="32"/>
          <w:szCs w:val="32"/>
          <w:lang w:val="en-US" w:eastAsia="zh-CN"/>
        </w:rPr>
        <w:t>三是</w:t>
      </w:r>
      <w:r>
        <w:rPr>
          <w:rFonts w:hint="eastAsia" w:ascii="仿宋_GB2312" w:hAnsi="仿宋_GB2312" w:eastAsia="仿宋_GB2312" w:cs="仿宋_GB2312"/>
          <w:b w:val="0"/>
          <w:bCs w:val="0"/>
          <w:color w:val="333333"/>
          <w:sz w:val="32"/>
          <w:szCs w:val="32"/>
          <w:lang w:val="en-US" w:eastAsia="zh-CN"/>
        </w:rPr>
        <w:t>全县10个乡镇建立了残疾人工作台账，全面掌握残疾人基本状况，对以后工作开展打下了坚实的基础。</w:t>
      </w:r>
      <w:r>
        <w:rPr>
          <w:rFonts w:hint="eastAsia" w:ascii="仿宋_GB2312" w:hAnsi="仿宋_GB2312" w:eastAsia="仿宋_GB2312" w:cs="仿宋_GB2312"/>
          <w:b/>
          <w:bCs/>
          <w:color w:val="333333"/>
          <w:sz w:val="32"/>
          <w:szCs w:val="32"/>
          <w:lang w:val="en-US" w:eastAsia="zh-CN"/>
        </w:rPr>
        <w:t>四是</w:t>
      </w:r>
      <w:r>
        <w:rPr>
          <w:rFonts w:hint="eastAsia" w:ascii="仿宋_GB2312" w:hAnsi="仿宋_GB2312" w:eastAsia="仿宋_GB2312" w:cs="仿宋_GB2312"/>
          <w:b w:val="0"/>
          <w:bCs w:val="0"/>
          <w:color w:val="333333"/>
          <w:sz w:val="32"/>
          <w:szCs w:val="32"/>
          <w:lang w:val="en-US" w:eastAsia="zh-CN"/>
        </w:rPr>
        <w:t>在红原县群团活动中心专门设立残疾人法律救助站，热情接待残疾人的来信来访，今年共接待来访残疾人60余人次，接受电话咨询170人次</w:t>
      </w:r>
      <w:r>
        <w:rPr>
          <w:rFonts w:hint="eastAsia" w:ascii="仿宋_GB2312" w:hAnsi="宋体" w:eastAsia="仿宋_GB2312"/>
          <w:sz w:val="32"/>
          <w:szCs w:val="32"/>
        </w:rPr>
        <w:t>，领导批示件和信访案件办结率为100%</w:t>
      </w:r>
      <w:r>
        <w:rPr>
          <w:rFonts w:hint="eastAsia" w:ascii="仿宋_GB2312" w:hAnsi="宋体" w:eastAsia="仿宋_GB2312"/>
          <w:sz w:val="32"/>
          <w:szCs w:val="32"/>
          <w:lang w:eastAsia="zh-CN"/>
        </w:rPr>
        <w:t>，</w:t>
      </w:r>
      <w:r>
        <w:rPr>
          <w:rFonts w:hint="eastAsia" w:ascii="仿宋_GB2312" w:eastAsia="仿宋_GB2312"/>
          <w:sz w:val="32"/>
          <w:szCs w:val="32"/>
        </w:rPr>
        <w:t>做到件件有回音，事事有结果。无残疾人越级上访和无理上访等行为发生。</w:t>
      </w:r>
    </w:p>
    <w:p>
      <w:pPr>
        <w:tabs>
          <w:tab w:val="left" w:pos="913"/>
        </w:tabs>
        <w:bidi w:val="0"/>
        <w:ind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（七）援建工作稳步推进</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outlineLvl w:val="9"/>
        <w:rPr>
          <w:rFonts w:hint="default" w:ascii="仿宋_GB2312" w:hAnsi="仿宋_GB2312" w:eastAsia="仿宋_GB2312" w:cs="仿宋_GB2312"/>
          <w:kern w:val="2"/>
          <w:sz w:val="32"/>
          <w:szCs w:val="32"/>
          <w:lang w:val="en-US" w:eastAsia="zh-CN" w:bidi="ar-SA"/>
        </w:rPr>
      </w:pPr>
      <w:r>
        <w:rPr>
          <w:rFonts w:hint="eastAsia" w:ascii="仿宋" w:hAnsi="仿宋" w:eastAsia="仿宋" w:cs="仿宋"/>
          <w:color w:val="222222"/>
          <w:sz w:val="32"/>
          <w:szCs w:val="32"/>
          <w:lang w:val="en-US" w:eastAsia="zh-CN"/>
        </w:rPr>
        <w:t>为进一步推进东西部协作和对口支援，红原残联与浙江省永嘉县、苍南县签订2021年-2025年合作协议，将对口支援工作长效化，未进一步提升红原县残疾人事业发展提供了保障。</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outlineLvl w:val="9"/>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今年，浙江对口支援第二批50万项目已经启动，为了将对口项目资金效益发挥到最大化，县残联合理决策，果断处事，将50万项目资金全部投入到具有代表性规模性的残疾人创办企业红原县亚珂畜产品产销协会中，为该协会购买优质带崽高原母牦牛50头，进一步扩大了企业规模，增加了产量，并创造了相应的就业岗位，</w:t>
      </w:r>
      <w:r>
        <w:rPr>
          <w:rFonts w:hint="eastAsia" w:ascii="仿宋" w:hAnsi="仿宋" w:eastAsia="仿宋" w:cs="仿宋"/>
          <w:color w:val="222222"/>
          <w:sz w:val="32"/>
          <w:szCs w:val="32"/>
          <w:lang w:val="en-US" w:eastAsia="zh-CN"/>
        </w:rPr>
        <w:t>在社会上创造影响力，带动更多残疾人积极创业致富。</w:t>
      </w:r>
    </w:p>
    <w:p>
      <w:pPr>
        <w:tabs>
          <w:tab w:val="left" w:pos="913"/>
        </w:tabs>
        <w:bidi w:val="0"/>
        <w:ind w:firstLine="643" w:firstLineChars="200"/>
        <w:jc w:val="left"/>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（八）干部队伍素质明显提升，服务意识进一步增强</w:t>
      </w:r>
    </w:p>
    <w:p>
      <w:pPr>
        <w:tabs>
          <w:tab w:val="left" w:pos="808"/>
        </w:tabs>
        <w:bidi w:val="0"/>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更好的适应残疾人事业发展，近年来，我会为全面提高干部职工素质，首先从抓理论学习为主，坚持每周学习制度，有计划有步骤学习专业知识，其次抓好党风廉政教育，认真贯彻落实党的十九大和十九届三中、四中全会精神，领导以身作则，树立全心全意为残疾人服务的宗旨观念，倾听残疾人呼声，以广大残疾人的需求为工作的出发点和落脚点，干部和职工的自身素质和服务意识都有了明显的提高。</w:t>
      </w:r>
    </w:p>
    <w:p>
      <w:pPr>
        <w:pStyle w:val="9"/>
        <w:numPr>
          <w:ilvl w:val="0"/>
          <w:numId w:val="1"/>
        </w:numPr>
        <w:ind w:left="951" w:leftChars="0" w:hanging="321" w:firstLineChars="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加强党风廉政建设，扎实推进党建工作</w:t>
      </w:r>
    </w:p>
    <w:p>
      <w:pPr>
        <w:numPr>
          <w:ilvl w:val="0"/>
          <w:numId w:val="0"/>
        </w:numPr>
        <w:rPr>
          <w:rFonts w:hint="default"/>
          <w:lang w:val="en-US" w:eastAsia="zh-CN"/>
        </w:rPr>
      </w:pPr>
      <w:r>
        <w:rPr>
          <w:rFonts w:hint="eastAsia"/>
          <w:lang w:val="en-US" w:eastAsia="zh-CN"/>
        </w:rPr>
        <w:t xml:space="preserve">      </w:t>
      </w:r>
      <w:r>
        <w:rPr>
          <w:rFonts w:hint="eastAsia" w:ascii="仿宋_GB2312" w:hAnsi="仿宋_GB2312" w:eastAsia="仿宋_GB2312" w:cs="仿宋_GB2312"/>
          <w:kern w:val="2"/>
          <w:sz w:val="32"/>
          <w:szCs w:val="32"/>
          <w:lang w:val="en-US" w:eastAsia="zh-CN" w:bidi="ar-SA"/>
        </w:rPr>
        <w:t>坚持全面从严治党，贯彻落实“四个意识”，坚定“四个自信”，做到“两个维护”。我们始终严明党的纪律，改进工作作风，加强学习教育。一</w:t>
      </w:r>
      <w:r>
        <w:rPr>
          <w:rFonts w:hint="eastAsia" w:ascii="仿宋_GB2312" w:hAnsi="仿宋_GB2312" w:eastAsia="仿宋_GB2312" w:cs="仿宋_GB2312"/>
          <w:b/>
          <w:bCs/>
          <w:kern w:val="2"/>
          <w:sz w:val="32"/>
          <w:szCs w:val="32"/>
          <w:lang w:val="en-US" w:eastAsia="zh-CN" w:bidi="ar-SA"/>
        </w:rPr>
        <w:t>是</w:t>
      </w:r>
      <w:r>
        <w:rPr>
          <w:rFonts w:hint="eastAsia" w:ascii="仿宋_GB2312" w:hAnsi="仿宋_GB2312" w:eastAsia="仿宋_GB2312" w:cs="仿宋_GB2312"/>
          <w:kern w:val="2"/>
          <w:sz w:val="32"/>
          <w:szCs w:val="32"/>
          <w:lang w:val="en-US" w:eastAsia="zh-CN" w:bidi="ar-SA"/>
        </w:rPr>
        <w:t>成立了以理事长为组长的党风廉政建设领导小组，严格落实党风廉政建设各项机制，进一步构筑遵规守纪防线，不折不扣落实好中央八项规定和省州系列规定，强化党员干部的日常监管，注重抓早抓细，防微杜渐，形成风清气正的干事氛围。</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kern w:val="2"/>
          <w:sz w:val="32"/>
          <w:szCs w:val="32"/>
          <w:lang w:val="en-US" w:eastAsia="zh-CN" w:bidi="ar-SA"/>
        </w:rPr>
        <w:t>借助支部主题党日、每月支部学习会及每年的民主生活会，加强对党员干部的学习教育，让所有党员干部对党纪国法身怀敬畏之心，以正面榜样激励自己，以反面典型警醒自身。</w:t>
      </w: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kern w:val="2"/>
          <w:sz w:val="32"/>
          <w:szCs w:val="32"/>
          <w:lang w:val="en-US" w:eastAsia="zh-CN" w:bidi="ar-SA"/>
        </w:rPr>
        <w:t>充分发挥优秀党员的先锋模范作用，</w:t>
      </w:r>
      <w:r>
        <w:rPr>
          <w:rFonts w:hint="eastAsia" w:ascii="仿宋_GB2312" w:hAnsi="宋体" w:eastAsia="仿宋_GB2312" w:cs="宋体"/>
          <w:color w:val="000000"/>
          <w:kern w:val="0"/>
          <w:sz w:val="32"/>
          <w:szCs w:val="32"/>
          <w:lang w:val="en-US" w:eastAsia="zh-CN" w:bidi="ar-SA"/>
        </w:rPr>
        <w:t>认真执行《中共红原县委组织部关于印发红原县党员积分评星管理办法的通知》，务实有效开展“三会一课”，让党员干部向先锋看齐，向模范学习。</w:t>
      </w:r>
    </w:p>
    <w:p>
      <w:pPr>
        <w:tabs>
          <w:tab w:val="left" w:pos="763"/>
        </w:tabs>
        <w:bidi w:val="0"/>
        <w:ind w:firstLine="720" w:firstLineChars="200"/>
        <w:jc w:val="left"/>
        <w:rPr>
          <w:rFonts w:hint="eastAsia" w:cs="Times New Roman"/>
          <w:kern w:val="2"/>
          <w:sz w:val="21"/>
          <w:szCs w:val="24"/>
          <w:lang w:val="en-US" w:eastAsia="zh-CN" w:bidi="ar-SA"/>
        </w:rPr>
      </w:pPr>
      <w:r>
        <w:rPr>
          <w:rFonts w:hint="eastAsia" w:ascii="黑体" w:hAnsi="黑体" w:eastAsia="黑体" w:cs="黑体"/>
          <w:b w:val="0"/>
          <w:bCs w:val="0"/>
          <w:color w:val="333333"/>
          <w:sz w:val="36"/>
          <w:szCs w:val="36"/>
          <w:lang w:val="en-US" w:eastAsia="zh-CN"/>
        </w:rPr>
        <w:t>二、存在的问题和困难</w:t>
      </w:r>
      <w:r>
        <w:rPr>
          <w:rFonts w:hint="eastAsia" w:cs="Times New Roman"/>
          <w:kern w:val="2"/>
          <w:sz w:val="21"/>
          <w:szCs w:val="24"/>
          <w:lang w:val="en-US" w:eastAsia="zh-CN" w:bidi="ar-SA"/>
        </w:rPr>
        <w:tab/>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近年来，我县残疾人事业虽然取得长足发展和进步，但是我们还存在许多困难和不足。</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kern w:val="2"/>
          <w:sz w:val="32"/>
          <w:szCs w:val="32"/>
          <w:lang w:val="en-US" w:eastAsia="zh-CN" w:bidi="ar-SA"/>
        </w:rPr>
        <w:t>康复中心缺少专业康复训练人员。</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sz w:val="32"/>
          <w:szCs w:val="32"/>
          <w:lang w:val="en-US" w:eastAsia="zh-CN"/>
        </w:rPr>
        <w:t>残疾人就业难，虽然我会为残疾人就业积极争取机会、开展各项技能培训，但我县残疾人就业率仍偏低。</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我县无专门特殊教育学校。四是残联编制少、事务多，村级联络员待遇低存在队伍不稳定现象。</w:t>
      </w:r>
    </w:p>
    <w:p>
      <w:pPr>
        <w:tabs>
          <w:tab w:val="left" w:pos="763"/>
        </w:tabs>
        <w:bidi w:val="0"/>
        <w:ind w:firstLine="720" w:firstLineChars="200"/>
        <w:jc w:val="left"/>
        <w:rPr>
          <w:rFonts w:hint="eastAsia" w:ascii="黑体" w:hAnsi="黑体" w:eastAsia="黑体" w:cs="黑体"/>
          <w:b w:val="0"/>
          <w:bCs w:val="0"/>
          <w:color w:val="333333"/>
          <w:sz w:val="36"/>
          <w:szCs w:val="36"/>
          <w:lang w:val="en-US" w:eastAsia="zh-CN"/>
        </w:rPr>
      </w:pPr>
      <w:r>
        <w:rPr>
          <w:rFonts w:hint="eastAsia" w:ascii="黑体" w:hAnsi="黑体" w:eastAsia="黑体" w:cs="黑体"/>
          <w:b w:val="0"/>
          <w:bCs w:val="0"/>
          <w:color w:val="333333"/>
          <w:sz w:val="36"/>
          <w:szCs w:val="36"/>
          <w:lang w:val="en-US" w:eastAsia="zh-CN"/>
        </w:rPr>
        <w:t>三、明年工作打算</w:t>
      </w:r>
    </w:p>
    <w:p>
      <w:pPr>
        <w:tabs>
          <w:tab w:val="left" w:pos="808"/>
        </w:tabs>
        <w:bidi w:val="0"/>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一是继续对我县有就业能力和就业愿望的残疾人开展有针对性，且具有民族特色的就业培训，以此带动其他残疾人的就业参与性和积极性，改变等、靠、要的生活陋习。</w:t>
      </w:r>
    </w:p>
    <w:p>
      <w:pPr>
        <w:tabs>
          <w:tab w:val="left" w:pos="808"/>
        </w:tabs>
        <w:bidi w:val="0"/>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二是将还未纳入低保的一、二级重度残疾人纳入到国家最低生活保障内，积极争取其他的各项惠民政策。</w:t>
      </w:r>
    </w:p>
    <w:p>
      <w:pPr>
        <w:tabs>
          <w:tab w:val="left" w:pos="808"/>
        </w:tabs>
        <w:bidi w:val="0"/>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三是扶持1个县级残疾人创业就业示范点或创业就业示范基地，争取项目资金扶持，扩大残疾人创业就业示范点规模，解决更多的残疾人实现精准就业。</w:t>
      </w:r>
    </w:p>
    <w:p>
      <w:pPr>
        <w:tabs>
          <w:tab w:val="left" w:pos="808"/>
        </w:tabs>
        <w:bidi w:val="0"/>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四是畅通残疾人维权通道，认真做到残疾人来信来访工作，积极为残疾人提供法律援助和服务，切实维护广大残疾人的合法权益。</w:t>
      </w:r>
    </w:p>
    <w:p>
      <w:pPr>
        <w:pStyle w:val="9"/>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五是抓好东西部对口支援契机，加大与对口县市的联系和互动，推动残疾人事业发展。</w:t>
      </w:r>
    </w:p>
    <w:p>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六是继续在各乡镇推广基层“残疾人之家”服务站，创新服务模式、提升服务质量，为残疾人搭建高效快捷的一站式服务平台。</w:t>
      </w:r>
    </w:p>
    <w:p>
      <w:pPr>
        <w:tabs>
          <w:tab w:val="left" w:pos="808"/>
        </w:tabs>
        <w:bidi w:val="0"/>
        <w:ind w:firstLine="640" w:firstLineChars="200"/>
        <w:jc w:val="left"/>
        <w:rPr>
          <w:rFonts w:hint="default" w:ascii="仿宋_GB2312" w:hAnsi="仿宋_GB2312" w:eastAsia="仿宋_GB2312" w:cs="仿宋_GB2312"/>
          <w:kern w:val="2"/>
          <w:sz w:val="32"/>
          <w:szCs w:val="32"/>
          <w:lang w:val="en-US" w:eastAsia="zh-CN" w:bidi="ar-SA"/>
        </w:rPr>
      </w:pPr>
    </w:p>
    <w:p>
      <w:pPr>
        <w:rPr>
          <w:rFonts w:hint="eastAsia" w:ascii="仿宋_GB2312" w:hAnsi="仿宋_GB2312" w:eastAsia="仿宋_GB2312" w:cs="仿宋_GB2312"/>
          <w:kern w:val="2"/>
          <w:sz w:val="32"/>
          <w:szCs w:val="32"/>
          <w:lang w:val="en-US" w:eastAsia="zh-CN" w:bidi="ar-SA"/>
        </w:rPr>
      </w:pPr>
    </w:p>
    <w:p>
      <w:pPr>
        <w:pStyle w:val="9"/>
        <w:rPr>
          <w:rFonts w:hint="eastAsia" w:ascii="仿宋_GB2312" w:hAnsi="仿宋_GB2312" w:eastAsia="仿宋_GB2312" w:cs="仿宋_GB2312"/>
          <w:kern w:val="2"/>
          <w:sz w:val="32"/>
          <w:szCs w:val="32"/>
          <w:lang w:val="en-US" w:eastAsia="zh-CN" w:bidi="ar-SA"/>
        </w:rPr>
      </w:pPr>
    </w:p>
    <w:p>
      <w:pPr>
        <w:rPr>
          <w:rFonts w:hint="eastAsia" w:ascii="仿宋_GB2312" w:hAnsi="仿宋_GB2312" w:eastAsia="仿宋_GB2312" w:cs="仿宋_GB2312"/>
          <w:kern w:val="2"/>
          <w:sz w:val="32"/>
          <w:szCs w:val="32"/>
          <w:lang w:val="en-US" w:eastAsia="zh-CN" w:bidi="ar-SA"/>
        </w:rPr>
      </w:pPr>
    </w:p>
    <w:p>
      <w:pPr>
        <w:pStyle w:val="9"/>
        <w:jc w:val="right"/>
        <w:rPr>
          <w:rFonts w:hint="eastAsia" w:ascii="仿宋_GB2312" w:hAnsi="仿宋_GB2312" w:eastAsia="仿宋_GB2312" w:cs="仿宋_GB2312"/>
          <w:kern w:val="2"/>
          <w:sz w:val="32"/>
          <w:szCs w:val="32"/>
          <w:lang w:val="en-US" w:eastAsia="zh-CN" w:bidi="ar-SA"/>
        </w:rPr>
      </w:pPr>
    </w:p>
    <w:p>
      <w:pPr>
        <w:pStyle w:val="9"/>
        <w:jc w:val="right"/>
        <w:rPr>
          <w:rFonts w:hint="eastAsia" w:ascii="仿宋_GB2312" w:hAnsi="仿宋_GB2312" w:eastAsia="仿宋_GB2312" w:cs="仿宋_GB2312"/>
          <w:kern w:val="2"/>
          <w:sz w:val="32"/>
          <w:szCs w:val="32"/>
          <w:lang w:val="en-US" w:eastAsia="zh-CN" w:bidi="ar-SA"/>
        </w:rPr>
      </w:pPr>
    </w:p>
    <w:p>
      <w:pPr>
        <w:pStyle w:val="11"/>
        <w:keepNext w:val="0"/>
        <w:keepLines w:val="0"/>
        <w:widowControl/>
        <w:suppressLineNumbers w:val="0"/>
        <w:spacing w:before="0" w:beforeAutospacing="0"/>
        <w:ind w:left="0"/>
        <w:jc w:val="left"/>
        <w:rPr>
          <w:shd w:val="clear" w:fill="FFFFFF"/>
        </w:rPr>
      </w:pPr>
    </w:p>
    <w:p>
      <w:pPr>
        <w:pStyle w:val="4"/>
        <w:keepNext w:val="0"/>
        <w:keepLines w:val="0"/>
        <w:widowControl/>
        <w:suppressLineNumbers w:val="0"/>
        <w:spacing w:before="0" w:beforeAutospacing="0"/>
        <w:ind w:left="0"/>
        <w:jc w:val="left"/>
      </w:pPr>
      <w:r>
        <w:rPr>
          <w:shd w:val="clear" w:fill="FFFFFF"/>
        </w:rPr>
        <w:t>二、机构设置</w:t>
      </w:r>
    </w:p>
    <w:p>
      <w:pPr>
        <w:pStyle w:val="11"/>
        <w:keepNext w:val="0"/>
        <w:keepLines w:val="0"/>
        <w:widowControl/>
        <w:suppressLineNumbers w:val="0"/>
        <w:spacing w:before="0" w:beforeAutospacing="0"/>
        <w:ind w:left="0"/>
        <w:jc w:val="left"/>
      </w:pPr>
      <w:r>
        <w:rPr>
          <w:rFonts w:hint="eastAsia" w:ascii="仿宋" w:hAnsi="仿宋" w:eastAsia="仿宋" w:cs="仿宋"/>
          <w:color w:val="000000"/>
          <w:kern w:val="0"/>
          <w:sz w:val="32"/>
          <w:szCs w:val="32"/>
        </w:rPr>
        <w:t>我会下属二级单位1个，其中参照公务员法管理的</w:t>
      </w:r>
      <w:r>
        <w:rPr>
          <w:rFonts w:hint="eastAsia" w:ascii="仿宋" w:hAnsi="仿宋" w:eastAsia="仿宋" w:cs="仿宋"/>
          <w:color w:val="000000"/>
          <w:kern w:val="0"/>
          <w:sz w:val="32"/>
          <w:szCs w:val="32"/>
          <w:lang w:val="en-US" w:eastAsia="zh-CN"/>
        </w:rPr>
        <w:t>行政</w:t>
      </w:r>
      <w:r>
        <w:rPr>
          <w:rFonts w:hint="eastAsia" w:ascii="仿宋" w:hAnsi="仿宋" w:eastAsia="仿宋" w:cs="仿宋"/>
          <w:color w:val="000000"/>
          <w:kern w:val="0"/>
          <w:sz w:val="32"/>
          <w:szCs w:val="32"/>
        </w:rPr>
        <w:t>单位1个</w:t>
      </w:r>
      <w:r>
        <w:rPr>
          <w:rFonts w:hint="eastAsia" w:ascii="仿宋" w:hAnsi="仿宋" w:eastAsia="仿宋" w:cs="仿宋"/>
          <w:color w:val="000000"/>
          <w:kern w:val="0"/>
          <w:sz w:val="32"/>
          <w:szCs w:val="32"/>
          <w:lang w:eastAsia="zh-CN"/>
        </w:rPr>
        <w:t>。</w:t>
      </w:r>
      <w:r>
        <w:rPr>
          <w:rFonts w:hint="default" w:ascii="仿宋_GB2312" w:hAnsi="宋体" w:eastAsia="仿宋_GB2312" w:cs="仿宋_GB2312"/>
          <w:color w:val="000000"/>
          <w:kern w:val="0"/>
          <w:sz w:val="32"/>
          <w:szCs w:val="32"/>
        </w:rPr>
        <w:t>共有编制6个，其中公务员编制2个，事业编制4个</w:t>
      </w:r>
      <w:r>
        <w:rPr>
          <w:rFonts w:hint="eastAsia" w:ascii="仿宋_GB2312" w:hAnsi="宋体" w:eastAsia="仿宋_GB2312" w:cs="仿宋_GB2312"/>
          <w:color w:val="000000"/>
          <w:kern w:val="0"/>
          <w:sz w:val="32"/>
          <w:szCs w:val="32"/>
          <w:lang w:eastAsia="zh-CN"/>
        </w:rPr>
        <w:t>。</w:t>
      </w: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3"/>
        <w:keepNext w:val="0"/>
        <w:keepLines w:val="0"/>
        <w:widowControl/>
        <w:suppressLineNumbers w:val="0"/>
        <w:spacing w:before="0" w:beforeAutospacing="0"/>
        <w:ind w:left="0"/>
        <w:jc w:val="center"/>
      </w:pPr>
      <w:r>
        <w:rPr>
          <w:shd w:val="clear" w:fill="FFFFFF"/>
        </w:rPr>
        <w:t>第二部分 2021年度部门决算情况说明</w:t>
      </w:r>
    </w:p>
    <w:p>
      <w:pPr>
        <w:pStyle w:val="11"/>
        <w:keepNext w:val="0"/>
        <w:keepLines w:val="0"/>
        <w:widowControl/>
        <w:suppressLineNumbers w:val="0"/>
        <w:spacing w:before="0" w:beforeAutospacing="0"/>
        <w:ind w:left="0"/>
        <w:jc w:val="left"/>
      </w:pPr>
      <w:r>
        <w:rPr>
          <w:shd w:val="clear" w:fill="FFFFFF"/>
        </w:rPr>
        <w:t> </w:t>
      </w:r>
    </w:p>
    <w:p>
      <w:pPr>
        <w:keepNext w:val="0"/>
        <w:keepLines w:val="0"/>
        <w:widowControl/>
        <w:numPr>
          <w:ilvl w:val="0"/>
          <w:numId w:val="2"/>
        </w:numPr>
        <w:suppressLineNumbers w:val="0"/>
        <w:spacing w:before="0" w:beforeAutospacing="0" w:after="0" w:afterAutospacing="1"/>
        <w:ind w:left="720" w:hanging="360"/>
        <w:jc w:val="left"/>
      </w:pPr>
      <w:r>
        <w:rPr>
          <w:shd w:val="clear" w:fill="FFFFFF"/>
        </w:rPr>
        <w:t>收入支出决算总体情况说明</w:t>
      </w:r>
    </w:p>
    <w:p>
      <w:pPr>
        <w:pStyle w:val="11"/>
        <w:keepNext w:val="0"/>
        <w:keepLines w:val="0"/>
        <w:widowControl/>
        <w:suppressLineNumbers w:val="0"/>
        <w:spacing w:before="0" w:beforeAutospacing="0"/>
        <w:ind w:left="0"/>
        <w:jc w:val="left"/>
        <w:rPr>
          <w:shd w:val="clear" w:fill="FFFFFF"/>
        </w:rPr>
      </w:pPr>
      <w:r>
        <w:rPr>
          <w:shd w:val="clear" w:fill="FFFFFF"/>
        </w:rPr>
        <w:t>2021年度收、支总计337.50万元。与2020年相比，收、支总计各增加52.64万元，增长18.48%。</w:t>
      </w:r>
      <w:bookmarkStart w:id="0" w:name="_GoBack"/>
      <w:bookmarkEnd w:id="0"/>
    </w:p>
    <w:p>
      <w:pPr>
        <w:pStyle w:val="11"/>
        <w:keepNext w:val="0"/>
        <w:keepLines w:val="0"/>
        <w:widowControl/>
        <w:suppressLineNumbers w:val="0"/>
        <w:spacing w:before="0" w:beforeAutospacing="0"/>
        <w:ind w:left="0"/>
        <w:jc w:val="left"/>
        <w:rPr>
          <w:shd w:val="clear" w:fill="FFFFFF"/>
        </w:rPr>
      </w:pPr>
      <w:r>
        <w:fldChar w:fldCharType="begin"/>
      </w:r>
      <w:r>
        <w:instrText xml:space="preserve">INCLUDEPICTURE \d "C:\\Users\\86139\\AppData\\Local\\Temp\\0bfb6cbe6abb4805916f2fe968b0cadd\\Users\\Administrator\\AppData\\Local\\Temp\\~tmp{0a493d11-ca28-476f-a3c4-6f63636b34c3}68304.files\\~tmp{0a493d11-ca28-476f-a3c4-6f63636b34c3}683047066.png" \* MERGEFORMATINET </w:instrText>
      </w:r>
      <w:r>
        <w:fldChar w:fldCharType="separate"/>
      </w:r>
      <w:r>
        <w:drawing>
          <wp:inline distT="0" distB="0" distL="114300" distR="114300">
            <wp:extent cx="4038600" cy="317182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038600" cy="3171825"/>
                    </a:xfrm>
                    <a:prstGeom prst="rect">
                      <a:avLst/>
                    </a:prstGeom>
                    <a:noFill/>
                    <a:ln w="9525">
                      <a:noFill/>
                    </a:ln>
                  </pic:spPr>
                </pic:pic>
              </a:graphicData>
            </a:graphic>
          </wp:inline>
        </w:drawing>
      </w:r>
      <w:r>
        <w:fldChar w:fldCharType="end"/>
      </w: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pPr>
      <w:r>
        <w:rPr>
          <w:shd w:val="clear" w:fill="FFFFFF"/>
        </w:rPr>
        <w:t>（图1：收、支决算总计变动情况图）（柱状图）</w:t>
      </w:r>
    </w:p>
    <w:p>
      <w:pPr>
        <w:pStyle w:val="11"/>
        <w:keepNext w:val="0"/>
        <w:keepLines w:val="0"/>
        <w:widowControl/>
        <w:suppressLineNumbers w:val="0"/>
        <w:spacing w:before="0" w:beforeAutospacing="0"/>
        <w:ind w:left="0"/>
        <w:jc w:val="left"/>
      </w:pPr>
      <w:r>
        <w:rPr>
          <w:shd w:val="clear" w:fill="FFFFFF"/>
        </w:rPr>
        <w:t> </w:t>
      </w:r>
    </w:p>
    <w:p>
      <w:pPr>
        <w:keepNext w:val="0"/>
        <w:keepLines w:val="0"/>
        <w:widowControl/>
        <w:numPr>
          <w:ilvl w:val="0"/>
          <w:numId w:val="3"/>
        </w:numPr>
        <w:suppressLineNumbers w:val="0"/>
        <w:spacing w:before="0" w:beforeAutospacing="0" w:after="0" w:afterAutospacing="1"/>
        <w:ind w:left="720" w:hanging="360"/>
        <w:jc w:val="left"/>
      </w:pPr>
      <w:r>
        <w:rPr>
          <w:shd w:val="clear" w:fill="FFFFFF"/>
        </w:rPr>
        <w:t>收入决算情况说明</w:t>
      </w:r>
    </w:p>
    <w:p>
      <w:pPr>
        <w:pStyle w:val="11"/>
        <w:keepNext w:val="0"/>
        <w:keepLines w:val="0"/>
        <w:widowControl/>
        <w:suppressLineNumbers w:val="0"/>
        <w:spacing w:before="0" w:beforeAutospacing="0"/>
        <w:ind w:left="0"/>
        <w:jc w:val="left"/>
      </w:pPr>
      <w:r>
        <w:rPr>
          <w:shd w:val="clear" w:fill="FFFFFF"/>
        </w:rPr>
        <w:t>2021年本年收入合计331.05万元，其中：一般公共预算财政拨款收入325.82万元，占98.42%；政府性基金预算财政拨款收入5.23万元，占1.58%；国有资本经营预算财政拨款收入0.00万元，占0.00%；上级补助收入0.00万元，占0.00%；事业收入0.00万元，占0.00%%；经营收入0.00万元，占0.00%%；附属单位上缴收入0.00万元，占0.00%；其他收入0.00万元，占0.00%。</w:t>
      </w:r>
    </w:p>
    <w:p>
      <w:pPr>
        <w:pStyle w:val="11"/>
        <w:keepNext w:val="0"/>
        <w:keepLines w:val="0"/>
        <w:widowControl/>
        <w:suppressLineNumbers w:val="0"/>
        <w:spacing w:before="0" w:beforeAutospacing="0"/>
        <w:ind w:left="0"/>
        <w:jc w:val="left"/>
      </w:pPr>
      <w:r>
        <w:rPr>
          <w:rStyle w:val="14"/>
          <w:shd w:val="clear" w:fill="FFFFFF"/>
        </w:rPr>
        <w:t>（注：数据来源于财决01表，仅罗列本部门涉及的收入。）</w:t>
      </w:r>
    </w:p>
    <w:p>
      <w:pPr>
        <w:pStyle w:val="11"/>
        <w:keepNext w:val="0"/>
        <w:keepLines w:val="0"/>
        <w:widowControl/>
        <w:suppressLineNumbers w:val="0"/>
        <w:spacing w:before="0" w:beforeAutospacing="0"/>
        <w:ind w:left="0"/>
        <w:jc w:val="left"/>
        <w:rPr>
          <w:shd w:val="clear" w:fill="FFFFFF"/>
        </w:rPr>
      </w:pPr>
      <w:r>
        <w:rPr>
          <w:shd w:val="clear" w:fill="FFFFFF"/>
        </w:rPr>
        <w:t> </w:t>
      </w:r>
    </w:p>
    <w:p>
      <w:pPr>
        <w:pStyle w:val="11"/>
        <w:keepNext w:val="0"/>
        <w:keepLines w:val="0"/>
        <w:widowControl/>
        <w:suppressLineNumbers w:val="0"/>
        <w:spacing w:before="0" w:beforeAutospacing="0"/>
        <w:ind w:left="0"/>
        <w:jc w:val="left"/>
        <w:rPr>
          <w:shd w:val="clear" w:fill="FFFFFF"/>
        </w:rPr>
      </w:pPr>
      <w:r>
        <w:fldChar w:fldCharType="begin"/>
      </w:r>
      <w:r>
        <w:instrText xml:space="preserve">INCLUDEPICTURE \d "C:\\Users\\86139\\AppData\\Local\\Temp\\0bfb6cbe6abb4805916f2fe968b0cadd\\Users\\Administrator\\AppData\\Local\\Temp\\~tmp{0a493d11-ca28-476f-a3c4-6f63636b34c3}68304.files\\~tmp{0a493d11-ca28-476f-a3c4-6f63636b34c3}683047443.png" \* MERGEFORMATINET </w:instrText>
      </w:r>
      <w:r>
        <w:fldChar w:fldCharType="separate"/>
      </w:r>
      <w:r>
        <w:drawing>
          <wp:inline distT="0" distB="0" distL="114300" distR="114300">
            <wp:extent cx="4095750" cy="23241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4095750" cy="2324100"/>
                    </a:xfrm>
                    <a:prstGeom prst="rect">
                      <a:avLst/>
                    </a:prstGeom>
                    <a:noFill/>
                    <a:ln w="9525">
                      <a:noFill/>
                    </a:ln>
                  </pic:spPr>
                </pic:pic>
              </a:graphicData>
            </a:graphic>
          </wp:inline>
        </w:drawing>
      </w:r>
      <w:r>
        <w:fldChar w:fldCharType="end"/>
      </w: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pPr>
      <w:r>
        <w:rPr>
          <w:shd w:val="clear" w:fill="FFFFFF"/>
        </w:rPr>
        <w:t>（图2：收入决算结构图）（饼状图）</w:t>
      </w:r>
    </w:p>
    <w:p>
      <w:pPr>
        <w:pStyle w:val="11"/>
        <w:keepNext w:val="0"/>
        <w:keepLines w:val="0"/>
        <w:widowControl/>
        <w:suppressLineNumbers w:val="0"/>
        <w:spacing w:before="0" w:beforeAutospacing="0"/>
        <w:ind w:left="0"/>
        <w:jc w:val="left"/>
      </w:pPr>
      <w:r>
        <w:rPr>
          <w:shd w:val="clear" w:fill="FFFFFF"/>
        </w:rPr>
        <w:t> </w:t>
      </w:r>
    </w:p>
    <w:p>
      <w:pPr>
        <w:keepNext w:val="0"/>
        <w:keepLines w:val="0"/>
        <w:widowControl/>
        <w:numPr>
          <w:ilvl w:val="0"/>
          <w:numId w:val="4"/>
        </w:numPr>
        <w:suppressLineNumbers w:val="0"/>
        <w:spacing w:before="0" w:beforeAutospacing="0" w:after="0" w:afterAutospacing="1"/>
        <w:ind w:left="720" w:hanging="360"/>
        <w:jc w:val="left"/>
      </w:pPr>
      <w:r>
        <w:rPr>
          <w:shd w:val="clear" w:fill="FFFFFF"/>
        </w:rPr>
        <w:t>支出决算情况说明</w:t>
      </w:r>
    </w:p>
    <w:p>
      <w:pPr>
        <w:pStyle w:val="11"/>
        <w:keepNext w:val="0"/>
        <w:keepLines w:val="0"/>
        <w:widowControl/>
        <w:suppressLineNumbers w:val="0"/>
        <w:spacing w:before="0" w:beforeAutospacing="0"/>
        <w:ind w:left="0"/>
        <w:jc w:val="left"/>
      </w:pPr>
      <w:r>
        <w:rPr>
          <w:shd w:val="clear" w:fill="FFFFFF"/>
        </w:rPr>
        <w:t>2021年本年支出合计337.50万元，其中：基本支出156.33万元，占46.32%；项目支出181.17万元，占53.68%；上缴上级支出0.00万元，占0.00%；经营支出0.00万元，占经营支出0.00万元，占 0.00%；对附属单位补助支出0.00万元，占0.00%。</w:t>
      </w:r>
    </w:p>
    <w:p>
      <w:pPr>
        <w:pStyle w:val="11"/>
        <w:keepNext w:val="0"/>
        <w:keepLines w:val="0"/>
        <w:widowControl/>
        <w:suppressLineNumbers w:val="0"/>
        <w:spacing w:before="0" w:beforeAutospacing="0"/>
        <w:ind w:left="0"/>
        <w:jc w:val="left"/>
        <w:rPr>
          <w:rStyle w:val="14"/>
          <w:shd w:val="clear" w:fill="FFFFFF"/>
        </w:rPr>
      </w:pPr>
      <w:r>
        <w:rPr>
          <w:rStyle w:val="14"/>
          <w:shd w:val="clear" w:fill="FFFFFF"/>
        </w:rPr>
        <w:t>（注：数据来源于财决04表，仅罗列本部门涉及的支出。）</w:t>
      </w:r>
    </w:p>
    <w:p>
      <w:pPr>
        <w:pStyle w:val="11"/>
        <w:keepNext w:val="0"/>
        <w:keepLines w:val="0"/>
        <w:widowControl/>
        <w:suppressLineNumbers w:val="0"/>
        <w:spacing w:before="0" w:beforeAutospacing="0"/>
        <w:ind w:left="0"/>
        <w:jc w:val="left"/>
        <w:rPr>
          <w:rStyle w:val="14"/>
          <w:shd w:val="clear" w:fill="FFFFFF"/>
        </w:rPr>
      </w:pPr>
      <w:r>
        <w:fldChar w:fldCharType="begin"/>
      </w:r>
      <w:r>
        <w:instrText xml:space="preserve">INCLUDEPICTURE \d "C:\\Users\\86139\\AppData\\Local\\Temp\\0bfb6cbe6abb4805916f2fe968b0cadd\\Users\\Administrator\\AppData\\Local\\Temp\\~tmp{0a493d11-ca28-476f-a3c4-6f63636b34c3}68304.files\\~tmp{0a493d11-ca28-476f-a3c4-6f63636b34c3}683047800.png" \* MERGEFORMATINET </w:instrText>
      </w:r>
      <w:r>
        <w:fldChar w:fldCharType="separate"/>
      </w:r>
      <w:r>
        <w:drawing>
          <wp:inline distT="0" distB="0" distL="114300" distR="114300">
            <wp:extent cx="3971925" cy="2333625"/>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3971925" cy="2333625"/>
                    </a:xfrm>
                    <a:prstGeom prst="rect">
                      <a:avLst/>
                    </a:prstGeom>
                    <a:noFill/>
                    <a:ln w="9525">
                      <a:noFill/>
                    </a:ln>
                  </pic:spPr>
                </pic:pic>
              </a:graphicData>
            </a:graphic>
          </wp:inline>
        </w:drawing>
      </w:r>
      <w:r>
        <w:fldChar w:fldCharType="end"/>
      </w:r>
    </w:p>
    <w:p>
      <w:pPr>
        <w:pStyle w:val="11"/>
        <w:keepNext w:val="0"/>
        <w:keepLines w:val="0"/>
        <w:widowControl/>
        <w:suppressLineNumbers w:val="0"/>
        <w:spacing w:before="0" w:beforeAutospacing="0"/>
        <w:ind w:left="0"/>
        <w:jc w:val="left"/>
        <w:rPr>
          <w:rStyle w:val="14"/>
          <w:shd w:val="clear" w:fill="FFFFFF"/>
        </w:rPr>
      </w:pP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（图3：支出决算结构图）（饼状图）</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四、财政拨款收入支出决算总体情况说明</w:t>
      </w:r>
    </w:p>
    <w:p>
      <w:pPr>
        <w:pStyle w:val="11"/>
        <w:keepNext w:val="0"/>
        <w:keepLines w:val="0"/>
        <w:widowControl/>
        <w:suppressLineNumbers w:val="0"/>
        <w:spacing w:before="0" w:beforeAutospacing="0"/>
        <w:ind w:left="0"/>
        <w:jc w:val="left"/>
      </w:pPr>
      <w:r>
        <w:rPr>
          <w:shd w:val="clear" w:fill="FFFFFF"/>
        </w:rPr>
        <w:t>2021年财政拨款收、支总计337.50万元。与2020年相比，财政拨款收、支总计各增加/减少52.64万元，增长-27.85%。主要变动原因是……</w:t>
      </w:r>
    </w:p>
    <w:p>
      <w:pPr>
        <w:pStyle w:val="11"/>
        <w:keepNext w:val="0"/>
        <w:keepLines w:val="0"/>
        <w:widowControl/>
        <w:suppressLineNumbers w:val="0"/>
        <w:spacing w:before="0" w:beforeAutospacing="0"/>
        <w:ind w:left="0"/>
        <w:jc w:val="left"/>
      </w:pPr>
      <w:r>
        <w:rPr>
          <w:rStyle w:val="14"/>
          <w:shd w:val="clear" w:fill="FFFFFF"/>
        </w:rPr>
        <w:t>（注：数据来源于财决01-1表）</w:t>
      </w:r>
    </w:p>
    <w:p>
      <w:pPr>
        <w:pStyle w:val="11"/>
        <w:keepNext w:val="0"/>
        <w:keepLines w:val="0"/>
        <w:widowControl/>
        <w:suppressLineNumbers w:val="0"/>
        <w:spacing w:before="0" w:beforeAutospacing="0"/>
        <w:ind w:left="0"/>
        <w:jc w:val="left"/>
        <w:rPr>
          <w:shd w:val="clear" w:fill="FFFFFF"/>
        </w:rPr>
      </w:pPr>
      <w:r>
        <w:rPr>
          <w:shd w:val="clear" w:fill="FFFFFF"/>
        </w:rPr>
        <w:t> </w:t>
      </w:r>
      <w:r>
        <w:fldChar w:fldCharType="begin"/>
      </w:r>
      <w:r>
        <w:instrText xml:space="preserve">INCLUDEPICTURE \d "C:\\Users\\86139\\AppData\\Local\\Temp\\0bfb6cbe6abb4805916f2fe968b0cadd\\Users\\Administrator\\AppData\\Local\\Temp\\~tmp{0a493d11-ca28-476f-a3c4-6f63636b34c3}68304.files\\~tmp{0a493d11-ca28-476f-a3c4-6f63636b34c3}683048175.png" \* MERGEFORMATINET </w:instrText>
      </w:r>
      <w:r>
        <w:fldChar w:fldCharType="separate"/>
      </w:r>
      <w:r>
        <w:drawing>
          <wp:inline distT="0" distB="0" distL="114300" distR="114300">
            <wp:extent cx="4286250" cy="2362200"/>
            <wp:effectExtent l="0" t="0" r="0"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4286250" cy="2362200"/>
                    </a:xfrm>
                    <a:prstGeom prst="rect">
                      <a:avLst/>
                    </a:prstGeom>
                    <a:noFill/>
                    <a:ln w="9525">
                      <a:noFill/>
                    </a:ln>
                  </pic:spPr>
                </pic:pic>
              </a:graphicData>
            </a:graphic>
          </wp:inline>
        </w:drawing>
      </w:r>
      <w:r>
        <w:fldChar w:fldCharType="end"/>
      </w: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pPr>
      <w:r>
        <w:rPr>
          <w:shd w:val="clear" w:fill="FFFFFF"/>
        </w:rPr>
        <w:t>（图4：财政拨款收、支决算总计变动情况）（柱状图）</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五、</w:t>
      </w:r>
      <w:r>
        <w:rPr>
          <w:rStyle w:val="14"/>
          <w:shd w:val="clear" w:fill="FFFFFF"/>
        </w:rPr>
        <w:t>一</w:t>
      </w:r>
      <w:r>
        <w:rPr>
          <w:shd w:val="clear" w:fill="FFFFFF"/>
        </w:rPr>
        <w:t>般公共预算财政拨款支出决算情况说明</w:t>
      </w:r>
    </w:p>
    <w:p>
      <w:pPr>
        <w:pStyle w:val="11"/>
        <w:keepNext w:val="0"/>
        <w:keepLines w:val="0"/>
        <w:widowControl/>
        <w:suppressLineNumbers w:val="0"/>
        <w:spacing w:before="0" w:beforeAutospacing="0"/>
        <w:ind w:left="0"/>
        <w:jc w:val="left"/>
      </w:pPr>
      <w:r>
        <w:rPr>
          <w:rStyle w:val="14"/>
          <w:shd w:val="clear" w:fill="FFFFFF"/>
        </w:rPr>
        <w:t>（一）一般公共预算财政拨款支出决算总体情况</w:t>
      </w:r>
    </w:p>
    <w:p>
      <w:pPr>
        <w:pStyle w:val="11"/>
        <w:keepNext w:val="0"/>
        <w:keepLines w:val="0"/>
        <w:widowControl/>
        <w:suppressLineNumbers w:val="0"/>
        <w:spacing w:before="0" w:beforeAutospacing="0"/>
        <w:ind w:left="0"/>
        <w:jc w:val="left"/>
      </w:pPr>
      <w:r>
        <w:rPr>
          <w:shd w:val="clear" w:fill="FFFFFF"/>
        </w:rPr>
        <w:t>2021年一般公共预算财政拨款支出332.27万元，占本年支出合计的98.45%。与2020年相比，一般公共预算财政拨款支出增加61.05万元，增长22.51%。主要变动原因是……</w:t>
      </w:r>
    </w:p>
    <w:p>
      <w:pPr>
        <w:pStyle w:val="11"/>
        <w:keepNext w:val="0"/>
        <w:keepLines w:val="0"/>
        <w:widowControl/>
        <w:suppressLineNumbers w:val="0"/>
        <w:spacing w:before="0" w:beforeAutospacing="0"/>
        <w:ind w:left="0"/>
        <w:jc w:val="left"/>
        <w:rPr>
          <w:shd w:val="clear" w:fill="FFFFFF"/>
        </w:rPr>
      </w:pPr>
      <w:r>
        <w:rPr>
          <w:shd w:val="clear" w:fill="FFFFFF"/>
        </w:rPr>
        <w:t> </w:t>
      </w:r>
      <w:r>
        <w:fldChar w:fldCharType="begin"/>
      </w:r>
      <w:r>
        <w:instrText xml:space="preserve">INCLUDEPICTURE \d "C:\\Users\\86139\\AppData\\Local\\Temp\\0bfb6cbe6abb4805916f2fe968b0cadd\\Users\\Administrator\\AppData\\Local\\Temp\\~tmp{0a493d11-ca28-476f-a3c4-6f63636b34c3}68304.files\\~tmp{0a493d11-ca28-476f-a3c4-6f63636b34c3}683048601.png" \* MERGEFORMATINET </w:instrText>
      </w:r>
      <w:r>
        <w:fldChar w:fldCharType="separate"/>
      </w:r>
      <w:r>
        <w:drawing>
          <wp:inline distT="0" distB="0" distL="114300" distR="114300">
            <wp:extent cx="5429250" cy="3333750"/>
            <wp:effectExtent l="0" t="0" r="0" b="0"/>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8"/>
                    <a:stretch>
                      <a:fillRect/>
                    </a:stretch>
                  </pic:blipFill>
                  <pic:spPr>
                    <a:xfrm>
                      <a:off x="0" y="0"/>
                      <a:ext cx="5429250" cy="3333750"/>
                    </a:xfrm>
                    <a:prstGeom prst="rect">
                      <a:avLst/>
                    </a:prstGeom>
                    <a:noFill/>
                    <a:ln w="9525">
                      <a:noFill/>
                    </a:ln>
                  </pic:spPr>
                </pic:pic>
              </a:graphicData>
            </a:graphic>
          </wp:inline>
        </w:drawing>
      </w:r>
      <w:r>
        <w:fldChar w:fldCharType="end"/>
      </w: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pPr>
      <w:r>
        <w:rPr>
          <w:shd w:val="clear" w:fill="FFFFFF"/>
        </w:rPr>
        <w:t>（图5：一般公共预算财政拨款支出决算变动情况）（柱状图）</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rStyle w:val="14"/>
          <w:shd w:val="clear" w:fill="FFFFFF"/>
        </w:rPr>
        <w:t>（二）一般公共预算财政拨款支出决算结构情况</w:t>
      </w:r>
    </w:p>
    <w:p>
      <w:pPr>
        <w:pStyle w:val="11"/>
        <w:keepNext w:val="0"/>
        <w:keepLines w:val="0"/>
        <w:widowControl/>
        <w:suppressLineNumbers w:val="0"/>
        <w:spacing w:before="0" w:beforeAutospacing="0"/>
        <w:ind w:left="0"/>
        <w:jc w:val="left"/>
        <w:rPr>
          <w:shd w:val="clear" w:fill="FFFFFF"/>
        </w:rPr>
      </w:pPr>
      <w:r>
        <w:rPr>
          <w:shd w:val="clear" w:fill="FFFFFF"/>
        </w:rPr>
        <w:t>2021年一般公共预算财政拨款支出332.27万元，主要用于以下方面:</w:t>
      </w:r>
      <w:r>
        <w:rPr>
          <w:rStyle w:val="14"/>
          <w:shd w:val="clear" w:fill="FFFFFF"/>
        </w:rPr>
        <w:t>一般公共服务（类）</w:t>
      </w:r>
      <w:r>
        <w:rPr>
          <w:shd w:val="clear" w:fill="FFFFFF"/>
        </w:rPr>
        <w:t>支出0.00万元，占0.00%；</w:t>
      </w:r>
      <w:r>
        <w:rPr>
          <w:rStyle w:val="14"/>
          <w:shd w:val="clear" w:fill="FFFFFF"/>
        </w:rPr>
        <w:t>教育支出（类）</w:t>
      </w:r>
      <w:r>
        <w:rPr>
          <w:shd w:val="clear" w:fill="FFFFFF"/>
        </w:rPr>
        <w:t>0.00万元，占0.00%；</w:t>
      </w:r>
      <w:r>
        <w:rPr>
          <w:rStyle w:val="14"/>
          <w:shd w:val="clear" w:fill="FFFFFF"/>
        </w:rPr>
        <w:t>科学技术（类）</w:t>
      </w:r>
      <w:r>
        <w:rPr>
          <w:shd w:val="clear" w:fill="FFFFFF"/>
        </w:rPr>
        <w:t>支出0.00万元，占0.00%；</w:t>
      </w:r>
    </w:p>
    <w:p>
      <w:pPr>
        <w:pStyle w:val="11"/>
        <w:keepNext w:val="0"/>
        <w:keepLines w:val="0"/>
        <w:widowControl/>
        <w:suppressLineNumbers w:val="0"/>
        <w:spacing w:before="0" w:beforeAutospacing="0"/>
        <w:ind w:left="0"/>
        <w:jc w:val="left"/>
      </w:pPr>
      <w:r>
        <w:rPr>
          <w:rStyle w:val="14"/>
          <w:shd w:val="clear" w:fill="FFFFFF"/>
        </w:rPr>
        <w:t>文化旅游体育与传媒（类）支出0.00万元，占0.00%；社会保障和就业（类）</w:t>
      </w:r>
      <w:r>
        <w:rPr>
          <w:shd w:val="clear" w:fill="FFFFFF"/>
        </w:rPr>
        <w:t>支出316.15万元，占95.15%；</w:t>
      </w:r>
      <w:r>
        <w:rPr>
          <w:rStyle w:val="14"/>
          <w:shd w:val="clear" w:fill="FFFFFF"/>
        </w:rPr>
        <w:t>卫生健康支出</w:t>
      </w:r>
      <w:r>
        <w:rPr>
          <w:shd w:val="clear" w:fill="FFFFFF"/>
        </w:rPr>
        <w:t>6.21万元，占1.87%；住房保障支出9.91万元，占2.98%；…。</w:t>
      </w:r>
    </w:p>
    <w:p>
      <w:pPr>
        <w:pStyle w:val="11"/>
        <w:keepNext w:val="0"/>
        <w:keepLines w:val="0"/>
        <w:widowControl/>
        <w:suppressLineNumbers w:val="0"/>
        <w:spacing w:before="0" w:beforeAutospacing="0"/>
        <w:ind w:left="0"/>
        <w:jc w:val="left"/>
      </w:pPr>
      <w:r>
        <w:rPr>
          <w:rStyle w:val="14"/>
          <w:shd w:val="clear" w:fill="FFFFFF"/>
        </w:rPr>
        <w:t>（注：数据来源于财决01-1表，仅罗列本部门涉及的全部功能分类科目，至类级。）</w:t>
      </w:r>
    </w:p>
    <w:p>
      <w:pPr>
        <w:pStyle w:val="11"/>
        <w:keepNext w:val="0"/>
        <w:keepLines w:val="0"/>
        <w:widowControl/>
        <w:suppressLineNumbers w:val="0"/>
        <w:spacing w:before="0" w:beforeAutospacing="0"/>
        <w:ind w:left="0"/>
        <w:jc w:val="left"/>
        <w:rPr>
          <w:shd w:val="clear" w:fill="FFFFFF"/>
        </w:rPr>
      </w:pPr>
      <w:r>
        <w:rPr>
          <w:shd w:val="clear" w:fill="FFFFFF"/>
        </w:rPr>
        <w:t> </w:t>
      </w:r>
    </w:p>
    <w:p>
      <w:pPr>
        <w:pStyle w:val="11"/>
        <w:keepNext w:val="0"/>
        <w:keepLines w:val="0"/>
        <w:widowControl/>
        <w:suppressLineNumbers w:val="0"/>
        <w:spacing w:before="0" w:beforeAutospacing="0"/>
        <w:ind w:left="0"/>
        <w:jc w:val="left"/>
        <w:rPr>
          <w:shd w:val="clear" w:fill="FFFFFF"/>
        </w:rPr>
      </w:pPr>
      <w:r>
        <w:fldChar w:fldCharType="begin"/>
      </w:r>
      <w:r>
        <w:instrText xml:space="preserve">INCLUDEPICTURE \d "C:\\Users\\86139\\AppData\\Local\\Temp\\0bfb6cbe6abb4805916f2fe968b0cadd\\Users\\Administrator\\AppData\\Local\\Temp\\~tmp{0a493d11-ca28-476f-a3c4-6f63636b34c3}68304.files\\~tmp{0a493d11-ca28-476f-a3c4-6f63636b34c3}683049027.png" \* MERGEFORMATINET </w:instrText>
      </w:r>
      <w:r>
        <w:fldChar w:fldCharType="separate"/>
      </w:r>
      <w:r>
        <w:drawing>
          <wp:inline distT="0" distB="0" distL="114300" distR="114300">
            <wp:extent cx="5105400" cy="3295650"/>
            <wp:effectExtent l="0" t="0" r="0" b="0"/>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9"/>
                    <a:stretch>
                      <a:fillRect/>
                    </a:stretch>
                  </pic:blipFill>
                  <pic:spPr>
                    <a:xfrm>
                      <a:off x="0" y="0"/>
                      <a:ext cx="5105400" cy="3295650"/>
                    </a:xfrm>
                    <a:prstGeom prst="rect">
                      <a:avLst/>
                    </a:prstGeom>
                    <a:noFill/>
                    <a:ln w="9525">
                      <a:noFill/>
                    </a:ln>
                  </pic:spPr>
                </pic:pic>
              </a:graphicData>
            </a:graphic>
          </wp:inline>
        </w:drawing>
      </w:r>
      <w:r>
        <w:fldChar w:fldCharType="end"/>
      </w: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pPr>
      <w:r>
        <w:rPr>
          <w:shd w:val="clear" w:fill="FFFFFF"/>
        </w:rPr>
        <w:t>（图6：一般公共预算财政拨款支出决算结构）（饼状图）</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rStyle w:val="14"/>
          <w:shd w:val="clear" w:fill="FFFFFF"/>
        </w:rPr>
        <w:t>（三）一般公共预算财政拨款支出决算具体情况</w:t>
      </w:r>
    </w:p>
    <w:p>
      <w:pPr>
        <w:pStyle w:val="11"/>
        <w:keepNext w:val="0"/>
        <w:keepLines w:val="0"/>
        <w:widowControl/>
        <w:suppressLineNumbers w:val="0"/>
        <w:spacing w:before="0" w:beforeAutospacing="0"/>
        <w:ind w:left="0"/>
        <w:jc w:val="left"/>
      </w:pPr>
      <w:r>
        <w:rPr>
          <w:rStyle w:val="14"/>
          <w:shd w:val="clear" w:fill="FFFFFF"/>
        </w:rPr>
        <w:t>2021年一般公共预算支出决算数为332.27</w:t>
      </w:r>
      <w:r>
        <w:rPr>
          <w:shd w:val="clear" w:fill="FFFFFF"/>
        </w:rPr>
        <w:t>，</w:t>
      </w:r>
      <w:r>
        <w:rPr>
          <w:rStyle w:val="14"/>
          <w:shd w:val="clear" w:fill="FFFFFF"/>
        </w:rPr>
        <w:t>完成预算100.00%。其中：</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2020年一般公共预算支出决算数为271.22，完成预算95.88%。其中：</w:t>
      </w:r>
    </w:p>
    <w:p>
      <w:pPr>
        <w:pStyle w:val="15"/>
        <w:keepNext w:val="0"/>
        <w:keepLines w:val="0"/>
        <w:widowControl w:val="0"/>
        <w:suppressLineNumbers w:val="0"/>
        <w:autoSpaceDE w:val="0"/>
        <w:autoSpaceDN/>
        <w:spacing w:before="0" w:beforeAutospacing="0" w:line="576" w:lineRule="exact"/>
        <w:ind w:left="0" w:right="0" w:rightChars="0" w:firstLine="640" w:firstLineChars="200"/>
        <w:jc w:val="both"/>
        <w:rPr>
          <w:rFonts w:hint="default" w:ascii="仿宋_GB2312" w:hAnsi="宋体" w:eastAsia="仿宋_GB2312" w:cs="仿宋_GB2312"/>
          <w:color w:val="000000"/>
          <w:kern w:val="0"/>
          <w:sz w:val="32"/>
          <w:szCs w:val="32"/>
          <w:shd w:val="clear" w:fill="FFFFFF"/>
        </w:rPr>
      </w:pPr>
      <w:r>
        <w:rPr>
          <w:rFonts w:hint="default" w:ascii="仿宋_GB2312" w:hAnsi="宋体" w:eastAsia="仿宋_GB2312" w:cs="仿宋_GB2312"/>
          <w:color w:val="000000"/>
          <w:kern w:val="0"/>
          <w:sz w:val="32"/>
          <w:szCs w:val="32"/>
          <w:shd w:val="clear" w:fill="FFFFFF"/>
        </w:rPr>
        <w:t>1.社会保障和就业支出决算为254.08万元，完成预算95.88%，决算数小于预算数的主要原因是疫情原因控制经费。</w:t>
      </w:r>
    </w:p>
    <w:p>
      <w:pPr>
        <w:pStyle w:val="15"/>
        <w:keepNext w:val="0"/>
        <w:keepLines w:val="0"/>
        <w:widowControl w:val="0"/>
        <w:suppressLineNumbers w:val="0"/>
        <w:autoSpaceDE w:val="0"/>
        <w:autoSpaceDN/>
        <w:spacing w:before="0" w:beforeAutospacing="0" w:line="576" w:lineRule="exact"/>
        <w:ind w:left="0" w:right="0" w:rightChars="0" w:firstLine="640" w:firstLineChars="200"/>
        <w:jc w:val="both"/>
        <w:rPr>
          <w:rFonts w:hint="default" w:ascii="仿宋_GB2312" w:hAnsi="宋体" w:eastAsia="仿宋_GB2312" w:cs="仿宋_GB2312"/>
          <w:color w:val="000000"/>
          <w:kern w:val="0"/>
          <w:sz w:val="32"/>
          <w:szCs w:val="32"/>
          <w:shd w:val="clear" w:fill="FFFFFF"/>
        </w:rPr>
      </w:pPr>
      <w:r>
        <w:rPr>
          <w:rFonts w:hint="default" w:ascii="仿宋_GB2312" w:hAnsi="宋体" w:eastAsia="仿宋_GB2312" w:cs="仿宋_GB2312"/>
          <w:color w:val="000000"/>
          <w:kern w:val="0"/>
          <w:sz w:val="32"/>
          <w:szCs w:val="32"/>
          <w:shd w:val="clear" w:fill="FFFFFF"/>
        </w:rPr>
        <w:t>2080505-机关事业单位基本养老保险缴费支出决算数为11.97万元；2080506-机关事业单位职业年金缴费支出决算数为5.51万元；2081101-行政运行决算数为46.11万元；2081102-一般行政管理事务支出决算数为16.02万元；2081104-残疾人康复支出决算数为8.94万元；2081105-残疾人就业和扶贫支出决算数为9.99万元；2081199-其他残疾人事业支出决算数为155.54万元。</w:t>
      </w:r>
    </w:p>
    <w:p>
      <w:pPr>
        <w:pStyle w:val="15"/>
        <w:keepNext w:val="0"/>
        <w:keepLines w:val="0"/>
        <w:widowControl w:val="0"/>
        <w:suppressLineNumbers w:val="0"/>
        <w:autoSpaceDE w:val="0"/>
        <w:autoSpaceDN/>
        <w:spacing w:before="0" w:beforeAutospacing="0" w:line="576" w:lineRule="exact"/>
        <w:ind w:left="0" w:right="0" w:rightChars="0" w:firstLine="640" w:firstLineChars="200"/>
        <w:jc w:val="both"/>
        <w:rPr>
          <w:rFonts w:hint="default" w:ascii="仿宋_GB2312" w:hAnsi="宋体" w:eastAsia="仿宋_GB2312" w:cs="仿宋_GB2312"/>
          <w:color w:val="000000"/>
          <w:kern w:val="0"/>
          <w:sz w:val="32"/>
          <w:szCs w:val="32"/>
          <w:shd w:val="clear" w:fill="FFFFFF"/>
        </w:rPr>
      </w:pPr>
      <w:r>
        <w:rPr>
          <w:rFonts w:hint="default" w:ascii="仿宋_GB2312" w:hAnsi="宋体" w:eastAsia="仿宋_GB2312" w:cs="仿宋_GB2312"/>
          <w:color w:val="000000"/>
          <w:kern w:val="0"/>
          <w:sz w:val="32"/>
          <w:szCs w:val="32"/>
          <w:shd w:val="clear" w:fill="FFFFFF"/>
        </w:rPr>
        <w:t>2.卫生健康支出决算为6.93万元，完成预算100%，决算数等于预算数。2101101-行政单位医疗支出决算数为2.45万元；2101102-事业单位医疗支出决算数为3.29万元；2101103-公务员医疗补助支出决算数为0.51万元；2101199-其他行政事业单位医疗支出决算数为0.68万元。</w:t>
      </w:r>
    </w:p>
    <w:p>
      <w:pPr>
        <w:pStyle w:val="15"/>
        <w:keepNext w:val="0"/>
        <w:keepLines w:val="0"/>
        <w:widowControl w:val="0"/>
        <w:suppressLineNumbers w:val="0"/>
        <w:autoSpaceDE w:val="0"/>
        <w:autoSpaceDN/>
        <w:spacing w:before="0" w:beforeAutospacing="0" w:line="576" w:lineRule="exact"/>
        <w:ind w:left="0" w:right="0" w:rightChars="0" w:firstLine="640" w:firstLineChars="200"/>
        <w:jc w:val="both"/>
        <w:rPr>
          <w:rFonts w:hint="default" w:ascii="仿宋_GB2312" w:hAnsi="宋体" w:eastAsia="仿宋_GB2312" w:cs="仿宋_GB2312"/>
          <w:color w:val="000000"/>
          <w:kern w:val="0"/>
          <w:sz w:val="32"/>
          <w:szCs w:val="32"/>
          <w:shd w:val="clear" w:fill="FFFFFF"/>
        </w:rPr>
      </w:pPr>
      <w:r>
        <w:rPr>
          <w:rFonts w:hint="default" w:ascii="仿宋_GB2312" w:hAnsi="宋体" w:eastAsia="仿宋_GB2312" w:cs="仿宋_GB2312"/>
          <w:color w:val="000000"/>
          <w:kern w:val="0"/>
          <w:sz w:val="32"/>
          <w:szCs w:val="32"/>
          <w:shd w:val="clear" w:fill="FFFFFF"/>
        </w:rPr>
        <w:t>3.住房保障支出决算数为10.22万元，完成预算100%，决算数等于预算数。</w:t>
      </w:r>
    </w:p>
    <w:p>
      <w:pPr>
        <w:pStyle w:val="15"/>
        <w:keepNext w:val="0"/>
        <w:keepLines w:val="0"/>
        <w:widowControl w:val="0"/>
        <w:suppressLineNumbers w:val="0"/>
        <w:autoSpaceDE w:val="0"/>
        <w:autoSpaceDN/>
        <w:spacing w:before="0" w:beforeAutospacing="0" w:line="576" w:lineRule="exact"/>
        <w:ind w:left="0" w:right="0" w:rightChars="0" w:firstLine="640" w:firstLineChars="200"/>
        <w:jc w:val="both"/>
        <w:rPr>
          <w:rFonts w:hint="default" w:ascii="仿宋_GB2312" w:hAnsi="宋体" w:eastAsia="仿宋_GB2312" w:cs="仿宋_GB2312"/>
          <w:b/>
          <w:bCs/>
          <w:color w:val="000000"/>
          <w:kern w:val="0"/>
          <w:sz w:val="32"/>
          <w:szCs w:val="32"/>
          <w:shd w:val="clear" w:fill="FFFFFF"/>
        </w:rPr>
      </w:pPr>
      <w:r>
        <w:rPr>
          <w:rFonts w:hint="default" w:ascii="仿宋_GB2312" w:hAnsi="宋体" w:eastAsia="仿宋_GB2312" w:cs="仿宋_GB2312"/>
          <w:color w:val="000000"/>
          <w:kern w:val="0"/>
          <w:sz w:val="32"/>
          <w:szCs w:val="32"/>
          <w:shd w:val="clear" w:fill="FFFFFF"/>
        </w:rPr>
        <w:t>2210201-住房公积金支出决算数为10.22万元。</w:t>
      </w: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六</w:t>
      </w:r>
      <w:r>
        <w:rPr>
          <w:rStyle w:val="14"/>
          <w:shd w:val="clear" w:fill="FFFFFF"/>
        </w:rPr>
        <w:t>、一</w:t>
      </w:r>
      <w:r>
        <w:rPr>
          <w:shd w:val="clear" w:fill="FFFFFF"/>
        </w:rPr>
        <w:t>般公共预算财政拨款基本支出决算情况说明   </w:t>
      </w:r>
    </w:p>
    <w:p>
      <w:pPr>
        <w:pStyle w:val="11"/>
        <w:keepNext w:val="0"/>
        <w:keepLines w:val="0"/>
        <w:widowControl/>
        <w:suppressLineNumbers w:val="0"/>
        <w:spacing w:before="0" w:beforeAutospacing="0"/>
        <w:ind w:left="0"/>
        <w:jc w:val="left"/>
      </w:pPr>
      <w:r>
        <w:rPr>
          <w:shd w:val="clear" w:fill="FFFFFF"/>
        </w:rPr>
        <w:t>2021年一般公共预算财政拨款基本支出156.33万元，其中：</w:t>
      </w:r>
    </w:p>
    <w:p>
      <w:pPr>
        <w:pStyle w:val="11"/>
        <w:keepNext w:val="0"/>
        <w:keepLines w:val="0"/>
        <w:widowControl/>
        <w:suppressLineNumbers w:val="0"/>
        <w:spacing w:before="0" w:beforeAutospacing="0"/>
        <w:ind w:left="0"/>
        <w:jc w:val="left"/>
      </w:pPr>
      <w:r>
        <w:rPr>
          <w:shd w:val="clear" w:fill="FFFFFF"/>
        </w:rPr>
        <w:t>人员经费140.87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1"/>
        <w:keepNext w:val="0"/>
        <w:keepLines w:val="0"/>
        <w:widowControl/>
        <w:suppressLineNumbers w:val="0"/>
        <w:spacing w:before="0" w:beforeAutospacing="0"/>
        <w:ind w:left="0"/>
        <w:jc w:val="left"/>
        <w:rPr>
          <w:rStyle w:val="14"/>
          <w:shd w:val="clear" w:fill="FFFFFF"/>
        </w:rPr>
      </w:pPr>
      <w:r>
        <w:rPr>
          <w:shd w:val="clear" w:fill="FFFFFF"/>
        </w:rPr>
        <w:t>　　公用经费15.46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11"/>
        <w:keepNext w:val="0"/>
        <w:keepLines w:val="0"/>
        <w:widowControl/>
        <w:suppressLineNumbers w:val="0"/>
        <w:spacing w:before="0" w:beforeAutospacing="0"/>
        <w:ind w:left="0"/>
        <w:jc w:val="left"/>
      </w:pPr>
      <w:r>
        <w:rPr>
          <w:shd w:val="clear" w:fill="FFFFFF"/>
        </w:rPr>
        <w:t> 七、“三公”经费财政拨款支出决算情况说明</w:t>
      </w:r>
    </w:p>
    <w:p>
      <w:pPr>
        <w:pStyle w:val="11"/>
        <w:keepNext w:val="0"/>
        <w:keepLines w:val="0"/>
        <w:widowControl/>
        <w:suppressLineNumbers w:val="0"/>
        <w:spacing w:before="0" w:beforeAutospacing="0"/>
        <w:ind w:left="0"/>
        <w:jc w:val="left"/>
      </w:pPr>
      <w:r>
        <w:rPr>
          <w:rStyle w:val="14"/>
          <w:shd w:val="clear" w:fill="FFFFFF"/>
        </w:rPr>
        <w:t>（一）“三公”经费财政拨款支出决算总体情况说明</w:t>
      </w:r>
    </w:p>
    <w:p>
      <w:pPr>
        <w:pStyle w:val="11"/>
        <w:keepNext w:val="0"/>
        <w:keepLines w:val="0"/>
        <w:widowControl/>
        <w:suppressLineNumbers w:val="0"/>
        <w:spacing w:before="0" w:beforeAutospacing="0"/>
        <w:ind w:left="0"/>
        <w:jc w:val="left"/>
      </w:pPr>
      <w:r>
        <w:rPr>
          <w:shd w:val="clear" w:fill="FFFFFF"/>
        </w:rPr>
        <w:t>2021年“三公”经费财政拨款支出决算为1.93万元，完成预算0.00%，决算数小于预算数（或与预算数持平）的主要原因是……。</w:t>
      </w:r>
    </w:p>
    <w:p>
      <w:pPr>
        <w:pStyle w:val="11"/>
        <w:keepNext w:val="0"/>
        <w:keepLines w:val="0"/>
        <w:widowControl/>
        <w:suppressLineNumbers w:val="0"/>
        <w:spacing w:before="0" w:beforeAutospacing="0"/>
        <w:ind w:left="0"/>
        <w:jc w:val="left"/>
      </w:pPr>
    </w:p>
    <w:p>
      <w:pPr>
        <w:pStyle w:val="11"/>
        <w:keepNext w:val="0"/>
        <w:keepLines w:val="0"/>
        <w:widowControl/>
        <w:suppressLineNumbers w:val="0"/>
        <w:spacing w:before="0" w:beforeAutospacing="0"/>
        <w:ind w:left="0"/>
        <w:jc w:val="left"/>
      </w:pPr>
      <w:r>
        <w:rPr>
          <w:rStyle w:val="14"/>
          <w:shd w:val="clear" w:fill="FFFFFF"/>
        </w:rPr>
        <w:t>（二）“三公”经费财政拨款支出决算具体情况说明</w:t>
      </w:r>
    </w:p>
    <w:p>
      <w:pPr>
        <w:pStyle w:val="11"/>
        <w:keepNext w:val="0"/>
        <w:keepLines w:val="0"/>
        <w:widowControl/>
        <w:suppressLineNumbers w:val="0"/>
        <w:spacing w:before="0" w:beforeAutospacing="0"/>
        <w:ind w:left="0"/>
        <w:jc w:val="left"/>
        <w:rPr>
          <w:shd w:val="clear" w:fill="FFFFFF"/>
        </w:rPr>
      </w:pPr>
      <w:r>
        <w:rPr>
          <w:shd w:val="clear" w:fill="FFFFFF"/>
        </w:rPr>
        <w:t>2021年“三公”经费财政拨款支出决算中，因公出国（境）费支出决算0.00万元，占0.00%；公务用车购置及运行维护费支出决算1.93万元，占100.00%；公务接待费支出决算0.00万元，占0.00%。具体情况如下：</w:t>
      </w: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r>
        <w:fldChar w:fldCharType="begin"/>
      </w:r>
      <w:r>
        <w:instrText xml:space="preserve">INCLUDEPICTURE \d "C:\\Users\\86139\\AppData\\Local\\Temp\\0bfb6cbe6abb4805916f2fe968b0cadd\\Users\\Administrator\\AppData\\Local\\Temp\\~tmp{0a493d11-ca28-476f-a3c4-6f63636b34c3}68304.files\\~tmp{0a493d11-ca28-476f-a3c4-6f63636b34c3}6830410463.png" \* MERGEFORMATINET </w:instrText>
      </w:r>
      <w:r>
        <w:fldChar w:fldCharType="separate"/>
      </w:r>
      <w:r>
        <w:drawing>
          <wp:inline distT="0" distB="0" distL="114300" distR="114300">
            <wp:extent cx="5429250" cy="2809875"/>
            <wp:effectExtent l="0" t="0" r="0" b="0"/>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0"/>
                    <a:stretch>
                      <a:fillRect/>
                    </a:stretch>
                  </pic:blipFill>
                  <pic:spPr>
                    <a:xfrm>
                      <a:off x="0" y="0"/>
                      <a:ext cx="5429250" cy="2809875"/>
                    </a:xfrm>
                    <a:prstGeom prst="rect">
                      <a:avLst/>
                    </a:prstGeom>
                    <a:noFill/>
                    <a:ln w="9525">
                      <a:noFill/>
                    </a:ln>
                  </pic:spPr>
                </pic:pic>
              </a:graphicData>
            </a:graphic>
          </wp:inline>
        </w:drawing>
      </w:r>
      <w:r>
        <w:fldChar w:fldCharType="end"/>
      </w: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pPr>
      <w:r>
        <w:rPr>
          <w:shd w:val="clear" w:fill="FFFFFF"/>
        </w:rPr>
        <w:t>（图7：“三公”经费财政拨款支出结构）（饼状图）</w:t>
      </w:r>
    </w:p>
    <w:p>
      <w:pPr>
        <w:pStyle w:val="11"/>
        <w:keepNext w:val="0"/>
        <w:keepLines w:val="0"/>
        <w:widowControl/>
        <w:suppressLineNumbers w:val="0"/>
        <w:spacing w:before="0" w:beforeAutospacing="0"/>
        <w:ind w:left="0"/>
        <w:jc w:val="left"/>
      </w:pPr>
      <w:r>
        <w:rPr>
          <w:rStyle w:val="14"/>
          <w:shd w:val="clear" w:fill="FFFFFF"/>
        </w:rPr>
        <w:t>1.因公出国（境）经费支出</w:t>
      </w:r>
      <w:r>
        <w:rPr>
          <w:shd w:val="clear" w:fill="FFFFFF"/>
        </w:rPr>
        <w:t>0.00万元，</w:t>
      </w:r>
      <w:r>
        <w:rPr>
          <w:rStyle w:val="14"/>
          <w:shd w:val="clear" w:fill="FFFFFF"/>
        </w:rPr>
        <w:t>完成预算0.00%。</w:t>
      </w:r>
      <w:r>
        <w:rPr>
          <w:shd w:val="clear" w:fill="FFFFFF"/>
        </w:rPr>
        <w:t>全年安排因公出国（境）团组0次，出国（境）0人。因公出国（境）支出决算比2020年增加0.00万元，增长0.00%。。</w:t>
      </w:r>
    </w:p>
    <w:p>
      <w:pPr>
        <w:pStyle w:val="11"/>
        <w:keepNext w:val="0"/>
        <w:keepLines w:val="0"/>
        <w:widowControl/>
        <w:suppressLineNumbers w:val="0"/>
        <w:spacing w:before="0" w:beforeAutospacing="0"/>
        <w:ind w:left="0"/>
        <w:jc w:val="left"/>
      </w:pPr>
      <w:r>
        <w:rPr>
          <w:rStyle w:val="14"/>
          <w:shd w:val="clear" w:fill="FFFFFF"/>
        </w:rPr>
        <w:t>2.公务用车购置及运行维护费支出</w:t>
      </w:r>
      <w:r>
        <w:rPr>
          <w:shd w:val="clear" w:fill="FFFFFF"/>
        </w:rPr>
        <w:t>1.93万元,</w:t>
      </w:r>
      <w:r>
        <w:rPr>
          <w:rStyle w:val="14"/>
          <w:shd w:val="clear" w:fill="FFFFFF"/>
        </w:rPr>
        <w:t>完成预算0.00%。</w:t>
      </w:r>
      <w:r>
        <w:rPr>
          <w:shd w:val="clear" w:fill="FFFFFF"/>
        </w:rPr>
        <w:t>公务用车购置及运行维护费支出决算比2020年增加-2.99万元，增长-60.87%。</w:t>
      </w:r>
    </w:p>
    <w:p>
      <w:pPr>
        <w:pStyle w:val="11"/>
        <w:keepNext w:val="0"/>
        <w:keepLines w:val="0"/>
        <w:widowControl/>
        <w:suppressLineNumbers w:val="0"/>
        <w:spacing w:before="0" w:beforeAutospacing="0"/>
        <w:ind w:left="0"/>
        <w:jc w:val="left"/>
      </w:pPr>
      <w:r>
        <w:rPr>
          <w:shd w:val="clear" w:fill="FFFFFF"/>
        </w:rPr>
        <w:t>其中：</w:t>
      </w:r>
      <w:r>
        <w:rPr>
          <w:rStyle w:val="14"/>
          <w:shd w:val="clear" w:fill="FFFFFF"/>
        </w:rPr>
        <w:t>公务用车购置支出</w:t>
      </w:r>
      <w:r>
        <w:rPr>
          <w:shd w:val="clear" w:fill="FFFFFF"/>
        </w:rPr>
        <w:t>0.00万元。全年按规定更新购置公务用车0辆，其中：轿车</w:t>
      </w:r>
      <w:r>
        <w:rPr>
          <w:rFonts w:hint="eastAsia"/>
          <w:shd w:val="clear" w:fill="FFFFFF"/>
          <w:lang w:val="en-US" w:eastAsia="zh-CN"/>
        </w:rPr>
        <w:t>0</w:t>
      </w:r>
      <w:r>
        <w:rPr>
          <w:shd w:val="clear" w:fill="FFFFFF"/>
        </w:rPr>
        <w:t>辆、金额</w:t>
      </w:r>
      <w:r>
        <w:rPr>
          <w:rFonts w:hint="eastAsia"/>
          <w:shd w:val="clear" w:fill="FFFFFF"/>
          <w:lang w:val="en-US" w:eastAsia="zh-CN"/>
        </w:rPr>
        <w:t>0</w:t>
      </w:r>
      <w:r>
        <w:rPr>
          <w:shd w:val="clear" w:fill="FFFFFF"/>
        </w:rPr>
        <w:t>万元，越野车</w:t>
      </w:r>
      <w:r>
        <w:rPr>
          <w:rFonts w:hint="eastAsia"/>
          <w:shd w:val="clear" w:fill="FFFFFF"/>
          <w:lang w:val="en-US" w:eastAsia="zh-CN"/>
        </w:rPr>
        <w:t>0</w:t>
      </w:r>
      <w:r>
        <w:rPr>
          <w:shd w:val="clear" w:fill="FFFFFF"/>
        </w:rPr>
        <w:t>辆、金额</w:t>
      </w:r>
      <w:r>
        <w:rPr>
          <w:rFonts w:hint="eastAsia"/>
          <w:shd w:val="clear" w:fill="FFFFFF"/>
          <w:lang w:val="en-US" w:eastAsia="zh-CN"/>
        </w:rPr>
        <w:t>0</w:t>
      </w:r>
      <w:r>
        <w:rPr>
          <w:shd w:val="clear" w:fill="FFFFFF"/>
        </w:rPr>
        <w:t>万元，载客汽车</w:t>
      </w:r>
      <w:r>
        <w:rPr>
          <w:rFonts w:hint="eastAsia"/>
          <w:shd w:val="clear" w:fill="FFFFFF"/>
          <w:lang w:val="en-US" w:eastAsia="zh-CN"/>
        </w:rPr>
        <w:t>0</w:t>
      </w:r>
      <w:r>
        <w:rPr>
          <w:shd w:val="clear" w:fill="FFFFFF"/>
        </w:rPr>
        <w:t>辆、金额</w:t>
      </w:r>
      <w:r>
        <w:rPr>
          <w:rFonts w:hint="eastAsia"/>
          <w:shd w:val="clear" w:fill="FFFFFF"/>
          <w:lang w:val="en-US" w:eastAsia="zh-CN"/>
        </w:rPr>
        <w:t>0</w:t>
      </w:r>
      <w:r>
        <w:rPr>
          <w:shd w:val="clear" w:fill="FFFFFF"/>
        </w:rPr>
        <w:t>万元</w:t>
      </w:r>
      <w:r>
        <w:rPr>
          <w:rFonts w:hint="eastAsia"/>
          <w:shd w:val="clear" w:fill="FFFFFF"/>
          <w:lang w:val="en-US" w:eastAsia="zh-CN"/>
        </w:rPr>
        <w:t>0</w:t>
      </w:r>
      <w:r>
        <w:rPr>
          <w:shd w:val="clear" w:fill="FFFFFF"/>
        </w:rPr>
        <w:t>。截至2021年12月底，单位共有公务用车2辆，其中：轿车</w:t>
      </w:r>
      <w:r>
        <w:rPr>
          <w:rFonts w:hint="eastAsia"/>
          <w:shd w:val="clear" w:fill="FFFFFF"/>
          <w:lang w:val="en-US" w:eastAsia="zh-CN"/>
        </w:rPr>
        <w:t>1</w:t>
      </w:r>
      <w:r>
        <w:rPr>
          <w:shd w:val="clear" w:fill="FFFFFF"/>
        </w:rPr>
        <w:t>辆、越野车</w:t>
      </w:r>
      <w:r>
        <w:rPr>
          <w:rFonts w:hint="eastAsia"/>
          <w:shd w:val="clear" w:fill="FFFFFF"/>
          <w:lang w:val="en-US" w:eastAsia="zh-CN"/>
        </w:rPr>
        <w:t>1</w:t>
      </w:r>
      <w:r>
        <w:rPr>
          <w:shd w:val="clear" w:fill="FFFFFF"/>
        </w:rPr>
        <w:t>辆、载客汽车</w:t>
      </w:r>
      <w:r>
        <w:rPr>
          <w:rFonts w:hint="eastAsia"/>
          <w:shd w:val="clear" w:fill="FFFFFF"/>
          <w:lang w:val="en-US" w:eastAsia="zh-CN"/>
        </w:rPr>
        <w:t>0</w:t>
      </w:r>
      <w:r>
        <w:rPr>
          <w:shd w:val="clear" w:fill="FFFFFF"/>
        </w:rPr>
        <w:t>辆。</w:t>
      </w:r>
    </w:p>
    <w:p>
      <w:pPr>
        <w:pStyle w:val="11"/>
        <w:keepNext w:val="0"/>
        <w:keepLines w:val="0"/>
        <w:widowControl/>
        <w:suppressLineNumbers w:val="0"/>
        <w:spacing w:before="0" w:beforeAutospacing="0"/>
        <w:ind w:left="0"/>
        <w:jc w:val="left"/>
      </w:pPr>
      <w:r>
        <w:rPr>
          <w:rStyle w:val="14"/>
          <w:shd w:val="clear" w:fill="FFFFFF"/>
        </w:rPr>
        <w:t>公务用车运行维护费支出</w:t>
      </w:r>
      <w:r>
        <w:rPr>
          <w:shd w:val="clear" w:fill="FFFFFF"/>
        </w:rPr>
        <w:t>1.93万元。主要用于</w:t>
      </w:r>
      <w:r>
        <w:rPr>
          <w:rFonts w:hint="eastAsia"/>
          <w:shd w:val="clear" w:fill="FFFFFF"/>
          <w:lang w:val="en-US" w:eastAsia="zh-CN"/>
        </w:rPr>
        <w:t>工作</w:t>
      </w:r>
      <w:r>
        <w:rPr>
          <w:shd w:val="clear" w:fill="FFFFFF"/>
        </w:rPr>
        <w:t>所需的公务用车燃料费、维修费、过路过桥费、保险费等支出。</w:t>
      </w:r>
    </w:p>
    <w:p>
      <w:pPr>
        <w:pStyle w:val="11"/>
        <w:keepNext w:val="0"/>
        <w:keepLines w:val="0"/>
        <w:widowControl/>
        <w:suppressLineNumbers w:val="0"/>
        <w:spacing w:before="0" w:beforeAutospacing="0"/>
        <w:ind w:left="0"/>
        <w:jc w:val="left"/>
      </w:pPr>
      <w:r>
        <w:rPr>
          <w:rStyle w:val="14"/>
          <w:shd w:val="clear" w:fill="FFFFFF"/>
        </w:rPr>
        <w:t>3.公务接待费支出</w:t>
      </w:r>
      <w:r>
        <w:rPr>
          <w:shd w:val="clear" w:fill="FFFFFF"/>
        </w:rPr>
        <w:t>0.00万元，</w:t>
      </w:r>
      <w:r>
        <w:rPr>
          <w:rStyle w:val="14"/>
          <w:shd w:val="clear" w:fill="FFFFFF"/>
        </w:rPr>
        <w:t>完成预算100%。</w:t>
      </w:r>
      <w:r>
        <w:rPr>
          <w:shd w:val="clear" w:fill="FFFFFF"/>
        </w:rPr>
        <w:t>公务接待费支出决算比2020年增加-0.12万元，增长-100.00%。其中：</w:t>
      </w:r>
    </w:p>
    <w:p>
      <w:pPr>
        <w:pStyle w:val="11"/>
        <w:keepNext w:val="0"/>
        <w:keepLines w:val="0"/>
        <w:widowControl/>
        <w:suppressLineNumbers w:val="0"/>
        <w:spacing w:before="0" w:beforeAutospacing="0"/>
        <w:ind w:left="0"/>
        <w:jc w:val="left"/>
      </w:pPr>
      <w:r>
        <w:rPr>
          <w:rStyle w:val="14"/>
          <w:shd w:val="clear" w:fill="FFFFFF"/>
        </w:rPr>
        <w:t>国内公务接待支出</w:t>
      </w:r>
      <w:r>
        <w:rPr>
          <w:shd w:val="clear" w:fill="FFFFFF"/>
        </w:rPr>
        <w:t>0.00万元，主要用于……(执行公务、开展业务活动开支的交通费、住宿费、用餐费等)。国内公务接待0批次，0人次（不包括陪同人员），共计支出0.00万元，具体内容包括：…（接待具体项目、金额）。</w:t>
      </w:r>
    </w:p>
    <w:p>
      <w:pPr>
        <w:pStyle w:val="11"/>
        <w:keepNext w:val="0"/>
        <w:keepLines w:val="0"/>
        <w:widowControl/>
        <w:suppressLineNumbers w:val="0"/>
        <w:spacing w:before="0" w:beforeAutospacing="0"/>
        <w:ind w:left="0"/>
        <w:jc w:val="left"/>
      </w:pPr>
      <w:r>
        <w:rPr>
          <w:rStyle w:val="14"/>
          <w:shd w:val="clear" w:fill="FFFFFF"/>
        </w:rPr>
        <w:t>外事接待支出</w:t>
      </w:r>
      <w:r>
        <w:rPr>
          <w:shd w:val="clear" w:fill="FFFFFF"/>
        </w:rPr>
        <w:t>0.00万元，外事接待0批次，0人，共计支出0.00万元，主要用于接待…（具体项目）。主要用于……</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八、政府性基金预算支出决算情况说明</w:t>
      </w:r>
    </w:p>
    <w:p>
      <w:pPr>
        <w:pStyle w:val="11"/>
        <w:keepNext w:val="0"/>
        <w:keepLines w:val="0"/>
        <w:widowControl/>
        <w:suppressLineNumbers w:val="0"/>
        <w:spacing w:before="0" w:beforeAutospacing="0"/>
        <w:ind w:left="0"/>
        <w:jc w:val="left"/>
      </w:pPr>
      <w:r>
        <w:rPr>
          <w:shd w:val="clear" w:fill="FFFFFF"/>
        </w:rPr>
        <w:t>2021年政府性基金预算财政拨款支出5.23万元。</w:t>
      </w:r>
    </w:p>
    <w:p>
      <w:pPr>
        <w:pStyle w:val="11"/>
        <w:keepNext w:val="0"/>
        <w:keepLines w:val="0"/>
        <w:widowControl/>
        <w:suppressLineNumbers w:val="0"/>
        <w:spacing w:before="0" w:beforeAutospacing="0"/>
        <w:ind w:left="0"/>
        <w:jc w:val="left"/>
      </w:pPr>
      <w:r>
        <w:rPr>
          <w:shd w:val="clear" w:fill="FFFFFF"/>
        </w:rPr>
        <w:t> </w:t>
      </w:r>
    </w:p>
    <w:p>
      <w:pPr>
        <w:keepNext w:val="0"/>
        <w:keepLines w:val="0"/>
        <w:widowControl/>
        <w:numPr>
          <w:ilvl w:val="0"/>
          <w:numId w:val="5"/>
        </w:numPr>
        <w:suppressLineNumbers w:val="0"/>
        <w:spacing w:before="0" w:beforeAutospacing="0" w:after="0" w:afterAutospacing="1"/>
        <w:ind w:left="720" w:hanging="360"/>
        <w:jc w:val="left"/>
      </w:pPr>
      <w:r>
        <w:rPr>
          <w:shd w:val="clear" w:fill="FFFFFF"/>
        </w:rPr>
        <w:t>国有资本经营预算支出决算情况说明</w:t>
      </w:r>
    </w:p>
    <w:p>
      <w:pPr>
        <w:pStyle w:val="11"/>
        <w:keepNext w:val="0"/>
        <w:keepLines w:val="0"/>
        <w:widowControl/>
        <w:suppressLineNumbers w:val="0"/>
        <w:spacing w:before="0" w:beforeAutospacing="0"/>
        <w:ind w:left="0"/>
        <w:jc w:val="left"/>
      </w:pPr>
      <w:r>
        <w:rPr>
          <w:shd w:val="clear" w:fill="FFFFFF"/>
        </w:rPr>
        <w:t>2021年国有资本经营预算财政拨款支出0.00万元。</w:t>
      </w:r>
    </w:p>
    <w:p>
      <w:pPr>
        <w:pStyle w:val="11"/>
        <w:keepNext w:val="0"/>
        <w:keepLines w:val="0"/>
        <w:widowControl/>
        <w:suppressLineNumbers w:val="0"/>
        <w:spacing w:before="0" w:beforeAutospacing="0"/>
        <w:ind w:left="0"/>
        <w:jc w:val="center"/>
      </w:pPr>
      <w:r>
        <w:rPr>
          <w:shd w:val="clear" w:fill="FFFFFF"/>
        </w:rPr>
        <w:t> </w:t>
      </w:r>
    </w:p>
    <w:p>
      <w:pPr>
        <w:keepNext w:val="0"/>
        <w:keepLines w:val="0"/>
        <w:widowControl/>
        <w:numPr>
          <w:ilvl w:val="0"/>
          <w:numId w:val="6"/>
        </w:numPr>
        <w:suppressLineNumbers w:val="0"/>
        <w:spacing w:before="0" w:beforeAutospacing="0" w:after="0" w:afterAutospacing="1"/>
        <w:ind w:left="720" w:hanging="360"/>
        <w:jc w:val="left"/>
      </w:pPr>
      <w:r>
        <w:rPr>
          <w:shd w:val="clear" w:fill="FFFFFF"/>
        </w:rPr>
        <w:t>其他重要事项的情况说明</w:t>
      </w:r>
    </w:p>
    <w:p>
      <w:pPr>
        <w:pStyle w:val="11"/>
        <w:keepNext w:val="0"/>
        <w:keepLines w:val="0"/>
        <w:widowControl/>
        <w:suppressLineNumbers w:val="0"/>
        <w:spacing w:before="0" w:beforeAutospacing="0"/>
        <w:ind w:left="0"/>
        <w:jc w:val="left"/>
      </w:pPr>
      <w:r>
        <w:rPr>
          <w:rStyle w:val="14"/>
          <w:shd w:val="clear" w:fill="FFFFFF"/>
        </w:rPr>
        <w:t>（一）机关运行经费支出情况</w:t>
      </w:r>
    </w:p>
    <w:p>
      <w:pPr>
        <w:pStyle w:val="11"/>
        <w:keepNext w:val="0"/>
        <w:keepLines w:val="0"/>
        <w:widowControl/>
        <w:suppressLineNumbers w:val="0"/>
        <w:spacing w:before="0" w:beforeAutospacing="0"/>
        <w:ind w:left="0"/>
        <w:jc w:val="left"/>
      </w:pPr>
      <w:r>
        <w:rPr>
          <w:shd w:val="clear" w:fill="FFFFFF"/>
        </w:rPr>
        <w:t>2021年，阿坝州红原县残疾人联合会机关运行经费支出12.02万元，比2020年增加4.28万元，增长55.22%（或与2020年决算数持平）。</w:t>
      </w:r>
      <w:r>
        <w:rPr>
          <w:rStyle w:val="14"/>
          <w:shd w:val="clear" w:fill="FFFFFF"/>
        </w:rPr>
        <w:t>（注：数据来源</w:t>
      </w:r>
    </w:p>
    <w:p>
      <w:pPr>
        <w:pStyle w:val="11"/>
        <w:keepNext w:val="0"/>
        <w:keepLines w:val="0"/>
        <w:widowControl/>
        <w:suppressLineNumbers w:val="0"/>
        <w:spacing w:before="0" w:beforeAutospacing="0"/>
        <w:ind w:left="0"/>
        <w:jc w:val="left"/>
      </w:pPr>
      <w:r>
        <w:rPr>
          <w:rStyle w:val="14"/>
          <w:shd w:val="clear" w:fill="FFFFFF"/>
        </w:rPr>
        <w:t>（二）政府采购支出情况</w:t>
      </w:r>
    </w:p>
    <w:p>
      <w:pPr>
        <w:pStyle w:val="11"/>
        <w:keepNext w:val="0"/>
        <w:keepLines w:val="0"/>
        <w:widowControl/>
        <w:suppressLineNumbers w:val="0"/>
        <w:spacing w:before="0" w:beforeAutospacing="0"/>
        <w:ind w:left="0"/>
        <w:jc w:val="left"/>
      </w:pPr>
      <w:r>
        <w:rPr>
          <w:shd w:val="clear" w:fill="FFFFFF"/>
        </w:rPr>
        <w:t>2021年，阿坝州红原县残疾人联合会政府采购支出总额0.00万元，其中：政府采购货物支出0.00万元、政府采购工程支出0.00万元、政府采购服务支出0.00万元。主要用于…（具体工作）。授予中小企业合同金额0.00万元，占政府采购支出总额的0.00%，其中：授予小微企业合同金额0.00万元，占政府采购支出总额的0.00%。</w:t>
      </w:r>
    </w:p>
    <w:p>
      <w:pPr>
        <w:pStyle w:val="11"/>
        <w:keepNext w:val="0"/>
        <w:keepLines w:val="0"/>
        <w:widowControl/>
        <w:suppressLineNumbers w:val="0"/>
        <w:spacing w:before="0" w:beforeAutospacing="0"/>
        <w:ind w:left="0"/>
        <w:jc w:val="left"/>
      </w:pPr>
      <w:r>
        <w:rPr>
          <w:rStyle w:val="14"/>
          <w:shd w:val="clear" w:fill="FFFFFF"/>
        </w:rPr>
        <w:t>（三）国有资产占有使用情况</w:t>
      </w:r>
    </w:p>
    <w:p>
      <w:pPr>
        <w:pStyle w:val="11"/>
        <w:keepNext w:val="0"/>
        <w:keepLines w:val="0"/>
        <w:widowControl/>
        <w:suppressLineNumbers w:val="0"/>
        <w:spacing w:before="0" w:beforeAutospacing="0"/>
        <w:ind w:left="0"/>
        <w:jc w:val="left"/>
      </w:pPr>
      <w:r>
        <w:rPr>
          <w:shd w:val="clear" w:fill="FFFFFF"/>
        </w:rPr>
        <w:t>截至2021年12月31日，阿坝州红原县残疾人联合会共有车辆2辆，其中：主要领导干部用车0辆、机要通信用车0辆、应急保障用车1辆、其他用车1辆……其他用车主要是用于……单价50万元以上通用设备0台（套），单价100万元以上专用设备0台（套）。</w:t>
      </w:r>
    </w:p>
    <w:p>
      <w:pPr>
        <w:pStyle w:val="11"/>
        <w:keepNext w:val="0"/>
        <w:keepLines w:val="0"/>
        <w:widowControl/>
        <w:suppressLineNumbers w:val="0"/>
        <w:spacing w:before="0" w:beforeAutospacing="0"/>
        <w:ind w:left="0"/>
        <w:jc w:val="left"/>
      </w:pPr>
      <w:r>
        <w:rPr>
          <w:rStyle w:val="14"/>
          <w:shd w:val="clear" w:fill="FFFFFF"/>
        </w:rPr>
        <w:t>（四）预算绩效管理情况</w:t>
      </w:r>
    </w:p>
    <w:p>
      <w:pPr>
        <w:pStyle w:val="15"/>
        <w:keepNext w:val="0"/>
        <w:keepLines w:val="0"/>
        <w:widowControl w:val="0"/>
        <w:suppressLineNumbers w:val="0"/>
        <w:autoSpaceDE w:val="0"/>
        <w:autoSpaceDN/>
        <w:spacing w:before="0" w:beforeAutospacing="0" w:line="576" w:lineRule="exact"/>
        <w:ind w:left="0" w:firstLine="624"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spacing w:val="-4"/>
          <w:kern w:val="0"/>
          <w:sz w:val="32"/>
          <w:szCs w:val="32"/>
        </w:rPr>
        <w:t>根据《202</w:t>
      </w:r>
      <w:r>
        <w:rPr>
          <w:rFonts w:hint="eastAsia" w:ascii="仿宋_GB2312" w:eastAsia="仿宋_GB2312" w:cs="仿宋_GB2312"/>
          <w:color w:val="000000"/>
          <w:spacing w:val="-4"/>
          <w:kern w:val="0"/>
          <w:sz w:val="32"/>
          <w:szCs w:val="32"/>
          <w:lang w:val="en-US" w:eastAsia="zh-CN"/>
        </w:rPr>
        <w:t>1</w:t>
      </w:r>
      <w:r>
        <w:rPr>
          <w:rFonts w:hint="default" w:ascii="仿宋_GB2312" w:hAnsi="宋体" w:eastAsia="仿宋_GB2312" w:cs="仿宋_GB2312"/>
          <w:color w:val="000000"/>
          <w:spacing w:val="-4"/>
          <w:kern w:val="0"/>
          <w:sz w:val="32"/>
          <w:szCs w:val="32"/>
        </w:rPr>
        <w:t>年红原县部门支出绩效评价指标体系》评分得分90分，部门整体支出绩效为</w:t>
      </w:r>
      <w:r>
        <w:rPr>
          <w:rFonts w:hint="eastAsia" w:ascii="宋体" w:hAnsi="宋体" w:eastAsia="宋体" w:cs="宋体"/>
          <w:color w:val="000000"/>
          <w:spacing w:val="-4"/>
          <w:kern w:val="0"/>
          <w:sz w:val="32"/>
          <w:szCs w:val="32"/>
        </w:rPr>
        <w:t>“</w:t>
      </w:r>
      <w:r>
        <w:rPr>
          <w:rFonts w:hint="default" w:ascii="仿宋_GB2312" w:hAnsi="宋体" w:eastAsia="仿宋_GB2312" w:cs="仿宋_GB2312"/>
          <w:color w:val="000000"/>
          <w:spacing w:val="-4"/>
          <w:kern w:val="0"/>
          <w:sz w:val="32"/>
          <w:szCs w:val="32"/>
        </w:rPr>
        <w:t>好</w:t>
      </w:r>
      <w:r>
        <w:rPr>
          <w:rFonts w:hint="eastAsia" w:ascii="宋体" w:hAnsi="宋体" w:eastAsia="宋体" w:cs="宋体"/>
          <w:color w:val="000000"/>
          <w:spacing w:val="-4"/>
          <w:kern w:val="0"/>
          <w:sz w:val="32"/>
          <w:szCs w:val="32"/>
        </w:rPr>
        <w:t>”</w:t>
      </w:r>
      <w:r>
        <w:rPr>
          <w:rFonts w:hint="default" w:ascii="仿宋_GB2312" w:hAnsi="宋体" w:eastAsia="仿宋_GB2312" w:cs="仿宋_GB2312"/>
          <w:color w:val="000000"/>
          <w:spacing w:val="-4"/>
          <w:kern w:val="0"/>
          <w:sz w:val="32"/>
          <w:szCs w:val="32"/>
        </w:rPr>
        <w:t>。</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center"/>
      </w:pPr>
      <w:r>
        <w:rPr>
          <w:rStyle w:val="14"/>
          <w:sz w:val="39"/>
          <w:szCs w:val="39"/>
          <w:shd w:val="clear" w:fill="FFFFFF"/>
        </w:rPr>
        <w:t>第三部分 名词解释</w:t>
      </w:r>
    </w:p>
    <w:p>
      <w:pPr>
        <w:pStyle w:val="11"/>
        <w:keepNext w:val="0"/>
        <w:keepLines w:val="0"/>
        <w:widowControl/>
        <w:suppressLineNumbers w:val="0"/>
        <w:spacing w:before="0" w:beforeAutospacing="0"/>
        <w:ind w:left="0"/>
        <w:jc w:val="left"/>
      </w:pPr>
      <w:r>
        <w:rPr>
          <w:shd w:val="clear" w:fill="FFFFFF"/>
        </w:rPr>
        <w:t> </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1.财政拨款收入：指单位从同级财政部门取得的财政预算资金。</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2.事业收入：指事业单位开展专业业务活动及辅助活动取得的收入。如</w:t>
      </w:r>
      <w:r>
        <w:rPr>
          <w:rFonts w:hint="eastAsia" w:ascii="宋体" w:hAnsi="宋体" w:eastAsia="宋体" w:cs="宋体"/>
          <w:color w:val="000000"/>
          <w:kern w:val="0"/>
          <w:sz w:val="32"/>
          <w:szCs w:val="32"/>
          <w:shd w:val="clear" w:fill="FFFFFF"/>
        </w:rPr>
        <w:t>…</w:t>
      </w:r>
      <w:r>
        <w:rPr>
          <w:rFonts w:hint="default" w:ascii="仿宋_GB2312" w:hAnsi="宋体" w:eastAsia="仿宋_GB2312" w:cs="仿宋_GB2312"/>
          <w:color w:val="000000"/>
          <w:kern w:val="0"/>
          <w:sz w:val="32"/>
          <w:szCs w:val="32"/>
          <w:shd w:val="clear" w:fill="FFFFFF"/>
        </w:rPr>
        <w:t>（二级预算单位事业收入情况）等。</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3.经营收入：指事业单位在专业业务活动及其辅助活动之外开展非独立核算经营活动取得的收入。如</w:t>
      </w:r>
      <w:r>
        <w:rPr>
          <w:rFonts w:hint="eastAsia" w:ascii="宋体" w:hAnsi="宋体" w:eastAsia="宋体" w:cs="宋体"/>
          <w:color w:val="000000"/>
          <w:kern w:val="0"/>
          <w:sz w:val="32"/>
          <w:szCs w:val="32"/>
          <w:shd w:val="clear" w:fill="FFFFFF"/>
        </w:rPr>
        <w:t>…</w:t>
      </w:r>
      <w:r>
        <w:rPr>
          <w:rFonts w:hint="default" w:ascii="仿宋_GB2312" w:hAnsi="宋体" w:eastAsia="仿宋_GB2312" w:cs="仿宋_GB2312"/>
          <w:color w:val="000000"/>
          <w:kern w:val="0"/>
          <w:sz w:val="32"/>
          <w:szCs w:val="32"/>
          <w:shd w:val="clear" w:fill="FFFFFF"/>
        </w:rPr>
        <w:t>（二级预算单位经营收入情况）等。</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4.其他收入：指单位取得的除上述收入以外的各项收入。主要是</w:t>
      </w:r>
      <w:r>
        <w:rPr>
          <w:rFonts w:hint="eastAsia" w:ascii="宋体" w:hAnsi="宋体" w:eastAsia="宋体" w:cs="宋体"/>
          <w:color w:val="000000"/>
          <w:kern w:val="0"/>
          <w:sz w:val="32"/>
          <w:szCs w:val="32"/>
          <w:shd w:val="clear" w:fill="FFFFFF"/>
        </w:rPr>
        <w:t>…</w:t>
      </w:r>
      <w:r>
        <w:rPr>
          <w:rFonts w:hint="default" w:ascii="仿宋_GB2312" w:hAnsi="宋体" w:eastAsia="仿宋_GB2312" w:cs="仿宋_GB2312"/>
          <w:color w:val="000000"/>
          <w:kern w:val="0"/>
          <w:sz w:val="32"/>
          <w:szCs w:val="32"/>
          <w:shd w:val="clear" w:fill="FFFFFF"/>
        </w:rPr>
        <w:t>（收入类型）等。</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5.使用非财政拨款结余：指事业单位使用以前年度积累的非财政拨款结余弥补当年收支差额的金额。</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6.年初结转和结余：指以前年度尚未完成、结转到本年按有关规定继续使用的资金。</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7.结余分配：指事业单位按照会计制度规定缴纳的所得税、提取的专用结余以及转入非财政拨款结余的金额等。</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8.年末结转和结余：指单位按有关规定结转到下年或以后年度继续使用的资金。</w:t>
      </w:r>
    </w:p>
    <w:p>
      <w:pPr>
        <w:keepNext w:val="0"/>
        <w:keepLines w:val="0"/>
        <w:widowControl w:val="0"/>
        <w:suppressLineNumbers w:val="0"/>
        <w:autoSpaceDE w:val="0"/>
        <w:autoSpaceDN/>
        <w:spacing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rPr>
        <w:t>9.一般公共服务:指单位针对公共事务的服务资金</w:t>
      </w:r>
    </w:p>
    <w:p>
      <w:pPr>
        <w:keepNext w:val="0"/>
        <w:keepLines w:val="0"/>
        <w:widowControl w:val="0"/>
        <w:suppressLineNumbers w:val="0"/>
        <w:autoSpaceDE w:val="0"/>
        <w:autoSpaceDN/>
        <w:spacing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rPr>
        <w:t>10.社会保障和就业：保障劳动者基本生活不受影响，以及保障再就业资金。</w:t>
      </w:r>
    </w:p>
    <w:p>
      <w:pPr>
        <w:keepNext w:val="0"/>
        <w:keepLines w:val="0"/>
        <w:widowControl w:val="0"/>
        <w:suppressLineNumbers w:val="0"/>
        <w:autoSpaceDE w:val="0"/>
        <w:autoSpaceDN/>
        <w:spacing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rPr>
        <w:t>11.医疗卫生指：保障和提高人民健康、治疗疾病和受伤人员补助。</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rPr>
        <w:t>12.住房保障：为住房困难家庭所提供的住房。</w:t>
      </w:r>
      <w:r>
        <w:rPr>
          <w:rStyle w:val="16"/>
          <w:rFonts w:hint="default" w:ascii="仿宋_GB2312" w:hAnsi="Times New Roman" w:eastAsia="仿宋_GB2312" w:cs="仿宋_GB2312"/>
          <w:b/>
          <w:bCs/>
          <w:color w:val="000000"/>
          <w:sz w:val="32"/>
          <w:szCs w:val="32"/>
          <w:shd w:val="clear" w:fill="FFFFFF"/>
        </w:rPr>
        <w:t>（解释本部门决算报表中全部功能分类科目至项级，请参照《2020年政府收支分类科目》增减内容。）</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13.基本支出：指为保障机构正常运转、完成日常工作任务而发生的人员支出和公用支出。</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14.项目支出：指在基本支出之外为完成特定行政任务和事业发展目标所发生的支出。</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15.经营支出：指事业单位在专业业务活动及其辅助活动之外开展非独立核算经营活动发生的支出。</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16.</w:t>
      </w:r>
      <w:r>
        <w:rPr>
          <w:rFonts w:hint="eastAsia" w:ascii="宋体" w:hAnsi="宋体" w:eastAsia="宋体" w:cs="宋体"/>
          <w:color w:val="000000"/>
          <w:kern w:val="0"/>
          <w:sz w:val="32"/>
          <w:szCs w:val="32"/>
          <w:shd w:val="clear" w:fill="FFFFFF"/>
        </w:rPr>
        <w:t>“</w:t>
      </w:r>
      <w:r>
        <w:rPr>
          <w:rFonts w:hint="default" w:ascii="仿宋_GB2312" w:hAnsi="宋体" w:eastAsia="仿宋_GB2312" w:cs="仿宋_GB2312"/>
          <w:color w:val="000000"/>
          <w:kern w:val="0"/>
          <w:sz w:val="32"/>
          <w:szCs w:val="32"/>
          <w:shd w:val="clear" w:fill="FFFFFF"/>
        </w:rPr>
        <w:t>三公</w:t>
      </w:r>
      <w:r>
        <w:rPr>
          <w:rFonts w:hint="eastAsia" w:ascii="宋体" w:hAnsi="宋体" w:eastAsia="宋体" w:cs="宋体"/>
          <w:color w:val="000000"/>
          <w:kern w:val="0"/>
          <w:sz w:val="32"/>
          <w:szCs w:val="32"/>
          <w:shd w:val="clear" w:fill="FFFFFF"/>
        </w:rPr>
        <w:t>”</w:t>
      </w:r>
      <w:r>
        <w:rPr>
          <w:rFonts w:hint="default" w:ascii="仿宋_GB2312" w:hAnsi="宋体" w:eastAsia="仿宋_GB2312" w:cs="仿宋_GB2312"/>
          <w:color w:val="000000"/>
          <w:kern w:val="0"/>
          <w:sz w:val="32"/>
          <w:szCs w:val="32"/>
          <w:shd w:val="clear" w:fill="FFFFFF"/>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5"/>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hAnsi="宋体" w:eastAsia="仿宋_GB2312" w:cs="仿宋_GB2312"/>
          <w:color w:val="000000"/>
          <w:kern w:val="0"/>
          <w:sz w:val="32"/>
          <w:szCs w:val="32"/>
        </w:rPr>
      </w:pPr>
      <w:r>
        <w:rPr>
          <w:rFonts w:hint="default" w:ascii="仿宋_GB2312" w:hAnsi="宋体" w:eastAsia="仿宋_GB2312" w:cs="仿宋_GB2312"/>
          <w:color w:val="000000"/>
          <w:kern w:val="0"/>
          <w:sz w:val="32"/>
          <w:szCs w:val="32"/>
          <w:shd w:val="clear" w:fill="FFFFFF"/>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5"/>
        <w:keepNext w:val="0"/>
        <w:keepLines w:val="0"/>
        <w:widowControl w:val="0"/>
        <w:suppressLineNumbers w:val="0"/>
        <w:autoSpaceDE w:val="0"/>
        <w:autoSpaceDN/>
        <w:spacing w:before="0" w:beforeAutospacing="0" w:line="576" w:lineRule="exact"/>
        <w:ind w:left="0" w:firstLine="643" w:firstLineChars="200"/>
        <w:jc w:val="left"/>
        <w:rPr>
          <w:rFonts w:hint="default" w:ascii="仿宋_GB2312" w:hAnsi="宋体" w:eastAsia="仿宋_GB2312" w:cs="仿宋_GB2312"/>
          <w:color w:val="000000"/>
          <w:kern w:val="0"/>
          <w:sz w:val="32"/>
          <w:szCs w:val="32"/>
        </w:rPr>
      </w:pPr>
      <w:r>
        <w:rPr>
          <w:rStyle w:val="16"/>
          <w:rFonts w:hint="default" w:ascii="仿宋_GB2312" w:hAnsi="Times New Roman" w:eastAsia="仿宋_GB2312" w:cs="仿宋_GB2312"/>
          <w:b/>
          <w:bCs/>
          <w:color w:val="000000"/>
          <w:sz w:val="32"/>
          <w:szCs w:val="32"/>
          <w:shd w:val="clear" w:fill="FFFFFF"/>
        </w:rPr>
        <w:t>（名词解释部分请根据各部门实际列支情况罗列，并根据本部门职责职能增减名词解释内容。）</w:t>
      </w:r>
    </w:p>
    <w:p>
      <w:pPr>
        <w:pStyle w:val="11"/>
        <w:keepNext w:val="0"/>
        <w:keepLines w:val="0"/>
        <w:widowControl/>
        <w:suppressLineNumbers w:val="0"/>
        <w:spacing w:before="0" w:beforeAutospacing="0"/>
        <w:ind w:left="0"/>
        <w:jc w:val="center"/>
      </w:pPr>
      <w:r>
        <w:rPr>
          <w:rStyle w:val="14"/>
          <w:sz w:val="39"/>
          <w:szCs w:val="39"/>
          <w:shd w:val="clear" w:fill="FFFFFF"/>
        </w:rPr>
        <w:t>第四部分 附件</w:t>
      </w:r>
    </w:p>
    <w:p>
      <w:pPr>
        <w:pStyle w:val="11"/>
        <w:keepNext w:val="0"/>
        <w:keepLines w:val="0"/>
        <w:widowControl/>
        <w:suppressLineNumbers w:val="0"/>
        <w:spacing w:before="0" w:beforeAutospacing="0"/>
        <w:ind w:left="0"/>
        <w:jc w:val="left"/>
      </w:pPr>
      <w:r>
        <w:rPr>
          <w:shd w:val="clear" w:fill="FFFFFF"/>
        </w:rPr>
        <w:t>附件</w:t>
      </w:r>
    </w:p>
    <w:p>
      <w:pPr>
        <w:pStyle w:val="11"/>
        <w:keepNext w:val="0"/>
        <w:keepLines w:val="0"/>
        <w:widowControl/>
        <w:suppressLineNumbers w:val="0"/>
        <w:spacing w:before="0" w:beforeAutospacing="0"/>
        <w:ind w:left="0"/>
        <w:jc w:val="center"/>
      </w:pPr>
      <w:r>
        <w:rPr>
          <w:sz w:val="39"/>
          <w:szCs w:val="39"/>
          <w:shd w:val="clear" w:fill="FFFFFF"/>
        </w:rPr>
        <w:t>2021年</w:t>
      </w:r>
      <w:r>
        <w:rPr>
          <w:rFonts w:hint="eastAsia"/>
          <w:sz w:val="39"/>
          <w:szCs w:val="39"/>
          <w:shd w:val="clear" w:fill="FFFFFF"/>
          <w:lang w:val="en-US" w:eastAsia="zh-CN"/>
        </w:rPr>
        <w:t>红原县残疾人联合会</w:t>
      </w:r>
      <w:r>
        <w:rPr>
          <w:sz w:val="39"/>
          <w:szCs w:val="39"/>
          <w:shd w:val="clear" w:fill="FFFFFF"/>
        </w:rPr>
        <w:t>整体绩效评价报告</w:t>
      </w:r>
    </w:p>
    <w:p>
      <w:pPr>
        <w:keepNext w:val="0"/>
        <w:keepLines w:val="0"/>
        <w:pageBreakBefore w:val="0"/>
        <w:widowControl/>
        <w:kinsoku/>
        <w:wordWrap/>
        <w:overflowPunct/>
        <w:topLinePunct w:val="0"/>
        <w:autoSpaceDE/>
        <w:autoSpaceDN/>
        <w:bidi w:val="0"/>
        <w:spacing w:line="576" w:lineRule="exact"/>
        <w:ind w:left="0"/>
        <w:jc w:val="center"/>
        <w:textAlignment w:val="auto"/>
        <w:outlineLvl w:val="0"/>
        <w:rPr>
          <w:rFonts w:ascii="方正小标宋简体" w:hAnsi="宋体" w:eastAsia="方正小标宋简体"/>
          <w:sz w:val="44"/>
          <w:szCs w:val="44"/>
        </w:rPr>
      </w:pPr>
    </w:p>
    <w:p>
      <w:pPr>
        <w:keepNext w:val="0"/>
        <w:keepLines w:val="0"/>
        <w:pageBreakBefore w:val="0"/>
        <w:widowControl/>
        <w:kinsoku/>
        <w:wordWrap/>
        <w:overflowPunct/>
        <w:topLinePunct w:val="0"/>
        <w:autoSpaceDE/>
        <w:autoSpaceDN/>
        <w:bidi w:val="0"/>
        <w:adjustRightInd w:val="0"/>
        <w:snapToGrid w:val="0"/>
        <w:spacing w:line="576" w:lineRule="exact"/>
        <w:ind w:left="0" w:firstLine="720"/>
        <w:jc w:val="left"/>
        <w:textAlignment w:val="auto"/>
        <w:outlineLvl w:val="0"/>
        <w:rPr>
          <w:rFonts w:hint="eastAsia" w:ascii="黑体" w:hAnsi="黑体" w:eastAsia="黑体" w:cs="黑体"/>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left="0" w:firstLine="720"/>
        <w:jc w:val="left"/>
        <w:textAlignment w:val="auto"/>
        <w:outlineLvl w:val="0"/>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rPr>
        <w:t>一、</w:t>
      </w:r>
      <w:r>
        <w:rPr>
          <w:rFonts w:hint="eastAsia" w:ascii="黑体" w:hAnsi="黑体" w:eastAsia="黑体" w:cs="黑体"/>
          <w:color w:val="000000"/>
          <w:kern w:val="0"/>
          <w:sz w:val="32"/>
          <w:szCs w:val="32"/>
          <w:lang w:val="zh-CN"/>
        </w:rPr>
        <w:t>单位概况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bidi="ar"/>
        </w:rPr>
        <w:t>本单位内设机构</w:t>
      </w:r>
      <w:r>
        <w:rPr>
          <w:rFonts w:hint="eastAsia" w:ascii="仿宋_GB2312" w:hAnsi="仿宋_GB2312" w:eastAsia="仿宋_GB2312" w:cs="仿宋_GB2312"/>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zh-CN" w:bidi="ar"/>
        </w:rPr>
        <w:t>个，为办公室、残疾人康复中心。</w:t>
      </w:r>
    </w:p>
    <w:p>
      <w:pPr>
        <w:keepNext w:val="0"/>
        <w:keepLines w:val="0"/>
        <w:pageBreakBefore w:val="0"/>
        <w:widowControl/>
        <w:numPr>
          <w:ilvl w:val="0"/>
          <w:numId w:val="7"/>
        </w:numPr>
        <w:kinsoku/>
        <w:wordWrap/>
        <w:overflowPunct/>
        <w:topLinePunct w:val="0"/>
        <w:autoSpaceDE/>
        <w:autoSpaceDN/>
        <w:bidi w:val="0"/>
        <w:adjustRightInd w:val="0"/>
        <w:snapToGrid w:val="0"/>
        <w:spacing w:line="576" w:lineRule="exact"/>
        <w:ind w:left="0" w:firstLine="720"/>
        <w:jc w:val="left"/>
        <w:textAlignment w:val="auto"/>
        <w:outlineLvl w:val="1"/>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000000"/>
          <w:kern w:val="0"/>
          <w:sz w:val="32"/>
          <w:szCs w:val="32"/>
          <w:lang w:val="zh-CN"/>
        </w:rPr>
        <w:t>机构职能。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1.组织和开展残疾人残疾人状况、致残原因和康复需求调查，掌握协调残疾人康复技术资源；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2.拟定和实施残疾人康复政策、工作规则、计划，指导和协调残疾人康复机构的业务；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3.组织开展各类残疾人康复和各类残疾人辅助器具开发、供应、服务工作；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4.知道残疾人康复行业协会的工作，开展学术交流，培训康复人才；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5.开展残疾人康复专项统计，总结推广残疾人康复先进工作经验；</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6.承担县残疾人康复工作办公室的日常工作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color w:val="000000"/>
          <w:kern w:val="0"/>
          <w:sz w:val="32"/>
          <w:szCs w:val="32"/>
          <w:lang w:val="zh-CN"/>
        </w:rPr>
      </w:pPr>
      <w:r>
        <w:rPr>
          <w:rFonts w:hint="eastAsia" w:ascii="楷体_GB2312" w:hAnsi="楷体_GB2312" w:eastAsia="楷体_GB2312" w:cs="楷体_GB2312"/>
          <w:b/>
          <w:bCs/>
          <w:color w:val="000000"/>
          <w:kern w:val="0"/>
          <w:sz w:val="32"/>
          <w:szCs w:val="32"/>
          <w:lang w:val="en-US" w:eastAsia="zh-CN"/>
        </w:rPr>
        <w:t>(三）</w:t>
      </w:r>
      <w:r>
        <w:rPr>
          <w:rFonts w:hint="eastAsia" w:ascii="楷体_GB2312" w:hAnsi="楷体_GB2312" w:eastAsia="楷体_GB2312" w:cs="楷体_GB2312"/>
          <w:b/>
          <w:bCs/>
          <w:color w:val="000000"/>
          <w:kern w:val="0"/>
          <w:sz w:val="32"/>
          <w:szCs w:val="32"/>
          <w:lang w:val="zh-CN"/>
        </w:rPr>
        <w:t>人员概况。</w:t>
      </w:r>
      <w:r>
        <w:rPr>
          <w:rFonts w:hint="eastAsia" w:ascii="仿宋_GB2312" w:hAnsi="仿宋_GB2312" w:eastAsia="仿宋_GB2312" w:cs="仿宋_GB2312"/>
          <w:color w:val="000000"/>
          <w:kern w:val="0"/>
          <w:sz w:val="32"/>
          <w:szCs w:val="32"/>
          <w:lang w:val="zh-CN"/>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sz w:val="32"/>
          <w:szCs w:val="32"/>
        </w:rPr>
        <w:t>编制为6人，其中</w:t>
      </w:r>
      <w:r>
        <w:rPr>
          <w:rFonts w:hint="eastAsia" w:ascii="仿宋_GB2312" w:hAnsi="仿宋_GB2312" w:eastAsia="仿宋_GB2312" w:cs="仿宋_GB2312"/>
          <w:sz w:val="32"/>
          <w:szCs w:val="32"/>
          <w:lang w:eastAsia="zh-CN"/>
        </w:rPr>
        <w:t>县残联编制</w:t>
      </w:r>
      <w:r>
        <w:rPr>
          <w:rFonts w:hint="eastAsia" w:ascii="仿宋_GB2312" w:hAnsi="仿宋_GB2312" w:eastAsia="仿宋_GB2312" w:cs="仿宋_GB2312"/>
          <w:sz w:val="32"/>
          <w:szCs w:val="32"/>
          <w:lang w:val="en-US" w:eastAsia="zh-CN"/>
        </w:rPr>
        <w:t>2人，属行政编制，</w:t>
      </w:r>
      <w:r>
        <w:rPr>
          <w:rFonts w:hint="eastAsia" w:ascii="仿宋_GB2312" w:hAnsi="仿宋_GB2312" w:eastAsia="仿宋_GB2312" w:cs="仿宋_GB2312"/>
          <w:sz w:val="32"/>
          <w:szCs w:val="32"/>
        </w:rPr>
        <w:t>专职理事长1人，专职副理事长1人</w:t>
      </w:r>
      <w:r>
        <w:rPr>
          <w:rFonts w:hint="eastAsia" w:ascii="仿宋_GB2312" w:hAnsi="仿宋_GB2312" w:eastAsia="仿宋_GB2312" w:cs="仿宋_GB2312"/>
          <w:sz w:val="32"/>
          <w:szCs w:val="32"/>
          <w:lang w:eastAsia="zh-CN"/>
        </w:rPr>
        <w:t>；县残疾人康复中心属下属</w:t>
      </w:r>
      <w:r>
        <w:rPr>
          <w:rFonts w:hint="eastAsia" w:ascii="仿宋_GB2312" w:hAnsi="仿宋_GB2312" w:eastAsia="仿宋_GB2312" w:cs="仿宋_GB2312"/>
          <w:sz w:val="32"/>
          <w:szCs w:val="32"/>
          <w:lang w:val="en-US" w:eastAsia="zh-CN"/>
        </w:rPr>
        <w:t>事业机构，编制</w:t>
      </w:r>
      <w:r>
        <w:rPr>
          <w:rFonts w:hint="eastAsia" w:ascii="仿宋_GB2312" w:hAnsi="仿宋_GB2312" w:eastAsia="仿宋_GB2312" w:cs="仿宋_GB2312"/>
          <w:sz w:val="32"/>
          <w:szCs w:val="32"/>
        </w:rPr>
        <w:t>共4人</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76" w:lineRule="exact"/>
        <w:ind w:left="0" w:firstLine="720"/>
        <w:jc w:val="left"/>
        <w:textAlignment w:val="auto"/>
        <w:outlineLvl w:val="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outlineLvl w:val="1"/>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（一）部门财政资金收入情况。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残疾人联合会</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szCs w:val="32"/>
          <w:lang w:val="en-US" w:eastAsia="zh-CN"/>
        </w:rPr>
        <w:t>3310455.40元</w:t>
      </w:r>
      <w:r>
        <w:rPr>
          <w:rFonts w:hint="eastAsia" w:ascii="仿宋_GB2312" w:hAnsi="仿宋_GB2312" w:eastAsia="仿宋_GB2312" w:cs="仿宋_GB2312"/>
          <w:color w:val="000000"/>
          <w:sz w:val="32"/>
          <w:szCs w:val="32"/>
        </w:rPr>
        <w:t>，其中：一般公共预算财政拨款收入</w:t>
      </w:r>
      <w:r>
        <w:rPr>
          <w:rFonts w:hint="eastAsia" w:ascii="仿宋_GB2312" w:hAnsi="仿宋_GB2312" w:eastAsia="仿宋_GB2312" w:cs="仿宋_GB2312"/>
          <w:color w:val="000000"/>
          <w:sz w:val="32"/>
          <w:szCs w:val="32"/>
          <w:lang w:val="en-US" w:eastAsia="zh-CN"/>
        </w:rPr>
        <w:t>3258155.40</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98.42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政府性基金预算财政拨款收入</w:t>
      </w:r>
      <w:r>
        <w:rPr>
          <w:rFonts w:hint="eastAsia" w:ascii="仿宋_GB2312" w:hAnsi="仿宋_GB2312" w:eastAsia="仿宋_GB2312" w:cs="仿宋_GB2312"/>
          <w:color w:val="000000"/>
          <w:sz w:val="32"/>
          <w:szCs w:val="32"/>
          <w:lang w:val="en-US" w:eastAsia="zh-CN"/>
        </w:rPr>
        <w:t>52300.00</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1.58</w:t>
      </w:r>
      <w:r>
        <w:rPr>
          <w:rFonts w:hint="eastAsia" w:ascii="仿宋_GB2312" w:hAnsi="仿宋_GB2312" w:eastAsia="仿宋_GB2312" w:cs="仿宋_GB2312"/>
          <w:color w:val="000000"/>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sz w:val="32"/>
          <w:szCs w:val="32"/>
          <w:lang w:val="en-US" w:eastAsia="zh-CN"/>
        </w:rPr>
        <w:t>2021年残疾人联合会</w:t>
      </w:r>
      <w:r>
        <w:rPr>
          <w:rFonts w:hint="eastAsia" w:ascii="仿宋_GB2312" w:hAnsi="仿宋_GB2312" w:eastAsia="仿宋_GB2312" w:cs="仿宋_GB2312"/>
          <w:color w:val="000000"/>
          <w:sz w:val="32"/>
          <w:szCs w:val="32"/>
        </w:rPr>
        <w:t>预算下达资金收入</w:t>
      </w:r>
      <w:r>
        <w:rPr>
          <w:rFonts w:hint="eastAsia" w:ascii="仿宋_GB2312" w:hAnsi="仿宋_GB2312" w:eastAsia="仿宋_GB2312" w:cs="仿宋_GB2312"/>
          <w:color w:val="000000"/>
          <w:sz w:val="32"/>
          <w:szCs w:val="32"/>
          <w:lang w:val="en-US" w:eastAsia="zh-CN"/>
        </w:rPr>
        <w:t>3310455.40</w:t>
      </w:r>
      <w:r>
        <w:rPr>
          <w:rFonts w:hint="eastAsia" w:ascii="仿宋_GB2312" w:hAnsi="仿宋_GB2312" w:eastAsia="仿宋_GB2312" w:cs="仿宋_GB2312"/>
          <w:color w:val="000000"/>
          <w:sz w:val="32"/>
          <w:szCs w:val="32"/>
        </w:rPr>
        <w:t>元，其中：一般公共预算财政拨款收入</w:t>
      </w:r>
      <w:r>
        <w:rPr>
          <w:rFonts w:hint="eastAsia" w:ascii="仿宋_GB2312" w:hAnsi="仿宋_GB2312" w:eastAsia="仿宋_GB2312" w:cs="仿宋_GB2312"/>
          <w:color w:val="000000"/>
          <w:sz w:val="32"/>
          <w:szCs w:val="32"/>
          <w:lang w:val="en-US" w:eastAsia="zh-CN"/>
        </w:rPr>
        <w:t>3258155.40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政府性基金预算财政拨款收入</w:t>
      </w:r>
      <w:r>
        <w:rPr>
          <w:rFonts w:hint="eastAsia" w:ascii="仿宋_GB2312" w:hAnsi="仿宋_GB2312" w:eastAsia="仿宋_GB2312" w:cs="仿宋_GB2312"/>
          <w:color w:val="000000"/>
          <w:sz w:val="32"/>
          <w:szCs w:val="32"/>
          <w:lang w:val="en-US" w:eastAsia="zh-CN"/>
        </w:rPr>
        <w:t>52300.00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jc w:val="left"/>
        <w:textAlignment w:val="auto"/>
        <w:outlineLvl w:val="1"/>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（二）部门财政资金支出情况。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残疾人联合会</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szCs w:val="32"/>
          <w:lang w:val="en-US" w:eastAsia="zh-CN"/>
        </w:rPr>
        <w:t>3375043.29</w:t>
      </w:r>
      <w:r>
        <w:rPr>
          <w:rFonts w:hint="eastAsia" w:ascii="仿宋_GB2312" w:hAnsi="仿宋_GB2312" w:eastAsia="仿宋_GB2312" w:cs="仿宋_GB2312"/>
          <w:color w:val="000000"/>
          <w:sz w:val="32"/>
          <w:szCs w:val="32"/>
        </w:rPr>
        <w:t>元，其中：基本支出</w:t>
      </w:r>
      <w:r>
        <w:rPr>
          <w:rFonts w:hint="eastAsia" w:ascii="仿宋_GB2312" w:hAnsi="仿宋_GB2312" w:eastAsia="仿宋_GB2312" w:cs="仿宋_GB2312"/>
          <w:color w:val="000000"/>
          <w:sz w:val="32"/>
          <w:szCs w:val="32"/>
          <w:lang w:val="en-US" w:eastAsia="zh-CN"/>
        </w:rPr>
        <w:t>1563308.10</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46.32</w:t>
      </w:r>
      <w:r>
        <w:rPr>
          <w:rFonts w:hint="eastAsia" w:ascii="仿宋_GB2312" w:hAnsi="仿宋_GB2312" w:eastAsia="仿宋_GB2312" w:cs="仿宋_GB2312"/>
          <w:color w:val="000000"/>
          <w:sz w:val="32"/>
          <w:szCs w:val="32"/>
        </w:rPr>
        <w:t>%(其中：人员经费</w:t>
      </w:r>
      <w:r>
        <w:rPr>
          <w:rFonts w:hint="eastAsia" w:ascii="仿宋_GB2312" w:hAnsi="仿宋_GB2312" w:eastAsia="仿宋_GB2312" w:cs="仿宋_GB2312"/>
          <w:color w:val="000000"/>
          <w:sz w:val="32"/>
          <w:szCs w:val="32"/>
          <w:lang w:val="en-US" w:eastAsia="zh-CN"/>
        </w:rPr>
        <w:t>1408728.26</w:t>
      </w:r>
      <w:r>
        <w:rPr>
          <w:rFonts w:hint="eastAsia" w:ascii="仿宋_GB2312" w:hAnsi="仿宋_GB2312" w:eastAsia="仿宋_GB2312" w:cs="仿宋_GB2312"/>
          <w:color w:val="000000"/>
          <w:sz w:val="32"/>
          <w:szCs w:val="32"/>
        </w:rPr>
        <w:t>元, 公用经费</w:t>
      </w:r>
      <w:r>
        <w:rPr>
          <w:rFonts w:hint="eastAsia" w:ascii="仿宋_GB2312" w:hAnsi="仿宋_GB2312" w:eastAsia="仿宋_GB2312" w:cs="仿宋_GB2312"/>
          <w:color w:val="000000"/>
          <w:sz w:val="32"/>
          <w:szCs w:val="32"/>
          <w:lang w:val="en-US" w:eastAsia="zh-CN"/>
        </w:rPr>
        <w:t>154579.84</w:t>
      </w:r>
      <w:r>
        <w:rPr>
          <w:rFonts w:hint="eastAsia" w:ascii="仿宋_GB2312" w:hAnsi="仿宋_GB2312" w:eastAsia="仿宋_GB2312" w:cs="仿宋_GB2312"/>
          <w:color w:val="000000"/>
          <w:sz w:val="32"/>
          <w:szCs w:val="32"/>
        </w:rPr>
        <w:t>元)；项目支出</w:t>
      </w:r>
      <w:r>
        <w:rPr>
          <w:rFonts w:hint="eastAsia" w:ascii="仿宋_GB2312" w:hAnsi="仿宋_GB2312" w:eastAsia="仿宋_GB2312" w:cs="仿宋_GB2312"/>
          <w:color w:val="000000"/>
          <w:sz w:val="32"/>
          <w:szCs w:val="32"/>
          <w:lang w:val="en-US" w:eastAsia="zh-CN"/>
        </w:rPr>
        <w:t>1811735.19</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53.68</w:t>
      </w:r>
      <w:r>
        <w:rPr>
          <w:rFonts w:hint="eastAsia" w:ascii="仿宋_GB2312" w:hAnsi="仿宋_GB2312" w:eastAsia="仿宋_GB2312" w:cs="仿宋_GB2312"/>
          <w:color w:val="000000"/>
          <w:sz w:val="32"/>
          <w:szCs w:val="32"/>
        </w:rPr>
        <w:t>%（主要用于</w:t>
      </w:r>
      <w:r>
        <w:rPr>
          <w:rFonts w:hint="eastAsia" w:ascii="仿宋_GB2312" w:hAnsi="仿宋_GB2312" w:eastAsia="仿宋_GB2312" w:cs="仿宋_GB2312"/>
          <w:color w:val="000000"/>
          <w:sz w:val="32"/>
          <w:szCs w:val="32"/>
          <w:lang w:eastAsia="zh-CN"/>
        </w:rPr>
        <w:t>残疾人康复、残疾人就业和扶贫及其他残疾人事业支出</w:t>
      </w:r>
      <w:r>
        <w:rPr>
          <w:rFonts w:hint="eastAsia" w:ascii="仿宋_GB2312" w:hAnsi="仿宋_GB2312" w:eastAsia="仿宋_GB2312" w:cs="仿宋_GB2312"/>
          <w:color w:val="000000"/>
          <w:sz w:val="32"/>
          <w:szCs w:val="32"/>
        </w:rPr>
        <w:t>等）。</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outlineLvl w:val="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三、部门财政支出管理情况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outlineLvl w:val="1"/>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（一）预算编制情况。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sz w:val="32"/>
          <w:szCs w:val="32"/>
          <w:lang w:val="zh-CN"/>
        </w:rPr>
        <w:t>我会</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lang w:val="zh-CN"/>
        </w:rPr>
        <w:t>年预算编制严格按照县财政《关于编制20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lang w:val="zh-CN"/>
        </w:rPr>
        <w:t>年县本级预算通知》相关精神，认真学习《预算法》及其实施条例等预算编制的法律、法规，掌握预算编制相关政策，及时与县编办等部门核对人员编制、实有人数、工资、车辆等信息，并实时更新单位基础信息数据库，准确编制部门预算，全面完整地反映部门真实收入情况。基本支出预算包括人员经费和日常公用经费两部分，采取人员经费按标准，公用经费按定额的方法客观编制基本支出预算。</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color w:val="000000"/>
          <w:kern w:val="0"/>
          <w:sz w:val="32"/>
          <w:szCs w:val="32"/>
          <w:lang w:val="zh-CN"/>
        </w:rPr>
      </w:pPr>
      <w:r>
        <w:rPr>
          <w:rFonts w:hint="eastAsia" w:ascii="楷体_GB2312" w:hAnsi="楷体_GB2312" w:eastAsia="楷体_GB2312" w:cs="楷体_GB2312"/>
          <w:b/>
          <w:bCs/>
          <w:color w:val="000000"/>
          <w:kern w:val="0"/>
          <w:sz w:val="32"/>
          <w:szCs w:val="32"/>
          <w:lang w:val="zh-CN"/>
        </w:rPr>
        <w:t>（二）执行管理情况。</w:t>
      </w:r>
      <w:r>
        <w:rPr>
          <w:rFonts w:hint="eastAsia" w:ascii="仿宋_GB2312" w:hAnsi="仿宋_GB2312" w:eastAsia="仿宋_GB2312" w:cs="仿宋_GB2312"/>
          <w:color w:val="000000"/>
          <w:kern w:val="0"/>
          <w:sz w:val="32"/>
          <w:szCs w:val="32"/>
          <w:lang w:val="zh-CN"/>
        </w:rPr>
        <w:tab/>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年度一般公共预算财政拨款基本支出</w:t>
      </w:r>
      <w:r>
        <w:rPr>
          <w:rFonts w:hint="eastAsia" w:ascii="仿宋_GB2312" w:hAnsi="仿宋_GB2312" w:eastAsia="仿宋_GB2312" w:cs="仿宋_GB2312"/>
          <w:color w:val="000000"/>
          <w:sz w:val="32"/>
          <w:szCs w:val="32"/>
          <w:lang w:val="en-US" w:eastAsia="zh-CN"/>
        </w:rPr>
        <w:t>3322743.29</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政府性基金预算财政拨款支出</w:t>
      </w:r>
      <w:r>
        <w:rPr>
          <w:rFonts w:hint="eastAsia" w:ascii="仿宋_GB2312" w:hAnsi="仿宋_GB2312" w:eastAsia="仿宋_GB2312" w:cs="仿宋_GB2312"/>
          <w:color w:val="000000"/>
          <w:sz w:val="32"/>
          <w:szCs w:val="32"/>
          <w:lang w:val="en-US" w:eastAsia="zh-CN"/>
        </w:rPr>
        <w:t>52300.00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，合计支出</w:t>
      </w:r>
      <w:r>
        <w:rPr>
          <w:rFonts w:hint="eastAsia" w:ascii="仿宋_GB2312" w:hAnsi="仿宋_GB2312" w:eastAsia="仿宋_GB2312" w:cs="仿宋_GB2312"/>
          <w:color w:val="000000"/>
          <w:sz w:val="32"/>
          <w:szCs w:val="32"/>
          <w:lang w:val="en-US" w:eastAsia="zh-CN"/>
        </w:rPr>
        <w:t>3375043.29元。</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其中：人员经费</w:t>
      </w:r>
      <w:r>
        <w:rPr>
          <w:rFonts w:hint="eastAsia" w:ascii="仿宋_GB2312" w:hAnsi="仿宋_GB2312" w:eastAsia="仿宋_GB2312" w:cs="仿宋_GB2312"/>
          <w:color w:val="000000"/>
          <w:sz w:val="32"/>
          <w:szCs w:val="32"/>
          <w:lang w:val="en-US" w:eastAsia="zh-CN"/>
        </w:rPr>
        <w:t>1408728.26</w:t>
      </w:r>
      <w:r>
        <w:rPr>
          <w:rFonts w:hint="eastAsia" w:ascii="仿宋_GB2312" w:hAnsi="仿宋_GB2312" w:eastAsia="仿宋_GB2312" w:cs="仿宋_GB2312"/>
          <w:color w:val="000000"/>
          <w:sz w:val="32"/>
          <w:szCs w:val="32"/>
        </w:rPr>
        <w:t>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szCs w:val="32"/>
          <w:lang w:val="en-US" w:eastAsia="zh-CN"/>
        </w:rPr>
        <w:t>154579.84</w:t>
      </w:r>
      <w:r>
        <w:rPr>
          <w:rFonts w:hint="eastAsia" w:ascii="仿宋_GB2312" w:hAnsi="仿宋_GB2312" w:eastAsia="仿宋_GB2312" w:cs="仿宋_GB2312"/>
          <w:color w:val="000000"/>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kinsoku/>
        <w:wordWrap/>
        <w:overflowPunct/>
        <w:topLinePunct w:val="0"/>
        <w:autoSpaceDE/>
        <w:autoSpaceDN/>
        <w:bidi w:val="0"/>
        <w:spacing w:line="576" w:lineRule="exact"/>
        <w:ind w:left="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年度“三公”经费财政拨款支出决算中，因公出国（境）费支出决算0元。公务用车购置及运行维护费支出决算</w:t>
      </w:r>
      <w:r>
        <w:rPr>
          <w:rFonts w:hint="eastAsia" w:ascii="仿宋_GB2312" w:hAnsi="仿宋_GB2312" w:eastAsia="仿宋_GB2312" w:cs="仿宋_GB2312"/>
          <w:color w:val="000000"/>
          <w:sz w:val="32"/>
          <w:szCs w:val="32"/>
          <w:lang w:val="en-US" w:eastAsia="zh-CN"/>
        </w:rPr>
        <w:t>19251.17</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元。具体情况如下：</w:t>
      </w:r>
    </w:p>
    <w:p>
      <w:pPr>
        <w:keepNext w:val="0"/>
        <w:keepLines w:val="0"/>
        <w:pageBreakBefore w:val="0"/>
        <w:kinsoku/>
        <w:wordWrap/>
        <w:overflowPunct/>
        <w:topLinePunct w:val="0"/>
        <w:autoSpaceDE/>
        <w:autoSpaceDN/>
        <w:bidi w:val="0"/>
        <w:spacing w:line="576" w:lineRule="exact"/>
        <w:ind w:left="0"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0元。全年安排因公出国（境）团组0次，出国（境）0人。</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19251.17</w:t>
      </w:r>
      <w:r>
        <w:rPr>
          <w:rFonts w:hint="eastAsia" w:ascii="仿宋_GB2312" w:hAnsi="仿宋_GB2312" w:eastAsia="仿宋_GB2312" w:cs="仿宋_GB2312"/>
          <w:color w:val="000000"/>
          <w:sz w:val="32"/>
          <w:szCs w:val="32"/>
        </w:rPr>
        <w:t>元。其中：</w:t>
      </w:r>
    </w:p>
    <w:p>
      <w:pPr>
        <w:keepNext w:val="0"/>
        <w:keepLines w:val="0"/>
        <w:pageBreakBefore w:val="0"/>
        <w:kinsoku/>
        <w:wordWrap/>
        <w:overflowPunct/>
        <w:topLinePunct w:val="0"/>
        <w:autoSpaceDE/>
        <w:autoSpaceDN/>
        <w:bidi w:val="0"/>
        <w:spacing w:line="576" w:lineRule="exact"/>
        <w:ind w:left="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color w:val="000000"/>
          <w:sz w:val="32"/>
          <w:szCs w:val="32"/>
        </w:rPr>
        <w:t>0元。全年按规定更新购置公务用车0辆，其中：轿车0辆、金额0元，越野车0辆、金额0元，载客汽车0辆、金额0元。</w:t>
      </w:r>
    </w:p>
    <w:p>
      <w:pPr>
        <w:keepNext w:val="0"/>
        <w:keepLines w:val="0"/>
        <w:pageBreakBefore w:val="0"/>
        <w:kinsoku/>
        <w:wordWrap/>
        <w:overflowPunct/>
        <w:topLinePunct w:val="0"/>
        <w:autoSpaceDE/>
        <w:autoSpaceDN/>
        <w:bidi w:val="0"/>
        <w:spacing w:line="576" w:lineRule="exact"/>
        <w:ind w:left="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19251.17</w:t>
      </w:r>
      <w:r>
        <w:rPr>
          <w:rFonts w:hint="eastAsia" w:ascii="仿宋_GB2312" w:hAnsi="仿宋_GB2312" w:eastAsia="仿宋_GB2312" w:cs="仿宋_GB2312"/>
          <w:color w:val="000000"/>
          <w:sz w:val="32"/>
          <w:szCs w:val="32"/>
        </w:rPr>
        <w:t>元。主要用于单位汽车所需的公务用车燃料费、维修费、过路过桥费、保险费等支出。</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公务用车购置及运行维护费支出决算比</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29948.83</w:t>
      </w:r>
      <w:r>
        <w:rPr>
          <w:rFonts w:hint="eastAsia" w:ascii="仿宋_GB2312" w:hAnsi="仿宋_GB2312" w:eastAsia="仿宋_GB2312" w:cs="仿宋_GB2312"/>
          <w:color w:val="000000"/>
          <w:sz w:val="32"/>
          <w:szCs w:val="32"/>
        </w:rPr>
        <w:t>元，主要原因</w:t>
      </w:r>
      <w:r>
        <w:rPr>
          <w:rFonts w:hint="eastAsia" w:ascii="仿宋_GB2312" w:hAnsi="仿宋_GB2312" w:eastAsia="仿宋_GB2312" w:cs="仿宋_GB2312"/>
          <w:color w:val="000000"/>
          <w:sz w:val="32"/>
          <w:szCs w:val="32"/>
          <w:lang w:eastAsia="zh-CN"/>
        </w:rPr>
        <w:t>是</w:t>
      </w:r>
      <w:r>
        <w:rPr>
          <w:rFonts w:hint="eastAsia" w:ascii="仿宋_GB2312" w:eastAsia="仿宋_GB2312"/>
          <w:color w:val="000000"/>
          <w:sz w:val="32"/>
          <w:szCs w:val="32"/>
        </w:rPr>
        <w:t>厉行节约，规范开支。</w:t>
      </w:r>
    </w:p>
    <w:p>
      <w:pPr>
        <w:keepNext w:val="0"/>
        <w:keepLines w:val="0"/>
        <w:pageBreakBefore w:val="0"/>
        <w:numPr>
          <w:ilvl w:val="0"/>
          <w:numId w:val="0"/>
        </w:numPr>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lang w:val="en-US" w:eastAsia="zh-CN"/>
        </w:rPr>
        <w:t>3.</w:t>
      </w:r>
      <w:r>
        <w:rPr>
          <w:rFonts w:hint="eastAsia" w:ascii="仿宋_GB2312" w:hAnsi="仿宋_GB2312" w:eastAsia="仿宋_GB2312" w:cs="仿宋_GB2312"/>
          <w:b/>
          <w:color w:val="000000"/>
          <w:sz w:val="32"/>
          <w:szCs w:val="32"/>
        </w:rPr>
        <w:t>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2021年</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1811735.19</w:t>
      </w:r>
      <w:r>
        <w:rPr>
          <w:rFonts w:hint="eastAsia" w:ascii="仿宋_GB2312" w:hAnsi="仿宋_GB2312" w:eastAsia="仿宋_GB2312" w:cs="仿宋_GB2312"/>
          <w:color w:val="000000"/>
          <w:sz w:val="32"/>
          <w:szCs w:val="32"/>
        </w:rPr>
        <w:t>元，主要用于</w:t>
      </w:r>
      <w:r>
        <w:rPr>
          <w:rFonts w:hint="eastAsia" w:ascii="仿宋_GB2312" w:hAnsi="仿宋_GB2312" w:eastAsia="仿宋_GB2312" w:cs="仿宋_GB2312"/>
          <w:color w:val="000000"/>
          <w:sz w:val="32"/>
          <w:szCs w:val="32"/>
          <w:lang w:eastAsia="zh-CN"/>
        </w:rPr>
        <w:t>残疾人康复、残疾人就业和扶贫及其他残疾人事业支出</w:t>
      </w:r>
      <w:r>
        <w:rPr>
          <w:rFonts w:hint="eastAsia" w:ascii="仿宋_GB2312" w:hAnsi="仿宋_GB2312" w:eastAsia="仿宋_GB2312" w:cs="仿宋_GB2312"/>
          <w:color w:val="000000"/>
          <w:sz w:val="32"/>
          <w:szCs w:val="32"/>
        </w:rPr>
        <w:t>等</w:t>
      </w:r>
      <w:r>
        <w:rPr>
          <w:rFonts w:hint="eastAsia" w:ascii="仿宋_GB2312" w:hAnsi="仿宋_GB2312" w:eastAsia="仿宋_GB2312" w:cs="仿宋_GB2312"/>
          <w:color w:val="00000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left"/>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zh-CN"/>
        </w:rPr>
        <w:t>我会严格执行新的《预算法》，切实按照中央八项规定、省委九项规定管理制度，坚决执行财经和财务规章制度，按照《财务管理规定》、《财产管理规定》、《公务接待费管理规定》、《差旅费、会议费、培训费管理规定》、《公务用车管理办法》等规章制度管理本单位的财务收支活动，进一步明确了本会财政预算资金的审批手续和拨付程序、机关行政运行经费报审手续和报销程序，加强了财务管理，规范了收支行为，保证了本会财务管理工作规范有序进行。</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outlineLvl w:val="1"/>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（三）综合管理情况。</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会</w:t>
      </w:r>
      <w:r>
        <w:rPr>
          <w:rFonts w:hint="eastAsia" w:ascii="仿宋_GB2312" w:hAnsi="仿宋_GB2312" w:eastAsia="仿宋_GB2312" w:cs="仿宋_GB2312"/>
          <w:color w:val="000000"/>
          <w:sz w:val="32"/>
          <w:szCs w:val="32"/>
        </w:rPr>
        <w:t>在执行有关法律法规、财经纪律、财务规章制度的同时，结合自身实际情况，制度相关财务制度、政府采购管理制度、项目管理制度等。20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年所有物资采购均按政府采购要求执行，固定资产全部按要求录入资产管理系统并由专人负责管理。内控制度健全并执行良好，并及时向社会公开了本部门的预、决算</w:t>
      </w:r>
      <w:r>
        <w:rPr>
          <w:rFonts w:hint="eastAsia" w:ascii="仿宋_GB2312" w:hAnsi="仿宋_GB2312" w:eastAsia="仿宋_GB2312" w:cs="仿宋_GB2312"/>
          <w:color w:val="000000"/>
          <w:sz w:val="32"/>
          <w:szCs w:val="32"/>
          <w:lang w:val="zh-CN"/>
        </w:rPr>
        <w:t>，依法接受财政监督。</w:t>
      </w:r>
    </w:p>
    <w:p>
      <w:pPr>
        <w:keepNext w:val="0"/>
        <w:keepLines w:val="0"/>
        <w:pageBreakBefore w:val="0"/>
        <w:widowControl/>
        <w:kinsoku/>
        <w:wordWrap/>
        <w:overflowPunct/>
        <w:topLinePunct w:val="0"/>
        <w:autoSpaceDE/>
        <w:autoSpaceDN/>
        <w:bidi w:val="0"/>
        <w:adjustRightInd w:val="0"/>
        <w:snapToGrid w:val="0"/>
        <w:spacing w:line="576" w:lineRule="exact"/>
        <w:ind w:left="0" w:firstLine="720"/>
        <w:jc w:val="left"/>
        <w:textAlignment w:val="auto"/>
        <w:outlineLvl w:val="1"/>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（四）整体绩效。</w:t>
      </w:r>
    </w:p>
    <w:p>
      <w:pPr>
        <w:keepNext w:val="0"/>
        <w:keepLines w:val="0"/>
        <w:pageBreakBefore w:val="0"/>
        <w:widowControl/>
        <w:kinsoku/>
        <w:wordWrap/>
        <w:overflowPunct/>
        <w:topLinePunct w:val="0"/>
        <w:autoSpaceDE/>
        <w:autoSpaceDN/>
        <w:bidi w:val="0"/>
        <w:adjustRightInd w:val="0"/>
        <w:snapToGrid w:val="0"/>
        <w:spacing w:line="576" w:lineRule="exact"/>
        <w:ind w:left="0"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sz w:val="32"/>
          <w:szCs w:val="32"/>
          <w:lang w:val="zh-CN"/>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lang w:val="zh-CN"/>
        </w:rPr>
        <w:t>年度我会年初</w:t>
      </w:r>
      <w:r>
        <w:rPr>
          <w:rFonts w:hint="eastAsia" w:ascii="仿宋_GB2312" w:hAnsi="仿宋_GB2312" w:eastAsia="仿宋_GB2312" w:cs="仿宋_GB2312"/>
          <w:color w:val="000000"/>
          <w:sz w:val="32"/>
          <w:szCs w:val="32"/>
        </w:rPr>
        <w:t>根据</w:t>
      </w:r>
      <w:r>
        <w:rPr>
          <w:rFonts w:hint="eastAsia" w:ascii="仿宋_GB2312" w:hAnsi="仿宋_GB2312" w:eastAsia="仿宋_GB2312" w:cs="仿宋_GB2312"/>
          <w:color w:val="000000"/>
          <w:sz w:val="32"/>
          <w:szCs w:val="32"/>
          <w:lang w:val="zh-CN"/>
        </w:rPr>
        <w:t>工作规划和重点工作</w:t>
      </w:r>
      <w:r>
        <w:rPr>
          <w:rFonts w:hint="eastAsia" w:ascii="仿宋_GB2312" w:hAnsi="仿宋_GB2312" w:eastAsia="仿宋_GB2312" w:cs="仿宋_GB2312"/>
          <w:color w:val="000000"/>
          <w:sz w:val="32"/>
          <w:szCs w:val="32"/>
        </w:rPr>
        <w:t>规划</w:t>
      </w:r>
      <w:r>
        <w:rPr>
          <w:rFonts w:hint="eastAsia" w:ascii="仿宋_GB2312" w:hAnsi="仿宋_GB2312" w:eastAsia="仿宋_GB2312" w:cs="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keepNext w:val="0"/>
        <w:keepLines w:val="0"/>
        <w:pageBreakBefore w:val="0"/>
        <w:widowControl/>
        <w:kinsoku/>
        <w:wordWrap/>
        <w:overflowPunct/>
        <w:topLinePunct w:val="0"/>
        <w:autoSpaceDE/>
        <w:autoSpaceDN/>
        <w:bidi w:val="0"/>
        <w:adjustRightInd w:val="0"/>
        <w:snapToGrid w:val="0"/>
        <w:spacing w:line="576" w:lineRule="exact"/>
        <w:ind w:left="0" w:firstLine="720"/>
        <w:jc w:val="left"/>
        <w:textAlignment w:val="auto"/>
        <w:outlineLvl w:val="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left="0" w:firstLine="720"/>
        <w:jc w:val="left"/>
        <w:textAlignment w:val="auto"/>
        <w:outlineLvl w:val="1"/>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（一）评价结论。</w:t>
      </w:r>
    </w:p>
    <w:p>
      <w:pPr>
        <w:keepNext w:val="0"/>
        <w:keepLines w:val="0"/>
        <w:pageBreakBefore w:val="0"/>
        <w:widowControl/>
        <w:kinsoku/>
        <w:wordWrap/>
        <w:overflowPunct/>
        <w:topLinePunct w:val="0"/>
        <w:autoSpaceDE/>
        <w:autoSpaceDN/>
        <w:bidi w:val="0"/>
        <w:adjustRightInd w:val="0"/>
        <w:snapToGrid w:val="0"/>
        <w:spacing w:line="576" w:lineRule="exact"/>
        <w:ind w:left="0" w:firstLine="720"/>
        <w:jc w:val="left"/>
        <w:textAlignment w:val="auto"/>
        <w:outlineLvl w:val="1"/>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sz w:val="32"/>
          <w:szCs w:val="32"/>
          <w:lang w:val="zh-CN"/>
        </w:rPr>
        <w:t>根据《20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lang w:val="zh-CN"/>
        </w:rPr>
        <w:t>年红原县部门支出绩效评价指标体系》评分得分</w:t>
      </w:r>
      <w:r>
        <w:rPr>
          <w:rFonts w:hint="eastAsia" w:ascii="仿宋_GB2312" w:hAnsi="仿宋_GB2312" w:eastAsia="仿宋_GB2312" w:cs="仿宋_GB2312"/>
          <w:color w:val="000000"/>
          <w:sz w:val="32"/>
          <w:szCs w:val="32"/>
          <w:lang w:val="en-US" w:eastAsia="zh-CN"/>
        </w:rPr>
        <w:t>98</w:t>
      </w:r>
      <w:r>
        <w:rPr>
          <w:rFonts w:hint="eastAsia" w:ascii="仿宋_GB2312" w:hAnsi="仿宋_GB2312" w:eastAsia="仿宋_GB2312" w:cs="仿宋_GB2312"/>
          <w:color w:val="000000"/>
          <w:sz w:val="32"/>
          <w:szCs w:val="32"/>
          <w:lang w:val="zh-CN"/>
        </w:rPr>
        <w:t>分，部门整体支出绩效为“好”。</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jc w:val="left"/>
        <w:textAlignment w:val="auto"/>
        <w:outlineLvl w:val="1"/>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（二）存在问题。</w:t>
      </w:r>
    </w:p>
    <w:p>
      <w:pPr>
        <w:keepNext w:val="0"/>
        <w:keepLines w:val="0"/>
        <w:pageBreakBefore w:val="0"/>
        <w:widowControl/>
        <w:kinsoku/>
        <w:wordWrap/>
        <w:overflowPunct/>
        <w:topLinePunct w:val="0"/>
        <w:autoSpaceDE/>
        <w:autoSpaceDN/>
        <w:bidi w:val="0"/>
        <w:adjustRightInd w:val="0"/>
        <w:snapToGrid w:val="0"/>
        <w:spacing w:line="576" w:lineRule="exact"/>
        <w:ind w:left="0" w:firstLine="800" w:firstLineChars="25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sz w:val="32"/>
          <w:szCs w:val="32"/>
          <w:lang w:val="zh-CN"/>
        </w:rPr>
        <w:t>一是要完善系统流程及规章制度；</w:t>
      </w:r>
      <w:r>
        <w:rPr>
          <w:rFonts w:hint="eastAsia" w:ascii="仿宋_GB2312" w:hAnsi="仿宋_GB2312" w:eastAsia="仿宋_GB2312" w:cs="仿宋_GB2312"/>
          <w:color w:val="333333"/>
          <w:sz w:val="32"/>
          <w:szCs w:val="32"/>
          <w:shd w:val="clear" w:color="auto" w:fill="FFFFFF"/>
        </w:rPr>
        <w:t>二是</w:t>
      </w:r>
      <w:r>
        <w:rPr>
          <w:rFonts w:hint="eastAsia" w:ascii="仿宋_GB2312" w:hAnsi="仿宋_GB2312" w:eastAsia="仿宋_GB2312" w:cs="仿宋_GB2312"/>
          <w:color w:val="333333"/>
          <w:sz w:val="32"/>
          <w:szCs w:val="32"/>
          <w:shd w:val="clear" w:color="auto" w:fill="FFFFFF"/>
          <w:lang w:eastAsia="zh-CN"/>
        </w:rPr>
        <w:t>要</w:t>
      </w:r>
      <w:r>
        <w:rPr>
          <w:rFonts w:hint="eastAsia" w:ascii="仿宋_GB2312" w:hAnsi="仿宋_GB2312" w:eastAsia="仿宋_GB2312" w:cs="仿宋_GB2312"/>
          <w:color w:val="333333"/>
          <w:sz w:val="32"/>
          <w:szCs w:val="32"/>
          <w:shd w:val="clear" w:color="auto" w:fill="FFFFFF"/>
        </w:rPr>
        <w:t>了解财政各项规定，严格按照规定执行，做好费用报销审核工作；三是推进项目资金的使用进度，提高资金使用效率；四是加强制度建设，将行动落实到实处。</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630" w:leftChars="0"/>
        <w:jc w:val="left"/>
        <w:textAlignment w:val="auto"/>
        <w:outlineLvl w:val="1"/>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（三）改进建议。</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640" w:firstLineChars="200"/>
        <w:jc w:val="left"/>
        <w:textAlignment w:val="auto"/>
        <w:outlineLvl w:val="1"/>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加强内控制度建设力度，建立内控长效机制，严格财务管理，加强财务监督，坚持厉行节约，控制“三公经费”支出，严格管理现金支出，加强财务人员业务培训，提高业务水平。</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640" w:firstLineChars="200"/>
        <w:jc w:val="left"/>
        <w:textAlignment w:val="auto"/>
        <w:outlineLvl w:val="1"/>
        <w:rPr>
          <w:rFonts w:hint="eastAsia" w:ascii="仿宋_GB2312" w:hAnsi="仿宋_GB2312" w:eastAsia="仿宋_GB2312" w:cs="仿宋_GB2312"/>
          <w:color w:val="333333"/>
          <w:kern w:val="0"/>
          <w:sz w:val="32"/>
          <w:szCs w:val="32"/>
        </w:rPr>
      </w:pP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640" w:firstLineChars="200"/>
        <w:jc w:val="left"/>
        <w:textAlignment w:val="auto"/>
        <w:outlineLvl w:val="1"/>
        <w:rPr>
          <w:rFonts w:hint="eastAsia" w:ascii="仿宋_GB2312" w:hAnsi="仿宋_GB2312" w:eastAsia="仿宋_GB2312" w:cs="仿宋_GB2312"/>
          <w:color w:val="333333"/>
          <w:kern w:val="0"/>
          <w:sz w:val="32"/>
          <w:szCs w:val="32"/>
        </w:rPr>
      </w:pP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640" w:firstLineChars="200"/>
        <w:jc w:val="left"/>
        <w:textAlignment w:val="auto"/>
        <w:outlineLvl w:val="1"/>
        <w:rPr>
          <w:rFonts w:hint="eastAsia" w:ascii="仿宋_GB2312" w:hAnsi="仿宋_GB2312" w:eastAsia="仿宋_GB2312" w:cs="仿宋_GB2312"/>
          <w:color w:val="333333"/>
          <w:kern w:val="0"/>
          <w:sz w:val="32"/>
          <w:szCs w:val="32"/>
        </w:rPr>
      </w:pPr>
    </w:p>
    <w:p>
      <w:pPr>
        <w:pStyle w:val="11"/>
        <w:keepNext w:val="0"/>
        <w:keepLines w:val="0"/>
        <w:widowControl/>
        <w:suppressLineNumbers w:val="0"/>
        <w:spacing w:before="0" w:beforeAutospacing="0"/>
        <w:ind w:left="0"/>
        <w:jc w:val="left"/>
      </w:pPr>
      <w:r>
        <w:rPr>
          <w:shd w:val="clear" w:fill="FFFFFF"/>
        </w:rPr>
        <w:t>附件</w:t>
      </w:r>
    </w:p>
    <w:p>
      <w:pPr>
        <w:pStyle w:val="11"/>
        <w:keepNext w:val="0"/>
        <w:keepLines w:val="0"/>
        <w:widowControl/>
        <w:suppressLineNumbers w:val="0"/>
        <w:spacing w:before="0" w:beforeAutospacing="0"/>
        <w:ind w:left="0"/>
        <w:jc w:val="center"/>
      </w:pPr>
      <w:r>
        <w:rPr>
          <w:sz w:val="36"/>
          <w:szCs w:val="36"/>
          <w:shd w:val="clear" w:fill="FFFFFF"/>
        </w:rPr>
        <w:t>2021年专项预算项目支出绩效自评报告范本</w:t>
      </w:r>
    </w:p>
    <w:p>
      <w:pPr>
        <w:pStyle w:val="11"/>
        <w:keepNext w:val="0"/>
        <w:keepLines w:val="0"/>
        <w:widowControl/>
        <w:suppressLineNumbers w:val="0"/>
        <w:spacing w:before="0" w:beforeAutospacing="0"/>
        <w:ind w:left="0"/>
        <w:jc w:val="center"/>
      </w:pPr>
      <w:r>
        <w:rPr>
          <w:shd w:val="clear" w:fill="FFFFFF"/>
        </w:rPr>
        <w:t>（主管部门自评）</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left"/>
      </w:pPr>
      <w:r>
        <w:rPr>
          <w:shd w:val="clear" w:fill="FFFFFF"/>
        </w:rPr>
        <w:t>一、项目概况</w:t>
      </w:r>
    </w:p>
    <w:p>
      <w:pPr>
        <w:pStyle w:val="11"/>
        <w:keepNext w:val="0"/>
        <w:keepLines w:val="0"/>
        <w:widowControl/>
        <w:suppressLineNumbers w:val="0"/>
        <w:spacing w:before="0" w:beforeAutospacing="0"/>
        <w:ind w:left="0"/>
        <w:jc w:val="left"/>
      </w:pPr>
      <w:r>
        <w:rPr>
          <w:rStyle w:val="14"/>
          <w:shd w:val="clear" w:fill="FFFFFF"/>
        </w:rPr>
        <w:t>（一）项目基本情况。</w:t>
      </w:r>
    </w:p>
    <w:p>
      <w:pPr>
        <w:pStyle w:val="11"/>
        <w:keepNext w:val="0"/>
        <w:keepLines w:val="0"/>
        <w:widowControl/>
        <w:suppressLineNumbers w:val="0"/>
        <w:spacing w:before="0" w:beforeAutospacing="0"/>
        <w:ind w:left="0"/>
        <w:jc w:val="left"/>
      </w:pPr>
      <w:r>
        <w:rPr>
          <w:shd w:val="clear" w:fill="FFFFFF"/>
        </w:rPr>
        <w:t>1．说明项目主管部门（单位）在该项目管理中的职能。</w:t>
      </w:r>
    </w:p>
    <w:p>
      <w:pPr>
        <w:pStyle w:val="11"/>
        <w:keepNext w:val="0"/>
        <w:keepLines w:val="0"/>
        <w:widowControl/>
        <w:suppressLineNumbers w:val="0"/>
        <w:spacing w:before="0" w:beforeAutospacing="0"/>
        <w:ind w:left="0"/>
        <w:jc w:val="left"/>
      </w:pPr>
      <w:r>
        <w:rPr>
          <w:shd w:val="clear" w:fill="FFFFFF"/>
        </w:rPr>
        <w:t>2．项目立项、资金申报的依据。</w:t>
      </w:r>
    </w:p>
    <w:p>
      <w:pPr>
        <w:pStyle w:val="11"/>
        <w:keepNext w:val="0"/>
        <w:keepLines w:val="0"/>
        <w:widowControl/>
        <w:suppressLineNumbers w:val="0"/>
        <w:spacing w:before="0" w:beforeAutospacing="0"/>
        <w:ind w:left="0"/>
        <w:jc w:val="left"/>
      </w:pPr>
      <w:r>
        <w:rPr>
          <w:shd w:val="clear" w:fill="FFFFFF"/>
        </w:rPr>
        <w:t>3．资金管理办法制定情况，资金支持具体项目的条件、范围与支持方式概况。</w:t>
      </w:r>
    </w:p>
    <w:p>
      <w:pPr>
        <w:pStyle w:val="11"/>
        <w:keepNext w:val="0"/>
        <w:keepLines w:val="0"/>
        <w:widowControl/>
        <w:suppressLineNumbers w:val="0"/>
        <w:spacing w:before="0" w:beforeAutospacing="0"/>
        <w:ind w:left="0"/>
        <w:jc w:val="left"/>
      </w:pPr>
      <w:r>
        <w:rPr>
          <w:shd w:val="clear" w:fill="FFFFFF"/>
        </w:rPr>
        <w:t>4．资金分配的原则及考虑因素。</w:t>
      </w:r>
    </w:p>
    <w:p>
      <w:pPr>
        <w:pStyle w:val="11"/>
        <w:keepNext w:val="0"/>
        <w:keepLines w:val="0"/>
        <w:widowControl/>
        <w:suppressLineNumbers w:val="0"/>
        <w:spacing w:before="0" w:beforeAutospacing="0"/>
        <w:ind w:left="0"/>
        <w:jc w:val="left"/>
      </w:pPr>
      <w:r>
        <w:rPr>
          <w:rStyle w:val="14"/>
          <w:shd w:val="clear" w:fill="FFFFFF"/>
        </w:rPr>
        <w:t>（二）项目绩效目标。</w:t>
      </w:r>
    </w:p>
    <w:p>
      <w:pPr>
        <w:pStyle w:val="11"/>
        <w:keepNext w:val="0"/>
        <w:keepLines w:val="0"/>
        <w:widowControl/>
        <w:suppressLineNumbers w:val="0"/>
        <w:spacing w:before="0" w:beforeAutospacing="0"/>
        <w:ind w:left="0"/>
        <w:jc w:val="left"/>
      </w:pPr>
      <w:r>
        <w:rPr>
          <w:shd w:val="clear" w:fill="FFFFFF"/>
        </w:rPr>
        <w:t>1．项目主要内容。</w:t>
      </w:r>
    </w:p>
    <w:p>
      <w:pPr>
        <w:pStyle w:val="11"/>
        <w:keepNext w:val="0"/>
        <w:keepLines w:val="0"/>
        <w:widowControl/>
        <w:suppressLineNumbers w:val="0"/>
        <w:spacing w:before="0" w:beforeAutospacing="0"/>
        <w:ind w:left="0"/>
        <w:jc w:val="left"/>
      </w:pPr>
      <w:r>
        <w:rPr>
          <w:shd w:val="clear" w:fill="FFFFFF"/>
        </w:rPr>
        <w:t>2．项目应实现的具体绩效目标，包括目标的量化、细化情况以及项目实施进度计划等。</w:t>
      </w:r>
    </w:p>
    <w:p>
      <w:pPr>
        <w:pStyle w:val="11"/>
        <w:keepNext w:val="0"/>
        <w:keepLines w:val="0"/>
        <w:widowControl/>
        <w:suppressLineNumbers w:val="0"/>
        <w:spacing w:before="0" w:beforeAutospacing="0"/>
        <w:ind w:left="0"/>
        <w:jc w:val="left"/>
      </w:pPr>
      <w:r>
        <w:rPr>
          <w:shd w:val="clear" w:fill="FFFFFF"/>
        </w:rPr>
        <w:t>3．分析评价申报内容是否与实际相符，申报目标是否合理可行。</w:t>
      </w:r>
    </w:p>
    <w:p>
      <w:pPr>
        <w:pStyle w:val="11"/>
        <w:keepNext w:val="0"/>
        <w:keepLines w:val="0"/>
        <w:widowControl/>
        <w:suppressLineNumbers w:val="0"/>
        <w:spacing w:before="0" w:beforeAutospacing="0"/>
        <w:ind w:left="0"/>
        <w:jc w:val="left"/>
      </w:pPr>
      <w:r>
        <w:rPr>
          <w:rStyle w:val="14"/>
          <w:shd w:val="clear" w:fill="FFFFFF"/>
        </w:rPr>
        <w:t>（三）项目自评步骤及方法。</w:t>
      </w:r>
    </w:p>
    <w:p>
      <w:pPr>
        <w:pStyle w:val="11"/>
        <w:keepNext w:val="0"/>
        <w:keepLines w:val="0"/>
        <w:widowControl/>
        <w:suppressLineNumbers w:val="0"/>
        <w:spacing w:before="0" w:beforeAutospacing="0"/>
        <w:ind w:left="0"/>
        <w:jc w:val="left"/>
      </w:pPr>
      <w:r>
        <w:rPr>
          <w:shd w:val="clear" w:fill="FFFFFF"/>
        </w:rPr>
        <w:t>说明项目绩效自评采用的组织实施步骤及方法。</w:t>
      </w:r>
    </w:p>
    <w:p>
      <w:pPr>
        <w:pStyle w:val="11"/>
        <w:keepNext w:val="0"/>
        <w:keepLines w:val="0"/>
        <w:widowControl/>
        <w:suppressLineNumbers w:val="0"/>
        <w:spacing w:before="0" w:beforeAutospacing="0"/>
        <w:ind w:left="0"/>
        <w:jc w:val="left"/>
      </w:pPr>
      <w:r>
        <w:rPr>
          <w:shd w:val="clear" w:fill="FFFFFF"/>
        </w:rPr>
        <w:t>二、项目资金申报及使用情况</w:t>
      </w:r>
    </w:p>
    <w:p>
      <w:pPr>
        <w:pStyle w:val="11"/>
        <w:keepNext w:val="0"/>
        <w:keepLines w:val="0"/>
        <w:widowControl/>
        <w:suppressLineNumbers w:val="0"/>
        <w:spacing w:before="0" w:beforeAutospacing="0"/>
        <w:ind w:left="0"/>
        <w:jc w:val="left"/>
      </w:pPr>
      <w:r>
        <w:rPr>
          <w:rStyle w:val="14"/>
          <w:shd w:val="clear" w:fill="FFFFFF"/>
        </w:rPr>
        <w:t>（一）项目资金申报及批复情况。</w:t>
      </w:r>
    </w:p>
    <w:p>
      <w:pPr>
        <w:pStyle w:val="11"/>
        <w:keepNext w:val="0"/>
        <w:keepLines w:val="0"/>
        <w:widowControl/>
        <w:suppressLineNumbers w:val="0"/>
        <w:spacing w:before="0" w:beforeAutospacing="0"/>
        <w:ind w:left="0"/>
        <w:jc w:val="left"/>
      </w:pPr>
      <w:r>
        <w:rPr>
          <w:shd w:val="clear" w:fill="FFFFFF"/>
        </w:rPr>
        <w:t>说明项目资金申报、批复及预算调整等程序的相关情况。</w:t>
      </w:r>
    </w:p>
    <w:p>
      <w:pPr>
        <w:pStyle w:val="11"/>
        <w:keepNext w:val="0"/>
        <w:keepLines w:val="0"/>
        <w:widowControl/>
        <w:suppressLineNumbers w:val="0"/>
        <w:spacing w:before="0" w:beforeAutospacing="0"/>
        <w:ind w:left="0"/>
        <w:jc w:val="left"/>
      </w:pPr>
      <w:r>
        <w:rPr>
          <w:rStyle w:val="14"/>
          <w:shd w:val="clear" w:fill="FFFFFF"/>
        </w:rPr>
        <w:t>（二）资金计划、到位及使用情况（可用表格形式反映）。</w:t>
      </w:r>
    </w:p>
    <w:p>
      <w:pPr>
        <w:pStyle w:val="11"/>
        <w:keepNext w:val="0"/>
        <w:keepLines w:val="0"/>
        <w:widowControl/>
        <w:suppressLineNumbers w:val="0"/>
        <w:spacing w:before="0" w:beforeAutospacing="0"/>
        <w:ind w:left="0"/>
        <w:jc w:val="left"/>
      </w:pPr>
      <w:r>
        <w:rPr>
          <w:shd w:val="clear" w:fill="FFFFFF"/>
        </w:rPr>
        <w:t>1．资金计划。在说明该项目全州资金计划的基础上，分项目大类或市（州）分别说明各类资金计划情况，包括中央、省、市（州）、县（市、区）财政资金、项目单位自筹、其他渠道资金（包括银行贷款及其他资金等）。</w:t>
      </w:r>
    </w:p>
    <w:p>
      <w:pPr>
        <w:pStyle w:val="11"/>
        <w:keepNext w:val="0"/>
        <w:keepLines w:val="0"/>
        <w:widowControl/>
        <w:suppressLineNumbers w:val="0"/>
        <w:spacing w:before="0" w:beforeAutospacing="0"/>
        <w:ind w:left="0"/>
        <w:jc w:val="left"/>
      </w:pPr>
      <w:r>
        <w:rPr>
          <w:shd w:val="clear" w:fill="FFFFFF"/>
        </w:rPr>
        <w:t>2．资金到位。汇总统计截止评价时点该项目全州资金到位情况。在此基础上分项目大类或市（州）统计各类资金到位情况，包括中央、省、市（州）、县（市、区）财政资金、项目单位自筹及其他渠道资金（包括银行贷款及其他资金等）。将资金到位情况与资金计划进行比对，并重点围绕资金到位率、到位及时性等进行评价，对未到位或到位不及时的情况作出分析说明。</w:t>
      </w:r>
    </w:p>
    <w:p>
      <w:pPr>
        <w:pStyle w:val="11"/>
        <w:keepNext w:val="0"/>
        <w:keepLines w:val="0"/>
        <w:widowControl/>
        <w:suppressLineNumbers w:val="0"/>
        <w:spacing w:before="0" w:beforeAutospacing="0"/>
        <w:ind w:left="0"/>
        <w:jc w:val="left"/>
      </w:pPr>
      <w:r>
        <w:rPr>
          <w:shd w:val="clear" w:fill="FFFFFF"/>
        </w:rPr>
        <w:t>3．资金使用。汇总统计截止评价时点该项目全省资金支出情况。在此基础上分项目大类或市（州）统计资金支出情况，并对资金使用的安全性、规范性及有效性进行重点分析，包括资金支付范围、支付标准、支付进度、支付依据等是否合规合法、是否与预算相符，并对自评中发现的相关问题进行分析说明。</w:t>
      </w:r>
    </w:p>
    <w:p>
      <w:pPr>
        <w:pStyle w:val="11"/>
        <w:keepNext w:val="0"/>
        <w:keepLines w:val="0"/>
        <w:widowControl/>
        <w:suppressLineNumbers w:val="0"/>
        <w:spacing w:before="0" w:beforeAutospacing="0"/>
        <w:ind w:left="0"/>
        <w:jc w:val="left"/>
      </w:pPr>
      <w:r>
        <w:rPr>
          <w:rStyle w:val="14"/>
          <w:shd w:val="clear" w:fill="FFFFFF"/>
        </w:rPr>
        <w:t>（三）项目财务管理情况。</w:t>
      </w:r>
    </w:p>
    <w:p>
      <w:pPr>
        <w:pStyle w:val="11"/>
        <w:keepNext w:val="0"/>
        <w:keepLines w:val="0"/>
        <w:widowControl/>
        <w:suppressLineNumbers w:val="0"/>
        <w:spacing w:before="0" w:beforeAutospacing="0"/>
        <w:ind w:left="0"/>
        <w:jc w:val="left"/>
      </w:pPr>
      <w:r>
        <w:rPr>
          <w:shd w:val="clear" w:fill="FFFFFF"/>
        </w:rPr>
        <w:t>总体评价各项目实施单位财务管理制度是否健全，是否严格执行财务管理制度，账务处理是否及时，会计核算是否规范等。</w:t>
      </w:r>
    </w:p>
    <w:p>
      <w:pPr>
        <w:pStyle w:val="11"/>
        <w:keepNext w:val="0"/>
        <w:keepLines w:val="0"/>
        <w:widowControl/>
        <w:suppressLineNumbers w:val="0"/>
        <w:spacing w:before="0" w:beforeAutospacing="0"/>
        <w:ind w:left="0"/>
        <w:jc w:val="left"/>
      </w:pPr>
      <w:r>
        <w:rPr>
          <w:shd w:val="clear" w:fill="FFFFFF"/>
        </w:rPr>
        <w:t>三、项目实施及管理情况</w:t>
      </w:r>
    </w:p>
    <w:p>
      <w:pPr>
        <w:pStyle w:val="11"/>
        <w:keepNext w:val="0"/>
        <w:keepLines w:val="0"/>
        <w:widowControl/>
        <w:suppressLineNumbers w:val="0"/>
        <w:spacing w:before="0" w:beforeAutospacing="0"/>
        <w:ind w:left="0"/>
        <w:jc w:val="left"/>
      </w:pPr>
      <w:r>
        <w:rPr>
          <w:shd w:val="clear" w:fill="FFFFFF"/>
        </w:rPr>
        <w:t>结合项目组织实施管理办法，重点围绕以下内容进行分析评价，并对自评中发现的问题分析说明。</w:t>
      </w:r>
    </w:p>
    <w:p>
      <w:pPr>
        <w:pStyle w:val="11"/>
        <w:keepNext w:val="0"/>
        <w:keepLines w:val="0"/>
        <w:widowControl/>
        <w:suppressLineNumbers w:val="0"/>
        <w:spacing w:before="0" w:beforeAutospacing="0"/>
        <w:ind w:left="0"/>
        <w:jc w:val="left"/>
      </w:pPr>
      <w:r>
        <w:rPr>
          <w:rStyle w:val="14"/>
          <w:shd w:val="clear" w:fill="FFFFFF"/>
        </w:rPr>
        <w:t>（一）项目组织架构及实施流程。</w:t>
      </w:r>
    </w:p>
    <w:p>
      <w:pPr>
        <w:pStyle w:val="11"/>
        <w:keepNext w:val="0"/>
        <w:keepLines w:val="0"/>
        <w:widowControl/>
        <w:suppressLineNumbers w:val="0"/>
        <w:spacing w:before="0" w:beforeAutospacing="0"/>
        <w:ind w:left="0"/>
        <w:jc w:val="left"/>
      </w:pPr>
      <w:r>
        <w:rPr>
          <w:rStyle w:val="14"/>
          <w:shd w:val="clear" w:fill="FFFFFF"/>
        </w:rPr>
        <w:t>（二）项目管理情况。</w:t>
      </w:r>
      <w:r>
        <w:rPr>
          <w:shd w:val="clear" w:fill="FFFFFF"/>
        </w:rPr>
        <w:t>结合项目特点，总体评价各项目实施单位执行相关法律法规及项目管理制度等情况，如招投标、政府采购、项目公示制等相关规定。</w:t>
      </w:r>
    </w:p>
    <w:p>
      <w:pPr>
        <w:pStyle w:val="11"/>
        <w:keepNext w:val="0"/>
        <w:keepLines w:val="0"/>
        <w:widowControl/>
        <w:suppressLineNumbers w:val="0"/>
        <w:spacing w:before="0" w:beforeAutospacing="0"/>
        <w:ind w:left="0"/>
        <w:jc w:val="left"/>
      </w:pPr>
      <w:r>
        <w:rPr>
          <w:rStyle w:val="14"/>
          <w:shd w:val="clear" w:fill="FFFFFF"/>
        </w:rPr>
        <w:t>（三）项目监管情况。</w:t>
      </w:r>
      <w:r>
        <w:rPr>
          <w:shd w:val="clear" w:fill="FFFFFF"/>
        </w:rPr>
        <w:t>说明项目主管部门为加强项目管理所采取的监管手段、监管程序、监管工作开展情况及实现的效果等。</w:t>
      </w:r>
    </w:p>
    <w:p>
      <w:pPr>
        <w:pStyle w:val="11"/>
        <w:keepNext w:val="0"/>
        <w:keepLines w:val="0"/>
        <w:widowControl/>
        <w:suppressLineNumbers w:val="0"/>
        <w:spacing w:before="0" w:beforeAutospacing="0"/>
        <w:ind w:left="0"/>
        <w:jc w:val="left"/>
      </w:pPr>
      <w:r>
        <w:rPr>
          <w:shd w:val="clear" w:fill="FFFFFF"/>
        </w:rPr>
        <w:t>四、项目绩效情况</w:t>
      </w:r>
    </w:p>
    <w:p>
      <w:pPr>
        <w:pStyle w:val="11"/>
        <w:keepNext w:val="0"/>
        <w:keepLines w:val="0"/>
        <w:widowControl/>
        <w:suppressLineNumbers w:val="0"/>
        <w:spacing w:before="0" w:beforeAutospacing="0"/>
        <w:ind w:left="0"/>
        <w:jc w:val="left"/>
      </w:pPr>
      <w:r>
        <w:rPr>
          <w:rStyle w:val="14"/>
          <w:shd w:val="clear" w:fill="FFFFFF"/>
        </w:rPr>
        <w:t>（一）项目完成情况。</w:t>
      </w:r>
    </w:p>
    <w:p>
      <w:pPr>
        <w:pStyle w:val="11"/>
        <w:keepNext w:val="0"/>
        <w:keepLines w:val="0"/>
        <w:widowControl/>
        <w:suppressLineNumbers w:val="0"/>
        <w:spacing w:before="0" w:beforeAutospacing="0"/>
        <w:ind w:left="0"/>
        <w:jc w:val="left"/>
      </w:pPr>
      <w:r>
        <w:rPr>
          <w:shd w:val="clear" w:fill="FFFFFF"/>
        </w:rPr>
        <w:t>包括项目完成数量、质量、时效、成本等情况，资金结余情况，违规记录等，对照项目计划完成目标，对截止评价时点的任务量完成、质量标准、进度计划、成本控制目标的实现程度进行评价，并进行分析说明。</w:t>
      </w:r>
    </w:p>
    <w:p>
      <w:pPr>
        <w:pStyle w:val="11"/>
        <w:keepNext w:val="0"/>
        <w:keepLines w:val="0"/>
        <w:widowControl/>
        <w:suppressLineNumbers w:val="0"/>
        <w:spacing w:before="0" w:beforeAutospacing="0"/>
        <w:ind w:left="0"/>
        <w:jc w:val="left"/>
      </w:pPr>
      <w:r>
        <w:rPr>
          <w:rStyle w:val="14"/>
          <w:shd w:val="clear" w:fill="FFFFFF"/>
        </w:rPr>
        <w:t>（二）项目效益情况。</w:t>
      </w:r>
    </w:p>
    <w:p>
      <w:pPr>
        <w:pStyle w:val="11"/>
        <w:keepNext w:val="0"/>
        <w:keepLines w:val="0"/>
        <w:widowControl/>
        <w:suppressLineNumbers w:val="0"/>
        <w:spacing w:before="0" w:beforeAutospacing="0"/>
        <w:ind w:left="0"/>
        <w:jc w:val="left"/>
      </w:pPr>
      <w:r>
        <w:rPr>
          <w:shd w:val="clear" w:fill="FFFFFF"/>
        </w:rPr>
        <w:t>从项目经济效益、社会效益、生态效益、可持续效益以及服务对象满意度等方面对项目效益进行全面分析评价。</w:t>
      </w:r>
    </w:p>
    <w:p>
      <w:pPr>
        <w:pStyle w:val="11"/>
        <w:keepNext w:val="0"/>
        <w:keepLines w:val="0"/>
        <w:widowControl/>
        <w:suppressLineNumbers w:val="0"/>
        <w:spacing w:before="0" w:beforeAutospacing="0"/>
        <w:ind w:left="0"/>
        <w:jc w:val="left"/>
      </w:pPr>
      <w:r>
        <w:rPr>
          <w:shd w:val="clear" w:fill="FFFFFF"/>
        </w:rPr>
        <w:t>五、评价结论及建议</w:t>
      </w:r>
    </w:p>
    <w:p>
      <w:pPr>
        <w:pStyle w:val="11"/>
        <w:keepNext w:val="0"/>
        <w:keepLines w:val="0"/>
        <w:widowControl/>
        <w:suppressLineNumbers w:val="0"/>
        <w:spacing w:before="0" w:beforeAutospacing="0"/>
        <w:ind w:left="0"/>
        <w:jc w:val="left"/>
      </w:pPr>
      <w:r>
        <w:rPr>
          <w:rStyle w:val="14"/>
          <w:shd w:val="clear" w:fill="FFFFFF"/>
        </w:rPr>
        <w:t>（一）评价结论。</w:t>
      </w:r>
    </w:p>
    <w:p>
      <w:pPr>
        <w:pStyle w:val="11"/>
        <w:keepNext w:val="0"/>
        <w:keepLines w:val="0"/>
        <w:widowControl/>
        <w:suppressLineNumbers w:val="0"/>
        <w:spacing w:before="0" w:beforeAutospacing="0"/>
        <w:ind w:left="0"/>
        <w:jc w:val="left"/>
      </w:pPr>
      <w:r>
        <w:rPr>
          <w:shd w:val="clear" w:fill="FFFFFF"/>
        </w:rPr>
        <w:t>结合项目自身特点、评价重点及管理办法等要求，围绕专项项目支出绩效评价指标体系对项目进行总体评价。</w:t>
      </w:r>
    </w:p>
    <w:p>
      <w:pPr>
        <w:pStyle w:val="11"/>
        <w:keepNext w:val="0"/>
        <w:keepLines w:val="0"/>
        <w:widowControl/>
        <w:suppressLineNumbers w:val="0"/>
        <w:spacing w:before="0" w:beforeAutospacing="0"/>
        <w:ind w:left="0"/>
        <w:jc w:val="left"/>
      </w:pPr>
      <w:r>
        <w:rPr>
          <w:rStyle w:val="14"/>
          <w:shd w:val="clear" w:fill="FFFFFF"/>
        </w:rPr>
        <w:t>（二）存在的问题。</w:t>
      </w:r>
    </w:p>
    <w:p>
      <w:pPr>
        <w:pStyle w:val="11"/>
        <w:keepNext w:val="0"/>
        <w:keepLines w:val="0"/>
        <w:widowControl/>
        <w:suppressLineNumbers w:val="0"/>
        <w:spacing w:before="0" w:beforeAutospacing="0"/>
        <w:ind w:left="0"/>
        <w:jc w:val="left"/>
      </w:pPr>
      <w:r>
        <w:rPr>
          <w:shd w:val="clear" w:fill="FFFFFF"/>
        </w:rPr>
        <w:t>结合自评情况，分析存在的问题及原因。 </w:t>
      </w:r>
    </w:p>
    <w:p>
      <w:pPr>
        <w:pStyle w:val="11"/>
        <w:keepNext w:val="0"/>
        <w:keepLines w:val="0"/>
        <w:widowControl/>
        <w:suppressLineNumbers w:val="0"/>
        <w:spacing w:before="0" w:beforeAutospacing="0"/>
        <w:ind w:left="0"/>
        <w:jc w:val="left"/>
      </w:pPr>
      <w:r>
        <w:rPr>
          <w:rStyle w:val="14"/>
          <w:shd w:val="clear" w:fill="FFFFFF"/>
        </w:rPr>
        <w:t>（三）相关建议。</w:t>
      </w:r>
    </w:p>
    <w:p>
      <w:pPr>
        <w:pStyle w:val="11"/>
        <w:keepNext w:val="0"/>
        <w:keepLines w:val="0"/>
        <w:widowControl/>
        <w:suppressLineNumbers w:val="0"/>
        <w:spacing w:before="0" w:beforeAutospacing="0"/>
        <w:ind w:left="0"/>
        <w:jc w:val="left"/>
      </w:pPr>
      <w:r>
        <w:rPr>
          <w:shd w:val="clear" w:fill="FFFFFF"/>
        </w:rPr>
        <w:t>针对项目自评中发现的问题，提出下一步改进完善的意见及有关政策性建议。</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left"/>
      </w:pPr>
      <w:r>
        <w:rPr>
          <w:shd w:val="clear" w:fill="FFFFFF"/>
        </w:rPr>
        <w:t>附表</w:t>
      </w:r>
    </w:p>
    <w:tbl>
      <w:tblPr>
        <w:tblStyle w:val="12"/>
        <w:tblW w:w="834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717"/>
        <w:gridCol w:w="1001"/>
        <w:gridCol w:w="1423"/>
        <w:gridCol w:w="1039"/>
        <w:gridCol w:w="1078"/>
        <w:gridCol w:w="208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5" w:hRule="atLeast"/>
          <w:tblCellSpacing w:w="0" w:type="dxa"/>
        </w:trPr>
        <w:tc>
          <w:tcPr>
            <w:tcW w:w="8345" w:type="dxa"/>
            <w:gridSpan w:val="6"/>
            <w:shd w:val="clear" w:color="auto" w:fill="auto"/>
            <w:noWrap/>
            <w:vAlign w:val="center"/>
          </w:tcPr>
          <w:p>
            <w:pPr>
              <w:pStyle w:val="11"/>
              <w:keepNext w:val="0"/>
              <w:keepLines w:val="0"/>
              <w:widowControl/>
              <w:suppressLineNumbers w:val="0"/>
              <w:jc w:val="center"/>
            </w:pPr>
            <w:r>
              <w:rPr>
                <w:rStyle w:val="14"/>
              </w:rPr>
              <w:t>2021年100万元以上（含）特定目标类部门预算项目绩效目标自评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56" w:hRule="atLeast"/>
          <w:tblCellSpacing w:w="0" w:type="dxa"/>
        </w:trPr>
        <w:tc>
          <w:tcPr>
            <w:tcW w:w="2718" w:type="dxa"/>
            <w:gridSpan w:val="2"/>
            <w:shd w:val="clear" w:color="auto" w:fill="auto"/>
            <w:noWrap/>
            <w:vAlign w:val="center"/>
          </w:tcPr>
          <w:p>
            <w:pPr>
              <w:pStyle w:val="11"/>
              <w:keepNext w:val="0"/>
              <w:keepLines w:val="0"/>
              <w:widowControl/>
              <w:suppressLineNumbers w:val="0"/>
              <w:jc w:val="center"/>
            </w:pPr>
            <w:r>
              <w:t>主管部门及代码</w:t>
            </w:r>
          </w:p>
        </w:tc>
        <w:tc>
          <w:tcPr>
            <w:tcW w:w="2462" w:type="dxa"/>
            <w:gridSpan w:val="2"/>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实施单位</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2718" w:type="dxa"/>
            <w:gridSpan w:val="2"/>
            <w:vMerge w:val="restart"/>
            <w:shd w:val="clear" w:color="auto" w:fill="auto"/>
            <w:noWrap/>
            <w:vAlign w:val="center"/>
          </w:tcPr>
          <w:p>
            <w:pPr>
              <w:pStyle w:val="11"/>
              <w:keepNext w:val="0"/>
              <w:keepLines w:val="0"/>
              <w:widowControl/>
              <w:suppressLineNumbers w:val="0"/>
              <w:jc w:val="center"/>
            </w:pPr>
            <w:r>
              <w:t>项目预算</w:t>
            </w:r>
          </w:p>
          <w:p>
            <w:pPr>
              <w:pStyle w:val="11"/>
              <w:keepNext w:val="0"/>
              <w:keepLines w:val="0"/>
              <w:widowControl/>
              <w:suppressLineNumbers w:val="0"/>
              <w:jc w:val="center"/>
            </w:pPr>
            <w:r>
              <w:t>执行情况</w:t>
            </w:r>
          </w:p>
          <w:p>
            <w:pPr>
              <w:pStyle w:val="11"/>
              <w:keepNext w:val="0"/>
              <w:keepLines w:val="0"/>
              <w:widowControl/>
              <w:suppressLineNumbers w:val="0"/>
              <w:jc w:val="center"/>
            </w:pPr>
            <w:r>
              <w:t>（万元）</w:t>
            </w:r>
          </w:p>
        </w:tc>
        <w:tc>
          <w:tcPr>
            <w:tcW w:w="1423" w:type="dxa"/>
            <w:shd w:val="clear" w:color="auto" w:fill="auto"/>
            <w:noWrap/>
            <w:vAlign w:val="center"/>
          </w:tcPr>
          <w:p>
            <w:pPr>
              <w:pStyle w:val="11"/>
              <w:keepNext w:val="0"/>
              <w:keepLines w:val="0"/>
              <w:widowControl/>
              <w:suppressLineNumbers w:val="0"/>
              <w:jc w:val="center"/>
            </w:pPr>
            <w:r>
              <w:t> 预算数：</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 执行数：</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5" w:hRule="atLeast"/>
          <w:tblCellSpacing w:w="0" w:type="dxa"/>
        </w:trPr>
        <w:tc>
          <w:tcPr>
            <w:tcW w:w="2718" w:type="dxa"/>
            <w:gridSpan w:val="2"/>
            <w:vMerge w:val="continue"/>
            <w:shd w:val="clear" w:color="auto" w:fill="auto"/>
            <w:noWrap/>
            <w:vAlign w:val="center"/>
          </w:tcPr>
          <w:p>
            <w:pPr>
              <w:rPr>
                <w:rFonts w:hint="eastAsia" w:ascii="宋体"/>
                <w:sz w:val="24"/>
                <w:szCs w:val="24"/>
              </w:rPr>
            </w:pPr>
          </w:p>
        </w:tc>
        <w:tc>
          <w:tcPr>
            <w:tcW w:w="1423" w:type="dxa"/>
            <w:shd w:val="clear" w:color="auto" w:fill="auto"/>
            <w:noWrap/>
            <w:vAlign w:val="center"/>
          </w:tcPr>
          <w:p>
            <w:pPr>
              <w:pStyle w:val="11"/>
              <w:keepNext w:val="0"/>
              <w:keepLines w:val="0"/>
              <w:widowControl/>
              <w:suppressLineNumbers w:val="0"/>
              <w:jc w:val="center"/>
            </w:pPr>
            <w:r>
              <w:t>其中：</w:t>
            </w:r>
          </w:p>
          <w:p>
            <w:pPr>
              <w:pStyle w:val="11"/>
              <w:keepNext w:val="0"/>
              <w:keepLines w:val="0"/>
              <w:widowControl/>
              <w:suppressLineNumbers w:val="0"/>
              <w:jc w:val="center"/>
            </w:pPr>
            <w:r>
              <w:t>财政拨款</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其中：</w:t>
            </w:r>
          </w:p>
          <w:p>
            <w:pPr>
              <w:pStyle w:val="11"/>
              <w:keepNext w:val="0"/>
              <w:keepLines w:val="0"/>
              <w:widowControl/>
              <w:suppressLineNumbers w:val="0"/>
              <w:jc w:val="center"/>
            </w:pPr>
            <w:r>
              <w:t>财政拨款</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2718" w:type="dxa"/>
            <w:gridSpan w:val="2"/>
            <w:vMerge w:val="continue"/>
            <w:shd w:val="clear" w:color="auto" w:fill="auto"/>
            <w:noWrap/>
            <w:vAlign w:val="center"/>
          </w:tcPr>
          <w:p>
            <w:pPr>
              <w:rPr>
                <w:rFonts w:hint="eastAsia" w:ascii="宋体"/>
                <w:sz w:val="24"/>
                <w:szCs w:val="24"/>
              </w:rPr>
            </w:pPr>
          </w:p>
        </w:tc>
        <w:tc>
          <w:tcPr>
            <w:tcW w:w="1423" w:type="dxa"/>
            <w:shd w:val="clear" w:color="auto" w:fill="auto"/>
            <w:noWrap/>
            <w:vAlign w:val="center"/>
          </w:tcPr>
          <w:p>
            <w:pPr>
              <w:pStyle w:val="11"/>
              <w:keepNext w:val="0"/>
              <w:keepLines w:val="0"/>
              <w:widowControl/>
              <w:suppressLineNumbers w:val="0"/>
              <w:jc w:val="center"/>
            </w:pPr>
            <w:r>
              <w:t>其他资金</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其他资金</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1" w:hRule="atLeast"/>
          <w:tblCellSpacing w:w="0" w:type="dxa"/>
        </w:trPr>
        <w:tc>
          <w:tcPr>
            <w:tcW w:w="1717" w:type="dxa"/>
            <w:vMerge w:val="restart"/>
            <w:shd w:val="clear" w:color="auto" w:fill="auto"/>
            <w:noWrap/>
            <w:vAlign w:val="center"/>
          </w:tcPr>
          <w:p>
            <w:pPr>
              <w:pStyle w:val="11"/>
              <w:keepNext w:val="0"/>
              <w:keepLines w:val="0"/>
              <w:widowControl/>
              <w:suppressLineNumbers w:val="0"/>
              <w:jc w:val="center"/>
            </w:pPr>
            <w:r>
              <w:t>年度总体目标</w:t>
            </w:r>
          </w:p>
          <w:p>
            <w:pPr>
              <w:pStyle w:val="11"/>
              <w:keepNext w:val="0"/>
              <w:keepLines w:val="0"/>
              <w:widowControl/>
              <w:suppressLineNumbers w:val="0"/>
              <w:jc w:val="center"/>
            </w:pPr>
            <w:r>
              <w:t>完成情况</w:t>
            </w:r>
          </w:p>
        </w:tc>
        <w:tc>
          <w:tcPr>
            <w:tcW w:w="3463" w:type="dxa"/>
            <w:gridSpan w:val="3"/>
            <w:shd w:val="clear" w:color="auto" w:fill="auto"/>
            <w:noWrap/>
            <w:vAlign w:val="center"/>
          </w:tcPr>
          <w:p>
            <w:pPr>
              <w:pStyle w:val="11"/>
              <w:keepNext w:val="0"/>
              <w:keepLines w:val="0"/>
              <w:widowControl/>
              <w:suppressLineNumbers w:val="0"/>
              <w:jc w:val="center"/>
            </w:pPr>
            <w:r>
              <w:t>预期目标</w:t>
            </w:r>
          </w:p>
        </w:tc>
        <w:tc>
          <w:tcPr>
            <w:tcW w:w="3165" w:type="dxa"/>
            <w:gridSpan w:val="2"/>
            <w:shd w:val="clear" w:color="auto" w:fill="auto"/>
            <w:noWrap/>
            <w:vAlign w:val="center"/>
          </w:tcPr>
          <w:p>
            <w:pPr>
              <w:pStyle w:val="11"/>
              <w:keepNext w:val="0"/>
              <w:keepLines w:val="0"/>
              <w:widowControl/>
              <w:suppressLineNumbers w:val="0"/>
              <w:jc w:val="center"/>
            </w:pPr>
            <w:r>
              <w:t>目标实际完成情况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5" w:hRule="atLeast"/>
          <w:tblCellSpacing w:w="0" w:type="dxa"/>
        </w:trPr>
        <w:tc>
          <w:tcPr>
            <w:tcW w:w="1717" w:type="dxa"/>
            <w:vMerge w:val="continue"/>
            <w:shd w:val="clear" w:color="auto" w:fill="auto"/>
            <w:noWrap/>
            <w:vAlign w:val="center"/>
          </w:tcPr>
          <w:p>
            <w:pPr>
              <w:rPr>
                <w:rFonts w:hint="eastAsia" w:ascii="宋体"/>
                <w:sz w:val="24"/>
                <w:szCs w:val="24"/>
              </w:rPr>
            </w:pPr>
          </w:p>
        </w:tc>
        <w:tc>
          <w:tcPr>
            <w:tcW w:w="3463" w:type="dxa"/>
            <w:gridSpan w:val="3"/>
            <w:shd w:val="clear" w:color="auto" w:fill="auto"/>
            <w:noWrap/>
            <w:vAlign w:val="center"/>
          </w:tcPr>
          <w:p>
            <w:pPr>
              <w:pStyle w:val="11"/>
              <w:keepNext w:val="0"/>
              <w:keepLines w:val="0"/>
              <w:widowControl/>
              <w:suppressLineNumbers w:val="0"/>
              <w:jc w:val="center"/>
            </w:pPr>
            <w:r>
              <w:t> </w:t>
            </w:r>
          </w:p>
        </w:tc>
        <w:tc>
          <w:tcPr>
            <w:tcW w:w="3165" w:type="dxa"/>
            <w:gridSpan w:val="2"/>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0" w:hRule="atLeast"/>
          <w:tblCellSpacing w:w="0" w:type="dxa"/>
        </w:trPr>
        <w:tc>
          <w:tcPr>
            <w:tcW w:w="1717" w:type="dxa"/>
            <w:vMerge w:val="restart"/>
            <w:shd w:val="clear" w:color="auto" w:fill="auto"/>
            <w:noWrap/>
            <w:vAlign w:val="center"/>
          </w:tcPr>
          <w:p>
            <w:pPr>
              <w:pStyle w:val="11"/>
              <w:keepNext w:val="0"/>
              <w:keepLines w:val="0"/>
              <w:widowControl/>
              <w:suppressLineNumbers w:val="0"/>
              <w:jc w:val="center"/>
            </w:pPr>
            <w:r>
              <w:t>年度绩效指标完成情况</w:t>
            </w:r>
          </w:p>
        </w:tc>
        <w:tc>
          <w:tcPr>
            <w:tcW w:w="1001" w:type="dxa"/>
            <w:shd w:val="clear" w:color="auto" w:fill="auto"/>
            <w:noWrap/>
            <w:vAlign w:val="center"/>
          </w:tcPr>
          <w:p>
            <w:pPr>
              <w:pStyle w:val="11"/>
              <w:keepNext w:val="0"/>
              <w:keepLines w:val="0"/>
              <w:widowControl/>
              <w:suppressLineNumbers w:val="0"/>
              <w:jc w:val="center"/>
            </w:pPr>
            <w:r>
              <w:t>一级</w:t>
            </w:r>
          </w:p>
          <w:p>
            <w:pPr>
              <w:pStyle w:val="11"/>
              <w:keepNext w:val="0"/>
              <w:keepLines w:val="0"/>
              <w:widowControl/>
              <w:suppressLineNumbers w:val="0"/>
              <w:jc w:val="center"/>
            </w:pPr>
            <w:r>
              <w:t>指标</w:t>
            </w:r>
          </w:p>
        </w:tc>
        <w:tc>
          <w:tcPr>
            <w:tcW w:w="1423" w:type="dxa"/>
            <w:shd w:val="clear" w:color="auto" w:fill="auto"/>
            <w:noWrap/>
            <w:vAlign w:val="center"/>
          </w:tcPr>
          <w:p>
            <w:pPr>
              <w:pStyle w:val="11"/>
              <w:keepNext w:val="0"/>
              <w:keepLines w:val="0"/>
              <w:widowControl/>
              <w:suppressLineNumbers w:val="0"/>
              <w:jc w:val="center"/>
            </w:pPr>
            <w:r>
              <w:t>二级</w:t>
            </w:r>
          </w:p>
          <w:p>
            <w:pPr>
              <w:pStyle w:val="11"/>
              <w:keepNext w:val="0"/>
              <w:keepLines w:val="0"/>
              <w:widowControl/>
              <w:suppressLineNumbers w:val="0"/>
              <w:jc w:val="center"/>
            </w:pPr>
            <w:r>
              <w:t>指标</w:t>
            </w:r>
          </w:p>
        </w:tc>
        <w:tc>
          <w:tcPr>
            <w:tcW w:w="1039" w:type="dxa"/>
            <w:shd w:val="clear" w:color="auto" w:fill="auto"/>
            <w:noWrap/>
            <w:vAlign w:val="center"/>
          </w:tcPr>
          <w:p>
            <w:pPr>
              <w:pStyle w:val="11"/>
              <w:keepNext w:val="0"/>
              <w:keepLines w:val="0"/>
              <w:widowControl/>
              <w:suppressLineNumbers w:val="0"/>
              <w:jc w:val="center"/>
            </w:pPr>
            <w:r>
              <w:t>三级</w:t>
            </w:r>
          </w:p>
          <w:p>
            <w:pPr>
              <w:pStyle w:val="11"/>
              <w:keepNext w:val="0"/>
              <w:keepLines w:val="0"/>
              <w:widowControl/>
              <w:suppressLineNumbers w:val="0"/>
              <w:jc w:val="center"/>
            </w:pPr>
            <w:r>
              <w:t>指标</w:t>
            </w:r>
          </w:p>
        </w:tc>
        <w:tc>
          <w:tcPr>
            <w:tcW w:w="1078" w:type="dxa"/>
            <w:shd w:val="clear" w:color="auto" w:fill="auto"/>
            <w:noWrap/>
            <w:vAlign w:val="center"/>
          </w:tcPr>
          <w:p>
            <w:pPr>
              <w:pStyle w:val="11"/>
              <w:keepNext w:val="0"/>
              <w:keepLines w:val="0"/>
              <w:widowControl/>
              <w:suppressLineNumbers w:val="0"/>
              <w:jc w:val="center"/>
            </w:pPr>
            <w:r>
              <w:t>预期指标值</w:t>
            </w:r>
          </w:p>
        </w:tc>
        <w:tc>
          <w:tcPr>
            <w:tcW w:w="2087" w:type="dxa"/>
            <w:shd w:val="clear" w:color="auto" w:fill="auto"/>
            <w:noWrap/>
            <w:vAlign w:val="center"/>
          </w:tcPr>
          <w:p>
            <w:pPr>
              <w:pStyle w:val="11"/>
              <w:keepNext w:val="0"/>
              <w:keepLines w:val="0"/>
              <w:widowControl/>
              <w:suppressLineNumbers w:val="0"/>
              <w:jc w:val="center"/>
            </w:pPr>
            <w:r>
              <w:t>实际完成指标值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717" w:type="dxa"/>
            <w:vMerge w:val="continue"/>
            <w:shd w:val="clear" w:color="auto" w:fill="auto"/>
            <w:noWrap/>
            <w:vAlign w:val="center"/>
          </w:tcPr>
          <w:p>
            <w:pPr>
              <w:rPr>
                <w:rFonts w:hint="eastAsia" w:ascii="宋体"/>
                <w:sz w:val="24"/>
                <w:szCs w:val="24"/>
              </w:rPr>
            </w:pPr>
          </w:p>
        </w:tc>
        <w:tc>
          <w:tcPr>
            <w:tcW w:w="1001" w:type="dxa"/>
            <w:vMerge w:val="restart"/>
            <w:shd w:val="clear" w:color="auto" w:fill="auto"/>
            <w:noWrap/>
            <w:vAlign w:val="center"/>
          </w:tcPr>
          <w:p>
            <w:pPr>
              <w:pStyle w:val="11"/>
              <w:keepNext w:val="0"/>
              <w:keepLines w:val="0"/>
              <w:widowControl/>
              <w:suppressLineNumbers w:val="0"/>
              <w:jc w:val="center"/>
            </w:pPr>
            <w:r>
              <w:t>完成</w:t>
            </w:r>
          </w:p>
          <w:p>
            <w:pPr>
              <w:pStyle w:val="11"/>
              <w:keepNext w:val="0"/>
              <w:keepLines w:val="0"/>
              <w:widowControl/>
              <w:suppressLineNumbers w:val="0"/>
              <w:jc w:val="center"/>
            </w:pPr>
            <w:r>
              <w:t>指标</w:t>
            </w:r>
          </w:p>
        </w:tc>
        <w:tc>
          <w:tcPr>
            <w:tcW w:w="1423" w:type="dxa"/>
            <w:shd w:val="clear" w:color="auto" w:fill="auto"/>
            <w:noWrap/>
            <w:vAlign w:val="center"/>
          </w:tcPr>
          <w:p>
            <w:pPr>
              <w:pStyle w:val="11"/>
              <w:keepNext w:val="0"/>
              <w:keepLines w:val="0"/>
              <w:widowControl/>
              <w:suppressLineNumbers w:val="0"/>
              <w:jc w:val="center"/>
            </w:pPr>
            <w:r>
              <w:t>数量指标</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 </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717" w:type="dxa"/>
            <w:vMerge w:val="continue"/>
            <w:shd w:val="clear" w:color="auto" w:fill="auto"/>
            <w:noWrap/>
            <w:vAlign w:val="center"/>
          </w:tcPr>
          <w:p>
            <w:pPr>
              <w:rPr>
                <w:rFonts w:hint="eastAsia" w:ascii="宋体"/>
                <w:sz w:val="24"/>
                <w:szCs w:val="24"/>
              </w:rPr>
            </w:pPr>
          </w:p>
        </w:tc>
        <w:tc>
          <w:tcPr>
            <w:tcW w:w="1001" w:type="dxa"/>
            <w:vMerge w:val="continue"/>
            <w:shd w:val="clear" w:color="auto" w:fill="auto"/>
            <w:noWrap/>
            <w:vAlign w:val="center"/>
          </w:tcPr>
          <w:p>
            <w:pPr>
              <w:rPr>
                <w:rFonts w:hint="eastAsia" w:ascii="宋体"/>
                <w:sz w:val="24"/>
                <w:szCs w:val="24"/>
              </w:rPr>
            </w:pPr>
          </w:p>
        </w:tc>
        <w:tc>
          <w:tcPr>
            <w:tcW w:w="1423" w:type="dxa"/>
            <w:shd w:val="clear" w:color="auto" w:fill="auto"/>
            <w:noWrap/>
            <w:vAlign w:val="center"/>
          </w:tcPr>
          <w:p>
            <w:pPr>
              <w:pStyle w:val="11"/>
              <w:keepNext w:val="0"/>
              <w:keepLines w:val="0"/>
              <w:widowControl/>
              <w:suppressLineNumbers w:val="0"/>
              <w:jc w:val="center"/>
            </w:pPr>
            <w:r>
              <w:t>质量指标</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 </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1717" w:type="dxa"/>
            <w:vMerge w:val="continue"/>
            <w:shd w:val="clear" w:color="auto" w:fill="auto"/>
            <w:noWrap/>
            <w:vAlign w:val="center"/>
          </w:tcPr>
          <w:p>
            <w:pPr>
              <w:rPr>
                <w:rFonts w:hint="eastAsia" w:ascii="宋体"/>
                <w:sz w:val="24"/>
                <w:szCs w:val="24"/>
              </w:rPr>
            </w:pPr>
          </w:p>
        </w:tc>
        <w:tc>
          <w:tcPr>
            <w:tcW w:w="1001" w:type="dxa"/>
            <w:vMerge w:val="continue"/>
            <w:shd w:val="clear" w:color="auto" w:fill="auto"/>
            <w:noWrap/>
            <w:vAlign w:val="center"/>
          </w:tcPr>
          <w:p>
            <w:pPr>
              <w:rPr>
                <w:rFonts w:hint="eastAsia" w:ascii="宋体"/>
                <w:sz w:val="24"/>
                <w:szCs w:val="24"/>
              </w:rPr>
            </w:pPr>
          </w:p>
        </w:tc>
        <w:tc>
          <w:tcPr>
            <w:tcW w:w="1423" w:type="dxa"/>
            <w:shd w:val="clear" w:color="auto" w:fill="auto"/>
            <w:noWrap/>
            <w:vAlign w:val="center"/>
          </w:tcPr>
          <w:p>
            <w:pPr>
              <w:pStyle w:val="11"/>
              <w:keepNext w:val="0"/>
              <w:keepLines w:val="0"/>
              <w:widowControl/>
              <w:suppressLineNumbers w:val="0"/>
              <w:jc w:val="center"/>
            </w:pPr>
            <w:r>
              <w:t>时效指标</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 </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17" w:type="dxa"/>
            <w:vMerge w:val="continue"/>
            <w:shd w:val="clear" w:color="auto" w:fill="auto"/>
            <w:noWrap/>
            <w:vAlign w:val="center"/>
          </w:tcPr>
          <w:p>
            <w:pPr>
              <w:rPr>
                <w:rFonts w:hint="eastAsia" w:ascii="宋体"/>
                <w:sz w:val="24"/>
                <w:szCs w:val="24"/>
              </w:rPr>
            </w:pPr>
          </w:p>
        </w:tc>
        <w:tc>
          <w:tcPr>
            <w:tcW w:w="1001" w:type="dxa"/>
            <w:vMerge w:val="continue"/>
            <w:shd w:val="clear" w:color="auto" w:fill="auto"/>
            <w:noWrap/>
            <w:vAlign w:val="center"/>
          </w:tcPr>
          <w:p>
            <w:pPr>
              <w:rPr>
                <w:rFonts w:hint="eastAsia" w:ascii="宋体"/>
                <w:sz w:val="24"/>
                <w:szCs w:val="24"/>
              </w:rPr>
            </w:pPr>
          </w:p>
        </w:tc>
        <w:tc>
          <w:tcPr>
            <w:tcW w:w="1423" w:type="dxa"/>
            <w:shd w:val="clear" w:color="auto" w:fill="auto"/>
            <w:noWrap/>
            <w:vAlign w:val="center"/>
          </w:tcPr>
          <w:p>
            <w:pPr>
              <w:pStyle w:val="11"/>
              <w:keepNext w:val="0"/>
              <w:keepLines w:val="0"/>
              <w:widowControl/>
              <w:suppressLineNumbers w:val="0"/>
              <w:jc w:val="center"/>
            </w:pPr>
            <w:r>
              <w:t>成本指标</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 </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17" w:type="dxa"/>
            <w:vMerge w:val="continue"/>
            <w:shd w:val="clear" w:color="auto" w:fill="auto"/>
            <w:noWrap/>
            <w:vAlign w:val="center"/>
          </w:tcPr>
          <w:p>
            <w:pPr>
              <w:rPr>
                <w:rFonts w:hint="eastAsia" w:ascii="宋体"/>
                <w:sz w:val="24"/>
                <w:szCs w:val="24"/>
              </w:rPr>
            </w:pPr>
          </w:p>
        </w:tc>
        <w:tc>
          <w:tcPr>
            <w:tcW w:w="1001" w:type="dxa"/>
            <w:vMerge w:val="restart"/>
            <w:shd w:val="clear" w:color="auto" w:fill="auto"/>
            <w:noWrap/>
            <w:vAlign w:val="center"/>
          </w:tcPr>
          <w:p>
            <w:pPr>
              <w:pStyle w:val="11"/>
              <w:keepNext w:val="0"/>
              <w:keepLines w:val="0"/>
              <w:widowControl/>
              <w:suppressLineNumbers w:val="0"/>
              <w:jc w:val="center"/>
            </w:pPr>
            <w:r>
              <w:t>效益</w:t>
            </w:r>
          </w:p>
          <w:p>
            <w:pPr>
              <w:pStyle w:val="11"/>
              <w:keepNext w:val="0"/>
              <w:keepLines w:val="0"/>
              <w:widowControl/>
              <w:suppressLineNumbers w:val="0"/>
              <w:jc w:val="center"/>
            </w:pPr>
            <w:r>
              <w:t>指标</w:t>
            </w:r>
          </w:p>
        </w:tc>
        <w:tc>
          <w:tcPr>
            <w:tcW w:w="1423" w:type="dxa"/>
            <w:shd w:val="clear" w:color="auto" w:fill="auto"/>
            <w:noWrap/>
            <w:vAlign w:val="center"/>
          </w:tcPr>
          <w:p>
            <w:pPr>
              <w:pStyle w:val="11"/>
              <w:keepNext w:val="0"/>
              <w:keepLines w:val="0"/>
              <w:widowControl/>
              <w:suppressLineNumbers w:val="0"/>
              <w:jc w:val="center"/>
            </w:pPr>
            <w:r>
              <w:t>经济效益指标</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 </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17" w:type="dxa"/>
            <w:vMerge w:val="continue"/>
            <w:shd w:val="clear" w:color="auto" w:fill="auto"/>
            <w:noWrap/>
            <w:vAlign w:val="center"/>
          </w:tcPr>
          <w:p>
            <w:pPr>
              <w:rPr>
                <w:rFonts w:hint="eastAsia" w:ascii="宋体"/>
                <w:sz w:val="24"/>
                <w:szCs w:val="24"/>
              </w:rPr>
            </w:pPr>
          </w:p>
        </w:tc>
        <w:tc>
          <w:tcPr>
            <w:tcW w:w="1001" w:type="dxa"/>
            <w:vMerge w:val="continue"/>
            <w:shd w:val="clear" w:color="auto" w:fill="auto"/>
            <w:noWrap/>
            <w:vAlign w:val="center"/>
          </w:tcPr>
          <w:p>
            <w:pPr>
              <w:rPr>
                <w:rFonts w:hint="eastAsia" w:ascii="宋体"/>
                <w:sz w:val="24"/>
                <w:szCs w:val="24"/>
              </w:rPr>
            </w:pPr>
          </w:p>
        </w:tc>
        <w:tc>
          <w:tcPr>
            <w:tcW w:w="1423" w:type="dxa"/>
            <w:shd w:val="clear" w:color="auto" w:fill="auto"/>
            <w:noWrap/>
            <w:vAlign w:val="center"/>
          </w:tcPr>
          <w:p>
            <w:pPr>
              <w:pStyle w:val="11"/>
              <w:keepNext w:val="0"/>
              <w:keepLines w:val="0"/>
              <w:widowControl/>
              <w:suppressLineNumbers w:val="0"/>
              <w:jc w:val="center"/>
            </w:pPr>
            <w:r>
              <w:t>社会效益指标</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 </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0" w:hRule="atLeast"/>
          <w:tblCellSpacing w:w="0" w:type="dxa"/>
        </w:trPr>
        <w:tc>
          <w:tcPr>
            <w:tcW w:w="1717" w:type="dxa"/>
            <w:vMerge w:val="continue"/>
            <w:shd w:val="clear" w:color="auto" w:fill="auto"/>
            <w:noWrap/>
            <w:vAlign w:val="center"/>
          </w:tcPr>
          <w:p>
            <w:pPr>
              <w:rPr>
                <w:rFonts w:hint="eastAsia" w:ascii="宋体"/>
                <w:sz w:val="24"/>
                <w:szCs w:val="24"/>
              </w:rPr>
            </w:pPr>
          </w:p>
        </w:tc>
        <w:tc>
          <w:tcPr>
            <w:tcW w:w="1001" w:type="dxa"/>
            <w:vMerge w:val="continue"/>
            <w:shd w:val="clear" w:color="auto" w:fill="auto"/>
            <w:noWrap/>
            <w:vAlign w:val="center"/>
          </w:tcPr>
          <w:p>
            <w:pPr>
              <w:rPr>
                <w:rFonts w:hint="eastAsia" w:ascii="宋体"/>
                <w:sz w:val="24"/>
                <w:szCs w:val="24"/>
              </w:rPr>
            </w:pPr>
          </w:p>
        </w:tc>
        <w:tc>
          <w:tcPr>
            <w:tcW w:w="1423" w:type="dxa"/>
            <w:shd w:val="clear" w:color="auto" w:fill="auto"/>
            <w:noWrap/>
            <w:vAlign w:val="center"/>
          </w:tcPr>
          <w:p>
            <w:pPr>
              <w:pStyle w:val="11"/>
              <w:keepNext w:val="0"/>
              <w:keepLines w:val="0"/>
              <w:widowControl/>
              <w:suppressLineNumbers w:val="0"/>
              <w:ind w:left="423"/>
              <w:jc w:val="both"/>
            </w:pPr>
            <w:r>
              <w:t>生态效益指标</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 </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17" w:type="dxa"/>
            <w:vMerge w:val="continue"/>
            <w:shd w:val="clear" w:color="auto" w:fill="auto"/>
            <w:noWrap/>
            <w:vAlign w:val="center"/>
          </w:tcPr>
          <w:p>
            <w:pPr>
              <w:rPr>
                <w:rFonts w:hint="eastAsia" w:ascii="宋体"/>
                <w:sz w:val="24"/>
                <w:szCs w:val="24"/>
              </w:rPr>
            </w:pPr>
          </w:p>
        </w:tc>
        <w:tc>
          <w:tcPr>
            <w:tcW w:w="1001" w:type="dxa"/>
            <w:vMerge w:val="continue"/>
            <w:shd w:val="clear" w:color="auto" w:fill="auto"/>
            <w:noWrap/>
            <w:vAlign w:val="center"/>
          </w:tcPr>
          <w:p>
            <w:pPr>
              <w:rPr>
                <w:rFonts w:hint="eastAsia" w:ascii="宋体"/>
                <w:sz w:val="24"/>
                <w:szCs w:val="24"/>
              </w:rPr>
            </w:pPr>
          </w:p>
        </w:tc>
        <w:tc>
          <w:tcPr>
            <w:tcW w:w="1423" w:type="dxa"/>
            <w:shd w:val="clear" w:color="auto" w:fill="auto"/>
            <w:noWrap/>
            <w:vAlign w:val="center"/>
          </w:tcPr>
          <w:p>
            <w:pPr>
              <w:pStyle w:val="11"/>
              <w:keepNext w:val="0"/>
              <w:keepLines w:val="0"/>
              <w:widowControl/>
              <w:suppressLineNumbers w:val="0"/>
              <w:jc w:val="center"/>
            </w:pPr>
            <w:r>
              <w:t>可持续影响指标</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 </w:t>
            </w:r>
          </w:p>
        </w:tc>
        <w:tc>
          <w:tcPr>
            <w:tcW w:w="2087" w:type="dxa"/>
            <w:shd w:val="clear" w:color="auto" w:fill="auto"/>
            <w:noWrap/>
            <w:vAlign w:val="center"/>
          </w:tcPr>
          <w:p>
            <w:pPr>
              <w:pStyle w:val="11"/>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5" w:hRule="atLeast"/>
          <w:tblCellSpacing w:w="0" w:type="dxa"/>
        </w:trPr>
        <w:tc>
          <w:tcPr>
            <w:tcW w:w="1717" w:type="dxa"/>
            <w:vMerge w:val="continue"/>
            <w:shd w:val="clear" w:color="auto" w:fill="auto"/>
            <w:noWrap/>
            <w:vAlign w:val="center"/>
          </w:tcPr>
          <w:p>
            <w:pPr>
              <w:rPr>
                <w:rFonts w:hint="eastAsia" w:ascii="宋体"/>
                <w:sz w:val="24"/>
                <w:szCs w:val="24"/>
              </w:rPr>
            </w:pPr>
          </w:p>
        </w:tc>
        <w:tc>
          <w:tcPr>
            <w:tcW w:w="1001" w:type="dxa"/>
            <w:shd w:val="clear" w:color="auto" w:fill="auto"/>
            <w:noWrap/>
            <w:vAlign w:val="center"/>
          </w:tcPr>
          <w:p>
            <w:pPr>
              <w:pStyle w:val="11"/>
              <w:keepNext w:val="0"/>
              <w:keepLines w:val="0"/>
              <w:widowControl/>
              <w:suppressLineNumbers w:val="0"/>
              <w:jc w:val="center"/>
            </w:pPr>
            <w:r>
              <w:t>满意</w:t>
            </w:r>
          </w:p>
          <w:p>
            <w:pPr>
              <w:pStyle w:val="11"/>
              <w:keepNext w:val="0"/>
              <w:keepLines w:val="0"/>
              <w:widowControl/>
              <w:suppressLineNumbers w:val="0"/>
              <w:jc w:val="center"/>
            </w:pPr>
            <w:r>
              <w:t>度指标</w:t>
            </w:r>
          </w:p>
        </w:tc>
        <w:tc>
          <w:tcPr>
            <w:tcW w:w="1423" w:type="dxa"/>
            <w:shd w:val="clear" w:color="auto" w:fill="auto"/>
            <w:noWrap/>
            <w:vAlign w:val="center"/>
          </w:tcPr>
          <w:p>
            <w:pPr>
              <w:pStyle w:val="11"/>
              <w:keepNext w:val="0"/>
              <w:keepLines w:val="0"/>
              <w:widowControl/>
              <w:suppressLineNumbers w:val="0"/>
              <w:jc w:val="center"/>
            </w:pPr>
            <w:r>
              <w:t>满意度</w:t>
            </w:r>
          </w:p>
          <w:p>
            <w:pPr>
              <w:pStyle w:val="11"/>
              <w:keepNext w:val="0"/>
              <w:keepLines w:val="0"/>
              <w:widowControl/>
              <w:suppressLineNumbers w:val="0"/>
              <w:jc w:val="center"/>
            </w:pPr>
            <w:r>
              <w:t>指标</w:t>
            </w:r>
          </w:p>
        </w:tc>
        <w:tc>
          <w:tcPr>
            <w:tcW w:w="1039" w:type="dxa"/>
            <w:shd w:val="clear" w:color="auto" w:fill="auto"/>
            <w:noWrap/>
            <w:vAlign w:val="center"/>
          </w:tcPr>
          <w:p>
            <w:pPr>
              <w:pStyle w:val="11"/>
              <w:keepNext w:val="0"/>
              <w:keepLines w:val="0"/>
              <w:widowControl/>
              <w:suppressLineNumbers w:val="0"/>
              <w:jc w:val="center"/>
            </w:pPr>
            <w:r>
              <w:t> </w:t>
            </w:r>
          </w:p>
        </w:tc>
        <w:tc>
          <w:tcPr>
            <w:tcW w:w="1078" w:type="dxa"/>
            <w:shd w:val="clear" w:color="auto" w:fill="auto"/>
            <w:noWrap/>
            <w:vAlign w:val="center"/>
          </w:tcPr>
          <w:p>
            <w:pPr>
              <w:pStyle w:val="11"/>
              <w:keepNext w:val="0"/>
              <w:keepLines w:val="0"/>
              <w:widowControl/>
              <w:suppressLineNumbers w:val="0"/>
              <w:jc w:val="center"/>
            </w:pPr>
            <w:r>
              <w:t> </w:t>
            </w:r>
          </w:p>
        </w:tc>
        <w:tc>
          <w:tcPr>
            <w:tcW w:w="2087" w:type="dxa"/>
            <w:shd w:val="clear" w:color="auto" w:fill="auto"/>
            <w:noWrap/>
            <w:vAlign w:val="center"/>
          </w:tcPr>
          <w:p>
            <w:pPr>
              <w:pStyle w:val="11"/>
              <w:keepNext w:val="0"/>
              <w:keepLines w:val="0"/>
              <w:widowControl/>
              <w:suppressLineNumbers w:val="0"/>
              <w:jc w:val="center"/>
            </w:pPr>
            <w:r>
              <w:t> </w:t>
            </w:r>
          </w:p>
        </w:tc>
      </w:tr>
    </w:tbl>
    <w:p>
      <w:pPr>
        <w:pStyle w:val="11"/>
        <w:keepNext w:val="0"/>
        <w:keepLines w:val="0"/>
        <w:widowControl/>
        <w:suppressLineNumbers w:val="0"/>
        <w:spacing w:before="0" w:beforeAutospacing="0"/>
        <w:ind w:left="0"/>
        <w:jc w:val="left"/>
      </w:pPr>
      <w:r>
        <w:rPr>
          <w:shd w:val="clear" w:fill="FFFFFF"/>
        </w:rPr>
        <w:t>（注：有两个及以上100万元以上（含）特定目标类部门预算项目的，需分别开展绩效目标自评并填写附表）</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center"/>
      </w:pPr>
      <w:r>
        <w:rPr>
          <w:rStyle w:val="14"/>
          <w:sz w:val="39"/>
          <w:szCs w:val="39"/>
          <w:shd w:val="clear" w:fill="FFFFFF"/>
        </w:rPr>
        <w:t>第五部分 附表</w:t>
      </w:r>
    </w:p>
    <w:p>
      <w:pPr>
        <w:pStyle w:val="4"/>
        <w:keepNext w:val="0"/>
        <w:keepLines w:val="0"/>
        <w:widowControl/>
        <w:suppressLineNumbers w:val="0"/>
        <w:spacing w:before="0" w:beforeAutospacing="0"/>
        <w:ind w:left="0"/>
        <w:jc w:val="left"/>
      </w:pPr>
      <w:r>
        <w:rPr>
          <w:shd w:val="clear" w:fill="FFFFFF"/>
        </w:rPr>
        <w:t>一、收入支出决算总表</w:t>
      </w:r>
    </w:p>
    <w:p>
      <w:pPr>
        <w:pStyle w:val="4"/>
        <w:keepNext w:val="0"/>
        <w:keepLines w:val="0"/>
        <w:widowControl/>
        <w:suppressLineNumbers w:val="0"/>
        <w:spacing w:before="0" w:beforeAutospacing="0"/>
        <w:ind w:left="0"/>
        <w:jc w:val="left"/>
      </w:pPr>
      <w:r>
        <w:rPr>
          <w:shd w:val="clear" w:fill="FFFFFF"/>
        </w:rPr>
        <w:t>二、收入决算表</w:t>
      </w:r>
    </w:p>
    <w:p>
      <w:pPr>
        <w:pStyle w:val="4"/>
        <w:keepNext w:val="0"/>
        <w:keepLines w:val="0"/>
        <w:widowControl/>
        <w:suppressLineNumbers w:val="0"/>
        <w:spacing w:before="0" w:beforeAutospacing="0"/>
        <w:ind w:left="0"/>
        <w:jc w:val="left"/>
      </w:pPr>
      <w:r>
        <w:rPr>
          <w:shd w:val="clear" w:fill="FFFFFF"/>
        </w:rPr>
        <w:t>三、支出决算表</w:t>
      </w:r>
    </w:p>
    <w:p>
      <w:pPr>
        <w:pStyle w:val="4"/>
        <w:keepNext w:val="0"/>
        <w:keepLines w:val="0"/>
        <w:widowControl/>
        <w:suppressLineNumbers w:val="0"/>
        <w:spacing w:before="0" w:beforeAutospacing="0"/>
        <w:ind w:left="0"/>
        <w:jc w:val="left"/>
      </w:pPr>
      <w:r>
        <w:rPr>
          <w:shd w:val="clear" w:fill="FFFFFF"/>
        </w:rPr>
        <w:t>四、财政拨款收入支出决算总表</w:t>
      </w:r>
    </w:p>
    <w:p>
      <w:pPr>
        <w:pStyle w:val="4"/>
        <w:keepNext w:val="0"/>
        <w:keepLines w:val="0"/>
        <w:widowControl/>
        <w:suppressLineNumbers w:val="0"/>
        <w:spacing w:before="0" w:beforeAutospacing="0"/>
        <w:ind w:left="0"/>
        <w:jc w:val="left"/>
      </w:pPr>
      <w:r>
        <w:rPr>
          <w:shd w:val="clear" w:fill="FFFFFF"/>
        </w:rPr>
        <w:t>五、财政拨款支出决算明细表</w:t>
      </w:r>
    </w:p>
    <w:p>
      <w:pPr>
        <w:pStyle w:val="4"/>
        <w:keepNext w:val="0"/>
        <w:keepLines w:val="0"/>
        <w:widowControl/>
        <w:suppressLineNumbers w:val="0"/>
        <w:spacing w:before="0" w:beforeAutospacing="0"/>
        <w:ind w:left="0"/>
        <w:jc w:val="left"/>
      </w:pPr>
      <w:r>
        <w:rPr>
          <w:shd w:val="clear" w:fill="FFFFFF"/>
        </w:rPr>
        <w:t>六、一般公共预算财政拨款支出决算表</w:t>
      </w:r>
    </w:p>
    <w:p>
      <w:pPr>
        <w:pStyle w:val="4"/>
        <w:keepNext w:val="0"/>
        <w:keepLines w:val="0"/>
        <w:widowControl/>
        <w:suppressLineNumbers w:val="0"/>
        <w:spacing w:before="0" w:beforeAutospacing="0"/>
        <w:ind w:left="0"/>
        <w:jc w:val="left"/>
      </w:pPr>
      <w:r>
        <w:rPr>
          <w:shd w:val="clear" w:fill="FFFFFF"/>
        </w:rPr>
        <w:t>七、一般公共预算财政拨款支出决算明细表</w:t>
      </w:r>
    </w:p>
    <w:p>
      <w:pPr>
        <w:pStyle w:val="4"/>
        <w:keepNext w:val="0"/>
        <w:keepLines w:val="0"/>
        <w:widowControl/>
        <w:suppressLineNumbers w:val="0"/>
        <w:spacing w:before="0" w:beforeAutospacing="0"/>
        <w:ind w:left="0"/>
        <w:jc w:val="left"/>
      </w:pPr>
      <w:r>
        <w:rPr>
          <w:shd w:val="clear" w:fill="FFFFFF"/>
        </w:rPr>
        <w:t>八、一般公共预算财政拨款基本支出决算表</w:t>
      </w:r>
    </w:p>
    <w:p>
      <w:pPr>
        <w:pStyle w:val="4"/>
        <w:keepNext w:val="0"/>
        <w:keepLines w:val="0"/>
        <w:widowControl/>
        <w:suppressLineNumbers w:val="0"/>
        <w:spacing w:before="0" w:beforeAutospacing="0"/>
        <w:ind w:left="0"/>
        <w:jc w:val="left"/>
      </w:pPr>
      <w:r>
        <w:rPr>
          <w:shd w:val="clear" w:fill="FFFFFF"/>
        </w:rPr>
        <w:t>九、一般公共预算财政拨款项目支出决算表</w:t>
      </w:r>
    </w:p>
    <w:p>
      <w:pPr>
        <w:pStyle w:val="4"/>
        <w:keepNext w:val="0"/>
        <w:keepLines w:val="0"/>
        <w:widowControl/>
        <w:suppressLineNumbers w:val="0"/>
        <w:spacing w:before="0" w:beforeAutospacing="0"/>
        <w:ind w:left="0"/>
        <w:jc w:val="left"/>
      </w:pPr>
      <w:r>
        <w:rPr>
          <w:shd w:val="clear" w:fill="FFFFFF"/>
        </w:rPr>
        <w:t>十、一般公共预算财政拨款“三公”经费支出决算表</w:t>
      </w:r>
    </w:p>
    <w:p>
      <w:pPr>
        <w:pStyle w:val="4"/>
        <w:keepNext w:val="0"/>
        <w:keepLines w:val="0"/>
        <w:widowControl/>
        <w:suppressLineNumbers w:val="0"/>
        <w:spacing w:before="0" w:beforeAutospacing="0"/>
        <w:ind w:left="0"/>
        <w:jc w:val="left"/>
      </w:pPr>
      <w:r>
        <w:rPr>
          <w:shd w:val="clear" w:fill="FFFFFF"/>
        </w:rPr>
        <w:t>十一、政府性基金预算财政拨款收入支出决算表</w:t>
      </w:r>
    </w:p>
    <w:p>
      <w:pPr>
        <w:pStyle w:val="4"/>
        <w:keepNext w:val="0"/>
        <w:keepLines w:val="0"/>
        <w:widowControl/>
        <w:suppressLineNumbers w:val="0"/>
        <w:spacing w:before="0" w:beforeAutospacing="0"/>
        <w:ind w:left="0"/>
        <w:jc w:val="left"/>
      </w:pPr>
      <w:r>
        <w:rPr>
          <w:shd w:val="clear" w:fill="FFFFFF"/>
        </w:rPr>
        <w:t>十二、政府性基金预算财政拨款“三公”经费支出决算表</w:t>
      </w:r>
    </w:p>
    <w:p>
      <w:pPr>
        <w:pStyle w:val="4"/>
        <w:keepNext w:val="0"/>
        <w:keepLines w:val="0"/>
        <w:widowControl/>
        <w:suppressLineNumbers w:val="0"/>
        <w:spacing w:before="0" w:beforeAutospacing="0"/>
        <w:ind w:left="0"/>
        <w:jc w:val="left"/>
      </w:pPr>
      <w:r>
        <w:rPr>
          <w:shd w:val="clear" w:fill="FFFFFF"/>
        </w:rPr>
        <w:t>十三、国有资本经营预算财政拨款收入支出决算表</w:t>
      </w:r>
    </w:p>
    <w:p>
      <w:pPr>
        <w:pStyle w:val="4"/>
        <w:keepNext w:val="0"/>
        <w:keepLines w:val="0"/>
        <w:widowControl/>
        <w:suppressLineNumbers w:val="0"/>
        <w:spacing w:before="0" w:beforeAutospacing="0"/>
        <w:ind w:left="0"/>
        <w:jc w:val="left"/>
      </w:pPr>
      <w:r>
        <w:rPr>
          <w:shd w:val="clear" w:fill="FFFFFF"/>
        </w:rPr>
        <w:t>十四、国有资本经营预算财政拨款支出决算表</w:t>
      </w:r>
    </w:p>
    <w:p>
      <w:pPr>
        <w:pStyle w:val="11"/>
        <w:keepNext w:val="0"/>
        <w:keepLines w:val="0"/>
        <w:widowControl/>
        <w:suppressLineNumbers w:val="0"/>
        <w:spacing w:before="0" w:beforeAutospacing="0"/>
        <w:ind w:left="0"/>
        <w:jc w:val="left"/>
      </w:pPr>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Arial Unicode MS">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411CC6"/>
    <w:multiLevelType w:val="multilevel"/>
    <w:tmpl w:val="8D411CC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68F3291"/>
    <w:multiLevelType w:val="singleLevel"/>
    <w:tmpl w:val="A68F3291"/>
    <w:lvl w:ilvl="0" w:tentative="0">
      <w:start w:val="2"/>
      <w:numFmt w:val="chineseCounting"/>
      <w:suff w:val="nothing"/>
      <w:lvlText w:val="（%1）"/>
      <w:lvlJc w:val="left"/>
      <w:rPr>
        <w:rFonts w:hint="eastAsia"/>
      </w:rPr>
    </w:lvl>
  </w:abstractNum>
  <w:abstractNum w:abstractNumId="2">
    <w:nsid w:val="C48113E0"/>
    <w:multiLevelType w:val="multilevel"/>
    <w:tmpl w:val="C48113E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40FA8A87"/>
    <w:multiLevelType w:val="singleLevel"/>
    <w:tmpl w:val="40FA8A87"/>
    <w:lvl w:ilvl="0" w:tentative="0">
      <w:start w:val="9"/>
      <w:numFmt w:val="chineseCounting"/>
      <w:suff w:val="nothing"/>
      <w:lvlText w:val="（%1）"/>
      <w:lvlJc w:val="left"/>
      <w:pPr>
        <w:ind w:left="-109"/>
      </w:pPr>
      <w:rPr>
        <w:rFonts w:hint="eastAsia"/>
      </w:rPr>
    </w:lvl>
  </w:abstractNum>
  <w:abstractNum w:abstractNumId="4">
    <w:nsid w:val="64D487F6"/>
    <w:multiLevelType w:val="multilevel"/>
    <w:tmpl w:val="64D487F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6562D815"/>
    <w:multiLevelType w:val="multilevel"/>
    <w:tmpl w:val="6562D81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726C2D25"/>
    <w:multiLevelType w:val="multilevel"/>
    <w:tmpl w:val="726C2D2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5"/>
  </w:num>
  <w:num w:numId="3">
    <w:abstractNumId w:val="6"/>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kNTg4OTZkZTcyYTJlMzllYjc5MTI2NTE3NTQzMjMifQ=="/>
  </w:docVars>
  <w:rsids>
    <w:rsidRoot w:val="00000000"/>
    <w:rsid w:val="091069B1"/>
    <w:rsid w:val="131868C5"/>
    <w:rsid w:val="19E87D5E"/>
    <w:rsid w:val="44971EA2"/>
    <w:rsid w:val="7BA707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6">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7">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8">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before="0" w:beforeLines="30" w:beforeAutospacing="0" w:after="0" w:afterAutospacing="0"/>
      <w:ind w:left="0" w:right="0"/>
      <w:jc w:val="left"/>
    </w:pPr>
    <w:rPr>
      <w:rFonts w:hint="default" w:ascii="仿宋_GB2312" w:hAnsi="宋体" w:eastAsia="仿宋_GB2312" w:cs="Arial Unicode MS"/>
      <w:kern w:val="0"/>
      <w:sz w:val="24"/>
      <w:szCs w:val="24"/>
      <w:lang w:val="en-US" w:eastAsia="zh-CN" w:bidi="ar"/>
    </w:rPr>
  </w:style>
  <w:style w:type="paragraph" w:styleId="9">
    <w:name w:val="table of figures"/>
    <w:basedOn w:val="1"/>
    <w:next w:val="1"/>
    <w:qFormat/>
    <w:uiPriority w:val="0"/>
    <w:pPr>
      <w:ind w:left="200" w:leftChars="200" w:hanging="200" w:hangingChars="200"/>
    </w:p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0"/>
    <w:rPr>
      <w:b/>
    </w:rPr>
  </w:style>
  <w:style w:type="paragraph" w:customStyle="1" w:styleId="15">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6">
    <w:name w:val="20"/>
    <w:basedOn w:val="13"/>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31</Pages>
  <Words>11415</Words>
  <Characters>12443</Characters>
  <TotalTime>2</TotalTime>
  <ScaleCrop>false</ScaleCrop>
  <LinksUpToDate>false</LinksUpToDate>
  <CharactersWithSpaces>12562</CharactersWithSpaces>
  <Application>WPS Office_11.1.0.12980_F1E327BC-269C-435d-A152-05C5408002CA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2022-12-13T07:10:00Z</dcterms:created>
  <dc:creator>Administrator</dc:creator>
  <cp:lastModifiedBy>86139</cp:lastModifiedBy>
  <dcterms:modified xsi:type="dcterms:W3CDTF">2023-02-23T09:04:15Z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709E6594A7594F92938482BA8C9197F8</vt:lpwstr>
  </property>
</Properties>
</file>