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72"/>
          <w:szCs w:val="72"/>
        </w:rPr>
      </w:pPr>
      <w:bookmarkStart w:id="0" w:name="_Toc15306267"/>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780"/>
      <w:bookmarkStart w:id="2" w:name="_Toc15378441"/>
      <w:bookmarkStart w:id="3" w:name="_Toc12031"/>
      <w:bookmarkStart w:id="4" w:name="_Toc20977"/>
      <w:bookmarkStart w:id="5" w:name="_Toc15377193"/>
      <w:bookmarkStart w:id="6" w:name="_Toc15396597"/>
      <w:bookmarkStart w:id="7" w:name="_Toc2877"/>
      <w:bookmarkStart w:id="8" w:name="_Toc21169"/>
      <w:bookmarkStart w:id="9" w:name="_Toc24857"/>
      <w:bookmarkStart w:id="10" w:name="_Toc15396475"/>
      <w:bookmarkStart w:id="11" w:name="_Toc15377425"/>
      <w:r>
        <w:rPr>
          <w:rFonts w:ascii="黑体" w:hAnsi="黑体" w:eastAsia="黑体"/>
          <w:color w:val="000000"/>
          <w:sz w:val="72"/>
          <w:szCs w:val="72"/>
        </w:rPr>
        <w:t>2019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72"/>
          <w:szCs w:val="72"/>
        </w:rPr>
      </w:pPr>
      <w:bookmarkStart w:id="12" w:name="_Toc6822"/>
      <w:bookmarkStart w:id="13" w:name="_Toc15396598"/>
      <w:bookmarkStart w:id="14" w:name="_Toc15377194"/>
      <w:bookmarkStart w:id="15" w:name="_Toc8754"/>
      <w:bookmarkStart w:id="16" w:name="_Toc2389"/>
      <w:bookmarkStart w:id="17" w:name="_Toc23237"/>
      <w:bookmarkStart w:id="18" w:name="_Toc8586"/>
      <w:bookmarkStart w:id="19" w:name="_Toc5373"/>
      <w:bookmarkStart w:id="20" w:name="_Toc15378442"/>
      <w:bookmarkStart w:id="21" w:name="_Toc15377426"/>
      <w:bookmarkStart w:id="22" w:name="_Toc15396476"/>
      <w:r>
        <w:rPr>
          <w:rFonts w:hint="eastAsia" w:ascii="方正小标宋简体" w:hAnsi="宋体" w:eastAsia="方正小标宋简体"/>
          <w:color w:val="000000"/>
          <w:sz w:val="72"/>
          <w:szCs w:val="72"/>
        </w:rPr>
        <w:t>四川省阿坝州红原县</w:t>
      </w:r>
      <w:bookmarkEnd w:id="0"/>
      <w:bookmarkStart w:id="23" w:name="_Toc15306268"/>
      <w:r>
        <w:rPr>
          <w:rFonts w:hint="eastAsia" w:ascii="方正小标宋简体" w:hAnsi="宋体" w:eastAsia="方正小标宋简体"/>
          <w:color w:val="000000"/>
          <w:sz w:val="72"/>
          <w:szCs w:val="72"/>
        </w:rPr>
        <w:t>退役军人事务局部门决算</w:t>
      </w:r>
      <w:bookmarkEnd w:id="12"/>
      <w:bookmarkEnd w:id="13"/>
      <w:bookmarkEnd w:id="14"/>
      <w:bookmarkEnd w:id="15"/>
      <w:bookmarkEnd w:id="16"/>
      <w:bookmarkEnd w:id="17"/>
      <w:bookmarkEnd w:id="18"/>
      <w:bookmarkEnd w:id="19"/>
      <w:bookmarkEnd w:id="20"/>
      <w:bookmarkEnd w:id="21"/>
      <w:bookmarkEnd w:id="22"/>
      <w:bookmarkEnd w:id="2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spacing w:before="0" w:beforeLines="0" w:after="0" w:afterLines="0" w:line="240" w:lineRule="auto"/>
        <w:ind w:left="0" w:leftChars="0" w:right="0" w:rightChars="0" w:firstLine="0" w:firstLineChars="0"/>
        <w:jc w:val="center"/>
        <w:rPr>
          <w:rFonts w:ascii="宋体" w:hAnsi="宋体" w:eastAsia="宋体"/>
          <w:sz w:val="32"/>
          <w:szCs w:val="32"/>
        </w:rPr>
      </w:pPr>
      <w:bookmarkStart w:id="24" w:name="_Toc18996"/>
      <w:bookmarkStart w:id="25" w:name="_Toc27070"/>
      <w:bookmarkStart w:id="26" w:name="_Toc15377196"/>
      <w:bookmarkStart w:id="27" w:name="_Toc31405"/>
      <w:bookmarkStart w:id="28" w:name="_Toc3713"/>
      <w:bookmarkStart w:id="29" w:name="_Toc27885"/>
      <w:bookmarkStart w:id="30" w:name="_Toc15396599"/>
    </w:p>
    <w:p>
      <w:pPr>
        <w:spacing w:before="0" w:beforeLines="0" w:after="0" w:afterLines="0" w:line="240" w:lineRule="auto"/>
        <w:ind w:left="0" w:leftChars="0" w:right="0" w:rightChars="0" w:firstLine="0" w:firstLineChars="0"/>
        <w:jc w:val="center"/>
        <w:rPr>
          <w:rFonts w:ascii="宋体" w:hAnsi="宋体" w:eastAsia="宋体"/>
          <w:sz w:val="32"/>
          <w:szCs w:val="32"/>
        </w:rPr>
      </w:pPr>
    </w:p>
    <w:p>
      <w:pPr>
        <w:spacing w:before="0" w:beforeLines="0" w:after="0" w:afterLines="0" w:line="240" w:lineRule="auto"/>
        <w:ind w:left="0" w:leftChars="0" w:right="0" w:rightChars="0" w:firstLine="0" w:firstLineChars="0"/>
        <w:jc w:val="center"/>
        <w:rPr>
          <w:rFonts w:ascii="宋体" w:hAnsi="宋体" w:eastAsia="宋体"/>
          <w:sz w:val="32"/>
          <w:szCs w:val="32"/>
        </w:rPr>
      </w:pPr>
    </w:p>
    <w:p>
      <w:pPr>
        <w:spacing w:before="0" w:beforeLines="0" w:after="0" w:afterLines="0" w:line="240" w:lineRule="auto"/>
        <w:ind w:left="0" w:leftChars="0" w:right="0" w:rightChars="0" w:firstLine="0" w:firstLineChars="0"/>
        <w:jc w:val="center"/>
        <w:rPr>
          <w:rFonts w:ascii="宋体" w:hAnsi="宋体" w:eastAsia="宋体"/>
          <w:sz w:val="32"/>
          <w:szCs w:val="32"/>
        </w:rPr>
      </w:pPr>
    </w:p>
    <w:p>
      <w:pPr>
        <w:spacing w:before="0" w:beforeLines="0" w:after="0" w:afterLines="0" w:line="240" w:lineRule="auto"/>
        <w:ind w:left="0" w:leftChars="0" w:right="0" w:rightChars="0" w:firstLine="0" w:firstLineChars="0"/>
        <w:jc w:val="center"/>
        <w:rPr>
          <w:rFonts w:ascii="宋体" w:hAnsi="宋体" w:eastAsia="宋体"/>
          <w:sz w:val="32"/>
          <w:szCs w:val="32"/>
        </w:rPr>
      </w:pPr>
    </w:p>
    <w:p>
      <w:pPr>
        <w:spacing w:before="0" w:beforeLines="0" w:after="0" w:afterLines="0" w:line="240" w:lineRule="auto"/>
        <w:ind w:left="0" w:leftChars="0" w:right="0" w:rightChars="0" w:firstLine="0" w:firstLineChars="0"/>
        <w:jc w:val="center"/>
        <w:rPr>
          <w:sz w:val="32"/>
          <w:szCs w:val="32"/>
        </w:rPr>
      </w:pPr>
      <w:r>
        <w:rPr>
          <w:rFonts w:ascii="宋体" w:hAnsi="宋体" w:eastAsia="宋体"/>
          <w:sz w:val="32"/>
          <w:szCs w:val="32"/>
        </w:rPr>
        <w:t>目录</w:t>
      </w:r>
    </w:p>
    <w:p>
      <w:pPr>
        <w:pStyle w:val="34"/>
        <w:tabs>
          <w:tab w:val="right" w:leader="dot" w:pos="8306"/>
        </w:tabs>
        <w:rPr>
          <w:b/>
          <w:sz w:val="32"/>
          <w:szCs w:val="32"/>
        </w:rPr>
      </w:pPr>
      <w:r>
        <w:rPr>
          <w:sz w:val="32"/>
          <w:szCs w:val="32"/>
        </w:rPr>
        <w:fldChar w:fldCharType="begin"/>
      </w:r>
      <w:r>
        <w:rPr>
          <w:sz w:val="32"/>
          <w:szCs w:val="32"/>
        </w:rPr>
        <w:instrText xml:space="preserve">TOC \o "1-2" \h \u </w:instrText>
      </w:r>
      <w:r>
        <w:rPr>
          <w:sz w:val="32"/>
          <w:szCs w:val="32"/>
        </w:rPr>
        <w:fldChar w:fldCharType="separate"/>
      </w:r>
      <w:r>
        <w:rPr>
          <w:b/>
          <w:sz w:val="32"/>
          <w:szCs w:val="32"/>
        </w:rPr>
        <w:fldChar w:fldCharType="begin"/>
      </w:r>
      <w:r>
        <w:rPr>
          <w:b/>
          <w:sz w:val="32"/>
          <w:szCs w:val="32"/>
        </w:rPr>
        <w:instrText xml:space="preserve"> HYPERLINK \l _Toc780 </w:instrText>
      </w:r>
      <w:r>
        <w:rPr>
          <w:b/>
          <w:sz w:val="32"/>
          <w:szCs w:val="32"/>
        </w:rPr>
        <w:fldChar w:fldCharType="separate"/>
      </w:r>
      <w:r>
        <w:rPr>
          <w:rFonts w:ascii="黑体" w:hAnsi="黑体" w:eastAsia="黑体"/>
          <w:b/>
          <w:sz w:val="32"/>
          <w:szCs w:val="32"/>
        </w:rPr>
        <w:t>2019</w:t>
      </w:r>
      <w:r>
        <w:rPr>
          <w:rFonts w:hint="eastAsia" w:ascii="方正小标宋简体" w:hAnsi="宋体" w:eastAsia="方正小标宋简体"/>
          <w:b/>
          <w:sz w:val="32"/>
          <w:szCs w:val="32"/>
        </w:rPr>
        <w:t>年度</w:t>
      </w:r>
      <w:r>
        <w:rPr>
          <w:b/>
          <w:sz w:val="32"/>
          <w:szCs w:val="32"/>
        </w:rPr>
        <w:tab/>
      </w:r>
      <w:r>
        <w:rPr>
          <w:b/>
          <w:sz w:val="32"/>
          <w:szCs w:val="32"/>
        </w:rPr>
        <w:fldChar w:fldCharType="begin"/>
      </w:r>
      <w:r>
        <w:rPr>
          <w:b/>
          <w:sz w:val="32"/>
          <w:szCs w:val="32"/>
        </w:rPr>
        <w:instrText xml:space="preserve"> PAGEREF _Toc780 </w:instrText>
      </w:r>
      <w:r>
        <w:rPr>
          <w:b/>
          <w:sz w:val="32"/>
          <w:szCs w:val="32"/>
        </w:rPr>
        <w:fldChar w:fldCharType="separate"/>
      </w:r>
      <w:r>
        <w:rPr>
          <w:b/>
          <w:sz w:val="32"/>
          <w:szCs w:val="32"/>
        </w:rPr>
        <w:t>1</w:t>
      </w:r>
      <w:r>
        <w:rPr>
          <w:b/>
          <w:sz w:val="32"/>
          <w:szCs w:val="32"/>
        </w:rPr>
        <w:fldChar w:fldCharType="end"/>
      </w:r>
      <w:r>
        <w:rPr>
          <w:b/>
          <w:sz w:val="32"/>
          <w:szCs w:val="32"/>
        </w:rPr>
        <w:fldChar w:fldCharType="end"/>
      </w:r>
    </w:p>
    <w:p>
      <w:pPr>
        <w:pStyle w:val="34"/>
        <w:tabs>
          <w:tab w:val="right" w:leader="dot" w:pos="8306"/>
        </w:tabs>
        <w:rPr>
          <w:b/>
          <w:sz w:val="32"/>
          <w:szCs w:val="32"/>
        </w:rPr>
      </w:pPr>
      <w:r>
        <w:rPr>
          <w:b/>
          <w:sz w:val="32"/>
          <w:szCs w:val="32"/>
        </w:rPr>
        <w:fldChar w:fldCharType="begin"/>
      </w:r>
      <w:r>
        <w:rPr>
          <w:b/>
          <w:sz w:val="32"/>
          <w:szCs w:val="32"/>
        </w:rPr>
        <w:instrText xml:space="preserve"> HYPERLINK \l _Toc2389 </w:instrText>
      </w:r>
      <w:r>
        <w:rPr>
          <w:b/>
          <w:sz w:val="32"/>
          <w:szCs w:val="32"/>
        </w:rPr>
        <w:fldChar w:fldCharType="separate"/>
      </w:r>
      <w:r>
        <w:rPr>
          <w:rFonts w:hint="eastAsia" w:ascii="方正小标宋简体" w:hAnsi="宋体" w:eastAsia="方正小标宋简体"/>
          <w:b/>
          <w:sz w:val="32"/>
          <w:szCs w:val="32"/>
        </w:rPr>
        <w:t>四川省阿坝州红原县退役军人事务局部门决算</w:t>
      </w:r>
      <w:r>
        <w:rPr>
          <w:b/>
          <w:sz w:val="32"/>
          <w:szCs w:val="32"/>
        </w:rPr>
        <w:tab/>
      </w:r>
      <w:r>
        <w:rPr>
          <w:b/>
          <w:sz w:val="32"/>
          <w:szCs w:val="32"/>
        </w:rPr>
        <w:fldChar w:fldCharType="begin"/>
      </w:r>
      <w:r>
        <w:rPr>
          <w:b/>
          <w:sz w:val="32"/>
          <w:szCs w:val="32"/>
        </w:rPr>
        <w:instrText xml:space="preserve"> PAGEREF _Toc2389 </w:instrText>
      </w:r>
      <w:r>
        <w:rPr>
          <w:b/>
          <w:sz w:val="32"/>
          <w:szCs w:val="32"/>
        </w:rPr>
        <w:fldChar w:fldCharType="separate"/>
      </w:r>
      <w:r>
        <w:rPr>
          <w:b/>
          <w:sz w:val="32"/>
          <w:szCs w:val="32"/>
        </w:rPr>
        <w:t>1</w:t>
      </w:r>
      <w:r>
        <w:rPr>
          <w:b/>
          <w:sz w:val="32"/>
          <w:szCs w:val="32"/>
        </w:rPr>
        <w:fldChar w:fldCharType="end"/>
      </w:r>
      <w:r>
        <w:rPr>
          <w:b/>
          <w:sz w:val="32"/>
          <w:szCs w:val="32"/>
        </w:rPr>
        <w:fldChar w:fldCharType="end"/>
      </w:r>
    </w:p>
    <w:p>
      <w:pPr>
        <w:pStyle w:val="34"/>
        <w:tabs>
          <w:tab w:val="right" w:leader="dot" w:pos="8306"/>
        </w:tabs>
        <w:rPr>
          <w:b/>
          <w:sz w:val="32"/>
          <w:szCs w:val="32"/>
        </w:rPr>
      </w:pPr>
      <w:r>
        <w:rPr>
          <w:b/>
          <w:sz w:val="32"/>
          <w:szCs w:val="32"/>
        </w:rPr>
        <w:fldChar w:fldCharType="begin"/>
      </w:r>
      <w:r>
        <w:rPr>
          <w:b/>
          <w:sz w:val="32"/>
          <w:szCs w:val="32"/>
        </w:rPr>
        <w:instrText xml:space="preserve"> HYPERLINK \l _Toc17759 </w:instrText>
      </w:r>
      <w:r>
        <w:rPr>
          <w:b/>
          <w:sz w:val="32"/>
          <w:szCs w:val="32"/>
        </w:rPr>
        <w:fldChar w:fldCharType="separate"/>
      </w:r>
      <w:r>
        <w:rPr>
          <w:rFonts w:hint="eastAsia" w:ascii="方正小标宋简体" w:hAnsi="方正小标宋简体" w:eastAsia="方正小标宋简体" w:cs="方正小标宋简体"/>
          <w:b/>
          <w:sz w:val="32"/>
          <w:szCs w:val="32"/>
        </w:rPr>
        <w:t xml:space="preserve">第一部分 </w:t>
      </w:r>
      <w:r>
        <w:rPr>
          <w:rFonts w:hint="eastAsia" w:ascii="方正小标宋简体" w:hAnsi="方正小标宋简体" w:eastAsia="方正小标宋简体" w:cs="方正小标宋简体"/>
          <w:b/>
          <w:bCs w:val="0"/>
          <w:sz w:val="32"/>
          <w:szCs w:val="32"/>
        </w:rPr>
        <w:t>部门概况</w:t>
      </w:r>
      <w:r>
        <w:rPr>
          <w:b/>
          <w:sz w:val="32"/>
          <w:szCs w:val="32"/>
        </w:rPr>
        <w:tab/>
      </w:r>
      <w:r>
        <w:rPr>
          <w:b/>
          <w:sz w:val="32"/>
          <w:szCs w:val="32"/>
        </w:rPr>
        <w:fldChar w:fldCharType="begin"/>
      </w:r>
      <w:r>
        <w:rPr>
          <w:b/>
          <w:sz w:val="32"/>
          <w:szCs w:val="32"/>
        </w:rPr>
        <w:instrText xml:space="preserve"> PAGEREF _Toc17759 </w:instrText>
      </w:r>
      <w:r>
        <w:rPr>
          <w:b/>
          <w:sz w:val="32"/>
          <w:szCs w:val="32"/>
        </w:rPr>
        <w:fldChar w:fldCharType="separate"/>
      </w:r>
      <w:r>
        <w:rPr>
          <w:b/>
          <w:sz w:val="32"/>
          <w:szCs w:val="32"/>
        </w:rPr>
        <w:t>3</w:t>
      </w:r>
      <w:r>
        <w:rPr>
          <w:b/>
          <w:sz w:val="32"/>
          <w:szCs w:val="32"/>
        </w:rPr>
        <w:fldChar w:fldCharType="end"/>
      </w:r>
      <w:r>
        <w:rPr>
          <w:b/>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_Toc10171 </w:instrText>
      </w:r>
      <w:r>
        <w:rPr>
          <w:sz w:val="32"/>
          <w:szCs w:val="32"/>
        </w:rPr>
        <w:fldChar w:fldCharType="separate"/>
      </w:r>
      <w:r>
        <w:rPr>
          <w:rFonts w:hint="eastAsia" w:ascii="黑体" w:hAnsi="黑体" w:eastAsia="黑体"/>
          <w:sz w:val="32"/>
          <w:szCs w:val="32"/>
        </w:rPr>
        <w:t>一、基</w:t>
      </w:r>
      <w:r>
        <w:rPr>
          <w:rFonts w:hint="eastAsia" w:ascii="黑体" w:hAnsi="黑体" w:eastAsia="黑体"/>
          <w:bCs w:val="0"/>
          <w:sz w:val="32"/>
          <w:szCs w:val="32"/>
        </w:rPr>
        <w:t>本职能及主要工作</w:t>
      </w:r>
      <w:r>
        <w:rPr>
          <w:sz w:val="32"/>
          <w:szCs w:val="32"/>
        </w:rPr>
        <w:tab/>
      </w:r>
      <w:r>
        <w:rPr>
          <w:sz w:val="32"/>
          <w:szCs w:val="32"/>
        </w:rPr>
        <w:fldChar w:fldCharType="begin"/>
      </w:r>
      <w:r>
        <w:rPr>
          <w:sz w:val="32"/>
          <w:szCs w:val="32"/>
        </w:rPr>
        <w:instrText xml:space="preserve"> PAGEREF _Toc10171 </w:instrText>
      </w:r>
      <w:r>
        <w:rPr>
          <w:sz w:val="32"/>
          <w:szCs w:val="32"/>
        </w:rPr>
        <w:fldChar w:fldCharType="separate"/>
      </w:r>
      <w:r>
        <w:rPr>
          <w:sz w:val="32"/>
          <w:szCs w:val="32"/>
        </w:rPr>
        <w:t>3</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_Toc31517 </w:instrText>
      </w:r>
      <w:r>
        <w:rPr>
          <w:sz w:val="32"/>
          <w:szCs w:val="32"/>
        </w:rPr>
        <w:fldChar w:fldCharType="separate"/>
      </w:r>
      <w:r>
        <w:rPr>
          <w:rFonts w:hint="eastAsia" w:ascii="黑体" w:eastAsia="黑体"/>
          <w:sz w:val="32"/>
          <w:szCs w:val="32"/>
          <w:lang w:eastAsia="zh-CN"/>
        </w:rPr>
        <w:t>三</w:t>
      </w:r>
      <w:r>
        <w:rPr>
          <w:rFonts w:hint="eastAsia" w:ascii="黑体" w:eastAsia="黑体"/>
          <w:sz w:val="32"/>
          <w:szCs w:val="32"/>
        </w:rPr>
        <w:t>、</w:t>
      </w:r>
      <w:r>
        <w:rPr>
          <w:rFonts w:hint="eastAsia" w:ascii="黑体" w:hAnsi="黑体" w:eastAsia="黑体"/>
          <w:sz w:val="32"/>
          <w:szCs w:val="32"/>
        </w:rPr>
        <w:t>机</w:t>
      </w:r>
      <w:r>
        <w:rPr>
          <w:rFonts w:hint="eastAsia" w:ascii="黑体" w:hAnsi="黑体" w:eastAsia="黑体"/>
          <w:bCs w:val="0"/>
          <w:sz w:val="32"/>
          <w:szCs w:val="32"/>
        </w:rPr>
        <w:t>构设置</w:t>
      </w:r>
      <w:r>
        <w:rPr>
          <w:sz w:val="32"/>
          <w:szCs w:val="32"/>
        </w:rPr>
        <w:tab/>
      </w:r>
      <w:r>
        <w:rPr>
          <w:sz w:val="32"/>
          <w:szCs w:val="32"/>
        </w:rPr>
        <w:fldChar w:fldCharType="begin"/>
      </w:r>
      <w:r>
        <w:rPr>
          <w:sz w:val="32"/>
          <w:szCs w:val="32"/>
        </w:rPr>
        <w:instrText xml:space="preserve"> PAGEREF _Toc31517 </w:instrText>
      </w:r>
      <w:r>
        <w:rPr>
          <w:sz w:val="32"/>
          <w:szCs w:val="32"/>
        </w:rPr>
        <w:fldChar w:fldCharType="separate"/>
      </w:r>
      <w:r>
        <w:rPr>
          <w:sz w:val="32"/>
          <w:szCs w:val="32"/>
        </w:rPr>
        <w:t>5</w:t>
      </w:r>
      <w:r>
        <w:rPr>
          <w:sz w:val="32"/>
          <w:szCs w:val="32"/>
        </w:rPr>
        <w:fldChar w:fldCharType="end"/>
      </w:r>
      <w:r>
        <w:rPr>
          <w:sz w:val="32"/>
          <w:szCs w:val="32"/>
        </w:rPr>
        <w:fldChar w:fldCharType="end"/>
      </w:r>
    </w:p>
    <w:p>
      <w:pPr>
        <w:pStyle w:val="34"/>
        <w:tabs>
          <w:tab w:val="right" w:leader="dot" w:pos="8306"/>
        </w:tabs>
        <w:rPr>
          <w:b/>
          <w:sz w:val="32"/>
          <w:szCs w:val="32"/>
        </w:rPr>
      </w:pPr>
      <w:r>
        <w:rPr>
          <w:b/>
          <w:sz w:val="32"/>
          <w:szCs w:val="32"/>
        </w:rPr>
        <w:fldChar w:fldCharType="begin"/>
      </w:r>
      <w:r>
        <w:rPr>
          <w:b/>
          <w:sz w:val="32"/>
          <w:szCs w:val="32"/>
        </w:rPr>
        <w:instrText xml:space="preserve"> HYPERLINK \l _Toc19006 </w:instrText>
      </w:r>
      <w:r>
        <w:rPr>
          <w:b/>
          <w:sz w:val="32"/>
          <w:szCs w:val="32"/>
        </w:rPr>
        <w:fldChar w:fldCharType="separate"/>
      </w:r>
      <w:r>
        <w:rPr>
          <w:rFonts w:hint="eastAsia" w:ascii="方正小标宋简体" w:hAnsi="方正小标宋简体" w:eastAsia="方正小标宋简体" w:cs="方正小标宋简体"/>
          <w:b/>
          <w:sz w:val="32"/>
          <w:szCs w:val="32"/>
        </w:rPr>
        <w:t xml:space="preserve">第二部分 </w:t>
      </w:r>
      <w:r>
        <w:rPr>
          <w:rFonts w:hint="eastAsia" w:ascii="方正小标宋简体" w:hAnsi="方正小标宋简体" w:eastAsia="方正小标宋简体" w:cs="方正小标宋简体"/>
          <w:b/>
          <w:bCs w:val="0"/>
          <w:sz w:val="32"/>
          <w:szCs w:val="32"/>
        </w:rPr>
        <w:t>2019年度部门决算情况说明</w:t>
      </w:r>
      <w:r>
        <w:rPr>
          <w:b/>
          <w:sz w:val="32"/>
          <w:szCs w:val="32"/>
        </w:rPr>
        <w:tab/>
      </w:r>
      <w:r>
        <w:rPr>
          <w:b/>
          <w:sz w:val="32"/>
          <w:szCs w:val="32"/>
        </w:rPr>
        <w:fldChar w:fldCharType="begin"/>
      </w:r>
      <w:r>
        <w:rPr>
          <w:b/>
          <w:sz w:val="32"/>
          <w:szCs w:val="32"/>
        </w:rPr>
        <w:instrText xml:space="preserve"> PAGEREF _Toc19006 </w:instrText>
      </w:r>
      <w:r>
        <w:rPr>
          <w:b/>
          <w:sz w:val="32"/>
          <w:szCs w:val="32"/>
        </w:rPr>
        <w:fldChar w:fldCharType="separate"/>
      </w:r>
      <w:r>
        <w:rPr>
          <w:b/>
          <w:sz w:val="32"/>
          <w:szCs w:val="32"/>
        </w:rPr>
        <w:t>6</w:t>
      </w:r>
      <w:r>
        <w:rPr>
          <w:b/>
          <w:sz w:val="32"/>
          <w:szCs w:val="32"/>
        </w:rPr>
        <w:fldChar w:fldCharType="end"/>
      </w:r>
      <w:r>
        <w:rPr>
          <w:b/>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_Toc5848 </w:instrText>
      </w:r>
      <w:r>
        <w:rPr>
          <w:sz w:val="32"/>
          <w:szCs w:val="32"/>
        </w:rPr>
        <w:fldChar w:fldCharType="separate"/>
      </w:r>
      <w:r>
        <w:rPr>
          <w:rFonts w:hint="eastAsia" w:ascii="黑体" w:hAnsi="黑体" w:eastAsia="黑体"/>
          <w:sz w:val="32"/>
          <w:szCs w:val="32"/>
        </w:rPr>
        <w:t>一、收入支出决算总体情况说明</w:t>
      </w:r>
      <w:r>
        <w:rPr>
          <w:sz w:val="32"/>
          <w:szCs w:val="32"/>
        </w:rPr>
        <w:tab/>
      </w:r>
      <w:r>
        <w:rPr>
          <w:sz w:val="32"/>
          <w:szCs w:val="32"/>
        </w:rPr>
        <w:fldChar w:fldCharType="begin"/>
      </w:r>
      <w:r>
        <w:rPr>
          <w:sz w:val="32"/>
          <w:szCs w:val="32"/>
        </w:rPr>
        <w:instrText xml:space="preserve"> PAGEREF _Toc5848 </w:instrText>
      </w:r>
      <w:r>
        <w:rPr>
          <w:sz w:val="32"/>
          <w:szCs w:val="32"/>
        </w:rPr>
        <w:fldChar w:fldCharType="separate"/>
      </w:r>
      <w:r>
        <w:rPr>
          <w:sz w:val="32"/>
          <w:szCs w:val="32"/>
        </w:rPr>
        <w:t>6</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_Toc2054 </w:instrText>
      </w:r>
      <w:r>
        <w:rPr>
          <w:sz w:val="32"/>
          <w:szCs w:val="32"/>
        </w:rPr>
        <w:fldChar w:fldCharType="separate"/>
      </w:r>
      <w:r>
        <w:rPr>
          <w:rFonts w:hint="eastAsia" w:ascii="黑体" w:hAnsi="黑体" w:eastAsia="黑体"/>
          <w:sz w:val="32"/>
          <w:szCs w:val="32"/>
        </w:rPr>
        <w:t>二、收入决算情况说明</w:t>
      </w:r>
      <w:r>
        <w:rPr>
          <w:sz w:val="32"/>
          <w:szCs w:val="32"/>
        </w:rPr>
        <w:tab/>
      </w:r>
      <w:r>
        <w:rPr>
          <w:sz w:val="32"/>
          <w:szCs w:val="32"/>
        </w:rPr>
        <w:fldChar w:fldCharType="begin"/>
      </w:r>
      <w:r>
        <w:rPr>
          <w:sz w:val="32"/>
          <w:szCs w:val="32"/>
        </w:rPr>
        <w:instrText xml:space="preserve"> PAGEREF _Toc2054 </w:instrText>
      </w:r>
      <w:r>
        <w:rPr>
          <w:sz w:val="32"/>
          <w:szCs w:val="32"/>
        </w:rPr>
        <w:fldChar w:fldCharType="separate"/>
      </w:r>
      <w:r>
        <w:rPr>
          <w:sz w:val="32"/>
          <w:szCs w:val="32"/>
        </w:rPr>
        <w:t>6</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_Toc32328 </w:instrText>
      </w:r>
      <w:r>
        <w:rPr>
          <w:sz w:val="32"/>
          <w:szCs w:val="32"/>
        </w:rPr>
        <w:fldChar w:fldCharType="separate"/>
      </w:r>
      <w:r>
        <w:rPr>
          <w:rFonts w:hint="eastAsia" w:ascii="黑体" w:hAnsi="黑体" w:eastAsia="黑体"/>
          <w:sz w:val="32"/>
          <w:szCs w:val="32"/>
        </w:rPr>
        <w:t>三、支出决算情况说明</w:t>
      </w:r>
      <w:r>
        <w:rPr>
          <w:sz w:val="32"/>
          <w:szCs w:val="32"/>
        </w:rPr>
        <w:tab/>
      </w:r>
      <w:r>
        <w:rPr>
          <w:sz w:val="32"/>
          <w:szCs w:val="32"/>
        </w:rPr>
        <w:fldChar w:fldCharType="begin"/>
      </w:r>
      <w:r>
        <w:rPr>
          <w:sz w:val="32"/>
          <w:szCs w:val="32"/>
        </w:rPr>
        <w:instrText xml:space="preserve"> PAGEREF _Toc32328 </w:instrText>
      </w:r>
      <w:r>
        <w:rPr>
          <w:sz w:val="32"/>
          <w:szCs w:val="32"/>
        </w:rPr>
        <w:fldChar w:fldCharType="separate"/>
      </w:r>
      <w:r>
        <w:rPr>
          <w:sz w:val="32"/>
          <w:szCs w:val="32"/>
        </w:rPr>
        <w:t>7</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_Toc27982 </w:instrText>
      </w:r>
      <w:r>
        <w:rPr>
          <w:sz w:val="32"/>
          <w:szCs w:val="32"/>
        </w:rPr>
        <w:fldChar w:fldCharType="separate"/>
      </w:r>
      <w:r>
        <w:rPr>
          <w:rFonts w:hint="eastAsia" w:ascii="黑体" w:hAnsi="黑体" w:eastAsia="黑体"/>
          <w:sz w:val="32"/>
          <w:szCs w:val="32"/>
        </w:rPr>
        <w:t>四、财政拨款收入支出决算总体情况说明</w:t>
      </w:r>
      <w:r>
        <w:rPr>
          <w:sz w:val="32"/>
          <w:szCs w:val="32"/>
        </w:rPr>
        <w:tab/>
      </w:r>
      <w:r>
        <w:rPr>
          <w:sz w:val="32"/>
          <w:szCs w:val="32"/>
        </w:rPr>
        <w:fldChar w:fldCharType="begin"/>
      </w:r>
      <w:r>
        <w:rPr>
          <w:sz w:val="32"/>
          <w:szCs w:val="32"/>
        </w:rPr>
        <w:instrText xml:space="preserve"> PAGEREF _Toc27982 </w:instrText>
      </w:r>
      <w:r>
        <w:rPr>
          <w:sz w:val="32"/>
          <w:szCs w:val="32"/>
        </w:rPr>
        <w:fldChar w:fldCharType="separate"/>
      </w:r>
      <w:r>
        <w:rPr>
          <w:sz w:val="32"/>
          <w:szCs w:val="32"/>
        </w:rPr>
        <w:t>7</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_Toc8793 </w:instrText>
      </w:r>
      <w:r>
        <w:rPr>
          <w:sz w:val="32"/>
          <w:szCs w:val="32"/>
        </w:rPr>
        <w:fldChar w:fldCharType="separate"/>
      </w:r>
      <w:r>
        <w:rPr>
          <w:rFonts w:hint="eastAsia" w:ascii="黑体" w:hAnsi="黑体" w:eastAsia="黑体"/>
          <w:sz w:val="32"/>
          <w:szCs w:val="32"/>
        </w:rPr>
        <w:t>五、一般公共预算财政拨款支出决算情况说明</w:t>
      </w:r>
      <w:r>
        <w:rPr>
          <w:sz w:val="32"/>
          <w:szCs w:val="32"/>
        </w:rPr>
        <w:tab/>
      </w:r>
      <w:r>
        <w:rPr>
          <w:sz w:val="32"/>
          <w:szCs w:val="32"/>
        </w:rPr>
        <w:fldChar w:fldCharType="begin"/>
      </w:r>
      <w:r>
        <w:rPr>
          <w:sz w:val="32"/>
          <w:szCs w:val="32"/>
        </w:rPr>
        <w:instrText xml:space="preserve"> PAGEREF _Toc8793 </w:instrText>
      </w:r>
      <w:r>
        <w:rPr>
          <w:sz w:val="32"/>
          <w:szCs w:val="32"/>
        </w:rPr>
        <w:fldChar w:fldCharType="separate"/>
      </w:r>
      <w:r>
        <w:rPr>
          <w:sz w:val="32"/>
          <w:szCs w:val="32"/>
        </w:rPr>
        <w:t>8</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_Toc20305 </w:instrText>
      </w:r>
      <w:r>
        <w:rPr>
          <w:sz w:val="32"/>
          <w:szCs w:val="32"/>
        </w:rPr>
        <w:fldChar w:fldCharType="separate"/>
      </w:r>
      <w:r>
        <w:rPr>
          <w:rFonts w:hint="eastAsia" w:ascii="黑体" w:eastAsia="黑体"/>
          <w:sz w:val="32"/>
          <w:szCs w:val="32"/>
        </w:rPr>
        <w:t>六、</w:t>
      </w:r>
      <w:r>
        <w:rPr>
          <w:rFonts w:hint="eastAsia" w:ascii="黑体" w:hAnsi="黑体" w:eastAsia="黑体"/>
          <w:sz w:val="32"/>
          <w:szCs w:val="32"/>
        </w:rPr>
        <w:t>一般公共预算财政拨款基本支出决算情况说明</w:t>
      </w:r>
      <w:r>
        <w:rPr>
          <w:sz w:val="32"/>
          <w:szCs w:val="32"/>
        </w:rPr>
        <w:tab/>
      </w:r>
      <w:r>
        <w:rPr>
          <w:sz w:val="32"/>
          <w:szCs w:val="32"/>
        </w:rPr>
        <w:fldChar w:fldCharType="begin"/>
      </w:r>
      <w:r>
        <w:rPr>
          <w:sz w:val="32"/>
          <w:szCs w:val="32"/>
        </w:rPr>
        <w:instrText xml:space="preserve"> PAGEREF _Toc20305 </w:instrText>
      </w:r>
      <w:r>
        <w:rPr>
          <w:sz w:val="32"/>
          <w:szCs w:val="32"/>
        </w:rPr>
        <w:fldChar w:fldCharType="separate"/>
      </w:r>
      <w:r>
        <w:rPr>
          <w:sz w:val="32"/>
          <w:szCs w:val="32"/>
        </w:rPr>
        <w:t>11</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_Toc30160 </w:instrText>
      </w:r>
      <w:r>
        <w:rPr>
          <w:sz w:val="32"/>
          <w:szCs w:val="32"/>
        </w:rPr>
        <w:fldChar w:fldCharType="separate"/>
      </w:r>
      <w:r>
        <w:rPr>
          <w:rFonts w:hint="eastAsia" w:ascii="黑体" w:eastAsia="黑体"/>
          <w:sz w:val="32"/>
          <w:szCs w:val="32"/>
        </w:rPr>
        <w:t>七、</w:t>
      </w:r>
      <w:r>
        <w:rPr>
          <w:rFonts w:hint="eastAsia" w:ascii="黑体" w:hAnsi="黑体" w:eastAsia="黑体"/>
          <w:sz w:val="32"/>
          <w:szCs w:val="32"/>
        </w:rPr>
        <w:t>“三公”经费财政拨款支出决算情况说明</w:t>
      </w:r>
      <w:r>
        <w:rPr>
          <w:sz w:val="32"/>
          <w:szCs w:val="32"/>
        </w:rPr>
        <w:tab/>
      </w:r>
      <w:r>
        <w:rPr>
          <w:sz w:val="32"/>
          <w:szCs w:val="32"/>
        </w:rPr>
        <w:fldChar w:fldCharType="begin"/>
      </w:r>
      <w:r>
        <w:rPr>
          <w:sz w:val="32"/>
          <w:szCs w:val="32"/>
        </w:rPr>
        <w:instrText xml:space="preserve"> PAGEREF _Toc30160 </w:instrText>
      </w:r>
      <w:r>
        <w:rPr>
          <w:sz w:val="32"/>
          <w:szCs w:val="32"/>
        </w:rPr>
        <w:fldChar w:fldCharType="separate"/>
      </w:r>
      <w:r>
        <w:rPr>
          <w:sz w:val="32"/>
          <w:szCs w:val="32"/>
        </w:rPr>
        <w:t>11</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_Toc1298 </w:instrText>
      </w:r>
      <w:r>
        <w:rPr>
          <w:sz w:val="32"/>
          <w:szCs w:val="32"/>
        </w:rPr>
        <w:fldChar w:fldCharType="separate"/>
      </w:r>
      <w:r>
        <w:rPr>
          <w:rFonts w:hint="eastAsia" w:ascii="黑体" w:eastAsia="黑体"/>
          <w:sz w:val="32"/>
          <w:szCs w:val="32"/>
        </w:rPr>
        <w:t>八、</w:t>
      </w:r>
      <w:r>
        <w:rPr>
          <w:rFonts w:hint="eastAsia" w:ascii="黑体" w:hAnsi="黑体" w:eastAsia="黑体"/>
          <w:sz w:val="32"/>
          <w:szCs w:val="32"/>
        </w:rPr>
        <w:t>政府性基金预算支出决算情况说明</w:t>
      </w:r>
      <w:r>
        <w:rPr>
          <w:sz w:val="32"/>
          <w:szCs w:val="32"/>
        </w:rPr>
        <w:tab/>
      </w:r>
      <w:r>
        <w:rPr>
          <w:sz w:val="32"/>
          <w:szCs w:val="32"/>
        </w:rPr>
        <w:fldChar w:fldCharType="begin"/>
      </w:r>
      <w:r>
        <w:rPr>
          <w:sz w:val="32"/>
          <w:szCs w:val="32"/>
        </w:rPr>
        <w:instrText xml:space="preserve"> PAGEREF _Toc1298 </w:instrText>
      </w:r>
      <w:r>
        <w:rPr>
          <w:sz w:val="32"/>
          <w:szCs w:val="32"/>
        </w:rPr>
        <w:fldChar w:fldCharType="separate"/>
      </w:r>
      <w:r>
        <w:rPr>
          <w:sz w:val="32"/>
          <w:szCs w:val="32"/>
        </w:rPr>
        <w:t>13</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_Toc28225 </w:instrText>
      </w:r>
      <w:r>
        <w:rPr>
          <w:sz w:val="32"/>
          <w:szCs w:val="32"/>
        </w:rPr>
        <w:fldChar w:fldCharType="separate"/>
      </w:r>
      <w:r>
        <w:rPr>
          <w:rFonts w:hint="eastAsia" w:ascii="黑体" w:hAnsi="黑体" w:eastAsia="黑体" w:cs="Times New Roman"/>
          <w:sz w:val="32"/>
          <w:szCs w:val="32"/>
        </w:rPr>
        <w:t>九、 国有资本经营预算支出决算情况说明</w:t>
      </w:r>
      <w:r>
        <w:rPr>
          <w:sz w:val="32"/>
          <w:szCs w:val="32"/>
        </w:rPr>
        <w:tab/>
      </w:r>
      <w:r>
        <w:rPr>
          <w:sz w:val="32"/>
          <w:szCs w:val="32"/>
        </w:rPr>
        <w:fldChar w:fldCharType="begin"/>
      </w:r>
      <w:r>
        <w:rPr>
          <w:sz w:val="32"/>
          <w:szCs w:val="32"/>
        </w:rPr>
        <w:instrText xml:space="preserve"> PAGEREF _Toc28225 </w:instrText>
      </w:r>
      <w:r>
        <w:rPr>
          <w:sz w:val="32"/>
          <w:szCs w:val="32"/>
        </w:rPr>
        <w:fldChar w:fldCharType="separate"/>
      </w:r>
      <w:r>
        <w:rPr>
          <w:sz w:val="32"/>
          <w:szCs w:val="32"/>
        </w:rPr>
        <w:t>13</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_Toc20545 </w:instrText>
      </w:r>
      <w:r>
        <w:rPr>
          <w:sz w:val="32"/>
          <w:szCs w:val="32"/>
        </w:rPr>
        <w:fldChar w:fldCharType="separate"/>
      </w:r>
      <w:r>
        <w:rPr>
          <w:rFonts w:hint="eastAsia" w:ascii="黑体" w:hAnsi="黑体" w:eastAsia="黑体"/>
          <w:sz w:val="32"/>
          <w:szCs w:val="32"/>
        </w:rPr>
        <w:t>十、其他重要事项的情况说明</w:t>
      </w:r>
      <w:r>
        <w:rPr>
          <w:sz w:val="32"/>
          <w:szCs w:val="32"/>
        </w:rPr>
        <w:tab/>
      </w:r>
      <w:r>
        <w:rPr>
          <w:sz w:val="32"/>
          <w:szCs w:val="32"/>
        </w:rPr>
        <w:fldChar w:fldCharType="begin"/>
      </w:r>
      <w:r>
        <w:rPr>
          <w:sz w:val="32"/>
          <w:szCs w:val="32"/>
        </w:rPr>
        <w:instrText xml:space="preserve"> PAGEREF _Toc20545 </w:instrText>
      </w:r>
      <w:r>
        <w:rPr>
          <w:sz w:val="32"/>
          <w:szCs w:val="32"/>
        </w:rPr>
        <w:fldChar w:fldCharType="separate"/>
      </w:r>
      <w:r>
        <w:rPr>
          <w:sz w:val="32"/>
          <w:szCs w:val="32"/>
        </w:rPr>
        <w:t>13</w:t>
      </w:r>
      <w:r>
        <w:rPr>
          <w:sz w:val="32"/>
          <w:szCs w:val="32"/>
        </w:rPr>
        <w:fldChar w:fldCharType="end"/>
      </w:r>
      <w:r>
        <w:rPr>
          <w:sz w:val="32"/>
          <w:szCs w:val="32"/>
        </w:rPr>
        <w:fldChar w:fldCharType="end"/>
      </w:r>
    </w:p>
    <w:p>
      <w:pPr>
        <w:pStyle w:val="34"/>
        <w:tabs>
          <w:tab w:val="right" w:leader="dot" w:pos="8306"/>
        </w:tabs>
        <w:rPr>
          <w:b/>
          <w:sz w:val="32"/>
          <w:szCs w:val="32"/>
        </w:rPr>
      </w:pPr>
      <w:r>
        <w:rPr>
          <w:b/>
          <w:sz w:val="32"/>
          <w:szCs w:val="32"/>
        </w:rPr>
        <w:fldChar w:fldCharType="begin"/>
      </w:r>
      <w:r>
        <w:rPr>
          <w:b/>
          <w:sz w:val="32"/>
          <w:szCs w:val="32"/>
        </w:rPr>
        <w:instrText xml:space="preserve"> HYPERLINK \l _Toc27205 </w:instrText>
      </w:r>
      <w:r>
        <w:rPr>
          <w:b/>
          <w:sz w:val="32"/>
          <w:szCs w:val="32"/>
        </w:rPr>
        <w:fldChar w:fldCharType="separate"/>
      </w:r>
      <w:r>
        <w:rPr>
          <w:rFonts w:hint="eastAsia" w:ascii="仿宋_GB2312" w:hAnsi="Calibri" w:eastAsia="仿宋_GB2312" w:cs="Times New Roman"/>
          <w:b/>
          <w:kern w:val="0"/>
          <w:sz w:val="32"/>
          <w:szCs w:val="32"/>
        </w:rPr>
        <w:t xml:space="preserve">第三部分 </w:t>
      </w:r>
      <w:r>
        <w:rPr>
          <w:rFonts w:hint="eastAsia" w:ascii="仿宋_GB2312" w:hAnsi="Calibri" w:eastAsia="仿宋_GB2312" w:cs="仿宋"/>
          <w:b/>
          <w:kern w:val="0"/>
          <w:sz w:val="32"/>
          <w:szCs w:val="32"/>
        </w:rPr>
        <w:t>名词解释</w:t>
      </w:r>
      <w:r>
        <w:rPr>
          <w:b/>
          <w:sz w:val="32"/>
          <w:szCs w:val="32"/>
        </w:rPr>
        <w:tab/>
      </w:r>
      <w:r>
        <w:rPr>
          <w:b/>
          <w:sz w:val="32"/>
          <w:szCs w:val="32"/>
        </w:rPr>
        <w:fldChar w:fldCharType="begin"/>
      </w:r>
      <w:r>
        <w:rPr>
          <w:b/>
          <w:sz w:val="32"/>
          <w:szCs w:val="32"/>
        </w:rPr>
        <w:instrText xml:space="preserve"> PAGEREF _Toc27205 </w:instrText>
      </w:r>
      <w:r>
        <w:rPr>
          <w:b/>
          <w:sz w:val="32"/>
          <w:szCs w:val="32"/>
        </w:rPr>
        <w:fldChar w:fldCharType="separate"/>
      </w:r>
      <w:r>
        <w:rPr>
          <w:b/>
          <w:sz w:val="32"/>
          <w:szCs w:val="32"/>
        </w:rPr>
        <w:t>26</w:t>
      </w:r>
      <w:r>
        <w:rPr>
          <w:b/>
          <w:sz w:val="32"/>
          <w:szCs w:val="32"/>
        </w:rPr>
        <w:fldChar w:fldCharType="end"/>
      </w:r>
      <w:r>
        <w:rPr>
          <w:b/>
          <w:sz w:val="32"/>
          <w:szCs w:val="32"/>
        </w:rPr>
        <w:fldChar w:fldCharType="end"/>
      </w:r>
    </w:p>
    <w:p>
      <w:pPr>
        <w:pStyle w:val="34"/>
        <w:tabs>
          <w:tab w:val="right" w:leader="dot" w:pos="8306"/>
        </w:tabs>
        <w:rPr>
          <w:b/>
          <w:sz w:val="32"/>
          <w:szCs w:val="32"/>
        </w:rPr>
      </w:pPr>
      <w:r>
        <w:rPr>
          <w:b/>
          <w:sz w:val="32"/>
          <w:szCs w:val="32"/>
        </w:rPr>
        <w:fldChar w:fldCharType="begin"/>
      </w:r>
      <w:r>
        <w:rPr>
          <w:b/>
          <w:sz w:val="32"/>
          <w:szCs w:val="32"/>
        </w:rPr>
        <w:instrText xml:space="preserve"> HYPERLINK \l _Toc21020 </w:instrText>
      </w:r>
      <w:r>
        <w:rPr>
          <w:b/>
          <w:sz w:val="32"/>
          <w:szCs w:val="32"/>
        </w:rPr>
        <w:fldChar w:fldCharType="separate"/>
      </w: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附件</w:t>
      </w:r>
      <w:r>
        <w:rPr>
          <w:b/>
          <w:sz w:val="32"/>
          <w:szCs w:val="32"/>
        </w:rPr>
        <w:tab/>
      </w:r>
      <w:r>
        <w:rPr>
          <w:b/>
          <w:sz w:val="32"/>
          <w:szCs w:val="32"/>
        </w:rPr>
        <w:fldChar w:fldCharType="begin"/>
      </w:r>
      <w:r>
        <w:rPr>
          <w:b/>
          <w:sz w:val="32"/>
          <w:szCs w:val="32"/>
        </w:rPr>
        <w:instrText xml:space="preserve"> PAGEREF _Toc21020 </w:instrText>
      </w:r>
      <w:r>
        <w:rPr>
          <w:b/>
          <w:sz w:val="32"/>
          <w:szCs w:val="32"/>
        </w:rPr>
        <w:fldChar w:fldCharType="separate"/>
      </w:r>
      <w:r>
        <w:rPr>
          <w:b/>
          <w:sz w:val="32"/>
          <w:szCs w:val="32"/>
        </w:rPr>
        <w:t>29</w:t>
      </w:r>
      <w:r>
        <w:rPr>
          <w:b/>
          <w:sz w:val="32"/>
          <w:szCs w:val="32"/>
        </w:rPr>
        <w:fldChar w:fldCharType="end"/>
      </w:r>
      <w:r>
        <w:rPr>
          <w:b/>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_Toc22306 </w:instrText>
      </w:r>
      <w:r>
        <w:rPr>
          <w:sz w:val="32"/>
          <w:szCs w:val="32"/>
        </w:rPr>
        <w:fldChar w:fldCharType="separate"/>
      </w:r>
      <w:r>
        <w:rPr>
          <w:rFonts w:hint="eastAsia" w:ascii="仿宋" w:hAnsi="仿宋" w:eastAsia="仿宋"/>
          <w:bCs w:val="0"/>
          <w:sz w:val="32"/>
          <w:szCs w:val="32"/>
        </w:rPr>
        <w:t>附件</w:t>
      </w:r>
      <w:r>
        <w:rPr>
          <w:rFonts w:ascii="仿宋" w:hAnsi="仿宋" w:eastAsia="仿宋"/>
          <w:bCs w:val="0"/>
          <w:sz w:val="32"/>
          <w:szCs w:val="32"/>
        </w:rPr>
        <w:t>1</w:t>
      </w:r>
      <w:r>
        <w:rPr>
          <w:sz w:val="32"/>
          <w:szCs w:val="32"/>
        </w:rPr>
        <w:tab/>
      </w:r>
      <w:r>
        <w:rPr>
          <w:sz w:val="32"/>
          <w:szCs w:val="32"/>
        </w:rPr>
        <w:fldChar w:fldCharType="begin"/>
      </w:r>
      <w:r>
        <w:rPr>
          <w:sz w:val="32"/>
          <w:szCs w:val="32"/>
        </w:rPr>
        <w:instrText xml:space="preserve"> PAGEREF _Toc22306 </w:instrText>
      </w:r>
      <w:r>
        <w:rPr>
          <w:sz w:val="32"/>
          <w:szCs w:val="32"/>
        </w:rPr>
        <w:fldChar w:fldCharType="separate"/>
      </w:r>
      <w:r>
        <w:rPr>
          <w:sz w:val="32"/>
          <w:szCs w:val="32"/>
        </w:rPr>
        <w:t>29</w:t>
      </w:r>
      <w:r>
        <w:rPr>
          <w:sz w:val="32"/>
          <w:szCs w:val="32"/>
        </w:rPr>
        <w:fldChar w:fldCharType="end"/>
      </w:r>
      <w:r>
        <w:rPr>
          <w:sz w:val="32"/>
          <w:szCs w:val="32"/>
        </w:rPr>
        <w:fldChar w:fldCharType="end"/>
      </w:r>
    </w:p>
    <w:p>
      <w:pPr>
        <w:pStyle w:val="34"/>
        <w:tabs>
          <w:tab w:val="right" w:leader="dot" w:pos="8306"/>
        </w:tabs>
        <w:rPr>
          <w:b/>
          <w:sz w:val="32"/>
          <w:szCs w:val="32"/>
        </w:rPr>
      </w:pPr>
      <w:r>
        <w:rPr>
          <w:b/>
          <w:sz w:val="32"/>
          <w:szCs w:val="32"/>
        </w:rPr>
        <w:fldChar w:fldCharType="begin"/>
      </w:r>
      <w:r>
        <w:rPr>
          <w:b/>
          <w:sz w:val="32"/>
          <w:szCs w:val="32"/>
        </w:rPr>
        <w:instrText xml:space="preserve"> HYPERLINK \l _Toc14305 </w:instrText>
      </w:r>
      <w:r>
        <w:rPr>
          <w:b/>
          <w:sz w:val="32"/>
          <w:szCs w:val="32"/>
        </w:rPr>
        <w:fldChar w:fldCharType="separate"/>
      </w:r>
      <w:r>
        <w:rPr>
          <w:rFonts w:hint="eastAsia" w:ascii="黑体" w:hAnsi="黑体" w:eastAsia="黑体"/>
          <w:b/>
          <w:sz w:val="32"/>
          <w:szCs w:val="32"/>
        </w:rPr>
        <w:t>第五部分</w:t>
      </w:r>
      <w:r>
        <w:rPr>
          <w:rFonts w:ascii="黑体" w:hAnsi="黑体" w:eastAsia="黑体"/>
          <w:b/>
          <w:sz w:val="32"/>
          <w:szCs w:val="32"/>
        </w:rPr>
        <w:t xml:space="preserve"> </w:t>
      </w:r>
      <w:r>
        <w:rPr>
          <w:rFonts w:hint="eastAsia" w:ascii="黑体" w:hAnsi="黑体" w:eastAsia="黑体"/>
          <w:b/>
          <w:sz w:val="32"/>
          <w:szCs w:val="32"/>
        </w:rPr>
        <w:t>附表</w:t>
      </w:r>
      <w:r>
        <w:rPr>
          <w:b/>
          <w:sz w:val="32"/>
          <w:szCs w:val="32"/>
        </w:rPr>
        <w:tab/>
      </w:r>
      <w:r>
        <w:rPr>
          <w:b/>
          <w:sz w:val="32"/>
          <w:szCs w:val="32"/>
        </w:rPr>
        <w:fldChar w:fldCharType="begin"/>
      </w:r>
      <w:r>
        <w:rPr>
          <w:b/>
          <w:sz w:val="32"/>
          <w:szCs w:val="32"/>
        </w:rPr>
        <w:instrText xml:space="preserve"> PAGEREF _Toc14305 </w:instrText>
      </w:r>
      <w:r>
        <w:rPr>
          <w:b/>
          <w:sz w:val="32"/>
          <w:szCs w:val="32"/>
        </w:rPr>
        <w:fldChar w:fldCharType="separate"/>
      </w:r>
      <w:r>
        <w:rPr>
          <w:b/>
          <w:sz w:val="32"/>
          <w:szCs w:val="32"/>
        </w:rPr>
        <w:t>50</w:t>
      </w:r>
      <w:r>
        <w:rPr>
          <w:b/>
          <w:sz w:val="32"/>
          <w:szCs w:val="32"/>
        </w:rPr>
        <w:fldChar w:fldCharType="end"/>
      </w:r>
      <w:r>
        <w:rPr>
          <w:b/>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_Toc5602 </w:instrText>
      </w:r>
      <w:r>
        <w:rPr>
          <w:sz w:val="32"/>
          <w:szCs w:val="32"/>
        </w:rPr>
        <w:fldChar w:fldCharType="separate"/>
      </w:r>
      <w:r>
        <w:rPr>
          <w:rFonts w:ascii="仿宋" w:hAnsi="仿宋" w:eastAsia="仿宋" w:cs="Times New Roman"/>
          <w:sz w:val="32"/>
          <w:szCs w:val="32"/>
        </w:rPr>
        <w:t xml:space="preserve">一、 </w:t>
      </w:r>
      <w:r>
        <w:rPr>
          <w:rFonts w:hint="eastAsia" w:ascii="仿宋" w:hAnsi="仿宋" w:eastAsia="仿宋"/>
          <w:sz w:val="32"/>
          <w:szCs w:val="32"/>
        </w:rPr>
        <w:t>收入支出决算总表</w:t>
      </w:r>
      <w:r>
        <w:rPr>
          <w:sz w:val="32"/>
          <w:szCs w:val="32"/>
        </w:rPr>
        <w:tab/>
      </w:r>
      <w:r>
        <w:rPr>
          <w:sz w:val="32"/>
          <w:szCs w:val="32"/>
        </w:rPr>
        <w:fldChar w:fldCharType="begin"/>
      </w:r>
      <w:r>
        <w:rPr>
          <w:sz w:val="32"/>
          <w:szCs w:val="32"/>
        </w:rPr>
        <w:instrText xml:space="preserve"> PAGEREF _Toc5602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_Toc19474 </w:instrText>
      </w:r>
      <w:r>
        <w:rPr>
          <w:sz w:val="32"/>
          <w:szCs w:val="32"/>
        </w:rPr>
        <w:fldChar w:fldCharType="separate"/>
      </w:r>
      <w:r>
        <w:rPr>
          <w:rFonts w:hint="eastAsia" w:ascii="仿宋" w:hAnsi="仿宋" w:eastAsia="仿宋"/>
          <w:sz w:val="32"/>
          <w:szCs w:val="32"/>
        </w:rPr>
        <w:t>二、收</w:t>
      </w:r>
      <w:r>
        <w:rPr>
          <w:rFonts w:hint="eastAsia" w:ascii="仿宋" w:hAnsi="仿宋" w:eastAsia="仿宋"/>
          <w:bCs w:val="0"/>
          <w:sz w:val="32"/>
          <w:szCs w:val="32"/>
        </w:rPr>
        <w:t>入总表</w:t>
      </w:r>
      <w:r>
        <w:rPr>
          <w:sz w:val="32"/>
          <w:szCs w:val="32"/>
        </w:rPr>
        <w:tab/>
      </w:r>
      <w:r>
        <w:rPr>
          <w:sz w:val="32"/>
          <w:szCs w:val="32"/>
        </w:rPr>
        <w:fldChar w:fldCharType="begin"/>
      </w:r>
      <w:r>
        <w:rPr>
          <w:sz w:val="32"/>
          <w:szCs w:val="32"/>
        </w:rPr>
        <w:instrText xml:space="preserve"> PAGEREF _Toc19474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_Toc1564 </w:instrText>
      </w:r>
      <w:r>
        <w:rPr>
          <w:sz w:val="32"/>
          <w:szCs w:val="32"/>
        </w:rPr>
        <w:fldChar w:fldCharType="separate"/>
      </w:r>
      <w:r>
        <w:rPr>
          <w:rFonts w:hint="eastAsia" w:ascii="仿宋" w:hAnsi="仿宋" w:eastAsia="仿宋"/>
          <w:bCs w:val="0"/>
          <w:sz w:val="32"/>
          <w:szCs w:val="32"/>
        </w:rPr>
        <w:t>三、</w:t>
      </w:r>
      <w:r>
        <w:rPr>
          <w:rFonts w:hint="eastAsia" w:ascii="仿宋" w:hAnsi="仿宋" w:eastAsia="仿宋"/>
          <w:sz w:val="32"/>
          <w:szCs w:val="32"/>
        </w:rPr>
        <w:t>支</w:t>
      </w:r>
      <w:r>
        <w:rPr>
          <w:rFonts w:hint="eastAsia" w:ascii="仿宋" w:hAnsi="仿宋" w:eastAsia="仿宋"/>
          <w:bCs w:val="0"/>
          <w:sz w:val="32"/>
          <w:szCs w:val="32"/>
        </w:rPr>
        <w:t>出总表</w:t>
      </w:r>
      <w:r>
        <w:rPr>
          <w:sz w:val="32"/>
          <w:szCs w:val="32"/>
        </w:rPr>
        <w:tab/>
      </w:r>
      <w:r>
        <w:rPr>
          <w:sz w:val="32"/>
          <w:szCs w:val="32"/>
        </w:rPr>
        <w:fldChar w:fldCharType="begin"/>
      </w:r>
      <w:r>
        <w:rPr>
          <w:sz w:val="32"/>
          <w:szCs w:val="32"/>
        </w:rPr>
        <w:instrText xml:space="preserve"> PAGEREF _Toc1564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_Toc6811 </w:instrText>
      </w:r>
      <w:r>
        <w:rPr>
          <w:sz w:val="32"/>
          <w:szCs w:val="32"/>
        </w:rPr>
        <w:fldChar w:fldCharType="separate"/>
      </w:r>
      <w:r>
        <w:rPr>
          <w:rFonts w:hint="eastAsia" w:ascii="仿宋" w:hAnsi="仿宋" w:eastAsia="仿宋"/>
          <w:bCs w:val="0"/>
          <w:sz w:val="32"/>
          <w:szCs w:val="32"/>
        </w:rPr>
        <w:t>四、</w:t>
      </w:r>
      <w:r>
        <w:rPr>
          <w:rFonts w:hint="eastAsia" w:ascii="仿宋" w:hAnsi="仿宋" w:eastAsia="仿宋"/>
          <w:sz w:val="32"/>
          <w:szCs w:val="32"/>
        </w:rPr>
        <w:t>财</w:t>
      </w:r>
      <w:r>
        <w:rPr>
          <w:rFonts w:hint="eastAsia" w:ascii="仿宋" w:hAnsi="仿宋" w:eastAsia="仿宋"/>
          <w:bCs w:val="0"/>
          <w:sz w:val="32"/>
          <w:szCs w:val="32"/>
        </w:rPr>
        <w:t>政拨款收入支出决算总表</w:t>
      </w:r>
      <w:r>
        <w:rPr>
          <w:sz w:val="32"/>
          <w:szCs w:val="32"/>
        </w:rPr>
        <w:tab/>
      </w:r>
      <w:r>
        <w:rPr>
          <w:sz w:val="32"/>
          <w:szCs w:val="32"/>
        </w:rPr>
        <w:fldChar w:fldCharType="begin"/>
      </w:r>
      <w:r>
        <w:rPr>
          <w:sz w:val="32"/>
          <w:szCs w:val="32"/>
        </w:rPr>
        <w:instrText xml:space="preserve"> PAGEREF _Toc6811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_Toc19445 </w:instrText>
      </w:r>
      <w:r>
        <w:rPr>
          <w:sz w:val="32"/>
          <w:szCs w:val="32"/>
        </w:rPr>
        <w:fldChar w:fldCharType="separate"/>
      </w:r>
      <w:r>
        <w:rPr>
          <w:rFonts w:hint="eastAsia" w:ascii="仿宋" w:hAnsi="仿宋" w:eastAsia="仿宋"/>
          <w:bCs w:val="0"/>
          <w:sz w:val="32"/>
          <w:szCs w:val="32"/>
        </w:rPr>
        <w:t>五、</w:t>
      </w:r>
      <w:r>
        <w:rPr>
          <w:rFonts w:hint="eastAsia" w:ascii="仿宋" w:hAnsi="仿宋" w:eastAsia="仿宋"/>
          <w:sz w:val="32"/>
          <w:szCs w:val="32"/>
        </w:rPr>
        <w:t>财</w:t>
      </w:r>
      <w:r>
        <w:rPr>
          <w:rFonts w:hint="eastAsia" w:ascii="仿宋" w:hAnsi="仿宋" w:eastAsia="仿宋"/>
          <w:bCs w:val="0"/>
          <w:sz w:val="32"/>
          <w:szCs w:val="32"/>
        </w:rPr>
        <w:t>政拨款支出决算明细表（政府经济分类科目）</w:t>
      </w:r>
      <w:r>
        <w:rPr>
          <w:sz w:val="32"/>
          <w:szCs w:val="32"/>
        </w:rPr>
        <w:tab/>
      </w:r>
      <w:r>
        <w:rPr>
          <w:sz w:val="32"/>
          <w:szCs w:val="32"/>
        </w:rPr>
        <w:fldChar w:fldCharType="begin"/>
      </w:r>
      <w:r>
        <w:rPr>
          <w:sz w:val="32"/>
          <w:szCs w:val="32"/>
        </w:rPr>
        <w:instrText xml:space="preserve"> PAGEREF _Toc19445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_Toc1878 </w:instrText>
      </w:r>
      <w:r>
        <w:rPr>
          <w:sz w:val="32"/>
          <w:szCs w:val="32"/>
        </w:rPr>
        <w:fldChar w:fldCharType="separate"/>
      </w:r>
      <w:r>
        <w:rPr>
          <w:rFonts w:hint="eastAsia" w:ascii="仿宋" w:hAnsi="仿宋" w:eastAsia="仿宋"/>
          <w:bCs w:val="0"/>
          <w:sz w:val="32"/>
          <w:szCs w:val="32"/>
        </w:rPr>
        <w:t>六、</w:t>
      </w:r>
      <w:r>
        <w:rPr>
          <w:rFonts w:hint="eastAsia" w:ascii="仿宋" w:hAnsi="仿宋" w:eastAsia="仿宋"/>
          <w:sz w:val="32"/>
          <w:szCs w:val="32"/>
        </w:rPr>
        <w:t>一</w:t>
      </w:r>
      <w:r>
        <w:rPr>
          <w:rFonts w:hint="eastAsia" w:ascii="仿宋" w:hAnsi="仿宋" w:eastAsia="仿宋"/>
          <w:bCs w:val="0"/>
          <w:sz w:val="32"/>
          <w:szCs w:val="32"/>
        </w:rPr>
        <w:t>般公共预算财政拨款支出决算表</w:t>
      </w:r>
      <w:r>
        <w:rPr>
          <w:sz w:val="32"/>
          <w:szCs w:val="32"/>
        </w:rPr>
        <w:tab/>
      </w:r>
      <w:r>
        <w:rPr>
          <w:sz w:val="32"/>
          <w:szCs w:val="32"/>
        </w:rPr>
        <w:fldChar w:fldCharType="begin"/>
      </w:r>
      <w:r>
        <w:rPr>
          <w:sz w:val="32"/>
          <w:szCs w:val="32"/>
        </w:rPr>
        <w:instrText xml:space="preserve"> PAGEREF _Toc1878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_Toc21275 </w:instrText>
      </w:r>
      <w:r>
        <w:rPr>
          <w:sz w:val="32"/>
          <w:szCs w:val="32"/>
        </w:rPr>
        <w:fldChar w:fldCharType="separate"/>
      </w:r>
      <w:r>
        <w:rPr>
          <w:rFonts w:hint="eastAsia" w:ascii="仿宋" w:hAnsi="仿宋" w:eastAsia="仿宋"/>
          <w:bCs w:val="0"/>
          <w:sz w:val="32"/>
          <w:szCs w:val="32"/>
        </w:rPr>
        <w:t>七、</w:t>
      </w:r>
      <w:r>
        <w:rPr>
          <w:rFonts w:hint="eastAsia" w:ascii="仿宋" w:hAnsi="仿宋" w:eastAsia="仿宋"/>
          <w:sz w:val="32"/>
          <w:szCs w:val="32"/>
        </w:rPr>
        <w:t>一</w:t>
      </w:r>
      <w:r>
        <w:rPr>
          <w:rFonts w:hint="eastAsia" w:ascii="仿宋" w:hAnsi="仿宋" w:eastAsia="仿宋"/>
          <w:bCs w:val="0"/>
          <w:sz w:val="32"/>
          <w:szCs w:val="32"/>
        </w:rPr>
        <w:t>般公共预算财政拨款支出决算明细表</w:t>
      </w:r>
      <w:r>
        <w:rPr>
          <w:sz w:val="32"/>
          <w:szCs w:val="32"/>
        </w:rPr>
        <w:tab/>
      </w:r>
      <w:r>
        <w:rPr>
          <w:sz w:val="32"/>
          <w:szCs w:val="32"/>
        </w:rPr>
        <w:fldChar w:fldCharType="begin"/>
      </w:r>
      <w:r>
        <w:rPr>
          <w:sz w:val="32"/>
          <w:szCs w:val="32"/>
        </w:rPr>
        <w:instrText xml:space="preserve"> PAGEREF _Toc21275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_Toc29058 </w:instrText>
      </w:r>
      <w:r>
        <w:rPr>
          <w:sz w:val="32"/>
          <w:szCs w:val="32"/>
        </w:rPr>
        <w:fldChar w:fldCharType="separate"/>
      </w:r>
      <w:r>
        <w:rPr>
          <w:rFonts w:hint="eastAsia" w:ascii="仿宋" w:hAnsi="仿宋" w:eastAsia="仿宋"/>
          <w:bCs w:val="0"/>
          <w:sz w:val="32"/>
          <w:szCs w:val="32"/>
        </w:rPr>
        <w:t>八、</w:t>
      </w:r>
      <w:r>
        <w:rPr>
          <w:rFonts w:hint="eastAsia" w:ascii="仿宋" w:hAnsi="仿宋" w:eastAsia="仿宋"/>
          <w:sz w:val="32"/>
          <w:szCs w:val="32"/>
        </w:rPr>
        <w:t>一</w:t>
      </w:r>
      <w:r>
        <w:rPr>
          <w:rFonts w:hint="eastAsia" w:ascii="仿宋" w:hAnsi="仿宋" w:eastAsia="仿宋"/>
          <w:bCs w:val="0"/>
          <w:sz w:val="32"/>
          <w:szCs w:val="32"/>
        </w:rPr>
        <w:t>般公共预算财政拨款基本支出决算表</w:t>
      </w:r>
      <w:r>
        <w:rPr>
          <w:sz w:val="32"/>
          <w:szCs w:val="32"/>
        </w:rPr>
        <w:tab/>
      </w:r>
      <w:r>
        <w:rPr>
          <w:sz w:val="32"/>
          <w:szCs w:val="32"/>
        </w:rPr>
        <w:fldChar w:fldCharType="begin"/>
      </w:r>
      <w:r>
        <w:rPr>
          <w:sz w:val="32"/>
          <w:szCs w:val="32"/>
        </w:rPr>
        <w:instrText xml:space="preserve"> PAGEREF _Toc29058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_Toc24280 </w:instrText>
      </w:r>
      <w:r>
        <w:rPr>
          <w:sz w:val="32"/>
          <w:szCs w:val="32"/>
        </w:rPr>
        <w:fldChar w:fldCharType="separate"/>
      </w:r>
      <w:r>
        <w:rPr>
          <w:rFonts w:hint="eastAsia" w:ascii="仿宋" w:hAnsi="仿宋" w:eastAsia="仿宋"/>
          <w:bCs w:val="0"/>
          <w:sz w:val="32"/>
          <w:szCs w:val="32"/>
        </w:rPr>
        <w:t>九、</w:t>
      </w:r>
      <w:r>
        <w:rPr>
          <w:rFonts w:hint="eastAsia" w:ascii="仿宋" w:hAnsi="仿宋" w:eastAsia="仿宋"/>
          <w:sz w:val="32"/>
          <w:szCs w:val="32"/>
        </w:rPr>
        <w:t>一</w:t>
      </w:r>
      <w:r>
        <w:rPr>
          <w:rFonts w:hint="eastAsia" w:ascii="仿宋" w:hAnsi="仿宋" w:eastAsia="仿宋"/>
          <w:bCs w:val="0"/>
          <w:sz w:val="32"/>
          <w:szCs w:val="32"/>
        </w:rPr>
        <w:t>般公共预算财政拨款项目支出决算表</w:t>
      </w:r>
      <w:r>
        <w:rPr>
          <w:sz w:val="32"/>
          <w:szCs w:val="32"/>
        </w:rPr>
        <w:tab/>
      </w:r>
      <w:r>
        <w:rPr>
          <w:sz w:val="32"/>
          <w:szCs w:val="32"/>
        </w:rPr>
        <w:fldChar w:fldCharType="begin"/>
      </w:r>
      <w:r>
        <w:rPr>
          <w:sz w:val="32"/>
          <w:szCs w:val="32"/>
        </w:rPr>
        <w:instrText xml:space="preserve"> PAGEREF _Toc24280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_Toc5162 </w:instrText>
      </w:r>
      <w:r>
        <w:rPr>
          <w:sz w:val="32"/>
          <w:szCs w:val="32"/>
        </w:rPr>
        <w:fldChar w:fldCharType="separate"/>
      </w:r>
      <w:r>
        <w:rPr>
          <w:rFonts w:hint="eastAsia" w:ascii="仿宋" w:hAnsi="仿宋" w:eastAsia="仿宋"/>
          <w:bCs w:val="0"/>
          <w:sz w:val="32"/>
          <w:szCs w:val="32"/>
        </w:rPr>
        <w:t>十、</w:t>
      </w:r>
      <w:r>
        <w:rPr>
          <w:rFonts w:hint="eastAsia" w:ascii="仿宋" w:hAnsi="仿宋" w:eastAsia="仿宋"/>
          <w:sz w:val="32"/>
          <w:szCs w:val="32"/>
        </w:rPr>
        <w:t>一</w:t>
      </w:r>
      <w:r>
        <w:rPr>
          <w:rFonts w:hint="eastAsia" w:ascii="仿宋" w:hAnsi="仿宋" w:eastAsia="仿宋"/>
          <w:bCs w:val="0"/>
          <w:sz w:val="32"/>
          <w:szCs w:val="32"/>
        </w:rPr>
        <w:t>般公共预算财政拨款“三公”经费支出决算表</w:t>
      </w:r>
      <w:r>
        <w:rPr>
          <w:sz w:val="32"/>
          <w:szCs w:val="32"/>
        </w:rPr>
        <w:tab/>
      </w:r>
      <w:r>
        <w:rPr>
          <w:sz w:val="32"/>
          <w:szCs w:val="32"/>
        </w:rPr>
        <w:fldChar w:fldCharType="begin"/>
      </w:r>
      <w:r>
        <w:rPr>
          <w:sz w:val="32"/>
          <w:szCs w:val="32"/>
        </w:rPr>
        <w:instrText xml:space="preserve"> PAGEREF _Toc5162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_Toc14181 </w:instrText>
      </w:r>
      <w:r>
        <w:rPr>
          <w:sz w:val="32"/>
          <w:szCs w:val="32"/>
        </w:rPr>
        <w:fldChar w:fldCharType="separate"/>
      </w:r>
      <w:r>
        <w:rPr>
          <w:rFonts w:hint="eastAsia" w:ascii="仿宋" w:hAnsi="仿宋" w:eastAsia="仿宋"/>
          <w:bCs w:val="0"/>
          <w:sz w:val="32"/>
          <w:szCs w:val="32"/>
        </w:rPr>
        <w:t>十一、</w:t>
      </w:r>
      <w:r>
        <w:rPr>
          <w:rFonts w:hint="eastAsia" w:ascii="仿宋" w:hAnsi="仿宋" w:eastAsia="仿宋"/>
          <w:sz w:val="32"/>
          <w:szCs w:val="32"/>
        </w:rPr>
        <w:t>政</w:t>
      </w:r>
      <w:r>
        <w:rPr>
          <w:rFonts w:hint="eastAsia" w:ascii="仿宋" w:hAnsi="仿宋" w:eastAsia="仿宋"/>
          <w:bCs w:val="0"/>
          <w:sz w:val="32"/>
          <w:szCs w:val="32"/>
        </w:rPr>
        <w:t>府性基金预算财政拨款收入支出决算表</w:t>
      </w:r>
      <w:r>
        <w:rPr>
          <w:sz w:val="32"/>
          <w:szCs w:val="32"/>
        </w:rPr>
        <w:tab/>
      </w:r>
      <w:r>
        <w:rPr>
          <w:sz w:val="32"/>
          <w:szCs w:val="32"/>
        </w:rPr>
        <w:fldChar w:fldCharType="begin"/>
      </w:r>
      <w:r>
        <w:rPr>
          <w:sz w:val="32"/>
          <w:szCs w:val="32"/>
        </w:rPr>
        <w:instrText xml:space="preserve"> PAGEREF _Toc14181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_Toc4754 </w:instrText>
      </w:r>
      <w:r>
        <w:rPr>
          <w:sz w:val="32"/>
          <w:szCs w:val="32"/>
        </w:rPr>
        <w:fldChar w:fldCharType="separate"/>
      </w:r>
      <w:r>
        <w:rPr>
          <w:rFonts w:hint="eastAsia" w:ascii="仿宋" w:hAnsi="仿宋" w:eastAsia="仿宋"/>
          <w:bCs w:val="0"/>
          <w:sz w:val="32"/>
          <w:szCs w:val="32"/>
        </w:rPr>
        <w:t>十二、</w:t>
      </w:r>
      <w:r>
        <w:rPr>
          <w:rFonts w:hint="eastAsia" w:ascii="仿宋" w:hAnsi="仿宋" w:eastAsia="仿宋"/>
          <w:sz w:val="32"/>
          <w:szCs w:val="32"/>
        </w:rPr>
        <w:t>政</w:t>
      </w:r>
      <w:r>
        <w:rPr>
          <w:rFonts w:hint="eastAsia" w:ascii="仿宋" w:hAnsi="仿宋" w:eastAsia="仿宋"/>
          <w:bCs w:val="0"/>
          <w:sz w:val="32"/>
          <w:szCs w:val="32"/>
        </w:rPr>
        <w:t>府性基金预算财政拨款“三公”经费支出决算表</w:t>
      </w:r>
      <w:r>
        <w:rPr>
          <w:sz w:val="32"/>
          <w:szCs w:val="32"/>
        </w:rPr>
        <w:tab/>
      </w:r>
      <w:r>
        <w:rPr>
          <w:sz w:val="32"/>
          <w:szCs w:val="32"/>
        </w:rPr>
        <w:fldChar w:fldCharType="begin"/>
      </w:r>
      <w:r>
        <w:rPr>
          <w:sz w:val="32"/>
          <w:szCs w:val="32"/>
        </w:rPr>
        <w:instrText xml:space="preserve"> PAGEREF _Toc4754 </w:instrText>
      </w:r>
      <w:r>
        <w:rPr>
          <w:sz w:val="32"/>
          <w:szCs w:val="32"/>
        </w:rPr>
        <w:fldChar w:fldCharType="separate"/>
      </w:r>
      <w:r>
        <w:rPr>
          <w:sz w:val="32"/>
          <w:szCs w:val="32"/>
        </w:rPr>
        <w:t>50</w:t>
      </w:r>
      <w:r>
        <w:rPr>
          <w:sz w:val="32"/>
          <w:szCs w:val="32"/>
        </w:rPr>
        <w:fldChar w:fldCharType="end"/>
      </w:r>
      <w:r>
        <w:rPr>
          <w:sz w:val="32"/>
          <w:szCs w:val="32"/>
        </w:rPr>
        <w:fldChar w:fldCharType="end"/>
      </w:r>
    </w:p>
    <w:p>
      <w:pPr>
        <w:pStyle w:val="35"/>
        <w:tabs>
          <w:tab w:val="right" w:leader="dot" w:pos="8306"/>
        </w:tabs>
        <w:rPr>
          <w:sz w:val="32"/>
          <w:szCs w:val="32"/>
        </w:rPr>
      </w:pPr>
      <w:r>
        <w:rPr>
          <w:sz w:val="32"/>
          <w:szCs w:val="32"/>
        </w:rPr>
        <w:fldChar w:fldCharType="begin"/>
      </w:r>
      <w:r>
        <w:rPr>
          <w:sz w:val="32"/>
          <w:szCs w:val="32"/>
        </w:rPr>
        <w:instrText xml:space="preserve"> HYPERLINK \l _Toc18211 </w:instrText>
      </w:r>
      <w:r>
        <w:rPr>
          <w:sz w:val="32"/>
          <w:szCs w:val="32"/>
        </w:rPr>
        <w:fldChar w:fldCharType="separate"/>
      </w:r>
      <w:r>
        <w:rPr>
          <w:rFonts w:hint="eastAsia" w:ascii="仿宋" w:hAnsi="仿宋" w:eastAsia="仿宋"/>
          <w:bCs w:val="0"/>
          <w:sz w:val="32"/>
          <w:szCs w:val="32"/>
        </w:rPr>
        <w:t>十三、</w:t>
      </w:r>
      <w:r>
        <w:rPr>
          <w:rFonts w:hint="eastAsia" w:ascii="仿宋" w:hAnsi="仿宋" w:eastAsia="仿宋"/>
          <w:sz w:val="32"/>
          <w:szCs w:val="32"/>
        </w:rPr>
        <w:t>国</w:t>
      </w:r>
      <w:r>
        <w:rPr>
          <w:rFonts w:hint="eastAsia" w:ascii="仿宋" w:hAnsi="仿宋" w:eastAsia="仿宋"/>
          <w:bCs w:val="0"/>
          <w:sz w:val="32"/>
          <w:szCs w:val="32"/>
        </w:rPr>
        <w:t>有资本经营预算支出决算表</w:t>
      </w:r>
      <w:r>
        <w:rPr>
          <w:sz w:val="32"/>
          <w:szCs w:val="32"/>
        </w:rPr>
        <w:tab/>
      </w:r>
      <w:r>
        <w:rPr>
          <w:sz w:val="32"/>
          <w:szCs w:val="32"/>
        </w:rPr>
        <w:fldChar w:fldCharType="begin"/>
      </w:r>
      <w:r>
        <w:rPr>
          <w:sz w:val="32"/>
          <w:szCs w:val="32"/>
        </w:rPr>
        <w:instrText xml:space="preserve"> PAGEREF _Toc18211 </w:instrText>
      </w:r>
      <w:r>
        <w:rPr>
          <w:sz w:val="32"/>
          <w:szCs w:val="32"/>
        </w:rPr>
        <w:fldChar w:fldCharType="separate"/>
      </w:r>
      <w:r>
        <w:rPr>
          <w:sz w:val="32"/>
          <w:szCs w:val="32"/>
        </w:rPr>
        <w:t>50</w:t>
      </w:r>
      <w:r>
        <w:rPr>
          <w:sz w:val="32"/>
          <w:szCs w:val="32"/>
        </w:rPr>
        <w:fldChar w:fldCharType="end"/>
      </w:r>
      <w:r>
        <w:rPr>
          <w:sz w:val="32"/>
          <w:szCs w:val="32"/>
        </w:rPr>
        <w:fldChar w:fldCharType="end"/>
      </w:r>
    </w:p>
    <w:p>
      <w:r>
        <w:rPr>
          <w:b/>
          <w:sz w:val="32"/>
          <w:szCs w:val="32"/>
        </w:rPr>
        <w:fldChar w:fldCharType="end"/>
      </w:r>
    </w:p>
    <w:p>
      <w:pPr>
        <w:pStyle w:val="3"/>
        <w:jc w:val="center"/>
        <w:rPr>
          <w:rStyle w:val="29"/>
          <w:rFonts w:hint="eastAsia" w:ascii="方正小标宋简体" w:hAnsi="方正小标宋简体" w:eastAsia="方正小标宋简体" w:cs="方正小标宋简体"/>
          <w:b/>
          <w:bCs w:val="0"/>
        </w:rPr>
      </w:pPr>
      <w:bookmarkStart w:id="31" w:name="_Toc17759"/>
      <w:r>
        <w:rPr>
          <w:rFonts w:hint="eastAsia" w:ascii="方正小标宋简体" w:hAnsi="方正小标宋简体" w:eastAsia="方正小标宋简体" w:cs="方正小标宋简体"/>
          <w:b w:val="0"/>
        </w:rPr>
        <w:t xml:space="preserve">第一部分 </w:t>
      </w:r>
      <w:r>
        <w:rPr>
          <w:rStyle w:val="29"/>
          <w:rFonts w:hint="eastAsia" w:ascii="方正小标宋简体" w:hAnsi="方正小标宋简体" w:eastAsia="方正小标宋简体" w:cs="方正小标宋简体"/>
          <w:b w:val="0"/>
          <w:bCs w:val="0"/>
        </w:rPr>
        <w:t>部门概况</w:t>
      </w:r>
      <w:bookmarkEnd w:id="24"/>
      <w:bookmarkEnd w:id="25"/>
      <w:bookmarkEnd w:id="26"/>
      <w:bookmarkEnd w:id="27"/>
      <w:bookmarkEnd w:id="28"/>
      <w:bookmarkEnd w:id="29"/>
      <w:bookmarkEnd w:id="30"/>
      <w:bookmarkEnd w:id="31"/>
    </w:p>
    <w:p>
      <w:pPr>
        <w:pStyle w:val="4"/>
        <w:pageBreakBefore w:val="0"/>
        <w:widowControl w:val="0"/>
        <w:kinsoku/>
        <w:wordWrap/>
        <w:overflowPunct/>
        <w:topLinePunct w:val="0"/>
        <w:autoSpaceDE/>
        <w:autoSpaceDN/>
        <w:bidi w:val="0"/>
        <w:spacing w:before="0" w:after="0" w:line="560" w:lineRule="exact"/>
        <w:rPr>
          <w:rStyle w:val="30"/>
          <w:rFonts w:ascii="黑体" w:hAnsi="黑体" w:eastAsia="黑体"/>
          <w:b w:val="0"/>
          <w:bCs w:val="0"/>
        </w:rPr>
      </w:pPr>
      <w:bookmarkStart w:id="32" w:name="_Toc23199"/>
      <w:bookmarkStart w:id="33" w:name="_Toc23224"/>
      <w:bookmarkStart w:id="34" w:name="_Toc15377197"/>
      <w:bookmarkStart w:id="35" w:name="_Toc15396600"/>
      <w:r>
        <w:rPr>
          <w:rFonts w:hint="eastAsia" w:ascii="黑体" w:hAnsi="黑体" w:eastAsia="黑体"/>
          <w:b w:val="0"/>
          <w:color w:val="000000"/>
          <w:lang w:eastAsia="zh-CN"/>
        </w:rPr>
        <w:t>　　</w:t>
      </w:r>
      <w:bookmarkStart w:id="36" w:name="_Toc23890"/>
      <w:bookmarkStart w:id="37" w:name="_Toc10171"/>
      <w:bookmarkStart w:id="38" w:name="_Toc24298"/>
      <w:bookmarkStart w:id="39" w:name="_Toc22177"/>
      <w:r>
        <w:rPr>
          <w:rFonts w:hint="eastAsia" w:ascii="黑体" w:hAnsi="黑体" w:eastAsia="黑体"/>
          <w:b w:val="0"/>
          <w:color w:val="000000"/>
        </w:rPr>
        <w:t>一、基</w:t>
      </w:r>
      <w:r>
        <w:rPr>
          <w:rStyle w:val="30"/>
          <w:rFonts w:hint="eastAsia" w:ascii="黑体" w:hAnsi="黑体" w:eastAsia="黑体"/>
          <w:b w:val="0"/>
          <w:bCs w:val="0"/>
        </w:rPr>
        <w:t>本职能及主要工作</w:t>
      </w:r>
      <w:bookmarkEnd w:id="32"/>
      <w:bookmarkEnd w:id="33"/>
      <w:bookmarkEnd w:id="34"/>
      <w:bookmarkEnd w:id="35"/>
      <w:bookmarkEnd w:id="36"/>
      <w:bookmarkEnd w:id="37"/>
      <w:bookmarkEnd w:id="38"/>
      <w:bookmarkEnd w:id="39"/>
      <w:bookmarkStart w:id="40" w:name="_Toc15396601"/>
      <w:bookmarkStart w:id="41" w:name="_Toc15377200"/>
    </w:p>
    <w:p>
      <w:pPr>
        <w:pStyle w:val="4"/>
        <w:pageBreakBefore w:val="0"/>
        <w:widowControl w:val="0"/>
        <w:kinsoku/>
        <w:wordWrap/>
        <w:overflowPunct/>
        <w:topLinePunct w:val="0"/>
        <w:autoSpaceDE/>
        <w:autoSpaceDN/>
        <w:bidi w:val="0"/>
        <w:spacing w:before="0" w:after="0" w:line="560" w:lineRule="exact"/>
        <w:ind w:firstLine="640" w:firstLineChars="200"/>
        <w:rPr>
          <w:rFonts w:ascii="仿宋_GB2312" w:hAnsi="仿宋" w:eastAsia="仿宋_GB2312"/>
          <w:b w:val="0"/>
          <w:bCs w:val="0"/>
        </w:rPr>
      </w:pPr>
      <w:bookmarkStart w:id="42" w:name="_Toc26114"/>
      <w:bookmarkStart w:id="43" w:name="_Toc25765"/>
      <w:bookmarkStart w:id="44" w:name="_Toc29607"/>
      <w:bookmarkStart w:id="45" w:name="_Toc13408"/>
      <w:bookmarkStart w:id="46" w:name="_Toc1511"/>
      <w:bookmarkStart w:id="47" w:name="_Toc17309"/>
      <w:r>
        <w:rPr>
          <w:rFonts w:hint="eastAsia" w:ascii="仿宋_GB2312" w:hAnsi="仿宋" w:eastAsia="仿宋_GB2312"/>
          <w:b w:val="0"/>
          <w:bCs w:val="0"/>
        </w:rPr>
        <w:t>县退役军人局贯彻落实党中央关于退役军人工作的方针政策和省委、州委、县委的决策部署，在履行职责过程中坚持和加强党对退役军人工作的集中统一领导。主要职责是：</w:t>
      </w:r>
      <w:bookmarkEnd w:id="42"/>
      <w:bookmarkEnd w:id="43"/>
      <w:bookmarkEnd w:id="44"/>
      <w:bookmarkEnd w:id="45"/>
      <w:bookmarkEnd w:id="46"/>
      <w:bookmarkEnd w:id="47"/>
    </w:p>
    <w:p>
      <w:pPr>
        <w:pStyle w:val="4"/>
        <w:pageBreakBefore w:val="0"/>
        <w:widowControl w:val="0"/>
        <w:kinsoku/>
        <w:wordWrap/>
        <w:overflowPunct/>
        <w:topLinePunct w:val="0"/>
        <w:autoSpaceDE/>
        <w:autoSpaceDN/>
        <w:bidi w:val="0"/>
        <w:spacing w:before="0" w:after="0" w:line="560" w:lineRule="exact"/>
        <w:ind w:firstLine="640" w:firstLineChars="200"/>
        <w:rPr>
          <w:rFonts w:ascii="仿宋_GB2312" w:hAnsi="仿宋" w:eastAsia="仿宋_GB2312"/>
          <w:b w:val="0"/>
          <w:bCs w:val="0"/>
          <w:color w:val="000000"/>
        </w:rPr>
      </w:pPr>
      <w:bookmarkStart w:id="48" w:name="_Toc6913"/>
      <w:bookmarkStart w:id="49" w:name="_Toc5272"/>
      <w:bookmarkStart w:id="50" w:name="_Toc16850"/>
      <w:bookmarkStart w:id="51" w:name="_Toc22815"/>
      <w:bookmarkStart w:id="52" w:name="_Toc21398"/>
      <w:bookmarkStart w:id="53" w:name="_Toc23365"/>
      <w:r>
        <w:rPr>
          <w:rFonts w:hint="eastAsia" w:ascii="仿宋_GB2312" w:hAnsi="仿宋" w:eastAsia="仿宋_GB2312"/>
          <w:b w:val="0"/>
          <w:bCs w:val="0"/>
        </w:rPr>
        <w:t>（一）</w:t>
      </w:r>
      <w:r>
        <w:rPr>
          <w:rFonts w:hint="eastAsia" w:ascii="仿宋_GB2312" w:hAnsi="仿宋" w:eastAsia="仿宋_GB2312"/>
          <w:b w:val="0"/>
          <w:bCs w:val="0"/>
          <w:color w:val="000000"/>
        </w:rPr>
        <w:t>贯彻执行有关退役军人思想政治、管理保障和安置优抚等法律法规，拟订退役军人工作政策并组织实施，褒扬彰显退役军人为党、国家和人民牺牲奉献的精神风范和价值导向。</w:t>
      </w:r>
      <w:bookmarkEnd w:id="48"/>
      <w:bookmarkEnd w:id="49"/>
      <w:bookmarkEnd w:id="50"/>
      <w:bookmarkEnd w:id="51"/>
      <w:bookmarkEnd w:id="52"/>
      <w:bookmarkEnd w:id="53"/>
    </w:p>
    <w:p>
      <w:pPr>
        <w:pStyle w:val="4"/>
        <w:pageBreakBefore w:val="0"/>
        <w:widowControl w:val="0"/>
        <w:kinsoku/>
        <w:wordWrap/>
        <w:overflowPunct/>
        <w:topLinePunct w:val="0"/>
        <w:autoSpaceDE/>
        <w:autoSpaceDN/>
        <w:bidi w:val="0"/>
        <w:spacing w:before="0" w:after="0" w:line="540" w:lineRule="exact"/>
        <w:ind w:firstLine="640" w:firstLineChars="200"/>
        <w:rPr>
          <w:rFonts w:ascii="仿宋_GB2312" w:hAnsi="仿宋" w:eastAsia="仿宋_GB2312"/>
          <w:b w:val="0"/>
          <w:bCs w:val="0"/>
        </w:rPr>
      </w:pPr>
      <w:bookmarkStart w:id="54" w:name="_Toc21155"/>
      <w:bookmarkStart w:id="55" w:name="_Toc20784"/>
      <w:bookmarkStart w:id="56" w:name="_Toc28487"/>
      <w:bookmarkStart w:id="57" w:name="_Toc30698"/>
      <w:bookmarkStart w:id="58" w:name="_Toc11368"/>
      <w:bookmarkStart w:id="59" w:name="_Toc583"/>
      <w:r>
        <w:rPr>
          <w:rFonts w:hint="eastAsia" w:ascii="仿宋_GB2312" w:hAnsi="仿宋" w:eastAsia="仿宋_GB2312"/>
          <w:b w:val="0"/>
          <w:bCs w:val="0"/>
        </w:rPr>
        <w:t>（二）负责军队转业干部、复员干部、离休退休干部、退役士兵和无军籍退休退职职工的移交安置和自主择业、就业退役军人服务管理工作。</w:t>
      </w:r>
      <w:bookmarkEnd w:id="54"/>
      <w:bookmarkEnd w:id="55"/>
      <w:bookmarkEnd w:id="56"/>
      <w:bookmarkEnd w:id="57"/>
      <w:bookmarkEnd w:id="58"/>
      <w:bookmarkEnd w:id="59"/>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（三）组织、指导退役军人教育培训工作，承担退役军人和随军随调家属就业创业扶持工作。</w:t>
      </w:r>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（四）贯彻执行国家有关退役军人特殊保障政策。</w:t>
      </w:r>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（五）组织、协调落实移交地方的离休退休军人、符合条件的其他退役军人和无军籍退休退职职工的住房保障工作，以及退役军人医疗保障、社会保险等待遇保障工作。</w:t>
      </w:r>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（六）负责伤病残退役军人服务管理和抚恤工作，贯彻执行有关退役军人医疗、疗养、养老等机构的规划政策。承担不适宜继续服役的伤病残军人移交安置、退休安置、供养等工作。组织军供服务保障工作。</w:t>
      </w:r>
    </w:p>
    <w:p>
      <w:pPr>
        <w:pageBreakBefore w:val="0"/>
        <w:widowControl w:val="0"/>
        <w:kinsoku/>
        <w:wordWrap/>
        <w:overflowPunct/>
        <w:topLinePunct w:val="0"/>
        <w:autoSpaceDE/>
        <w:autoSpaceDN/>
        <w:bidi w:val="0"/>
        <w:spacing w:line="540" w:lineRule="exact"/>
        <w:ind w:firstLine="640" w:firstLineChars="200"/>
        <w:rPr>
          <w:rFonts w:hint="eastAsia" w:ascii="仿宋_GB2312" w:hAnsi="仿宋" w:eastAsia="仿宋_GB2312"/>
          <w:sz w:val="32"/>
          <w:szCs w:val="32"/>
        </w:rPr>
        <w:sectPr>
          <w:headerReference r:id="rId3" w:type="default"/>
          <w:footerReference r:id="rId4" w:type="default"/>
          <w:pgSz w:w="11906" w:h="16838"/>
          <w:pgMar w:top="1440" w:right="1800" w:bottom="1440" w:left="1800" w:header="851" w:footer="992" w:gutter="0"/>
          <w:pgNumType w:fmt="decimal" w:start="2"/>
          <w:cols w:space="425" w:num="1"/>
          <w:docGrid w:type="lines" w:linePitch="312" w:charSpace="0"/>
        </w:sectPr>
      </w:pPr>
      <w:r>
        <w:rPr>
          <w:rFonts w:hint="eastAsia" w:ascii="仿宋_GB2312" w:hAnsi="仿宋" w:eastAsia="仿宋_GB2312"/>
          <w:sz w:val="32"/>
          <w:szCs w:val="32"/>
        </w:rPr>
        <w:t>（七）组织、指导拥军优属工作，承担现役军人、退役</w:t>
      </w:r>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军人、军队文职人员和军属的优待、抚恤等工作。贯彻执行国家有关国民党抗战老兵等有关人员优待政策。</w:t>
      </w:r>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color w:val="000000"/>
          <w:sz w:val="32"/>
          <w:szCs w:val="32"/>
        </w:rPr>
      </w:pPr>
      <w:r>
        <w:rPr>
          <w:rFonts w:hint="eastAsia" w:ascii="仿宋_GB2312" w:hAnsi="仿宋" w:eastAsia="仿宋_GB2312"/>
          <w:sz w:val="32"/>
          <w:szCs w:val="32"/>
        </w:rPr>
        <w:t>（八）</w:t>
      </w:r>
      <w:r>
        <w:rPr>
          <w:rFonts w:hint="eastAsia" w:ascii="仿宋_GB2312" w:hAnsi="仿宋" w:eastAsia="仿宋_GB2312"/>
          <w:color w:val="000000"/>
          <w:sz w:val="32"/>
          <w:szCs w:val="32"/>
        </w:rPr>
        <w:t>负责烈士及退役军人荣誉奖励、军人公墓和烈士纪念设施的建设管理、纪念活动等工作，依法承担英雄烈士保护相关工作，总结表彰和宣扬退役军人、退役军人工作单位和个人先进典型事迹。</w:t>
      </w:r>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（九）指导并监督检查退役军人相关法律法规和政策措施的落实，组织开展退役军人权益维护和有关人员的帮扶援助工作。</w:t>
      </w:r>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（十）推动建立退役军人事务分级负责和突发事件应急联动机制，组织、指导退役军人综合服务体系建设。配合指导退役军人党建工作。</w:t>
      </w:r>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（十一）负责职责范围内的安全生产和职业健康、生态环境保护、审批服务便民化工作。</w:t>
      </w:r>
    </w:p>
    <w:p>
      <w:pPr>
        <w:pageBreakBefore w:val="0"/>
        <w:widowControl w:val="0"/>
        <w:kinsoku/>
        <w:wordWrap/>
        <w:overflowPunct/>
        <w:topLinePunct w:val="0"/>
        <w:autoSpaceDE/>
        <w:autoSpaceDN/>
        <w:bidi w:val="0"/>
        <w:spacing w:line="54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（十二）完成县委、县政府和军方交办的其他任务。</w:t>
      </w:r>
    </w:p>
    <w:p>
      <w:pPr>
        <w:pageBreakBefore w:val="0"/>
        <w:widowControl w:val="0"/>
        <w:kinsoku/>
        <w:wordWrap/>
        <w:overflowPunct/>
        <w:topLinePunct w:val="0"/>
        <w:autoSpaceDE/>
        <w:autoSpaceDN/>
        <w:bidi w:val="0"/>
        <w:adjustRightInd w:val="0"/>
        <w:snapToGrid w:val="0"/>
        <w:spacing w:line="540" w:lineRule="exact"/>
        <w:ind w:firstLine="640" w:firstLineChars="200"/>
        <w:rPr>
          <w:rFonts w:ascii="黑体" w:hAnsi="黑体" w:eastAsia="黑体" w:cs="黑体"/>
          <w:color w:val="000000"/>
          <w:kern w:val="0"/>
          <w:sz w:val="32"/>
          <w:szCs w:val="32"/>
        </w:rPr>
      </w:pPr>
      <w:r>
        <w:rPr>
          <w:rFonts w:hint="eastAsia" w:ascii="仿宋_GB2312" w:hAnsi="仿宋" w:eastAsia="仿宋_GB2312"/>
          <w:sz w:val="32"/>
          <w:szCs w:val="32"/>
        </w:rPr>
        <w:t>（十三）职能转变。</w:t>
      </w:r>
      <w:r>
        <w:rPr>
          <w:rFonts w:hint="eastAsia" w:ascii="仿宋_GB2312" w:hAnsi="仿宋" w:eastAsia="仿宋_GB2312"/>
          <w:color w:val="000000"/>
          <w:sz w:val="32"/>
          <w:szCs w:val="32"/>
        </w:rPr>
        <w:t>加强全县退役军人思想政治工作以及服务保障体系建设，建立健全集中统一、职责清晰的退役军人管理保障机制，协调各方力量更好为军人军属服务，维护军人军属合法权益，让军人成为全社会尊崇的职业，褒扬彰显退役人为党、国家和人民牺牲奉献的精神风范和价值导向，更好地为增强部队战斗力和凝聚力做好组织保障。</w:t>
      </w:r>
      <w:r>
        <w:rPr>
          <w:rFonts w:ascii="仿宋_GB2312" w:hAnsi="仿宋" w:eastAsia="仿宋_GB2312"/>
          <w:color w:val="000000"/>
          <w:sz w:val="32"/>
          <w:szCs w:val="32"/>
        </w:rPr>
        <w:br w:type="textWrapping"/>
      </w:r>
      <w:r>
        <w:rPr>
          <w:rFonts w:hint="eastAsia" w:ascii="仿宋_GB2312" w:hAnsi="仿宋" w:eastAsia="仿宋_GB2312"/>
          <w:color w:val="000000"/>
          <w:sz w:val="32"/>
          <w:szCs w:val="32"/>
          <w:lang w:eastAsia="zh-CN"/>
        </w:rPr>
        <w:t>　　</w:t>
      </w:r>
      <w:r>
        <w:rPr>
          <w:rFonts w:hint="eastAsia" w:ascii="黑体" w:hAnsi="黑体" w:eastAsia="黑体" w:cs="黑体"/>
          <w:color w:val="000000"/>
          <w:kern w:val="0"/>
          <w:sz w:val="32"/>
          <w:szCs w:val="32"/>
          <w:lang w:eastAsia="zh-CN"/>
        </w:rPr>
        <w:t>二</w:t>
      </w:r>
      <w:r>
        <w:rPr>
          <w:rFonts w:hint="eastAsia" w:ascii="黑体" w:hAnsi="黑体" w:eastAsia="黑体" w:cs="黑体"/>
          <w:color w:val="000000"/>
          <w:kern w:val="0"/>
          <w:sz w:val="32"/>
          <w:szCs w:val="32"/>
        </w:rPr>
        <w:t>、主要工作</w:t>
      </w:r>
    </w:p>
    <w:p>
      <w:pPr>
        <w:pStyle w:val="33"/>
        <w:pageBreakBefore w:val="0"/>
        <w:widowControl w:val="0"/>
        <w:kinsoku/>
        <w:wordWrap/>
        <w:overflowPunct/>
        <w:topLinePunct w:val="0"/>
        <w:autoSpaceDE/>
        <w:autoSpaceDN/>
        <w:bidi w:val="0"/>
        <w:snapToGrid w:val="0"/>
        <w:spacing w:before="0" w:after="0" w:line="540" w:lineRule="exact"/>
        <w:ind w:firstLine="643" w:firstLineChars="200"/>
        <w:jc w:val="both"/>
        <w:rPr>
          <w:rFonts w:hint="eastAsia" w:ascii="仿宋_GB2312" w:hAnsi="仿宋_GB2312" w:eastAsia="仿宋_GB2312" w:cs="仿宋_GB2312"/>
          <w:sz w:val="32"/>
          <w:szCs w:val="32"/>
        </w:rPr>
      </w:pPr>
      <w:r>
        <w:rPr>
          <w:rFonts w:hint="eastAsia" w:ascii="楷体" w:hAnsi="楷体" w:eastAsia="楷体" w:cs="黑体"/>
          <w:b/>
          <w:bCs/>
          <w:color w:val="414141"/>
          <w:sz w:val="32"/>
          <w:szCs w:val="32"/>
          <w:shd w:val="clear" w:color="auto" w:fill="FFFFFF"/>
        </w:rPr>
        <w:t>（一）及时完成单位组建。</w:t>
      </w:r>
      <w:r>
        <w:rPr>
          <w:rFonts w:hint="eastAsia" w:ascii="仿宋_GB2312" w:hAnsi="仿宋_GB2312" w:eastAsia="仿宋_GB2312" w:cs="仿宋_GB2312"/>
          <w:sz w:val="32"/>
          <w:szCs w:val="32"/>
        </w:rPr>
        <w:t>2018年12月初，在红原县委县政府的精心安排和筹备下，组建了由一名副县长担任组长，其他六名为成员的红原县退役军人事务局筹备组，积极筹备组建退役军人的基础性工作。办公场所、办公设备准备完备，率先在2019年3月7日挂牌成立红原县退役军人事务局。同时积极拟定三定方案，制定相关制度和工作职责，做到遵守纪律，强化工作作风，有条不紊的完成了红原县退役军人事务局成立和后续工作的开展。2019年5月27日最先在全州挂牌成立红原县退役军人事服务中心。于6月14承办了阿坝州退役军人系统信访工作会议。</w:t>
      </w:r>
    </w:p>
    <w:p>
      <w:pPr>
        <w:pageBreakBefore w:val="0"/>
        <w:widowControl w:val="0"/>
        <w:kinsoku/>
        <w:wordWrap/>
        <w:overflowPunct/>
        <w:topLinePunct w:val="0"/>
        <w:autoSpaceDE/>
        <w:autoSpaceDN/>
        <w:bidi w:val="0"/>
        <w:spacing w:line="540" w:lineRule="exact"/>
        <w:ind w:firstLine="643" w:firstLineChars="200"/>
        <w:rPr>
          <w:rFonts w:ascii="仿宋" w:hAnsi="仿宋" w:eastAsia="仿宋" w:cs="仿宋"/>
          <w:sz w:val="32"/>
          <w:szCs w:val="32"/>
        </w:rPr>
      </w:pPr>
      <w:r>
        <w:rPr>
          <w:rFonts w:hint="eastAsia" w:ascii="楷体" w:hAnsi="楷体" w:eastAsia="楷体" w:cs="黑体"/>
          <w:b/>
          <w:bCs/>
          <w:color w:val="414141"/>
          <w:sz w:val="32"/>
          <w:szCs w:val="32"/>
          <w:shd w:val="clear" w:color="auto" w:fill="FFFFFF"/>
        </w:rPr>
        <w:t>（二）积极开展双拥创建。</w:t>
      </w:r>
      <w:r>
        <w:rPr>
          <w:rFonts w:hint="eastAsia" w:ascii="仿宋_GB2312" w:hAnsi="仿宋_GB2312" w:eastAsia="仿宋_GB2312" w:cs="仿宋_GB2312"/>
          <w:sz w:val="32"/>
          <w:szCs w:val="32"/>
        </w:rPr>
        <w:t>2019年，我局以创建十一届全省双拥模范县为目标，创新思路，开拓进取，扎实工作，实现了新时期双拥工作的全面协调发展，有力地推动了全县经济社会和谐发展和驻县部队正规化、现代化建设。在城区主要路口和公共场所设立永久性大型宣传牌3处，督促县内各车站、医院、银行、机场的显著位置设立了“军人依法优先”服务标志。营造了“国防教育人人有责，双拥共建处处有情”的浓厚氛围，增强了全县军民参与双拥创建的感召力。积极向州申报我县为创建十一届全省双拥模范县；推荐省级拥军优属先进单位1个和推荐省级拥军优属先进个人1名。</w:t>
      </w:r>
    </w:p>
    <w:p>
      <w:pPr>
        <w:pageBreakBefore w:val="0"/>
        <w:widowControl w:val="0"/>
        <w:kinsoku/>
        <w:wordWrap/>
        <w:overflowPunct/>
        <w:topLinePunct w:val="0"/>
        <w:autoSpaceDE/>
        <w:autoSpaceDN/>
        <w:bidi w:val="0"/>
        <w:spacing w:line="540" w:lineRule="exact"/>
        <w:ind w:firstLine="630" w:firstLineChars="196"/>
        <w:rPr>
          <w:rFonts w:hint="eastAsia" w:ascii="仿宋_GB2312" w:hAnsi="仿宋_GB2312" w:eastAsia="仿宋_GB2312" w:cs="仿宋_GB2312"/>
          <w:sz w:val="32"/>
          <w:szCs w:val="32"/>
        </w:rPr>
      </w:pPr>
      <w:r>
        <w:rPr>
          <w:rFonts w:hint="eastAsia" w:ascii="楷体" w:hAnsi="楷体" w:eastAsia="楷体" w:cs="楷体"/>
          <w:b/>
          <w:sz w:val="32"/>
          <w:szCs w:val="32"/>
        </w:rPr>
        <w:t>（三）切实做好荣誉褒奖。</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常态化开展悬挂《光荣之家》荣誉牌和送立功受奖喜报等活动，全年累计发放悬挂《光荣之家》荣誉牌657块，为优秀士兵家庭送立功受奖喜报2次；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认真做好烈士纪念，组织全县机关事业单位职工、驻县部队官兵及社会各界代表2500人次在“清明”、9.30烈士纪念日参加祭扫活动，缅怀先烈。全面完成对红原县邛溪镇烈士陵园进行维修改造工作，启动刷经寺烈士陵园维修改造项目前期准备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大力开展拥军优属，组织召开“纪念对越自卫反击战四十周年座谈会”、“庆祝建军九十二周年座谈会”等各类慰问活动7场次，走访慰问驻县部队单位4个，发放慰问物资2.5万元；慰问参战老兵、烈属、军属和退役军人429人（户）次，累计发放价值12.04万元的慰问金和慰问物资。</w:t>
      </w:r>
    </w:p>
    <w:p>
      <w:pPr>
        <w:pageBreakBefore w:val="0"/>
        <w:widowControl w:val="0"/>
        <w:kinsoku/>
        <w:wordWrap/>
        <w:overflowPunct/>
        <w:topLinePunct w:val="0"/>
        <w:autoSpaceDE/>
        <w:autoSpaceDN/>
        <w:bidi w:val="0"/>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（四）严格落实国家政策。</w:t>
      </w:r>
      <w:r>
        <w:rPr>
          <w:rFonts w:hint="eastAsia" w:ascii="仿宋_GB2312" w:hAnsi="仿宋_GB2312" w:eastAsia="仿宋_GB2312" w:cs="仿宋_GB2312"/>
          <w:b/>
          <w:bCs/>
          <w:color w:val="333333"/>
          <w:sz w:val="32"/>
          <w:szCs w:val="32"/>
          <w:shd w:val="clear" w:color="auto" w:fill="FFFFFF"/>
        </w:rPr>
        <w:t>一是</w:t>
      </w:r>
      <w:r>
        <w:rPr>
          <w:rFonts w:hint="eastAsia" w:ascii="仿宋_GB2312" w:hAnsi="仿宋_GB2312" w:eastAsia="仿宋_GB2312" w:cs="仿宋_GB2312"/>
          <w:color w:val="333333"/>
          <w:sz w:val="32"/>
          <w:szCs w:val="32"/>
          <w:shd w:val="clear" w:color="auto" w:fill="FFFFFF"/>
        </w:rPr>
        <w:t>优抚政策全部落实到位。</w:t>
      </w:r>
      <w:r>
        <w:rPr>
          <w:rFonts w:hint="eastAsia" w:ascii="仿宋_GB2312" w:hAnsi="仿宋_GB2312" w:eastAsia="仿宋_GB2312" w:cs="仿宋_GB2312"/>
          <w:sz w:val="32"/>
          <w:szCs w:val="32"/>
        </w:rPr>
        <w:t>我县现有优抚对象73人，按照“普惠”加“优待”的原则，我局认真做好各项优抚优待工作，按时足额兑现优抚经费，全年发放优抚优待抚恤金75.5万元。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color w:val="333333"/>
          <w:sz w:val="32"/>
          <w:szCs w:val="32"/>
          <w:shd w:val="clear" w:color="auto" w:fill="FFFFFF"/>
        </w:rPr>
        <w:t>医疗待遇全面得到保障。对</w:t>
      </w:r>
      <w:r>
        <w:rPr>
          <w:rFonts w:hint="eastAsia" w:ascii="仿宋_GB2312" w:hAnsi="仿宋_GB2312" w:eastAsia="仿宋_GB2312" w:cs="仿宋_GB2312"/>
          <w:sz w:val="32"/>
          <w:szCs w:val="32"/>
        </w:rPr>
        <w:t>县28名重点优抚对象诊治实行减免医疗费用的政策，全年减免0.62万元；争取县级财政资金275万元，用于我县军转干部医疗保险统筹金和公务员补助金，确保军转干部医疗保险待遇不受影响；积极开展部分退役士兵社保接续工作。</w:t>
      </w:r>
      <w:r>
        <w:rPr>
          <w:rFonts w:hint="eastAsia" w:ascii="仿宋_GB2312" w:hAnsi="仿宋_GB2312" w:eastAsia="仿宋_GB2312" w:cs="仿宋_GB2312"/>
          <w:b/>
          <w:bCs/>
          <w:color w:val="333333"/>
          <w:sz w:val="32"/>
          <w:szCs w:val="32"/>
          <w:shd w:val="clear" w:color="auto" w:fill="FFFFFF"/>
        </w:rPr>
        <w:t>三是</w:t>
      </w:r>
      <w:r>
        <w:rPr>
          <w:rFonts w:hint="eastAsia" w:ascii="仿宋_GB2312" w:hAnsi="仿宋_GB2312" w:eastAsia="仿宋_GB2312" w:cs="仿宋_GB2312"/>
          <w:sz w:val="32"/>
          <w:szCs w:val="32"/>
        </w:rPr>
        <w:t>涉军安置工作全力解决。今年以来，接收转业士官1人，安置到县级事业单位。接收退役士兵2人，累计发放退役士兵自主就业地方补助金11.9万元。接收、安置率达均100%</w:t>
      </w:r>
      <w:r>
        <w:rPr>
          <w:rFonts w:hint="eastAsia" w:ascii="仿宋" w:hAnsi="仿宋" w:eastAsia="仿宋" w:cs="仿宋"/>
          <w:sz w:val="32"/>
          <w:szCs w:val="32"/>
        </w:rPr>
        <w:t>。</w:t>
      </w:r>
    </w:p>
    <w:p>
      <w:pPr>
        <w:pageBreakBefore w:val="0"/>
        <w:widowControl w:val="0"/>
        <w:kinsoku/>
        <w:wordWrap/>
        <w:overflowPunct/>
        <w:topLinePunct w:val="0"/>
        <w:autoSpaceDE/>
        <w:autoSpaceDN/>
        <w:bidi w:val="0"/>
        <w:spacing w:line="540" w:lineRule="exact"/>
        <w:ind w:firstLine="643" w:firstLineChars="200"/>
        <w:rPr>
          <w:rFonts w:hint="eastAsia" w:ascii="仿宋_GB2312" w:hAnsi="仿宋_GB2312" w:eastAsia="仿宋_GB2312" w:cs="仿宋_GB2312"/>
          <w:sz w:val="32"/>
          <w:szCs w:val="32"/>
        </w:rPr>
      </w:pPr>
      <w:r>
        <w:rPr>
          <w:rFonts w:hint="eastAsia" w:ascii="楷体" w:hAnsi="楷体" w:eastAsia="楷体" w:cs="楷体"/>
          <w:b/>
          <w:bCs/>
          <w:sz w:val="32"/>
          <w:szCs w:val="32"/>
        </w:rPr>
        <w:t>（五）不断加强管理服务</w:t>
      </w:r>
      <w:r>
        <w:rPr>
          <w:rFonts w:hint="eastAsia" w:ascii="仿宋" w:hAnsi="仿宋" w:eastAsia="仿宋" w:cs="仿宋"/>
          <w:sz w:val="32"/>
          <w:szCs w:val="32"/>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bCs/>
          <w:sz w:val="32"/>
          <w:szCs w:val="32"/>
        </w:rPr>
        <w:t>深入开展大走访活动。</w:t>
      </w:r>
      <w:r>
        <w:rPr>
          <w:rFonts w:hint="eastAsia" w:ascii="仿宋_GB2312" w:hAnsi="仿宋_GB2312" w:eastAsia="仿宋_GB2312" w:cs="仿宋_GB2312"/>
          <w:sz w:val="32"/>
          <w:szCs w:val="32"/>
        </w:rPr>
        <w:t>按照省、州和县相关</w:t>
      </w:r>
      <w:r>
        <w:rPr>
          <w:rFonts w:hint="eastAsia" w:ascii="仿宋_GB2312" w:hAnsi="仿宋_GB2312" w:eastAsia="仿宋_GB2312" w:cs="仿宋_GB2312"/>
          <w:spacing w:val="-2"/>
          <w:w w:val="97"/>
          <w:sz w:val="32"/>
          <w:szCs w:val="32"/>
        </w:rPr>
        <w:t>要求</w:t>
      </w:r>
      <w:r>
        <w:rPr>
          <w:rFonts w:hint="eastAsia" w:ascii="仿宋_GB2312" w:hAnsi="仿宋_GB2312" w:eastAsia="仿宋_GB2312" w:cs="仿宋_GB2312"/>
          <w:sz w:val="32"/>
          <w:szCs w:val="32"/>
        </w:rPr>
        <w:t>，变被动接访为主动下访，通过现场接访、重点约访、带案下访等方式，持续深入开展大接访活动，面对面回应退役军人群体关切问题，充分发挥领导干部接访在处理信访突出问题中的重要作用，确保“事事有回音，件件有着落”。自我局成立以来，已接待来信来访53人次，经过耐心细致的解答，未出现越级上访。</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切实加强教育管理。积极引导广大</w:t>
      </w:r>
      <w:r>
        <w:rPr>
          <w:rFonts w:hint="eastAsia" w:ascii="仿宋_GB2312" w:hAnsi="仿宋_GB2312" w:eastAsia="仿宋_GB2312" w:cs="仿宋_GB2312"/>
          <w:kern w:val="0"/>
          <w:sz w:val="32"/>
          <w:szCs w:val="32"/>
        </w:rPr>
        <w:t>退役军人</w:t>
      </w:r>
      <w:r>
        <w:rPr>
          <w:rFonts w:hint="eastAsia" w:ascii="仿宋_GB2312" w:hAnsi="仿宋_GB2312" w:eastAsia="仿宋_GB2312" w:cs="仿宋_GB2312"/>
          <w:sz w:val="32"/>
          <w:szCs w:val="32"/>
        </w:rPr>
        <w:t>通过正常渠道、正常程序反映述求，防止参加非法集访和越级上访。特别是信访敏感时期，通过多次电话交流、面对面约谈等方式，做好部分</w:t>
      </w:r>
      <w:r>
        <w:rPr>
          <w:rFonts w:hint="eastAsia" w:ascii="仿宋_GB2312" w:hAnsi="仿宋_GB2312" w:eastAsia="仿宋_GB2312" w:cs="仿宋_GB2312"/>
          <w:kern w:val="0"/>
          <w:sz w:val="32"/>
          <w:szCs w:val="32"/>
        </w:rPr>
        <w:t>退役军人</w:t>
      </w:r>
      <w:r>
        <w:rPr>
          <w:rFonts w:hint="eastAsia" w:ascii="仿宋_GB2312" w:hAnsi="仿宋_GB2312" w:eastAsia="仿宋_GB2312" w:cs="仿宋_GB2312"/>
          <w:sz w:val="32"/>
          <w:szCs w:val="32"/>
        </w:rPr>
        <w:t>思想工作，有效的维护了社会的稳定和我县</w:t>
      </w:r>
      <w:r>
        <w:rPr>
          <w:rFonts w:hint="eastAsia" w:ascii="仿宋_GB2312" w:hAnsi="仿宋_GB2312" w:eastAsia="仿宋_GB2312" w:cs="仿宋_GB2312"/>
          <w:kern w:val="0"/>
          <w:sz w:val="32"/>
          <w:szCs w:val="32"/>
        </w:rPr>
        <w:t>退役军人整体</w:t>
      </w:r>
      <w:r>
        <w:rPr>
          <w:rFonts w:hint="eastAsia" w:ascii="仿宋_GB2312" w:hAnsi="仿宋_GB2312" w:eastAsia="仿宋_GB2312" w:cs="仿宋_GB2312"/>
          <w:sz w:val="32"/>
          <w:szCs w:val="32"/>
        </w:rPr>
        <w:t>形象。</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服务工作稳步推进。不断强化服务意识，积极落实各项政策措施，努力提升服务质量，较好的完成了自主择业军转干部管理服务工作。</w:t>
      </w:r>
      <w:r>
        <w:rPr>
          <w:rFonts w:hint="default" w:ascii="仿宋_GB2312" w:hAnsi="仿宋_GB2312" w:eastAsia="仿宋_GB2312" w:cs="仿宋_GB2312"/>
          <w:sz w:val="32"/>
          <w:szCs w:val="32"/>
        </w:rPr>
        <w:t>截至</w:t>
      </w:r>
      <w:r>
        <w:rPr>
          <w:rFonts w:hint="eastAsia" w:ascii="仿宋_GB2312" w:hAnsi="仿宋_GB2312" w:eastAsia="仿宋_GB2312" w:cs="仿宋_GB2312"/>
          <w:sz w:val="32"/>
          <w:szCs w:val="32"/>
        </w:rPr>
        <w:t>目前，帮助各类退役军人报销医疗费19人次，合计金额54267元；办理银行卡变更7次，组织关系转移4人。</w:t>
      </w:r>
    </w:p>
    <w:p>
      <w:pPr>
        <w:pageBreakBefore w:val="0"/>
        <w:widowControl w:val="0"/>
        <w:shd w:val="clear" w:color="auto" w:fill="FFFFFF"/>
        <w:kinsoku/>
        <w:wordWrap/>
        <w:overflowPunct/>
        <w:topLinePunct w:val="0"/>
        <w:autoSpaceDE/>
        <w:autoSpaceDN/>
        <w:bidi w:val="0"/>
        <w:spacing w:line="540" w:lineRule="exact"/>
        <w:ind w:firstLine="482" w:firstLineChars="150"/>
        <w:rPr>
          <w:rFonts w:hint="eastAsia" w:ascii="仿宋_GB2312" w:hAnsi="仿宋_GB2312" w:eastAsia="仿宋_GB2312" w:cs="仿宋_GB2312"/>
          <w:sz w:val="32"/>
          <w:szCs w:val="32"/>
        </w:rPr>
      </w:pPr>
      <w:r>
        <w:rPr>
          <w:rFonts w:hint="eastAsia" w:ascii="楷体" w:hAnsi="楷体" w:eastAsia="楷体" w:cs="楷体"/>
          <w:b/>
          <w:bCs/>
          <w:sz w:val="32"/>
          <w:szCs w:val="32"/>
        </w:rPr>
        <w:t>（六）</w:t>
      </w:r>
      <w:r>
        <w:rPr>
          <w:rFonts w:hint="eastAsia" w:ascii="楷体" w:hAnsi="楷体" w:eastAsia="楷体" w:cs="楷体"/>
          <w:b/>
          <w:bCs/>
          <w:color w:val="333333"/>
          <w:sz w:val="32"/>
          <w:szCs w:val="32"/>
        </w:rPr>
        <w:t>扶贫帮困卓有成效。</w:t>
      </w:r>
      <w:r>
        <w:rPr>
          <w:rFonts w:hint="eastAsia" w:ascii="仿宋_GB2312" w:hAnsi="仿宋_GB2312" w:eastAsia="仿宋_GB2312" w:cs="仿宋_GB2312"/>
          <w:b/>
          <w:color w:val="333333"/>
          <w:sz w:val="32"/>
          <w:szCs w:val="32"/>
        </w:rPr>
        <w:t>一是</w:t>
      </w:r>
      <w:r>
        <w:rPr>
          <w:rFonts w:hint="eastAsia" w:ascii="仿宋_GB2312" w:hAnsi="仿宋_GB2312" w:eastAsia="仿宋_GB2312" w:cs="仿宋_GB2312"/>
          <w:sz w:val="32"/>
          <w:szCs w:val="32"/>
        </w:rPr>
        <w:t>积极组织人员参与联系村各项建设，重点帮助解决群众关心的热点、难点问题；</w:t>
      </w:r>
      <w:r>
        <w:rPr>
          <w:rFonts w:hint="eastAsia" w:ascii="仿宋_GB2312" w:hAnsi="仿宋_GB2312" w:eastAsia="仿宋_GB2312" w:cs="仿宋_GB2312"/>
          <w:b/>
          <w:color w:val="333333"/>
          <w:sz w:val="32"/>
          <w:szCs w:val="32"/>
        </w:rPr>
        <w:t>二是</w:t>
      </w:r>
      <w:r>
        <w:rPr>
          <w:rFonts w:hint="eastAsia" w:ascii="仿宋_GB2312" w:hAnsi="仿宋_GB2312" w:eastAsia="仿宋_GB2312" w:cs="仿宋_GB2312"/>
          <w:sz w:val="32"/>
          <w:szCs w:val="32"/>
        </w:rPr>
        <w:t>开展医疗保险救助，做好政策宣传，积极引导建挡立卡户正确参保，做到应保尽保。</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发动全局干部职工“献爱心”，累计为联系村建档立卡贫困户捐款捐物价值3000余元。认真落实“三结合工作”、帮助协调联系村—邛溪镇热多村阿木柯河大桥建设、中药材种植基地建设和沼气池清洁能源建设等；</w:t>
      </w:r>
      <w:r>
        <w:rPr>
          <w:rFonts w:hint="eastAsia" w:ascii="仿宋_GB2312" w:hAnsi="仿宋_GB2312" w:eastAsia="仿宋_GB2312" w:cs="仿宋_GB2312"/>
          <w:b/>
          <w:bCs/>
          <w:color w:val="333333"/>
          <w:sz w:val="32"/>
          <w:szCs w:val="32"/>
        </w:rPr>
        <w:t>四是</w:t>
      </w:r>
      <w:r>
        <w:rPr>
          <w:rFonts w:hint="eastAsia" w:ascii="仿宋_GB2312" w:hAnsi="仿宋_GB2312" w:eastAsia="仿宋_GB2312" w:cs="仿宋_GB2312"/>
          <w:sz w:val="32"/>
          <w:szCs w:val="32"/>
        </w:rPr>
        <w:t>帮助联系村建设文化宣传阵地，指导开展精神文明创建活动，及时排查调处村内发生的各类纠纷矛盾，防止发生集体越级上访和群体性事件。</w:t>
      </w:r>
    </w:p>
    <w:p>
      <w:pPr>
        <w:pageBreakBefore w:val="0"/>
        <w:widowControl w:val="0"/>
        <w:kinsoku/>
        <w:wordWrap/>
        <w:overflowPunct/>
        <w:topLinePunct w:val="0"/>
        <w:autoSpaceDE/>
        <w:autoSpaceDN/>
        <w:bidi w:val="0"/>
        <w:spacing w:line="540" w:lineRule="exact"/>
        <w:ind w:firstLine="643" w:firstLineChars="200"/>
        <w:rPr>
          <w:rFonts w:hint="eastAsia" w:ascii="仿宋_GB2312" w:hAnsi="仿宋_GB2312" w:eastAsia="仿宋_GB2312" w:cs="仿宋_GB2312"/>
          <w:sz w:val="32"/>
          <w:szCs w:val="32"/>
        </w:rPr>
      </w:pPr>
      <w:r>
        <w:rPr>
          <w:rFonts w:hint="eastAsia" w:ascii="楷体" w:hAnsi="楷体" w:eastAsia="楷体" w:cs="楷体"/>
          <w:b/>
          <w:bCs/>
          <w:sz w:val="32"/>
          <w:szCs w:val="32"/>
        </w:rPr>
        <w:t>（七）切实加强党风廉政建设。</w:t>
      </w:r>
      <w:r>
        <w:rPr>
          <w:rFonts w:hint="eastAsia" w:ascii="仿宋_GB2312" w:hAnsi="仿宋_GB2312" w:eastAsia="仿宋_GB2312" w:cs="仿宋_GB2312"/>
          <w:sz w:val="32"/>
          <w:szCs w:val="32"/>
        </w:rPr>
        <w:t>按照建设“廉洁、勤政、务实、高效”的政府职能部门的要求。我局认真组织干部职工学习了《</w:t>
      </w:r>
      <w:r>
        <w:rPr>
          <w:rFonts w:hint="default" w:ascii="仿宋_GB2312" w:hAnsi="仿宋_GB2312" w:eastAsia="仿宋_GB2312" w:cs="仿宋_GB2312"/>
          <w:sz w:val="32"/>
          <w:szCs w:val="32"/>
        </w:rPr>
        <w:t>中国共产党章程</w:t>
      </w:r>
      <w:r>
        <w:rPr>
          <w:rFonts w:hint="eastAsia" w:ascii="仿宋_GB2312" w:hAnsi="仿宋_GB2312" w:eastAsia="仿宋_GB2312" w:cs="仿宋_GB2312"/>
          <w:sz w:val="32"/>
          <w:szCs w:val="32"/>
        </w:rPr>
        <w:t>》、《中国共产党党内监督条例》、《中国共产党纪律处分条例》、《中国共产党党员领导干部廉洁自律若干准则》等相关规定。通过在6月15日与州退役军人事务局共同在瓦切镇开展“重走长征路、雪山草地行”主题党日活动和县“不忘初心、牢记使命”主题教育，使全体干部职工严格遵守廉洁自律有关规定，狠抓廉政建设坚持从严治政、依法行政，党风廉政建设得到进一步加强。坚持公开、公平、公正的原则，自觉树立“权为民所用、情为民所系、利为民所谋”的宗旨意识，保持了退役军人事务的良好形象。</w:t>
      </w:r>
    </w:p>
    <w:p>
      <w:pPr>
        <w:pageBreakBefore w:val="0"/>
        <w:widowControl w:val="0"/>
        <w:kinsoku/>
        <w:wordWrap/>
        <w:overflowPunct/>
        <w:topLinePunct w:val="0"/>
        <w:autoSpaceDE/>
        <w:autoSpaceDN/>
        <w:bidi w:val="0"/>
        <w:spacing w:line="540" w:lineRule="exact"/>
        <w:ind w:firstLine="643" w:firstLineChars="200"/>
        <w:rPr>
          <w:rFonts w:ascii="仿宋" w:hAnsi="仿宋" w:eastAsia="仿宋"/>
          <w:bCs/>
          <w:color w:val="000000"/>
          <w:sz w:val="32"/>
          <w:szCs w:val="32"/>
        </w:rPr>
      </w:pPr>
      <w:r>
        <w:rPr>
          <w:rFonts w:hint="eastAsia" w:ascii="楷体" w:hAnsi="楷体" w:eastAsia="楷体" w:cs="楷体"/>
          <w:b/>
          <w:bCs/>
          <w:sz w:val="32"/>
          <w:szCs w:val="32"/>
        </w:rPr>
        <w:t>（八）努力提升工作人员业务能力。</w:t>
      </w:r>
      <w:r>
        <w:rPr>
          <w:rFonts w:hint="eastAsia" w:ascii="仿宋" w:hAnsi="仿宋" w:eastAsia="仿宋" w:cs="仿宋"/>
          <w:sz w:val="32"/>
          <w:szCs w:val="32"/>
        </w:rPr>
        <w:t>认真抓好了业务工作人员的教育培训，经常性组织学习各级党委领导关于退役军人服务管理工作的重要指示精神，认清工作意义，强化责任意识。认真抓好了业务工作人员的能力建设，加强管理服务政策规定学习研究，熟悉管理服务工作程序，进一步增强了处理工作矛盾和问题的能力。广泛开展退役军人事务工作宣传，全年累计上报信息简报</w:t>
      </w:r>
      <w:r>
        <w:rPr>
          <w:rFonts w:ascii="仿宋" w:hAnsi="仿宋" w:eastAsia="仿宋" w:cs="仿宋"/>
          <w:sz w:val="32"/>
          <w:szCs w:val="32"/>
        </w:rPr>
        <w:t>48</w:t>
      </w:r>
      <w:r>
        <w:rPr>
          <w:rFonts w:hint="eastAsia" w:ascii="仿宋" w:hAnsi="仿宋" w:eastAsia="仿宋" w:cs="仿宋"/>
          <w:sz w:val="32"/>
          <w:szCs w:val="32"/>
        </w:rPr>
        <w:t>期，各类新闻媒体报道</w:t>
      </w:r>
      <w:r>
        <w:rPr>
          <w:rFonts w:ascii="仿宋" w:hAnsi="仿宋" w:eastAsia="仿宋" w:cs="仿宋"/>
          <w:sz w:val="32"/>
          <w:szCs w:val="32"/>
        </w:rPr>
        <w:t>12</w:t>
      </w:r>
      <w:r>
        <w:rPr>
          <w:rFonts w:hint="eastAsia" w:ascii="仿宋" w:hAnsi="仿宋" w:eastAsia="仿宋" w:cs="仿宋"/>
          <w:sz w:val="32"/>
          <w:szCs w:val="32"/>
        </w:rPr>
        <w:t>次。</w:t>
      </w:r>
    </w:p>
    <w:p>
      <w:pPr>
        <w:pStyle w:val="4"/>
        <w:pageBreakBefore w:val="0"/>
        <w:widowControl w:val="0"/>
        <w:kinsoku/>
        <w:wordWrap/>
        <w:overflowPunct/>
        <w:topLinePunct w:val="0"/>
        <w:autoSpaceDE/>
        <w:autoSpaceDN/>
        <w:bidi w:val="0"/>
        <w:spacing w:before="0" w:after="0" w:line="540" w:lineRule="exact"/>
        <w:rPr>
          <w:rStyle w:val="30"/>
          <w:b w:val="0"/>
          <w:bCs w:val="0"/>
        </w:rPr>
      </w:pPr>
      <w:bookmarkStart w:id="60" w:name="_Toc7786"/>
      <w:bookmarkStart w:id="61" w:name="_Toc4180"/>
      <w:r>
        <w:rPr>
          <w:rFonts w:hint="eastAsia" w:ascii="黑体" w:eastAsia="黑体"/>
          <w:b w:val="0"/>
          <w:color w:val="000000"/>
          <w:lang w:eastAsia="zh-CN"/>
        </w:rPr>
        <w:t>　　</w:t>
      </w:r>
      <w:bookmarkStart w:id="62" w:name="_Toc5339"/>
      <w:bookmarkStart w:id="63" w:name="_Toc31517"/>
      <w:bookmarkStart w:id="64" w:name="_Toc26020"/>
      <w:bookmarkStart w:id="65" w:name="_Toc21278"/>
      <w:r>
        <w:rPr>
          <w:rFonts w:hint="eastAsia" w:ascii="黑体" w:eastAsia="黑体"/>
          <w:b w:val="0"/>
          <w:color w:val="000000"/>
          <w:lang w:eastAsia="zh-CN"/>
        </w:rPr>
        <w:t>三</w:t>
      </w:r>
      <w:r>
        <w:rPr>
          <w:rFonts w:hint="eastAsia" w:ascii="黑体" w:eastAsia="黑体"/>
          <w:b w:val="0"/>
          <w:color w:val="000000"/>
        </w:rPr>
        <w:t>、</w:t>
      </w:r>
      <w:r>
        <w:rPr>
          <w:rFonts w:hint="eastAsia" w:ascii="黑体" w:hAnsi="黑体" w:eastAsia="黑体"/>
          <w:b w:val="0"/>
          <w:color w:val="000000"/>
        </w:rPr>
        <w:t>机</w:t>
      </w:r>
      <w:r>
        <w:rPr>
          <w:rStyle w:val="30"/>
          <w:rFonts w:hint="eastAsia" w:ascii="黑体" w:hAnsi="黑体" w:eastAsia="黑体"/>
          <w:b w:val="0"/>
          <w:bCs w:val="0"/>
        </w:rPr>
        <w:t>构设置</w:t>
      </w:r>
      <w:bookmarkEnd w:id="40"/>
      <w:bookmarkEnd w:id="41"/>
      <w:bookmarkEnd w:id="60"/>
      <w:bookmarkEnd w:id="61"/>
      <w:bookmarkEnd w:id="62"/>
      <w:bookmarkEnd w:id="63"/>
      <w:bookmarkEnd w:id="64"/>
      <w:bookmarkEnd w:id="65"/>
    </w:p>
    <w:p>
      <w:pPr>
        <w:pageBreakBefore w:val="0"/>
        <w:widowControl w:val="0"/>
        <w:kinsoku/>
        <w:wordWrap/>
        <w:overflowPunct/>
        <w:topLinePunct w:val="0"/>
        <w:autoSpaceDE/>
        <w:autoSpaceDN/>
        <w:bidi w:val="0"/>
        <w:spacing w:line="54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我单位为独立核算全额拨款行政（参公或行政或事业）单位，下设</w:t>
      </w:r>
      <w:r>
        <w:rPr>
          <w:rFonts w:ascii="仿宋_GB2312" w:hAnsi="仿宋_GB2312" w:eastAsia="仿宋_GB2312" w:cs="仿宋_GB2312"/>
          <w:bCs/>
          <w:sz w:val="32"/>
          <w:szCs w:val="32"/>
        </w:rPr>
        <w:t>0</w:t>
      </w:r>
      <w:r>
        <w:rPr>
          <w:rFonts w:hint="eastAsia" w:ascii="仿宋_GB2312" w:hAnsi="仿宋_GB2312" w:eastAsia="仿宋_GB2312" w:cs="仿宋_GB2312"/>
          <w:bCs/>
          <w:sz w:val="32"/>
          <w:szCs w:val="32"/>
        </w:rPr>
        <w:t>机构。截止</w:t>
      </w:r>
      <w:r>
        <w:rPr>
          <w:rFonts w:ascii="仿宋_GB2312" w:hAnsi="仿宋_GB2312" w:eastAsia="仿宋_GB2312" w:cs="仿宋_GB2312"/>
          <w:bCs/>
          <w:sz w:val="32"/>
          <w:szCs w:val="32"/>
        </w:rPr>
        <w:t>2019</w:t>
      </w:r>
      <w:r>
        <w:rPr>
          <w:rFonts w:hint="eastAsia" w:ascii="仿宋_GB2312" w:hAnsi="仿宋_GB2312" w:eastAsia="仿宋_GB2312" w:cs="仿宋_GB2312"/>
          <w:bCs/>
          <w:sz w:val="32"/>
          <w:szCs w:val="32"/>
        </w:rPr>
        <w:t>年底我单位共有编制</w:t>
      </w:r>
      <w:r>
        <w:rPr>
          <w:rFonts w:ascii="仿宋_GB2312" w:hAnsi="仿宋_GB2312" w:eastAsia="仿宋_GB2312" w:cs="仿宋_GB2312"/>
          <w:bCs/>
          <w:sz w:val="32"/>
          <w:szCs w:val="32"/>
        </w:rPr>
        <w:t>8</w:t>
      </w:r>
      <w:r>
        <w:rPr>
          <w:rFonts w:hint="eastAsia" w:ascii="仿宋_GB2312" w:hAnsi="仿宋_GB2312" w:eastAsia="仿宋_GB2312" w:cs="仿宋_GB2312"/>
          <w:bCs/>
          <w:sz w:val="32"/>
          <w:szCs w:val="32"/>
        </w:rPr>
        <w:t>个，其中公务员编制</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个，行政工勤编制</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个，事业编制</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个，在职</w:t>
      </w:r>
      <w:r>
        <w:rPr>
          <w:rFonts w:ascii="仿宋_GB2312" w:hAnsi="仿宋_GB2312" w:eastAsia="仿宋_GB2312" w:cs="仿宋_GB2312"/>
          <w:bCs/>
          <w:sz w:val="32"/>
          <w:szCs w:val="32"/>
        </w:rPr>
        <w:t>8</w:t>
      </w:r>
      <w:r>
        <w:rPr>
          <w:rFonts w:hint="eastAsia" w:ascii="仿宋_GB2312" w:hAnsi="仿宋_GB2312" w:eastAsia="仿宋_GB2312" w:cs="仿宋_GB2312"/>
          <w:bCs/>
          <w:sz w:val="32"/>
          <w:szCs w:val="32"/>
        </w:rPr>
        <w:t>人，其中参公</w:t>
      </w:r>
      <w:r>
        <w:rPr>
          <w:rFonts w:ascii="仿宋_GB2312" w:hAnsi="仿宋_GB2312" w:eastAsia="仿宋_GB2312" w:cs="仿宋_GB2312"/>
          <w:bCs/>
          <w:sz w:val="32"/>
          <w:szCs w:val="32"/>
        </w:rPr>
        <w:t>0</w:t>
      </w:r>
      <w:r>
        <w:rPr>
          <w:rFonts w:hint="eastAsia" w:ascii="仿宋_GB2312" w:hAnsi="仿宋_GB2312" w:eastAsia="仿宋_GB2312" w:cs="仿宋_GB2312"/>
          <w:bCs/>
          <w:sz w:val="32"/>
          <w:szCs w:val="32"/>
        </w:rPr>
        <w:t>人，公务员</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人，事业编制</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人。</w:t>
      </w:r>
    </w:p>
    <w:p>
      <w:pPr>
        <w:pageBreakBefore w:val="0"/>
        <w:widowControl w:val="0"/>
        <w:kinsoku/>
        <w:wordWrap/>
        <w:overflowPunct/>
        <w:topLinePunct w:val="0"/>
        <w:autoSpaceDE/>
        <w:autoSpaceDN/>
        <w:bidi w:val="0"/>
        <w:spacing w:line="560" w:lineRule="exact"/>
        <w:jc w:val="left"/>
        <w:rPr>
          <w:rFonts w:ascii="仿宋_GB2312" w:hAnsi="仿宋_GB2312" w:eastAsia="仿宋_GB2312" w:cs="仿宋_GB2312"/>
          <w:bCs/>
          <w:sz w:val="32"/>
          <w:szCs w:val="32"/>
        </w:rPr>
      </w:pPr>
    </w:p>
    <w:p>
      <w:pPr>
        <w:pageBreakBefore w:val="0"/>
        <w:widowControl w:val="0"/>
        <w:kinsoku/>
        <w:wordWrap/>
        <w:overflowPunct/>
        <w:topLinePunct w:val="0"/>
        <w:autoSpaceDE/>
        <w:autoSpaceDN/>
        <w:bidi w:val="0"/>
        <w:spacing w:line="560" w:lineRule="exact"/>
        <w:jc w:val="center"/>
        <w:outlineLvl w:val="0"/>
        <w:rPr>
          <w:rFonts w:hint="eastAsia" w:ascii="方正小标宋简体" w:hAnsi="方正小标宋简体" w:eastAsia="方正小标宋简体" w:cs="方正小标宋简体"/>
          <w:sz w:val="44"/>
          <w:szCs w:val="44"/>
        </w:rPr>
      </w:pPr>
      <w:r>
        <w:rPr>
          <w:rFonts w:ascii="仿宋" w:hAnsi="仿宋" w:eastAsia="仿宋"/>
          <w:color w:val="000000"/>
          <w:sz w:val="32"/>
          <w:szCs w:val="32"/>
        </w:rPr>
        <w:br w:type="page"/>
      </w:r>
      <w:bookmarkStart w:id="66" w:name="_Toc19006"/>
      <w:bookmarkStart w:id="67" w:name="_Toc4373"/>
      <w:bookmarkStart w:id="68" w:name="_Toc15377204"/>
      <w:bookmarkStart w:id="69" w:name="_Toc26092"/>
      <w:bookmarkStart w:id="70" w:name="_Toc28820"/>
      <w:bookmarkStart w:id="71" w:name="_Toc7001"/>
      <w:bookmarkStart w:id="72" w:name="_Toc16853"/>
      <w:bookmarkStart w:id="73" w:name="_Toc15396602"/>
      <w:r>
        <w:rPr>
          <w:rFonts w:hint="eastAsia" w:ascii="方正小标宋简体" w:hAnsi="方正小标宋简体" w:eastAsia="方正小标宋简体" w:cs="方正小标宋简体"/>
          <w:b w:val="0"/>
          <w:color w:val="000000"/>
          <w:sz w:val="44"/>
          <w:szCs w:val="44"/>
        </w:rPr>
        <w:t>第二部分</w:t>
      </w:r>
      <w:r>
        <w:rPr>
          <w:rFonts w:hint="eastAsia" w:ascii="方正小标宋简体" w:hAnsi="方正小标宋简体" w:eastAsia="方正小标宋简体" w:cs="方正小标宋简体"/>
          <w:color w:val="000000"/>
          <w:sz w:val="44"/>
          <w:szCs w:val="44"/>
        </w:rPr>
        <w:t xml:space="preserve"> </w:t>
      </w:r>
      <w:r>
        <w:rPr>
          <w:rStyle w:val="29"/>
          <w:rFonts w:hint="eastAsia" w:ascii="方正小标宋简体" w:hAnsi="方正小标宋简体" w:eastAsia="方正小标宋简体" w:cs="方正小标宋简体"/>
          <w:b w:val="0"/>
          <w:bCs w:val="0"/>
          <w:sz w:val="44"/>
          <w:szCs w:val="44"/>
        </w:rPr>
        <w:t>2019年度部门决算情况说明</w:t>
      </w:r>
      <w:bookmarkEnd w:id="66"/>
      <w:bookmarkEnd w:id="67"/>
      <w:bookmarkEnd w:id="68"/>
      <w:bookmarkEnd w:id="69"/>
      <w:bookmarkEnd w:id="70"/>
      <w:bookmarkEnd w:id="71"/>
      <w:bookmarkEnd w:id="72"/>
      <w:bookmarkEnd w:id="73"/>
    </w:p>
    <w:p>
      <w:pPr>
        <w:pStyle w:val="28"/>
        <w:spacing w:line="560" w:lineRule="exact"/>
        <w:ind w:left="640" w:firstLine="0" w:firstLineChars="0"/>
        <w:outlineLvl w:val="9"/>
        <w:rPr>
          <w:rFonts w:hint="eastAsia" w:ascii="黑体" w:hAnsi="黑体" w:eastAsia="黑体"/>
          <w:color w:val="000000"/>
          <w:sz w:val="32"/>
          <w:szCs w:val="32"/>
        </w:rPr>
      </w:pPr>
      <w:bookmarkStart w:id="74" w:name="_Toc24154"/>
      <w:bookmarkStart w:id="75" w:name="_Toc15396603"/>
      <w:bookmarkStart w:id="76" w:name="_Toc15377205"/>
      <w:bookmarkStart w:id="77" w:name="_Toc31692"/>
    </w:p>
    <w:p>
      <w:pPr>
        <w:pStyle w:val="28"/>
        <w:spacing w:line="560" w:lineRule="exact"/>
        <w:ind w:left="640" w:firstLine="0" w:firstLineChars="0"/>
        <w:outlineLvl w:val="1"/>
        <w:rPr>
          <w:rStyle w:val="30"/>
          <w:rFonts w:ascii="黑体" w:hAnsi="黑体" w:eastAsia="黑体"/>
          <w:b w:val="0"/>
        </w:rPr>
      </w:pPr>
      <w:bookmarkStart w:id="78" w:name="_Toc14431"/>
      <w:bookmarkStart w:id="79" w:name="_Toc5848"/>
      <w:bookmarkStart w:id="80" w:name="_Toc14294"/>
      <w:bookmarkStart w:id="81" w:name="_Toc3599"/>
      <w:r>
        <w:rPr>
          <w:rFonts w:hint="eastAsia" w:ascii="黑体" w:hAnsi="黑体" w:eastAsia="黑体"/>
          <w:color w:val="000000"/>
          <w:sz w:val="32"/>
          <w:szCs w:val="32"/>
        </w:rPr>
        <w:t>一、收</w:t>
      </w:r>
      <w:r>
        <w:rPr>
          <w:rStyle w:val="30"/>
          <w:rFonts w:hint="eastAsia" w:ascii="黑体" w:hAnsi="黑体" w:eastAsia="黑体"/>
          <w:b w:val="0"/>
        </w:rPr>
        <w:t>入支出决算总体情况说明</w:t>
      </w:r>
      <w:bookmarkEnd w:id="74"/>
      <w:bookmarkEnd w:id="75"/>
      <w:bookmarkEnd w:id="76"/>
      <w:bookmarkEnd w:id="77"/>
      <w:bookmarkEnd w:id="78"/>
      <w:bookmarkEnd w:id="79"/>
      <w:bookmarkEnd w:id="80"/>
      <w:bookmarkEnd w:id="81"/>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2019年度收、支总计1545万元。收入761.13万元，支出783.87万元，新成立单位无2018年对比数据。</w:t>
      </w:r>
    </w:p>
    <w:p>
      <w:pPr>
        <w:rPr>
          <w:rFonts w:ascii="仿宋" w:hAnsi="仿宋" w:eastAsia="仿宋"/>
          <w:color w:val="000000"/>
          <w:sz w:val="32"/>
          <w:szCs w:val="32"/>
        </w:rPr>
      </w:pPr>
      <w:r>
        <w:rPr>
          <w:lang w:bidi="bo-CN"/>
        </w:rPr>
        <w:drawing>
          <wp:anchor distT="0" distB="0" distL="114300" distR="114300" simplePos="0" relativeHeight="251659264" behindDoc="1" locked="0" layoutInCell="1" allowOverlap="1">
            <wp:simplePos x="0" y="0"/>
            <wp:positionH relativeFrom="column">
              <wp:posOffset>445770</wp:posOffset>
            </wp:positionH>
            <wp:positionV relativeFrom="paragraph">
              <wp:posOffset>65405</wp:posOffset>
            </wp:positionV>
            <wp:extent cx="4243070" cy="2178685"/>
            <wp:effectExtent l="0" t="0" r="11430" b="5715"/>
            <wp:wrapNone/>
            <wp:docPr id="1" name="图表 1"/>
            <wp:cNvGraphicFramePr/>
            <a:graphic xmlns:a="http://schemas.openxmlformats.org/drawingml/2006/main">
              <a:graphicData uri="http://schemas.openxmlformats.org/drawingml/2006/picture">
                <pic:pic xmlns:pic="http://schemas.openxmlformats.org/drawingml/2006/picture">
                  <pic:nvPicPr>
                    <pic:cNvPr id="1" name="图表 1"/>
                    <pic:cNvPicPr/>
                  </pic:nvPicPr>
                  <pic:blipFill>
                    <a:blip r:embed="rId7"/>
                    <a:stretch>
                      <a:fillRect/>
                    </a:stretch>
                  </pic:blipFill>
                  <pic:spPr>
                    <a:xfrm>
                      <a:off x="0" y="0"/>
                      <a:ext cx="4243070" cy="2178685"/>
                    </a:xfrm>
                    <a:prstGeom prst="rect">
                      <a:avLst/>
                    </a:prstGeom>
                    <a:noFill/>
                    <a:ln>
                      <a:noFill/>
                    </a:ln>
                  </pic:spPr>
                </pic:pic>
              </a:graphicData>
            </a:graphic>
          </wp:anchor>
        </w:drawing>
      </w:r>
    </w:p>
    <w:p>
      <w:pPr>
        <w:rPr>
          <w:rFonts w:ascii="仿宋" w:hAnsi="仿宋" w:eastAsia="仿宋"/>
          <w:color w:val="000000"/>
          <w:sz w:val="32"/>
          <w:szCs w:val="32"/>
        </w:rPr>
      </w:pPr>
    </w:p>
    <w:p>
      <w:pPr>
        <w:rPr>
          <w:rFonts w:ascii="仿宋" w:hAnsi="仿宋" w:eastAsia="仿宋"/>
          <w:color w:val="000000"/>
          <w:sz w:val="32"/>
          <w:szCs w:val="32"/>
        </w:rPr>
      </w:pPr>
    </w:p>
    <w:p>
      <w:pPr>
        <w:rPr>
          <w:rFonts w:ascii="仿宋" w:hAnsi="仿宋" w:eastAsia="仿宋"/>
          <w:color w:val="000000"/>
          <w:sz w:val="32"/>
          <w:szCs w:val="32"/>
        </w:rPr>
      </w:pPr>
    </w:p>
    <w:p>
      <w:pPr>
        <w:pStyle w:val="11"/>
        <w:ind w:left="0" w:leftChars="0"/>
        <w:rPr>
          <w:rFonts w:ascii="仿宋" w:hAnsi="仿宋" w:eastAsia="仿宋"/>
          <w:color w:val="000000"/>
          <w:sz w:val="32"/>
          <w:szCs w:val="32"/>
        </w:rPr>
      </w:pPr>
      <w:bookmarkStart w:id="82" w:name="_Toc15377206"/>
      <w:bookmarkStart w:id="83" w:name="_Toc15396604"/>
    </w:p>
    <w:p>
      <w:pPr>
        <w:pStyle w:val="11"/>
        <w:keepNext w:val="0"/>
        <w:keepLines w:val="0"/>
        <w:pageBreakBefore w:val="0"/>
        <w:widowControl w:val="0"/>
        <w:kinsoku/>
        <w:wordWrap/>
        <w:overflowPunct/>
        <w:topLinePunct w:val="0"/>
        <w:autoSpaceDE/>
        <w:autoSpaceDN/>
        <w:bidi w:val="0"/>
        <w:adjustRightInd/>
        <w:snapToGrid/>
        <w:spacing w:line="200" w:lineRule="exact"/>
        <w:ind w:left="0" w:leftChars="0"/>
        <w:jc w:val="center"/>
        <w:textAlignment w:val="auto"/>
        <w:rPr>
          <w:rFonts w:hint="eastAsia" w:ascii="仿宋" w:hAnsi="仿宋" w:eastAsia="仿宋"/>
          <w:color w:val="000000"/>
          <w:sz w:val="32"/>
          <w:szCs w:val="32"/>
        </w:rPr>
      </w:pPr>
    </w:p>
    <w:p>
      <w:pPr>
        <w:rPr>
          <w:rFonts w:hint="eastAsia"/>
        </w:rPr>
      </w:pPr>
    </w:p>
    <w:p>
      <w:pPr>
        <w:pStyle w:val="11"/>
        <w:ind w:left="0" w:leftChars="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28"/>
        <w:spacing w:line="560" w:lineRule="exact"/>
        <w:ind w:firstLine="640"/>
        <w:outlineLvl w:val="1"/>
        <w:rPr>
          <w:rStyle w:val="30"/>
          <w:rFonts w:ascii="黑体" w:hAnsi="黑体" w:eastAsia="黑体"/>
          <w:b w:val="0"/>
        </w:rPr>
      </w:pPr>
      <w:bookmarkStart w:id="84" w:name="_Toc2054"/>
      <w:bookmarkStart w:id="85" w:name="_Toc4686"/>
      <w:bookmarkStart w:id="86" w:name="_Toc22947"/>
      <w:bookmarkStart w:id="87" w:name="_Toc24608"/>
      <w:bookmarkStart w:id="88" w:name="_Toc1545"/>
      <w:bookmarkStart w:id="89" w:name="_Toc13225"/>
      <w:r>
        <w:rPr>
          <w:rFonts w:hint="eastAsia" w:ascii="黑体" w:hAnsi="黑体" w:eastAsia="黑体"/>
          <w:color w:val="000000"/>
          <w:sz w:val="32"/>
          <w:szCs w:val="32"/>
        </w:rPr>
        <w:t>二、收</w:t>
      </w:r>
      <w:r>
        <w:rPr>
          <w:rStyle w:val="30"/>
          <w:rFonts w:hint="eastAsia" w:ascii="黑体" w:hAnsi="黑体" w:eastAsia="黑体"/>
          <w:b w:val="0"/>
        </w:rPr>
        <w:t>入决算情况说明</w:t>
      </w:r>
      <w:bookmarkEnd w:id="82"/>
      <w:bookmarkEnd w:id="83"/>
      <w:bookmarkEnd w:id="84"/>
      <w:bookmarkEnd w:id="85"/>
      <w:bookmarkEnd w:id="86"/>
      <w:bookmarkEnd w:id="87"/>
      <w:bookmarkEnd w:id="88"/>
      <w:bookmarkEnd w:id="89"/>
    </w:p>
    <w:p>
      <w:pPr>
        <w:spacing w:line="560" w:lineRule="exact"/>
        <w:ind w:firstLine="640" w:firstLineChars="200"/>
        <w:outlineLvl w:val="1"/>
        <w:rPr>
          <w:rFonts w:hint="eastAsia" w:ascii="仿宋_GB2312" w:hAnsi="仿宋_GB2312" w:eastAsia="仿宋_GB2312" w:cs="仿宋_GB2312"/>
          <w:color w:val="000000"/>
          <w:sz w:val="32"/>
          <w:szCs w:val="32"/>
        </w:rPr>
      </w:pPr>
      <w:bookmarkStart w:id="90" w:name="_Toc16479"/>
      <w:bookmarkStart w:id="91" w:name="_Toc25497"/>
      <w:bookmarkStart w:id="92" w:name="_Toc10032"/>
      <w:bookmarkStart w:id="93" w:name="_Toc23293"/>
      <w:bookmarkStart w:id="94" w:name="_Toc20941"/>
      <w:bookmarkStart w:id="95" w:name="_Toc24764"/>
      <w:r>
        <w:rPr>
          <w:rFonts w:hint="eastAsia" w:ascii="仿宋_GB2312" w:hAnsi="仿宋_GB2312" w:eastAsia="仿宋_GB2312" w:cs="仿宋_GB2312"/>
          <w:color w:val="000000"/>
          <w:sz w:val="32"/>
          <w:szCs w:val="32"/>
        </w:rPr>
        <w:t>2019年本年收入合计761.13万元，其中：一般公共预算财政拨款收入761.13万元，占100%；政府性基金预算财政拨款收入0万元，占0%。</w:t>
      </w:r>
      <w:bookmarkEnd w:id="90"/>
      <w:bookmarkEnd w:id="91"/>
      <w:bookmarkEnd w:id="92"/>
      <w:bookmarkEnd w:id="93"/>
      <w:bookmarkEnd w:id="94"/>
      <w:bookmarkEnd w:id="95"/>
    </w:p>
    <w:p>
      <w:pPr>
        <w:spacing w:line="600" w:lineRule="exact"/>
        <w:ind w:firstLine="420" w:firstLineChars="200"/>
        <w:rPr>
          <w:rFonts w:ascii="仿宋" w:hAnsi="仿宋" w:eastAsia="仿宋"/>
          <w:color w:val="000000"/>
          <w:sz w:val="32"/>
          <w:szCs w:val="32"/>
        </w:rPr>
      </w:pPr>
      <w:r>
        <w:rPr>
          <w:lang w:bidi="bo-CN"/>
        </w:rPr>
        <w:drawing>
          <wp:anchor distT="0" distB="0" distL="114300" distR="114300" simplePos="0" relativeHeight="251660288" behindDoc="1" locked="0" layoutInCell="1" allowOverlap="1">
            <wp:simplePos x="0" y="0"/>
            <wp:positionH relativeFrom="column">
              <wp:posOffset>448310</wp:posOffset>
            </wp:positionH>
            <wp:positionV relativeFrom="paragraph">
              <wp:posOffset>73660</wp:posOffset>
            </wp:positionV>
            <wp:extent cx="4645025" cy="2466975"/>
            <wp:effectExtent l="0" t="0" r="3175" b="9525"/>
            <wp:wrapNone/>
            <wp:docPr id="2" name="图片 3"/>
            <wp:cNvGraphicFramePr/>
            <a:graphic xmlns:a="http://schemas.openxmlformats.org/drawingml/2006/main">
              <a:graphicData uri="http://schemas.openxmlformats.org/drawingml/2006/picture">
                <pic:pic xmlns:pic="http://schemas.openxmlformats.org/drawingml/2006/picture">
                  <pic:nvPicPr>
                    <pic:cNvPr id="2" name="图片 3"/>
                    <pic:cNvPicPr/>
                  </pic:nvPicPr>
                  <pic:blipFill>
                    <a:blip r:embed="rId8"/>
                    <a:stretch>
                      <a:fillRect/>
                    </a:stretch>
                  </pic:blipFill>
                  <pic:spPr>
                    <a:xfrm>
                      <a:off x="0" y="0"/>
                      <a:ext cx="4645025" cy="2466975"/>
                    </a:xfrm>
                    <a:prstGeom prst="rect">
                      <a:avLst/>
                    </a:prstGeom>
                    <a:noFill/>
                    <a:ln>
                      <a:noFill/>
                    </a:ln>
                  </pic:spPr>
                </pic:pic>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2"/>
        <w:rPr>
          <w:rFonts w:ascii="仿宋" w:hAnsi="仿宋" w:eastAsia="仿宋"/>
          <w:color w:val="000000"/>
          <w:sz w:val="32"/>
          <w:szCs w:val="32"/>
        </w:rPr>
      </w:pPr>
    </w:p>
    <w:p>
      <w:pPr>
        <w:pStyle w:val="2"/>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jc w:val="both"/>
        <w:rPr>
          <w:rFonts w:ascii="仿宋" w:hAnsi="仿宋" w:eastAsia="仿宋"/>
          <w:color w:val="000000"/>
          <w:sz w:val="32"/>
          <w:szCs w:val="32"/>
        </w:rPr>
      </w:pP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8"/>
        <w:spacing w:line="560" w:lineRule="exact"/>
        <w:ind w:firstLine="640"/>
        <w:outlineLvl w:val="1"/>
        <w:rPr>
          <w:rStyle w:val="30"/>
          <w:rFonts w:ascii="黑体" w:hAnsi="黑体" w:eastAsia="黑体"/>
          <w:b w:val="0"/>
        </w:rPr>
      </w:pPr>
      <w:bookmarkStart w:id="96" w:name="_Toc27881"/>
      <w:bookmarkStart w:id="97" w:name="_Toc15560"/>
      <w:bookmarkStart w:id="98" w:name="_Toc17459"/>
      <w:bookmarkStart w:id="99" w:name="_Toc32328"/>
      <w:bookmarkStart w:id="100" w:name="_Toc12089"/>
      <w:bookmarkStart w:id="101" w:name="_Toc15396605"/>
      <w:bookmarkStart w:id="102" w:name="_Toc15377207"/>
      <w:bookmarkStart w:id="103" w:name="_Toc15380"/>
      <w:r>
        <w:rPr>
          <w:rFonts w:hint="eastAsia" w:ascii="黑体" w:hAnsi="黑体" w:eastAsia="黑体"/>
          <w:color w:val="000000"/>
          <w:sz w:val="32"/>
          <w:szCs w:val="32"/>
        </w:rPr>
        <w:t>三、支</w:t>
      </w:r>
      <w:r>
        <w:rPr>
          <w:rStyle w:val="30"/>
          <w:rFonts w:hint="eastAsia" w:ascii="黑体" w:hAnsi="黑体" w:eastAsia="黑体"/>
          <w:b w:val="0"/>
        </w:rPr>
        <w:t>出决算情况说明</w:t>
      </w:r>
      <w:bookmarkEnd w:id="96"/>
      <w:bookmarkEnd w:id="97"/>
      <w:bookmarkEnd w:id="98"/>
      <w:bookmarkEnd w:id="99"/>
      <w:bookmarkEnd w:id="100"/>
      <w:bookmarkEnd w:id="101"/>
      <w:bookmarkEnd w:id="102"/>
      <w:bookmarkEnd w:id="103"/>
    </w:p>
    <w:p>
      <w:pPr>
        <w:spacing w:line="560" w:lineRule="exact"/>
        <w:ind w:firstLine="640" w:firstLineChars="200"/>
        <w:outlineLvl w:val="1"/>
        <w:rPr>
          <w:rFonts w:hint="eastAsia" w:ascii="仿宋_GB2312" w:hAnsi="仿宋_GB2312" w:eastAsia="仿宋_GB2312" w:cs="仿宋_GB2312"/>
          <w:color w:val="000000"/>
          <w:sz w:val="32"/>
          <w:szCs w:val="32"/>
        </w:rPr>
      </w:pPr>
      <w:bookmarkStart w:id="104" w:name="_Toc22140"/>
      <w:bookmarkStart w:id="105" w:name="_Toc27541"/>
      <w:bookmarkStart w:id="106" w:name="_Toc17701"/>
      <w:bookmarkStart w:id="107" w:name="_Toc26952"/>
      <w:bookmarkStart w:id="108" w:name="_Toc31052"/>
      <w:bookmarkStart w:id="109" w:name="_Toc23104"/>
      <w:r>
        <w:rPr>
          <w:rFonts w:hint="eastAsia" w:ascii="仿宋_GB2312" w:hAnsi="仿宋_GB2312" w:eastAsia="仿宋_GB2312" w:cs="仿宋_GB2312"/>
          <w:color w:val="000000"/>
          <w:sz w:val="32"/>
          <w:szCs w:val="32"/>
        </w:rPr>
        <w:t>2019年本年支出合计783.87万元，其中：基本支出105.70万元，占10.76%；项目支出678.17万元，占89.24%；上缴上级支出0万元，占0%；经营支出0万元，占0%；对附属单位补助支出0万元，占0%。</w:t>
      </w:r>
      <w:bookmarkEnd w:id="104"/>
      <w:bookmarkEnd w:id="105"/>
      <w:bookmarkEnd w:id="106"/>
      <w:bookmarkEnd w:id="107"/>
      <w:bookmarkEnd w:id="108"/>
      <w:bookmarkEnd w:id="109"/>
    </w:p>
    <w:p>
      <w:pPr>
        <w:spacing w:line="600" w:lineRule="exact"/>
        <w:ind w:firstLine="420" w:firstLineChars="200"/>
        <w:rPr>
          <w:rFonts w:ascii="仿宋" w:hAnsi="仿宋" w:eastAsia="仿宋"/>
          <w:color w:val="000000"/>
          <w:sz w:val="32"/>
          <w:szCs w:val="32"/>
        </w:rPr>
      </w:pPr>
      <w:r>
        <w:rPr>
          <w:lang w:bidi="bo-CN"/>
        </w:rPr>
        <w:drawing>
          <wp:anchor distT="0" distB="0" distL="114300" distR="114300" simplePos="0" relativeHeight="251661312" behindDoc="1" locked="0" layoutInCell="1" allowOverlap="1">
            <wp:simplePos x="0" y="0"/>
            <wp:positionH relativeFrom="column">
              <wp:posOffset>853440</wp:posOffset>
            </wp:positionH>
            <wp:positionV relativeFrom="paragraph">
              <wp:posOffset>95250</wp:posOffset>
            </wp:positionV>
            <wp:extent cx="4004945" cy="2249170"/>
            <wp:effectExtent l="0" t="0" r="8255" b="11430"/>
            <wp:wrapNone/>
            <wp:docPr id="3" name="图片 4"/>
            <wp:cNvGraphicFramePr/>
            <a:graphic xmlns:a="http://schemas.openxmlformats.org/drawingml/2006/main">
              <a:graphicData uri="http://schemas.openxmlformats.org/drawingml/2006/picture">
                <pic:pic xmlns:pic="http://schemas.openxmlformats.org/drawingml/2006/picture">
                  <pic:nvPicPr>
                    <pic:cNvPr id="3" name="图片 4"/>
                    <pic:cNvPicPr/>
                  </pic:nvPicPr>
                  <pic:blipFill>
                    <a:blip r:embed="rId9"/>
                    <a:stretch>
                      <a:fillRect/>
                    </a:stretch>
                  </pic:blipFill>
                  <pic:spPr>
                    <a:xfrm>
                      <a:off x="0" y="0"/>
                      <a:ext cx="4004945" cy="2249170"/>
                    </a:xfrm>
                    <a:prstGeom prst="rect">
                      <a:avLst/>
                    </a:prstGeom>
                    <a:noFill/>
                    <a:ln>
                      <a:noFill/>
                    </a:ln>
                  </pic:spPr>
                </pic:pic>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（图3：支出决算结构图）（饼状图）</w:t>
      </w:r>
      <w:bookmarkStart w:id="110" w:name="_Toc15396606"/>
      <w:bookmarkStart w:id="111" w:name="_Toc15377208"/>
    </w:p>
    <w:p>
      <w:pPr>
        <w:spacing w:line="600" w:lineRule="exact"/>
        <w:ind w:firstLine="640" w:firstLineChars="200"/>
        <w:outlineLvl w:val="1"/>
        <w:rPr>
          <w:rStyle w:val="30"/>
          <w:rFonts w:ascii="黑体" w:hAnsi="黑体" w:eastAsia="黑体"/>
          <w:b w:val="0"/>
        </w:rPr>
      </w:pPr>
      <w:bookmarkStart w:id="112" w:name="_Toc2723"/>
      <w:bookmarkStart w:id="113" w:name="_Toc8916"/>
      <w:bookmarkStart w:id="114" w:name="_Toc1712"/>
      <w:bookmarkStart w:id="115" w:name="_Toc17653"/>
      <w:bookmarkStart w:id="116" w:name="_Toc18172"/>
      <w:bookmarkStart w:id="117" w:name="_Toc27982"/>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110"/>
      <w:bookmarkEnd w:id="111"/>
      <w:bookmarkEnd w:id="112"/>
      <w:bookmarkEnd w:id="113"/>
      <w:bookmarkEnd w:id="114"/>
      <w:bookmarkEnd w:id="115"/>
      <w:bookmarkEnd w:id="116"/>
      <w:bookmarkEnd w:id="117"/>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2019年度收、支总计1545万元。收入761.13万元，支出783.87万元，新成立单位无2018年对比数据。（图4：财政拨款收、支决算总计变动情况）（柱状图）</w:t>
      </w:r>
    </w:p>
    <w:p>
      <w:pPr>
        <w:spacing w:line="600" w:lineRule="exact"/>
        <w:ind w:firstLine="640"/>
        <w:rPr>
          <w:rFonts w:ascii="仿宋" w:hAnsi="仿宋" w:eastAsia="仿宋"/>
          <w:b/>
          <w:color w:val="00B050"/>
          <w:sz w:val="32"/>
          <w:szCs w:val="32"/>
        </w:rPr>
      </w:pPr>
      <w:r>
        <w:rPr>
          <w:lang w:bidi="bo-CN"/>
        </w:rPr>
        <w:drawing>
          <wp:anchor distT="0" distB="0" distL="114300" distR="114300" simplePos="0" relativeHeight="251662336" behindDoc="1" locked="0" layoutInCell="1" allowOverlap="1">
            <wp:simplePos x="0" y="0"/>
            <wp:positionH relativeFrom="column">
              <wp:posOffset>512445</wp:posOffset>
            </wp:positionH>
            <wp:positionV relativeFrom="paragraph">
              <wp:posOffset>230505</wp:posOffset>
            </wp:positionV>
            <wp:extent cx="4230370" cy="2614930"/>
            <wp:effectExtent l="0" t="0" r="11430" b="1270"/>
            <wp:wrapNone/>
            <wp:docPr id="4" name="图片 5"/>
            <wp:cNvGraphicFramePr/>
            <a:graphic xmlns:a="http://schemas.openxmlformats.org/drawingml/2006/main">
              <a:graphicData uri="http://schemas.openxmlformats.org/drawingml/2006/picture">
                <pic:pic xmlns:pic="http://schemas.openxmlformats.org/drawingml/2006/picture">
                  <pic:nvPicPr>
                    <pic:cNvPr id="4" name="图片 5"/>
                    <pic:cNvPicPr/>
                  </pic:nvPicPr>
                  <pic:blipFill>
                    <a:blip r:embed="rId10"/>
                    <a:stretch>
                      <a:fillRect/>
                    </a:stretch>
                  </pic:blipFill>
                  <pic:spPr>
                    <a:xfrm>
                      <a:off x="0" y="0"/>
                      <a:ext cx="4230370" cy="2614930"/>
                    </a:xfrm>
                    <a:prstGeom prst="rect">
                      <a:avLst/>
                    </a:prstGeom>
                    <a:noFill/>
                    <a:ln>
                      <a:noFill/>
                    </a:ln>
                  </pic:spPr>
                </pic:pic>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rPr>
          <w:rFonts w:ascii="黑体" w:hAnsi="黑体" w:eastAsia="黑体"/>
          <w:color w:val="000000"/>
          <w:sz w:val="32"/>
          <w:szCs w:val="32"/>
        </w:rPr>
      </w:pPr>
      <w:bookmarkStart w:id="118" w:name="_Toc15396607"/>
      <w:bookmarkStart w:id="119" w:name="_Toc15377209"/>
    </w:p>
    <w:p>
      <w:pPr>
        <w:spacing w:line="600" w:lineRule="exact"/>
        <w:ind w:firstLine="640" w:firstLineChars="200"/>
        <w:rPr>
          <w:rFonts w:ascii="黑体" w:hAnsi="黑体" w:eastAsia="黑体"/>
          <w:color w:val="000000"/>
          <w:sz w:val="32"/>
          <w:szCs w:val="32"/>
        </w:rPr>
      </w:pPr>
    </w:p>
    <w:p>
      <w:pPr>
        <w:spacing w:line="600" w:lineRule="exact"/>
        <w:ind w:firstLine="640" w:firstLineChars="200"/>
        <w:outlineLvl w:val="1"/>
        <w:rPr>
          <w:rStyle w:val="30"/>
          <w:rFonts w:ascii="黑体" w:hAnsi="黑体" w:eastAsia="黑体"/>
          <w:b w:val="0"/>
        </w:rPr>
      </w:pPr>
      <w:bookmarkStart w:id="120" w:name="_Toc20994"/>
      <w:bookmarkStart w:id="121" w:name="_Toc8793"/>
      <w:bookmarkStart w:id="122" w:name="_Toc8549"/>
      <w:bookmarkStart w:id="123" w:name="_Toc3706"/>
      <w:bookmarkStart w:id="124" w:name="_Toc1475"/>
      <w:bookmarkStart w:id="125" w:name="_Toc31885"/>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118"/>
      <w:bookmarkEnd w:id="119"/>
      <w:bookmarkEnd w:id="120"/>
      <w:bookmarkEnd w:id="121"/>
      <w:bookmarkEnd w:id="122"/>
      <w:bookmarkEnd w:id="123"/>
      <w:bookmarkEnd w:id="124"/>
      <w:bookmarkEnd w:id="125"/>
    </w:p>
    <w:p>
      <w:pPr>
        <w:spacing w:line="600" w:lineRule="exact"/>
        <w:ind w:firstLine="643" w:firstLineChars="200"/>
        <w:outlineLvl w:val="2"/>
        <w:rPr>
          <w:rFonts w:ascii="仿宋" w:hAnsi="仿宋" w:eastAsia="仿宋"/>
          <w:b/>
          <w:color w:val="000000"/>
          <w:sz w:val="32"/>
          <w:szCs w:val="32"/>
        </w:rPr>
      </w:pPr>
      <w:bookmarkStart w:id="126" w:name="_Toc15377210"/>
      <w:r>
        <w:rPr>
          <w:rFonts w:hint="eastAsia" w:ascii="仿宋" w:hAnsi="仿宋" w:eastAsia="仿宋"/>
          <w:b/>
          <w:color w:val="000000"/>
          <w:sz w:val="32"/>
          <w:szCs w:val="32"/>
        </w:rPr>
        <w:t>（一）一般公共预算财政拨款支出决算总体情况</w:t>
      </w:r>
      <w:bookmarkEnd w:id="126"/>
    </w:p>
    <w:p>
      <w:pPr>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2019年一般公共预算财政拨款支出783.87万元，占本年支出合计的99%。（图5。：一般公共预算财政拨款支出决算变动情况）（</w:t>
      </w:r>
      <w:r>
        <w:rPr>
          <w:rFonts w:hint="eastAsia" w:ascii="仿宋_GB2312" w:hAnsi="仿宋_GB2312" w:eastAsia="仿宋_GB2312" w:cs="仿宋_GB2312"/>
          <w:color w:val="000000"/>
          <w:sz w:val="32"/>
          <w:szCs w:val="32"/>
          <w:lang w:eastAsia="zh-CN"/>
        </w:rPr>
        <w:t>柱状</w:t>
      </w:r>
      <w:r>
        <w:rPr>
          <w:rFonts w:hint="eastAsia" w:ascii="仿宋_GB2312" w:hAnsi="仿宋_GB2312" w:eastAsia="仿宋_GB2312" w:cs="仿宋_GB2312"/>
          <w:color w:val="000000"/>
          <w:sz w:val="32"/>
          <w:szCs w:val="32"/>
        </w:rPr>
        <w:t>图）</w:t>
      </w:r>
    </w:p>
    <w:p>
      <w:pPr>
        <w:spacing w:line="520" w:lineRule="exact"/>
        <w:ind w:firstLine="420" w:firstLineChars="200"/>
        <w:jc w:val="left"/>
        <w:rPr>
          <w:rFonts w:ascii="仿宋" w:hAnsi="仿宋" w:eastAsia="仿宋"/>
          <w:color w:val="000000"/>
          <w:sz w:val="32"/>
          <w:szCs w:val="32"/>
        </w:rPr>
      </w:pPr>
      <w:r>
        <w:drawing>
          <wp:anchor distT="0" distB="0" distL="114300" distR="114300" simplePos="0" relativeHeight="251665408" behindDoc="1" locked="0" layoutInCell="1" allowOverlap="1">
            <wp:simplePos x="0" y="0"/>
            <wp:positionH relativeFrom="column">
              <wp:posOffset>490220</wp:posOffset>
            </wp:positionH>
            <wp:positionV relativeFrom="paragraph">
              <wp:posOffset>205740</wp:posOffset>
            </wp:positionV>
            <wp:extent cx="4572000" cy="2743200"/>
            <wp:effectExtent l="4445" t="4445" r="8255" b="8255"/>
            <wp:wrapNone/>
            <wp:docPr id="7" name="图片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b/>
          <w:color w:val="000000"/>
          <w:sz w:val="32"/>
          <w:szCs w:val="32"/>
        </w:rPr>
      </w:pPr>
      <w:bookmarkStart w:id="127" w:name="_Toc15377211"/>
    </w:p>
    <w:p>
      <w:pPr>
        <w:spacing w:line="600" w:lineRule="exact"/>
        <w:rPr>
          <w:rFonts w:ascii="仿宋" w:hAnsi="仿宋" w:eastAsia="仿宋"/>
          <w:b/>
          <w:color w:val="000000"/>
          <w:sz w:val="32"/>
          <w:szCs w:val="32"/>
        </w:rPr>
      </w:pPr>
    </w:p>
    <w:p>
      <w:pPr>
        <w:spacing w:line="600" w:lineRule="exact"/>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127"/>
    </w:p>
    <w:p>
      <w:pPr>
        <w:spacing w:line="600" w:lineRule="exact"/>
        <w:ind w:firstLine="640"/>
        <w:rPr>
          <w:rFonts w:ascii="仿宋" w:hAnsi="仿宋" w:eastAsia="仿宋"/>
          <w:bCs/>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783.87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770.11</w:t>
      </w:r>
      <w:r>
        <w:rPr>
          <w:rFonts w:hint="eastAsia" w:ascii="仿宋" w:hAnsi="仿宋" w:eastAsia="仿宋"/>
          <w:color w:val="000000"/>
          <w:sz w:val="32"/>
          <w:szCs w:val="32"/>
        </w:rPr>
        <w:t>万元，占</w:t>
      </w:r>
      <w:r>
        <w:rPr>
          <w:rFonts w:ascii="仿宋" w:hAnsi="仿宋" w:eastAsia="仿宋"/>
          <w:color w:val="000000"/>
          <w:sz w:val="32"/>
          <w:szCs w:val="32"/>
        </w:rPr>
        <w:t>98%</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ascii="仿宋" w:hAnsi="仿宋" w:eastAsia="仿宋"/>
          <w:b/>
          <w:bCs/>
          <w:color w:val="000000"/>
          <w:sz w:val="32"/>
          <w:szCs w:val="32"/>
        </w:rPr>
        <w:t>5.92</w:t>
      </w:r>
      <w:r>
        <w:rPr>
          <w:rFonts w:hint="eastAsia" w:ascii="仿宋" w:hAnsi="仿宋" w:eastAsia="仿宋"/>
          <w:color w:val="000000"/>
          <w:sz w:val="32"/>
          <w:szCs w:val="32"/>
        </w:rPr>
        <w:t>万元，占</w:t>
      </w:r>
      <w:r>
        <w:rPr>
          <w:rFonts w:ascii="仿宋" w:hAnsi="仿宋" w:eastAsia="仿宋"/>
          <w:color w:val="000000"/>
          <w:sz w:val="32"/>
          <w:szCs w:val="32"/>
        </w:rPr>
        <w:t>0.07%</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ascii="仿宋" w:hAnsi="仿宋" w:eastAsia="仿宋"/>
          <w:color w:val="000000"/>
          <w:sz w:val="32"/>
          <w:szCs w:val="32"/>
        </w:rPr>
        <w:t>7.84</w:t>
      </w:r>
      <w:r>
        <w:rPr>
          <w:rFonts w:hint="eastAsia" w:ascii="仿宋" w:hAnsi="仿宋" w:eastAsia="仿宋"/>
          <w:color w:val="000000"/>
          <w:sz w:val="32"/>
          <w:szCs w:val="32"/>
        </w:rPr>
        <w:t>万元，占</w:t>
      </w:r>
      <w:r>
        <w:rPr>
          <w:rFonts w:ascii="仿宋" w:hAnsi="仿宋" w:eastAsia="仿宋"/>
          <w:color w:val="000000"/>
          <w:sz w:val="32"/>
          <w:szCs w:val="32"/>
        </w:rPr>
        <w:t>0.13%</w: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r>
        <w:rPr>
          <w:lang w:bidi="bo-CN"/>
        </w:rPr>
        <w:drawing>
          <wp:anchor distT="0" distB="0" distL="114300" distR="114300" simplePos="0" relativeHeight="251663360" behindDoc="1" locked="0" layoutInCell="1" allowOverlap="1">
            <wp:simplePos x="0" y="0"/>
            <wp:positionH relativeFrom="column">
              <wp:posOffset>365760</wp:posOffset>
            </wp:positionH>
            <wp:positionV relativeFrom="page">
              <wp:posOffset>708660</wp:posOffset>
            </wp:positionV>
            <wp:extent cx="4590415" cy="2749550"/>
            <wp:effectExtent l="0" t="0" r="6985" b="6350"/>
            <wp:wrapNone/>
            <wp:docPr id="5" name="图片 7"/>
            <wp:cNvGraphicFramePr/>
            <a:graphic xmlns:a="http://schemas.openxmlformats.org/drawingml/2006/main">
              <a:graphicData uri="http://schemas.openxmlformats.org/drawingml/2006/picture">
                <pic:pic xmlns:pic="http://schemas.openxmlformats.org/drawingml/2006/picture">
                  <pic:nvPicPr>
                    <pic:cNvPr id="5" name="图片 7"/>
                    <pic:cNvPicPr/>
                  </pic:nvPicPr>
                  <pic:blipFill>
                    <a:blip r:embed="rId12"/>
                    <a:stretch>
                      <a:fillRect/>
                    </a:stretch>
                  </pic:blipFill>
                  <pic:spPr>
                    <a:xfrm>
                      <a:off x="0" y="0"/>
                      <a:ext cx="4590415" cy="2749550"/>
                    </a:xfrm>
                    <a:prstGeom prst="rect">
                      <a:avLst/>
                    </a:prstGeom>
                    <a:noFill/>
                    <a:ln>
                      <a:noFill/>
                    </a:ln>
                  </pic:spPr>
                </pic:pic>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ascii="仿宋" w:hAnsi="仿宋" w:eastAsia="仿宋"/>
          <w:b/>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bookmarkStart w:id="128" w:name="_Toc15377212"/>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128"/>
    </w:p>
    <w:p>
      <w:pPr>
        <w:spacing w:line="600" w:lineRule="exact"/>
        <w:ind w:firstLine="643" w:firstLineChars="200"/>
        <w:rPr>
          <w:rStyle w:val="15"/>
          <w:rFonts w:ascii="仿宋" w:hAnsi="仿宋" w:eastAsia="仿宋"/>
          <w:bCs/>
          <w:color w:val="000000"/>
          <w:sz w:val="32"/>
          <w:szCs w:val="32"/>
        </w:rPr>
      </w:pPr>
      <w:bookmarkStart w:id="129" w:name="_Toc15377213"/>
      <w:bookmarkStart w:id="130" w:name="_Toc15378460"/>
      <w:bookmarkStart w:id="131" w:name="_Toc15377444"/>
      <w:r>
        <w:rPr>
          <w:rStyle w:val="15"/>
          <w:rFonts w:ascii="仿宋" w:hAnsi="仿宋" w:eastAsia="仿宋"/>
          <w:bCs/>
          <w:color w:val="000000"/>
          <w:sz w:val="32"/>
          <w:szCs w:val="32"/>
        </w:rPr>
        <w:t>2019</w:t>
      </w:r>
      <w:r>
        <w:rPr>
          <w:rStyle w:val="15"/>
          <w:rFonts w:hint="eastAsia" w:ascii="仿宋" w:hAnsi="仿宋" w:eastAsia="仿宋"/>
          <w:bCs/>
          <w:color w:val="000000"/>
          <w:sz w:val="32"/>
          <w:szCs w:val="32"/>
        </w:rPr>
        <w:t>年一般公共预算支出决算数为</w:t>
      </w:r>
      <w:r>
        <w:rPr>
          <w:rStyle w:val="15"/>
          <w:rFonts w:ascii="仿宋" w:hAnsi="仿宋" w:eastAsia="仿宋"/>
          <w:bCs/>
          <w:color w:val="000000"/>
          <w:sz w:val="32"/>
          <w:szCs w:val="32"/>
        </w:rPr>
        <w:t>783.87</w:t>
      </w:r>
      <w:r>
        <w:rPr>
          <w:rStyle w:val="15"/>
          <w:rFonts w:hint="eastAsia" w:ascii="仿宋" w:hAnsi="仿宋" w:eastAsia="仿宋"/>
          <w:bCs/>
          <w:color w:val="000000"/>
          <w:sz w:val="32"/>
          <w:szCs w:val="32"/>
        </w:rPr>
        <w:t>，完成预算</w:t>
      </w:r>
      <w:r>
        <w:rPr>
          <w:rStyle w:val="15"/>
          <w:rFonts w:ascii="仿宋" w:hAnsi="仿宋" w:eastAsia="仿宋"/>
          <w:bCs/>
          <w:color w:val="000000"/>
          <w:sz w:val="32"/>
          <w:szCs w:val="32"/>
        </w:rPr>
        <w:t>100%</w:t>
      </w:r>
      <w:r>
        <w:rPr>
          <w:rStyle w:val="15"/>
          <w:rFonts w:hint="eastAsia" w:ascii="仿宋" w:hAnsi="仿宋" w:eastAsia="仿宋"/>
          <w:bCs/>
          <w:color w:val="000000"/>
          <w:sz w:val="32"/>
          <w:szCs w:val="32"/>
        </w:rPr>
        <w:t>。其中：</w:t>
      </w:r>
      <w:bookmarkEnd w:id="129"/>
      <w:bookmarkEnd w:id="130"/>
      <w:bookmarkEnd w:id="131"/>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w:t>
      </w:r>
      <w:r>
        <w:rPr>
          <w:rStyle w:val="15"/>
          <w:rFonts w:hint="eastAsia" w:ascii="仿宋" w:hAnsi="仿宋" w:eastAsia="仿宋"/>
          <w:b w:val="0"/>
          <w:color w:val="000000"/>
          <w:sz w:val="32"/>
          <w:szCs w:val="32"/>
        </w:rPr>
        <w:t>其他一般公共服务</w:t>
      </w:r>
      <w:r>
        <w:rPr>
          <w:rStyle w:val="15"/>
          <w:rFonts w:ascii="仿宋" w:hAnsi="仿宋" w:eastAsia="仿宋"/>
          <w:b w:val="0"/>
          <w:color w:val="000000"/>
          <w:sz w:val="32"/>
          <w:szCs w:val="32"/>
        </w:rPr>
        <w:t xml:space="preserve">2082800: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108.11</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，决算数等于预算数。</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2.</w:t>
      </w:r>
      <w:r>
        <w:rPr>
          <w:rStyle w:val="15"/>
          <w:rFonts w:hint="eastAsia" w:ascii="仿宋" w:hAnsi="仿宋" w:eastAsia="仿宋"/>
          <w:b w:val="0"/>
          <w:color w:val="000000"/>
          <w:sz w:val="32"/>
          <w:szCs w:val="32"/>
        </w:rPr>
        <w:t>行政运行</w:t>
      </w:r>
      <w:r>
        <w:rPr>
          <w:rStyle w:val="15"/>
          <w:rFonts w:ascii="仿宋" w:hAnsi="仿宋" w:eastAsia="仿宋"/>
          <w:b w:val="0"/>
          <w:color w:val="000000"/>
          <w:sz w:val="32"/>
          <w:szCs w:val="32"/>
        </w:rPr>
        <w:t xml:space="preserve">2082801: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79.98</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 xml:space="preserve">3.  </w:t>
      </w:r>
      <w:r>
        <w:rPr>
          <w:rStyle w:val="15"/>
          <w:rFonts w:hint="eastAsia" w:ascii="仿宋" w:hAnsi="仿宋" w:eastAsia="仿宋"/>
          <w:b w:val="0"/>
          <w:color w:val="000000"/>
          <w:sz w:val="32"/>
          <w:szCs w:val="32"/>
        </w:rPr>
        <w:t>一般行政管理事务</w:t>
      </w:r>
      <w:r>
        <w:rPr>
          <w:rStyle w:val="15"/>
          <w:rFonts w:ascii="仿宋" w:hAnsi="仿宋" w:eastAsia="仿宋"/>
          <w:b w:val="0"/>
          <w:color w:val="000000"/>
          <w:sz w:val="32"/>
          <w:szCs w:val="32"/>
        </w:rPr>
        <w:t xml:space="preserve">2082802: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12.90</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 xml:space="preserve">4.  </w:t>
      </w:r>
      <w:r>
        <w:rPr>
          <w:rStyle w:val="15"/>
          <w:rFonts w:hint="eastAsia" w:ascii="仿宋" w:hAnsi="仿宋" w:eastAsia="仿宋"/>
          <w:b w:val="0"/>
          <w:color w:val="000000"/>
          <w:sz w:val="32"/>
          <w:szCs w:val="32"/>
        </w:rPr>
        <w:t>机关事业单位基本养老保险缴费支出</w:t>
      </w:r>
      <w:r>
        <w:rPr>
          <w:rStyle w:val="15"/>
          <w:rFonts w:ascii="仿宋" w:hAnsi="仿宋" w:eastAsia="仿宋"/>
          <w:b w:val="0"/>
          <w:color w:val="000000"/>
          <w:sz w:val="32"/>
          <w:szCs w:val="32"/>
        </w:rPr>
        <w:t xml:space="preserve">2080505: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8.04</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 xml:space="preserve">5.  </w:t>
      </w:r>
      <w:r>
        <w:rPr>
          <w:rStyle w:val="15"/>
          <w:rFonts w:hint="eastAsia" w:ascii="仿宋" w:hAnsi="仿宋" w:eastAsia="仿宋"/>
          <w:b w:val="0"/>
          <w:color w:val="000000"/>
          <w:sz w:val="32"/>
          <w:szCs w:val="32"/>
        </w:rPr>
        <w:t>机关事业单位职业年金缴费支出</w:t>
      </w:r>
      <w:r>
        <w:rPr>
          <w:rStyle w:val="15"/>
          <w:rFonts w:ascii="仿宋" w:hAnsi="仿宋" w:eastAsia="仿宋"/>
          <w:b w:val="0"/>
          <w:color w:val="000000"/>
          <w:sz w:val="32"/>
          <w:szCs w:val="32"/>
        </w:rPr>
        <w:t xml:space="preserve">2080506: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3.92</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6.</w:t>
      </w:r>
      <w:r>
        <w:rPr>
          <w:rStyle w:val="15"/>
          <w:rFonts w:hint="eastAsia" w:ascii="仿宋" w:hAnsi="仿宋" w:eastAsia="仿宋"/>
          <w:b w:val="0"/>
          <w:color w:val="000000"/>
          <w:sz w:val="32"/>
          <w:szCs w:val="32"/>
        </w:rPr>
        <w:t>抚恤</w:t>
      </w:r>
      <w:r>
        <w:rPr>
          <w:rStyle w:val="15"/>
          <w:rFonts w:ascii="仿宋" w:hAnsi="仿宋" w:eastAsia="仿宋"/>
          <w:b w:val="0"/>
          <w:color w:val="000000"/>
          <w:sz w:val="32"/>
          <w:szCs w:val="32"/>
        </w:rPr>
        <w:t xml:space="preserve">20808: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115.38</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 xml:space="preserve">7  </w:t>
      </w:r>
      <w:r>
        <w:rPr>
          <w:rStyle w:val="15"/>
          <w:rFonts w:hint="eastAsia" w:ascii="仿宋" w:hAnsi="仿宋" w:eastAsia="仿宋"/>
          <w:b w:val="0"/>
          <w:color w:val="000000"/>
          <w:sz w:val="32"/>
          <w:szCs w:val="32"/>
        </w:rPr>
        <w:t>优抚事业单位</w:t>
      </w:r>
      <w:r>
        <w:rPr>
          <w:rStyle w:val="15"/>
          <w:rFonts w:ascii="仿宋" w:hAnsi="仿宋" w:eastAsia="仿宋"/>
          <w:b w:val="0"/>
          <w:color w:val="000000"/>
          <w:sz w:val="32"/>
          <w:szCs w:val="32"/>
        </w:rPr>
        <w:t xml:space="preserve">2080804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0.29</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 xml:space="preserve">8 </w:t>
      </w:r>
      <w:r>
        <w:rPr>
          <w:rStyle w:val="15"/>
          <w:rFonts w:hint="eastAsia" w:ascii="仿宋" w:hAnsi="仿宋" w:eastAsia="仿宋"/>
          <w:b w:val="0"/>
          <w:color w:val="000000"/>
          <w:sz w:val="32"/>
          <w:szCs w:val="32"/>
        </w:rPr>
        <w:t>义务兵优待</w:t>
      </w:r>
      <w:r>
        <w:rPr>
          <w:rStyle w:val="15"/>
          <w:rFonts w:ascii="仿宋" w:hAnsi="仿宋" w:eastAsia="仿宋"/>
          <w:b w:val="0"/>
          <w:color w:val="000000"/>
          <w:sz w:val="32"/>
          <w:szCs w:val="32"/>
        </w:rPr>
        <w:t xml:space="preserve">2080805: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40.02</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9</w:t>
      </w:r>
      <w:r>
        <w:rPr>
          <w:rStyle w:val="15"/>
          <w:rFonts w:hint="eastAsia" w:ascii="仿宋" w:hAnsi="仿宋" w:eastAsia="仿宋"/>
          <w:b w:val="0"/>
          <w:color w:val="000000"/>
          <w:sz w:val="32"/>
          <w:szCs w:val="32"/>
        </w:rPr>
        <w:t>退役士兵安置</w:t>
      </w:r>
      <w:r>
        <w:rPr>
          <w:rStyle w:val="15"/>
          <w:rFonts w:ascii="仿宋" w:hAnsi="仿宋" w:eastAsia="仿宋"/>
          <w:b w:val="0"/>
          <w:color w:val="000000"/>
          <w:sz w:val="32"/>
          <w:szCs w:val="32"/>
        </w:rPr>
        <w:t>2080901</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6.33</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10</w:t>
      </w:r>
      <w:r>
        <w:rPr>
          <w:rStyle w:val="15"/>
          <w:rFonts w:hint="eastAsia" w:ascii="仿宋" w:hAnsi="仿宋" w:eastAsia="仿宋"/>
          <w:b w:val="0"/>
          <w:color w:val="000000"/>
          <w:sz w:val="32"/>
          <w:szCs w:val="32"/>
        </w:rPr>
        <w:t>军队移交政府的离退休人员安置</w:t>
      </w:r>
      <w:r>
        <w:rPr>
          <w:rStyle w:val="15"/>
          <w:rFonts w:ascii="仿宋" w:hAnsi="仿宋" w:eastAsia="仿宋"/>
          <w:b w:val="0"/>
          <w:color w:val="000000"/>
          <w:sz w:val="32"/>
          <w:szCs w:val="32"/>
        </w:rPr>
        <w:t>2080902</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261.44</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11.</w:t>
      </w:r>
      <w:r>
        <w:rPr>
          <w:rStyle w:val="15"/>
          <w:rFonts w:hint="eastAsia" w:ascii="仿宋" w:hAnsi="仿宋" w:eastAsia="仿宋"/>
          <w:b w:val="0"/>
          <w:color w:val="000000"/>
          <w:sz w:val="32"/>
          <w:szCs w:val="32"/>
        </w:rPr>
        <w:t>军转干安置</w:t>
      </w:r>
      <w:r>
        <w:rPr>
          <w:rStyle w:val="15"/>
          <w:rFonts w:ascii="仿宋" w:hAnsi="仿宋" w:eastAsia="仿宋"/>
          <w:b w:val="0"/>
          <w:color w:val="000000"/>
          <w:sz w:val="32"/>
          <w:szCs w:val="32"/>
        </w:rPr>
        <w:t xml:space="preserve">2080905: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263.45</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12.</w:t>
      </w:r>
      <w:r>
        <w:rPr>
          <w:rStyle w:val="15"/>
          <w:rFonts w:hint="eastAsia" w:ascii="仿宋" w:hAnsi="仿宋" w:eastAsia="仿宋"/>
          <w:b w:val="0"/>
          <w:color w:val="000000"/>
          <w:sz w:val="32"/>
          <w:szCs w:val="32"/>
        </w:rPr>
        <w:t>其他退役安置支出</w:t>
      </w:r>
      <w:r>
        <w:rPr>
          <w:rStyle w:val="15"/>
          <w:rFonts w:ascii="仿宋" w:hAnsi="仿宋" w:eastAsia="仿宋"/>
          <w:b w:val="0"/>
          <w:color w:val="000000"/>
          <w:sz w:val="32"/>
          <w:szCs w:val="32"/>
        </w:rPr>
        <w:t xml:space="preserve">2080999: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3.36</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13.</w:t>
      </w:r>
      <w:r>
        <w:rPr>
          <w:rStyle w:val="15"/>
          <w:rFonts w:hint="eastAsia" w:ascii="仿宋" w:hAnsi="仿宋" w:eastAsia="仿宋"/>
          <w:b w:val="0"/>
          <w:color w:val="000000"/>
          <w:sz w:val="32"/>
          <w:szCs w:val="32"/>
        </w:rPr>
        <w:t>拥军优属</w:t>
      </w:r>
      <w:r>
        <w:rPr>
          <w:rStyle w:val="15"/>
          <w:rFonts w:ascii="仿宋" w:hAnsi="仿宋" w:eastAsia="仿宋"/>
          <w:b w:val="0"/>
          <w:color w:val="000000"/>
          <w:sz w:val="32"/>
          <w:szCs w:val="32"/>
        </w:rPr>
        <w:t xml:space="preserve">2082804: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12.90</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14.</w:t>
      </w:r>
      <w:r>
        <w:rPr>
          <w:rStyle w:val="15"/>
          <w:rFonts w:hint="eastAsia" w:ascii="仿宋" w:hAnsi="仿宋" w:eastAsia="仿宋"/>
          <w:b w:val="0"/>
          <w:color w:val="000000"/>
          <w:sz w:val="32"/>
          <w:szCs w:val="32"/>
        </w:rPr>
        <w:t>其他退役军人事务管理支出</w:t>
      </w:r>
      <w:r>
        <w:rPr>
          <w:rStyle w:val="15"/>
          <w:rFonts w:ascii="仿宋" w:hAnsi="仿宋" w:eastAsia="仿宋"/>
          <w:b w:val="0"/>
          <w:color w:val="000000"/>
          <w:sz w:val="32"/>
          <w:szCs w:val="32"/>
        </w:rPr>
        <w:t xml:space="preserve">: </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10</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15.</w:t>
      </w:r>
      <w:r>
        <w:rPr>
          <w:rStyle w:val="15"/>
          <w:rFonts w:hint="eastAsia" w:ascii="仿宋" w:hAnsi="仿宋" w:eastAsia="仿宋"/>
          <w:b w:val="0"/>
          <w:color w:val="000000"/>
          <w:sz w:val="32"/>
          <w:szCs w:val="32"/>
        </w:rPr>
        <w:t>行政单位医疗</w:t>
      </w:r>
      <w:r>
        <w:rPr>
          <w:rStyle w:val="15"/>
          <w:rFonts w:ascii="仿宋" w:hAnsi="仿宋" w:eastAsia="仿宋"/>
          <w:b w:val="0"/>
          <w:color w:val="000000"/>
          <w:sz w:val="32"/>
          <w:szCs w:val="32"/>
        </w:rPr>
        <w:t>2101101:</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4.22</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 xml:space="preserve">16. </w:t>
      </w:r>
      <w:r>
        <w:rPr>
          <w:rStyle w:val="15"/>
          <w:rFonts w:hint="eastAsia" w:ascii="仿宋" w:hAnsi="仿宋" w:eastAsia="仿宋"/>
          <w:b w:val="0"/>
          <w:color w:val="000000"/>
          <w:sz w:val="32"/>
          <w:szCs w:val="32"/>
        </w:rPr>
        <w:t>事业单位医疗</w:t>
      </w:r>
      <w:r>
        <w:rPr>
          <w:rStyle w:val="15"/>
          <w:rFonts w:ascii="仿宋" w:hAnsi="仿宋" w:eastAsia="仿宋"/>
          <w:b w:val="0"/>
          <w:color w:val="000000"/>
          <w:sz w:val="32"/>
          <w:szCs w:val="32"/>
        </w:rPr>
        <w:t>2101102:</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18.46</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17.</w:t>
      </w:r>
      <w:r>
        <w:rPr>
          <w:rStyle w:val="15"/>
          <w:rFonts w:hint="eastAsia" w:ascii="仿宋" w:hAnsi="仿宋" w:eastAsia="仿宋"/>
          <w:b w:val="0"/>
          <w:color w:val="000000"/>
          <w:sz w:val="32"/>
          <w:szCs w:val="32"/>
        </w:rPr>
        <w:t>公务员医疗补助</w:t>
      </w:r>
      <w:r>
        <w:rPr>
          <w:rStyle w:val="15"/>
          <w:rFonts w:ascii="仿宋" w:hAnsi="仿宋" w:eastAsia="仿宋"/>
          <w:b w:val="0"/>
          <w:color w:val="000000"/>
          <w:sz w:val="32"/>
          <w:szCs w:val="32"/>
        </w:rPr>
        <w:t>2101103:</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1.70</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18.</w:t>
      </w:r>
      <w:r>
        <w:rPr>
          <w:rStyle w:val="15"/>
          <w:rFonts w:hint="eastAsia" w:ascii="仿宋" w:hAnsi="仿宋" w:eastAsia="仿宋"/>
          <w:b w:val="0"/>
          <w:color w:val="000000"/>
          <w:sz w:val="32"/>
          <w:szCs w:val="32"/>
        </w:rPr>
        <w:t>其他行政事业单位医疗支出</w:t>
      </w:r>
      <w:r>
        <w:rPr>
          <w:rStyle w:val="15"/>
          <w:rFonts w:ascii="仿宋" w:hAnsi="仿宋" w:eastAsia="仿宋"/>
          <w:b w:val="0"/>
          <w:color w:val="000000"/>
          <w:sz w:val="32"/>
          <w:szCs w:val="32"/>
        </w:rPr>
        <w:t>21011:</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5.92</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p>
    <w:p>
      <w:pPr>
        <w:spacing w:line="600" w:lineRule="exact"/>
        <w:ind w:firstLine="640" w:firstLineChars="200"/>
        <w:rPr>
          <w:rStyle w:val="15"/>
          <w:rFonts w:ascii="仿宋" w:hAnsi="仿宋" w:eastAsia="仿宋"/>
          <w:b w:val="0"/>
          <w:color w:val="000000"/>
          <w:sz w:val="32"/>
          <w:szCs w:val="32"/>
        </w:rPr>
      </w:pPr>
      <w:r>
        <w:rPr>
          <w:rStyle w:val="15"/>
          <w:rFonts w:ascii="仿宋" w:hAnsi="仿宋" w:eastAsia="仿宋"/>
          <w:b w:val="0"/>
          <w:color w:val="000000"/>
          <w:sz w:val="32"/>
          <w:szCs w:val="32"/>
        </w:rPr>
        <w:t>19.</w:t>
      </w:r>
      <w:r>
        <w:rPr>
          <w:rStyle w:val="15"/>
          <w:rFonts w:hint="eastAsia" w:ascii="仿宋" w:hAnsi="仿宋" w:eastAsia="仿宋"/>
          <w:b w:val="0"/>
          <w:color w:val="000000"/>
          <w:sz w:val="32"/>
          <w:szCs w:val="32"/>
        </w:rPr>
        <w:t>住房公积金</w:t>
      </w:r>
      <w:r>
        <w:rPr>
          <w:rStyle w:val="15"/>
          <w:rFonts w:ascii="仿宋" w:hAnsi="仿宋" w:eastAsia="仿宋"/>
          <w:b w:val="0"/>
          <w:color w:val="000000"/>
          <w:sz w:val="32"/>
          <w:szCs w:val="32"/>
        </w:rPr>
        <w:t>2210201:</w:t>
      </w:r>
      <w:r>
        <w:rPr>
          <w:rStyle w:val="15"/>
          <w:rFonts w:hint="eastAsia" w:ascii="仿宋" w:hAnsi="仿宋" w:eastAsia="仿宋"/>
          <w:b w:val="0"/>
          <w:color w:val="000000"/>
          <w:sz w:val="32"/>
          <w:szCs w:val="32"/>
        </w:rPr>
        <w:t>支出决算为</w:t>
      </w:r>
      <w:r>
        <w:rPr>
          <w:rStyle w:val="15"/>
          <w:rFonts w:ascii="仿宋" w:hAnsi="仿宋" w:eastAsia="仿宋"/>
          <w:b w:val="0"/>
          <w:color w:val="000000"/>
          <w:sz w:val="32"/>
          <w:szCs w:val="32"/>
        </w:rPr>
        <w:t>7.84</w:t>
      </w:r>
      <w:r>
        <w:rPr>
          <w:rStyle w:val="15"/>
          <w:rFonts w:hint="eastAsia" w:ascii="仿宋" w:hAnsi="仿宋" w:eastAsia="仿宋"/>
          <w:b w:val="0"/>
          <w:color w:val="000000"/>
          <w:sz w:val="32"/>
          <w:szCs w:val="32"/>
        </w:rPr>
        <w:t>万元，完成预算</w:t>
      </w:r>
      <w:r>
        <w:rPr>
          <w:rStyle w:val="15"/>
          <w:rFonts w:ascii="仿宋" w:hAnsi="仿宋" w:eastAsia="仿宋"/>
          <w:b w:val="0"/>
          <w:color w:val="000000"/>
          <w:sz w:val="32"/>
          <w:szCs w:val="32"/>
        </w:rPr>
        <w:t>100%</w:t>
      </w:r>
      <w:r>
        <w:rPr>
          <w:rStyle w:val="15"/>
          <w:rFonts w:hint="eastAsia" w:ascii="仿宋" w:hAnsi="仿宋" w:eastAsia="仿宋"/>
          <w:b w:val="0"/>
          <w:color w:val="000000"/>
          <w:sz w:val="32"/>
          <w:szCs w:val="32"/>
        </w:rPr>
        <w:t>。</w:t>
      </w:r>
    </w:p>
    <w:p>
      <w:pPr>
        <w:tabs>
          <w:tab w:val="right" w:pos="8306"/>
        </w:tabs>
        <w:spacing w:line="600" w:lineRule="exact"/>
        <w:ind w:firstLine="640"/>
        <w:outlineLvl w:val="1"/>
        <w:rPr>
          <w:rStyle w:val="30"/>
        </w:rPr>
      </w:pPr>
      <w:bookmarkStart w:id="132" w:name="_Toc12849"/>
      <w:bookmarkStart w:id="133" w:name="_Toc4902"/>
      <w:bookmarkStart w:id="134" w:name="_Toc19841"/>
      <w:bookmarkStart w:id="135" w:name="_Toc20569"/>
      <w:bookmarkStart w:id="136" w:name="_Toc15396608"/>
      <w:bookmarkStart w:id="137" w:name="_Toc20305"/>
      <w:bookmarkStart w:id="138" w:name="_Toc8654"/>
      <w:bookmarkStart w:id="1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132"/>
      <w:bookmarkEnd w:id="133"/>
      <w:bookmarkEnd w:id="134"/>
      <w:bookmarkEnd w:id="135"/>
      <w:bookmarkEnd w:id="136"/>
      <w:bookmarkEnd w:id="137"/>
      <w:bookmarkEnd w:id="138"/>
      <w:bookmarkEnd w:id="139"/>
      <w:r>
        <w:rPr>
          <w:rStyle w:val="30"/>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783.87</w:t>
      </w:r>
      <w:r>
        <w:rPr>
          <w:rFonts w:hint="eastAsia" w:ascii="仿宋" w:hAnsi="仿宋" w:eastAsia="仿宋"/>
          <w:color w:val="000000"/>
          <w:sz w:val="32"/>
          <w:szCs w:val="32"/>
        </w:rPr>
        <w:t>万元，其中：人员经费</w:t>
      </w:r>
      <w:r>
        <w:rPr>
          <w:rFonts w:ascii="仿宋" w:hAnsi="仿宋" w:eastAsia="仿宋"/>
          <w:color w:val="000000"/>
          <w:sz w:val="32"/>
          <w:szCs w:val="32"/>
        </w:rPr>
        <w:t>84.63</w:t>
      </w:r>
      <w:r>
        <w:rPr>
          <w:rFonts w:hint="eastAsia" w:ascii="仿宋" w:hAnsi="仿宋" w:eastAsia="仿宋"/>
          <w:color w:val="000000"/>
          <w:sz w:val="32"/>
          <w:szCs w:val="32"/>
        </w:rPr>
        <w:t>万元，主要包括：基本工资</w:t>
      </w:r>
      <w:r>
        <w:rPr>
          <w:rFonts w:ascii="仿宋" w:hAnsi="仿宋" w:eastAsia="仿宋"/>
          <w:color w:val="000000"/>
          <w:sz w:val="32"/>
          <w:szCs w:val="32"/>
        </w:rPr>
        <w:t>18.97</w:t>
      </w:r>
      <w:r>
        <w:rPr>
          <w:rFonts w:hint="eastAsia" w:ascii="仿宋" w:hAnsi="仿宋" w:eastAsia="仿宋"/>
          <w:color w:val="000000"/>
          <w:sz w:val="32"/>
          <w:szCs w:val="32"/>
        </w:rPr>
        <w:t>万元、津贴补贴</w:t>
      </w:r>
      <w:r>
        <w:rPr>
          <w:rFonts w:ascii="仿宋" w:hAnsi="仿宋" w:eastAsia="仿宋"/>
          <w:color w:val="000000"/>
          <w:sz w:val="32"/>
          <w:szCs w:val="32"/>
        </w:rPr>
        <w:t>30.49</w:t>
      </w:r>
      <w:r>
        <w:rPr>
          <w:rFonts w:hint="eastAsia" w:ascii="仿宋" w:hAnsi="仿宋" w:eastAsia="仿宋"/>
          <w:color w:val="000000"/>
          <w:sz w:val="32"/>
          <w:szCs w:val="32"/>
        </w:rPr>
        <w:t>万元、奖金</w:t>
      </w:r>
      <w:r>
        <w:rPr>
          <w:rFonts w:ascii="仿宋" w:hAnsi="仿宋" w:eastAsia="仿宋"/>
          <w:color w:val="000000"/>
          <w:sz w:val="32"/>
          <w:szCs w:val="32"/>
        </w:rPr>
        <w:t>3.55</w:t>
      </w:r>
      <w:r>
        <w:rPr>
          <w:rFonts w:hint="eastAsia" w:ascii="仿宋" w:hAnsi="仿宋" w:eastAsia="仿宋"/>
          <w:color w:val="000000"/>
          <w:sz w:val="32"/>
          <w:szCs w:val="32"/>
        </w:rPr>
        <w:t>万元、绩效工资</w:t>
      </w:r>
      <w:r>
        <w:rPr>
          <w:rFonts w:ascii="仿宋" w:hAnsi="仿宋" w:eastAsia="仿宋"/>
          <w:color w:val="000000"/>
          <w:sz w:val="32"/>
          <w:szCs w:val="32"/>
        </w:rPr>
        <w:t>0</w:t>
      </w:r>
      <w:r>
        <w:rPr>
          <w:rFonts w:hint="eastAsia" w:ascii="仿宋" w:hAnsi="仿宋" w:eastAsia="仿宋"/>
          <w:color w:val="000000"/>
          <w:sz w:val="32"/>
          <w:szCs w:val="32"/>
        </w:rPr>
        <w:t>万元、机关事业单位基本养老保险缴费</w:t>
      </w:r>
      <w:r>
        <w:rPr>
          <w:rFonts w:ascii="仿宋" w:hAnsi="仿宋" w:eastAsia="仿宋"/>
          <w:color w:val="000000"/>
          <w:sz w:val="32"/>
          <w:szCs w:val="32"/>
        </w:rPr>
        <w:t>8.04</w:t>
      </w:r>
      <w:r>
        <w:rPr>
          <w:rFonts w:hint="eastAsia" w:ascii="仿宋" w:hAnsi="仿宋" w:eastAsia="仿宋"/>
          <w:color w:val="000000"/>
          <w:sz w:val="32"/>
          <w:szCs w:val="32"/>
        </w:rPr>
        <w:t>万元、职业年金缴费</w:t>
      </w:r>
      <w:r>
        <w:rPr>
          <w:rFonts w:ascii="仿宋" w:hAnsi="仿宋" w:eastAsia="仿宋"/>
          <w:color w:val="000000"/>
          <w:sz w:val="32"/>
          <w:szCs w:val="32"/>
        </w:rPr>
        <w:t>3.92</w:t>
      </w:r>
      <w:r>
        <w:rPr>
          <w:rFonts w:hint="eastAsia" w:ascii="仿宋" w:hAnsi="仿宋" w:eastAsia="仿宋"/>
          <w:color w:val="000000"/>
          <w:sz w:val="32"/>
          <w:szCs w:val="32"/>
        </w:rPr>
        <w:t>万元、职工基本医疗保险缴费</w:t>
      </w:r>
      <w:r>
        <w:rPr>
          <w:rFonts w:ascii="仿宋" w:hAnsi="仿宋" w:eastAsia="仿宋"/>
          <w:color w:val="000000"/>
          <w:sz w:val="32"/>
          <w:szCs w:val="32"/>
        </w:rPr>
        <w:t>4.22</w:t>
      </w:r>
      <w:r>
        <w:rPr>
          <w:rFonts w:hint="eastAsia" w:ascii="仿宋" w:hAnsi="仿宋" w:eastAsia="仿宋"/>
          <w:color w:val="000000"/>
          <w:sz w:val="32"/>
          <w:szCs w:val="32"/>
        </w:rPr>
        <w:t>万元、</w:t>
      </w:r>
      <w:r>
        <w:rPr>
          <w:rFonts w:ascii="仿宋" w:hAnsi="仿宋" w:eastAsia="仿宋"/>
          <w:color w:val="000000"/>
          <w:sz w:val="32"/>
          <w:szCs w:val="32"/>
        </w:rPr>
        <w:t xml:space="preserve"> </w:t>
      </w:r>
      <w:r>
        <w:rPr>
          <w:rFonts w:hint="eastAsia" w:ascii="仿宋" w:hAnsi="仿宋" w:eastAsia="仿宋"/>
          <w:color w:val="000000"/>
          <w:sz w:val="32"/>
          <w:szCs w:val="32"/>
        </w:rPr>
        <w:t>公务员医疗补助缴费</w:t>
      </w:r>
      <w:r>
        <w:rPr>
          <w:rFonts w:ascii="仿宋" w:hAnsi="仿宋" w:eastAsia="仿宋"/>
          <w:color w:val="000000"/>
          <w:sz w:val="32"/>
          <w:szCs w:val="32"/>
        </w:rPr>
        <w:t>2.56</w:t>
      </w:r>
      <w:r>
        <w:rPr>
          <w:rFonts w:hint="eastAsia" w:ascii="仿宋" w:hAnsi="仿宋" w:eastAsia="仿宋"/>
          <w:color w:val="000000"/>
          <w:sz w:val="32"/>
          <w:szCs w:val="32"/>
        </w:rPr>
        <w:t>万元、其他社会保障缴费</w:t>
      </w:r>
      <w:r>
        <w:rPr>
          <w:rFonts w:ascii="仿宋" w:hAnsi="仿宋" w:eastAsia="仿宋"/>
          <w:color w:val="000000"/>
          <w:sz w:val="32"/>
          <w:szCs w:val="32"/>
        </w:rPr>
        <w:t>0.26</w:t>
      </w:r>
      <w:r>
        <w:rPr>
          <w:rFonts w:hint="eastAsia" w:ascii="仿宋" w:hAnsi="仿宋" w:eastAsia="仿宋"/>
          <w:color w:val="000000"/>
          <w:sz w:val="32"/>
          <w:szCs w:val="32"/>
        </w:rPr>
        <w:t>万元、住房公积金</w:t>
      </w:r>
      <w:r>
        <w:rPr>
          <w:rFonts w:ascii="仿宋" w:hAnsi="仿宋" w:eastAsia="仿宋"/>
          <w:color w:val="000000"/>
          <w:sz w:val="32"/>
          <w:szCs w:val="32"/>
        </w:rPr>
        <w:t>7.84</w:t>
      </w:r>
      <w:r>
        <w:rPr>
          <w:rFonts w:hint="eastAsia" w:ascii="仿宋" w:hAnsi="仿宋" w:eastAsia="仿宋"/>
          <w:color w:val="000000"/>
          <w:sz w:val="32"/>
          <w:szCs w:val="32"/>
        </w:rPr>
        <w:t>、医疗费</w:t>
      </w:r>
      <w:r>
        <w:rPr>
          <w:rFonts w:ascii="仿宋" w:hAnsi="仿宋" w:eastAsia="仿宋"/>
          <w:color w:val="000000"/>
          <w:sz w:val="32"/>
          <w:szCs w:val="32"/>
        </w:rPr>
        <w:t>0.28</w:t>
      </w:r>
      <w:r>
        <w:rPr>
          <w:rFonts w:hint="eastAsia" w:ascii="仿宋" w:hAnsi="仿宋" w:eastAsia="仿宋"/>
          <w:color w:val="000000"/>
          <w:sz w:val="32"/>
          <w:szCs w:val="32"/>
        </w:rPr>
        <w:t>万元、其他对个人和家庭的补助支出</w:t>
      </w:r>
      <w:r>
        <w:rPr>
          <w:rFonts w:ascii="仿宋" w:hAnsi="仿宋" w:eastAsia="仿宋"/>
          <w:color w:val="000000"/>
          <w:sz w:val="32"/>
          <w:szCs w:val="32"/>
        </w:rPr>
        <w:t>1.08</w:t>
      </w:r>
      <w:r>
        <w:rPr>
          <w:rFonts w:hint="eastAsia" w:ascii="仿宋" w:hAnsi="仿宋" w:eastAsia="仿宋"/>
          <w:color w:val="000000"/>
          <w:sz w:val="32"/>
          <w:szCs w:val="32"/>
        </w:rPr>
        <w:t>万元。日常公用经费</w:t>
      </w:r>
      <w:r>
        <w:rPr>
          <w:rFonts w:ascii="仿宋" w:hAnsi="仿宋" w:eastAsia="仿宋"/>
          <w:color w:val="000000"/>
          <w:sz w:val="32"/>
          <w:szCs w:val="32"/>
        </w:rPr>
        <w:t>20</w:t>
      </w:r>
      <w:r>
        <w:rPr>
          <w:rFonts w:hint="eastAsia" w:ascii="仿宋" w:hAnsi="仿宋" w:eastAsia="仿宋"/>
          <w:color w:val="000000"/>
          <w:sz w:val="32"/>
          <w:szCs w:val="32"/>
        </w:rPr>
        <w:t>万元，主要包括：办公费</w:t>
      </w:r>
      <w:r>
        <w:rPr>
          <w:rFonts w:ascii="仿宋" w:hAnsi="仿宋" w:eastAsia="仿宋"/>
          <w:color w:val="000000"/>
          <w:sz w:val="32"/>
          <w:szCs w:val="32"/>
        </w:rPr>
        <w:t>17.71</w:t>
      </w:r>
      <w:r>
        <w:rPr>
          <w:rFonts w:hint="eastAsia" w:ascii="仿宋" w:hAnsi="仿宋" w:eastAsia="仿宋"/>
          <w:color w:val="000000"/>
          <w:sz w:val="32"/>
          <w:szCs w:val="32"/>
        </w:rPr>
        <w:t>万元、印刷费</w:t>
      </w:r>
      <w:r>
        <w:rPr>
          <w:rFonts w:ascii="仿宋" w:hAnsi="仿宋" w:eastAsia="仿宋"/>
          <w:color w:val="000000"/>
          <w:sz w:val="32"/>
          <w:szCs w:val="32"/>
        </w:rPr>
        <w:t>0.05</w:t>
      </w:r>
      <w:r>
        <w:rPr>
          <w:rFonts w:hint="eastAsia" w:ascii="仿宋" w:hAnsi="仿宋" w:eastAsia="仿宋"/>
          <w:color w:val="000000"/>
          <w:sz w:val="32"/>
          <w:szCs w:val="32"/>
        </w:rPr>
        <w:t>万元、水费</w:t>
      </w:r>
      <w:r>
        <w:rPr>
          <w:rFonts w:ascii="仿宋" w:hAnsi="仿宋" w:eastAsia="仿宋"/>
          <w:color w:val="000000"/>
          <w:sz w:val="32"/>
          <w:szCs w:val="32"/>
        </w:rPr>
        <w:t>0</w:t>
      </w:r>
      <w:r>
        <w:rPr>
          <w:rFonts w:hint="eastAsia" w:ascii="仿宋" w:hAnsi="仿宋" w:eastAsia="仿宋"/>
          <w:color w:val="000000"/>
          <w:sz w:val="32"/>
          <w:szCs w:val="32"/>
        </w:rPr>
        <w:t>万元、电费</w:t>
      </w:r>
      <w:r>
        <w:rPr>
          <w:rFonts w:ascii="仿宋" w:hAnsi="仿宋" w:eastAsia="仿宋"/>
          <w:color w:val="000000"/>
          <w:sz w:val="32"/>
          <w:szCs w:val="32"/>
        </w:rPr>
        <w:t>0.08</w:t>
      </w:r>
      <w:r>
        <w:rPr>
          <w:rFonts w:hint="eastAsia" w:ascii="仿宋" w:hAnsi="仿宋" w:eastAsia="仿宋"/>
          <w:color w:val="000000"/>
          <w:sz w:val="32"/>
          <w:szCs w:val="32"/>
        </w:rPr>
        <w:t>万元、邮电费</w:t>
      </w:r>
      <w:r>
        <w:rPr>
          <w:rFonts w:ascii="仿宋" w:hAnsi="仿宋" w:eastAsia="仿宋"/>
          <w:color w:val="000000"/>
          <w:sz w:val="32"/>
          <w:szCs w:val="32"/>
        </w:rPr>
        <w:t>0</w:t>
      </w:r>
      <w:r>
        <w:rPr>
          <w:rFonts w:hint="eastAsia" w:ascii="仿宋" w:hAnsi="仿宋" w:eastAsia="仿宋"/>
          <w:color w:val="000000"/>
          <w:sz w:val="32"/>
          <w:szCs w:val="32"/>
        </w:rPr>
        <w:t>万元、差旅费</w:t>
      </w:r>
      <w:r>
        <w:rPr>
          <w:rFonts w:ascii="仿宋" w:hAnsi="仿宋" w:eastAsia="仿宋"/>
          <w:color w:val="000000"/>
          <w:sz w:val="32"/>
          <w:szCs w:val="32"/>
        </w:rPr>
        <w:t>0.06</w:t>
      </w:r>
      <w:r>
        <w:rPr>
          <w:rFonts w:hint="eastAsia" w:ascii="仿宋" w:hAnsi="仿宋" w:eastAsia="仿宋"/>
          <w:color w:val="000000"/>
          <w:sz w:val="32"/>
          <w:szCs w:val="32"/>
        </w:rPr>
        <w:t>万元、维修（护）费</w:t>
      </w:r>
      <w:r>
        <w:rPr>
          <w:rFonts w:ascii="仿宋" w:hAnsi="仿宋" w:eastAsia="仿宋"/>
          <w:color w:val="000000"/>
          <w:sz w:val="32"/>
          <w:szCs w:val="32"/>
        </w:rPr>
        <w:t>0</w:t>
      </w:r>
      <w:r>
        <w:rPr>
          <w:rFonts w:hint="eastAsia" w:ascii="仿宋" w:hAnsi="仿宋" w:eastAsia="仿宋"/>
          <w:color w:val="000000"/>
          <w:sz w:val="32"/>
          <w:szCs w:val="32"/>
        </w:rPr>
        <w:t>万元、培训费</w:t>
      </w:r>
      <w:r>
        <w:rPr>
          <w:rFonts w:ascii="仿宋" w:hAnsi="仿宋" w:eastAsia="仿宋"/>
          <w:color w:val="000000"/>
          <w:sz w:val="32"/>
          <w:szCs w:val="32"/>
        </w:rPr>
        <w:t>0.01</w:t>
      </w:r>
      <w:r>
        <w:rPr>
          <w:rFonts w:hint="eastAsia" w:ascii="仿宋" w:hAnsi="仿宋" w:eastAsia="仿宋"/>
          <w:color w:val="000000"/>
          <w:sz w:val="32"/>
          <w:szCs w:val="32"/>
        </w:rPr>
        <w:t>万元、公务接待费</w:t>
      </w:r>
      <w:r>
        <w:rPr>
          <w:rFonts w:ascii="仿宋" w:hAnsi="仿宋" w:eastAsia="仿宋"/>
          <w:color w:val="000000"/>
          <w:sz w:val="32"/>
          <w:szCs w:val="32"/>
        </w:rPr>
        <w:t>0.8</w:t>
      </w:r>
      <w:r>
        <w:rPr>
          <w:rFonts w:hint="eastAsia" w:ascii="仿宋" w:hAnsi="仿宋" w:eastAsia="仿宋"/>
          <w:color w:val="000000"/>
          <w:sz w:val="32"/>
          <w:szCs w:val="32"/>
        </w:rPr>
        <w:t>万元、劳务费</w:t>
      </w:r>
      <w:r>
        <w:rPr>
          <w:rFonts w:ascii="仿宋" w:hAnsi="仿宋" w:eastAsia="仿宋"/>
          <w:color w:val="000000"/>
          <w:sz w:val="32"/>
          <w:szCs w:val="32"/>
        </w:rPr>
        <w:t>0.28</w:t>
      </w:r>
      <w:r>
        <w:rPr>
          <w:rFonts w:hint="eastAsia" w:ascii="仿宋" w:hAnsi="仿宋" w:eastAsia="仿宋"/>
          <w:color w:val="000000"/>
          <w:sz w:val="32"/>
          <w:szCs w:val="32"/>
        </w:rPr>
        <w:t>万元、公务用车运行维护费</w:t>
      </w:r>
      <w:r>
        <w:rPr>
          <w:rFonts w:ascii="仿宋" w:hAnsi="仿宋" w:eastAsia="仿宋"/>
          <w:color w:val="000000"/>
          <w:sz w:val="32"/>
          <w:szCs w:val="32"/>
        </w:rPr>
        <w:t>1</w:t>
      </w:r>
      <w:r>
        <w:rPr>
          <w:rFonts w:hint="eastAsia" w:ascii="仿宋" w:hAnsi="仿宋" w:eastAsia="仿宋"/>
          <w:color w:val="000000"/>
          <w:sz w:val="32"/>
          <w:szCs w:val="32"/>
        </w:rPr>
        <w:t>万元。</w:t>
      </w:r>
    </w:p>
    <w:p>
      <w:pPr>
        <w:spacing w:line="600" w:lineRule="exact"/>
        <w:ind w:firstLine="640"/>
        <w:outlineLvl w:val="1"/>
        <w:rPr>
          <w:rStyle w:val="30"/>
          <w:rFonts w:ascii="黑体" w:hAnsi="黑体" w:eastAsia="黑体"/>
          <w:b w:val="0"/>
        </w:rPr>
      </w:pPr>
      <w:bookmarkStart w:id="140" w:name="_Toc26465"/>
      <w:bookmarkStart w:id="141" w:name="_Toc22449"/>
      <w:bookmarkStart w:id="142" w:name="_Toc5306"/>
      <w:bookmarkStart w:id="143" w:name="_Toc8293"/>
      <w:bookmarkStart w:id="144" w:name="_Toc15396609"/>
      <w:bookmarkStart w:id="145" w:name="_Toc30160"/>
      <w:bookmarkStart w:id="146" w:name="_Toc27324"/>
      <w:bookmarkStart w:id="147" w:name="_Toc1537721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140"/>
      <w:bookmarkEnd w:id="141"/>
      <w:bookmarkEnd w:id="142"/>
      <w:bookmarkEnd w:id="143"/>
      <w:bookmarkEnd w:id="144"/>
      <w:bookmarkEnd w:id="145"/>
      <w:bookmarkEnd w:id="146"/>
      <w:bookmarkEnd w:id="147"/>
    </w:p>
    <w:p>
      <w:pPr>
        <w:spacing w:line="600" w:lineRule="exact"/>
        <w:ind w:firstLine="640"/>
        <w:outlineLvl w:val="2"/>
        <w:rPr>
          <w:rFonts w:ascii="仿宋" w:hAnsi="仿宋" w:eastAsia="仿宋"/>
          <w:b/>
          <w:color w:val="000000"/>
          <w:sz w:val="32"/>
          <w:szCs w:val="32"/>
        </w:rPr>
      </w:pPr>
      <w:bookmarkStart w:id="148" w:name="_Toc15377216"/>
      <w:r>
        <w:rPr>
          <w:rFonts w:hint="eastAsia" w:ascii="仿宋" w:hAnsi="仿宋" w:eastAsia="仿宋"/>
          <w:b/>
          <w:color w:val="000000"/>
          <w:sz w:val="32"/>
          <w:szCs w:val="32"/>
        </w:rPr>
        <w:t>（一）“三公”经费财政拨款支出决算总体情况说明</w:t>
      </w:r>
      <w:bookmarkEnd w:id="14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6.44</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149" w:name="_Toc15377217"/>
      <w:r>
        <w:rPr>
          <w:rFonts w:hint="eastAsia" w:ascii="仿宋" w:hAnsi="仿宋" w:eastAsia="仿宋"/>
          <w:b/>
          <w:color w:val="000000"/>
          <w:sz w:val="32"/>
          <w:szCs w:val="32"/>
        </w:rPr>
        <w:t>（二）“三公”经费财政拨款支出决算具体情况说明</w:t>
      </w:r>
      <w:bookmarkEnd w:id="14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1</w:t>
      </w:r>
      <w:r>
        <w:rPr>
          <w:rFonts w:hint="eastAsia" w:ascii="仿宋" w:hAnsi="仿宋" w:eastAsia="仿宋"/>
          <w:color w:val="000000"/>
          <w:sz w:val="32"/>
          <w:szCs w:val="32"/>
        </w:rPr>
        <w:t>万元，占</w:t>
      </w:r>
      <w:r>
        <w:rPr>
          <w:rFonts w:ascii="仿宋" w:hAnsi="仿宋" w:eastAsia="仿宋"/>
          <w:color w:val="000000"/>
          <w:sz w:val="32"/>
          <w:szCs w:val="32"/>
        </w:rPr>
        <w:t>50%</w:t>
      </w:r>
      <w:r>
        <w:rPr>
          <w:rFonts w:hint="eastAsia" w:ascii="仿宋" w:hAnsi="仿宋" w:eastAsia="仿宋"/>
          <w:color w:val="000000"/>
          <w:sz w:val="32"/>
          <w:szCs w:val="32"/>
        </w:rPr>
        <w:t>；公务接待费支出决算</w:t>
      </w:r>
      <w:r>
        <w:rPr>
          <w:rFonts w:ascii="仿宋" w:hAnsi="仿宋" w:eastAsia="仿宋"/>
          <w:color w:val="000000"/>
          <w:sz w:val="32"/>
          <w:szCs w:val="32"/>
        </w:rPr>
        <w:t>1</w:t>
      </w:r>
      <w:r>
        <w:rPr>
          <w:rFonts w:hint="eastAsia" w:ascii="仿宋" w:hAnsi="仿宋" w:eastAsia="仿宋"/>
          <w:color w:val="000000"/>
          <w:sz w:val="32"/>
          <w:szCs w:val="32"/>
        </w:rPr>
        <w:t>万元，占</w:t>
      </w:r>
      <w:r>
        <w:rPr>
          <w:rFonts w:ascii="仿宋" w:hAnsi="仿宋" w:eastAsia="仿宋"/>
          <w:color w:val="000000"/>
          <w:sz w:val="32"/>
          <w:szCs w:val="32"/>
        </w:rPr>
        <w:t>50%</w:t>
      </w:r>
      <w:r>
        <w:rPr>
          <w:rFonts w:hint="eastAsia" w:ascii="仿宋" w:hAnsi="仿宋" w:eastAsia="仿宋"/>
          <w:color w:val="000000"/>
          <w:sz w:val="32"/>
          <w:szCs w:val="32"/>
        </w:rPr>
        <w:t>。具体情况如下：</w:t>
      </w:r>
    </w:p>
    <w:p>
      <w:pPr>
        <w:spacing w:line="600" w:lineRule="exact"/>
        <w:ind w:firstLine="640"/>
        <w:rPr>
          <w:rFonts w:hint="eastAsia" w:ascii="仿宋" w:hAnsi="仿宋" w:eastAsia="宋体"/>
          <w:color w:val="000000"/>
          <w:sz w:val="32"/>
          <w:szCs w:val="32"/>
          <w:lang w:val="en-US" w:eastAsia="zh-CN"/>
        </w:rPr>
      </w:pPr>
      <w:r>
        <w:rPr>
          <w:lang w:bidi="bo-CN"/>
        </w:rPr>
        <w:drawing>
          <wp:anchor distT="0" distB="0" distL="114300" distR="114300" simplePos="0" relativeHeight="251664384" behindDoc="1" locked="0" layoutInCell="1" allowOverlap="1">
            <wp:simplePos x="0" y="0"/>
            <wp:positionH relativeFrom="column">
              <wp:posOffset>347980</wp:posOffset>
            </wp:positionH>
            <wp:positionV relativeFrom="page">
              <wp:posOffset>1699895</wp:posOffset>
            </wp:positionV>
            <wp:extent cx="4590415" cy="2749550"/>
            <wp:effectExtent l="0" t="0" r="6985" b="6350"/>
            <wp:wrapNone/>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13"/>
                    <a:stretch>
                      <a:fillRect/>
                    </a:stretch>
                  </pic:blipFill>
                  <pic:spPr>
                    <a:xfrm>
                      <a:off x="0" y="0"/>
                      <a:ext cx="4590415" cy="2749550"/>
                    </a:xfrm>
                    <a:prstGeom prst="rect">
                      <a:avLst/>
                    </a:prstGeom>
                    <a:noFill/>
                    <a:ln>
                      <a:noFill/>
                    </a:ln>
                  </pic:spPr>
                </pic:pic>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b/>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numPr>
          <w:ilvl w:val="0"/>
          <w:numId w:val="1"/>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ascii="仿宋_GB2312" w:eastAsia="仿宋_GB2312"/>
          <w:b/>
          <w:color w:val="000000"/>
          <w:sz w:val="32"/>
          <w:szCs w:val="32"/>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ascii="仿宋" w:hAnsi="仿宋" w:eastAsia="仿宋"/>
          <w:b w:val="0"/>
          <w:bCs/>
          <w:color w:val="000000"/>
          <w:sz w:val="32"/>
          <w:szCs w:val="32"/>
        </w:rPr>
        <w:t>0%</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b/>
          <w:color w:val="000000"/>
          <w:sz w:val="32"/>
          <w:szCs w:val="32"/>
        </w:rPr>
        <w:t>1</w:t>
      </w:r>
      <w:r>
        <w:rPr>
          <w:rFonts w:hint="eastAsia" w:ascii="仿宋_GB2312" w:eastAsia="仿宋_GB2312"/>
          <w:color w:val="000000"/>
          <w:sz w:val="32"/>
          <w:szCs w:val="32"/>
        </w:rPr>
        <w:t>万元</w:t>
      </w:r>
      <w:r>
        <w:rPr>
          <w:rFonts w:ascii="仿宋_GB2312" w:eastAsia="仿宋_GB2312"/>
          <w:color w:val="000000"/>
          <w:sz w:val="32"/>
          <w:szCs w:val="32"/>
        </w:rPr>
        <w:t>,</w:t>
      </w:r>
      <w:r>
        <w:rPr>
          <w:rStyle w:val="15"/>
          <w:rFonts w:hint="eastAsia" w:ascii="仿宋" w:hAnsi="仿宋" w:eastAsia="仿宋"/>
          <w:b w:val="0"/>
          <w:bCs/>
          <w:color w:val="000000"/>
          <w:sz w:val="32"/>
          <w:szCs w:val="32"/>
        </w:rPr>
        <w:t>完成预算</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元。截至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1</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1</w:t>
      </w:r>
      <w:r>
        <w:rPr>
          <w:rFonts w:hint="eastAsia" w:ascii="仿宋_GB2312" w:eastAsia="仿宋_GB2312"/>
          <w:color w:val="000000"/>
          <w:sz w:val="32"/>
          <w:szCs w:val="32"/>
        </w:rPr>
        <w:t>辆、</w:t>
      </w:r>
      <w:r>
        <w:rPr>
          <w:rFonts w:ascii="仿宋_GB2312" w:eastAsia="仿宋_GB2312"/>
          <w:color w:val="000000"/>
          <w:sz w:val="32"/>
          <w:szCs w:val="32"/>
        </w:rPr>
        <w:t xml:space="preserve"> </w:t>
      </w:r>
      <w:r>
        <w:rPr>
          <w:rFonts w:hint="eastAsia" w:ascii="仿宋_GB2312" w:eastAsia="仿宋_GB2312"/>
          <w:color w:val="000000"/>
          <w:sz w:val="32"/>
          <w:szCs w:val="32"/>
        </w:rPr>
        <w:t>执法执勤用车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b/>
          <w:color w:val="000000"/>
          <w:sz w:val="32"/>
          <w:szCs w:val="32"/>
        </w:rPr>
        <w:t>0.4</w:t>
      </w:r>
      <w:r>
        <w:rPr>
          <w:rFonts w:hint="eastAsia" w:ascii="仿宋_GB2312" w:eastAsia="仿宋_GB2312"/>
          <w:color w:val="000000"/>
          <w:sz w:val="32"/>
          <w:szCs w:val="32"/>
        </w:rPr>
        <w:t>万元。主要用于脱贫攻坚、“八一”慰问军休干部所需的公务用车燃料费、维修费、过路过桥费、保险费等支出。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b/>
          <w:color w:val="000000"/>
          <w:sz w:val="32"/>
          <w:szCs w:val="32"/>
        </w:rPr>
        <w:t>0.6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ascii="仿宋" w:hAnsi="仿宋" w:eastAsia="仿宋"/>
          <w:b w:val="0"/>
          <w:bCs/>
          <w:color w:val="000000"/>
          <w:sz w:val="32"/>
          <w:szCs w:val="32"/>
        </w:rPr>
        <w:t>30%</w:t>
      </w:r>
      <w:r>
        <w:rPr>
          <w:rStyle w:val="15"/>
          <w:rFonts w:hint="eastAsia" w:ascii="仿宋" w:hAnsi="仿宋" w:eastAsia="仿宋"/>
          <w:b w:val="0"/>
          <w:bCs/>
          <w:color w:val="000000"/>
          <w:sz w:val="32"/>
          <w:szCs w:val="32"/>
        </w:rPr>
        <w:t>。</w:t>
      </w:r>
      <w:r>
        <w:rPr>
          <w:rFonts w:hint="eastAsia" w:ascii="仿宋" w:hAnsi="仿宋" w:eastAsia="仿宋"/>
          <w:b/>
          <w:color w:val="000000"/>
          <w:sz w:val="32"/>
          <w:szCs w:val="32"/>
        </w:rPr>
        <w:t>国内公务接待支出</w:t>
      </w:r>
      <w:r>
        <w:rPr>
          <w:rFonts w:ascii="仿宋" w:hAnsi="仿宋" w:eastAsia="仿宋"/>
          <w:b/>
          <w:color w:val="000000"/>
          <w:sz w:val="32"/>
          <w:szCs w:val="32"/>
        </w:rPr>
        <w:t>0.2</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b/>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firstLineChars="200"/>
        <w:outlineLvl w:val="1"/>
        <w:rPr>
          <w:rStyle w:val="30"/>
          <w:rFonts w:ascii="黑体" w:hAnsi="黑体" w:eastAsia="黑体"/>
        </w:rPr>
      </w:pPr>
      <w:bookmarkStart w:id="150" w:name="_Toc4283"/>
      <w:bookmarkStart w:id="151" w:name="_Toc32637"/>
      <w:bookmarkStart w:id="152" w:name="_Toc1298"/>
      <w:bookmarkStart w:id="153" w:name="_Toc5687"/>
      <w:bookmarkStart w:id="154" w:name="_Toc12787"/>
      <w:bookmarkStart w:id="155" w:name="_Toc22695"/>
      <w:bookmarkStart w:id="156" w:name="_Toc15396610"/>
      <w:bookmarkStart w:id="157" w:name="_Toc15377218"/>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150"/>
      <w:bookmarkEnd w:id="151"/>
      <w:bookmarkEnd w:id="152"/>
      <w:bookmarkEnd w:id="153"/>
      <w:bookmarkEnd w:id="154"/>
      <w:bookmarkEnd w:id="155"/>
      <w:bookmarkEnd w:id="156"/>
      <w:bookmarkEnd w:id="15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30"/>
          <w:rFonts w:ascii="黑体" w:hAnsi="黑体" w:eastAsia="黑体"/>
          <w:b w:val="0"/>
        </w:rPr>
      </w:pPr>
      <w:bookmarkStart w:id="158" w:name="_Toc15377219"/>
      <w:bookmarkStart w:id="159" w:name="_Toc15396611"/>
      <w:bookmarkStart w:id="160" w:name="_Toc5785"/>
      <w:bookmarkStart w:id="161" w:name="_Toc28225"/>
      <w:bookmarkStart w:id="162" w:name="_Toc27285"/>
      <w:bookmarkStart w:id="163" w:name="_Toc23587"/>
      <w:bookmarkStart w:id="164" w:name="_Toc28406"/>
      <w:bookmarkStart w:id="165" w:name="_Toc12270"/>
      <w:r>
        <w:rPr>
          <w:rStyle w:val="30"/>
          <w:rFonts w:hint="eastAsia" w:ascii="黑体" w:hAnsi="黑体" w:eastAsia="黑体" w:cs="Times New Roman"/>
          <w:b w:val="0"/>
        </w:rPr>
        <w:t>国有资本经营预算支出决算情况说明</w:t>
      </w:r>
      <w:bookmarkEnd w:id="158"/>
      <w:bookmarkEnd w:id="159"/>
      <w:bookmarkEnd w:id="160"/>
      <w:bookmarkEnd w:id="161"/>
      <w:bookmarkEnd w:id="162"/>
      <w:bookmarkEnd w:id="163"/>
      <w:bookmarkEnd w:id="164"/>
      <w:bookmarkEnd w:id="16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outlineLvl w:val="1"/>
        <w:rPr>
          <w:rStyle w:val="30"/>
          <w:rFonts w:ascii="黑体" w:hAnsi="黑体" w:eastAsia="黑体"/>
        </w:rPr>
      </w:pPr>
      <w:bookmarkStart w:id="166" w:name="_Toc15377221"/>
      <w:bookmarkStart w:id="167" w:name="_Toc23875"/>
      <w:bookmarkStart w:id="168" w:name="_Toc4184"/>
      <w:bookmarkStart w:id="169" w:name="_Toc15396612"/>
      <w:r>
        <w:rPr>
          <w:rFonts w:hint="eastAsia" w:ascii="黑体" w:hAnsi="黑体" w:eastAsia="黑体"/>
          <w:color w:val="000000"/>
          <w:sz w:val="32"/>
          <w:szCs w:val="32"/>
          <w:lang w:eastAsia="zh-CN"/>
        </w:rPr>
        <w:t>　　</w:t>
      </w:r>
      <w:bookmarkStart w:id="170" w:name="_Toc20545"/>
      <w:bookmarkStart w:id="171" w:name="_Toc1365"/>
      <w:bookmarkStart w:id="172" w:name="_Toc10297"/>
      <w:bookmarkStart w:id="173" w:name="_Toc22398"/>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166"/>
      <w:bookmarkEnd w:id="167"/>
      <w:bookmarkEnd w:id="168"/>
      <w:bookmarkEnd w:id="169"/>
      <w:bookmarkEnd w:id="170"/>
      <w:bookmarkEnd w:id="171"/>
      <w:bookmarkEnd w:id="172"/>
      <w:bookmarkEnd w:id="173"/>
    </w:p>
    <w:p>
      <w:pPr>
        <w:spacing w:line="600" w:lineRule="exact"/>
        <w:ind w:firstLine="643" w:firstLineChars="200"/>
        <w:outlineLvl w:val="2"/>
        <w:rPr>
          <w:rFonts w:ascii="仿宋" w:hAnsi="仿宋" w:eastAsia="仿宋"/>
          <w:color w:val="000000"/>
          <w:sz w:val="32"/>
          <w:szCs w:val="32"/>
        </w:rPr>
      </w:pPr>
      <w:bookmarkStart w:id="174" w:name="_Toc15377222"/>
      <w:r>
        <w:rPr>
          <w:rFonts w:hint="eastAsia" w:ascii="仿宋" w:hAnsi="仿宋" w:eastAsia="仿宋"/>
          <w:b/>
          <w:color w:val="000000"/>
          <w:sz w:val="32"/>
          <w:szCs w:val="32"/>
        </w:rPr>
        <w:t>（一）机关运行经费支出情况</w:t>
      </w:r>
      <w:bookmarkEnd w:id="174"/>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年，红原县退役军人事务局机关运行经费支出</w:t>
      </w:r>
      <w:r>
        <w:rPr>
          <w:rFonts w:ascii="仿宋_GB2312" w:eastAsia="仿宋_GB2312"/>
          <w:color w:val="000000"/>
          <w:sz w:val="32"/>
          <w:szCs w:val="32"/>
        </w:rPr>
        <w:t>64.90</w:t>
      </w:r>
      <w:r>
        <w:rPr>
          <w:rFonts w:hint="eastAsia" w:ascii="仿宋_GB2312" w:eastAsia="仿宋_GB2312"/>
          <w:color w:val="000000"/>
          <w:sz w:val="32"/>
          <w:szCs w:val="32"/>
          <w:lang w:eastAsia="zh-CN"/>
        </w:rPr>
        <w:t>万元</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75" w:name="_Toc15377223"/>
      <w:r>
        <w:rPr>
          <w:rFonts w:hint="eastAsia" w:ascii="仿宋" w:hAnsi="仿宋" w:eastAsia="仿宋"/>
          <w:b/>
          <w:color w:val="000000"/>
          <w:sz w:val="32"/>
          <w:szCs w:val="32"/>
        </w:rPr>
        <w:t>（二）政府采购支出情况</w:t>
      </w:r>
      <w:bookmarkEnd w:id="17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年，红原县退役军人事务局政府采购支出总额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76" w:name="_Toc15377224"/>
      <w:r>
        <w:rPr>
          <w:rFonts w:hint="eastAsia" w:ascii="仿宋" w:hAnsi="仿宋" w:eastAsia="仿宋"/>
          <w:b/>
          <w:color w:val="000000"/>
          <w:sz w:val="32"/>
          <w:szCs w:val="32"/>
        </w:rPr>
        <w:t>（三）国有资产占有使用情况</w:t>
      </w:r>
      <w:bookmarkEnd w:id="176"/>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日，红原县退役军人事务局共有车辆</w:t>
      </w:r>
      <w:r>
        <w:rPr>
          <w:rFonts w:ascii="仿宋_GB2312" w:eastAsia="仿宋_GB2312"/>
          <w:color w:val="000000"/>
          <w:sz w:val="32"/>
          <w:szCs w:val="32"/>
        </w:rPr>
        <w:t>1</w:t>
      </w:r>
      <w:r>
        <w:rPr>
          <w:rFonts w:hint="eastAsia" w:ascii="仿宋_GB2312" w:eastAsia="仿宋_GB2312"/>
          <w:color w:val="000000"/>
          <w:sz w:val="32"/>
          <w:szCs w:val="32"/>
        </w:rPr>
        <w:t>辆，其中：主要应急保障车</w:t>
      </w:r>
      <w:r>
        <w:rPr>
          <w:rFonts w:ascii="仿宋_GB2312" w:eastAsia="仿宋_GB2312"/>
          <w:color w:val="000000"/>
          <w:sz w:val="32"/>
          <w:szCs w:val="32"/>
        </w:rPr>
        <w:t>1</w:t>
      </w:r>
      <w:r>
        <w:rPr>
          <w:rFonts w:hint="eastAsia" w:ascii="仿宋_GB2312" w:eastAsia="仿宋_GB2312"/>
          <w:color w:val="000000"/>
          <w:sz w:val="32"/>
          <w:szCs w:val="32"/>
        </w:rPr>
        <w:t>辆、单价</w:t>
      </w:r>
      <w:r>
        <w:rPr>
          <w:rFonts w:ascii="仿宋_GB2312" w:eastAsia="仿宋_GB2312"/>
          <w:color w:val="000000"/>
          <w:sz w:val="32"/>
          <w:szCs w:val="32"/>
        </w:rPr>
        <w:t>30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根据预算绩效管理要求，本部门在年初预算编制阶段，组织、项目开展了预算事前绩效评估，对</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个项目开展了绩效目标完成情况梳理填报。本部门按要求对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年部门整体支出开展绩效自评，从评价情况来看</w:t>
      </w:r>
      <w:r>
        <w:rPr>
          <w:rFonts w:hint="eastAsia" w:ascii="仿宋_GB2312" w:hAnsi="宋体" w:eastAsia="仿宋_GB2312"/>
          <w:sz w:val="32"/>
          <w:lang w:val="zh-CN"/>
        </w:rPr>
        <w:t>我局部门支出预算，保障了机关日常正常运转，专项资金保障了全县退役军人各项资金到位，退役军人对此项目的实施非常满意，实施本项目对部门整体支出绩效自评得良好</w:t>
      </w:r>
      <w:r>
        <w:rPr>
          <w:rFonts w:ascii="仿宋_GB2312" w:hAnsi="宋体" w:eastAsia="仿宋_GB2312"/>
          <w:sz w:val="32"/>
          <w:lang w:val="zh-CN"/>
        </w:rPr>
        <w:t xml:space="preserve"> </w:t>
      </w:r>
      <w:r>
        <w:rPr>
          <w:rFonts w:hint="eastAsia" w:ascii="仿宋_GB2312" w:hAnsi="宋体" w:eastAsia="仿宋_GB2312"/>
          <w:sz w:val="32"/>
          <w:lang w:val="zh-CN"/>
        </w:rPr>
        <w:t>。</w:t>
      </w:r>
    </w:p>
    <w:p>
      <w:pPr>
        <w:spacing w:line="580" w:lineRule="exact"/>
        <w:ind w:firstLine="320" w:firstLineChars="10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年度部门决算中反映“义务兵优待金、退役安置、生活救助、拥军优属</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个以下的，全部进行公开，（公开内容包括完成情况综述和完成情况表）</w:t>
      </w:r>
    </w:p>
    <w:p>
      <w:pPr>
        <w:numPr>
          <w:ilvl w:val="0"/>
          <w:numId w:val="0"/>
        </w:numPr>
        <w:spacing w:line="580" w:lineRule="exact"/>
        <w:ind w:firstLine="643" w:firstLineChars="200"/>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义务兵优待金项目绩效目标完成情况综述</w:t>
      </w:r>
      <w:r>
        <w:rPr>
          <w:rFonts w:hint="eastAsia" w:ascii="仿宋_GB2312" w:hAnsi="仿宋_GB2312" w:eastAsia="仿宋_GB2312" w:cs="仿宋_GB2312"/>
          <w:sz w:val="32"/>
          <w:szCs w:val="32"/>
        </w:rPr>
        <w:t>。项目全年预算数</w:t>
      </w:r>
      <w:r>
        <w:rPr>
          <w:rFonts w:ascii="仿宋_GB2312" w:hAnsi="仿宋_GB2312" w:eastAsia="仿宋_GB2312" w:cs="仿宋_GB2312"/>
          <w:sz w:val="32"/>
          <w:szCs w:val="32"/>
        </w:rPr>
        <w:t>7.44</w:t>
      </w:r>
      <w:r>
        <w:rPr>
          <w:rFonts w:hint="eastAsia" w:ascii="仿宋_GB2312" w:hAnsi="仿宋_GB2312" w:eastAsia="仿宋_GB2312" w:cs="仿宋_GB2312"/>
          <w:sz w:val="32"/>
          <w:szCs w:val="32"/>
        </w:rPr>
        <w:t>万元，执行数</w:t>
      </w:r>
      <w:r>
        <w:rPr>
          <w:rFonts w:ascii="仿宋_GB2312" w:hAnsi="仿宋_GB2312" w:eastAsia="仿宋_GB2312" w:cs="仿宋_GB2312"/>
          <w:sz w:val="32"/>
          <w:szCs w:val="32"/>
        </w:rPr>
        <w:t>7.44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kern w:val="0"/>
          <w:sz w:val="32"/>
          <w:szCs w:val="32"/>
        </w:rPr>
        <w:t>落实政策，维护稳定。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按照项目总体目标简要描述项目成效），发现的主要问题：无。下一步改进措施：无</w:t>
      </w:r>
    </w:p>
    <w:p>
      <w:pPr>
        <w:pStyle w:val="2"/>
      </w:pPr>
    </w:p>
    <w:p>
      <w:pPr>
        <w:rPr>
          <w:rFonts w:ascii="Calibri" w:hAnsi="Calibri"/>
        </w:rPr>
      </w:pP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843"/>
        <w:gridCol w:w="1596"/>
        <w:gridCol w:w="1876"/>
      </w:tblGrid>
      <w:tr>
        <w:tblPrEx>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义务兵优待金</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红原县退役军人事务局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7.44</w:t>
            </w:r>
          </w:p>
        </w:tc>
        <w:tc>
          <w:tcPr>
            <w:tcW w:w="18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47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7.44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7.44</w:t>
            </w:r>
          </w:p>
        </w:tc>
        <w:tc>
          <w:tcPr>
            <w:tcW w:w="18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47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7.44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8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47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063"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kern w:val="0"/>
                <w:szCs w:val="21"/>
              </w:rPr>
              <w:t>及时完成</w:t>
            </w:r>
            <w:r>
              <w:rPr>
                <w:rFonts w:ascii="宋体" w:hAnsi="宋体" w:cs="宋体"/>
                <w:kern w:val="0"/>
                <w:szCs w:val="21"/>
              </w:rPr>
              <w:t>450</w:t>
            </w:r>
            <w:r>
              <w:rPr>
                <w:rFonts w:hint="eastAsia" w:ascii="宋体" w:hAnsi="宋体" w:cs="宋体"/>
                <w:kern w:val="0"/>
                <w:szCs w:val="21"/>
              </w:rPr>
              <w:t>人次义务兵优待金补助</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18"/>
                <w:szCs w:val="18"/>
              </w:rPr>
            </w:pPr>
            <w:r>
              <w:rPr>
                <w:rFonts w:hint="eastAsia" w:ascii="宋体" w:hAnsi="宋体" w:cs="宋体"/>
                <w:kern w:val="0"/>
                <w:szCs w:val="21"/>
              </w:rPr>
              <w:t>及时完成了</w:t>
            </w:r>
            <w:r>
              <w:rPr>
                <w:rFonts w:ascii="宋体" w:hAnsi="宋体" w:cs="宋体"/>
                <w:kern w:val="0"/>
                <w:szCs w:val="21"/>
              </w:rPr>
              <w:t>450</w:t>
            </w:r>
            <w:r>
              <w:rPr>
                <w:rFonts w:hint="eastAsia" w:ascii="宋体" w:hAnsi="宋体" w:cs="宋体"/>
                <w:kern w:val="0"/>
                <w:szCs w:val="21"/>
              </w:rPr>
              <w:t>人次义务兵优待金补助</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3025"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59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87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9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87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9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87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18"/>
                <w:szCs w:val="18"/>
              </w:rPr>
            </w:pPr>
            <w:r>
              <w:rPr>
                <w:rFonts w:hint="eastAsia" w:ascii="宋体" w:hAnsi="宋体" w:cs="宋体"/>
                <w:color w:val="000000"/>
                <w:kern w:val="0"/>
                <w:sz w:val="18"/>
                <w:szCs w:val="18"/>
              </w:rPr>
              <w:t>项目预期提供的产品、服务、效益或其他目标明确</w:t>
            </w:r>
            <w:r>
              <w:rPr>
                <w:rFonts w:ascii="宋体" w:cs="宋体"/>
                <w:color w:val="000000"/>
                <w:kern w:val="0"/>
                <w:sz w:val="18"/>
                <w:szCs w:val="18"/>
              </w:rPr>
              <w:t>,</w:t>
            </w:r>
            <w:r>
              <w:rPr>
                <w:rFonts w:hint="eastAsia" w:ascii="宋体" w:hAnsi="宋体" w:cs="宋体"/>
                <w:color w:val="000000"/>
                <w:kern w:val="0"/>
                <w:sz w:val="18"/>
                <w:szCs w:val="18"/>
              </w:rPr>
              <w:t>即绩效目标实际明确个数</w:t>
            </w:r>
            <w:r>
              <w:rPr>
                <w:rFonts w:ascii="宋体" w:hAnsi="宋体" w:cs="宋体"/>
                <w:color w:val="000000"/>
                <w:kern w:val="0"/>
                <w:sz w:val="18"/>
                <w:szCs w:val="18"/>
              </w:rPr>
              <w:t>/</w:t>
            </w:r>
            <w:r>
              <w:rPr>
                <w:rFonts w:hint="eastAsia" w:ascii="宋体" w:hAnsi="宋体" w:cs="宋体"/>
                <w:color w:val="000000"/>
                <w:kern w:val="0"/>
                <w:sz w:val="18"/>
                <w:szCs w:val="18"/>
              </w:rPr>
              <w:t>应当明确个数×</w:t>
            </w:r>
            <w:r>
              <w:rPr>
                <w:rFonts w:ascii="宋体" w:hAnsi="宋体" w:cs="宋体"/>
                <w:color w:val="000000"/>
                <w:kern w:val="0"/>
                <w:sz w:val="18"/>
                <w:szCs w:val="18"/>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18"/>
                <w:szCs w:val="18"/>
              </w:rPr>
            </w:pPr>
            <w:r>
              <w:rPr>
                <w:rFonts w:ascii="宋体" w:hAnsi="宋体" w:cs="宋体"/>
                <w:color w:val="000000"/>
                <w:sz w:val="18"/>
                <w:szCs w:val="18"/>
              </w:rPr>
              <w:t>450</w:t>
            </w:r>
            <w:r>
              <w:rPr>
                <w:rFonts w:hint="eastAsia" w:ascii="宋体" w:hAnsi="宋体" w:cs="宋体"/>
                <w:color w:val="000000"/>
                <w:sz w:val="18"/>
                <w:szCs w:val="18"/>
              </w:rPr>
              <w:t>人次</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18"/>
                <w:szCs w:val="18"/>
              </w:rPr>
            </w:pPr>
            <w:r>
              <w:rPr>
                <w:rFonts w:ascii="宋体" w:hAnsi="宋体" w:cs="宋体"/>
                <w:color w:val="000000"/>
                <w:sz w:val="18"/>
                <w:szCs w:val="18"/>
              </w:rPr>
              <w:t>450</w:t>
            </w:r>
            <w:r>
              <w:rPr>
                <w:rFonts w:hint="eastAsia" w:ascii="宋体" w:hAnsi="宋体" w:cs="宋体"/>
                <w:color w:val="000000"/>
                <w:sz w:val="18"/>
                <w:szCs w:val="18"/>
              </w:rPr>
              <w:t>人次</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18"/>
                <w:szCs w:val="18"/>
              </w:rPr>
            </w:pPr>
            <w:r>
              <w:rPr>
                <w:rFonts w:hint="eastAsia" w:ascii="宋体" w:hAnsi="宋体" w:cs="宋体"/>
                <w:color w:val="000000"/>
                <w:kern w:val="0"/>
                <w:sz w:val="18"/>
                <w:szCs w:val="18"/>
              </w:rPr>
              <w:t>项目计划实施进度明确</w:t>
            </w:r>
          </w:p>
        </w:tc>
        <w:tc>
          <w:tcPr>
            <w:tcW w:w="1596" w:type="dxa"/>
            <w:tcBorders>
              <w:top w:val="single" w:color="000000" w:sz="4" w:space="0"/>
              <w:left w:val="single" w:color="000000" w:sz="4" w:space="0"/>
              <w:bottom w:val="single" w:color="000000" w:sz="4" w:space="0"/>
              <w:right w:val="single" w:color="000000" w:sz="4" w:space="0"/>
            </w:tcBorders>
          </w:tcPr>
          <w:p>
            <w:pPr>
              <w:jc w:val="left"/>
              <w:rPr>
                <w:rFonts w:ascii="宋体" w:cs="宋体"/>
                <w:color w:val="000000"/>
                <w:sz w:val="18"/>
                <w:szCs w:val="18"/>
              </w:rPr>
            </w:pPr>
            <w:r>
              <w:rPr>
                <w:rFonts w:hint="eastAsia" w:ascii="宋体" w:hAnsi="宋体" w:cs="宋体"/>
                <w:kern w:val="0"/>
                <w:szCs w:val="21"/>
              </w:rPr>
              <w:t>及时完成了</w:t>
            </w:r>
            <w:r>
              <w:rPr>
                <w:rFonts w:ascii="宋体" w:hAnsi="宋体" w:cs="宋体"/>
                <w:kern w:val="0"/>
                <w:szCs w:val="21"/>
              </w:rPr>
              <w:t>450</w:t>
            </w:r>
            <w:r>
              <w:rPr>
                <w:rFonts w:hint="eastAsia" w:ascii="宋体" w:hAnsi="宋体" w:cs="宋体"/>
                <w:kern w:val="0"/>
                <w:szCs w:val="21"/>
              </w:rPr>
              <w:t>人次义务兵优待金补助</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18"/>
                <w:szCs w:val="18"/>
              </w:rPr>
            </w:pPr>
            <w:r>
              <w:rPr>
                <w:rFonts w:hint="eastAsia" w:ascii="宋体" w:hAnsi="宋体" w:cs="宋体"/>
                <w:kern w:val="0"/>
                <w:szCs w:val="21"/>
              </w:rPr>
              <w:t>及时完成了</w:t>
            </w:r>
            <w:r>
              <w:rPr>
                <w:rFonts w:ascii="宋体" w:hAnsi="宋体" w:cs="宋体"/>
                <w:kern w:val="0"/>
                <w:szCs w:val="21"/>
              </w:rPr>
              <w:t>450</w:t>
            </w:r>
            <w:r>
              <w:rPr>
                <w:rFonts w:hint="eastAsia" w:ascii="宋体" w:hAnsi="宋体" w:cs="宋体"/>
                <w:kern w:val="0"/>
                <w:szCs w:val="21"/>
              </w:rPr>
              <w:t>人次义务兵优待金补助</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18"/>
                <w:szCs w:val="18"/>
              </w:rPr>
            </w:pPr>
            <w:r>
              <w:rPr>
                <w:rFonts w:hint="eastAsia" w:ascii="宋体" w:hAnsi="宋体" w:cs="宋体"/>
                <w:color w:val="000000"/>
                <w:kern w:val="0"/>
                <w:sz w:val="18"/>
                <w:szCs w:val="18"/>
              </w:rPr>
              <w:t>绩效目标设定符合实际需求的抽样项目点个数</w:t>
            </w:r>
            <w:r>
              <w:rPr>
                <w:rFonts w:ascii="宋体" w:hAnsi="宋体" w:cs="宋体"/>
                <w:color w:val="000000"/>
                <w:kern w:val="0"/>
                <w:sz w:val="18"/>
                <w:szCs w:val="18"/>
              </w:rPr>
              <w:t>/</w:t>
            </w:r>
            <w:r>
              <w:rPr>
                <w:rFonts w:hint="eastAsia" w:ascii="宋体" w:hAnsi="宋体" w:cs="宋体"/>
                <w:color w:val="000000"/>
                <w:kern w:val="0"/>
                <w:sz w:val="18"/>
                <w:szCs w:val="18"/>
              </w:rPr>
              <w:t>抽样项目点总数×</w:t>
            </w:r>
            <w:r>
              <w:rPr>
                <w:rFonts w:ascii="宋体" w:hAnsi="宋体" w:cs="宋体"/>
                <w:color w:val="000000"/>
                <w:kern w:val="0"/>
                <w:sz w:val="18"/>
                <w:szCs w:val="18"/>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kern w:val="0"/>
                <w:sz w:val="18"/>
                <w:szCs w:val="18"/>
              </w:rPr>
            </w:pPr>
            <w:r>
              <w:rPr>
                <w:rFonts w:hint="eastAsia" w:ascii="宋体" w:hAnsi="宋体" w:cs="宋体"/>
                <w:kern w:val="0"/>
                <w:szCs w:val="21"/>
              </w:rPr>
              <w:t>及时完成了</w:t>
            </w:r>
            <w:r>
              <w:rPr>
                <w:rFonts w:ascii="宋体" w:hAnsi="宋体" w:cs="宋体"/>
                <w:kern w:val="0"/>
                <w:szCs w:val="21"/>
              </w:rPr>
              <w:t>450</w:t>
            </w:r>
            <w:r>
              <w:rPr>
                <w:rFonts w:hint="eastAsia" w:ascii="宋体" w:hAnsi="宋体" w:cs="宋体"/>
                <w:kern w:val="0"/>
                <w:szCs w:val="21"/>
              </w:rPr>
              <w:t>人次义务兵优待金补助</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kern w:val="0"/>
                <w:sz w:val="18"/>
                <w:szCs w:val="18"/>
              </w:rPr>
            </w:pPr>
            <w:r>
              <w:rPr>
                <w:rFonts w:hint="eastAsia" w:ascii="宋体" w:hAnsi="宋体" w:cs="宋体"/>
                <w:kern w:val="0"/>
                <w:szCs w:val="21"/>
              </w:rPr>
              <w:t>及时完成了</w:t>
            </w:r>
            <w:r>
              <w:rPr>
                <w:rFonts w:ascii="宋体" w:hAnsi="宋体" w:cs="宋体"/>
                <w:kern w:val="0"/>
                <w:szCs w:val="21"/>
              </w:rPr>
              <w:t>450</w:t>
            </w:r>
            <w:r>
              <w:rPr>
                <w:rFonts w:hint="eastAsia" w:ascii="宋体" w:hAnsi="宋体" w:cs="宋体"/>
                <w:kern w:val="0"/>
                <w:szCs w:val="21"/>
              </w:rPr>
              <w:t>人次义务兵优待金补助</w:t>
            </w:r>
          </w:p>
        </w:tc>
      </w:tr>
      <w:tr>
        <w:tblPrEx>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18"/>
                <w:szCs w:val="18"/>
              </w:rPr>
            </w:pPr>
            <w:r>
              <w:rPr>
                <w:rFonts w:hint="eastAsia" w:ascii="宋体" w:hAnsi="宋体" w:cs="宋体"/>
                <w:color w:val="000000"/>
                <w:kern w:val="0"/>
                <w:sz w:val="18"/>
                <w:szCs w:val="18"/>
              </w:rPr>
              <w:t>项目符合党中央、国务院和省委、省政府决策部署；符合当前经济社会发展需要</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kern w:val="0"/>
                <w:sz w:val="18"/>
                <w:szCs w:val="18"/>
              </w:rPr>
            </w:pPr>
            <w:r>
              <w:rPr>
                <w:rFonts w:ascii="宋体" w:hAnsi="宋体" w:cs="宋体"/>
                <w:kern w:val="0"/>
                <w:sz w:val="18"/>
                <w:szCs w:val="18"/>
              </w:rPr>
              <w:t xml:space="preserve"> </w:t>
            </w:r>
            <w:r>
              <w:rPr>
                <w:rFonts w:hint="eastAsia" w:ascii="宋体" w:hAnsi="宋体" w:cs="宋体"/>
                <w:kern w:val="0"/>
                <w:sz w:val="18"/>
                <w:szCs w:val="18"/>
              </w:rPr>
              <w:t>阿坝州财政局</w:t>
            </w:r>
            <w:r>
              <w:rPr>
                <w:rFonts w:ascii="宋体" w:hAnsi="宋体" w:cs="宋体"/>
                <w:kern w:val="0"/>
                <w:sz w:val="18"/>
                <w:szCs w:val="18"/>
              </w:rPr>
              <w:t xml:space="preserve">    </w:t>
            </w:r>
            <w:r>
              <w:rPr>
                <w:rFonts w:hint="eastAsia" w:ascii="宋体" w:hAnsi="宋体" w:cs="宋体"/>
                <w:kern w:val="0"/>
                <w:sz w:val="18"/>
                <w:szCs w:val="18"/>
              </w:rPr>
              <w:t>阿坝州民政局</w:t>
            </w:r>
          </w:p>
          <w:p>
            <w:pPr>
              <w:jc w:val="left"/>
              <w:rPr>
                <w:rFonts w:ascii="宋体" w:cs="宋体"/>
                <w:kern w:val="0"/>
                <w:sz w:val="18"/>
                <w:szCs w:val="18"/>
              </w:rPr>
            </w:pPr>
            <w:r>
              <w:rPr>
                <w:rFonts w:hint="eastAsia" w:ascii="宋体" w:hAnsi="宋体" w:cs="宋体"/>
                <w:kern w:val="0"/>
                <w:sz w:val="18"/>
                <w:szCs w:val="18"/>
              </w:rPr>
              <w:t>关于下达）（阿州民政）</w:t>
            </w:r>
            <w:r>
              <w:rPr>
                <w:rFonts w:ascii="宋体" w:hAnsi="宋体" w:cs="宋体"/>
                <w:kern w:val="0"/>
                <w:sz w:val="18"/>
                <w:szCs w:val="18"/>
              </w:rPr>
              <w:t>2016</w:t>
            </w:r>
            <w:r>
              <w:rPr>
                <w:rFonts w:hint="eastAsia" w:ascii="宋体" w:hAnsi="宋体" w:cs="宋体"/>
                <w:kern w:val="0"/>
                <w:sz w:val="18"/>
                <w:szCs w:val="18"/>
              </w:rPr>
              <w:t>年</w:t>
            </w:r>
            <w:r>
              <w:rPr>
                <w:rFonts w:ascii="宋体" w:hAnsi="宋体" w:cs="宋体"/>
                <w:kern w:val="0"/>
                <w:sz w:val="18"/>
                <w:szCs w:val="18"/>
              </w:rPr>
              <w:t>36</w:t>
            </w:r>
            <w:r>
              <w:rPr>
                <w:rFonts w:hint="eastAsia" w:ascii="宋体" w:hAnsi="宋体" w:cs="宋体"/>
                <w:kern w:val="0"/>
                <w:sz w:val="18"/>
                <w:szCs w:val="18"/>
              </w:rPr>
              <w:t>号文件</w:t>
            </w:r>
          </w:p>
          <w:p>
            <w:pPr>
              <w:jc w:val="left"/>
              <w:rPr>
                <w:rFonts w:ascii="宋体" w:cs="宋体"/>
                <w:kern w:val="0"/>
                <w:sz w:val="18"/>
                <w:szCs w:val="18"/>
              </w:rPr>
            </w:pPr>
          </w:p>
        </w:tc>
        <w:tc>
          <w:tcPr>
            <w:tcW w:w="187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kern w:val="0"/>
                <w:sz w:val="18"/>
                <w:szCs w:val="18"/>
              </w:rPr>
            </w:pPr>
            <w:r>
              <w:rPr>
                <w:rFonts w:hint="eastAsia" w:ascii="宋体" w:hAnsi="宋体" w:cs="宋体"/>
                <w:kern w:val="0"/>
                <w:sz w:val="18"/>
                <w:szCs w:val="18"/>
              </w:rPr>
              <w:t>根据上级下达资金按时发放义务兵优待金</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18"/>
                <w:szCs w:val="18"/>
              </w:rPr>
            </w:pPr>
            <w:r>
              <w:rPr>
                <w:rFonts w:hint="eastAsia" w:ascii="宋体" w:hAnsi="宋体" w:cs="宋体"/>
                <w:color w:val="000000"/>
                <w:kern w:val="0"/>
                <w:sz w:val="18"/>
                <w:szCs w:val="18"/>
              </w:rPr>
              <w:t>连续性项目根据需要制定中长期实施规划</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kern w:val="0"/>
                <w:sz w:val="18"/>
                <w:szCs w:val="18"/>
              </w:rPr>
            </w:pPr>
            <w:r>
              <w:rPr>
                <w:rFonts w:hint="eastAsia" w:ascii="宋体" w:hAnsi="宋体" w:cs="宋体"/>
                <w:kern w:val="0"/>
                <w:sz w:val="18"/>
                <w:szCs w:val="18"/>
              </w:rPr>
              <w:t>事实规划全县</w:t>
            </w:r>
            <w:r>
              <w:rPr>
                <w:rFonts w:hint="eastAsia" w:ascii="宋体" w:hAnsi="宋体" w:cs="宋体"/>
                <w:kern w:val="0"/>
                <w:szCs w:val="21"/>
              </w:rPr>
              <w:t>完成了</w:t>
            </w:r>
            <w:r>
              <w:rPr>
                <w:rFonts w:ascii="宋体" w:hAnsi="宋体" w:cs="宋体"/>
                <w:kern w:val="0"/>
                <w:szCs w:val="21"/>
              </w:rPr>
              <w:t>450</w:t>
            </w:r>
            <w:r>
              <w:rPr>
                <w:rFonts w:hint="eastAsia" w:ascii="宋体" w:hAnsi="宋体" w:cs="宋体"/>
                <w:kern w:val="0"/>
                <w:szCs w:val="21"/>
              </w:rPr>
              <w:t>人次义务兵优待金补助</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kern w:val="0"/>
                <w:sz w:val="18"/>
                <w:szCs w:val="18"/>
              </w:rPr>
            </w:pPr>
            <w:r>
              <w:rPr>
                <w:rFonts w:hint="eastAsia" w:ascii="宋体" w:hAnsi="宋体" w:cs="宋体"/>
                <w:kern w:val="0"/>
                <w:sz w:val="18"/>
                <w:szCs w:val="18"/>
              </w:rPr>
              <w:t>事实规划全县</w:t>
            </w:r>
            <w:r>
              <w:rPr>
                <w:rFonts w:hint="eastAsia" w:ascii="宋体" w:hAnsi="宋体" w:cs="宋体"/>
                <w:kern w:val="0"/>
                <w:szCs w:val="21"/>
              </w:rPr>
              <w:t>完成了</w:t>
            </w:r>
            <w:r>
              <w:rPr>
                <w:rFonts w:ascii="宋体" w:hAnsi="宋体" w:cs="宋体"/>
                <w:kern w:val="0"/>
                <w:szCs w:val="21"/>
              </w:rPr>
              <w:t>450</w:t>
            </w:r>
            <w:r>
              <w:rPr>
                <w:rFonts w:hint="eastAsia" w:ascii="宋体" w:hAnsi="宋体" w:cs="宋体"/>
                <w:kern w:val="0"/>
                <w:szCs w:val="21"/>
              </w:rPr>
              <w:t>人次义务兵优待金补助</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kern w:val="0"/>
                <w:sz w:val="18"/>
                <w:szCs w:val="18"/>
              </w:rPr>
            </w:pPr>
            <w:r>
              <w:rPr>
                <w:rFonts w:hint="eastAsia" w:ascii="宋体" w:hAnsi="宋体" w:cs="宋体"/>
                <w:kern w:val="0"/>
                <w:sz w:val="18"/>
                <w:szCs w:val="18"/>
              </w:rPr>
              <w:t>规划符合实际，暂无调整变化</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kern w:val="0"/>
                <w:sz w:val="18"/>
                <w:szCs w:val="18"/>
              </w:rPr>
            </w:pPr>
            <w:r>
              <w:rPr>
                <w:rFonts w:hint="eastAsia" w:ascii="宋体" w:hAnsi="宋体" w:cs="宋体"/>
                <w:kern w:val="0"/>
                <w:sz w:val="18"/>
                <w:szCs w:val="18"/>
              </w:rPr>
              <w:t>规划符合实际，暂无调整变化</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kern w:val="0"/>
                <w:sz w:val="16"/>
                <w:szCs w:val="16"/>
              </w:rPr>
              <w:t>阿坝州民政局关于下达义务兵优待金</w:t>
            </w:r>
            <w:r>
              <w:rPr>
                <w:rFonts w:hint="eastAsia" w:ascii="宋体" w:hAnsi="宋体" w:cs="宋体"/>
                <w:kern w:val="0"/>
                <w:sz w:val="18"/>
                <w:szCs w:val="18"/>
              </w:rPr>
              <w:t>补助</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kern w:val="0"/>
                <w:sz w:val="16"/>
                <w:szCs w:val="16"/>
              </w:rPr>
              <w:t>阿坝州民政局关于下达</w:t>
            </w:r>
            <w:r>
              <w:rPr>
                <w:rFonts w:ascii="宋体" w:hAnsi="宋体" w:cs="宋体"/>
                <w:kern w:val="0"/>
                <w:sz w:val="16"/>
                <w:szCs w:val="16"/>
              </w:rPr>
              <w:t>2019</w:t>
            </w:r>
            <w:r>
              <w:rPr>
                <w:rFonts w:hint="eastAsia" w:ascii="宋体" w:hAnsi="宋体" w:cs="宋体"/>
                <w:kern w:val="0"/>
                <w:sz w:val="16"/>
                <w:szCs w:val="16"/>
              </w:rPr>
              <w:t>年义务兵优待金补助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kern w:val="0"/>
                <w:sz w:val="16"/>
                <w:szCs w:val="16"/>
              </w:rPr>
              <w:t>阿坝州民政局关于下达义务兵优待金</w:t>
            </w:r>
            <w:r>
              <w:rPr>
                <w:rFonts w:hint="eastAsia" w:ascii="宋体" w:hAnsi="宋体" w:cs="宋体"/>
                <w:kern w:val="0"/>
                <w:sz w:val="18"/>
                <w:szCs w:val="18"/>
              </w:rPr>
              <w:t>补助</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kern w:val="0"/>
                <w:sz w:val="16"/>
                <w:szCs w:val="16"/>
              </w:rPr>
              <w:t>阿坝州民政局关于下达义务兵优待金</w:t>
            </w:r>
            <w:r>
              <w:rPr>
                <w:rFonts w:hint="eastAsia" w:ascii="宋体" w:hAnsi="宋体" w:cs="宋体"/>
                <w:kern w:val="0"/>
                <w:sz w:val="18"/>
                <w:szCs w:val="18"/>
              </w:rPr>
              <w:t>补助</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分配方法科学合理</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分配方法科学合理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ascii="仿宋_GB2312" w:hAnsi="仿宋_GB2312" w:eastAsia="仿宋_GB2312" w:cs="仿宋_GB2312"/>
                <w:kern w:val="0"/>
                <w:sz w:val="16"/>
                <w:szCs w:val="16"/>
              </w:rPr>
              <w:t>1</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ascii="仿宋_GB2312" w:hAnsi="仿宋_GB2312" w:eastAsia="仿宋_GB2312" w:cs="仿宋_GB2312"/>
                <w:kern w:val="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843"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ascii="宋体" w:hAnsi="宋体" w:cs="宋体"/>
                <w:color w:val="000000"/>
                <w:kern w:val="0"/>
                <w:sz w:val="20"/>
                <w:szCs w:val="20"/>
              </w:rPr>
              <w:t>100%</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ascii="宋体" w:hAnsi="宋体" w:cs="宋体"/>
                <w:color w:val="000000"/>
                <w:kern w:val="0"/>
                <w:sz w:val="20"/>
                <w:szCs w:val="20"/>
              </w:rPr>
              <w:t>100%</w:t>
            </w:r>
          </w:p>
        </w:tc>
      </w:tr>
      <w:tr>
        <w:tblPrEx>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843"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16"/>
                <w:szCs w:val="16"/>
              </w:rPr>
              <w:t>按实际分配结果选择客观因素测算验证资金分配方法制定、分配要素设定、基础数据应用、测算依据选取等是否科学合理（</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2019</w:t>
            </w:r>
            <w:r>
              <w:rPr>
                <w:rFonts w:hint="eastAsia" w:ascii="宋体" w:hAnsi="宋体" w:cs="宋体"/>
                <w:color w:val="000000"/>
                <w:sz w:val="20"/>
                <w:szCs w:val="20"/>
              </w:rPr>
              <w:t>年</w:t>
            </w:r>
            <w:r>
              <w:rPr>
                <w:rFonts w:ascii="宋体" w:hAnsi="宋体" w:cs="宋体"/>
                <w:color w:val="000000"/>
                <w:sz w:val="20"/>
                <w:szCs w:val="20"/>
              </w:rPr>
              <w:t>12</w:t>
            </w:r>
            <w:r>
              <w:rPr>
                <w:rFonts w:hint="eastAsia" w:ascii="宋体" w:hAnsi="宋体" w:cs="宋体"/>
                <w:color w:val="000000"/>
                <w:sz w:val="20"/>
                <w:szCs w:val="20"/>
              </w:rPr>
              <w:t>月</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2019</w:t>
            </w:r>
            <w:r>
              <w:rPr>
                <w:rFonts w:hint="eastAsia" w:ascii="宋体" w:hAnsi="宋体" w:cs="宋体"/>
                <w:color w:val="000000"/>
                <w:sz w:val="20"/>
                <w:szCs w:val="20"/>
              </w:rPr>
              <w:t>年</w:t>
            </w:r>
            <w:r>
              <w:rPr>
                <w:rFonts w:ascii="宋体" w:hAnsi="宋体" w:cs="宋体"/>
                <w:color w:val="000000"/>
                <w:sz w:val="20"/>
                <w:szCs w:val="20"/>
              </w:rPr>
              <w:t>12</w:t>
            </w:r>
            <w:r>
              <w:rPr>
                <w:rFonts w:hint="eastAsia" w:ascii="宋体" w:hAnsi="宋体" w:cs="宋体"/>
                <w:color w:val="000000"/>
                <w:sz w:val="20"/>
                <w:szCs w:val="20"/>
              </w:rPr>
              <w:t>月</w:t>
            </w:r>
          </w:p>
        </w:tc>
      </w:tr>
      <w:tr>
        <w:tblPrEx>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资金拨付完成保障义务兵优待金补助到位</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有效的保障义务兵优待金生活补助</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596"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hAnsi="宋体" w:cs="宋体"/>
                <w:color w:val="000000"/>
                <w:sz w:val="20"/>
                <w:szCs w:val="20"/>
              </w:rPr>
              <w:t>有效的保障义务兵优待金生活补助</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有效的保障义务兵优待金生活补助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3025"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有效的保障义务兵优待金生活补助</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有效的保障义务兵优待金生活补助</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3025"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59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876"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ind w:firstLine="321" w:firstLineChars="100"/>
        <w:rPr>
          <w:rFonts w:ascii="Calibri" w:hAnsi="Calibri"/>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退役安置。</w:t>
      </w:r>
      <w:r>
        <w:rPr>
          <w:rFonts w:hint="eastAsia" w:ascii="仿宋_GB2312" w:hAnsi="仿宋_GB2312" w:eastAsia="仿宋_GB2312" w:cs="仿宋_GB2312"/>
          <w:sz w:val="32"/>
          <w:szCs w:val="32"/>
        </w:rPr>
        <w:t>项目全年预算数</w:t>
      </w:r>
      <w:r>
        <w:rPr>
          <w:rFonts w:ascii="仿宋_GB2312" w:hAnsi="仿宋_GB2312" w:eastAsia="仿宋_GB2312" w:cs="仿宋_GB2312"/>
          <w:sz w:val="32"/>
          <w:szCs w:val="32"/>
        </w:rPr>
        <w:t>524.81</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524.81</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。通过项目实施，保障退役安置</w:t>
      </w:r>
      <w:r>
        <w:rPr>
          <w:rFonts w:hint="eastAsia" w:ascii="仿宋_GB2312" w:hAnsi="仿宋_GB2312" w:eastAsia="仿宋_GB2312" w:cs="仿宋_GB2312"/>
          <w:kern w:val="0"/>
          <w:sz w:val="32"/>
          <w:szCs w:val="32"/>
        </w:rPr>
        <w:t>扎实开展。</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按照项目总体目标简要描述项目成效），发现的主要问题：无。下一步改进措施：无。</w:t>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rPr>
              <w:t>退役士兵安置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红原县退役军人事务局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524.81</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524.81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524.81</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524.81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kern w:val="0"/>
                <w:sz w:val="18"/>
                <w:szCs w:val="18"/>
              </w:rPr>
              <w:t>及时启动退役士兵安置工作，成立相应的组织机构，计划资金</w:t>
            </w:r>
            <w:r>
              <w:rPr>
                <w:rFonts w:ascii="宋体" w:hAnsi="宋体" w:cs="宋体"/>
                <w:kern w:val="0"/>
                <w:sz w:val="18"/>
                <w:szCs w:val="18"/>
              </w:rPr>
              <w:t>524.81</w:t>
            </w:r>
            <w:r>
              <w:rPr>
                <w:rFonts w:hint="eastAsia" w:ascii="宋体" w:hAnsi="宋体" w:cs="宋体"/>
                <w:kern w:val="0"/>
                <w:sz w:val="18"/>
                <w:szCs w:val="18"/>
              </w:rPr>
              <w:t>万元</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kern w:val="0"/>
                <w:sz w:val="18"/>
                <w:szCs w:val="18"/>
              </w:rPr>
              <w:t>及时启动退役安置工作，成立相应的组织机构，计划资金</w:t>
            </w:r>
            <w:r>
              <w:rPr>
                <w:rFonts w:ascii="宋体" w:hAnsi="宋体" w:cs="宋体"/>
                <w:kern w:val="0"/>
                <w:sz w:val="18"/>
                <w:szCs w:val="18"/>
              </w:rPr>
              <w:t>524.81</w:t>
            </w:r>
            <w:r>
              <w:rPr>
                <w:rFonts w:hint="eastAsia" w:ascii="宋体" w:hAnsi="宋体" w:cs="宋体"/>
                <w:kern w:val="0"/>
                <w:sz w:val="18"/>
                <w:szCs w:val="18"/>
              </w:rPr>
              <w:t>万元</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kern w:val="0"/>
                <w:sz w:val="18"/>
                <w:szCs w:val="18"/>
              </w:rPr>
              <w:t>抽调专人</w:t>
            </w:r>
            <w:r>
              <w:rPr>
                <w:rFonts w:ascii="仿宋_GB2312" w:hAnsi="仿宋_GB2312" w:eastAsia="仿宋_GB2312" w:cs="仿宋_GB2312"/>
                <w:kern w:val="0"/>
                <w:sz w:val="18"/>
                <w:szCs w:val="18"/>
              </w:rPr>
              <w:t>1</w:t>
            </w:r>
            <w:r>
              <w:rPr>
                <w:rFonts w:hint="eastAsia" w:ascii="仿宋_GB2312" w:hAnsi="仿宋_GB2312" w:eastAsia="仿宋_GB2312" w:cs="仿宋_GB2312"/>
                <w:kern w:val="0"/>
                <w:sz w:val="18"/>
                <w:szCs w:val="18"/>
              </w:rPr>
              <w:t>人参加培训等相关工作</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kern w:val="0"/>
                <w:sz w:val="18"/>
                <w:szCs w:val="18"/>
              </w:rPr>
              <w:t>抽调专人</w:t>
            </w:r>
            <w:r>
              <w:rPr>
                <w:rFonts w:ascii="仿宋_GB2312" w:hAnsi="仿宋_GB2312" w:eastAsia="仿宋_GB2312" w:cs="仿宋_GB2312"/>
                <w:kern w:val="0"/>
                <w:sz w:val="18"/>
                <w:szCs w:val="18"/>
              </w:rPr>
              <w:t>1</w:t>
            </w:r>
            <w:r>
              <w:rPr>
                <w:rFonts w:hint="eastAsia" w:ascii="仿宋_GB2312" w:hAnsi="仿宋_GB2312" w:eastAsia="仿宋_GB2312" w:cs="仿宋_GB2312"/>
                <w:kern w:val="0"/>
                <w:sz w:val="18"/>
                <w:szCs w:val="18"/>
              </w:rPr>
              <w:t>人参加培训等相关工作</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ind w:firstLine="200" w:firstLineChars="100"/>
              <w:jc w:val="center"/>
              <w:rPr>
                <w:rFonts w:asci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kern w:val="0"/>
                <w:sz w:val="18"/>
                <w:szCs w:val="18"/>
              </w:rPr>
              <w:t>事实规划全县区划工作按时完成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kern w:val="0"/>
                <w:sz w:val="18"/>
                <w:szCs w:val="18"/>
              </w:rPr>
              <w:t>事实规划全县区划工作按时完成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符合实际、无调整</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符合实际、无调整</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资金分配明确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资金分配明确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15"/>
                <w:szCs w:val="15"/>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2019.12</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2019.12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kern w:val="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kern w:val="0"/>
                <w:sz w:val="18"/>
                <w:szCs w:val="18"/>
              </w:rPr>
              <w:t>退役安置实际完成资金支付</w:t>
            </w:r>
            <w:r>
              <w:rPr>
                <w:rFonts w:ascii="宋体" w:hAnsi="宋体" w:cs="宋体"/>
                <w:kern w:val="0"/>
                <w:sz w:val="18"/>
                <w:szCs w:val="18"/>
              </w:rPr>
              <w:t>524.81</w:t>
            </w:r>
            <w:r>
              <w:rPr>
                <w:rFonts w:hint="eastAsia" w:ascii="宋体" w:hAnsi="宋体" w:cs="宋体"/>
                <w:kern w:val="0"/>
                <w:sz w:val="18"/>
                <w:szCs w:val="18"/>
              </w:rPr>
              <w:t>万元</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kern w:val="0"/>
                <w:sz w:val="18"/>
                <w:szCs w:val="18"/>
              </w:rPr>
              <w:t>退役安置实际完成资金支付</w:t>
            </w:r>
            <w:r>
              <w:rPr>
                <w:rFonts w:ascii="宋体" w:hAnsi="宋体" w:cs="宋体"/>
                <w:kern w:val="0"/>
                <w:sz w:val="18"/>
                <w:szCs w:val="18"/>
              </w:rPr>
              <w:t>524.81</w:t>
            </w:r>
            <w:r>
              <w:rPr>
                <w:rFonts w:hint="eastAsia" w:ascii="宋体" w:hAnsi="宋体" w:cs="宋体"/>
                <w:kern w:val="0"/>
                <w:sz w:val="18"/>
                <w:szCs w:val="18"/>
              </w:rPr>
              <w:t>万元</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kern w:val="0"/>
                <w:sz w:val="18"/>
                <w:szCs w:val="18"/>
              </w:rPr>
              <w:t>及时启动退役安置工作，成立相应的组织机构，计划资金</w:t>
            </w:r>
            <w:r>
              <w:rPr>
                <w:rFonts w:ascii="宋体" w:hAnsi="宋体" w:cs="宋体"/>
                <w:kern w:val="0"/>
                <w:sz w:val="18"/>
                <w:szCs w:val="18"/>
              </w:rPr>
              <w:t>524.81</w:t>
            </w:r>
            <w:r>
              <w:rPr>
                <w:rFonts w:hint="eastAsia" w:ascii="宋体" w:hAnsi="宋体" w:cs="宋体"/>
                <w:kern w:val="0"/>
                <w:sz w:val="18"/>
                <w:szCs w:val="18"/>
              </w:rPr>
              <w:t>万元</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kern w:val="0"/>
                <w:sz w:val="18"/>
                <w:szCs w:val="18"/>
              </w:rPr>
              <w:t>及时启动退役安置工作，成立相应的组织机构，计划资金</w:t>
            </w:r>
            <w:r>
              <w:rPr>
                <w:rFonts w:ascii="宋体" w:hAnsi="宋体" w:cs="宋体"/>
                <w:kern w:val="0"/>
                <w:sz w:val="18"/>
                <w:szCs w:val="18"/>
              </w:rPr>
              <w:t>524.81</w:t>
            </w:r>
            <w:r>
              <w:rPr>
                <w:rFonts w:hint="eastAsia" w:ascii="宋体" w:hAnsi="宋体" w:cs="宋体"/>
                <w:kern w:val="0"/>
                <w:sz w:val="18"/>
                <w:szCs w:val="18"/>
              </w:rPr>
              <w:t>万元</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退役安置工作有序推进</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退役安置工作有序推进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spacing w:line="580" w:lineRule="exact"/>
        <w:ind w:left="420" w:leftChars="200" w:firstLine="321" w:firstLineChars="100"/>
        <w:rPr>
          <w:rFonts w:ascii="仿宋_GB2312" w:hAnsi="仿宋_GB2312" w:eastAsia="仿宋_GB2312" w:cs="仿宋_GB2312"/>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其他生活救助。</w:t>
      </w:r>
      <w:r>
        <w:rPr>
          <w:rFonts w:hint="eastAsia" w:ascii="仿宋_GB2312" w:hAnsi="仿宋_GB2312" w:eastAsia="仿宋_GB2312" w:cs="仿宋_GB2312"/>
          <w:sz w:val="32"/>
          <w:szCs w:val="32"/>
        </w:rPr>
        <w:t>项目全年预算数</w:t>
      </w:r>
      <w:r>
        <w:rPr>
          <w:rFonts w:ascii="仿宋_GB2312" w:hAnsi="仿宋_GB2312" w:eastAsia="仿宋_GB2312" w:cs="仿宋_GB2312"/>
          <w:sz w:val="32"/>
          <w:szCs w:val="32"/>
        </w:rPr>
        <w:t>0.08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0.08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困难军人基本生活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其他生活救助</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红原县退役军人事务局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0.08</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0.08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0.08</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0.08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救助因病因灾等导致的困难军人目标人数</w:t>
            </w:r>
            <w:r>
              <w:rPr>
                <w:rFonts w:ascii="宋体" w:hAnsi="宋体" w:cs="宋体"/>
                <w:b/>
                <w:color w:val="000000"/>
                <w:sz w:val="24"/>
              </w:rPr>
              <w:t>200-300</w:t>
            </w:r>
            <w:r>
              <w:rPr>
                <w:rFonts w:hint="eastAsia" w:ascii="宋体" w:hAnsi="宋体" w:cs="宋体"/>
                <w:b/>
                <w:color w:val="000000"/>
                <w:sz w:val="24"/>
              </w:rPr>
              <w:t>人</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2019</w:t>
            </w:r>
            <w:r>
              <w:rPr>
                <w:rFonts w:hint="eastAsia" w:ascii="宋体" w:hAnsi="宋体" w:cs="宋体"/>
                <w:b/>
                <w:color w:val="000000"/>
                <w:sz w:val="24"/>
              </w:rPr>
              <w:t>年实际完成目标人数救助</w:t>
            </w:r>
            <w:r>
              <w:rPr>
                <w:rFonts w:ascii="宋体" w:hAnsi="宋体" w:cs="宋体"/>
                <w:b/>
                <w:color w:val="000000"/>
                <w:sz w:val="24"/>
              </w:rPr>
              <w:t>26</w:t>
            </w:r>
            <w:r>
              <w:rPr>
                <w:rFonts w:hint="eastAsia" w:ascii="宋体" w:hAnsi="宋体" w:cs="宋体"/>
                <w:b/>
                <w:color w:val="000000"/>
                <w:sz w:val="24"/>
              </w:rPr>
              <w:t>人</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预期指标值全年</w:t>
            </w:r>
            <w:r>
              <w:rPr>
                <w:rFonts w:ascii="宋体" w:hAnsi="宋体" w:cs="宋体"/>
                <w:color w:val="000000"/>
                <w:sz w:val="20"/>
                <w:szCs w:val="20"/>
              </w:rPr>
              <w:t>20-30</w:t>
            </w:r>
            <w:r>
              <w:rPr>
                <w:rFonts w:hint="eastAsia" w:ascii="宋体" w:hAnsi="宋体" w:cs="宋体"/>
                <w:color w:val="000000"/>
                <w:sz w:val="20"/>
                <w:szCs w:val="20"/>
              </w:rPr>
              <w:t>人</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全年完成共救助困难军人</w:t>
            </w:r>
            <w:r>
              <w:rPr>
                <w:rFonts w:ascii="宋体" w:hAnsi="宋体" w:cs="宋体"/>
                <w:color w:val="000000"/>
                <w:sz w:val="20"/>
                <w:szCs w:val="20"/>
              </w:rPr>
              <w:t>26</w:t>
            </w:r>
            <w:r>
              <w:rPr>
                <w:rFonts w:hint="eastAsia" w:ascii="宋体" w:hAnsi="宋体" w:cs="宋体"/>
                <w:color w:val="000000"/>
                <w:sz w:val="20"/>
                <w:szCs w:val="20"/>
              </w:rPr>
              <w:t>人</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kern w:val="0"/>
                <w:sz w:val="18"/>
                <w:szCs w:val="18"/>
              </w:rPr>
              <w:t>事实规划全县军人生活救助按时完成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kern w:val="0"/>
                <w:sz w:val="18"/>
                <w:szCs w:val="18"/>
              </w:rPr>
              <w:t>事实规划全县军人生活救助按时完成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kern w:val="0"/>
                <w:sz w:val="20"/>
                <w:szCs w:val="20"/>
              </w:rPr>
              <w:t>100%</w:t>
            </w:r>
          </w:p>
        </w:tc>
      </w:tr>
      <w:tr>
        <w:tblPrEx>
          <w:tblCellMar>
            <w:top w:w="15" w:type="dxa"/>
            <w:left w:w="15" w:type="dxa"/>
            <w:bottom w:w="15" w:type="dxa"/>
            <w:right w:w="15" w:type="dxa"/>
          </w:tblCellMar>
        </w:tblPrEx>
        <w:trPr>
          <w:trHeight w:val="149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0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无变更</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无变更</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2019.12</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2019.12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保障困难军人救急难。确保资金安全发放，让困难军人及时领到资金</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保障困难军人救急难。确保资金安全发放，让困难军人及时领到资金</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16"/>
                <w:szCs w:val="16"/>
              </w:rPr>
              <w:t>助对象中对符合“救急难”的对象按照程序实现最快、有效的救助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16"/>
                <w:szCs w:val="16"/>
              </w:rPr>
              <w:t>救助对象中对符合“救急难”的对象按照程序实现最快、有效的救助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16"/>
                <w:szCs w:val="16"/>
              </w:rPr>
            </w:pPr>
            <w:r>
              <w:rPr>
                <w:rFonts w:hint="eastAsia" w:ascii="宋体" w:hAnsi="宋体" w:cs="宋体"/>
                <w:color w:val="000000"/>
                <w:sz w:val="16"/>
                <w:szCs w:val="16"/>
              </w:rPr>
              <w:t>救助对象中对符合“救急难”的对象按照程序实现最快、有效的救助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16"/>
                <w:szCs w:val="16"/>
              </w:rPr>
            </w:pPr>
            <w:r>
              <w:rPr>
                <w:rFonts w:hint="eastAsia" w:ascii="宋体" w:hAnsi="宋体" w:cs="宋体"/>
                <w:color w:val="000000"/>
                <w:sz w:val="16"/>
                <w:szCs w:val="16"/>
              </w:rPr>
              <w:t>救助对象中对符合“救急难”的对象按照程序实现最快、有效的救助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救助工作有序推进</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ind w:left="420" w:leftChars="200"/>
        <w:rPr>
          <w:rFonts w:ascii="仿宋_GB2312" w:hAnsi="仿宋_GB2312" w:eastAsia="仿宋_GB2312" w:cs="仿宋_GB2312"/>
          <w:sz w:val="32"/>
          <w:szCs w:val="32"/>
        </w:rPr>
      </w:pPr>
    </w:p>
    <w:p>
      <w:pPr>
        <w:spacing w:line="58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w:t>
      </w:r>
      <w:r>
        <w:rPr>
          <w:rFonts w:hint="eastAsia" w:ascii="仿宋_GB2312" w:hAnsi="仿宋_GB2312" w:eastAsia="仿宋_GB2312" w:cs="仿宋_GB2312"/>
          <w:b/>
          <w:bCs/>
          <w:sz w:val="32"/>
          <w:szCs w:val="32"/>
        </w:rPr>
        <w:t>拥军优属项目绩效目标完成情况综述</w:t>
      </w:r>
      <w:r>
        <w:rPr>
          <w:rFonts w:hint="eastAsia" w:ascii="仿宋_GB2312" w:hAnsi="仿宋_GB2312" w:eastAsia="仿宋_GB2312" w:cs="仿宋_GB2312"/>
          <w:sz w:val="32"/>
          <w:szCs w:val="32"/>
        </w:rPr>
        <w:t>。项目全年预算数</w:t>
      </w:r>
      <w:r>
        <w:rPr>
          <w:rFonts w:ascii="仿宋_GB2312" w:hAnsi="仿宋_GB2312" w:eastAsia="仿宋_GB2312" w:cs="仿宋_GB2312"/>
          <w:sz w:val="32"/>
          <w:szCs w:val="32"/>
        </w:rPr>
        <w:t>5.23</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5.23</w:t>
      </w:r>
      <w:r>
        <w:rPr>
          <w:rFonts w:hint="eastAsia" w:ascii="仿宋_GB2312" w:hAnsi="仿宋_GB2312" w:eastAsia="仿宋_GB2312" w:cs="仿宋_GB2312"/>
          <w:sz w:val="32"/>
          <w:szCs w:val="32"/>
        </w:rPr>
        <w:t>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3"/>
        <w:tblW w:w="9522" w:type="dxa"/>
        <w:tblInd w:w="0" w:type="dxa"/>
        <w:tblLayout w:type="fixed"/>
        <w:tblCellMar>
          <w:top w:w="15" w:type="dxa"/>
          <w:left w:w="15" w:type="dxa"/>
          <w:bottom w:w="15" w:type="dxa"/>
          <w:right w:w="15" w:type="dxa"/>
        </w:tblCellMar>
      </w:tblPr>
      <w:tblGrid>
        <w:gridCol w:w="5"/>
        <w:gridCol w:w="449"/>
        <w:gridCol w:w="764"/>
        <w:gridCol w:w="1047"/>
        <w:gridCol w:w="764"/>
        <w:gridCol w:w="1181"/>
        <w:gridCol w:w="1751"/>
        <w:gridCol w:w="1631"/>
        <w:gridCol w:w="1930"/>
      </w:tblGrid>
      <w:tr>
        <w:tblPrEx>
          <w:tblCellMar>
            <w:top w:w="15" w:type="dxa"/>
            <w:left w:w="15" w:type="dxa"/>
            <w:bottom w:w="15" w:type="dxa"/>
            <w:right w:w="15" w:type="dxa"/>
          </w:tblCellMar>
        </w:tblPrEx>
        <w:trPr>
          <w:trHeight w:val="285" w:hRule="atLeast"/>
        </w:trPr>
        <w:tc>
          <w:tcPr>
            <w:tcW w:w="9522" w:type="dxa"/>
            <w:gridSpan w:val="9"/>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拥军优属</w:t>
            </w:r>
          </w:p>
        </w:tc>
      </w:tr>
      <w:tr>
        <w:tblPrEx>
          <w:tblCellMar>
            <w:top w:w="15" w:type="dxa"/>
            <w:left w:w="15" w:type="dxa"/>
            <w:bottom w:w="15" w:type="dxa"/>
            <w:right w:w="15" w:type="dxa"/>
          </w:tblCellMar>
        </w:tblPrEx>
        <w:trPr>
          <w:trHeight w:val="285" w:hRule="atLeast"/>
        </w:trPr>
        <w:tc>
          <w:tcPr>
            <w:tcW w:w="2261"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红原县退役军人事务局</w:t>
            </w:r>
          </w:p>
        </w:tc>
      </w:tr>
      <w:tr>
        <w:tblPrEx>
          <w:tblCellMar>
            <w:top w:w="15" w:type="dxa"/>
            <w:left w:w="15" w:type="dxa"/>
            <w:bottom w:w="15" w:type="dxa"/>
            <w:right w:w="15" w:type="dxa"/>
          </w:tblCellMar>
        </w:tblPrEx>
        <w:trPr>
          <w:trHeight w:val="285" w:hRule="atLeast"/>
        </w:trPr>
        <w:tc>
          <w:tcPr>
            <w:tcW w:w="449"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5.23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5.23</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5.23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hAnsi="宋体" w:cs="宋体"/>
                <w:b/>
                <w:color w:val="000000"/>
                <w:sz w:val="24"/>
              </w:rPr>
              <w:t>5.23</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r>
      <w:tr>
        <w:tblPrEx>
          <w:tblCellMar>
            <w:top w:w="15" w:type="dxa"/>
            <w:left w:w="15" w:type="dxa"/>
            <w:bottom w:w="15" w:type="dxa"/>
            <w:right w:w="15" w:type="dxa"/>
          </w:tblCellMar>
        </w:tblPrEx>
        <w:trPr>
          <w:trHeight w:val="285" w:hRule="atLeast"/>
        </w:trPr>
        <w:tc>
          <w:tcPr>
            <w:tcW w:w="449"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拥军优属工作顺利推进</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顺利完成</w:t>
            </w:r>
          </w:p>
        </w:tc>
      </w:tr>
      <w:tr>
        <w:tblPrEx>
          <w:tblCellMar>
            <w:top w:w="15" w:type="dxa"/>
            <w:left w:w="15" w:type="dxa"/>
            <w:bottom w:w="15" w:type="dxa"/>
            <w:right w:w="15" w:type="dxa"/>
          </w:tblCellMar>
        </w:tblPrEx>
        <w:trPr>
          <w:trHeight w:val="624" w:hRule="atLeast"/>
        </w:trPr>
        <w:tc>
          <w:tcPr>
            <w:tcW w:w="449"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慰问军人及军属</w:t>
            </w:r>
            <w:r>
              <w:rPr>
                <w:rFonts w:ascii="宋体" w:hAnsi="宋体" w:cs="宋体"/>
                <w:color w:val="000000"/>
                <w:kern w:val="0"/>
                <w:sz w:val="20"/>
                <w:szCs w:val="20"/>
              </w:rPr>
              <w:t>142</w:t>
            </w:r>
            <w:r>
              <w:rPr>
                <w:rFonts w:hint="eastAsia" w:ascii="宋体" w:hAnsi="宋体" w:cs="宋体"/>
                <w:color w:val="000000"/>
                <w:kern w:val="0"/>
                <w:sz w:val="20"/>
                <w:szCs w:val="20"/>
              </w:rPr>
              <w:t>人</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慰问军人及军属</w:t>
            </w:r>
            <w:r>
              <w:rPr>
                <w:rFonts w:ascii="宋体" w:hAnsi="宋体" w:cs="宋体"/>
                <w:color w:val="000000"/>
                <w:kern w:val="0"/>
                <w:sz w:val="20"/>
                <w:szCs w:val="20"/>
              </w:rPr>
              <w:t>142</w:t>
            </w:r>
            <w:r>
              <w:rPr>
                <w:rFonts w:hint="eastAsia" w:ascii="宋体" w:hAnsi="宋体" w:cs="宋体"/>
                <w:color w:val="000000"/>
                <w:kern w:val="0"/>
                <w:sz w:val="20"/>
                <w:szCs w:val="20"/>
              </w:rPr>
              <w:t>人</w:t>
            </w:r>
          </w:p>
        </w:tc>
      </w:tr>
      <w:tr>
        <w:tblPrEx>
          <w:tblCellMar>
            <w:top w:w="15" w:type="dxa"/>
            <w:left w:w="15" w:type="dxa"/>
            <w:bottom w:w="15" w:type="dxa"/>
            <w:right w:w="15" w:type="dxa"/>
          </w:tblCellMar>
        </w:tblPrEx>
        <w:trPr>
          <w:trHeight w:val="64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ind w:firstLine="400" w:firstLineChars="200"/>
              <w:jc w:val="left"/>
              <w:textAlignment w:val="bottom"/>
              <w:rPr>
                <w:rFonts w:ascii="宋体" w:cs="宋体"/>
                <w:color w:val="000000"/>
                <w:kern w:val="0"/>
                <w:sz w:val="20"/>
                <w:szCs w:val="20"/>
              </w:rPr>
            </w:pPr>
            <w:r>
              <w:rPr>
                <w:rFonts w:hint="eastAsia" w:ascii="宋体" w:hAnsi="宋体" w:cs="宋体"/>
                <w:color w:val="000000"/>
                <w:kern w:val="0"/>
                <w:sz w:val="20"/>
                <w:szCs w:val="20"/>
              </w:rPr>
              <w:t>进度明确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进度明确</w:t>
            </w:r>
          </w:p>
        </w:tc>
      </w:tr>
      <w:tr>
        <w:tblPrEx>
          <w:tblCellMar>
            <w:top w:w="15" w:type="dxa"/>
            <w:left w:w="15" w:type="dxa"/>
            <w:bottom w:w="15" w:type="dxa"/>
            <w:right w:w="15" w:type="dxa"/>
          </w:tblCellMar>
        </w:tblPrEx>
        <w:trPr>
          <w:trHeight w:val="690"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eastAsia="仿宋_GB2312" w:cs="宋体"/>
                <w:color w:val="000000"/>
                <w:sz w:val="20"/>
                <w:szCs w:val="20"/>
              </w:rPr>
            </w:pPr>
            <w:r>
              <w:rPr>
                <w:rFonts w:hint="eastAsia" w:ascii="仿宋_GB2312" w:hAnsi="仿宋_GB2312" w:eastAsia="仿宋_GB2312" w:cs="仿宋_GB2312"/>
                <w:kern w:val="0"/>
                <w:sz w:val="18"/>
                <w:szCs w:val="18"/>
              </w:rPr>
              <w:t>事实规划拥军优属人员</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kern w:val="0"/>
                <w:sz w:val="18"/>
                <w:szCs w:val="18"/>
              </w:rPr>
              <w:t>事实规划拥军优属人员</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kern w:val="0"/>
                <w:sz w:val="20"/>
                <w:szCs w:val="20"/>
              </w:rPr>
              <w:t>100%</w:t>
            </w:r>
          </w:p>
        </w:tc>
      </w:tr>
      <w:tr>
        <w:tblPrEx>
          <w:tblCellMar>
            <w:top w:w="15" w:type="dxa"/>
            <w:left w:w="15" w:type="dxa"/>
            <w:bottom w:w="15" w:type="dxa"/>
            <w:right w:w="15" w:type="dxa"/>
          </w:tblCellMar>
        </w:tblPrEx>
        <w:trPr>
          <w:trHeight w:val="2064"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18"/>
                <w:szCs w:val="18"/>
              </w:rPr>
              <w:t>按实际分配结果选择客观因素测算验证资金分配方法制定、分配要素设定、基础数据应用、测算依据选取等是否科</w:t>
            </w:r>
            <w:r>
              <w:rPr>
                <w:rFonts w:hint="eastAsia" w:ascii="宋体" w:hAnsi="宋体" w:cs="宋体"/>
                <w:color w:val="000000"/>
                <w:kern w:val="0"/>
                <w:sz w:val="20"/>
                <w:szCs w:val="20"/>
              </w:rPr>
              <w:t>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2019.12</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2019.12</w:t>
            </w:r>
          </w:p>
        </w:tc>
      </w:tr>
      <w:tr>
        <w:tblPrEx>
          <w:tblCellMar>
            <w:top w:w="15" w:type="dxa"/>
            <w:left w:w="15" w:type="dxa"/>
            <w:bottom w:w="15" w:type="dxa"/>
            <w:right w:w="15" w:type="dxa"/>
          </w:tblCellMar>
        </w:tblPrEx>
        <w:trPr>
          <w:trHeight w:val="28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保障拥军优属慰问金到位拨付。</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保障拥军优属慰问金到位拨付。</w:t>
            </w:r>
          </w:p>
        </w:tc>
      </w:tr>
      <w:tr>
        <w:tblPrEx>
          <w:tblCellMar>
            <w:top w:w="15" w:type="dxa"/>
            <w:left w:w="15" w:type="dxa"/>
            <w:bottom w:w="15" w:type="dxa"/>
            <w:right w:w="15" w:type="dxa"/>
          </w:tblCellMar>
        </w:tblPrEx>
        <w:trPr>
          <w:trHeight w:val="735"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16"/>
                <w:szCs w:val="16"/>
              </w:rPr>
              <w:t>拥军优属对象中对符合对象按照程序实现最快、有效的救助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16"/>
                <w:szCs w:val="16"/>
              </w:rPr>
              <w:t>拥军优属对象中对符合对象按照程序实现最快、有效的救助</w:t>
            </w:r>
          </w:p>
        </w:tc>
      </w:tr>
      <w:tr>
        <w:tblPrEx>
          <w:tblCellMar>
            <w:top w:w="15" w:type="dxa"/>
            <w:left w:w="15" w:type="dxa"/>
            <w:bottom w:w="15" w:type="dxa"/>
            <w:right w:w="15" w:type="dxa"/>
          </w:tblCellMar>
        </w:tblPrEx>
        <w:trPr>
          <w:trHeight w:val="720"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16"/>
                <w:szCs w:val="16"/>
              </w:rPr>
              <w:t>拥军优属对象中对符合对象按照程序实现最快、有效的救助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16"/>
                <w:szCs w:val="16"/>
              </w:rPr>
              <w:t>拥军优属对象中对符合对象按照程序实现最快、有效的救助</w:t>
            </w:r>
          </w:p>
        </w:tc>
      </w:tr>
      <w:tr>
        <w:tblPrEx>
          <w:tblCellMar>
            <w:top w:w="15" w:type="dxa"/>
            <w:left w:w="15" w:type="dxa"/>
            <w:bottom w:w="15" w:type="dxa"/>
            <w:right w:w="15" w:type="dxa"/>
          </w:tblCellMar>
        </w:tblPrEx>
        <w:trPr>
          <w:trHeight w:val="750"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拥军优属救助工作有序推进</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cs="宋体"/>
                <w:color w:val="000000"/>
                <w:sz w:val="20"/>
                <w:szCs w:val="20"/>
              </w:rPr>
              <w:t>拥军优属救助工作有序推进</w:t>
            </w:r>
          </w:p>
        </w:tc>
      </w:tr>
      <w:tr>
        <w:tblPrEx>
          <w:tblCellMar>
            <w:top w:w="15" w:type="dxa"/>
            <w:left w:w="15" w:type="dxa"/>
            <w:bottom w:w="15" w:type="dxa"/>
            <w:right w:w="15" w:type="dxa"/>
          </w:tblCellMar>
        </w:tblPrEx>
        <w:trPr>
          <w:gridBefore w:val="1"/>
          <w:wBefore w:w="5" w:type="dxa"/>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r>
    </w:tbl>
    <w:p>
      <w:pPr>
        <w:pStyle w:val="2"/>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本局按要求对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年部门整体支出绩效评价情况开展自评，《退役军人事务局</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本部门自行组织对义务兵优待金项目、退役安置项目、生活救助项目、拥军优属项目开展了绩效评价，《退役军人事务局（</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项）项目</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pPr>
        <w:pStyle w:val="2"/>
        <w:rPr>
          <w:rFonts w:ascii="仿宋_GB2312" w:hAnsi="仿宋_GB2312" w:eastAsia="仿宋_GB2312" w:cs="仿宋_GB2312"/>
          <w:sz w:val="32"/>
          <w:szCs w:val="32"/>
        </w:rPr>
      </w:pPr>
    </w:p>
    <w:p>
      <w:pPr>
        <w:numPr>
          <w:ilvl w:val="0"/>
          <w:numId w:val="3"/>
        </w:numPr>
        <w:spacing w:line="600" w:lineRule="exact"/>
        <w:ind w:firstLine="660" w:firstLineChars="150"/>
        <w:jc w:val="center"/>
        <w:outlineLvl w:val="0"/>
        <w:rPr>
          <w:rFonts w:ascii="仿宋_GB2312" w:hAnsi="Calibri" w:eastAsia="仿宋_GB2312" w:cs="仿宋"/>
          <w:color w:val="000000"/>
          <w:kern w:val="0"/>
          <w:sz w:val="44"/>
          <w:szCs w:val="44"/>
        </w:rPr>
      </w:pPr>
      <w:bookmarkStart w:id="177" w:name="_Toc27205"/>
      <w:bookmarkStart w:id="178" w:name="_Toc15396613"/>
      <w:bookmarkStart w:id="179" w:name="_Toc14596"/>
      <w:bookmarkStart w:id="180" w:name="_Toc18022"/>
      <w:bookmarkStart w:id="181" w:name="_Toc15377225"/>
      <w:bookmarkStart w:id="182" w:name="_Toc11519"/>
      <w:bookmarkStart w:id="183" w:name="_Toc23204"/>
      <w:bookmarkStart w:id="184" w:name="_Toc27399"/>
      <w:r>
        <w:rPr>
          <w:rFonts w:hint="eastAsia" w:ascii="仿宋_GB2312" w:hAnsi="Calibri" w:eastAsia="仿宋_GB2312" w:cs="仿宋"/>
          <w:color w:val="000000"/>
          <w:kern w:val="0"/>
          <w:sz w:val="44"/>
          <w:szCs w:val="44"/>
        </w:rPr>
        <w:t>名词解释</w:t>
      </w:r>
      <w:bookmarkEnd w:id="177"/>
      <w:bookmarkEnd w:id="178"/>
      <w:bookmarkEnd w:id="179"/>
      <w:bookmarkEnd w:id="180"/>
      <w:bookmarkEnd w:id="181"/>
      <w:bookmarkEnd w:id="182"/>
      <w:bookmarkEnd w:id="183"/>
      <w:bookmarkEnd w:id="184"/>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其他收入：指单位取得的除上述收入以外的各项收入。主要是利息等。</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拥军优属是指开展拥军优属活动支出。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退役安置是指退役士兵安置支出。</w:t>
      </w:r>
    </w:p>
    <w:p>
      <w:pPr>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优抚对象是指当兵退伍后属优抚人员支出。</w:t>
      </w:r>
    </w:p>
    <w:p>
      <w:pPr>
        <w:ind w:left="958" w:leftChars="304" w:hanging="320" w:hangingChars="100"/>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死亡抚恤是指按规定用于烈士和牺牲病故人员家属的一次性和定期抚恤金以及丧葬补助费。</w:t>
      </w:r>
    </w:p>
    <w:p>
      <w:pPr>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在乡复员退伍军人生活补助是指在乡退伍红军老战士生活补助。</w:t>
      </w:r>
    </w:p>
    <w:p>
      <w:pPr>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义务兵优待是指用于义务兵优待方面的支出。</w:t>
      </w:r>
    </w:p>
    <w:p>
      <w:pPr>
        <w:ind w:left="958" w:leftChars="304" w:hanging="320" w:hangingChars="1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农村籍退役士兵老年生活补助是指年龄在</w:t>
      </w:r>
      <w:r>
        <w:rPr>
          <w:rFonts w:ascii="仿宋_GB2312" w:eastAsia="仿宋_GB2312"/>
          <w:color w:val="000000"/>
          <w:sz w:val="32"/>
          <w:szCs w:val="32"/>
        </w:rPr>
        <w:t>60</w:t>
      </w:r>
      <w:r>
        <w:rPr>
          <w:rFonts w:hint="eastAsia" w:ascii="仿宋_GB2312" w:eastAsia="仿宋_GB2312"/>
          <w:color w:val="000000"/>
          <w:sz w:val="32"/>
          <w:szCs w:val="32"/>
        </w:rPr>
        <w:t>周岁及以上未享受到国家定期抚恤补助的农村籍退役士兵老年生活补助。</w:t>
      </w:r>
    </w:p>
    <w:p>
      <w:pPr>
        <w:ind w:left="958" w:leftChars="304" w:hanging="320" w:hangingChars="1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其他优抚支出是指除上述项目以外其他用于优抚方面的支出。</w:t>
      </w:r>
    </w:p>
    <w:p>
      <w:pPr>
        <w:ind w:left="958" w:leftChars="304" w:hanging="320" w:hangingChars="1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退役士兵安置是指按规定用于伤残义务兵的一次性建房补助、对符合条件的退役士兵和转业士官的安置支出。</w:t>
      </w:r>
      <w:r>
        <w:rPr>
          <w:rFonts w:ascii="仿宋_GB2312" w:eastAsia="仿宋_GB2312"/>
          <w:color w:val="000000"/>
          <w:sz w:val="32"/>
          <w:szCs w:val="32"/>
        </w:rPr>
        <w:t xml:space="preserve">          </w:t>
      </w:r>
    </w:p>
    <w:p>
      <w:pPr>
        <w:ind w:left="958" w:leftChars="304" w:hanging="320" w:hangingChars="1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军队移交政府的离退休人员安置是指移交政府军队离退休人员安置支出。</w:t>
      </w:r>
    </w:p>
    <w:p>
      <w:pPr>
        <w:ind w:left="958" w:leftChars="304" w:hanging="320" w:hangingChars="1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其他社会保障和就业支出是指其他用于社会保障合就业方面的支出。</w:t>
      </w:r>
    </w:p>
    <w:p>
      <w:pPr>
        <w:ind w:left="958" w:leftChars="304" w:hanging="320" w:hangingChars="1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行政事业单位医疗是指医疗卫生等管理事务方面支出。</w:t>
      </w:r>
    </w:p>
    <w:p>
      <w:pPr>
        <w:ind w:left="958" w:leftChars="304" w:hanging="320" w:hangingChars="1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优抚对象医疗补助是指优抚对象的医疗卫生方面支出。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ascii="仿宋_GB2312" w:eastAsia="仿宋_GB2312"/>
          <w:sz w:val="32"/>
          <w:szCs w:val="32"/>
        </w:rPr>
      </w:pPr>
    </w:p>
    <w:p>
      <w:pPr>
        <w:spacing w:line="600" w:lineRule="exact"/>
        <w:jc w:val="center"/>
        <w:outlineLvl w:val="9"/>
        <w:rPr>
          <w:rFonts w:ascii="黑体" w:hAnsi="黑体" w:eastAsia="黑体"/>
          <w:color w:val="000000"/>
          <w:sz w:val="44"/>
          <w:szCs w:val="44"/>
        </w:rPr>
      </w:pPr>
      <w:bookmarkStart w:id="185" w:name="_Toc15396614"/>
      <w:bookmarkStart w:id="186" w:name="_Toc1092"/>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0"/>
        <w:rPr>
          <w:rStyle w:val="17"/>
        </w:rPr>
      </w:pPr>
      <w:bookmarkStart w:id="187" w:name="_Toc21020"/>
      <w:bookmarkStart w:id="188" w:name="_Toc7924"/>
      <w:bookmarkStart w:id="189" w:name="_Toc29918"/>
      <w:bookmarkStart w:id="190" w:name="_Toc27998"/>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185"/>
      <w:bookmarkEnd w:id="186"/>
      <w:bookmarkEnd w:id="187"/>
      <w:bookmarkEnd w:id="188"/>
      <w:bookmarkEnd w:id="189"/>
      <w:bookmarkEnd w:id="190"/>
    </w:p>
    <w:p>
      <w:pPr>
        <w:pStyle w:val="4"/>
        <w:rPr>
          <w:rStyle w:val="17"/>
          <w:rFonts w:ascii="仿宋" w:hAnsi="仿宋" w:eastAsia="仿宋"/>
          <w:b w:val="0"/>
          <w:bCs w:val="0"/>
          <w:sz w:val="32"/>
          <w:szCs w:val="32"/>
        </w:rPr>
      </w:pPr>
      <w:bookmarkStart w:id="191" w:name="_Toc20811"/>
      <w:bookmarkStart w:id="192" w:name="_Toc22306"/>
      <w:bookmarkStart w:id="193" w:name="_Toc1602"/>
      <w:bookmarkStart w:id="194" w:name="_Toc27936"/>
      <w:bookmarkStart w:id="195" w:name="_Toc15396615"/>
      <w:bookmarkStart w:id="196" w:name="_Toc4860"/>
      <w:r>
        <w:rPr>
          <w:rStyle w:val="17"/>
          <w:rFonts w:hint="eastAsia" w:ascii="仿宋" w:hAnsi="仿宋" w:eastAsia="仿宋"/>
          <w:b w:val="0"/>
          <w:bCs w:val="0"/>
          <w:sz w:val="32"/>
          <w:szCs w:val="32"/>
        </w:rPr>
        <w:t>附件</w:t>
      </w:r>
      <w:r>
        <w:rPr>
          <w:rStyle w:val="17"/>
          <w:rFonts w:ascii="仿宋" w:hAnsi="仿宋" w:eastAsia="仿宋"/>
          <w:b w:val="0"/>
          <w:bCs w:val="0"/>
          <w:sz w:val="32"/>
          <w:szCs w:val="32"/>
        </w:rPr>
        <w:t>1</w:t>
      </w:r>
      <w:bookmarkEnd w:id="191"/>
      <w:bookmarkEnd w:id="192"/>
      <w:bookmarkEnd w:id="193"/>
      <w:bookmarkEnd w:id="194"/>
      <w:bookmarkEnd w:id="195"/>
      <w:bookmarkEnd w:id="196"/>
    </w:p>
    <w:p>
      <w:pPr>
        <w:widowControl/>
        <w:spacing w:line="480" w:lineRule="exact"/>
        <w:jc w:val="center"/>
        <w:rPr>
          <w:rFonts w:ascii="方正小标宋简体" w:hAnsi="宋体" w:eastAsia="方正小标宋简体" w:cs="方正小标宋简体"/>
          <w:sz w:val="44"/>
          <w:szCs w:val="44"/>
        </w:rPr>
      </w:pPr>
      <w:bookmarkStart w:id="197" w:name="_Toc15396617"/>
      <w:r>
        <w:rPr>
          <w:rFonts w:hint="eastAsia" w:ascii="方正小标宋简体" w:hAnsi="宋体" w:eastAsia="方正小标宋简体" w:cs="方正小标宋简体"/>
          <w:sz w:val="44"/>
          <w:szCs w:val="44"/>
        </w:rPr>
        <w:t>退役军人事务局整体支出绩效评价报告</w:t>
      </w:r>
    </w:p>
    <w:p>
      <w:pPr>
        <w:widowControl/>
        <w:adjustRightInd w:val="0"/>
        <w:snapToGrid w:val="0"/>
        <w:spacing w:line="480" w:lineRule="exact"/>
        <w:jc w:val="left"/>
        <w:rPr>
          <w:rFonts w:ascii="宋体" w:cs="宋体"/>
          <w:b/>
          <w:bCs/>
          <w:kern w:val="0"/>
          <w:sz w:val="28"/>
          <w:szCs w:val="28"/>
        </w:rPr>
      </w:pPr>
    </w:p>
    <w:p>
      <w:pPr>
        <w:widowControl/>
        <w:adjustRightInd w:val="0"/>
        <w:snapToGrid w:val="0"/>
        <w:spacing w:line="480" w:lineRule="exact"/>
        <w:ind w:firstLine="840" w:firstLineChars="300"/>
        <w:jc w:val="left"/>
        <w:rPr>
          <w:rFonts w:hint="eastAsia" w:ascii="黑体" w:hAnsi="黑体" w:eastAsia="黑体" w:cs="黑体"/>
          <w:b w:val="0"/>
          <w:bCs w:val="0"/>
          <w:sz w:val="32"/>
          <w:szCs w:val="32"/>
        </w:rPr>
      </w:pPr>
      <w:r>
        <w:rPr>
          <w:rFonts w:hint="eastAsia" w:ascii="黑体" w:hAnsi="黑体" w:eastAsia="黑体" w:cs="黑体"/>
          <w:b w:val="0"/>
          <w:bCs w:val="0"/>
          <w:kern w:val="0"/>
          <w:sz w:val="28"/>
          <w:szCs w:val="28"/>
        </w:rPr>
        <w:t>一、</w:t>
      </w:r>
      <w:r>
        <w:rPr>
          <w:rFonts w:hint="eastAsia" w:ascii="黑体" w:hAnsi="黑体" w:eastAsia="黑体" w:cs="黑体"/>
          <w:b w:val="0"/>
          <w:bCs w:val="0"/>
          <w:kern w:val="0"/>
          <w:sz w:val="28"/>
          <w:szCs w:val="28"/>
          <w:lang w:val="zh-CN"/>
        </w:rPr>
        <w:t>部门（单位）概况</w:t>
      </w:r>
    </w:p>
    <w:p>
      <w:pPr>
        <w:pStyle w:val="33"/>
        <w:widowControl w:val="0"/>
        <w:snapToGrid w:val="0"/>
        <w:spacing w:before="0" w:after="0" w:line="600" w:lineRule="exact"/>
        <w:ind w:firstLine="956" w:firstLineChars="299"/>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月初，在红原县委县政府的精心安排和筹备下，组建了由一名副县长担任组长，其他六名为成员的红原县退役军人事务局筹备组，积极筹备组建退役军人的基础性工作。办公场所、办公设备准备完备，率先在</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3</w:t>
      </w:r>
      <w:r>
        <w:rPr>
          <w:rFonts w:hint="eastAsia" w:ascii="仿宋" w:hAnsi="仿宋" w:eastAsia="仿宋"/>
          <w:sz w:val="32"/>
          <w:szCs w:val="32"/>
        </w:rPr>
        <w:t>月</w:t>
      </w:r>
      <w:r>
        <w:rPr>
          <w:rFonts w:ascii="仿宋" w:hAnsi="仿宋" w:eastAsia="仿宋"/>
          <w:sz w:val="32"/>
          <w:szCs w:val="32"/>
        </w:rPr>
        <w:t>7</w:t>
      </w:r>
      <w:r>
        <w:rPr>
          <w:rFonts w:hint="eastAsia" w:ascii="仿宋" w:hAnsi="仿宋" w:eastAsia="仿宋"/>
          <w:sz w:val="32"/>
          <w:szCs w:val="32"/>
        </w:rPr>
        <w:t>日挂牌成立红原县退役军人事务局。同时积极拟定三定方案，制定相关制度和工作职责，做到遵守纪律，强化工作作风，有条不紊的完成了红原县退役军人事务局成立和后续工作的开展。</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5</w:t>
      </w:r>
      <w:r>
        <w:rPr>
          <w:rFonts w:hint="eastAsia" w:ascii="仿宋" w:hAnsi="仿宋" w:eastAsia="仿宋"/>
          <w:sz w:val="32"/>
          <w:szCs w:val="32"/>
        </w:rPr>
        <w:t>月</w:t>
      </w:r>
      <w:r>
        <w:rPr>
          <w:rFonts w:ascii="仿宋" w:hAnsi="仿宋" w:eastAsia="仿宋"/>
          <w:sz w:val="32"/>
          <w:szCs w:val="32"/>
        </w:rPr>
        <w:t>27</w:t>
      </w:r>
      <w:r>
        <w:rPr>
          <w:rFonts w:hint="eastAsia" w:ascii="仿宋" w:hAnsi="仿宋" w:eastAsia="仿宋"/>
          <w:sz w:val="32"/>
          <w:szCs w:val="32"/>
        </w:rPr>
        <w:t>日最先在全州挂牌成立红原县退役军人事服务中心。于</w:t>
      </w:r>
      <w:r>
        <w:rPr>
          <w:rFonts w:ascii="仿宋" w:hAnsi="仿宋" w:eastAsia="仿宋"/>
          <w:sz w:val="32"/>
          <w:szCs w:val="32"/>
        </w:rPr>
        <w:t>6</w:t>
      </w:r>
      <w:r>
        <w:rPr>
          <w:rFonts w:hint="eastAsia" w:ascii="仿宋" w:hAnsi="仿宋" w:eastAsia="仿宋"/>
          <w:sz w:val="32"/>
          <w:szCs w:val="32"/>
        </w:rPr>
        <w:t>月</w:t>
      </w:r>
      <w:r>
        <w:rPr>
          <w:rFonts w:ascii="仿宋" w:hAnsi="仿宋" w:eastAsia="仿宋"/>
          <w:sz w:val="32"/>
          <w:szCs w:val="32"/>
        </w:rPr>
        <w:t>14</w:t>
      </w:r>
      <w:r>
        <w:rPr>
          <w:rFonts w:hint="eastAsia" w:ascii="仿宋" w:hAnsi="仿宋" w:eastAsia="仿宋"/>
          <w:sz w:val="32"/>
          <w:szCs w:val="32"/>
        </w:rPr>
        <w:t>承办了阿坝州退役军人系统信访工作会议。</w:t>
      </w:r>
    </w:p>
    <w:p>
      <w:pPr>
        <w:widowControl/>
        <w:adjustRightInd w:val="0"/>
        <w:snapToGrid w:val="0"/>
        <w:spacing w:line="480" w:lineRule="exact"/>
        <w:ind w:firstLine="640" w:firstLineChars="200"/>
        <w:jc w:val="left"/>
        <w:rPr>
          <w:rStyle w:val="18"/>
          <w:rFonts w:hint="eastAsia" w:ascii="黑体" w:hAnsi="黑体" w:eastAsia="黑体" w:cs="黑体"/>
          <w:b w:val="0"/>
          <w:bCs/>
          <w:color w:val="000000"/>
          <w:kern w:val="0"/>
          <w:lang w:val="zh-CN"/>
        </w:rPr>
      </w:pPr>
      <w:r>
        <w:rPr>
          <w:rFonts w:hint="eastAsia" w:ascii="黑体" w:hAnsi="黑体" w:eastAsia="黑体" w:cs="黑体"/>
          <w:b w:val="0"/>
          <w:bCs/>
          <w:sz w:val="32"/>
          <w:szCs w:val="32"/>
        </w:rPr>
        <w:t>二、机</w:t>
      </w:r>
      <w:r>
        <w:rPr>
          <w:rStyle w:val="18"/>
          <w:rFonts w:hint="eastAsia" w:ascii="黑体" w:hAnsi="黑体" w:eastAsia="黑体" w:cs="黑体"/>
          <w:b w:val="0"/>
          <w:bCs/>
        </w:rPr>
        <w:t>构设置</w:t>
      </w:r>
    </w:p>
    <w:p>
      <w:pPr>
        <w:widowControl/>
        <w:spacing w:line="60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我局下设办公室，综合业务股。县退役军人局行政编制</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名。其中，局长</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名，副局长</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名。股室级领导职数</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名。</w:t>
      </w:r>
    </w:p>
    <w:p>
      <w:pPr>
        <w:rPr>
          <w:rFonts w:ascii="黑体" w:hAnsi="宋体" w:eastAsia="黑体" w:cs="宋体"/>
          <w:color w:val="000000"/>
          <w:kern w:val="0"/>
          <w:sz w:val="32"/>
        </w:rPr>
      </w:pPr>
      <w:r>
        <w:rPr>
          <w:rFonts w:hint="eastAsia" w:ascii="仿宋_GB2312" w:hAnsi="仿宋_GB2312" w:eastAsia="仿宋_GB2312" w:cs="仿宋_GB2312"/>
          <w:sz w:val="32"/>
          <w:szCs w:val="32"/>
        </w:rPr>
        <w:t>机关工勤人员事业编制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w:t>
      </w:r>
      <w:r>
        <w:rPr>
          <w:rFonts w:hint="eastAsia" w:ascii="仿宋" w:hAnsi="仿宋" w:eastAsia="仿宋"/>
          <w:color w:val="000000"/>
          <w:sz w:val="32"/>
          <w:szCs w:val="32"/>
        </w:rPr>
        <w:t>纳入红原县退役军人事务局</w:t>
      </w:r>
      <w:r>
        <w:rPr>
          <w:rFonts w:ascii="仿宋" w:hAnsi="仿宋" w:eastAsia="仿宋"/>
          <w:color w:val="000000"/>
          <w:sz w:val="32"/>
          <w:szCs w:val="32"/>
        </w:rPr>
        <w:t>2019</w:t>
      </w:r>
      <w:r>
        <w:rPr>
          <w:rFonts w:hint="eastAsia" w:ascii="仿宋" w:hAnsi="仿宋" w:eastAsia="仿宋"/>
          <w:color w:val="000000"/>
          <w:sz w:val="32"/>
          <w:szCs w:val="32"/>
        </w:rPr>
        <w:t>年度部门决算编制范围的二级预算单位包括：</w:t>
      </w:r>
    </w:p>
    <w:p>
      <w:pPr>
        <w:widowControl/>
        <w:spacing w:line="600" w:lineRule="exact"/>
        <w:ind w:firstLine="643" w:firstLineChars="200"/>
        <w:jc w:val="left"/>
        <w:rPr>
          <w:rFonts w:ascii="仿宋_GB2312" w:hAnsi="仿宋" w:eastAsia="仿宋_GB2312"/>
          <w:color w:val="000000"/>
          <w:sz w:val="32"/>
          <w:szCs w:val="32"/>
        </w:rPr>
      </w:pPr>
      <w:r>
        <w:rPr>
          <w:rFonts w:hint="eastAsia" w:ascii="楷体" w:hAnsi="楷体" w:eastAsia="楷体" w:cs="楷体"/>
          <w:b/>
          <w:bCs/>
          <w:color w:val="000000"/>
          <w:sz w:val="32"/>
          <w:szCs w:val="32"/>
        </w:rPr>
        <w:t>（一）办公室。</w:t>
      </w:r>
      <w:r>
        <w:rPr>
          <w:rFonts w:hint="eastAsia" w:ascii="仿宋_GB2312" w:hAnsi="仿宋" w:eastAsia="仿宋_GB2312"/>
          <w:color w:val="000000"/>
          <w:sz w:val="32"/>
          <w:szCs w:val="32"/>
        </w:rPr>
        <w:t>负责文电、会务、档案、机要等机关日常运转工作。承担保密、信息、绩效管理、政务公开、有关综合性文稿起草和史志编纂工作。组织办理人大代表建议、政协委员提案。负责机关和直属单位的机构编制、干部人事、教育培训、离退休人员和内部审计工作，指导本系统人才队伍建设。拟订退役军人事业发展规划、年度计划，贯彻执行国家退役军人管理保障基础设施建设标准，指导和监督退役军人事业资金管理。承担机关财务、政府采购、资产管理、信息化建设等工作。组织、指导退役军人综合服务体系建设。</w:t>
      </w:r>
      <w:r>
        <w:rPr>
          <w:rFonts w:hint="eastAsia" w:ascii="仿宋_GB2312" w:hAnsi="仿宋" w:eastAsia="仿宋_GB2312"/>
          <w:sz w:val="32"/>
          <w:szCs w:val="32"/>
        </w:rPr>
        <w:t>承担退役军人思想政治、舆论宣传工作，配合指导退役军人党建工作，指导退役军人党员教育管理工作。负责机关和直属单位党群工作。承担退役军人信访工作，研究分析全县退役军人</w:t>
      </w:r>
      <w:r>
        <w:rPr>
          <w:rFonts w:hint="default" w:ascii="仿宋_GB2312" w:hAnsi="仿宋" w:eastAsia="仿宋_GB2312"/>
          <w:sz w:val="32"/>
          <w:szCs w:val="32"/>
        </w:rPr>
        <w:t>信访</w:t>
      </w:r>
      <w:r>
        <w:rPr>
          <w:rFonts w:hint="eastAsia" w:ascii="仿宋_GB2312" w:hAnsi="仿宋" w:eastAsia="仿宋_GB2312"/>
          <w:sz w:val="32"/>
          <w:szCs w:val="32"/>
        </w:rPr>
        <w:t>工作情况，负责有关信访事项的接待、处理和答复，督查督办重大信访案件。推动建立全县退役军人事务应急联动机制，协调处理有关突发事件。负责退役军人事务相关舆情工作。</w:t>
      </w:r>
    </w:p>
    <w:p>
      <w:pPr>
        <w:widowControl/>
        <w:adjustRightInd w:val="0"/>
        <w:snapToGrid w:val="0"/>
        <w:spacing w:line="480" w:lineRule="exact"/>
        <w:ind w:firstLine="720"/>
        <w:jc w:val="left"/>
        <w:rPr>
          <w:rFonts w:ascii="仿宋_GB2312" w:hAnsi="仿宋" w:eastAsia="仿宋_GB2312"/>
          <w:color w:val="000000"/>
          <w:sz w:val="32"/>
          <w:szCs w:val="32"/>
        </w:rPr>
      </w:pPr>
      <w:r>
        <w:rPr>
          <w:rFonts w:hint="eastAsia" w:ascii="楷体" w:hAnsi="楷体" w:eastAsia="楷体" w:cs="楷体"/>
          <w:b/>
          <w:bCs/>
          <w:color w:val="000000"/>
          <w:sz w:val="32"/>
          <w:szCs w:val="32"/>
        </w:rPr>
        <w:t>（二）综合业务股。</w:t>
      </w:r>
      <w:r>
        <w:rPr>
          <w:rFonts w:hint="eastAsia" w:ascii="仿宋_GB2312" w:hAnsi="仿宋" w:eastAsia="仿宋_GB2312"/>
          <w:color w:val="000000"/>
          <w:sz w:val="32"/>
          <w:szCs w:val="32"/>
        </w:rPr>
        <w:t>拟订计划分配的军队转业干部、符合政府安排工作条件的退役士兵接收安置、教育培训政策和年度安置计划并组织实施，承担省、州驻县单位军队转业干部、退役士兵的计划安置、计划外选调和培训工作。负责移交地方的军队离休干部、无军籍退休退职职工和符合条件的其他退役军人的移交安置、服务管理工作。负责自主择业军队转业干部、复员干部、自主就业退役士兵的服务管理，承担接收移交安置、就业创业扶持和教育培训工作，拟订就业创业年度计划并组织实施。指导开展有关中介服务工作。组织、协调落实退役军人社会保险等待遇保障工作。承担随军随调家属就业创业扶持工作。指导并监督检查安置相关法律法规和政策措施的落实，承担退役军人权益维护和有关人员的帮扶援助工作。组织、指导全县拥军优属工作，承担现役军人、退役军人、军队文职人员和军属优待、抚恤等工作。组织、协调落实退役军人住房、医疗保障工作，贯彻执行国家有关退役军人医疗、疗养、养老等政策。负责不适宜继续服役的伤病残军人移交安置、退休安置、供养等工作。贯彻执行国民党抗战老兵等有关人员优待政策。承担退役军人总结表彰、荣誉奖励和烈士褒扬、纪念设施管理保护工作，依法承担英雄烈士保护相关工作。拟订全县军人公墓和烈士纪念设施建设规划、管理维护等政策并组织实施，承担烈士评定和向上报备工作，组织、指导英雄烈士纪念工作，负责退役军人事务对外交流与合作。贯彻优抚相关法律法规和政策措施的落实，承担退役军人权益维护和有关人员的帮扶援助工作。</w:t>
      </w:r>
    </w:p>
    <w:p>
      <w:pPr>
        <w:pStyle w:val="2"/>
        <w:ind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三、人员概况：</w:t>
      </w:r>
    </w:p>
    <w:p>
      <w:pPr>
        <w:pStyle w:val="2"/>
        <w:ind w:firstLine="640" w:firstLineChars="200"/>
        <w:rPr>
          <w:rFonts w:ascii="仿宋_GB2312" w:hAnsi="仿宋" w:eastAsia="仿宋_GB2312"/>
          <w:b/>
          <w:bCs/>
          <w:color w:val="000000"/>
          <w:sz w:val="32"/>
          <w:szCs w:val="32"/>
        </w:rPr>
      </w:pPr>
      <w:r>
        <w:rPr>
          <w:rFonts w:hint="eastAsia" w:ascii="仿宋_GB2312" w:hAnsi="仿宋_GB2312" w:eastAsia="仿宋_GB2312" w:cs="仿宋_GB2312"/>
          <w:bCs/>
          <w:sz w:val="32"/>
          <w:szCs w:val="32"/>
        </w:rPr>
        <w:t>我单位为独立核算全额拨款行政（参公或行政或事业）单位，下设</w:t>
      </w:r>
      <w:r>
        <w:rPr>
          <w:rFonts w:ascii="仿宋_GB2312" w:hAnsi="仿宋_GB2312" w:eastAsia="仿宋_GB2312" w:cs="仿宋_GB2312"/>
          <w:bCs/>
          <w:sz w:val="32"/>
          <w:szCs w:val="32"/>
        </w:rPr>
        <w:t>0</w:t>
      </w:r>
      <w:r>
        <w:rPr>
          <w:rFonts w:hint="eastAsia" w:ascii="仿宋_GB2312" w:hAnsi="仿宋_GB2312" w:eastAsia="仿宋_GB2312" w:cs="仿宋_GB2312"/>
          <w:bCs/>
          <w:sz w:val="32"/>
          <w:szCs w:val="32"/>
        </w:rPr>
        <w:t>机构。截止</w:t>
      </w:r>
      <w:r>
        <w:rPr>
          <w:rFonts w:ascii="仿宋_GB2312" w:hAnsi="仿宋_GB2312" w:eastAsia="仿宋_GB2312" w:cs="仿宋_GB2312"/>
          <w:bCs/>
          <w:sz w:val="32"/>
          <w:szCs w:val="32"/>
        </w:rPr>
        <w:t>2019</w:t>
      </w:r>
      <w:r>
        <w:rPr>
          <w:rFonts w:hint="eastAsia" w:ascii="仿宋_GB2312" w:hAnsi="仿宋_GB2312" w:eastAsia="仿宋_GB2312" w:cs="仿宋_GB2312"/>
          <w:bCs/>
          <w:sz w:val="32"/>
          <w:szCs w:val="32"/>
        </w:rPr>
        <w:t>年底我单位共有编制</w:t>
      </w:r>
      <w:r>
        <w:rPr>
          <w:rFonts w:ascii="仿宋_GB2312" w:hAnsi="仿宋_GB2312" w:eastAsia="仿宋_GB2312" w:cs="仿宋_GB2312"/>
          <w:bCs/>
          <w:sz w:val="32"/>
          <w:szCs w:val="32"/>
        </w:rPr>
        <w:t>8</w:t>
      </w:r>
      <w:r>
        <w:rPr>
          <w:rFonts w:hint="eastAsia" w:ascii="仿宋_GB2312" w:hAnsi="仿宋_GB2312" w:eastAsia="仿宋_GB2312" w:cs="仿宋_GB2312"/>
          <w:bCs/>
          <w:sz w:val="32"/>
          <w:szCs w:val="32"/>
        </w:rPr>
        <w:t>个，其中公务员编制</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个，行政工勤编制</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个，事业编制</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个，在职</w:t>
      </w:r>
      <w:r>
        <w:rPr>
          <w:rFonts w:ascii="仿宋_GB2312" w:hAnsi="仿宋_GB2312" w:eastAsia="仿宋_GB2312" w:cs="仿宋_GB2312"/>
          <w:bCs/>
          <w:sz w:val="32"/>
          <w:szCs w:val="32"/>
        </w:rPr>
        <w:t>8</w:t>
      </w:r>
      <w:r>
        <w:rPr>
          <w:rFonts w:hint="eastAsia" w:ascii="仿宋_GB2312" w:hAnsi="仿宋_GB2312" w:eastAsia="仿宋_GB2312" w:cs="仿宋_GB2312"/>
          <w:bCs/>
          <w:sz w:val="32"/>
          <w:szCs w:val="32"/>
        </w:rPr>
        <w:t>人，其中参公</w:t>
      </w:r>
      <w:r>
        <w:rPr>
          <w:rFonts w:ascii="仿宋_GB2312" w:hAnsi="仿宋_GB2312" w:eastAsia="仿宋_GB2312" w:cs="仿宋_GB2312"/>
          <w:bCs/>
          <w:sz w:val="32"/>
          <w:szCs w:val="32"/>
        </w:rPr>
        <w:t>0</w:t>
      </w:r>
      <w:r>
        <w:rPr>
          <w:rFonts w:hint="eastAsia" w:ascii="仿宋_GB2312" w:hAnsi="仿宋_GB2312" w:eastAsia="仿宋_GB2312" w:cs="仿宋_GB2312"/>
          <w:bCs/>
          <w:sz w:val="32"/>
          <w:szCs w:val="32"/>
        </w:rPr>
        <w:t>人，公务员</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人，事业编制</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人。</w:t>
      </w:r>
    </w:p>
    <w:p>
      <w:pPr>
        <w:widowControl/>
        <w:adjustRightInd w:val="0"/>
        <w:snapToGrid w:val="0"/>
        <w:spacing w:line="480" w:lineRule="exact"/>
        <w:ind w:firstLine="640" w:firstLineChars="200"/>
        <w:jc w:val="left"/>
        <w:rPr>
          <w:rFonts w:ascii="黑体" w:hAnsi="宋体" w:eastAsia="黑体" w:cs="宋体"/>
          <w:color w:val="000000"/>
          <w:kern w:val="0"/>
        </w:rPr>
      </w:pPr>
      <w:r>
        <w:rPr>
          <w:rFonts w:hint="eastAsia" w:ascii="黑体" w:hAnsi="宋体" w:eastAsia="黑体" w:cs="宋体"/>
          <w:color w:val="000000"/>
          <w:kern w:val="0"/>
          <w:sz w:val="32"/>
        </w:rPr>
        <w:t>四、部门财政资金收支情况</w:t>
      </w:r>
    </w:p>
    <w:p>
      <w:pPr>
        <w:widowControl/>
        <w:adjustRightInd w:val="0"/>
        <w:snapToGrid w:val="0"/>
        <w:spacing w:line="480" w:lineRule="exact"/>
        <w:ind w:firstLine="640" w:firstLineChars="20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widowControl/>
        <w:adjustRightInd w:val="0"/>
        <w:snapToGrid w:val="0"/>
        <w:spacing w:line="480" w:lineRule="exact"/>
        <w:ind w:firstLine="720"/>
        <w:jc w:val="left"/>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年本年收入合计</w:t>
      </w:r>
      <w:r>
        <w:rPr>
          <w:rFonts w:ascii="仿宋" w:hAnsi="仿宋" w:eastAsia="仿宋"/>
          <w:color w:val="000000"/>
          <w:sz w:val="32"/>
          <w:szCs w:val="32"/>
        </w:rPr>
        <w:t>761.13</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761.13</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widowControl/>
        <w:adjustRightInd w:val="0"/>
        <w:snapToGrid w:val="0"/>
        <w:spacing w:line="480" w:lineRule="exact"/>
        <w:ind w:firstLine="640" w:firstLineChars="200"/>
        <w:jc w:val="left"/>
        <w:rPr>
          <w:lang w:val="zh-CN"/>
        </w:rPr>
      </w:pPr>
      <w:r>
        <w:rPr>
          <w:rFonts w:hint="eastAsia" w:ascii="仿宋_GB2312" w:hAnsi="宋体" w:eastAsia="仿宋_GB2312" w:cs="宋体"/>
          <w:color w:val="000000"/>
          <w:kern w:val="0"/>
          <w:sz w:val="32"/>
          <w:lang w:val="zh-CN"/>
        </w:rPr>
        <w:t>（</w:t>
      </w:r>
      <w:r>
        <w:rPr>
          <w:rFonts w:hint="eastAsia" w:ascii="仿宋_GB2312" w:hAnsi="宋体" w:eastAsia="仿宋_GB2312" w:cs="宋体"/>
          <w:color w:val="000000"/>
          <w:kern w:val="0"/>
          <w:sz w:val="32"/>
        </w:rPr>
        <w:t>二</w:t>
      </w:r>
      <w:r>
        <w:rPr>
          <w:rFonts w:hint="eastAsia" w:ascii="仿宋_GB2312" w:hAnsi="宋体" w:eastAsia="仿宋_GB2312" w:cs="宋体"/>
          <w:color w:val="000000"/>
          <w:kern w:val="0"/>
          <w:sz w:val="32"/>
          <w:lang w:val="zh-CN"/>
        </w:rPr>
        <w:t>）部门财政资金支出情况：</w:t>
      </w:r>
    </w:p>
    <w:p>
      <w:pPr>
        <w:widowControl/>
        <w:adjustRightInd w:val="0"/>
        <w:snapToGrid w:val="0"/>
        <w:spacing w:line="480" w:lineRule="exact"/>
        <w:ind w:firstLine="640" w:firstLineChars="200"/>
        <w:jc w:val="left"/>
        <w:rPr>
          <w:lang w:val="zh-CN"/>
        </w:rPr>
      </w:pPr>
      <w:r>
        <w:rPr>
          <w:rFonts w:ascii="仿宋" w:hAnsi="仿宋" w:eastAsia="仿宋"/>
          <w:color w:val="000000"/>
          <w:sz w:val="32"/>
          <w:szCs w:val="32"/>
        </w:rPr>
        <w:t>2019</w:t>
      </w:r>
      <w:r>
        <w:rPr>
          <w:rFonts w:hint="eastAsia" w:ascii="仿宋" w:hAnsi="仿宋" w:eastAsia="仿宋"/>
          <w:color w:val="000000"/>
          <w:sz w:val="32"/>
          <w:szCs w:val="32"/>
        </w:rPr>
        <w:t>年本年支出合计</w:t>
      </w:r>
      <w:r>
        <w:rPr>
          <w:rFonts w:ascii="仿宋" w:hAnsi="仿宋" w:eastAsia="仿宋"/>
          <w:color w:val="000000"/>
          <w:sz w:val="32"/>
          <w:szCs w:val="32"/>
        </w:rPr>
        <w:t>783.87</w:t>
      </w:r>
      <w:r>
        <w:rPr>
          <w:rFonts w:hint="eastAsia" w:ascii="仿宋" w:hAnsi="仿宋" w:eastAsia="仿宋"/>
          <w:color w:val="000000"/>
          <w:sz w:val="32"/>
          <w:szCs w:val="32"/>
        </w:rPr>
        <w:t>万元，其中：基本支出</w:t>
      </w:r>
      <w:r>
        <w:rPr>
          <w:rFonts w:ascii="仿宋" w:hAnsi="仿宋" w:eastAsia="仿宋"/>
          <w:color w:val="000000"/>
          <w:sz w:val="32"/>
          <w:szCs w:val="32"/>
        </w:rPr>
        <w:t>105.70</w:t>
      </w:r>
      <w:r>
        <w:rPr>
          <w:rFonts w:hint="eastAsia" w:ascii="仿宋" w:hAnsi="仿宋" w:eastAsia="仿宋"/>
          <w:color w:val="000000"/>
          <w:sz w:val="32"/>
          <w:szCs w:val="32"/>
        </w:rPr>
        <w:t>万元，占</w:t>
      </w:r>
      <w:r>
        <w:rPr>
          <w:rFonts w:ascii="仿宋" w:hAnsi="仿宋" w:eastAsia="仿宋"/>
          <w:color w:val="000000"/>
          <w:sz w:val="32"/>
          <w:szCs w:val="32"/>
        </w:rPr>
        <w:t>10.76%</w:t>
      </w:r>
      <w:r>
        <w:rPr>
          <w:rFonts w:hint="eastAsia" w:ascii="仿宋" w:hAnsi="仿宋" w:eastAsia="仿宋"/>
          <w:color w:val="000000"/>
          <w:sz w:val="32"/>
          <w:szCs w:val="32"/>
        </w:rPr>
        <w:t>；项目支出</w:t>
      </w:r>
      <w:r>
        <w:rPr>
          <w:rFonts w:ascii="仿宋" w:hAnsi="仿宋" w:eastAsia="仿宋"/>
          <w:color w:val="000000"/>
          <w:sz w:val="32"/>
          <w:szCs w:val="32"/>
        </w:rPr>
        <w:t>678.17</w:t>
      </w:r>
      <w:r>
        <w:rPr>
          <w:rFonts w:hint="eastAsia" w:ascii="仿宋" w:hAnsi="仿宋" w:eastAsia="仿宋"/>
          <w:color w:val="000000"/>
          <w:sz w:val="32"/>
          <w:szCs w:val="32"/>
        </w:rPr>
        <w:t>万元，占</w:t>
      </w:r>
      <w:r>
        <w:rPr>
          <w:rFonts w:ascii="仿宋" w:hAnsi="仿宋" w:eastAsia="仿宋"/>
          <w:color w:val="000000"/>
          <w:sz w:val="32"/>
          <w:szCs w:val="32"/>
        </w:rPr>
        <w:t>89.24%</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widowControl/>
        <w:adjustRightInd w:val="0"/>
        <w:snapToGrid w:val="0"/>
        <w:spacing w:line="580" w:lineRule="exact"/>
        <w:ind w:firstLine="640" w:firstLineChars="200"/>
        <w:contextualSpacing/>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五、部门整体预算绩效管理情况</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（一）部门预算管理。</w:t>
      </w:r>
    </w:p>
    <w:p>
      <w:pPr>
        <w:pStyle w:val="2"/>
        <w:ind w:firstLine="640" w:firstLineChars="200"/>
        <w:rPr>
          <w:rFonts w:ascii="仿宋_GB2312" w:hAnsi="宋体" w:eastAsia="仿宋_GB2312" w:cs="宋体"/>
          <w:color w:val="000000"/>
          <w:sz w:val="32"/>
          <w:szCs w:val="32"/>
          <w:shd w:val="clear" w:color="auto" w:fill="FFFFFF"/>
          <w:lang w:val="zh-CN"/>
        </w:rPr>
      </w:pPr>
      <w:r>
        <w:rPr>
          <w:rFonts w:hint="eastAsia" w:ascii="仿宋_GB2312" w:hAnsi="仿宋_GB2312" w:eastAsia="仿宋_GB2312" w:cs="仿宋_GB2312"/>
          <w:sz w:val="32"/>
          <w:szCs w:val="32"/>
        </w:rPr>
        <w:t>根据预算绩效管理要求，本部门在年初预算编制阶段，组织、项目开展了预算事前绩效评估，对</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个项目开展了绩效目标完成情况梳理填报。</w:t>
      </w:r>
      <w:r>
        <w:rPr>
          <w:rFonts w:hint="eastAsia" w:ascii="仿宋_GB2312" w:hAnsi="宋体" w:eastAsia="仿宋_GB2312" w:cs="宋体"/>
          <w:color w:val="000000"/>
          <w:sz w:val="32"/>
          <w:szCs w:val="32"/>
          <w:shd w:val="clear" w:color="auto" w:fill="FFFFFF"/>
          <w:lang w:val="zh-CN"/>
        </w:rPr>
        <w:t>预算编制准确：</w:t>
      </w:r>
      <w:r>
        <w:rPr>
          <w:rFonts w:ascii="仿宋_GB2312" w:hAnsi="宋体" w:eastAsia="仿宋_GB2312" w:cs="宋体"/>
          <w:color w:val="000000"/>
          <w:sz w:val="32"/>
          <w:szCs w:val="32"/>
          <w:shd w:val="clear" w:color="auto" w:fill="FFFFFF"/>
        </w:rPr>
        <w:t>1</w:t>
      </w:r>
      <w:r>
        <w:rPr>
          <w:rFonts w:hint="eastAsia" w:ascii="仿宋_GB2312" w:hAnsi="宋体" w:eastAsia="仿宋_GB2312" w:cs="宋体"/>
          <w:color w:val="000000"/>
          <w:sz w:val="32"/>
          <w:szCs w:val="32"/>
          <w:shd w:val="clear" w:color="auto" w:fill="FFFFFF"/>
        </w:rPr>
        <w:t>、</w:t>
      </w:r>
      <w:r>
        <w:rPr>
          <w:rFonts w:hint="eastAsia" w:ascii="仿宋_GB2312" w:hAnsi="仿宋_GB2312" w:eastAsia="仿宋_GB2312" w:cs="仿宋_GB2312"/>
          <w:sz w:val="32"/>
          <w:szCs w:val="32"/>
        </w:rPr>
        <w:t>义务兵优待金项目全年预算数</w:t>
      </w:r>
      <w:r>
        <w:rPr>
          <w:rFonts w:ascii="仿宋_GB2312" w:hAnsi="仿宋_GB2312" w:eastAsia="仿宋_GB2312" w:cs="仿宋_GB2312"/>
          <w:sz w:val="32"/>
          <w:szCs w:val="32"/>
        </w:rPr>
        <w:t>7.44</w:t>
      </w:r>
      <w:r>
        <w:rPr>
          <w:rFonts w:hint="eastAsia" w:ascii="仿宋_GB2312" w:hAnsi="仿宋_GB2312" w:eastAsia="仿宋_GB2312" w:cs="仿宋_GB2312"/>
          <w:sz w:val="32"/>
          <w:szCs w:val="32"/>
        </w:rPr>
        <w:t>万元，执行数</w:t>
      </w:r>
      <w:r>
        <w:rPr>
          <w:rFonts w:ascii="仿宋_GB2312" w:hAnsi="仿宋_GB2312" w:eastAsia="仿宋_GB2312" w:cs="仿宋_GB2312"/>
          <w:sz w:val="32"/>
          <w:szCs w:val="32"/>
        </w:rPr>
        <w:t>7.44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。通过项目实施，保障落实政策。</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退役安置项目全年预算数</w:t>
      </w:r>
      <w:r>
        <w:rPr>
          <w:rFonts w:ascii="仿宋_GB2312" w:hAnsi="仿宋_GB2312" w:eastAsia="仿宋_GB2312" w:cs="仿宋_GB2312"/>
          <w:sz w:val="32"/>
          <w:szCs w:val="32"/>
        </w:rPr>
        <w:t>524.81</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524.81</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。通过项目实施，保障退役安置扎实开展。</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其他生活救助。项目全年预算数</w:t>
      </w:r>
      <w:r>
        <w:rPr>
          <w:rFonts w:ascii="仿宋_GB2312" w:hAnsi="仿宋_GB2312" w:eastAsia="仿宋_GB2312" w:cs="仿宋_GB2312"/>
          <w:sz w:val="32"/>
          <w:szCs w:val="32"/>
        </w:rPr>
        <w:t>0.08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0.08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。通过项目实施，切实保障困难军人基本生活。</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拥军优属项目全年预算数</w:t>
      </w:r>
      <w:r>
        <w:rPr>
          <w:rFonts w:ascii="仿宋_GB2312" w:hAnsi="仿宋_GB2312" w:eastAsia="仿宋_GB2312" w:cs="仿宋_GB2312"/>
          <w:sz w:val="32"/>
          <w:szCs w:val="32"/>
        </w:rPr>
        <w:t>5.23</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5.23</w:t>
      </w:r>
      <w:r>
        <w:rPr>
          <w:rFonts w:hint="eastAsia" w:ascii="仿宋_GB2312" w:hAnsi="仿宋_GB2312" w:eastAsia="仿宋_GB2312" w:cs="仿宋_GB2312"/>
          <w:sz w:val="32"/>
          <w:szCs w:val="32"/>
        </w:rPr>
        <w:t>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宋体" w:eastAsia="仿宋_GB2312" w:cs="宋体"/>
          <w:color w:val="000000"/>
          <w:sz w:val="32"/>
          <w:szCs w:val="32"/>
          <w:shd w:val="clear" w:color="auto" w:fill="FFFFFF"/>
          <w:lang w:val="zh-CN"/>
        </w:rPr>
        <w:t>预算精准无任何动态调整、执行进度</w:t>
      </w:r>
      <w:r>
        <w:rPr>
          <w:rFonts w:ascii="仿宋_GB2312" w:hAnsi="宋体" w:eastAsia="仿宋_GB2312" w:cs="宋体"/>
          <w:color w:val="000000"/>
          <w:sz w:val="32"/>
          <w:szCs w:val="32"/>
          <w:shd w:val="clear" w:color="auto" w:fill="FFFFFF"/>
        </w:rPr>
        <w:t>100%</w:t>
      </w:r>
      <w:r>
        <w:rPr>
          <w:rFonts w:hint="eastAsia" w:ascii="仿宋_GB2312" w:hAnsi="宋体" w:eastAsia="仿宋_GB2312" w:cs="宋体"/>
          <w:color w:val="000000"/>
          <w:sz w:val="32"/>
          <w:szCs w:val="32"/>
          <w:shd w:val="clear" w:color="auto" w:fill="FFFFFF"/>
        </w:rPr>
        <w:t>正确，</w:t>
      </w:r>
      <w:r>
        <w:rPr>
          <w:rFonts w:hint="eastAsia" w:ascii="仿宋_GB2312" w:hAnsi="宋体" w:eastAsia="仿宋_GB2312" w:cs="宋体"/>
          <w:color w:val="000000"/>
          <w:sz w:val="32"/>
          <w:szCs w:val="32"/>
          <w:shd w:val="clear" w:color="auto" w:fill="FFFFFF"/>
          <w:lang w:val="zh-CN"/>
        </w:rPr>
        <w:t>无任何违规记录等情况。</w:t>
      </w:r>
    </w:p>
    <w:p>
      <w:pPr>
        <w:widowControl/>
        <w:adjustRightInd w:val="0"/>
        <w:snapToGrid w:val="0"/>
        <w:spacing w:line="480" w:lineRule="exact"/>
        <w:ind w:firstLine="720"/>
        <w:jc w:val="left"/>
        <w:rPr>
          <w:rFonts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六、部门财政支出管理情况</w:t>
      </w:r>
    </w:p>
    <w:p>
      <w:pPr>
        <w:widowControl/>
        <w:adjustRightInd w:val="0"/>
        <w:snapToGrid w:val="0"/>
        <w:spacing w:line="480" w:lineRule="exact"/>
        <w:ind w:firstLine="720"/>
        <w:jc w:val="left"/>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（一）预算编制情况。</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不断提高预算编制质量水平，预算编制水平直接影响财政预算执行的结果，预算编制中主要问题是预算批复滞后，给预算执行带来不利影响。充分认识预算执行管理工作的重要性，加强协调配合，建立部门责任制度，增强法制意识、强化预算执行的严肃性。绩效目标是细化和量化描述，主要包括产出指标、效益指标和满意度指标。</w:t>
      </w:r>
    </w:p>
    <w:p>
      <w:pPr>
        <w:widowControl/>
        <w:adjustRightInd w:val="0"/>
        <w:snapToGrid w:val="0"/>
        <w:spacing w:line="480" w:lineRule="exact"/>
        <w:ind w:firstLine="720"/>
        <w:jc w:val="left"/>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（二）执行管理情况。</w:t>
      </w:r>
      <w:r>
        <w:rPr>
          <w:rFonts w:hint="eastAsia" w:ascii="楷体_GB2312" w:hAnsi="楷体_GB2312" w:eastAsia="楷体_GB2312" w:cs="楷体_GB2312"/>
          <w:b/>
          <w:bCs/>
          <w:color w:val="000000"/>
          <w:kern w:val="0"/>
          <w:sz w:val="32"/>
          <w:szCs w:val="32"/>
          <w:lang w:val="zh-CN"/>
        </w:rPr>
        <w:tab/>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包括县级财力专项预算分配时限准确，中央专款分配符合规率、部门预算执行进度速度快，中期评估、节能降耗及“三公”经费预算执行准确</w:t>
      </w:r>
    </w:p>
    <w:p>
      <w:pPr>
        <w:widowControl/>
        <w:adjustRightInd w:val="0"/>
        <w:snapToGrid w:val="0"/>
        <w:spacing w:line="480" w:lineRule="exact"/>
        <w:ind w:firstLine="720"/>
        <w:jc w:val="left"/>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（三）综合管理情况。</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包括政府性债务管理、非税收入执收、政策采购实施计划、资产管理、内控制度管理、信息公开、绩效评价及依法接受财政监督情况等。</w:t>
      </w:r>
    </w:p>
    <w:p>
      <w:pPr>
        <w:widowControl/>
        <w:adjustRightInd w:val="0"/>
        <w:snapToGrid w:val="0"/>
        <w:spacing w:line="480" w:lineRule="exact"/>
        <w:ind w:firstLine="720"/>
        <w:jc w:val="left"/>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（四）整体绩效。</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退役军人事务局职责履行优秀，重点项目绩效评价结果和服务对象十分满意。</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bookmarkStart w:id="198" w:name="_Toc22565"/>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pStyle w:val="2"/>
        <w:rPr>
          <w:rFonts w:ascii="仿宋_GB2312" w:hAnsi="仿宋_GB2312" w:eastAsia="仿宋_GB2312" w:cs="仿宋_GB2312"/>
          <w:color w:val="000000"/>
          <w:sz w:val="32"/>
          <w:szCs w:val="32"/>
          <w:lang w:val="zh-CN"/>
        </w:rPr>
      </w:pPr>
    </w:p>
    <w:p>
      <w:pPr>
        <w:spacing w:line="580" w:lineRule="exact"/>
        <w:rPr>
          <w:rFonts w:hint="eastAsia"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退役军人事务局</w:t>
      </w:r>
    </w:p>
    <w:p>
      <w:pPr>
        <w:spacing w:line="600" w:lineRule="exact"/>
        <w:jc w:val="center"/>
        <w:rPr>
          <w:rFonts w:ascii="宋体"/>
          <w:sz w:val="32"/>
          <w:szCs w:val="32"/>
          <w:lang w:val="zh-CN"/>
        </w:rPr>
      </w:pPr>
      <w:r>
        <w:rPr>
          <w:rFonts w:hint="eastAsia" w:ascii="方正小标宋简体" w:hAnsi="宋体" w:eastAsia="方正小标宋简体"/>
          <w:color w:val="000000"/>
          <w:kern w:val="0"/>
          <w:sz w:val="44"/>
          <w:szCs w:val="44"/>
          <w:lang w:val="zh-CN"/>
        </w:rPr>
        <w:t>项目</w:t>
      </w:r>
      <w:r>
        <w:rPr>
          <w:rFonts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964" w:firstLineChars="300"/>
        <w:textAlignment w:val="auto"/>
        <w:rPr>
          <w:rFonts w:ascii="仿宋_GB2312" w:hAnsi="仿宋_GB2312" w:eastAsia="仿宋_GB2312" w:cs="仿宋_GB2312"/>
          <w:b/>
          <w:bCs/>
          <w:sz w:val="32"/>
          <w:szCs w:val="32"/>
          <w:lang w:val="zh-CN"/>
        </w:rPr>
      </w:pPr>
      <w:r>
        <w:rPr>
          <w:rFonts w:ascii="仿宋_GB2312" w:hAnsi="仿宋_GB2312" w:eastAsia="仿宋_GB2312" w:cs="仿宋_GB2312"/>
          <w:b/>
          <w:bCs/>
          <w:sz w:val="32"/>
          <w:szCs w:val="32"/>
          <w:lang w:val="zh-CN"/>
        </w:rPr>
        <w:t>1</w:t>
      </w:r>
      <w:r>
        <w:rPr>
          <w:rFonts w:hint="eastAsia" w:ascii="仿宋_GB2312" w:hAnsi="仿宋_GB2312" w:eastAsia="仿宋_GB2312" w:cs="仿宋_GB2312"/>
          <w:b/>
          <w:bCs/>
          <w:sz w:val="32"/>
          <w:szCs w:val="32"/>
          <w:lang w:val="zh-CN"/>
        </w:rPr>
        <w:t>．</w:t>
      </w:r>
      <w:r>
        <w:rPr>
          <w:rFonts w:hint="eastAsia" w:ascii="仿宋_GB2312" w:hAnsi="仿宋_GB2312" w:eastAsia="仿宋_GB2312" w:cs="仿宋_GB2312"/>
          <w:b/>
          <w:bCs/>
          <w:sz w:val="32"/>
          <w:szCs w:val="32"/>
        </w:rPr>
        <w:t>退役军人事务局</w:t>
      </w:r>
      <w:r>
        <w:rPr>
          <w:rFonts w:hint="eastAsia" w:ascii="仿宋_GB2312" w:hAnsi="仿宋_GB2312" w:eastAsia="仿宋_GB2312" w:cs="仿宋_GB2312"/>
          <w:b/>
          <w:bCs/>
          <w:sz w:val="32"/>
          <w:szCs w:val="32"/>
          <w:lang w:val="zh-CN"/>
        </w:rPr>
        <w:t>项目管理中的职能：</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640" w:firstLineChars="200"/>
        <w:textAlignment w:val="auto"/>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一</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拟订我局关于退役军人思想政治、管理保障和安置优抚等工作的政策措施并组织实施，组织起草相关规范性文件，褒扬彰显退役军人为党、国家和人民牺牲奉献的精神风范和价值导向。</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二</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负责军队转业干部、复员干部、离休退休干部、退役士兵和无军籍退休退职职工的移交安置工作和自主择业、就业退役军人服务管理工作。</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组织指导退役军人教育培训工作，协调扶持退役军人和随军随调家属就业创业。</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四</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会同有关部门制定退役军人特殊保障政策并组织落实。</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五</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组织协调落实移交地方的离休退休军人，符合条件的其他退役军人和无军籍退休退职职工的住房保障工作，以及退役军人医疗保障、社会保险等待遇保障工作。</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六</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组织指导伤病残退役军人服务管理和抚恤工作，拟订退役军人医疗、疗养、养老等机构的规划政策并组织实施。承担不适宜继续服役的伤病残军人相关工作。组织指导军供服务保障工作。</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组织指导全县拥军优属工作。负责现役军人、退役军人、军队文职人员和军属优待、抚恤等工作，落实国家关于国民党抗战老兵等有关人员优待政策。</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八</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负责烈士及退役军人荣誉奖励、军人公墓管理维护、纪念活动等工作，依法承担英雄烈士保护相关工作，审核拟列入全县重点保护单位的烈士纪念建筑物，承办烈士纪念设施保护事宜，总结表彰和宣扬退役军人、退役军人工作单位和个人先进典型事迹。</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九</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指导并监督检查退役军人相关法律法规和政策措施的落实，组织开展退役军人权益维护和有关人员的帮扶援助工作。</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十</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承担县双拥工作领导小组和市军队转业干部安置工作领导小组的日常工作。</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十一</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完成州、县委、县政府交办的其他任务。</w:t>
      </w:r>
    </w:p>
    <w:p>
      <w:pPr>
        <w:pStyle w:val="12"/>
        <w:keepNext w:val="0"/>
        <w:keepLines w:val="0"/>
        <w:pageBreakBefore w:val="0"/>
        <w:widowControl/>
        <w:kinsoku/>
        <w:wordWrap/>
        <w:overflowPunct/>
        <w:topLinePunct w:val="0"/>
        <w:autoSpaceDE/>
        <w:autoSpaceDN/>
        <w:bidi w:val="0"/>
        <w:spacing w:beforeAutospacing="0" w:afterAutospacing="0" w:line="576" w:lineRule="exact"/>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rPr>
        <w:t>　　</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十二</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职能转变。退役军人事务局应加强退役军人思想政治工作和服务保障体系建设，建立健全集中统一，职责清晰的退役军人管理保障体制，协调各方力量更好为军人军属服务，维护军人军属合法权益，让军人成为全社会尊崇的职业，褒扬彰显退役军人为党、国家和人民牺牲奉献的精神风范喝价值</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ascii="仿宋_GB2312" w:hAnsi="仿宋_GB2312" w:eastAsia="仿宋_GB2312" w:cs="仿宋_GB2312"/>
          <w:sz w:val="32"/>
          <w:szCs w:val="32"/>
        </w:rPr>
      </w:pPr>
      <w:r>
        <w:rPr>
          <w:rFonts w:ascii="仿宋_GB2312" w:hAnsi="仿宋_GB2312" w:eastAsia="仿宋_GB2312" w:cs="仿宋_GB2312"/>
          <w:b/>
          <w:bCs/>
          <w:color w:val="auto"/>
          <w:sz w:val="32"/>
          <w:szCs w:val="32"/>
          <w:lang w:val="zh-CN"/>
        </w:rPr>
        <w:t>2</w:t>
      </w:r>
      <w:r>
        <w:rPr>
          <w:rFonts w:hint="eastAsia" w:ascii="仿宋_GB2312" w:hAnsi="仿宋_GB2312" w:eastAsia="仿宋_GB2312" w:cs="仿宋_GB2312"/>
          <w:b/>
          <w:bCs/>
          <w:color w:val="auto"/>
          <w:sz w:val="32"/>
          <w:szCs w:val="32"/>
          <w:lang w:val="zh-CN"/>
        </w:rPr>
        <w:t>．项目立项、资金申报</w:t>
      </w:r>
      <w:r>
        <w:rPr>
          <w:rFonts w:hint="eastAsia" w:ascii="仿宋_GB2312" w:hAnsi="仿宋_GB2312" w:eastAsia="仿宋_GB2312" w:cs="仿宋_GB2312"/>
          <w:b/>
          <w:bCs/>
          <w:sz w:val="32"/>
          <w:szCs w:val="32"/>
          <w:lang w:val="zh-CN"/>
        </w:rPr>
        <w:t>的依据：</w:t>
      </w:r>
      <w:r>
        <w:rPr>
          <w:rFonts w:hint="eastAsia" w:ascii="仿宋_GB2312" w:hAnsi="仿宋_GB2312" w:eastAsia="仿宋_GB2312" w:cs="仿宋_GB2312"/>
          <w:sz w:val="32"/>
          <w:szCs w:val="32"/>
        </w:rPr>
        <w:t>根据政府、财政统一下文。</w:t>
      </w:r>
      <w:r>
        <w:rPr>
          <w:rFonts w:hint="eastAsia" w:ascii="仿宋_GB2312" w:hAnsi="仿宋_GB2312" w:eastAsia="仿宋_GB2312" w:cs="仿宋_GB2312"/>
          <w:color w:val="333333"/>
          <w:sz w:val="32"/>
          <w:szCs w:val="32"/>
          <w:shd w:val="clear" w:color="auto" w:fill="FFFFFF"/>
        </w:rPr>
        <w:t>为进一步加强中央财政退役安置补助经费、优抚对象补助经费、优抚对象医疗保障经费等资金管理，强化预算绩效管理，提高资金使用的规范性、安全性和有效性，现将财政部、退役军人部、医保局印发的《关于修改退役安置等补助资金管理办法的通知》（财社〔</w:t>
      </w:r>
      <w:r>
        <w:rPr>
          <w:rFonts w:ascii="仿宋_GB2312" w:hAnsi="仿宋_GB2312" w:eastAsia="仿宋_GB2312" w:cs="仿宋_GB2312"/>
          <w:color w:val="333333"/>
          <w:sz w:val="32"/>
          <w:szCs w:val="32"/>
          <w:shd w:val="clear" w:color="auto" w:fill="FFFFFF"/>
        </w:rPr>
        <w:t>2019</w:t>
      </w:r>
      <w:r>
        <w:rPr>
          <w:rFonts w:hint="eastAsia" w:ascii="仿宋_GB2312" w:hAnsi="仿宋_GB2312" w:eastAsia="仿宋_GB2312" w:cs="仿宋_GB2312"/>
          <w:color w:val="333333"/>
          <w:sz w:val="32"/>
          <w:szCs w:val="32"/>
          <w:shd w:val="clear" w:color="auto" w:fill="FFFFFF"/>
        </w:rPr>
        <w:t>〕</w:t>
      </w:r>
      <w:r>
        <w:rPr>
          <w:rFonts w:ascii="仿宋_GB2312" w:hAnsi="仿宋_GB2312" w:eastAsia="仿宋_GB2312" w:cs="仿宋_GB2312"/>
          <w:color w:val="333333"/>
          <w:sz w:val="32"/>
          <w:szCs w:val="32"/>
          <w:shd w:val="clear" w:color="auto" w:fill="FFFFFF"/>
        </w:rPr>
        <w:t>225</w:t>
      </w:r>
      <w:r>
        <w:rPr>
          <w:rFonts w:hint="eastAsia" w:ascii="仿宋_GB2312" w:hAnsi="仿宋_GB2312" w:eastAsia="仿宋_GB2312" w:cs="仿宋_GB2312"/>
          <w:color w:val="333333"/>
          <w:sz w:val="32"/>
          <w:szCs w:val="32"/>
          <w:shd w:val="clear" w:color="auto" w:fill="FFFFFF"/>
        </w:rPr>
        <w:t>号）转发给你们，并结合我县工作实际，提出有关要求，请一并遵照执行。</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ascii="仿宋_GB2312" w:hAnsi="宋体" w:eastAsia="仿宋_GB2312"/>
          <w:b/>
          <w:bCs/>
          <w:color w:val="auto"/>
          <w:sz w:val="32"/>
          <w:szCs w:val="32"/>
          <w:lang w:val="zh-CN"/>
        </w:rPr>
        <w:t>3</w:t>
      </w:r>
      <w:r>
        <w:rPr>
          <w:rFonts w:hint="eastAsia" w:ascii="仿宋_GB2312" w:hAnsi="宋体" w:eastAsia="仿宋_GB2312"/>
          <w:b/>
          <w:bCs/>
          <w:color w:val="auto"/>
          <w:sz w:val="32"/>
          <w:szCs w:val="32"/>
          <w:lang w:val="zh-CN"/>
        </w:rPr>
        <w:t>．资金管理办法制定情况，资金支持具体项目的条件、</w:t>
      </w:r>
      <w:r>
        <w:rPr>
          <w:rFonts w:hint="eastAsia" w:ascii="仿宋_GB2312" w:hAnsi="仿宋_GB2312" w:eastAsia="仿宋_GB2312" w:cs="仿宋_GB2312"/>
          <w:b/>
          <w:bCs/>
          <w:color w:val="auto"/>
          <w:sz w:val="32"/>
          <w:szCs w:val="32"/>
          <w:lang w:val="zh-CN"/>
        </w:rPr>
        <w:t>范围与支持方式概况。</w:t>
      </w:r>
      <w:r>
        <w:rPr>
          <w:rFonts w:hint="eastAsia" w:ascii="仿宋_GB2312" w:hAnsi="仿宋_GB2312" w:eastAsia="仿宋_GB2312" w:cs="仿宋_GB2312"/>
          <w:color w:val="auto"/>
          <w:sz w:val="32"/>
          <w:szCs w:val="32"/>
        </w:rPr>
        <w:t>为进一步加强财政退役安置补助经费、优抚对象补助经费、优抚对象医疗保障经费等资金管理，明确资金实施期限，强化预算绩效管理，现将《财政部</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民政部关于印发</w:t>
      </w:r>
      <w:r>
        <w:rPr>
          <w:rFonts w:ascii="仿宋_GB2312" w:hAnsi="仿宋_GB2312" w:eastAsia="仿宋_GB2312" w:cs="仿宋_GB2312"/>
          <w:color w:val="auto"/>
          <w:sz w:val="32"/>
          <w:szCs w:val="32"/>
        </w:rPr>
        <w:t>&lt;</w:t>
      </w:r>
      <w:r>
        <w:rPr>
          <w:rFonts w:hint="eastAsia" w:ascii="仿宋_GB2312" w:hAnsi="仿宋_GB2312" w:eastAsia="仿宋_GB2312" w:cs="仿宋_GB2312"/>
          <w:color w:val="auto"/>
          <w:sz w:val="32"/>
          <w:szCs w:val="32"/>
        </w:rPr>
        <w:t>退役安置补助资金使用管理办法</w:t>
      </w:r>
      <w:r>
        <w:rPr>
          <w:rFonts w:ascii="仿宋_GB2312" w:hAnsi="仿宋_GB2312" w:eastAsia="仿宋_GB2312" w:cs="仿宋_GB2312"/>
          <w:color w:val="auto"/>
          <w:sz w:val="32"/>
          <w:szCs w:val="32"/>
        </w:rPr>
        <w:t>&gt;</w:t>
      </w:r>
      <w:r>
        <w:rPr>
          <w:rFonts w:hint="eastAsia" w:ascii="仿宋_GB2312" w:hAnsi="仿宋_GB2312" w:eastAsia="仿宋_GB2312" w:cs="仿宋_GB2312"/>
          <w:color w:val="auto"/>
          <w:sz w:val="32"/>
          <w:szCs w:val="32"/>
        </w:rPr>
        <w:t>的通知》（财社〔</w:t>
      </w:r>
      <w:r>
        <w:rPr>
          <w:rFonts w:ascii="仿宋_GB2312" w:hAnsi="仿宋_GB2312" w:eastAsia="仿宋_GB2312" w:cs="仿宋_GB2312"/>
          <w:color w:val="auto"/>
          <w:sz w:val="32"/>
          <w:szCs w:val="32"/>
        </w:rPr>
        <w:t>2014</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187</w:t>
      </w:r>
      <w:r>
        <w:rPr>
          <w:rFonts w:hint="eastAsia" w:ascii="仿宋_GB2312" w:hAnsi="仿宋_GB2312" w:eastAsia="仿宋_GB2312" w:cs="仿宋_GB2312"/>
          <w:color w:val="auto"/>
          <w:sz w:val="32"/>
          <w:szCs w:val="32"/>
        </w:rPr>
        <w:t>号）、《财政部</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民政部关于印发</w:t>
      </w:r>
      <w:r>
        <w:rPr>
          <w:rFonts w:ascii="仿宋_GB2312" w:hAnsi="仿宋_GB2312" w:eastAsia="仿宋_GB2312" w:cs="仿宋_GB2312"/>
          <w:color w:val="auto"/>
          <w:sz w:val="32"/>
          <w:szCs w:val="32"/>
        </w:rPr>
        <w:t>&lt;</w:t>
      </w:r>
      <w:r>
        <w:rPr>
          <w:rFonts w:hint="eastAsia" w:ascii="仿宋_GB2312" w:hAnsi="仿宋_GB2312" w:eastAsia="仿宋_GB2312" w:cs="仿宋_GB2312"/>
          <w:color w:val="auto"/>
          <w:sz w:val="32"/>
          <w:szCs w:val="32"/>
        </w:rPr>
        <w:t>优抚对象抚恤补助资金使用管理办法</w:t>
      </w:r>
      <w:r>
        <w:rPr>
          <w:rFonts w:ascii="仿宋_GB2312" w:hAnsi="仿宋_GB2312" w:eastAsia="仿宋_GB2312" w:cs="仿宋_GB2312"/>
          <w:color w:val="auto"/>
          <w:sz w:val="32"/>
          <w:szCs w:val="32"/>
        </w:rPr>
        <w:t>&gt;</w:t>
      </w:r>
      <w:r>
        <w:rPr>
          <w:rFonts w:hint="eastAsia" w:ascii="仿宋_GB2312" w:hAnsi="仿宋_GB2312" w:eastAsia="仿宋_GB2312" w:cs="仿宋_GB2312"/>
          <w:color w:val="auto"/>
          <w:sz w:val="32"/>
          <w:szCs w:val="32"/>
        </w:rPr>
        <w:t>的通知》（财社〔</w:t>
      </w:r>
      <w:r>
        <w:rPr>
          <w:rFonts w:ascii="仿宋_GB2312" w:hAnsi="仿宋_GB2312" w:eastAsia="仿宋_GB2312" w:cs="仿宋_GB2312"/>
          <w:color w:val="auto"/>
          <w:sz w:val="32"/>
          <w:szCs w:val="32"/>
        </w:rPr>
        <w:t>2012</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221</w:t>
      </w:r>
      <w:r>
        <w:rPr>
          <w:rFonts w:hint="eastAsia" w:ascii="仿宋_GB2312" w:hAnsi="仿宋_GB2312" w:eastAsia="仿宋_GB2312" w:cs="仿宋_GB2312"/>
          <w:color w:val="auto"/>
          <w:sz w:val="32"/>
          <w:szCs w:val="32"/>
        </w:rPr>
        <w:t>号）、《财政部</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民政部</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人力资源社会保障部关于印发</w:t>
      </w:r>
      <w:r>
        <w:rPr>
          <w:rFonts w:ascii="仿宋_GB2312" w:hAnsi="仿宋_GB2312" w:eastAsia="仿宋_GB2312" w:cs="仿宋_GB2312"/>
          <w:color w:val="auto"/>
          <w:sz w:val="32"/>
          <w:szCs w:val="32"/>
        </w:rPr>
        <w:t>&lt;</w:t>
      </w:r>
      <w:r>
        <w:rPr>
          <w:rFonts w:hint="eastAsia" w:ascii="仿宋_GB2312" w:hAnsi="仿宋_GB2312" w:eastAsia="仿宋_GB2312" w:cs="仿宋_GB2312"/>
          <w:color w:val="auto"/>
          <w:sz w:val="32"/>
          <w:szCs w:val="32"/>
        </w:rPr>
        <w:t>优抚对象医疗补助资金使用管理办法</w:t>
      </w:r>
      <w:r>
        <w:rPr>
          <w:rFonts w:ascii="仿宋_GB2312" w:hAnsi="仿宋_GB2312" w:eastAsia="仿宋_GB2312" w:cs="仿宋_GB2312"/>
          <w:color w:val="auto"/>
          <w:sz w:val="32"/>
          <w:szCs w:val="32"/>
        </w:rPr>
        <w:t>&gt;</w:t>
      </w:r>
      <w:r>
        <w:rPr>
          <w:rFonts w:hint="eastAsia" w:ascii="仿宋_GB2312" w:hAnsi="仿宋_GB2312" w:eastAsia="仿宋_GB2312" w:cs="仿宋_GB2312"/>
          <w:color w:val="auto"/>
          <w:sz w:val="32"/>
          <w:szCs w:val="32"/>
        </w:rPr>
        <w:t>的通知》（财社〔</w:t>
      </w:r>
      <w:r>
        <w:rPr>
          <w:rFonts w:ascii="仿宋_GB2312" w:hAnsi="仿宋_GB2312" w:eastAsia="仿宋_GB2312" w:cs="仿宋_GB2312"/>
          <w:color w:val="auto"/>
          <w:sz w:val="32"/>
          <w:szCs w:val="32"/>
        </w:rPr>
        <w:t>2013</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号）有关规定修改如下：</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hint="eastAsia" w:ascii="黑体" w:hAnsi="黑体" w:eastAsia="黑体" w:cs="黑体"/>
          <w:b w:val="0"/>
          <w:bCs/>
          <w:i w:val="0"/>
          <w:iCs w:val="0"/>
          <w:color w:val="auto"/>
          <w:sz w:val="32"/>
          <w:szCs w:val="32"/>
        </w:rPr>
      </w:pPr>
      <w:r>
        <w:rPr>
          <w:rFonts w:hint="eastAsia" w:ascii="黑体" w:hAnsi="黑体" w:eastAsia="黑体" w:cs="黑体"/>
          <w:b w:val="0"/>
          <w:bCs/>
          <w:i w:val="0"/>
          <w:iCs w:val="0"/>
          <w:color w:val="auto"/>
          <w:sz w:val="32"/>
          <w:szCs w:val="32"/>
          <w:lang w:eastAsia="zh-CN"/>
        </w:rPr>
        <w:t>二</w:t>
      </w:r>
      <w:r>
        <w:rPr>
          <w:rFonts w:hint="eastAsia" w:ascii="黑体" w:hAnsi="黑体" w:eastAsia="黑体" w:cs="黑体"/>
          <w:b w:val="0"/>
          <w:bCs/>
          <w:i w:val="0"/>
          <w:iCs w:val="0"/>
          <w:color w:val="auto"/>
          <w:sz w:val="32"/>
          <w:szCs w:val="32"/>
        </w:rPr>
        <w:t>、关于财社〔2014〕187号文件</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（一）在原办法第二条增加一款作为第二款：“中央财政补助资金实施期限暂至</w:t>
      </w:r>
      <w:r>
        <w:rPr>
          <w:rFonts w:ascii="仿宋_GB2312" w:hAnsi="仿宋_GB2312" w:eastAsia="仿宋_GB2312" w:cs="仿宋_GB2312"/>
          <w:color w:val="auto"/>
          <w:sz w:val="32"/>
          <w:szCs w:val="32"/>
        </w:rPr>
        <w:t>2023</w:t>
      </w:r>
      <w:r>
        <w:rPr>
          <w:rFonts w:hint="eastAsia" w:ascii="仿宋_GB2312" w:hAnsi="仿宋_GB2312" w:eastAsia="仿宋_GB2312" w:cs="仿宋_GB2312"/>
          <w:color w:val="auto"/>
          <w:sz w:val="32"/>
          <w:szCs w:val="32"/>
        </w:rPr>
        <w:t>年</w:t>
      </w:r>
      <w:r>
        <w:rPr>
          <w:rFonts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rPr>
        <w:t>月</w:t>
      </w:r>
      <w:r>
        <w:rPr>
          <w:rFonts w:ascii="仿宋_GB2312" w:hAnsi="仿宋_GB2312" w:eastAsia="仿宋_GB2312" w:cs="仿宋_GB2312"/>
          <w:color w:val="auto"/>
          <w:sz w:val="32"/>
          <w:szCs w:val="32"/>
        </w:rPr>
        <w:t>31</w:t>
      </w:r>
      <w:r>
        <w:rPr>
          <w:rFonts w:hint="eastAsia" w:ascii="仿宋_GB2312" w:hAnsi="仿宋_GB2312" w:eastAsia="仿宋_GB2312" w:cs="仿宋_GB2312"/>
          <w:color w:val="auto"/>
          <w:sz w:val="32"/>
          <w:szCs w:val="32"/>
        </w:rPr>
        <w:t>日。期满后财政部会同退役军人部根据法律、行政法规和国务院有关规定及工作需要评估确定后续期限”。</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（二）将原办法第六条第二款“用于服务管理机构用房建设、</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级至</w:t>
      </w: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级分散供养残疾退役士兵购（建）房以及自主就业退役士兵免费参加职业教育和技能培训等方面的资金由中央财政安排，不足部分由地方财政解决，相应纳入各级财政预算”的表述，修改为“用于服务管理机构用房建设、</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级至</w:t>
      </w: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级分散供养残疾退役士兵购（建）房以及自主就业退役士兵免费参加一次职业教育和技能培训等方面的资金由中央财政安排，不足部分由地方财政解决，相应纳入各级政府预算”。</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（三）将原办法第二条、第六条和第十二条中“退出现役</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年内自主就业退役士兵免费参加职业教育和技能培训”的表述，修改为“自主就业退役士兵免费参加一次职业教育和技能培训”。</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（四）将原办法第十三条第四款修改为：“中央财政根据</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级至</w:t>
      </w: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级分散供养残疾退役士兵人数（由中央军委政治工作部和训练管理部等有关部门提供，退役军人部审核汇总）和中央财政定额补助标准，安排</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级至</w:t>
      </w: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级分散供养残疾退役士兵购（建）房补助资金”。</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将原办法第十四条修改为：“中央财政按照各省（自治区、直辖市）自主就业退役士兵参加教育培训人数（由各地退役军人事务部门上报，退役军人部审核汇总）和中央财政定额补助标准，安排自主就业退役士兵职业教育和技能培训资金”，并作为第十三条第五款。</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将原办法第十六条修改为：“地方各级退役军人事务部门和服务管理机构，每年应会同同级财政部门审核汇总上一年度新接收退役安置人员情况、已接收人员变化情况以及退役安置补助经费需求情况，并逐级及时汇总上报退役军人部。退役军人部会同军队有关部门提出资金分配方案及分区域绩效目标，函报财政部。财政部接收资金分配方案后，在</w:t>
      </w:r>
      <w:r>
        <w:rPr>
          <w:rFonts w:ascii="仿宋_GB2312" w:hAnsi="仿宋_GB2312" w:eastAsia="仿宋_GB2312" w:cs="仿宋_GB2312"/>
          <w:color w:val="auto"/>
          <w:sz w:val="32"/>
          <w:szCs w:val="32"/>
        </w:rPr>
        <w:t>30</w:t>
      </w:r>
      <w:r>
        <w:rPr>
          <w:rFonts w:hint="eastAsia" w:ascii="仿宋_GB2312" w:hAnsi="仿宋_GB2312" w:eastAsia="仿宋_GB2312" w:cs="仿宋_GB2312"/>
          <w:color w:val="auto"/>
          <w:sz w:val="32"/>
          <w:szCs w:val="32"/>
        </w:rPr>
        <w:t>日内审定并下达补助经费预算，同步下达区域绩效目标，抄送退役军人部和财政部各地监管局。年度执行中，退役军人部会同财政部指导省级退役军人事务部门、财政部门对绩效目标实现情况进行监控，确保绩效目标如期实现。</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省级退役军人事务部门应会同同级财政部门组织市县做好补助经费绩效自评工作，将区域绩效自评结果报送退役军人部、财政部，并抄送财政部当地监管局。财政部和退役军人部适时开展退役安置补助经费重点绩效评价。绩效评价结果作为预算安排、政策调整和改进管理的重要依据”。</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将原办法第二十条和第二十一条合并修改为：“各级财政、退役军人事务部门应当强化补助经费的使用管理，并积极配合有关部门做好审计、稽查等工作。财政部各地监管局在规定职权范围内，依法对补助经费的使用管理情况进行监督。</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级财政、退役军人事务部门及其工作人员在补助经费的分配、审核、使用、管理等工作中，存在违反本办法规定的行为，以及其他滥用职权、玩忽职守、徇私舞弊等违法违纪行为的，按照《中华人民共和国预算法》《中华人民共和国公务员法》《中华人民共和国监察法》《财政违法行为处罚处分条例》等国家有关规定追究相应责任；涉嫌犯罪的，依法移送司法机关处理”。</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（八）将原办法中的“民政部”修改为“退役军人部”，“民政厅（局）”修改为“退役军人事务厅（局）”，“民政部门”修改为“退役军人事务部门”。同时，相应调整办法的相关条款序号。</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三</w:t>
      </w:r>
      <w:r>
        <w:rPr>
          <w:rFonts w:hint="eastAsia" w:ascii="黑体" w:hAnsi="黑体" w:eastAsia="黑体" w:cs="黑体"/>
          <w:b w:val="0"/>
          <w:bCs/>
          <w:color w:val="auto"/>
          <w:sz w:val="32"/>
          <w:szCs w:val="32"/>
        </w:rPr>
        <w:t>、关于财社〔2012〕221号文件</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（一）在原办法第二条增加一款作为第二款：“中央财政补助资金实施期限暂至</w:t>
      </w:r>
      <w:r>
        <w:rPr>
          <w:rFonts w:ascii="仿宋_GB2312" w:hAnsi="仿宋_GB2312" w:eastAsia="仿宋_GB2312" w:cs="仿宋_GB2312"/>
          <w:color w:val="auto"/>
          <w:sz w:val="32"/>
          <w:szCs w:val="32"/>
        </w:rPr>
        <w:t>2023</w:t>
      </w:r>
      <w:r>
        <w:rPr>
          <w:rFonts w:hint="eastAsia" w:ascii="仿宋_GB2312" w:hAnsi="仿宋_GB2312" w:eastAsia="仿宋_GB2312" w:cs="仿宋_GB2312"/>
          <w:color w:val="auto"/>
          <w:sz w:val="32"/>
          <w:szCs w:val="32"/>
        </w:rPr>
        <w:t>年</w:t>
      </w:r>
      <w:r>
        <w:rPr>
          <w:rFonts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rPr>
        <w:t>月</w:t>
      </w:r>
      <w:r>
        <w:rPr>
          <w:rFonts w:ascii="仿宋_GB2312" w:hAnsi="仿宋_GB2312" w:eastAsia="仿宋_GB2312" w:cs="仿宋_GB2312"/>
          <w:color w:val="auto"/>
          <w:sz w:val="32"/>
          <w:szCs w:val="32"/>
        </w:rPr>
        <w:t>31</w:t>
      </w:r>
      <w:r>
        <w:rPr>
          <w:rFonts w:hint="eastAsia" w:ascii="仿宋_GB2312" w:hAnsi="仿宋_GB2312" w:eastAsia="仿宋_GB2312" w:cs="仿宋_GB2312"/>
          <w:color w:val="auto"/>
          <w:sz w:val="32"/>
          <w:szCs w:val="32"/>
        </w:rPr>
        <w:t>日。期满后财政部会同退役军人部根据法律、行政法规和国务院有关规定及工作需要评估确定后续期限”。</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（二）将原办法第三条中“抚恤补助资金由中央和地方财政共同负担，纳入各级财政预算，列抚恤科目”的表述，修改为“优抚对象补助经费由中央和地方财政共同负担，纳入各级政府预算”。</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将原办法第六条第二款修改为：“地方各级退役军人事务部门每年应当会同同级财政部门对优抚对象人员情况进行审核，并逐级汇总上报。省级退役军人事务部门应当会同同级财政部门于每年全国优抚对象数据集中审定前，将本地区当年应享受抚恤补助待遇的优抚对象人员情况，经省（自治区、直辖市）人民政府批准后上报退役军人部。退役军人部根据各省（自治区、直辖市）优抚对象人数和规定标准，提出资金分配方案及分区域绩效目标，函报财政部。财政部接收资金分配方案后，在</w:t>
      </w:r>
      <w:r>
        <w:rPr>
          <w:rFonts w:ascii="仿宋_GB2312" w:hAnsi="仿宋_GB2312" w:eastAsia="仿宋_GB2312" w:cs="仿宋_GB2312"/>
          <w:color w:val="auto"/>
          <w:sz w:val="32"/>
          <w:szCs w:val="32"/>
        </w:rPr>
        <w:t>30</w:t>
      </w:r>
      <w:r>
        <w:rPr>
          <w:rFonts w:hint="eastAsia" w:ascii="仿宋_GB2312" w:hAnsi="仿宋_GB2312" w:eastAsia="仿宋_GB2312" w:cs="仿宋_GB2312"/>
          <w:color w:val="auto"/>
          <w:sz w:val="32"/>
          <w:szCs w:val="32"/>
        </w:rPr>
        <w:t>日内审定并下达补助经费预算，同步下达区域绩效目标，抄送退役军人部和财政部各地监管局。优抚对象补助经费分配结果应当按照预算公开有关规定向社会公布。财政部在优抚对象补助经费下达后</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rPr>
        <w:t>日内将资金分配结果向社会公开。地方各级财政部门应当按照预算公开有关规定将优抚对象补助经费安排详细情况公开，接受社会监督。年度执行中，退役军人部会同财政部指导省级退役军人事务部门、财政部门对绩效目标实现情况进行监控，确保绩效目标如期实现。</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省级退役军人事务部门应会同同级财政部门组织市县做好补助经费绩效自评工作，将区域绩效自评结果报送退役军人部、财政部，并抄送财政部当地监管局。财政部和退役军人部适时开展优抚对象补助经费重点绩效评价。绩效评价结果作为预算安排、政策调整和改进管理的重要依据”。</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将原办法第十条修改为：“各级财政、退役军人事务部门应当强化补助经费的使用管理，并积极配合有关部门做好审计、稽查等工作。财政部各地监管局在规定职权范围内，依法对补助经费的使用管理情况进行监督。</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级财政、退役军人事务部门及其工作人员在补助经费的分配、审核、使用、管理等工作中，存在违反本办法规定的行为，以及其他滥用职权、玩忽职守、徇私舞弊等违法违纪行为的，按照《中华人民共和国预算法》《中华人民共和国公务员法》《中华人民共和国监察法》《财政违法行为处罚处分条例》等国家有关规定追究相应责任；涉嫌犯罪的，依法移送司法机关处理”。</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（五）将原办法中的“民政部”修改为“退役军人部”，“民政厅（局）”修改为“退役军人事务厅（局）”，“民政部门”修改为“退役军人事务部门”。</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hint="eastAsia" w:ascii="黑体" w:hAnsi="黑体" w:eastAsia="黑体" w:cs="黑体"/>
          <w:b w:val="0"/>
          <w:bCs/>
          <w:color w:val="333333"/>
          <w:sz w:val="32"/>
          <w:szCs w:val="32"/>
        </w:rPr>
      </w:pPr>
      <w:r>
        <w:rPr>
          <w:rFonts w:hint="eastAsia" w:ascii="黑体" w:hAnsi="黑体" w:eastAsia="黑体" w:cs="黑体"/>
          <w:b w:val="0"/>
          <w:bCs/>
          <w:color w:val="333333"/>
          <w:sz w:val="32"/>
          <w:szCs w:val="32"/>
          <w:lang w:eastAsia="zh-CN"/>
        </w:rPr>
        <w:t>四</w:t>
      </w:r>
      <w:r>
        <w:rPr>
          <w:rFonts w:hint="eastAsia" w:ascii="黑体" w:hAnsi="黑体" w:eastAsia="黑体" w:cs="黑体"/>
          <w:b w:val="0"/>
          <w:bCs/>
          <w:color w:val="333333"/>
          <w:sz w:val="32"/>
          <w:szCs w:val="32"/>
        </w:rPr>
        <w:t>、关于财社〔2013〕6号文件</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（一）在原办法第三条增加一款作为第二款：“中央财政补助资金实施期限暂至</w:t>
      </w:r>
      <w:r>
        <w:rPr>
          <w:rFonts w:ascii="仿宋_GB2312" w:hAnsi="仿宋_GB2312" w:eastAsia="仿宋_GB2312" w:cs="仿宋_GB2312"/>
          <w:color w:val="333333"/>
          <w:sz w:val="32"/>
          <w:szCs w:val="32"/>
        </w:rPr>
        <w:t>2023</w:t>
      </w:r>
      <w:r>
        <w:rPr>
          <w:rFonts w:hint="eastAsia" w:ascii="仿宋_GB2312" w:hAnsi="仿宋_GB2312" w:eastAsia="仿宋_GB2312" w:cs="仿宋_GB2312"/>
          <w:color w:val="333333"/>
          <w:sz w:val="32"/>
          <w:szCs w:val="32"/>
        </w:rPr>
        <w:t>年</w:t>
      </w:r>
      <w:r>
        <w:rPr>
          <w:rFonts w:ascii="仿宋_GB2312" w:hAnsi="仿宋_GB2312" w:eastAsia="仿宋_GB2312" w:cs="仿宋_GB2312"/>
          <w:color w:val="333333"/>
          <w:sz w:val="32"/>
          <w:szCs w:val="32"/>
        </w:rPr>
        <w:t>12</w:t>
      </w:r>
      <w:r>
        <w:rPr>
          <w:rFonts w:hint="eastAsia" w:ascii="仿宋_GB2312" w:hAnsi="仿宋_GB2312" w:eastAsia="仿宋_GB2312" w:cs="仿宋_GB2312"/>
          <w:color w:val="333333"/>
          <w:sz w:val="32"/>
          <w:szCs w:val="32"/>
        </w:rPr>
        <w:t>月</w:t>
      </w:r>
      <w:r>
        <w:rPr>
          <w:rFonts w:ascii="仿宋_GB2312" w:hAnsi="仿宋_GB2312" w:eastAsia="仿宋_GB2312" w:cs="仿宋_GB2312"/>
          <w:color w:val="333333"/>
          <w:sz w:val="32"/>
          <w:szCs w:val="32"/>
        </w:rPr>
        <w:t>31</w:t>
      </w:r>
      <w:r>
        <w:rPr>
          <w:rFonts w:hint="eastAsia" w:ascii="仿宋_GB2312" w:hAnsi="仿宋_GB2312" w:eastAsia="仿宋_GB2312" w:cs="仿宋_GB2312"/>
          <w:color w:val="333333"/>
          <w:sz w:val="32"/>
          <w:szCs w:val="32"/>
        </w:rPr>
        <w:t>日。期满后财政部会同退役军人部和医保局根据法律、行政法规和国务院有关规定及工作需要评估确定后续期限”。</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将原办法第四条中“医疗补助资金纳入各级财政预算，列政府收支分类科目‘医疗保障’款‘优抚对象医疗补助’项下。各级财政部门应当根据经济社会发展情况，逐步加大医疗补助资金投入力度”的表述，修改为“医疗保障经费纳入各级政府预算。各级财政部门应当根据经济社会发展情况，逐步加大医疗保障经费投入力度”。</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（三）将原办法第五条修改为：“退役军人部每年根据各省（自治区、直辖市）相关优抚对象人数和中央财政定额补助标准，提出资金分配方案和分区域绩效目标函报财政部，财政部接收资金分配方案后，在</w:t>
      </w:r>
      <w:r>
        <w:rPr>
          <w:rFonts w:ascii="仿宋_GB2312" w:hAnsi="仿宋_GB2312" w:eastAsia="仿宋_GB2312" w:cs="仿宋_GB2312"/>
          <w:color w:val="333333"/>
          <w:sz w:val="32"/>
          <w:szCs w:val="32"/>
        </w:rPr>
        <w:t>30</w:t>
      </w:r>
      <w:r>
        <w:rPr>
          <w:rFonts w:hint="eastAsia" w:ascii="仿宋_GB2312" w:hAnsi="仿宋_GB2312" w:eastAsia="仿宋_GB2312" w:cs="仿宋_GB2312"/>
          <w:color w:val="333333"/>
          <w:sz w:val="32"/>
          <w:szCs w:val="32"/>
        </w:rPr>
        <w:t>日内审定并下达医疗保障经费预算，同步下达区域绩效目标，抄送退役军人部和财政部各地监管局。医疗保障经费分配结果应当按照预算公开有关规定向社会公布。财政部在医疗保障经费下达后</w:t>
      </w:r>
      <w:r>
        <w:rPr>
          <w:rFonts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rPr>
        <w:t>日内将资金分配结果向社会公开。地方各级财政部门应当按照预算公开有关规定将医疗保障经费安排详细情况公开，接受社会监督。年度执行中，退役军人部会同财政部指导省级退役军人事务部门、财政部门对绩效目标实现情况进行监控，确保区域绩效目标如期实现。</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省级退役军人事务部门应会同同级财政部门组织市县做好医疗保障经费绩效自评工作，将区域绩效自评结果报送退役军人部、财政部，并抄送财政部当地监管局。财政部和退役军人部适时开展医疗保障经费重点绩效评价。绩效评价结果作为预算安排、政策调整和改进管理的重要依据”。</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四）将原办法第十条修改为：“各级财政、退役军人事务和医疗保障部门应当强化医疗保障经费的使用管理，并积极配合有关部门做好审计、稽查等工作。财政部各地监管局在规定的职权范围内，依法对医疗保障经费的使用管理情况进行监督。</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各级财政、退役军人事务等部门及其工作人员在医疗保障经费的分配、审核、使用、管理等工作中，存在违反本办法规定的行为，以及其他滥用职权、玩忽职守、徇私舞弊等违法违纪行为的，按照《中华人民共和国预算法》《中华人民共和国公务员法》《中华人民共和国监察法》《财政违法行为处罚处分条例》等国家有关规定追究相应责任；涉嫌犯罪的，依法移送司法机关处理”。</w:t>
      </w:r>
    </w:p>
    <w:p>
      <w:pPr>
        <w:pStyle w:val="12"/>
        <w:keepNext w:val="0"/>
        <w:keepLines w:val="0"/>
        <w:pageBreakBefore w:val="0"/>
        <w:widowControl/>
        <w:kinsoku/>
        <w:wordWrap/>
        <w:overflowPunct/>
        <w:topLinePunct w:val="0"/>
        <w:autoSpaceDE/>
        <w:autoSpaceDN/>
        <w:bidi w:val="0"/>
        <w:spacing w:beforeAutospacing="0" w:afterAutospacing="0" w:line="576" w:lineRule="exact"/>
        <w:ind w:firstLine="420"/>
        <w:textAlignment w:val="auto"/>
        <w:rPr>
          <w:rFonts w:ascii="仿宋_GB2312" w:hAnsi="宋体" w:eastAsia="仿宋_GB2312"/>
          <w:sz w:val="32"/>
          <w:szCs w:val="32"/>
          <w:lang w:val="zh-CN"/>
        </w:rPr>
      </w:pPr>
      <w:r>
        <w:rPr>
          <w:rFonts w:hint="eastAsia" w:ascii="仿宋_GB2312" w:hAnsi="仿宋_GB2312" w:eastAsia="仿宋_GB2312" w:cs="仿宋_GB2312"/>
          <w:color w:val="333333"/>
          <w:sz w:val="32"/>
          <w:szCs w:val="32"/>
        </w:rPr>
        <w:t>（五）将原办法中的“民政部”修改为“退役军人部”，“民政部门”修改为“退役军人事务部门”，“民政厅（局）”修改为“退役军人事务厅（局）”，“人力资源社会保障部”修改为“医保局”，“人力资源社会保障部门”修改为“医疗保障部门”，“人力资源社会保障厅（局）”修改为“医疗保障局”。</w:t>
      </w:r>
    </w:p>
    <w:p>
      <w:pPr>
        <w:adjustRightInd w:val="0"/>
        <w:snapToGrid w:val="0"/>
        <w:spacing w:line="600" w:lineRule="exact"/>
        <w:ind w:firstLine="720"/>
        <w:rPr>
          <w:rFonts w:hint="eastAsia" w:ascii="黑体" w:hAnsi="黑体" w:eastAsia="黑体" w:cs="黑体"/>
          <w:b w:val="0"/>
          <w:bCs/>
          <w:sz w:val="32"/>
          <w:szCs w:val="32"/>
          <w:lang w:val="zh-CN"/>
        </w:rPr>
      </w:pPr>
      <w:r>
        <w:rPr>
          <w:rFonts w:hint="eastAsia" w:ascii="黑体" w:hAnsi="黑体" w:eastAsia="黑体" w:cs="黑体"/>
          <w:b w:val="0"/>
          <w:bCs/>
          <w:sz w:val="32"/>
          <w:szCs w:val="32"/>
          <w:lang w:val="zh-CN"/>
        </w:rPr>
        <w:t>五、项目绩效目标。</w:t>
      </w:r>
    </w:p>
    <w:p>
      <w:pPr>
        <w:adjustRightInd w:val="0"/>
        <w:snapToGrid w:val="0"/>
        <w:spacing w:line="600" w:lineRule="exact"/>
        <w:ind w:firstLine="720"/>
        <w:rPr>
          <w:rFonts w:hint="eastAsia" w:ascii="黑体" w:hAnsi="宋体" w:eastAsia="仿宋_GB2312"/>
          <w:sz w:val="32"/>
          <w:szCs w:val="32"/>
          <w:lang w:eastAsia="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r>
        <w:rPr>
          <w:rFonts w:hint="eastAsia" w:ascii="仿宋_GB2312" w:hAnsi="宋体" w:eastAsia="仿宋_GB2312"/>
          <w:sz w:val="32"/>
          <w:szCs w:val="32"/>
        </w:rPr>
        <w:t>义务兵优待金、拥军优属、其他生活救助、退役士兵安置</w:t>
      </w:r>
      <w:r>
        <w:rPr>
          <w:rFonts w:hint="eastAsia" w:ascii="仿宋_GB2312" w:hAnsi="宋体" w:eastAsia="仿宋_GB2312"/>
          <w:sz w:val="32"/>
          <w:szCs w:val="32"/>
          <w:lang w:eastAsia="zh-CN"/>
        </w:rPr>
        <w:t>。</w:t>
      </w:r>
    </w:p>
    <w:tbl>
      <w:tblPr>
        <w:tblStyle w:val="13"/>
        <w:tblW w:w="9285" w:type="dxa"/>
        <w:tblInd w:w="0" w:type="dxa"/>
        <w:tblLayout w:type="autofit"/>
        <w:tblCellMar>
          <w:top w:w="0" w:type="dxa"/>
          <w:left w:w="0" w:type="dxa"/>
          <w:bottom w:w="0" w:type="dxa"/>
          <w:right w:w="0" w:type="dxa"/>
        </w:tblCellMar>
      </w:tblPr>
      <w:tblGrid>
        <w:gridCol w:w="840"/>
        <w:gridCol w:w="830"/>
        <w:gridCol w:w="2833"/>
        <w:gridCol w:w="1454"/>
        <w:gridCol w:w="2248"/>
        <w:gridCol w:w="1080"/>
      </w:tblGrid>
      <w:tr>
        <w:tblPrEx>
          <w:tblCellMar>
            <w:top w:w="0" w:type="dxa"/>
            <w:left w:w="0" w:type="dxa"/>
            <w:bottom w:w="0" w:type="dxa"/>
            <w:right w:w="0" w:type="dxa"/>
          </w:tblCellMar>
        </w:tblPrEx>
        <w:trPr>
          <w:trHeight w:val="485" w:hRule="atLeast"/>
        </w:trPr>
        <w:tc>
          <w:tcPr>
            <w:tcW w:w="9285"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48"/>
                <w:szCs w:val="48"/>
              </w:rPr>
            </w:pPr>
            <w:r>
              <w:rPr>
                <w:rFonts w:hint="eastAsia" w:ascii="Arial Unicode MS" w:hAnsi="Arial Unicode MS" w:eastAsia="Arial Unicode MS" w:cs="Arial Unicode MS"/>
                <w:color w:val="000000"/>
                <w:kern w:val="0"/>
                <w:sz w:val="48"/>
                <w:szCs w:val="48"/>
              </w:rPr>
              <w:t>部门整体支出绩效目标表</w:t>
            </w:r>
          </w:p>
        </w:tc>
      </w:tr>
      <w:tr>
        <w:tblPrEx>
          <w:tblCellMar>
            <w:top w:w="0" w:type="dxa"/>
            <w:left w:w="0" w:type="dxa"/>
            <w:bottom w:w="0" w:type="dxa"/>
            <w:right w:w="0" w:type="dxa"/>
          </w:tblCellMar>
        </w:tblPrEx>
        <w:trPr>
          <w:trHeight w:val="645" w:hRule="atLeast"/>
        </w:trPr>
        <w:tc>
          <w:tcPr>
            <w:tcW w:w="9285"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8"/>
                <w:szCs w:val="28"/>
              </w:rPr>
            </w:pPr>
            <w:r>
              <w:rPr>
                <w:rFonts w:hint="eastAsia" w:ascii="Arial Unicode MS" w:hAnsi="Arial Unicode MS" w:eastAsia="Arial Unicode MS" w:cs="Arial Unicode MS"/>
                <w:color w:val="000000"/>
                <w:kern w:val="0"/>
                <w:sz w:val="28"/>
                <w:szCs w:val="28"/>
              </w:rPr>
              <w:t>（</w:t>
            </w:r>
            <w:r>
              <w:rPr>
                <w:rStyle w:val="36"/>
              </w:rPr>
              <w:t xml:space="preserve"> </w:t>
            </w:r>
            <w:r>
              <w:rPr>
                <w:rStyle w:val="37"/>
              </w:rPr>
              <w:t>2019</w:t>
            </w:r>
            <w:r>
              <w:rPr>
                <w:rStyle w:val="36"/>
              </w:rPr>
              <w:t xml:space="preserve"> </w:t>
            </w:r>
            <w:r>
              <w:rPr>
                <w:rStyle w:val="38"/>
                <w:rFonts w:hint="eastAsia"/>
              </w:rPr>
              <w:t>年度）</w:t>
            </w:r>
          </w:p>
        </w:tc>
      </w:tr>
      <w:tr>
        <w:tblPrEx>
          <w:tblCellMar>
            <w:top w:w="0" w:type="dxa"/>
            <w:left w:w="0" w:type="dxa"/>
            <w:bottom w:w="0" w:type="dxa"/>
            <w:right w:w="0" w:type="dxa"/>
          </w:tblCellMar>
        </w:tblPrEx>
        <w:trPr>
          <w:trHeight w:val="780" w:hRule="atLeast"/>
        </w:trPr>
        <w:tc>
          <w:tcPr>
            <w:tcW w:w="16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部门（单位）名称</w:t>
            </w:r>
          </w:p>
        </w:tc>
        <w:tc>
          <w:tcPr>
            <w:tcW w:w="42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红原县退役军人事务局</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200" w:firstLineChars="100"/>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部门预算编码</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193101</w:t>
            </w:r>
          </w:p>
        </w:tc>
      </w:tr>
      <w:tr>
        <w:tblPrEx>
          <w:tblCellMar>
            <w:top w:w="0" w:type="dxa"/>
            <w:left w:w="0" w:type="dxa"/>
            <w:bottom w:w="0" w:type="dxa"/>
            <w:right w:w="0" w:type="dxa"/>
          </w:tblCellMar>
        </w:tblPrEx>
        <w:trPr>
          <w:trHeight w:val="292"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年度</w:t>
            </w:r>
          </w:p>
        </w:tc>
        <w:tc>
          <w:tcPr>
            <w:tcW w:w="366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Style w:val="36"/>
                <w:rFonts w:hint="eastAsia"/>
              </w:rPr>
              <w:t>资金总额</w:t>
            </w:r>
          </w:p>
        </w:tc>
        <w:tc>
          <w:tcPr>
            <w:tcW w:w="4785"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1545</w:t>
            </w:r>
          </w:p>
        </w:tc>
      </w:tr>
      <w:tr>
        <w:tblPrEx>
          <w:tblCellMar>
            <w:top w:w="0" w:type="dxa"/>
            <w:left w:w="0" w:type="dxa"/>
            <w:bottom w:w="0" w:type="dxa"/>
            <w:right w:w="0" w:type="dxa"/>
          </w:tblCellMar>
        </w:tblPrEx>
        <w:trPr>
          <w:trHeight w:val="292"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预算</w:t>
            </w:r>
          </w:p>
        </w:tc>
        <w:tc>
          <w:tcPr>
            <w:tcW w:w="366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4785"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r>
      <w:tr>
        <w:tblPrEx>
          <w:tblCellMar>
            <w:top w:w="0" w:type="dxa"/>
            <w:left w:w="0" w:type="dxa"/>
            <w:bottom w:w="0" w:type="dxa"/>
            <w:right w:w="0" w:type="dxa"/>
          </w:tblCellMar>
        </w:tblPrEx>
        <w:trPr>
          <w:trHeight w:val="575"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安排</w:t>
            </w:r>
          </w:p>
        </w:tc>
        <w:tc>
          <w:tcPr>
            <w:tcW w:w="36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项目支出</w:t>
            </w:r>
          </w:p>
        </w:tc>
        <w:tc>
          <w:tcPr>
            <w:tcW w:w="47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678.17</w:t>
            </w:r>
          </w:p>
        </w:tc>
      </w:tr>
      <w:tr>
        <w:tblPrEx>
          <w:tblCellMar>
            <w:top w:w="0" w:type="dxa"/>
            <w:left w:w="0" w:type="dxa"/>
            <w:bottom w:w="0" w:type="dxa"/>
            <w:right w:w="0" w:type="dxa"/>
          </w:tblCellMar>
        </w:tblPrEx>
        <w:trPr>
          <w:trHeight w:val="585"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（万元）</w:t>
            </w:r>
          </w:p>
        </w:tc>
        <w:tc>
          <w:tcPr>
            <w:tcW w:w="36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基本支出</w:t>
            </w:r>
          </w:p>
        </w:tc>
        <w:tc>
          <w:tcPr>
            <w:tcW w:w="47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866.83</w:t>
            </w:r>
          </w:p>
        </w:tc>
      </w:tr>
      <w:tr>
        <w:tblPrEx>
          <w:tblCellMar>
            <w:top w:w="0" w:type="dxa"/>
            <w:left w:w="0" w:type="dxa"/>
            <w:bottom w:w="0" w:type="dxa"/>
            <w:right w:w="0" w:type="dxa"/>
          </w:tblCellMar>
        </w:tblPrEx>
        <w:trPr>
          <w:trHeight w:val="725"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年度</w:t>
            </w:r>
          </w:p>
        </w:tc>
        <w:tc>
          <w:tcPr>
            <w:tcW w:w="8445" w:type="dxa"/>
            <w:gridSpan w:val="5"/>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4"/>
              </w:numPr>
              <w:jc w:val="center"/>
              <w:textAlignment w:val="center"/>
              <w:rPr>
                <w:rFonts w:ascii="Arial Unicode MS" w:hAnsi="Arial Unicode MS" w:eastAsia="Arial Unicode MS" w:cs="Arial Unicode MS"/>
                <w:color w:val="000000"/>
                <w:kern w:val="0"/>
                <w:sz w:val="20"/>
                <w:szCs w:val="20"/>
              </w:rPr>
            </w:pPr>
            <w:r>
              <w:rPr>
                <w:rFonts w:hint="eastAsia" w:ascii="Arial Unicode MS" w:hAnsi="Arial Unicode MS" w:eastAsia="Arial Unicode MS" w:cs="Arial Unicode MS"/>
                <w:color w:val="000000"/>
                <w:kern w:val="0"/>
                <w:sz w:val="20"/>
                <w:szCs w:val="20"/>
              </w:rPr>
              <w:t>顺利开展双拥，春节走访</w:t>
            </w:r>
            <w:r>
              <w:rPr>
                <w:rFonts w:ascii="Arial Unicode MS" w:hAnsi="Arial Unicode MS" w:eastAsia="Arial Unicode MS" w:cs="Arial Unicode MS"/>
                <w:color w:val="000000"/>
                <w:kern w:val="0"/>
                <w:sz w:val="20"/>
                <w:szCs w:val="20"/>
              </w:rPr>
              <w:t xml:space="preserve"> </w:t>
            </w:r>
            <w:r>
              <w:rPr>
                <w:rFonts w:hint="eastAsia" w:ascii="Arial Unicode MS" w:hAnsi="Arial Unicode MS" w:eastAsia="Arial Unicode MS" w:cs="Arial Unicode MS"/>
                <w:color w:val="000000"/>
                <w:kern w:val="0"/>
                <w:sz w:val="20"/>
                <w:szCs w:val="20"/>
              </w:rPr>
              <w:t>，部队慰问等工作</w:t>
            </w:r>
          </w:p>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2.</w:t>
            </w:r>
            <w:r>
              <w:rPr>
                <w:rFonts w:hint="eastAsia" w:ascii="Arial Unicode MS" w:hAnsi="Arial Unicode MS" w:eastAsia="Arial Unicode MS" w:cs="Arial Unicode MS"/>
                <w:color w:val="000000"/>
                <w:kern w:val="0"/>
                <w:sz w:val="20"/>
                <w:szCs w:val="20"/>
              </w:rPr>
              <w:t>为复员退伍军人，伤残军人，退役士兵安置等提供生活补助</w:t>
            </w:r>
          </w:p>
        </w:tc>
      </w:tr>
      <w:tr>
        <w:tblPrEx>
          <w:tblCellMar>
            <w:top w:w="0" w:type="dxa"/>
            <w:left w:w="0" w:type="dxa"/>
            <w:bottom w:w="0" w:type="dxa"/>
            <w:right w:w="0" w:type="dxa"/>
          </w:tblCellMar>
        </w:tblPrEx>
        <w:trPr>
          <w:trHeight w:val="725"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总体</w:t>
            </w:r>
          </w:p>
        </w:tc>
        <w:tc>
          <w:tcPr>
            <w:tcW w:w="8445"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r>
      <w:tr>
        <w:tblPrEx>
          <w:tblCellMar>
            <w:top w:w="0" w:type="dxa"/>
            <w:left w:w="0" w:type="dxa"/>
            <w:bottom w:w="0" w:type="dxa"/>
            <w:right w:w="0" w:type="dxa"/>
          </w:tblCellMar>
        </w:tblPrEx>
        <w:trPr>
          <w:trHeight w:val="725"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目标</w:t>
            </w:r>
          </w:p>
        </w:tc>
        <w:tc>
          <w:tcPr>
            <w:tcW w:w="8445"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r>
      <w:tr>
        <w:tblPrEx>
          <w:tblCellMar>
            <w:top w:w="0" w:type="dxa"/>
            <w:left w:w="0" w:type="dxa"/>
            <w:bottom w:w="0" w:type="dxa"/>
            <w:right w:w="0" w:type="dxa"/>
          </w:tblCellMar>
        </w:tblPrEx>
        <w:trPr>
          <w:trHeight w:val="780"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年度</w:t>
            </w:r>
          </w:p>
        </w:tc>
        <w:tc>
          <w:tcPr>
            <w:tcW w:w="36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部门职能</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年度目标任务</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支出项目名称</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预算金额（万元）</w:t>
            </w:r>
          </w:p>
        </w:tc>
      </w:tr>
      <w:tr>
        <w:tblPrEx>
          <w:tblCellMar>
            <w:top w:w="0" w:type="dxa"/>
            <w:left w:w="0" w:type="dxa"/>
            <w:bottom w:w="0" w:type="dxa"/>
            <w:right w:w="0" w:type="dxa"/>
          </w:tblCellMar>
        </w:tblPrEx>
        <w:trPr>
          <w:trHeight w:val="780"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履职</w:t>
            </w:r>
          </w:p>
        </w:tc>
        <w:tc>
          <w:tcPr>
            <w:tcW w:w="36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确保双拥，春节走访等工作顺利开展</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双拥，部队，走访等慰问经费项目</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40</w:t>
            </w:r>
          </w:p>
        </w:tc>
      </w:tr>
      <w:tr>
        <w:tblPrEx>
          <w:tblCellMar>
            <w:top w:w="0" w:type="dxa"/>
            <w:left w:w="0" w:type="dxa"/>
            <w:bottom w:w="0" w:type="dxa"/>
            <w:right w:w="0" w:type="dxa"/>
          </w:tblCellMar>
        </w:tblPrEx>
        <w:trPr>
          <w:trHeight w:val="780" w:hRule="atLeast"/>
        </w:trPr>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目标</w:t>
            </w:r>
          </w:p>
        </w:tc>
        <w:tc>
          <w:tcPr>
            <w:tcW w:w="36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确保复员退伍军人生活补助资金及时足额发放</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复员退伍军人生活补助</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247.37</w:t>
            </w:r>
          </w:p>
        </w:tc>
      </w:tr>
      <w:tr>
        <w:tblPrEx>
          <w:tblCellMar>
            <w:top w:w="0" w:type="dxa"/>
            <w:left w:w="0" w:type="dxa"/>
            <w:bottom w:w="0" w:type="dxa"/>
            <w:right w:w="0"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2"/>
                <w:szCs w:val="22"/>
              </w:rPr>
            </w:pPr>
          </w:p>
        </w:tc>
        <w:tc>
          <w:tcPr>
            <w:tcW w:w="36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确保其他优抚抚恤补助资金及时足额发放</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其他优抚</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81.04</w:t>
            </w:r>
          </w:p>
        </w:tc>
      </w:tr>
      <w:tr>
        <w:tblPrEx>
          <w:tblCellMar>
            <w:top w:w="0" w:type="dxa"/>
            <w:left w:w="0" w:type="dxa"/>
            <w:bottom w:w="0" w:type="dxa"/>
            <w:right w:w="0"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2"/>
                <w:szCs w:val="22"/>
              </w:rPr>
            </w:pPr>
          </w:p>
        </w:tc>
        <w:tc>
          <w:tcPr>
            <w:tcW w:w="36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确保伤残军人抚恤资金及时足额发放</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伤残军人抚恤</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209.25</w:t>
            </w:r>
          </w:p>
        </w:tc>
      </w:tr>
      <w:tr>
        <w:tblPrEx>
          <w:tblCellMar>
            <w:top w:w="0" w:type="dxa"/>
            <w:left w:w="0" w:type="dxa"/>
            <w:bottom w:w="0" w:type="dxa"/>
            <w:right w:w="0"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2"/>
                <w:szCs w:val="22"/>
              </w:rPr>
            </w:pPr>
          </w:p>
        </w:tc>
        <w:tc>
          <w:tcPr>
            <w:tcW w:w="36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确保单位经费正常运转，其他补助顺利开展</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日常运转经费</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eastAsia="Arial Unicode MS" w:cs="Arial Unicode MS"/>
                <w:color w:val="000000"/>
                <w:sz w:val="20"/>
                <w:szCs w:val="20"/>
              </w:rPr>
            </w:pPr>
            <w:r>
              <w:rPr>
                <w:rFonts w:ascii="Arial Unicode MS" w:hAnsi="Arial Unicode MS" w:cs="Arial Unicode MS"/>
                <w:color w:val="000000"/>
                <w:sz w:val="20"/>
                <w:szCs w:val="20"/>
              </w:rPr>
              <w:t>100.51</w:t>
            </w:r>
          </w:p>
        </w:tc>
      </w:tr>
      <w:tr>
        <w:tblPrEx>
          <w:tblCellMar>
            <w:top w:w="0" w:type="dxa"/>
            <w:left w:w="0" w:type="dxa"/>
            <w:bottom w:w="0" w:type="dxa"/>
            <w:right w:w="0" w:type="dxa"/>
          </w:tblCellMar>
        </w:tblPrEx>
        <w:trPr>
          <w:trHeight w:val="780" w:hRule="atLeast"/>
        </w:trPr>
        <w:tc>
          <w:tcPr>
            <w:tcW w:w="84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年度绩效指标</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二级指标</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指标解释</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目标值</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产出目标</w:t>
            </w:r>
          </w:p>
        </w:tc>
        <w:tc>
          <w:tcPr>
            <w:tcW w:w="28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时效目标</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资金到位率</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本指标主要考核资金到位率，资金到位率达</w:t>
            </w:r>
            <w:r>
              <w:rPr>
                <w:rFonts w:ascii="Arial Unicode MS" w:hAnsi="Arial Unicode MS" w:eastAsia="Arial Unicode MS" w:cs="Arial Unicode MS"/>
                <w:color w:val="000000"/>
                <w:kern w:val="0"/>
                <w:sz w:val="20"/>
                <w:szCs w:val="20"/>
              </w:rPr>
              <w:t>100%</w:t>
            </w:r>
            <w:r>
              <w:rPr>
                <w:rFonts w:hint="eastAsia" w:ascii="Arial Unicode MS" w:hAnsi="Arial Unicode MS" w:eastAsia="Arial Unicode MS" w:cs="Arial Unicode MS"/>
                <w:color w:val="000000"/>
                <w:kern w:val="0"/>
                <w:sz w:val="20"/>
                <w:szCs w:val="20"/>
              </w:rPr>
              <w:t>得满分，每少</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分，扣完为止</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100%</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28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资金到位时效</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本指标主要考核资金到位时效，资金</w:t>
            </w:r>
            <w:r>
              <w:rPr>
                <w:rFonts w:ascii="Arial Unicode MS" w:hAnsi="Arial Unicode MS" w:eastAsia="Arial Unicode MS" w:cs="Arial Unicode MS"/>
                <w:color w:val="000000"/>
                <w:kern w:val="0"/>
                <w:sz w:val="20"/>
                <w:szCs w:val="20"/>
              </w:rPr>
              <w:t>12</w:t>
            </w:r>
            <w:r>
              <w:rPr>
                <w:rFonts w:hint="eastAsia" w:ascii="Arial Unicode MS" w:hAnsi="Arial Unicode MS" w:eastAsia="Arial Unicode MS" w:cs="Arial Unicode MS"/>
                <w:color w:val="000000"/>
                <w:kern w:val="0"/>
                <w:sz w:val="20"/>
                <w:szCs w:val="20"/>
              </w:rPr>
              <w:t>月底前到位得满分，比计划月份晚一个月以内扣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分，比计划月份晚一个月以上不得分</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12</w:t>
            </w:r>
            <w:r>
              <w:rPr>
                <w:rFonts w:hint="eastAsia" w:ascii="Arial Unicode MS" w:hAnsi="Arial Unicode MS" w:eastAsia="Arial Unicode MS" w:cs="Arial Unicode MS"/>
                <w:color w:val="000000"/>
                <w:kern w:val="0"/>
                <w:sz w:val="20"/>
                <w:szCs w:val="20"/>
              </w:rPr>
              <w:t>月</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28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成本目标</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复员退伍军人生活补助经费</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本指标主要考核复员退伍军人生活补助经费发放情况，复员退伍军人生活补助经费发放到位得满分，每少</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分，扣完为止</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&lt;=247.37</w:t>
            </w:r>
            <w:r>
              <w:rPr>
                <w:rFonts w:hint="eastAsia" w:ascii="Arial Unicode MS" w:hAnsi="Arial Unicode MS" w:eastAsia="Arial Unicode MS" w:cs="Arial Unicode MS"/>
                <w:color w:val="000000"/>
                <w:kern w:val="0"/>
                <w:sz w:val="20"/>
                <w:szCs w:val="20"/>
              </w:rPr>
              <w:t>万元</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28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其他优抚抚恤补助经费</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本指标主要考核其他优抚抚恤金经费发放情况，经费发放到位得满分，每少</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分，扣完为止</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&lt;=209.25</w:t>
            </w:r>
            <w:r>
              <w:rPr>
                <w:rFonts w:hint="eastAsia" w:ascii="Arial Unicode MS" w:hAnsi="Arial Unicode MS" w:eastAsia="Arial Unicode MS" w:cs="Arial Unicode MS"/>
                <w:color w:val="000000"/>
                <w:kern w:val="0"/>
                <w:sz w:val="20"/>
                <w:szCs w:val="20"/>
              </w:rPr>
              <w:t>万元</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28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完成双拥工作全年所需的工作经费</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本指标主要考核双拥慰问走访部队等经费发放情况，经费发放到位得满分，每少</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分，扣完为止</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&lt;=40</w:t>
            </w:r>
            <w:r>
              <w:rPr>
                <w:rFonts w:hint="eastAsia" w:ascii="Arial Unicode MS" w:hAnsi="Arial Unicode MS" w:eastAsia="Arial Unicode MS" w:cs="Arial Unicode MS"/>
                <w:color w:val="000000"/>
                <w:kern w:val="0"/>
                <w:sz w:val="20"/>
                <w:szCs w:val="20"/>
              </w:rPr>
              <w:t>万元</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28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伤残军人抚恤经费</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本指标主要考核伤残军人抚恤经费发放情况，经费发放到位得满分，每少</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分，扣完为止</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&lt;=81.04</w:t>
            </w:r>
            <w:r>
              <w:rPr>
                <w:rFonts w:hint="eastAsia" w:ascii="Arial Unicode MS" w:hAnsi="Arial Unicode MS" w:eastAsia="Arial Unicode MS" w:cs="Arial Unicode MS"/>
                <w:color w:val="000000"/>
                <w:kern w:val="0"/>
                <w:sz w:val="20"/>
                <w:szCs w:val="20"/>
              </w:rPr>
              <w:t>万元</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28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义务兵优待金</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本指标主要考核义务兵优待金经费发放情况，经费发放到位得满分，每少</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分，扣完为止</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&lt;=100.51</w:t>
            </w:r>
            <w:r>
              <w:rPr>
                <w:rFonts w:hint="eastAsia" w:ascii="Arial Unicode MS" w:hAnsi="Arial Unicode MS" w:eastAsia="Arial Unicode MS" w:cs="Arial Unicode MS"/>
                <w:color w:val="000000"/>
                <w:kern w:val="0"/>
                <w:sz w:val="20"/>
                <w:szCs w:val="20"/>
              </w:rPr>
              <w:t>万元</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数量目标</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享受复员退伍军人生活补助人数</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本指标主要考核享受复员退伍军人生活补助人数情况，实际完成率</w:t>
            </w:r>
            <w:r>
              <w:rPr>
                <w:rFonts w:ascii="Arial Unicode MS" w:hAnsi="Arial Unicode MS" w:eastAsia="Arial Unicode MS" w:cs="Arial Unicode MS"/>
                <w:color w:val="000000"/>
                <w:kern w:val="0"/>
                <w:sz w:val="20"/>
                <w:szCs w:val="20"/>
              </w:rPr>
              <w:t>=</w:t>
            </w:r>
            <w:r>
              <w:rPr>
                <w:rFonts w:hint="eastAsia" w:ascii="Arial Unicode MS" w:hAnsi="Arial Unicode MS" w:eastAsia="Arial Unicode MS" w:cs="Arial Unicode MS"/>
                <w:color w:val="000000"/>
                <w:kern w:val="0"/>
                <w:sz w:val="20"/>
                <w:szCs w:val="20"/>
              </w:rPr>
              <w:t>（实际产出数量</w:t>
            </w:r>
            <w:r>
              <w:rPr>
                <w:rFonts w:ascii="Arial Unicode MS" w:hAnsi="Arial Unicode MS" w:eastAsia="Arial Unicode MS" w:cs="Arial Unicode MS"/>
                <w:color w:val="000000"/>
                <w:kern w:val="0"/>
                <w:sz w:val="20"/>
                <w:szCs w:val="20"/>
              </w:rPr>
              <w:t>/</w:t>
            </w:r>
            <w:r>
              <w:rPr>
                <w:rFonts w:hint="eastAsia" w:ascii="Arial Unicode MS" w:hAnsi="Arial Unicode MS" w:eastAsia="Arial Unicode MS" w:cs="Arial Unicode MS"/>
                <w:color w:val="000000"/>
                <w:kern w:val="0"/>
                <w:sz w:val="20"/>
                <w:szCs w:val="20"/>
              </w:rPr>
              <w:t>计划产出数量）</w:t>
            </w:r>
            <w:r>
              <w:rPr>
                <w:rFonts w:ascii="Arial Unicode MS" w:hAnsi="Arial Unicode MS" w:eastAsia="Arial Unicode MS" w:cs="Arial Unicode MS"/>
                <w:color w:val="000000"/>
                <w:kern w:val="0"/>
                <w:sz w:val="20"/>
                <w:szCs w:val="20"/>
              </w:rPr>
              <w:t>*100%</w:t>
            </w:r>
            <w:r>
              <w:rPr>
                <w:rFonts w:hint="eastAsia" w:ascii="Arial Unicode MS" w:hAnsi="Arial Unicode MS" w:eastAsia="Arial Unicode MS" w:cs="Arial Unicode MS"/>
                <w:color w:val="000000"/>
                <w:kern w:val="0"/>
                <w:sz w:val="20"/>
                <w:szCs w:val="20"/>
              </w:rPr>
              <w:t>。实际完成率大于</w:t>
            </w:r>
            <w:r>
              <w:rPr>
                <w:rFonts w:ascii="Arial Unicode MS" w:hAnsi="Arial Unicode MS" w:eastAsia="Arial Unicode MS" w:cs="Arial Unicode MS"/>
                <w:color w:val="000000"/>
                <w:kern w:val="0"/>
                <w:sz w:val="20"/>
                <w:szCs w:val="20"/>
              </w:rPr>
              <w:t>95%</w:t>
            </w:r>
            <w:r>
              <w:rPr>
                <w:rFonts w:hint="eastAsia" w:ascii="Arial Unicode MS" w:hAnsi="Arial Unicode MS" w:eastAsia="Arial Unicode MS" w:cs="Arial Unicode MS"/>
                <w:color w:val="000000"/>
                <w:kern w:val="0"/>
                <w:sz w:val="20"/>
                <w:szCs w:val="20"/>
              </w:rPr>
              <w:t>得满分，每少</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分，扣完为止。</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183</w:t>
            </w:r>
            <w:r>
              <w:rPr>
                <w:rFonts w:hint="eastAsia" w:ascii="Arial Unicode MS" w:hAnsi="Arial Unicode MS" w:eastAsia="Arial Unicode MS" w:cs="Arial Unicode MS"/>
                <w:color w:val="000000"/>
                <w:kern w:val="0"/>
                <w:sz w:val="20"/>
                <w:szCs w:val="20"/>
              </w:rPr>
              <w:t>人</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质量目标</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享受补助人员覆盖率</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本指标主要考核享受补助人员覆盖率，享受补助人员覆盖率达</w:t>
            </w:r>
            <w:r>
              <w:rPr>
                <w:rFonts w:ascii="Arial Unicode MS" w:hAnsi="Arial Unicode MS" w:eastAsia="Arial Unicode MS" w:cs="Arial Unicode MS"/>
                <w:color w:val="000000"/>
                <w:kern w:val="0"/>
                <w:sz w:val="20"/>
                <w:szCs w:val="20"/>
              </w:rPr>
              <w:t>100%</w:t>
            </w:r>
            <w:r>
              <w:rPr>
                <w:rFonts w:hint="eastAsia" w:ascii="Arial Unicode MS" w:hAnsi="Arial Unicode MS" w:eastAsia="Arial Unicode MS" w:cs="Arial Unicode MS"/>
                <w:color w:val="000000"/>
                <w:kern w:val="0"/>
                <w:sz w:val="20"/>
                <w:szCs w:val="20"/>
              </w:rPr>
              <w:t>得满分，每少</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分，扣完为止</w:t>
            </w:r>
            <w:r>
              <w:rPr>
                <w:rFonts w:ascii="Arial Unicode MS" w:hAnsi="Arial Unicode MS" w:eastAsia="Arial Unicode MS" w:cs="Arial Unicode MS"/>
                <w:color w:val="000000"/>
                <w:kern w:val="0"/>
                <w:sz w:val="20"/>
                <w:szCs w:val="20"/>
              </w:rPr>
              <w:t xml:space="preserve"> </w:t>
            </w:r>
            <w:r>
              <w:rPr>
                <w:rFonts w:hint="eastAsia" w:ascii="Arial Unicode MS" w:hAnsi="Arial Unicode MS" w:eastAsia="Arial Unicode MS" w:cs="Arial Unicode MS"/>
                <w:color w:val="000000"/>
                <w:kern w:val="0"/>
                <w:sz w:val="20"/>
                <w:szCs w:val="20"/>
              </w:rPr>
              <w:t>。</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100%</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效益目标</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社会效益目标</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优抚对象上访率</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本指标主要考核优抚对象上访情况，优抚对象上访率低于</w:t>
            </w:r>
            <w:r>
              <w:rPr>
                <w:rFonts w:ascii="Arial Unicode MS" w:hAnsi="Arial Unicode MS" w:eastAsia="Arial Unicode MS" w:cs="Arial Unicode MS"/>
                <w:color w:val="000000"/>
                <w:kern w:val="0"/>
                <w:sz w:val="20"/>
                <w:szCs w:val="20"/>
              </w:rPr>
              <w:t>7%</w:t>
            </w:r>
            <w:r>
              <w:rPr>
                <w:rFonts w:hint="eastAsia" w:ascii="Arial Unicode MS" w:hAnsi="Arial Unicode MS" w:eastAsia="Arial Unicode MS" w:cs="Arial Unicode MS"/>
                <w:color w:val="000000"/>
                <w:kern w:val="0"/>
                <w:sz w:val="20"/>
                <w:szCs w:val="20"/>
              </w:rPr>
              <w:t>的满分，每多</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2</w:t>
            </w:r>
            <w:r>
              <w:rPr>
                <w:rFonts w:hint="eastAsia" w:ascii="Arial Unicode MS" w:hAnsi="Arial Unicode MS" w:eastAsia="Arial Unicode MS" w:cs="Arial Unicode MS"/>
                <w:color w:val="000000"/>
                <w:kern w:val="0"/>
                <w:sz w:val="20"/>
                <w:szCs w:val="20"/>
              </w:rPr>
              <w:t>分，扣完为止。</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7%</w:t>
            </w:r>
          </w:p>
        </w:tc>
      </w:tr>
      <w:tr>
        <w:tblPrEx>
          <w:tblCellMar>
            <w:top w:w="0" w:type="dxa"/>
            <w:left w:w="0" w:type="dxa"/>
            <w:bottom w:w="0" w:type="dxa"/>
            <w:right w:w="0" w:type="dxa"/>
          </w:tblCellMar>
        </w:tblPrEx>
        <w:trPr>
          <w:trHeight w:val="780" w:hRule="atLeast"/>
        </w:trPr>
        <w:tc>
          <w:tcPr>
            <w:tcW w:w="8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Arial Unicode MS" w:hAnsi="Arial Unicode MS" w:eastAsia="Arial Unicode MS" w:cs="Arial Unicode MS"/>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满意度目标</w:t>
            </w:r>
          </w:p>
        </w:tc>
        <w:tc>
          <w:tcPr>
            <w:tcW w:w="28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服务对象满意度</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优抚对象满意度</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本指标主要考核优抚对象对优抚工作的满意度情况，优抚对象对优抚工作的满意度大于</w:t>
            </w:r>
            <w:r>
              <w:rPr>
                <w:rFonts w:ascii="Arial Unicode MS" w:hAnsi="Arial Unicode MS" w:eastAsia="Arial Unicode MS" w:cs="Arial Unicode MS"/>
                <w:color w:val="000000"/>
                <w:kern w:val="0"/>
                <w:sz w:val="20"/>
                <w:szCs w:val="20"/>
              </w:rPr>
              <w:t>93%</w:t>
            </w:r>
            <w:r>
              <w:rPr>
                <w:rFonts w:hint="eastAsia" w:ascii="Arial Unicode MS" w:hAnsi="Arial Unicode MS" w:eastAsia="Arial Unicode MS" w:cs="Arial Unicode MS"/>
                <w:color w:val="000000"/>
                <w:kern w:val="0"/>
                <w:sz w:val="20"/>
                <w:szCs w:val="20"/>
              </w:rPr>
              <w:t>的满分，每少</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个百分点扣</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分，扣完为止。</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ascii="Arial Unicode MS" w:hAnsi="Arial Unicode MS" w:eastAsia="Arial Unicode MS" w:cs="Arial Unicode MS"/>
                <w:color w:val="000000"/>
                <w:kern w:val="0"/>
                <w:sz w:val="20"/>
                <w:szCs w:val="20"/>
              </w:rPr>
              <w:t>93%</w:t>
            </w:r>
          </w:p>
        </w:tc>
      </w:tr>
      <w:tr>
        <w:tblPrEx>
          <w:tblCellMar>
            <w:top w:w="0" w:type="dxa"/>
            <w:left w:w="0" w:type="dxa"/>
            <w:bottom w:w="0" w:type="dxa"/>
            <w:right w:w="0" w:type="dxa"/>
          </w:tblCellMar>
        </w:tblPrEx>
        <w:trPr>
          <w:trHeight w:val="615" w:hRule="atLeast"/>
        </w:trPr>
        <w:tc>
          <w:tcPr>
            <w:tcW w:w="9285"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Arial Unicode MS" w:hAnsi="Arial Unicode MS" w:eastAsia="Arial Unicode MS" w:cs="Arial Unicode MS"/>
                <w:color w:val="000000"/>
                <w:sz w:val="20"/>
                <w:szCs w:val="20"/>
              </w:rPr>
            </w:pPr>
            <w:r>
              <w:rPr>
                <w:rFonts w:hint="eastAsia" w:ascii="Arial Unicode MS" w:hAnsi="Arial Unicode MS" w:eastAsia="Arial Unicode MS" w:cs="Arial Unicode MS"/>
                <w:color w:val="000000"/>
                <w:kern w:val="0"/>
                <w:sz w:val="20"/>
                <w:szCs w:val="20"/>
              </w:rPr>
              <w:t>注：</w:t>
            </w:r>
            <w:r>
              <w:rPr>
                <w:rFonts w:ascii="Arial Unicode MS" w:hAnsi="Arial Unicode MS" w:eastAsia="Arial Unicode MS" w:cs="Arial Unicode MS"/>
                <w:color w:val="000000"/>
                <w:kern w:val="0"/>
                <w:sz w:val="20"/>
                <w:szCs w:val="20"/>
              </w:rPr>
              <w:t>1.</w:t>
            </w:r>
            <w:r>
              <w:rPr>
                <w:rFonts w:hint="eastAsia" w:ascii="Arial Unicode MS" w:hAnsi="Arial Unicode MS" w:eastAsia="Arial Unicode MS" w:cs="Arial Unicode MS"/>
                <w:color w:val="000000"/>
                <w:kern w:val="0"/>
                <w:sz w:val="20"/>
                <w:szCs w:val="20"/>
              </w:rPr>
              <w:t>编制的三级指标个数不少于</w:t>
            </w:r>
            <w:r>
              <w:rPr>
                <w:rFonts w:ascii="Arial Unicode MS" w:hAnsi="Arial Unicode MS" w:eastAsia="Arial Unicode MS" w:cs="Arial Unicode MS"/>
                <w:color w:val="000000"/>
                <w:kern w:val="0"/>
                <w:sz w:val="20"/>
                <w:szCs w:val="20"/>
              </w:rPr>
              <w:t>10</w:t>
            </w:r>
            <w:r>
              <w:rPr>
                <w:rFonts w:hint="eastAsia" w:ascii="Arial Unicode MS" w:hAnsi="Arial Unicode MS" w:eastAsia="Arial Unicode MS" w:cs="Arial Unicode MS"/>
                <w:color w:val="000000"/>
                <w:kern w:val="0"/>
                <w:sz w:val="20"/>
                <w:szCs w:val="20"/>
              </w:rPr>
              <w:t>个，且所有指标都必须是量化指标。</w:t>
            </w:r>
            <w:r>
              <w:rPr>
                <w:rFonts w:ascii="Arial Unicode MS" w:hAnsi="Arial Unicode MS" w:eastAsia="Arial Unicode MS" w:cs="Arial Unicode MS"/>
                <w:color w:val="000000"/>
                <w:kern w:val="0"/>
                <w:sz w:val="20"/>
                <w:szCs w:val="20"/>
              </w:rPr>
              <w:t>2.</w:t>
            </w:r>
            <w:r>
              <w:rPr>
                <w:rFonts w:hint="eastAsia" w:ascii="Arial Unicode MS" w:hAnsi="Arial Unicode MS" w:eastAsia="Arial Unicode MS" w:cs="Arial Unicode MS"/>
                <w:color w:val="000000"/>
                <w:kern w:val="0"/>
                <w:sz w:val="20"/>
                <w:szCs w:val="20"/>
              </w:rPr>
              <w:t>指标解释是对绩效目标三级指标进行解释说明，包括指标出处、具体内容、上年度数值、计算方法、评分标准等。</w:t>
            </w:r>
          </w:p>
        </w:tc>
      </w:tr>
    </w:tbl>
    <w:p>
      <w:pPr>
        <w:adjustRightInd w:val="0"/>
        <w:snapToGrid w:val="0"/>
        <w:spacing w:line="600" w:lineRule="exact"/>
        <w:rPr>
          <w:rFonts w:ascii="黑体" w:hAnsi="宋体" w:eastAsia="黑体"/>
          <w:sz w:val="32"/>
          <w:szCs w:val="32"/>
        </w:rPr>
      </w:pP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lang w:eastAsia="zh-CN"/>
        </w:rPr>
        <w:t>六</w:t>
      </w:r>
      <w:r>
        <w:rPr>
          <w:rFonts w:hint="eastAsia" w:ascii="黑体" w:hAnsi="宋体" w:eastAsia="黑体"/>
          <w:sz w:val="32"/>
          <w:szCs w:val="32"/>
        </w:rPr>
        <w:t>、项目绩效情况</w:t>
      </w:r>
      <w:r>
        <w:rPr>
          <w:rFonts w:ascii="仿宋_GB2312" w:hAnsi="宋体" w:eastAsia="仿宋_GB2312"/>
          <w:sz w:val="32"/>
          <w:szCs w:val="32"/>
          <w:lang w:val="zh-CN"/>
        </w:rPr>
        <w:tab/>
      </w:r>
    </w:p>
    <w:p>
      <w:pPr>
        <w:spacing w:line="580" w:lineRule="exact"/>
        <w:ind w:left="962" w:leftChars="152" w:hanging="643" w:hangingChars="200"/>
        <w:rPr>
          <w:rFonts w:hint="eastAsia" w:ascii="楷体_GB2312" w:hAnsi="楷体_GB2312" w:eastAsia="楷体_GB2312" w:cs="楷体_GB2312"/>
          <w:b/>
          <w:bCs/>
          <w:sz w:val="32"/>
          <w:szCs w:val="32"/>
        </w:rPr>
      </w:pPr>
      <w:r>
        <w:rPr>
          <w:rFonts w:ascii="楷体_GB2312" w:hAnsi="楷体_GB2312" w:eastAsia="楷体_GB2312" w:cs="楷体_GB2312"/>
          <w:b/>
          <w:bCs/>
          <w:sz w:val="32"/>
          <w:szCs w:val="32"/>
        </w:rPr>
        <w:t>1</w:t>
      </w:r>
      <w:r>
        <w:rPr>
          <w:rFonts w:hint="eastAsia" w:ascii="楷体_GB2312" w:hAnsi="楷体_GB2312" w:eastAsia="楷体_GB2312" w:cs="楷体_GB2312"/>
          <w:b/>
          <w:bCs/>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年度部门决算中反映“义务兵优待金、退役安置、生活救助、拥军优属</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个项目绩效目标实际完成情况。</w:t>
      </w:r>
    </w:p>
    <w:p>
      <w:pPr>
        <w:adjustRightInd w:val="0"/>
        <w:snapToGrid w:val="0"/>
        <w:spacing w:line="600" w:lineRule="exact"/>
      </w:pPr>
      <w:r>
        <w:rPr>
          <w:rFonts w:hint="eastAsia" w:ascii="黑体" w:hAnsi="宋体" w:eastAsia="黑体"/>
          <w:sz w:val="32"/>
          <w:szCs w:val="32"/>
          <w:lang w:eastAsia="zh-CN"/>
        </w:rPr>
        <w:t>　　</w:t>
      </w:r>
      <w:r>
        <w:rPr>
          <w:rFonts w:hint="eastAsia" w:ascii="黑体" w:hAnsi="宋体" w:eastAsia="黑体"/>
          <w:sz w:val="32"/>
          <w:szCs w:val="32"/>
        </w:rPr>
        <w:t>四</w:t>
      </w:r>
      <w:r>
        <w:rPr>
          <w:rFonts w:hint="eastAsia" w:ascii="黑体" w:hAnsi="宋体" w:eastAsia="黑体"/>
          <w:sz w:val="32"/>
          <w:szCs w:val="32"/>
          <w:lang w:eastAsia="zh-CN"/>
        </w:rPr>
        <w:t>、</w:t>
      </w:r>
      <w:r>
        <w:rPr>
          <w:rFonts w:hint="eastAsia" w:ascii="黑体" w:hAnsi="宋体" w:eastAsia="黑体"/>
          <w:sz w:val="32"/>
          <w:szCs w:val="32"/>
        </w:rPr>
        <w:t>评价结论及建议</w:t>
      </w:r>
      <w:r>
        <w:t xml:space="preserve">      </w:t>
      </w:r>
    </w:p>
    <w:p>
      <w:pPr>
        <w:pStyle w:val="2"/>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红原县退役军人事务局按照相关规定组织实施，项目完成情况良好，圆满完成省、州下达的绩效目标，取得了良好的社会效益，针对退役军人特殊人员十分满意。</w:t>
      </w:r>
    </w:p>
    <w:p>
      <w:pPr>
        <w:widowControl/>
        <w:numPr>
          <w:ilvl w:val="0"/>
          <w:numId w:val="5"/>
        </w:numPr>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存在问题。</w:t>
      </w:r>
    </w:p>
    <w:p>
      <w:pPr>
        <w:pStyle w:val="2"/>
        <w:numPr>
          <w:ilvl w:val="0"/>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存在支出项目编制过多过散，项目经费执行难度过大的问题。</w:t>
      </w:r>
    </w:p>
    <w:p>
      <w:pPr>
        <w:pStyle w:val="2"/>
        <w:numPr>
          <w:ilvl w:val="0"/>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存在部分项目支出预算的申请理由不够充分、测算依据及说明不够具体的问题。</w:t>
      </w:r>
    </w:p>
    <w:p>
      <w:pPr>
        <w:pStyle w:val="2"/>
        <w:numPr>
          <w:ilvl w:val="0"/>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存在项目年度绩效指标填报不够完整，指标内容和指标值不够具体明确，不利于开展项目支出绩效评价的问题。</w:t>
      </w:r>
    </w:p>
    <w:p>
      <w:pPr>
        <w:widowControl/>
        <w:numPr>
          <w:ilvl w:val="0"/>
          <w:numId w:val="5"/>
        </w:numPr>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整改措施</w:t>
      </w:r>
    </w:p>
    <w:p>
      <w:pPr>
        <w:pStyle w:val="2"/>
        <w:numPr>
          <w:ilvl w:val="0"/>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我局预算编制的很多支出项目是根据相关法律法规以及上级相关部门的规定填报的。我局在以后年度编制该项目支出预算时可以合并到一起列入“保机构运转项目”填报，再在项目支出明细预算予以细分。</w:t>
      </w:r>
    </w:p>
    <w:p>
      <w:pPr>
        <w:pStyle w:val="2"/>
        <w:numPr>
          <w:ilvl w:val="0"/>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我局涉及多个部门职能特色项目的合并到一个支出项目填报，再在项目支出明细预算予以细分。</w:t>
      </w:r>
    </w:p>
    <w:p>
      <w:pPr>
        <w:pStyle w:val="2"/>
        <w:numPr>
          <w:ilvl w:val="0"/>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项目资金绩效目标申报表必须按要求填报完整。</w:t>
      </w:r>
    </w:p>
    <w:p>
      <w:pPr>
        <w:pStyle w:val="2"/>
        <w:rPr>
          <w:rFonts w:ascii="仿宋_GB2312" w:hAnsi="仿宋_GB2312" w:eastAsia="仿宋_GB2312" w:cs="仿宋_GB2312"/>
          <w:color w:val="000000"/>
          <w:sz w:val="32"/>
          <w:szCs w:val="32"/>
          <w:lang w:val="zh-CN"/>
        </w:rPr>
      </w:pPr>
    </w:p>
    <w:p>
      <w:pPr>
        <w:widowControl/>
        <w:adjustRightInd w:val="0"/>
        <w:snapToGrid w:val="0"/>
        <w:spacing w:line="480" w:lineRule="exact"/>
        <w:jc w:val="left"/>
        <w:rPr>
          <w:rStyle w:val="17"/>
          <w:rFonts w:ascii="仿宋" w:hAnsi="仿宋" w:eastAsia="仿宋"/>
          <w:b w:val="0"/>
          <w:bCs w:val="0"/>
          <w:sz w:val="32"/>
          <w:szCs w:val="32"/>
        </w:rPr>
      </w:pPr>
    </w:p>
    <w:p>
      <w:pPr>
        <w:widowControl/>
        <w:adjustRightInd w:val="0"/>
        <w:snapToGrid w:val="0"/>
        <w:spacing w:line="480" w:lineRule="exact"/>
        <w:ind w:firstLine="720"/>
        <w:jc w:val="left"/>
        <w:rPr>
          <w:rStyle w:val="17"/>
          <w:rFonts w:ascii="仿宋" w:hAnsi="仿宋" w:eastAsia="仿宋"/>
          <w:b w:val="0"/>
          <w:bCs w:val="0"/>
          <w:sz w:val="32"/>
          <w:szCs w:val="32"/>
        </w:rPr>
      </w:pPr>
    </w:p>
    <w:p>
      <w:pPr>
        <w:widowControl/>
        <w:adjustRightInd w:val="0"/>
        <w:snapToGrid w:val="0"/>
        <w:spacing w:line="480" w:lineRule="exact"/>
        <w:ind w:firstLine="720"/>
        <w:jc w:val="left"/>
        <w:rPr>
          <w:rStyle w:val="17"/>
          <w:rFonts w:ascii="仿宋" w:hAnsi="仿宋" w:eastAsia="仿宋"/>
          <w:b w:val="0"/>
          <w:bCs w:val="0"/>
          <w:sz w:val="32"/>
          <w:szCs w:val="32"/>
        </w:rPr>
      </w:pPr>
    </w:p>
    <w:bookmarkEnd w:id="197"/>
    <w:bookmarkEnd w:id="198"/>
    <w:p>
      <w:pPr>
        <w:pStyle w:val="2"/>
        <w:rPr>
          <w:rFonts w:ascii="黑体" w:hAnsi="黑体" w:eastAsia="黑体"/>
          <w:color w:val="000000"/>
          <w:sz w:val="44"/>
          <w:szCs w:val="44"/>
        </w:rPr>
      </w:pPr>
      <w:bookmarkStart w:id="199" w:name="_Toc15396618"/>
      <w:bookmarkStart w:id="200" w:name="_Toc22392"/>
    </w:p>
    <w:p>
      <w:pPr>
        <w:pStyle w:val="2"/>
        <w:rPr>
          <w:rFonts w:ascii="黑体" w:hAnsi="黑体" w:eastAsia="黑体"/>
          <w:color w:val="000000"/>
          <w:sz w:val="44"/>
          <w:szCs w:val="44"/>
        </w:rPr>
      </w:pPr>
    </w:p>
    <w:p>
      <w:pPr>
        <w:pStyle w:val="2"/>
        <w:rPr>
          <w:rFonts w:ascii="黑体" w:hAnsi="黑体" w:eastAsia="黑体"/>
          <w:color w:val="000000"/>
          <w:sz w:val="44"/>
          <w:szCs w:val="44"/>
        </w:rPr>
      </w:pPr>
      <w:bookmarkStart w:id="282" w:name="_GoBack"/>
      <w:bookmarkEnd w:id="282"/>
    </w:p>
    <w:p>
      <w:pPr>
        <w:pageBreakBefore w:val="0"/>
        <w:widowControl w:val="0"/>
        <w:kinsoku/>
        <w:wordWrap/>
        <w:overflowPunct/>
        <w:topLinePunct w:val="0"/>
        <w:autoSpaceDE/>
        <w:autoSpaceDN/>
        <w:bidi w:val="0"/>
        <w:adjustRightInd/>
        <w:snapToGrid/>
        <w:spacing w:line="560" w:lineRule="exact"/>
        <w:jc w:val="center"/>
        <w:textAlignment w:val="auto"/>
        <w:outlineLvl w:val="0"/>
        <w:rPr>
          <w:rFonts w:ascii="仿宋" w:hAnsi="仿宋" w:eastAsia="仿宋"/>
          <w:b/>
          <w:color w:val="000000"/>
          <w:sz w:val="44"/>
          <w:szCs w:val="44"/>
        </w:rPr>
      </w:pPr>
      <w:bookmarkStart w:id="201" w:name="_Toc14305"/>
      <w:bookmarkStart w:id="202" w:name="_Toc14418"/>
      <w:bookmarkStart w:id="203" w:name="_Toc6989"/>
      <w:bookmarkStart w:id="204" w:name="_Toc2815"/>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199"/>
      <w:bookmarkEnd w:id="200"/>
      <w:bookmarkEnd w:id="201"/>
      <w:bookmarkEnd w:id="202"/>
      <w:bookmarkEnd w:id="203"/>
      <w:bookmarkEnd w:id="204"/>
    </w:p>
    <w:p>
      <w:pPr>
        <w:pStyle w:val="4"/>
        <w:pageBreakBefore w:val="0"/>
        <w:widowControl w:val="0"/>
        <w:numPr>
          <w:ilvl w:val="0"/>
          <w:numId w:val="6"/>
        </w:numPr>
        <w:kinsoku/>
        <w:wordWrap/>
        <w:overflowPunct/>
        <w:topLinePunct w:val="0"/>
        <w:autoSpaceDE/>
        <w:autoSpaceDN/>
        <w:bidi w:val="0"/>
        <w:adjustRightInd/>
        <w:snapToGrid/>
        <w:spacing w:line="560" w:lineRule="exact"/>
        <w:textAlignment w:val="auto"/>
        <w:rPr>
          <w:rFonts w:ascii="仿宋" w:hAnsi="仿宋" w:eastAsia="仿宋"/>
          <w:b w:val="0"/>
          <w:color w:val="000000"/>
        </w:rPr>
      </w:pPr>
      <w:bookmarkStart w:id="205" w:name="_Toc17614"/>
      <w:bookmarkStart w:id="206" w:name="_Toc5602"/>
      <w:bookmarkStart w:id="207" w:name="_Toc32532"/>
      <w:bookmarkStart w:id="208" w:name="_Toc16061"/>
      <w:bookmarkStart w:id="209" w:name="_Toc1284"/>
      <w:bookmarkStart w:id="210" w:name="_Toc15396620"/>
      <w:r>
        <w:rPr>
          <w:rFonts w:hint="eastAsia" w:ascii="仿宋" w:hAnsi="仿宋" w:eastAsia="仿宋"/>
          <w:b w:val="0"/>
          <w:color w:val="000000"/>
        </w:rPr>
        <w:t>收入支出决算总表</w:t>
      </w:r>
      <w:bookmarkEnd w:id="205"/>
      <w:bookmarkEnd w:id="206"/>
      <w:bookmarkEnd w:id="207"/>
      <w:bookmarkEnd w:id="208"/>
      <w:bookmarkEnd w:id="209"/>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11" w:name="_Toc26534"/>
      <w:bookmarkStart w:id="212" w:name="_Toc30092"/>
      <w:bookmarkStart w:id="213" w:name="_Toc30094"/>
      <w:bookmarkStart w:id="214" w:name="_Toc17705"/>
      <w:bookmarkStart w:id="215" w:name="_Toc19474"/>
      <w:r>
        <w:rPr>
          <w:rFonts w:hint="eastAsia" w:ascii="仿宋" w:hAnsi="仿宋" w:eastAsia="仿宋"/>
          <w:b w:val="0"/>
          <w:color w:val="000000"/>
        </w:rPr>
        <w:t>二、收</w:t>
      </w:r>
      <w:r>
        <w:rPr>
          <w:rStyle w:val="18"/>
          <w:rFonts w:hint="eastAsia" w:ascii="仿宋" w:hAnsi="仿宋" w:eastAsia="仿宋"/>
          <w:b w:val="0"/>
          <w:bCs w:val="0"/>
        </w:rPr>
        <w:t>入总表</w:t>
      </w:r>
      <w:bookmarkEnd w:id="210"/>
      <w:bookmarkEnd w:id="211"/>
      <w:bookmarkEnd w:id="212"/>
      <w:bookmarkEnd w:id="213"/>
      <w:bookmarkEnd w:id="214"/>
      <w:bookmarkEnd w:id="215"/>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16" w:name="_Toc19531"/>
      <w:bookmarkStart w:id="217" w:name="_Toc2293"/>
      <w:bookmarkStart w:id="218" w:name="_Toc15396621"/>
      <w:bookmarkStart w:id="219" w:name="_Toc10200"/>
      <w:bookmarkStart w:id="220" w:name="_Toc17006"/>
      <w:bookmarkStart w:id="221" w:name="_Toc1564"/>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出总表</w:t>
      </w:r>
      <w:bookmarkEnd w:id="216"/>
      <w:bookmarkEnd w:id="217"/>
      <w:bookmarkEnd w:id="218"/>
      <w:bookmarkEnd w:id="219"/>
      <w:bookmarkEnd w:id="220"/>
      <w:bookmarkEnd w:id="221"/>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val="0"/>
          <w:color w:val="000000"/>
        </w:rPr>
      </w:pPr>
      <w:bookmarkStart w:id="222" w:name="_Toc6811"/>
      <w:bookmarkStart w:id="223" w:name="_Toc19764"/>
      <w:bookmarkStart w:id="224" w:name="_Toc17407"/>
      <w:bookmarkStart w:id="225" w:name="_Toc28157"/>
      <w:bookmarkStart w:id="226" w:name="_Toc2680"/>
      <w:bookmarkStart w:id="227"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222"/>
      <w:bookmarkEnd w:id="223"/>
      <w:bookmarkEnd w:id="224"/>
      <w:bookmarkEnd w:id="225"/>
      <w:bookmarkEnd w:id="226"/>
      <w:bookmarkEnd w:id="227"/>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28" w:name="_Toc15396623"/>
      <w:bookmarkStart w:id="229" w:name="_Toc28830"/>
      <w:bookmarkStart w:id="230" w:name="_Toc28759"/>
      <w:bookmarkStart w:id="231" w:name="_Toc5738"/>
      <w:bookmarkStart w:id="232" w:name="_Toc19445"/>
      <w:bookmarkStart w:id="233" w:name="_Toc4671"/>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政拨款支出决算明细表（政府经济分类科目）</w:t>
      </w:r>
      <w:bookmarkEnd w:id="228"/>
      <w:bookmarkEnd w:id="229"/>
      <w:bookmarkEnd w:id="230"/>
      <w:bookmarkEnd w:id="231"/>
      <w:bookmarkEnd w:id="232"/>
      <w:bookmarkEnd w:id="233"/>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34" w:name="_Toc6903"/>
      <w:bookmarkStart w:id="235" w:name="_Toc1878"/>
      <w:bookmarkStart w:id="236" w:name="_Toc15396624"/>
      <w:bookmarkStart w:id="237" w:name="_Toc21660"/>
      <w:bookmarkStart w:id="238" w:name="_Toc25921"/>
      <w:bookmarkStart w:id="239" w:name="_Toc13848"/>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234"/>
      <w:bookmarkEnd w:id="235"/>
      <w:bookmarkEnd w:id="236"/>
      <w:bookmarkEnd w:id="237"/>
      <w:bookmarkEnd w:id="238"/>
      <w:bookmarkEnd w:id="239"/>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40" w:name="_Toc7350"/>
      <w:bookmarkStart w:id="241" w:name="_Toc15396625"/>
      <w:bookmarkStart w:id="242" w:name="_Toc1965"/>
      <w:bookmarkStart w:id="243" w:name="_Toc21275"/>
      <w:bookmarkStart w:id="244" w:name="_Toc13805"/>
      <w:bookmarkStart w:id="245" w:name="_Toc2159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240"/>
      <w:bookmarkEnd w:id="241"/>
      <w:bookmarkEnd w:id="242"/>
      <w:bookmarkEnd w:id="243"/>
      <w:bookmarkEnd w:id="244"/>
      <w:bookmarkEnd w:id="245"/>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46" w:name="_Toc29058"/>
      <w:bookmarkStart w:id="247" w:name="_Toc20412"/>
      <w:bookmarkStart w:id="248" w:name="_Toc21867"/>
      <w:bookmarkStart w:id="249" w:name="_Toc15396626"/>
      <w:bookmarkStart w:id="250" w:name="_Toc22026"/>
      <w:bookmarkStart w:id="251" w:name="_Toc20348"/>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246"/>
      <w:bookmarkEnd w:id="247"/>
      <w:bookmarkEnd w:id="248"/>
      <w:bookmarkEnd w:id="249"/>
      <w:bookmarkEnd w:id="250"/>
      <w:bookmarkEnd w:id="251"/>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52" w:name="_Toc15396627"/>
      <w:bookmarkStart w:id="253" w:name="_Toc20652"/>
      <w:bookmarkStart w:id="254" w:name="_Toc28795"/>
      <w:bookmarkStart w:id="255" w:name="_Toc3561"/>
      <w:bookmarkStart w:id="256" w:name="_Toc5913"/>
      <w:bookmarkStart w:id="257" w:name="_Toc24280"/>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252"/>
      <w:bookmarkEnd w:id="253"/>
      <w:bookmarkEnd w:id="254"/>
      <w:bookmarkEnd w:id="255"/>
      <w:bookmarkEnd w:id="256"/>
      <w:bookmarkEnd w:id="257"/>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58" w:name="_Toc9499"/>
      <w:bookmarkStart w:id="259" w:name="_Toc15396628"/>
      <w:bookmarkStart w:id="260" w:name="_Toc5162"/>
      <w:bookmarkStart w:id="261" w:name="_Toc26736"/>
      <w:bookmarkStart w:id="262" w:name="_Toc30580"/>
      <w:bookmarkStart w:id="263" w:name="_Toc12410"/>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258"/>
      <w:bookmarkEnd w:id="259"/>
      <w:bookmarkEnd w:id="260"/>
      <w:bookmarkEnd w:id="261"/>
      <w:bookmarkEnd w:id="262"/>
      <w:bookmarkEnd w:id="263"/>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64" w:name="_Toc15396629"/>
      <w:bookmarkStart w:id="265" w:name="_Toc2115"/>
      <w:bookmarkStart w:id="266" w:name="_Toc14181"/>
      <w:bookmarkStart w:id="267" w:name="_Toc10093"/>
      <w:bookmarkStart w:id="268" w:name="_Toc6933"/>
      <w:bookmarkStart w:id="269" w:name="_Toc18106"/>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264"/>
      <w:bookmarkEnd w:id="265"/>
      <w:bookmarkEnd w:id="266"/>
      <w:bookmarkEnd w:id="267"/>
      <w:bookmarkEnd w:id="268"/>
      <w:bookmarkEnd w:id="269"/>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70" w:name="_Toc4754"/>
      <w:bookmarkStart w:id="271" w:name="_Toc4560"/>
      <w:bookmarkStart w:id="272" w:name="_Toc20571"/>
      <w:bookmarkStart w:id="273" w:name="_Toc141"/>
      <w:bookmarkStart w:id="274" w:name="_Toc15396630"/>
      <w:bookmarkStart w:id="275" w:name="_Toc12046"/>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270"/>
      <w:bookmarkEnd w:id="271"/>
      <w:bookmarkEnd w:id="272"/>
      <w:bookmarkEnd w:id="273"/>
      <w:bookmarkEnd w:id="274"/>
      <w:bookmarkEnd w:id="275"/>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276" w:name="_Toc31086"/>
      <w:bookmarkStart w:id="277" w:name="_Toc18211"/>
      <w:bookmarkStart w:id="278" w:name="_Toc15396631"/>
      <w:bookmarkStart w:id="279" w:name="_Toc10495"/>
      <w:bookmarkStart w:id="280" w:name="_Toc13226"/>
      <w:bookmarkStart w:id="281" w:name="_Toc9998"/>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276"/>
      <w:bookmarkEnd w:id="277"/>
      <w:bookmarkEnd w:id="278"/>
      <w:bookmarkEnd w:id="279"/>
      <w:bookmarkEnd w:id="280"/>
      <w:bookmarkEnd w:id="281"/>
    </w:p>
    <w:p>
      <w:pPr>
        <w:pStyle w:val="27"/>
        <w:spacing w:line="560" w:lineRule="exact"/>
        <w:ind w:firstLine="640" w:firstLineChars="200"/>
        <w:rPr>
          <w:rFonts w:ascii="仿宋_GB2312" w:eastAsia="仿宋_GB2312"/>
          <w:sz w:val="32"/>
          <w:szCs w:val="32"/>
        </w:rPr>
      </w:pPr>
    </w:p>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Himalaya">
    <w:panose1 w:val="01010100010101010101"/>
    <w:charset w:val="00"/>
    <w:family w:val="auto"/>
    <w:pitch w:val="default"/>
    <w:sig w:usb0="80000003" w:usb1="00010000" w:usb2="0000004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1e/csgBAACZ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cWxO25x4Ocf388/f59/fSPL&#10;LE8foMasx4B5abjxAy7N7Ad0ZtaDijZ/kQ/BOIp7uogrh0REfrRarlYVhgTG5gvis6fnIUK6k96S&#10;bDQ04vSKqPx4D2lMnVNyNedvtTFlgsb95UDM7GG597HHbKVhN0yEdr49IZ8eB99Qh3tOifnoUNe8&#10;I7MRZ2M3G4cQ9b4rS5TrQfhwSNhE6S1XGGGnwjixwm7arrwSz+8l6+mP2vw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9Xv3L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zEIRckBAACZAwAADgAAAGRycy9lMm9Eb2MueG1srVPNjtMwEL4j8Q6W&#10;79TZI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vMQhFyQEAAJkDAAAOAAAAAAAAAAEAIAAAAB4BAABkcnMvZTJvRG9j&#10;LnhtbFBLBQYAAAAABgAGAFkBAABZ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2A9F2502"/>
    <w:multiLevelType w:val="singleLevel"/>
    <w:tmpl w:val="2A9F2502"/>
    <w:lvl w:ilvl="0" w:tentative="0">
      <w:start w:val="1"/>
      <w:numFmt w:val="decimal"/>
      <w:lvlText w:val="%1."/>
      <w:lvlJc w:val="left"/>
      <w:pPr>
        <w:tabs>
          <w:tab w:val="left" w:pos="312"/>
        </w:tabs>
      </w:pPr>
      <w:rPr>
        <w:rFonts w:cs="Times New Roman"/>
      </w:rPr>
    </w:lvl>
  </w:abstractNum>
  <w:abstractNum w:abstractNumId="3">
    <w:nsid w:val="49213874"/>
    <w:multiLevelType w:val="singleLevel"/>
    <w:tmpl w:val="49213874"/>
    <w:lvl w:ilvl="0" w:tentative="0">
      <w:start w:val="2"/>
      <w:numFmt w:val="chineseCounting"/>
      <w:suff w:val="nothing"/>
      <w:lvlText w:val="（%1）"/>
      <w:lvlJc w:val="left"/>
      <w:rPr>
        <w:rFonts w:hint="eastAsia" w:cs="Times New Roman"/>
      </w:rPr>
    </w:lvl>
  </w:abstractNum>
  <w:abstractNum w:abstractNumId="4">
    <w:nsid w:val="4EC184FC"/>
    <w:multiLevelType w:val="singleLevel"/>
    <w:tmpl w:val="4EC184FC"/>
    <w:lvl w:ilvl="0" w:tentative="0">
      <w:start w:val="1"/>
      <w:numFmt w:val="decimal"/>
      <w:lvlText w:val="%1."/>
      <w:lvlJc w:val="left"/>
      <w:pPr>
        <w:tabs>
          <w:tab w:val="left" w:pos="312"/>
        </w:tabs>
      </w:pPr>
      <w:rPr>
        <w:rFonts w:cs="Times New Roman"/>
      </w:rPr>
    </w:lvl>
  </w:abstractNum>
  <w:abstractNum w:abstractNumId="5">
    <w:nsid w:val="5D5382B5"/>
    <w:multiLevelType w:val="singleLevel"/>
    <w:tmpl w:val="5D5382B5"/>
    <w:lvl w:ilvl="0" w:tentative="0">
      <w:start w:val="1"/>
      <w:numFmt w:val="chineseCounting"/>
      <w:suff w:val="nothing"/>
      <w:lvlText w:val="%1、"/>
      <w:lvlJc w:val="left"/>
      <w:rPr>
        <w:rFonts w:cs="Times New Roman"/>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05E33"/>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3D89"/>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77263"/>
    <w:rsid w:val="0048263A"/>
    <w:rsid w:val="00487E5D"/>
    <w:rsid w:val="004A711F"/>
    <w:rsid w:val="004B199D"/>
    <w:rsid w:val="004B4690"/>
    <w:rsid w:val="004E0A2D"/>
    <w:rsid w:val="004E1712"/>
    <w:rsid w:val="004E206B"/>
    <w:rsid w:val="004E6B26"/>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B772E"/>
    <w:rsid w:val="01A418FB"/>
    <w:rsid w:val="04487592"/>
    <w:rsid w:val="050D66DD"/>
    <w:rsid w:val="068312D2"/>
    <w:rsid w:val="089E30EF"/>
    <w:rsid w:val="09F27E50"/>
    <w:rsid w:val="0B0F6F67"/>
    <w:rsid w:val="0BA16CB7"/>
    <w:rsid w:val="0BDB7ADF"/>
    <w:rsid w:val="0CC67273"/>
    <w:rsid w:val="0FB467E7"/>
    <w:rsid w:val="10C055FF"/>
    <w:rsid w:val="10FC520E"/>
    <w:rsid w:val="11093344"/>
    <w:rsid w:val="12A45803"/>
    <w:rsid w:val="13383EE4"/>
    <w:rsid w:val="13707884"/>
    <w:rsid w:val="14800355"/>
    <w:rsid w:val="157A15E6"/>
    <w:rsid w:val="16BB723D"/>
    <w:rsid w:val="185022BE"/>
    <w:rsid w:val="19E71283"/>
    <w:rsid w:val="1A881B74"/>
    <w:rsid w:val="1CE96B5B"/>
    <w:rsid w:val="1F8720D6"/>
    <w:rsid w:val="22CA4710"/>
    <w:rsid w:val="23672A6B"/>
    <w:rsid w:val="23FB4F4A"/>
    <w:rsid w:val="240371BF"/>
    <w:rsid w:val="270F2795"/>
    <w:rsid w:val="282E16E9"/>
    <w:rsid w:val="287C77CE"/>
    <w:rsid w:val="291014E7"/>
    <w:rsid w:val="29DC2018"/>
    <w:rsid w:val="29FD04D3"/>
    <w:rsid w:val="2A61095E"/>
    <w:rsid w:val="2C0179D2"/>
    <w:rsid w:val="2F560D22"/>
    <w:rsid w:val="2FD50872"/>
    <w:rsid w:val="319F7F4E"/>
    <w:rsid w:val="31F435D4"/>
    <w:rsid w:val="321943C3"/>
    <w:rsid w:val="34C43533"/>
    <w:rsid w:val="35791632"/>
    <w:rsid w:val="371570ED"/>
    <w:rsid w:val="3A741459"/>
    <w:rsid w:val="3AC06003"/>
    <w:rsid w:val="3BA41335"/>
    <w:rsid w:val="3CCB7C44"/>
    <w:rsid w:val="3D4D76E8"/>
    <w:rsid w:val="3F620B80"/>
    <w:rsid w:val="4165770B"/>
    <w:rsid w:val="429648CD"/>
    <w:rsid w:val="444F48C0"/>
    <w:rsid w:val="45B26E03"/>
    <w:rsid w:val="463706F7"/>
    <w:rsid w:val="48FF751C"/>
    <w:rsid w:val="49DB48C6"/>
    <w:rsid w:val="4B1931D8"/>
    <w:rsid w:val="4BFA5E12"/>
    <w:rsid w:val="4E8047E7"/>
    <w:rsid w:val="4ECE2238"/>
    <w:rsid w:val="4F52538A"/>
    <w:rsid w:val="521A6FFF"/>
    <w:rsid w:val="52926E35"/>
    <w:rsid w:val="52AE7F82"/>
    <w:rsid w:val="548F37E1"/>
    <w:rsid w:val="558E7A41"/>
    <w:rsid w:val="57A70DE1"/>
    <w:rsid w:val="58121C57"/>
    <w:rsid w:val="598364C1"/>
    <w:rsid w:val="59FE1129"/>
    <w:rsid w:val="5AAE3E23"/>
    <w:rsid w:val="5AF70BB6"/>
    <w:rsid w:val="5CCA134E"/>
    <w:rsid w:val="5E755839"/>
    <w:rsid w:val="5F0E79E0"/>
    <w:rsid w:val="5F7964D1"/>
    <w:rsid w:val="5FF6B97D"/>
    <w:rsid w:val="60DB1074"/>
    <w:rsid w:val="6106459B"/>
    <w:rsid w:val="610B5EF0"/>
    <w:rsid w:val="620E18EB"/>
    <w:rsid w:val="63781502"/>
    <w:rsid w:val="67345972"/>
    <w:rsid w:val="67E66072"/>
    <w:rsid w:val="6956067F"/>
    <w:rsid w:val="69B50205"/>
    <w:rsid w:val="6F5C1AD9"/>
    <w:rsid w:val="70166F92"/>
    <w:rsid w:val="701B0A6D"/>
    <w:rsid w:val="70435685"/>
    <w:rsid w:val="70D358C4"/>
    <w:rsid w:val="71D24C4B"/>
    <w:rsid w:val="723229A4"/>
    <w:rsid w:val="72734D90"/>
    <w:rsid w:val="72CC0B46"/>
    <w:rsid w:val="749D71A8"/>
    <w:rsid w:val="75A55ACC"/>
    <w:rsid w:val="77C23334"/>
    <w:rsid w:val="78E6263B"/>
    <w:rsid w:val="7A1D3A4B"/>
    <w:rsid w:val="7B743AB2"/>
    <w:rsid w:val="7D342A7B"/>
    <w:rsid w:val="7DB67FB8"/>
    <w:rsid w:val="7E0D6B1E"/>
    <w:rsid w:val="7F8A0CD9"/>
    <w:rsid w:val="BFEEF3B0"/>
    <w:rsid w:val="D7E824C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0"/>
    <w:qFormat/>
    <w:uiPriority w:val="99"/>
    <w:pPr>
      <w:keepNext/>
      <w:keepLines/>
      <w:spacing w:before="260" w:after="260" w:line="416" w:lineRule="auto"/>
      <w:outlineLvl w:val="1"/>
    </w:pPr>
    <w:rPr>
      <w:rFonts w:ascii="Cambria" w:hAnsi="Cambria" w:cs="Microsoft Himalaya"/>
      <w:b/>
      <w:bCs/>
      <w:sz w:val="32"/>
      <w:szCs w:val="32"/>
    </w:rPr>
  </w:style>
  <w:style w:type="paragraph" w:styleId="5">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5"/>
    <w:qFormat/>
    <w:uiPriority w:val="99"/>
    <w:pPr>
      <w:tabs>
        <w:tab w:val="center" w:pos="4153"/>
        <w:tab w:val="right" w:pos="8306"/>
      </w:tabs>
      <w:snapToGrid w:val="0"/>
      <w:jc w:val="left"/>
    </w:pPr>
    <w:rPr>
      <w:rFonts w:cs="Arial Unicode MS"/>
      <w:kern w:val="0"/>
      <w:sz w:val="18"/>
      <w:szCs w:val="20"/>
      <w:lang w:bidi="bo-CN"/>
    </w:rPr>
  </w:style>
  <w:style w:type="paragraph" w:styleId="6">
    <w:name w:val="Body Text"/>
    <w:basedOn w:val="1"/>
    <w:link w:val="26"/>
    <w:qFormat/>
    <w:uiPriority w:val="99"/>
    <w:pPr>
      <w:spacing w:beforeLines="30"/>
    </w:pPr>
    <w:rPr>
      <w:rFonts w:ascii="仿宋_GB2312" w:eastAsia="仿宋_GB2312" w:cs="Arial Unicode MS"/>
      <w:kern w:val="0"/>
      <w:sz w:val="24"/>
      <w:szCs w:val="20"/>
      <w:lang w:bidi="bo-CN"/>
    </w:rPr>
  </w:style>
  <w:style w:type="paragraph" w:styleId="7">
    <w:name w:val="toc 3"/>
    <w:basedOn w:val="1"/>
    <w:next w:val="1"/>
    <w:qFormat/>
    <w:uiPriority w:val="99"/>
    <w:pPr>
      <w:tabs>
        <w:tab w:val="right" w:leader="dot" w:pos="8296"/>
      </w:tabs>
      <w:ind w:left="840" w:leftChars="400"/>
    </w:pPr>
  </w:style>
  <w:style w:type="paragraph" w:styleId="8">
    <w:name w:val="Balloon Text"/>
    <w:basedOn w:val="1"/>
    <w:link w:val="22"/>
    <w:qFormat/>
    <w:uiPriority w:val="99"/>
    <w:rPr>
      <w:sz w:val="18"/>
      <w:szCs w:val="18"/>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rFonts w:cs="Arial Unicode MS"/>
      <w:kern w:val="0"/>
      <w:sz w:val="18"/>
      <w:szCs w:val="20"/>
      <w:lang w:bidi="bo-CN"/>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semiHidden/>
    <w:qFormat/>
    <w:uiPriority w:val="99"/>
    <w:pPr>
      <w:spacing w:beforeAutospacing="1" w:afterAutospacing="1"/>
      <w:jc w:val="left"/>
    </w:pPr>
    <w:rPr>
      <w:rFonts w:cs="Arial Unicode MS"/>
      <w:kern w:val="0"/>
      <w:sz w:val="24"/>
      <w:lang w:bidi="bo-CN"/>
    </w:r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7">
    <w:name w:val="Heading 1 Char"/>
    <w:basedOn w:val="14"/>
    <w:link w:val="3"/>
    <w:qFormat/>
    <w:locked/>
    <w:uiPriority w:val="99"/>
    <w:rPr>
      <w:rFonts w:ascii="Times New Roman" w:hAnsi="Times New Roman" w:cs="Times New Roman"/>
      <w:b/>
      <w:bCs/>
      <w:kern w:val="44"/>
      <w:sz w:val="44"/>
      <w:szCs w:val="44"/>
    </w:rPr>
  </w:style>
  <w:style w:type="character" w:customStyle="1" w:styleId="18">
    <w:name w:val="Heading 2 Char"/>
    <w:basedOn w:val="14"/>
    <w:link w:val="4"/>
    <w:qFormat/>
    <w:locked/>
    <w:uiPriority w:val="99"/>
    <w:rPr>
      <w:rFonts w:ascii="Cambria" w:hAnsi="Cambria" w:eastAsia="宋体" w:cs="Times New Roman"/>
      <w:b/>
      <w:bCs/>
      <w:kern w:val="2"/>
      <w:sz w:val="32"/>
      <w:szCs w:val="32"/>
    </w:rPr>
  </w:style>
  <w:style w:type="character" w:customStyle="1" w:styleId="19">
    <w:name w:val="Heading 3 Char"/>
    <w:basedOn w:val="14"/>
    <w:link w:val="5"/>
    <w:qFormat/>
    <w:locked/>
    <w:uiPriority w:val="99"/>
    <w:rPr>
      <w:rFonts w:ascii="Times New Roman" w:hAnsi="Times New Roman" w:cs="Times New Roman"/>
      <w:b/>
      <w:bCs/>
      <w:kern w:val="2"/>
      <w:sz w:val="32"/>
      <w:szCs w:val="32"/>
    </w:rPr>
  </w:style>
  <w:style w:type="character" w:customStyle="1" w:styleId="20">
    <w:name w:val="Footer Char"/>
    <w:basedOn w:val="14"/>
    <w:link w:val="2"/>
    <w:semiHidden/>
    <w:qFormat/>
    <w:uiPriority w:val="99"/>
    <w:rPr>
      <w:rFonts w:ascii="Times New Roman" w:hAnsi="Times New Roman" w:cs="Times New Roman"/>
      <w:sz w:val="18"/>
      <w:szCs w:val="18"/>
    </w:rPr>
  </w:style>
  <w:style w:type="character" w:customStyle="1" w:styleId="21">
    <w:name w:val="Body Text Char"/>
    <w:basedOn w:val="14"/>
    <w:link w:val="6"/>
    <w:semiHidden/>
    <w:qFormat/>
    <w:uiPriority w:val="99"/>
    <w:rPr>
      <w:rFonts w:ascii="Times New Roman" w:hAnsi="Times New Roman" w:cs="Times New Roman"/>
      <w:sz w:val="24"/>
      <w:szCs w:val="24"/>
    </w:rPr>
  </w:style>
  <w:style w:type="character" w:customStyle="1" w:styleId="22">
    <w:name w:val="Balloon Text Char"/>
    <w:basedOn w:val="14"/>
    <w:link w:val="8"/>
    <w:semiHidden/>
    <w:qFormat/>
    <w:locked/>
    <w:uiPriority w:val="99"/>
    <w:rPr>
      <w:rFonts w:ascii="Times New Roman" w:hAnsi="Times New Roman" w:cs="Times New Roman"/>
      <w:kern w:val="2"/>
      <w:sz w:val="18"/>
      <w:szCs w:val="18"/>
    </w:rPr>
  </w:style>
  <w:style w:type="character" w:customStyle="1" w:styleId="23">
    <w:name w:val="Header Char"/>
    <w:basedOn w:val="14"/>
    <w:link w:val="9"/>
    <w:semiHidden/>
    <w:qFormat/>
    <w:uiPriority w:val="99"/>
    <w:rPr>
      <w:rFonts w:ascii="Times New Roman" w:hAnsi="Times New Roman" w:cs="Times New Roman"/>
      <w:sz w:val="18"/>
      <w:szCs w:val="18"/>
    </w:rPr>
  </w:style>
  <w:style w:type="character" w:customStyle="1" w:styleId="24">
    <w:name w:val="Header Char1"/>
    <w:link w:val="9"/>
    <w:semiHidden/>
    <w:qFormat/>
    <w:locked/>
    <w:uiPriority w:val="99"/>
    <w:rPr>
      <w:sz w:val="18"/>
    </w:rPr>
  </w:style>
  <w:style w:type="character" w:customStyle="1" w:styleId="25">
    <w:name w:val="Footer Char1"/>
    <w:link w:val="2"/>
    <w:qFormat/>
    <w:locked/>
    <w:uiPriority w:val="99"/>
    <w:rPr>
      <w:sz w:val="18"/>
    </w:rPr>
  </w:style>
  <w:style w:type="character" w:customStyle="1" w:styleId="26">
    <w:name w:val="Body Text Char1"/>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8">
    <w:name w:val="List Paragraph1"/>
    <w:basedOn w:val="1"/>
    <w:qFormat/>
    <w:uiPriority w:val="99"/>
    <w:pPr>
      <w:ind w:firstLine="420" w:firstLineChars="200"/>
    </w:pPr>
  </w:style>
  <w:style w:type="character" w:customStyle="1" w:styleId="29">
    <w:name w:val="标题 1 字符"/>
    <w:basedOn w:val="14"/>
    <w:link w:val="3"/>
    <w:qFormat/>
    <w:locked/>
    <w:uiPriority w:val="99"/>
    <w:rPr>
      <w:rFonts w:ascii="Times New Roman" w:hAnsi="Times New Roman" w:cs="Times New Roman"/>
      <w:b/>
      <w:bCs/>
      <w:kern w:val="44"/>
      <w:sz w:val="44"/>
      <w:szCs w:val="44"/>
    </w:rPr>
  </w:style>
  <w:style w:type="character" w:customStyle="1" w:styleId="30">
    <w:name w:val="标题 2 字符"/>
    <w:basedOn w:val="14"/>
    <w:link w:val="4"/>
    <w:qFormat/>
    <w:locked/>
    <w:uiPriority w:val="99"/>
    <w:rPr>
      <w:rFonts w:ascii="Cambria" w:hAnsi="Cambria" w:eastAsia="宋体" w:cs="Microsoft Himalaya"/>
      <w:b/>
      <w:bCs/>
      <w:kern w:val="2"/>
      <w:sz w:val="32"/>
      <w:szCs w:val="32"/>
    </w:rPr>
  </w:style>
  <w:style w:type="paragraph" w:customStyle="1" w:styleId="31">
    <w:name w:val="TOC 标题1"/>
    <w:basedOn w:val="3"/>
    <w:next w:val="1"/>
    <w:qFormat/>
    <w:uiPriority w:val="99"/>
    <w:pPr>
      <w:widowControl/>
      <w:spacing w:before="480" w:after="0" w:line="276" w:lineRule="auto"/>
      <w:jc w:val="left"/>
      <w:outlineLvl w:val="9"/>
    </w:pPr>
    <w:rPr>
      <w:rFonts w:ascii="Cambria" w:hAnsi="Cambria" w:cs="Microsoft Himalaya"/>
      <w:color w:val="365F91"/>
      <w:kern w:val="0"/>
      <w:sz w:val="28"/>
      <w:szCs w:val="28"/>
    </w:rPr>
  </w:style>
  <w:style w:type="paragraph" w:customStyle="1" w:styleId="32">
    <w:name w:val="TOC Heading1"/>
    <w:basedOn w:val="3"/>
    <w:next w:val="1"/>
    <w:qFormat/>
    <w:uiPriority w:val="99"/>
    <w:pPr>
      <w:widowControl/>
      <w:spacing w:before="480" w:after="0" w:line="276" w:lineRule="auto"/>
      <w:jc w:val="left"/>
      <w:outlineLvl w:val="9"/>
    </w:pPr>
    <w:rPr>
      <w:rFonts w:ascii="Cambria" w:hAnsi="Cambria" w:cs="Microsoft Himalaya"/>
      <w:color w:val="365F91"/>
      <w:kern w:val="0"/>
      <w:sz w:val="28"/>
      <w:szCs w:val="28"/>
    </w:rPr>
  </w:style>
  <w:style w:type="paragraph" w:customStyle="1" w:styleId="33">
    <w:name w:val="Normal (Web)1"/>
    <w:basedOn w:val="1"/>
    <w:qFormat/>
    <w:uiPriority w:val="99"/>
    <w:pPr>
      <w:widowControl/>
      <w:spacing w:before="102" w:after="102" w:line="351" w:lineRule="atLeast"/>
      <w:ind w:firstLine="419"/>
      <w:jc w:val="left"/>
      <w:textAlignment w:val="baseline"/>
    </w:pPr>
    <w:rPr>
      <w:rFonts w:ascii="宋体" w:hAnsi="Calibri"/>
      <w:color w:val="000000"/>
      <w:kern w:val="0"/>
      <w:sz w:val="24"/>
      <w:szCs w:val="20"/>
      <w:u w:color="000000"/>
    </w:rPr>
  </w:style>
  <w:style w:type="paragraph" w:customStyle="1" w:styleId="34">
    <w:name w:val="WPSOffice手动目录 1"/>
    <w:qFormat/>
    <w:uiPriority w:val="99"/>
    <w:rPr>
      <w:rFonts w:ascii="Times New Roman" w:hAnsi="Times New Roman" w:eastAsia="宋体" w:cs="Times New Roman"/>
      <w:kern w:val="0"/>
      <w:sz w:val="20"/>
      <w:szCs w:val="20"/>
      <w:lang w:val="en-US" w:eastAsia="zh-CN" w:bidi="bo-CN"/>
    </w:rPr>
  </w:style>
  <w:style w:type="paragraph" w:customStyle="1" w:styleId="35">
    <w:name w:val="WPSOffice手动目录 2"/>
    <w:qFormat/>
    <w:uiPriority w:val="99"/>
    <w:pPr>
      <w:ind w:left="200" w:leftChars="200"/>
    </w:pPr>
    <w:rPr>
      <w:rFonts w:ascii="Times New Roman" w:hAnsi="Times New Roman" w:eastAsia="宋体" w:cs="Times New Roman"/>
      <w:kern w:val="0"/>
      <w:sz w:val="20"/>
      <w:szCs w:val="20"/>
      <w:lang w:val="en-US" w:eastAsia="zh-CN" w:bidi="bo-CN"/>
    </w:rPr>
  </w:style>
  <w:style w:type="character" w:customStyle="1" w:styleId="36">
    <w:name w:val="font21"/>
    <w:basedOn w:val="14"/>
    <w:qFormat/>
    <w:uiPriority w:val="99"/>
    <w:rPr>
      <w:rFonts w:ascii="Arial Unicode MS" w:hAnsi="Arial Unicode MS" w:eastAsia="Arial Unicode MS" w:cs="Arial Unicode MS"/>
      <w:color w:val="000000"/>
      <w:sz w:val="20"/>
      <w:szCs w:val="20"/>
      <w:u w:val="none"/>
    </w:rPr>
  </w:style>
  <w:style w:type="character" w:customStyle="1" w:styleId="37">
    <w:name w:val="font31"/>
    <w:basedOn w:val="14"/>
    <w:qFormat/>
    <w:uiPriority w:val="99"/>
    <w:rPr>
      <w:rFonts w:ascii="Arial Unicode MS" w:hAnsi="Arial Unicode MS" w:eastAsia="Arial Unicode MS" w:cs="Arial Unicode MS"/>
      <w:color w:val="000000"/>
      <w:sz w:val="28"/>
      <w:szCs w:val="28"/>
      <w:u w:val="none"/>
    </w:rPr>
  </w:style>
  <w:style w:type="character" w:customStyle="1" w:styleId="38">
    <w:name w:val="font11"/>
    <w:basedOn w:val="14"/>
    <w:qFormat/>
    <w:uiPriority w:val="99"/>
    <w:rPr>
      <w:rFonts w:ascii="Arial Unicode MS" w:hAnsi="Arial Unicode MS" w:eastAsia="Arial Unicode MS" w:cs="Arial Unicode MS"/>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chart" Target="charts/chart1.xml"/><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barChart>
        <c:barDir val="col"/>
        <c:grouping val="clustered"/>
        <c:varyColors val="0"/>
        <c:ser>
          <c:idx val="0"/>
          <c:order val="0"/>
          <c:tx>
            <c:strRef>
              <c:f>[工作簿1]Sheet1!$A$2</c:f>
              <c:strCache>
                <c:ptCount val="1"/>
                <c:pt idx="0">
                  <c:v>一般公共预算财政拨款支出</c:v>
                </c:pt>
              </c:strCache>
            </c:strRef>
          </c:tx>
          <c:spPr>
            <a:solidFill>
              <a:srgbClr val="4F81BD"/>
            </a:solidFill>
            <a:ln>
              <a:noFill/>
            </a:ln>
            <a:effectLst/>
          </c:spPr>
          <c:invertIfNegative val="0"/>
          <c:dLbls>
            <c:delete val="1"/>
          </c:dLbls>
          <c:cat>
            <c:strRef>
              <c:f>[工作簿1]Sheet1!$B$1</c:f>
              <c:strCache>
                <c:ptCount val="1"/>
                <c:pt idx="0">
                  <c:v>支出（万元</c:v>
                </c:pt>
              </c:strCache>
            </c:strRef>
          </c:cat>
          <c:val>
            <c:numRef>
              <c:f>[工作簿1]Sheet1!$B$2</c:f>
              <c:numCache>
                <c:formatCode>General</c:formatCode>
                <c:ptCount val="1"/>
                <c:pt idx="0">
                  <c:v>783.87</c:v>
                </c:pt>
              </c:numCache>
            </c:numRef>
          </c:val>
        </c:ser>
        <c:dLbls>
          <c:showLegendKey val="0"/>
          <c:showVal val="0"/>
          <c:showCatName val="0"/>
          <c:showSerName val="0"/>
          <c:showPercent val="0"/>
          <c:showBubbleSize val="0"/>
        </c:dLbls>
        <c:gapWidth val="219"/>
        <c:overlap val="-27"/>
        <c:axId val="514042585"/>
        <c:axId val="232116320"/>
      </c:barChart>
      <c:catAx>
        <c:axId val="514042585"/>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32116320"/>
        <c:crosses val="autoZero"/>
        <c:auto val="1"/>
        <c:lblAlgn val="ctr"/>
        <c:lblOffset val="100"/>
        <c:noMultiLvlLbl val="0"/>
      </c:catAx>
      <c:valAx>
        <c:axId val="232116320"/>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4042585"/>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68</Pages>
  <Words>5268</Words>
  <Characters>30032</Characters>
  <Lines>0</Lines>
  <Paragraphs>0</Paragraphs>
  <TotalTime>27</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万信会计服务田会计</cp:lastModifiedBy>
  <cp:lastPrinted>2020-07-23T10:58:00Z</cp:lastPrinted>
  <dcterms:modified xsi:type="dcterms:W3CDTF">2023-07-20T06:09:18Z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EB21F8D6E7E14763922AB4009CD26E68_13</vt:lpwstr>
  </property>
</Properties>
</file>