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hd w:val="clear" w:color="auto" w:fill="FFFFFF"/>
        <w:jc w:val="center"/>
        <w:rPr>
          <w:rFonts w:hint="eastAsia"/>
          <w:sz w:val="42"/>
          <w:szCs w:val="42"/>
        </w:rPr>
      </w:pPr>
    </w:p>
    <w:p>
      <w:pPr>
        <w:pStyle w:val="11"/>
        <w:shd w:val="clear" w:color="auto" w:fill="FFFFFF"/>
        <w:jc w:val="center"/>
        <w:rPr>
          <w:rFonts w:hint="eastAsia"/>
          <w:sz w:val="42"/>
          <w:szCs w:val="42"/>
        </w:rPr>
      </w:pPr>
    </w:p>
    <w:p>
      <w:pPr>
        <w:pStyle w:val="11"/>
        <w:shd w:val="clear" w:color="auto" w:fill="FFFFFF"/>
        <w:jc w:val="center"/>
        <w:rPr>
          <w:rFonts w:asciiTheme="majorEastAsia" w:hAnsiTheme="majorEastAsia" w:eastAsiaTheme="majorEastAsia"/>
          <w:b/>
          <w:sz w:val="72"/>
          <w:szCs w:val="72"/>
        </w:rPr>
      </w:pPr>
      <w:r>
        <w:rPr>
          <w:rFonts w:asciiTheme="majorEastAsia" w:hAnsiTheme="majorEastAsia" w:eastAsiaTheme="majorEastAsia"/>
          <w:b/>
          <w:sz w:val="72"/>
          <w:szCs w:val="72"/>
        </w:rPr>
        <w:t>2021年度</w:t>
      </w:r>
    </w:p>
    <w:p>
      <w:pPr>
        <w:pStyle w:val="11"/>
        <w:shd w:val="clear" w:color="auto" w:fill="FFFFFF"/>
        <w:jc w:val="center"/>
        <w:rPr>
          <w:rFonts w:asciiTheme="majorEastAsia" w:hAnsiTheme="majorEastAsia" w:eastAsiaTheme="majorEastAsia"/>
          <w:b/>
          <w:sz w:val="72"/>
          <w:szCs w:val="72"/>
        </w:rPr>
      </w:pPr>
      <w:r>
        <w:rPr>
          <w:rFonts w:asciiTheme="majorEastAsia" w:hAnsiTheme="majorEastAsia" w:eastAsiaTheme="majorEastAsia"/>
          <w:b/>
          <w:sz w:val="72"/>
          <w:szCs w:val="72"/>
        </w:rPr>
        <w:t>中国共产主义青年团阿坝州红原县委员会部门决算</w:t>
      </w:r>
    </w:p>
    <w:p>
      <w:pPr>
        <w:pStyle w:val="11"/>
        <w:shd w:val="clear" w:color="auto" w:fill="FFFFFF"/>
        <w:ind w:firstLine="480" w:firstLineChars="200"/>
        <w:jc w:val="center"/>
      </w:pPr>
      <w:r>
        <w:t> </w:t>
      </w:r>
    </w:p>
    <w:p>
      <w:pPr>
        <w:pStyle w:val="11"/>
        <w:shd w:val="clear" w:color="auto" w:fill="FFFFFF"/>
        <w:ind w:firstLine="480" w:firstLineChars="200"/>
        <w:jc w:val="center"/>
      </w:pPr>
      <w:r>
        <w:t> </w:t>
      </w:r>
    </w:p>
    <w:p>
      <w:pPr>
        <w:pStyle w:val="11"/>
        <w:shd w:val="clear" w:color="auto" w:fill="FFFFFF"/>
        <w:ind w:firstLine="480" w:firstLineChars="200"/>
        <w:jc w:val="center"/>
      </w:pPr>
      <w:r>
        <w:t> </w:t>
      </w:r>
    </w:p>
    <w:p>
      <w:pPr>
        <w:pStyle w:val="11"/>
        <w:shd w:val="clear" w:color="auto" w:fill="FFFFFF"/>
        <w:ind w:firstLine="480" w:firstLineChars="200"/>
        <w:jc w:val="center"/>
      </w:pPr>
      <w:r>
        <w:t> </w:t>
      </w:r>
    </w:p>
    <w:p>
      <w:pPr>
        <w:pStyle w:val="11"/>
        <w:shd w:val="clear" w:color="auto" w:fill="FFFFFF"/>
        <w:ind w:firstLine="480" w:firstLineChars="200"/>
        <w:jc w:val="center"/>
      </w:pPr>
      <w:r>
        <w:t> </w:t>
      </w:r>
    </w:p>
    <w:p>
      <w:pPr>
        <w:pStyle w:val="11"/>
        <w:shd w:val="clear" w:color="auto" w:fill="FFFFFF"/>
        <w:ind w:firstLine="480" w:firstLineChars="200"/>
        <w:jc w:val="center"/>
      </w:pPr>
      <w:r>
        <w:t> </w:t>
      </w:r>
    </w:p>
    <w:p>
      <w:pPr>
        <w:pStyle w:val="11"/>
        <w:shd w:val="clear" w:color="auto" w:fill="FFFFFF"/>
        <w:ind w:firstLine="480" w:firstLineChars="200"/>
        <w:jc w:val="center"/>
      </w:pPr>
      <w:r>
        <w:t> </w:t>
      </w:r>
    </w:p>
    <w:p>
      <w:pPr>
        <w:pStyle w:val="11"/>
        <w:shd w:val="clear" w:color="auto" w:fill="FFFFFF"/>
        <w:ind w:firstLine="720" w:firstLineChars="200"/>
        <w:jc w:val="center"/>
        <w:rPr>
          <w:rFonts w:asciiTheme="majorEastAsia" w:hAnsiTheme="majorEastAsia" w:eastAsiaTheme="majorEastAsia"/>
          <w:sz w:val="36"/>
          <w:szCs w:val="36"/>
        </w:rPr>
      </w:pPr>
      <w:r>
        <w:rPr>
          <w:rFonts w:asciiTheme="majorEastAsia" w:hAnsiTheme="majorEastAsia" w:eastAsiaTheme="majorEastAsia"/>
          <w:sz w:val="36"/>
          <w:szCs w:val="36"/>
        </w:rPr>
        <w:t>已经保密审查、内容审定，同意对外公开</w:t>
      </w:r>
    </w:p>
    <w:p>
      <w:pPr>
        <w:pStyle w:val="11"/>
        <w:shd w:val="clear" w:color="auto" w:fill="FFFFFF"/>
        <w:ind w:firstLine="480" w:firstLineChars="200"/>
      </w:pPr>
      <w:r>
        <w:t> </w:t>
      </w:r>
    </w:p>
    <w:p>
      <w:pPr>
        <w:pStyle w:val="11"/>
        <w:shd w:val="clear" w:color="auto" w:fill="FFFFFF"/>
        <w:ind w:firstLine="480" w:firstLineChars="200"/>
      </w:pPr>
      <w:r>
        <w:t> </w:t>
      </w:r>
    </w:p>
    <w:p>
      <w:pPr>
        <w:pStyle w:val="11"/>
        <w:shd w:val="clear" w:color="auto" w:fill="FFFFFF"/>
        <w:ind w:firstLine="480" w:firstLineChars="200"/>
        <w:jc w:val="center"/>
      </w:pPr>
      <w:r>
        <w:t> </w:t>
      </w:r>
    </w:p>
    <w:p>
      <w:pPr>
        <w:pStyle w:val="11"/>
        <w:shd w:val="clear" w:color="auto" w:fill="FFFFFF"/>
        <w:ind w:firstLine="480" w:firstLineChars="200"/>
      </w:pPr>
      <w:r>
        <w:t> </w:t>
      </w:r>
    </w:p>
    <w:p>
      <w:pPr>
        <w:pStyle w:val="11"/>
        <w:shd w:val="clear" w:color="auto" w:fill="FFFFFF"/>
        <w:ind w:firstLine="480" w:firstLineChars="200"/>
        <w:jc w:val="center"/>
      </w:pPr>
      <w:r>
        <w:t> </w:t>
      </w:r>
    </w:p>
    <w:p>
      <w:pPr>
        <w:pStyle w:val="11"/>
        <w:shd w:val="clear" w:color="auto" w:fill="FFFFFF"/>
        <w:ind w:firstLine="480" w:firstLineChars="200"/>
        <w:jc w:val="center"/>
      </w:pPr>
      <w:r>
        <w:t> </w:t>
      </w:r>
    </w:p>
    <w:p>
      <w:pPr>
        <w:pStyle w:val="11"/>
        <w:shd w:val="clear" w:color="auto" w:fill="FFFFFF"/>
        <w:jc w:val="both"/>
        <w:sectPr>
          <w:footerReference r:id="rId3" w:type="default"/>
          <w:pgSz w:w="11907" w:h="16840"/>
          <w:pgMar w:top="1440" w:right="1800" w:bottom="1440" w:left="1800" w:header="851" w:footer="992" w:gutter="0"/>
          <w:pgNumType w:start="0"/>
          <w:cols w:space="425" w:num="1"/>
          <w:docGrid w:type="lines" w:linePitch="312" w:charSpace="0"/>
        </w:sectPr>
      </w:pPr>
    </w:p>
    <w:p>
      <w:pPr>
        <w:pStyle w:val="9"/>
        <w:rPr>
          <w:rStyle w:val="15"/>
          <w:rFonts w:hint="eastAsia"/>
        </w:rPr>
      </w:pPr>
      <w:r>
        <w:rPr>
          <w:rStyle w:val="15"/>
          <w:rFonts w:hint="eastAsia"/>
        </w:rPr>
        <w:t>目  录</w:t>
      </w:r>
    </w:p>
    <w:p>
      <w:pPr>
        <w:pStyle w:val="9"/>
        <w:rPr>
          <w:rStyle w:val="15"/>
          <w:sz w:val="22"/>
        </w:rPr>
      </w:pPr>
      <w:r>
        <w:fldChar w:fldCharType="begin"/>
      </w:r>
      <w:r>
        <w:instrText xml:space="preserve"> </w:instrText>
      </w:r>
      <w:r>
        <w:rPr>
          <w:rFonts w:hint="eastAsia"/>
        </w:rPr>
        <w:instrText xml:space="preserve">TOC \o "1-2" \h \z \u</w:instrText>
      </w:r>
      <w:r>
        <w:instrText xml:space="preserve"> </w:instrText>
      </w:r>
      <w:r>
        <w:fldChar w:fldCharType="separate"/>
      </w:r>
      <w:r>
        <w:fldChar w:fldCharType="begin"/>
      </w:r>
      <w:r>
        <w:instrText xml:space="preserve"> HYPERLINK \l "_Toc121953687" </w:instrText>
      </w:r>
      <w:r>
        <w:fldChar w:fldCharType="separate"/>
      </w:r>
      <w:r>
        <w:rPr>
          <w:rStyle w:val="15"/>
          <w:rFonts w:hint="eastAsia"/>
        </w:rPr>
        <w:t>第一部分</w:t>
      </w:r>
      <w:r>
        <w:rPr>
          <w:rStyle w:val="15"/>
        </w:rPr>
        <w:t xml:space="preserve"> </w:t>
      </w:r>
      <w:r>
        <w:rPr>
          <w:rStyle w:val="15"/>
          <w:rFonts w:hint="eastAsia"/>
        </w:rPr>
        <w:t>部门概况</w:t>
      </w:r>
      <w:r>
        <w:rPr>
          <w:rStyle w:val="15"/>
        </w:rPr>
        <w:tab/>
      </w:r>
      <w:r>
        <w:rPr>
          <w:rStyle w:val="15"/>
          <w:rFonts w:hint="eastAsia"/>
        </w:rPr>
        <w:t>4</w:t>
      </w:r>
      <w:r>
        <w:rPr>
          <w:rStyle w:val="15"/>
          <w:rFonts w:hint="eastAsia"/>
        </w:rPr>
        <w:fldChar w:fldCharType="end"/>
      </w:r>
    </w:p>
    <w:p>
      <w:pPr>
        <w:pStyle w:val="10"/>
        <w:tabs>
          <w:tab w:val="right" w:leader="dot" w:pos="8297"/>
        </w:tabs>
        <w:rPr>
          <w:rStyle w:val="15"/>
        </w:rPr>
      </w:pPr>
      <w:r>
        <w:fldChar w:fldCharType="begin"/>
      </w:r>
      <w:r>
        <w:instrText xml:space="preserve"> HYPERLINK \l "_Toc121953688" </w:instrText>
      </w:r>
      <w:r>
        <w:fldChar w:fldCharType="separate"/>
      </w:r>
      <w:r>
        <w:rPr>
          <w:rStyle w:val="15"/>
          <w:rFonts w:hint="eastAsia"/>
        </w:rPr>
        <w:t>一、基本职能及主要工作</w:t>
      </w:r>
      <w:r>
        <w:rPr>
          <w:rStyle w:val="15"/>
        </w:rPr>
        <w:tab/>
      </w:r>
      <w:r>
        <w:rPr>
          <w:rStyle w:val="15"/>
          <w:rFonts w:hint="eastAsia"/>
        </w:rPr>
        <w:t>4</w:t>
      </w:r>
      <w:r>
        <w:rPr>
          <w:rStyle w:val="15"/>
          <w:rFonts w:hint="eastAsia"/>
        </w:rPr>
        <w:fldChar w:fldCharType="end"/>
      </w:r>
    </w:p>
    <w:p>
      <w:pPr>
        <w:pStyle w:val="10"/>
        <w:tabs>
          <w:tab w:val="right" w:leader="dot" w:pos="8297"/>
        </w:tabs>
        <w:rPr>
          <w:rStyle w:val="15"/>
        </w:rPr>
      </w:pPr>
      <w:r>
        <w:fldChar w:fldCharType="begin"/>
      </w:r>
      <w:r>
        <w:instrText xml:space="preserve"> HYPERLINK \l "_Toc121953689" </w:instrText>
      </w:r>
      <w:r>
        <w:fldChar w:fldCharType="separate"/>
      </w:r>
      <w:r>
        <w:rPr>
          <w:rStyle w:val="15"/>
          <w:rFonts w:hint="eastAsia"/>
        </w:rPr>
        <w:t>二、机构设置</w:t>
      </w:r>
      <w:r>
        <w:rPr>
          <w:rStyle w:val="15"/>
        </w:rPr>
        <w:tab/>
      </w:r>
      <w:r>
        <w:rPr>
          <w:rStyle w:val="15"/>
          <w:rFonts w:hint="eastAsia"/>
        </w:rPr>
        <w:t>4</w:t>
      </w:r>
      <w:r>
        <w:rPr>
          <w:rStyle w:val="15"/>
          <w:rFonts w:hint="eastAsia"/>
        </w:rPr>
        <w:fldChar w:fldCharType="end"/>
      </w:r>
    </w:p>
    <w:p>
      <w:pPr>
        <w:pStyle w:val="9"/>
        <w:rPr>
          <w:rStyle w:val="15"/>
          <w:sz w:val="22"/>
        </w:rPr>
      </w:pPr>
      <w:r>
        <w:fldChar w:fldCharType="begin"/>
      </w:r>
      <w:r>
        <w:instrText xml:space="preserve"> HYPERLINK \l "_Toc121953690" </w:instrText>
      </w:r>
      <w:r>
        <w:fldChar w:fldCharType="separate"/>
      </w:r>
      <w:r>
        <w:rPr>
          <w:rStyle w:val="15"/>
          <w:rFonts w:hint="eastAsia"/>
          <w:bCs/>
        </w:rPr>
        <w:t>第二</w:t>
      </w:r>
      <w:r>
        <w:rPr>
          <w:rStyle w:val="15"/>
          <w:rFonts w:hint="eastAsia"/>
        </w:rPr>
        <w:t>部分</w:t>
      </w:r>
      <w:r>
        <w:rPr>
          <w:rStyle w:val="15"/>
        </w:rPr>
        <w:t xml:space="preserve"> 2021</w:t>
      </w:r>
      <w:r>
        <w:rPr>
          <w:rStyle w:val="15"/>
          <w:rFonts w:hint="eastAsia"/>
        </w:rPr>
        <w:t>年度部门决算情况说明</w:t>
      </w:r>
      <w:r>
        <w:rPr>
          <w:rStyle w:val="15"/>
        </w:rPr>
        <w:tab/>
      </w:r>
      <w:r>
        <w:rPr>
          <w:rStyle w:val="15"/>
          <w:rFonts w:hint="eastAsia"/>
        </w:rPr>
        <w:t>5</w:t>
      </w:r>
      <w:r>
        <w:rPr>
          <w:rStyle w:val="15"/>
          <w:rFonts w:hint="eastAsia"/>
        </w:rPr>
        <w:fldChar w:fldCharType="end"/>
      </w:r>
    </w:p>
    <w:p>
      <w:pPr>
        <w:pStyle w:val="10"/>
        <w:tabs>
          <w:tab w:val="right" w:leader="dot" w:pos="8297"/>
        </w:tabs>
        <w:rPr>
          <w:rStyle w:val="15"/>
        </w:rPr>
      </w:pPr>
      <w:r>
        <w:fldChar w:fldCharType="begin"/>
      </w:r>
      <w:r>
        <w:instrText xml:space="preserve"> HYPERLINK \l "_Toc121953691" </w:instrText>
      </w:r>
      <w:r>
        <w:fldChar w:fldCharType="separate"/>
      </w:r>
      <w:r>
        <w:rPr>
          <w:rStyle w:val="15"/>
          <w:rFonts w:hint="eastAsia"/>
        </w:rPr>
        <w:t>一、收入支出决算总体情况说明</w:t>
      </w:r>
      <w:r>
        <w:rPr>
          <w:rStyle w:val="15"/>
        </w:rPr>
        <w:tab/>
      </w:r>
      <w:r>
        <w:rPr>
          <w:rStyle w:val="15"/>
          <w:rFonts w:hint="eastAsia"/>
        </w:rPr>
        <w:t>5</w:t>
      </w:r>
      <w:r>
        <w:rPr>
          <w:rStyle w:val="15"/>
          <w:rFonts w:hint="eastAsia"/>
        </w:rPr>
        <w:fldChar w:fldCharType="end"/>
      </w:r>
    </w:p>
    <w:p>
      <w:pPr>
        <w:pStyle w:val="10"/>
        <w:tabs>
          <w:tab w:val="right" w:leader="dot" w:pos="8297"/>
        </w:tabs>
        <w:rPr>
          <w:rStyle w:val="15"/>
        </w:rPr>
      </w:pPr>
      <w:r>
        <w:fldChar w:fldCharType="begin"/>
      </w:r>
      <w:r>
        <w:instrText xml:space="preserve"> HYPERLINK \l "_Toc121953692" </w:instrText>
      </w:r>
      <w:r>
        <w:fldChar w:fldCharType="separate"/>
      </w:r>
      <w:r>
        <w:rPr>
          <w:rStyle w:val="15"/>
          <w:rFonts w:hint="eastAsia"/>
        </w:rPr>
        <w:t>二</w:t>
      </w:r>
      <w:r>
        <w:rPr>
          <w:rStyle w:val="15"/>
        </w:rPr>
        <w:t>、</w:t>
      </w:r>
      <w:r>
        <w:rPr>
          <w:rStyle w:val="15"/>
          <w:rFonts w:hint="eastAsia"/>
        </w:rPr>
        <w:t>收入决算情况说明</w:t>
      </w:r>
      <w:r>
        <w:rPr>
          <w:rStyle w:val="15"/>
        </w:rPr>
        <w:tab/>
      </w:r>
      <w:r>
        <w:rPr>
          <w:rStyle w:val="15"/>
          <w:rFonts w:hint="eastAsia"/>
        </w:rPr>
        <w:t>5</w:t>
      </w:r>
      <w:r>
        <w:rPr>
          <w:rStyle w:val="15"/>
          <w:rFonts w:hint="eastAsia"/>
        </w:rPr>
        <w:fldChar w:fldCharType="end"/>
      </w:r>
    </w:p>
    <w:p>
      <w:pPr>
        <w:pStyle w:val="10"/>
        <w:tabs>
          <w:tab w:val="right" w:leader="dot" w:pos="8297"/>
        </w:tabs>
        <w:rPr>
          <w:rStyle w:val="15"/>
        </w:rPr>
      </w:pPr>
      <w:r>
        <w:fldChar w:fldCharType="begin"/>
      </w:r>
      <w:r>
        <w:instrText xml:space="preserve"> HYPERLINK \l "_Toc121953693" </w:instrText>
      </w:r>
      <w:r>
        <w:fldChar w:fldCharType="separate"/>
      </w:r>
      <w:r>
        <w:rPr>
          <w:rStyle w:val="15"/>
          <w:rFonts w:hint="eastAsia"/>
        </w:rPr>
        <w:t>三、支出决算情况说明</w:t>
      </w:r>
      <w:r>
        <w:rPr>
          <w:rStyle w:val="15"/>
        </w:rPr>
        <w:tab/>
      </w:r>
      <w:r>
        <w:rPr>
          <w:rStyle w:val="15"/>
          <w:rFonts w:hint="eastAsia"/>
        </w:rPr>
        <w:t>6</w:t>
      </w:r>
      <w:r>
        <w:rPr>
          <w:rStyle w:val="15"/>
          <w:rFonts w:hint="eastAsia"/>
        </w:rPr>
        <w:fldChar w:fldCharType="end"/>
      </w:r>
    </w:p>
    <w:p>
      <w:pPr>
        <w:pStyle w:val="10"/>
        <w:tabs>
          <w:tab w:val="right" w:leader="dot" w:pos="8297"/>
        </w:tabs>
        <w:rPr>
          <w:rStyle w:val="15"/>
        </w:rPr>
      </w:pPr>
      <w:r>
        <w:fldChar w:fldCharType="begin"/>
      </w:r>
      <w:r>
        <w:instrText xml:space="preserve"> HYPERLINK \l "_Toc121953694" </w:instrText>
      </w:r>
      <w:r>
        <w:fldChar w:fldCharType="separate"/>
      </w:r>
      <w:r>
        <w:rPr>
          <w:rStyle w:val="15"/>
        </w:rPr>
        <w:t>四</w:t>
      </w:r>
      <w:r>
        <w:rPr>
          <w:rStyle w:val="15"/>
          <w:rFonts w:hint="eastAsia"/>
        </w:rPr>
        <w:t>、财政拨款收入支出决算总体情况说明</w:t>
      </w:r>
      <w:r>
        <w:rPr>
          <w:rStyle w:val="15"/>
        </w:rPr>
        <w:tab/>
      </w:r>
      <w:r>
        <w:rPr>
          <w:rStyle w:val="15"/>
          <w:rFonts w:hint="eastAsia"/>
        </w:rPr>
        <w:t>7</w:t>
      </w:r>
      <w:r>
        <w:rPr>
          <w:rStyle w:val="15"/>
          <w:rFonts w:hint="eastAsia"/>
        </w:rPr>
        <w:fldChar w:fldCharType="end"/>
      </w:r>
    </w:p>
    <w:p>
      <w:pPr>
        <w:pStyle w:val="10"/>
        <w:tabs>
          <w:tab w:val="right" w:leader="dot" w:pos="8297"/>
        </w:tabs>
        <w:rPr>
          <w:rStyle w:val="15"/>
        </w:rPr>
      </w:pPr>
      <w:r>
        <w:fldChar w:fldCharType="begin"/>
      </w:r>
      <w:r>
        <w:instrText xml:space="preserve"> HYPERLINK \l "_Toc121953695" </w:instrText>
      </w:r>
      <w:r>
        <w:fldChar w:fldCharType="separate"/>
      </w:r>
      <w:r>
        <w:rPr>
          <w:rStyle w:val="15"/>
          <w:rFonts w:hint="eastAsia"/>
        </w:rPr>
        <w:t>五、一般公共预算财政拨款支出决算结构情况</w:t>
      </w:r>
      <w:r>
        <w:rPr>
          <w:rStyle w:val="15"/>
        </w:rPr>
        <w:tab/>
      </w:r>
      <w:r>
        <w:rPr>
          <w:rStyle w:val="15"/>
          <w:rFonts w:hint="eastAsia"/>
        </w:rPr>
        <w:t>8</w:t>
      </w:r>
      <w:r>
        <w:rPr>
          <w:rStyle w:val="15"/>
          <w:rFonts w:hint="eastAsia"/>
        </w:rPr>
        <w:fldChar w:fldCharType="end"/>
      </w:r>
    </w:p>
    <w:p>
      <w:pPr>
        <w:pStyle w:val="10"/>
        <w:tabs>
          <w:tab w:val="right" w:leader="dot" w:pos="8297"/>
        </w:tabs>
        <w:rPr>
          <w:rStyle w:val="15"/>
        </w:rPr>
      </w:pPr>
      <w:r>
        <w:fldChar w:fldCharType="begin"/>
      </w:r>
      <w:r>
        <w:instrText xml:space="preserve"> HYPERLINK \l "_Toc121953697" </w:instrText>
      </w:r>
      <w:r>
        <w:fldChar w:fldCharType="separate"/>
      </w:r>
      <w:r>
        <w:rPr>
          <w:rStyle w:val="15"/>
        </w:rPr>
        <w:t>六</w:t>
      </w:r>
      <w:r>
        <w:rPr>
          <w:rStyle w:val="15"/>
          <w:rFonts w:hint="eastAsia"/>
        </w:rPr>
        <w:t>、一般公共预算财政拨款基本支出决算情况说明</w:t>
      </w:r>
      <w:r>
        <w:rPr>
          <w:rStyle w:val="15"/>
        </w:rPr>
        <w:tab/>
      </w:r>
      <w:r>
        <w:rPr>
          <w:rStyle w:val="15"/>
          <w:rFonts w:hint="eastAsia"/>
        </w:rPr>
        <w:t>12</w:t>
      </w:r>
      <w:r>
        <w:rPr>
          <w:rStyle w:val="15"/>
          <w:rFonts w:hint="eastAsia"/>
        </w:rPr>
        <w:fldChar w:fldCharType="end"/>
      </w:r>
    </w:p>
    <w:p>
      <w:pPr>
        <w:pStyle w:val="10"/>
        <w:tabs>
          <w:tab w:val="right" w:leader="dot" w:pos="8297"/>
        </w:tabs>
        <w:rPr>
          <w:kern w:val="2"/>
          <w:sz w:val="21"/>
        </w:rPr>
      </w:pPr>
      <w:r>
        <w:fldChar w:fldCharType="begin"/>
      </w:r>
      <w:r>
        <w:instrText xml:space="preserve"> HYPERLINK \l "_Toc121953698" </w:instrText>
      </w:r>
      <w:r>
        <w:fldChar w:fldCharType="separate"/>
      </w:r>
      <w:r>
        <w:rPr>
          <w:rStyle w:val="15"/>
        </w:rPr>
        <w:t>七</w:t>
      </w:r>
      <w:r>
        <w:rPr>
          <w:rStyle w:val="15"/>
          <w:rFonts w:hint="eastAsia"/>
        </w:rPr>
        <w:t>、</w:t>
      </w:r>
      <w:r>
        <w:rPr>
          <w:rStyle w:val="15"/>
        </w:rPr>
        <w:t>“</w:t>
      </w:r>
      <w:r>
        <w:rPr>
          <w:rStyle w:val="15"/>
          <w:rFonts w:hint="eastAsia"/>
        </w:rPr>
        <w:t>三公</w:t>
      </w:r>
      <w:r>
        <w:rPr>
          <w:rStyle w:val="15"/>
        </w:rPr>
        <w:t>”</w:t>
      </w:r>
      <w:r>
        <w:rPr>
          <w:rStyle w:val="15"/>
          <w:rFonts w:hint="eastAsia"/>
        </w:rPr>
        <w:t>经费财政拨款支出决算情况说明</w:t>
      </w:r>
      <w:r>
        <w:tab/>
      </w:r>
      <w:r>
        <w:rPr>
          <w:rFonts w:hint="eastAsia"/>
        </w:rPr>
        <w:t>12</w:t>
      </w:r>
      <w:r>
        <w:rPr>
          <w:rFonts w:hint="eastAsia"/>
        </w:rPr>
        <w:fldChar w:fldCharType="end"/>
      </w:r>
    </w:p>
    <w:p>
      <w:pPr>
        <w:pStyle w:val="10"/>
        <w:tabs>
          <w:tab w:val="right" w:leader="dot" w:pos="8297"/>
        </w:tabs>
        <w:rPr>
          <w:kern w:val="2"/>
          <w:sz w:val="21"/>
        </w:rPr>
      </w:pPr>
      <w:r>
        <w:fldChar w:fldCharType="begin"/>
      </w:r>
      <w:r>
        <w:instrText xml:space="preserve"> HYPERLINK \l "_Toc121953699" </w:instrText>
      </w:r>
      <w:r>
        <w:fldChar w:fldCharType="separate"/>
      </w:r>
      <w:r>
        <w:rPr>
          <w:rStyle w:val="15"/>
        </w:rPr>
        <w:t>八</w:t>
      </w:r>
      <w:r>
        <w:rPr>
          <w:rStyle w:val="15"/>
          <w:rFonts w:hint="eastAsia"/>
        </w:rPr>
        <w:t>、政府性基金预算支出决算情况说明</w:t>
      </w:r>
      <w:r>
        <w:tab/>
      </w:r>
      <w:r>
        <w:rPr>
          <w:rFonts w:hint="eastAsia"/>
        </w:rPr>
        <w:t>13</w:t>
      </w:r>
      <w:r>
        <w:rPr>
          <w:rFonts w:hint="eastAsia"/>
        </w:rPr>
        <w:fldChar w:fldCharType="end"/>
      </w:r>
    </w:p>
    <w:p>
      <w:pPr>
        <w:pStyle w:val="10"/>
        <w:tabs>
          <w:tab w:val="right" w:leader="dot" w:pos="8297"/>
        </w:tabs>
        <w:rPr>
          <w:kern w:val="2"/>
          <w:sz w:val="21"/>
        </w:rPr>
      </w:pPr>
      <w:r>
        <w:fldChar w:fldCharType="begin"/>
      </w:r>
      <w:r>
        <w:instrText xml:space="preserve"> HYPERLINK \l "_Toc121953700" </w:instrText>
      </w:r>
      <w:r>
        <w:fldChar w:fldCharType="separate"/>
      </w:r>
      <w:r>
        <w:rPr>
          <w:rStyle w:val="15"/>
        </w:rPr>
        <w:t>九</w:t>
      </w:r>
      <w:r>
        <w:rPr>
          <w:rStyle w:val="15"/>
          <w:rFonts w:hint="eastAsia"/>
        </w:rPr>
        <w:t>、国有资本经营预算支出决算情况说明</w:t>
      </w:r>
      <w:r>
        <w:tab/>
      </w:r>
      <w:r>
        <w:rPr>
          <w:rFonts w:hint="eastAsia"/>
        </w:rPr>
        <w:t>13</w:t>
      </w:r>
      <w:r>
        <w:rPr>
          <w:rFonts w:hint="eastAsia"/>
        </w:rPr>
        <w:fldChar w:fldCharType="end"/>
      </w:r>
    </w:p>
    <w:p>
      <w:pPr>
        <w:pStyle w:val="10"/>
        <w:tabs>
          <w:tab w:val="right" w:leader="dot" w:pos="8297"/>
        </w:tabs>
        <w:rPr>
          <w:kern w:val="2"/>
          <w:sz w:val="21"/>
        </w:rPr>
      </w:pPr>
      <w:r>
        <w:fldChar w:fldCharType="begin"/>
      </w:r>
      <w:r>
        <w:instrText xml:space="preserve"> HYPERLINK \l "_Toc121953701" </w:instrText>
      </w:r>
      <w:r>
        <w:fldChar w:fldCharType="separate"/>
      </w:r>
      <w:r>
        <w:rPr>
          <w:rStyle w:val="15"/>
        </w:rPr>
        <w:t>十</w:t>
      </w:r>
      <w:r>
        <w:rPr>
          <w:rStyle w:val="15"/>
          <w:rFonts w:hint="eastAsia"/>
        </w:rPr>
        <w:t>、其他重要事项的情况说明</w:t>
      </w:r>
      <w:r>
        <w:tab/>
      </w:r>
      <w:r>
        <w:rPr>
          <w:rFonts w:hint="eastAsia"/>
        </w:rPr>
        <w:t>13</w:t>
      </w:r>
      <w:r>
        <w:rPr>
          <w:rFonts w:hint="eastAsia"/>
        </w:rPr>
        <w:fldChar w:fldCharType="end"/>
      </w:r>
    </w:p>
    <w:p>
      <w:pPr>
        <w:pStyle w:val="9"/>
        <w:rPr>
          <w:kern w:val="2"/>
          <w:sz w:val="21"/>
        </w:rPr>
      </w:pPr>
      <w:r>
        <w:fldChar w:fldCharType="begin"/>
      </w:r>
      <w:r>
        <w:instrText xml:space="preserve"> HYPERLINK \l "_Toc121953702" </w:instrText>
      </w:r>
      <w:r>
        <w:fldChar w:fldCharType="separate"/>
      </w:r>
      <w:r>
        <w:rPr>
          <w:rStyle w:val="15"/>
          <w:rFonts w:hint="eastAsia"/>
          <w:bCs/>
        </w:rPr>
        <w:t>第三部分</w:t>
      </w:r>
      <w:r>
        <w:rPr>
          <w:rStyle w:val="15"/>
          <w:bCs/>
        </w:rPr>
        <w:t xml:space="preserve"> </w:t>
      </w:r>
      <w:r>
        <w:rPr>
          <w:rStyle w:val="15"/>
          <w:rFonts w:hint="eastAsia"/>
          <w:bCs/>
        </w:rPr>
        <w:t>名词解释</w:t>
      </w:r>
      <w:r>
        <w:tab/>
      </w:r>
      <w:r>
        <w:rPr>
          <w:rFonts w:hint="eastAsia"/>
        </w:rPr>
        <w:t>17</w:t>
      </w:r>
      <w:r>
        <w:rPr>
          <w:rFonts w:hint="eastAsia"/>
        </w:rPr>
        <w:fldChar w:fldCharType="end"/>
      </w:r>
    </w:p>
    <w:p>
      <w:pPr>
        <w:pStyle w:val="9"/>
        <w:rPr>
          <w:kern w:val="2"/>
          <w:sz w:val="21"/>
        </w:rPr>
      </w:pPr>
      <w:r>
        <w:fldChar w:fldCharType="begin"/>
      </w:r>
      <w:r>
        <w:instrText xml:space="preserve"> HYPERLINK \l "_Toc121953703" </w:instrText>
      </w:r>
      <w:r>
        <w:fldChar w:fldCharType="separate"/>
      </w:r>
      <w:r>
        <w:rPr>
          <w:rStyle w:val="15"/>
          <w:rFonts w:hint="eastAsia"/>
          <w:bCs/>
        </w:rPr>
        <w:t>第四部分</w:t>
      </w:r>
      <w:r>
        <w:rPr>
          <w:rStyle w:val="15"/>
          <w:bCs/>
        </w:rPr>
        <w:t xml:space="preserve"> </w:t>
      </w:r>
      <w:r>
        <w:rPr>
          <w:rStyle w:val="15"/>
          <w:rFonts w:hint="eastAsia"/>
          <w:bCs/>
        </w:rPr>
        <w:t>附件</w:t>
      </w:r>
      <w:r>
        <w:tab/>
      </w:r>
      <w:r>
        <w:rPr>
          <w:rFonts w:hint="eastAsia"/>
        </w:rPr>
        <w:t>20</w:t>
      </w:r>
      <w:r>
        <w:rPr>
          <w:rFonts w:hint="eastAsia"/>
        </w:rPr>
        <w:fldChar w:fldCharType="end"/>
      </w:r>
    </w:p>
    <w:p>
      <w:pPr>
        <w:pStyle w:val="9"/>
        <w:rPr>
          <w:kern w:val="2"/>
          <w:sz w:val="21"/>
        </w:rPr>
      </w:pPr>
      <w:r>
        <w:fldChar w:fldCharType="begin"/>
      </w:r>
      <w:r>
        <w:instrText xml:space="preserve"> HYPERLINK \l "_Toc121953704" </w:instrText>
      </w:r>
      <w:r>
        <w:fldChar w:fldCharType="separate"/>
      </w:r>
      <w:r>
        <w:rPr>
          <w:rStyle w:val="15"/>
          <w:rFonts w:hint="eastAsia"/>
          <w:bCs/>
        </w:rPr>
        <w:t>第五部分</w:t>
      </w:r>
      <w:r>
        <w:rPr>
          <w:rStyle w:val="15"/>
          <w:bCs/>
        </w:rPr>
        <w:t xml:space="preserve"> </w:t>
      </w:r>
      <w:r>
        <w:rPr>
          <w:rStyle w:val="15"/>
          <w:rFonts w:hint="eastAsia"/>
          <w:bCs/>
        </w:rPr>
        <w:t>附表</w:t>
      </w:r>
      <w:r>
        <w:tab/>
      </w:r>
      <w:r>
        <w:rPr>
          <w:rFonts w:hint="eastAsia"/>
        </w:rPr>
        <w:t>25</w:t>
      </w:r>
      <w:r>
        <w:rPr>
          <w:rFonts w:hint="eastAsia"/>
        </w:rPr>
        <w:fldChar w:fldCharType="end"/>
      </w:r>
    </w:p>
    <w:p>
      <w:pPr>
        <w:pStyle w:val="10"/>
        <w:tabs>
          <w:tab w:val="right" w:leader="dot" w:pos="8297"/>
        </w:tabs>
        <w:rPr>
          <w:kern w:val="2"/>
          <w:sz w:val="21"/>
        </w:rPr>
      </w:pPr>
      <w:r>
        <w:fldChar w:fldCharType="begin"/>
      </w:r>
      <w:r>
        <w:instrText xml:space="preserve"> HYPERLINK \l "_Toc121953705" </w:instrText>
      </w:r>
      <w:r>
        <w:fldChar w:fldCharType="separate"/>
      </w:r>
      <w:r>
        <w:rPr>
          <w:rStyle w:val="15"/>
          <w:rFonts w:hint="eastAsia"/>
        </w:rPr>
        <w:t>一、收入支出决算总表</w:t>
      </w:r>
      <w:r>
        <w:tab/>
      </w:r>
      <w:r>
        <w:rPr>
          <w:rFonts w:hint="eastAsia"/>
        </w:rPr>
        <w:t>25</w:t>
      </w:r>
      <w:r>
        <w:rPr>
          <w:rFonts w:hint="eastAsia"/>
        </w:rPr>
        <w:fldChar w:fldCharType="end"/>
      </w:r>
    </w:p>
    <w:p>
      <w:pPr>
        <w:pStyle w:val="10"/>
        <w:tabs>
          <w:tab w:val="right" w:leader="dot" w:pos="8297"/>
        </w:tabs>
        <w:rPr>
          <w:kern w:val="2"/>
          <w:sz w:val="21"/>
        </w:rPr>
      </w:pPr>
      <w:r>
        <w:fldChar w:fldCharType="begin"/>
      </w:r>
      <w:r>
        <w:instrText xml:space="preserve"> HYPERLINK \l "_Toc121953706" </w:instrText>
      </w:r>
      <w:r>
        <w:fldChar w:fldCharType="separate"/>
      </w:r>
      <w:r>
        <w:rPr>
          <w:rStyle w:val="15"/>
          <w:rFonts w:hint="eastAsia"/>
        </w:rPr>
        <w:t>二、收入决算表</w:t>
      </w:r>
      <w:r>
        <w:tab/>
      </w:r>
      <w:r>
        <w:rPr>
          <w:rFonts w:hint="eastAsia"/>
        </w:rPr>
        <w:t>25</w:t>
      </w:r>
      <w:r>
        <w:rPr>
          <w:rFonts w:hint="eastAsia"/>
        </w:rPr>
        <w:fldChar w:fldCharType="end"/>
      </w:r>
    </w:p>
    <w:p>
      <w:pPr>
        <w:pStyle w:val="10"/>
        <w:tabs>
          <w:tab w:val="right" w:leader="dot" w:pos="8297"/>
        </w:tabs>
        <w:rPr>
          <w:kern w:val="2"/>
          <w:sz w:val="21"/>
        </w:rPr>
      </w:pPr>
      <w:r>
        <w:fldChar w:fldCharType="begin"/>
      </w:r>
      <w:r>
        <w:instrText xml:space="preserve"> HYPERLINK \l "_Toc121953707" </w:instrText>
      </w:r>
      <w:r>
        <w:fldChar w:fldCharType="separate"/>
      </w:r>
      <w:r>
        <w:rPr>
          <w:rStyle w:val="15"/>
          <w:rFonts w:hint="eastAsia"/>
        </w:rPr>
        <w:t>三、支出决算表</w:t>
      </w:r>
      <w:r>
        <w:tab/>
      </w:r>
      <w:r>
        <w:rPr>
          <w:rFonts w:hint="eastAsia"/>
        </w:rPr>
        <w:t>25</w:t>
      </w:r>
      <w:r>
        <w:rPr>
          <w:rFonts w:hint="eastAsia"/>
        </w:rPr>
        <w:fldChar w:fldCharType="end"/>
      </w:r>
    </w:p>
    <w:p>
      <w:pPr>
        <w:pStyle w:val="10"/>
        <w:tabs>
          <w:tab w:val="right" w:leader="dot" w:pos="8297"/>
        </w:tabs>
        <w:rPr>
          <w:kern w:val="2"/>
          <w:sz w:val="21"/>
        </w:rPr>
      </w:pPr>
      <w:r>
        <w:fldChar w:fldCharType="begin"/>
      </w:r>
      <w:r>
        <w:instrText xml:space="preserve"> HYPERLINK \l "_Toc121953708" </w:instrText>
      </w:r>
      <w:r>
        <w:fldChar w:fldCharType="separate"/>
      </w:r>
      <w:r>
        <w:rPr>
          <w:rStyle w:val="15"/>
          <w:rFonts w:hint="eastAsia"/>
        </w:rPr>
        <w:t>四、财政拨款收入支出决算总表</w:t>
      </w:r>
      <w:r>
        <w:tab/>
      </w:r>
      <w:r>
        <w:rPr>
          <w:rFonts w:hint="eastAsia"/>
        </w:rPr>
        <w:t>25</w:t>
      </w:r>
      <w:r>
        <w:rPr>
          <w:rFonts w:hint="eastAsia"/>
        </w:rPr>
        <w:fldChar w:fldCharType="end"/>
      </w:r>
    </w:p>
    <w:p>
      <w:pPr>
        <w:pStyle w:val="10"/>
        <w:tabs>
          <w:tab w:val="right" w:leader="dot" w:pos="8297"/>
        </w:tabs>
        <w:rPr>
          <w:kern w:val="2"/>
          <w:sz w:val="21"/>
        </w:rPr>
      </w:pPr>
      <w:r>
        <w:fldChar w:fldCharType="begin"/>
      </w:r>
      <w:r>
        <w:instrText xml:space="preserve"> HYPERLINK \l "_Toc121953709" </w:instrText>
      </w:r>
      <w:r>
        <w:fldChar w:fldCharType="separate"/>
      </w:r>
      <w:r>
        <w:rPr>
          <w:rStyle w:val="15"/>
          <w:rFonts w:hint="eastAsia"/>
        </w:rPr>
        <w:t>五、财政拨款支出决算明细表</w:t>
      </w:r>
      <w:r>
        <w:tab/>
      </w:r>
      <w:r>
        <w:rPr>
          <w:rFonts w:hint="eastAsia"/>
        </w:rPr>
        <w:t>25</w:t>
      </w:r>
      <w:r>
        <w:rPr>
          <w:rFonts w:hint="eastAsia"/>
        </w:rPr>
        <w:fldChar w:fldCharType="end"/>
      </w:r>
    </w:p>
    <w:p>
      <w:pPr>
        <w:pStyle w:val="10"/>
        <w:tabs>
          <w:tab w:val="right" w:leader="dot" w:pos="8297"/>
        </w:tabs>
        <w:rPr>
          <w:kern w:val="2"/>
          <w:sz w:val="21"/>
        </w:rPr>
      </w:pPr>
      <w:r>
        <w:fldChar w:fldCharType="begin"/>
      </w:r>
      <w:r>
        <w:instrText xml:space="preserve"> HYPERLINK \l "_Toc121953710" </w:instrText>
      </w:r>
      <w:r>
        <w:fldChar w:fldCharType="separate"/>
      </w:r>
      <w:r>
        <w:rPr>
          <w:rStyle w:val="15"/>
          <w:rFonts w:hint="eastAsia"/>
        </w:rPr>
        <w:t>六、一般公共预算财政拨款支出决算表</w:t>
      </w:r>
      <w:r>
        <w:tab/>
      </w:r>
      <w:r>
        <w:rPr>
          <w:rFonts w:hint="eastAsia"/>
        </w:rPr>
        <w:t>25</w:t>
      </w:r>
      <w:r>
        <w:rPr>
          <w:rFonts w:hint="eastAsia"/>
        </w:rPr>
        <w:fldChar w:fldCharType="end"/>
      </w:r>
    </w:p>
    <w:p>
      <w:pPr>
        <w:pStyle w:val="10"/>
        <w:tabs>
          <w:tab w:val="right" w:leader="dot" w:pos="8297"/>
        </w:tabs>
        <w:rPr>
          <w:kern w:val="2"/>
          <w:sz w:val="21"/>
        </w:rPr>
      </w:pPr>
      <w:r>
        <w:fldChar w:fldCharType="begin"/>
      </w:r>
      <w:r>
        <w:instrText xml:space="preserve"> HYPERLINK \l "_Toc121953711" </w:instrText>
      </w:r>
      <w:r>
        <w:fldChar w:fldCharType="separate"/>
      </w:r>
      <w:r>
        <w:rPr>
          <w:rStyle w:val="15"/>
          <w:rFonts w:hint="eastAsia"/>
        </w:rPr>
        <w:t>七、一般公共预算财政拨款支出决算明细表</w:t>
      </w:r>
      <w:r>
        <w:tab/>
      </w:r>
      <w:r>
        <w:rPr>
          <w:rFonts w:hint="eastAsia"/>
        </w:rPr>
        <w:t>25</w:t>
      </w:r>
      <w:r>
        <w:rPr>
          <w:rFonts w:hint="eastAsia"/>
        </w:rPr>
        <w:fldChar w:fldCharType="end"/>
      </w:r>
    </w:p>
    <w:p>
      <w:pPr>
        <w:pStyle w:val="10"/>
        <w:tabs>
          <w:tab w:val="right" w:leader="dot" w:pos="8297"/>
        </w:tabs>
        <w:rPr>
          <w:kern w:val="2"/>
          <w:sz w:val="21"/>
        </w:rPr>
      </w:pPr>
      <w:r>
        <w:fldChar w:fldCharType="begin"/>
      </w:r>
      <w:r>
        <w:instrText xml:space="preserve"> HYPERLINK \l "_Toc121953712" </w:instrText>
      </w:r>
      <w:r>
        <w:fldChar w:fldCharType="separate"/>
      </w:r>
      <w:r>
        <w:rPr>
          <w:rStyle w:val="15"/>
          <w:rFonts w:hint="eastAsia"/>
        </w:rPr>
        <w:t>八、一般公共预算财政拨款基本支出决算表</w:t>
      </w:r>
      <w:r>
        <w:tab/>
      </w:r>
      <w:r>
        <w:rPr>
          <w:rFonts w:hint="eastAsia"/>
        </w:rPr>
        <w:t>25</w:t>
      </w:r>
      <w:r>
        <w:rPr>
          <w:rFonts w:hint="eastAsia"/>
        </w:rPr>
        <w:fldChar w:fldCharType="end"/>
      </w:r>
    </w:p>
    <w:p>
      <w:pPr>
        <w:pStyle w:val="10"/>
        <w:tabs>
          <w:tab w:val="right" w:leader="dot" w:pos="8297"/>
        </w:tabs>
        <w:rPr>
          <w:kern w:val="2"/>
          <w:sz w:val="21"/>
        </w:rPr>
      </w:pPr>
      <w:r>
        <w:fldChar w:fldCharType="begin"/>
      </w:r>
      <w:r>
        <w:instrText xml:space="preserve"> HYPERLINK \l "_Toc121953713" </w:instrText>
      </w:r>
      <w:r>
        <w:fldChar w:fldCharType="separate"/>
      </w:r>
      <w:r>
        <w:rPr>
          <w:rStyle w:val="15"/>
          <w:rFonts w:hint="eastAsia"/>
        </w:rPr>
        <w:t>九、一般公共预算财政拨款项目支出决算表</w:t>
      </w:r>
      <w:r>
        <w:tab/>
      </w:r>
      <w:r>
        <w:rPr>
          <w:rFonts w:hint="eastAsia"/>
        </w:rPr>
        <w:t>25</w:t>
      </w:r>
      <w:r>
        <w:rPr>
          <w:rFonts w:hint="eastAsia"/>
        </w:rPr>
        <w:fldChar w:fldCharType="end"/>
      </w:r>
    </w:p>
    <w:p>
      <w:pPr>
        <w:pStyle w:val="10"/>
        <w:tabs>
          <w:tab w:val="right" w:leader="dot" w:pos="8297"/>
        </w:tabs>
        <w:rPr>
          <w:kern w:val="2"/>
          <w:sz w:val="21"/>
        </w:rPr>
      </w:pPr>
      <w:r>
        <w:fldChar w:fldCharType="begin"/>
      </w:r>
      <w:r>
        <w:instrText xml:space="preserve"> HYPERLINK \l "_Toc121953714" </w:instrText>
      </w:r>
      <w:r>
        <w:fldChar w:fldCharType="separate"/>
      </w:r>
      <w:r>
        <w:rPr>
          <w:rStyle w:val="15"/>
          <w:rFonts w:hint="eastAsia"/>
        </w:rPr>
        <w:t>十、一般公共预算财政拨款</w:t>
      </w:r>
      <w:r>
        <w:rPr>
          <w:rStyle w:val="15"/>
        </w:rPr>
        <w:t>“</w:t>
      </w:r>
      <w:r>
        <w:rPr>
          <w:rStyle w:val="15"/>
          <w:rFonts w:hint="eastAsia"/>
        </w:rPr>
        <w:t>三公</w:t>
      </w:r>
      <w:r>
        <w:rPr>
          <w:rStyle w:val="15"/>
        </w:rPr>
        <w:t>”</w:t>
      </w:r>
      <w:r>
        <w:rPr>
          <w:rStyle w:val="15"/>
          <w:rFonts w:hint="eastAsia"/>
        </w:rPr>
        <w:t>经费支出决算表</w:t>
      </w:r>
      <w:r>
        <w:tab/>
      </w:r>
      <w:r>
        <w:rPr>
          <w:rFonts w:hint="eastAsia"/>
        </w:rPr>
        <w:t>26</w:t>
      </w:r>
      <w:r>
        <w:rPr>
          <w:rFonts w:hint="eastAsia"/>
        </w:rPr>
        <w:fldChar w:fldCharType="end"/>
      </w:r>
    </w:p>
    <w:p>
      <w:pPr>
        <w:pStyle w:val="10"/>
        <w:tabs>
          <w:tab w:val="right" w:leader="dot" w:pos="8297"/>
        </w:tabs>
        <w:rPr>
          <w:kern w:val="2"/>
          <w:sz w:val="21"/>
        </w:rPr>
      </w:pPr>
      <w:r>
        <w:fldChar w:fldCharType="begin"/>
      </w:r>
      <w:r>
        <w:instrText xml:space="preserve"> HYPERLINK \l "_Toc121953715" </w:instrText>
      </w:r>
      <w:r>
        <w:fldChar w:fldCharType="separate"/>
      </w:r>
      <w:r>
        <w:rPr>
          <w:rStyle w:val="15"/>
          <w:rFonts w:hint="eastAsia"/>
        </w:rPr>
        <w:t>十一、政府性基金预算财政拨款收入支出决算表</w:t>
      </w:r>
      <w:r>
        <w:tab/>
      </w:r>
      <w:r>
        <w:rPr>
          <w:rFonts w:hint="eastAsia"/>
        </w:rPr>
        <w:t>26</w:t>
      </w:r>
      <w:r>
        <w:rPr>
          <w:rFonts w:hint="eastAsia"/>
        </w:rPr>
        <w:fldChar w:fldCharType="end"/>
      </w:r>
    </w:p>
    <w:p>
      <w:pPr>
        <w:pStyle w:val="10"/>
        <w:tabs>
          <w:tab w:val="right" w:leader="dot" w:pos="8297"/>
        </w:tabs>
        <w:rPr>
          <w:kern w:val="2"/>
          <w:sz w:val="21"/>
        </w:rPr>
      </w:pPr>
      <w:r>
        <w:fldChar w:fldCharType="begin"/>
      </w:r>
      <w:r>
        <w:instrText xml:space="preserve"> HYPERLINK \l "_Toc121953716" </w:instrText>
      </w:r>
      <w:r>
        <w:fldChar w:fldCharType="separate"/>
      </w:r>
      <w:r>
        <w:rPr>
          <w:rStyle w:val="15"/>
          <w:rFonts w:hint="eastAsia"/>
        </w:rPr>
        <w:t>十二、政府性基金预算财政拨款</w:t>
      </w:r>
      <w:r>
        <w:rPr>
          <w:rStyle w:val="15"/>
        </w:rPr>
        <w:t>“</w:t>
      </w:r>
      <w:r>
        <w:rPr>
          <w:rStyle w:val="15"/>
          <w:rFonts w:hint="eastAsia"/>
        </w:rPr>
        <w:t>三公</w:t>
      </w:r>
      <w:r>
        <w:rPr>
          <w:rStyle w:val="15"/>
        </w:rPr>
        <w:t>”</w:t>
      </w:r>
      <w:r>
        <w:rPr>
          <w:rStyle w:val="15"/>
          <w:rFonts w:hint="eastAsia"/>
        </w:rPr>
        <w:t>经费支出决算表</w:t>
      </w:r>
      <w:r>
        <w:tab/>
      </w:r>
      <w:r>
        <w:rPr>
          <w:rFonts w:hint="eastAsia"/>
        </w:rPr>
        <w:t>26</w:t>
      </w:r>
      <w:r>
        <w:rPr>
          <w:rFonts w:hint="eastAsia"/>
        </w:rPr>
        <w:fldChar w:fldCharType="end"/>
      </w:r>
    </w:p>
    <w:p>
      <w:pPr>
        <w:pStyle w:val="10"/>
        <w:tabs>
          <w:tab w:val="right" w:leader="dot" w:pos="8297"/>
        </w:tabs>
        <w:rPr>
          <w:kern w:val="2"/>
          <w:sz w:val="21"/>
        </w:rPr>
      </w:pPr>
      <w:r>
        <w:fldChar w:fldCharType="begin"/>
      </w:r>
      <w:r>
        <w:instrText xml:space="preserve"> HYPERLINK \l "_Toc121953717" </w:instrText>
      </w:r>
      <w:r>
        <w:fldChar w:fldCharType="separate"/>
      </w:r>
      <w:r>
        <w:rPr>
          <w:rStyle w:val="15"/>
          <w:rFonts w:hint="eastAsia"/>
        </w:rPr>
        <w:t>十三、国有资本经营预算财政拨款收入支出决算表</w:t>
      </w:r>
      <w:r>
        <w:tab/>
      </w:r>
      <w:r>
        <w:rPr>
          <w:rFonts w:hint="eastAsia"/>
        </w:rPr>
        <w:t>26</w:t>
      </w:r>
      <w:r>
        <w:rPr>
          <w:rFonts w:hint="eastAsia"/>
        </w:rPr>
        <w:fldChar w:fldCharType="end"/>
      </w:r>
    </w:p>
    <w:p>
      <w:pPr>
        <w:pStyle w:val="10"/>
        <w:tabs>
          <w:tab w:val="right" w:leader="dot" w:pos="8297"/>
        </w:tabs>
        <w:rPr>
          <w:kern w:val="2"/>
          <w:sz w:val="21"/>
        </w:rPr>
      </w:pPr>
      <w:r>
        <w:fldChar w:fldCharType="begin"/>
      </w:r>
      <w:r>
        <w:instrText xml:space="preserve"> HYPERLINK \l "_Toc121953718" </w:instrText>
      </w:r>
      <w:r>
        <w:fldChar w:fldCharType="separate"/>
      </w:r>
      <w:r>
        <w:rPr>
          <w:rStyle w:val="15"/>
          <w:rFonts w:hint="eastAsia"/>
        </w:rPr>
        <w:t>十四、国有资本经营预算财政拨款支出决算表</w:t>
      </w:r>
      <w:r>
        <w:tab/>
      </w:r>
      <w:r>
        <w:rPr>
          <w:rFonts w:hint="eastAsia"/>
        </w:rPr>
        <w:t>26</w:t>
      </w:r>
      <w:r>
        <w:rPr>
          <w:rFonts w:hint="eastAsia"/>
        </w:rPr>
        <w:fldChar w:fldCharType="end"/>
      </w:r>
    </w:p>
    <w:p>
      <w:pPr>
        <w:pStyle w:val="10"/>
        <w:tabs>
          <w:tab w:val="right" w:leader="dot" w:pos="8297"/>
        </w:tabs>
        <w:rPr>
          <w:kern w:val="2"/>
          <w:sz w:val="21"/>
        </w:rPr>
      </w:pPr>
    </w:p>
    <w:p>
      <w:pPr>
        <w:pStyle w:val="11"/>
        <w:shd w:val="clear" w:color="auto" w:fill="FFFFFF"/>
        <w:ind w:firstLine="480" w:firstLineChars="200"/>
        <w:jc w:val="center"/>
        <w:rPr>
          <w:rFonts w:hint="eastAsia"/>
        </w:rPr>
      </w:pPr>
      <w:r>
        <w:fldChar w:fldCharType="end"/>
      </w: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11"/>
        <w:shd w:val="clear" w:color="auto" w:fill="FFFFFF"/>
        <w:ind w:firstLine="480" w:firstLineChars="200"/>
        <w:jc w:val="center"/>
        <w:rPr>
          <w:rFonts w:hint="eastAsia"/>
        </w:rPr>
      </w:pPr>
    </w:p>
    <w:p>
      <w:pPr>
        <w:pStyle w:val="2"/>
        <w:spacing w:before="156" w:beforeLines="50" w:beforeAutospacing="0" w:after="156" w:afterLines="50" w:afterAutospacing="0" w:line="560" w:lineRule="exact"/>
        <w:jc w:val="center"/>
        <w:rPr>
          <w:rFonts w:asciiTheme="majorEastAsia" w:hAnsiTheme="majorEastAsia" w:eastAsiaTheme="majorEastAsia"/>
          <w:sz w:val="44"/>
          <w:szCs w:val="44"/>
        </w:rPr>
      </w:pPr>
      <w:bookmarkStart w:id="0" w:name="_Toc121953687"/>
      <w:r>
        <w:rPr>
          <w:rFonts w:asciiTheme="majorEastAsia" w:hAnsiTheme="majorEastAsia" w:eastAsiaTheme="majorEastAsia"/>
          <w:sz w:val="44"/>
          <w:szCs w:val="44"/>
        </w:rPr>
        <w:t>第一部分 部门概况</w:t>
      </w:r>
      <w:bookmarkEnd w:id="0"/>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1" w:name="_Toc121953688"/>
      <w:r>
        <w:rPr>
          <w:rFonts w:asciiTheme="majorEastAsia" w:hAnsiTheme="majorEastAsia" w:eastAsiaTheme="majorEastAsia"/>
          <w:sz w:val="32"/>
          <w:szCs w:val="32"/>
        </w:rPr>
        <w:t>一、基本职能及主要工作</w:t>
      </w:r>
      <w:bookmarkEnd w:id="1"/>
    </w:p>
    <w:p>
      <w:pPr>
        <w:pStyle w:val="4"/>
        <w:numPr>
          <w:ilvl w:val="0"/>
          <w:numId w:val="1"/>
        </w:numPr>
        <w:adjustRightInd w:val="0"/>
        <w:snapToGrid w:val="0"/>
        <w:spacing w:before="156" w:beforeLines="50" w:after="156" w:afterLines="50" w:line="560" w:lineRule="exact"/>
        <w:jc w:val="both"/>
        <w:outlineLvl w:val="2"/>
        <w:rPr>
          <w:rFonts w:asciiTheme="majorEastAsia" w:hAnsiTheme="majorEastAsia" w:eastAsiaTheme="majorEastAsia"/>
          <w:bCs/>
          <w:color w:val="000000"/>
          <w:sz w:val="28"/>
          <w:szCs w:val="28"/>
        </w:rPr>
      </w:pPr>
      <w:bookmarkStart w:id="2" w:name="_Toc24578"/>
      <w:bookmarkStart w:id="3" w:name="_Toc27642"/>
      <w:bookmarkStart w:id="4" w:name="_Toc15377198"/>
      <w:bookmarkStart w:id="5" w:name="_Toc15378445"/>
      <w:r>
        <w:rPr>
          <w:rFonts w:hint="eastAsia" w:asciiTheme="majorEastAsia" w:hAnsiTheme="majorEastAsia" w:eastAsiaTheme="majorEastAsia"/>
          <w:bCs/>
          <w:color w:val="000000"/>
          <w:sz w:val="28"/>
          <w:szCs w:val="28"/>
        </w:rPr>
        <w:t>主要职能。</w:t>
      </w:r>
      <w:bookmarkEnd w:id="2"/>
      <w:bookmarkEnd w:id="3"/>
    </w:p>
    <w:p>
      <w:pPr>
        <w:pStyle w:val="4"/>
        <w:adjustRightInd w:val="0"/>
        <w:snapToGrid w:val="0"/>
        <w:spacing w:before="156" w:beforeLines="50" w:after="156" w:afterLines="50" w:line="560" w:lineRule="exact"/>
        <w:ind w:firstLine="480" w:firstLineChars="200"/>
        <w:jc w:val="both"/>
        <w:rPr>
          <w:rFonts w:hAnsi="仿宋_GB2312" w:cs="仿宋_GB2312"/>
          <w:bCs/>
          <w:kern w:val="2"/>
          <w:sz w:val="24"/>
        </w:rPr>
      </w:pPr>
      <w:r>
        <w:rPr>
          <w:rFonts w:hint="eastAsia" w:hAnsi="仿宋_GB2312" w:cs="仿宋_GB2312"/>
          <w:bCs/>
          <w:kern w:val="2"/>
          <w:sz w:val="24"/>
        </w:rPr>
        <w:t>1.行使领导全县共青团工作、领导全县青联和少先队工作的职权，对全县性青年社团组织进行指导和管理。</w:t>
      </w:r>
    </w:p>
    <w:p>
      <w:pPr>
        <w:pStyle w:val="4"/>
        <w:adjustRightInd w:val="0"/>
        <w:snapToGrid w:val="0"/>
        <w:spacing w:before="156" w:beforeLines="50" w:after="156" w:afterLines="50" w:line="560" w:lineRule="exact"/>
        <w:ind w:firstLine="480" w:firstLineChars="200"/>
        <w:jc w:val="both"/>
        <w:rPr>
          <w:rFonts w:hAnsi="仿宋_GB2312" w:cs="仿宋_GB2312"/>
          <w:bCs/>
          <w:kern w:val="2"/>
          <w:sz w:val="24"/>
        </w:rPr>
      </w:pPr>
      <w:r>
        <w:rPr>
          <w:rFonts w:hint="eastAsia" w:hAnsi="仿宋_GB2312" w:cs="仿宋_GB2312"/>
          <w:bCs/>
          <w:kern w:val="2"/>
          <w:sz w:val="24"/>
        </w:rPr>
        <w:t>2.参与制定我县青少年事业发展规划和青少年工作方针、政策，对我县青少年活动阵地、青少年服务机构建设等进行规划和管理。</w:t>
      </w:r>
    </w:p>
    <w:p>
      <w:pPr>
        <w:pStyle w:val="4"/>
        <w:adjustRightInd w:val="0"/>
        <w:snapToGrid w:val="0"/>
        <w:spacing w:before="156" w:beforeLines="50" w:after="156" w:afterLines="50" w:line="560" w:lineRule="exact"/>
        <w:ind w:firstLine="480" w:firstLineChars="200"/>
        <w:jc w:val="both"/>
        <w:rPr>
          <w:rFonts w:hAnsi="仿宋_GB2312" w:cs="仿宋_GB2312"/>
          <w:bCs/>
          <w:kern w:val="2"/>
          <w:sz w:val="24"/>
        </w:rPr>
      </w:pPr>
      <w:r>
        <w:rPr>
          <w:rFonts w:hint="eastAsia" w:hAnsi="仿宋_GB2312" w:cs="仿宋_GB2312"/>
          <w:bCs/>
          <w:kern w:val="2"/>
          <w:sz w:val="24"/>
        </w:rPr>
        <w:t>3.调查青年动态和青年工作状况，研究青少年运动，青少年工作理论和思想教育问题，提出相应对策，开展各种活动。</w:t>
      </w:r>
    </w:p>
    <w:p>
      <w:pPr>
        <w:pStyle w:val="4"/>
        <w:adjustRightInd w:val="0"/>
        <w:snapToGrid w:val="0"/>
        <w:spacing w:before="156" w:beforeLines="50" w:after="156" w:afterLines="50" w:line="560" w:lineRule="exact"/>
        <w:ind w:firstLine="480" w:firstLineChars="200"/>
        <w:jc w:val="both"/>
        <w:rPr>
          <w:rFonts w:hint="eastAsia" w:hAnsi="仿宋_GB2312" w:cs="仿宋_GB2312"/>
          <w:bCs/>
          <w:kern w:val="2"/>
          <w:sz w:val="24"/>
        </w:rPr>
      </w:pPr>
      <w:r>
        <w:rPr>
          <w:rFonts w:hint="eastAsia" w:hAnsi="仿宋_GB2312" w:cs="仿宋_GB2312"/>
          <w:bCs/>
          <w:kern w:val="2"/>
          <w:sz w:val="24"/>
        </w:rPr>
        <w:t>4.协助政府教育部门，做好中、小学生的教育管理工作，维持学校稳定和社会安定团结。</w:t>
      </w:r>
    </w:p>
    <w:p>
      <w:pPr>
        <w:pStyle w:val="4"/>
        <w:adjustRightInd w:val="0"/>
        <w:snapToGrid w:val="0"/>
        <w:spacing w:before="156" w:beforeLines="50" w:after="156" w:afterLines="50" w:line="560" w:lineRule="exact"/>
        <w:ind w:firstLine="480" w:firstLineChars="200"/>
        <w:jc w:val="both"/>
        <w:rPr>
          <w:rFonts w:hint="eastAsia" w:hAnsi="仿宋_GB2312" w:cs="仿宋_GB2312"/>
          <w:bCs/>
          <w:kern w:val="2"/>
          <w:sz w:val="24"/>
        </w:rPr>
      </w:pPr>
      <w:r>
        <w:rPr>
          <w:rFonts w:hint="eastAsia" w:hAnsi="仿宋_GB2312" w:cs="仿宋_GB2312"/>
          <w:bCs/>
          <w:kern w:val="2"/>
          <w:sz w:val="24"/>
        </w:rPr>
        <w:t>5.在经济建设中，组织和带领青年发挥生力军和突击队作用。</w:t>
      </w:r>
    </w:p>
    <w:p>
      <w:pPr>
        <w:pStyle w:val="4"/>
        <w:adjustRightInd w:val="0"/>
        <w:snapToGrid w:val="0"/>
        <w:spacing w:before="156" w:beforeLines="50" w:after="156" w:afterLines="50" w:line="560" w:lineRule="exact"/>
        <w:ind w:firstLine="480" w:firstLineChars="200"/>
        <w:jc w:val="both"/>
        <w:rPr>
          <w:rFonts w:hAnsi="仿宋_GB2312" w:cs="仿宋_GB2312"/>
          <w:bCs/>
          <w:kern w:val="2"/>
          <w:sz w:val="24"/>
        </w:rPr>
      </w:pPr>
      <w:r>
        <w:rPr>
          <w:rFonts w:hint="eastAsia" w:hAnsi="仿宋_GB2312" w:cs="仿宋_GB2312"/>
          <w:bCs/>
          <w:kern w:val="2"/>
          <w:sz w:val="24"/>
        </w:rPr>
        <w:t>6.会同有关部门对全县青少年外事工作进行归口管理和提供服务。</w:t>
      </w:r>
    </w:p>
    <w:p>
      <w:pPr>
        <w:pStyle w:val="4"/>
        <w:adjustRightInd w:val="0"/>
        <w:snapToGrid w:val="0"/>
        <w:spacing w:before="156" w:beforeLines="50" w:after="156" w:afterLines="50" w:line="560" w:lineRule="exact"/>
        <w:ind w:firstLine="480" w:firstLineChars="200"/>
        <w:jc w:val="both"/>
        <w:rPr>
          <w:rFonts w:hAnsi="仿宋_GB2312" w:cs="仿宋_GB2312"/>
          <w:bCs/>
          <w:kern w:val="2"/>
          <w:sz w:val="24"/>
        </w:rPr>
      </w:pPr>
      <w:r>
        <w:rPr>
          <w:rFonts w:hint="eastAsia" w:hAnsi="仿宋_GB2312" w:cs="仿宋_GB2312"/>
          <w:bCs/>
          <w:kern w:val="2"/>
          <w:sz w:val="24"/>
        </w:rPr>
        <w:t>7.做好我县青年统战对象和团结教育工作，维护、促进祖国统一和民族团结。</w:t>
      </w:r>
    </w:p>
    <w:p>
      <w:pPr>
        <w:pStyle w:val="4"/>
        <w:adjustRightInd w:val="0"/>
        <w:snapToGrid w:val="0"/>
        <w:spacing w:before="156" w:beforeLines="50" w:after="156" w:afterLines="50" w:line="560" w:lineRule="exact"/>
        <w:ind w:firstLine="480" w:firstLineChars="200"/>
        <w:jc w:val="both"/>
        <w:rPr>
          <w:rFonts w:hAnsi="仿宋_GB2312" w:cs="仿宋_GB2312"/>
          <w:bCs/>
          <w:kern w:val="2"/>
          <w:sz w:val="24"/>
        </w:rPr>
      </w:pPr>
      <w:r>
        <w:rPr>
          <w:rFonts w:hint="eastAsia" w:hAnsi="仿宋_GB2312" w:cs="仿宋_GB2312"/>
          <w:bCs/>
          <w:kern w:val="2"/>
          <w:sz w:val="24"/>
        </w:rPr>
        <w:t>8.承担中共红原县委、红原县人民政府和共青团阿坝州委交办的有关事项。</w:t>
      </w:r>
    </w:p>
    <w:bookmarkEnd w:id="4"/>
    <w:bookmarkEnd w:id="5"/>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bCs/>
          <w:color w:val="000000"/>
          <w:sz w:val="28"/>
          <w:szCs w:val="28"/>
        </w:rPr>
      </w:pPr>
      <w:bookmarkStart w:id="6" w:name="_Toc26797"/>
      <w:bookmarkStart w:id="7" w:name="_Toc15378446"/>
      <w:bookmarkStart w:id="8" w:name="_Toc8966"/>
      <w:bookmarkStart w:id="9" w:name="_Toc15377199"/>
      <w:r>
        <w:rPr>
          <w:rFonts w:hint="eastAsia" w:asciiTheme="majorEastAsia" w:hAnsiTheme="majorEastAsia" w:eastAsiaTheme="majorEastAsia"/>
          <w:bCs/>
          <w:color w:val="000000"/>
          <w:sz w:val="28"/>
          <w:szCs w:val="28"/>
        </w:rPr>
        <w:t>（二）2021年重点工作完成情况。</w:t>
      </w:r>
      <w:bookmarkEnd w:id="6"/>
      <w:bookmarkEnd w:id="7"/>
      <w:bookmarkEnd w:id="8"/>
      <w:bookmarkEnd w:id="9"/>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1.切实践行社会主义核心价值观</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2.围绕党政中心，组织团员青年投身经济社会发展</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3.加强深化青少年关心关爱</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4.继续推动资助贫困学生，圆校园梦工作</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5.继续推进共青团改革工作</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6.促进稳定和谐，真心实意为群众解难事办实事</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7.在上级帮助支持下大力推动青年就业创业</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8.预防青少年犯罪、维护青少年权益</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9.新媒体工作顺利实施，再上新台阶</w:t>
      </w:r>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10" w:name="_Toc121953689"/>
      <w:r>
        <w:rPr>
          <w:rFonts w:asciiTheme="majorEastAsia" w:hAnsiTheme="majorEastAsia" w:eastAsiaTheme="majorEastAsia"/>
          <w:sz w:val="32"/>
          <w:szCs w:val="32"/>
        </w:rPr>
        <w:t>二、机构设置</w:t>
      </w:r>
      <w:bookmarkEnd w:id="10"/>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中国共产主义青年团阿坝州红原县委员会下属二级单位</w:t>
      </w:r>
      <w:r>
        <w:rPr>
          <w:rFonts w:hint="eastAsia" w:ascii="仿宋_GB2312" w:hAnsi="仿宋_GB2312" w:eastAsia="仿宋_GB2312" w:cs="仿宋_GB2312"/>
          <w:bCs/>
          <w:kern w:val="2"/>
        </w:rPr>
        <w:t>3</w:t>
      </w:r>
      <w:r>
        <w:rPr>
          <w:rFonts w:ascii="仿宋_GB2312" w:hAnsi="仿宋_GB2312" w:eastAsia="仿宋_GB2312" w:cs="仿宋_GB2312"/>
          <w:bCs/>
          <w:kern w:val="2"/>
        </w:rPr>
        <w:t>个，其中行政单位</w:t>
      </w:r>
      <w:r>
        <w:rPr>
          <w:rFonts w:hint="eastAsia" w:ascii="仿宋_GB2312" w:hAnsi="仿宋_GB2312" w:eastAsia="仿宋_GB2312" w:cs="仿宋_GB2312"/>
          <w:bCs/>
          <w:kern w:val="2"/>
        </w:rPr>
        <w:t>1</w:t>
      </w:r>
      <w:r>
        <w:rPr>
          <w:rFonts w:ascii="仿宋_GB2312" w:hAnsi="仿宋_GB2312" w:eastAsia="仿宋_GB2312" w:cs="仿宋_GB2312"/>
          <w:bCs/>
          <w:kern w:val="2"/>
        </w:rPr>
        <w:t>个，参照公务员法管理的事业单位</w:t>
      </w:r>
      <w:r>
        <w:rPr>
          <w:rFonts w:hint="eastAsia" w:ascii="仿宋_GB2312" w:hAnsi="仿宋_GB2312" w:eastAsia="仿宋_GB2312" w:cs="仿宋_GB2312"/>
          <w:bCs/>
          <w:kern w:val="2"/>
        </w:rPr>
        <w:t>1</w:t>
      </w:r>
      <w:r>
        <w:rPr>
          <w:rFonts w:ascii="仿宋_GB2312" w:hAnsi="仿宋_GB2312" w:eastAsia="仿宋_GB2312" w:cs="仿宋_GB2312"/>
          <w:bCs/>
          <w:kern w:val="2"/>
        </w:rPr>
        <w:t>个，其他事业单位</w:t>
      </w:r>
      <w:r>
        <w:rPr>
          <w:rFonts w:hint="eastAsia" w:ascii="仿宋_GB2312" w:hAnsi="仿宋_GB2312" w:eastAsia="仿宋_GB2312" w:cs="仿宋_GB2312"/>
          <w:bCs/>
          <w:kern w:val="2"/>
        </w:rPr>
        <w:t>1</w:t>
      </w:r>
      <w:r>
        <w:rPr>
          <w:rFonts w:ascii="仿宋_GB2312" w:hAnsi="仿宋_GB2312" w:eastAsia="仿宋_GB2312" w:cs="仿宋_GB2312"/>
          <w:bCs/>
          <w:kern w:val="2"/>
        </w:rPr>
        <w:t>个。</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纳入中国共产主义青年团阿坝州红原县委员会2021年度部门决算编制范围的二级预算单位包括：</w:t>
      </w:r>
    </w:p>
    <w:p>
      <w:pPr>
        <w:snapToGrid w:val="0"/>
        <w:spacing w:before="156" w:beforeLines="50" w:after="156" w:afterLines="50" w:line="560" w:lineRule="exact"/>
        <w:ind w:firstLine="480" w:firstLineChars="200"/>
        <w:jc w:val="both"/>
        <w:rPr>
          <w:rFonts w:hint="eastAsia" w:ascii="仿宋_GB2312" w:hAnsi="仿宋_GB2312" w:eastAsia="仿宋_GB2312" w:cs="仿宋_GB2312"/>
          <w:bCs/>
          <w:kern w:val="2"/>
          <w:lang w:val="en-US" w:eastAsia="zh-CN"/>
        </w:rPr>
      </w:pPr>
      <w:r>
        <w:rPr>
          <w:rFonts w:hint="eastAsia" w:ascii="仿宋_GB2312" w:hAnsi="仿宋_GB2312" w:eastAsia="仿宋_GB2312" w:cs="仿宋_GB2312"/>
          <w:bCs/>
          <w:kern w:val="2"/>
        </w:rPr>
        <w:t>1.中国共产主义青年团红原县</w:t>
      </w:r>
      <w:r>
        <w:rPr>
          <w:rFonts w:hint="eastAsia" w:ascii="仿宋_GB2312" w:hAnsi="仿宋_GB2312" w:eastAsia="仿宋_GB2312" w:cs="仿宋_GB2312"/>
          <w:bCs/>
          <w:kern w:val="2"/>
          <w:lang w:eastAsia="zh-CN"/>
        </w:rPr>
        <w:t>委员会</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2.四川省阿坝州红原县青少年宫</w:t>
      </w:r>
    </w:p>
    <w:p>
      <w:pPr>
        <w:pStyle w:val="2"/>
        <w:spacing w:before="156" w:beforeLines="50" w:beforeAutospacing="0" w:after="156" w:afterLines="50" w:afterAutospacing="0" w:line="560" w:lineRule="exact"/>
        <w:ind w:firstLine="883" w:firstLineChars="200"/>
        <w:jc w:val="both"/>
        <w:rPr>
          <w:rFonts w:hint="eastAsia" w:asciiTheme="majorEastAsia" w:hAnsiTheme="majorEastAsia" w:eastAsiaTheme="majorEastAsia"/>
          <w:sz w:val="44"/>
          <w:szCs w:val="44"/>
        </w:rPr>
      </w:pPr>
      <w:bookmarkStart w:id="11" w:name="_Toc121953690"/>
    </w:p>
    <w:p>
      <w:pPr>
        <w:pStyle w:val="2"/>
        <w:spacing w:before="156" w:beforeLines="50" w:beforeAutospacing="0" w:after="156" w:afterLines="50" w:afterAutospacing="0" w:line="560" w:lineRule="exact"/>
        <w:ind w:firstLine="883" w:firstLineChars="200"/>
        <w:jc w:val="both"/>
        <w:rPr>
          <w:rFonts w:hint="eastAsia" w:asciiTheme="majorEastAsia" w:hAnsiTheme="majorEastAsia" w:eastAsiaTheme="majorEastAsia"/>
          <w:sz w:val="44"/>
          <w:szCs w:val="44"/>
        </w:rPr>
      </w:pPr>
    </w:p>
    <w:p>
      <w:pPr>
        <w:pStyle w:val="2"/>
        <w:spacing w:before="156" w:beforeLines="50" w:beforeAutospacing="0" w:after="156" w:afterLines="50" w:afterAutospacing="0" w:line="560" w:lineRule="exact"/>
        <w:ind w:firstLine="883" w:firstLineChars="200"/>
        <w:jc w:val="both"/>
        <w:rPr>
          <w:rFonts w:hint="eastAsia" w:asciiTheme="majorEastAsia" w:hAnsiTheme="majorEastAsia" w:eastAsiaTheme="majorEastAsia"/>
          <w:sz w:val="44"/>
          <w:szCs w:val="44"/>
        </w:rPr>
      </w:pPr>
    </w:p>
    <w:p>
      <w:pPr>
        <w:pStyle w:val="2"/>
        <w:spacing w:before="156" w:beforeLines="50" w:beforeAutospacing="0" w:after="156" w:afterLines="50" w:afterAutospacing="0" w:line="560" w:lineRule="exact"/>
        <w:ind w:firstLine="883" w:firstLineChars="200"/>
        <w:jc w:val="both"/>
        <w:rPr>
          <w:rFonts w:hint="eastAsia" w:asciiTheme="majorEastAsia" w:hAnsiTheme="majorEastAsia" w:eastAsiaTheme="majorEastAsia"/>
          <w:sz w:val="44"/>
          <w:szCs w:val="44"/>
        </w:rPr>
      </w:pPr>
    </w:p>
    <w:p>
      <w:pPr>
        <w:pStyle w:val="2"/>
        <w:spacing w:before="156" w:beforeLines="50" w:beforeAutospacing="0" w:after="156" w:afterLines="50" w:afterAutospacing="0" w:line="560" w:lineRule="exact"/>
        <w:ind w:firstLine="883" w:firstLineChars="200"/>
        <w:jc w:val="both"/>
        <w:rPr>
          <w:rFonts w:hint="eastAsia" w:asciiTheme="majorEastAsia" w:hAnsiTheme="majorEastAsia" w:eastAsiaTheme="majorEastAsia"/>
          <w:sz w:val="44"/>
          <w:szCs w:val="44"/>
        </w:rPr>
      </w:pPr>
    </w:p>
    <w:p>
      <w:pPr>
        <w:pStyle w:val="2"/>
        <w:spacing w:before="156" w:beforeLines="50" w:beforeAutospacing="0" w:after="156" w:afterLines="50" w:afterAutospacing="0" w:line="560" w:lineRule="exact"/>
        <w:ind w:firstLine="883" w:firstLineChars="200"/>
        <w:jc w:val="both"/>
        <w:rPr>
          <w:rFonts w:hint="eastAsia" w:asciiTheme="majorEastAsia" w:hAnsiTheme="majorEastAsia" w:eastAsiaTheme="majorEastAsia"/>
          <w:sz w:val="44"/>
          <w:szCs w:val="44"/>
        </w:rPr>
      </w:pPr>
    </w:p>
    <w:p>
      <w:pPr>
        <w:pStyle w:val="2"/>
        <w:spacing w:before="156" w:beforeLines="50" w:beforeAutospacing="0" w:after="156" w:afterLines="50" w:afterAutospacing="0" w:line="560" w:lineRule="exact"/>
        <w:ind w:firstLine="883" w:firstLineChars="200"/>
        <w:jc w:val="both"/>
        <w:rPr>
          <w:rFonts w:hint="eastAsia" w:asciiTheme="majorEastAsia" w:hAnsiTheme="majorEastAsia" w:eastAsiaTheme="majorEastAsia"/>
          <w:sz w:val="44"/>
          <w:szCs w:val="44"/>
        </w:rPr>
      </w:pPr>
    </w:p>
    <w:p>
      <w:pPr>
        <w:pStyle w:val="2"/>
        <w:spacing w:before="156" w:beforeLines="50" w:beforeAutospacing="0" w:after="156" w:afterLines="50" w:afterAutospacing="0" w:line="560" w:lineRule="exact"/>
        <w:jc w:val="center"/>
        <w:rPr>
          <w:rFonts w:asciiTheme="majorEastAsia" w:hAnsiTheme="majorEastAsia" w:eastAsiaTheme="majorEastAsia"/>
          <w:sz w:val="44"/>
          <w:szCs w:val="44"/>
        </w:rPr>
      </w:pPr>
      <w:r>
        <w:rPr>
          <w:rFonts w:asciiTheme="majorEastAsia" w:hAnsiTheme="majorEastAsia" w:eastAsiaTheme="majorEastAsia"/>
          <w:sz w:val="44"/>
          <w:szCs w:val="44"/>
        </w:rPr>
        <w:t>第二部分 2021年度部门决算情况说明</w:t>
      </w:r>
      <w:bookmarkEnd w:id="11"/>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12" w:name="_Toc121953691"/>
      <w:r>
        <w:rPr>
          <w:rFonts w:asciiTheme="majorEastAsia" w:hAnsiTheme="majorEastAsia" w:eastAsiaTheme="majorEastAsia"/>
          <w:sz w:val="32"/>
          <w:szCs w:val="32"/>
        </w:rPr>
        <w:t>（一）收入支出决算总体情况说明</w:t>
      </w:r>
      <w:bookmarkEnd w:id="12"/>
    </w:p>
    <w:p>
      <w:pPr>
        <w:pStyle w:val="11"/>
        <w:shd w:val="clear" w:color="auto" w:fill="FFFFFF"/>
        <w:spacing w:before="156" w:beforeLines="50" w:beforeAutospacing="0" w:after="156" w:afterLines="50" w:afterAutospacing="0" w:line="560" w:lineRule="exact"/>
        <w:ind w:firstLine="480" w:firstLineChars="200"/>
        <w:jc w:val="both"/>
      </w:pPr>
      <w:r>
        <w:rPr>
          <w:rFonts w:ascii="仿宋_GB2312" w:hAnsi="仿宋_GB2312" w:eastAsia="仿宋_GB2312" w:cs="仿宋_GB2312"/>
          <w:bCs/>
          <w:kern w:val="2"/>
        </w:rPr>
        <w:t>2021年度收、支总计245.80万元。与2020年相比，收、支总计各增加62.54万元，增长34.13%。主要变动原因是</w:t>
      </w:r>
      <w:r>
        <w:rPr>
          <w:rFonts w:hint="eastAsia" w:ascii="仿宋_GB2312" w:hAnsi="仿宋_GB2312" w:eastAsia="仿宋_GB2312" w:cs="仿宋_GB2312"/>
          <w:bCs/>
          <w:kern w:val="2"/>
        </w:rPr>
        <w:t>是我县承办州文旅大会，志愿者培训经费及服装费增加</w:t>
      </w:r>
      <w:r>
        <w:rPr>
          <w:rFonts w:hint="eastAsia"/>
        </w:rPr>
        <w:t>。</w:t>
      </w:r>
    </w:p>
    <w:p>
      <w:pPr>
        <w:pStyle w:val="11"/>
        <w:shd w:val="clear" w:color="auto" w:fill="FFFFFF"/>
        <w:spacing w:before="156" w:beforeLines="50" w:beforeAutospacing="0" w:after="156" w:afterLines="50" w:afterAutospacing="0" w:line="560" w:lineRule="exact"/>
        <w:ind w:firstLine="480" w:firstLineChars="200"/>
        <w:jc w:val="both"/>
      </w:pPr>
      <w:r>
        <w:t>（图1：收、支决算总计变动情况图）（柱状图）</w:t>
      </w:r>
    </w:p>
    <w:p>
      <w:pPr>
        <w:pStyle w:val="11"/>
        <w:shd w:val="clear" w:color="auto" w:fill="FFFFFF"/>
        <w:spacing w:before="156" w:beforeLines="50" w:beforeAutospacing="0" w:after="156" w:afterLines="50" w:afterAutospacing="0" w:line="560" w:lineRule="exact"/>
        <w:ind w:firstLine="640" w:firstLineChars="200"/>
        <w:jc w:val="both"/>
      </w:pPr>
      <w:r>
        <w:rPr>
          <w:rFonts w:hint="eastAsia" w:ascii="黑体" w:hAnsi="黑体" w:eastAsia="黑体"/>
          <w:color w:val="000000"/>
          <w:sz w:val="32"/>
          <w:szCs w:val="32"/>
        </w:rPr>
        <w:drawing>
          <wp:anchor distT="0" distB="0" distL="114300" distR="114300" simplePos="0" relativeHeight="251659264" behindDoc="0" locked="0" layoutInCell="1" allowOverlap="1">
            <wp:simplePos x="0" y="0"/>
            <wp:positionH relativeFrom="column">
              <wp:posOffset>325120</wp:posOffset>
            </wp:positionH>
            <wp:positionV relativeFrom="paragraph">
              <wp:posOffset>34290</wp:posOffset>
            </wp:positionV>
            <wp:extent cx="4453890" cy="2465705"/>
            <wp:effectExtent l="0" t="0" r="3810" b="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11"/>
        <w:shd w:val="clear" w:color="auto" w:fill="FFFFFF"/>
        <w:spacing w:before="156" w:beforeLines="50" w:beforeAutospacing="0" w:after="156" w:afterLines="50" w:afterAutospacing="0" w:line="560" w:lineRule="exact"/>
        <w:ind w:firstLine="480" w:firstLineChars="200"/>
        <w:jc w:val="both"/>
      </w:pPr>
    </w:p>
    <w:p>
      <w:pPr>
        <w:pStyle w:val="11"/>
        <w:shd w:val="clear" w:color="auto" w:fill="FFFFFF"/>
        <w:spacing w:before="156" w:beforeLines="50" w:beforeAutospacing="0" w:after="156" w:afterLines="50" w:afterAutospacing="0" w:line="560" w:lineRule="exact"/>
        <w:ind w:firstLine="480" w:firstLineChars="200"/>
        <w:jc w:val="both"/>
      </w:pPr>
    </w:p>
    <w:p>
      <w:pPr>
        <w:pStyle w:val="11"/>
        <w:shd w:val="clear" w:color="auto" w:fill="FFFFFF"/>
        <w:spacing w:before="156" w:beforeLines="50" w:beforeAutospacing="0" w:after="156" w:afterLines="50" w:afterAutospacing="0" w:line="560" w:lineRule="exact"/>
        <w:ind w:firstLine="480" w:firstLineChars="200"/>
        <w:jc w:val="both"/>
      </w:pPr>
    </w:p>
    <w:p>
      <w:pPr>
        <w:pStyle w:val="11"/>
        <w:shd w:val="clear" w:color="auto" w:fill="FFFFFF"/>
        <w:spacing w:before="156" w:beforeLines="50" w:beforeAutospacing="0" w:after="156" w:afterLines="50" w:afterAutospacing="0" w:line="560" w:lineRule="exact"/>
        <w:ind w:firstLine="480" w:firstLineChars="200"/>
        <w:jc w:val="both"/>
      </w:pPr>
    </w:p>
    <w:p>
      <w:pPr>
        <w:pStyle w:val="11"/>
        <w:shd w:val="clear" w:color="auto" w:fill="FFFFFF"/>
        <w:spacing w:before="156" w:beforeLines="50" w:beforeAutospacing="0" w:after="156" w:afterLines="50" w:afterAutospacing="0" w:line="560" w:lineRule="exact"/>
        <w:jc w:val="both"/>
      </w:pPr>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13" w:name="_Toc121953692"/>
      <w:r>
        <w:rPr>
          <w:rFonts w:hint="eastAsia" w:asciiTheme="majorEastAsia" w:hAnsiTheme="majorEastAsia" w:eastAsiaTheme="majorEastAsia"/>
          <w:sz w:val="32"/>
          <w:szCs w:val="32"/>
        </w:rPr>
        <w:t>(二)</w:t>
      </w:r>
      <w:r>
        <w:rPr>
          <w:rFonts w:asciiTheme="majorEastAsia" w:hAnsiTheme="majorEastAsia" w:eastAsiaTheme="majorEastAsia"/>
          <w:sz w:val="32"/>
          <w:szCs w:val="32"/>
        </w:rPr>
        <w:t>收入决算情况说明</w:t>
      </w:r>
      <w:bookmarkEnd w:id="13"/>
    </w:p>
    <w:p>
      <w:pPr>
        <w:snapToGrid w:val="0"/>
        <w:spacing w:before="156" w:beforeLines="50" w:after="156" w:afterLines="50" w:line="560" w:lineRule="exact"/>
        <w:ind w:firstLine="640" w:firstLineChars="200"/>
        <w:jc w:val="both"/>
        <w:rPr>
          <w:rFonts w:ascii="仿宋_GB2312" w:hAnsi="仿宋_GB2312" w:eastAsia="仿宋_GB2312" w:cs="仿宋_GB2312"/>
          <w:bCs/>
          <w:kern w:val="2"/>
        </w:rPr>
      </w:pPr>
      <w:r>
        <w:rPr>
          <w:rFonts w:hint="eastAsia" w:ascii="仿宋" w:hAnsi="仿宋" w:eastAsia="仿宋"/>
          <w:color w:val="000000" w:themeColor="text1"/>
          <w:sz w:val="32"/>
          <w:szCs w:val="32"/>
        </w:rPr>
        <w:drawing>
          <wp:anchor distT="0" distB="0" distL="114300" distR="114300" simplePos="0" relativeHeight="251669504" behindDoc="0" locked="0" layoutInCell="1" allowOverlap="1">
            <wp:simplePos x="0" y="0"/>
            <wp:positionH relativeFrom="column">
              <wp:posOffset>255905</wp:posOffset>
            </wp:positionH>
            <wp:positionV relativeFrom="paragraph">
              <wp:posOffset>2880360</wp:posOffset>
            </wp:positionV>
            <wp:extent cx="4800600" cy="2569845"/>
            <wp:effectExtent l="0" t="0" r="0" b="19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_GB2312" w:hAnsi="仿宋_GB2312" w:eastAsia="仿宋_GB2312" w:cs="仿宋_GB2312"/>
          <w:bCs/>
          <w:kern w:val="2"/>
        </w:rPr>
        <w:t>2021年本年收入合计245.80万元，其中：一般公共预算财政拨款收入245.80万元，占100.00%；政府性基金预算财政拨款收入0.00万元，占0.00%；国有资本经营预算财政拨款收入0.00万元，占0.00%；上级补助收入0.00万元，占0.00%；事业收入0.00万元，占0.00%%；经营收入0.00万元，占0.00%%；附属单位上缴收入0.00万元，占0.00%；其他收入0.00万元，占0.00%。 </w:t>
      </w:r>
    </w:p>
    <w:p>
      <w:pPr>
        <w:pStyle w:val="11"/>
        <w:shd w:val="clear" w:color="auto" w:fill="FFFFFF"/>
        <w:spacing w:before="156" w:beforeLines="50" w:beforeAutospacing="0" w:after="156" w:afterLines="50" w:afterAutospacing="0" w:line="560" w:lineRule="exact"/>
        <w:ind w:firstLine="480" w:firstLineChars="200"/>
        <w:jc w:val="both"/>
      </w:pPr>
      <w:r>
        <w:t>（图2：收入决算结构图）（饼状图）</w:t>
      </w:r>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14" w:name="_Toc121953693"/>
      <w:r>
        <w:rPr>
          <w:rFonts w:hint="eastAsia" w:asciiTheme="majorEastAsia" w:hAnsiTheme="majorEastAsia" w:eastAsiaTheme="majorEastAsia"/>
          <w:sz w:val="32"/>
          <w:szCs w:val="32"/>
        </w:rPr>
        <w:t>（三）</w:t>
      </w:r>
      <w:r>
        <w:rPr>
          <w:rFonts w:asciiTheme="majorEastAsia" w:hAnsiTheme="majorEastAsia" w:eastAsiaTheme="majorEastAsia"/>
          <w:sz w:val="32"/>
          <w:szCs w:val="32"/>
        </w:rPr>
        <w:t>支出决算情况说明</w:t>
      </w:r>
      <w:bookmarkEnd w:id="14"/>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2021年本年支出合计245.80万元，其中：基本支出155.08万元，占63.09%；项目支出90.72万元，占36.91%；上缴上级支出0.00万元，占0.00%；经营支出0.00万元，占经营支出0.00万元，占 0.00%；对附属单位补助支出0.00万元，占0.00%。 </w:t>
      </w:r>
    </w:p>
    <w:p>
      <w:pPr>
        <w:pStyle w:val="11"/>
        <w:shd w:val="clear" w:color="auto" w:fill="FFFFFF"/>
        <w:spacing w:before="156" w:beforeLines="50" w:beforeAutospacing="0" w:after="156" w:afterLines="50" w:afterAutospacing="0" w:line="560" w:lineRule="exact"/>
        <w:ind w:firstLine="480" w:firstLineChars="200"/>
        <w:jc w:val="both"/>
        <w:rPr>
          <w:rFonts w:hint="eastAsia"/>
        </w:rPr>
      </w:pPr>
      <w:r>
        <w:t>（图3：支出决算结构图）（饼状图）</w:t>
      </w:r>
    </w:p>
    <w:p>
      <w:pPr>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inline distT="0" distB="0" distL="114300" distR="114300">
            <wp:extent cx="4820920" cy="2929890"/>
            <wp:effectExtent l="0" t="0" r="0" b="381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15" w:name="_Toc121953694"/>
      <w:r>
        <w:rPr>
          <w:rFonts w:asciiTheme="majorEastAsia" w:hAnsiTheme="majorEastAsia" w:eastAsiaTheme="majorEastAsia"/>
          <w:sz w:val="32"/>
          <w:szCs w:val="32"/>
        </w:rPr>
        <w:t>四、财政拨款收入支出决算总体情况说明</w:t>
      </w:r>
      <w:bookmarkEnd w:id="15"/>
    </w:p>
    <w:p>
      <w:pPr>
        <w:snapToGrid w:val="0"/>
        <w:spacing w:before="156" w:beforeLines="50" w:after="156" w:afterLines="50" w:line="560" w:lineRule="exact"/>
        <w:ind w:firstLine="480" w:firstLineChars="200"/>
        <w:jc w:val="both"/>
        <w:rPr>
          <w:rFonts w:hint="eastAsia" w:ascii="仿宋_GB2312" w:hAnsi="仿宋_GB2312" w:eastAsia="仿宋_GB2312" w:cs="仿宋_GB2312"/>
          <w:bCs/>
          <w:kern w:val="2"/>
        </w:rPr>
      </w:pPr>
      <w:r>
        <w:rPr>
          <w:rFonts w:ascii="仿宋_GB2312" w:hAnsi="仿宋_GB2312" w:eastAsia="仿宋_GB2312" w:cs="仿宋_GB2312"/>
          <w:bCs/>
          <w:kern w:val="2"/>
        </w:rPr>
        <w:t>2021年财政拨款收、支总计245.80万元。与2020年相比，财政拨款收、支总计各增加/减少72.99万元，增长26.06%。主要变动原因是</w:t>
      </w:r>
      <w:r>
        <w:rPr>
          <w:rFonts w:hint="eastAsia" w:ascii="仿宋_GB2312" w:hAnsi="仿宋_GB2312" w:eastAsia="仿宋_GB2312" w:cs="仿宋_GB2312"/>
          <w:bCs/>
          <w:kern w:val="2"/>
        </w:rPr>
        <w:t>是我县承办州文旅大会，志愿者培训经费及服装费增加。</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t>（图4）：财政拨款收、支决算总计变动情况）（柱状图）</w:t>
      </w:r>
    </w:p>
    <w:p>
      <w:pPr>
        <w:pStyle w:val="11"/>
        <w:shd w:val="clear" w:color="auto" w:fill="FFFFFF"/>
        <w:spacing w:before="156" w:beforeLines="50" w:beforeAutospacing="0" w:after="156" w:afterLines="50" w:afterAutospacing="0" w:line="560" w:lineRule="exact"/>
        <w:jc w:val="both"/>
      </w:pPr>
      <w:r>
        <w:rPr>
          <w:rFonts w:hint="eastAsia" w:ascii="黑体" w:hAnsi="黑体" w:eastAsia="黑体"/>
          <w:color w:val="000000"/>
          <w:sz w:val="32"/>
          <w:szCs w:val="32"/>
        </w:rPr>
        <w:drawing>
          <wp:anchor distT="0" distB="0" distL="114300" distR="114300" simplePos="0" relativeHeight="251662336" behindDoc="0" locked="0" layoutInCell="1" allowOverlap="1">
            <wp:simplePos x="0" y="0"/>
            <wp:positionH relativeFrom="column">
              <wp:posOffset>207645</wp:posOffset>
            </wp:positionH>
            <wp:positionV relativeFrom="paragraph">
              <wp:posOffset>144780</wp:posOffset>
            </wp:positionV>
            <wp:extent cx="4876800" cy="3255645"/>
            <wp:effectExtent l="0" t="0" r="0" b="190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3"/>
        <w:spacing w:before="156" w:beforeLines="50" w:beforeAutospacing="0" w:after="156" w:afterLines="50" w:afterAutospacing="0" w:line="560" w:lineRule="exact"/>
        <w:ind w:firstLine="643" w:firstLineChars="200"/>
        <w:jc w:val="both"/>
        <w:rPr>
          <w:rFonts w:hint="eastAsia" w:asciiTheme="majorEastAsia" w:hAnsiTheme="majorEastAsia" w:eastAsiaTheme="majorEastAsia"/>
          <w:sz w:val="32"/>
          <w:szCs w:val="32"/>
        </w:rPr>
      </w:pPr>
      <w:r>
        <w:rPr>
          <w:rFonts w:asciiTheme="majorEastAsia" w:hAnsiTheme="majorEastAsia" w:eastAsiaTheme="majorEastAsia"/>
          <w:sz w:val="32"/>
          <w:szCs w:val="32"/>
        </w:rPr>
        <w:t>五、一般公共预算财政拨款支出决算情况说明</w:t>
      </w:r>
    </w:p>
    <w:p>
      <w:pPr>
        <w:pStyle w:val="4"/>
        <w:adjustRightInd w:val="0"/>
        <w:snapToGrid w:val="0"/>
        <w:spacing w:before="156" w:beforeLines="50" w:after="156" w:afterLines="50" w:line="560" w:lineRule="exact"/>
        <w:ind w:firstLine="562" w:firstLineChars="200"/>
        <w:jc w:val="both"/>
        <w:outlineLvl w:val="2"/>
        <w:rPr>
          <w:rFonts w:asciiTheme="majorEastAsia" w:hAnsiTheme="majorEastAsia" w:eastAsiaTheme="majorEastAsia"/>
          <w:bCs/>
          <w:color w:val="000000"/>
          <w:sz w:val="28"/>
          <w:szCs w:val="28"/>
        </w:rPr>
      </w:pPr>
      <w:r>
        <w:rPr>
          <w:rFonts w:asciiTheme="majorEastAsia" w:hAnsiTheme="majorEastAsia" w:eastAsiaTheme="majorEastAsia"/>
          <w:b/>
          <w:color w:val="000000"/>
          <w:sz w:val="28"/>
          <w:szCs w:val="28"/>
        </w:rPr>
        <w:t>（</w:t>
      </w:r>
      <w:r>
        <w:rPr>
          <w:rFonts w:asciiTheme="majorEastAsia" w:hAnsiTheme="majorEastAsia" w:eastAsiaTheme="majorEastAsia"/>
          <w:bCs/>
          <w:color w:val="000000"/>
          <w:sz w:val="28"/>
          <w:szCs w:val="28"/>
        </w:rPr>
        <w:t>一）一般公共预算财政拨款支出决算总体情况</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2021年一般公共预算财政拨款支出245.80万元，占本年支出合计的100.00%。与2020年相比，一般公共预算财政拨款支出增加72.99万元，增长42.24%。主要变动原因是</w:t>
      </w:r>
      <w:r>
        <w:rPr>
          <w:rFonts w:hint="eastAsia" w:ascii="仿宋_GB2312" w:hAnsi="仿宋_GB2312" w:eastAsia="仿宋_GB2312" w:cs="仿宋_GB2312"/>
          <w:bCs/>
          <w:kern w:val="2"/>
        </w:rPr>
        <w:t>我县承办州文旅大会，志愿者培训经费及服装费增加。</w:t>
      </w:r>
    </w:p>
    <w:p>
      <w:pPr>
        <w:pStyle w:val="4"/>
        <w:adjustRightInd w:val="0"/>
        <w:snapToGrid w:val="0"/>
        <w:spacing w:before="156" w:beforeLines="50" w:after="156" w:afterLines="50" w:line="560" w:lineRule="exact"/>
        <w:ind w:firstLine="562" w:firstLineChars="200"/>
        <w:jc w:val="both"/>
        <w:outlineLvl w:val="2"/>
        <w:rPr>
          <w:rFonts w:asciiTheme="majorEastAsia" w:hAnsiTheme="majorEastAsia" w:eastAsiaTheme="majorEastAsia"/>
          <w:b/>
          <w:color w:val="000000"/>
          <w:sz w:val="28"/>
          <w:szCs w:val="28"/>
        </w:rPr>
      </w:pPr>
      <w:bookmarkStart w:id="16" w:name="_Toc121953695"/>
      <w:r>
        <w:rPr>
          <w:rFonts w:asciiTheme="majorEastAsia" w:hAnsiTheme="majorEastAsia" w:eastAsiaTheme="majorEastAsia"/>
          <w:b/>
          <w:color w:val="000000"/>
          <w:sz w:val="28"/>
          <w:szCs w:val="28"/>
        </w:rPr>
        <w:t>（二）一般公共预算财政拨款支出决算结构情况</w:t>
      </w:r>
      <w:bookmarkEnd w:id="16"/>
    </w:p>
    <w:p>
      <w:pPr>
        <w:pStyle w:val="11"/>
        <w:shd w:val="clear" w:color="auto" w:fill="FFFFFF"/>
        <w:spacing w:before="156" w:beforeLines="50" w:beforeAutospacing="0" w:after="156" w:afterLines="50" w:afterAutospacing="0" w:line="560" w:lineRule="exact"/>
        <w:ind w:firstLine="480" w:firstLineChars="200"/>
        <w:jc w:val="both"/>
      </w:pPr>
      <w:r>
        <w:t>2021年一般公共预算财政拨款支出245.80万元，主要用于以下方面:</w:t>
      </w:r>
      <w:r>
        <w:rPr>
          <w:rStyle w:val="14"/>
        </w:rPr>
        <w:t>一般公共服务（类）</w:t>
      </w:r>
      <w:r>
        <w:t>支出212.54万元，占86.47%；</w:t>
      </w:r>
      <w:r>
        <w:rPr>
          <w:rStyle w:val="14"/>
        </w:rPr>
        <w:t>教育支出（类）</w:t>
      </w:r>
      <w:r>
        <w:t>0.00万元，占0.00%；</w:t>
      </w:r>
      <w:r>
        <w:rPr>
          <w:rStyle w:val="14"/>
        </w:rPr>
        <w:t>科学技术（类）</w:t>
      </w:r>
      <w:r>
        <w:t>支出0.00万元，占0.00%；</w:t>
      </w:r>
      <w:r>
        <w:rPr>
          <w:rStyle w:val="14"/>
        </w:rPr>
        <w:t>文化旅游体育与传媒（类）支出0.00万元，占0.00%；社会保障和就业（类）</w:t>
      </w:r>
      <w:r>
        <w:t>支出16.00万元，占6.51%；</w:t>
      </w:r>
      <w:r>
        <w:rPr>
          <w:rStyle w:val="14"/>
        </w:rPr>
        <w:t>卫生健康支出</w:t>
      </w:r>
      <w:r>
        <w:t>6.66万元，占2.71%；住房保障支出10.61万元，占4.32%；</w:t>
      </w:r>
      <w:r>
        <w:rPr>
          <w:rFonts w:hint="eastAsia"/>
        </w:rPr>
        <w:t>其他支出（229）0万元，占0%</w:t>
      </w:r>
      <w:r>
        <w:t>。 </w:t>
      </w:r>
    </w:p>
    <w:p>
      <w:pPr>
        <w:pStyle w:val="11"/>
        <w:shd w:val="clear" w:color="auto" w:fill="FFFFFF"/>
        <w:spacing w:before="156" w:beforeLines="50" w:beforeAutospacing="0" w:after="156" w:afterLines="50" w:afterAutospacing="0" w:line="560" w:lineRule="exact"/>
        <w:ind w:firstLine="640" w:firstLineChars="200"/>
        <w:jc w:val="both"/>
      </w:pPr>
      <w:r>
        <w:rPr>
          <w:rFonts w:hint="eastAsia" w:ascii="仿宋" w:hAnsi="仿宋" w:eastAsia="仿宋"/>
          <w:color w:val="000000"/>
          <w:sz w:val="32"/>
          <w:szCs w:val="32"/>
        </w:rPr>
        <w:drawing>
          <wp:anchor distT="0" distB="0" distL="114300" distR="114300" simplePos="0" relativeHeight="251666432" behindDoc="1" locked="0" layoutInCell="1" allowOverlap="1">
            <wp:simplePos x="0" y="0"/>
            <wp:positionH relativeFrom="column">
              <wp:posOffset>133985</wp:posOffset>
            </wp:positionH>
            <wp:positionV relativeFrom="paragraph">
              <wp:posOffset>742950</wp:posOffset>
            </wp:positionV>
            <wp:extent cx="4876800" cy="3444240"/>
            <wp:effectExtent l="0" t="0" r="0" b="3810"/>
            <wp:wrapTight wrapText="bothSides">
              <wp:wrapPolygon>
                <wp:start x="0" y="0"/>
                <wp:lineTo x="0" y="21624"/>
                <wp:lineTo x="21600" y="21624"/>
                <wp:lineTo x="21600" y="0"/>
                <wp:lineTo x="0" y="0"/>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t>（图6：一般公共预算财政拨款支出决算结构）（饼状图）</w:t>
      </w:r>
    </w:p>
    <w:p>
      <w:pPr>
        <w:pStyle w:val="11"/>
        <w:shd w:val="clear" w:color="auto" w:fill="FFFFFF"/>
        <w:spacing w:before="156" w:beforeLines="50" w:beforeAutospacing="0" w:after="156" w:afterLines="50" w:afterAutospacing="0" w:line="560" w:lineRule="exact"/>
        <w:ind w:firstLine="480" w:firstLineChars="200"/>
        <w:jc w:val="both"/>
      </w:pPr>
    </w:p>
    <w:p>
      <w:pPr>
        <w:pStyle w:val="11"/>
        <w:shd w:val="clear" w:color="auto" w:fill="FFFFFF"/>
        <w:spacing w:before="156" w:beforeLines="50" w:beforeAutospacing="0" w:after="156" w:afterLines="50" w:afterAutospacing="0" w:line="560" w:lineRule="exact"/>
        <w:ind w:firstLine="480" w:firstLineChars="200"/>
        <w:jc w:val="both"/>
      </w:pPr>
    </w:p>
    <w:p>
      <w:pPr>
        <w:pStyle w:val="11"/>
        <w:shd w:val="clear" w:color="auto" w:fill="FFFFFF"/>
        <w:spacing w:before="156" w:beforeLines="50" w:beforeAutospacing="0" w:after="156" w:afterLines="50" w:afterAutospacing="0" w:line="560" w:lineRule="exact"/>
        <w:ind w:firstLine="480" w:firstLineChars="200"/>
        <w:jc w:val="both"/>
        <w:rPr>
          <w:rFonts w:hint="eastAsia"/>
        </w:rPr>
      </w:pPr>
    </w:p>
    <w:p>
      <w:pPr>
        <w:pStyle w:val="11"/>
        <w:shd w:val="clear" w:color="auto" w:fill="FFFFFF"/>
        <w:spacing w:before="156" w:beforeLines="50" w:beforeAutospacing="0" w:after="156" w:afterLines="50" w:afterAutospacing="0" w:line="560" w:lineRule="exact"/>
        <w:ind w:firstLine="480" w:firstLineChars="200"/>
        <w:jc w:val="both"/>
      </w:pPr>
    </w:p>
    <w:p>
      <w:pPr>
        <w:pStyle w:val="4"/>
        <w:adjustRightInd w:val="0"/>
        <w:snapToGrid w:val="0"/>
        <w:spacing w:before="156" w:beforeLines="50" w:after="156" w:afterLines="50" w:line="560" w:lineRule="exact"/>
        <w:ind w:firstLine="562" w:firstLineChars="200"/>
        <w:jc w:val="both"/>
        <w:outlineLvl w:val="2"/>
        <w:rPr>
          <w:rFonts w:asciiTheme="majorEastAsia" w:hAnsiTheme="majorEastAsia" w:eastAsiaTheme="majorEastAsia"/>
          <w:b/>
          <w:color w:val="000000"/>
          <w:sz w:val="28"/>
          <w:szCs w:val="28"/>
        </w:rPr>
      </w:pPr>
      <w:bookmarkStart w:id="17" w:name="_Toc24241"/>
      <w:bookmarkStart w:id="18" w:name="_Toc12129"/>
      <w:bookmarkStart w:id="19" w:name="_Toc15377212"/>
      <w:bookmarkStart w:id="20" w:name="_Toc121953696"/>
      <w:r>
        <w:rPr>
          <w:rFonts w:hint="eastAsia" w:asciiTheme="majorEastAsia" w:hAnsiTheme="majorEastAsia" w:eastAsiaTheme="majorEastAsia"/>
          <w:b/>
          <w:color w:val="000000"/>
          <w:sz w:val="28"/>
          <w:szCs w:val="28"/>
        </w:rPr>
        <w:t>（三）一般公共预算财政拨款支出决算具体情况</w:t>
      </w:r>
      <w:bookmarkEnd w:id="17"/>
      <w:bookmarkEnd w:id="18"/>
      <w:bookmarkEnd w:id="19"/>
      <w:bookmarkEnd w:id="20"/>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bookmarkStart w:id="21" w:name="_Toc15377444"/>
      <w:bookmarkStart w:id="22" w:name="_Toc5356"/>
      <w:bookmarkStart w:id="23" w:name="_Toc16925"/>
      <w:bookmarkStart w:id="24" w:name="_Toc23803"/>
      <w:bookmarkStart w:id="25" w:name="_Toc15378460"/>
      <w:bookmarkStart w:id="26" w:name="_Toc15377213"/>
      <w:r>
        <w:rPr>
          <w:rFonts w:hint="eastAsia" w:ascii="仿宋_GB2312" w:hAnsi="仿宋_GB2312" w:eastAsia="仿宋_GB2312" w:cs="仿宋_GB2312"/>
          <w:bCs/>
          <w:kern w:val="2"/>
        </w:rPr>
        <w:t>2021年一般公共预算支出决算数为245.80万元，</w:t>
      </w:r>
      <w:r>
        <w:rPr>
          <w:rFonts w:hint="eastAsia" w:ascii="仿宋_GB2312" w:hAnsi="仿宋_GB2312" w:eastAsia="仿宋_GB2312" w:cs="仿宋_GB2312"/>
          <w:kern w:val="2"/>
        </w:rPr>
        <w:t>完成预算100</w:t>
      </w:r>
      <w:r>
        <w:rPr>
          <w:rFonts w:ascii="仿宋_GB2312" w:hAnsi="仿宋_GB2312" w:eastAsia="仿宋_GB2312" w:cs="仿宋_GB2312"/>
          <w:kern w:val="2"/>
        </w:rPr>
        <w:t>%</w:t>
      </w:r>
      <w:r>
        <w:rPr>
          <w:rFonts w:hint="eastAsia" w:ascii="仿宋_GB2312" w:hAnsi="仿宋_GB2312" w:eastAsia="仿宋_GB2312" w:cs="仿宋_GB2312"/>
          <w:kern w:val="2"/>
        </w:rPr>
        <w:t>。其中：</w:t>
      </w:r>
      <w:bookmarkEnd w:id="21"/>
      <w:bookmarkEnd w:id="22"/>
      <w:bookmarkEnd w:id="23"/>
      <w:bookmarkEnd w:id="24"/>
      <w:bookmarkEnd w:id="25"/>
      <w:bookmarkEnd w:id="26"/>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kern w:val="2"/>
        </w:rPr>
        <w:t>行政运行支出2012901</w:t>
      </w:r>
      <w:r>
        <w:rPr>
          <w:rFonts w:ascii="仿宋_GB2312" w:hAnsi="仿宋_GB2312" w:eastAsia="仿宋_GB2312" w:cs="仿宋_GB2312"/>
          <w:kern w:val="2"/>
        </w:rPr>
        <w:t xml:space="preserve">: </w:t>
      </w:r>
      <w:r>
        <w:rPr>
          <w:rFonts w:hint="eastAsia" w:ascii="仿宋_GB2312" w:hAnsi="仿宋_GB2312" w:eastAsia="仿宋_GB2312" w:cs="仿宋_GB2312"/>
          <w:kern w:val="2"/>
        </w:rPr>
        <w:t>支出决算为35.63万元，完成预算100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，决算数等于预算数的主要原因我单位对资金的合理使用。</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kern w:val="2"/>
        </w:rPr>
        <w:t>2.</w:t>
      </w:r>
      <w:r>
        <w:rPr>
          <w:rFonts w:hint="eastAsia" w:ascii="仿宋_GB2312" w:hAnsi="仿宋_GB2312" w:eastAsia="仿宋_GB2312" w:cs="仿宋_GB2312"/>
          <w:kern w:val="2"/>
        </w:rPr>
        <w:t>事业单位运行支出2012950</w:t>
      </w:r>
      <w:r>
        <w:rPr>
          <w:rFonts w:ascii="仿宋_GB2312" w:hAnsi="仿宋_GB2312" w:eastAsia="仿宋_GB2312" w:cs="仿宋_GB2312"/>
          <w:kern w:val="2"/>
        </w:rPr>
        <w:t xml:space="preserve">: </w:t>
      </w:r>
      <w:r>
        <w:rPr>
          <w:rFonts w:hint="eastAsia" w:ascii="仿宋_GB2312" w:hAnsi="仿宋_GB2312" w:eastAsia="仿宋_GB2312" w:cs="仿宋_GB2312"/>
          <w:kern w:val="2"/>
        </w:rPr>
        <w:t>支出决算为86.18万元，完成预算100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，决算数等于预算数的主要原因是。我单位对资金的合理使用。我单位对资金的合理使用。</w:t>
      </w:r>
    </w:p>
    <w:p>
      <w:pPr>
        <w:snapToGrid w:val="0"/>
        <w:spacing w:before="156" w:beforeLines="50" w:after="156" w:afterLines="50" w:line="560" w:lineRule="exact"/>
        <w:ind w:firstLine="480" w:firstLineChars="200"/>
        <w:jc w:val="both"/>
        <w:rPr>
          <w:rFonts w:ascii="仿宋_GB2312" w:hAnsi="仿宋_GB2312" w:eastAsia="仿宋_GB2312" w:cs="仿宋_GB2312"/>
          <w:kern w:val="2"/>
        </w:rPr>
      </w:pPr>
      <w:r>
        <w:rPr>
          <w:rFonts w:ascii="仿宋_GB2312" w:hAnsi="仿宋_GB2312" w:eastAsia="仿宋_GB2312" w:cs="仿宋_GB2312"/>
          <w:kern w:val="2"/>
        </w:rPr>
        <w:t>3.</w:t>
      </w:r>
      <w:r>
        <w:rPr>
          <w:rFonts w:hint="eastAsia" w:ascii="仿宋_GB2312" w:hAnsi="仿宋_GB2312" w:eastAsia="仿宋_GB2312" w:cs="仿宋_GB2312"/>
          <w:kern w:val="2"/>
        </w:rPr>
        <w:t>其他群众团体事务支出2012999</w:t>
      </w:r>
      <w:r>
        <w:rPr>
          <w:rFonts w:ascii="仿宋_GB2312" w:hAnsi="仿宋_GB2312" w:eastAsia="仿宋_GB2312" w:cs="仿宋_GB2312"/>
          <w:kern w:val="2"/>
        </w:rPr>
        <w:t xml:space="preserve">: </w:t>
      </w:r>
      <w:r>
        <w:rPr>
          <w:rFonts w:hint="eastAsia" w:ascii="仿宋_GB2312" w:hAnsi="仿宋_GB2312" w:eastAsia="仿宋_GB2312" w:cs="仿宋_GB2312"/>
          <w:kern w:val="2"/>
        </w:rPr>
        <w:t>支出决算为61.00万元，完成预算100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，决算数等于预算数的主要原因是我单位对资金的合理使用。</w:t>
      </w:r>
    </w:p>
    <w:p>
      <w:pPr>
        <w:snapToGrid w:val="0"/>
        <w:spacing w:before="156" w:beforeLines="50" w:after="156" w:afterLines="50" w:line="560" w:lineRule="exact"/>
        <w:ind w:firstLine="480" w:firstLineChars="200"/>
        <w:jc w:val="both"/>
        <w:rPr>
          <w:rFonts w:ascii="仿宋_GB2312" w:hAnsi="仿宋_GB2312" w:eastAsia="仿宋_GB2312" w:cs="仿宋_GB2312"/>
          <w:kern w:val="2"/>
        </w:rPr>
      </w:pPr>
      <w:r>
        <w:rPr>
          <w:rFonts w:hint="eastAsia" w:ascii="仿宋_GB2312" w:hAnsi="仿宋_GB2312" w:eastAsia="仿宋_GB2312" w:cs="仿宋_GB2312"/>
          <w:kern w:val="2"/>
        </w:rPr>
        <w:t>4.一般行政管理事务2012902</w:t>
      </w:r>
      <w:r>
        <w:rPr>
          <w:rFonts w:ascii="仿宋_GB2312" w:hAnsi="仿宋_GB2312" w:eastAsia="仿宋_GB2312" w:cs="仿宋_GB2312"/>
          <w:kern w:val="2"/>
        </w:rPr>
        <w:t xml:space="preserve">: </w:t>
      </w:r>
      <w:r>
        <w:rPr>
          <w:rFonts w:hint="eastAsia" w:ascii="仿宋_GB2312" w:hAnsi="仿宋_GB2312" w:eastAsia="仿宋_GB2312" w:cs="仿宋_GB2312"/>
          <w:kern w:val="2"/>
        </w:rPr>
        <w:t>支出决算为29.72万元，完成预算100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，决算数等于预算数的主要原因是我单位对资金的合理使用。</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kern w:val="2"/>
        </w:rPr>
        <w:t>5</w:t>
      </w:r>
      <w:r>
        <w:rPr>
          <w:rFonts w:ascii="仿宋_GB2312" w:hAnsi="仿宋_GB2312" w:eastAsia="仿宋_GB2312" w:cs="仿宋_GB2312"/>
          <w:kern w:val="2"/>
        </w:rPr>
        <w:t>.</w:t>
      </w:r>
      <w:r>
        <w:rPr>
          <w:rFonts w:hint="eastAsia" w:ascii="仿宋_GB2312" w:hAnsi="仿宋_GB2312" w:eastAsia="仿宋_GB2312" w:cs="仿宋_GB2312"/>
          <w:kern w:val="2"/>
        </w:rPr>
        <w:t>机关事业单位基本养老保险缴费支出2080505</w:t>
      </w:r>
      <w:r>
        <w:rPr>
          <w:rFonts w:ascii="仿宋_GB2312" w:hAnsi="仿宋_GB2312" w:eastAsia="仿宋_GB2312" w:cs="仿宋_GB2312"/>
          <w:kern w:val="2"/>
        </w:rPr>
        <w:t xml:space="preserve">: </w:t>
      </w:r>
      <w:r>
        <w:rPr>
          <w:rFonts w:hint="eastAsia" w:ascii="仿宋_GB2312" w:hAnsi="仿宋_GB2312" w:eastAsia="仿宋_GB2312" w:cs="仿宋_GB2312"/>
          <w:kern w:val="2"/>
        </w:rPr>
        <w:t>支出决算为10.66万元，完成预算100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，决算数等于预算数的主要原因。我单位对资金的合理使用。</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kern w:val="2"/>
        </w:rPr>
        <w:t>6</w:t>
      </w:r>
      <w:r>
        <w:rPr>
          <w:rFonts w:ascii="仿宋_GB2312" w:hAnsi="仿宋_GB2312" w:eastAsia="仿宋_GB2312" w:cs="仿宋_GB2312"/>
          <w:kern w:val="2"/>
        </w:rPr>
        <w:t>.</w:t>
      </w:r>
      <w:r>
        <w:rPr>
          <w:rFonts w:hint="eastAsia" w:ascii="仿宋_GB2312" w:hAnsi="仿宋_GB2312" w:eastAsia="仿宋_GB2312" w:cs="仿宋_GB2312"/>
          <w:kern w:val="2"/>
        </w:rPr>
        <w:t>机关事业单位职业年金缴费支出2080506</w:t>
      </w:r>
      <w:r>
        <w:rPr>
          <w:rFonts w:ascii="仿宋_GB2312" w:hAnsi="仿宋_GB2312" w:eastAsia="仿宋_GB2312" w:cs="仿宋_GB2312"/>
          <w:kern w:val="2"/>
        </w:rPr>
        <w:t xml:space="preserve">: </w:t>
      </w:r>
      <w:r>
        <w:rPr>
          <w:rFonts w:hint="eastAsia" w:ascii="仿宋_GB2312" w:hAnsi="仿宋_GB2312" w:eastAsia="仿宋_GB2312" w:cs="仿宋_GB2312"/>
          <w:kern w:val="2"/>
        </w:rPr>
        <w:t>支出决算53.33万元，完成预算100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，决算数等于预算数的主要原因。我单位对资金的合理使用。</w:t>
      </w:r>
    </w:p>
    <w:p>
      <w:pPr>
        <w:snapToGrid w:val="0"/>
        <w:spacing w:before="156" w:beforeLines="50" w:after="156" w:afterLines="50" w:line="560" w:lineRule="exact"/>
        <w:ind w:firstLine="480" w:firstLineChars="200"/>
        <w:jc w:val="both"/>
        <w:rPr>
          <w:rFonts w:ascii="仿宋_GB2312" w:hAnsi="仿宋_GB2312" w:eastAsia="仿宋_GB2312" w:cs="仿宋_GB2312"/>
          <w:kern w:val="2"/>
        </w:rPr>
      </w:pPr>
      <w:r>
        <w:rPr>
          <w:rFonts w:hint="eastAsia" w:ascii="仿宋_GB2312" w:hAnsi="仿宋_GB2312" w:eastAsia="仿宋_GB2312" w:cs="仿宋_GB2312"/>
          <w:kern w:val="2"/>
        </w:rPr>
        <w:t>7</w:t>
      </w:r>
      <w:r>
        <w:rPr>
          <w:rFonts w:ascii="仿宋_GB2312" w:hAnsi="仿宋_GB2312" w:eastAsia="仿宋_GB2312" w:cs="仿宋_GB2312"/>
          <w:kern w:val="2"/>
        </w:rPr>
        <w:t>.</w:t>
      </w:r>
      <w:r>
        <w:rPr>
          <w:rFonts w:hint="eastAsia" w:ascii="仿宋_GB2312" w:hAnsi="仿宋_GB2312" w:eastAsia="仿宋_GB2312" w:cs="仿宋_GB2312"/>
          <w:kern w:val="2"/>
        </w:rPr>
        <w:t>行政单位医疗支出2101101</w:t>
      </w:r>
      <w:r>
        <w:rPr>
          <w:rFonts w:ascii="仿宋_GB2312" w:hAnsi="仿宋_GB2312" w:eastAsia="仿宋_GB2312" w:cs="仿宋_GB2312"/>
          <w:kern w:val="2"/>
        </w:rPr>
        <w:t>:</w:t>
      </w:r>
      <w:r>
        <w:rPr>
          <w:rFonts w:hint="eastAsia" w:ascii="仿宋_GB2312" w:hAnsi="仿宋_GB2312" w:eastAsia="仿宋_GB2312" w:cs="仿宋_GB2312"/>
          <w:kern w:val="2"/>
        </w:rPr>
        <w:t>支出决算为9.96万元，完成预算100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，决算数等于预算数的主要原因。我单位对资金的合理使用。</w:t>
      </w:r>
    </w:p>
    <w:p>
      <w:pPr>
        <w:snapToGrid w:val="0"/>
        <w:spacing w:before="156" w:beforeLines="50" w:after="156" w:afterLines="50" w:line="560" w:lineRule="exact"/>
        <w:ind w:firstLine="480" w:firstLineChars="200"/>
        <w:jc w:val="both"/>
        <w:rPr>
          <w:rFonts w:ascii="仿宋_GB2312" w:hAnsi="仿宋_GB2312" w:eastAsia="仿宋_GB2312" w:cs="仿宋_GB2312"/>
          <w:kern w:val="2"/>
        </w:rPr>
      </w:pPr>
      <w:r>
        <w:rPr>
          <w:rFonts w:hint="eastAsia" w:ascii="仿宋_GB2312" w:hAnsi="仿宋_GB2312" w:eastAsia="仿宋_GB2312" w:cs="仿宋_GB2312"/>
          <w:kern w:val="2"/>
        </w:rPr>
        <w:t>8.事业单位医疗支出2101102：支出决算为41.11万元，完成预算100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，决算数等于预算数的主要原因。我单位对资金的合理使用。</w:t>
      </w:r>
    </w:p>
    <w:p>
      <w:pPr>
        <w:snapToGrid w:val="0"/>
        <w:spacing w:before="156" w:beforeLines="50" w:after="156" w:afterLines="50" w:line="560" w:lineRule="exact"/>
        <w:ind w:firstLine="480" w:firstLineChars="200"/>
        <w:jc w:val="both"/>
        <w:rPr>
          <w:rFonts w:ascii="仿宋_GB2312" w:hAnsi="仿宋_GB2312" w:eastAsia="仿宋_GB2312" w:cs="仿宋_GB2312"/>
          <w:kern w:val="2"/>
        </w:rPr>
      </w:pPr>
      <w:r>
        <w:rPr>
          <w:rFonts w:hint="eastAsia" w:ascii="仿宋_GB2312" w:hAnsi="仿宋_GB2312" w:eastAsia="仿宋_GB2312" w:cs="仿宋_GB2312"/>
          <w:kern w:val="2"/>
        </w:rPr>
        <w:t>9.公务员医疗补助2101103：支出决算为4.39万元，完成预算100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，决算数等于预算数的主要原因。我单位对资金的合理使用。</w:t>
      </w:r>
    </w:p>
    <w:p>
      <w:pPr>
        <w:snapToGrid w:val="0"/>
        <w:spacing w:before="156" w:beforeLines="50" w:after="156" w:afterLines="50" w:line="560" w:lineRule="exact"/>
        <w:ind w:firstLine="480" w:firstLineChars="200"/>
        <w:jc w:val="both"/>
        <w:rPr>
          <w:rFonts w:ascii="仿宋_GB2312" w:hAnsi="仿宋_GB2312" w:eastAsia="仿宋_GB2312" w:cs="仿宋_GB2312"/>
          <w:kern w:val="2"/>
        </w:rPr>
      </w:pPr>
      <w:r>
        <w:rPr>
          <w:rFonts w:hint="eastAsia" w:ascii="仿宋_GB2312" w:hAnsi="仿宋_GB2312" w:eastAsia="仿宋_GB2312" w:cs="仿宋_GB2312"/>
          <w:kern w:val="2"/>
        </w:rPr>
        <w:t>10.其他行政事业单位医疗支出2101199：支出决算为11.14万元，完成预算100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，决算数等于预算数的主要原因。我单位对资金的合理使用。</w:t>
      </w:r>
    </w:p>
    <w:p>
      <w:pPr>
        <w:snapToGrid w:val="0"/>
        <w:spacing w:before="156" w:beforeLines="50" w:after="156" w:afterLines="50" w:line="560" w:lineRule="exact"/>
        <w:ind w:firstLine="480" w:firstLineChars="200"/>
        <w:jc w:val="both"/>
        <w:rPr>
          <w:rFonts w:ascii="仿宋_GB2312" w:hAnsi="仿宋_GB2312" w:eastAsia="仿宋_GB2312" w:cs="仿宋_GB2312"/>
          <w:kern w:val="2"/>
        </w:rPr>
      </w:pPr>
      <w:r>
        <w:rPr>
          <w:rFonts w:hint="eastAsia" w:ascii="仿宋_GB2312" w:hAnsi="仿宋_GB2312" w:eastAsia="仿宋_GB2312" w:cs="仿宋_GB2312"/>
          <w:kern w:val="2"/>
        </w:rPr>
        <w:t>11.住房公积金2210201：支出决算为10.60万元，完成预算100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，决算数等于预算数的主要原因。我单位对资金的合理使用。</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kern w:val="2"/>
        </w:rPr>
        <w:t>12.其他支出2299901：支出决算为0万元，完成预算100</w:t>
      </w:r>
      <w:r>
        <w:rPr>
          <w:rFonts w:ascii="仿宋_GB2312" w:hAnsi="仿宋_GB2312" w:eastAsia="仿宋_GB2312" w:cs="仿宋_GB2312"/>
          <w:kern w:val="2"/>
        </w:rPr>
        <w:t>%</w:t>
      </w:r>
      <w:r>
        <w:rPr>
          <w:rFonts w:hint="eastAsia" w:ascii="仿宋_GB2312" w:hAnsi="仿宋_GB2312" w:eastAsia="仿宋_GB2312" w:cs="仿宋_GB2312"/>
          <w:kern w:val="2"/>
        </w:rPr>
        <w:t>，决算数等于预算数的主要原因。我单位对资金的合理使用。</w:t>
      </w:r>
    </w:p>
    <w:p>
      <w:pPr>
        <w:pStyle w:val="3"/>
        <w:spacing w:before="156" w:beforeLines="50" w:beforeAutospacing="0" w:after="156" w:afterLines="50" w:afterAutospacing="0" w:line="560" w:lineRule="exact"/>
        <w:ind w:firstLine="321" w:firstLineChars="100"/>
        <w:rPr>
          <w:rFonts w:asciiTheme="majorEastAsia" w:hAnsiTheme="majorEastAsia" w:eastAsiaTheme="majorEastAsia"/>
          <w:sz w:val="32"/>
          <w:szCs w:val="32"/>
        </w:rPr>
      </w:pPr>
      <w:bookmarkStart w:id="27" w:name="_Toc121953697"/>
      <w:r>
        <w:rPr>
          <w:rFonts w:asciiTheme="majorEastAsia" w:hAnsiTheme="majorEastAsia" w:eastAsiaTheme="majorEastAsia"/>
          <w:sz w:val="32"/>
          <w:szCs w:val="32"/>
        </w:rPr>
        <w:t>六</w:t>
      </w:r>
      <w:r>
        <w:rPr>
          <w:rFonts w:asciiTheme="majorEastAsia" w:hAnsiTheme="majorEastAsia" w:eastAsiaTheme="majorEastAsia"/>
          <w:b w:val="0"/>
          <w:bCs w:val="0"/>
          <w:sz w:val="32"/>
          <w:szCs w:val="32"/>
        </w:rPr>
        <w:t>、一</w:t>
      </w:r>
      <w:r>
        <w:rPr>
          <w:rFonts w:asciiTheme="majorEastAsia" w:hAnsiTheme="majorEastAsia" w:eastAsiaTheme="majorEastAsia"/>
          <w:sz w:val="32"/>
          <w:szCs w:val="32"/>
        </w:rPr>
        <w:t>般公共预算财政拨款基本支出决算情况说明</w:t>
      </w:r>
      <w:bookmarkEnd w:id="27"/>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2021年一般公共预算财政拨款基本支出155.08万元，其中：</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人员经费144.64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公用经费10.45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 </w:t>
      </w:r>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28" w:name="_Toc121953698"/>
      <w:r>
        <w:rPr>
          <w:rFonts w:asciiTheme="majorEastAsia" w:hAnsiTheme="majorEastAsia" w:eastAsiaTheme="majorEastAsia"/>
          <w:sz w:val="32"/>
          <w:szCs w:val="32"/>
        </w:rPr>
        <w:t>七、“三公”经费财政拨款支出决算情况说明</w:t>
      </w:r>
      <w:bookmarkEnd w:id="28"/>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b/>
          <w:color w:val="000000"/>
          <w:sz w:val="28"/>
          <w:szCs w:val="28"/>
        </w:rPr>
      </w:pPr>
      <w:r>
        <w:rPr>
          <w:rFonts w:asciiTheme="majorEastAsia" w:hAnsiTheme="majorEastAsia" w:eastAsiaTheme="majorEastAsia"/>
          <w:bCs/>
          <w:color w:val="000000"/>
          <w:sz w:val="28"/>
          <w:szCs w:val="28"/>
        </w:rPr>
        <w:t>（一）“三公”经费财政拨款支出决算总体情况说明</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2021年“三公”经费财政拨款支出决算为5.19万元，完成预算0.00%，决算数小于预算数（或与预算数持平）的主要原因是</w:t>
      </w:r>
      <w:r>
        <w:rPr>
          <w:rFonts w:hint="eastAsia" w:ascii="仿宋_GB2312" w:hAnsi="仿宋_GB2312" w:eastAsia="仿宋_GB2312" w:cs="仿宋_GB2312"/>
          <w:bCs/>
          <w:kern w:val="2"/>
        </w:rPr>
        <w:t>我单位严格控制“三公”经费的使用</w:t>
      </w:r>
      <w:r>
        <w:rPr>
          <w:rFonts w:ascii="仿宋_GB2312" w:hAnsi="仿宋_GB2312" w:eastAsia="仿宋_GB2312" w:cs="仿宋_GB2312"/>
          <w:bCs/>
          <w:kern w:val="2"/>
        </w:rPr>
        <w:t>。</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b/>
          <w:color w:val="000000"/>
          <w:sz w:val="28"/>
          <w:szCs w:val="28"/>
        </w:rPr>
      </w:pPr>
      <w:r>
        <w:rPr>
          <w:rFonts w:asciiTheme="majorEastAsia" w:hAnsiTheme="majorEastAsia" w:eastAsiaTheme="majorEastAsia"/>
          <w:bCs/>
          <w:color w:val="000000"/>
          <w:sz w:val="28"/>
          <w:szCs w:val="28"/>
        </w:rPr>
        <w:t>（二）“三公”经费财政拨款支出决算具体情况说明</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2021年“三公”经费财政拨款支出决算中，因公出国（境）费支出决算0.00万元，占0.00%；公务用车购置及运行维护费支出决算4.60万元，占88.63%；公务接待费支出决算0.59万元，占11.37%。具体情况如下：</w:t>
      </w:r>
    </w:p>
    <w:p>
      <w:pPr>
        <w:pStyle w:val="11"/>
        <w:shd w:val="clear" w:color="auto" w:fill="FFFFFF"/>
        <w:spacing w:before="156" w:beforeLines="50" w:beforeAutospacing="0" w:after="156" w:afterLines="50" w:afterAutospacing="0" w:line="560" w:lineRule="exact"/>
        <w:ind w:firstLine="480" w:firstLineChars="200"/>
        <w:jc w:val="both"/>
      </w:pPr>
      <w:r>
        <w:t>（图7：“三公”经费财政拨款支出结构）（饼状图）</w:t>
      </w:r>
    </w:p>
    <w:p>
      <w:pPr>
        <w:pStyle w:val="11"/>
        <w:shd w:val="clear" w:color="auto" w:fill="FFFFFF"/>
        <w:spacing w:before="156" w:beforeLines="50" w:beforeAutospacing="0" w:after="156" w:afterLines="50" w:afterAutospacing="0" w:line="560" w:lineRule="exact"/>
        <w:ind w:firstLine="640" w:firstLineChars="200"/>
        <w:jc w:val="both"/>
      </w:pPr>
      <w:r>
        <w:rPr>
          <w:rFonts w:hint="eastAsia" w:ascii="仿宋" w:hAnsi="仿宋" w:eastAsia="仿宋"/>
          <w:color w:val="000000"/>
          <w:sz w:val="32"/>
          <w:szCs w:val="32"/>
        </w:rPr>
        <w:drawing>
          <wp:anchor distT="0" distB="0" distL="114300" distR="114300" simplePos="0" relativeHeight="251668480" behindDoc="1" locked="0" layoutInCell="1" allowOverlap="1">
            <wp:simplePos x="0" y="0"/>
            <wp:positionH relativeFrom="column">
              <wp:posOffset>-6350</wp:posOffset>
            </wp:positionH>
            <wp:positionV relativeFrom="paragraph">
              <wp:posOffset>81280</wp:posOffset>
            </wp:positionV>
            <wp:extent cx="4921250" cy="2311400"/>
            <wp:effectExtent l="0" t="0" r="0" b="0"/>
            <wp:wrapTight wrapText="bothSides">
              <wp:wrapPolygon>
                <wp:start x="0" y="0"/>
                <wp:lineTo x="0" y="21541"/>
                <wp:lineTo x="21572" y="21541"/>
                <wp:lineTo x="21572" y="0"/>
                <wp:lineTo x="0" y="0"/>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11"/>
        <w:shd w:val="clear" w:color="auto" w:fill="FFFFFF"/>
        <w:spacing w:before="156" w:beforeLines="50" w:beforeAutospacing="0" w:after="156" w:afterLines="50" w:afterAutospacing="0" w:line="560" w:lineRule="exact"/>
        <w:ind w:firstLine="480" w:firstLineChars="200"/>
        <w:jc w:val="both"/>
      </w:pPr>
    </w:p>
    <w:p>
      <w:pPr>
        <w:pStyle w:val="11"/>
        <w:shd w:val="clear" w:color="auto" w:fill="FFFFFF"/>
        <w:spacing w:before="156" w:beforeLines="50" w:beforeAutospacing="0" w:after="156" w:afterLines="50" w:afterAutospacing="0" w:line="560" w:lineRule="exact"/>
        <w:ind w:firstLine="480" w:firstLineChars="200"/>
        <w:jc w:val="both"/>
      </w:pPr>
    </w:p>
    <w:p>
      <w:pPr>
        <w:pStyle w:val="11"/>
        <w:shd w:val="clear" w:color="auto" w:fill="FFFFFF"/>
        <w:spacing w:before="156" w:beforeLines="50" w:beforeAutospacing="0" w:after="156" w:afterLines="50" w:afterAutospacing="0" w:line="560" w:lineRule="exact"/>
        <w:ind w:firstLine="480" w:firstLineChars="200"/>
        <w:jc w:val="both"/>
      </w:pPr>
    </w:p>
    <w:p>
      <w:pPr>
        <w:pStyle w:val="11"/>
        <w:shd w:val="clear" w:color="auto" w:fill="FFFFFF"/>
        <w:spacing w:before="156" w:beforeLines="50" w:beforeAutospacing="0" w:after="156" w:afterLines="50" w:afterAutospacing="0" w:line="560" w:lineRule="exact"/>
        <w:ind w:firstLine="480" w:firstLineChars="200"/>
        <w:jc w:val="both"/>
      </w:pPr>
    </w:p>
    <w:p>
      <w:pPr>
        <w:pStyle w:val="11"/>
        <w:shd w:val="clear" w:color="auto" w:fill="FFFFFF"/>
        <w:spacing w:before="156" w:beforeLines="50" w:beforeAutospacing="0" w:after="156" w:afterLines="50" w:afterAutospacing="0" w:line="560" w:lineRule="exact"/>
        <w:ind w:firstLine="480" w:firstLineChars="200"/>
        <w:jc w:val="both"/>
      </w:pPr>
    </w:p>
    <w:p>
      <w:pPr>
        <w:pStyle w:val="11"/>
        <w:shd w:val="clear" w:color="auto" w:fill="FFFFFF"/>
        <w:spacing w:before="156" w:beforeLines="50" w:beforeAutospacing="0" w:after="156" w:afterLines="50" w:afterAutospacing="0" w:line="560" w:lineRule="exact"/>
        <w:ind w:firstLine="482" w:firstLineChars="200"/>
        <w:jc w:val="both"/>
      </w:pPr>
      <w:r>
        <w:rPr>
          <w:rStyle w:val="14"/>
        </w:rPr>
        <w:t>1.因公出国（境）经费支出</w:t>
      </w:r>
      <w:r>
        <w:t>0.00万元，</w:t>
      </w:r>
      <w:r>
        <w:rPr>
          <w:rStyle w:val="14"/>
        </w:rPr>
        <w:t>完成预算0.00%。</w:t>
      </w:r>
      <w:r>
        <w:t>全年安排因公出国（境）团组0次，出国（境）0人。因公出国（境）支出决算比2020年增加0.00万元，增长0.00%。</w:t>
      </w:r>
    </w:p>
    <w:p>
      <w:pPr>
        <w:pStyle w:val="11"/>
        <w:shd w:val="clear" w:color="auto" w:fill="FFFFFF"/>
        <w:spacing w:before="156" w:beforeLines="50" w:beforeAutospacing="0" w:after="156" w:afterLines="50" w:afterAutospacing="0" w:line="560" w:lineRule="exact"/>
        <w:ind w:firstLine="482" w:firstLineChars="200"/>
        <w:jc w:val="both"/>
      </w:pPr>
      <w:r>
        <w:rPr>
          <w:rStyle w:val="14"/>
        </w:rPr>
        <w:t>2.公务用车购置及运行维护费支出</w:t>
      </w:r>
      <w:r>
        <w:t>4.60万元,</w:t>
      </w:r>
      <w:r>
        <w:rPr>
          <w:rStyle w:val="14"/>
        </w:rPr>
        <w:t>完成预算0.00%。</w:t>
      </w:r>
      <w:r>
        <w:t>公务用车购置及运行维护费支出决算比2020年增加2.21万元，增长92.58%。主要原因是</w:t>
      </w:r>
      <w:r>
        <w:rPr>
          <w:rFonts w:hint="eastAsia"/>
        </w:rPr>
        <w:t>举办文旅大会下乡增多</w:t>
      </w:r>
      <w:r>
        <w:t>。</w:t>
      </w:r>
    </w:p>
    <w:p>
      <w:pPr>
        <w:pStyle w:val="11"/>
        <w:shd w:val="clear" w:color="auto" w:fill="FFFFFF"/>
        <w:spacing w:before="156" w:beforeLines="50" w:beforeAutospacing="0" w:after="156" w:afterLines="50" w:afterAutospacing="0" w:line="560" w:lineRule="exact"/>
        <w:ind w:firstLine="480" w:firstLineChars="200"/>
        <w:jc w:val="both"/>
      </w:pPr>
      <w:r>
        <w:t>其中：</w:t>
      </w:r>
      <w:r>
        <w:rPr>
          <w:rStyle w:val="14"/>
        </w:rPr>
        <w:t>公务用车购置支出</w:t>
      </w:r>
      <w:r>
        <w:t>0.00万元。全年按规定更新购置公务用车0辆，其中：轿车</w:t>
      </w:r>
      <w:r>
        <w:rPr>
          <w:rFonts w:hint="eastAsia"/>
        </w:rPr>
        <w:t>0</w:t>
      </w:r>
      <w:r>
        <w:t>辆、金额</w:t>
      </w:r>
      <w:r>
        <w:rPr>
          <w:rFonts w:hint="eastAsia"/>
        </w:rPr>
        <w:t>0</w:t>
      </w:r>
      <w:r>
        <w:t>万元，越野车</w:t>
      </w:r>
      <w:r>
        <w:rPr>
          <w:rFonts w:hint="eastAsia"/>
        </w:rPr>
        <w:t>0</w:t>
      </w:r>
      <w:r>
        <w:t>辆、金额</w:t>
      </w:r>
      <w:r>
        <w:rPr>
          <w:rFonts w:hint="eastAsia"/>
        </w:rPr>
        <w:t>0</w:t>
      </w:r>
      <w:r>
        <w:t>万元，载客汽车</w:t>
      </w:r>
      <w:r>
        <w:rPr>
          <w:rFonts w:hint="eastAsia"/>
        </w:rPr>
        <w:t>0</w:t>
      </w:r>
      <w:r>
        <w:t>辆、金额</w:t>
      </w:r>
      <w:r>
        <w:rPr>
          <w:rFonts w:hint="eastAsia"/>
        </w:rPr>
        <w:t>0</w:t>
      </w:r>
      <w:r>
        <w:t>万元。截至2021年12月底，单位共有公务用车1辆，其中：轿车</w:t>
      </w:r>
      <w:r>
        <w:rPr>
          <w:rFonts w:hint="eastAsia"/>
        </w:rPr>
        <w:t>0</w:t>
      </w:r>
      <w:r>
        <w:t>辆、越野车</w:t>
      </w:r>
      <w:r>
        <w:rPr>
          <w:rFonts w:hint="eastAsia"/>
        </w:rPr>
        <w:t>1</w:t>
      </w:r>
      <w:r>
        <w:t>辆、载客汽车</w:t>
      </w:r>
      <w:r>
        <w:rPr>
          <w:rFonts w:hint="eastAsia"/>
        </w:rPr>
        <w:t>0</w:t>
      </w:r>
      <w:r>
        <w:t>辆。</w:t>
      </w:r>
    </w:p>
    <w:p>
      <w:pPr>
        <w:spacing w:before="156" w:beforeLines="50" w:after="156" w:afterLines="50" w:line="560" w:lineRule="exact"/>
        <w:ind w:firstLine="482" w:firstLineChars="200"/>
        <w:jc w:val="both"/>
        <w:rPr>
          <w:rFonts w:ascii="仿宋_GB2312" w:eastAsia="仿宋_GB2312"/>
          <w:color w:val="000000"/>
          <w:sz w:val="32"/>
          <w:szCs w:val="32"/>
        </w:rPr>
      </w:pPr>
      <w:r>
        <w:rPr>
          <w:rStyle w:val="14"/>
        </w:rPr>
        <w:t>公务用车运行维护费支出</w:t>
      </w:r>
      <w:r>
        <w:t>4.60万元。主要用于</w:t>
      </w:r>
      <w:r>
        <w:rPr>
          <w:rFonts w:hint="eastAsia"/>
        </w:rPr>
        <w:t>我单位人员外出公干、下乡</w:t>
      </w:r>
      <w:r>
        <w:t>（具体工作）等所需的</w:t>
      </w:r>
      <w:r>
        <w:rPr>
          <w:rFonts w:ascii="仿宋_GB2312" w:hAnsi="仿宋_GB2312" w:eastAsia="仿宋_GB2312" w:cs="仿宋_GB2312"/>
          <w:bCs/>
          <w:kern w:val="2"/>
        </w:rPr>
        <w:t>公务用车燃料费、</w:t>
      </w:r>
      <w:r>
        <w:t>维修费、过路过桥费、保险费等支出。</w:t>
      </w:r>
    </w:p>
    <w:p>
      <w:pPr>
        <w:spacing w:before="156" w:beforeLines="50" w:after="156" w:afterLines="50" w:line="560" w:lineRule="exact"/>
        <w:ind w:firstLine="482" w:firstLineChars="200"/>
        <w:jc w:val="both"/>
        <w:rPr>
          <w:rFonts w:ascii="仿宋_GB2312" w:eastAsia="仿宋_GB2312"/>
          <w:color w:val="000000"/>
          <w:sz w:val="32"/>
          <w:szCs w:val="32"/>
        </w:rPr>
      </w:pPr>
      <w:r>
        <w:rPr>
          <w:rStyle w:val="14"/>
        </w:rPr>
        <w:t>3.公务接待费支出</w:t>
      </w:r>
      <w:r>
        <w:t>0.59万元，</w:t>
      </w:r>
      <w:r>
        <w:rPr>
          <w:rStyle w:val="14"/>
        </w:rPr>
        <w:t>完成预算100%。</w:t>
      </w:r>
      <w:r>
        <w:t>公务接待费支出决算比2020年增加0.59万元，增长0.00%。主要原因是</w:t>
      </w:r>
      <w:r>
        <w:rPr>
          <w:rFonts w:hint="eastAsia"/>
        </w:rPr>
        <w:t>西南民族大学支教调研</w:t>
      </w:r>
      <w:r>
        <w:rPr>
          <w:rFonts w:hint="eastAsia" w:ascii="仿宋_GB2312" w:hAnsi="仿宋_GB2312" w:eastAsia="仿宋_GB2312" w:cs="仿宋_GB2312"/>
          <w:sz w:val="30"/>
          <w:szCs w:val="30"/>
        </w:rPr>
        <w:t>。</w:t>
      </w:r>
    </w:p>
    <w:p>
      <w:pPr>
        <w:pStyle w:val="11"/>
        <w:shd w:val="clear" w:color="auto" w:fill="FFFFFF"/>
        <w:spacing w:before="156" w:beforeLines="50" w:beforeAutospacing="0" w:after="156" w:afterLines="50" w:afterAutospacing="0" w:line="560" w:lineRule="exact"/>
        <w:ind w:firstLine="480" w:firstLineChars="200"/>
        <w:jc w:val="both"/>
      </w:pPr>
      <w:r>
        <w:t>其中：</w:t>
      </w:r>
    </w:p>
    <w:p>
      <w:pPr>
        <w:pStyle w:val="11"/>
        <w:shd w:val="clear" w:color="auto" w:fill="FFFFFF"/>
        <w:spacing w:before="156" w:beforeLines="50" w:beforeAutospacing="0" w:after="156" w:afterLines="50" w:afterAutospacing="0" w:line="560" w:lineRule="exact"/>
        <w:ind w:firstLine="482" w:firstLineChars="200"/>
        <w:jc w:val="both"/>
      </w:pPr>
      <w:r>
        <w:rPr>
          <w:rStyle w:val="14"/>
        </w:rPr>
        <w:t>国内公务接待支出</w:t>
      </w:r>
      <w:r>
        <w:t>0.59万元，主要用于……(执行公务、开展业务活动开支的交通费、住宿费、用餐费等)。国内公务接待1批次，30人次（不包括陪同人员），共计支出0.59万元，具体内容包括：</w:t>
      </w:r>
      <w:r>
        <w:rPr>
          <w:rFonts w:hint="eastAsia"/>
        </w:rPr>
        <w:t>西南民族大学团委副书记一行调研第七届研究生支教团。金额：0.59万元</w:t>
      </w:r>
      <w:r>
        <w:t>（接待具体项目、金额）。</w:t>
      </w:r>
    </w:p>
    <w:p>
      <w:pPr>
        <w:pStyle w:val="11"/>
        <w:shd w:val="clear" w:color="auto" w:fill="FFFFFF"/>
        <w:spacing w:before="156" w:beforeLines="50" w:beforeAutospacing="0" w:after="156" w:afterLines="50" w:afterAutospacing="0" w:line="560" w:lineRule="exact"/>
        <w:ind w:firstLine="482" w:firstLineChars="200"/>
        <w:jc w:val="both"/>
      </w:pPr>
      <w:r>
        <w:rPr>
          <w:rStyle w:val="14"/>
        </w:rPr>
        <w:t>外事接待支出</w:t>
      </w:r>
      <w:r>
        <w:t>0.00万元，外事接待0批次，0人，共计支出0.00万元。 </w:t>
      </w:r>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29" w:name="_Toc121953699"/>
      <w:r>
        <w:rPr>
          <w:rFonts w:asciiTheme="majorEastAsia" w:hAnsiTheme="majorEastAsia" w:eastAsiaTheme="majorEastAsia"/>
          <w:sz w:val="32"/>
          <w:szCs w:val="32"/>
        </w:rPr>
        <w:t>八、政府性基金预算支出决算情况说明</w:t>
      </w:r>
      <w:bookmarkEnd w:id="29"/>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2021年政府性基金预算财政拨款支出0.00万元。</w:t>
      </w:r>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30" w:name="_Toc121953700"/>
      <w:r>
        <w:rPr>
          <w:rFonts w:asciiTheme="majorEastAsia" w:hAnsiTheme="majorEastAsia" w:eastAsiaTheme="majorEastAsia"/>
          <w:sz w:val="32"/>
          <w:szCs w:val="32"/>
        </w:rPr>
        <w:t>九、国有资本经营预算支出决算情况说明</w:t>
      </w:r>
      <w:bookmarkEnd w:id="30"/>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2021年国有资本经营预算财政拨款支出0.00万元。</w:t>
      </w:r>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31" w:name="_Toc121953701"/>
      <w:r>
        <w:rPr>
          <w:rFonts w:asciiTheme="majorEastAsia" w:hAnsiTheme="majorEastAsia" w:eastAsiaTheme="majorEastAsia"/>
          <w:sz w:val="32"/>
          <w:szCs w:val="32"/>
        </w:rPr>
        <w:t>十、其他重要事项的情况说明</w:t>
      </w:r>
      <w:bookmarkEnd w:id="31"/>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b/>
          <w:color w:val="000000"/>
          <w:sz w:val="28"/>
          <w:szCs w:val="28"/>
        </w:rPr>
      </w:pPr>
      <w:r>
        <w:rPr>
          <w:rFonts w:asciiTheme="majorEastAsia" w:hAnsiTheme="majorEastAsia" w:eastAsiaTheme="majorEastAsia"/>
          <w:bCs/>
          <w:color w:val="000000"/>
          <w:sz w:val="28"/>
          <w:szCs w:val="28"/>
        </w:rPr>
        <w:t>（一）机关运行经费支出情况</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2021年，中国共产主义青年团阿坝州红原县委员会机关运行经费支出6.31万元，比2020年增加1.89万元，增长42.88%（或与2020年决算数持平）。主要原因是</w:t>
      </w:r>
      <w:r>
        <w:rPr>
          <w:rFonts w:hint="eastAsia" w:ascii="仿宋_GB2312" w:hAnsi="仿宋_GB2312" w:eastAsia="仿宋_GB2312" w:cs="仿宋_GB2312"/>
          <w:bCs/>
          <w:kern w:val="2"/>
        </w:rPr>
        <w:t>人头经费增加，文旅大会所需物品较多。</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b/>
          <w:color w:val="000000"/>
          <w:sz w:val="28"/>
          <w:szCs w:val="28"/>
        </w:rPr>
      </w:pPr>
      <w:r>
        <w:rPr>
          <w:rFonts w:asciiTheme="majorEastAsia" w:hAnsiTheme="majorEastAsia" w:eastAsiaTheme="majorEastAsia"/>
          <w:bCs/>
          <w:color w:val="000000"/>
          <w:sz w:val="28"/>
          <w:szCs w:val="28"/>
        </w:rPr>
        <w:t>（二）政府采购支出情况</w:t>
      </w:r>
    </w:p>
    <w:p>
      <w:pPr>
        <w:snapToGrid w:val="0"/>
        <w:spacing w:before="156" w:beforeLines="50" w:after="156" w:afterLines="50" w:line="560" w:lineRule="exact"/>
        <w:ind w:firstLine="480" w:firstLineChars="200"/>
        <w:jc w:val="both"/>
      </w:pPr>
      <w:r>
        <w:t>2021年，</w:t>
      </w:r>
      <w:r>
        <w:rPr>
          <w:rFonts w:ascii="仿宋_GB2312" w:hAnsi="仿宋_GB2312" w:eastAsia="仿宋_GB2312" w:cs="仿宋_GB2312"/>
          <w:bCs/>
          <w:kern w:val="2"/>
        </w:rPr>
        <w:t>中国共产主义青年团</w:t>
      </w:r>
      <w:r>
        <w:t>阿坝州红原县委员会政府采购支出总额0.00万元，其中：政府采购货物支出0.00万元、政府采购工程支出0.00万元、政府采购服务支出0.00万元。主要用于…（具体工作）。授予中小企业合同金额0.00万元，占政府采购支出总额的0.00%，其中：授予小微企业合同金额0.00万元，占政府采购支出总额的0.00%。</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b/>
          <w:color w:val="000000"/>
          <w:sz w:val="28"/>
          <w:szCs w:val="28"/>
        </w:rPr>
      </w:pPr>
      <w:r>
        <w:rPr>
          <w:rFonts w:asciiTheme="majorEastAsia" w:hAnsiTheme="majorEastAsia" w:eastAsiaTheme="majorEastAsia"/>
          <w:bCs/>
          <w:color w:val="000000"/>
          <w:sz w:val="28"/>
          <w:szCs w:val="28"/>
        </w:rPr>
        <w:t>（三）国有资产占有使用情况</w:t>
      </w:r>
    </w:p>
    <w:p>
      <w:pPr>
        <w:pStyle w:val="11"/>
        <w:shd w:val="clear" w:color="auto" w:fill="FFFFFF"/>
        <w:spacing w:before="156" w:beforeLines="50" w:beforeAutospacing="0" w:after="156" w:afterLines="50" w:afterAutospacing="0" w:line="560" w:lineRule="exact"/>
        <w:ind w:firstLine="480" w:firstLineChars="200"/>
        <w:jc w:val="both"/>
      </w:pPr>
      <w:r>
        <w:t>截至2021年12月31日，中国共产主义青年团阿坝州红原县委员会共有车辆1辆，其中：主要领导干部用车0辆、机要通信用车0辆、应急保障用车1辆、其他用车，主要是用于</w:t>
      </w:r>
      <w:r>
        <w:rPr>
          <w:rFonts w:hint="eastAsia"/>
        </w:rPr>
        <w:t>本单位人员因公外出，下乡宣传活动。</w:t>
      </w:r>
      <w:r>
        <w:t>单价50万元以上通用设备0台（套）</w:t>
      </w:r>
      <w:r>
        <w:rPr>
          <w:rFonts w:ascii="仿宋_GB2312" w:hAnsi="仿宋_GB2312" w:eastAsia="仿宋_GB2312" w:cs="仿宋_GB2312"/>
          <w:bCs/>
          <w:kern w:val="2"/>
        </w:rPr>
        <w:t>，单价100万元以上专用设</w:t>
      </w:r>
      <w:r>
        <w:t>备0台（套）。</w:t>
      </w:r>
    </w:p>
    <w:p>
      <w:pPr>
        <w:pStyle w:val="11"/>
        <w:shd w:val="clear" w:color="auto" w:fill="FFFFFF"/>
        <w:spacing w:before="156" w:beforeLines="50" w:beforeAutospacing="0" w:after="156" w:afterLines="50" w:afterAutospacing="0" w:line="560" w:lineRule="exact"/>
        <w:ind w:firstLine="482" w:firstLineChars="200"/>
        <w:jc w:val="both"/>
      </w:pPr>
      <w:r>
        <w:rPr>
          <w:rStyle w:val="14"/>
        </w:rPr>
        <w:t>（</w:t>
      </w:r>
      <w:r>
        <w:rPr>
          <w:rFonts w:asciiTheme="majorEastAsia" w:hAnsiTheme="majorEastAsia" w:eastAsiaTheme="majorEastAsia"/>
          <w:bCs/>
          <w:color w:val="000000"/>
          <w:sz w:val="28"/>
          <w:szCs w:val="28"/>
        </w:rPr>
        <w:t>四）预算绩效管理情况</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根据预算绩效管理要求，本部门在2021年度预算编制阶段，组织对</w:t>
      </w:r>
      <w:r>
        <w:rPr>
          <w:rFonts w:hint="eastAsia" w:ascii="仿宋_GB2312" w:hAnsi="仿宋_GB2312" w:eastAsia="仿宋_GB2312" w:cs="仿宋_GB2312"/>
          <w:bCs/>
          <w:kern w:val="2"/>
        </w:rPr>
        <w:t>组织对2021年关心下一代工作委员会</w:t>
      </w:r>
      <w:r>
        <w:rPr>
          <w:rFonts w:ascii="仿宋_GB2312" w:hAnsi="仿宋_GB2312" w:eastAsia="仿宋_GB2312" w:cs="仿宋_GB2312"/>
          <w:bCs/>
          <w:kern w:val="2"/>
        </w:rPr>
        <w:t>项目、</w:t>
      </w:r>
      <w:r>
        <w:rPr>
          <w:rFonts w:hint="eastAsia" w:ascii="仿宋_GB2312" w:hAnsi="仿宋_GB2312" w:eastAsia="仿宋_GB2312" w:cs="仿宋_GB2312"/>
          <w:bCs/>
          <w:kern w:val="2"/>
        </w:rPr>
        <w:t>2021年文旅大会会议费</w:t>
      </w:r>
      <w:r>
        <w:rPr>
          <w:rFonts w:ascii="仿宋_GB2312" w:hAnsi="仿宋_GB2312" w:eastAsia="仿宋_GB2312" w:cs="仿宋_GB2312"/>
          <w:bCs/>
          <w:kern w:val="2"/>
        </w:rPr>
        <w:t>等</w:t>
      </w:r>
      <w:r>
        <w:rPr>
          <w:rFonts w:hint="eastAsia" w:ascii="仿宋_GB2312" w:hAnsi="仿宋_GB2312" w:eastAsia="仿宋_GB2312" w:cs="仿宋_GB2312"/>
          <w:bCs/>
          <w:kern w:val="2"/>
        </w:rPr>
        <w:t>2</w:t>
      </w:r>
      <w:r>
        <w:rPr>
          <w:rFonts w:ascii="仿宋_GB2312" w:hAnsi="仿宋_GB2312" w:eastAsia="仿宋_GB2312" w:cs="仿宋_GB2312"/>
          <w:bCs/>
          <w:kern w:val="2"/>
        </w:rPr>
        <w:t>个项目开展了预算事前绩效评估，对</w:t>
      </w:r>
      <w:r>
        <w:rPr>
          <w:rFonts w:hint="eastAsia" w:ascii="仿宋_GB2312" w:hAnsi="仿宋_GB2312" w:eastAsia="仿宋_GB2312" w:cs="仿宋_GB2312"/>
          <w:bCs/>
          <w:kern w:val="2"/>
        </w:rPr>
        <w:t>2</w:t>
      </w:r>
      <w:r>
        <w:rPr>
          <w:rFonts w:ascii="仿宋_GB2312" w:hAnsi="仿宋_GB2312" w:eastAsia="仿宋_GB2312" w:cs="仿宋_GB2312"/>
          <w:bCs/>
          <w:kern w:val="2"/>
        </w:rPr>
        <w:t>个项目编制了绩效目标，预算执行过程中，选取</w:t>
      </w:r>
      <w:r>
        <w:rPr>
          <w:rFonts w:hint="eastAsia" w:ascii="仿宋_GB2312" w:hAnsi="仿宋_GB2312" w:eastAsia="仿宋_GB2312" w:cs="仿宋_GB2312"/>
          <w:bCs/>
          <w:kern w:val="2"/>
        </w:rPr>
        <w:t>2</w:t>
      </w:r>
      <w:r>
        <w:rPr>
          <w:rFonts w:ascii="仿宋_GB2312" w:hAnsi="仿宋_GB2312" w:eastAsia="仿宋_GB2312" w:cs="仿宋_GB2312"/>
          <w:bCs/>
          <w:kern w:val="2"/>
        </w:rPr>
        <w:t>个项目开展绩效监控，年终执行完毕后，对</w:t>
      </w:r>
      <w:r>
        <w:rPr>
          <w:rFonts w:hint="eastAsia" w:ascii="仿宋_GB2312" w:hAnsi="仿宋_GB2312" w:eastAsia="仿宋_GB2312" w:cs="仿宋_GB2312"/>
          <w:bCs/>
          <w:kern w:val="2"/>
        </w:rPr>
        <w:t>2</w:t>
      </w:r>
      <w:r>
        <w:rPr>
          <w:rFonts w:ascii="仿宋_GB2312" w:hAnsi="仿宋_GB2312" w:eastAsia="仿宋_GB2312" w:cs="仿宋_GB2312"/>
          <w:bCs/>
          <w:kern w:val="2"/>
        </w:rPr>
        <w:t>个项目开展了绩效自评。同时，本部门对2021年部门整体开展绩效自评，《2021年我为部门整体绩效评价报告》见附件（第四部分）。</w:t>
      </w:r>
    </w:p>
    <w:p>
      <w:pPr>
        <w:snapToGrid w:val="0"/>
        <w:spacing w:before="156" w:beforeLines="50" w:after="156" w:afterLines="50" w:line="560" w:lineRule="exact"/>
        <w:ind w:firstLine="480" w:firstLineChars="200"/>
        <w:rPr>
          <w:rFonts w:ascii="仿宋_GB2312" w:hAnsi="仿宋_GB2312" w:eastAsia="仿宋_GB2312" w:cs="仿宋_GB2312"/>
          <w:bCs/>
          <w:kern w:val="2"/>
        </w:rPr>
      </w:pPr>
      <w:r>
        <w:rPr>
          <w:rFonts w:hint="eastAsia" w:ascii="仿宋_GB2312" w:hAnsi="仿宋_GB2312" w:eastAsia="仿宋_GB2312" w:cs="仿宋_GB2312"/>
          <w:bCs/>
          <w:kern w:val="2"/>
        </w:rPr>
        <w:t>本部门按要求对2021年部门整体支出开展绩效自评，从评价情况来看整体部门支出绩效良好，支出进度100%。保障了我委部门机构正常运转、完成日常工作任务。本部门还自行组织了1个项目支出绩效评价，从评价情况来看我委严格执行《四川省省级财政青少年发展专项资金管理办法》对项目资金的使用方向，使用范围，支付进度进行监控。严格执行县级报账、专项核算等制度，   确保了资金安全有效1.项目绩效目标完成情况。</w:t>
      </w:r>
      <w:r>
        <w:rPr>
          <w:rFonts w:hint="eastAsia" w:ascii="仿宋_GB2312" w:hAnsi="仿宋_GB2312" w:eastAsia="仿宋_GB2312" w:cs="仿宋_GB2312"/>
          <w:bCs/>
          <w:kern w:val="2"/>
        </w:rPr>
        <w:br w:type="textWrapping"/>
      </w:r>
      <w:r>
        <w:rPr>
          <w:rFonts w:hint="eastAsia" w:ascii="仿宋_GB2312" w:hAnsi="仿宋_GB2312" w:eastAsia="仿宋_GB2312" w:cs="仿宋_GB2312"/>
          <w:bCs/>
          <w:kern w:val="2"/>
        </w:rPr>
        <w:t xml:space="preserve">   我委在2021年度部门决算中反映“2021年关心下一代工作委员会专项经费</w:t>
      </w:r>
      <w:r>
        <w:rPr>
          <w:rFonts w:ascii="仿宋_GB2312" w:hAnsi="仿宋_GB2312" w:eastAsia="仿宋_GB2312" w:cs="仿宋_GB2312"/>
          <w:bCs/>
          <w:kern w:val="2"/>
        </w:rPr>
        <w:t>”</w:t>
      </w:r>
      <w:r>
        <w:rPr>
          <w:rFonts w:hint="eastAsia" w:ascii="仿宋_GB2312" w:hAnsi="仿宋_GB2312" w:eastAsia="仿宋_GB2312" w:cs="仿宋_GB2312"/>
          <w:bCs/>
          <w:kern w:val="2"/>
        </w:rPr>
        <w:t>1个项目绩效目标实际完成情况。关心下一代工作委员会项目绩效目标完成情况综述。项目全年预算数10万元，执行数为10万元，完成预算的100%。通过项目实施，保障我委对青少年活动开展的经费保障</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我委在2021年度部门决算中反映“2021年文旅大会会议费</w:t>
      </w:r>
      <w:r>
        <w:rPr>
          <w:rFonts w:ascii="仿宋_GB2312" w:hAnsi="仿宋_GB2312" w:eastAsia="仿宋_GB2312" w:cs="仿宋_GB2312"/>
          <w:bCs/>
          <w:kern w:val="2"/>
        </w:rPr>
        <w:t>”</w:t>
      </w:r>
      <w:r>
        <w:rPr>
          <w:rFonts w:hint="eastAsia" w:ascii="仿宋_GB2312" w:hAnsi="仿宋_GB2312" w:eastAsia="仿宋_GB2312" w:cs="仿宋_GB2312"/>
          <w:bCs/>
          <w:kern w:val="2"/>
        </w:rPr>
        <w:t>1个项目绩效目标实际完成情况。2021年文旅大会会议费项目绩效目标完成情况综述。项目全年预算数51万元，执行数为51万元，完成预算的100%。通过项目实施，保障州文旅大会志愿者培训费、服装费的经费保障。</w:t>
      </w:r>
    </w:p>
    <w:tbl>
      <w:tblPr>
        <w:tblStyle w:val="12"/>
        <w:tblpPr w:leftFromText="180" w:rightFromText="180" w:vertAnchor="text" w:horzAnchor="page" w:tblpXSpec="center" w:tblpY="423"/>
        <w:tblOverlap w:val="never"/>
        <w:tblW w:w="9037" w:type="dxa"/>
        <w:jc w:val="center"/>
        <w:tblInd w:w="662" w:type="dxa"/>
        <w:tblLayout w:type="fixed"/>
        <w:tblCellMar>
          <w:top w:w="0" w:type="dxa"/>
          <w:left w:w="0" w:type="dxa"/>
          <w:bottom w:w="0" w:type="dxa"/>
          <w:right w:w="0" w:type="dxa"/>
        </w:tblCellMar>
      </w:tblPr>
      <w:tblGrid>
        <w:gridCol w:w="785"/>
        <w:gridCol w:w="808"/>
        <w:gridCol w:w="931"/>
        <w:gridCol w:w="2171"/>
        <w:gridCol w:w="2006"/>
        <w:gridCol w:w="165"/>
        <w:gridCol w:w="2171"/>
      </w:tblGrid>
      <w:tr>
        <w:tblPrEx>
          <w:tblLayout w:type="fixed"/>
          <w:tblCellMar>
            <w:top w:w="0" w:type="dxa"/>
            <w:left w:w="0" w:type="dxa"/>
            <w:bottom w:w="0" w:type="dxa"/>
            <w:right w:w="0" w:type="dxa"/>
          </w:tblCellMar>
        </w:tblPrEx>
        <w:trPr>
          <w:trHeight w:val="403" w:hRule="atLeast"/>
          <w:jc w:val="center"/>
        </w:trPr>
        <w:tc>
          <w:tcPr>
            <w:tcW w:w="9037" w:type="dxa"/>
            <w:gridSpan w:val="7"/>
            <w:tcBorders>
              <w:top w:val="nil"/>
              <w:left w:val="nil"/>
              <w:bottom w:val="nil"/>
              <w:right w:val="nil"/>
            </w:tcBorders>
            <w:tcMar>
              <w:top w:w="15" w:type="dxa"/>
              <w:left w:w="15" w:type="dxa"/>
              <w:right w:w="15" w:type="dxa"/>
            </w:tcMar>
            <w:vAlign w:val="center"/>
          </w:tcPr>
          <w:p>
            <w:pPr>
              <w:jc w:val="center"/>
              <w:textAlignment w:val="center"/>
              <w:rPr>
                <w:rFonts w:hint="eastAsia"/>
                <w:b/>
                <w:bCs/>
                <w:color w:val="000000"/>
                <w:sz w:val="36"/>
                <w:szCs w:val="36"/>
              </w:rPr>
            </w:pPr>
            <w:r>
              <w:rPr>
                <w:rFonts w:hint="eastAsia"/>
                <w:b/>
                <w:bCs/>
                <w:color w:val="000000"/>
                <w:sz w:val="36"/>
                <w:szCs w:val="36"/>
              </w:rPr>
              <w:t>项目绩效目标完成情况表</w:t>
            </w:r>
          </w:p>
          <w:p>
            <w:pPr>
              <w:jc w:val="center"/>
              <w:textAlignment w:val="center"/>
              <w:rPr>
                <w:rFonts w:hint="eastAsia"/>
                <w:b/>
                <w:bCs/>
                <w:color w:val="000000"/>
                <w:sz w:val="36"/>
                <w:szCs w:val="36"/>
              </w:rPr>
            </w:pPr>
            <w:r>
              <w:rPr>
                <w:rFonts w:hint="eastAsia"/>
                <w:b/>
                <w:bCs/>
                <w:color w:val="000000"/>
                <w:sz w:val="36"/>
                <w:szCs w:val="36"/>
              </w:rPr>
              <w:t>(2021年度)</w:t>
            </w:r>
          </w:p>
          <w:p>
            <w:pPr>
              <w:textAlignment w:val="center"/>
              <w:rPr>
                <w:rFonts w:hint="eastAsia"/>
                <w:b/>
                <w:bCs/>
                <w:color w:val="000000"/>
                <w:sz w:val="36"/>
                <w:szCs w:val="36"/>
              </w:rPr>
            </w:pPr>
          </w:p>
          <w:p>
            <w:pPr>
              <w:textAlignment w:val="center"/>
              <w:rPr>
                <w:b/>
                <w:bCs/>
                <w:color w:val="000000"/>
                <w:sz w:val="36"/>
                <w:szCs w:val="36"/>
              </w:rPr>
            </w:pPr>
          </w:p>
        </w:tc>
      </w:tr>
      <w:tr>
        <w:tblPrEx>
          <w:tblLayout w:type="fixed"/>
          <w:tblCellMar>
            <w:top w:w="0" w:type="dxa"/>
            <w:left w:w="0" w:type="dxa"/>
            <w:bottom w:w="0" w:type="dxa"/>
            <w:right w:w="0" w:type="dxa"/>
          </w:tblCellMar>
        </w:tblPrEx>
        <w:trPr>
          <w:trHeight w:val="108" w:hRule="atLeast"/>
          <w:jc w:val="center"/>
        </w:trPr>
        <w:tc>
          <w:tcPr>
            <w:tcW w:w="252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项目名称</w:t>
            </w:r>
          </w:p>
        </w:tc>
        <w:tc>
          <w:tcPr>
            <w:tcW w:w="651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关心下一代工作委员会经费</w:t>
            </w:r>
          </w:p>
        </w:tc>
      </w:tr>
      <w:tr>
        <w:tblPrEx>
          <w:tblLayout w:type="fixed"/>
          <w:tblCellMar>
            <w:top w:w="0" w:type="dxa"/>
            <w:left w:w="0" w:type="dxa"/>
            <w:bottom w:w="0" w:type="dxa"/>
            <w:right w:w="0" w:type="dxa"/>
          </w:tblCellMar>
        </w:tblPrEx>
        <w:trPr>
          <w:trHeight w:val="108" w:hRule="atLeast"/>
          <w:jc w:val="center"/>
        </w:trPr>
        <w:tc>
          <w:tcPr>
            <w:tcW w:w="252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预算单位</w:t>
            </w:r>
          </w:p>
        </w:tc>
        <w:tc>
          <w:tcPr>
            <w:tcW w:w="651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共青团红原县委</w:t>
            </w:r>
          </w:p>
        </w:tc>
      </w:tr>
      <w:tr>
        <w:tblPrEx>
          <w:tblLayout w:type="fixed"/>
          <w:tblCellMar>
            <w:top w:w="0" w:type="dxa"/>
            <w:left w:w="0" w:type="dxa"/>
            <w:bottom w:w="0" w:type="dxa"/>
            <w:right w:w="0" w:type="dxa"/>
          </w:tblCellMar>
        </w:tblPrEx>
        <w:trPr>
          <w:trHeight w:val="108"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预算执行情况(万元)</w:t>
            </w:r>
          </w:p>
        </w:tc>
        <w:tc>
          <w:tcPr>
            <w:tcW w:w="17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预算数:</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100000元</w:t>
            </w:r>
          </w:p>
        </w:tc>
        <w:tc>
          <w:tcPr>
            <w:tcW w:w="21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执行数:</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100000元</w:t>
            </w:r>
          </w:p>
        </w:tc>
      </w:tr>
      <w:tr>
        <w:tblPrEx>
          <w:tblLayout w:type="fixed"/>
          <w:tblCellMar>
            <w:top w:w="0" w:type="dxa"/>
            <w:left w:w="0" w:type="dxa"/>
            <w:bottom w:w="0" w:type="dxa"/>
            <w:right w:w="0" w:type="dxa"/>
          </w:tblCellMar>
        </w:tblPrEx>
        <w:trPr>
          <w:trHeight w:val="108"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17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其中-财政拨款:</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100000元</w:t>
            </w:r>
          </w:p>
        </w:tc>
        <w:tc>
          <w:tcPr>
            <w:tcW w:w="21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其中-财政拨款:</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100000元</w:t>
            </w:r>
          </w:p>
        </w:tc>
      </w:tr>
      <w:tr>
        <w:tblPrEx>
          <w:tblLayout w:type="fixed"/>
          <w:tblCellMar>
            <w:top w:w="0" w:type="dxa"/>
            <w:left w:w="0" w:type="dxa"/>
            <w:bottom w:w="0" w:type="dxa"/>
            <w:right w:w="0" w:type="dxa"/>
          </w:tblCellMar>
        </w:tblPrEx>
        <w:trPr>
          <w:trHeight w:val="160" w:hRule="atLeast"/>
          <w:jc w:val="center"/>
        </w:trPr>
        <w:tc>
          <w:tcPr>
            <w:tcW w:w="78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17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其它资金:</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0.00元</w:t>
            </w:r>
          </w:p>
        </w:tc>
        <w:tc>
          <w:tcPr>
            <w:tcW w:w="217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其它资金:</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0.00元</w:t>
            </w:r>
          </w:p>
        </w:tc>
      </w:tr>
      <w:tr>
        <w:tblPrEx>
          <w:tblLayout w:type="fixed"/>
          <w:tblCellMar>
            <w:top w:w="0" w:type="dxa"/>
            <w:left w:w="0" w:type="dxa"/>
            <w:bottom w:w="0" w:type="dxa"/>
            <w:right w:w="0" w:type="dxa"/>
          </w:tblCellMar>
        </w:tblPrEx>
        <w:trPr>
          <w:trHeight w:val="108" w:hRule="atLeast"/>
          <w:jc w:val="center"/>
        </w:trPr>
        <w:tc>
          <w:tcPr>
            <w:tcW w:w="78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年度目标完成情况</w:t>
            </w:r>
          </w:p>
        </w:tc>
        <w:tc>
          <w:tcPr>
            <w:tcW w:w="39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预期目标</w:t>
            </w:r>
          </w:p>
        </w:tc>
        <w:tc>
          <w:tcPr>
            <w:tcW w:w="434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实际完成目标</w:t>
            </w:r>
          </w:p>
        </w:tc>
      </w:tr>
      <w:tr>
        <w:tblPrEx>
          <w:tblLayout w:type="fixed"/>
          <w:tblCellMar>
            <w:top w:w="0" w:type="dxa"/>
            <w:left w:w="0" w:type="dxa"/>
            <w:bottom w:w="0" w:type="dxa"/>
            <w:right w:w="0" w:type="dxa"/>
          </w:tblCellMar>
        </w:tblPrEx>
        <w:trPr>
          <w:trHeight w:val="413" w:hRule="atLeast"/>
          <w:jc w:val="center"/>
        </w:trPr>
        <w:tc>
          <w:tcPr>
            <w:tcW w:w="785" w:type="dxa"/>
            <w:vMerge w:val="continue"/>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391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保障对青少年活动开展以及慰问</w:t>
            </w:r>
          </w:p>
        </w:tc>
        <w:tc>
          <w:tcPr>
            <w:tcW w:w="434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2021年我委对青少年慰问300余名贫困学生以及全县各学校慰问</w:t>
            </w:r>
          </w:p>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2021年开展夏令营、冬令营150余人</w:t>
            </w:r>
          </w:p>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2021年青少年宫开展兴趣培训班120余人</w:t>
            </w:r>
          </w:p>
        </w:tc>
      </w:tr>
      <w:tr>
        <w:tblPrEx>
          <w:tblLayout w:type="fixed"/>
          <w:tblCellMar>
            <w:top w:w="0" w:type="dxa"/>
            <w:left w:w="0" w:type="dxa"/>
            <w:bottom w:w="0" w:type="dxa"/>
            <w:right w:w="0" w:type="dxa"/>
          </w:tblCellMar>
        </w:tblPrEx>
        <w:trPr>
          <w:trHeight w:val="426" w:hRule="atLeast"/>
          <w:jc w:val="center"/>
        </w:trPr>
        <w:tc>
          <w:tcPr>
            <w:tcW w:w="7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绩效指标完成情况</w:t>
            </w:r>
          </w:p>
        </w:tc>
        <w:tc>
          <w:tcPr>
            <w:tcW w:w="808"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一级指标</w:t>
            </w:r>
          </w:p>
        </w:tc>
        <w:tc>
          <w:tcPr>
            <w:tcW w:w="9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二级指标</w:t>
            </w:r>
          </w:p>
        </w:tc>
        <w:tc>
          <w:tcPr>
            <w:tcW w:w="21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三级指标</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预期指标值(包含数字及文字描述)</w:t>
            </w:r>
          </w:p>
        </w:tc>
        <w:tc>
          <w:tcPr>
            <w:tcW w:w="23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2"/>
                <w:szCs w:val="21"/>
              </w:rPr>
            </w:pPr>
            <w:r>
              <w:rPr>
                <w:rFonts w:hint="eastAsia" w:asciiTheme="minorEastAsia" w:hAnsiTheme="minorEastAsia" w:eastAsiaTheme="minorEastAsia"/>
                <w:color w:val="000000"/>
                <w:sz w:val="22"/>
                <w:szCs w:val="21"/>
              </w:rPr>
              <w:t>实际完成指标值(包含数字及文字描述)</w:t>
            </w:r>
          </w:p>
        </w:tc>
      </w:tr>
      <w:tr>
        <w:tblPrEx>
          <w:tblLayout w:type="fixed"/>
          <w:tblCellMar>
            <w:top w:w="0" w:type="dxa"/>
            <w:left w:w="0" w:type="dxa"/>
            <w:bottom w:w="0" w:type="dxa"/>
            <w:right w:w="0" w:type="dxa"/>
          </w:tblCellMar>
        </w:tblPrEx>
        <w:trPr>
          <w:trHeight w:val="835" w:hRule="atLeast"/>
          <w:jc w:val="center"/>
        </w:trPr>
        <w:tc>
          <w:tcPr>
            <w:tcW w:w="7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808"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项目完成指标</w:t>
            </w:r>
          </w:p>
        </w:tc>
        <w:tc>
          <w:tcPr>
            <w:tcW w:w="31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进度计划</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项目计划实施进度明确</w:t>
            </w:r>
          </w:p>
        </w:tc>
        <w:tc>
          <w:tcPr>
            <w:tcW w:w="23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项目计划实施进度明确，分阶段有序实施项目计划</w:t>
            </w:r>
          </w:p>
        </w:tc>
      </w:tr>
      <w:tr>
        <w:tblPrEx>
          <w:tblLayout w:type="fixed"/>
          <w:tblCellMar>
            <w:top w:w="0" w:type="dxa"/>
            <w:left w:w="0" w:type="dxa"/>
            <w:bottom w:w="0" w:type="dxa"/>
            <w:right w:w="0" w:type="dxa"/>
          </w:tblCellMar>
        </w:tblPrEx>
        <w:trPr>
          <w:trHeight w:val="1396" w:hRule="atLeast"/>
          <w:jc w:val="center"/>
        </w:trPr>
        <w:tc>
          <w:tcPr>
            <w:tcW w:w="7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808"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项目完成指标</w:t>
            </w:r>
          </w:p>
        </w:tc>
        <w:tc>
          <w:tcPr>
            <w:tcW w:w="31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 w:val="21"/>
                <w:szCs w:val="21"/>
              </w:rPr>
              <w:t>政策依据</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项目符合党中央、国务院和省委、省政府决策部署；符合当前经济社会发展需要</w:t>
            </w:r>
          </w:p>
        </w:tc>
        <w:tc>
          <w:tcPr>
            <w:tcW w:w="23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严格根据财政部、省财政厅下发的青少年发展资金管理办法实施，符合现阶段发展的需要</w:t>
            </w:r>
          </w:p>
        </w:tc>
      </w:tr>
      <w:tr>
        <w:tblPrEx>
          <w:tblLayout w:type="fixed"/>
          <w:tblCellMar>
            <w:top w:w="0" w:type="dxa"/>
            <w:left w:w="0" w:type="dxa"/>
            <w:bottom w:w="0" w:type="dxa"/>
            <w:right w:w="0" w:type="dxa"/>
          </w:tblCellMar>
        </w:tblPrEx>
        <w:trPr>
          <w:trHeight w:val="1013" w:hRule="atLeast"/>
          <w:jc w:val="center"/>
        </w:trPr>
        <w:tc>
          <w:tcPr>
            <w:tcW w:w="7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808"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项目完成指标</w:t>
            </w:r>
          </w:p>
        </w:tc>
        <w:tc>
          <w:tcPr>
            <w:tcW w:w="31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资金集中</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财政资金占项目资金总额比重较小项目个数/项目总数×100%</w:t>
            </w:r>
          </w:p>
        </w:tc>
        <w:tc>
          <w:tcPr>
            <w:tcW w:w="23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资金集中度100%，资金全部来源财政资金</w:t>
            </w:r>
          </w:p>
        </w:tc>
      </w:tr>
      <w:tr>
        <w:tblPrEx>
          <w:tblLayout w:type="fixed"/>
          <w:tblCellMar>
            <w:top w:w="0" w:type="dxa"/>
            <w:left w:w="0" w:type="dxa"/>
            <w:bottom w:w="0" w:type="dxa"/>
            <w:right w:w="0" w:type="dxa"/>
          </w:tblCellMar>
        </w:tblPrEx>
        <w:trPr>
          <w:trHeight w:val="262" w:hRule="atLeast"/>
          <w:jc w:val="center"/>
        </w:trPr>
        <w:tc>
          <w:tcPr>
            <w:tcW w:w="7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808"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项目完成指标</w:t>
            </w:r>
          </w:p>
        </w:tc>
        <w:tc>
          <w:tcPr>
            <w:tcW w:w="31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资金拨付</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按规定及时拨付资金</w:t>
            </w:r>
          </w:p>
        </w:tc>
        <w:tc>
          <w:tcPr>
            <w:tcW w:w="23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我委于12月19日之前拨付资金100000元,实现资金拨付100%</w:t>
            </w:r>
          </w:p>
        </w:tc>
      </w:tr>
      <w:tr>
        <w:tblPrEx>
          <w:tblLayout w:type="fixed"/>
          <w:tblCellMar>
            <w:top w:w="0" w:type="dxa"/>
            <w:left w:w="0" w:type="dxa"/>
            <w:bottom w:w="0" w:type="dxa"/>
            <w:right w:w="0" w:type="dxa"/>
          </w:tblCellMar>
        </w:tblPrEx>
        <w:trPr>
          <w:trHeight w:val="1306" w:hRule="atLeast"/>
          <w:jc w:val="center"/>
        </w:trPr>
        <w:tc>
          <w:tcPr>
            <w:tcW w:w="7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808"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项目完成指标</w:t>
            </w:r>
          </w:p>
        </w:tc>
        <w:tc>
          <w:tcPr>
            <w:tcW w:w="31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使用范围</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资金使用是否合规</w:t>
            </w:r>
          </w:p>
        </w:tc>
        <w:tc>
          <w:tcPr>
            <w:tcW w:w="23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0"/>
                <w:szCs w:val="21"/>
              </w:rPr>
              <w:t>我委严格按照财政部、省财政厅下发的青少年发展资金管理办法使用资金。主要青少年慰问以及青少年兴趣班开班</w:t>
            </w:r>
            <w:r>
              <w:rPr>
                <w:rFonts w:hint="eastAsia" w:asciiTheme="minorEastAsia" w:hAnsiTheme="minorEastAsia" w:eastAsiaTheme="minorEastAsia"/>
                <w:color w:val="000000"/>
                <w:sz w:val="21"/>
                <w:szCs w:val="21"/>
              </w:rPr>
              <w:t>。</w:t>
            </w:r>
          </w:p>
        </w:tc>
      </w:tr>
      <w:tr>
        <w:tblPrEx>
          <w:tblLayout w:type="fixed"/>
          <w:tblCellMar>
            <w:top w:w="0" w:type="dxa"/>
            <w:left w:w="0" w:type="dxa"/>
            <w:bottom w:w="0" w:type="dxa"/>
            <w:right w:w="0" w:type="dxa"/>
          </w:tblCellMar>
        </w:tblPrEx>
        <w:trPr>
          <w:trHeight w:val="224" w:hRule="atLeast"/>
          <w:jc w:val="center"/>
        </w:trPr>
        <w:tc>
          <w:tcPr>
            <w:tcW w:w="7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808"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项目完成指标</w:t>
            </w:r>
          </w:p>
        </w:tc>
        <w:tc>
          <w:tcPr>
            <w:tcW w:w="31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会计核算</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会计核算规范</w:t>
            </w:r>
          </w:p>
        </w:tc>
        <w:tc>
          <w:tcPr>
            <w:tcW w:w="23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我委严格按照新政府会计制度对专项资金核算，并归档。</w:t>
            </w:r>
          </w:p>
        </w:tc>
      </w:tr>
      <w:tr>
        <w:tblPrEx>
          <w:tblLayout w:type="fixed"/>
          <w:tblCellMar>
            <w:top w:w="0" w:type="dxa"/>
            <w:left w:w="0" w:type="dxa"/>
            <w:bottom w:w="0" w:type="dxa"/>
            <w:right w:w="0" w:type="dxa"/>
          </w:tblCellMar>
        </w:tblPrEx>
        <w:trPr>
          <w:trHeight w:val="1625" w:hRule="atLeast"/>
          <w:jc w:val="center"/>
        </w:trPr>
        <w:tc>
          <w:tcPr>
            <w:tcW w:w="7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808"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项目完成指标</w:t>
            </w:r>
          </w:p>
        </w:tc>
        <w:tc>
          <w:tcPr>
            <w:tcW w:w="31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制度执行</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严格执行项目有关制度规定</w:t>
            </w:r>
          </w:p>
        </w:tc>
        <w:tc>
          <w:tcPr>
            <w:tcW w:w="23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我委严格按照财政部、省财政厅下发的林业改革发展资金管理办法使用资金，并按照报销制度、项目管理等程序审核每一笔资金的支出。</w:t>
            </w:r>
          </w:p>
        </w:tc>
      </w:tr>
      <w:tr>
        <w:tblPrEx>
          <w:tblLayout w:type="fixed"/>
          <w:tblCellMar>
            <w:top w:w="0" w:type="dxa"/>
            <w:left w:w="0" w:type="dxa"/>
            <w:bottom w:w="0" w:type="dxa"/>
            <w:right w:w="0" w:type="dxa"/>
          </w:tblCellMar>
        </w:tblPrEx>
        <w:trPr>
          <w:trHeight w:val="35" w:hRule="atLeast"/>
          <w:jc w:val="center"/>
        </w:trPr>
        <w:tc>
          <w:tcPr>
            <w:tcW w:w="7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808"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项目完成指标</w:t>
            </w:r>
          </w:p>
        </w:tc>
        <w:tc>
          <w:tcPr>
            <w:tcW w:w="310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完成时效</w:t>
            </w:r>
          </w:p>
        </w:tc>
        <w:tc>
          <w:tcPr>
            <w:tcW w:w="20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（实际完成时间-绩效目标设定完成时间）/绩效目标设定完成时间×100%</w:t>
            </w:r>
          </w:p>
        </w:tc>
        <w:tc>
          <w:tcPr>
            <w:tcW w:w="23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项目实际完成时间为2021年9月，而目标设定时间为2021年12月，实际完成时间早于项目设定完成时间。</w:t>
            </w:r>
          </w:p>
        </w:tc>
      </w:tr>
    </w:tbl>
    <w:p>
      <w:pPr>
        <w:pStyle w:val="11"/>
        <w:shd w:val="clear" w:color="auto" w:fill="FFFFFF"/>
        <w:spacing w:before="156" w:beforeLines="50" w:beforeAutospacing="0" w:after="156" w:afterLines="50" w:afterAutospacing="0" w:line="560" w:lineRule="exact"/>
        <w:jc w:val="both"/>
      </w:pPr>
    </w:p>
    <w:tbl>
      <w:tblPr>
        <w:tblStyle w:val="12"/>
        <w:tblpPr w:leftFromText="180" w:rightFromText="180" w:vertAnchor="text" w:horzAnchor="page" w:tblpXSpec="center" w:tblpY="423"/>
        <w:tblOverlap w:val="never"/>
        <w:tblW w:w="8607" w:type="dxa"/>
        <w:jc w:val="center"/>
        <w:tblInd w:w="0" w:type="dxa"/>
        <w:tblLayout w:type="fixed"/>
        <w:tblCellMar>
          <w:top w:w="0" w:type="dxa"/>
          <w:left w:w="0" w:type="dxa"/>
          <w:bottom w:w="0" w:type="dxa"/>
          <w:right w:w="0" w:type="dxa"/>
        </w:tblCellMar>
      </w:tblPr>
      <w:tblGrid>
        <w:gridCol w:w="747"/>
        <w:gridCol w:w="769"/>
        <w:gridCol w:w="889"/>
        <w:gridCol w:w="2066"/>
        <w:gridCol w:w="2068"/>
        <w:gridCol w:w="2068"/>
      </w:tblGrid>
      <w:tr>
        <w:tblPrEx>
          <w:tblLayout w:type="fixed"/>
          <w:tblCellMar>
            <w:top w:w="0" w:type="dxa"/>
            <w:left w:w="0" w:type="dxa"/>
            <w:bottom w:w="0" w:type="dxa"/>
            <w:right w:w="0" w:type="dxa"/>
          </w:tblCellMar>
        </w:tblPrEx>
        <w:trPr>
          <w:trHeight w:val="1250" w:hRule="atLeast"/>
          <w:jc w:val="center"/>
        </w:trPr>
        <w:tc>
          <w:tcPr>
            <w:tcW w:w="8607" w:type="dxa"/>
            <w:gridSpan w:val="6"/>
            <w:tcBorders>
              <w:top w:val="nil"/>
              <w:left w:val="nil"/>
              <w:bottom w:val="nil"/>
              <w:right w:val="nil"/>
            </w:tcBorders>
            <w:tcMar>
              <w:top w:w="15" w:type="dxa"/>
              <w:left w:w="15" w:type="dxa"/>
              <w:right w:w="15" w:type="dxa"/>
            </w:tcMar>
            <w:vAlign w:val="center"/>
          </w:tcPr>
          <w:p>
            <w:pPr>
              <w:jc w:val="center"/>
              <w:textAlignment w:val="center"/>
              <w:rPr>
                <w:rFonts w:hint="eastAsia"/>
                <w:b/>
                <w:bCs/>
                <w:color w:val="000000"/>
                <w:sz w:val="36"/>
                <w:szCs w:val="36"/>
              </w:rPr>
            </w:pPr>
          </w:p>
          <w:p>
            <w:pPr>
              <w:jc w:val="center"/>
              <w:textAlignment w:val="center"/>
              <w:rPr>
                <w:b/>
                <w:bCs/>
                <w:color w:val="000000"/>
                <w:sz w:val="36"/>
                <w:szCs w:val="36"/>
              </w:rPr>
            </w:pPr>
            <w:r>
              <w:rPr>
                <w:rFonts w:hint="eastAsia"/>
                <w:b/>
                <w:bCs/>
                <w:color w:val="000000"/>
                <w:sz w:val="36"/>
                <w:szCs w:val="36"/>
              </w:rPr>
              <w:t>项目绩效目标完成情况表</w:t>
            </w:r>
            <w:r>
              <w:rPr>
                <w:rFonts w:hint="eastAsia"/>
                <w:b/>
                <w:bCs/>
                <w:color w:val="000000"/>
                <w:sz w:val="36"/>
                <w:szCs w:val="36"/>
              </w:rPr>
              <w:br w:type="textWrapping"/>
            </w:r>
            <w:r>
              <w:rPr>
                <w:rFonts w:hint="eastAsia"/>
                <w:color w:val="000000"/>
                <w:sz w:val="36"/>
                <w:szCs w:val="36"/>
              </w:rPr>
              <w:t>(2021年度)</w:t>
            </w:r>
          </w:p>
        </w:tc>
      </w:tr>
      <w:tr>
        <w:tblPrEx>
          <w:tblLayout w:type="fixed"/>
          <w:tblCellMar>
            <w:top w:w="0" w:type="dxa"/>
            <w:left w:w="0" w:type="dxa"/>
            <w:bottom w:w="0" w:type="dxa"/>
            <w:right w:w="0" w:type="dxa"/>
          </w:tblCellMar>
        </w:tblPrEx>
        <w:trPr>
          <w:trHeight w:val="510" w:hRule="atLeast"/>
          <w:jc w:val="center"/>
        </w:trPr>
        <w:tc>
          <w:tcPr>
            <w:tcW w:w="24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项目名称</w:t>
            </w:r>
          </w:p>
        </w:tc>
        <w:tc>
          <w:tcPr>
            <w:tcW w:w="62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2021年文旅大会会议费</w:t>
            </w:r>
          </w:p>
        </w:tc>
      </w:tr>
      <w:tr>
        <w:tblPrEx>
          <w:tblLayout w:type="fixed"/>
          <w:tblCellMar>
            <w:top w:w="0" w:type="dxa"/>
            <w:left w:w="0" w:type="dxa"/>
            <w:bottom w:w="0" w:type="dxa"/>
            <w:right w:w="0" w:type="dxa"/>
          </w:tblCellMar>
        </w:tblPrEx>
        <w:trPr>
          <w:trHeight w:val="510" w:hRule="atLeast"/>
          <w:jc w:val="center"/>
        </w:trPr>
        <w:tc>
          <w:tcPr>
            <w:tcW w:w="240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预算单位</w:t>
            </w:r>
          </w:p>
        </w:tc>
        <w:tc>
          <w:tcPr>
            <w:tcW w:w="620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共青团红原县委</w:t>
            </w:r>
          </w:p>
        </w:tc>
      </w:tr>
      <w:tr>
        <w:tblPrEx>
          <w:tblLayout w:type="fixed"/>
          <w:tblCellMar>
            <w:top w:w="0" w:type="dxa"/>
            <w:left w:w="0" w:type="dxa"/>
            <w:bottom w:w="0" w:type="dxa"/>
            <w:right w:w="0" w:type="dxa"/>
          </w:tblCellMar>
        </w:tblPrEx>
        <w:trPr>
          <w:trHeight w:val="510"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预算执行情况(万元)</w:t>
            </w:r>
          </w:p>
        </w:tc>
        <w:tc>
          <w:tcPr>
            <w:tcW w:w="16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预算数:</w:t>
            </w:r>
          </w:p>
        </w:tc>
        <w:tc>
          <w:tcPr>
            <w:tcW w:w="20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510000元</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执行数:</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510000元</w:t>
            </w:r>
          </w:p>
        </w:tc>
      </w:tr>
      <w:tr>
        <w:tblPrEx>
          <w:tblLayout w:type="fixed"/>
          <w:tblCellMar>
            <w:top w:w="0" w:type="dxa"/>
            <w:left w:w="0" w:type="dxa"/>
            <w:bottom w:w="0" w:type="dxa"/>
            <w:right w:w="0" w:type="dxa"/>
          </w:tblCellMar>
        </w:tblPrEx>
        <w:trPr>
          <w:trHeight w:val="510"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olor w:val="000000"/>
                <w:sz w:val="21"/>
                <w:szCs w:val="21"/>
              </w:rPr>
            </w:pPr>
          </w:p>
        </w:tc>
        <w:tc>
          <w:tcPr>
            <w:tcW w:w="16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其中-财政拨款:</w:t>
            </w:r>
          </w:p>
        </w:tc>
        <w:tc>
          <w:tcPr>
            <w:tcW w:w="20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510000元</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其中-财政拨款:</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510000元</w:t>
            </w:r>
          </w:p>
        </w:tc>
      </w:tr>
      <w:tr>
        <w:tblPrEx>
          <w:tblLayout w:type="fixed"/>
          <w:tblCellMar>
            <w:top w:w="0" w:type="dxa"/>
            <w:left w:w="0" w:type="dxa"/>
            <w:bottom w:w="0" w:type="dxa"/>
            <w:right w:w="0" w:type="dxa"/>
          </w:tblCellMar>
        </w:tblPrEx>
        <w:trPr>
          <w:trHeight w:val="1011" w:hRule="atLeast"/>
          <w:jc w:val="center"/>
        </w:trPr>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olor w:val="000000"/>
                <w:sz w:val="21"/>
                <w:szCs w:val="21"/>
              </w:rPr>
            </w:pPr>
          </w:p>
        </w:tc>
        <w:tc>
          <w:tcPr>
            <w:tcW w:w="165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其它资金:</w:t>
            </w:r>
          </w:p>
        </w:tc>
        <w:tc>
          <w:tcPr>
            <w:tcW w:w="20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 w:val="21"/>
                <w:szCs w:val="21"/>
              </w:rPr>
              <w:t>0.00元</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其它资金:</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0.00元</w:t>
            </w:r>
          </w:p>
        </w:tc>
      </w:tr>
      <w:tr>
        <w:tblPrEx>
          <w:tblLayout w:type="fixed"/>
          <w:tblCellMar>
            <w:top w:w="0" w:type="dxa"/>
            <w:left w:w="0" w:type="dxa"/>
            <w:bottom w:w="0" w:type="dxa"/>
            <w:right w:w="0" w:type="dxa"/>
          </w:tblCellMar>
        </w:tblPrEx>
        <w:trPr>
          <w:trHeight w:val="510" w:hRule="atLeast"/>
          <w:jc w:val="center"/>
        </w:trPr>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napToGrid w:val="0"/>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Cs w:val="21"/>
              </w:rPr>
              <w:t>年度目标完成情况</w:t>
            </w:r>
          </w:p>
        </w:tc>
        <w:tc>
          <w:tcPr>
            <w:tcW w:w="372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预期目标</w:t>
            </w:r>
          </w:p>
        </w:tc>
        <w:tc>
          <w:tcPr>
            <w:tcW w:w="41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实际完成目标</w:t>
            </w:r>
          </w:p>
        </w:tc>
      </w:tr>
      <w:tr>
        <w:tblPrEx>
          <w:tblLayout w:type="fixed"/>
          <w:tblCellMar>
            <w:top w:w="0" w:type="dxa"/>
            <w:left w:w="0" w:type="dxa"/>
            <w:bottom w:w="0" w:type="dxa"/>
            <w:right w:w="0" w:type="dxa"/>
          </w:tblCellMar>
        </w:tblPrEx>
        <w:trPr>
          <w:trHeight w:val="1446" w:hRule="atLeast"/>
          <w:jc w:val="center"/>
        </w:trPr>
        <w:tc>
          <w:tcPr>
            <w:tcW w:w="747" w:type="dxa"/>
            <w:vMerge w:val="continue"/>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color w:val="000000"/>
                <w:sz w:val="21"/>
                <w:szCs w:val="21"/>
              </w:rPr>
            </w:pPr>
          </w:p>
        </w:tc>
        <w:tc>
          <w:tcPr>
            <w:tcW w:w="372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themeColor="text1"/>
                <w:sz w:val="21"/>
                <w:szCs w:val="21"/>
              </w:rPr>
              <w:t>保障州文旅大会志愿者培训费、服装费的经费保障</w:t>
            </w:r>
          </w:p>
        </w:tc>
        <w:tc>
          <w:tcPr>
            <w:tcW w:w="413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保障了州文旅大会志愿者培训费、服装费的经费保障</w:t>
            </w:r>
          </w:p>
        </w:tc>
      </w:tr>
      <w:tr>
        <w:tblPrEx>
          <w:tblLayout w:type="fixed"/>
          <w:tblCellMar>
            <w:top w:w="0" w:type="dxa"/>
            <w:left w:w="0" w:type="dxa"/>
            <w:bottom w:w="0" w:type="dxa"/>
            <w:right w:w="0" w:type="dxa"/>
          </w:tblCellMar>
        </w:tblPrEx>
        <w:trPr>
          <w:trHeight w:val="1521" w:hRule="atLeast"/>
          <w:jc w:val="center"/>
        </w:trPr>
        <w:tc>
          <w:tcPr>
            <w:tcW w:w="74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napToGrid w:val="0"/>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绩效指标完成情况</w:t>
            </w:r>
          </w:p>
        </w:tc>
        <w:tc>
          <w:tcPr>
            <w:tcW w:w="76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一级指标</w:t>
            </w:r>
          </w:p>
        </w:tc>
        <w:tc>
          <w:tcPr>
            <w:tcW w:w="8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二级指标</w:t>
            </w:r>
          </w:p>
        </w:tc>
        <w:tc>
          <w:tcPr>
            <w:tcW w:w="20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三级指标</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预期指标值(包含数字及文字描述)</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实际完成指标值(包含数字及文字描述)</w:t>
            </w:r>
          </w:p>
        </w:tc>
      </w:tr>
      <w:tr>
        <w:tblPrEx>
          <w:tblLayout w:type="fixed"/>
          <w:tblCellMar>
            <w:top w:w="0" w:type="dxa"/>
            <w:left w:w="0" w:type="dxa"/>
            <w:bottom w:w="0" w:type="dxa"/>
            <w:right w:w="0" w:type="dxa"/>
          </w:tblCellMar>
        </w:tblPrEx>
        <w:trPr>
          <w:trHeight w:val="871" w:hRule="atLeast"/>
          <w:jc w:val="center"/>
        </w:trPr>
        <w:tc>
          <w:tcPr>
            <w:tcW w:w="74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76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sz w:val="21"/>
                <w:szCs w:val="21"/>
              </w:rPr>
            </w:pPr>
            <w:r>
              <w:rPr>
                <w:rFonts w:hint="eastAsia" w:asciiTheme="minorEastAsia" w:hAnsiTheme="minorEastAsia" w:eastAsiaTheme="minorEastAsia"/>
                <w:color w:val="000000"/>
                <w:szCs w:val="21"/>
              </w:rPr>
              <w:t>项目完成指标</w:t>
            </w:r>
          </w:p>
        </w:tc>
        <w:tc>
          <w:tcPr>
            <w:tcW w:w="29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 52万元</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 =52万元</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 51万元全部使用</w:t>
            </w:r>
          </w:p>
        </w:tc>
      </w:tr>
      <w:tr>
        <w:tblPrEx>
          <w:tblLayout w:type="fixed"/>
          <w:tblCellMar>
            <w:top w:w="0" w:type="dxa"/>
            <w:left w:w="0" w:type="dxa"/>
            <w:bottom w:w="0" w:type="dxa"/>
            <w:right w:w="0" w:type="dxa"/>
          </w:tblCellMar>
        </w:tblPrEx>
        <w:trPr>
          <w:trHeight w:val="1443" w:hRule="atLeast"/>
          <w:jc w:val="center"/>
        </w:trPr>
        <w:tc>
          <w:tcPr>
            <w:tcW w:w="74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76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sz w:val="21"/>
                <w:szCs w:val="21"/>
              </w:rPr>
            </w:pPr>
            <w:r>
              <w:rPr>
                <w:rFonts w:hint="eastAsia" w:asciiTheme="minorEastAsia" w:hAnsiTheme="minorEastAsia" w:eastAsiaTheme="minorEastAsia"/>
                <w:color w:val="000000"/>
                <w:szCs w:val="21"/>
              </w:rPr>
              <w:t>满意度指标</w:t>
            </w:r>
          </w:p>
        </w:tc>
        <w:tc>
          <w:tcPr>
            <w:tcW w:w="29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 满意</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 满意</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 满意</w:t>
            </w:r>
          </w:p>
        </w:tc>
      </w:tr>
      <w:tr>
        <w:tblPrEx>
          <w:tblLayout w:type="fixed"/>
          <w:tblCellMar>
            <w:top w:w="0" w:type="dxa"/>
            <w:left w:w="0" w:type="dxa"/>
            <w:bottom w:w="0" w:type="dxa"/>
            <w:right w:w="0" w:type="dxa"/>
          </w:tblCellMar>
        </w:tblPrEx>
        <w:trPr>
          <w:trHeight w:val="1827" w:hRule="atLeast"/>
          <w:jc w:val="center"/>
        </w:trPr>
        <w:tc>
          <w:tcPr>
            <w:tcW w:w="74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textAlignment w:val="center"/>
              <w:rPr>
                <w:rFonts w:asciiTheme="minorEastAsia" w:hAnsiTheme="minorEastAsia" w:eastAsiaTheme="minorEastAsia"/>
                <w:color w:val="000000"/>
                <w:sz w:val="21"/>
                <w:szCs w:val="21"/>
              </w:rPr>
            </w:pPr>
          </w:p>
        </w:tc>
        <w:tc>
          <w:tcPr>
            <w:tcW w:w="769" w:type="dxa"/>
            <w:tcBorders>
              <w:top w:val="single" w:color="000000" w:sz="4" w:space="0"/>
              <w:left w:val="single" w:color="auto" w:sz="4" w:space="0"/>
              <w:bottom w:val="single" w:color="000000" w:sz="4" w:space="0"/>
              <w:right w:val="single" w:color="000000" w:sz="4" w:space="0"/>
            </w:tcBorders>
            <w:tcMar>
              <w:top w:w="15" w:type="dxa"/>
              <w:left w:w="15" w:type="dxa"/>
              <w:right w:w="15" w:type="dxa"/>
            </w:tcMar>
            <w:vAlign w:val="center"/>
          </w:tcPr>
          <w:p>
            <w:pPr>
              <w:jc w:val="center"/>
              <w:textAlignment w:val="center"/>
              <w:rPr>
                <w:rFonts w:asciiTheme="minorEastAsia" w:hAnsiTheme="minorEastAsia" w:eastAsiaTheme="minorEastAsia"/>
                <w:sz w:val="21"/>
                <w:szCs w:val="21"/>
              </w:rPr>
            </w:pPr>
            <w:r>
              <w:rPr>
                <w:rFonts w:hint="eastAsia" w:asciiTheme="minorEastAsia" w:hAnsiTheme="minorEastAsia" w:eastAsiaTheme="minorEastAsia"/>
                <w:color w:val="000000"/>
                <w:szCs w:val="21"/>
              </w:rPr>
              <w:t>效益指标</w:t>
            </w:r>
          </w:p>
        </w:tc>
        <w:tc>
          <w:tcPr>
            <w:tcW w:w="295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 保障文旅大会志愿者经费</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圆满完成大会志愿者工作</w:t>
            </w:r>
          </w:p>
        </w:tc>
        <w:tc>
          <w:tcPr>
            <w:tcW w:w="20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Theme="minorEastAsia" w:hAnsiTheme="minorEastAsia" w:eastAsiaTheme="minorEastAsia"/>
                <w:b/>
                <w:sz w:val="21"/>
                <w:szCs w:val="21"/>
              </w:rPr>
            </w:pPr>
            <w:r>
              <w:rPr>
                <w:rFonts w:hint="eastAsia" w:asciiTheme="minorEastAsia" w:hAnsiTheme="minorEastAsia" w:eastAsiaTheme="minorEastAsia"/>
                <w:sz w:val="21"/>
                <w:szCs w:val="21"/>
              </w:rPr>
              <w:t> </w:t>
            </w:r>
            <w:r>
              <w:rPr>
                <w:rFonts w:hint="eastAsia" w:asciiTheme="minorEastAsia" w:hAnsiTheme="minorEastAsia" w:eastAsiaTheme="minorEastAsia"/>
                <w:color w:val="000000"/>
                <w:sz w:val="21"/>
                <w:szCs w:val="21"/>
              </w:rPr>
              <w:t>51万元</w:t>
            </w:r>
            <w:r>
              <w:rPr>
                <w:rFonts w:hint="eastAsia" w:asciiTheme="minorEastAsia" w:hAnsiTheme="minorEastAsia" w:eastAsiaTheme="minorEastAsia"/>
                <w:sz w:val="21"/>
                <w:szCs w:val="21"/>
              </w:rPr>
              <w:t>圆满完成大会志愿者工作</w:t>
            </w:r>
          </w:p>
        </w:tc>
      </w:tr>
    </w:tbl>
    <w:p>
      <w:pPr>
        <w:rPr>
          <w:rFonts w:hint="eastAsia"/>
        </w:rPr>
      </w:pPr>
      <w:bookmarkStart w:id="32" w:name="_Toc121953702"/>
    </w:p>
    <w:p>
      <w:pPr>
        <w:pStyle w:val="2"/>
        <w:spacing w:before="156" w:beforeLines="50" w:beforeAutospacing="0" w:after="156" w:afterLines="50" w:afterAutospacing="0" w:line="560" w:lineRule="exact"/>
        <w:jc w:val="center"/>
        <w:rPr>
          <w:rFonts w:asciiTheme="majorEastAsia" w:hAnsiTheme="majorEastAsia" w:eastAsiaTheme="majorEastAsia"/>
          <w:sz w:val="44"/>
          <w:szCs w:val="44"/>
        </w:rPr>
      </w:pPr>
      <w:r>
        <w:rPr>
          <w:rFonts w:asciiTheme="majorEastAsia" w:hAnsiTheme="majorEastAsia" w:eastAsiaTheme="majorEastAsia"/>
          <w:sz w:val="44"/>
          <w:szCs w:val="44"/>
        </w:rPr>
        <w:t>第三部分 名词解释</w:t>
      </w:r>
      <w:bookmarkEnd w:id="32"/>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1.财政拨款收入：指单位从同级财政部门取得的财政预算资金。</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2.事业收入：指事业单位开展专业业务活动及辅助活动取得的收入。</w:t>
      </w:r>
      <w:r>
        <w:rPr>
          <w:rFonts w:hint="eastAsia" w:ascii="仿宋_GB2312" w:hAnsi="仿宋_GB2312" w:eastAsia="仿宋_GB2312" w:cs="仿宋_GB2312"/>
          <w:bCs/>
          <w:kern w:val="2"/>
        </w:rPr>
        <w:t>如年末结转，事业单位每年在年末都需要将“上级补助收入”科目进行结转，使其余额为零。</w:t>
      </w:r>
      <w:r>
        <w:rPr>
          <w:rFonts w:ascii="仿宋_GB2312" w:hAnsi="仿宋_GB2312" w:eastAsia="仿宋_GB2312" w:cs="仿宋_GB2312"/>
          <w:bCs/>
          <w:kern w:val="2"/>
        </w:rPr>
        <w:t>（二级预算单位事业收入情况）等。</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3.经营收入：指事业单位在专业业务活动及其辅助活动之外开展非独立核算经营活动取得的收入。</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4.其他收入：指单位取得的除上述收入以外的各项收入。主要是</w:t>
      </w:r>
      <w:r>
        <w:rPr>
          <w:rFonts w:hint="eastAsia" w:ascii="仿宋_GB2312" w:hAnsi="仿宋_GB2312" w:eastAsia="仿宋_GB2312" w:cs="仿宋_GB2312"/>
          <w:bCs/>
          <w:kern w:val="2"/>
        </w:rPr>
        <w:t>要是关于接受外来捐赠收入带来的银行利息等。</w:t>
      </w:r>
      <w:r>
        <w:rPr>
          <w:rFonts w:ascii="仿宋_GB2312" w:hAnsi="仿宋_GB2312" w:eastAsia="仿宋_GB2312" w:cs="仿宋_GB2312"/>
          <w:bCs/>
          <w:kern w:val="2"/>
        </w:rPr>
        <w:t xml:space="preserve"> （收入类型）等。</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5.使用非财政拨款结余：指事业单位使用以前年度积累的非财政拨款结余弥补当年收支差额的金额。</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6.年初结转和结余：指以前年度尚未完成、结转到本年按有关规定继续使用的资金。</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7.结余分配：指事业单位按照会计制度规定缴纳的所得税、提取的专用结余以及转入非财政拨款结余的金额等。</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ascii="仿宋_GB2312" w:hAnsi="仿宋_GB2312" w:eastAsia="仿宋_GB2312" w:cs="仿宋_GB2312"/>
          <w:bCs/>
          <w:kern w:val="2"/>
        </w:rPr>
        <w:t>8、年末结转和结余：指单位按有关规定结转到下年或以后年度继续使用的资金。</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9.一般公共服务（201）群众团体事务（29）事业运行（50）：指保障事业单位的基本支出（如：事业单位人员的基本工资、保险等）</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10.社会保障和就业（208）行政事业单位养老支出（05）机关事业单位基本养老保险（05）：指行政事业单位基本养老保险的支出。</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11.社会保障和就业（208）行政事业单位养老支出（05）机关事业单位职业年金缴费支出（06）：指行政事业单位缴纳本单位职工的职业年金支出。</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12.医疗卫生与计划生育（210）行政事业单位医疗（11）行政单位医疗（01）：指用于保障行政单位职工基本医疗保险的支出保障。</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13.医疗卫生与计划生育（210）行政事业单位医疗（11）事业单位医疗（02）：指用于保障事业单位职工基本医疗保险的支出保障。</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14．医疗卫生与计划生育（210）行政事业单位医疗（11）公务员医疗补助（03）：指用于保障行政事业单位职工的公务员补助支出保障。</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15住房保障（221）城乡社区住宅（03）住房公积金管理（01）：指保障行政事业单位职工的住房公积支出。</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16</w:t>
      </w:r>
      <w:r>
        <w:rPr>
          <w:rFonts w:ascii="仿宋_GB2312" w:hAnsi="仿宋_GB2312" w:eastAsia="仿宋_GB2312" w:cs="仿宋_GB2312"/>
          <w:bCs/>
          <w:kern w:val="2"/>
        </w:rPr>
        <w:t>.</w:t>
      </w:r>
      <w:r>
        <w:rPr>
          <w:rFonts w:hint="eastAsia" w:ascii="仿宋_GB2312" w:hAnsi="仿宋_GB2312" w:eastAsia="仿宋_GB2312" w:cs="仿宋_GB2312"/>
          <w:bCs/>
          <w:kern w:val="2"/>
        </w:rPr>
        <w:t>基本支出：指为保障机构正常运转、完成日常工作任务而发生的人员支出和公用支出。</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17</w:t>
      </w:r>
      <w:r>
        <w:rPr>
          <w:rFonts w:ascii="仿宋_GB2312" w:hAnsi="仿宋_GB2312" w:eastAsia="仿宋_GB2312" w:cs="仿宋_GB2312"/>
          <w:bCs/>
          <w:kern w:val="2"/>
        </w:rPr>
        <w:t>.</w:t>
      </w:r>
      <w:r>
        <w:rPr>
          <w:rFonts w:hint="eastAsia" w:ascii="仿宋_GB2312" w:hAnsi="仿宋_GB2312" w:eastAsia="仿宋_GB2312" w:cs="仿宋_GB2312"/>
          <w:bCs/>
          <w:kern w:val="2"/>
        </w:rPr>
        <w:t>项目支出：指在基本支出之外为完成特定行政任务和事业发展目标所发生的支出。</w:t>
      </w:r>
      <w:r>
        <w:rPr>
          <w:rFonts w:ascii="仿宋_GB2312" w:hAnsi="仿宋_GB2312" w:eastAsia="仿宋_GB2312" w:cs="仿宋_GB2312"/>
          <w:bCs/>
          <w:kern w:val="2"/>
        </w:rPr>
        <w:t xml:space="preserve"> </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18</w:t>
      </w:r>
      <w:r>
        <w:rPr>
          <w:rFonts w:ascii="仿宋_GB2312" w:hAnsi="仿宋_GB2312" w:eastAsia="仿宋_GB2312" w:cs="仿宋_GB2312"/>
          <w:bCs/>
          <w:kern w:val="2"/>
        </w:rPr>
        <w:t>.</w:t>
      </w:r>
      <w:r>
        <w:rPr>
          <w:rFonts w:hint="eastAsia" w:ascii="仿宋_GB2312" w:hAnsi="仿宋_GB2312" w:eastAsia="仿宋_GB2312" w:cs="仿宋_GB2312"/>
          <w:bCs/>
          <w:kern w:val="2"/>
        </w:rPr>
        <w:t>经营支出：指事业单位在专业业务活动及其辅助活动之外开展非独立核算经营活动发生的支出。</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19</w:t>
      </w:r>
      <w:r>
        <w:rPr>
          <w:rFonts w:ascii="仿宋_GB2312" w:hAnsi="仿宋_GB2312" w:eastAsia="仿宋_GB2312" w:cs="仿宋_GB2312"/>
          <w:bCs/>
          <w:kern w:val="2"/>
        </w:rPr>
        <w:t>.</w:t>
      </w:r>
      <w:r>
        <w:rPr>
          <w:rFonts w:hint="eastAsia" w:ascii="仿宋_GB2312" w:hAnsi="仿宋_GB2312" w:eastAsia="仿宋_GB2312" w:cs="仿宋_GB2312"/>
          <w:bCs/>
          <w:kern w:val="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20</w:t>
      </w:r>
      <w:r>
        <w:rPr>
          <w:rFonts w:ascii="仿宋_GB2312" w:hAnsi="仿宋_GB2312" w:eastAsia="仿宋_GB2312" w:cs="仿宋_GB2312"/>
          <w:bCs/>
          <w:kern w:val="2"/>
        </w:rPr>
        <w:t>.</w:t>
      </w:r>
      <w:r>
        <w:rPr>
          <w:rFonts w:hint="eastAsia" w:ascii="仿宋_GB2312" w:hAnsi="仿宋_GB2312" w:eastAsia="仿宋_GB2312" w:cs="仿宋_GB2312"/>
          <w:bCs/>
          <w:kern w:val="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21</w:t>
      </w:r>
      <w:r>
        <w:rPr>
          <w:rFonts w:ascii="仿宋_GB2312" w:hAnsi="仿宋_GB2312" w:eastAsia="仿宋_GB2312" w:cs="仿宋_GB2312"/>
          <w:bCs/>
          <w:kern w:val="2"/>
        </w:rPr>
        <w:t>.</w:t>
      </w:r>
      <w:r>
        <w:rPr>
          <w:rFonts w:hint="eastAsia" w:ascii="仿宋_GB2312" w:hAnsi="仿宋_GB2312" w:eastAsia="仿宋_GB2312" w:cs="仿宋_GB2312"/>
          <w:bCs/>
          <w:kern w:val="2"/>
        </w:rPr>
        <w:t>基本支出：指为保障机构正常运转、完成日常工作任务而发生的人员支出和公用支出。</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22</w:t>
      </w:r>
      <w:r>
        <w:rPr>
          <w:rFonts w:ascii="仿宋_GB2312" w:hAnsi="仿宋_GB2312" w:eastAsia="仿宋_GB2312" w:cs="仿宋_GB2312"/>
          <w:bCs/>
          <w:kern w:val="2"/>
        </w:rPr>
        <w:t>.</w:t>
      </w:r>
      <w:r>
        <w:rPr>
          <w:rFonts w:hint="eastAsia" w:ascii="仿宋_GB2312" w:hAnsi="仿宋_GB2312" w:eastAsia="仿宋_GB2312" w:cs="仿宋_GB2312"/>
          <w:bCs/>
          <w:kern w:val="2"/>
        </w:rPr>
        <w:t>项目支出：指在基本支出之外为完成特定行政任务和事业发展目标所发生的支出。</w:t>
      </w:r>
      <w:r>
        <w:rPr>
          <w:rFonts w:ascii="仿宋_GB2312" w:hAnsi="仿宋_GB2312" w:eastAsia="仿宋_GB2312" w:cs="仿宋_GB2312"/>
          <w:bCs/>
          <w:kern w:val="2"/>
        </w:rPr>
        <w:t xml:space="preserve"> </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23</w:t>
      </w:r>
      <w:r>
        <w:rPr>
          <w:rFonts w:ascii="仿宋_GB2312" w:hAnsi="仿宋_GB2312" w:eastAsia="仿宋_GB2312" w:cs="仿宋_GB2312"/>
          <w:bCs/>
          <w:kern w:val="2"/>
        </w:rPr>
        <w:t>.</w:t>
      </w:r>
      <w:r>
        <w:rPr>
          <w:rFonts w:hint="eastAsia" w:ascii="仿宋_GB2312" w:hAnsi="仿宋_GB2312" w:eastAsia="仿宋_GB2312" w:cs="仿宋_GB2312"/>
          <w:bCs/>
          <w:kern w:val="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24</w:t>
      </w:r>
      <w:r>
        <w:rPr>
          <w:rFonts w:ascii="仿宋_GB2312" w:hAnsi="仿宋_GB2312" w:eastAsia="仿宋_GB2312" w:cs="仿宋_GB2312"/>
          <w:bCs/>
          <w:kern w:val="2"/>
        </w:rPr>
        <w:t>.</w:t>
      </w:r>
      <w:r>
        <w:rPr>
          <w:rFonts w:hint="eastAsia" w:ascii="仿宋_GB2312" w:hAnsi="仿宋_GB2312" w:eastAsia="仿宋_GB2312" w:cs="仿宋_GB2312"/>
          <w:bCs/>
          <w:kern w:val="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1"/>
        <w:shd w:val="clear" w:color="auto" w:fill="FFFFFF"/>
        <w:spacing w:before="156" w:beforeLines="50" w:beforeAutospacing="0" w:after="156" w:afterLines="50" w:afterAutospacing="0" w:line="560" w:lineRule="exact"/>
        <w:ind w:firstLine="482" w:firstLineChars="200"/>
        <w:jc w:val="both"/>
        <w:rPr>
          <w:rStyle w:val="14"/>
        </w:rPr>
      </w:pPr>
    </w:p>
    <w:p>
      <w:pPr>
        <w:pStyle w:val="11"/>
        <w:shd w:val="clear" w:color="auto" w:fill="FFFFFF"/>
        <w:spacing w:before="156" w:beforeLines="50" w:beforeAutospacing="0" w:after="156" w:afterLines="50" w:afterAutospacing="0" w:line="560" w:lineRule="exact"/>
        <w:ind w:firstLine="482" w:firstLineChars="200"/>
        <w:jc w:val="both"/>
        <w:rPr>
          <w:rStyle w:val="14"/>
        </w:rPr>
      </w:pPr>
    </w:p>
    <w:p>
      <w:pPr>
        <w:pStyle w:val="11"/>
        <w:shd w:val="clear" w:color="auto" w:fill="FFFFFF"/>
        <w:spacing w:before="156" w:beforeLines="50" w:beforeAutospacing="0" w:after="156" w:afterLines="50" w:afterAutospacing="0" w:line="560" w:lineRule="exact"/>
        <w:ind w:firstLine="482" w:firstLineChars="200"/>
        <w:jc w:val="both"/>
        <w:rPr>
          <w:rStyle w:val="14"/>
        </w:rPr>
      </w:pPr>
    </w:p>
    <w:p>
      <w:pPr>
        <w:pStyle w:val="11"/>
        <w:shd w:val="clear" w:color="auto" w:fill="FFFFFF"/>
        <w:spacing w:before="156" w:beforeLines="50" w:beforeAutospacing="0" w:after="156" w:afterLines="50" w:afterAutospacing="0" w:line="560" w:lineRule="exact"/>
        <w:ind w:firstLine="482" w:firstLineChars="200"/>
        <w:jc w:val="both"/>
        <w:rPr>
          <w:rStyle w:val="14"/>
        </w:rPr>
      </w:pPr>
    </w:p>
    <w:p>
      <w:pPr>
        <w:pStyle w:val="11"/>
        <w:shd w:val="clear" w:color="auto" w:fill="FFFFFF"/>
        <w:spacing w:before="156" w:beforeLines="50" w:beforeAutospacing="0" w:after="156" w:afterLines="50" w:afterAutospacing="0" w:line="560" w:lineRule="exact"/>
        <w:ind w:firstLine="482" w:firstLineChars="200"/>
        <w:jc w:val="both"/>
        <w:rPr>
          <w:rStyle w:val="14"/>
        </w:rPr>
      </w:pPr>
    </w:p>
    <w:p>
      <w:pPr>
        <w:pStyle w:val="2"/>
        <w:spacing w:before="156" w:beforeLines="50" w:beforeAutospacing="0" w:after="156" w:afterLines="50" w:afterAutospacing="0" w:line="560" w:lineRule="exact"/>
        <w:jc w:val="center"/>
        <w:rPr>
          <w:rFonts w:asciiTheme="majorEastAsia" w:hAnsiTheme="majorEastAsia" w:eastAsiaTheme="majorEastAsia"/>
          <w:sz w:val="44"/>
          <w:szCs w:val="44"/>
        </w:rPr>
      </w:pPr>
      <w:bookmarkStart w:id="33" w:name="_Toc121953703"/>
      <w:r>
        <w:rPr>
          <w:rFonts w:asciiTheme="majorEastAsia" w:hAnsiTheme="majorEastAsia" w:eastAsiaTheme="majorEastAsia"/>
          <w:sz w:val="44"/>
          <w:szCs w:val="44"/>
        </w:rPr>
        <w:t>第四部分 附件</w:t>
      </w:r>
      <w:bookmarkEnd w:id="33"/>
    </w:p>
    <w:p>
      <w:pPr>
        <w:pStyle w:val="11"/>
        <w:shd w:val="clear" w:color="auto" w:fill="FFFFFF"/>
        <w:spacing w:before="156" w:beforeLines="50" w:beforeAutospacing="0" w:after="156" w:afterLines="50" w:afterAutospacing="0" w:line="560" w:lineRule="exact"/>
        <w:ind w:firstLine="480" w:firstLineChars="200"/>
        <w:jc w:val="both"/>
      </w:pPr>
      <w:r>
        <w:t>附件</w:t>
      </w:r>
    </w:p>
    <w:p>
      <w:pPr>
        <w:spacing w:before="156" w:beforeLines="50" w:after="156" w:afterLines="50" w:line="560" w:lineRule="exact"/>
        <w:jc w:val="center"/>
        <w:rPr>
          <w:rFonts w:ascii="方正小标宋简体" w:eastAsia="方正小标宋简体"/>
          <w:color w:val="000000"/>
          <w:sz w:val="40"/>
          <w:szCs w:val="44"/>
          <w:lang w:val="zh-CN"/>
        </w:rPr>
      </w:pPr>
      <w:r>
        <w:rPr>
          <w:rFonts w:hint="eastAsia" w:ascii="方正小标宋简体" w:eastAsia="方正小标宋简体"/>
          <w:color w:val="000000"/>
          <w:sz w:val="40"/>
          <w:szCs w:val="44"/>
        </w:rPr>
        <w:t>共青团红原县委2021</w:t>
      </w:r>
      <w:r>
        <w:rPr>
          <w:rFonts w:ascii="方正小标宋简体" w:eastAsia="方正小标宋简体"/>
          <w:color w:val="000000"/>
          <w:sz w:val="40"/>
          <w:szCs w:val="44"/>
        </w:rPr>
        <w:t>年</w:t>
      </w:r>
      <w:r>
        <w:rPr>
          <w:rFonts w:hint="eastAsia" w:ascii="方正小标宋简体" w:eastAsia="方正小标宋简体"/>
          <w:color w:val="000000"/>
          <w:sz w:val="40"/>
          <w:szCs w:val="44"/>
          <w:lang w:val="zh-CN"/>
        </w:rPr>
        <w:t>整体支出绩效评价报告</w:t>
      </w:r>
    </w:p>
    <w:p>
      <w:pPr>
        <w:spacing w:before="156" w:beforeLines="50" w:after="156" w:afterLines="50" w:line="560" w:lineRule="exact"/>
        <w:contextualSpacing/>
        <w:jc w:val="center"/>
        <w:rPr>
          <w:rFonts w:ascii="仿宋_GB2312" w:eastAsia="仿宋_GB2312"/>
          <w:sz w:val="32"/>
          <w:szCs w:val="32"/>
          <w:shd w:val="clear" w:color="auto" w:fill="FFFFFF"/>
        </w:rPr>
      </w:pPr>
      <w:r>
        <w:rPr>
          <w:rFonts w:hint="eastAsia" w:ascii="仿宋_GB2312" w:eastAsia="仿宋_GB2312"/>
          <w:sz w:val="32"/>
          <w:szCs w:val="32"/>
          <w:shd w:val="clear" w:color="auto" w:fill="FFFFFF"/>
        </w:rPr>
        <w:t>（报告范围包括机关和下属单位）</w:t>
      </w:r>
    </w:p>
    <w:p>
      <w:pPr>
        <w:pStyle w:val="4"/>
        <w:adjustRightInd w:val="0"/>
        <w:snapToGrid w:val="0"/>
        <w:spacing w:before="156" w:beforeLines="50" w:after="156" w:afterLines="50" w:line="560" w:lineRule="exact"/>
        <w:ind w:firstLine="562" w:firstLineChars="200"/>
        <w:jc w:val="both"/>
        <w:outlineLvl w:val="2"/>
        <w:rPr>
          <w:rFonts w:asciiTheme="majorEastAsia" w:hAnsiTheme="majorEastAsia" w:eastAsiaTheme="majorEastAsia"/>
          <w:b/>
          <w:color w:val="000000"/>
          <w:sz w:val="28"/>
          <w:szCs w:val="28"/>
        </w:rPr>
      </w:pPr>
      <w:r>
        <w:rPr>
          <w:rFonts w:asciiTheme="majorEastAsia" w:hAnsiTheme="majorEastAsia" w:eastAsiaTheme="majorEastAsia"/>
          <w:b/>
          <w:color w:val="000000"/>
          <w:sz w:val="28"/>
          <w:szCs w:val="28"/>
        </w:rPr>
        <w:t>一、部门（单位）概况</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asciiTheme="majorEastAsia" w:hAnsiTheme="majorEastAsia" w:eastAsiaTheme="majorEastAsia"/>
          <w:color w:val="000000"/>
          <w:sz w:val="28"/>
          <w:szCs w:val="28"/>
        </w:rPr>
        <w:t>（一）机构组成</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红原县团委是由：中国共产主义</w:t>
      </w:r>
      <w:r>
        <w:rPr>
          <w:rFonts w:hint="eastAsia" w:ascii="仿宋_GB2312" w:hAnsi="仿宋_GB2312" w:eastAsia="仿宋_GB2312" w:cs="仿宋_GB2312"/>
          <w:bCs/>
          <w:kern w:val="2"/>
          <w:lang w:eastAsia="zh-CN"/>
        </w:rPr>
        <w:t>青年团</w:t>
      </w:r>
      <w:r>
        <w:rPr>
          <w:rFonts w:hint="eastAsia" w:ascii="仿宋_GB2312" w:hAnsi="仿宋_GB2312" w:eastAsia="仿宋_GB2312" w:cs="仿宋_GB2312"/>
          <w:bCs/>
          <w:kern w:val="2"/>
        </w:rPr>
        <w:t>红原县</w:t>
      </w:r>
      <w:r>
        <w:rPr>
          <w:rFonts w:hint="eastAsia" w:ascii="仿宋_GB2312" w:hAnsi="仿宋_GB2312" w:eastAsia="仿宋_GB2312" w:cs="仿宋_GB2312"/>
          <w:bCs/>
          <w:kern w:val="2"/>
          <w:lang w:eastAsia="zh-CN"/>
        </w:rPr>
        <w:t>委员会</w:t>
      </w:r>
      <w:r>
        <w:rPr>
          <w:rFonts w:hint="eastAsia" w:ascii="仿宋_GB2312" w:hAnsi="仿宋_GB2312" w:eastAsia="仿宋_GB2312" w:cs="仿宋_GB2312"/>
          <w:bCs/>
          <w:kern w:val="2"/>
        </w:rPr>
        <w:t>、</w:t>
      </w:r>
      <w:r>
        <w:rPr>
          <w:rFonts w:hint="eastAsia" w:ascii="仿宋_GB2312" w:hAnsi="仿宋_GB2312" w:eastAsia="仿宋_GB2312" w:cs="仿宋_GB2312"/>
          <w:bCs/>
          <w:kern w:val="2"/>
          <w:lang w:eastAsia="zh-CN"/>
        </w:rPr>
        <w:t>四川省</w:t>
      </w:r>
      <w:r>
        <w:rPr>
          <w:rFonts w:hint="eastAsia" w:ascii="仿宋_GB2312" w:hAnsi="仿宋_GB2312" w:eastAsia="仿宋_GB2312" w:cs="仿宋_GB2312"/>
          <w:bCs/>
          <w:kern w:val="2"/>
        </w:rPr>
        <w:t>红原县青少年宫、</w:t>
      </w:r>
      <w:r>
        <w:rPr>
          <w:rFonts w:hint="eastAsia" w:ascii="仿宋_GB2312" w:hAnsi="仿宋_GB2312" w:eastAsia="仿宋_GB2312" w:cs="仿宋_GB2312"/>
          <w:bCs/>
          <w:kern w:val="2"/>
          <w:lang w:eastAsia="zh-CN"/>
        </w:rPr>
        <w:t>关心下一代工作委员会</w:t>
      </w:r>
      <w:bookmarkStart w:id="49" w:name="_GoBack"/>
      <w:bookmarkEnd w:id="49"/>
      <w:r>
        <w:rPr>
          <w:rFonts w:hint="eastAsia" w:ascii="仿宋_GB2312" w:hAnsi="仿宋_GB2312" w:eastAsia="仿宋_GB2312" w:cs="仿宋_GB2312"/>
          <w:bCs/>
          <w:kern w:val="2"/>
        </w:rPr>
        <w:t>三部分组成</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asciiTheme="majorEastAsia" w:hAnsiTheme="majorEastAsia" w:eastAsiaTheme="majorEastAsia"/>
          <w:color w:val="000000"/>
          <w:sz w:val="28"/>
          <w:szCs w:val="28"/>
        </w:rPr>
        <w:t>（二）机构职能</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rPr>
        <w:t>(1).</w:t>
      </w:r>
      <w:r>
        <w:rPr>
          <w:rFonts w:hint="eastAsia" w:ascii="仿宋_GB2312" w:hAnsi="仿宋_GB2312" w:eastAsia="仿宋_GB2312" w:cs="仿宋_GB2312"/>
          <w:bCs/>
          <w:kern w:val="2"/>
        </w:rPr>
        <w:t>行使领导全县共青团工作、领导全县青联和少先队工作的职权，对全县性青年社团组织进行指导和管理。</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(2).参与制定我县青少年事业发展规划和青少年工作方针、政策，对我县青少年活动阵地、青少年服务机构建设等进行规划和管理。</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(3).调查青年动态和青年工作状况，研究青少年运动，青少年工作理论和思想教育问题，提出相应对策，开展各种活动。</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(4).协助政府教育部门，做好中、小学生的教育管理工作，维持学校稳定和社会安定团结。</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(5).在经济建设中，组织和带领青年发挥生力军和突击队作用。</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(6).会同有关部门对全县青少年外事工作进行归口管理和提供服务。</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(7).做好我县青年统战对象和团结教育工作，维护、促进祖国统一和民族团结。</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(8).承担中共红原县委、红原县人民政府和共青团阿坝州委交办的有关事项。</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asciiTheme="majorEastAsia" w:hAnsiTheme="majorEastAsia" w:eastAsiaTheme="majorEastAsia"/>
          <w:color w:val="000000"/>
          <w:sz w:val="28"/>
          <w:szCs w:val="28"/>
        </w:rPr>
        <w:t>（三）人员概况。</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红原县团委现就公务员编制1人，事业编制6人，西部计划志愿者18人。</w:t>
      </w:r>
    </w:p>
    <w:p>
      <w:pPr>
        <w:pStyle w:val="4"/>
        <w:adjustRightInd w:val="0"/>
        <w:snapToGrid w:val="0"/>
        <w:spacing w:before="156" w:beforeLines="50" w:after="156" w:afterLines="50" w:line="560" w:lineRule="exact"/>
        <w:ind w:firstLine="562" w:firstLineChars="200"/>
        <w:jc w:val="both"/>
        <w:outlineLvl w:val="2"/>
        <w:rPr>
          <w:rFonts w:asciiTheme="majorEastAsia" w:hAnsiTheme="majorEastAsia" w:eastAsiaTheme="majorEastAsia"/>
          <w:b/>
          <w:color w:val="000000"/>
          <w:sz w:val="28"/>
          <w:szCs w:val="28"/>
        </w:rPr>
      </w:pPr>
      <w:r>
        <w:rPr>
          <w:rFonts w:asciiTheme="majorEastAsia" w:hAnsiTheme="majorEastAsia" w:eastAsiaTheme="majorEastAsia"/>
          <w:b/>
          <w:color w:val="000000"/>
          <w:sz w:val="28"/>
          <w:szCs w:val="28"/>
        </w:rPr>
        <w:t>二、部门财政资金收支情况</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asciiTheme="majorEastAsia" w:hAnsiTheme="majorEastAsia" w:eastAsiaTheme="majorEastAsia"/>
          <w:color w:val="000000"/>
          <w:sz w:val="28"/>
          <w:szCs w:val="28"/>
        </w:rPr>
        <w:t>（一）部门财政资金收入情况。</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本单位本年收入总计</w:t>
      </w:r>
      <w:r>
        <w:rPr>
          <w:rFonts w:ascii="仿宋_GB2312" w:hAnsi="仿宋_GB2312" w:eastAsia="仿宋_GB2312" w:cs="仿宋_GB2312"/>
          <w:bCs/>
          <w:kern w:val="2"/>
        </w:rPr>
        <w:t>245.80</w:t>
      </w:r>
      <w:r>
        <w:rPr>
          <w:rFonts w:hint="eastAsia" w:ascii="仿宋_GB2312" w:hAnsi="仿宋_GB2312" w:eastAsia="仿宋_GB2312" w:cs="仿宋_GB2312"/>
          <w:bCs/>
          <w:kern w:val="2"/>
        </w:rPr>
        <w:t>万元，其中一般财政拨款收入</w:t>
      </w:r>
      <w:r>
        <w:rPr>
          <w:rFonts w:ascii="仿宋_GB2312" w:hAnsi="仿宋_GB2312" w:eastAsia="仿宋_GB2312" w:cs="仿宋_GB2312"/>
          <w:bCs/>
          <w:kern w:val="2"/>
        </w:rPr>
        <w:t>245.80</w:t>
      </w:r>
      <w:r>
        <w:rPr>
          <w:rFonts w:hint="eastAsia" w:ascii="仿宋_GB2312" w:hAnsi="仿宋_GB2312" w:eastAsia="仿宋_GB2312" w:cs="仿宋_GB2312"/>
          <w:bCs/>
          <w:kern w:val="2"/>
        </w:rPr>
        <w:t>万元，占100%。</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asciiTheme="majorEastAsia" w:hAnsiTheme="majorEastAsia" w:eastAsiaTheme="majorEastAsia"/>
          <w:color w:val="000000"/>
          <w:sz w:val="28"/>
          <w:szCs w:val="28"/>
        </w:rPr>
        <w:t>（二）部门财政资金支出情况。</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本单位本年费用支出</w:t>
      </w:r>
      <w:r>
        <w:rPr>
          <w:rFonts w:ascii="仿宋_GB2312" w:hAnsi="仿宋_GB2312" w:eastAsia="仿宋_GB2312" w:cs="仿宋_GB2312"/>
          <w:bCs/>
          <w:kern w:val="2"/>
        </w:rPr>
        <w:t>245.80</w:t>
      </w:r>
      <w:r>
        <w:rPr>
          <w:rFonts w:hint="eastAsia" w:ascii="仿宋_GB2312" w:hAnsi="仿宋_GB2312" w:eastAsia="仿宋_GB2312" w:cs="仿宋_GB2312"/>
          <w:bCs/>
          <w:kern w:val="2"/>
        </w:rPr>
        <w:t>万元，一般公共服务支出</w:t>
      </w:r>
      <w:r>
        <w:rPr>
          <w:rFonts w:ascii="仿宋_GB2312" w:hAnsi="仿宋_GB2312" w:eastAsia="仿宋_GB2312" w:cs="仿宋_GB2312"/>
          <w:bCs/>
          <w:kern w:val="2"/>
        </w:rPr>
        <w:t>212.54</w:t>
      </w:r>
      <w:r>
        <w:rPr>
          <w:rFonts w:hint="eastAsia" w:ascii="仿宋_GB2312" w:hAnsi="仿宋_GB2312" w:eastAsia="仿宋_GB2312" w:cs="仿宋_GB2312"/>
          <w:bCs/>
          <w:kern w:val="2"/>
        </w:rPr>
        <w:t>万元，占</w:t>
      </w:r>
      <w:r>
        <w:rPr>
          <w:rFonts w:ascii="仿宋_GB2312" w:hAnsi="仿宋_GB2312" w:eastAsia="仿宋_GB2312" w:cs="仿宋_GB2312"/>
          <w:bCs/>
          <w:kern w:val="2"/>
        </w:rPr>
        <w:t>86.47%</w:t>
      </w:r>
      <w:r>
        <w:rPr>
          <w:rFonts w:hint="eastAsia" w:ascii="仿宋_GB2312" w:hAnsi="仿宋_GB2312" w:eastAsia="仿宋_GB2312" w:cs="仿宋_GB2312"/>
          <w:bCs/>
          <w:kern w:val="2"/>
        </w:rPr>
        <w:t>；社会保障和就业支出</w:t>
      </w:r>
      <w:r>
        <w:rPr>
          <w:rFonts w:ascii="仿宋_GB2312" w:hAnsi="仿宋_GB2312" w:eastAsia="仿宋_GB2312" w:cs="仿宋_GB2312"/>
          <w:bCs/>
          <w:kern w:val="2"/>
        </w:rPr>
        <w:t>16.00万元，占6.51%</w:t>
      </w:r>
      <w:r>
        <w:rPr>
          <w:rFonts w:hint="eastAsia" w:ascii="仿宋_GB2312" w:hAnsi="仿宋_GB2312" w:eastAsia="仿宋_GB2312" w:cs="仿宋_GB2312"/>
          <w:bCs/>
          <w:kern w:val="2"/>
        </w:rPr>
        <w:t>；医疗卫生与计划生育支出</w:t>
      </w:r>
      <w:r>
        <w:rPr>
          <w:rFonts w:ascii="仿宋_GB2312" w:hAnsi="仿宋_GB2312" w:eastAsia="仿宋_GB2312" w:cs="仿宋_GB2312"/>
          <w:bCs/>
          <w:kern w:val="2"/>
        </w:rPr>
        <w:t>6.66万元，占2.71%</w:t>
      </w:r>
      <w:r>
        <w:rPr>
          <w:rFonts w:hint="eastAsia" w:ascii="仿宋_GB2312" w:hAnsi="仿宋_GB2312" w:eastAsia="仿宋_GB2312" w:cs="仿宋_GB2312"/>
          <w:bCs/>
          <w:kern w:val="2"/>
        </w:rPr>
        <w:t>；住房保障支出</w:t>
      </w:r>
      <w:r>
        <w:rPr>
          <w:rFonts w:ascii="仿宋_GB2312" w:hAnsi="仿宋_GB2312" w:eastAsia="仿宋_GB2312" w:cs="仿宋_GB2312"/>
          <w:bCs/>
          <w:kern w:val="2"/>
        </w:rPr>
        <w:t>10.61万元，占4.32%</w:t>
      </w:r>
      <w:r>
        <w:rPr>
          <w:rFonts w:hint="eastAsia" w:ascii="仿宋_GB2312" w:hAnsi="仿宋_GB2312" w:eastAsia="仿宋_GB2312" w:cs="仿宋_GB2312"/>
          <w:bCs/>
          <w:kern w:val="2"/>
        </w:rPr>
        <w:t>。</w:t>
      </w:r>
    </w:p>
    <w:p>
      <w:pPr>
        <w:pStyle w:val="4"/>
        <w:adjustRightInd w:val="0"/>
        <w:snapToGrid w:val="0"/>
        <w:spacing w:before="156" w:beforeLines="50" w:after="156" w:afterLines="50" w:line="560" w:lineRule="exact"/>
        <w:ind w:firstLine="562" w:firstLineChars="200"/>
        <w:jc w:val="both"/>
        <w:outlineLvl w:val="2"/>
        <w:rPr>
          <w:rFonts w:asciiTheme="majorEastAsia" w:hAnsiTheme="majorEastAsia" w:eastAsiaTheme="majorEastAsia"/>
          <w:b/>
          <w:color w:val="000000"/>
          <w:sz w:val="28"/>
          <w:szCs w:val="28"/>
        </w:rPr>
      </w:pPr>
      <w:r>
        <w:rPr>
          <w:rFonts w:asciiTheme="majorEastAsia" w:hAnsiTheme="majorEastAsia" w:eastAsiaTheme="majorEastAsia"/>
          <w:b/>
          <w:color w:val="000000"/>
          <w:sz w:val="28"/>
          <w:szCs w:val="28"/>
        </w:rPr>
        <w:t>三、部门整体预算绩效管理情况</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asciiTheme="majorEastAsia" w:hAnsiTheme="majorEastAsia" w:eastAsiaTheme="majorEastAsia"/>
          <w:color w:val="000000"/>
          <w:sz w:val="28"/>
          <w:szCs w:val="28"/>
        </w:rPr>
        <w:t>（一）部门预算项目绩效管理。</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单位不断强化预算意识，实行部门综合预算管理，形成以单位领导支持、财务部门牵头、其他部门密切配合的工作格局，保证预算编制质量。结合本单位业务情况以及项目活动的开展，进行科学合理分配细化，财务部门预算经批复后，跟踪预算执行进度，及时组织收入，科学合理的安排支出，降低预算支出的波动幅度。严格执行项目支出预算，积极组织项目实施，对于达到政府采购标准的项目支出，明确规定采购项目的采购期限，督促尽快组织实施采购计划。加强对预算执行过程的控制和结果的反馈，对预算执行差异的原因以及分析差异和影响，并及时向领导和相关部门进行反馈，以采取措施纠正预算执行偏差，促进预算目标的全面完成。</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hint="eastAsia" w:asciiTheme="majorEastAsia" w:hAnsiTheme="majorEastAsia" w:eastAsiaTheme="majorEastAsia"/>
          <w:color w:val="000000"/>
          <w:sz w:val="28"/>
          <w:szCs w:val="28"/>
        </w:rPr>
        <w:t>（二）执行管理情况</w:t>
      </w:r>
      <w:r>
        <w:rPr>
          <w:rFonts w:hint="eastAsia" w:asciiTheme="majorEastAsia" w:hAnsiTheme="majorEastAsia" w:eastAsiaTheme="majorEastAsia"/>
          <w:color w:val="000000"/>
          <w:sz w:val="28"/>
          <w:szCs w:val="28"/>
        </w:rPr>
        <w:tab/>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健全完善部门内控制度，全面梳理业务流程，明确业务环节，分析风险隐患，完善风险评估机制，制定风险应对策略;有效运用不相容岗位相互分离、内部授权审批控制、归口管理、预算控制、财产保护控制、会计控制、单据控制、信息内部公开等内部控制基本方法，加强对单位层面和业务层面的内部控制，实现内部控制体系全面、有效实施。建立单位内控监督约束机制以及“三公”经费的合理使用，确保资金安全、合理、有效使用，最大限度发挥财政资金使用效益。</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hint="eastAsia" w:asciiTheme="majorEastAsia" w:hAnsiTheme="majorEastAsia" w:eastAsiaTheme="majorEastAsia"/>
          <w:color w:val="000000"/>
          <w:sz w:val="28"/>
          <w:szCs w:val="28"/>
        </w:rPr>
        <w:t>（三）综合管理情况</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一是加强会计核算工作。严格执行现行固定资产管理制度，对新购入的固定资产及时入账，编制固定资产卡片，确保账面上能真实、完整的反映单位的固定资产情况，并结合本单位的实际情况，完善固定资产管理制度。二是加强程序管理。对红原县团委以下青少年宫和关工委的财政支出做到公开透明。对纳入政府采购目录范围内的资产采购，必须报政府采购中心进行政府采购；未纳入政府采购目录范围内的资产采购，采用其他形式采购。未纳入预算的固定资产，不得随意采购，确定需急用，必须经相关部门批准。三是加强内部监督。定期或不定期的对固定资产进行抽查。检查固定资产的购置、领用、处置等程序是否合规，账本是否相符等，防止国有资产的流失。</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hint="eastAsia" w:asciiTheme="majorEastAsia" w:hAnsiTheme="majorEastAsia" w:eastAsiaTheme="majorEastAsia"/>
          <w:color w:val="000000"/>
          <w:sz w:val="28"/>
          <w:szCs w:val="28"/>
        </w:rPr>
        <w:t>（四）整体绩效</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（一）领导重视，部门牵头，齐抓共管，形成了有力的领导和工作机制。根据工作职责，落实项目管理责任及预算执行责任，明确项目管理主体，认真做好项目实施的准备工作，保障项目实施进度高效有序。</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（二）加强项目资金管理，从资金源头入手，落实责任，完善制度，合理使用，加强监管，要求开展好工作，又严格遵守财经纪律，做好厉行节约工作，确保将有限的资金发挥最大的效益。</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（三）加强预算资金管理制度建设。不断修订和完善相关财务管理制度，重视财务管理制度的执行与监督，使资金财务管理制度管理有章可循。</w:t>
      </w:r>
    </w:p>
    <w:p>
      <w:pPr>
        <w:snapToGrid w:val="0"/>
        <w:spacing w:before="156" w:beforeLines="50" w:after="156" w:afterLines="50" w:line="560" w:lineRule="exact"/>
        <w:ind w:firstLine="480" w:firstLineChars="200"/>
        <w:jc w:val="both"/>
      </w:pPr>
      <w:r>
        <w:rPr>
          <w:rFonts w:hint="eastAsia" w:ascii="仿宋_GB2312" w:hAnsi="仿宋_GB2312" w:eastAsia="仿宋_GB2312" w:cs="仿宋_GB2312"/>
          <w:bCs/>
          <w:kern w:val="2"/>
        </w:rPr>
        <w:t>（四）加强行政单位会计制度和预算法学习培训，规范预算收支管理，严格按项目和进度执行预算，增强预算的约束力和严肃性。</w:t>
      </w:r>
      <w:r>
        <w:rPr>
          <w:rFonts w:hint="eastAsia"/>
        </w:rPr>
        <w:t> </w:t>
      </w:r>
    </w:p>
    <w:p>
      <w:pPr>
        <w:pStyle w:val="4"/>
        <w:adjustRightInd w:val="0"/>
        <w:snapToGrid w:val="0"/>
        <w:spacing w:before="156" w:beforeLines="50" w:after="156" w:afterLines="50" w:line="560" w:lineRule="exact"/>
        <w:ind w:firstLine="562" w:firstLineChars="200"/>
        <w:jc w:val="both"/>
        <w:outlineLvl w:val="2"/>
        <w:rPr>
          <w:rFonts w:asciiTheme="majorEastAsia" w:hAnsiTheme="majorEastAsia" w:eastAsiaTheme="majorEastAsia"/>
          <w:b/>
          <w:color w:val="000000"/>
          <w:sz w:val="28"/>
          <w:szCs w:val="28"/>
        </w:rPr>
      </w:pPr>
      <w:r>
        <w:rPr>
          <w:rFonts w:asciiTheme="majorEastAsia" w:hAnsiTheme="majorEastAsia" w:eastAsiaTheme="majorEastAsia"/>
          <w:b/>
          <w:color w:val="000000"/>
          <w:sz w:val="28"/>
          <w:szCs w:val="28"/>
        </w:rPr>
        <w:t>四、结果应用情况</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2021年共青团红原县委全年基本支出245.8万元，严格按照财政预算编制规定和要求，结合单位年度工作计划采取人员经费按照县人社局工资股审通过的工资进行编制，公用经费按定额编制的方法按时完成人员经费、日常公用经费编制工作，切实做到数据完整和准确无误。对项目资金的预算，提出具体的项目、目标和实施计划，精准编制项目支出绩效申报表，提供准确的项目支撑依据，切实做到项目资金编制的合理化、人性化，并在规定的时限内完整、准确的报送到县级财政部门。预算资金保障了人员经费支出和单位正常工作运转需要，保证了单位全年工作任务的完成。</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资金严格按照规范程序申请、管理和使用，结合团委工作实际情况，维护职工权益，丰富职工生活充分发挥工会职责职能。</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2021年共青团红原县委财务管理未发现明显问题，财政资金收支预算符合相关规定，能够严格控制“三公”经费支出和一般性公共基础追出，内部控制制度健全完整，执行到位。</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hint="eastAsia" w:asciiTheme="majorEastAsia" w:hAnsiTheme="majorEastAsia" w:eastAsiaTheme="majorEastAsia"/>
          <w:color w:val="000000"/>
          <w:sz w:val="28"/>
          <w:szCs w:val="28"/>
        </w:rPr>
        <w:t>（二）自评质量</w:t>
      </w:r>
    </w:p>
    <w:p>
      <w:pPr>
        <w:snapToGrid w:val="0"/>
        <w:spacing w:before="156" w:beforeLines="50" w:after="156" w:afterLines="50" w:line="560" w:lineRule="exact"/>
        <w:ind w:firstLine="480" w:firstLineChars="200"/>
        <w:rPr>
          <w:rFonts w:ascii="仿宋_GB2312" w:hAnsi="仿宋_GB2312" w:eastAsia="仿宋_GB2312" w:cs="仿宋_GB2312"/>
          <w:bCs/>
          <w:kern w:val="2"/>
        </w:rPr>
      </w:pPr>
      <w:r>
        <w:rPr>
          <w:rFonts w:hint="eastAsia" w:ascii="仿宋_GB2312" w:hAnsi="仿宋_GB2312" w:eastAsia="仿宋_GB2312" w:cs="仿宋_GB2312"/>
          <w:bCs/>
          <w:kern w:val="2"/>
        </w:rPr>
        <w:t>综上所述我单位不管是在资金预算编制方面，还是预算执行、综合管理、整体绩效方面，均按照国家政策法规规定，结合本单位实际情况及相关规定严格执行，并合理安排项目资金。</w:t>
      </w:r>
    </w:p>
    <w:p>
      <w:pPr>
        <w:pStyle w:val="4"/>
        <w:adjustRightInd w:val="0"/>
        <w:snapToGrid w:val="0"/>
        <w:spacing w:before="156" w:beforeLines="50" w:after="156" w:afterLines="50" w:line="560" w:lineRule="exact"/>
        <w:ind w:firstLine="562" w:firstLineChars="200"/>
        <w:jc w:val="both"/>
        <w:outlineLvl w:val="2"/>
        <w:rPr>
          <w:rFonts w:asciiTheme="majorEastAsia" w:hAnsiTheme="majorEastAsia" w:eastAsiaTheme="majorEastAsia"/>
          <w:b/>
          <w:color w:val="000000"/>
          <w:sz w:val="28"/>
          <w:szCs w:val="28"/>
        </w:rPr>
      </w:pPr>
      <w:r>
        <w:rPr>
          <w:rFonts w:asciiTheme="majorEastAsia" w:hAnsiTheme="majorEastAsia" w:eastAsiaTheme="majorEastAsia"/>
          <w:b/>
          <w:color w:val="000000"/>
          <w:sz w:val="28"/>
          <w:szCs w:val="28"/>
        </w:rPr>
        <w:t>五、评价结论及建议</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asciiTheme="majorEastAsia" w:hAnsiTheme="majorEastAsia" w:eastAsiaTheme="majorEastAsia"/>
          <w:color w:val="000000"/>
          <w:sz w:val="28"/>
          <w:szCs w:val="28"/>
        </w:rPr>
        <w:t>（一）评价结论。</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本单位财务管理未发现明显问题，财政资金收支预算符合相关规定，能够严格控制“三公”经费支出和一般性公共基础追出，内部控制制度健全完整，执行到位。</w:t>
      </w:r>
    </w:p>
    <w:p>
      <w:pPr>
        <w:pStyle w:val="4"/>
        <w:adjustRightInd w:val="0"/>
        <w:snapToGrid w:val="0"/>
        <w:spacing w:before="156" w:beforeLines="50" w:after="156" w:afterLines="50" w:line="560" w:lineRule="exact"/>
        <w:ind w:firstLine="560" w:firstLineChars="200"/>
        <w:jc w:val="both"/>
        <w:outlineLvl w:val="2"/>
        <w:rPr>
          <w:rFonts w:asciiTheme="majorEastAsia" w:hAnsiTheme="majorEastAsia" w:eastAsiaTheme="majorEastAsia"/>
          <w:color w:val="000000"/>
          <w:sz w:val="28"/>
          <w:szCs w:val="28"/>
        </w:rPr>
      </w:pPr>
      <w:r>
        <w:rPr>
          <w:rFonts w:asciiTheme="majorEastAsia" w:hAnsiTheme="majorEastAsia" w:eastAsiaTheme="majorEastAsia"/>
          <w:color w:val="000000"/>
          <w:sz w:val="28"/>
          <w:szCs w:val="28"/>
        </w:rPr>
        <w:t>（二）存在问题。</w:t>
      </w:r>
    </w:p>
    <w:p>
      <w:pPr>
        <w:snapToGrid w:val="0"/>
        <w:spacing w:before="156" w:beforeLines="50" w:after="156" w:afterLines="50" w:line="560" w:lineRule="exact"/>
        <w:ind w:firstLine="480" w:firstLineChars="200"/>
        <w:jc w:val="both"/>
        <w:rPr>
          <w:rFonts w:ascii="仿宋_GB2312" w:hAnsi="仿宋_GB2312" w:eastAsia="仿宋_GB2312" w:cs="仿宋_GB2312"/>
          <w:bCs/>
          <w:kern w:val="2"/>
        </w:rPr>
      </w:pPr>
      <w:r>
        <w:rPr>
          <w:rFonts w:hint="eastAsia" w:ascii="仿宋_GB2312" w:hAnsi="仿宋_GB2312" w:eastAsia="仿宋_GB2312" w:cs="仿宋_GB2312"/>
          <w:bCs/>
          <w:kern w:val="2"/>
        </w:rPr>
        <w:t>本单位国有资产少，规范问题不够严谨。</w:t>
      </w:r>
    </w:p>
    <w:p>
      <w:pPr>
        <w:snapToGrid w:val="0"/>
        <w:spacing w:before="156" w:beforeLines="50" w:after="156" w:afterLines="50" w:line="560" w:lineRule="exact"/>
        <w:ind w:firstLine="560" w:firstLineChars="200"/>
        <w:jc w:val="both"/>
        <w:rPr>
          <w:rFonts w:ascii="仿宋_GB2312" w:hAnsi="仿宋_GB2312" w:eastAsia="仿宋_GB2312" w:cs="仿宋_GB2312"/>
          <w:bCs/>
          <w:kern w:val="2"/>
        </w:rPr>
      </w:pPr>
      <w:r>
        <w:rPr>
          <w:rFonts w:asciiTheme="majorEastAsia" w:hAnsiTheme="majorEastAsia" w:eastAsiaTheme="majorEastAsia"/>
          <w:color w:val="000000"/>
          <w:sz w:val="28"/>
          <w:szCs w:val="28"/>
        </w:rPr>
        <w:t>（三）改进建议。</w:t>
      </w:r>
    </w:p>
    <w:p>
      <w:pPr>
        <w:snapToGrid w:val="0"/>
        <w:spacing w:before="156" w:beforeLines="50" w:after="156" w:afterLines="50" w:line="560" w:lineRule="exact"/>
        <w:ind w:firstLine="480" w:firstLineChars="200"/>
        <w:jc w:val="both"/>
        <w:rPr>
          <w:kern w:val="2"/>
        </w:rPr>
      </w:pPr>
      <w:r>
        <w:rPr>
          <w:rFonts w:hint="eastAsia" w:ascii="仿宋_GB2312" w:hAnsi="仿宋_GB2312" w:eastAsia="仿宋_GB2312" w:cs="仿宋_GB2312"/>
          <w:bCs/>
          <w:kern w:val="2"/>
        </w:rPr>
        <w:t>细化预算编制工作，认真做好预算的编制。进一步加强内部机构的预算管理意识，严格按照预算编制的相关制度和要求，本着“勤俭节约、保障运转”的原则进行预算的编制；编制范围尽可能的全面、完整、不漏项，进一步提高预算编制的科学性、合理性、严谨性和可控性。做到账本与事实相符等。</w:t>
      </w:r>
    </w:p>
    <w:p>
      <w:pPr>
        <w:pStyle w:val="11"/>
        <w:shd w:val="clear" w:color="auto" w:fill="FFFFFF"/>
        <w:spacing w:before="156" w:beforeLines="50" w:beforeAutospacing="0" w:after="156" w:afterLines="50" w:afterAutospacing="0" w:line="560" w:lineRule="exact"/>
        <w:ind w:firstLine="480" w:firstLineChars="200"/>
        <w:jc w:val="both"/>
      </w:pPr>
    </w:p>
    <w:p>
      <w:pPr>
        <w:pStyle w:val="2"/>
        <w:spacing w:before="156" w:beforeLines="50" w:beforeAutospacing="0" w:after="156" w:afterLines="50" w:afterAutospacing="0" w:line="560" w:lineRule="exact"/>
        <w:jc w:val="both"/>
        <w:rPr>
          <w:rFonts w:asciiTheme="majorEastAsia" w:hAnsiTheme="majorEastAsia" w:eastAsiaTheme="majorEastAsia"/>
          <w:b w:val="0"/>
          <w:bCs w:val="0"/>
          <w:sz w:val="44"/>
          <w:szCs w:val="44"/>
        </w:rPr>
      </w:pPr>
    </w:p>
    <w:p>
      <w:pPr>
        <w:pStyle w:val="2"/>
        <w:spacing w:before="156" w:beforeLines="50" w:beforeAutospacing="0" w:after="156" w:afterLines="50" w:afterAutospacing="0" w:line="560" w:lineRule="exact"/>
        <w:jc w:val="center"/>
        <w:rPr>
          <w:rFonts w:asciiTheme="majorEastAsia" w:hAnsiTheme="majorEastAsia" w:eastAsiaTheme="majorEastAsia"/>
          <w:sz w:val="44"/>
          <w:szCs w:val="44"/>
        </w:rPr>
      </w:pPr>
      <w:bookmarkStart w:id="34" w:name="_Toc121953704"/>
      <w:r>
        <w:rPr>
          <w:rFonts w:asciiTheme="majorEastAsia" w:hAnsiTheme="majorEastAsia" w:eastAsiaTheme="majorEastAsia"/>
          <w:sz w:val="44"/>
          <w:szCs w:val="44"/>
        </w:rPr>
        <w:t>第五部分 附表</w:t>
      </w:r>
      <w:bookmarkEnd w:id="34"/>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35" w:name="_Toc121953705"/>
      <w:r>
        <w:rPr>
          <w:rFonts w:asciiTheme="majorEastAsia" w:hAnsiTheme="majorEastAsia" w:eastAsiaTheme="majorEastAsia"/>
          <w:sz w:val="32"/>
          <w:szCs w:val="32"/>
        </w:rPr>
        <w:t>一、收入支出决算总表</w:t>
      </w:r>
      <w:bookmarkEnd w:id="35"/>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36" w:name="_Toc121953706"/>
      <w:r>
        <w:rPr>
          <w:rFonts w:asciiTheme="majorEastAsia" w:hAnsiTheme="majorEastAsia" w:eastAsiaTheme="majorEastAsia"/>
          <w:sz w:val="32"/>
          <w:szCs w:val="32"/>
        </w:rPr>
        <w:t>二、收入决算表</w:t>
      </w:r>
      <w:bookmarkEnd w:id="36"/>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37" w:name="_Toc121953707"/>
      <w:r>
        <w:rPr>
          <w:rFonts w:asciiTheme="majorEastAsia" w:hAnsiTheme="majorEastAsia" w:eastAsiaTheme="majorEastAsia"/>
          <w:sz w:val="32"/>
          <w:szCs w:val="32"/>
        </w:rPr>
        <w:t>三、支出决算表</w:t>
      </w:r>
      <w:bookmarkEnd w:id="37"/>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38" w:name="_Toc121953708"/>
      <w:r>
        <w:rPr>
          <w:rFonts w:asciiTheme="majorEastAsia" w:hAnsiTheme="majorEastAsia" w:eastAsiaTheme="majorEastAsia"/>
          <w:sz w:val="32"/>
          <w:szCs w:val="32"/>
        </w:rPr>
        <w:t>四、财政拨款收入支出决算总表</w:t>
      </w:r>
      <w:bookmarkEnd w:id="38"/>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39" w:name="_Toc121953709"/>
      <w:r>
        <w:rPr>
          <w:rFonts w:asciiTheme="majorEastAsia" w:hAnsiTheme="majorEastAsia" w:eastAsiaTheme="majorEastAsia"/>
          <w:sz w:val="32"/>
          <w:szCs w:val="32"/>
        </w:rPr>
        <w:t>五、财政拨款支出决算明细表</w:t>
      </w:r>
      <w:bookmarkEnd w:id="39"/>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40" w:name="_Toc121953710"/>
      <w:r>
        <w:rPr>
          <w:rFonts w:asciiTheme="majorEastAsia" w:hAnsiTheme="majorEastAsia" w:eastAsiaTheme="majorEastAsia"/>
          <w:sz w:val="32"/>
          <w:szCs w:val="32"/>
        </w:rPr>
        <w:t>六、一般公共预算财政拨款支出决算表</w:t>
      </w:r>
      <w:bookmarkEnd w:id="40"/>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41" w:name="_Toc121953711"/>
      <w:r>
        <w:rPr>
          <w:rFonts w:asciiTheme="majorEastAsia" w:hAnsiTheme="majorEastAsia" w:eastAsiaTheme="majorEastAsia"/>
          <w:sz w:val="32"/>
          <w:szCs w:val="32"/>
        </w:rPr>
        <w:t>七、一般公共预算财政拨款支出决算明细表</w:t>
      </w:r>
      <w:bookmarkEnd w:id="41"/>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42" w:name="_Toc121953712"/>
      <w:r>
        <w:rPr>
          <w:rFonts w:asciiTheme="majorEastAsia" w:hAnsiTheme="majorEastAsia" w:eastAsiaTheme="majorEastAsia"/>
          <w:sz w:val="32"/>
          <w:szCs w:val="32"/>
        </w:rPr>
        <w:t>八、一般公共预算财政拨款基本支出决算表</w:t>
      </w:r>
      <w:bookmarkEnd w:id="42"/>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43" w:name="_Toc121953713"/>
      <w:r>
        <w:rPr>
          <w:rFonts w:asciiTheme="majorEastAsia" w:hAnsiTheme="majorEastAsia" w:eastAsiaTheme="majorEastAsia"/>
          <w:sz w:val="32"/>
          <w:szCs w:val="32"/>
        </w:rPr>
        <w:t>九、一般公共预算财政拨款项目支出决算表</w:t>
      </w:r>
      <w:bookmarkEnd w:id="43"/>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44" w:name="_Toc121953714"/>
      <w:r>
        <w:rPr>
          <w:rFonts w:asciiTheme="majorEastAsia" w:hAnsiTheme="majorEastAsia" w:eastAsiaTheme="majorEastAsia"/>
          <w:sz w:val="32"/>
          <w:szCs w:val="32"/>
        </w:rPr>
        <w:t>十、一般公共预算财政拨款“三公”经费支出决算表</w:t>
      </w:r>
      <w:bookmarkEnd w:id="44"/>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45" w:name="_Toc121953715"/>
      <w:r>
        <w:rPr>
          <w:rFonts w:asciiTheme="majorEastAsia" w:hAnsiTheme="majorEastAsia" w:eastAsiaTheme="majorEastAsia"/>
          <w:sz w:val="32"/>
          <w:szCs w:val="32"/>
        </w:rPr>
        <w:t>十一、政府性基金预算财政拨款收入支出决算表</w:t>
      </w:r>
      <w:bookmarkEnd w:id="45"/>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46" w:name="_Toc121953716"/>
      <w:r>
        <w:rPr>
          <w:rFonts w:asciiTheme="majorEastAsia" w:hAnsiTheme="majorEastAsia" w:eastAsiaTheme="majorEastAsia"/>
          <w:sz w:val="32"/>
          <w:szCs w:val="32"/>
        </w:rPr>
        <w:t>十二、政府性基金预算财政拨款“三公”经费支出决算表</w:t>
      </w:r>
      <w:bookmarkEnd w:id="46"/>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47" w:name="_Toc121953717"/>
      <w:r>
        <w:rPr>
          <w:rFonts w:asciiTheme="majorEastAsia" w:hAnsiTheme="majorEastAsia" w:eastAsiaTheme="majorEastAsia"/>
          <w:sz w:val="32"/>
          <w:szCs w:val="32"/>
        </w:rPr>
        <w:t>十三、国有资本经营预算财政拨款收入支出决算表</w:t>
      </w:r>
      <w:bookmarkEnd w:id="47"/>
    </w:p>
    <w:p>
      <w:pPr>
        <w:pStyle w:val="3"/>
        <w:spacing w:before="156" w:beforeLines="50" w:beforeAutospacing="0" w:after="156" w:afterLines="50" w:afterAutospacing="0" w:line="560" w:lineRule="exact"/>
        <w:ind w:firstLine="643" w:firstLineChars="200"/>
        <w:jc w:val="both"/>
        <w:rPr>
          <w:rFonts w:asciiTheme="majorEastAsia" w:hAnsiTheme="majorEastAsia" w:eastAsiaTheme="majorEastAsia"/>
          <w:sz w:val="32"/>
          <w:szCs w:val="32"/>
        </w:rPr>
      </w:pPr>
      <w:bookmarkStart w:id="48" w:name="_Toc121953718"/>
      <w:r>
        <w:rPr>
          <w:rFonts w:asciiTheme="majorEastAsia" w:hAnsiTheme="majorEastAsia" w:eastAsiaTheme="majorEastAsia"/>
          <w:sz w:val="32"/>
          <w:szCs w:val="32"/>
        </w:rPr>
        <w:t>十四、国有资本经营预算财政拨款支出决算表</w:t>
      </w:r>
      <w:bookmarkEnd w:id="48"/>
    </w:p>
    <w:p>
      <w:pPr>
        <w:pStyle w:val="3"/>
        <w:spacing w:before="156" w:beforeLines="50" w:beforeAutospacing="0" w:after="156" w:afterLines="50" w:afterAutospacing="0" w:line="560" w:lineRule="exact"/>
        <w:ind w:firstLine="720" w:firstLineChars="200"/>
        <w:jc w:val="both"/>
        <w:rPr>
          <w:b w:val="0"/>
          <w:bCs w:val="0"/>
        </w:rPr>
      </w:pPr>
    </w:p>
    <w:sectPr>
      <w:footerReference r:id="rId4" w:type="default"/>
      <w:pgSz w:w="11907"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2C57"/>
    <w:multiLevelType w:val="multilevel"/>
    <w:tmpl w:val="1BD72C57"/>
    <w:lvl w:ilvl="0" w:tentative="0">
      <w:start w:val="1"/>
      <w:numFmt w:val="japaneseCounting"/>
      <w:lvlText w:val="（%1）"/>
      <w:lvlJc w:val="left"/>
      <w:pPr>
        <w:ind w:left="1388" w:hanging="828"/>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noPunctuationKerning w:val="1"/>
  <w:characterSpacingControl w:val="doNotCompress"/>
  <w:hdrShapeDefaults>
    <o:shapelayout v:ext="edit">
      <o:idmap v:ext="edit" data="2"/>
    </o:shapelayout>
  </w:hdrShapeDefaults>
  <w:compat>
    <w:useFELayout/>
    <w:compatSetting w:name="compatibilityMode" w:uri="http://schemas.microsoft.com/office/word" w:val="12"/>
  </w:compat>
  <w:rsids>
    <w:rsidRoot w:val="00B35A35"/>
    <w:rsid w:val="00111A1B"/>
    <w:rsid w:val="0013301F"/>
    <w:rsid w:val="00177D72"/>
    <w:rsid w:val="001A3AE3"/>
    <w:rsid w:val="001C4FAE"/>
    <w:rsid w:val="0020689D"/>
    <w:rsid w:val="002200EE"/>
    <w:rsid w:val="00241F3F"/>
    <w:rsid w:val="002A4F2D"/>
    <w:rsid w:val="003565DA"/>
    <w:rsid w:val="00394F0D"/>
    <w:rsid w:val="004012E9"/>
    <w:rsid w:val="004D4C07"/>
    <w:rsid w:val="00594166"/>
    <w:rsid w:val="006B15F8"/>
    <w:rsid w:val="006F18D8"/>
    <w:rsid w:val="00700085"/>
    <w:rsid w:val="00732B8E"/>
    <w:rsid w:val="007C7A8E"/>
    <w:rsid w:val="007D1A12"/>
    <w:rsid w:val="007E2BD5"/>
    <w:rsid w:val="00891FD6"/>
    <w:rsid w:val="008B0C70"/>
    <w:rsid w:val="00942E75"/>
    <w:rsid w:val="0097711D"/>
    <w:rsid w:val="009D1B02"/>
    <w:rsid w:val="00A24086"/>
    <w:rsid w:val="00B26060"/>
    <w:rsid w:val="00B35A35"/>
    <w:rsid w:val="00C711F1"/>
    <w:rsid w:val="00C72933"/>
    <w:rsid w:val="00E15D59"/>
    <w:rsid w:val="00E57A92"/>
    <w:rsid w:val="00E952A8"/>
    <w:rsid w:val="00EA2EEC"/>
    <w:rsid w:val="00EC75CC"/>
    <w:rsid w:val="00F14982"/>
    <w:rsid w:val="00F92C02"/>
    <w:rsid w:val="00FA40DE"/>
    <w:rsid w:val="08B16A55"/>
    <w:rsid w:val="2A283566"/>
    <w:rsid w:val="440D4579"/>
    <w:rsid w:val="58186B35"/>
    <w:rsid w:val="61151485"/>
    <w:rsid w:val="64727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宋体" w:hAnsi="宋体"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16"/>
    <w:qFormat/>
    <w:uiPriority w:val="9"/>
    <w:pPr>
      <w:spacing w:before="100" w:beforeAutospacing="1" w:after="100" w:afterAutospacing="1"/>
      <w:outlineLvl w:val="0"/>
    </w:pPr>
    <w:rPr>
      <w:b/>
      <w:bCs/>
      <w:kern w:val="36"/>
      <w:sz w:val="48"/>
      <w:szCs w:val="48"/>
    </w:rPr>
  </w:style>
  <w:style w:type="paragraph" w:styleId="3">
    <w:name w:val="heading 2"/>
    <w:basedOn w:val="1"/>
    <w:next w:val="1"/>
    <w:link w:val="21"/>
    <w:qFormat/>
    <w:uiPriority w:val="9"/>
    <w:pPr>
      <w:spacing w:before="100" w:beforeAutospacing="1" w:after="100" w:afterAutospacing="1"/>
      <w:outlineLvl w:val="1"/>
    </w:pPr>
    <w:rPr>
      <w:b/>
      <w:bCs/>
      <w:sz w:val="36"/>
      <w:szCs w:val="36"/>
    </w:rPr>
  </w:style>
  <w:style w:type="character" w:default="1" w:styleId="13">
    <w:name w:val="Default Paragraph Font"/>
    <w:unhideWhenUsed/>
    <w:uiPriority w:val="1"/>
  </w:style>
  <w:style w:type="table" w:default="1" w:styleId="12">
    <w:name w:val="Normal Table"/>
    <w:semiHidden/>
    <w:unhideWhenUsed/>
    <w:uiPriority w:val="99"/>
    <w:tblPr>
      <w:tblLayout w:type="fixed"/>
      <w:tblCellMar>
        <w:top w:w="0" w:type="dxa"/>
        <w:left w:w="108" w:type="dxa"/>
        <w:bottom w:w="0" w:type="dxa"/>
        <w:right w:w="108" w:type="dxa"/>
      </w:tblCellMar>
    </w:tblPr>
  </w:style>
  <w:style w:type="paragraph" w:styleId="4">
    <w:name w:val="Body Text"/>
    <w:basedOn w:val="1"/>
    <w:qFormat/>
    <w:uiPriority w:val="99"/>
    <w:pPr>
      <w:spacing w:beforeLines="30"/>
    </w:pPr>
    <w:rPr>
      <w:rFonts w:ascii="仿宋_GB2312" w:eastAsia="仿宋_GB2312"/>
      <w:sz w:val="30"/>
    </w:rPr>
  </w:style>
  <w:style w:type="paragraph" w:styleId="5">
    <w:name w:val="toc 3"/>
    <w:basedOn w:val="1"/>
    <w:next w:val="1"/>
    <w:semiHidden/>
    <w:unhideWhenUsed/>
    <w:qFormat/>
    <w:uiPriority w:val="39"/>
    <w:pPr>
      <w:spacing w:after="100" w:line="276" w:lineRule="auto"/>
      <w:ind w:left="440"/>
    </w:pPr>
    <w:rPr>
      <w:rFonts w:asciiTheme="minorHAnsi" w:hAnsiTheme="minorHAnsi" w:eastAsiaTheme="minorEastAsia" w:cstheme="minorBidi"/>
      <w:sz w:val="22"/>
      <w:szCs w:val="22"/>
    </w:rPr>
  </w:style>
  <w:style w:type="paragraph" w:styleId="6">
    <w:name w:val="Balloon Text"/>
    <w:basedOn w:val="1"/>
    <w:link w:val="23"/>
    <w:semiHidden/>
    <w:unhideWhenUsed/>
    <w:uiPriority w:val="99"/>
    <w:rPr>
      <w:sz w:val="18"/>
      <w:szCs w:val="18"/>
    </w:rPr>
  </w:style>
  <w:style w:type="paragraph" w:styleId="7">
    <w:name w:val="footer"/>
    <w:basedOn w:val="1"/>
    <w:link w:val="19"/>
    <w:unhideWhenUsed/>
    <w:uiPriority w:val="99"/>
    <w:pPr>
      <w:tabs>
        <w:tab w:val="center" w:pos="4153"/>
        <w:tab w:val="right" w:pos="8306"/>
      </w:tabs>
      <w:snapToGrid w:val="0"/>
    </w:pPr>
    <w:rPr>
      <w:sz w:val="18"/>
      <w:szCs w:val="18"/>
    </w:rPr>
  </w:style>
  <w:style w:type="paragraph" w:styleId="8">
    <w:name w:val="header"/>
    <w:basedOn w:val="1"/>
    <w:link w:val="18"/>
    <w:unhideWhenUsed/>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right" w:leader="dot" w:pos="8297"/>
      </w:tabs>
      <w:spacing w:after="100" w:line="276" w:lineRule="auto"/>
      <w:jc w:val="center"/>
    </w:pPr>
    <w:rPr>
      <w:rFonts w:asciiTheme="majorEastAsia" w:hAnsiTheme="majorEastAsia" w:eastAsiaTheme="majorEastAsia" w:cstheme="minorBidi"/>
      <w:b/>
      <w:sz w:val="32"/>
      <w:szCs w:val="44"/>
    </w:rPr>
  </w:style>
  <w:style w:type="paragraph" w:styleId="10">
    <w:name w:val="toc 2"/>
    <w:basedOn w:val="1"/>
    <w:next w:val="1"/>
    <w:unhideWhenUsed/>
    <w:qFormat/>
    <w:uiPriority w:val="39"/>
    <w:pPr>
      <w:spacing w:after="100" w:line="276" w:lineRule="auto"/>
      <w:ind w:left="220"/>
    </w:pPr>
    <w:rPr>
      <w:rFonts w:asciiTheme="minorHAnsi" w:hAnsiTheme="minorHAnsi" w:eastAsiaTheme="minorEastAsia" w:cstheme="minorBidi"/>
      <w:sz w:val="22"/>
      <w:szCs w:val="22"/>
    </w:rPr>
  </w:style>
  <w:style w:type="paragraph" w:styleId="11">
    <w:name w:val="Normal (Web)"/>
    <w:basedOn w:val="1"/>
    <w:unhideWhenUsed/>
    <w:qFormat/>
    <w:uiPriority w:val="99"/>
    <w:pPr>
      <w:spacing w:before="100" w:beforeAutospacing="1" w:after="100" w:afterAutospacing="1"/>
    </w:pPr>
  </w:style>
  <w:style w:type="character" w:styleId="14">
    <w:name w:val="Strong"/>
    <w:basedOn w:val="13"/>
    <w:qFormat/>
    <w:uiPriority w:val="22"/>
    <w:rPr>
      <w:b/>
      <w:bCs/>
    </w:rPr>
  </w:style>
  <w:style w:type="character" w:styleId="15">
    <w:name w:val="Hyperlink"/>
    <w:basedOn w:val="13"/>
    <w:unhideWhenUsed/>
    <w:uiPriority w:val="99"/>
    <w:rPr>
      <w:color w:val="0000FF" w:themeColor="hyperlink"/>
      <w:u w:val="single"/>
    </w:rPr>
  </w:style>
  <w:style w:type="character" w:customStyle="1" w:styleId="16">
    <w:name w:val="标题 1 Char"/>
    <w:basedOn w:val="13"/>
    <w:link w:val="2"/>
    <w:qFormat/>
    <w:uiPriority w:val="9"/>
    <w:rPr>
      <w:rFonts w:ascii="宋体" w:hAnsi="宋体" w:eastAsia="宋体" w:cs="宋体"/>
      <w:b/>
      <w:bCs/>
      <w:kern w:val="44"/>
      <w:sz w:val="44"/>
      <w:szCs w:val="44"/>
    </w:rPr>
  </w:style>
  <w:style w:type="character" w:customStyle="1" w:styleId="17">
    <w:name w:val="标题 2 Char"/>
    <w:basedOn w:val="13"/>
    <w:semiHidden/>
    <w:uiPriority w:val="9"/>
    <w:rPr>
      <w:rFonts w:asciiTheme="majorHAnsi" w:hAnsiTheme="majorHAnsi" w:eastAsiaTheme="majorEastAsia" w:cstheme="majorBidi"/>
      <w:b/>
      <w:bCs/>
      <w:sz w:val="32"/>
      <w:szCs w:val="32"/>
    </w:rPr>
  </w:style>
  <w:style w:type="character" w:customStyle="1" w:styleId="18">
    <w:name w:val="页眉 Char"/>
    <w:basedOn w:val="13"/>
    <w:link w:val="8"/>
    <w:uiPriority w:val="99"/>
    <w:rPr>
      <w:rFonts w:ascii="宋体" w:hAnsi="宋体" w:eastAsia="宋体" w:cs="宋体"/>
      <w:sz w:val="18"/>
      <w:szCs w:val="18"/>
    </w:rPr>
  </w:style>
  <w:style w:type="character" w:customStyle="1" w:styleId="19">
    <w:name w:val="页脚 Char"/>
    <w:basedOn w:val="13"/>
    <w:link w:val="7"/>
    <w:qFormat/>
    <w:uiPriority w:val="99"/>
    <w:rPr>
      <w:rFonts w:ascii="宋体" w:hAnsi="宋体" w:eastAsia="宋体" w:cs="宋体"/>
      <w:sz w:val="18"/>
      <w:szCs w:val="18"/>
    </w:rPr>
  </w:style>
  <w:style w:type="paragraph" w:customStyle="1" w:styleId="20">
    <w:name w:val="列出段落1"/>
    <w:basedOn w:val="1"/>
    <w:qFormat/>
    <w:uiPriority w:val="34"/>
    <w:pPr>
      <w:ind w:firstLine="420" w:firstLineChars="200"/>
    </w:pPr>
  </w:style>
  <w:style w:type="character" w:customStyle="1" w:styleId="21">
    <w:name w:val="标题 2 Char1"/>
    <w:basedOn w:val="13"/>
    <w:link w:val="3"/>
    <w:qFormat/>
    <w:uiPriority w:val="9"/>
    <w:rPr>
      <w:rFonts w:asciiTheme="majorHAnsi" w:hAnsiTheme="majorHAnsi" w:eastAsiaTheme="majorEastAsia" w:cstheme="majorBidi"/>
      <w:b/>
      <w:bCs/>
      <w:sz w:val="32"/>
      <w:szCs w:val="32"/>
    </w:rPr>
  </w:style>
  <w:style w:type="paragraph" w:customStyle="1" w:styleId="22">
    <w:name w:val="TOC Heading"/>
    <w:basedOn w:val="2"/>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66091" w:themeColor="accent1" w:themeShade="BF"/>
      <w:kern w:val="0"/>
      <w:sz w:val="28"/>
      <w:szCs w:val="28"/>
    </w:rPr>
  </w:style>
  <w:style w:type="character" w:customStyle="1" w:styleId="23">
    <w:name w:val="批注框文本 Char"/>
    <w:basedOn w:val="13"/>
    <w:link w:val="6"/>
    <w:semiHidden/>
    <w:uiPriority w:val="99"/>
    <w:rPr>
      <w:rFonts w:ascii="宋体" w:hAnsi="宋体" w:cs="宋体"/>
      <w:sz w:val="18"/>
      <w:szCs w:val="18"/>
    </w:rPr>
  </w:style>
  <w:style w:type="paragraph" w:styleId="24">
    <w:name w:val="List Paragraph"/>
    <w:basedOn w:val="1"/>
    <w:unhideWhenUsed/>
    <w:uiPriority w:val="99"/>
    <w:pPr>
      <w:ind w:firstLine="420" w:firstLineChars="200"/>
    </w:p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普通(网站) Char"/>
    <w:basedOn w:val="1"/>
    <w:qFormat/>
    <w:uiPriority w:val="0"/>
    <w:pPr>
      <w:spacing w:before="100" w:beforeAutospacing="1" w:after="100" w:afterAutospacing="1"/>
    </w:pPr>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2000" b="1" i="0" u="none" strike="noStrike" kern="1200" spc="0" baseline="0">
                <a:solidFill>
                  <a:schemeClr val="tx1">
                    <a:lumMod val="65000"/>
                    <a:lumOff val="35000"/>
                  </a:schemeClr>
                </a:solidFill>
                <a:latin typeface="+mn-lt"/>
                <a:ea typeface="+mn-ea"/>
                <a:cs typeface="+mn-cs"/>
              </a:defRPr>
            </a:pPr>
            <a:r>
              <a:rPr lang="zh-CN" altLang="en-US" sz="2000" b="1"/>
              <a:t>收支决算总计变动情况图</a:t>
            </a:r>
            <a:endParaRPr lang="zh-CN" altLang="en-US" sz="2000" b="1"/>
          </a:p>
        </c:rich>
      </c:tx>
      <c:layout>
        <c:manualLayout>
          <c:xMode val="edge"/>
          <c:yMode val="edge"/>
          <c:x val="0.190375"/>
          <c:y val="0.00488997555012225"/>
        </c:manualLayout>
      </c:layout>
      <c:overlay val="0"/>
      <c:spPr>
        <a:noFill/>
        <a:ln>
          <a:noFill/>
        </a:ln>
        <a:effectLst/>
      </c:spPr>
    </c:title>
    <c:autoTitleDeleted val="0"/>
    <c:plotArea>
      <c:layout>
        <c:manualLayout>
          <c:layoutTarget val="inner"/>
          <c:xMode val="edge"/>
          <c:yMode val="edge"/>
          <c:x val="0.060075"/>
          <c:y val="0.105611654441728"/>
          <c:w val="0.91655"/>
          <c:h val="0.716566666666667"/>
        </c:manualLayout>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Sheet1!$A$2:$A$5</c:f>
              <c:strCache>
                <c:ptCount val="4"/>
                <c:pt idx="0">
                  <c:v>2021年收入</c:v>
                </c:pt>
                <c:pt idx="1">
                  <c:v>2020年收入</c:v>
                </c:pt>
                <c:pt idx="2">
                  <c:v>2021年支出</c:v>
                </c:pt>
                <c:pt idx="3">
                  <c:v>2020年支出</c:v>
                </c:pt>
              </c:strCache>
            </c:strRef>
          </c:cat>
          <c:val>
            <c:numRef>
              <c:f>Sheet1!$B$2:$B$5</c:f>
              <c:numCache>
                <c:formatCode>General</c:formatCode>
                <c:ptCount val="4"/>
                <c:pt idx="0">
                  <c:v>245.8</c:v>
                </c:pt>
                <c:pt idx="1">
                  <c:v>183.26</c:v>
                </c:pt>
                <c:pt idx="2">
                  <c:v>245.8</c:v>
                </c:pt>
                <c:pt idx="3">
                  <c:v>183.26</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2021年收入</c:v>
                </c:pt>
                <c:pt idx="1">
                  <c:v>2020年收入</c:v>
                </c:pt>
                <c:pt idx="2">
                  <c:v>2021年支出</c:v>
                </c:pt>
                <c:pt idx="3">
                  <c:v>2020年支出</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2021年收入</c:v>
                </c:pt>
                <c:pt idx="1">
                  <c:v>2020年收入</c:v>
                </c:pt>
                <c:pt idx="2">
                  <c:v>2021年支出</c:v>
                </c:pt>
                <c:pt idx="3">
                  <c:v>2020年支出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300398848"/>
        <c:axId val="300408832"/>
      </c:barChart>
      <c:catAx>
        <c:axId val="3003988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0408832"/>
        <c:crosses val="autoZero"/>
        <c:auto val="1"/>
        <c:lblAlgn val="ctr"/>
        <c:lblOffset val="100"/>
        <c:noMultiLvlLbl val="0"/>
      </c:catAx>
      <c:valAx>
        <c:axId val="30040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0398848"/>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收入情况分布图</a:t>
            </a:r>
            <a:endParaRPr lang="zh-CN"/>
          </a:p>
        </c:rich>
      </c:tx>
      <c:layout/>
      <c:overlay val="0"/>
    </c:title>
    <c:autoTitleDeleted val="0"/>
    <c:plotArea>
      <c:layout/>
      <c:pieChart>
        <c:varyColors val="1"/>
        <c:ser>
          <c:idx val="0"/>
          <c:order val="0"/>
          <c:tx>
            <c:strRef>
              <c:f>Sheet1!$B$1</c:f>
              <c:strCache>
                <c:ptCount val="1"/>
                <c:pt idx="0">
                  <c:v>占比</c:v>
                </c:pt>
              </c:strCache>
            </c:strRef>
          </c:tx>
          <c:explosion val="0"/>
          <c:dPt>
            <c:idx val="0"/>
            <c:bubble3D val="0"/>
          </c:dPt>
          <c:dPt>
            <c:idx val="1"/>
            <c:bubble3D val="0"/>
          </c:dPt>
          <c:dPt>
            <c:idx val="2"/>
            <c:bubble3D val="0"/>
          </c:dPt>
          <c:dLbls>
            <c:delete val="1"/>
          </c:dLbls>
          <c:cat>
            <c:strRef>
              <c:f>Sheet1!$A$2:$A$4</c:f>
              <c:strCache>
                <c:ptCount val="1"/>
                <c:pt idx="0">
                  <c:v>一般公共财政拨款收入</c:v>
                </c:pt>
              </c:strCache>
            </c:strRef>
          </c:cat>
          <c:val>
            <c:numRef>
              <c:f>Sheet1!$B$2:$B$4</c:f>
              <c:numCache>
                <c:formatCode>General</c:formatCode>
                <c:ptCount val="3"/>
                <c:pt idx="0">
                  <c:v>100</c:v>
                </c:pt>
              </c:numCache>
            </c:numRef>
          </c:val>
        </c:ser>
        <c:dLbls>
          <c:showLegendKey val="0"/>
          <c:showVal val="0"/>
          <c:showCatName val="0"/>
          <c:showSerName val="0"/>
          <c:showPercent val="0"/>
          <c:showBubbleSize val="0"/>
          <c:showLeaderLines val="1"/>
        </c:dLbls>
        <c:firstSliceAng val="0"/>
      </c:pieChart>
    </c:plotArea>
    <c:legend>
      <c:legendPos val="b"/>
      <c:legendEntry>
        <c:idx val="1"/>
        <c:delete val="1"/>
      </c:legendEntry>
      <c:legendEntry>
        <c:idx val="2"/>
        <c:delete val="1"/>
      </c:legendEntry>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支出情况分布图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占比</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一般公共财政拨款收入</c:v>
                </c:pt>
                <c:pt idx="1">
                  <c:v>项目支出</c:v>
                </c:pt>
              </c:strCache>
            </c:strRef>
          </c:cat>
          <c:val>
            <c:numRef>
              <c:f>Sheet1!$B$2:$B$4</c:f>
              <c:numCache>
                <c:formatCode>General</c:formatCode>
                <c:ptCount val="3"/>
                <c:pt idx="0">
                  <c:v>63.09</c:v>
                </c:pt>
                <c:pt idx="1">
                  <c:v>39.91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2000" b="1" i="0" u="none" strike="noStrike" kern="1200" spc="0" baseline="0">
                <a:solidFill>
                  <a:schemeClr val="tx1">
                    <a:lumMod val="65000"/>
                    <a:lumOff val="35000"/>
                  </a:schemeClr>
                </a:solidFill>
                <a:latin typeface="+mn-lt"/>
                <a:ea typeface="+mn-ea"/>
                <a:cs typeface="+mn-cs"/>
              </a:defRPr>
            </a:pPr>
            <a:r>
              <a:rPr lang="zh-CN" altLang="en-US" sz="2000" b="1"/>
              <a:t>财政拨款收支决算总计变动情况图</a:t>
            </a:r>
            <a:endParaRPr lang="zh-CN" altLang="en-US" sz="2000" b="1"/>
          </a:p>
        </c:rich>
      </c:tx>
      <c:layout>
        <c:manualLayout>
          <c:xMode val="edge"/>
          <c:yMode val="edge"/>
          <c:x val="0.13962906003937"/>
          <c:y val="0.00173962125702029"/>
        </c:manualLayout>
      </c:layout>
      <c:overlay val="0"/>
      <c:spPr>
        <a:noFill/>
        <a:ln>
          <a:noFill/>
        </a:ln>
        <a:effectLst/>
      </c:spPr>
    </c:title>
    <c:autoTitleDeleted val="0"/>
    <c:plotArea>
      <c:layout>
        <c:manualLayout>
          <c:layoutTarget val="inner"/>
          <c:xMode val="edge"/>
          <c:yMode val="edge"/>
          <c:x val="0.0713580093826854"/>
          <c:y val="0.205953489684757"/>
          <c:w val="0.890508325131234"/>
          <c:h val="0.641297942595885"/>
        </c:manualLayout>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Sheet1!$A$2:$A$5</c:f>
              <c:strCache>
                <c:ptCount val="4"/>
                <c:pt idx="0">
                  <c:v>2021年收入</c:v>
                </c:pt>
                <c:pt idx="1">
                  <c:v>2020年收入</c:v>
                </c:pt>
                <c:pt idx="2">
                  <c:v>2021年支出</c:v>
                </c:pt>
                <c:pt idx="3">
                  <c:v>2020年支出</c:v>
                </c:pt>
              </c:strCache>
            </c:strRef>
          </c:cat>
          <c:val>
            <c:numRef>
              <c:f>Sheet1!$B$2:$B$5</c:f>
              <c:numCache>
                <c:formatCode>General</c:formatCode>
                <c:ptCount val="4"/>
                <c:pt idx="0">
                  <c:v>245.8</c:v>
                </c:pt>
                <c:pt idx="1">
                  <c:v>167.84</c:v>
                </c:pt>
                <c:pt idx="2">
                  <c:v>245.8</c:v>
                </c:pt>
                <c:pt idx="3">
                  <c:v>174.27</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Sheet1!$A$2:$A$5</c:f>
              <c:strCache>
                <c:ptCount val="4"/>
                <c:pt idx="0">
                  <c:v>2021年收入</c:v>
                </c:pt>
                <c:pt idx="1">
                  <c:v>2020年收入</c:v>
                </c:pt>
                <c:pt idx="2">
                  <c:v>2021年支出</c:v>
                </c:pt>
                <c:pt idx="3">
                  <c:v>2020年支出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Sheet1!$A$2:$A$5</c:f>
              <c:strCache>
                <c:ptCount val="4"/>
                <c:pt idx="0">
                  <c:v>2021年收入</c:v>
                </c:pt>
                <c:pt idx="1">
                  <c:v>2020年收入</c:v>
                </c:pt>
                <c:pt idx="2">
                  <c:v>2021年支出</c:v>
                </c:pt>
                <c:pt idx="3">
                  <c:v>2020年支出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397348864"/>
        <c:axId val="397350400"/>
      </c:barChart>
      <c:catAx>
        <c:axId val="39734886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7350400"/>
        <c:crosses val="autoZero"/>
        <c:auto val="1"/>
        <c:lblAlgn val="ctr"/>
        <c:lblOffset val="100"/>
        <c:noMultiLvlLbl val="0"/>
      </c:catAx>
      <c:valAx>
        <c:axId val="3973504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7348864"/>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429094120615695"/>
          <c:y val="0.935931476307397"/>
          <c:w val="0.152249425853018"/>
          <c:h val="0.064068523692602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2000" b="1"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一般公共预算财政拨款支出结构图</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社会保障和就业支出</c:v>
                </c:pt>
                <c:pt idx="2">
                  <c:v>医疗卫生和计划生育支出</c:v>
                </c:pt>
                <c:pt idx="3">
                  <c:v>住房保障支出</c:v>
                </c:pt>
              </c:strCache>
            </c:strRef>
          </c:cat>
          <c:val>
            <c:numRef>
              <c:f>Sheet1!$B$2:$B$6</c:f>
              <c:numCache>
                <c:formatCode>General</c:formatCode>
                <c:ptCount val="5"/>
                <c:pt idx="0">
                  <c:v>86.47</c:v>
                </c:pt>
                <c:pt idx="1">
                  <c:v>6.5</c:v>
                </c:pt>
                <c:pt idx="2">
                  <c:v>2.7</c:v>
                </c:pt>
                <c:pt idx="3">
                  <c:v>4.33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4"/>
        <c:delete val="1"/>
      </c:legendEntry>
      <c:layout>
        <c:manualLayout>
          <c:xMode val="edge"/>
          <c:yMode val="edge"/>
          <c:x val="0.0384661473936489"/>
          <c:y val="0.90910558605101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2000" b="1"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公务用车购置及运行维护费</c:v>
                </c:pt>
                <c:pt idx="1">
                  <c:v>公务接待费</c:v>
                </c:pt>
              </c:strCache>
            </c:strRef>
          </c:cat>
          <c:val>
            <c:numRef>
              <c:f>Sheet1!$B$2:$B$3</c:f>
              <c:numCache>
                <c:formatCode>General</c:formatCode>
                <c:ptCount val="2"/>
                <c:pt idx="0">
                  <c:v>89</c:v>
                </c:pt>
                <c:pt idx="1">
                  <c:v>11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00EFB7-A4F8-41FF-92A0-5587468DC0BC}">
  <ds:schemaRefs/>
</ds:datastoreItem>
</file>

<file path=docProps/app.xml><?xml version="1.0" encoding="utf-8"?>
<Properties xmlns="http://schemas.openxmlformats.org/officeDocument/2006/extended-properties" xmlns:vt="http://schemas.openxmlformats.org/officeDocument/2006/docPropsVTypes">
  <Template>Normal</Template>
  <Pages>25</Pages>
  <Words>10279</Words>
  <Characters>2611</Characters>
  <Lines>21</Lines>
  <Paragraphs>25</Paragraphs>
  <TotalTime>246</TotalTime>
  <ScaleCrop>false</ScaleCrop>
  <LinksUpToDate>false</LinksUpToDate>
  <CharactersWithSpaces>12865</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2022-12-14T07:49:00Z</dcterms:created>
  <dc:creator>lenovo</dc:creator>
  <cp:lastModifiedBy>Administrator</cp:lastModifiedBy>
  <cp:lastPrinted>2022-12-15T03:08:24Z</cp:lastPrinted>
  <dcterms:modified xsi:type="dcterms:W3CDTF">2022-12-15T03:15:40Z</dcterms:modified>
  <dc:title>2021年部门决算公开</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