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outlineLvl w:val="0"/>
        <w:rPr>
          <w:rFonts w:ascii="方正小标宋简体" w:hAnsi="宋体" w:eastAsia="方正小标宋简体"/>
          <w:color w:val="000000"/>
          <w:sz w:val="72"/>
          <w:szCs w:val="72"/>
        </w:rPr>
      </w:pPr>
      <w:bookmarkStart w:id="0" w:name="_Toc15396597"/>
      <w:bookmarkStart w:id="1" w:name="_Toc15377425"/>
      <w:bookmarkStart w:id="2" w:name="_Toc15378441"/>
      <w:bookmarkStart w:id="3" w:name="_Toc29299"/>
      <w:bookmarkStart w:id="4" w:name="_Toc15396475"/>
      <w:bookmarkStart w:id="5" w:name="_Toc15377193"/>
      <w:bookmarkStart w:id="6" w:name="_Toc17634"/>
      <w:bookmarkStart w:id="7" w:name="_Toc18376"/>
      <w:r>
        <w:rPr>
          <w:rFonts w:ascii="黑体" w:hAnsi="黑体" w:eastAsia="黑体"/>
          <w:color w:val="000000"/>
          <w:sz w:val="72"/>
          <w:szCs w:val="72"/>
        </w:rPr>
        <w:t>20</w:t>
      </w:r>
      <w:r>
        <w:rPr>
          <w:rFonts w:hint="eastAsia" w:ascii="黑体" w:hAnsi="黑体" w:eastAsia="黑体"/>
          <w:color w:val="000000"/>
          <w:sz w:val="72"/>
          <w:szCs w:val="72"/>
          <w:lang w:val="en-US" w:eastAsia="zh-CN"/>
        </w:rPr>
        <w:t>20</w:t>
      </w:r>
      <w:r>
        <w:rPr>
          <w:rFonts w:hint="eastAsia" w:ascii="方正小标宋简体" w:hAnsi="宋体" w:eastAsia="方正小标宋简体"/>
          <w:color w:val="000000"/>
          <w:sz w:val="72"/>
          <w:szCs w:val="72"/>
        </w:rPr>
        <w:t>年度</w:t>
      </w:r>
      <w:bookmarkEnd w:id="0"/>
      <w:bookmarkEnd w:id="1"/>
      <w:bookmarkEnd w:id="2"/>
      <w:bookmarkEnd w:id="3"/>
      <w:bookmarkEnd w:id="4"/>
      <w:bookmarkEnd w:id="5"/>
      <w:bookmarkEnd w:id="6"/>
      <w:bookmarkEnd w:id="7"/>
    </w:p>
    <w:p>
      <w:pPr>
        <w:adjustRightInd w:val="0"/>
        <w:snapToGrid w:val="0"/>
        <w:spacing w:line="360" w:lineRule="auto"/>
        <w:jc w:val="center"/>
        <w:outlineLvl w:val="0"/>
        <w:rPr>
          <w:rFonts w:ascii="方正小标宋简体" w:hAnsi="宋体" w:eastAsia="方正小标宋简体"/>
          <w:color w:val="000000"/>
          <w:sz w:val="72"/>
          <w:szCs w:val="72"/>
        </w:rPr>
      </w:pPr>
      <w:bookmarkStart w:id="8" w:name="_Toc606"/>
      <w:bookmarkStart w:id="9" w:name="_Toc28729"/>
      <w:bookmarkStart w:id="10" w:name="_Toc15377426"/>
      <w:bookmarkStart w:id="11" w:name="_Toc15396476"/>
      <w:bookmarkStart w:id="12" w:name="_Toc15377194"/>
      <w:bookmarkStart w:id="13" w:name="_Toc15396598"/>
      <w:bookmarkStart w:id="14" w:name="_Toc15378442"/>
      <w:bookmarkStart w:id="15" w:name="_Toc22691"/>
      <w:r>
        <w:rPr>
          <w:rFonts w:hint="eastAsia" w:ascii="方正小标宋简体" w:hAnsi="宋体" w:eastAsia="方正小标宋简体"/>
          <w:color w:val="000000"/>
          <w:sz w:val="72"/>
          <w:szCs w:val="72"/>
        </w:rPr>
        <w:t>四川省阿坝州</w:t>
      </w:r>
      <w:bookmarkStart w:id="16" w:name="_Toc15306268"/>
      <w:r>
        <w:rPr>
          <w:rFonts w:hint="eastAsia" w:ascii="方正小标宋简体" w:hAnsi="宋体" w:eastAsia="方正小标宋简体"/>
          <w:color w:val="000000"/>
          <w:sz w:val="72"/>
          <w:szCs w:val="72"/>
          <w:lang w:eastAsia="zh-CN"/>
        </w:rPr>
        <w:t>共青团红原县委</w:t>
      </w:r>
      <w:r>
        <w:rPr>
          <w:rFonts w:hint="eastAsia" w:ascii="方正小标宋简体" w:hAnsi="宋体" w:eastAsia="方正小标宋简体"/>
          <w:color w:val="000000"/>
          <w:sz w:val="72"/>
          <w:szCs w:val="72"/>
        </w:rPr>
        <w:t>部门决算</w:t>
      </w:r>
      <w:bookmarkEnd w:id="8"/>
      <w:bookmarkEnd w:id="9"/>
      <w:bookmarkEnd w:id="10"/>
      <w:bookmarkEnd w:id="11"/>
      <w:bookmarkEnd w:id="12"/>
      <w:bookmarkEnd w:id="13"/>
      <w:bookmarkEnd w:id="14"/>
      <w:bookmarkEnd w:id="15"/>
      <w:bookmarkEnd w:id="16"/>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hint="eastAsia" w:ascii="仿宋_GB2312" w:hAnsi="Calibri" w:eastAsia="仿宋_GB2312" w:cs="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bookmarkStart w:id="181" w:name="_GoBack"/>
      <w:bookmarkEnd w:id="181"/>
    </w:p>
    <w:p>
      <w:pPr>
        <w:widowControl/>
        <w:jc w:val="cente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p>
    <w:p>
      <w:pPr>
        <w:widowControl/>
        <w:jc w:val="center"/>
        <w:rPr>
          <w:rFonts w:ascii="方正小标宋简体" w:hAnsi="宋体" w:eastAsia="方正小标宋简体"/>
          <w:sz w:val="36"/>
          <w:szCs w:val="36"/>
        </w:rPr>
      </w:pPr>
    </w:p>
    <w:p>
      <w:pPr>
        <w:keepNext w:val="0"/>
        <w:keepLines w:val="0"/>
        <w:pageBreakBefore w:val="0"/>
        <w:widowControl/>
        <w:kinsoku/>
        <w:wordWrap/>
        <w:overflowPunct/>
        <w:topLinePunct w:val="0"/>
        <w:autoSpaceDE/>
        <w:autoSpaceDN/>
        <w:bidi w:val="0"/>
        <w:adjustRightInd/>
        <w:snapToGrid/>
        <w:spacing w:line="576" w:lineRule="exact"/>
        <w:jc w:val="center"/>
        <w:textAlignment w:val="auto"/>
        <w:rPr>
          <w:rFonts w:hint="eastAsia"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8"/>
        <w:keepNext w:val="0"/>
        <w:keepLines w:val="0"/>
        <w:pageBreakBefore w:val="0"/>
        <w:kinsoku/>
        <w:wordWrap/>
        <w:overflowPunct/>
        <w:topLinePunct w:val="0"/>
        <w:autoSpaceDE/>
        <w:autoSpaceDN/>
        <w:bidi w:val="0"/>
        <w:adjustRightInd/>
        <w:snapToGrid/>
        <w:spacing w:line="576" w:lineRule="exact"/>
        <w:textAlignment w:val="auto"/>
      </w:pPr>
      <w:r>
        <w:rPr>
          <w:rFonts w:hint="eastAsia"/>
        </w:rPr>
        <w:t>公开时间：2020年</w:t>
      </w:r>
      <w:r>
        <w:rPr>
          <w:rFonts w:hint="eastAsia"/>
          <w:lang w:val="en-US" w:eastAsia="zh-CN"/>
        </w:rPr>
        <w:t>10</w:t>
      </w:r>
      <w:r>
        <w:rPr>
          <w:rFonts w:hint="eastAsia"/>
        </w:rPr>
        <w:t>月</w:t>
      </w:r>
      <w:r>
        <w:rPr>
          <w:rFonts w:hint="eastAsia"/>
          <w:lang w:val="en-US" w:eastAsia="zh-CN"/>
        </w:rPr>
        <w:t>27</w:t>
      </w:r>
      <w:r>
        <w:rPr>
          <w:rFonts w:hint="eastAsia"/>
        </w:rPr>
        <w:t>日</w:t>
      </w:r>
    </w:p>
    <w:p>
      <w:pPr>
        <w:keepNext w:val="0"/>
        <w:keepLines w:val="0"/>
        <w:pageBreakBefore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p>
    <w:sdt>
      <w:sdtPr>
        <w:rPr>
          <w:rFonts w:hint="eastAsia" w:ascii="仿宋_GB2312" w:hAnsi="仿宋_GB2312" w:eastAsia="仿宋_GB2312" w:cs="仿宋_GB2312"/>
          <w:kern w:val="2"/>
          <w:sz w:val="32"/>
          <w:szCs w:val="32"/>
          <w:lang w:val="en-US" w:eastAsia="zh-CN" w:bidi="ar-SA"/>
        </w:rPr>
        <w:id w:val="147465703"/>
        <w15:color w:val="DBDBDB"/>
        <w:docPartObj>
          <w:docPartGallery w:val="Table of Contents"/>
          <w:docPartUnique/>
        </w:docPartObj>
      </w:sdtPr>
      <w:sdtEndPr>
        <w:rPr>
          <w:rFonts w:hint="eastAsia" w:ascii="Times New Roman" w:hAnsi="Times New Roman" w:eastAsia="宋体" w:cs="Times New Roman"/>
          <w:kern w:val="2"/>
          <w:sz w:val="21"/>
          <w:szCs w:val="24"/>
          <w:lang w:val="en-US" w:eastAsia="zh-CN" w:bidi="ar-SA"/>
        </w:rPr>
      </w:sdtEndPr>
      <w:sdtContent>
        <w:p>
          <w:pPr>
            <w:keepNext w:val="0"/>
            <w:keepLines w:val="0"/>
            <w:pageBreakBefore w:val="0"/>
            <w:kinsoku/>
            <w:wordWrap/>
            <w:overflowPunct/>
            <w:topLinePunct w:val="0"/>
            <w:autoSpaceDE/>
            <w:autoSpaceDN/>
            <w:bidi w:val="0"/>
            <w:adjustRightInd/>
            <w:snapToGrid/>
            <w:spacing w:line="576" w:lineRule="exact"/>
            <w:textAlignment w:val="auto"/>
          </w:pPr>
          <w:r>
            <w:fldChar w:fldCharType="begin"/>
          </w:r>
          <w:r>
            <w:instrText xml:space="preserve">TOC \o "1-3" \h \u </w:instrText>
          </w:r>
          <w:r>
            <w:fldChar w:fldCharType="separate"/>
          </w:r>
        </w:p>
        <w:p>
          <w:pPr>
            <w:pStyle w:val="8"/>
            <w:tabs>
              <w:tab w:val="right" w:leader="dot" w:pos="8306"/>
              <w:tab w:val="clear" w:pos="8296"/>
            </w:tabs>
          </w:pPr>
          <w:r>
            <w:fldChar w:fldCharType="begin"/>
          </w:r>
          <w:r>
            <w:instrText xml:space="preserve"> HYPERLINK \l _Toc1145 </w:instrText>
          </w:r>
          <w:r>
            <w:fldChar w:fldCharType="separate"/>
          </w:r>
          <w:r>
            <w:rPr>
              <w:rFonts w:hint="eastAsia" w:ascii="黑体" w:hAnsi="黑体" w:eastAsia="黑体"/>
            </w:rPr>
            <w:t xml:space="preserve">第一部分 </w:t>
          </w:r>
          <w:r>
            <w:rPr>
              <w:rFonts w:hint="eastAsia" w:ascii="黑体" w:hAnsi="黑体" w:eastAsia="黑体"/>
              <w:bCs w:val="0"/>
            </w:rPr>
            <w:t>部门概况</w:t>
          </w:r>
          <w:r>
            <w:tab/>
          </w:r>
          <w:r>
            <w:fldChar w:fldCharType="begin"/>
          </w:r>
          <w:r>
            <w:instrText xml:space="preserve"> PAGEREF _Toc1145 \h </w:instrText>
          </w:r>
          <w:r>
            <w:fldChar w:fldCharType="separate"/>
          </w:r>
          <w:r>
            <w:t>4</w:t>
          </w:r>
          <w:r>
            <w:fldChar w:fldCharType="end"/>
          </w:r>
          <w:r>
            <w:fldChar w:fldCharType="end"/>
          </w:r>
        </w:p>
        <w:p>
          <w:pPr>
            <w:pStyle w:val="9"/>
            <w:tabs>
              <w:tab w:val="right" w:leader="dot" w:pos="8306"/>
            </w:tabs>
          </w:pPr>
          <w:r>
            <w:fldChar w:fldCharType="begin"/>
          </w:r>
          <w:r>
            <w:instrText xml:space="preserve"> HYPERLINK \l _Toc4789 </w:instrText>
          </w:r>
          <w:r>
            <w:fldChar w:fldCharType="separate"/>
          </w:r>
          <w:r>
            <w:rPr>
              <w:rFonts w:hint="eastAsia" w:ascii="黑体" w:hAnsi="黑体" w:eastAsia="黑体"/>
            </w:rPr>
            <w:t>一、基</w:t>
          </w:r>
          <w:r>
            <w:rPr>
              <w:rFonts w:hint="eastAsia" w:ascii="黑体" w:hAnsi="黑体" w:eastAsia="黑体"/>
              <w:bCs w:val="0"/>
            </w:rPr>
            <w:t>本职能及主要工作</w:t>
          </w:r>
          <w:r>
            <w:tab/>
          </w:r>
          <w:r>
            <w:fldChar w:fldCharType="begin"/>
          </w:r>
          <w:r>
            <w:instrText xml:space="preserve"> PAGEREF _Toc4789 \h </w:instrText>
          </w:r>
          <w:r>
            <w:fldChar w:fldCharType="separate"/>
          </w:r>
          <w:r>
            <w:t>4</w:t>
          </w:r>
          <w:r>
            <w:fldChar w:fldCharType="end"/>
          </w:r>
          <w:r>
            <w:fldChar w:fldCharType="end"/>
          </w:r>
        </w:p>
        <w:p>
          <w:pPr>
            <w:pStyle w:val="5"/>
            <w:tabs>
              <w:tab w:val="right" w:leader="dot" w:pos="8306"/>
            </w:tabs>
          </w:pPr>
          <w:r>
            <w:fldChar w:fldCharType="begin"/>
          </w:r>
          <w:r>
            <w:instrText xml:space="preserve"> HYPERLINK \l _Toc27642 </w:instrText>
          </w:r>
          <w:r>
            <w:fldChar w:fldCharType="separate"/>
          </w:r>
          <w:r>
            <w:rPr>
              <w:rFonts w:hint="eastAsia" w:ascii="仿宋" w:hAnsi="仿宋" w:eastAsia="仿宋"/>
              <w:bCs/>
              <w:szCs w:val="32"/>
            </w:rPr>
            <w:t>（一）主要职能。</w:t>
          </w:r>
          <w:r>
            <w:tab/>
          </w:r>
          <w:r>
            <w:fldChar w:fldCharType="begin"/>
          </w:r>
          <w:r>
            <w:instrText xml:space="preserve"> PAGEREF _Toc27642 \h </w:instrText>
          </w:r>
          <w:r>
            <w:fldChar w:fldCharType="separate"/>
          </w:r>
          <w:r>
            <w:t>4</w:t>
          </w:r>
          <w:r>
            <w:fldChar w:fldCharType="end"/>
          </w:r>
          <w:r>
            <w:fldChar w:fldCharType="end"/>
          </w:r>
        </w:p>
        <w:p>
          <w:pPr>
            <w:pStyle w:val="5"/>
            <w:tabs>
              <w:tab w:val="right" w:leader="dot" w:pos="8306"/>
            </w:tabs>
          </w:pPr>
          <w:r>
            <w:fldChar w:fldCharType="begin"/>
          </w:r>
          <w:r>
            <w:instrText xml:space="preserve"> HYPERLINK \l _Toc26797 </w:instrText>
          </w:r>
          <w:r>
            <w:fldChar w:fldCharType="separate"/>
          </w:r>
          <w:r>
            <w:rPr>
              <w:rFonts w:hint="eastAsia" w:ascii="仿宋" w:hAnsi="仿宋" w:eastAsia="仿宋"/>
              <w:bCs/>
              <w:szCs w:val="32"/>
            </w:rPr>
            <w:t>（二）</w:t>
          </w:r>
          <w:r>
            <w:rPr>
              <w:rFonts w:ascii="仿宋" w:hAnsi="仿宋" w:eastAsia="仿宋"/>
              <w:bCs/>
              <w:szCs w:val="32"/>
            </w:rPr>
            <w:t>20</w:t>
          </w:r>
          <w:r>
            <w:rPr>
              <w:rFonts w:hint="eastAsia" w:ascii="仿宋" w:hAnsi="仿宋" w:eastAsia="仿宋"/>
              <w:bCs/>
              <w:szCs w:val="32"/>
              <w:lang w:val="en-US" w:eastAsia="zh-CN"/>
            </w:rPr>
            <w:t>20</w:t>
          </w:r>
          <w:r>
            <w:rPr>
              <w:rFonts w:hint="eastAsia" w:ascii="仿宋" w:hAnsi="仿宋" w:eastAsia="仿宋"/>
              <w:bCs/>
              <w:szCs w:val="32"/>
            </w:rPr>
            <w:t>年重点工作完成情况。</w:t>
          </w:r>
          <w:r>
            <w:tab/>
          </w:r>
          <w:r>
            <w:fldChar w:fldCharType="begin"/>
          </w:r>
          <w:r>
            <w:instrText xml:space="preserve"> PAGEREF _Toc26797 \h </w:instrText>
          </w:r>
          <w:r>
            <w:fldChar w:fldCharType="separate"/>
          </w:r>
          <w:r>
            <w:t>5</w:t>
          </w:r>
          <w:r>
            <w:fldChar w:fldCharType="end"/>
          </w:r>
          <w:r>
            <w:fldChar w:fldCharType="end"/>
          </w:r>
        </w:p>
        <w:p>
          <w:pPr>
            <w:pStyle w:val="9"/>
            <w:tabs>
              <w:tab w:val="right" w:leader="dot" w:pos="8306"/>
            </w:tabs>
          </w:pPr>
          <w:r>
            <w:fldChar w:fldCharType="begin"/>
          </w:r>
          <w:r>
            <w:instrText xml:space="preserve"> HYPERLINK \l _Toc23488 </w:instrText>
          </w:r>
          <w:r>
            <w:fldChar w:fldCharType="separate"/>
          </w:r>
          <w:r>
            <w:rPr>
              <w:rFonts w:hint="eastAsia" w:ascii="黑体" w:eastAsia="黑体"/>
            </w:rPr>
            <w:t>二、</w:t>
          </w:r>
          <w:r>
            <w:rPr>
              <w:rFonts w:hint="eastAsia" w:ascii="黑体" w:hAnsi="黑体" w:eastAsia="黑体"/>
            </w:rPr>
            <w:t>机</w:t>
          </w:r>
          <w:r>
            <w:rPr>
              <w:rFonts w:hint="eastAsia" w:ascii="黑体" w:hAnsi="黑体" w:eastAsia="黑体"/>
              <w:bCs w:val="0"/>
            </w:rPr>
            <w:t>构设置</w:t>
          </w:r>
          <w:r>
            <w:tab/>
          </w:r>
          <w:r>
            <w:fldChar w:fldCharType="begin"/>
          </w:r>
          <w:r>
            <w:instrText xml:space="preserve"> PAGEREF _Toc23488 \h </w:instrText>
          </w:r>
          <w:r>
            <w:fldChar w:fldCharType="separate"/>
          </w:r>
          <w:r>
            <w:t>5</w:t>
          </w:r>
          <w:r>
            <w:fldChar w:fldCharType="end"/>
          </w:r>
          <w:r>
            <w:fldChar w:fldCharType="end"/>
          </w:r>
        </w:p>
        <w:p>
          <w:pPr>
            <w:pStyle w:val="8"/>
            <w:tabs>
              <w:tab w:val="right" w:leader="dot" w:pos="8306"/>
              <w:tab w:val="clear" w:pos="8296"/>
            </w:tabs>
          </w:pPr>
          <w:r>
            <w:fldChar w:fldCharType="begin"/>
          </w:r>
          <w:r>
            <w:instrText xml:space="preserve"> HYPERLINK \l _Toc6833 </w:instrText>
          </w:r>
          <w:r>
            <w:fldChar w:fldCharType="separate"/>
          </w:r>
          <w:r>
            <w:rPr>
              <w:rFonts w:hint="eastAsia" w:ascii="黑体" w:hAnsi="黑体" w:eastAsia="黑体"/>
            </w:rPr>
            <w:t xml:space="preserve">第二部分 </w:t>
          </w:r>
          <w:r>
            <w:rPr>
              <w:rFonts w:hint="eastAsia" w:ascii="黑体" w:hAnsi="黑体" w:eastAsia="黑体"/>
              <w:bCs w:val="0"/>
            </w:rPr>
            <w:t>20</w:t>
          </w:r>
          <w:r>
            <w:rPr>
              <w:rFonts w:hint="eastAsia" w:ascii="黑体" w:hAnsi="黑体" w:eastAsia="黑体"/>
              <w:bCs w:val="0"/>
              <w:lang w:val="en-US" w:eastAsia="zh-CN"/>
            </w:rPr>
            <w:t>20</w:t>
          </w:r>
          <w:r>
            <w:rPr>
              <w:rFonts w:hint="eastAsia" w:ascii="黑体" w:hAnsi="黑体" w:eastAsia="黑体"/>
              <w:bCs w:val="0"/>
            </w:rPr>
            <w:t>年度部门决算</w:t>
          </w:r>
          <w:r>
            <w:rPr>
              <w:rFonts w:hint="eastAsia" w:ascii="黑体" w:hAnsi="黑体" w:eastAsia="黑体"/>
              <w:bCs w:val="0"/>
              <w:lang w:eastAsia="zh-CN"/>
            </w:rPr>
            <w:t>公开</w:t>
          </w:r>
          <w:r>
            <w:tab/>
          </w:r>
          <w:r>
            <w:fldChar w:fldCharType="begin"/>
          </w:r>
          <w:r>
            <w:instrText xml:space="preserve"> PAGEREF _Toc6833 \h </w:instrText>
          </w:r>
          <w:r>
            <w:fldChar w:fldCharType="separate"/>
          </w:r>
          <w:r>
            <w:t>6</w:t>
          </w:r>
          <w:r>
            <w:fldChar w:fldCharType="end"/>
          </w:r>
          <w:r>
            <w:fldChar w:fldCharType="end"/>
          </w:r>
        </w:p>
        <w:p>
          <w:pPr>
            <w:pStyle w:val="9"/>
            <w:tabs>
              <w:tab w:val="right" w:leader="dot" w:pos="8306"/>
            </w:tabs>
          </w:pPr>
          <w:r>
            <w:fldChar w:fldCharType="begin"/>
          </w:r>
          <w:r>
            <w:instrText xml:space="preserve"> HYPERLINK \l _Toc8622 </w:instrText>
          </w:r>
          <w:r>
            <w:fldChar w:fldCharType="separate"/>
          </w:r>
          <w:r>
            <w:rPr>
              <w:rFonts w:hint="default"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_Toc8622 \h </w:instrText>
          </w:r>
          <w:r>
            <w:fldChar w:fldCharType="separate"/>
          </w:r>
          <w:r>
            <w:t>6</w:t>
          </w:r>
          <w:r>
            <w:fldChar w:fldCharType="end"/>
          </w:r>
          <w:r>
            <w:fldChar w:fldCharType="end"/>
          </w:r>
        </w:p>
        <w:p>
          <w:pPr>
            <w:pStyle w:val="9"/>
            <w:tabs>
              <w:tab w:val="right" w:leader="dot" w:pos="8306"/>
            </w:tabs>
          </w:pPr>
          <w:r>
            <w:fldChar w:fldCharType="begin"/>
          </w:r>
          <w:r>
            <w:instrText xml:space="preserve"> HYPERLINK \l _Toc13689 </w:instrText>
          </w:r>
          <w:r>
            <w:fldChar w:fldCharType="separate"/>
          </w:r>
          <w:r>
            <w:rPr>
              <w:rFonts w:hint="default"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_Toc13689 \h </w:instrText>
          </w:r>
          <w:r>
            <w:fldChar w:fldCharType="separate"/>
          </w:r>
          <w:r>
            <w:t>6</w:t>
          </w:r>
          <w:r>
            <w:fldChar w:fldCharType="end"/>
          </w:r>
          <w:r>
            <w:fldChar w:fldCharType="end"/>
          </w:r>
        </w:p>
        <w:p>
          <w:pPr>
            <w:pStyle w:val="9"/>
            <w:tabs>
              <w:tab w:val="right" w:leader="dot" w:pos="8306"/>
            </w:tabs>
          </w:pPr>
          <w:r>
            <w:fldChar w:fldCharType="begin"/>
          </w:r>
          <w:r>
            <w:instrText xml:space="preserve"> HYPERLINK \l _Toc5630 </w:instrText>
          </w:r>
          <w:r>
            <w:fldChar w:fldCharType="separate"/>
          </w:r>
          <w:r>
            <w:rPr>
              <w:rFonts w:hint="default"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_Toc5630 \h </w:instrText>
          </w:r>
          <w:r>
            <w:fldChar w:fldCharType="separate"/>
          </w:r>
          <w:r>
            <w:t>7</w:t>
          </w:r>
          <w:r>
            <w:fldChar w:fldCharType="end"/>
          </w:r>
          <w:r>
            <w:fldChar w:fldCharType="end"/>
          </w:r>
        </w:p>
        <w:p>
          <w:pPr>
            <w:pStyle w:val="9"/>
            <w:tabs>
              <w:tab w:val="right" w:leader="dot" w:pos="8306"/>
            </w:tabs>
          </w:pPr>
          <w:r>
            <w:fldChar w:fldCharType="begin"/>
          </w:r>
          <w:r>
            <w:instrText xml:space="preserve"> HYPERLINK \l _Toc24752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_Toc24752 \h </w:instrText>
          </w:r>
          <w:r>
            <w:fldChar w:fldCharType="separate"/>
          </w:r>
          <w:r>
            <w:t>8</w:t>
          </w:r>
          <w:r>
            <w:fldChar w:fldCharType="end"/>
          </w:r>
          <w:r>
            <w:fldChar w:fldCharType="end"/>
          </w:r>
        </w:p>
        <w:p>
          <w:pPr>
            <w:pStyle w:val="9"/>
            <w:tabs>
              <w:tab w:val="right" w:leader="dot" w:pos="8306"/>
            </w:tabs>
          </w:pPr>
          <w:r>
            <w:fldChar w:fldCharType="begin"/>
          </w:r>
          <w:r>
            <w:instrText xml:space="preserve"> HYPERLINK \l _Toc11257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_Toc11257 \h </w:instrText>
          </w:r>
          <w:r>
            <w:fldChar w:fldCharType="separate"/>
          </w:r>
          <w:r>
            <w:t>9</w:t>
          </w:r>
          <w:r>
            <w:fldChar w:fldCharType="end"/>
          </w:r>
          <w:r>
            <w:fldChar w:fldCharType="end"/>
          </w:r>
        </w:p>
        <w:p>
          <w:pPr>
            <w:pStyle w:val="5"/>
            <w:tabs>
              <w:tab w:val="right" w:leader="dot" w:pos="8306"/>
            </w:tabs>
          </w:pPr>
          <w:r>
            <w:fldChar w:fldCharType="begin"/>
          </w:r>
          <w:r>
            <w:instrText xml:space="preserve"> HYPERLINK \l _Toc26017 </w:instrText>
          </w:r>
          <w:r>
            <w:fldChar w:fldCharType="separate"/>
          </w:r>
          <w:r>
            <w:rPr>
              <w:rFonts w:hint="eastAsia" w:ascii="仿宋" w:hAnsi="仿宋" w:eastAsia="仿宋"/>
              <w:szCs w:val="32"/>
            </w:rPr>
            <w:t>（一）一般公共预算财政拨款支出决算总体情况</w:t>
          </w:r>
          <w:r>
            <w:tab/>
          </w:r>
          <w:r>
            <w:fldChar w:fldCharType="begin"/>
          </w:r>
          <w:r>
            <w:instrText xml:space="preserve"> PAGEREF _Toc26017 \h </w:instrText>
          </w:r>
          <w:r>
            <w:fldChar w:fldCharType="separate"/>
          </w:r>
          <w:r>
            <w:t>9</w:t>
          </w:r>
          <w:r>
            <w:fldChar w:fldCharType="end"/>
          </w:r>
          <w:r>
            <w:fldChar w:fldCharType="end"/>
          </w:r>
        </w:p>
        <w:p>
          <w:pPr>
            <w:pStyle w:val="5"/>
            <w:tabs>
              <w:tab w:val="right" w:leader="dot" w:pos="8306"/>
            </w:tabs>
          </w:pPr>
          <w:r>
            <w:fldChar w:fldCharType="begin"/>
          </w:r>
          <w:r>
            <w:instrText xml:space="preserve"> HYPERLINK \l _Toc32211 </w:instrText>
          </w:r>
          <w:r>
            <w:fldChar w:fldCharType="separate"/>
          </w:r>
          <w:r>
            <w:rPr>
              <w:rFonts w:hint="eastAsia" w:ascii="仿宋" w:hAnsi="仿宋" w:eastAsia="仿宋"/>
              <w:szCs w:val="32"/>
            </w:rPr>
            <w:t>（二）一般公共预算财政拨款支出决算结构情况</w:t>
          </w:r>
          <w:r>
            <w:tab/>
          </w:r>
          <w:r>
            <w:fldChar w:fldCharType="begin"/>
          </w:r>
          <w:r>
            <w:instrText xml:space="preserve"> PAGEREF _Toc32211 \h </w:instrText>
          </w:r>
          <w:r>
            <w:fldChar w:fldCharType="separate"/>
          </w:r>
          <w:r>
            <w:t>10</w:t>
          </w:r>
          <w:r>
            <w:fldChar w:fldCharType="end"/>
          </w:r>
          <w:r>
            <w:fldChar w:fldCharType="end"/>
          </w:r>
        </w:p>
        <w:p>
          <w:pPr>
            <w:pStyle w:val="5"/>
            <w:tabs>
              <w:tab w:val="right" w:leader="dot" w:pos="8306"/>
            </w:tabs>
          </w:pPr>
          <w:r>
            <w:fldChar w:fldCharType="begin"/>
          </w:r>
          <w:r>
            <w:instrText xml:space="preserve"> HYPERLINK \l _Toc24241 </w:instrText>
          </w:r>
          <w:r>
            <w:fldChar w:fldCharType="separate"/>
          </w:r>
          <w:r>
            <w:rPr>
              <w:rFonts w:hint="eastAsia" w:ascii="仿宋" w:hAnsi="仿宋" w:eastAsia="仿宋"/>
              <w:szCs w:val="32"/>
            </w:rPr>
            <w:t>（三）一般公共预算财政拨款支出决算具体情况</w:t>
          </w:r>
          <w:r>
            <w:tab/>
          </w:r>
          <w:r>
            <w:fldChar w:fldCharType="begin"/>
          </w:r>
          <w:r>
            <w:instrText xml:space="preserve"> PAGEREF _Toc24241 \h </w:instrText>
          </w:r>
          <w:r>
            <w:fldChar w:fldCharType="separate"/>
          </w:r>
          <w:r>
            <w:t>11</w:t>
          </w:r>
          <w:r>
            <w:fldChar w:fldCharType="end"/>
          </w:r>
          <w:r>
            <w:fldChar w:fldCharType="end"/>
          </w:r>
        </w:p>
        <w:p>
          <w:pPr>
            <w:pStyle w:val="9"/>
            <w:tabs>
              <w:tab w:val="right" w:leader="dot" w:pos="8306"/>
            </w:tabs>
          </w:pPr>
          <w:r>
            <w:fldChar w:fldCharType="begin"/>
          </w:r>
          <w:r>
            <w:instrText xml:space="preserve"> HYPERLINK \l _Toc10283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_Toc10283 \h </w:instrText>
          </w:r>
          <w:r>
            <w:fldChar w:fldCharType="separate"/>
          </w:r>
          <w:r>
            <w:t>13</w:t>
          </w:r>
          <w:r>
            <w:fldChar w:fldCharType="end"/>
          </w:r>
          <w:r>
            <w:fldChar w:fldCharType="end"/>
          </w:r>
        </w:p>
        <w:p>
          <w:pPr>
            <w:pStyle w:val="9"/>
            <w:tabs>
              <w:tab w:val="right" w:leader="dot" w:pos="8306"/>
            </w:tabs>
          </w:pPr>
          <w:r>
            <w:fldChar w:fldCharType="begin"/>
          </w:r>
          <w:r>
            <w:instrText xml:space="preserve"> HYPERLINK \l _Toc19278 </w:instrText>
          </w:r>
          <w:r>
            <w:fldChar w:fldCharType="separate"/>
          </w:r>
          <w:r>
            <w:rPr>
              <w:rFonts w:hint="eastAsia" w:ascii="黑体" w:eastAsia="黑体"/>
              <w:szCs w:val="32"/>
            </w:rPr>
            <w:t>七、</w:t>
          </w:r>
          <w:r>
            <w:rPr>
              <w:rFonts w:hint="eastAsia" w:ascii="黑体" w:hAnsi="黑体" w:eastAsia="黑体"/>
            </w:rPr>
            <w:t>“三公”经费财政拨款支出决算情况说明</w:t>
          </w:r>
          <w:r>
            <w:tab/>
          </w:r>
          <w:r>
            <w:fldChar w:fldCharType="begin"/>
          </w:r>
          <w:r>
            <w:instrText xml:space="preserve"> PAGEREF _Toc19278 \h </w:instrText>
          </w:r>
          <w:r>
            <w:fldChar w:fldCharType="separate"/>
          </w:r>
          <w:r>
            <w:t>14</w:t>
          </w:r>
          <w:r>
            <w:fldChar w:fldCharType="end"/>
          </w:r>
          <w:r>
            <w:fldChar w:fldCharType="end"/>
          </w:r>
        </w:p>
        <w:p>
          <w:pPr>
            <w:pStyle w:val="5"/>
            <w:tabs>
              <w:tab w:val="right" w:leader="dot" w:pos="8306"/>
            </w:tabs>
          </w:pPr>
          <w:r>
            <w:fldChar w:fldCharType="begin"/>
          </w:r>
          <w:r>
            <w:instrText xml:space="preserve"> HYPERLINK \l _Toc3891 </w:instrText>
          </w:r>
          <w:r>
            <w:fldChar w:fldCharType="separate"/>
          </w:r>
          <w:r>
            <w:rPr>
              <w:rFonts w:hint="eastAsia" w:ascii="仿宋" w:hAnsi="仿宋" w:eastAsia="仿宋"/>
              <w:szCs w:val="32"/>
            </w:rPr>
            <w:t>（一）“三公”经费财政拨款支出决算总体情况说明</w:t>
          </w:r>
          <w:r>
            <w:tab/>
          </w:r>
          <w:r>
            <w:fldChar w:fldCharType="begin"/>
          </w:r>
          <w:r>
            <w:instrText xml:space="preserve"> PAGEREF _Toc3891 \h </w:instrText>
          </w:r>
          <w:r>
            <w:fldChar w:fldCharType="separate"/>
          </w:r>
          <w:r>
            <w:t>14</w:t>
          </w:r>
          <w:r>
            <w:fldChar w:fldCharType="end"/>
          </w:r>
          <w:r>
            <w:fldChar w:fldCharType="end"/>
          </w:r>
        </w:p>
        <w:p>
          <w:pPr>
            <w:pStyle w:val="5"/>
            <w:tabs>
              <w:tab w:val="right" w:leader="dot" w:pos="8306"/>
            </w:tabs>
          </w:pPr>
          <w:r>
            <w:fldChar w:fldCharType="begin"/>
          </w:r>
          <w:r>
            <w:instrText xml:space="preserve"> HYPERLINK \l _Toc12231 </w:instrText>
          </w:r>
          <w:r>
            <w:fldChar w:fldCharType="separate"/>
          </w:r>
          <w:r>
            <w:rPr>
              <w:rFonts w:hint="eastAsia" w:ascii="仿宋" w:hAnsi="仿宋" w:eastAsia="仿宋"/>
              <w:szCs w:val="32"/>
            </w:rPr>
            <w:t>（二）“三公”经费财政拨款支出决算具体情况说明</w:t>
          </w:r>
          <w:r>
            <w:tab/>
          </w:r>
          <w:r>
            <w:fldChar w:fldCharType="begin"/>
          </w:r>
          <w:r>
            <w:instrText xml:space="preserve"> PAGEREF _Toc12231 \h </w:instrText>
          </w:r>
          <w:r>
            <w:fldChar w:fldCharType="separate"/>
          </w:r>
          <w:r>
            <w:t>14</w:t>
          </w:r>
          <w:r>
            <w:fldChar w:fldCharType="end"/>
          </w:r>
          <w:r>
            <w:fldChar w:fldCharType="end"/>
          </w:r>
        </w:p>
        <w:p>
          <w:pPr>
            <w:pStyle w:val="9"/>
            <w:tabs>
              <w:tab w:val="right" w:leader="dot" w:pos="8306"/>
            </w:tabs>
          </w:pPr>
          <w:r>
            <w:fldChar w:fldCharType="begin"/>
          </w:r>
          <w:r>
            <w:instrText xml:space="preserve"> HYPERLINK \l _Toc27828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_Toc27828 \h </w:instrText>
          </w:r>
          <w:r>
            <w:fldChar w:fldCharType="separate"/>
          </w:r>
          <w:r>
            <w:t>16</w:t>
          </w:r>
          <w:r>
            <w:fldChar w:fldCharType="end"/>
          </w:r>
          <w:r>
            <w:fldChar w:fldCharType="end"/>
          </w:r>
        </w:p>
        <w:p>
          <w:pPr>
            <w:pStyle w:val="9"/>
            <w:tabs>
              <w:tab w:val="right" w:leader="dot" w:pos="8306"/>
            </w:tabs>
          </w:pPr>
          <w:r>
            <w:fldChar w:fldCharType="begin"/>
          </w:r>
          <w:r>
            <w:instrText xml:space="preserve"> HYPERLINK \l _Toc28577 </w:instrText>
          </w:r>
          <w:r>
            <w:fldChar w:fldCharType="separate"/>
          </w:r>
          <w:r>
            <w:rPr>
              <w:rFonts w:hint="eastAsia" w:ascii="黑体" w:hAnsi="黑体" w:eastAsia="黑体"/>
            </w:rPr>
            <w:t>九、 国有资本经营预算支出决算情况说明</w:t>
          </w:r>
          <w:r>
            <w:tab/>
          </w:r>
          <w:r>
            <w:fldChar w:fldCharType="begin"/>
          </w:r>
          <w:r>
            <w:instrText xml:space="preserve"> PAGEREF _Toc28577 \h </w:instrText>
          </w:r>
          <w:r>
            <w:fldChar w:fldCharType="separate"/>
          </w:r>
          <w:r>
            <w:t>16</w:t>
          </w:r>
          <w:r>
            <w:fldChar w:fldCharType="end"/>
          </w:r>
          <w:r>
            <w:fldChar w:fldCharType="end"/>
          </w:r>
        </w:p>
        <w:p>
          <w:pPr>
            <w:pStyle w:val="9"/>
            <w:tabs>
              <w:tab w:val="right" w:leader="dot" w:pos="8306"/>
            </w:tabs>
          </w:pPr>
          <w:r>
            <w:fldChar w:fldCharType="begin"/>
          </w:r>
          <w:r>
            <w:instrText xml:space="preserve"> HYPERLINK \l _Toc14512 </w:instrText>
          </w:r>
          <w:r>
            <w:fldChar w:fldCharType="separate"/>
          </w:r>
          <w:r>
            <w:rPr>
              <w:rFonts w:hint="eastAsia" w:ascii="黑体" w:hAnsi="黑体" w:eastAsia="黑体"/>
              <w:szCs w:val="32"/>
            </w:rPr>
            <w:t>十</w:t>
          </w:r>
          <w:r>
            <w:rPr>
              <w:rFonts w:hint="eastAsia" w:ascii="黑体" w:hAnsi="黑体" w:eastAsia="黑体"/>
            </w:rPr>
            <w:t>、其他重要事项的情况说明</w:t>
          </w:r>
          <w:r>
            <w:tab/>
          </w:r>
          <w:r>
            <w:fldChar w:fldCharType="begin"/>
          </w:r>
          <w:r>
            <w:instrText xml:space="preserve"> PAGEREF _Toc14512 \h </w:instrText>
          </w:r>
          <w:r>
            <w:fldChar w:fldCharType="separate"/>
          </w:r>
          <w:r>
            <w:t>16</w:t>
          </w:r>
          <w:r>
            <w:fldChar w:fldCharType="end"/>
          </w:r>
          <w:r>
            <w:fldChar w:fldCharType="end"/>
          </w:r>
        </w:p>
        <w:p>
          <w:pPr>
            <w:pStyle w:val="5"/>
            <w:tabs>
              <w:tab w:val="right" w:leader="dot" w:pos="8306"/>
            </w:tabs>
          </w:pPr>
          <w:r>
            <w:fldChar w:fldCharType="begin"/>
          </w:r>
          <w:r>
            <w:instrText xml:space="preserve"> HYPERLINK \l _Toc11055 </w:instrText>
          </w:r>
          <w:r>
            <w:fldChar w:fldCharType="separate"/>
          </w:r>
          <w:r>
            <w:rPr>
              <w:rFonts w:hint="eastAsia" w:ascii="仿宋" w:hAnsi="仿宋" w:eastAsia="仿宋"/>
              <w:szCs w:val="32"/>
            </w:rPr>
            <w:t>（一）机关运行经费支出情况</w:t>
          </w:r>
          <w:r>
            <w:tab/>
          </w:r>
          <w:r>
            <w:fldChar w:fldCharType="begin"/>
          </w:r>
          <w:r>
            <w:instrText xml:space="preserve"> PAGEREF _Toc11055 \h </w:instrText>
          </w:r>
          <w:r>
            <w:fldChar w:fldCharType="separate"/>
          </w:r>
          <w:r>
            <w:t>16</w:t>
          </w:r>
          <w:r>
            <w:fldChar w:fldCharType="end"/>
          </w:r>
          <w:r>
            <w:fldChar w:fldCharType="end"/>
          </w:r>
        </w:p>
        <w:p>
          <w:pPr>
            <w:pStyle w:val="5"/>
            <w:tabs>
              <w:tab w:val="right" w:leader="dot" w:pos="8306"/>
            </w:tabs>
          </w:pPr>
          <w:r>
            <w:fldChar w:fldCharType="begin"/>
          </w:r>
          <w:r>
            <w:instrText xml:space="preserve"> HYPERLINK \l _Toc24863 </w:instrText>
          </w:r>
          <w:r>
            <w:fldChar w:fldCharType="separate"/>
          </w:r>
          <w:r>
            <w:rPr>
              <w:rFonts w:hint="eastAsia" w:ascii="仿宋" w:hAnsi="仿宋" w:eastAsia="仿宋"/>
              <w:szCs w:val="32"/>
            </w:rPr>
            <w:t>（二）政府采购支出情况</w:t>
          </w:r>
          <w:r>
            <w:tab/>
          </w:r>
          <w:r>
            <w:fldChar w:fldCharType="begin"/>
          </w:r>
          <w:r>
            <w:instrText xml:space="preserve"> PAGEREF _Toc24863 \h </w:instrText>
          </w:r>
          <w:r>
            <w:fldChar w:fldCharType="separate"/>
          </w:r>
          <w:r>
            <w:t>16</w:t>
          </w:r>
          <w:r>
            <w:fldChar w:fldCharType="end"/>
          </w:r>
          <w:r>
            <w:fldChar w:fldCharType="end"/>
          </w:r>
        </w:p>
        <w:p>
          <w:pPr>
            <w:pStyle w:val="5"/>
            <w:tabs>
              <w:tab w:val="right" w:leader="dot" w:pos="8306"/>
            </w:tabs>
          </w:pPr>
          <w:r>
            <w:fldChar w:fldCharType="begin"/>
          </w:r>
          <w:r>
            <w:instrText xml:space="preserve"> HYPERLINK \l _Toc29617 </w:instrText>
          </w:r>
          <w:r>
            <w:fldChar w:fldCharType="separate"/>
          </w:r>
          <w:r>
            <w:rPr>
              <w:rFonts w:hint="eastAsia" w:ascii="仿宋" w:hAnsi="仿宋" w:eastAsia="仿宋"/>
              <w:szCs w:val="32"/>
            </w:rPr>
            <w:t>（三）国有资产占有使用情况</w:t>
          </w:r>
          <w:r>
            <w:tab/>
          </w:r>
          <w:r>
            <w:fldChar w:fldCharType="begin"/>
          </w:r>
          <w:r>
            <w:instrText xml:space="preserve"> PAGEREF _Toc29617 \h </w:instrText>
          </w:r>
          <w:r>
            <w:fldChar w:fldCharType="separate"/>
          </w:r>
          <w:r>
            <w:t>16</w:t>
          </w:r>
          <w:r>
            <w:fldChar w:fldCharType="end"/>
          </w:r>
          <w:r>
            <w:fldChar w:fldCharType="end"/>
          </w:r>
        </w:p>
        <w:p>
          <w:pPr>
            <w:pStyle w:val="5"/>
            <w:tabs>
              <w:tab w:val="right" w:leader="dot" w:pos="8306"/>
            </w:tabs>
          </w:pPr>
          <w:r>
            <w:fldChar w:fldCharType="begin"/>
          </w:r>
          <w:r>
            <w:instrText xml:space="preserve"> HYPERLINK \l _Toc18630 </w:instrText>
          </w:r>
          <w:r>
            <w:fldChar w:fldCharType="separate"/>
          </w:r>
          <w:r>
            <w:rPr>
              <w:rFonts w:hint="eastAsia" w:ascii="仿宋" w:hAnsi="仿宋" w:eastAsia="仿宋"/>
              <w:szCs w:val="32"/>
            </w:rPr>
            <w:t>（四）预算绩效管理情况。</w:t>
          </w:r>
          <w:r>
            <w:tab/>
          </w:r>
          <w:r>
            <w:fldChar w:fldCharType="begin"/>
          </w:r>
          <w:r>
            <w:instrText xml:space="preserve"> PAGEREF _Toc18630 \h </w:instrText>
          </w:r>
          <w:r>
            <w:fldChar w:fldCharType="separate"/>
          </w:r>
          <w:r>
            <w:t>17</w:t>
          </w:r>
          <w:r>
            <w:fldChar w:fldCharType="end"/>
          </w:r>
          <w:r>
            <w:fldChar w:fldCharType="end"/>
          </w:r>
        </w:p>
        <w:p>
          <w:pPr>
            <w:pStyle w:val="8"/>
            <w:tabs>
              <w:tab w:val="right" w:leader="dot" w:pos="8306"/>
              <w:tab w:val="clear" w:pos="8296"/>
            </w:tabs>
          </w:pPr>
          <w:r>
            <w:fldChar w:fldCharType="begin"/>
          </w:r>
          <w:r>
            <w:instrText xml:space="preserve"> HYPERLINK \l _Toc25945 </w:instrText>
          </w:r>
          <w:r>
            <w:fldChar w:fldCharType="separate"/>
          </w:r>
          <w:r>
            <w:rPr>
              <w:rFonts w:hint="eastAsia" w:ascii="黑体" w:hAnsi="黑体" w:eastAsia="黑体"/>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_Toc25945 \h </w:instrText>
          </w:r>
          <w:r>
            <w:fldChar w:fldCharType="separate"/>
          </w:r>
          <w:r>
            <w:t>20</w:t>
          </w:r>
          <w:r>
            <w:fldChar w:fldCharType="end"/>
          </w:r>
          <w:r>
            <w:fldChar w:fldCharType="end"/>
          </w:r>
        </w:p>
        <w:p>
          <w:pPr>
            <w:pStyle w:val="8"/>
            <w:tabs>
              <w:tab w:val="right" w:leader="dot" w:pos="8306"/>
              <w:tab w:val="clear" w:pos="8296"/>
            </w:tabs>
          </w:pPr>
          <w:r>
            <w:fldChar w:fldCharType="begin"/>
          </w:r>
          <w:r>
            <w:instrText xml:space="preserve"> HYPERLINK \l _Toc13728 </w:instrText>
          </w:r>
          <w:r>
            <w:fldChar w:fldCharType="separate"/>
          </w:r>
          <w:r>
            <w:rPr>
              <w:rFonts w:hint="eastAsia" w:ascii="黑体" w:hAnsi="黑体" w:eastAsia="黑体"/>
              <w:szCs w:val="44"/>
            </w:rPr>
            <w:t>第</w:t>
          </w:r>
          <w:r>
            <w:rPr>
              <w:rFonts w:hint="eastAsia" w:ascii="黑体" w:hAnsi="黑体" w:eastAsia="黑体"/>
            </w:rPr>
            <w:t>四部分 附件</w:t>
          </w:r>
          <w:r>
            <w:tab/>
          </w:r>
          <w:r>
            <w:fldChar w:fldCharType="begin"/>
          </w:r>
          <w:r>
            <w:instrText xml:space="preserve"> PAGEREF _Toc13728 \h </w:instrText>
          </w:r>
          <w:r>
            <w:fldChar w:fldCharType="separate"/>
          </w:r>
          <w:r>
            <w:t>24</w:t>
          </w:r>
          <w:r>
            <w:fldChar w:fldCharType="end"/>
          </w:r>
          <w:r>
            <w:fldChar w:fldCharType="end"/>
          </w:r>
        </w:p>
        <w:p>
          <w:pPr>
            <w:pStyle w:val="9"/>
            <w:tabs>
              <w:tab w:val="right" w:leader="dot" w:pos="8306"/>
            </w:tabs>
          </w:pPr>
          <w:r>
            <w:fldChar w:fldCharType="begin"/>
          </w:r>
          <w:r>
            <w:instrText xml:space="preserve"> HYPERLINK \l _Toc9847 </w:instrText>
          </w:r>
          <w:r>
            <w:fldChar w:fldCharType="separate"/>
          </w:r>
          <w:r>
            <w:rPr>
              <w:rFonts w:hint="eastAsia" w:ascii="黑体" w:hAnsi="黑体" w:eastAsia="黑体" w:cs="黑体"/>
              <w:szCs w:val="32"/>
            </w:rPr>
            <w:t>附件1</w:t>
          </w:r>
          <w:r>
            <w:tab/>
          </w:r>
          <w:r>
            <w:fldChar w:fldCharType="begin"/>
          </w:r>
          <w:r>
            <w:instrText xml:space="preserve"> PAGEREF _Toc9847 \h </w:instrText>
          </w:r>
          <w:r>
            <w:fldChar w:fldCharType="separate"/>
          </w:r>
          <w:r>
            <w:t>24</w:t>
          </w:r>
          <w:r>
            <w:fldChar w:fldCharType="end"/>
          </w:r>
          <w:r>
            <w:fldChar w:fldCharType="end"/>
          </w:r>
        </w:p>
        <w:p>
          <w:pPr>
            <w:pStyle w:val="9"/>
            <w:tabs>
              <w:tab w:val="right" w:leader="dot" w:pos="8306"/>
            </w:tabs>
          </w:pPr>
          <w:r>
            <w:fldChar w:fldCharType="begin"/>
          </w:r>
          <w:r>
            <w:instrText xml:space="preserve"> HYPERLINK \l _Toc29661 </w:instrText>
          </w:r>
          <w:r>
            <w:fldChar w:fldCharType="separate"/>
          </w:r>
          <w:r>
            <w:rPr>
              <w:rFonts w:hint="eastAsia" w:ascii="黑体" w:hAnsi="黑体" w:eastAsia="黑体" w:cs="黑体"/>
              <w:szCs w:val="32"/>
            </w:rPr>
            <w:t>附件2</w:t>
          </w:r>
          <w:r>
            <w:tab/>
          </w:r>
          <w:r>
            <w:fldChar w:fldCharType="begin"/>
          </w:r>
          <w:r>
            <w:instrText xml:space="preserve"> PAGEREF _Toc29661 \h </w:instrText>
          </w:r>
          <w:r>
            <w:fldChar w:fldCharType="separate"/>
          </w:r>
          <w:r>
            <w:t>29</w:t>
          </w:r>
          <w:r>
            <w:fldChar w:fldCharType="end"/>
          </w:r>
          <w:r>
            <w:fldChar w:fldCharType="end"/>
          </w:r>
        </w:p>
        <w:p>
          <w:pPr>
            <w:pStyle w:val="9"/>
            <w:tabs>
              <w:tab w:val="right" w:leader="dot" w:pos="8306"/>
            </w:tabs>
          </w:pPr>
          <w:r>
            <w:fldChar w:fldCharType="begin"/>
          </w:r>
          <w:r>
            <w:instrText xml:space="preserve"> HYPERLINK \l _Toc7452 </w:instrText>
          </w:r>
          <w:r>
            <w:fldChar w:fldCharType="separate"/>
          </w:r>
          <w:r>
            <w:rPr>
              <w:rFonts w:hint="eastAsia" w:ascii="方正小标宋简体" w:hAnsi="宋体" w:eastAsia="方正小标宋简体"/>
              <w:kern w:val="0"/>
              <w:szCs w:val="44"/>
              <w:lang w:val="en-US" w:eastAsia="zh-CN"/>
            </w:rPr>
            <w:t>2020年关心下一代工作委员会经费</w:t>
          </w:r>
          <w:r>
            <w:rPr>
              <w:rFonts w:hint="eastAsia" w:ascii="方正小标宋简体" w:hAnsi="宋体" w:eastAsia="方正小标宋简体"/>
              <w:kern w:val="0"/>
              <w:szCs w:val="44"/>
              <w:lang w:val="zh-CN"/>
            </w:rPr>
            <w:t>项目</w:t>
          </w:r>
          <w:r>
            <w:tab/>
          </w:r>
          <w:r>
            <w:fldChar w:fldCharType="begin"/>
          </w:r>
          <w:r>
            <w:instrText xml:space="preserve"> PAGEREF _Toc7452 \h </w:instrText>
          </w:r>
          <w:r>
            <w:fldChar w:fldCharType="separate"/>
          </w:r>
          <w:r>
            <w:t>29</w:t>
          </w:r>
          <w:r>
            <w:fldChar w:fldCharType="end"/>
          </w:r>
          <w:r>
            <w:fldChar w:fldCharType="end"/>
          </w:r>
        </w:p>
        <w:p>
          <w:pPr>
            <w:pStyle w:val="9"/>
            <w:tabs>
              <w:tab w:val="right" w:leader="dot" w:pos="8306"/>
            </w:tabs>
          </w:pPr>
          <w:r>
            <w:fldChar w:fldCharType="begin"/>
          </w:r>
          <w:r>
            <w:instrText xml:space="preserve"> HYPERLINK \l _Toc22908 </w:instrText>
          </w:r>
          <w:r>
            <w:fldChar w:fldCharType="separate"/>
          </w:r>
          <w:r>
            <w:rPr>
              <w:rFonts w:hint="eastAsia" w:ascii="方正小标宋简体" w:hAnsi="宋体" w:eastAsia="方正小标宋简体"/>
              <w:kern w:val="0"/>
              <w:szCs w:val="44"/>
              <w:lang w:val="zh-CN"/>
            </w:rPr>
            <w:t>绩效评价报告</w:t>
          </w:r>
          <w:r>
            <w:tab/>
          </w:r>
          <w:r>
            <w:fldChar w:fldCharType="begin"/>
          </w:r>
          <w:r>
            <w:instrText xml:space="preserve"> PAGEREF _Toc22908 \h </w:instrText>
          </w:r>
          <w:r>
            <w:fldChar w:fldCharType="separate"/>
          </w:r>
          <w:r>
            <w:t>29</w:t>
          </w:r>
          <w:r>
            <w:fldChar w:fldCharType="end"/>
          </w:r>
          <w:r>
            <w:fldChar w:fldCharType="end"/>
          </w:r>
        </w:p>
        <w:p>
          <w:pPr>
            <w:pStyle w:val="5"/>
            <w:tabs>
              <w:tab w:val="right" w:leader="dot" w:pos="8306"/>
            </w:tabs>
          </w:pPr>
          <w:r>
            <w:fldChar w:fldCharType="begin"/>
          </w:r>
          <w:r>
            <w:instrText xml:space="preserve"> HYPERLINK \l _Toc30384 </w:instrText>
          </w:r>
          <w:r>
            <w:fldChar w:fldCharType="separate"/>
          </w:r>
          <w:r>
            <w:rPr>
              <w:rFonts w:hint="eastAsia" w:ascii="楷体_GB2312" w:hAnsi="宋体" w:eastAsia="楷体_GB2312"/>
              <w:szCs w:val="32"/>
              <w:lang w:val="zh-CN"/>
            </w:rPr>
            <w:t>（一）项目基本情况。</w:t>
          </w:r>
          <w:r>
            <w:tab/>
          </w:r>
          <w:r>
            <w:fldChar w:fldCharType="begin"/>
          </w:r>
          <w:r>
            <w:instrText xml:space="preserve"> PAGEREF _Toc30384 \h </w:instrText>
          </w:r>
          <w:r>
            <w:fldChar w:fldCharType="separate"/>
          </w:r>
          <w:r>
            <w:t>29</w:t>
          </w:r>
          <w:r>
            <w:fldChar w:fldCharType="end"/>
          </w:r>
          <w:r>
            <w:fldChar w:fldCharType="end"/>
          </w:r>
        </w:p>
        <w:p>
          <w:pPr>
            <w:pStyle w:val="5"/>
            <w:tabs>
              <w:tab w:val="right" w:leader="dot" w:pos="8306"/>
            </w:tabs>
          </w:pPr>
          <w:r>
            <w:fldChar w:fldCharType="begin"/>
          </w:r>
          <w:r>
            <w:instrText xml:space="preserve"> HYPERLINK \l _Toc30730 </w:instrText>
          </w:r>
          <w:r>
            <w:fldChar w:fldCharType="separate"/>
          </w:r>
          <w:r>
            <w:rPr>
              <w:rFonts w:hint="eastAsia" w:ascii="楷体_GB2312" w:hAnsi="宋体" w:eastAsia="楷体_GB2312"/>
              <w:szCs w:val="32"/>
              <w:lang w:val="en-US" w:eastAsia="zh-CN"/>
            </w:rPr>
            <w:t>(二)项目资金使用方向及范围</w:t>
          </w:r>
          <w:r>
            <w:tab/>
          </w:r>
          <w:r>
            <w:fldChar w:fldCharType="begin"/>
          </w:r>
          <w:r>
            <w:instrText xml:space="preserve"> PAGEREF _Toc30730 \h </w:instrText>
          </w:r>
          <w:r>
            <w:fldChar w:fldCharType="separate"/>
          </w:r>
          <w:r>
            <w:t>29</w:t>
          </w:r>
          <w:r>
            <w:fldChar w:fldCharType="end"/>
          </w:r>
          <w:r>
            <w:fldChar w:fldCharType="end"/>
          </w:r>
        </w:p>
        <w:p>
          <w:pPr>
            <w:pStyle w:val="5"/>
            <w:tabs>
              <w:tab w:val="right" w:leader="dot" w:pos="8306"/>
            </w:tabs>
          </w:pPr>
          <w:r>
            <w:fldChar w:fldCharType="begin"/>
          </w:r>
          <w:r>
            <w:instrText xml:space="preserve"> HYPERLINK \l _Toc14667 </w:instrText>
          </w:r>
          <w:r>
            <w:fldChar w:fldCharType="separate"/>
          </w:r>
          <w:r>
            <w:rPr>
              <w:rFonts w:hint="eastAsia" w:ascii="楷体_GB2312" w:hAnsi="宋体" w:eastAsia="楷体_GB2312"/>
              <w:szCs w:val="32"/>
              <w:lang w:val="en-US" w:eastAsia="zh-CN"/>
            </w:rPr>
            <w:t>（三）项目资金实际拨款进度以及资金使用方向</w:t>
          </w:r>
          <w:r>
            <w:tab/>
          </w:r>
          <w:r>
            <w:fldChar w:fldCharType="begin"/>
          </w:r>
          <w:r>
            <w:instrText xml:space="preserve"> PAGEREF _Toc14667 \h </w:instrText>
          </w:r>
          <w:r>
            <w:fldChar w:fldCharType="separate"/>
          </w:r>
          <w:r>
            <w:t>29</w:t>
          </w:r>
          <w:r>
            <w:fldChar w:fldCharType="end"/>
          </w:r>
          <w:r>
            <w:fldChar w:fldCharType="end"/>
          </w:r>
        </w:p>
        <w:p>
          <w:pPr>
            <w:pStyle w:val="5"/>
            <w:tabs>
              <w:tab w:val="right" w:leader="dot" w:pos="8306"/>
            </w:tabs>
          </w:pPr>
          <w:r>
            <w:fldChar w:fldCharType="begin"/>
          </w:r>
          <w:r>
            <w:instrText xml:space="preserve"> HYPERLINK \l _Toc29968 </w:instrText>
          </w:r>
          <w:r>
            <w:fldChar w:fldCharType="separate"/>
          </w:r>
          <w:r>
            <w:rPr>
              <w:rFonts w:hint="eastAsia" w:ascii="楷体_GB2312" w:hAnsi="宋体" w:eastAsia="楷体_GB2312"/>
              <w:szCs w:val="32"/>
              <w:lang w:val="zh-CN"/>
            </w:rPr>
            <w:t>（</w:t>
          </w:r>
          <w:r>
            <w:rPr>
              <w:rFonts w:hint="eastAsia" w:ascii="楷体_GB2312" w:hAnsi="宋体" w:eastAsia="楷体_GB2312"/>
              <w:szCs w:val="32"/>
              <w:lang w:val="en-US" w:eastAsia="zh-CN"/>
            </w:rPr>
            <w:t>四</w:t>
          </w:r>
          <w:r>
            <w:rPr>
              <w:rFonts w:hint="eastAsia" w:ascii="楷体_GB2312" w:hAnsi="宋体" w:eastAsia="楷体_GB2312"/>
              <w:szCs w:val="32"/>
              <w:lang w:val="zh-CN"/>
            </w:rPr>
            <w:t>）项目绩效目标。</w:t>
          </w:r>
          <w:r>
            <w:tab/>
          </w:r>
          <w:r>
            <w:fldChar w:fldCharType="begin"/>
          </w:r>
          <w:r>
            <w:instrText xml:space="preserve"> PAGEREF _Toc29968 \h </w:instrText>
          </w:r>
          <w:r>
            <w:fldChar w:fldCharType="separate"/>
          </w:r>
          <w:r>
            <w:t>29</w:t>
          </w:r>
          <w:r>
            <w:fldChar w:fldCharType="end"/>
          </w:r>
          <w:r>
            <w:fldChar w:fldCharType="end"/>
          </w:r>
        </w:p>
        <w:p>
          <w:pPr>
            <w:pStyle w:val="5"/>
            <w:tabs>
              <w:tab w:val="right" w:leader="dot" w:pos="8306"/>
            </w:tabs>
          </w:pPr>
          <w:r>
            <w:fldChar w:fldCharType="begin"/>
          </w:r>
          <w:r>
            <w:instrText xml:space="preserve"> HYPERLINK \l _Toc5334 </w:instrText>
          </w:r>
          <w:r>
            <w:fldChar w:fldCharType="separate"/>
          </w:r>
          <w:r>
            <w:rPr>
              <w:rFonts w:hint="eastAsia" w:ascii="楷体_GB2312" w:hAnsi="宋体" w:eastAsia="楷体_GB2312"/>
              <w:szCs w:val="32"/>
              <w:lang w:val="zh-CN"/>
            </w:rPr>
            <w:t>（</w:t>
          </w:r>
          <w:r>
            <w:rPr>
              <w:rFonts w:hint="eastAsia" w:ascii="楷体_GB2312" w:hAnsi="宋体" w:eastAsia="楷体_GB2312"/>
              <w:szCs w:val="32"/>
              <w:lang w:val="en-US" w:eastAsia="zh-CN"/>
            </w:rPr>
            <w:t>五</w:t>
          </w:r>
          <w:r>
            <w:rPr>
              <w:rFonts w:hint="eastAsia" w:ascii="楷体_GB2312" w:hAnsi="宋体" w:eastAsia="楷体_GB2312"/>
              <w:szCs w:val="32"/>
              <w:lang w:val="zh-CN"/>
            </w:rPr>
            <w:t>）项目自评步骤及方法。</w:t>
          </w:r>
          <w:r>
            <w:tab/>
          </w:r>
          <w:r>
            <w:fldChar w:fldCharType="begin"/>
          </w:r>
          <w:r>
            <w:instrText xml:space="preserve"> PAGEREF _Toc5334 \h </w:instrText>
          </w:r>
          <w:r>
            <w:fldChar w:fldCharType="separate"/>
          </w:r>
          <w:r>
            <w:t>29</w:t>
          </w:r>
          <w:r>
            <w:fldChar w:fldCharType="end"/>
          </w:r>
          <w:r>
            <w:fldChar w:fldCharType="end"/>
          </w:r>
        </w:p>
        <w:p>
          <w:pPr>
            <w:pStyle w:val="5"/>
            <w:tabs>
              <w:tab w:val="right" w:leader="dot" w:pos="8306"/>
            </w:tabs>
          </w:pPr>
          <w:r>
            <w:fldChar w:fldCharType="begin"/>
          </w:r>
          <w:r>
            <w:instrText xml:space="preserve"> HYPERLINK \l _Toc1843 </w:instrText>
          </w:r>
          <w:r>
            <w:fldChar w:fldCharType="separate"/>
          </w:r>
          <w:r>
            <w:rPr>
              <w:rFonts w:hint="eastAsia" w:ascii="楷体_GB2312" w:hAnsi="宋体" w:eastAsia="楷体_GB2312"/>
              <w:szCs w:val="32"/>
              <w:lang w:val="zh-CN"/>
            </w:rPr>
            <w:t>（</w:t>
          </w:r>
          <w:r>
            <w:rPr>
              <w:rFonts w:hint="eastAsia" w:ascii="楷体_GB2312" w:hAnsi="宋体" w:eastAsia="楷体_GB2312"/>
              <w:szCs w:val="32"/>
              <w:lang w:val="en-US" w:eastAsia="zh-CN"/>
            </w:rPr>
            <w:t>六</w:t>
          </w:r>
          <w:r>
            <w:rPr>
              <w:rFonts w:hint="eastAsia" w:ascii="楷体_GB2312" w:hAnsi="宋体" w:eastAsia="楷体_GB2312"/>
              <w:szCs w:val="32"/>
              <w:lang w:val="zh-CN"/>
            </w:rPr>
            <w:t>）项目财务管理情况。</w:t>
          </w:r>
          <w:r>
            <w:tab/>
          </w:r>
          <w:r>
            <w:fldChar w:fldCharType="begin"/>
          </w:r>
          <w:r>
            <w:instrText xml:space="preserve"> PAGEREF _Toc1843 \h </w:instrText>
          </w:r>
          <w:r>
            <w:fldChar w:fldCharType="separate"/>
          </w:r>
          <w:r>
            <w:t>30</w:t>
          </w:r>
          <w:r>
            <w:fldChar w:fldCharType="end"/>
          </w:r>
          <w:r>
            <w:fldChar w:fldCharType="end"/>
          </w:r>
        </w:p>
        <w:p>
          <w:pPr>
            <w:pStyle w:val="5"/>
            <w:tabs>
              <w:tab w:val="right" w:leader="dot" w:pos="8306"/>
            </w:tabs>
          </w:pPr>
          <w:r>
            <w:fldChar w:fldCharType="begin"/>
          </w:r>
          <w:r>
            <w:instrText xml:space="preserve"> HYPERLINK \l _Toc6721 </w:instrText>
          </w:r>
          <w:r>
            <w:fldChar w:fldCharType="separate"/>
          </w:r>
          <w:r>
            <w:rPr>
              <w:rFonts w:hint="eastAsia" w:ascii="楷体_GB2312" w:hAnsi="宋体" w:eastAsia="楷体_GB2312"/>
              <w:szCs w:val="32"/>
              <w:lang w:val="en-US" w:eastAsia="zh-CN"/>
            </w:rPr>
            <w:t>（七） 项目实施成果</w:t>
          </w:r>
          <w:r>
            <w:tab/>
          </w:r>
          <w:r>
            <w:fldChar w:fldCharType="begin"/>
          </w:r>
          <w:r>
            <w:instrText xml:space="preserve"> PAGEREF _Toc6721 \h </w:instrText>
          </w:r>
          <w:r>
            <w:fldChar w:fldCharType="separate"/>
          </w:r>
          <w:r>
            <w:t>30</w:t>
          </w:r>
          <w:r>
            <w:fldChar w:fldCharType="end"/>
          </w:r>
          <w:r>
            <w:fldChar w:fldCharType="end"/>
          </w:r>
        </w:p>
        <w:p>
          <w:pPr>
            <w:pStyle w:val="8"/>
            <w:tabs>
              <w:tab w:val="right" w:leader="dot" w:pos="8306"/>
              <w:tab w:val="clear" w:pos="8296"/>
            </w:tabs>
          </w:pPr>
          <w:r>
            <w:fldChar w:fldCharType="begin"/>
          </w:r>
          <w:r>
            <w:instrText xml:space="preserve"> HYPERLINK \l _Toc17685 </w:instrText>
          </w:r>
          <w:r>
            <w:fldChar w:fldCharType="separate"/>
          </w:r>
          <w:r>
            <w:rPr>
              <w:rFonts w:hint="eastAsia" w:ascii="黑体" w:hAnsi="黑体" w:eastAsia="黑体"/>
              <w:szCs w:val="44"/>
            </w:rPr>
            <w:t>第</w:t>
          </w:r>
          <w:r>
            <w:rPr>
              <w:rFonts w:hint="eastAsia" w:ascii="黑体" w:hAnsi="黑体" w:eastAsia="黑体"/>
            </w:rPr>
            <w:t>五部分 附表</w:t>
          </w:r>
          <w:r>
            <w:tab/>
          </w:r>
          <w:r>
            <w:fldChar w:fldCharType="begin"/>
          </w:r>
          <w:r>
            <w:instrText xml:space="preserve"> PAGEREF _Toc17685 \h </w:instrText>
          </w:r>
          <w:r>
            <w:fldChar w:fldCharType="separate"/>
          </w:r>
          <w:r>
            <w:t>31</w:t>
          </w:r>
          <w:r>
            <w:fldChar w:fldCharType="end"/>
          </w:r>
          <w:r>
            <w:fldChar w:fldCharType="end"/>
          </w:r>
        </w:p>
        <w:p>
          <w:pPr>
            <w:pStyle w:val="9"/>
            <w:tabs>
              <w:tab w:val="right" w:leader="dot" w:pos="8306"/>
            </w:tabs>
          </w:pPr>
          <w:r>
            <w:fldChar w:fldCharType="begin"/>
          </w:r>
          <w:r>
            <w:instrText xml:space="preserve"> HYPERLINK \l _Toc29006 </w:instrText>
          </w:r>
          <w:r>
            <w:fldChar w:fldCharType="separate"/>
          </w:r>
          <w:r>
            <w:rPr>
              <w:rFonts w:hint="eastAsia" w:ascii="仿宋" w:hAnsi="仿宋" w:eastAsia="仿宋"/>
            </w:rPr>
            <w:t>一、收</w:t>
          </w:r>
          <w:r>
            <w:rPr>
              <w:rFonts w:hint="eastAsia" w:ascii="仿宋" w:hAnsi="仿宋" w:eastAsia="仿宋"/>
              <w:bCs w:val="0"/>
            </w:rPr>
            <w:t>入支出决算总表</w:t>
          </w:r>
          <w:r>
            <w:tab/>
          </w:r>
          <w:r>
            <w:fldChar w:fldCharType="begin"/>
          </w:r>
          <w:r>
            <w:instrText xml:space="preserve"> PAGEREF _Toc29006 \h </w:instrText>
          </w:r>
          <w:r>
            <w:fldChar w:fldCharType="separate"/>
          </w:r>
          <w:r>
            <w:t>31</w:t>
          </w:r>
          <w:r>
            <w:fldChar w:fldCharType="end"/>
          </w:r>
          <w:r>
            <w:fldChar w:fldCharType="end"/>
          </w:r>
        </w:p>
        <w:p>
          <w:pPr>
            <w:pStyle w:val="9"/>
            <w:tabs>
              <w:tab w:val="right" w:leader="dot" w:pos="8306"/>
            </w:tabs>
          </w:pPr>
          <w:r>
            <w:fldChar w:fldCharType="begin"/>
          </w:r>
          <w:r>
            <w:instrText xml:space="preserve"> HYPERLINK \l _Toc7284 </w:instrText>
          </w:r>
          <w:r>
            <w:fldChar w:fldCharType="separate"/>
          </w:r>
          <w:r>
            <w:rPr>
              <w:rFonts w:hint="eastAsia" w:ascii="仿宋" w:hAnsi="仿宋" w:eastAsia="仿宋"/>
            </w:rPr>
            <w:t>二、收</w:t>
          </w:r>
          <w:r>
            <w:rPr>
              <w:rFonts w:hint="eastAsia" w:ascii="仿宋" w:hAnsi="仿宋" w:eastAsia="仿宋"/>
              <w:bCs w:val="0"/>
            </w:rPr>
            <w:t>入决算表</w:t>
          </w:r>
          <w:r>
            <w:tab/>
          </w:r>
          <w:r>
            <w:fldChar w:fldCharType="begin"/>
          </w:r>
          <w:r>
            <w:instrText xml:space="preserve"> PAGEREF _Toc7284 \h </w:instrText>
          </w:r>
          <w:r>
            <w:fldChar w:fldCharType="separate"/>
          </w:r>
          <w:r>
            <w:t>31</w:t>
          </w:r>
          <w:r>
            <w:fldChar w:fldCharType="end"/>
          </w:r>
          <w:r>
            <w:fldChar w:fldCharType="end"/>
          </w:r>
        </w:p>
        <w:p>
          <w:pPr>
            <w:pStyle w:val="9"/>
            <w:tabs>
              <w:tab w:val="right" w:leader="dot" w:pos="8306"/>
            </w:tabs>
          </w:pPr>
          <w:r>
            <w:fldChar w:fldCharType="begin"/>
          </w:r>
          <w:r>
            <w:instrText xml:space="preserve"> HYPERLINK \l _Toc10685 </w:instrText>
          </w:r>
          <w:r>
            <w:fldChar w:fldCharType="separate"/>
          </w:r>
          <w:r>
            <w:rPr>
              <w:rFonts w:hint="eastAsia" w:ascii="仿宋" w:hAnsi="仿宋" w:eastAsia="仿宋"/>
              <w:bCs w:val="0"/>
            </w:rPr>
            <w:t>三、</w:t>
          </w:r>
          <w:r>
            <w:rPr>
              <w:rFonts w:hint="eastAsia" w:ascii="仿宋" w:hAnsi="仿宋" w:eastAsia="仿宋"/>
            </w:rPr>
            <w:t>支</w:t>
          </w:r>
          <w:r>
            <w:rPr>
              <w:rFonts w:hint="eastAsia" w:ascii="仿宋" w:hAnsi="仿宋" w:eastAsia="仿宋"/>
              <w:bCs w:val="0"/>
            </w:rPr>
            <w:t>出决算表</w:t>
          </w:r>
          <w:r>
            <w:tab/>
          </w:r>
          <w:r>
            <w:fldChar w:fldCharType="begin"/>
          </w:r>
          <w:r>
            <w:instrText xml:space="preserve"> PAGEREF _Toc10685 \h </w:instrText>
          </w:r>
          <w:r>
            <w:fldChar w:fldCharType="separate"/>
          </w:r>
          <w:r>
            <w:t>31</w:t>
          </w:r>
          <w:r>
            <w:fldChar w:fldCharType="end"/>
          </w:r>
          <w:r>
            <w:fldChar w:fldCharType="end"/>
          </w:r>
        </w:p>
        <w:p>
          <w:pPr>
            <w:pStyle w:val="9"/>
            <w:tabs>
              <w:tab w:val="right" w:leader="dot" w:pos="8306"/>
            </w:tabs>
          </w:pPr>
          <w:r>
            <w:fldChar w:fldCharType="begin"/>
          </w:r>
          <w:r>
            <w:instrText xml:space="preserve"> HYPERLINK \l _Toc15138 </w:instrText>
          </w:r>
          <w:r>
            <w:fldChar w:fldCharType="separate"/>
          </w:r>
          <w:r>
            <w:rPr>
              <w:rFonts w:hint="eastAsia" w:ascii="仿宋" w:hAnsi="仿宋" w:eastAsia="仿宋"/>
              <w:bCs w:val="0"/>
            </w:rPr>
            <w:t>四、</w:t>
          </w:r>
          <w:r>
            <w:rPr>
              <w:rFonts w:hint="eastAsia" w:ascii="仿宋" w:hAnsi="仿宋" w:eastAsia="仿宋"/>
            </w:rPr>
            <w:t>财</w:t>
          </w:r>
          <w:r>
            <w:rPr>
              <w:rFonts w:hint="eastAsia" w:ascii="仿宋" w:hAnsi="仿宋" w:eastAsia="仿宋"/>
              <w:bCs w:val="0"/>
            </w:rPr>
            <w:t>政拨款收入支出决算总表</w:t>
          </w:r>
          <w:r>
            <w:tab/>
          </w:r>
          <w:r>
            <w:fldChar w:fldCharType="begin"/>
          </w:r>
          <w:r>
            <w:instrText xml:space="preserve"> PAGEREF _Toc15138 \h </w:instrText>
          </w:r>
          <w:r>
            <w:fldChar w:fldCharType="separate"/>
          </w:r>
          <w:r>
            <w:t>31</w:t>
          </w:r>
          <w:r>
            <w:fldChar w:fldCharType="end"/>
          </w:r>
          <w:r>
            <w:fldChar w:fldCharType="end"/>
          </w:r>
        </w:p>
        <w:p>
          <w:pPr>
            <w:pStyle w:val="9"/>
            <w:tabs>
              <w:tab w:val="right" w:leader="dot" w:pos="8306"/>
            </w:tabs>
          </w:pPr>
          <w:r>
            <w:fldChar w:fldCharType="begin"/>
          </w:r>
          <w:r>
            <w:instrText xml:space="preserve"> HYPERLINK \l _Toc27363 </w:instrText>
          </w:r>
          <w:r>
            <w:fldChar w:fldCharType="separate"/>
          </w:r>
          <w:r>
            <w:rPr>
              <w:rFonts w:hint="eastAsia" w:ascii="仿宋" w:hAnsi="仿宋" w:eastAsia="仿宋"/>
              <w:bCs w:val="0"/>
            </w:rPr>
            <w:t>五、</w:t>
          </w:r>
          <w:r>
            <w:rPr>
              <w:rFonts w:hint="eastAsia" w:ascii="仿宋" w:hAnsi="仿宋" w:eastAsia="仿宋"/>
            </w:rPr>
            <w:t>财</w:t>
          </w:r>
          <w:r>
            <w:rPr>
              <w:rFonts w:hint="eastAsia" w:ascii="仿宋" w:hAnsi="仿宋" w:eastAsia="仿宋"/>
              <w:bCs w:val="0"/>
            </w:rPr>
            <w:t>政拨款支出决算明细表</w:t>
          </w:r>
          <w:r>
            <w:tab/>
          </w:r>
          <w:r>
            <w:fldChar w:fldCharType="begin"/>
          </w:r>
          <w:r>
            <w:instrText xml:space="preserve"> PAGEREF _Toc27363 \h </w:instrText>
          </w:r>
          <w:r>
            <w:fldChar w:fldCharType="separate"/>
          </w:r>
          <w:r>
            <w:t>31</w:t>
          </w:r>
          <w:r>
            <w:fldChar w:fldCharType="end"/>
          </w:r>
          <w:r>
            <w:fldChar w:fldCharType="end"/>
          </w:r>
        </w:p>
        <w:p>
          <w:pPr>
            <w:pStyle w:val="9"/>
            <w:tabs>
              <w:tab w:val="right" w:leader="dot" w:pos="8306"/>
            </w:tabs>
          </w:pPr>
          <w:r>
            <w:fldChar w:fldCharType="begin"/>
          </w:r>
          <w:r>
            <w:instrText xml:space="preserve"> HYPERLINK \l _Toc16578 </w:instrText>
          </w:r>
          <w:r>
            <w:fldChar w:fldCharType="separate"/>
          </w:r>
          <w:r>
            <w:rPr>
              <w:rFonts w:hint="eastAsia" w:ascii="仿宋" w:hAnsi="仿宋" w:eastAsia="仿宋"/>
              <w:bCs w:val="0"/>
            </w:rPr>
            <w:t>六、</w:t>
          </w:r>
          <w:r>
            <w:rPr>
              <w:rFonts w:hint="eastAsia" w:ascii="仿宋" w:hAnsi="仿宋" w:eastAsia="仿宋"/>
            </w:rPr>
            <w:t>一</w:t>
          </w:r>
          <w:r>
            <w:rPr>
              <w:rFonts w:hint="eastAsia" w:ascii="仿宋" w:hAnsi="仿宋" w:eastAsia="仿宋"/>
              <w:bCs w:val="0"/>
            </w:rPr>
            <w:t>般公共预算财政拨款支出决算表</w:t>
          </w:r>
          <w:r>
            <w:tab/>
          </w:r>
          <w:r>
            <w:fldChar w:fldCharType="begin"/>
          </w:r>
          <w:r>
            <w:instrText xml:space="preserve"> PAGEREF _Toc16578 \h </w:instrText>
          </w:r>
          <w:r>
            <w:fldChar w:fldCharType="separate"/>
          </w:r>
          <w:r>
            <w:t>31</w:t>
          </w:r>
          <w:r>
            <w:fldChar w:fldCharType="end"/>
          </w:r>
          <w:r>
            <w:fldChar w:fldCharType="end"/>
          </w:r>
        </w:p>
        <w:p>
          <w:pPr>
            <w:pStyle w:val="9"/>
            <w:tabs>
              <w:tab w:val="right" w:leader="dot" w:pos="8306"/>
            </w:tabs>
          </w:pPr>
          <w:r>
            <w:fldChar w:fldCharType="begin"/>
          </w:r>
          <w:r>
            <w:instrText xml:space="preserve"> HYPERLINK \l _Toc7409 </w:instrText>
          </w:r>
          <w:r>
            <w:fldChar w:fldCharType="separate"/>
          </w:r>
          <w:r>
            <w:rPr>
              <w:rFonts w:hint="eastAsia" w:ascii="仿宋" w:hAnsi="仿宋" w:eastAsia="仿宋"/>
              <w:bCs w:val="0"/>
            </w:rPr>
            <w:t>七、</w:t>
          </w:r>
          <w:r>
            <w:rPr>
              <w:rFonts w:hint="eastAsia" w:ascii="仿宋" w:hAnsi="仿宋" w:eastAsia="仿宋"/>
            </w:rPr>
            <w:t>一</w:t>
          </w:r>
          <w:r>
            <w:rPr>
              <w:rFonts w:hint="eastAsia" w:ascii="仿宋" w:hAnsi="仿宋" w:eastAsia="仿宋"/>
              <w:bCs w:val="0"/>
            </w:rPr>
            <w:t>般公共预算财政拨款支出决算明细表</w:t>
          </w:r>
          <w:r>
            <w:tab/>
          </w:r>
          <w:r>
            <w:fldChar w:fldCharType="begin"/>
          </w:r>
          <w:r>
            <w:instrText xml:space="preserve"> PAGEREF _Toc7409 \h </w:instrText>
          </w:r>
          <w:r>
            <w:fldChar w:fldCharType="separate"/>
          </w:r>
          <w:r>
            <w:t>31</w:t>
          </w:r>
          <w:r>
            <w:fldChar w:fldCharType="end"/>
          </w:r>
          <w:r>
            <w:fldChar w:fldCharType="end"/>
          </w:r>
        </w:p>
        <w:p>
          <w:pPr>
            <w:pStyle w:val="9"/>
            <w:tabs>
              <w:tab w:val="right" w:leader="dot" w:pos="8306"/>
            </w:tabs>
          </w:pPr>
          <w:r>
            <w:fldChar w:fldCharType="begin"/>
          </w:r>
          <w:r>
            <w:instrText xml:space="preserve"> HYPERLINK \l _Toc1906 </w:instrText>
          </w:r>
          <w:r>
            <w:fldChar w:fldCharType="separate"/>
          </w:r>
          <w:r>
            <w:rPr>
              <w:rFonts w:hint="eastAsia" w:ascii="仿宋" w:hAnsi="仿宋" w:eastAsia="仿宋"/>
              <w:bCs w:val="0"/>
            </w:rPr>
            <w:t>八、</w:t>
          </w:r>
          <w:r>
            <w:rPr>
              <w:rFonts w:hint="eastAsia" w:ascii="仿宋" w:hAnsi="仿宋" w:eastAsia="仿宋"/>
            </w:rPr>
            <w:t>一</w:t>
          </w:r>
          <w:r>
            <w:rPr>
              <w:rFonts w:hint="eastAsia" w:ascii="仿宋" w:hAnsi="仿宋" w:eastAsia="仿宋"/>
              <w:bCs w:val="0"/>
            </w:rPr>
            <w:t>般公共预算财政拨款基本支出决算表</w:t>
          </w:r>
          <w:r>
            <w:tab/>
          </w:r>
          <w:r>
            <w:fldChar w:fldCharType="begin"/>
          </w:r>
          <w:r>
            <w:instrText xml:space="preserve"> PAGEREF _Toc1906 \h </w:instrText>
          </w:r>
          <w:r>
            <w:fldChar w:fldCharType="separate"/>
          </w:r>
          <w:r>
            <w:t>31</w:t>
          </w:r>
          <w:r>
            <w:fldChar w:fldCharType="end"/>
          </w:r>
          <w:r>
            <w:fldChar w:fldCharType="end"/>
          </w:r>
        </w:p>
        <w:p>
          <w:pPr>
            <w:pStyle w:val="9"/>
            <w:tabs>
              <w:tab w:val="right" w:leader="dot" w:pos="8306"/>
            </w:tabs>
          </w:pPr>
          <w:r>
            <w:fldChar w:fldCharType="begin"/>
          </w:r>
          <w:r>
            <w:instrText xml:space="preserve"> HYPERLINK \l _Toc16755 </w:instrText>
          </w:r>
          <w:r>
            <w:fldChar w:fldCharType="separate"/>
          </w:r>
          <w:r>
            <w:rPr>
              <w:rFonts w:hint="eastAsia" w:ascii="仿宋" w:hAnsi="仿宋" w:eastAsia="仿宋"/>
              <w:bCs w:val="0"/>
            </w:rPr>
            <w:t>九、</w:t>
          </w:r>
          <w:r>
            <w:rPr>
              <w:rFonts w:hint="eastAsia" w:ascii="仿宋" w:hAnsi="仿宋" w:eastAsia="仿宋"/>
            </w:rPr>
            <w:t>一</w:t>
          </w:r>
          <w:r>
            <w:rPr>
              <w:rFonts w:hint="eastAsia" w:ascii="仿宋" w:hAnsi="仿宋" w:eastAsia="仿宋"/>
              <w:bCs w:val="0"/>
            </w:rPr>
            <w:t>般公共预算财政拨款项目支出决算表</w:t>
          </w:r>
          <w:r>
            <w:tab/>
          </w:r>
          <w:r>
            <w:fldChar w:fldCharType="begin"/>
          </w:r>
          <w:r>
            <w:instrText xml:space="preserve"> PAGEREF _Toc16755 \h </w:instrText>
          </w:r>
          <w:r>
            <w:fldChar w:fldCharType="separate"/>
          </w:r>
          <w:r>
            <w:t>31</w:t>
          </w:r>
          <w:r>
            <w:fldChar w:fldCharType="end"/>
          </w:r>
          <w:r>
            <w:fldChar w:fldCharType="end"/>
          </w:r>
        </w:p>
        <w:p>
          <w:pPr>
            <w:pStyle w:val="9"/>
            <w:tabs>
              <w:tab w:val="right" w:leader="dot" w:pos="8306"/>
            </w:tabs>
          </w:pPr>
          <w:r>
            <w:fldChar w:fldCharType="begin"/>
          </w:r>
          <w:r>
            <w:instrText xml:space="preserve"> HYPERLINK \l _Toc718 </w:instrText>
          </w:r>
          <w:r>
            <w:fldChar w:fldCharType="separate"/>
          </w:r>
          <w:r>
            <w:rPr>
              <w:rFonts w:hint="eastAsia" w:ascii="仿宋" w:hAnsi="仿宋" w:eastAsia="仿宋"/>
              <w:bCs w:val="0"/>
            </w:rPr>
            <w:t>十、</w:t>
          </w:r>
          <w:r>
            <w:rPr>
              <w:rFonts w:hint="eastAsia" w:ascii="仿宋" w:hAnsi="仿宋" w:eastAsia="仿宋"/>
            </w:rPr>
            <w:t>一</w:t>
          </w:r>
          <w:r>
            <w:rPr>
              <w:rFonts w:hint="eastAsia" w:ascii="仿宋" w:hAnsi="仿宋" w:eastAsia="仿宋"/>
              <w:bCs w:val="0"/>
            </w:rPr>
            <w:t>般公共预算财政拨款“三公”经费支出决算表</w:t>
          </w:r>
          <w:r>
            <w:tab/>
          </w:r>
          <w:r>
            <w:fldChar w:fldCharType="begin"/>
          </w:r>
          <w:r>
            <w:instrText xml:space="preserve"> PAGEREF _Toc718 \h </w:instrText>
          </w:r>
          <w:r>
            <w:fldChar w:fldCharType="separate"/>
          </w:r>
          <w:r>
            <w:t>31</w:t>
          </w:r>
          <w:r>
            <w:fldChar w:fldCharType="end"/>
          </w:r>
          <w:r>
            <w:fldChar w:fldCharType="end"/>
          </w:r>
        </w:p>
        <w:p>
          <w:pPr>
            <w:pStyle w:val="9"/>
            <w:tabs>
              <w:tab w:val="right" w:leader="dot" w:pos="8306"/>
            </w:tabs>
          </w:pPr>
          <w:r>
            <w:fldChar w:fldCharType="begin"/>
          </w:r>
          <w:r>
            <w:instrText xml:space="preserve"> HYPERLINK \l _Toc7381 </w:instrText>
          </w:r>
          <w:r>
            <w:fldChar w:fldCharType="separate"/>
          </w:r>
          <w:r>
            <w:rPr>
              <w:rFonts w:hint="eastAsia" w:ascii="仿宋" w:hAnsi="仿宋" w:eastAsia="仿宋"/>
              <w:bCs w:val="0"/>
            </w:rPr>
            <w:t>十一、</w:t>
          </w:r>
          <w:r>
            <w:rPr>
              <w:rFonts w:hint="eastAsia" w:ascii="仿宋" w:hAnsi="仿宋" w:eastAsia="仿宋"/>
            </w:rPr>
            <w:t>政</w:t>
          </w:r>
          <w:r>
            <w:rPr>
              <w:rFonts w:hint="eastAsia" w:ascii="仿宋" w:hAnsi="仿宋" w:eastAsia="仿宋"/>
              <w:bCs w:val="0"/>
            </w:rPr>
            <w:t>府性基金预算财政拨款收入支出决算表</w:t>
          </w:r>
          <w:r>
            <w:tab/>
          </w:r>
          <w:r>
            <w:fldChar w:fldCharType="begin"/>
          </w:r>
          <w:r>
            <w:instrText xml:space="preserve"> PAGEREF _Toc7381 \h </w:instrText>
          </w:r>
          <w:r>
            <w:fldChar w:fldCharType="separate"/>
          </w:r>
          <w:r>
            <w:t>31</w:t>
          </w:r>
          <w:r>
            <w:fldChar w:fldCharType="end"/>
          </w:r>
          <w:r>
            <w:fldChar w:fldCharType="end"/>
          </w:r>
        </w:p>
        <w:p>
          <w:pPr>
            <w:pStyle w:val="9"/>
            <w:tabs>
              <w:tab w:val="right" w:leader="dot" w:pos="8306"/>
            </w:tabs>
          </w:pPr>
          <w:r>
            <w:fldChar w:fldCharType="begin"/>
          </w:r>
          <w:r>
            <w:instrText xml:space="preserve"> HYPERLINK \l _Toc28648 </w:instrText>
          </w:r>
          <w:r>
            <w:fldChar w:fldCharType="separate"/>
          </w:r>
          <w:r>
            <w:rPr>
              <w:rFonts w:hint="eastAsia" w:ascii="仿宋" w:hAnsi="仿宋" w:eastAsia="仿宋"/>
              <w:bCs w:val="0"/>
            </w:rPr>
            <w:t>十二、</w:t>
          </w:r>
          <w:r>
            <w:rPr>
              <w:rFonts w:hint="eastAsia" w:ascii="仿宋" w:hAnsi="仿宋" w:eastAsia="仿宋"/>
            </w:rPr>
            <w:t>政</w:t>
          </w:r>
          <w:r>
            <w:rPr>
              <w:rFonts w:hint="eastAsia" w:ascii="仿宋" w:hAnsi="仿宋" w:eastAsia="仿宋"/>
              <w:bCs w:val="0"/>
            </w:rPr>
            <w:t>府性基金预算财政拨款“三公”经费支出决算表</w:t>
          </w:r>
          <w:r>
            <w:tab/>
          </w:r>
          <w:r>
            <w:fldChar w:fldCharType="begin"/>
          </w:r>
          <w:r>
            <w:instrText xml:space="preserve"> PAGEREF _Toc28648 \h </w:instrText>
          </w:r>
          <w:r>
            <w:fldChar w:fldCharType="separate"/>
          </w:r>
          <w:r>
            <w:t>31</w:t>
          </w:r>
          <w:r>
            <w:fldChar w:fldCharType="end"/>
          </w:r>
          <w:r>
            <w:fldChar w:fldCharType="end"/>
          </w:r>
        </w:p>
        <w:p>
          <w:pPr>
            <w:pStyle w:val="9"/>
            <w:tabs>
              <w:tab w:val="right" w:leader="dot" w:pos="8306"/>
            </w:tabs>
          </w:pPr>
          <w:r>
            <w:fldChar w:fldCharType="begin"/>
          </w:r>
          <w:r>
            <w:instrText xml:space="preserve"> HYPERLINK \l _Toc8424 </w:instrText>
          </w:r>
          <w:r>
            <w:fldChar w:fldCharType="separate"/>
          </w:r>
          <w:r>
            <w:rPr>
              <w:rFonts w:hint="eastAsia" w:ascii="仿宋" w:hAnsi="仿宋" w:eastAsia="仿宋"/>
              <w:bCs w:val="0"/>
            </w:rPr>
            <w:t>十三、</w:t>
          </w:r>
          <w:r>
            <w:rPr>
              <w:rFonts w:hint="eastAsia" w:ascii="仿宋" w:hAnsi="仿宋" w:eastAsia="仿宋"/>
            </w:rPr>
            <w:t>国</w:t>
          </w:r>
          <w:r>
            <w:rPr>
              <w:rFonts w:hint="eastAsia" w:ascii="仿宋" w:hAnsi="仿宋" w:eastAsia="仿宋"/>
              <w:bCs w:val="0"/>
            </w:rPr>
            <w:t>有资本经营预算支出决算表</w:t>
          </w:r>
          <w:r>
            <w:tab/>
          </w:r>
          <w:r>
            <w:fldChar w:fldCharType="begin"/>
          </w:r>
          <w:r>
            <w:instrText xml:space="preserve"> PAGEREF _Toc8424 \h </w:instrText>
          </w:r>
          <w:r>
            <w:fldChar w:fldCharType="separate"/>
          </w:r>
          <w:r>
            <w:t>31</w:t>
          </w:r>
          <w:r>
            <w:fldChar w:fldCharType="end"/>
          </w:r>
          <w:r>
            <w:fldChar w:fldCharType="end"/>
          </w:r>
        </w:p>
        <w:p>
          <w:pPr>
            <w:keepNext w:val="0"/>
            <w:keepLines w:val="0"/>
            <w:pageBreakBefore w:val="0"/>
            <w:kinsoku/>
            <w:wordWrap/>
            <w:overflowPunct/>
            <w:topLinePunct w:val="0"/>
            <w:autoSpaceDE/>
            <w:autoSpaceDN/>
            <w:bidi w:val="0"/>
            <w:adjustRightInd/>
            <w:snapToGrid/>
            <w:spacing w:before="0" w:beforeLines="0" w:after="0" w:afterLines="0" w:line="576" w:lineRule="exact"/>
            <w:ind w:left="0" w:leftChars="0" w:right="0" w:rightChars="0" w:firstLine="0" w:firstLineChars="0"/>
            <w:jc w:val="center"/>
            <w:textAlignment w:val="auto"/>
          </w:pPr>
          <w:r>
            <w:fldChar w:fldCharType="end"/>
          </w:r>
        </w:p>
      </w:sdtContent>
    </w:sdt>
    <w:p/>
    <w:p/>
    <w:p/>
    <w:p>
      <w:pPr>
        <w:pStyle w:val="2"/>
        <w:jc w:val="center"/>
        <w:rPr>
          <w:rFonts w:hint="eastAsia" w:ascii="黑体" w:hAnsi="黑体" w:eastAsia="黑体"/>
          <w:b w:val="0"/>
        </w:rPr>
      </w:pPr>
      <w:bookmarkStart w:id="17" w:name="_Toc30568"/>
      <w:bookmarkStart w:id="18" w:name="_Toc1145"/>
    </w:p>
    <w:p>
      <w:pPr>
        <w:pStyle w:val="2"/>
        <w:jc w:val="center"/>
        <w:rPr>
          <w:rFonts w:hint="eastAsia" w:ascii="黑体" w:hAnsi="黑体" w:eastAsia="黑体"/>
          <w:b w:val="0"/>
        </w:rPr>
      </w:pPr>
    </w:p>
    <w:p>
      <w:pPr>
        <w:rPr>
          <w:rFonts w:hint="eastAsia" w:ascii="黑体" w:hAnsi="黑体" w:eastAsia="黑体"/>
          <w:b w:val="0"/>
        </w:rPr>
      </w:pPr>
    </w:p>
    <w:p>
      <w:pPr>
        <w:rPr>
          <w:rFonts w:hint="eastAsia" w:ascii="黑体" w:hAnsi="黑体" w:eastAsia="黑体"/>
          <w:b w:val="0"/>
        </w:rPr>
      </w:pPr>
    </w:p>
    <w:p>
      <w:pPr>
        <w:pStyle w:val="2"/>
        <w:jc w:val="center"/>
        <w:rPr>
          <w:rStyle w:val="17"/>
          <w:rFonts w:ascii="黑体" w:hAnsi="黑体" w:eastAsia="黑体"/>
          <w:b/>
          <w:bCs w:val="0"/>
        </w:rPr>
      </w:pPr>
      <w:r>
        <w:rPr>
          <w:rFonts w:hint="eastAsia" w:ascii="黑体" w:hAnsi="黑体" w:eastAsia="黑体"/>
          <w:b w:val="0"/>
        </w:rPr>
        <w:t xml:space="preserve">第一部分 </w:t>
      </w:r>
      <w:r>
        <w:rPr>
          <w:rStyle w:val="17"/>
          <w:rFonts w:hint="eastAsia" w:ascii="黑体" w:hAnsi="黑体" w:eastAsia="黑体"/>
          <w:b w:val="0"/>
          <w:bCs w:val="0"/>
        </w:rPr>
        <w:t>部门概况</w:t>
      </w:r>
      <w:bookmarkEnd w:id="17"/>
      <w:bookmarkEnd w:id="18"/>
    </w:p>
    <w:p>
      <w:pPr>
        <w:widowControl/>
        <w:jc w:val="left"/>
        <w:rPr>
          <w:rFonts w:ascii="黑体" w:eastAsia="黑体"/>
          <w:color w:val="000000"/>
          <w:sz w:val="32"/>
          <w:szCs w:val="32"/>
        </w:rPr>
      </w:pPr>
    </w:p>
    <w:p>
      <w:pPr>
        <w:pStyle w:val="3"/>
        <w:rPr>
          <w:rStyle w:val="18"/>
          <w:rFonts w:ascii="仿宋" w:hAnsi="仿宋" w:eastAsia="仿宋"/>
          <w:b w:val="0"/>
          <w:bCs w:val="0"/>
        </w:rPr>
      </w:pPr>
      <w:bookmarkStart w:id="19" w:name="_Toc24986"/>
      <w:bookmarkStart w:id="20" w:name="_Toc15377197"/>
      <w:bookmarkStart w:id="21" w:name="_Toc15396600"/>
      <w:bookmarkStart w:id="22" w:name="_Toc4789"/>
      <w:r>
        <w:rPr>
          <w:rFonts w:hint="eastAsia" w:ascii="黑体" w:hAnsi="黑体" w:eastAsia="黑体"/>
          <w:b w:val="0"/>
          <w:color w:val="000000"/>
        </w:rPr>
        <w:t>一、基</w:t>
      </w:r>
      <w:r>
        <w:rPr>
          <w:rStyle w:val="18"/>
          <w:rFonts w:hint="eastAsia" w:ascii="黑体" w:hAnsi="黑体" w:eastAsia="黑体"/>
          <w:b w:val="0"/>
          <w:bCs w:val="0"/>
        </w:rPr>
        <w:t>本职能及主要工作</w:t>
      </w:r>
      <w:bookmarkEnd w:id="19"/>
      <w:bookmarkEnd w:id="20"/>
      <w:bookmarkEnd w:id="21"/>
      <w:bookmarkEnd w:id="22"/>
    </w:p>
    <w:p>
      <w:pPr>
        <w:pStyle w:val="4"/>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3" w:name="_Toc24578"/>
      <w:bookmarkStart w:id="24" w:name="_Toc27642"/>
      <w:bookmarkStart w:id="25" w:name="_Toc15377198"/>
      <w:bookmarkStart w:id="26" w:name="_Toc15378445"/>
      <w:r>
        <w:rPr>
          <w:rFonts w:hint="eastAsia" w:ascii="仿宋" w:hAnsi="仿宋" w:eastAsia="仿宋"/>
          <w:bCs/>
          <w:color w:val="000000"/>
          <w:sz w:val="32"/>
          <w:szCs w:val="32"/>
        </w:rPr>
        <w:t>（一）主要职能。</w:t>
      </w:r>
      <w:bookmarkEnd w:id="23"/>
      <w:bookmarkEnd w:id="24"/>
    </w:p>
    <w:p>
      <w:pPr>
        <w:pStyle w:val="4"/>
        <w:keepNext w:val="0"/>
        <w:keepLines w:val="0"/>
        <w:pageBreakBefore w:val="0"/>
        <w:numPr>
          <w:ilvl w:val="0"/>
          <w:numId w:val="1"/>
        </w:numPr>
        <w:kinsoku/>
        <w:wordWrap/>
        <w:overflowPunct/>
        <w:topLinePunct w:val="0"/>
        <w:autoSpaceDE/>
        <w:autoSpaceDN/>
        <w:bidi w:val="0"/>
        <w:adjustRightInd w:val="0"/>
        <w:snapToGrid w:val="0"/>
        <w:spacing w:beforeAutospacing="0" w:afterAutospacing="0" w:line="576" w:lineRule="exact"/>
        <w:ind w:leftChars="210" w:right="0" w:rightChars="0" w:firstLine="300" w:firstLineChars="100"/>
        <w:textAlignment w:val="auto"/>
        <w:outlineLvl w:val="9"/>
        <w:rPr>
          <w:rFonts w:hint="eastAsia" w:ascii="仿宋_GB2312" w:hAnsi="仿宋_GB2312" w:eastAsia="仿宋_GB2312" w:cs="仿宋_GB2312"/>
          <w:bCs/>
          <w:kern w:val="2"/>
          <w:sz w:val="30"/>
          <w:szCs w:val="30"/>
          <w:lang w:val="en-US" w:eastAsia="zh-CN" w:bidi="ar-SA"/>
        </w:rPr>
      </w:pPr>
      <w:r>
        <w:rPr>
          <w:rFonts w:hint="eastAsia" w:ascii="仿宋_GB2312" w:hAnsi="仿宋_GB2312" w:eastAsia="仿宋_GB2312" w:cs="仿宋_GB2312"/>
          <w:bCs/>
          <w:kern w:val="2"/>
          <w:sz w:val="30"/>
          <w:szCs w:val="30"/>
          <w:lang w:val="en-US" w:eastAsia="zh-CN" w:bidi="ar-SA"/>
        </w:rPr>
        <w:t>.行使领导全县共青团工作、领导全县青联和少先队工作的职权，对全县性青年社团组织进行指导和管理。</w:t>
      </w:r>
    </w:p>
    <w:p>
      <w:pPr>
        <w:pStyle w:val="4"/>
        <w:keepNext w:val="0"/>
        <w:keepLines w:val="0"/>
        <w:pageBreakBefore w:val="0"/>
        <w:numPr>
          <w:ilvl w:val="0"/>
          <w:numId w:val="1"/>
        </w:numPr>
        <w:kinsoku/>
        <w:wordWrap/>
        <w:overflowPunct/>
        <w:topLinePunct w:val="0"/>
        <w:autoSpaceDE/>
        <w:autoSpaceDN/>
        <w:bidi w:val="0"/>
        <w:adjustRightInd w:val="0"/>
        <w:snapToGrid w:val="0"/>
        <w:spacing w:beforeAutospacing="0" w:afterAutospacing="0" w:line="576" w:lineRule="exact"/>
        <w:ind w:leftChars="210" w:right="0" w:rightChars="0" w:firstLine="300" w:firstLineChars="100"/>
        <w:textAlignment w:val="auto"/>
        <w:outlineLvl w:val="9"/>
        <w:rPr>
          <w:rFonts w:hint="eastAsia" w:ascii="仿宋_GB2312" w:hAnsi="仿宋_GB2312" w:eastAsia="仿宋_GB2312" w:cs="仿宋_GB2312"/>
          <w:bCs/>
          <w:kern w:val="2"/>
          <w:sz w:val="30"/>
          <w:szCs w:val="30"/>
          <w:lang w:val="en-US" w:eastAsia="zh-CN" w:bidi="ar-SA"/>
        </w:rPr>
      </w:pPr>
      <w:r>
        <w:rPr>
          <w:rFonts w:hint="eastAsia" w:ascii="仿宋_GB2312" w:hAnsi="仿宋_GB2312" w:eastAsia="仿宋_GB2312" w:cs="仿宋_GB2312"/>
          <w:bCs/>
          <w:kern w:val="2"/>
          <w:sz w:val="30"/>
          <w:szCs w:val="30"/>
          <w:lang w:val="en-US" w:eastAsia="zh-CN" w:bidi="ar-SA"/>
        </w:rPr>
        <w:t>.参与制定我县青少年事业发展规划和青少年工作方针、政策，对我县青少年活动阵地、青少年服务机构建设等进行规划和管理。</w:t>
      </w:r>
    </w:p>
    <w:p>
      <w:pPr>
        <w:pStyle w:val="4"/>
        <w:keepNext w:val="0"/>
        <w:keepLines w:val="0"/>
        <w:pageBreakBefore w:val="0"/>
        <w:numPr>
          <w:ilvl w:val="0"/>
          <w:numId w:val="1"/>
        </w:numPr>
        <w:kinsoku/>
        <w:wordWrap/>
        <w:overflowPunct/>
        <w:topLinePunct w:val="0"/>
        <w:autoSpaceDE/>
        <w:autoSpaceDN/>
        <w:bidi w:val="0"/>
        <w:adjustRightInd w:val="0"/>
        <w:snapToGrid w:val="0"/>
        <w:spacing w:beforeAutospacing="0" w:afterAutospacing="0" w:line="576" w:lineRule="exact"/>
        <w:ind w:leftChars="210" w:right="0" w:rightChars="0" w:firstLine="300" w:firstLineChars="100"/>
        <w:textAlignment w:val="auto"/>
        <w:outlineLvl w:val="9"/>
        <w:rPr>
          <w:rFonts w:hint="eastAsia" w:ascii="仿宋_GB2312" w:hAnsi="仿宋_GB2312" w:eastAsia="仿宋_GB2312" w:cs="仿宋_GB2312"/>
          <w:bCs/>
          <w:kern w:val="2"/>
          <w:sz w:val="30"/>
          <w:szCs w:val="30"/>
          <w:lang w:val="en-US" w:eastAsia="zh-CN" w:bidi="ar-SA"/>
        </w:rPr>
      </w:pPr>
      <w:r>
        <w:rPr>
          <w:rFonts w:hint="eastAsia" w:ascii="仿宋_GB2312" w:hAnsi="仿宋_GB2312" w:eastAsia="仿宋_GB2312" w:cs="仿宋_GB2312"/>
          <w:bCs/>
          <w:kern w:val="2"/>
          <w:sz w:val="30"/>
          <w:szCs w:val="30"/>
          <w:lang w:val="en-US" w:eastAsia="zh-CN" w:bidi="ar-SA"/>
        </w:rPr>
        <w:t>.调查青年动态和青年工作状况，研究青少年运动，青少年工作理论和思想教育问题，提出相应对策，开展各种活动。</w:t>
      </w:r>
    </w:p>
    <w:p>
      <w:pPr>
        <w:pStyle w:val="4"/>
        <w:keepNext w:val="0"/>
        <w:keepLines w:val="0"/>
        <w:pageBreakBefore w:val="0"/>
        <w:numPr>
          <w:ilvl w:val="0"/>
          <w:numId w:val="1"/>
        </w:numPr>
        <w:kinsoku/>
        <w:wordWrap/>
        <w:overflowPunct/>
        <w:topLinePunct w:val="0"/>
        <w:autoSpaceDE/>
        <w:autoSpaceDN/>
        <w:bidi w:val="0"/>
        <w:adjustRightInd w:val="0"/>
        <w:snapToGrid w:val="0"/>
        <w:spacing w:beforeAutospacing="0" w:afterAutospacing="0" w:line="576" w:lineRule="exact"/>
        <w:ind w:leftChars="210" w:right="0" w:rightChars="0" w:firstLine="300" w:firstLineChars="100"/>
        <w:textAlignment w:val="auto"/>
        <w:outlineLvl w:val="9"/>
        <w:rPr>
          <w:rFonts w:hint="eastAsia" w:ascii="仿宋_GB2312" w:hAnsi="仿宋_GB2312" w:eastAsia="仿宋_GB2312" w:cs="仿宋_GB2312"/>
          <w:bCs/>
          <w:kern w:val="2"/>
          <w:sz w:val="30"/>
          <w:szCs w:val="30"/>
          <w:lang w:val="en-US" w:eastAsia="zh-CN" w:bidi="ar-SA"/>
        </w:rPr>
      </w:pPr>
      <w:r>
        <w:rPr>
          <w:rFonts w:hint="eastAsia" w:ascii="仿宋_GB2312" w:hAnsi="仿宋_GB2312" w:eastAsia="仿宋_GB2312" w:cs="仿宋_GB2312"/>
          <w:bCs/>
          <w:kern w:val="2"/>
          <w:sz w:val="30"/>
          <w:szCs w:val="30"/>
          <w:lang w:val="en-US" w:eastAsia="zh-CN" w:bidi="ar-SA"/>
        </w:rPr>
        <w:t>.协助政府教育部门，做好中、小学生的教育管理工作，维持学校稳定和社会安定团结。</w:t>
      </w:r>
    </w:p>
    <w:p>
      <w:pPr>
        <w:pStyle w:val="4"/>
        <w:keepNext w:val="0"/>
        <w:keepLines w:val="0"/>
        <w:pageBreakBefore w:val="0"/>
        <w:numPr>
          <w:ilvl w:val="0"/>
          <w:numId w:val="1"/>
        </w:numPr>
        <w:kinsoku/>
        <w:wordWrap/>
        <w:overflowPunct/>
        <w:topLinePunct w:val="0"/>
        <w:autoSpaceDE/>
        <w:autoSpaceDN/>
        <w:bidi w:val="0"/>
        <w:adjustRightInd w:val="0"/>
        <w:snapToGrid w:val="0"/>
        <w:spacing w:beforeAutospacing="0" w:afterAutospacing="0" w:line="576" w:lineRule="exact"/>
        <w:ind w:leftChars="210" w:right="0" w:rightChars="0" w:firstLine="300" w:firstLineChars="100"/>
        <w:textAlignment w:val="auto"/>
        <w:outlineLvl w:val="9"/>
        <w:rPr>
          <w:rFonts w:hint="eastAsia" w:ascii="仿宋_GB2312" w:hAnsi="仿宋_GB2312" w:eastAsia="仿宋_GB2312" w:cs="仿宋_GB2312"/>
          <w:bCs/>
          <w:kern w:val="2"/>
          <w:sz w:val="30"/>
          <w:szCs w:val="30"/>
          <w:lang w:val="en-US" w:eastAsia="zh-CN" w:bidi="ar-SA"/>
        </w:rPr>
      </w:pPr>
      <w:r>
        <w:rPr>
          <w:rFonts w:hint="eastAsia" w:ascii="仿宋_GB2312" w:hAnsi="仿宋_GB2312" w:eastAsia="仿宋_GB2312" w:cs="仿宋_GB2312"/>
          <w:bCs/>
          <w:kern w:val="2"/>
          <w:sz w:val="30"/>
          <w:szCs w:val="30"/>
          <w:lang w:val="en-US" w:eastAsia="zh-CN" w:bidi="ar-SA"/>
        </w:rPr>
        <w:t>.在经济建设中，组织和带领青年发挥生力军和突击队作用。</w:t>
      </w:r>
    </w:p>
    <w:p>
      <w:pPr>
        <w:pStyle w:val="4"/>
        <w:keepNext w:val="0"/>
        <w:keepLines w:val="0"/>
        <w:pageBreakBefore w:val="0"/>
        <w:numPr>
          <w:ilvl w:val="0"/>
          <w:numId w:val="1"/>
        </w:numPr>
        <w:kinsoku/>
        <w:wordWrap/>
        <w:overflowPunct/>
        <w:topLinePunct w:val="0"/>
        <w:autoSpaceDE/>
        <w:autoSpaceDN/>
        <w:bidi w:val="0"/>
        <w:adjustRightInd w:val="0"/>
        <w:snapToGrid w:val="0"/>
        <w:spacing w:beforeAutospacing="0" w:afterAutospacing="0" w:line="576" w:lineRule="exact"/>
        <w:ind w:leftChars="210" w:right="0" w:rightChars="0" w:firstLine="300" w:firstLineChars="100"/>
        <w:textAlignment w:val="auto"/>
        <w:outlineLvl w:val="9"/>
        <w:rPr>
          <w:rFonts w:hint="eastAsia" w:ascii="仿宋_GB2312" w:hAnsi="仿宋_GB2312" w:eastAsia="仿宋_GB2312" w:cs="仿宋_GB2312"/>
          <w:bCs/>
          <w:kern w:val="2"/>
          <w:sz w:val="30"/>
          <w:szCs w:val="30"/>
          <w:lang w:val="en-US" w:eastAsia="zh-CN" w:bidi="ar-SA"/>
        </w:rPr>
      </w:pPr>
      <w:r>
        <w:rPr>
          <w:rFonts w:hint="eastAsia" w:ascii="仿宋_GB2312" w:hAnsi="仿宋_GB2312" w:eastAsia="仿宋_GB2312" w:cs="仿宋_GB2312"/>
          <w:bCs/>
          <w:kern w:val="2"/>
          <w:sz w:val="30"/>
          <w:szCs w:val="30"/>
          <w:lang w:val="en-US" w:eastAsia="zh-CN" w:bidi="ar-SA"/>
        </w:rPr>
        <w:t>.会同有关部门对全县青少年外事工作进行归口管理和提供服务。</w:t>
      </w:r>
    </w:p>
    <w:p>
      <w:pPr>
        <w:pStyle w:val="4"/>
        <w:keepNext w:val="0"/>
        <w:keepLines w:val="0"/>
        <w:pageBreakBefore w:val="0"/>
        <w:numPr>
          <w:ilvl w:val="0"/>
          <w:numId w:val="1"/>
        </w:numPr>
        <w:kinsoku/>
        <w:wordWrap/>
        <w:overflowPunct/>
        <w:topLinePunct w:val="0"/>
        <w:autoSpaceDE/>
        <w:autoSpaceDN/>
        <w:bidi w:val="0"/>
        <w:adjustRightInd w:val="0"/>
        <w:snapToGrid w:val="0"/>
        <w:spacing w:beforeAutospacing="0" w:afterAutospacing="0" w:line="576" w:lineRule="exact"/>
        <w:ind w:leftChars="210" w:right="0" w:rightChars="0" w:firstLine="300" w:firstLineChars="100"/>
        <w:textAlignment w:val="auto"/>
        <w:outlineLvl w:val="9"/>
        <w:rPr>
          <w:rFonts w:hint="eastAsia" w:ascii="仿宋_GB2312" w:hAnsi="仿宋_GB2312" w:eastAsia="仿宋_GB2312" w:cs="仿宋_GB2312"/>
          <w:bCs/>
          <w:kern w:val="2"/>
          <w:sz w:val="30"/>
          <w:szCs w:val="30"/>
          <w:lang w:val="en-US" w:eastAsia="zh-CN" w:bidi="ar-SA"/>
        </w:rPr>
      </w:pPr>
      <w:r>
        <w:rPr>
          <w:rFonts w:hint="eastAsia" w:ascii="仿宋_GB2312" w:hAnsi="仿宋_GB2312" w:eastAsia="仿宋_GB2312" w:cs="仿宋_GB2312"/>
          <w:bCs/>
          <w:kern w:val="2"/>
          <w:sz w:val="30"/>
          <w:szCs w:val="30"/>
          <w:lang w:val="en-US" w:eastAsia="zh-CN" w:bidi="ar-SA"/>
        </w:rPr>
        <w:t>.做好我县青年统战对象和团结教育工作，维护、促进祖国统一和民族团结。</w:t>
      </w:r>
    </w:p>
    <w:p>
      <w:pPr>
        <w:pStyle w:val="4"/>
        <w:keepNext w:val="0"/>
        <w:keepLines w:val="0"/>
        <w:pageBreakBefore w:val="0"/>
        <w:numPr>
          <w:ilvl w:val="0"/>
          <w:numId w:val="1"/>
        </w:numPr>
        <w:kinsoku/>
        <w:wordWrap/>
        <w:overflowPunct/>
        <w:topLinePunct w:val="0"/>
        <w:autoSpaceDE/>
        <w:autoSpaceDN/>
        <w:bidi w:val="0"/>
        <w:adjustRightInd w:val="0"/>
        <w:snapToGrid w:val="0"/>
        <w:spacing w:beforeAutospacing="0" w:afterAutospacing="0" w:line="576" w:lineRule="exact"/>
        <w:ind w:leftChars="210" w:right="0" w:rightChars="0" w:firstLine="300" w:firstLineChars="100"/>
        <w:textAlignment w:val="auto"/>
        <w:outlineLvl w:val="9"/>
        <w:rPr>
          <w:rFonts w:hint="eastAsia" w:ascii="仿宋" w:hAnsi="仿宋" w:eastAsia="仿宋"/>
          <w:bCs/>
          <w:color w:val="000000"/>
          <w:sz w:val="32"/>
          <w:szCs w:val="32"/>
        </w:rPr>
      </w:pPr>
      <w:r>
        <w:rPr>
          <w:rFonts w:hint="eastAsia" w:ascii="仿宋_GB2312" w:hAnsi="仿宋_GB2312" w:eastAsia="仿宋_GB2312" w:cs="仿宋_GB2312"/>
          <w:bCs/>
          <w:kern w:val="2"/>
          <w:sz w:val="30"/>
          <w:szCs w:val="30"/>
          <w:lang w:val="en-US" w:eastAsia="zh-CN" w:bidi="ar-SA"/>
        </w:rPr>
        <w:t>.承担中共红原县委、红原县人民政府和共青团阿坝州委交办的有关事项。</w:t>
      </w:r>
    </w:p>
    <w:bookmarkEnd w:id="25"/>
    <w:bookmarkEnd w:id="26"/>
    <w:p>
      <w:pPr>
        <w:pStyle w:val="4"/>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7" w:name="_Toc8966"/>
      <w:bookmarkStart w:id="28" w:name="_Toc15377199"/>
      <w:bookmarkStart w:id="29" w:name="_Toc15378446"/>
      <w:bookmarkStart w:id="30" w:name="_Toc26797"/>
      <w:r>
        <w:rPr>
          <w:rFonts w:hint="eastAsia" w:ascii="仿宋" w:hAnsi="仿宋" w:eastAsia="仿宋"/>
          <w:bCs/>
          <w:color w:val="000000"/>
          <w:sz w:val="32"/>
          <w:szCs w:val="32"/>
        </w:rPr>
        <w:t>（二）</w:t>
      </w:r>
      <w:r>
        <w:rPr>
          <w:rFonts w:ascii="仿宋" w:hAnsi="仿宋" w:eastAsia="仿宋"/>
          <w:bCs/>
          <w:color w:val="000000"/>
          <w:sz w:val="32"/>
          <w:szCs w:val="32"/>
        </w:rPr>
        <w:t>20</w:t>
      </w:r>
      <w:r>
        <w:rPr>
          <w:rFonts w:hint="eastAsia" w:ascii="仿宋" w:hAnsi="仿宋" w:eastAsia="仿宋"/>
          <w:bCs/>
          <w:color w:val="000000"/>
          <w:sz w:val="32"/>
          <w:szCs w:val="32"/>
          <w:lang w:val="en-US" w:eastAsia="zh-CN"/>
        </w:rPr>
        <w:t>20</w:t>
      </w:r>
      <w:r>
        <w:rPr>
          <w:rFonts w:hint="eastAsia" w:ascii="仿宋" w:hAnsi="仿宋" w:eastAsia="仿宋"/>
          <w:bCs/>
          <w:color w:val="000000"/>
          <w:sz w:val="32"/>
          <w:szCs w:val="32"/>
        </w:rPr>
        <w:t>年重点工作完成情况。</w:t>
      </w:r>
      <w:bookmarkEnd w:id="27"/>
      <w:bookmarkEnd w:id="28"/>
      <w:bookmarkEnd w:id="29"/>
      <w:bookmarkEnd w:id="30"/>
    </w:p>
    <w:p>
      <w:pPr>
        <w:keepNext w:val="0"/>
        <w:keepLines w:val="0"/>
        <w:pageBreakBefore w:val="0"/>
        <w:kinsoku/>
        <w:wordWrap/>
        <w:overflowPunct/>
        <w:topLinePunct w:val="0"/>
        <w:autoSpaceDE/>
        <w:autoSpaceDN/>
        <w:bidi w:val="0"/>
        <w:snapToGrid w:val="0"/>
        <w:spacing w:beforeAutospacing="0" w:afterAutospacing="0" w:line="576"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1.切实践行社会主义核心价值观</w:t>
      </w:r>
    </w:p>
    <w:p>
      <w:pPr>
        <w:keepNext w:val="0"/>
        <w:keepLines w:val="0"/>
        <w:pageBreakBefore w:val="0"/>
        <w:kinsoku/>
        <w:wordWrap/>
        <w:overflowPunct/>
        <w:topLinePunct w:val="0"/>
        <w:autoSpaceDE/>
        <w:autoSpaceDN/>
        <w:bidi w:val="0"/>
        <w:snapToGrid w:val="0"/>
        <w:spacing w:beforeAutospacing="0" w:afterAutospacing="0" w:line="576"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2.围绕党政中心，组织团员青年投身经济社会发展</w:t>
      </w:r>
    </w:p>
    <w:p>
      <w:pPr>
        <w:keepNext w:val="0"/>
        <w:keepLines w:val="0"/>
        <w:pageBreakBefore w:val="0"/>
        <w:kinsoku/>
        <w:wordWrap/>
        <w:overflowPunct/>
        <w:topLinePunct w:val="0"/>
        <w:autoSpaceDE/>
        <w:autoSpaceDN/>
        <w:bidi w:val="0"/>
        <w:snapToGrid w:val="0"/>
        <w:spacing w:beforeAutospacing="0" w:afterAutospacing="0" w:line="576"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3.</w:t>
      </w:r>
      <w:r>
        <w:rPr>
          <w:rFonts w:hint="eastAsia" w:ascii="仿宋_GB2312" w:hAnsi="仿宋" w:eastAsia="仿宋_GB2312"/>
          <w:sz w:val="32"/>
          <w:szCs w:val="32"/>
          <w:lang w:eastAsia="zh-CN"/>
        </w:rPr>
        <w:t>加强</w:t>
      </w:r>
      <w:r>
        <w:rPr>
          <w:rFonts w:hint="eastAsia" w:ascii="仿宋_GB2312" w:hAnsi="仿宋" w:eastAsia="仿宋_GB2312"/>
          <w:sz w:val="32"/>
          <w:szCs w:val="32"/>
        </w:rPr>
        <w:t>深化青少年关心关爱</w:t>
      </w:r>
    </w:p>
    <w:p>
      <w:pPr>
        <w:keepNext w:val="0"/>
        <w:keepLines w:val="0"/>
        <w:pageBreakBefore w:val="0"/>
        <w:kinsoku/>
        <w:wordWrap/>
        <w:overflowPunct/>
        <w:topLinePunct w:val="0"/>
        <w:autoSpaceDE/>
        <w:autoSpaceDN/>
        <w:bidi w:val="0"/>
        <w:snapToGrid w:val="0"/>
        <w:spacing w:beforeAutospacing="0" w:afterAutospacing="0" w:line="576" w:lineRule="exact"/>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rPr>
        <w:t>4.</w:t>
      </w:r>
      <w:r>
        <w:rPr>
          <w:rFonts w:hint="eastAsia" w:ascii="仿宋_GB2312" w:hAnsi="仿宋" w:eastAsia="仿宋_GB2312"/>
          <w:sz w:val="32"/>
          <w:szCs w:val="32"/>
          <w:lang w:eastAsia="zh-CN"/>
        </w:rPr>
        <w:t>继续推动</w:t>
      </w:r>
      <w:r>
        <w:rPr>
          <w:rFonts w:hint="eastAsia" w:ascii="仿宋_GB2312" w:hAnsi="仿宋" w:eastAsia="仿宋_GB2312"/>
          <w:sz w:val="32"/>
          <w:szCs w:val="32"/>
        </w:rPr>
        <w:t>资助贫困学生，圆校园梦</w:t>
      </w:r>
      <w:r>
        <w:rPr>
          <w:rFonts w:hint="eastAsia" w:ascii="仿宋_GB2312" w:hAnsi="仿宋" w:eastAsia="仿宋_GB2312"/>
          <w:sz w:val="32"/>
          <w:szCs w:val="32"/>
          <w:lang w:eastAsia="zh-CN"/>
        </w:rPr>
        <w:t>工作</w:t>
      </w:r>
    </w:p>
    <w:p>
      <w:pPr>
        <w:keepNext w:val="0"/>
        <w:keepLines w:val="0"/>
        <w:pageBreakBefore w:val="0"/>
        <w:kinsoku/>
        <w:wordWrap/>
        <w:overflowPunct/>
        <w:topLinePunct w:val="0"/>
        <w:autoSpaceDE/>
        <w:autoSpaceDN/>
        <w:bidi w:val="0"/>
        <w:snapToGrid w:val="0"/>
        <w:spacing w:beforeAutospacing="0" w:afterAutospacing="0" w:line="576"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5.</w:t>
      </w:r>
      <w:r>
        <w:rPr>
          <w:rFonts w:hint="eastAsia" w:ascii="仿宋_GB2312" w:hAnsi="仿宋" w:eastAsia="仿宋_GB2312"/>
          <w:sz w:val="32"/>
          <w:szCs w:val="32"/>
          <w:lang w:eastAsia="zh-CN"/>
        </w:rPr>
        <w:t>继续</w:t>
      </w:r>
      <w:r>
        <w:rPr>
          <w:rFonts w:hint="eastAsia" w:ascii="仿宋_GB2312" w:hAnsi="仿宋" w:eastAsia="仿宋_GB2312"/>
          <w:sz w:val="32"/>
          <w:szCs w:val="32"/>
        </w:rPr>
        <w:t>推进共青团改革工作</w:t>
      </w:r>
    </w:p>
    <w:p>
      <w:pPr>
        <w:keepNext w:val="0"/>
        <w:keepLines w:val="0"/>
        <w:pageBreakBefore w:val="0"/>
        <w:kinsoku/>
        <w:wordWrap/>
        <w:overflowPunct/>
        <w:topLinePunct w:val="0"/>
        <w:autoSpaceDE/>
        <w:autoSpaceDN/>
        <w:bidi w:val="0"/>
        <w:snapToGrid w:val="0"/>
        <w:spacing w:beforeAutospacing="0" w:afterAutospacing="0" w:line="576"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6.促进稳定和谐，真心实意为群众解难事办实事</w:t>
      </w:r>
    </w:p>
    <w:p>
      <w:pPr>
        <w:keepNext w:val="0"/>
        <w:keepLines w:val="0"/>
        <w:pageBreakBefore w:val="0"/>
        <w:kinsoku/>
        <w:wordWrap/>
        <w:overflowPunct/>
        <w:topLinePunct w:val="0"/>
        <w:autoSpaceDE/>
        <w:autoSpaceDN/>
        <w:bidi w:val="0"/>
        <w:snapToGrid w:val="0"/>
        <w:spacing w:beforeAutospacing="0" w:afterAutospacing="0" w:line="576"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7.</w:t>
      </w:r>
      <w:r>
        <w:rPr>
          <w:rFonts w:hint="eastAsia" w:ascii="仿宋_GB2312" w:hAnsi="仿宋" w:eastAsia="仿宋_GB2312"/>
          <w:sz w:val="32"/>
          <w:szCs w:val="32"/>
          <w:lang w:eastAsia="zh-CN"/>
        </w:rPr>
        <w:t>在上级帮助支持下大力</w:t>
      </w:r>
      <w:r>
        <w:rPr>
          <w:rFonts w:hint="eastAsia" w:ascii="仿宋_GB2312" w:hAnsi="仿宋" w:eastAsia="仿宋_GB2312"/>
          <w:sz w:val="32"/>
          <w:szCs w:val="32"/>
        </w:rPr>
        <w:t>推动青年就业创业</w:t>
      </w:r>
    </w:p>
    <w:p>
      <w:pPr>
        <w:keepNext w:val="0"/>
        <w:keepLines w:val="0"/>
        <w:pageBreakBefore w:val="0"/>
        <w:kinsoku/>
        <w:wordWrap/>
        <w:overflowPunct/>
        <w:topLinePunct w:val="0"/>
        <w:autoSpaceDE/>
        <w:autoSpaceDN/>
        <w:bidi w:val="0"/>
        <w:snapToGrid w:val="0"/>
        <w:spacing w:beforeAutospacing="0" w:afterAutospacing="0" w:line="576"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8.预防青少年犯罪</w:t>
      </w:r>
      <w:r>
        <w:rPr>
          <w:rFonts w:hint="eastAsia" w:ascii="仿宋_GB2312" w:hAnsi="仿宋" w:eastAsia="仿宋_GB2312"/>
          <w:sz w:val="32"/>
          <w:szCs w:val="32"/>
          <w:lang w:eastAsia="zh-CN"/>
        </w:rPr>
        <w:t>、</w:t>
      </w:r>
      <w:r>
        <w:rPr>
          <w:rFonts w:hint="eastAsia" w:ascii="仿宋_GB2312" w:hAnsi="仿宋" w:eastAsia="仿宋_GB2312"/>
          <w:sz w:val="32"/>
          <w:szCs w:val="32"/>
        </w:rPr>
        <w:t>维护青少年权益</w:t>
      </w:r>
    </w:p>
    <w:p>
      <w:pPr>
        <w:keepNext w:val="0"/>
        <w:keepLines w:val="0"/>
        <w:pageBreakBefore w:val="0"/>
        <w:kinsoku/>
        <w:wordWrap/>
        <w:overflowPunct/>
        <w:topLinePunct w:val="0"/>
        <w:autoSpaceDE/>
        <w:autoSpaceDN/>
        <w:bidi w:val="0"/>
        <w:snapToGrid w:val="0"/>
        <w:spacing w:beforeAutospacing="0" w:afterAutospacing="0" w:line="576" w:lineRule="exact"/>
        <w:ind w:firstLine="640" w:firstLineChars="200"/>
        <w:rPr>
          <w:rFonts w:hint="eastAsia" w:ascii="仿宋" w:hAnsi="仿宋" w:eastAsia="仿宋"/>
          <w:bCs/>
          <w:color w:val="000000"/>
          <w:sz w:val="32"/>
          <w:szCs w:val="32"/>
        </w:rPr>
      </w:pPr>
      <w:r>
        <w:rPr>
          <w:rFonts w:hint="eastAsia" w:ascii="仿宋_GB2312" w:hAnsi="仿宋" w:eastAsia="仿宋_GB2312"/>
          <w:sz w:val="32"/>
          <w:szCs w:val="32"/>
        </w:rPr>
        <w:t>9.新媒体工作</w:t>
      </w:r>
      <w:r>
        <w:rPr>
          <w:rFonts w:hint="eastAsia" w:ascii="仿宋_GB2312" w:hAnsi="仿宋" w:eastAsia="仿宋_GB2312"/>
          <w:sz w:val="32"/>
          <w:szCs w:val="32"/>
          <w:lang w:eastAsia="zh-CN"/>
        </w:rPr>
        <w:t>顺利实施，再上新台阶</w:t>
      </w:r>
    </w:p>
    <w:p>
      <w:pPr>
        <w:pStyle w:val="3"/>
        <w:rPr>
          <w:rStyle w:val="19"/>
          <w:b w:val="0"/>
          <w:bCs w:val="0"/>
        </w:rPr>
      </w:pPr>
      <w:bookmarkStart w:id="31" w:name="_Toc15377200"/>
      <w:bookmarkStart w:id="32" w:name="_Toc32689"/>
      <w:bookmarkStart w:id="33" w:name="_Toc15396601"/>
      <w:bookmarkStart w:id="34" w:name="_Toc23488"/>
      <w:r>
        <w:rPr>
          <w:rFonts w:hint="eastAsia" w:ascii="黑体" w:eastAsia="黑体"/>
          <w:b w:val="0"/>
          <w:color w:val="000000"/>
        </w:rPr>
        <w:t>二、</w:t>
      </w:r>
      <w:r>
        <w:rPr>
          <w:rFonts w:hint="eastAsia" w:ascii="黑体" w:hAnsi="黑体" w:eastAsia="黑体"/>
          <w:b w:val="0"/>
          <w:color w:val="000000"/>
        </w:rPr>
        <w:t>机</w:t>
      </w:r>
      <w:r>
        <w:rPr>
          <w:rStyle w:val="19"/>
          <w:rFonts w:hint="eastAsia" w:ascii="黑体" w:hAnsi="黑体" w:eastAsia="黑体"/>
          <w:b w:val="0"/>
          <w:bCs w:val="0"/>
        </w:rPr>
        <w:t>构设置</w:t>
      </w:r>
      <w:bookmarkEnd w:id="31"/>
      <w:bookmarkEnd w:id="32"/>
      <w:bookmarkEnd w:id="33"/>
      <w:bookmarkEnd w:id="34"/>
    </w:p>
    <w:p>
      <w:pPr>
        <w:pStyle w:val="4"/>
        <w:keepNext w:val="0"/>
        <w:keepLines w:val="0"/>
        <w:pageBreakBefore w:val="0"/>
        <w:widowControl w:val="0"/>
        <w:numPr>
          <w:ilvl w:val="0"/>
          <w:numId w:val="0"/>
        </w:numPr>
        <w:kinsoku/>
        <w:wordWrap/>
        <w:overflowPunct/>
        <w:topLinePunct w:val="0"/>
        <w:autoSpaceDE/>
        <w:autoSpaceDN/>
        <w:bidi w:val="0"/>
        <w:adjustRightInd w:val="0"/>
        <w:snapToGrid w:val="0"/>
        <w:spacing w:before="93" w:line="576" w:lineRule="exact"/>
        <w:ind w:left="672" w:leftChars="0" w:firstLine="640" w:firstLineChars="200"/>
        <w:jc w:val="both"/>
        <w:textAlignment w:val="auto"/>
        <w:outlineLvl w:val="2"/>
        <w:rPr>
          <w:rFonts w:hint="default" w:ascii="仿宋" w:hAnsi="仿宋" w:eastAsia="仿宋"/>
          <w:sz w:val="32"/>
          <w:szCs w:val="32"/>
          <w:lang w:val="en-US" w:eastAsia="zh-CN"/>
        </w:rPr>
      </w:pPr>
      <w:bookmarkStart w:id="35" w:name="_Toc21895"/>
      <w:bookmarkStart w:id="36" w:name="_Toc5945"/>
      <w:bookmarkStart w:id="37" w:name="_Toc32497"/>
      <w:r>
        <w:rPr>
          <w:rFonts w:hint="eastAsia" w:ascii="仿宋" w:hAnsi="仿宋" w:eastAsia="仿宋"/>
          <w:sz w:val="32"/>
          <w:szCs w:val="32"/>
          <w:lang w:eastAsia="zh-CN"/>
        </w:rPr>
        <w:t>本单位</w:t>
      </w:r>
      <w:r>
        <w:rPr>
          <w:rFonts w:hint="eastAsia" w:ascii="仿宋" w:hAnsi="仿宋" w:eastAsia="仿宋"/>
          <w:sz w:val="32"/>
          <w:szCs w:val="32"/>
        </w:rPr>
        <w:t>下属二级单位</w:t>
      </w:r>
      <w:r>
        <w:rPr>
          <w:rFonts w:hint="eastAsia" w:ascii="仿宋" w:hAnsi="仿宋" w:eastAsia="仿宋"/>
          <w:sz w:val="32"/>
          <w:szCs w:val="32"/>
          <w:lang w:val="en-US" w:eastAsia="zh-CN"/>
        </w:rPr>
        <w:t>3</w:t>
      </w:r>
      <w:r>
        <w:rPr>
          <w:rFonts w:hint="eastAsia" w:ascii="仿宋" w:hAnsi="仿宋" w:eastAsia="仿宋"/>
          <w:sz w:val="32"/>
          <w:szCs w:val="32"/>
        </w:rPr>
        <w:t>个，其中行政单位</w:t>
      </w:r>
      <w:r>
        <w:rPr>
          <w:rFonts w:hint="eastAsia" w:ascii="仿宋" w:hAnsi="仿宋" w:eastAsia="仿宋"/>
          <w:sz w:val="32"/>
          <w:szCs w:val="32"/>
          <w:lang w:val="en-US" w:eastAsia="zh-CN"/>
        </w:rPr>
        <w:t>1</w:t>
      </w:r>
      <w:r>
        <w:rPr>
          <w:rFonts w:hint="eastAsia" w:ascii="仿宋" w:hAnsi="仿宋" w:eastAsia="仿宋"/>
          <w:sz w:val="32"/>
          <w:szCs w:val="32"/>
        </w:rPr>
        <w:t>个</w:t>
      </w:r>
      <w:r>
        <w:rPr>
          <w:rFonts w:hint="eastAsia" w:ascii="仿宋" w:hAnsi="仿宋" w:eastAsia="仿宋"/>
          <w:sz w:val="32"/>
          <w:szCs w:val="32"/>
          <w:lang w:val="en-US" w:eastAsia="zh-CN"/>
        </w:rPr>
        <w:t>,编制3人</w:t>
      </w:r>
      <w:r>
        <w:rPr>
          <w:rFonts w:hint="eastAsia" w:ascii="仿宋" w:hAnsi="仿宋" w:eastAsia="仿宋"/>
          <w:sz w:val="32"/>
          <w:szCs w:val="32"/>
        </w:rPr>
        <w:t>，</w:t>
      </w:r>
      <w:r>
        <w:rPr>
          <w:rFonts w:hint="eastAsia" w:ascii="仿宋" w:hAnsi="仿宋" w:eastAsia="仿宋"/>
          <w:sz w:val="32"/>
          <w:szCs w:val="32"/>
          <w:lang w:eastAsia="zh-CN"/>
        </w:rPr>
        <w:t>西部计划志愿者</w:t>
      </w:r>
      <w:r>
        <w:rPr>
          <w:rFonts w:hint="eastAsia" w:ascii="仿宋" w:hAnsi="仿宋" w:eastAsia="仿宋"/>
          <w:sz w:val="32"/>
          <w:szCs w:val="32"/>
          <w:lang w:val="en-US" w:eastAsia="zh-CN"/>
        </w:rPr>
        <w:t>2人；</w:t>
      </w:r>
      <w:r>
        <w:rPr>
          <w:rFonts w:hint="eastAsia" w:ascii="仿宋" w:hAnsi="仿宋" w:eastAsia="仿宋"/>
          <w:sz w:val="32"/>
          <w:szCs w:val="32"/>
        </w:rPr>
        <w:t>参照公务员法管理的事业单位</w:t>
      </w:r>
      <w:r>
        <w:rPr>
          <w:rFonts w:hint="eastAsia" w:ascii="仿宋" w:hAnsi="仿宋" w:eastAsia="仿宋"/>
          <w:sz w:val="32"/>
          <w:szCs w:val="32"/>
          <w:lang w:val="en-US" w:eastAsia="zh-CN"/>
        </w:rPr>
        <w:t>2</w:t>
      </w:r>
      <w:r>
        <w:rPr>
          <w:rFonts w:hint="eastAsia" w:ascii="仿宋" w:hAnsi="仿宋" w:eastAsia="仿宋"/>
          <w:sz w:val="32"/>
          <w:szCs w:val="32"/>
        </w:rPr>
        <w:t>个，</w:t>
      </w:r>
      <w:r>
        <w:rPr>
          <w:rFonts w:hint="eastAsia" w:ascii="仿宋" w:hAnsi="仿宋" w:eastAsia="仿宋"/>
          <w:sz w:val="32"/>
          <w:szCs w:val="32"/>
          <w:lang w:eastAsia="zh-CN"/>
        </w:rPr>
        <w:t>其中四川省阿坝州红原县关心下一代工作委员会，编制</w:t>
      </w:r>
      <w:r>
        <w:rPr>
          <w:rFonts w:hint="eastAsia" w:ascii="仿宋" w:hAnsi="仿宋" w:eastAsia="仿宋"/>
          <w:sz w:val="32"/>
          <w:szCs w:val="32"/>
          <w:lang w:val="en-US" w:eastAsia="zh-CN"/>
        </w:rPr>
        <w:t>2人；</w:t>
      </w:r>
      <w:r>
        <w:rPr>
          <w:rFonts w:hint="eastAsia" w:ascii="仿宋" w:hAnsi="仿宋" w:eastAsia="仿宋"/>
          <w:color w:val="000000"/>
          <w:sz w:val="32"/>
          <w:szCs w:val="32"/>
          <w:lang w:eastAsia="zh-CN"/>
        </w:rPr>
        <w:t>四川省阿坝州红原县青少年宫编制</w:t>
      </w:r>
      <w:r>
        <w:rPr>
          <w:rFonts w:hint="eastAsia" w:ascii="仿宋" w:hAnsi="仿宋" w:eastAsia="仿宋"/>
          <w:color w:val="000000"/>
          <w:sz w:val="32"/>
          <w:szCs w:val="32"/>
          <w:lang w:val="en-US" w:eastAsia="zh-CN"/>
        </w:rPr>
        <w:t>4人。</w:t>
      </w:r>
      <w:bookmarkEnd w:id="35"/>
      <w:bookmarkEnd w:id="36"/>
      <w:bookmarkEnd w:id="37"/>
    </w:p>
    <w:p>
      <w:pPr>
        <w:pStyle w:val="4"/>
        <w:adjustRightInd w:val="0"/>
        <w:snapToGrid w:val="0"/>
        <w:spacing w:before="93" w:line="600" w:lineRule="exact"/>
        <w:ind w:firstLine="672" w:firstLineChars="210"/>
        <w:rPr>
          <w:rFonts w:hint="eastAsia" w:ascii="仿宋" w:hAnsi="仿宋" w:eastAsia="仿宋"/>
          <w:color w:val="000000"/>
          <w:sz w:val="32"/>
          <w:szCs w:val="32"/>
        </w:rPr>
      </w:pPr>
      <w:r>
        <w:rPr>
          <w:rFonts w:hint="eastAsia" w:ascii="仿宋" w:hAnsi="仿宋" w:eastAsia="仿宋"/>
          <w:color w:val="000000"/>
          <w:sz w:val="32"/>
          <w:szCs w:val="32"/>
        </w:rPr>
        <w:t>纳入</w:t>
      </w:r>
      <w:r>
        <w:rPr>
          <w:rFonts w:hint="eastAsia" w:ascii="仿宋" w:hAnsi="仿宋" w:eastAsia="仿宋"/>
          <w:color w:val="000000"/>
          <w:sz w:val="32"/>
          <w:szCs w:val="32"/>
          <w:lang w:eastAsia="zh-CN"/>
        </w:rPr>
        <w:t>四川省厅</w:t>
      </w:r>
      <w:r>
        <w:rPr>
          <w:rFonts w:hint="eastAsia"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年度部门决算编制范围的二级预算单位包括：</w:t>
      </w:r>
    </w:p>
    <w:p>
      <w:pPr>
        <w:pStyle w:val="4"/>
        <w:adjustRightInd w:val="0"/>
        <w:snapToGrid w:val="0"/>
        <w:spacing w:before="93" w:line="600" w:lineRule="exact"/>
        <w:ind w:firstLine="672" w:firstLineChars="210"/>
        <w:rPr>
          <w:rFonts w:hint="default" w:ascii="仿宋" w:hAnsi="仿宋" w:eastAsia="仿宋"/>
          <w:color w:val="000000"/>
          <w:sz w:val="32"/>
          <w:szCs w:val="32"/>
          <w:lang w:val="en-US" w:eastAsia="zh-CN"/>
        </w:rPr>
      </w:pPr>
      <w:r>
        <w:rPr>
          <w:rFonts w:hint="eastAsia" w:ascii="仿宋" w:hAnsi="仿宋" w:eastAsia="仿宋"/>
          <w:color w:val="000000"/>
          <w:sz w:val="32"/>
          <w:szCs w:val="32"/>
          <w:lang w:val="en-US" w:eastAsia="zh-CN"/>
        </w:rPr>
        <w:t>1.中国共产主义青年团阿坝州红原县团委</w:t>
      </w:r>
    </w:p>
    <w:p>
      <w:pPr>
        <w:pStyle w:val="4"/>
        <w:numPr>
          <w:ilvl w:val="0"/>
          <w:numId w:val="0"/>
        </w:numPr>
        <w:adjustRightInd w:val="0"/>
        <w:snapToGrid w:val="0"/>
        <w:spacing w:before="93" w:line="600" w:lineRule="exact"/>
        <w:ind w:left="672" w:leftChars="0"/>
        <w:outlineLvl w:val="2"/>
        <w:rPr>
          <w:rFonts w:ascii="仿宋" w:hAnsi="仿宋" w:eastAsia="仿宋"/>
          <w:color w:val="000000"/>
          <w:sz w:val="32"/>
          <w:szCs w:val="32"/>
        </w:rPr>
      </w:pPr>
      <w:bookmarkStart w:id="38" w:name="_Toc27951"/>
      <w:bookmarkStart w:id="39" w:name="_Toc11258"/>
      <w:bookmarkStart w:id="40" w:name="_Toc14421"/>
      <w:r>
        <w:rPr>
          <w:rFonts w:hint="eastAsia" w:ascii="仿宋" w:hAnsi="仿宋" w:eastAsia="仿宋"/>
          <w:color w:val="000000"/>
          <w:sz w:val="32"/>
          <w:szCs w:val="32"/>
          <w:lang w:val="en-US" w:eastAsia="zh-CN"/>
        </w:rPr>
        <w:t>2.</w:t>
      </w:r>
      <w:r>
        <w:rPr>
          <w:rFonts w:hint="eastAsia" w:ascii="仿宋" w:hAnsi="仿宋" w:eastAsia="仿宋"/>
          <w:color w:val="000000"/>
          <w:sz w:val="32"/>
          <w:szCs w:val="32"/>
          <w:lang w:eastAsia="zh-CN"/>
        </w:rPr>
        <w:t>四川省阿坝州红原县青少年宫</w:t>
      </w:r>
      <w:bookmarkEnd w:id="38"/>
      <w:bookmarkEnd w:id="39"/>
      <w:bookmarkEnd w:id="40"/>
    </w:p>
    <w:p>
      <w:pPr>
        <w:pStyle w:val="2"/>
        <w:ind w:right="440"/>
        <w:jc w:val="center"/>
      </w:pPr>
      <w:bookmarkStart w:id="41" w:name="_Toc28641"/>
      <w:bookmarkStart w:id="42" w:name="_Toc6833"/>
      <w:r>
        <w:rPr>
          <w:rFonts w:hint="eastAsia" w:ascii="黑体" w:hAnsi="黑体" w:eastAsia="黑体"/>
          <w:b w:val="0"/>
          <w:color w:val="000000"/>
        </w:rPr>
        <w:t>第二部分</w:t>
      </w:r>
      <w:r>
        <w:rPr>
          <w:rFonts w:hint="eastAsia" w:ascii="黑体" w:hAnsi="黑体" w:eastAsia="黑体"/>
          <w:color w:val="000000"/>
        </w:rPr>
        <w:t xml:space="preserve"> </w:t>
      </w:r>
      <w:r>
        <w:rPr>
          <w:rStyle w:val="17"/>
          <w:rFonts w:hint="eastAsia" w:ascii="黑体" w:hAnsi="黑体" w:eastAsia="黑体"/>
          <w:b w:val="0"/>
          <w:bCs w:val="0"/>
        </w:rPr>
        <w:t>20</w:t>
      </w:r>
      <w:r>
        <w:rPr>
          <w:rStyle w:val="17"/>
          <w:rFonts w:hint="eastAsia" w:ascii="黑体" w:hAnsi="黑体" w:eastAsia="黑体"/>
          <w:b w:val="0"/>
          <w:bCs w:val="0"/>
          <w:lang w:val="en-US" w:eastAsia="zh-CN"/>
        </w:rPr>
        <w:t>20</w:t>
      </w:r>
      <w:r>
        <w:rPr>
          <w:rStyle w:val="17"/>
          <w:rFonts w:hint="eastAsia" w:ascii="黑体" w:hAnsi="黑体" w:eastAsia="黑体"/>
          <w:b w:val="0"/>
          <w:bCs w:val="0"/>
        </w:rPr>
        <w:t>年度部门决算</w:t>
      </w:r>
      <w:r>
        <w:rPr>
          <w:rStyle w:val="17"/>
          <w:rFonts w:hint="eastAsia" w:ascii="黑体" w:hAnsi="黑体" w:eastAsia="黑体"/>
          <w:b w:val="0"/>
          <w:bCs w:val="0"/>
          <w:lang w:eastAsia="zh-CN"/>
        </w:rPr>
        <w:t>公开</w:t>
      </w:r>
      <w:bookmarkEnd w:id="41"/>
      <w:bookmarkEnd w:id="42"/>
    </w:p>
    <w:p>
      <w:pPr>
        <w:pStyle w:val="20"/>
        <w:numPr>
          <w:ilvl w:val="0"/>
          <w:numId w:val="2"/>
        </w:numPr>
        <w:spacing w:line="600" w:lineRule="exact"/>
        <w:ind w:firstLineChars="0"/>
        <w:outlineLvl w:val="1"/>
        <w:rPr>
          <w:rStyle w:val="18"/>
          <w:rFonts w:ascii="黑体" w:hAnsi="黑体" w:eastAsia="黑体"/>
          <w:b w:val="0"/>
        </w:rPr>
      </w:pPr>
      <w:bookmarkStart w:id="43" w:name="_Toc15377205"/>
      <w:bookmarkStart w:id="44" w:name="_Toc8476"/>
      <w:bookmarkStart w:id="45" w:name="_Toc15396603"/>
      <w:bookmarkStart w:id="46" w:name="_Toc8622"/>
      <w:r>
        <w:rPr>
          <w:rFonts w:hint="eastAsia" w:ascii="黑体" w:hAnsi="黑体" w:eastAsia="黑体"/>
          <w:color w:val="000000"/>
          <w:sz w:val="32"/>
          <w:szCs w:val="32"/>
        </w:rPr>
        <w:t>收</w:t>
      </w:r>
      <w:r>
        <w:rPr>
          <w:rStyle w:val="18"/>
          <w:rFonts w:hint="eastAsia" w:ascii="黑体" w:hAnsi="黑体" w:eastAsia="黑体"/>
          <w:b w:val="0"/>
        </w:rPr>
        <w:t>入支出决算总体情况说明</w:t>
      </w:r>
      <w:bookmarkEnd w:id="43"/>
      <w:bookmarkEnd w:id="44"/>
      <w:bookmarkEnd w:id="45"/>
      <w:bookmarkEnd w:id="46"/>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年度收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183.26</w:t>
      </w:r>
      <w:r>
        <w:rPr>
          <w:rFonts w:hint="eastAsia" w:ascii="仿宋" w:hAnsi="仿宋" w:eastAsia="仿宋"/>
          <w:color w:val="000000"/>
          <w:sz w:val="32"/>
          <w:szCs w:val="32"/>
        </w:rPr>
        <w:t>万元。与201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年相比，收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总计减少</w:t>
      </w:r>
      <w:r>
        <w:rPr>
          <w:rFonts w:hint="eastAsia" w:ascii="仿宋" w:hAnsi="仿宋" w:eastAsia="仿宋"/>
          <w:color w:val="000000"/>
          <w:sz w:val="32"/>
          <w:szCs w:val="32"/>
          <w:lang w:val="en-US" w:eastAsia="zh-CN"/>
        </w:rPr>
        <w:t>34.16</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18.64</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行政事业单位分开决算，合理使用公用经费，厉行节约</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2020年支出183.26万元，与2019年相比减少32.16万，下降17.54%</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行政事业单位分开决算，厉行节约。</w:t>
      </w: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spacing w:line="600" w:lineRule="exact"/>
        <w:ind w:firstLine="640" w:firstLineChars="200"/>
        <w:rPr>
          <w:rFonts w:hint="eastAsia" w:ascii="仿宋" w:hAnsi="仿宋" w:eastAsia="仿宋"/>
          <w:color w:val="000000" w:themeColor="text1"/>
          <w:sz w:val="32"/>
          <w:szCs w:val="32"/>
          <w:lang w:eastAsia="zh-CN"/>
          <w14:textFill>
            <w14:solidFill>
              <w14:schemeClr w14:val="tx1"/>
            </w14:solidFill>
          </w14:textFill>
        </w:rPr>
      </w:pPr>
      <w:r>
        <w:rPr>
          <w:rFonts w:hint="eastAsia" w:ascii="黑体" w:hAnsi="黑体" w:eastAsia="黑体"/>
          <w:color w:val="000000"/>
          <w:sz w:val="32"/>
          <w:szCs w:val="32"/>
          <w:lang w:eastAsia="zh-CN"/>
        </w:rPr>
        <w:drawing>
          <wp:anchor distT="0" distB="0" distL="114300" distR="114300" simplePos="0" relativeHeight="251659264" behindDoc="0" locked="0" layoutInCell="1" allowOverlap="1">
            <wp:simplePos x="0" y="0"/>
            <wp:positionH relativeFrom="column">
              <wp:posOffset>52070</wp:posOffset>
            </wp:positionH>
            <wp:positionV relativeFrom="paragraph">
              <wp:posOffset>351790</wp:posOffset>
            </wp:positionV>
            <wp:extent cx="5080000" cy="3895725"/>
            <wp:effectExtent l="4445" t="4445" r="20955" b="5080"/>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p>
    <w:p>
      <w:pPr>
        <w:pStyle w:val="20"/>
        <w:numPr>
          <w:ilvl w:val="0"/>
          <w:numId w:val="2"/>
        </w:numPr>
        <w:spacing w:line="600" w:lineRule="exact"/>
        <w:ind w:firstLineChars="0"/>
        <w:outlineLvl w:val="1"/>
        <w:rPr>
          <w:rStyle w:val="18"/>
          <w:rFonts w:ascii="黑体" w:hAnsi="黑体" w:eastAsia="黑体"/>
          <w:b w:val="0"/>
        </w:rPr>
      </w:pPr>
      <w:bookmarkStart w:id="47" w:name="_Toc15377206"/>
      <w:bookmarkStart w:id="48" w:name="_Toc15396604"/>
      <w:bookmarkStart w:id="49" w:name="_Toc19525"/>
      <w:bookmarkStart w:id="50" w:name="_Toc13689"/>
      <w:r>
        <w:rPr>
          <w:rFonts w:hint="eastAsia" w:ascii="黑体" w:hAnsi="黑体" w:eastAsia="黑体"/>
          <w:color w:val="000000"/>
          <w:sz w:val="32"/>
          <w:szCs w:val="32"/>
        </w:rPr>
        <w:t>收</w:t>
      </w:r>
      <w:r>
        <w:rPr>
          <w:rStyle w:val="18"/>
          <w:rFonts w:hint="eastAsia" w:ascii="黑体" w:hAnsi="黑体" w:eastAsia="黑体"/>
          <w:b w:val="0"/>
        </w:rPr>
        <w:t>入决算情况说明</w:t>
      </w:r>
      <w:bookmarkEnd w:id="47"/>
      <w:bookmarkEnd w:id="48"/>
      <w:bookmarkEnd w:id="49"/>
      <w:bookmarkEnd w:id="50"/>
    </w:p>
    <w:p>
      <w:pPr>
        <w:spacing w:line="600" w:lineRule="exact"/>
        <w:ind w:firstLine="640" w:firstLineChars="200"/>
        <w:outlineLvl w:val="1"/>
        <w:rPr>
          <w:rFonts w:hint="eastAsia" w:ascii="仿宋" w:hAnsi="仿宋" w:eastAsia="仿宋"/>
          <w:color w:val="000000" w:themeColor="text1"/>
          <w:sz w:val="32"/>
          <w:szCs w:val="32"/>
          <w14:textFill>
            <w14:solidFill>
              <w14:schemeClr w14:val="tx1"/>
            </w14:solidFill>
          </w14:textFill>
        </w:rPr>
      </w:pPr>
      <w:bookmarkStart w:id="51" w:name="_Toc11563"/>
      <w:bookmarkStart w:id="52" w:name="_Toc13039"/>
      <w:bookmarkStart w:id="53" w:name="_Toc9991"/>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183.26</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167.84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91.58</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上级补助收入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10.45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5.7</w:t>
      </w:r>
      <w:r>
        <w:rPr>
          <w:rFonts w:ascii="仿宋" w:hAnsi="仿宋" w:eastAsia="仿宋"/>
          <w:color w:val="000000"/>
          <w:sz w:val="32"/>
          <w:szCs w:val="32"/>
        </w:rPr>
        <w:t>%</w:t>
      </w:r>
      <w:r>
        <w:rPr>
          <w:rFonts w:hint="eastAsia" w:ascii="仿宋" w:hAnsi="仿宋" w:eastAsia="仿宋"/>
          <w:color w:val="000000"/>
          <w:sz w:val="32"/>
          <w:szCs w:val="32"/>
          <w:lang w:eastAsia="zh-CN"/>
        </w:rPr>
        <w:t>；年初结转结余</w:t>
      </w:r>
      <w:r>
        <w:rPr>
          <w:rFonts w:hint="eastAsia" w:ascii="仿宋" w:hAnsi="仿宋" w:eastAsia="仿宋"/>
          <w:color w:val="000000"/>
          <w:sz w:val="32"/>
          <w:szCs w:val="32"/>
          <w:lang w:val="en-US" w:eastAsia="zh-CN"/>
        </w:rPr>
        <w:t>4.97万元，占比2.72%</w:t>
      </w:r>
      <w:r>
        <w:rPr>
          <w:rFonts w:hint="eastAsia" w:ascii="仿宋" w:hAns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（图2：收入</w:t>
      </w:r>
      <w:r>
        <w:rPr>
          <w:rFonts w:hint="eastAsia" w:ascii="仿宋" w:hAnsi="仿宋" w:eastAsia="仿宋"/>
          <w:color w:val="000000" w:themeColor="text1"/>
          <w:sz w:val="32"/>
          <w:szCs w:val="32"/>
          <w:lang w:eastAsia="zh-CN"/>
          <w14:textFill>
            <w14:solidFill>
              <w14:schemeClr w14:val="tx1"/>
            </w14:solidFill>
          </w14:textFill>
        </w:rPr>
        <w:t>情况分布图</w:t>
      </w:r>
      <w:r>
        <w:rPr>
          <w:rFonts w:hint="eastAsia" w:ascii="仿宋" w:hAnsi="仿宋" w:eastAsia="仿宋"/>
          <w:color w:val="000000" w:themeColor="text1"/>
          <w:sz w:val="32"/>
          <w:szCs w:val="32"/>
          <w14:textFill>
            <w14:solidFill>
              <w14:schemeClr w14:val="tx1"/>
            </w14:solidFill>
          </w14:textFill>
        </w:rPr>
        <w:t>）（饼状图）</w:t>
      </w:r>
      <w:bookmarkEnd w:id="51"/>
      <w:bookmarkEnd w:id="52"/>
      <w:bookmarkEnd w:id="53"/>
    </w:p>
    <w:p>
      <w:pPr>
        <w:spacing w:line="600" w:lineRule="exact"/>
        <w:ind w:firstLine="640" w:firstLineChars="200"/>
        <w:outlineLvl w:val="1"/>
        <w:rPr>
          <w:rFonts w:hint="eastAsia" w:ascii="仿宋" w:hAnsi="仿宋" w:eastAsia="仿宋"/>
          <w:color w:val="000000" w:themeColor="text1"/>
          <w:sz w:val="32"/>
          <w:szCs w:val="32"/>
          <w:lang w:eastAsia="zh-CN"/>
          <w14:textFill>
            <w14:solidFill>
              <w14:schemeClr w14:val="tx1"/>
            </w14:solidFill>
          </w14:textFill>
        </w:rPr>
      </w:pPr>
    </w:p>
    <w:p>
      <w:pPr>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inline distT="0" distB="0" distL="114300" distR="114300">
            <wp:extent cx="5080000" cy="3810000"/>
            <wp:effectExtent l="4445" t="4445" r="20955" b="146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20"/>
        <w:numPr>
          <w:ilvl w:val="0"/>
          <w:numId w:val="2"/>
        </w:numPr>
        <w:spacing w:line="600" w:lineRule="exact"/>
        <w:ind w:firstLineChars="0"/>
        <w:outlineLvl w:val="1"/>
        <w:rPr>
          <w:rStyle w:val="18"/>
          <w:rFonts w:ascii="黑体" w:hAnsi="黑体" w:eastAsia="黑体"/>
          <w:b w:val="0"/>
        </w:rPr>
      </w:pPr>
      <w:bookmarkStart w:id="54" w:name="_Toc15396605"/>
      <w:bookmarkStart w:id="55" w:name="_Toc15377207"/>
      <w:bookmarkStart w:id="56" w:name="_Toc23718"/>
      <w:bookmarkStart w:id="57" w:name="_Toc5630"/>
      <w:r>
        <w:rPr>
          <w:rFonts w:hint="eastAsia" w:ascii="黑体" w:hAnsi="黑体" w:eastAsia="黑体"/>
          <w:color w:val="000000"/>
          <w:sz w:val="32"/>
          <w:szCs w:val="32"/>
        </w:rPr>
        <w:t>支</w:t>
      </w:r>
      <w:r>
        <w:rPr>
          <w:rStyle w:val="18"/>
          <w:rFonts w:hint="eastAsia" w:ascii="黑体" w:hAnsi="黑体" w:eastAsia="黑体"/>
          <w:b w:val="0"/>
        </w:rPr>
        <w:t>出决算情况说明</w:t>
      </w:r>
      <w:bookmarkEnd w:id="54"/>
      <w:bookmarkEnd w:id="55"/>
      <w:bookmarkEnd w:id="56"/>
      <w:bookmarkEnd w:id="57"/>
    </w:p>
    <w:p>
      <w:pPr>
        <w:spacing w:line="600" w:lineRule="exact"/>
        <w:ind w:firstLine="640" w:firstLineChars="200"/>
        <w:outlineLvl w:val="1"/>
        <w:rPr>
          <w:rFonts w:hint="eastAsia" w:ascii="仿宋" w:hAnsi="仿宋" w:eastAsia="仿宋"/>
          <w:color w:val="000000" w:themeColor="text1"/>
          <w:sz w:val="32"/>
          <w:szCs w:val="32"/>
          <w14:textFill>
            <w14:solidFill>
              <w14:schemeClr w14:val="tx1"/>
            </w14:solidFill>
          </w14:textFill>
        </w:rPr>
      </w:pPr>
      <w:bookmarkStart w:id="58" w:name="_Toc28763"/>
      <w:bookmarkStart w:id="59" w:name="_Toc6967"/>
      <w:bookmarkStart w:id="60" w:name="_Toc24295"/>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183.27</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124.78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68.08</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58.49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31.92</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bookmarkEnd w:id="58"/>
      <w:bookmarkEnd w:id="59"/>
      <w:r>
        <w:rPr>
          <w:rFonts w:hint="eastAsia" w:ascii="仿宋" w:hAnsi="仿宋" w:eastAsia="仿宋"/>
          <w:color w:val="000000"/>
          <w:sz w:val="32"/>
          <w:szCs w:val="32"/>
          <w:lang w:eastAsia="zh-CN"/>
        </w:rPr>
        <w:t>（</w:t>
      </w:r>
      <w:r>
        <w:rPr>
          <w:rFonts w:hint="eastAsia" w:ascii="仿宋" w:hAnsi="仿宋" w:eastAsia="仿宋"/>
          <w:color w:val="000000" w:themeColor="text1"/>
          <w:sz w:val="32"/>
          <w:szCs w:val="32"/>
          <w14:textFill>
            <w14:solidFill>
              <w14:schemeClr w14:val="tx1"/>
            </w14:solidFill>
          </w14:textFill>
        </w:rPr>
        <w:t>图2：</w:t>
      </w:r>
      <w:r>
        <w:rPr>
          <w:rFonts w:hint="eastAsia" w:ascii="仿宋" w:hAnsi="仿宋" w:eastAsia="仿宋"/>
          <w:color w:val="000000" w:themeColor="text1"/>
          <w:sz w:val="32"/>
          <w:szCs w:val="32"/>
          <w:lang w:eastAsia="zh-CN"/>
          <w14:textFill>
            <w14:solidFill>
              <w14:schemeClr w14:val="tx1"/>
            </w14:solidFill>
          </w14:textFill>
        </w:rPr>
        <w:t>支出情况分布图</w:t>
      </w:r>
      <w:r>
        <w:rPr>
          <w:rFonts w:hint="eastAsia" w:ascii="仿宋" w:hAnsi="仿宋" w:eastAsia="仿宋"/>
          <w:color w:val="000000" w:themeColor="text1"/>
          <w:sz w:val="32"/>
          <w:szCs w:val="32"/>
          <w14:textFill>
            <w14:solidFill>
              <w14:schemeClr w14:val="tx1"/>
            </w14:solidFill>
          </w14:textFill>
        </w:rPr>
        <w:t>）（饼状图）</w:t>
      </w:r>
      <w:bookmarkEnd w:id="60"/>
    </w:p>
    <w:p>
      <w:pPr>
        <w:spacing w:line="600" w:lineRule="exact"/>
        <w:ind w:firstLine="640" w:firstLineChars="200"/>
        <w:outlineLvl w:val="1"/>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1"/>
        <w:rPr>
          <w:rFonts w:ascii="仿宋" w:hAnsi="仿宋" w:eastAsia="仿宋"/>
          <w:color w:val="000000"/>
          <w:sz w:val="32"/>
          <w:szCs w:val="32"/>
        </w:rPr>
      </w:pPr>
    </w:p>
    <w:p>
      <w:pPr>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inline distT="0" distB="0" distL="114300" distR="114300">
            <wp:extent cx="5080000" cy="3810000"/>
            <wp:effectExtent l="4445" t="4445" r="20955"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line="600" w:lineRule="exact"/>
        <w:ind w:firstLine="640" w:firstLineChars="200"/>
        <w:outlineLvl w:val="1"/>
        <w:rPr>
          <w:rStyle w:val="18"/>
          <w:rFonts w:ascii="黑体" w:hAnsi="黑体" w:eastAsia="黑体"/>
          <w:b w:val="0"/>
        </w:rPr>
      </w:pPr>
      <w:bookmarkStart w:id="61" w:name="_Toc15377208"/>
      <w:bookmarkStart w:id="62" w:name="_Toc15396606"/>
      <w:bookmarkStart w:id="63" w:name="_Toc32014"/>
      <w:bookmarkStart w:id="64" w:name="_Toc24752"/>
      <w:r>
        <w:rPr>
          <w:rFonts w:hint="eastAsia" w:ascii="黑体" w:hAnsi="黑体" w:eastAsia="黑体"/>
          <w:color w:val="000000"/>
          <w:sz w:val="32"/>
          <w:szCs w:val="32"/>
        </w:rPr>
        <w:t>四、财</w:t>
      </w:r>
      <w:r>
        <w:rPr>
          <w:rStyle w:val="18"/>
          <w:rFonts w:hint="eastAsia" w:ascii="黑体" w:hAnsi="黑体" w:eastAsia="黑体"/>
          <w:b w:val="0"/>
        </w:rPr>
        <w:t>政拨款收入支出决算总体情况说明</w:t>
      </w:r>
      <w:bookmarkEnd w:id="61"/>
      <w:bookmarkEnd w:id="62"/>
      <w:bookmarkEnd w:id="63"/>
      <w:bookmarkEnd w:id="64"/>
    </w:p>
    <w:p>
      <w:pPr>
        <w:spacing w:line="600" w:lineRule="exact"/>
        <w:ind w:firstLine="64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年度</w:t>
      </w:r>
      <w:r>
        <w:rPr>
          <w:rFonts w:hint="eastAsia" w:ascii="仿宋" w:hAnsi="仿宋" w:eastAsia="仿宋"/>
          <w:color w:val="000000"/>
          <w:sz w:val="32"/>
          <w:szCs w:val="32"/>
          <w:lang w:eastAsia="zh-CN"/>
        </w:rPr>
        <w:t>财政拨款收入总计</w:t>
      </w:r>
      <w:r>
        <w:rPr>
          <w:rFonts w:hint="eastAsia" w:ascii="仿宋" w:hAnsi="仿宋" w:eastAsia="仿宋"/>
          <w:color w:val="000000"/>
          <w:sz w:val="32"/>
          <w:szCs w:val="32"/>
          <w:lang w:val="en-US" w:eastAsia="zh-CN"/>
        </w:rPr>
        <w:t>167.84万元；2020年度</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183.27</w:t>
      </w:r>
      <w:r>
        <w:rPr>
          <w:rFonts w:hint="eastAsia" w:ascii="仿宋" w:hAnsi="仿宋" w:eastAsia="仿宋"/>
          <w:color w:val="000000"/>
          <w:sz w:val="32"/>
          <w:szCs w:val="32"/>
        </w:rPr>
        <w:t>万元。与20</w:t>
      </w:r>
      <w:r>
        <w:rPr>
          <w:rFonts w:hint="eastAsia" w:ascii="仿宋" w:hAnsi="仿宋" w:eastAsia="仿宋"/>
          <w:color w:val="000000"/>
          <w:sz w:val="32"/>
          <w:szCs w:val="32"/>
          <w:lang w:val="en-US" w:eastAsia="zh-CN"/>
        </w:rPr>
        <w:t>19</w:t>
      </w:r>
      <w:r>
        <w:rPr>
          <w:rFonts w:hint="eastAsia" w:ascii="仿宋" w:hAnsi="仿宋" w:eastAsia="仿宋"/>
          <w:color w:val="000000"/>
          <w:sz w:val="32"/>
          <w:szCs w:val="32"/>
        </w:rPr>
        <w:t>年相比，收</w:t>
      </w:r>
      <w:r>
        <w:rPr>
          <w:rFonts w:hint="eastAsia" w:ascii="仿宋" w:hAnsi="仿宋" w:eastAsia="仿宋"/>
          <w:color w:val="000000"/>
          <w:sz w:val="32"/>
          <w:szCs w:val="32"/>
          <w:lang w:eastAsia="zh-CN"/>
        </w:rPr>
        <w:t>入减少</w:t>
      </w:r>
      <w:r>
        <w:rPr>
          <w:rFonts w:hint="eastAsia" w:ascii="仿宋" w:hAnsi="仿宋" w:eastAsia="仿宋"/>
          <w:color w:val="000000"/>
          <w:sz w:val="32"/>
          <w:szCs w:val="32"/>
          <w:lang w:val="en-US" w:eastAsia="zh-CN"/>
        </w:rPr>
        <w:t>21.66万元，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17.74</w:t>
      </w:r>
      <w:r>
        <w:rPr>
          <w:rFonts w:hint="eastAsia" w:ascii="仿宋" w:hAnsi="仿宋" w:eastAsia="仿宋"/>
          <w:color w:val="000000"/>
          <w:sz w:val="32"/>
          <w:szCs w:val="32"/>
        </w:rPr>
        <w:t>万元。</w:t>
      </w:r>
      <w:r>
        <w:rPr>
          <w:rFonts w:hint="eastAsia" w:ascii="仿宋" w:hAnsi="仿宋" w:eastAsia="仿宋"/>
          <w:color w:val="000000" w:themeColor="text1"/>
          <w:sz w:val="32"/>
          <w:szCs w:val="32"/>
          <w14:textFill>
            <w14:solidFill>
              <w14:schemeClr w14:val="tx1"/>
            </w14:solidFill>
          </w14:textFill>
        </w:rPr>
        <w:t>（图4：</w:t>
      </w:r>
      <w:r>
        <w:rPr>
          <w:rFonts w:hint="eastAsia" w:ascii="仿宋" w:hAnsi="仿宋" w:eastAsia="仿宋"/>
          <w:color w:val="000000" w:themeColor="text1"/>
          <w:sz w:val="32"/>
          <w:szCs w:val="32"/>
          <w:lang w:eastAsia="zh-CN"/>
          <w14:textFill>
            <w14:solidFill>
              <w14:schemeClr w14:val="tx1"/>
            </w14:solidFill>
          </w14:textFill>
        </w:rPr>
        <w:t>财政拨款收入支出分布图</w:t>
      </w:r>
      <w:r>
        <w:rPr>
          <w:rFonts w:hint="eastAsia" w:ascii="仿宋" w:hAnsi="仿宋" w:eastAsia="仿宋"/>
          <w:color w:val="000000" w:themeColor="text1"/>
          <w:sz w:val="32"/>
          <w:szCs w:val="32"/>
          <w14:textFill>
            <w14:solidFill>
              <w14:schemeClr w14:val="tx1"/>
            </w14:solidFill>
          </w14:textFill>
        </w:rPr>
        <w:t>）（柱状图）</w:t>
      </w:r>
    </w:p>
    <w:p>
      <w:pPr>
        <w:rPr>
          <w:rFonts w:hint="eastAsia" w:ascii="仿宋" w:hAnsi="仿宋" w:eastAsia="仿宋"/>
          <w:color w:val="000000" w:themeColor="text1"/>
          <w:sz w:val="32"/>
          <w:szCs w:val="32"/>
          <w:lang w:eastAsia="zh-CN"/>
          <w14:textFill>
            <w14:solidFill>
              <w14:schemeClr w14:val="tx1"/>
            </w14:solidFill>
          </w14:textFill>
        </w:rPr>
      </w:pPr>
    </w:p>
    <w:p>
      <w:pPr>
        <w:rPr>
          <w:rFonts w:hint="eastAsia" w:ascii="仿宋" w:hAnsi="仿宋" w:eastAsia="仿宋"/>
          <w:color w:val="000000" w:themeColor="text1"/>
          <w:sz w:val="32"/>
          <w:szCs w:val="32"/>
          <w:lang w:eastAsia="zh-CN"/>
          <w14:textFill>
            <w14:solidFill>
              <w14:schemeClr w14:val="tx1"/>
            </w14:solidFill>
          </w14:textFill>
        </w:rPr>
      </w:pPr>
    </w:p>
    <w:p>
      <w:pPr>
        <w:rPr>
          <w:rFonts w:hint="eastAsia" w:ascii="仿宋" w:hAnsi="仿宋" w:eastAsia="仿宋"/>
          <w:color w:val="000000" w:themeColor="text1"/>
          <w:sz w:val="32"/>
          <w:szCs w:val="32"/>
          <w:lang w:eastAsia="zh-CN"/>
          <w14:textFill>
            <w14:solidFill>
              <w14:schemeClr w14:val="tx1"/>
            </w14:solidFill>
          </w14:textFill>
        </w:rPr>
      </w:pPr>
      <w:r>
        <w:rPr>
          <w:rFonts w:hint="eastAsia" w:ascii="黑体" w:hAnsi="黑体" w:eastAsia="黑体"/>
          <w:color w:val="000000"/>
          <w:sz w:val="32"/>
          <w:szCs w:val="32"/>
          <w:lang w:eastAsia="zh-CN"/>
        </w:rPr>
        <w:drawing>
          <wp:anchor distT="0" distB="0" distL="114300" distR="114300" simplePos="0" relativeHeight="251660288" behindDoc="0" locked="0" layoutInCell="1" allowOverlap="1">
            <wp:simplePos x="0" y="0"/>
            <wp:positionH relativeFrom="column">
              <wp:posOffset>80645</wp:posOffset>
            </wp:positionH>
            <wp:positionV relativeFrom="paragraph">
              <wp:posOffset>377825</wp:posOffset>
            </wp:positionV>
            <wp:extent cx="5194935" cy="5010785"/>
            <wp:effectExtent l="4445" t="4445" r="20320" b="1397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outlineLvl w:val="1"/>
        <w:rPr>
          <w:rStyle w:val="18"/>
          <w:rFonts w:ascii="黑体" w:hAnsi="黑体" w:eastAsia="黑体"/>
          <w:b w:val="0"/>
        </w:rPr>
      </w:pPr>
      <w:bookmarkStart w:id="65" w:name="_Toc25006"/>
      <w:bookmarkStart w:id="66" w:name="_Toc15396607"/>
      <w:bookmarkStart w:id="67" w:name="_Toc15377209"/>
      <w:bookmarkStart w:id="68" w:name="_Toc1125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18"/>
          <w:rFonts w:hint="eastAsia" w:ascii="黑体" w:hAnsi="黑体" w:eastAsia="黑体"/>
          <w:b w:val="0"/>
        </w:rPr>
        <w:t>般公共预算财政拨款支出决算情况说明</w:t>
      </w:r>
      <w:bookmarkEnd w:id="65"/>
      <w:bookmarkEnd w:id="66"/>
      <w:bookmarkEnd w:id="67"/>
      <w:bookmarkEnd w:id="68"/>
    </w:p>
    <w:p>
      <w:pPr>
        <w:spacing w:line="600" w:lineRule="exact"/>
        <w:ind w:firstLine="643" w:firstLineChars="200"/>
        <w:outlineLvl w:val="2"/>
        <w:rPr>
          <w:rFonts w:ascii="仿宋" w:hAnsi="仿宋" w:eastAsia="仿宋"/>
          <w:b/>
          <w:color w:val="000000"/>
          <w:sz w:val="32"/>
          <w:szCs w:val="32"/>
        </w:rPr>
      </w:pPr>
      <w:bookmarkStart w:id="69" w:name="_Toc15377210"/>
      <w:bookmarkStart w:id="70" w:name="_Toc11544"/>
      <w:bookmarkStart w:id="71" w:name="_Toc26017"/>
      <w:r>
        <w:rPr>
          <w:rFonts w:hint="eastAsia" w:ascii="仿宋" w:hAnsi="仿宋" w:eastAsia="仿宋"/>
          <w:b/>
          <w:color w:val="000000"/>
          <w:sz w:val="32"/>
          <w:szCs w:val="32"/>
        </w:rPr>
        <w:t>（一）一般公共预算财政拨款支出决算总体情况</w:t>
      </w:r>
      <w:bookmarkEnd w:id="69"/>
      <w:bookmarkEnd w:id="70"/>
      <w:bookmarkEnd w:id="71"/>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183.27</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年相比，一般公共预算财政拨</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15.32</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下降</w:t>
      </w:r>
      <w:r>
        <w:rPr>
          <w:rFonts w:hint="eastAsia" w:ascii="仿宋" w:hAnsi="仿宋" w:eastAsia="仿宋"/>
          <w:color w:val="000000"/>
          <w:sz w:val="32"/>
          <w:szCs w:val="32"/>
          <w:lang w:val="en-US" w:eastAsia="zh-CN"/>
        </w:rPr>
        <w:t>8.7</w:t>
      </w:r>
      <w:r>
        <w:rPr>
          <w:rFonts w:ascii="仿宋" w:hAnsi="仿宋" w:eastAsia="仿宋"/>
          <w:color w:val="000000"/>
          <w:sz w:val="32"/>
          <w:szCs w:val="32"/>
        </w:rPr>
        <w:t>%</w:t>
      </w:r>
      <w:r>
        <w:rPr>
          <w:rFonts w:hint="eastAsia" w:ascii="仿宋" w:hAnsi="仿宋" w:eastAsia="仿宋"/>
          <w:color w:val="000000"/>
          <w:sz w:val="32"/>
          <w:szCs w:val="32"/>
        </w:rPr>
        <w:t>。要变动原因是</w:t>
      </w:r>
      <w:r>
        <w:rPr>
          <w:rFonts w:hint="eastAsia" w:ascii="仿宋" w:hAnsi="仿宋" w:eastAsia="仿宋"/>
          <w:color w:val="000000"/>
          <w:sz w:val="32"/>
          <w:szCs w:val="32"/>
          <w:lang w:eastAsia="zh-CN"/>
        </w:rPr>
        <w:t>我委厉行节约，严格使用办公经费。</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61312" behindDoc="1" locked="0" layoutInCell="1" allowOverlap="1">
            <wp:simplePos x="0" y="0"/>
            <wp:positionH relativeFrom="column">
              <wp:posOffset>137795</wp:posOffset>
            </wp:positionH>
            <wp:positionV relativeFrom="paragraph">
              <wp:posOffset>138430</wp:posOffset>
            </wp:positionV>
            <wp:extent cx="4593590" cy="2789555"/>
            <wp:effectExtent l="4445" t="5080" r="12065" b="5715"/>
            <wp:wrapTight wrapText="bothSides">
              <wp:wrapPolygon>
                <wp:start x="-21" y="-39"/>
                <wp:lineTo x="-21" y="21497"/>
                <wp:lineTo x="21567" y="21497"/>
                <wp:lineTo x="21567" y="-39"/>
                <wp:lineTo x="-21" y="-39"/>
              </wp:wrapPolygon>
            </wp:wrapTight>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rPr>
          <w:rFonts w:hint="eastAsia" w:ascii="仿宋" w:hAnsi="仿宋" w:eastAsia="仿宋"/>
          <w:color w:val="000000" w:themeColor="text1"/>
          <w:sz w:val="32"/>
          <w:szCs w:val="32"/>
          <w:lang w:eastAsia="zh-CN"/>
          <w14:textFill>
            <w14:solidFill>
              <w14:schemeClr w14:val="tx1"/>
            </w14:solidFill>
          </w14:textFill>
        </w:rPr>
      </w:pPr>
    </w:p>
    <w:p>
      <w:pPr>
        <w:rPr>
          <w:rFonts w:hint="eastAsia" w:ascii="仿宋" w:hAnsi="仿宋" w:eastAsia="仿宋"/>
          <w:color w:val="000000" w:themeColor="text1"/>
          <w:sz w:val="32"/>
          <w:szCs w:val="32"/>
          <w:lang w:eastAsia="zh-CN"/>
          <w14:textFill>
            <w14:solidFill>
              <w14:schemeClr w14:val="tx1"/>
            </w14:solidFill>
          </w14:textFill>
        </w:rPr>
      </w:pPr>
    </w:p>
    <w:p>
      <w:pPr>
        <w:rPr>
          <w:rFonts w:hint="eastAsia" w:ascii="仿宋" w:hAnsi="仿宋" w:eastAsia="仿宋"/>
          <w:color w:val="000000" w:themeColor="text1"/>
          <w:sz w:val="32"/>
          <w:szCs w:val="32"/>
          <w:lang w:eastAsia="zh-CN"/>
          <w14:textFill>
            <w14:solidFill>
              <w14:schemeClr w14:val="tx1"/>
            </w14:solidFill>
          </w14:textFill>
        </w:rPr>
      </w:pPr>
    </w:p>
    <w:p>
      <w:pPr>
        <w:rPr>
          <w:rFonts w:hint="eastAsia" w:ascii="仿宋" w:hAnsi="仿宋" w:eastAsia="仿宋"/>
          <w:color w:val="000000" w:themeColor="text1"/>
          <w:sz w:val="32"/>
          <w:szCs w:val="32"/>
          <w:lang w:eastAsia="zh-CN"/>
          <w14:textFill>
            <w14:solidFill>
              <w14:schemeClr w14:val="tx1"/>
            </w14:solidFill>
          </w14:textFill>
        </w:rPr>
      </w:pPr>
    </w:p>
    <w:p>
      <w:pPr>
        <w:rPr>
          <w:rFonts w:hint="eastAsia" w:ascii="仿宋" w:hAnsi="仿宋" w:eastAsia="仿宋"/>
          <w:color w:val="000000" w:themeColor="text1"/>
          <w:sz w:val="32"/>
          <w:szCs w:val="32"/>
          <w:lang w:eastAsia="zh-CN"/>
          <w14:textFill>
            <w14:solidFill>
              <w14:schemeClr w14:val="tx1"/>
            </w14:solidFill>
          </w14:textFill>
        </w:rPr>
      </w:pPr>
    </w:p>
    <w:p>
      <w:pPr>
        <w:rPr>
          <w:rFonts w:hint="eastAsia" w:ascii="仿宋" w:hAnsi="仿宋" w:eastAsia="仿宋"/>
          <w:color w:val="000000" w:themeColor="text1"/>
          <w:sz w:val="32"/>
          <w:szCs w:val="32"/>
          <w:lang w:eastAsia="zh-CN"/>
          <w14:textFill>
            <w14:solidFill>
              <w14:schemeClr w14:val="tx1"/>
            </w14:solidFill>
          </w14:textFill>
        </w:rPr>
      </w:pPr>
    </w:p>
    <w:p>
      <w:pPr>
        <w:rPr>
          <w:rFonts w:hint="eastAsia" w:ascii="仿宋" w:hAnsi="仿宋" w:eastAsia="仿宋"/>
          <w:color w:val="000000" w:themeColor="text1"/>
          <w:sz w:val="32"/>
          <w:szCs w:val="32"/>
          <w:lang w:eastAsia="zh-CN"/>
          <w14:textFill>
            <w14:solidFill>
              <w14:schemeClr w14:val="tx1"/>
            </w14:solidFill>
          </w14:textFill>
        </w:rPr>
      </w:pPr>
    </w:p>
    <w:p>
      <w:pPr>
        <w:spacing w:line="600" w:lineRule="exact"/>
        <w:ind w:firstLine="643" w:firstLineChars="200"/>
        <w:outlineLvl w:val="2"/>
        <w:rPr>
          <w:rFonts w:ascii="仿宋" w:hAnsi="仿宋" w:eastAsia="仿宋"/>
          <w:b/>
          <w:color w:val="000000"/>
          <w:sz w:val="32"/>
          <w:szCs w:val="32"/>
        </w:rPr>
      </w:pPr>
      <w:bookmarkStart w:id="72" w:name="_Toc21165"/>
      <w:bookmarkStart w:id="73" w:name="_Toc15377211"/>
      <w:bookmarkStart w:id="74" w:name="_Toc32211"/>
      <w:r>
        <w:rPr>
          <w:rFonts w:hint="eastAsia" w:ascii="仿宋" w:hAnsi="仿宋" w:eastAsia="仿宋"/>
          <w:b/>
          <w:color w:val="000000"/>
          <w:sz w:val="32"/>
          <w:szCs w:val="32"/>
        </w:rPr>
        <w:t>（二）一般公共预算财政拨款支出决算结构情况</w:t>
      </w:r>
      <w:bookmarkEnd w:id="72"/>
      <w:bookmarkEnd w:id="73"/>
      <w:bookmarkEnd w:id="74"/>
    </w:p>
    <w:p>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183.27</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b/>
          <w:color w:val="000000" w:themeColor="text1"/>
          <w:sz w:val="32"/>
          <w:szCs w:val="32"/>
          <w:lang w:val="en-US" w:eastAsia="zh-CN"/>
          <w14:textFill>
            <w14:solidFill>
              <w14:schemeClr w14:val="tx1"/>
            </w14:solidFill>
          </w14:textFill>
        </w:rPr>
        <w:t xml:space="preserve">201 </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143.19</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78.13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教育支出（</w:t>
      </w:r>
      <w:r>
        <w:rPr>
          <w:rFonts w:hint="eastAsia" w:ascii="仿宋" w:hAnsi="仿宋" w:eastAsia="仿宋"/>
          <w:b/>
          <w:color w:val="000000" w:themeColor="text1"/>
          <w:sz w:val="32"/>
          <w:szCs w:val="32"/>
          <w:lang w:val="en-US" w:eastAsia="zh-CN"/>
          <w14:textFill>
            <w14:solidFill>
              <w14:schemeClr w14:val="tx1"/>
            </w14:solidFill>
          </w14:textFill>
        </w:rPr>
        <w:t>205</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科学技术（</w:t>
      </w:r>
      <w:r>
        <w:rPr>
          <w:rFonts w:hint="eastAsia" w:ascii="仿宋" w:hAnsi="仿宋" w:eastAsia="仿宋"/>
          <w:b/>
          <w:color w:val="000000" w:themeColor="text1"/>
          <w:sz w:val="32"/>
          <w:szCs w:val="32"/>
          <w:lang w:val="en-US" w:eastAsia="zh-CN"/>
          <w14:textFill>
            <w14:solidFill>
              <w14:schemeClr w14:val="tx1"/>
            </w14:solidFill>
          </w14:textFill>
        </w:rPr>
        <w:t>206</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文化旅游体育与传媒（</w:t>
      </w:r>
      <w:r>
        <w:rPr>
          <w:rFonts w:hint="eastAsia" w:ascii="仿宋" w:hAnsi="仿宋" w:eastAsia="仿宋"/>
          <w:b/>
          <w:bCs/>
          <w:color w:val="000000" w:themeColor="text1"/>
          <w:sz w:val="32"/>
          <w:szCs w:val="32"/>
          <w:lang w:val="en-US" w:eastAsia="zh-CN"/>
          <w14:textFill>
            <w14:solidFill>
              <w14:schemeClr w14:val="tx1"/>
            </w14:solidFill>
          </w14:textFill>
        </w:rPr>
        <w:t>207</w:t>
      </w:r>
      <w:r>
        <w:rPr>
          <w:rFonts w:hint="eastAsia" w:ascii="仿宋" w:hAnsi="仿宋" w:eastAsia="仿宋"/>
          <w:b/>
          <w:bCs/>
          <w:color w:val="000000" w:themeColor="text1"/>
          <w:sz w:val="32"/>
          <w:szCs w:val="32"/>
          <w14:textFill>
            <w14:solidFill>
              <w14:schemeClr w14:val="tx1"/>
            </w14:solidFill>
          </w14:textFill>
        </w:rPr>
        <w:t>）支出</w:t>
      </w:r>
      <w:r>
        <w:rPr>
          <w:rFonts w:hint="eastAsia" w:ascii="仿宋" w:hAnsi="仿宋" w:eastAsia="仿宋"/>
          <w:b/>
          <w:bCs/>
          <w:color w:val="000000" w:themeColor="text1"/>
          <w:sz w:val="32"/>
          <w:szCs w:val="32"/>
          <w:lang w:val="en-US" w:eastAsia="zh-CN"/>
          <w14:textFill>
            <w14:solidFill>
              <w14:schemeClr w14:val="tx1"/>
            </w14:solidFill>
          </w14:textFill>
        </w:rPr>
        <w:t>0</w:t>
      </w:r>
      <w:r>
        <w:rPr>
          <w:rFonts w:hint="eastAsia" w:ascii="仿宋" w:hAnsi="仿宋" w:eastAsia="仿宋"/>
          <w:b/>
          <w:bCs/>
          <w:color w:val="000000" w:themeColor="text1"/>
          <w:sz w:val="32"/>
          <w:szCs w:val="32"/>
          <w14:textFill>
            <w14:solidFill>
              <w14:schemeClr w14:val="tx1"/>
            </w14:solidFill>
          </w14:textFill>
        </w:rPr>
        <w:t>万元，占</w:t>
      </w:r>
      <w:r>
        <w:rPr>
          <w:rFonts w:hint="eastAsia" w:ascii="仿宋" w:hAnsi="仿宋" w:eastAsia="仿宋"/>
          <w:b/>
          <w:bCs/>
          <w:color w:val="000000" w:themeColor="text1"/>
          <w:sz w:val="32"/>
          <w:szCs w:val="32"/>
          <w:lang w:val="en-US" w:eastAsia="zh-CN"/>
          <w14:textFill>
            <w14:solidFill>
              <w14:schemeClr w14:val="tx1"/>
            </w14:solidFill>
          </w14:textFill>
        </w:rPr>
        <w:t>0</w:t>
      </w:r>
      <w:r>
        <w:rPr>
          <w:rFonts w:ascii="仿宋" w:hAnsi="仿宋" w:eastAsia="仿宋"/>
          <w:b/>
          <w:bCs/>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w:t>
      </w:r>
      <w:r>
        <w:rPr>
          <w:rFonts w:hint="eastAsia" w:ascii="仿宋" w:hAnsi="仿宋" w:eastAsia="仿宋"/>
          <w:b/>
          <w:color w:val="000000" w:themeColor="text1"/>
          <w:sz w:val="32"/>
          <w:szCs w:val="32"/>
          <w:lang w:val="en-US" w:eastAsia="zh-CN"/>
          <w14:textFill>
            <w14:solidFill>
              <w14:schemeClr w14:val="tx1"/>
            </w14:solidFill>
          </w14:textFill>
        </w:rPr>
        <w:t>208</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15.26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8.32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卫生健康支出</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210</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6.65</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3.62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住房保障支出</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221</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9.17</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lang w:eastAsia="zh-CN"/>
          <w14:textFill>
            <w14:solidFill>
              <w14:schemeClr w14:val="tx1"/>
            </w14:solidFill>
          </w14:textFill>
        </w:rPr>
        <w:t>其他支出（</w:t>
      </w:r>
      <w:r>
        <w:rPr>
          <w:rFonts w:hint="eastAsia" w:ascii="仿宋" w:hAnsi="仿宋" w:eastAsia="仿宋"/>
          <w:b/>
          <w:bCs/>
          <w:color w:val="000000" w:themeColor="text1"/>
          <w:sz w:val="32"/>
          <w:szCs w:val="32"/>
          <w:lang w:val="en-US" w:eastAsia="zh-CN"/>
          <w14:textFill>
            <w14:solidFill>
              <w14:schemeClr w14:val="tx1"/>
            </w14:solidFill>
          </w14:textFill>
        </w:rPr>
        <w:t>229</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9万元，占4.93%。</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rPr>
          <w:rFonts w:hint="eastAsia" w:ascii="仿宋" w:hAnsi="仿宋" w:eastAsia="仿宋"/>
          <w:color w:val="000000" w:themeColor="text1"/>
          <w:sz w:val="32"/>
          <w:szCs w:val="32"/>
          <w:lang w:eastAsia="zh-CN"/>
          <w14:textFill>
            <w14:solidFill>
              <w14:schemeClr w14:val="tx1"/>
            </w14:solidFill>
          </w14:textFill>
        </w:rPr>
      </w:pPr>
    </w:p>
    <w:p>
      <w:pPr>
        <w:rPr>
          <w:rFonts w:hint="eastAsia" w:ascii="仿宋" w:hAnsi="仿宋" w:eastAsia="仿宋"/>
          <w:color w:val="000000" w:themeColor="text1"/>
          <w:sz w:val="32"/>
          <w:szCs w:val="32"/>
          <w:lang w:eastAsia="zh-CN"/>
          <w14:textFill>
            <w14:solidFill>
              <w14:schemeClr w14:val="tx1"/>
            </w14:solidFill>
          </w14:textFill>
        </w:rPr>
      </w:pPr>
    </w:p>
    <w:p>
      <w:pPr>
        <w:rPr>
          <w:rFonts w:hint="eastAsia" w:ascii="仿宋" w:hAnsi="仿宋" w:eastAsia="仿宋"/>
          <w:color w:val="000000" w:themeColor="text1"/>
          <w:sz w:val="32"/>
          <w:szCs w:val="32"/>
          <w:lang w:eastAsia="zh-CN"/>
          <w14:textFill>
            <w14:solidFill>
              <w14:schemeClr w14:val="tx1"/>
            </w14:solidFill>
          </w14:textFill>
        </w:rPr>
      </w:pPr>
    </w:p>
    <w:p>
      <w:pPr>
        <w:rPr>
          <w:rFonts w:hint="eastAsia" w:ascii="仿宋" w:hAnsi="仿宋" w:eastAsia="仿宋"/>
          <w:color w:val="000000" w:themeColor="text1"/>
          <w:sz w:val="32"/>
          <w:szCs w:val="32"/>
          <w:lang w:eastAsia="zh-CN"/>
          <w14:textFill>
            <w14:solidFill>
              <w14:schemeClr w14:val="tx1"/>
            </w14:solidFill>
          </w14:textFill>
        </w:rPr>
      </w:pPr>
    </w:p>
    <w:p>
      <w:pPr>
        <w:rPr>
          <w:rFonts w:hint="eastAsia" w:ascii="仿宋" w:hAnsi="仿宋" w:eastAsia="仿宋"/>
          <w:color w:val="000000" w:themeColor="text1"/>
          <w:sz w:val="32"/>
          <w:szCs w:val="32"/>
          <w:lang w:eastAsia="zh-CN"/>
          <w14:textFill>
            <w14:solidFill>
              <w14:schemeClr w14:val="tx1"/>
            </w14:solidFill>
          </w14:textFill>
        </w:rPr>
      </w:pPr>
    </w:p>
    <w:p>
      <w:pPr>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sz w:val="32"/>
          <w:szCs w:val="32"/>
          <w:lang w:eastAsia="zh-CN"/>
        </w:rPr>
        <w:drawing>
          <wp:anchor distT="0" distB="0" distL="114300" distR="114300" simplePos="0" relativeHeight="251662336" behindDoc="1" locked="0" layoutInCell="1" allowOverlap="1">
            <wp:simplePos x="0" y="0"/>
            <wp:positionH relativeFrom="column">
              <wp:posOffset>-43180</wp:posOffset>
            </wp:positionH>
            <wp:positionV relativeFrom="paragraph">
              <wp:posOffset>61595</wp:posOffset>
            </wp:positionV>
            <wp:extent cx="5299075" cy="3933190"/>
            <wp:effectExtent l="4445" t="4445" r="11430" b="5715"/>
            <wp:wrapTight wrapText="bothSides">
              <wp:wrapPolygon>
                <wp:start x="-18" y="-24"/>
                <wp:lineTo x="-18" y="21527"/>
                <wp:lineTo x="21569" y="21527"/>
                <wp:lineTo x="21569" y="-24"/>
                <wp:lineTo x="-18" y="-24"/>
              </wp:wrapPolygon>
            </wp:wrapTight>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3" w:firstLineChars="200"/>
        <w:outlineLvl w:val="2"/>
        <w:rPr>
          <w:rFonts w:ascii="仿宋" w:hAnsi="仿宋" w:eastAsia="仿宋"/>
          <w:b/>
          <w:color w:val="000000"/>
          <w:sz w:val="32"/>
          <w:szCs w:val="32"/>
        </w:rPr>
      </w:pPr>
      <w:bookmarkStart w:id="75" w:name="_Toc15377212"/>
      <w:bookmarkStart w:id="76" w:name="_Toc12129"/>
      <w:bookmarkStart w:id="77" w:name="_Toc24241"/>
      <w:r>
        <w:rPr>
          <w:rFonts w:hint="eastAsia" w:ascii="仿宋" w:hAnsi="仿宋" w:eastAsia="仿宋"/>
          <w:b/>
          <w:color w:val="000000"/>
          <w:sz w:val="32"/>
          <w:szCs w:val="32"/>
        </w:rPr>
        <w:t>（三）一般公共预算财政拨款支出决算具体情况</w:t>
      </w:r>
      <w:bookmarkEnd w:id="75"/>
      <w:bookmarkEnd w:id="76"/>
      <w:bookmarkEnd w:id="77"/>
    </w:p>
    <w:p>
      <w:pPr>
        <w:spacing w:line="600" w:lineRule="exact"/>
        <w:ind w:firstLine="643" w:firstLineChars="200"/>
        <w:outlineLvl w:val="2"/>
        <w:rPr>
          <w:rFonts w:ascii="仿宋" w:hAnsi="仿宋" w:eastAsia="仿宋"/>
          <w:color w:val="FF0000"/>
          <w:sz w:val="32"/>
          <w:szCs w:val="32"/>
        </w:rPr>
      </w:pPr>
      <w:bookmarkStart w:id="78" w:name="_Toc15378460"/>
      <w:bookmarkStart w:id="79" w:name="_Toc15377213"/>
      <w:bookmarkStart w:id="80" w:name="_Toc15377444"/>
      <w:bookmarkStart w:id="81" w:name="_Toc16925"/>
      <w:bookmarkStart w:id="82" w:name="_Toc23803"/>
      <w:bookmarkStart w:id="83" w:name="_Toc5356"/>
      <w:r>
        <w:rPr>
          <w:rFonts w:hint="eastAsia" w:ascii="仿宋" w:hAnsi="仿宋" w:eastAsia="仿宋"/>
          <w:b/>
          <w:color w:val="000000" w:themeColor="text1"/>
          <w:sz w:val="32"/>
          <w:szCs w:val="32"/>
          <w14:textFill>
            <w14:solidFill>
              <w14:schemeClr w14:val="tx1"/>
            </w14:solidFill>
          </w14:textFill>
        </w:rPr>
        <w:t>20</w:t>
      </w:r>
      <w:r>
        <w:rPr>
          <w:rFonts w:hint="eastAsia" w:ascii="仿宋" w:hAnsi="仿宋" w:eastAsia="仿宋"/>
          <w:b/>
          <w:color w:val="000000" w:themeColor="text1"/>
          <w:sz w:val="32"/>
          <w:szCs w:val="32"/>
          <w:lang w:val="en-US" w:eastAsia="zh-CN"/>
          <w14:textFill>
            <w14:solidFill>
              <w14:schemeClr w14:val="tx1"/>
            </w14:solidFill>
          </w14:textFill>
        </w:rPr>
        <w:t>20</w:t>
      </w:r>
      <w:r>
        <w:rPr>
          <w:rFonts w:hint="eastAsia" w:ascii="仿宋" w:hAnsi="仿宋" w:eastAsia="仿宋"/>
          <w:b/>
          <w:color w:val="000000" w:themeColor="text1"/>
          <w:sz w:val="32"/>
          <w:szCs w:val="32"/>
          <w14:textFill>
            <w14:solidFill>
              <w14:schemeClr w14:val="tx1"/>
            </w14:solidFill>
          </w14:textFill>
        </w:rPr>
        <w:t>年般公共预算支出决算数为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183.27万元</w:t>
      </w:r>
      <w:r>
        <w:rPr>
          <w:rFonts w:hint="eastAsia" w:ascii="仿宋" w:hAnsi="仿宋" w:eastAsia="仿宋"/>
          <w:color w:val="000000" w:themeColor="text1"/>
          <w:sz w:val="32"/>
          <w:szCs w:val="32"/>
          <w14:textFill>
            <w14:solidFill>
              <w14:schemeClr w14:val="tx1"/>
            </w14:solidFill>
          </w14:textFill>
        </w:rPr>
        <w:t>，</w:t>
      </w:r>
      <w:r>
        <w:rPr>
          <w:rStyle w:val="13"/>
          <w:rFonts w:hint="eastAsia" w:ascii="仿宋" w:hAnsi="仿宋" w:eastAsia="仿宋"/>
          <w:bCs/>
          <w:color w:val="000000" w:themeColor="text1"/>
          <w:sz w:val="32"/>
          <w:szCs w:val="32"/>
          <w14:textFill>
            <w14:solidFill>
              <w14:schemeClr w14:val="tx1"/>
            </w14:solidFill>
          </w14:textFill>
        </w:rPr>
        <w:t>完成</w:t>
      </w:r>
      <w:r>
        <w:rPr>
          <w:rStyle w:val="13"/>
          <w:rFonts w:hint="eastAsia" w:ascii="仿宋" w:hAnsi="仿宋" w:eastAsia="仿宋"/>
          <w:bCs/>
          <w:color w:val="000000"/>
          <w:sz w:val="32"/>
          <w:szCs w:val="32"/>
        </w:rPr>
        <w:t>预算</w:t>
      </w:r>
      <w:r>
        <w:rPr>
          <w:rStyle w:val="13"/>
          <w:rFonts w:hint="eastAsia" w:ascii="仿宋" w:hAnsi="仿宋" w:eastAsia="仿宋"/>
          <w:bCs/>
          <w:color w:val="000000"/>
          <w:sz w:val="32"/>
          <w:szCs w:val="32"/>
          <w:lang w:val="en-US" w:eastAsia="zh-CN"/>
        </w:rPr>
        <w:t>100</w:t>
      </w:r>
      <w:r>
        <w:rPr>
          <w:rStyle w:val="13"/>
          <w:rFonts w:ascii="仿宋" w:hAnsi="仿宋" w:eastAsia="仿宋"/>
          <w:bCs/>
          <w:color w:val="000000"/>
          <w:sz w:val="32"/>
          <w:szCs w:val="32"/>
        </w:rPr>
        <w:t>%</w:t>
      </w:r>
      <w:r>
        <w:rPr>
          <w:rStyle w:val="13"/>
          <w:rFonts w:hint="eastAsia" w:ascii="仿宋" w:hAnsi="仿宋" w:eastAsia="仿宋"/>
          <w:bCs/>
          <w:color w:val="000000"/>
          <w:sz w:val="32"/>
          <w:szCs w:val="32"/>
        </w:rPr>
        <w:t>。其中：</w:t>
      </w:r>
      <w:bookmarkEnd w:id="78"/>
      <w:bookmarkEnd w:id="79"/>
      <w:bookmarkEnd w:id="80"/>
      <w:bookmarkEnd w:id="81"/>
      <w:bookmarkEnd w:id="82"/>
      <w:bookmarkEnd w:id="83"/>
    </w:p>
    <w:p>
      <w:pPr>
        <w:spacing w:line="600" w:lineRule="exact"/>
        <w:ind w:firstLine="643" w:firstLineChars="200"/>
        <w:rPr>
          <w:rFonts w:ascii="仿宋" w:hAnsi="仿宋" w:eastAsia="仿宋"/>
          <w:b/>
          <w:color w:val="000000"/>
          <w:sz w:val="32"/>
          <w:szCs w:val="32"/>
        </w:rPr>
      </w:pPr>
      <w:r>
        <w:rPr>
          <w:rStyle w:val="13"/>
          <w:rFonts w:hint="eastAsia" w:ascii="仿宋" w:hAnsi="仿宋" w:eastAsia="仿宋"/>
          <w:bCs/>
          <w:color w:val="000000"/>
          <w:sz w:val="32"/>
          <w:szCs w:val="32"/>
          <w:lang w:eastAsia="zh-CN"/>
        </w:rPr>
        <w:t>行政运行支出</w:t>
      </w:r>
      <w:r>
        <w:rPr>
          <w:rStyle w:val="13"/>
          <w:rFonts w:hint="eastAsia" w:ascii="仿宋" w:hAnsi="仿宋" w:eastAsia="仿宋"/>
          <w:bCs/>
          <w:color w:val="000000"/>
          <w:sz w:val="32"/>
          <w:szCs w:val="32"/>
          <w:lang w:val="en-US" w:eastAsia="zh-CN"/>
        </w:rPr>
        <w:t>2012901</w:t>
      </w:r>
      <w:r>
        <w:rPr>
          <w:rStyle w:val="13"/>
          <w:rFonts w:ascii="仿宋" w:hAnsi="仿宋" w:eastAsia="仿宋"/>
          <w:bCs/>
          <w:color w:val="000000"/>
          <w:sz w:val="32"/>
          <w:szCs w:val="32"/>
        </w:rPr>
        <w:t>:</w:t>
      </w:r>
      <w:r>
        <w:rPr>
          <w:rStyle w:val="13"/>
          <w:rFonts w:ascii="仿宋" w:hAnsi="仿宋" w:eastAsia="仿宋"/>
          <w:b w:val="0"/>
          <w:bCs/>
          <w:color w:val="000000"/>
          <w:sz w:val="32"/>
          <w:szCs w:val="32"/>
        </w:rPr>
        <w:t xml:space="preserve"> </w:t>
      </w:r>
      <w:r>
        <w:rPr>
          <w:rStyle w:val="13"/>
          <w:rFonts w:hint="eastAsia" w:ascii="仿宋" w:hAnsi="仿宋" w:eastAsia="仿宋"/>
          <w:b w:val="0"/>
          <w:bCs/>
          <w:color w:val="000000"/>
          <w:sz w:val="32"/>
          <w:szCs w:val="32"/>
        </w:rPr>
        <w:t>支出决算为</w:t>
      </w:r>
      <w:r>
        <w:rPr>
          <w:rStyle w:val="13"/>
          <w:rFonts w:hint="eastAsia" w:ascii="仿宋" w:hAnsi="仿宋" w:eastAsia="仿宋"/>
          <w:b w:val="0"/>
          <w:bCs/>
          <w:color w:val="000000"/>
          <w:sz w:val="32"/>
          <w:szCs w:val="32"/>
          <w:lang w:val="en-US" w:eastAsia="zh-CN"/>
        </w:rPr>
        <w:t>28.76</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，决算数等于预算数的主要原因</w:t>
      </w:r>
      <w:r>
        <w:rPr>
          <w:rStyle w:val="13"/>
          <w:rFonts w:hint="eastAsia" w:ascii="仿宋" w:hAnsi="仿宋" w:eastAsia="仿宋"/>
          <w:b w:val="0"/>
          <w:bCs/>
          <w:color w:val="000000"/>
          <w:sz w:val="32"/>
          <w:szCs w:val="32"/>
          <w:lang w:eastAsia="zh-CN"/>
        </w:rPr>
        <w:t>我单位对资金的合理使用</w:t>
      </w:r>
      <w:r>
        <w:rPr>
          <w:rStyle w:val="13"/>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3"/>
          <w:rFonts w:ascii="仿宋" w:hAnsi="仿宋" w:eastAsia="仿宋"/>
          <w:bCs/>
          <w:color w:val="000000"/>
          <w:sz w:val="32"/>
          <w:szCs w:val="32"/>
        </w:rPr>
        <w:t>2.</w:t>
      </w:r>
      <w:r>
        <w:rPr>
          <w:rStyle w:val="13"/>
          <w:rFonts w:hint="eastAsia" w:ascii="仿宋" w:hAnsi="仿宋" w:eastAsia="仿宋"/>
          <w:bCs/>
          <w:color w:val="000000"/>
          <w:sz w:val="32"/>
          <w:szCs w:val="32"/>
          <w:lang w:eastAsia="zh-CN"/>
        </w:rPr>
        <w:t>事业单位运行支出</w:t>
      </w:r>
      <w:r>
        <w:rPr>
          <w:rStyle w:val="13"/>
          <w:rFonts w:hint="eastAsia" w:ascii="仿宋" w:hAnsi="仿宋" w:eastAsia="仿宋"/>
          <w:bCs/>
          <w:color w:val="000000"/>
          <w:sz w:val="32"/>
          <w:szCs w:val="32"/>
          <w:lang w:val="en-US" w:eastAsia="zh-CN"/>
        </w:rPr>
        <w:t>2012950</w:t>
      </w:r>
      <w:r>
        <w:rPr>
          <w:rStyle w:val="13"/>
          <w:rFonts w:ascii="仿宋" w:hAnsi="仿宋" w:eastAsia="仿宋"/>
          <w:bCs/>
          <w:color w:val="000000"/>
          <w:sz w:val="32"/>
          <w:szCs w:val="32"/>
        </w:rPr>
        <w:t>:</w:t>
      </w:r>
      <w:r>
        <w:rPr>
          <w:rStyle w:val="13"/>
          <w:rFonts w:ascii="仿宋" w:hAnsi="仿宋" w:eastAsia="仿宋"/>
          <w:b w:val="0"/>
          <w:bCs/>
          <w:color w:val="000000"/>
          <w:sz w:val="32"/>
          <w:szCs w:val="32"/>
        </w:rPr>
        <w:t xml:space="preserve"> </w:t>
      </w:r>
      <w:r>
        <w:rPr>
          <w:rStyle w:val="13"/>
          <w:rFonts w:hint="eastAsia" w:ascii="仿宋" w:hAnsi="仿宋" w:eastAsia="仿宋"/>
          <w:b w:val="0"/>
          <w:bCs/>
          <w:color w:val="000000"/>
          <w:sz w:val="32"/>
          <w:szCs w:val="32"/>
        </w:rPr>
        <w:t>支出决算为</w:t>
      </w:r>
      <w:r>
        <w:rPr>
          <w:rStyle w:val="13"/>
          <w:rFonts w:hint="eastAsia" w:ascii="仿宋" w:hAnsi="仿宋" w:eastAsia="仿宋"/>
          <w:b w:val="0"/>
          <w:bCs/>
          <w:color w:val="000000"/>
          <w:sz w:val="32"/>
          <w:szCs w:val="32"/>
          <w:lang w:val="en-US" w:eastAsia="zh-CN"/>
        </w:rPr>
        <w:t>64.94</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，决算数等于预算数的主要原因是。</w:t>
      </w:r>
      <w:r>
        <w:rPr>
          <w:rStyle w:val="13"/>
          <w:rFonts w:hint="eastAsia" w:ascii="仿宋" w:hAnsi="仿宋" w:eastAsia="仿宋"/>
          <w:b w:val="0"/>
          <w:bCs/>
          <w:color w:val="000000"/>
          <w:sz w:val="32"/>
          <w:szCs w:val="32"/>
          <w:lang w:eastAsia="zh-CN"/>
        </w:rPr>
        <w:t>我单位对资金的合理使用</w:t>
      </w:r>
      <w:r>
        <w:rPr>
          <w:rStyle w:val="13"/>
          <w:rFonts w:hint="eastAsia" w:ascii="仿宋" w:hAnsi="仿宋" w:eastAsia="仿宋"/>
          <w:b w:val="0"/>
          <w:bCs/>
          <w:color w:val="000000"/>
          <w:sz w:val="32"/>
          <w:szCs w:val="32"/>
        </w:rPr>
        <w:t>。</w:t>
      </w:r>
      <w:r>
        <w:rPr>
          <w:rStyle w:val="13"/>
          <w:rFonts w:hint="eastAsia" w:ascii="仿宋" w:hAnsi="仿宋" w:eastAsia="仿宋"/>
          <w:b w:val="0"/>
          <w:bCs/>
          <w:color w:val="000000"/>
          <w:sz w:val="32"/>
          <w:szCs w:val="32"/>
          <w:lang w:eastAsia="zh-CN"/>
        </w:rPr>
        <w:t>我单位对资金的合理使用</w:t>
      </w:r>
      <w:r>
        <w:rPr>
          <w:rStyle w:val="13"/>
          <w:rFonts w:hint="eastAsia" w:ascii="仿宋" w:hAnsi="仿宋" w:eastAsia="仿宋"/>
          <w:b w:val="0"/>
          <w:bCs/>
          <w:color w:val="000000"/>
          <w:sz w:val="32"/>
          <w:szCs w:val="32"/>
        </w:rPr>
        <w:t>。</w:t>
      </w:r>
    </w:p>
    <w:p>
      <w:pPr>
        <w:spacing w:line="600" w:lineRule="exact"/>
        <w:ind w:firstLine="643" w:firstLineChars="200"/>
        <w:rPr>
          <w:rStyle w:val="13"/>
          <w:rFonts w:hint="eastAsia" w:ascii="仿宋" w:hAnsi="仿宋" w:eastAsia="仿宋"/>
          <w:b w:val="0"/>
          <w:bCs/>
          <w:color w:val="000000"/>
          <w:sz w:val="32"/>
          <w:szCs w:val="32"/>
        </w:rPr>
      </w:pPr>
      <w:r>
        <w:rPr>
          <w:rStyle w:val="13"/>
          <w:rFonts w:ascii="仿宋" w:hAnsi="仿宋" w:eastAsia="仿宋"/>
          <w:bCs/>
          <w:color w:val="000000"/>
          <w:sz w:val="32"/>
          <w:szCs w:val="32"/>
        </w:rPr>
        <w:t>3.</w:t>
      </w:r>
      <w:r>
        <w:rPr>
          <w:rStyle w:val="13"/>
          <w:rFonts w:hint="eastAsia" w:ascii="仿宋" w:hAnsi="仿宋" w:eastAsia="仿宋"/>
          <w:bCs/>
          <w:color w:val="000000"/>
          <w:sz w:val="32"/>
          <w:szCs w:val="32"/>
          <w:lang w:eastAsia="zh-CN"/>
        </w:rPr>
        <w:t>其他群众团体事务支出</w:t>
      </w:r>
      <w:r>
        <w:rPr>
          <w:rStyle w:val="13"/>
          <w:rFonts w:hint="eastAsia" w:ascii="仿宋" w:hAnsi="仿宋" w:eastAsia="仿宋"/>
          <w:bCs/>
          <w:color w:val="000000"/>
          <w:sz w:val="32"/>
          <w:szCs w:val="32"/>
          <w:lang w:val="en-US" w:eastAsia="zh-CN"/>
        </w:rPr>
        <w:t>2012999</w:t>
      </w:r>
      <w:r>
        <w:rPr>
          <w:rStyle w:val="13"/>
          <w:rFonts w:ascii="仿宋" w:hAnsi="仿宋" w:eastAsia="仿宋"/>
          <w:bCs/>
          <w:color w:val="000000"/>
          <w:sz w:val="32"/>
          <w:szCs w:val="32"/>
        </w:rPr>
        <w:t>:</w:t>
      </w:r>
      <w:r>
        <w:rPr>
          <w:rStyle w:val="13"/>
          <w:rFonts w:ascii="仿宋" w:hAnsi="仿宋" w:eastAsia="仿宋"/>
          <w:b w:val="0"/>
          <w:bCs/>
          <w:color w:val="000000"/>
          <w:sz w:val="32"/>
          <w:szCs w:val="32"/>
        </w:rPr>
        <w:t xml:space="preserve"> </w:t>
      </w:r>
      <w:r>
        <w:rPr>
          <w:rStyle w:val="13"/>
          <w:rFonts w:hint="eastAsia" w:ascii="仿宋" w:hAnsi="仿宋" w:eastAsia="仿宋"/>
          <w:b w:val="0"/>
          <w:bCs/>
          <w:color w:val="000000"/>
          <w:sz w:val="32"/>
          <w:szCs w:val="32"/>
        </w:rPr>
        <w:t>支出决算为</w:t>
      </w:r>
      <w:r>
        <w:rPr>
          <w:rStyle w:val="13"/>
          <w:rFonts w:hint="eastAsia" w:ascii="仿宋" w:hAnsi="仿宋" w:eastAsia="仿宋"/>
          <w:b w:val="0"/>
          <w:bCs/>
          <w:color w:val="000000"/>
          <w:sz w:val="32"/>
          <w:szCs w:val="32"/>
          <w:lang w:val="en-US" w:eastAsia="zh-CN"/>
        </w:rPr>
        <w:t>15.04</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，决算数等于预算数的主要原因是</w:t>
      </w:r>
      <w:r>
        <w:rPr>
          <w:rStyle w:val="13"/>
          <w:rFonts w:hint="eastAsia" w:ascii="仿宋" w:hAnsi="仿宋" w:eastAsia="仿宋"/>
          <w:b w:val="0"/>
          <w:bCs/>
          <w:color w:val="000000"/>
          <w:sz w:val="32"/>
          <w:szCs w:val="32"/>
          <w:lang w:eastAsia="zh-CN"/>
        </w:rPr>
        <w:t>我单位对资金的合理使用</w:t>
      </w:r>
      <w:r>
        <w:rPr>
          <w:rStyle w:val="13"/>
          <w:rFonts w:hint="eastAsia" w:ascii="仿宋" w:hAnsi="仿宋" w:eastAsia="仿宋"/>
          <w:b w:val="0"/>
          <w:bCs/>
          <w:color w:val="000000"/>
          <w:sz w:val="32"/>
          <w:szCs w:val="32"/>
        </w:rPr>
        <w:t>。</w:t>
      </w:r>
    </w:p>
    <w:p>
      <w:pPr>
        <w:spacing w:line="600" w:lineRule="exact"/>
        <w:ind w:firstLine="643" w:firstLineChars="200"/>
        <w:rPr>
          <w:rStyle w:val="13"/>
          <w:rFonts w:hint="eastAsia" w:ascii="仿宋" w:hAnsi="仿宋" w:eastAsia="仿宋"/>
          <w:b w:val="0"/>
          <w:bCs/>
          <w:color w:val="000000"/>
          <w:sz w:val="32"/>
          <w:szCs w:val="32"/>
        </w:rPr>
      </w:pPr>
      <w:r>
        <w:rPr>
          <w:rStyle w:val="13"/>
          <w:rFonts w:hint="eastAsia" w:ascii="仿宋" w:hAnsi="仿宋" w:eastAsia="仿宋"/>
          <w:bCs/>
          <w:color w:val="000000"/>
          <w:sz w:val="32"/>
          <w:szCs w:val="32"/>
          <w:lang w:val="en-US" w:eastAsia="zh-CN"/>
        </w:rPr>
        <w:t>4.</w:t>
      </w:r>
      <w:r>
        <w:rPr>
          <w:rStyle w:val="13"/>
          <w:rFonts w:hint="eastAsia" w:ascii="仿宋" w:hAnsi="仿宋" w:eastAsia="仿宋"/>
          <w:bCs/>
          <w:color w:val="000000"/>
          <w:sz w:val="32"/>
          <w:szCs w:val="32"/>
          <w:lang w:eastAsia="zh-CN"/>
        </w:rPr>
        <w:t>一般行政管理事务</w:t>
      </w:r>
      <w:r>
        <w:rPr>
          <w:rStyle w:val="13"/>
          <w:rFonts w:hint="eastAsia" w:ascii="仿宋" w:hAnsi="仿宋" w:eastAsia="仿宋"/>
          <w:bCs/>
          <w:color w:val="000000"/>
          <w:sz w:val="32"/>
          <w:szCs w:val="32"/>
          <w:lang w:val="en-US" w:eastAsia="zh-CN"/>
        </w:rPr>
        <w:t>2012902</w:t>
      </w:r>
      <w:r>
        <w:rPr>
          <w:rStyle w:val="13"/>
          <w:rFonts w:ascii="仿宋" w:hAnsi="仿宋" w:eastAsia="仿宋"/>
          <w:bCs/>
          <w:color w:val="000000"/>
          <w:sz w:val="32"/>
          <w:szCs w:val="32"/>
        </w:rPr>
        <w:t>:</w:t>
      </w:r>
      <w:r>
        <w:rPr>
          <w:rStyle w:val="13"/>
          <w:rFonts w:ascii="仿宋" w:hAnsi="仿宋" w:eastAsia="仿宋"/>
          <w:b w:val="0"/>
          <w:bCs/>
          <w:color w:val="000000"/>
          <w:sz w:val="32"/>
          <w:szCs w:val="32"/>
        </w:rPr>
        <w:t xml:space="preserve"> </w:t>
      </w:r>
      <w:r>
        <w:rPr>
          <w:rStyle w:val="13"/>
          <w:rFonts w:hint="eastAsia" w:ascii="仿宋" w:hAnsi="仿宋" w:eastAsia="仿宋"/>
          <w:b w:val="0"/>
          <w:bCs/>
          <w:color w:val="000000"/>
          <w:sz w:val="32"/>
          <w:szCs w:val="32"/>
        </w:rPr>
        <w:t>支出决算为</w:t>
      </w:r>
      <w:r>
        <w:rPr>
          <w:rStyle w:val="13"/>
          <w:rFonts w:hint="eastAsia" w:ascii="仿宋" w:hAnsi="仿宋" w:eastAsia="仿宋"/>
          <w:b w:val="0"/>
          <w:bCs/>
          <w:color w:val="000000"/>
          <w:sz w:val="32"/>
          <w:szCs w:val="32"/>
          <w:lang w:val="en-US" w:eastAsia="zh-CN"/>
        </w:rPr>
        <w:t>24</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，决算数等于预算数的主要原因是</w:t>
      </w:r>
      <w:r>
        <w:rPr>
          <w:rStyle w:val="13"/>
          <w:rFonts w:hint="eastAsia" w:ascii="仿宋" w:hAnsi="仿宋" w:eastAsia="仿宋"/>
          <w:b w:val="0"/>
          <w:bCs/>
          <w:color w:val="000000"/>
          <w:sz w:val="32"/>
          <w:szCs w:val="32"/>
          <w:lang w:eastAsia="zh-CN"/>
        </w:rPr>
        <w:t>我单位对资金的合理使用</w:t>
      </w:r>
      <w:r>
        <w:rPr>
          <w:rStyle w:val="13"/>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3"/>
          <w:rFonts w:hint="eastAsia" w:ascii="仿宋" w:hAnsi="仿宋" w:eastAsia="仿宋"/>
          <w:bCs/>
          <w:color w:val="000000"/>
          <w:sz w:val="32"/>
          <w:szCs w:val="32"/>
          <w:lang w:val="en-US" w:eastAsia="zh-CN"/>
        </w:rPr>
        <w:t>5</w:t>
      </w:r>
      <w:r>
        <w:rPr>
          <w:rStyle w:val="13"/>
          <w:rFonts w:ascii="仿宋" w:hAnsi="仿宋" w:eastAsia="仿宋"/>
          <w:bCs/>
          <w:color w:val="000000"/>
          <w:sz w:val="32"/>
          <w:szCs w:val="32"/>
        </w:rPr>
        <w:t>.</w:t>
      </w:r>
      <w:r>
        <w:rPr>
          <w:rStyle w:val="13"/>
          <w:rFonts w:hint="eastAsia" w:ascii="仿宋" w:hAnsi="仿宋" w:eastAsia="仿宋"/>
          <w:bCs/>
          <w:color w:val="000000"/>
          <w:sz w:val="32"/>
          <w:szCs w:val="32"/>
          <w:lang w:eastAsia="zh-CN"/>
        </w:rPr>
        <w:t>机关事业单位基本养老保险缴费支出</w:t>
      </w:r>
      <w:r>
        <w:rPr>
          <w:rStyle w:val="13"/>
          <w:rFonts w:hint="eastAsia" w:ascii="仿宋" w:hAnsi="仿宋" w:eastAsia="仿宋"/>
          <w:bCs/>
          <w:color w:val="000000"/>
          <w:sz w:val="32"/>
          <w:szCs w:val="32"/>
          <w:lang w:val="en-US" w:eastAsia="zh-CN"/>
        </w:rPr>
        <w:t>2080505</w:t>
      </w:r>
      <w:r>
        <w:rPr>
          <w:rStyle w:val="13"/>
          <w:rFonts w:ascii="仿宋" w:hAnsi="仿宋" w:eastAsia="仿宋"/>
          <w:bCs/>
          <w:color w:val="000000"/>
          <w:sz w:val="32"/>
          <w:szCs w:val="32"/>
        </w:rPr>
        <w:t>:</w:t>
      </w:r>
      <w:r>
        <w:rPr>
          <w:rStyle w:val="13"/>
          <w:rFonts w:ascii="仿宋" w:hAnsi="仿宋" w:eastAsia="仿宋"/>
          <w:b w:val="0"/>
          <w:bCs/>
          <w:color w:val="000000"/>
          <w:sz w:val="32"/>
          <w:szCs w:val="32"/>
        </w:rPr>
        <w:t xml:space="preserve"> </w:t>
      </w:r>
      <w:r>
        <w:rPr>
          <w:rStyle w:val="13"/>
          <w:rFonts w:hint="eastAsia" w:ascii="仿宋" w:hAnsi="仿宋" w:eastAsia="仿宋"/>
          <w:b w:val="0"/>
          <w:bCs/>
          <w:color w:val="000000"/>
          <w:sz w:val="32"/>
          <w:szCs w:val="32"/>
        </w:rPr>
        <w:t>支出决算为</w:t>
      </w:r>
      <w:r>
        <w:rPr>
          <w:rStyle w:val="13"/>
          <w:rFonts w:hint="eastAsia" w:ascii="仿宋" w:hAnsi="仿宋" w:eastAsia="仿宋"/>
          <w:b w:val="0"/>
          <w:bCs/>
          <w:color w:val="000000"/>
          <w:sz w:val="32"/>
          <w:szCs w:val="32"/>
          <w:lang w:val="en-US" w:eastAsia="zh-CN"/>
        </w:rPr>
        <w:t>10.17</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，决算数等于预算数的主要原因。</w:t>
      </w:r>
      <w:r>
        <w:rPr>
          <w:rStyle w:val="13"/>
          <w:rFonts w:hint="eastAsia" w:ascii="仿宋" w:hAnsi="仿宋" w:eastAsia="仿宋"/>
          <w:b w:val="0"/>
          <w:bCs/>
          <w:color w:val="000000"/>
          <w:sz w:val="32"/>
          <w:szCs w:val="32"/>
          <w:lang w:eastAsia="zh-CN"/>
        </w:rPr>
        <w:t>我单位对资金的合理使用</w:t>
      </w:r>
      <w:r>
        <w:rPr>
          <w:rStyle w:val="13"/>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3"/>
          <w:rFonts w:hint="eastAsia" w:ascii="仿宋" w:hAnsi="仿宋" w:eastAsia="仿宋"/>
          <w:bCs/>
          <w:color w:val="000000"/>
          <w:sz w:val="32"/>
          <w:szCs w:val="32"/>
          <w:lang w:val="en-US" w:eastAsia="zh-CN"/>
        </w:rPr>
        <w:t>6</w:t>
      </w:r>
      <w:r>
        <w:rPr>
          <w:rStyle w:val="13"/>
          <w:rFonts w:ascii="仿宋" w:hAnsi="仿宋" w:eastAsia="仿宋"/>
          <w:bCs/>
          <w:color w:val="000000"/>
          <w:sz w:val="32"/>
          <w:szCs w:val="32"/>
        </w:rPr>
        <w:t>.</w:t>
      </w:r>
      <w:r>
        <w:rPr>
          <w:rStyle w:val="13"/>
          <w:rFonts w:hint="eastAsia" w:ascii="仿宋" w:hAnsi="仿宋" w:eastAsia="仿宋"/>
          <w:bCs/>
          <w:color w:val="000000"/>
          <w:sz w:val="32"/>
          <w:szCs w:val="32"/>
          <w:lang w:eastAsia="zh-CN"/>
        </w:rPr>
        <w:t>机关事业单位职业年金缴费支出</w:t>
      </w:r>
      <w:r>
        <w:rPr>
          <w:rStyle w:val="13"/>
          <w:rFonts w:hint="eastAsia" w:ascii="仿宋" w:hAnsi="仿宋" w:eastAsia="仿宋"/>
          <w:bCs/>
          <w:color w:val="000000"/>
          <w:sz w:val="32"/>
          <w:szCs w:val="32"/>
          <w:lang w:val="en-US" w:eastAsia="zh-CN"/>
        </w:rPr>
        <w:t>2080506</w:t>
      </w:r>
      <w:r>
        <w:rPr>
          <w:rStyle w:val="13"/>
          <w:rFonts w:ascii="仿宋" w:hAnsi="仿宋" w:eastAsia="仿宋"/>
          <w:bCs/>
          <w:color w:val="000000"/>
          <w:sz w:val="32"/>
          <w:szCs w:val="32"/>
        </w:rPr>
        <w:t>:</w:t>
      </w:r>
      <w:r>
        <w:rPr>
          <w:rStyle w:val="13"/>
          <w:rFonts w:ascii="仿宋" w:hAnsi="仿宋" w:eastAsia="仿宋"/>
          <w:b w:val="0"/>
          <w:bCs/>
          <w:color w:val="000000"/>
          <w:sz w:val="32"/>
          <w:szCs w:val="32"/>
        </w:rPr>
        <w:t xml:space="preserve"> </w:t>
      </w:r>
      <w:r>
        <w:rPr>
          <w:rStyle w:val="13"/>
          <w:rFonts w:hint="eastAsia" w:ascii="仿宋" w:hAnsi="仿宋" w:eastAsia="仿宋"/>
          <w:b w:val="0"/>
          <w:bCs/>
          <w:color w:val="000000"/>
          <w:sz w:val="32"/>
          <w:szCs w:val="32"/>
        </w:rPr>
        <w:t>支出决算</w:t>
      </w:r>
      <w:r>
        <w:rPr>
          <w:rStyle w:val="13"/>
          <w:rFonts w:hint="eastAsia" w:ascii="仿宋" w:hAnsi="仿宋" w:eastAsia="仿宋"/>
          <w:b w:val="0"/>
          <w:bCs/>
          <w:color w:val="000000"/>
          <w:sz w:val="32"/>
          <w:szCs w:val="32"/>
          <w:lang w:val="en-US" w:eastAsia="zh-CN"/>
        </w:rPr>
        <w:t>5.09</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，决算数等于预算数的主要原因。</w:t>
      </w:r>
      <w:r>
        <w:rPr>
          <w:rStyle w:val="13"/>
          <w:rFonts w:hint="eastAsia" w:ascii="仿宋" w:hAnsi="仿宋" w:eastAsia="仿宋"/>
          <w:b w:val="0"/>
          <w:bCs/>
          <w:color w:val="000000"/>
          <w:sz w:val="32"/>
          <w:szCs w:val="32"/>
          <w:lang w:eastAsia="zh-CN"/>
        </w:rPr>
        <w:t>我单位对资金的合理使用</w:t>
      </w:r>
      <w:r>
        <w:rPr>
          <w:rStyle w:val="13"/>
          <w:rFonts w:hint="eastAsia" w:ascii="仿宋" w:hAnsi="仿宋" w:eastAsia="仿宋"/>
          <w:b w:val="0"/>
          <w:bCs/>
          <w:color w:val="000000"/>
          <w:sz w:val="32"/>
          <w:szCs w:val="32"/>
        </w:rPr>
        <w:t>。</w:t>
      </w:r>
    </w:p>
    <w:p>
      <w:pPr>
        <w:spacing w:line="600" w:lineRule="exact"/>
        <w:ind w:firstLine="643" w:firstLineChars="200"/>
        <w:rPr>
          <w:rStyle w:val="13"/>
          <w:rFonts w:hint="eastAsia" w:ascii="仿宋" w:hAnsi="仿宋" w:eastAsia="仿宋"/>
          <w:b w:val="0"/>
          <w:bCs/>
          <w:color w:val="000000"/>
          <w:sz w:val="32"/>
          <w:szCs w:val="32"/>
        </w:rPr>
      </w:pPr>
      <w:r>
        <w:rPr>
          <w:rStyle w:val="13"/>
          <w:rFonts w:hint="eastAsia" w:ascii="仿宋" w:hAnsi="仿宋" w:eastAsia="仿宋"/>
          <w:bCs/>
          <w:color w:val="000000"/>
          <w:sz w:val="32"/>
          <w:szCs w:val="32"/>
          <w:lang w:val="en-US" w:eastAsia="zh-CN"/>
        </w:rPr>
        <w:t>7</w:t>
      </w:r>
      <w:r>
        <w:rPr>
          <w:rStyle w:val="13"/>
          <w:rFonts w:ascii="仿宋" w:hAnsi="仿宋" w:eastAsia="仿宋"/>
          <w:bCs/>
          <w:color w:val="000000"/>
          <w:sz w:val="32"/>
          <w:szCs w:val="32"/>
        </w:rPr>
        <w:t>.</w:t>
      </w:r>
      <w:r>
        <w:rPr>
          <w:rStyle w:val="13"/>
          <w:rFonts w:hint="eastAsia" w:ascii="仿宋" w:hAnsi="仿宋" w:eastAsia="仿宋"/>
          <w:bCs/>
          <w:color w:val="000000"/>
          <w:sz w:val="32"/>
          <w:szCs w:val="32"/>
          <w:lang w:eastAsia="zh-CN"/>
        </w:rPr>
        <w:t>行政单位医疗支出</w:t>
      </w:r>
      <w:r>
        <w:rPr>
          <w:rStyle w:val="13"/>
          <w:rFonts w:hint="eastAsia" w:ascii="仿宋" w:hAnsi="仿宋" w:eastAsia="仿宋"/>
          <w:bCs/>
          <w:color w:val="000000"/>
          <w:sz w:val="32"/>
          <w:szCs w:val="32"/>
          <w:lang w:val="en-US" w:eastAsia="zh-CN"/>
        </w:rPr>
        <w:t>2101101</w:t>
      </w:r>
      <w:r>
        <w:rPr>
          <w:rStyle w:val="13"/>
          <w:rFonts w:ascii="仿宋" w:hAnsi="仿宋" w:eastAsia="仿宋"/>
          <w:bCs/>
          <w:color w:val="000000"/>
          <w:sz w:val="32"/>
          <w:szCs w:val="32"/>
        </w:rPr>
        <w:t>:</w:t>
      </w:r>
      <w:r>
        <w:rPr>
          <w:rStyle w:val="13"/>
          <w:rFonts w:hint="eastAsia" w:ascii="仿宋" w:hAnsi="仿宋" w:eastAsia="仿宋"/>
          <w:b w:val="0"/>
          <w:bCs/>
          <w:color w:val="000000"/>
          <w:sz w:val="32"/>
          <w:szCs w:val="32"/>
        </w:rPr>
        <w:t>支出决算为</w:t>
      </w:r>
      <w:r>
        <w:rPr>
          <w:rStyle w:val="13"/>
          <w:rFonts w:hint="eastAsia" w:ascii="仿宋" w:hAnsi="仿宋" w:eastAsia="仿宋"/>
          <w:b w:val="0"/>
          <w:bCs/>
          <w:color w:val="000000"/>
          <w:sz w:val="32"/>
          <w:szCs w:val="32"/>
          <w:lang w:val="en-US" w:eastAsia="zh-CN"/>
        </w:rPr>
        <w:t>2.01</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，决算数等于预算数的主要原因。</w:t>
      </w:r>
      <w:r>
        <w:rPr>
          <w:rStyle w:val="13"/>
          <w:rFonts w:hint="eastAsia" w:ascii="仿宋" w:hAnsi="仿宋" w:eastAsia="仿宋"/>
          <w:b w:val="0"/>
          <w:bCs/>
          <w:color w:val="000000"/>
          <w:sz w:val="32"/>
          <w:szCs w:val="32"/>
          <w:lang w:eastAsia="zh-CN"/>
        </w:rPr>
        <w:t>我单位对资金的合理使用</w:t>
      </w:r>
      <w:r>
        <w:rPr>
          <w:rStyle w:val="13"/>
          <w:rFonts w:hint="eastAsia" w:ascii="仿宋" w:hAnsi="仿宋" w:eastAsia="仿宋"/>
          <w:b w:val="0"/>
          <w:bCs/>
          <w:color w:val="000000"/>
          <w:sz w:val="32"/>
          <w:szCs w:val="32"/>
        </w:rPr>
        <w:t>。</w:t>
      </w:r>
    </w:p>
    <w:p>
      <w:pPr>
        <w:spacing w:line="600" w:lineRule="exact"/>
        <w:ind w:firstLine="643" w:firstLineChars="200"/>
        <w:rPr>
          <w:rStyle w:val="13"/>
          <w:rFonts w:hint="eastAsia" w:ascii="仿宋" w:hAnsi="仿宋" w:eastAsia="仿宋"/>
          <w:b w:val="0"/>
          <w:bCs/>
          <w:color w:val="000000"/>
          <w:sz w:val="32"/>
          <w:szCs w:val="32"/>
        </w:rPr>
      </w:pPr>
      <w:r>
        <w:rPr>
          <w:rStyle w:val="13"/>
          <w:rFonts w:hint="eastAsia" w:ascii="仿宋" w:hAnsi="仿宋" w:eastAsia="仿宋"/>
          <w:b/>
          <w:bCs w:val="0"/>
          <w:color w:val="000000"/>
          <w:sz w:val="32"/>
          <w:szCs w:val="32"/>
          <w:lang w:val="en-US" w:eastAsia="zh-CN"/>
        </w:rPr>
        <w:t>8.事业单位医疗支出2101102</w:t>
      </w:r>
      <w:r>
        <w:rPr>
          <w:rStyle w:val="13"/>
          <w:rFonts w:hint="eastAsia" w:ascii="仿宋" w:hAnsi="仿宋" w:eastAsia="仿宋"/>
          <w:b w:val="0"/>
          <w:bCs/>
          <w:color w:val="000000"/>
          <w:sz w:val="32"/>
          <w:szCs w:val="32"/>
          <w:lang w:val="en-US" w:eastAsia="zh-CN"/>
        </w:rPr>
        <w:t>：</w:t>
      </w:r>
      <w:r>
        <w:rPr>
          <w:rStyle w:val="13"/>
          <w:rFonts w:hint="eastAsia" w:ascii="仿宋" w:hAnsi="仿宋" w:eastAsia="仿宋"/>
          <w:b w:val="0"/>
          <w:bCs/>
          <w:color w:val="000000"/>
          <w:sz w:val="32"/>
          <w:szCs w:val="32"/>
        </w:rPr>
        <w:t>支出决算为</w:t>
      </w:r>
      <w:r>
        <w:rPr>
          <w:rStyle w:val="13"/>
          <w:rFonts w:hint="eastAsia" w:ascii="仿宋" w:hAnsi="仿宋" w:eastAsia="仿宋"/>
          <w:b w:val="0"/>
          <w:bCs/>
          <w:color w:val="000000"/>
          <w:sz w:val="32"/>
          <w:szCs w:val="32"/>
          <w:lang w:val="en-US" w:eastAsia="zh-CN"/>
        </w:rPr>
        <w:t>3.34</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，决算数等于预算数的主要原因。</w:t>
      </w:r>
      <w:r>
        <w:rPr>
          <w:rStyle w:val="13"/>
          <w:rFonts w:hint="eastAsia" w:ascii="仿宋" w:hAnsi="仿宋" w:eastAsia="仿宋"/>
          <w:b w:val="0"/>
          <w:bCs/>
          <w:color w:val="000000"/>
          <w:sz w:val="32"/>
          <w:szCs w:val="32"/>
          <w:lang w:eastAsia="zh-CN"/>
        </w:rPr>
        <w:t>我单位对资金的合理使用</w:t>
      </w:r>
      <w:r>
        <w:rPr>
          <w:rStyle w:val="13"/>
          <w:rFonts w:hint="eastAsia" w:ascii="仿宋" w:hAnsi="仿宋" w:eastAsia="仿宋"/>
          <w:b w:val="0"/>
          <w:bCs/>
          <w:color w:val="000000"/>
          <w:sz w:val="32"/>
          <w:szCs w:val="32"/>
        </w:rPr>
        <w:t>。</w:t>
      </w:r>
    </w:p>
    <w:p>
      <w:pPr>
        <w:spacing w:line="600" w:lineRule="exact"/>
        <w:ind w:firstLine="643" w:firstLineChars="200"/>
        <w:rPr>
          <w:rStyle w:val="13"/>
          <w:rFonts w:hint="eastAsia" w:ascii="仿宋" w:hAnsi="仿宋" w:eastAsia="仿宋"/>
          <w:b w:val="0"/>
          <w:bCs/>
          <w:color w:val="000000"/>
          <w:sz w:val="32"/>
          <w:szCs w:val="32"/>
        </w:rPr>
      </w:pPr>
      <w:r>
        <w:rPr>
          <w:rStyle w:val="13"/>
          <w:rFonts w:hint="eastAsia" w:ascii="仿宋" w:hAnsi="仿宋" w:eastAsia="仿宋"/>
          <w:b/>
          <w:bCs w:val="0"/>
          <w:color w:val="000000"/>
          <w:sz w:val="32"/>
          <w:szCs w:val="32"/>
          <w:lang w:val="en-US" w:eastAsia="zh-CN"/>
        </w:rPr>
        <w:t>9.公务员医疗补助2101103</w:t>
      </w:r>
      <w:r>
        <w:rPr>
          <w:rStyle w:val="13"/>
          <w:rFonts w:hint="eastAsia" w:ascii="仿宋" w:hAnsi="仿宋" w:eastAsia="仿宋"/>
          <w:b w:val="0"/>
          <w:bCs/>
          <w:color w:val="000000"/>
          <w:sz w:val="32"/>
          <w:szCs w:val="32"/>
          <w:lang w:val="en-US" w:eastAsia="zh-CN"/>
        </w:rPr>
        <w:t>：</w:t>
      </w:r>
      <w:r>
        <w:rPr>
          <w:rStyle w:val="13"/>
          <w:rFonts w:hint="eastAsia" w:ascii="仿宋" w:hAnsi="仿宋" w:eastAsia="仿宋"/>
          <w:b w:val="0"/>
          <w:bCs/>
          <w:color w:val="000000"/>
          <w:sz w:val="32"/>
          <w:szCs w:val="32"/>
        </w:rPr>
        <w:t>支出决算为</w:t>
      </w:r>
      <w:r>
        <w:rPr>
          <w:rStyle w:val="13"/>
          <w:rFonts w:hint="eastAsia" w:ascii="仿宋" w:hAnsi="仿宋" w:eastAsia="仿宋"/>
          <w:b w:val="0"/>
          <w:bCs/>
          <w:color w:val="000000"/>
          <w:sz w:val="32"/>
          <w:szCs w:val="32"/>
          <w:lang w:val="en-US" w:eastAsia="zh-CN"/>
        </w:rPr>
        <w:t>0.43</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，决算数等于预算数的主要原因。</w:t>
      </w:r>
      <w:r>
        <w:rPr>
          <w:rStyle w:val="13"/>
          <w:rFonts w:hint="eastAsia" w:ascii="仿宋" w:hAnsi="仿宋" w:eastAsia="仿宋"/>
          <w:b w:val="0"/>
          <w:bCs/>
          <w:color w:val="000000"/>
          <w:sz w:val="32"/>
          <w:szCs w:val="32"/>
          <w:lang w:eastAsia="zh-CN"/>
        </w:rPr>
        <w:t>我单位对资金的合理使用</w:t>
      </w:r>
      <w:r>
        <w:rPr>
          <w:rStyle w:val="13"/>
          <w:rFonts w:hint="eastAsia" w:ascii="仿宋" w:hAnsi="仿宋" w:eastAsia="仿宋"/>
          <w:b w:val="0"/>
          <w:bCs/>
          <w:color w:val="000000"/>
          <w:sz w:val="32"/>
          <w:szCs w:val="32"/>
        </w:rPr>
        <w:t>。</w:t>
      </w:r>
    </w:p>
    <w:p>
      <w:pPr>
        <w:spacing w:line="600" w:lineRule="exact"/>
        <w:ind w:firstLine="643" w:firstLineChars="200"/>
        <w:rPr>
          <w:rStyle w:val="13"/>
          <w:rFonts w:hint="eastAsia" w:ascii="仿宋" w:hAnsi="仿宋" w:eastAsia="仿宋"/>
          <w:b w:val="0"/>
          <w:bCs/>
          <w:color w:val="000000"/>
          <w:sz w:val="32"/>
          <w:szCs w:val="32"/>
        </w:rPr>
      </w:pPr>
      <w:r>
        <w:rPr>
          <w:rStyle w:val="13"/>
          <w:rFonts w:hint="eastAsia" w:ascii="仿宋" w:hAnsi="仿宋" w:eastAsia="仿宋"/>
          <w:b/>
          <w:bCs w:val="0"/>
          <w:color w:val="000000"/>
          <w:sz w:val="32"/>
          <w:szCs w:val="32"/>
          <w:lang w:val="en-US" w:eastAsia="zh-CN"/>
        </w:rPr>
        <w:t>10.其他行政事业单位医疗支出2101199</w:t>
      </w:r>
      <w:r>
        <w:rPr>
          <w:rStyle w:val="13"/>
          <w:rFonts w:hint="eastAsia" w:ascii="仿宋" w:hAnsi="仿宋" w:eastAsia="仿宋"/>
          <w:b w:val="0"/>
          <w:bCs/>
          <w:color w:val="000000"/>
          <w:sz w:val="32"/>
          <w:szCs w:val="32"/>
          <w:lang w:val="en-US" w:eastAsia="zh-CN"/>
        </w:rPr>
        <w:t>：</w:t>
      </w:r>
      <w:r>
        <w:rPr>
          <w:rStyle w:val="13"/>
          <w:rFonts w:hint="eastAsia" w:ascii="仿宋" w:hAnsi="仿宋" w:eastAsia="仿宋"/>
          <w:b w:val="0"/>
          <w:bCs/>
          <w:color w:val="000000"/>
          <w:sz w:val="32"/>
          <w:szCs w:val="32"/>
        </w:rPr>
        <w:t>支出决算为</w:t>
      </w:r>
      <w:r>
        <w:rPr>
          <w:rStyle w:val="13"/>
          <w:rFonts w:hint="eastAsia" w:ascii="仿宋" w:hAnsi="仿宋" w:eastAsia="仿宋"/>
          <w:b w:val="0"/>
          <w:bCs/>
          <w:color w:val="000000"/>
          <w:sz w:val="32"/>
          <w:szCs w:val="32"/>
          <w:lang w:val="en-US" w:eastAsia="zh-CN"/>
        </w:rPr>
        <w:t>0.87</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，决算数等于预算数的主要原因。</w:t>
      </w:r>
      <w:r>
        <w:rPr>
          <w:rStyle w:val="13"/>
          <w:rFonts w:hint="eastAsia" w:ascii="仿宋" w:hAnsi="仿宋" w:eastAsia="仿宋"/>
          <w:b w:val="0"/>
          <w:bCs/>
          <w:color w:val="000000"/>
          <w:sz w:val="32"/>
          <w:szCs w:val="32"/>
          <w:lang w:eastAsia="zh-CN"/>
        </w:rPr>
        <w:t>我单位对资金的合理使用</w:t>
      </w:r>
      <w:r>
        <w:rPr>
          <w:rStyle w:val="13"/>
          <w:rFonts w:hint="eastAsia" w:ascii="仿宋" w:hAnsi="仿宋" w:eastAsia="仿宋"/>
          <w:b w:val="0"/>
          <w:bCs/>
          <w:color w:val="000000"/>
          <w:sz w:val="32"/>
          <w:szCs w:val="32"/>
        </w:rPr>
        <w:t>。</w:t>
      </w:r>
    </w:p>
    <w:p>
      <w:pPr>
        <w:spacing w:line="600" w:lineRule="exact"/>
        <w:ind w:firstLine="643" w:firstLineChars="200"/>
        <w:rPr>
          <w:rStyle w:val="13"/>
          <w:rFonts w:hint="eastAsia" w:ascii="仿宋" w:hAnsi="仿宋" w:eastAsia="仿宋"/>
          <w:b w:val="0"/>
          <w:bCs/>
          <w:color w:val="000000"/>
          <w:sz w:val="32"/>
          <w:szCs w:val="32"/>
        </w:rPr>
      </w:pPr>
      <w:r>
        <w:rPr>
          <w:rStyle w:val="13"/>
          <w:rFonts w:hint="eastAsia" w:ascii="仿宋" w:hAnsi="仿宋" w:eastAsia="仿宋"/>
          <w:b/>
          <w:bCs w:val="0"/>
          <w:color w:val="000000"/>
          <w:sz w:val="32"/>
          <w:szCs w:val="32"/>
          <w:lang w:val="en-US" w:eastAsia="zh-CN"/>
        </w:rPr>
        <w:t>11.</w:t>
      </w:r>
      <w:r>
        <w:rPr>
          <w:rStyle w:val="13"/>
          <w:rFonts w:hint="eastAsia" w:ascii="仿宋" w:hAnsi="仿宋" w:eastAsia="仿宋"/>
          <w:b/>
          <w:bCs w:val="0"/>
          <w:color w:val="000000"/>
          <w:sz w:val="32"/>
          <w:szCs w:val="32"/>
          <w:lang w:eastAsia="zh-CN"/>
        </w:rPr>
        <w:t>住房公积金</w:t>
      </w:r>
      <w:r>
        <w:rPr>
          <w:rStyle w:val="13"/>
          <w:rFonts w:hint="eastAsia" w:ascii="仿宋" w:hAnsi="仿宋" w:eastAsia="仿宋"/>
          <w:b/>
          <w:bCs w:val="0"/>
          <w:color w:val="000000"/>
          <w:sz w:val="32"/>
          <w:szCs w:val="32"/>
          <w:lang w:val="en-US" w:eastAsia="zh-CN"/>
        </w:rPr>
        <w:t>2210201</w:t>
      </w:r>
      <w:r>
        <w:rPr>
          <w:rStyle w:val="13"/>
          <w:rFonts w:hint="eastAsia" w:ascii="仿宋" w:hAnsi="仿宋" w:eastAsia="仿宋"/>
          <w:b w:val="0"/>
          <w:bCs/>
          <w:color w:val="000000"/>
          <w:sz w:val="32"/>
          <w:szCs w:val="32"/>
          <w:lang w:val="en-US" w:eastAsia="zh-CN"/>
        </w:rPr>
        <w:t>：</w:t>
      </w:r>
      <w:r>
        <w:rPr>
          <w:rStyle w:val="13"/>
          <w:rFonts w:hint="eastAsia" w:ascii="仿宋" w:hAnsi="仿宋" w:eastAsia="仿宋"/>
          <w:b w:val="0"/>
          <w:bCs/>
          <w:color w:val="000000"/>
          <w:sz w:val="32"/>
          <w:szCs w:val="32"/>
        </w:rPr>
        <w:t>支出决算为</w:t>
      </w:r>
      <w:r>
        <w:rPr>
          <w:rStyle w:val="13"/>
          <w:rFonts w:hint="eastAsia" w:ascii="仿宋" w:hAnsi="仿宋" w:eastAsia="仿宋"/>
          <w:b w:val="0"/>
          <w:bCs/>
          <w:color w:val="000000"/>
          <w:sz w:val="32"/>
          <w:szCs w:val="32"/>
          <w:lang w:val="en-US" w:eastAsia="zh-CN"/>
        </w:rPr>
        <w:t>9.17</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，决算数等于预算数的主要原因。</w:t>
      </w:r>
      <w:r>
        <w:rPr>
          <w:rStyle w:val="13"/>
          <w:rFonts w:hint="eastAsia" w:ascii="仿宋" w:hAnsi="仿宋" w:eastAsia="仿宋"/>
          <w:b w:val="0"/>
          <w:bCs/>
          <w:color w:val="000000"/>
          <w:sz w:val="32"/>
          <w:szCs w:val="32"/>
          <w:lang w:eastAsia="zh-CN"/>
        </w:rPr>
        <w:t>我单位对资金的合理使用</w:t>
      </w:r>
      <w:r>
        <w:rPr>
          <w:rStyle w:val="13"/>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3"/>
          <w:rFonts w:hint="eastAsia" w:ascii="仿宋" w:hAnsi="仿宋" w:eastAsia="仿宋"/>
          <w:b/>
          <w:bCs w:val="0"/>
          <w:color w:val="000000"/>
          <w:sz w:val="32"/>
          <w:szCs w:val="32"/>
          <w:lang w:val="en-US" w:eastAsia="zh-CN"/>
        </w:rPr>
        <w:t>12.其他支出2299901</w:t>
      </w:r>
      <w:r>
        <w:rPr>
          <w:rStyle w:val="13"/>
          <w:rFonts w:hint="eastAsia" w:ascii="仿宋" w:hAnsi="仿宋" w:eastAsia="仿宋"/>
          <w:b w:val="0"/>
          <w:bCs/>
          <w:color w:val="000000"/>
          <w:sz w:val="32"/>
          <w:szCs w:val="32"/>
          <w:lang w:val="en-US" w:eastAsia="zh-CN"/>
        </w:rPr>
        <w:t>：</w:t>
      </w:r>
      <w:r>
        <w:rPr>
          <w:rStyle w:val="13"/>
          <w:rFonts w:hint="eastAsia" w:ascii="仿宋" w:hAnsi="仿宋" w:eastAsia="仿宋"/>
          <w:b w:val="0"/>
          <w:bCs/>
          <w:color w:val="000000"/>
          <w:sz w:val="32"/>
          <w:szCs w:val="32"/>
        </w:rPr>
        <w:t>支出决算为</w:t>
      </w:r>
      <w:r>
        <w:rPr>
          <w:rStyle w:val="13"/>
          <w:rFonts w:hint="eastAsia" w:ascii="仿宋" w:hAnsi="仿宋" w:eastAsia="仿宋"/>
          <w:b w:val="0"/>
          <w:bCs/>
          <w:color w:val="000000"/>
          <w:sz w:val="32"/>
          <w:szCs w:val="32"/>
          <w:lang w:val="en-US" w:eastAsia="zh-CN"/>
        </w:rPr>
        <w:t>9</w:t>
      </w:r>
      <w:r>
        <w:rPr>
          <w:rStyle w:val="13"/>
          <w:rFonts w:hint="eastAsia" w:ascii="仿宋" w:hAnsi="仿宋" w:eastAsia="仿宋"/>
          <w:b w:val="0"/>
          <w:bCs/>
          <w:color w:val="000000"/>
          <w:sz w:val="32"/>
          <w:szCs w:val="32"/>
        </w:rPr>
        <w:t>万元，完成预算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，决算数等于预算数的主要原因。</w:t>
      </w:r>
      <w:r>
        <w:rPr>
          <w:rStyle w:val="13"/>
          <w:rFonts w:hint="eastAsia" w:ascii="仿宋" w:hAnsi="仿宋" w:eastAsia="仿宋"/>
          <w:b w:val="0"/>
          <w:bCs/>
          <w:color w:val="000000"/>
          <w:sz w:val="32"/>
          <w:szCs w:val="32"/>
          <w:lang w:eastAsia="zh-CN"/>
        </w:rPr>
        <w:t>我单位对资金的合理使用</w:t>
      </w:r>
      <w:r>
        <w:rPr>
          <w:rStyle w:val="13"/>
          <w:rFonts w:hint="eastAsia" w:ascii="仿宋" w:hAnsi="仿宋" w:eastAsia="仿宋"/>
          <w:b w:val="0"/>
          <w:bCs/>
          <w:color w:val="000000"/>
          <w:sz w:val="32"/>
          <w:szCs w:val="32"/>
        </w:rPr>
        <w:t>。</w:t>
      </w:r>
    </w:p>
    <w:p>
      <w:pPr>
        <w:rPr>
          <w:rFonts w:hint="eastAsia" w:ascii="仿宋" w:hAnsi="仿宋" w:eastAsia="仿宋"/>
          <w:color w:val="000000" w:themeColor="text1"/>
          <w:sz w:val="32"/>
          <w:szCs w:val="32"/>
          <w:lang w:eastAsia="zh-CN"/>
          <w14:textFill>
            <w14:solidFill>
              <w14:schemeClr w14:val="tx1"/>
            </w14:solidFill>
          </w14:textFill>
        </w:rPr>
      </w:pPr>
    </w:p>
    <w:p>
      <w:pPr>
        <w:tabs>
          <w:tab w:val="right" w:pos="8306"/>
        </w:tabs>
        <w:spacing w:line="600" w:lineRule="exact"/>
        <w:ind w:firstLine="640"/>
        <w:outlineLvl w:val="1"/>
        <w:rPr>
          <w:rStyle w:val="18"/>
        </w:rPr>
      </w:pPr>
      <w:bookmarkStart w:id="84" w:name="_Toc7121"/>
      <w:bookmarkStart w:id="85" w:name="_Toc15377214"/>
      <w:bookmarkStart w:id="86" w:name="_Toc15396608"/>
      <w:bookmarkStart w:id="87" w:name="_Toc10283"/>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18"/>
          <w:rFonts w:hint="eastAsia" w:ascii="黑体" w:hAnsi="黑体" w:eastAsia="黑体"/>
          <w:b w:val="0"/>
        </w:rPr>
        <w:t>般公共预算财政拨款基本支出决算情况说明</w:t>
      </w:r>
      <w:bookmarkEnd w:id="84"/>
      <w:bookmarkEnd w:id="85"/>
      <w:bookmarkEnd w:id="86"/>
      <w:bookmarkEnd w:id="87"/>
      <w:r>
        <w:rPr>
          <w:rStyle w:val="18"/>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124.78</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114.70</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21.75万元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、津贴补贴</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40.10万元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、奖金</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0.58万元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、伙食补助费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、绩效工资</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16.00万元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10.17万元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、职业年金缴费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5.09万元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、其他社会保障缴费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1.42万元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w:t>
      </w:r>
      <w:r>
        <w:rPr>
          <w:rFonts w:hint="eastAsia" w:ascii="仿宋" w:hAnsi="仿宋" w:eastAsia="仿宋"/>
          <w:color w:val="000000"/>
          <w:sz w:val="32"/>
          <w:szCs w:val="32"/>
          <w:lang w:eastAsia="zh-CN"/>
        </w:rPr>
        <w:t>基本医疗保险（</w:t>
      </w:r>
      <w:r>
        <w:rPr>
          <w:rFonts w:hint="eastAsia" w:ascii="仿宋" w:hAnsi="仿宋" w:eastAsia="仿宋"/>
          <w:color w:val="000000"/>
          <w:sz w:val="32"/>
          <w:szCs w:val="32"/>
          <w:lang w:val="en-US" w:eastAsia="zh-CN"/>
        </w:rPr>
        <w:t>5.35</w:t>
      </w:r>
      <w:r>
        <w:rPr>
          <w:rFonts w:hint="eastAsia" w:ascii="仿宋" w:hAnsi="仿宋" w:eastAsia="仿宋"/>
          <w:color w:val="000000"/>
          <w:sz w:val="32"/>
          <w:szCs w:val="32"/>
          <w:lang w:eastAsia="zh-CN"/>
        </w:rPr>
        <w:t>）公务员医疗补助费（</w:t>
      </w:r>
      <w:r>
        <w:rPr>
          <w:rFonts w:hint="eastAsia" w:ascii="仿宋" w:hAnsi="仿宋" w:eastAsia="仿宋"/>
          <w:color w:val="000000"/>
          <w:sz w:val="32"/>
          <w:szCs w:val="32"/>
          <w:lang w:val="en-US" w:eastAsia="zh-CN"/>
        </w:rPr>
        <w:t>1.30万元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其他工资福利支出</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、离休费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、退休费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、抚恤金</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、生活补助</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2.95万元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、医疗费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0.82万元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奖励金</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、住房公积金</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9.17万元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、其他对个人和家庭的补助支出</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10.08</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4.35万元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、印刷费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0.17万元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、咨询费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、手续费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、水费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0.02万元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、电费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0.27万元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、邮电费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0.54万元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、取暖费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、物业管理费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、差旅费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0.11万元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、因公出国（境）费用</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、维修（护）费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0.27万元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、租赁费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、会议费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0.1万元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、培训费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(0.1万元)</w:t>
      </w:r>
      <w:r>
        <w:rPr>
          <w:rFonts w:hint="eastAsia" w:ascii="仿宋" w:hAnsi="仿宋" w:eastAsia="仿宋"/>
          <w:color w:val="000000"/>
          <w:sz w:val="32"/>
          <w:szCs w:val="32"/>
        </w:rPr>
        <w:t>、劳务费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0.83万元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、委托业务费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、工会经费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、福利费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2.39万元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、其他交通费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、税金及附加费用</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、其他商品和服务支出</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、办公设备购置</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、专用设备购置</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、信息网络及软件购置更新、其他资本性支出</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等。</w:t>
      </w:r>
    </w:p>
    <w:p>
      <w:pPr>
        <w:spacing w:line="600" w:lineRule="exact"/>
        <w:ind w:firstLine="640"/>
        <w:outlineLvl w:val="1"/>
        <w:rPr>
          <w:rStyle w:val="18"/>
          <w:rFonts w:ascii="黑体" w:hAnsi="黑体" w:eastAsia="黑体"/>
          <w:b w:val="0"/>
        </w:rPr>
      </w:pPr>
      <w:bookmarkStart w:id="88" w:name="_Toc29616"/>
      <w:bookmarkStart w:id="89" w:name="_Toc15377215"/>
      <w:bookmarkStart w:id="90" w:name="_Toc15396609"/>
      <w:bookmarkStart w:id="91" w:name="_Toc19278"/>
      <w:r>
        <w:rPr>
          <w:rFonts w:hint="eastAsia" w:ascii="黑体" w:eastAsia="黑体"/>
          <w:color w:val="000000"/>
          <w:sz w:val="32"/>
          <w:szCs w:val="32"/>
        </w:rPr>
        <w:t>七、</w:t>
      </w:r>
      <w:r>
        <w:rPr>
          <w:rStyle w:val="18"/>
          <w:rFonts w:hint="eastAsia" w:ascii="黑体" w:hAnsi="黑体" w:eastAsia="黑体"/>
        </w:rPr>
        <w:t>“</w:t>
      </w:r>
      <w:r>
        <w:rPr>
          <w:rStyle w:val="18"/>
          <w:rFonts w:hint="eastAsia" w:ascii="黑体" w:hAnsi="黑体" w:eastAsia="黑体"/>
          <w:b w:val="0"/>
        </w:rPr>
        <w:t>三公”经费财政拨款支出决算情况说明</w:t>
      </w:r>
      <w:bookmarkEnd w:id="88"/>
      <w:bookmarkEnd w:id="89"/>
      <w:bookmarkEnd w:id="90"/>
      <w:bookmarkEnd w:id="91"/>
    </w:p>
    <w:p>
      <w:pPr>
        <w:spacing w:line="600" w:lineRule="exact"/>
        <w:ind w:firstLine="640"/>
        <w:outlineLvl w:val="2"/>
        <w:rPr>
          <w:rFonts w:ascii="仿宋" w:hAnsi="仿宋" w:eastAsia="仿宋"/>
          <w:b/>
          <w:color w:val="000000"/>
          <w:sz w:val="32"/>
          <w:szCs w:val="32"/>
        </w:rPr>
      </w:pPr>
      <w:bookmarkStart w:id="92" w:name="_Toc11538"/>
      <w:bookmarkStart w:id="93" w:name="_Toc15377216"/>
      <w:bookmarkStart w:id="94" w:name="_Toc3891"/>
      <w:r>
        <w:rPr>
          <w:rFonts w:hint="eastAsia" w:ascii="仿宋" w:hAnsi="仿宋" w:eastAsia="仿宋"/>
          <w:b/>
          <w:color w:val="000000"/>
          <w:sz w:val="32"/>
          <w:szCs w:val="32"/>
        </w:rPr>
        <w:t>（一）“三公”经费财政拨款支出决算总体情况说明</w:t>
      </w:r>
      <w:bookmarkEnd w:id="92"/>
      <w:bookmarkEnd w:id="93"/>
      <w:bookmarkEnd w:id="9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2.39</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w:t>
      </w:r>
      <w:r>
        <w:rPr>
          <w:rFonts w:hint="eastAsia" w:ascii="仿宋" w:hAnsi="仿宋" w:eastAsia="仿宋"/>
          <w:color w:val="000000"/>
          <w:sz w:val="32"/>
          <w:szCs w:val="32"/>
          <w:lang w:eastAsia="zh-CN"/>
        </w:rPr>
        <w:t>等于</w:t>
      </w:r>
      <w:r>
        <w:rPr>
          <w:rFonts w:hint="eastAsia" w:ascii="仿宋" w:hAnsi="仿宋" w:eastAsia="仿宋"/>
          <w:color w:val="000000"/>
          <w:sz w:val="32"/>
          <w:szCs w:val="32"/>
        </w:rPr>
        <w:t>预算数（或与预算数持平）的主要原因是</w:t>
      </w:r>
      <w:r>
        <w:rPr>
          <w:rFonts w:hint="eastAsia" w:ascii="仿宋" w:hAnsi="仿宋" w:eastAsia="仿宋"/>
          <w:color w:val="000000"/>
          <w:sz w:val="32"/>
          <w:szCs w:val="32"/>
          <w:lang w:eastAsia="zh-CN"/>
        </w:rPr>
        <w:t>我单位严格控制“三公”经费的使用</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95" w:name="_Toc11808"/>
      <w:bookmarkStart w:id="96" w:name="_Toc15377217"/>
      <w:bookmarkStart w:id="97" w:name="_Toc12231"/>
      <w:r>
        <w:rPr>
          <w:rFonts w:hint="eastAsia" w:ascii="仿宋" w:hAnsi="仿宋" w:eastAsia="仿宋"/>
          <w:b/>
          <w:color w:val="000000"/>
          <w:sz w:val="32"/>
          <w:szCs w:val="32"/>
        </w:rPr>
        <w:t>（二）“三公”经费财政拨款支出决算具体情况说明</w:t>
      </w:r>
      <w:bookmarkEnd w:id="95"/>
      <w:bookmarkEnd w:id="96"/>
      <w:bookmarkEnd w:id="97"/>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2.39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63360" behindDoc="1" locked="0" layoutInCell="1" allowOverlap="1">
            <wp:simplePos x="0" y="0"/>
            <wp:positionH relativeFrom="column">
              <wp:posOffset>575945</wp:posOffset>
            </wp:positionH>
            <wp:positionV relativeFrom="paragraph">
              <wp:posOffset>-8063230</wp:posOffset>
            </wp:positionV>
            <wp:extent cx="4889500" cy="2638425"/>
            <wp:effectExtent l="4445" t="4445" r="20955" b="5080"/>
            <wp:wrapTight wrapText="bothSides">
              <wp:wrapPolygon>
                <wp:start x="-20" y="-36"/>
                <wp:lineTo x="-20" y="21486"/>
                <wp:lineTo x="21524" y="21486"/>
                <wp:lineTo x="21524" y="-36"/>
                <wp:lineTo x="-20" y="-36"/>
              </wp:wrapPolygon>
            </wp:wrapTight>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rPr>
          <w:rFonts w:hint="eastAsia" w:ascii="仿宋" w:hAnsi="仿宋" w:eastAsia="仿宋"/>
          <w:color w:val="000000"/>
          <w:sz w:val="32"/>
          <w:szCs w:val="32"/>
        </w:rPr>
      </w:pPr>
    </w:p>
    <w:p>
      <w:pPr>
        <w:rPr>
          <w:rFonts w:hint="eastAsia" w:ascii="仿宋" w:hAnsi="仿宋" w:eastAsia="仿宋"/>
          <w:color w:val="000000" w:themeColor="text1"/>
          <w:sz w:val="32"/>
          <w:szCs w:val="32"/>
          <w:lang w:eastAsia="zh-CN"/>
          <w14:textFill>
            <w14:solidFill>
              <w14:schemeClr w14:val="tx1"/>
            </w14:solidFill>
          </w14:textFill>
        </w:rPr>
      </w:pP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spacing w:line="600" w:lineRule="exact"/>
        <w:ind w:firstLine="640"/>
        <w:rPr>
          <w:rFonts w:ascii="仿宋_GB2312" w:eastAsia="仿宋_GB2312"/>
          <w:color w:val="000000"/>
          <w:sz w:val="32"/>
          <w:szCs w:val="32"/>
        </w:rPr>
      </w:pPr>
      <w:r>
        <w:rPr>
          <w:rFonts w:hint="eastAsia"/>
          <w:lang w:val="en-US" w:eastAsia="zh-CN"/>
        </w:rPr>
        <w:tab/>
      </w: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w:t>
      </w:r>
      <w:r>
        <w:rPr>
          <w:rStyle w:val="13"/>
          <w:rFonts w:hint="eastAsia" w:ascii="仿宋" w:hAnsi="仿宋" w:eastAsia="仿宋"/>
          <w:b w:val="0"/>
          <w:bCs/>
          <w:color w:val="000000"/>
          <w:sz w:val="32"/>
          <w:szCs w:val="32"/>
        </w:rPr>
        <w:t>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相等</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我单位没有因公出国（境）的经费支出</w:t>
      </w:r>
      <w:r>
        <w:rPr>
          <w:rFonts w:hint="eastAsia" w:ascii="仿宋_GB2312" w:eastAsia="仿宋_GB2312"/>
          <w:color w:val="000000"/>
          <w:sz w:val="32"/>
          <w:szCs w:val="32"/>
        </w:rPr>
        <w:t>。</w:t>
      </w:r>
    </w:p>
    <w:p>
      <w:pPr>
        <w:spacing w:line="600" w:lineRule="exact"/>
        <w:ind w:firstLine="640"/>
        <w:rPr>
          <w:rFonts w:hint="eastAsia" w:ascii="仿宋_GB2312" w:eastAsia="仿宋_GB2312"/>
          <w:b/>
          <w:color w:val="000000"/>
          <w:sz w:val="32"/>
          <w:szCs w:val="32"/>
          <w:lang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b/>
          <w:color w:val="000000"/>
          <w:sz w:val="32"/>
          <w:szCs w:val="32"/>
          <w:lang w:val="en-US" w:eastAsia="zh-CN"/>
        </w:rPr>
        <w:t>2.39</w:t>
      </w:r>
      <w:r>
        <w:rPr>
          <w:rFonts w:hint="eastAsia" w:ascii="仿宋_GB2312" w:eastAsia="仿宋_GB2312"/>
          <w:color w:val="000000"/>
          <w:sz w:val="32"/>
          <w:szCs w:val="32"/>
        </w:rPr>
        <w:t>万元,</w:t>
      </w:r>
      <w:r>
        <w:rPr>
          <w:rStyle w:val="13"/>
          <w:rFonts w:hint="eastAsia" w:ascii="仿宋" w:hAnsi="仿宋" w:eastAsia="仿宋"/>
          <w:b w:val="0"/>
          <w:bCs/>
          <w:color w:val="000000"/>
          <w:sz w:val="32"/>
          <w:szCs w:val="32"/>
        </w:rPr>
        <w:t>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0.94</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hint="eastAsia" w:ascii="仿宋_GB2312" w:eastAsia="仿宋_GB2312"/>
          <w:color w:val="000000"/>
          <w:sz w:val="32"/>
          <w:szCs w:val="32"/>
          <w:lang w:val="en-US" w:eastAsia="zh-CN"/>
        </w:rPr>
        <w:t>39.33</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我委例行节约，严格控制三公经费使用。</w:t>
      </w:r>
    </w:p>
    <w:p>
      <w:pPr>
        <w:spacing w:line="600"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公务用车购置支出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万元。全年按规定更新购置公务用</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w:t>
      </w:r>
      <w:r>
        <w:rPr>
          <w:rFonts w:hint="eastAsia" w:ascii="仿宋_GB2312" w:eastAsia="仿宋_GB2312"/>
          <w:color w:val="000000"/>
          <w:sz w:val="32"/>
          <w:szCs w:val="32"/>
          <w:lang w:eastAsia="zh-CN"/>
        </w:rPr>
        <w:t>外出公干、下乡</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b/>
          <w:color w:val="000000"/>
          <w:sz w:val="32"/>
          <w:szCs w:val="32"/>
          <w:lang w:val="en-US" w:eastAsia="zh-CN"/>
        </w:rPr>
        <w:t>2.39</w:t>
      </w:r>
      <w:r>
        <w:rPr>
          <w:rFonts w:hint="eastAsia" w:ascii="仿宋_GB2312" w:eastAsia="仿宋_GB2312"/>
          <w:color w:val="000000"/>
          <w:sz w:val="32"/>
          <w:szCs w:val="32"/>
        </w:rPr>
        <w:t>万元。主要用</w:t>
      </w:r>
      <w:r>
        <w:rPr>
          <w:rFonts w:hint="eastAsia" w:ascii="仿宋_GB2312" w:eastAsia="仿宋_GB2312"/>
          <w:color w:val="000000"/>
          <w:sz w:val="32"/>
          <w:szCs w:val="32"/>
          <w:lang w:eastAsia="zh-CN"/>
        </w:rPr>
        <w:t>我单位人员外出公干、下乡</w:t>
      </w:r>
      <w:r>
        <w:rPr>
          <w:rFonts w:hint="eastAsia" w:ascii="仿宋_GB2312" w:eastAsia="仿宋_GB2312"/>
          <w:color w:val="000000"/>
          <w:sz w:val="32"/>
          <w:szCs w:val="32"/>
        </w:rPr>
        <w:t>（具体工作）等所需的公务用车燃料费、维修费、过路过桥费、保险费等支出。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w:t>
      </w:r>
      <w:r>
        <w:rPr>
          <w:rStyle w:val="13"/>
          <w:rFonts w:hint="eastAsia" w:ascii="仿宋" w:hAnsi="仿宋" w:eastAsia="仿宋"/>
          <w:b w:val="0"/>
          <w:bCs/>
          <w:color w:val="000000"/>
          <w:sz w:val="32"/>
          <w:szCs w:val="32"/>
        </w:rPr>
        <w:t>完成预算</w:t>
      </w:r>
      <w:r>
        <w:rPr>
          <w:rStyle w:val="13"/>
          <w:rFonts w:hint="eastAsia" w:ascii="仿宋" w:hAnsi="仿宋" w:eastAsia="仿宋"/>
          <w:b w:val="0"/>
          <w:bCs/>
          <w:color w:val="000000"/>
          <w:sz w:val="32"/>
          <w:szCs w:val="32"/>
          <w:lang w:val="en-US" w:eastAsia="zh-CN"/>
        </w:rPr>
        <w:t>100</w:t>
      </w:r>
      <w:r>
        <w:rPr>
          <w:rStyle w:val="13"/>
          <w:rFonts w:ascii="仿宋" w:hAnsi="仿宋" w:eastAsia="仿宋"/>
          <w:b w:val="0"/>
          <w:bCs/>
          <w:color w:val="000000"/>
          <w:sz w:val="32"/>
          <w:szCs w:val="32"/>
        </w:rPr>
        <w:t>%</w:t>
      </w:r>
      <w:r>
        <w:rPr>
          <w:rStyle w:val="13"/>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下降</w:t>
      </w:r>
      <w:r>
        <w:rPr>
          <w:rFonts w:hint="eastAsia" w:ascii="仿宋_GB2312" w:eastAsia="仿宋_GB2312"/>
          <w:color w:val="000000"/>
          <w:sz w:val="32"/>
          <w:szCs w:val="32"/>
        </w:rPr>
        <w:t>，主要原因是</w:t>
      </w:r>
      <w:r>
        <w:rPr>
          <w:rFonts w:hint="eastAsia" w:ascii="仿宋_GB2312" w:hAnsi="仿宋_GB2312" w:eastAsia="仿宋_GB2312" w:cs="仿宋_GB2312"/>
          <w:color w:val="auto"/>
          <w:sz w:val="30"/>
          <w:szCs w:val="30"/>
          <w:lang w:eastAsia="zh-CN"/>
        </w:rPr>
        <w:t>我单位严格控制控制公务接待费在预算内。</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万元，具体内容包括：</w:t>
      </w:r>
      <w:r>
        <w:rPr>
          <w:rFonts w:hint="eastAsia" w:ascii="仿宋_GB2312" w:hAnsi="仿宋_GB2312" w:eastAsia="仿宋_GB2312" w:cs="仿宋_GB2312"/>
          <w:color w:val="000000"/>
          <w:sz w:val="30"/>
          <w:szCs w:val="30"/>
        </w:rPr>
        <w:t>于执行公务、开展业务活动开支的交通费、住宿费、用餐费</w:t>
      </w:r>
      <w:r>
        <w:rPr>
          <w:rFonts w:hint="eastAsia" w:ascii="仿宋_GB2312" w:eastAsia="仿宋_GB2312"/>
          <w:color w:val="000000"/>
          <w:sz w:val="32"/>
          <w:szCs w:val="32"/>
        </w:rPr>
        <w:t>（接待具体项目、金额）。其中：</w:t>
      </w:r>
    </w:p>
    <w:p>
      <w:pPr>
        <w:spacing w:line="600" w:lineRule="exact"/>
        <w:ind w:firstLine="640"/>
        <w:rPr>
          <w:rFonts w:hint="eastAsia" w:ascii="仿宋_GB2312" w:eastAsia="仿宋_GB2312"/>
          <w:color w:val="000000"/>
          <w:sz w:val="32"/>
          <w:szCs w:val="32"/>
          <w:lang w:eastAsia="zh-CN"/>
        </w:rPr>
      </w:pPr>
      <w:r>
        <w:rPr>
          <w:rFonts w:hint="eastAsia" w:ascii="仿宋" w:hAnsi="仿宋" w:eastAsia="仿宋"/>
          <w:b/>
          <w:color w:val="000000"/>
          <w:sz w:val="32"/>
          <w:szCs w:val="32"/>
        </w:rPr>
        <w:t>其他国内公务接待支出</w:t>
      </w:r>
      <w:r>
        <w:rPr>
          <w:rFonts w:hint="eastAsia" w:ascii="仿宋" w:hAnsi="仿宋" w:eastAsia="仿宋"/>
          <w:b/>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本单位没有其他国内公务接待支出费用</w:t>
      </w:r>
    </w:p>
    <w:p>
      <w:pPr>
        <w:spacing w:line="600" w:lineRule="exact"/>
        <w:ind w:firstLine="640"/>
        <w:outlineLvl w:val="1"/>
        <w:rPr>
          <w:rStyle w:val="18"/>
          <w:rFonts w:ascii="黑体" w:hAnsi="黑体" w:eastAsia="黑体"/>
        </w:rPr>
      </w:pPr>
      <w:bookmarkStart w:id="98" w:name="_Toc4805"/>
      <w:bookmarkStart w:id="99" w:name="_Toc27828"/>
      <w:r>
        <w:rPr>
          <w:rFonts w:hint="eastAsia" w:ascii="黑体" w:eastAsia="黑体"/>
          <w:color w:val="000000"/>
          <w:sz w:val="32"/>
          <w:szCs w:val="32"/>
        </w:rPr>
        <w:t>八、</w:t>
      </w:r>
      <w:r>
        <w:rPr>
          <w:rStyle w:val="18"/>
          <w:rFonts w:hint="eastAsia" w:ascii="黑体" w:hAnsi="黑体" w:eastAsia="黑体"/>
          <w:b w:val="0"/>
        </w:rPr>
        <w:t>政府性基金预算支出决算情况说明</w:t>
      </w:r>
      <w:bookmarkEnd w:id="98"/>
      <w:bookmarkEnd w:id="9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3"/>
        </w:numPr>
        <w:spacing w:line="600" w:lineRule="exact"/>
        <w:ind w:firstLine="640"/>
        <w:outlineLvl w:val="1"/>
        <w:rPr>
          <w:rStyle w:val="18"/>
          <w:rFonts w:ascii="黑体" w:hAnsi="黑体" w:eastAsia="黑体"/>
          <w:b w:val="0"/>
        </w:rPr>
      </w:pPr>
      <w:bookmarkStart w:id="100" w:name="_Toc7956"/>
      <w:bookmarkStart w:id="101" w:name="_Toc15377219"/>
      <w:bookmarkStart w:id="102" w:name="_Toc15396611"/>
      <w:bookmarkStart w:id="103" w:name="_Toc28577"/>
      <w:r>
        <w:rPr>
          <w:rStyle w:val="18"/>
          <w:rFonts w:hint="eastAsia" w:ascii="黑体" w:hAnsi="黑体" w:eastAsia="黑体"/>
          <w:b w:val="0"/>
        </w:rPr>
        <w:t>国有资本经营预算支出决算情况说明</w:t>
      </w:r>
      <w:bookmarkEnd w:id="100"/>
      <w:bookmarkEnd w:id="101"/>
      <w:bookmarkEnd w:id="102"/>
      <w:bookmarkEnd w:id="10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18"/>
          <w:rFonts w:ascii="黑体" w:hAnsi="黑体" w:eastAsia="黑体"/>
        </w:rPr>
      </w:pPr>
      <w:bookmarkStart w:id="104" w:name="_Toc13918"/>
      <w:bookmarkStart w:id="105" w:name="_Toc15377221"/>
      <w:bookmarkStart w:id="106" w:name="_Toc15396612"/>
      <w:bookmarkStart w:id="107" w:name="_Toc14512"/>
      <w:r>
        <w:rPr>
          <w:rFonts w:hint="eastAsia" w:ascii="黑体" w:hAnsi="黑体" w:eastAsia="黑体"/>
          <w:color w:val="000000"/>
          <w:sz w:val="32"/>
          <w:szCs w:val="32"/>
        </w:rPr>
        <w:t>十</w:t>
      </w:r>
      <w:r>
        <w:rPr>
          <w:rStyle w:val="18"/>
          <w:rFonts w:hint="eastAsia" w:ascii="黑体" w:hAnsi="黑体" w:eastAsia="黑体"/>
        </w:rPr>
        <w:t>、</w:t>
      </w:r>
      <w:r>
        <w:rPr>
          <w:rStyle w:val="18"/>
          <w:rFonts w:hint="eastAsia" w:ascii="黑体" w:hAnsi="黑体" w:eastAsia="黑体"/>
          <w:b w:val="0"/>
        </w:rPr>
        <w:t>其他重要事项的情况说明</w:t>
      </w:r>
      <w:bookmarkEnd w:id="104"/>
      <w:bookmarkEnd w:id="105"/>
      <w:bookmarkEnd w:id="106"/>
      <w:bookmarkEnd w:id="107"/>
    </w:p>
    <w:p>
      <w:pPr>
        <w:spacing w:line="600" w:lineRule="exact"/>
        <w:ind w:firstLine="643" w:firstLineChars="200"/>
        <w:outlineLvl w:val="2"/>
        <w:rPr>
          <w:rFonts w:ascii="仿宋" w:hAnsi="仿宋" w:eastAsia="仿宋"/>
          <w:color w:val="000000"/>
          <w:sz w:val="32"/>
          <w:szCs w:val="32"/>
        </w:rPr>
      </w:pPr>
      <w:bookmarkStart w:id="108" w:name="_Toc15377222"/>
      <w:bookmarkStart w:id="109" w:name="_Toc15118"/>
      <w:bookmarkStart w:id="110" w:name="_Toc11055"/>
      <w:r>
        <w:rPr>
          <w:rFonts w:hint="eastAsia" w:ascii="仿宋" w:hAnsi="仿宋" w:eastAsia="仿宋"/>
          <w:b/>
          <w:color w:val="000000"/>
          <w:sz w:val="32"/>
          <w:szCs w:val="32"/>
        </w:rPr>
        <w:t>（一）机关运行经费支出情况</w:t>
      </w:r>
      <w:bookmarkEnd w:id="108"/>
      <w:bookmarkEnd w:id="109"/>
      <w:bookmarkEnd w:id="110"/>
    </w:p>
    <w:p>
      <w:pPr>
        <w:spacing w:line="600" w:lineRule="exact"/>
        <w:ind w:firstLine="640"/>
        <w:rPr>
          <w:rFonts w:hint="eastAsia" w:ascii="仿宋_GB2312" w:eastAsia="仿宋_GB2312"/>
          <w:color w:val="000000" w:themeColor="text1"/>
          <w:sz w:val="32"/>
          <w:szCs w:val="32"/>
          <w:lang w:eastAsia="zh-CN"/>
          <w14:textFill>
            <w14:solidFill>
              <w14:schemeClr w14:val="tx1"/>
            </w14:solidFill>
          </w14:textFill>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共青团红原县委</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10.08</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10.56</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hint="eastAsia" w:ascii="仿宋_GB2312" w:eastAsia="仿宋_GB2312"/>
          <w:color w:val="000000"/>
          <w:sz w:val="32"/>
          <w:szCs w:val="32"/>
          <w:lang w:val="en-US" w:eastAsia="zh-CN"/>
        </w:rPr>
        <w:t>51.16</w:t>
      </w:r>
      <w:r>
        <w:rPr>
          <w:rFonts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我委例行节约，严格控制三公经费使用。</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11" w:name="_Toc4038"/>
      <w:bookmarkStart w:id="112" w:name="_Toc15377223"/>
      <w:bookmarkStart w:id="113" w:name="_Toc24863"/>
      <w:r>
        <w:rPr>
          <w:rFonts w:hint="eastAsia" w:ascii="仿宋" w:hAnsi="仿宋" w:eastAsia="仿宋"/>
          <w:b/>
          <w:color w:val="000000"/>
          <w:sz w:val="32"/>
          <w:szCs w:val="32"/>
        </w:rPr>
        <w:t>（二）政府采购支出情况</w:t>
      </w:r>
      <w:bookmarkEnd w:id="111"/>
      <w:bookmarkEnd w:id="112"/>
      <w:bookmarkEnd w:id="11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本单位没有采购支出</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14" w:name="_Toc25081"/>
      <w:bookmarkStart w:id="115" w:name="_Toc15377224"/>
      <w:bookmarkStart w:id="116" w:name="_Toc29617"/>
      <w:r>
        <w:rPr>
          <w:rFonts w:hint="eastAsia" w:ascii="仿宋" w:hAnsi="仿宋" w:eastAsia="仿宋"/>
          <w:b/>
          <w:color w:val="000000"/>
          <w:sz w:val="32"/>
          <w:szCs w:val="32"/>
        </w:rPr>
        <w:t>（三）国有资产占有使用情况</w:t>
      </w:r>
      <w:bookmarkEnd w:id="114"/>
      <w:bookmarkEnd w:id="115"/>
      <w:bookmarkEnd w:id="116"/>
    </w:p>
    <w:p>
      <w:pPr>
        <w:autoSpaceDE w:val="0"/>
        <w:autoSpaceDN w:val="0"/>
        <w:adjustRightInd w:val="0"/>
        <w:spacing w:line="600" w:lineRule="exact"/>
        <w:ind w:firstLine="640" w:firstLineChars="200"/>
        <w:jc w:val="left"/>
        <w:rPr>
          <w:rFonts w:hint="eastAsia" w:ascii="仿宋" w:hAnsi="仿宋" w:eastAsia="仿宋_GB2312"/>
          <w:b/>
          <w:color w:val="FF0000"/>
          <w:sz w:val="32"/>
          <w:szCs w:val="32"/>
          <w:lang w:eastAsia="zh-CN"/>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本单位</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辆，其中：部级领导干部用车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辆、一般公务用车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辆、一般执法执勤用车</w:t>
      </w:r>
      <w:r>
        <w:rPr>
          <w:rFonts w:hint="eastAsia" w:ascii="仿宋_GB2312" w:eastAsia="仿宋_GB2312"/>
          <w:color w:val="000000"/>
          <w:sz w:val="32"/>
          <w:szCs w:val="32"/>
          <w:lang w:eastAsia="zh-CN"/>
        </w:rPr>
        <w:t>主要</w:t>
      </w:r>
      <w:r>
        <w:rPr>
          <w:rFonts w:hint="eastAsia" w:ascii="仿宋_GB2312" w:eastAsia="仿宋_GB2312"/>
          <w:color w:val="000000" w:themeColor="text1"/>
          <w:sz w:val="32"/>
          <w:szCs w:val="32"/>
          <w14:textFill>
            <w14:solidFill>
              <w14:schemeClr w14:val="tx1"/>
            </w14:solidFill>
          </w14:textFill>
        </w:rPr>
        <w:t>是用于</w:t>
      </w:r>
      <w:r>
        <w:rPr>
          <w:rFonts w:hint="eastAsia" w:ascii="仿宋_GB2312" w:eastAsia="仿宋_GB2312"/>
          <w:color w:val="000000" w:themeColor="text1"/>
          <w:sz w:val="32"/>
          <w:szCs w:val="32"/>
          <w:lang w:eastAsia="zh-CN"/>
          <w14:textFill>
            <w14:solidFill>
              <w14:schemeClr w14:val="tx1"/>
            </w14:solidFill>
          </w14:textFill>
        </w:rPr>
        <w:t>本单位人员因公外出，下乡宣传活动。</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17" w:name="_Toc20538"/>
      <w:bookmarkStart w:id="118" w:name="_Toc18630"/>
      <w:r>
        <w:rPr>
          <w:rFonts w:hint="eastAsia" w:ascii="仿宋" w:hAnsi="仿宋" w:eastAsia="仿宋"/>
          <w:b/>
          <w:color w:val="000000"/>
          <w:sz w:val="32"/>
          <w:szCs w:val="32"/>
        </w:rPr>
        <w:t>（四）预算绩效管理情况。</w:t>
      </w:r>
      <w:bookmarkEnd w:id="117"/>
      <w:bookmarkEnd w:id="118"/>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2020年关心下一代工作委员会</w:t>
      </w:r>
      <w:r>
        <w:rPr>
          <w:rFonts w:hint="eastAsia" w:ascii="仿宋_GB2312" w:hAnsi="仿宋_GB2312" w:eastAsia="仿宋_GB2312" w:cs="仿宋_GB2312"/>
          <w:sz w:val="32"/>
          <w:szCs w:val="32"/>
        </w:rPr>
        <w:t>项目（项目名称）开展了预算事前绩效评估，对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w:t>
      </w:r>
      <w:r>
        <w:rPr>
          <w:rFonts w:hint="eastAsia" w:ascii="仿宋_GB2312" w:hAnsi="仿宋_GB2312" w:eastAsia="仿宋_GB2312" w:cs="仿宋_GB2312"/>
          <w:sz w:val="32"/>
          <w:szCs w:val="32"/>
          <w:lang w:val="en-US" w:eastAsia="zh-CN"/>
        </w:rPr>
        <w:t>020</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sz w:val="32"/>
          <w:szCs w:val="32"/>
          <w:lang w:val="en-US" w:eastAsia="zh-CN"/>
        </w:rPr>
        <w:t>整体部门支出绩效良好，支出进度100%。保障了我委</w:t>
      </w:r>
      <w:r>
        <w:rPr>
          <w:rFonts w:hint="eastAsia" w:ascii="仿宋_GB2312" w:hAnsi="宋体" w:eastAsia="仿宋_GB2312" w:cs="宋体"/>
          <w:color w:val="000000" w:themeColor="text1"/>
          <w:kern w:val="0"/>
          <w:sz w:val="32"/>
          <w:lang w:val="zh-CN"/>
          <w14:textFill>
            <w14:solidFill>
              <w14:schemeClr w14:val="tx1"/>
            </w14:solidFill>
          </w14:textFill>
        </w:rPr>
        <w:t>部门机构正常运转、完成日常工作任务</w:t>
      </w:r>
      <w:r>
        <w:rPr>
          <w:rFonts w:hint="eastAsia" w:ascii="仿宋_GB2312" w:hAnsi="仿宋_GB2312" w:eastAsia="仿宋_GB2312" w:cs="仿宋_GB2312"/>
          <w:sz w:val="32"/>
          <w:szCs w:val="32"/>
        </w:rPr>
        <w:t>。本部门还自行组织了</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个项目支出绩效评价，从评价情况来看</w:t>
      </w:r>
      <w:r>
        <w:rPr>
          <w:rFonts w:hint="eastAsia" w:ascii="仿宋_GB2312" w:hAnsi="仿宋_GB2312" w:eastAsia="仿宋_GB2312" w:cs="仿宋_GB2312"/>
          <w:sz w:val="32"/>
          <w:szCs w:val="32"/>
          <w:lang w:val="en-US" w:eastAsia="zh-CN"/>
        </w:rPr>
        <w:t>我委严格执行《四川省省级财政青少年发展专项资金管理办法》对项目资金的使用方向，使用范围，支付进度进行监控。严格执行县级报账、专项核算等制度，确保了资金安全有效</w:t>
      </w: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我委</w:t>
      </w:r>
      <w:r>
        <w:rPr>
          <w:rFonts w:hint="eastAsia" w:ascii="仿宋_GB2312" w:hAnsi="仿宋_GB2312" w:eastAsia="仿宋_GB2312" w:cs="仿宋_GB2312"/>
          <w:sz w:val="32"/>
          <w:szCs w:val="32"/>
        </w:rPr>
        <w:t>在20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val="en-US" w:eastAsia="zh-CN"/>
        </w:rPr>
        <w:t>2020年关心下一代工作委员会专项经费</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个项目绩效目标实际完成情况。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关心下一代工作委员会</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eastAsia="zh-CN"/>
        </w:rPr>
        <w:t>我委对青少年活动开展的经费保障</w:t>
      </w:r>
    </w:p>
    <w:tbl>
      <w:tblPr>
        <w:tblStyle w:val="11"/>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关心下一代工作委员会经费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共青团红原县委</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100000元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100000元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100000元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100000元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0.00元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0.00元</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保障对青少年活动开展以及慰问</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lang w:val="en-US" w:eastAsia="zh-CN"/>
              </w:rPr>
            </w:pPr>
            <w:r>
              <w:rPr>
                <w:rFonts w:hint="eastAsia" w:ascii="宋体" w:hAnsi="宋体" w:cs="宋体"/>
                <w:color w:val="000000"/>
                <w:sz w:val="24"/>
                <w:lang w:val="en-US" w:eastAsia="zh-CN"/>
              </w:rPr>
              <w:t>2020年我委对青少年慰问80余名贫困学生以及全县各学校慰问</w:t>
            </w:r>
          </w:p>
          <w:p>
            <w:pPr>
              <w:widowControl/>
              <w:jc w:val="center"/>
              <w:textAlignment w:val="center"/>
              <w:rPr>
                <w:rFonts w:hint="eastAsia" w:ascii="宋体" w:hAnsi="宋体" w:cs="宋体"/>
                <w:color w:val="000000"/>
                <w:sz w:val="24"/>
                <w:lang w:val="en-US" w:eastAsia="zh-CN"/>
              </w:rPr>
            </w:pPr>
            <w:r>
              <w:rPr>
                <w:rFonts w:hint="eastAsia" w:ascii="宋体" w:hAnsi="宋体" w:cs="宋体"/>
                <w:color w:val="000000"/>
                <w:sz w:val="24"/>
                <w:lang w:val="en-US" w:eastAsia="zh-CN"/>
              </w:rPr>
              <w:t>2020年开展青少年兴趣班培训100余人</w:t>
            </w:r>
          </w:p>
          <w:p>
            <w:pPr>
              <w:widowControl/>
              <w:jc w:val="both"/>
              <w:textAlignment w:val="center"/>
              <w:rPr>
                <w:rFonts w:hint="default" w:ascii="宋体" w:hAnsi="宋体" w:eastAsia="宋体" w:cs="宋体"/>
                <w:color w:val="000000"/>
                <w:sz w:val="24"/>
                <w:lang w:val="en-US" w:eastAsia="zh-CN"/>
              </w:rPr>
            </w:pPr>
          </w:p>
        </w:tc>
      </w:tr>
      <w:tr>
        <w:tblPrEx>
          <w:tblCellMar>
            <w:top w:w="0" w:type="dxa"/>
            <w:left w:w="0" w:type="dxa"/>
            <w:bottom w:w="0" w:type="dxa"/>
            <w:right w:w="0" w:type="dxa"/>
          </w:tblCellMar>
        </w:tblPrEx>
        <w:trPr>
          <w:trHeight w:val="1042" w:hRule="atLeast"/>
          <w:jc w:val="center"/>
        </w:trPr>
        <w:tc>
          <w:tcPr>
            <w:tcW w:w="390" w:type="dxa"/>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restart"/>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34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进度计划</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项目计划实施进度明确</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项目计划实施进度明确，分阶段有序实施项目计划</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34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政策依据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项目符合党中央、国务院和省委、省政府决策部署；符合当前经济社会发展需要</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严格根据财政部、省财政厅下发的青少年发展资金管理办法实施，符合现阶段发展的需要</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34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资金集中</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财政资金占项目资金总额比重较小项目个数/项目总数×100%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资金集中度100%，资金全部来源财政资金</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34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资金拨付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按规定及时拨付资金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我委于12月19日之前拨付资金100000元,实现资金拨付100%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34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使用范围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资金使用是否合规</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我委严格按照财政部、省财政厅下发的青少年发展资金管理办法使用资金。主要青少年慰问以及青少年兴趣班开班。</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34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会计核算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会计核算规范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我委严格按照新政府会计制度对专项资金核算，并归档。</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34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制度执行</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严格执行项目有关制度规定</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lang w:val="en-US" w:eastAsia="zh-CN"/>
              </w:rPr>
              <w:t>我委严格按照财政部、省财政厅下发的林业改革发展资金管理办法使用资金，并按照报销制度、项目管理等程序审核每一笔资金的支出。</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34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完成时效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（实际完成时间-绩效目标设定完成时间）/绩效目标设定完成时间×100%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项目实际完成时间为2020年9月，而目标设定时间为2020年12月，实际完成时间早于项目设定完成时间。</w:t>
            </w:r>
          </w:p>
        </w:tc>
      </w:tr>
    </w:tbl>
    <w:p>
      <w:pPr>
        <w:tabs>
          <w:tab w:val="left" w:pos="966"/>
        </w:tabs>
        <w:bidi w:val="0"/>
        <w:jc w:val="left"/>
        <w:rPr>
          <w:rFonts w:hint="eastAsia"/>
          <w:lang w:val="en-US" w:eastAsia="zh-CN"/>
        </w:rPr>
      </w:pPr>
    </w:p>
    <w:p>
      <w:pPr>
        <w:tabs>
          <w:tab w:val="left" w:pos="966"/>
        </w:tabs>
        <w:bidi w:val="0"/>
        <w:jc w:val="left"/>
        <w:rPr>
          <w:rFonts w:hint="eastAsia"/>
          <w:lang w:val="en-US" w:eastAsia="zh-CN"/>
        </w:rPr>
      </w:pPr>
    </w:p>
    <w:p>
      <w:pPr>
        <w:tabs>
          <w:tab w:val="left" w:pos="966"/>
        </w:tabs>
        <w:bidi w:val="0"/>
        <w:jc w:val="left"/>
        <w:rPr>
          <w:rFonts w:hint="eastAsia"/>
          <w:lang w:val="en-US" w:eastAsia="zh-CN"/>
        </w:rPr>
      </w:pPr>
    </w:p>
    <w:p>
      <w:pPr>
        <w:tabs>
          <w:tab w:val="left" w:pos="966"/>
        </w:tabs>
        <w:bidi w:val="0"/>
        <w:jc w:val="left"/>
        <w:rPr>
          <w:rFonts w:hint="eastAsia"/>
          <w:lang w:val="en-US" w:eastAsia="zh-CN"/>
        </w:rPr>
      </w:pPr>
    </w:p>
    <w:p>
      <w:pPr>
        <w:tabs>
          <w:tab w:val="left" w:pos="966"/>
        </w:tabs>
        <w:bidi w:val="0"/>
        <w:jc w:val="left"/>
        <w:rPr>
          <w:rFonts w:hint="eastAsia"/>
          <w:lang w:val="en-US" w:eastAsia="zh-CN"/>
        </w:rPr>
      </w:pPr>
    </w:p>
    <w:p>
      <w:pPr>
        <w:tabs>
          <w:tab w:val="left" w:pos="966"/>
        </w:tabs>
        <w:bidi w:val="0"/>
        <w:jc w:val="left"/>
        <w:rPr>
          <w:rFonts w:hint="eastAsia"/>
          <w:lang w:val="en-US" w:eastAsia="zh-CN"/>
        </w:rPr>
      </w:pPr>
    </w:p>
    <w:p>
      <w:pPr>
        <w:tabs>
          <w:tab w:val="left" w:pos="966"/>
        </w:tabs>
        <w:bidi w:val="0"/>
        <w:jc w:val="left"/>
        <w:rPr>
          <w:rFonts w:hint="eastAsia"/>
          <w:lang w:val="en-US" w:eastAsia="zh-CN"/>
        </w:rPr>
      </w:pPr>
    </w:p>
    <w:p>
      <w:pPr>
        <w:tabs>
          <w:tab w:val="left" w:pos="966"/>
        </w:tabs>
        <w:bidi w:val="0"/>
        <w:jc w:val="left"/>
        <w:rPr>
          <w:rFonts w:hint="eastAsia"/>
          <w:lang w:val="en-US" w:eastAsia="zh-CN"/>
        </w:rPr>
      </w:pPr>
    </w:p>
    <w:p>
      <w:pPr>
        <w:tabs>
          <w:tab w:val="left" w:pos="966"/>
        </w:tabs>
        <w:bidi w:val="0"/>
        <w:jc w:val="left"/>
        <w:rPr>
          <w:rFonts w:hint="eastAsia"/>
          <w:lang w:val="en-US" w:eastAsia="zh-CN"/>
        </w:rPr>
      </w:pPr>
    </w:p>
    <w:p>
      <w:pPr>
        <w:tabs>
          <w:tab w:val="left" w:pos="966"/>
        </w:tabs>
        <w:bidi w:val="0"/>
        <w:jc w:val="left"/>
        <w:rPr>
          <w:rFonts w:hint="eastAsia"/>
          <w:lang w:val="en-US" w:eastAsia="zh-CN"/>
        </w:rPr>
      </w:pPr>
    </w:p>
    <w:p>
      <w:pPr>
        <w:tabs>
          <w:tab w:val="left" w:pos="966"/>
        </w:tabs>
        <w:bidi w:val="0"/>
        <w:jc w:val="left"/>
        <w:rPr>
          <w:rFonts w:hint="eastAsia"/>
          <w:lang w:val="en-US" w:eastAsia="zh-CN"/>
        </w:rPr>
      </w:pPr>
    </w:p>
    <w:p>
      <w:pPr>
        <w:tabs>
          <w:tab w:val="left" w:pos="966"/>
        </w:tabs>
        <w:bidi w:val="0"/>
        <w:jc w:val="left"/>
        <w:rPr>
          <w:rFonts w:hint="eastAsia"/>
          <w:lang w:val="en-US" w:eastAsia="zh-CN"/>
        </w:rPr>
      </w:pPr>
    </w:p>
    <w:p>
      <w:pPr>
        <w:tabs>
          <w:tab w:val="left" w:pos="966"/>
        </w:tabs>
        <w:bidi w:val="0"/>
        <w:jc w:val="left"/>
        <w:rPr>
          <w:rFonts w:hint="eastAsia"/>
          <w:lang w:val="en-US" w:eastAsia="zh-CN"/>
        </w:rPr>
      </w:pPr>
    </w:p>
    <w:p>
      <w:pPr>
        <w:tabs>
          <w:tab w:val="left" w:pos="966"/>
        </w:tabs>
        <w:bidi w:val="0"/>
        <w:jc w:val="left"/>
        <w:rPr>
          <w:rFonts w:hint="eastAsia"/>
          <w:lang w:val="en-US" w:eastAsia="zh-CN"/>
        </w:rPr>
      </w:pPr>
    </w:p>
    <w:p>
      <w:pPr>
        <w:tabs>
          <w:tab w:val="left" w:pos="966"/>
        </w:tabs>
        <w:bidi w:val="0"/>
        <w:jc w:val="left"/>
        <w:rPr>
          <w:rFonts w:hint="eastAsia"/>
          <w:lang w:val="en-US" w:eastAsia="zh-CN"/>
        </w:rPr>
      </w:pPr>
    </w:p>
    <w:p>
      <w:pPr>
        <w:tabs>
          <w:tab w:val="left" w:pos="966"/>
        </w:tabs>
        <w:bidi w:val="0"/>
        <w:jc w:val="left"/>
        <w:rPr>
          <w:rFonts w:hint="eastAsia"/>
          <w:lang w:val="en-US" w:eastAsia="zh-CN"/>
        </w:rPr>
      </w:pPr>
    </w:p>
    <w:p>
      <w:pPr>
        <w:numPr>
          <w:ilvl w:val="0"/>
          <w:numId w:val="4"/>
        </w:numPr>
        <w:spacing w:line="600" w:lineRule="exact"/>
        <w:ind w:firstLine="660" w:firstLineChars="150"/>
        <w:jc w:val="center"/>
        <w:outlineLvl w:val="0"/>
        <w:rPr>
          <w:rStyle w:val="17"/>
          <w:rFonts w:ascii="黑体" w:hAnsi="黑体" w:eastAsia="黑体"/>
          <w:b w:val="0"/>
        </w:rPr>
      </w:pPr>
      <w:bookmarkStart w:id="119" w:name="_Toc5402"/>
      <w:bookmarkStart w:id="120" w:name="_Toc15377225"/>
      <w:bookmarkStart w:id="121" w:name="_Toc15396613"/>
      <w:bookmarkStart w:id="122" w:name="_Toc25945"/>
      <w:r>
        <w:rPr>
          <w:rFonts w:hint="eastAsia" w:ascii="黑体" w:hAnsi="黑体" w:eastAsia="黑体"/>
          <w:color w:val="000000"/>
          <w:sz w:val="44"/>
          <w:szCs w:val="44"/>
        </w:rPr>
        <w:t>名</w:t>
      </w:r>
      <w:r>
        <w:rPr>
          <w:rStyle w:val="17"/>
          <w:rFonts w:hint="eastAsia" w:ascii="黑体" w:hAnsi="黑体" w:eastAsia="黑体"/>
          <w:b w:val="0"/>
        </w:rPr>
        <w:t>词解释</w:t>
      </w:r>
      <w:bookmarkEnd w:id="119"/>
      <w:bookmarkEnd w:id="120"/>
      <w:bookmarkEnd w:id="121"/>
      <w:bookmarkEnd w:id="122"/>
    </w:p>
    <w:p>
      <w:pPr>
        <w:spacing w:line="600" w:lineRule="exact"/>
        <w:jc w:val="left"/>
        <w:rPr>
          <w:rFonts w:ascii="宋体"/>
          <w:b/>
          <w:color w:val="000000"/>
          <w:sz w:val="44"/>
          <w:szCs w:val="44"/>
        </w:rPr>
      </w:pPr>
    </w:p>
    <w:p>
      <w:pPr>
        <w:pStyle w:val="21"/>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1"/>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w:t>
      </w:r>
      <w:r>
        <w:rPr>
          <w:rFonts w:hint="eastAsia" w:ascii="仿宋_GB2312" w:eastAsia="仿宋_GB2312"/>
          <w:sz w:val="32"/>
          <w:szCs w:val="32"/>
          <w:lang w:eastAsia="zh-CN"/>
        </w:rPr>
        <w:t>年末结转，事业单位每年在年末都需要将“上级补助收入”科目进行结转，使其余额为零。</w:t>
      </w:r>
    </w:p>
    <w:p>
      <w:pPr>
        <w:pStyle w:val="21"/>
        <w:spacing w:line="560" w:lineRule="exact"/>
        <w:ind w:firstLine="640" w:firstLineChars="200"/>
        <w:outlineLvl w:val="9"/>
        <w:rPr>
          <w:rFonts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其他收入：指单位取得的除上述收入以外的各项收入。主要</w:t>
      </w:r>
      <w:r>
        <w:rPr>
          <w:rFonts w:hint="eastAsia" w:ascii="仿宋_GB2312" w:eastAsia="仿宋_GB2312"/>
          <w:sz w:val="32"/>
          <w:szCs w:val="32"/>
          <w:lang w:eastAsia="zh-CN"/>
        </w:rPr>
        <w:t>是关于接受外来捐赠收入带来的银行利息等。</w:t>
      </w:r>
      <w:r>
        <w:rPr>
          <w:rFonts w:ascii="仿宋_GB2312" w:eastAsia="仿宋_GB2312"/>
          <w:sz w:val="32"/>
          <w:szCs w:val="32"/>
        </w:rPr>
        <w:t xml:space="preserve"> </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ascii="仿宋_GB2312" w:eastAsia="仿宋_GB2312"/>
          <w:sz w:val="32"/>
          <w:szCs w:val="32"/>
        </w:rPr>
        <w:t>.</w:t>
      </w:r>
      <w:r>
        <w:rPr>
          <w:rFonts w:hint="eastAsia" w:ascii="仿宋_GB2312" w:eastAsia="仿宋_GB2312"/>
          <w:sz w:val="32"/>
          <w:szCs w:val="32"/>
        </w:rPr>
        <w:t>用事业基金弥补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1"/>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、年末结转和结余：指单位按有关规定结转到下年或以后年度继续使用的资金。</w:t>
      </w:r>
    </w:p>
    <w:p>
      <w:pPr>
        <w:pStyle w:val="21"/>
        <w:spacing w:line="56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201）群众团体事务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29</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保障机构的基本支出（如：职工基本工资、保险等）</w:t>
      </w:r>
    </w:p>
    <w:p>
      <w:pPr>
        <w:pStyle w:val="21"/>
        <w:spacing w:line="56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201）群众团体事务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29</w:t>
      </w:r>
      <w:r>
        <w:rPr>
          <w:rFonts w:hint="eastAsia" w:ascii="仿宋_GB2312" w:eastAsia="仿宋_GB2312"/>
          <w:color w:val="000000"/>
          <w:sz w:val="32"/>
          <w:szCs w:val="32"/>
        </w:rPr>
        <w:t>）</w:t>
      </w:r>
      <w:r>
        <w:rPr>
          <w:rFonts w:hint="eastAsia" w:ascii="仿宋_GB2312" w:eastAsia="仿宋_GB2312"/>
          <w:color w:val="000000"/>
          <w:sz w:val="32"/>
          <w:szCs w:val="32"/>
          <w:lang w:eastAsia="zh-CN"/>
        </w:rPr>
        <w:t>一般行政管理事务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保障机构的其他科级项目支出，（如：编制外人员的基本工资、保险等）</w:t>
      </w:r>
    </w:p>
    <w:p>
      <w:pPr>
        <w:pStyle w:val="21"/>
        <w:spacing w:line="560" w:lineRule="exact"/>
        <w:ind w:firstLine="640" w:firstLineChars="200"/>
        <w:rPr>
          <w:rFonts w:hint="eastAsia" w:ascii="仿宋_GB2312" w:eastAsia="仿宋_GB2312"/>
          <w:sz w:val="32"/>
          <w:szCs w:val="32"/>
          <w:lang w:eastAsia="zh-CN"/>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201）群众团体事务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29</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事业运行</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50</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保障事业单位的基本支出（如：事业单位人员的基本工资、保险等）</w:t>
      </w:r>
    </w:p>
    <w:p>
      <w:pPr>
        <w:pStyle w:val="21"/>
        <w:spacing w:line="56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208）行政事业单位养老支出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eastAsia="zh-CN"/>
        </w:rPr>
        <w:t>机关事业单位基本养老保险（</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lang w:eastAsia="zh-CN"/>
        </w:rPr>
        <w:t>）</w:t>
      </w:r>
      <w:r>
        <w:rPr>
          <w:rFonts w:hint="eastAsia" w:ascii="仿宋_GB2312" w:eastAsia="仿宋_GB2312"/>
          <w:color w:val="000000"/>
          <w:sz w:val="32"/>
          <w:szCs w:val="32"/>
        </w:rPr>
        <w:t>：指</w:t>
      </w:r>
      <w:r>
        <w:rPr>
          <w:rFonts w:hint="eastAsia" w:ascii="仿宋_GB2312" w:eastAsia="仿宋_GB2312"/>
          <w:color w:val="000000"/>
          <w:sz w:val="32"/>
          <w:szCs w:val="32"/>
          <w:lang w:eastAsia="zh-CN"/>
        </w:rPr>
        <w:t>行政事业单位基本养老保险的支出。</w:t>
      </w:r>
    </w:p>
    <w:p>
      <w:pPr>
        <w:pStyle w:val="21"/>
        <w:spacing w:line="56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208）行政事业单位养老支出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eastAsia="zh-CN"/>
        </w:rPr>
        <w:t>机关事业单位职业年金缴费支出（</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lang w:eastAsia="zh-CN"/>
        </w:rPr>
        <w:t>）</w:t>
      </w:r>
      <w:r>
        <w:rPr>
          <w:rFonts w:hint="eastAsia" w:ascii="仿宋_GB2312" w:eastAsia="仿宋_GB2312"/>
          <w:color w:val="000000"/>
          <w:sz w:val="32"/>
          <w:szCs w:val="32"/>
        </w:rPr>
        <w:t>：指</w:t>
      </w:r>
      <w:r>
        <w:rPr>
          <w:rFonts w:hint="eastAsia" w:ascii="仿宋_GB2312" w:eastAsia="仿宋_GB2312"/>
          <w:color w:val="000000"/>
          <w:sz w:val="32"/>
          <w:szCs w:val="32"/>
          <w:lang w:eastAsia="zh-CN"/>
        </w:rPr>
        <w:t>行政事业单位缴纳本单位职工的职业年金支出。</w:t>
      </w:r>
    </w:p>
    <w:p>
      <w:pPr>
        <w:pStyle w:val="21"/>
        <w:spacing w:line="560" w:lineRule="exact"/>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医疗卫生与计划生育（</w:t>
      </w:r>
      <w:r>
        <w:rPr>
          <w:rFonts w:hint="eastAsia" w:ascii="仿宋_GB2312" w:eastAsia="仿宋_GB2312"/>
          <w:color w:val="000000"/>
          <w:sz w:val="32"/>
          <w:szCs w:val="32"/>
          <w:lang w:val="en-US" w:eastAsia="zh-CN"/>
        </w:rPr>
        <w:t>210）行政事业单位医疗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用于保障行政单位职工基本医疗保险的支出保障</w:t>
      </w:r>
      <w:r>
        <w:rPr>
          <w:rFonts w:hint="eastAsia" w:ascii="仿宋_GB2312" w:eastAsia="仿宋_GB2312"/>
          <w:color w:val="000000"/>
          <w:sz w:val="32"/>
          <w:szCs w:val="32"/>
        </w:rPr>
        <w:t>。</w:t>
      </w:r>
    </w:p>
    <w:p>
      <w:pPr>
        <w:pStyle w:val="21"/>
        <w:spacing w:line="560" w:lineRule="exact"/>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医疗卫生与计划生育（</w:t>
      </w:r>
      <w:r>
        <w:rPr>
          <w:rFonts w:hint="eastAsia" w:ascii="仿宋_GB2312" w:eastAsia="仿宋_GB2312"/>
          <w:color w:val="000000"/>
          <w:sz w:val="32"/>
          <w:szCs w:val="32"/>
          <w:lang w:val="en-US" w:eastAsia="zh-CN"/>
        </w:rPr>
        <w:t>210）行政事业单位医疗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）：指</w:t>
      </w:r>
      <w:r>
        <w:rPr>
          <w:rFonts w:hint="eastAsia" w:ascii="仿宋_GB2312" w:eastAsia="仿宋_GB2312"/>
          <w:color w:val="000000"/>
          <w:sz w:val="32"/>
          <w:szCs w:val="32"/>
          <w:lang w:eastAsia="zh-CN"/>
        </w:rPr>
        <w:t>用于保障事业单位职工基本医疗保险的支出保障</w:t>
      </w:r>
      <w:r>
        <w:rPr>
          <w:rFonts w:hint="eastAsia" w:ascii="仿宋_GB2312" w:eastAsia="仿宋_GB2312"/>
          <w:color w:val="000000"/>
          <w:sz w:val="32"/>
          <w:szCs w:val="32"/>
        </w:rPr>
        <w:t>。</w:t>
      </w:r>
    </w:p>
    <w:p>
      <w:pPr>
        <w:pStyle w:val="21"/>
        <w:spacing w:line="56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医疗卫生与计划生育（</w:t>
      </w:r>
      <w:r>
        <w:rPr>
          <w:rFonts w:hint="eastAsia" w:ascii="仿宋_GB2312" w:eastAsia="仿宋_GB2312"/>
          <w:color w:val="000000"/>
          <w:sz w:val="32"/>
          <w:szCs w:val="32"/>
          <w:lang w:val="en-US" w:eastAsia="zh-CN"/>
        </w:rPr>
        <w:t>210）行政事业单位医疗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w:t>
      </w:r>
      <w:r>
        <w:rPr>
          <w:rFonts w:hint="eastAsia" w:ascii="仿宋_GB2312" w:eastAsia="仿宋_GB2312"/>
          <w:color w:val="000000"/>
          <w:sz w:val="32"/>
          <w:szCs w:val="32"/>
          <w:lang w:eastAsia="zh-CN"/>
        </w:rPr>
        <w:t>公务员医疗补助</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）：指</w:t>
      </w:r>
      <w:r>
        <w:rPr>
          <w:rFonts w:hint="eastAsia" w:ascii="仿宋_GB2312" w:eastAsia="仿宋_GB2312"/>
          <w:color w:val="000000"/>
          <w:sz w:val="32"/>
          <w:szCs w:val="32"/>
          <w:lang w:eastAsia="zh-CN"/>
        </w:rPr>
        <w:t>用于保障行政事业单位职工的公务员补助支出保障。</w:t>
      </w:r>
    </w:p>
    <w:p>
      <w:pPr>
        <w:pStyle w:val="21"/>
        <w:spacing w:line="56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15</w:t>
      </w:r>
      <w:r>
        <w:rPr>
          <w:rFonts w:hint="eastAsia" w:ascii="仿宋_GB2312" w:eastAsia="仿宋_GB2312"/>
          <w:color w:val="000000"/>
          <w:sz w:val="32"/>
          <w:szCs w:val="32"/>
        </w:rPr>
        <w:t>住房保障（</w:t>
      </w:r>
      <w:r>
        <w:rPr>
          <w:rFonts w:hint="eastAsia" w:ascii="仿宋_GB2312" w:eastAsia="仿宋_GB2312"/>
          <w:color w:val="000000"/>
          <w:sz w:val="32"/>
          <w:szCs w:val="32"/>
          <w:lang w:val="en-US" w:eastAsia="zh-CN"/>
        </w:rPr>
        <w:t>221）城乡社区住宅</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住房公积金管理</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保障行政事业单位职工的住房公积支出。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18</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20</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21</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22</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23</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24</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tabs>
          <w:tab w:val="left" w:pos="966"/>
        </w:tabs>
        <w:bidi w:val="0"/>
        <w:jc w:val="left"/>
        <w:rPr>
          <w:rFonts w:hint="eastAsia"/>
          <w:lang w:val="en-US" w:eastAsia="zh-CN"/>
        </w:rPr>
      </w:pPr>
    </w:p>
    <w:p>
      <w:pPr>
        <w:tabs>
          <w:tab w:val="left" w:pos="966"/>
        </w:tabs>
        <w:bidi w:val="0"/>
        <w:jc w:val="left"/>
        <w:rPr>
          <w:rFonts w:hint="eastAsia"/>
          <w:lang w:val="en-US" w:eastAsia="zh-CN"/>
        </w:rPr>
      </w:pPr>
    </w:p>
    <w:p>
      <w:pPr>
        <w:tabs>
          <w:tab w:val="left" w:pos="966"/>
        </w:tabs>
        <w:bidi w:val="0"/>
        <w:jc w:val="left"/>
        <w:rPr>
          <w:rFonts w:hint="eastAsia"/>
          <w:lang w:val="en-US" w:eastAsia="zh-CN"/>
        </w:rPr>
      </w:pPr>
    </w:p>
    <w:p>
      <w:pPr>
        <w:tabs>
          <w:tab w:val="left" w:pos="966"/>
        </w:tabs>
        <w:bidi w:val="0"/>
        <w:jc w:val="left"/>
        <w:rPr>
          <w:rFonts w:hint="eastAsia"/>
          <w:lang w:val="en-US" w:eastAsia="zh-CN"/>
        </w:rPr>
      </w:pPr>
    </w:p>
    <w:p>
      <w:pPr>
        <w:tabs>
          <w:tab w:val="left" w:pos="966"/>
        </w:tabs>
        <w:bidi w:val="0"/>
        <w:jc w:val="left"/>
        <w:rPr>
          <w:rFonts w:hint="eastAsia"/>
          <w:lang w:val="en-US" w:eastAsia="zh-CN"/>
        </w:rPr>
      </w:pPr>
    </w:p>
    <w:p>
      <w:pPr>
        <w:tabs>
          <w:tab w:val="left" w:pos="966"/>
        </w:tabs>
        <w:bidi w:val="0"/>
        <w:jc w:val="left"/>
        <w:rPr>
          <w:rFonts w:hint="eastAsia"/>
          <w:lang w:val="en-US" w:eastAsia="zh-CN"/>
        </w:rPr>
      </w:pPr>
    </w:p>
    <w:p>
      <w:pPr>
        <w:tabs>
          <w:tab w:val="left" w:pos="966"/>
        </w:tabs>
        <w:bidi w:val="0"/>
        <w:jc w:val="left"/>
        <w:rPr>
          <w:rFonts w:hint="eastAsia"/>
          <w:lang w:val="en-US" w:eastAsia="zh-CN"/>
        </w:rPr>
      </w:pPr>
    </w:p>
    <w:p>
      <w:pPr>
        <w:tabs>
          <w:tab w:val="left" w:pos="966"/>
        </w:tabs>
        <w:bidi w:val="0"/>
        <w:jc w:val="left"/>
        <w:rPr>
          <w:rFonts w:hint="eastAsia"/>
          <w:lang w:val="en-US" w:eastAsia="zh-CN"/>
        </w:rPr>
      </w:pPr>
    </w:p>
    <w:p>
      <w:pPr>
        <w:tabs>
          <w:tab w:val="left" w:pos="966"/>
        </w:tabs>
        <w:bidi w:val="0"/>
        <w:jc w:val="left"/>
        <w:rPr>
          <w:rFonts w:hint="eastAsia"/>
          <w:lang w:val="en-US" w:eastAsia="zh-CN"/>
        </w:rPr>
      </w:pPr>
    </w:p>
    <w:p>
      <w:pPr>
        <w:tabs>
          <w:tab w:val="left" w:pos="966"/>
        </w:tabs>
        <w:bidi w:val="0"/>
        <w:jc w:val="left"/>
        <w:rPr>
          <w:rFonts w:hint="eastAsia"/>
          <w:lang w:val="en-US" w:eastAsia="zh-CN"/>
        </w:rPr>
      </w:pPr>
    </w:p>
    <w:p>
      <w:pPr>
        <w:tabs>
          <w:tab w:val="left" w:pos="966"/>
        </w:tabs>
        <w:bidi w:val="0"/>
        <w:jc w:val="left"/>
        <w:rPr>
          <w:rFonts w:hint="eastAsia"/>
          <w:lang w:val="en-US" w:eastAsia="zh-CN"/>
        </w:rPr>
      </w:pPr>
    </w:p>
    <w:p>
      <w:pPr>
        <w:tabs>
          <w:tab w:val="left" w:pos="966"/>
        </w:tabs>
        <w:bidi w:val="0"/>
        <w:jc w:val="left"/>
        <w:rPr>
          <w:rFonts w:hint="eastAsia"/>
          <w:lang w:val="en-US" w:eastAsia="zh-CN"/>
        </w:rPr>
      </w:pPr>
    </w:p>
    <w:p>
      <w:pPr>
        <w:tabs>
          <w:tab w:val="left" w:pos="966"/>
        </w:tabs>
        <w:bidi w:val="0"/>
        <w:jc w:val="left"/>
        <w:rPr>
          <w:rFonts w:hint="eastAsia"/>
          <w:lang w:val="en-US" w:eastAsia="zh-CN"/>
        </w:rPr>
      </w:pPr>
    </w:p>
    <w:p>
      <w:pPr>
        <w:tabs>
          <w:tab w:val="left" w:pos="966"/>
        </w:tabs>
        <w:bidi w:val="0"/>
        <w:jc w:val="left"/>
        <w:rPr>
          <w:rFonts w:hint="eastAsia"/>
          <w:lang w:val="en-US" w:eastAsia="zh-CN"/>
        </w:rPr>
      </w:pPr>
    </w:p>
    <w:p>
      <w:pPr>
        <w:tabs>
          <w:tab w:val="left" w:pos="966"/>
        </w:tabs>
        <w:bidi w:val="0"/>
        <w:jc w:val="left"/>
        <w:rPr>
          <w:rFonts w:hint="eastAsia"/>
          <w:lang w:val="en-US" w:eastAsia="zh-CN"/>
        </w:rPr>
      </w:pPr>
    </w:p>
    <w:p>
      <w:pPr>
        <w:tabs>
          <w:tab w:val="left" w:pos="966"/>
        </w:tabs>
        <w:bidi w:val="0"/>
        <w:jc w:val="left"/>
        <w:rPr>
          <w:rFonts w:hint="eastAsia"/>
          <w:lang w:val="en-US" w:eastAsia="zh-CN"/>
        </w:rPr>
      </w:pPr>
    </w:p>
    <w:p>
      <w:pPr>
        <w:tabs>
          <w:tab w:val="left" w:pos="966"/>
        </w:tabs>
        <w:bidi w:val="0"/>
        <w:jc w:val="left"/>
        <w:rPr>
          <w:rFonts w:hint="eastAsia"/>
          <w:lang w:val="en-US" w:eastAsia="zh-CN"/>
        </w:rPr>
      </w:pPr>
    </w:p>
    <w:p>
      <w:pPr>
        <w:tabs>
          <w:tab w:val="left" w:pos="966"/>
        </w:tabs>
        <w:bidi w:val="0"/>
        <w:jc w:val="left"/>
        <w:rPr>
          <w:rFonts w:hint="eastAsia"/>
          <w:lang w:val="en-US" w:eastAsia="zh-CN"/>
        </w:rPr>
      </w:pPr>
    </w:p>
    <w:p>
      <w:pPr>
        <w:tabs>
          <w:tab w:val="left" w:pos="966"/>
        </w:tabs>
        <w:bidi w:val="0"/>
        <w:jc w:val="left"/>
        <w:rPr>
          <w:rFonts w:hint="eastAsia"/>
          <w:lang w:val="en-US" w:eastAsia="zh-CN"/>
        </w:rPr>
      </w:pPr>
    </w:p>
    <w:p>
      <w:pPr>
        <w:tabs>
          <w:tab w:val="left" w:pos="966"/>
        </w:tabs>
        <w:bidi w:val="0"/>
        <w:jc w:val="left"/>
        <w:rPr>
          <w:rFonts w:hint="eastAsia"/>
          <w:lang w:val="en-US" w:eastAsia="zh-CN"/>
        </w:rPr>
      </w:pPr>
    </w:p>
    <w:p>
      <w:pPr>
        <w:tabs>
          <w:tab w:val="left" w:pos="966"/>
        </w:tabs>
        <w:bidi w:val="0"/>
        <w:jc w:val="left"/>
        <w:rPr>
          <w:rFonts w:hint="eastAsia"/>
          <w:lang w:val="en-US" w:eastAsia="zh-CN"/>
        </w:rPr>
      </w:pPr>
    </w:p>
    <w:p>
      <w:pPr>
        <w:spacing w:line="600" w:lineRule="exact"/>
        <w:jc w:val="center"/>
        <w:outlineLvl w:val="0"/>
        <w:rPr>
          <w:rStyle w:val="17"/>
          <w:rFonts w:ascii="黑体" w:hAnsi="黑体" w:eastAsia="黑体"/>
          <w:b w:val="0"/>
        </w:rPr>
      </w:pPr>
      <w:bookmarkStart w:id="123" w:name="_Toc15396614"/>
      <w:bookmarkStart w:id="124" w:name="_Toc7427"/>
      <w:bookmarkStart w:id="125" w:name="_Toc13728"/>
      <w:bookmarkStart w:id="126" w:name="_Toc15377226"/>
      <w:r>
        <w:rPr>
          <w:rFonts w:hint="eastAsia" w:ascii="黑体" w:hAnsi="黑体" w:eastAsia="黑体"/>
          <w:color w:val="000000"/>
          <w:sz w:val="44"/>
          <w:szCs w:val="44"/>
        </w:rPr>
        <w:t>第</w:t>
      </w:r>
      <w:r>
        <w:rPr>
          <w:rStyle w:val="17"/>
          <w:rFonts w:hint="eastAsia" w:ascii="黑体" w:hAnsi="黑体" w:eastAsia="黑体"/>
          <w:b w:val="0"/>
        </w:rPr>
        <w:t>四部分 附件</w:t>
      </w:r>
      <w:bookmarkEnd w:id="123"/>
      <w:bookmarkEnd w:id="124"/>
      <w:bookmarkEnd w:id="125"/>
    </w:p>
    <w:p>
      <w:pPr>
        <w:spacing w:line="600" w:lineRule="exact"/>
        <w:jc w:val="left"/>
        <w:outlineLvl w:val="1"/>
        <w:rPr>
          <w:rFonts w:ascii="方正小标宋简体" w:hAnsi="方正小标宋简体" w:eastAsia="方正小标宋简体" w:cs="方正小标宋简体"/>
          <w:sz w:val="32"/>
          <w:szCs w:val="32"/>
        </w:rPr>
      </w:pPr>
      <w:bookmarkStart w:id="127" w:name="_Toc12640"/>
      <w:bookmarkStart w:id="128" w:name="_Toc9847"/>
      <w:r>
        <w:rPr>
          <w:rFonts w:hint="eastAsia" w:ascii="黑体" w:hAnsi="黑体" w:eastAsia="黑体" w:cs="黑体"/>
          <w:sz w:val="32"/>
          <w:szCs w:val="32"/>
        </w:rPr>
        <w:t>附件1</w:t>
      </w:r>
      <w:bookmarkEnd w:id="127"/>
      <w:bookmarkEnd w:id="128"/>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val="en-US" w:eastAsia="zh-CN"/>
        </w:rPr>
        <w:t>共青团红原县委2</w:t>
      </w:r>
      <w:r>
        <w:rPr>
          <w:rFonts w:ascii="方正小标宋简体" w:hAnsi="宋体" w:eastAsia="方正小标宋简体"/>
          <w:color w:val="000000"/>
          <w:kern w:val="0"/>
          <w:sz w:val="40"/>
          <w:szCs w:val="44"/>
        </w:rPr>
        <w:t>019年</w:t>
      </w:r>
      <w:r>
        <w:rPr>
          <w:rFonts w:hint="eastAsia" w:ascii="方正小标宋简体" w:hAnsi="宋体" w:eastAsia="方正小标宋简体"/>
          <w:color w:val="000000"/>
          <w:kern w:val="0"/>
          <w:sz w:val="40"/>
          <w:szCs w:val="44"/>
          <w:lang w:val="zh-CN"/>
        </w:rPr>
        <w:t>整体支出绩效评价报告</w:t>
      </w:r>
    </w:p>
    <w:p>
      <w:pPr>
        <w:widowControl/>
        <w:spacing w:line="580" w:lineRule="exact"/>
        <w:ind w:firstLine="640" w:firstLineChars="200"/>
        <w:contextualSpacing/>
        <w:jc w:val="center"/>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（一）机构组成。</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红原县团委是由：中国共产主义红原县青年团委、红原县青少年宫、关工委三部分组成</w:t>
      </w:r>
    </w:p>
    <w:p>
      <w:pPr>
        <w:keepNext w:val="0"/>
        <w:keepLines w:val="0"/>
        <w:widowControl/>
        <w:numPr>
          <w:ilvl w:val="0"/>
          <w:numId w:val="5"/>
        </w:numPr>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机构职能。</w:t>
      </w:r>
    </w:p>
    <w:p>
      <w:pPr>
        <w:pStyle w:val="4"/>
        <w:keepNext w:val="0"/>
        <w:keepLines w:val="0"/>
        <w:pageBreakBefore w:val="0"/>
        <w:numPr>
          <w:ilvl w:val="0"/>
          <w:numId w:val="0"/>
        </w:numPr>
        <w:kinsoku/>
        <w:wordWrap/>
        <w:overflowPunct/>
        <w:topLinePunct w:val="0"/>
        <w:autoSpaceDE/>
        <w:autoSpaceDN/>
        <w:bidi w:val="0"/>
        <w:adjustRightInd w:val="0"/>
        <w:snapToGrid w:val="0"/>
        <w:spacing w:beforeAutospacing="0" w:afterAutospacing="0" w:line="576" w:lineRule="exact"/>
        <w:ind w:leftChars="310" w:right="0" w:rightChars="0"/>
        <w:textAlignment w:val="auto"/>
        <w:outlineLvl w:val="9"/>
        <w:rPr>
          <w:rFonts w:hint="eastAsia" w:ascii="仿宋_GB2312" w:hAnsi="仿宋_GB2312" w:eastAsia="仿宋_GB2312" w:cs="仿宋_GB2312"/>
          <w:bCs/>
          <w:kern w:val="2"/>
          <w:sz w:val="32"/>
          <w:szCs w:val="32"/>
          <w:lang w:val="en-US" w:eastAsia="zh-CN" w:bidi="ar-SA"/>
        </w:rPr>
      </w:pPr>
      <w:r>
        <w:rPr>
          <w:rFonts w:hint="eastAsia" w:hAnsi="仿宋_GB2312" w:cs="仿宋_GB2312"/>
          <w:bCs/>
          <w:kern w:val="2"/>
          <w:sz w:val="32"/>
          <w:szCs w:val="32"/>
          <w:lang w:val="en-US" w:eastAsia="zh-CN" w:bidi="ar-SA"/>
        </w:rPr>
        <w:t>(1)</w:t>
      </w:r>
      <w:r>
        <w:rPr>
          <w:rFonts w:hint="eastAsia" w:ascii="仿宋_GB2312" w:hAnsi="仿宋_GB2312" w:eastAsia="仿宋_GB2312" w:cs="仿宋_GB2312"/>
          <w:bCs/>
          <w:kern w:val="2"/>
          <w:sz w:val="32"/>
          <w:szCs w:val="32"/>
          <w:lang w:val="en-US" w:eastAsia="zh-CN" w:bidi="ar-SA"/>
        </w:rPr>
        <w:t>.行使领导全县共青团工作、领导全县青联和少先队工作的职权，对全县性青年社团组织进行指导和管理。</w:t>
      </w:r>
    </w:p>
    <w:p>
      <w:pPr>
        <w:pStyle w:val="4"/>
        <w:keepNext w:val="0"/>
        <w:keepLines w:val="0"/>
        <w:pageBreakBefore w:val="0"/>
        <w:numPr>
          <w:ilvl w:val="0"/>
          <w:numId w:val="0"/>
        </w:numPr>
        <w:kinsoku/>
        <w:wordWrap/>
        <w:overflowPunct/>
        <w:topLinePunct w:val="0"/>
        <w:autoSpaceDE/>
        <w:autoSpaceDN/>
        <w:bidi w:val="0"/>
        <w:adjustRightInd w:val="0"/>
        <w:snapToGrid w:val="0"/>
        <w:spacing w:beforeAutospacing="0" w:afterAutospacing="0" w:line="576" w:lineRule="exact"/>
        <w:ind w:leftChars="310" w:right="0" w:rightChars="0"/>
        <w:textAlignment w:val="auto"/>
        <w:outlineLvl w:val="9"/>
        <w:rPr>
          <w:rFonts w:hint="eastAsia" w:ascii="仿宋_GB2312" w:hAnsi="仿宋_GB2312" w:eastAsia="仿宋_GB2312" w:cs="仿宋_GB2312"/>
          <w:bCs/>
          <w:kern w:val="2"/>
          <w:sz w:val="32"/>
          <w:szCs w:val="32"/>
          <w:lang w:val="en-US" w:eastAsia="zh-CN" w:bidi="ar-SA"/>
        </w:rPr>
      </w:pPr>
      <w:r>
        <w:rPr>
          <w:rFonts w:hint="eastAsia" w:hAnsi="仿宋_GB2312" w:cs="仿宋_GB2312"/>
          <w:bCs/>
          <w:kern w:val="2"/>
          <w:sz w:val="32"/>
          <w:szCs w:val="32"/>
          <w:lang w:val="en-US" w:eastAsia="zh-CN" w:bidi="ar-SA"/>
        </w:rPr>
        <w:t>(2)</w:t>
      </w:r>
      <w:r>
        <w:rPr>
          <w:rFonts w:hint="eastAsia" w:ascii="仿宋_GB2312" w:hAnsi="仿宋_GB2312" w:eastAsia="仿宋_GB2312" w:cs="仿宋_GB2312"/>
          <w:bCs/>
          <w:kern w:val="2"/>
          <w:sz w:val="32"/>
          <w:szCs w:val="32"/>
          <w:lang w:val="en-US" w:eastAsia="zh-CN" w:bidi="ar-SA"/>
        </w:rPr>
        <w:t>.参与制定我县青少年事业发展规划和青少年工作方针、政策，对我县青少年活动阵地、青少年服务机构建设等进行规划和管理。</w:t>
      </w:r>
    </w:p>
    <w:p>
      <w:pPr>
        <w:pStyle w:val="4"/>
        <w:keepNext w:val="0"/>
        <w:keepLines w:val="0"/>
        <w:pageBreakBefore w:val="0"/>
        <w:numPr>
          <w:ilvl w:val="0"/>
          <w:numId w:val="0"/>
        </w:numPr>
        <w:kinsoku/>
        <w:wordWrap/>
        <w:overflowPunct/>
        <w:topLinePunct w:val="0"/>
        <w:autoSpaceDE/>
        <w:autoSpaceDN/>
        <w:bidi w:val="0"/>
        <w:adjustRightInd w:val="0"/>
        <w:snapToGrid w:val="0"/>
        <w:spacing w:beforeAutospacing="0" w:afterAutospacing="0" w:line="576" w:lineRule="exact"/>
        <w:ind w:leftChars="310" w:right="0" w:rightChars="0"/>
        <w:textAlignment w:val="auto"/>
        <w:outlineLvl w:val="9"/>
        <w:rPr>
          <w:rFonts w:hint="eastAsia" w:ascii="仿宋_GB2312" w:hAnsi="仿宋_GB2312" w:eastAsia="仿宋_GB2312" w:cs="仿宋_GB2312"/>
          <w:bCs/>
          <w:kern w:val="2"/>
          <w:sz w:val="32"/>
          <w:szCs w:val="32"/>
          <w:lang w:val="en-US" w:eastAsia="zh-CN" w:bidi="ar-SA"/>
        </w:rPr>
      </w:pPr>
      <w:r>
        <w:rPr>
          <w:rFonts w:hint="eastAsia" w:hAnsi="仿宋_GB2312" w:cs="仿宋_GB2312"/>
          <w:bCs/>
          <w:kern w:val="2"/>
          <w:sz w:val="32"/>
          <w:szCs w:val="32"/>
          <w:lang w:val="en-US" w:eastAsia="zh-CN" w:bidi="ar-SA"/>
        </w:rPr>
        <w:t>(3)</w:t>
      </w:r>
      <w:r>
        <w:rPr>
          <w:rFonts w:hint="eastAsia" w:ascii="仿宋_GB2312" w:hAnsi="仿宋_GB2312" w:eastAsia="仿宋_GB2312" w:cs="仿宋_GB2312"/>
          <w:bCs/>
          <w:kern w:val="2"/>
          <w:sz w:val="32"/>
          <w:szCs w:val="32"/>
          <w:lang w:val="en-US" w:eastAsia="zh-CN" w:bidi="ar-SA"/>
        </w:rPr>
        <w:t>.调查青年动态和青年工作状况，研究青少年运动，青少年工作理论和思想教育问题，提出相应对策，开展各种活动。</w:t>
      </w:r>
    </w:p>
    <w:p>
      <w:pPr>
        <w:pStyle w:val="4"/>
        <w:keepNext w:val="0"/>
        <w:keepLines w:val="0"/>
        <w:pageBreakBefore w:val="0"/>
        <w:numPr>
          <w:ilvl w:val="0"/>
          <w:numId w:val="0"/>
        </w:numPr>
        <w:kinsoku/>
        <w:wordWrap/>
        <w:overflowPunct/>
        <w:topLinePunct w:val="0"/>
        <w:autoSpaceDE/>
        <w:autoSpaceDN/>
        <w:bidi w:val="0"/>
        <w:adjustRightInd w:val="0"/>
        <w:snapToGrid w:val="0"/>
        <w:spacing w:beforeAutospacing="0" w:afterAutospacing="0" w:line="576" w:lineRule="exact"/>
        <w:ind w:leftChars="310" w:right="0" w:rightChars="0"/>
        <w:textAlignment w:val="auto"/>
        <w:outlineLvl w:val="9"/>
        <w:rPr>
          <w:rFonts w:hint="eastAsia" w:ascii="仿宋_GB2312" w:hAnsi="仿宋_GB2312" w:eastAsia="仿宋_GB2312" w:cs="仿宋_GB2312"/>
          <w:bCs/>
          <w:kern w:val="2"/>
          <w:sz w:val="32"/>
          <w:szCs w:val="32"/>
          <w:lang w:val="en-US" w:eastAsia="zh-CN" w:bidi="ar-SA"/>
        </w:rPr>
      </w:pPr>
      <w:r>
        <w:rPr>
          <w:rFonts w:hint="eastAsia" w:hAnsi="仿宋_GB2312" w:cs="仿宋_GB2312"/>
          <w:bCs/>
          <w:kern w:val="2"/>
          <w:sz w:val="32"/>
          <w:szCs w:val="32"/>
          <w:lang w:val="en-US" w:eastAsia="zh-CN" w:bidi="ar-SA"/>
        </w:rPr>
        <w:t>(4)</w:t>
      </w:r>
      <w:r>
        <w:rPr>
          <w:rFonts w:hint="eastAsia" w:ascii="仿宋_GB2312" w:hAnsi="仿宋_GB2312" w:eastAsia="仿宋_GB2312" w:cs="仿宋_GB2312"/>
          <w:bCs/>
          <w:kern w:val="2"/>
          <w:sz w:val="32"/>
          <w:szCs w:val="32"/>
          <w:lang w:val="en-US" w:eastAsia="zh-CN" w:bidi="ar-SA"/>
        </w:rPr>
        <w:t>.协助政府教育部门，做好中、小学生的教育管理工作，维持学校稳定和社会安定团结。</w:t>
      </w:r>
    </w:p>
    <w:p>
      <w:pPr>
        <w:pStyle w:val="4"/>
        <w:keepNext w:val="0"/>
        <w:keepLines w:val="0"/>
        <w:pageBreakBefore w:val="0"/>
        <w:numPr>
          <w:ilvl w:val="0"/>
          <w:numId w:val="0"/>
        </w:numPr>
        <w:kinsoku/>
        <w:wordWrap/>
        <w:overflowPunct/>
        <w:topLinePunct w:val="0"/>
        <w:autoSpaceDE/>
        <w:autoSpaceDN/>
        <w:bidi w:val="0"/>
        <w:adjustRightInd w:val="0"/>
        <w:snapToGrid w:val="0"/>
        <w:spacing w:beforeAutospacing="0" w:afterAutospacing="0" w:line="576" w:lineRule="exact"/>
        <w:ind w:leftChars="310" w:right="0" w:rightChars="0"/>
        <w:textAlignment w:val="auto"/>
        <w:outlineLvl w:val="9"/>
        <w:rPr>
          <w:rFonts w:hint="eastAsia" w:ascii="仿宋_GB2312" w:hAnsi="仿宋_GB2312" w:eastAsia="仿宋_GB2312" w:cs="仿宋_GB2312"/>
          <w:bCs/>
          <w:kern w:val="2"/>
          <w:sz w:val="32"/>
          <w:szCs w:val="32"/>
          <w:lang w:val="en-US" w:eastAsia="zh-CN" w:bidi="ar-SA"/>
        </w:rPr>
      </w:pPr>
      <w:r>
        <w:rPr>
          <w:rFonts w:hint="eastAsia" w:hAnsi="仿宋_GB2312" w:cs="仿宋_GB2312"/>
          <w:bCs/>
          <w:kern w:val="2"/>
          <w:sz w:val="32"/>
          <w:szCs w:val="32"/>
          <w:lang w:val="en-US" w:eastAsia="zh-CN" w:bidi="ar-SA"/>
        </w:rPr>
        <w:t>(5)</w:t>
      </w:r>
      <w:r>
        <w:rPr>
          <w:rFonts w:hint="eastAsia" w:ascii="仿宋_GB2312" w:hAnsi="仿宋_GB2312" w:eastAsia="仿宋_GB2312" w:cs="仿宋_GB2312"/>
          <w:bCs/>
          <w:kern w:val="2"/>
          <w:sz w:val="32"/>
          <w:szCs w:val="32"/>
          <w:lang w:val="en-US" w:eastAsia="zh-CN" w:bidi="ar-SA"/>
        </w:rPr>
        <w:t>.在经济建设中，组织和带领青年发挥生力军和突击队作用。</w:t>
      </w:r>
    </w:p>
    <w:p>
      <w:pPr>
        <w:pStyle w:val="4"/>
        <w:keepNext w:val="0"/>
        <w:keepLines w:val="0"/>
        <w:pageBreakBefore w:val="0"/>
        <w:numPr>
          <w:ilvl w:val="0"/>
          <w:numId w:val="0"/>
        </w:numPr>
        <w:kinsoku/>
        <w:wordWrap/>
        <w:overflowPunct/>
        <w:topLinePunct w:val="0"/>
        <w:autoSpaceDE/>
        <w:autoSpaceDN/>
        <w:bidi w:val="0"/>
        <w:adjustRightInd w:val="0"/>
        <w:snapToGrid w:val="0"/>
        <w:spacing w:beforeAutospacing="0" w:afterAutospacing="0" w:line="576" w:lineRule="exact"/>
        <w:ind w:right="0" w:rightChars="0" w:firstLine="640" w:firstLineChars="200"/>
        <w:textAlignment w:val="auto"/>
        <w:outlineLvl w:val="9"/>
        <w:rPr>
          <w:rFonts w:hint="eastAsia" w:ascii="仿宋_GB2312" w:hAnsi="仿宋_GB2312" w:eastAsia="仿宋_GB2312" w:cs="仿宋_GB2312"/>
          <w:bCs/>
          <w:kern w:val="2"/>
          <w:sz w:val="32"/>
          <w:szCs w:val="32"/>
          <w:lang w:val="en-US" w:eastAsia="zh-CN" w:bidi="ar-SA"/>
        </w:rPr>
      </w:pPr>
      <w:r>
        <w:rPr>
          <w:rFonts w:hint="eastAsia" w:hAnsi="仿宋_GB2312" w:cs="仿宋_GB2312"/>
          <w:bCs/>
          <w:kern w:val="2"/>
          <w:sz w:val="32"/>
          <w:szCs w:val="32"/>
          <w:lang w:val="en-US" w:eastAsia="zh-CN" w:bidi="ar-SA"/>
        </w:rPr>
        <w:t>(6)</w:t>
      </w:r>
      <w:r>
        <w:rPr>
          <w:rFonts w:hint="eastAsia" w:ascii="仿宋_GB2312" w:hAnsi="仿宋_GB2312" w:eastAsia="仿宋_GB2312" w:cs="仿宋_GB2312"/>
          <w:bCs/>
          <w:kern w:val="2"/>
          <w:sz w:val="32"/>
          <w:szCs w:val="32"/>
          <w:lang w:val="en-US" w:eastAsia="zh-CN" w:bidi="ar-SA"/>
        </w:rPr>
        <w:t>.会同有关部门对全县青少年外事工作进行归口管理和提供服务。</w:t>
      </w:r>
    </w:p>
    <w:p>
      <w:pPr>
        <w:pStyle w:val="4"/>
        <w:keepNext w:val="0"/>
        <w:keepLines w:val="0"/>
        <w:pageBreakBefore w:val="0"/>
        <w:numPr>
          <w:ilvl w:val="0"/>
          <w:numId w:val="0"/>
        </w:numPr>
        <w:kinsoku/>
        <w:wordWrap/>
        <w:overflowPunct/>
        <w:topLinePunct w:val="0"/>
        <w:autoSpaceDE/>
        <w:autoSpaceDN/>
        <w:bidi w:val="0"/>
        <w:adjustRightInd w:val="0"/>
        <w:snapToGrid w:val="0"/>
        <w:spacing w:beforeAutospacing="0" w:afterAutospacing="0" w:line="576" w:lineRule="exact"/>
        <w:ind w:leftChars="310" w:right="0" w:rightChars="0"/>
        <w:textAlignment w:val="auto"/>
        <w:outlineLvl w:val="9"/>
        <w:rPr>
          <w:rFonts w:hint="eastAsia" w:ascii="仿宋_GB2312" w:hAnsi="仿宋_GB2312" w:eastAsia="仿宋_GB2312" w:cs="仿宋_GB2312"/>
          <w:bCs/>
          <w:kern w:val="2"/>
          <w:sz w:val="32"/>
          <w:szCs w:val="32"/>
          <w:lang w:val="en-US" w:eastAsia="zh-CN" w:bidi="ar-SA"/>
        </w:rPr>
      </w:pPr>
      <w:r>
        <w:rPr>
          <w:rFonts w:hint="eastAsia" w:hAnsi="仿宋_GB2312" w:cs="仿宋_GB2312"/>
          <w:bCs/>
          <w:kern w:val="2"/>
          <w:sz w:val="32"/>
          <w:szCs w:val="32"/>
          <w:lang w:val="en-US" w:eastAsia="zh-CN" w:bidi="ar-SA"/>
        </w:rPr>
        <w:t>(7)</w:t>
      </w:r>
      <w:r>
        <w:rPr>
          <w:rFonts w:hint="eastAsia" w:ascii="仿宋_GB2312" w:hAnsi="仿宋_GB2312" w:eastAsia="仿宋_GB2312" w:cs="仿宋_GB2312"/>
          <w:bCs/>
          <w:kern w:val="2"/>
          <w:sz w:val="32"/>
          <w:szCs w:val="32"/>
          <w:lang w:val="en-US" w:eastAsia="zh-CN" w:bidi="ar-SA"/>
        </w:rPr>
        <w:t>.做好我县青年统战对象和团结教育工作，维护、促进祖国统一和民族团结。</w:t>
      </w:r>
    </w:p>
    <w:p>
      <w:pPr>
        <w:pStyle w:val="4"/>
        <w:keepNext w:val="0"/>
        <w:keepLines w:val="0"/>
        <w:pageBreakBefore w:val="0"/>
        <w:numPr>
          <w:ilvl w:val="0"/>
          <w:numId w:val="0"/>
        </w:numPr>
        <w:kinsoku/>
        <w:wordWrap/>
        <w:overflowPunct/>
        <w:topLinePunct w:val="0"/>
        <w:autoSpaceDE/>
        <w:autoSpaceDN/>
        <w:bidi w:val="0"/>
        <w:adjustRightInd w:val="0"/>
        <w:snapToGrid w:val="0"/>
        <w:spacing w:beforeAutospacing="0" w:afterAutospacing="0" w:line="576" w:lineRule="exact"/>
        <w:ind w:leftChars="310" w:right="0" w:rightChars="0"/>
        <w:textAlignment w:val="auto"/>
        <w:outlineLvl w:val="9"/>
        <w:rPr>
          <w:rFonts w:hint="eastAsia" w:ascii="仿宋" w:hAnsi="仿宋" w:eastAsia="仿宋"/>
          <w:bCs/>
          <w:color w:val="000000"/>
          <w:sz w:val="32"/>
          <w:szCs w:val="32"/>
        </w:rPr>
      </w:pPr>
      <w:r>
        <w:rPr>
          <w:rFonts w:hint="eastAsia" w:hAnsi="仿宋_GB2312" w:cs="仿宋_GB2312"/>
          <w:bCs/>
          <w:kern w:val="2"/>
          <w:sz w:val="32"/>
          <w:szCs w:val="32"/>
          <w:lang w:val="en-US" w:eastAsia="zh-CN" w:bidi="ar-SA"/>
        </w:rPr>
        <w:t>(8)</w:t>
      </w:r>
      <w:r>
        <w:rPr>
          <w:rFonts w:hint="eastAsia" w:ascii="仿宋_GB2312" w:hAnsi="仿宋_GB2312" w:eastAsia="仿宋_GB2312" w:cs="仿宋_GB2312"/>
          <w:bCs/>
          <w:kern w:val="2"/>
          <w:sz w:val="32"/>
          <w:szCs w:val="32"/>
          <w:lang w:val="en-US" w:eastAsia="zh-CN" w:bidi="ar-SA"/>
        </w:rPr>
        <w:t>.承担中共红原县委、红原县人民政府和共青团阿坝州委交办的有关事项。</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宋体" w:eastAsia="仿宋_GB2312" w:cs="宋体"/>
          <w:color w:val="000000"/>
          <w:kern w:val="0"/>
          <w:sz w:val="32"/>
          <w:szCs w:val="24"/>
          <w:lang w:val="zh-CN" w:eastAsia="zh-CN" w:bidi="ar"/>
        </w:rPr>
      </w:pPr>
    </w:p>
    <w:p>
      <w:pPr>
        <w:keepNext w:val="0"/>
        <w:keepLines w:val="0"/>
        <w:widowControl/>
        <w:numPr>
          <w:ilvl w:val="0"/>
          <w:numId w:val="5"/>
        </w:numPr>
        <w:suppressLineNumbers w:val="0"/>
        <w:adjustRightInd w:val="0"/>
        <w:snapToGrid w:val="0"/>
        <w:spacing w:before="0" w:beforeAutospacing="0" w:after="0" w:afterAutospacing="0" w:line="480" w:lineRule="exact"/>
        <w:ind w:left="0" w:leftChars="0" w:right="0" w:firstLine="720" w:firstLineChars="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人员概况。</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default" w:ascii="仿宋_GB2312" w:hAnsi="宋体" w:eastAsia="仿宋_GB2312" w:cs="宋体"/>
          <w:color w:val="000000"/>
          <w:kern w:val="0"/>
          <w:sz w:val="32"/>
          <w:szCs w:val="24"/>
          <w:lang w:val="en-US" w:eastAsia="zh-CN" w:bidi="ar"/>
        </w:rPr>
      </w:pPr>
      <w:r>
        <w:rPr>
          <w:rFonts w:hint="eastAsia" w:ascii="仿宋_GB2312" w:hAnsi="宋体" w:eastAsia="仿宋_GB2312" w:cs="宋体"/>
          <w:color w:val="000000"/>
          <w:kern w:val="0"/>
          <w:sz w:val="32"/>
          <w:szCs w:val="24"/>
          <w:lang w:val="zh-CN" w:eastAsia="zh-CN" w:bidi="ar"/>
        </w:rPr>
        <w:t>红原县团委现就公务员编制</w:t>
      </w:r>
      <w:r>
        <w:rPr>
          <w:rFonts w:hint="eastAsia" w:ascii="仿宋_GB2312" w:hAnsi="宋体" w:eastAsia="仿宋_GB2312" w:cs="宋体"/>
          <w:color w:val="000000"/>
          <w:kern w:val="0"/>
          <w:sz w:val="32"/>
          <w:szCs w:val="24"/>
          <w:lang w:val="en-US" w:eastAsia="zh-CN" w:bidi="ar"/>
        </w:rPr>
        <w:t>3人，事业编制6人，西部计划志愿者2人。</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en-US"/>
        </w:rPr>
      </w:pPr>
      <w:r>
        <w:rPr>
          <w:rFonts w:hint="eastAsia" w:ascii="黑体" w:hAnsi="宋体" w:eastAsia="黑体" w:cs="宋体"/>
          <w:color w:val="000000"/>
          <w:kern w:val="0"/>
          <w:sz w:val="32"/>
          <w:szCs w:val="24"/>
          <w:lang w:val="en-US" w:eastAsia="zh-CN" w:bidi="ar"/>
        </w:rPr>
        <w:t>二、部门财政资金收支情况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（一）部门财政资金收入情况。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default" w:ascii="仿宋_GB2312" w:hAnsi="宋体" w:eastAsia="仿宋_GB2312" w:cs="宋体"/>
          <w:color w:val="000000"/>
          <w:kern w:val="0"/>
          <w:sz w:val="32"/>
          <w:szCs w:val="24"/>
          <w:lang w:val="en-US" w:eastAsia="zh-CN" w:bidi="ar"/>
        </w:rPr>
      </w:pPr>
      <w:r>
        <w:rPr>
          <w:rFonts w:hint="eastAsia" w:ascii="仿宋_GB2312" w:hAnsi="宋体" w:eastAsia="仿宋_GB2312" w:cs="宋体"/>
          <w:color w:val="000000"/>
          <w:kern w:val="0"/>
          <w:sz w:val="32"/>
          <w:szCs w:val="24"/>
          <w:lang w:val="zh-CN" w:eastAsia="zh-CN" w:bidi="ar"/>
        </w:rPr>
        <w:t>本单位本年收入总计</w:t>
      </w:r>
      <w:r>
        <w:rPr>
          <w:rFonts w:hint="eastAsia" w:ascii="仿宋_GB2312" w:hAnsi="宋体" w:eastAsia="仿宋_GB2312" w:cs="宋体"/>
          <w:color w:val="000000"/>
          <w:kern w:val="0"/>
          <w:sz w:val="32"/>
          <w:szCs w:val="24"/>
          <w:lang w:val="en-US" w:eastAsia="zh-CN" w:bidi="ar"/>
        </w:rPr>
        <w:t>183.26万元，其中一般财政拨款收入167.84万元，占91.58%；年初结转结余4.97万元，占2.71%。其他收入：10.45万元，占5.71%</w:t>
      </w:r>
    </w:p>
    <w:p>
      <w:pPr>
        <w:keepNext w:val="0"/>
        <w:keepLines w:val="0"/>
        <w:widowControl/>
        <w:numPr>
          <w:ilvl w:val="0"/>
          <w:numId w:val="5"/>
        </w:numPr>
        <w:suppressLineNumbers w:val="0"/>
        <w:adjustRightInd w:val="0"/>
        <w:snapToGrid w:val="0"/>
        <w:spacing w:before="0" w:beforeAutospacing="0" w:after="0" w:afterAutospacing="0" w:line="480" w:lineRule="exact"/>
        <w:ind w:left="0" w:leftChars="0" w:right="0" w:firstLine="720" w:firstLineChars="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部门财政资金支出情况。</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default" w:ascii="仿宋_GB2312" w:hAnsi="宋体" w:eastAsia="仿宋_GB2312" w:cs="宋体"/>
          <w:color w:val="000000"/>
          <w:kern w:val="0"/>
          <w:sz w:val="32"/>
          <w:szCs w:val="24"/>
          <w:lang w:val="en-US" w:eastAsia="zh-CN" w:bidi="ar"/>
        </w:rPr>
      </w:pPr>
      <w:r>
        <w:rPr>
          <w:rFonts w:hint="eastAsia" w:ascii="仿宋_GB2312" w:hAnsi="宋体" w:eastAsia="仿宋_GB2312" w:cs="宋体"/>
          <w:color w:val="000000"/>
          <w:kern w:val="0"/>
          <w:sz w:val="32"/>
          <w:szCs w:val="24"/>
          <w:lang w:val="zh-CN" w:eastAsia="zh-CN" w:bidi="ar"/>
        </w:rPr>
        <w:t>本单位本年费用支出</w:t>
      </w:r>
      <w:r>
        <w:rPr>
          <w:rFonts w:hint="eastAsia" w:ascii="仿宋_GB2312" w:hAnsi="宋体" w:eastAsia="仿宋_GB2312" w:cs="宋体"/>
          <w:color w:val="000000"/>
          <w:kern w:val="0"/>
          <w:sz w:val="32"/>
          <w:szCs w:val="24"/>
          <w:lang w:val="en-US" w:eastAsia="zh-CN" w:bidi="ar"/>
        </w:rPr>
        <w:t>183.26万元，一般公共服务支出143.19万元，占78.13%；社会保障和就业支出15.26万元，占8.32%；医疗卫生与计划生育支出6.64万元，占3.62%；住房保障支出9.17万元，占5%；其他支出9万元，占4.93%。</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en-US"/>
        </w:rPr>
      </w:pPr>
      <w:r>
        <w:rPr>
          <w:rFonts w:hint="eastAsia" w:ascii="黑体" w:hAnsi="宋体" w:eastAsia="黑体" w:cs="宋体"/>
          <w:color w:val="000000"/>
          <w:kern w:val="0"/>
          <w:sz w:val="32"/>
          <w:szCs w:val="24"/>
          <w:lang w:val="en-US" w:eastAsia="zh-CN" w:bidi="ar"/>
        </w:rPr>
        <w:t>三、部门财政支出管理情况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bidi="ar"/>
        </w:rPr>
        <w:t>（一）预算编制情况。</w:t>
      </w:r>
    </w:p>
    <w:p>
      <w:pPr>
        <w:pStyle w:val="10"/>
        <w:widowControl/>
        <w:spacing w:before="0" w:beforeAutospacing="0" w:after="300" w:afterAutospacing="0" w:line="576" w:lineRule="exact"/>
        <w:ind w:firstLine="640" w:firstLineChars="200"/>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212121"/>
          <w:sz w:val="32"/>
          <w:szCs w:val="32"/>
        </w:rPr>
        <w:t>单位不断强化预算意识，实行部门综合预算管理，形成以单位领导支持、财务部门牵头、其他部门密切配合的工作格局，保证预算编制质量。结合</w:t>
      </w:r>
      <w:r>
        <w:rPr>
          <w:rFonts w:hint="eastAsia" w:ascii="仿宋_GB2312" w:hAnsi="仿宋_GB2312" w:eastAsia="仿宋_GB2312" w:cs="仿宋_GB2312"/>
          <w:color w:val="212121"/>
          <w:sz w:val="32"/>
          <w:szCs w:val="32"/>
          <w:lang w:eastAsia="zh-CN"/>
        </w:rPr>
        <w:t>本</w:t>
      </w:r>
      <w:r>
        <w:rPr>
          <w:rFonts w:hint="eastAsia" w:ascii="仿宋_GB2312" w:hAnsi="仿宋_GB2312" w:eastAsia="仿宋_GB2312" w:cs="仿宋_GB2312"/>
          <w:color w:val="212121"/>
          <w:sz w:val="32"/>
          <w:szCs w:val="32"/>
        </w:rPr>
        <w:t>单位业务情况</w:t>
      </w:r>
      <w:r>
        <w:rPr>
          <w:rFonts w:hint="eastAsia" w:ascii="仿宋_GB2312" w:hAnsi="仿宋_GB2312" w:eastAsia="仿宋_GB2312" w:cs="仿宋_GB2312"/>
          <w:color w:val="212121"/>
          <w:sz w:val="32"/>
          <w:szCs w:val="32"/>
          <w:lang w:eastAsia="zh-CN"/>
        </w:rPr>
        <w:t>以及项目活动的开展</w:t>
      </w:r>
      <w:r>
        <w:rPr>
          <w:rFonts w:hint="eastAsia" w:ascii="仿宋_GB2312" w:hAnsi="仿宋_GB2312" w:eastAsia="仿宋_GB2312" w:cs="仿宋_GB2312"/>
          <w:color w:val="212121"/>
          <w:sz w:val="32"/>
          <w:szCs w:val="32"/>
        </w:rPr>
        <w:t>，进行科学合理分配细化，</w:t>
      </w:r>
      <w:r>
        <w:rPr>
          <w:rFonts w:hint="eastAsia" w:ascii="仿宋_GB2312" w:hAnsi="仿宋_GB2312" w:eastAsia="仿宋_GB2312" w:cs="仿宋_GB2312"/>
          <w:color w:val="212121"/>
          <w:sz w:val="32"/>
          <w:szCs w:val="32"/>
          <w:lang w:eastAsia="zh-CN"/>
        </w:rPr>
        <w:t>财务</w:t>
      </w:r>
      <w:r>
        <w:rPr>
          <w:rFonts w:hint="eastAsia" w:ascii="仿宋_GB2312" w:hAnsi="仿宋_GB2312" w:eastAsia="仿宋_GB2312" w:cs="仿宋_GB2312"/>
          <w:color w:val="212121"/>
          <w:sz w:val="32"/>
          <w:szCs w:val="32"/>
        </w:rPr>
        <w:t>部门预算经批复后，跟踪预算执行进度，及时组织收入，科学合理</w:t>
      </w:r>
      <w:r>
        <w:rPr>
          <w:rFonts w:hint="eastAsia" w:ascii="仿宋_GB2312" w:hAnsi="仿宋_GB2312" w:eastAsia="仿宋_GB2312" w:cs="仿宋_GB2312"/>
          <w:color w:val="212121"/>
          <w:sz w:val="32"/>
          <w:szCs w:val="32"/>
          <w:lang w:eastAsia="zh-CN"/>
        </w:rPr>
        <w:t>的</w:t>
      </w:r>
      <w:r>
        <w:rPr>
          <w:rFonts w:hint="eastAsia" w:ascii="仿宋_GB2312" w:hAnsi="仿宋_GB2312" w:eastAsia="仿宋_GB2312" w:cs="仿宋_GB2312"/>
          <w:color w:val="212121"/>
          <w:sz w:val="32"/>
          <w:szCs w:val="32"/>
        </w:rPr>
        <w:t>安排支出，降低预算支出的波动幅度。严格执行项目支出预算，积极组织项目实施，对于达到政府采购标准的项目支出，明确规定采购项目的采购期限，督促尽快组织实施采购计划。加强对预算执行过程的控制和结果的反馈，对预算执行差异</w:t>
      </w:r>
      <w:r>
        <w:rPr>
          <w:rFonts w:hint="eastAsia" w:ascii="仿宋_GB2312" w:hAnsi="仿宋_GB2312" w:eastAsia="仿宋_GB2312" w:cs="仿宋_GB2312"/>
          <w:color w:val="212121"/>
          <w:sz w:val="32"/>
          <w:szCs w:val="32"/>
          <w:lang w:eastAsia="zh-CN"/>
        </w:rPr>
        <w:t>的原因以及分析差异</w:t>
      </w:r>
      <w:r>
        <w:rPr>
          <w:rFonts w:hint="eastAsia" w:ascii="仿宋_GB2312" w:hAnsi="仿宋_GB2312" w:eastAsia="仿宋_GB2312" w:cs="仿宋_GB2312"/>
          <w:color w:val="212121"/>
          <w:sz w:val="32"/>
          <w:szCs w:val="32"/>
        </w:rPr>
        <w:t>和影响，并及时向领导和相关</w:t>
      </w:r>
      <w:r>
        <w:rPr>
          <w:rFonts w:hint="eastAsia" w:ascii="仿宋_GB2312" w:hAnsi="仿宋_GB2312" w:eastAsia="仿宋_GB2312" w:cs="仿宋_GB2312"/>
          <w:color w:val="212121"/>
          <w:sz w:val="32"/>
          <w:szCs w:val="32"/>
          <w:lang w:eastAsia="zh-CN"/>
        </w:rPr>
        <w:t>部门</w:t>
      </w:r>
      <w:r>
        <w:rPr>
          <w:rFonts w:hint="eastAsia" w:ascii="仿宋_GB2312" w:hAnsi="仿宋_GB2312" w:eastAsia="仿宋_GB2312" w:cs="仿宋_GB2312"/>
          <w:color w:val="212121"/>
          <w:sz w:val="32"/>
          <w:szCs w:val="32"/>
        </w:rPr>
        <w:t>进行反馈，以采取措施纠正</w:t>
      </w:r>
      <w:r>
        <w:rPr>
          <w:rFonts w:hint="eastAsia" w:ascii="仿宋_GB2312" w:hAnsi="仿宋_GB2312" w:eastAsia="仿宋_GB2312" w:cs="仿宋_GB2312"/>
          <w:color w:val="212121"/>
          <w:sz w:val="32"/>
          <w:szCs w:val="32"/>
          <w:lang w:eastAsia="zh-CN"/>
        </w:rPr>
        <w:t>预算</w:t>
      </w:r>
      <w:r>
        <w:rPr>
          <w:rFonts w:hint="eastAsia" w:ascii="仿宋_GB2312" w:hAnsi="仿宋_GB2312" w:eastAsia="仿宋_GB2312" w:cs="仿宋_GB2312"/>
          <w:color w:val="212121"/>
          <w:sz w:val="32"/>
          <w:szCs w:val="32"/>
        </w:rPr>
        <w:t>执行偏差，促进预算目标的全面完成。</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（二）执行管理情况。</w:t>
      </w:r>
      <w:r>
        <w:rPr>
          <w:rFonts w:hint="eastAsia" w:ascii="楷体" w:hAnsi="楷体" w:eastAsia="楷体" w:cs="宋体"/>
          <w:color w:val="000000"/>
          <w:kern w:val="0"/>
          <w:sz w:val="32"/>
          <w:szCs w:val="24"/>
          <w:lang w:val="zh-CN" w:eastAsia="zh-CN" w:bidi="ar"/>
        </w:rPr>
        <w:tab/>
      </w:r>
    </w:p>
    <w:p>
      <w:pPr>
        <w:pStyle w:val="10"/>
        <w:widowControl/>
        <w:spacing w:before="0" w:beforeAutospacing="0" w:after="300" w:afterAutospacing="0" w:line="576" w:lineRule="exact"/>
        <w:ind w:firstLine="640" w:firstLineChars="200"/>
        <w:rPr>
          <w:rFonts w:hint="eastAsia" w:ascii="仿宋_GB2312" w:hAnsi="仿宋_GB2312" w:eastAsia="仿宋_GB2312" w:cs="仿宋_GB2312"/>
          <w:color w:val="212121"/>
          <w:sz w:val="32"/>
          <w:szCs w:val="32"/>
          <w:lang w:eastAsia="zh-CN"/>
        </w:rPr>
      </w:pPr>
      <w:r>
        <w:rPr>
          <w:rFonts w:hint="eastAsia" w:ascii="仿宋_GB2312" w:hAnsi="仿宋_GB2312" w:eastAsia="仿宋_GB2312" w:cs="仿宋_GB2312"/>
          <w:color w:val="212121"/>
          <w:sz w:val="32"/>
          <w:szCs w:val="32"/>
        </w:rPr>
        <w:t>健全完善部门内控制度，全面梳理业务流程，明确业务环节，分析风险隐患，完善风险评估机制，制定风险应对策略;有效运用不相容岗位相互分离、内部授权审批控制、归口管理、预算控制、财产保护控制、会计控制、单据控制、信息内部公开等内部控制基本方法，加强对单位层面和业务层面的内部控制，实现内部控制体系全面、有效实施。建立单位内控监督约束机制</w:t>
      </w:r>
      <w:r>
        <w:rPr>
          <w:rFonts w:hint="eastAsia" w:ascii="仿宋_GB2312" w:hAnsi="仿宋_GB2312" w:eastAsia="仿宋_GB2312" w:cs="仿宋_GB2312"/>
          <w:color w:val="212121"/>
          <w:sz w:val="32"/>
          <w:szCs w:val="32"/>
          <w:lang w:eastAsia="zh-CN"/>
        </w:rPr>
        <w:t>以及“三公”经费的合理使用</w:t>
      </w:r>
      <w:r>
        <w:rPr>
          <w:rFonts w:hint="eastAsia" w:ascii="仿宋_GB2312" w:hAnsi="仿宋_GB2312" w:eastAsia="仿宋_GB2312" w:cs="仿宋_GB2312"/>
          <w:color w:val="212121"/>
          <w:sz w:val="32"/>
          <w:szCs w:val="32"/>
        </w:rPr>
        <w:t>，确保资金安全、合理、有效使用，最大限度发挥财政资金使用效益</w:t>
      </w:r>
      <w:r>
        <w:rPr>
          <w:rFonts w:hint="eastAsia" w:ascii="仿宋_GB2312" w:hAnsi="仿宋_GB2312" w:eastAsia="仿宋_GB2312" w:cs="仿宋_GB2312"/>
          <w:color w:val="212121"/>
          <w:sz w:val="32"/>
          <w:szCs w:val="32"/>
          <w:lang w:eastAsia="zh-CN"/>
        </w:rPr>
        <w:t>。</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（三）综合管理情况。</w:t>
      </w:r>
    </w:p>
    <w:p>
      <w:pPr>
        <w:pStyle w:val="10"/>
        <w:widowControl/>
        <w:spacing w:before="0" w:beforeAutospacing="0" w:after="300" w:afterAutospacing="0" w:line="576" w:lineRule="exact"/>
        <w:ind w:firstLine="640" w:firstLineChars="200"/>
        <w:rPr>
          <w:rFonts w:hint="eastAsia" w:ascii="仿宋_GB2312" w:hAnsi="仿宋_GB2312" w:eastAsia="仿宋_GB2312" w:cs="仿宋_GB2312"/>
          <w:color w:val="000000"/>
          <w:kern w:val="0"/>
          <w:sz w:val="32"/>
          <w:szCs w:val="24"/>
          <w:lang w:val="zh-CN" w:eastAsia="zh-CN" w:bidi="ar"/>
        </w:rPr>
      </w:pPr>
      <w:r>
        <w:rPr>
          <w:rFonts w:hint="eastAsia" w:ascii="仿宋_GB2312" w:hAnsi="仿宋_GB2312" w:eastAsia="仿宋_GB2312" w:cs="仿宋_GB2312"/>
          <w:color w:val="212121"/>
          <w:sz w:val="32"/>
          <w:szCs w:val="32"/>
        </w:rPr>
        <w:t>一是加强会计核算工作。严格执行现行固定资产管理制度，对新购入的固定资产及时入账，编制固定资产卡片，确保账面上能真实、完整的反映单位的固定资产情况，并结合本单位的实际情况，完善固定资产管理制度。二是加强程序管理。</w:t>
      </w:r>
      <w:r>
        <w:rPr>
          <w:rFonts w:hint="eastAsia" w:ascii="仿宋_GB2312" w:hAnsi="仿宋_GB2312" w:eastAsia="仿宋_GB2312" w:cs="仿宋_GB2312"/>
          <w:color w:val="212121"/>
          <w:sz w:val="32"/>
          <w:szCs w:val="32"/>
          <w:lang w:eastAsia="zh-CN"/>
        </w:rPr>
        <w:t>对红原县团委以下青少年宫和关工委的财政支出做到公开透明。</w:t>
      </w:r>
      <w:r>
        <w:rPr>
          <w:rFonts w:hint="eastAsia" w:ascii="仿宋_GB2312" w:hAnsi="仿宋_GB2312" w:eastAsia="仿宋_GB2312" w:cs="仿宋_GB2312"/>
          <w:color w:val="212121"/>
          <w:sz w:val="32"/>
          <w:szCs w:val="32"/>
        </w:rPr>
        <w:t>对纳入政府采购目录范围内的资产采购，必须报政府采购中心进行政府采购；未纳入政府采购目录范围内的资产采购，采用其他形式采购。未纳入预算的固定资产，不得随意采购，确</w:t>
      </w:r>
      <w:r>
        <w:rPr>
          <w:rFonts w:hint="eastAsia" w:ascii="仿宋_GB2312" w:hAnsi="仿宋_GB2312" w:eastAsia="仿宋_GB2312" w:cs="仿宋_GB2312"/>
          <w:color w:val="212121"/>
          <w:sz w:val="32"/>
          <w:szCs w:val="32"/>
          <w:lang w:eastAsia="zh-CN"/>
        </w:rPr>
        <w:t>定</w:t>
      </w:r>
      <w:r>
        <w:rPr>
          <w:rFonts w:hint="eastAsia" w:ascii="仿宋_GB2312" w:hAnsi="仿宋_GB2312" w:eastAsia="仿宋_GB2312" w:cs="仿宋_GB2312"/>
          <w:color w:val="212121"/>
          <w:sz w:val="32"/>
          <w:szCs w:val="32"/>
        </w:rPr>
        <w:t>需急用，必须经相关部门批准。三是加强内部监督。定期或不定期的对固定资产进行抽查。检查固定资产的购置、领用、处置等程序是否合规，账</w:t>
      </w:r>
      <w:r>
        <w:rPr>
          <w:rFonts w:hint="eastAsia" w:ascii="仿宋_GB2312" w:hAnsi="仿宋_GB2312" w:eastAsia="仿宋_GB2312" w:cs="仿宋_GB2312"/>
          <w:color w:val="212121"/>
          <w:sz w:val="32"/>
          <w:szCs w:val="32"/>
          <w:lang w:eastAsia="zh-CN"/>
        </w:rPr>
        <w:t>本</w:t>
      </w:r>
      <w:r>
        <w:rPr>
          <w:rFonts w:hint="eastAsia" w:ascii="仿宋_GB2312" w:hAnsi="仿宋_GB2312" w:eastAsia="仿宋_GB2312" w:cs="仿宋_GB2312"/>
          <w:color w:val="212121"/>
          <w:sz w:val="32"/>
          <w:szCs w:val="32"/>
        </w:rPr>
        <w:t>是否相符等，防止国有资产的流失。</w:t>
      </w:r>
    </w:p>
    <w:p>
      <w:pPr>
        <w:keepNext w:val="0"/>
        <w:keepLines w:val="0"/>
        <w:widowControl/>
        <w:suppressLineNumbers w:val="0"/>
        <w:adjustRightInd w:val="0"/>
        <w:snapToGrid w:val="0"/>
        <w:spacing w:before="0" w:beforeAutospacing="0" w:after="0" w:afterAutospacing="0" w:line="480" w:lineRule="exact"/>
        <w:ind w:right="0" w:firstLine="320" w:firstLineChars="10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（四）整体绩效。</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300" w:afterAutospacing="0"/>
        <w:ind w:left="0" w:right="0" w:firstLine="42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fill="FFFFFF"/>
          <w:lang w:eastAsia="zh-CN"/>
        </w:rPr>
        <w:t>（</w:t>
      </w:r>
      <w:r>
        <w:rPr>
          <w:rFonts w:hint="eastAsia" w:ascii="仿宋_GB2312" w:hAnsi="仿宋_GB2312" w:eastAsia="仿宋_GB2312" w:cs="仿宋_GB2312"/>
          <w:i w:val="0"/>
          <w:caps w:val="0"/>
          <w:color w:val="333333"/>
          <w:spacing w:val="0"/>
          <w:sz w:val="32"/>
          <w:szCs w:val="32"/>
          <w:shd w:val="clear" w:fill="FAFAFA"/>
        </w:rPr>
        <w:t>一）领导重视，部门牵头，齐抓共管，形成了有力的领导和工作机制。根据工作职责，落实项目管理责任及预算执行责任，明确项目管理主体，认真做好项目实施的准备工作，保障项目实施进度高效有序。</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300" w:afterAutospacing="0"/>
        <w:ind w:left="0" w:right="0" w:firstLine="42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fill="FAFAFA"/>
        </w:rPr>
        <w:t>（二）加强项目资金管理，从资金源头入手，落实责任，完善制度，合理使用，加强监管，要求开展好工作，又严格遵守财经纪律，做好厉行节约工作，确保将有限的资金发挥最大的效益。</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300" w:afterAutospacing="0"/>
        <w:ind w:left="0" w:right="0" w:firstLine="420"/>
        <w:jc w:val="left"/>
        <w:rPr>
          <w:rFonts w:hint="eastAsia" w:ascii="仿宋_GB2312" w:hAnsi="仿宋_GB2312" w:eastAsia="仿宋_GB2312" w:cs="仿宋_GB2312"/>
          <w:i w:val="0"/>
          <w:caps w:val="0"/>
          <w:color w:val="333333"/>
          <w:spacing w:val="0"/>
          <w:sz w:val="32"/>
          <w:szCs w:val="32"/>
          <w:shd w:val="clear" w:fill="FAFAFA"/>
        </w:rPr>
      </w:pPr>
      <w:r>
        <w:rPr>
          <w:rFonts w:hint="eastAsia" w:ascii="仿宋_GB2312" w:hAnsi="仿宋_GB2312" w:eastAsia="仿宋_GB2312" w:cs="仿宋_GB2312"/>
          <w:i w:val="0"/>
          <w:caps w:val="0"/>
          <w:color w:val="333333"/>
          <w:spacing w:val="0"/>
          <w:sz w:val="32"/>
          <w:szCs w:val="32"/>
          <w:shd w:val="clear" w:fill="FAFAFA"/>
        </w:rPr>
        <w:t>（三）加强预算资金管理制度建设。不断修订和完善相关财务管理制度，重视财务管理制度的执行与监督，使资金财务管理制度管理有章可循。</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300" w:afterAutospacing="0"/>
        <w:ind w:left="0" w:right="0" w:firstLine="420"/>
        <w:jc w:val="left"/>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i w:val="0"/>
          <w:caps w:val="0"/>
          <w:color w:val="333333"/>
          <w:spacing w:val="0"/>
          <w:sz w:val="32"/>
          <w:szCs w:val="32"/>
          <w:shd w:val="clear" w:fill="FAFAFA"/>
        </w:rPr>
        <w:t>（四）加强行政单位会计制度和预算法学习培训，规范预算收支管理，严格按项目和进度执行预算，增强预算的约束力和严肃性。 </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en-US"/>
        </w:rPr>
      </w:pPr>
      <w:r>
        <w:rPr>
          <w:rFonts w:hint="eastAsia" w:ascii="黑体" w:hAnsi="宋体" w:eastAsia="黑体" w:cs="宋体"/>
          <w:color w:val="000000"/>
          <w:kern w:val="0"/>
          <w:sz w:val="32"/>
          <w:szCs w:val="24"/>
          <w:lang w:val="en-US" w:eastAsia="zh-CN" w:bidi="ar"/>
        </w:rPr>
        <w:t>四、评价结论及建议</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2"/>
          <w:szCs w:val="24"/>
          <w:lang w:val="zh-CN" w:eastAsia="zh-CN" w:bidi="ar"/>
        </w:rPr>
      </w:pPr>
      <w:r>
        <w:rPr>
          <w:rFonts w:hint="eastAsia" w:ascii="仿宋_GB2312" w:hAnsi="仿宋_GB2312" w:eastAsia="仿宋_GB2312" w:cs="仿宋_GB2312"/>
          <w:color w:val="000000"/>
          <w:kern w:val="0"/>
          <w:sz w:val="32"/>
          <w:szCs w:val="24"/>
          <w:lang w:val="zh-CN" w:eastAsia="zh-CN" w:bidi="ar"/>
        </w:rPr>
        <w:t>（一）评价结论。</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i w:val="0"/>
          <w:caps w:val="0"/>
          <w:color w:val="333333"/>
          <w:spacing w:val="0"/>
          <w:sz w:val="32"/>
          <w:szCs w:val="32"/>
          <w:shd w:val="clear" w:fill="FFFFFF"/>
          <w:lang w:eastAsia="zh-CN"/>
        </w:rPr>
      </w:pPr>
      <w:r>
        <w:rPr>
          <w:rFonts w:hint="eastAsia" w:ascii="仿宋_GB2312" w:hAnsi="仿宋_GB2312" w:eastAsia="仿宋_GB2312" w:cs="仿宋_GB2312"/>
          <w:i w:val="0"/>
          <w:caps w:val="0"/>
          <w:color w:val="333333"/>
          <w:spacing w:val="0"/>
          <w:sz w:val="32"/>
          <w:szCs w:val="32"/>
          <w:shd w:val="clear" w:fill="FFFFFF"/>
        </w:rPr>
        <w:t>本单位财务管理未发现明显问题，财政资金收支预算符合相关规定，能够严格控制“三公”经费支出</w:t>
      </w:r>
      <w:r>
        <w:rPr>
          <w:rFonts w:hint="eastAsia" w:ascii="仿宋_GB2312" w:hAnsi="仿宋_GB2312" w:eastAsia="仿宋_GB2312" w:cs="仿宋_GB2312"/>
          <w:i w:val="0"/>
          <w:caps w:val="0"/>
          <w:color w:val="333333"/>
          <w:spacing w:val="0"/>
          <w:sz w:val="32"/>
          <w:szCs w:val="32"/>
          <w:shd w:val="clear" w:fill="FFFFFF"/>
          <w:lang w:eastAsia="zh-CN"/>
        </w:rPr>
        <w:t>和一般性公共基础追出</w:t>
      </w:r>
      <w:r>
        <w:rPr>
          <w:rFonts w:hint="eastAsia" w:ascii="仿宋_GB2312" w:hAnsi="仿宋_GB2312" w:eastAsia="仿宋_GB2312" w:cs="仿宋_GB2312"/>
          <w:i w:val="0"/>
          <w:caps w:val="0"/>
          <w:color w:val="333333"/>
          <w:spacing w:val="0"/>
          <w:sz w:val="32"/>
          <w:szCs w:val="32"/>
          <w:shd w:val="clear" w:fill="FFFFFF"/>
        </w:rPr>
        <w:t>，内部控制制度健全完整，执行到位</w:t>
      </w:r>
      <w:r>
        <w:rPr>
          <w:rFonts w:hint="eastAsia" w:ascii="仿宋_GB2312" w:hAnsi="仿宋_GB2312" w:eastAsia="仿宋_GB2312" w:cs="仿宋_GB2312"/>
          <w:i w:val="0"/>
          <w:caps w:val="0"/>
          <w:color w:val="333333"/>
          <w:spacing w:val="0"/>
          <w:sz w:val="32"/>
          <w:szCs w:val="32"/>
          <w:shd w:val="clear" w:fill="FFFFFF"/>
          <w:lang w:eastAsia="zh-CN"/>
        </w:rPr>
        <w:t>。</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2"/>
          <w:szCs w:val="24"/>
          <w:lang w:val="zh-CN" w:eastAsia="zh-CN" w:bidi="ar"/>
        </w:rPr>
      </w:pPr>
    </w:p>
    <w:p>
      <w:pPr>
        <w:keepNext w:val="0"/>
        <w:keepLines w:val="0"/>
        <w:widowControl/>
        <w:numPr>
          <w:ilvl w:val="0"/>
          <w:numId w:val="0"/>
        </w:numPr>
        <w:suppressLineNumbers w:val="0"/>
        <w:adjustRightInd w:val="0"/>
        <w:snapToGrid w:val="0"/>
        <w:spacing w:before="0" w:beforeAutospacing="0" w:after="0" w:afterAutospacing="0" w:line="480" w:lineRule="exact"/>
        <w:ind w:leftChars="200" w:right="0" w:rightChars="0" w:firstLine="320" w:firstLineChars="100"/>
        <w:jc w:val="left"/>
        <w:rPr>
          <w:rFonts w:hint="eastAsia" w:ascii="仿宋_GB2312" w:hAnsi="仿宋_GB2312" w:eastAsia="仿宋_GB2312" w:cs="仿宋_GB2312"/>
          <w:color w:val="000000"/>
          <w:kern w:val="0"/>
          <w:sz w:val="32"/>
          <w:szCs w:val="24"/>
          <w:lang w:val="zh-CN" w:eastAsia="zh-CN" w:bidi="ar"/>
        </w:rPr>
      </w:pPr>
      <w:r>
        <w:rPr>
          <w:rFonts w:hint="eastAsia" w:ascii="仿宋_GB2312" w:hAnsi="仿宋_GB2312" w:eastAsia="仿宋_GB2312" w:cs="仿宋_GB2312"/>
          <w:color w:val="000000"/>
          <w:kern w:val="0"/>
          <w:sz w:val="32"/>
          <w:szCs w:val="24"/>
          <w:lang w:val="zh-CN" w:eastAsia="zh-CN" w:bidi="ar"/>
        </w:rPr>
        <w:t>（二）存在问题。</w:t>
      </w:r>
    </w:p>
    <w:p>
      <w:pPr>
        <w:keepNext w:val="0"/>
        <w:keepLines w:val="0"/>
        <w:widowControl/>
        <w:numPr>
          <w:ilvl w:val="0"/>
          <w:numId w:val="0"/>
        </w:numPr>
        <w:suppressLineNumbers w:val="0"/>
        <w:adjustRightInd w:val="0"/>
        <w:snapToGrid w:val="0"/>
        <w:spacing w:before="0" w:beforeAutospacing="0" w:after="0" w:afterAutospacing="0" w:line="480" w:lineRule="exact"/>
        <w:ind w:leftChars="200" w:right="0" w:rightChars="0"/>
        <w:jc w:val="left"/>
        <w:rPr>
          <w:rFonts w:hint="eastAsia" w:ascii="仿宋_GB2312" w:hAnsi="仿宋_GB2312" w:eastAsia="仿宋_GB2312" w:cs="仿宋_GB2312"/>
          <w:color w:val="000000"/>
          <w:kern w:val="0"/>
          <w:sz w:val="32"/>
          <w:szCs w:val="24"/>
          <w:lang w:val="en-US" w:eastAsia="zh-CN" w:bidi="ar"/>
        </w:rPr>
      </w:pPr>
      <w:r>
        <w:rPr>
          <w:rFonts w:hint="eastAsia" w:ascii="仿宋_GB2312" w:hAnsi="仿宋_GB2312" w:eastAsia="仿宋_GB2312" w:cs="仿宋_GB2312"/>
          <w:color w:val="000000"/>
          <w:kern w:val="0"/>
          <w:sz w:val="32"/>
          <w:szCs w:val="24"/>
          <w:lang w:val="en-US" w:eastAsia="zh-CN" w:bidi="ar"/>
        </w:rPr>
        <w:t xml:space="preserve">  本单位国有资产少，规范问题不够严谨。</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2"/>
          <w:szCs w:val="24"/>
          <w:lang w:val="zh-CN" w:eastAsia="zh-CN" w:bidi="ar"/>
        </w:rPr>
      </w:pPr>
      <w:r>
        <w:rPr>
          <w:rFonts w:hint="eastAsia" w:ascii="仿宋_GB2312" w:hAnsi="仿宋_GB2312" w:eastAsia="仿宋_GB2312" w:cs="仿宋_GB2312"/>
          <w:color w:val="000000"/>
          <w:kern w:val="0"/>
          <w:sz w:val="32"/>
          <w:szCs w:val="24"/>
          <w:lang w:val="zh-CN" w:eastAsia="zh-CN" w:bidi="ar"/>
        </w:rPr>
        <w:t>（三）改进建议。</w:t>
      </w:r>
    </w:p>
    <w:p>
      <w:pPr>
        <w:keepNext w:val="0"/>
        <w:keepLines w:val="0"/>
        <w:widowControl/>
        <w:numPr>
          <w:ilvl w:val="0"/>
          <w:numId w:val="0"/>
        </w:numPr>
        <w:suppressLineNumbers w:val="0"/>
        <w:adjustRightInd w:val="0"/>
        <w:snapToGrid w:val="0"/>
        <w:spacing w:before="0" w:beforeAutospacing="0" w:after="0" w:afterAutospacing="0" w:line="480" w:lineRule="exact"/>
        <w:ind w:right="0" w:rightChars="0" w:firstLine="640" w:firstLineChars="200"/>
        <w:jc w:val="left"/>
        <w:rPr>
          <w:rStyle w:val="22"/>
          <w:rFonts w:hint="eastAsia" w:ascii="仿宋_GB2312" w:hAnsi="仿宋_GB2312" w:eastAsia="仿宋_GB2312" w:cs="仿宋_GB2312"/>
          <w:b w:val="0"/>
          <w:bCs w:val="0"/>
          <w:sz w:val="32"/>
          <w:szCs w:val="32"/>
        </w:rPr>
      </w:pPr>
      <w:r>
        <w:rPr>
          <w:rFonts w:hint="eastAsia" w:ascii="仿宋_GB2312" w:hAnsi="仿宋_GB2312" w:eastAsia="仿宋_GB2312" w:cs="仿宋_GB2312"/>
          <w:i w:val="0"/>
          <w:caps w:val="0"/>
          <w:color w:val="333333"/>
          <w:spacing w:val="0"/>
          <w:sz w:val="32"/>
          <w:szCs w:val="32"/>
          <w:shd w:val="clear" w:fill="FFFFFF"/>
        </w:rPr>
        <w:t>细化预算编制工作，认真做好预算的编制。进一步加强内部机构的预算管理意识，严格按照预算编制的相关制度和要求，本着“勤俭节约、保障运转”的原则进行预算的编制；编制范围尽可能的全面、</w:t>
      </w:r>
      <w:r>
        <w:rPr>
          <w:rFonts w:hint="eastAsia" w:ascii="仿宋_GB2312" w:hAnsi="仿宋_GB2312" w:eastAsia="仿宋_GB2312" w:cs="仿宋_GB2312"/>
          <w:i w:val="0"/>
          <w:caps w:val="0"/>
          <w:color w:val="333333"/>
          <w:spacing w:val="0"/>
          <w:sz w:val="32"/>
          <w:szCs w:val="32"/>
          <w:shd w:val="clear" w:fill="FFFFFF"/>
          <w:lang w:eastAsia="zh-CN"/>
        </w:rPr>
        <w:t>完整、</w:t>
      </w:r>
      <w:r>
        <w:rPr>
          <w:rFonts w:hint="eastAsia" w:ascii="仿宋_GB2312" w:hAnsi="仿宋_GB2312" w:eastAsia="仿宋_GB2312" w:cs="仿宋_GB2312"/>
          <w:i w:val="0"/>
          <w:caps w:val="0"/>
          <w:color w:val="333333"/>
          <w:spacing w:val="0"/>
          <w:sz w:val="32"/>
          <w:szCs w:val="32"/>
          <w:shd w:val="clear" w:fill="FFFFFF"/>
        </w:rPr>
        <w:t>不漏项，进一步提高预算编制的科学性、合理性、严谨性和可控性。</w:t>
      </w:r>
      <w:r>
        <w:rPr>
          <w:rFonts w:hint="eastAsia" w:ascii="仿宋_GB2312" w:hAnsi="仿宋_GB2312" w:eastAsia="仿宋_GB2312" w:cs="仿宋_GB2312"/>
          <w:i w:val="0"/>
          <w:caps w:val="0"/>
          <w:color w:val="333333"/>
          <w:spacing w:val="0"/>
          <w:sz w:val="32"/>
          <w:szCs w:val="32"/>
          <w:shd w:val="clear" w:fill="FFFFFF"/>
          <w:lang w:eastAsia="zh-CN"/>
        </w:rPr>
        <w:t>做到账本与事实相符等。</w:t>
      </w:r>
    </w:p>
    <w:p>
      <w:pPr>
        <w:pStyle w:val="3"/>
        <w:outlineLvl w:val="9"/>
        <w:rPr>
          <w:rStyle w:val="22"/>
          <w:rFonts w:hint="eastAsia" w:ascii="仿宋" w:hAnsi="仿宋" w:eastAsia="仿宋"/>
          <w:b w:val="0"/>
          <w:bCs w:val="0"/>
          <w:sz w:val="32"/>
          <w:szCs w:val="32"/>
        </w:rPr>
      </w:pPr>
    </w:p>
    <w:p>
      <w:pPr>
        <w:pStyle w:val="3"/>
        <w:outlineLvl w:val="9"/>
        <w:rPr>
          <w:rStyle w:val="22"/>
          <w:rFonts w:hint="eastAsia" w:ascii="仿宋" w:hAnsi="仿宋" w:eastAsia="仿宋"/>
          <w:b w:val="0"/>
          <w:bCs w:val="0"/>
          <w:sz w:val="32"/>
          <w:szCs w:val="32"/>
        </w:rPr>
      </w:pPr>
    </w:p>
    <w:p>
      <w:pPr>
        <w:rPr>
          <w:rStyle w:val="22"/>
          <w:rFonts w:hint="eastAsia" w:ascii="仿宋" w:hAnsi="仿宋" w:eastAsia="仿宋"/>
          <w:b w:val="0"/>
          <w:bCs w:val="0"/>
          <w:sz w:val="32"/>
          <w:szCs w:val="32"/>
        </w:rPr>
      </w:pPr>
    </w:p>
    <w:p>
      <w:pPr>
        <w:rPr>
          <w:rStyle w:val="22"/>
          <w:rFonts w:hint="eastAsia" w:ascii="仿宋" w:hAnsi="仿宋" w:eastAsia="仿宋"/>
          <w:b w:val="0"/>
          <w:bCs w:val="0"/>
          <w:sz w:val="32"/>
          <w:szCs w:val="32"/>
        </w:rPr>
      </w:pPr>
    </w:p>
    <w:p>
      <w:pPr>
        <w:rPr>
          <w:rStyle w:val="22"/>
          <w:rFonts w:hint="eastAsia" w:ascii="仿宋" w:hAnsi="仿宋" w:eastAsia="仿宋"/>
          <w:b w:val="0"/>
          <w:bCs w:val="0"/>
          <w:sz w:val="32"/>
          <w:szCs w:val="32"/>
        </w:rPr>
      </w:pPr>
    </w:p>
    <w:p>
      <w:pPr>
        <w:spacing w:line="580" w:lineRule="exact"/>
        <w:rPr>
          <w:rFonts w:ascii="仿宋_GB2312" w:hAnsi="仿宋_GB2312" w:eastAsia="仿宋_GB2312" w:cs="仿宋_GB2312"/>
          <w:sz w:val="32"/>
          <w:szCs w:val="32"/>
        </w:rPr>
      </w:pPr>
    </w:p>
    <w:p>
      <w:pPr>
        <w:spacing w:line="580" w:lineRule="exact"/>
        <w:outlineLvl w:val="1"/>
        <w:rPr>
          <w:rFonts w:ascii="仿宋_GB2312" w:hAnsi="仿宋_GB2312" w:eastAsia="仿宋_GB2312" w:cs="仿宋_GB2312"/>
          <w:sz w:val="32"/>
          <w:szCs w:val="32"/>
        </w:rPr>
      </w:pPr>
      <w:bookmarkStart w:id="129" w:name="_Toc29661"/>
      <w:r>
        <w:rPr>
          <w:rFonts w:hint="eastAsia" w:ascii="黑体" w:hAnsi="黑体" w:eastAsia="黑体" w:cs="黑体"/>
          <w:sz w:val="32"/>
          <w:szCs w:val="32"/>
        </w:rPr>
        <w:t>附件2</w:t>
      </w:r>
      <w:bookmarkEnd w:id="129"/>
    </w:p>
    <w:p>
      <w:pPr>
        <w:spacing w:line="600" w:lineRule="exact"/>
        <w:jc w:val="center"/>
        <w:outlineLvl w:val="1"/>
        <w:rPr>
          <w:rFonts w:hint="eastAsia" w:ascii="方正小标宋简体" w:hAnsi="宋体" w:eastAsia="方正小标宋简体"/>
          <w:color w:val="000000"/>
          <w:kern w:val="0"/>
          <w:sz w:val="44"/>
          <w:szCs w:val="44"/>
          <w:lang w:val="zh-CN"/>
        </w:rPr>
      </w:pPr>
      <w:bookmarkStart w:id="130" w:name="_Toc7452"/>
      <w:r>
        <w:rPr>
          <w:rFonts w:hint="eastAsia" w:ascii="方正小标宋简体" w:hAnsi="宋体" w:eastAsia="方正小标宋简体"/>
          <w:color w:val="000000"/>
          <w:kern w:val="0"/>
          <w:sz w:val="44"/>
          <w:szCs w:val="44"/>
          <w:lang w:val="en-US" w:eastAsia="zh-CN"/>
        </w:rPr>
        <w:t>2020年关心下一代工作委员会经费</w:t>
      </w:r>
      <w:r>
        <w:rPr>
          <w:rFonts w:hint="eastAsia" w:ascii="方正小标宋简体" w:hAnsi="宋体" w:eastAsia="方正小标宋简体"/>
          <w:color w:val="000000"/>
          <w:kern w:val="0"/>
          <w:sz w:val="44"/>
          <w:szCs w:val="44"/>
          <w:lang w:val="zh-CN"/>
        </w:rPr>
        <w:t>项目</w:t>
      </w:r>
      <w:bookmarkEnd w:id="130"/>
    </w:p>
    <w:p>
      <w:pPr>
        <w:spacing w:line="600" w:lineRule="exact"/>
        <w:jc w:val="center"/>
        <w:outlineLvl w:val="1"/>
        <w:rPr>
          <w:rFonts w:ascii="方正小标宋简体" w:hAnsi="宋体" w:eastAsia="方正小标宋简体"/>
          <w:color w:val="000000"/>
          <w:kern w:val="0"/>
          <w:sz w:val="44"/>
          <w:szCs w:val="44"/>
          <w:lang w:val="zh-CN"/>
        </w:rPr>
      </w:pPr>
      <w:bookmarkStart w:id="131" w:name="_Toc22908"/>
      <w:r>
        <w:rPr>
          <w:rFonts w:hint="eastAsia" w:ascii="方正小标宋简体" w:hAnsi="宋体" w:eastAsia="方正小标宋简体"/>
          <w:color w:val="000000"/>
          <w:kern w:val="0"/>
          <w:sz w:val="44"/>
          <w:szCs w:val="44"/>
          <w:lang w:val="zh-CN"/>
        </w:rPr>
        <w:t>绩效评价报告</w:t>
      </w:r>
      <w:bookmarkEnd w:id="131"/>
    </w:p>
    <w:p>
      <w:pPr>
        <w:adjustRightInd w:val="0"/>
        <w:snapToGrid w:val="0"/>
        <w:spacing w:line="600" w:lineRule="exact"/>
        <w:ind w:firstLine="720"/>
        <w:rPr>
          <w:rFonts w:hint="eastAsia" w:ascii="楷体_GB2312" w:hAnsi="宋体" w:eastAsia="楷体_GB2312"/>
          <w:b/>
          <w:sz w:val="32"/>
          <w:szCs w:val="32"/>
          <w:lang w:val="zh-CN"/>
        </w:rPr>
      </w:pPr>
    </w:p>
    <w:p>
      <w:pPr>
        <w:adjustRightInd w:val="0"/>
        <w:snapToGrid w:val="0"/>
        <w:spacing w:line="600" w:lineRule="exact"/>
        <w:ind w:firstLine="720"/>
        <w:outlineLvl w:val="2"/>
        <w:rPr>
          <w:rFonts w:hint="eastAsia" w:ascii="楷体_GB2312" w:hAnsi="宋体" w:eastAsia="楷体_GB2312"/>
          <w:b/>
          <w:sz w:val="32"/>
          <w:szCs w:val="32"/>
          <w:lang w:val="zh-CN"/>
        </w:rPr>
      </w:pPr>
      <w:bookmarkStart w:id="132" w:name="_Toc30384"/>
      <w:r>
        <w:rPr>
          <w:rFonts w:hint="eastAsia" w:ascii="楷体_GB2312" w:hAnsi="宋体" w:eastAsia="楷体_GB2312"/>
          <w:b/>
          <w:sz w:val="32"/>
          <w:szCs w:val="32"/>
          <w:lang w:val="zh-CN"/>
        </w:rPr>
        <w:t>（一）项目基本情况。</w:t>
      </w:r>
      <w:bookmarkEnd w:id="132"/>
    </w:p>
    <w:p>
      <w:pPr>
        <w:adjustRightInd w:val="0"/>
        <w:snapToGrid w:val="0"/>
        <w:spacing w:line="600" w:lineRule="exact"/>
        <w:ind w:firstLine="720"/>
        <w:rPr>
          <w:rFonts w:hint="default" w:ascii="仿宋_GB2312" w:hAnsi="宋体" w:eastAsia="仿宋_GB2312"/>
          <w:sz w:val="32"/>
          <w:szCs w:val="32"/>
          <w:lang w:val="en-US" w:eastAsia="zh-CN"/>
        </w:rPr>
      </w:pPr>
      <w:r>
        <w:rPr>
          <w:rFonts w:hint="eastAsia" w:ascii="仿宋_GB2312" w:hAnsi="宋体" w:eastAsia="仿宋_GB2312"/>
          <w:sz w:val="32"/>
          <w:szCs w:val="32"/>
          <w:lang w:val="en-US" w:eastAsia="zh-CN"/>
        </w:rPr>
        <w:t>根据阿坝藏族羌族自治州财政局 红原县财政局下发关心下一代工作委员会经费，该项目资金共计1000000.00元，来源于县财政局</w:t>
      </w:r>
    </w:p>
    <w:p>
      <w:pPr>
        <w:adjustRightInd w:val="0"/>
        <w:snapToGrid w:val="0"/>
        <w:spacing w:line="600" w:lineRule="exact"/>
        <w:ind w:firstLine="720"/>
        <w:outlineLvl w:val="2"/>
        <w:rPr>
          <w:rFonts w:hint="default" w:ascii="楷体_GB2312" w:hAnsi="宋体" w:eastAsia="楷体_GB2312"/>
          <w:b/>
          <w:sz w:val="32"/>
          <w:szCs w:val="32"/>
          <w:lang w:val="en-US" w:eastAsia="zh-CN"/>
        </w:rPr>
      </w:pPr>
      <w:bookmarkStart w:id="133" w:name="_Toc30730"/>
      <w:r>
        <w:rPr>
          <w:rFonts w:hint="eastAsia" w:ascii="楷体_GB2312" w:hAnsi="宋体" w:eastAsia="楷体_GB2312"/>
          <w:b/>
          <w:sz w:val="32"/>
          <w:szCs w:val="32"/>
          <w:lang w:val="en-US" w:eastAsia="zh-CN"/>
        </w:rPr>
        <w:t>(二)项目资金使用方向及范围</w:t>
      </w:r>
      <w:bookmarkEnd w:id="133"/>
    </w:p>
    <w:p>
      <w:pPr>
        <w:adjustRightInd w:val="0"/>
        <w:snapToGrid w:val="0"/>
        <w:spacing w:line="600" w:lineRule="exact"/>
        <w:ind w:firstLine="72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根据《四川省青少年专项资金管理办法》文件规定关心下一代工作委员会经费主要包括对全县贫困青少年的慰问、为全县学生资助物资以及青少年兴趣班开班的所有费用。</w:t>
      </w:r>
    </w:p>
    <w:p>
      <w:pPr>
        <w:adjustRightInd w:val="0"/>
        <w:snapToGrid w:val="0"/>
        <w:spacing w:line="600" w:lineRule="exact"/>
        <w:ind w:firstLine="720"/>
        <w:outlineLvl w:val="2"/>
        <w:rPr>
          <w:rFonts w:hint="default" w:ascii="楷体_GB2312" w:hAnsi="宋体" w:eastAsia="楷体_GB2312"/>
          <w:b/>
          <w:sz w:val="32"/>
          <w:szCs w:val="32"/>
          <w:lang w:val="en-US" w:eastAsia="zh-CN"/>
        </w:rPr>
      </w:pPr>
      <w:bookmarkStart w:id="134" w:name="_Toc14667"/>
      <w:r>
        <w:rPr>
          <w:rFonts w:hint="eastAsia" w:ascii="楷体_GB2312" w:hAnsi="宋体" w:eastAsia="楷体_GB2312"/>
          <w:b/>
          <w:sz w:val="32"/>
          <w:szCs w:val="32"/>
          <w:lang w:val="en-US" w:eastAsia="zh-CN"/>
        </w:rPr>
        <w:t>（三）项目资金实际拨款进度以及资金使用方向</w:t>
      </w:r>
      <w:bookmarkEnd w:id="134"/>
    </w:p>
    <w:p>
      <w:pPr>
        <w:adjustRightInd w:val="0"/>
        <w:snapToGrid w:val="0"/>
        <w:spacing w:line="600" w:lineRule="exact"/>
        <w:ind w:firstLine="720"/>
        <w:rPr>
          <w:rFonts w:hint="default" w:ascii="仿宋_GB2312" w:hAnsi="宋体" w:eastAsia="仿宋_GB2312"/>
          <w:sz w:val="32"/>
          <w:szCs w:val="32"/>
          <w:lang w:val="en-US" w:eastAsia="zh-CN"/>
        </w:rPr>
      </w:pPr>
      <w:r>
        <w:rPr>
          <w:rFonts w:hint="eastAsia" w:ascii="仿宋_GB2312" w:hAnsi="宋体" w:eastAsia="仿宋_GB2312"/>
          <w:sz w:val="32"/>
          <w:szCs w:val="32"/>
          <w:lang w:val="en-US" w:eastAsia="zh-CN"/>
        </w:rPr>
        <w:t>2020年我委按照主要部门审核，主管领导审批的原则分于2020年12月19日之前划拨资金100000元，主要用青少年的慰问以及青少年兴趣班开班的所有费用。截至2020年12月31日,资金到位率100%,资金使用率100%。资金使用完全符合中央下发的《四川省青少年专项资金管理办法》。</w:t>
      </w:r>
    </w:p>
    <w:p>
      <w:pPr>
        <w:adjustRightInd w:val="0"/>
        <w:snapToGrid w:val="0"/>
        <w:spacing w:line="600" w:lineRule="exact"/>
        <w:ind w:firstLine="720"/>
        <w:outlineLvl w:val="2"/>
        <w:rPr>
          <w:rFonts w:ascii="楷体_GB2312" w:hAnsi="宋体" w:eastAsia="楷体_GB2312"/>
          <w:b/>
          <w:sz w:val="32"/>
          <w:szCs w:val="32"/>
          <w:lang w:val="zh-CN"/>
        </w:rPr>
      </w:pPr>
      <w:bookmarkStart w:id="135" w:name="_Toc29968"/>
      <w:r>
        <w:rPr>
          <w:rFonts w:hint="eastAsia" w:ascii="楷体_GB2312" w:hAnsi="宋体" w:eastAsia="楷体_GB2312"/>
          <w:b/>
          <w:sz w:val="32"/>
          <w:szCs w:val="32"/>
          <w:lang w:val="zh-CN"/>
        </w:rPr>
        <w:t>（</w:t>
      </w:r>
      <w:r>
        <w:rPr>
          <w:rFonts w:hint="eastAsia" w:ascii="楷体_GB2312" w:hAnsi="宋体" w:eastAsia="楷体_GB2312"/>
          <w:b/>
          <w:sz w:val="32"/>
          <w:szCs w:val="32"/>
          <w:lang w:val="en-US" w:eastAsia="zh-CN"/>
        </w:rPr>
        <w:t>四</w:t>
      </w:r>
      <w:r>
        <w:rPr>
          <w:rFonts w:hint="eastAsia" w:ascii="楷体_GB2312" w:hAnsi="宋体" w:eastAsia="楷体_GB2312"/>
          <w:b/>
          <w:sz w:val="32"/>
          <w:szCs w:val="32"/>
          <w:lang w:val="zh-CN"/>
        </w:rPr>
        <w:t>）项目绩效目标。</w:t>
      </w:r>
      <w:bookmarkEnd w:id="135"/>
    </w:p>
    <w:p>
      <w:pPr>
        <w:adjustRightInd w:val="0"/>
        <w:snapToGrid w:val="0"/>
        <w:spacing w:line="600" w:lineRule="exact"/>
        <w:ind w:firstLine="720"/>
        <w:rPr>
          <w:rFonts w:hint="default" w:ascii="仿宋_GB2312" w:hAnsi="宋体" w:eastAsia="仿宋_GB2312"/>
          <w:sz w:val="32"/>
          <w:szCs w:val="32"/>
          <w:lang w:val="en-US" w:eastAsia="zh-CN"/>
        </w:rPr>
      </w:pPr>
      <w:r>
        <w:rPr>
          <w:rFonts w:hint="eastAsia" w:ascii="仿宋_GB2312" w:hAnsi="宋体" w:eastAsia="仿宋_GB2312"/>
          <w:sz w:val="32"/>
          <w:szCs w:val="32"/>
          <w:lang w:val="en-US" w:eastAsia="zh-CN"/>
        </w:rPr>
        <w:t>项目绩效主要目标在于保障青少年的活动开展。</w:t>
      </w:r>
    </w:p>
    <w:p>
      <w:pPr>
        <w:adjustRightInd w:val="0"/>
        <w:snapToGrid w:val="0"/>
        <w:spacing w:line="600" w:lineRule="exact"/>
        <w:ind w:firstLine="720"/>
        <w:outlineLvl w:val="2"/>
        <w:rPr>
          <w:rFonts w:ascii="楷体_GB2312" w:hAnsi="宋体" w:eastAsia="楷体_GB2312"/>
          <w:b/>
          <w:sz w:val="32"/>
          <w:szCs w:val="32"/>
          <w:lang w:val="zh-CN"/>
        </w:rPr>
      </w:pPr>
      <w:bookmarkStart w:id="136" w:name="_Toc5334"/>
      <w:r>
        <w:rPr>
          <w:rFonts w:hint="eastAsia" w:ascii="楷体_GB2312" w:hAnsi="宋体" w:eastAsia="楷体_GB2312"/>
          <w:b/>
          <w:sz w:val="32"/>
          <w:szCs w:val="32"/>
          <w:lang w:val="zh-CN"/>
        </w:rPr>
        <w:t>（</w:t>
      </w:r>
      <w:r>
        <w:rPr>
          <w:rFonts w:hint="eastAsia" w:ascii="楷体_GB2312" w:hAnsi="宋体" w:eastAsia="楷体_GB2312"/>
          <w:b/>
          <w:sz w:val="32"/>
          <w:szCs w:val="32"/>
          <w:lang w:val="en-US" w:eastAsia="zh-CN"/>
        </w:rPr>
        <w:t>五</w:t>
      </w:r>
      <w:r>
        <w:rPr>
          <w:rFonts w:hint="eastAsia" w:ascii="楷体_GB2312" w:hAnsi="宋体" w:eastAsia="楷体_GB2312"/>
          <w:b/>
          <w:sz w:val="32"/>
          <w:szCs w:val="32"/>
          <w:lang w:val="zh-CN"/>
        </w:rPr>
        <w:t>）项目自评步骤及方法。</w:t>
      </w:r>
      <w:bookmarkEnd w:id="136"/>
    </w:p>
    <w:p>
      <w:pPr>
        <w:adjustRightInd w:val="0"/>
        <w:snapToGrid w:val="0"/>
        <w:spacing w:line="600" w:lineRule="exact"/>
        <w:ind w:firstLine="72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该项目采用自评为主的方式，成立项目自评小组，结合评价内容，做到做到有计划，有安排，扎实开展本次自评工作。自评小组针对申报内容、实施情况、资金拨款进度、财务管理等做出自我评价。</w:t>
      </w:r>
    </w:p>
    <w:p>
      <w:pPr>
        <w:adjustRightInd w:val="0"/>
        <w:snapToGrid w:val="0"/>
        <w:spacing w:line="600" w:lineRule="exact"/>
        <w:ind w:firstLine="720"/>
        <w:outlineLvl w:val="2"/>
        <w:rPr>
          <w:rFonts w:ascii="楷体_GB2312" w:hAnsi="宋体" w:eastAsia="楷体_GB2312"/>
          <w:b/>
          <w:sz w:val="32"/>
          <w:szCs w:val="32"/>
          <w:lang w:val="zh-CN"/>
        </w:rPr>
      </w:pPr>
      <w:bookmarkStart w:id="137" w:name="_Toc1843"/>
      <w:r>
        <w:rPr>
          <w:rFonts w:hint="eastAsia" w:ascii="楷体_GB2312" w:hAnsi="宋体" w:eastAsia="楷体_GB2312"/>
          <w:b/>
          <w:sz w:val="32"/>
          <w:szCs w:val="32"/>
          <w:lang w:val="zh-CN"/>
        </w:rPr>
        <w:t>（</w:t>
      </w:r>
      <w:r>
        <w:rPr>
          <w:rFonts w:hint="eastAsia" w:ascii="楷体_GB2312" w:hAnsi="宋体" w:eastAsia="楷体_GB2312"/>
          <w:b/>
          <w:sz w:val="32"/>
          <w:szCs w:val="32"/>
          <w:lang w:val="en-US" w:eastAsia="zh-CN"/>
        </w:rPr>
        <w:t>六</w:t>
      </w:r>
      <w:r>
        <w:rPr>
          <w:rFonts w:hint="eastAsia" w:ascii="楷体_GB2312" w:hAnsi="宋体" w:eastAsia="楷体_GB2312"/>
          <w:b/>
          <w:sz w:val="32"/>
          <w:szCs w:val="32"/>
          <w:lang w:val="zh-CN"/>
        </w:rPr>
        <w:t>）项目财务管理情况。</w:t>
      </w:r>
      <w:bookmarkEnd w:id="137"/>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en-US" w:eastAsia="zh-CN"/>
        </w:rPr>
        <w:t>我委建立有完善的财务管理制度，并严格按照财务管理制度报销每一笔项目资金支出。并根据政府会计制度对专项资金进行核算，并对专项相关资料进行归档储存</w:t>
      </w:r>
      <w:r>
        <w:rPr>
          <w:rFonts w:hint="eastAsia" w:ascii="仿宋_GB2312" w:hAnsi="宋体" w:eastAsia="仿宋_GB2312"/>
          <w:sz w:val="32"/>
          <w:szCs w:val="32"/>
          <w:lang w:val="zh-CN"/>
        </w:rPr>
        <w:t>。</w:t>
      </w:r>
    </w:p>
    <w:p>
      <w:pPr>
        <w:numPr>
          <w:ilvl w:val="0"/>
          <w:numId w:val="6"/>
        </w:numPr>
        <w:adjustRightInd w:val="0"/>
        <w:snapToGrid w:val="0"/>
        <w:spacing w:line="600" w:lineRule="exact"/>
        <w:ind w:firstLine="720"/>
        <w:outlineLvl w:val="2"/>
        <w:rPr>
          <w:rFonts w:hint="eastAsia" w:ascii="楷体_GB2312" w:hAnsi="宋体" w:eastAsia="楷体_GB2312"/>
          <w:b/>
          <w:sz w:val="32"/>
          <w:szCs w:val="32"/>
          <w:lang w:val="en-US" w:eastAsia="zh-CN"/>
        </w:rPr>
      </w:pPr>
      <w:bookmarkStart w:id="138" w:name="_Toc6721"/>
      <w:r>
        <w:rPr>
          <w:rFonts w:hint="eastAsia" w:ascii="楷体_GB2312" w:hAnsi="宋体" w:eastAsia="楷体_GB2312"/>
          <w:b/>
          <w:sz w:val="32"/>
          <w:szCs w:val="32"/>
          <w:lang w:val="en-US" w:eastAsia="zh-CN"/>
        </w:rPr>
        <w:t>项目实施成果</w:t>
      </w:r>
      <w:bookmarkEnd w:id="138"/>
    </w:p>
    <w:p>
      <w:pPr>
        <w:adjustRightInd w:val="0"/>
        <w:snapToGrid w:val="0"/>
        <w:spacing w:line="600" w:lineRule="exact"/>
        <w:ind w:firstLine="720"/>
        <w:rPr>
          <w:rFonts w:hint="default" w:ascii="仿宋_GB2312" w:hAnsi="宋体" w:eastAsia="仿宋_GB2312"/>
          <w:sz w:val="32"/>
          <w:szCs w:val="32"/>
          <w:lang w:val="en-US" w:eastAsia="zh-CN"/>
        </w:rPr>
      </w:pPr>
      <w:r>
        <w:rPr>
          <w:rFonts w:hint="eastAsia" w:ascii="仿宋_GB2312" w:hAnsi="宋体" w:eastAsia="仿宋_GB2312"/>
          <w:sz w:val="32"/>
          <w:szCs w:val="32"/>
          <w:lang w:val="en-US" w:eastAsia="zh-CN"/>
        </w:rPr>
        <w:t>1.2020年，我委共计慰问10与次，为全县几百名学生送去慰问物资(列：书包、衣服、学习用具等)</w:t>
      </w:r>
    </w:p>
    <w:p>
      <w:pPr>
        <w:adjustRightInd w:val="0"/>
        <w:snapToGrid w:val="0"/>
        <w:spacing w:line="600" w:lineRule="exact"/>
        <w:ind w:firstLine="720"/>
        <w:rPr>
          <w:rFonts w:ascii="仿宋_GB2312" w:hAnsi="仿宋_GB2312" w:eastAsia="仿宋_GB2312" w:cs="仿宋_GB2312"/>
          <w:sz w:val="32"/>
          <w:szCs w:val="32"/>
        </w:rPr>
      </w:pPr>
      <w:r>
        <w:rPr>
          <w:rFonts w:hint="eastAsia" w:ascii="仿宋_GB2312" w:hAnsi="宋体" w:eastAsia="仿宋_GB2312"/>
          <w:sz w:val="32"/>
          <w:szCs w:val="32"/>
          <w:lang w:val="en-US" w:eastAsia="zh-CN"/>
        </w:rPr>
        <w:t>2.2020年，我委共开设三个青少年兴趣班（绘画、舞蹈、电子琴）收纳学生100余名</w:t>
      </w:r>
    </w:p>
    <w:p>
      <w:pPr>
        <w:widowControl/>
        <w:jc w:val="left"/>
        <w:rPr>
          <w:rStyle w:val="17"/>
          <w:rFonts w:ascii="黑体" w:hAnsi="黑体" w:eastAsia="黑体"/>
          <w:b w:val="0"/>
        </w:rPr>
      </w:pPr>
    </w:p>
    <w:p>
      <w:pPr>
        <w:widowControl/>
        <w:jc w:val="left"/>
        <w:rPr>
          <w:rStyle w:val="17"/>
          <w:rFonts w:ascii="黑体" w:hAnsi="黑体" w:eastAsia="黑体"/>
          <w:b w:val="0"/>
        </w:rPr>
      </w:pPr>
      <w:r>
        <w:rPr>
          <w:rStyle w:val="17"/>
          <w:rFonts w:ascii="黑体" w:hAnsi="黑体" w:eastAsia="黑体"/>
          <w:b w:val="0"/>
        </w:rPr>
        <w:br w:type="page"/>
      </w:r>
    </w:p>
    <w:p>
      <w:pPr>
        <w:spacing w:line="600" w:lineRule="exact"/>
        <w:jc w:val="center"/>
        <w:outlineLvl w:val="9"/>
        <w:rPr>
          <w:rStyle w:val="17"/>
          <w:rFonts w:ascii="黑体" w:hAnsi="黑体" w:eastAsia="黑体"/>
          <w:b w:val="0"/>
        </w:rPr>
      </w:pPr>
    </w:p>
    <w:p>
      <w:pPr>
        <w:spacing w:line="600" w:lineRule="exact"/>
        <w:jc w:val="center"/>
        <w:outlineLvl w:val="0"/>
        <w:rPr>
          <w:rStyle w:val="17"/>
          <w:rFonts w:ascii="黑体" w:hAnsi="黑体" w:eastAsia="黑体"/>
          <w:b w:val="0"/>
        </w:rPr>
      </w:pPr>
      <w:bookmarkStart w:id="139" w:name="_Toc8434"/>
      <w:bookmarkStart w:id="140" w:name="_Toc15396618"/>
      <w:bookmarkStart w:id="141" w:name="_Toc17685"/>
      <w:r>
        <w:rPr>
          <w:rFonts w:hint="eastAsia" w:ascii="黑体" w:hAnsi="黑体" w:eastAsia="黑体"/>
          <w:color w:val="000000"/>
          <w:sz w:val="44"/>
          <w:szCs w:val="44"/>
        </w:rPr>
        <w:t>第</w:t>
      </w:r>
      <w:r>
        <w:rPr>
          <w:rStyle w:val="17"/>
          <w:rFonts w:hint="eastAsia" w:ascii="黑体" w:hAnsi="黑体" w:eastAsia="黑体"/>
          <w:b w:val="0"/>
        </w:rPr>
        <w:t>五部分 附表</w:t>
      </w:r>
      <w:bookmarkEnd w:id="126"/>
      <w:bookmarkEnd w:id="139"/>
      <w:bookmarkEnd w:id="140"/>
      <w:bookmarkEnd w:id="141"/>
    </w:p>
    <w:p>
      <w:pPr>
        <w:spacing w:line="600" w:lineRule="exact"/>
        <w:jc w:val="center"/>
        <w:outlineLvl w:val="9"/>
        <w:rPr>
          <w:rFonts w:ascii="仿宋" w:hAnsi="仿宋" w:eastAsia="仿宋"/>
          <w:b/>
          <w:color w:val="000000"/>
          <w:sz w:val="44"/>
          <w:szCs w:val="44"/>
        </w:rPr>
      </w:pPr>
    </w:p>
    <w:p>
      <w:pPr>
        <w:pStyle w:val="3"/>
        <w:rPr>
          <w:rFonts w:ascii="仿宋" w:hAnsi="仿宋" w:eastAsia="仿宋"/>
          <w:color w:val="000000"/>
        </w:rPr>
      </w:pPr>
      <w:bookmarkStart w:id="142" w:name="_Toc15396619"/>
      <w:bookmarkStart w:id="143" w:name="_Toc31087"/>
      <w:bookmarkStart w:id="144" w:name="_Toc29006"/>
      <w:r>
        <w:rPr>
          <w:rFonts w:hint="eastAsia" w:ascii="仿宋" w:hAnsi="仿宋" w:eastAsia="仿宋"/>
          <w:b w:val="0"/>
          <w:color w:val="000000"/>
        </w:rPr>
        <w:t>一、收</w:t>
      </w:r>
      <w:r>
        <w:rPr>
          <w:rStyle w:val="18"/>
          <w:rFonts w:hint="eastAsia" w:ascii="仿宋" w:hAnsi="仿宋" w:eastAsia="仿宋"/>
          <w:b w:val="0"/>
          <w:bCs w:val="0"/>
        </w:rPr>
        <w:t>入支出决算总表</w:t>
      </w:r>
      <w:bookmarkEnd w:id="142"/>
      <w:bookmarkEnd w:id="143"/>
      <w:bookmarkEnd w:id="144"/>
    </w:p>
    <w:p>
      <w:pPr>
        <w:pStyle w:val="3"/>
        <w:rPr>
          <w:rFonts w:ascii="仿宋" w:hAnsi="仿宋" w:eastAsia="仿宋"/>
          <w:color w:val="000000"/>
        </w:rPr>
      </w:pPr>
      <w:bookmarkStart w:id="145" w:name="_Toc15396620"/>
      <w:bookmarkStart w:id="146" w:name="_Toc13006"/>
      <w:bookmarkStart w:id="147" w:name="_Toc7284"/>
      <w:r>
        <w:rPr>
          <w:rFonts w:hint="eastAsia" w:ascii="仿宋" w:hAnsi="仿宋" w:eastAsia="仿宋"/>
          <w:b w:val="0"/>
          <w:color w:val="000000"/>
        </w:rPr>
        <w:t>二、收</w:t>
      </w:r>
      <w:r>
        <w:rPr>
          <w:rStyle w:val="18"/>
          <w:rFonts w:hint="eastAsia" w:ascii="仿宋" w:hAnsi="仿宋" w:eastAsia="仿宋"/>
          <w:b w:val="0"/>
          <w:bCs w:val="0"/>
        </w:rPr>
        <w:t>入决算表</w:t>
      </w:r>
      <w:bookmarkEnd w:id="145"/>
      <w:bookmarkEnd w:id="146"/>
      <w:bookmarkEnd w:id="147"/>
    </w:p>
    <w:p>
      <w:pPr>
        <w:pStyle w:val="3"/>
        <w:rPr>
          <w:rFonts w:ascii="仿宋" w:hAnsi="仿宋" w:eastAsia="仿宋"/>
          <w:color w:val="000000"/>
        </w:rPr>
      </w:pPr>
      <w:bookmarkStart w:id="148" w:name="_Toc15396621"/>
      <w:bookmarkStart w:id="149" w:name="_Toc21727"/>
      <w:bookmarkStart w:id="150" w:name="_Toc10685"/>
      <w:r>
        <w:rPr>
          <w:rStyle w:val="18"/>
          <w:rFonts w:hint="eastAsia" w:ascii="仿宋" w:hAnsi="仿宋" w:eastAsia="仿宋"/>
          <w:b w:val="0"/>
          <w:bCs w:val="0"/>
        </w:rPr>
        <w:t>三、</w:t>
      </w:r>
      <w:r>
        <w:rPr>
          <w:rFonts w:hint="eastAsia" w:ascii="仿宋" w:hAnsi="仿宋" w:eastAsia="仿宋"/>
          <w:b w:val="0"/>
          <w:color w:val="000000"/>
        </w:rPr>
        <w:t>支</w:t>
      </w:r>
      <w:r>
        <w:rPr>
          <w:rStyle w:val="18"/>
          <w:rFonts w:hint="eastAsia" w:ascii="仿宋" w:hAnsi="仿宋" w:eastAsia="仿宋"/>
          <w:b w:val="0"/>
          <w:bCs w:val="0"/>
        </w:rPr>
        <w:t>出决算表</w:t>
      </w:r>
      <w:bookmarkEnd w:id="148"/>
      <w:bookmarkEnd w:id="149"/>
      <w:bookmarkEnd w:id="150"/>
    </w:p>
    <w:p>
      <w:pPr>
        <w:pStyle w:val="3"/>
        <w:rPr>
          <w:rFonts w:ascii="仿宋" w:hAnsi="仿宋" w:eastAsia="仿宋"/>
          <w:b w:val="0"/>
          <w:color w:val="000000"/>
        </w:rPr>
      </w:pPr>
      <w:bookmarkStart w:id="151" w:name="_Toc15396622"/>
      <w:bookmarkStart w:id="152" w:name="_Toc16"/>
      <w:bookmarkStart w:id="153" w:name="_Toc15138"/>
      <w:r>
        <w:rPr>
          <w:rStyle w:val="18"/>
          <w:rFonts w:hint="eastAsia" w:ascii="仿宋" w:hAnsi="仿宋" w:eastAsia="仿宋"/>
          <w:b w:val="0"/>
          <w:bCs w:val="0"/>
        </w:rPr>
        <w:t>四、</w:t>
      </w:r>
      <w:r>
        <w:rPr>
          <w:rFonts w:hint="eastAsia" w:ascii="仿宋" w:hAnsi="仿宋" w:eastAsia="仿宋"/>
          <w:b w:val="0"/>
          <w:color w:val="000000"/>
        </w:rPr>
        <w:t>财</w:t>
      </w:r>
      <w:r>
        <w:rPr>
          <w:rStyle w:val="18"/>
          <w:rFonts w:hint="eastAsia" w:ascii="仿宋" w:hAnsi="仿宋" w:eastAsia="仿宋"/>
          <w:b w:val="0"/>
          <w:bCs w:val="0"/>
        </w:rPr>
        <w:t>政拨款收入支出决算总表</w:t>
      </w:r>
      <w:bookmarkEnd w:id="151"/>
      <w:bookmarkEnd w:id="152"/>
      <w:bookmarkEnd w:id="153"/>
    </w:p>
    <w:p>
      <w:pPr>
        <w:pStyle w:val="3"/>
        <w:rPr>
          <w:rStyle w:val="18"/>
          <w:rFonts w:ascii="仿宋" w:hAnsi="仿宋" w:eastAsia="仿宋"/>
          <w:b w:val="0"/>
          <w:bCs w:val="0"/>
        </w:rPr>
      </w:pPr>
      <w:bookmarkStart w:id="154" w:name="_Toc15396623"/>
      <w:bookmarkStart w:id="155" w:name="_Toc5759"/>
      <w:bookmarkStart w:id="156" w:name="_Toc27363"/>
      <w:r>
        <w:rPr>
          <w:rStyle w:val="18"/>
          <w:rFonts w:hint="eastAsia" w:ascii="仿宋" w:hAnsi="仿宋" w:eastAsia="仿宋"/>
          <w:b w:val="0"/>
          <w:bCs w:val="0"/>
        </w:rPr>
        <w:t>五、</w:t>
      </w:r>
      <w:r>
        <w:rPr>
          <w:rFonts w:hint="eastAsia" w:ascii="仿宋" w:hAnsi="仿宋" w:eastAsia="仿宋"/>
          <w:b w:val="0"/>
          <w:color w:val="000000"/>
        </w:rPr>
        <w:t>财</w:t>
      </w:r>
      <w:r>
        <w:rPr>
          <w:rStyle w:val="18"/>
          <w:rFonts w:hint="eastAsia" w:ascii="仿宋" w:hAnsi="仿宋" w:eastAsia="仿宋"/>
          <w:b w:val="0"/>
          <w:bCs w:val="0"/>
        </w:rPr>
        <w:t>政拨款支出决算明细表</w:t>
      </w:r>
      <w:bookmarkEnd w:id="154"/>
      <w:bookmarkEnd w:id="155"/>
      <w:bookmarkEnd w:id="156"/>
      <w:bookmarkStart w:id="157" w:name="_Toc15396624"/>
    </w:p>
    <w:p>
      <w:pPr>
        <w:pStyle w:val="3"/>
        <w:rPr>
          <w:rFonts w:ascii="仿宋" w:hAnsi="仿宋" w:eastAsia="仿宋"/>
          <w:color w:val="000000"/>
        </w:rPr>
      </w:pPr>
      <w:bookmarkStart w:id="158" w:name="_Toc26274"/>
      <w:bookmarkStart w:id="159" w:name="_Toc16578"/>
      <w:r>
        <w:rPr>
          <w:rStyle w:val="18"/>
          <w:rFonts w:hint="eastAsia" w:ascii="仿宋" w:hAnsi="仿宋" w:eastAsia="仿宋"/>
          <w:b w:val="0"/>
          <w:bCs w:val="0"/>
        </w:rPr>
        <w:t>六、</w:t>
      </w:r>
      <w:r>
        <w:rPr>
          <w:rFonts w:hint="eastAsia" w:ascii="仿宋" w:hAnsi="仿宋" w:eastAsia="仿宋"/>
          <w:b w:val="0"/>
          <w:color w:val="000000"/>
        </w:rPr>
        <w:t>一</w:t>
      </w:r>
      <w:r>
        <w:rPr>
          <w:rStyle w:val="18"/>
          <w:rFonts w:hint="eastAsia" w:ascii="仿宋" w:hAnsi="仿宋" w:eastAsia="仿宋"/>
          <w:b w:val="0"/>
          <w:bCs w:val="0"/>
        </w:rPr>
        <w:t>般公共预算财政拨款支出决算表</w:t>
      </w:r>
      <w:bookmarkEnd w:id="157"/>
      <w:bookmarkEnd w:id="158"/>
      <w:bookmarkEnd w:id="159"/>
    </w:p>
    <w:p>
      <w:pPr>
        <w:pStyle w:val="3"/>
        <w:rPr>
          <w:rFonts w:ascii="仿宋" w:hAnsi="仿宋" w:eastAsia="仿宋"/>
          <w:color w:val="000000"/>
        </w:rPr>
      </w:pPr>
      <w:bookmarkStart w:id="160" w:name="_Toc15396625"/>
      <w:bookmarkStart w:id="161" w:name="_Toc27034"/>
      <w:bookmarkStart w:id="162" w:name="_Toc7409"/>
      <w:r>
        <w:rPr>
          <w:rStyle w:val="18"/>
          <w:rFonts w:hint="eastAsia" w:ascii="仿宋" w:hAnsi="仿宋" w:eastAsia="仿宋"/>
          <w:b w:val="0"/>
          <w:bCs w:val="0"/>
        </w:rPr>
        <w:t>七、</w:t>
      </w:r>
      <w:r>
        <w:rPr>
          <w:rFonts w:hint="eastAsia" w:ascii="仿宋" w:hAnsi="仿宋" w:eastAsia="仿宋"/>
          <w:b w:val="0"/>
          <w:color w:val="000000"/>
        </w:rPr>
        <w:t>一</w:t>
      </w:r>
      <w:r>
        <w:rPr>
          <w:rStyle w:val="18"/>
          <w:rFonts w:hint="eastAsia" w:ascii="仿宋" w:hAnsi="仿宋" w:eastAsia="仿宋"/>
          <w:b w:val="0"/>
          <w:bCs w:val="0"/>
        </w:rPr>
        <w:t>般公共预算财政拨款支出决算明细表</w:t>
      </w:r>
      <w:bookmarkEnd w:id="160"/>
      <w:bookmarkEnd w:id="161"/>
      <w:bookmarkEnd w:id="162"/>
    </w:p>
    <w:p>
      <w:pPr>
        <w:pStyle w:val="3"/>
        <w:rPr>
          <w:rFonts w:ascii="仿宋" w:hAnsi="仿宋" w:eastAsia="仿宋"/>
          <w:color w:val="000000"/>
        </w:rPr>
      </w:pPr>
      <w:bookmarkStart w:id="163" w:name="_Toc15396626"/>
      <w:bookmarkStart w:id="164" w:name="_Toc15743"/>
      <w:bookmarkStart w:id="165" w:name="_Toc1906"/>
      <w:r>
        <w:rPr>
          <w:rStyle w:val="18"/>
          <w:rFonts w:hint="eastAsia" w:ascii="仿宋" w:hAnsi="仿宋" w:eastAsia="仿宋"/>
          <w:b w:val="0"/>
          <w:bCs w:val="0"/>
        </w:rPr>
        <w:t>八、</w:t>
      </w:r>
      <w:r>
        <w:rPr>
          <w:rFonts w:hint="eastAsia" w:ascii="仿宋" w:hAnsi="仿宋" w:eastAsia="仿宋"/>
          <w:b w:val="0"/>
          <w:color w:val="000000"/>
        </w:rPr>
        <w:t>一</w:t>
      </w:r>
      <w:r>
        <w:rPr>
          <w:rStyle w:val="18"/>
          <w:rFonts w:hint="eastAsia" w:ascii="仿宋" w:hAnsi="仿宋" w:eastAsia="仿宋"/>
          <w:b w:val="0"/>
          <w:bCs w:val="0"/>
        </w:rPr>
        <w:t>般公共预算财政拨款基本支出决算表</w:t>
      </w:r>
      <w:bookmarkEnd w:id="163"/>
      <w:bookmarkEnd w:id="164"/>
      <w:bookmarkEnd w:id="165"/>
    </w:p>
    <w:p>
      <w:pPr>
        <w:pStyle w:val="3"/>
        <w:rPr>
          <w:rFonts w:ascii="仿宋" w:hAnsi="仿宋" w:eastAsia="仿宋"/>
          <w:color w:val="000000"/>
        </w:rPr>
      </w:pPr>
      <w:bookmarkStart w:id="166" w:name="_Toc15396627"/>
      <w:bookmarkStart w:id="167" w:name="_Toc18071"/>
      <w:bookmarkStart w:id="168" w:name="_Toc16755"/>
      <w:r>
        <w:rPr>
          <w:rStyle w:val="18"/>
          <w:rFonts w:hint="eastAsia" w:ascii="仿宋" w:hAnsi="仿宋" w:eastAsia="仿宋"/>
          <w:b w:val="0"/>
          <w:bCs w:val="0"/>
        </w:rPr>
        <w:t>九、</w:t>
      </w:r>
      <w:r>
        <w:rPr>
          <w:rFonts w:hint="eastAsia" w:ascii="仿宋" w:hAnsi="仿宋" w:eastAsia="仿宋"/>
          <w:b w:val="0"/>
          <w:color w:val="000000"/>
        </w:rPr>
        <w:t>一</w:t>
      </w:r>
      <w:r>
        <w:rPr>
          <w:rStyle w:val="18"/>
          <w:rFonts w:hint="eastAsia" w:ascii="仿宋" w:hAnsi="仿宋" w:eastAsia="仿宋"/>
          <w:b w:val="0"/>
          <w:bCs w:val="0"/>
        </w:rPr>
        <w:t>般公共预算财政拨款项目支出决算表</w:t>
      </w:r>
      <w:bookmarkEnd w:id="166"/>
      <w:bookmarkEnd w:id="167"/>
      <w:bookmarkEnd w:id="168"/>
    </w:p>
    <w:p>
      <w:pPr>
        <w:pStyle w:val="3"/>
        <w:rPr>
          <w:rFonts w:ascii="仿宋" w:hAnsi="仿宋" w:eastAsia="仿宋"/>
          <w:color w:val="000000"/>
        </w:rPr>
      </w:pPr>
      <w:bookmarkStart w:id="169" w:name="_Toc15396628"/>
      <w:bookmarkStart w:id="170" w:name="_Toc2916"/>
      <w:bookmarkStart w:id="171" w:name="_Toc718"/>
      <w:r>
        <w:rPr>
          <w:rStyle w:val="18"/>
          <w:rFonts w:hint="eastAsia" w:ascii="仿宋" w:hAnsi="仿宋" w:eastAsia="仿宋"/>
          <w:b w:val="0"/>
          <w:bCs w:val="0"/>
        </w:rPr>
        <w:t>十、</w:t>
      </w:r>
      <w:r>
        <w:rPr>
          <w:rFonts w:hint="eastAsia" w:ascii="仿宋" w:hAnsi="仿宋" w:eastAsia="仿宋"/>
          <w:b w:val="0"/>
          <w:color w:val="000000"/>
        </w:rPr>
        <w:t>一</w:t>
      </w:r>
      <w:r>
        <w:rPr>
          <w:rStyle w:val="18"/>
          <w:rFonts w:hint="eastAsia" w:ascii="仿宋" w:hAnsi="仿宋" w:eastAsia="仿宋"/>
          <w:b w:val="0"/>
          <w:bCs w:val="0"/>
        </w:rPr>
        <w:t>般公共预算财政拨款“三公”经费支出决算表</w:t>
      </w:r>
      <w:bookmarkEnd w:id="169"/>
      <w:bookmarkEnd w:id="170"/>
      <w:bookmarkEnd w:id="171"/>
    </w:p>
    <w:p>
      <w:pPr>
        <w:pStyle w:val="3"/>
        <w:rPr>
          <w:rFonts w:ascii="仿宋" w:hAnsi="仿宋" w:eastAsia="仿宋"/>
          <w:color w:val="000000"/>
        </w:rPr>
      </w:pPr>
      <w:bookmarkStart w:id="172" w:name="_Toc15396629"/>
      <w:bookmarkStart w:id="173" w:name="_Toc4462"/>
      <w:bookmarkStart w:id="174" w:name="_Toc7381"/>
      <w:r>
        <w:rPr>
          <w:rStyle w:val="18"/>
          <w:rFonts w:hint="eastAsia" w:ascii="仿宋" w:hAnsi="仿宋" w:eastAsia="仿宋"/>
          <w:b w:val="0"/>
          <w:bCs w:val="0"/>
        </w:rPr>
        <w:t>十一、</w:t>
      </w:r>
      <w:r>
        <w:rPr>
          <w:rFonts w:hint="eastAsia" w:ascii="仿宋" w:hAnsi="仿宋" w:eastAsia="仿宋"/>
          <w:b w:val="0"/>
          <w:color w:val="000000"/>
        </w:rPr>
        <w:t>政</w:t>
      </w:r>
      <w:r>
        <w:rPr>
          <w:rStyle w:val="18"/>
          <w:rFonts w:hint="eastAsia" w:ascii="仿宋" w:hAnsi="仿宋" w:eastAsia="仿宋"/>
          <w:b w:val="0"/>
          <w:bCs w:val="0"/>
        </w:rPr>
        <w:t>府性基金预算财政拨款收入支出决算表</w:t>
      </w:r>
      <w:bookmarkEnd w:id="172"/>
      <w:bookmarkEnd w:id="173"/>
      <w:bookmarkEnd w:id="174"/>
    </w:p>
    <w:p>
      <w:pPr>
        <w:pStyle w:val="3"/>
        <w:rPr>
          <w:rFonts w:ascii="仿宋" w:hAnsi="仿宋" w:eastAsia="仿宋"/>
          <w:color w:val="000000"/>
        </w:rPr>
      </w:pPr>
      <w:bookmarkStart w:id="175" w:name="_Toc15396630"/>
      <w:bookmarkStart w:id="176" w:name="_Toc25584"/>
      <w:bookmarkStart w:id="177" w:name="_Toc28648"/>
      <w:r>
        <w:rPr>
          <w:rStyle w:val="18"/>
          <w:rFonts w:hint="eastAsia" w:ascii="仿宋" w:hAnsi="仿宋" w:eastAsia="仿宋"/>
          <w:b w:val="0"/>
          <w:bCs w:val="0"/>
        </w:rPr>
        <w:t>十二、</w:t>
      </w:r>
      <w:r>
        <w:rPr>
          <w:rFonts w:hint="eastAsia" w:ascii="仿宋" w:hAnsi="仿宋" w:eastAsia="仿宋"/>
          <w:b w:val="0"/>
          <w:color w:val="000000"/>
        </w:rPr>
        <w:t>政</w:t>
      </w:r>
      <w:r>
        <w:rPr>
          <w:rStyle w:val="18"/>
          <w:rFonts w:hint="eastAsia" w:ascii="仿宋" w:hAnsi="仿宋" w:eastAsia="仿宋"/>
          <w:b w:val="0"/>
          <w:bCs w:val="0"/>
        </w:rPr>
        <w:t>府性基金预算财政拨款“三公”经费支出决算表</w:t>
      </w:r>
      <w:bookmarkEnd w:id="175"/>
      <w:bookmarkEnd w:id="176"/>
      <w:bookmarkEnd w:id="177"/>
    </w:p>
    <w:p>
      <w:pPr>
        <w:pStyle w:val="3"/>
        <w:rPr>
          <w:rFonts w:ascii="仿宋" w:hAnsi="仿宋" w:eastAsia="仿宋"/>
          <w:color w:val="000000" w:themeColor="text1"/>
          <w14:textFill>
            <w14:solidFill>
              <w14:schemeClr w14:val="tx1"/>
            </w14:solidFill>
          </w14:textFill>
        </w:rPr>
      </w:pPr>
      <w:bookmarkStart w:id="178" w:name="_Toc15396631"/>
      <w:bookmarkStart w:id="179" w:name="_Toc22711"/>
      <w:bookmarkStart w:id="180" w:name="_Toc8424"/>
      <w:r>
        <w:rPr>
          <w:rStyle w:val="18"/>
          <w:rFonts w:hint="eastAsia" w:ascii="仿宋" w:hAnsi="仿宋" w:eastAsia="仿宋"/>
          <w:b w:val="0"/>
          <w:bCs w:val="0"/>
        </w:rPr>
        <w:t>十三、</w:t>
      </w:r>
      <w:r>
        <w:rPr>
          <w:rFonts w:hint="eastAsia" w:ascii="仿宋" w:hAnsi="仿宋" w:eastAsia="仿宋"/>
          <w:b w:val="0"/>
          <w:color w:val="000000"/>
        </w:rPr>
        <w:t>国</w:t>
      </w:r>
      <w:r>
        <w:rPr>
          <w:rStyle w:val="18"/>
          <w:rFonts w:hint="eastAsia" w:ascii="仿宋" w:hAnsi="仿宋" w:eastAsia="仿宋"/>
          <w:b w:val="0"/>
          <w:bCs w:val="0"/>
        </w:rPr>
        <w:t>有资本经营预算支出决算表</w:t>
      </w:r>
      <w:bookmarkEnd w:id="178"/>
      <w:bookmarkEnd w:id="179"/>
      <w:bookmarkEnd w:id="180"/>
    </w:p>
    <w:p>
      <w:pPr>
        <w:tabs>
          <w:tab w:val="left" w:pos="966"/>
        </w:tabs>
        <w:bidi w:val="0"/>
        <w:jc w:val="left"/>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
    <w:pitch w:val="default"/>
    <w:sig w:usb0="E0002AFF" w:usb1="C0007843" w:usb2="00000009" w:usb3="00000000" w:csb0="400001FF" w:csb1="FFFF0000"/>
  </w:font>
  <w:font w:name="微软雅黑 Light">
    <w:altName w:val="黑体"/>
    <w:panose1 w:val="020B0502040204020203"/>
    <w:charset w:val="86"/>
    <w:family w:val="swiss"/>
    <w:pitch w:val="variable"/>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A6A530"/>
    <w:multiLevelType w:val="singleLevel"/>
    <w:tmpl w:val="BBA6A530"/>
    <w:lvl w:ilvl="0" w:tentative="0">
      <w:start w:val="7"/>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06F6EA22"/>
    <w:multiLevelType w:val="singleLevel"/>
    <w:tmpl w:val="06F6EA22"/>
    <w:lvl w:ilvl="0" w:tentative="0">
      <w:start w:val="1"/>
      <w:numFmt w:val="decimal"/>
      <w:suff w:val="nothing"/>
      <w:lvlText w:val="（%1）"/>
      <w:lvlJc w:val="left"/>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7CB7AA98"/>
    <w:multiLevelType w:val="singleLevel"/>
    <w:tmpl w:val="7CB7AA98"/>
    <w:lvl w:ilvl="0" w:tentative="0">
      <w:start w:val="2"/>
      <w:numFmt w:val="chineseCounting"/>
      <w:suff w:val="nothing"/>
      <w:lvlText w:val="（%1）"/>
      <w:lvlJc w:val="left"/>
      <w:rPr>
        <w:rFonts w:hint="eastAsia"/>
      </w:rPr>
    </w:lvl>
  </w:abstractNum>
  <w:num w:numId="1">
    <w:abstractNumId w:val="3"/>
  </w:num>
  <w:num w:numId="2">
    <w:abstractNumId w:val="4"/>
  </w:num>
  <w:num w:numId="3">
    <w:abstractNumId w:val="1"/>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8879A9"/>
    <w:rsid w:val="1E8879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iPriority w:val="0"/>
  </w:style>
  <w:style w:type="table" w:default="1" w:styleId="11">
    <w:name w:val="Normal Table"/>
    <w:semiHidden/>
    <w:uiPriority w:val="0"/>
    <w:tblPr>
      <w:tblCellMar>
        <w:top w:w="0" w:type="dxa"/>
        <w:left w:w="108" w:type="dxa"/>
        <w:bottom w:w="0" w:type="dxa"/>
        <w:right w:w="108" w:type="dxa"/>
      </w:tblCellMar>
    </w:tblPr>
  </w:style>
  <w:style w:type="paragraph" w:styleId="4">
    <w:name w:val="Body Text"/>
    <w:basedOn w:val="1"/>
    <w:qFormat/>
    <w:uiPriority w:val="99"/>
    <w:pPr>
      <w:spacing w:beforeLines="30"/>
    </w:pPr>
    <w:rPr>
      <w:rFonts w:ascii="仿宋_GB2312" w:eastAsia="仿宋_GB2312"/>
      <w:kern w:val="0"/>
      <w:sz w:val="30"/>
    </w:rPr>
  </w:style>
  <w:style w:type="paragraph" w:styleId="5">
    <w:name w:val="toc 3"/>
    <w:basedOn w:val="1"/>
    <w:next w:val="1"/>
    <w:uiPriority w:val="0"/>
    <w:pPr>
      <w:ind w:left="840" w:leftChars="400"/>
    </w:pPr>
  </w:style>
  <w:style w:type="paragraph" w:styleId="6">
    <w:name w:val="footer"/>
    <w:basedOn w:val="1"/>
    <w:qFormat/>
    <w:uiPriority w:val="99"/>
    <w:pPr>
      <w:tabs>
        <w:tab w:val="center" w:pos="4153"/>
        <w:tab w:val="right" w:pos="8306"/>
      </w:tabs>
      <w:snapToGrid w:val="0"/>
      <w:jc w:val="left"/>
    </w:pPr>
    <w:rPr>
      <w:rFonts w:ascii="Calibri" w:hAnsi="Calibri"/>
      <w:kern w:val="0"/>
      <w:sz w:val="18"/>
      <w:szCs w:val="18"/>
    </w:rPr>
  </w:style>
  <w:style w:type="paragraph" w:styleId="7">
    <w:name w:val="header"/>
    <w:basedOn w:val="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8">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9">
    <w:name w:val="toc 2"/>
    <w:basedOn w:val="1"/>
    <w:next w:val="1"/>
    <w:uiPriority w:val="0"/>
    <w:pPr>
      <w:ind w:left="420" w:leftChars="200"/>
    </w:p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3">
    <w:name w:val="Strong"/>
    <w:basedOn w:val="12"/>
    <w:qFormat/>
    <w:uiPriority w:val="99"/>
    <w:rPr>
      <w:b/>
    </w:rPr>
  </w:style>
  <w:style w:type="paragraph" w:customStyle="1" w:styleId="14">
    <w:name w:val="WPSOffice手动目录 1"/>
    <w:qFormat/>
    <w:uiPriority w:val="0"/>
    <w:pPr>
      <w:ind w:leftChars="0"/>
    </w:pPr>
    <w:rPr>
      <w:rFonts w:ascii="Calibri" w:hAnsi="Calibri" w:eastAsia="宋体" w:cs="Times New Roman"/>
      <w:sz w:val="20"/>
      <w:szCs w:val="20"/>
    </w:rPr>
  </w:style>
  <w:style w:type="paragraph" w:customStyle="1" w:styleId="15">
    <w:name w:val="WPSOffice手动目录 2"/>
    <w:qFormat/>
    <w:uiPriority w:val="0"/>
    <w:pPr>
      <w:ind w:leftChars="200"/>
    </w:pPr>
    <w:rPr>
      <w:rFonts w:ascii="Calibri" w:hAnsi="Calibri" w:eastAsia="宋体" w:cs="Times New Roman"/>
      <w:sz w:val="20"/>
      <w:szCs w:val="20"/>
    </w:rPr>
  </w:style>
  <w:style w:type="paragraph" w:customStyle="1" w:styleId="16">
    <w:name w:val="WPSOffice手动目录 3"/>
    <w:qFormat/>
    <w:uiPriority w:val="0"/>
    <w:pPr>
      <w:ind w:leftChars="400"/>
    </w:pPr>
    <w:rPr>
      <w:rFonts w:ascii="Calibri" w:hAnsi="Calibri" w:eastAsia="宋体" w:cs="Times New Roman"/>
      <w:sz w:val="20"/>
      <w:szCs w:val="20"/>
    </w:rPr>
  </w:style>
  <w:style w:type="character" w:customStyle="1" w:styleId="17">
    <w:name w:val="标题 1 字符"/>
    <w:basedOn w:val="12"/>
    <w:link w:val="2"/>
    <w:qFormat/>
    <w:uiPriority w:val="9"/>
    <w:rPr>
      <w:b/>
      <w:bCs/>
      <w:kern w:val="44"/>
      <w:sz w:val="44"/>
      <w:szCs w:val="44"/>
    </w:rPr>
  </w:style>
  <w:style w:type="character" w:customStyle="1" w:styleId="18">
    <w:name w:val="标题 2 字符"/>
    <w:basedOn w:val="12"/>
    <w:link w:val="3"/>
    <w:qFormat/>
    <w:uiPriority w:val="9"/>
    <w:rPr>
      <w:rFonts w:asciiTheme="majorHAnsi" w:hAnsiTheme="majorHAnsi" w:eastAsiaTheme="majorEastAsia" w:cstheme="majorBidi"/>
      <w:b/>
      <w:bCs/>
      <w:sz w:val="32"/>
      <w:szCs w:val="32"/>
    </w:rPr>
  </w:style>
  <w:style w:type="character" w:customStyle="1" w:styleId="19">
    <w:name w:val="标题 2 Char"/>
    <w:basedOn w:val="12"/>
    <w:link w:val="3"/>
    <w:qFormat/>
    <w:uiPriority w:val="9"/>
    <w:rPr>
      <w:rFonts w:asciiTheme="majorHAnsi" w:hAnsiTheme="majorHAnsi" w:eastAsiaTheme="majorEastAsia" w:cstheme="majorBidi"/>
      <w:b/>
      <w:bCs/>
      <w:kern w:val="2"/>
      <w:sz w:val="32"/>
      <w:szCs w:val="32"/>
    </w:rPr>
  </w:style>
  <w:style w:type="paragraph" w:customStyle="1" w:styleId="20">
    <w:name w:val="List Paragraph"/>
    <w:basedOn w:val="1"/>
    <w:qFormat/>
    <w:uiPriority w:val="34"/>
    <w:pPr>
      <w:ind w:firstLine="420" w:firstLineChars="200"/>
    </w:pPr>
  </w:style>
  <w:style w:type="paragraph" w:customStyle="1" w:styleId="21">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2">
    <w:name w:val="标题 1 Char"/>
    <w:basedOn w:val="12"/>
    <w:link w:val="2"/>
    <w:qFormat/>
    <w:uiPriority w:val="9"/>
    <w:rPr>
      <w:rFonts w:ascii="Times New Roman" w:hAnsi="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hart" Target="charts/chart6.xml"/><Relationship Id="rId8" Type="http://schemas.openxmlformats.org/officeDocument/2006/relationships/chart" Target="charts/chart5.xml"/><Relationship Id="rId7" Type="http://schemas.openxmlformats.org/officeDocument/2006/relationships/chart" Target="charts/chart4.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chart" Target="charts/chart7.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2000" b="1" i="0" u="none" strike="noStrike" kern="1200" spc="0" baseline="0">
                <a:solidFill>
                  <a:schemeClr val="tx1">
                    <a:lumMod val="65000"/>
                    <a:lumOff val="35000"/>
                  </a:schemeClr>
                </a:solidFill>
                <a:latin typeface="+mn-lt"/>
                <a:ea typeface="+mn-ea"/>
                <a:cs typeface="+mn-cs"/>
              </a:defRPr>
            </a:pPr>
            <a:r>
              <a:rPr altLang="zh-CN" sz="2000" b="1"/>
              <a:t>收支决算总计变动情况图</a:t>
            </a:r>
            <a:endParaRPr altLang="zh-CN" sz="2000" b="1"/>
          </a:p>
        </c:rich>
      </c:tx>
      <c:layout>
        <c:manualLayout>
          <c:xMode val="edge"/>
          <c:yMode val="edge"/>
          <c:x val="0.190375"/>
          <c:y val="0.00488997555012225"/>
        </c:manualLayout>
      </c:layout>
      <c:overlay val="0"/>
      <c:spPr>
        <a:noFill/>
        <a:ln>
          <a:noFill/>
        </a:ln>
        <a:effectLst/>
      </c:spPr>
    </c:title>
    <c:autoTitleDeleted val="0"/>
    <c:plotArea>
      <c:layout>
        <c:manualLayout>
          <c:layoutTarget val="inner"/>
          <c:xMode val="edge"/>
          <c:yMode val="edge"/>
          <c:x val="0.058575"/>
          <c:y val="0.105611654441728"/>
          <c:w val="0.91655"/>
          <c:h val="0.716566666666667"/>
        </c:manualLayout>
      </c:layout>
      <c:barChart>
        <c:barDir val="col"/>
        <c:grouping val="stacked"/>
        <c:varyColors val="0"/>
        <c:ser>
          <c:idx val="0"/>
          <c:order val="0"/>
          <c:tx>
            <c:strRef>
              <c:f>Sheet1!$B$1</c:f>
              <c:strCache>
                <c:ptCount val="1"/>
                <c:pt idx="0">
                  <c:v>金额</c:v>
                </c:pt>
              </c:strCache>
            </c:strRef>
          </c:tx>
          <c:spPr>
            <a:solidFill>
              <a:schemeClr val="accent1"/>
            </a:solidFill>
            <a:ln>
              <a:noFill/>
            </a:ln>
            <a:effectLst/>
          </c:spPr>
          <c:invertIfNegative val="0"/>
          <c:dLbls>
            <c:delete val="1"/>
          </c:dLbls>
          <c:cat>
            <c:strRef>
              <c:f>Sheet1!$A$2:$A$5</c:f>
              <c:strCache>
                <c:ptCount val="4"/>
                <c:pt idx="0">
                  <c:v>2019年收入</c:v>
                </c:pt>
                <c:pt idx="1">
                  <c:v>2020年收入</c:v>
                </c:pt>
                <c:pt idx="2">
                  <c:v>2019年支出</c:v>
                </c:pt>
                <c:pt idx="3">
                  <c:v>2020年支出</c:v>
                </c:pt>
              </c:strCache>
            </c:strRef>
          </c:cat>
          <c:val>
            <c:numRef>
              <c:f>Sheet1!$B$2:$B$5</c:f>
              <c:numCache>
                <c:formatCode>General</c:formatCode>
                <c:ptCount val="4"/>
                <c:pt idx="0">
                  <c:v>217.42</c:v>
                </c:pt>
                <c:pt idx="1">
                  <c:v>183.26</c:v>
                </c:pt>
                <c:pt idx="2">
                  <c:v>215.42</c:v>
                </c:pt>
                <c:pt idx="3">
                  <c:v>183.26</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2019年收入</c:v>
                </c:pt>
                <c:pt idx="1">
                  <c:v>2020年收入</c:v>
                </c:pt>
                <c:pt idx="2">
                  <c:v>2019年支出</c:v>
                </c:pt>
                <c:pt idx="3">
                  <c:v>2020年支出</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2019年收入</c:v>
                </c:pt>
                <c:pt idx="1">
                  <c:v>2020年收入</c:v>
                </c:pt>
                <c:pt idx="2">
                  <c:v>2019年支出</c:v>
                </c:pt>
                <c:pt idx="3">
                  <c:v>2020年支出</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overlap val="100"/>
        <c:axId val="802132835"/>
        <c:axId val="422945108"/>
      </c:barChart>
      <c:catAx>
        <c:axId val="80213283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22945108"/>
        <c:crosses val="autoZero"/>
        <c:auto val="1"/>
        <c:lblAlgn val="ctr"/>
        <c:lblOffset val="100"/>
        <c:noMultiLvlLbl val="0"/>
      </c:catAx>
      <c:valAx>
        <c:axId val="4229451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2132835"/>
        <c:crosses val="autoZero"/>
        <c:crossBetween val="between"/>
      </c:valAx>
      <c:spPr>
        <a:noFill/>
        <a:ln>
          <a:noFill/>
        </a:ln>
        <a:effectLst/>
      </c:spPr>
    </c:plotArea>
    <c:legend>
      <c:legendPos val="b"/>
      <c:legendEntry>
        <c:idx val="1"/>
        <c:delete val="1"/>
      </c:legendEntry>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收入情况分布图</a:t>
            </a:r>
          </a:p>
        </c:rich>
      </c:tx>
      <c:layout/>
      <c:overlay val="0"/>
      <c:spPr>
        <a:noFill/>
        <a:ln>
          <a:noFill/>
        </a:ln>
        <a:effectLst/>
      </c:spPr>
    </c:title>
    <c:autoTitleDeleted val="0"/>
    <c:plotArea>
      <c:layout/>
      <c:pieChart>
        <c:varyColors val="1"/>
        <c:ser>
          <c:idx val="0"/>
          <c:order val="0"/>
          <c:tx>
            <c:strRef>
              <c:f>Sheet1!$B$1</c:f>
              <c:strCache>
                <c:ptCount val="1"/>
                <c:pt idx="0">
                  <c:v>占比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Sheet1!$A$2:$A$4</c:f>
              <c:strCache>
                <c:ptCount val="3"/>
                <c:pt idx="0">
                  <c:v>一般公共财政拨款收入</c:v>
                </c:pt>
                <c:pt idx="1">
                  <c:v>其他收入</c:v>
                </c:pt>
                <c:pt idx="2">
                  <c:v>年初结转结余</c:v>
                </c:pt>
              </c:strCache>
            </c:strRef>
          </c:cat>
          <c:val>
            <c:numRef>
              <c:f>Sheet1!$B$2:$B$4</c:f>
              <c:numCache>
                <c:formatCode>General</c:formatCode>
                <c:ptCount val="3"/>
                <c:pt idx="0">
                  <c:v>91.58</c:v>
                </c:pt>
                <c:pt idx="1">
                  <c:v>5.7</c:v>
                </c:pt>
                <c:pt idx="2">
                  <c:v>2.72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支出情况分布图</a:t>
            </a:r>
          </a:p>
        </c:rich>
      </c:tx>
      <c:layout/>
      <c:overlay val="0"/>
      <c:spPr>
        <a:noFill/>
        <a:ln>
          <a:noFill/>
        </a:ln>
        <a:effectLst/>
      </c:spPr>
    </c:title>
    <c:autoTitleDeleted val="0"/>
    <c:plotArea>
      <c:layout/>
      <c:pieChart>
        <c:varyColors val="1"/>
        <c:ser>
          <c:idx val="0"/>
          <c:order val="0"/>
          <c:tx>
            <c:strRef>
              <c:f>Sheet1!$B$1</c:f>
              <c:strCache>
                <c:ptCount val="1"/>
                <c:pt idx="0">
                  <c:v>占比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Sheet1!$A$2:$A$4</c:f>
              <c:strCache>
                <c:ptCount val="3"/>
                <c:pt idx="0">
                  <c:v>一般公共财政拨款收入</c:v>
                </c:pt>
                <c:pt idx="1">
                  <c:v>其他收入</c:v>
                </c:pt>
                <c:pt idx="2">
                  <c:v>年初结转结余</c:v>
                </c:pt>
              </c:strCache>
            </c:strRef>
          </c:cat>
          <c:val>
            <c:numRef>
              <c:f>Sheet1!$B$2:$B$4</c:f>
              <c:numCache>
                <c:formatCode>General</c:formatCode>
                <c:ptCount val="3"/>
                <c:pt idx="0">
                  <c:v>91.58</c:v>
                </c:pt>
                <c:pt idx="1">
                  <c:v>5.7</c:v>
                </c:pt>
                <c:pt idx="2">
                  <c:v>2.72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2000" b="1" i="0" u="none" strike="noStrike" kern="1200" spc="0" baseline="0">
                <a:solidFill>
                  <a:schemeClr val="tx1">
                    <a:lumMod val="65000"/>
                    <a:lumOff val="35000"/>
                  </a:schemeClr>
                </a:solidFill>
                <a:latin typeface="+mn-lt"/>
                <a:ea typeface="+mn-ea"/>
                <a:cs typeface="+mn-cs"/>
              </a:defRPr>
            </a:pPr>
            <a:r>
              <a:rPr altLang="zh-CN" sz="2000" b="1"/>
              <a:t>财政拨款收支决算总计变动情况图</a:t>
            </a:r>
            <a:endParaRPr altLang="zh-CN" sz="2000" b="1"/>
          </a:p>
        </c:rich>
      </c:tx>
      <c:layout/>
      <c:overlay val="0"/>
      <c:spPr>
        <a:noFill/>
        <a:ln>
          <a:noFill/>
        </a:ln>
        <a:effectLst/>
      </c:spPr>
    </c:title>
    <c:autoTitleDeleted val="0"/>
    <c:plotArea>
      <c:layout>
        <c:manualLayout>
          <c:layoutTarget val="inner"/>
          <c:xMode val="edge"/>
          <c:yMode val="edge"/>
          <c:x val="0.0792341483979764"/>
          <c:y val="0.185678665406129"/>
          <c:w val="0.91655"/>
          <c:h val="0.716566666666667"/>
        </c:manualLayout>
      </c:layout>
      <c:barChart>
        <c:barDir val="col"/>
        <c:grouping val="stacked"/>
        <c:varyColors val="0"/>
        <c:ser>
          <c:idx val="0"/>
          <c:order val="0"/>
          <c:tx>
            <c:strRef>
              <c:f>Sheet1!$B$1</c:f>
              <c:strCache>
                <c:ptCount val="1"/>
                <c:pt idx="0">
                  <c:v>金额</c:v>
                </c:pt>
              </c:strCache>
            </c:strRef>
          </c:tx>
          <c:spPr>
            <a:solidFill>
              <a:schemeClr val="accent1"/>
            </a:solidFill>
            <a:ln>
              <a:noFill/>
            </a:ln>
            <a:effectLst/>
          </c:spPr>
          <c:invertIfNegative val="0"/>
          <c:dLbls>
            <c:delete val="1"/>
          </c:dLbls>
          <c:cat>
            <c:strRef>
              <c:f>Sheet1!$A$2:$A$5</c:f>
              <c:strCache>
                <c:ptCount val="4"/>
                <c:pt idx="0">
                  <c:v>2019年收入</c:v>
                </c:pt>
                <c:pt idx="1">
                  <c:v>2020年收入</c:v>
                </c:pt>
                <c:pt idx="2">
                  <c:v>2019年支出</c:v>
                </c:pt>
                <c:pt idx="3">
                  <c:v>2020年支出</c:v>
                </c:pt>
              </c:strCache>
            </c:strRef>
          </c:cat>
          <c:val>
            <c:numRef>
              <c:f>Sheet1!$B$2:$B$5</c:f>
              <c:numCache>
                <c:formatCode>General</c:formatCode>
                <c:ptCount val="4"/>
                <c:pt idx="0">
                  <c:v>189.59</c:v>
                </c:pt>
                <c:pt idx="1">
                  <c:v>167.84</c:v>
                </c:pt>
                <c:pt idx="2">
                  <c:v>155.1</c:v>
                </c:pt>
                <c:pt idx="3">
                  <c:v>174.27</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Sheet1!$A$2:$A$5</c:f>
              <c:strCache>
                <c:ptCount val="4"/>
                <c:pt idx="0">
                  <c:v>2019年收入</c:v>
                </c:pt>
                <c:pt idx="1">
                  <c:v>2020年收入</c:v>
                </c:pt>
                <c:pt idx="2">
                  <c:v>2019年支出</c:v>
                </c:pt>
                <c:pt idx="3">
                  <c:v>2020年支出</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Sheet1!$A$2:$A$5</c:f>
              <c:strCache>
                <c:ptCount val="4"/>
                <c:pt idx="0">
                  <c:v>2019年收入</c:v>
                </c:pt>
                <c:pt idx="1">
                  <c:v>2020年收入</c:v>
                </c:pt>
                <c:pt idx="2">
                  <c:v>2019年支出</c:v>
                </c:pt>
                <c:pt idx="3">
                  <c:v>2020年支出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150"/>
        <c:overlap val="100"/>
        <c:axId val="802132835"/>
        <c:axId val="422945108"/>
      </c:barChart>
      <c:catAx>
        <c:axId val="80213283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22945108"/>
        <c:crosses val="autoZero"/>
        <c:auto val="1"/>
        <c:lblAlgn val="ctr"/>
        <c:lblOffset val="100"/>
        <c:noMultiLvlLbl val="0"/>
      </c:catAx>
      <c:valAx>
        <c:axId val="4229451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2132835"/>
        <c:crosses val="autoZero"/>
        <c:crossBetween val="between"/>
      </c:valAx>
      <c:spPr>
        <a:noFill/>
        <a:ln>
          <a:noFill/>
        </a:ln>
        <a:effectLst/>
      </c:spPr>
    </c:plotArea>
    <c:legend>
      <c:legendPos val="b"/>
      <c:legendEntry>
        <c:idx val="1"/>
        <c:delete val="1"/>
      </c:legendEntry>
      <c:legendEntry>
        <c:idx val="2"/>
        <c:delete val="1"/>
      </c:legendEntry>
      <c:layout>
        <c:manualLayout>
          <c:xMode val="edge"/>
          <c:yMode val="edge"/>
          <c:x val="0.429094120615695"/>
          <c:y val="0.94098520565761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1" i="0" u="none" strike="noStrike" kern="1200" spc="0" baseline="0">
                <a:solidFill>
                  <a:schemeClr val="tx1">
                    <a:lumMod val="65000"/>
                    <a:lumOff val="35000"/>
                  </a:schemeClr>
                </a:solidFill>
                <a:latin typeface="+mn-lt"/>
                <a:ea typeface="+mn-ea"/>
                <a:cs typeface="+mn-cs"/>
              </a:defRPr>
            </a:pPr>
            <a:r>
              <a:rPr sz="1600" b="1"/>
              <a:t>一般公共预算财政拨欧款支出决算变动情况图</a:t>
            </a:r>
            <a:endParaRPr sz="1600" b="1"/>
          </a:p>
        </c:rich>
      </c:tx>
      <c:layout>
        <c:manualLayout>
          <c:xMode val="edge"/>
          <c:yMode val="edge"/>
          <c:x val="0.10312413602433"/>
          <c:y val="0.0273161848395174"/>
        </c:manualLayout>
      </c:layout>
      <c:overlay val="0"/>
      <c:spPr>
        <a:noFill/>
        <a:ln>
          <a:noFill/>
        </a:ln>
        <a:effectLst/>
      </c:spPr>
    </c:title>
    <c:autoTitleDeleted val="0"/>
    <c:plotArea>
      <c:layout/>
      <c:barChart>
        <c:barDir val="col"/>
        <c:grouping val="stacked"/>
        <c:varyColors val="0"/>
        <c:ser>
          <c:idx val="0"/>
          <c:order val="0"/>
          <c:tx>
            <c:strRef>
              <c:f>Sheet1!$B$1</c:f>
              <c:strCache>
                <c:ptCount val="1"/>
                <c:pt idx="0">
                  <c:v>金额</c:v>
                </c:pt>
              </c:strCache>
            </c:strRef>
          </c:tx>
          <c:spPr>
            <a:solidFill>
              <a:schemeClr val="accent1"/>
            </a:solidFill>
            <a:ln>
              <a:noFill/>
            </a:ln>
            <a:effectLst/>
          </c:spPr>
          <c:invertIfNegative val="0"/>
          <c:dLbls>
            <c:delete val="1"/>
          </c:dLbls>
          <c:cat>
            <c:strRef>
              <c:f>Sheet1!$A$2:$A$5</c:f>
              <c:strCache>
                <c:ptCount val="4"/>
                <c:pt idx="0">
                  <c:v>2019年财政拨款支出</c:v>
                </c:pt>
                <c:pt idx="1">
                  <c:v>2020年财政拨款支出</c:v>
                </c:pt>
              </c:strCache>
            </c:strRef>
          </c:cat>
          <c:val>
            <c:numRef>
              <c:f>Sheet1!$B$2:$B$5</c:f>
              <c:numCache>
                <c:formatCode>General</c:formatCode>
                <c:ptCount val="4"/>
                <c:pt idx="0">
                  <c:v>189.59</c:v>
                </c:pt>
                <c:pt idx="1">
                  <c:v>174.27</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2019年财政拨款支出</c:v>
                </c:pt>
                <c:pt idx="1">
                  <c:v>2020年财政拨款支出</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2019年财政拨款支出</c:v>
                </c:pt>
                <c:pt idx="1">
                  <c:v>2020年财政拨款支出</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overlap val="100"/>
        <c:axId val="200815528"/>
        <c:axId val="95358580"/>
      </c:barChart>
      <c:catAx>
        <c:axId val="20081552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358580"/>
        <c:crosses val="autoZero"/>
        <c:auto val="1"/>
        <c:lblAlgn val="ctr"/>
        <c:lblOffset val="100"/>
        <c:noMultiLvlLbl val="0"/>
      </c:catAx>
      <c:valAx>
        <c:axId val="953585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0815528"/>
        <c:crosses val="autoZero"/>
        <c:crossBetween val="between"/>
      </c:valAx>
      <c:spPr>
        <a:noFill/>
        <a:ln>
          <a:noFill/>
        </a:ln>
        <a:effectLst/>
      </c:spPr>
    </c:plotArea>
    <c:legend>
      <c:legendPos val="b"/>
      <c:legendEntry>
        <c:idx val="1"/>
        <c:delete val="1"/>
      </c:legendEntry>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2000" b="1"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Sheet1!$A$2:$A$6</c:f>
              <c:strCache>
                <c:ptCount val="5"/>
                <c:pt idx="0">
                  <c:v>基本支出</c:v>
                </c:pt>
                <c:pt idx="1">
                  <c:v>社会保障和就业支出</c:v>
                </c:pt>
                <c:pt idx="2">
                  <c:v>医疗卫生和计划生育支出</c:v>
                </c:pt>
                <c:pt idx="3">
                  <c:v>住房保障支出</c:v>
                </c:pt>
                <c:pt idx="4">
                  <c:v>其他支出</c:v>
                </c:pt>
              </c:strCache>
            </c:strRef>
          </c:cat>
          <c:val>
            <c:numRef>
              <c:f>Sheet1!$B$2:$B$6</c:f>
              <c:numCache>
                <c:formatCode>General</c:formatCode>
                <c:ptCount val="5"/>
                <c:pt idx="0">
                  <c:v>78.13</c:v>
                </c:pt>
                <c:pt idx="1">
                  <c:v>8.32</c:v>
                </c:pt>
                <c:pt idx="2">
                  <c:v>3.62</c:v>
                </c:pt>
                <c:pt idx="3">
                  <c:v>5</c:v>
                </c:pt>
                <c:pt idx="4">
                  <c:v>4.93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0384661473936489"/>
          <c:y val="0.90910558605101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2000" b="1"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c:v>
                </c:pt>
              </c:strCache>
            </c:strRef>
          </c:tx>
          <c:spPr/>
          <c:explosion val="0"/>
          <c:dPt>
            <c:idx val="0"/>
            <c:bubble3D val="0"/>
            <c:spPr>
              <a:solidFill>
                <a:schemeClr val="accent1"/>
              </a:solidFill>
              <a:ln w="19050">
                <a:solidFill>
                  <a:schemeClr val="lt1"/>
                </a:solidFill>
              </a:ln>
              <a:effectLst/>
            </c:spPr>
          </c:dPt>
          <c:dLbls>
            <c:delete val="1"/>
          </c:dLbls>
          <c:cat>
            <c:strRef>
              <c:f>Sheet1!$A$2</c:f>
              <c:strCache>
                <c:ptCount val="1"/>
                <c:pt idx="0">
                  <c:v>公务用车购置及运行维护费</c:v>
                </c:pt>
              </c:strCache>
            </c:strRef>
          </c:cat>
          <c:val>
            <c:numRef>
              <c:f>Sheet1!$B$2</c:f>
              <c:numCache>
                <c:formatCode>General</c:formatCode>
                <c:ptCount val="1"/>
                <c:pt idx="0">
                  <c:v>100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2021-12-01T01:47:00Z</dcterms:created>
  <dc:creator>Administrator</dc:creator>
  <cp:lastModifiedBy>Administrator</cp:lastModifiedBy>
  <cp:lastPrinted>2021-12-01T03:42:39Z</cp:lastPrinted>
  <dcterms:modified xsi:type="dcterms:W3CDTF">2021-12-01T03:52:47Z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B1A3DDA58D3146E3914965C6A3A3A5D5</vt:lpwstr>
  </property>
</Properties>
</file>