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both"/>
        <w:outlineLvl w:val="9"/>
        <w:rPr>
          <w:rFonts w:hint="default" w:ascii="方正小标宋简体" w:hAnsi="宋体" w:eastAsia="方正小标宋简体"/>
          <w:color w:val="000000"/>
          <w:sz w:val="72"/>
          <w:szCs w:val="72"/>
          <w:lang w:val="en-US" w:eastAsia="zh-CN"/>
        </w:rPr>
      </w:pPr>
      <w:bookmarkStart w:id="0" w:name="_Toc15306267"/>
    </w:p>
    <w:p>
      <w:pPr>
        <w:spacing w:line="600" w:lineRule="exact"/>
        <w:jc w:val="center"/>
        <w:outlineLvl w:val="9"/>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475"/>
      <w:bookmarkStart w:id="2" w:name="_Toc15377193"/>
      <w:bookmarkStart w:id="3" w:name="_Toc15377425"/>
      <w:bookmarkStart w:id="4" w:name="_Toc15396597"/>
      <w:bookmarkStart w:id="5" w:name="_Toc15378441"/>
      <w:bookmarkStart w:id="6" w:name="_Toc17634"/>
      <w:bookmarkStart w:id="7" w:name="_Toc29299"/>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bookmarkEnd w:id="6"/>
      <w:bookmarkEnd w:id="7"/>
    </w:p>
    <w:p>
      <w:pPr>
        <w:adjustRightInd w:val="0"/>
        <w:snapToGrid w:val="0"/>
        <w:spacing w:line="360" w:lineRule="auto"/>
        <w:jc w:val="center"/>
        <w:outlineLvl w:val="0"/>
        <w:rPr>
          <w:rFonts w:ascii="方正小标宋简体" w:hAnsi="宋体" w:eastAsia="方正小标宋简体"/>
          <w:color w:val="000000"/>
          <w:sz w:val="72"/>
          <w:szCs w:val="72"/>
        </w:rPr>
      </w:pPr>
      <w:bookmarkStart w:id="8" w:name="_Toc15377194"/>
      <w:bookmarkStart w:id="9" w:name="_Toc15377426"/>
      <w:bookmarkStart w:id="10" w:name="_Toc15396598"/>
      <w:bookmarkStart w:id="11" w:name="_Toc606"/>
      <w:bookmarkStart w:id="12" w:name="_Toc28729"/>
      <w:bookmarkStart w:id="13" w:name="_Toc15378442"/>
      <w:bookmarkStart w:id="14" w:name="_Toc15396476"/>
      <w:r>
        <w:rPr>
          <w:rFonts w:hint="eastAsia" w:ascii="方正小标宋简体" w:hAnsi="宋体" w:eastAsia="方正小标宋简体"/>
          <w:color w:val="000000"/>
          <w:sz w:val="72"/>
          <w:szCs w:val="72"/>
        </w:rPr>
        <w:t>四川省阿坝州</w:t>
      </w:r>
      <w:bookmarkEnd w:id="0"/>
      <w:bookmarkStart w:id="15" w:name="_Toc15306268"/>
      <w:r>
        <w:rPr>
          <w:rFonts w:hint="eastAsia" w:ascii="方正小标宋简体" w:hAnsi="宋体" w:eastAsia="方正小标宋简体"/>
          <w:color w:val="000000"/>
          <w:sz w:val="72"/>
          <w:szCs w:val="72"/>
          <w:lang w:eastAsia="zh-CN"/>
        </w:rPr>
        <w:t>共青团红原县委</w:t>
      </w:r>
      <w:r>
        <w:rPr>
          <w:rFonts w:hint="eastAsia" w:ascii="方正小标宋简体" w:hAnsi="宋体" w:eastAsia="方正小标宋简体"/>
          <w:color w:val="000000"/>
          <w:sz w:val="72"/>
          <w:szCs w:val="72"/>
        </w:rPr>
        <w:t>部门决算</w:t>
      </w:r>
      <w:bookmarkEnd w:id="8"/>
      <w:bookmarkEnd w:id="9"/>
      <w:bookmarkEnd w:id="10"/>
      <w:bookmarkEnd w:id="11"/>
      <w:bookmarkEnd w:id="12"/>
      <w:bookmarkEnd w:id="13"/>
      <w:bookmarkEnd w:id="14"/>
      <w:bookmarkEnd w:id="15"/>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widowControl/>
        <w:jc w:val="cente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p>
    <w:p>
      <w:pPr>
        <w:widowControl/>
        <w:jc w:val="center"/>
        <w:rPr>
          <w:rFonts w:ascii="方正小标宋简体" w:hAnsi="宋体" w:eastAsia="方正小标宋简体"/>
          <w:sz w:val="36"/>
          <w:szCs w:val="36"/>
        </w:rPr>
      </w:pPr>
    </w:p>
    <w:p>
      <w:pPr>
        <w:keepNext w:val="0"/>
        <w:keepLines w:val="0"/>
        <w:pageBreakBefore w:val="0"/>
        <w:widowControl/>
        <w:kinsoku/>
        <w:wordWrap/>
        <w:overflowPunct/>
        <w:topLinePunct w:val="0"/>
        <w:autoSpaceDE/>
        <w:autoSpaceDN/>
        <w:bidi w:val="0"/>
        <w:adjustRightInd/>
        <w:snapToGrid/>
        <w:spacing w:line="576" w:lineRule="exact"/>
        <w:jc w:val="center"/>
        <w:textAlignment w:val="auto"/>
        <w:rPr>
          <w:rFonts w:hint="eastAsia"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sdt>
      <w:sdtPr>
        <w:rPr>
          <w:rFonts w:hint="eastAsia" w:ascii="仿宋_GB2312" w:hAnsi="仿宋_GB2312" w:eastAsia="仿宋_GB2312" w:cs="仿宋_GB2312"/>
          <w:kern w:val="2"/>
          <w:sz w:val="32"/>
          <w:szCs w:val="32"/>
          <w:lang w:val="en-US" w:eastAsia="zh-CN" w:bidi="ar-SA"/>
        </w:rPr>
        <w:id w:val="147465703"/>
        <w15:color w:val="DBDBDB"/>
        <w:docPartObj>
          <w:docPartGallery w:val="Table of Contents"/>
          <w:docPartUnique/>
        </w:docPartObj>
      </w:sdtPr>
      <w:sdtEndPr>
        <w:rPr>
          <w:rFonts w:hint="eastAsia" w:ascii="Times New Roman" w:hAnsi="Times New Roman" w:eastAsia="宋体" w:cs="Times New Roman"/>
          <w:kern w:val="2"/>
          <w:sz w:val="21"/>
          <w:szCs w:val="24"/>
          <w:lang w:val="en-US" w:eastAsia="zh-CN" w:bidi="ar-SA"/>
        </w:rPr>
      </w:sdtEndPr>
      <w:sdtContent>
        <w:p>
          <w:pPr>
            <w:keepNext w:val="0"/>
            <w:keepLines w:val="0"/>
            <w:pageBreakBefore w:val="0"/>
            <w:kinsoku/>
            <w:wordWrap/>
            <w:overflowPunct/>
            <w:topLinePunct w:val="0"/>
            <w:autoSpaceDE/>
            <w:autoSpaceDN/>
            <w:bidi w:val="0"/>
            <w:adjustRightInd/>
            <w:snapToGrid/>
            <w:spacing w:before="0" w:beforeLines="0" w:after="0" w:afterLines="0" w:line="576" w:lineRule="exact"/>
            <w:ind w:left="0" w:leftChars="0" w:right="0" w:rightChars="0" w:firstLine="0" w:firstLineChars="0"/>
            <w:jc w:val="center"/>
            <w:textAlignment w:val="auto"/>
            <w:rPr>
              <w:rFonts w:hint="eastAsia" w:ascii="仿宋_GB2312" w:hAnsi="仿宋_GB2312" w:eastAsia="仿宋_GB2312" w:cs="仿宋_GB2312"/>
              <w:sz w:val="32"/>
              <w:szCs w:val="32"/>
            </w:rPr>
          </w:pPr>
          <w:bookmarkStart w:id="181" w:name="_GoBack"/>
          <w:bookmarkEnd w:id="181"/>
          <w:r>
            <w:fldChar w:fldCharType="begin"/>
          </w:r>
          <w:r>
            <w:instrText xml:space="preserve">TOC \o "1-3" \h \u </w:instrText>
          </w:r>
          <w:r>
            <w:fldChar w:fldCharType="separate"/>
          </w:r>
        </w:p>
        <w:p>
          <w:pPr>
            <w:pStyle w:val="33"/>
            <w:keepNext w:val="0"/>
            <w:keepLines w:val="0"/>
            <w:pageBreakBefore w:val="0"/>
            <w:tabs>
              <w:tab w:val="right" w:leader="dot" w:pos="8300"/>
            </w:tabs>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_Toc12475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第一部分 部门概况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_Toc12475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keepNext w:val="0"/>
            <w:keepLines w:val="0"/>
            <w:pageBreakBefore w:val="0"/>
            <w:tabs>
              <w:tab w:val="right" w:leader="dot" w:pos="8300"/>
            </w:tabs>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_Toc5587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第二部分度部门决算情况说明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_Toc5587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keepNext w:val="0"/>
            <w:keepLines w:val="0"/>
            <w:pageBreakBefore w:val="0"/>
            <w:tabs>
              <w:tab w:val="right" w:leader="dot" w:pos="8300"/>
            </w:tabs>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_Toc26657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第三部分 名词解释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_Toc26657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keepNext w:val="0"/>
            <w:keepLines w:val="0"/>
            <w:pageBreakBefore w:val="0"/>
            <w:tabs>
              <w:tab w:val="right" w:leader="dot" w:pos="8300"/>
            </w:tabs>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_Toc19496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第四部分 附件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_Toc19496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keepNext w:val="0"/>
            <w:keepLines w:val="0"/>
            <w:pageBreakBefore w:val="0"/>
            <w:tabs>
              <w:tab w:val="right" w:leader="dot" w:pos="8300"/>
            </w:tabs>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_Toc12329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第五部分 附表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_Toc12329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keepNext w:val="0"/>
            <w:keepLines w:val="0"/>
            <w:pageBreakBefore w:val="0"/>
            <w:tabs>
              <w:tab w:val="right" w:leader="dot" w:pos="8300"/>
            </w:tabs>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_Toc12567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xml:space="preserve">第一部分 </w:t>
          </w:r>
          <w:r>
            <w:rPr>
              <w:rFonts w:hint="eastAsia" w:ascii="仿宋_GB2312" w:hAnsi="仿宋_GB2312" w:eastAsia="仿宋_GB2312" w:cs="仿宋_GB2312"/>
              <w:bCs w:val="0"/>
              <w:sz w:val="32"/>
              <w:szCs w:val="32"/>
            </w:rPr>
            <w:t>部门概况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_Toc12567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4"/>
            <w:keepNext w:val="0"/>
            <w:keepLines w:val="0"/>
            <w:pageBreakBefore w:val="0"/>
            <w:tabs>
              <w:tab w:val="right" w:leader="dot" w:pos="8300"/>
            </w:tabs>
            <w:kinsoku/>
            <w:wordWrap/>
            <w:overflowPunct/>
            <w:topLinePunct w:val="0"/>
            <w:autoSpaceDE/>
            <w:autoSpaceDN/>
            <w:bidi w:val="0"/>
            <w:adjustRightInd/>
            <w:snapToGrid/>
            <w:spacing w:line="576"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_Toc20462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一、基</w:t>
          </w:r>
          <w:r>
            <w:rPr>
              <w:rFonts w:hint="eastAsia" w:ascii="仿宋_GB2312" w:hAnsi="仿宋_GB2312" w:eastAsia="仿宋_GB2312" w:cs="仿宋_GB2312"/>
              <w:bCs w:val="0"/>
              <w:sz w:val="32"/>
              <w:szCs w:val="32"/>
            </w:rPr>
            <w:t>本职能及主要工作</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_Toc20462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5"/>
            <w:keepNext w:val="0"/>
            <w:keepLines w:val="0"/>
            <w:pageBreakBefore w:val="0"/>
            <w:tabs>
              <w:tab w:val="right" w:leader="dot" w:pos="8300"/>
            </w:tabs>
            <w:kinsoku/>
            <w:wordWrap/>
            <w:overflowPunct/>
            <w:topLinePunct w:val="0"/>
            <w:autoSpaceDE/>
            <w:autoSpaceDN/>
            <w:bidi w:val="0"/>
            <w:adjustRightInd/>
            <w:snapToGrid/>
            <w:spacing w:line="576"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_Toc21811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sz w:val="32"/>
              <w:szCs w:val="32"/>
            </w:rPr>
            <w:t>（一）主要职能。</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_Toc21811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5"/>
            <w:keepNext w:val="0"/>
            <w:keepLines w:val="0"/>
            <w:pageBreakBefore w:val="0"/>
            <w:tabs>
              <w:tab w:val="right" w:leader="dot" w:pos="8300"/>
            </w:tabs>
            <w:kinsoku/>
            <w:wordWrap/>
            <w:overflowPunct/>
            <w:topLinePunct w:val="0"/>
            <w:autoSpaceDE/>
            <w:autoSpaceDN/>
            <w:bidi w:val="0"/>
            <w:adjustRightInd/>
            <w:snapToGrid/>
            <w:spacing w:line="576"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_Toc3061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sz w:val="32"/>
              <w:szCs w:val="32"/>
            </w:rPr>
            <w:t>（二）201</w:t>
          </w:r>
          <w:r>
            <w:rPr>
              <w:rFonts w:hint="eastAsia" w:ascii="仿宋_GB2312" w:hAnsi="仿宋_GB2312" w:eastAsia="仿宋_GB2312" w:cs="仿宋_GB2312"/>
              <w:bCs/>
              <w:sz w:val="32"/>
              <w:szCs w:val="32"/>
              <w:lang w:val="en-US" w:eastAsia="zh-CN"/>
            </w:rPr>
            <w:t>9</w:t>
          </w:r>
          <w:r>
            <w:rPr>
              <w:rFonts w:hint="eastAsia" w:ascii="仿宋_GB2312" w:hAnsi="仿宋_GB2312" w:eastAsia="仿宋_GB2312" w:cs="仿宋_GB2312"/>
              <w:bCs/>
              <w:sz w:val="32"/>
              <w:szCs w:val="32"/>
            </w:rPr>
            <w:t>年重点工作完成情况。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_Toc3061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4"/>
            <w:keepNext w:val="0"/>
            <w:keepLines w:val="0"/>
            <w:pageBreakBefore w:val="0"/>
            <w:tabs>
              <w:tab w:val="right" w:leader="dot" w:pos="8300"/>
            </w:tabs>
            <w:kinsoku/>
            <w:wordWrap/>
            <w:overflowPunct/>
            <w:topLinePunct w:val="0"/>
            <w:autoSpaceDE/>
            <w:autoSpaceDN/>
            <w:bidi w:val="0"/>
            <w:adjustRightInd/>
            <w:snapToGrid/>
            <w:spacing w:line="576"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_Toc4139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二、机</w:t>
          </w:r>
          <w:r>
            <w:rPr>
              <w:rFonts w:hint="eastAsia" w:ascii="仿宋_GB2312" w:hAnsi="仿宋_GB2312" w:eastAsia="仿宋_GB2312" w:cs="仿宋_GB2312"/>
              <w:bCs w:val="0"/>
              <w:sz w:val="32"/>
              <w:szCs w:val="32"/>
            </w:rPr>
            <w:t>构设置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_Toc4139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keepNext w:val="0"/>
            <w:keepLines w:val="0"/>
            <w:pageBreakBefore w:val="0"/>
            <w:tabs>
              <w:tab w:val="right" w:leader="dot" w:pos="8300"/>
            </w:tabs>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_Toc5617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xml:space="preserve">第二部分 </w:t>
          </w:r>
          <w:r>
            <w:rPr>
              <w:rFonts w:hint="eastAsia" w:ascii="仿宋_GB2312" w:hAnsi="仿宋_GB2312" w:eastAsia="仿宋_GB2312" w:cs="仿宋_GB2312"/>
              <w:bCs w:val="0"/>
              <w:sz w:val="32"/>
              <w:szCs w:val="32"/>
            </w:rPr>
            <w:t>2019年度部门决算情况说明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_Toc5617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4"/>
            <w:keepNext w:val="0"/>
            <w:keepLines w:val="0"/>
            <w:pageBreakBefore w:val="0"/>
            <w:tabs>
              <w:tab w:val="right" w:leader="dot" w:pos="8300"/>
            </w:tabs>
            <w:kinsoku/>
            <w:wordWrap/>
            <w:overflowPunct/>
            <w:topLinePunct w:val="0"/>
            <w:autoSpaceDE/>
            <w:autoSpaceDN/>
            <w:bidi w:val="0"/>
            <w:adjustRightInd/>
            <w:snapToGrid/>
            <w:spacing w:line="576"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_Toc6063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一、 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_Toc6063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4"/>
            <w:keepNext w:val="0"/>
            <w:keepLines w:val="0"/>
            <w:pageBreakBefore w:val="0"/>
            <w:tabs>
              <w:tab w:val="right" w:leader="dot" w:pos="8300"/>
            </w:tabs>
            <w:kinsoku/>
            <w:wordWrap/>
            <w:overflowPunct/>
            <w:topLinePunct w:val="0"/>
            <w:autoSpaceDE/>
            <w:autoSpaceDN/>
            <w:bidi w:val="0"/>
            <w:adjustRightInd/>
            <w:snapToGrid/>
            <w:spacing w:line="576"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_Toc31957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二、 收入决算情况说明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_Toc31957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4"/>
            <w:keepNext w:val="0"/>
            <w:keepLines w:val="0"/>
            <w:pageBreakBefore w:val="0"/>
            <w:tabs>
              <w:tab w:val="right" w:leader="dot" w:pos="8300"/>
            </w:tabs>
            <w:kinsoku/>
            <w:wordWrap/>
            <w:overflowPunct/>
            <w:topLinePunct w:val="0"/>
            <w:autoSpaceDE/>
            <w:autoSpaceDN/>
            <w:bidi w:val="0"/>
            <w:adjustRightInd/>
            <w:snapToGrid/>
            <w:spacing w:line="576"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_Toc12783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三、 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_Toc12783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4"/>
            <w:keepNext w:val="0"/>
            <w:keepLines w:val="0"/>
            <w:pageBreakBefore w:val="0"/>
            <w:tabs>
              <w:tab w:val="right" w:leader="dot" w:pos="8300"/>
            </w:tabs>
            <w:kinsoku/>
            <w:wordWrap/>
            <w:overflowPunct/>
            <w:topLinePunct w:val="0"/>
            <w:autoSpaceDE/>
            <w:autoSpaceDN/>
            <w:bidi w:val="0"/>
            <w:adjustRightInd/>
            <w:snapToGrid/>
            <w:spacing w:line="576"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_Toc3570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四、财政拨款收入支出决算总体情况说明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_Toc3570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4"/>
            <w:keepNext w:val="0"/>
            <w:keepLines w:val="0"/>
            <w:pageBreakBefore w:val="0"/>
            <w:tabs>
              <w:tab w:val="right" w:leader="dot" w:pos="8300"/>
            </w:tabs>
            <w:kinsoku/>
            <w:wordWrap/>
            <w:overflowPunct/>
            <w:topLinePunct w:val="0"/>
            <w:autoSpaceDE/>
            <w:autoSpaceDN/>
            <w:bidi w:val="0"/>
            <w:adjustRightInd/>
            <w:snapToGrid/>
            <w:spacing w:line="576"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_Toc17850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五、一般公共预算财政拨款支出决算情况说明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_Toc17850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5"/>
            <w:keepNext w:val="0"/>
            <w:keepLines w:val="0"/>
            <w:pageBreakBefore w:val="0"/>
            <w:tabs>
              <w:tab w:val="right" w:leader="dot" w:pos="8300"/>
            </w:tabs>
            <w:kinsoku/>
            <w:wordWrap/>
            <w:overflowPunct/>
            <w:topLinePunct w:val="0"/>
            <w:autoSpaceDE/>
            <w:autoSpaceDN/>
            <w:bidi w:val="0"/>
            <w:adjustRightInd/>
            <w:snapToGrid/>
            <w:spacing w:line="576"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_Toc23406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（一）一般公共预算财政拨款支出决算总体情况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_Toc23406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5"/>
            <w:keepNext w:val="0"/>
            <w:keepLines w:val="0"/>
            <w:pageBreakBefore w:val="0"/>
            <w:tabs>
              <w:tab w:val="right" w:leader="dot" w:pos="8300"/>
            </w:tabs>
            <w:kinsoku/>
            <w:wordWrap/>
            <w:overflowPunct/>
            <w:topLinePunct w:val="0"/>
            <w:autoSpaceDE/>
            <w:autoSpaceDN/>
            <w:bidi w:val="0"/>
            <w:adjustRightInd/>
            <w:snapToGrid/>
            <w:spacing w:line="576"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_Toc23642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（二）一般公共预算财政拨款支出决算结构情况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_Toc23642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5"/>
            <w:keepNext w:val="0"/>
            <w:keepLines w:val="0"/>
            <w:pageBreakBefore w:val="0"/>
            <w:tabs>
              <w:tab w:val="right" w:leader="dot" w:pos="8300"/>
            </w:tabs>
            <w:kinsoku/>
            <w:wordWrap/>
            <w:overflowPunct/>
            <w:topLinePunct w:val="0"/>
            <w:autoSpaceDE/>
            <w:autoSpaceDN/>
            <w:bidi w:val="0"/>
            <w:adjustRightInd/>
            <w:snapToGrid/>
            <w:spacing w:line="576"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_Toc26600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（三）一般公共预算财政拨款支出决算具体情况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_Toc26600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4"/>
            <w:keepNext w:val="0"/>
            <w:keepLines w:val="0"/>
            <w:pageBreakBefore w:val="0"/>
            <w:tabs>
              <w:tab w:val="right" w:leader="dot" w:pos="8300"/>
            </w:tabs>
            <w:kinsoku/>
            <w:wordWrap/>
            <w:overflowPunct/>
            <w:topLinePunct w:val="0"/>
            <w:autoSpaceDE/>
            <w:autoSpaceDN/>
            <w:bidi w:val="0"/>
            <w:adjustRightInd/>
            <w:snapToGrid/>
            <w:spacing w:line="576"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_Toc11898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六、一般公共预算财政拨款基本支出决算情况说明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_Toc11898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4"/>
            <w:keepNext w:val="0"/>
            <w:keepLines w:val="0"/>
            <w:pageBreakBefore w:val="0"/>
            <w:tabs>
              <w:tab w:val="right" w:leader="dot" w:pos="8300"/>
            </w:tabs>
            <w:kinsoku/>
            <w:wordWrap/>
            <w:overflowPunct/>
            <w:topLinePunct w:val="0"/>
            <w:autoSpaceDE/>
            <w:autoSpaceDN/>
            <w:bidi w:val="0"/>
            <w:adjustRightInd/>
            <w:snapToGrid/>
            <w:spacing w:line="576"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七、“三公”经费财政拨款支出决算情况说明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5"/>
            <w:keepNext w:val="0"/>
            <w:keepLines w:val="0"/>
            <w:pageBreakBefore w:val="0"/>
            <w:tabs>
              <w:tab w:val="right" w:leader="dot" w:pos="8300"/>
            </w:tabs>
            <w:kinsoku/>
            <w:wordWrap/>
            <w:overflowPunct/>
            <w:topLinePunct w:val="0"/>
            <w:autoSpaceDE/>
            <w:autoSpaceDN/>
            <w:bidi w:val="0"/>
            <w:adjustRightInd/>
            <w:snapToGrid/>
            <w:spacing w:line="576"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_Toc28860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（一）“三公”经费财政拨款支出决算总体情况说明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_Toc28860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5"/>
            <w:keepNext w:val="0"/>
            <w:keepLines w:val="0"/>
            <w:pageBreakBefore w:val="0"/>
            <w:tabs>
              <w:tab w:val="right" w:leader="dot" w:pos="8300"/>
            </w:tabs>
            <w:kinsoku/>
            <w:wordWrap/>
            <w:overflowPunct/>
            <w:topLinePunct w:val="0"/>
            <w:autoSpaceDE/>
            <w:autoSpaceDN/>
            <w:bidi w:val="0"/>
            <w:adjustRightInd/>
            <w:snapToGrid/>
            <w:spacing w:line="576"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_Toc2107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（二）“三公”经费财政拨款支出决算具体情况说明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_Toc2107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4"/>
            <w:keepNext w:val="0"/>
            <w:keepLines w:val="0"/>
            <w:pageBreakBefore w:val="0"/>
            <w:tabs>
              <w:tab w:val="right" w:leader="dot" w:pos="8300"/>
            </w:tabs>
            <w:kinsoku/>
            <w:wordWrap/>
            <w:overflowPunct/>
            <w:topLinePunct w:val="0"/>
            <w:autoSpaceDE/>
            <w:autoSpaceDN/>
            <w:bidi w:val="0"/>
            <w:adjustRightInd/>
            <w:snapToGrid/>
            <w:spacing w:line="576"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_Toc30669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八、政府性基金预算支出决算情况说明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_Toc30669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4"/>
            <w:keepNext w:val="0"/>
            <w:keepLines w:val="0"/>
            <w:pageBreakBefore w:val="0"/>
            <w:tabs>
              <w:tab w:val="right" w:leader="dot" w:pos="8300"/>
            </w:tabs>
            <w:kinsoku/>
            <w:wordWrap/>
            <w:overflowPunct/>
            <w:topLinePunct w:val="0"/>
            <w:autoSpaceDE/>
            <w:autoSpaceDN/>
            <w:bidi w:val="0"/>
            <w:adjustRightInd/>
            <w:snapToGrid/>
            <w:spacing w:line="576"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_Toc28182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九、 国有资本经营预算支出决算情况说明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_Toc28182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4"/>
            <w:keepNext w:val="0"/>
            <w:keepLines w:val="0"/>
            <w:pageBreakBefore w:val="0"/>
            <w:tabs>
              <w:tab w:val="right" w:leader="dot" w:pos="8300"/>
            </w:tabs>
            <w:kinsoku/>
            <w:wordWrap/>
            <w:overflowPunct/>
            <w:topLinePunct w:val="0"/>
            <w:autoSpaceDE/>
            <w:autoSpaceDN/>
            <w:bidi w:val="0"/>
            <w:adjustRightInd/>
            <w:snapToGrid/>
            <w:spacing w:line="576"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_Toc18091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十、其他重要事项的情况说明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_Toc18091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5"/>
            <w:keepNext w:val="0"/>
            <w:keepLines w:val="0"/>
            <w:pageBreakBefore w:val="0"/>
            <w:tabs>
              <w:tab w:val="right" w:leader="dot" w:pos="8300"/>
            </w:tabs>
            <w:kinsoku/>
            <w:wordWrap/>
            <w:overflowPunct/>
            <w:topLinePunct w:val="0"/>
            <w:autoSpaceDE/>
            <w:autoSpaceDN/>
            <w:bidi w:val="0"/>
            <w:adjustRightInd/>
            <w:snapToGrid/>
            <w:spacing w:line="576"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_Toc11085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（一）机关运行经费支出情况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_Toc11085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5"/>
            <w:keepNext w:val="0"/>
            <w:keepLines w:val="0"/>
            <w:pageBreakBefore w:val="0"/>
            <w:tabs>
              <w:tab w:val="right" w:leader="dot" w:pos="8300"/>
            </w:tabs>
            <w:kinsoku/>
            <w:wordWrap/>
            <w:overflowPunct/>
            <w:topLinePunct w:val="0"/>
            <w:autoSpaceDE/>
            <w:autoSpaceDN/>
            <w:bidi w:val="0"/>
            <w:adjustRightInd/>
            <w:snapToGrid/>
            <w:spacing w:line="576"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_Toc4154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（二）政府采购支出情况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_Toc4154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5"/>
            <w:keepNext w:val="0"/>
            <w:keepLines w:val="0"/>
            <w:pageBreakBefore w:val="0"/>
            <w:tabs>
              <w:tab w:val="right" w:leader="dot" w:pos="8300"/>
            </w:tabs>
            <w:kinsoku/>
            <w:wordWrap/>
            <w:overflowPunct/>
            <w:topLinePunct w:val="0"/>
            <w:autoSpaceDE/>
            <w:autoSpaceDN/>
            <w:bidi w:val="0"/>
            <w:adjustRightInd/>
            <w:snapToGrid/>
            <w:spacing w:line="576"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_Toc20263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（三）国有资产占有使用情况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_Toc20263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5"/>
            <w:keepNext w:val="0"/>
            <w:keepLines w:val="0"/>
            <w:pageBreakBefore w:val="0"/>
            <w:tabs>
              <w:tab w:val="right" w:leader="dot" w:pos="8300"/>
            </w:tabs>
            <w:kinsoku/>
            <w:wordWrap/>
            <w:overflowPunct/>
            <w:topLinePunct w:val="0"/>
            <w:autoSpaceDE/>
            <w:autoSpaceDN/>
            <w:bidi w:val="0"/>
            <w:adjustRightInd/>
            <w:snapToGrid/>
            <w:spacing w:line="576"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_Toc5811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（四）预算绩效管理情况。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_Toc5811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keepNext w:val="0"/>
            <w:keepLines w:val="0"/>
            <w:pageBreakBefore w:val="0"/>
            <w:tabs>
              <w:tab w:val="right" w:leader="dot" w:pos="8300"/>
            </w:tabs>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_Toc2760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第三部分 名词解释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_Toc2760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keepNext w:val="0"/>
            <w:keepLines w:val="0"/>
            <w:pageBreakBefore w:val="0"/>
            <w:tabs>
              <w:tab w:val="right" w:leader="dot" w:pos="8300"/>
            </w:tabs>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_Toc1868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第四部分 附件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_Toc1868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4"/>
            <w:keepNext w:val="0"/>
            <w:keepLines w:val="0"/>
            <w:pageBreakBefore w:val="0"/>
            <w:tabs>
              <w:tab w:val="right" w:leader="dot" w:pos="8300"/>
            </w:tabs>
            <w:kinsoku/>
            <w:wordWrap/>
            <w:overflowPunct/>
            <w:topLinePunct w:val="0"/>
            <w:autoSpaceDE/>
            <w:autoSpaceDN/>
            <w:bidi w:val="0"/>
            <w:adjustRightInd/>
            <w:snapToGrid/>
            <w:spacing w:line="576"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_Toc7335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附件1</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_Toc7335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4"/>
            <w:keepNext w:val="0"/>
            <w:keepLines w:val="0"/>
            <w:pageBreakBefore w:val="0"/>
            <w:tabs>
              <w:tab w:val="right" w:leader="dot" w:pos="8300"/>
            </w:tabs>
            <w:kinsoku/>
            <w:wordWrap/>
            <w:overflowPunct/>
            <w:topLinePunct w:val="0"/>
            <w:autoSpaceDE/>
            <w:autoSpaceDN/>
            <w:bidi w:val="0"/>
            <w:adjustRightInd/>
            <w:snapToGrid/>
            <w:spacing w:line="576"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_Toc15445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附件2</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_Toc15445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4"/>
            <w:keepNext w:val="0"/>
            <w:keepLines w:val="0"/>
            <w:pageBreakBefore w:val="0"/>
            <w:tabs>
              <w:tab w:val="right" w:leader="dot" w:pos="8300"/>
            </w:tabs>
            <w:kinsoku/>
            <w:wordWrap/>
            <w:overflowPunct/>
            <w:topLinePunct w:val="0"/>
            <w:autoSpaceDE/>
            <w:autoSpaceDN/>
            <w:bidi w:val="0"/>
            <w:adjustRightInd/>
            <w:snapToGrid/>
            <w:spacing w:line="576"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_Toc31931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kern w:val="0"/>
              <w:sz w:val="32"/>
              <w:szCs w:val="32"/>
              <w:lang w:val="en-US" w:eastAsia="zh-CN"/>
            </w:rPr>
            <w:t>2019年关心下一代工作委员会经费</w:t>
          </w:r>
          <w:r>
            <w:rPr>
              <w:rFonts w:hint="eastAsia" w:ascii="仿宋_GB2312" w:hAnsi="仿宋_GB2312" w:eastAsia="仿宋_GB2312" w:cs="仿宋_GB2312"/>
              <w:kern w:val="0"/>
              <w:sz w:val="32"/>
              <w:szCs w:val="32"/>
              <w:lang w:val="zh-CN"/>
            </w:rPr>
            <w:t>项目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_Toc31931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4"/>
            <w:keepNext w:val="0"/>
            <w:keepLines w:val="0"/>
            <w:pageBreakBefore w:val="0"/>
            <w:tabs>
              <w:tab w:val="right" w:leader="dot" w:pos="8300"/>
            </w:tabs>
            <w:kinsoku/>
            <w:wordWrap/>
            <w:overflowPunct/>
            <w:topLinePunct w:val="0"/>
            <w:autoSpaceDE/>
            <w:autoSpaceDN/>
            <w:bidi w:val="0"/>
            <w:adjustRightInd/>
            <w:snapToGrid/>
            <w:spacing w:line="576"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_Toc24874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kern w:val="0"/>
              <w:sz w:val="32"/>
              <w:szCs w:val="32"/>
              <w:lang w:val="zh-CN"/>
            </w:rPr>
            <w:t>绩效评价报告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_Toc24874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5"/>
            <w:keepNext w:val="0"/>
            <w:keepLines w:val="0"/>
            <w:pageBreakBefore w:val="0"/>
            <w:tabs>
              <w:tab w:val="right" w:leader="dot" w:pos="8300"/>
            </w:tabs>
            <w:kinsoku/>
            <w:wordWrap/>
            <w:overflowPunct/>
            <w:topLinePunct w:val="0"/>
            <w:autoSpaceDE/>
            <w:autoSpaceDN/>
            <w:bidi w:val="0"/>
            <w:adjustRightInd/>
            <w:snapToGrid/>
            <w:spacing w:line="576"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_Toc30510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val="zh-CN"/>
            </w:rPr>
            <w:t>（一）项目基本情况。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_Toc30510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5"/>
            <w:keepNext w:val="0"/>
            <w:keepLines w:val="0"/>
            <w:pageBreakBefore w:val="0"/>
            <w:tabs>
              <w:tab w:val="right" w:leader="dot" w:pos="8300"/>
            </w:tabs>
            <w:kinsoku/>
            <w:wordWrap/>
            <w:overflowPunct/>
            <w:topLinePunct w:val="0"/>
            <w:autoSpaceDE/>
            <w:autoSpaceDN/>
            <w:bidi w:val="0"/>
            <w:adjustRightInd/>
            <w:snapToGrid/>
            <w:spacing w:line="576"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_Toc3738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val="en-US" w:eastAsia="zh-CN"/>
            </w:rPr>
            <w:t>(二)项目资金使用方向及范围</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_Toc3738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5"/>
            <w:keepNext w:val="0"/>
            <w:keepLines w:val="0"/>
            <w:pageBreakBefore w:val="0"/>
            <w:tabs>
              <w:tab w:val="right" w:leader="dot" w:pos="8300"/>
            </w:tabs>
            <w:kinsoku/>
            <w:wordWrap/>
            <w:overflowPunct/>
            <w:topLinePunct w:val="0"/>
            <w:autoSpaceDE/>
            <w:autoSpaceDN/>
            <w:bidi w:val="0"/>
            <w:adjustRightInd/>
            <w:snapToGrid/>
            <w:spacing w:line="576"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_Toc4507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val="en-US" w:eastAsia="zh-CN"/>
            </w:rPr>
            <w:t>（三）项目资金实际拨款进度以及资金使用方向</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_Toc4507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5"/>
            <w:keepNext w:val="0"/>
            <w:keepLines w:val="0"/>
            <w:pageBreakBefore w:val="0"/>
            <w:tabs>
              <w:tab w:val="right" w:leader="dot" w:pos="8300"/>
            </w:tabs>
            <w:kinsoku/>
            <w:wordWrap/>
            <w:overflowPunct/>
            <w:topLinePunct w:val="0"/>
            <w:autoSpaceDE/>
            <w:autoSpaceDN/>
            <w:bidi w:val="0"/>
            <w:adjustRightInd/>
            <w:snapToGrid/>
            <w:spacing w:line="576"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_Toc27581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lang w:val="zh-CN"/>
            </w:rPr>
            <w:t>）项目绩效目标。</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_Toc27581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5"/>
            <w:keepNext w:val="0"/>
            <w:keepLines w:val="0"/>
            <w:pageBreakBefore w:val="0"/>
            <w:tabs>
              <w:tab w:val="right" w:leader="dot" w:pos="8300"/>
            </w:tabs>
            <w:kinsoku/>
            <w:wordWrap/>
            <w:overflowPunct/>
            <w:topLinePunct w:val="0"/>
            <w:autoSpaceDE/>
            <w:autoSpaceDN/>
            <w:bidi w:val="0"/>
            <w:adjustRightInd/>
            <w:snapToGrid/>
            <w:spacing w:line="576"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_Toc14098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lang w:val="zh-CN"/>
            </w:rPr>
            <w:t>）项目自评步骤及方法。</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_Toc14098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5"/>
            <w:keepNext w:val="0"/>
            <w:keepLines w:val="0"/>
            <w:pageBreakBefore w:val="0"/>
            <w:tabs>
              <w:tab w:val="right" w:leader="dot" w:pos="8300"/>
            </w:tabs>
            <w:kinsoku/>
            <w:wordWrap/>
            <w:overflowPunct/>
            <w:topLinePunct w:val="0"/>
            <w:autoSpaceDE/>
            <w:autoSpaceDN/>
            <w:bidi w:val="0"/>
            <w:adjustRightInd/>
            <w:snapToGrid/>
            <w:spacing w:line="576"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_Toc32340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lang w:val="zh-CN"/>
            </w:rPr>
            <w:t>）项目财务管理情况。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_Toc32340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5"/>
            <w:keepNext w:val="0"/>
            <w:keepLines w:val="0"/>
            <w:pageBreakBefore w:val="0"/>
            <w:tabs>
              <w:tab w:val="right" w:leader="dot" w:pos="8300"/>
            </w:tabs>
            <w:kinsoku/>
            <w:wordWrap/>
            <w:overflowPunct/>
            <w:topLinePunct w:val="0"/>
            <w:autoSpaceDE/>
            <w:autoSpaceDN/>
            <w:bidi w:val="0"/>
            <w:adjustRightInd/>
            <w:snapToGrid/>
            <w:spacing w:line="576"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_Toc18816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val="en-US" w:eastAsia="zh-CN"/>
            </w:rPr>
            <w:t>（七） 项目实施成果</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_Toc18816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keepNext w:val="0"/>
            <w:keepLines w:val="0"/>
            <w:pageBreakBefore w:val="0"/>
            <w:tabs>
              <w:tab w:val="right" w:leader="dot" w:pos="8300"/>
            </w:tabs>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_Toc28437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第五部分 附表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_Toc28437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4"/>
            <w:keepNext w:val="0"/>
            <w:keepLines w:val="0"/>
            <w:pageBreakBefore w:val="0"/>
            <w:tabs>
              <w:tab w:val="right" w:leader="dot" w:pos="8300"/>
            </w:tabs>
            <w:kinsoku/>
            <w:wordWrap/>
            <w:overflowPunct/>
            <w:topLinePunct w:val="0"/>
            <w:autoSpaceDE/>
            <w:autoSpaceDN/>
            <w:bidi w:val="0"/>
            <w:adjustRightInd/>
            <w:snapToGrid/>
            <w:spacing w:line="576"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_Toc27446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一、收</w:t>
          </w:r>
          <w:r>
            <w:rPr>
              <w:rFonts w:hint="eastAsia" w:ascii="仿宋_GB2312" w:hAnsi="仿宋_GB2312" w:eastAsia="仿宋_GB2312" w:cs="仿宋_GB2312"/>
              <w:bCs w:val="0"/>
              <w:sz w:val="32"/>
              <w:szCs w:val="32"/>
            </w:rPr>
            <w:t>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_Toc27446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4"/>
            <w:keepNext w:val="0"/>
            <w:keepLines w:val="0"/>
            <w:pageBreakBefore w:val="0"/>
            <w:tabs>
              <w:tab w:val="right" w:leader="dot" w:pos="8300"/>
            </w:tabs>
            <w:kinsoku/>
            <w:wordWrap/>
            <w:overflowPunct/>
            <w:topLinePunct w:val="0"/>
            <w:autoSpaceDE/>
            <w:autoSpaceDN/>
            <w:bidi w:val="0"/>
            <w:adjustRightInd/>
            <w:snapToGrid/>
            <w:spacing w:line="576"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_Toc27046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二、收</w:t>
          </w:r>
          <w:r>
            <w:rPr>
              <w:rFonts w:hint="eastAsia" w:ascii="仿宋_GB2312" w:hAnsi="仿宋_GB2312" w:eastAsia="仿宋_GB2312" w:cs="仿宋_GB2312"/>
              <w:bCs w:val="0"/>
              <w:sz w:val="32"/>
              <w:szCs w:val="32"/>
            </w:rPr>
            <w:t>入决算表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_Toc27046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4"/>
            <w:keepNext w:val="0"/>
            <w:keepLines w:val="0"/>
            <w:pageBreakBefore w:val="0"/>
            <w:tabs>
              <w:tab w:val="right" w:leader="dot" w:pos="8300"/>
            </w:tabs>
            <w:kinsoku/>
            <w:wordWrap/>
            <w:overflowPunct/>
            <w:topLinePunct w:val="0"/>
            <w:autoSpaceDE/>
            <w:autoSpaceDN/>
            <w:bidi w:val="0"/>
            <w:adjustRightInd/>
            <w:snapToGrid/>
            <w:spacing w:line="576"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_Toc10641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三、</w:t>
          </w:r>
          <w:r>
            <w:rPr>
              <w:rFonts w:hint="eastAsia" w:ascii="仿宋_GB2312" w:hAnsi="仿宋_GB2312" w:eastAsia="仿宋_GB2312" w:cs="仿宋_GB2312"/>
              <w:sz w:val="32"/>
              <w:szCs w:val="32"/>
            </w:rPr>
            <w:t>支</w:t>
          </w:r>
          <w:r>
            <w:rPr>
              <w:rFonts w:hint="eastAsia" w:ascii="仿宋_GB2312" w:hAnsi="仿宋_GB2312" w:eastAsia="仿宋_GB2312" w:cs="仿宋_GB2312"/>
              <w:bCs w:val="0"/>
              <w:sz w:val="32"/>
              <w:szCs w:val="32"/>
            </w:rPr>
            <w:t>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_Toc10641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4"/>
            <w:keepNext w:val="0"/>
            <w:keepLines w:val="0"/>
            <w:pageBreakBefore w:val="0"/>
            <w:tabs>
              <w:tab w:val="right" w:leader="dot" w:pos="8300"/>
            </w:tabs>
            <w:kinsoku/>
            <w:wordWrap/>
            <w:overflowPunct/>
            <w:topLinePunct w:val="0"/>
            <w:autoSpaceDE/>
            <w:autoSpaceDN/>
            <w:bidi w:val="0"/>
            <w:adjustRightInd/>
            <w:snapToGrid/>
            <w:spacing w:line="576"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_Toc15625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四、</w:t>
          </w:r>
          <w:r>
            <w:rPr>
              <w:rFonts w:hint="eastAsia" w:ascii="仿宋_GB2312" w:hAnsi="仿宋_GB2312" w:eastAsia="仿宋_GB2312" w:cs="仿宋_GB2312"/>
              <w:sz w:val="32"/>
              <w:szCs w:val="32"/>
            </w:rPr>
            <w:t>财</w:t>
          </w:r>
          <w:r>
            <w:rPr>
              <w:rFonts w:hint="eastAsia" w:ascii="仿宋_GB2312" w:hAnsi="仿宋_GB2312" w:eastAsia="仿宋_GB2312" w:cs="仿宋_GB2312"/>
              <w:bCs w:val="0"/>
              <w:sz w:val="32"/>
              <w:szCs w:val="32"/>
            </w:rPr>
            <w:t>政拨款收入支出决算总表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_Toc15625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4"/>
            <w:keepNext w:val="0"/>
            <w:keepLines w:val="0"/>
            <w:pageBreakBefore w:val="0"/>
            <w:tabs>
              <w:tab w:val="right" w:leader="dot" w:pos="8300"/>
            </w:tabs>
            <w:kinsoku/>
            <w:wordWrap/>
            <w:overflowPunct/>
            <w:topLinePunct w:val="0"/>
            <w:autoSpaceDE/>
            <w:autoSpaceDN/>
            <w:bidi w:val="0"/>
            <w:adjustRightInd/>
            <w:snapToGrid/>
            <w:spacing w:line="576"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_Toc14882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五、</w:t>
          </w:r>
          <w:r>
            <w:rPr>
              <w:rFonts w:hint="eastAsia" w:ascii="仿宋_GB2312" w:hAnsi="仿宋_GB2312" w:eastAsia="仿宋_GB2312" w:cs="仿宋_GB2312"/>
              <w:sz w:val="32"/>
              <w:szCs w:val="32"/>
            </w:rPr>
            <w:t>财</w:t>
          </w:r>
          <w:r>
            <w:rPr>
              <w:rFonts w:hint="eastAsia" w:ascii="仿宋_GB2312" w:hAnsi="仿宋_GB2312" w:eastAsia="仿宋_GB2312" w:cs="仿宋_GB2312"/>
              <w:bCs w:val="0"/>
              <w:sz w:val="32"/>
              <w:szCs w:val="32"/>
            </w:rPr>
            <w:t>政拨款支出决算明细表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_Toc14882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4"/>
            <w:keepNext w:val="0"/>
            <w:keepLines w:val="0"/>
            <w:pageBreakBefore w:val="0"/>
            <w:tabs>
              <w:tab w:val="right" w:leader="dot" w:pos="8300"/>
            </w:tabs>
            <w:kinsoku/>
            <w:wordWrap/>
            <w:overflowPunct/>
            <w:topLinePunct w:val="0"/>
            <w:autoSpaceDE/>
            <w:autoSpaceDN/>
            <w:bidi w:val="0"/>
            <w:adjustRightInd/>
            <w:snapToGrid/>
            <w:spacing w:line="576"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_Toc18630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六、</w:t>
          </w:r>
          <w:r>
            <w:rPr>
              <w:rFonts w:hint="eastAsia" w:ascii="仿宋_GB2312" w:hAnsi="仿宋_GB2312" w:eastAsia="仿宋_GB2312" w:cs="仿宋_GB2312"/>
              <w:sz w:val="32"/>
              <w:szCs w:val="32"/>
            </w:rPr>
            <w:t>一</w:t>
          </w:r>
          <w:r>
            <w:rPr>
              <w:rFonts w:hint="eastAsia" w:ascii="仿宋_GB2312" w:hAnsi="仿宋_GB2312" w:eastAsia="仿宋_GB2312" w:cs="仿宋_GB2312"/>
              <w:bCs w:val="0"/>
              <w:sz w:val="32"/>
              <w:szCs w:val="32"/>
            </w:rPr>
            <w:t>般公共预算财政拨款支出决算表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_Toc18630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4"/>
            <w:keepNext w:val="0"/>
            <w:keepLines w:val="0"/>
            <w:pageBreakBefore w:val="0"/>
            <w:tabs>
              <w:tab w:val="right" w:leader="dot" w:pos="8300"/>
            </w:tabs>
            <w:kinsoku/>
            <w:wordWrap/>
            <w:overflowPunct/>
            <w:topLinePunct w:val="0"/>
            <w:autoSpaceDE/>
            <w:autoSpaceDN/>
            <w:bidi w:val="0"/>
            <w:adjustRightInd/>
            <w:snapToGrid/>
            <w:spacing w:line="576"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_Toc17853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七、</w:t>
          </w:r>
          <w:r>
            <w:rPr>
              <w:rFonts w:hint="eastAsia" w:ascii="仿宋_GB2312" w:hAnsi="仿宋_GB2312" w:eastAsia="仿宋_GB2312" w:cs="仿宋_GB2312"/>
              <w:sz w:val="32"/>
              <w:szCs w:val="32"/>
            </w:rPr>
            <w:t>一</w:t>
          </w:r>
          <w:r>
            <w:rPr>
              <w:rFonts w:hint="eastAsia" w:ascii="仿宋_GB2312" w:hAnsi="仿宋_GB2312" w:eastAsia="仿宋_GB2312" w:cs="仿宋_GB2312"/>
              <w:bCs w:val="0"/>
              <w:sz w:val="32"/>
              <w:szCs w:val="32"/>
            </w:rPr>
            <w:t>般公共预算财政拨款支出决算明细表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_Toc17853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4"/>
            <w:keepNext w:val="0"/>
            <w:keepLines w:val="0"/>
            <w:pageBreakBefore w:val="0"/>
            <w:tabs>
              <w:tab w:val="right" w:leader="dot" w:pos="8300"/>
            </w:tabs>
            <w:kinsoku/>
            <w:wordWrap/>
            <w:overflowPunct/>
            <w:topLinePunct w:val="0"/>
            <w:autoSpaceDE/>
            <w:autoSpaceDN/>
            <w:bidi w:val="0"/>
            <w:adjustRightInd/>
            <w:snapToGrid/>
            <w:spacing w:line="576"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_Toc25630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八、</w:t>
          </w:r>
          <w:r>
            <w:rPr>
              <w:rFonts w:hint="eastAsia" w:ascii="仿宋_GB2312" w:hAnsi="仿宋_GB2312" w:eastAsia="仿宋_GB2312" w:cs="仿宋_GB2312"/>
              <w:sz w:val="32"/>
              <w:szCs w:val="32"/>
            </w:rPr>
            <w:t>一</w:t>
          </w:r>
          <w:r>
            <w:rPr>
              <w:rFonts w:hint="eastAsia" w:ascii="仿宋_GB2312" w:hAnsi="仿宋_GB2312" w:eastAsia="仿宋_GB2312" w:cs="仿宋_GB2312"/>
              <w:bCs w:val="0"/>
              <w:sz w:val="32"/>
              <w:szCs w:val="32"/>
            </w:rPr>
            <w:t>般公共预算财政拨款基本支出决算表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_Toc25630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4"/>
            <w:keepNext w:val="0"/>
            <w:keepLines w:val="0"/>
            <w:pageBreakBefore w:val="0"/>
            <w:tabs>
              <w:tab w:val="right" w:leader="dot" w:pos="8300"/>
            </w:tabs>
            <w:kinsoku/>
            <w:wordWrap/>
            <w:overflowPunct/>
            <w:topLinePunct w:val="0"/>
            <w:autoSpaceDE/>
            <w:autoSpaceDN/>
            <w:bidi w:val="0"/>
            <w:adjustRightInd/>
            <w:snapToGrid/>
            <w:spacing w:line="576"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_Toc22873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九、</w:t>
          </w:r>
          <w:r>
            <w:rPr>
              <w:rFonts w:hint="eastAsia" w:ascii="仿宋_GB2312" w:hAnsi="仿宋_GB2312" w:eastAsia="仿宋_GB2312" w:cs="仿宋_GB2312"/>
              <w:sz w:val="32"/>
              <w:szCs w:val="32"/>
            </w:rPr>
            <w:t>一</w:t>
          </w:r>
          <w:r>
            <w:rPr>
              <w:rFonts w:hint="eastAsia" w:ascii="仿宋_GB2312" w:hAnsi="仿宋_GB2312" w:eastAsia="仿宋_GB2312" w:cs="仿宋_GB2312"/>
              <w:bCs w:val="0"/>
              <w:sz w:val="32"/>
              <w:szCs w:val="32"/>
            </w:rPr>
            <w:t>般公共预算财政拨款项目支出决算表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_Toc22873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4"/>
            <w:keepNext w:val="0"/>
            <w:keepLines w:val="0"/>
            <w:pageBreakBefore w:val="0"/>
            <w:tabs>
              <w:tab w:val="right" w:leader="dot" w:pos="8300"/>
            </w:tabs>
            <w:kinsoku/>
            <w:wordWrap/>
            <w:overflowPunct/>
            <w:topLinePunct w:val="0"/>
            <w:autoSpaceDE/>
            <w:autoSpaceDN/>
            <w:bidi w:val="0"/>
            <w:adjustRightInd/>
            <w:snapToGrid/>
            <w:spacing w:line="576"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_Toc6146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十、</w:t>
          </w:r>
          <w:r>
            <w:rPr>
              <w:rFonts w:hint="eastAsia" w:ascii="仿宋_GB2312" w:hAnsi="仿宋_GB2312" w:eastAsia="仿宋_GB2312" w:cs="仿宋_GB2312"/>
              <w:sz w:val="32"/>
              <w:szCs w:val="32"/>
            </w:rPr>
            <w:t>一</w:t>
          </w:r>
          <w:r>
            <w:rPr>
              <w:rFonts w:hint="eastAsia" w:ascii="仿宋_GB2312" w:hAnsi="仿宋_GB2312" w:eastAsia="仿宋_GB2312" w:cs="仿宋_GB2312"/>
              <w:bCs w:val="0"/>
              <w:sz w:val="32"/>
              <w:szCs w:val="32"/>
            </w:rPr>
            <w:t>般公共预算财政拨款“三公”经费支出决算表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_Toc6146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4"/>
            <w:keepNext w:val="0"/>
            <w:keepLines w:val="0"/>
            <w:pageBreakBefore w:val="0"/>
            <w:tabs>
              <w:tab w:val="right" w:leader="dot" w:pos="8300"/>
            </w:tabs>
            <w:kinsoku/>
            <w:wordWrap/>
            <w:overflowPunct/>
            <w:topLinePunct w:val="0"/>
            <w:autoSpaceDE/>
            <w:autoSpaceDN/>
            <w:bidi w:val="0"/>
            <w:adjustRightInd/>
            <w:snapToGrid/>
            <w:spacing w:line="576"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_Toc4781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十一、</w:t>
          </w:r>
          <w:r>
            <w:rPr>
              <w:rFonts w:hint="eastAsia" w:ascii="仿宋_GB2312" w:hAnsi="仿宋_GB2312" w:eastAsia="仿宋_GB2312" w:cs="仿宋_GB2312"/>
              <w:sz w:val="32"/>
              <w:szCs w:val="32"/>
            </w:rPr>
            <w:t>政</w:t>
          </w:r>
          <w:r>
            <w:rPr>
              <w:rFonts w:hint="eastAsia" w:ascii="仿宋_GB2312" w:hAnsi="仿宋_GB2312" w:eastAsia="仿宋_GB2312" w:cs="仿宋_GB2312"/>
              <w:bCs w:val="0"/>
              <w:sz w:val="32"/>
              <w:szCs w:val="32"/>
            </w:rPr>
            <w:t>府性基金预算财政拨款收入支出决算表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_Toc4781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4"/>
            <w:keepNext w:val="0"/>
            <w:keepLines w:val="0"/>
            <w:pageBreakBefore w:val="0"/>
            <w:tabs>
              <w:tab w:val="right" w:leader="dot" w:pos="8300"/>
            </w:tabs>
            <w:kinsoku/>
            <w:wordWrap/>
            <w:overflowPunct/>
            <w:topLinePunct w:val="0"/>
            <w:autoSpaceDE/>
            <w:autoSpaceDN/>
            <w:bidi w:val="0"/>
            <w:adjustRightInd/>
            <w:snapToGrid/>
            <w:spacing w:line="576"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_Toc2475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十二、</w:t>
          </w:r>
          <w:r>
            <w:rPr>
              <w:rFonts w:hint="eastAsia" w:ascii="仿宋_GB2312" w:hAnsi="仿宋_GB2312" w:eastAsia="仿宋_GB2312" w:cs="仿宋_GB2312"/>
              <w:sz w:val="32"/>
              <w:szCs w:val="32"/>
            </w:rPr>
            <w:t>政</w:t>
          </w:r>
          <w:r>
            <w:rPr>
              <w:rFonts w:hint="eastAsia" w:ascii="仿宋_GB2312" w:hAnsi="仿宋_GB2312" w:eastAsia="仿宋_GB2312" w:cs="仿宋_GB2312"/>
              <w:bCs w:val="0"/>
              <w:sz w:val="32"/>
              <w:szCs w:val="32"/>
            </w:rPr>
            <w:t>府性基金预算财政拨款“三公”经费支出决算表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_Toc2475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4"/>
            <w:keepNext w:val="0"/>
            <w:keepLines w:val="0"/>
            <w:pageBreakBefore w:val="0"/>
            <w:tabs>
              <w:tab w:val="right" w:leader="dot" w:pos="8300"/>
            </w:tabs>
            <w:kinsoku/>
            <w:wordWrap/>
            <w:overflowPunct/>
            <w:topLinePunct w:val="0"/>
            <w:autoSpaceDE/>
            <w:autoSpaceDN/>
            <w:bidi w:val="0"/>
            <w:adjustRightInd/>
            <w:snapToGrid/>
            <w:spacing w:line="576" w:lineRule="exact"/>
            <w:ind w:left="0" w:leftChars="0" w:firstLine="0" w:firstLineChars="0"/>
            <w:textAlignment w:val="auto"/>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_Toc3814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val="0"/>
              <w:sz w:val="32"/>
              <w:szCs w:val="32"/>
            </w:rPr>
            <w:t>十三、</w:t>
          </w:r>
          <w:r>
            <w:rPr>
              <w:rFonts w:hint="eastAsia" w:ascii="仿宋_GB2312" w:hAnsi="仿宋_GB2312" w:eastAsia="仿宋_GB2312" w:cs="仿宋_GB2312"/>
              <w:sz w:val="32"/>
              <w:szCs w:val="32"/>
            </w:rPr>
            <w:t>国</w:t>
          </w:r>
          <w:r>
            <w:rPr>
              <w:rFonts w:hint="eastAsia" w:ascii="仿宋_GB2312" w:hAnsi="仿宋_GB2312" w:eastAsia="仿宋_GB2312" w:cs="仿宋_GB2312"/>
              <w:bCs w:val="0"/>
              <w:sz w:val="32"/>
              <w:szCs w:val="32"/>
            </w:rPr>
            <w:t>有资本经营预算支出决算表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_Toc3814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keepNext w:val="0"/>
            <w:keepLines w:val="0"/>
            <w:pageBreakBefore w:val="0"/>
            <w:kinsoku/>
            <w:wordWrap/>
            <w:overflowPunct/>
            <w:topLinePunct w:val="0"/>
            <w:autoSpaceDE/>
            <w:autoSpaceDN/>
            <w:bidi w:val="0"/>
            <w:adjustRightInd/>
            <w:snapToGrid/>
            <w:spacing w:line="576" w:lineRule="exact"/>
            <w:textAlignment w:val="auto"/>
          </w:pPr>
          <w:r>
            <w:fldChar w:fldCharType="end"/>
          </w:r>
        </w:p>
      </w:sdtContent>
    </w:sdt>
    <w:p>
      <w:pPr>
        <w:keepNext w:val="0"/>
        <w:keepLines w:val="0"/>
        <w:pageBreakBefore w:val="0"/>
        <w:widowControl/>
        <w:kinsoku/>
        <w:wordWrap/>
        <w:overflowPunct/>
        <w:topLinePunct w:val="0"/>
        <w:autoSpaceDE/>
        <w:autoSpaceDN/>
        <w:bidi w:val="0"/>
        <w:adjustRightInd/>
        <w:snapToGrid/>
        <w:spacing w:line="576" w:lineRule="exact"/>
        <w:jc w:val="left"/>
        <w:textAlignment w:val="auto"/>
        <w:rPr>
          <w:rFonts w:ascii="仿宋" w:hAnsi="仿宋" w:eastAsia="仿宋"/>
          <w:bCs/>
          <w:kern w:val="44"/>
          <w:sz w:val="24"/>
        </w:rPr>
      </w:pPr>
      <w:bookmarkStart w:id="16" w:name="_Toc15396599"/>
      <w:bookmarkStart w:id="17" w:name="_Toc15377196"/>
      <w:r>
        <w:rPr>
          <w:rFonts w:ascii="仿宋" w:hAnsi="仿宋" w:eastAsia="仿宋"/>
          <w:b/>
          <w:sz w:val="24"/>
        </w:rPr>
        <w:br w:type="page"/>
      </w:r>
    </w:p>
    <w:p>
      <w:pPr>
        <w:pStyle w:val="2"/>
        <w:jc w:val="center"/>
        <w:rPr>
          <w:rStyle w:val="25"/>
          <w:rFonts w:ascii="黑体" w:hAnsi="黑体" w:eastAsia="黑体"/>
          <w:b/>
          <w:bCs w:val="0"/>
        </w:rPr>
      </w:pPr>
      <w:bookmarkStart w:id="18" w:name="_Toc12567"/>
      <w:bookmarkStart w:id="19" w:name="_Toc30568"/>
      <w:r>
        <w:rPr>
          <w:rFonts w:hint="eastAsia" w:ascii="黑体" w:hAnsi="黑体" w:eastAsia="黑体"/>
          <w:b w:val="0"/>
        </w:rPr>
        <w:t xml:space="preserve">第一部分 </w:t>
      </w:r>
      <w:r>
        <w:rPr>
          <w:rStyle w:val="25"/>
          <w:rFonts w:hint="eastAsia" w:ascii="黑体" w:hAnsi="黑体" w:eastAsia="黑体"/>
          <w:b w:val="0"/>
          <w:bCs w:val="0"/>
        </w:rPr>
        <w:t>部门概况</w:t>
      </w:r>
      <w:bookmarkEnd w:id="16"/>
      <w:bookmarkEnd w:id="17"/>
      <w:bookmarkEnd w:id="18"/>
      <w:bookmarkEnd w:id="19"/>
    </w:p>
    <w:p>
      <w:pPr>
        <w:widowControl/>
        <w:jc w:val="left"/>
        <w:rPr>
          <w:rFonts w:ascii="黑体" w:eastAsia="黑体"/>
          <w:color w:val="000000"/>
          <w:sz w:val="32"/>
          <w:szCs w:val="32"/>
        </w:rPr>
      </w:pPr>
    </w:p>
    <w:p>
      <w:pPr>
        <w:pStyle w:val="3"/>
        <w:rPr>
          <w:rStyle w:val="26"/>
          <w:rFonts w:ascii="仿宋" w:hAnsi="仿宋" w:eastAsia="仿宋"/>
          <w:b w:val="0"/>
          <w:bCs w:val="0"/>
        </w:rPr>
      </w:pPr>
      <w:bookmarkStart w:id="20" w:name="_Toc20462"/>
      <w:bookmarkStart w:id="21" w:name="_Toc24986"/>
      <w:bookmarkStart w:id="22" w:name="_Toc15377197"/>
      <w:bookmarkStart w:id="23" w:name="_Toc15396600"/>
      <w:r>
        <w:rPr>
          <w:rFonts w:hint="eastAsia" w:ascii="黑体" w:hAnsi="黑体" w:eastAsia="黑体"/>
          <w:b w:val="0"/>
          <w:color w:val="000000"/>
        </w:rPr>
        <w:t>一、基</w:t>
      </w:r>
      <w:r>
        <w:rPr>
          <w:rStyle w:val="26"/>
          <w:rFonts w:hint="eastAsia" w:ascii="黑体" w:hAnsi="黑体" w:eastAsia="黑体"/>
          <w:b w:val="0"/>
          <w:bCs w:val="0"/>
        </w:rPr>
        <w:t>本职能及主要工作</w:t>
      </w:r>
      <w:bookmarkEnd w:id="20"/>
      <w:bookmarkEnd w:id="21"/>
      <w:bookmarkEnd w:id="22"/>
      <w:bookmarkEnd w:id="23"/>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24" w:name="_Toc21811"/>
      <w:bookmarkStart w:id="25" w:name="_Toc24578"/>
      <w:bookmarkStart w:id="26" w:name="_Toc15377198"/>
      <w:bookmarkStart w:id="27" w:name="_Toc15378445"/>
      <w:bookmarkStart w:id="28" w:name="_Toc15396602"/>
      <w:bookmarkStart w:id="29" w:name="_Toc15377204"/>
      <w:r>
        <w:rPr>
          <w:rFonts w:hint="eastAsia" w:ascii="仿宋" w:hAnsi="仿宋" w:eastAsia="仿宋"/>
          <w:bCs/>
          <w:color w:val="000000"/>
          <w:sz w:val="32"/>
          <w:szCs w:val="32"/>
        </w:rPr>
        <w:t>（一）主要职能。</w:t>
      </w:r>
      <w:bookmarkEnd w:id="24"/>
      <w:bookmarkEnd w:id="25"/>
    </w:p>
    <w:p>
      <w:pPr>
        <w:pStyle w:val="5"/>
        <w:keepNext w:val="0"/>
        <w:keepLines w:val="0"/>
        <w:pageBreakBefore w:val="0"/>
        <w:numPr>
          <w:ilvl w:val="0"/>
          <w:numId w:val="1"/>
        </w:numPr>
        <w:kinsoku/>
        <w:wordWrap/>
        <w:overflowPunct/>
        <w:topLinePunct w:val="0"/>
        <w:autoSpaceDE/>
        <w:autoSpaceDN/>
        <w:bidi w:val="0"/>
        <w:adjustRightInd w:val="0"/>
        <w:snapToGrid w:val="0"/>
        <w:spacing w:beforeAutospacing="0" w:afterAutospacing="0" w:line="576" w:lineRule="exact"/>
        <w:ind w:leftChars="210" w:right="0" w:rightChars="0" w:firstLine="300" w:firstLineChars="100"/>
        <w:textAlignment w:val="auto"/>
        <w:outlineLvl w:val="9"/>
        <w:rPr>
          <w:rFonts w:hint="eastAsia" w:ascii="仿宋_GB2312" w:hAnsi="仿宋_GB2312" w:eastAsia="仿宋_GB2312" w:cs="仿宋_GB2312"/>
          <w:bCs/>
          <w:kern w:val="2"/>
          <w:sz w:val="30"/>
          <w:szCs w:val="30"/>
          <w:lang w:val="en-US" w:eastAsia="zh-CN" w:bidi="ar-SA"/>
        </w:rPr>
      </w:pPr>
      <w:r>
        <w:rPr>
          <w:rFonts w:hint="eastAsia" w:ascii="仿宋_GB2312" w:hAnsi="仿宋_GB2312" w:eastAsia="仿宋_GB2312" w:cs="仿宋_GB2312"/>
          <w:bCs/>
          <w:kern w:val="2"/>
          <w:sz w:val="30"/>
          <w:szCs w:val="30"/>
          <w:lang w:val="en-US" w:eastAsia="zh-CN" w:bidi="ar-SA"/>
        </w:rPr>
        <w:t>.行使领导全县共青团工作、领导全县青联和少先队工作的职权，对全县性青年社团组织进行指导和管理。</w:t>
      </w:r>
    </w:p>
    <w:p>
      <w:pPr>
        <w:pStyle w:val="5"/>
        <w:keepNext w:val="0"/>
        <w:keepLines w:val="0"/>
        <w:pageBreakBefore w:val="0"/>
        <w:numPr>
          <w:ilvl w:val="0"/>
          <w:numId w:val="1"/>
        </w:numPr>
        <w:kinsoku/>
        <w:wordWrap/>
        <w:overflowPunct/>
        <w:topLinePunct w:val="0"/>
        <w:autoSpaceDE/>
        <w:autoSpaceDN/>
        <w:bidi w:val="0"/>
        <w:adjustRightInd w:val="0"/>
        <w:snapToGrid w:val="0"/>
        <w:spacing w:beforeAutospacing="0" w:afterAutospacing="0" w:line="576" w:lineRule="exact"/>
        <w:ind w:leftChars="210" w:right="0" w:rightChars="0" w:firstLine="300" w:firstLineChars="100"/>
        <w:textAlignment w:val="auto"/>
        <w:outlineLvl w:val="9"/>
        <w:rPr>
          <w:rFonts w:hint="eastAsia" w:ascii="仿宋_GB2312" w:hAnsi="仿宋_GB2312" w:eastAsia="仿宋_GB2312" w:cs="仿宋_GB2312"/>
          <w:bCs/>
          <w:kern w:val="2"/>
          <w:sz w:val="30"/>
          <w:szCs w:val="30"/>
          <w:lang w:val="en-US" w:eastAsia="zh-CN" w:bidi="ar-SA"/>
        </w:rPr>
      </w:pPr>
      <w:r>
        <w:rPr>
          <w:rFonts w:hint="eastAsia" w:ascii="仿宋_GB2312" w:hAnsi="仿宋_GB2312" w:eastAsia="仿宋_GB2312" w:cs="仿宋_GB2312"/>
          <w:bCs/>
          <w:kern w:val="2"/>
          <w:sz w:val="30"/>
          <w:szCs w:val="30"/>
          <w:lang w:val="en-US" w:eastAsia="zh-CN" w:bidi="ar-SA"/>
        </w:rPr>
        <w:t>.参与制定我县青少年事业发展规划和青少年工作方针、政策，对我县青少年活动阵地、青少年服务机构建设等进行规划和管理。</w:t>
      </w:r>
    </w:p>
    <w:p>
      <w:pPr>
        <w:pStyle w:val="5"/>
        <w:keepNext w:val="0"/>
        <w:keepLines w:val="0"/>
        <w:pageBreakBefore w:val="0"/>
        <w:numPr>
          <w:ilvl w:val="0"/>
          <w:numId w:val="1"/>
        </w:numPr>
        <w:kinsoku/>
        <w:wordWrap/>
        <w:overflowPunct/>
        <w:topLinePunct w:val="0"/>
        <w:autoSpaceDE/>
        <w:autoSpaceDN/>
        <w:bidi w:val="0"/>
        <w:adjustRightInd w:val="0"/>
        <w:snapToGrid w:val="0"/>
        <w:spacing w:beforeAutospacing="0" w:afterAutospacing="0" w:line="576" w:lineRule="exact"/>
        <w:ind w:leftChars="210" w:right="0" w:rightChars="0" w:firstLine="300" w:firstLineChars="100"/>
        <w:textAlignment w:val="auto"/>
        <w:outlineLvl w:val="9"/>
        <w:rPr>
          <w:rFonts w:hint="eastAsia" w:ascii="仿宋_GB2312" w:hAnsi="仿宋_GB2312" w:eastAsia="仿宋_GB2312" w:cs="仿宋_GB2312"/>
          <w:bCs/>
          <w:kern w:val="2"/>
          <w:sz w:val="30"/>
          <w:szCs w:val="30"/>
          <w:lang w:val="en-US" w:eastAsia="zh-CN" w:bidi="ar-SA"/>
        </w:rPr>
      </w:pPr>
      <w:r>
        <w:rPr>
          <w:rFonts w:hint="eastAsia" w:ascii="仿宋_GB2312" w:hAnsi="仿宋_GB2312" w:eastAsia="仿宋_GB2312" w:cs="仿宋_GB2312"/>
          <w:bCs/>
          <w:kern w:val="2"/>
          <w:sz w:val="30"/>
          <w:szCs w:val="30"/>
          <w:lang w:val="en-US" w:eastAsia="zh-CN" w:bidi="ar-SA"/>
        </w:rPr>
        <w:t>.调查青年动态和青年工作状况，研究青少年运动，青少年工作理论和思想教育问题，提出相应对策，开展各种活动。</w:t>
      </w:r>
    </w:p>
    <w:p>
      <w:pPr>
        <w:pStyle w:val="5"/>
        <w:keepNext w:val="0"/>
        <w:keepLines w:val="0"/>
        <w:pageBreakBefore w:val="0"/>
        <w:numPr>
          <w:ilvl w:val="0"/>
          <w:numId w:val="1"/>
        </w:numPr>
        <w:kinsoku/>
        <w:wordWrap/>
        <w:overflowPunct/>
        <w:topLinePunct w:val="0"/>
        <w:autoSpaceDE/>
        <w:autoSpaceDN/>
        <w:bidi w:val="0"/>
        <w:adjustRightInd w:val="0"/>
        <w:snapToGrid w:val="0"/>
        <w:spacing w:beforeAutospacing="0" w:afterAutospacing="0" w:line="576" w:lineRule="exact"/>
        <w:ind w:leftChars="210" w:right="0" w:rightChars="0" w:firstLine="300" w:firstLineChars="100"/>
        <w:textAlignment w:val="auto"/>
        <w:outlineLvl w:val="9"/>
        <w:rPr>
          <w:rFonts w:hint="eastAsia" w:ascii="仿宋_GB2312" w:hAnsi="仿宋_GB2312" w:eastAsia="仿宋_GB2312" w:cs="仿宋_GB2312"/>
          <w:bCs/>
          <w:kern w:val="2"/>
          <w:sz w:val="30"/>
          <w:szCs w:val="30"/>
          <w:lang w:val="en-US" w:eastAsia="zh-CN" w:bidi="ar-SA"/>
        </w:rPr>
      </w:pPr>
      <w:r>
        <w:rPr>
          <w:rFonts w:hint="eastAsia" w:ascii="仿宋_GB2312" w:hAnsi="仿宋_GB2312" w:eastAsia="仿宋_GB2312" w:cs="仿宋_GB2312"/>
          <w:bCs/>
          <w:kern w:val="2"/>
          <w:sz w:val="30"/>
          <w:szCs w:val="30"/>
          <w:lang w:val="en-US" w:eastAsia="zh-CN" w:bidi="ar-SA"/>
        </w:rPr>
        <w:t>.协助政府教育部门，做好中、小学生的教育管理工作，维持学校稳定和社会安定团结。</w:t>
      </w:r>
    </w:p>
    <w:p>
      <w:pPr>
        <w:pStyle w:val="5"/>
        <w:keepNext w:val="0"/>
        <w:keepLines w:val="0"/>
        <w:pageBreakBefore w:val="0"/>
        <w:numPr>
          <w:ilvl w:val="0"/>
          <w:numId w:val="1"/>
        </w:numPr>
        <w:kinsoku/>
        <w:wordWrap/>
        <w:overflowPunct/>
        <w:topLinePunct w:val="0"/>
        <w:autoSpaceDE/>
        <w:autoSpaceDN/>
        <w:bidi w:val="0"/>
        <w:adjustRightInd w:val="0"/>
        <w:snapToGrid w:val="0"/>
        <w:spacing w:beforeAutospacing="0" w:afterAutospacing="0" w:line="576" w:lineRule="exact"/>
        <w:ind w:leftChars="210" w:right="0" w:rightChars="0" w:firstLine="300" w:firstLineChars="100"/>
        <w:textAlignment w:val="auto"/>
        <w:outlineLvl w:val="9"/>
        <w:rPr>
          <w:rFonts w:hint="eastAsia" w:ascii="仿宋_GB2312" w:hAnsi="仿宋_GB2312" w:eastAsia="仿宋_GB2312" w:cs="仿宋_GB2312"/>
          <w:bCs/>
          <w:kern w:val="2"/>
          <w:sz w:val="30"/>
          <w:szCs w:val="30"/>
          <w:lang w:val="en-US" w:eastAsia="zh-CN" w:bidi="ar-SA"/>
        </w:rPr>
      </w:pPr>
      <w:r>
        <w:rPr>
          <w:rFonts w:hint="eastAsia" w:ascii="仿宋_GB2312" w:hAnsi="仿宋_GB2312" w:eastAsia="仿宋_GB2312" w:cs="仿宋_GB2312"/>
          <w:bCs/>
          <w:kern w:val="2"/>
          <w:sz w:val="30"/>
          <w:szCs w:val="30"/>
          <w:lang w:val="en-US" w:eastAsia="zh-CN" w:bidi="ar-SA"/>
        </w:rPr>
        <w:t>.在经济建设中，组织和带领青年发挥生力军和突击队作用。</w:t>
      </w:r>
    </w:p>
    <w:p>
      <w:pPr>
        <w:pStyle w:val="5"/>
        <w:keepNext w:val="0"/>
        <w:keepLines w:val="0"/>
        <w:pageBreakBefore w:val="0"/>
        <w:numPr>
          <w:ilvl w:val="0"/>
          <w:numId w:val="1"/>
        </w:numPr>
        <w:kinsoku/>
        <w:wordWrap/>
        <w:overflowPunct/>
        <w:topLinePunct w:val="0"/>
        <w:autoSpaceDE/>
        <w:autoSpaceDN/>
        <w:bidi w:val="0"/>
        <w:adjustRightInd w:val="0"/>
        <w:snapToGrid w:val="0"/>
        <w:spacing w:beforeAutospacing="0" w:afterAutospacing="0" w:line="576" w:lineRule="exact"/>
        <w:ind w:leftChars="210" w:right="0" w:rightChars="0" w:firstLine="300" w:firstLineChars="100"/>
        <w:textAlignment w:val="auto"/>
        <w:outlineLvl w:val="9"/>
        <w:rPr>
          <w:rFonts w:hint="eastAsia" w:ascii="仿宋_GB2312" w:hAnsi="仿宋_GB2312" w:eastAsia="仿宋_GB2312" w:cs="仿宋_GB2312"/>
          <w:bCs/>
          <w:kern w:val="2"/>
          <w:sz w:val="30"/>
          <w:szCs w:val="30"/>
          <w:lang w:val="en-US" w:eastAsia="zh-CN" w:bidi="ar-SA"/>
        </w:rPr>
      </w:pPr>
      <w:r>
        <w:rPr>
          <w:rFonts w:hint="eastAsia" w:ascii="仿宋_GB2312" w:hAnsi="仿宋_GB2312" w:eastAsia="仿宋_GB2312" w:cs="仿宋_GB2312"/>
          <w:bCs/>
          <w:kern w:val="2"/>
          <w:sz w:val="30"/>
          <w:szCs w:val="30"/>
          <w:lang w:val="en-US" w:eastAsia="zh-CN" w:bidi="ar-SA"/>
        </w:rPr>
        <w:t>.会同有关部门对全县青少年外事工作进行归口管理和提供服务。</w:t>
      </w:r>
    </w:p>
    <w:p>
      <w:pPr>
        <w:pStyle w:val="5"/>
        <w:keepNext w:val="0"/>
        <w:keepLines w:val="0"/>
        <w:pageBreakBefore w:val="0"/>
        <w:numPr>
          <w:ilvl w:val="0"/>
          <w:numId w:val="1"/>
        </w:numPr>
        <w:kinsoku/>
        <w:wordWrap/>
        <w:overflowPunct/>
        <w:topLinePunct w:val="0"/>
        <w:autoSpaceDE/>
        <w:autoSpaceDN/>
        <w:bidi w:val="0"/>
        <w:adjustRightInd w:val="0"/>
        <w:snapToGrid w:val="0"/>
        <w:spacing w:beforeAutospacing="0" w:afterAutospacing="0" w:line="576" w:lineRule="exact"/>
        <w:ind w:leftChars="210" w:right="0" w:rightChars="0" w:firstLine="300" w:firstLineChars="100"/>
        <w:textAlignment w:val="auto"/>
        <w:outlineLvl w:val="9"/>
        <w:rPr>
          <w:rFonts w:hint="eastAsia" w:ascii="仿宋_GB2312" w:hAnsi="仿宋_GB2312" w:eastAsia="仿宋_GB2312" w:cs="仿宋_GB2312"/>
          <w:bCs/>
          <w:kern w:val="2"/>
          <w:sz w:val="30"/>
          <w:szCs w:val="30"/>
          <w:lang w:val="en-US" w:eastAsia="zh-CN" w:bidi="ar-SA"/>
        </w:rPr>
      </w:pPr>
      <w:r>
        <w:rPr>
          <w:rFonts w:hint="eastAsia" w:ascii="仿宋_GB2312" w:hAnsi="仿宋_GB2312" w:eastAsia="仿宋_GB2312" w:cs="仿宋_GB2312"/>
          <w:bCs/>
          <w:kern w:val="2"/>
          <w:sz w:val="30"/>
          <w:szCs w:val="30"/>
          <w:lang w:val="en-US" w:eastAsia="zh-CN" w:bidi="ar-SA"/>
        </w:rPr>
        <w:t>.做好我县青年统战对象和团结教育工作，维护、促进祖国统一和民族团结。</w:t>
      </w:r>
    </w:p>
    <w:p>
      <w:pPr>
        <w:pStyle w:val="5"/>
        <w:keepNext w:val="0"/>
        <w:keepLines w:val="0"/>
        <w:pageBreakBefore w:val="0"/>
        <w:numPr>
          <w:ilvl w:val="0"/>
          <w:numId w:val="1"/>
        </w:numPr>
        <w:kinsoku/>
        <w:wordWrap/>
        <w:overflowPunct/>
        <w:topLinePunct w:val="0"/>
        <w:autoSpaceDE/>
        <w:autoSpaceDN/>
        <w:bidi w:val="0"/>
        <w:adjustRightInd w:val="0"/>
        <w:snapToGrid w:val="0"/>
        <w:spacing w:beforeAutospacing="0" w:afterAutospacing="0" w:line="576" w:lineRule="exact"/>
        <w:ind w:leftChars="210" w:right="0" w:rightChars="0" w:firstLine="300" w:firstLineChars="100"/>
        <w:textAlignment w:val="auto"/>
        <w:outlineLvl w:val="9"/>
        <w:rPr>
          <w:rFonts w:hint="eastAsia" w:ascii="仿宋" w:hAnsi="仿宋" w:eastAsia="仿宋"/>
          <w:bCs/>
          <w:color w:val="000000"/>
          <w:sz w:val="32"/>
          <w:szCs w:val="32"/>
        </w:rPr>
      </w:pPr>
      <w:r>
        <w:rPr>
          <w:rFonts w:hint="eastAsia" w:ascii="仿宋_GB2312" w:hAnsi="仿宋_GB2312" w:eastAsia="仿宋_GB2312" w:cs="仿宋_GB2312"/>
          <w:bCs/>
          <w:kern w:val="2"/>
          <w:sz w:val="30"/>
          <w:szCs w:val="30"/>
          <w:lang w:val="en-US" w:eastAsia="zh-CN" w:bidi="ar-SA"/>
        </w:rPr>
        <w:t>.承担中共红原县委、红原县人民政府和共青团阿坝州委交办的有关事项。</w:t>
      </w:r>
    </w:p>
    <w:bookmarkEnd w:id="26"/>
    <w:bookmarkEnd w:id="27"/>
    <w:p>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30" w:name="_Toc3061"/>
      <w:bookmarkStart w:id="31" w:name="_Toc15377199"/>
      <w:bookmarkStart w:id="32" w:name="_Toc8966"/>
      <w:bookmarkStart w:id="33" w:name="_Toc15378446"/>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lang w:val="en-US" w:eastAsia="zh-CN"/>
        </w:rPr>
        <w:t>9</w:t>
      </w:r>
      <w:r>
        <w:rPr>
          <w:rFonts w:hint="eastAsia" w:ascii="仿宋" w:hAnsi="仿宋" w:eastAsia="仿宋"/>
          <w:bCs/>
          <w:color w:val="000000"/>
          <w:sz w:val="32"/>
          <w:szCs w:val="32"/>
        </w:rPr>
        <w:t>年重点工作完成情况。</w:t>
      </w:r>
      <w:bookmarkEnd w:id="30"/>
      <w:bookmarkEnd w:id="31"/>
      <w:bookmarkEnd w:id="32"/>
      <w:bookmarkEnd w:id="33"/>
    </w:p>
    <w:p>
      <w:pPr>
        <w:keepNext w:val="0"/>
        <w:keepLines w:val="0"/>
        <w:pageBreakBefore w:val="0"/>
        <w:kinsoku/>
        <w:wordWrap/>
        <w:overflowPunct/>
        <w:topLinePunct w:val="0"/>
        <w:autoSpaceDE/>
        <w:autoSpaceDN/>
        <w:bidi w:val="0"/>
        <w:snapToGrid w:val="0"/>
        <w:spacing w:beforeAutospacing="0" w:afterAutospacing="0" w:line="576"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1.切实践行社会主义核心价值观</w:t>
      </w:r>
    </w:p>
    <w:p>
      <w:pPr>
        <w:keepNext w:val="0"/>
        <w:keepLines w:val="0"/>
        <w:pageBreakBefore w:val="0"/>
        <w:kinsoku/>
        <w:wordWrap/>
        <w:overflowPunct/>
        <w:topLinePunct w:val="0"/>
        <w:autoSpaceDE/>
        <w:autoSpaceDN/>
        <w:bidi w:val="0"/>
        <w:snapToGrid w:val="0"/>
        <w:spacing w:beforeAutospacing="0" w:afterAutospacing="0" w:line="576"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2.围绕党政中心，组织团员青年投身经济社会发展</w:t>
      </w:r>
    </w:p>
    <w:p>
      <w:pPr>
        <w:keepNext w:val="0"/>
        <w:keepLines w:val="0"/>
        <w:pageBreakBefore w:val="0"/>
        <w:kinsoku/>
        <w:wordWrap/>
        <w:overflowPunct/>
        <w:topLinePunct w:val="0"/>
        <w:autoSpaceDE/>
        <w:autoSpaceDN/>
        <w:bidi w:val="0"/>
        <w:snapToGrid w:val="0"/>
        <w:spacing w:beforeAutospacing="0" w:afterAutospacing="0" w:line="576"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3.</w:t>
      </w:r>
      <w:r>
        <w:rPr>
          <w:rFonts w:hint="eastAsia" w:ascii="仿宋_GB2312" w:hAnsi="仿宋" w:eastAsia="仿宋_GB2312"/>
          <w:sz w:val="32"/>
          <w:szCs w:val="32"/>
          <w:lang w:eastAsia="zh-CN"/>
        </w:rPr>
        <w:t>加强</w:t>
      </w:r>
      <w:r>
        <w:rPr>
          <w:rFonts w:hint="eastAsia" w:ascii="仿宋_GB2312" w:hAnsi="仿宋" w:eastAsia="仿宋_GB2312"/>
          <w:sz w:val="32"/>
          <w:szCs w:val="32"/>
        </w:rPr>
        <w:t>深化青少年关心关爱</w:t>
      </w:r>
    </w:p>
    <w:p>
      <w:pPr>
        <w:keepNext w:val="0"/>
        <w:keepLines w:val="0"/>
        <w:pageBreakBefore w:val="0"/>
        <w:kinsoku/>
        <w:wordWrap/>
        <w:overflowPunct/>
        <w:topLinePunct w:val="0"/>
        <w:autoSpaceDE/>
        <w:autoSpaceDN/>
        <w:bidi w:val="0"/>
        <w:snapToGrid w:val="0"/>
        <w:spacing w:beforeAutospacing="0" w:afterAutospacing="0" w:line="576" w:lineRule="exact"/>
        <w:ind w:firstLine="640" w:firstLineChars="200"/>
        <w:rPr>
          <w:rFonts w:hint="eastAsia" w:ascii="仿宋_GB2312" w:hAnsi="仿宋" w:eastAsia="仿宋_GB2312"/>
          <w:sz w:val="32"/>
          <w:szCs w:val="32"/>
          <w:lang w:eastAsia="zh-CN"/>
        </w:rPr>
      </w:pPr>
      <w:r>
        <w:rPr>
          <w:rFonts w:hint="eastAsia" w:ascii="仿宋_GB2312" w:hAnsi="仿宋" w:eastAsia="仿宋_GB2312"/>
          <w:sz w:val="32"/>
          <w:szCs w:val="32"/>
        </w:rPr>
        <w:t>4.</w:t>
      </w:r>
      <w:r>
        <w:rPr>
          <w:rFonts w:hint="eastAsia" w:ascii="仿宋_GB2312" w:hAnsi="仿宋" w:eastAsia="仿宋_GB2312"/>
          <w:sz w:val="32"/>
          <w:szCs w:val="32"/>
          <w:lang w:eastAsia="zh-CN"/>
        </w:rPr>
        <w:t>继续推动</w:t>
      </w:r>
      <w:r>
        <w:rPr>
          <w:rFonts w:hint="eastAsia" w:ascii="仿宋_GB2312" w:hAnsi="仿宋" w:eastAsia="仿宋_GB2312"/>
          <w:sz w:val="32"/>
          <w:szCs w:val="32"/>
        </w:rPr>
        <w:t>资助贫困学生，圆校园梦</w:t>
      </w:r>
      <w:r>
        <w:rPr>
          <w:rFonts w:hint="eastAsia" w:ascii="仿宋_GB2312" w:hAnsi="仿宋" w:eastAsia="仿宋_GB2312"/>
          <w:sz w:val="32"/>
          <w:szCs w:val="32"/>
          <w:lang w:eastAsia="zh-CN"/>
        </w:rPr>
        <w:t>工作</w:t>
      </w:r>
    </w:p>
    <w:p>
      <w:pPr>
        <w:keepNext w:val="0"/>
        <w:keepLines w:val="0"/>
        <w:pageBreakBefore w:val="0"/>
        <w:kinsoku/>
        <w:wordWrap/>
        <w:overflowPunct/>
        <w:topLinePunct w:val="0"/>
        <w:autoSpaceDE/>
        <w:autoSpaceDN/>
        <w:bidi w:val="0"/>
        <w:snapToGrid w:val="0"/>
        <w:spacing w:beforeAutospacing="0" w:afterAutospacing="0" w:line="576"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5.</w:t>
      </w:r>
      <w:r>
        <w:rPr>
          <w:rFonts w:hint="eastAsia" w:ascii="仿宋_GB2312" w:hAnsi="仿宋" w:eastAsia="仿宋_GB2312"/>
          <w:sz w:val="32"/>
          <w:szCs w:val="32"/>
          <w:lang w:eastAsia="zh-CN"/>
        </w:rPr>
        <w:t>继续</w:t>
      </w:r>
      <w:r>
        <w:rPr>
          <w:rFonts w:hint="eastAsia" w:ascii="仿宋_GB2312" w:hAnsi="仿宋" w:eastAsia="仿宋_GB2312"/>
          <w:sz w:val="32"/>
          <w:szCs w:val="32"/>
        </w:rPr>
        <w:t>推进共青团改革工作</w:t>
      </w:r>
    </w:p>
    <w:p>
      <w:pPr>
        <w:keepNext w:val="0"/>
        <w:keepLines w:val="0"/>
        <w:pageBreakBefore w:val="0"/>
        <w:kinsoku/>
        <w:wordWrap/>
        <w:overflowPunct/>
        <w:topLinePunct w:val="0"/>
        <w:autoSpaceDE/>
        <w:autoSpaceDN/>
        <w:bidi w:val="0"/>
        <w:snapToGrid w:val="0"/>
        <w:spacing w:beforeAutospacing="0" w:afterAutospacing="0" w:line="576"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6.促进稳定和谐，真心实意为群众解难事办实事</w:t>
      </w:r>
    </w:p>
    <w:p>
      <w:pPr>
        <w:keepNext w:val="0"/>
        <w:keepLines w:val="0"/>
        <w:pageBreakBefore w:val="0"/>
        <w:kinsoku/>
        <w:wordWrap/>
        <w:overflowPunct/>
        <w:topLinePunct w:val="0"/>
        <w:autoSpaceDE/>
        <w:autoSpaceDN/>
        <w:bidi w:val="0"/>
        <w:snapToGrid w:val="0"/>
        <w:spacing w:beforeAutospacing="0" w:afterAutospacing="0" w:line="576"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7.</w:t>
      </w:r>
      <w:r>
        <w:rPr>
          <w:rFonts w:hint="eastAsia" w:ascii="仿宋_GB2312" w:hAnsi="仿宋" w:eastAsia="仿宋_GB2312"/>
          <w:sz w:val="32"/>
          <w:szCs w:val="32"/>
          <w:lang w:eastAsia="zh-CN"/>
        </w:rPr>
        <w:t>在上级帮助支持下大力</w:t>
      </w:r>
      <w:r>
        <w:rPr>
          <w:rFonts w:hint="eastAsia" w:ascii="仿宋_GB2312" w:hAnsi="仿宋" w:eastAsia="仿宋_GB2312"/>
          <w:sz w:val="32"/>
          <w:szCs w:val="32"/>
        </w:rPr>
        <w:t>推动青年就业创业</w:t>
      </w:r>
    </w:p>
    <w:p>
      <w:pPr>
        <w:keepNext w:val="0"/>
        <w:keepLines w:val="0"/>
        <w:pageBreakBefore w:val="0"/>
        <w:kinsoku/>
        <w:wordWrap/>
        <w:overflowPunct/>
        <w:topLinePunct w:val="0"/>
        <w:autoSpaceDE/>
        <w:autoSpaceDN/>
        <w:bidi w:val="0"/>
        <w:snapToGrid w:val="0"/>
        <w:spacing w:beforeAutospacing="0" w:afterAutospacing="0" w:line="576"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8.预防青少年犯罪</w:t>
      </w:r>
      <w:r>
        <w:rPr>
          <w:rFonts w:hint="eastAsia" w:ascii="仿宋_GB2312" w:hAnsi="仿宋" w:eastAsia="仿宋_GB2312"/>
          <w:sz w:val="32"/>
          <w:szCs w:val="32"/>
          <w:lang w:eastAsia="zh-CN"/>
        </w:rPr>
        <w:t>、</w:t>
      </w:r>
      <w:r>
        <w:rPr>
          <w:rFonts w:hint="eastAsia" w:ascii="仿宋_GB2312" w:hAnsi="仿宋" w:eastAsia="仿宋_GB2312"/>
          <w:sz w:val="32"/>
          <w:szCs w:val="32"/>
        </w:rPr>
        <w:t>维护青少年权益</w:t>
      </w:r>
    </w:p>
    <w:p>
      <w:pPr>
        <w:keepNext w:val="0"/>
        <w:keepLines w:val="0"/>
        <w:pageBreakBefore w:val="0"/>
        <w:kinsoku/>
        <w:wordWrap/>
        <w:overflowPunct/>
        <w:topLinePunct w:val="0"/>
        <w:autoSpaceDE/>
        <w:autoSpaceDN/>
        <w:bidi w:val="0"/>
        <w:snapToGrid w:val="0"/>
        <w:spacing w:beforeAutospacing="0" w:afterAutospacing="0" w:line="576" w:lineRule="exact"/>
        <w:ind w:firstLine="640" w:firstLineChars="200"/>
        <w:rPr>
          <w:rFonts w:hint="eastAsia" w:ascii="仿宋" w:hAnsi="仿宋" w:eastAsia="仿宋"/>
          <w:bCs/>
          <w:color w:val="000000"/>
          <w:sz w:val="32"/>
          <w:szCs w:val="32"/>
        </w:rPr>
      </w:pPr>
      <w:r>
        <w:rPr>
          <w:rFonts w:hint="eastAsia" w:ascii="仿宋_GB2312" w:hAnsi="仿宋" w:eastAsia="仿宋_GB2312"/>
          <w:sz w:val="32"/>
          <w:szCs w:val="32"/>
        </w:rPr>
        <w:t>9.新媒体工作</w:t>
      </w:r>
      <w:r>
        <w:rPr>
          <w:rFonts w:hint="eastAsia" w:ascii="仿宋_GB2312" w:hAnsi="仿宋" w:eastAsia="仿宋_GB2312"/>
          <w:sz w:val="32"/>
          <w:szCs w:val="32"/>
          <w:lang w:eastAsia="zh-CN"/>
        </w:rPr>
        <w:t>顺利实施，再上新台阶</w:t>
      </w:r>
    </w:p>
    <w:p>
      <w:pPr>
        <w:pStyle w:val="3"/>
        <w:rPr>
          <w:rStyle w:val="31"/>
          <w:b w:val="0"/>
          <w:bCs w:val="0"/>
        </w:rPr>
      </w:pPr>
      <w:bookmarkStart w:id="34" w:name="_Toc32689"/>
      <w:bookmarkStart w:id="35" w:name="_Toc15396601"/>
      <w:bookmarkStart w:id="36" w:name="_Toc4139"/>
      <w:bookmarkStart w:id="37" w:name="_Toc15377200"/>
      <w:r>
        <w:rPr>
          <w:rFonts w:hint="eastAsia" w:ascii="黑体" w:eastAsia="黑体"/>
          <w:b w:val="0"/>
          <w:color w:val="000000"/>
        </w:rPr>
        <w:t>二、</w:t>
      </w:r>
      <w:r>
        <w:rPr>
          <w:rFonts w:hint="eastAsia" w:ascii="黑体" w:hAnsi="黑体" w:eastAsia="黑体"/>
          <w:b w:val="0"/>
          <w:color w:val="000000"/>
        </w:rPr>
        <w:t>机</w:t>
      </w:r>
      <w:r>
        <w:rPr>
          <w:rStyle w:val="31"/>
          <w:rFonts w:hint="eastAsia" w:ascii="黑体" w:hAnsi="黑体" w:eastAsia="黑体"/>
          <w:b w:val="0"/>
          <w:bCs w:val="0"/>
        </w:rPr>
        <w:t>构设置</w:t>
      </w:r>
      <w:bookmarkEnd w:id="34"/>
      <w:bookmarkEnd w:id="35"/>
      <w:bookmarkEnd w:id="36"/>
      <w:bookmarkEnd w:id="37"/>
    </w:p>
    <w:p>
      <w:pPr>
        <w:pStyle w:val="5"/>
        <w:keepNext w:val="0"/>
        <w:keepLines w:val="0"/>
        <w:pageBreakBefore w:val="0"/>
        <w:widowControl w:val="0"/>
        <w:numPr>
          <w:ilvl w:val="0"/>
          <w:numId w:val="0"/>
        </w:numPr>
        <w:kinsoku/>
        <w:wordWrap/>
        <w:overflowPunct/>
        <w:topLinePunct w:val="0"/>
        <w:autoSpaceDE/>
        <w:autoSpaceDN/>
        <w:bidi w:val="0"/>
        <w:adjustRightInd w:val="0"/>
        <w:snapToGrid w:val="0"/>
        <w:spacing w:before="93" w:line="576" w:lineRule="exact"/>
        <w:ind w:left="672" w:leftChars="0" w:firstLine="640" w:firstLineChars="200"/>
        <w:jc w:val="both"/>
        <w:textAlignment w:val="auto"/>
        <w:outlineLvl w:val="2"/>
        <w:rPr>
          <w:rFonts w:hint="default" w:ascii="仿宋" w:hAnsi="仿宋" w:eastAsia="仿宋"/>
          <w:sz w:val="32"/>
          <w:szCs w:val="32"/>
          <w:lang w:val="en-US" w:eastAsia="zh-CN"/>
        </w:rPr>
      </w:pPr>
      <w:bookmarkStart w:id="38" w:name="_Toc5945"/>
      <w:bookmarkStart w:id="39" w:name="_Toc21895"/>
      <w:r>
        <w:rPr>
          <w:rFonts w:hint="eastAsia" w:ascii="仿宋" w:hAnsi="仿宋" w:eastAsia="仿宋"/>
          <w:sz w:val="32"/>
          <w:szCs w:val="32"/>
          <w:lang w:eastAsia="zh-CN"/>
        </w:rPr>
        <w:t>本单位</w:t>
      </w:r>
      <w:r>
        <w:rPr>
          <w:rFonts w:hint="eastAsia" w:ascii="仿宋" w:hAnsi="仿宋" w:eastAsia="仿宋"/>
          <w:sz w:val="32"/>
          <w:szCs w:val="32"/>
        </w:rPr>
        <w:t>下属二级单位</w:t>
      </w:r>
      <w:r>
        <w:rPr>
          <w:rFonts w:hint="eastAsia" w:ascii="仿宋" w:hAnsi="仿宋" w:eastAsia="仿宋"/>
          <w:sz w:val="32"/>
          <w:szCs w:val="32"/>
          <w:lang w:val="en-US" w:eastAsia="zh-CN"/>
        </w:rPr>
        <w:t>3</w:t>
      </w:r>
      <w:r>
        <w:rPr>
          <w:rFonts w:hint="eastAsia" w:ascii="仿宋" w:hAnsi="仿宋" w:eastAsia="仿宋"/>
          <w:sz w:val="32"/>
          <w:szCs w:val="32"/>
        </w:rPr>
        <w:t>个，其中行政单位</w:t>
      </w:r>
      <w:r>
        <w:rPr>
          <w:rFonts w:hint="eastAsia" w:ascii="仿宋" w:hAnsi="仿宋" w:eastAsia="仿宋"/>
          <w:sz w:val="32"/>
          <w:szCs w:val="32"/>
          <w:lang w:val="en-US" w:eastAsia="zh-CN"/>
        </w:rPr>
        <w:t>1</w:t>
      </w:r>
      <w:r>
        <w:rPr>
          <w:rFonts w:hint="eastAsia" w:ascii="仿宋" w:hAnsi="仿宋" w:eastAsia="仿宋"/>
          <w:sz w:val="32"/>
          <w:szCs w:val="32"/>
        </w:rPr>
        <w:t>个</w:t>
      </w:r>
      <w:r>
        <w:rPr>
          <w:rFonts w:hint="eastAsia" w:ascii="仿宋" w:hAnsi="仿宋" w:eastAsia="仿宋"/>
          <w:sz w:val="32"/>
          <w:szCs w:val="32"/>
          <w:lang w:val="en-US" w:eastAsia="zh-CN"/>
        </w:rPr>
        <w:t>,编制3人</w:t>
      </w:r>
      <w:r>
        <w:rPr>
          <w:rFonts w:hint="eastAsia" w:ascii="仿宋" w:hAnsi="仿宋" w:eastAsia="仿宋"/>
          <w:sz w:val="32"/>
          <w:szCs w:val="32"/>
        </w:rPr>
        <w:t>，</w:t>
      </w:r>
      <w:r>
        <w:rPr>
          <w:rFonts w:hint="eastAsia" w:ascii="仿宋" w:hAnsi="仿宋" w:eastAsia="仿宋"/>
          <w:sz w:val="32"/>
          <w:szCs w:val="32"/>
          <w:lang w:eastAsia="zh-CN"/>
        </w:rPr>
        <w:t>西部计划志愿者</w:t>
      </w:r>
      <w:r>
        <w:rPr>
          <w:rFonts w:hint="eastAsia" w:ascii="仿宋" w:hAnsi="仿宋" w:eastAsia="仿宋"/>
          <w:sz w:val="32"/>
          <w:szCs w:val="32"/>
          <w:lang w:val="en-US" w:eastAsia="zh-CN"/>
        </w:rPr>
        <w:t>2人；</w:t>
      </w:r>
      <w:r>
        <w:rPr>
          <w:rFonts w:hint="eastAsia" w:ascii="仿宋" w:hAnsi="仿宋" w:eastAsia="仿宋"/>
          <w:sz w:val="32"/>
          <w:szCs w:val="32"/>
        </w:rPr>
        <w:t>参照公务员法管理的事业单位</w:t>
      </w:r>
      <w:r>
        <w:rPr>
          <w:rFonts w:hint="eastAsia" w:ascii="仿宋" w:hAnsi="仿宋" w:eastAsia="仿宋"/>
          <w:sz w:val="32"/>
          <w:szCs w:val="32"/>
          <w:lang w:val="en-US" w:eastAsia="zh-CN"/>
        </w:rPr>
        <w:t>2</w:t>
      </w:r>
      <w:r>
        <w:rPr>
          <w:rFonts w:hint="eastAsia" w:ascii="仿宋" w:hAnsi="仿宋" w:eastAsia="仿宋"/>
          <w:sz w:val="32"/>
          <w:szCs w:val="32"/>
        </w:rPr>
        <w:t>个，</w:t>
      </w:r>
      <w:r>
        <w:rPr>
          <w:rFonts w:hint="eastAsia" w:ascii="仿宋" w:hAnsi="仿宋" w:eastAsia="仿宋"/>
          <w:sz w:val="32"/>
          <w:szCs w:val="32"/>
          <w:lang w:eastAsia="zh-CN"/>
        </w:rPr>
        <w:t>其中四川省阿坝州红原县关心下一代工作委员会，编制</w:t>
      </w:r>
      <w:r>
        <w:rPr>
          <w:rFonts w:hint="eastAsia" w:ascii="仿宋" w:hAnsi="仿宋" w:eastAsia="仿宋"/>
          <w:sz w:val="32"/>
          <w:szCs w:val="32"/>
          <w:lang w:val="en-US" w:eastAsia="zh-CN"/>
        </w:rPr>
        <w:t>2人；</w:t>
      </w:r>
      <w:r>
        <w:rPr>
          <w:rFonts w:hint="eastAsia" w:ascii="仿宋" w:hAnsi="仿宋" w:eastAsia="仿宋"/>
          <w:color w:val="000000"/>
          <w:sz w:val="32"/>
          <w:szCs w:val="32"/>
          <w:lang w:eastAsia="zh-CN"/>
        </w:rPr>
        <w:t>四川省阿坝州红原县青少年宫编制</w:t>
      </w:r>
      <w:r>
        <w:rPr>
          <w:rFonts w:hint="eastAsia" w:ascii="仿宋" w:hAnsi="仿宋" w:eastAsia="仿宋"/>
          <w:color w:val="000000"/>
          <w:sz w:val="32"/>
          <w:szCs w:val="32"/>
          <w:lang w:val="en-US" w:eastAsia="zh-CN"/>
        </w:rPr>
        <w:t>4人。</w:t>
      </w:r>
      <w:bookmarkEnd w:id="38"/>
      <w:bookmarkEnd w:id="39"/>
    </w:p>
    <w:p>
      <w:pPr>
        <w:pStyle w:val="5"/>
        <w:adjustRightInd w:val="0"/>
        <w:snapToGrid w:val="0"/>
        <w:spacing w:before="93" w:line="600" w:lineRule="exact"/>
        <w:ind w:firstLine="672" w:firstLineChars="210"/>
        <w:rPr>
          <w:rFonts w:hint="eastAsia" w:ascii="仿宋" w:hAnsi="仿宋" w:eastAsia="仿宋"/>
          <w:color w:val="000000"/>
          <w:sz w:val="32"/>
          <w:szCs w:val="32"/>
        </w:rPr>
      </w:pPr>
      <w:r>
        <w:rPr>
          <w:rFonts w:hint="eastAsia" w:ascii="仿宋" w:hAnsi="仿宋" w:eastAsia="仿宋"/>
          <w:color w:val="000000"/>
          <w:sz w:val="32"/>
          <w:szCs w:val="32"/>
        </w:rPr>
        <w:t>纳入</w:t>
      </w:r>
      <w:r>
        <w:rPr>
          <w:rFonts w:hint="eastAsia" w:ascii="仿宋" w:hAnsi="仿宋" w:eastAsia="仿宋"/>
          <w:color w:val="000000"/>
          <w:sz w:val="32"/>
          <w:szCs w:val="32"/>
          <w:lang w:eastAsia="zh-CN"/>
        </w:rPr>
        <w:t>四川省厅</w:t>
      </w:r>
      <w:r>
        <w:rPr>
          <w:rFonts w:hint="eastAsia"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年度部门决算编制范围的二级预算单位包括：</w:t>
      </w:r>
    </w:p>
    <w:p>
      <w:pPr>
        <w:pStyle w:val="5"/>
        <w:adjustRightInd w:val="0"/>
        <w:snapToGrid w:val="0"/>
        <w:spacing w:before="93" w:line="600" w:lineRule="exact"/>
        <w:ind w:firstLine="672" w:firstLineChars="210"/>
        <w:rPr>
          <w:rFonts w:hint="default" w:ascii="仿宋" w:hAnsi="仿宋" w:eastAsia="仿宋"/>
          <w:color w:val="000000"/>
          <w:sz w:val="32"/>
          <w:szCs w:val="32"/>
          <w:lang w:val="en-US" w:eastAsia="zh-CN"/>
        </w:rPr>
      </w:pPr>
      <w:r>
        <w:rPr>
          <w:rFonts w:hint="eastAsia" w:ascii="仿宋" w:hAnsi="仿宋" w:eastAsia="仿宋"/>
          <w:color w:val="000000"/>
          <w:sz w:val="32"/>
          <w:szCs w:val="32"/>
          <w:lang w:val="en-US" w:eastAsia="zh-CN"/>
        </w:rPr>
        <w:t>1.中国共产主义青年团阿坝州红原县团委</w:t>
      </w:r>
    </w:p>
    <w:p>
      <w:pPr>
        <w:pStyle w:val="5"/>
        <w:numPr>
          <w:ilvl w:val="0"/>
          <w:numId w:val="0"/>
        </w:numPr>
        <w:adjustRightInd w:val="0"/>
        <w:snapToGrid w:val="0"/>
        <w:spacing w:before="93" w:line="600" w:lineRule="exact"/>
        <w:ind w:left="672" w:leftChars="0"/>
        <w:outlineLvl w:val="2"/>
        <w:rPr>
          <w:rFonts w:ascii="仿宋" w:hAnsi="仿宋" w:eastAsia="仿宋"/>
          <w:color w:val="000000"/>
          <w:sz w:val="32"/>
          <w:szCs w:val="32"/>
        </w:rPr>
      </w:pPr>
      <w:bookmarkStart w:id="40" w:name="_Toc27951"/>
      <w:bookmarkStart w:id="41" w:name="_Toc11258"/>
      <w:r>
        <w:rPr>
          <w:rFonts w:hint="eastAsia" w:ascii="仿宋" w:hAnsi="仿宋" w:eastAsia="仿宋"/>
          <w:color w:val="000000"/>
          <w:sz w:val="32"/>
          <w:szCs w:val="32"/>
          <w:lang w:val="en-US" w:eastAsia="zh-CN"/>
        </w:rPr>
        <w:t>2.</w:t>
      </w:r>
      <w:r>
        <w:rPr>
          <w:rFonts w:hint="eastAsia" w:ascii="仿宋" w:hAnsi="仿宋" w:eastAsia="仿宋"/>
          <w:color w:val="000000"/>
          <w:sz w:val="32"/>
          <w:szCs w:val="32"/>
          <w:lang w:eastAsia="zh-CN"/>
        </w:rPr>
        <w:t>四川省阿坝州红原县青少年宫</w:t>
      </w:r>
      <w:bookmarkEnd w:id="40"/>
      <w:bookmarkEnd w:id="41"/>
    </w:p>
    <w:p>
      <w:pPr>
        <w:pStyle w:val="2"/>
        <w:ind w:right="440"/>
        <w:jc w:val="right"/>
        <w:rPr>
          <w:rStyle w:val="25"/>
          <w:rFonts w:ascii="黑体" w:hAnsi="黑体" w:eastAsia="黑体"/>
          <w:b w:val="0"/>
          <w:bCs w:val="0"/>
        </w:rPr>
      </w:pPr>
      <w:bookmarkStart w:id="42" w:name="_Toc28641"/>
      <w:bookmarkStart w:id="43" w:name="_Toc5617"/>
      <w:r>
        <w:rPr>
          <w:rFonts w:hint="eastAsia" w:ascii="黑体" w:hAnsi="黑体" w:eastAsia="黑体"/>
          <w:b w:val="0"/>
          <w:color w:val="000000"/>
        </w:rPr>
        <w:t>第二部分</w:t>
      </w:r>
      <w:r>
        <w:rPr>
          <w:rFonts w:hint="eastAsia" w:ascii="黑体" w:hAnsi="黑体" w:eastAsia="黑体"/>
          <w:color w:val="000000"/>
        </w:rPr>
        <w:t xml:space="preserve"> </w:t>
      </w:r>
      <w:r>
        <w:rPr>
          <w:rStyle w:val="25"/>
          <w:rFonts w:hint="eastAsia" w:ascii="黑体" w:hAnsi="黑体" w:eastAsia="黑体"/>
          <w:b w:val="0"/>
          <w:bCs w:val="0"/>
        </w:rPr>
        <w:t>2019年度部门决算情况说明</w:t>
      </w:r>
      <w:bookmarkEnd w:id="28"/>
      <w:bookmarkEnd w:id="29"/>
      <w:bookmarkEnd w:id="42"/>
      <w:bookmarkEnd w:id="43"/>
    </w:p>
    <w:p/>
    <w:p>
      <w:pPr>
        <w:pStyle w:val="24"/>
        <w:numPr>
          <w:ilvl w:val="0"/>
          <w:numId w:val="2"/>
        </w:numPr>
        <w:spacing w:line="600" w:lineRule="exact"/>
        <w:ind w:firstLineChars="0"/>
        <w:outlineLvl w:val="1"/>
        <w:rPr>
          <w:rStyle w:val="26"/>
          <w:rFonts w:ascii="黑体" w:hAnsi="黑体" w:eastAsia="黑体"/>
          <w:b w:val="0"/>
        </w:rPr>
      </w:pPr>
      <w:bookmarkStart w:id="44" w:name="_Toc6063"/>
      <w:bookmarkStart w:id="45" w:name="_Toc8476"/>
      <w:bookmarkStart w:id="46" w:name="_Toc15377205"/>
      <w:bookmarkStart w:id="47" w:name="_Toc15396603"/>
      <w:r>
        <w:rPr>
          <w:rFonts w:hint="eastAsia" w:ascii="黑体" w:hAnsi="黑体" w:eastAsia="黑体"/>
          <w:color w:val="000000"/>
          <w:sz w:val="32"/>
          <w:szCs w:val="32"/>
        </w:rPr>
        <w:t>收</w:t>
      </w:r>
      <w:r>
        <w:rPr>
          <w:rStyle w:val="26"/>
          <w:rFonts w:hint="eastAsia" w:ascii="黑体" w:hAnsi="黑体" w:eastAsia="黑体"/>
          <w:b w:val="0"/>
        </w:rPr>
        <w:t>入支出决算总体情况说明</w:t>
      </w:r>
      <w:bookmarkEnd w:id="44"/>
      <w:bookmarkEnd w:id="45"/>
      <w:bookmarkEnd w:id="46"/>
      <w:bookmarkEnd w:id="47"/>
    </w:p>
    <w:p>
      <w:pPr>
        <w:spacing w:line="600" w:lineRule="exact"/>
        <w:ind w:firstLine="640" w:firstLineChars="200"/>
        <w:rPr>
          <w:rFonts w:hint="eastAsia" w:ascii="仿宋" w:hAnsi="仿宋" w:eastAsia="仿宋"/>
          <w:color w:val="000000" w:themeColor="text1"/>
          <w:sz w:val="32"/>
          <w:szCs w:val="32"/>
        </w:rPr>
      </w:pPr>
      <w:r>
        <w:rPr>
          <w:rFonts w:hint="eastAsia" w:ascii="仿宋" w:hAnsi="仿宋" w:eastAsia="仿宋"/>
          <w:color w:val="000000"/>
          <w:sz w:val="32"/>
          <w:szCs w:val="32"/>
        </w:rPr>
        <w:t>2019年度收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217.42</w:t>
      </w:r>
      <w:r>
        <w:rPr>
          <w:rFonts w:hint="eastAsia" w:ascii="仿宋" w:hAnsi="仿宋" w:eastAsia="仿宋"/>
          <w:color w:val="000000"/>
          <w:sz w:val="32"/>
          <w:szCs w:val="32"/>
        </w:rPr>
        <w:t>万元。与2018年相比，收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总计减少</w:t>
      </w:r>
      <w:r>
        <w:rPr>
          <w:rFonts w:hint="eastAsia" w:ascii="仿宋" w:hAnsi="仿宋" w:eastAsia="仿宋"/>
          <w:color w:val="000000"/>
          <w:sz w:val="32"/>
          <w:szCs w:val="32"/>
          <w:lang w:val="en-US" w:eastAsia="zh-CN"/>
        </w:rPr>
        <w:t>15.87</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6.8</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行政事业单位分开决算，合理使用公用经费</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2019年支出215.42万元，与2018年相比减少17.87万，下降7.6%</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行政事业单位分开决算，合理使用公用经费。</w:t>
      </w:r>
      <w:r>
        <w:rPr>
          <w:rFonts w:hint="eastAsia" w:ascii="仿宋" w:hAnsi="仿宋" w:eastAsia="仿宋"/>
          <w:color w:val="000000" w:themeColor="text1"/>
          <w:sz w:val="32"/>
          <w:szCs w:val="32"/>
        </w:rPr>
        <w:t>（图</w:t>
      </w:r>
      <w:r>
        <w:rPr>
          <w:rFonts w:ascii="仿宋" w:hAnsi="仿宋" w:eastAsia="仿宋"/>
          <w:color w:val="000000" w:themeColor="text1"/>
          <w:sz w:val="32"/>
          <w:szCs w:val="32"/>
        </w:rPr>
        <w:t>1</w:t>
      </w:r>
      <w:r>
        <w:rPr>
          <w:rFonts w:hint="eastAsia" w:ascii="仿宋" w:hAnsi="仿宋" w:eastAsia="仿宋"/>
          <w:color w:val="000000" w:themeColor="text1"/>
          <w:sz w:val="32"/>
          <w:szCs w:val="32"/>
        </w:rPr>
        <w:t>：收、支决算总计变动情况图）（柱状图）</w:t>
      </w:r>
    </w:p>
    <w:p>
      <w:pPr>
        <w:spacing w:line="600" w:lineRule="exact"/>
        <w:ind w:firstLine="640" w:firstLineChars="200"/>
        <w:rPr>
          <w:rFonts w:ascii="仿宋_GB2312" w:eastAsia="仿宋_GB2312"/>
          <w:color w:val="000000"/>
          <w:sz w:val="32"/>
          <w:szCs w:val="32"/>
        </w:rPr>
      </w:pPr>
      <w:r>
        <w:rPr>
          <w:rFonts w:hint="eastAsia" w:ascii="黑体" w:hAnsi="黑体" w:eastAsia="黑体"/>
          <w:color w:val="000000"/>
          <w:sz w:val="32"/>
          <w:szCs w:val="32"/>
          <w:lang w:eastAsia="zh-CN"/>
        </w:rPr>
        <w:drawing>
          <wp:anchor distT="0" distB="0" distL="114300" distR="114300" simplePos="0" relativeHeight="251664384" behindDoc="0" locked="0" layoutInCell="1" allowOverlap="1">
            <wp:simplePos x="0" y="0"/>
            <wp:positionH relativeFrom="column">
              <wp:posOffset>88265</wp:posOffset>
            </wp:positionH>
            <wp:positionV relativeFrom="paragraph">
              <wp:posOffset>261620</wp:posOffset>
            </wp:positionV>
            <wp:extent cx="5080000" cy="3895725"/>
            <wp:effectExtent l="4445" t="4445" r="20955" b="5080"/>
            <wp:wrapSquare wrapText="bothSides"/>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pStyle w:val="24"/>
        <w:numPr>
          <w:ilvl w:val="0"/>
          <w:numId w:val="2"/>
        </w:numPr>
        <w:spacing w:line="600" w:lineRule="exact"/>
        <w:ind w:firstLineChars="0"/>
        <w:outlineLvl w:val="1"/>
        <w:rPr>
          <w:rStyle w:val="26"/>
          <w:rFonts w:ascii="黑体" w:hAnsi="黑体" w:eastAsia="黑体"/>
          <w:b w:val="0"/>
        </w:rPr>
      </w:pPr>
      <w:bookmarkStart w:id="48" w:name="_Toc31957"/>
      <w:bookmarkStart w:id="49" w:name="_Toc15396604"/>
      <w:bookmarkStart w:id="50" w:name="_Toc19525"/>
      <w:bookmarkStart w:id="51" w:name="_Toc15377206"/>
      <w:r>
        <w:rPr>
          <w:rFonts w:hint="eastAsia" w:ascii="黑体" w:hAnsi="黑体" w:eastAsia="黑体"/>
          <w:color w:val="000000"/>
          <w:sz w:val="32"/>
          <w:szCs w:val="32"/>
        </w:rPr>
        <w:t>收</w:t>
      </w:r>
      <w:r>
        <w:rPr>
          <w:rStyle w:val="26"/>
          <w:rFonts w:hint="eastAsia" w:ascii="黑体" w:hAnsi="黑体" w:eastAsia="黑体"/>
          <w:b w:val="0"/>
        </w:rPr>
        <w:t>入决算情况说明</w:t>
      </w:r>
      <w:bookmarkEnd w:id="48"/>
      <w:bookmarkEnd w:id="49"/>
      <w:bookmarkEnd w:id="50"/>
      <w:bookmarkEnd w:id="51"/>
    </w:p>
    <w:p>
      <w:pPr>
        <w:spacing w:line="600" w:lineRule="exact"/>
        <w:ind w:firstLine="640" w:firstLineChars="200"/>
        <w:outlineLvl w:val="1"/>
        <w:rPr>
          <w:rFonts w:hint="eastAsia" w:ascii="仿宋" w:hAnsi="仿宋" w:eastAsia="仿宋"/>
          <w:color w:val="000000" w:themeColor="text1"/>
          <w:sz w:val="32"/>
          <w:szCs w:val="32"/>
        </w:rPr>
      </w:pPr>
      <w:bookmarkStart w:id="52" w:name="_Toc11563"/>
      <w:bookmarkStart w:id="53" w:name="_Toc13039"/>
      <w:r>
        <w:rPr>
          <w:rFonts w:ascii="仿宋" w:hAnsi="仿宋" w:eastAsia="仿宋"/>
          <w:color w:val="000000"/>
          <w:sz w:val="32"/>
          <w:szCs w:val="32"/>
        </w:rPr>
        <w:t>201</w:t>
      </w:r>
      <w:r>
        <w:rPr>
          <w:rFonts w:hint="eastAsia" w:ascii="仿宋" w:hAnsi="仿宋" w:eastAsia="仿宋"/>
          <w:color w:val="000000"/>
          <w:sz w:val="32"/>
          <w:szCs w:val="32"/>
        </w:rPr>
        <w:t>9年本年收入合计</w:t>
      </w:r>
      <w:r>
        <w:rPr>
          <w:rFonts w:hint="eastAsia" w:ascii="仿宋" w:hAnsi="仿宋" w:eastAsia="仿宋"/>
          <w:color w:val="000000"/>
          <w:sz w:val="32"/>
          <w:szCs w:val="32"/>
          <w:lang w:val="en-US" w:eastAsia="zh-CN"/>
        </w:rPr>
        <w:t>217.42</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189.59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87.19</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themeColor="text1"/>
          <w:sz w:val="32"/>
          <w:szCs w:val="32"/>
        </w:rPr>
        <w:t>上级补助收入</w:t>
      </w:r>
      <w:r>
        <w:rPr>
          <w:rFonts w:hint="eastAsia" w:ascii="仿宋" w:hAnsi="仿宋" w:eastAsia="仿宋"/>
          <w:color w:val="000000" w:themeColor="text1"/>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lang w:eastAsia="zh-CN"/>
        </w:rPr>
        <w:t>；年初结转结余</w:t>
      </w:r>
      <w:r>
        <w:rPr>
          <w:rFonts w:hint="eastAsia" w:ascii="仿宋" w:hAnsi="仿宋" w:eastAsia="仿宋"/>
          <w:color w:val="000000"/>
          <w:sz w:val="32"/>
          <w:szCs w:val="32"/>
          <w:lang w:val="en-US" w:eastAsia="zh-CN"/>
        </w:rPr>
        <w:t>27.83万元，占比12.81%</w:t>
      </w:r>
      <w:r>
        <w:rPr>
          <w:rFonts w:hint="eastAsia" w:ascii="仿宋" w:hAnsi="仿宋" w:eastAsia="仿宋"/>
          <w:color w:val="000000"/>
          <w:sz w:val="32"/>
          <w:szCs w:val="32"/>
        </w:rPr>
        <w:t>。</w:t>
      </w:r>
      <w:r>
        <w:rPr>
          <w:rFonts w:hint="eastAsia" w:ascii="仿宋" w:hAnsi="仿宋" w:eastAsia="仿宋"/>
          <w:color w:val="000000" w:themeColor="text1"/>
          <w:sz w:val="32"/>
          <w:szCs w:val="32"/>
        </w:rPr>
        <w:t>（图2：收入决算结构图）（饼状图）</w:t>
      </w:r>
      <w:bookmarkEnd w:id="52"/>
      <w:bookmarkEnd w:id="53"/>
    </w:p>
    <w:p>
      <w:pPr>
        <w:spacing w:line="600" w:lineRule="exact"/>
        <w:ind w:firstLine="640" w:firstLineChars="200"/>
        <w:outlineLvl w:val="9"/>
        <w:rPr>
          <w:rFonts w:hint="eastAsia" w:ascii="仿宋" w:hAnsi="仿宋" w:eastAsia="仿宋"/>
          <w:color w:val="000000" w:themeColor="text1"/>
          <w:sz w:val="32"/>
          <w:szCs w:val="32"/>
          <w:lang w:eastAsia="zh-CN"/>
        </w:rPr>
      </w:pPr>
      <w:r>
        <w:rPr>
          <w:rFonts w:hint="eastAsia" w:ascii="仿宋" w:hAnsi="仿宋" w:eastAsia="仿宋"/>
          <w:color w:val="000000" w:themeColor="text1"/>
          <w:sz w:val="32"/>
          <w:szCs w:val="32"/>
          <w:lang w:eastAsia="zh-CN"/>
        </w:rPr>
        <w:drawing>
          <wp:anchor distT="0" distB="0" distL="114300" distR="114300" simplePos="0" relativeHeight="251665408" behindDoc="0" locked="0" layoutInCell="1" allowOverlap="1">
            <wp:simplePos x="0" y="0"/>
            <wp:positionH relativeFrom="column">
              <wp:posOffset>477520</wp:posOffset>
            </wp:positionH>
            <wp:positionV relativeFrom="paragraph">
              <wp:posOffset>233045</wp:posOffset>
            </wp:positionV>
            <wp:extent cx="3995420" cy="2430145"/>
            <wp:effectExtent l="4445" t="4445" r="19685" b="22860"/>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outlineLvl w:val="9"/>
        <w:rPr>
          <w:rFonts w:hint="eastAsia" w:ascii="仿宋" w:hAnsi="仿宋" w:eastAsia="仿宋"/>
          <w:color w:val="000000" w:themeColor="text1"/>
          <w:sz w:val="32"/>
          <w:szCs w:val="32"/>
        </w:rPr>
      </w:pPr>
    </w:p>
    <w:p>
      <w:pPr>
        <w:spacing w:line="600" w:lineRule="exact"/>
        <w:ind w:firstLine="640" w:firstLineChars="200"/>
        <w:outlineLvl w:val="9"/>
        <w:rPr>
          <w:rFonts w:hint="eastAsia" w:ascii="仿宋" w:hAnsi="仿宋" w:eastAsia="仿宋"/>
          <w:color w:val="000000" w:themeColor="text1"/>
          <w:sz w:val="32"/>
          <w:szCs w:val="32"/>
        </w:rPr>
      </w:pPr>
    </w:p>
    <w:p>
      <w:pPr>
        <w:spacing w:line="600" w:lineRule="exact"/>
        <w:ind w:firstLine="640" w:firstLineChars="200"/>
        <w:outlineLvl w:val="9"/>
        <w:rPr>
          <w:rFonts w:hint="eastAsia" w:ascii="仿宋" w:hAnsi="仿宋" w:eastAsia="仿宋"/>
          <w:color w:val="000000" w:themeColor="text1"/>
          <w:sz w:val="32"/>
          <w:szCs w:val="32"/>
        </w:rPr>
      </w:pPr>
    </w:p>
    <w:p>
      <w:pPr>
        <w:spacing w:line="600" w:lineRule="exact"/>
        <w:ind w:firstLine="640" w:firstLineChars="200"/>
        <w:outlineLvl w:val="9"/>
        <w:rPr>
          <w:rFonts w:hint="eastAsia" w:ascii="仿宋" w:hAnsi="仿宋" w:eastAsia="仿宋"/>
          <w:color w:val="000000" w:themeColor="text1"/>
          <w:sz w:val="32"/>
          <w:szCs w:val="32"/>
        </w:rPr>
      </w:pPr>
    </w:p>
    <w:p>
      <w:pPr>
        <w:spacing w:line="600" w:lineRule="exact"/>
        <w:rPr>
          <w:rFonts w:ascii="仿宋_GB2312" w:eastAsia="仿宋_GB2312"/>
          <w:color w:val="FF0000"/>
          <w:sz w:val="32"/>
          <w:szCs w:val="32"/>
        </w:rPr>
      </w:pPr>
    </w:p>
    <w:p>
      <w:pPr>
        <w:pStyle w:val="24"/>
        <w:numPr>
          <w:ilvl w:val="0"/>
          <w:numId w:val="2"/>
        </w:numPr>
        <w:spacing w:line="600" w:lineRule="exact"/>
        <w:ind w:firstLineChars="0"/>
        <w:outlineLvl w:val="1"/>
        <w:rPr>
          <w:rStyle w:val="26"/>
          <w:rFonts w:ascii="黑体" w:hAnsi="黑体" w:eastAsia="黑体"/>
          <w:b w:val="0"/>
        </w:rPr>
      </w:pPr>
      <w:bookmarkStart w:id="54" w:name="_Toc15396605"/>
      <w:bookmarkStart w:id="55" w:name="_Toc15377207"/>
      <w:bookmarkStart w:id="56" w:name="_Toc23718"/>
      <w:bookmarkStart w:id="57" w:name="_Toc12783"/>
      <w:r>
        <w:rPr>
          <w:rFonts w:hint="eastAsia" w:ascii="黑体" w:hAnsi="黑体" w:eastAsia="黑体"/>
          <w:color w:val="000000"/>
          <w:sz w:val="32"/>
          <w:szCs w:val="32"/>
        </w:rPr>
        <w:t>支</w:t>
      </w:r>
      <w:r>
        <w:rPr>
          <w:rStyle w:val="26"/>
          <w:rFonts w:hint="eastAsia" w:ascii="黑体" w:hAnsi="黑体" w:eastAsia="黑体"/>
          <w:b w:val="0"/>
        </w:rPr>
        <w:t>出决算情况说明</w:t>
      </w:r>
      <w:bookmarkEnd w:id="54"/>
      <w:bookmarkEnd w:id="55"/>
      <w:bookmarkEnd w:id="56"/>
      <w:bookmarkEnd w:id="57"/>
    </w:p>
    <w:p>
      <w:pPr>
        <w:spacing w:line="600" w:lineRule="exact"/>
        <w:ind w:firstLine="640" w:firstLineChars="200"/>
        <w:outlineLvl w:val="1"/>
        <w:rPr>
          <w:rFonts w:ascii="仿宋" w:hAnsi="仿宋" w:eastAsia="仿宋"/>
          <w:color w:val="000000"/>
          <w:sz w:val="32"/>
          <w:szCs w:val="32"/>
        </w:rPr>
      </w:pPr>
      <w:bookmarkStart w:id="58" w:name="_Toc28763"/>
      <w:bookmarkStart w:id="59" w:name="_Toc6967"/>
      <w:r>
        <w:rPr>
          <w:rFonts w:ascii="仿宋" w:hAnsi="仿宋" w:eastAsia="仿宋"/>
          <w:color w:val="000000"/>
          <w:sz w:val="32"/>
          <w:szCs w:val="32"/>
        </w:rPr>
        <w:t>201</w:t>
      </w:r>
      <w:r>
        <w:rPr>
          <w:rFonts w:hint="eastAsia" w:ascii="仿宋" w:hAnsi="仿宋" w:eastAsia="仿宋"/>
          <w:color w:val="000000"/>
          <w:sz w:val="32"/>
          <w:szCs w:val="32"/>
        </w:rPr>
        <w:t>9年本年支出合计</w:t>
      </w:r>
      <w:r>
        <w:rPr>
          <w:rFonts w:hint="eastAsia" w:ascii="仿宋" w:hAnsi="仿宋" w:eastAsia="仿宋"/>
          <w:color w:val="000000"/>
          <w:sz w:val="32"/>
          <w:szCs w:val="32"/>
          <w:lang w:val="en-US" w:eastAsia="zh-CN"/>
        </w:rPr>
        <w:t>215.42</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155.10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72</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60.30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28</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bookmarkEnd w:id="58"/>
      <w:bookmarkEnd w:id="59"/>
    </w:p>
    <w:p>
      <w:pPr>
        <w:spacing w:line="600" w:lineRule="exact"/>
        <w:ind w:firstLine="640" w:firstLineChars="200"/>
        <w:rPr>
          <w:rFonts w:hint="eastAsia" w:ascii="仿宋" w:hAnsi="仿宋" w:eastAsia="仿宋"/>
          <w:color w:val="000000" w:themeColor="text1"/>
          <w:sz w:val="32"/>
          <w:szCs w:val="32"/>
        </w:rPr>
      </w:pPr>
      <w:r>
        <w:rPr>
          <w:rFonts w:hint="eastAsia" w:ascii="仿宋" w:hAnsi="仿宋" w:eastAsia="仿宋"/>
          <w:color w:val="000000" w:themeColor="text1"/>
          <w:sz w:val="32"/>
          <w:szCs w:val="32"/>
        </w:rPr>
        <w:t>（图3：支出决算结构图）（饼状图）</w:t>
      </w:r>
    </w:p>
    <w:p>
      <w:pPr>
        <w:spacing w:line="600" w:lineRule="exact"/>
        <w:ind w:firstLine="640" w:firstLineChars="200"/>
        <w:rPr>
          <w:rFonts w:hint="eastAsia" w:ascii="仿宋" w:hAnsi="仿宋" w:eastAsia="仿宋"/>
          <w:color w:val="000000" w:themeColor="text1"/>
          <w:sz w:val="32"/>
          <w:szCs w:val="32"/>
          <w:lang w:eastAsia="zh-CN"/>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r>
        <w:rPr>
          <w:rFonts w:hint="eastAsia" w:ascii="仿宋" w:hAnsi="仿宋" w:eastAsia="仿宋"/>
          <w:color w:val="000000" w:themeColor="text1"/>
          <w:sz w:val="32"/>
          <w:szCs w:val="32"/>
          <w:lang w:eastAsia="zh-CN"/>
        </w:rPr>
        <w:drawing>
          <wp:anchor distT="0" distB="0" distL="114300" distR="114300" simplePos="0" relativeHeight="251666432" behindDoc="0" locked="0" layoutInCell="1" allowOverlap="1">
            <wp:simplePos x="0" y="0"/>
            <wp:positionH relativeFrom="column">
              <wp:posOffset>410845</wp:posOffset>
            </wp:positionH>
            <wp:positionV relativeFrom="paragraph">
              <wp:posOffset>-871855</wp:posOffset>
            </wp:positionV>
            <wp:extent cx="4414520" cy="2733040"/>
            <wp:effectExtent l="4445" t="4445" r="19685" b="5715"/>
            <wp:wrapSquare wrapText="bothSides"/>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Style w:val="26"/>
          <w:rFonts w:ascii="黑体" w:hAnsi="黑体" w:eastAsia="黑体"/>
          <w:b w:val="0"/>
        </w:rPr>
      </w:pPr>
      <w:bookmarkStart w:id="60" w:name="_Toc15377208"/>
      <w:bookmarkStart w:id="61" w:name="_Toc15396606"/>
      <w:bookmarkStart w:id="62" w:name="_Toc3570"/>
      <w:bookmarkStart w:id="63" w:name="_Toc32014"/>
      <w:r>
        <w:rPr>
          <w:rFonts w:hint="eastAsia" w:ascii="黑体" w:hAnsi="黑体" w:eastAsia="黑体"/>
          <w:color w:val="000000"/>
          <w:sz w:val="32"/>
          <w:szCs w:val="32"/>
        </w:rPr>
        <w:t>四、财</w:t>
      </w:r>
      <w:r>
        <w:rPr>
          <w:rStyle w:val="26"/>
          <w:rFonts w:hint="eastAsia" w:ascii="黑体" w:hAnsi="黑体" w:eastAsia="黑体"/>
          <w:b w:val="0"/>
        </w:rPr>
        <w:t>政拨款收入支出决算总体情况说明</w:t>
      </w:r>
      <w:bookmarkEnd w:id="60"/>
      <w:bookmarkEnd w:id="61"/>
      <w:bookmarkEnd w:id="62"/>
      <w:bookmarkEnd w:id="63"/>
    </w:p>
    <w:p>
      <w:pPr>
        <w:spacing w:line="600" w:lineRule="exact"/>
        <w:ind w:firstLine="640"/>
        <w:rPr>
          <w:rFonts w:hint="eastAsia" w:ascii="仿宋" w:hAnsi="仿宋" w:eastAsia="仿宋"/>
          <w:color w:val="000000" w:themeColor="text1"/>
          <w:sz w:val="32"/>
          <w:szCs w:val="32"/>
        </w:rPr>
      </w:pPr>
      <w:r>
        <w:rPr>
          <w:rFonts w:hint="eastAsia"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年度</w:t>
      </w:r>
      <w:r>
        <w:rPr>
          <w:rFonts w:hint="eastAsia" w:ascii="仿宋" w:hAnsi="仿宋" w:eastAsia="仿宋"/>
          <w:color w:val="000000"/>
          <w:sz w:val="32"/>
          <w:szCs w:val="32"/>
          <w:lang w:eastAsia="zh-CN"/>
        </w:rPr>
        <w:t>财政拨款收入总计</w:t>
      </w:r>
      <w:r>
        <w:rPr>
          <w:rFonts w:hint="eastAsia" w:ascii="仿宋" w:hAnsi="仿宋" w:eastAsia="仿宋"/>
          <w:color w:val="000000"/>
          <w:sz w:val="32"/>
          <w:szCs w:val="32"/>
          <w:lang w:val="en-US" w:eastAsia="zh-CN"/>
        </w:rPr>
        <w:t>189.59万元；2019年度</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155.10</w:t>
      </w:r>
      <w:r>
        <w:rPr>
          <w:rFonts w:hint="eastAsia" w:ascii="仿宋" w:hAnsi="仿宋" w:eastAsia="仿宋"/>
          <w:color w:val="000000"/>
          <w:sz w:val="32"/>
          <w:szCs w:val="32"/>
        </w:rPr>
        <w:t>万元。与20</w:t>
      </w:r>
      <w:r>
        <w:rPr>
          <w:rFonts w:hint="eastAsia" w:ascii="仿宋" w:hAnsi="仿宋" w:eastAsia="仿宋"/>
          <w:color w:val="000000"/>
          <w:sz w:val="32"/>
          <w:szCs w:val="32"/>
          <w:lang w:val="en-US" w:eastAsia="zh-CN"/>
        </w:rPr>
        <w:t>18</w:t>
      </w:r>
      <w:r>
        <w:rPr>
          <w:rFonts w:hint="eastAsia" w:ascii="仿宋" w:hAnsi="仿宋" w:eastAsia="仿宋"/>
          <w:color w:val="000000"/>
          <w:sz w:val="32"/>
          <w:szCs w:val="32"/>
        </w:rPr>
        <w:t>年相比，收</w:t>
      </w:r>
      <w:r>
        <w:rPr>
          <w:rFonts w:hint="eastAsia" w:ascii="仿宋" w:hAnsi="仿宋" w:eastAsia="仿宋"/>
          <w:color w:val="000000"/>
          <w:sz w:val="32"/>
          <w:szCs w:val="32"/>
          <w:lang w:eastAsia="zh-CN"/>
        </w:rPr>
        <w:t>入减少</w:t>
      </w:r>
      <w:r>
        <w:rPr>
          <w:rFonts w:hint="eastAsia" w:ascii="仿宋" w:hAnsi="仿宋" w:eastAsia="仿宋"/>
          <w:color w:val="000000"/>
          <w:sz w:val="32"/>
          <w:szCs w:val="32"/>
          <w:lang w:val="en-US" w:eastAsia="zh-CN"/>
        </w:rPr>
        <w:t>9.15万元，</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eastAsia="zh-CN"/>
        </w:rPr>
        <w:t>减少</w:t>
      </w:r>
      <w:r>
        <w:rPr>
          <w:rFonts w:hint="eastAsia" w:ascii="仿宋" w:hAnsi="仿宋" w:eastAsia="仿宋"/>
          <w:color w:val="000000"/>
          <w:sz w:val="32"/>
          <w:szCs w:val="32"/>
          <w:lang w:val="en-US" w:eastAsia="zh-CN"/>
        </w:rPr>
        <w:t>55.66</w:t>
      </w:r>
      <w:r>
        <w:rPr>
          <w:rFonts w:hint="eastAsia" w:ascii="仿宋" w:hAnsi="仿宋" w:eastAsia="仿宋"/>
          <w:color w:val="000000"/>
          <w:sz w:val="32"/>
          <w:szCs w:val="32"/>
        </w:rPr>
        <w:t>万元。</w:t>
      </w:r>
      <w:r>
        <w:rPr>
          <w:rFonts w:hint="eastAsia" w:ascii="仿宋" w:hAnsi="仿宋" w:eastAsia="仿宋"/>
          <w:color w:val="000000" w:themeColor="text1"/>
          <w:sz w:val="32"/>
          <w:szCs w:val="32"/>
        </w:rPr>
        <w:t>（图4：财政拨款收、支决算总计变动情况）（柱状图）</w:t>
      </w:r>
    </w:p>
    <w:p>
      <w:pPr>
        <w:spacing w:line="600" w:lineRule="exact"/>
        <w:ind w:firstLine="640"/>
        <w:rPr>
          <w:rFonts w:ascii="仿宋" w:hAnsi="仿宋" w:eastAsia="仿宋"/>
          <w:b/>
          <w:color w:val="00B050"/>
          <w:sz w:val="32"/>
          <w:szCs w:val="32"/>
        </w:rPr>
      </w:pPr>
      <w:r>
        <w:rPr>
          <w:rFonts w:hint="eastAsia" w:ascii="黑体" w:hAnsi="黑体" w:eastAsia="黑体"/>
          <w:color w:val="000000"/>
          <w:sz w:val="32"/>
          <w:szCs w:val="32"/>
          <w:lang w:eastAsia="zh-CN"/>
        </w:rPr>
        <w:drawing>
          <wp:anchor distT="0" distB="0" distL="114300" distR="114300" simplePos="0" relativeHeight="251673600" behindDoc="0" locked="0" layoutInCell="1" allowOverlap="1">
            <wp:simplePos x="0" y="0"/>
            <wp:positionH relativeFrom="column">
              <wp:posOffset>69215</wp:posOffset>
            </wp:positionH>
            <wp:positionV relativeFrom="paragraph">
              <wp:posOffset>185420</wp:posOffset>
            </wp:positionV>
            <wp:extent cx="5080000" cy="3895725"/>
            <wp:effectExtent l="4445" t="4445" r="20955" b="5080"/>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firstLineChars="200"/>
        <w:outlineLvl w:val="1"/>
        <w:rPr>
          <w:rStyle w:val="26"/>
          <w:rFonts w:ascii="黑体" w:hAnsi="黑体" w:eastAsia="黑体"/>
          <w:b w:val="0"/>
        </w:rPr>
      </w:pPr>
      <w:bookmarkStart w:id="64" w:name="_Toc25006"/>
      <w:bookmarkStart w:id="65" w:name="_Toc15396607"/>
      <w:bookmarkStart w:id="66" w:name="_Toc15377209"/>
      <w:bookmarkStart w:id="67" w:name="_Toc17850"/>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64"/>
      <w:bookmarkEnd w:id="65"/>
      <w:bookmarkEnd w:id="66"/>
      <w:bookmarkEnd w:id="67"/>
    </w:p>
    <w:p>
      <w:pPr>
        <w:spacing w:line="600" w:lineRule="exact"/>
        <w:ind w:firstLine="643" w:firstLineChars="200"/>
        <w:outlineLvl w:val="2"/>
        <w:rPr>
          <w:rFonts w:ascii="仿宋" w:hAnsi="仿宋" w:eastAsia="仿宋"/>
          <w:b/>
          <w:color w:val="000000"/>
          <w:sz w:val="32"/>
          <w:szCs w:val="32"/>
        </w:rPr>
      </w:pPr>
      <w:bookmarkStart w:id="68" w:name="_Toc11544"/>
      <w:bookmarkStart w:id="69" w:name="_Toc15377210"/>
      <w:bookmarkStart w:id="70" w:name="_Toc23406"/>
      <w:r>
        <w:rPr>
          <w:rFonts w:hint="eastAsia" w:ascii="仿宋" w:hAnsi="仿宋" w:eastAsia="仿宋"/>
          <w:b/>
          <w:color w:val="000000"/>
          <w:sz w:val="32"/>
          <w:szCs w:val="32"/>
        </w:rPr>
        <w:t>（一）一般公共预算财政拨款支出决算总体情况</w:t>
      </w:r>
      <w:bookmarkEnd w:id="68"/>
      <w:bookmarkEnd w:id="69"/>
      <w:bookmarkEnd w:id="70"/>
    </w:p>
    <w:p>
      <w:pPr>
        <w:spacing w:line="600" w:lineRule="exact"/>
        <w:ind w:firstLine="640" w:firstLineChars="200"/>
        <w:rPr>
          <w:rFonts w:hint="eastAsia" w:ascii="仿宋" w:hAnsi="仿宋" w:eastAsia="仿宋"/>
          <w:color w:val="000000"/>
          <w:sz w:val="32"/>
          <w:szCs w:val="32"/>
          <w:lang w:eastAsia="zh-CN"/>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w:t>
      </w:r>
      <w:r>
        <w:rPr>
          <w:rFonts w:hint="eastAsia" w:ascii="仿宋" w:hAnsi="仿宋" w:eastAsia="仿宋"/>
          <w:color w:val="000000"/>
          <w:sz w:val="32"/>
          <w:szCs w:val="32"/>
          <w:lang w:val="en-US" w:eastAsia="zh-CN"/>
        </w:rPr>
        <w:t>189.59</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8年相比，一般公共预算财政拨减少</w:t>
      </w:r>
      <w:r>
        <w:rPr>
          <w:rFonts w:hint="eastAsia" w:ascii="仿宋" w:hAnsi="仿宋" w:eastAsia="仿宋"/>
          <w:color w:val="000000"/>
          <w:sz w:val="32"/>
          <w:szCs w:val="32"/>
          <w:lang w:val="en-US" w:eastAsia="zh-CN"/>
        </w:rPr>
        <w:t>9.15</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9.2</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我委厉行节约，严格使用办公经费。</w:t>
      </w: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（图5：一般公共预算财政拨款支出决算变动情况）（柱状图）</w:t>
      </w:r>
    </w:p>
    <w:p>
      <w:pPr>
        <w:spacing w:line="600" w:lineRule="exact"/>
        <w:ind w:firstLine="640" w:firstLineChars="200"/>
        <w:rPr>
          <w:rFonts w:hint="eastAsia" w:ascii="仿宋" w:hAnsi="仿宋" w:eastAsia="仿宋"/>
          <w:color w:val="000000" w:themeColor="text1"/>
          <w:sz w:val="32"/>
          <w:szCs w:val="32"/>
          <w:lang w:eastAsia="zh-CN"/>
        </w:rPr>
      </w:pPr>
      <w:r>
        <w:rPr>
          <w:rFonts w:hint="eastAsia" w:ascii="仿宋" w:hAnsi="仿宋" w:eastAsia="仿宋"/>
          <w:color w:val="000000" w:themeColor="text1"/>
          <w:sz w:val="32"/>
          <w:szCs w:val="32"/>
          <w:lang w:eastAsia="zh-CN"/>
        </w:rPr>
        <w:drawing>
          <wp:anchor distT="0" distB="0" distL="114300" distR="114300" simplePos="0" relativeHeight="251681792" behindDoc="1" locked="0" layoutInCell="1" allowOverlap="1">
            <wp:simplePos x="0" y="0"/>
            <wp:positionH relativeFrom="column">
              <wp:posOffset>154940</wp:posOffset>
            </wp:positionH>
            <wp:positionV relativeFrom="paragraph">
              <wp:posOffset>328930</wp:posOffset>
            </wp:positionV>
            <wp:extent cx="4593590" cy="2789555"/>
            <wp:effectExtent l="4445" t="5080" r="12065" b="5715"/>
            <wp:wrapTight wrapText="bothSides">
              <wp:wrapPolygon>
                <wp:start x="-21" y="-39"/>
                <wp:lineTo x="-21" y="21497"/>
                <wp:lineTo x="21567" y="21497"/>
                <wp:lineTo x="21567" y="-39"/>
                <wp:lineTo x="-21" y="-39"/>
              </wp:wrapPolygon>
            </wp:wrapTight>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3" w:firstLineChars="200"/>
        <w:outlineLvl w:val="2"/>
        <w:rPr>
          <w:rFonts w:ascii="仿宋" w:hAnsi="仿宋" w:eastAsia="仿宋"/>
          <w:b/>
          <w:color w:val="000000"/>
          <w:sz w:val="32"/>
          <w:szCs w:val="32"/>
        </w:rPr>
      </w:pPr>
      <w:bookmarkStart w:id="71" w:name="_Toc21165"/>
      <w:bookmarkStart w:id="72" w:name="_Toc23642"/>
      <w:bookmarkStart w:id="73" w:name="_Toc15377211"/>
      <w:r>
        <w:rPr>
          <w:rFonts w:hint="eastAsia" w:ascii="仿宋" w:hAnsi="仿宋" w:eastAsia="仿宋"/>
          <w:b/>
          <w:color w:val="000000"/>
          <w:sz w:val="32"/>
          <w:szCs w:val="32"/>
        </w:rPr>
        <w:t>（二）一般公共预算财政拨款支出决算结构情况</w:t>
      </w:r>
      <w:bookmarkEnd w:id="71"/>
      <w:bookmarkEnd w:id="72"/>
      <w:bookmarkEnd w:id="73"/>
    </w:p>
    <w:p>
      <w:pPr>
        <w:spacing w:line="600" w:lineRule="exact"/>
        <w:ind w:firstLine="640"/>
        <w:rPr>
          <w:rFonts w:ascii="仿宋" w:hAnsi="仿宋" w:eastAsia="仿宋"/>
          <w:color w:val="000000" w:themeColor="text1"/>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rPr>
        <w:t>政拨款支出</w:t>
      </w:r>
      <w:r>
        <w:rPr>
          <w:rFonts w:hint="eastAsia" w:ascii="仿宋" w:hAnsi="仿宋" w:eastAsia="仿宋"/>
          <w:color w:val="000000" w:themeColor="text1"/>
          <w:sz w:val="32"/>
          <w:szCs w:val="32"/>
          <w:lang w:val="en-US" w:eastAsia="zh-CN"/>
        </w:rPr>
        <w:t>215.42</w:t>
      </w:r>
      <w:r>
        <w:rPr>
          <w:rFonts w:hint="eastAsia" w:ascii="仿宋" w:hAnsi="仿宋" w:eastAsia="仿宋"/>
          <w:color w:val="000000" w:themeColor="text1"/>
          <w:sz w:val="32"/>
          <w:szCs w:val="32"/>
        </w:rPr>
        <w:t>万元，主要用于以下方面</w:t>
      </w:r>
      <w:r>
        <w:rPr>
          <w:rFonts w:ascii="仿宋" w:hAnsi="仿宋" w:eastAsia="仿宋"/>
          <w:color w:val="000000" w:themeColor="text1"/>
          <w:sz w:val="32"/>
          <w:szCs w:val="32"/>
        </w:rPr>
        <w:t>:</w:t>
      </w:r>
      <w:r>
        <w:rPr>
          <w:rFonts w:hint="eastAsia" w:ascii="仿宋" w:hAnsi="仿宋" w:eastAsia="仿宋"/>
          <w:b/>
          <w:color w:val="000000" w:themeColor="text1"/>
          <w:sz w:val="32"/>
          <w:szCs w:val="32"/>
        </w:rPr>
        <w:t>一般公共服务</w:t>
      </w:r>
      <w:r>
        <w:rPr>
          <w:rFonts w:hint="eastAsia" w:ascii="仿宋" w:hAnsi="仿宋" w:eastAsia="仿宋"/>
          <w:b/>
          <w:color w:val="000000" w:themeColor="text1"/>
          <w:sz w:val="32"/>
          <w:szCs w:val="32"/>
          <w:lang w:eastAsia="zh-CN"/>
        </w:rPr>
        <w:t>（</w:t>
      </w:r>
      <w:r>
        <w:rPr>
          <w:rFonts w:hint="eastAsia" w:ascii="仿宋" w:hAnsi="仿宋" w:eastAsia="仿宋"/>
          <w:b/>
          <w:color w:val="000000" w:themeColor="text1"/>
          <w:sz w:val="32"/>
          <w:szCs w:val="32"/>
          <w:lang w:val="en-US" w:eastAsia="zh-CN"/>
        </w:rPr>
        <w:t xml:space="preserve">201 </w:t>
      </w:r>
      <w:r>
        <w:rPr>
          <w:rFonts w:hint="eastAsia" w:ascii="仿宋" w:hAnsi="仿宋" w:eastAsia="仿宋"/>
          <w:b/>
          <w:color w:val="000000" w:themeColor="text1"/>
          <w:sz w:val="32"/>
          <w:szCs w:val="32"/>
        </w:rPr>
        <w:t>）</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162.92</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75.8</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教育支出（</w:t>
      </w:r>
      <w:r>
        <w:rPr>
          <w:rFonts w:hint="eastAsia" w:ascii="仿宋" w:hAnsi="仿宋" w:eastAsia="仿宋"/>
          <w:b/>
          <w:color w:val="000000" w:themeColor="text1"/>
          <w:sz w:val="32"/>
          <w:szCs w:val="32"/>
          <w:lang w:val="en-US" w:eastAsia="zh-CN"/>
        </w:rPr>
        <w:t>205</w:t>
      </w:r>
      <w:r>
        <w:rPr>
          <w:rFonts w:hint="eastAsia" w:ascii="仿宋" w:hAnsi="仿宋" w:eastAsia="仿宋"/>
          <w:b/>
          <w:color w:val="000000" w:themeColor="text1"/>
          <w:sz w:val="32"/>
          <w:szCs w:val="32"/>
        </w:rPr>
        <w:t>）</w:t>
      </w:r>
      <w:r>
        <w:rPr>
          <w:rFonts w:hint="eastAsia" w:ascii="仿宋" w:hAnsi="仿宋" w:eastAsia="仿宋"/>
          <w:b/>
          <w:color w:val="000000" w:themeColor="text1"/>
          <w:sz w:val="32"/>
          <w:szCs w:val="32"/>
          <w:lang w:val="en-US" w:eastAsia="zh-CN"/>
        </w:rPr>
        <w:t>0</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0</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科学技术（</w:t>
      </w:r>
      <w:r>
        <w:rPr>
          <w:rFonts w:hint="eastAsia" w:ascii="仿宋" w:hAnsi="仿宋" w:eastAsia="仿宋"/>
          <w:b/>
          <w:color w:val="000000" w:themeColor="text1"/>
          <w:sz w:val="32"/>
          <w:szCs w:val="32"/>
          <w:lang w:val="en-US" w:eastAsia="zh-CN"/>
        </w:rPr>
        <w:t>206</w:t>
      </w:r>
      <w:r>
        <w:rPr>
          <w:rFonts w:hint="eastAsia" w:ascii="仿宋" w:hAnsi="仿宋" w:eastAsia="仿宋"/>
          <w:b/>
          <w:color w:val="000000" w:themeColor="text1"/>
          <w:sz w:val="32"/>
          <w:szCs w:val="32"/>
        </w:rPr>
        <w:t>）</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0</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0</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文化旅游体育与传媒（</w:t>
      </w:r>
      <w:r>
        <w:rPr>
          <w:rFonts w:hint="eastAsia" w:ascii="仿宋" w:hAnsi="仿宋" w:eastAsia="仿宋"/>
          <w:b/>
          <w:bCs/>
          <w:color w:val="000000" w:themeColor="text1"/>
          <w:sz w:val="32"/>
          <w:szCs w:val="32"/>
          <w:lang w:val="en-US" w:eastAsia="zh-CN"/>
        </w:rPr>
        <w:t>207</w:t>
      </w:r>
      <w:r>
        <w:rPr>
          <w:rFonts w:hint="eastAsia" w:ascii="仿宋" w:hAnsi="仿宋" w:eastAsia="仿宋"/>
          <w:b/>
          <w:bCs/>
          <w:color w:val="000000" w:themeColor="text1"/>
          <w:sz w:val="32"/>
          <w:szCs w:val="32"/>
        </w:rPr>
        <w:t>）支出</w:t>
      </w:r>
      <w:r>
        <w:rPr>
          <w:rFonts w:hint="eastAsia" w:ascii="仿宋" w:hAnsi="仿宋" w:eastAsia="仿宋"/>
          <w:b/>
          <w:bCs/>
          <w:color w:val="000000" w:themeColor="text1"/>
          <w:sz w:val="32"/>
          <w:szCs w:val="32"/>
          <w:lang w:val="en-US" w:eastAsia="zh-CN"/>
        </w:rPr>
        <w:t>0</w:t>
      </w:r>
      <w:r>
        <w:rPr>
          <w:rFonts w:hint="eastAsia" w:ascii="仿宋" w:hAnsi="仿宋" w:eastAsia="仿宋"/>
          <w:b/>
          <w:bCs/>
          <w:color w:val="000000" w:themeColor="text1"/>
          <w:sz w:val="32"/>
          <w:szCs w:val="32"/>
        </w:rPr>
        <w:t>万元，占</w:t>
      </w:r>
      <w:r>
        <w:rPr>
          <w:rFonts w:hint="eastAsia" w:ascii="仿宋" w:hAnsi="仿宋" w:eastAsia="仿宋"/>
          <w:b/>
          <w:bCs/>
          <w:color w:val="000000" w:themeColor="text1"/>
          <w:sz w:val="32"/>
          <w:szCs w:val="32"/>
          <w:lang w:val="en-US" w:eastAsia="zh-CN"/>
        </w:rPr>
        <w:t>0</w:t>
      </w:r>
      <w:r>
        <w:rPr>
          <w:rFonts w:ascii="仿宋" w:hAnsi="仿宋" w:eastAsia="仿宋"/>
          <w:b/>
          <w:bCs/>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社会保障和就业（</w:t>
      </w:r>
      <w:r>
        <w:rPr>
          <w:rFonts w:hint="eastAsia" w:ascii="仿宋" w:hAnsi="仿宋" w:eastAsia="仿宋"/>
          <w:b/>
          <w:color w:val="000000" w:themeColor="text1"/>
          <w:sz w:val="32"/>
          <w:szCs w:val="32"/>
          <w:lang w:val="en-US" w:eastAsia="zh-CN"/>
        </w:rPr>
        <w:t>208</w:t>
      </w:r>
      <w:r>
        <w:rPr>
          <w:rFonts w:hint="eastAsia" w:ascii="仿宋" w:hAnsi="仿宋" w:eastAsia="仿宋"/>
          <w:b/>
          <w:color w:val="000000" w:themeColor="text1"/>
          <w:sz w:val="32"/>
          <w:szCs w:val="32"/>
        </w:rPr>
        <w:t>）</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19.65</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9.1</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卫生健康支出</w:t>
      </w:r>
      <w:r>
        <w:rPr>
          <w:rFonts w:hint="eastAsia" w:ascii="仿宋" w:hAnsi="仿宋" w:eastAsia="仿宋"/>
          <w:b/>
          <w:bCs/>
          <w:color w:val="000000" w:themeColor="text1"/>
          <w:sz w:val="32"/>
          <w:szCs w:val="32"/>
          <w:lang w:eastAsia="zh-CN"/>
        </w:rPr>
        <w:t>（</w:t>
      </w:r>
      <w:r>
        <w:rPr>
          <w:rFonts w:hint="eastAsia" w:ascii="仿宋" w:hAnsi="仿宋" w:eastAsia="仿宋"/>
          <w:b/>
          <w:bCs/>
          <w:color w:val="000000" w:themeColor="text1"/>
          <w:sz w:val="32"/>
          <w:szCs w:val="32"/>
          <w:lang w:val="en-US" w:eastAsia="zh-CN"/>
        </w:rPr>
        <w:t>210</w:t>
      </w:r>
      <w:r>
        <w:rPr>
          <w:rFonts w:hint="eastAsia" w:ascii="仿宋" w:hAnsi="仿宋" w:eastAsia="仿宋"/>
          <w:b/>
          <w:bCs/>
          <w:color w:val="000000" w:themeColor="text1"/>
          <w:sz w:val="32"/>
          <w:szCs w:val="32"/>
          <w:lang w:eastAsia="zh-CN"/>
        </w:rPr>
        <w:t>）</w:t>
      </w:r>
      <w:r>
        <w:rPr>
          <w:rFonts w:hint="eastAsia" w:ascii="仿宋" w:hAnsi="仿宋" w:eastAsia="仿宋"/>
          <w:b/>
          <w:bCs/>
          <w:color w:val="000000" w:themeColor="text1"/>
          <w:sz w:val="32"/>
          <w:szCs w:val="32"/>
          <w:lang w:val="en-US" w:eastAsia="zh-CN"/>
        </w:rPr>
        <w:t>7</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3.2</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住房保障支出</w:t>
      </w:r>
      <w:r>
        <w:rPr>
          <w:rFonts w:hint="eastAsia" w:ascii="仿宋" w:hAnsi="仿宋" w:eastAsia="仿宋"/>
          <w:b/>
          <w:bCs/>
          <w:color w:val="000000" w:themeColor="text1"/>
          <w:sz w:val="32"/>
          <w:szCs w:val="32"/>
          <w:lang w:eastAsia="zh-CN"/>
        </w:rPr>
        <w:t>（</w:t>
      </w:r>
      <w:r>
        <w:rPr>
          <w:rFonts w:hint="eastAsia" w:ascii="仿宋" w:hAnsi="仿宋" w:eastAsia="仿宋"/>
          <w:b/>
          <w:bCs/>
          <w:color w:val="000000" w:themeColor="text1"/>
          <w:sz w:val="32"/>
          <w:szCs w:val="32"/>
          <w:lang w:val="en-US" w:eastAsia="zh-CN"/>
        </w:rPr>
        <w:t>221</w:t>
      </w:r>
      <w:r>
        <w:rPr>
          <w:rFonts w:hint="eastAsia" w:ascii="仿宋" w:hAnsi="仿宋" w:eastAsia="仿宋"/>
          <w:b/>
          <w:bCs/>
          <w:color w:val="000000" w:themeColor="text1"/>
          <w:sz w:val="32"/>
          <w:szCs w:val="32"/>
          <w:lang w:eastAsia="zh-CN"/>
        </w:rPr>
        <w:t>）</w:t>
      </w:r>
      <w:r>
        <w:rPr>
          <w:rFonts w:hint="eastAsia" w:ascii="仿宋" w:hAnsi="仿宋" w:eastAsia="仿宋"/>
          <w:color w:val="000000" w:themeColor="text1"/>
          <w:sz w:val="32"/>
          <w:szCs w:val="32"/>
          <w:lang w:val="en-US" w:eastAsia="zh-CN"/>
        </w:rPr>
        <w:t>11.35</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5.2</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lang w:eastAsia="zh-CN"/>
        </w:rPr>
        <w:t>其他支出（</w:t>
      </w:r>
      <w:r>
        <w:rPr>
          <w:rFonts w:hint="eastAsia" w:ascii="仿宋" w:hAnsi="仿宋" w:eastAsia="仿宋"/>
          <w:b/>
          <w:bCs/>
          <w:color w:val="000000" w:themeColor="text1"/>
          <w:sz w:val="32"/>
          <w:szCs w:val="32"/>
          <w:lang w:val="en-US" w:eastAsia="zh-CN"/>
        </w:rPr>
        <w:t>229</w:t>
      </w:r>
      <w:r>
        <w:rPr>
          <w:rFonts w:hint="eastAsia" w:ascii="仿宋" w:hAnsi="仿宋" w:eastAsia="仿宋"/>
          <w:b/>
          <w:bCs/>
          <w:color w:val="000000" w:themeColor="text1"/>
          <w:sz w:val="32"/>
          <w:szCs w:val="32"/>
          <w:lang w:eastAsia="zh-CN"/>
        </w:rPr>
        <w:t>）</w:t>
      </w:r>
      <w:r>
        <w:rPr>
          <w:rFonts w:hint="eastAsia" w:ascii="仿宋" w:hAnsi="仿宋" w:eastAsia="仿宋"/>
          <w:color w:val="000000" w:themeColor="text1"/>
          <w:sz w:val="32"/>
          <w:szCs w:val="32"/>
          <w:lang w:val="en-US" w:eastAsia="zh-CN"/>
        </w:rPr>
        <w:t>14.50万元，占6.7%。</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lang w:eastAsia="zh-CN"/>
        </w:rPr>
        <w:drawing>
          <wp:anchor distT="0" distB="0" distL="114300" distR="114300" simplePos="0" relativeHeight="251686912" behindDoc="1" locked="0" layoutInCell="1" allowOverlap="1">
            <wp:simplePos x="0" y="0"/>
            <wp:positionH relativeFrom="column">
              <wp:posOffset>145415</wp:posOffset>
            </wp:positionH>
            <wp:positionV relativeFrom="paragraph">
              <wp:posOffset>356870</wp:posOffset>
            </wp:positionV>
            <wp:extent cx="5299075" cy="3933190"/>
            <wp:effectExtent l="4445" t="4445" r="11430" b="5715"/>
            <wp:wrapTight wrapText="bothSides">
              <wp:wrapPolygon>
                <wp:start x="-18" y="-24"/>
                <wp:lineTo x="-18" y="21527"/>
                <wp:lineTo x="21569" y="21527"/>
                <wp:lineTo x="21569" y="-24"/>
                <wp:lineTo x="-18" y="-24"/>
              </wp:wrapPolygon>
            </wp:wrapTight>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3" w:firstLineChars="200"/>
        <w:outlineLvl w:val="2"/>
        <w:rPr>
          <w:rFonts w:ascii="仿宋" w:hAnsi="仿宋" w:eastAsia="仿宋"/>
          <w:b/>
          <w:color w:val="000000"/>
          <w:sz w:val="32"/>
          <w:szCs w:val="32"/>
        </w:rPr>
      </w:pPr>
      <w:bookmarkStart w:id="74" w:name="_Toc12129"/>
      <w:bookmarkStart w:id="75" w:name="_Toc26600"/>
      <w:bookmarkStart w:id="76" w:name="_Toc15377212"/>
      <w:r>
        <w:rPr>
          <w:rFonts w:hint="eastAsia" w:ascii="仿宋" w:hAnsi="仿宋" w:eastAsia="仿宋"/>
          <w:b/>
          <w:color w:val="000000"/>
          <w:sz w:val="32"/>
          <w:szCs w:val="32"/>
        </w:rPr>
        <w:t>（三）一般公共预算财政拨款支出决算具体情况</w:t>
      </w:r>
      <w:bookmarkEnd w:id="74"/>
      <w:bookmarkEnd w:id="75"/>
      <w:bookmarkEnd w:id="76"/>
    </w:p>
    <w:p>
      <w:pPr>
        <w:spacing w:line="600" w:lineRule="exact"/>
        <w:ind w:firstLine="643" w:firstLineChars="200"/>
        <w:outlineLvl w:val="2"/>
        <w:rPr>
          <w:rFonts w:ascii="仿宋" w:hAnsi="仿宋" w:eastAsia="仿宋"/>
          <w:color w:val="FF0000"/>
          <w:sz w:val="32"/>
          <w:szCs w:val="32"/>
        </w:rPr>
      </w:pPr>
      <w:bookmarkStart w:id="77" w:name="_Toc15378460"/>
      <w:bookmarkStart w:id="78" w:name="_Toc15377213"/>
      <w:bookmarkStart w:id="79" w:name="_Toc15377444"/>
      <w:bookmarkStart w:id="80" w:name="_Toc16925"/>
      <w:bookmarkStart w:id="81" w:name="_Toc23803"/>
      <w:r>
        <w:rPr>
          <w:rFonts w:hint="eastAsia" w:ascii="仿宋" w:hAnsi="仿宋" w:eastAsia="仿宋"/>
          <w:b/>
          <w:color w:val="000000" w:themeColor="text1"/>
          <w:sz w:val="32"/>
          <w:szCs w:val="32"/>
        </w:rPr>
        <w:t>2019年般公共预算支出决算数为</w:t>
      </w:r>
      <w:r>
        <w:rPr>
          <w:rFonts w:hint="eastAsia" w:ascii="仿宋" w:hAnsi="仿宋" w:eastAsia="仿宋"/>
          <w:b/>
          <w:color w:val="000000" w:themeColor="text1"/>
          <w:sz w:val="32"/>
          <w:szCs w:val="32"/>
          <w:lang w:val="en-US" w:eastAsia="zh-CN"/>
        </w:rPr>
        <w:t>215.42万元</w:t>
      </w:r>
      <w:r>
        <w:rPr>
          <w:rFonts w:hint="eastAsia" w:ascii="仿宋" w:hAnsi="仿宋" w:eastAsia="仿宋"/>
          <w:color w:val="000000" w:themeColor="text1"/>
          <w:sz w:val="32"/>
          <w:szCs w:val="32"/>
        </w:rPr>
        <w:t>，</w:t>
      </w:r>
      <w:r>
        <w:rPr>
          <w:rStyle w:val="15"/>
          <w:rFonts w:hint="eastAsia" w:ascii="仿宋" w:hAnsi="仿宋" w:eastAsia="仿宋"/>
          <w:bCs/>
          <w:color w:val="000000" w:themeColor="text1"/>
          <w:sz w:val="32"/>
          <w:szCs w:val="32"/>
        </w:rPr>
        <w:t>完成</w:t>
      </w:r>
      <w:r>
        <w:rPr>
          <w:rStyle w:val="15"/>
          <w:rFonts w:hint="eastAsia" w:ascii="仿宋" w:hAnsi="仿宋" w:eastAsia="仿宋"/>
          <w:bCs/>
          <w:color w:val="000000"/>
          <w:sz w:val="32"/>
          <w:szCs w:val="32"/>
        </w:rPr>
        <w:t>预算</w:t>
      </w:r>
      <w:r>
        <w:rPr>
          <w:rStyle w:val="15"/>
          <w:rFonts w:hint="eastAsia" w:ascii="仿宋" w:hAnsi="仿宋" w:eastAsia="仿宋"/>
          <w:bCs/>
          <w:color w:val="000000"/>
          <w:sz w:val="32"/>
          <w:szCs w:val="32"/>
          <w:lang w:val="en-US" w:eastAsia="zh-CN"/>
        </w:rPr>
        <w:t>100</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。其中：</w:t>
      </w:r>
      <w:bookmarkEnd w:id="77"/>
      <w:bookmarkEnd w:id="78"/>
      <w:bookmarkEnd w:id="79"/>
      <w:bookmarkEnd w:id="80"/>
      <w:bookmarkEnd w:id="81"/>
    </w:p>
    <w:p>
      <w:pPr>
        <w:spacing w:line="600" w:lineRule="exact"/>
        <w:ind w:firstLine="643" w:firstLineChars="200"/>
        <w:rPr>
          <w:rFonts w:ascii="仿宋" w:hAnsi="仿宋" w:eastAsia="仿宋"/>
          <w:b/>
          <w:color w:val="000000"/>
          <w:sz w:val="32"/>
          <w:szCs w:val="32"/>
        </w:rPr>
      </w:pPr>
      <w:r>
        <w:rPr>
          <w:rStyle w:val="15"/>
          <w:rFonts w:hint="eastAsia" w:ascii="仿宋" w:hAnsi="仿宋" w:eastAsia="仿宋"/>
          <w:bCs/>
          <w:color w:val="000000"/>
          <w:sz w:val="32"/>
          <w:szCs w:val="32"/>
          <w:lang w:eastAsia="zh-CN"/>
        </w:rPr>
        <w:t>行政运行支出</w:t>
      </w:r>
      <w:r>
        <w:rPr>
          <w:rStyle w:val="15"/>
          <w:rFonts w:hint="eastAsia" w:ascii="仿宋" w:hAnsi="仿宋" w:eastAsia="仿宋"/>
          <w:bCs/>
          <w:color w:val="000000"/>
          <w:sz w:val="32"/>
          <w:szCs w:val="32"/>
          <w:lang w:val="en-US" w:eastAsia="zh-CN"/>
        </w:rPr>
        <w:t>2012901</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51.99</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，决算数等于预算数的主要原因</w:t>
      </w:r>
      <w:r>
        <w:rPr>
          <w:rStyle w:val="15"/>
          <w:rFonts w:hint="eastAsia" w:ascii="仿宋" w:hAnsi="仿宋" w:eastAsia="仿宋"/>
          <w:b w:val="0"/>
          <w:bCs/>
          <w:color w:val="000000"/>
          <w:sz w:val="32"/>
          <w:szCs w:val="32"/>
          <w:lang w:eastAsia="zh-CN"/>
        </w:rPr>
        <w:t>我单位对资金的合理使用</w:t>
      </w:r>
      <w:r>
        <w:rPr>
          <w:rStyle w:val="15"/>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15"/>
          <w:rFonts w:ascii="仿宋" w:hAnsi="仿宋" w:eastAsia="仿宋"/>
          <w:bCs/>
          <w:color w:val="000000"/>
          <w:sz w:val="32"/>
          <w:szCs w:val="32"/>
        </w:rPr>
        <w:t>2.</w:t>
      </w:r>
      <w:r>
        <w:rPr>
          <w:rStyle w:val="15"/>
          <w:rFonts w:hint="eastAsia" w:ascii="仿宋" w:hAnsi="仿宋" w:eastAsia="仿宋"/>
          <w:bCs/>
          <w:color w:val="000000"/>
          <w:sz w:val="32"/>
          <w:szCs w:val="32"/>
          <w:lang w:eastAsia="zh-CN"/>
        </w:rPr>
        <w:t>事业单位运行支出</w:t>
      </w:r>
      <w:r>
        <w:rPr>
          <w:rStyle w:val="15"/>
          <w:rFonts w:hint="eastAsia" w:ascii="仿宋" w:hAnsi="仿宋" w:eastAsia="仿宋"/>
          <w:bCs/>
          <w:color w:val="000000"/>
          <w:sz w:val="32"/>
          <w:szCs w:val="32"/>
          <w:lang w:val="en-US" w:eastAsia="zh-CN"/>
        </w:rPr>
        <w:t>2012950</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65.11</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，决算数等于预算数的主要原因是。</w:t>
      </w:r>
      <w:r>
        <w:rPr>
          <w:rStyle w:val="15"/>
          <w:rFonts w:hint="eastAsia" w:ascii="仿宋" w:hAnsi="仿宋" w:eastAsia="仿宋"/>
          <w:b w:val="0"/>
          <w:bCs/>
          <w:color w:val="000000"/>
          <w:sz w:val="32"/>
          <w:szCs w:val="32"/>
          <w:lang w:eastAsia="zh-CN"/>
        </w:rPr>
        <w:t>我单位对资金的合理使用</w:t>
      </w:r>
      <w:r>
        <w:rPr>
          <w:rStyle w:val="15"/>
          <w:rFonts w:hint="eastAsia" w:ascii="仿宋" w:hAnsi="仿宋" w:eastAsia="仿宋"/>
          <w:b w:val="0"/>
          <w:bCs/>
          <w:color w:val="000000"/>
          <w:sz w:val="32"/>
          <w:szCs w:val="32"/>
        </w:rPr>
        <w:t>。</w:t>
      </w:r>
      <w:r>
        <w:rPr>
          <w:rStyle w:val="15"/>
          <w:rFonts w:hint="eastAsia" w:ascii="仿宋" w:hAnsi="仿宋" w:eastAsia="仿宋"/>
          <w:b w:val="0"/>
          <w:bCs/>
          <w:color w:val="000000"/>
          <w:sz w:val="32"/>
          <w:szCs w:val="32"/>
          <w:lang w:eastAsia="zh-CN"/>
        </w:rPr>
        <w:t>我单位对资金的合理使用</w:t>
      </w:r>
      <w:r>
        <w:rPr>
          <w:rStyle w:val="15"/>
          <w:rFonts w:hint="eastAsia" w:ascii="仿宋" w:hAnsi="仿宋" w:eastAsia="仿宋"/>
          <w:b w:val="0"/>
          <w:bCs/>
          <w:color w:val="000000"/>
          <w:sz w:val="32"/>
          <w:szCs w:val="32"/>
        </w:rPr>
        <w:t>。</w:t>
      </w:r>
    </w:p>
    <w:p>
      <w:pPr>
        <w:spacing w:line="600" w:lineRule="exact"/>
        <w:ind w:firstLine="643" w:firstLineChars="200"/>
        <w:rPr>
          <w:rStyle w:val="15"/>
          <w:rFonts w:hint="eastAsia" w:ascii="仿宋" w:hAnsi="仿宋" w:eastAsia="仿宋"/>
          <w:b w:val="0"/>
          <w:bCs/>
          <w:color w:val="000000"/>
          <w:sz w:val="32"/>
          <w:szCs w:val="32"/>
        </w:rPr>
      </w:pPr>
      <w:r>
        <w:rPr>
          <w:rStyle w:val="15"/>
          <w:rFonts w:ascii="仿宋" w:hAnsi="仿宋" w:eastAsia="仿宋"/>
          <w:bCs/>
          <w:color w:val="000000"/>
          <w:sz w:val="32"/>
          <w:szCs w:val="32"/>
        </w:rPr>
        <w:t>3.</w:t>
      </w:r>
      <w:r>
        <w:rPr>
          <w:rStyle w:val="15"/>
          <w:rFonts w:hint="eastAsia" w:ascii="仿宋" w:hAnsi="仿宋" w:eastAsia="仿宋"/>
          <w:bCs/>
          <w:color w:val="000000"/>
          <w:sz w:val="32"/>
          <w:szCs w:val="32"/>
          <w:lang w:eastAsia="zh-CN"/>
        </w:rPr>
        <w:t>其他群众团体事务支出</w:t>
      </w:r>
      <w:r>
        <w:rPr>
          <w:rStyle w:val="15"/>
          <w:rFonts w:hint="eastAsia" w:ascii="仿宋" w:hAnsi="仿宋" w:eastAsia="仿宋"/>
          <w:bCs/>
          <w:color w:val="000000"/>
          <w:sz w:val="32"/>
          <w:szCs w:val="32"/>
          <w:lang w:val="en-US" w:eastAsia="zh-CN"/>
        </w:rPr>
        <w:t>2012999</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0.19</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，决算数等于预算数的主要原因是</w:t>
      </w:r>
      <w:r>
        <w:rPr>
          <w:rStyle w:val="15"/>
          <w:rFonts w:hint="eastAsia" w:ascii="仿宋" w:hAnsi="仿宋" w:eastAsia="仿宋"/>
          <w:b w:val="0"/>
          <w:bCs/>
          <w:color w:val="000000"/>
          <w:sz w:val="32"/>
          <w:szCs w:val="32"/>
          <w:lang w:eastAsia="zh-CN"/>
        </w:rPr>
        <w:t>我单位对资金的合理使用</w:t>
      </w:r>
      <w:r>
        <w:rPr>
          <w:rStyle w:val="15"/>
          <w:rFonts w:hint="eastAsia" w:ascii="仿宋" w:hAnsi="仿宋" w:eastAsia="仿宋"/>
          <w:b w:val="0"/>
          <w:bCs/>
          <w:color w:val="000000"/>
          <w:sz w:val="32"/>
          <w:szCs w:val="32"/>
        </w:rPr>
        <w:t>。</w:t>
      </w:r>
    </w:p>
    <w:p>
      <w:pPr>
        <w:spacing w:line="600" w:lineRule="exact"/>
        <w:ind w:firstLine="643" w:firstLineChars="200"/>
        <w:rPr>
          <w:rStyle w:val="15"/>
          <w:rFonts w:hint="eastAsia" w:ascii="仿宋" w:hAnsi="仿宋" w:eastAsia="仿宋"/>
          <w:b w:val="0"/>
          <w:bCs/>
          <w:color w:val="000000"/>
          <w:sz w:val="32"/>
          <w:szCs w:val="32"/>
        </w:rPr>
      </w:pPr>
      <w:r>
        <w:rPr>
          <w:rStyle w:val="15"/>
          <w:rFonts w:hint="eastAsia" w:ascii="仿宋" w:hAnsi="仿宋" w:eastAsia="仿宋"/>
          <w:bCs/>
          <w:color w:val="000000"/>
          <w:sz w:val="32"/>
          <w:szCs w:val="32"/>
          <w:lang w:val="en-US" w:eastAsia="zh-CN"/>
        </w:rPr>
        <w:t>4.</w:t>
      </w:r>
      <w:r>
        <w:rPr>
          <w:rStyle w:val="15"/>
          <w:rFonts w:hint="eastAsia" w:ascii="仿宋" w:hAnsi="仿宋" w:eastAsia="仿宋"/>
          <w:bCs/>
          <w:color w:val="000000"/>
          <w:sz w:val="32"/>
          <w:szCs w:val="32"/>
          <w:lang w:eastAsia="zh-CN"/>
        </w:rPr>
        <w:t>一般行政管理事务</w:t>
      </w:r>
      <w:r>
        <w:rPr>
          <w:rStyle w:val="15"/>
          <w:rFonts w:hint="eastAsia" w:ascii="仿宋" w:hAnsi="仿宋" w:eastAsia="仿宋"/>
          <w:bCs/>
          <w:color w:val="000000"/>
          <w:sz w:val="32"/>
          <w:szCs w:val="32"/>
          <w:lang w:val="en-US" w:eastAsia="zh-CN"/>
        </w:rPr>
        <w:t>2012902</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45.62</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，决算数等于预算数的主要原因是</w:t>
      </w:r>
      <w:r>
        <w:rPr>
          <w:rStyle w:val="15"/>
          <w:rFonts w:hint="eastAsia" w:ascii="仿宋" w:hAnsi="仿宋" w:eastAsia="仿宋"/>
          <w:b w:val="0"/>
          <w:bCs/>
          <w:color w:val="000000"/>
          <w:sz w:val="32"/>
          <w:szCs w:val="32"/>
          <w:lang w:eastAsia="zh-CN"/>
        </w:rPr>
        <w:t>我单位对资金的合理使用</w:t>
      </w:r>
      <w:r>
        <w:rPr>
          <w:rStyle w:val="15"/>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15"/>
          <w:rFonts w:hint="eastAsia" w:ascii="仿宋" w:hAnsi="仿宋" w:eastAsia="仿宋"/>
          <w:bCs/>
          <w:color w:val="000000"/>
          <w:sz w:val="32"/>
          <w:szCs w:val="32"/>
          <w:lang w:val="en-US" w:eastAsia="zh-CN"/>
        </w:rPr>
        <w:t>5</w:t>
      </w:r>
      <w:r>
        <w:rPr>
          <w:rStyle w:val="15"/>
          <w:rFonts w:ascii="仿宋" w:hAnsi="仿宋" w:eastAsia="仿宋"/>
          <w:bCs/>
          <w:color w:val="000000"/>
          <w:sz w:val="32"/>
          <w:szCs w:val="32"/>
        </w:rPr>
        <w:t>.</w:t>
      </w:r>
      <w:r>
        <w:rPr>
          <w:rStyle w:val="15"/>
          <w:rFonts w:hint="eastAsia" w:ascii="仿宋" w:hAnsi="仿宋" w:eastAsia="仿宋"/>
          <w:bCs/>
          <w:color w:val="000000"/>
          <w:sz w:val="32"/>
          <w:szCs w:val="32"/>
          <w:lang w:eastAsia="zh-CN"/>
        </w:rPr>
        <w:t>机关事业单位基本养老保险缴费支出</w:t>
      </w:r>
      <w:r>
        <w:rPr>
          <w:rStyle w:val="15"/>
          <w:rFonts w:hint="eastAsia" w:ascii="仿宋" w:hAnsi="仿宋" w:eastAsia="仿宋"/>
          <w:bCs/>
          <w:color w:val="000000"/>
          <w:sz w:val="32"/>
          <w:szCs w:val="32"/>
          <w:lang w:val="en-US" w:eastAsia="zh-CN"/>
        </w:rPr>
        <w:t>2080505</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13.44</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，决算数等于预算数的主要原因。</w:t>
      </w:r>
      <w:r>
        <w:rPr>
          <w:rStyle w:val="15"/>
          <w:rFonts w:hint="eastAsia" w:ascii="仿宋" w:hAnsi="仿宋" w:eastAsia="仿宋"/>
          <w:b w:val="0"/>
          <w:bCs/>
          <w:color w:val="000000"/>
          <w:sz w:val="32"/>
          <w:szCs w:val="32"/>
          <w:lang w:eastAsia="zh-CN"/>
        </w:rPr>
        <w:t>我单位对资金的合理使用</w:t>
      </w:r>
      <w:r>
        <w:rPr>
          <w:rStyle w:val="15"/>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15"/>
          <w:rFonts w:hint="eastAsia" w:ascii="仿宋" w:hAnsi="仿宋" w:eastAsia="仿宋"/>
          <w:bCs/>
          <w:color w:val="000000"/>
          <w:sz w:val="32"/>
          <w:szCs w:val="32"/>
          <w:lang w:val="en-US" w:eastAsia="zh-CN"/>
        </w:rPr>
        <w:t>6</w:t>
      </w:r>
      <w:r>
        <w:rPr>
          <w:rStyle w:val="15"/>
          <w:rFonts w:ascii="仿宋" w:hAnsi="仿宋" w:eastAsia="仿宋"/>
          <w:bCs/>
          <w:color w:val="000000"/>
          <w:sz w:val="32"/>
          <w:szCs w:val="32"/>
        </w:rPr>
        <w:t>.</w:t>
      </w:r>
      <w:r>
        <w:rPr>
          <w:rStyle w:val="15"/>
          <w:rFonts w:hint="eastAsia" w:ascii="仿宋" w:hAnsi="仿宋" w:eastAsia="仿宋"/>
          <w:bCs/>
          <w:color w:val="000000"/>
          <w:sz w:val="32"/>
          <w:szCs w:val="32"/>
          <w:lang w:eastAsia="zh-CN"/>
        </w:rPr>
        <w:t>机关事业单位职业年金缴费支出</w:t>
      </w:r>
      <w:r>
        <w:rPr>
          <w:rStyle w:val="15"/>
          <w:rFonts w:hint="eastAsia" w:ascii="仿宋" w:hAnsi="仿宋" w:eastAsia="仿宋"/>
          <w:bCs/>
          <w:color w:val="000000"/>
          <w:sz w:val="32"/>
          <w:szCs w:val="32"/>
          <w:lang w:val="en-US" w:eastAsia="zh-CN"/>
        </w:rPr>
        <w:t>2080506</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6.20</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，决算数等于预算数的主要原因。</w:t>
      </w:r>
      <w:r>
        <w:rPr>
          <w:rStyle w:val="15"/>
          <w:rFonts w:hint="eastAsia" w:ascii="仿宋" w:hAnsi="仿宋" w:eastAsia="仿宋"/>
          <w:b w:val="0"/>
          <w:bCs/>
          <w:color w:val="000000"/>
          <w:sz w:val="32"/>
          <w:szCs w:val="32"/>
          <w:lang w:eastAsia="zh-CN"/>
        </w:rPr>
        <w:t>我单位对资金的合理使用</w:t>
      </w:r>
      <w:r>
        <w:rPr>
          <w:rStyle w:val="15"/>
          <w:rFonts w:hint="eastAsia" w:ascii="仿宋" w:hAnsi="仿宋" w:eastAsia="仿宋"/>
          <w:b w:val="0"/>
          <w:bCs/>
          <w:color w:val="000000"/>
          <w:sz w:val="32"/>
          <w:szCs w:val="32"/>
        </w:rPr>
        <w:t>。</w:t>
      </w:r>
    </w:p>
    <w:p>
      <w:pPr>
        <w:spacing w:line="600" w:lineRule="exact"/>
        <w:ind w:firstLine="643" w:firstLineChars="200"/>
        <w:rPr>
          <w:rStyle w:val="15"/>
          <w:rFonts w:hint="eastAsia" w:ascii="仿宋" w:hAnsi="仿宋" w:eastAsia="仿宋"/>
          <w:b w:val="0"/>
          <w:bCs/>
          <w:color w:val="000000"/>
          <w:sz w:val="32"/>
          <w:szCs w:val="32"/>
        </w:rPr>
      </w:pPr>
      <w:r>
        <w:rPr>
          <w:rStyle w:val="15"/>
          <w:rFonts w:hint="eastAsia" w:ascii="仿宋" w:hAnsi="仿宋" w:eastAsia="仿宋"/>
          <w:bCs/>
          <w:color w:val="000000"/>
          <w:sz w:val="32"/>
          <w:szCs w:val="32"/>
          <w:lang w:val="en-US" w:eastAsia="zh-CN"/>
        </w:rPr>
        <w:t>7</w:t>
      </w:r>
      <w:r>
        <w:rPr>
          <w:rStyle w:val="15"/>
          <w:rFonts w:ascii="仿宋" w:hAnsi="仿宋" w:eastAsia="仿宋"/>
          <w:bCs/>
          <w:color w:val="000000"/>
          <w:sz w:val="32"/>
          <w:szCs w:val="32"/>
        </w:rPr>
        <w:t>.</w:t>
      </w:r>
      <w:r>
        <w:rPr>
          <w:rStyle w:val="15"/>
          <w:rFonts w:hint="eastAsia" w:ascii="仿宋" w:hAnsi="仿宋" w:eastAsia="仿宋"/>
          <w:bCs/>
          <w:color w:val="000000"/>
          <w:sz w:val="32"/>
          <w:szCs w:val="32"/>
          <w:lang w:eastAsia="zh-CN"/>
        </w:rPr>
        <w:t>行政单位医疗支出</w:t>
      </w:r>
      <w:r>
        <w:rPr>
          <w:rStyle w:val="15"/>
          <w:rFonts w:hint="eastAsia" w:ascii="仿宋" w:hAnsi="仿宋" w:eastAsia="仿宋"/>
          <w:bCs/>
          <w:color w:val="000000"/>
          <w:sz w:val="32"/>
          <w:szCs w:val="32"/>
          <w:lang w:val="en-US" w:eastAsia="zh-CN"/>
        </w:rPr>
        <w:t>2101101</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1.98</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，决算数等于预算数的主要原因。</w:t>
      </w:r>
      <w:r>
        <w:rPr>
          <w:rStyle w:val="15"/>
          <w:rFonts w:hint="eastAsia" w:ascii="仿宋" w:hAnsi="仿宋" w:eastAsia="仿宋"/>
          <w:b w:val="0"/>
          <w:bCs/>
          <w:color w:val="000000"/>
          <w:sz w:val="32"/>
          <w:szCs w:val="32"/>
          <w:lang w:eastAsia="zh-CN"/>
        </w:rPr>
        <w:t>我单位对资金的合理使用</w:t>
      </w:r>
      <w:r>
        <w:rPr>
          <w:rStyle w:val="15"/>
          <w:rFonts w:hint="eastAsia" w:ascii="仿宋" w:hAnsi="仿宋" w:eastAsia="仿宋"/>
          <w:b w:val="0"/>
          <w:bCs/>
          <w:color w:val="000000"/>
          <w:sz w:val="32"/>
          <w:szCs w:val="32"/>
        </w:rPr>
        <w:t>。</w:t>
      </w:r>
    </w:p>
    <w:p>
      <w:pPr>
        <w:spacing w:line="600" w:lineRule="exact"/>
        <w:ind w:firstLine="643" w:firstLineChars="200"/>
        <w:rPr>
          <w:rStyle w:val="15"/>
          <w:rFonts w:hint="eastAsia" w:ascii="仿宋" w:hAnsi="仿宋" w:eastAsia="仿宋"/>
          <w:b w:val="0"/>
          <w:bCs/>
          <w:color w:val="000000"/>
          <w:sz w:val="32"/>
          <w:szCs w:val="32"/>
        </w:rPr>
      </w:pPr>
      <w:r>
        <w:rPr>
          <w:rStyle w:val="15"/>
          <w:rFonts w:hint="eastAsia" w:ascii="仿宋" w:hAnsi="仿宋" w:eastAsia="仿宋"/>
          <w:b/>
          <w:bCs w:val="0"/>
          <w:color w:val="000000"/>
          <w:sz w:val="32"/>
          <w:szCs w:val="32"/>
          <w:lang w:val="en-US" w:eastAsia="zh-CN"/>
        </w:rPr>
        <w:t>8.事业单位医疗支出2101102</w:t>
      </w:r>
      <w:r>
        <w:rPr>
          <w:rStyle w:val="15"/>
          <w:rFonts w:hint="eastAsia" w:ascii="仿宋" w:hAnsi="仿宋" w:eastAsia="仿宋"/>
          <w:b w:val="0"/>
          <w:bCs/>
          <w:color w:val="000000"/>
          <w:sz w:val="32"/>
          <w:szCs w:val="32"/>
          <w:lang w:val="en-US" w:eastAsia="zh-CN"/>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3.55</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，决算数等于预算数的主要原因。</w:t>
      </w:r>
      <w:r>
        <w:rPr>
          <w:rStyle w:val="15"/>
          <w:rFonts w:hint="eastAsia" w:ascii="仿宋" w:hAnsi="仿宋" w:eastAsia="仿宋"/>
          <w:b w:val="0"/>
          <w:bCs/>
          <w:color w:val="000000"/>
          <w:sz w:val="32"/>
          <w:szCs w:val="32"/>
          <w:lang w:eastAsia="zh-CN"/>
        </w:rPr>
        <w:t>我单位对资金的合理使用</w:t>
      </w:r>
      <w:r>
        <w:rPr>
          <w:rStyle w:val="15"/>
          <w:rFonts w:hint="eastAsia" w:ascii="仿宋" w:hAnsi="仿宋" w:eastAsia="仿宋"/>
          <w:b w:val="0"/>
          <w:bCs/>
          <w:color w:val="000000"/>
          <w:sz w:val="32"/>
          <w:szCs w:val="32"/>
        </w:rPr>
        <w:t>。</w:t>
      </w:r>
    </w:p>
    <w:p>
      <w:pPr>
        <w:spacing w:line="600" w:lineRule="exact"/>
        <w:ind w:firstLine="643" w:firstLineChars="200"/>
        <w:rPr>
          <w:rStyle w:val="15"/>
          <w:rFonts w:hint="eastAsia" w:ascii="仿宋" w:hAnsi="仿宋" w:eastAsia="仿宋"/>
          <w:b w:val="0"/>
          <w:bCs/>
          <w:color w:val="000000"/>
          <w:sz w:val="32"/>
          <w:szCs w:val="32"/>
        </w:rPr>
      </w:pPr>
      <w:r>
        <w:rPr>
          <w:rStyle w:val="15"/>
          <w:rFonts w:hint="eastAsia" w:ascii="仿宋" w:hAnsi="仿宋" w:eastAsia="仿宋"/>
          <w:b/>
          <w:bCs w:val="0"/>
          <w:color w:val="000000"/>
          <w:sz w:val="32"/>
          <w:szCs w:val="32"/>
          <w:lang w:val="en-US" w:eastAsia="zh-CN"/>
        </w:rPr>
        <w:t>9.公务员医疗补助2101103</w:t>
      </w:r>
      <w:r>
        <w:rPr>
          <w:rStyle w:val="15"/>
          <w:rFonts w:hint="eastAsia" w:ascii="仿宋" w:hAnsi="仿宋" w:eastAsia="仿宋"/>
          <w:b w:val="0"/>
          <w:bCs/>
          <w:color w:val="000000"/>
          <w:sz w:val="32"/>
          <w:szCs w:val="32"/>
          <w:lang w:val="en-US" w:eastAsia="zh-CN"/>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0.59</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，决算数等于预算数的主要原因。</w:t>
      </w:r>
      <w:r>
        <w:rPr>
          <w:rStyle w:val="15"/>
          <w:rFonts w:hint="eastAsia" w:ascii="仿宋" w:hAnsi="仿宋" w:eastAsia="仿宋"/>
          <w:b w:val="0"/>
          <w:bCs/>
          <w:color w:val="000000"/>
          <w:sz w:val="32"/>
          <w:szCs w:val="32"/>
          <w:lang w:eastAsia="zh-CN"/>
        </w:rPr>
        <w:t>我单位对资金的合理使用</w:t>
      </w:r>
      <w:r>
        <w:rPr>
          <w:rStyle w:val="15"/>
          <w:rFonts w:hint="eastAsia" w:ascii="仿宋" w:hAnsi="仿宋" w:eastAsia="仿宋"/>
          <w:b w:val="0"/>
          <w:bCs/>
          <w:color w:val="000000"/>
          <w:sz w:val="32"/>
          <w:szCs w:val="32"/>
        </w:rPr>
        <w:t>。</w:t>
      </w:r>
    </w:p>
    <w:p>
      <w:pPr>
        <w:spacing w:line="600" w:lineRule="exact"/>
        <w:ind w:firstLine="643" w:firstLineChars="200"/>
        <w:rPr>
          <w:rStyle w:val="15"/>
          <w:rFonts w:hint="eastAsia" w:ascii="仿宋" w:hAnsi="仿宋" w:eastAsia="仿宋"/>
          <w:b w:val="0"/>
          <w:bCs/>
          <w:color w:val="000000"/>
          <w:sz w:val="32"/>
          <w:szCs w:val="32"/>
        </w:rPr>
      </w:pPr>
      <w:r>
        <w:rPr>
          <w:rStyle w:val="15"/>
          <w:rFonts w:hint="eastAsia" w:ascii="仿宋" w:hAnsi="仿宋" w:eastAsia="仿宋"/>
          <w:b/>
          <w:bCs w:val="0"/>
          <w:color w:val="000000"/>
          <w:sz w:val="32"/>
          <w:szCs w:val="32"/>
          <w:lang w:val="en-US" w:eastAsia="zh-CN"/>
        </w:rPr>
        <w:t>10.其他行政事业单位医疗支出2101199</w:t>
      </w:r>
      <w:r>
        <w:rPr>
          <w:rStyle w:val="15"/>
          <w:rFonts w:hint="eastAsia" w:ascii="仿宋" w:hAnsi="仿宋" w:eastAsia="仿宋"/>
          <w:b w:val="0"/>
          <w:bCs/>
          <w:color w:val="000000"/>
          <w:sz w:val="32"/>
          <w:szCs w:val="32"/>
          <w:lang w:val="en-US" w:eastAsia="zh-CN"/>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0.88</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，决算数等于预算数的主要原因。</w:t>
      </w:r>
      <w:r>
        <w:rPr>
          <w:rStyle w:val="15"/>
          <w:rFonts w:hint="eastAsia" w:ascii="仿宋" w:hAnsi="仿宋" w:eastAsia="仿宋"/>
          <w:b w:val="0"/>
          <w:bCs/>
          <w:color w:val="000000"/>
          <w:sz w:val="32"/>
          <w:szCs w:val="32"/>
          <w:lang w:eastAsia="zh-CN"/>
        </w:rPr>
        <w:t>我单位对资金的合理使用</w:t>
      </w:r>
      <w:r>
        <w:rPr>
          <w:rStyle w:val="15"/>
          <w:rFonts w:hint="eastAsia" w:ascii="仿宋" w:hAnsi="仿宋" w:eastAsia="仿宋"/>
          <w:b w:val="0"/>
          <w:bCs/>
          <w:color w:val="000000"/>
          <w:sz w:val="32"/>
          <w:szCs w:val="32"/>
        </w:rPr>
        <w:t>。</w:t>
      </w:r>
    </w:p>
    <w:p>
      <w:pPr>
        <w:spacing w:line="600" w:lineRule="exact"/>
        <w:ind w:firstLine="643" w:firstLineChars="200"/>
        <w:rPr>
          <w:rStyle w:val="15"/>
          <w:rFonts w:hint="eastAsia" w:ascii="仿宋" w:hAnsi="仿宋" w:eastAsia="仿宋"/>
          <w:b w:val="0"/>
          <w:bCs/>
          <w:color w:val="000000"/>
          <w:sz w:val="32"/>
          <w:szCs w:val="32"/>
        </w:rPr>
      </w:pPr>
      <w:r>
        <w:rPr>
          <w:rStyle w:val="15"/>
          <w:rFonts w:hint="eastAsia" w:ascii="仿宋" w:hAnsi="仿宋" w:eastAsia="仿宋"/>
          <w:b/>
          <w:bCs w:val="0"/>
          <w:color w:val="000000"/>
          <w:sz w:val="32"/>
          <w:szCs w:val="32"/>
          <w:lang w:val="en-US" w:eastAsia="zh-CN"/>
        </w:rPr>
        <w:t>11.</w:t>
      </w:r>
      <w:r>
        <w:rPr>
          <w:rStyle w:val="15"/>
          <w:rFonts w:hint="eastAsia" w:ascii="仿宋" w:hAnsi="仿宋" w:eastAsia="仿宋"/>
          <w:b/>
          <w:bCs w:val="0"/>
          <w:color w:val="000000"/>
          <w:sz w:val="32"/>
          <w:szCs w:val="32"/>
          <w:lang w:eastAsia="zh-CN"/>
        </w:rPr>
        <w:t>住房公积金</w:t>
      </w:r>
      <w:r>
        <w:rPr>
          <w:rStyle w:val="15"/>
          <w:rFonts w:hint="eastAsia" w:ascii="仿宋" w:hAnsi="仿宋" w:eastAsia="仿宋"/>
          <w:b/>
          <w:bCs w:val="0"/>
          <w:color w:val="000000"/>
          <w:sz w:val="32"/>
          <w:szCs w:val="32"/>
          <w:lang w:val="en-US" w:eastAsia="zh-CN"/>
        </w:rPr>
        <w:t>2210201</w:t>
      </w:r>
      <w:r>
        <w:rPr>
          <w:rStyle w:val="15"/>
          <w:rFonts w:hint="eastAsia" w:ascii="仿宋" w:hAnsi="仿宋" w:eastAsia="仿宋"/>
          <w:b w:val="0"/>
          <w:bCs/>
          <w:color w:val="000000"/>
          <w:sz w:val="32"/>
          <w:szCs w:val="32"/>
          <w:lang w:val="en-US" w:eastAsia="zh-CN"/>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11.35</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，决算数等于预算数的主要原因。</w:t>
      </w:r>
      <w:r>
        <w:rPr>
          <w:rStyle w:val="15"/>
          <w:rFonts w:hint="eastAsia" w:ascii="仿宋" w:hAnsi="仿宋" w:eastAsia="仿宋"/>
          <w:b w:val="0"/>
          <w:bCs/>
          <w:color w:val="000000"/>
          <w:sz w:val="32"/>
          <w:szCs w:val="32"/>
          <w:lang w:eastAsia="zh-CN"/>
        </w:rPr>
        <w:t>我单位对资金的合理使用</w:t>
      </w:r>
      <w:r>
        <w:rPr>
          <w:rStyle w:val="15"/>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15"/>
          <w:rFonts w:hint="eastAsia" w:ascii="仿宋" w:hAnsi="仿宋" w:eastAsia="仿宋"/>
          <w:b/>
          <w:bCs w:val="0"/>
          <w:color w:val="000000"/>
          <w:sz w:val="32"/>
          <w:szCs w:val="32"/>
          <w:lang w:val="en-US" w:eastAsia="zh-CN"/>
        </w:rPr>
        <w:t>12.其他支出2299901</w:t>
      </w:r>
      <w:r>
        <w:rPr>
          <w:rStyle w:val="15"/>
          <w:rFonts w:hint="eastAsia" w:ascii="仿宋" w:hAnsi="仿宋" w:eastAsia="仿宋"/>
          <w:b w:val="0"/>
          <w:bCs/>
          <w:color w:val="000000"/>
          <w:sz w:val="32"/>
          <w:szCs w:val="32"/>
          <w:lang w:val="en-US" w:eastAsia="zh-CN"/>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14.50</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，决算数等于预算数的主要原因。</w:t>
      </w:r>
      <w:r>
        <w:rPr>
          <w:rStyle w:val="15"/>
          <w:rFonts w:hint="eastAsia" w:ascii="仿宋" w:hAnsi="仿宋" w:eastAsia="仿宋"/>
          <w:b w:val="0"/>
          <w:bCs/>
          <w:color w:val="000000"/>
          <w:sz w:val="32"/>
          <w:szCs w:val="32"/>
          <w:lang w:eastAsia="zh-CN"/>
        </w:rPr>
        <w:t>我单位对资金的合理使用</w:t>
      </w:r>
      <w:r>
        <w:rPr>
          <w:rStyle w:val="15"/>
          <w:rFonts w:hint="eastAsia" w:ascii="仿宋" w:hAnsi="仿宋" w:eastAsia="仿宋"/>
          <w:b w:val="0"/>
          <w:bCs/>
          <w:color w:val="000000"/>
          <w:sz w:val="32"/>
          <w:szCs w:val="32"/>
        </w:rPr>
        <w:t>。</w:t>
      </w:r>
    </w:p>
    <w:p>
      <w:pPr>
        <w:spacing w:line="600" w:lineRule="exact"/>
        <w:ind w:firstLine="640"/>
        <w:rPr>
          <w:rFonts w:ascii="仿宋" w:hAnsi="仿宋" w:eastAsia="仿宋"/>
          <w:b/>
          <w:color w:val="000000"/>
          <w:sz w:val="32"/>
          <w:szCs w:val="32"/>
        </w:rPr>
      </w:pPr>
    </w:p>
    <w:p>
      <w:pPr>
        <w:tabs>
          <w:tab w:val="right" w:pos="8306"/>
        </w:tabs>
        <w:spacing w:line="600" w:lineRule="exact"/>
        <w:ind w:firstLine="640"/>
        <w:outlineLvl w:val="1"/>
        <w:rPr>
          <w:rStyle w:val="26"/>
        </w:rPr>
      </w:pPr>
      <w:bookmarkStart w:id="82" w:name="_Toc15377214"/>
      <w:bookmarkStart w:id="83" w:name="_Toc15396608"/>
      <w:bookmarkStart w:id="84" w:name="_Toc7121"/>
      <w:bookmarkStart w:id="85" w:name="_Toc1189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6"/>
          <w:rFonts w:hint="eastAsia" w:ascii="黑体" w:hAnsi="黑体" w:eastAsia="黑体"/>
          <w:b w:val="0"/>
        </w:rPr>
        <w:t>般公共预算财政拨款基本支出决算情况说明</w:t>
      </w:r>
      <w:bookmarkEnd w:id="82"/>
      <w:bookmarkEnd w:id="83"/>
      <w:bookmarkEnd w:id="84"/>
      <w:bookmarkEnd w:id="85"/>
      <w:r>
        <w:rPr>
          <w:rStyle w:val="26"/>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w:t>
      </w:r>
      <w:r>
        <w:rPr>
          <w:rFonts w:hint="eastAsia" w:ascii="仿宋" w:hAnsi="仿宋" w:eastAsia="仿宋"/>
          <w:color w:val="000000"/>
          <w:sz w:val="32"/>
          <w:szCs w:val="32"/>
          <w:lang w:val="en-US" w:eastAsia="zh-CN"/>
        </w:rPr>
        <w:t>215.42</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136.56</w:t>
      </w:r>
      <w:r>
        <w:rPr>
          <w:rFonts w:hint="eastAsia" w:ascii="仿宋" w:hAnsi="仿宋" w:eastAsia="仿宋"/>
          <w:color w:val="000000"/>
          <w:sz w:val="32"/>
          <w:szCs w:val="32"/>
        </w:rPr>
        <w:t>万元，主要包括：基本工资</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25.86万元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、津贴补贴</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47.72万元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、奖金</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16.96万元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、伙食补助费</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、绩效工资</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5.29万元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、机关事业单位基本养老保险缴费</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13.44万元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、职业年金缴费</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6.20万元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、其他社会保障缴费</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1.77万元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、其他工资福利支出</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、离休费</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0</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、退休费</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、抚恤金</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、生活补助</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58.21万元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、医疗费补助</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1.47万元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奖励金</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、住房公积金</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11.35万元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、其他对个人和家庭的补助支出</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20.64</w:t>
      </w:r>
      <w:r>
        <w:rPr>
          <w:rFonts w:hint="eastAsia" w:ascii="仿宋" w:hAnsi="仿宋" w:eastAsia="仿宋"/>
          <w:color w:val="000000"/>
          <w:sz w:val="32"/>
          <w:szCs w:val="32"/>
        </w:rPr>
        <w:t>万元，主要包括：办公费</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14.03万元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、印刷费</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0.17万元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、咨询费</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、手续费</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、水费</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0.07万元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、电费</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0.27万元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、邮电费</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0.54万元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、取暖费</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、物业管理费</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、差旅费</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0.11万元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、因公出国（境）费用</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、维修（护）费</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1.13万元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、租赁费</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、会议费</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0.1万元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、培训费</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、公务接待费</w:t>
      </w:r>
      <w:r>
        <w:rPr>
          <w:rFonts w:hint="eastAsia" w:ascii="仿宋" w:hAnsi="仿宋" w:eastAsia="仿宋"/>
          <w:color w:val="000000"/>
          <w:sz w:val="32"/>
          <w:szCs w:val="32"/>
          <w:lang w:val="en-US" w:eastAsia="zh-CN"/>
        </w:rPr>
        <w:t>(0.1万元)</w:t>
      </w:r>
      <w:r>
        <w:rPr>
          <w:rFonts w:hint="eastAsia" w:ascii="仿宋" w:hAnsi="仿宋" w:eastAsia="仿宋"/>
          <w:color w:val="000000"/>
          <w:sz w:val="32"/>
          <w:szCs w:val="32"/>
        </w:rPr>
        <w:t>、劳务费</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0.84万元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、委托业务费</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、工会经费</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、福利费</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、公务用车运行维护费</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3.33万元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、其他交通费</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、税金及附加费用</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、其他商品和服务支出</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、办公设备购置</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、专用设备购置</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、信息网络及软件购置更新、其他资本性支出</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等。</w:t>
      </w:r>
    </w:p>
    <w:p>
      <w:pPr>
        <w:spacing w:line="600" w:lineRule="exact"/>
        <w:ind w:firstLine="640"/>
        <w:outlineLvl w:val="1"/>
        <w:rPr>
          <w:rStyle w:val="26"/>
          <w:rFonts w:ascii="黑体" w:hAnsi="黑体" w:eastAsia="黑体"/>
          <w:b w:val="0"/>
        </w:rPr>
      </w:pPr>
      <w:bookmarkStart w:id="86" w:name="_Toc6"/>
      <w:bookmarkStart w:id="87" w:name="_Toc29616"/>
      <w:bookmarkStart w:id="88" w:name="_Toc15377215"/>
      <w:bookmarkStart w:id="89" w:name="_Toc15396609"/>
      <w:r>
        <w:rPr>
          <w:rFonts w:hint="eastAsia" w:ascii="黑体" w:eastAsia="黑体"/>
          <w:color w:val="000000"/>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86"/>
      <w:bookmarkEnd w:id="87"/>
      <w:bookmarkEnd w:id="88"/>
      <w:bookmarkEnd w:id="89"/>
    </w:p>
    <w:p>
      <w:pPr>
        <w:spacing w:line="600" w:lineRule="exact"/>
        <w:ind w:firstLine="640"/>
        <w:outlineLvl w:val="2"/>
        <w:rPr>
          <w:rFonts w:ascii="仿宋" w:hAnsi="仿宋" w:eastAsia="仿宋"/>
          <w:b/>
          <w:color w:val="000000"/>
          <w:sz w:val="32"/>
          <w:szCs w:val="32"/>
        </w:rPr>
      </w:pPr>
      <w:bookmarkStart w:id="90" w:name="_Toc28860"/>
      <w:bookmarkStart w:id="91" w:name="_Toc11538"/>
      <w:bookmarkStart w:id="92" w:name="_Toc15377216"/>
      <w:r>
        <w:rPr>
          <w:rFonts w:hint="eastAsia" w:ascii="仿宋" w:hAnsi="仿宋" w:eastAsia="仿宋"/>
          <w:b/>
          <w:color w:val="000000"/>
          <w:sz w:val="32"/>
          <w:szCs w:val="32"/>
        </w:rPr>
        <w:t>（一）“三公”经费财政拨款支出决算总体情况说明</w:t>
      </w:r>
      <w:bookmarkEnd w:id="90"/>
      <w:bookmarkEnd w:id="91"/>
      <w:bookmarkEnd w:id="92"/>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w:t>
      </w:r>
      <w:r>
        <w:rPr>
          <w:rFonts w:hint="eastAsia" w:ascii="仿宋" w:hAnsi="仿宋" w:eastAsia="仿宋"/>
          <w:color w:val="000000"/>
          <w:sz w:val="32"/>
          <w:szCs w:val="32"/>
          <w:lang w:val="en-US" w:eastAsia="zh-CN"/>
        </w:rPr>
        <w:t>3.43</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w:t>
      </w:r>
      <w:r>
        <w:rPr>
          <w:rFonts w:hint="eastAsia" w:ascii="仿宋" w:hAnsi="仿宋" w:eastAsia="仿宋"/>
          <w:color w:val="000000"/>
          <w:sz w:val="32"/>
          <w:szCs w:val="32"/>
          <w:lang w:eastAsia="zh-CN"/>
        </w:rPr>
        <w:t>等于</w:t>
      </w:r>
      <w:r>
        <w:rPr>
          <w:rFonts w:hint="eastAsia" w:ascii="仿宋" w:hAnsi="仿宋" w:eastAsia="仿宋"/>
          <w:color w:val="000000"/>
          <w:sz w:val="32"/>
          <w:szCs w:val="32"/>
        </w:rPr>
        <w:t>预算数（或与预算数持平）的主要原因是</w:t>
      </w:r>
      <w:r>
        <w:rPr>
          <w:rFonts w:hint="eastAsia" w:ascii="仿宋" w:hAnsi="仿宋" w:eastAsia="仿宋"/>
          <w:color w:val="000000"/>
          <w:sz w:val="32"/>
          <w:szCs w:val="32"/>
          <w:lang w:eastAsia="zh-CN"/>
        </w:rPr>
        <w:t>我单位严格控制“三公”经费的使用</w:t>
      </w:r>
      <w:r>
        <w:rPr>
          <w:rFonts w:hint="eastAsia" w:ascii="仿宋" w:hAnsi="仿宋" w:eastAsia="仿宋"/>
          <w:color w:val="000000"/>
          <w:sz w:val="32"/>
          <w:szCs w:val="32"/>
        </w:rPr>
        <w:t>。</w:t>
      </w:r>
    </w:p>
    <w:p>
      <w:pPr>
        <w:spacing w:line="600" w:lineRule="exact"/>
        <w:ind w:firstLine="640"/>
        <w:outlineLvl w:val="2"/>
        <w:rPr>
          <w:rFonts w:ascii="仿宋" w:hAnsi="仿宋" w:eastAsia="仿宋"/>
          <w:b/>
          <w:color w:val="000000"/>
          <w:sz w:val="32"/>
          <w:szCs w:val="32"/>
        </w:rPr>
      </w:pPr>
      <w:bookmarkStart w:id="93" w:name="_Toc2107"/>
      <w:bookmarkStart w:id="94" w:name="_Toc11808"/>
      <w:bookmarkStart w:id="95" w:name="_Toc15377217"/>
      <w:r>
        <w:rPr>
          <w:rFonts w:hint="eastAsia" w:ascii="仿宋" w:hAnsi="仿宋" w:eastAsia="仿宋"/>
          <w:b/>
          <w:color w:val="000000"/>
          <w:sz w:val="32"/>
          <w:szCs w:val="32"/>
        </w:rPr>
        <w:t>（二）“三公”经费财政拨款支出决算具体情况说明</w:t>
      </w:r>
      <w:bookmarkEnd w:id="93"/>
      <w:bookmarkEnd w:id="94"/>
      <w:bookmarkEnd w:id="95"/>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3.33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97</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0.1</w:t>
      </w:r>
      <w:r>
        <w:rPr>
          <w:rFonts w:hint="eastAsia" w:ascii="仿宋" w:hAnsi="仿宋" w:eastAsia="仿宋"/>
          <w:color w:val="000000"/>
          <w:sz w:val="32"/>
          <w:szCs w:val="32"/>
        </w:rPr>
        <w:t>万元，占</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rPr>
        <w:t>（图7：“三公”经费财政拨款支出结构）（饼状图）</w:t>
      </w: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rPr>
          <w:rFonts w:hint="eastAsia" w:ascii="仿宋" w:hAnsi="仿宋" w:eastAsia="仿宋"/>
          <w:color w:val="000000"/>
          <w:sz w:val="32"/>
          <w:szCs w:val="32"/>
        </w:rPr>
      </w:pPr>
      <w:r>
        <w:rPr>
          <w:rFonts w:hint="eastAsia" w:ascii="仿宋" w:hAnsi="仿宋" w:eastAsia="仿宋"/>
          <w:color w:val="000000"/>
          <w:sz w:val="32"/>
          <w:szCs w:val="32"/>
          <w:lang w:eastAsia="zh-CN"/>
        </w:rPr>
        <w:drawing>
          <wp:anchor distT="0" distB="0" distL="114300" distR="114300" simplePos="0" relativeHeight="251693056" behindDoc="1" locked="0" layoutInCell="1" allowOverlap="1">
            <wp:simplePos x="0" y="0"/>
            <wp:positionH relativeFrom="column">
              <wp:posOffset>320040</wp:posOffset>
            </wp:positionH>
            <wp:positionV relativeFrom="paragraph">
              <wp:posOffset>163195</wp:posOffset>
            </wp:positionV>
            <wp:extent cx="4889500" cy="2638425"/>
            <wp:effectExtent l="4445" t="4445" r="20955" b="5080"/>
            <wp:wrapTight wrapText="bothSides">
              <wp:wrapPolygon>
                <wp:start x="-20" y="-36"/>
                <wp:lineTo x="-20" y="21486"/>
                <wp:lineTo x="21524" y="21486"/>
                <wp:lineTo x="21524" y="-36"/>
                <wp:lineTo x="-20" y="-36"/>
              </wp:wrapPolygon>
            </wp:wrapTight>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eastAsia="zh-CN"/>
        </w:rPr>
        <w:t>相等</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我单位没有因公出国（境）的经费支出</w:t>
      </w:r>
      <w:r>
        <w:rPr>
          <w:rFonts w:hint="eastAsia" w:ascii="仿宋_GB2312" w:eastAsia="仿宋_GB2312"/>
          <w:color w:val="000000"/>
          <w:sz w:val="32"/>
          <w:szCs w:val="32"/>
        </w:rPr>
        <w:t>。</w:t>
      </w:r>
    </w:p>
    <w:p>
      <w:pPr>
        <w:spacing w:line="600" w:lineRule="exact"/>
        <w:ind w:firstLine="640"/>
        <w:rPr>
          <w:rFonts w:hint="eastAsia" w:ascii="仿宋_GB2312" w:eastAsia="仿宋_GB2312"/>
          <w:b/>
          <w:color w:val="000000"/>
          <w:sz w:val="32"/>
          <w:szCs w:val="32"/>
          <w:lang w:eastAsia="zh-CN"/>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b/>
          <w:color w:val="000000"/>
          <w:sz w:val="32"/>
          <w:szCs w:val="32"/>
          <w:lang w:val="en-US" w:eastAsia="zh-CN"/>
        </w:rPr>
        <w:t>3.33</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hint="eastAsia" w:ascii="仿宋_GB2312" w:eastAsia="仿宋_GB2312"/>
          <w:color w:val="000000"/>
          <w:sz w:val="32"/>
          <w:szCs w:val="32"/>
          <w:lang w:val="en-US" w:eastAsia="zh-CN"/>
        </w:rPr>
        <w:t>1.52</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83</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本单位下乡慰问以及出差次数增多，油费增加。</w:t>
      </w:r>
    </w:p>
    <w:p>
      <w:pPr>
        <w:spacing w:line="600" w:lineRule="exact"/>
        <w:ind w:firstLine="643" w:firstLineChars="200"/>
        <w:rPr>
          <w:rFonts w:ascii="仿宋_GB2312" w:eastAsia="仿宋_GB2312"/>
          <w:color w:val="000000"/>
          <w:sz w:val="32"/>
          <w:szCs w:val="32"/>
        </w:rPr>
      </w:pPr>
      <w:r>
        <w:rPr>
          <w:rFonts w:hint="eastAsia" w:ascii="仿宋_GB2312" w:eastAsia="仿宋_GB2312"/>
          <w:b/>
          <w:color w:val="000000"/>
          <w:sz w:val="32"/>
          <w:szCs w:val="32"/>
        </w:rPr>
        <w:t>公务用车购置支出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万元。全年按规定更新购置公务用</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万元，主要用</w:t>
      </w:r>
      <w:r>
        <w:rPr>
          <w:rFonts w:hint="eastAsia" w:ascii="仿宋_GB2312" w:eastAsia="仿宋_GB2312"/>
          <w:color w:val="000000"/>
          <w:sz w:val="32"/>
          <w:szCs w:val="32"/>
          <w:lang w:eastAsia="zh-CN"/>
        </w:rPr>
        <w:t>外出公干、下乡</w:t>
      </w: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b/>
          <w:color w:val="000000"/>
          <w:sz w:val="32"/>
          <w:szCs w:val="32"/>
          <w:lang w:val="en-US" w:eastAsia="zh-CN"/>
        </w:rPr>
        <w:t>3.33</w:t>
      </w:r>
      <w:r>
        <w:rPr>
          <w:rFonts w:hint="eastAsia" w:ascii="仿宋_GB2312" w:eastAsia="仿宋_GB2312"/>
          <w:color w:val="000000"/>
          <w:sz w:val="32"/>
          <w:szCs w:val="32"/>
        </w:rPr>
        <w:t>万元。主要用</w:t>
      </w:r>
      <w:r>
        <w:rPr>
          <w:rFonts w:hint="eastAsia" w:ascii="仿宋_GB2312" w:eastAsia="仿宋_GB2312"/>
          <w:color w:val="000000"/>
          <w:sz w:val="32"/>
          <w:szCs w:val="32"/>
          <w:lang w:eastAsia="zh-CN"/>
        </w:rPr>
        <w:t>我单位人员外出公干、下乡</w:t>
      </w:r>
      <w:r>
        <w:rPr>
          <w:rFonts w:hint="eastAsia" w:ascii="仿宋_GB2312" w:eastAsia="仿宋_GB2312"/>
          <w:color w:val="000000"/>
          <w:sz w:val="32"/>
          <w:szCs w:val="32"/>
        </w:rPr>
        <w:t>（具体工作）等所需的公务用车燃料费、维修费、过路过桥费、保险费等支出。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b/>
          <w:color w:val="000000"/>
          <w:sz w:val="32"/>
          <w:szCs w:val="32"/>
          <w:lang w:val="en-US" w:eastAsia="zh-CN"/>
        </w:rPr>
        <w:t>0.1</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eastAsia="zh-CN"/>
        </w:rPr>
        <w:t>持平</w:t>
      </w:r>
      <w:r>
        <w:rPr>
          <w:rFonts w:hint="eastAsia" w:ascii="仿宋_GB2312" w:eastAsia="仿宋_GB2312"/>
          <w:color w:val="000000"/>
          <w:sz w:val="32"/>
          <w:szCs w:val="32"/>
        </w:rPr>
        <w:t>，主要原因是</w:t>
      </w:r>
      <w:r>
        <w:rPr>
          <w:rFonts w:hint="eastAsia" w:ascii="仿宋_GB2312" w:hAnsi="仿宋_GB2312" w:eastAsia="仿宋_GB2312" w:cs="仿宋_GB2312"/>
          <w:color w:val="auto"/>
          <w:sz w:val="30"/>
          <w:szCs w:val="30"/>
          <w:lang w:eastAsia="zh-CN"/>
        </w:rPr>
        <w:t>我单位严格控制控制公务接待费在预算内。</w:t>
      </w:r>
    </w:p>
    <w:p>
      <w:pPr>
        <w:spacing w:line="600" w:lineRule="exact"/>
        <w:ind w:firstLine="640" w:firstLineChars="200"/>
        <w:rPr>
          <w:rFonts w:hint="eastAsia" w:ascii="仿宋_GB2312" w:eastAsia="仿宋_GB2312"/>
          <w:color w:val="000000"/>
          <w:sz w:val="32"/>
          <w:szCs w:val="32"/>
        </w:rPr>
      </w:pPr>
      <w:bookmarkStart w:id="96" w:name="_Toc15396610"/>
      <w:bookmarkStart w:id="97" w:name="_Toc15377218"/>
      <w:r>
        <w:rPr>
          <w:rFonts w:hint="eastAsia" w:ascii="仿宋_GB2312" w:eastAsia="仿宋_GB2312"/>
          <w:color w:val="000000"/>
          <w:sz w:val="32"/>
          <w:szCs w:val="32"/>
        </w:rPr>
        <w:t>主要用于执行公务、开展业务活动开支的交通费、住宿费、用餐费等。国内公务接待</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万元，具体内容包括：</w:t>
      </w:r>
      <w:r>
        <w:rPr>
          <w:rFonts w:hint="eastAsia" w:ascii="仿宋_GB2312" w:hAnsi="仿宋_GB2312" w:eastAsia="仿宋_GB2312" w:cs="仿宋_GB2312"/>
          <w:color w:val="000000"/>
          <w:sz w:val="30"/>
          <w:szCs w:val="30"/>
        </w:rPr>
        <w:t>于执行公务、开展业务活动开支的交通费、住宿费、用餐费</w:t>
      </w:r>
      <w:r>
        <w:rPr>
          <w:rFonts w:hint="eastAsia" w:ascii="仿宋_GB2312" w:eastAsia="仿宋_GB2312"/>
          <w:color w:val="000000"/>
          <w:sz w:val="32"/>
          <w:szCs w:val="32"/>
        </w:rPr>
        <w:t>（接待具体项目、金额）。其中：</w:t>
      </w:r>
    </w:p>
    <w:p>
      <w:pPr>
        <w:spacing w:line="600" w:lineRule="exact"/>
        <w:ind w:firstLine="640"/>
        <w:rPr>
          <w:rFonts w:hint="eastAsia" w:ascii="仿宋_GB2312" w:eastAsia="仿宋_GB2312"/>
          <w:color w:val="000000"/>
          <w:sz w:val="32"/>
          <w:szCs w:val="32"/>
          <w:lang w:eastAsia="zh-CN"/>
        </w:rPr>
      </w:pPr>
      <w:r>
        <w:rPr>
          <w:rFonts w:hint="eastAsia" w:ascii="仿宋" w:hAnsi="仿宋" w:eastAsia="仿宋"/>
          <w:b/>
          <w:color w:val="000000"/>
          <w:sz w:val="32"/>
          <w:szCs w:val="32"/>
        </w:rPr>
        <w:t>其他国内公务接待支出</w:t>
      </w:r>
      <w:r>
        <w:rPr>
          <w:rFonts w:hint="eastAsia" w:ascii="仿宋" w:hAnsi="仿宋" w:eastAsia="仿宋"/>
          <w:b/>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本单位没有其他国内公务接待支出费用</w:t>
      </w:r>
    </w:p>
    <w:p>
      <w:pPr>
        <w:spacing w:line="600" w:lineRule="exact"/>
        <w:ind w:firstLine="640"/>
        <w:outlineLvl w:val="9"/>
        <w:rPr>
          <w:rFonts w:ascii="黑体" w:eastAsia="黑体"/>
          <w:color w:val="000000"/>
          <w:sz w:val="32"/>
          <w:szCs w:val="32"/>
        </w:rPr>
      </w:pPr>
    </w:p>
    <w:p>
      <w:pPr>
        <w:spacing w:line="600" w:lineRule="exact"/>
        <w:ind w:firstLine="640"/>
        <w:outlineLvl w:val="1"/>
        <w:rPr>
          <w:rStyle w:val="26"/>
          <w:rFonts w:ascii="黑体" w:hAnsi="黑体" w:eastAsia="黑体"/>
        </w:rPr>
      </w:pPr>
      <w:bookmarkStart w:id="98" w:name="_Toc4805"/>
      <w:bookmarkStart w:id="99" w:name="_Toc30669"/>
      <w:r>
        <w:rPr>
          <w:rFonts w:hint="eastAsia" w:ascii="黑体" w:eastAsia="黑体"/>
          <w:color w:val="000000"/>
          <w:sz w:val="32"/>
          <w:szCs w:val="32"/>
        </w:rPr>
        <w:t>八、</w:t>
      </w:r>
      <w:r>
        <w:rPr>
          <w:rStyle w:val="26"/>
          <w:rFonts w:hint="eastAsia" w:ascii="黑体" w:hAnsi="黑体" w:eastAsia="黑体"/>
          <w:b w:val="0"/>
        </w:rPr>
        <w:t>政府性基金预算支出决算情况说明</w:t>
      </w:r>
      <w:bookmarkEnd w:id="96"/>
      <w:bookmarkEnd w:id="97"/>
      <w:bookmarkEnd w:id="98"/>
      <w:bookmarkEnd w:id="9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p>
    <w:p>
      <w:pPr>
        <w:numPr>
          <w:ilvl w:val="0"/>
          <w:numId w:val="3"/>
        </w:numPr>
        <w:spacing w:line="600" w:lineRule="exact"/>
        <w:ind w:firstLine="640"/>
        <w:outlineLvl w:val="1"/>
        <w:rPr>
          <w:rStyle w:val="26"/>
          <w:rFonts w:ascii="黑体" w:hAnsi="黑体" w:eastAsia="黑体"/>
          <w:b w:val="0"/>
        </w:rPr>
      </w:pPr>
      <w:bookmarkStart w:id="100" w:name="_Toc15377219"/>
      <w:bookmarkStart w:id="101" w:name="_Toc15396611"/>
      <w:bookmarkStart w:id="102" w:name="_Toc7956"/>
      <w:bookmarkStart w:id="103" w:name="_Toc28182"/>
      <w:r>
        <w:rPr>
          <w:rStyle w:val="26"/>
          <w:rFonts w:hint="eastAsia" w:ascii="黑体" w:hAnsi="黑体" w:eastAsia="黑体"/>
          <w:b w:val="0"/>
        </w:rPr>
        <w:t>国有资本经营预算支出决算情况说明</w:t>
      </w:r>
      <w:bookmarkEnd w:id="100"/>
      <w:bookmarkEnd w:id="101"/>
      <w:bookmarkEnd w:id="102"/>
      <w:bookmarkEnd w:id="103"/>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580" w:lineRule="exact"/>
        <w:jc w:val="center"/>
        <w:rPr>
          <w:rFonts w:ascii="方正小标宋简体" w:hAnsi="方正小标宋简体" w:eastAsia="方正小标宋简体" w:cs="方正小标宋简体"/>
          <w:sz w:val="44"/>
          <w:szCs w:val="44"/>
        </w:rPr>
      </w:pPr>
    </w:p>
    <w:p>
      <w:pPr>
        <w:spacing w:line="600" w:lineRule="exact"/>
        <w:ind w:firstLine="800" w:firstLineChars="250"/>
        <w:outlineLvl w:val="1"/>
        <w:rPr>
          <w:rStyle w:val="26"/>
          <w:rFonts w:ascii="黑体" w:hAnsi="黑体" w:eastAsia="黑体"/>
        </w:rPr>
      </w:pPr>
      <w:bookmarkStart w:id="104" w:name="_Toc15396612"/>
      <w:bookmarkStart w:id="105" w:name="_Toc15377221"/>
      <w:bookmarkStart w:id="106" w:name="_Toc13918"/>
      <w:bookmarkStart w:id="107" w:name="_Toc18091"/>
      <w:r>
        <w:rPr>
          <w:rFonts w:hint="eastAsia" w:ascii="黑体" w:hAnsi="黑体" w:eastAsia="黑体"/>
          <w:color w:val="000000"/>
          <w:sz w:val="32"/>
          <w:szCs w:val="32"/>
        </w:rPr>
        <w:t>十</w:t>
      </w:r>
      <w:r>
        <w:rPr>
          <w:rStyle w:val="26"/>
          <w:rFonts w:hint="eastAsia" w:ascii="黑体" w:hAnsi="黑体" w:eastAsia="黑体"/>
        </w:rPr>
        <w:t>、</w:t>
      </w:r>
      <w:r>
        <w:rPr>
          <w:rStyle w:val="26"/>
          <w:rFonts w:hint="eastAsia" w:ascii="黑体" w:hAnsi="黑体" w:eastAsia="黑体"/>
          <w:b w:val="0"/>
        </w:rPr>
        <w:t>其他重要事项的情况说明</w:t>
      </w:r>
      <w:bookmarkEnd w:id="104"/>
      <w:bookmarkEnd w:id="105"/>
      <w:bookmarkEnd w:id="106"/>
      <w:bookmarkEnd w:id="107"/>
    </w:p>
    <w:p>
      <w:pPr>
        <w:spacing w:line="600" w:lineRule="exact"/>
        <w:ind w:firstLine="643" w:firstLineChars="200"/>
        <w:outlineLvl w:val="2"/>
        <w:rPr>
          <w:rFonts w:ascii="仿宋" w:hAnsi="仿宋" w:eastAsia="仿宋"/>
          <w:color w:val="000000"/>
          <w:sz w:val="32"/>
          <w:szCs w:val="32"/>
        </w:rPr>
      </w:pPr>
      <w:bookmarkStart w:id="108" w:name="_Toc15377222"/>
      <w:bookmarkStart w:id="109" w:name="_Toc15118"/>
      <w:bookmarkStart w:id="110" w:name="_Toc11085"/>
      <w:r>
        <w:rPr>
          <w:rFonts w:hint="eastAsia" w:ascii="仿宋" w:hAnsi="仿宋" w:eastAsia="仿宋"/>
          <w:b/>
          <w:color w:val="000000"/>
          <w:sz w:val="32"/>
          <w:szCs w:val="32"/>
        </w:rPr>
        <w:t>（一）机关运行经费支出情况</w:t>
      </w:r>
      <w:bookmarkEnd w:id="108"/>
      <w:bookmarkEnd w:id="109"/>
      <w:bookmarkEnd w:id="110"/>
    </w:p>
    <w:p>
      <w:pPr>
        <w:spacing w:line="600" w:lineRule="exact"/>
        <w:ind w:firstLine="640" w:firstLineChars="200"/>
        <w:rPr>
          <w:rFonts w:hint="eastAsia" w:ascii="仿宋_GB2312" w:eastAsia="仿宋_GB2312"/>
          <w:color w:val="000000" w:themeColor="text1"/>
          <w:sz w:val="32"/>
          <w:szCs w:val="32"/>
          <w:lang w:eastAsia="zh-CN"/>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eastAsia="zh-CN"/>
        </w:rPr>
        <w:t>共青团红原县委</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20.64</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hint="eastAsia" w:ascii="仿宋_GB2312" w:eastAsia="仿宋_GB2312"/>
          <w:color w:val="000000"/>
          <w:sz w:val="32"/>
          <w:szCs w:val="32"/>
          <w:lang w:val="en-US" w:eastAsia="zh-CN"/>
        </w:rPr>
        <w:t>4.13</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25</w:t>
      </w:r>
      <w:r>
        <w:rPr>
          <w:rFonts w:ascii="仿宋_GB2312" w:eastAsia="仿宋_GB2312"/>
          <w:color w:val="000000"/>
          <w:sz w:val="32"/>
          <w:szCs w:val="32"/>
        </w:rPr>
        <w:t>%</w:t>
      </w:r>
      <w:r>
        <w:rPr>
          <w:rFonts w:hint="eastAsia" w:ascii="仿宋_GB2312" w:eastAsia="仿宋_GB2312"/>
          <w:color w:val="000000"/>
          <w:sz w:val="32"/>
          <w:szCs w:val="32"/>
          <w:lang w:eastAsia="zh-CN"/>
        </w:rPr>
        <w:t>，</w:t>
      </w:r>
      <w:r>
        <w:rPr>
          <w:rFonts w:hint="eastAsia" w:ascii="仿宋_GB2312" w:eastAsia="仿宋_GB2312"/>
          <w:color w:val="000000" w:themeColor="text1"/>
          <w:sz w:val="32"/>
          <w:szCs w:val="32"/>
        </w:rPr>
        <w:t>主要原因</w:t>
      </w:r>
      <w:r>
        <w:rPr>
          <w:rFonts w:hint="eastAsia" w:ascii="仿宋_GB2312" w:eastAsia="仿宋_GB2312"/>
          <w:color w:val="000000" w:themeColor="text1"/>
          <w:sz w:val="32"/>
          <w:szCs w:val="32"/>
          <w:lang w:eastAsia="zh-CN"/>
        </w:rPr>
        <w:t>是：公务用车维护费增加，本单位下乡慰问及出差次数增加。</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11" w:name="_Toc4038"/>
      <w:bookmarkStart w:id="112" w:name="_Toc15377223"/>
      <w:bookmarkStart w:id="113" w:name="_Toc4154"/>
      <w:r>
        <w:rPr>
          <w:rFonts w:hint="eastAsia" w:ascii="仿宋" w:hAnsi="仿宋" w:eastAsia="仿宋"/>
          <w:b/>
          <w:color w:val="000000"/>
          <w:sz w:val="32"/>
          <w:szCs w:val="32"/>
        </w:rPr>
        <w:t>（二）政府采购支出情况</w:t>
      </w:r>
      <w:bookmarkEnd w:id="111"/>
      <w:bookmarkEnd w:id="112"/>
      <w:bookmarkEnd w:id="113"/>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本单位没有采购支出</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14" w:name="_Toc15377224"/>
      <w:bookmarkStart w:id="115" w:name="_Toc25081"/>
      <w:bookmarkStart w:id="116" w:name="_Toc20263"/>
      <w:r>
        <w:rPr>
          <w:rFonts w:hint="eastAsia" w:ascii="仿宋" w:hAnsi="仿宋" w:eastAsia="仿宋"/>
          <w:b/>
          <w:color w:val="000000"/>
          <w:sz w:val="32"/>
          <w:szCs w:val="32"/>
        </w:rPr>
        <w:t>（三）国有资产占有使用情况</w:t>
      </w:r>
      <w:bookmarkEnd w:id="114"/>
      <w:bookmarkEnd w:id="115"/>
      <w:bookmarkEnd w:id="116"/>
    </w:p>
    <w:p>
      <w:pPr>
        <w:autoSpaceDE w:val="0"/>
        <w:autoSpaceDN w:val="0"/>
        <w:adjustRightInd w:val="0"/>
        <w:spacing w:line="600" w:lineRule="exact"/>
        <w:ind w:firstLine="640" w:firstLineChars="200"/>
        <w:jc w:val="left"/>
        <w:rPr>
          <w:rFonts w:hint="eastAsia" w:ascii="仿宋" w:hAnsi="仿宋" w:eastAsia="仿宋_GB2312"/>
          <w:b/>
          <w:color w:val="FF0000"/>
          <w:sz w:val="32"/>
          <w:szCs w:val="32"/>
          <w:lang w:eastAsia="zh-CN"/>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本单位</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辆，其中：部级领导干部用车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辆、一般公务用车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辆、一般执法执勤用车</w:t>
      </w:r>
      <w:r>
        <w:rPr>
          <w:rFonts w:hint="eastAsia" w:ascii="仿宋_GB2312" w:eastAsia="仿宋_GB2312"/>
          <w:color w:val="000000"/>
          <w:sz w:val="32"/>
          <w:szCs w:val="32"/>
          <w:lang w:eastAsia="zh-CN"/>
        </w:rPr>
        <w:t>主要</w:t>
      </w:r>
      <w:r>
        <w:rPr>
          <w:rFonts w:hint="eastAsia" w:ascii="仿宋_GB2312" w:eastAsia="仿宋_GB2312"/>
          <w:color w:val="000000" w:themeColor="text1"/>
          <w:sz w:val="32"/>
          <w:szCs w:val="32"/>
        </w:rPr>
        <w:t>是用于</w:t>
      </w:r>
      <w:r>
        <w:rPr>
          <w:rFonts w:hint="eastAsia" w:ascii="仿宋_GB2312" w:eastAsia="仿宋_GB2312"/>
          <w:color w:val="000000" w:themeColor="text1"/>
          <w:sz w:val="32"/>
          <w:szCs w:val="32"/>
          <w:lang w:eastAsia="zh-CN"/>
        </w:rPr>
        <w:t>本单位人员因公外出，下乡宣传活动。</w:t>
      </w:r>
      <w:r>
        <w:rPr>
          <w:rFonts w:hint="eastAsia" w:ascii="仿宋_GB2312" w:eastAsia="仿宋_GB2312"/>
          <w:color w:val="000000" w:themeColor="text1"/>
          <w:sz w:val="32"/>
          <w:szCs w:val="32"/>
        </w:rPr>
        <w:t>单价</w:t>
      </w:r>
      <w:r>
        <w:rPr>
          <w:rFonts w:ascii="仿宋_GB2312" w:eastAsia="仿宋_GB2312"/>
          <w:color w:val="000000" w:themeColor="text1"/>
          <w:sz w:val="32"/>
          <w:szCs w:val="32"/>
        </w:rPr>
        <w:t>50</w:t>
      </w:r>
      <w:r>
        <w:rPr>
          <w:rFonts w:hint="eastAsia" w:ascii="仿宋_GB2312" w:eastAsia="仿宋_GB2312"/>
          <w:color w:val="000000" w:themeColor="text1"/>
          <w:sz w:val="32"/>
          <w:szCs w:val="32"/>
        </w:rPr>
        <w:t>万元以上通用设备</w:t>
      </w:r>
      <w:r>
        <w:rPr>
          <w:rFonts w:hint="eastAsia" w:ascii="仿宋_GB2312" w:eastAsia="仿宋_GB2312"/>
          <w:color w:val="000000" w:themeColor="text1"/>
          <w:sz w:val="32"/>
          <w:szCs w:val="32"/>
          <w:lang w:val="en-US" w:eastAsia="zh-CN"/>
        </w:rPr>
        <w:t>0</w:t>
      </w:r>
      <w:r>
        <w:rPr>
          <w:rFonts w:hint="eastAsia" w:ascii="仿宋_GB2312" w:eastAsia="仿宋_GB2312"/>
          <w:color w:val="000000" w:themeColor="text1"/>
          <w:sz w:val="32"/>
          <w:szCs w:val="32"/>
        </w:rPr>
        <w:t>台（套），单价</w:t>
      </w:r>
      <w:r>
        <w:rPr>
          <w:rFonts w:ascii="仿宋_GB2312" w:eastAsia="仿宋_GB2312"/>
          <w:color w:val="000000" w:themeColor="text1"/>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r>
        <w:rPr>
          <w:rFonts w:hint="eastAsia" w:ascii="仿宋_GB2312" w:eastAsia="仿宋_GB2312"/>
          <w:color w:val="000000"/>
          <w:sz w:val="32"/>
          <w:szCs w:val="32"/>
          <w:lang w:eastAsia="zh-CN"/>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17" w:name="_Toc20538"/>
      <w:bookmarkStart w:id="118" w:name="_Toc5811"/>
      <w:r>
        <w:rPr>
          <w:rFonts w:hint="eastAsia" w:ascii="仿宋" w:hAnsi="仿宋" w:eastAsia="仿宋"/>
          <w:b/>
          <w:color w:val="000000"/>
          <w:sz w:val="32"/>
          <w:szCs w:val="32"/>
        </w:rPr>
        <w:t>（四）预算绩效管理情况。</w:t>
      </w:r>
      <w:bookmarkEnd w:id="117"/>
      <w:bookmarkEnd w:id="118"/>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hint="eastAsia" w:ascii="仿宋_GB2312" w:hAnsi="仿宋_GB2312" w:eastAsia="仿宋_GB2312" w:cs="仿宋_GB2312"/>
          <w:sz w:val="32"/>
          <w:szCs w:val="32"/>
          <w:lang w:val="en-US" w:eastAsia="zh-CN"/>
        </w:rPr>
        <w:t>2019年关心下一代工作委员会</w:t>
      </w:r>
      <w:r>
        <w:rPr>
          <w:rFonts w:hint="eastAsia" w:ascii="仿宋_GB2312" w:hAnsi="仿宋_GB2312" w:eastAsia="仿宋_GB2312" w:cs="仿宋_GB2312"/>
          <w:sz w:val="32"/>
          <w:szCs w:val="32"/>
        </w:rPr>
        <w:t>项目（项目名称）开展了预算事前绩效评估，对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个项目开展了绩效目标完成情况自评。</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本部门按要求对2019年部门整体支出开展绩效自评，从评价情况来看</w:t>
      </w:r>
      <w:r>
        <w:rPr>
          <w:rFonts w:hint="eastAsia" w:ascii="仿宋_GB2312" w:hAnsi="仿宋_GB2312" w:eastAsia="仿宋_GB2312" w:cs="仿宋_GB2312"/>
          <w:sz w:val="32"/>
          <w:szCs w:val="32"/>
          <w:lang w:val="en-US" w:eastAsia="zh-CN"/>
        </w:rPr>
        <w:t>整体部门支出绩效良好，支出进度100%。保障了我委</w:t>
      </w:r>
      <w:r>
        <w:rPr>
          <w:rFonts w:hint="eastAsia" w:ascii="仿宋_GB2312" w:hAnsi="宋体" w:eastAsia="仿宋_GB2312" w:cs="宋体"/>
          <w:color w:val="000000" w:themeColor="text1"/>
          <w:kern w:val="0"/>
          <w:sz w:val="32"/>
          <w:lang w:val="zh-CN"/>
        </w:rPr>
        <w:t>部门机构正常运转、完成日常工作任务</w:t>
      </w:r>
      <w:r>
        <w:rPr>
          <w:rFonts w:hint="eastAsia" w:ascii="仿宋_GB2312" w:hAnsi="仿宋_GB2312" w:eastAsia="仿宋_GB2312" w:cs="仿宋_GB2312"/>
          <w:sz w:val="32"/>
          <w:szCs w:val="32"/>
        </w:rPr>
        <w:t>。本部门还自行组织了</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个项目支出绩效评价，从评价情况来看</w:t>
      </w:r>
      <w:r>
        <w:rPr>
          <w:rFonts w:hint="eastAsia" w:ascii="仿宋_GB2312" w:hAnsi="仿宋_GB2312" w:eastAsia="仿宋_GB2312" w:cs="仿宋_GB2312"/>
          <w:sz w:val="32"/>
          <w:szCs w:val="32"/>
          <w:lang w:val="en-US" w:eastAsia="zh-CN"/>
        </w:rPr>
        <w:t>我委严格执行《四川省省级财政青少年发展专项资金管理办法》对项目资金的使用方向，使用范围，支付进度进行监控。严格执行县级报账、专项核算等制度，确保了资金安全有效</w:t>
      </w:r>
      <w:r>
        <w:rPr>
          <w:rFonts w:hint="eastAsia" w:ascii="楷体_GB2312" w:hAnsi="楷体_GB2312" w:eastAsia="楷体_GB2312" w:cs="楷体_GB2312"/>
          <w:sz w:val="32"/>
          <w:szCs w:val="32"/>
        </w:rPr>
        <w:t>1.项目绩效目标完成情况。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我委</w:t>
      </w:r>
      <w:r>
        <w:rPr>
          <w:rFonts w:hint="eastAsia" w:ascii="仿宋_GB2312" w:hAnsi="仿宋_GB2312" w:eastAsia="仿宋_GB2312" w:cs="仿宋_GB2312"/>
          <w:sz w:val="32"/>
          <w:szCs w:val="32"/>
        </w:rPr>
        <w:t>在2019年度部门决算中反映“</w:t>
      </w:r>
      <w:r>
        <w:rPr>
          <w:rFonts w:hint="eastAsia" w:ascii="仿宋_GB2312" w:hAnsi="仿宋_GB2312" w:eastAsia="仿宋_GB2312" w:cs="仿宋_GB2312"/>
          <w:sz w:val="32"/>
          <w:szCs w:val="32"/>
          <w:lang w:val="en-US" w:eastAsia="zh-CN"/>
        </w:rPr>
        <w:t>2019年关心下一代工作委员会专项经费</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个项目绩效目标实际完成情况。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关心下一代工作委员会</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%。通过项目实施，保障</w:t>
      </w:r>
      <w:r>
        <w:rPr>
          <w:rFonts w:hint="eastAsia" w:ascii="仿宋_GB2312" w:hAnsi="仿宋_GB2312" w:eastAsia="仿宋_GB2312" w:cs="仿宋_GB2312"/>
          <w:sz w:val="32"/>
          <w:szCs w:val="32"/>
          <w:lang w:eastAsia="zh-CN"/>
        </w:rPr>
        <w:t>我委对青少年活动开展的经费保障</w:t>
      </w:r>
    </w:p>
    <w:tbl>
      <w:tblPr>
        <w:tblStyle w:val="13"/>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关心下一代工作委员会经费</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共青团红原县委</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100000元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100000元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100000元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100000元</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0.00元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0.00元</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保障对青少年活动开展以及慰问</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sz w:val="24"/>
                <w:lang w:val="en-US" w:eastAsia="zh-CN"/>
              </w:rPr>
            </w:pPr>
            <w:r>
              <w:rPr>
                <w:rFonts w:hint="eastAsia" w:ascii="宋体" w:hAnsi="宋体" w:cs="宋体"/>
                <w:color w:val="000000"/>
                <w:sz w:val="24"/>
                <w:lang w:val="en-US" w:eastAsia="zh-CN"/>
              </w:rPr>
              <w:t>2019年我委对青少年慰问60余名贫困学生以及全县各学校慰问</w:t>
            </w:r>
          </w:p>
          <w:p>
            <w:pPr>
              <w:widowControl/>
              <w:jc w:val="center"/>
              <w:textAlignment w:val="center"/>
              <w:rPr>
                <w:rFonts w:hint="eastAsia" w:ascii="宋体" w:hAnsi="宋体" w:cs="宋体"/>
                <w:color w:val="000000"/>
                <w:sz w:val="24"/>
                <w:lang w:val="en-US" w:eastAsia="zh-CN"/>
              </w:rPr>
            </w:pPr>
            <w:r>
              <w:rPr>
                <w:rFonts w:hint="eastAsia" w:ascii="宋体" w:hAnsi="宋体" w:cs="宋体"/>
                <w:color w:val="000000"/>
                <w:sz w:val="24"/>
                <w:lang w:val="en-US" w:eastAsia="zh-CN"/>
              </w:rPr>
              <w:t>2019年开展青少年兴趣班培训90余人</w:t>
            </w:r>
          </w:p>
          <w:p>
            <w:pPr>
              <w:widowControl/>
              <w:jc w:val="center"/>
              <w:textAlignment w:val="center"/>
              <w:rPr>
                <w:rFonts w:hint="default" w:ascii="宋体" w:hAnsi="宋体" w:cs="宋体"/>
                <w:color w:val="000000"/>
                <w:sz w:val="24"/>
                <w:lang w:val="en-US" w:eastAsia="zh-CN"/>
              </w:rPr>
            </w:pPr>
          </w:p>
        </w:tc>
      </w:tr>
      <w:tr>
        <w:tblPrEx>
          <w:tblCellMar>
            <w:top w:w="0" w:type="dxa"/>
            <w:left w:w="0" w:type="dxa"/>
            <w:bottom w:w="0" w:type="dxa"/>
            <w:right w:w="0" w:type="dxa"/>
          </w:tblCellMar>
        </w:tblPrEx>
        <w:trPr>
          <w:trHeight w:val="1042" w:hRule="atLeast"/>
          <w:jc w:val="center"/>
        </w:trPr>
        <w:tc>
          <w:tcPr>
            <w:tcW w:w="390" w:type="dxa"/>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restart"/>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34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进度计划</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项目计划实施进度明确</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项目计划实施进度明确，分阶段有序实施项目计划</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34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政策依据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项目符合党中央、国务院和省委、省政府决策部署；符合当前经济社会发展需要</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严格根据财政部、省财政厅下发的青少年发展资金管理办法实施，符合现阶段发展的需要</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34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资金集中</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财政资金占项目资金总额比重较小项目个数/项目总数×100%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资金集中度100%，资金全部来源财政资金</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34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资金拨付</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按规定及时拨付资金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我委于12月19日之前拨付资金100000元,实现资金拨付100%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34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使用范围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资金使用是否合规</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我委严格按照财政部、省财政厅下发的青少年发展资金管理办法使用资金。主要青少年慰问以及青少年兴趣班开班。</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34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会计核算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会计核算规范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我委严格按照新政府会计制度对专项资金核算，并归档。</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34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制度执行</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严格执行项目有关制度规定</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lang w:val="en-US" w:eastAsia="zh-CN"/>
              </w:rPr>
              <w:t>我委严格按照财政部、省财政厅下发的林业改革发展资金管理办法使用资金，并按照报销制度、项目管理等程序审核每一笔资金的支出。</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34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完成时效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（实际完成时间-绩效目标设定完成时间）/绩效目标设定完成时间×100%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项目实际完成时间为2019年8月，而目标设定时间为2019年12月，实际完成时间早于项目设定完成时间。</w:t>
            </w:r>
          </w:p>
        </w:tc>
      </w:tr>
    </w:tbl>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adjustRightInd w:val="0"/>
        <w:snapToGrid w:val="0"/>
        <w:spacing w:line="600" w:lineRule="exact"/>
        <w:rPr>
          <w:rFonts w:hint="eastAsia" w:ascii="仿宋_GB2312" w:hAnsi="宋体" w:eastAsia="仿宋_GB2312"/>
          <w:sz w:val="32"/>
          <w:szCs w:val="32"/>
          <w:lang w:val="en-US" w:eastAsia="zh-CN"/>
        </w:rPr>
      </w:pPr>
    </w:p>
    <w:p>
      <w:pPr>
        <w:adjustRightInd w:val="0"/>
        <w:snapToGrid w:val="0"/>
        <w:spacing w:line="600" w:lineRule="exact"/>
        <w:rPr>
          <w:rFonts w:hint="eastAsia" w:ascii="仿宋_GB2312" w:hAnsi="宋体" w:eastAsia="仿宋_GB2312"/>
          <w:sz w:val="32"/>
          <w:szCs w:val="32"/>
          <w:lang w:val="en-US" w:eastAsia="zh-CN"/>
        </w:rPr>
      </w:pPr>
    </w:p>
    <w:p>
      <w:pPr>
        <w:numPr>
          <w:ilvl w:val="0"/>
          <w:numId w:val="4"/>
        </w:numPr>
        <w:spacing w:line="600" w:lineRule="exact"/>
        <w:ind w:firstLine="660" w:firstLineChars="150"/>
        <w:jc w:val="center"/>
        <w:outlineLvl w:val="0"/>
        <w:rPr>
          <w:rStyle w:val="25"/>
          <w:rFonts w:ascii="黑体" w:hAnsi="黑体" w:eastAsia="黑体"/>
          <w:b w:val="0"/>
        </w:rPr>
      </w:pPr>
      <w:bookmarkStart w:id="119" w:name="_Toc2760"/>
      <w:bookmarkStart w:id="120" w:name="_Toc5402"/>
      <w:bookmarkStart w:id="121" w:name="_Toc15396613"/>
      <w:bookmarkStart w:id="122" w:name="_Toc15377225"/>
      <w:r>
        <w:rPr>
          <w:rFonts w:hint="eastAsia" w:ascii="黑体" w:hAnsi="黑体" w:eastAsia="黑体"/>
          <w:color w:val="000000"/>
          <w:sz w:val="44"/>
          <w:szCs w:val="44"/>
        </w:rPr>
        <w:t>名</w:t>
      </w:r>
      <w:r>
        <w:rPr>
          <w:rStyle w:val="25"/>
          <w:rFonts w:hint="eastAsia" w:ascii="黑体" w:hAnsi="黑体" w:eastAsia="黑体"/>
          <w:b w:val="0"/>
        </w:rPr>
        <w:t>词解释</w:t>
      </w:r>
      <w:bookmarkEnd w:id="119"/>
      <w:bookmarkEnd w:id="120"/>
      <w:bookmarkEnd w:id="121"/>
      <w:bookmarkEnd w:id="122"/>
    </w:p>
    <w:p>
      <w:pPr>
        <w:spacing w:line="600" w:lineRule="exact"/>
        <w:jc w:val="left"/>
        <w:rPr>
          <w:rFonts w:ascii="宋体"/>
          <w:b/>
          <w:color w:val="000000"/>
          <w:sz w:val="44"/>
          <w:szCs w:val="44"/>
        </w:rPr>
      </w:pPr>
    </w:p>
    <w:p>
      <w:pPr>
        <w:pStyle w:val="23"/>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3"/>
        <w:spacing w:line="560" w:lineRule="exact"/>
        <w:ind w:firstLine="640" w:firstLineChars="200"/>
        <w:rPr>
          <w:rFonts w:hint="eastAsia" w:ascii="仿宋_GB2312" w:eastAsia="仿宋_GB2312"/>
          <w:sz w:val="32"/>
          <w:szCs w:val="32"/>
          <w:lang w:eastAsia="zh-CN"/>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事业收入：指事业单位开展专业业务活动及辅助活动取得的收入。如</w:t>
      </w:r>
      <w:r>
        <w:rPr>
          <w:rFonts w:hint="eastAsia" w:ascii="仿宋_GB2312" w:eastAsia="仿宋_GB2312"/>
          <w:sz w:val="32"/>
          <w:szCs w:val="32"/>
          <w:lang w:eastAsia="zh-CN"/>
        </w:rPr>
        <w:t>年末结转，事业单位每年在年末都需要将“上级补助收入”科目进行结转，使其余额为零。</w:t>
      </w:r>
    </w:p>
    <w:p>
      <w:pPr>
        <w:pStyle w:val="23"/>
        <w:spacing w:line="560" w:lineRule="exact"/>
        <w:ind w:firstLine="640" w:firstLineChars="200"/>
        <w:outlineLvl w:val="9"/>
        <w:rPr>
          <w:rFonts w:ascii="仿宋_GB2312" w:eastAsia="仿宋_GB2312"/>
          <w:sz w:val="32"/>
          <w:szCs w:val="32"/>
        </w:rPr>
      </w:pPr>
      <w:r>
        <w:rPr>
          <w:rFonts w:hint="eastAsia" w:ascii="仿宋_GB2312" w:eastAsia="仿宋_GB2312"/>
          <w:sz w:val="32"/>
          <w:szCs w:val="32"/>
          <w:lang w:val="en-US" w:eastAsia="zh-CN"/>
        </w:rPr>
        <w:t>3</w:t>
      </w:r>
      <w:r>
        <w:rPr>
          <w:rFonts w:ascii="仿宋_GB2312" w:eastAsia="仿宋_GB2312"/>
          <w:sz w:val="32"/>
          <w:szCs w:val="32"/>
        </w:rPr>
        <w:t>.</w:t>
      </w:r>
      <w:r>
        <w:rPr>
          <w:rFonts w:hint="eastAsia" w:ascii="仿宋_GB2312" w:eastAsia="仿宋_GB2312"/>
          <w:sz w:val="32"/>
          <w:szCs w:val="32"/>
        </w:rPr>
        <w:t>其他收入：指单位取得的除上述收入以外的各项收入。主要</w:t>
      </w:r>
      <w:r>
        <w:rPr>
          <w:rFonts w:hint="eastAsia" w:ascii="仿宋_GB2312" w:eastAsia="仿宋_GB2312"/>
          <w:sz w:val="32"/>
          <w:szCs w:val="32"/>
          <w:lang w:eastAsia="zh-CN"/>
        </w:rPr>
        <w:t>是关于接受外来捐赠收入带来的银行利息等。</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4</w:t>
      </w:r>
      <w:r>
        <w:rPr>
          <w:rFonts w:ascii="仿宋_GB2312" w:eastAsia="仿宋_GB2312"/>
          <w:sz w:val="32"/>
          <w:szCs w:val="32"/>
        </w:rPr>
        <w:t>.</w:t>
      </w:r>
      <w:r>
        <w:rPr>
          <w:rFonts w:hint="eastAsia" w:ascii="仿宋_GB2312" w:eastAsia="仿宋_GB2312"/>
          <w:sz w:val="32"/>
          <w:szCs w:val="32"/>
        </w:rPr>
        <w:t>用事业基金弥补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5</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3"/>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7</w:t>
      </w:r>
      <w:r>
        <w:rPr>
          <w:rFonts w:hint="eastAsia" w:ascii="仿宋_GB2312" w:eastAsia="仿宋_GB2312"/>
          <w:sz w:val="32"/>
          <w:szCs w:val="32"/>
        </w:rPr>
        <w:t>、年末结转和结余：指单位按有关规定结转到下年或以后年度继续使用的资金。</w:t>
      </w:r>
    </w:p>
    <w:p>
      <w:pPr>
        <w:pStyle w:val="23"/>
        <w:spacing w:line="56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8</w:t>
      </w:r>
      <w:r>
        <w:rPr>
          <w:rFonts w:ascii="仿宋_GB2312" w:eastAsia="仿宋_GB2312"/>
          <w:color w:val="000000"/>
          <w:sz w:val="32"/>
          <w:szCs w:val="32"/>
        </w:rPr>
        <w:t>.</w:t>
      </w:r>
      <w:r>
        <w:rPr>
          <w:rFonts w:hint="eastAsia" w:ascii="仿宋_GB2312" w:eastAsia="仿宋_GB2312"/>
          <w:color w:val="000000"/>
          <w:sz w:val="32"/>
          <w:szCs w:val="32"/>
        </w:rPr>
        <w:t>一般公共服务（</w:t>
      </w:r>
      <w:r>
        <w:rPr>
          <w:rFonts w:hint="eastAsia" w:ascii="仿宋_GB2312" w:eastAsia="仿宋_GB2312"/>
          <w:color w:val="000000"/>
          <w:sz w:val="32"/>
          <w:szCs w:val="32"/>
          <w:lang w:val="en-US" w:eastAsia="zh-CN"/>
        </w:rPr>
        <w:t>201）群众团体事务</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29</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行政运行</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保障机构的基本支出（如：职工基本工资、保险等）</w:t>
      </w:r>
    </w:p>
    <w:p>
      <w:pPr>
        <w:pStyle w:val="23"/>
        <w:spacing w:line="56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一般公共服务（</w:t>
      </w:r>
      <w:r>
        <w:rPr>
          <w:rFonts w:hint="eastAsia" w:ascii="仿宋_GB2312" w:eastAsia="仿宋_GB2312"/>
          <w:color w:val="000000"/>
          <w:sz w:val="32"/>
          <w:szCs w:val="32"/>
          <w:lang w:val="en-US" w:eastAsia="zh-CN"/>
        </w:rPr>
        <w:t>201）群众团体事务</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29</w:t>
      </w:r>
      <w:r>
        <w:rPr>
          <w:rFonts w:hint="eastAsia" w:ascii="仿宋_GB2312" w:eastAsia="仿宋_GB2312"/>
          <w:color w:val="000000"/>
          <w:sz w:val="32"/>
          <w:szCs w:val="32"/>
        </w:rPr>
        <w:t>）</w:t>
      </w:r>
      <w:r>
        <w:rPr>
          <w:rFonts w:hint="eastAsia" w:ascii="仿宋_GB2312" w:eastAsia="仿宋_GB2312"/>
          <w:color w:val="000000"/>
          <w:sz w:val="32"/>
          <w:szCs w:val="32"/>
          <w:lang w:eastAsia="zh-CN"/>
        </w:rPr>
        <w:t>一般行政管理事务</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）：指</w:t>
      </w:r>
      <w:r>
        <w:rPr>
          <w:rFonts w:hint="eastAsia" w:ascii="仿宋_GB2312" w:eastAsia="仿宋_GB2312"/>
          <w:color w:val="000000"/>
          <w:sz w:val="32"/>
          <w:szCs w:val="32"/>
          <w:lang w:eastAsia="zh-CN"/>
        </w:rPr>
        <w:t>保障机构的其他科级项目支出，（如：编制外人员的基本工资、保险等）</w:t>
      </w:r>
    </w:p>
    <w:p>
      <w:pPr>
        <w:pStyle w:val="23"/>
        <w:spacing w:line="560" w:lineRule="exact"/>
        <w:ind w:firstLine="640" w:firstLineChars="200"/>
        <w:rPr>
          <w:rFonts w:hint="eastAsia" w:ascii="仿宋_GB2312" w:eastAsia="仿宋_GB2312"/>
          <w:sz w:val="32"/>
          <w:szCs w:val="32"/>
          <w:lang w:eastAsia="zh-CN"/>
        </w:rPr>
      </w:pP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一般公共服务（</w:t>
      </w:r>
      <w:r>
        <w:rPr>
          <w:rFonts w:hint="eastAsia" w:ascii="仿宋_GB2312" w:eastAsia="仿宋_GB2312"/>
          <w:color w:val="000000"/>
          <w:sz w:val="32"/>
          <w:szCs w:val="32"/>
          <w:lang w:val="en-US" w:eastAsia="zh-CN"/>
        </w:rPr>
        <w:t>201）群众团体事务</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29</w:t>
      </w:r>
      <w:r>
        <w:rPr>
          <w:rFonts w:hint="eastAsia" w:ascii="仿宋_GB2312" w:eastAsia="仿宋_GB2312"/>
          <w:color w:val="000000"/>
          <w:sz w:val="32"/>
          <w:szCs w:val="32"/>
        </w:rPr>
        <w:t>）</w:t>
      </w:r>
      <w:r>
        <w:rPr>
          <w:rFonts w:hint="eastAsia" w:ascii="仿宋_GB2312" w:eastAsia="仿宋_GB2312"/>
          <w:color w:val="000000"/>
          <w:sz w:val="32"/>
          <w:szCs w:val="32"/>
          <w:lang w:eastAsia="zh-CN"/>
        </w:rPr>
        <w:t>事业运行</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50</w:t>
      </w:r>
      <w:r>
        <w:rPr>
          <w:rFonts w:hint="eastAsia" w:ascii="仿宋_GB2312" w:eastAsia="仿宋_GB2312"/>
          <w:color w:val="000000"/>
          <w:sz w:val="32"/>
          <w:szCs w:val="32"/>
        </w:rPr>
        <w:t>）：指</w:t>
      </w:r>
      <w:r>
        <w:rPr>
          <w:rFonts w:hint="eastAsia" w:ascii="仿宋_GB2312" w:eastAsia="仿宋_GB2312"/>
          <w:color w:val="000000"/>
          <w:sz w:val="32"/>
          <w:szCs w:val="32"/>
          <w:lang w:eastAsia="zh-CN"/>
        </w:rPr>
        <w:t>保障事业单位的基本支出（如：事业单位人员的基本工资、保险等）</w:t>
      </w:r>
    </w:p>
    <w:p>
      <w:pPr>
        <w:pStyle w:val="23"/>
        <w:spacing w:line="56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社会保障和就业（</w:t>
      </w:r>
      <w:r>
        <w:rPr>
          <w:rFonts w:hint="eastAsia" w:ascii="仿宋_GB2312" w:eastAsia="仿宋_GB2312"/>
          <w:color w:val="000000"/>
          <w:sz w:val="32"/>
          <w:szCs w:val="32"/>
          <w:lang w:val="en-US" w:eastAsia="zh-CN"/>
        </w:rPr>
        <w:t>208）行政事业单位养老支出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w:t>
      </w:r>
      <w:r>
        <w:rPr>
          <w:rFonts w:hint="eastAsia" w:ascii="仿宋_GB2312" w:eastAsia="仿宋_GB2312"/>
          <w:color w:val="000000"/>
          <w:sz w:val="32"/>
          <w:szCs w:val="32"/>
          <w:lang w:eastAsia="zh-CN"/>
        </w:rPr>
        <w:t>机关事业单位基本养老保险（</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lang w:eastAsia="zh-CN"/>
        </w:rPr>
        <w:t>）</w:t>
      </w:r>
      <w:r>
        <w:rPr>
          <w:rFonts w:hint="eastAsia" w:ascii="仿宋_GB2312" w:eastAsia="仿宋_GB2312"/>
          <w:color w:val="000000"/>
          <w:sz w:val="32"/>
          <w:szCs w:val="32"/>
        </w:rPr>
        <w:t>：指</w:t>
      </w:r>
      <w:r>
        <w:rPr>
          <w:rFonts w:hint="eastAsia" w:ascii="仿宋_GB2312" w:eastAsia="仿宋_GB2312"/>
          <w:color w:val="000000"/>
          <w:sz w:val="32"/>
          <w:szCs w:val="32"/>
          <w:lang w:eastAsia="zh-CN"/>
        </w:rPr>
        <w:t>行政事业单位基本养老保险的支出。</w:t>
      </w:r>
    </w:p>
    <w:p>
      <w:pPr>
        <w:pStyle w:val="23"/>
        <w:spacing w:line="56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12.</w:t>
      </w:r>
      <w:r>
        <w:rPr>
          <w:rFonts w:hint="eastAsia" w:ascii="仿宋_GB2312" w:eastAsia="仿宋_GB2312"/>
          <w:color w:val="000000"/>
          <w:sz w:val="32"/>
          <w:szCs w:val="32"/>
        </w:rPr>
        <w:t>社会保障和就业（</w:t>
      </w:r>
      <w:r>
        <w:rPr>
          <w:rFonts w:hint="eastAsia" w:ascii="仿宋_GB2312" w:eastAsia="仿宋_GB2312"/>
          <w:color w:val="000000"/>
          <w:sz w:val="32"/>
          <w:szCs w:val="32"/>
          <w:lang w:val="en-US" w:eastAsia="zh-CN"/>
        </w:rPr>
        <w:t>208）行政事业单位养老支出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w:t>
      </w:r>
      <w:r>
        <w:rPr>
          <w:rFonts w:hint="eastAsia" w:ascii="仿宋_GB2312" w:eastAsia="仿宋_GB2312"/>
          <w:color w:val="000000"/>
          <w:sz w:val="32"/>
          <w:szCs w:val="32"/>
          <w:lang w:eastAsia="zh-CN"/>
        </w:rPr>
        <w:t>机关事业单位职业年金缴费支出（</w:t>
      </w:r>
      <w:r>
        <w:rPr>
          <w:rFonts w:hint="eastAsia" w:ascii="仿宋_GB2312" w:eastAsia="仿宋_GB2312"/>
          <w:color w:val="000000"/>
          <w:sz w:val="32"/>
          <w:szCs w:val="32"/>
          <w:lang w:val="en-US" w:eastAsia="zh-CN"/>
        </w:rPr>
        <w:t>06</w:t>
      </w:r>
      <w:r>
        <w:rPr>
          <w:rFonts w:hint="eastAsia" w:ascii="仿宋_GB2312" w:eastAsia="仿宋_GB2312"/>
          <w:color w:val="000000"/>
          <w:sz w:val="32"/>
          <w:szCs w:val="32"/>
          <w:lang w:eastAsia="zh-CN"/>
        </w:rPr>
        <w:t>）</w:t>
      </w:r>
      <w:r>
        <w:rPr>
          <w:rFonts w:hint="eastAsia" w:ascii="仿宋_GB2312" w:eastAsia="仿宋_GB2312"/>
          <w:color w:val="000000"/>
          <w:sz w:val="32"/>
          <w:szCs w:val="32"/>
        </w:rPr>
        <w:t>：指</w:t>
      </w:r>
      <w:r>
        <w:rPr>
          <w:rFonts w:hint="eastAsia" w:ascii="仿宋_GB2312" w:eastAsia="仿宋_GB2312"/>
          <w:color w:val="000000"/>
          <w:sz w:val="32"/>
          <w:szCs w:val="32"/>
          <w:lang w:eastAsia="zh-CN"/>
        </w:rPr>
        <w:t>行政事业单位缴纳本单位职工的职业年金支出。</w:t>
      </w:r>
    </w:p>
    <w:p>
      <w:pPr>
        <w:pStyle w:val="23"/>
        <w:spacing w:line="560" w:lineRule="exact"/>
        <w:ind w:firstLine="640" w:firstLineChars="200"/>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13</w:t>
      </w:r>
      <w:r>
        <w:rPr>
          <w:rFonts w:hint="eastAsia" w:ascii="仿宋_GB2312" w:eastAsia="仿宋_GB2312"/>
          <w:color w:val="000000"/>
          <w:sz w:val="32"/>
          <w:szCs w:val="32"/>
        </w:rPr>
        <w:t>医疗卫生与计划生育（</w:t>
      </w:r>
      <w:r>
        <w:rPr>
          <w:rFonts w:hint="eastAsia" w:ascii="仿宋_GB2312" w:eastAsia="仿宋_GB2312"/>
          <w:color w:val="000000"/>
          <w:sz w:val="32"/>
          <w:szCs w:val="32"/>
          <w:lang w:val="en-US" w:eastAsia="zh-CN"/>
        </w:rPr>
        <w:t>210）行政事业单位医疗</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行政单位医疗</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用于保障行政单位职工基本医疗保险的支出保障</w:t>
      </w:r>
      <w:r>
        <w:rPr>
          <w:rFonts w:hint="eastAsia" w:ascii="仿宋_GB2312" w:eastAsia="仿宋_GB2312"/>
          <w:color w:val="000000"/>
          <w:sz w:val="32"/>
          <w:szCs w:val="32"/>
        </w:rPr>
        <w:t>。</w:t>
      </w:r>
    </w:p>
    <w:p>
      <w:pPr>
        <w:pStyle w:val="23"/>
        <w:spacing w:line="560" w:lineRule="exact"/>
        <w:ind w:firstLine="640" w:firstLineChars="200"/>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14</w:t>
      </w:r>
      <w:r>
        <w:rPr>
          <w:rFonts w:hint="eastAsia" w:ascii="仿宋_GB2312" w:eastAsia="仿宋_GB2312"/>
          <w:color w:val="000000"/>
          <w:sz w:val="32"/>
          <w:szCs w:val="32"/>
        </w:rPr>
        <w:t>医疗卫生与计划生育（</w:t>
      </w:r>
      <w:r>
        <w:rPr>
          <w:rFonts w:hint="eastAsia" w:ascii="仿宋_GB2312" w:eastAsia="仿宋_GB2312"/>
          <w:color w:val="000000"/>
          <w:sz w:val="32"/>
          <w:szCs w:val="32"/>
          <w:lang w:val="en-US" w:eastAsia="zh-CN"/>
        </w:rPr>
        <w:t>210）行政事业单位医疗</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w:t>
      </w:r>
      <w:r>
        <w:rPr>
          <w:rFonts w:hint="eastAsia" w:ascii="仿宋_GB2312" w:eastAsia="仿宋_GB2312"/>
          <w:color w:val="000000"/>
          <w:sz w:val="32"/>
          <w:szCs w:val="32"/>
          <w:lang w:eastAsia="zh-CN"/>
        </w:rPr>
        <w:t>事业单位医疗</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）：指</w:t>
      </w:r>
      <w:r>
        <w:rPr>
          <w:rFonts w:hint="eastAsia" w:ascii="仿宋_GB2312" w:eastAsia="仿宋_GB2312"/>
          <w:color w:val="000000"/>
          <w:sz w:val="32"/>
          <w:szCs w:val="32"/>
          <w:lang w:eastAsia="zh-CN"/>
        </w:rPr>
        <w:t>用于保障事业单位职工基本医疗保险的支出保障</w:t>
      </w:r>
      <w:r>
        <w:rPr>
          <w:rFonts w:hint="eastAsia" w:ascii="仿宋_GB2312" w:eastAsia="仿宋_GB2312"/>
          <w:color w:val="000000"/>
          <w:sz w:val="32"/>
          <w:szCs w:val="32"/>
        </w:rPr>
        <w:t>。</w:t>
      </w:r>
    </w:p>
    <w:p>
      <w:pPr>
        <w:pStyle w:val="23"/>
        <w:spacing w:line="56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14</w:t>
      </w:r>
      <w:r>
        <w:rPr>
          <w:rFonts w:hint="eastAsia" w:ascii="仿宋_GB2312" w:eastAsia="仿宋_GB2312"/>
          <w:color w:val="000000"/>
          <w:sz w:val="32"/>
          <w:szCs w:val="32"/>
        </w:rPr>
        <w:t>医疗卫生与计划生育（</w:t>
      </w:r>
      <w:r>
        <w:rPr>
          <w:rFonts w:hint="eastAsia" w:ascii="仿宋_GB2312" w:eastAsia="仿宋_GB2312"/>
          <w:color w:val="000000"/>
          <w:sz w:val="32"/>
          <w:szCs w:val="32"/>
          <w:lang w:val="en-US" w:eastAsia="zh-CN"/>
        </w:rPr>
        <w:t>210）行政事业单位医疗</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w:t>
      </w:r>
      <w:r>
        <w:rPr>
          <w:rFonts w:hint="eastAsia" w:ascii="仿宋_GB2312" w:eastAsia="仿宋_GB2312"/>
          <w:color w:val="000000"/>
          <w:sz w:val="32"/>
          <w:szCs w:val="32"/>
          <w:lang w:eastAsia="zh-CN"/>
        </w:rPr>
        <w:t>公务员医疗补助</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）：指</w:t>
      </w:r>
      <w:r>
        <w:rPr>
          <w:rFonts w:hint="eastAsia" w:ascii="仿宋_GB2312" w:eastAsia="仿宋_GB2312"/>
          <w:color w:val="000000"/>
          <w:sz w:val="32"/>
          <w:szCs w:val="32"/>
          <w:lang w:eastAsia="zh-CN"/>
        </w:rPr>
        <w:t>用于保障行政事业单位职工的公务员补助支出保障。</w:t>
      </w:r>
    </w:p>
    <w:p>
      <w:pPr>
        <w:pStyle w:val="23"/>
        <w:spacing w:line="56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15</w:t>
      </w:r>
      <w:r>
        <w:rPr>
          <w:rFonts w:hint="eastAsia" w:ascii="仿宋_GB2312" w:eastAsia="仿宋_GB2312"/>
          <w:color w:val="000000"/>
          <w:sz w:val="32"/>
          <w:szCs w:val="32"/>
        </w:rPr>
        <w:t>住房保障（</w:t>
      </w:r>
      <w:r>
        <w:rPr>
          <w:rFonts w:hint="eastAsia" w:ascii="仿宋_GB2312" w:eastAsia="仿宋_GB2312"/>
          <w:color w:val="000000"/>
          <w:sz w:val="32"/>
          <w:szCs w:val="32"/>
          <w:lang w:val="en-US" w:eastAsia="zh-CN"/>
        </w:rPr>
        <w:t>221）城乡社区住宅</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w:t>
      </w:r>
      <w:r>
        <w:rPr>
          <w:rFonts w:hint="eastAsia" w:ascii="仿宋_GB2312" w:eastAsia="仿宋_GB2312"/>
          <w:color w:val="000000"/>
          <w:sz w:val="32"/>
          <w:szCs w:val="32"/>
          <w:lang w:eastAsia="zh-CN"/>
        </w:rPr>
        <w:t>住房公积金管理</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保障行政事业单位职工的住房公积支出。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18</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19</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640" w:firstLineChars="200"/>
        <w:rPr>
          <w:rFonts w:hint="eastAsia" w:ascii="仿宋_GB2312" w:eastAsia="仿宋_GB2312"/>
          <w:sz w:val="32"/>
          <w:szCs w:val="32"/>
        </w:rPr>
      </w:pPr>
      <w:r>
        <w:rPr>
          <w:rFonts w:hint="eastAsia" w:ascii="仿宋_GB2312" w:eastAsia="仿宋_GB2312"/>
          <w:sz w:val="32"/>
          <w:szCs w:val="32"/>
          <w:lang w:val="en-US" w:eastAsia="zh-CN"/>
        </w:rPr>
        <w:t>20</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21</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22</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23</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24</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3"/>
        <w:spacing w:line="560" w:lineRule="exact"/>
        <w:ind w:firstLine="640" w:firstLineChars="200"/>
        <w:rPr>
          <w:rFonts w:hint="eastAsia" w:ascii="仿宋_GB2312" w:eastAsia="仿宋_GB2312"/>
          <w:sz w:val="32"/>
          <w:szCs w:val="32"/>
        </w:rPr>
      </w:pPr>
    </w:p>
    <w:p>
      <w:pPr>
        <w:pStyle w:val="23"/>
        <w:spacing w:line="560" w:lineRule="exact"/>
        <w:ind w:firstLine="640" w:firstLineChars="200"/>
        <w:rPr>
          <w:rFonts w:hint="eastAsia" w:ascii="仿宋_GB2312" w:eastAsia="仿宋_GB2312"/>
          <w:sz w:val="32"/>
          <w:szCs w:val="32"/>
        </w:rPr>
      </w:pPr>
    </w:p>
    <w:p>
      <w:pPr>
        <w:pStyle w:val="23"/>
        <w:spacing w:line="560" w:lineRule="exact"/>
        <w:ind w:firstLine="640" w:firstLineChars="200"/>
        <w:rPr>
          <w:rFonts w:hint="eastAsia" w:ascii="仿宋_GB2312" w:eastAsia="仿宋_GB2312"/>
          <w:sz w:val="32"/>
          <w:szCs w:val="32"/>
        </w:rPr>
      </w:pPr>
    </w:p>
    <w:p>
      <w:pPr>
        <w:pStyle w:val="23"/>
        <w:spacing w:line="560" w:lineRule="exact"/>
        <w:ind w:firstLine="640" w:firstLineChars="200"/>
        <w:rPr>
          <w:rFonts w:hint="eastAsia" w:ascii="仿宋_GB2312" w:eastAsia="仿宋_GB2312"/>
          <w:sz w:val="32"/>
          <w:szCs w:val="32"/>
        </w:rPr>
      </w:pPr>
    </w:p>
    <w:p>
      <w:pPr>
        <w:pStyle w:val="23"/>
        <w:spacing w:line="560" w:lineRule="exact"/>
        <w:ind w:firstLine="640" w:firstLineChars="200"/>
        <w:rPr>
          <w:rFonts w:hint="eastAsia" w:ascii="仿宋_GB2312" w:eastAsia="仿宋_GB2312"/>
          <w:sz w:val="32"/>
          <w:szCs w:val="32"/>
        </w:rPr>
      </w:pPr>
    </w:p>
    <w:p>
      <w:pPr>
        <w:pStyle w:val="23"/>
        <w:spacing w:line="560" w:lineRule="exact"/>
        <w:ind w:firstLine="640" w:firstLineChars="200"/>
        <w:rPr>
          <w:rFonts w:hint="eastAsia" w:ascii="仿宋_GB2312" w:eastAsia="仿宋_GB2312"/>
          <w:sz w:val="32"/>
          <w:szCs w:val="32"/>
        </w:rPr>
      </w:pPr>
    </w:p>
    <w:p>
      <w:pPr>
        <w:pStyle w:val="23"/>
        <w:spacing w:line="560" w:lineRule="exact"/>
        <w:ind w:firstLine="640" w:firstLineChars="200"/>
        <w:rPr>
          <w:rFonts w:hint="eastAsia" w:ascii="仿宋_GB2312" w:eastAsia="仿宋_GB2312"/>
          <w:sz w:val="32"/>
          <w:szCs w:val="32"/>
        </w:rPr>
      </w:pPr>
    </w:p>
    <w:p>
      <w:pPr>
        <w:pStyle w:val="23"/>
        <w:spacing w:line="560" w:lineRule="exact"/>
        <w:ind w:firstLine="640" w:firstLineChars="200"/>
        <w:rPr>
          <w:rFonts w:hint="eastAsia" w:ascii="仿宋_GB2312" w:eastAsia="仿宋_GB2312"/>
          <w:sz w:val="32"/>
          <w:szCs w:val="32"/>
        </w:rPr>
      </w:pPr>
    </w:p>
    <w:p>
      <w:pPr>
        <w:pStyle w:val="23"/>
        <w:spacing w:line="560" w:lineRule="exact"/>
        <w:ind w:firstLine="640" w:firstLineChars="200"/>
        <w:rPr>
          <w:rFonts w:hint="eastAsia" w:ascii="仿宋_GB2312" w:eastAsia="仿宋_GB2312"/>
          <w:sz w:val="32"/>
          <w:szCs w:val="32"/>
        </w:rPr>
      </w:pPr>
    </w:p>
    <w:p>
      <w:pPr>
        <w:pStyle w:val="23"/>
        <w:spacing w:line="560" w:lineRule="exact"/>
        <w:ind w:firstLine="640" w:firstLineChars="200"/>
        <w:rPr>
          <w:rFonts w:hint="eastAsia" w:ascii="仿宋_GB2312" w:eastAsia="仿宋_GB2312"/>
          <w:sz w:val="32"/>
          <w:szCs w:val="32"/>
        </w:rPr>
      </w:pPr>
    </w:p>
    <w:p>
      <w:pPr>
        <w:pStyle w:val="23"/>
        <w:spacing w:line="560" w:lineRule="exact"/>
        <w:ind w:firstLine="640" w:firstLineChars="200"/>
        <w:rPr>
          <w:rFonts w:hint="eastAsia" w:ascii="仿宋_GB2312" w:eastAsia="仿宋_GB2312"/>
          <w:sz w:val="32"/>
          <w:szCs w:val="32"/>
        </w:rPr>
      </w:pPr>
    </w:p>
    <w:p>
      <w:pPr>
        <w:spacing w:line="600" w:lineRule="exact"/>
        <w:jc w:val="center"/>
        <w:outlineLvl w:val="0"/>
        <w:rPr>
          <w:rStyle w:val="25"/>
          <w:rFonts w:ascii="黑体" w:hAnsi="黑体" w:eastAsia="黑体"/>
          <w:b w:val="0"/>
        </w:rPr>
      </w:pPr>
      <w:bookmarkStart w:id="123" w:name="_Toc1868"/>
      <w:bookmarkStart w:id="124" w:name="_Toc7427"/>
      <w:bookmarkStart w:id="125" w:name="_Toc15396614"/>
      <w:bookmarkStart w:id="126" w:name="_Toc15377226"/>
      <w:r>
        <w:rPr>
          <w:rFonts w:hint="eastAsia" w:ascii="黑体" w:hAnsi="黑体" w:eastAsia="黑体"/>
          <w:color w:val="000000"/>
          <w:sz w:val="44"/>
          <w:szCs w:val="44"/>
        </w:rPr>
        <w:t>第</w:t>
      </w:r>
      <w:r>
        <w:rPr>
          <w:rStyle w:val="25"/>
          <w:rFonts w:hint="eastAsia" w:ascii="黑体" w:hAnsi="黑体" w:eastAsia="黑体"/>
          <w:b w:val="0"/>
        </w:rPr>
        <w:t>四部分 附件</w:t>
      </w:r>
      <w:bookmarkEnd w:id="123"/>
      <w:bookmarkEnd w:id="124"/>
      <w:bookmarkEnd w:id="125"/>
    </w:p>
    <w:p>
      <w:pPr>
        <w:spacing w:line="600" w:lineRule="exact"/>
        <w:jc w:val="left"/>
        <w:outlineLvl w:val="1"/>
        <w:rPr>
          <w:rFonts w:ascii="方正小标宋简体" w:hAnsi="方正小标宋简体" w:eastAsia="方正小标宋简体" w:cs="方正小标宋简体"/>
          <w:sz w:val="32"/>
          <w:szCs w:val="32"/>
        </w:rPr>
      </w:pPr>
      <w:bookmarkStart w:id="127" w:name="_Toc12640"/>
      <w:bookmarkStart w:id="128" w:name="_Toc7335"/>
      <w:r>
        <w:rPr>
          <w:rFonts w:hint="eastAsia" w:ascii="黑体" w:hAnsi="黑体" w:eastAsia="黑体" w:cs="黑体"/>
          <w:sz w:val="32"/>
          <w:szCs w:val="32"/>
        </w:rPr>
        <w:t>附件1</w:t>
      </w:r>
      <w:bookmarkEnd w:id="127"/>
      <w:bookmarkEnd w:id="128"/>
    </w:p>
    <w:p>
      <w:pPr>
        <w:spacing w:line="580" w:lineRule="exact"/>
        <w:jc w:val="center"/>
        <w:rPr>
          <w:rFonts w:ascii="方正小标宋简体" w:hAnsi="方正小标宋简体" w:eastAsia="方正小标宋简体" w:cs="方正小标宋简体"/>
          <w:sz w:val="44"/>
          <w:szCs w:val="44"/>
        </w:rPr>
      </w:pPr>
    </w:p>
    <w:p>
      <w:pPr>
        <w:spacing w:line="600" w:lineRule="exact"/>
        <w:jc w:val="center"/>
        <w:rPr>
          <w:rFonts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lang w:val="en-US" w:eastAsia="zh-CN"/>
        </w:rPr>
        <w:t>共青团红原县委2</w:t>
      </w:r>
      <w:r>
        <w:rPr>
          <w:rFonts w:ascii="方正小标宋简体" w:hAnsi="宋体" w:eastAsia="方正小标宋简体"/>
          <w:color w:val="000000"/>
          <w:kern w:val="0"/>
          <w:sz w:val="40"/>
          <w:szCs w:val="44"/>
        </w:rPr>
        <w:t>019年</w:t>
      </w:r>
      <w:r>
        <w:rPr>
          <w:rFonts w:hint="eastAsia" w:ascii="方正小标宋简体" w:hAnsi="宋体" w:eastAsia="方正小标宋简体"/>
          <w:color w:val="000000"/>
          <w:kern w:val="0"/>
          <w:sz w:val="40"/>
          <w:szCs w:val="44"/>
          <w:lang w:val="zh-CN"/>
        </w:rPr>
        <w:t>整体支出绩效评价报告</w:t>
      </w:r>
    </w:p>
    <w:p>
      <w:pPr>
        <w:widowControl/>
        <w:spacing w:line="580" w:lineRule="exact"/>
        <w:ind w:firstLine="640" w:firstLineChars="200"/>
        <w:contextualSpacing/>
        <w:jc w:val="center"/>
        <w:rPr>
          <w:rFonts w:ascii="仿宋_GB2312" w:hAnsi="宋体" w:eastAsia="仿宋_GB2312"/>
          <w:sz w:val="32"/>
          <w:szCs w:val="32"/>
          <w:shd w:val="clear" w:color="auto" w:fill="FFFFFF"/>
        </w:rPr>
      </w:pPr>
      <w:r>
        <w:rPr>
          <w:rFonts w:hint="eastAsia" w:ascii="仿宋_GB2312" w:hAnsi="宋体" w:eastAsia="仿宋_GB2312"/>
          <w:sz w:val="32"/>
          <w:szCs w:val="32"/>
          <w:shd w:val="clear" w:color="auto" w:fill="FFFFFF"/>
        </w:rPr>
        <w:t>（报告范围包括机关和下属单位）</w:t>
      </w:r>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（一）机构组成。</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红原县团委是由：中国共产主义红原县青年团委、红原县青少年宫、关工委三部分组成</w:t>
      </w:r>
    </w:p>
    <w:p>
      <w:pPr>
        <w:keepNext w:val="0"/>
        <w:keepLines w:val="0"/>
        <w:widowControl/>
        <w:numPr>
          <w:ilvl w:val="0"/>
          <w:numId w:val="5"/>
        </w:numPr>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机构职能。</w:t>
      </w:r>
    </w:p>
    <w:p>
      <w:pPr>
        <w:pStyle w:val="5"/>
        <w:keepNext w:val="0"/>
        <w:keepLines w:val="0"/>
        <w:pageBreakBefore w:val="0"/>
        <w:numPr>
          <w:ilvl w:val="0"/>
          <w:numId w:val="0"/>
        </w:numPr>
        <w:kinsoku/>
        <w:wordWrap/>
        <w:overflowPunct/>
        <w:topLinePunct w:val="0"/>
        <w:autoSpaceDE/>
        <w:autoSpaceDN/>
        <w:bidi w:val="0"/>
        <w:adjustRightInd w:val="0"/>
        <w:snapToGrid w:val="0"/>
        <w:spacing w:beforeAutospacing="0" w:afterAutospacing="0" w:line="576" w:lineRule="exact"/>
        <w:ind w:leftChars="310" w:right="0" w:rightChars="0"/>
        <w:textAlignment w:val="auto"/>
        <w:outlineLvl w:val="9"/>
        <w:rPr>
          <w:rFonts w:hint="eastAsia" w:ascii="仿宋_GB2312" w:hAnsi="仿宋_GB2312" w:eastAsia="仿宋_GB2312" w:cs="仿宋_GB2312"/>
          <w:bCs/>
          <w:kern w:val="2"/>
          <w:sz w:val="32"/>
          <w:szCs w:val="32"/>
          <w:lang w:val="en-US" w:eastAsia="zh-CN" w:bidi="ar-SA"/>
        </w:rPr>
      </w:pPr>
      <w:r>
        <w:rPr>
          <w:rFonts w:hint="eastAsia" w:hAnsi="仿宋_GB2312" w:cs="仿宋_GB2312"/>
          <w:bCs/>
          <w:kern w:val="2"/>
          <w:sz w:val="32"/>
          <w:szCs w:val="32"/>
          <w:lang w:val="en-US" w:eastAsia="zh-CN" w:bidi="ar-SA"/>
        </w:rPr>
        <w:t>(1)</w:t>
      </w:r>
      <w:r>
        <w:rPr>
          <w:rFonts w:hint="eastAsia" w:ascii="仿宋_GB2312" w:hAnsi="仿宋_GB2312" w:eastAsia="仿宋_GB2312" w:cs="仿宋_GB2312"/>
          <w:bCs/>
          <w:kern w:val="2"/>
          <w:sz w:val="32"/>
          <w:szCs w:val="32"/>
          <w:lang w:val="en-US" w:eastAsia="zh-CN" w:bidi="ar-SA"/>
        </w:rPr>
        <w:t>.行使领导全县共青团工作、领导全县青联和少先队工作的职权，对全县性青年社团组织进行指导和管理。</w:t>
      </w:r>
    </w:p>
    <w:p>
      <w:pPr>
        <w:pStyle w:val="5"/>
        <w:keepNext w:val="0"/>
        <w:keepLines w:val="0"/>
        <w:pageBreakBefore w:val="0"/>
        <w:numPr>
          <w:ilvl w:val="0"/>
          <w:numId w:val="0"/>
        </w:numPr>
        <w:kinsoku/>
        <w:wordWrap/>
        <w:overflowPunct/>
        <w:topLinePunct w:val="0"/>
        <w:autoSpaceDE/>
        <w:autoSpaceDN/>
        <w:bidi w:val="0"/>
        <w:adjustRightInd w:val="0"/>
        <w:snapToGrid w:val="0"/>
        <w:spacing w:beforeAutospacing="0" w:afterAutospacing="0" w:line="576" w:lineRule="exact"/>
        <w:ind w:leftChars="310" w:right="0" w:rightChars="0"/>
        <w:textAlignment w:val="auto"/>
        <w:outlineLvl w:val="9"/>
        <w:rPr>
          <w:rFonts w:hint="eastAsia" w:ascii="仿宋_GB2312" w:hAnsi="仿宋_GB2312" w:eastAsia="仿宋_GB2312" w:cs="仿宋_GB2312"/>
          <w:bCs/>
          <w:kern w:val="2"/>
          <w:sz w:val="32"/>
          <w:szCs w:val="32"/>
          <w:lang w:val="en-US" w:eastAsia="zh-CN" w:bidi="ar-SA"/>
        </w:rPr>
      </w:pPr>
      <w:r>
        <w:rPr>
          <w:rFonts w:hint="eastAsia" w:hAnsi="仿宋_GB2312" w:cs="仿宋_GB2312"/>
          <w:bCs/>
          <w:kern w:val="2"/>
          <w:sz w:val="32"/>
          <w:szCs w:val="32"/>
          <w:lang w:val="en-US" w:eastAsia="zh-CN" w:bidi="ar-SA"/>
        </w:rPr>
        <w:t>(2)</w:t>
      </w:r>
      <w:r>
        <w:rPr>
          <w:rFonts w:hint="eastAsia" w:ascii="仿宋_GB2312" w:hAnsi="仿宋_GB2312" w:eastAsia="仿宋_GB2312" w:cs="仿宋_GB2312"/>
          <w:bCs/>
          <w:kern w:val="2"/>
          <w:sz w:val="32"/>
          <w:szCs w:val="32"/>
          <w:lang w:val="en-US" w:eastAsia="zh-CN" w:bidi="ar-SA"/>
        </w:rPr>
        <w:t>.参与制定我县青少年事业发展规划和青少年工作方针、政策，对我县青少年活动阵地、青少年服务机构建设等进行规划和管理。</w:t>
      </w:r>
    </w:p>
    <w:p>
      <w:pPr>
        <w:pStyle w:val="5"/>
        <w:keepNext w:val="0"/>
        <w:keepLines w:val="0"/>
        <w:pageBreakBefore w:val="0"/>
        <w:numPr>
          <w:ilvl w:val="0"/>
          <w:numId w:val="0"/>
        </w:numPr>
        <w:kinsoku/>
        <w:wordWrap/>
        <w:overflowPunct/>
        <w:topLinePunct w:val="0"/>
        <w:autoSpaceDE/>
        <w:autoSpaceDN/>
        <w:bidi w:val="0"/>
        <w:adjustRightInd w:val="0"/>
        <w:snapToGrid w:val="0"/>
        <w:spacing w:beforeAutospacing="0" w:afterAutospacing="0" w:line="576" w:lineRule="exact"/>
        <w:ind w:leftChars="310" w:right="0" w:rightChars="0"/>
        <w:textAlignment w:val="auto"/>
        <w:outlineLvl w:val="9"/>
        <w:rPr>
          <w:rFonts w:hint="eastAsia" w:ascii="仿宋_GB2312" w:hAnsi="仿宋_GB2312" w:eastAsia="仿宋_GB2312" w:cs="仿宋_GB2312"/>
          <w:bCs/>
          <w:kern w:val="2"/>
          <w:sz w:val="32"/>
          <w:szCs w:val="32"/>
          <w:lang w:val="en-US" w:eastAsia="zh-CN" w:bidi="ar-SA"/>
        </w:rPr>
      </w:pPr>
      <w:r>
        <w:rPr>
          <w:rFonts w:hint="eastAsia" w:hAnsi="仿宋_GB2312" w:cs="仿宋_GB2312"/>
          <w:bCs/>
          <w:kern w:val="2"/>
          <w:sz w:val="32"/>
          <w:szCs w:val="32"/>
          <w:lang w:val="en-US" w:eastAsia="zh-CN" w:bidi="ar-SA"/>
        </w:rPr>
        <w:t>(3)</w:t>
      </w:r>
      <w:r>
        <w:rPr>
          <w:rFonts w:hint="eastAsia" w:ascii="仿宋_GB2312" w:hAnsi="仿宋_GB2312" w:eastAsia="仿宋_GB2312" w:cs="仿宋_GB2312"/>
          <w:bCs/>
          <w:kern w:val="2"/>
          <w:sz w:val="32"/>
          <w:szCs w:val="32"/>
          <w:lang w:val="en-US" w:eastAsia="zh-CN" w:bidi="ar-SA"/>
        </w:rPr>
        <w:t>.调查青年动态和青年工作状况，研究青少年运动，青少年工作理论和思想教育问题，提出相应对策，开展各种活动。</w:t>
      </w:r>
    </w:p>
    <w:p>
      <w:pPr>
        <w:pStyle w:val="5"/>
        <w:keepNext w:val="0"/>
        <w:keepLines w:val="0"/>
        <w:pageBreakBefore w:val="0"/>
        <w:numPr>
          <w:ilvl w:val="0"/>
          <w:numId w:val="0"/>
        </w:numPr>
        <w:kinsoku/>
        <w:wordWrap/>
        <w:overflowPunct/>
        <w:topLinePunct w:val="0"/>
        <w:autoSpaceDE/>
        <w:autoSpaceDN/>
        <w:bidi w:val="0"/>
        <w:adjustRightInd w:val="0"/>
        <w:snapToGrid w:val="0"/>
        <w:spacing w:beforeAutospacing="0" w:afterAutospacing="0" w:line="576" w:lineRule="exact"/>
        <w:ind w:leftChars="310" w:right="0" w:rightChars="0"/>
        <w:textAlignment w:val="auto"/>
        <w:outlineLvl w:val="9"/>
        <w:rPr>
          <w:rFonts w:hint="eastAsia" w:ascii="仿宋_GB2312" w:hAnsi="仿宋_GB2312" w:eastAsia="仿宋_GB2312" w:cs="仿宋_GB2312"/>
          <w:bCs/>
          <w:kern w:val="2"/>
          <w:sz w:val="32"/>
          <w:szCs w:val="32"/>
          <w:lang w:val="en-US" w:eastAsia="zh-CN" w:bidi="ar-SA"/>
        </w:rPr>
      </w:pPr>
      <w:r>
        <w:rPr>
          <w:rFonts w:hint="eastAsia" w:hAnsi="仿宋_GB2312" w:cs="仿宋_GB2312"/>
          <w:bCs/>
          <w:kern w:val="2"/>
          <w:sz w:val="32"/>
          <w:szCs w:val="32"/>
          <w:lang w:val="en-US" w:eastAsia="zh-CN" w:bidi="ar-SA"/>
        </w:rPr>
        <w:t>(4)</w:t>
      </w:r>
      <w:r>
        <w:rPr>
          <w:rFonts w:hint="eastAsia" w:ascii="仿宋_GB2312" w:hAnsi="仿宋_GB2312" w:eastAsia="仿宋_GB2312" w:cs="仿宋_GB2312"/>
          <w:bCs/>
          <w:kern w:val="2"/>
          <w:sz w:val="32"/>
          <w:szCs w:val="32"/>
          <w:lang w:val="en-US" w:eastAsia="zh-CN" w:bidi="ar-SA"/>
        </w:rPr>
        <w:t>.协助政府教育部门，做好中、小学生的教育管理工作，维持学校稳定和社会安定团结。</w:t>
      </w:r>
    </w:p>
    <w:p>
      <w:pPr>
        <w:pStyle w:val="5"/>
        <w:keepNext w:val="0"/>
        <w:keepLines w:val="0"/>
        <w:pageBreakBefore w:val="0"/>
        <w:numPr>
          <w:ilvl w:val="0"/>
          <w:numId w:val="0"/>
        </w:numPr>
        <w:kinsoku/>
        <w:wordWrap/>
        <w:overflowPunct/>
        <w:topLinePunct w:val="0"/>
        <w:autoSpaceDE/>
        <w:autoSpaceDN/>
        <w:bidi w:val="0"/>
        <w:adjustRightInd w:val="0"/>
        <w:snapToGrid w:val="0"/>
        <w:spacing w:beforeAutospacing="0" w:afterAutospacing="0" w:line="576" w:lineRule="exact"/>
        <w:ind w:leftChars="310" w:right="0" w:rightChars="0"/>
        <w:textAlignment w:val="auto"/>
        <w:outlineLvl w:val="9"/>
        <w:rPr>
          <w:rFonts w:hint="eastAsia" w:ascii="仿宋_GB2312" w:hAnsi="仿宋_GB2312" w:eastAsia="仿宋_GB2312" w:cs="仿宋_GB2312"/>
          <w:bCs/>
          <w:kern w:val="2"/>
          <w:sz w:val="32"/>
          <w:szCs w:val="32"/>
          <w:lang w:val="en-US" w:eastAsia="zh-CN" w:bidi="ar-SA"/>
        </w:rPr>
      </w:pPr>
      <w:r>
        <w:rPr>
          <w:rFonts w:hint="eastAsia" w:hAnsi="仿宋_GB2312" w:cs="仿宋_GB2312"/>
          <w:bCs/>
          <w:kern w:val="2"/>
          <w:sz w:val="32"/>
          <w:szCs w:val="32"/>
          <w:lang w:val="en-US" w:eastAsia="zh-CN" w:bidi="ar-SA"/>
        </w:rPr>
        <w:t>(5)</w:t>
      </w:r>
      <w:r>
        <w:rPr>
          <w:rFonts w:hint="eastAsia" w:ascii="仿宋_GB2312" w:hAnsi="仿宋_GB2312" w:eastAsia="仿宋_GB2312" w:cs="仿宋_GB2312"/>
          <w:bCs/>
          <w:kern w:val="2"/>
          <w:sz w:val="32"/>
          <w:szCs w:val="32"/>
          <w:lang w:val="en-US" w:eastAsia="zh-CN" w:bidi="ar-SA"/>
        </w:rPr>
        <w:t>.在经济建设中，组织和带领青年发挥生力军和突击队作用。</w:t>
      </w:r>
    </w:p>
    <w:p>
      <w:pPr>
        <w:pStyle w:val="5"/>
        <w:keepNext w:val="0"/>
        <w:keepLines w:val="0"/>
        <w:pageBreakBefore w:val="0"/>
        <w:numPr>
          <w:ilvl w:val="0"/>
          <w:numId w:val="0"/>
        </w:numPr>
        <w:kinsoku/>
        <w:wordWrap/>
        <w:overflowPunct/>
        <w:topLinePunct w:val="0"/>
        <w:autoSpaceDE/>
        <w:autoSpaceDN/>
        <w:bidi w:val="0"/>
        <w:adjustRightInd w:val="0"/>
        <w:snapToGrid w:val="0"/>
        <w:spacing w:beforeAutospacing="0" w:afterAutospacing="0" w:line="576" w:lineRule="exact"/>
        <w:ind w:right="0" w:rightChars="0" w:firstLine="640" w:firstLineChars="200"/>
        <w:textAlignment w:val="auto"/>
        <w:outlineLvl w:val="9"/>
        <w:rPr>
          <w:rFonts w:hint="eastAsia" w:ascii="仿宋_GB2312" w:hAnsi="仿宋_GB2312" w:eastAsia="仿宋_GB2312" w:cs="仿宋_GB2312"/>
          <w:bCs/>
          <w:kern w:val="2"/>
          <w:sz w:val="32"/>
          <w:szCs w:val="32"/>
          <w:lang w:val="en-US" w:eastAsia="zh-CN" w:bidi="ar-SA"/>
        </w:rPr>
      </w:pPr>
      <w:r>
        <w:rPr>
          <w:rFonts w:hint="eastAsia" w:hAnsi="仿宋_GB2312" w:cs="仿宋_GB2312"/>
          <w:bCs/>
          <w:kern w:val="2"/>
          <w:sz w:val="32"/>
          <w:szCs w:val="32"/>
          <w:lang w:val="en-US" w:eastAsia="zh-CN" w:bidi="ar-SA"/>
        </w:rPr>
        <w:t>(6)</w:t>
      </w:r>
      <w:r>
        <w:rPr>
          <w:rFonts w:hint="eastAsia" w:ascii="仿宋_GB2312" w:hAnsi="仿宋_GB2312" w:eastAsia="仿宋_GB2312" w:cs="仿宋_GB2312"/>
          <w:bCs/>
          <w:kern w:val="2"/>
          <w:sz w:val="32"/>
          <w:szCs w:val="32"/>
          <w:lang w:val="en-US" w:eastAsia="zh-CN" w:bidi="ar-SA"/>
        </w:rPr>
        <w:t>.会同有关部门对全县青少年外事工作进行归口管理和提供服务。</w:t>
      </w:r>
    </w:p>
    <w:p>
      <w:pPr>
        <w:pStyle w:val="5"/>
        <w:keepNext w:val="0"/>
        <w:keepLines w:val="0"/>
        <w:pageBreakBefore w:val="0"/>
        <w:numPr>
          <w:ilvl w:val="0"/>
          <w:numId w:val="0"/>
        </w:numPr>
        <w:kinsoku/>
        <w:wordWrap/>
        <w:overflowPunct/>
        <w:topLinePunct w:val="0"/>
        <w:autoSpaceDE/>
        <w:autoSpaceDN/>
        <w:bidi w:val="0"/>
        <w:adjustRightInd w:val="0"/>
        <w:snapToGrid w:val="0"/>
        <w:spacing w:beforeAutospacing="0" w:afterAutospacing="0" w:line="576" w:lineRule="exact"/>
        <w:ind w:leftChars="310" w:right="0" w:rightChars="0"/>
        <w:textAlignment w:val="auto"/>
        <w:outlineLvl w:val="9"/>
        <w:rPr>
          <w:rFonts w:hint="eastAsia" w:ascii="仿宋_GB2312" w:hAnsi="仿宋_GB2312" w:eastAsia="仿宋_GB2312" w:cs="仿宋_GB2312"/>
          <w:bCs/>
          <w:kern w:val="2"/>
          <w:sz w:val="32"/>
          <w:szCs w:val="32"/>
          <w:lang w:val="en-US" w:eastAsia="zh-CN" w:bidi="ar-SA"/>
        </w:rPr>
      </w:pPr>
      <w:r>
        <w:rPr>
          <w:rFonts w:hint="eastAsia" w:hAnsi="仿宋_GB2312" w:cs="仿宋_GB2312"/>
          <w:bCs/>
          <w:kern w:val="2"/>
          <w:sz w:val="32"/>
          <w:szCs w:val="32"/>
          <w:lang w:val="en-US" w:eastAsia="zh-CN" w:bidi="ar-SA"/>
        </w:rPr>
        <w:t>(7)</w:t>
      </w:r>
      <w:r>
        <w:rPr>
          <w:rFonts w:hint="eastAsia" w:ascii="仿宋_GB2312" w:hAnsi="仿宋_GB2312" w:eastAsia="仿宋_GB2312" w:cs="仿宋_GB2312"/>
          <w:bCs/>
          <w:kern w:val="2"/>
          <w:sz w:val="32"/>
          <w:szCs w:val="32"/>
          <w:lang w:val="en-US" w:eastAsia="zh-CN" w:bidi="ar-SA"/>
        </w:rPr>
        <w:t>.做好我县青年统战对象和团结教育工作，维护、促进祖国统一和民族团结。</w:t>
      </w:r>
    </w:p>
    <w:p>
      <w:pPr>
        <w:pStyle w:val="5"/>
        <w:keepNext w:val="0"/>
        <w:keepLines w:val="0"/>
        <w:pageBreakBefore w:val="0"/>
        <w:numPr>
          <w:ilvl w:val="0"/>
          <w:numId w:val="0"/>
        </w:numPr>
        <w:kinsoku/>
        <w:wordWrap/>
        <w:overflowPunct/>
        <w:topLinePunct w:val="0"/>
        <w:autoSpaceDE/>
        <w:autoSpaceDN/>
        <w:bidi w:val="0"/>
        <w:adjustRightInd w:val="0"/>
        <w:snapToGrid w:val="0"/>
        <w:spacing w:beforeAutospacing="0" w:afterAutospacing="0" w:line="576" w:lineRule="exact"/>
        <w:ind w:leftChars="310" w:right="0" w:rightChars="0"/>
        <w:textAlignment w:val="auto"/>
        <w:outlineLvl w:val="9"/>
        <w:rPr>
          <w:rFonts w:hint="eastAsia" w:ascii="仿宋" w:hAnsi="仿宋" w:eastAsia="仿宋"/>
          <w:bCs/>
          <w:color w:val="000000"/>
          <w:sz w:val="32"/>
          <w:szCs w:val="32"/>
        </w:rPr>
      </w:pPr>
      <w:r>
        <w:rPr>
          <w:rFonts w:hint="eastAsia" w:hAnsi="仿宋_GB2312" w:cs="仿宋_GB2312"/>
          <w:bCs/>
          <w:kern w:val="2"/>
          <w:sz w:val="32"/>
          <w:szCs w:val="32"/>
          <w:lang w:val="en-US" w:eastAsia="zh-CN" w:bidi="ar-SA"/>
        </w:rPr>
        <w:t>(8)</w:t>
      </w:r>
      <w:r>
        <w:rPr>
          <w:rFonts w:hint="eastAsia" w:ascii="仿宋_GB2312" w:hAnsi="仿宋_GB2312" w:eastAsia="仿宋_GB2312" w:cs="仿宋_GB2312"/>
          <w:bCs/>
          <w:kern w:val="2"/>
          <w:sz w:val="32"/>
          <w:szCs w:val="32"/>
          <w:lang w:val="en-US" w:eastAsia="zh-CN" w:bidi="ar-SA"/>
        </w:rPr>
        <w:t>.承担中共红原县委、红原县人民政府和共青团阿坝州委交办的有关事项。</w:t>
      </w:r>
    </w:p>
    <w:p>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eastAsia" w:ascii="仿宋_GB2312" w:hAnsi="宋体" w:eastAsia="仿宋_GB2312" w:cs="宋体"/>
          <w:color w:val="000000"/>
          <w:kern w:val="0"/>
          <w:sz w:val="32"/>
          <w:szCs w:val="24"/>
          <w:lang w:val="zh-CN" w:eastAsia="zh-CN" w:bidi="ar"/>
        </w:rPr>
      </w:pPr>
    </w:p>
    <w:p>
      <w:pPr>
        <w:keepNext w:val="0"/>
        <w:keepLines w:val="0"/>
        <w:widowControl/>
        <w:numPr>
          <w:ilvl w:val="0"/>
          <w:numId w:val="5"/>
        </w:numPr>
        <w:suppressLineNumbers w:val="0"/>
        <w:adjustRightInd w:val="0"/>
        <w:snapToGrid w:val="0"/>
        <w:spacing w:before="0" w:beforeAutospacing="0" w:after="0" w:afterAutospacing="0" w:line="480" w:lineRule="exact"/>
        <w:ind w:left="0" w:leftChars="0" w:right="0" w:firstLine="720" w:firstLineChars="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人员概况。</w:t>
      </w:r>
    </w:p>
    <w:p>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default" w:ascii="仿宋_GB2312" w:hAnsi="宋体" w:eastAsia="仿宋_GB2312" w:cs="宋体"/>
          <w:color w:val="000000"/>
          <w:kern w:val="0"/>
          <w:sz w:val="32"/>
          <w:szCs w:val="24"/>
          <w:lang w:val="en-US" w:eastAsia="zh-CN" w:bidi="ar"/>
        </w:rPr>
      </w:pPr>
      <w:r>
        <w:rPr>
          <w:rFonts w:hint="eastAsia" w:ascii="仿宋_GB2312" w:hAnsi="宋体" w:eastAsia="仿宋_GB2312" w:cs="宋体"/>
          <w:color w:val="000000"/>
          <w:kern w:val="0"/>
          <w:sz w:val="32"/>
          <w:szCs w:val="24"/>
          <w:lang w:val="zh-CN" w:eastAsia="zh-CN" w:bidi="ar"/>
        </w:rPr>
        <w:t>红原县团委现就公务员编制</w:t>
      </w:r>
      <w:r>
        <w:rPr>
          <w:rFonts w:hint="eastAsia" w:ascii="仿宋_GB2312" w:hAnsi="宋体" w:eastAsia="仿宋_GB2312" w:cs="宋体"/>
          <w:color w:val="000000"/>
          <w:kern w:val="0"/>
          <w:sz w:val="32"/>
          <w:szCs w:val="24"/>
          <w:lang w:val="en-US" w:eastAsia="zh-CN" w:bidi="ar"/>
        </w:rPr>
        <w:t>3人，事业编制6人，西部计划志愿者2人。</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lang w:val="en-US"/>
        </w:rPr>
      </w:pPr>
      <w:r>
        <w:rPr>
          <w:rFonts w:hint="eastAsia" w:ascii="黑体" w:hAnsi="宋体" w:eastAsia="黑体" w:cs="宋体"/>
          <w:color w:val="000000"/>
          <w:kern w:val="0"/>
          <w:sz w:val="32"/>
          <w:szCs w:val="24"/>
          <w:lang w:val="en-US" w:eastAsia="zh-CN" w:bidi="ar"/>
        </w:rPr>
        <w:t>二、部门财政资金收支情况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（一）部门财政资金收入情况。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default" w:ascii="仿宋_GB2312" w:hAnsi="宋体" w:eastAsia="仿宋_GB2312" w:cs="宋体"/>
          <w:color w:val="000000"/>
          <w:kern w:val="0"/>
          <w:sz w:val="32"/>
          <w:szCs w:val="24"/>
          <w:lang w:val="en-US" w:eastAsia="zh-CN" w:bidi="ar"/>
        </w:rPr>
      </w:pPr>
      <w:r>
        <w:rPr>
          <w:rFonts w:hint="eastAsia" w:ascii="仿宋_GB2312" w:hAnsi="宋体" w:eastAsia="仿宋_GB2312" w:cs="宋体"/>
          <w:color w:val="000000"/>
          <w:kern w:val="0"/>
          <w:sz w:val="32"/>
          <w:szCs w:val="24"/>
          <w:lang w:val="zh-CN" w:eastAsia="zh-CN" w:bidi="ar"/>
        </w:rPr>
        <w:t>本单位本年收入总计</w:t>
      </w:r>
      <w:r>
        <w:rPr>
          <w:rFonts w:hint="eastAsia" w:ascii="仿宋_GB2312" w:hAnsi="宋体" w:eastAsia="仿宋_GB2312" w:cs="宋体"/>
          <w:color w:val="000000"/>
          <w:kern w:val="0"/>
          <w:sz w:val="32"/>
          <w:szCs w:val="24"/>
          <w:lang w:val="en-US" w:eastAsia="zh-CN" w:bidi="ar"/>
        </w:rPr>
        <w:t>217.42万元，其中一般财政拨款收入189.59万元，占87%；年初结转结余27.83万元，占13%。</w:t>
      </w:r>
    </w:p>
    <w:p>
      <w:pPr>
        <w:keepNext w:val="0"/>
        <w:keepLines w:val="0"/>
        <w:widowControl/>
        <w:numPr>
          <w:ilvl w:val="0"/>
          <w:numId w:val="5"/>
        </w:numPr>
        <w:suppressLineNumbers w:val="0"/>
        <w:adjustRightInd w:val="0"/>
        <w:snapToGrid w:val="0"/>
        <w:spacing w:before="0" w:beforeAutospacing="0" w:after="0" w:afterAutospacing="0" w:line="480" w:lineRule="exact"/>
        <w:ind w:left="0" w:leftChars="0" w:right="0" w:firstLine="720" w:firstLineChars="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部门财政资金支出情况。</w:t>
      </w:r>
    </w:p>
    <w:p>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eastAsia" w:ascii="仿宋_GB2312" w:hAnsi="宋体" w:eastAsia="仿宋_GB2312" w:cs="宋体"/>
          <w:color w:val="000000"/>
          <w:kern w:val="0"/>
          <w:sz w:val="32"/>
          <w:szCs w:val="24"/>
          <w:lang w:val="en-US" w:eastAsia="zh-CN" w:bidi="ar"/>
        </w:rPr>
      </w:pPr>
      <w:r>
        <w:rPr>
          <w:rFonts w:hint="eastAsia" w:ascii="仿宋_GB2312" w:hAnsi="宋体" w:eastAsia="仿宋_GB2312" w:cs="宋体"/>
          <w:color w:val="000000"/>
          <w:kern w:val="0"/>
          <w:sz w:val="32"/>
          <w:szCs w:val="24"/>
          <w:lang w:val="zh-CN" w:eastAsia="zh-CN" w:bidi="ar"/>
        </w:rPr>
        <w:t>本单位本年费用支出</w:t>
      </w:r>
      <w:r>
        <w:rPr>
          <w:rFonts w:hint="eastAsia" w:ascii="仿宋_GB2312" w:hAnsi="宋体" w:eastAsia="仿宋_GB2312" w:cs="宋体"/>
          <w:color w:val="000000"/>
          <w:kern w:val="0"/>
          <w:sz w:val="32"/>
          <w:szCs w:val="24"/>
          <w:lang w:val="en-US" w:eastAsia="zh-CN" w:bidi="ar"/>
        </w:rPr>
        <w:t>217.42万元，一般公共服务支出162.92万元；年末结转结余2万元；社会保障和就业支出19.65万元；医疗卫生与计划生育支出7万元；住房保障支出11.35万元；其他支出14.50万元。</w:t>
      </w:r>
    </w:p>
    <w:p>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default" w:ascii="仿宋_GB2312" w:hAnsi="宋体" w:eastAsia="仿宋_GB2312" w:cs="宋体"/>
          <w:color w:val="000000"/>
          <w:kern w:val="0"/>
          <w:sz w:val="32"/>
          <w:szCs w:val="24"/>
          <w:lang w:val="en-US" w:eastAsia="zh-CN" w:bidi="ar"/>
        </w:rPr>
      </w:pP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lang w:val="en-US"/>
        </w:rPr>
      </w:pPr>
      <w:r>
        <w:rPr>
          <w:rFonts w:hint="eastAsia" w:ascii="黑体" w:hAnsi="宋体" w:eastAsia="黑体" w:cs="宋体"/>
          <w:color w:val="000000"/>
          <w:kern w:val="0"/>
          <w:sz w:val="32"/>
          <w:szCs w:val="24"/>
          <w:lang w:val="en-US" w:eastAsia="zh-CN" w:bidi="ar"/>
        </w:rPr>
        <w:t>三、部门财政支出管理情况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color w:val="000000"/>
          <w:kern w:val="0"/>
          <w:sz w:val="32"/>
          <w:szCs w:val="32"/>
          <w:lang w:val="zh-CN" w:eastAsia="zh-CN" w:bidi="ar"/>
        </w:rPr>
        <w:t>（一）预算编制情况。</w:t>
      </w:r>
    </w:p>
    <w:p>
      <w:pPr>
        <w:pStyle w:val="12"/>
        <w:widowControl/>
        <w:spacing w:before="0" w:beforeAutospacing="0" w:after="300" w:afterAutospacing="0" w:line="576" w:lineRule="exact"/>
        <w:ind w:firstLine="640" w:firstLineChars="200"/>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color w:val="212121"/>
          <w:sz w:val="32"/>
          <w:szCs w:val="32"/>
        </w:rPr>
        <w:t>单位不断强化预算意识，实行部门综合预算管理，形成以单位领导支持、财务部门牵头、其他部门密切配合的工作格局，保证预算编制质量。结合</w:t>
      </w:r>
      <w:r>
        <w:rPr>
          <w:rFonts w:hint="eastAsia" w:ascii="仿宋_GB2312" w:hAnsi="仿宋_GB2312" w:eastAsia="仿宋_GB2312" w:cs="仿宋_GB2312"/>
          <w:color w:val="212121"/>
          <w:sz w:val="32"/>
          <w:szCs w:val="32"/>
          <w:lang w:eastAsia="zh-CN"/>
        </w:rPr>
        <w:t>本</w:t>
      </w:r>
      <w:r>
        <w:rPr>
          <w:rFonts w:hint="eastAsia" w:ascii="仿宋_GB2312" w:hAnsi="仿宋_GB2312" w:eastAsia="仿宋_GB2312" w:cs="仿宋_GB2312"/>
          <w:color w:val="212121"/>
          <w:sz w:val="32"/>
          <w:szCs w:val="32"/>
        </w:rPr>
        <w:t>单位业务情况</w:t>
      </w:r>
      <w:r>
        <w:rPr>
          <w:rFonts w:hint="eastAsia" w:ascii="仿宋_GB2312" w:hAnsi="仿宋_GB2312" w:eastAsia="仿宋_GB2312" w:cs="仿宋_GB2312"/>
          <w:color w:val="212121"/>
          <w:sz w:val="32"/>
          <w:szCs w:val="32"/>
          <w:lang w:eastAsia="zh-CN"/>
        </w:rPr>
        <w:t>以及项目活动的开展</w:t>
      </w:r>
      <w:r>
        <w:rPr>
          <w:rFonts w:hint="eastAsia" w:ascii="仿宋_GB2312" w:hAnsi="仿宋_GB2312" w:eastAsia="仿宋_GB2312" w:cs="仿宋_GB2312"/>
          <w:color w:val="212121"/>
          <w:sz w:val="32"/>
          <w:szCs w:val="32"/>
        </w:rPr>
        <w:t>，进行科学合理分配细化，</w:t>
      </w:r>
      <w:r>
        <w:rPr>
          <w:rFonts w:hint="eastAsia" w:ascii="仿宋_GB2312" w:hAnsi="仿宋_GB2312" w:eastAsia="仿宋_GB2312" w:cs="仿宋_GB2312"/>
          <w:color w:val="212121"/>
          <w:sz w:val="32"/>
          <w:szCs w:val="32"/>
          <w:lang w:eastAsia="zh-CN"/>
        </w:rPr>
        <w:t>财务</w:t>
      </w:r>
      <w:r>
        <w:rPr>
          <w:rFonts w:hint="eastAsia" w:ascii="仿宋_GB2312" w:hAnsi="仿宋_GB2312" w:eastAsia="仿宋_GB2312" w:cs="仿宋_GB2312"/>
          <w:color w:val="212121"/>
          <w:sz w:val="32"/>
          <w:szCs w:val="32"/>
        </w:rPr>
        <w:t>部门预算经批复后，跟踪预算执行进度，及时组织收入，科学合理</w:t>
      </w:r>
      <w:r>
        <w:rPr>
          <w:rFonts w:hint="eastAsia" w:ascii="仿宋_GB2312" w:hAnsi="仿宋_GB2312" w:eastAsia="仿宋_GB2312" w:cs="仿宋_GB2312"/>
          <w:color w:val="212121"/>
          <w:sz w:val="32"/>
          <w:szCs w:val="32"/>
          <w:lang w:eastAsia="zh-CN"/>
        </w:rPr>
        <w:t>的</w:t>
      </w:r>
      <w:r>
        <w:rPr>
          <w:rFonts w:hint="eastAsia" w:ascii="仿宋_GB2312" w:hAnsi="仿宋_GB2312" w:eastAsia="仿宋_GB2312" w:cs="仿宋_GB2312"/>
          <w:color w:val="212121"/>
          <w:sz w:val="32"/>
          <w:szCs w:val="32"/>
        </w:rPr>
        <w:t>安排支出，降低预算支出的波动幅度。严格执行项目支出预算，积极组织项目实施，对于达到政府采购标准的项目支出，明确规定采购项目的采购期限，督促尽快组织实施采购计划。加强对预算执行过程的控制和结果的反馈，对预算执行差异</w:t>
      </w:r>
      <w:r>
        <w:rPr>
          <w:rFonts w:hint="eastAsia" w:ascii="仿宋_GB2312" w:hAnsi="仿宋_GB2312" w:eastAsia="仿宋_GB2312" w:cs="仿宋_GB2312"/>
          <w:color w:val="212121"/>
          <w:sz w:val="32"/>
          <w:szCs w:val="32"/>
          <w:lang w:eastAsia="zh-CN"/>
        </w:rPr>
        <w:t>的原因以及分析差异</w:t>
      </w:r>
      <w:r>
        <w:rPr>
          <w:rFonts w:hint="eastAsia" w:ascii="仿宋_GB2312" w:hAnsi="仿宋_GB2312" w:eastAsia="仿宋_GB2312" w:cs="仿宋_GB2312"/>
          <w:color w:val="212121"/>
          <w:sz w:val="32"/>
          <w:szCs w:val="32"/>
        </w:rPr>
        <w:t>和影响，并及时向领导和相关</w:t>
      </w:r>
      <w:r>
        <w:rPr>
          <w:rFonts w:hint="eastAsia" w:ascii="仿宋_GB2312" w:hAnsi="仿宋_GB2312" w:eastAsia="仿宋_GB2312" w:cs="仿宋_GB2312"/>
          <w:color w:val="212121"/>
          <w:sz w:val="32"/>
          <w:szCs w:val="32"/>
          <w:lang w:eastAsia="zh-CN"/>
        </w:rPr>
        <w:t>部门</w:t>
      </w:r>
      <w:r>
        <w:rPr>
          <w:rFonts w:hint="eastAsia" w:ascii="仿宋_GB2312" w:hAnsi="仿宋_GB2312" w:eastAsia="仿宋_GB2312" w:cs="仿宋_GB2312"/>
          <w:color w:val="212121"/>
          <w:sz w:val="32"/>
          <w:szCs w:val="32"/>
        </w:rPr>
        <w:t>进行反馈，以采取措施纠正</w:t>
      </w:r>
      <w:r>
        <w:rPr>
          <w:rFonts w:hint="eastAsia" w:ascii="仿宋_GB2312" w:hAnsi="仿宋_GB2312" w:eastAsia="仿宋_GB2312" w:cs="仿宋_GB2312"/>
          <w:color w:val="212121"/>
          <w:sz w:val="32"/>
          <w:szCs w:val="32"/>
          <w:lang w:eastAsia="zh-CN"/>
        </w:rPr>
        <w:t>预算</w:t>
      </w:r>
      <w:r>
        <w:rPr>
          <w:rFonts w:hint="eastAsia" w:ascii="仿宋_GB2312" w:hAnsi="仿宋_GB2312" w:eastAsia="仿宋_GB2312" w:cs="仿宋_GB2312"/>
          <w:color w:val="212121"/>
          <w:sz w:val="32"/>
          <w:szCs w:val="32"/>
        </w:rPr>
        <w:t>执行偏差，促进预算目标的全面完成。</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000000"/>
          <w:kern w:val="0"/>
          <w:lang w:val="zh-CN" w:eastAsia="zh-CN"/>
        </w:rPr>
      </w:pPr>
      <w:r>
        <w:rPr>
          <w:rFonts w:hint="eastAsia" w:ascii="楷体" w:hAnsi="楷体" w:eastAsia="楷体" w:cs="宋体"/>
          <w:color w:val="000000"/>
          <w:kern w:val="0"/>
          <w:sz w:val="32"/>
          <w:szCs w:val="24"/>
          <w:lang w:val="zh-CN" w:eastAsia="zh-CN" w:bidi="ar"/>
        </w:rPr>
        <w:t>（二）执行管理情况。</w:t>
      </w:r>
      <w:r>
        <w:rPr>
          <w:rFonts w:hint="eastAsia" w:ascii="楷体" w:hAnsi="楷体" w:eastAsia="楷体" w:cs="宋体"/>
          <w:color w:val="000000"/>
          <w:kern w:val="0"/>
          <w:sz w:val="32"/>
          <w:szCs w:val="24"/>
          <w:lang w:val="zh-CN" w:eastAsia="zh-CN" w:bidi="ar"/>
        </w:rPr>
        <w:tab/>
      </w:r>
    </w:p>
    <w:p>
      <w:pPr>
        <w:pStyle w:val="12"/>
        <w:widowControl/>
        <w:spacing w:before="0" w:beforeAutospacing="0" w:after="300" w:afterAutospacing="0" w:line="576" w:lineRule="exact"/>
        <w:ind w:firstLine="640" w:firstLineChars="200"/>
        <w:rPr>
          <w:rFonts w:hint="eastAsia" w:ascii="仿宋_GB2312" w:hAnsi="仿宋_GB2312" w:eastAsia="仿宋_GB2312" w:cs="仿宋_GB2312"/>
          <w:color w:val="212121"/>
          <w:sz w:val="32"/>
          <w:szCs w:val="32"/>
          <w:lang w:eastAsia="zh-CN"/>
        </w:rPr>
      </w:pPr>
      <w:r>
        <w:rPr>
          <w:rFonts w:hint="eastAsia" w:ascii="仿宋_GB2312" w:hAnsi="仿宋_GB2312" w:eastAsia="仿宋_GB2312" w:cs="仿宋_GB2312"/>
          <w:color w:val="212121"/>
          <w:sz w:val="32"/>
          <w:szCs w:val="32"/>
        </w:rPr>
        <w:t>健全完善部门内控制度，全面梳理业务流程，明确业务环节，分析风险隐患，完善风险评估机制，制定风险应对策略;有效运用不相容岗位相互分离、内部授权审批控制、归口管理、预算控制、财产保护控制、会计控制、单据控制、信息内部公开等内部控制基本方法，加强对单位层面和业务层面的内部控制，实现内部控制体系全面、有效实施。建立单位内控监督约束机制</w:t>
      </w:r>
      <w:r>
        <w:rPr>
          <w:rFonts w:hint="eastAsia" w:ascii="仿宋_GB2312" w:hAnsi="仿宋_GB2312" w:eastAsia="仿宋_GB2312" w:cs="仿宋_GB2312"/>
          <w:color w:val="212121"/>
          <w:sz w:val="32"/>
          <w:szCs w:val="32"/>
          <w:lang w:eastAsia="zh-CN"/>
        </w:rPr>
        <w:t>以及“三公”经费的合理使用</w:t>
      </w:r>
      <w:r>
        <w:rPr>
          <w:rFonts w:hint="eastAsia" w:ascii="仿宋_GB2312" w:hAnsi="仿宋_GB2312" w:eastAsia="仿宋_GB2312" w:cs="仿宋_GB2312"/>
          <w:color w:val="212121"/>
          <w:sz w:val="32"/>
          <w:szCs w:val="32"/>
        </w:rPr>
        <w:t>，确保资金安全、合理、有效使用，最大限度发挥财政资金使用效益</w:t>
      </w:r>
      <w:r>
        <w:rPr>
          <w:rFonts w:hint="eastAsia" w:ascii="仿宋_GB2312" w:hAnsi="仿宋_GB2312" w:eastAsia="仿宋_GB2312" w:cs="仿宋_GB2312"/>
          <w:color w:val="212121"/>
          <w:sz w:val="32"/>
          <w:szCs w:val="32"/>
          <w:lang w:eastAsia="zh-CN"/>
        </w:rPr>
        <w:t>。</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000000"/>
          <w:kern w:val="0"/>
          <w:lang w:val="zh-CN" w:eastAsia="zh-CN"/>
        </w:rPr>
      </w:pPr>
      <w:r>
        <w:rPr>
          <w:rFonts w:hint="eastAsia" w:ascii="楷体" w:hAnsi="楷体" w:eastAsia="楷体" w:cs="宋体"/>
          <w:color w:val="000000"/>
          <w:kern w:val="0"/>
          <w:sz w:val="32"/>
          <w:szCs w:val="24"/>
          <w:lang w:val="zh-CN" w:eastAsia="zh-CN" w:bidi="ar"/>
        </w:rPr>
        <w:t>（三）综合管理情况。</w:t>
      </w:r>
    </w:p>
    <w:p>
      <w:pPr>
        <w:pStyle w:val="12"/>
        <w:widowControl/>
        <w:spacing w:before="0" w:beforeAutospacing="0" w:after="300" w:afterAutospacing="0" w:line="576" w:lineRule="exact"/>
        <w:ind w:firstLine="640" w:firstLineChars="200"/>
        <w:rPr>
          <w:rFonts w:hint="eastAsia" w:ascii="仿宋_GB2312" w:hAnsi="仿宋_GB2312" w:eastAsia="仿宋_GB2312" w:cs="仿宋_GB2312"/>
          <w:color w:val="000000"/>
          <w:kern w:val="0"/>
          <w:sz w:val="32"/>
          <w:szCs w:val="24"/>
          <w:lang w:val="zh-CN" w:eastAsia="zh-CN" w:bidi="ar"/>
        </w:rPr>
      </w:pPr>
      <w:r>
        <w:rPr>
          <w:rFonts w:hint="eastAsia" w:ascii="仿宋_GB2312" w:hAnsi="仿宋_GB2312" w:eastAsia="仿宋_GB2312" w:cs="仿宋_GB2312"/>
          <w:color w:val="212121"/>
          <w:sz w:val="32"/>
          <w:szCs w:val="32"/>
        </w:rPr>
        <w:t>一是加强会计核算工作。严格执行现行固定资产管理制度，对新购入的固定资产及时入账，编制固定资产卡片，确保账面上能真实、完整的反映单位的固定资产情况，并结合本单位的实际情况，完善固定资产管理制度。二是加强程序管理。</w:t>
      </w:r>
      <w:r>
        <w:rPr>
          <w:rFonts w:hint="eastAsia" w:ascii="仿宋_GB2312" w:hAnsi="仿宋_GB2312" w:eastAsia="仿宋_GB2312" w:cs="仿宋_GB2312"/>
          <w:color w:val="212121"/>
          <w:sz w:val="32"/>
          <w:szCs w:val="32"/>
          <w:lang w:eastAsia="zh-CN"/>
        </w:rPr>
        <w:t>对红原县团委以下青少年宫和关工委的财政支出做到公开透明。</w:t>
      </w:r>
      <w:r>
        <w:rPr>
          <w:rFonts w:hint="eastAsia" w:ascii="仿宋_GB2312" w:hAnsi="仿宋_GB2312" w:eastAsia="仿宋_GB2312" w:cs="仿宋_GB2312"/>
          <w:color w:val="212121"/>
          <w:sz w:val="32"/>
          <w:szCs w:val="32"/>
        </w:rPr>
        <w:t>对纳入政府采购目录范围内的资产采购，必须报政府采购中心进行政府采购；未纳入政府采购目录范围内的资产采购，采用其他形式采购。未纳入预算的固定资产，不得随意采购，确</w:t>
      </w:r>
      <w:r>
        <w:rPr>
          <w:rFonts w:hint="eastAsia" w:ascii="仿宋_GB2312" w:hAnsi="仿宋_GB2312" w:eastAsia="仿宋_GB2312" w:cs="仿宋_GB2312"/>
          <w:color w:val="212121"/>
          <w:sz w:val="32"/>
          <w:szCs w:val="32"/>
          <w:lang w:eastAsia="zh-CN"/>
        </w:rPr>
        <w:t>定</w:t>
      </w:r>
      <w:r>
        <w:rPr>
          <w:rFonts w:hint="eastAsia" w:ascii="仿宋_GB2312" w:hAnsi="仿宋_GB2312" w:eastAsia="仿宋_GB2312" w:cs="仿宋_GB2312"/>
          <w:color w:val="212121"/>
          <w:sz w:val="32"/>
          <w:szCs w:val="32"/>
        </w:rPr>
        <w:t>需急用，必须经相关部门批准。三是加强内部监督。定期或不定期的对固定资产进行抽查。检查固定资产的购置、领用、处置等程序是否合规，账</w:t>
      </w:r>
      <w:r>
        <w:rPr>
          <w:rFonts w:hint="eastAsia" w:ascii="仿宋_GB2312" w:hAnsi="仿宋_GB2312" w:eastAsia="仿宋_GB2312" w:cs="仿宋_GB2312"/>
          <w:color w:val="212121"/>
          <w:sz w:val="32"/>
          <w:szCs w:val="32"/>
          <w:lang w:eastAsia="zh-CN"/>
        </w:rPr>
        <w:t>本</w:t>
      </w:r>
      <w:r>
        <w:rPr>
          <w:rFonts w:hint="eastAsia" w:ascii="仿宋_GB2312" w:hAnsi="仿宋_GB2312" w:eastAsia="仿宋_GB2312" w:cs="仿宋_GB2312"/>
          <w:color w:val="212121"/>
          <w:sz w:val="32"/>
          <w:szCs w:val="32"/>
        </w:rPr>
        <w:t>是否相符等，防止国有资产的流失。</w:t>
      </w:r>
    </w:p>
    <w:p>
      <w:pPr>
        <w:keepNext w:val="0"/>
        <w:keepLines w:val="0"/>
        <w:widowControl/>
        <w:suppressLineNumbers w:val="0"/>
        <w:adjustRightInd w:val="0"/>
        <w:snapToGrid w:val="0"/>
        <w:spacing w:before="0" w:beforeAutospacing="0" w:after="0" w:afterAutospacing="0" w:line="480" w:lineRule="exact"/>
        <w:ind w:right="0" w:firstLine="320" w:firstLineChars="100"/>
        <w:jc w:val="left"/>
        <w:rPr>
          <w:rFonts w:hint="eastAsia" w:ascii="楷体" w:hAnsi="楷体" w:eastAsia="楷体" w:cs="宋体"/>
          <w:color w:val="000000"/>
          <w:kern w:val="0"/>
          <w:lang w:val="zh-CN" w:eastAsia="zh-CN"/>
        </w:rPr>
      </w:pPr>
      <w:r>
        <w:rPr>
          <w:rFonts w:hint="eastAsia" w:ascii="楷体" w:hAnsi="楷体" w:eastAsia="楷体" w:cs="宋体"/>
          <w:color w:val="000000"/>
          <w:kern w:val="0"/>
          <w:sz w:val="32"/>
          <w:szCs w:val="24"/>
          <w:lang w:val="zh-CN" w:eastAsia="zh-CN" w:bidi="ar"/>
        </w:rPr>
        <w:t>（四）整体绩效。</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300" w:afterAutospacing="0"/>
        <w:ind w:left="0" w:right="0" w:firstLine="420"/>
        <w:jc w:val="left"/>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fill="FFFFFF"/>
          <w:lang w:eastAsia="zh-CN"/>
        </w:rPr>
        <w:t>（</w:t>
      </w:r>
      <w:r>
        <w:rPr>
          <w:rFonts w:hint="eastAsia" w:ascii="仿宋_GB2312" w:hAnsi="仿宋_GB2312" w:eastAsia="仿宋_GB2312" w:cs="仿宋_GB2312"/>
          <w:i w:val="0"/>
          <w:caps w:val="0"/>
          <w:color w:val="333333"/>
          <w:spacing w:val="0"/>
          <w:sz w:val="32"/>
          <w:szCs w:val="32"/>
          <w:shd w:val="clear" w:fill="FAFAFA"/>
        </w:rPr>
        <w:t>一）领导重视，部门牵头，齐抓共管，形成了有力的领导和工作机制。根据工作职责，落实项目管理责任及预算执行责任，明确项目管理主体，认真做好项目实施的准备工作，保障项目实施进度高效有序。</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300" w:afterAutospacing="0"/>
        <w:ind w:left="0" w:right="0" w:firstLine="420"/>
        <w:jc w:val="left"/>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fill="FAFAFA"/>
        </w:rPr>
        <w:t>（二）加强项目资金管理，从资金源头入手，落实责任，完善制度，合理使用，加强监管，要求开展好工作，又严格遵守财经纪律，做好厉行节约工作，确保将有限的资金发挥最大的效益。</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300" w:afterAutospacing="0"/>
        <w:ind w:left="0" w:right="0" w:firstLine="420"/>
        <w:jc w:val="left"/>
        <w:rPr>
          <w:rFonts w:hint="eastAsia" w:ascii="仿宋_GB2312" w:hAnsi="仿宋_GB2312" w:eastAsia="仿宋_GB2312" w:cs="仿宋_GB2312"/>
          <w:i w:val="0"/>
          <w:caps w:val="0"/>
          <w:color w:val="333333"/>
          <w:spacing w:val="0"/>
          <w:sz w:val="32"/>
          <w:szCs w:val="32"/>
          <w:shd w:val="clear" w:fill="FAFAFA"/>
        </w:rPr>
      </w:pPr>
      <w:r>
        <w:rPr>
          <w:rFonts w:hint="eastAsia" w:ascii="仿宋_GB2312" w:hAnsi="仿宋_GB2312" w:eastAsia="仿宋_GB2312" w:cs="仿宋_GB2312"/>
          <w:i w:val="0"/>
          <w:caps w:val="0"/>
          <w:color w:val="333333"/>
          <w:spacing w:val="0"/>
          <w:sz w:val="32"/>
          <w:szCs w:val="32"/>
          <w:shd w:val="clear" w:fill="FAFAFA"/>
        </w:rPr>
        <w:t>（三）加强预算资金管理制度建设。不断修订和完善相关财务管理制度，重视财务管理制度的执行与监督，使资金财务管理制度管理有章可循。</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300" w:afterAutospacing="0"/>
        <w:ind w:left="0" w:right="0" w:firstLine="420"/>
        <w:jc w:val="left"/>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i w:val="0"/>
          <w:caps w:val="0"/>
          <w:color w:val="333333"/>
          <w:spacing w:val="0"/>
          <w:sz w:val="32"/>
          <w:szCs w:val="32"/>
          <w:shd w:val="clear" w:fill="FAFAFA"/>
        </w:rPr>
        <w:t>（四）加强行政单位会计制度和预算法学习培训，规范预算收支管理，严格按项目和进度执行预算，增强预算的约束力和严肃性。 </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lang w:val="en-US"/>
        </w:rPr>
      </w:pPr>
      <w:r>
        <w:rPr>
          <w:rFonts w:hint="eastAsia" w:ascii="黑体" w:hAnsi="宋体" w:eastAsia="黑体" w:cs="宋体"/>
          <w:color w:val="000000"/>
          <w:kern w:val="0"/>
          <w:sz w:val="32"/>
          <w:szCs w:val="24"/>
          <w:lang w:val="en-US" w:eastAsia="zh-CN" w:bidi="ar"/>
        </w:rPr>
        <w:t>四、评价结论及建议</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仿宋_GB2312" w:eastAsia="仿宋_GB2312" w:cs="仿宋_GB2312"/>
          <w:color w:val="000000"/>
          <w:kern w:val="0"/>
          <w:sz w:val="32"/>
          <w:szCs w:val="24"/>
          <w:lang w:val="zh-CN" w:eastAsia="zh-CN" w:bidi="ar"/>
        </w:rPr>
      </w:pPr>
      <w:r>
        <w:rPr>
          <w:rFonts w:hint="eastAsia" w:ascii="仿宋_GB2312" w:hAnsi="仿宋_GB2312" w:eastAsia="仿宋_GB2312" w:cs="仿宋_GB2312"/>
          <w:color w:val="000000"/>
          <w:kern w:val="0"/>
          <w:sz w:val="32"/>
          <w:szCs w:val="24"/>
          <w:lang w:val="zh-CN" w:eastAsia="zh-CN" w:bidi="ar"/>
        </w:rPr>
        <w:t>（一）评价结论。</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仿宋_GB2312" w:eastAsia="仿宋_GB2312" w:cs="仿宋_GB2312"/>
          <w:i w:val="0"/>
          <w:caps w:val="0"/>
          <w:color w:val="333333"/>
          <w:spacing w:val="0"/>
          <w:sz w:val="32"/>
          <w:szCs w:val="32"/>
          <w:shd w:val="clear" w:fill="FFFFFF"/>
          <w:lang w:eastAsia="zh-CN"/>
        </w:rPr>
      </w:pPr>
      <w:r>
        <w:rPr>
          <w:rFonts w:hint="eastAsia" w:ascii="仿宋_GB2312" w:hAnsi="仿宋_GB2312" w:eastAsia="仿宋_GB2312" w:cs="仿宋_GB2312"/>
          <w:i w:val="0"/>
          <w:caps w:val="0"/>
          <w:color w:val="333333"/>
          <w:spacing w:val="0"/>
          <w:sz w:val="32"/>
          <w:szCs w:val="32"/>
          <w:shd w:val="clear" w:fill="FFFFFF"/>
        </w:rPr>
        <w:t>本单位财务管理未发现明显问题，财政资金收支预算符合相关规定，能够严格控制“三公”经费支出</w:t>
      </w:r>
      <w:r>
        <w:rPr>
          <w:rFonts w:hint="eastAsia" w:ascii="仿宋_GB2312" w:hAnsi="仿宋_GB2312" w:eastAsia="仿宋_GB2312" w:cs="仿宋_GB2312"/>
          <w:i w:val="0"/>
          <w:caps w:val="0"/>
          <w:color w:val="333333"/>
          <w:spacing w:val="0"/>
          <w:sz w:val="32"/>
          <w:szCs w:val="32"/>
          <w:shd w:val="clear" w:fill="FFFFFF"/>
          <w:lang w:eastAsia="zh-CN"/>
        </w:rPr>
        <w:t>和一般性公共基础追出</w:t>
      </w:r>
      <w:r>
        <w:rPr>
          <w:rFonts w:hint="eastAsia" w:ascii="仿宋_GB2312" w:hAnsi="仿宋_GB2312" w:eastAsia="仿宋_GB2312" w:cs="仿宋_GB2312"/>
          <w:i w:val="0"/>
          <w:caps w:val="0"/>
          <w:color w:val="333333"/>
          <w:spacing w:val="0"/>
          <w:sz w:val="32"/>
          <w:szCs w:val="32"/>
          <w:shd w:val="clear" w:fill="FFFFFF"/>
        </w:rPr>
        <w:t>，内部控制制度健全完整，执行到位</w:t>
      </w:r>
      <w:r>
        <w:rPr>
          <w:rFonts w:hint="eastAsia" w:ascii="仿宋_GB2312" w:hAnsi="仿宋_GB2312" w:eastAsia="仿宋_GB2312" w:cs="仿宋_GB2312"/>
          <w:i w:val="0"/>
          <w:caps w:val="0"/>
          <w:color w:val="333333"/>
          <w:spacing w:val="0"/>
          <w:sz w:val="32"/>
          <w:szCs w:val="32"/>
          <w:shd w:val="clear" w:fill="FFFFFF"/>
          <w:lang w:eastAsia="zh-CN"/>
        </w:rPr>
        <w:t>。</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仿宋_GB2312" w:eastAsia="仿宋_GB2312" w:cs="仿宋_GB2312"/>
          <w:color w:val="000000"/>
          <w:kern w:val="0"/>
          <w:sz w:val="32"/>
          <w:szCs w:val="24"/>
          <w:lang w:val="zh-CN" w:eastAsia="zh-CN" w:bidi="ar"/>
        </w:rPr>
      </w:pPr>
    </w:p>
    <w:p>
      <w:pPr>
        <w:keepNext w:val="0"/>
        <w:keepLines w:val="0"/>
        <w:widowControl/>
        <w:numPr>
          <w:ilvl w:val="0"/>
          <w:numId w:val="0"/>
        </w:numPr>
        <w:suppressLineNumbers w:val="0"/>
        <w:adjustRightInd w:val="0"/>
        <w:snapToGrid w:val="0"/>
        <w:spacing w:before="0" w:beforeAutospacing="0" w:after="0" w:afterAutospacing="0" w:line="480" w:lineRule="exact"/>
        <w:ind w:leftChars="200" w:right="0" w:rightChars="0" w:firstLine="320" w:firstLineChars="100"/>
        <w:jc w:val="left"/>
        <w:rPr>
          <w:rFonts w:hint="eastAsia" w:ascii="仿宋_GB2312" w:hAnsi="仿宋_GB2312" w:eastAsia="仿宋_GB2312" w:cs="仿宋_GB2312"/>
          <w:color w:val="000000"/>
          <w:kern w:val="0"/>
          <w:sz w:val="32"/>
          <w:szCs w:val="24"/>
          <w:lang w:val="zh-CN" w:eastAsia="zh-CN" w:bidi="ar"/>
        </w:rPr>
      </w:pPr>
      <w:r>
        <w:rPr>
          <w:rFonts w:hint="eastAsia" w:ascii="仿宋_GB2312" w:hAnsi="仿宋_GB2312" w:eastAsia="仿宋_GB2312" w:cs="仿宋_GB2312"/>
          <w:color w:val="000000"/>
          <w:kern w:val="0"/>
          <w:sz w:val="32"/>
          <w:szCs w:val="24"/>
          <w:lang w:val="zh-CN" w:eastAsia="zh-CN" w:bidi="ar"/>
        </w:rPr>
        <w:t>（二）存在问题。</w:t>
      </w:r>
    </w:p>
    <w:p>
      <w:pPr>
        <w:keepNext w:val="0"/>
        <w:keepLines w:val="0"/>
        <w:widowControl/>
        <w:numPr>
          <w:ilvl w:val="0"/>
          <w:numId w:val="0"/>
        </w:numPr>
        <w:suppressLineNumbers w:val="0"/>
        <w:adjustRightInd w:val="0"/>
        <w:snapToGrid w:val="0"/>
        <w:spacing w:before="0" w:beforeAutospacing="0" w:after="0" w:afterAutospacing="0" w:line="480" w:lineRule="exact"/>
        <w:ind w:leftChars="200" w:right="0" w:rightChars="0"/>
        <w:jc w:val="left"/>
        <w:rPr>
          <w:rFonts w:hint="eastAsia" w:ascii="仿宋_GB2312" w:hAnsi="仿宋_GB2312" w:eastAsia="仿宋_GB2312" w:cs="仿宋_GB2312"/>
          <w:color w:val="000000"/>
          <w:kern w:val="0"/>
          <w:sz w:val="32"/>
          <w:szCs w:val="24"/>
          <w:lang w:val="en-US" w:eastAsia="zh-CN" w:bidi="ar"/>
        </w:rPr>
      </w:pPr>
      <w:r>
        <w:rPr>
          <w:rFonts w:hint="eastAsia" w:ascii="仿宋_GB2312" w:hAnsi="仿宋_GB2312" w:eastAsia="仿宋_GB2312" w:cs="仿宋_GB2312"/>
          <w:color w:val="000000"/>
          <w:kern w:val="0"/>
          <w:sz w:val="32"/>
          <w:szCs w:val="24"/>
          <w:lang w:val="en-US" w:eastAsia="zh-CN" w:bidi="ar"/>
        </w:rPr>
        <w:t xml:space="preserve">  本单位国有资产少，规范问题不够严谨。</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仿宋_GB2312" w:eastAsia="仿宋_GB2312" w:cs="仿宋_GB2312"/>
          <w:color w:val="000000"/>
          <w:kern w:val="0"/>
          <w:sz w:val="32"/>
          <w:szCs w:val="24"/>
          <w:lang w:val="zh-CN" w:eastAsia="zh-CN" w:bidi="ar"/>
        </w:rPr>
      </w:pPr>
      <w:r>
        <w:rPr>
          <w:rFonts w:hint="eastAsia" w:ascii="仿宋_GB2312" w:hAnsi="仿宋_GB2312" w:eastAsia="仿宋_GB2312" w:cs="仿宋_GB2312"/>
          <w:color w:val="000000"/>
          <w:kern w:val="0"/>
          <w:sz w:val="32"/>
          <w:szCs w:val="24"/>
          <w:lang w:val="zh-CN" w:eastAsia="zh-CN" w:bidi="ar"/>
        </w:rPr>
        <w:t>（三）改进建议。</w:t>
      </w:r>
    </w:p>
    <w:p>
      <w:pPr>
        <w:keepNext w:val="0"/>
        <w:keepLines w:val="0"/>
        <w:widowControl/>
        <w:numPr>
          <w:ilvl w:val="0"/>
          <w:numId w:val="0"/>
        </w:numPr>
        <w:suppressLineNumbers w:val="0"/>
        <w:adjustRightInd w:val="0"/>
        <w:snapToGrid w:val="0"/>
        <w:spacing w:before="0" w:beforeAutospacing="0" w:after="0" w:afterAutospacing="0" w:line="480" w:lineRule="exact"/>
        <w:ind w:right="0" w:rightChars="0" w:firstLine="640" w:firstLineChars="200"/>
        <w:jc w:val="left"/>
        <w:rPr>
          <w:rStyle w:val="32"/>
          <w:rFonts w:hint="eastAsia" w:ascii="仿宋_GB2312" w:hAnsi="仿宋_GB2312" w:eastAsia="仿宋_GB2312" w:cs="仿宋_GB2312"/>
          <w:b w:val="0"/>
          <w:bCs w:val="0"/>
          <w:sz w:val="32"/>
          <w:szCs w:val="32"/>
        </w:rPr>
      </w:pPr>
      <w:r>
        <w:rPr>
          <w:rFonts w:hint="eastAsia" w:ascii="仿宋_GB2312" w:hAnsi="仿宋_GB2312" w:eastAsia="仿宋_GB2312" w:cs="仿宋_GB2312"/>
          <w:i w:val="0"/>
          <w:caps w:val="0"/>
          <w:color w:val="333333"/>
          <w:spacing w:val="0"/>
          <w:sz w:val="32"/>
          <w:szCs w:val="32"/>
          <w:shd w:val="clear" w:fill="FFFFFF"/>
        </w:rPr>
        <w:t>细化预算编制工作，认真做好预算的编制。进一步加强内部机构的预算管理意识，严格按照预算编制的相关制度和要求，本着“勤俭节约、保障运转”的原则进行预算的编制；编制范围尽可能的全面、</w:t>
      </w:r>
      <w:r>
        <w:rPr>
          <w:rFonts w:hint="eastAsia" w:ascii="仿宋_GB2312" w:hAnsi="仿宋_GB2312" w:eastAsia="仿宋_GB2312" w:cs="仿宋_GB2312"/>
          <w:i w:val="0"/>
          <w:caps w:val="0"/>
          <w:color w:val="333333"/>
          <w:spacing w:val="0"/>
          <w:sz w:val="32"/>
          <w:szCs w:val="32"/>
          <w:shd w:val="clear" w:fill="FFFFFF"/>
          <w:lang w:eastAsia="zh-CN"/>
        </w:rPr>
        <w:t>完整、</w:t>
      </w:r>
      <w:r>
        <w:rPr>
          <w:rFonts w:hint="eastAsia" w:ascii="仿宋_GB2312" w:hAnsi="仿宋_GB2312" w:eastAsia="仿宋_GB2312" w:cs="仿宋_GB2312"/>
          <w:i w:val="0"/>
          <w:caps w:val="0"/>
          <w:color w:val="333333"/>
          <w:spacing w:val="0"/>
          <w:sz w:val="32"/>
          <w:szCs w:val="32"/>
          <w:shd w:val="clear" w:fill="FFFFFF"/>
        </w:rPr>
        <w:t>不漏项，进一步提高预算编制的科学性、合理性、严谨性和可控性。</w:t>
      </w:r>
      <w:r>
        <w:rPr>
          <w:rFonts w:hint="eastAsia" w:ascii="仿宋_GB2312" w:hAnsi="仿宋_GB2312" w:eastAsia="仿宋_GB2312" w:cs="仿宋_GB2312"/>
          <w:i w:val="0"/>
          <w:caps w:val="0"/>
          <w:color w:val="333333"/>
          <w:spacing w:val="0"/>
          <w:sz w:val="32"/>
          <w:szCs w:val="32"/>
          <w:shd w:val="clear" w:fill="FFFFFF"/>
          <w:lang w:eastAsia="zh-CN"/>
        </w:rPr>
        <w:t>做到账本与事实相符等。</w:t>
      </w:r>
    </w:p>
    <w:p>
      <w:pPr>
        <w:pStyle w:val="3"/>
        <w:outlineLvl w:val="9"/>
        <w:rPr>
          <w:rStyle w:val="32"/>
          <w:rFonts w:hint="eastAsia" w:ascii="仿宋" w:hAnsi="仿宋" w:eastAsia="仿宋"/>
          <w:b w:val="0"/>
          <w:bCs w:val="0"/>
          <w:sz w:val="32"/>
          <w:szCs w:val="32"/>
        </w:rPr>
      </w:pPr>
    </w:p>
    <w:p>
      <w:pPr>
        <w:pStyle w:val="3"/>
        <w:outlineLvl w:val="9"/>
        <w:rPr>
          <w:rStyle w:val="32"/>
          <w:rFonts w:hint="eastAsia" w:ascii="仿宋" w:hAnsi="仿宋" w:eastAsia="仿宋"/>
          <w:b w:val="0"/>
          <w:bCs w:val="0"/>
          <w:sz w:val="32"/>
          <w:szCs w:val="32"/>
        </w:rPr>
      </w:pPr>
    </w:p>
    <w:p>
      <w:pPr>
        <w:rPr>
          <w:rStyle w:val="32"/>
          <w:rFonts w:hint="eastAsia" w:ascii="仿宋" w:hAnsi="仿宋" w:eastAsia="仿宋"/>
          <w:b w:val="0"/>
          <w:bCs w:val="0"/>
          <w:sz w:val="32"/>
          <w:szCs w:val="32"/>
        </w:rPr>
      </w:pPr>
    </w:p>
    <w:p>
      <w:pPr>
        <w:rPr>
          <w:rStyle w:val="32"/>
          <w:rFonts w:hint="eastAsia" w:ascii="仿宋" w:hAnsi="仿宋" w:eastAsia="仿宋"/>
          <w:b w:val="0"/>
          <w:bCs w:val="0"/>
          <w:sz w:val="32"/>
          <w:szCs w:val="32"/>
        </w:rPr>
      </w:pPr>
    </w:p>
    <w:p>
      <w:pPr>
        <w:rPr>
          <w:rStyle w:val="32"/>
          <w:rFonts w:hint="eastAsia" w:ascii="仿宋" w:hAnsi="仿宋" w:eastAsia="仿宋"/>
          <w:b w:val="0"/>
          <w:bCs w:val="0"/>
          <w:sz w:val="32"/>
          <w:szCs w:val="32"/>
        </w:rPr>
      </w:pPr>
    </w:p>
    <w:p>
      <w:pPr>
        <w:spacing w:line="580" w:lineRule="exact"/>
        <w:rPr>
          <w:rFonts w:ascii="仿宋_GB2312" w:hAnsi="仿宋_GB2312" w:eastAsia="仿宋_GB2312" w:cs="仿宋_GB2312"/>
          <w:sz w:val="32"/>
          <w:szCs w:val="32"/>
        </w:rPr>
      </w:pPr>
    </w:p>
    <w:p>
      <w:pPr>
        <w:spacing w:line="580" w:lineRule="exact"/>
        <w:outlineLvl w:val="1"/>
        <w:rPr>
          <w:rFonts w:ascii="仿宋_GB2312" w:hAnsi="仿宋_GB2312" w:eastAsia="仿宋_GB2312" w:cs="仿宋_GB2312"/>
          <w:sz w:val="32"/>
          <w:szCs w:val="32"/>
        </w:rPr>
      </w:pPr>
      <w:bookmarkStart w:id="129" w:name="_Toc15445"/>
      <w:r>
        <w:rPr>
          <w:rFonts w:hint="eastAsia" w:ascii="黑体" w:hAnsi="黑体" w:eastAsia="黑体" w:cs="黑体"/>
          <w:sz w:val="32"/>
          <w:szCs w:val="32"/>
        </w:rPr>
        <w:t>附件2</w:t>
      </w:r>
      <w:bookmarkEnd w:id="129"/>
    </w:p>
    <w:p>
      <w:pPr>
        <w:spacing w:line="600" w:lineRule="exact"/>
        <w:jc w:val="center"/>
        <w:outlineLvl w:val="1"/>
        <w:rPr>
          <w:rFonts w:hint="eastAsia" w:ascii="方正小标宋简体" w:hAnsi="宋体" w:eastAsia="方正小标宋简体"/>
          <w:color w:val="000000"/>
          <w:kern w:val="0"/>
          <w:sz w:val="44"/>
          <w:szCs w:val="44"/>
          <w:lang w:val="zh-CN"/>
        </w:rPr>
      </w:pPr>
      <w:bookmarkStart w:id="130" w:name="_Toc31931"/>
      <w:r>
        <w:rPr>
          <w:rFonts w:hint="eastAsia" w:ascii="方正小标宋简体" w:hAnsi="宋体" w:eastAsia="方正小标宋简体"/>
          <w:color w:val="000000"/>
          <w:kern w:val="0"/>
          <w:sz w:val="44"/>
          <w:szCs w:val="44"/>
          <w:lang w:val="en-US" w:eastAsia="zh-CN"/>
        </w:rPr>
        <w:t>2019年关心下一代工作委员会经费</w:t>
      </w:r>
      <w:r>
        <w:rPr>
          <w:rFonts w:hint="eastAsia" w:ascii="方正小标宋简体" w:hAnsi="宋体" w:eastAsia="方正小标宋简体"/>
          <w:color w:val="000000"/>
          <w:kern w:val="0"/>
          <w:sz w:val="44"/>
          <w:szCs w:val="44"/>
          <w:lang w:val="zh-CN"/>
        </w:rPr>
        <w:t>项目</w:t>
      </w:r>
      <w:bookmarkEnd w:id="130"/>
    </w:p>
    <w:p>
      <w:pPr>
        <w:spacing w:line="600" w:lineRule="exact"/>
        <w:jc w:val="center"/>
        <w:outlineLvl w:val="1"/>
        <w:rPr>
          <w:rFonts w:ascii="方正小标宋简体" w:hAnsi="宋体" w:eastAsia="方正小标宋简体"/>
          <w:color w:val="000000"/>
          <w:kern w:val="0"/>
          <w:sz w:val="44"/>
          <w:szCs w:val="44"/>
          <w:lang w:val="zh-CN"/>
        </w:rPr>
      </w:pPr>
      <w:bookmarkStart w:id="131" w:name="_Toc24874"/>
      <w:r>
        <w:rPr>
          <w:rFonts w:hint="eastAsia" w:ascii="方正小标宋简体" w:hAnsi="宋体" w:eastAsia="方正小标宋简体"/>
          <w:color w:val="000000"/>
          <w:kern w:val="0"/>
          <w:sz w:val="44"/>
          <w:szCs w:val="44"/>
          <w:lang w:val="zh-CN"/>
        </w:rPr>
        <w:t>绩效评价报告</w:t>
      </w:r>
      <w:bookmarkEnd w:id="131"/>
    </w:p>
    <w:p>
      <w:pPr>
        <w:adjustRightInd w:val="0"/>
        <w:snapToGrid w:val="0"/>
        <w:spacing w:line="600" w:lineRule="exact"/>
        <w:ind w:firstLine="720"/>
        <w:rPr>
          <w:rFonts w:hint="eastAsia" w:ascii="楷体_GB2312" w:hAnsi="宋体" w:eastAsia="楷体_GB2312"/>
          <w:b/>
          <w:sz w:val="32"/>
          <w:szCs w:val="32"/>
          <w:lang w:val="zh-CN"/>
        </w:rPr>
      </w:pPr>
    </w:p>
    <w:p>
      <w:pPr>
        <w:adjustRightInd w:val="0"/>
        <w:snapToGrid w:val="0"/>
        <w:spacing w:line="600" w:lineRule="exact"/>
        <w:ind w:firstLine="720"/>
        <w:outlineLvl w:val="2"/>
        <w:rPr>
          <w:rFonts w:hint="eastAsia" w:ascii="楷体_GB2312" w:hAnsi="宋体" w:eastAsia="楷体_GB2312"/>
          <w:b/>
          <w:sz w:val="32"/>
          <w:szCs w:val="32"/>
          <w:lang w:val="zh-CN"/>
        </w:rPr>
      </w:pPr>
      <w:bookmarkStart w:id="132" w:name="_Toc30510"/>
      <w:r>
        <w:rPr>
          <w:rFonts w:hint="eastAsia" w:ascii="楷体_GB2312" w:hAnsi="宋体" w:eastAsia="楷体_GB2312"/>
          <w:b/>
          <w:sz w:val="32"/>
          <w:szCs w:val="32"/>
          <w:lang w:val="zh-CN"/>
        </w:rPr>
        <w:t>（一）项目基本情况。</w:t>
      </w:r>
      <w:bookmarkEnd w:id="132"/>
    </w:p>
    <w:p>
      <w:pPr>
        <w:adjustRightInd w:val="0"/>
        <w:snapToGrid w:val="0"/>
        <w:spacing w:line="600" w:lineRule="exact"/>
        <w:ind w:firstLine="720"/>
        <w:rPr>
          <w:rFonts w:hint="default" w:ascii="仿宋_GB2312" w:hAnsi="宋体" w:eastAsia="仿宋_GB2312"/>
          <w:sz w:val="32"/>
          <w:szCs w:val="32"/>
          <w:lang w:val="en-US" w:eastAsia="zh-CN"/>
        </w:rPr>
      </w:pPr>
      <w:r>
        <w:rPr>
          <w:rFonts w:hint="eastAsia" w:ascii="仿宋_GB2312" w:hAnsi="宋体" w:eastAsia="仿宋_GB2312"/>
          <w:sz w:val="32"/>
          <w:szCs w:val="32"/>
          <w:lang w:val="en-US" w:eastAsia="zh-CN"/>
        </w:rPr>
        <w:t>根据阿坝藏族羌族自治州财政局 红原县财政局下发关心下一代工作委员会经费，该项目资金共计1000000.00元，来源于县财政局</w:t>
      </w:r>
    </w:p>
    <w:p>
      <w:pPr>
        <w:adjustRightInd w:val="0"/>
        <w:snapToGrid w:val="0"/>
        <w:spacing w:line="600" w:lineRule="exact"/>
        <w:ind w:firstLine="720"/>
        <w:outlineLvl w:val="2"/>
        <w:rPr>
          <w:rFonts w:hint="default" w:ascii="楷体_GB2312" w:hAnsi="宋体" w:eastAsia="楷体_GB2312"/>
          <w:b/>
          <w:sz w:val="32"/>
          <w:szCs w:val="32"/>
          <w:lang w:val="en-US" w:eastAsia="zh-CN"/>
        </w:rPr>
      </w:pPr>
      <w:bookmarkStart w:id="133" w:name="_Toc3738"/>
      <w:r>
        <w:rPr>
          <w:rFonts w:hint="eastAsia" w:ascii="楷体_GB2312" w:hAnsi="宋体" w:eastAsia="楷体_GB2312"/>
          <w:b/>
          <w:sz w:val="32"/>
          <w:szCs w:val="32"/>
          <w:lang w:val="en-US" w:eastAsia="zh-CN"/>
        </w:rPr>
        <w:t>(二)项目资金使用方向及范围</w:t>
      </w:r>
      <w:bookmarkEnd w:id="133"/>
    </w:p>
    <w:p>
      <w:pPr>
        <w:adjustRightInd w:val="0"/>
        <w:snapToGrid w:val="0"/>
        <w:spacing w:line="600" w:lineRule="exact"/>
        <w:ind w:firstLine="720"/>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根据《四川省青少年专项资金管理办法》文件规定关心下一代工作委员会经费主要包括对全县贫困青少年的慰问、为全县学生资助物资以及青少年兴趣班开班的所有费用。</w:t>
      </w:r>
    </w:p>
    <w:p>
      <w:pPr>
        <w:adjustRightInd w:val="0"/>
        <w:snapToGrid w:val="0"/>
        <w:spacing w:line="600" w:lineRule="exact"/>
        <w:ind w:firstLine="720"/>
        <w:outlineLvl w:val="2"/>
        <w:rPr>
          <w:rFonts w:hint="default" w:ascii="楷体_GB2312" w:hAnsi="宋体" w:eastAsia="楷体_GB2312"/>
          <w:b/>
          <w:sz w:val="32"/>
          <w:szCs w:val="32"/>
          <w:lang w:val="en-US" w:eastAsia="zh-CN"/>
        </w:rPr>
      </w:pPr>
      <w:bookmarkStart w:id="134" w:name="_Toc4507"/>
      <w:r>
        <w:rPr>
          <w:rFonts w:hint="eastAsia" w:ascii="楷体_GB2312" w:hAnsi="宋体" w:eastAsia="楷体_GB2312"/>
          <w:b/>
          <w:sz w:val="32"/>
          <w:szCs w:val="32"/>
          <w:lang w:val="en-US" w:eastAsia="zh-CN"/>
        </w:rPr>
        <w:t>（三）项目资金实际拨款进度以及资金使用方向</w:t>
      </w:r>
      <w:bookmarkEnd w:id="134"/>
    </w:p>
    <w:p>
      <w:pPr>
        <w:adjustRightInd w:val="0"/>
        <w:snapToGrid w:val="0"/>
        <w:spacing w:line="600" w:lineRule="exact"/>
        <w:ind w:firstLine="720"/>
        <w:rPr>
          <w:rFonts w:hint="default" w:ascii="仿宋_GB2312" w:hAnsi="宋体" w:eastAsia="仿宋_GB2312"/>
          <w:sz w:val="32"/>
          <w:szCs w:val="32"/>
          <w:lang w:val="en-US" w:eastAsia="zh-CN"/>
        </w:rPr>
      </w:pPr>
      <w:r>
        <w:rPr>
          <w:rFonts w:hint="eastAsia" w:ascii="仿宋_GB2312" w:hAnsi="宋体" w:eastAsia="仿宋_GB2312"/>
          <w:sz w:val="32"/>
          <w:szCs w:val="32"/>
          <w:lang w:val="en-US" w:eastAsia="zh-CN"/>
        </w:rPr>
        <w:t>2019年我委按照主要部门审核，主管领导审批的原则分于2019年12月19日之前划拨资金100000元，主要用青少年的慰问以及青少年兴趣班开班的所有费用。截至2019年12月31日,资金到位率100%,资金使用率100%。资金使用完全符合中央下发的《四川省青少年专项资金管理办法》。</w:t>
      </w:r>
    </w:p>
    <w:p>
      <w:pPr>
        <w:adjustRightInd w:val="0"/>
        <w:snapToGrid w:val="0"/>
        <w:spacing w:line="600" w:lineRule="exact"/>
        <w:ind w:firstLine="720"/>
        <w:outlineLvl w:val="2"/>
        <w:rPr>
          <w:rFonts w:ascii="楷体_GB2312" w:hAnsi="宋体" w:eastAsia="楷体_GB2312"/>
          <w:b/>
          <w:sz w:val="32"/>
          <w:szCs w:val="32"/>
          <w:lang w:val="zh-CN"/>
        </w:rPr>
      </w:pPr>
      <w:bookmarkStart w:id="135" w:name="_Toc27581"/>
      <w:r>
        <w:rPr>
          <w:rFonts w:hint="eastAsia" w:ascii="楷体_GB2312" w:hAnsi="宋体" w:eastAsia="楷体_GB2312"/>
          <w:b/>
          <w:sz w:val="32"/>
          <w:szCs w:val="32"/>
          <w:lang w:val="zh-CN"/>
        </w:rPr>
        <w:t>（</w:t>
      </w:r>
      <w:r>
        <w:rPr>
          <w:rFonts w:hint="eastAsia" w:ascii="楷体_GB2312" w:hAnsi="宋体" w:eastAsia="楷体_GB2312"/>
          <w:b/>
          <w:sz w:val="32"/>
          <w:szCs w:val="32"/>
          <w:lang w:val="en-US" w:eastAsia="zh-CN"/>
        </w:rPr>
        <w:t>四</w:t>
      </w:r>
      <w:r>
        <w:rPr>
          <w:rFonts w:hint="eastAsia" w:ascii="楷体_GB2312" w:hAnsi="宋体" w:eastAsia="楷体_GB2312"/>
          <w:b/>
          <w:sz w:val="32"/>
          <w:szCs w:val="32"/>
          <w:lang w:val="zh-CN"/>
        </w:rPr>
        <w:t>）项目绩效目标。</w:t>
      </w:r>
      <w:bookmarkEnd w:id="135"/>
    </w:p>
    <w:p>
      <w:pPr>
        <w:adjustRightInd w:val="0"/>
        <w:snapToGrid w:val="0"/>
        <w:spacing w:line="600" w:lineRule="exact"/>
        <w:ind w:firstLine="720"/>
        <w:rPr>
          <w:rFonts w:hint="default" w:ascii="仿宋_GB2312" w:hAnsi="宋体" w:eastAsia="仿宋_GB2312"/>
          <w:sz w:val="32"/>
          <w:szCs w:val="32"/>
          <w:lang w:val="en-US" w:eastAsia="zh-CN"/>
        </w:rPr>
      </w:pPr>
      <w:r>
        <w:rPr>
          <w:rFonts w:hint="eastAsia" w:ascii="仿宋_GB2312" w:hAnsi="宋体" w:eastAsia="仿宋_GB2312"/>
          <w:sz w:val="32"/>
          <w:szCs w:val="32"/>
          <w:lang w:val="en-US" w:eastAsia="zh-CN"/>
        </w:rPr>
        <w:t>项目绩效主要目标在于保障青少年的活动开展。</w:t>
      </w:r>
    </w:p>
    <w:p>
      <w:pPr>
        <w:adjustRightInd w:val="0"/>
        <w:snapToGrid w:val="0"/>
        <w:spacing w:line="600" w:lineRule="exact"/>
        <w:ind w:firstLine="720"/>
        <w:outlineLvl w:val="2"/>
        <w:rPr>
          <w:rFonts w:ascii="楷体_GB2312" w:hAnsi="宋体" w:eastAsia="楷体_GB2312"/>
          <w:b/>
          <w:sz w:val="32"/>
          <w:szCs w:val="32"/>
          <w:lang w:val="zh-CN"/>
        </w:rPr>
      </w:pPr>
      <w:bookmarkStart w:id="136" w:name="_Toc14098"/>
      <w:r>
        <w:rPr>
          <w:rFonts w:hint="eastAsia" w:ascii="楷体_GB2312" w:hAnsi="宋体" w:eastAsia="楷体_GB2312"/>
          <w:b/>
          <w:sz w:val="32"/>
          <w:szCs w:val="32"/>
          <w:lang w:val="zh-CN"/>
        </w:rPr>
        <w:t>（</w:t>
      </w:r>
      <w:r>
        <w:rPr>
          <w:rFonts w:hint="eastAsia" w:ascii="楷体_GB2312" w:hAnsi="宋体" w:eastAsia="楷体_GB2312"/>
          <w:b/>
          <w:sz w:val="32"/>
          <w:szCs w:val="32"/>
          <w:lang w:val="en-US" w:eastAsia="zh-CN"/>
        </w:rPr>
        <w:t>五</w:t>
      </w:r>
      <w:r>
        <w:rPr>
          <w:rFonts w:hint="eastAsia" w:ascii="楷体_GB2312" w:hAnsi="宋体" w:eastAsia="楷体_GB2312"/>
          <w:b/>
          <w:sz w:val="32"/>
          <w:szCs w:val="32"/>
          <w:lang w:val="zh-CN"/>
        </w:rPr>
        <w:t>）项目自评步骤及方法。</w:t>
      </w:r>
      <w:bookmarkEnd w:id="136"/>
    </w:p>
    <w:p>
      <w:pPr>
        <w:adjustRightInd w:val="0"/>
        <w:snapToGrid w:val="0"/>
        <w:spacing w:line="600" w:lineRule="exact"/>
        <w:ind w:firstLine="720"/>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该项目采用自评为主的方式，成立项目自评小组，结合评价内容，做到做到有计划，有安排，扎实开展本次自评工作。自评小组针对申报内容、实施情况、资金拨款进度、财务管理等做出自我评价。</w:t>
      </w:r>
    </w:p>
    <w:p>
      <w:pPr>
        <w:adjustRightInd w:val="0"/>
        <w:snapToGrid w:val="0"/>
        <w:spacing w:line="600" w:lineRule="exact"/>
        <w:ind w:firstLine="720"/>
        <w:outlineLvl w:val="2"/>
        <w:rPr>
          <w:rFonts w:ascii="楷体_GB2312" w:hAnsi="宋体" w:eastAsia="楷体_GB2312"/>
          <w:b/>
          <w:sz w:val="32"/>
          <w:szCs w:val="32"/>
          <w:lang w:val="zh-CN"/>
        </w:rPr>
      </w:pPr>
      <w:bookmarkStart w:id="137" w:name="_Toc32340"/>
      <w:r>
        <w:rPr>
          <w:rFonts w:hint="eastAsia" w:ascii="楷体_GB2312" w:hAnsi="宋体" w:eastAsia="楷体_GB2312"/>
          <w:b/>
          <w:sz w:val="32"/>
          <w:szCs w:val="32"/>
          <w:lang w:val="zh-CN"/>
        </w:rPr>
        <w:t>（</w:t>
      </w:r>
      <w:r>
        <w:rPr>
          <w:rFonts w:hint="eastAsia" w:ascii="楷体_GB2312" w:hAnsi="宋体" w:eastAsia="楷体_GB2312"/>
          <w:b/>
          <w:sz w:val="32"/>
          <w:szCs w:val="32"/>
          <w:lang w:val="en-US" w:eastAsia="zh-CN"/>
        </w:rPr>
        <w:t>六</w:t>
      </w:r>
      <w:r>
        <w:rPr>
          <w:rFonts w:hint="eastAsia" w:ascii="楷体_GB2312" w:hAnsi="宋体" w:eastAsia="楷体_GB2312"/>
          <w:b/>
          <w:sz w:val="32"/>
          <w:szCs w:val="32"/>
          <w:lang w:val="zh-CN"/>
        </w:rPr>
        <w:t>）项目财务管理情况。</w:t>
      </w:r>
      <w:bookmarkEnd w:id="137"/>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en-US" w:eastAsia="zh-CN"/>
        </w:rPr>
        <w:t>我委建立有完善的财务管理制度，并严格按照财务管理制度报销每一笔项目资金支出。并根据政府会计制度对专项资金进行核算，并对专项相关资料进行归档储存</w:t>
      </w:r>
      <w:r>
        <w:rPr>
          <w:rFonts w:hint="eastAsia" w:ascii="仿宋_GB2312" w:hAnsi="宋体" w:eastAsia="仿宋_GB2312"/>
          <w:sz w:val="32"/>
          <w:szCs w:val="32"/>
          <w:lang w:val="zh-CN"/>
        </w:rPr>
        <w:t>。</w:t>
      </w:r>
    </w:p>
    <w:p>
      <w:pPr>
        <w:numPr>
          <w:ilvl w:val="0"/>
          <w:numId w:val="6"/>
        </w:numPr>
        <w:adjustRightInd w:val="0"/>
        <w:snapToGrid w:val="0"/>
        <w:spacing w:line="600" w:lineRule="exact"/>
        <w:ind w:firstLine="720"/>
        <w:outlineLvl w:val="2"/>
        <w:rPr>
          <w:rFonts w:hint="eastAsia" w:ascii="楷体_GB2312" w:hAnsi="宋体" w:eastAsia="楷体_GB2312"/>
          <w:b/>
          <w:sz w:val="32"/>
          <w:szCs w:val="32"/>
          <w:lang w:val="en-US" w:eastAsia="zh-CN"/>
        </w:rPr>
      </w:pPr>
      <w:bookmarkStart w:id="138" w:name="_Toc18816"/>
      <w:r>
        <w:rPr>
          <w:rFonts w:hint="eastAsia" w:ascii="楷体_GB2312" w:hAnsi="宋体" w:eastAsia="楷体_GB2312"/>
          <w:b/>
          <w:sz w:val="32"/>
          <w:szCs w:val="32"/>
          <w:lang w:val="en-US" w:eastAsia="zh-CN"/>
        </w:rPr>
        <w:t>项目实施成果</w:t>
      </w:r>
      <w:bookmarkEnd w:id="138"/>
    </w:p>
    <w:p>
      <w:pPr>
        <w:adjustRightInd w:val="0"/>
        <w:snapToGrid w:val="0"/>
        <w:spacing w:line="600" w:lineRule="exact"/>
        <w:ind w:firstLine="720"/>
        <w:rPr>
          <w:rFonts w:hint="default" w:ascii="仿宋_GB2312" w:hAnsi="宋体" w:eastAsia="仿宋_GB2312"/>
          <w:sz w:val="32"/>
          <w:szCs w:val="32"/>
          <w:lang w:val="en-US" w:eastAsia="zh-CN"/>
        </w:rPr>
      </w:pPr>
      <w:r>
        <w:rPr>
          <w:rFonts w:hint="eastAsia" w:ascii="仿宋_GB2312" w:hAnsi="宋体" w:eastAsia="仿宋_GB2312"/>
          <w:sz w:val="32"/>
          <w:szCs w:val="32"/>
          <w:lang w:val="en-US" w:eastAsia="zh-CN"/>
        </w:rPr>
        <w:t>1.2019年，我委共计慰问10与次，为全县几百名学生送去慰问物资(列：书包、衣服、学习用具等)</w:t>
      </w:r>
    </w:p>
    <w:p>
      <w:pPr>
        <w:adjustRightInd w:val="0"/>
        <w:snapToGrid w:val="0"/>
        <w:spacing w:line="600" w:lineRule="exact"/>
        <w:ind w:firstLine="720"/>
        <w:rPr>
          <w:rFonts w:ascii="仿宋_GB2312" w:hAnsi="仿宋_GB2312" w:eastAsia="仿宋_GB2312" w:cs="仿宋_GB2312"/>
          <w:sz w:val="32"/>
          <w:szCs w:val="32"/>
        </w:rPr>
      </w:pPr>
      <w:r>
        <w:rPr>
          <w:rFonts w:hint="eastAsia" w:ascii="仿宋_GB2312" w:hAnsi="宋体" w:eastAsia="仿宋_GB2312"/>
          <w:sz w:val="32"/>
          <w:szCs w:val="32"/>
          <w:lang w:val="en-US" w:eastAsia="zh-CN"/>
        </w:rPr>
        <w:t>2.2019年，我委共开设三个青少年兴趣班（绘画、舞蹈、电子琴）收纳学生90余名</w:t>
      </w:r>
    </w:p>
    <w:p>
      <w:pPr>
        <w:widowControl/>
        <w:jc w:val="left"/>
        <w:rPr>
          <w:rStyle w:val="25"/>
          <w:rFonts w:ascii="黑体" w:hAnsi="黑体" w:eastAsia="黑体"/>
          <w:b w:val="0"/>
        </w:rPr>
      </w:pPr>
    </w:p>
    <w:p>
      <w:pPr>
        <w:widowControl/>
        <w:jc w:val="left"/>
        <w:rPr>
          <w:rStyle w:val="25"/>
          <w:rFonts w:ascii="黑体" w:hAnsi="黑体" w:eastAsia="黑体"/>
          <w:b w:val="0"/>
        </w:rPr>
      </w:pPr>
      <w:r>
        <w:rPr>
          <w:rStyle w:val="25"/>
          <w:rFonts w:ascii="黑体" w:hAnsi="黑体" w:eastAsia="黑体"/>
          <w:b w:val="0"/>
        </w:rPr>
        <w:br w:type="page"/>
      </w:r>
    </w:p>
    <w:p>
      <w:pPr>
        <w:spacing w:line="600" w:lineRule="exact"/>
        <w:jc w:val="center"/>
        <w:outlineLvl w:val="9"/>
        <w:rPr>
          <w:rStyle w:val="25"/>
          <w:rFonts w:ascii="黑体" w:hAnsi="黑体" w:eastAsia="黑体"/>
          <w:b w:val="0"/>
        </w:rPr>
      </w:pPr>
    </w:p>
    <w:p>
      <w:pPr>
        <w:spacing w:line="600" w:lineRule="exact"/>
        <w:jc w:val="center"/>
        <w:outlineLvl w:val="0"/>
        <w:rPr>
          <w:rStyle w:val="25"/>
          <w:rFonts w:ascii="黑体" w:hAnsi="黑体" w:eastAsia="黑体"/>
          <w:b w:val="0"/>
        </w:rPr>
      </w:pPr>
      <w:bookmarkStart w:id="139" w:name="_Toc15396618"/>
      <w:bookmarkStart w:id="140" w:name="_Toc8434"/>
      <w:bookmarkStart w:id="141" w:name="_Toc28437"/>
      <w:r>
        <w:rPr>
          <w:rFonts w:hint="eastAsia" w:ascii="黑体" w:hAnsi="黑体" w:eastAsia="黑体"/>
          <w:color w:val="000000"/>
          <w:sz w:val="44"/>
          <w:szCs w:val="44"/>
        </w:rPr>
        <w:t>第</w:t>
      </w:r>
      <w:r>
        <w:rPr>
          <w:rStyle w:val="25"/>
          <w:rFonts w:hint="eastAsia" w:ascii="黑体" w:hAnsi="黑体" w:eastAsia="黑体"/>
          <w:b w:val="0"/>
        </w:rPr>
        <w:t>五部分 附表</w:t>
      </w:r>
      <w:bookmarkEnd w:id="126"/>
      <w:bookmarkEnd w:id="139"/>
      <w:bookmarkEnd w:id="140"/>
      <w:bookmarkEnd w:id="141"/>
    </w:p>
    <w:p>
      <w:pPr>
        <w:spacing w:line="600" w:lineRule="exact"/>
        <w:jc w:val="center"/>
        <w:outlineLvl w:val="9"/>
        <w:rPr>
          <w:rFonts w:ascii="仿宋" w:hAnsi="仿宋" w:eastAsia="仿宋"/>
          <w:b/>
          <w:color w:val="000000"/>
          <w:sz w:val="44"/>
          <w:szCs w:val="44"/>
        </w:rPr>
      </w:pPr>
    </w:p>
    <w:p>
      <w:pPr>
        <w:pStyle w:val="3"/>
        <w:rPr>
          <w:rFonts w:ascii="仿宋" w:hAnsi="仿宋" w:eastAsia="仿宋"/>
          <w:color w:val="000000"/>
        </w:rPr>
      </w:pPr>
      <w:bookmarkStart w:id="142" w:name="_Toc15396619"/>
      <w:bookmarkStart w:id="143" w:name="_Toc31087"/>
      <w:bookmarkStart w:id="144" w:name="_Toc27446"/>
      <w:r>
        <w:rPr>
          <w:rFonts w:hint="eastAsia" w:ascii="仿宋" w:hAnsi="仿宋" w:eastAsia="仿宋"/>
          <w:b w:val="0"/>
          <w:color w:val="000000"/>
        </w:rPr>
        <w:t>一、收</w:t>
      </w:r>
      <w:r>
        <w:rPr>
          <w:rStyle w:val="26"/>
          <w:rFonts w:hint="eastAsia" w:ascii="仿宋" w:hAnsi="仿宋" w:eastAsia="仿宋"/>
          <w:b w:val="0"/>
          <w:bCs w:val="0"/>
        </w:rPr>
        <w:t>入支出决算总表</w:t>
      </w:r>
      <w:bookmarkEnd w:id="142"/>
      <w:bookmarkEnd w:id="143"/>
      <w:bookmarkEnd w:id="144"/>
    </w:p>
    <w:p>
      <w:pPr>
        <w:pStyle w:val="3"/>
        <w:rPr>
          <w:rFonts w:ascii="仿宋" w:hAnsi="仿宋" w:eastAsia="仿宋"/>
          <w:color w:val="000000"/>
        </w:rPr>
      </w:pPr>
      <w:bookmarkStart w:id="145" w:name="_Toc15396620"/>
      <w:bookmarkStart w:id="146" w:name="_Toc13006"/>
      <w:bookmarkStart w:id="147" w:name="_Toc27046"/>
      <w:r>
        <w:rPr>
          <w:rFonts w:hint="eastAsia" w:ascii="仿宋" w:hAnsi="仿宋" w:eastAsia="仿宋"/>
          <w:b w:val="0"/>
          <w:color w:val="000000"/>
        </w:rPr>
        <w:t>二、收</w:t>
      </w:r>
      <w:r>
        <w:rPr>
          <w:rStyle w:val="26"/>
          <w:rFonts w:hint="eastAsia" w:ascii="仿宋" w:hAnsi="仿宋" w:eastAsia="仿宋"/>
          <w:b w:val="0"/>
          <w:bCs w:val="0"/>
        </w:rPr>
        <w:t>入决算表</w:t>
      </w:r>
      <w:bookmarkEnd w:id="145"/>
      <w:bookmarkEnd w:id="146"/>
      <w:bookmarkEnd w:id="147"/>
    </w:p>
    <w:p>
      <w:pPr>
        <w:pStyle w:val="3"/>
        <w:rPr>
          <w:rFonts w:ascii="仿宋" w:hAnsi="仿宋" w:eastAsia="仿宋"/>
          <w:color w:val="000000"/>
        </w:rPr>
      </w:pPr>
      <w:bookmarkStart w:id="148" w:name="_Toc15396621"/>
      <w:bookmarkStart w:id="149" w:name="_Toc21727"/>
      <w:bookmarkStart w:id="150" w:name="_Toc10641"/>
      <w:r>
        <w:rPr>
          <w:rStyle w:val="26"/>
          <w:rFonts w:hint="eastAsia" w:ascii="仿宋" w:hAnsi="仿宋" w:eastAsia="仿宋"/>
          <w:b w:val="0"/>
          <w:bCs w:val="0"/>
        </w:rPr>
        <w:t>三、</w:t>
      </w:r>
      <w:r>
        <w:rPr>
          <w:rFonts w:hint="eastAsia" w:ascii="仿宋" w:hAnsi="仿宋" w:eastAsia="仿宋"/>
          <w:b w:val="0"/>
          <w:color w:val="000000"/>
        </w:rPr>
        <w:t>支</w:t>
      </w:r>
      <w:r>
        <w:rPr>
          <w:rStyle w:val="26"/>
          <w:rFonts w:hint="eastAsia" w:ascii="仿宋" w:hAnsi="仿宋" w:eastAsia="仿宋"/>
          <w:b w:val="0"/>
          <w:bCs w:val="0"/>
        </w:rPr>
        <w:t>出决算表</w:t>
      </w:r>
      <w:bookmarkEnd w:id="148"/>
      <w:bookmarkEnd w:id="149"/>
      <w:bookmarkEnd w:id="150"/>
    </w:p>
    <w:p>
      <w:pPr>
        <w:pStyle w:val="3"/>
        <w:rPr>
          <w:rFonts w:ascii="仿宋" w:hAnsi="仿宋" w:eastAsia="仿宋"/>
          <w:b w:val="0"/>
          <w:color w:val="000000"/>
        </w:rPr>
      </w:pPr>
      <w:bookmarkStart w:id="151" w:name="_Toc15396622"/>
      <w:bookmarkStart w:id="152" w:name="_Toc16"/>
      <w:bookmarkStart w:id="153" w:name="_Toc15625"/>
      <w:r>
        <w:rPr>
          <w:rStyle w:val="26"/>
          <w:rFonts w:hint="eastAsia" w:ascii="仿宋" w:hAnsi="仿宋" w:eastAsia="仿宋"/>
          <w:b w:val="0"/>
          <w:bCs w:val="0"/>
        </w:rPr>
        <w:t>四、</w:t>
      </w:r>
      <w:r>
        <w:rPr>
          <w:rFonts w:hint="eastAsia" w:ascii="仿宋" w:hAnsi="仿宋" w:eastAsia="仿宋"/>
          <w:b w:val="0"/>
          <w:color w:val="000000"/>
        </w:rPr>
        <w:t>财</w:t>
      </w:r>
      <w:r>
        <w:rPr>
          <w:rStyle w:val="26"/>
          <w:rFonts w:hint="eastAsia" w:ascii="仿宋" w:hAnsi="仿宋" w:eastAsia="仿宋"/>
          <w:b w:val="0"/>
          <w:bCs w:val="0"/>
        </w:rPr>
        <w:t>政拨款收入支出决算总表</w:t>
      </w:r>
      <w:bookmarkEnd w:id="151"/>
      <w:bookmarkEnd w:id="152"/>
      <w:bookmarkEnd w:id="153"/>
    </w:p>
    <w:p>
      <w:pPr>
        <w:pStyle w:val="3"/>
        <w:rPr>
          <w:rStyle w:val="26"/>
          <w:rFonts w:ascii="仿宋" w:hAnsi="仿宋" w:eastAsia="仿宋"/>
          <w:b w:val="0"/>
          <w:bCs w:val="0"/>
        </w:rPr>
      </w:pPr>
      <w:bookmarkStart w:id="154" w:name="_Toc15396623"/>
      <w:bookmarkStart w:id="155" w:name="_Toc5759"/>
      <w:bookmarkStart w:id="156" w:name="_Toc14882"/>
      <w:r>
        <w:rPr>
          <w:rStyle w:val="26"/>
          <w:rFonts w:hint="eastAsia" w:ascii="仿宋" w:hAnsi="仿宋" w:eastAsia="仿宋"/>
          <w:b w:val="0"/>
          <w:bCs w:val="0"/>
        </w:rPr>
        <w:t>五、</w:t>
      </w:r>
      <w:r>
        <w:rPr>
          <w:rFonts w:hint="eastAsia" w:ascii="仿宋" w:hAnsi="仿宋" w:eastAsia="仿宋"/>
          <w:b w:val="0"/>
          <w:color w:val="000000"/>
        </w:rPr>
        <w:t>财</w:t>
      </w:r>
      <w:r>
        <w:rPr>
          <w:rStyle w:val="26"/>
          <w:rFonts w:hint="eastAsia" w:ascii="仿宋" w:hAnsi="仿宋" w:eastAsia="仿宋"/>
          <w:b w:val="0"/>
          <w:bCs w:val="0"/>
        </w:rPr>
        <w:t>政拨款支出决算明细表</w:t>
      </w:r>
      <w:bookmarkEnd w:id="154"/>
      <w:bookmarkEnd w:id="155"/>
      <w:bookmarkEnd w:id="156"/>
      <w:bookmarkStart w:id="157" w:name="_Toc15396624"/>
    </w:p>
    <w:p>
      <w:pPr>
        <w:pStyle w:val="3"/>
        <w:rPr>
          <w:rFonts w:ascii="仿宋" w:hAnsi="仿宋" w:eastAsia="仿宋"/>
          <w:color w:val="000000"/>
        </w:rPr>
      </w:pPr>
      <w:bookmarkStart w:id="158" w:name="_Toc26274"/>
      <w:bookmarkStart w:id="159" w:name="_Toc18630"/>
      <w:r>
        <w:rPr>
          <w:rStyle w:val="26"/>
          <w:rFonts w:hint="eastAsia" w:ascii="仿宋" w:hAnsi="仿宋" w:eastAsia="仿宋"/>
          <w:b w:val="0"/>
          <w:bCs w:val="0"/>
        </w:rPr>
        <w:t>六、</w:t>
      </w:r>
      <w:r>
        <w:rPr>
          <w:rFonts w:hint="eastAsia" w:ascii="仿宋" w:hAnsi="仿宋" w:eastAsia="仿宋"/>
          <w:b w:val="0"/>
          <w:color w:val="000000"/>
        </w:rPr>
        <w:t>一</w:t>
      </w:r>
      <w:r>
        <w:rPr>
          <w:rStyle w:val="26"/>
          <w:rFonts w:hint="eastAsia" w:ascii="仿宋" w:hAnsi="仿宋" w:eastAsia="仿宋"/>
          <w:b w:val="0"/>
          <w:bCs w:val="0"/>
        </w:rPr>
        <w:t>般公共预算财政拨款支出决算表</w:t>
      </w:r>
      <w:bookmarkEnd w:id="157"/>
      <w:bookmarkEnd w:id="158"/>
      <w:bookmarkEnd w:id="159"/>
    </w:p>
    <w:p>
      <w:pPr>
        <w:pStyle w:val="3"/>
        <w:rPr>
          <w:rFonts w:ascii="仿宋" w:hAnsi="仿宋" w:eastAsia="仿宋"/>
          <w:color w:val="000000"/>
        </w:rPr>
      </w:pPr>
      <w:bookmarkStart w:id="160" w:name="_Toc15396625"/>
      <w:bookmarkStart w:id="161" w:name="_Toc27034"/>
      <w:bookmarkStart w:id="162" w:name="_Toc17853"/>
      <w:r>
        <w:rPr>
          <w:rStyle w:val="26"/>
          <w:rFonts w:hint="eastAsia" w:ascii="仿宋" w:hAnsi="仿宋" w:eastAsia="仿宋"/>
          <w:b w:val="0"/>
          <w:bCs w:val="0"/>
        </w:rPr>
        <w:t>七、</w:t>
      </w:r>
      <w:r>
        <w:rPr>
          <w:rFonts w:hint="eastAsia" w:ascii="仿宋" w:hAnsi="仿宋" w:eastAsia="仿宋"/>
          <w:b w:val="0"/>
          <w:color w:val="000000"/>
        </w:rPr>
        <w:t>一</w:t>
      </w:r>
      <w:r>
        <w:rPr>
          <w:rStyle w:val="26"/>
          <w:rFonts w:hint="eastAsia" w:ascii="仿宋" w:hAnsi="仿宋" w:eastAsia="仿宋"/>
          <w:b w:val="0"/>
          <w:bCs w:val="0"/>
        </w:rPr>
        <w:t>般公共预算财政拨款支出决算明细表</w:t>
      </w:r>
      <w:bookmarkEnd w:id="160"/>
      <w:bookmarkEnd w:id="161"/>
      <w:bookmarkEnd w:id="162"/>
    </w:p>
    <w:p>
      <w:pPr>
        <w:pStyle w:val="3"/>
        <w:rPr>
          <w:rFonts w:ascii="仿宋" w:hAnsi="仿宋" w:eastAsia="仿宋"/>
          <w:color w:val="000000"/>
        </w:rPr>
      </w:pPr>
      <w:bookmarkStart w:id="163" w:name="_Toc15396626"/>
      <w:bookmarkStart w:id="164" w:name="_Toc15743"/>
      <w:bookmarkStart w:id="165" w:name="_Toc25630"/>
      <w:r>
        <w:rPr>
          <w:rStyle w:val="26"/>
          <w:rFonts w:hint="eastAsia" w:ascii="仿宋" w:hAnsi="仿宋" w:eastAsia="仿宋"/>
          <w:b w:val="0"/>
          <w:bCs w:val="0"/>
        </w:rPr>
        <w:t>八、</w:t>
      </w:r>
      <w:r>
        <w:rPr>
          <w:rFonts w:hint="eastAsia" w:ascii="仿宋" w:hAnsi="仿宋" w:eastAsia="仿宋"/>
          <w:b w:val="0"/>
          <w:color w:val="000000"/>
        </w:rPr>
        <w:t>一</w:t>
      </w:r>
      <w:r>
        <w:rPr>
          <w:rStyle w:val="26"/>
          <w:rFonts w:hint="eastAsia" w:ascii="仿宋" w:hAnsi="仿宋" w:eastAsia="仿宋"/>
          <w:b w:val="0"/>
          <w:bCs w:val="0"/>
        </w:rPr>
        <w:t>般公共预算财政拨款基本支出决算表</w:t>
      </w:r>
      <w:bookmarkEnd w:id="163"/>
      <w:bookmarkEnd w:id="164"/>
      <w:bookmarkEnd w:id="165"/>
    </w:p>
    <w:p>
      <w:pPr>
        <w:pStyle w:val="3"/>
        <w:rPr>
          <w:rFonts w:ascii="仿宋" w:hAnsi="仿宋" w:eastAsia="仿宋"/>
          <w:color w:val="000000"/>
        </w:rPr>
      </w:pPr>
      <w:bookmarkStart w:id="166" w:name="_Toc15396627"/>
      <w:bookmarkStart w:id="167" w:name="_Toc18071"/>
      <w:bookmarkStart w:id="168" w:name="_Toc22873"/>
      <w:r>
        <w:rPr>
          <w:rStyle w:val="26"/>
          <w:rFonts w:hint="eastAsia" w:ascii="仿宋" w:hAnsi="仿宋" w:eastAsia="仿宋"/>
          <w:b w:val="0"/>
          <w:bCs w:val="0"/>
        </w:rPr>
        <w:t>九、</w:t>
      </w:r>
      <w:r>
        <w:rPr>
          <w:rFonts w:hint="eastAsia" w:ascii="仿宋" w:hAnsi="仿宋" w:eastAsia="仿宋"/>
          <w:b w:val="0"/>
          <w:color w:val="000000"/>
        </w:rPr>
        <w:t>一</w:t>
      </w:r>
      <w:r>
        <w:rPr>
          <w:rStyle w:val="26"/>
          <w:rFonts w:hint="eastAsia" w:ascii="仿宋" w:hAnsi="仿宋" w:eastAsia="仿宋"/>
          <w:b w:val="0"/>
          <w:bCs w:val="0"/>
        </w:rPr>
        <w:t>般公共预算财政拨款项目支出决算表</w:t>
      </w:r>
      <w:bookmarkEnd w:id="166"/>
      <w:bookmarkEnd w:id="167"/>
      <w:bookmarkEnd w:id="168"/>
    </w:p>
    <w:p>
      <w:pPr>
        <w:pStyle w:val="3"/>
        <w:rPr>
          <w:rFonts w:ascii="仿宋" w:hAnsi="仿宋" w:eastAsia="仿宋"/>
          <w:color w:val="000000"/>
        </w:rPr>
      </w:pPr>
      <w:bookmarkStart w:id="169" w:name="_Toc15396628"/>
      <w:bookmarkStart w:id="170" w:name="_Toc2916"/>
      <w:bookmarkStart w:id="171" w:name="_Toc6146"/>
      <w:r>
        <w:rPr>
          <w:rStyle w:val="26"/>
          <w:rFonts w:hint="eastAsia" w:ascii="仿宋" w:hAnsi="仿宋" w:eastAsia="仿宋"/>
          <w:b w:val="0"/>
          <w:bCs w:val="0"/>
        </w:rPr>
        <w:t>十、</w:t>
      </w:r>
      <w:r>
        <w:rPr>
          <w:rFonts w:hint="eastAsia" w:ascii="仿宋" w:hAnsi="仿宋" w:eastAsia="仿宋"/>
          <w:b w:val="0"/>
          <w:color w:val="000000"/>
        </w:rPr>
        <w:t>一</w:t>
      </w:r>
      <w:r>
        <w:rPr>
          <w:rStyle w:val="26"/>
          <w:rFonts w:hint="eastAsia" w:ascii="仿宋" w:hAnsi="仿宋" w:eastAsia="仿宋"/>
          <w:b w:val="0"/>
          <w:bCs w:val="0"/>
        </w:rPr>
        <w:t>般公共预算财政拨款“三公”经费支出决算表</w:t>
      </w:r>
      <w:bookmarkEnd w:id="169"/>
      <w:bookmarkEnd w:id="170"/>
      <w:bookmarkEnd w:id="171"/>
    </w:p>
    <w:p>
      <w:pPr>
        <w:pStyle w:val="3"/>
        <w:rPr>
          <w:rFonts w:ascii="仿宋" w:hAnsi="仿宋" w:eastAsia="仿宋"/>
          <w:color w:val="000000"/>
        </w:rPr>
      </w:pPr>
      <w:bookmarkStart w:id="172" w:name="_Toc15396629"/>
      <w:bookmarkStart w:id="173" w:name="_Toc4462"/>
      <w:bookmarkStart w:id="174" w:name="_Toc4781"/>
      <w:r>
        <w:rPr>
          <w:rStyle w:val="26"/>
          <w:rFonts w:hint="eastAsia" w:ascii="仿宋" w:hAnsi="仿宋" w:eastAsia="仿宋"/>
          <w:b w:val="0"/>
          <w:bCs w:val="0"/>
        </w:rPr>
        <w:t>十一、</w:t>
      </w:r>
      <w:r>
        <w:rPr>
          <w:rFonts w:hint="eastAsia" w:ascii="仿宋" w:hAnsi="仿宋" w:eastAsia="仿宋"/>
          <w:b w:val="0"/>
          <w:color w:val="000000"/>
        </w:rPr>
        <w:t>政</w:t>
      </w:r>
      <w:r>
        <w:rPr>
          <w:rStyle w:val="26"/>
          <w:rFonts w:hint="eastAsia" w:ascii="仿宋" w:hAnsi="仿宋" w:eastAsia="仿宋"/>
          <w:b w:val="0"/>
          <w:bCs w:val="0"/>
        </w:rPr>
        <w:t>府性基金预算财政拨款收入支出决算表</w:t>
      </w:r>
      <w:bookmarkEnd w:id="172"/>
      <w:bookmarkEnd w:id="173"/>
      <w:bookmarkEnd w:id="174"/>
    </w:p>
    <w:p>
      <w:pPr>
        <w:pStyle w:val="3"/>
        <w:rPr>
          <w:rFonts w:ascii="仿宋" w:hAnsi="仿宋" w:eastAsia="仿宋"/>
          <w:color w:val="000000"/>
        </w:rPr>
      </w:pPr>
      <w:bookmarkStart w:id="175" w:name="_Toc15396630"/>
      <w:bookmarkStart w:id="176" w:name="_Toc25584"/>
      <w:bookmarkStart w:id="177" w:name="_Toc2475"/>
      <w:r>
        <w:rPr>
          <w:rStyle w:val="26"/>
          <w:rFonts w:hint="eastAsia" w:ascii="仿宋" w:hAnsi="仿宋" w:eastAsia="仿宋"/>
          <w:b w:val="0"/>
          <w:bCs w:val="0"/>
        </w:rPr>
        <w:t>十二、</w:t>
      </w:r>
      <w:r>
        <w:rPr>
          <w:rFonts w:hint="eastAsia" w:ascii="仿宋" w:hAnsi="仿宋" w:eastAsia="仿宋"/>
          <w:b w:val="0"/>
          <w:color w:val="000000"/>
        </w:rPr>
        <w:t>政</w:t>
      </w:r>
      <w:r>
        <w:rPr>
          <w:rStyle w:val="26"/>
          <w:rFonts w:hint="eastAsia" w:ascii="仿宋" w:hAnsi="仿宋" w:eastAsia="仿宋"/>
          <w:b w:val="0"/>
          <w:bCs w:val="0"/>
        </w:rPr>
        <w:t>府性基金预算财政拨款“三公”经费支出决算表</w:t>
      </w:r>
      <w:bookmarkEnd w:id="175"/>
      <w:bookmarkEnd w:id="176"/>
      <w:bookmarkEnd w:id="177"/>
    </w:p>
    <w:p>
      <w:pPr>
        <w:pStyle w:val="3"/>
        <w:rPr>
          <w:rFonts w:ascii="仿宋" w:hAnsi="仿宋" w:eastAsia="仿宋"/>
          <w:color w:val="000000" w:themeColor="text1"/>
        </w:rPr>
      </w:pPr>
      <w:bookmarkStart w:id="178" w:name="_Toc15396631"/>
      <w:bookmarkStart w:id="179" w:name="_Toc22711"/>
      <w:bookmarkStart w:id="180" w:name="_Toc3814"/>
      <w:r>
        <w:rPr>
          <w:rStyle w:val="26"/>
          <w:rFonts w:hint="eastAsia" w:ascii="仿宋" w:hAnsi="仿宋" w:eastAsia="仿宋"/>
          <w:b w:val="0"/>
          <w:bCs w:val="0"/>
        </w:rPr>
        <w:t>十三、</w:t>
      </w:r>
      <w:r>
        <w:rPr>
          <w:rFonts w:hint="eastAsia" w:ascii="仿宋" w:hAnsi="仿宋" w:eastAsia="仿宋"/>
          <w:b w:val="0"/>
          <w:color w:val="000000"/>
        </w:rPr>
        <w:t>国</w:t>
      </w:r>
      <w:r>
        <w:rPr>
          <w:rStyle w:val="26"/>
          <w:rFonts w:hint="eastAsia" w:ascii="仿宋" w:hAnsi="仿宋" w:eastAsia="仿宋"/>
          <w:b w:val="0"/>
          <w:bCs w:val="0"/>
        </w:rPr>
        <w:t>有资本经营预算支出决算表</w:t>
      </w:r>
      <w:bookmarkEnd w:id="178"/>
      <w:bookmarkEnd w:id="179"/>
      <w:bookmarkEnd w:id="180"/>
    </w:p>
    <w:sectPr>
      <w:headerReference r:id="rId3" w:type="default"/>
      <w:footerReference r:id="rId4" w:type="default"/>
      <w:pgSz w:w="11906" w:h="16838"/>
      <w:pgMar w:top="1440" w:right="1803" w:bottom="1440" w:left="1803"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2</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BA6A530"/>
    <w:multiLevelType w:val="singleLevel"/>
    <w:tmpl w:val="BBA6A530"/>
    <w:lvl w:ilvl="0" w:tentative="0">
      <w:start w:val="7"/>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06F6EA22"/>
    <w:multiLevelType w:val="singleLevel"/>
    <w:tmpl w:val="06F6EA22"/>
    <w:lvl w:ilvl="0" w:tentative="0">
      <w:start w:val="1"/>
      <w:numFmt w:val="decimal"/>
      <w:suff w:val="nothing"/>
      <w:lvlText w:val="（%1）"/>
      <w:lvlJc w:val="left"/>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7CB7AA98"/>
    <w:multiLevelType w:val="singleLevel"/>
    <w:tmpl w:val="7CB7AA98"/>
    <w:lvl w:ilvl="0" w:tentative="0">
      <w:start w:val="2"/>
      <w:numFmt w:val="chineseCounting"/>
      <w:suff w:val="nothing"/>
      <w:lvlText w:val="（%1）"/>
      <w:lvlJc w:val="left"/>
      <w:rPr>
        <w:rFonts w:hint="eastAsia"/>
      </w:rPr>
    </w:lvl>
  </w:abstractNum>
  <w:num w:numId="1">
    <w:abstractNumId w:val="3"/>
  </w:num>
  <w:num w:numId="2">
    <w:abstractNumId w:val="4"/>
  </w:num>
  <w:num w:numId="3">
    <w:abstractNumId w:val="1"/>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A72B72"/>
    <w:rsid w:val="03307327"/>
    <w:rsid w:val="0A3B151A"/>
    <w:rsid w:val="0B1B7567"/>
    <w:rsid w:val="10C055FF"/>
    <w:rsid w:val="13D60134"/>
    <w:rsid w:val="15524E7D"/>
    <w:rsid w:val="16BB723D"/>
    <w:rsid w:val="1863599A"/>
    <w:rsid w:val="1AD17A20"/>
    <w:rsid w:val="1BB17E9A"/>
    <w:rsid w:val="240371BF"/>
    <w:rsid w:val="29FD04D3"/>
    <w:rsid w:val="2A1A7B54"/>
    <w:rsid w:val="2B2864BA"/>
    <w:rsid w:val="319F7F4E"/>
    <w:rsid w:val="32FC2D3F"/>
    <w:rsid w:val="33914936"/>
    <w:rsid w:val="370D62C9"/>
    <w:rsid w:val="46C105C2"/>
    <w:rsid w:val="4AF45F17"/>
    <w:rsid w:val="4B1931D8"/>
    <w:rsid w:val="4DE853AF"/>
    <w:rsid w:val="4ECE2238"/>
    <w:rsid w:val="4F1F2CD4"/>
    <w:rsid w:val="57A70DE1"/>
    <w:rsid w:val="5A3B032C"/>
    <w:rsid w:val="6544707B"/>
    <w:rsid w:val="68AB6290"/>
    <w:rsid w:val="72734D90"/>
    <w:rsid w:val="797D772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4">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5">
    <w:name w:val="Body Text"/>
    <w:basedOn w:val="1"/>
    <w:link w:val="22"/>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8"/>
    <w:unhideWhenUsed/>
    <w:qFormat/>
    <w:uiPriority w:val="99"/>
    <w:rPr>
      <w:sz w:val="18"/>
      <w:szCs w:val="18"/>
    </w:rPr>
  </w:style>
  <w:style w:type="paragraph" w:styleId="8">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5">
    <w:name w:val="Strong"/>
    <w:basedOn w:val="14"/>
    <w:qFormat/>
    <w:uiPriority w:val="99"/>
    <w:rPr>
      <w:b/>
    </w:rPr>
  </w:style>
  <w:style w:type="character" w:styleId="16">
    <w:name w:val="Hyperlink"/>
    <w:basedOn w:val="14"/>
    <w:unhideWhenUsed/>
    <w:qFormat/>
    <w:uiPriority w:val="99"/>
    <w:rPr>
      <w:color w:val="0000FF" w:themeColor="hyperlink"/>
      <w:u w:val="single"/>
    </w:rPr>
  </w:style>
  <w:style w:type="character" w:customStyle="1" w:styleId="17">
    <w:name w:val="Header Char"/>
    <w:basedOn w:val="14"/>
    <w:semiHidden/>
    <w:qFormat/>
    <w:uiPriority w:val="99"/>
    <w:rPr>
      <w:rFonts w:ascii="Times New Roman" w:hAnsi="Times New Roman"/>
      <w:sz w:val="18"/>
      <w:szCs w:val="18"/>
    </w:rPr>
  </w:style>
  <w:style w:type="character" w:customStyle="1" w:styleId="18">
    <w:name w:val="页眉 字符"/>
    <w:link w:val="9"/>
    <w:semiHidden/>
    <w:qFormat/>
    <w:locked/>
    <w:uiPriority w:val="99"/>
    <w:rPr>
      <w:sz w:val="18"/>
    </w:rPr>
  </w:style>
  <w:style w:type="character" w:customStyle="1" w:styleId="19">
    <w:name w:val="Footer Char"/>
    <w:basedOn w:val="14"/>
    <w:semiHidden/>
    <w:qFormat/>
    <w:uiPriority w:val="99"/>
    <w:rPr>
      <w:rFonts w:ascii="Times New Roman" w:hAnsi="Times New Roman"/>
      <w:sz w:val="18"/>
      <w:szCs w:val="18"/>
    </w:rPr>
  </w:style>
  <w:style w:type="character" w:customStyle="1" w:styleId="20">
    <w:name w:val="页脚 字符"/>
    <w:link w:val="8"/>
    <w:qFormat/>
    <w:locked/>
    <w:uiPriority w:val="99"/>
    <w:rPr>
      <w:sz w:val="18"/>
    </w:rPr>
  </w:style>
  <w:style w:type="character" w:customStyle="1" w:styleId="21">
    <w:name w:val="Body Text Char"/>
    <w:basedOn w:val="14"/>
    <w:semiHidden/>
    <w:qFormat/>
    <w:uiPriority w:val="99"/>
    <w:rPr>
      <w:rFonts w:ascii="Times New Roman" w:hAnsi="Times New Roman"/>
      <w:szCs w:val="24"/>
    </w:rPr>
  </w:style>
  <w:style w:type="character" w:customStyle="1" w:styleId="22">
    <w:name w:val="正文文本 字符"/>
    <w:link w:val="5"/>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4">
    <w:name w:val="List Paragraph"/>
    <w:basedOn w:val="1"/>
    <w:qFormat/>
    <w:uiPriority w:val="34"/>
    <w:pPr>
      <w:ind w:firstLine="420" w:firstLineChars="200"/>
    </w:pPr>
  </w:style>
  <w:style w:type="character" w:customStyle="1" w:styleId="25">
    <w:name w:val="标题 1 字符"/>
    <w:basedOn w:val="14"/>
    <w:link w:val="2"/>
    <w:qFormat/>
    <w:uiPriority w:val="9"/>
    <w:rPr>
      <w:rFonts w:ascii="Times New Roman" w:hAnsi="Times New Roman"/>
      <w:b/>
      <w:bCs/>
      <w:kern w:val="44"/>
      <w:sz w:val="44"/>
      <w:szCs w:val="44"/>
    </w:rPr>
  </w:style>
  <w:style w:type="character" w:customStyle="1" w:styleId="26">
    <w:name w:val="标题 2 字符"/>
    <w:basedOn w:val="14"/>
    <w:link w:val="3"/>
    <w:qFormat/>
    <w:uiPriority w:val="9"/>
    <w:rPr>
      <w:rFonts w:asciiTheme="majorHAnsi" w:hAnsiTheme="majorHAnsi" w:eastAsiaTheme="majorEastAsia" w:cstheme="majorBidi"/>
      <w:b/>
      <w:bCs/>
      <w:kern w:val="2"/>
      <w:sz w:val="32"/>
      <w:szCs w:val="32"/>
    </w:rPr>
  </w:style>
  <w:style w:type="paragraph" w:customStyle="1" w:styleId="27">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8">
    <w:name w:val="批注框文本 字符"/>
    <w:basedOn w:val="14"/>
    <w:link w:val="7"/>
    <w:semiHidden/>
    <w:qFormat/>
    <w:uiPriority w:val="99"/>
    <w:rPr>
      <w:rFonts w:ascii="Times New Roman" w:hAnsi="Times New Roman"/>
      <w:kern w:val="2"/>
      <w:sz w:val="18"/>
      <w:szCs w:val="18"/>
    </w:rPr>
  </w:style>
  <w:style w:type="character" w:customStyle="1" w:styleId="29">
    <w:name w:val="标题 3 字符"/>
    <w:basedOn w:val="14"/>
    <w:link w:val="4"/>
    <w:qFormat/>
    <w:uiPriority w:val="9"/>
    <w:rPr>
      <w:rFonts w:ascii="Times New Roman" w:hAnsi="Times New Roman"/>
      <w:b/>
      <w:bCs/>
      <w:kern w:val="2"/>
      <w:sz w:val="32"/>
      <w:szCs w:val="32"/>
    </w:rPr>
  </w:style>
  <w:style w:type="paragraph" w:customStyle="1" w:styleId="30">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1">
    <w:name w:val="标题 2 Char"/>
    <w:basedOn w:val="14"/>
    <w:link w:val="3"/>
    <w:qFormat/>
    <w:uiPriority w:val="9"/>
    <w:rPr>
      <w:rFonts w:asciiTheme="majorHAnsi" w:hAnsiTheme="majorHAnsi" w:eastAsiaTheme="majorEastAsia" w:cstheme="majorBidi"/>
      <w:b/>
      <w:bCs/>
      <w:kern w:val="2"/>
      <w:sz w:val="32"/>
      <w:szCs w:val="32"/>
    </w:rPr>
  </w:style>
  <w:style w:type="character" w:customStyle="1" w:styleId="32">
    <w:name w:val="标题 1 Char"/>
    <w:basedOn w:val="14"/>
    <w:link w:val="2"/>
    <w:qFormat/>
    <w:uiPriority w:val="9"/>
    <w:rPr>
      <w:rFonts w:ascii="Times New Roman" w:hAnsi="Times New Roman"/>
      <w:b/>
      <w:bCs/>
      <w:kern w:val="44"/>
      <w:sz w:val="44"/>
      <w:szCs w:val="44"/>
    </w:rPr>
  </w:style>
  <w:style w:type="paragraph" w:customStyle="1" w:styleId="33">
    <w:name w:val="WPSOffice手动目录 1"/>
    <w:qFormat/>
    <w:uiPriority w:val="0"/>
    <w:pPr>
      <w:ind w:leftChars="0"/>
    </w:pPr>
    <w:rPr>
      <w:rFonts w:ascii="Calibri" w:hAnsi="Calibri" w:eastAsia="宋体" w:cs="Times New Roman"/>
      <w:sz w:val="20"/>
      <w:szCs w:val="20"/>
    </w:rPr>
  </w:style>
  <w:style w:type="paragraph" w:customStyle="1" w:styleId="34">
    <w:name w:val="WPSOffice手动目录 2"/>
    <w:uiPriority w:val="0"/>
    <w:pPr>
      <w:ind w:leftChars="200"/>
    </w:pPr>
    <w:rPr>
      <w:rFonts w:ascii="Calibri" w:hAnsi="Calibri" w:eastAsia="宋体" w:cs="Times New Roman"/>
      <w:sz w:val="20"/>
      <w:szCs w:val="20"/>
    </w:rPr>
  </w:style>
  <w:style w:type="paragraph" w:customStyle="1" w:styleId="35">
    <w:name w:val="WPSOffice手动目录 3"/>
    <w:qFormat/>
    <w:uiPriority w:val="0"/>
    <w:pPr>
      <w:ind w:leftChars="400"/>
    </w:pPr>
    <w:rPr>
      <w:rFonts w:ascii="Calibri" w:hAnsi="Calibri"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5.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6.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7.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2000" b="1" i="0" u="none" strike="noStrike" kern="1200" spc="0" baseline="0">
                <a:solidFill>
                  <a:schemeClr val="tx1">
                    <a:lumMod val="65000"/>
                    <a:lumOff val="35000"/>
                  </a:schemeClr>
                </a:solidFill>
                <a:latin typeface="+mn-lt"/>
                <a:ea typeface="+mn-ea"/>
                <a:cs typeface="+mn-cs"/>
              </a:defRPr>
            </a:pPr>
            <a:r>
              <a:rPr altLang="zh-CN" sz="2000" b="1"/>
              <a:t>收支决算总计变动情况图</a:t>
            </a:r>
            <a:endParaRPr altLang="zh-CN" sz="2000" b="1"/>
          </a:p>
        </c:rich>
      </c:tx>
      <c:layout/>
      <c:overlay val="0"/>
      <c:spPr>
        <a:noFill/>
        <a:ln>
          <a:noFill/>
        </a:ln>
        <a:effectLst/>
      </c:spPr>
    </c:title>
    <c:autoTitleDeleted val="0"/>
    <c:plotArea>
      <c:layout>
        <c:manualLayout>
          <c:layoutTarget val="inner"/>
          <c:xMode val="edge"/>
          <c:yMode val="edge"/>
          <c:x val="0.058575"/>
          <c:y val="0.105611654441728"/>
          <c:w val="0.91655"/>
          <c:h val="0.716566666666667"/>
        </c:manualLayout>
      </c:layout>
      <c:barChart>
        <c:barDir val="col"/>
        <c:grouping val="stacked"/>
        <c:varyColors val="0"/>
        <c:ser>
          <c:idx val="0"/>
          <c:order val="0"/>
          <c:tx>
            <c:strRef>
              <c:f>Sheet1!$B$1</c:f>
              <c:strCache>
                <c:ptCount val="1"/>
                <c:pt idx="0">
                  <c:v>金额</c:v>
                </c:pt>
              </c:strCache>
            </c:strRef>
          </c:tx>
          <c:spPr>
            <a:solidFill>
              <a:schemeClr val="accent1"/>
            </a:solidFill>
            <a:ln>
              <a:noFill/>
            </a:ln>
            <a:effectLst/>
          </c:spPr>
          <c:invertIfNegative val="0"/>
          <c:dLbls>
            <c:delete val="1"/>
          </c:dLbls>
          <c:cat>
            <c:strRef>
              <c:f>Sheet1!$A$2:$A$5</c:f>
              <c:strCache>
                <c:ptCount val="4"/>
                <c:pt idx="0">
                  <c:v>2019年收入</c:v>
                </c:pt>
                <c:pt idx="1">
                  <c:v>2018年收入</c:v>
                </c:pt>
                <c:pt idx="2">
                  <c:v>2019年支出</c:v>
                </c:pt>
                <c:pt idx="3">
                  <c:v>2018年支出</c:v>
                </c:pt>
              </c:strCache>
            </c:strRef>
          </c:cat>
          <c:val>
            <c:numRef>
              <c:f>Sheet1!$B$2:$B$5</c:f>
              <c:numCache>
                <c:formatCode>General</c:formatCode>
                <c:ptCount val="4"/>
                <c:pt idx="0">
                  <c:v>217.42</c:v>
                </c:pt>
                <c:pt idx="1">
                  <c:v>233.29</c:v>
                </c:pt>
                <c:pt idx="2">
                  <c:v>215.42</c:v>
                </c:pt>
                <c:pt idx="3">
                  <c:v>233.29</c:v>
                </c:pt>
              </c:numCache>
            </c:numRef>
          </c:val>
        </c:ser>
        <c:ser>
          <c:idx val="1"/>
          <c:order val="1"/>
          <c:tx>
            <c:strRef>
              <c:f>Sheet1!$C$1</c:f>
              <c:strCache>
                <c:ptCount val="1"/>
                <c:pt idx="0">
                  <c:v/>
                </c:pt>
              </c:strCache>
            </c:strRef>
          </c:tx>
          <c:spPr>
            <a:solidFill>
              <a:schemeClr val="accent2"/>
            </a:solidFill>
            <a:ln>
              <a:noFill/>
            </a:ln>
            <a:effectLst/>
          </c:spPr>
          <c:invertIfNegative val="0"/>
          <c:dLbls>
            <c:delete val="1"/>
          </c:dLbls>
          <c:cat>
            <c:strRef>
              <c:f>Sheet1!$A$2:$A$5</c:f>
              <c:strCache>
                <c:ptCount val="4"/>
                <c:pt idx="0">
                  <c:v>2019年收入</c:v>
                </c:pt>
                <c:pt idx="1">
                  <c:v>2018年收入</c:v>
                </c:pt>
                <c:pt idx="2">
                  <c:v>2019年支出</c:v>
                </c:pt>
                <c:pt idx="3">
                  <c:v>2018年支出</c:v>
                </c:pt>
              </c:strCache>
            </c:strRef>
          </c:cat>
          <c:val>
            <c:numRef>
              <c:f>Sheet1!$C$2:$C$5</c:f>
              <c:numCache>
                <c:formatCode>General</c:formatCode>
                <c:ptCount val="4"/>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2019年收入</c:v>
                </c:pt>
                <c:pt idx="1">
                  <c:v>2018年收入</c:v>
                </c:pt>
                <c:pt idx="2">
                  <c:v>2019年支出</c:v>
                </c:pt>
                <c:pt idx="3">
                  <c:v>2018年支出</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overlap val="100"/>
        <c:axId val="802132835"/>
        <c:axId val="422945108"/>
      </c:barChart>
      <c:catAx>
        <c:axId val="80213283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22945108"/>
        <c:crosses val="autoZero"/>
        <c:auto val="1"/>
        <c:lblAlgn val="ctr"/>
        <c:lblOffset val="100"/>
        <c:noMultiLvlLbl val="0"/>
      </c:catAx>
      <c:valAx>
        <c:axId val="4229451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02132835"/>
        <c:crosses val="autoZero"/>
        <c:crossBetween val="between"/>
      </c:valAx>
      <c:spPr>
        <a:noFill/>
        <a:ln>
          <a:noFill/>
        </a:ln>
        <a:effectLst/>
      </c:spPr>
    </c:plotArea>
    <c:legend>
      <c:legendPos val="b"/>
      <c:legendEntry>
        <c:idx val="1"/>
        <c:delete val="1"/>
      </c:legendEntry>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收入与决算情况说明</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Sheet1!$A$2:$A$3</c:f>
              <c:strCache>
                <c:ptCount val="2"/>
                <c:pt idx="0">
                  <c:v>一般公共预算收入</c:v>
                </c:pt>
                <c:pt idx="1">
                  <c:v>年初结转结余</c:v>
                </c:pt>
              </c:strCache>
            </c:strRef>
          </c:cat>
          <c:val>
            <c:numRef>
              <c:f>Sheet1!$B$2:$B$3</c:f>
              <c:numCache>
                <c:formatCode>General</c:formatCode>
                <c:ptCount val="2"/>
                <c:pt idx="0">
                  <c:v>87.19</c:v>
                </c:pt>
                <c:pt idx="1">
                  <c:v>12.81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153607755880483"/>
          <c:y val="0.90514763522341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支出情况说明</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Sheet1!$A$2:$A$3</c:f>
              <c:strCache>
                <c:ptCount val="2"/>
                <c:pt idx="0">
                  <c:v>基本支出</c:v>
                </c:pt>
                <c:pt idx="1">
                  <c:v>项目支出</c:v>
                </c:pt>
              </c:strCache>
            </c:strRef>
          </c:cat>
          <c:val>
            <c:numRef>
              <c:f>Sheet1!$B$2:$B$3</c:f>
              <c:numCache>
                <c:formatCode>General</c:formatCode>
                <c:ptCount val="2"/>
                <c:pt idx="0">
                  <c:v>155.1</c:v>
                </c:pt>
                <c:pt idx="1">
                  <c:v>60.32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2000" b="1" i="0" u="none" strike="noStrike" kern="1200" spc="0" baseline="0">
                <a:solidFill>
                  <a:schemeClr val="tx1">
                    <a:lumMod val="65000"/>
                    <a:lumOff val="35000"/>
                  </a:schemeClr>
                </a:solidFill>
                <a:latin typeface="+mn-lt"/>
                <a:ea typeface="+mn-ea"/>
                <a:cs typeface="+mn-cs"/>
              </a:defRPr>
            </a:pPr>
            <a:r>
              <a:rPr altLang="zh-CN" sz="2000" b="1"/>
              <a:t>收支决算总计变动情况图</a:t>
            </a:r>
            <a:endParaRPr altLang="zh-CN" sz="2000" b="1"/>
          </a:p>
        </c:rich>
      </c:tx>
      <c:layout/>
      <c:overlay val="0"/>
      <c:spPr>
        <a:noFill/>
        <a:ln>
          <a:noFill/>
        </a:ln>
        <a:effectLst/>
      </c:spPr>
    </c:title>
    <c:autoTitleDeleted val="0"/>
    <c:plotArea>
      <c:layout>
        <c:manualLayout>
          <c:layoutTarget val="inner"/>
          <c:xMode val="edge"/>
          <c:yMode val="edge"/>
          <c:x val="0.058575"/>
          <c:y val="0.105611654441728"/>
          <c:w val="0.91655"/>
          <c:h val="0.716566666666667"/>
        </c:manualLayout>
      </c:layout>
      <c:barChart>
        <c:barDir val="col"/>
        <c:grouping val="stacked"/>
        <c:varyColors val="0"/>
        <c:ser>
          <c:idx val="0"/>
          <c:order val="0"/>
          <c:tx>
            <c:strRef>
              <c:f>Sheet1!$B$1</c:f>
              <c:strCache>
                <c:ptCount val="1"/>
                <c:pt idx="0">
                  <c:v>金额</c:v>
                </c:pt>
              </c:strCache>
            </c:strRef>
          </c:tx>
          <c:spPr>
            <a:solidFill>
              <a:schemeClr val="accent1"/>
            </a:solidFill>
            <a:ln>
              <a:noFill/>
            </a:ln>
            <a:effectLst/>
          </c:spPr>
          <c:invertIfNegative val="0"/>
          <c:dLbls>
            <c:delete val="1"/>
          </c:dLbls>
          <c:cat>
            <c:strRef>
              <c:f>Sheet1!$A$2:$A$5</c:f>
              <c:strCache>
                <c:ptCount val="4"/>
                <c:pt idx="0">
                  <c:v>2019年收入</c:v>
                </c:pt>
                <c:pt idx="1">
                  <c:v>2018年收入</c:v>
                </c:pt>
                <c:pt idx="2">
                  <c:v>2019年支出</c:v>
                </c:pt>
                <c:pt idx="3">
                  <c:v>2018年支出</c:v>
                </c:pt>
              </c:strCache>
            </c:strRef>
          </c:cat>
          <c:val>
            <c:numRef>
              <c:f>Sheet1!$B$2:$B$5</c:f>
              <c:numCache>
                <c:formatCode>General</c:formatCode>
                <c:ptCount val="4"/>
                <c:pt idx="0">
                  <c:v>189.59</c:v>
                </c:pt>
                <c:pt idx="1">
                  <c:v>198.74</c:v>
                </c:pt>
                <c:pt idx="2">
                  <c:v>155.1</c:v>
                </c:pt>
                <c:pt idx="3">
                  <c:v>210.76</c:v>
                </c:pt>
              </c:numCache>
            </c:numRef>
          </c:val>
        </c:ser>
        <c:ser>
          <c:idx val="1"/>
          <c:order val="1"/>
          <c:tx>
            <c:strRef>
              <c:f>Sheet1!#REF!</c:f>
              <c:strCache>
                <c:ptCount val="1"/>
                <c:pt idx="0">
                  <c:v/>
                </c:pt>
              </c:strCache>
            </c:strRef>
          </c:tx>
          <c:spPr>
            <a:solidFill>
              <a:schemeClr val="accent2"/>
            </a:solidFill>
            <a:ln>
              <a:noFill/>
            </a:ln>
            <a:effectLst/>
          </c:spPr>
          <c:invertIfNegative val="0"/>
          <c:dLbls>
            <c:delete val="1"/>
          </c:dLbls>
          <c:cat>
            <c:strRef>
              <c:f>Sheet1!$A$2:$A$5</c:f>
              <c:strCache>
                <c:ptCount val="4"/>
                <c:pt idx="0">
                  <c:v>2019年收入</c:v>
                </c:pt>
                <c:pt idx="1">
                  <c:v>2018年收入</c:v>
                </c:pt>
                <c:pt idx="2">
                  <c:v>2019年支出</c:v>
                </c:pt>
                <c:pt idx="3">
                  <c:v>2018年支出</c:v>
                </c:pt>
              </c:strCache>
            </c:strRef>
          </c:cat>
          <c:val>
            <c:numRef>
              <c:f>Sheet1!#REF!</c:f>
              <c:numCache>
                <c:formatCode>General</c:formatCode>
                <c:ptCount val="1"/>
                <c:pt idx="0">
                  <c:v>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Sheet1!$A$2:$A$5</c:f>
              <c:strCache>
                <c:ptCount val="4"/>
                <c:pt idx="0">
                  <c:v>2019年收入</c:v>
                </c:pt>
                <c:pt idx="1">
                  <c:v>2018年收入</c:v>
                </c:pt>
                <c:pt idx="2">
                  <c:v>2019年支出</c:v>
                </c:pt>
                <c:pt idx="3">
                  <c:v>2018年支出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150"/>
        <c:overlap val="100"/>
        <c:axId val="802132835"/>
        <c:axId val="422945108"/>
      </c:barChart>
      <c:catAx>
        <c:axId val="80213283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22945108"/>
        <c:crosses val="autoZero"/>
        <c:auto val="1"/>
        <c:lblAlgn val="ctr"/>
        <c:lblOffset val="100"/>
        <c:noMultiLvlLbl val="0"/>
      </c:catAx>
      <c:valAx>
        <c:axId val="4229451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02132835"/>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600" b="1" i="0" u="none" strike="noStrike" kern="1200" spc="0" baseline="0">
                <a:solidFill>
                  <a:schemeClr val="tx1">
                    <a:lumMod val="65000"/>
                    <a:lumOff val="35000"/>
                  </a:schemeClr>
                </a:solidFill>
                <a:latin typeface="+mn-lt"/>
                <a:ea typeface="+mn-ea"/>
                <a:cs typeface="+mn-cs"/>
              </a:defRPr>
            </a:pPr>
            <a:r>
              <a:rPr sz="1600" b="1"/>
              <a:t>一般公共预算财政拨欧款支出决算变动情况图</a:t>
            </a:r>
            <a:endParaRPr sz="1600" b="1"/>
          </a:p>
        </c:rich>
      </c:tx>
      <c:layout>
        <c:manualLayout>
          <c:xMode val="edge"/>
          <c:yMode val="edge"/>
          <c:x val="0.10312413602433"/>
          <c:y val="0.0273161848395174"/>
        </c:manualLayout>
      </c:layout>
      <c:overlay val="0"/>
      <c:spPr>
        <a:noFill/>
        <a:ln>
          <a:noFill/>
        </a:ln>
        <a:effectLst/>
      </c:spPr>
    </c:title>
    <c:autoTitleDeleted val="0"/>
    <c:plotArea>
      <c:layout/>
      <c:barChart>
        <c:barDir val="col"/>
        <c:grouping val="stacked"/>
        <c:varyColors val="0"/>
        <c:ser>
          <c:idx val="0"/>
          <c:order val="0"/>
          <c:tx>
            <c:strRef>
              <c:f>Sheet1!$B$1</c:f>
              <c:strCache>
                <c:ptCount val="1"/>
                <c:pt idx="0">
                  <c:v>金额</c:v>
                </c:pt>
              </c:strCache>
            </c:strRef>
          </c:tx>
          <c:spPr>
            <a:solidFill>
              <a:schemeClr val="accent1"/>
            </a:solidFill>
            <a:ln>
              <a:noFill/>
            </a:ln>
            <a:effectLst/>
          </c:spPr>
          <c:invertIfNegative val="0"/>
          <c:dLbls>
            <c:delete val="1"/>
          </c:dLbls>
          <c:cat>
            <c:strRef>
              <c:f>Sheet1!$A$2:$A$5</c:f>
              <c:strCache>
                <c:ptCount val="4"/>
                <c:pt idx="0">
                  <c:v>2019年财政拨款支出</c:v>
                </c:pt>
                <c:pt idx="1">
                  <c:v>2018年财政拨款支出</c:v>
                </c:pt>
              </c:strCache>
            </c:strRef>
          </c:cat>
          <c:val>
            <c:numRef>
              <c:f>Sheet1!$B$2:$B$5</c:f>
              <c:numCache>
                <c:formatCode>General</c:formatCode>
                <c:ptCount val="4"/>
                <c:pt idx="0">
                  <c:v>189.59</c:v>
                </c:pt>
                <c:pt idx="1">
                  <c:v>198.74</c:v>
                </c:pt>
              </c:numCache>
            </c:numRef>
          </c:val>
        </c:ser>
        <c:ser>
          <c:idx val="1"/>
          <c:order val="1"/>
          <c:tx>
            <c:strRef>
              <c:f>Sheet1!$C$1</c:f>
              <c:strCache>
                <c:ptCount val="1"/>
                <c:pt idx="0">
                  <c:v/>
                </c:pt>
              </c:strCache>
            </c:strRef>
          </c:tx>
          <c:spPr>
            <a:solidFill>
              <a:schemeClr val="accent2"/>
            </a:solidFill>
            <a:ln>
              <a:noFill/>
            </a:ln>
            <a:effectLst/>
          </c:spPr>
          <c:invertIfNegative val="0"/>
          <c:dLbls>
            <c:delete val="1"/>
          </c:dLbls>
          <c:cat>
            <c:strRef>
              <c:f>Sheet1!$A$2:$A$5</c:f>
              <c:strCache>
                <c:ptCount val="4"/>
                <c:pt idx="0">
                  <c:v>2019年财政拨款支出</c:v>
                </c:pt>
                <c:pt idx="1">
                  <c:v>2018年财政拨款支出</c:v>
                </c:pt>
              </c:strCache>
            </c:strRef>
          </c:cat>
          <c:val>
            <c:numRef>
              <c:f>Sheet1!$C$2:$C$5</c:f>
              <c:numCache>
                <c:formatCode>General</c:formatCode>
                <c:ptCount val="4"/>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2019年财政拨款支出</c:v>
                </c:pt>
                <c:pt idx="1">
                  <c:v>2018年财政拨款支出</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overlap val="100"/>
        <c:axId val="200815528"/>
        <c:axId val="95358580"/>
      </c:barChart>
      <c:catAx>
        <c:axId val="20081552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5358580"/>
        <c:crosses val="autoZero"/>
        <c:auto val="1"/>
        <c:lblAlgn val="ctr"/>
        <c:lblOffset val="100"/>
        <c:noMultiLvlLbl val="0"/>
      </c:catAx>
      <c:valAx>
        <c:axId val="953585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00815528"/>
        <c:crosses val="autoZero"/>
        <c:crossBetween val="between"/>
      </c:valAx>
      <c:spPr>
        <a:noFill/>
        <a:ln>
          <a:noFill/>
        </a:ln>
        <a:effectLst/>
      </c:spPr>
    </c:plotArea>
    <c:legend>
      <c:legendPos val="b"/>
      <c:legendEntry>
        <c:idx val="1"/>
        <c:delete val="1"/>
      </c:legendEntry>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2000" b="1"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elete val="1"/>
          </c:dLbls>
          <c:cat>
            <c:strRef>
              <c:f>Sheet1!$A$2:$A$6</c:f>
              <c:strCache>
                <c:ptCount val="5"/>
                <c:pt idx="0">
                  <c:v>基本支出</c:v>
                </c:pt>
                <c:pt idx="1">
                  <c:v>社会保障和就业支出</c:v>
                </c:pt>
                <c:pt idx="2">
                  <c:v>医疗卫生和计划生育支出</c:v>
                </c:pt>
                <c:pt idx="3">
                  <c:v>住房保障支出</c:v>
                </c:pt>
                <c:pt idx="4">
                  <c:v>其他支出</c:v>
                </c:pt>
              </c:strCache>
            </c:strRef>
          </c:cat>
          <c:val>
            <c:numRef>
              <c:f>Sheet1!$B$2:$B$6</c:f>
              <c:numCache>
                <c:formatCode>General</c:formatCode>
                <c:ptCount val="5"/>
                <c:pt idx="0">
                  <c:v>75.8</c:v>
                </c:pt>
                <c:pt idx="1">
                  <c:v>9.1</c:v>
                </c:pt>
                <c:pt idx="2">
                  <c:v>3.2</c:v>
                </c:pt>
                <c:pt idx="3">
                  <c:v>5.2</c:v>
                </c:pt>
                <c:pt idx="4">
                  <c:v>6.7</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0384661473936489"/>
          <c:y val="0.909105586051017"/>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2000" b="1"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Sheet1!$A$2:$A$3</c:f>
              <c:strCache>
                <c:ptCount val="2"/>
                <c:pt idx="0">
                  <c:v>公务用车购置及运行维护费</c:v>
                </c:pt>
                <c:pt idx="1">
                  <c:v>公务接待费</c:v>
                </c:pt>
              </c:strCache>
            </c:strRef>
          </c:cat>
          <c:val>
            <c:numRef>
              <c:f>Sheet1!$B$2:$B$3</c:f>
              <c:numCache>
                <c:formatCode>General</c:formatCode>
                <c:ptCount val="2"/>
                <c:pt idx="0">
                  <c:v>97</c:v>
                </c:pt>
                <c:pt idx="1">
                  <c:v>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TotalTime>3</TotalTime>
  <ScaleCrop>false</ScaleCrop>
  <LinksUpToDate>false</LinksUpToDate>
  <CharactersWithSpaces>8587</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R.u.n 2</cp:lastModifiedBy>
  <cp:lastPrinted>2020-10-12T08:00:00Z</cp:lastPrinted>
  <dcterms:modified xsi:type="dcterms:W3CDTF">2020-10-27T09:21:46Z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