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96"/>
          <w:szCs w:val="96"/>
        </w:rPr>
      </w:pPr>
      <w:bookmarkStart w:id="1" w:name="_Toc15396475"/>
      <w:bookmarkStart w:id="2" w:name="_Toc15377425"/>
      <w:bookmarkStart w:id="3" w:name="_Toc15377193"/>
      <w:bookmarkStart w:id="4" w:name="_Toc15378441"/>
      <w:bookmarkStart w:id="5" w:name="_Toc15396597"/>
      <w:r>
        <w:rPr>
          <w:rFonts w:ascii="黑体" w:hAnsi="黑体" w:eastAsia="黑体"/>
          <w:color w:val="000000"/>
          <w:sz w:val="96"/>
          <w:szCs w:val="96"/>
        </w:rPr>
        <w:t>201</w:t>
      </w:r>
      <w:r>
        <w:rPr>
          <w:rFonts w:hint="eastAsia" w:ascii="黑体" w:hAnsi="黑体" w:eastAsia="黑体"/>
          <w:color w:val="000000"/>
          <w:sz w:val="96"/>
          <w:szCs w:val="96"/>
        </w:rPr>
        <w:t>8</w:t>
      </w:r>
      <w:r>
        <w:rPr>
          <w:rFonts w:hint="eastAsia" w:ascii="方正小标宋简体" w:hAnsi="宋体" w:eastAsia="方正小标宋简体"/>
          <w:color w:val="000000"/>
          <w:sz w:val="96"/>
          <w:szCs w:val="96"/>
        </w:rPr>
        <w:t>年度</w:t>
      </w:r>
      <w:bookmarkEnd w:id="0"/>
      <w:bookmarkEnd w:id="1"/>
      <w:bookmarkEnd w:id="2"/>
      <w:bookmarkEnd w:id="3"/>
      <w:bookmarkEnd w:id="4"/>
      <w:bookmarkEnd w:id="5"/>
      <w:bookmarkStart w:id="6" w:name="_Toc15306268"/>
      <w:bookmarkStart w:id="7" w:name="_Toc15396598"/>
      <w:bookmarkStart w:id="8" w:name="_Toc15377426"/>
      <w:bookmarkStart w:id="9" w:name="_Toc15377194"/>
      <w:bookmarkStart w:id="10" w:name="_Toc15396476"/>
      <w:bookmarkStart w:id="11" w:name="_Toc15378442"/>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中国共产主义青年团</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红原县委员会</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pStyle w:val="10"/>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5"/>
          <w:rFonts w:hint="eastAsia"/>
        </w:rPr>
        <w:t>第一部分</w:t>
      </w:r>
      <w:r>
        <w:rPr>
          <w:rStyle w:val="15"/>
        </w:rPr>
        <w:t xml:space="preserve"> </w:t>
      </w:r>
      <w:r>
        <w:rPr>
          <w:rStyle w:val="15"/>
          <w:rFonts w:hint="eastAsia"/>
        </w:rPr>
        <w:t>部门概况</w:t>
      </w:r>
      <w:r>
        <w:rPr>
          <w:rStyle w:val="15"/>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5"/>
          <w:rFonts w:hint="eastAsia" w:ascii="仿宋" w:hAnsi="仿宋" w:eastAsia="仿宋"/>
          <w:sz w:val="28"/>
          <w:szCs w:val="28"/>
        </w:rPr>
        <w:t>一、基本职能及主要工作</w:t>
      </w:r>
      <w:r>
        <w:rPr>
          <w:rStyle w:val="15"/>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5"/>
          <w:rFonts w:hint="eastAsia" w:ascii="仿宋" w:hAnsi="仿宋" w:eastAsia="仿宋"/>
          <w:sz w:val="28"/>
          <w:szCs w:val="28"/>
        </w:rPr>
        <w:t>二、机构设置</w:t>
      </w:r>
      <w:r>
        <w:rPr>
          <w:rStyle w:val="15"/>
          <w:rFonts w:hint="eastAsia"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rPr>
          <w:rStyle w:val="15"/>
          <w:rFonts w:hint="eastAsia"/>
        </w:rP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5"/>
          <w:rFonts w:hint="eastAsia" w:ascii="仿宋" w:hAnsi="仿宋" w:eastAsia="仿宋" w:cstheme="majorBidi"/>
          <w:bCs/>
          <w:sz w:val="28"/>
          <w:szCs w:val="28"/>
        </w:rPr>
        <w:t>一、</w:t>
      </w:r>
      <w:r>
        <w:rPr>
          <w:rStyle w:val="15"/>
          <w:rFonts w:hint="eastAsia" w:ascii="仿宋" w:hAnsi="仿宋" w:eastAsia="仿宋"/>
          <w:sz w:val="28"/>
          <w:szCs w:val="28"/>
        </w:rPr>
        <w:t>收</w:t>
      </w:r>
      <w:r>
        <w:rPr>
          <w:rStyle w:val="15"/>
          <w:rFonts w:hint="eastAsia" w:ascii="仿宋" w:hAnsi="仿宋" w:eastAsia="仿宋" w:cstheme="majorBidi"/>
          <w:bCs/>
          <w:sz w:val="28"/>
          <w:szCs w:val="28"/>
        </w:rPr>
        <w:t>入支出决算总体情况说明</w:t>
      </w:r>
      <w:r>
        <w:rPr>
          <w:rStyle w:val="15"/>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5"/>
          <w:rFonts w:hint="eastAsia" w:ascii="仿宋" w:hAnsi="仿宋" w:eastAsia="仿宋" w:cstheme="majorBidi"/>
          <w:bCs/>
          <w:sz w:val="28"/>
          <w:szCs w:val="28"/>
        </w:rPr>
        <w:t>二、</w:t>
      </w:r>
      <w:r>
        <w:rPr>
          <w:rStyle w:val="15"/>
          <w:rFonts w:hint="eastAsia" w:ascii="仿宋" w:hAnsi="仿宋" w:eastAsia="仿宋"/>
          <w:sz w:val="28"/>
          <w:szCs w:val="28"/>
        </w:rPr>
        <w:t>收</w:t>
      </w:r>
      <w:r>
        <w:rPr>
          <w:rStyle w:val="15"/>
          <w:rFonts w:hint="eastAsia" w:ascii="仿宋" w:hAnsi="仿宋" w:eastAsia="仿宋" w:cstheme="majorBidi"/>
          <w:bCs/>
          <w:sz w:val="28"/>
          <w:szCs w:val="28"/>
        </w:rPr>
        <w:t>入决算情况说明</w:t>
      </w:r>
      <w:r>
        <w:rPr>
          <w:rStyle w:val="15"/>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5"/>
          <w:rFonts w:hint="eastAsia" w:ascii="仿宋" w:hAnsi="仿宋" w:eastAsia="仿宋" w:cstheme="majorBidi"/>
          <w:bCs/>
          <w:sz w:val="28"/>
          <w:szCs w:val="28"/>
        </w:rPr>
        <w:t>三、</w:t>
      </w:r>
      <w:r>
        <w:rPr>
          <w:rStyle w:val="15"/>
          <w:rFonts w:hint="eastAsia" w:ascii="仿宋" w:hAnsi="仿宋" w:eastAsia="仿宋"/>
          <w:sz w:val="28"/>
          <w:szCs w:val="28"/>
        </w:rPr>
        <w:t>支</w:t>
      </w:r>
      <w:r>
        <w:rPr>
          <w:rStyle w:val="15"/>
          <w:rFonts w:hint="eastAsia" w:ascii="仿宋" w:hAnsi="仿宋" w:eastAsia="仿宋" w:cstheme="majorBidi"/>
          <w:bCs/>
          <w:sz w:val="28"/>
          <w:szCs w:val="28"/>
        </w:rPr>
        <w:t>出决算情况说明</w:t>
      </w:r>
      <w:r>
        <w:rPr>
          <w:rStyle w:val="15"/>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theme="majorBidi"/>
          <w:bCs/>
          <w:sz w:val="28"/>
          <w:szCs w:val="28"/>
        </w:rPr>
        <w:t>政拨款收入支出决算总体情况说明</w:t>
      </w:r>
      <w:r>
        <w:rPr>
          <w:rStyle w:val="15"/>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theme="majorBidi"/>
          <w:bCs/>
          <w:sz w:val="28"/>
          <w:szCs w:val="28"/>
        </w:rPr>
        <w:t>般公共预算财政拨款支出决算情况说明</w:t>
      </w:r>
      <w:r>
        <w:rPr>
          <w:rStyle w:val="15"/>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theme="majorBidi"/>
          <w:bCs/>
          <w:sz w:val="28"/>
          <w:szCs w:val="28"/>
        </w:rPr>
        <w:t>般公共预算财政拨款基本支出决算情况说明</w:t>
      </w:r>
      <w:r>
        <w:rPr>
          <w:rStyle w:val="15"/>
          <w:rFonts w:hint="eastAsia" w:ascii="仿宋" w:hAnsi="仿宋" w:eastAsia="仿宋" w:cstheme="majorBidi"/>
          <w:bCs/>
          <w:sz w:val="28"/>
          <w:szCs w:val="28"/>
        </w:rPr>
        <w:fldChar w:fldCharType="end"/>
      </w:r>
    </w:p>
    <w:p>
      <w:pPr>
        <w:pStyle w:val="11"/>
        <w:jc w:val="left"/>
        <w:rPr>
          <w:rFonts w:ascii="仿宋" w:hAnsi="仿宋" w:eastAsia="仿宋" w:cstheme="minorBidi"/>
          <w:sz w:val="28"/>
          <w:szCs w:val="28"/>
        </w:rPr>
      </w:pPr>
      <w:r>
        <w:fldChar w:fldCharType="begin"/>
      </w:r>
      <w:r>
        <w:instrText xml:space="preserve"> 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theme="majorBidi"/>
          <w:bCs/>
          <w:sz w:val="28"/>
          <w:szCs w:val="28"/>
        </w:rPr>
        <w:t>三公”经费财政拨款支出决算情况说明</w:t>
      </w:r>
      <w:r>
        <w:rPr>
          <w:rStyle w:val="15"/>
          <w:rFonts w:hint="eastAsia" w:ascii="仿宋" w:hAnsi="仿宋" w:eastAsia="仿宋" w:cstheme="majorBidi"/>
          <w:bCs/>
          <w:sz w:val="28"/>
          <w:szCs w:val="28"/>
        </w:rPr>
        <w:fldChar w:fldCharType="end"/>
      </w:r>
    </w:p>
    <w:p>
      <w:pPr>
        <w:pStyle w:val="11"/>
        <w:jc w:val="left"/>
        <w:rPr>
          <w:rFonts w:ascii="仿宋" w:hAnsi="仿宋" w:eastAsia="仿宋" w:cstheme="minorBidi"/>
          <w:sz w:val="28"/>
          <w:szCs w:val="28"/>
        </w:rPr>
      </w:pPr>
      <w:r>
        <w:fldChar w:fldCharType="begin"/>
      </w:r>
      <w:r>
        <w:instrText xml:space="preserve"> 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theme="majorBidi"/>
          <w:bCs/>
          <w:sz w:val="28"/>
          <w:szCs w:val="28"/>
        </w:rPr>
        <w:t>政府性基金预算支出决算情况说明</w:t>
      </w:r>
      <w:r>
        <w:rPr>
          <w:rStyle w:val="15"/>
          <w:rFonts w:hint="eastAsia" w:ascii="仿宋" w:hAnsi="仿宋" w:eastAsia="仿宋" w:cstheme="majorBidi"/>
          <w:bCs/>
          <w:sz w:val="28"/>
          <w:szCs w:val="28"/>
        </w:rPr>
        <w:fldChar w:fldCharType="end"/>
      </w:r>
    </w:p>
    <w:p>
      <w:pPr>
        <w:pStyle w:val="11"/>
        <w:jc w:val="left"/>
        <w:rPr>
          <w:rFonts w:ascii="仿宋" w:hAnsi="仿宋" w:eastAsia="仿宋"/>
          <w:sz w:val="28"/>
          <w:szCs w:val="28"/>
        </w:rPr>
      </w:pPr>
      <w:r>
        <w:fldChar w:fldCharType="begin"/>
      </w:r>
      <w:r>
        <w:instrText xml:space="preserve"> HYPERLINK \l "_Toc15396611" </w:instrText>
      </w:r>
      <w:r>
        <w:fldChar w:fldCharType="separate"/>
      </w:r>
      <w:r>
        <w:rPr>
          <w:rStyle w:val="15"/>
          <w:rFonts w:hint="eastAsia" w:ascii="仿宋" w:hAnsi="仿宋" w:eastAsia="仿宋" w:cstheme="majorBidi"/>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theme="majorBidi"/>
          <w:bCs/>
          <w:sz w:val="28"/>
          <w:szCs w:val="28"/>
        </w:rPr>
        <w:t>有资本经营预算支出决算情况说明</w:t>
      </w:r>
      <w:r>
        <w:rPr>
          <w:rStyle w:val="15"/>
          <w:rFonts w:hint="eastAsia" w:ascii="仿宋" w:hAnsi="仿宋" w:eastAsia="仿宋" w:cstheme="majorBidi"/>
          <w:bCs/>
          <w:sz w:val="28"/>
          <w:szCs w:val="28"/>
        </w:rPr>
        <w:fldChar w:fldCharType="end"/>
      </w:r>
    </w:p>
    <w:p>
      <w:pPr>
        <w:pStyle w:val="24"/>
        <w:spacing w:line="560" w:lineRule="exact"/>
        <w:ind w:firstLine="560"/>
        <w:jc w:val="left"/>
        <w:rPr>
          <w:rFonts w:eastAsia="仿宋"/>
        </w:rPr>
      </w:pPr>
      <w:r>
        <w:rPr>
          <w:rStyle w:val="26"/>
          <w:rFonts w:hint="eastAsia" w:ascii="仿宋_GB2312" w:hAnsi="仿宋_GB2312" w:eastAsia="仿宋_GB2312" w:cs="仿宋_GB2312"/>
          <w:b w:val="0"/>
          <w:sz w:val="28"/>
          <w:szCs w:val="28"/>
        </w:rPr>
        <w:t>十、预算绩效说明</w:t>
      </w:r>
    </w:p>
    <w:p>
      <w:pPr>
        <w:pStyle w:val="11"/>
        <w:spacing w:line="560" w:lineRule="exact"/>
        <w:ind w:left="0" w:leftChars="0" w:firstLine="420" w:firstLineChars="200"/>
        <w:jc w:val="left"/>
        <w:rPr>
          <w:rFonts w:ascii="仿宋" w:hAnsi="仿宋" w:eastAsia="仿宋" w:cstheme="minorBidi"/>
          <w:sz w:val="28"/>
          <w:szCs w:val="28"/>
        </w:rPr>
      </w:pPr>
      <w:r>
        <w:fldChar w:fldCharType="begin"/>
      </w:r>
      <w:r>
        <w:instrText xml:space="preserve"> 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cstheme="majorBidi"/>
          <w:bCs/>
          <w:sz w:val="28"/>
          <w:szCs w:val="28"/>
        </w:rPr>
        <w:t>一、其他重要事项的情况说明</w:t>
      </w:r>
      <w:r>
        <w:rPr>
          <w:rStyle w:val="15"/>
          <w:rFonts w:hint="eastAsia" w:ascii="仿宋" w:hAnsi="仿宋" w:eastAsia="仿宋" w:cstheme="majorBidi"/>
          <w:bCs/>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rPr>
          <w:rStyle w:val="15"/>
          <w:rFonts w:hint="eastAsia"/>
          <w:bCs/>
          <w:kern w:val="44"/>
        </w:rPr>
        <w:fldChar w:fldCharType="end"/>
      </w:r>
    </w:p>
    <w:p>
      <w:pPr>
        <w:pStyle w:val="10"/>
        <w:rPr>
          <w:rFonts w:cstheme="minorBidi"/>
        </w:rPr>
      </w:pPr>
      <w:r>
        <w:fldChar w:fldCharType="begin"/>
      </w:r>
      <w:r>
        <w:instrText xml:space="preserve"> HYPERLINK \l "_Toc15396614" </w:instrText>
      </w:r>
      <w:r>
        <w:fldChar w:fldCharType="separate"/>
      </w:r>
      <w:r>
        <w:rPr>
          <w:rStyle w:val="15"/>
          <w:rFonts w:hint="eastAsia"/>
        </w:rPr>
        <w:t>第</w:t>
      </w:r>
      <w:r>
        <w:rPr>
          <w:rStyle w:val="15"/>
          <w:rFonts w:hint="eastAsia"/>
          <w:bCs/>
          <w:kern w:val="44"/>
        </w:rPr>
        <w:t>四部分</w:t>
      </w:r>
      <w:r>
        <w:rPr>
          <w:rStyle w:val="15"/>
          <w:bCs/>
          <w:kern w:val="44"/>
        </w:rPr>
        <w:t xml:space="preserve"> </w:t>
      </w:r>
      <w:r>
        <w:rPr>
          <w:rStyle w:val="15"/>
          <w:rFonts w:hint="eastAsia"/>
          <w:bCs/>
          <w:kern w:val="44"/>
        </w:rPr>
        <w:t>附件</w:t>
      </w:r>
      <w:r>
        <w:rPr>
          <w:rStyle w:val="15"/>
          <w:rFonts w:hint="eastAsia"/>
          <w:bCs/>
          <w:kern w:val="44"/>
        </w:rP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Style w:val="15"/>
          <w:rFonts w:ascii="仿宋" w:hAnsi="仿宋" w:eastAsia="仿宋"/>
          <w:kern w:val="44"/>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2</w:t>
      </w:r>
      <w:r>
        <w:rPr>
          <w:rStyle w:val="15"/>
          <w:rFonts w:ascii="仿宋" w:hAnsi="仿宋" w:eastAsia="仿宋"/>
          <w:kern w:val="44"/>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5"/>
          <w:rFonts w:hint="eastAsia"/>
        </w:rPr>
        <w:t>第</w:t>
      </w:r>
      <w:r>
        <w:rPr>
          <w:rStyle w:val="15"/>
          <w:rFonts w:hint="eastAsia"/>
          <w:bCs/>
          <w:kern w:val="44"/>
        </w:rPr>
        <w:t>五部分</w:t>
      </w:r>
      <w:r>
        <w:rPr>
          <w:rStyle w:val="15"/>
          <w:bCs/>
          <w:kern w:val="44"/>
        </w:rPr>
        <w:t xml:space="preserve"> </w:t>
      </w:r>
      <w:r>
        <w:rPr>
          <w:rStyle w:val="15"/>
          <w:rFonts w:hint="eastAsia"/>
          <w:bCs/>
          <w:kern w:val="44"/>
        </w:rPr>
        <w:t>附表</w:t>
      </w:r>
      <w:r>
        <w:rPr>
          <w:rStyle w:val="15"/>
          <w:rFonts w:hint="eastAsia"/>
          <w:bCs/>
          <w:kern w:val="44"/>
        </w:rP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5"/>
          <w:rFonts w:hint="eastAsia" w:ascii="仿宋" w:hAnsi="仿宋" w:eastAsia="仿宋"/>
          <w:sz w:val="28"/>
          <w:szCs w:val="28"/>
        </w:rPr>
        <w:t>收入支出决算总表</w:t>
      </w:r>
      <w:r>
        <w:rPr>
          <w:rStyle w:val="15"/>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5"/>
          <w:rFonts w:hint="eastAsia" w:ascii="仿宋" w:hAnsi="仿宋" w:eastAsia="仿宋"/>
          <w:sz w:val="28"/>
          <w:szCs w:val="28"/>
        </w:rPr>
        <w:t>收入总表</w:t>
      </w:r>
      <w:r>
        <w:rPr>
          <w:rStyle w:val="15"/>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5"/>
          <w:rFonts w:hint="eastAsia" w:ascii="仿宋" w:hAnsi="仿宋" w:eastAsia="仿宋"/>
          <w:sz w:val="28"/>
          <w:szCs w:val="28"/>
        </w:rPr>
        <w:t>支出总表</w:t>
      </w:r>
      <w:r>
        <w:rPr>
          <w:rStyle w:val="15"/>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5"/>
          <w:rFonts w:hint="eastAsia" w:ascii="仿宋" w:hAnsi="仿宋" w:eastAsia="仿宋"/>
          <w:sz w:val="28"/>
          <w:szCs w:val="28"/>
        </w:rPr>
        <w:t>财政拨款收入支出决算总表</w:t>
      </w:r>
      <w:r>
        <w:rPr>
          <w:rStyle w:val="15"/>
          <w:rFonts w:hint="eastAsia"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5"/>
          <w:rFonts w:hint="eastAsia" w:ascii="仿宋" w:hAnsi="仿宋" w:eastAsia="仿宋"/>
          <w:sz w:val="28"/>
          <w:szCs w:val="28"/>
        </w:rPr>
        <w:t>一般公共预算财政拨款支出决算表</w:t>
      </w:r>
      <w:r>
        <w:rPr>
          <w:rStyle w:val="15"/>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5"/>
          <w:rFonts w:hint="eastAsia" w:ascii="仿宋" w:hAnsi="仿宋" w:eastAsia="仿宋"/>
          <w:sz w:val="28"/>
          <w:szCs w:val="28"/>
        </w:rPr>
        <w:t>一般公共预算财政拨款支出决算明细表</w:t>
      </w:r>
      <w:r>
        <w:rPr>
          <w:rStyle w:val="15"/>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5"/>
          <w:rFonts w:hint="eastAsia" w:ascii="仿宋" w:hAnsi="仿宋" w:eastAsia="仿宋"/>
          <w:sz w:val="28"/>
          <w:szCs w:val="28"/>
        </w:rPr>
        <w:t>一般公共预算财政拨款基本支出决算表</w:t>
      </w:r>
      <w:r>
        <w:rPr>
          <w:rStyle w:val="15"/>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5"/>
          <w:rFonts w:hint="eastAsia" w:ascii="仿宋" w:hAnsi="仿宋" w:eastAsia="仿宋"/>
          <w:sz w:val="28"/>
          <w:szCs w:val="28"/>
        </w:rPr>
        <w:t>一般公共预算财政拨款项目支出决算表</w:t>
      </w:r>
      <w:r>
        <w:rPr>
          <w:rStyle w:val="15"/>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5"/>
          <w:rFonts w:hint="eastAsia" w:ascii="仿宋" w:hAnsi="仿宋" w:eastAsia="仿宋"/>
          <w:sz w:val="28"/>
          <w:szCs w:val="28"/>
        </w:rPr>
        <w:t>一般公共预算财政拨款“三公”经费支出决算表</w:t>
      </w:r>
      <w:r>
        <w:rPr>
          <w:rStyle w:val="15"/>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5"/>
          <w:rFonts w:hint="eastAsia" w:ascii="仿宋" w:hAnsi="仿宋" w:eastAsia="仿宋"/>
          <w:sz w:val="28"/>
          <w:szCs w:val="28"/>
        </w:rPr>
        <w:t>政府性基金预算财政拨款收入支出决算表</w:t>
      </w:r>
      <w:r>
        <w:rPr>
          <w:rStyle w:val="15"/>
          <w:rFonts w:hint="eastAsia"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5"/>
          <w:rFonts w:hint="eastAsia" w:ascii="仿宋" w:hAnsi="仿宋" w:eastAsia="仿宋"/>
          <w:sz w:val="28"/>
          <w:szCs w:val="28"/>
        </w:rPr>
        <w:t>政府性基金预算财政拨款“三公”经费支出决算表</w:t>
      </w:r>
      <w:r>
        <w:rPr>
          <w:rStyle w:val="15"/>
          <w:rFonts w:hint="eastAsia" w:ascii="仿宋" w:hAnsi="仿宋" w:eastAsia="仿宋"/>
          <w:sz w:val="28"/>
          <w:szCs w:val="28"/>
        </w:rPr>
        <w:fldChar w:fldCharType="end"/>
      </w:r>
    </w:p>
    <w:p>
      <w:pPr>
        <w:pStyle w:val="11"/>
        <w:rPr>
          <w:rStyle w:val="15"/>
          <w:rFonts w:hint="eastAsia"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5"/>
          <w:rFonts w:hint="eastAsia" w:ascii="仿宋" w:hAnsi="仿宋" w:eastAsia="仿宋"/>
          <w:sz w:val="28"/>
          <w:szCs w:val="28"/>
        </w:rPr>
        <w:t>国有资本经营预算支出决算表</w:t>
      </w:r>
      <w:r>
        <w:rPr>
          <w:rStyle w:val="15"/>
          <w:rFonts w:hint="eastAsia" w:ascii="仿宋" w:hAnsi="仿宋" w:eastAsia="仿宋"/>
          <w:sz w:val="28"/>
          <w:szCs w:val="28"/>
        </w:rPr>
        <w:fldChar w:fldCharType="end"/>
      </w:r>
    </w:p>
    <w:p>
      <w:pPr>
        <w:ind w:firstLine="320" w:firstLineChars="100"/>
        <w:rPr>
          <w:rStyle w:val="26"/>
          <w:rFonts w:hint="eastAsia" w:ascii="仿宋" w:hAnsi="仿宋" w:eastAsia="仿宋"/>
          <w:b w:val="0"/>
          <w:bCs w:val="0"/>
          <w:lang w:val="en-US" w:eastAsia="zh-CN"/>
        </w:rPr>
      </w:pPr>
      <w:r>
        <w:rPr>
          <w:rStyle w:val="26"/>
          <w:rFonts w:hint="eastAsia" w:ascii="仿宋" w:hAnsi="仿宋" w:eastAsia="仿宋"/>
          <w:b w:val="0"/>
          <w:bCs w:val="0"/>
          <w:lang w:val="en-US" w:eastAsia="zh-CN"/>
        </w:rPr>
        <w:t>十四、整体支出绩效评价打分表</w:t>
      </w:r>
    </w:p>
    <w:p>
      <w:pPr>
        <w:ind w:firstLine="320" w:firstLineChars="100"/>
        <w:rPr>
          <w:rStyle w:val="26"/>
          <w:rFonts w:hint="eastAsia" w:ascii="仿宋" w:hAnsi="仿宋" w:eastAsia="仿宋"/>
          <w:b w:val="0"/>
          <w:bCs w:val="0"/>
          <w:lang w:val="en-US" w:eastAsia="zh-CN"/>
        </w:rPr>
      </w:pPr>
      <w:r>
        <w:rPr>
          <w:rStyle w:val="26"/>
          <w:rFonts w:hint="eastAsia" w:ascii="仿宋" w:hAnsi="仿宋" w:eastAsia="仿宋"/>
          <w:b w:val="0"/>
          <w:bCs w:val="0"/>
          <w:lang w:val="en-US" w:eastAsia="zh-CN"/>
        </w:rPr>
        <w:t>十五、项目支出绩效评价打分表</w:t>
      </w:r>
    </w:p>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3"/>
        <w:spacing w:line="560" w:lineRule="exact"/>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adjustRightInd w:val="0"/>
        <w:snapToGrid w:val="0"/>
        <w:spacing w:before="93" w:line="560" w:lineRule="exact"/>
        <w:ind w:firstLine="675" w:firstLineChars="210"/>
        <w:outlineLvl w:val="2"/>
        <w:rPr>
          <w:rFonts w:ascii="楷体" w:hAnsi="楷体" w:eastAsia="楷体" w:cs="楷体"/>
          <w:b/>
          <w:color w:val="000000"/>
          <w:sz w:val="32"/>
          <w:szCs w:val="32"/>
        </w:rPr>
      </w:pPr>
      <w:bookmarkStart w:id="16" w:name="_Toc15378445"/>
      <w:bookmarkStart w:id="17" w:name="_Toc15377198"/>
      <w:r>
        <w:rPr>
          <w:rFonts w:hint="eastAsia" w:ascii="楷体" w:hAnsi="楷体" w:eastAsia="楷体" w:cs="楷体"/>
          <w:b/>
          <w:color w:val="000000"/>
          <w:sz w:val="32"/>
          <w:szCs w:val="32"/>
        </w:rPr>
        <w:t>（一）主要职能。</w:t>
      </w:r>
    </w:p>
    <w:p>
      <w:pPr>
        <w:pStyle w:val="5"/>
        <w:numPr>
          <w:ilvl w:val="0"/>
          <w:numId w:val="1"/>
        </w:numPr>
        <w:adjustRightInd w:val="0"/>
        <w:snapToGrid w:val="0"/>
        <w:spacing w:before="93" w:line="576" w:lineRule="exact"/>
        <w:ind w:left="441" w:leftChars="210" w:firstLine="300" w:firstLineChars="100"/>
        <w:rPr>
          <w:rFonts w:hAnsi="仿宋_GB2312" w:cs="仿宋_GB2312"/>
          <w:bCs/>
          <w:kern w:val="2"/>
          <w:szCs w:val="30"/>
        </w:rPr>
      </w:pPr>
      <w:r>
        <w:rPr>
          <w:rFonts w:hint="eastAsia" w:hAnsi="仿宋_GB2312" w:cs="仿宋_GB2312"/>
          <w:bCs/>
          <w:kern w:val="2"/>
          <w:szCs w:val="30"/>
        </w:rPr>
        <w:t>.行使领导全县共青团工作、领导全县青联和少先队工作的职权，对全县性青年社团组织进行指导和管理。</w:t>
      </w:r>
    </w:p>
    <w:p>
      <w:pPr>
        <w:pStyle w:val="5"/>
        <w:numPr>
          <w:ilvl w:val="0"/>
          <w:numId w:val="1"/>
        </w:numPr>
        <w:adjustRightInd w:val="0"/>
        <w:snapToGrid w:val="0"/>
        <w:spacing w:before="93" w:line="576" w:lineRule="exact"/>
        <w:ind w:left="441" w:leftChars="210" w:firstLine="300" w:firstLineChars="100"/>
        <w:rPr>
          <w:rFonts w:hAnsi="仿宋_GB2312" w:cs="仿宋_GB2312"/>
          <w:bCs/>
          <w:kern w:val="2"/>
          <w:szCs w:val="30"/>
        </w:rPr>
      </w:pPr>
      <w:r>
        <w:rPr>
          <w:rFonts w:hint="eastAsia" w:hAnsi="仿宋_GB2312" w:cs="仿宋_GB2312"/>
          <w:bCs/>
          <w:kern w:val="2"/>
          <w:szCs w:val="30"/>
        </w:rPr>
        <w:t>.参与制定我县青少年事业发展规划和青少年工作方针、政策，对我县青少年活动阵地、青少年服务机构建设等进行规划和管理。</w:t>
      </w:r>
    </w:p>
    <w:p>
      <w:pPr>
        <w:pStyle w:val="5"/>
        <w:numPr>
          <w:ilvl w:val="0"/>
          <w:numId w:val="1"/>
        </w:numPr>
        <w:adjustRightInd w:val="0"/>
        <w:snapToGrid w:val="0"/>
        <w:spacing w:before="93" w:line="576" w:lineRule="exact"/>
        <w:ind w:left="441" w:leftChars="210" w:firstLine="300" w:firstLineChars="100"/>
        <w:rPr>
          <w:rFonts w:hAnsi="仿宋_GB2312" w:cs="仿宋_GB2312"/>
          <w:bCs/>
          <w:kern w:val="2"/>
          <w:szCs w:val="30"/>
        </w:rPr>
      </w:pPr>
      <w:r>
        <w:rPr>
          <w:rFonts w:hint="eastAsia" w:hAnsi="仿宋_GB2312" w:cs="仿宋_GB2312"/>
          <w:bCs/>
          <w:kern w:val="2"/>
          <w:szCs w:val="30"/>
        </w:rPr>
        <w:t>.调查青年动态和青年工作状况，研究青少年运动，青少年工作理论和思想教育问题，提出相应对策，开展各种活动。</w:t>
      </w:r>
    </w:p>
    <w:p>
      <w:pPr>
        <w:pStyle w:val="5"/>
        <w:numPr>
          <w:ilvl w:val="0"/>
          <w:numId w:val="1"/>
        </w:numPr>
        <w:adjustRightInd w:val="0"/>
        <w:snapToGrid w:val="0"/>
        <w:spacing w:before="93" w:line="576" w:lineRule="exact"/>
        <w:ind w:left="441" w:leftChars="210" w:firstLine="300" w:firstLineChars="100"/>
        <w:rPr>
          <w:rFonts w:hAnsi="仿宋_GB2312" w:cs="仿宋_GB2312"/>
          <w:bCs/>
          <w:kern w:val="2"/>
          <w:szCs w:val="30"/>
        </w:rPr>
      </w:pPr>
      <w:r>
        <w:rPr>
          <w:rFonts w:hint="eastAsia" w:hAnsi="仿宋_GB2312" w:cs="仿宋_GB2312"/>
          <w:bCs/>
          <w:kern w:val="2"/>
          <w:szCs w:val="30"/>
        </w:rPr>
        <w:t>.协助政府教育部门，做好中、小学生的教育管理工作，维持学校稳定和社会安定团结。</w:t>
      </w:r>
    </w:p>
    <w:p>
      <w:pPr>
        <w:pStyle w:val="5"/>
        <w:numPr>
          <w:ilvl w:val="0"/>
          <w:numId w:val="1"/>
        </w:numPr>
        <w:adjustRightInd w:val="0"/>
        <w:snapToGrid w:val="0"/>
        <w:spacing w:before="93" w:line="576" w:lineRule="exact"/>
        <w:ind w:left="441" w:leftChars="210" w:firstLine="300" w:firstLineChars="100"/>
        <w:rPr>
          <w:rFonts w:hAnsi="仿宋_GB2312" w:cs="仿宋_GB2312"/>
          <w:bCs/>
          <w:kern w:val="2"/>
          <w:szCs w:val="30"/>
        </w:rPr>
      </w:pPr>
      <w:r>
        <w:rPr>
          <w:rFonts w:hint="eastAsia" w:hAnsi="仿宋_GB2312" w:cs="仿宋_GB2312"/>
          <w:bCs/>
          <w:kern w:val="2"/>
          <w:szCs w:val="30"/>
        </w:rPr>
        <w:t>.在经济建设中，组织和带领青年发挥生力军和突击队作用。</w:t>
      </w:r>
    </w:p>
    <w:p>
      <w:pPr>
        <w:pStyle w:val="5"/>
        <w:numPr>
          <w:ilvl w:val="0"/>
          <w:numId w:val="1"/>
        </w:numPr>
        <w:adjustRightInd w:val="0"/>
        <w:snapToGrid w:val="0"/>
        <w:spacing w:before="93" w:line="576" w:lineRule="exact"/>
        <w:ind w:left="441" w:leftChars="210" w:firstLine="300" w:firstLineChars="100"/>
        <w:rPr>
          <w:rFonts w:hAnsi="仿宋_GB2312" w:cs="仿宋_GB2312"/>
          <w:bCs/>
          <w:kern w:val="2"/>
          <w:szCs w:val="30"/>
        </w:rPr>
      </w:pPr>
      <w:r>
        <w:rPr>
          <w:rFonts w:hint="eastAsia" w:hAnsi="仿宋_GB2312" w:cs="仿宋_GB2312"/>
          <w:bCs/>
          <w:kern w:val="2"/>
          <w:szCs w:val="30"/>
        </w:rPr>
        <w:t>.会同有关部门对全县青少年外事工作进行归口管理和提供服务。</w:t>
      </w:r>
    </w:p>
    <w:p>
      <w:pPr>
        <w:pStyle w:val="5"/>
        <w:numPr>
          <w:ilvl w:val="0"/>
          <w:numId w:val="1"/>
        </w:numPr>
        <w:adjustRightInd w:val="0"/>
        <w:snapToGrid w:val="0"/>
        <w:spacing w:before="93" w:line="576" w:lineRule="exact"/>
        <w:ind w:left="441" w:leftChars="210" w:firstLine="300" w:firstLineChars="100"/>
        <w:rPr>
          <w:rFonts w:hAnsi="仿宋_GB2312" w:cs="仿宋_GB2312"/>
          <w:bCs/>
          <w:kern w:val="2"/>
          <w:szCs w:val="30"/>
        </w:rPr>
      </w:pPr>
      <w:r>
        <w:rPr>
          <w:rFonts w:hint="eastAsia" w:hAnsi="仿宋_GB2312" w:cs="仿宋_GB2312"/>
          <w:bCs/>
          <w:kern w:val="2"/>
          <w:szCs w:val="30"/>
        </w:rPr>
        <w:t>.做好我县青年统战对象和团结教育工作，维护、促进祖国统一和民族团结。</w:t>
      </w:r>
    </w:p>
    <w:p>
      <w:pPr>
        <w:pStyle w:val="5"/>
        <w:numPr>
          <w:ilvl w:val="0"/>
          <w:numId w:val="1"/>
        </w:numPr>
        <w:adjustRightInd w:val="0"/>
        <w:snapToGrid w:val="0"/>
        <w:spacing w:before="93" w:line="576" w:lineRule="exact"/>
        <w:ind w:left="441" w:leftChars="210" w:firstLine="300" w:firstLineChars="100"/>
        <w:rPr>
          <w:rFonts w:ascii="仿宋" w:hAnsi="仿宋" w:eastAsia="仿宋"/>
          <w:bCs/>
          <w:color w:val="000000"/>
          <w:sz w:val="32"/>
          <w:szCs w:val="32"/>
        </w:rPr>
      </w:pPr>
      <w:r>
        <w:rPr>
          <w:rFonts w:hint="eastAsia" w:hAnsi="仿宋_GB2312" w:cs="仿宋_GB2312"/>
          <w:bCs/>
          <w:kern w:val="2"/>
          <w:szCs w:val="30"/>
        </w:rPr>
        <w:t>.承担中共红原县委、红原县人民政府和共青团阿坝州委交办的有关事项。</w:t>
      </w:r>
    </w:p>
    <w:bookmarkEnd w:id="16"/>
    <w:bookmarkEnd w:id="17"/>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1.切实践行社会主义核心价值观</w:t>
      </w:r>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2.围绕党政中心，组织团员青年投身经济社会发展</w:t>
      </w:r>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3.加强深化青少年关心关爱</w:t>
      </w:r>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4.继续推动资助贫困学生，圆校园梦工作</w:t>
      </w:r>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5.继续推进共青团改革工作</w:t>
      </w:r>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6.促进稳定和谐，真心实意为群众解难事办实事</w:t>
      </w:r>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7.在上级帮助支持下大力推动青年就业创业</w:t>
      </w:r>
    </w:p>
    <w:p>
      <w:pPr>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8.预防青少年犯罪、维护青少年权益</w:t>
      </w:r>
    </w:p>
    <w:p>
      <w:pPr>
        <w:snapToGrid w:val="0"/>
        <w:spacing w:line="576" w:lineRule="exact"/>
        <w:ind w:firstLine="640" w:firstLineChars="200"/>
        <w:rPr>
          <w:rFonts w:ascii="仿宋" w:hAnsi="仿宋" w:eastAsia="仿宋"/>
          <w:bCs/>
          <w:color w:val="000000"/>
          <w:sz w:val="32"/>
          <w:szCs w:val="32"/>
        </w:rPr>
      </w:pPr>
      <w:r>
        <w:rPr>
          <w:rFonts w:hint="eastAsia" w:ascii="仿宋_GB2312" w:hAnsi="仿宋" w:eastAsia="仿宋_GB2312"/>
          <w:sz w:val="32"/>
          <w:szCs w:val="32"/>
        </w:rPr>
        <w:t>9.新媒体工作顺利实施，再上新台阶</w:t>
      </w:r>
    </w:p>
    <w:p>
      <w:pPr>
        <w:pStyle w:val="3"/>
        <w:spacing w:line="560" w:lineRule="exact"/>
        <w:rPr>
          <w:rStyle w:val="26"/>
          <w:rFonts w:ascii="楷体" w:hAnsi="楷体" w:eastAsia="楷体" w:cs="楷体"/>
          <w:b/>
          <w:bCs w:val="0"/>
        </w:rPr>
      </w:pPr>
      <w:bookmarkStart w:id="20" w:name="_Toc15377200"/>
      <w:bookmarkStart w:id="21" w:name="_Toc15396601"/>
      <w:r>
        <w:rPr>
          <w:rFonts w:hint="eastAsia" w:ascii="楷体" w:hAnsi="楷体" w:eastAsia="楷体" w:cs="楷体"/>
          <w:bCs w:val="0"/>
          <w:color w:val="000000"/>
        </w:rPr>
        <w:t>二、机</w:t>
      </w:r>
      <w:r>
        <w:rPr>
          <w:rStyle w:val="26"/>
          <w:rFonts w:hint="eastAsia" w:ascii="楷体" w:hAnsi="楷体" w:eastAsia="楷体" w:cs="楷体"/>
          <w:b/>
          <w:bCs w:val="0"/>
        </w:rPr>
        <w:t>构设置</w:t>
      </w:r>
      <w:bookmarkEnd w:id="20"/>
      <w:bookmarkEnd w:id="21"/>
    </w:p>
    <w:p>
      <w:pPr>
        <w:pStyle w:val="5"/>
        <w:adjustRightInd w:val="0"/>
        <w:snapToGrid w:val="0"/>
        <w:spacing w:before="93" w:line="560" w:lineRule="exact"/>
        <w:ind w:firstLine="672" w:firstLineChars="210"/>
        <w:rPr>
          <w:rFonts w:hAnsi="仿宋_GB2312" w:cs="仿宋_GB2312"/>
          <w:bCs/>
          <w:sz w:val="32"/>
          <w:szCs w:val="32"/>
        </w:rPr>
      </w:pPr>
      <w:r>
        <w:rPr>
          <w:rFonts w:hint="eastAsia" w:hAnsi="仿宋_GB2312" w:cs="仿宋_GB2312"/>
          <w:bCs/>
          <w:sz w:val="32"/>
          <w:szCs w:val="32"/>
        </w:rPr>
        <w:t>我单位为独立核算全额拨款行政单位，下设青少年宫、关工委机构。机构截止至2018年12月31日无机构变动情况。</w:t>
      </w:r>
    </w:p>
    <w:p>
      <w:pPr>
        <w:snapToGrid w:val="0"/>
        <w:spacing w:line="576" w:lineRule="exact"/>
        <w:ind w:firstLine="640" w:firstLineChars="200"/>
        <w:rPr>
          <w:rFonts w:ascii="仿宋_GB2312" w:hAnsi="仿宋_GB2312" w:eastAsia="仿宋_GB2312" w:cs="仿宋_GB2312"/>
          <w:bCs/>
          <w:sz w:val="30"/>
          <w:szCs w:val="30"/>
        </w:rPr>
      </w:pPr>
      <w:r>
        <w:rPr>
          <w:rFonts w:hint="eastAsia" w:hAnsi="仿宋_GB2312" w:cs="仿宋_GB2312"/>
          <w:bCs/>
          <w:sz w:val="32"/>
          <w:szCs w:val="32"/>
        </w:rPr>
        <w:t>人员情况：</w:t>
      </w:r>
      <w:r>
        <w:rPr>
          <w:rFonts w:hint="eastAsia" w:ascii="仿宋_GB2312" w:hAnsi="仿宋_GB2312" w:eastAsia="仿宋_GB2312" w:cs="仿宋_GB2312"/>
          <w:bCs/>
          <w:sz w:val="32"/>
          <w:szCs w:val="32"/>
        </w:rPr>
        <w:t>截止2018年底我单位共有编制9个，团县委编制3个，青少年宫4个，关工委2个。其中公务员编制3个，事业编制6个，在职9人，其中参公0人，公务员3人，事业编制6人。截止2018年底我委新增3人，其中2人为事业单位招聘考入，1人为乡下调入。</w:t>
      </w:r>
    </w:p>
    <w:p>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纳入2018年度部门决算编制范围的下设机构包括：</w:t>
      </w:r>
    </w:p>
    <w:p>
      <w:pPr>
        <w:pStyle w:val="5"/>
        <w:adjustRightInd w:val="0"/>
        <w:snapToGrid w:val="0"/>
        <w:spacing w:before="93" w:line="600" w:lineRule="exact"/>
        <w:ind w:left="672"/>
        <w:outlineLvl w:val="2"/>
        <w:rPr>
          <w:rFonts w:ascii="仿宋" w:hAnsi="仿宋" w:eastAsia="仿宋"/>
          <w:color w:val="000000"/>
          <w:sz w:val="32"/>
          <w:szCs w:val="32"/>
        </w:rPr>
      </w:pPr>
      <w:r>
        <w:rPr>
          <w:rFonts w:hint="eastAsia" w:ascii="仿宋" w:hAnsi="仿宋" w:eastAsia="仿宋"/>
          <w:color w:val="000000"/>
          <w:sz w:val="32"/>
          <w:szCs w:val="32"/>
        </w:rPr>
        <w:t>1.四川省阿坝州红原县青少年宫</w:t>
      </w:r>
    </w:p>
    <w:p>
      <w:pPr>
        <w:pStyle w:val="2"/>
        <w:ind w:right="440"/>
        <w:jc w:val="cente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2018年度部门决算情况说明</w:t>
      </w:r>
      <w:bookmarkEnd w:id="22"/>
      <w:bookmarkEnd w:id="23"/>
    </w:p>
    <w:p>
      <w:pPr>
        <w:pStyle w:val="24"/>
        <w:numPr>
          <w:ilvl w:val="0"/>
          <w:numId w:val="2"/>
        </w:numPr>
        <w:spacing w:line="600" w:lineRule="exact"/>
        <w:ind w:firstLineChars="0"/>
        <w:outlineLvl w:val="1"/>
        <w:rPr>
          <w:rStyle w:val="26"/>
          <w:rFonts w:ascii="楷体" w:hAnsi="楷体" w:eastAsia="楷体" w:cs="楷体"/>
        </w:rPr>
      </w:pPr>
      <w:bookmarkStart w:id="24" w:name="_Toc15377205"/>
      <w:bookmarkStart w:id="25" w:name="_Toc15396603"/>
      <w:r>
        <w:rPr>
          <w:rFonts w:hint="eastAsia" w:ascii="楷体" w:hAnsi="楷体" w:eastAsia="楷体" w:cs="楷体"/>
          <w:b/>
          <w:bCs/>
          <w:color w:val="000000"/>
          <w:sz w:val="32"/>
          <w:szCs w:val="32"/>
        </w:rPr>
        <w:t>收</w:t>
      </w:r>
      <w:r>
        <w:rPr>
          <w:rStyle w:val="26"/>
          <w:rFonts w:hint="eastAsia" w:ascii="楷体" w:hAnsi="楷体" w:eastAsia="楷体" w:cs="楷体"/>
        </w:rPr>
        <w:t>入支出决算总体情况说明</w:t>
      </w:r>
      <w:bookmarkEnd w:id="24"/>
      <w:bookmarkEnd w:id="25"/>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t>2018年度收入总计198.77万元；2018年度支出总计210.76万元。与2017年相比，收入增加48.02万元，支出总计增加60.01万元。主要变动原因是2018年部门新增事业单位人员3名，西部计划志愿者4名，人员经费增加，日常公用经费增加。</w:t>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4"/>
        <w:spacing w:line="600" w:lineRule="exact"/>
        <w:ind w:firstLine="0" w:firstLineChars="0"/>
        <w:outlineLvl w:val="1"/>
        <w:rPr>
          <w:rFonts w:ascii="黑体" w:hAnsi="黑体" w:eastAsia="黑体"/>
          <w:color w:val="000000"/>
          <w:sz w:val="32"/>
          <w:szCs w:val="32"/>
        </w:rPr>
      </w:pPr>
      <w:bookmarkStart w:id="26" w:name="_Toc15377206"/>
      <w:bookmarkStart w:id="27" w:name="_Toc15396604"/>
      <w:r>
        <w:rPr>
          <w:rFonts w:hint="eastAsia" w:ascii="黑体" w:hAnsi="黑体" w:eastAsia="黑体"/>
          <w:color w:val="000000"/>
          <w:sz w:val="32"/>
          <w:szCs w:val="32"/>
        </w:rPr>
        <w:drawing>
          <wp:anchor distT="0" distB="0" distL="114300" distR="114300" simplePos="0" relativeHeight="251659264" behindDoc="0" locked="0" layoutInCell="1" allowOverlap="1">
            <wp:simplePos x="0" y="0"/>
            <wp:positionH relativeFrom="column">
              <wp:posOffset>242570</wp:posOffset>
            </wp:positionH>
            <wp:positionV relativeFrom="paragraph">
              <wp:posOffset>304165</wp:posOffset>
            </wp:positionV>
            <wp:extent cx="4651375" cy="3401060"/>
            <wp:effectExtent l="4445" t="4445" r="11430" b="2349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4"/>
        <w:spacing w:line="600" w:lineRule="exact"/>
        <w:ind w:firstLine="0" w:firstLineChars="0"/>
        <w:outlineLvl w:val="1"/>
        <w:rPr>
          <w:rFonts w:ascii="黑体" w:hAnsi="黑体" w:eastAsia="黑体"/>
          <w:color w:val="000000"/>
          <w:sz w:val="32"/>
          <w:szCs w:val="32"/>
        </w:rPr>
      </w:pPr>
    </w:p>
    <w:p>
      <w:pPr>
        <w:pStyle w:val="24"/>
        <w:spacing w:line="600" w:lineRule="exact"/>
        <w:ind w:firstLine="0" w:firstLineChars="0"/>
        <w:outlineLvl w:val="1"/>
        <w:rPr>
          <w:rFonts w:ascii="黑体" w:hAnsi="黑体" w:eastAsia="黑体"/>
          <w:color w:val="000000"/>
          <w:sz w:val="32"/>
          <w:szCs w:val="32"/>
        </w:rPr>
      </w:pPr>
    </w:p>
    <w:p>
      <w:pPr>
        <w:pStyle w:val="24"/>
        <w:spacing w:line="600" w:lineRule="exact"/>
        <w:ind w:firstLine="0" w:firstLineChars="0"/>
        <w:outlineLvl w:val="1"/>
        <w:rPr>
          <w:rFonts w:ascii="黑体" w:hAnsi="黑体" w:eastAsia="黑体"/>
          <w:color w:val="000000"/>
          <w:sz w:val="32"/>
          <w:szCs w:val="32"/>
        </w:rPr>
      </w:pPr>
    </w:p>
    <w:p>
      <w:pPr>
        <w:pStyle w:val="24"/>
        <w:spacing w:line="600" w:lineRule="exact"/>
        <w:ind w:firstLine="0" w:firstLineChars="0"/>
        <w:outlineLvl w:val="1"/>
        <w:rPr>
          <w:rFonts w:ascii="黑体" w:hAnsi="黑体" w:eastAsia="黑体"/>
          <w:color w:val="000000"/>
          <w:sz w:val="32"/>
          <w:szCs w:val="32"/>
        </w:rPr>
      </w:pPr>
    </w:p>
    <w:p>
      <w:pPr>
        <w:pStyle w:val="24"/>
        <w:spacing w:line="600" w:lineRule="exact"/>
        <w:ind w:firstLine="0" w:firstLineChars="0"/>
        <w:outlineLvl w:val="1"/>
        <w:rPr>
          <w:rFonts w:ascii="黑体" w:hAnsi="黑体" w:eastAsia="黑体"/>
          <w:color w:val="000000"/>
          <w:sz w:val="32"/>
          <w:szCs w:val="32"/>
        </w:rPr>
      </w:pPr>
    </w:p>
    <w:p>
      <w:pPr>
        <w:pStyle w:val="24"/>
        <w:spacing w:line="600" w:lineRule="exact"/>
        <w:ind w:firstLine="640"/>
        <w:outlineLvl w:val="1"/>
        <w:rPr>
          <w:rFonts w:ascii="黑体" w:hAnsi="黑体" w:eastAsia="黑体"/>
          <w:color w:val="000000"/>
          <w:sz w:val="32"/>
          <w:szCs w:val="32"/>
        </w:rPr>
      </w:pPr>
    </w:p>
    <w:p>
      <w:pPr>
        <w:pStyle w:val="24"/>
        <w:spacing w:line="600" w:lineRule="exact"/>
        <w:ind w:firstLine="640"/>
        <w:outlineLvl w:val="1"/>
        <w:rPr>
          <w:rFonts w:ascii="黑体" w:hAnsi="黑体" w:eastAsia="黑体"/>
          <w:color w:val="000000"/>
          <w:sz w:val="32"/>
          <w:szCs w:val="32"/>
        </w:rPr>
      </w:pPr>
    </w:p>
    <w:p>
      <w:pPr>
        <w:pStyle w:val="24"/>
        <w:spacing w:line="600" w:lineRule="exact"/>
        <w:ind w:firstLine="640"/>
        <w:outlineLvl w:val="1"/>
        <w:rPr>
          <w:rFonts w:ascii="黑体" w:hAnsi="黑体" w:eastAsia="黑体"/>
          <w:color w:val="000000"/>
          <w:sz w:val="32"/>
          <w:szCs w:val="32"/>
        </w:rPr>
      </w:pPr>
    </w:p>
    <w:p>
      <w:pPr>
        <w:pStyle w:val="24"/>
        <w:spacing w:line="600" w:lineRule="exact"/>
        <w:ind w:firstLine="640"/>
        <w:outlineLvl w:val="1"/>
        <w:rPr>
          <w:rFonts w:ascii="黑体" w:hAnsi="黑体" w:eastAsia="黑体"/>
          <w:color w:val="000000"/>
          <w:sz w:val="32"/>
          <w:szCs w:val="32"/>
        </w:rPr>
      </w:pPr>
    </w:p>
    <w:p>
      <w:pPr>
        <w:pStyle w:val="24"/>
        <w:spacing w:line="600" w:lineRule="exact"/>
        <w:ind w:firstLine="640"/>
        <w:outlineLvl w:val="1"/>
        <w:rPr>
          <w:rFonts w:ascii="黑体" w:hAnsi="黑体" w:eastAsia="黑体"/>
          <w:color w:val="000000"/>
          <w:sz w:val="32"/>
          <w:szCs w:val="32"/>
        </w:rPr>
      </w:pPr>
    </w:p>
    <w:p>
      <w:pPr>
        <w:pStyle w:val="24"/>
        <w:spacing w:line="600" w:lineRule="exact"/>
        <w:ind w:firstLine="643"/>
        <w:outlineLvl w:val="1"/>
        <w:rPr>
          <w:rStyle w:val="26"/>
          <w:rFonts w:ascii="楷体" w:hAnsi="楷体" w:eastAsia="楷体" w:cs="楷体"/>
        </w:rPr>
      </w:pPr>
      <w:r>
        <w:rPr>
          <w:rFonts w:hint="eastAsia" w:ascii="楷体" w:hAnsi="楷体" w:eastAsia="楷体" w:cs="楷体"/>
          <w:b/>
          <w:bCs/>
          <w:color w:val="000000"/>
          <w:sz w:val="32"/>
          <w:szCs w:val="32"/>
        </w:rPr>
        <w:t>二、收</w:t>
      </w:r>
      <w:r>
        <w:rPr>
          <w:rStyle w:val="26"/>
          <w:rFonts w:hint="eastAsia" w:ascii="楷体" w:hAnsi="楷体" w:eastAsia="楷体" w:cs="楷体"/>
        </w:rPr>
        <w:t>入决算情况说明</w:t>
      </w:r>
      <w:bookmarkEnd w:id="26"/>
      <w:bookmarkEnd w:id="27"/>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8年本年收入合计198.77万元，其中：一般公共预算财政拨款收入198.74万元，占99.97</w:t>
      </w:r>
      <w:r>
        <w:rPr>
          <w:rFonts w:ascii="仿宋" w:hAnsi="仿宋" w:eastAsia="仿宋"/>
          <w:color w:val="000000"/>
          <w:sz w:val="32"/>
          <w:szCs w:val="32"/>
        </w:rPr>
        <w:t>%</w:t>
      </w:r>
      <w:r>
        <w:rPr>
          <w:rFonts w:hint="eastAsia" w:ascii="仿宋" w:hAnsi="仿宋" w:eastAsia="仿宋"/>
          <w:color w:val="000000"/>
          <w:sz w:val="32"/>
          <w:szCs w:val="32"/>
        </w:rPr>
        <w:t>；其他收入0.03万元，占0.03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55168" behindDoc="1" locked="0" layoutInCell="1" allowOverlap="1">
            <wp:simplePos x="0" y="0"/>
            <wp:positionH relativeFrom="column">
              <wp:posOffset>410845</wp:posOffset>
            </wp:positionH>
            <wp:positionV relativeFrom="paragraph">
              <wp:posOffset>-2510155</wp:posOffset>
            </wp:positionV>
            <wp:extent cx="4861560" cy="2924175"/>
            <wp:effectExtent l="4445" t="4445" r="10795" b="508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4"/>
        <w:spacing w:line="600" w:lineRule="exact"/>
        <w:ind w:left="640" w:firstLine="0" w:firstLineChars="0"/>
        <w:outlineLvl w:val="1"/>
        <w:rPr>
          <w:rStyle w:val="26"/>
          <w:rFonts w:ascii="楷体" w:hAnsi="楷体" w:eastAsia="楷体" w:cs="楷体"/>
        </w:rPr>
      </w:pPr>
      <w:bookmarkStart w:id="28" w:name="_Toc15396605"/>
      <w:bookmarkStart w:id="29" w:name="_Toc15377207"/>
      <w:r>
        <w:rPr>
          <w:rFonts w:hint="eastAsia" w:ascii="楷体" w:hAnsi="楷体" w:eastAsia="楷体" w:cs="楷体"/>
          <w:b/>
          <w:bCs/>
          <w:color w:val="000000"/>
          <w:sz w:val="32"/>
          <w:szCs w:val="32"/>
        </w:rPr>
        <w:t>三、支</w:t>
      </w:r>
      <w:r>
        <w:rPr>
          <w:rStyle w:val="26"/>
          <w:rFonts w:hint="eastAsia" w:ascii="楷体" w:hAnsi="楷体" w:eastAsia="楷体" w:cs="楷体"/>
        </w:rPr>
        <w:t>出决算情况说明</w:t>
      </w:r>
      <w:bookmarkEnd w:id="28"/>
      <w:bookmarkEnd w:id="29"/>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8年本年支出合计210.76万元，其中：基本支出174.69万元，占83</w:t>
      </w:r>
      <w:r>
        <w:rPr>
          <w:rFonts w:ascii="仿宋" w:hAnsi="仿宋" w:eastAsia="仿宋"/>
          <w:color w:val="000000"/>
          <w:sz w:val="32"/>
          <w:szCs w:val="32"/>
        </w:rPr>
        <w:t>%</w:t>
      </w:r>
      <w:r>
        <w:rPr>
          <w:rFonts w:hint="eastAsia" w:ascii="仿宋" w:hAnsi="仿宋" w:eastAsia="仿宋"/>
          <w:color w:val="000000"/>
          <w:sz w:val="32"/>
          <w:szCs w:val="32"/>
        </w:rPr>
        <w:t>；社会保障和就业支出18.56万元，占9%；医疗卫生与计划生育支出6.34万元，占3%；住房保障支出8.17万元，占4%；其他支出3万元，占1%。</w:t>
      </w: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56192" behindDoc="1" locked="0" layoutInCell="1" allowOverlap="1">
            <wp:simplePos x="0" y="0"/>
            <wp:positionH relativeFrom="column">
              <wp:posOffset>439420</wp:posOffset>
            </wp:positionH>
            <wp:positionV relativeFrom="paragraph">
              <wp:posOffset>-6224905</wp:posOffset>
            </wp:positionV>
            <wp:extent cx="5061585" cy="3857625"/>
            <wp:effectExtent l="4445" t="4445" r="20320" b="5080"/>
            <wp:wrapTight wrapText="bothSides">
              <wp:wrapPolygon>
                <wp:start x="-19" y="-25"/>
                <wp:lineTo x="-19" y="21522"/>
                <wp:lineTo x="21524" y="21522"/>
                <wp:lineTo x="21524" y="-25"/>
                <wp:lineTo x="-19" y="-25"/>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3" w:firstLineChars="200"/>
        <w:outlineLvl w:val="1"/>
        <w:rPr>
          <w:rStyle w:val="26"/>
          <w:rFonts w:ascii="楷体" w:hAnsi="楷体" w:eastAsia="楷体" w:cs="楷体"/>
        </w:rPr>
      </w:pPr>
      <w:bookmarkStart w:id="30" w:name="_Toc15396606"/>
      <w:bookmarkStart w:id="31" w:name="_Toc15377208"/>
      <w:r>
        <w:rPr>
          <w:rFonts w:hint="eastAsia" w:ascii="楷体" w:hAnsi="楷体" w:eastAsia="楷体" w:cs="楷体"/>
          <w:b/>
          <w:bCs/>
          <w:color w:val="000000"/>
          <w:sz w:val="32"/>
          <w:szCs w:val="32"/>
        </w:rPr>
        <w:t>四、财</w:t>
      </w:r>
      <w:r>
        <w:rPr>
          <w:rStyle w:val="26"/>
          <w:rFonts w:hint="eastAsia" w:ascii="楷体" w:hAnsi="楷体" w:eastAsia="楷体" w:cs="楷体"/>
        </w:rPr>
        <w:t>政拨款收入支出决算总体情况说明</w:t>
      </w:r>
      <w:bookmarkEnd w:id="30"/>
      <w:bookmarkEnd w:id="31"/>
    </w:p>
    <w:p>
      <w:pPr>
        <w:spacing w:line="600" w:lineRule="exact"/>
        <w:ind w:firstLine="640"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color w:val="000000"/>
          <w:sz w:val="32"/>
          <w:szCs w:val="32"/>
        </w:rPr>
        <w:t>2018年度财政拨款收入总计198.77万元；2018年度支出总计210.76万元。与2017年相比，收入增加48.02万元，支出总计增加60.01万元。主要变动原因是2018年部门新增事业单位人员3名，人员经费增加，日常公用经费增加。</w:t>
      </w: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57216" behindDoc="0" locked="0" layoutInCell="1" allowOverlap="1">
            <wp:simplePos x="0" y="0"/>
            <wp:positionH relativeFrom="column">
              <wp:posOffset>192405</wp:posOffset>
            </wp:positionH>
            <wp:positionV relativeFrom="paragraph">
              <wp:posOffset>49530</wp:posOffset>
            </wp:positionV>
            <wp:extent cx="4965700" cy="2896235"/>
            <wp:effectExtent l="4445" t="4445" r="20955" b="1397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ascii="仿宋" w:hAnsi="仿宋" w:eastAsia="仿宋"/>
          <w:b/>
          <w:color w:val="00B050"/>
          <w:sz w:val="32"/>
          <w:szCs w:val="32"/>
        </w:rPr>
      </w:pPr>
    </w:p>
    <w:p>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楷体" w:hAnsi="楷体" w:eastAsia="楷体" w:cs="楷体"/>
          <w:b/>
          <w:color w:val="000000"/>
          <w:sz w:val="32"/>
          <w:szCs w:val="32"/>
        </w:rPr>
      </w:pPr>
      <w:bookmarkStart w:id="34" w:name="_Toc15377210"/>
      <w:r>
        <w:rPr>
          <w:rFonts w:hint="eastAsia" w:ascii="楷体" w:hAnsi="楷体" w:eastAsia="楷体" w:cs="楷体"/>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8年一般公共预算财政拨款支出210.76万元，占本年支出合计的100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7年相比，一般公共预算财政拨款增加60.01万元，增长28</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0"/>
          <w:szCs w:val="30"/>
        </w:rPr>
        <w:t>2018年部门新增事业人员3名，</w:t>
      </w:r>
      <w:r>
        <w:rPr>
          <w:rFonts w:hint="eastAsia" w:ascii="仿宋_GB2312" w:hAnsi="仿宋_GB2312" w:eastAsia="仿宋_GB2312" w:cs="仿宋_GB2312"/>
          <w:color w:val="000000"/>
          <w:sz w:val="32"/>
          <w:szCs w:val="32"/>
        </w:rPr>
        <w:t>人员经费增加，日常公用经费增加以及下设机构青少年宫的活动经费支出。（图5：一般公共预算财政拨款支出决算变动情况图）（柱状图）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1" locked="0" layoutInCell="1" allowOverlap="1">
            <wp:simplePos x="0" y="0"/>
            <wp:positionH relativeFrom="column">
              <wp:posOffset>582295</wp:posOffset>
            </wp:positionH>
            <wp:positionV relativeFrom="paragraph">
              <wp:posOffset>154940</wp:posOffset>
            </wp:positionV>
            <wp:extent cx="4498340" cy="2628265"/>
            <wp:effectExtent l="4445" t="4445" r="12065" b="15240"/>
            <wp:wrapTight wrapText="bothSides">
              <wp:wrapPolygon>
                <wp:start x="-21" y="-37"/>
                <wp:lineTo x="-21" y="21412"/>
                <wp:lineTo x="21566" y="21412"/>
                <wp:lineTo x="21566" y="-37"/>
                <wp:lineTo x="-21" y="-37"/>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ascii="楷体" w:hAnsi="楷体" w:eastAsia="楷体" w:cs="楷体"/>
          <w:b/>
          <w:color w:val="000000"/>
          <w:sz w:val="32"/>
          <w:szCs w:val="32"/>
        </w:rPr>
      </w:pPr>
      <w:bookmarkStart w:id="35" w:name="_Toc15377211"/>
      <w:r>
        <w:rPr>
          <w:rFonts w:hint="eastAsia" w:ascii="楷体" w:hAnsi="楷体" w:eastAsia="楷体" w:cs="楷体"/>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政拨款支出210.76万元，主要用于以下方面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Cs/>
          <w:color w:val="000000" w:themeColor="text1"/>
          <w:sz w:val="32"/>
          <w:szCs w:val="32"/>
          <w14:textFill>
            <w14:solidFill>
              <w14:schemeClr w14:val="tx1"/>
            </w14:solidFill>
          </w14:textFill>
        </w:rPr>
        <w:t>一般公共服务（类）支出</w:t>
      </w:r>
      <w:r>
        <w:rPr>
          <w:rFonts w:hint="eastAsia" w:ascii="仿宋" w:hAnsi="仿宋" w:eastAsia="仿宋"/>
          <w:color w:val="000000" w:themeColor="text1"/>
          <w:sz w:val="32"/>
          <w:szCs w:val="32"/>
          <w14:textFill>
            <w14:solidFill>
              <w14:schemeClr w14:val="tx1"/>
            </w14:solidFill>
          </w14:textFill>
        </w:rPr>
        <w:t>174.69万元，占83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Cs/>
          <w:color w:val="000000" w:themeColor="text1"/>
          <w:sz w:val="32"/>
          <w:szCs w:val="32"/>
          <w14:textFill>
            <w14:solidFill>
              <w14:schemeClr w14:val="tx1"/>
            </w14:solidFill>
          </w14:textFill>
        </w:rPr>
        <w:t>社会保障和就业（类）支</w:t>
      </w:r>
      <w:r>
        <w:rPr>
          <w:rFonts w:hint="eastAsia" w:ascii="仿宋" w:hAnsi="仿宋" w:eastAsia="仿宋"/>
          <w:color w:val="000000" w:themeColor="text1"/>
          <w:sz w:val="32"/>
          <w:szCs w:val="32"/>
          <w14:textFill>
            <w14:solidFill>
              <w14:schemeClr w14:val="tx1"/>
            </w14:solidFill>
          </w14:textFill>
        </w:rPr>
        <w:t>出18.56万元，占9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；医疗卫生支出6.34万元，占3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；住房保障支出8.17万元，占4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；其他支出3万元，占1%。（图6：一般公共预算财政拨款支出结构图）（饼状图）</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58240" behindDoc="1" locked="0" layoutInCell="1" allowOverlap="1">
            <wp:simplePos x="0" y="0"/>
            <wp:positionH relativeFrom="column">
              <wp:posOffset>106045</wp:posOffset>
            </wp:positionH>
            <wp:positionV relativeFrom="paragraph">
              <wp:posOffset>240665</wp:posOffset>
            </wp:positionV>
            <wp:extent cx="5079365" cy="3716020"/>
            <wp:effectExtent l="4445" t="4445" r="21590" b="13335"/>
            <wp:wrapTight wrapText="bothSides">
              <wp:wrapPolygon>
                <wp:start x="-19" y="-26"/>
                <wp:lineTo x="-19" y="21567"/>
                <wp:lineTo x="21530" y="21567"/>
                <wp:lineTo x="21530" y="-26"/>
                <wp:lineTo x="-19" y="-26"/>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3" w:firstLineChars="200"/>
        <w:outlineLvl w:val="2"/>
        <w:rPr>
          <w:rFonts w:ascii="楷体" w:hAnsi="楷体" w:eastAsia="楷体" w:cs="楷体"/>
          <w:b/>
          <w:color w:val="000000"/>
          <w:sz w:val="32"/>
          <w:szCs w:val="32"/>
        </w:rPr>
      </w:pPr>
      <w:bookmarkStart w:id="36" w:name="_Toc15377212"/>
      <w:r>
        <w:rPr>
          <w:rFonts w:hint="eastAsia" w:ascii="楷体" w:hAnsi="楷体" w:eastAsia="楷体" w:cs="楷体"/>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14:textFill>
            <w14:solidFill>
              <w14:schemeClr w14:val="tx1"/>
            </w14:solidFill>
          </w14:textFill>
        </w:rPr>
        <w:t>2018年般公共预算支出决算数为210.78万元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7"/>
      <w:bookmarkEnd w:id="38"/>
      <w:bookmarkEnd w:id="39"/>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行政运行支出2012901</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支出决算为53.13万元，完成预算100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，决算数等于预算数的主要原因为我单位对资金的合理使用。</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事业单位运行支出2012950</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支出决算为53.71万元，完成预算100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，决算数等于预算数的主要原因为我单位对资金的合理使用。</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3.</w:t>
      </w:r>
      <w:r>
        <w:rPr>
          <w:rStyle w:val="14"/>
          <w:rFonts w:hint="eastAsia" w:ascii="仿宋" w:hAnsi="仿宋" w:eastAsia="仿宋"/>
          <w:bCs/>
          <w:color w:val="000000"/>
          <w:sz w:val="32"/>
          <w:szCs w:val="32"/>
        </w:rPr>
        <w:t>其他群众团体事务支出2012999</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支出决算为67.86万元，完成预算100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，决算数等于预算数的主要原因为我单位对资金的合理使用。</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机关事业单位基本养老保险缴费支出2080505</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支出决算为13.42万元，完成预算100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，决算数等于预算数的主要原因为我单位对资金的合理使用。</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5.</w:t>
      </w:r>
      <w:r>
        <w:rPr>
          <w:rStyle w:val="14"/>
          <w:rFonts w:hint="eastAsia" w:ascii="仿宋" w:hAnsi="仿宋" w:eastAsia="仿宋"/>
          <w:bCs/>
          <w:color w:val="000000"/>
          <w:sz w:val="32"/>
          <w:szCs w:val="32"/>
        </w:rPr>
        <w:t>机关事业单位职业年金缴费支出2080506</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支出决算为5.14万元，完成预算100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，决算数等于预算数的主要原因为我单位对资金的合理使用。</w:t>
      </w:r>
    </w:p>
    <w:p>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6.</w:t>
      </w:r>
      <w:r>
        <w:rPr>
          <w:rStyle w:val="14"/>
          <w:rFonts w:hint="eastAsia" w:ascii="仿宋" w:hAnsi="仿宋" w:eastAsia="仿宋"/>
          <w:bCs/>
          <w:color w:val="000000"/>
          <w:sz w:val="32"/>
          <w:szCs w:val="32"/>
        </w:rPr>
        <w:t>行政单位医疗支出2101101</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支出决算为2.11万元，完成预算100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，决算数等于预算数的主要原因为我单位对资金的合理使用。</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color w:val="000000"/>
          <w:sz w:val="32"/>
          <w:szCs w:val="32"/>
        </w:rPr>
        <w:t>7.事业单位医疗支出2101102</w:t>
      </w:r>
      <w:r>
        <w:rPr>
          <w:rStyle w:val="14"/>
          <w:rFonts w:hint="eastAsia" w:ascii="仿宋" w:hAnsi="仿宋" w:eastAsia="仿宋"/>
          <w:b w:val="0"/>
          <w:bCs/>
          <w:color w:val="000000"/>
          <w:sz w:val="32"/>
          <w:szCs w:val="32"/>
        </w:rPr>
        <w:t>：支出决算为3.09万元，完成预算100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，决算数等于预算数的主要原因为我单位对资金的合理使用。</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color w:val="000000"/>
          <w:sz w:val="32"/>
          <w:szCs w:val="32"/>
        </w:rPr>
        <w:t>8.公务员医疗补助2101103</w:t>
      </w:r>
      <w:r>
        <w:rPr>
          <w:rStyle w:val="14"/>
          <w:rFonts w:hint="eastAsia" w:ascii="仿宋" w:hAnsi="仿宋" w:eastAsia="仿宋"/>
          <w:b w:val="0"/>
          <w:bCs/>
          <w:color w:val="000000"/>
          <w:sz w:val="32"/>
          <w:szCs w:val="32"/>
        </w:rPr>
        <w:t>：支出决算为0.46万元，完成预算100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，决算数等于预算数的主要原因为我单位对资金的合理使用。</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color w:val="000000"/>
          <w:sz w:val="32"/>
          <w:szCs w:val="32"/>
        </w:rPr>
        <w:t>9.其他行政事业单位医疗支出2101199</w:t>
      </w:r>
      <w:r>
        <w:rPr>
          <w:rStyle w:val="14"/>
          <w:rFonts w:hint="eastAsia" w:ascii="仿宋" w:hAnsi="仿宋" w:eastAsia="仿宋"/>
          <w:b w:val="0"/>
          <w:bCs/>
          <w:color w:val="000000"/>
          <w:sz w:val="32"/>
          <w:szCs w:val="32"/>
        </w:rPr>
        <w:t>：支出决算为0.69万元，完成预算100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，决算数等于预算数的主要原因为我单位对资金的合理使用。</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color w:val="000000"/>
          <w:sz w:val="32"/>
          <w:szCs w:val="32"/>
        </w:rPr>
        <w:t>10.住房公积金2210201</w:t>
      </w:r>
      <w:r>
        <w:rPr>
          <w:rStyle w:val="14"/>
          <w:rFonts w:hint="eastAsia" w:ascii="仿宋" w:hAnsi="仿宋" w:eastAsia="仿宋"/>
          <w:b w:val="0"/>
          <w:bCs/>
          <w:color w:val="000000"/>
          <w:sz w:val="32"/>
          <w:szCs w:val="32"/>
        </w:rPr>
        <w:t>：支出决算为8.17万元，完成预算100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，决算数等于预算数的主要原因为我单位对资金的合理使用。</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color w:val="000000"/>
          <w:sz w:val="32"/>
          <w:szCs w:val="32"/>
        </w:rPr>
        <w:t>11.其他支出2299901</w:t>
      </w:r>
      <w:r>
        <w:rPr>
          <w:rStyle w:val="14"/>
          <w:rFonts w:hint="eastAsia" w:ascii="仿宋" w:hAnsi="仿宋" w:eastAsia="仿宋"/>
          <w:b w:val="0"/>
          <w:bCs/>
          <w:color w:val="000000"/>
          <w:sz w:val="32"/>
          <w:szCs w:val="32"/>
        </w:rPr>
        <w:t>：支出决算为3万元，完成预算100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，决算数等于预算数的主要原因为我单位对资金的合理使用。</w:t>
      </w:r>
    </w:p>
    <w:p>
      <w:pPr>
        <w:tabs>
          <w:tab w:val="right" w:pos="8306"/>
        </w:tabs>
        <w:spacing w:line="600" w:lineRule="exact"/>
        <w:ind w:firstLine="640"/>
        <w:outlineLvl w:val="1"/>
        <w:rPr>
          <w:rStyle w:val="26"/>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8年一般公共预算财政拨款基本支出139.91万元，其中：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1.人员经费123.41万元。主要包括：基本工资21.72万元、津贴补贴43.77万元、奖金14.25万元、绩效工资3.68万元、机关事业单位基本养老保险缴费13.42万元、职业年金缴费5.14万元、职工基本医疗保险5.20万元、公务员医疗补助0.46万元、其他社会保障缴费2.60万元、其他工资福利支出3.64万元、医疗费1.36万元、住房公积金8.17万元等。</w:t>
      </w:r>
      <w:r>
        <w:rPr>
          <w:rFonts w:ascii="仿宋" w:hAnsi="仿宋" w:eastAsia="仿宋"/>
          <w:color w:val="000000"/>
          <w:sz w:val="32"/>
          <w:szCs w:val="32"/>
        </w:rPr>
        <w:br w:type="textWrapping"/>
      </w:r>
      <w:r>
        <w:rPr>
          <w:rFonts w:hint="eastAsia" w:ascii="仿宋" w:hAnsi="仿宋" w:eastAsia="仿宋"/>
          <w:color w:val="000000"/>
          <w:sz w:val="32"/>
          <w:szCs w:val="32"/>
        </w:rPr>
        <w:t xml:space="preserve">　2.公用经费16.50万元。主要包括：办公费12.61万元、印刷费0.2万元、水费0.05万元、电费0.3万元、取暖费0.13万元、差旅费0.1万元、邮电费0.88万元、维修（护）费0.05万元、会议费0.05万元、培训费0.05万元、公务接待费0.1万元、劳务费0.17万元、公务用车运行维护费1.81万元。 </w:t>
      </w:r>
    </w:p>
    <w:p>
      <w:pPr>
        <w:spacing w:line="600" w:lineRule="exact"/>
        <w:ind w:firstLine="640" w:firstLineChars="200"/>
        <w:outlineLvl w:val="1"/>
        <w:rPr>
          <w:rStyle w:val="26"/>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3" w:firstLineChars="200"/>
        <w:outlineLvl w:val="2"/>
        <w:rPr>
          <w:rFonts w:ascii="楷体" w:hAnsi="楷体" w:eastAsia="楷体" w:cs="楷体"/>
          <w:b/>
          <w:color w:val="000000"/>
          <w:sz w:val="32"/>
          <w:szCs w:val="32"/>
        </w:rPr>
      </w:pPr>
      <w:bookmarkStart w:id="44" w:name="_Toc15377216"/>
      <w:r>
        <w:rPr>
          <w:rFonts w:hint="eastAsia" w:ascii="楷体" w:hAnsi="楷体" w:eastAsia="楷体" w:cs="楷体"/>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8年“三公”经费财政拨款支出决算为1.91万元，完成预算100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，决算数与预算数持平的主要原因为我单位严格控制“三公”经费的使用。</w:t>
      </w:r>
    </w:p>
    <w:p>
      <w:pPr>
        <w:spacing w:line="600" w:lineRule="exact"/>
        <w:ind w:firstLine="640"/>
        <w:outlineLvl w:val="2"/>
        <w:rPr>
          <w:rFonts w:ascii="楷体" w:hAnsi="楷体" w:eastAsia="楷体" w:cs="楷体"/>
          <w:b/>
          <w:color w:val="000000"/>
          <w:sz w:val="32"/>
          <w:szCs w:val="32"/>
        </w:rPr>
      </w:pPr>
      <w:bookmarkStart w:id="45" w:name="_Toc15377217"/>
      <w:r>
        <w:rPr>
          <w:rFonts w:hint="eastAsia" w:ascii="楷体" w:hAnsi="楷体" w:eastAsia="楷体" w:cs="楷体"/>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；公务用车购置及运行维护费支出决算1.81万元，占95</w:t>
      </w:r>
      <w:r>
        <w:rPr>
          <w:rFonts w:ascii="仿宋" w:hAnsi="仿宋" w:eastAsia="仿宋"/>
          <w:color w:val="000000"/>
          <w:sz w:val="32"/>
          <w:szCs w:val="32"/>
        </w:rPr>
        <w:t>%</w:t>
      </w:r>
      <w:r>
        <w:rPr>
          <w:rFonts w:hint="eastAsia" w:ascii="仿宋" w:hAnsi="仿宋" w:eastAsia="仿宋"/>
          <w:color w:val="000000"/>
          <w:sz w:val="32"/>
          <w:szCs w:val="32"/>
        </w:rPr>
        <w:t>；公务接待费支出决算0.1万元，占5</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58240" behindDoc="1" locked="0" layoutInCell="1" allowOverlap="1">
            <wp:simplePos x="0" y="0"/>
            <wp:positionH relativeFrom="column">
              <wp:posOffset>-55880</wp:posOffset>
            </wp:positionH>
            <wp:positionV relativeFrom="paragraph">
              <wp:posOffset>118745</wp:posOffset>
            </wp:positionV>
            <wp:extent cx="4889500" cy="2638425"/>
            <wp:effectExtent l="4445" t="4445" r="59055" b="81280"/>
            <wp:wrapTight wrapText="bothSides">
              <wp:wrapPolygon>
                <wp:start x="-20" y="-36"/>
                <wp:lineTo x="-20" y="21486"/>
                <wp:lineTo x="21524" y="21486"/>
                <wp:lineTo x="21524" y="-36"/>
                <wp:lineTo x="-20" y="-36"/>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全年安排因公出国（境）团组0次，出国（境）0人。因公出国（境）支出决算与</w:t>
      </w:r>
      <w:r>
        <w:rPr>
          <w:rFonts w:ascii="仿宋_GB2312" w:eastAsia="仿宋_GB2312"/>
          <w:color w:val="000000"/>
          <w:sz w:val="32"/>
          <w:szCs w:val="32"/>
        </w:rPr>
        <w:t>201</w:t>
      </w:r>
      <w:r>
        <w:rPr>
          <w:rFonts w:hint="eastAsia" w:ascii="仿宋_GB2312" w:eastAsia="仿宋_GB2312"/>
          <w:color w:val="000000"/>
          <w:sz w:val="32"/>
          <w:szCs w:val="32"/>
        </w:rPr>
        <w:t>7年决算持平，主要原因为我单位没有因公出国（境）的经费支出。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公务用车购置及运行维护费支出1.81</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7年减少2.3万元，减少56%。主要原因为我单位严格控制“三公”经费的使用。</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公务用车购置支出0</w:t>
      </w:r>
      <w:r>
        <w:rPr>
          <w:rFonts w:hint="eastAsia" w:ascii="仿宋_GB2312" w:eastAsia="仿宋_GB2312"/>
          <w:color w:val="000000"/>
          <w:sz w:val="32"/>
          <w:szCs w:val="32"/>
        </w:rPr>
        <w:t>万元。全年按规定更新购置公务用0辆，其中：轿车0辆、金额0万元，越野车0辆、金额0万元，载客汽车0辆、金额0万元，主要用外出公干、下乡。截至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月底，单位共有公务用车1辆，其中：轿车1辆、越野车0辆、载客汽车0辆。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公务用车运行维护费支出1.81</w:t>
      </w:r>
      <w:r>
        <w:rPr>
          <w:rFonts w:hint="eastAsia" w:ascii="仿宋_GB2312" w:eastAsia="仿宋_GB2312"/>
          <w:color w:val="000000"/>
          <w:sz w:val="32"/>
          <w:szCs w:val="32"/>
        </w:rPr>
        <w:t>万元。主要用于我单位人员外出公干、下乡（具体工作）等所需的公务用车燃料费、维修费、过路过桥费、保险费等支出。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公务接待费支出0.1</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7年决算持平。主要原因是</w:t>
      </w:r>
      <w:r>
        <w:rPr>
          <w:rFonts w:hint="eastAsia" w:ascii="仿宋_GB2312" w:hAnsi="仿宋_GB2312" w:eastAsia="仿宋_GB2312" w:cs="仿宋_GB2312"/>
          <w:sz w:val="30"/>
          <w:szCs w:val="30"/>
        </w:rPr>
        <w:t>我单位严格控制控制公务接待费在预算内。</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主要用于执行公务、开展业务活动开支的交通费、住宿费、用餐费等。国内公务接待4批次，10人次，共计支出0.1万元，主要开支为接待餐费。其中：</w:t>
      </w:r>
    </w:p>
    <w:p>
      <w:pPr>
        <w:spacing w:line="600" w:lineRule="exact"/>
        <w:ind w:firstLine="640"/>
        <w:rPr>
          <w:rFonts w:ascii="方正小标宋简体" w:hAnsi="方正小标宋简体" w:eastAsia="方正小标宋简体" w:cs="方正小标宋简体"/>
          <w:sz w:val="44"/>
          <w:szCs w:val="44"/>
        </w:rPr>
      </w:pPr>
      <w:r>
        <w:rPr>
          <w:rFonts w:hint="eastAsia" w:ascii="仿宋" w:hAnsi="仿宋" w:eastAsia="仿宋"/>
          <w:b/>
          <w:color w:val="000000"/>
          <w:sz w:val="32"/>
          <w:szCs w:val="32"/>
        </w:rPr>
        <w:t>其他国内公务接待支出0</w:t>
      </w:r>
      <w:r>
        <w:rPr>
          <w:rFonts w:hint="eastAsia" w:ascii="仿宋_GB2312" w:eastAsia="仿宋_GB2312"/>
          <w:color w:val="000000"/>
          <w:sz w:val="32"/>
          <w:szCs w:val="32"/>
        </w:rPr>
        <w:t>万元，我单位没有其他国内公务接待支出费用。</w:t>
      </w:r>
    </w:p>
    <w:p>
      <w:pPr>
        <w:spacing w:line="600" w:lineRule="exact"/>
        <w:ind w:firstLine="640"/>
        <w:outlineLvl w:val="1"/>
        <w:rPr>
          <w:rStyle w:val="26"/>
          <w:rFonts w:ascii="黑体" w:hAnsi="黑体" w:eastAsia="黑体"/>
        </w:rPr>
      </w:pPr>
      <w:bookmarkStart w:id="46" w:name="_Toc15377221"/>
      <w:bookmarkStart w:id="47" w:name="_Toc15396612"/>
      <w:r>
        <w:rPr>
          <w:rFonts w:hint="eastAsia" w:ascii="黑体" w:eastAsia="黑体"/>
          <w:color w:val="000000"/>
          <w:sz w:val="32"/>
          <w:szCs w:val="32"/>
        </w:rPr>
        <w:t>八、</w:t>
      </w:r>
      <w:r>
        <w:rPr>
          <w:rStyle w:val="26"/>
          <w:rFonts w:hint="eastAsia" w:ascii="黑体" w:hAnsi="黑体" w:eastAsia="黑体"/>
          <w:b w:val="0"/>
        </w:rPr>
        <w:t>政府性基金预算支出决算情况说明</w:t>
      </w:r>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pPr>
        <w:numPr>
          <w:ilvl w:val="0"/>
          <w:numId w:val="3"/>
        </w:numPr>
        <w:spacing w:line="600" w:lineRule="exact"/>
        <w:ind w:firstLine="640"/>
        <w:outlineLvl w:val="1"/>
        <w:rPr>
          <w:rStyle w:val="26"/>
          <w:rFonts w:ascii="黑体" w:hAnsi="黑体" w:eastAsia="黑体"/>
          <w:b w:val="0"/>
        </w:rPr>
      </w:pPr>
      <w:bookmarkStart w:id="48" w:name="_Toc15396611"/>
      <w:bookmarkStart w:id="49" w:name="_Toc15377219"/>
      <w:r>
        <w:rPr>
          <w:rStyle w:val="26"/>
          <w:rFonts w:hint="eastAsia" w:ascii="黑体" w:hAnsi="黑体" w:eastAsia="黑体"/>
          <w:b w:val="0"/>
        </w:rPr>
        <w:t>国有资本经营预算支出决算情况说明</w:t>
      </w:r>
      <w:bookmarkEnd w:id="48"/>
      <w:bookmarkEnd w:id="49"/>
    </w:p>
    <w:p>
      <w:pPr>
        <w:spacing w:line="600" w:lineRule="exact"/>
        <w:ind w:firstLine="640"/>
        <w:rPr>
          <w:rStyle w:val="26"/>
          <w:rFonts w:ascii="黑体" w:hAnsi="黑体" w:eastAsia="黑体"/>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4"/>
        <w:numPr>
          <w:ilvl w:val="0"/>
          <w:numId w:val="4"/>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eastAsia="zh-CN"/>
        </w:rPr>
        <w:t>我单位</w:t>
      </w:r>
      <w:r>
        <w:rPr>
          <w:rFonts w:hint="eastAsia" w:ascii="仿宋_GB2312" w:hAnsi="仿宋_GB2312" w:eastAsia="仿宋_GB2312" w:cs="仿宋_GB2312"/>
          <w:sz w:val="32"/>
          <w:szCs w:val="32"/>
        </w:rPr>
        <w:t>在年初预算编制阶段，组织对</w:t>
      </w:r>
      <w:r>
        <w:rPr>
          <w:rFonts w:hint="eastAsia" w:ascii="仿宋_GB2312" w:hAnsi="仿宋_GB2312" w:eastAsia="仿宋_GB2312" w:cs="仿宋_GB2312"/>
          <w:sz w:val="32"/>
          <w:szCs w:val="32"/>
          <w:lang w:eastAsia="zh-CN"/>
        </w:rPr>
        <w:t>青少年宫</w:t>
      </w:r>
      <w:r>
        <w:rPr>
          <w:rFonts w:hint="eastAsia" w:ascii="仿宋_GB2312" w:hAnsi="仿宋_GB2312" w:eastAsia="仿宋_GB2312" w:cs="仿宋_GB2312"/>
          <w:sz w:val="32"/>
          <w:szCs w:val="32"/>
          <w:lang w:val="en-US" w:eastAsia="zh-CN"/>
        </w:rPr>
        <w:t>2018年活动经费和青年创建扶持资金等2个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eastAsia="zh-CN"/>
        </w:rPr>
        <w:t>青少年宫</w:t>
      </w:r>
      <w:r>
        <w:rPr>
          <w:rFonts w:hint="eastAsia" w:ascii="仿宋_GB2312" w:hAnsi="仿宋_GB2312" w:eastAsia="仿宋_GB2312" w:cs="仿宋_GB2312"/>
          <w:sz w:val="32"/>
          <w:szCs w:val="32"/>
          <w:lang w:val="en-US" w:eastAsia="zh-CN"/>
        </w:rPr>
        <w:t>2018年活动经费和青年创建扶持资金等2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eastAsia="zh-CN"/>
        </w:rPr>
        <w:t>青少年宫</w:t>
      </w:r>
      <w:r>
        <w:rPr>
          <w:rFonts w:hint="eastAsia" w:ascii="仿宋_GB2312" w:hAnsi="仿宋_GB2312" w:eastAsia="仿宋_GB2312" w:cs="仿宋_GB2312"/>
          <w:sz w:val="32"/>
          <w:szCs w:val="32"/>
          <w:lang w:val="en-US" w:eastAsia="zh-CN"/>
        </w:rPr>
        <w:t>2018年活动经费和青年创建扶持资金等2个项目</w:t>
      </w:r>
      <w:r>
        <w:rPr>
          <w:rFonts w:hint="eastAsia" w:ascii="仿宋_GB2312" w:hAnsi="仿宋_GB2312" w:eastAsia="仿宋_GB2312" w:cs="仿宋_GB2312"/>
          <w:sz w:val="32"/>
          <w:szCs w:val="32"/>
        </w:rPr>
        <w:t>开展绩效监控，年终执行完毕后，对</w:t>
      </w:r>
      <w:r>
        <w:rPr>
          <w:rFonts w:hint="eastAsia" w:ascii="仿宋_GB2312" w:hAnsi="仿宋_GB2312" w:eastAsia="仿宋_GB2312" w:cs="仿宋_GB2312"/>
          <w:sz w:val="32"/>
          <w:szCs w:val="32"/>
          <w:lang w:eastAsia="zh-CN"/>
        </w:rPr>
        <w:t>青少年宫</w:t>
      </w:r>
      <w:r>
        <w:rPr>
          <w:rFonts w:hint="eastAsia" w:ascii="仿宋_GB2312" w:hAnsi="仿宋_GB2312" w:eastAsia="仿宋_GB2312" w:cs="仿宋_GB2312"/>
          <w:sz w:val="32"/>
          <w:szCs w:val="32"/>
          <w:lang w:val="en-US" w:eastAsia="zh-CN"/>
        </w:rPr>
        <w:t>2018年活动经费和青年创建扶持资金等2个项</w:t>
      </w:r>
      <w:r>
        <w:rPr>
          <w:rFonts w:hint="eastAsia" w:ascii="仿宋_GB2312" w:hAnsi="仿宋_GB2312" w:eastAsia="仿宋_GB2312" w:cs="仿宋_GB2312"/>
          <w:sz w:val="32"/>
          <w:szCs w:val="32"/>
        </w:rPr>
        <w:t>目开展了绩效目标完成情况梳理填报。</w:t>
      </w:r>
    </w:p>
    <w:p>
      <w:pPr>
        <w:pStyle w:val="24"/>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w:t>
      </w:r>
      <w:r>
        <w:rPr>
          <w:rFonts w:hint="eastAsia" w:ascii="仿宋_GB2312" w:hAnsi="仿宋_GB2312" w:eastAsia="仿宋_GB2312" w:cs="仿宋_GB2312"/>
          <w:sz w:val="32"/>
          <w:szCs w:val="32"/>
          <w:lang w:eastAsia="zh-CN"/>
        </w:rPr>
        <w:t>我单位圆满完成各项任务，为青少年宫提供更好的环境</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eastAsia="zh-CN"/>
        </w:rPr>
        <w:t>对青少年宫</w:t>
      </w:r>
      <w:r>
        <w:rPr>
          <w:rFonts w:hint="eastAsia" w:ascii="仿宋_GB2312" w:hAnsi="仿宋_GB2312" w:eastAsia="仿宋_GB2312" w:cs="仿宋_GB2312"/>
          <w:sz w:val="32"/>
          <w:szCs w:val="32"/>
          <w:lang w:val="en-US" w:eastAsia="zh-CN"/>
        </w:rPr>
        <w:t>2018年活动经费和青年创建扶持资金等2</w:t>
      </w:r>
      <w:r>
        <w:rPr>
          <w:rFonts w:hint="eastAsia" w:ascii="仿宋_GB2312" w:hAnsi="仿宋_GB2312" w:eastAsia="仿宋_GB2312" w:cs="仿宋_GB2312"/>
          <w:sz w:val="32"/>
          <w:szCs w:val="32"/>
        </w:rPr>
        <w:t>个项目绩效评价，从评价情况来看</w:t>
      </w:r>
      <w:r>
        <w:rPr>
          <w:rFonts w:hint="eastAsia" w:ascii="仿宋_GB2312" w:hAnsi="仿宋_GB2312" w:eastAsia="仿宋_GB2312" w:cs="仿宋_GB2312"/>
          <w:sz w:val="32"/>
          <w:szCs w:val="32"/>
          <w:lang w:eastAsia="zh-CN"/>
        </w:rPr>
        <w:t>我单位圆满完成任务，促进了青少年宫的场地建设完善。</w:t>
      </w:r>
    </w:p>
    <w:p>
      <w:pPr>
        <w:spacing w:line="580" w:lineRule="exact"/>
        <w:ind w:firstLine="964" w:firstLineChars="300"/>
        <w:rPr>
          <w:rFonts w:ascii="仿宋_GB2312" w:hAnsi="仿宋_GB2312" w:eastAsia="仿宋_GB2312" w:cs="仿宋_GB2312"/>
          <w:color w:val="auto"/>
          <w:sz w:val="32"/>
          <w:szCs w:val="32"/>
        </w:rPr>
      </w:pPr>
      <w:r>
        <w:rPr>
          <w:rFonts w:hint="eastAsia" w:ascii="仿宋" w:hAnsi="仿宋" w:eastAsia="仿宋" w:cs="楷体_GB2312"/>
          <w:b/>
          <w:bCs/>
          <w:color w:val="auto"/>
          <w:sz w:val="32"/>
          <w:szCs w:val="32"/>
          <w:lang w:eastAsia="zh-CN"/>
        </w:rPr>
        <w:t>（二）、</w:t>
      </w:r>
      <w:r>
        <w:rPr>
          <w:rFonts w:hint="eastAsia" w:ascii="仿宋" w:hAnsi="仿宋" w:eastAsia="仿宋" w:cs="楷体_GB2312"/>
          <w:b/>
          <w:bCs/>
          <w:color w:val="auto"/>
          <w:sz w:val="32"/>
          <w:szCs w:val="32"/>
        </w:rPr>
        <w:t>项目绩效目标完成情况</w:t>
      </w:r>
    </w:p>
    <w:p>
      <w:pPr>
        <w:numPr>
          <w:ilvl w:val="0"/>
          <w:numId w:val="0"/>
        </w:numPr>
        <w:spacing w:line="58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本部门在2018年度部门决算中反映“</w:t>
      </w:r>
      <w:r>
        <w:rPr>
          <w:rFonts w:hint="eastAsia" w:ascii="仿宋_GB2312" w:hAnsi="仿宋_GB2312" w:eastAsia="仿宋_GB2312" w:cs="仿宋_GB2312"/>
          <w:color w:val="auto"/>
          <w:sz w:val="32"/>
          <w:szCs w:val="32"/>
          <w:lang w:eastAsia="zh-CN"/>
        </w:rPr>
        <w:t>青少年宫</w:t>
      </w:r>
      <w:r>
        <w:rPr>
          <w:rFonts w:hint="eastAsia" w:ascii="仿宋_GB2312" w:hAnsi="仿宋_GB2312" w:eastAsia="仿宋_GB2312" w:cs="仿宋_GB2312"/>
          <w:color w:val="auto"/>
          <w:sz w:val="32"/>
          <w:szCs w:val="32"/>
          <w:lang w:val="en-US" w:eastAsia="zh-CN"/>
        </w:rPr>
        <w:t>2018年活动经费”和“青年创建扶持资金”</w:t>
      </w:r>
      <w:r>
        <w:rPr>
          <w:rFonts w:hint="eastAsia" w:ascii="仿宋_GB2312" w:hAnsi="仿宋_GB2312" w:eastAsia="仿宋_GB2312" w:cs="仿宋_GB2312"/>
          <w:color w:val="auto"/>
          <w:sz w:val="32"/>
          <w:szCs w:val="32"/>
        </w:rPr>
        <w:t>等2个项目绩效目标实际完成情况。</w:t>
      </w:r>
    </w:p>
    <w:p>
      <w:pPr>
        <w:numPr>
          <w:ilvl w:val="0"/>
          <w:numId w:val="6"/>
        </w:num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青少年宫</w:t>
      </w:r>
      <w:r>
        <w:rPr>
          <w:rFonts w:hint="eastAsia" w:ascii="仿宋_GB2312" w:hAnsi="仿宋_GB2312" w:eastAsia="仿宋_GB2312" w:cs="仿宋_GB2312"/>
          <w:color w:val="auto"/>
          <w:sz w:val="32"/>
          <w:szCs w:val="32"/>
          <w:lang w:val="en-US" w:eastAsia="zh-CN"/>
        </w:rPr>
        <w:t>2018年活动经费</w:t>
      </w:r>
      <w:r>
        <w:rPr>
          <w:rFonts w:hint="eastAsia" w:ascii="仿宋_GB2312" w:hAnsi="仿宋_GB2312" w:eastAsia="仿宋_GB2312" w:cs="仿宋_GB2312"/>
          <w:color w:val="auto"/>
          <w:sz w:val="32"/>
          <w:szCs w:val="32"/>
        </w:rPr>
        <w:t>项目绩效目标完成情况综述。项目全年预算数</w:t>
      </w:r>
      <w:r>
        <w:rPr>
          <w:rFonts w:hint="eastAsia" w:ascii="仿宋_GB2312" w:hAnsi="仿宋_GB2312" w:eastAsia="仿宋_GB2312" w:cs="仿宋_GB2312"/>
          <w:color w:val="auto"/>
          <w:sz w:val="32"/>
          <w:szCs w:val="32"/>
          <w:lang w:val="en-US" w:eastAsia="zh-CN"/>
        </w:rPr>
        <w:t>29.14</w:t>
      </w:r>
      <w:r>
        <w:rPr>
          <w:rFonts w:hint="eastAsia" w:ascii="仿宋_GB2312" w:hAnsi="仿宋_GB2312" w:eastAsia="仿宋_GB2312" w:cs="仿宋_GB2312"/>
          <w:color w:val="auto"/>
          <w:sz w:val="32"/>
          <w:szCs w:val="32"/>
        </w:rPr>
        <w:t>万元，执行数为</w:t>
      </w:r>
      <w:r>
        <w:rPr>
          <w:rFonts w:hint="eastAsia" w:ascii="仿宋_GB2312" w:hAnsi="仿宋_GB2312" w:eastAsia="仿宋_GB2312" w:cs="仿宋_GB2312"/>
          <w:color w:val="auto"/>
          <w:sz w:val="32"/>
          <w:szCs w:val="32"/>
          <w:lang w:val="en-US" w:eastAsia="zh-CN"/>
        </w:rPr>
        <w:t>29.14</w:t>
      </w:r>
      <w:r>
        <w:rPr>
          <w:rFonts w:hint="eastAsia" w:ascii="仿宋_GB2312" w:hAnsi="仿宋_GB2312" w:eastAsia="仿宋_GB2312" w:cs="仿宋_GB2312"/>
          <w:color w:val="auto"/>
          <w:sz w:val="32"/>
          <w:szCs w:val="32"/>
        </w:rPr>
        <w:t>万元，完成预算的100%。通过项目实施，保障了</w:t>
      </w:r>
      <w:r>
        <w:rPr>
          <w:rFonts w:hint="eastAsia" w:ascii="仿宋_GB2312" w:hAnsi="仿宋_GB2312" w:eastAsia="仿宋_GB2312" w:cs="仿宋_GB2312"/>
          <w:color w:val="auto"/>
          <w:sz w:val="32"/>
          <w:szCs w:val="32"/>
          <w:lang w:eastAsia="zh-CN"/>
        </w:rPr>
        <w:t>青少年宫在</w:t>
      </w:r>
      <w:r>
        <w:rPr>
          <w:rFonts w:hint="eastAsia" w:ascii="仿宋_GB2312" w:hAnsi="仿宋_GB2312" w:eastAsia="仿宋_GB2312" w:cs="仿宋_GB2312"/>
          <w:color w:val="auto"/>
          <w:sz w:val="32"/>
          <w:szCs w:val="32"/>
          <w:lang w:val="en-US" w:eastAsia="zh-CN"/>
        </w:rPr>
        <w:t>2018年所开展的项目完成，</w:t>
      </w:r>
      <w:r>
        <w:rPr>
          <w:rFonts w:hint="eastAsia" w:ascii="仿宋_GB2312" w:hAnsi="仿宋_GB2312" w:eastAsia="仿宋_GB2312" w:cs="仿宋_GB2312"/>
          <w:color w:val="auto"/>
          <w:sz w:val="32"/>
          <w:szCs w:val="32"/>
        </w:rPr>
        <w:t>保障</w:t>
      </w:r>
      <w:r>
        <w:rPr>
          <w:rFonts w:hint="eastAsia" w:ascii="仿宋_GB2312" w:hAnsi="仿宋_GB2312" w:eastAsia="仿宋_GB2312" w:cs="仿宋_GB2312"/>
          <w:color w:val="auto"/>
          <w:sz w:val="32"/>
          <w:szCs w:val="32"/>
          <w:lang w:eastAsia="zh-CN"/>
        </w:rPr>
        <w:t>青少年宫的好活动经费充足能更好的促进青少年宫的发展。</w:t>
      </w:r>
      <w:r>
        <w:rPr>
          <w:rFonts w:hint="eastAsia" w:ascii="仿宋_GB2312" w:hAnsi="仿宋_GB2312" w:eastAsia="仿宋_GB2312" w:cs="仿宋_GB2312"/>
          <w:color w:val="auto"/>
          <w:sz w:val="32"/>
          <w:szCs w:val="32"/>
        </w:rPr>
        <w:t>发现的主要问题：无。下一步改进措施：加强资金使用管理，将资金用于刀刃上。</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ascii="仿宋_GB2312" w:hAnsi="仿宋_GB2312" w:eastAsia="仿宋_GB2312" w:cs="仿宋_GB2312"/>
          <w:color w:val="0000FF"/>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青年创建扶持资金项目绩效完成情况综述。项目全年预算数</w:t>
      </w:r>
      <w:r>
        <w:rPr>
          <w:rFonts w:hint="eastAsia" w:ascii="仿宋_GB2312" w:hAnsi="仿宋_GB2312" w:eastAsia="仿宋_GB2312" w:cs="仿宋_GB2312"/>
          <w:color w:val="auto"/>
          <w:sz w:val="32"/>
          <w:szCs w:val="32"/>
          <w:lang w:val="en-US" w:eastAsia="zh-CN"/>
        </w:rPr>
        <w:t>3万元，执行数为3万元，完成预算100%。通过项目实施，促进了“青年之家”的完美创建，保障了“青年之家”的活动经费充足。发现主要问题：无。下一步改进措施：加强资金使用管理，严格控制资金的使用情况。</w:t>
      </w:r>
    </w:p>
    <w:p>
      <w:pPr>
        <w:spacing w:line="580" w:lineRule="exact"/>
        <w:rPr>
          <w:rFonts w:ascii="仿宋_GB2312" w:hAnsi="仿宋_GB2312" w:eastAsia="仿宋_GB2312" w:cs="仿宋_GB2312"/>
          <w:color w:val="0000FF"/>
          <w:sz w:val="32"/>
          <w:szCs w:val="32"/>
        </w:rPr>
      </w:pPr>
    </w:p>
    <w:tbl>
      <w:tblPr>
        <w:tblStyle w:val="16"/>
        <w:tblpPr w:leftFromText="180" w:rightFromText="180" w:vertAnchor="text" w:horzAnchor="page" w:tblpX="1687" w:tblpY="178"/>
        <w:tblOverlap w:val="never"/>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285" w:hRule="atLeast"/>
        </w:trPr>
        <w:tc>
          <w:tcPr>
            <w:tcW w:w="9522" w:type="dxa"/>
            <w:gridSpan w:val="8"/>
            <w:shd w:val="clear" w:color="auto" w:fill="auto"/>
            <w:vAlign w:val="center"/>
          </w:tcPr>
          <w:p>
            <w:pPr>
              <w:widowControl/>
              <w:jc w:val="center"/>
              <w:textAlignment w:val="center"/>
              <w:rPr>
                <w:rFonts w:ascii="宋体" w:hAnsi="宋体" w:cs="宋体"/>
                <w:b/>
                <w:color w:val="auto"/>
                <w:sz w:val="24"/>
              </w:rPr>
            </w:pPr>
            <w:r>
              <w:rPr>
                <w:rFonts w:hint="eastAsia" w:ascii="宋体" w:hAnsi="宋体" w:cs="宋体"/>
                <w:b/>
                <w:color w:val="auto"/>
                <w:kern w:val="0"/>
                <w:sz w:val="24"/>
                <w:lang w:bidi="ar"/>
              </w:rPr>
              <w:t>项目支出绩效目标完成情况表</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lang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auto"/>
                <w:sz w:val="24"/>
              </w:rPr>
            </w:pPr>
            <w:r>
              <w:rPr>
                <w:rFonts w:hint="eastAsia" w:ascii="仿宋_GB2312" w:hAnsi="仿宋_GB2312" w:eastAsia="仿宋_GB2312" w:cs="仿宋_GB2312"/>
                <w:color w:val="auto"/>
                <w:sz w:val="32"/>
                <w:szCs w:val="32"/>
                <w:lang w:eastAsia="zh-CN"/>
              </w:rPr>
              <w:t>青少年宫</w:t>
            </w:r>
            <w:r>
              <w:rPr>
                <w:rFonts w:hint="eastAsia" w:ascii="仿宋_GB2312" w:hAnsi="仿宋_GB2312" w:eastAsia="仿宋_GB2312" w:cs="仿宋_GB2312"/>
                <w:color w:val="auto"/>
                <w:sz w:val="32"/>
                <w:szCs w:val="32"/>
                <w:lang w:val="en-US" w:eastAsia="zh-CN"/>
              </w:rPr>
              <w:t>2018年活动经费和青年创建扶持资金</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lang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color w:val="auto"/>
                <w:sz w:val="24"/>
                <w:lang w:eastAsia="zh-CN"/>
              </w:rPr>
            </w:pPr>
            <w:r>
              <w:rPr>
                <w:rFonts w:hint="eastAsia" w:ascii="宋体" w:hAnsi="宋体" w:cs="宋体"/>
                <w:b/>
                <w:color w:val="auto"/>
                <w:sz w:val="24"/>
                <w:lang w:eastAsia="zh-CN"/>
              </w:rPr>
              <w:t>中共青年团红原县委员会</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lang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rPr>
            </w:pPr>
            <w:r>
              <w:rPr>
                <w:rFonts w:hint="eastAsia" w:ascii="宋体" w:hAnsi="宋体" w:cs="宋体"/>
                <w:b/>
                <w:color w:val="auto"/>
                <w:kern w:val="0"/>
                <w:sz w:val="24"/>
                <w:lang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auto"/>
                <w:sz w:val="24"/>
                <w:lang w:val="en-US" w:eastAsia="zh-CN"/>
              </w:rPr>
            </w:pPr>
            <w:r>
              <w:rPr>
                <w:rFonts w:hint="eastAsia" w:ascii="宋体" w:hAnsi="宋体" w:cs="宋体"/>
                <w:b/>
                <w:color w:val="auto"/>
                <w:sz w:val="24"/>
                <w:lang w:val="en-US" w:eastAsia="zh-CN"/>
              </w:rPr>
              <w:t>32.14</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rPr>
            </w:pPr>
            <w:r>
              <w:rPr>
                <w:rFonts w:hint="eastAsia" w:ascii="宋体" w:hAnsi="宋体" w:cs="宋体"/>
                <w:b/>
                <w:color w:val="auto"/>
                <w:kern w:val="0"/>
                <w:sz w:val="24"/>
                <w:lang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auto"/>
                <w:sz w:val="24"/>
                <w:lang w:val="en-US" w:eastAsia="zh-CN"/>
              </w:rPr>
            </w:pPr>
            <w:r>
              <w:rPr>
                <w:rFonts w:hint="eastAsia" w:ascii="宋体" w:hAnsi="宋体" w:cs="宋体"/>
                <w:b/>
                <w:color w:val="auto"/>
                <w:sz w:val="24"/>
                <w:lang w:val="en-US" w:eastAsia="zh-CN"/>
              </w:rPr>
              <w:t>32.14</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auto"/>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rPr>
            </w:pPr>
            <w:r>
              <w:rPr>
                <w:rFonts w:hint="eastAsia" w:ascii="宋体" w:hAnsi="宋体" w:cs="宋体"/>
                <w:b/>
                <w:color w:val="auto"/>
                <w:kern w:val="0"/>
                <w:sz w:val="24"/>
                <w:lang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auto"/>
                <w:sz w:val="24"/>
                <w:lang w:val="en-US" w:eastAsia="zh-CN"/>
              </w:rPr>
            </w:pPr>
            <w:r>
              <w:rPr>
                <w:rFonts w:hint="eastAsia" w:ascii="宋体" w:hAnsi="宋体" w:cs="宋体"/>
                <w:b/>
                <w:color w:val="auto"/>
                <w:sz w:val="24"/>
                <w:lang w:val="en-US" w:eastAsia="zh-CN"/>
              </w:rPr>
              <w:t>32.14</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rPr>
            </w:pPr>
            <w:r>
              <w:rPr>
                <w:rFonts w:hint="eastAsia" w:ascii="宋体" w:hAnsi="宋体" w:cs="宋体"/>
                <w:b/>
                <w:color w:val="auto"/>
                <w:kern w:val="0"/>
                <w:sz w:val="24"/>
                <w:lang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auto"/>
                <w:sz w:val="24"/>
                <w:lang w:val="en-US" w:eastAsia="zh-CN"/>
              </w:rPr>
            </w:pPr>
            <w:r>
              <w:rPr>
                <w:rFonts w:hint="eastAsia" w:ascii="宋体" w:hAnsi="宋体" w:cs="宋体"/>
                <w:b/>
                <w:color w:val="auto"/>
                <w:sz w:val="24"/>
                <w:lang w:val="en-US" w:eastAsia="zh-CN"/>
              </w:rPr>
              <w:t>32.14</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auto"/>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rPr>
            </w:pPr>
            <w:r>
              <w:rPr>
                <w:rFonts w:hint="eastAsia" w:ascii="宋体" w:hAnsi="宋体" w:cs="宋体"/>
                <w:b/>
                <w:color w:val="auto"/>
                <w:kern w:val="0"/>
                <w:sz w:val="24"/>
                <w:lang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auto"/>
                <w:sz w:val="24"/>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rPr>
            </w:pPr>
            <w:r>
              <w:rPr>
                <w:rFonts w:hint="eastAsia" w:ascii="宋体" w:hAnsi="宋体" w:cs="宋体"/>
                <w:b/>
                <w:color w:val="auto"/>
                <w:kern w:val="0"/>
                <w:sz w:val="24"/>
                <w:lang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auto"/>
                <w:sz w:val="24"/>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auto"/>
                <w:sz w:val="20"/>
                <w:szCs w:val="20"/>
              </w:rPr>
            </w:pPr>
            <w:r>
              <w:rPr>
                <w:rFonts w:hint="eastAsia" w:ascii="宋体" w:hAnsi="宋体" w:cs="宋体"/>
                <w:b/>
                <w:bCs/>
                <w:color w:val="auto"/>
                <w:kern w:val="0"/>
                <w:sz w:val="20"/>
                <w:szCs w:val="20"/>
                <w:lang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auto"/>
                <w:sz w:val="24"/>
              </w:rPr>
            </w:pPr>
            <w:r>
              <w:rPr>
                <w:rFonts w:hint="eastAsia" w:ascii="宋体" w:hAnsi="宋体" w:cs="宋体"/>
                <w:b/>
                <w:bCs/>
                <w:color w:val="auto"/>
                <w:kern w:val="0"/>
                <w:sz w:val="24"/>
                <w:lang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rPr>
            </w:pPr>
            <w:r>
              <w:rPr>
                <w:rFonts w:hint="eastAsia" w:ascii="宋体" w:hAnsi="宋体" w:cs="宋体"/>
                <w:b/>
                <w:color w:val="auto"/>
                <w:kern w:val="0"/>
                <w:sz w:val="24"/>
                <w:lang w:bidi="ar"/>
              </w:rPr>
              <w:t>实际完成目标</w:t>
            </w:r>
          </w:p>
        </w:tc>
      </w:tr>
      <w:tr>
        <w:tblPrEx>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color w:val="auto"/>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color w:val="auto"/>
                <w:sz w:val="24"/>
                <w:lang w:eastAsia="zh-CN"/>
              </w:rPr>
            </w:pPr>
            <w:r>
              <w:rPr>
                <w:rFonts w:hint="eastAsia" w:ascii="宋体" w:hAnsi="宋体" w:cs="宋体"/>
                <w:color w:val="auto"/>
                <w:sz w:val="24"/>
              </w:rPr>
              <w:t>保障</w:t>
            </w:r>
            <w:r>
              <w:rPr>
                <w:rFonts w:hint="eastAsia" w:ascii="宋体" w:hAnsi="宋体" w:cs="宋体"/>
                <w:color w:val="auto"/>
                <w:sz w:val="24"/>
                <w:lang w:eastAsia="zh-CN"/>
              </w:rPr>
              <w:t>青少年宫旗下活动的开展</w:t>
            </w:r>
            <w:r>
              <w:rPr>
                <w:rFonts w:hint="eastAsia" w:ascii="宋体" w:hAnsi="宋体" w:cs="宋体"/>
                <w:color w:val="auto"/>
                <w:sz w:val="24"/>
              </w:rPr>
              <w:t>，完成</w:t>
            </w:r>
            <w:r>
              <w:rPr>
                <w:rFonts w:hint="eastAsia" w:ascii="宋体" w:hAnsi="宋体" w:cs="宋体"/>
                <w:color w:val="auto"/>
                <w:sz w:val="24"/>
                <w:lang w:eastAsia="zh-CN"/>
              </w:rPr>
              <w:t>“青年之家”的创建</w:t>
            </w:r>
            <w:r>
              <w:rPr>
                <w:rFonts w:hint="eastAsia" w:ascii="宋体" w:hAnsi="宋体" w:cs="宋体"/>
                <w:color w:val="auto"/>
                <w:sz w:val="24"/>
              </w:rPr>
              <w:t>；完成</w:t>
            </w:r>
            <w:r>
              <w:rPr>
                <w:rFonts w:hint="eastAsia" w:ascii="宋体" w:hAnsi="宋体" w:cs="宋体"/>
                <w:color w:val="auto"/>
                <w:sz w:val="24"/>
                <w:lang w:eastAsia="zh-CN"/>
              </w:rPr>
              <w:t>青少年宫的基地建设。</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Cs/>
                <w:color w:val="auto"/>
                <w:sz w:val="24"/>
                <w:lang w:eastAsia="zh-CN"/>
              </w:rPr>
            </w:pPr>
            <w:r>
              <w:rPr>
                <w:rFonts w:hint="eastAsia" w:ascii="宋体" w:hAnsi="宋体" w:cs="宋体"/>
                <w:bCs/>
                <w:color w:val="auto"/>
                <w:sz w:val="24"/>
              </w:rPr>
              <w:t>圆满完成了各项工作任务，</w:t>
            </w:r>
            <w:r>
              <w:rPr>
                <w:rFonts w:hint="eastAsia" w:ascii="宋体" w:hAnsi="宋体" w:cs="宋体"/>
                <w:bCs/>
                <w:color w:val="auto"/>
                <w:sz w:val="24"/>
                <w:lang w:eastAsia="zh-CN"/>
              </w:rPr>
              <w:t>促进了青少年宫的发展。</w:t>
            </w:r>
          </w:p>
        </w:tc>
      </w:tr>
      <w:tr>
        <w:tblPrEx>
          <w:tblLayout w:type="fixed"/>
          <w:tblCellMar>
            <w:top w:w="15" w:type="dxa"/>
            <w:left w:w="15" w:type="dxa"/>
            <w:bottom w:w="15" w:type="dxa"/>
            <w:right w:w="15" w:type="dxa"/>
          </w:tblCellMar>
        </w:tblPrEx>
        <w:trPr>
          <w:trHeight w:val="312"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auto"/>
                <w:sz w:val="24"/>
              </w:rPr>
            </w:pPr>
            <w:r>
              <w:rPr>
                <w:rFonts w:hint="eastAsia" w:ascii="仿宋_GB2312" w:hAnsi="宋体" w:eastAsia="仿宋_GB2312" w:cs="仿宋_GB2312"/>
                <w:color w:val="auto"/>
                <w:kern w:val="0"/>
                <w:sz w:val="24"/>
                <w:lang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auto"/>
                <w:sz w:val="20"/>
                <w:szCs w:val="20"/>
              </w:rPr>
            </w:pPr>
            <w:r>
              <w:rPr>
                <w:rFonts w:hint="eastAsia" w:ascii="宋体" w:hAnsi="宋体" w:cs="宋体"/>
                <w:b/>
                <w:color w:val="auto"/>
                <w:kern w:val="0"/>
                <w:sz w:val="20"/>
                <w:szCs w:val="20"/>
                <w:lang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auto"/>
                <w:sz w:val="20"/>
                <w:szCs w:val="20"/>
              </w:rPr>
            </w:pPr>
            <w:r>
              <w:rPr>
                <w:rFonts w:hint="eastAsia" w:ascii="宋体" w:hAnsi="宋体" w:cs="宋体"/>
                <w:b/>
                <w:color w:val="auto"/>
                <w:kern w:val="0"/>
                <w:sz w:val="20"/>
                <w:szCs w:val="20"/>
                <w:lang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auto"/>
                <w:sz w:val="20"/>
                <w:szCs w:val="20"/>
              </w:rPr>
            </w:pPr>
            <w:r>
              <w:rPr>
                <w:rFonts w:hint="eastAsia" w:ascii="宋体" w:hAnsi="宋体" w:cs="宋体"/>
                <w:b/>
                <w:color w:val="auto"/>
                <w:kern w:val="0"/>
                <w:sz w:val="20"/>
                <w:szCs w:val="20"/>
                <w:lang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auto"/>
                <w:sz w:val="20"/>
                <w:szCs w:val="20"/>
              </w:rPr>
            </w:pPr>
            <w:r>
              <w:rPr>
                <w:rFonts w:hint="eastAsia" w:ascii="宋体" w:hAnsi="宋体" w:cs="宋体"/>
                <w:b/>
                <w:color w:val="auto"/>
                <w:kern w:val="0"/>
                <w:sz w:val="20"/>
                <w:szCs w:val="20"/>
                <w:lang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auto"/>
                <w:sz w:val="20"/>
                <w:szCs w:val="20"/>
              </w:rPr>
            </w:pPr>
            <w:r>
              <w:rPr>
                <w:rFonts w:hint="eastAsia" w:ascii="宋体" w:hAnsi="宋体" w:cs="宋体"/>
                <w:b/>
                <w:color w:val="auto"/>
                <w:kern w:val="0"/>
                <w:sz w:val="20"/>
                <w:szCs w:val="20"/>
                <w:lang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auto"/>
                <w:sz w:val="20"/>
                <w:szCs w:val="20"/>
              </w:rPr>
            </w:pPr>
            <w:r>
              <w:rPr>
                <w:rFonts w:hint="eastAsia" w:ascii="宋体" w:hAnsi="宋体" w:cs="宋体"/>
                <w:b/>
                <w:color w:val="auto"/>
                <w:kern w:val="0"/>
                <w:sz w:val="20"/>
                <w:szCs w:val="20"/>
                <w:lang w:bidi="ar"/>
              </w:rPr>
              <w:t>实际完成指标值(包含数字及文字描述)</w:t>
            </w: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rPr>
            </w:pP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auto"/>
                <w:sz w:val="20"/>
                <w:szCs w:val="20"/>
              </w:rPr>
            </w:pPr>
            <w:r>
              <w:rPr>
                <w:rFonts w:hint="eastAsia" w:ascii="宋体" w:hAnsi="宋体" w:cs="宋体"/>
                <w:color w:val="auto"/>
                <w:kern w:val="0"/>
                <w:sz w:val="20"/>
                <w:szCs w:val="20"/>
                <w:lang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项目预期提供的</w:t>
            </w:r>
            <w:r>
              <w:rPr>
                <w:rFonts w:hint="eastAsia" w:ascii="宋体" w:hAnsi="宋体" w:cs="宋体"/>
                <w:color w:val="auto"/>
                <w:kern w:val="0"/>
                <w:sz w:val="20"/>
                <w:szCs w:val="20"/>
                <w:lang w:eastAsia="zh-CN" w:bidi="ar"/>
              </w:rPr>
              <w:t>活动、</w:t>
            </w:r>
            <w:r>
              <w:rPr>
                <w:rFonts w:hint="eastAsia" w:ascii="宋体" w:hAnsi="宋体" w:cs="宋体"/>
                <w:color w:val="auto"/>
                <w:kern w:val="0"/>
                <w:sz w:val="20"/>
                <w:szCs w:val="20"/>
                <w:lang w:bidi="ar"/>
              </w:rPr>
              <w:t>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auto"/>
                <w:sz w:val="20"/>
                <w:szCs w:val="20"/>
                <w:lang w:eastAsia="zh-CN"/>
              </w:rPr>
            </w:pPr>
            <w:r>
              <w:rPr>
                <w:rFonts w:hint="eastAsia" w:ascii="宋体" w:hAnsi="宋体" w:cs="宋体"/>
                <w:color w:val="auto"/>
                <w:sz w:val="20"/>
                <w:szCs w:val="20"/>
              </w:rPr>
              <w:t>保障</w:t>
            </w:r>
            <w:r>
              <w:rPr>
                <w:rFonts w:hint="eastAsia" w:ascii="宋体" w:hAnsi="宋体" w:cs="宋体"/>
                <w:color w:val="auto"/>
                <w:sz w:val="20"/>
                <w:szCs w:val="20"/>
                <w:lang w:eastAsia="zh-CN"/>
              </w:rPr>
              <w:t>青少年宫的活动开展</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圆满完成各项工作任务</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auto"/>
                <w:sz w:val="20"/>
                <w:szCs w:val="20"/>
                <w:lang w:eastAsia="zh-CN"/>
              </w:rPr>
            </w:pPr>
            <w:r>
              <w:rPr>
                <w:rFonts w:hint="eastAsia" w:ascii="宋体" w:hAnsi="宋体" w:cs="宋体"/>
                <w:color w:val="auto"/>
                <w:sz w:val="20"/>
                <w:szCs w:val="20"/>
                <w:lang w:val="en-US" w:eastAsia="zh-CN"/>
              </w:rPr>
              <w:t>4</w:t>
            </w:r>
            <w:r>
              <w:rPr>
                <w:rFonts w:hint="eastAsia" w:ascii="宋体" w:hAnsi="宋体" w:cs="宋体"/>
                <w:color w:val="auto"/>
                <w:sz w:val="20"/>
                <w:szCs w:val="20"/>
              </w:rPr>
              <w:t>月完成</w:t>
            </w:r>
            <w:r>
              <w:rPr>
                <w:rFonts w:hint="eastAsia" w:ascii="宋体" w:hAnsi="宋体" w:cs="宋体"/>
                <w:color w:val="auto"/>
                <w:sz w:val="20"/>
                <w:szCs w:val="20"/>
                <w:lang w:eastAsia="zh-CN"/>
              </w:rPr>
              <w:t>青少年宫的活动开展</w:t>
            </w:r>
            <w:r>
              <w:rPr>
                <w:rFonts w:hint="eastAsia" w:ascii="宋体" w:hAnsi="宋体" w:cs="宋体"/>
                <w:color w:val="auto"/>
                <w:sz w:val="20"/>
                <w:szCs w:val="20"/>
              </w:rPr>
              <w:t>，年底完成</w:t>
            </w:r>
            <w:r>
              <w:rPr>
                <w:rFonts w:hint="eastAsia" w:ascii="宋体" w:hAnsi="宋体" w:cs="宋体"/>
                <w:color w:val="auto"/>
                <w:sz w:val="20"/>
                <w:szCs w:val="20"/>
                <w:lang w:eastAsia="zh-CN"/>
              </w:rPr>
              <w:t>“青年之家”的建设</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各项工作在计划期内完成</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100%</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已制定</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已制定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已制定</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已明确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已明确</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合理</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符合</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100%</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合理</w:t>
            </w: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auto"/>
                <w:sz w:val="20"/>
                <w:szCs w:val="20"/>
              </w:rPr>
            </w:pPr>
            <w:r>
              <w:rPr>
                <w:rFonts w:hint="eastAsia" w:ascii="宋体" w:hAnsi="宋体" w:cs="宋体"/>
                <w:color w:val="auto"/>
                <w:kern w:val="0"/>
                <w:sz w:val="20"/>
                <w:szCs w:val="20"/>
                <w:lang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lang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及时</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及时</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lang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合规</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lang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规范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规范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未调整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未调整</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未变更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未变更</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按规定执行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按规定执行</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auto"/>
                <w:sz w:val="20"/>
                <w:szCs w:val="20"/>
              </w:rPr>
            </w:pPr>
            <w:r>
              <w:rPr>
                <w:rFonts w:hint="eastAsia" w:ascii="宋体" w:hAnsi="宋体" w:cs="宋体"/>
                <w:color w:val="auto"/>
                <w:kern w:val="0"/>
                <w:sz w:val="20"/>
                <w:szCs w:val="20"/>
                <w:lang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完成质量好</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完成质量好</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按时完成</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按量完成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按量完成</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反映</w:t>
            </w:r>
            <w:r>
              <w:rPr>
                <w:rFonts w:hint="eastAsia" w:ascii="宋体" w:hAnsi="宋体" w:cs="宋体"/>
                <w:color w:val="auto"/>
                <w:kern w:val="0"/>
                <w:sz w:val="20"/>
                <w:szCs w:val="20"/>
                <w:lang w:eastAsia="zh-CN" w:bidi="ar"/>
              </w:rPr>
              <w:t>青少年活动的开展对</w:t>
            </w:r>
            <w:r>
              <w:rPr>
                <w:rFonts w:hint="eastAsia" w:ascii="宋体" w:hAnsi="宋体" w:cs="宋体"/>
                <w:color w:val="auto"/>
                <w:kern w:val="0"/>
                <w:sz w:val="20"/>
                <w:szCs w:val="20"/>
                <w:lang w:bidi="ar"/>
              </w:rPr>
              <w:t>社会发展带来的影响和效果，根据</w:t>
            </w:r>
            <w:r>
              <w:rPr>
                <w:rFonts w:hint="eastAsia" w:ascii="宋体" w:hAnsi="宋体" w:cs="宋体"/>
                <w:color w:val="auto"/>
                <w:kern w:val="0"/>
                <w:sz w:val="20"/>
                <w:szCs w:val="20"/>
                <w:lang w:eastAsia="zh-CN" w:bidi="ar"/>
              </w:rPr>
              <w:t>青少年宫建设</w:t>
            </w:r>
            <w:r>
              <w:rPr>
                <w:rFonts w:hint="eastAsia" w:ascii="宋体" w:hAnsi="宋体" w:cs="宋体"/>
                <w:color w:val="auto"/>
                <w:kern w:val="0"/>
                <w:sz w:val="20"/>
                <w:szCs w:val="20"/>
                <w:lang w:bidi="ar"/>
              </w:rPr>
              <w:t>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auto"/>
                <w:sz w:val="20"/>
                <w:szCs w:val="20"/>
                <w:lang w:eastAsia="zh-CN"/>
              </w:rPr>
            </w:pPr>
            <w:r>
              <w:rPr>
                <w:rFonts w:hint="eastAsia" w:ascii="宋体" w:hAnsi="宋体" w:cs="宋体"/>
                <w:color w:val="auto"/>
                <w:sz w:val="20"/>
                <w:szCs w:val="20"/>
                <w:lang w:eastAsia="zh-CN"/>
              </w:rPr>
              <w:t>重点开展青少年活动，</w:t>
            </w:r>
            <w:r>
              <w:rPr>
                <w:rFonts w:hint="eastAsia" w:ascii="宋体" w:hAnsi="宋体" w:cs="宋体"/>
                <w:color w:val="auto"/>
                <w:sz w:val="20"/>
                <w:szCs w:val="20"/>
              </w:rPr>
              <w:t>助力</w:t>
            </w:r>
            <w:r>
              <w:rPr>
                <w:rFonts w:hint="eastAsia" w:ascii="宋体" w:hAnsi="宋体" w:cs="宋体"/>
                <w:color w:val="auto"/>
                <w:sz w:val="20"/>
                <w:szCs w:val="20"/>
                <w:lang w:eastAsia="zh-CN"/>
              </w:rPr>
              <w:t>青少年的身心发展</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color w:val="auto"/>
                <w:sz w:val="20"/>
                <w:szCs w:val="20"/>
                <w:lang w:val="en-US" w:eastAsia="zh-CN"/>
              </w:rPr>
            </w:pPr>
            <w:r>
              <w:rPr>
                <w:rFonts w:hint="eastAsia" w:ascii="宋体" w:hAnsi="宋体" w:cs="宋体"/>
                <w:color w:val="auto"/>
                <w:sz w:val="20"/>
                <w:szCs w:val="20"/>
                <w:lang w:eastAsia="zh-CN"/>
              </w:rPr>
              <w:t>青少年活动</w:t>
            </w:r>
            <w:r>
              <w:rPr>
                <w:rFonts w:hint="eastAsia" w:ascii="宋体" w:hAnsi="宋体" w:cs="宋体"/>
                <w:color w:val="auto"/>
                <w:sz w:val="20"/>
                <w:szCs w:val="20"/>
              </w:rPr>
              <w:t>，围绕</w:t>
            </w:r>
            <w:r>
              <w:rPr>
                <w:rFonts w:hint="eastAsia" w:ascii="宋体" w:hAnsi="宋体" w:cs="宋体"/>
                <w:color w:val="auto"/>
                <w:sz w:val="20"/>
                <w:szCs w:val="20"/>
                <w:lang w:eastAsia="zh-CN"/>
              </w:rPr>
              <w:t>青少年开展</w:t>
            </w:r>
            <w:r>
              <w:rPr>
                <w:rFonts w:hint="eastAsia" w:ascii="宋体" w:hAnsi="宋体" w:cs="宋体"/>
                <w:color w:val="auto"/>
                <w:sz w:val="20"/>
                <w:szCs w:val="20"/>
              </w:rPr>
              <w:t>，助力</w:t>
            </w:r>
            <w:r>
              <w:rPr>
                <w:rFonts w:hint="eastAsia" w:ascii="宋体" w:hAnsi="宋体" w:cs="宋体"/>
                <w:color w:val="auto"/>
                <w:sz w:val="20"/>
                <w:szCs w:val="20"/>
                <w:lang w:eastAsia="zh-CN"/>
              </w:rPr>
              <w:t>青少年宫的发展</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反映</w:t>
            </w:r>
            <w:r>
              <w:rPr>
                <w:rFonts w:hint="eastAsia" w:ascii="宋体" w:hAnsi="宋体" w:cs="宋体"/>
                <w:color w:val="auto"/>
                <w:kern w:val="0"/>
                <w:sz w:val="20"/>
                <w:szCs w:val="20"/>
                <w:lang w:eastAsia="zh-CN" w:bidi="ar"/>
              </w:rPr>
              <w:t>相关青少年宫的基地建设</w:t>
            </w:r>
            <w:r>
              <w:rPr>
                <w:rFonts w:hint="eastAsia" w:ascii="宋体" w:hAnsi="宋体" w:cs="宋体"/>
                <w:color w:val="auto"/>
                <w:kern w:val="0"/>
                <w:sz w:val="20"/>
                <w:szCs w:val="20"/>
                <w:lang w:bidi="ar"/>
              </w:rPr>
              <w:t>对社会发展带来的影响和效果，根据</w:t>
            </w:r>
            <w:r>
              <w:rPr>
                <w:rFonts w:hint="eastAsia" w:ascii="宋体" w:hAnsi="宋体" w:cs="宋体"/>
                <w:color w:val="auto"/>
                <w:kern w:val="0"/>
                <w:sz w:val="20"/>
                <w:szCs w:val="20"/>
                <w:lang w:eastAsia="zh-CN" w:bidi="ar"/>
              </w:rPr>
              <w:t>青少年宫活动开展来</w:t>
            </w:r>
            <w:r>
              <w:rPr>
                <w:rFonts w:hint="eastAsia" w:ascii="宋体" w:hAnsi="宋体" w:cs="宋体"/>
                <w:color w:val="auto"/>
                <w:kern w:val="0"/>
                <w:sz w:val="20"/>
                <w:szCs w:val="20"/>
                <w:lang w:bidi="ar"/>
              </w:rPr>
              <w:t>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深入</w:t>
            </w:r>
            <w:r>
              <w:rPr>
                <w:rFonts w:hint="eastAsia" w:ascii="宋体" w:hAnsi="宋体" w:cs="宋体"/>
                <w:color w:val="auto"/>
                <w:sz w:val="20"/>
                <w:szCs w:val="20"/>
                <w:lang w:eastAsia="zh-CN"/>
              </w:rPr>
              <w:t>青少年宫活动开展的调研，</w:t>
            </w:r>
            <w:r>
              <w:rPr>
                <w:rFonts w:hint="eastAsia" w:ascii="宋体" w:hAnsi="宋体" w:cs="宋体"/>
                <w:color w:val="auto"/>
                <w:sz w:val="20"/>
                <w:szCs w:val="20"/>
              </w:rPr>
              <w:t>不断调整完善</w:t>
            </w:r>
            <w:r>
              <w:rPr>
                <w:rFonts w:hint="eastAsia" w:ascii="宋体" w:hAnsi="宋体" w:cs="宋体"/>
                <w:color w:val="auto"/>
                <w:sz w:val="20"/>
                <w:szCs w:val="20"/>
                <w:lang w:eastAsia="zh-CN"/>
              </w:rPr>
              <w:t>青少年宫基地设施</w:t>
            </w:r>
            <w:r>
              <w:rPr>
                <w:rFonts w:hint="eastAsia" w:ascii="宋体" w:hAnsi="宋体" w:cs="宋体"/>
                <w:color w:val="auto"/>
                <w:sz w:val="20"/>
                <w:szCs w:val="20"/>
              </w:rPr>
              <w:t>和</w:t>
            </w:r>
            <w:r>
              <w:rPr>
                <w:rFonts w:hint="eastAsia" w:ascii="宋体" w:hAnsi="宋体" w:cs="宋体"/>
                <w:color w:val="auto"/>
                <w:sz w:val="20"/>
                <w:szCs w:val="20"/>
                <w:lang w:eastAsia="zh-CN"/>
              </w:rPr>
              <w:t>活动</w:t>
            </w:r>
            <w:r>
              <w:rPr>
                <w:rFonts w:hint="eastAsia" w:ascii="宋体" w:hAnsi="宋体" w:cs="宋体"/>
                <w:color w:val="auto"/>
                <w:sz w:val="20"/>
                <w:szCs w:val="20"/>
              </w:rPr>
              <w:t>配置，造福社会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深入研究</w:t>
            </w:r>
            <w:r>
              <w:rPr>
                <w:rFonts w:hint="eastAsia" w:ascii="宋体" w:hAnsi="宋体" w:cs="宋体"/>
                <w:color w:val="auto"/>
                <w:sz w:val="20"/>
                <w:szCs w:val="20"/>
                <w:lang w:eastAsia="zh-CN"/>
              </w:rPr>
              <w:t>青少年宫</w:t>
            </w:r>
            <w:r>
              <w:rPr>
                <w:rFonts w:hint="eastAsia" w:ascii="宋体" w:hAnsi="宋体" w:cs="宋体"/>
                <w:color w:val="auto"/>
                <w:sz w:val="20"/>
                <w:szCs w:val="20"/>
              </w:rPr>
              <w:t>体制机制问题，不断调整</w:t>
            </w:r>
            <w:r>
              <w:rPr>
                <w:rFonts w:hint="eastAsia" w:ascii="宋体" w:hAnsi="宋体" w:cs="宋体"/>
                <w:color w:val="auto"/>
                <w:sz w:val="20"/>
                <w:szCs w:val="20"/>
                <w:lang w:eastAsia="zh-CN"/>
              </w:rPr>
              <w:t>青少年宫基地建设</w:t>
            </w:r>
            <w:r>
              <w:rPr>
                <w:rFonts w:hint="eastAsia" w:ascii="宋体" w:hAnsi="宋体" w:cs="宋体"/>
                <w:color w:val="auto"/>
                <w:sz w:val="20"/>
                <w:szCs w:val="20"/>
              </w:rPr>
              <w:t>完善</w:t>
            </w:r>
            <w:r>
              <w:rPr>
                <w:rFonts w:hint="eastAsia" w:ascii="宋体" w:hAnsi="宋体" w:cs="宋体"/>
                <w:color w:val="auto"/>
                <w:sz w:val="20"/>
                <w:szCs w:val="20"/>
                <w:lang w:eastAsia="zh-CN"/>
              </w:rPr>
              <w:t>青少年宫设施</w:t>
            </w:r>
            <w:r>
              <w:rPr>
                <w:rFonts w:hint="eastAsia" w:ascii="宋体" w:hAnsi="宋体" w:cs="宋体"/>
                <w:color w:val="auto"/>
                <w:sz w:val="20"/>
                <w:szCs w:val="20"/>
              </w:rPr>
              <w:t>配置，造福社会</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rPr>
            </w:pPr>
            <w:r>
              <w:rPr>
                <w:rFonts w:hint="eastAsia" w:ascii="宋体" w:hAnsi="宋体" w:cs="宋体"/>
                <w:color w:val="auto"/>
                <w:kern w:val="0"/>
                <w:sz w:val="20"/>
                <w:szCs w:val="20"/>
                <w:lang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反映</w:t>
            </w:r>
            <w:r>
              <w:rPr>
                <w:rFonts w:hint="eastAsia" w:ascii="宋体" w:hAnsi="宋体" w:cs="宋体"/>
                <w:color w:val="auto"/>
                <w:kern w:val="0"/>
                <w:sz w:val="20"/>
                <w:szCs w:val="20"/>
                <w:lang w:eastAsia="zh-CN" w:bidi="ar"/>
              </w:rPr>
              <w:t>青少年宫建设对社会生态环境的影响</w:t>
            </w:r>
            <w:r>
              <w:rPr>
                <w:rFonts w:hint="eastAsia" w:ascii="宋体" w:hAnsi="宋体" w:cs="宋体"/>
                <w:color w:val="auto"/>
                <w:kern w:val="0"/>
                <w:sz w:val="20"/>
                <w:szCs w:val="20"/>
                <w:lang w:bidi="ar"/>
              </w:rPr>
              <w:t>，根据</w:t>
            </w:r>
            <w:r>
              <w:rPr>
                <w:rFonts w:hint="eastAsia" w:ascii="宋体" w:hAnsi="宋体" w:cs="宋体"/>
                <w:color w:val="auto"/>
                <w:kern w:val="0"/>
                <w:sz w:val="20"/>
                <w:szCs w:val="20"/>
                <w:lang w:eastAsia="zh-CN" w:bidi="ar"/>
              </w:rPr>
              <w:t>青少年宫建设</w:t>
            </w:r>
            <w:r>
              <w:rPr>
                <w:rFonts w:hint="eastAsia" w:ascii="宋体" w:hAnsi="宋体" w:cs="宋体"/>
                <w:color w:val="auto"/>
                <w:kern w:val="0"/>
                <w:sz w:val="20"/>
                <w:szCs w:val="20"/>
                <w:lang w:bidi="ar"/>
              </w:rPr>
              <w:t>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服务生态文明建设工作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auto"/>
                <w:sz w:val="20"/>
                <w:szCs w:val="20"/>
                <w:lang w:eastAsia="zh-CN"/>
              </w:rPr>
            </w:pPr>
            <w:r>
              <w:rPr>
                <w:rFonts w:hint="eastAsia" w:ascii="宋体" w:hAnsi="宋体" w:cs="宋体"/>
                <w:color w:val="auto"/>
                <w:sz w:val="20"/>
                <w:szCs w:val="20"/>
              </w:rPr>
              <w:t>为生态文明建设工作</w:t>
            </w:r>
            <w:r>
              <w:rPr>
                <w:rFonts w:hint="eastAsia" w:ascii="宋体" w:hAnsi="宋体" w:cs="宋体"/>
                <w:color w:val="auto"/>
                <w:sz w:val="20"/>
                <w:szCs w:val="20"/>
                <w:lang w:eastAsia="zh-CN"/>
              </w:rPr>
              <w:t>做出一份贡献</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rPr>
            </w:pPr>
            <w:r>
              <w:rPr>
                <w:rFonts w:hint="eastAsia" w:ascii="宋体" w:hAnsi="宋体" w:cs="宋体"/>
                <w:color w:val="auto"/>
                <w:kern w:val="0"/>
                <w:sz w:val="20"/>
                <w:szCs w:val="20"/>
                <w:lang w:bidi="ar"/>
              </w:rPr>
              <w:t>反映</w:t>
            </w:r>
            <w:r>
              <w:rPr>
                <w:rFonts w:hint="eastAsia" w:ascii="宋体" w:hAnsi="宋体" w:cs="宋体"/>
                <w:color w:val="auto"/>
                <w:kern w:val="0"/>
                <w:sz w:val="20"/>
                <w:szCs w:val="20"/>
                <w:lang w:eastAsia="zh-CN" w:bidi="ar"/>
              </w:rPr>
              <w:t>青少年宫建设对青少年</w:t>
            </w:r>
            <w:r>
              <w:rPr>
                <w:rFonts w:hint="eastAsia" w:ascii="宋体" w:hAnsi="宋体" w:cs="宋体"/>
                <w:color w:val="auto"/>
                <w:kern w:val="0"/>
                <w:sz w:val="20"/>
                <w:szCs w:val="20"/>
                <w:lang w:bidi="ar"/>
              </w:rPr>
              <w:t>带来影响</w:t>
            </w:r>
            <w:r>
              <w:rPr>
                <w:rFonts w:hint="eastAsia" w:ascii="宋体" w:hAnsi="宋体" w:cs="宋体"/>
                <w:color w:val="auto"/>
                <w:kern w:val="0"/>
                <w:sz w:val="20"/>
                <w:szCs w:val="20"/>
                <w:lang w:eastAsia="zh-CN" w:bidi="ar"/>
              </w:rPr>
              <w:t>和</w:t>
            </w:r>
            <w:r>
              <w:rPr>
                <w:rFonts w:hint="eastAsia" w:ascii="宋体" w:hAnsi="宋体" w:cs="宋体"/>
                <w:color w:val="auto"/>
                <w:kern w:val="0"/>
                <w:sz w:val="20"/>
                <w:szCs w:val="20"/>
                <w:lang w:bidi="ar"/>
              </w:rPr>
              <w:t>可持续期限，根据</w:t>
            </w:r>
            <w:r>
              <w:rPr>
                <w:rFonts w:hint="eastAsia" w:ascii="宋体" w:hAnsi="宋体" w:cs="宋体"/>
                <w:color w:val="auto"/>
                <w:kern w:val="0"/>
                <w:sz w:val="20"/>
                <w:szCs w:val="20"/>
                <w:lang w:eastAsia="zh-CN" w:bidi="ar"/>
              </w:rPr>
              <w:t>青少年宫建设</w:t>
            </w:r>
            <w:r>
              <w:rPr>
                <w:rFonts w:hint="eastAsia" w:ascii="宋体" w:hAnsi="宋体" w:cs="宋体"/>
                <w:color w:val="auto"/>
                <w:kern w:val="0"/>
                <w:sz w:val="20"/>
                <w:szCs w:val="20"/>
                <w:lang w:bidi="ar"/>
              </w:rPr>
              <w:t>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auto"/>
                <w:sz w:val="20"/>
                <w:szCs w:val="20"/>
              </w:rPr>
            </w:pPr>
            <w:r>
              <w:rPr>
                <w:rFonts w:hint="eastAsia" w:ascii="宋体" w:hAnsi="宋体" w:cs="宋体"/>
                <w:color w:val="auto"/>
                <w:sz w:val="20"/>
                <w:szCs w:val="20"/>
                <w:lang w:eastAsia="zh-CN"/>
              </w:rPr>
              <w:t>完善青少年宫设施</w:t>
            </w:r>
            <w:r>
              <w:rPr>
                <w:rFonts w:hint="eastAsia" w:ascii="宋体" w:hAnsi="宋体" w:cs="宋体"/>
                <w:color w:val="auto"/>
                <w:sz w:val="20"/>
                <w:szCs w:val="20"/>
              </w:rPr>
              <w:t>、优化</w:t>
            </w:r>
            <w:r>
              <w:rPr>
                <w:rFonts w:hint="eastAsia" w:ascii="宋体" w:hAnsi="宋体" w:cs="宋体"/>
                <w:color w:val="auto"/>
                <w:sz w:val="20"/>
                <w:szCs w:val="20"/>
                <w:lang w:eastAsia="zh-CN"/>
              </w:rPr>
              <w:t>青少年宫</w:t>
            </w:r>
            <w:r>
              <w:rPr>
                <w:rFonts w:hint="eastAsia" w:ascii="宋体" w:hAnsi="宋体" w:cs="宋体"/>
                <w:color w:val="auto"/>
                <w:sz w:val="20"/>
                <w:szCs w:val="20"/>
              </w:rPr>
              <w:t>结构、服务发展</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color w:val="auto"/>
                <w:sz w:val="20"/>
                <w:szCs w:val="20"/>
                <w:lang w:eastAsia="zh-CN"/>
              </w:rPr>
            </w:pPr>
            <w:r>
              <w:rPr>
                <w:rFonts w:hint="eastAsia" w:ascii="宋体" w:hAnsi="宋体" w:cs="宋体"/>
                <w:color w:val="auto"/>
                <w:sz w:val="20"/>
                <w:szCs w:val="20"/>
              </w:rPr>
              <w:t>在不</w:t>
            </w:r>
            <w:r>
              <w:rPr>
                <w:rFonts w:hint="eastAsia" w:ascii="宋体" w:hAnsi="宋体" w:cs="宋体"/>
                <w:color w:val="auto"/>
                <w:sz w:val="20"/>
                <w:szCs w:val="20"/>
                <w:lang w:eastAsia="zh-CN"/>
              </w:rPr>
              <w:t>完善青少年宫设施中，增添更加丰富多彩的活动，为服务社会做出贡献</w:t>
            </w: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auto"/>
                <w:sz w:val="20"/>
                <w:szCs w:val="20"/>
              </w:rPr>
            </w:pPr>
            <w:r>
              <w:rPr>
                <w:rFonts w:hint="eastAsia" w:ascii="宋体" w:hAnsi="宋体" w:cs="宋体"/>
                <w:color w:val="auto"/>
                <w:kern w:val="0"/>
                <w:sz w:val="20"/>
                <w:szCs w:val="20"/>
                <w:lang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rPr>
            </w:pPr>
            <w:r>
              <w:rPr>
                <w:rFonts w:hint="eastAsia" w:ascii="宋体" w:hAnsi="宋体" w:cs="宋体"/>
                <w:color w:val="auto"/>
                <w:kern w:val="0"/>
                <w:sz w:val="20"/>
                <w:szCs w:val="20"/>
                <w:lang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auto"/>
                <w:sz w:val="20"/>
                <w:szCs w:val="20"/>
              </w:rPr>
            </w:pPr>
            <w:r>
              <w:rPr>
                <w:rFonts w:hint="eastAsia" w:ascii="宋体" w:hAnsi="宋体" w:cs="宋体"/>
                <w:color w:val="auto"/>
                <w:kern w:val="0"/>
                <w:sz w:val="20"/>
                <w:szCs w:val="20"/>
                <w:lang w:bidi="ar"/>
              </w:rPr>
              <w:t>反映服务对象或</w:t>
            </w:r>
            <w:r>
              <w:rPr>
                <w:rFonts w:hint="eastAsia" w:ascii="宋体" w:hAnsi="宋体" w:cs="宋体"/>
                <w:color w:val="auto"/>
                <w:kern w:val="0"/>
                <w:sz w:val="20"/>
                <w:szCs w:val="20"/>
                <w:lang w:eastAsia="zh-CN" w:bidi="ar"/>
              </w:rPr>
              <w:t>青少年等</w:t>
            </w:r>
            <w:r>
              <w:rPr>
                <w:rFonts w:hint="eastAsia" w:ascii="宋体" w:hAnsi="宋体" w:cs="宋体"/>
                <w:color w:val="auto"/>
                <w:kern w:val="0"/>
                <w:sz w:val="20"/>
                <w:szCs w:val="20"/>
                <w:lang w:bidi="ar"/>
              </w:rPr>
              <w:t>受益人对</w:t>
            </w:r>
            <w:r>
              <w:rPr>
                <w:rFonts w:hint="eastAsia" w:ascii="宋体" w:hAnsi="宋体" w:cs="宋体"/>
                <w:color w:val="auto"/>
                <w:kern w:val="0"/>
                <w:sz w:val="20"/>
                <w:szCs w:val="20"/>
                <w:lang w:eastAsia="zh-CN" w:bidi="ar"/>
              </w:rPr>
              <w:t>青少年宫建设的意见</w:t>
            </w:r>
            <w:r>
              <w:rPr>
                <w:rFonts w:hint="eastAsia" w:ascii="宋体" w:hAnsi="宋体" w:cs="宋体"/>
                <w:color w:val="auto"/>
                <w:kern w:val="0"/>
                <w:sz w:val="20"/>
                <w:szCs w:val="20"/>
                <w:lang w:bidi="ar"/>
              </w:rPr>
              <w:t>及其影响的认可程度，根据</w:t>
            </w:r>
            <w:r>
              <w:rPr>
                <w:rFonts w:hint="eastAsia" w:ascii="宋体" w:hAnsi="宋体" w:cs="宋体"/>
                <w:color w:val="auto"/>
                <w:kern w:val="0"/>
                <w:sz w:val="20"/>
                <w:szCs w:val="20"/>
                <w:lang w:eastAsia="zh-CN" w:bidi="ar"/>
              </w:rPr>
              <w:t>青少年宫的建设</w:t>
            </w:r>
            <w:r>
              <w:rPr>
                <w:rFonts w:hint="eastAsia" w:ascii="宋体" w:hAnsi="宋体" w:cs="宋体"/>
                <w:color w:val="auto"/>
                <w:kern w:val="0"/>
                <w:sz w:val="20"/>
                <w:szCs w:val="20"/>
                <w:lang w:bidi="ar"/>
              </w:rPr>
              <w:t>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rPr>
            </w:pPr>
            <w:r>
              <w:rPr>
                <w:rFonts w:hint="eastAsia" w:ascii="宋体" w:hAnsi="宋体" w:cs="宋体"/>
                <w:color w:val="auto"/>
                <w:sz w:val="20"/>
                <w:szCs w:val="20"/>
              </w:rPr>
              <w:t>满意</w:t>
            </w:r>
          </w:p>
        </w:tc>
      </w:tr>
    </w:tbl>
    <w:p>
      <w:pPr>
        <w:tabs>
          <w:tab w:val="left" w:pos="312"/>
        </w:tabs>
        <w:spacing w:line="580" w:lineRule="exact"/>
        <w:rPr>
          <w:rFonts w:ascii="仿宋_GB2312" w:hAnsi="仿宋_GB2312" w:eastAsia="仿宋_GB2312" w:cs="仿宋_GB2312"/>
          <w:color w:val="0000FF"/>
          <w:sz w:val="32"/>
          <w:szCs w:val="32"/>
        </w:rPr>
      </w:pPr>
    </w:p>
    <w:p>
      <w:pPr>
        <w:rPr>
          <w:rFonts w:ascii="Calibri" w:hAnsi="Calibri"/>
          <w:color w:val="0000FF"/>
        </w:rPr>
      </w:pPr>
    </w:p>
    <w:p>
      <w:pPr>
        <w:spacing w:line="580" w:lineRule="exact"/>
        <w:ind w:firstLine="960" w:firstLineChars="300"/>
        <w:rPr>
          <w:rFonts w:ascii="仿宋_GB2312" w:hAnsi="仿宋_GB2312" w:eastAsia="仿宋_GB2312" w:cs="仿宋_GB2312"/>
          <w:color w:val="0000FF"/>
          <w:sz w:val="32"/>
          <w:szCs w:val="32"/>
        </w:rPr>
      </w:pP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Style w:val="26"/>
          <w:rFonts w:ascii="黑体" w:hAnsi="黑体" w:eastAsia="黑体"/>
        </w:rPr>
      </w:pPr>
      <w:r>
        <w:rPr>
          <w:rFonts w:hint="eastAsia" w:ascii="仿宋_GB2312" w:hAnsi="仿宋_GB2312" w:eastAsia="仿宋_GB2312" w:cs="仿宋_GB2312"/>
          <w:sz w:val="32"/>
          <w:szCs w:val="32"/>
        </w:rPr>
        <w:t>本部门按要求对2018年部门整体支出绩效评价情况开展自评，《团委部门2018年部门整体支出绩效评价报告》见附件。</w:t>
      </w:r>
    </w:p>
    <w:p>
      <w:pPr>
        <w:spacing w:line="600" w:lineRule="exact"/>
        <w:outlineLvl w:val="1"/>
        <w:rPr>
          <w:rStyle w:val="26"/>
          <w:rFonts w:ascii="黑体" w:hAnsi="黑体" w:eastAsia="黑体"/>
        </w:rPr>
      </w:pPr>
    </w:p>
    <w:p>
      <w:pPr>
        <w:numPr>
          <w:ilvl w:val="0"/>
          <w:numId w:val="4"/>
        </w:numPr>
        <w:spacing w:line="600" w:lineRule="exact"/>
        <w:outlineLvl w:val="1"/>
        <w:rPr>
          <w:rStyle w:val="26"/>
          <w:rFonts w:ascii="黑体" w:hAnsi="黑体" w:eastAsia="黑体"/>
        </w:rPr>
      </w:pPr>
      <w:r>
        <w:rPr>
          <w:rStyle w:val="26"/>
          <w:rFonts w:hint="eastAsia" w:ascii="黑体" w:hAnsi="黑体" w:eastAsia="黑体"/>
          <w:b w:val="0"/>
        </w:rPr>
        <w:t>其他重要事项的情况说明</w:t>
      </w:r>
      <w:bookmarkEnd w:id="46"/>
      <w:bookmarkEnd w:id="47"/>
    </w:p>
    <w:p>
      <w:pPr>
        <w:spacing w:line="600" w:lineRule="exact"/>
        <w:ind w:firstLine="643" w:firstLineChars="200"/>
        <w:outlineLvl w:val="2"/>
        <w:rPr>
          <w:rFonts w:ascii="仿宋" w:hAnsi="仿宋" w:eastAsia="仿宋"/>
          <w:color w:val="000000"/>
          <w:sz w:val="32"/>
          <w:szCs w:val="32"/>
        </w:rPr>
      </w:pPr>
      <w:bookmarkStart w:id="50" w:name="_Toc15377222"/>
      <w:r>
        <w:rPr>
          <w:rFonts w:hint="eastAsia" w:ascii="楷体" w:hAnsi="楷体" w:eastAsia="楷体" w:cs="楷体"/>
          <w:b/>
          <w:color w:val="000000"/>
          <w:sz w:val="32"/>
          <w:szCs w:val="32"/>
        </w:rPr>
        <w:t>（一）机关运行经费支出情况</w:t>
      </w:r>
      <w:bookmarkEnd w:id="50"/>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8年我单位机关运行经费支出19.41万元，比</w:t>
      </w:r>
      <w:r>
        <w:rPr>
          <w:rFonts w:ascii="仿宋_GB2312" w:eastAsia="仿宋_GB2312"/>
          <w:color w:val="000000"/>
          <w:sz w:val="32"/>
          <w:szCs w:val="32"/>
        </w:rPr>
        <w:t>201</w:t>
      </w:r>
      <w:r>
        <w:rPr>
          <w:rFonts w:hint="eastAsia" w:ascii="仿宋_GB2312" w:eastAsia="仿宋_GB2312"/>
          <w:color w:val="000000"/>
          <w:sz w:val="32"/>
          <w:szCs w:val="32"/>
        </w:rPr>
        <w:t>7年减少17.72万元。主</w:t>
      </w:r>
      <w:r>
        <w:rPr>
          <w:rFonts w:hint="eastAsia" w:ascii="仿宋_GB2312" w:eastAsia="仿宋_GB2312"/>
          <w:color w:val="000000" w:themeColor="text1"/>
          <w:sz w:val="32"/>
          <w:szCs w:val="32"/>
          <w14:textFill>
            <w14:solidFill>
              <w14:schemeClr w14:val="tx1"/>
            </w14:solidFill>
          </w14:textFill>
        </w:rPr>
        <w:t>要原因为我单位厉行节约，控制内部经费使用。</w:t>
      </w:r>
    </w:p>
    <w:p>
      <w:pPr>
        <w:autoSpaceDE w:val="0"/>
        <w:autoSpaceDN w:val="0"/>
        <w:adjustRightInd w:val="0"/>
        <w:spacing w:line="600" w:lineRule="exact"/>
        <w:ind w:firstLine="643" w:firstLineChars="200"/>
        <w:jc w:val="left"/>
        <w:outlineLvl w:val="2"/>
        <w:rPr>
          <w:rFonts w:ascii="楷体" w:hAnsi="楷体" w:eastAsia="楷体" w:cs="楷体"/>
          <w:b/>
          <w:color w:val="000000"/>
          <w:sz w:val="32"/>
          <w:szCs w:val="32"/>
        </w:rPr>
      </w:pPr>
      <w:bookmarkStart w:id="51" w:name="_Toc15377223"/>
      <w:r>
        <w:rPr>
          <w:rFonts w:hint="eastAsia" w:ascii="楷体" w:hAnsi="楷体" w:eastAsia="楷体" w:cs="楷体"/>
          <w:b/>
          <w:color w:val="000000"/>
          <w:sz w:val="32"/>
          <w:szCs w:val="32"/>
        </w:rPr>
        <w:t>（二）政府采购支出情况</w:t>
      </w:r>
      <w:bookmarkEnd w:id="5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8年，我单位没有采购支出</w:t>
      </w:r>
    </w:p>
    <w:p>
      <w:pPr>
        <w:autoSpaceDE w:val="0"/>
        <w:autoSpaceDN w:val="0"/>
        <w:adjustRightInd w:val="0"/>
        <w:spacing w:line="600" w:lineRule="exact"/>
        <w:ind w:firstLine="643" w:firstLineChars="200"/>
        <w:jc w:val="left"/>
        <w:outlineLvl w:val="2"/>
        <w:rPr>
          <w:rFonts w:ascii="楷体" w:hAnsi="楷体" w:eastAsia="楷体" w:cs="楷体"/>
          <w:b/>
          <w:color w:val="000000"/>
          <w:sz w:val="32"/>
          <w:szCs w:val="32"/>
        </w:rPr>
      </w:pPr>
      <w:bookmarkStart w:id="52" w:name="_Toc15377224"/>
      <w:r>
        <w:rPr>
          <w:rFonts w:hint="eastAsia" w:ascii="楷体" w:hAnsi="楷体" w:eastAsia="楷体" w:cs="楷体"/>
          <w:b/>
          <w:color w:val="000000"/>
          <w:sz w:val="32"/>
          <w:szCs w:val="32"/>
        </w:rPr>
        <w:t>（三）国有资产占有使用情况</w:t>
      </w:r>
      <w:bookmarkEnd w:id="52"/>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日，我单位共有车辆1辆，其中：部级领导干部用车0辆、一般公务用车1辆、一般执法执勤用车主要</w:t>
      </w:r>
      <w:r>
        <w:rPr>
          <w:rFonts w:hint="eastAsia" w:ascii="仿宋_GB2312" w:eastAsia="仿宋_GB2312"/>
          <w:color w:val="000000" w:themeColor="text1"/>
          <w:sz w:val="32"/>
          <w:szCs w:val="32"/>
          <w14:textFill>
            <w14:solidFill>
              <w14:schemeClr w14:val="tx1"/>
            </w14:solidFill>
          </w14:textFill>
        </w:rPr>
        <w:t>是用于本单位人员因公外出，下乡宣传活动。单价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numPr>
          <w:ilvl w:val="0"/>
          <w:numId w:val="7"/>
        </w:numPr>
        <w:spacing w:line="600" w:lineRule="exact"/>
        <w:ind w:firstLine="663" w:firstLineChars="150"/>
        <w:jc w:val="center"/>
        <w:outlineLvl w:val="0"/>
        <w:rPr>
          <w:rFonts w:ascii="宋体"/>
          <w:b/>
          <w:color w:val="000000"/>
          <w:sz w:val="44"/>
          <w:szCs w:val="44"/>
        </w:rPr>
      </w:pPr>
      <w:bookmarkStart w:id="53" w:name="_Toc15377225"/>
      <w:bookmarkStart w:id="54" w:name="_Toc15396613"/>
      <w:r>
        <w:rPr>
          <w:rFonts w:hint="eastAsia" w:ascii="黑体" w:hAnsi="黑体" w:eastAsia="黑体"/>
          <w:b/>
          <w:color w:val="000000"/>
          <w:sz w:val="44"/>
          <w:szCs w:val="44"/>
        </w:rPr>
        <w:t>名</w:t>
      </w:r>
      <w:r>
        <w:rPr>
          <w:rStyle w:val="25"/>
          <w:rFonts w:hint="eastAsia" w:ascii="黑体" w:hAnsi="黑体" w:eastAsia="黑体"/>
          <w:b w:val="0"/>
        </w:rPr>
        <w:t>词解释</w:t>
      </w:r>
      <w:bookmarkEnd w:id="53"/>
      <w:bookmarkEnd w:id="54"/>
    </w:p>
    <w:p>
      <w:pPr>
        <w:ind w:firstLine="640" w:firstLineChars="200"/>
        <w:rPr>
          <w:rFonts w:ascii="仿宋_GB2312" w:eastAsia="仿宋_GB2312"/>
          <w:color w:val="000000"/>
          <w:sz w:val="32"/>
          <w:szCs w:val="32"/>
        </w:rPr>
      </w:pPr>
      <w:bookmarkStart w:id="55" w:name="_Toc15396614"/>
      <w:bookmarkStart w:id="56" w:name="_Toc15377226"/>
    </w:p>
    <w:p>
      <w:pPr>
        <w:ind w:firstLine="640" w:firstLineChars="200"/>
        <w:rPr>
          <w:rFonts w:ascii="仿宋_GB2312" w:eastAsia="仿宋_GB2312"/>
          <w:color w:val="000000"/>
          <w:sz w:val="32"/>
          <w:szCs w:val="32"/>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其他收入：指单位取得的除上述收入以外的各项收入。主要是利息收入等。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auto"/>
          <w:sz w:val="32"/>
          <w:szCs w:val="32"/>
        </w:rPr>
      </w:pPr>
      <w:r>
        <w:rPr>
          <w:rFonts w:ascii="仿宋_GB2312" w:eastAsia="仿宋_GB2312"/>
          <w:color w:val="auto"/>
          <w:sz w:val="32"/>
          <w:szCs w:val="32"/>
        </w:rPr>
        <w:t>9.</w:t>
      </w:r>
      <w:r>
        <w:rPr>
          <w:rFonts w:hint="eastAsia" w:ascii="仿宋_GB2312" w:eastAsia="仿宋_GB2312"/>
          <w:color w:val="auto"/>
          <w:sz w:val="32"/>
          <w:szCs w:val="32"/>
        </w:rPr>
        <w:t>一般公共服务（类)群众团体事务（款）行政运行（项）：指反映行政单位（包括实行公务员管理的事业单位）的基本支出。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10.社会保障就业（类）行政事业单位离退休（款）机关事业单位养老保险缴费支出：反映机关事业单位实施养老保险制度由单位缴纳的基本养老保险费支出。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11.社会保障就业（类）行政事业单位离退休（款）机关事业单位职业年金缴费支出：反映机关事业单位IE实施养老保险制度由单位实际缴纳的职业年金支出。</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12.医疗卫生和计划生育（类）行政事业单位医疗（款）行政单位医疗支出：反映财政部门集中安排的行政单位基本医疗保险缴费经费，未参加医疗保险的行政单位的公费医疗经费，按照国家规定的享受离休人员的待遇的医疗经费。</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13.医疗卫生和计划生育（类）行政事业单位医疗（款）事业单位医疗支出：反映财政部门集中安排的事业单位基本医疗保险缴费经费，未参加医疗保险的事业单位的公费医疗经费，按照国家规定的享受离休人员的待遇的医疗经费。</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14.医疗卫生和计划生育（类）行政事业单位医疗（款）公务员医疗支出：反映财政部门集中安排的公务员医疗补助经费。</w:t>
      </w:r>
    </w:p>
    <w:p>
      <w:p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15.医疗卫生和计划生育（类）行政事业单位医疗（款）其他行政事业单位医疗支出：反映除上述项目以外的的其他用于行政事业单位医疗方面的支出。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16.住房保障支出（类）住房改革支出（款）住房公积金：反映行政事业单位按人力资源和社会保障部、财政部规定的基本工资和津贴补贴以及规定比例为职工缴纳的住房公积金。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ascii="仿宋_GB2312" w:eastAsia="仿宋_GB2312"/>
          <w:color w:val="000000"/>
          <w:sz w:val="32"/>
          <w:szCs w:val="32"/>
        </w:rPr>
        <w:t>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ascii="仿宋_GB2312" w:eastAsia="仿宋_GB2312"/>
          <w:color w:val="000000"/>
          <w:sz w:val="32"/>
          <w:szCs w:val="32"/>
        </w:rPr>
        <w:t>9.</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sz w:val="32"/>
          <w:szCs w:val="32"/>
        </w:rPr>
      </w:pPr>
    </w:p>
    <w:p>
      <w:pPr>
        <w:pStyle w:val="23"/>
        <w:spacing w:line="560" w:lineRule="exact"/>
        <w:ind w:firstLine="640" w:firstLineChars="200"/>
        <w:rPr>
          <w:rFonts w:ascii="仿宋_GB2312" w:eastAsia="仿宋_GB2312"/>
          <w:sz w:val="32"/>
          <w:szCs w:val="32"/>
        </w:rPr>
      </w:pPr>
    </w:p>
    <w:p>
      <w:pPr>
        <w:pStyle w:val="23"/>
        <w:spacing w:line="560" w:lineRule="exact"/>
        <w:ind w:firstLine="640" w:firstLineChars="200"/>
        <w:rPr>
          <w:rFonts w:ascii="仿宋_GB2312" w:eastAsia="仿宋_GB2312"/>
          <w:sz w:val="32"/>
          <w:szCs w:val="32"/>
        </w:rPr>
      </w:pPr>
    </w:p>
    <w:p>
      <w:pPr>
        <w:pStyle w:val="23"/>
        <w:spacing w:line="560" w:lineRule="exact"/>
        <w:ind w:firstLine="640" w:firstLineChars="200"/>
        <w:rPr>
          <w:rFonts w:ascii="仿宋_GB2312" w:eastAsia="仿宋_GB2312"/>
          <w:sz w:val="32"/>
          <w:szCs w:val="32"/>
        </w:rPr>
      </w:pPr>
    </w:p>
    <w:p>
      <w:pPr>
        <w:pStyle w:val="23"/>
        <w:spacing w:line="560" w:lineRule="exact"/>
        <w:ind w:firstLine="640" w:firstLineChars="200"/>
        <w:rPr>
          <w:rFonts w:ascii="仿宋_GB2312" w:eastAsia="仿宋_GB2312"/>
          <w:sz w:val="32"/>
          <w:szCs w:val="32"/>
        </w:rPr>
      </w:pPr>
    </w:p>
    <w:p>
      <w:pPr>
        <w:pStyle w:val="23"/>
        <w:spacing w:line="560" w:lineRule="exact"/>
        <w:ind w:firstLine="640" w:firstLineChars="200"/>
        <w:rPr>
          <w:rFonts w:ascii="仿宋_GB2312" w:eastAsia="仿宋_GB2312"/>
          <w:sz w:val="32"/>
          <w:szCs w:val="32"/>
        </w:rPr>
      </w:pPr>
    </w:p>
    <w:p>
      <w:pPr>
        <w:pStyle w:val="23"/>
        <w:spacing w:line="560" w:lineRule="exact"/>
        <w:ind w:firstLine="640" w:firstLineChars="200"/>
        <w:rPr>
          <w:rFonts w:ascii="仿宋_GB2312" w:eastAsia="仿宋_GB2312"/>
          <w:sz w:val="32"/>
          <w:szCs w:val="32"/>
        </w:rPr>
      </w:pPr>
    </w:p>
    <w:p>
      <w:pPr>
        <w:pStyle w:val="23"/>
        <w:spacing w:line="560" w:lineRule="exact"/>
        <w:ind w:firstLine="640" w:firstLineChars="200"/>
        <w:rPr>
          <w:rFonts w:ascii="仿宋_GB2312" w:eastAsia="仿宋_GB2312"/>
          <w:sz w:val="32"/>
          <w:szCs w:val="32"/>
        </w:rPr>
      </w:pPr>
    </w:p>
    <w:p>
      <w:pPr>
        <w:pStyle w:val="23"/>
        <w:spacing w:line="560" w:lineRule="exact"/>
        <w:ind w:firstLine="640" w:firstLineChars="200"/>
        <w:rPr>
          <w:rFonts w:ascii="仿宋_GB2312" w:eastAsia="仿宋_GB2312"/>
          <w:sz w:val="32"/>
          <w:szCs w:val="32"/>
        </w:rPr>
      </w:pPr>
    </w:p>
    <w:p>
      <w:pPr>
        <w:spacing w:line="600" w:lineRule="exact"/>
        <w:jc w:val="center"/>
        <w:outlineLvl w:val="0"/>
        <w:rPr>
          <w:rStyle w:val="25"/>
        </w:rPr>
      </w:pPr>
      <w:r>
        <w:rPr>
          <w:rFonts w:hint="eastAsia" w:ascii="黑体" w:hAnsi="黑体" w:eastAsia="黑体"/>
          <w:color w:val="000000"/>
          <w:sz w:val="44"/>
          <w:szCs w:val="44"/>
        </w:rPr>
        <w:t>第</w:t>
      </w:r>
      <w:r>
        <w:rPr>
          <w:rStyle w:val="25"/>
          <w:rFonts w:hint="eastAsia" w:ascii="黑体" w:hAnsi="黑体" w:eastAsia="黑体"/>
          <w:b w:val="0"/>
        </w:rPr>
        <w:t>四部分 附件</w:t>
      </w:r>
      <w:bookmarkEnd w:id="55"/>
    </w:p>
    <w:p>
      <w:pPr>
        <w:pStyle w:val="3"/>
        <w:rPr>
          <w:rStyle w:val="25"/>
          <w:rFonts w:ascii="仿宋" w:hAnsi="仿宋" w:eastAsia="仿宋"/>
          <w:b w:val="0"/>
          <w:bCs w:val="0"/>
          <w:sz w:val="32"/>
          <w:szCs w:val="32"/>
        </w:rPr>
      </w:pPr>
      <w:bookmarkStart w:id="57" w:name="_Toc15396615"/>
      <w:r>
        <w:rPr>
          <w:rStyle w:val="25"/>
          <w:rFonts w:hint="eastAsia" w:ascii="仿宋" w:hAnsi="仿宋" w:eastAsia="仿宋"/>
          <w:b w:val="0"/>
          <w:bCs w:val="0"/>
          <w:sz w:val="32"/>
          <w:szCs w:val="32"/>
        </w:rPr>
        <w:t>附件1</w:t>
      </w:r>
      <w:bookmarkEnd w:id="57"/>
    </w:p>
    <w:p>
      <w:pPr>
        <w:widowControl/>
        <w:spacing w:line="480" w:lineRule="exact"/>
        <w:jc w:val="center"/>
        <w:rPr>
          <w:rFonts w:ascii="方正小标宋简体" w:hAnsi="宋体" w:eastAsia="方正小标宋简体" w:cs="方正小标宋简体"/>
          <w:sz w:val="44"/>
          <w:szCs w:val="44"/>
          <w:lang w:bidi="ar"/>
        </w:rPr>
      </w:pPr>
      <w:bookmarkStart w:id="58" w:name="_Toc15396617"/>
      <w:r>
        <w:rPr>
          <w:rFonts w:hint="eastAsia" w:ascii="方正小标宋简体" w:hAnsi="宋体" w:eastAsia="方正小标宋简体" w:cs="方正小标宋简体"/>
          <w:sz w:val="44"/>
          <w:szCs w:val="44"/>
          <w:lang w:bidi="ar"/>
        </w:rPr>
        <w:t>共青团红原县委部门整体支出绩效报告</w:t>
      </w:r>
    </w:p>
    <w:p>
      <w:pPr>
        <w:widowControl/>
        <w:spacing w:line="480" w:lineRule="exact"/>
        <w:jc w:val="center"/>
        <w:rPr>
          <w:rFonts w:ascii="楷体" w:hAnsi="楷体" w:eastAsia="楷体" w:cs="楷体"/>
          <w:b/>
          <w:bCs/>
          <w:color w:val="000000"/>
          <w:kern w:val="0"/>
          <w:sz w:val="32"/>
          <w:szCs w:val="32"/>
        </w:rPr>
      </w:pPr>
    </w:p>
    <w:p>
      <w:pPr>
        <w:widowControl/>
        <w:adjustRightInd w:val="0"/>
        <w:snapToGrid w:val="0"/>
        <w:spacing w:line="480" w:lineRule="exact"/>
        <w:ind w:firstLine="720"/>
        <w:jc w:val="left"/>
        <w:rPr>
          <w:rFonts w:ascii="楷体" w:hAnsi="楷体" w:eastAsia="楷体" w:cs="楷体"/>
          <w:b/>
          <w:bCs/>
          <w:color w:val="000000"/>
          <w:kern w:val="0"/>
          <w:sz w:val="32"/>
          <w:szCs w:val="32"/>
          <w:lang w:val="zh-CN"/>
        </w:rPr>
      </w:pPr>
      <w:r>
        <w:rPr>
          <w:rFonts w:hint="eastAsia" w:ascii="楷体" w:hAnsi="楷体" w:eastAsia="楷体" w:cs="楷体"/>
          <w:b/>
          <w:bCs/>
          <w:color w:val="000000"/>
          <w:kern w:val="0"/>
          <w:sz w:val="32"/>
          <w:szCs w:val="32"/>
          <w:lang w:bidi="ar"/>
        </w:rPr>
        <w:t>一、</w:t>
      </w:r>
      <w:r>
        <w:rPr>
          <w:rFonts w:hint="eastAsia" w:ascii="楷体" w:hAnsi="楷体" w:eastAsia="楷体" w:cs="楷体"/>
          <w:b/>
          <w:bCs/>
          <w:color w:val="000000"/>
          <w:kern w:val="0"/>
          <w:sz w:val="32"/>
          <w:szCs w:val="32"/>
          <w:lang w:val="zh-CN" w:bidi="ar"/>
        </w:rPr>
        <w:t>部门（单位）概况</w:t>
      </w:r>
    </w:p>
    <w:p>
      <w:pPr>
        <w:widowControl/>
        <w:adjustRightInd w:val="0"/>
        <w:snapToGrid w:val="0"/>
        <w:spacing w:line="480" w:lineRule="exact"/>
        <w:ind w:firstLine="720"/>
        <w:jc w:val="left"/>
        <w:rPr>
          <w:rFonts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（一）机构组成。</w:t>
      </w:r>
    </w:p>
    <w:p>
      <w:pPr>
        <w:widowControl/>
        <w:adjustRightInd w:val="0"/>
        <w:snapToGrid w:val="0"/>
        <w:spacing w:line="480" w:lineRule="exact"/>
        <w:ind w:firstLine="720"/>
        <w:jc w:val="left"/>
        <w:rPr>
          <w:rFonts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我单位为中国共产主义青年团红原县委员会以及下设红原县青少年宫、红原县关心下一代青年工作委员会两部分组成</w:t>
      </w:r>
    </w:p>
    <w:p>
      <w:pPr>
        <w:widowControl/>
        <w:numPr>
          <w:ilvl w:val="0"/>
          <w:numId w:val="8"/>
        </w:numPr>
        <w:adjustRightInd w:val="0"/>
        <w:snapToGrid w:val="0"/>
        <w:spacing w:line="480" w:lineRule="exact"/>
        <w:ind w:firstLine="720"/>
        <w:jc w:val="left"/>
        <w:rPr>
          <w:rFonts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机构职能。</w:t>
      </w:r>
    </w:p>
    <w:p>
      <w:pPr>
        <w:pStyle w:val="5"/>
        <w:adjustRightInd w:val="0"/>
        <w:snapToGrid w:val="0"/>
        <w:spacing w:before="93" w:line="576" w:lineRule="exact"/>
        <w:ind w:left="651" w:leftChars="310"/>
        <w:rPr>
          <w:rFonts w:hAnsi="仿宋_GB2312" w:cs="仿宋_GB2312"/>
          <w:bCs/>
          <w:kern w:val="2"/>
          <w:sz w:val="32"/>
          <w:szCs w:val="32"/>
        </w:rPr>
      </w:pPr>
      <w:r>
        <w:rPr>
          <w:rFonts w:hint="eastAsia" w:hAnsi="仿宋_GB2312" w:cs="仿宋_GB2312"/>
          <w:bCs/>
          <w:kern w:val="2"/>
          <w:szCs w:val="30"/>
        </w:rPr>
        <w:t>(</w:t>
      </w:r>
      <w:r>
        <w:rPr>
          <w:rFonts w:hint="eastAsia" w:hAnsi="仿宋_GB2312" w:cs="仿宋_GB2312"/>
          <w:bCs/>
          <w:kern w:val="2"/>
          <w:sz w:val="32"/>
          <w:szCs w:val="32"/>
        </w:rPr>
        <w:t>1).行使领导全县共青团工作、领导全县青联和少先队工作的职权，对全县性青年社团组织进行指导和管理。</w:t>
      </w:r>
    </w:p>
    <w:p>
      <w:pPr>
        <w:pStyle w:val="5"/>
        <w:adjustRightInd w:val="0"/>
        <w:snapToGrid w:val="0"/>
        <w:spacing w:before="93" w:line="576" w:lineRule="exact"/>
        <w:ind w:left="651" w:leftChars="310"/>
        <w:rPr>
          <w:rFonts w:hAnsi="仿宋_GB2312" w:cs="仿宋_GB2312"/>
          <w:bCs/>
          <w:kern w:val="2"/>
          <w:sz w:val="32"/>
          <w:szCs w:val="32"/>
        </w:rPr>
      </w:pPr>
      <w:r>
        <w:rPr>
          <w:rFonts w:hint="eastAsia" w:hAnsi="仿宋_GB2312" w:cs="仿宋_GB2312"/>
          <w:bCs/>
          <w:kern w:val="2"/>
          <w:sz w:val="32"/>
          <w:szCs w:val="32"/>
        </w:rPr>
        <w:t>(2).参与制定我县青少年事业发展规划和青少年工作方针、政策，对我县青少年活动阵地、青少年服务机构建设等进行规划和管理。</w:t>
      </w:r>
    </w:p>
    <w:p>
      <w:pPr>
        <w:pStyle w:val="5"/>
        <w:adjustRightInd w:val="0"/>
        <w:snapToGrid w:val="0"/>
        <w:spacing w:before="93" w:line="576" w:lineRule="exact"/>
        <w:ind w:left="651" w:leftChars="310"/>
        <w:rPr>
          <w:rFonts w:hAnsi="仿宋_GB2312" w:cs="仿宋_GB2312"/>
          <w:bCs/>
          <w:kern w:val="2"/>
          <w:sz w:val="32"/>
          <w:szCs w:val="32"/>
        </w:rPr>
      </w:pPr>
      <w:r>
        <w:rPr>
          <w:rFonts w:hint="eastAsia" w:hAnsi="仿宋_GB2312" w:cs="仿宋_GB2312"/>
          <w:bCs/>
          <w:kern w:val="2"/>
          <w:sz w:val="32"/>
          <w:szCs w:val="32"/>
        </w:rPr>
        <w:t>(3).调查青年动态和青年工作状况，研究青少年运动，青少年工作理论和思想教育问题，提出相应对策，开展各种活动。</w:t>
      </w:r>
    </w:p>
    <w:p>
      <w:pPr>
        <w:pStyle w:val="5"/>
        <w:adjustRightInd w:val="0"/>
        <w:snapToGrid w:val="0"/>
        <w:spacing w:before="93" w:line="576" w:lineRule="exact"/>
        <w:ind w:left="651" w:leftChars="310"/>
        <w:rPr>
          <w:rFonts w:hAnsi="仿宋_GB2312" w:cs="仿宋_GB2312"/>
          <w:bCs/>
          <w:kern w:val="2"/>
          <w:sz w:val="32"/>
          <w:szCs w:val="32"/>
        </w:rPr>
      </w:pPr>
      <w:r>
        <w:rPr>
          <w:rFonts w:hint="eastAsia" w:hAnsi="仿宋_GB2312" w:cs="仿宋_GB2312"/>
          <w:bCs/>
          <w:kern w:val="2"/>
          <w:sz w:val="32"/>
          <w:szCs w:val="32"/>
        </w:rPr>
        <w:t>(4).协助政府教育部门，做好中、小学生的教育管理工作，维持学校稳定和社会安定团结。</w:t>
      </w:r>
    </w:p>
    <w:p>
      <w:pPr>
        <w:pStyle w:val="5"/>
        <w:adjustRightInd w:val="0"/>
        <w:snapToGrid w:val="0"/>
        <w:spacing w:before="93" w:line="576" w:lineRule="exact"/>
        <w:ind w:left="651" w:leftChars="310"/>
        <w:rPr>
          <w:rFonts w:hAnsi="仿宋_GB2312" w:cs="仿宋_GB2312"/>
          <w:bCs/>
          <w:kern w:val="2"/>
          <w:sz w:val="32"/>
          <w:szCs w:val="32"/>
        </w:rPr>
      </w:pPr>
      <w:r>
        <w:rPr>
          <w:rFonts w:hint="eastAsia" w:hAnsi="仿宋_GB2312" w:cs="仿宋_GB2312"/>
          <w:bCs/>
          <w:kern w:val="2"/>
          <w:sz w:val="32"/>
          <w:szCs w:val="32"/>
        </w:rPr>
        <w:t>(5).在经济建设中，组织和带领青年发挥生力军和突击队作用。</w:t>
      </w:r>
    </w:p>
    <w:p>
      <w:pPr>
        <w:pStyle w:val="5"/>
        <w:adjustRightInd w:val="0"/>
        <w:snapToGrid w:val="0"/>
        <w:spacing w:before="93" w:line="576" w:lineRule="exact"/>
        <w:ind w:firstLine="640" w:firstLineChars="200"/>
        <w:rPr>
          <w:rFonts w:hAnsi="仿宋_GB2312" w:cs="仿宋_GB2312"/>
          <w:bCs/>
          <w:kern w:val="2"/>
          <w:sz w:val="32"/>
          <w:szCs w:val="32"/>
        </w:rPr>
      </w:pPr>
      <w:r>
        <w:rPr>
          <w:rFonts w:hint="eastAsia" w:hAnsi="仿宋_GB2312" w:cs="仿宋_GB2312"/>
          <w:bCs/>
          <w:kern w:val="2"/>
          <w:sz w:val="32"/>
          <w:szCs w:val="32"/>
        </w:rPr>
        <w:t>(6).会同有关部门对全县青少年外事工作进行归口管理和提供服务。</w:t>
      </w:r>
    </w:p>
    <w:p>
      <w:pPr>
        <w:pStyle w:val="5"/>
        <w:adjustRightInd w:val="0"/>
        <w:snapToGrid w:val="0"/>
        <w:spacing w:before="93" w:line="576" w:lineRule="exact"/>
        <w:ind w:left="651" w:leftChars="310"/>
        <w:rPr>
          <w:rFonts w:hAnsi="仿宋_GB2312" w:cs="仿宋_GB2312"/>
          <w:bCs/>
          <w:kern w:val="2"/>
          <w:sz w:val="32"/>
          <w:szCs w:val="32"/>
        </w:rPr>
      </w:pPr>
      <w:r>
        <w:rPr>
          <w:rFonts w:hint="eastAsia" w:hAnsi="仿宋_GB2312" w:cs="仿宋_GB2312"/>
          <w:bCs/>
          <w:kern w:val="2"/>
          <w:sz w:val="32"/>
          <w:szCs w:val="32"/>
        </w:rPr>
        <w:t>(7).做好我县青年统战对象和团结教育工作，维护、促进祖国统一和民族团结。</w:t>
      </w:r>
    </w:p>
    <w:p>
      <w:pPr>
        <w:pStyle w:val="5"/>
        <w:adjustRightInd w:val="0"/>
        <w:snapToGrid w:val="0"/>
        <w:spacing w:before="93" w:line="576" w:lineRule="exact"/>
        <w:ind w:left="651" w:leftChars="310"/>
        <w:rPr>
          <w:rFonts w:ascii="仿宋" w:hAnsi="仿宋" w:eastAsia="仿宋"/>
          <w:bCs/>
          <w:color w:val="000000"/>
          <w:sz w:val="36"/>
          <w:szCs w:val="36"/>
        </w:rPr>
      </w:pPr>
      <w:r>
        <w:rPr>
          <w:rFonts w:hint="eastAsia" w:hAnsi="仿宋_GB2312" w:cs="仿宋_GB2312"/>
          <w:bCs/>
          <w:kern w:val="2"/>
          <w:sz w:val="32"/>
          <w:szCs w:val="32"/>
        </w:rPr>
        <w:t>(8).承担中共红原县委、红原县人民政府和共青团阿坝州委交办的有关事项。</w:t>
      </w:r>
    </w:p>
    <w:p>
      <w:pPr>
        <w:widowControl/>
        <w:adjustRightInd w:val="0"/>
        <w:snapToGrid w:val="0"/>
        <w:spacing w:line="480" w:lineRule="exact"/>
        <w:ind w:left="720"/>
        <w:jc w:val="left"/>
        <w:rPr>
          <w:rFonts w:ascii="仿宋_GB2312" w:hAnsi="宋体" w:eastAsia="仿宋_GB2312" w:cs="宋体"/>
          <w:color w:val="000000"/>
          <w:kern w:val="0"/>
          <w:sz w:val="32"/>
          <w:lang w:val="zh-CN" w:bidi="ar"/>
        </w:rPr>
      </w:pPr>
    </w:p>
    <w:p>
      <w:pPr>
        <w:widowControl/>
        <w:numPr>
          <w:ilvl w:val="0"/>
          <w:numId w:val="8"/>
        </w:numPr>
        <w:adjustRightInd w:val="0"/>
        <w:snapToGrid w:val="0"/>
        <w:spacing w:line="480" w:lineRule="exact"/>
        <w:ind w:firstLine="720"/>
        <w:jc w:val="left"/>
        <w:rPr>
          <w:rFonts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人员概况。</w:t>
      </w:r>
    </w:p>
    <w:p>
      <w:pPr>
        <w:widowControl/>
        <w:adjustRightInd w:val="0"/>
        <w:snapToGrid w:val="0"/>
        <w:spacing w:line="480" w:lineRule="exact"/>
        <w:ind w:firstLine="720"/>
        <w:jc w:val="left"/>
        <w:rPr>
          <w:rFonts w:ascii="黑体" w:hAnsi="宋体" w:eastAsia="黑体" w:cs="宋体"/>
          <w:color w:val="000000"/>
          <w:kern w:val="0"/>
          <w:sz w:val="32"/>
          <w:lang w:bidi="ar"/>
        </w:rPr>
      </w:pPr>
      <w:r>
        <w:rPr>
          <w:rFonts w:hint="eastAsia" w:ascii="仿宋_GB2312" w:hAnsi="仿宋_GB2312" w:eastAsia="仿宋_GB2312" w:cs="仿宋_GB2312"/>
          <w:bCs/>
          <w:sz w:val="32"/>
          <w:szCs w:val="32"/>
        </w:rPr>
        <w:t>截止2018年底我委共有编制9个，团县委编制3个，青少年宫4个，关工委2个。其中公务员编制3个，事业编制6个，在职9人，其中参公0人，公务员3人，事业编制6人。截止2018年底我委新增3人，其中2人为事业单位招聘考入，1人为乡下调入。</w:t>
      </w:r>
    </w:p>
    <w:p>
      <w:pPr>
        <w:widowControl/>
        <w:adjustRightInd w:val="0"/>
        <w:snapToGrid w:val="0"/>
        <w:spacing w:line="480" w:lineRule="exact"/>
        <w:ind w:firstLine="720"/>
        <w:jc w:val="left"/>
        <w:rPr>
          <w:rFonts w:ascii="楷体" w:hAnsi="楷体" w:eastAsia="楷体" w:cs="楷体"/>
          <w:b/>
          <w:bCs/>
          <w:color w:val="000000"/>
          <w:kern w:val="0"/>
          <w:sz w:val="32"/>
          <w:szCs w:val="32"/>
        </w:rPr>
      </w:pPr>
      <w:r>
        <w:rPr>
          <w:rFonts w:hint="eastAsia" w:ascii="楷体" w:hAnsi="楷体" w:eastAsia="楷体" w:cs="楷体"/>
          <w:b/>
          <w:bCs/>
          <w:color w:val="000000"/>
          <w:kern w:val="0"/>
          <w:sz w:val="32"/>
          <w:szCs w:val="32"/>
          <w:lang w:bidi="ar"/>
        </w:rPr>
        <w:t>二、部门财政资金收支情况</w:t>
      </w:r>
    </w:p>
    <w:p>
      <w:pPr>
        <w:widowControl/>
        <w:adjustRightInd w:val="0"/>
        <w:snapToGrid w:val="0"/>
        <w:spacing w:line="480" w:lineRule="exact"/>
        <w:ind w:firstLine="720"/>
        <w:jc w:val="left"/>
        <w:rPr>
          <w:rFonts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（一）部门财政资金收入情况。</w:t>
      </w:r>
    </w:p>
    <w:p>
      <w:pPr>
        <w:widowControl/>
        <w:adjustRightInd w:val="0"/>
        <w:snapToGrid w:val="0"/>
        <w:spacing w:line="480" w:lineRule="exact"/>
        <w:ind w:firstLine="720"/>
        <w:jc w:val="left"/>
        <w:rPr>
          <w:rFonts w:ascii="仿宋_GB2312" w:hAnsi="宋体" w:eastAsia="仿宋_GB2312" w:cs="宋体"/>
          <w:color w:val="000000"/>
          <w:kern w:val="0"/>
          <w:sz w:val="32"/>
          <w:lang w:bidi="ar"/>
        </w:rPr>
      </w:pPr>
      <w:r>
        <w:rPr>
          <w:rFonts w:hint="eastAsia" w:ascii="仿宋_GB2312" w:hAnsi="宋体" w:eastAsia="仿宋_GB2312" w:cs="宋体"/>
          <w:color w:val="000000"/>
          <w:kern w:val="0"/>
          <w:sz w:val="32"/>
          <w:lang w:val="zh-CN" w:bidi="ar"/>
        </w:rPr>
        <w:t>本单位本年收入总计</w:t>
      </w:r>
      <w:r>
        <w:rPr>
          <w:rFonts w:hint="eastAsia" w:ascii="仿宋_GB2312" w:hAnsi="宋体" w:eastAsia="仿宋_GB2312" w:cs="宋体"/>
          <w:color w:val="000000"/>
          <w:kern w:val="0"/>
          <w:sz w:val="32"/>
          <w:lang w:bidi="ar"/>
        </w:rPr>
        <w:t>198.77元，其中一般2财政拨款收入198.74万元，占99.98%；其他收入0.03万元。占0.02%</w:t>
      </w:r>
    </w:p>
    <w:p>
      <w:pPr>
        <w:widowControl/>
        <w:adjustRightInd w:val="0"/>
        <w:snapToGrid w:val="0"/>
        <w:spacing w:line="480" w:lineRule="exact"/>
        <w:ind w:left="720"/>
        <w:jc w:val="left"/>
        <w:rPr>
          <w:rFonts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（二）部门财政资金支出情况。</w:t>
      </w:r>
    </w:p>
    <w:p>
      <w:pPr>
        <w:widowControl/>
        <w:adjustRightInd w:val="0"/>
        <w:snapToGrid w:val="0"/>
        <w:spacing w:line="480" w:lineRule="exact"/>
        <w:ind w:left="720"/>
        <w:jc w:val="left"/>
        <w:rPr>
          <w:rFonts w:ascii="仿宋_GB2312" w:hAnsi="宋体" w:eastAsia="仿宋_GB2312" w:cs="宋体"/>
          <w:color w:val="000000"/>
          <w:kern w:val="0"/>
          <w:sz w:val="32"/>
          <w:lang w:bidi="ar"/>
        </w:rPr>
      </w:pPr>
      <w:r>
        <w:rPr>
          <w:rFonts w:hint="eastAsia" w:ascii="仿宋_GB2312" w:hAnsi="宋体" w:eastAsia="仿宋_GB2312" w:cs="宋体"/>
          <w:color w:val="000000"/>
          <w:kern w:val="0"/>
          <w:sz w:val="32"/>
          <w:lang w:val="zh-CN" w:bidi="ar"/>
        </w:rPr>
        <w:t>本单位本年费用支出</w:t>
      </w:r>
      <w:r>
        <w:rPr>
          <w:rFonts w:hint="eastAsia" w:ascii="仿宋_GB2312" w:hAnsi="宋体" w:eastAsia="仿宋_GB2312" w:cs="宋体"/>
          <w:color w:val="000000"/>
          <w:kern w:val="0"/>
          <w:sz w:val="32"/>
          <w:lang w:bidi="ar"/>
        </w:rPr>
        <w:t>210.76万元，一般公共服务支出174.69万元；社会保障和就业支出18.56万元；医疗卫生与计划生育支出6.34万元；住房保障支出8.17万元；其他支出3万元。</w:t>
      </w:r>
    </w:p>
    <w:p>
      <w:pPr>
        <w:widowControl/>
        <w:adjustRightInd w:val="0"/>
        <w:snapToGrid w:val="0"/>
        <w:spacing w:line="480" w:lineRule="exact"/>
        <w:ind w:left="720"/>
        <w:jc w:val="left"/>
        <w:rPr>
          <w:rFonts w:ascii="仿宋_GB2312" w:hAnsi="宋体" w:eastAsia="仿宋_GB2312" w:cs="宋体"/>
          <w:color w:val="000000"/>
          <w:kern w:val="0"/>
          <w:sz w:val="32"/>
          <w:lang w:bidi="ar"/>
        </w:rPr>
      </w:pPr>
    </w:p>
    <w:p>
      <w:pPr>
        <w:widowControl/>
        <w:adjustRightInd w:val="0"/>
        <w:snapToGrid w:val="0"/>
        <w:spacing w:line="480" w:lineRule="exact"/>
        <w:ind w:firstLine="720"/>
        <w:jc w:val="left"/>
        <w:rPr>
          <w:rFonts w:ascii="楷体" w:hAnsi="楷体" w:eastAsia="楷体" w:cs="楷体"/>
          <w:b/>
          <w:bCs/>
          <w:color w:val="000000"/>
          <w:kern w:val="0"/>
          <w:sz w:val="32"/>
          <w:szCs w:val="32"/>
        </w:rPr>
      </w:pPr>
      <w:r>
        <w:rPr>
          <w:rFonts w:hint="eastAsia" w:ascii="楷体" w:hAnsi="楷体" w:eastAsia="楷体" w:cs="楷体"/>
          <w:b/>
          <w:bCs/>
          <w:color w:val="000000"/>
          <w:kern w:val="0"/>
          <w:sz w:val="32"/>
          <w:szCs w:val="32"/>
          <w:lang w:bidi="ar"/>
        </w:rPr>
        <w:t>三、部门财政支出管理情况</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bidi="ar"/>
        </w:rPr>
        <w:t>（一）预算编制情况。</w:t>
      </w:r>
    </w:p>
    <w:p>
      <w:pPr>
        <w:widowControl/>
        <w:adjustRightInd w:val="0"/>
        <w:snapToGrid w:val="0"/>
        <w:spacing w:line="576" w:lineRule="exact"/>
        <w:ind w:firstLine="720" w:firstLineChars="225"/>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团县委严格按照财政局有关规定编制2018年、2019年预算，严格按照财政局规定编制人员信息工资及福利待遇、日常公用经费、专项支出等。2018年编制预算数198.77万元，其中基本支出174.69万元，社会保障就业支出18.56万元医疗卫生和计划生育支出6.34万元，社会保障支出8.17万元，其他支出3万元。2019年编制预算147.65万元，其中基本支出125.15万元，项目支出22.50万元。项目支出严格按照年初预算绩效指标进行工作按排，例如严格按照团州委、县财政局相关规定将青年创业扶持资金纳入预算编制管理。</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bidi="ar"/>
        </w:rPr>
        <w:t>（二）执行管理情况。</w:t>
      </w:r>
      <w:r>
        <w:rPr>
          <w:rFonts w:hint="eastAsia" w:ascii="仿宋_GB2312" w:hAnsi="仿宋_GB2312" w:eastAsia="仿宋_GB2312" w:cs="仿宋_GB2312"/>
          <w:color w:val="000000"/>
          <w:kern w:val="0"/>
          <w:sz w:val="32"/>
          <w:szCs w:val="32"/>
          <w:lang w:val="zh-CN" w:bidi="ar"/>
        </w:rPr>
        <w:tab/>
      </w:r>
    </w:p>
    <w:p>
      <w:pPr>
        <w:pStyle w:val="12"/>
        <w:widowControl/>
        <w:spacing w:before="0" w:beforeAutospacing="0" w:after="300" w:afterAutospacing="0" w:line="576" w:lineRule="exact"/>
        <w:ind w:firstLine="640" w:firstLineChars="200"/>
        <w:rPr>
          <w:rFonts w:ascii="仿宋_GB2312" w:hAnsi="仿宋_GB2312" w:eastAsia="仿宋_GB2312" w:cs="仿宋_GB2312"/>
          <w:color w:val="212121"/>
          <w:sz w:val="32"/>
          <w:szCs w:val="32"/>
        </w:rPr>
      </w:pPr>
      <w:r>
        <w:rPr>
          <w:rFonts w:hint="eastAsia" w:ascii="仿宋_GB2312" w:hAnsi="仿宋_GB2312" w:eastAsia="仿宋_GB2312" w:cs="仿宋_GB2312"/>
          <w:color w:val="212121"/>
          <w:sz w:val="32"/>
          <w:szCs w:val="32"/>
        </w:rPr>
        <w:t>健全完善部门内控制度，全面梳理业务流程，明确业务环节，分析风险隐患，完善风险评估机制，制定风险应对策略;有效运用不相容岗位相互分离、内部授权审批控制、归口管理、预算控制、财产保护控制、会计控制、单据控制、信息内部公开等内部控制基本方法，加强对单位层面和业务层面的内部控制，实现内部控制体系全面、有效实施。建立单位内控监督约束机制以及“三公”经费的合理使用，确保资金安全、合理、有效使用，最大限度发挥财政资金使用效益。</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bidi="ar"/>
        </w:rPr>
        <w:t>（三）综合管理情况。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2018年团县委经过初期逐步完善财务基础设施、人员，提高财务人员专业意识，在财务管理的过程中逐步建立健全财务管理制度、财务核算制度、财务报销制度等。2018年在县财政局的支持帮助下，加强财务人员专业知识，严格按照相关规定对财务人员进行管理，严格按照国家制定的相关法律法规进行财务工作。逐步的加强了财务人员各个岗位的职能分工，逐步规范了财务行为。2019年在财务人员的逐步完善中、积极同县财政局各股室沟通学习，财务相关业务有所加强，整合了一部分财务管理制度初步构建了团县委内部控制相关制度体系。</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2018年团县委团县委严格按照《行政单位会计制度》和《行政单位财务规则》的规定设置会计科目，建立了科学有效的会计核算方式，各项经济活动均真实、合法、准确、及时的反应在会计账目上；建立健全内部控制制度，积极配合财政部门开展预算、决算考评工作。2019年团县委积极配合县财政局相关工作，积极学习2019年新政府会计准则改革相关知识、积极开展新旧会计制度衔接工作、积极学习资产管理编制相关知识、积极开展固定资产报表编制工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团县委在资金使用的过程中，严格按照国家的相关规定合理使用资金，严格按照资金的用途、项目、地区使用资金，严格执行财政部门规定的各项经费开支范围和标准。在财务报销的过程中，严格贯彻执行国家颁布的相关财务法律法规，严格按照法律规定以完整、合法、经济内容真实有效的原始凭证作为记账依据。严格按照标准的财务报销流程以及完备的财务报销手续进行报账。严格按照规定对原始凭证等会计资料进行归档保存。及时填报各项年度统计报表；在财务管理系统里做到会计核算与财政支出一致，有效的使用了会计电算化软件。</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2018年团县委在使用采购资金时手续齐备，采购的库存物品、固定资产等做到了及时登记和入账；严格落实《党政机关厉行节约反对浪费条例》的相关规定，2018年“三公”经费支出1.91万元，相比2017年进一步规范了“三公经费”的管理，做到了严格控制“三公经费”的支出。</w:t>
      </w: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bidi="ar"/>
        </w:rPr>
      </w:pPr>
    </w:p>
    <w:p>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bidi="ar"/>
        </w:rPr>
        <w:t>（四）整体绩效。</w:t>
      </w:r>
    </w:p>
    <w:p>
      <w:pPr>
        <w:pStyle w:val="12"/>
        <w:widowControl/>
        <w:wordWrap w:val="0"/>
        <w:spacing w:before="0" w:beforeAutospacing="0" w:after="0" w:afterAutospacing="0" w:line="576" w:lineRule="exact"/>
        <w:ind w:right="45"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1.聚焦思想引领，多维度强化政治教育。一是</w:t>
      </w:r>
      <w:r>
        <w:rPr>
          <w:rFonts w:hint="eastAsia" w:ascii="仿宋_GB2312" w:hAnsi="仿宋_GB2312" w:eastAsia="仿宋_GB2312" w:cs="仿宋_GB2312"/>
          <w:sz w:val="32"/>
          <w:szCs w:val="32"/>
        </w:rPr>
        <w:t>党团教育强化政治引领。以“青年大学习”活动为统揽，组织开展“学讲话、学报告、学团章”“团委书记大讲堂”“党团知识竞赛”“青年讲师大宣讲”等一系列活动，我县青年团干踊跃参与，活动效果非常。</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结合团的工作</w:t>
      </w:r>
      <w:r>
        <w:rPr>
          <w:rFonts w:hint="eastAsia" w:ascii="仿宋_GB2312" w:hAnsi="仿宋_GB2312" w:eastAsia="仿宋_GB2312" w:cs="仿宋_GB2312"/>
          <w:color w:val="000000"/>
          <w:sz w:val="32"/>
          <w:szCs w:val="32"/>
          <w:shd w:val="clear" w:color="auto" w:fill="FFFFFF"/>
        </w:rPr>
        <w:t>，打造“红原青年”微信公众号、微博等网络平台，及时更新特色内容，将团的重点工作和活动，特别是与青年关联度高、互动性强的活动，借助微信、微博等新媒体平台予以生动呈现，吸引我县广大青少年关注。截止目前，我县通过微信、微博发出信息140余条。三</w:t>
      </w:r>
      <w:r>
        <w:rPr>
          <w:rFonts w:hint="eastAsia" w:ascii="仿宋_GB2312" w:hAnsi="仿宋_GB2312" w:eastAsia="仿宋_GB2312" w:cs="仿宋_GB2312"/>
          <w:b/>
          <w:bCs/>
          <w:color w:val="000000"/>
          <w:sz w:val="32"/>
          <w:szCs w:val="32"/>
          <w:shd w:val="clear" w:color="auto" w:fill="FFFFFF"/>
        </w:rPr>
        <w:t>是</w:t>
      </w:r>
      <w:r>
        <w:rPr>
          <w:rFonts w:hint="eastAsia" w:ascii="仿宋_GB2312" w:hAnsi="仿宋_GB2312" w:eastAsia="仿宋_GB2312" w:cs="仿宋_GB2312"/>
          <w:color w:val="000000"/>
          <w:sz w:val="32"/>
          <w:szCs w:val="32"/>
          <w:shd w:val="clear" w:color="auto" w:fill="FFFFFF"/>
        </w:rPr>
        <w:t>全面推进“青年之家”综合服务平台建设，打通联系和服务青年的“最后一公里”，到目前为止我委借助“青年之家”开展各类活动48次。</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青春典型强化榜样学习。开展“五四优秀青年”“两红两优”评选，引导全县青年向榜样学习，展现新时代青年形象。</w:t>
      </w:r>
    </w:p>
    <w:p>
      <w:pPr>
        <w:spacing w:line="576" w:lineRule="exact"/>
        <w:ind w:firstLine="643" w:firstLineChars="200"/>
        <w:rPr>
          <w:rFonts w:ascii="仿宋_GB2312" w:hAnsi="仿宋_GB2312" w:eastAsia="仿宋_GB2312" w:cs="仿宋_GB2312"/>
          <w:sz w:val="32"/>
          <w:szCs w:val="32"/>
        </w:rPr>
      </w:pPr>
      <w:r>
        <w:rPr>
          <w:rFonts w:hint="eastAsia" w:ascii="仿宋_GB2312" w:hAnsi="仿宋_GB2312" w:cs="仿宋_GB2312"/>
          <w:b/>
          <w:bCs/>
          <w:sz w:val="32"/>
          <w:szCs w:val="32"/>
        </w:rPr>
        <w:t>2.</w:t>
      </w:r>
      <w:r>
        <w:rPr>
          <w:rFonts w:hint="eastAsia" w:ascii="仿宋_GB2312" w:hAnsi="仿宋_GB2312" w:eastAsia="仿宋_GB2312" w:cs="仿宋_GB2312"/>
          <w:b/>
          <w:bCs/>
          <w:sz w:val="32"/>
          <w:szCs w:val="32"/>
        </w:rPr>
        <w:t>聚焦改革靶心，多举措狠抓源头治理。</w:t>
      </w:r>
      <w:r>
        <w:rPr>
          <w:rFonts w:hint="eastAsia" w:ascii="仿宋_GB2312" w:hAnsi="仿宋_GB2312" w:eastAsia="仿宋_GB2312" w:cs="仿宋_GB2312"/>
          <w:sz w:val="32"/>
          <w:szCs w:val="32"/>
        </w:rPr>
        <w:t>一是“一选一训”，提升团干战斗力。举办年轻干部培训班，深挖 90 后团干后备力量，推荐团干到重点工作一线挂职锻炼。举办“不忘初心跟党走”共青团系统培训班，不断提升团干部团队意识和工作素养。二是“两重点、两清单”，提升团组织战斗力。树立“大抓基层”导向，以“直属团组织重点项目领办”和“一个团支部一件实事”为重点，以“任务清单、完成清单”为抓手，2018 年共领办开展重点项目 14 个、实事项目 73 个。其中，江茸乡团委、更攀农牧民合作社员工临时团支部工作获省委主要领导肯定。三是“三项机制、三项载体”，强化学校源头治理。深化“团教季度联席会”“机关分片联系”“学生积分入团”三项机制，常态化紧抓学校团建工作。以“14 岁集体生日”“18 岁成人宣誓仪式”“中小学社团文化节”为载体，强化仪式教育，引导广大学生牢记历史、勇担使命。</w:t>
      </w:r>
    </w:p>
    <w:p>
      <w:pPr>
        <w:spacing w:line="576" w:lineRule="exact"/>
        <w:ind w:firstLine="643" w:firstLineChars="200"/>
        <w:rPr>
          <w:rFonts w:ascii="仿宋_GB2312" w:hAnsi="仿宋_GB2312" w:eastAsia="仿宋_GB2312" w:cs="仿宋_GB2312"/>
          <w:color w:val="000000"/>
          <w:sz w:val="32"/>
          <w:szCs w:val="32"/>
        </w:rPr>
      </w:pPr>
      <w:r>
        <w:rPr>
          <w:rFonts w:hint="eastAsia" w:ascii="仿宋_GB2312" w:hAnsi="仿宋_GB2312" w:cs="仿宋_GB2312"/>
          <w:b/>
          <w:bCs/>
          <w:sz w:val="32"/>
          <w:szCs w:val="32"/>
        </w:rPr>
        <w:t>3.</w:t>
      </w:r>
      <w:r>
        <w:rPr>
          <w:rFonts w:hint="eastAsia" w:ascii="仿宋_GB2312" w:hAnsi="仿宋_GB2312" w:eastAsia="仿宋_GB2312" w:cs="仿宋_GB2312"/>
          <w:b/>
          <w:bCs/>
          <w:sz w:val="32"/>
          <w:szCs w:val="32"/>
        </w:rPr>
        <w:t>聚焦主责主业，多方位服务青年群众。一是</w:t>
      </w:r>
      <w:r>
        <w:rPr>
          <w:rFonts w:hint="eastAsia" w:ascii="仿宋_GB2312" w:hAnsi="仿宋_GB2312" w:eastAsia="仿宋_GB2312" w:cs="仿宋_GB2312"/>
          <w:sz w:val="32"/>
          <w:szCs w:val="32"/>
        </w:rPr>
        <w:t>活跃有效阵地，强服务、树品牌。大力推进青年之家、青少年校外教育基地、少队活动为品牌，围绕青年婚恋交友、返乡创业、能力提升等全方位需求，持续开展观影会、读书会、青春绿色健跑等系列活动。</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打造优势项目，强基础、创特色。以青年之家阵地为依托，开设了电子琴、美术、藏文辅导、书法、英语、暑期舞蹈等兴趣辅导班，共吸引了全县80余名青少年积极参加。</w:t>
      </w:r>
      <w:r>
        <w:rPr>
          <w:rFonts w:hint="eastAsia" w:ascii="仿宋_GB2312" w:hAnsi="仿宋_GB2312" w:eastAsia="仿宋_GB2312" w:cs="仿宋_GB2312"/>
          <w:color w:val="000000"/>
          <w:sz w:val="32"/>
          <w:szCs w:val="32"/>
        </w:rPr>
        <w:t>深入到全县11个乡镇对贫困孤儿、“特殊困难儿童”进行入户调查，对30 名贫困孤儿、135名特殊困难儿童建立台账，适时开展帮扶活动。</w:t>
      </w:r>
    </w:p>
    <w:p>
      <w:pPr>
        <w:widowControl/>
        <w:adjustRightInd w:val="0"/>
        <w:snapToGrid w:val="0"/>
        <w:spacing w:line="480" w:lineRule="exact"/>
        <w:ind w:firstLine="720"/>
        <w:jc w:val="left"/>
        <w:rPr>
          <w:rFonts w:hint="eastAsia" w:ascii="楷体" w:hAnsi="楷体" w:eastAsia="楷体" w:cs="楷体"/>
          <w:b/>
          <w:bCs/>
          <w:color w:val="000000"/>
          <w:kern w:val="0"/>
          <w:sz w:val="32"/>
          <w:szCs w:val="32"/>
        </w:rPr>
      </w:pPr>
      <w:r>
        <w:rPr>
          <w:rFonts w:hint="eastAsia" w:ascii="楷体" w:hAnsi="楷体" w:eastAsia="楷体" w:cs="楷体"/>
          <w:b/>
          <w:bCs/>
          <w:color w:val="000000"/>
          <w:kern w:val="0"/>
          <w:sz w:val="32"/>
          <w:szCs w:val="32"/>
          <w:lang w:bidi="ar"/>
        </w:rPr>
        <w:t>四、评价结论及建议</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lang w:val="zh-CN" w:bidi="ar"/>
        </w:rPr>
      </w:pPr>
      <w:r>
        <w:rPr>
          <w:rFonts w:hint="eastAsia" w:ascii="仿宋_GB2312" w:hAnsi="仿宋_GB2312" w:eastAsia="仿宋_GB2312" w:cs="仿宋_GB2312"/>
          <w:color w:val="000000"/>
          <w:kern w:val="0"/>
          <w:sz w:val="32"/>
          <w:lang w:val="zh-CN" w:bidi="ar"/>
        </w:rPr>
        <w:t>（一）评价结论。</w:t>
      </w:r>
    </w:p>
    <w:p>
      <w:pPr>
        <w:widowControl/>
        <w:adjustRightInd w:val="0"/>
        <w:snapToGrid w:val="0"/>
        <w:spacing w:line="576" w:lineRule="atLeast"/>
        <w:ind w:firstLine="720"/>
        <w:jc w:val="left"/>
        <w:rPr>
          <w:rFonts w:hint="eastAsia" w:ascii="仿宋_GB2312" w:hAnsi="仿宋_GB2312" w:eastAsia="仿宋_GB2312" w:cs="仿宋_GB2312"/>
          <w:color w:val="auto"/>
          <w:kern w:val="0"/>
          <w:sz w:val="32"/>
          <w:szCs w:val="32"/>
          <w:lang w:val="zh-CN" w:bidi="ar"/>
        </w:rPr>
      </w:pPr>
      <w:r>
        <w:rPr>
          <w:rFonts w:hint="eastAsia" w:ascii="仿宋_GB2312" w:hAnsi="仿宋_GB2312" w:eastAsia="仿宋_GB2312" w:cs="仿宋_GB2312"/>
          <w:color w:val="auto"/>
          <w:kern w:val="0"/>
          <w:sz w:val="32"/>
          <w:szCs w:val="32"/>
          <w:lang w:val="zh-CN" w:bidi="ar"/>
        </w:rPr>
        <w:t>根据《2018年红原县部门支出绩效评价指标体系》</w:t>
      </w:r>
      <w:r>
        <w:rPr>
          <w:rFonts w:hint="eastAsia" w:ascii="仿宋_GB2312" w:hAnsi="仿宋_GB2312" w:eastAsia="仿宋_GB2312" w:cs="仿宋_GB2312"/>
          <w:color w:val="auto"/>
          <w:kern w:val="0"/>
          <w:sz w:val="32"/>
          <w:szCs w:val="32"/>
          <w:lang w:val="zh-CN" w:eastAsia="zh-CN" w:bidi="ar"/>
        </w:rPr>
        <w:t>自评</w:t>
      </w:r>
      <w:r>
        <w:rPr>
          <w:rFonts w:hint="eastAsia" w:ascii="仿宋_GB2312" w:hAnsi="仿宋_GB2312" w:eastAsia="仿宋_GB2312" w:cs="仿宋_GB2312"/>
          <w:color w:val="auto"/>
          <w:kern w:val="0"/>
          <w:sz w:val="32"/>
          <w:szCs w:val="32"/>
          <w:lang w:val="zh-CN" w:bidi="ar"/>
        </w:rPr>
        <w:t>得分9</w:t>
      </w:r>
      <w:r>
        <w:rPr>
          <w:rFonts w:hint="eastAsia" w:ascii="仿宋_GB2312" w:hAnsi="仿宋_GB2312" w:eastAsia="仿宋_GB2312" w:cs="仿宋_GB2312"/>
          <w:color w:val="auto"/>
          <w:kern w:val="0"/>
          <w:sz w:val="32"/>
          <w:szCs w:val="32"/>
          <w:lang w:val="en-US" w:eastAsia="zh-CN" w:bidi="ar"/>
        </w:rPr>
        <w:t>5.5</w:t>
      </w:r>
      <w:r>
        <w:rPr>
          <w:rFonts w:hint="eastAsia" w:ascii="仿宋_GB2312" w:hAnsi="仿宋_GB2312" w:eastAsia="仿宋_GB2312" w:cs="仿宋_GB2312"/>
          <w:color w:val="auto"/>
          <w:kern w:val="0"/>
          <w:sz w:val="32"/>
          <w:szCs w:val="32"/>
          <w:lang w:val="zh-CN" w:bidi="ar"/>
        </w:rPr>
        <w:t>分，部门整体支出绩效为“好”。</w:t>
      </w:r>
    </w:p>
    <w:p>
      <w:pPr>
        <w:widowControl/>
        <w:adjustRightInd w:val="0"/>
        <w:snapToGrid w:val="0"/>
        <w:spacing w:line="576" w:lineRule="atLeast"/>
        <w:ind w:firstLine="72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zh-CN" w:bidi="ar"/>
        </w:rPr>
        <w:t>预算编制</w:t>
      </w:r>
      <w:r>
        <w:rPr>
          <w:rFonts w:hint="eastAsia" w:ascii="仿宋_GB2312" w:hAnsi="仿宋_GB2312" w:eastAsia="仿宋_GB2312" w:cs="仿宋_GB2312"/>
          <w:color w:val="auto"/>
          <w:kern w:val="0"/>
          <w:sz w:val="32"/>
          <w:szCs w:val="32"/>
          <w:lang w:val="en-US" w:eastAsia="zh-CN" w:bidi="ar"/>
        </w:rPr>
        <w:t>9.5分，其中报送时效扣0.5分。预算执行19分，其中执行进度扣1分。综合管理30分。整体效益27.5分，其中部门整体效益扣2.5分。</w:t>
      </w:r>
    </w:p>
    <w:p>
      <w:pPr>
        <w:widowControl/>
        <w:adjustRightInd w:val="0"/>
        <w:snapToGrid w:val="0"/>
        <w:spacing w:line="576" w:lineRule="atLeast"/>
        <w:ind w:firstLine="720"/>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除去不存在的评价内容分值，总分值90分。团县委得分为86/（100-10）*100=95.5分。</w:t>
      </w:r>
    </w:p>
    <w:p>
      <w:pPr>
        <w:widowControl/>
        <w:adjustRightInd w:val="0"/>
        <w:snapToGrid w:val="0"/>
        <w:spacing w:line="560" w:lineRule="exact"/>
        <w:ind w:firstLine="720"/>
        <w:jc w:val="left"/>
        <w:rPr>
          <w:rFonts w:hint="eastAsia" w:ascii="仿宋_GB2312" w:hAnsi="仿宋_GB2312" w:eastAsia="仿宋_GB2312" w:cs="仿宋_GB2312"/>
          <w:color w:val="000000"/>
          <w:kern w:val="0"/>
          <w:sz w:val="32"/>
          <w:szCs w:val="32"/>
          <w:lang w:val="zh-CN" w:bidi="ar"/>
        </w:rPr>
      </w:pPr>
    </w:p>
    <w:p>
      <w:pPr>
        <w:widowControl/>
        <w:numPr>
          <w:ilvl w:val="0"/>
          <w:numId w:val="9"/>
        </w:numPr>
        <w:adjustRightInd w:val="0"/>
        <w:snapToGrid w:val="0"/>
        <w:spacing w:line="560" w:lineRule="exact"/>
        <w:ind w:left="420" w:leftChars="200" w:firstLine="320" w:firstLineChars="100"/>
        <w:jc w:val="left"/>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存在问题</w:t>
      </w:r>
    </w:p>
    <w:p>
      <w:pPr>
        <w:widowControl/>
        <w:adjustRightInd w:val="0"/>
        <w:snapToGrid w:val="0"/>
        <w:spacing w:line="576" w:lineRule="atLeast"/>
        <w:ind w:firstLine="720"/>
        <w:jc w:val="left"/>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auto"/>
          <w:kern w:val="0"/>
          <w:sz w:val="32"/>
          <w:szCs w:val="32"/>
          <w:lang w:val="zh-CN" w:bidi="ar"/>
        </w:rPr>
        <w:t>没有完善的系统流程以及规章制度，没有及时报送相关数据，工作效率有待提高。没有能根据重点工作任务梳理成量化工作指标来反映部门职能效率。</w:t>
      </w:r>
    </w:p>
    <w:p>
      <w:pPr>
        <w:widowControl/>
        <w:adjustRightInd w:val="0"/>
        <w:snapToGrid w:val="0"/>
        <w:spacing w:line="560" w:lineRule="exact"/>
        <w:ind w:firstLine="640" w:firstLineChars="200"/>
        <w:jc w:val="left"/>
        <w:rPr>
          <w:rFonts w:hint="eastAsia" w:ascii="仿宋_GB2312" w:hAnsi="仿宋_GB2312" w:eastAsia="仿宋_GB2312" w:cs="仿宋_GB2312"/>
          <w:color w:val="000000"/>
          <w:kern w:val="0"/>
          <w:sz w:val="32"/>
          <w:szCs w:val="32"/>
          <w:lang w:val="zh-CN" w:bidi="ar"/>
        </w:rPr>
      </w:pPr>
      <w:r>
        <w:rPr>
          <w:rFonts w:hint="eastAsia" w:ascii="仿宋_GB2312" w:hAnsi="仿宋_GB2312" w:eastAsia="仿宋_GB2312" w:cs="仿宋_GB2312"/>
          <w:color w:val="000000"/>
          <w:kern w:val="0"/>
          <w:sz w:val="32"/>
          <w:szCs w:val="32"/>
          <w:lang w:val="zh-CN" w:bidi="ar"/>
        </w:rPr>
        <w:t>（三）改进建议。</w:t>
      </w:r>
    </w:p>
    <w:bookmarkEnd w:id="58"/>
    <w:p>
      <w:pPr>
        <w:keepNext w:val="0"/>
        <w:keepLines w:val="0"/>
        <w:pageBreakBefore w:val="0"/>
        <w:widowControl/>
        <w:kinsoku/>
        <w:wordWrap/>
        <w:overflowPunct/>
        <w:topLinePunct w:val="0"/>
        <w:autoSpaceDE/>
        <w:autoSpaceDN/>
        <w:bidi w:val="0"/>
        <w:adjustRightInd w:val="0"/>
        <w:snapToGrid w:val="0"/>
        <w:spacing w:line="480" w:lineRule="exact"/>
        <w:ind w:firstLine="640" w:firstLineChars="200"/>
        <w:jc w:val="left"/>
        <w:textAlignment w:val="auto"/>
        <w:rPr>
          <w:rFonts w:hint="eastAsia" w:ascii="仿宋_GB2312" w:hAnsi="仿宋_GB2312" w:eastAsia="仿宋_GB2312" w:cs="仿宋_GB2312"/>
          <w:color w:val="000000"/>
          <w:sz w:val="32"/>
          <w:szCs w:val="32"/>
        </w:rPr>
      </w:pPr>
      <w:bookmarkStart w:id="59" w:name="_Toc15396618"/>
      <w:r>
        <w:rPr>
          <w:rFonts w:hint="eastAsia" w:ascii="仿宋_GB2312" w:hAnsi="仿宋_GB2312" w:eastAsia="仿宋_GB2312" w:cs="仿宋_GB2312"/>
          <w:color w:val="auto"/>
          <w:kern w:val="0"/>
          <w:sz w:val="32"/>
          <w:szCs w:val="32"/>
          <w:lang w:val="en-US" w:eastAsia="zh-CN" w:bidi="ar"/>
        </w:rPr>
        <w:t>1.</w:t>
      </w:r>
      <w:r>
        <w:rPr>
          <w:rFonts w:hint="eastAsia" w:ascii="仿宋_GB2312" w:hAnsi="仿宋_GB2312" w:eastAsia="仿宋_GB2312" w:cs="仿宋_GB2312"/>
          <w:color w:val="auto"/>
          <w:kern w:val="0"/>
          <w:sz w:val="32"/>
          <w:szCs w:val="32"/>
          <w:lang w:val="zh-CN" w:bidi="ar"/>
        </w:rPr>
        <w:t>加强会计核算和会计监督的准确性和有效性，加强财务人员的专业意识，提高对预算编制的执行与认识，为绩效评价工作开展创造更好的条件；</w:t>
      </w:r>
      <w:r>
        <w:rPr>
          <w:rFonts w:hint="eastAsia" w:ascii="仿宋_GB2312" w:hAnsi="仿宋_GB2312" w:eastAsia="仿宋_GB2312" w:cs="仿宋_GB2312"/>
          <w:color w:val="auto"/>
          <w:kern w:val="0"/>
          <w:sz w:val="32"/>
          <w:szCs w:val="32"/>
          <w:lang w:val="en-US" w:eastAsia="zh-CN" w:bidi="ar"/>
        </w:rPr>
        <w:t>2.加强会计工作的事前、事中、事后的监督，以确保会计的延续性，建立可持续机制，提高工作人员对支出的合理、合法使用意识，做到每笔支出有据可查、有法可依。3.加强团县委对重点工作任务的梳理，建立对团县委重点工作任务的职能分工细化，建立对重点工作任务的量化考核，通过团县委重点工作任务量化考核体现部门职能效率</w:t>
      </w:r>
    </w:p>
    <w:p>
      <w:pPr>
        <w:widowControl/>
        <w:adjustRightInd w:val="0"/>
        <w:snapToGrid w:val="0"/>
        <w:spacing w:line="480" w:lineRule="exact"/>
        <w:jc w:val="left"/>
        <w:rPr>
          <w:rFonts w:hint="eastAsia" w:ascii="仿宋_GB2312" w:hAnsi="仿宋_GB2312" w:eastAsia="仿宋_GB2312" w:cs="仿宋_GB2312"/>
          <w:color w:val="000000"/>
          <w:sz w:val="32"/>
          <w:szCs w:val="32"/>
        </w:rPr>
      </w:pPr>
    </w:p>
    <w:p>
      <w:pPr>
        <w:widowControl/>
        <w:adjustRightInd w:val="0"/>
        <w:snapToGrid w:val="0"/>
        <w:spacing w:line="480" w:lineRule="exact"/>
        <w:jc w:val="center"/>
        <w:rPr>
          <w:rFonts w:ascii="黑体" w:hAnsi="黑体" w:eastAsia="黑体"/>
          <w:color w:val="000000"/>
          <w:sz w:val="44"/>
          <w:szCs w:val="44"/>
        </w:rPr>
      </w:pPr>
    </w:p>
    <w:p>
      <w:pPr>
        <w:widowControl/>
        <w:adjustRightInd w:val="0"/>
        <w:snapToGrid w:val="0"/>
        <w:spacing w:line="480" w:lineRule="exact"/>
        <w:jc w:val="center"/>
        <w:rPr>
          <w:rFonts w:ascii="黑体" w:hAnsi="黑体" w:eastAsia="黑体"/>
          <w:color w:val="000000"/>
          <w:sz w:val="44"/>
          <w:szCs w:val="44"/>
        </w:rPr>
      </w:pPr>
    </w:p>
    <w:p>
      <w:pPr>
        <w:widowControl/>
        <w:adjustRightInd w:val="0"/>
        <w:snapToGrid w:val="0"/>
        <w:spacing w:line="480" w:lineRule="exact"/>
        <w:jc w:val="center"/>
        <w:rPr>
          <w:rFonts w:ascii="黑体" w:hAnsi="黑体" w:eastAsia="黑体"/>
          <w:color w:val="000000"/>
          <w:sz w:val="44"/>
          <w:szCs w:val="44"/>
        </w:rPr>
      </w:pPr>
    </w:p>
    <w:p>
      <w:pPr>
        <w:widowControl/>
        <w:adjustRightInd w:val="0"/>
        <w:snapToGrid w:val="0"/>
        <w:spacing w:line="480" w:lineRule="exact"/>
        <w:jc w:val="both"/>
        <w:rPr>
          <w:rFonts w:ascii="黑体" w:hAnsi="黑体" w:eastAsia="黑体"/>
          <w:color w:val="000000"/>
          <w:sz w:val="44"/>
          <w:szCs w:val="44"/>
        </w:rPr>
      </w:pPr>
    </w:p>
    <w:p>
      <w:pPr>
        <w:widowControl/>
        <w:adjustRightInd w:val="0"/>
        <w:snapToGrid w:val="0"/>
        <w:spacing w:line="480" w:lineRule="exact"/>
        <w:jc w:val="center"/>
        <w:rPr>
          <w:rFonts w:ascii="黑体" w:hAnsi="黑体" w:eastAsia="黑体"/>
          <w:color w:val="000000"/>
          <w:sz w:val="44"/>
          <w:szCs w:val="44"/>
        </w:rPr>
      </w:pPr>
    </w:p>
    <w:p>
      <w:pPr>
        <w:widowControl/>
        <w:adjustRightInd w:val="0"/>
        <w:snapToGrid w:val="0"/>
        <w:spacing w:line="480" w:lineRule="exact"/>
        <w:jc w:val="center"/>
        <w:rPr>
          <w:rFonts w:ascii="仿宋" w:hAnsi="仿宋" w:eastAsia="仿宋"/>
          <w:b/>
          <w:color w:val="000000"/>
          <w:sz w:val="44"/>
          <w:szCs w:val="44"/>
        </w:rPr>
      </w:pPr>
      <w:r>
        <w:rPr>
          <w:rFonts w:hint="eastAsia" w:ascii="黑体" w:hAnsi="黑体" w:eastAsia="黑体"/>
          <w:color w:val="000000"/>
          <w:sz w:val="44"/>
          <w:szCs w:val="44"/>
        </w:rPr>
        <w:t>第</w:t>
      </w:r>
      <w:r>
        <w:rPr>
          <w:rStyle w:val="25"/>
          <w:rFonts w:hint="eastAsia" w:ascii="黑体" w:hAnsi="黑体" w:eastAsia="黑体"/>
          <w:b w:val="0"/>
        </w:rPr>
        <w:t>五部分 附表</w:t>
      </w:r>
      <w:bookmarkEnd w:id="56"/>
      <w:bookmarkEnd w:id="59"/>
    </w:p>
    <w:p>
      <w:pPr>
        <w:pStyle w:val="3"/>
        <w:rPr>
          <w:rFonts w:ascii="仿宋" w:hAnsi="仿宋" w:eastAsia="仿宋"/>
          <w:b w:val="0"/>
          <w:color w:val="000000"/>
        </w:rPr>
      </w:pPr>
      <w:bookmarkStart w:id="60" w:name="_Toc15396620"/>
      <w:r>
        <w:rPr>
          <w:rFonts w:hint="eastAsia" w:ascii="仿宋" w:hAnsi="仿宋" w:eastAsia="仿宋"/>
          <w:b w:val="0"/>
          <w:color w:val="000000"/>
        </w:rPr>
        <w:t>一、收入支出决算总表</w:t>
      </w:r>
    </w:p>
    <w:p>
      <w:pPr>
        <w:pStyle w:val="3"/>
        <w:rPr>
          <w:rFonts w:ascii="仿宋" w:hAnsi="仿宋" w:eastAsia="仿宋"/>
          <w:color w:val="000000"/>
        </w:rPr>
      </w:pPr>
      <w:r>
        <w:rPr>
          <w:rFonts w:hint="eastAsia" w:ascii="仿宋" w:hAnsi="仿宋" w:eastAsia="仿宋"/>
          <w:b w:val="0"/>
          <w:color w:val="000000"/>
        </w:rPr>
        <w:t>二、收</w:t>
      </w:r>
      <w:r>
        <w:rPr>
          <w:rStyle w:val="26"/>
          <w:rFonts w:hint="eastAsia" w:ascii="仿宋" w:hAnsi="仿宋" w:eastAsia="仿宋"/>
          <w:b w:val="0"/>
          <w:bCs w:val="0"/>
        </w:rPr>
        <w:t>入总表</w:t>
      </w:r>
      <w:bookmarkEnd w:id="60"/>
    </w:p>
    <w:p>
      <w:pPr>
        <w:pStyle w:val="3"/>
        <w:rPr>
          <w:rFonts w:ascii="仿宋" w:hAnsi="仿宋" w:eastAsia="仿宋"/>
          <w:color w:val="000000"/>
        </w:rPr>
      </w:pPr>
      <w:bookmarkStart w:id="61"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1"/>
    </w:p>
    <w:p>
      <w:pPr>
        <w:pStyle w:val="3"/>
        <w:rPr>
          <w:rFonts w:ascii="仿宋" w:hAnsi="仿宋" w:eastAsia="仿宋"/>
          <w:b w:val="0"/>
          <w:color w:val="000000"/>
        </w:rPr>
      </w:pPr>
      <w:bookmarkStart w:id="62"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2"/>
    </w:p>
    <w:p>
      <w:pPr>
        <w:pStyle w:val="3"/>
        <w:rPr>
          <w:rFonts w:ascii="仿宋" w:hAnsi="仿宋" w:eastAsia="仿宋"/>
          <w:color w:val="000000"/>
        </w:rPr>
      </w:pPr>
      <w:bookmarkStart w:id="63"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3"/>
    </w:p>
    <w:p>
      <w:pPr>
        <w:pStyle w:val="3"/>
        <w:rPr>
          <w:rFonts w:ascii="仿宋" w:hAnsi="仿宋" w:eastAsia="仿宋"/>
          <w:color w:val="000000"/>
        </w:rPr>
      </w:pPr>
      <w:bookmarkStart w:id="64"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4"/>
    </w:p>
    <w:p>
      <w:pPr>
        <w:pStyle w:val="3"/>
        <w:rPr>
          <w:rFonts w:ascii="仿宋" w:hAnsi="仿宋" w:eastAsia="仿宋"/>
          <w:color w:val="000000"/>
        </w:rPr>
      </w:pPr>
      <w:bookmarkStart w:id="65"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5"/>
    </w:p>
    <w:p>
      <w:pPr>
        <w:pStyle w:val="3"/>
        <w:rPr>
          <w:rFonts w:ascii="仿宋" w:hAnsi="仿宋" w:eastAsia="仿宋"/>
          <w:color w:val="000000"/>
        </w:rPr>
      </w:pPr>
      <w:bookmarkStart w:id="66"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6"/>
    </w:p>
    <w:p>
      <w:pPr>
        <w:pStyle w:val="3"/>
        <w:rPr>
          <w:rFonts w:ascii="仿宋" w:hAnsi="仿宋" w:eastAsia="仿宋"/>
          <w:color w:val="000000"/>
        </w:rPr>
      </w:pPr>
      <w:bookmarkStart w:id="67"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7"/>
    </w:p>
    <w:p>
      <w:pPr>
        <w:pStyle w:val="3"/>
        <w:rPr>
          <w:rFonts w:ascii="仿宋" w:hAnsi="仿宋" w:eastAsia="仿宋"/>
          <w:color w:val="000000"/>
        </w:rPr>
      </w:pPr>
      <w:bookmarkStart w:id="68"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8"/>
    </w:p>
    <w:p>
      <w:pPr>
        <w:pStyle w:val="3"/>
        <w:rPr>
          <w:rFonts w:ascii="仿宋" w:hAnsi="仿宋" w:eastAsia="仿宋"/>
          <w:color w:val="000000"/>
        </w:rPr>
      </w:pPr>
      <w:bookmarkStart w:id="69"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69"/>
    </w:p>
    <w:p>
      <w:pPr>
        <w:pStyle w:val="3"/>
        <w:rPr>
          <w:rFonts w:ascii="仿宋" w:hAnsi="仿宋" w:eastAsia="仿宋"/>
          <w:color w:val="000000"/>
        </w:rPr>
      </w:pPr>
      <w:bookmarkStart w:id="70"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0"/>
    </w:p>
    <w:p>
      <w:pPr>
        <w:pStyle w:val="3"/>
        <w:rPr>
          <w:rStyle w:val="26"/>
          <w:rFonts w:hint="eastAsia" w:ascii="仿宋" w:hAnsi="仿宋" w:eastAsia="仿宋"/>
          <w:b w:val="0"/>
          <w:bCs w:val="0"/>
        </w:rPr>
      </w:pPr>
      <w:bookmarkStart w:id="71"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1"/>
    </w:p>
    <w:p>
      <w:pPr>
        <w:rPr>
          <w:rStyle w:val="26"/>
          <w:rFonts w:hint="eastAsia" w:ascii="仿宋" w:hAnsi="仿宋" w:eastAsia="仿宋"/>
          <w:b w:val="0"/>
          <w:bCs w:val="0"/>
          <w:lang w:val="en-US" w:eastAsia="zh-CN"/>
        </w:rPr>
      </w:pPr>
      <w:r>
        <w:rPr>
          <w:rStyle w:val="26"/>
          <w:rFonts w:hint="eastAsia" w:ascii="仿宋" w:hAnsi="仿宋" w:eastAsia="仿宋"/>
          <w:b w:val="0"/>
          <w:bCs w:val="0"/>
          <w:lang w:val="en-US" w:eastAsia="zh-CN"/>
        </w:rPr>
        <w:t>十四、整体支出绩效评价打分表</w:t>
      </w:r>
    </w:p>
    <w:p>
      <w:pPr>
        <w:rPr>
          <w:rStyle w:val="26"/>
          <w:rFonts w:hint="eastAsia" w:ascii="仿宋" w:hAnsi="仿宋" w:eastAsia="仿宋"/>
          <w:b w:val="0"/>
          <w:bCs w:val="0"/>
          <w:lang w:val="en-US" w:eastAsia="zh-CN"/>
        </w:rPr>
      </w:pPr>
      <w:bookmarkStart w:id="72" w:name="_GoBack"/>
      <w:bookmarkEnd w:id="72"/>
      <w:r>
        <w:rPr>
          <w:rStyle w:val="26"/>
          <w:rFonts w:hint="eastAsia" w:ascii="仿宋" w:hAnsi="仿宋" w:eastAsia="仿宋"/>
          <w:b w:val="0"/>
          <w:bCs w:val="0"/>
          <w:lang w:val="en-US" w:eastAsia="zh-CN"/>
        </w:rPr>
        <w:t>十五、项目支出绩效评价打分表</w:t>
      </w: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 w:name="新宋体">
    <w:panose1 w:val="02010609030101010101"/>
    <w:charset w:val="86"/>
    <w:family w:val="auto"/>
    <w:pitch w:val="default"/>
    <w:sig w:usb0="00000003" w:usb1="288F0000" w:usb2="0000000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Book Antiqua">
    <w:altName w:val="Segoe Print"/>
    <w:panose1 w:val="02040602050305030304"/>
    <w:charset w:val="00"/>
    <w:family w:val="auto"/>
    <w:pitch w:val="default"/>
    <w:sig w:usb0="00000000" w:usb1="00000000" w:usb2="00000000" w:usb3="00000000" w:csb0="2000009F" w:csb1="DFD70000"/>
  </w:font>
  <w:font w:name="华文仿宋">
    <w:altName w:val="仿宋"/>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华文新魏">
    <w:altName w:val="宋体"/>
    <w:panose1 w:val="02010800040101010101"/>
    <w:charset w:val="86"/>
    <w:family w:val="auto"/>
    <w:pitch w:val="default"/>
    <w:sig w:usb0="00000000" w:usb1="0000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16</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06F6EA22"/>
    <w:multiLevelType w:val="singleLevel"/>
    <w:tmpl w:val="06F6EA22"/>
    <w:lvl w:ilvl="0" w:tentative="0">
      <w:start w:val="1"/>
      <w:numFmt w:val="decimal"/>
      <w:suff w:val="nothing"/>
      <w:lvlText w:val="（%1）"/>
      <w:lvlJc w:val="left"/>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41CC0933"/>
    <w:multiLevelType w:val="singleLevel"/>
    <w:tmpl w:val="41CC0933"/>
    <w:lvl w:ilvl="0" w:tentative="0">
      <w:start w:val="2"/>
      <w:numFmt w:val="chineseCounting"/>
      <w:suff w:val="nothing"/>
      <w:lvlText w:val="（%1）"/>
      <w:lvlJc w:val="left"/>
      <w:rPr>
        <w:rFonts w:hint="eastAsia"/>
      </w:rPr>
    </w:lvl>
  </w:abstractNum>
  <w:abstractNum w:abstractNumId="8">
    <w:nsid w:val="7CB7AA98"/>
    <w:multiLevelType w:val="singleLevel"/>
    <w:tmpl w:val="7CB7AA98"/>
    <w:lvl w:ilvl="0" w:tentative="0">
      <w:start w:val="2"/>
      <w:numFmt w:val="chineseCounting"/>
      <w:suff w:val="nothing"/>
      <w:lvlText w:val="（%1）"/>
      <w:lvlJc w:val="left"/>
      <w:rPr>
        <w:rFonts w:hint="eastAsia"/>
      </w:rPr>
    </w:lvl>
  </w:abstractNum>
  <w:num w:numId="1">
    <w:abstractNumId w:val="4"/>
  </w:num>
  <w:num w:numId="2">
    <w:abstractNumId w:val="5"/>
  </w:num>
  <w:num w:numId="3">
    <w:abstractNumId w:val="1"/>
  </w:num>
  <w:num w:numId="4">
    <w:abstractNumId w:val="6"/>
  </w:num>
  <w:num w:numId="5">
    <w:abstractNumId w:val="3"/>
  </w:num>
  <w:num w:numId="6">
    <w:abstractNumId w:val="0"/>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A4ED7"/>
    <w:rsid w:val="002B2613"/>
    <w:rsid w:val="002C3657"/>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015C"/>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734403"/>
    <w:rsid w:val="047D654F"/>
    <w:rsid w:val="04C87934"/>
    <w:rsid w:val="05C2008C"/>
    <w:rsid w:val="07E6510A"/>
    <w:rsid w:val="08C669E8"/>
    <w:rsid w:val="0BBF0531"/>
    <w:rsid w:val="0DC17C9A"/>
    <w:rsid w:val="0E19063A"/>
    <w:rsid w:val="0ED62A80"/>
    <w:rsid w:val="0FD92A8C"/>
    <w:rsid w:val="10C055FF"/>
    <w:rsid w:val="10F529AD"/>
    <w:rsid w:val="111E09EA"/>
    <w:rsid w:val="128C0123"/>
    <w:rsid w:val="12A93567"/>
    <w:rsid w:val="12C77D6E"/>
    <w:rsid w:val="12F341BB"/>
    <w:rsid w:val="13BD7CC8"/>
    <w:rsid w:val="16BB723D"/>
    <w:rsid w:val="19901635"/>
    <w:rsid w:val="1CC32CF3"/>
    <w:rsid w:val="1CCF1373"/>
    <w:rsid w:val="1EAE51F8"/>
    <w:rsid w:val="223B4154"/>
    <w:rsid w:val="22E030A0"/>
    <w:rsid w:val="23512ACD"/>
    <w:rsid w:val="23A53776"/>
    <w:rsid w:val="240371BF"/>
    <w:rsid w:val="24734330"/>
    <w:rsid w:val="25B46BBD"/>
    <w:rsid w:val="26773B85"/>
    <w:rsid w:val="273F5F25"/>
    <w:rsid w:val="29855B0B"/>
    <w:rsid w:val="29FD04D3"/>
    <w:rsid w:val="2A346F10"/>
    <w:rsid w:val="2A872B38"/>
    <w:rsid w:val="2B510618"/>
    <w:rsid w:val="2C401347"/>
    <w:rsid w:val="2E1120B4"/>
    <w:rsid w:val="319F7F4E"/>
    <w:rsid w:val="3292318A"/>
    <w:rsid w:val="32AF5EE4"/>
    <w:rsid w:val="347A5809"/>
    <w:rsid w:val="35EB1CB2"/>
    <w:rsid w:val="366165E2"/>
    <w:rsid w:val="3745578E"/>
    <w:rsid w:val="384E265D"/>
    <w:rsid w:val="38960977"/>
    <w:rsid w:val="3ABF06FE"/>
    <w:rsid w:val="3C065CC4"/>
    <w:rsid w:val="3C1604AD"/>
    <w:rsid w:val="3EB079F2"/>
    <w:rsid w:val="3F6B7643"/>
    <w:rsid w:val="418F6334"/>
    <w:rsid w:val="430F12D6"/>
    <w:rsid w:val="453E098F"/>
    <w:rsid w:val="46F657D7"/>
    <w:rsid w:val="47DE6BF1"/>
    <w:rsid w:val="49C36A24"/>
    <w:rsid w:val="4B877D03"/>
    <w:rsid w:val="4C5F2CBB"/>
    <w:rsid w:val="4DA65D54"/>
    <w:rsid w:val="4E1534C7"/>
    <w:rsid w:val="509C367D"/>
    <w:rsid w:val="51610B32"/>
    <w:rsid w:val="524B64EE"/>
    <w:rsid w:val="538A27E4"/>
    <w:rsid w:val="54F66593"/>
    <w:rsid w:val="57815925"/>
    <w:rsid w:val="5D67247D"/>
    <w:rsid w:val="5DB94C99"/>
    <w:rsid w:val="61450E30"/>
    <w:rsid w:val="65347B85"/>
    <w:rsid w:val="66945778"/>
    <w:rsid w:val="68867D12"/>
    <w:rsid w:val="693A677B"/>
    <w:rsid w:val="6AFA0100"/>
    <w:rsid w:val="6B363482"/>
    <w:rsid w:val="6B7F3207"/>
    <w:rsid w:val="6BE30A6D"/>
    <w:rsid w:val="6BEA640B"/>
    <w:rsid w:val="6EFB7497"/>
    <w:rsid w:val="6F7350B9"/>
    <w:rsid w:val="6F7A2248"/>
    <w:rsid w:val="70D35E58"/>
    <w:rsid w:val="722A4C93"/>
    <w:rsid w:val="72C1208C"/>
    <w:rsid w:val="75282356"/>
    <w:rsid w:val="763E4284"/>
    <w:rsid w:val="76815909"/>
    <w:rsid w:val="7B145B4D"/>
    <w:rsid w:val="7B2C2986"/>
    <w:rsid w:val="7D5A0118"/>
    <w:rsid w:val="7DB146BC"/>
    <w:rsid w:val="7F902EC1"/>
    <w:rsid w:val="7FAA1CB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jc w:val="left"/>
    </w:pPr>
    <w:rPr>
      <w:kern w:val="0"/>
      <w:sz w:val="24"/>
    </w:r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7">
    <w:name w:val="Header Char"/>
    <w:basedOn w:val="13"/>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3"/>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3"/>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3"/>
    <w:link w:val="2"/>
    <w:qFormat/>
    <w:uiPriority w:val="9"/>
    <w:rPr>
      <w:rFonts w:ascii="Times New Roman" w:hAnsi="Times New Roman"/>
      <w:b/>
      <w:bCs/>
      <w:kern w:val="44"/>
      <w:sz w:val="44"/>
      <w:szCs w:val="44"/>
    </w:rPr>
  </w:style>
  <w:style w:type="character" w:customStyle="1" w:styleId="26">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3"/>
    <w:link w:val="7"/>
    <w:semiHidden/>
    <w:qFormat/>
    <w:uiPriority w:val="99"/>
    <w:rPr>
      <w:rFonts w:ascii="Times New Roman" w:hAnsi="Times New Roman"/>
      <w:kern w:val="2"/>
      <w:sz w:val="18"/>
      <w:szCs w:val="18"/>
    </w:rPr>
  </w:style>
  <w:style w:type="character" w:customStyle="1" w:styleId="29">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2000" b="1" i="0" u="none" strike="noStrike" kern="1200" spc="0" baseline="0">
                <a:solidFill>
                  <a:schemeClr val="tx1">
                    <a:lumMod val="65000"/>
                    <a:lumOff val="35000"/>
                  </a:schemeClr>
                </a:solidFill>
                <a:latin typeface="+mn-lt"/>
                <a:ea typeface="+mn-ea"/>
                <a:cs typeface="+mn-cs"/>
              </a:defRPr>
            </a:pPr>
            <a:r>
              <a:rPr lang="zh-CN" altLang="en-US" sz="2000" b="1"/>
              <a:t>收支决算总计变动情况图</a:t>
            </a:r>
            <a:endParaRPr lang="zh-CN" altLang="en-US" sz="2000" b="1"/>
          </a:p>
        </c:rich>
      </c:tx>
      <c:layout>
        <c:manualLayout>
          <c:xMode val="edge"/>
          <c:yMode val="edge"/>
          <c:x val="0.16382252559727"/>
          <c:y val="0.00840179238237491"/>
        </c:manualLayout>
      </c:layout>
      <c:overlay val="0"/>
      <c:spPr>
        <a:noFill/>
        <a:ln>
          <a:noFill/>
        </a:ln>
        <a:effectLst/>
      </c:spPr>
    </c:title>
    <c:autoTitleDeleted val="0"/>
    <c:plotArea>
      <c:layout>
        <c:manualLayout>
          <c:layoutTarget val="inner"/>
          <c:xMode val="edge"/>
          <c:yMode val="edge"/>
          <c:x val="0.0701160409556314"/>
          <c:y val="0.143577296489918"/>
          <c:w val="0.91655"/>
          <c:h val="0.716566666666667"/>
        </c:manualLayout>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elete val="1"/>
          </c:dLbls>
          <c:cat>
            <c:strRef>
              <c:f>Sheet1!$A$2:$A$5</c:f>
              <c:strCache>
                <c:ptCount val="4"/>
                <c:pt idx="0">
                  <c:v>2017年收入</c:v>
                </c:pt>
                <c:pt idx="1">
                  <c:v>2018年收入</c:v>
                </c:pt>
                <c:pt idx="2">
                  <c:v>2017年支出</c:v>
                </c:pt>
                <c:pt idx="3">
                  <c:v>2018年支出</c:v>
                </c:pt>
              </c:strCache>
            </c:strRef>
          </c:cat>
          <c:val>
            <c:numRef>
              <c:f>Sheet1!$B$2:$B$5</c:f>
              <c:numCache>
                <c:formatCode>General</c:formatCode>
                <c:ptCount val="4"/>
                <c:pt idx="0">
                  <c:v>100</c:v>
                </c:pt>
                <c:pt idx="1">
                  <c:v>124</c:v>
                </c:pt>
                <c:pt idx="2">
                  <c:v>100</c:v>
                </c:pt>
                <c:pt idx="3">
                  <c:v>128</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2017年收入</c:v>
                </c:pt>
                <c:pt idx="1">
                  <c:v>2018年收入</c:v>
                </c:pt>
                <c:pt idx="2">
                  <c:v>2017年支出</c:v>
                </c:pt>
                <c:pt idx="3">
                  <c:v>2018年支出</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2017年收入</c:v>
                </c:pt>
                <c:pt idx="1">
                  <c:v>2018年收入</c:v>
                </c:pt>
                <c:pt idx="2">
                  <c:v>2017年支出</c:v>
                </c:pt>
                <c:pt idx="3">
                  <c:v>2018年支出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201588096"/>
        <c:axId val="202101888"/>
      </c:barChart>
      <c:catAx>
        <c:axId val="2015880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2101888"/>
        <c:crosses val="autoZero"/>
        <c:auto val="1"/>
        <c:lblAlgn val="ctr"/>
        <c:lblOffset val="100"/>
        <c:noMultiLvlLbl val="0"/>
      </c:catAx>
      <c:valAx>
        <c:axId val="202101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158809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2000" b="1" i="0" u="none" strike="noStrike" kern="1200" spc="0" baseline="0">
                <a:solidFill>
                  <a:schemeClr val="tx1">
                    <a:lumMod val="65000"/>
                    <a:lumOff val="35000"/>
                  </a:schemeClr>
                </a:solidFill>
                <a:latin typeface="+mn-lt"/>
                <a:ea typeface="+mn-ea"/>
                <a:cs typeface="+mn-cs"/>
              </a:defRPr>
            </a:pPr>
            <a:r>
              <a:rPr lang="zh-CN" altLang="en-US" sz="2000" b="1"/>
              <a:t>收入决算结构图</a:t>
            </a:r>
            <a:endParaRPr lang="zh-CN" altLang="en-US" sz="2000" b="1"/>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Sheet1!$A$2:$A$5</c:f>
              <c:strCache>
                <c:ptCount val="4"/>
                <c:pt idx="0">
                  <c:v>一般公共预算拨款</c:v>
                </c:pt>
                <c:pt idx="1">
                  <c:v>其他收入</c:v>
                </c:pt>
              </c:strCache>
            </c:strRef>
          </c:cat>
          <c:val>
            <c:numRef>
              <c:f>Sheet1!$B$3:$B$5</c:f>
              <c:numCache>
                <c:formatCode>General</c:formatCode>
                <c:ptCount val="3"/>
                <c:pt idx="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52547021943574"/>
          <c:y val="0.90070278848333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2000" b="1"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社会保障和就业支出</c:v>
                </c:pt>
                <c:pt idx="2">
                  <c:v>医疗卫生和计划生育支出</c:v>
                </c:pt>
                <c:pt idx="3">
                  <c:v>住房保障支出</c:v>
                </c:pt>
                <c:pt idx="4">
                  <c:v>其他支出</c:v>
                </c:pt>
              </c:strCache>
            </c:strRef>
          </c:cat>
          <c:val>
            <c:numRef>
              <c:f>Sheet1!$B$2:$B$6</c:f>
              <c:numCache>
                <c:formatCode>General</c:formatCode>
                <c:ptCount val="5"/>
                <c:pt idx="0">
                  <c:v>83</c:v>
                </c:pt>
                <c:pt idx="1">
                  <c:v>9</c:v>
                </c:pt>
                <c:pt idx="2">
                  <c:v>3</c:v>
                </c:pt>
                <c:pt idx="3">
                  <c:v>4</c:v>
                </c:pt>
                <c:pt idx="4">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254547735541337"/>
          <c:y val="0.884609053497942"/>
          <c:w val="0.567181031238239"/>
          <c:h val="0.11045267489711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spc="0" baseline="0">
                <a:solidFill>
                  <a:schemeClr val="tx1">
                    <a:lumMod val="65000"/>
                    <a:lumOff val="35000"/>
                  </a:schemeClr>
                </a:solidFill>
                <a:latin typeface="+mn-lt"/>
                <a:ea typeface="+mn-ea"/>
                <a:cs typeface="+mn-cs"/>
              </a:defRPr>
            </a:pPr>
            <a:r>
              <a:rPr lang="zh-CN" altLang="en-US" sz="1800" b="1"/>
              <a:t>财政拨款收、支决算总计变动情况图</a:t>
            </a:r>
            <a:endParaRPr lang="zh-CN" altLang="en-US" sz="1800" b="1"/>
          </a:p>
        </c:rich>
      </c:tx>
      <c:layout>
        <c:manualLayout>
          <c:xMode val="edge"/>
          <c:yMode val="edge"/>
          <c:x val="0.183375959079284"/>
          <c:y val="0.0427537820653365"/>
        </c:manualLayout>
      </c:layout>
      <c:overlay val="0"/>
      <c:spPr>
        <a:noFill/>
        <a:ln>
          <a:noFill/>
        </a:ln>
        <a:effectLst/>
      </c:spPr>
    </c:title>
    <c:autoTitleDeleted val="0"/>
    <c:plotArea>
      <c:layout>
        <c:manualLayout>
          <c:layoutTarget val="inner"/>
          <c:xMode val="edge"/>
          <c:yMode val="edge"/>
          <c:x val="0.0796163682864451"/>
          <c:y val="0.282174961631221"/>
          <c:w val="0.91462915601023"/>
          <c:h val="0.627143170357378"/>
        </c:manualLayout>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elete val="1"/>
          </c:dLbls>
          <c:cat>
            <c:strRef>
              <c:f>Sheet1!$A$2:$A$5</c:f>
              <c:strCache>
                <c:ptCount val="4"/>
                <c:pt idx="0">
                  <c:v>2017年财政收入</c:v>
                </c:pt>
                <c:pt idx="1">
                  <c:v>2018年财政收入</c:v>
                </c:pt>
                <c:pt idx="2">
                  <c:v>2017年支出</c:v>
                </c:pt>
                <c:pt idx="3">
                  <c:v>2018年支出</c:v>
                </c:pt>
              </c:strCache>
            </c:strRef>
          </c:cat>
          <c:val>
            <c:numRef>
              <c:f>Sheet1!$B$2:$B$5</c:f>
              <c:numCache>
                <c:formatCode>General</c:formatCode>
                <c:ptCount val="4"/>
                <c:pt idx="0">
                  <c:v>100</c:v>
                </c:pt>
                <c:pt idx="1">
                  <c:v>125</c:v>
                </c:pt>
                <c:pt idx="2">
                  <c:v>100</c:v>
                </c:pt>
                <c:pt idx="3">
                  <c:v>131</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2017年财政收入</c:v>
                </c:pt>
                <c:pt idx="1">
                  <c:v>2018年财政收入</c:v>
                </c:pt>
                <c:pt idx="2">
                  <c:v>2017年支出</c:v>
                </c:pt>
                <c:pt idx="3">
                  <c:v>2018年支出</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2017年财政收入</c:v>
                </c:pt>
                <c:pt idx="1">
                  <c:v>2018年财政收入</c:v>
                </c:pt>
                <c:pt idx="2">
                  <c:v>2017年支出</c:v>
                </c:pt>
                <c:pt idx="3">
                  <c:v>2018年支出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217847680"/>
        <c:axId val="217849216"/>
      </c:barChart>
      <c:catAx>
        <c:axId val="2178476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7849216"/>
        <c:crosses val="autoZero"/>
        <c:auto val="1"/>
        <c:lblAlgn val="ctr"/>
        <c:lblOffset val="100"/>
        <c:noMultiLvlLbl val="0"/>
      </c:catAx>
      <c:valAx>
        <c:axId val="217849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7847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spc="0" baseline="0">
                <a:solidFill>
                  <a:schemeClr val="tx1">
                    <a:lumMod val="65000"/>
                    <a:lumOff val="35000"/>
                  </a:schemeClr>
                </a:solidFill>
                <a:latin typeface="+mn-lt"/>
                <a:ea typeface="+mn-ea"/>
                <a:cs typeface="+mn-cs"/>
              </a:defRPr>
            </a:pPr>
            <a:r>
              <a:rPr lang="zh-CN" altLang="en-US" sz="1600" b="1"/>
              <a:t>一般公共预算财政拨款支出决算变动情况图</a:t>
            </a:r>
            <a:endParaRPr lang="zh-CN" altLang="en-US" sz="1600" b="1"/>
          </a:p>
        </c:rich>
      </c:tx>
      <c:layout>
        <c:manualLayout>
          <c:xMode val="edge"/>
          <c:yMode val="edge"/>
          <c:x val="0.105246076892911"/>
          <c:y val="0.0273161848395174"/>
        </c:manualLayout>
      </c:layout>
      <c:overlay val="0"/>
      <c:spPr>
        <a:noFill/>
        <a:ln>
          <a:noFill/>
        </a:ln>
        <a:effectLst/>
      </c:spPr>
    </c:title>
    <c:autoTitleDeleted val="0"/>
    <c:plotArea>
      <c:layout>
        <c:manualLayout>
          <c:layoutTarget val="inner"/>
          <c:xMode val="edge"/>
          <c:yMode val="edge"/>
          <c:x val="0.0761918234545197"/>
          <c:y val="0.274695197810401"/>
          <c:w val="0.892686377139624"/>
          <c:h val="0.469868126399602"/>
        </c:manualLayout>
      </c:layout>
      <c:barChart>
        <c:barDir val="col"/>
        <c:grouping val="stacked"/>
        <c:varyColors val="0"/>
        <c:ser>
          <c:idx val="0"/>
          <c:order val="0"/>
          <c:tx>
            <c:strRef>
              <c:f>Sheet1!$B$1</c:f>
              <c:strCache>
                <c:ptCount val="1"/>
                <c:pt idx="0">
                  <c:v>百分比</c:v>
                </c:pt>
              </c:strCache>
            </c:strRef>
          </c:tx>
          <c:spPr>
            <a:solidFill>
              <a:schemeClr val="accent1"/>
            </a:solidFill>
            <a:ln>
              <a:noFill/>
            </a:ln>
            <a:effectLst/>
          </c:spPr>
          <c:invertIfNegative val="0"/>
          <c:dLbls>
            <c:delete val="1"/>
          </c:dLbls>
          <c:cat>
            <c:strRef>
              <c:f>Sheet1!$A$2:$A$5</c:f>
              <c:strCache>
                <c:ptCount val="4"/>
                <c:pt idx="0">
                  <c:v>2017年财政拨款支出</c:v>
                </c:pt>
                <c:pt idx="1">
                  <c:v>2018年财政拨款支出</c:v>
                </c:pt>
              </c:strCache>
            </c:strRef>
          </c:cat>
          <c:val>
            <c:numRef>
              <c:f>Sheet1!$B$2:$B$5</c:f>
              <c:numCache>
                <c:formatCode>General</c:formatCode>
                <c:ptCount val="4"/>
                <c:pt idx="0">
                  <c:v>100</c:v>
                </c:pt>
                <c:pt idx="1">
                  <c:v>128</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2017年财政拨款支出</c:v>
                </c:pt>
                <c:pt idx="1">
                  <c:v>2018年财政拨款支出</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2017年财政拨款支出</c:v>
                </c:pt>
                <c:pt idx="1">
                  <c:v>2018年财政拨款支出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217879680"/>
        <c:axId val="217881216"/>
      </c:barChart>
      <c:catAx>
        <c:axId val="2178796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7881216"/>
        <c:crosses val="autoZero"/>
        <c:auto val="1"/>
        <c:lblAlgn val="ctr"/>
        <c:lblOffset val="100"/>
        <c:noMultiLvlLbl val="0"/>
      </c:catAx>
      <c:valAx>
        <c:axId val="217881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1787968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17952244030504"/>
          <c:y val="0.0281954887218045"/>
        </c:manualLayout>
      </c:layout>
      <c:overlay val="0"/>
      <c:spPr>
        <a:noFill/>
        <a:ln>
          <a:noFill/>
        </a:ln>
        <a:effectLst/>
      </c:spPr>
      <c:txPr>
        <a:bodyPr rot="0" spcFirstLastPara="0" vertOverflow="ellipsis" vert="horz" wrap="square" anchor="ctr" anchorCtr="1"/>
        <a:lstStyle/>
        <a:p>
          <a:pPr>
            <a:defRPr lang="zh-CN" sz="2000" b="1"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229153644205526"/>
          <c:y val="0.162508544087491"/>
          <c:w val="0.534191773971746"/>
          <c:h val="0.730177717019822"/>
        </c:manualLayout>
      </c:layout>
      <c:pieChart>
        <c:varyColors val="1"/>
        <c:ser>
          <c:idx val="0"/>
          <c:order val="0"/>
          <c:tx>
            <c:strRef>
              <c:f>Sheet1!$B$1</c:f>
              <c:strCache>
                <c:ptCount val="1"/>
                <c:pt idx="0">
                  <c:v>一般公共预算财政拨款支出结构图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社会保障和就业支出</c:v>
                </c:pt>
                <c:pt idx="2">
                  <c:v>医疗卫生和计划生育支出</c:v>
                </c:pt>
                <c:pt idx="3">
                  <c:v>住房保障支出</c:v>
                </c:pt>
                <c:pt idx="4">
                  <c:v>其他支出</c:v>
                </c:pt>
              </c:strCache>
            </c:strRef>
          </c:cat>
          <c:val>
            <c:numRef>
              <c:f>Sheet1!$B$2:$B$6</c:f>
              <c:numCache>
                <c:formatCode>General</c:formatCode>
                <c:ptCount val="5"/>
                <c:pt idx="0">
                  <c:v>83</c:v>
                </c:pt>
                <c:pt idx="1">
                  <c:v>9</c:v>
                </c:pt>
                <c:pt idx="2">
                  <c:v>3</c:v>
                </c:pt>
                <c:pt idx="3">
                  <c:v>4</c:v>
                </c:pt>
                <c:pt idx="4">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2000" b="1"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公务用车购置及运行维护费</c:v>
                </c:pt>
                <c:pt idx="1">
                  <c:v>公务接待费</c:v>
                </c:pt>
              </c:strCache>
            </c:strRef>
          </c:cat>
          <c:val>
            <c:numRef>
              <c:f>Sheet1!$B$2:$B$3</c:f>
              <c:numCache>
                <c:formatCode>General</c:formatCode>
                <c:ptCount val="2"/>
                <c:pt idx="0">
                  <c:v>95</c:v>
                </c:pt>
                <c:pt idx="1">
                  <c:v>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8F2E8B-5CF6-45F0-B9B1-FC592211EB56}">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29</Pages>
  <Words>10421</Words>
  <Characters>2442</Characters>
  <Lines>20</Lines>
  <Paragraphs>25</Paragraphs>
  <TotalTime>0</TotalTime>
  <ScaleCrop>false</ScaleCrop>
  <LinksUpToDate>false</LinksUpToDate>
  <CharactersWithSpaces>12838</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2019-08-22T08:33:00Z</cp:lastPrinted>
  <dcterms:modified xsi:type="dcterms:W3CDTF">2019-08-29T01:22:29Z</dcterms:modified>
  <dc:title>四川省***</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