
<file path=[Content_Types].xml><?xml version="1.0" encoding="utf-8"?>
<Types xmlns="http://schemas.openxmlformats.org/package/2006/content-types">
  <Default Extension="xml" ContentType="application/xml"/>
  <Default Extension="xlsx" ContentType="application/vnd.openxmlformats-officedocument.spreadsheetml.shee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方正小标宋简体" w:hAnsi="宋体" w:eastAsia="方正小标宋简体"/>
          <w:sz w:val="72"/>
          <w:szCs w:val="72"/>
        </w:rPr>
      </w:pPr>
      <w:bookmarkStart w:id="0" w:name="_Toc15396475"/>
      <w:bookmarkStart w:id="1" w:name="_Toc15378441"/>
      <w:bookmarkStart w:id="2" w:name="_Toc15396597"/>
      <w:bookmarkStart w:id="3" w:name="_Toc15377193"/>
      <w:bookmarkStart w:id="4" w:name="_Toc15377425"/>
      <w:bookmarkStart w:id="5" w:name="_Toc15306267"/>
    </w:p>
    <w:p>
      <w:pPr>
        <w:pStyle w:val="8"/>
        <w:spacing w:before="93"/>
      </w:pPr>
    </w:p>
    <w:p>
      <w:pPr>
        <w:spacing w:line="600" w:lineRule="exact"/>
        <w:jc w:val="center"/>
        <w:rPr>
          <w:rFonts w:hint="eastAsia" w:ascii="方正小标宋简体" w:hAnsi="宋体" w:eastAsia="方正小标宋简体"/>
          <w:sz w:val="72"/>
          <w:szCs w:val="72"/>
        </w:rPr>
      </w:pPr>
    </w:p>
    <w:p>
      <w:pPr>
        <w:spacing w:line="600" w:lineRule="exact"/>
        <w:jc w:val="center"/>
        <w:rPr>
          <w:rFonts w:hint="eastAsia" w:ascii="方正小标宋简体" w:hAnsi="宋体" w:eastAsia="方正小标宋简体"/>
          <w:sz w:val="72"/>
          <w:szCs w:val="72"/>
        </w:rPr>
      </w:pPr>
    </w:p>
    <w:p>
      <w:pPr>
        <w:adjustRightInd w:val="0"/>
        <w:snapToGrid w:val="0"/>
        <w:spacing w:line="360" w:lineRule="auto"/>
        <w:jc w:val="center"/>
        <w:outlineLvl w:val="0"/>
        <w:rPr>
          <w:rFonts w:hint="eastAsia" w:ascii="方正小标宋简体" w:hAnsi="方正小标宋简体" w:eastAsia="方正小标宋简体" w:cs="方正小标宋简体"/>
          <w:sz w:val="44"/>
          <w:szCs w:val="44"/>
        </w:rPr>
      </w:pPr>
      <w:bookmarkStart w:id="6" w:name="_Toc24222"/>
      <w:bookmarkStart w:id="7" w:name="_Toc24790"/>
      <w:r>
        <w:rPr>
          <w:rFonts w:hint="eastAsia" w:ascii="方正小标宋简体" w:hAnsi="方正小标宋简体" w:eastAsia="方正小标宋简体" w:cs="方正小标宋简体"/>
          <w:sz w:val="44"/>
          <w:szCs w:val="44"/>
        </w:rPr>
        <w:t>2023年度</w:t>
      </w:r>
      <w:bookmarkEnd w:id="0"/>
      <w:bookmarkEnd w:id="1"/>
      <w:bookmarkEnd w:id="2"/>
      <w:bookmarkEnd w:id="3"/>
      <w:bookmarkEnd w:id="4"/>
      <w:bookmarkEnd w:id="6"/>
      <w:bookmarkEnd w:id="7"/>
    </w:p>
    <w:bookmarkEnd w:id="5"/>
    <w:p>
      <w:pPr>
        <w:adjustRightInd w:val="0"/>
        <w:snapToGrid w:val="0"/>
        <w:spacing w:line="360" w:lineRule="auto"/>
        <w:jc w:val="center"/>
        <w:outlineLvl w:val="0"/>
        <w:rPr>
          <w:rFonts w:ascii="方正小标宋简体" w:hAnsi="方正小标宋简体" w:eastAsia="方正小标宋简体" w:cs="方正小标宋简体"/>
          <w:sz w:val="44"/>
          <w:szCs w:val="44"/>
        </w:rPr>
      </w:pPr>
      <w:bookmarkStart w:id="8" w:name="_Toc15377426"/>
      <w:bookmarkStart w:id="9" w:name="_Toc15396598"/>
      <w:bookmarkStart w:id="10" w:name="_Toc15396476"/>
      <w:bookmarkStart w:id="11" w:name="_Toc15377194"/>
      <w:bookmarkStart w:id="12" w:name="_Toc15306268"/>
      <w:bookmarkStart w:id="13" w:name="_Toc7141"/>
      <w:bookmarkStart w:id="14" w:name="_Toc15378442"/>
      <w:bookmarkStart w:id="15" w:name="_Toc78"/>
      <w:r>
        <w:rPr>
          <w:rFonts w:hint="eastAsia" w:ascii="方正小标宋简体" w:hAnsi="方正小标宋简体" w:eastAsia="方正小标宋简体" w:cs="方正小标宋简体"/>
          <w:sz w:val="44"/>
          <w:szCs w:val="44"/>
        </w:rPr>
        <w:t>红原县妇女联合会</w:t>
      </w:r>
    </w:p>
    <w:p>
      <w:pPr>
        <w:adjustRightInd w:val="0"/>
        <w:snapToGrid w:val="0"/>
        <w:spacing w:line="360" w:lineRule="auto"/>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部门决算</w:t>
      </w:r>
      <w:bookmarkEnd w:id="8"/>
      <w:bookmarkEnd w:id="9"/>
      <w:bookmarkEnd w:id="10"/>
      <w:bookmarkEnd w:id="11"/>
      <w:bookmarkEnd w:id="12"/>
      <w:bookmarkEnd w:id="13"/>
      <w:bookmarkEnd w:id="14"/>
      <w:r>
        <w:rPr>
          <w:rFonts w:hint="eastAsia" w:ascii="方正小标宋简体" w:hAnsi="方正小标宋简体" w:eastAsia="方正小标宋简体" w:cs="方正小标宋简体"/>
          <w:sz w:val="44"/>
          <w:szCs w:val="44"/>
        </w:rPr>
        <w:t>公开编制说明</w:t>
      </w:r>
      <w:bookmarkEnd w:id="15"/>
    </w:p>
    <w:p>
      <w:pPr>
        <w:pStyle w:val="14"/>
        <w:adjustRightInd w:val="0"/>
        <w:snapToGrid w:val="0"/>
        <w:spacing w:line="440" w:lineRule="exact"/>
        <w:jc w:val="left"/>
        <w:rPr>
          <w:rFonts w:hint="eastAsia" w:ascii="方正小标宋简体" w:hAnsi="宋体" w:eastAsia="方正小标宋简体"/>
          <w:sz w:val="36"/>
          <w:szCs w:val="36"/>
        </w:rPr>
      </w:pPr>
    </w:p>
    <w:p>
      <w:pPr>
        <w:pStyle w:val="14"/>
        <w:adjustRightInd w:val="0"/>
        <w:snapToGrid w:val="0"/>
        <w:spacing w:line="440" w:lineRule="exact"/>
        <w:jc w:val="left"/>
        <w:rPr>
          <w:rFonts w:hint="eastAsia" w:ascii="方正小标宋简体" w:hAnsi="宋体" w:eastAsia="方正小标宋简体"/>
          <w:sz w:val="36"/>
          <w:szCs w:val="36"/>
        </w:rPr>
      </w:pPr>
    </w:p>
    <w:p>
      <w:pPr>
        <w:pStyle w:val="14"/>
        <w:adjustRightInd w:val="0"/>
        <w:snapToGrid w:val="0"/>
        <w:spacing w:line="440" w:lineRule="exact"/>
        <w:jc w:val="left"/>
        <w:rPr>
          <w:rFonts w:hint="eastAsia" w:ascii="方正小标宋简体" w:hAnsi="宋体" w:eastAsia="方正小标宋简体"/>
          <w:sz w:val="36"/>
          <w:szCs w:val="36"/>
        </w:rPr>
      </w:pPr>
    </w:p>
    <w:p>
      <w:pPr>
        <w:pStyle w:val="14"/>
        <w:adjustRightInd w:val="0"/>
        <w:snapToGrid w:val="0"/>
        <w:spacing w:line="440" w:lineRule="exact"/>
        <w:jc w:val="left"/>
        <w:rPr>
          <w:rFonts w:hint="eastAsia" w:ascii="方正小标宋简体" w:hAnsi="宋体" w:eastAsia="方正小标宋简体"/>
          <w:sz w:val="36"/>
          <w:szCs w:val="36"/>
        </w:rPr>
      </w:pPr>
    </w:p>
    <w:p>
      <w:pPr>
        <w:pStyle w:val="14"/>
        <w:adjustRightInd w:val="0"/>
        <w:snapToGrid w:val="0"/>
        <w:spacing w:line="440" w:lineRule="exact"/>
        <w:jc w:val="left"/>
        <w:rPr>
          <w:rFonts w:hint="eastAsia" w:ascii="方正小标宋简体" w:hAnsi="宋体" w:eastAsia="方正小标宋简体"/>
          <w:sz w:val="36"/>
          <w:szCs w:val="36"/>
        </w:rPr>
      </w:pPr>
    </w:p>
    <w:p>
      <w:pPr>
        <w:pStyle w:val="14"/>
        <w:adjustRightInd w:val="0"/>
        <w:snapToGrid w:val="0"/>
        <w:spacing w:line="440" w:lineRule="exact"/>
        <w:jc w:val="left"/>
        <w:rPr>
          <w:rFonts w:hint="eastAsia" w:ascii="方正小标宋简体" w:hAnsi="宋体" w:eastAsia="方正小标宋简体"/>
          <w:sz w:val="36"/>
          <w:szCs w:val="36"/>
        </w:rPr>
      </w:pPr>
    </w:p>
    <w:p>
      <w:pPr>
        <w:pStyle w:val="14"/>
        <w:adjustRightInd w:val="0"/>
        <w:snapToGrid w:val="0"/>
        <w:spacing w:line="440" w:lineRule="exact"/>
        <w:jc w:val="left"/>
        <w:rPr>
          <w:rFonts w:hint="eastAsia" w:ascii="方正小标宋简体" w:hAnsi="宋体" w:eastAsia="方正小标宋简体"/>
          <w:sz w:val="36"/>
          <w:szCs w:val="36"/>
        </w:rPr>
      </w:pPr>
    </w:p>
    <w:p>
      <w:pPr>
        <w:pStyle w:val="14"/>
        <w:adjustRightInd w:val="0"/>
        <w:snapToGrid w:val="0"/>
        <w:spacing w:line="440" w:lineRule="exact"/>
        <w:jc w:val="left"/>
        <w:rPr>
          <w:rFonts w:hint="eastAsia" w:ascii="方正小标宋简体" w:hAnsi="宋体" w:eastAsia="方正小标宋简体"/>
          <w:sz w:val="36"/>
          <w:szCs w:val="36"/>
        </w:rPr>
      </w:pPr>
    </w:p>
    <w:p>
      <w:pPr>
        <w:pStyle w:val="14"/>
        <w:adjustRightInd w:val="0"/>
        <w:snapToGrid w:val="0"/>
        <w:spacing w:line="440" w:lineRule="exact"/>
        <w:jc w:val="left"/>
        <w:rPr>
          <w:rFonts w:hint="eastAsia" w:ascii="方正小标宋简体" w:hAnsi="宋体" w:eastAsia="方正小标宋简体"/>
          <w:sz w:val="36"/>
          <w:szCs w:val="36"/>
        </w:rPr>
      </w:pPr>
    </w:p>
    <w:p>
      <w:pPr>
        <w:pStyle w:val="14"/>
        <w:adjustRightInd w:val="0"/>
        <w:snapToGrid w:val="0"/>
        <w:spacing w:line="440" w:lineRule="exact"/>
        <w:jc w:val="left"/>
        <w:rPr>
          <w:rFonts w:hint="eastAsia" w:ascii="方正小标宋简体" w:hAnsi="宋体" w:eastAsia="方正小标宋简体"/>
          <w:sz w:val="36"/>
          <w:szCs w:val="36"/>
        </w:rPr>
      </w:pPr>
    </w:p>
    <w:p>
      <w:pPr>
        <w:pStyle w:val="14"/>
        <w:adjustRightInd w:val="0"/>
        <w:snapToGrid w:val="0"/>
        <w:spacing w:line="440" w:lineRule="exact"/>
        <w:jc w:val="left"/>
        <w:rPr>
          <w:rFonts w:hint="eastAsia" w:ascii="方正小标宋简体" w:hAnsi="宋体" w:eastAsia="方正小标宋简体"/>
          <w:sz w:val="36"/>
          <w:szCs w:val="36"/>
        </w:rPr>
      </w:pPr>
    </w:p>
    <w:p>
      <w:pPr>
        <w:pStyle w:val="14"/>
        <w:adjustRightInd w:val="0"/>
        <w:snapToGrid w:val="0"/>
        <w:spacing w:line="440" w:lineRule="exact"/>
        <w:jc w:val="left"/>
        <w:rPr>
          <w:rFonts w:hint="eastAsia" w:ascii="方正小标宋简体" w:hAnsi="宋体" w:eastAsia="方正小标宋简体"/>
          <w:sz w:val="36"/>
          <w:szCs w:val="36"/>
        </w:rPr>
      </w:pPr>
    </w:p>
    <w:p>
      <w:pPr>
        <w:pStyle w:val="14"/>
        <w:adjustRightInd w:val="0"/>
        <w:snapToGrid w:val="0"/>
        <w:spacing w:line="440" w:lineRule="exact"/>
        <w:jc w:val="left"/>
        <w:rPr>
          <w:rFonts w:hint="eastAsia" w:ascii="方正小标宋简体" w:hAnsi="宋体" w:eastAsia="方正小标宋简体"/>
          <w:sz w:val="36"/>
          <w:szCs w:val="36"/>
        </w:rPr>
      </w:pPr>
    </w:p>
    <w:p>
      <w:pPr>
        <w:pStyle w:val="14"/>
        <w:adjustRightInd w:val="0"/>
        <w:snapToGrid w:val="0"/>
        <w:spacing w:line="440" w:lineRule="exact"/>
        <w:jc w:val="left"/>
        <w:rPr>
          <w:rFonts w:hint="eastAsia" w:ascii="方正小标宋简体" w:hAnsi="宋体" w:eastAsia="方正小标宋简体"/>
          <w:sz w:val="36"/>
          <w:szCs w:val="36"/>
        </w:rPr>
      </w:pPr>
    </w:p>
    <w:p>
      <w:pPr>
        <w:pStyle w:val="14"/>
        <w:adjustRightInd w:val="0"/>
        <w:snapToGrid w:val="0"/>
        <w:spacing w:line="440" w:lineRule="exact"/>
        <w:jc w:val="left"/>
        <w:rPr>
          <w:rFonts w:hint="eastAsia" w:ascii="方正小标宋简体" w:hAnsi="宋体" w:eastAsia="方正小标宋简体"/>
          <w:sz w:val="36"/>
          <w:szCs w:val="36"/>
        </w:rPr>
      </w:pPr>
    </w:p>
    <w:p>
      <w:pPr>
        <w:pStyle w:val="14"/>
        <w:adjustRightInd w:val="0"/>
        <w:snapToGrid w:val="0"/>
        <w:spacing w:line="440" w:lineRule="exact"/>
        <w:jc w:val="left"/>
        <w:rPr>
          <w:rFonts w:hint="eastAsia" w:ascii="方正小标宋简体" w:hAnsi="宋体" w:eastAsia="方正小标宋简体"/>
          <w:sz w:val="36"/>
          <w:szCs w:val="36"/>
        </w:rPr>
      </w:pPr>
    </w:p>
    <w:p>
      <w:pPr>
        <w:pStyle w:val="14"/>
        <w:adjustRightInd w:val="0"/>
        <w:snapToGrid w:val="0"/>
        <w:spacing w:line="440" w:lineRule="exact"/>
        <w:jc w:val="left"/>
        <w:rPr>
          <w:rFonts w:hint="eastAsia" w:ascii="方正小标宋简体" w:hAnsi="宋体" w:eastAsia="方正小标宋简体"/>
          <w:sz w:val="36"/>
          <w:szCs w:val="36"/>
        </w:rPr>
      </w:pPr>
    </w:p>
    <w:p>
      <w:pPr>
        <w:pStyle w:val="15"/>
        <w:widowControl/>
        <w:ind w:right="75"/>
      </w:pPr>
      <w:r>
        <w:rPr>
          <w:shd w:val="clear" w:color="auto" w:fill="FFFFFF"/>
        </w:rPr>
        <w:t>保密审查情况：已审查，内容审定</w:t>
      </w:r>
    </w:p>
    <w:p>
      <w:pPr>
        <w:pStyle w:val="14"/>
        <w:adjustRightInd w:val="0"/>
        <w:snapToGrid w:val="0"/>
        <w:spacing w:line="440" w:lineRule="exact"/>
        <w:ind w:left="0" w:leftChars="0"/>
        <w:jc w:val="left"/>
        <w:rPr>
          <w:rFonts w:hint="eastAsia" w:ascii="方正小标宋简体" w:hAnsi="宋体" w:eastAsia="方正小标宋简体"/>
          <w:sz w:val="36"/>
          <w:szCs w:val="36"/>
        </w:rPr>
      </w:pPr>
      <w:r>
        <w:rPr>
          <w:sz w:val="24"/>
          <w:shd w:val="clear" w:color="auto" w:fill="FFFFFF"/>
        </w:rPr>
        <w:t>部门主要负责人审签情况：已审签，同意对外公开</w:t>
      </w:r>
      <w:r>
        <w:rPr>
          <w:rFonts w:ascii="方正小标宋简体" w:hAnsi="宋体" w:eastAsia="方正小标宋简体"/>
          <w:sz w:val="36"/>
          <w:szCs w:val="36"/>
        </w:rPr>
        <w:br w:type="page"/>
      </w:r>
    </w:p>
    <w:sdt>
      <w:sdtPr>
        <w:rPr>
          <w:rFonts w:hint="eastAsia" w:ascii="黑体" w:hAnsi="黑体" w:eastAsia="黑体" w:cs="黑体"/>
          <w:sz w:val="44"/>
          <w:szCs w:val="44"/>
        </w:rPr>
        <w:id w:val="147467588"/>
        <w15:color w:val="DBDBDB"/>
        <w:docPartObj>
          <w:docPartGallery w:val="Table of Contents"/>
          <w:docPartUnique/>
        </w:docPartObj>
      </w:sdtPr>
      <w:sdtEndPr>
        <w:rPr>
          <w:rFonts w:hint="eastAsia" w:ascii="黑体" w:hAnsi="黑体" w:eastAsia="黑体" w:cs="黑体"/>
          <w:sz w:val="44"/>
          <w:szCs w:val="44"/>
        </w:rPr>
      </w:sdtEndPr>
      <w:sdtContent>
        <w:p>
          <w:pPr>
            <w:widowControl/>
            <w:jc w:val="center"/>
            <w:rPr>
              <w:rFonts w:ascii="黑体" w:eastAsia="黑体"/>
              <w:sz w:val="48"/>
              <w:szCs w:val="48"/>
            </w:rPr>
          </w:pPr>
          <w:r>
            <w:rPr>
              <w:rFonts w:hint="eastAsia" w:ascii="黑体" w:eastAsia="黑体"/>
              <w:sz w:val="48"/>
              <w:szCs w:val="48"/>
            </w:rPr>
            <w:t>目录</w:t>
          </w:r>
        </w:p>
        <w:p>
          <w:pPr>
            <w:widowControl/>
            <w:jc w:val="center"/>
            <w:rPr>
              <w:rFonts w:ascii="黑体" w:eastAsia="黑体" w:cs="Arial"/>
              <w:sz w:val="28"/>
              <w:szCs w:val="28"/>
            </w:rPr>
          </w:pPr>
        </w:p>
        <w:p>
          <w:pPr>
            <w:pStyle w:val="13"/>
            <w:rPr>
              <w:rFonts w:hint="eastAsia"/>
            </w:rPr>
          </w:pPr>
          <w:r>
            <w:rPr>
              <w:rFonts w:hint="eastAsia"/>
            </w:rPr>
            <w:t>公开时间：2024年11月16日</w:t>
          </w:r>
        </w:p>
        <w:p/>
        <w:sdt>
          <w:sdtPr>
            <w:rPr>
              <w:rFonts w:ascii="宋体" w:hAnsi="宋体"/>
            </w:rPr>
            <w:id w:val="147451071"/>
            <w15:color w:val="DBDBDB"/>
            <w:docPartObj>
              <w:docPartGallery w:val="Table of Contents"/>
              <w:docPartUnique/>
            </w:docPartObj>
          </w:sdtPr>
          <w:sdtEndPr>
            <w:rPr>
              <w:rFonts w:hint="eastAsia" w:ascii="仿宋_GB2312" w:hAnsi="仿宋_GB2312" w:eastAsia="仿宋_GB2312" w:cs="仿宋_GB2312"/>
              <w:b/>
              <w:sz w:val="28"/>
              <w:szCs w:val="28"/>
            </w:rPr>
          </w:sdtEndPr>
          <w:sdtContent>
            <w:p>
              <w:pPr>
                <w:jc w:val="center"/>
              </w:pPr>
            </w:p>
            <w:p>
              <w:pPr>
                <w:pStyle w:val="13"/>
                <w:tabs>
                  <w:tab w:val="right" w:leader="dot" w:pos="8306"/>
                  <w:tab w:val="clear" w:pos="8296"/>
                </w:tabs>
                <w:rPr>
                  <w:rFonts w:hint="eastAsia"/>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TOC \o "1-2" \h \u </w:instrText>
              </w:r>
              <w:r>
                <w:rPr>
                  <w:rFonts w:hint="eastAsia" w:ascii="仿宋_GB2312" w:hAnsi="仿宋_GB2312" w:eastAsia="仿宋_GB2312" w:cs="仿宋_GB2312"/>
                </w:rPr>
                <w:fldChar w:fldCharType="separate"/>
              </w:r>
              <w:r>
                <w:fldChar w:fldCharType="begin"/>
              </w:r>
              <w:r>
                <w:instrText xml:space="preserve"> HYPERLINK \l "_Toc24222" </w:instrText>
              </w:r>
              <w:r>
                <w:fldChar w:fldCharType="separate"/>
              </w:r>
              <w:r>
                <w:rPr>
                  <w:rFonts w:hint="eastAsia" w:ascii="方正小标宋简体" w:hAnsi="方正小标宋简体" w:eastAsia="方正小标宋简体" w:cs="方正小标宋简体"/>
                  <w:szCs w:val="44"/>
                </w:rPr>
                <w:t>2023年度</w:t>
              </w:r>
              <w:r>
                <w:tab/>
              </w:r>
              <w:r>
                <w:fldChar w:fldCharType="begin"/>
              </w:r>
              <w:r>
                <w:instrText xml:space="preserve"> PAGEREF _Toc24222 \h </w:instrText>
              </w:r>
              <w:r>
                <w:fldChar w:fldCharType="separate"/>
              </w:r>
              <w:r>
                <w:t>1</w:t>
              </w:r>
              <w:r>
                <w:fldChar w:fldCharType="end"/>
              </w:r>
              <w:r>
                <w:fldChar w:fldCharType="end"/>
              </w:r>
            </w:p>
            <w:p>
              <w:pPr>
                <w:pStyle w:val="13"/>
                <w:tabs>
                  <w:tab w:val="right" w:leader="dot" w:pos="8306"/>
                  <w:tab w:val="clear" w:pos="8296"/>
                </w:tabs>
                <w:rPr>
                  <w:rFonts w:hint="eastAsia"/>
                </w:rPr>
              </w:pPr>
              <w:r>
                <w:fldChar w:fldCharType="begin"/>
              </w:r>
              <w:r>
                <w:instrText xml:space="preserve"> HYPERLINK \l "_Toc78" </w:instrText>
              </w:r>
              <w:r>
                <w:fldChar w:fldCharType="separate"/>
              </w:r>
              <w:r>
                <w:rPr>
                  <w:rFonts w:hint="eastAsia" w:ascii="方正小标宋简体" w:hAnsi="方正小标宋简体" w:eastAsia="方正小标宋简体" w:cs="方正小标宋简体"/>
                  <w:szCs w:val="44"/>
                </w:rPr>
                <w:t>红原县妇女联合会部门决算公开编制说明</w:t>
              </w:r>
              <w:r>
                <w:tab/>
              </w:r>
              <w:r>
                <w:fldChar w:fldCharType="begin"/>
              </w:r>
              <w:r>
                <w:instrText xml:space="preserve"> PAGEREF _Toc78 \h </w:instrText>
              </w:r>
              <w:r>
                <w:fldChar w:fldCharType="separate"/>
              </w:r>
              <w:r>
                <w:t>1</w:t>
              </w:r>
              <w:r>
                <w:fldChar w:fldCharType="end"/>
              </w:r>
              <w:r>
                <w:fldChar w:fldCharType="end"/>
              </w:r>
            </w:p>
            <w:p>
              <w:pPr>
                <w:pStyle w:val="13"/>
                <w:tabs>
                  <w:tab w:val="right" w:leader="dot" w:pos="8306"/>
                  <w:tab w:val="clear" w:pos="8296"/>
                </w:tabs>
                <w:rPr>
                  <w:rFonts w:hint="eastAsia"/>
                </w:rPr>
              </w:pPr>
              <w:r>
                <w:fldChar w:fldCharType="begin"/>
              </w:r>
              <w:r>
                <w:instrText xml:space="preserve"> HYPERLINK \l "_Toc24303" </w:instrText>
              </w:r>
              <w:r>
                <w:fldChar w:fldCharType="separate"/>
              </w:r>
              <w:r>
                <w:rPr>
                  <w:rFonts w:hint="eastAsia" w:ascii="黑体" w:hAnsi="黑体" w:eastAsia="黑体"/>
                </w:rPr>
                <w:t>第一部分 部门概况</w:t>
              </w:r>
              <w:r>
                <w:tab/>
              </w:r>
              <w:r>
                <w:fldChar w:fldCharType="begin"/>
              </w:r>
              <w:r>
                <w:instrText xml:space="preserve"> PAGEREF _Toc24303 \h </w:instrText>
              </w:r>
              <w:r>
                <w:fldChar w:fldCharType="separate"/>
              </w:r>
              <w:r>
                <w:t>3</w:t>
              </w:r>
              <w:r>
                <w:fldChar w:fldCharType="end"/>
              </w:r>
              <w:r>
                <w:fldChar w:fldCharType="end"/>
              </w:r>
            </w:p>
            <w:p>
              <w:pPr>
                <w:pStyle w:val="14"/>
                <w:tabs>
                  <w:tab w:val="right" w:leader="dot" w:pos="8306"/>
                  <w:tab w:val="clear" w:pos="8296"/>
                </w:tabs>
              </w:pPr>
              <w:r>
                <w:fldChar w:fldCharType="begin"/>
              </w:r>
              <w:r>
                <w:instrText xml:space="preserve"> HYPERLINK \l "_Toc19691" </w:instrText>
              </w:r>
              <w:r>
                <w:fldChar w:fldCharType="separate"/>
              </w:r>
              <w:r>
                <w:rPr>
                  <w:rFonts w:hint="eastAsia" w:ascii="黑体" w:hAnsi="黑体" w:eastAsia="黑体"/>
                </w:rPr>
                <w:t>一、 部门职责</w:t>
              </w:r>
              <w:r>
                <w:tab/>
              </w:r>
              <w:r>
                <w:fldChar w:fldCharType="begin"/>
              </w:r>
              <w:r>
                <w:instrText xml:space="preserve"> PAGEREF _Toc19691 \h </w:instrText>
              </w:r>
              <w:r>
                <w:fldChar w:fldCharType="separate"/>
              </w:r>
              <w:r>
                <w:t>3</w:t>
              </w:r>
              <w:r>
                <w:fldChar w:fldCharType="end"/>
              </w:r>
              <w:r>
                <w:fldChar w:fldCharType="end"/>
              </w:r>
            </w:p>
            <w:p>
              <w:pPr>
                <w:pStyle w:val="14"/>
                <w:tabs>
                  <w:tab w:val="right" w:leader="dot" w:pos="8306"/>
                  <w:tab w:val="clear" w:pos="8296"/>
                </w:tabs>
              </w:pPr>
              <w:r>
                <w:fldChar w:fldCharType="begin"/>
              </w:r>
              <w:r>
                <w:instrText xml:space="preserve"> HYPERLINK \l "_Toc9868" </w:instrText>
              </w:r>
              <w:r>
                <w:fldChar w:fldCharType="separate"/>
              </w:r>
              <w:r>
                <w:rPr>
                  <w:rFonts w:hint="eastAsia" w:ascii="黑体" w:eastAsia="黑体"/>
                </w:rPr>
                <w:t>二、</w:t>
              </w:r>
              <w:r>
                <w:rPr>
                  <w:rFonts w:hint="eastAsia" w:ascii="黑体" w:hAnsi="黑体" w:eastAsia="黑体"/>
                </w:rPr>
                <w:t>机构设置</w:t>
              </w:r>
              <w:r>
                <w:tab/>
              </w:r>
              <w:r>
                <w:fldChar w:fldCharType="begin"/>
              </w:r>
              <w:r>
                <w:instrText xml:space="preserve"> PAGEREF _Toc9868 \h </w:instrText>
              </w:r>
              <w:r>
                <w:fldChar w:fldCharType="separate"/>
              </w:r>
              <w:r>
                <w:t>3</w:t>
              </w:r>
              <w:r>
                <w:fldChar w:fldCharType="end"/>
              </w:r>
              <w:r>
                <w:fldChar w:fldCharType="end"/>
              </w:r>
            </w:p>
            <w:p>
              <w:pPr>
                <w:pStyle w:val="13"/>
                <w:tabs>
                  <w:tab w:val="right" w:leader="dot" w:pos="8306"/>
                  <w:tab w:val="clear" w:pos="8296"/>
                </w:tabs>
                <w:rPr>
                  <w:rFonts w:hint="eastAsia"/>
                </w:rPr>
              </w:pPr>
              <w:r>
                <w:fldChar w:fldCharType="begin"/>
              </w:r>
              <w:r>
                <w:instrText xml:space="preserve"> HYPERLINK \l "_Toc11100" </w:instrText>
              </w:r>
              <w:r>
                <w:fldChar w:fldCharType="separate"/>
              </w:r>
              <w:r>
                <w:rPr>
                  <w:rFonts w:hint="eastAsia" w:ascii="黑体" w:hAnsi="黑体" w:eastAsia="黑体"/>
                </w:rPr>
                <w:t>第二部分 2023年度</w:t>
              </w:r>
              <w:r>
                <w:rPr>
                  <w:rFonts w:hint="eastAsia" w:ascii="黑体" w:hAnsi="黑体" w:eastAsia="黑体"/>
                  <w:bCs/>
                </w:rPr>
                <w:t>部门决算情况说明</w:t>
              </w:r>
              <w:r>
                <w:tab/>
              </w:r>
              <w:r>
                <w:fldChar w:fldCharType="begin"/>
              </w:r>
              <w:r>
                <w:instrText xml:space="preserve"> PAGEREF _Toc11100 \h </w:instrText>
              </w:r>
              <w:r>
                <w:fldChar w:fldCharType="separate"/>
              </w:r>
              <w:r>
                <w:t>5</w:t>
              </w:r>
              <w:r>
                <w:fldChar w:fldCharType="end"/>
              </w:r>
              <w:r>
                <w:fldChar w:fldCharType="end"/>
              </w:r>
            </w:p>
            <w:p>
              <w:pPr>
                <w:pStyle w:val="14"/>
                <w:tabs>
                  <w:tab w:val="right" w:leader="dot" w:pos="8306"/>
                  <w:tab w:val="clear" w:pos="8296"/>
                </w:tabs>
              </w:pPr>
              <w:r>
                <w:fldChar w:fldCharType="begin"/>
              </w:r>
              <w:r>
                <w:instrText xml:space="preserve"> HYPERLINK \l "_Toc12932" </w:instrText>
              </w:r>
              <w:r>
                <w:fldChar w:fldCharType="separate"/>
              </w:r>
              <w:r>
                <w:rPr>
                  <w:rFonts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_Toc12932 \h </w:instrText>
              </w:r>
              <w:r>
                <w:fldChar w:fldCharType="separate"/>
              </w:r>
              <w:r>
                <w:t>5</w:t>
              </w:r>
              <w:r>
                <w:fldChar w:fldCharType="end"/>
              </w:r>
              <w:r>
                <w:fldChar w:fldCharType="end"/>
              </w:r>
            </w:p>
            <w:p>
              <w:pPr>
                <w:pStyle w:val="14"/>
                <w:tabs>
                  <w:tab w:val="right" w:leader="dot" w:pos="8306"/>
                  <w:tab w:val="clear" w:pos="8296"/>
                </w:tabs>
              </w:pPr>
              <w:r>
                <w:fldChar w:fldCharType="begin"/>
              </w:r>
              <w:r>
                <w:instrText xml:space="preserve"> HYPERLINK \l "_Toc15413" </w:instrText>
              </w:r>
              <w:r>
                <w:fldChar w:fldCharType="separate"/>
              </w:r>
              <w:r>
                <w:rPr>
                  <w:rFonts w:ascii="黑体" w:hAnsi="黑体" w:eastAsia="黑体"/>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_Toc15413 \h </w:instrText>
              </w:r>
              <w:r>
                <w:fldChar w:fldCharType="separate"/>
              </w:r>
              <w:r>
                <w:t>5</w:t>
              </w:r>
              <w:r>
                <w:fldChar w:fldCharType="end"/>
              </w:r>
              <w:r>
                <w:fldChar w:fldCharType="end"/>
              </w:r>
            </w:p>
            <w:p>
              <w:pPr>
                <w:pStyle w:val="14"/>
                <w:tabs>
                  <w:tab w:val="right" w:leader="dot" w:pos="8306"/>
                  <w:tab w:val="clear" w:pos="8296"/>
                </w:tabs>
              </w:pPr>
              <w:r>
                <w:fldChar w:fldCharType="begin"/>
              </w:r>
              <w:r>
                <w:instrText xml:space="preserve"> HYPERLINK \l "_Toc25042" </w:instrText>
              </w:r>
              <w:r>
                <w:fldChar w:fldCharType="separate"/>
              </w:r>
              <w:r>
                <w:rPr>
                  <w:rFonts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_Toc25042 \h </w:instrText>
              </w:r>
              <w:r>
                <w:fldChar w:fldCharType="separate"/>
              </w:r>
              <w:r>
                <w:t>6</w:t>
              </w:r>
              <w:r>
                <w:fldChar w:fldCharType="end"/>
              </w:r>
              <w:r>
                <w:fldChar w:fldCharType="end"/>
              </w:r>
            </w:p>
            <w:p>
              <w:pPr>
                <w:pStyle w:val="14"/>
                <w:tabs>
                  <w:tab w:val="right" w:leader="dot" w:pos="8306"/>
                  <w:tab w:val="clear" w:pos="8296"/>
                </w:tabs>
              </w:pPr>
              <w:r>
                <w:fldChar w:fldCharType="begin"/>
              </w:r>
              <w:r>
                <w:instrText xml:space="preserve"> HYPERLINK \l "_Toc2136" </w:instrText>
              </w:r>
              <w: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_Toc2136 \h </w:instrText>
              </w:r>
              <w:r>
                <w:fldChar w:fldCharType="separate"/>
              </w:r>
              <w:r>
                <w:t>7</w:t>
              </w:r>
              <w:r>
                <w:fldChar w:fldCharType="end"/>
              </w:r>
              <w:r>
                <w:fldChar w:fldCharType="end"/>
              </w:r>
            </w:p>
            <w:p>
              <w:pPr>
                <w:pStyle w:val="14"/>
                <w:tabs>
                  <w:tab w:val="right" w:leader="dot" w:pos="8306"/>
                  <w:tab w:val="clear" w:pos="8296"/>
                </w:tabs>
              </w:pPr>
              <w:r>
                <w:fldChar w:fldCharType="begin"/>
              </w:r>
              <w:r>
                <w:instrText xml:space="preserve"> HYPERLINK \l "_Toc28769" </w:instrText>
              </w:r>
              <w: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_Toc28769 \h </w:instrText>
              </w:r>
              <w:r>
                <w:fldChar w:fldCharType="separate"/>
              </w:r>
              <w:r>
                <w:t>8</w:t>
              </w:r>
              <w:r>
                <w:fldChar w:fldCharType="end"/>
              </w:r>
              <w:r>
                <w:fldChar w:fldCharType="end"/>
              </w:r>
            </w:p>
            <w:p>
              <w:pPr>
                <w:pStyle w:val="14"/>
                <w:tabs>
                  <w:tab w:val="right" w:leader="dot" w:pos="8306"/>
                  <w:tab w:val="clear" w:pos="8296"/>
                </w:tabs>
              </w:pPr>
              <w:r>
                <w:fldChar w:fldCharType="begin"/>
              </w:r>
              <w:r>
                <w:instrText xml:space="preserve"> HYPERLINK \l "_Toc105" </w:instrText>
              </w:r>
              <w: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_Toc105 \h </w:instrText>
              </w:r>
              <w:r>
                <w:fldChar w:fldCharType="separate"/>
              </w:r>
              <w:r>
                <w:t>10</w:t>
              </w:r>
              <w:r>
                <w:fldChar w:fldCharType="end"/>
              </w:r>
              <w:r>
                <w:fldChar w:fldCharType="end"/>
              </w:r>
            </w:p>
            <w:p>
              <w:pPr>
                <w:pStyle w:val="14"/>
                <w:tabs>
                  <w:tab w:val="right" w:leader="dot" w:pos="8306"/>
                  <w:tab w:val="clear" w:pos="8296"/>
                </w:tabs>
              </w:pPr>
              <w:r>
                <w:fldChar w:fldCharType="begin"/>
              </w:r>
              <w:r>
                <w:instrText xml:space="preserve"> HYPERLINK \l "_Toc10011" </w:instrText>
              </w:r>
              <w:r>
                <w:fldChar w:fldCharType="separate"/>
              </w:r>
              <w:r>
                <w:rPr>
                  <w:rFonts w:hint="eastAsia" w:ascii="黑体" w:eastAsia="黑体"/>
                  <w:szCs w:val="32"/>
                </w:rPr>
                <w:t>七、</w:t>
              </w:r>
              <w:r>
                <w:rPr>
                  <w:rFonts w:hint="eastAsia" w:ascii="黑体" w:hAnsi="黑体" w:eastAsia="黑体"/>
                </w:rPr>
                <w:t>财政拨款“三公”经费支出决算情况说明</w:t>
              </w:r>
              <w:r>
                <w:tab/>
              </w:r>
              <w:r>
                <w:fldChar w:fldCharType="begin"/>
              </w:r>
              <w:r>
                <w:instrText xml:space="preserve"> PAGEREF _Toc10011 \h </w:instrText>
              </w:r>
              <w:r>
                <w:fldChar w:fldCharType="separate"/>
              </w:r>
              <w:r>
                <w:t>11</w:t>
              </w:r>
              <w:r>
                <w:fldChar w:fldCharType="end"/>
              </w:r>
              <w:r>
                <w:fldChar w:fldCharType="end"/>
              </w:r>
            </w:p>
            <w:p>
              <w:pPr>
                <w:pStyle w:val="14"/>
                <w:tabs>
                  <w:tab w:val="right" w:leader="dot" w:pos="8306"/>
                  <w:tab w:val="clear" w:pos="8296"/>
                </w:tabs>
              </w:pPr>
              <w:r>
                <w:fldChar w:fldCharType="begin"/>
              </w:r>
              <w:r>
                <w:instrText xml:space="preserve"> HYPERLINK \l "_Toc24856"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_Toc24856 \h </w:instrText>
              </w:r>
              <w:r>
                <w:fldChar w:fldCharType="separate"/>
              </w:r>
              <w:r>
                <w:t>13</w:t>
              </w:r>
              <w:r>
                <w:fldChar w:fldCharType="end"/>
              </w:r>
              <w:r>
                <w:fldChar w:fldCharType="end"/>
              </w:r>
            </w:p>
            <w:p>
              <w:pPr>
                <w:pStyle w:val="14"/>
                <w:tabs>
                  <w:tab w:val="right" w:leader="dot" w:pos="8306"/>
                  <w:tab w:val="clear" w:pos="8296"/>
                </w:tabs>
              </w:pPr>
              <w:r>
                <w:fldChar w:fldCharType="begin"/>
              </w:r>
              <w:r>
                <w:instrText xml:space="preserve"> HYPERLINK \l "_Toc20888" </w:instrText>
              </w:r>
              <w:r>
                <w:fldChar w:fldCharType="separate"/>
              </w:r>
              <w:r>
                <w:rPr>
                  <w:rFonts w:hint="eastAsia" w:ascii="黑体" w:hAnsi="黑体" w:eastAsia="黑体"/>
                </w:rPr>
                <w:t>九、 国有资本经营预算支出决算情况说明</w:t>
              </w:r>
              <w:r>
                <w:tab/>
              </w:r>
              <w:r>
                <w:fldChar w:fldCharType="begin"/>
              </w:r>
              <w:r>
                <w:instrText xml:space="preserve"> PAGEREF _Toc20888 \h </w:instrText>
              </w:r>
              <w:r>
                <w:fldChar w:fldCharType="separate"/>
              </w:r>
              <w:r>
                <w:t>13</w:t>
              </w:r>
              <w:r>
                <w:fldChar w:fldCharType="end"/>
              </w:r>
              <w:r>
                <w:fldChar w:fldCharType="end"/>
              </w:r>
            </w:p>
            <w:p>
              <w:pPr>
                <w:pStyle w:val="14"/>
                <w:tabs>
                  <w:tab w:val="right" w:leader="dot" w:pos="8306"/>
                  <w:tab w:val="clear" w:pos="8296"/>
                </w:tabs>
              </w:pPr>
              <w:r>
                <w:fldChar w:fldCharType="begin"/>
              </w:r>
              <w:r>
                <w:instrText xml:space="preserve"> HYPERLINK \l "_Toc27293" </w:instrText>
              </w:r>
              <w:r>
                <w:fldChar w:fldCharType="separate"/>
              </w:r>
              <w:r>
                <w:rPr>
                  <w:rFonts w:hint="eastAsia" w:ascii="黑体" w:hAnsi="黑体" w:eastAsia="黑体"/>
                </w:rPr>
                <w:t>十、 其他重要事项的情况说明</w:t>
              </w:r>
              <w:r>
                <w:tab/>
              </w:r>
              <w:r>
                <w:fldChar w:fldCharType="begin"/>
              </w:r>
              <w:r>
                <w:instrText xml:space="preserve"> PAGEREF _Toc27293 \h </w:instrText>
              </w:r>
              <w:r>
                <w:fldChar w:fldCharType="separate"/>
              </w:r>
              <w:r>
                <w:t>14</w:t>
              </w:r>
              <w:r>
                <w:fldChar w:fldCharType="end"/>
              </w:r>
              <w:r>
                <w:fldChar w:fldCharType="end"/>
              </w:r>
            </w:p>
            <w:p>
              <w:pPr>
                <w:pStyle w:val="13"/>
                <w:tabs>
                  <w:tab w:val="right" w:leader="dot" w:pos="8306"/>
                  <w:tab w:val="clear" w:pos="8296"/>
                </w:tabs>
                <w:rPr>
                  <w:rFonts w:hint="eastAsia"/>
                </w:rPr>
              </w:pPr>
              <w:r>
                <w:fldChar w:fldCharType="begin"/>
              </w:r>
              <w:r>
                <w:instrText xml:space="preserve"> HYPERLINK \l "_Toc20014" </w:instrText>
              </w:r>
              <w:r>
                <w:fldChar w:fldCharType="separate"/>
              </w:r>
              <w:r>
                <w:rPr>
                  <w:rFonts w:hint="eastAsia"/>
                </w:rPr>
                <w:t>第三部分 名词解释</w:t>
              </w:r>
              <w:r>
                <w:tab/>
              </w:r>
              <w:r>
                <w:fldChar w:fldCharType="begin"/>
              </w:r>
              <w:r>
                <w:instrText xml:space="preserve"> PAGEREF _Toc20014 \h </w:instrText>
              </w:r>
              <w:r>
                <w:fldChar w:fldCharType="separate"/>
              </w:r>
              <w:r>
                <w:t>15</w:t>
              </w:r>
              <w:r>
                <w:fldChar w:fldCharType="end"/>
              </w:r>
              <w:r>
                <w:fldChar w:fldCharType="end"/>
              </w:r>
            </w:p>
            <w:p>
              <w:pPr>
                <w:pStyle w:val="13"/>
                <w:tabs>
                  <w:tab w:val="right" w:leader="dot" w:pos="8306"/>
                  <w:tab w:val="clear" w:pos="8296"/>
                </w:tabs>
                <w:rPr>
                  <w:rFonts w:hint="eastAsia"/>
                </w:rPr>
              </w:pPr>
              <w:r>
                <w:fldChar w:fldCharType="begin"/>
              </w:r>
              <w:r>
                <w:instrText xml:space="preserve"> HYPERLINK \l "_Toc3343" </w:instrText>
              </w:r>
              <w:r>
                <w:fldChar w:fldCharType="separate"/>
              </w:r>
              <w:r>
                <w:rPr>
                  <w:rFonts w:hint="eastAsia" w:ascii="黑体" w:hAnsi="黑体" w:eastAsia="黑体"/>
                </w:rPr>
                <w:t>第四部分 附件</w:t>
              </w:r>
              <w:r>
                <w:tab/>
              </w:r>
              <w:r>
                <w:fldChar w:fldCharType="begin"/>
              </w:r>
              <w:r>
                <w:instrText xml:space="preserve"> PAGEREF _Toc3343 \h </w:instrText>
              </w:r>
              <w:r>
                <w:fldChar w:fldCharType="separate"/>
              </w:r>
              <w:r>
                <w:t>18</w:t>
              </w:r>
              <w:r>
                <w:fldChar w:fldCharType="end"/>
              </w:r>
              <w:r>
                <w:fldChar w:fldCharType="end"/>
              </w:r>
            </w:p>
            <w:p>
              <w:pPr>
                <w:pStyle w:val="13"/>
                <w:tabs>
                  <w:tab w:val="right" w:leader="dot" w:pos="8306"/>
                  <w:tab w:val="clear" w:pos="8296"/>
                </w:tabs>
                <w:rPr>
                  <w:rFonts w:hint="eastAsia"/>
                </w:rPr>
              </w:pPr>
              <w:r>
                <w:fldChar w:fldCharType="begin"/>
              </w:r>
              <w:r>
                <w:instrText xml:space="preserve"> HYPERLINK \l "_Toc29536" </w:instrText>
              </w:r>
              <w:r>
                <w:fldChar w:fldCharType="separate"/>
              </w:r>
              <w:r>
                <w:rPr>
                  <w:rFonts w:hint="eastAsia" w:ascii="黑体" w:hAnsi="黑体" w:eastAsia="黑体"/>
                </w:rPr>
                <w:t>第五部分 附表</w:t>
              </w:r>
              <w:r>
                <w:tab/>
              </w:r>
              <w:r>
                <w:fldChar w:fldCharType="begin"/>
              </w:r>
              <w:r>
                <w:instrText xml:space="preserve"> PAGEREF _Toc29536 \h </w:instrText>
              </w:r>
              <w:r>
                <w:fldChar w:fldCharType="separate"/>
              </w:r>
              <w:r>
                <w:t>30</w:t>
              </w:r>
              <w:r>
                <w:fldChar w:fldCharType="end"/>
              </w:r>
              <w:r>
                <w:fldChar w:fldCharType="end"/>
              </w:r>
            </w:p>
            <w:p>
              <w:r>
                <w:rPr>
                  <w:rFonts w:hint="eastAsia" w:ascii="仿宋_GB2312" w:hAnsi="仿宋_GB2312" w:eastAsia="仿宋_GB2312" w:cs="仿宋_GB2312"/>
                  <w:szCs w:val="28"/>
                </w:rPr>
                <w:fldChar w:fldCharType="end"/>
              </w:r>
            </w:p>
          </w:sdtContent>
        </w:sdt>
      </w:sdtContent>
    </w:sdt>
    <w:p>
      <w:pPr>
        <w:widowControl/>
        <w:spacing w:line="440" w:lineRule="exact"/>
        <w:jc w:val="left"/>
        <w:rPr>
          <w:rFonts w:ascii="仿宋_GB2312" w:eastAsia="仿宋_GB2312"/>
          <w:sz w:val="32"/>
          <w:szCs w:val="32"/>
        </w:rPr>
      </w:pPr>
      <w:bookmarkStart w:id="16" w:name="_Toc15396599"/>
      <w:bookmarkStart w:id="17" w:name="_Toc15377196"/>
      <w:r>
        <w:rPr>
          <w:rFonts w:hint="eastAsia" w:ascii="仿宋_GB2312" w:eastAsia="仿宋_GB2312"/>
          <w:sz w:val="32"/>
          <w:szCs w:val="32"/>
        </w:rPr>
        <w:br w:type="page"/>
      </w:r>
    </w:p>
    <w:p>
      <w:pPr>
        <w:pStyle w:val="5"/>
        <w:jc w:val="center"/>
        <w:rPr>
          <w:rStyle w:val="29"/>
          <w:rFonts w:hint="eastAsia" w:ascii="黑体" w:hAnsi="黑体" w:eastAsia="黑体"/>
          <w:b/>
          <w:bCs w:val="0"/>
        </w:rPr>
      </w:pPr>
      <w:bookmarkStart w:id="18" w:name="_Toc9511"/>
      <w:bookmarkStart w:id="19" w:name="_Toc24303"/>
      <w:r>
        <w:rPr>
          <w:rFonts w:hint="eastAsia" w:ascii="黑体" w:hAnsi="黑体" w:eastAsia="黑体"/>
          <w:b w:val="0"/>
        </w:rPr>
        <w:t xml:space="preserve">第一部分 </w:t>
      </w:r>
      <w:r>
        <w:rPr>
          <w:rStyle w:val="29"/>
          <w:rFonts w:hint="eastAsia" w:ascii="黑体" w:hAnsi="黑体" w:eastAsia="黑体"/>
          <w:b w:val="0"/>
          <w:bCs w:val="0"/>
        </w:rPr>
        <w:t>部门概况</w:t>
      </w:r>
      <w:bookmarkEnd w:id="16"/>
      <w:bookmarkEnd w:id="17"/>
      <w:bookmarkEnd w:id="18"/>
      <w:bookmarkEnd w:id="19"/>
    </w:p>
    <w:p>
      <w:pPr>
        <w:widowControl/>
        <w:jc w:val="left"/>
        <w:rPr>
          <w:rFonts w:ascii="黑体" w:eastAsia="黑体"/>
          <w:sz w:val="32"/>
          <w:szCs w:val="32"/>
        </w:rPr>
      </w:pPr>
    </w:p>
    <w:p>
      <w:pPr>
        <w:pStyle w:val="6"/>
        <w:numPr>
          <w:ilvl w:val="0"/>
          <w:numId w:val="1"/>
        </w:numPr>
        <w:spacing w:line="576" w:lineRule="exact"/>
        <w:rPr>
          <w:rFonts w:hint="eastAsia" w:ascii="黑体" w:hAnsi="黑体" w:eastAsia="黑体"/>
          <w:b w:val="0"/>
        </w:rPr>
      </w:pPr>
      <w:bookmarkStart w:id="20" w:name="_Toc28738"/>
      <w:bookmarkStart w:id="21" w:name="_Toc19691"/>
      <w:r>
        <w:rPr>
          <w:rFonts w:hint="eastAsia" w:ascii="黑体" w:hAnsi="黑体" w:eastAsia="黑体"/>
          <w:b w:val="0"/>
        </w:rPr>
        <w:t>部门职责</w:t>
      </w:r>
      <w:bookmarkEnd w:id="20"/>
      <w:bookmarkEnd w:id="21"/>
    </w:p>
    <w:p>
      <w:pPr>
        <w:pStyle w:val="15"/>
        <w:widowControl/>
        <w:spacing w:before="106" w:beforeAutospacing="0" w:after="106" w:afterAutospacing="0" w:line="576" w:lineRule="exact"/>
        <w:ind w:firstLine="640" w:firstLineChars="200"/>
        <w:rPr>
          <w:rFonts w:ascii="仿宋_GB2312" w:eastAsia="仿宋_GB2312"/>
          <w:kern w:val="2"/>
          <w:sz w:val="32"/>
          <w:szCs w:val="32"/>
        </w:rPr>
      </w:pPr>
      <w:r>
        <w:rPr>
          <w:rFonts w:hint="eastAsia" w:ascii="仿宋_GB2312"/>
          <w:kern w:val="2"/>
          <w:sz w:val="32"/>
          <w:szCs w:val="32"/>
        </w:rPr>
        <w:t>1.</w:t>
      </w:r>
      <w:r>
        <w:rPr>
          <w:rFonts w:hint="eastAsia" w:ascii="仿宋_GB2312" w:eastAsia="仿宋_GB2312"/>
          <w:kern w:val="2"/>
          <w:sz w:val="32"/>
          <w:szCs w:val="32"/>
        </w:rPr>
        <w:t>紧紧围绕党和政府的中心任务开展工作，团结、动员、组织妇女群众投身改革开放和社会主义物质文明、精神文明的建设，积极促进经济发展和社会进步，为维护改革发展稳定的大局服务。</w:t>
      </w:r>
    </w:p>
    <w:p>
      <w:pPr>
        <w:pStyle w:val="15"/>
        <w:widowControl/>
        <w:spacing w:before="106" w:beforeAutospacing="0" w:after="106" w:afterAutospacing="0" w:line="576" w:lineRule="exact"/>
        <w:ind w:firstLine="640" w:firstLineChars="200"/>
        <w:rPr>
          <w:rFonts w:ascii="仿宋_GB2312" w:eastAsia="仿宋_GB2312"/>
          <w:kern w:val="2"/>
          <w:sz w:val="32"/>
          <w:szCs w:val="32"/>
        </w:rPr>
      </w:pPr>
      <w:r>
        <w:rPr>
          <w:rFonts w:hint="eastAsia" w:ascii="仿宋_GB2312"/>
          <w:kern w:val="2"/>
          <w:sz w:val="32"/>
          <w:szCs w:val="32"/>
        </w:rPr>
        <w:t>2.</w:t>
      </w:r>
      <w:r>
        <w:rPr>
          <w:rFonts w:hint="eastAsia" w:ascii="仿宋_GB2312" w:eastAsia="仿宋_GB2312"/>
          <w:kern w:val="2"/>
          <w:sz w:val="32"/>
          <w:szCs w:val="32"/>
        </w:rPr>
        <w:t>教育、引导妇女群众树立正确的世界观、人生观、价值观、弘扬“自尊、自信、自立、自强”的精神，积极推动和开展对妇女的科技文化及生产劳动技能教育，全面提高妇女素质。</w:t>
      </w:r>
    </w:p>
    <w:p>
      <w:pPr>
        <w:pStyle w:val="15"/>
        <w:widowControl/>
        <w:spacing w:before="106" w:beforeAutospacing="0" w:after="106" w:afterAutospacing="0" w:line="20" w:lineRule="atLeast"/>
        <w:ind w:firstLine="640" w:firstLineChars="200"/>
        <w:rPr>
          <w:rFonts w:ascii="仿宋_GB2312" w:eastAsia="仿宋_GB2312"/>
          <w:kern w:val="2"/>
          <w:sz w:val="32"/>
          <w:szCs w:val="32"/>
        </w:rPr>
      </w:pPr>
      <w:r>
        <w:rPr>
          <w:rFonts w:hint="eastAsia" w:ascii="仿宋_GB2312"/>
          <w:kern w:val="2"/>
          <w:sz w:val="32"/>
          <w:szCs w:val="32"/>
        </w:rPr>
        <w:t>3.</w:t>
      </w:r>
      <w:r>
        <w:rPr>
          <w:rFonts w:hint="eastAsia" w:ascii="仿宋_GB2312" w:eastAsia="仿宋_GB2312"/>
          <w:kern w:val="2"/>
          <w:sz w:val="32"/>
          <w:szCs w:val="32"/>
        </w:rPr>
        <w:t>代表妇女参加国家和社会事务的民主管理和民主监督；关注并加强研究妇女切身利益的热点、难点问题。</w:t>
      </w:r>
    </w:p>
    <w:p>
      <w:pPr>
        <w:rPr>
          <w:sz w:val="32"/>
          <w:szCs w:val="32"/>
        </w:rPr>
      </w:pPr>
      <w:r>
        <w:rPr>
          <w:rFonts w:hint="eastAsia" w:ascii="仿宋_GB2312"/>
          <w:sz w:val="32"/>
          <w:szCs w:val="32"/>
        </w:rPr>
        <w:t>4.</w:t>
      </w:r>
      <w:r>
        <w:rPr>
          <w:rFonts w:hint="eastAsia" w:ascii="仿宋_GB2312" w:eastAsia="仿宋_GB2312"/>
          <w:sz w:val="32"/>
          <w:szCs w:val="32"/>
        </w:rPr>
        <w:t>坚持为妇女儿童服务、为基层服务，加强与社会各界的联系、协调推动全社会为妇女儿童办实事，办好事。</w:t>
      </w:r>
    </w:p>
    <w:p>
      <w:pPr>
        <w:pStyle w:val="6"/>
        <w:rPr>
          <w:rStyle w:val="30"/>
          <w:b w:val="0"/>
          <w:bCs w:val="0"/>
        </w:rPr>
      </w:pPr>
      <w:bookmarkStart w:id="22" w:name="_Toc15377200"/>
      <w:bookmarkStart w:id="23" w:name="_Toc9868"/>
      <w:bookmarkStart w:id="24" w:name="_Toc22462"/>
      <w:bookmarkStart w:id="25" w:name="_Toc15396601"/>
      <w:r>
        <w:rPr>
          <w:rFonts w:hint="eastAsia" w:ascii="黑体" w:eastAsia="黑体"/>
          <w:b w:val="0"/>
        </w:rPr>
        <w:t>二、</w:t>
      </w:r>
      <w:r>
        <w:rPr>
          <w:rFonts w:hint="eastAsia" w:ascii="黑体" w:hAnsi="黑体" w:eastAsia="黑体"/>
          <w:b w:val="0"/>
        </w:rPr>
        <w:t>机</w:t>
      </w:r>
      <w:r>
        <w:rPr>
          <w:rStyle w:val="30"/>
          <w:rFonts w:hint="eastAsia" w:ascii="黑体" w:hAnsi="黑体" w:eastAsia="黑体"/>
          <w:b w:val="0"/>
          <w:bCs w:val="0"/>
        </w:rPr>
        <w:t>构设置</w:t>
      </w:r>
      <w:bookmarkEnd w:id="22"/>
      <w:bookmarkEnd w:id="23"/>
      <w:bookmarkEnd w:id="24"/>
      <w:bookmarkEnd w:id="25"/>
    </w:p>
    <w:p>
      <w:pPr>
        <w:ind w:firstLine="640" w:firstLineChars="200"/>
        <w:rPr>
          <w:rFonts w:ascii="仿宋_GB2312" w:eastAsia="仿宋_GB2312"/>
          <w:sz w:val="32"/>
          <w:szCs w:val="32"/>
        </w:rPr>
      </w:pPr>
      <w:r>
        <w:rPr>
          <w:rFonts w:hint="eastAsia" w:ascii="仿宋_GB2312" w:eastAsia="仿宋_GB2312"/>
          <w:sz w:val="32"/>
          <w:szCs w:val="32"/>
        </w:rPr>
        <w:t>红原县妇女联合会下属二级预算单位0个，其中行政单位0个，参照公务员法管理的事业单位0个，其他事业单位0个。</w:t>
      </w:r>
    </w:p>
    <w:p>
      <w:pPr>
        <w:ind w:firstLine="640" w:firstLineChars="200"/>
        <w:rPr>
          <w:rFonts w:ascii="仿宋_GB2312" w:eastAsia="仿宋_GB2312"/>
          <w:sz w:val="32"/>
          <w:szCs w:val="32"/>
        </w:rPr>
      </w:pPr>
      <w:r>
        <w:rPr>
          <w:rFonts w:hint="eastAsia" w:ascii="仿宋_GB2312" w:eastAsia="仿宋_GB2312"/>
          <w:sz w:val="32"/>
          <w:szCs w:val="32"/>
        </w:rPr>
        <w:t>纳入红原县妇女联合会2023年度部门决算编制范围的二级预算单位包括：</w:t>
      </w:r>
    </w:p>
    <w:p>
      <w:pPr>
        <w:ind w:firstLine="640" w:firstLineChars="200"/>
        <w:rPr>
          <w:rFonts w:ascii="仿宋_GB2312" w:eastAsia="仿宋_GB2312"/>
          <w:sz w:val="32"/>
          <w:szCs w:val="32"/>
        </w:rPr>
      </w:pPr>
      <w:r>
        <w:rPr>
          <w:rFonts w:hint="eastAsia" w:ascii="仿宋_GB2312" w:eastAsia="仿宋_GB2312"/>
          <w:sz w:val="32"/>
          <w:szCs w:val="32"/>
        </w:rPr>
        <w:t>无</w:t>
      </w:r>
      <w:r>
        <w:rPr>
          <w:rFonts w:hint="eastAsia" w:ascii="仿宋_GB2312" w:eastAsia="仿宋_GB2312"/>
          <w:sz w:val="32"/>
          <w:szCs w:val="32"/>
        </w:rPr>
        <w:br w:type="page"/>
      </w:r>
    </w:p>
    <w:p>
      <w:pPr>
        <w:pStyle w:val="5"/>
        <w:ind w:right="440"/>
        <w:jc w:val="center"/>
      </w:pPr>
      <w:bookmarkStart w:id="26" w:name="_Toc15377204"/>
      <w:bookmarkStart w:id="27" w:name="_Toc3729"/>
      <w:bookmarkStart w:id="28" w:name="_Toc11100"/>
      <w:bookmarkStart w:id="29" w:name="_Toc15396602"/>
      <w:r>
        <w:rPr>
          <w:rFonts w:hint="eastAsia" w:ascii="黑体" w:hAnsi="黑体" w:eastAsia="黑体"/>
          <w:b w:val="0"/>
        </w:rPr>
        <w:t>第二部分 2023年度</w:t>
      </w:r>
      <w:r>
        <w:rPr>
          <w:rStyle w:val="29"/>
          <w:rFonts w:hint="eastAsia" w:ascii="黑体" w:hAnsi="黑体" w:eastAsia="黑体"/>
          <w:b w:val="0"/>
          <w:bCs/>
        </w:rPr>
        <w:t>部门决算情况说明</w:t>
      </w:r>
      <w:bookmarkEnd w:id="26"/>
      <w:bookmarkEnd w:id="27"/>
      <w:bookmarkEnd w:id="28"/>
      <w:bookmarkEnd w:id="29"/>
    </w:p>
    <w:p>
      <w:pPr>
        <w:pStyle w:val="28"/>
        <w:numPr>
          <w:ilvl w:val="0"/>
          <w:numId w:val="2"/>
        </w:numPr>
        <w:spacing w:line="600" w:lineRule="exact"/>
        <w:ind w:firstLineChars="0"/>
        <w:outlineLvl w:val="1"/>
        <w:rPr>
          <w:rStyle w:val="30"/>
          <w:rFonts w:hint="eastAsia" w:ascii="黑体" w:hAnsi="黑体" w:eastAsia="黑体"/>
          <w:b w:val="0"/>
        </w:rPr>
      </w:pPr>
      <w:bookmarkStart w:id="30" w:name="_Toc15396603"/>
      <w:bookmarkStart w:id="31" w:name="_Toc12932"/>
      <w:bookmarkStart w:id="32" w:name="_Toc15377205"/>
      <w:bookmarkStart w:id="33" w:name="_Toc2870"/>
      <w:r>
        <w:rPr>
          <w:rFonts w:hint="eastAsia" w:ascii="黑体" w:hAnsi="黑体" w:eastAsia="黑体"/>
          <w:sz w:val="32"/>
          <w:szCs w:val="32"/>
        </w:rPr>
        <w:t>收</w:t>
      </w:r>
      <w:r>
        <w:rPr>
          <w:rStyle w:val="30"/>
          <w:rFonts w:hint="eastAsia" w:ascii="黑体" w:hAnsi="黑体" w:eastAsia="黑体"/>
          <w:b w:val="0"/>
        </w:rPr>
        <w:t>入支出决算总体情况说明</w:t>
      </w:r>
      <w:bookmarkEnd w:id="30"/>
      <w:bookmarkEnd w:id="31"/>
      <w:bookmarkEnd w:id="32"/>
      <w:bookmarkEnd w:id="33"/>
    </w:p>
    <w:p>
      <w:pPr>
        <w:spacing w:line="600" w:lineRule="exact"/>
        <w:ind w:firstLine="640" w:firstLineChars="200"/>
        <w:jc w:val="left"/>
        <w:rPr>
          <w:rFonts w:ascii="仿宋_GB2312" w:eastAsia="仿宋_GB2312"/>
          <w:sz w:val="32"/>
          <w:szCs w:val="32"/>
        </w:rPr>
      </w:pPr>
      <w:r>
        <w:rPr>
          <w:rFonts w:hint="eastAsia" w:ascii="仿宋_GB2312" w:eastAsia="仿宋_GB2312"/>
          <w:sz w:val="32"/>
          <w:szCs w:val="32"/>
        </w:rPr>
        <w:t>2023年度收、支总计均为175.66万元。与2022年度相比，收、支总计各增加7.01万元，增长4.15%。主要变动原因是因本年度召开第十三次妇女代表大会、新增家庭教育经费。</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：收、支决算总计变动情况图）（柱状图）</w:t>
      </w:r>
    </w:p>
    <w:p>
      <w:pPr>
        <w:pStyle w:val="20"/>
        <w:outlineLvl w:val="9"/>
        <w:rPr>
          <w:rFonts w:ascii="仿宋_GB2312" w:eastAsia="仿宋_GB2312"/>
          <w:sz w:val="32"/>
          <w:szCs w:val="32"/>
        </w:rPr>
      </w:pPr>
      <w:r>
        <w:rPr>
          <w:rFonts w:hint="eastAsia" w:eastAsia="仿宋"/>
        </w:rPr>
        <w:drawing>
          <wp:inline distT="0" distB="0" distL="114300" distR="114300">
            <wp:extent cx="3431540" cy="3429000"/>
            <wp:effectExtent l="4445" t="5080" r="12065" b="1397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8"/>
        <w:numPr>
          <w:ilvl w:val="0"/>
          <w:numId w:val="2"/>
        </w:numPr>
        <w:spacing w:line="600" w:lineRule="exact"/>
        <w:ind w:firstLineChars="0"/>
        <w:outlineLvl w:val="1"/>
        <w:rPr>
          <w:rStyle w:val="30"/>
          <w:rFonts w:hint="eastAsia" w:ascii="黑体" w:hAnsi="黑体" w:eastAsia="黑体"/>
          <w:b w:val="0"/>
        </w:rPr>
      </w:pPr>
      <w:bookmarkStart w:id="34" w:name="_Toc15413"/>
      <w:bookmarkStart w:id="35" w:name="_Toc15377206"/>
      <w:bookmarkStart w:id="36" w:name="_Toc15396604"/>
      <w:bookmarkStart w:id="37" w:name="_Toc14106"/>
      <w:r>
        <w:rPr>
          <w:rFonts w:hint="eastAsia" w:ascii="黑体" w:hAnsi="黑体" w:eastAsia="黑体"/>
          <w:sz w:val="32"/>
          <w:szCs w:val="32"/>
        </w:rPr>
        <w:t>收</w:t>
      </w:r>
      <w:r>
        <w:rPr>
          <w:rStyle w:val="30"/>
          <w:rFonts w:hint="eastAsia" w:ascii="黑体" w:hAnsi="黑体" w:eastAsia="黑体"/>
          <w:b w:val="0"/>
        </w:rPr>
        <w:t>入决算情况说明</w:t>
      </w:r>
      <w:bookmarkEnd w:id="34"/>
      <w:bookmarkEnd w:id="35"/>
      <w:bookmarkEnd w:id="36"/>
      <w:bookmarkEnd w:id="37"/>
    </w:p>
    <w:p>
      <w:pPr>
        <w:spacing w:line="600" w:lineRule="exact"/>
        <w:ind w:firstLine="640" w:firstLineChars="200"/>
        <w:jc w:val="left"/>
        <w:rPr>
          <w:rFonts w:ascii="仿宋_GB2312" w:eastAsia="仿宋_GB2312"/>
          <w:sz w:val="32"/>
          <w:szCs w:val="32"/>
        </w:rPr>
      </w:pPr>
      <w:r>
        <w:rPr>
          <w:rFonts w:hint="eastAsia" w:ascii="仿宋_GB2312" w:eastAsia="仿宋_GB2312"/>
          <w:sz w:val="32"/>
          <w:szCs w:val="32"/>
        </w:rPr>
        <w:t>2023年度本年收入合计175.66万元，其中：一般公共预算财政拨款收入175.66万元，占100%；政府性基金预算财政拨款收入0万元，占0%；国有资本经营预算财政拨款收入0万元，占0%；上级补助收入0万元，占0%；事业收入0万元，占0%；经营收入0万元，占0%；附属单位上缴收入0万元，占0%；其他收入0万元，占0%。</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（图2：收入决算结构图）（饼状图）</w:t>
      </w:r>
    </w:p>
    <w:p>
      <w:pPr>
        <w:pStyle w:val="20"/>
        <w:outlineLvl w:val="9"/>
        <w:rPr>
          <w:rFonts w:eastAsia="仿宋"/>
        </w:rPr>
      </w:pPr>
      <w:r>
        <w:rPr>
          <w:rFonts w:hint="eastAsia" w:eastAsia="仿宋"/>
        </w:rPr>
        <w:drawing>
          <wp:inline distT="0" distB="0" distL="114300" distR="114300">
            <wp:extent cx="3167380" cy="3201670"/>
            <wp:effectExtent l="4445" t="4445" r="9525" b="1333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640" w:firstLineChars="200"/>
        <w:rPr>
          <w:rFonts w:ascii="仿宋_GB2312" w:eastAsia="仿宋_GB2312"/>
          <w:sz w:val="32"/>
          <w:szCs w:val="32"/>
        </w:rPr>
      </w:pPr>
    </w:p>
    <w:p>
      <w:pPr>
        <w:pStyle w:val="28"/>
        <w:numPr>
          <w:ilvl w:val="0"/>
          <w:numId w:val="2"/>
        </w:numPr>
        <w:spacing w:line="600" w:lineRule="exact"/>
        <w:ind w:firstLineChars="0"/>
        <w:outlineLvl w:val="1"/>
        <w:rPr>
          <w:rStyle w:val="30"/>
          <w:rFonts w:hint="eastAsia" w:ascii="黑体" w:hAnsi="黑体" w:eastAsia="黑体"/>
          <w:b w:val="0"/>
        </w:rPr>
      </w:pPr>
      <w:bookmarkStart w:id="38" w:name="_Toc15396605"/>
      <w:bookmarkStart w:id="39" w:name="_Toc15377207"/>
      <w:bookmarkStart w:id="40" w:name="_Toc32360"/>
      <w:bookmarkStart w:id="41" w:name="_Toc25042"/>
      <w:r>
        <w:rPr>
          <w:rFonts w:hint="eastAsia" w:ascii="黑体" w:hAnsi="黑体" w:eastAsia="黑体"/>
          <w:sz w:val="32"/>
          <w:szCs w:val="32"/>
        </w:rPr>
        <w:t>支</w:t>
      </w:r>
      <w:r>
        <w:rPr>
          <w:rStyle w:val="30"/>
          <w:rFonts w:hint="eastAsia" w:ascii="黑体" w:hAnsi="黑体" w:eastAsia="黑体"/>
          <w:b w:val="0"/>
        </w:rPr>
        <w:t>出决算情况说明</w:t>
      </w:r>
      <w:bookmarkEnd w:id="38"/>
      <w:bookmarkEnd w:id="39"/>
      <w:bookmarkEnd w:id="40"/>
      <w:bookmarkEnd w:id="41"/>
    </w:p>
    <w:p>
      <w:pPr>
        <w:spacing w:line="600" w:lineRule="exact"/>
        <w:ind w:firstLine="640" w:firstLineChars="200"/>
        <w:jc w:val="left"/>
        <w:rPr>
          <w:rFonts w:ascii="仿宋_GB2312" w:eastAsia="仿宋_GB2312"/>
          <w:sz w:val="32"/>
          <w:szCs w:val="32"/>
        </w:rPr>
      </w:pPr>
      <w:r>
        <w:rPr>
          <w:rFonts w:hint="eastAsia" w:ascii="仿宋_GB2312" w:eastAsia="仿宋_GB2312"/>
          <w:sz w:val="32"/>
          <w:szCs w:val="32"/>
        </w:rPr>
        <w:t>2023年度本年支出合计175.66万元，其中：基本支出139.24万元，占79.27%；项目支出36.41万元，占20.72%；上缴上级支出0万元，占0%；经营支出0万元，占0%；对附属单位补助支出0万元，占0%。</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（图3：支出决算结构图）（饼状图）</w:t>
      </w:r>
    </w:p>
    <w:p>
      <w:pPr>
        <w:pStyle w:val="20"/>
        <w:outlineLvl w:val="9"/>
        <w:rPr>
          <w:rFonts w:eastAsia="仿宋"/>
        </w:rPr>
      </w:pPr>
      <w:r>
        <w:rPr>
          <w:rFonts w:hint="eastAsia" w:eastAsia="仿宋"/>
        </w:rPr>
        <w:drawing>
          <wp:inline distT="0" distB="0" distL="114300" distR="114300">
            <wp:extent cx="3562985" cy="3904615"/>
            <wp:effectExtent l="5080" t="4445" r="13335" b="1524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rPr>
          <w:rFonts w:ascii="仿宋_GB2312" w:eastAsia="仿宋_GB2312"/>
          <w:sz w:val="32"/>
          <w:szCs w:val="32"/>
        </w:rPr>
      </w:pPr>
    </w:p>
    <w:p>
      <w:pPr>
        <w:spacing w:line="600" w:lineRule="exact"/>
        <w:ind w:firstLine="640" w:firstLineChars="200"/>
        <w:outlineLvl w:val="1"/>
        <w:rPr>
          <w:rStyle w:val="30"/>
          <w:rFonts w:hint="eastAsia" w:ascii="黑体" w:hAnsi="黑体" w:eastAsia="黑体"/>
          <w:b w:val="0"/>
        </w:rPr>
      </w:pPr>
      <w:bookmarkStart w:id="42" w:name="_Toc15396606"/>
      <w:bookmarkStart w:id="43" w:name="_Toc15377208"/>
      <w:bookmarkStart w:id="44" w:name="_Toc30268"/>
      <w:bookmarkStart w:id="45" w:name="_Toc2136"/>
      <w:r>
        <w:rPr>
          <w:rFonts w:hint="eastAsia" w:ascii="黑体" w:hAnsi="黑体" w:eastAsia="黑体"/>
          <w:sz w:val="32"/>
          <w:szCs w:val="32"/>
        </w:rPr>
        <w:t>四、财</w:t>
      </w:r>
      <w:r>
        <w:rPr>
          <w:rStyle w:val="30"/>
          <w:rFonts w:hint="eastAsia" w:ascii="黑体" w:hAnsi="黑体" w:eastAsia="黑体"/>
          <w:b w:val="0"/>
        </w:rPr>
        <w:t>政拨款收入支出决算总体情况说明</w:t>
      </w:r>
      <w:bookmarkEnd w:id="42"/>
      <w:bookmarkEnd w:id="43"/>
      <w:bookmarkEnd w:id="44"/>
      <w:bookmarkEnd w:id="45"/>
    </w:p>
    <w:p>
      <w:pPr>
        <w:spacing w:line="600" w:lineRule="exact"/>
        <w:ind w:firstLine="640" w:firstLineChars="200"/>
        <w:jc w:val="left"/>
        <w:rPr>
          <w:rFonts w:ascii="仿宋_GB2312" w:eastAsia="仿宋_GB2312"/>
          <w:sz w:val="32"/>
          <w:szCs w:val="32"/>
        </w:rPr>
      </w:pPr>
      <w:r>
        <w:rPr>
          <w:rFonts w:hint="eastAsia" w:ascii="仿宋_GB2312" w:eastAsia="仿宋_GB2312"/>
          <w:sz w:val="32"/>
          <w:szCs w:val="32"/>
        </w:rPr>
        <w:t>2023年度财政拨款收、支总计均为175.66万元。与2022年度相比，财政拨款收、支总计各增加7.01万元，增长4.15%。主要变动原因是因本年召开第十三次妇女代表大会，新增家庭教育经费。</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（图4：财政拨款收、支决算总计变动情况）（柱状图）</w:t>
      </w:r>
    </w:p>
    <w:p>
      <w:pPr>
        <w:pStyle w:val="20"/>
        <w:outlineLvl w:val="9"/>
        <w:rPr>
          <w:rFonts w:hint="eastAsia" w:ascii="仿宋" w:hAnsi="仿宋" w:eastAsia="仿宋"/>
          <w:sz w:val="32"/>
          <w:szCs w:val="32"/>
        </w:rPr>
      </w:pPr>
      <w:r>
        <w:rPr>
          <w:rFonts w:hint="eastAsia" w:eastAsia="仿宋"/>
        </w:rPr>
        <w:drawing>
          <wp:inline distT="0" distB="0" distL="114300" distR="114300">
            <wp:extent cx="2773045" cy="2931160"/>
            <wp:effectExtent l="4445" t="4445" r="22860" b="1714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outlineLvl w:val="1"/>
        <w:rPr>
          <w:rStyle w:val="30"/>
          <w:rFonts w:hint="eastAsia" w:ascii="黑体" w:hAnsi="黑体" w:eastAsia="黑体"/>
          <w:b w:val="0"/>
        </w:rPr>
      </w:pPr>
      <w:bookmarkStart w:id="46" w:name="_Toc15377209"/>
      <w:bookmarkStart w:id="47" w:name="_Toc15396607"/>
      <w:bookmarkStart w:id="48" w:name="_Toc22907"/>
      <w:bookmarkStart w:id="49" w:name="_Toc28769"/>
      <w:r>
        <w:rPr>
          <w:rFonts w:hint="eastAsia" w:ascii="黑体" w:hAnsi="黑体" w:eastAsia="黑体"/>
          <w:sz w:val="32"/>
          <w:szCs w:val="32"/>
        </w:rPr>
        <w:t>五、</w:t>
      </w:r>
      <w:r>
        <w:rPr>
          <w:rFonts w:hint="eastAsia" w:ascii="黑体" w:hAnsi="黑体" w:eastAsia="黑体"/>
          <w:b/>
          <w:sz w:val="32"/>
          <w:szCs w:val="32"/>
        </w:rPr>
        <w:t>一</w:t>
      </w:r>
      <w:r>
        <w:rPr>
          <w:rStyle w:val="30"/>
          <w:rFonts w:hint="eastAsia" w:ascii="黑体" w:hAnsi="黑体" w:eastAsia="黑体"/>
          <w:b w:val="0"/>
        </w:rPr>
        <w:t>般公共预算财政拨款支出决算情况说明</w:t>
      </w:r>
      <w:bookmarkEnd w:id="46"/>
      <w:bookmarkEnd w:id="47"/>
      <w:bookmarkEnd w:id="48"/>
      <w:bookmarkEnd w:id="49"/>
    </w:p>
    <w:p>
      <w:pPr>
        <w:spacing w:line="600" w:lineRule="exact"/>
        <w:ind w:firstLine="643" w:firstLineChars="200"/>
        <w:outlineLvl w:val="2"/>
        <w:rPr>
          <w:rFonts w:hint="eastAsia" w:ascii="仿宋" w:hAnsi="仿宋" w:eastAsia="仿宋"/>
          <w:b/>
          <w:sz w:val="32"/>
          <w:szCs w:val="32"/>
        </w:rPr>
      </w:pPr>
      <w:bookmarkStart w:id="50" w:name="_Toc15377210"/>
      <w:bookmarkStart w:id="51" w:name="_Toc29627"/>
      <w:r>
        <w:rPr>
          <w:rFonts w:hint="eastAsia" w:ascii="仿宋" w:hAnsi="仿宋" w:eastAsia="仿宋"/>
          <w:b/>
          <w:sz w:val="32"/>
          <w:szCs w:val="32"/>
        </w:rPr>
        <w:t>（一）一般公共预算财政拨款支出决算总体情况</w:t>
      </w:r>
      <w:bookmarkEnd w:id="50"/>
      <w:bookmarkEnd w:id="51"/>
    </w:p>
    <w:p>
      <w:pPr>
        <w:spacing w:line="600" w:lineRule="exact"/>
        <w:ind w:firstLine="640" w:firstLineChars="200"/>
        <w:jc w:val="left"/>
        <w:rPr>
          <w:rFonts w:ascii="仿宋_GB2312" w:eastAsia="仿宋_GB2312"/>
          <w:sz w:val="32"/>
          <w:szCs w:val="32"/>
        </w:rPr>
      </w:pPr>
      <w:r>
        <w:rPr>
          <w:rFonts w:hint="eastAsia" w:ascii="仿宋_GB2312" w:eastAsia="仿宋_GB2312"/>
          <w:sz w:val="32"/>
          <w:szCs w:val="32"/>
        </w:rPr>
        <w:t>2023年度一般公共预算财政拨款支出175.66万元，占本年支出合计的100%。与2022年度相比，一般公共预算财政拨款支出增加7.01万元，增长4..15%。主要变动原因是因本年召开第十三次妇女代表大会，新增家庭教育经费。</w:t>
      </w:r>
    </w:p>
    <w:p>
      <w:pPr>
        <w:spacing w:line="600" w:lineRule="exact"/>
        <w:ind w:firstLine="640" w:firstLineChars="200"/>
        <w:jc w:val="left"/>
        <w:rPr>
          <w:rFonts w:ascii="仿宋_GB2312" w:eastAsia="仿宋_GB2312"/>
          <w:sz w:val="32"/>
          <w:szCs w:val="32"/>
        </w:rPr>
      </w:pPr>
      <w:r>
        <w:rPr>
          <w:rFonts w:hint="eastAsia" w:ascii="仿宋_GB2312" w:eastAsia="仿宋_GB2312"/>
          <w:sz w:val="32"/>
          <w:szCs w:val="32"/>
        </w:rPr>
        <w:t>（图5：一般公共预算财政拨款支出决算变动情况）（柱状图）</w:t>
      </w:r>
    </w:p>
    <w:p>
      <w:pPr>
        <w:spacing w:line="600" w:lineRule="exact"/>
        <w:ind w:firstLine="640" w:firstLineChars="200"/>
        <w:jc w:val="left"/>
        <w:rPr>
          <w:rFonts w:ascii="仿宋_GB2312" w:eastAsia="仿宋_GB2312"/>
          <w:sz w:val="32"/>
          <w:szCs w:val="32"/>
        </w:rPr>
      </w:pPr>
    </w:p>
    <w:p>
      <w:pPr>
        <w:spacing w:line="600" w:lineRule="exact"/>
        <w:ind w:firstLine="640" w:firstLineChars="200"/>
        <w:jc w:val="left"/>
        <w:rPr>
          <w:rFonts w:ascii="仿宋_GB2312" w:eastAsia="仿宋_GB2312"/>
          <w:sz w:val="32"/>
          <w:szCs w:val="32"/>
        </w:rPr>
      </w:pPr>
    </w:p>
    <w:p>
      <w:pPr>
        <w:spacing w:line="600" w:lineRule="exact"/>
        <w:ind w:firstLine="640" w:firstLineChars="200"/>
        <w:jc w:val="left"/>
        <w:rPr>
          <w:rFonts w:ascii="仿宋_GB2312" w:eastAsia="仿宋_GB2312"/>
          <w:sz w:val="32"/>
          <w:szCs w:val="32"/>
        </w:rPr>
      </w:pPr>
    </w:p>
    <w:p>
      <w:pPr>
        <w:spacing w:line="600" w:lineRule="exact"/>
        <w:ind w:firstLine="640" w:firstLineChars="200"/>
        <w:jc w:val="left"/>
        <w:rPr>
          <w:rFonts w:ascii="仿宋_GB2312" w:eastAsia="仿宋_GB2312"/>
          <w:sz w:val="32"/>
          <w:szCs w:val="32"/>
        </w:rPr>
      </w:pPr>
    </w:p>
    <w:p>
      <w:pPr>
        <w:spacing w:line="600" w:lineRule="exact"/>
        <w:ind w:firstLine="640" w:firstLineChars="200"/>
        <w:jc w:val="left"/>
        <w:rPr>
          <w:rFonts w:ascii="仿宋_GB2312" w:eastAsia="仿宋_GB2312"/>
          <w:sz w:val="32"/>
          <w:szCs w:val="32"/>
        </w:rPr>
      </w:pPr>
    </w:p>
    <w:p>
      <w:pPr>
        <w:spacing w:line="600" w:lineRule="exact"/>
        <w:ind w:firstLine="640" w:firstLineChars="200"/>
        <w:jc w:val="left"/>
        <w:rPr>
          <w:rFonts w:ascii="仿宋_GB2312" w:eastAsia="仿宋_GB2312"/>
          <w:sz w:val="32"/>
          <w:szCs w:val="32"/>
        </w:rPr>
      </w:pPr>
    </w:p>
    <w:p>
      <w:pPr>
        <w:spacing w:line="600" w:lineRule="exact"/>
        <w:ind w:firstLine="420" w:firstLineChars="200"/>
        <w:jc w:val="left"/>
        <w:rPr>
          <w:rFonts w:hint="eastAsia" w:ascii="仿宋" w:hAnsi="仿宋" w:eastAsia="仿宋"/>
          <w:sz w:val="32"/>
          <w:szCs w:val="32"/>
        </w:rPr>
      </w:pPr>
      <w:r>
        <w:rPr>
          <w:rFonts w:hint="eastAsia" w:eastAsia="仿宋"/>
        </w:rPr>
        <w:drawing>
          <wp:anchor distT="0" distB="0" distL="114300" distR="114300" simplePos="0" relativeHeight="251659264" behindDoc="0" locked="0" layoutInCell="1" allowOverlap="1">
            <wp:simplePos x="0" y="0"/>
            <wp:positionH relativeFrom="column">
              <wp:posOffset>271780</wp:posOffset>
            </wp:positionH>
            <wp:positionV relativeFrom="paragraph">
              <wp:posOffset>-1938655</wp:posOffset>
            </wp:positionV>
            <wp:extent cx="2985135" cy="2229485"/>
            <wp:effectExtent l="5080" t="4445" r="19685" b="13970"/>
            <wp:wrapNone/>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3" w:firstLineChars="200"/>
        <w:outlineLvl w:val="2"/>
        <w:rPr>
          <w:rFonts w:hint="eastAsia" w:ascii="仿宋" w:hAnsi="仿宋" w:eastAsia="仿宋"/>
          <w:b/>
          <w:sz w:val="32"/>
          <w:szCs w:val="32"/>
        </w:rPr>
      </w:pPr>
      <w:bookmarkStart w:id="52" w:name="_Toc11376"/>
      <w:bookmarkStart w:id="53" w:name="_Toc15377211"/>
      <w:r>
        <w:rPr>
          <w:rFonts w:hint="eastAsia" w:ascii="仿宋" w:hAnsi="仿宋" w:eastAsia="仿宋"/>
          <w:b/>
          <w:sz w:val="32"/>
          <w:szCs w:val="32"/>
        </w:rPr>
        <w:t>（二）一般公共预算财政拨款支出决算结构情况</w:t>
      </w:r>
      <w:bookmarkEnd w:id="52"/>
      <w:bookmarkEnd w:id="53"/>
    </w:p>
    <w:p>
      <w:pPr>
        <w:spacing w:line="600" w:lineRule="exact"/>
        <w:ind w:firstLine="640" w:firstLineChars="200"/>
        <w:jc w:val="left"/>
        <w:rPr>
          <w:rFonts w:ascii="仿宋_GB2312" w:eastAsia="仿宋_GB2312"/>
          <w:sz w:val="32"/>
          <w:szCs w:val="32"/>
        </w:rPr>
      </w:pPr>
      <w:r>
        <w:rPr>
          <w:rFonts w:hint="eastAsia" w:ascii="仿宋_GB2312" w:eastAsia="仿宋_GB2312"/>
          <w:sz w:val="32"/>
          <w:szCs w:val="32"/>
        </w:rPr>
        <w:t>2023年度一般公共预算财政拨款支出175.66万元，主要用于以下方面:一般公共服务支出141.61万元，占80.62%；社会保障和就业支出17.83万元，占10.15%；卫生健康支出7.57万元，占4.31%；住房保障支出8.65万元，占4.92%。</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（图6：一般公共预算财政拨款支出决算结构）（饼状图）</w:t>
      </w:r>
    </w:p>
    <w:p>
      <w:pPr>
        <w:pStyle w:val="20"/>
        <w:outlineLvl w:val="9"/>
        <w:rPr>
          <w:rFonts w:eastAsia="仿宋"/>
        </w:rPr>
      </w:pPr>
      <w:r>
        <w:rPr>
          <w:rFonts w:hint="eastAsia" w:eastAsia="仿宋"/>
        </w:rPr>
        <w:drawing>
          <wp:inline distT="0" distB="0" distL="114300" distR="114300">
            <wp:extent cx="3453130" cy="3517265"/>
            <wp:effectExtent l="4445" t="5080" r="9525" b="2095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rPr>
          <w:rFonts w:hint="eastAsia" w:ascii="仿宋" w:hAnsi="仿宋" w:eastAsia="仿宋"/>
          <w:sz w:val="32"/>
          <w:szCs w:val="32"/>
        </w:rPr>
      </w:pPr>
    </w:p>
    <w:p>
      <w:pPr>
        <w:spacing w:line="600" w:lineRule="exact"/>
        <w:ind w:firstLine="643" w:firstLineChars="200"/>
        <w:outlineLvl w:val="2"/>
        <w:rPr>
          <w:rFonts w:hint="eastAsia" w:ascii="仿宋" w:hAnsi="仿宋" w:eastAsia="仿宋"/>
          <w:b/>
          <w:sz w:val="32"/>
          <w:szCs w:val="32"/>
        </w:rPr>
      </w:pPr>
      <w:bookmarkStart w:id="54" w:name="_Toc15377212"/>
      <w:bookmarkStart w:id="55" w:name="_Toc12704"/>
      <w:r>
        <w:rPr>
          <w:rFonts w:hint="eastAsia" w:ascii="仿宋" w:hAnsi="仿宋" w:eastAsia="仿宋"/>
          <w:b/>
          <w:sz w:val="32"/>
          <w:szCs w:val="32"/>
        </w:rPr>
        <w:t>（三）一般公共预算财政拨款支出决算具体情况</w:t>
      </w:r>
      <w:bookmarkEnd w:id="54"/>
      <w:bookmarkEnd w:id="55"/>
    </w:p>
    <w:p>
      <w:pPr>
        <w:spacing w:line="600" w:lineRule="exact"/>
        <w:ind w:firstLine="643" w:firstLineChars="200"/>
        <w:outlineLvl w:val="2"/>
        <w:rPr>
          <w:rFonts w:hint="eastAsia" w:ascii="仿宋" w:hAnsi="仿宋" w:eastAsia="仿宋"/>
          <w:sz w:val="32"/>
          <w:szCs w:val="32"/>
        </w:rPr>
      </w:pPr>
      <w:bookmarkStart w:id="56" w:name="_Toc15377444"/>
      <w:bookmarkStart w:id="57" w:name="_Toc15378460"/>
      <w:bookmarkStart w:id="58" w:name="_Toc15377213"/>
      <w:bookmarkStart w:id="59" w:name="_Toc789"/>
      <w:r>
        <w:rPr>
          <w:rFonts w:hint="eastAsia" w:ascii="仿宋" w:hAnsi="仿宋" w:eastAsia="仿宋"/>
          <w:b/>
          <w:sz w:val="32"/>
          <w:szCs w:val="32"/>
        </w:rPr>
        <w:t>2023年度一般公共预算支出决算数为</w:t>
      </w:r>
      <w:r>
        <w:rPr>
          <w:sz w:val="32"/>
          <w:szCs w:val="32"/>
        </w:rPr>
        <w:t>175.66</w:t>
      </w:r>
      <w:r>
        <w:rPr>
          <w:rFonts w:hint="eastAsia" w:ascii="仿宋" w:hAnsi="仿宋" w:eastAsia="仿宋"/>
          <w:sz w:val="32"/>
          <w:szCs w:val="32"/>
        </w:rPr>
        <w:t>，</w:t>
      </w:r>
      <w:r>
        <w:rPr>
          <w:rStyle w:val="18"/>
          <w:rFonts w:hint="eastAsia" w:ascii="仿宋" w:hAnsi="仿宋" w:eastAsia="仿宋"/>
          <w:bCs/>
          <w:sz w:val="32"/>
          <w:szCs w:val="32"/>
        </w:rPr>
        <w:t>完成预算100</w:t>
      </w:r>
      <w:r>
        <w:rPr>
          <w:rStyle w:val="18"/>
          <w:rFonts w:ascii="仿宋" w:hAnsi="仿宋" w:eastAsia="仿宋"/>
          <w:bCs/>
          <w:sz w:val="32"/>
          <w:szCs w:val="32"/>
        </w:rPr>
        <w:t>%</w:t>
      </w:r>
      <w:r>
        <w:rPr>
          <w:rStyle w:val="18"/>
          <w:rFonts w:hint="eastAsia" w:ascii="仿宋" w:hAnsi="仿宋" w:eastAsia="仿宋"/>
          <w:bCs/>
          <w:sz w:val="32"/>
          <w:szCs w:val="32"/>
        </w:rPr>
        <w:t>。其中：</w:t>
      </w:r>
      <w:bookmarkEnd w:id="56"/>
      <w:bookmarkEnd w:id="57"/>
      <w:bookmarkEnd w:id="58"/>
      <w:bookmarkEnd w:id="59"/>
    </w:p>
    <w:p>
      <w:pPr>
        <w:spacing w:line="600" w:lineRule="exact"/>
        <w:ind w:firstLine="640" w:firstLineChars="200"/>
        <w:jc w:val="left"/>
        <w:rPr>
          <w:rFonts w:ascii="仿宋_GB2312" w:eastAsia="仿宋_GB2312"/>
          <w:sz w:val="32"/>
          <w:szCs w:val="32"/>
        </w:rPr>
      </w:pPr>
      <w:r>
        <w:rPr>
          <w:rFonts w:hint="eastAsia" w:ascii="仿宋_GB2312" w:eastAsia="仿宋_GB2312"/>
          <w:sz w:val="32"/>
          <w:szCs w:val="32"/>
        </w:rPr>
        <w:t>一般公共服务201: 支出决算为141.61万元，完成预算80.62%，决算数等于预算数。</w:t>
      </w:r>
    </w:p>
    <w:p>
      <w:pPr>
        <w:spacing w:line="600" w:lineRule="exact"/>
        <w:ind w:firstLine="640" w:firstLineChars="200"/>
        <w:jc w:val="left"/>
        <w:rPr>
          <w:rFonts w:ascii="仿宋_GB2312" w:eastAsia="仿宋_GB2312"/>
          <w:sz w:val="32"/>
          <w:szCs w:val="32"/>
        </w:rPr>
      </w:pPr>
      <w:r>
        <w:rPr>
          <w:rFonts w:hint="eastAsia" w:ascii="仿宋_GB2312" w:eastAsia="仿宋_GB2312"/>
          <w:sz w:val="32"/>
          <w:szCs w:val="32"/>
        </w:rPr>
        <w:t>行政运行2012901：支出决算为105.19万元，完成预算74.28%，决算数等于预算数。</w:t>
      </w:r>
    </w:p>
    <w:p>
      <w:pPr>
        <w:spacing w:line="600" w:lineRule="exact"/>
        <w:ind w:firstLine="640" w:firstLineChars="200"/>
        <w:jc w:val="left"/>
        <w:rPr>
          <w:rFonts w:ascii="仿宋_GB2312" w:eastAsia="仿宋_GB2312"/>
          <w:sz w:val="32"/>
          <w:szCs w:val="32"/>
        </w:rPr>
      </w:pPr>
      <w:r>
        <w:rPr>
          <w:rFonts w:hint="eastAsia" w:ascii="仿宋_GB2312" w:eastAsia="仿宋_GB2312"/>
          <w:sz w:val="32"/>
          <w:szCs w:val="32"/>
        </w:rPr>
        <w:t>一般行政管理事务2012902：支出决算为18.27万元，完成预算12.9%，决算数等于预算数。</w:t>
      </w:r>
    </w:p>
    <w:p>
      <w:pPr>
        <w:spacing w:line="600" w:lineRule="exact"/>
        <w:ind w:firstLine="640" w:firstLineChars="200"/>
        <w:jc w:val="left"/>
        <w:rPr>
          <w:rFonts w:ascii="仿宋_GB2312" w:eastAsia="仿宋_GB2312"/>
          <w:sz w:val="32"/>
          <w:szCs w:val="32"/>
        </w:rPr>
      </w:pPr>
      <w:r>
        <w:rPr>
          <w:rFonts w:hint="eastAsia" w:ascii="仿宋_GB2312" w:eastAsia="仿宋_GB2312"/>
          <w:sz w:val="32"/>
          <w:szCs w:val="32"/>
        </w:rPr>
        <w:t>其他群众团体事务支出2012999：支出决算为18.15万元，完成预算12.82%，决算数等于预算数。</w:t>
      </w:r>
    </w:p>
    <w:p>
      <w:pPr>
        <w:spacing w:line="600" w:lineRule="exact"/>
        <w:ind w:firstLine="640" w:firstLineChars="200"/>
        <w:jc w:val="left"/>
        <w:rPr>
          <w:rFonts w:ascii="仿宋_GB2312" w:eastAsia="仿宋_GB2312"/>
          <w:sz w:val="32"/>
          <w:szCs w:val="32"/>
        </w:rPr>
      </w:pPr>
      <w:r>
        <w:rPr>
          <w:rFonts w:hint="eastAsia" w:ascii="仿宋_GB2312" w:eastAsia="仿宋_GB2312"/>
          <w:sz w:val="32"/>
          <w:szCs w:val="32"/>
        </w:rPr>
        <w:t>2.社会保障和就业208: 支出决算为17.83万元，完成预算10.15%，决算数等于预算数。</w:t>
      </w:r>
    </w:p>
    <w:p>
      <w:pPr>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机关事业单位基本养老保险缴费支出2080505：支出决算为11.89万元，完成预算66.69%，决算数等于预算数。</w:t>
      </w:r>
    </w:p>
    <w:p>
      <w:pPr>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机关事业单位职业年金缴费支出2080506：支出决算为5.94万元，完成预算33.31%，决算数等于预算数。</w:t>
      </w:r>
    </w:p>
    <w:p>
      <w:pPr>
        <w:spacing w:line="600" w:lineRule="exact"/>
        <w:ind w:firstLine="640" w:firstLineChars="200"/>
        <w:jc w:val="left"/>
        <w:rPr>
          <w:rFonts w:ascii="仿宋_GB2312" w:eastAsia="仿宋_GB2312"/>
          <w:sz w:val="32"/>
          <w:szCs w:val="32"/>
        </w:rPr>
      </w:pPr>
      <w:r>
        <w:rPr>
          <w:rFonts w:hint="eastAsia" w:ascii="仿宋_GB2312" w:eastAsia="仿宋_GB2312"/>
          <w:sz w:val="32"/>
          <w:szCs w:val="32"/>
        </w:rPr>
        <w:t>3.卫生健康210:支出决算为7.57万元，完成预算4.31%，决算数等于预算数。</w:t>
      </w:r>
    </w:p>
    <w:p>
      <w:pPr>
        <w:spacing w:line="600" w:lineRule="exact"/>
        <w:ind w:firstLine="640" w:firstLineChars="200"/>
        <w:jc w:val="left"/>
        <w:rPr>
          <w:rFonts w:ascii="仿宋_GB2312" w:eastAsia="仿宋_GB2312"/>
          <w:sz w:val="32"/>
          <w:szCs w:val="32"/>
        </w:rPr>
      </w:pPr>
      <w:r>
        <w:rPr>
          <w:rFonts w:hint="eastAsia" w:ascii="仿宋_GB2312" w:eastAsia="仿宋_GB2312"/>
          <w:sz w:val="32"/>
          <w:szCs w:val="32"/>
        </w:rPr>
        <w:t>行政单位医疗2101101：支出决算为6.05万元，完成预算79.92%，决算数等于预算数。</w:t>
      </w:r>
    </w:p>
    <w:p>
      <w:pPr>
        <w:spacing w:line="600" w:lineRule="exact"/>
        <w:ind w:firstLine="640" w:firstLineChars="200"/>
        <w:jc w:val="left"/>
        <w:rPr>
          <w:rFonts w:ascii="仿宋_GB2312" w:eastAsia="仿宋_GB2312"/>
          <w:sz w:val="32"/>
          <w:szCs w:val="32"/>
        </w:rPr>
      </w:pPr>
      <w:r>
        <w:rPr>
          <w:rFonts w:hint="eastAsia" w:ascii="仿宋_GB2312" w:eastAsia="仿宋_GB2312"/>
          <w:sz w:val="32"/>
          <w:szCs w:val="32"/>
        </w:rPr>
        <w:t>公务员医疗补助2101103：支出决算为1.52万元，完成预算20.08%，决算数等于预算数。</w:t>
      </w:r>
    </w:p>
    <w:p>
      <w:pPr>
        <w:spacing w:line="600" w:lineRule="exact"/>
        <w:ind w:firstLine="640" w:firstLineChars="200"/>
        <w:jc w:val="left"/>
        <w:rPr>
          <w:rFonts w:ascii="仿宋_GB2312" w:eastAsia="仿宋_GB2312"/>
          <w:sz w:val="32"/>
          <w:szCs w:val="32"/>
        </w:rPr>
      </w:pPr>
      <w:r>
        <w:rPr>
          <w:rFonts w:hint="eastAsia" w:ascii="仿宋_GB2312" w:eastAsia="仿宋_GB2312"/>
          <w:sz w:val="32"/>
          <w:szCs w:val="32"/>
        </w:rPr>
        <w:t>4.住房保障支出221：支出决算为8.65万元，完成预算4.92%，决算数等于预算数。</w:t>
      </w:r>
    </w:p>
    <w:p>
      <w:pPr>
        <w:spacing w:line="600" w:lineRule="exact"/>
        <w:ind w:firstLine="640" w:firstLineChars="200"/>
        <w:jc w:val="left"/>
        <w:rPr>
          <w:rFonts w:ascii="仿宋_GB2312" w:eastAsia="仿宋_GB2312"/>
          <w:sz w:val="32"/>
          <w:szCs w:val="32"/>
        </w:rPr>
      </w:pPr>
      <w:r>
        <w:rPr>
          <w:rFonts w:hint="eastAsia" w:ascii="仿宋_GB2312" w:eastAsia="仿宋_GB2312"/>
          <w:sz w:val="32"/>
          <w:szCs w:val="32"/>
        </w:rPr>
        <w:t>住房公积金2210201：支出决算为8.65万元，完成预算100%，决算数等于预算数。</w:t>
      </w:r>
    </w:p>
    <w:p>
      <w:pPr>
        <w:tabs>
          <w:tab w:val="right" w:pos="8306"/>
        </w:tabs>
        <w:spacing w:line="600" w:lineRule="exact"/>
        <w:ind w:firstLine="640"/>
        <w:outlineLvl w:val="1"/>
        <w:rPr>
          <w:rStyle w:val="30"/>
        </w:rPr>
      </w:pPr>
      <w:bookmarkStart w:id="60" w:name="_Toc15396608"/>
      <w:bookmarkStart w:id="61" w:name="_Toc24285"/>
      <w:bookmarkStart w:id="62" w:name="_Toc105"/>
      <w:bookmarkStart w:id="63" w:name="_Toc15377214"/>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30"/>
          <w:rFonts w:hint="eastAsia" w:ascii="黑体" w:hAnsi="黑体" w:eastAsia="黑体"/>
          <w:b w:val="0"/>
        </w:rPr>
        <w:t>般公共预算财政拨款基本支出决算情况说明</w:t>
      </w:r>
      <w:bookmarkEnd w:id="60"/>
      <w:bookmarkEnd w:id="61"/>
      <w:bookmarkEnd w:id="62"/>
      <w:bookmarkEnd w:id="63"/>
      <w:r>
        <w:rPr>
          <w:rStyle w:val="30"/>
          <w:rFonts w:ascii="黑体" w:hAnsi="黑体" w:eastAsia="黑体"/>
          <w:b w:val="0"/>
        </w:rPr>
        <w:tab/>
      </w:r>
    </w:p>
    <w:p>
      <w:pPr>
        <w:spacing w:line="600" w:lineRule="exact"/>
        <w:ind w:firstLine="640" w:firstLineChars="200"/>
        <w:jc w:val="left"/>
        <w:rPr>
          <w:rFonts w:ascii="仿宋_GB2312" w:eastAsia="仿宋_GB2312"/>
          <w:sz w:val="32"/>
          <w:szCs w:val="32"/>
        </w:rPr>
      </w:pPr>
      <w:r>
        <w:rPr>
          <w:rFonts w:hint="eastAsia" w:ascii="仿宋_GB2312" w:eastAsia="仿宋_GB2312"/>
          <w:sz w:val="32"/>
          <w:szCs w:val="32"/>
        </w:rPr>
        <w:t>2023年度一般公共预算财政拨款基本支出139.24万元，其中：</w:t>
      </w:r>
    </w:p>
    <w:p>
      <w:pPr>
        <w:spacing w:line="600" w:lineRule="exact"/>
        <w:ind w:firstLine="640" w:firstLineChars="200"/>
        <w:jc w:val="left"/>
        <w:rPr>
          <w:rFonts w:ascii="仿宋_GB2312" w:eastAsia="仿宋_GB2312"/>
          <w:sz w:val="32"/>
          <w:szCs w:val="32"/>
        </w:rPr>
      </w:pPr>
      <w:r>
        <w:rPr>
          <w:rFonts w:hint="eastAsia" w:ascii="仿宋_GB2312" w:eastAsia="仿宋_GB2312"/>
          <w:sz w:val="32"/>
          <w:szCs w:val="32"/>
        </w:rPr>
        <w:t>人员经费126.87万元，主要包括：基本工资22.57万元、津贴补贴38.75万元、奖金26.99万元、伙食补助费0万元、绩效工资0万元、机关事业单位基本养老保险缴费11.89万元、职业年金缴费5.94万元、其他社会保障缴费7.24万元、其他工资福利支出0万元、离休费0万元、退休费0万元、抚恤金0万元、生活补助2.25万元、医疗费补助2.59万元、奖励金0万元、住房公积</w:t>
      </w:r>
      <w:bookmarkStart w:id="99" w:name="_GoBack"/>
      <w:bookmarkEnd w:id="99"/>
      <w:r>
        <w:rPr>
          <w:rFonts w:hint="eastAsia" w:ascii="仿宋_GB2312" w:eastAsia="仿宋_GB2312"/>
          <w:sz w:val="32"/>
          <w:szCs w:val="32"/>
        </w:rPr>
        <w:t>金8.65万元、其他对个人和家庭的补助支出等。</w:t>
      </w:r>
      <w:r>
        <w:rPr>
          <w:rFonts w:hint="eastAsia" w:ascii="仿宋_GB2312" w:eastAsia="仿宋_GB2312"/>
          <w:sz w:val="32"/>
          <w:szCs w:val="32"/>
        </w:rPr>
        <w:br w:type="textWrapping"/>
      </w:r>
      <w:r>
        <w:rPr>
          <w:rFonts w:hint="eastAsia" w:ascii="仿宋_GB2312" w:eastAsia="仿宋_GB2312"/>
          <w:sz w:val="32"/>
          <w:szCs w:val="32"/>
        </w:rPr>
        <w:t>　　公用经费12.37万元，主要包括：办公费5.99万元、印刷费0.96万元、咨询费0万元、手续费0.15万元、水费0.10万元、电费0.40万元、邮电费0.80万元、取暖费0万元、物业管理费0万元、差旅费1.51万元、因公出国（境）费用0万元、维修（护）费0万元、租赁费0万元、会议费0万元、培训费0万元、公务接待费0万元、劳务费0万元、委托业务费0万元、工会经费0.90万元、福利费0万元、公务用车运行维护费1.56万元、其他交通费0万元、税金及附加费用0万元、其他商品和服务支出0万元、办公设备购置0万元、专用设备购置0万元、信息网络及软件购置更新0万元、其他资本性支出等。</w:t>
      </w:r>
    </w:p>
    <w:p>
      <w:pPr>
        <w:spacing w:line="600" w:lineRule="exact"/>
        <w:ind w:firstLine="640"/>
        <w:outlineLvl w:val="1"/>
        <w:rPr>
          <w:rStyle w:val="30"/>
          <w:rFonts w:hint="eastAsia" w:ascii="黑体" w:hAnsi="黑体" w:eastAsia="黑体"/>
          <w:b w:val="0"/>
        </w:rPr>
      </w:pPr>
      <w:bookmarkStart w:id="64" w:name="_Toc10011"/>
      <w:bookmarkStart w:id="65" w:name="_Toc15396609"/>
      <w:bookmarkStart w:id="66" w:name="_Toc15377215"/>
      <w:bookmarkStart w:id="67" w:name="_Toc16767"/>
      <w:r>
        <w:rPr>
          <w:rFonts w:hint="eastAsia" w:ascii="黑体" w:eastAsia="黑体"/>
          <w:sz w:val="32"/>
          <w:szCs w:val="32"/>
        </w:rPr>
        <w:t>七、</w:t>
      </w:r>
      <w:r>
        <w:rPr>
          <w:rStyle w:val="30"/>
          <w:rFonts w:hint="eastAsia" w:ascii="黑体" w:hAnsi="黑体" w:eastAsia="黑体"/>
          <w:b w:val="0"/>
        </w:rPr>
        <w:t>财政拨款</w:t>
      </w:r>
      <w:r>
        <w:rPr>
          <w:rStyle w:val="30"/>
          <w:rFonts w:hint="eastAsia" w:ascii="黑体" w:hAnsi="黑体" w:eastAsia="黑体"/>
        </w:rPr>
        <w:t>“</w:t>
      </w:r>
      <w:r>
        <w:rPr>
          <w:rStyle w:val="30"/>
          <w:rFonts w:hint="eastAsia" w:ascii="黑体" w:hAnsi="黑体" w:eastAsia="黑体"/>
          <w:b w:val="0"/>
        </w:rPr>
        <w:t>三公”经费支出决算情况说明</w:t>
      </w:r>
      <w:bookmarkEnd w:id="64"/>
      <w:bookmarkEnd w:id="65"/>
      <w:bookmarkEnd w:id="66"/>
      <w:bookmarkEnd w:id="67"/>
    </w:p>
    <w:p>
      <w:pPr>
        <w:spacing w:line="600" w:lineRule="exact"/>
        <w:ind w:firstLine="640"/>
        <w:outlineLvl w:val="2"/>
        <w:rPr>
          <w:rFonts w:hint="eastAsia" w:ascii="仿宋" w:hAnsi="仿宋" w:eastAsia="仿宋"/>
          <w:b/>
          <w:sz w:val="32"/>
          <w:szCs w:val="32"/>
        </w:rPr>
      </w:pPr>
      <w:bookmarkStart w:id="68" w:name="_Toc15377216"/>
      <w:bookmarkStart w:id="69" w:name="_Toc17495"/>
      <w:r>
        <w:rPr>
          <w:rFonts w:hint="eastAsia" w:ascii="仿宋" w:hAnsi="仿宋" w:eastAsia="仿宋"/>
          <w:b/>
          <w:sz w:val="32"/>
          <w:szCs w:val="32"/>
        </w:rPr>
        <w:t>（一）“三公”经费财政拨款支出决算总体情况说明</w:t>
      </w:r>
      <w:bookmarkEnd w:id="68"/>
      <w:bookmarkEnd w:id="69"/>
    </w:p>
    <w:p>
      <w:pPr>
        <w:spacing w:line="600" w:lineRule="exact"/>
        <w:ind w:firstLine="1292" w:firstLineChars="404"/>
        <w:outlineLvl w:val="2"/>
        <w:rPr>
          <w:rFonts w:hint="eastAsia" w:ascii="仿宋" w:hAnsi="仿宋" w:eastAsia="仿宋"/>
          <w:sz w:val="32"/>
          <w:szCs w:val="32"/>
        </w:rPr>
      </w:pPr>
      <w:bookmarkStart w:id="70" w:name="_Toc21893"/>
      <w:r>
        <w:rPr>
          <w:rFonts w:hint="eastAsia" w:ascii="仿宋" w:hAnsi="仿宋" w:eastAsia="仿宋"/>
          <w:sz w:val="32"/>
          <w:szCs w:val="32"/>
        </w:rPr>
        <w:t>2023年度“三公”经费财政拨款支出决算为</w:t>
      </w:r>
      <w:r>
        <w:rPr>
          <w:sz w:val="32"/>
          <w:szCs w:val="32"/>
        </w:rPr>
        <w:t>1.56</w:t>
      </w:r>
      <w:r>
        <w:rPr>
          <w:rFonts w:hint="eastAsia" w:ascii="仿宋" w:hAnsi="仿宋" w:eastAsia="仿宋"/>
          <w:sz w:val="32"/>
          <w:szCs w:val="32"/>
        </w:rPr>
        <w:t>万元，完成预算</w:t>
      </w:r>
      <w:r>
        <w:rPr>
          <w:rFonts w:hint="eastAsia" w:eastAsia="仿宋"/>
          <w:sz w:val="32"/>
          <w:szCs w:val="32"/>
        </w:rPr>
        <w:t>59.41</w:t>
      </w:r>
      <w:r>
        <w:rPr>
          <w:rFonts w:ascii="仿宋" w:hAnsi="仿宋" w:eastAsia="仿宋"/>
          <w:sz w:val="32"/>
          <w:szCs w:val="32"/>
        </w:rPr>
        <w:t>%</w:t>
      </w:r>
      <w:r>
        <w:rPr>
          <w:rFonts w:hint="eastAsia" w:ascii="仿宋" w:hAnsi="仿宋" w:eastAsia="仿宋"/>
          <w:sz w:val="32"/>
          <w:szCs w:val="32"/>
        </w:rPr>
        <w:t>，较上年度增加0.5万元，增长3.68%。决算数小于预算数（或与预算数持平）主要原因是公务用车运行维护。</w:t>
      </w:r>
      <w:bookmarkEnd w:id="70"/>
    </w:p>
    <w:p>
      <w:pPr>
        <w:spacing w:line="600" w:lineRule="exact"/>
        <w:ind w:firstLine="640"/>
        <w:outlineLvl w:val="2"/>
        <w:rPr>
          <w:rFonts w:hint="eastAsia" w:ascii="仿宋" w:hAnsi="仿宋" w:eastAsia="仿宋"/>
          <w:b/>
          <w:sz w:val="32"/>
          <w:szCs w:val="32"/>
        </w:rPr>
      </w:pPr>
      <w:bookmarkStart w:id="71" w:name="_Toc15377217"/>
      <w:bookmarkStart w:id="72" w:name="_Toc18185"/>
      <w:r>
        <w:rPr>
          <w:rFonts w:hint="eastAsia" w:ascii="仿宋" w:hAnsi="仿宋" w:eastAsia="仿宋"/>
          <w:b/>
          <w:sz w:val="32"/>
          <w:szCs w:val="32"/>
        </w:rPr>
        <w:t>（二）“三公”经费财政拨款支出决算具体情况说明</w:t>
      </w:r>
      <w:bookmarkEnd w:id="71"/>
      <w:bookmarkEnd w:id="72"/>
    </w:p>
    <w:p>
      <w:pPr>
        <w:spacing w:line="600" w:lineRule="exact"/>
        <w:ind w:firstLine="640"/>
        <w:outlineLvl w:val="2"/>
        <w:rPr>
          <w:rFonts w:hint="eastAsia" w:ascii="仿宋" w:hAnsi="仿宋" w:eastAsia="仿宋"/>
          <w:sz w:val="32"/>
          <w:szCs w:val="32"/>
        </w:rPr>
      </w:pPr>
      <w:bookmarkStart w:id="73" w:name="_Toc27850"/>
      <w:r>
        <w:rPr>
          <w:rFonts w:hint="eastAsia" w:ascii="仿宋" w:hAnsi="仿宋" w:eastAsia="仿宋"/>
          <w:sz w:val="32"/>
          <w:szCs w:val="32"/>
        </w:rPr>
        <w:t>2023年度“三公”经费财政拨款支出决算中，因公出国（境）费支出决算0万元，占0%；公务用车购置及运行维护费支出决算1.56万元，占</w:t>
      </w:r>
      <w:r>
        <w:rPr>
          <w:rFonts w:hint="eastAsia" w:ascii="仿宋" w:hAnsi="仿宋" w:eastAsia="仿宋"/>
          <w:sz w:val="32"/>
          <w:szCs w:val="32"/>
          <w:lang w:val="en-US" w:eastAsia="zh-CN"/>
        </w:rPr>
        <w:t>59.41</w:t>
      </w:r>
      <w:r>
        <w:rPr>
          <w:rFonts w:hint="eastAsia" w:ascii="仿宋" w:hAnsi="仿宋" w:eastAsia="仿宋"/>
          <w:sz w:val="32"/>
          <w:szCs w:val="32"/>
        </w:rPr>
        <w:t>%；公务接待费支出决算0万元，占0%。具体情况如下：</w:t>
      </w:r>
      <w:bookmarkEnd w:id="73"/>
    </w:p>
    <w:p>
      <w:pPr>
        <w:spacing w:line="600" w:lineRule="exact"/>
        <w:ind w:firstLine="640"/>
        <w:rPr>
          <w:rFonts w:hint="eastAsia" w:ascii="仿宋" w:hAnsi="仿宋" w:eastAsia="仿宋"/>
          <w:sz w:val="32"/>
          <w:szCs w:val="32"/>
        </w:rPr>
      </w:pPr>
      <w:r>
        <w:rPr>
          <w:rFonts w:hint="eastAsia" w:ascii="仿宋" w:hAnsi="仿宋" w:eastAsia="仿宋"/>
          <w:sz w:val="32"/>
          <w:szCs w:val="32"/>
        </w:rPr>
        <w:t>（图7：“三公”经费财政拨款支出结构）（饼状图）</w:t>
      </w:r>
    </w:p>
    <w:p>
      <w:pPr>
        <w:pStyle w:val="20"/>
        <w:outlineLvl w:val="9"/>
        <w:rPr>
          <w:rFonts w:eastAsia="仿宋"/>
        </w:rPr>
      </w:pPr>
      <w:r>
        <w:rPr>
          <w:rFonts w:hint="eastAsia" w:eastAsia="仿宋"/>
        </w:rPr>
        <w:drawing>
          <wp:inline distT="0" distB="0" distL="114300" distR="114300">
            <wp:extent cx="2926715" cy="3305175"/>
            <wp:effectExtent l="4445" t="4445" r="21590" b="508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ascii="仿宋_GB2312" w:eastAsia="仿宋_GB2312"/>
          <w:sz w:val="32"/>
          <w:szCs w:val="32"/>
        </w:rPr>
      </w:pPr>
      <w:r>
        <w:rPr>
          <w:rFonts w:hint="eastAsia" w:ascii="仿宋_GB2312" w:eastAsia="仿宋_GB2312"/>
          <w:sz w:val="32"/>
          <w:szCs w:val="32"/>
        </w:rPr>
        <w:t>1.因公出国（境）经费支出0万元，完成预算0%。全年安排因公出国（境）团组0次，出国（境）0人。因公出国（境）支出决算比2022年增加/减少0万元，增长/下降0%。</w:t>
      </w:r>
    </w:p>
    <w:p>
      <w:pPr>
        <w:spacing w:line="600" w:lineRule="exact"/>
        <w:ind w:firstLine="640"/>
        <w:rPr>
          <w:rFonts w:ascii="仿宋_GB2312" w:eastAsia="仿宋_GB2312"/>
          <w:sz w:val="32"/>
          <w:szCs w:val="32"/>
        </w:rPr>
      </w:pPr>
      <w:r>
        <w:rPr>
          <w:rFonts w:hint="eastAsia" w:ascii="仿宋_GB2312" w:eastAsia="仿宋_GB2312"/>
          <w:sz w:val="32"/>
          <w:szCs w:val="32"/>
        </w:rPr>
        <w:t>2.公务用车购置及运行维护费支出1.56万元,完成预算59.41%。公务用车购置及运行维护费支出决算比2022年度增加0.5万元，增长13.81%。主要用于车燃料费、维修费、保险餐费等支出（具体工作）等所需的公务用车燃料费、维修费、过路过桥费、保险费等支出。</w:t>
      </w:r>
    </w:p>
    <w:p>
      <w:pPr>
        <w:spacing w:line="600" w:lineRule="exact"/>
        <w:ind w:firstLine="640"/>
        <w:rPr>
          <w:rFonts w:ascii="仿宋_GB2312" w:eastAsia="仿宋_GB2312"/>
          <w:sz w:val="32"/>
          <w:szCs w:val="32"/>
        </w:rPr>
      </w:pPr>
      <w:r>
        <w:rPr>
          <w:rFonts w:hint="eastAsia" w:ascii="仿宋_GB2312" w:eastAsia="仿宋_GB2312"/>
          <w:sz w:val="32"/>
          <w:szCs w:val="32"/>
        </w:rPr>
        <w:t>其中：公务用车购置支出0万元。全年按规定更新购置公务用车0辆，其中：轿车0辆、金额0万元，越野车0辆、金额0万元，载客汽车0辆、金额0万元。截至2023年12月31日，单位共有公务用车1辆，其中：轿车1辆、越野车0辆、载客汽车0辆。</w:t>
      </w:r>
    </w:p>
    <w:p>
      <w:pPr>
        <w:spacing w:line="600" w:lineRule="exact"/>
        <w:ind w:firstLine="640"/>
        <w:rPr>
          <w:rFonts w:ascii="仿宋_GB2312" w:eastAsia="仿宋_GB2312"/>
          <w:sz w:val="32"/>
          <w:szCs w:val="32"/>
        </w:rPr>
      </w:pPr>
      <w:r>
        <w:rPr>
          <w:rFonts w:hint="eastAsia" w:ascii="仿宋_GB2312" w:eastAsia="仿宋_GB2312"/>
          <w:sz w:val="32"/>
          <w:szCs w:val="32"/>
        </w:rPr>
        <w:t>公务用车运行维护费支出1.56万元。主要用于车燃料费、维修费、保险餐费等支出（具体工作）等所需的公务用车燃料费、维修费、过路过桥费、保险费等支出。</w:t>
      </w:r>
    </w:p>
    <w:p>
      <w:pPr>
        <w:spacing w:line="600" w:lineRule="exact"/>
        <w:ind w:firstLine="640"/>
        <w:rPr>
          <w:rFonts w:ascii="仿宋_GB2312" w:eastAsia="仿宋_GB2312"/>
          <w:sz w:val="32"/>
          <w:szCs w:val="32"/>
        </w:rPr>
      </w:pPr>
      <w:r>
        <w:rPr>
          <w:rFonts w:hint="eastAsia" w:ascii="仿宋_GB2312" w:eastAsia="仿宋_GB2312"/>
          <w:sz w:val="32"/>
          <w:szCs w:val="32"/>
        </w:rPr>
        <w:t>公务接待费支出0万元，完成预算0%。公务接待费支出决算比2022年度增加/减少0万元，增长/下降0%</w:t>
      </w:r>
    </w:p>
    <w:p>
      <w:pPr>
        <w:spacing w:line="600" w:lineRule="exact"/>
        <w:ind w:firstLine="640"/>
        <w:rPr>
          <w:rFonts w:ascii="仿宋_GB2312" w:eastAsia="仿宋_GB2312"/>
          <w:sz w:val="32"/>
          <w:szCs w:val="32"/>
        </w:rPr>
      </w:pPr>
      <w:r>
        <w:rPr>
          <w:rFonts w:hint="eastAsia" w:ascii="仿宋_GB2312" w:eastAsia="仿宋_GB2312"/>
          <w:sz w:val="32"/>
          <w:szCs w:val="32"/>
        </w:rPr>
        <w:t>其中：国内公务接待支出0万元，国内公务接待0批次，0人次（不包括陪同人员），共计支出0万元。</w:t>
      </w:r>
    </w:p>
    <w:p>
      <w:pPr>
        <w:spacing w:line="600" w:lineRule="exact"/>
        <w:ind w:firstLine="640"/>
        <w:rPr>
          <w:rFonts w:ascii="仿宋_GB2312" w:eastAsia="仿宋_GB2312"/>
          <w:sz w:val="32"/>
          <w:szCs w:val="32"/>
        </w:rPr>
      </w:pPr>
      <w:r>
        <w:rPr>
          <w:rFonts w:hint="eastAsia" w:ascii="仿宋_GB2312" w:eastAsia="仿宋_GB2312"/>
          <w:sz w:val="32"/>
          <w:szCs w:val="32"/>
        </w:rPr>
        <w:t>外事接待支出0元，外事接待0批次，0人次（不包括陪同人员），共计支出0万元。</w:t>
      </w:r>
      <w:bookmarkStart w:id="74" w:name="_Toc15377218"/>
      <w:bookmarkStart w:id="75" w:name="_Toc15396610"/>
    </w:p>
    <w:p>
      <w:pPr>
        <w:spacing w:line="600" w:lineRule="exact"/>
        <w:ind w:firstLine="640"/>
        <w:outlineLvl w:val="1"/>
        <w:rPr>
          <w:rStyle w:val="30"/>
          <w:rFonts w:hint="eastAsia" w:ascii="黑体" w:hAnsi="黑体" w:eastAsia="黑体"/>
        </w:rPr>
      </w:pPr>
      <w:bookmarkStart w:id="76" w:name="_Toc24856"/>
      <w:bookmarkStart w:id="77" w:name="_Toc4175"/>
      <w:r>
        <w:rPr>
          <w:rFonts w:hint="eastAsia" w:ascii="黑体" w:eastAsia="黑体"/>
          <w:sz w:val="32"/>
          <w:szCs w:val="32"/>
        </w:rPr>
        <w:t>八、</w:t>
      </w:r>
      <w:r>
        <w:rPr>
          <w:rStyle w:val="30"/>
          <w:rFonts w:hint="eastAsia" w:ascii="黑体" w:hAnsi="黑体" w:eastAsia="黑体"/>
          <w:b w:val="0"/>
        </w:rPr>
        <w:t>政府性基金预算支出决算情况说明</w:t>
      </w:r>
      <w:bookmarkEnd w:id="74"/>
      <w:bookmarkEnd w:id="75"/>
      <w:bookmarkEnd w:id="76"/>
      <w:bookmarkEnd w:id="77"/>
    </w:p>
    <w:p>
      <w:pPr>
        <w:spacing w:line="600" w:lineRule="exact"/>
        <w:ind w:firstLine="640"/>
        <w:rPr>
          <w:rFonts w:ascii="仿宋_GB2312" w:eastAsia="仿宋_GB2312"/>
          <w:sz w:val="32"/>
          <w:szCs w:val="32"/>
        </w:rPr>
      </w:pPr>
      <w:r>
        <w:rPr>
          <w:rFonts w:hint="eastAsia" w:ascii="仿宋_GB2312" w:eastAsia="仿宋_GB2312"/>
          <w:sz w:val="32"/>
          <w:szCs w:val="32"/>
        </w:rPr>
        <w:t>2023年</w:t>
      </w:r>
      <w:r>
        <w:rPr>
          <w:rFonts w:hint="eastAsia" w:ascii="仿宋_GB2312" w:eastAsia="仿宋_GB2312"/>
          <w:color w:val="000000"/>
          <w:sz w:val="32"/>
          <w:szCs w:val="32"/>
        </w:rPr>
        <w:t>年初无</w:t>
      </w:r>
      <w:r>
        <w:rPr>
          <w:rFonts w:hint="eastAsia" w:ascii="仿宋_GB2312" w:eastAsia="仿宋_GB2312"/>
          <w:sz w:val="32"/>
          <w:szCs w:val="32"/>
        </w:rPr>
        <w:t>政府性基金预算财政拨款支出。</w:t>
      </w:r>
    </w:p>
    <w:p>
      <w:pPr>
        <w:numPr>
          <w:ilvl w:val="0"/>
          <w:numId w:val="3"/>
        </w:numPr>
        <w:spacing w:line="600" w:lineRule="exact"/>
        <w:ind w:firstLine="640"/>
        <w:outlineLvl w:val="1"/>
        <w:rPr>
          <w:rStyle w:val="30"/>
          <w:rFonts w:hint="eastAsia" w:ascii="黑体" w:hAnsi="黑体" w:eastAsia="黑体"/>
          <w:b w:val="0"/>
        </w:rPr>
      </w:pPr>
      <w:bookmarkStart w:id="78" w:name="_Toc7255"/>
      <w:bookmarkStart w:id="79" w:name="_Toc20888"/>
      <w:bookmarkStart w:id="80" w:name="_Toc15396611"/>
      <w:bookmarkStart w:id="81" w:name="_Toc15377219"/>
      <w:r>
        <w:rPr>
          <w:rStyle w:val="30"/>
          <w:rFonts w:hint="eastAsia" w:ascii="黑体" w:hAnsi="黑体" w:eastAsia="黑体"/>
          <w:b w:val="0"/>
        </w:rPr>
        <w:t>国有资本经营预算支出决算情况说明</w:t>
      </w:r>
      <w:bookmarkEnd w:id="78"/>
      <w:bookmarkEnd w:id="79"/>
      <w:bookmarkEnd w:id="80"/>
      <w:bookmarkEnd w:id="81"/>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2023年年初无国有资本经营预算财政拨款支出。</w:t>
      </w:r>
    </w:p>
    <w:p>
      <w:pPr>
        <w:numPr>
          <w:ilvl w:val="0"/>
          <w:numId w:val="3"/>
        </w:numPr>
        <w:spacing w:line="600" w:lineRule="exact"/>
        <w:ind w:firstLine="640"/>
        <w:outlineLvl w:val="1"/>
        <w:rPr>
          <w:rStyle w:val="30"/>
          <w:rFonts w:hint="eastAsia" w:ascii="黑体" w:hAnsi="黑体" w:eastAsia="黑体"/>
          <w:b w:val="0"/>
        </w:rPr>
      </w:pPr>
      <w:bookmarkStart w:id="82" w:name="_Toc15396612"/>
      <w:bookmarkStart w:id="83" w:name="_Toc13738"/>
      <w:bookmarkStart w:id="84" w:name="_Toc27293"/>
      <w:bookmarkStart w:id="85" w:name="_Toc15377221"/>
      <w:r>
        <w:rPr>
          <w:rStyle w:val="30"/>
          <w:rFonts w:hint="eastAsia" w:ascii="黑体" w:hAnsi="黑体" w:eastAsia="黑体"/>
          <w:b w:val="0"/>
        </w:rPr>
        <w:t>其他重要事项的情况说明</w:t>
      </w:r>
      <w:bookmarkEnd w:id="82"/>
      <w:bookmarkEnd w:id="83"/>
      <w:bookmarkEnd w:id="84"/>
      <w:bookmarkEnd w:id="85"/>
    </w:p>
    <w:p>
      <w:pPr>
        <w:spacing w:line="600" w:lineRule="exact"/>
        <w:ind w:firstLine="643" w:firstLineChars="200"/>
        <w:outlineLvl w:val="2"/>
        <w:rPr>
          <w:rFonts w:hint="eastAsia" w:ascii="仿宋" w:hAnsi="仿宋" w:eastAsia="仿宋"/>
          <w:sz w:val="32"/>
          <w:szCs w:val="32"/>
        </w:rPr>
      </w:pPr>
      <w:bookmarkStart w:id="86" w:name="_Toc15377222"/>
      <w:bookmarkStart w:id="87" w:name="_Toc3547"/>
      <w:r>
        <w:rPr>
          <w:rFonts w:hint="eastAsia" w:ascii="仿宋" w:hAnsi="仿宋" w:eastAsia="仿宋"/>
          <w:b/>
          <w:sz w:val="32"/>
          <w:szCs w:val="32"/>
        </w:rPr>
        <w:t>（一）机关运行经费支出情况</w:t>
      </w:r>
      <w:bookmarkEnd w:id="86"/>
      <w:bookmarkEnd w:id="87"/>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2023年度，红原县妇女联合会机关运行经费支出12.37万元，比2022年度增加6.14万元，增长98.6%。主要原因是本年度召开第十三次妇女代表大会，新增家庭教育经费。</w:t>
      </w:r>
    </w:p>
    <w:p>
      <w:pPr>
        <w:autoSpaceDE w:val="0"/>
        <w:autoSpaceDN w:val="0"/>
        <w:adjustRightInd w:val="0"/>
        <w:spacing w:line="600" w:lineRule="exact"/>
        <w:ind w:firstLine="643" w:firstLineChars="200"/>
        <w:jc w:val="left"/>
        <w:outlineLvl w:val="2"/>
        <w:rPr>
          <w:rFonts w:hint="eastAsia" w:ascii="仿宋" w:hAnsi="仿宋" w:eastAsia="仿宋"/>
          <w:b/>
          <w:sz w:val="32"/>
          <w:szCs w:val="32"/>
        </w:rPr>
      </w:pPr>
      <w:bookmarkStart w:id="88" w:name="_Toc17272"/>
      <w:bookmarkStart w:id="89" w:name="_Toc15377223"/>
      <w:r>
        <w:rPr>
          <w:rFonts w:hint="eastAsia" w:ascii="仿宋" w:hAnsi="仿宋" w:eastAsia="仿宋"/>
          <w:b/>
          <w:sz w:val="32"/>
          <w:szCs w:val="32"/>
        </w:rPr>
        <w:t>（二）政府采购支出情况</w:t>
      </w:r>
      <w:bookmarkEnd w:id="88"/>
      <w:bookmarkEnd w:id="89"/>
    </w:p>
    <w:p>
      <w:pPr>
        <w:spacing w:line="600" w:lineRule="exact"/>
        <w:ind w:firstLine="640" w:firstLineChars="200"/>
        <w:rPr>
          <w:rFonts w:ascii="仿宋_GB2312" w:eastAsia="仿宋_GB2312"/>
          <w:sz w:val="32"/>
          <w:szCs w:val="32"/>
        </w:rPr>
      </w:pPr>
      <w:r>
        <w:rPr>
          <w:rFonts w:hint="eastAsia" w:ascii="仿宋_GB2312" w:eastAsia="仿宋_GB2312"/>
          <w:color w:val="000000"/>
          <w:sz w:val="32"/>
          <w:szCs w:val="32"/>
        </w:rPr>
        <w:t>2023年度，红原县妇女联合会政府采购支出总额0万元，其中：政府采购货物支出0万元、政府采购工程支出0万元、政府采购服务支出0万元。授予中小企业合同金额0万元，占政府采购支出总额的0%，其中：授予小微企业合同金额0万元，占政府采购支出总额的0%。</w:t>
      </w:r>
    </w:p>
    <w:p>
      <w:pPr>
        <w:autoSpaceDE w:val="0"/>
        <w:autoSpaceDN w:val="0"/>
        <w:adjustRightInd w:val="0"/>
        <w:spacing w:line="600" w:lineRule="exact"/>
        <w:ind w:firstLine="643" w:firstLineChars="200"/>
        <w:jc w:val="left"/>
        <w:outlineLvl w:val="2"/>
        <w:rPr>
          <w:rFonts w:hint="eastAsia" w:ascii="仿宋" w:hAnsi="仿宋" w:eastAsia="仿宋"/>
          <w:b/>
          <w:sz w:val="32"/>
          <w:szCs w:val="32"/>
        </w:rPr>
      </w:pPr>
      <w:bookmarkStart w:id="90" w:name="_Toc10245"/>
      <w:bookmarkStart w:id="91" w:name="_Toc15377224"/>
      <w:r>
        <w:rPr>
          <w:rFonts w:hint="eastAsia" w:ascii="仿宋" w:hAnsi="仿宋" w:eastAsia="仿宋"/>
          <w:b/>
          <w:sz w:val="32"/>
          <w:szCs w:val="32"/>
        </w:rPr>
        <w:t>（三）国有资产占有使用情况</w:t>
      </w:r>
      <w:bookmarkEnd w:id="90"/>
      <w:bookmarkEnd w:id="91"/>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截至2023年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sz w:val="32"/>
          <w:szCs w:val="32"/>
        </w:rPr>
        <w:t>红原县妇女联合会</w:t>
      </w:r>
      <w:r>
        <w:rPr>
          <w:rFonts w:hint="eastAsia" w:ascii="仿宋_GB2312" w:eastAsia="仿宋_GB2312"/>
          <w:sz w:val="32"/>
          <w:szCs w:val="32"/>
        </w:rPr>
        <w:t>共有车辆</w:t>
      </w:r>
      <w:r>
        <w:rPr>
          <w:rFonts w:ascii="仿宋_GB2312" w:eastAsia="仿宋_GB2312"/>
          <w:sz w:val="32"/>
          <w:szCs w:val="32"/>
        </w:rPr>
        <w:t>1</w:t>
      </w:r>
      <w:r>
        <w:rPr>
          <w:rFonts w:hint="eastAsia" w:ascii="仿宋_GB2312" w:eastAsia="仿宋_GB2312"/>
          <w:sz w:val="32"/>
          <w:szCs w:val="32"/>
        </w:rPr>
        <w:t>辆，其中：主要领导干部用车0辆、机要通信用车0辆、应急保障用车1辆、其他用车0辆，其他用车主要是用于应急保障用车。</w:t>
      </w:r>
    </w:p>
    <w:p>
      <w:pPr>
        <w:autoSpaceDE w:val="0"/>
        <w:autoSpaceDN w:val="0"/>
        <w:adjustRightInd w:val="0"/>
        <w:spacing w:line="600" w:lineRule="exact"/>
        <w:ind w:firstLine="643" w:firstLineChars="200"/>
        <w:jc w:val="left"/>
        <w:outlineLvl w:val="2"/>
        <w:rPr>
          <w:rFonts w:hint="eastAsia" w:ascii="仿宋" w:hAnsi="仿宋" w:eastAsia="仿宋"/>
          <w:b/>
          <w:sz w:val="32"/>
          <w:szCs w:val="32"/>
        </w:rPr>
      </w:pPr>
      <w:bookmarkStart w:id="92" w:name="_Toc27239"/>
      <w:r>
        <w:rPr>
          <w:rFonts w:hint="eastAsia" w:ascii="仿宋" w:hAnsi="仿宋" w:eastAsia="仿宋"/>
          <w:b/>
          <w:sz w:val="32"/>
          <w:szCs w:val="32"/>
        </w:rPr>
        <w:t>（四）预算绩效管理情况</w:t>
      </w:r>
      <w:bookmarkEnd w:id="92"/>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根据预算绩效管理要求，本部门在2023年度预算编制阶段，组织对关爱草原阿妈姐妹宣讲团宣讲经费、妇女儿童及妇儿工委办办公经费、建立妇女儿童维权站示范点、家庭教育经费等项目开展了预算事前绩效评估，对1个项目编制了绩效目标，预算执行过程中，选取1个项目开展绩效监控。</w:t>
      </w:r>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组织对2023年度一般公共预算、政府性基金预算、国有资本经营预算、社会保险基金预算以及资本资产、债券资金等全面开展绩效自评，形成红原县妇女联合会部门整体（含部门预算项目）绩效自评报告。红原县妇女联合会部门整体（含部门预算项目）绩效自评得分为96分，评价情况总体绩效目标明确，决策依据充分，资金分配科学合理，部门总体情况良好，预算编制质量较好，预算信息公开符合要求；预算执行进度良好，财务制度健全，会计核算总体规范、准确；项目在实施过程中严格执行有关制度规定，基本达到了预期效果，存在的问题：一是部门特性目标待完善，二是是机制待完善。下一步改进措施：一是加强学习进一步规范，二是完善各项目机制。</w:t>
      </w:r>
    </w:p>
    <w:p>
      <w:pPr>
        <w:pStyle w:val="5"/>
        <w:jc w:val="center"/>
      </w:pPr>
      <w:bookmarkStart w:id="93" w:name="_Toc20014"/>
      <w:bookmarkStart w:id="94" w:name="_Toc4756"/>
      <w:r>
        <w:rPr>
          <w:rFonts w:hint="eastAsia"/>
        </w:rPr>
        <w:t>第三部分 名词解释</w:t>
      </w:r>
      <w:bookmarkEnd w:id="93"/>
      <w:bookmarkEnd w:id="94"/>
    </w:p>
    <w:p/>
    <w:p>
      <w:pPr>
        <w:ind w:firstLine="640" w:firstLineChars="200"/>
        <w:rPr>
          <w:rFonts w:ascii="仿宋_GB2312" w:eastAsia="仿宋_GB2312"/>
          <w:sz w:val="32"/>
          <w:szCs w:val="32"/>
        </w:rPr>
      </w:pPr>
      <w:r>
        <w:rPr>
          <w:rFonts w:hint="eastAsia" w:ascii="仿宋_GB2312" w:eastAsia="仿宋_GB2312"/>
          <w:sz w:val="32"/>
          <w:szCs w:val="32"/>
        </w:rPr>
        <w:t>1.财政拨款收入：指单位从同级财政部门取得的财政预算资金。</w:t>
      </w:r>
    </w:p>
    <w:p>
      <w:pPr>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ind w:firstLine="640" w:firstLineChars="200"/>
        <w:rPr>
          <w:rFonts w:ascii="仿宋_GB2312" w:eastAsia="仿宋_GB2312"/>
          <w:sz w:val="32"/>
          <w:szCs w:val="32"/>
        </w:rPr>
      </w:pPr>
      <w:r>
        <w:rPr>
          <w:rFonts w:hint="eastAsia" w:ascii="仿宋_GB2312" w:eastAsia="仿宋_GB2312"/>
          <w:sz w:val="32"/>
          <w:szCs w:val="32"/>
        </w:rPr>
        <w:t xml:space="preserve">4.其他收入：指单位取得的除上述收入以外的各项收入。 </w:t>
      </w:r>
    </w:p>
    <w:p>
      <w:pPr>
        <w:ind w:firstLine="640" w:firstLineChars="200"/>
        <w:rPr>
          <w:rFonts w:ascii="仿宋_GB2312" w:eastAsia="仿宋_GB2312"/>
          <w:sz w:val="32"/>
          <w:szCs w:val="32"/>
        </w:rPr>
      </w:pPr>
      <w:r>
        <w:rPr>
          <w:rFonts w:hint="eastAsia" w:ascii="仿宋_GB2312" w:eastAsia="仿宋_GB2312"/>
          <w:sz w:val="32"/>
          <w:szCs w:val="32"/>
        </w:rPr>
        <w:t xml:space="preserve">5.使用非财政拨款结余（含专用结余）：指事业单位使用以前年度积累的非财政拨款结余弥补当年收支差额的金额。 </w:t>
      </w:r>
    </w:p>
    <w:p>
      <w:pPr>
        <w:ind w:firstLine="640" w:firstLineChars="200"/>
        <w:rPr>
          <w:rFonts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pPr>
        <w:ind w:firstLine="640" w:firstLineChars="200"/>
        <w:rPr>
          <w:rFonts w:ascii="仿宋_GB2312" w:eastAsia="仿宋_GB2312"/>
          <w:sz w:val="32"/>
          <w:szCs w:val="32"/>
        </w:rPr>
      </w:pPr>
      <w:r>
        <w:rPr>
          <w:rFonts w:hint="eastAsia" w:ascii="仿宋_GB2312" w:eastAsia="仿宋_GB2312"/>
          <w:sz w:val="32"/>
          <w:szCs w:val="32"/>
        </w:rPr>
        <w:t>7.结余分配：指事业单位按照会计制度规定缴纳的所得税、提取的专用结余以及转入非财政拨款结余的金额等。</w:t>
      </w:r>
    </w:p>
    <w:p>
      <w:pPr>
        <w:ind w:firstLine="640" w:firstLineChars="200"/>
        <w:rPr>
          <w:rFonts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pPr>
        <w:ind w:firstLine="640" w:firstLineChars="200"/>
        <w:rPr>
          <w:rFonts w:ascii="仿宋_GB2312" w:eastAsia="仿宋_GB2312"/>
          <w:sz w:val="32"/>
          <w:szCs w:val="32"/>
        </w:rPr>
      </w:pPr>
      <w:r>
        <w:rPr>
          <w:rFonts w:hint="eastAsia" w:ascii="仿宋_GB2312" w:eastAsia="仿宋_GB2312"/>
          <w:sz w:val="32"/>
          <w:szCs w:val="32"/>
        </w:rPr>
        <w:t>9.一般公共服务</w:t>
      </w:r>
      <w:r>
        <w:rPr>
          <w:rFonts w:hint="eastAsia" w:ascii="仿宋_GB2312" w:hAnsi="仿宋_GB2312" w:eastAsia="仿宋_GB2312" w:cs="仿宋_GB2312"/>
          <w:color w:val="000000"/>
          <w:sz w:val="32"/>
          <w:szCs w:val="32"/>
        </w:rPr>
        <w:t>2012901-行政运行支出该支出主要用于支付职工工资、退休费以及公务运行费</w:t>
      </w:r>
    </w:p>
    <w:p>
      <w:pPr>
        <w:pStyle w:val="15"/>
        <w:widowControl/>
        <w:spacing w:before="0" w:beforeAutospacing="0" w:after="0" w:afterAutospacing="0" w:line="528" w:lineRule="atLeast"/>
        <w:ind w:firstLine="640" w:firstLineChars="200"/>
        <w:rPr>
          <w:rFonts w:ascii="仿宋_GB2312" w:eastAsia="仿宋_GB2312"/>
          <w:color w:val="000000"/>
          <w:sz w:val="32"/>
          <w:szCs w:val="32"/>
        </w:rPr>
      </w:pPr>
      <w:r>
        <w:rPr>
          <w:rFonts w:hint="eastAsia" w:ascii="仿宋_GB2312" w:eastAsia="仿宋_GB2312"/>
          <w:sz w:val="32"/>
          <w:szCs w:val="32"/>
        </w:rPr>
        <w:t>10.社会保障和就业</w:t>
      </w:r>
      <w:r>
        <w:rPr>
          <w:rFonts w:hint="eastAsia" w:ascii="仿宋_GB2312" w:hAnsi="仿宋_GB2312" w:eastAsia="仿宋_GB2312" w:cs="仿宋_GB2312"/>
          <w:color w:val="000000"/>
          <w:kern w:val="2"/>
          <w:sz w:val="32"/>
          <w:szCs w:val="32"/>
        </w:rPr>
        <w:t>2080505-机关事业单位基本养老保险缴费该支出主要用于支付职工养老保险金；2080506-机关事业单位职业年金缴费，该支出主要用于支付职工职业年金</w:t>
      </w:r>
      <w:r>
        <w:rPr>
          <w:rFonts w:hint="eastAsia" w:ascii="仿宋_GB2312" w:eastAsia="仿宋_GB2312"/>
          <w:color w:val="000000"/>
          <w:sz w:val="32"/>
          <w:szCs w:val="32"/>
        </w:rPr>
        <w:t>：</w:t>
      </w:r>
    </w:p>
    <w:p>
      <w:pPr>
        <w:pStyle w:val="15"/>
        <w:widowControl/>
        <w:spacing w:before="0" w:beforeAutospacing="0" w:after="0" w:afterAutospacing="0" w:line="528" w:lineRule="atLeast"/>
        <w:ind w:firstLine="640" w:firstLineChars="200"/>
        <w:rPr>
          <w:rFonts w:ascii="仿宋_GB2312" w:eastAsia="仿宋_GB2312"/>
          <w:sz w:val="32"/>
          <w:szCs w:val="32"/>
        </w:rPr>
      </w:pPr>
      <w:r>
        <w:rPr>
          <w:rFonts w:hint="eastAsia" w:ascii="仿宋_GB2312" w:eastAsia="仿宋_GB2312"/>
          <w:sz w:val="32"/>
          <w:szCs w:val="32"/>
        </w:rPr>
        <w:t>16.卫生健康2101101-行政单位医疗支出主要用于</w:t>
      </w:r>
      <w:r>
        <w:rPr>
          <w:rFonts w:hint="eastAsia" w:ascii="仿宋_GB2312" w:hAnsi="仿宋_GB2312" w:eastAsia="仿宋_GB2312" w:cs="仿宋_GB2312"/>
          <w:color w:val="000000"/>
          <w:kern w:val="2"/>
          <w:sz w:val="32"/>
          <w:szCs w:val="32"/>
        </w:rPr>
        <w:t>支付职工医疗保险金</w:t>
      </w:r>
      <w:r>
        <w:rPr>
          <w:rFonts w:hint="eastAsia" w:ascii="仿宋_GB2312" w:eastAsia="仿宋_GB2312"/>
          <w:sz w:val="32"/>
          <w:szCs w:val="32"/>
        </w:rPr>
        <w:t xml:space="preserve"> ；2101103-公务员医疗补助主要用于</w:t>
      </w:r>
    </w:p>
    <w:p>
      <w:pPr>
        <w:ind w:firstLine="640" w:firstLineChars="200"/>
        <w:rPr>
          <w:rFonts w:ascii="仿宋_GB2312" w:eastAsia="仿宋_GB2312"/>
          <w:sz w:val="32"/>
          <w:szCs w:val="32"/>
        </w:rPr>
      </w:pPr>
      <w:r>
        <w:rPr>
          <w:rFonts w:hint="eastAsia" w:ascii="仿宋_GB2312" w:eastAsia="仿宋_GB2312"/>
          <w:sz w:val="32"/>
          <w:szCs w:val="32"/>
        </w:rPr>
        <w:t>25.住房保障</w:t>
      </w:r>
      <w:r>
        <w:rPr>
          <w:rFonts w:hint="eastAsia" w:ascii="仿宋_GB2312" w:hAnsi="仿宋_GB2312" w:eastAsia="仿宋_GB2312" w:cs="仿宋_GB2312"/>
          <w:color w:val="000000"/>
          <w:sz w:val="32"/>
          <w:szCs w:val="32"/>
        </w:rPr>
        <w:t>2210201-住房公积金支出，该支出主要用于支付职工住房公积金。</w:t>
      </w:r>
    </w:p>
    <w:p>
      <w:pPr>
        <w:ind w:firstLine="640" w:firstLineChars="200"/>
        <w:rPr>
          <w:rFonts w:ascii="仿宋_GB2312" w:eastAsia="仿宋_GB2312"/>
          <w:sz w:val="32"/>
          <w:szCs w:val="32"/>
        </w:rPr>
      </w:pPr>
      <w:r>
        <w:rPr>
          <w:rFonts w:hint="eastAsia" w:ascii="仿宋_GB2312" w:eastAsia="仿宋_GB2312"/>
          <w:sz w:val="32"/>
          <w:szCs w:val="32"/>
        </w:rPr>
        <w:t>27.基本支出：指为保障机构正常运转、完成日常工作任务而发生的人员支出和公用支出。</w:t>
      </w:r>
    </w:p>
    <w:p>
      <w:pPr>
        <w:ind w:firstLine="640" w:firstLineChars="200"/>
        <w:rPr>
          <w:rFonts w:ascii="仿宋_GB2312" w:eastAsia="仿宋_GB2312"/>
          <w:sz w:val="32"/>
          <w:szCs w:val="32"/>
        </w:rPr>
      </w:pPr>
      <w:r>
        <w:rPr>
          <w:rFonts w:hint="eastAsia" w:ascii="仿宋_GB2312" w:eastAsia="仿宋_GB2312"/>
          <w:sz w:val="32"/>
          <w:szCs w:val="32"/>
        </w:rPr>
        <w:t xml:space="preserve">28.项目支出：指在基本支出之外为完成特定行政任务和事业发展目标所发生的支出。 </w:t>
      </w:r>
    </w:p>
    <w:p>
      <w:pPr>
        <w:ind w:firstLine="640" w:firstLineChars="200"/>
        <w:rPr>
          <w:rFonts w:ascii="仿宋_GB2312" w:eastAsia="仿宋_GB2312"/>
          <w:sz w:val="32"/>
          <w:szCs w:val="32"/>
        </w:rPr>
      </w:pPr>
      <w:r>
        <w:rPr>
          <w:rFonts w:hint="eastAsia" w:ascii="仿宋_GB2312" w:eastAsia="仿宋_GB2312"/>
          <w:sz w:val="32"/>
          <w:szCs w:val="32"/>
        </w:rPr>
        <w:t>29.经营支出：指事业单位在专业业务活动及其辅助活动之外开展非独立核算经营活动发生的支出。</w:t>
      </w:r>
    </w:p>
    <w:p>
      <w:pPr>
        <w:ind w:firstLine="640" w:firstLineChars="200"/>
        <w:rPr>
          <w:rFonts w:ascii="仿宋_GB2312" w:eastAsia="仿宋_GB2312"/>
          <w:sz w:val="32"/>
          <w:szCs w:val="32"/>
        </w:rPr>
      </w:pPr>
      <w:r>
        <w:rPr>
          <w:rFonts w:hint="eastAsia" w:ascii="仿宋_GB2312" w:eastAsia="仿宋_GB2312"/>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pPr>
      <w:r>
        <w:rPr>
          <w:rFonts w:hint="eastAsia" w:ascii="仿宋_GB2312" w:eastAsia="仿宋_GB2312"/>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3" w:firstLineChars="200"/>
        <w:rPr>
          <w:rFonts w:hint="eastAsia" w:ascii="仿宋" w:hAnsi="仿宋" w:eastAsia="仿宋"/>
          <w:b/>
          <w:sz w:val="32"/>
          <w:szCs w:val="32"/>
        </w:rPr>
      </w:pPr>
      <w:r>
        <w:rPr>
          <w:rFonts w:ascii="仿宋" w:hAnsi="仿宋" w:eastAsia="仿宋"/>
          <w:b/>
          <w:sz w:val="32"/>
          <w:szCs w:val="32"/>
        </w:rPr>
        <w:br w:type="page"/>
      </w:r>
    </w:p>
    <w:p>
      <w:pPr>
        <w:pStyle w:val="5"/>
        <w:jc w:val="center"/>
        <w:rPr>
          <w:rFonts w:hint="eastAsia" w:ascii="黑体" w:hAnsi="黑体" w:eastAsia="黑体"/>
          <w:b w:val="0"/>
        </w:rPr>
      </w:pPr>
      <w:bookmarkStart w:id="95" w:name="_Toc3343"/>
      <w:bookmarkStart w:id="96" w:name="_Toc19903"/>
      <w:r>
        <w:rPr>
          <w:rFonts w:hint="eastAsia" w:ascii="黑体" w:hAnsi="黑体" w:eastAsia="黑体"/>
          <w:b w:val="0"/>
        </w:rPr>
        <w:t>第四部分 附件</w:t>
      </w:r>
      <w:bookmarkEnd w:id="95"/>
      <w:bookmarkEnd w:id="96"/>
    </w:p>
    <w:p/>
    <w:p>
      <w:pPr>
        <w:rPr>
          <w:rFonts w:hint="eastAsia" w:ascii="黑体" w:hAnsi="黑体" w:eastAsia="黑体"/>
          <w:sz w:val="32"/>
          <w:szCs w:val="32"/>
        </w:rPr>
      </w:pPr>
      <w:r>
        <w:rPr>
          <w:rFonts w:hint="eastAsia" w:ascii="黑体" w:hAnsi="黑体" w:eastAsia="黑体"/>
          <w:sz w:val="32"/>
          <w:szCs w:val="32"/>
        </w:rPr>
        <w:t>附件1</w:t>
      </w:r>
    </w:p>
    <w:p>
      <w:pPr>
        <w:jc w:val="center"/>
        <w:rPr>
          <w:rFonts w:hint="eastAsia" w:ascii="方正小标宋简体" w:hAnsi="方正小标宋简体" w:eastAsia="方正小标宋简体"/>
          <w:sz w:val="44"/>
          <w:szCs w:val="44"/>
        </w:rPr>
      </w:pPr>
      <w:r>
        <w:rPr>
          <w:rFonts w:hint="eastAsia" w:ascii="方正小标宋简体" w:hAnsi="方正小标宋简体" w:eastAsia="方正小标宋简体"/>
          <w:sz w:val="44"/>
          <w:szCs w:val="44"/>
        </w:rPr>
        <w:t>部门预算绩效评价报告</w:t>
      </w:r>
    </w:p>
    <w:p/>
    <w:p>
      <w:pPr>
        <w:rPr>
          <w:rFonts w:hint="eastAsia" w:ascii="黑体" w:hAnsi="黑体" w:eastAsia="黑体"/>
          <w:sz w:val="32"/>
          <w:szCs w:val="32"/>
        </w:rPr>
      </w:pPr>
      <w:r>
        <w:rPr>
          <w:rFonts w:hint="eastAsia" w:ascii="黑体" w:hAnsi="黑体" w:eastAsia="黑体"/>
          <w:sz w:val="32"/>
          <w:szCs w:val="32"/>
        </w:rPr>
        <w:t>一、部门（单位）基本情况</w:t>
      </w:r>
    </w:p>
    <w:p>
      <w:pPr>
        <w:pStyle w:val="8"/>
        <w:autoSpaceDE w:val="0"/>
        <w:adjustRightInd w:val="0"/>
        <w:snapToGrid w:val="0"/>
        <w:spacing w:before="93" w:line="530" w:lineRule="exact"/>
        <w:ind w:firstLine="643" w:firstLineChars="200"/>
        <w:rPr>
          <w:rFonts w:ascii="楷体_GB2312" w:eastAsia="楷体_GB2312"/>
          <w:b/>
          <w:sz w:val="32"/>
          <w:szCs w:val="32"/>
        </w:rPr>
      </w:pPr>
      <w:r>
        <w:rPr>
          <w:rFonts w:hint="eastAsia" w:ascii="楷体_GB2312" w:eastAsia="楷体_GB2312"/>
          <w:b/>
          <w:sz w:val="32"/>
          <w:szCs w:val="32"/>
        </w:rPr>
        <w:t>（一）机构组成。</w:t>
      </w:r>
    </w:p>
    <w:p>
      <w:pPr>
        <w:pStyle w:val="8"/>
        <w:autoSpaceDE w:val="0"/>
        <w:adjustRightInd w:val="0"/>
        <w:snapToGrid w:val="0"/>
        <w:spacing w:before="93" w:line="530" w:lineRule="exact"/>
        <w:ind w:firstLine="640" w:firstLineChars="200"/>
        <w:rPr>
          <w:kern w:val="2"/>
          <w:sz w:val="32"/>
          <w:szCs w:val="32"/>
        </w:rPr>
      </w:pPr>
      <w:r>
        <w:rPr>
          <w:rFonts w:hint="eastAsia"/>
          <w:kern w:val="2"/>
          <w:sz w:val="32"/>
          <w:szCs w:val="32"/>
        </w:rPr>
        <w:t>红原县工商联下设单位（股室）1个，其中行政单位1个，参照公务员法管理的事业单位0个，其他事业单位0个。属一级预算行政单位，执行的是政府会计制度。</w:t>
      </w:r>
    </w:p>
    <w:p>
      <w:pPr>
        <w:ind w:firstLine="640" w:firstLineChars="200"/>
        <w:rPr>
          <w:rFonts w:ascii="仿宋_GB2312" w:eastAsia="仿宋_GB2312" w:cs="仿宋_GB2312"/>
          <w:sz w:val="32"/>
          <w:szCs w:val="32"/>
        </w:rPr>
      </w:pPr>
      <w:r>
        <w:rPr>
          <w:rFonts w:hint="eastAsia" w:ascii="仿宋_GB2312" w:eastAsia="仿宋_GB2312"/>
          <w:sz w:val="32"/>
          <w:szCs w:val="32"/>
        </w:rPr>
        <w:t>本单位是独立核算的机构，是独立编报预算的单位。</w:t>
      </w:r>
    </w:p>
    <w:p>
      <w:pPr>
        <w:pStyle w:val="15"/>
        <w:widowControl/>
        <w:numPr>
          <w:ilvl w:val="0"/>
          <w:numId w:val="4"/>
        </w:numPr>
        <w:spacing w:before="106" w:beforeAutospacing="0" w:after="106" w:afterAutospacing="0" w:line="20" w:lineRule="atLeast"/>
        <w:ind w:firstLine="643" w:firstLineChars="200"/>
        <w:rPr>
          <w:rFonts w:ascii="楷体_GB2312" w:eastAsia="楷体_GB2312"/>
          <w:b/>
          <w:sz w:val="32"/>
          <w:szCs w:val="32"/>
        </w:rPr>
      </w:pPr>
      <w:r>
        <w:rPr>
          <w:rFonts w:hint="eastAsia" w:ascii="楷体_GB2312" w:eastAsia="楷体_GB2312"/>
          <w:b/>
          <w:sz w:val="32"/>
          <w:szCs w:val="32"/>
        </w:rPr>
        <w:t>机构职能。</w:t>
      </w:r>
    </w:p>
    <w:p>
      <w:pPr>
        <w:pStyle w:val="8"/>
        <w:autoSpaceDE w:val="0"/>
        <w:adjustRightInd w:val="0"/>
        <w:snapToGrid w:val="0"/>
        <w:spacing w:before="93" w:line="530" w:lineRule="exact"/>
        <w:ind w:firstLine="640" w:firstLineChars="200"/>
        <w:rPr>
          <w:kern w:val="2"/>
          <w:sz w:val="32"/>
          <w:szCs w:val="32"/>
        </w:rPr>
      </w:pPr>
      <w:r>
        <w:rPr>
          <w:rFonts w:hint="eastAsia"/>
          <w:kern w:val="2"/>
          <w:sz w:val="32"/>
          <w:szCs w:val="32"/>
        </w:rPr>
        <w:t>（1）紧紧围绕党和政府的中心任务开展工作，团结、动员、组织妇女群众投身改革开放和社会主义物质文明、精神文明的建设，积极促进经济发展和社会进步，为维护改革发展稳定的大局服务。</w:t>
      </w:r>
    </w:p>
    <w:p>
      <w:pPr>
        <w:pStyle w:val="8"/>
        <w:autoSpaceDE w:val="0"/>
        <w:adjustRightInd w:val="0"/>
        <w:snapToGrid w:val="0"/>
        <w:spacing w:before="93" w:line="530" w:lineRule="exact"/>
        <w:ind w:firstLine="640" w:firstLineChars="200"/>
        <w:rPr>
          <w:kern w:val="2"/>
          <w:sz w:val="32"/>
          <w:szCs w:val="32"/>
        </w:rPr>
      </w:pPr>
      <w:r>
        <w:rPr>
          <w:rFonts w:hint="eastAsia"/>
          <w:kern w:val="2"/>
          <w:sz w:val="32"/>
          <w:szCs w:val="32"/>
        </w:rPr>
        <w:t>（2）教育、引导妇女群众树立正确的世界观、人生观、价值观、弘扬“自尊、自信、自立、自强”的精神，积极推动和开展对妇女的科技文化及生产劳动技能教育，全面提高妇女素质。</w:t>
      </w:r>
    </w:p>
    <w:p>
      <w:pPr>
        <w:pStyle w:val="8"/>
        <w:autoSpaceDE w:val="0"/>
        <w:adjustRightInd w:val="0"/>
        <w:snapToGrid w:val="0"/>
        <w:spacing w:before="93" w:line="530" w:lineRule="exact"/>
        <w:ind w:firstLine="640" w:firstLineChars="200"/>
        <w:rPr>
          <w:kern w:val="2"/>
          <w:sz w:val="32"/>
          <w:szCs w:val="32"/>
        </w:rPr>
      </w:pPr>
      <w:r>
        <w:rPr>
          <w:rFonts w:hint="eastAsia"/>
          <w:kern w:val="2"/>
          <w:sz w:val="32"/>
          <w:szCs w:val="32"/>
        </w:rPr>
        <w:t>（3）代表妇女参加国家和社会事务的民主管理和民主监督；关注并加强研究妇女切身利益的热点、难点问题。</w:t>
      </w:r>
    </w:p>
    <w:p>
      <w:pPr>
        <w:pStyle w:val="8"/>
        <w:autoSpaceDE w:val="0"/>
        <w:adjustRightInd w:val="0"/>
        <w:snapToGrid w:val="0"/>
        <w:spacing w:before="93" w:line="530" w:lineRule="exact"/>
        <w:ind w:firstLine="640" w:firstLineChars="200"/>
        <w:rPr>
          <w:rFonts w:ascii="楷体_GB2312" w:eastAsia="楷体_GB2312"/>
          <w:b/>
          <w:sz w:val="32"/>
          <w:szCs w:val="32"/>
        </w:rPr>
      </w:pPr>
      <w:r>
        <w:rPr>
          <w:rFonts w:hint="eastAsia"/>
          <w:kern w:val="2"/>
          <w:sz w:val="32"/>
          <w:szCs w:val="32"/>
        </w:rPr>
        <w:t>（4）坚持为妇女儿童服务、为基层服务，加强与社会各界的联系、协调推动全社会为妇女儿童办实事，办好事。</w:t>
      </w:r>
    </w:p>
    <w:p>
      <w:pPr>
        <w:ind w:firstLine="643" w:firstLineChars="200"/>
        <w:rPr>
          <w:rFonts w:ascii="楷体_GB2312" w:eastAsia="楷体_GB2312"/>
          <w:b/>
          <w:sz w:val="32"/>
          <w:szCs w:val="32"/>
        </w:rPr>
      </w:pPr>
      <w:r>
        <w:rPr>
          <w:rFonts w:hint="eastAsia" w:ascii="楷体_GB2312" w:eastAsia="楷体_GB2312"/>
          <w:b/>
          <w:sz w:val="32"/>
          <w:szCs w:val="32"/>
        </w:rPr>
        <w:t>（三）人员概况。</w:t>
      </w:r>
    </w:p>
    <w:p>
      <w:pPr>
        <w:ind w:firstLine="640" w:firstLineChars="200"/>
        <w:rPr>
          <w:rFonts w:ascii="仿宋_GB2312" w:eastAsia="仿宋_GB2312"/>
          <w:sz w:val="32"/>
          <w:szCs w:val="32"/>
        </w:rPr>
      </w:pPr>
      <w:r>
        <w:rPr>
          <w:rFonts w:hint="eastAsia" w:ascii="仿宋_GB2312" w:eastAsia="仿宋_GB2312"/>
          <w:sz w:val="32"/>
          <w:szCs w:val="32"/>
        </w:rPr>
        <w:t>截至2023年末，我单位共有编制5人，下属二级预算单位0个，年末公务员2人，参照公务员法管理人员3人。</w:t>
      </w:r>
    </w:p>
    <w:p>
      <w:pPr>
        <w:rPr>
          <w:rFonts w:hint="eastAsia" w:ascii="黑体" w:hAnsi="黑体" w:eastAsia="黑体"/>
          <w:sz w:val="32"/>
          <w:szCs w:val="32"/>
        </w:rPr>
      </w:pPr>
      <w:r>
        <w:rPr>
          <w:rFonts w:hint="eastAsia" w:ascii="黑体" w:hAnsi="黑体" w:eastAsia="黑体"/>
          <w:sz w:val="32"/>
          <w:szCs w:val="32"/>
        </w:rPr>
        <w:t>二、部门资金收支情况</w:t>
      </w:r>
    </w:p>
    <w:p>
      <w:pPr>
        <w:ind w:firstLine="643" w:firstLineChars="200"/>
        <w:rPr>
          <w:rFonts w:ascii="楷体_GB2312" w:eastAsia="楷体_GB2312"/>
          <w:b/>
          <w:sz w:val="32"/>
          <w:szCs w:val="32"/>
        </w:rPr>
      </w:pPr>
      <w:r>
        <w:rPr>
          <w:rFonts w:hint="eastAsia" w:ascii="楷体_GB2312" w:eastAsia="楷体_GB2312"/>
          <w:b/>
          <w:sz w:val="32"/>
          <w:szCs w:val="32"/>
        </w:rPr>
        <w:t>（一）收入情况。</w:t>
      </w:r>
    </w:p>
    <w:p>
      <w:pPr>
        <w:ind w:firstLine="640" w:firstLineChars="200"/>
        <w:rPr>
          <w:rFonts w:ascii="仿宋_GB2312" w:eastAsia="仿宋_GB2312"/>
          <w:sz w:val="32"/>
          <w:szCs w:val="32"/>
        </w:rPr>
      </w:pPr>
      <w:r>
        <w:rPr>
          <w:rFonts w:hint="eastAsia" w:ascii="仿宋_GB2312" w:eastAsia="仿宋_GB2312"/>
          <w:sz w:val="32"/>
          <w:szCs w:val="32"/>
        </w:rPr>
        <w:t>本单位本年度总收入为175.65万元,其中：一般公共预算财政拨款收入为175.65万元，占比100.00%。较上年收入7.01万元增加。</w:t>
      </w:r>
    </w:p>
    <w:p>
      <w:pPr>
        <w:numPr>
          <w:ilvl w:val="0"/>
          <w:numId w:val="4"/>
        </w:numPr>
        <w:snapToGrid w:val="0"/>
        <w:spacing w:line="560" w:lineRule="exact"/>
        <w:ind w:firstLine="643" w:firstLineChars="200"/>
        <w:rPr>
          <w:rFonts w:ascii="楷体_GB2312" w:eastAsia="楷体_GB2312"/>
          <w:b/>
          <w:sz w:val="32"/>
          <w:szCs w:val="32"/>
        </w:rPr>
      </w:pPr>
      <w:r>
        <w:rPr>
          <w:rFonts w:hint="eastAsia" w:ascii="楷体_GB2312" w:eastAsia="楷体_GB2312"/>
          <w:b/>
          <w:sz w:val="32"/>
          <w:szCs w:val="32"/>
        </w:rPr>
        <w:t>支出情况。</w:t>
      </w:r>
    </w:p>
    <w:p>
      <w:pPr>
        <w:ind w:firstLine="640" w:firstLineChars="200"/>
        <w:rPr>
          <w:rFonts w:ascii="仿宋_GB2312" w:eastAsia="仿宋_GB2312"/>
          <w:sz w:val="32"/>
          <w:szCs w:val="32"/>
          <w:lang w:val="zh-CN"/>
        </w:rPr>
      </w:pPr>
      <w:r>
        <w:rPr>
          <w:rFonts w:hint="eastAsia" w:ascii="仿宋_GB2312" w:eastAsia="仿宋_GB2312"/>
          <w:sz w:val="32"/>
          <w:szCs w:val="32"/>
        </w:rPr>
        <w:t>本年度总支出为175.65万元。其中：一般公共服务支出为141.60万元，占比80.61%；社会保障和就业支出为17.82万元，占比10.15%；卫生健康支出为7.57万元，占比4.31%；住房保障支出为8.65万元，占比4.92%；较上年支出168.65万元增加7万元。</w:t>
      </w:r>
    </w:p>
    <w:p>
      <w:pPr>
        <w:numPr>
          <w:ilvl w:val="0"/>
          <w:numId w:val="4"/>
        </w:numPr>
        <w:ind w:firstLine="643" w:firstLineChars="200"/>
        <w:rPr>
          <w:rFonts w:ascii="楷体_GB2312" w:eastAsia="楷体_GB2312"/>
          <w:b/>
          <w:sz w:val="32"/>
          <w:szCs w:val="32"/>
        </w:rPr>
      </w:pPr>
      <w:r>
        <w:rPr>
          <w:rFonts w:hint="eastAsia" w:ascii="楷体_GB2312" w:eastAsia="楷体_GB2312"/>
          <w:b/>
          <w:sz w:val="32"/>
          <w:szCs w:val="32"/>
        </w:rPr>
        <w:t>结余分配和结转结余情况。</w:t>
      </w:r>
    </w:p>
    <w:p>
      <w:pPr>
        <w:ind w:firstLine="640" w:firstLineChars="200"/>
        <w:rPr>
          <w:rFonts w:ascii="仿宋_GB2312" w:eastAsia="仿宋_GB2312"/>
          <w:sz w:val="32"/>
          <w:szCs w:val="32"/>
        </w:rPr>
      </w:pPr>
      <w:r>
        <w:rPr>
          <w:rFonts w:hint="eastAsia" w:ascii="仿宋_GB2312" w:eastAsia="仿宋_GB2312"/>
          <w:sz w:val="32"/>
          <w:szCs w:val="32"/>
        </w:rPr>
        <w:t>我单位2023年决算报表无结转结余情况。</w:t>
      </w:r>
    </w:p>
    <w:p>
      <w:pPr>
        <w:rPr>
          <w:rFonts w:hint="eastAsia" w:ascii="黑体" w:hAnsi="黑体" w:eastAsia="黑体"/>
          <w:sz w:val="32"/>
          <w:szCs w:val="32"/>
        </w:rPr>
      </w:pPr>
      <w:r>
        <w:rPr>
          <w:rFonts w:hint="eastAsia" w:ascii="黑体" w:hAnsi="黑体" w:eastAsia="黑体"/>
          <w:sz w:val="32"/>
          <w:szCs w:val="32"/>
        </w:rPr>
        <w:t>三、部门预算绩效分析</w:t>
      </w:r>
    </w:p>
    <w:p>
      <w:pPr>
        <w:rPr>
          <w:rFonts w:ascii="仿宋_GB2312" w:eastAsia="仿宋_GB2312"/>
          <w:sz w:val="32"/>
          <w:szCs w:val="32"/>
        </w:rPr>
      </w:pPr>
      <w:r>
        <w:rPr>
          <w:rFonts w:hint="eastAsia" w:ascii="楷体_GB2312" w:eastAsia="楷体_GB2312"/>
          <w:b/>
          <w:sz w:val="32"/>
          <w:szCs w:val="32"/>
        </w:rPr>
        <w:t>（一）部门预算总体绩效分析。</w:t>
      </w:r>
      <w:r>
        <w:rPr>
          <w:rFonts w:hint="eastAsia" w:ascii="仿宋_GB2312" w:eastAsia="仿宋_GB2312"/>
          <w:sz w:val="32"/>
          <w:szCs w:val="32"/>
        </w:rPr>
        <w:t>根据部门预算绩效评价指标体系“总体绩效”涉及二、三级指标进行逐项绩效分析并评分，依次包括履职效能、预算管理、财务管理、资产管理、采购管理等情况。</w:t>
      </w:r>
    </w:p>
    <w:p>
      <w:pPr>
        <w:ind w:firstLine="640" w:firstLineChars="200"/>
        <w:rPr>
          <w:rFonts w:ascii="仿宋_GB2312" w:eastAsia="仿宋_GB2312"/>
          <w:sz w:val="32"/>
          <w:szCs w:val="32"/>
          <w:lang w:val="zh-CN"/>
        </w:rPr>
      </w:pPr>
      <w:r>
        <w:rPr>
          <w:rFonts w:hint="eastAsia" w:ascii="仿宋_GB2312" w:eastAsia="仿宋_GB2312"/>
          <w:sz w:val="32"/>
          <w:szCs w:val="32"/>
        </w:rPr>
        <w:t>1.</w:t>
      </w:r>
      <w:r>
        <w:rPr>
          <w:rFonts w:hint="eastAsia" w:ascii="仿宋_GB2312" w:eastAsia="仿宋_GB2312"/>
          <w:sz w:val="32"/>
          <w:szCs w:val="32"/>
          <w:lang w:val="zh-CN"/>
        </w:rPr>
        <w:t>履职</w:t>
      </w:r>
      <w:r>
        <w:rPr>
          <w:rFonts w:hint="eastAsia" w:ascii="仿宋_GB2312" w:eastAsia="仿宋_GB2312"/>
          <w:sz w:val="32"/>
          <w:szCs w:val="32"/>
        </w:rPr>
        <w:t>效能</w:t>
      </w:r>
      <w:r>
        <w:rPr>
          <w:rFonts w:hint="eastAsia" w:ascii="仿宋_GB2312" w:eastAsia="仿宋_GB2312"/>
          <w:sz w:val="32"/>
          <w:szCs w:val="32"/>
          <w:lang w:val="zh-CN"/>
        </w:rPr>
        <w:t>。</w:t>
      </w:r>
    </w:p>
    <w:p>
      <w:pPr>
        <w:ind w:firstLine="640" w:firstLineChars="200"/>
        <w:rPr>
          <w:rFonts w:ascii="仿宋_GB2312" w:eastAsia="仿宋_GB2312"/>
          <w:sz w:val="32"/>
          <w:szCs w:val="32"/>
        </w:rPr>
      </w:pPr>
      <w:r>
        <w:rPr>
          <w:rFonts w:hint="eastAsia" w:ascii="仿宋_GB2312" w:eastAsia="仿宋_GB2312"/>
          <w:sz w:val="32"/>
          <w:szCs w:val="32"/>
        </w:rPr>
        <w:t>产出指标：数量指标，开展培训活动，大于等于2场次，全年完成值100%。</w:t>
      </w:r>
    </w:p>
    <w:p>
      <w:pPr>
        <w:ind w:firstLine="640" w:firstLineChars="200"/>
        <w:rPr>
          <w:rFonts w:ascii="仿宋_GB2312" w:eastAsia="仿宋_GB2312"/>
          <w:sz w:val="32"/>
          <w:szCs w:val="32"/>
        </w:rPr>
      </w:pPr>
      <w:r>
        <w:rPr>
          <w:rFonts w:hint="eastAsia" w:ascii="仿宋_GB2312" w:eastAsia="仿宋_GB2312"/>
          <w:sz w:val="32"/>
          <w:szCs w:val="32"/>
        </w:rPr>
        <w:t>产出指标：数量指标，开展慰问活动，大于等于3场次，全年完成值100%。</w:t>
      </w:r>
    </w:p>
    <w:p>
      <w:pPr>
        <w:ind w:firstLine="640" w:firstLineChars="200"/>
        <w:rPr>
          <w:rFonts w:ascii="仿宋_GB2312" w:eastAsia="仿宋_GB2312"/>
          <w:sz w:val="32"/>
          <w:szCs w:val="32"/>
        </w:rPr>
      </w:pPr>
      <w:r>
        <w:rPr>
          <w:rFonts w:hint="eastAsia" w:ascii="仿宋_GB2312" w:eastAsia="仿宋_GB2312"/>
          <w:sz w:val="32"/>
          <w:szCs w:val="32"/>
        </w:rPr>
        <w:t>产出指标：数量指标，开展宣传活动，大于等于4场次，全年完成值100%。</w:t>
      </w:r>
    </w:p>
    <w:p>
      <w:pPr>
        <w:ind w:firstLine="640" w:firstLineChars="200"/>
        <w:rPr>
          <w:rFonts w:ascii="仿宋_GB2312" w:eastAsia="仿宋_GB2312"/>
          <w:sz w:val="32"/>
          <w:szCs w:val="32"/>
        </w:rPr>
      </w:pPr>
      <w:r>
        <w:rPr>
          <w:rFonts w:hint="eastAsia" w:ascii="仿宋_GB2312" w:eastAsia="仿宋_GB2312"/>
          <w:sz w:val="32"/>
          <w:szCs w:val="32"/>
        </w:rPr>
        <w:t>效益指标：社会效益指标，维护妇女儿童合法权益，促进社会稳定，进一步提高，全年完成值进一步提高。</w:t>
      </w:r>
    </w:p>
    <w:p>
      <w:pPr>
        <w:ind w:firstLine="640" w:firstLineChars="200"/>
        <w:rPr>
          <w:rFonts w:ascii="仿宋_GB2312" w:eastAsia="仿宋_GB2312"/>
          <w:sz w:val="32"/>
          <w:szCs w:val="32"/>
          <w:lang w:val="zh-CN"/>
        </w:rPr>
      </w:pPr>
      <w:r>
        <w:rPr>
          <w:rFonts w:hint="eastAsia" w:ascii="仿宋_GB2312" w:eastAsia="仿宋_GB2312"/>
          <w:sz w:val="32"/>
          <w:szCs w:val="32"/>
        </w:rPr>
        <w:t>满意度指标：服务对象满意度指标，妇女儿童满意度，定性指标，进一步提高，全年完成值进一步提高。</w:t>
      </w:r>
    </w:p>
    <w:p>
      <w:pPr>
        <w:ind w:firstLine="640" w:firstLineChars="200"/>
        <w:rPr>
          <w:rFonts w:ascii="仿宋_GB2312" w:eastAsia="仿宋_GB2312"/>
          <w:sz w:val="32"/>
          <w:szCs w:val="32"/>
          <w:lang w:val="zh-CN"/>
        </w:rPr>
      </w:pPr>
      <w:r>
        <w:rPr>
          <w:rFonts w:hint="eastAsia" w:ascii="仿宋_GB2312" w:eastAsia="仿宋_GB2312"/>
          <w:sz w:val="32"/>
          <w:szCs w:val="32"/>
        </w:rPr>
        <w:t>2.</w:t>
      </w:r>
      <w:r>
        <w:rPr>
          <w:rFonts w:hint="eastAsia" w:ascii="仿宋_GB2312" w:eastAsia="仿宋_GB2312"/>
          <w:sz w:val="32"/>
          <w:szCs w:val="32"/>
          <w:lang w:val="zh-CN"/>
        </w:rPr>
        <w:t>预算管理。</w:t>
      </w:r>
    </w:p>
    <w:p>
      <w:pPr>
        <w:ind w:firstLine="640" w:firstLineChars="200"/>
        <w:rPr>
          <w:rFonts w:ascii="仿宋_GB2312" w:eastAsia="仿宋_GB2312"/>
          <w:sz w:val="32"/>
          <w:szCs w:val="32"/>
        </w:rPr>
      </w:pPr>
      <w:r>
        <w:rPr>
          <w:rFonts w:hint="eastAsia" w:ascii="仿宋_GB2312" w:eastAsia="仿宋_GB2312"/>
          <w:sz w:val="32"/>
          <w:szCs w:val="32"/>
          <w:lang w:val="zh-CN"/>
        </w:rPr>
        <w:t>实际收入与预算收入无差异，实际支出与预算支出无差异。所有应纳入预算的项目被涵盖</w:t>
      </w:r>
      <w:r>
        <w:rPr>
          <w:rFonts w:hint="eastAsia" w:ascii="仿宋_GB2312" w:eastAsia="仿宋_GB2312"/>
          <w:sz w:val="32"/>
          <w:szCs w:val="32"/>
        </w:rPr>
        <w:t>100%，预算分配与单位的年度总体目标相匹配。预算编制符合法律法规和内部政策制度。</w:t>
      </w:r>
    </w:p>
    <w:p>
      <w:pPr>
        <w:ind w:firstLine="640" w:firstLineChars="200"/>
        <w:rPr>
          <w:rFonts w:ascii="仿宋_GB2312" w:eastAsia="仿宋_GB2312"/>
          <w:sz w:val="32"/>
          <w:szCs w:val="32"/>
          <w:lang w:val="zh-CN"/>
        </w:rPr>
      </w:pPr>
      <w:r>
        <w:rPr>
          <w:rFonts w:hint="eastAsia" w:ascii="仿宋_GB2312" w:eastAsia="仿宋_GB2312"/>
          <w:sz w:val="32"/>
          <w:szCs w:val="32"/>
          <w:lang w:val="zh-CN"/>
        </w:rPr>
        <w:t>单位收入统筹：</w:t>
      </w:r>
      <w:r>
        <w:rPr>
          <w:rFonts w:hint="eastAsia" w:ascii="仿宋_GB2312" w:eastAsia="仿宋_GB2312"/>
          <w:sz w:val="32"/>
          <w:szCs w:val="32"/>
        </w:rPr>
        <w:t>本单位2023年收入全年预算数为175.65万元，收入决算数为175.65万元，预算完成度为100%。</w:t>
      </w:r>
      <w:r>
        <w:rPr>
          <w:rFonts w:hint="eastAsia" w:ascii="仿宋_GB2312" w:eastAsia="仿宋_GB2312"/>
          <w:sz w:val="32"/>
          <w:szCs w:val="32"/>
          <w:lang w:val="zh-CN"/>
        </w:rPr>
        <w:t>20</w:t>
      </w:r>
      <w:r>
        <w:rPr>
          <w:rFonts w:hint="eastAsia" w:ascii="仿宋_GB2312" w:eastAsia="仿宋_GB2312"/>
          <w:sz w:val="32"/>
          <w:szCs w:val="32"/>
        </w:rPr>
        <w:t>23</w:t>
      </w:r>
      <w:r>
        <w:rPr>
          <w:rFonts w:hint="eastAsia" w:ascii="仿宋_GB2312" w:eastAsia="仿宋_GB2312"/>
          <w:sz w:val="32"/>
          <w:szCs w:val="32"/>
          <w:lang w:val="zh-CN"/>
        </w:rPr>
        <w:t>年度总收入</w:t>
      </w:r>
      <w:r>
        <w:rPr>
          <w:rFonts w:hint="eastAsia" w:ascii="仿宋_GB2312" w:eastAsia="仿宋_GB2312"/>
          <w:sz w:val="32"/>
          <w:szCs w:val="32"/>
        </w:rPr>
        <w:t>175.65</w:t>
      </w:r>
      <w:r>
        <w:rPr>
          <w:rFonts w:hint="eastAsia" w:ascii="仿宋_GB2312" w:eastAsia="仿宋_GB2312"/>
          <w:sz w:val="32"/>
          <w:szCs w:val="32"/>
          <w:lang w:val="zh-CN"/>
        </w:rPr>
        <w:t>万元，其中：财政拨款收入</w:t>
      </w:r>
      <w:r>
        <w:rPr>
          <w:rFonts w:hint="eastAsia" w:ascii="仿宋_GB2312" w:eastAsia="仿宋_GB2312"/>
          <w:sz w:val="32"/>
          <w:szCs w:val="32"/>
        </w:rPr>
        <w:t>175.65</w:t>
      </w:r>
      <w:r>
        <w:rPr>
          <w:rFonts w:hint="eastAsia" w:ascii="仿宋_GB2312" w:eastAsia="仿宋_GB2312"/>
          <w:sz w:val="32"/>
          <w:szCs w:val="32"/>
          <w:lang w:val="zh-CN"/>
        </w:rPr>
        <w:t>万元，占</w:t>
      </w:r>
      <w:r>
        <w:rPr>
          <w:rFonts w:hint="eastAsia" w:ascii="仿宋_GB2312" w:eastAsia="仿宋_GB2312"/>
          <w:sz w:val="32"/>
          <w:szCs w:val="32"/>
        </w:rPr>
        <w:t>100</w:t>
      </w:r>
      <w:r>
        <w:rPr>
          <w:rFonts w:hint="eastAsia" w:ascii="仿宋_GB2312" w:eastAsia="仿宋_GB2312"/>
          <w:sz w:val="32"/>
          <w:szCs w:val="32"/>
          <w:lang w:val="zh-CN"/>
        </w:rPr>
        <w:t>%；政府性基金预算财政拨款</w:t>
      </w:r>
      <w:r>
        <w:rPr>
          <w:rFonts w:hint="eastAsia" w:ascii="仿宋_GB2312" w:eastAsia="仿宋_GB2312"/>
          <w:sz w:val="32"/>
          <w:szCs w:val="32"/>
        </w:rPr>
        <w:t>0</w:t>
      </w:r>
      <w:r>
        <w:rPr>
          <w:rFonts w:hint="eastAsia" w:ascii="仿宋_GB2312" w:eastAsia="仿宋_GB2312"/>
          <w:sz w:val="32"/>
          <w:szCs w:val="32"/>
          <w:lang w:val="zh-CN"/>
        </w:rPr>
        <w:t>万元，占</w:t>
      </w:r>
      <w:r>
        <w:rPr>
          <w:rFonts w:hint="eastAsia" w:ascii="仿宋_GB2312" w:eastAsia="仿宋_GB2312"/>
          <w:sz w:val="32"/>
          <w:szCs w:val="32"/>
        </w:rPr>
        <w:t>0</w:t>
      </w:r>
      <w:r>
        <w:rPr>
          <w:rFonts w:hint="eastAsia" w:ascii="仿宋_GB2312" w:eastAsia="仿宋_GB2312"/>
          <w:sz w:val="32"/>
          <w:szCs w:val="32"/>
          <w:lang w:val="zh-CN"/>
        </w:rPr>
        <w:t>%；其他收入</w:t>
      </w:r>
      <w:r>
        <w:rPr>
          <w:rFonts w:hint="eastAsia" w:ascii="仿宋_GB2312" w:eastAsia="仿宋_GB2312"/>
          <w:sz w:val="32"/>
          <w:szCs w:val="32"/>
        </w:rPr>
        <w:t>0</w:t>
      </w:r>
      <w:r>
        <w:rPr>
          <w:rFonts w:hint="eastAsia" w:ascii="仿宋_GB2312" w:eastAsia="仿宋_GB2312"/>
          <w:sz w:val="32"/>
          <w:szCs w:val="32"/>
          <w:lang w:val="zh-CN"/>
        </w:rPr>
        <w:t>万元，占</w:t>
      </w:r>
      <w:r>
        <w:rPr>
          <w:rFonts w:hint="eastAsia" w:ascii="仿宋_GB2312" w:eastAsia="仿宋_GB2312"/>
          <w:sz w:val="32"/>
          <w:szCs w:val="32"/>
        </w:rPr>
        <w:t>0</w:t>
      </w:r>
      <w:r>
        <w:rPr>
          <w:rFonts w:hint="eastAsia" w:ascii="仿宋_GB2312" w:eastAsia="仿宋_GB2312"/>
          <w:sz w:val="32"/>
          <w:szCs w:val="32"/>
          <w:lang w:val="zh-CN"/>
        </w:rPr>
        <w:t>%；上级补助收入0万元，占0%；事业收入0万元，占0%；经营收入0万元，占0%；附属单位上缴收入0万元，占0%；上年项目支出结转和结余</w:t>
      </w:r>
      <w:r>
        <w:rPr>
          <w:rFonts w:hint="eastAsia" w:ascii="仿宋_GB2312" w:eastAsia="仿宋_GB2312"/>
          <w:sz w:val="32"/>
          <w:szCs w:val="32"/>
        </w:rPr>
        <w:t>0</w:t>
      </w:r>
      <w:r>
        <w:rPr>
          <w:rFonts w:hint="eastAsia" w:ascii="仿宋_GB2312" w:eastAsia="仿宋_GB2312"/>
          <w:sz w:val="32"/>
          <w:szCs w:val="32"/>
          <w:lang w:val="zh-CN"/>
        </w:rPr>
        <w:t>万元，占</w:t>
      </w:r>
      <w:r>
        <w:rPr>
          <w:rFonts w:hint="eastAsia" w:ascii="仿宋_GB2312" w:eastAsia="仿宋_GB2312"/>
          <w:sz w:val="32"/>
          <w:szCs w:val="32"/>
        </w:rPr>
        <w:t>0</w:t>
      </w:r>
      <w:r>
        <w:rPr>
          <w:rFonts w:hint="eastAsia" w:ascii="仿宋_GB2312" w:eastAsia="仿宋_GB2312"/>
          <w:sz w:val="32"/>
          <w:szCs w:val="32"/>
          <w:lang w:val="zh-CN"/>
        </w:rPr>
        <w:t>%。</w:t>
      </w:r>
    </w:p>
    <w:p>
      <w:pPr>
        <w:ind w:firstLine="640" w:firstLineChars="200"/>
        <w:rPr>
          <w:rFonts w:ascii="仿宋_GB2312" w:eastAsia="仿宋_GB2312"/>
          <w:sz w:val="32"/>
          <w:szCs w:val="32"/>
        </w:rPr>
      </w:pPr>
      <w:r>
        <w:rPr>
          <w:rFonts w:hint="eastAsia" w:ascii="仿宋_GB2312" w:eastAsia="仿宋_GB2312"/>
          <w:sz w:val="32"/>
          <w:szCs w:val="32"/>
          <w:lang w:val="zh-CN"/>
        </w:rPr>
        <w:t>支出执行进度：</w:t>
      </w:r>
      <w:r>
        <w:rPr>
          <w:rFonts w:hint="eastAsia" w:ascii="仿宋_GB2312" w:eastAsia="仿宋_GB2312"/>
          <w:sz w:val="32"/>
          <w:szCs w:val="32"/>
        </w:rPr>
        <w:t>2023年度支出全年预算数为175.65万元，支出决算数为175.65万元，预算完成度为100%，执行进度100%。</w:t>
      </w:r>
    </w:p>
    <w:p>
      <w:pPr>
        <w:ind w:firstLine="640" w:firstLineChars="200"/>
        <w:rPr>
          <w:rFonts w:ascii="仿宋_GB2312" w:eastAsia="仿宋_GB2312"/>
          <w:sz w:val="32"/>
          <w:szCs w:val="32"/>
          <w:lang w:val="zh-CN"/>
        </w:rPr>
      </w:pPr>
      <w:r>
        <w:rPr>
          <w:rFonts w:hint="eastAsia" w:ascii="仿宋_GB2312" w:eastAsia="仿宋_GB2312"/>
          <w:sz w:val="32"/>
          <w:szCs w:val="32"/>
          <w:lang w:val="zh-CN"/>
        </w:rPr>
        <w:t>预算年终结余：无。</w:t>
      </w:r>
    </w:p>
    <w:p>
      <w:pPr>
        <w:ind w:firstLine="640" w:firstLineChars="200"/>
        <w:rPr>
          <w:rFonts w:ascii="仿宋_GB2312" w:eastAsia="仿宋_GB2312"/>
          <w:sz w:val="32"/>
          <w:szCs w:val="32"/>
          <w:lang w:val="zh-CN"/>
        </w:rPr>
      </w:pPr>
      <w:r>
        <w:rPr>
          <w:rFonts w:hint="eastAsia" w:ascii="仿宋_GB2312" w:eastAsia="仿宋_GB2312"/>
          <w:sz w:val="32"/>
          <w:szCs w:val="32"/>
        </w:rPr>
        <w:t>3.</w:t>
      </w:r>
      <w:r>
        <w:rPr>
          <w:rFonts w:hint="eastAsia" w:ascii="仿宋_GB2312" w:eastAsia="仿宋_GB2312"/>
          <w:sz w:val="32"/>
          <w:szCs w:val="32"/>
          <w:lang w:val="zh-CN"/>
        </w:rPr>
        <w:t>财务管理。围绕财务管理制度、财务岗位设置、资金使用规范进行绩效分析。</w:t>
      </w:r>
    </w:p>
    <w:p>
      <w:pPr>
        <w:ind w:firstLine="640" w:firstLineChars="200"/>
        <w:rPr>
          <w:rFonts w:ascii="仿宋_GB2312" w:eastAsia="仿宋_GB2312"/>
          <w:sz w:val="32"/>
          <w:szCs w:val="32"/>
          <w:lang w:val="zh-CN"/>
        </w:rPr>
      </w:pPr>
      <w:r>
        <w:rPr>
          <w:rFonts w:hint="eastAsia" w:ascii="仿宋_GB2312" w:eastAsia="仿宋_GB2312"/>
          <w:sz w:val="32"/>
          <w:szCs w:val="32"/>
          <w:lang w:val="zh-CN"/>
        </w:rPr>
        <w:t>执行国家有关财务法律法规的同时，建立健全内部财务管理制度，按照党风廉政建设的要求，全体干部职工廉洁奉公、忠于职守。禁止利用职权和职务上的便利谋取不正当的利益。制定了相关规章制度，加强了项目资金的管理和监督，杜绝违规违法事件的发生。本着勤俭节约原则，管理好用好每笔资金。财务活动接受审计、财政、纪检监察等部门的监督检查，无存在违规进行资产购置，擅自处置财产、对外投资，财政票据管理、使用不规范等问题，按照规定保管会计档案，并建立完善的内部控制制度和监督制度。</w:t>
      </w:r>
    </w:p>
    <w:p>
      <w:pPr>
        <w:ind w:firstLine="640" w:firstLineChars="200"/>
        <w:rPr>
          <w:rFonts w:ascii="仿宋_GB2312" w:eastAsia="仿宋_GB2312"/>
          <w:sz w:val="32"/>
          <w:szCs w:val="32"/>
          <w:lang w:val="zh-CN"/>
        </w:rPr>
      </w:pPr>
      <w:r>
        <w:rPr>
          <w:rFonts w:hint="eastAsia" w:ascii="仿宋_GB2312" w:eastAsia="仿宋_GB2312"/>
          <w:sz w:val="32"/>
          <w:szCs w:val="32"/>
          <w:lang w:val="zh-CN"/>
        </w:rPr>
        <w:t>根据本单位工作实际，在建立并实施内部监督和控制制度过程中，建立和完善各项制度的同时，相关人员在工作过程中严格遵守这些规章制度，有效地实施了内部监督和控制，保证了会计工作的真实性、完整性以及单位财产的安全，加强了对本单位财产物资的监督和管理，杜绝了各种漏洞的发生，达到了以下四点要求：</w:t>
      </w:r>
    </w:p>
    <w:p>
      <w:pPr>
        <w:ind w:firstLine="640" w:firstLineChars="200"/>
        <w:rPr>
          <w:rFonts w:ascii="仿宋_GB2312" w:eastAsia="仿宋_GB2312"/>
          <w:sz w:val="32"/>
          <w:szCs w:val="32"/>
          <w:lang w:val="zh-CN"/>
        </w:rPr>
      </w:pPr>
      <w:r>
        <w:rPr>
          <w:rFonts w:hint="eastAsia" w:ascii="仿宋_GB2312" w:eastAsia="仿宋_GB2312"/>
          <w:sz w:val="32"/>
          <w:szCs w:val="32"/>
        </w:rPr>
        <w:t>A</w:t>
      </w:r>
      <w:r>
        <w:rPr>
          <w:rFonts w:hint="eastAsia" w:ascii="仿宋_GB2312" w:eastAsia="仿宋_GB2312"/>
          <w:sz w:val="32"/>
          <w:szCs w:val="32"/>
          <w:lang w:val="zh-CN"/>
        </w:rPr>
        <w:t>、明确了记账人员与审批人员、经办人员的职责权限，使其相互分离、相互制约，以明确责任，防止舞弊，各项业务事项得以有序进行。</w:t>
      </w:r>
    </w:p>
    <w:p>
      <w:pPr>
        <w:ind w:firstLine="640" w:firstLineChars="200"/>
        <w:rPr>
          <w:rFonts w:ascii="仿宋_GB2312" w:eastAsia="仿宋_GB2312"/>
          <w:sz w:val="32"/>
          <w:szCs w:val="32"/>
          <w:lang w:val="zh-CN"/>
        </w:rPr>
      </w:pPr>
      <w:r>
        <w:rPr>
          <w:rFonts w:hint="eastAsia" w:ascii="仿宋_GB2312" w:eastAsia="仿宋_GB2312"/>
          <w:sz w:val="32"/>
          <w:szCs w:val="32"/>
        </w:rPr>
        <w:t>B</w:t>
      </w:r>
      <w:r>
        <w:rPr>
          <w:rFonts w:hint="eastAsia" w:ascii="仿宋_GB2312" w:eastAsia="仿宋_GB2312"/>
          <w:sz w:val="32"/>
          <w:szCs w:val="32"/>
          <w:lang w:val="zh-CN"/>
        </w:rPr>
        <w:t>、明确了财务收支审批程序和审批人的权限和责任，规范了各项资金的使用，提高了资金使用效益。</w:t>
      </w:r>
    </w:p>
    <w:p>
      <w:pPr>
        <w:ind w:firstLine="640" w:firstLineChars="200"/>
        <w:rPr>
          <w:rFonts w:ascii="仿宋_GB2312" w:eastAsia="仿宋_GB2312"/>
          <w:sz w:val="32"/>
          <w:szCs w:val="32"/>
          <w:lang w:val="zh-CN"/>
        </w:rPr>
      </w:pPr>
      <w:r>
        <w:rPr>
          <w:rFonts w:hint="eastAsia" w:ascii="仿宋_GB2312" w:eastAsia="仿宋_GB2312"/>
          <w:sz w:val="32"/>
          <w:szCs w:val="32"/>
        </w:rPr>
        <w:t>C</w:t>
      </w:r>
      <w:r>
        <w:rPr>
          <w:rFonts w:hint="eastAsia" w:ascii="仿宋_GB2312" w:eastAsia="仿宋_GB2312"/>
          <w:sz w:val="32"/>
          <w:szCs w:val="32"/>
          <w:lang w:val="zh-CN"/>
        </w:rPr>
        <w:t>、明确经费支出的范围和开支标准，采取各种有效措施控制经费开支，杜绝了浪费现象的发生。</w:t>
      </w:r>
    </w:p>
    <w:p>
      <w:pPr>
        <w:ind w:firstLine="640" w:firstLineChars="200"/>
        <w:rPr>
          <w:rFonts w:ascii="仿宋_GB2312" w:eastAsia="仿宋_GB2312"/>
          <w:sz w:val="32"/>
          <w:szCs w:val="32"/>
          <w:lang w:val="zh-CN"/>
        </w:rPr>
      </w:pPr>
      <w:r>
        <w:rPr>
          <w:rFonts w:hint="eastAsia" w:ascii="仿宋_GB2312" w:eastAsia="仿宋_GB2312"/>
          <w:sz w:val="32"/>
          <w:szCs w:val="32"/>
        </w:rPr>
        <w:t>D</w:t>
      </w:r>
      <w:r>
        <w:rPr>
          <w:rFonts w:hint="eastAsia" w:ascii="仿宋_GB2312" w:eastAsia="仿宋_GB2312"/>
          <w:sz w:val="32"/>
          <w:szCs w:val="32"/>
          <w:lang w:val="zh-CN"/>
        </w:rPr>
        <w:t>、明确账务处理程序，根据机关事业单位会计制度的规定，确定单位会计科目和明细科目的设置和使用范围；确定本单位会计凭证格式、填制要求、审核要求、传递程序、保管要求等；确定本单位的总账、明细账、银行存款日记账、各种辅助账等的设置、格式、登记、对账、结算、改错等要求，确保会计核算准确无误。</w:t>
      </w:r>
    </w:p>
    <w:p>
      <w:pPr>
        <w:ind w:firstLine="640" w:firstLineChars="200"/>
        <w:rPr>
          <w:rFonts w:ascii="仿宋_GB2312" w:eastAsia="仿宋_GB2312"/>
          <w:sz w:val="32"/>
          <w:szCs w:val="32"/>
        </w:rPr>
      </w:pPr>
      <w:r>
        <w:rPr>
          <w:rFonts w:hint="eastAsia" w:ascii="仿宋_GB2312" w:eastAsia="仿宋_GB2312"/>
          <w:sz w:val="32"/>
          <w:szCs w:val="32"/>
        </w:rPr>
        <w:t>4.</w:t>
      </w:r>
      <w:r>
        <w:rPr>
          <w:rFonts w:hint="eastAsia" w:ascii="仿宋_GB2312" w:eastAsia="仿宋_GB2312"/>
          <w:sz w:val="32"/>
          <w:szCs w:val="32"/>
          <w:lang w:val="zh-CN"/>
        </w:rPr>
        <w:t>资产管理。围绕人均资产变化率、资产利用率、资产盘活率进行绩效分析。</w:t>
      </w:r>
      <w:r>
        <w:rPr>
          <w:rFonts w:hint="eastAsia" w:ascii="仿宋_GB2312" w:eastAsia="仿宋_GB2312"/>
          <w:sz w:val="32"/>
          <w:szCs w:val="32"/>
        </w:rPr>
        <w:t xml:space="preserve">  </w:t>
      </w:r>
    </w:p>
    <w:p>
      <w:pPr>
        <w:ind w:firstLine="640" w:firstLineChars="200"/>
        <w:rPr>
          <w:rFonts w:ascii="仿宋_GB2312" w:eastAsia="仿宋_GB2312"/>
          <w:sz w:val="32"/>
          <w:szCs w:val="32"/>
          <w:lang w:val="zh-CN"/>
        </w:rPr>
      </w:pPr>
      <w:r>
        <w:rPr>
          <w:rFonts w:hint="eastAsia" w:ascii="仿宋_GB2312" w:eastAsia="仿宋_GB2312"/>
          <w:sz w:val="32"/>
          <w:szCs w:val="32"/>
          <w:lang w:val="zh-CN"/>
        </w:rPr>
        <w:t>人均资产变化率：无变化。</w:t>
      </w:r>
    </w:p>
    <w:p>
      <w:pPr>
        <w:ind w:firstLine="640" w:firstLineChars="200"/>
        <w:rPr>
          <w:rFonts w:ascii="仿宋_GB2312" w:eastAsia="仿宋_GB2312"/>
          <w:sz w:val="32"/>
          <w:szCs w:val="32"/>
        </w:rPr>
      </w:pPr>
      <w:r>
        <w:rPr>
          <w:rFonts w:hint="eastAsia" w:ascii="仿宋_GB2312" w:eastAsia="仿宋_GB2312"/>
          <w:sz w:val="32"/>
          <w:szCs w:val="32"/>
          <w:lang w:val="zh-CN"/>
        </w:rPr>
        <w:t>资产利用率：</w:t>
      </w:r>
      <w:r>
        <w:rPr>
          <w:rFonts w:hint="eastAsia" w:ascii="仿宋_GB2312" w:eastAsia="仿宋_GB2312"/>
          <w:sz w:val="32"/>
          <w:szCs w:val="32"/>
        </w:rPr>
        <w:t>100%。</w:t>
      </w:r>
    </w:p>
    <w:p>
      <w:pPr>
        <w:ind w:firstLine="640" w:firstLineChars="200"/>
        <w:rPr>
          <w:rFonts w:ascii="仿宋_GB2312" w:eastAsia="仿宋_GB2312"/>
          <w:sz w:val="32"/>
          <w:szCs w:val="32"/>
        </w:rPr>
      </w:pPr>
      <w:r>
        <w:rPr>
          <w:rFonts w:hint="eastAsia" w:ascii="仿宋_GB2312" w:eastAsia="仿宋_GB2312"/>
          <w:sz w:val="32"/>
          <w:szCs w:val="32"/>
          <w:lang w:val="zh-CN"/>
        </w:rPr>
        <w:t>资产盘活率：</w:t>
      </w:r>
      <w:r>
        <w:rPr>
          <w:rFonts w:hint="eastAsia" w:ascii="仿宋_GB2312" w:eastAsia="仿宋_GB2312"/>
          <w:sz w:val="32"/>
          <w:szCs w:val="32"/>
        </w:rPr>
        <w:t>90%。</w:t>
      </w:r>
    </w:p>
    <w:p>
      <w:pPr>
        <w:ind w:firstLine="640" w:firstLineChars="200"/>
        <w:rPr>
          <w:rFonts w:ascii="仿宋_GB2312" w:eastAsia="仿宋_GB2312"/>
          <w:sz w:val="32"/>
          <w:szCs w:val="32"/>
          <w:lang w:val="zh-CN"/>
        </w:rPr>
      </w:pPr>
      <w:r>
        <w:rPr>
          <w:rFonts w:hint="eastAsia" w:ascii="仿宋_GB2312" w:eastAsia="仿宋_GB2312"/>
          <w:sz w:val="32"/>
          <w:szCs w:val="32"/>
          <w:lang w:val="zh-CN"/>
        </w:rPr>
        <w:t>单位资产管理由办公室总负责，使用人具体负责管理，对不能继续使用的资产由使用人交回办公室并提出申请，由办公室提供材料交给财务室按照相关程序统一购置。财政所每年对单位资产进行一次集中清理，对不能使用的资产及时报相关部门进行报废处理。</w:t>
      </w:r>
    </w:p>
    <w:p>
      <w:pPr>
        <w:ind w:firstLine="640" w:firstLineChars="200"/>
        <w:rPr>
          <w:rFonts w:ascii="仿宋_GB2312" w:eastAsia="仿宋_GB2312"/>
          <w:sz w:val="32"/>
          <w:szCs w:val="32"/>
          <w:lang w:val="zh-CN"/>
        </w:rPr>
      </w:pPr>
      <w:r>
        <w:rPr>
          <w:rFonts w:hint="eastAsia" w:ascii="仿宋_GB2312" w:eastAsia="仿宋_GB2312"/>
          <w:sz w:val="32"/>
          <w:szCs w:val="32"/>
        </w:rPr>
        <w:t>5.</w:t>
      </w:r>
      <w:r>
        <w:rPr>
          <w:rFonts w:hint="eastAsia" w:ascii="仿宋_GB2312" w:eastAsia="仿宋_GB2312"/>
          <w:sz w:val="32"/>
          <w:szCs w:val="32"/>
          <w:lang w:val="zh-CN"/>
        </w:rPr>
        <w:t>采购管理。围绕支持中小企业发展、采购执行率进行绩效分析。</w:t>
      </w:r>
    </w:p>
    <w:p>
      <w:pPr>
        <w:rPr>
          <w:rFonts w:ascii="仿宋_GB2312" w:eastAsia="仿宋_GB2312"/>
          <w:sz w:val="32"/>
          <w:szCs w:val="32"/>
        </w:rPr>
      </w:pPr>
      <w:r>
        <w:rPr>
          <w:rFonts w:hint="eastAsia" w:ascii="仿宋_GB2312" w:eastAsia="仿宋_GB2312"/>
          <w:sz w:val="32"/>
          <w:szCs w:val="32"/>
        </w:rPr>
        <w:t xml:space="preserve">   本单位无采购。</w:t>
      </w:r>
    </w:p>
    <w:p>
      <w:pPr>
        <w:ind w:firstLine="643" w:firstLineChars="200"/>
        <w:rPr>
          <w:rFonts w:eastAsia="仿宋_GB2312"/>
          <w:sz w:val="32"/>
          <w:szCs w:val="32"/>
          <w:lang w:val="zh-CN"/>
        </w:rPr>
      </w:pPr>
      <w:r>
        <w:rPr>
          <w:rFonts w:hint="eastAsia" w:ascii="楷体_GB2312" w:eastAsia="楷体_GB2312"/>
          <w:b/>
          <w:sz w:val="32"/>
          <w:szCs w:val="32"/>
        </w:rPr>
        <w:t>（二）部门预算项目绩效分析。</w:t>
      </w:r>
      <w:r>
        <w:rPr>
          <w:rFonts w:hint="eastAsia" w:eastAsia="仿宋_GB2312"/>
          <w:sz w:val="32"/>
          <w:szCs w:val="32"/>
          <w:lang w:val="zh-CN"/>
        </w:rPr>
        <w:t>填报以下数据，并根据部门预算绩效评价指标体系“项目绩效”涉及二、三级指标进行逐项绩效分析并评分，依次包括项目决策、项目执行、目标实现等情况。</w:t>
      </w:r>
    </w:p>
    <w:p>
      <w:pPr>
        <w:ind w:firstLine="640" w:firstLineChars="200"/>
        <w:rPr>
          <w:rFonts w:eastAsia="仿宋_GB2312"/>
          <w:sz w:val="32"/>
          <w:szCs w:val="32"/>
          <w:lang w:val="zh-CN"/>
        </w:rPr>
      </w:pPr>
      <w:r>
        <w:rPr>
          <w:rFonts w:hint="eastAsia" w:eastAsia="仿宋_GB2312"/>
          <w:sz w:val="32"/>
          <w:szCs w:val="32"/>
        </w:rPr>
        <w:t>常年项目绩效分析。</w:t>
      </w:r>
      <w:r>
        <w:rPr>
          <w:rFonts w:hint="eastAsia" w:eastAsia="仿宋_GB2312"/>
          <w:sz w:val="32"/>
          <w:szCs w:val="32"/>
          <w:lang w:val="zh-CN"/>
        </w:rPr>
        <w:t>该类项目总数</w:t>
      </w:r>
      <w:r>
        <w:rPr>
          <w:rFonts w:hint="eastAsia" w:eastAsia="仿宋_GB2312"/>
          <w:sz w:val="32"/>
          <w:szCs w:val="32"/>
        </w:rPr>
        <w:t>3</w:t>
      </w:r>
      <w:r>
        <w:rPr>
          <w:rFonts w:hint="eastAsia" w:eastAsia="仿宋_GB2312"/>
          <w:sz w:val="32"/>
          <w:szCs w:val="32"/>
          <w:lang w:val="zh-CN"/>
        </w:rPr>
        <w:t>个，涉及预算总金额</w:t>
      </w:r>
      <w:r>
        <w:rPr>
          <w:rFonts w:hint="eastAsia" w:eastAsia="仿宋_GB2312"/>
          <w:sz w:val="32"/>
          <w:szCs w:val="32"/>
        </w:rPr>
        <w:t>21.24</w:t>
      </w:r>
      <w:r>
        <w:rPr>
          <w:rFonts w:hint="eastAsia" w:eastAsia="仿宋_GB2312"/>
          <w:sz w:val="32"/>
          <w:szCs w:val="32"/>
          <w:lang w:val="zh-CN"/>
        </w:rPr>
        <w:t>万元，1—1</w:t>
      </w:r>
      <w:r>
        <w:rPr>
          <w:rFonts w:hint="eastAsia" w:eastAsia="仿宋_GB2312"/>
          <w:sz w:val="32"/>
          <w:szCs w:val="32"/>
        </w:rPr>
        <w:t>2</w:t>
      </w:r>
      <w:r>
        <w:rPr>
          <w:rFonts w:hint="eastAsia" w:eastAsia="仿宋_GB2312"/>
          <w:sz w:val="32"/>
          <w:szCs w:val="32"/>
          <w:lang w:val="zh-CN"/>
        </w:rPr>
        <w:t>月预算执行总体进度为</w:t>
      </w:r>
      <w:r>
        <w:rPr>
          <w:rFonts w:hint="eastAsia" w:eastAsia="仿宋_GB2312"/>
          <w:sz w:val="32"/>
          <w:szCs w:val="32"/>
        </w:rPr>
        <w:t>87.24</w:t>
      </w:r>
      <w:r>
        <w:rPr>
          <w:rFonts w:hint="eastAsia" w:eastAsia="仿宋_GB2312"/>
          <w:sz w:val="32"/>
          <w:szCs w:val="32"/>
          <w:lang w:val="zh-CN"/>
        </w:rPr>
        <w:t>%，其中：预算结余率大于</w:t>
      </w:r>
      <w:r>
        <w:rPr>
          <w:rFonts w:hint="eastAsia" w:eastAsia="仿宋_GB2312"/>
          <w:sz w:val="32"/>
          <w:szCs w:val="32"/>
        </w:rPr>
        <w:t>10%</w:t>
      </w:r>
      <w:r>
        <w:rPr>
          <w:rFonts w:hint="eastAsia" w:eastAsia="仿宋_GB2312"/>
          <w:sz w:val="32"/>
          <w:szCs w:val="32"/>
          <w:lang w:val="zh-CN"/>
        </w:rPr>
        <w:t>的项目共计</w:t>
      </w:r>
      <w:r>
        <w:rPr>
          <w:rFonts w:hint="eastAsia" w:eastAsia="仿宋_GB2312"/>
          <w:sz w:val="32"/>
          <w:szCs w:val="32"/>
        </w:rPr>
        <w:t>0</w:t>
      </w:r>
      <w:r>
        <w:rPr>
          <w:rFonts w:hint="eastAsia" w:eastAsia="仿宋_GB2312"/>
          <w:sz w:val="32"/>
          <w:szCs w:val="32"/>
          <w:lang w:val="zh-CN"/>
        </w:rPr>
        <w:t>个。</w:t>
      </w:r>
    </w:p>
    <w:p>
      <w:pPr>
        <w:ind w:firstLine="640" w:firstLineChars="200"/>
        <w:rPr>
          <w:rFonts w:eastAsia="仿宋_GB2312"/>
          <w:sz w:val="32"/>
          <w:szCs w:val="32"/>
          <w:lang w:val="zh-CN"/>
        </w:rPr>
      </w:pPr>
      <w:r>
        <w:rPr>
          <w:rFonts w:hint="eastAsia" w:eastAsia="仿宋_GB2312"/>
          <w:sz w:val="32"/>
          <w:szCs w:val="32"/>
        </w:rPr>
        <w:t>阶段（一次性）项目绩效分析。</w:t>
      </w:r>
      <w:r>
        <w:rPr>
          <w:rFonts w:hint="eastAsia" w:eastAsia="仿宋_GB2312"/>
          <w:sz w:val="32"/>
          <w:szCs w:val="32"/>
          <w:lang w:val="zh-CN"/>
        </w:rPr>
        <w:t>该类项目总数</w:t>
      </w:r>
      <w:r>
        <w:rPr>
          <w:rFonts w:hint="eastAsia" w:eastAsia="仿宋_GB2312"/>
          <w:sz w:val="32"/>
          <w:szCs w:val="32"/>
        </w:rPr>
        <w:t>3</w:t>
      </w:r>
      <w:r>
        <w:rPr>
          <w:rFonts w:hint="eastAsia" w:eastAsia="仿宋_GB2312"/>
          <w:sz w:val="32"/>
          <w:szCs w:val="32"/>
          <w:lang w:val="zh-CN"/>
        </w:rPr>
        <w:t>个，涉及预算总金额</w:t>
      </w:r>
      <w:r>
        <w:rPr>
          <w:rFonts w:hint="eastAsia" w:eastAsia="仿宋_GB2312"/>
          <w:sz w:val="32"/>
          <w:szCs w:val="32"/>
        </w:rPr>
        <w:t>22.32</w:t>
      </w:r>
      <w:r>
        <w:rPr>
          <w:rFonts w:hint="eastAsia" w:eastAsia="仿宋_GB2312"/>
          <w:sz w:val="32"/>
          <w:szCs w:val="32"/>
          <w:lang w:val="zh-CN"/>
        </w:rPr>
        <w:t>万元，1—1</w:t>
      </w:r>
      <w:r>
        <w:rPr>
          <w:rFonts w:hint="eastAsia" w:eastAsia="仿宋_GB2312"/>
          <w:sz w:val="32"/>
          <w:szCs w:val="32"/>
        </w:rPr>
        <w:t>2</w:t>
      </w:r>
      <w:r>
        <w:rPr>
          <w:rFonts w:hint="eastAsia" w:eastAsia="仿宋_GB2312"/>
          <w:sz w:val="32"/>
          <w:szCs w:val="32"/>
          <w:lang w:val="zh-CN"/>
        </w:rPr>
        <w:t>月预算执行总体进度为</w:t>
      </w:r>
      <w:r>
        <w:rPr>
          <w:rFonts w:hint="eastAsia" w:eastAsia="仿宋_GB2312"/>
          <w:sz w:val="32"/>
          <w:szCs w:val="32"/>
        </w:rPr>
        <w:t>99.10</w:t>
      </w:r>
      <w:r>
        <w:rPr>
          <w:rFonts w:hint="eastAsia" w:eastAsia="仿宋_GB2312"/>
          <w:sz w:val="32"/>
          <w:szCs w:val="32"/>
          <w:lang w:val="zh-CN"/>
        </w:rPr>
        <w:t>%，其中：预算结余率大于</w:t>
      </w:r>
      <w:r>
        <w:rPr>
          <w:rFonts w:hint="eastAsia" w:eastAsia="仿宋_GB2312"/>
          <w:sz w:val="32"/>
          <w:szCs w:val="32"/>
        </w:rPr>
        <w:t>10%</w:t>
      </w:r>
      <w:r>
        <w:rPr>
          <w:rFonts w:hint="eastAsia" w:eastAsia="仿宋_GB2312"/>
          <w:sz w:val="32"/>
          <w:szCs w:val="32"/>
          <w:lang w:val="zh-CN"/>
        </w:rPr>
        <w:t>的项目共计</w:t>
      </w:r>
      <w:r>
        <w:rPr>
          <w:rFonts w:hint="eastAsia" w:eastAsia="仿宋_GB2312"/>
          <w:sz w:val="32"/>
          <w:szCs w:val="32"/>
        </w:rPr>
        <w:t>0</w:t>
      </w:r>
      <w:r>
        <w:rPr>
          <w:rFonts w:hint="eastAsia" w:eastAsia="仿宋_GB2312"/>
          <w:sz w:val="32"/>
          <w:szCs w:val="32"/>
          <w:lang w:val="zh-CN"/>
        </w:rPr>
        <w:t>个。</w:t>
      </w:r>
    </w:p>
    <w:p>
      <w:pPr>
        <w:adjustRightInd w:val="0"/>
        <w:snapToGrid w:val="0"/>
        <w:spacing w:line="578" w:lineRule="exact"/>
        <w:ind w:firstLine="640" w:firstLineChars="200"/>
        <w:contextualSpacing/>
        <w:jc w:val="left"/>
        <w:rPr>
          <w:rFonts w:ascii="楷体_GB2312" w:hAnsi="楷体_GB2312" w:eastAsia="楷体_GB2312" w:cs="楷体_GB2312"/>
          <w:color w:val="000000"/>
          <w:kern w:val="0"/>
          <w:sz w:val="32"/>
          <w:szCs w:val="32"/>
          <w:shd w:val="clear" w:color="auto" w:fill="FFFFFF"/>
        </w:rPr>
      </w:pPr>
      <w:r>
        <w:rPr>
          <w:rFonts w:hint="eastAsia" w:ascii="楷体_GB2312" w:hAnsi="楷体_GB2312" w:eastAsia="楷体_GB2312" w:cs="楷体_GB2312"/>
          <w:color w:val="000000"/>
          <w:kern w:val="0"/>
          <w:sz w:val="32"/>
          <w:szCs w:val="32"/>
          <w:shd w:val="clear" w:color="auto" w:fill="FFFFFF"/>
        </w:rPr>
        <w:t>1.项目决策。</w:t>
      </w:r>
    </w:p>
    <w:p>
      <w:pPr>
        <w:ind w:firstLine="640" w:firstLineChars="200"/>
        <w:rPr>
          <w:rFonts w:eastAsia="仿宋_GB2312"/>
          <w:sz w:val="32"/>
          <w:szCs w:val="32"/>
        </w:rPr>
      </w:pPr>
      <w:r>
        <w:rPr>
          <w:rFonts w:hint="eastAsia" w:eastAsia="仿宋_GB2312"/>
          <w:sz w:val="32"/>
          <w:szCs w:val="32"/>
          <w:lang w:val="zh-CN"/>
        </w:rPr>
        <w:t>决策程序：</w:t>
      </w:r>
      <w:r>
        <w:rPr>
          <w:rFonts w:hint="eastAsia" w:eastAsia="仿宋_GB2312"/>
          <w:sz w:val="32"/>
          <w:szCs w:val="32"/>
        </w:rPr>
        <w:t>加强对领导机关、领导干部特别是各级领导班子主要负责人的监督。认真检查党的路线、方针、政策和决议的执行情况，监督民主集中制及领导班子议事规则落实情况，反属重大决策、重要干部任免、重大项目安排和大额度资金的使用，必须由领导班子集体作出决定。</w:t>
      </w:r>
    </w:p>
    <w:p>
      <w:pPr>
        <w:ind w:firstLine="640" w:firstLineChars="200"/>
        <w:rPr>
          <w:rFonts w:eastAsia="仿宋_GB2312"/>
          <w:sz w:val="32"/>
          <w:szCs w:val="32"/>
          <w:lang w:val="zh-CN"/>
        </w:rPr>
      </w:pPr>
      <w:r>
        <w:rPr>
          <w:rFonts w:hint="eastAsia" w:eastAsia="仿宋_GB2312"/>
          <w:sz w:val="32"/>
          <w:szCs w:val="32"/>
          <w:lang w:val="zh-CN"/>
        </w:rPr>
        <w:t>目标设置：有序推进全县妇联工作的协调、督查和综合服务工作；组织参与对妇女工作发展中新情况、新问题及广大妇女群众利益密切相关的政策问题的调查研究，提出相应的对策和建议，参与有关维护妇女儿童合法权益工作；协调和督促乡镇妇联及机关各部门落实县妇联工作部署与要求；指导妇联系统的基层组织建设和干部培训工作；制定、实施妇联系统干部教育培训工作；宣传普及家庭教育科学知识，牵头组织和指导全县“三八节”和“六一节”活动；开展困境妇女和儿童救助活动，为维护改革发展稳定大局服务。</w:t>
      </w:r>
    </w:p>
    <w:p>
      <w:pPr>
        <w:ind w:firstLine="640" w:firstLineChars="200"/>
        <w:rPr>
          <w:rFonts w:eastAsia="仿宋_GB2312"/>
          <w:sz w:val="32"/>
          <w:szCs w:val="32"/>
          <w:lang w:val="zh-CN"/>
        </w:rPr>
      </w:pPr>
      <w:r>
        <w:rPr>
          <w:rFonts w:hint="eastAsia" w:eastAsia="仿宋_GB2312"/>
          <w:sz w:val="32"/>
          <w:szCs w:val="32"/>
          <w:lang w:val="zh-CN"/>
        </w:rPr>
        <w:t>项目入库：</w:t>
      </w:r>
      <w:r>
        <w:rPr>
          <w:rFonts w:hint="eastAsia" w:eastAsia="仿宋_GB2312"/>
          <w:sz w:val="32"/>
          <w:szCs w:val="32"/>
        </w:rPr>
        <w:t>严格</w:t>
      </w:r>
      <w:r>
        <w:rPr>
          <w:rFonts w:hint="eastAsia" w:eastAsia="仿宋_GB2312"/>
          <w:sz w:val="32"/>
          <w:szCs w:val="32"/>
          <w:lang w:val="zh-CN"/>
        </w:rPr>
        <w:t>按照程序以及要求，项目在资金使用前必须进行项目入库。</w:t>
      </w:r>
    </w:p>
    <w:p>
      <w:pPr>
        <w:ind w:firstLine="640" w:firstLineChars="200"/>
        <w:rPr>
          <w:rFonts w:eastAsia="仿宋_GB2312"/>
          <w:sz w:val="32"/>
          <w:szCs w:val="32"/>
        </w:rPr>
      </w:pPr>
      <w:r>
        <w:rPr>
          <w:rFonts w:hint="eastAsia" w:eastAsia="仿宋_GB2312"/>
          <w:sz w:val="32"/>
          <w:szCs w:val="32"/>
          <w:lang w:val="zh-CN"/>
        </w:rPr>
        <w:t>2.项目执行。</w:t>
      </w:r>
      <w:r>
        <w:rPr>
          <w:rFonts w:hint="eastAsia" w:eastAsia="仿宋_GB2312"/>
          <w:sz w:val="32"/>
          <w:szCs w:val="32"/>
        </w:rPr>
        <w:t>2023年预算决算总收入175.65</w:t>
      </w:r>
      <w:r>
        <w:rPr>
          <w:rFonts w:hint="eastAsia" w:eastAsia="仿宋_GB2312"/>
          <w:sz w:val="32"/>
          <w:szCs w:val="32"/>
          <w:lang w:val="zh-CN"/>
        </w:rPr>
        <w:t>万元，</w:t>
      </w:r>
      <w:r>
        <w:rPr>
          <w:rFonts w:hint="eastAsia" w:eastAsia="仿宋_GB2312"/>
          <w:sz w:val="32"/>
          <w:szCs w:val="32"/>
        </w:rPr>
        <w:t>2023年支出合计175.65</w:t>
      </w:r>
      <w:r>
        <w:rPr>
          <w:rFonts w:hint="eastAsia" w:eastAsia="仿宋_GB2312"/>
          <w:sz w:val="32"/>
          <w:szCs w:val="32"/>
          <w:lang w:val="zh-CN"/>
        </w:rPr>
        <w:t>万元，</w:t>
      </w:r>
      <w:r>
        <w:rPr>
          <w:rFonts w:hint="eastAsia" w:eastAsia="仿宋_GB2312"/>
          <w:sz w:val="32"/>
          <w:szCs w:val="32"/>
        </w:rPr>
        <w:t>资金使用率</w:t>
      </w:r>
      <w:r>
        <w:rPr>
          <w:rFonts w:hint="eastAsia" w:eastAsia="仿宋_GB2312"/>
          <w:sz w:val="32"/>
          <w:szCs w:val="32"/>
          <w:lang w:val="zh-CN"/>
        </w:rPr>
        <w:t>100%。其中：一般公共服务支出</w:t>
      </w:r>
      <w:r>
        <w:rPr>
          <w:rFonts w:hint="eastAsia" w:eastAsia="仿宋_GB2312"/>
          <w:sz w:val="32"/>
          <w:szCs w:val="32"/>
        </w:rPr>
        <w:t>141.60</w:t>
      </w:r>
      <w:r>
        <w:rPr>
          <w:rFonts w:hint="eastAsia" w:eastAsia="仿宋_GB2312"/>
          <w:sz w:val="32"/>
          <w:szCs w:val="32"/>
          <w:lang w:val="zh-CN"/>
        </w:rPr>
        <w:t>万元，占</w:t>
      </w:r>
      <w:r>
        <w:rPr>
          <w:rFonts w:hint="eastAsia" w:eastAsia="仿宋_GB2312"/>
          <w:sz w:val="32"/>
          <w:szCs w:val="32"/>
        </w:rPr>
        <w:t>80.61</w:t>
      </w:r>
      <w:r>
        <w:rPr>
          <w:rFonts w:hint="eastAsia" w:eastAsia="仿宋_GB2312"/>
          <w:sz w:val="32"/>
          <w:szCs w:val="32"/>
          <w:lang w:val="zh-CN"/>
        </w:rPr>
        <w:t>%；社会保障和就业支出</w:t>
      </w:r>
      <w:r>
        <w:rPr>
          <w:rFonts w:hint="eastAsia" w:eastAsia="仿宋_GB2312"/>
          <w:sz w:val="32"/>
          <w:szCs w:val="32"/>
        </w:rPr>
        <w:t>17.82</w:t>
      </w:r>
      <w:r>
        <w:rPr>
          <w:rFonts w:hint="eastAsia" w:eastAsia="仿宋_GB2312"/>
          <w:sz w:val="32"/>
          <w:szCs w:val="32"/>
          <w:lang w:val="zh-CN"/>
        </w:rPr>
        <w:t>万元，</w:t>
      </w:r>
      <w:r>
        <w:rPr>
          <w:rFonts w:hint="eastAsia" w:eastAsia="仿宋_GB2312"/>
          <w:sz w:val="32"/>
          <w:szCs w:val="32"/>
        </w:rPr>
        <w:t>占10.15</w:t>
      </w:r>
      <w:r>
        <w:rPr>
          <w:rFonts w:hint="eastAsia" w:eastAsia="仿宋_GB2312"/>
          <w:sz w:val="32"/>
          <w:szCs w:val="32"/>
          <w:lang w:val="zh-CN"/>
        </w:rPr>
        <w:t>%；卫生健康支出</w:t>
      </w:r>
      <w:r>
        <w:rPr>
          <w:rFonts w:hint="eastAsia" w:eastAsia="仿宋_GB2312"/>
          <w:sz w:val="32"/>
          <w:szCs w:val="32"/>
        </w:rPr>
        <w:t>7.57</w:t>
      </w:r>
      <w:r>
        <w:rPr>
          <w:rFonts w:hint="eastAsia" w:eastAsia="仿宋_GB2312"/>
          <w:sz w:val="32"/>
          <w:szCs w:val="32"/>
          <w:lang w:val="zh-CN"/>
        </w:rPr>
        <w:t>万元，占</w:t>
      </w:r>
      <w:r>
        <w:rPr>
          <w:rFonts w:hint="eastAsia" w:eastAsia="仿宋_GB2312"/>
          <w:sz w:val="32"/>
          <w:szCs w:val="32"/>
        </w:rPr>
        <w:t>4.31</w:t>
      </w:r>
      <w:r>
        <w:rPr>
          <w:rFonts w:hint="eastAsia" w:eastAsia="仿宋_GB2312"/>
          <w:sz w:val="32"/>
          <w:szCs w:val="32"/>
          <w:lang w:val="zh-CN"/>
        </w:rPr>
        <w:t>%；住房保障支出</w:t>
      </w:r>
      <w:r>
        <w:rPr>
          <w:rFonts w:hint="eastAsia" w:eastAsia="仿宋_GB2312"/>
          <w:sz w:val="32"/>
          <w:szCs w:val="32"/>
        </w:rPr>
        <w:t>8.65</w:t>
      </w:r>
      <w:r>
        <w:rPr>
          <w:rFonts w:hint="eastAsia" w:eastAsia="仿宋_GB2312"/>
          <w:sz w:val="32"/>
          <w:szCs w:val="32"/>
          <w:lang w:val="zh-CN"/>
        </w:rPr>
        <w:t>万元，占</w:t>
      </w:r>
      <w:r>
        <w:rPr>
          <w:rFonts w:hint="eastAsia" w:eastAsia="仿宋_GB2312"/>
          <w:sz w:val="32"/>
          <w:szCs w:val="32"/>
        </w:rPr>
        <w:t>4.92</w:t>
      </w:r>
      <w:r>
        <w:rPr>
          <w:rFonts w:hint="eastAsia" w:eastAsia="仿宋_GB2312"/>
          <w:sz w:val="32"/>
          <w:szCs w:val="32"/>
          <w:lang w:val="zh-CN"/>
        </w:rPr>
        <w:t>%</w:t>
      </w:r>
      <w:r>
        <w:rPr>
          <w:rFonts w:hint="eastAsia" w:eastAsia="仿宋_GB2312"/>
          <w:sz w:val="32"/>
          <w:szCs w:val="32"/>
        </w:rPr>
        <w:t>。</w:t>
      </w:r>
    </w:p>
    <w:p>
      <w:pPr>
        <w:ind w:firstLine="640" w:firstLineChars="200"/>
        <w:rPr>
          <w:rFonts w:eastAsia="仿宋_GB2312"/>
          <w:sz w:val="32"/>
          <w:szCs w:val="32"/>
          <w:lang w:val="zh-CN"/>
        </w:rPr>
      </w:pPr>
      <w:r>
        <w:rPr>
          <w:rFonts w:hint="eastAsia" w:eastAsia="仿宋_GB2312"/>
          <w:sz w:val="32"/>
          <w:szCs w:val="32"/>
          <w:lang w:val="zh-CN"/>
        </w:rPr>
        <w:t>3.目标实现。围绕目标完成、目标偏离、实现效果进行绩效分析。</w:t>
      </w:r>
    </w:p>
    <w:p>
      <w:pPr>
        <w:ind w:firstLine="640" w:firstLineChars="200"/>
        <w:rPr>
          <w:rFonts w:eastAsia="仿宋_GB2312"/>
          <w:sz w:val="32"/>
          <w:szCs w:val="32"/>
          <w:lang w:val="zh-CN"/>
        </w:rPr>
      </w:pPr>
      <w:r>
        <w:rPr>
          <w:rFonts w:hint="eastAsia" w:eastAsia="仿宋_GB2312"/>
          <w:sz w:val="32"/>
          <w:szCs w:val="32"/>
        </w:rPr>
        <w:t>2023年</w:t>
      </w:r>
      <w:r>
        <w:rPr>
          <w:rFonts w:hint="eastAsia" w:eastAsia="仿宋_GB2312"/>
          <w:sz w:val="32"/>
          <w:szCs w:val="32"/>
          <w:lang w:val="zh-CN"/>
        </w:rPr>
        <w:t>我</w:t>
      </w:r>
      <w:r>
        <w:rPr>
          <w:rFonts w:hint="eastAsia" w:eastAsia="仿宋_GB2312"/>
          <w:sz w:val="32"/>
          <w:szCs w:val="32"/>
        </w:rPr>
        <w:t>单位目标完成100%，未偏离目标。</w:t>
      </w:r>
      <w:r>
        <w:rPr>
          <w:rFonts w:hint="eastAsia" w:eastAsia="仿宋_GB2312"/>
          <w:sz w:val="32"/>
          <w:szCs w:val="32"/>
          <w:lang w:val="zh-CN"/>
        </w:rPr>
        <w:t>有序推进全县妇联工作的协调、督查和综合服务工作；组织参与对妇女工作发展中新情况、新问题及广大妇女群众利益密切相关的政策问题的调查研究，提出相应的对策和建议，参与有关维护妇女儿童合法权益工作；协调和督促乡镇妇联及机关各部门落实县妇联工作部署与要求；指导妇联系统的基层组织建设和干部培训工作；制定、实施妇联系统干部教育培训工作；宣传普及家庭教育科学知识，牵头组织和指导全县“三八节”和“六一节”活动；开展困境妇女和儿童救助活动，为维护改革发展稳定大局服务。</w:t>
      </w:r>
    </w:p>
    <w:p>
      <w:pPr>
        <w:numPr>
          <w:ilvl w:val="0"/>
          <w:numId w:val="5"/>
        </w:numPr>
        <w:ind w:firstLine="643" w:firstLineChars="200"/>
        <w:rPr>
          <w:rFonts w:ascii="楷体_GB2312" w:eastAsia="楷体_GB2312"/>
          <w:b/>
          <w:sz w:val="32"/>
          <w:szCs w:val="32"/>
        </w:rPr>
      </w:pPr>
      <w:r>
        <w:rPr>
          <w:rFonts w:hint="eastAsia" w:ascii="楷体_GB2312" w:eastAsia="楷体_GB2312"/>
          <w:b/>
          <w:sz w:val="32"/>
          <w:szCs w:val="32"/>
        </w:rPr>
        <w:t>重点领域绩效分析。</w:t>
      </w:r>
    </w:p>
    <w:p>
      <w:pPr>
        <w:pStyle w:val="4"/>
        <w:rPr>
          <w:rFonts w:eastAsia="楷体_GB2312"/>
          <w:sz w:val="22"/>
          <w:szCs w:val="22"/>
        </w:rPr>
      </w:pPr>
      <w:r>
        <w:rPr>
          <w:rFonts w:hint="eastAsia" w:ascii="楷体_GB2312" w:eastAsia="楷体_GB2312"/>
          <w:b/>
          <w:sz w:val="32"/>
          <w:szCs w:val="32"/>
        </w:rPr>
        <w:t xml:space="preserve">  </w:t>
      </w:r>
      <w:r>
        <w:rPr>
          <w:rFonts w:hint="eastAsia" w:ascii="Times New Roman" w:hAnsi="Times New Roman" w:eastAsia="仿宋_GB2312" w:cs="Times New Roman"/>
          <w:sz w:val="32"/>
          <w:szCs w:val="32"/>
        </w:rPr>
        <w:t xml:space="preserve">  我单位2023年未涉及重点领域事项。</w:t>
      </w:r>
    </w:p>
    <w:p>
      <w:pPr>
        <w:numPr>
          <w:ilvl w:val="0"/>
          <w:numId w:val="5"/>
        </w:numPr>
        <w:ind w:firstLine="643" w:firstLineChars="200"/>
        <w:rPr>
          <w:rFonts w:ascii="楷体_GB2312" w:eastAsia="楷体_GB2312"/>
          <w:b/>
          <w:sz w:val="32"/>
          <w:szCs w:val="32"/>
        </w:rPr>
      </w:pPr>
      <w:r>
        <w:rPr>
          <w:rFonts w:hint="eastAsia" w:ascii="楷体_GB2312" w:eastAsia="楷体_GB2312"/>
          <w:b/>
          <w:sz w:val="32"/>
          <w:szCs w:val="32"/>
        </w:rPr>
        <w:t>绩效结果应用情况。</w:t>
      </w:r>
    </w:p>
    <w:p>
      <w:pPr>
        <w:spacing w:line="560" w:lineRule="exact"/>
        <w:ind w:firstLine="640" w:firstLineChars="200"/>
      </w:pPr>
      <w:r>
        <w:rPr>
          <w:rFonts w:hint="eastAsia" w:eastAsia="仿宋_GB2312"/>
          <w:sz w:val="32"/>
          <w:szCs w:val="32"/>
          <w:lang w:val="zh-CN"/>
        </w:rPr>
        <w:t>我</w:t>
      </w:r>
      <w:r>
        <w:rPr>
          <w:rFonts w:hint="eastAsia" w:eastAsia="仿宋_GB2312"/>
          <w:sz w:val="32"/>
          <w:szCs w:val="32"/>
        </w:rPr>
        <w:t>单位</w:t>
      </w:r>
      <w:r>
        <w:rPr>
          <w:rFonts w:hint="eastAsia" w:eastAsia="仿宋_GB2312"/>
          <w:sz w:val="32"/>
          <w:szCs w:val="32"/>
          <w:lang w:val="zh-CN"/>
        </w:rPr>
        <w:t>部门绩效结果应用到了下一年的绩效目标设定与调整。根据支出预决算，为下一年度的预算提供了基础预算数据。优化了</w:t>
      </w:r>
      <w:r>
        <w:rPr>
          <w:rFonts w:hint="eastAsia" w:eastAsia="仿宋_GB2312"/>
          <w:sz w:val="32"/>
          <w:szCs w:val="32"/>
        </w:rPr>
        <w:t>单位</w:t>
      </w:r>
      <w:r>
        <w:rPr>
          <w:rFonts w:hint="eastAsia" w:eastAsia="仿宋_GB2312"/>
          <w:sz w:val="32"/>
          <w:szCs w:val="32"/>
          <w:lang w:val="zh-CN"/>
        </w:rPr>
        <w:t>资金的使用率。保障了机关日常正常运转，专项资金保障了</w:t>
      </w:r>
      <w:r>
        <w:rPr>
          <w:rFonts w:hint="eastAsia" w:eastAsia="仿宋_GB2312"/>
          <w:sz w:val="32"/>
          <w:szCs w:val="32"/>
        </w:rPr>
        <w:t>妇女儿童合法权益</w:t>
      </w:r>
      <w:r>
        <w:rPr>
          <w:rFonts w:hint="eastAsia" w:eastAsia="仿宋_GB2312"/>
          <w:sz w:val="32"/>
          <w:szCs w:val="32"/>
          <w:lang w:val="zh-CN"/>
        </w:rPr>
        <w:t>，同时在维护少数名族地区的社会稳定，提高人民生活水平，改善人民生活质量等方面有着极其重要的意义，有力促进了社会和谐发展，为全县及乡镇的经济发展作出了应有的贡献，</w:t>
      </w:r>
      <w:r>
        <w:rPr>
          <w:rFonts w:hint="eastAsia" w:eastAsia="仿宋_GB2312"/>
          <w:sz w:val="32"/>
          <w:szCs w:val="32"/>
        </w:rPr>
        <w:t>2023年预算及决算已在政府信息公开网站进行了公开。</w:t>
      </w:r>
    </w:p>
    <w:p>
      <w:pPr>
        <w:ind w:firstLine="640" w:firstLineChars="200"/>
        <w:rPr>
          <w:rFonts w:hint="eastAsia" w:ascii="黑体" w:hAnsi="黑体" w:eastAsia="黑体"/>
          <w:sz w:val="32"/>
          <w:szCs w:val="32"/>
        </w:rPr>
      </w:pPr>
      <w:r>
        <w:rPr>
          <w:rFonts w:hint="eastAsia" w:ascii="黑体" w:hAnsi="黑体" w:eastAsia="黑体"/>
          <w:sz w:val="32"/>
          <w:szCs w:val="32"/>
        </w:rPr>
        <w:t>四、评价结论及建议</w:t>
      </w:r>
    </w:p>
    <w:p>
      <w:pPr>
        <w:ind w:firstLine="643" w:firstLineChars="200"/>
        <w:rPr>
          <w:rFonts w:ascii="楷体_GB2312" w:eastAsia="楷体_GB2312"/>
          <w:b/>
          <w:sz w:val="32"/>
          <w:szCs w:val="32"/>
        </w:rPr>
      </w:pPr>
      <w:r>
        <w:rPr>
          <w:rFonts w:hint="eastAsia" w:ascii="楷体_GB2312" w:eastAsia="楷体_GB2312"/>
          <w:b/>
          <w:sz w:val="32"/>
          <w:szCs w:val="32"/>
        </w:rPr>
        <w:t>（一）评价结论。</w:t>
      </w:r>
    </w:p>
    <w:p>
      <w:pPr>
        <w:pStyle w:val="4"/>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zh-CN"/>
        </w:rPr>
        <w:t>我</w:t>
      </w:r>
      <w:r>
        <w:rPr>
          <w:rFonts w:hint="eastAsia" w:ascii="Times New Roman" w:hAnsi="Times New Roman" w:eastAsia="仿宋_GB2312" w:cs="Times New Roman"/>
          <w:sz w:val="32"/>
          <w:szCs w:val="32"/>
        </w:rPr>
        <w:t>单位</w:t>
      </w:r>
      <w:r>
        <w:rPr>
          <w:rFonts w:hint="eastAsia" w:ascii="Times New Roman" w:hAnsi="Times New Roman" w:eastAsia="仿宋_GB2312" w:cs="Times New Roman"/>
          <w:sz w:val="32"/>
          <w:szCs w:val="32"/>
          <w:lang w:val="zh-CN"/>
        </w:rPr>
        <w:t>部门支出预算，保障了机关日常正常运转，专项资金保障了</w:t>
      </w:r>
      <w:r>
        <w:rPr>
          <w:rFonts w:hint="eastAsia" w:ascii="Times New Roman" w:hAnsi="Times New Roman" w:eastAsia="仿宋_GB2312" w:cs="Times New Roman"/>
          <w:sz w:val="32"/>
          <w:szCs w:val="32"/>
        </w:rPr>
        <w:t>妇女儿童合法权益</w:t>
      </w:r>
      <w:r>
        <w:rPr>
          <w:rFonts w:hint="eastAsia" w:ascii="Times New Roman" w:hAnsi="Times New Roman" w:eastAsia="仿宋_GB2312" w:cs="Times New Roman"/>
          <w:sz w:val="32"/>
          <w:szCs w:val="32"/>
          <w:lang w:val="zh-CN"/>
        </w:rPr>
        <w:t>，同时在维护少数名族地区的社会稳定，提高人民生活水平，改善人民生活质量等方面有着极其重要的意义，有力促进了社会和谐发展，为全县及乡镇的经济发展作出了应有的贡献，部门整体支出绩效自评等级为优秀。</w:t>
      </w:r>
    </w:p>
    <w:p>
      <w:pPr>
        <w:numPr>
          <w:ilvl w:val="0"/>
          <w:numId w:val="6"/>
        </w:numPr>
        <w:ind w:firstLine="643" w:firstLineChars="200"/>
        <w:rPr>
          <w:rFonts w:ascii="楷体_GB2312" w:eastAsia="楷体_GB2312"/>
          <w:b/>
          <w:sz w:val="32"/>
          <w:szCs w:val="32"/>
        </w:rPr>
      </w:pPr>
      <w:r>
        <w:rPr>
          <w:rFonts w:hint="eastAsia" w:ascii="楷体_GB2312" w:eastAsia="楷体_GB2312"/>
          <w:b/>
          <w:sz w:val="32"/>
          <w:szCs w:val="32"/>
        </w:rPr>
        <w:t>存在问题。</w:t>
      </w:r>
    </w:p>
    <w:p>
      <w:pPr>
        <w:autoSpaceDE w:val="0"/>
        <w:spacing w:line="560" w:lineRule="exact"/>
        <w:ind w:firstLine="640" w:firstLineChars="200"/>
        <w:jc w:val="left"/>
        <w:rPr>
          <w:rFonts w:eastAsia="楷体_GB2312"/>
        </w:rPr>
      </w:pPr>
      <w:r>
        <w:rPr>
          <w:rFonts w:hint="eastAsia" w:eastAsia="仿宋_GB2312"/>
          <w:sz w:val="32"/>
          <w:szCs w:val="32"/>
        </w:rPr>
        <w:t>由于财政支出的多样性和复杂性，绩效评价指标体系设置难度大，即使可以量化，但实际操作中很多项目间缺乏可比性且指标本身也在逐步变化，需要逐步完善。</w:t>
      </w:r>
      <w:r>
        <w:rPr>
          <w:rFonts w:hint="eastAsia" w:eastAsia="仿宋_GB2312"/>
          <w:sz w:val="32"/>
          <w:szCs w:val="32"/>
        </w:rPr>
        <w:br w:type="textWrapping"/>
      </w:r>
      <w:r>
        <w:rPr>
          <w:rFonts w:hint="eastAsia" w:eastAsia="仿宋_GB2312"/>
          <w:sz w:val="32"/>
          <w:szCs w:val="32"/>
        </w:rPr>
        <w:t xml:space="preserve">    在平时工作推进过程中，缺乏技术人员进行专业指导及培训，工作推进存在一定困难，预算编制还需更加精准</w:t>
      </w:r>
      <w:r>
        <w:rPr>
          <w:rFonts w:hint="eastAsia" w:ascii="仿宋_GB2312" w:hAnsi="仿宋" w:eastAsia="仿宋_GB2312" w:cs="仿宋_GB2312"/>
          <w:color w:val="000000"/>
          <w:kern w:val="0"/>
          <w:sz w:val="32"/>
          <w:szCs w:val="32"/>
          <w:lang w:bidi="ar"/>
        </w:rPr>
        <w:t>。</w:t>
      </w:r>
    </w:p>
    <w:p>
      <w:pPr>
        <w:numPr>
          <w:ilvl w:val="0"/>
          <w:numId w:val="6"/>
        </w:numPr>
        <w:autoSpaceDE w:val="0"/>
        <w:spacing w:line="560" w:lineRule="exact"/>
        <w:ind w:firstLine="643" w:firstLineChars="200"/>
        <w:jc w:val="left"/>
        <w:rPr>
          <w:rFonts w:ascii="楷体_GB2312" w:eastAsia="楷体_GB2312"/>
          <w:b/>
          <w:sz w:val="32"/>
          <w:szCs w:val="32"/>
        </w:rPr>
      </w:pPr>
      <w:r>
        <w:rPr>
          <w:rFonts w:hint="eastAsia" w:ascii="楷体_GB2312" w:eastAsia="楷体_GB2312"/>
          <w:b/>
          <w:sz w:val="32"/>
          <w:szCs w:val="32"/>
        </w:rPr>
        <w:t>改进建议。</w:t>
      </w:r>
    </w:p>
    <w:p>
      <w:pPr>
        <w:autoSpaceDE w:val="0"/>
        <w:spacing w:line="560" w:lineRule="exact"/>
        <w:ind w:firstLine="640" w:firstLineChars="200"/>
        <w:jc w:val="left"/>
        <w:rPr>
          <w:rFonts w:eastAsia="仿宋_GB2312"/>
          <w:sz w:val="32"/>
          <w:szCs w:val="32"/>
        </w:rPr>
      </w:pPr>
      <w:r>
        <w:rPr>
          <w:rFonts w:hint="eastAsia" w:eastAsia="仿宋_GB2312"/>
          <w:sz w:val="32"/>
          <w:szCs w:val="32"/>
        </w:rPr>
        <w:t>1.通过各种途径加强绩效管理学习，科学合理编制预算，严格执行预算。</w:t>
      </w:r>
    </w:p>
    <w:p>
      <w:pPr>
        <w:autoSpaceDE w:val="0"/>
        <w:spacing w:line="560" w:lineRule="exact"/>
        <w:ind w:firstLine="640" w:firstLineChars="200"/>
        <w:jc w:val="left"/>
        <w:rPr>
          <w:rFonts w:eastAsia="仿宋_GB2312"/>
          <w:sz w:val="32"/>
          <w:szCs w:val="32"/>
          <w:lang w:val="zh-CN"/>
        </w:rPr>
      </w:pPr>
      <w:r>
        <w:rPr>
          <w:rFonts w:hint="eastAsia" w:eastAsia="仿宋_GB2312"/>
          <w:sz w:val="32"/>
          <w:szCs w:val="32"/>
        </w:rPr>
        <w:t>2.规范账务处理，提高财务信息质量。</w:t>
      </w:r>
    </w:p>
    <w:p>
      <w:pPr>
        <w:rPr>
          <w:rFonts w:eastAsia="仿宋_GB2312"/>
          <w:sz w:val="32"/>
          <w:szCs w:val="32"/>
          <w:lang w:val="zh-CN"/>
        </w:rPr>
      </w:pPr>
    </w:p>
    <w:p>
      <w:pPr>
        <w:ind w:firstLine="640" w:firstLineChars="200"/>
        <w:rPr>
          <w:rFonts w:eastAsia="仿宋_GB2312"/>
          <w:sz w:val="32"/>
          <w:szCs w:val="32"/>
          <w:lang w:val="zh-CN"/>
        </w:rPr>
      </w:pPr>
    </w:p>
    <w:p>
      <w:pPr>
        <w:ind w:firstLine="640" w:firstLineChars="200"/>
        <w:rPr>
          <w:rFonts w:hint="eastAsia" w:asciiTheme="minorEastAsia" w:hAnsiTheme="minorEastAsia" w:eastAsiaTheme="minorEastAsia"/>
          <w:sz w:val="32"/>
          <w:szCs w:val="32"/>
          <w:lang w:val="zh-CN"/>
        </w:rPr>
      </w:pPr>
      <w:r>
        <w:rPr>
          <w:rFonts w:hint="eastAsia" w:asciiTheme="minorEastAsia" w:hAnsiTheme="minorEastAsia" w:eastAsiaTheme="minorEastAsia"/>
          <w:sz w:val="32"/>
          <w:szCs w:val="32"/>
          <w:lang w:val="zh-CN"/>
        </w:rPr>
        <w:t>附表：</w:t>
      </w:r>
      <w:r>
        <w:rPr>
          <w:rFonts w:hint="eastAsia" w:asciiTheme="minorEastAsia" w:hAnsiTheme="minorEastAsia" w:eastAsiaTheme="minorEastAsia"/>
          <w:sz w:val="32"/>
          <w:szCs w:val="32"/>
        </w:rPr>
        <w:t>部门</w:t>
      </w:r>
      <w:r>
        <w:rPr>
          <w:rFonts w:hint="eastAsia" w:asciiTheme="minorEastAsia" w:hAnsiTheme="minorEastAsia" w:eastAsiaTheme="minorEastAsia"/>
          <w:sz w:val="32"/>
          <w:szCs w:val="32"/>
          <w:lang w:val="zh-CN"/>
        </w:rPr>
        <w:t>预算项目支出绩效自评表（2023年度）</w:t>
      </w:r>
    </w:p>
    <w:p>
      <w:pPr>
        <w:ind w:firstLine="640" w:firstLineChars="200"/>
        <w:rPr>
          <w:rFonts w:eastAsia="仿宋_GB2312"/>
          <w:sz w:val="32"/>
          <w:szCs w:val="32"/>
          <w:lang w:val="zh-CN"/>
        </w:rPr>
      </w:pPr>
      <w:r>
        <w:rPr>
          <w:rFonts w:hint="eastAsia" w:eastAsia="仿宋_GB2312"/>
          <w:sz w:val="32"/>
          <w:szCs w:val="32"/>
          <w:lang w:val="zh-CN"/>
        </w:rPr>
        <w:object>
          <v:shape id="_x0000_i1025" o:spt="75" type="#_x0000_t75" style="height:291pt;width:414.6pt;" o:ole="t" filled="f" o:preferrelative="t" stroked="f" coordsize="21600,21600">
            <v:path/>
            <v:fill on="f" focussize="0,0"/>
            <v:stroke on="f" joinstyle="miter"/>
            <v:imagedata r:id="rId14" o:title=""/>
            <o:lock v:ext="edit" aspectratio="f"/>
            <w10:wrap type="none"/>
            <w10:anchorlock/>
          </v:shape>
          <o:OLEObject Type="Embed" ProgID="Excel.Sheet.12" ShapeID="_x0000_i1025" DrawAspect="Content" ObjectID="_1468075725" r:id="rId13">
            <o:LockedField>false</o:LockedField>
          </o:OLEObject>
        </w:object>
      </w:r>
    </w:p>
    <w:p>
      <w:pPr>
        <w:pStyle w:val="8"/>
        <w:spacing w:before="93"/>
        <w:rPr>
          <w:lang w:val="zh-CN"/>
        </w:rPr>
      </w:pPr>
      <w:r>
        <w:rPr>
          <w:lang w:val="zh-CN"/>
        </w:rPr>
        <w:object>
          <v:shape id="_x0000_i1026" o:spt="75" type="#_x0000_t75" style="height:309.6pt;width:414.6pt;" o:ole="t" filled="f" o:preferrelative="t" stroked="f" coordsize="21600,21600">
            <v:path/>
            <v:fill on="f" focussize="0,0"/>
            <v:stroke on="f" joinstyle="miter"/>
            <v:imagedata r:id="rId16" o:title=""/>
            <o:lock v:ext="edit" aspectratio="f"/>
            <w10:wrap type="none"/>
            <w10:anchorlock/>
          </v:shape>
          <o:OLEObject Type="Embed" ProgID="Excel.Sheet.12" ShapeID="_x0000_i1026" DrawAspect="Content" ObjectID="_1468075726" r:id="rId15">
            <o:LockedField>false</o:LockedField>
          </o:OLEObject>
        </w:object>
      </w:r>
    </w:p>
    <w:p>
      <w:pPr>
        <w:rPr>
          <w:lang w:val="zh-CN"/>
        </w:rPr>
      </w:pPr>
    </w:p>
    <w:p>
      <w:pPr>
        <w:pStyle w:val="4"/>
        <w:rPr>
          <w:lang w:val="zh-CN"/>
        </w:rPr>
      </w:pPr>
      <w:r>
        <w:rPr>
          <w:lang w:val="zh-CN"/>
        </w:rPr>
        <w:object>
          <v:shape id="_x0000_i1027" o:spt="75" type="#_x0000_t75" style="height:316.2pt;width:414.6pt;" o:ole="t" filled="f" o:preferrelative="t" stroked="f" coordsize="21600,21600">
            <v:path/>
            <v:fill on="f" focussize="0,0"/>
            <v:stroke on="f" joinstyle="miter"/>
            <v:imagedata r:id="rId18" o:title=""/>
            <o:lock v:ext="edit" aspectratio="f"/>
            <w10:wrap type="none"/>
            <w10:anchorlock/>
          </v:shape>
          <o:OLEObject Type="Embed" ProgID="Excel.Sheet.12" ShapeID="_x0000_i1027" DrawAspect="Content" ObjectID="_1468075727" r:id="rId17">
            <o:LockedField>false</o:LockedField>
          </o:OLEObject>
        </w:object>
      </w:r>
    </w:p>
    <w:p>
      <w:pPr>
        <w:pStyle w:val="4"/>
        <w:rPr>
          <w:lang w:val="zh-CN"/>
        </w:rPr>
      </w:pPr>
    </w:p>
    <w:p>
      <w:pPr>
        <w:pStyle w:val="4"/>
        <w:rPr>
          <w:lang w:val="zh-CN"/>
        </w:rPr>
      </w:pPr>
    </w:p>
    <w:p>
      <w:pPr>
        <w:pStyle w:val="4"/>
        <w:rPr>
          <w:lang w:val="zh-CN"/>
        </w:rPr>
      </w:pPr>
      <w:r>
        <w:rPr>
          <w:lang w:val="zh-CN"/>
        </w:rPr>
        <w:object>
          <v:shape id="_x0000_i1028" o:spt="75" type="#_x0000_t75" style="height:291pt;width:414.6pt;" o:ole="t" filled="f" o:preferrelative="t" stroked="f" coordsize="21600,21600">
            <v:path/>
            <v:fill on="f" focussize="0,0"/>
            <v:stroke on="f" joinstyle="miter"/>
            <v:imagedata r:id="rId20" o:title=""/>
            <o:lock v:ext="edit" aspectratio="f"/>
            <w10:wrap type="none"/>
            <w10:anchorlock/>
          </v:shape>
          <o:OLEObject Type="Embed" ProgID="Excel.Sheet.12" ShapeID="_x0000_i1028" DrawAspect="Content" ObjectID="_1468075728" r:id="rId19">
            <o:LockedField>false</o:LockedField>
          </o:OLEObject>
        </w:object>
      </w:r>
    </w:p>
    <w:p>
      <w:pPr>
        <w:pStyle w:val="4"/>
        <w:rPr>
          <w:lang w:val="zh-CN"/>
        </w:rPr>
      </w:pPr>
      <w:r>
        <w:rPr>
          <w:lang w:val="zh-CN"/>
        </w:rPr>
        <w:object>
          <v:shape id="_x0000_i1029" o:spt="75" type="#_x0000_t75" style="height:291pt;width:414.6pt;" o:ole="t" filled="f" o:preferrelative="t" stroked="f" coordsize="21600,21600">
            <v:path/>
            <v:fill on="f" focussize="0,0"/>
            <v:stroke on="f" joinstyle="miter"/>
            <v:imagedata r:id="rId22" o:title=""/>
            <o:lock v:ext="edit" aspectratio="f"/>
            <w10:wrap type="none"/>
            <w10:anchorlock/>
          </v:shape>
          <o:OLEObject Type="Embed" ProgID="Excel.Sheet.12" ShapeID="_x0000_i1029" DrawAspect="Content" ObjectID="_1468075729" r:id="rId21">
            <o:LockedField>false</o:LockedField>
          </o:OLEObject>
        </w:object>
      </w:r>
    </w:p>
    <w:p>
      <w:pPr>
        <w:pStyle w:val="4"/>
        <w:rPr>
          <w:lang w:val="zh-CN"/>
        </w:rPr>
      </w:pPr>
    </w:p>
    <w:p>
      <w:pPr>
        <w:pStyle w:val="4"/>
        <w:rPr>
          <w:lang w:val="zh-CN"/>
        </w:rPr>
      </w:pPr>
    </w:p>
    <w:p>
      <w:pPr>
        <w:pStyle w:val="4"/>
        <w:rPr>
          <w:lang w:val="zh-CN"/>
        </w:rPr>
      </w:pPr>
    </w:p>
    <w:p>
      <w:pPr>
        <w:pStyle w:val="4"/>
        <w:rPr>
          <w:lang w:val="zh-CN"/>
        </w:rPr>
      </w:pPr>
    </w:p>
    <w:p>
      <w:pPr>
        <w:pStyle w:val="4"/>
        <w:rPr>
          <w:lang w:val="zh-CN"/>
        </w:rPr>
      </w:pPr>
      <w:r>
        <w:rPr>
          <w:lang w:val="zh-CN"/>
        </w:rPr>
        <w:object>
          <v:shape id="_x0000_i1030" o:spt="75" type="#_x0000_t75" style="height:282.6pt;width:414.6pt;" o:ole="t" filled="f" o:preferrelative="t" stroked="f" coordsize="21600,21600">
            <v:path/>
            <v:fill on="f" focussize="0,0"/>
            <v:stroke on="f" joinstyle="miter"/>
            <v:imagedata r:id="rId24" o:title=""/>
            <o:lock v:ext="edit" aspectratio="f"/>
            <w10:wrap type="none"/>
            <w10:anchorlock/>
          </v:shape>
          <o:OLEObject Type="Embed" ProgID="Excel.Sheet.12" ShapeID="_x0000_i1030" DrawAspect="Content" ObjectID="_1468075730" r:id="rId23">
            <o:LockedField>false</o:LockedField>
          </o:OLEObject>
        </w:object>
      </w:r>
    </w:p>
    <w:p>
      <w:pPr>
        <w:pStyle w:val="4"/>
        <w:rPr>
          <w:lang w:val="zh-CN"/>
        </w:rPr>
      </w:pPr>
    </w:p>
    <w:p>
      <w:pPr>
        <w:pStyle w:val="4"/>
        <w:rPr>
          <w:lang w:val="zh-CN"/>
        </w:rPr>
      </w:pPr>
    </w:p>
    <w:p/>
    <w:p>
      <w:pPr>
        <w:pStyle w:val="5"/>
        <w:jc w:val="center"/>
        <w:rPr>
          <w:rFonts w:hint="eastAsia" w:ascii="黑体" w:hAnsi="黑体" w:eastAsia="黑体"/>
        </w:rPr>
      </w:pPr>
      <w:bookmarkStart w:id="97" w:name="_Toc29536"/>
      <w:bookmarkStart w:id="98" w:name="_Toc15384"/>
      <w:r>
        <w:rPr>
          <w:rFonts w:hint="eastAsia" w:ascii="黑体" w:hAnsi="黑体" w:eastAsia="黑体"/>
        </w:rPr>
        <w:t>第五部分 附表</w:t>
      </w:r>
      <w:bookmarkEnd w:id="97"/>
      <w:bookmarkEnd w:id="98"/>
    </w:p>
    <w:p>
      <w:pPr>
        <w:rPr>
          <w:rFonts w:hint="eastAsia" w:ascii="仿宋" w:hAnsi="仿宋" w:eastAsia="仿宋"/>
          <w:sz w:val="32"/>
          <w:szCs w:val="32"/>
        </w:rPr>
      </w:pPr>
      <w:r>
        <w:rPr>
          <w:rFonts w:hint="eastAsia" w:ascii="仿宋" w:hAnsi="仿宋" w:eastAsia="仿宋"/>
          <w:sz w:val="32"/>
          <w:szCs w:val="32"/>
        </w:rPr>
        <w:t>一、收入支出决算总表</w:t>
      </w:r>
    </w:p>
    <w:p>
      <w:pPr>
        <w:rPr>
          <w:rFonts w:hint="eastAsia" w:ascii="仿宋" w:hAnsi="仿宋" w:eastAsia="仿宋"/>
          <w:sz w:val="32"/>
          <w:szCs w:val="32"/>
        </w:rPr>
      </w:pPr>
      <w:r>
        <w:rPr>
          <w:rFonts w:hint="eastAsia" w:ascii="仿宋" w:hAnsi="仿宋" w:eastAsia="仿宋"/>
          <w:sz w:val="32"/>
          <w:szCs w:val="32"/>
        </w:rPr>
        <w:t>二、收入决算表</w:t>
      </w:r>
    </w:p>
    <w:p>
      <w:pPr>
        <w:rPr>
          <w:rFonts w:hint="eastAsia" w:ascii="仿宋" w:hAnsi="仿宋" w:eastAsia="仿宋"/>
          <w:sz w:val="32"/>
          <w:szCs w:val="32"/>
        </w:rPr>
      </w:pPr>
      <w:r>
        <w:rPr>
          <w:rFonts w:hint="eastAsia" w:ascii="仿宋" w:hAnsi="仿宋" w:eastAsia="仿宋"/>
          <w:sz w:val="32"/>
          <w:szCs w:val="32"/>
        </w:rPr>
        <w:t>三、支出决算表</w:t>
      </w:r>
    </w:p>
    <w:p>
      <w:pPr>
        <w:rPr>
          <w:rFonts w:hint="eastAsia" w:ascii="仿宋" w:hAnsi="仿宋" w:eastAsia="仿宋"/>
          <w:sz w:val="32"/>
          <w:szCs w:val="32"/>
        </w:rPr>
      </w:pPr>
      <w:r>
        <w:rPr>
          <w:rFonts w:hint="eastAsia" w:ascii="仿宋" w:hAnsi="仿宋" w:eastAsia="仿宋"/>
          <w:sz w:val="32"/>
          <w:szCs w:val="32"/>
        </w:rPr>
        <w:t>四、财政拨款收入支出决算总表</w:t>
      </w:r>
    </w:p>
    <w:p>
      <w:pPr>
        <w:rPr>
          <w:rFonts w:hint="eastAsia" w:ascii="仿宋" w:hAnsi="仿宋" w:eastAsia="仿宋"/>
          <w:sz w:val="32"/>
          <w:szCs w:val="32"/>
        </w:rPr>
      </w:pPr>
      <w:r>
        <w:rPr>
          <w:rFonts w:hint="eastAsia" w:ascii="仿宋" w:hAnsi="仿宋" w:eastAsia="仿宋"/>
          <w:sz w:val="32"/>
          <w:szCs w:val="32"/>
        </w:rPr>
        <w:t>五、财政拨款支出决算明细表</w:t>
      </w:r>
    </w:p>
    <w:p>
      <w:pPr>
        <w:rPr>
          <w:rFonts w:hint="eastAsia" w:ascii="仿宋" w:hAnsi="仿宋" w:eastAsia="仿宋"/>
          <w:sz w:val="32"/>
          <w:szCs w:val="32"/>
        </w:rPr>
      </w:pPr>
      <w:r>
        <w:rPr>
          <w:rFonts w:hint="eastAsia" w:ascii="仿宋" w:hAnsi="仿宋" w:eastAsia="仿宋"/>
          <w:sz w:val="32"/>
          <w:szCs w:val="32"/>
        </w:rPr>
        <w:t>六、一般公共预算财政拨款支出决算表</w:t>
      </w:r>
    </w:p>
    <w:p>
      <w:pPr>
        <w:rPr>
          <w:rFonts w:hint="eastAsia" w:ascii="仿宋" w:hAnsi="仿宋" w:eastAsia="仿宋"/>
          <w:sz w:val="32"/>
          <w:szCs w:val="32"/>
        </w:rPr>
      </w:pPr>
      <w:r>
        <w:rPr>
          <w:rFonts w:hint="eastAsia" w:ascii="仿宋" w:hAnsi="仿宋" w:eastAsia="仿宋"/>
          <w:sz w:val="32"/>
          <w:szCs w:val="32"/>
        </w:rPr>
        <w:t>七、一般公共预算财政拨款支出决算明细表</w:t>
      </w:r>
    </w:p>
    <w:p>
      <w:pPr>
        <w:rPr>
          <w:rFonts w:hint="eastAsia" w:ascii="仿宋" w:hAnsi="仿宋" w:eastAsia="仿宋"/>
          <w:sz w:val="32"/>
          <w:szCs w:val="32"/>
        </w:rPr>
      </w:pPr>
      <w:r>
        <w:rPr>
          <w:rFonts w:hint="eastAsia" w:ascii="仿宋" w:hAnsi="仿宋" w:eastAsia="仿宋"/>
          <w:sz w:val="32"/>
          <w:szCs w:val="32"/>
        </w:rPr>
        <w:t>八、一般公共预算财政拨款基本支出决算表</w:t>
      </w:r>
    </w:p>
    <w:p>
      <w:pPr>
        <w:rPr>
          <w:rFonts w:hint="eastAsia" w:ascii="仿宋" w:hAnsi="仿宋" w:eastAsia="仿宋"/>
          <w:sz w:val="32"/>
          <w:szCs w:val="32"/>
        </w:rPr>
      </w:pPr>
      <w:r>
        <w:rPr>
          <w:rFonts w:hint="eastAsia" w:ascii="仿宋" w:hAnsi="仿宋" w:eastAsia="仿宋"/>
          <w:sz w:val="32"/>
          <w:szCs w:val="32"/>
        </w:rPr>
        <w:t>九、一般公共预算财政拨款项目支出决算表</w:t>
      </w:r>
    </w:p>
    <w:p>
      <w:pPr>
        <w:rPr>
          <w:rFonts w:hint="eastAsia" w:ascii="仿宋" w:hAnsi="仿宋" w:eastAsia="仿宋"/>
          <w:sz w:val="32"/>
          <w:szCs w:val="32"/>
        </w:rPr>
      </w:pPr>
      <w:r>
        <w:rPr>
          <w:rFonts w:hint="eastAsia" w:ascii="仿宋" w:hAnsi="仿宋" w:eastAsia="仿宋"/>
          <w:sz w:val="32"/>
          <w:szCs w:val="32"/>
        </w:rPr>
        <w:t>十、政府性基金预算财政拨款收入支出决算表</w:t>
      </w:r>
    </w:p>
    <w:p>
      <w:pPr>
        <w:rPr>
          <w:rFonts w:hint="eastAsia" w:ascii="仿宋" w:hAnsi="仿宋" w:eastAsia="仿宋"/>
          <w:sz w:val="32"/>
          <w:szCs w:val="32"/>
        </w:rPr>
      </w:pPr>
      <w:r>
        <w:rPr>
          <w:rFonts w:hint="eastAsia" w:ascii="仿宋" w:hAnsi="仿宋" w:eastAsia="仿宋"/>
          <w:sz w:val="32"/>
          <w:szCs w:val="32"/>
        </w:rPr>
        <w:t>十一、国有资本经营预算财政拨款收入支出决算表</w:t>
      </w:r>
    </w:p>
    <w:p>
      <w:pPr>
        <w:rPr>
          <w:rFonts w:hint="eastAsia" w:ascii="仿宋" w:hAnsi="仿宋" w:eastAsia="仿宋"/>
          <w:sz w:val="32"/>
          <w:szCs w:val="32"/>
        </w:rPr>
      </w:pPr>
      <w:r>
        <w:rPr>
          <w:rFonts w:hint="eastAsia" w:ascii="仿宋" w:hAnsi="仿宋" w:eastAsia="仿宋"/>
          <w:sz w:val="32"/>
          <w:szCs w:val="32"/>
        </w:rPr>
        <w:t>十二、国有资本经营预算财政拨款支出决算表</w:t>
      </w:r>
    </w:p>
    <w:p>
      <w:pPr>
        <w:rPr>
          <w:rFonts w:hint="eastAsia" w:ascii="仿宋" w:hAnsi="仿宋" w:eastAsia="仿宋"/>
          <w:sz w:val="32"/>
          <w:szCs w:val="32"/>
        </w:rPr>
      </w:pPr>
      <w:r>
        <w:rPr>
          <w:rFonts w:hint="eastAsia" w:ascii="仿宋" w:hAnsi="仿宋" w:eastAsia="仿宋"/>
          <w:sz w:val="32"/>
          <w:szCs w:val="32"/>
        </w:rPr>
        <w:t>十三、财政拨款“三公”经费支出决算表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
    <w:altName w:val="Times New Roman"/>
    <w:panose1 w:val="00000000000000000000"/>
    <w:charset w:val="00"/>
    <w:family w:val="roman"/>
    <w:pitch w:val="default"/>
    <w:sig w:usb0="00000000" w:usb1="00000000" w:usb2="00000000" w:usb3="00000000" w:csb0="00000000" w:csb1="00000000"/>
  </w:font>
  <w:font w:name="方正小标宋简体">
    <w:altName w:val="黑体"/>
    <w:panose1 w:val="00000000000000000000"/>
    <w:charset w:val="86"/>
    <w:family w:val="script"/>
    <w:pitch w:val="default"/>
    <w:sig w:usb0="00000000" w:usb1="00000000" w:usb2="00000012"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1"/>
          <w:jc w:val="center"/>
        </w:pPr>
        <w:r>
          <w:fldChar w:fldCharType="begin"/>
        </w:r>
        <w:r>
          <w:instrText xml:space="preserve">PAGE   \* MERGEFORMAT</w:instrText>
        </w:r>
        <w:r>
          <w:fldChar w:fldCharType="separate"/>
        </w:r>
        <w:r>
          <w:rPr>
            <w:lang w:val="zh-CN"/>
          </w:rPr>
          <w:t>23</w:t>
        </w:r>
        <w:r>
          <w:fldChar w:fldCharType="end"/>
        </w:r>
      </w:p>
    </w:sdtContent>
  </w:sdt>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376144"/>
    <w:multiLevelType w:val="singleLevel"/>
    <w:tmpl w:val="88376144"/>
    <w:lvl w:ilvl="0" w:tentative="0">
      <w:start w:val="2"/>
      <w:numFmt w:val="chineseCounting"/>
      <w:suff w:val="nothing"/>
      <w:lvlText w:val="（%1）"/>
      <w:lvlJc w:val="left"/>
      <w:rPr>
        <w:rFonts w:hint="eastAsia"/>
      </w:rPr>
    </w:lvl>
  </w:abstractNum>
  <w:abstractNum w:abstractNumId="1">
    <w:nsid w:val="BBCF212C"/>
    <w:multiLevelType w:val="singleLevel"/>
    <w:tmpl w:val="BBCF212C"/>
    <w:lvl w:ilvl="0" w:tentative="0">
      <w:start w:val="2"/>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F006890E"/>
    <w:multiLevelType w:val="singleLevel"/>
    <w:tmpl w:val="F006890E"/>
    <w:lvl w:ilvl="0" w:tentative="0">
      <w:start w:val="1"/>
      <w:numFmt w:val="chineseCounting"/>
      <w:suff w:val="nothing"/>
      <w:lvlText w:val="%1、"/>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699854C3"/>
    <w:multiLevelType w:val="singleLevel"/>
    <w:tmpl w:val="699854C3"/>
    <w:lvl w:ilvl="0" w:tentative="0">
      <w:start w:val="3"/>
      <w:numFmt w:val="chineseCounting"/>
      <w:suff w:val="nothing"/>
      <w:lvlText w:val="（%1）"/>
      <w:lvlJc w:val="left"/>
      <w:rPr>
        <w:rFonts w:hint="eastAsia"/>
      </w:rPr>
    </w:lvl>
  </w:abstractNum>
  <w:num w:numId="1">
    <w:abstractNumId w:val="3"/>
  </w:num>
  <w:num w:numId="2">
    <w:abstractNumId w:val="4"/>
  </w:num>
  <w:num w:numId="3">
    <w:abstractNumId w:val="2"/>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14A1C"/>
    <w:rsid w:val="000222C6"/>
    <w:rsid w:val="0002549F"/>
    <w:rsid w:val="00035392"/>
    <w:rsid w:val="000468DB"/>
    <w:rsid w:val="0006487A"/>
    <w:rsid w:val="00065F8F"/>
    <w:rsid w:val="00070A43"/>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30E5"/>
    <w:rsid w:val="00174518"/>
    <w:rsid w:val="0018106D"/>
    <w:rsid w:val="001877A7"/>
    <w:rsid w:val="00191536"/>
    <w:rsid w:val="00196687"/>
    <w:rsid w:val="001C0962"/>
    <w:rsid w:val="001C2738"/>
    <w:rsid w:val="001D7531"/>
    <w:rsid w:val="001E737D"/>
    <w:rsid w:val="001F0592"/>
    <w:rsid w:val="001F6419"/>
    <w:rsid w:val="001F7506"/>
    <w:rsid w:val="002006CD"/>
    <w:rsid w:val="00202B36"/>
    <w:rsid w:val="00204B7A"/>
    <w:rsid w:val="00204CDE"/>
    <w:rsid w:val="0021101A"/>
    <w:rsid w:val="00220536"/>
    <w:rsid w:val="00235629"/>
    <w:rsid w:val="00260289"/>
    <w:rsid w:val="00260C38"/>
    <w:rsid w:val="002616C0"/>
    <w:rsid w:val="002643DB"/>
    <w:rsid w:val="00265372"/>
    <w:rsid w:val="002662AA"/>
    <w:rsid w:val="00280496"/>
    <w:rsid w:val="00283D47"/>
    <w:rsid w:val="00294DC9"/>
    <w:rsid w:val="00295495"/>
    <w:rsid w:val="002A31DE"/>
    <w:rsid w:val="002A62F7"/>
    <w:rsid w:val="002B2613"/>
    <w:rsid w:val="002C1468"/>
    <w:rsid w:val="002D6D05"/>
    <w:rsid w:val="002F1818"/>
    <w:rsid w:val="002F5109"/>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2919"/>
    <w:rsid w:val="003D66DA"/>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3F31"/>
    <w:rsid w:val="0048263A"/>
    <w:rsid w:val="004826A2"/>
    <w:rsid w:val="00487E5D"/>
    <w:rsid w:val="004A711F"/>
    <w:rsid w:val="004B199D"/>
    <w:rsid w:val="004B4690"/>
    <w:rsid w:val="004E0A2D"/>
    <w:rsid w:val="004E206B"/>
    <w:rsid w:val="004E3607"/>
    <w:rsid w:val="004E6DF7"/>
    <w:rsid w:val="004F0FBD"/>
    <w:rsid w:val="00505A47"/>
    <w:rsid w:val="00512FDA"/>
    <w:rsid w:val="00520DA0"/>
    <w:rsid w:val="005664BB"/>
    <w:rsid w:val="00566FFA"/>
    <w:rsid w:val="0057481D"/>
    <w:rsid w:val="0058486E"/>
    <w:rsid w:val="00585B33"/>
    <w:rsid w:val="0059014D"/>
    <w:rsid w:val="005A09FD"/>
    <w:rsid w:val="005B0198"/>
    <w:rsid w:val="005B321C"/>
    <w:rsid w:val="005B5C64"/>
    <w:rsid w:val="005C5337"/>
    <w:rsid w:val="005C6BD0"/>
    <w:rsid w:val="005D1C8B"/>
    <w:rsid w:val="005D468D"/>
    <w:rsid w:val="005D5CED"/>
    <w:rsid w:val="005F1A4C"/>
    <w:rsid w:val="00605688"/>
    <w:rsid w:val="006070AF"/>
    <w:rsid w:val="00607E6C"/>
    <w:rsid w:val="006101B1"/>
    <w:rsid w:val="00614E44"/>
    <w:rsid w:val="00620030"/>
    <w:rsid w:val="0062270A"/>
    <w:rsid w:val="00622830"/>
    <w:rsid w:val="00623DA0"/>
    <w:rsid w:val="00630AEF"/>
    <w:rsid w:val="006325F8"/>
    <w:rsid w:val="00633463"/>
    <w:rsid w:val="00634C9A"/>
    <w:rsid w:val="00640417"/>
    <w:rsid w:val="00641F56"/>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516B"/>
    <w:rsid w:val="00746F48"/>
    <w:rsid w:val="0075404D"/>
    <w:rsid w:val="0076182A"/>
    <w:rsid w:val="00762406"/>
    <w:rsid w:val="0076493D"/>
    <w:rsid w:val="00767B7E"/>
    <w:rsid w:val="007770C3"/>
    <w:rsid w:val="00784D24"/>
    <w:rsid w:val="00785FBA"/>
    <w:rsid w:val="00786E4A"/>
    <w:rsid w:val="007875EB"/>
    <w:rsid w:val="0079426B"/>
    <w:rsid w:val="007D1682"/>
    <w:rsid w:val="007D312A"/>
    <w:rsid w:val="007D3F19"/>
    <w:rsid w:val="007E23B0"/>
    <w:rsid w:val="007E23E5"/>
    <w:rsid w:val="007E6A82"/>
    <w:rsid w:val="007F1991"/>
    <w:rsid w:val="007F2C2F"/>
    <w:rsid w:val="007F55FC"/>
    <w:rsid w:val="007F5665"/>
    <w:rsid w:val="007F7385"/>
    <w:rsid w:val="00800112"/>
    <w:rsid w:val="00813348"/>
    <w:rsid w:val="008253BB"/>
    <w:rsid w:val="0083706E"/>
    <w:rsid w:val="008408F6"/>
    <w:rsid w:val="008423A5"/>
    <w:rsid w:val="00850625"/>
    <w:rsid w:val="00853718"/>
    <w:rsid w:val="00855221"/>
    <w:rsid w:val="00860645"/>
    <w:rsid w:val="00871F71"/>
    <w:rsid w:val="00872FD8"/>
    <w:rsid w:val="00875641"/>
    <w:rsid w:val="00885AF4"/>
    <w:rsid w:val="00887F08"/>
    <w:rsid w:val="008914B9"/>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F0"/>
    <w:rsid w:val="00935C98"/>
    <w:rsid w:val="00946945"/>
    <w:rsid w:val="009477D6"/>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50C8"/>
    <w:rsid w:val="009F1185"/>
    <w:rsid w:val="009F18CD"/>
    <w:rsid w:val="009F2A13"/>
    <w:rsid w:val="009F7527"/>
    <w:rsid w:val="00A04EB0"/>
    <w:rsid w:val="00A13CC1"/>
    <w:rsid w:val="00A16847"/>
    <w:rsid w:val="00A237D8"/>
    <w:rsid w:val="00A25C9F"/>
    <w:rsid w:val="00A268C4"/>
    <w:rsid w:val="00A27C77"/>
    <w:rsid w:val="00A307CD"/>
    <w:rsid w:val="00A331C8"/>
    <w:rsid w:val="00A40251"/>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16BA"/>
    <w:rsid w:val="00AE1EBE"/>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53C56"/>
    <w:rsid w:val="00B57DAF"/>
    <w:rsid w:val="00B76F9D"/>
    <w:rsid w:val="00B77EA6"/>
    <w:rsid w:val="00B81598"/>
    <w:rsid w:val="00B841F1"/>
    <w:rsid w:val="00B944D6"/>
    <w:rsid w:val="00BA579E"/>
    <w:rsid w:val="00BB4DF0"/>
    <w:rsid w:val="00BC289F"/>
    <w:rsid w:val="00BC2D50"/>
    <w:rsid w:val="00BC5361"/>
    <w:rsid w:val="00BC5460"/>
    <w:rsid w:val="00BC6B50"/>
    <w:rsid w:val="00BD0E25"/>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3013"/>
    <w:rsid w:val="00D34E7C"/>
    <w:rsid w:val="00D35489"/>
    <w:rsid w:val="00D36AFE"/>
    <w:rsid w:val="00D51276"/>
    <w:rsid w:val="00D7035F"/>
    <w:rsid w:val="00D950A1"/>
    <w:rsid w:val="00DA634F"/>
    <w:rsid w:val="00DA65AC"/>
    <w:rsid w:val="00DB1913"/>
    <w:rsid w:val="00DC410D"/>
    <w:rsid w:val="00DC5A81"/>
    <w:rsid w:val="00DC68CA"/>
    <w:rsid w:val="00DC7CBA"/>
    <w:rsid w:val="00DD73B7"/>
    <w:rsid w:val="00DF24DF"/>
    <w:rsid w:val="00DF28BC"/>
    <w:rsid w:val="00DF34B9"/>
    <w:rsid w:val="00E01053"/>
    <w:rsid w:val="00E01B70"/>
    <w:rsid w:val="00E07ACF"/>
    <w:rsid w:val="00E11813"/>
    <w:rsid w:val="00E331A1"/>
    <w:rsid w:val="00E33202"/>
    <w:rsid w:val="00E336A9"/>
    <w:rsid w:val="00E472B1"/>
    <w:rsid w:val="00E50624"/>
    <w:rsid w:val="00E568DF"/>
    <w:rsid w:val="00E64269"/>
    <w:rsid w:val="00E82267"/>
    <w:rsid w:val="00E853CE"/>
    <w:rsid w:val="00E867B6"/>
    <w:rsid w:val="00EA010F"/>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7DA4"/>
    <w:rsid w:val="00FD3CC1"/>
    <w:rsid w:val="00FF1E02"/>
    <w:rsid w:val="00FF30B4"/>
    <w:rsid w:val="015975B8"/>
    <w:rsid w:val="02FEBE30"/>
    <w:rsid w:val="036F8141"/>
    <w:rsid w:val="060132CD"/>
    <w:rsid w:val="066E0107"/>
    <w:rsid w:val="06BC2787"/>
    <w:rsid w:val="07996F6E"/>
    <w:rsid w:val="07BE5E2B"/>
    <w:rsid w:val="07DFD8BA"/>
    <w:rsid w:val="083D4407"/>
    <w:rsid w:val="0A2032A3"/>
    <w:rsid w:val="0A7C1C43"/>
    <w:rsid w:val="0D35B1ED"/>
    <w:rsid w:val="0D4923A7"/>
    <w:rsid w:val="0E7ED1F5"/>
    <w:rsid w:val="0EFA020C"/>
    <w:rsid w:val="0F98263C"/>
    <w:rsid w:val="101860EC"/>
    <w:rsid w:val="10C055FF"/>
    <w:rsid w:val="118107EC"/>
    <w:rsid w:val="12222551"/>
    <w:rsid w:val="13D50BC4"/>
    <w:rsid w:val="13F5616D"/>
    <w:rsid w:val="1611629A"/>
    <w:rsid w:val="16BB723D"/>
    <w:rsid w:val="17F9714D"/>
    <w:rsid w:val="1918F934"/>
    <w:rsid w:val="194E1064"/>
    <w:rsid w:val="1BE8440E"/>
    <w:rsid w:val="1D155CEE"/>
    <w:rsid w:val="1DFBC4B3"/>
    <w:rsid w:val="1E740ACF"/>
    <w:rsid w:val="1F19C781"/>
    <w:rsid w:val="1F33FCE5"/>
    <w:rsid w:val="1F7F7398"/>
    <w:rsid w:val="1FD2DB6F"/>
    <w:rsid w:val="1FE825FF"/>
    <w:rsid w:val="1FF35744"/>
    <w:rsid w:val="1FF6BC77"/>
    <w:rsid w:val="1FF9236D"/>
    <w:rsid w:val="2333840E"/>
    <w:rsid w:val="23860B96"/>
    <w:rsid w:val="240371BF"/>
    <w:rsid w:val="245B4DB2"/>
    <w:rsid w:val="257C638F"/>
    <w:rsid w:val="29FD04D3"/>
    <w:rsid w:val="2BFF7BC6"/>
    <w:rsid w:val="2C8A61B5"/>
    <w:rsid w:val="2CD59C95"/>
    <w:rsid w:val="2DF04E50"/>
    <w:rsid w:val="2EFD05E5"/>
    <w:rsid w:val="2F040D46"/>
    <w:rsid w:val="2F4F95CE"/>
    <w:rsid w:val="2FACAFDD"/>
    <w:rsid w:val="2FAE5751"/>
    <w:rsid w:val="2FB1A395"/>
    <w:rsid w:val="2FCF0B76"/>
    <w:rsid w:val="2FD9A7D8"/>
    <w:rsid w:val="319F7F4E"/>
    <w:rsid w:val="324028AC"/>
    <w:rsid w:val="32D9291B"/>
    <w:rsid w:val="32EE6B29"/>
    <w:rsid w:val="3304709D"/>
    <w:rsid w:val="33503650"/>
    <w:rsid w:val="342F7AF4"/>
    <w:rsid w:val="36AA5135"/>
    <w:rsid w:val="36BE0DA7"/>
    <w:rsid w:val="376B6AA6"/>
    <w:rsid w:val="376D39B2"/>
    <w:rsid w:val="37E16F03"/>
    <w:rsid w:val="37F53A3B"/>
    <w:rsid w:val="38D469F0"/>
    <w:rsid w:val="38F78389"/>
    <w:rsid w:val="397BAF1F"/>
    <w:rsid w:val="39A10AB2"/>
    <w:rsid w:val="39E7B272"/>
    <w:rsid w:val="39F7642F"/>
    <w:rsid w:val="39FF7B37"/>
    <w:rsid w:val="3AB79AF3"/>
    <w:rsid w:val="3AFDCB77"/>
    <w:rsid w:val="3B7EF35A"/>
    <w:rsid w:val="3B9FDB6C"/>
    <w:rsid w:val="3BF5BC2F"/>
    <w:rsid w:val="3BF7C23A"/>
    <w:rsid w:val="3BFF223E"/>
    <w:rsid w:val="3C6EC0A1"/>
    <w:rsid w:val="3CD97365"/>
    <w:rsid w:val="3CDB0824"/>
    <w:rsid w:val="3CEBA265"/>
    <w:rsid w:val="3D6A7F9F"/>
    <w:rsid w:val="3D7E7F4D"/>
    <w:rsid w:val="3D98207C"/>
    <w:rsid w:val="3D9CF30A"/>
    <w:rsid w:val="3DFF5A3E"/>
    <w:rsid w:val="3E78745D"/>
    <w:rsid w:val="3EEE77E9"/>
    <w:rsid w:val="3F394AF5"/>
    <w:rsid w:val="3FBE5714"/>
    <w:rsid w:val="3FDD8615"/>
    <w:rsid w:val="3FDFB2FF"/>
    <w:rsid w:val="3FF4CAE0"/>
    <w:rsid w:val="3FF75FAF"/>
    <w:rsid w:val="3FF7B227"/>
    <w:rsid w:val="40895652"/>
    <w:rsid w:val="40E259E7"/>
    <w:rsid w:val="44E268DA"/>
    <w:rsid w:val="457F4F6B"/>
    <w:rsid w:val="4737FB58"/>
    <w:rsid w:val="47ECCB02"/>
    <w:rsid w:val="47FA6A3F"/>
    <w:rsid w:val="49D7AE48"/>
    <w:rsid w:val="4A3F6C7E"/>
    <w:rsid w:val="4A627F82"/>
    <w:rsid w:val="4B0E749A"/>
    <w:rsid w:val="4B4F25DA"/>
    <w:rsid w:val="4BBB4781"/>
    <w:rsid w:val="4BD709A5"/>
    <w:rsid w:val="4BDD9BFF"/>
    <w:rsid w:val="4BE068DB"/>
    <w:rsid w:val="4CAF3DDF"/>
    <w:rsid w:val="4D577224"/>
    <w:rsid w:val="4DBF1CEB"/>
    <w:rsid w:val="4DBF6A6B"/>
    <w:rsid w:val="4DF6A672"/>
    <w:rsid w:val="4EAB630A"/>
    <w:rsid w:val="4ECE2238"/>
    <w:rsid w:val="4F7EA413"/>
    <w:rsid w:val="4FAB812F"/>
    <w:rsid w:val="4FE9BD67"/>
    <w:rsid w:val="4FEE4C07"/>
    <w:rsid w:val="4FFB052F"/>
    <w:rsid w:val="505A66A9"/>
    <w:rsid w:val="537E6D0A"/>
    <w:rsid w:val="53AB6B88"/>
    <w:rsid w:val="53F74C96"/>
    <w:rsid w:val="5583522D"/>
    <w:rsid w:val="57BD3DD4"/>
    <w:rsid w:val="57F9CD1E"/>
    <w:rsid w:val="58D22246"/>
    <w:rsid w:val="5AF92295"/>
    <w:rsid w:val="5AF9D8E9"/>
    <w:rsid w:val="5BDD38BD"/>
    <w:rsid w:val="5BDD79E6"/>
    <w:rsid w:val="5BEFC772"/>
    <w:rsid w:val="5BFF5DFC"/>
    <w:rsid w:val="5C043B96"/>
    <w:rsid w:val="5CD71FC4"/>
    <w:rsid w:val="5D1F11B5"/>
    <w:rsid w:val="5D3647F9"/>
    <w:rsid w:val="5DA644D4"/>
    <w:rsid w:val="5DAE1B18"/>
    <w:rsid w:val="5DE7D9E5"/>
    <w:rsid w:val="5ECEC941"/>
    <w:rsid w:val="5EFF8FC6"/>
    <w:rsid w:val="5F5BA39A"/>
    <w:rsid w:val="5F7D3B79"/>
    <w:rsid w:val="5F7F4610"/>
    <w:rsid w:val="5FBF9FF3"/>
    <w:rsid w:val="5FCD4E2C"/>
    <w:rsid w:val="5FEF394A"/>
    <w:rsid w:val="5FF67715"/>
    <w:rsid w:val="61CA71D5"/>
    <w:rsid w:val="627EE9EA"/>
    <w:rsid w:val="63B23AA5"/>
    <w:rsid w:val="647F5392"/>
    <w:rsid w:val="64E322C4"/>
    <w:rsid w:val="65FB93B9"/>
    <w:rsid w:val="6633C463"/>
    <w:rsid w:val="67D55B77"/>
    <w:rsid w:val="67EE7F84"/>
    <w:rsid w:val="686F5F53"/>
    <w:rsid w:val="69C62FFE"/>
    <w:rsid w:val="6AFFCEAF"/>
    <w:rsid w:val="6B96E9E6"/>
    <w:rsid w:val="6BCE57B5"/>
    <w:rsid w:val="6BFEA4DB"/>
    <w:rsid w:val="6BFFB662"/>
    <w:rsid w:val="6C4A05C8"/>
    <w:rsid w:val="6CD67FB7"/>
    <w:rsid w:val="6CFF4FB8"/>
    <w:rsid w:val="6D6BD6E0"/>
    <w:rsid w:val="6D77E73C"/>
    <w:rsid w:val="6DBF5E93"/>
    <w:rsid w:val="6DFF077E"/>
    <w:rsid w:val="6E7E3605"/>
    <w:rsid w:val="6E7FDCC7"/>
    <w:rsid w:val="6ED6A62E"/>
    <w:rsid w:val="6EE00B15"/>
    <w:rsid w:val="6EE737B2"/>
    <w:rsid w:val="6EEB2329"/>
    <w:rsid w:val="6EECE67A"/>
    <w:rsid w:val="6F265065"/>
    <w:rsid w:val="6F6F90A8"/>
    <w:rsid w:val="6F6FB3EB"/>
    <w:rsid w:val="6F8731EA"/>
    <w:rsid w:val="6FBC2ADD"/>
    <w:rsid w:val="6FD57C00"/>
    <w:rsid w:val="6FEFFFD8"/>
    <w:rsid w:val="6FF5CC65"/>
    <w:rsid w:val="6FFB47EC"/>
    <w:rsid w:val="6FFF034A"/>
    <w:rsid w:val="712A28F1"/>
    <w:rsid w:val="715C0E4B"/>
    <w:rsid w:val="71FFD401"/>
    <w:rsid w:val="72233669"/>
    <w:rsid w:val="72734D90"/>
    <w:rsid w:val="7332FE48"/>
    <w:rsid w:val="73694949"/>
    <w:rsid w:val="73AD73D5"/>
    <w:rsid w:val="73B6EB34"/>
    <w:rsid w:val="73F13286"/>
    <w:rsid w:val="73FA497D"/>
    <w:rsid w:val="744731E5"/>
    <w:rsid w:val="74BBD01D"/>
    <w:rsid w:val="74ED5379"/>
    <w:rsid w:val="75B86052"/>
    <w:rsid w:val="75DEEEC2"/>
    <w:rsid w:val="75F34773"/>
    <w:rsid w:val="767F479D"/>
    <w:rsid w:val="76E3355F"/>
    <w:rsid w:val="76F742AF"/>
    <w:rsid w:val="76F7BE7D"/>
    <w:rsid w:val="76FF5125"/>
    <w:rsid w:val="773570D3"/>
    <w:rsid w:val="77597F31"/>
    <w:rsid w:val="776F6FFA"/>
    <w:rsid w:val="7777A522"/>
    <w:rsid w:val="77858688"/>
    <w:rsid w:val="778769C8"/>
    <w:rsid w:val="77CB741A"/>
    <w:rsid w:val="77D7BE3A"/>
    <w:rsid w:val="77DC22F5"/>
    <w:rsid w:val="791D044C"/>
    <w:rsid w:val="797E3A6C"/>
    <w:rsid w:val="79CF70E2"/>
    <w:rsid w:val="79D7FD79"/>
    <w:rsid w:val="79E75806"/>
    <w:rsid w:val="79EE5BA4"/>
    <w:rsid w:val="79F65AEA"/>
    <w:rsid w:val="7A641148"/>
    <w:rsid w:val="7A6F8BF5"/>
    <w:rsid w:val="7A894339"/>
    <w:rsid w:val="7ACF82B5"/>
    <w:rsid w:val="7AD07861"/>
    <w:rsid w:val="7AD5112F"/>
    <w:rsid w:val="7AFF28C9"/>
    <w:rsid w:val="7AFF72A0"/>
    <w:rsid w:val="7AFF7572"/>
    <w:rsid w:val="7B6C7DFB"/>
    <w:rsid w:val="7B7D76A7"/>
    <w:rsid w:val="7BAE2FE2"/>
    <w:rsid w:val="7BAF6951"/>
    <w:rsid w:val="7BBFBED0"/>
    <w:rsid w:val="7BC3E394"/>
    <w:rsid w:val="7BF3FE4C"/>
    <w:rsid w:val="7BFB5035"/>
    <w:rsid w:val="7BFDE17E"/>
    <w:rsid w:val="7CBFC87B"/>
    <w:rsid w:val="7CFE0F48"/>
    <w:rsid w:val="7D3DE31C"/>
    <w:rsid w:val="7D7EC23E"/>
    <w:rsid w:val="7D7F8A13"/>
    <w:rsid w:val="7DBBCB01"/>
    <w:rsid w:val="7DC36E8C"/>
    <w:rsid w:val="7DC765D0"/>
    <w:rsid w:val="7DDB0EE0"/>
    <w:rsid w:val="7DFF51D8"/>
    <w:rsid w:val="7E634199"/>
    <w:rsid w:val="7E8ADEBF"/>
    <w:rsid w:val="7EEF11D3"/>
    <w:rsid w:val="7EF78C20"/>
    <w:rsid w:val="7F3F679B"/>
    <w:rsid w:val="7F4FC4EF"/>
    <w:rsid w:val="7F5E4D54"/>
    <w:rsid w:val="7F6B75FA"/>
    <w:rsid w:val="7F9F518D"/>
    <w:rsid w:val="7FA30C79"/>
    <w:rsid w:val="7FAF8ABF"/>
    <w:rsid w:val="7FB21852"/>
    <w:rsid w:val="7FB7269E"/>
    <w:rsid w:val="7FBD6753"/>
    <w:rsid w:val="7FBFABB4"/>
    <w:rsid w:val="7FC65084"/>
    <w:rsid w:val="7FC96657"/>
    <w:rsid w:val="7FD72595"/>
    <w:rsid w:val="7FDA9588"/>
    <w:rsid w:val="7FDF220F"/>
    <w:rsid w:val="7FDF4542"/>
    <w:rsid w:val="7FDF5405"/>
    <w:rsid w:val="7FEDC251"/>
    <w:rsid w:val="7FEDC5F7"/>
    <w:rsid w:val="7FEDD9DE"/>
    <w:rsid w:val="7FEFCDB9"/>
    <w:rsid w:val="7FF5890D"/>
    <w:rsid w:val="7FF5EB09"/>
    <w:rsid w:val="7FF89B92"/>
    <w:rsid w:val="7FF8F2E7"/>
    <w:rsid w:val="7FF93490"/>
    <w:rsid w:val="7FFA6237"/>
    <w:rsid w:val="7FFB5275"/>
    <w:rsid w:val="7FFD14DE"/>
    <w:rsid w:val="7FFFF783"/>
    <w:rsid w:val="93F70A9E"/>
    <w:rsid w:val="997D060E"/>
    <w:rsid w:val="99FF2014"/>
    <w:rsid w:val="9E59F895"/>
    <w:rsid w:val="9E7DEDC1"/>
    <w:rsid w:val="9EEF2B0D"/>
    <w:rsid w:val="9FF6F2A6"/>
    <w:rsid w:val="9FFE4AD9"/>
    <w:rsid w:val="9FFF61B9"/>
    <w:rsid w:val="A6DD0D7F"/>
    <w:rsid w:val="A7955197"/>
    <w:rsid w:val="A7FE5E0E"/>
    <w:rsid w:val="ADC6F725"/>
    <w:rsid w:val="AF0FFA84"/>
    <w:rsid w:val="AF9F0A5E"/>
    <w:rsid w:val="AFEF7964"/>
    <w:rsid w:val="B27A6F28"/>
    <w:rsid w:val="B35F0D5A"/>
    <w:rsid w:val="B3F7F693"/>
    <w:rsid w:val="B3FBBB6C"/>
    <w:rsid w:val="B5FFE407"/>
    <w:rsid w:val="B7CF06AB"/>
    <w:rsid w:val="B7CFA926"/>
    <w:rsid w:val="B7F8786B"/>
    <w:rsid w:val="B9EF5647"/>
    <w:rsid w:val="BABB6AA1"/>
    <w:rsid w:val="BAFCD398"/>
    <w:rsid w:val="BAFFDA0F"/>
    <w:rsid w:val="BB2F4199"/>
    <w:rsid w:val="BBFBD24E"/>
    <w:rsid w:val="BD079C78"/>
    <w:rsid w:val="BD2DD278"/>
    <w:rsid w:val="BD733540"/>
    <w:rsid w:val="BDF7970E"/>
    <w:rsid w:val="BDFE68BD"/>
    <w:rsid w:val="BE6FC990"/>
    <w:rsid w:val="BEBE9537"/>
    <w:rsid w:val="BEFF0D62"/>
    <w:rsid w:val="BEFF90EF"/>
    <w:rsid w:val="BF3735D5"/>
    <w:rsid w:val="BF7F09AC"/>
    <w:rsid w:val="BFB3380D"/>
    <w:rsid w:val="BFB7E7A2"/>
    <w:rsid w:val="BFC2F103"/>
    <w:rsid w:val="BFD475C3"/>
    <w:rsid w:val="BFDE5EA6"/>
    <w:rsid w:val="BFEF99E9"/>
    <w:rsid w:val="BFF9E564"/>
    <w:rsid w:val="BFFF3A69"/>
    <w:rsid w:val="C7BFEF9C"/>
    <w:rsid w:val="C8BD8F25"/>
    <w:rsid w:val="C94DA72E"/>
    <w:rsid w:val="CBEEAA00"/>
    <w:rsid w:val="CC7E9ECE"/>
    <w:rsid w:val="CDBFF9FF"/>
    <w:rsid w:val="CDF78664"/>
    <w:rsid w:val="CE3FF57E"/>
    <w:rsid w:val="CF3AB4AC"/>
    <w:rsid w:val="CF6FC6F3"/>
    <w:rsid w:val="CFD3D3D7"/>
    <w:rsid w:val="CFDF1009"/>
    <w:rsid w:val="D6B7E4F6"/>
    <w:rsid w:val="D6CB2739"/>
    <w:rsid w:val="D776A8DB"/>
    <w:rsid w:val="D7B6B268"/>
    <w:rsid w:val="D7D7B16A"/>
    <w:rsid w:val="D7EF2E2A"/>
    <w:rsid w:val="D8D6DB89"/>
    <w:rsid w:val="DB6F4CAB"/>
    <w:rsid w:val="DB777682"/>
    <w:rsid w:val="DBDDA52A"/>
    <w:rsid w:val="DCFFC0D1"/>
    <w:rsid w:val="DD1FB521"/>
    <w:rsid w:val="DDCB2E5E"/>
    <w:rsid w:val="DDFE75CA"/>
    <w:rsid w:val="DEFBBE33"/>
    <w:rsid w:val="DEFBFEAE"/>
    <w:rsid w:val="DF1F3B80"/>
    <w:rsid w:val="DF6F9789"/>
    <w:rsid w:val="DF9B8D55"/>
    <w:rsid w:val="DF9D198A"/>
    <w:rsid w:val="DFDF1D8E"/>
    <w:rsid w:val="DFEFC58B"/>
    <w:rsid w:val="DFF5F241"/>
    <w:rsid w:val="DFFFA9E8"/>
    <w:rsid w:val="E37D5D3F"/>
    <w:rsid w:val="E3FFE98D"/>
    <w:rsid w:val="E5F4E9DC"/>
    <w:rsid w:val="E67FF583"/>
    <w:rsid w:val="E70FE695"/>
    <w:rsid w:val="E7676621"/>
    <w:rsid w:val="E76B2B9A"/>
    <w:rsid w:val="E7AB7A34"/>
    <w:rsid w:val="E7DF1E20"/>
    <w:rsid w:val="E7FF6381"/>
    <w:rsid w:val="E9A30291"/>
    <w:rsid w:val="EBBF924C"/>
    <w:rsid w:val="ECFED1BC"/>
    <w:rsid w:val="ED1D69BB"/>
    <w:rsid w:val="ED2C2584"/>
    <w:rsid w:val="ED7FD312"/>
    <w:rsid w:val="EDBE03E0"/>
    <w:rsid w:val="EDD1A84A"/>
    <w:rsid w:val="EDFF8263"/>
    <w:rsid w:val="EE1FA0C7"/>
    <w:rsid w:val="EF53993F"/>
    <w:rsid w:val="EF7B8152"/>
    <w:rsid w:val="EF8E27E2"/>
    <w:rsid w:val="EFBFB2F4"/>
    <w:rsid w:val="EFBFFA21"/>
    <w:rsid w:val="EFDF4337"/>
    <w:rsid w:val="EFF7097E"/>
    <w:rsid w:val="F2BEBCB8"/>
    <w:rsid w:val="F36FB518"/>
    <w:rsid w:val="F3DE1A04"/>
    <w:rsid w:val="F3E244FA"/>
    <w:rsid w:val="F3EFB7CA"/>
    <w:rsid w:val="F3F722E5"/>
    <w:rsid w:val="F699BB1A"/>
    <w:rsid w:val="F6DEABFE"/>
    <w:rsid w:val="F7B650C7"/>
    <w:rsid w:val="F7EF9033"/>
    <w:rsid w:val="F7FDC2B1"/>
    <w:rsid w:val="F8DDDAC6"/>
    <w:rsid w:val="F96B55C8"/>
    <w:rsid w:val="FA2F5BEB"/>
    <w:rsid w:val="FA5F1E70"/>
    <w:rsid w:val="FA5FDB97"/>
    <w:rsid w:val="FB1BB959"/>
    <w:rsid w:val="FB75E3C8"/>
    <w:rsid w:val="FB7F461B"/>
    <w:rsid w:val="FB7F486A"/>
    <w:rsid w:val="FB7F6E28"/>
    <w:rsid w:val="FB8778F4"/>
    <w:rsid w:val="FBB61866"/>
    <w:rsid w:val="FBEE055A"/>
    <w:rsid w:val="FBF91527"/>
    <w:rsid w:val="FBFD1260"/>
    <w:rsid w:val="FBFF5B2E"/>
    <w:rsid w:val="FC833EBB"/>
    <w:rsid w:val="FCFE0B49"/>
    <w:rsid w:val="FD4B388D"/>
    <w:rsid w:val="FD77A83C"/>
    <w:rsid w:val="FD7FFE2B"/>
    <w:rsid w:val="FDADA43D"/>
    <w:rsid w:val="FDBDC432"/>
    <w:rsid w:val="FDEB412A"/>
    <w:rsid w:val="FDEE196B"/>
    <w:rsid w:val="FDEF50BC"/>
    <w:rsid w:val="FDFD5EC3"/>
    <w:rsid w:val="FDFE6575"/>
    <w:rsid w:val="FE9E11AB"/>
    <w:rsid w:val="FEBF38CD"/>
    <w:rsid w:val="FEDFDDC2"/>
    <w:rsid w:val="FEEB4E4D"/>
    <w:rsid w:val="FEED32F6"/>
    <w:rsid w:val="FEF781DD"/>
    <w:rsid w:val="FEF9D8C4"/>
    <w:rsid w:val="FF3F7E3F"/>
    <w:rsid w:val="FF3FF759"/>
    <w:rsid w:val="FF4749A3"/>
    <w:rsid w:val="FF4D3A28"/>
    <w:rsid w:val="FF5913BC"/>
    <w:rsid w:val="FF7F1E7E"/>
    <w:rsid w:val="FF9BAA5C"/>
    <w:rsid w:val="FFA57884"/>
    <w:rsid w:val="FFB513DD"/>
    <w:rsid w:val="FFBA12D7"/>
    <w:rsid w:val="FFBFE8C6"/>
    <w:rsid w:val="FFCF2925"/>
    <w:rsid w:val="FFD33B6C"/>
    <w:rsid w:val="FFDAD824"/>
    <w:rsid w:val="FFDE4064"/>
    <w:rsid w:val="FFDEA9D8"/>
    <w:rsid w:val="FFDF2DEC"/>
    <w:rsid w:val="FFDF624E"/>
    <w:rsid w:val="FFDF6BC0"/>
    <w:rsid w:val="FFDFFAEE"/>
    <w:rsid w:val="FFE3BA41"/>
    <w:rsid w:val="FFE3BED4"/>
    <w:rsid w:val="FFF316C1"/>
    <w:rsid w:val="FFF63ECC"/>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next w:val="4"/>
    <w:unhideWhenUsed/>
    <w:qFormat/>
    <w:uiPriority w:val="99"/>
    <w:pPr>
      <w:ind w:firstLine="420" w:firstLineChars="200"/>
    </w:pPr>
  </w:style>
  <w:style w:type="paragraph" w:styleId="3">
    <w:name w:val="Body Text Indent"/>
    <w:basedOn w:val="1"/>
    <w:next w:val="2"/>
    <w:qFormat/>
    <w:uiPriority w:val="0"/>
    <w:pPr>
      <w:spacing w:after="120"/>
      <w:ind w:left="200" w:leftChars="200"/>
    </w:pPr>
    <w:rPr>
      <w:rFonts w:ascii="仿宋_GB2312"/>
      <w:szCs w:val="32"/>
    </w:rPr>
  </w:style>
  <w:style w:type="paragraph" w:styleId="4">
    <w:name w:val="Plain Text"/>
    <w:basedOn w:val="1"/>
    <w:unhideWhenUsed/>
    <w:qFormat/>
    <w:uiPriority w:val="0"/>
    <w:rPr>
      <w:rFonts w:ascii="宋体" w:hAnsi="Courier New" w:cs="Courier New"/>
      <w:szCs w:val="21"/>
    </w:rPr>
  </w:style>
  <w:style w:type="paragraph" w:styleId="8">
    <w:name w:val="Body Text"/>
    <w:basedOn w:val="1"/>
    <w:next w:val="1"/>
    <w:link w:val="26"/>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2"/>
    <w:semiHidden/>
    <w:unhideWhenUsed/>
    <w:qFormat/>
    <w:uiPriority w:val="99"/>
    <w:rPr>
      <w:sz w:val="18"/>
      <w:szCs w:val="18"/>
    </w:rPr>
  </w:style>
  <w:style w:type="paragraph" w:styleId="11">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qFormat/>
    <w:uiPriority w:val="0"/>
    <w:pPr>
      <w:spacing w:before="100" w:beforeAutospacing="1" w:after="100" w:afterAutospacing="1"/>
      <w:jc w:val="left"/>
    </w:pPr>
    <w:rPr>
      <w:kern w:val="0"/>
      <w:sz w:val="24"/>
    </w:r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字符"/>
    <w:link w:val="12"/>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字符"/>
    <w:link w:val="11"/>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字符"/>
    <w:link w:val="8"/>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字符"/>
    <w:basedOn w:val="17"/>
    <w:link w:val="5"/>
    <w:qFormat/>
    <w:uiPriority w:val="9"/>
    <w:rPr>
      <w:rFonts w:ascii="Times New Roman" w:hAnsi="Times New Roman"/>
      <w:b/>
      <w:bCs/>
      <w:kern w:val="44"/>
      <w:sz w:val="44"/>
      <w:szCs w:val="44"/>
    </w:rPr>
  </w:style>
  <w:style w:type="character" w:customStyle="1" w:styleId="30">
    <w:name w:val="标题 2 字符"/>
    <w:basedOn w:val="17"/>
    <w:link w:val="6"/>
    <w:qFormat/>
    <w:uiPriority w:val="9"/>
    <w:rPr>
      <w:rFonts w:asciiTheme="majorHAnsi" w:hAnsiTheme="majorHAnsi" w:eastAsiaTheme="majorEastAsia" w:cstheme="majorBidi"/>
      <w:b/>
      <w:bCs/>
      <w:kern w:val="2"/>
      <w:sz w:val="32"/>
      <w:szCs w:val="32"/>
    </w:rPr>
  </w:style>
  <w:style w:type="paragraph" w:customStyle="1" w:styleId="31">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字符"/>
    <w:basedOn w:val="17"/>
    <w:link w:val="10"/>
    <w:semiHidden/>
    <w:qFormat/>
    <w:uiPriority w:val="99"/>
    <w:rPr>
      <w:rFonts w:ascii="Times New Roman" w:hAnsi="Times New Roman"/>
      <w:kern w:val="2"/>
      <w:sz w:val="18"/>
      <w:szCs w:val="18"/>
    </w:rPr>
  </w:style>
  <w:style w:type="character" w:customStyle="1" w:styleId="33">
    <w:name w:val="标题 3 字符"/>
    <w:basedOn w:val="17"/>
    <w:link w:val="7"/>
    <w:qFormat/>
    <w:uiPriority w:val="9"/>
    <w:rPr>
      <w:rFonts w:ascii="Times New Roman" w:hAnsi="Times New Roman"/>
      <w:b/>
      <w:bCs/>
      <w:kern w:val="2"/>
      <w:sz w:val="32"/>
      <w:szCs w:val="32"/>
    </w:rPr>
  </w:style>
  <w:style w:type="paragraph" w:customStyle="1" w:styleId="34">
    <w:name w:val="TOC 标题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color w:val="000000"/>
      <w:kern w:val="0"/>
      <w:sz w:val="28"/>
      <w:szCs w:val="21"/>
      <w:lang w:val="zh-CN"/>
    </w:rPr>
  </w:style>
  <w:style w:type="paragraph" w:customStyle="1" w:styleId="36">
    <w:name w:val="WPSOffice手动目录 1"/>
    <w:uiPriority w:val="0"/>
    <w:rPr>
      <w:rFonts w:ascii="Times New Roman" w:hAnsi="Times New Roman" w:eastAsia="宋体" w:cs="Times New Roman"/>
      <w:lang w:val="en-US" w:eastAsia="zh-CN" w:bidi="ar-SA"/>
    </w:rPr>
  </w:style>
  <w:style w:type="paragraph" w:customStyle="1" w:styleId="37">
    <w:name w:val="WPSOffice手动目录 2"/>
    <w:uiPriority w:val="0"/>
    <w:pPr>
      <w:ind w:left="200" w:leftChars="200"/>
    </w:pPr>
    <w:rPr>
      <w:rFonts w:ascii="Times New Roman" w:hAnsi="Times New Roman" w:eastAsia="宋体" w:cs="Times New Roman"/>
      <w:lang w:val="en-US" w:eastAsia="zh-CN" w:bidi="ar-SA"/>
    </w:rPr>
  </w:style>
  <w:style w:type="paragraph" w:customStyle="1" w:styleId="38">
    <w:name w:val="WPSOffice手动目录 3"/>
    <w:uiPriority w:val="0"/>
    <w:pPr>
      <w:ind w:left="400" w:leftChars="4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6.emf"/><Relationship Id="rId23" Type="http://schemas.openxmlformats.org/officeDocument/2006/relationships/package" Target="embeddings/Workbook6.xlsx"/><Relationship Id="rId22" Type="http://schemas.openxmlformats.org/officeDocument/2006/relationships/image" Target="media/image5.emf"/><Relationship Id="rId21" Type="http://schemas.openxmlformats.org/officeDocument/2006/relationships/package" Target="embeddings/Workbook5.xlsx"/><Relationship Id="rId20" Type="http://schemas.openxmlformats.org/officeDocument/2006/relationships/image" Target="media/image4.emf"/><Relationship Id="rId2" Type="http://schemas.openxmlformats.org/officeDocument/2006/relationships/settings" Target="settings.xml"/><Relationship Id="rId19" Type="http://schemas.openxmlformats.org/officeDocument/2006/relationships/package" Target="embeddings/Workbook4.xlsx"/><Relationship Id="rId18" Type="http://schemas.openxmlformats.org/officeDocument/2006/relationships/image" Target="media/image3.emf"/><Relationship Id="rId17" Type="http://schemas.openxmlformats.org/officeDocument/2006/relationships/package" Target="embeddings/Workbook3.xlsx"/><Relationship Id="rId16" Type="http://schemas.openxmlformats.org/officeDocument/2006/relationships/image" Target="media/image2.emf"/><Relationship Id="rId15" Type="http://schemas.openxmlformats.org/officeDocument/2006/relationships/package" Target="embeddings/Workbook2.xlsx"/><Relationship Id="rId14" Type="http://schemas.openxmlformats.org/officeDocument/2006/relationships/image" Target="media/image1.emf"/><Relationship Id="rId13" Type="http://schemas.openxmlformats.org/officeDocument/2006/relationships/package" Target="embeddings/Workbook1.xlsx"/><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10.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9.xlsx"/></Relationships>
</file>

<file path=word/charts/_rels/chart3.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12.xlsx"/></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7.xlsx"/></Relationships>
</file>

<file path=word/charts/_rels/chart5.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13.xlsx"/></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8.xlsx"/></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1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收、支变动情况</c:v>
                </c:pt>
              </c:strCache>
            </c:strRef>
          </c:tx>
          <c:spPr>
            <a:solidFill>
              <a:schemeClr val="accent1"/>
            </a:solidFill>
            <a:ln w="19050">
              <a:solidFill>
                <a:schemeClr val="lt1"/>
              </a:solidFill>
            </a:ln>
            <a:effectLst/>
          </c:spPr>
          <c:invertIfNegative val="0"/>
          <c:dLbls>
            <c:delete val="1"/>
          </c:dLbls>
          <c:cat>
            <c:strRef>
              <c:f>Sheet1!$A$2:$A$5</c:f>
              <c:strCache>
                <c:ptCount val="4"/>
                <c:pt idx="0">
                  <c:v>2022年</c:v>
                </c:pt>
                <c:pt idx="1">
                  <c:v>2023年</c:v>
                </c:pt>
              </c:strCache>
            </c:strRef>
          </c:cat>
          <c:val>
            <c:numRef>
              <c:f>Sheet1!$B$2:$B$5</c:f>
              <c:numCache>
                <c:formatCode>General</c:formatCode>
                <c:ptCount val="4"/>
                <c:pt idx="0">
                  <c:v>168.65</c:v>
                </c:pt>
                <c:pt idx="1">
                  <c:v>175.66</c:v>
                </c:pt>
              </c:numCache>
            </c:numRef>
          </c:val>
        </c:ser>
        <c:ser>
          <c:idx val="1"/>
          <c:order val="1"/>
          <c:tx>
            <c:strRef>
              <c:f>Sheet1!$C$1</c:f>
              <c:strCache>
                <c:ptCount val="1"/>
                <c:pt idx="0">
                  <c:v/>
                </c:pt>
              </c:strCache>
            </c:strRef>
          </c:tx>
          <c:spPr>
            <a:solidFill>
              <a:schemeClr val="accent2"/>
            </a:solidFill>
            <a:ln w="19050">
              <a:solidFill>
                <a:schemeClr val="lt1"/>
              </a:solidFill>
            </a:ln>
            <a:effectLst/>
          </c:spPr>
          <c:invertIfNegative val="0"/>
          <c:dLbls>
            <c:delete val="1"/>
          </c:dLbls>
          <c:cat>
            <c:strRef>
              <c:f>Sheet1!$A$2:$A$5</c:f>
              <c:strCache>
                <c:ptCount val="4"/>
                <c:pt idx="0">
                  <c:v>2022年</c:v>
                </c:pt>
                <c:pt idx="1">
                  <c:v>2023年</c:v>
                </c:pt>
              </c:strCache>
            </c:strRef>
          </c:cat>
          <c:val>
            <c:numRef>
              <c:f>Sheet1!$C$2:$C$5</c:f>
              <c:numCache>
                <c:formatCode>General</c:formatCode>
                <c:ptCount val="4"/>
              </c:numCache>
            </c:numRef>
          </c:val>
        </c:ser>
        <c:dLbls>
          <c:showLegendKey val="0"/>
          <c:showVal val="0"/>
          <c:showCatName val="0"/>
          <c:showSerName val="0"/>
          <c:showPercent val="0"/>
          <c:showBubbleSize val="0"/>
        </c:dLbls>
        <c:gapWidth val="150"/>
        <c:axId val="224706658"/>
        <c:axId val="842534297"/>
      </c:barChart>
      <c:catAx>
        <c:axId val="224706658"/>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2534297"/>
        <c:crosses val="autoZero"/>
        <c:auto val="1"/>
        <c:lblAlgn val="ctr"/>
        <c:lblOffset val="100"/>
        <c:noMultiLvlLbl val="0"/>
      </c:catAx>
      <c:valAx>
        <c:axId val="84253429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470665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2023年收入决算</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一般公共预算财政收入拨款</c:v>
                </c:pt>
              </c:strCache>
            </c:strRef>
          </c:cat>
          <c:val>
            <c:numRef>
              <c:f>Sheet1!$B$2:$B$5</c:f>
              <c:numCache>
                <c:formatCode>General</c:formatCode>
                <c:ptCount val="4"/>
                <c:pt idx="0">
                  <c:v>175.66</c:v>
                </c:pt>
              </c:numCache>
            </c:numRef>
          </c:val>
        </c:ser>
        <c:ser>
          <c:idx val="1"/>
          <c:order val="1"/>
          <c:tx>
            <c:strRef>
              <c:f>Sheet1!$C$1</c:f>
              <c:strCache>
                <c:ptCount val="1"/>
                <c:pt idx="0">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一般公共预算财政收入拨款</c:v>
                </c:pt>
              </c:strCache>
            </c:strRef>
          </c:cat>
          <c:val>
            <c:numRef>
              <c:f>Sheet1!$C$2:$C$5</c:f>
              <c:numCache>
                <c:formatCode>General</c:formatCode>
                <c:ptCount val="4"/>
              </c:numCache>
            </c:numRef>
          </c:val>
        </c:ser>
        <c:ser>
          <c:idx val="2"/>
          <c:order val="2"/>
          <c:tx>
            <c:strRef>
              <c:f>Sheet1!$D$1</c:f>
              <c:strCache>
                <c:ptCount val="1"/>
                <c:pt idx="0">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一般公共预算财政收入拨款</c:v>
                </c:pt>
              </c:strCache>
            </c:strRef>
          </c:cat>
          <c:val>
            <c:numRef>
              <c:f>Sheet1!$D$2:$D$5</c:f>
              <c:numCache>
                <c:formatCode>General</c:formatCode>
                <c:ptCount val="4"/>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2023年度支出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基本支出</c:v>
                </c:pt>
                <c:pt idx="1">
                  <c:v>项目支出</c:v>
                </c:pt>
              </c:strCache>
            </c:strRef>
          </c:cat>
          <c:val>
            <c:numRef>
              <c:f>Sheet1!$B$2:$B$5</c:f>
              <c:numCache>
                <c:formatCode>General</c:formatCode>
                <c:ptCount val="4"/>
                <c:pt idx="0">
                  <c:v>139.24</c:v>
                </c:pt>
                <c:pt idx="1">
                  <c:v>36.41</c:v>
                </c:pt>
              </c:numCache>
            </c:numRef>
          </c:val>
        </c:ser>
        <c:ser>
          <c:idx val="1"/>
          <c:order val="1"/>
          <c:tx>
            <c:strRef>
              <c:f>Sheet1!$C$1</c:f>
              <c:strCache>
                <c:ptCount val="1"/>
                <c:pt idx="0">
                  <c:v>列1</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基本支出</c:v>
                </c:pt>
                <c:pt idx="1">
                  <c:v>项目支出</c:v>
                </c:pt>
              </c:strCache>
            </c:strRef>
          </c:cat>
          <c:val>
            <c:numRef>
              <c:f>Sheet1!$C$2:$C$5</c:f>
              <c:numCache>
                <c:formatCode>General</c:formatCode>
                <c:ptCount val="4"/>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stacked"/>
        <c:varyColors val="0"/>
        <c:ser>
          <c:idx val="0"/>
          <c:order val="0"/>
          <c:tx>
            <c:strRef>
              <c:f>Sheet1!$B$1</c:f>
              <c:strCache>
                <c:ptCount val="1"/>
                <c:pt idx="0">
                  <c:v>财政拨款变动情况</c:v>
                </c:pt>
              </c:strCache>
            </c:strRef>
          </c:tx>
          <c:spPr>
            <a:solidFill>
              <a:schemeClr val="accent1"/>
            </a:solidFill>
            <a:ln>
              <a:noFill/>
            </a:ln>
            <a:effectLst/>
          </c:spPr>
          <c:invertIfNegative val="0"/>
          <c:dLbls>
            <c:delete val="1"/>
          </c:dLbls>
          <c:cat>
            <c:strRef>
              <c:f>Sheet1!$A$2:$A$5</c:f>
              <c:strCache>
                <c:ptCount val="4"/>
                <c:pt idx="0">
                  <c:v>2022年</c:v>
                </c:pt>
                <c:pt idx="1">
                  <c:v>2023年</c:v>
                </c:pt>
              </c:strCache>
            </c:strRef>
          </c:cat>
          <c:val>
            <c:numRef>
              <c:f>Sheet1!$B$2:$B$5</c:f>
              <c:numCache>
                <c:formatCode>General</c:formatCode>
                <c:ptCount val="4"/>
                <c:pt idx="0">
                  <c:v>168.65</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2022年</c:v>
                </c:pt>
                <c:pt idx="1">
                  <c:v>2023年</c:v>
                </c:pt>
              </c:strCache>
            </c:strRef>
          </c:cat>
          <c:val>
            <c:numRef>
              <c:f>Sheet1!$C$2:$C$5</c:f>
              <c:numCache>
                <c:formatCode>General</c:formatCode>
                <c:ptCount val="4"/>
                <c:pt idx="1">
                  <c:v>175.66</c:v>
                </c:pt>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2022年</c:v>
                </c:pt>
                <c:pt idx="1">
                  <c:v>2023年</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overlap val="100"/>
        <c:axId val="402927759"/>
        <c:axId val="510767584"/>
      </c:barChart>
      <c:catAx>
        <c:axId val="402927759"/>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10767584"/>
        <c:crosses val="autoZero"/>
        <c:auto val="1"/>
        <c:lblAlgn val="ctr"/>
        <c:lblOffset val="100"/>
        <c:noMultiLvlLbl val="0"/>
      </c:catAx>
      <c:valAx>
        <c:axId val="510767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292775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stacked"/>
        <c:varyColors val="0"/>
        <c:ser>
          <c:idx val="0"/>
          <c:order val="0"/>
          <c:tx>
            <c:strRef>
              <c:f>Sheet1!$B$1</c:f>
              <c:strCache>
                <c:ptCount val="1"/>
                <c:pt idx="0">
                  <c:v>财政拨款支出</c:v>
                </c:pt>
              </c:strCache>
            </c:strRef>
          </c:tx>
          <c:spPr>
            <a:solidFill>
              <a:schemeClr val="accent1"/>
            </a:solidFill>
            <a:ln>
              <a:noFill/>
            </a:ln>
            <a:effectLst/>
          </c:spPr>
          <c:invertIfNegative val="0"/>
          <c:dLbls>
            <c:delete val="1"/>
          </c:dLbls>
          <c:cat>
            <c:strRef>
              <c:f>Sheet1!$A$2:$A$5</c:f>
              <c:strCache>
                <c:ptCount val="4"/>
                <c:pt idx="0">
                  <c:v>2022年</c:v>
                </c:pt>
                <c:pt idx="1">
                  <c:v>2023年</c:v>
                </c:pt>
              </c:strCache>
            </c:strRef>
          </c:cat>
          <c:val>
            <c:numRef>
              <c:f>Sheet1!$B$2:$B$5</c:f>
              <c:numCache>
                <c:formatCode>General</c:formatCode>
                <c:ptCount val="4"/>
                <c:pt idx="0">
                  <c:v>168.65</c:v>
                </c:pt>
                <c:pt idx="1">
                  <c:v>175.66</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2022年</c:v>
                </c:pt>
                <c:pt idx="1">
                  <c:v>2023年</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2022年</c:v>
                </c:pt>
                <c:pt idx="1">
                  <c:v>2023年</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overlap val="100"/>
        <c:axId val="174155202"/>
        <c:axId val="898940097"/>
      </c:barChart>
      <c:catAx>
        <c:axId val="17415520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98940097"/>
        <c:crosses val="autoZero"/>
        <c:auto val="1"/>
        <c:lblAlgn val="ctr"/>
        <c:lblOffset val="100"/>
        <c:noMultiLvlLbl val="0"/>
      </c:catAx>
      <c:valAx>
        <c:axId val="89894009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7415520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本年度支出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一般公共服务支出</c:v>
                </c:pt>
                <c:pt idx="1">
                  <c:v>社会保障就业支出</c:v>
                </c:pt>
                <c:pt idx="2">
                  <c:v>卫生健康支出</c:v>
                </c:pt>
                <c:pt idx="3">
                  <c:v>住房保障支出</c:v>
                </c:pt>
              </c:strCache>
            </c:strRef>
          </c:cat>
          <c:val>
            <c:numRef>
              <c:f>Sheet1!$B$2:$B$5</c:f>
              <c:numCache>
                <c:formatCode>General</c:formatCode>
                <c:ptCount val="4"/>
                <c:pt idx="0">
                  <c:v>141.61</c:v>
                </c:pt>
                <c:pt idx="1">
                  <c:v>17.83</c:v>
                </c:pt>
                <c:pt idx="2">
                  <c:v>7.57</c:v>
                </c:pt>
                <c:pt idx="3">
                  <c:v>8.65</c:v>
                </c:pt>
              </c:numCache>
            </c:numRef>
          </c:val>
        </c:ser>
        <c:ser>
          <c:idx val="1"/>
          <c:order val="1"/>
          <c:tx>
            <c:strRef>
              <c:f>Sheet1!$C$1</c:f>
              <c:strCache>
                <c:ptCount val="1"/>
                <c:pt idx="0">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一般公共服务支出</c:v>
                </c:pt>
                <c:pt idx="1">
                  <c:v>社会保障就业支出</c:v>
                </c:pt>
                <c:pt idx="2">
                  <c:v>卫生健康支出</c:v>
                </c:pt>
                <c:pt idx="3">
                  <c:v>住房保障支出</c:v>
                </c:pt>
              </c:strCache>
            </c:strRef>
          </c:cat>
          <c:val>
            <c:numRef>
              <c:f>Sheet1!$C$2:$C$5</c:f>
              <c:numCache>
                <c:formatCode>General</c:formatCode>
                <c:ptCount val="4"/>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本年度三公经费支出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公务用车运行及维护</c:v>
                </c:pt>
              </c:strCache>
            </c:strRef>
          </c:cat>
          <c:val>
            <c:numRef>
              <c:f>Sheet1!$B$2:$B$5</c:f>
              <c:numCache>
                <c:formatCode>General</c:formatCode>
                <c:ptCount val="4"/>
                <c:pt idx="0">
                  <c:v>1.56</c:v>
                </c:pt>
              </c:numCache>
            </c:numRef>
          </c:val>
        </c:ser>
        <c:ser>
          <c:idx val="1"/>
          <c:order val="1"/>
          <c:tx>
            <c:strRef>
              <c:f>Sheet1!$C$1</c:f>
              <c:strCache>
                <c:ptCount val="1"/>
                <c:pt idx="0">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公务用车运行及维护</c:v>
                </c:pt>
              </c:strCache>
            </c:strRef>
          </c:cat>
          <c:val>
            <c:numRef>
              <c:f>Sheet1!$C$2:$C$5</c:f>
              <c:numCache>
                <c:formatCode>General</c:formatCode>
                <c:ptCount val="4"/>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30</Pages>
  <Words>8854</Words>
  <Characters>2346</Characters>
  <Lines>19</Lines>
  <Paragraphs>22</Paragraphs>
  <TotalTime>3</TotalTime>
  <ScaleCrop>false</ScaleCrop>
  <LinksUpToDate>false</LinksUpToDate>
  <CharactersWithSpaces>11178</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2024-08-05T07:12:00Z</dcterms:created>
  <dc:creator>曹颖</dc:creator>
  <cp:lastModifiedBy>Admin</cp:lastModifiedBy>
  <cp:lastPrinted>2023-08-03T10:35:00Z</cp:lastPrinted>
  <dcterms:modified xsi:type="dcterms:W3CDTF">2024-11-18T03:48:06Z</dcterms:modified>
  <dc:title>四川省***</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E07E85CF03DE4A74899376C8C4D30074</vt:lpwstr>
  </property>
</Properties>
</file>