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1" w:name="_Toc15377193"/>
      <w:bookmarkStart w:id="2" w:name="_Toc15378441"/>
      <w:bookmarkStart w:id="3" w:name="_Toc15396597"/>
      <w:bookmarkStart w:id="4" w:name="_Toc15396475"/>
      <w:bookmarkStart w:id="5" w:name="_Toc15377425"/>
      <w:r>
        <w:rPr>
          <w:rFonts w:hint="eastAsia" w:ascii="方正小标宋简体" w:eastAsia="方正小标宋简体" w:cs="方正小标宋简体"/>
          <w:sz w:val="72"/>
          <w:szCs w:val="72"/>
        </w:rPr>
        <w:t>2021年度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sz w:val="72"/>
          <w:szCs w:val="72"/>
        </w:rPr>
      </w:pPr>
      <w:bookmarkStart w:id="6" w:name="_Toc15396476"/>
      <w:bookmarkStart w:id="7" w:name="_Toc15378442"/>
      <w:bookmarkStart w:id="8" w:name="_Toc15377194"/>
      <w:bookmarkStart w:id="9" w:name="_Toc15377426"/>
      <w:bookmarkStart w:id="10" w:name="_Toc15396598"/>
      <w:r>
        <w:rPr>
          <w:rFonts w:ascii="方正小标宋简体" w:eastAsia="方正小标宋简体" w:cs="方正小标宋简体"/>
          <w:sz w:val="72"/>
          <w:szCs w:val="72"/>
        </w:rPr>
        <w:t>阿坝州</w:t>
      </w:r>
      <w:bookmarkEnd w:id="0"/>
      <w:bookmarkStart w:id="11" w:name="_Toc15306268"/>
      <w:r>
        <w:rPr>
          <w:rFonts w:hint="eastAsia" w:ascii="方正小标宋简体" w:eastAsia="方正小标宋简体" w:cs="方正小标宋简体"/>
          <w:sz w:val="72"/>
          <w:szCs w:val="72"/>
          <w:lang w:val="en-US" w:eastAsia="zh-CN"/>
        </w:rPr>
        <w:t>红原县妇女联合会部门</w:t>
      </w:r>
      <w:r>
        <w:rPr>
          <w:rFonts w:hint="eastAsia" w:ascii="方正小标宋简体" w:eastAsia="方正小标宋简体" w:cs="方正小标宋简体"/>
          <w:sz w:val="72"/>
          <w:szCs w:val="72"/>
        </w:rPr>
        <w:t>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sz w:val="52"/>
          <w:szCs w:val="52"/>
        </w:rPr>
      </w:pPr>
      <w:r>
        <w:rPr>
          <w:rFonts w:hint="eastAsia" w:ascii="方正小标宋简体" w:eastAsia="方正小标宋简体"/>
          <w:sz w:val="52"/>
          <w:szCs w:val="52"/>
        </w:rPr>
        <w:t>(单位公开范本)</w:t>
      </w: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jc w:val="center"/>
        <w:rPr>
          <w:rFonts w:hint="eastAsia"/>
        </w:rPr>
      </w:pPr>
      <w:bookmarkStart w:id="12" w:name="_Hlk113547609"/>
      <w:r>
        <w:rPr>
          <w:rFonts w:hint="eastAsia" w:cs="仿宋_GB2312"/>
          <w:sz w:val="32"/>
          <w:szCs w:val="32"/>
        </w:rPr>
        <w:t>已经保密审查、内容审定，同意对外公开</w:t>
      </w:r>
      <w:bookmarkEnd w:id="12"/>
    </w:p>
    <w:p>
      <w:pPr>
        <w:widowControl/>
        <w:jc w:val="center"/>
        <w:rPr>
          <w:rFonts w:ascii="黑体" w:eastAsia="黑体"/>
          <w:sz w:val="48"/>
          <w:szCs w:val="48"/>
        </w:rPr>
      </w:pPr>
      <w:r>
        <w:rPr>
          <w:rFonts w:ascii="方正小标宋简体" w:eastAsia="方正小标宋简体"/>
          <w:sz w:val="36"/>
          <w:szCs w:val="36"/>
        </w:rPr>
        <w:br w:type="page"/>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1"/>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w:t>
      </w:r>
      <w:r>
        <w:rPr>
          <w:rFonts w:hint="eastAsia" w:hAnsiTheme="minorHAnsi"/>
          <w:b w:val="0"/>
          <w:bCs w:val="0"/>
          <w:sz w:val="24"/>
          <w:szCs w:val="24"/>
          <w:lang w:val="en-US" w:eastAsia="zh-CN"/>
        </w:rPr>
        <w:t>12</w:t>
      </w:r>
      <w:r>
        <w:rPr>
          <w:rFonts w:hint="eastAsia" w:hAnsiTheme="minorHAnsi"/>
          <w:b w:val="0"/>
          <w:bCs w:val="0"/>
          <w:sz w:val="24"/>
          <w:szCs w:val="24"/>
        </w:rPr>
        <w:t>月</w:t>
      </w:r>
      <w:r>
        <w:rPr>
          <w:rFonts w:hint="eastAsia" w:hAnsiTheme="minorHAnsi"/>
          <w:b w:val="0"/>
          <w:bCs w:val="0"/>
          <w:sz w:val="24"/>
          <w:szCs w:val="24"/>
          <w:lang w:val="en-US" w:eastAsia="zh-CN"/>
        </w:rPr>
        <w:t>9</w:t>
      </w:r>
      <w:r>
        <w:rPr>
          <w:rFonts w:hint="eastAsia" w:hAnsiTheme="minorHAnsi"/>
          <w:b w:val="0"/>
          <w:bCs w:val="0"/>
          <w:sz w:val="24"/>
          <w:szCs w:val="24"/>
        </w:rPr>
        <w:t>日</w:t>
      </w:r>
    </w:p>
    <w:p>
      <w:pPr>
        <w:pStyle w:val="11"/>
        <w:rPr>
          <w:rFonts w:hint="eastAsia" w:eastAsia="仿宋" w:hAnsiTheme="minorHAnsi" w:cstheme="minorBidi"/>
          <w:b w:val="0"/>
          <w:bCs w:val="0"/>
          <w:caps w:val="0"/>
          <w:sz w:val="21"/>
          <w:szCs w:val="22"/>
          <w:lang w:val="en-US"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4</w:t>
      </w:r>
    </w:p>
    <w:p>
      <w:pPr>
        <w:pStyle w:val="13"/>
        <w:rPr>
          <w:rFonts w:hint="default" w:eastAsia="宋体" w:hAnsiTheme="minorHAnsi" w:cstheme="minorBidi"/>
          <w:smallCaps w:val="0"/>
          <w:sz w:val="21"/>
          <w:szCs w:val="22"/>
          <w:lang w:val="en-US"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4</w:t>
      </w:r>
    </w:p>
    <w:p>
      <w:pPr>
        <w:pStyle w:val="7"/>
        <w:rPr>
          <w:rFonts w:hint="eastAsia" w:eastAsia="宋体" w:hAnsi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4</w:t>
      </w:r>
    </w:p>
    <w:p>
      <w:pPr>
        <w:pStyle w:val="7"/>
        <w:rPr>
          <w:rFonts w:hint="eastAsia" w:eastAsia="宋体" w:hAnsiTheme="minorHAnsi" w:cstheme="minorBidi"/>
          <w:i w:val="0"/>
          <w:iCs w:val="0"/>
          <w:sz w:val="21"/>
          <w:szCs w:val="22"/>
          <w:lang w:val="en-US" w:eastAsia="zh-CN"/>
        </w:rPr>
      </w:pPr>
      <w:r>
        <w:rPr>
          <w:rFonts w:ascii="仿宋" w:hAnsi="仿宋" w:eastAsia="仿宋"/>
          <w:bCs/>
          <w:color w:val="000000"/>
        </w:rPr>
        <w:t>（二）202</w:t>
      </w:r>
      <w:r>
        <w:rPr>
          <w:rFonts w:hint="eastAsia" w:ascii="仿宋" w:hAnsi="仿宋" w:eastAsia="仿宋"/>
          <w:bCs/>
          <w:color w:val="000000"/>
          <w:lang w:val="en-US" w:eastAsia="zh-CN"/>
        </w:rPr>
        <w:t>1</w:t>
      </w:r>
      <w:r>
        <w:rPr>
          <w:rFonts w:ascii="仿宋" w:hAnsi="仿宋" w:eastAsia="仿宋"/>
          <w:bCs/>
          <w:color w:val="000000"/>
        </w:rPr>
        <w:t>年重点工作完成情况。</w:t>
      </w:r>
      <w:r>
        <w:tab/>
      </w:r>
      <w:r>
        <w:rPr>
          <w:rFonts w:hint="eastAsia"/>
          <w:lang w:val="en-US" w:eastAsia="zh-CN"/>
        </w:rPr>
        <w:t>5</w:t>
      </w:r>
    </w:p>
    <w:p>
      <w:pPr>
        <w:pStyle w:val="13"/>
        <w:rPr>
          <w:rFonts w:hint="default" w:hAnsiTheme="minorHAnsi" w:eastAsiaTheme="minorHAnsi" w:cstheme="minorBidi"/>
          <w:smallCap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10</w:t>
      </w:r>
    </w:p>
    <w:p>
      <w:pPr>
        <w:pStyle w:val="7"/>
        <w:tabs>
          <w:tab w:val="left" w:pos="840"/>
        </w:tabs>
        <w:rPr>
          <w:rFonts w:hint="default" w:hAnsiTheme="minorHAnsi" w:eastAsiaTheme="minorHAnsi" w:cstheme="minorBidi"/>
          <w:i w:val="0"/>
          <w:iCs w:val="0"/>
          <w:sz w:val="21"/>
          <w:szCs w:val="22"/>
          <w:lang w:val="en-US" w:eastAsia="zh-CN"/>
        </w:rPr>
      </w:pPr>
      <w:r>
        <w:rPr>
          <w:rFonts w:ascii="仿宋" w:hAnsi="仿宋" w:eastAsia="仿宋"/>
          <w:color w:val="000000"/>
        </w:rPr>
        <w:t>1.</w:t>
      </w:r>
      <w:r>
        <w:rPr>
          <w:rFonts w:hint="eastAsia" w:ascii="仿宋" w:hAnsi="仿宋" w:eastAsia="仿宋"/>
          <w:color w:val="000000"/>
          <w:lang w:val="en-US" w:eastAsia="zh-CN"/>
        </w:rPr>
        <w:t>机构设置</w:t>
      </w:r>
      <w:r>
        <w:tab/>
      </w:r>
      <w:r>
        <w:rPr>
          <w:rFonts w:hint="eastAsia"/>
          <w:lang w:val="en-US" w:eastAsia="zh-CN"/>
        </w:rPr>
        <w:t>10</w:t>
      </w:r>
    </w:p>
    <w:p>
      <w:pPr>
        <w:pStyle w:val="11"/>
        <w:rPr>
          <w:rFonts w:hint="default"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1</w:t>
      </w:r>
      <w:r>
        <w:rPr>
          <w:rFonts w:ascii="黑体" w:hAnsi="黑体" w:eastAsia="黑体"/>
          <w:b w:val="0"/>
          <w:bCs w:val="0"/>
        </w:rPr>
        <w:t>年度部门决算情况说明</w:t>
      </w:r>
      <w:r>
        <w:tab/>
      </w:r>
      <w:r>
        <w:rPr>
          <w:rFonts w:hint="eastAsia"/>
          <w:lang w:val="en-US" w:eastAsia="zh-CN"/>
        </w:rPr>
        <w:t>11</w:t>
      </w:r>
    </w:p>
    <w:p>
      <w:pPr>
        <w:pStyle w:val="13"/>
        <w:tabs>
          <w:tab w:val="left" w:pos="840"/>
        </w:tabs>
        <w:rPr>
          <w:rFonts w:hint="default" w:hAnsiTheme="minorHAnsi" w:eastAsiaTheme="minorHAnsi" w:cstheme="minorBidi"/>
          <w:smallCaps w:val="0"/>
          <w:sz w:val="21"/>
          <w:szCs w:val="22"/>
          <w:lang w:val="en-US" w:eastAsia="zh-CN"/>
        </w:rPr>
      </w:pPr>
      <w:r>
        <w:rPr>
          <w:rFonts w:ascii="黑体" w:hAnsi="黑体" w:eastAsia="黑体"/>
          <w:bCs/>
        </w:rPr>
        <w:t>一、</w:t>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11</w:t>
      </w:r>
    </w:p>
    <w:p>
      <w:pPr>
        <w:pStyle w:val="13"/>
        <w:tabs>
          <w:tab w:val="left" w:pos="840"/>
        </w:tabs>
        <w:rPr>
          <w:rFonts w:hint="default" w:hAnsiTheme="minorHAnsi" w:eastAsiaTheme="minorHAnsi" w:cstheme="minorBidi"/>
          <w:smallCaps w:val="0"/>
          <w:sz w:val="21"/>
          <w:szCs w:val="22"/>
          <w:lang w:val="en-US" w:eastAsia="zh-CN"/>
        </w:rPr>
      </w:pPr>
      <w:r>
        <w:rPr>
          <w:rFonts w:ascii="黑体" w:hAnsi="黑体" w:eastAsia="黑体"/>
          <w:bCs/>
        </w:rPr>
        <w:t>二、</w:t>
      </w:r>
      <w:r>
        <w:rPr>
          <w:rFonts w:ascii="黑体" w:hAnsi="黑体" w:eastAsia="黑体"/>
          <w:color w:val="000000"/>
        </w:rPr>
        <w:t>收</w:t>
      </w:r>
      <w:r>
        <w:rPr>
          <w:rFonts w:ascii="黑体" w:hAnsi="黑体" w:eastAsia="黑体"/>
          <w:bCs/>
        </w:rPr>
        <w:t>入决算情况说明</w:t>
      </w:r>
      <w:r>
        <w:tab/>
      </w:r>
      <w:r>
        <w:rPr>
          <w:rFonts w:hint="eastAsia"/>
          <w:lang w:val="en-US" w:eastAsia="zh-CN"/>
        </w:rPr>
        <w:t>11</w:t>
      </w:r>
    </w:p>
    <w:p>
      <w:pPr>
        <w:pStyle w:val="13"/>
        <w:tabs>
          <w:tab w:val="left" w:pos="840"/>
        </w:tabs>
        <w:rPr>
          <w:rFonts w:hint="default" w:hAnsiTheme="minorHAnsi" w:eastAsiaTheme="minorHAnsi" w:cstheme="minorBidi"/>
          <w:smallCaps w:val="0"/>
          <w:sz w:val="21"/>
          <w:szCs w:val="22"/>
          <w:lang w:val="en-US" w:eastAsia="zh-CN"/>
        </w:rPr>
      </w:pPr>
      <w:r>
        <w:rPr>
          <w:rFonts w:ascii="黑体" w:hAnsi="黑体" w:eastAsia="黑体"/>
          <w:bCs/>
        </w:rPr>
        <w:t>三、</w:t>
      </w:r>
      <w:r>
        <w:rPr>
          <w:rFonts w:ascii="黑体" w:hAnsi="黑体" w:eastAsia="黑体"/>
          <w:color w:val="000000"/>
        </w:rPr>
        <w:t>支</w:t>
      </w:r>
      <w:r>
        <w:rPr>
          <w:rFonts w:ascii="黑体" w:hAnsi="黑体" w:eastAsia="黑体"/>
          <w:bCs/>
        </w:rPr>
        <w:t>出决算情况说明</w:t>
      </w:r>
      <w:r>
        <w:tab/>
      </w:r>
      <w:r>
        <w:rPr>
          <w:rFonts w:hint="eastAsia"/>
          <w:lang w:val="en-US" w:eastAsia="zh-CN"/>
        </w:rPr>
        <w:t>12</w:t>
      </w:r>
    </w:p>
    <w:p>
      <w:pPr>
        <w:pStyle w:val="13"/>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13</w:t>
      </w:r>
    </w:p>
    <w:p>
      <w:pPr>
        <w:pStyle w:val="13"/>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14</w:t>
      </w:r>
    </w:p>
    <w:p>
      <w:pPr>
        <w:pStyle w:val="7"/>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14</w:t>
      </w:r>
    </w:p>
    <w:p>
      <w:pPr>
        <w:pStyle w:val="7"/>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15</w:t>
      </w:r>
    </w:p>
    <w:p>
      <w:pPr>
        <w:pStyle w:val="7"/>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16</w:t>
      </w:r>
    </w:p>
    <w:p>
      <w:pPr>
        <w:pStyle w:val="13"/>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17</w:t>
      </w:r>
    </w:p>
    <w:p>
      <w:pPr>
        <w:pStyle w:val="13"/>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17</w:t>
      </w:r>
    </w:p>
    <w:p>
      <w:pPr>
        <w:pStyle w:val="7"/>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18</w:t>
      </w:r>
    </w:p>
    <w:p>
      <w:pPr>
        <w:pStyle w:val="7"/>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19</w:t>
      </w:r>
    </w:p>
    <w:p>
      <w:pPr>
        <w:pStyle w:val="13"/>
        <w:rPr>
          <w:rFonts w:hint="eastAsia" w:eastAsia="宋体" w:hAnsiTheme="minorHAnsi" w:cstheme="minorBidi"/>
          <w:smallCaps w:val="0"/>
          <w:sz w:val="21"/>
          <w:szCs w:val="22"/>
          <w:lang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19</w:t>
      </w:r>
    </w:p>
    <w:p>
      <w:pPr>
        <w:pStyle w:val="13"/>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19</w:t>
      </w:r>
    </w:p>
    <w:p>
      <w:pPr>
        <w:pStyle w:val="13"/>
        <w:rPr>
          <w:rFonts w:hint="eastAsia" w:eastAsia="宋体" w:hAnsiTheme="minorHAnsi" w:cstheme="minorBidi"/>
          <w:smallCaps w:val="0"/>
          <w:sz w:val="21"/>
          <w:szCs w:val="22"/>
          <w:lang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19</w:t>
      </w:r>
    </w:p>
    <w:p>
      <w:pPr>
        <w:pStyle w:val="7"/>
        <w:rPr>
          <w:rFonts w:hint="eastAsia" w:eastAsia="宋体" w:hAnsiTheme="minorHAnsi" w:cstheme="minorBidi"/>
          <w:i w:val="0"/>
          <w:iCs w:val="0"/>
          <w:sz w:val="21"/>
          <w:szCs w:val="22"/>
          <w:lang w:eastAsia="zh-CN"/>
        </w:rPr>
      </w:pPr>
      <w:r>
        <w:rPr>
          <w:rFonts w:ascii="仿宋" w:hAnsi="仿宋" w:eastAsia="仿宋"/>
          <w:b/>
          <w:color w:val="000000"/>
        </w:rPr>
        <w:t>（一）机关运行经费支出情况</w:t>
      </w:r>
      <w:r>
        <w:tab/>
      </w:r>
      <w:r>
        <w:rPr>
          <w:rFonts w:hint="eastAsia"/>
          <w:lang w:val="en-US" w:eastAsia="zh-CN"/>
        </w:rPr>
        <w:t>19</w:t>
      </w:r>
    </w:p>
    <w:p>
      <w:pPr>
        <w:pStyle w:val="7"/>
        <w:rPr>
          <w:rFonts w:hint="eastAsia"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19</w:t>
      </w:r>
      <w:r>
        <w:fldChar w:fldCharType="end"/>
      </w:r>
      <w:r>
        <w:rPr>
          <w:rFonts w:hint="eastAsia"/>
          <w:lang w:val="en-US" w:eastAsia="zh-CN"/>
        </w:rPr>
        <w:t>9</w:t>
      </w:r>
    </w:p>
    <w:p>
      <w:pPr>
        <w:pStyle w:val="7"/>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19</w:t>
      </w:r>
      <w:r>
        <w:fldChar w:fldCharType="end"/>
      </w:r>
    </w:p>
    <w:p>
      <w:pPr>
        <w:pStyle w:val="7"/>
        <w:rPr>
          <w:rFonts w:hint="default" w:eastAsia="宋体" w:hAnsi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20</w:t>
      </w:r>
    </w:p>
    <w:p>
      <w:pPr>
        <w:pStyle w:val="11"/>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22</w:t>
      </w:r>
    </w:p>
    <w:p>
      <w:pPr>
        <w:pStyle w:val="11"/>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25</w:t>
      </w:r>
    </w:p>
    <w:p>
      <w:pPr>
        <w:pStyle w:val="11"/>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25</w:t>
      </w:r>
    </w:p>
    <w:p>
      <w:pPr>
        <w:pStyle w:val="11"/>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妇联</w:t>
      </w:r>
      <w:r>
        <w:rPr>
          <w:rFonts w:ascii="方正小标宋简体" w:hAnsi="黑体" w:eastAsia="方正小标宋简体" w:cs="黑体"/>
        </w:rPr>
        <w:t>部门2020年部门整体支出绩效评价报告</w:t>
      </w:r>
      <w:r>
        <w:tab/>
      </w:r>
      <w:r>
        <w:rPr>
          <w:rFonts w:hint="eastAsia"/>
          <w:lang w:val="en-US" w:eastAsia="zh-CN"/>
        </w:rPr>
        <w:t>25</w:t>
      </w:r>
    </w:p>
    <w:p>
      <w:pPr>
        <w:pStyle w:val="11"/>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31</w:t>
      </w:r>
    </w:p>
    <w:p>
      <w:pPr>
        <w:pStyle w:val="11"/>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姐妹宣讲团工作经费</w:t>
      </w:r>
      <w:r>
        <w:rPr>
          <w:rFonts w:ascii="方正小标宋简体" w:hAnsi="黑体" w:eastAsia="方正小标宋简体" w:cs="黑体"/>
        </w:rPr>
        <w:t>项目202</w:t>
      </w:r>
      <w:r>
        <w:rPr>
          <w:rFonts w:hint="eastAsia" w:ascii="方正小标宋简体" w:hAnsi="黑体" w:eastAsia="方正小标宋简体" w:cs="黑体"/>
          <w:lang w:val="en-US" w:eastAsia="zh-CN"/>
        </w:rPr>
        <w:t>1</w:t>
      </w:r>
      <w:r>
        <w:rPr>
          <w:rFonts w:ascii="方正小标宋简体" w:hAnsi="黑体" w:eastAsia="方正小标宋简体" w:cs="黑体"/>
        </w:rPr>
        <w:t>年绩效评价报告</w:t>
      </w:r>
      <w:r>
        <w:tab/>
      </w:r>
      <w:r>
        <w:rPr>
          <w:rFonts w:hint="eastAsia"/>
          <w:lang w:val="en-US" w:eastAsia="zh-CN"/>
        </w:rPr>
        <w:t>31</w:t>
      </w:r>
    </w:p>
    <w:p>
      <w:pPr>
        <w:pStyle w:val="11"/>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37</w:t>
      </w:r>
    </w:p>
    <w:p>
      <w:pPr>
        <w:pStyle w:val="13"/>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37</w:t>
      </w:r>
    </w:p>
    <w:p>
      <w:pPr>
        <w:widowControl/>
        <w:jc w:val="center"/>
        <w:rPr>
          <w:rFonts w:ascii="黑体" w:eastAsia="黑体" w:cs="Arial"/>
          <w:sz w:val="28"/>
          <w:szCs w:val="28"/>
        </w:rPr>
      </w:pPr>
      <w:r>
        <w:rPr>
          <w:rFonts w:asciiTheme="minorHAnsi" w:eastAsiaTheme="minorHAnsi"/>
          <w:b/>
          <w:bCs/>
          <w:caps/>
          <w:sz w:val="20"/>
          <w:szCs w:val="20"/>
        </w:rPr>
        <w:fldChar w:fldCharType="end"/>
      </w:r>
    </w:p>
    <w:p/>
    <w:p>
      <w:pPr>
        <w:pStyle w:val="2"/>
      </w:pPr>
    </w:p>
    <w:p/>
    <w:p>
      <w:pPr>
        <w:pStyle w:val="2"/>
      </w:pPr>
    </w:p>
    <w:p/>
    <w:p>
      <w:pPr>
        <w:pStyle w:val="2"/>
      </w:pPr>
    </w:p>
    <w:p/>
    <w:p>
      <w:pPr>
        <w:pStyle w:val="2"/>
      </w:pPr>
    </w:p>
    <w:p/>
    <w:p>
      <w:pPr>
        <w:pStyle w:val="2"/>
      </w:pPr>
    </w:p>
    <w:p/>
    <w:p>
      <w:pPr>
        <w:pStyle w:val="2"/>
      </w:pPr>
    </w:p>
    <w:p/>
    <w:p>
      <w:pPr>
        <w:pStyle w:val="2"/>
      </w:pPr>
    </w:p>
    <w:p>
      <w:pPr>
        <w:pStyle w:val="11"/>
        <w:adjustRightInd w:val="0"/>
        <w:snapToGrid w:val="0"/>
        <w:spacing w:before="0" w:line="440" w:lineRule="exact"/>
        <w:jc w:val="center"/>
        <w:rPr>
          <w:rFonts w:hint="eastAsia" w:ascii="方正黑体_GBK" w:hAnsi="方正黑体_GBK" w:eastAsia="方正黑体_GBK" w:cs="方正黑体_GBK"/>
          <w:b/>
          <w:bCs/>
          <w:i w:val="0"/>
          <w:iCs w:val="0"/>
          <w:kern w:val="2"/>
          <w:sz w:val="44"/>
          <w:szCs w:val="44"/>
          <w:lang w:val="en-US" w:eastAsia="zh-CN"/>
        </w:rPr>
      </w:pPr>
      <w:r>
        <w:rPr>
          <w:rFonts w:hint="eastAsia" w:ascii="方正黑体_GBK" w:hAnsi="方正黑体_GBK" w:eastAsia="方正黑体_GBK" w:cs="方正黑体_GBK"/>
          <w:b/>
          <w:bCs/>
          <w:i w:val="0"/>
          <w:iCs w:val="0"/>
          <w:kern w:val="2"/>
          <w:sz w:val="44"/>
          <w:szCs w:val="44"/>
          <w:lang w:val="en-US" w:eastAsia="zh-CN"/>
        </w:rPr>
        <w:t>第一部分部门概况</w:t>
      </w:r>
    </w:p>
    <w:p>
      <w:pPr>
        <w:rPr>
          <w:rFonts w:hint="eastAsia"/>
          <w:lang w:val="en-US" w:eastAsia="zh-CN"/>
        </w:rPr>
      </w:pPr>
    </w:p>
    <w:p>
      <w:pPr>
        <w:pStyle w:val="13"/>
        <w:numPr>
          <w:ilvl w:val="0"/>
          <w:numId w:val="1"/>
        </w:numPr>
        <w:adjustRightInd w:val="0"/>
        <w:snapToGrid w:val="0"/>
        <w:spacing w:line="440" w:lineRule="exact"/>
        <w:ind w:left="420"/>
        <w:jc w:val="left"/>
        <w:rPr>
          <w:rFonts w:hint="eastAsia" w:ascii="楷体" w:hAnsi="楷体" w:eastAsia="楷体" w:cs="楷体"/>
          <w:b/>
          <w:bCs/>
          <w:sz w:val="32"/>
          <w:szCs w:val="32"/>
        </w:rPr>
      </w:pPr>
      <w:r>
        <w:rPr>
          <w:rFonts w:hint="eastAsia" w:ascii="楷体" w:hAnsi="楷体" w:eastAsia="楷体" w:cs="楷体"/>
          <w:b/>
          <w:bCs/>
          <w:sz w:val="32"/>
          <w:szCs w:val="32"/>
        </w:rPr>
        <w:t>职能简介</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（1）坚持正确的政治方向，团结、教育全县各族各界妇女以及各类妇女组织同党中央在思想上、政治上、行动上保持高度一致。</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(2）紧密围绕县委、县政府的中心任务开展工作，团结、动员、组织全县妇女群众参与经济社会发展，努力推进中方县妇女儿童事业的发展。</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(3)宣传马克思主义妇女观和男女平等思想，教育、引导妇女树立正确的世界观、人生观、价值观，弘扬“自尊、自信、自立、自强”的精神，积极开展对妇女的科技文化及生产劳动技能教育，全面提高妇女素质。</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(5)坚持为妇女儿童服务、为基层服务，加强与社会各界的联系，协调、推动社会各界为妇女儿童办好事、办实事。</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(6)加强与社会各界妇女的联系，巩固和扩大各族各界妇女的大团结。</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(7)加强妇联组织自身建设，指导建立健全各级妇联和基层妇女组织。指导各级妇女组织按照章程独立自主地开展工作。加强干部队伍建设，提高妇联干部的整体素质。</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(8)承担县妇女儿童工作委员会的日常工作。</w:t>
      </w:r>
    </w:p>
    <w:p>
      <w:pPr>
        <w:pStyle w:val="2"/>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rPr>
      </w:pPr>
      <w:bookmarkStart w:id="13" w:name="_Toc22808"/>
      <w:r>
        <w:rPr>
          <w:rFonts w:hint="eastAsia" w:hAnsi="仿宋_GB2312" w:cs="仿宋_GB2312"/>
          <w:bCs/>
          <w:kern w:val="2"/>
          <w:sz w:val="32"/>
          <w:szCs w:val="32"/>
        </w:rPr>
        <w:t>(9)承办县委、县政府和市妇联交办的其他事项。</w:t>
      </w:r>
      <w:bookmarkEnd w:id="13"/>
    </w:p>
    <w:p>
      <w:pPr>
        <w:pStyle w:val="13"/>
        <w:adjustRightInd w:val="0"/>
        <w:snapToGrid w:val="0"/>
        <w:spacing w:line="440" w:lineRule="exact"/>
        <w:ind w:left="420"/>
        <w:jc w:val="left"/>
        <w:rPr>
          <w:rFonts w:hint="eastAsia" w:ascii="楷体" w:hAnsi="楷体" w:eastAsia="楷体" w:cs="楷体"/>
          <w:b/>
          <w:bCs/>
          <w:sz w:val="32"/>
          <w:szCs w:val="32"/>
        </w:rPr>
      </w:pPr>
      <w:r>
        <w:rPr>
          <w:rFonts w:hint="eastAsia" w:ascii="楷体" w:hAnsi="楷体" w:eastAsia="楷体" w:cs="楷体"/>
          <w:b/>
          <w:bCs/>
          <w:sz w:val="32"/>
          <w:szCs w:val="32"/>
        </w:rPr>
        <w:t>二、2021年重点工作完成情况</w:t>
      </w:r>
    </w:p>
    <w:p>
      <w:pPr>
        <w:keepNext w:val="0"/>
        <w:keepLines w:val="0"/>
        <w:pageBreakBefore w:val="0"/>
        <w:shd w:val="solid" w:color="FFFFFF" w:fill="auto"/>
        <w:kinsoku/>
        <w:wordWrap/>
        <w:overflowPunct/>
        <w:topLinePunct w:val="0"/>
        <w:autoSpaceDE w:val="0"/>
        <w:autoSpaceDN w:val="0"/>
        <w:bidi w:val="0"/>
        <w:snapToGrid/>
        <w:spacing w:beforeLines="0" w:afterLines="0" w:line="560" w:lineRule="exact"/>
        <w:ind w:firstLine="640" w:firstLineChars="200"/>
        <w:textAlignment w:val="auto"/>
        <w:rPr>
          <w:rFonts w:hint="eastAsia" w:ascii="仿宋_GB2312" w:hAnsi="仿宋_GB2312" w:eastAsia="仿宋_GB2312" w:cs="Times New Roman"/>
          <w:color w:val="auto"/>
          <w:sz w:val="32"/>
        </w:rPr>
      </w:pPr>
      <w:r>
        <w:rPr>
          <w:rFonts w:hint="eastAsia" w:ascii="仿宋_GB2312" w:hAnsi="仿宋_GB2312" w:eastAsia="仿宋_GB2312"/>
          <w:color w:val="auto"/>
          <w:sz w:val="32"/>
        </w:rPr>
        <w:t>20</w:t>
      </w:r>
      <w:r>
        <w:rPr>
          <w:rFonts w:hint="eastAsia" w:ascii="仿宋_GB2312" w:hAnsi="仿宋_GB2312" w:eastAsia="仿宋_GB2312"/>
          <w:color w:val="auto"/>
          <w:sz w:val="32"/>
          <w:lang w:val="en-US" w:eastAsia="zh-CN"/>
        </w:rPr>
        <w:t>21</w:t>
      </w:r>
      <w:r>
        <w:rPr>
          <w:rFonts w:hint="eastAsia" w:ascii="仿宋_GB2312" w:hAnsi="仿宋_GB2312" w:eastAsia="仿宋_GB2312"/>
          <w:color w:val="auto"/>
          <w:sz w:val="32"/>
        </w:rPr>
        <w:t>年，</w:t>
      </w:r>
      <w:r>
        <w:rPr>
          <w:rFonts w:hint="eastAsia" w:ascii="仿宋_GB2312" w:hAnsi="仿宋_GB2312" w:eastAsia="仿宋_GB2312" w:cs="仿宋_GB2312"/>
          <w:color w:val="auto"/>
          <w:sz w:val="32"/>
          <w:szCs w:val="32"/>
        </w:rPr>
        <w:t>县妇联在</w:t>
      </w:r>
      <w:r>
        <w:rPr>
          <w:rFonts w:hint="eastAsia" w:ascii="仿宋_GB2312" w:hAnsi="仿宋_GB2312" w:eastAsia="仿宋_GB2312" w:cs="仿宋_GB2312"/>
          <w:color w:val="auto"/>
          <w:sz w:val="32"/>
          <w:szCs w:val="32"/>
          <w:lang w:eastAsia="zh-CN"/>
        </w:rPr>
        <w:t>县委、</w:t>
      </w:r>
      <w:r>
        <w:rPr>
          <w:rFonts w:hint="eastAsia" w:ascii="仿宋_GB2312" w:hAnsi="仿宋_GB2312" w:eastAsia="仿宋_GB2312" w:cs="仿宋_GB2312"/>
          <w:color w:val="auto"/>
          <w:sz w:val="32"/>
          <w:szCs w:val="32"/>
          <w:lang w:val="en-US" w:eastAsia="zh-CN"/>
        </w:rPr>
        <w:t>县政府</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坚强</w:t>
      </w:r>
      <w:r>
        <w:rPr>
          <w:rFonts w:hint="eastAsia" w:ascii="仿宋_GB2312" w:hAnsi="仿宋_GB2312" w:eastAsia="仿宋_GB2312" w:cs="仿宋_GB2312"/>
          <w:color w:val="auto"/>
          <w:sz w:val="32"/>
          <w:szCs w:val="32"/>
          <w:lang w:eastAsia="zh-CN"/>
        </w:rPr>
        <w:t>领导下，</w:t>
      </w:r>
      <w:r>
        <w:rPr>
          <w:rFonts w:hint="eastAsia" w:ascii="仿宋_GB2312" w:hAnsi="仿宋_GB2312" w:eastAsia="仿宋_GB2312" w:cs="仿宋_GB2312"/>
          <w:color w:val="auto"/>
          <w:sz w:val="32"/>
          <w:szCs w:val="32"/>
        </w:rPr>
        <w:t>州妇联的具体指导下，</w:t>
      </w:r>
      <w:r>
        <w:rPr>
          <w:rFonts w:hint="eastAsia" w:ascii="仿宋_GB2312" w:hAnsi="仿宋_GB2312" w:eastAsia="仿宋_GB2312" w:cs="仿宋_GB2312"/>
          <w:color w:val="auto"/>
          <w:sz w:val="32"/>
          <w:szCs w:val="32"/>
          <w:lang w:val="zh-CN"/>
        </w:rPr>
        <w:t>进一步完善工作机制，强化工作责任，</w:t>
      </w:r>
      <w:r>
        <w:rPr>
          <w:rFonts w:hint="eastAsia" w:ascii="仿宋_GB2312" w:hAnsi="仿宋_GB2312" w:eastAsia="仿宋_GB2312" w:cs="仿宋_GB2312"/>
          <w:color w:val="auto"/>
          <w:sz w:val="32"/>
          <w:szCs w:val="32"/>
        </w:rPr>
        <w:t>团结带领全县妇女，紧紧围绕县委、县政府的中心工作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olor w:val="auto"/>
          <w:sz w:val="32"/>
        </w:rPr>
        <w:t>以构建和谐社会关系为工作核心，以加强妇联组织建设为基础，以开展“姐妹宣讲团”活动等品牌工作为统领，工作方式不断创新，工作成效不断凸显，维护好了广大妇女群众的合法权益，</w:t>
      </w:r>
      <w:r>
        <w:rPr>
          <w:rFonts w:hint="eastAsia" w:ascii="仿宋_GB2312" w:hAnsi="仿宋_GB2312" w:eastAsia="仿宋_GB2312" w:cs="仿宋_GB2312"/>
          <w:color w:val="auto"/>
          <w:sz w:val="32"/>
          <w:szCs w:val="32"/>
          <w:lang w:val="zh-CN"/>
        </w:rPr>
        <w:t>为</w:t>
      </w:r>
      <w:r>
        <w:rPr>
          <w:rFonts w:hint="eastAsia" w:ascii="仿宋_GB2312" w:hAnsi="仿宋_GB2312" w:eastAsia="仿宋_GB2312" w:cs="Times New Roman"/>
          <w:color w:val="auto"/>
          <w:sz w:val="32"/>
          <w:lang w:val="zh-CN"/>
        </w:rPr>
        <w:t>建设</w:t>
      </w:r>
      <w:r>
        <w:rPr>
          <w:rFonts w:hint="eastAsia" w:ascii="仿宋_GB2312" w:hAnsi="仿宋_GB2312" w:eastAsia="仿宋_GB2312" w:cs="Times New Roman"/>
          <w:color w:val="auto"/>
          <w:sz w:val="32"/>
          <w:lang w:val="en-US" w:eastAsia="zh-CN"/>
        </w:rPr>
        <w:t>新红原</w:t>
      </w:r>
      <w:r>
        <w:rPr>
          <w:rFonts w:hint="eastAsia" w:ascii="仿宋_GB2312" w:hAnsi="仿宋_GB2312" w:eastAsia="仿宋_GB2312" w:cs="Times New Roman"/>
          <w:color w:val="auto"/>
          <w:sz w:val="32"/>
          <w:lang w:val="zh-CN"/>
        </w:rPr>
        <w:t>贡献</w:t>
      </w:r>
      <w:r>
        <w:rPr>
          <w:rFonts w:hint="eastAsia" w:ascii="仿宋_GB2312" w:hAnsi="仿宋_GB2312" w:eastAsia="仿宋_GB2312" w:cs="Times New Roman"/>
          <w:color w:val="auto"/>
          <w:sz w:val="32"/>
          <w:lang w:val="en-US" w:eastAsia="zh-CN"/>
        </w:rPr>
        <w:t>巾帼力量</w:t>
      </w:r>
      <w:r>
        <w:rPr>
          <w:rFonts w:hint="eastAsia" w:ascii="仿宋_GB2312" w:hAnsi="仿宋_GB2312" w:eastAsia="仿宋_GB2312" w:cs="Times New Roman"/>
          <w:color w:val="auto"/>
          <w:sz w:val="32"/>
          <w:lang w:val="zh-CN"/>
        </w:rPr>
        <w:t>。</w:t>
      </w:r>
    </w:p>
    <w:p>
      <w:pPr>
        <w:keepNext w:val="0"/>
        <w:keepLines w:val="0"/>
        <w:pageBreakBefore w:val="0"/>
        <w:widowControl w:val="0"/>
        <w:kinsoku/>
        <w:wordWrap/>
        <w:overflowPunct/>
        <w:topLinePunct w:val="0"/>
        <w:autoSpaceDE/>
        <w:autoSpaceDN/>
        <w:bidi w:val="0"/>
        <w:spacing w:line="560" w:lineRule="exact"/>
        <w:ind w:right="0" w:rightChars="0" w:firstLine="642"/>
        <w:textAlignment w:val="auto"/>
        <w:outlineLvl w:val="9"/>
        <w:rPr>
          <w:rFonts w:hint="eastAsia" w:ascii="楷体_GB2312" w:hAnsi="楷体_GB2312" w:eastAsia="楷体_GB2312" w:cs="楷体_GB2312"/>
          <w:b/>
          <w:bCs/>
          <w:color w:val="auto"/>
          <w:sz w:val="32"/>
          <w:szCs w:val="22"/>
          <w:shd w:val="clear" w:color="auto" w:fill="FFFFFF"/>
          <w:lang w:val="en-US" w:eastAsia="zh-CN"/>
        </w:rPr>
      </w:pPr>
      <w:r>
        <w:rPr>
          <w:rFonts w:hint="eastAsia" w:ascii="楷体_GB2312" w:hAnsi="楷体_GB2312" w:eastAsia="楷体_GB2312" w:cs="楷体_GB2312"/>
          <w:b/>
          <w:bCs/>
          <w:color w:val="auto"/>
          <w:sz w:val="32"/>
          <w:szCs w:val="22"/>
          <w:shd w:val="clear" w:color="auto" w:fill="FFFFFF"/>
          <w:lang w:val="en-US" w:eastAsia="zh-CN"/>
        </w:rPr>
        <w:t>（一）围绕中心服务大局，推动妇女儿童事业持续发展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sz w:val="32"/>
          <w:szCs w:val="22"/>
          <w:lang w:val="en-US" w:eastAsia="zh-CN"/>
        </w:rPr>
      </w:pPr>
      <w:r>
        <w:rPr>
          <w:rFonts w:hint="eastAsia" w:ascii="仿宋_GB2312" w:hAnsi="仿宋_GB2312" w:eastAsia="仿宋_GB2312" w:cs="Times New Roman"/>
          <w:color w:val="auto"/>
          <w:sz w:val="32"/>
          <w:lang w:val="en-US" w:eastAsia="zh-CN"/>
        </w:rPr>
        <w:t>为落实省、州妇联关于“基层妇联领头雁行动”和</w:t>
      </w:r>
      <w:r>
        <w:rPr>
          <w:rFonts w:hint="eastAsia" w:ascii="仿宋_GB2312" w:hAnsi="仿宋_GB2312" w:eastAsia="仿宋_GB2312" w:cs="Times New Roman"/>
          <w:color w:val="auto"/>
          <w:sz w:val="32"/>
        </w:rPr>
        <w:t>《</w:t>
      </w:r>
      <w:r>
        <w:rPr>
          <w:rFonts w:hint="eastAsia" w:ascii="仿宋_GB2312" w:hAnsi="仿宋_GB2312" w:eastAsia="仿宋_GB2312" w:cs="Times New Roman"/>
          <w:color w:val="auto"/>
          <w:sz w:val="32"/>
          <w:lang w:eastAsia="zh-CN"/>
        </w:rPr>
        <w:t>红原县妇联改革方案</w:t>
      </w:r>
      <w:r>
        <w:rPr>
          <w:rFonts w:hint="eastAsia" w:ascii="仿宋_GB2312" w:hAnsi="仿宋_GB2312" w:eastAsia="仿宋_GB2312" w:cs="Times New Roman"/>
          <w:color w:val="auto"/>
          <w:sz w:val="32"/>
        </w:rPr>
        <w:t>》</w:t>
      </w:r>
      <w:r>
        <w:rPr>
          <w:rFonts w:hint="eastAsia" w:ascii="仿宋_GB2312" w:hAnsi="仿宋_GB2312" w:eastAsia="仿宋_GB2312" w:cs="仿宋_GB2312"/>
          <w:color w:val="auto"/>
          <w:sz w:val="32"/>
          <w:szCs w:val="32"/>
          <w:lang w:val="en-US" w:eastAsia="zh-CN"/>
        </w:rPr>
        <w:t>的要求，为</w:t>
      </w:r>
      <w:r>
        <w:rPr>
          <w:rFonts w:hint="eastAsia" w:ascii="仿宋_GB2312" w:hAnsi="仿宋_GB2312" w:eastAsia="仿宋_GB2312"/>
          <w:sz w:val="32"/>
        </w:rPr>
        <w:t>更好地引领妇女群众参与基层公共服务、更好地发挥村</w:t>
      </w:r>
      <w:r>
        <w:rPr>
          <w:rFonts w:hint="eastAsia" w:ascii="仿宋_GB2312" w:hAnsi="仿宋_GB2312" w:eastAsia="仿宋_GB2312"/>
          <w:sz w:val="32"/>
          <w:lang w:val="en-US" w:eastAsia="zh-CN"/>
        </w:rPr>
        <w:t>级</w:t>
      </w:r>
      <w:r>
        <w:rPr>
          <w:rFonts w:hint="eastAsia" w:ascii="仿宋_GB2312" w:hAnsi="仿宋_GB2312" w:eastAsia="仿宋_GB2312"/>
          <w:sz w:val="32"/>
        </w:rPr>
        <w:t>妇联组织联系凝聚妇女群众的作用。</w:t>
      </w:r>
      <w:r>
        <w:rPr>
          <w:rFonts w:hint="eastAsia" w:ascii="仿宋_GB2312" w:hAnsi="仿宋_GB2312" w:eastAsia="仿宋_GB2312"/>
          <w:b/>
          <w:bCs/>
          <w:sz w:val="32"/>
          <w:lang w:val="en-US" w:eastAsia="zh-CN"/>
        </w:rPr>
        <w:t>一是</w:t>
      </w:r>
      <w:r>
        <w:rPr>
          <w:rFonts w:hint="eastAsia" w:ascii="仿宋_GB2312" w:hAnsi="仿宋_GB2312" w:eastAsia="仿宋_GB2312"/>
          <w:sz w:val="32"/>
          <w:lang w:val="en-US" w:eastAsia="zh-CN"/>
        </w:rPr>
        <w:t>举办新任村（社区）妇联主席履职能力培训，通过交流学习有效提高了</w:t>
      </w:r>
      <w:r>
        <w:rPr>
          <w:rFonts w:hint="eastAsia" w:ascii="仿宋_GB2312" w:hAnsi="仿宋_GB2312" w:eastAsia="仿宋_GB2312" w:cs="仿宋_GB2312"/>
          <w:color w:val="auto"/>
          <w:sz w:val="32"/>
          <w:szCs w:val="32"/>
          <w:lang w:val="en-US" w:eastAsia="zh-CN"/>
        </w:rPr>
        <w:t>我县基层妇联干部的综合素质和履职能力，进一步夯实基层妇女组织，更好地发挥妇联组织联系妇女群众的桥梁、纽带作用</w:t>
      </w:r>
      <w:r>
        <w:rPr>
          <w:rFonts w:hint="eastAsia" w:ascii="仿宋_GB2312" w:hAnsi="仿宋_GB2312" w:eastAsia="仿宋_GB2312" w:cs="仿宋_GB2312"/>
          <w:b w:val="0"/>
          <w:i w:val="0"/>
          <w:caps w:val="0"/>
          <w:color w:val="000000"/>
          <w:spacing w:val="0"/>
          <w:sz w:val="32"/>
          <w:szCs w:val="32"/>
          <w:shd w:val="clear" w:color="auto" w:fill="auto"/>
          <w:lang w:eastAsia="zh-CN"/>
        </w:rPr>
        <w:t>。</w:t>
      </w:r>
      <w:r>
        <w:rPr>
          <w:rFonts w:hint="eastAsia" w:ascii="仿宋_GB2312" w:hAnsi="仿宋_GB2312" w:eastAsia="仿宋_GB2312" w:cs="仿宋_GB2312"/>
          <w:b/>
          <w:bCs/>
          <w:i w:val="0"/>
          <w:caps w:val="0"/>
          <w:color w:val="000000"/>
          <w:spacing w:val="0"/>
          <w:sz w:val="32"/>
          <w:szCs w:val="32"/>
          <w:shd w:val="clear" w:color="auto" w:fill="auto"/>
          <w:lang w:val="en-US" w:eastAsia="zh-CN"/>
        </w:rPr>
        <w:t>二是</w:t>
      </w:r>
      <w:r>
        <w:rPr>
          <w:rFonts w:hint="eastAsia" w:ascii="仿宋_GB2312" w:hAnsi="仿宋_GB2312" w:eastAsia="仿宋_GB2312" w:cs="仿宋_GB2312"/>
          <w:sz w:val="32"/>
          <w:szCs w:val="32"/>
          <w:lang w:val="en-US" w:eastAsia="zh-CN"/>
        </w:rPr>
        <w:t>组织全县10个乡镇及35个村（社区）圆满完成了妇联主席换届选举工作。通过换届，选齐、配强了乡镇、村（社区）妇联执委，选准、选好了乡镇、村（社区）妇联主席和专、兼职副主席，优化了年龄结构和文化结构，基层妇联干部队伍整体素质得到了进一步提高，更加坚定了为广大妇女群众服务的信心和决心，不忘初心、牢记使命，更好地引导广大妇女“听党话、跟党走”。</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邀请了阿坝州大岷山英才职业培训学校的老师为全县各乡镇、村（社区）20名</w:t>
      </w:r>
      <w:r>
        <w:rPr>
          <w:rFonts w:hint="eastAsia" w:ascii="仿宋_GB2312" w:hAnsi="仿宋_GB2312" w:eastAsia="仿宋_GB2312" w:cs="仿宋_GB2312"/>
          <w:color w:val="000000"/>
          <w:sz w:val="32"/>
          <w:szCs w:val="32"/>
          <w:shd w:val="clear" w:color="auto" w:fill="FFFFFF"/>
          <w:lang w:val="en-US" w:eastAsia="zh-CN"/>
        </w:rPr>
        <w:t>贫困、单亲母亲</w:t>
      </w:r>
      <w:r>
        <w:rPr>
          <w:rFonts w:hint="eastAsia" w:ascii="仿宋_GB2312" w:hAnsi="仿宋_GB2312" w:eastAsia="仿宋_GB2312" w:cs="仿宋_GB2312"/>
          <w:sz w:val="32"/>
          <w:szCs w:val="32"/>
          <w:lang w:val="en-US" w:eastAsia="zh-CN"/>
        </w:rPr>
        <w:t>举办了“红原县贫困、单亲母亲“酒店管理”技能</w:t>
      </w:r>
      <w:r>
        <w:rPr>
          <w:rFonts w:hint="eastAsia" w:ascii="仿宋_GB2312" w:hAnsi="仿宋_GB2312" w:eastAsia="仿宋_GB2312" w:cs="仿宋_GB2312"/>
          <w:sz w:val="32"/>
          <w:szCs w:val="32"/>
        </w:rPr>
        <w:t>培训班</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rPr>
        <w:t>进一步推进我县</w:t>
      </w:r>
      <w:r>
        <w:rPr>
          <w:rFonts w:hint="eastAsia" w:ascii="仿宋_GB2312" w:hAnsi="仿宋_GB2312" w:eastAsia="仿宋_GB2312" w:cs="仿宋_GB2312"/>
          <w:sz w:val="32"/>
          <w:szCs w:val="32"/>
          <w:lang w:val="en-US" w:eastAsia="zh-CN"/>
        </w:rPr>
        <w:t>贫困、单亲母亲</w:t>
      </w:r>
      <w:r>
        <w:rPr>
          <w:rFonts w:hint="eastAsia" w:ascii="仿宋_GB2312" w:hAnsi="仿宋_GB2312" w:eastAsia="仿宋_GB2312" w:cs="仿宋_GB2312"/>
          <w:sz w:val="32"/>
          <w:szCs w:val="32"/>
        </w:rPr>
        <w:t>就业创业工作</w:t>
      </w:r>
      <w:r>
        <w:rPr>
          <w:rFonts w:hint="eastAsia" w:ascii="仿宋_GB2312" w:hAnsi="仿宋_GB2312" w:eastAsia="仿宋_GB2312" w:cs="仿宋_GB2312"/>
          <w:sz w:val="32"/>
          <w:szCs w:val="32"/>
          <w:lang w:val="en-US" w:eastAsia="zh-CN"/>
        </w:rPr>
        <w:t>能力</w:t>
      </w:r>
      <w:r>
        <w:rPr>
          <w:rFonts w:hint="eastAsia" w:ascii="仿宋_GB2312" w:hAnsi="仿宋_GB2312" w:eastAsia="仿宋_GB2312" w:cs="仿宋_GB2312"/>
          <w:sz w:val="32"/>
          <w:szCs w:val="32"/>
        </w:rPr>
        <w:t>，加大贫困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单亲母亲</w:t>
      </w:r>
      <w:r>
        <w:rPr>
          <w:rFonts w:hint="eastAsia" w:ascii="仿宋_GB2312" w:hAnsi="仿宋_GB2312" w:eastAsia="仿宋_GB2312" w:cs="仿宋_GB2312"/>
          <w:sz w:val="32"/>
          <w:szCs w:val="32"/>
        </w:rPr>
        <w:t>家庭劳动力转移就业技能培训工作力度,</w:t>
      </w:r>
      <w:r>
        <w:rPr>
          <w:rFonts w:hint="eastAsia" w:ascii="仿宋_GB2312" w:hAnsi="仿宋_GB2312" w:eastAsia="仿宋_GB2312" w:cs="仿宋_GB2312"/>
          <w:sz w:val="32"/>
          <w:szCs w:val="32"/>
          <w:lang w:val="en-US" w:eastAsia="zh-CN"/>
        </w:rPr>
        <w:t>从而</w:t>
      </w:r>
      <w:r>
        <w:rPr>
          <w:rFonts w:hint="eastAsia" w:ascii="仿宋_GB2312" w:hAnsi="仿宋_GB2312" w:eastAsia="仿宋_GB2312" w:cs="仿宋_GB2312"/>
          <w:sz w:val="32"/>
          <w:szCs w:val="32"/>
        </w:rPr>
        <w:t>改变农牧民群众及贫困户无技术、无岗位、无收入等现状。</w:t>
      </w:r>
    </w:p>
    <w:p>
      <w:pPr>
        <w:keepNext w:val="0"/>
        <w:keepLines w:val="0"/>
        <w:pageBreakBefore w:val="0"/>
        <w:widowControl w:val="0"/>
        <w:kinsoku/>
        <w:wordWrap/>
        <w:overflowPunct/>
        <w:topLinePunct w:val="0"/>
        <w:autoSpaceDE/>
        <w:autoSpaceDN/>
        <w:bidi w:val="0"/>
        <w:spacing w:line="560" w:lineRule="exact"/>
        <w:ind w:right="0" w:rightChars="0" w:firstLine="642"/>
        <w:textAlignment w:val="auto"/>
        <w:outlineLvl w:val="9"/>
        <w:rPr>
          <w:rFonts w:hint="eastAsia" w:ascii="楷体_GB2312" w:hAnsi="楷体_GB2312" w:eastAsia="楷体_GB2312" w:cs="楷体_GB2312"/>
          <w:b/>
          <w:bCs/>
          <w:color w:val="auto"/>
          <w:sz w:val="32"/>
          <w:szCs w:val="22"/>
          <w:shd w:val="clear" w:color="auto" w:fill="FFFFFF"/>
          <w:lang w:val="en-US" w:eastAsia="zh-CN"/>
        </w:rPr>
      </w:pPr>
      <w:r>
        <w:rPr>
          <w:rFonts w:hint="eastAsia" w:ascii="楷体_GB2312" w:hAnsi="楷体_GB2312" w:eastAsia="楷体_GB2312" w:cs="楷体_GB2312"/>
          <w:b/>
          <w:bCs/>
          <w:color w:val="auto"/>
          <w:sz w:val="32"/>
          <w:szCs w:val="22"/>
          <w:shd w:val="clear" w:color="auto" w:fill="FFFFFF"/>
          <w:lang w:val="zh-CN" w:eastAsia="zh-CN"/>
        </w:rPr>
        <w:t>（</w:t>
      </w:r>
      <w:r>
        <w:rPr>
          <w:rFonts w:hint="eastAsia" w:ascii="楷体_GB2312" w:hAnsi="楷体_GB2312" w:eastAsia="楷体_GB2312" w:cs="楷体_GB2312"/>
          <w:b/>
          <w:bCs/>
          <w:color w:val="auto"/>
          <w:sz w:val="32"/>
          <w:szCs w:val="22"/>
          <w:shd w:val="clear" w:color="auto" w:fill="FFFFFF"/>
          <w:lang w:val="en-US" w:eastAsia="zh-CN"/>
        </w:rPr>
        <w:t>二</w:t>
      </w:r>
      <w:r>
        <w:rPr>
          <w:rFonts w:hint="eastAsia" w:ascii="楷体_GB2312" w:hAnsi="楷体_GB2312" w:eastAsia="楷体_GB2312" w:cs="楷体_GB2312"/>
          <w:b/>
          <w:bCs/>
          <w:color w:val="auto"/>
          <w:sz w:val="32"/>
          <w:szCs w:val="22"/>
          <w:shd w:val="clear" w:color="auto" w:fill="FFFFFF"/>
          <w:lang w:val="zh-CN" w:eastAsia="zh-CN"/>
        </w:rPr>
        <w:t>）</w:t>
      </w:r>
      <w:r>
        <w:rPr>
          <w:rFonts w:hint="eastAsia" w:ascii="楷体_GB2312" w:hAnsi="楷体_GB2312" w:eastAsia="楷体_GB2312" w:cs="楷体_GB2312"/>
          <w:b/>
          <w:bCs/>
          <w:color w:val="auto"/>
          <w:sz w:val="32"/>
          <w:szCs w:val="22"/>
          <w:shd w:val="clear" w:color="auto" w:fill="FFFFFF"/>
          <w:lang w:val="en-US" w:eastAsia="zh-CN"/>
        </w:rPr>
        <w:t>围绕民生需求，关爱妇女儿童工作有新进展</w:t>
      </w:r>
    </w:p>
    <w:p>
      <w:pPr>
        <w:spacing w:line="576"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Times New Roman"/>
          <w:sz w:val="32"/>
          <w:shd w:val="clear" w:color="auto" w:fill="FFFFFF"/>
          <w:lang w:val="en-US" w:eastAsia="zh-CN"/>
        </w:rPr>
        <w:t>为发挥妇联组织的桥梁和</w:t>
      </w:r>
      <w:r>
        <w:rPr>
          <w:rFonts w:hint="eastAsia" w:ascii="仿宋_GB2312" w:hAnsi="仿宋_GB2312" w:eastAsia="仿宋_GB2312" w:cs="Times New Roman"/>
          <w:color w:val="auto"/>
          <w:sz w:val="32"/>
          <w:szCs w:val="22"/>
          <w:lang w:val="en-US" w:eastAsia="zh-CN"/>
        </w:rPr>
        <w:t>纽带作用，把党和政府的温暖和妇联组织的关爱送</w:t>
      </w:r>
      <w:r>
        <w:rPr>
          <w:rFonts w:hint="eastAsia" w:ascii="仿宋_GB2312" w:hAnsi="仿宋_GB2312" w:eastAsia="仿宋_GB2312"/>
          <w:sz w:val="32"/>
          <w:shd w:val="clear" w:color="auto" w:fill="FFFFFF"/>
        </w:rPr>
        <w:t>到贫困母亲身边，让她们在共建中共享社会发展成果</w:t>
      </w:r>
      <w:r>
        <w:rPr>
          <w:rFonts w:hint="eastAsia" w:ascii="仿宋_GB2312" w:eastAsia="仿宋_GB2312"/>
          <w:sz w:val="32"/>
          <w:lang w:eastAsia="zh-CN"/>
        </w:rPr>
        <w:t>。</w:t>
      </w:r>
      <w:r>
        <w:rPr>
          <w:rFonts w:hint="eastAsia" w:ascii="仿宋_GB2312" w:eastAsia="仿宋_GB2312"/>
          <w:b/>
          <w:bCs/>
          <w:sz w:val="32"/>
          <w:lang w:val="en-US" w:eastAsia="zh-CN"/>
        </w:rPr>
        <w:t>一是</w:t>
      </w:r>
      <w:r>
        <w:rPr>
          <w:rFonts w:hint="eastAsia" w:ascii="仿宋_GB2312" w:hAnsi="仿宋_GB2312" w:eastAsia="仿宋_GB2312" w:cs="仿宋_GB2312"/>
          <w:sz w:val="32"/>
          <w:szCs w:val="32"/>
          <w:lang w:val="en-US" w:eastAsia="zh-CN"/>
        </w:rPr>
        <w:t>在第111个国际“三八”妇女节来临之际，</w:t>
      </w:r>
      <w:r>
        <w:rPr>
          <w:rFonts w:hint="eastAsia" w:ascii="仿宋_GB2312" w:hAnsi="仿宋_GB2312" w:eastAsia="仿宋_GB2312" w:cs="仿宋_GB2312"/>
          <w:i w:val="0"/>
          <w:caps w:val="0"/>
          <w:color w:val="auto"/>
          <w:spacing w:val="0"/>
          <w:sz w:val="32"/>
          <w:szCs w:val="32"/>
          <w:shd w:val="clear" w:color="auto" w:fill="FFFFFF"/>
        </w:rPr>
        <w:t>县妇联</w:t>
      </w:r>
      <w:r>
        <w:rPr>
          <w:rFonts w:hint="eastAsia" w:ascii="仿宋_GB2312" w:hAnsi="仿宋_GB2312" w:eastAsia="仿宋_GB2312" w:cs="仿宋_GB2312"/>
          <w:i w:val="0"/>
          <w:caps w:val="0"/>
          <w:color w:val="auto"/>
          <w:spacing w:val="0"/>
          <w:sz w:val="32"/>
          <w:szCs w:val="32"/>
          <w:shd w:val="clear" w:color="auto" w:fill="FFFFFF"/>
          <w:lang w:val="en-US" w:eastAsia="zh-CN"/>
        </w:rPr>
        <w:t>领导班子深入全县10个乡镇35个村（社区）</w:t>
      </w:r>
      <w:r>
        <w:rPr>
          <w:rFonts w:hint="eastAsia" w:ascii="仿宋_GB2312" w:hAnsi="仿宋_GB2312" w:eastAsia="仿宋_GB2312" w:cs="仿宋_GB2312"/>
          <w:i w:val="0"/>
          <w:caps w:val="0"/>
          <w:color w:val="auto"/>
          <w:spacing w:val="0"/>
          <w:sz w:val="32"/>
          <w:szCs w:val="32"/>
          <w:shd w:val="clear" w:color="auto" w:fill="FFFFFF"/>
        </w:rPr>
        <w:t>开展</w:t>
      </w:r>
      <w:r>
        <w:rPr>
          <w:rFonts w:hint="eastAsia" w:ascii="仿宋_GB2312" w:hAnsi="仿宋_GB2312" w:eastAsia="仿宋_GB2312" w:cs="仿宋_GB2312"/>
          <w:i w:val="0"/>
          <w:caps w:val="0"/>
          <w:color w:val="auto"/>
          <w:spacing w:val="0"/>
          <w:sz w:val="32"/>
          <w:szCs w:val="32"/>
          <w:shd w:val="clear" w:color="auto" w:fill="FFFFFF"/>
          <w:lang w:val="en-US" w:eastAsia="zh-CN"/>
        </w:rPr>
        <w:t>离</w:t>
      </w:r>
      <w:r>
        <w:rPr>
          <w:rFonts w:hint="eastAsia" w:ascii="仿宋_GB2312" w:hAnsi="仿宋_GB2312" w:eastAsia="仿宋_GB2312" w:cs="仿宋_GB2312"/>
          <w:i w:val="0"/>
          <w:caps w:val="0"/>
          <w:color w:val="auto"/>
          <w:spacing w:val="0"/>
          <w:sz w:val="32"/>
          <w:szCs w:val="32"/>
          <w:shd w:val="clear" w:color="auto" w:fill="FFFFFF"/>
        </w:rPr>
        <w:t>任村妇联主席走访慰问活动，</w:t>
      </w:r>
      <w:r>
        <w:rPr>
          <w:rFonts w:hint="eastAsia" w:ascii="仿宋_GB2312" w:hAnsi="仿宋_GB2312" w:eastAsia="仿宋_GB2312" w:cs="仿宋_GB2312"/>
          <w:i w:val="0"/>
          <w:caps w:val="0"/>
          <w:color w:val="auto"/>
          <w:spacing w:val="0"/>
          <w:sz w:val="32"/>
          <w:szCs w:val="32"/>
          <w:shd w:val="clear" w:color="auto" w:fill="FFFFFF"/>
          <w:lang w:val="en-US" w:eastAsia="zh-CN"/>
        </w:rPr>
        <w:t>为30名离任村（社区）妇联主席</w:t>
      </w:r>
      <w:r>
        <w:rPr>
          <w:rFonts w:hint="eastAsia" w:ascii="仿宋_GB2312" w:hAnsi="仿宋_GB2312" w:eastAsia="仿宋_GB2312" w:cs="仿宋_GB2312"/>
          <w:i w:val="0"/>
          <w:caps w:val="0"/>
          <w:color w:val="auto"/>
          <w:spacing w:val="0"/>
          <w:sz w:val="32"/>
          <w:szCs w:val="32"/>
          <w:shd w:val="clear" w:color="auto" w:fill="FFFFFF"/>
        </w:rPr>
        <w:t>送去妇联组织的</w:t>
      </w:r>
      <w:r>
        <w:rPr>
          <w:rFonts w:hint="eastAsia" w:ascii="仿宋_GB2312" w:hAnsi="仿宋_GB2312" w:eastAsia="仿宋_GB2312" w:cs="仿宋_GB2312"/>
          <w:i w:val="0"/>
          <w:caps w:val="0"/>
          <w:color w:val="auto"/>
          <w:spacing w:val="0"/>
          <w:sz w:val="32"/>
          <w:szCs w:val="32"/>
          <w:shd w:val="clear" w:color="auto" w:fill="FFFFFF"/>
          <w:lang w:val="en-US" w:eastAsia="zh-CN"/>
        </w:rPr>
        <w:t>温暖和</w:t>
      </w:r>
      <w:r>
        <w:rPr>
          <w:rFonts w:hint="eastAsia" w:ascii="仿宋_GB2312" w:hAnsi="仿宋_GB2312" w:eastAsia="仿宋_GB2312" w:cs="仿宋_GB2312"/>
          <w:i w:val="0"/>
          <w:caps w:val="0"/>
          <w:color w:val="auto"/>
          <w:spacing w:val="0"/>
          <w:sz w:val="32"/>
          <w:szCs w:val="32"/>
          <w:shd w:val="clear" w:color="auto" w:fill="FFFFFF"/>
        </w:rPr>
        <w:t>关怀</w:t>
      </w:r>
      <w:r>
        <w:rPr>
          <w:rFonts w:hint="eastAsia" w:ascii="仿宋_GB2312" w:hAnsi="仿宋_GB2312" w:eastAsia="仿宋_GB2312" w:cs="仿宋_GB2312"/>
          <w:i w:val="0"/>
          <w:caps w:val="0"/>
          <w:color w:val="auto"/>
          <w:spacing w:val="0"/>
          <w:sz w:val="32"/>
          <w:szCs w:val="32"/>
          <w:shd w:val="clear" w:color="auto" w:fill="FFFFFF"/>
          <w:lang w:val="en-US" w:eastAsia="zh-CN"/>
        </w:rPr>
        <w:t>及价值5000余元的慰问品；同时，为我县3名患大病困难妇女送去救助金共计9000元；</w:t>
      </w:r>
      <w:r>
        <w:rPr>
          <w:rFonts w:hint="eastAsia" w:ascii="仿宋_GB2312" w:hAnsi="仿宋_GB2312" w:eastAsia="仿宋_GB2312" w:cs="仿宋_GB2312"/>
          <w:b/>
          <w:bCs/>
          <w:i w:val="0"/>
          <w:caps w:val="0"/>
          <w:color w:val="auto"/>
          <w:spacing w:val="0"/>
          <w:sz w:val="32"/>
          <w:szCs w:val="32"/>
          <w:shd w:val="clear" w:color="auto" w:fill="FFFFFF"/>
          <w:lang w:val="en-US" w:eastAsia="zh-CN"/>
        </w:rPr>
        <w:t>二是</w:t>
      </w:r>
      <w:r>
        <w:rPr>
          <w:rFonts w:hint="eastAsia" w:ascii="仿宋_GB2312" w:hAnsi="仿宋_GB2312" w:eastAsia="仿宋_GB2312" w:cs="仿宋_GB2312"/>
          <w:color w:val="auto"/>
          <w:sz w:val="32"/>
          <w:szCs w:val="32"/>
          <w:lang w:val="en-US" w:eastAsia="zh-CN"/>
        </w:rPr>
        <w:t>3月6日，红原县妇联联合县司法局开展了“三八”维权周普法宣传活动。活动现场县司法局宣讲人员、姐妹宣讲团成员达热拉姆向参训的全县村（社区）妇联主席，从民法典新规定的婚姻法条款及如何运用法律来维护自己的合法权益、杜绝家庭暴力、建设平安家庭及如何预防新型肺炎知识等方面进行了详细的讲解，并现场为各妇女群众提供免费法律咨询服务。发放藏汉双语宣传资料200余份。</w:t>
      </w:r>
      <w:r>
        <w:rPr>
          <w:rFonts w:hint="eastAsia" w:ascii="仿宋_GB2312" w:hAnsi="仿宋_GB2312" w:eastAsia="仿宋_GB2312" w:cs="仿宋_GB2312"/>
          <w:b/>
          <w:bCs/>
          <w:i w:val="0"/>
          <w:caps w:val="0"/>
          <w:color w:val="auto"/>
          <w:spacing w:val="0"/>
          <w:sz w:val="32"/>
          <w:szCs w:val="32"/>
          <w:shd w:val="clear" w:color="auto" w:fill="FFFFFF"/>
          <w:lang w:val="en-US" w:eastAsia="zh-CN"/>
        </w:rPr>
        <w:t>三是</w:t>
      </w:r>
      <w:r>
        <w:rPr>
          <w:rFonts w:hint="eastAsia" w:ascii="仿宋_GB2312" w:hAnsi="仿宋_GB2312" w:eastAsia="仿宋_GB2312" w:cs="仿宋_GB2312"/>
          <w:i w:val="0"/>
          <w:caps w:val="0"/>
          <w:color w:val="auto"/>
          <w:spacing w:val="0"/>
          <w:kern w:val="2"/>
          <w:sz w:val="32"/>
          <w:szCs w:val="32"/>
          <w:shd w:val="clear" w:color="auto" w:fill="FFFFFF"/>
          <w:lang w:val="en-US" w:eastAsia="zh-CN" w:bidi="ar"/>
        </w:rPr>
        <w:t>联合阿坝州妇儿工委办、阿坝州妇联、阿坝州妇计中心、红原县妇幼保健院开展2021年“净土春晖送健康”——关爱高原母亲巡诊义诊活动，</w:t>
      </w:r>
      <w:r>
        <w:rPr>
          <w:rFonts w:hint="eastAsia" w:ascii="仿宋_GB2312" w:hAnsi="仿宋_GB2312" w:eastAsia="仿宋_GB2312" w:cs="仿宋_GB2312"/>
          <w:i w:val="0"/>
          <w:caps w:val="0"/>
          <w:color w:val="auto"/>
          <w:spacing w:val="0"/>
          <w:sz w:val="32"/>
          <w:szCs w:val="32"/>
          <w:shd w:val="clear" w:color="auto" w:fill="FFFFFF"/>
          <w:lang w:val="en-US" w:eastAsia="zh-CN"/>
        </w:rPr>
        <w:t>此次活动共计850余名妇女及儿童受益。</w:t>
      </w:r>
      <w:r>
        <w:rPr>
          <w:rFonts w:hint="eastAsia" w:ascii="仿宋_GB2312" w:hAnsi="仿宋_GB2312" w:eastAsia="仿宋_GB2312" w:cs="仿宋_GB2312"/>
          <w:b/>
          <w:bCs/>
          <w:i w:val="0"/>
          <w:caps w:val="0"/>
          <w:color w:val="auto"/>
          <w:spacing w:val="0"/>
          <w:sz w:val="32"/>
          <w:szCs w:val="32"/>
          <w:shd w:val="clear" w:color="auto" w:fill="FFFFFF"/>
          <w:lang w:val="en-US" w:eastAsia="zh-CN"/>
        </w:rPr>
        <w:t>四是</w:t>
      </w:r>
      <w:r>
        <w:rPr>
          <w:rFonts w:hint="eastAsia" w:ascii="仿宋_GB2312" w:hAnsi="仿宋_GB2312" w:eastAsia="仿宋_GB2312" w:cs="仿宋_GB2312"/>
          <w:sz w:val="32"/>
          <w:szCs w:val="32"/>
          <w:lang w:val="en-US" w:eastAsia="zh-CN"/>
        </w:rPr>
        <w:t>联合共青团红原县委开展了以“国家安全教育月 预防青少年违法犯罪”为主题的国家安全宣传教育活动，</w:t>
      </w:r>
      <w:r>
        <w:rPr>
          <w:rFonts w:hint="eastAsia" w:ascii="仿宋_GB2312" w:hAnsi="仿宋_GB2312" w:eastAsia="仿宋_GB2312" w:cs="仿宋_GB2312"/>
          <w:b w:val="0"/>
          <w:i w:val="0"/>
          <w:caps w:val="0"/>
          <w:color w:val="auto"/>
          <w:spacing w:val="15"/>
          <w:sz w:val="32"/>
          <w:szCs w:val="32"/>
          <w:shd w:val="clear" w:color="auto" w:fill="FFFFFF"/>
        </w:rPr>
        <w:t>营造</w:t>
      </w:r>
      <w:r>
        <w:rPr>
          <w:rFonts w:hint="eastAsia" w:ascii="仿宋_GB2312" w:hAnsi="仿宋_GB2312" w:eastAsia="仿宋_GB2312" w:cs="仿宋_GB2312"/>
          <w:b w:val="0"/>
          <w:i w:val="0"/>
          <w:caps w:val="0"/>
          <w:color w:val="auto"/>
          <w:spacing w:val="15"/>
          <w:sz w:val="32"/>
          <w:szCs w:val="32"/>
          <w:shd w:val="clear" w:color="auto" w:fill="FFFFFF"/>
          <w:lang w:val="en-US" w:eastAsia="zh-CN"/>
        </w:rPr>
        <w:t>了</w:t>
      </w:r>
      <w:r>
        <w:rPr>
          <w:rFonts w:hint="eastAsia" w:ascii="仿宋_GB2312" w:hAnsi="仿宋_GB2312" w:eastAsia="仿宋_GB2312" w:cs="仿宋_GB2312"/>
          <w:b w:val="0"/>
          <w:i w:val="0"/>
          <w:caps w:val="0"/>
          <w:color w:val="auto"/>
          <w:spacing w:val="15"/>
          <w:sz w:val="32"/>
          <w:szCs w:val="32"/>
          <w:shd w:val="clear" w:color="auto" w:fill="FFFFFF"/>
        </w:rPr>
        <w:t>全社会共同维护</w:t>
      </w:r>
      <w:r>
        <w:rPr>
          <w:rFonts w:hint="eastAsia" w:ascii="仿宋_GB2312" w:hAnsi="仿宋_GB2312" w:eastAsia="仿宋_GB2312" w:cs="仿宋_GB2312"/>
          <w:b w:val="0"/>
          <w:i w:val="0"/>
          <w:caps w:val="0"/>
          <w:color w:val="auto"/>
          <w:spacing w:val="15"/>
          <w:sz w:val="32"/>
          <w:szCs w:val="32"/>
          <w:shd w:val="clear" w:color="auto" w:fill="FFFFFF"/>
          <w:lang w:eastAsia="zh-CN"/>
        </w:rPr>
        <w:t>国家</w:t>
      </w:r>
      <w:r>
        <w:rPr>
          <w:rFonts w:hint="eastAsia" w:ascii="仿宋_GB2312" w:hAnsi="仿宋_GB2312" w:eastAsia="仿宋_GB2312" w:cs="仿宋_GB2312"/>
          <w:b w:val="0"/>
          <w:i w:val="0"/>
          <w:caps w:val="0"/>
          <w:color w:val="auto"/>
          <w:spacing w:val="15"/>
          <w:sz w:val="32"/>
          <w:szCs w:val="32"/>
          <w:shd w:val="clear" w:color="auto" w:fill="FFFFFF"/>
        </w:rPr>
        <w:t>安全</w:t>
      </w:r>
      <w:r>
        <w:rPr>
          <w:rFonts w:hint="eastAsia" w:ascii="仿宋_GB2312" w:hAnsi="仿宋_GB2312" w:eastAsia="仿宋_GB2312" w:cs="仿宋_GB2312"/>
          <w:b w:val="0"/>
          <w:i w:val="0"/>
          <w:caps w:val="0"/>
          <w:color w:val="auto"/>
          <w:spacing w:val="15"/>
          <w:sz w:val="32"/>
          <w:szCs w:val="32"/>
          <w:shd w:val="clear" w:color="auto" w:fill="FFFFFF"/>
          <w:lang w:eastAsia="zh-CN"/>
        </w:rPr>
        <w:t>、</w:t>
      </w:r>
      <w:r>
        <w:rPr>
          <w:rFonts w:hint="eastAsia" w:ascii="仿宋_GB2312" w:hAnsi="仿宋_GB2312" w:eastAsia="仿宋_GB2312" w:cs="仿宋_GB2312"/>
          <w:b w:val="0"/>
          <w:i w:val="0"/>
          <w:caps w:val="0"/>
          <w:color w:val="auto"/>
          <w:spacing w:val="15"/>
          <w:sz w:val="32"/>
          <w:szCs w:val="32"/>
          <w:shd w:val="clear" w:color="auto" w:fill="FFFFFF"/>
          <w:lang w:val="en-US" w:eastAsia="zh-CN"/>
        </w:rPr>
        <w:t>维护</w:t>
      </w:r>
      <w:r>
        <w:rPr>
          <w:rFonts w:hint="eastAsia" w:ascii="仿宋_GB2312" w:hAnsi="仿宋_GB2312" w:eastAsia="仿宋_GB2312" w:cs="仿宋_GB2312"/>
          <w:b w:val="0"/>
          <w:i w:val="0"/>
          <w:caps w:val="0"/>
          <w:color w:val="auto"/>
          <w:spacing w:val="15"/>
          <w:sz w:val="32"/>
          <w:szCs w:val="32"/>
          <w:shd w:val="clear" w:color="auto" w:fill="FFFFFF"/>
          <w:lang w:eastAsia="zh-CN"/>
        </w:rPr>
        <w:t>未成年人健康成长</w:t>
      </w:r>
      <w:r>
        <w:rPr>
          <w:rFonts w:hint="eastAsia" w:ascii="仿宋_GB2312" w:hAnsi="仿宋_GB2312" w:eastAsia="仿宋_GB2312" w:cs="仿宋_GB2312"/>
          <w:b w:val="0"/>
          <w:i w:val="0"/>
          <w:caps w:val="0"/>
          <w:color w:val="auto"/>
          <w:spacing w:val="15"/>
          <w:sz w:val="32"/>
          <w:szCs w:val="32"/>
          <w:shd w:val="clear" w:color="auto" w:fill="FFFFFF"/>
        </w:rPr>
        <w:t>的良好氛围。</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i w:val="0"/>
          <w:caps w:val="0"/>
          <w:color w:val="auto"/>
          <w:spacing w:val="0"/>
          <w:sz w:val="32"/>
          <w:szCs w:val="32"/>
          <w:shd w:val="clear" w:color="auto" w:fill="FFFFFF"/>
          <w:lang w:val="en-US" w:eastAsia="zh-CN"/>
        </w:rPr>
        <w:t>是</w:t>
      </w:r>
      <w:r>
        <w:rPr>
          <w:rFonts w:hint="eastAsia" w:ascii="仿宋_GB2312" w:hAnsi="仿宋_GB2312" w:eastAsia="仿宋_GB2312" w:cs="仿宋_GB2312"/>
          <w:sz w:val="32"/>
          <w:szCs w:val="32"/>
          <w:lang w:val="en-US" w:eastAsia="zh-CN"/>
        </w:rPr>
        <w:t>联合邛溪镇易地育人寄宿制小学、希望小学为800女同学们开展了以“认识自我 拥抱青春”为主题的青春期教育专题讲座。引领</w:t>
      </w:r>
      <w:r>
        <w:rPr>
          <w:rFonts w:hint="eastAsia" w:ascii="仿宋_GB2312" w:hAnsi="仿宋_GB2312" w:eastAsia="仿宋_GB2312" w:cs="仿宋_GB2312"/>
          <w:kern w:val="2"/>
          <w:sz w:val="32"/>
          <w:szCs w:val="32"/>
          <w:lang w:val="en-US" w:eastAsia="zh-CN"/>
        </w:rPr>
        <w:t>正处于青春期的女同学们，要做到了解自己，爱护自己，相信自己，证明自己，改变自己，做自爱自信的女孩，</w:t>
      </w:r>
      <w:r>
        <w:rPr>
          <w:rFonts w:hint="eastAsia" w:ascii="仿宋_GB2312" w:hAnsi="仿宋_GB2312" w:eastAsia="仿宋_GB2312" w:cs="仿宋_GB2312"/>
          <w:b/>
          <w:bCs/>
          <w:kern w:val="2"/>
          <w:sz w:val="32"/>
          <w:szCs w:val="32"/>
          <w:lang w:val="en-US" w:eastAsia="zh-CN"/>
        </w:rPr>
        <w:t>六</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kern w:val="2"/>
          <w:sz w:val="32"/>
          <w:szCs w:val="32"/>
          <w:lang w:val="en-US" w:eastAsia="zh-CN"/>
        </w:rPr>
        <w:t>为更好地关心关爱留守女童，在红原县</w:t>
      </w:r>
      <w:r>
        <w:rPr>
          <w:rFonts w:hint="eastAsia" w:ascii="仿宋_GB2312" w:hAnsi="仿宋_GB2312" w:eastAsia="仿宋_GB2312" w:cs="仿宋_GB2312"/>
          <w:sz w:val="32"/>
          <w:szCs w:val="32"/>
          <w:lang w:val="en-US" w:eastAsia="zh-CN"/>
        </w:rPr>
        <w:t>邛溪镇易地育人寄宿制小学、希望小学建立了“关注青春 关爱女孩”爱心小屋。告知她们</w:t>
      </w:r>
      <w:r>
        <w:rPr>
          <w:rFonts w:hint="eastAsia" w:ascii="仿宋_GB2312" w:hAnsi="仿宋_GB2312" w:eastAsia="仿宋_GB2312" w:cs="仿宋_GB2312"/>
          <w:kern w:val="2"/>
          <w:sz w:val="32"/>
          <w:szCs w:val="32"/>
          <w:lang w:val="en-US" w:eastAsia="zh-CN"/>
        </w:rPr>
        <w:t>面对首次“突发情况”不用烦恼，这些都是青春期的心路历程，是成长的必经之路。要学会保持开朗乐观的心态，正视自己的身体变化，正确评价与他人的差异，平静对待学习和生活。</w:t>
      </w:r>
      <w:r>
        <w:rPr>
          <w:rFonts w:hint="eastAsia" w:ascii="仿宋_GB2312" w:hAnsi="仿宋_GB2312" w:eastAsia="仿宋_GB2312" w:cs="仿宋_GB2312"/>
          <w:b/>
          <w:bCs/>
          <w:kern w:val="2"/>
          <w:sz w:val="32"/>
          <w:szCs w:val="32"/>
          <w:lang w:val="en-US" w:eastAsia="zh-CN"/>
        </w:rPr>
        <w:t>七</w:t>
      </w:r>
      <w:r>
        <w:rPr>
          <w:rFonts w:hint="eastAsia" w:ascii="仿宋_GB2312" w:hAnsi="仿宋_GB2312" w:eastAsia="仿宋_GB2312" w:cs="仿宋_GB2312"/>
          <w:b/>
          <w:bCs/>
          <w:sz w:val="32"/>
          <w:szCs w:val="32"/>
          <w:lang w:val="en-US" w:eastAsia="zh-CN"/>
        </w:rPr>
        <w:t>是</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为</w:t>
      </w:r>
      <w:r>
        <w:rPr>
          <w:rFonts w:hint="eastAsia" w:ascii="仿宋_GB2312" w:eastAsia="仿宋_GB2312"/>
          <w:sz w:val="32"/>
          <w:szCs w:val="32"/>
        </w:rPr>
        <w:t>全面落实中央、省州关于未成年人思想道德建设工作的重要部署，我会利用“六一”国际儿童节为契机，</w:t>
      </w:r>
      <w:r>
        <w:rPr>
          <w:rFonts w:hint="eastAsia" w:ascii="仿宋_GB2312" w:eastAsia="仿宋_GB2312"/>
          <w:sz w:val="32"/>
          <w:szCs w:val="32"/>
          <w:lang w:val="en-US" w:eastAsia="zh-CN"/>
        </w:rPr>
        <w:t>5月31日至</w:t>
      </w:r>
      <w:r>
        <w:rPr>
          <w:rFonts w:hint="eastAsia" w:ascii="仿宋_GB2312" w:eastAsia="仿宋_GB2312"/>
          <w:sz w:val="32"/>
          <w:szCs w:val="32"/>
        </w:rPr>
        <w:t>6月1日，组织全体</w:t>
      </w:r>
      <w:r>
        <w:rPr>
          <w:rFonts w:hint="eastAsia" w:ascii="仿宋_GB2312" w:eastAsia="仿宋_GB2312"/>
          <w:sz w:val="32"/>
          <w:szCs w:val="32"/>
          <w:lang w:val="en-US" w:eastAsia="zh-CN"/>
        </w:rPr>
        <w:t>干部</w:t>
      </w:r>
      <w:r>
        <w:rPr>
          <w:rFonts w:hint="eastAsia" w:ascii="仿宋_GB2312" w:eastAsia="仿宋_GB2312"/>
          <w:sz w:val="32"/>
          <w:szCs w:val="32"/>
        </w:rPr>
        <w:t>职工到</w:t>
      </w:r>
      <w:r>
        <w:rPr>
          <w:rFonts w:hint="eastAsia" w:ascii="仿宋_GB2312" w:eastAsia="仿宋_GB2312"/>
          <w:sz w:val="32"/>
          <w:szCs w:val="32"/>
          <w:lang w:val="en-US" w:eastAsia="zh-CN"/>
        </w:rPr>
        <w:t>县城周边</w:t>
      </w:r>
      <w:r>
        <w:rPr>
          <w:rFonts w:hint="eastAsia" w:ascii="仿宋_GB2312" w:eastAsia="仿宋_GB2312"/>
          <w:sz w:val="32"/>
          <w:szCs w:val="32"/>
        </w:rPr>
        <w:t>学校为小朋友们送去节日的问候</w:t>
      </w:r>
      <w:r>
        <w:rPr>
          <w:rFonts w:hint="eastAsia" w:ascii="仿宋_GB2312" w:eastAsia="仿宋_GB2312"/>
          <w:sz w:val="32"/>
          <w:szCs w:val="32"/>
          <w:lang w:val="en-US" w:eastAsia="zh-CN"/>
        </w:rPr>
        <w:t>及祝福</w:t>
      </w:r>
      <w:r>
        <w:rPr>
          <w:rFonts w:hint="eastAsia" w:ascii="仿宋_GB2312" w:eastAsia="仿宋_GB2312"/>
          <w:sz w:val="32"/>
          <w:szCs w:val="32"/>
          <w:lang w:eastAsia="zh-CN"/>
        </w:rPr>
        <w:t>。</w:t>
      </w:r>
      <w:r>
        <w:rPr>
          <w:rFonts w:hint="eastAsia" w:ascii="仿宋_GB2312" w:eastAsia="仿宋_GB2312"/>
          <w:b/>
          <w:bCs/>
          <w:sz w:val="32"/>
          <w:szCs w:val="32"/>
          <w:lang w:val="en-US" w:eastAsia="zh-CN"/>
        </w:rPr>
        <w:t>八是</w:t>
      </w:r>
      <w:r>
        <w:rPr>
          <w:rFonts w:hint="eastAsia" w:ascii="仿宋_GB2312" w:hAnsi="仿宋_GB2312" w:eastAsia="仿宋_GB2312" w:cs="仿宋_GB2312"/>
          <w:sz w:val="32"/>
          <w:szCs w:val="32"/>
          <w:u w:val="none"/>
          <w:lang w:val="en-US" w:eastAsia="zh-CN"/>
        </w:rPr>
        <w:t>为落实国家、省、州妇儿工委相关工作要求和安排部署，进一步做好红原县妇女儿童发展纲要（2011-2020年）终期评估工作，4月22日-24日，阿坝州妇联副主席、州政府妇儿工委办常务副主任陈英同志率州“两纲”终期调研检查组赴红原县调研检查“两纲”工作实施情况。</w:t>
      </w:r>
      <w:r>
        <w:rPr>
          <w:rFonts w:hint="eastAsia" w:ascii="仿宋_GB2312" w:eastAsia="仿宋_GB2312"/>
          <w:b/>
          <w:bCs/>
          <w:color w:val="auto"/>
          <w:sz w:val="32"/>
          <w:lang w:val="en-US" w:eastAsia="zh-CN"/>
        </w:rPr>
        <w:t>九是</w:t>
      </w:r>
      <w:r>
        <w:rPr>
          <w:rFonts w:hint="eastAsia" w:ascii="仿宋_GB2312" w:eastAsia="仿宋_GB2312"/>
          <w:b w:val="0"/>
          <w:bCs w:val="0"/>
          <w:color w:val="auto"/>
          <w:sz w:val="32"/>
          <w:lang w:val="en-US" w:eastAsia="zh-CN"/>
        </w:rPr>
        <w:t>积极争取</w:t>
      </w:r>
      <w:r>
        <w:rPr>
          <w:rFonts w:hint="eastAsia" w:ascii="仿宋_GB2312" w:hAnsi="微软雅黑" w:eastAsia="仿宋_GB2312" w:cs="Times New Roman"/>
          <w:color w:val="000000"/>
          <w:kern w:val="2"/>
          <w:sz w:val="32"/>
          <w:szCs w:val="32"/>
          <w:lang w:val="en-US" w:eastAsia="zh-CN" w:bidi="ar-SA"/>
        </w:rPr>
        <w:t>中国儿童少年基金会“艾多美慈善教育项目”，</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为麦洼乡小学共赠了65寸教学一体机+</w:t>
      </w:r>
      <w:r>
        <w:rPr>
          <w:rFonts w:hint="eastAsia" w:ascii="仿宋_GB2312" w:hAnsi="仿宋_GB2312" w:eastAsia="仿宋_GB2312" w:cs="仿宋_GB2312"/>
          <w:sz w:val="32"/>
          <w:szCs w:val="32"/>
          <w:lang w:val="en-US" w:eastAsia="zh-CN"/>
        </w:rPr>
        <w:t>推拉绿板、学生课桌椅、儿童图书、学生书包、体育用品等共计价值25.7万元。</w:t>
      </w:r>
      <w:r>
        <w:rPr>
          <w:rFonts w:hint="eastAsia" w:ascii="仿宋_GB2312" w:hAnsi="仿宋_GB2312" w:eastAsia="仿宋_GB2312" w:cs="仿宋_GB2312"/>
          <w:b/>
          <w:bCs/>
          <w:sz w:val="32"/>
          <w:szCs w:val="32"/>
          <w:lang w:val="en-US" w:eastAsia="zh-CN"/>
        </w:rPr>
        <w:t>十是</w:t>
      </w:r>
      <w:r>
        <w:rPr>
          <w:rFonts w:hint="eastAsia" w:ascii="仿宋_GB2312" w:hAnsi="仿宋_GB2312" w:eastAsia="仿宋_GB2312" w:cs="仿宋_GB2312"/>
          <w:sz w:val="32"/>
          <w:szCs w:val="32"/>
          <w:lang w:val="en-US" w:eastAsia="zh-CN"/>
        </w:rPr>
        <w:t>由阿坝州委统战部、州工商联、州妇联联合四川省光彩事业促进会、成都阿坝州商会、四川欧美同学会留美分会、四川同心同德服务队等爱心企业和公益组织共同发起“同心促发展·光彩阿坝行”系列活动之“净土春晖 关爱阿坝州妇女儿童”活动走进红原县邛溪镇易地育人寄宿制学校开展关心关爱儿童活动。此次活动为10名困难家庭女生发放每人1000元的助学金及一批价值2万余元的卫生用品。</w:t>
      </w:r>
      <w:r>
        <w:rPr>
          <w:rFonts w:hint="eastAsia" w:ascii="仿宋_GB2312" w:hAnsi="仿宋_GB2312" w:eastAsia="仿宋_GB2312" w:cs="仿宋_GB2312"/>
          <w:b/>
          <w:bCs/>
          <w:sz w:val="32"/>
          <w:szCs w:val="32"/>
          <w:lang w:val="en-US" w:eastAsia="zh-CN"/>
        </w:rPr>
        <w:t>十一是</w:t>
      </w:r>
      <w:r>
        <w:rPr>
          <w:rFonts w:hint="eastAsia" w:ascii="仿宋_GB2312" w:hAnsi="仿宋_GB2312" w:eastAsia="仿宋_GB2312" w:cs="仿宋_GB2312"/>
          <w:kern w:val="2"/>
          <w:sz w:val="32"/>
          <w:szCs w:val="24"/>
          <w:u w:val="none"/>
          <w:lang w:val="en-US" w:eastAsia="zh-CN" w:bidi="ar-SA"/>
        </w:rPr>
        <w:t>若尔盖“高原之宝”公司为我县孕产妈妈们捐赠了价值109440元的孕产妇专用奶粉，希望通过饮用孕妇奶粉，增加孕产妈妈的营养，助力胎儿健康成长。</w:t>
      </w:r>
      <w:r>
        <w:rPr>
          <w:rFonts w:hint="eastAsia" w:ascii="仿宋_GB2312" w:hAnsi="仿宋_GB2312" w:eastAsia="仿宋_GB2312" w:cs="仿宋_GB2312"/>
          <w:b/>
          <w:bCs/>
          <w:kern w:val="2"/>
          <w:sz w:val="32"/>
          <w:szCs w:val="24"/>
          <w:u w:val="none"/>
          <w:lang w:val="en-US" w:eastAsia="zh-CN" w:bidi="ar-SA"/>
        </w:rPr>
        <w:t>十二是</w:t>
      </w:r>
      <w:r>
        <w:rPr>
          <w:rFonts w:hint="eastAsia" w:ascii="仿宋_GB2312" w:hAnsi="仿宋_GB2312" w:eastAsia="仿宋_GB2312" w:cs="仿宋_GB2312"/>
          <w:sz w:val="32"/>
          <w:szCs w:val="32"/>
          <w:lang w:val="en-US" w:eastAsia="zh-CN"/>
        </w:rPr>
        <w:t>中粮信托赴我县开展“净土阿坝·红色草原”爱心帮扶活动，为我县6名退役军人送去慰问金6000元及价值4800元的慰问物资，为我县10户</w:t>
      </w:r>
      <w:r>
        <w:rPr>
          <w:rFonts w:hint="eastAsia" w:ascii="仿宋_GB2312" w:hAnsi="仿宋_GB2312" w:eastAsia="仿宋_GB2312" w:cs="仿宋_GB2312"/>
          <w:kern w:val="2"/>
          <w:sz w:val="32"/>
          <w:szCs w:val="32"/>
          <w:lang w:val="en-US" w:eastAsia="zh-CN" w:bidi="ar-SA"/>
        </w:rPr>
        <w:t>单亲困境母亲及家庭送去慰问金2万元及价值1万元的生活用品，同时，深入红原县麦洼乡中心校开展助学关爱活动，为全校学生发放帽子、围巾、手套和棉服羽绒服700套，捐赠足球篮球、滑梯蹦床等文体教学用具10余种，牛奶等各式饮品1200余箱。</w:t>
      </w:r>
      <w:r>
        <w:rPr>
          <w:rFonts w:hint="eastAsia" w:ascii="仿宋_GB2312" w:hAnsi="仿宋_GB2312" w:eastAsia="仿宋_GB2312" w:cs="仿宋_GB2312"/>
          <w:b/>
          <w:bCs/>
          <w:kern w:val="2"/>
          <w:sz w:val="32"/>
          <w:szCs w:val="32"/>
          <w:lang w:val="en-US" w:eastAsia="zh-CN" w:bidi="ar-SA"/>
        </w:rPr>
        <w:t>十三是</w:t>
      </w:r>
      <w:r>
        <w:rPr>
          <w:rFonts w:hint="eastAsia" w:ascii="仿宋_GB2312" w:hAnsi="仿宋_GB2312" w:eastAsia="仿宋_GB2312" w:cs="仿宋_GB2312"/>
          <w:kern w:val="2"/>
          <w:sz w:val="32"/>
          <w:szCs w:val="32"/>
          <w:lang w:val="en-US" w:eastAsia="zh-CN" w:bidi="ar-SA"/>
        </w:rPr>
        <w:t>积极争取援建帮扶资金为我县166名困难单亲母亲、患病妇女、患病儿童发放困难救助金19.2万元。</w:t>
      </w:r>
    </w:p>
    <w:p>
      <w:pPr>
        <w:keepNext w:val="0"/>
        <w:keepLines w:val="0"/>
        <w:pageBreakBefore w:val="0"/>
        <w:widowControl w:val="0"/>
        <w:kinsoku/>
        <w:wordWrap/>
        <w:overflowPunct/>
        <w:topLinePunct w:val="0"/>
        <w:autoSpaceDE/>
        <w:autoSpaceDN/>
        <w:bidi w:val="0"/>
        <w:spacing w:line="560" w:lineRule="exact"/>
        <w:ind w:right="0" w:rightChars="0" w:firstLine="642"/>
        <w:textAlignment w:val="auto"/>
        <w:outlineLvl w:val="9"/>
        <w:rPr>
          <w:rFonts w:hint="eastAsia" w:ascii="楷体_GB2312" w:hAnsi="楷体_GB2312" w:eastAsia="楷体_GB2312" w:cs="楷体_GB2312"/>
          <w:b/>
          <w:bCs/>
          <w:color w:val="auto"/>
          <w:sz w:val="32"/>
          <w:szCs w:val="22"/>
          <w:shd w:val="clear" w:color="auto" w:fill="FFFFFF"/>
          <w:lang w:val="en-US" w:eastAsia="zh-CN"/>
        </w:rPr>
      </w:pPr>
      <w:r>
        <w:rPr>
          <w:rFonts w:hint="eastAsia" w:ascii="楷体_GB2312" w:hAnsi="楷体_GB2312" w:eastAsia="楷体_GB2312" w:cs="楷体_GB2312"/>
          <w:b/>
          <w:bCs/>
          <w:color w:val="auto"/>
          <w:sz w:val="32"/>
          <w:szCs w:val="22"/>
          <w:shd w:val="clear" w:color="auto" w:fill="FFFFFF"/>
          <w:lang w:val="en-US" w:eastAsia="zh-CN"/>
        </w:rPr>
        <w:t>（三）围绕妇女和家庭，促进红原新民风建设</w:t>
      </w:r>
    </w:p>
    <w:p>
      <w:pPr>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b/>
          <w:sz w:val="32"/>
          <w:szCs w:val="22"/>
          <w:lang w:val="en-US" w:eastAsia="zh-CN"/>
        </w:rPr>
      </w:pPr>
      <w:r>
        <w:rPr>
          <w:rFonts w:hint="eastAsia" w:ascii="仿宋_GB2312" w:hAnsi="仿宋_GB2312" w:eastAsia="仿宋_GB2312" w:cs="仿宋_GB2312"/>
          <w:sz w:val="32"/>
          <w:szCs w:val="32"/>
          <w:lang w:val="en-US" w:eastAsia="zh-CN"/>
        </w:rPr>
        <w:t>为深化做实“乡村振兴巾帼行动”，将其贯穿融入家庭、家教、家风建设的</w:t>
      </w:r>
      <w:r>
        <w:rPr>
          <w:rFonts w:hint="eastAsia" w:ascii="仿宋_GB2312" w:hAnsi="仿宋_GB2312" w:eastAsia="仿宋_GB2312" w:cs="仿宋_GB2312"/>
          <w:sz w:val="32"/>
          <w:szCs w:val="32"/>
          <w:u w:val="none"/>
          <w:lang w:val="en-US" w:eastAsia="zh-CN"/>
        </w:rPr>
        <w:t>全过程和各方面，做到日常经常平常、落细落小落实。</w:t>
      </w:r>
      <w:r>
        <w:rPr>
          <w:rFonts w:hint="eastAsia" w:ascii="仿宋_GB2312" w:hAnsi="仿宋_GB2312" w:eastAsia="仿宋_GB2312" w:cs="仿宋_GB2312"/>
          <w:b/>
          <w:bCs/>
          <w:sz w:val="32"/>
          <w:szCs w:val="32"/>
          <w:u w:val="none"/>
          <w:lang w:val="en-US" w:eastAsia="zh-CN"/>
        </w:rPr>
        <w:t>一是</w:t>
      </w:r>
      <w:r>
        <w:rPr>
          <w:rFonts w:hint="eastAsia" w:ascii="仿宋_GB2312" w:hAnsi="仿宋_GB2312" w:eastAsia="仿宋_GB2312" w:cs="仿宋_GB2312"/>
          <w:sz w:val="32"/>
          <w:szCs w:val="32"/>
          <w:u w:val="none"/>
          <w:lang w:val="en-US" w:eastAsia="zh-CN"/>
        </w:rPr>
        <w:t>县妇联组织“姐妹宣讲团”成员深入安曲镇、麦洼乡、色地镇、邛溪镇等开展“文明草原、幸福家庭”等家庭健康宣讲活动，引导妇女带动家庭成员“除陋习、树新风”，自觉践行“敬信勤新”红原新民风。</w:t>
      </w:r>
      <w:r>
        <w:rPr>
          <w:rFonts w:hint="eastAsia" w:ascii="仿宋_GB2312" w:hAnsi="仿宋_GB2312" w:eastAsia="仿宋_GB2312" w:cs="仿宋_GB2312"/>
          <w:b/>
          <w:bCs/>
          <w:sz w:val="32"/>
          <w:szCs w:val="32"/>
          <w:u w:val="none"/>
          <w:lang w:val="en-US" w:eastAsia="zh-CN"/>
        </w:rPr>
        <w:t>二是</w:t>
      </w:r>
      <w:r>
        <w:rPr>
          <w:rFonts w:hint="eastAsia" w:ascii="仿宋_GB2312" w:hAnsi="仿宋_GB2312" w:eastAsia="仿宋_GB2312" w:cs="仿宋_GB2312"/>
          <w:sz w:val="32"/>
          <w:szCs w:val="32"/>
          <w:u w:val="none"/>
          <w:lang w:val="en-US" w:eastAsia="zh-CN"/>
        </w:rPr>
        <w:t>联合县文明办在全县范围内广泛开展红原县2021年寻找“最美家庭”活动，在全县广大家庭和妇女中兴起培育“敬信勤新”红原新民风的浓厚氛围。</w:t>
      </w:r>
      <w:r>
        <w:rPr>
          <w:rFonts w:hint="eastAsia" w:ascii="仿宋_GB2312" w:hAnsi="仿宋_GB2312" w:eastAsia="仿宋_GB2312" w:cs="仿宋_GB2312"/>
          <w:b/>
          <w:bCs/>
          <w:sz w:val="32"/>
          <w:szCs w:val="32"/>
          <w:u w:val="none"/>
          <w:lang w:val="en-US" w:eastAsia="zh-CN"/>
        </w:rPr>
        <w:t>三是</w:t>
      </w:r>
      <w:r>
        <w:rPr>
          <w:rFonts w:hint="eastAsia" w:ascii="仿宋_GB2312" w:hAnsi="仿宋_GB2312" w:eastAsia="仿宋_GB2312" w:cs="仿宋_GB2312"/>
          <w:sz w:val="32"/>
          <w:szCs w:val="32"/>
          <w:u w:val="none"/>
          <w:lang w:val="en-US" w:eastAsia="zh-CN"/>
        </w:rPr>
        <w:t>为充分发挥家庭、家风在清廉建设中的独特作用，县妇联联合县纪委监委组织全县300余名党员干部及家属开展“阳光红原 清廉万家”家庭助廉警示教育活动，活动组织参会人员进行“树清廉家风 立崇廉家规”签名活动、发放《家庭助廉倡议书》、联合移动公司向广大党员干部及家属发送以“国无廉不安，家无廉不宁。把廉洁作为内化于心的家庭文化，外化于行的行动自觉，不断强化家庭成员廉洁意识、法律意识，切实筑起预防腐败的家庭防线。”的家庭助廉温馨提示短信。</w:t>
      </w:r>
      <w:r>
        <w:rPr>
          <w:rFonts w:hint="eastAsia" w:ascii="仿宋_GB2312" w:hAnsi="仿宋_GB2312" w:eastAsia="仿宋_GB2312" w:cs="仿宋_GB2312"/>
          <w:b/>
          <w:bCs/>
          <w:sz w:val="32"/>
          <w:szCs w:val="32"/>
          <w:u w:val="none"/>
          <w:lang w:val="en-US" w:eastAsia="zh-CN"/>
        </w:rPr>
        <w:t>四是</w:t>
      </w:r>
      <w:r>
        <w:rPr>
          <w:rFonts w:hint="eastAsia" w:ascii="仿宋_GB2312" w:hAnsi="仿宋_GB2312" w:eastAsia="仿宋_GB2312" w:cs="仿宋_GB2312"/>
          <w:sz w:val="32"/>
          <w:szCs w:val="32"/>
          <w:u w:val="none"/>
          <w:lang w:val="en-US" w:eastAsia="zh-CN"/>
        </w:rPr>
        <w:t>为深入贯彻落实习近平总书记关于家庭建设和家庭工作的重要指示精神，</w:t>
      </w:r>
      <w:r>
        <w:rPr>
          <w:rFonts w:hint="default" w:ascii="仿宋_GB2312" w:hAnsi="仿宋_GB2312" w:eastAsia="仿宋_GB2312" w:cs="仿宋_GB2312"/>
          <w:sz w:val="32"/>
          <w:szCs w:val="32"/>
          <w:u w:val="none"/>
          <w:lang w:val="en-US" w:eastAsia="zh-CN"/>
        </w:rPr>
        <w:t>落实好党史学习教育活动中“我为群众办实事”</w:t>
      </w:r>
      <w:r>
        <w:rPr>
          <w:rFonts w:hint="eastAsia" w:ascii="仿宋_GB2312" w:hAnsi="仿宋_GB2312" w:eastAsia="仿宋_GB2312" w:cs="仿宋_GB2312"/>
          <w:sz w:val="32"/>
          <w:szCs w:val="32"/>
          <w:u w:val="none"/>
          <w:lang w:val="en-US" w:eastAsia="zh-CN"/>
        </w:rPr>
        <w:t>的</w:t>
      </w:r>
      <w:r>
        <w:rPr>
          <w:rFonts w:hint="default" w:ascii="仿宋_GB2312" w:hAnsi="仿宋_GB2312" w:eastAsia="仿宋_GB2312" w:cs="仿宋_GB2312"/>
          <w:sz w:val="32"/>
          <w:szCs w:val="32"/>
          <w:u w:val="none"/>
          <w:lang w:val="en-US" w:eastAsia="zh-CN"/>
        </w:rPr>
        <w:t>要求</w:t>
      </w:r>
      <w:r>
        <w:rPr>
          <w:rFonts w:hint="eastAsia" w:ascii="仿宋_GB2312" w:hAnsi="仿宋_GB2312" w:eastAsia="仿宋_GB2312" w:cs="仿宋_GB2312"/>
          <w:sz w:val="32"/>
          <w:szCs w:val="32"/>
          <w:u w:val="none"/>
          <w:lang w:val="en-US" w:eastAsia="zh-CN"/>
        </w:rPr>
        <w:t>。协助</w:t>
      </w:r>
      <w:r>
        <w:rPr>
          <w:rFonts w:hint="default" w:ascii="仿宋_GB2312" w:hAnsi="仿宋_GB2312" w:eastAsia="仿宋_GB2312" w:cs="仿宋_GB2312"/>
          <w:sz w:val="32"/>
          <w:szCs w:val="32"/>
          <w:u w:val="none"/>
          <w:lang w:val="en-US" w:eastAsia="zh-CN"/>
        </w:rPr>
        <w:t>阿坝州妇联</w:t>
      </w:r>
      <w:r>
        <w:rPr>
          <w:rFonts w:hint="eastAsia" w:ascii="仿宋_GB2312" w:hAnsi="仿宋_GB2312" w:eastAsia="仿宋_GB2312" w:cs="仿宋_GB2312"/>
          <w:sz w:val="32"/>
          <w:szCs w:val="32"/>
          <w:u w:val="none"/>
          <w:lang w:val="en-US" w:eastAsia="zh-CN"/>
        </w:rPr>
        <w:t>开展</w:t>
      </w:r>
      <w:r>
        <w:rPr>
          <w:rFonts w:hint="default" w:ascii="仿宋_GB2312" w:hAnsi="仿宋_GB2312" w:eastAsia="仿宋_GB2312" w:cs="仿宋_GB2312"/>
          <w:sz w:val="32"/>
          <w:szCs w:val="32"/>
          <w:u w:val="none"/>
          <w:lang w:val="en-US" w:eastAsia="zh-CN"/>
        </w:rPr>
        <w:t>“家庭心向党，奋斗新征程”--黑籽儿科学家教感恩回馈巡讲活动走进</w:t>
      </w:r>
      <w:r>
        <w:rPr>
          <w:rFonts w:hint="eastAsia" w:ascii="仿宋_GB2312" w:hAnsi="仿宋_GB2312" w:eastAsia="仿宋_GB2312" w:cs="仿宋_GB2312"/>
          <w:sz w:val="32"/>
          <w:szCs w:val="32"/>
          <w:u w:val="none"/>
          <w:lang w:val="en-US" w:eastAsia="zh-CN"/>
        </w:rPr>
        <w:t>红原</w:t>
      </w:r>
      <w:r>
        <w:rPr>
          <w:rFonts w:hint="default" w:ascii="仿宋_GB2312" w:hAnsi="仿宋_GB2312" w:eastAsia="仿宋_GB2312" w:cs="仿宋_GB2312"/>
          <w:sz w:val="32"/>
          <w:szCs w:val="32"/>
          <w:u w:val="none"/>
          <w:lang w:val="en-US" w:eastAsia="zh-CN"/>
        </w:rPr>
        <w:t>县</w:t>
      </w:r>
      <w:r>
        <w:rPr>
          <w:rFonts w:hint="eastAsia" w:ascii="仿宋_GB2312" w:hAnsi="仿宋_GB2312" w:eastAsia="仿宋_GB2312" w:cs="仿宋_GB2312"/>
          <w:sz w:val="32"/>
          <w:szCs w:val="32"/>
          <w:u w:val="none"/>
          <w:lang w:val="en-US" w:eastAsia="zh-CN"/>
        </w:rPr>
        <w:t>活动</w:t>
      </w:r>
      <w:r>
        <w:rPr>
          <w:rFonts w:hint="default" w:ascii="仿宋_GB2312" w:hAnsi="仿宋_GB2312" w:eastAsia="仿宋_GB2312" w:cs="仿宋_GB2312"/>
          <w:sz w:val="32"/>
          <w:szCs w:val="32"/>
          <w:u w:val="none"/>
          <w:lang w:val="en-US" w:eastAsia="zh-CN"/>
        </w:rPr>
        <w:t>。</w:t>
      </w:r>
      <w:r>
        <w:rPr>
          <w:rFonts w:hint="eastAsia" w:ascii="仿宋_GB2312" w:hAnsi="仿宋_GB2312" w:eastAsia="仿宋_GB2312" w:cs="仿宋_GB2312"/>
          <w:b/>
          <w:bCs/>
          <w:sz w:val="32"/>
          <w:szCs w:val="32"/>
          <w:u w:val="none"/>
          <w:lang w:val="en-US" w:eastAsia="zh-CN"/>
        </w:rPr>
        <w:t>五是</w:t>
      </w:r>
      <w:r>
        <w:rPr>
          <w:rFonts w:hint="eastAsia" w:ascii="仿宋_GB2312" w:hAnsi="仿宋_GB2312" w:eastAsia="仿宋_GB2312" w:cs="仿宋_GB2312"/>
          <w:sz w:val="32"/>
          <w:szCs w:val="32"/>
          <w:u w:val="none"/>
          <w:lang w:val="en-US" w:eastAsia="zh-CN"/>
        </w:rPr>
        <w:t>联合县教育局还开展了</w:t>
      </w:r>
      <w:r>
        <w:rPr>
          <w:rFonts w:hint="default" w:ascii="仿宋_GB2312" w:hAnsi="仿宋_GB2312" w:eastAsia="仿宋_GB2312" w:cs="仿宋_GB2312"/>
          <w:sz w:val="32"/>
          <w:szCs w:val="32"/>
          <w:u w:val="none"/>
          <w:lang w:val="en-US" w:eastAsia="zh-CN"/>
        </w:rPr>
        <w:t>“做智慧父母，育优秀子女”</w:t>
      </w:r>
      <w:r>
        <w:rPr>
          <w:rFonts w:hint="eastAsia" w:ascii="仿宋_GB2312" w:hAnsi="仿宋_GB2312" w:eastAsia="仿宋_GB2312" w:cs="仿宋_GB2312"/>
          <w:sz w:val="32"/>
          <w:szCs w:val="32"/>
          <w:u w:val="none"/>
          <w:lang w:val="en-US" w:eastAsia="zh-CN"/>
        </w:rPr>
        <w:t>；【为群众办实事•好家风进万家】红原县妇联家风家教宣传志愿服务活动进校园等活动。要求广大家长在</w:t>
      </w:r>
      <w:r>
        <w:rPr>
          <w:rFonts w:hint="default" w:ascii="仿宋_GB2312" w:hAnsi="仿宋_GB2312" w:eastAsia="仿宋_GB2312" w:cs="仿宋_GB2312"/>
          <w:sz w:val="32"/>
          <w:szCs w:val="32"/>
          <w:u w:val="none"/>
          <w:lang w:val="en-US" w:eastAsia="zh-CN"/>
        </w:rPr>
        <w:t>家庭教育中要多聆听、多交流、多鼓励，为孩子营造快乐、和谐、健康的家庭成长环境，以“爱与智慧”为家的土壤，培育幼苗茁壮成长，让孩子从“家”出发，迈好人生第一个坚实的脚步。</w:t>
      </w:r>
    </w:p>
    <w:p>
      <w:pPr>
        <w:keepNext w:val="0"/>
        <w:keepLines w:val="0"/>
        <w:pageBreakBefore w:val="0"/>
        <w:widowControl w:val="0"/>
        <w:kinsoku/>
        <w:wordWrap/>
        <w:overflowPunct/>
        <w:topLinePunct w:val="0"/>
        <w:autoSpaceDE/>
        <w:autoSpaceDN/>
        <w:bidi w:val="0"/>
        <w:spacing w:line="560" w:lineRule="exact"/>
        <w:ind w:right="0" w:rightChars="0" w:firstLine="642"/>
        <w:textAlignment w:val="auto"/>
        <w:outlineLvl w:val="9"/>
        <w:rPr>
          <w:rFonts w:hint="eastAsia" w:ascii="楷体_GB2312" w:hAnsi="楷体_GB2312" w:eastAsia="楷体_GB2312" w:cs="楷体_GB2312"/>
          <w:b/>
          <w:bCs/>
          <w:color w:val="auto"/>
          <w:sz w:val="32"/>
          <w:szCs w:val="22"/>
          <w:shd w:val="clear" w:color="auto" w:fill="FFFFFF"/>
          <w:lang w:val="en-US" w:eastAsia="zh-CN"/>
        </w:rPr>
      </w:pPr>
      <w:r>
        <w:rPr>
          <w:rFonts w:hint="eastAsia" w:ascii="楷体_GB2312" w:hAnsi="楷体_GB2312" w:eastAsia="楷体_GB2312" w:cs="楷体_GB2312"/>
          <w:b/>
          <w:bCs/>
          <w:color w:val="auto"/>
          <w:sz w:val="32"/>
          <w:szCs w:val="22"/>
          <w:shd w:val="clear" w:color="auto" w:fill="FFFFFF"/>
          <w:lang w:val="en-US" w:eastAsia="zh-CN"/>
        </w:rPr>
        <w:t>（四）深入开展“两联一进”群众工作全覆盖</w:t>
      </w:r>
    </w:p>
    <w:p>
      <w:pPr>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sz w:val="32"/>
          <w:szCs w:val="22"/>
          <w:lang w:val="zh-CN" w:eastAsia="zh-CN"/>
        </w:rPr>
      </w:pPr>
      <w:r>
        <w:rPr>
          <w:rFonts w:hint="eastAsia" w:ascii="仿宋_GB2312" w:hAnsi="仿宋_GB2312" w:eastAsia="仿宋_GB2312" w:cs="仿宋_GB2312"/>
          <w:sz w:val="32"/>
          <w:szCs w:val="32"/>
          <w:u w:val="none"/>
          <w:lang w:val="en-US" w:eastAsia="zh-CN"/>
        </w:rPr>
        <w:t>紧扣州委、县委“两联一进”群众工作总体部署的要求，县妇联积极组织全体干部职工深入联系村、联系寺院扎实开展干部群众双向结对认亲活动，逐一走访每户结对户，耐心细致的了解结对认亲群众生产生活和尼姑学习生活现状，记录、收集每户的家庭情况、意愿诉求、意愿期盼等，针对收集的问题诉求，逐一进行梳理，按问题诉求类别交班子会集中商讨解决，并为13户困难群众和尼姑送去了价值4000余元的物资。切实解决了群众的实际困难问题，</w:t>
      </w:r>
      <w:r>
        <w:rPr>
          <w:rFonts w:hint="eastAsia" w:ascii="仿宋_GB2312" w:hAnsi="仿宋_GB2312" w:eastAsia="仿宋_GB2312" w:cs="仿宋_GB2312"/>
          <w:sz w:val="32"/>
          <w:szCs w:val="32"/>
          <w:u w:val="none"/>
          <w:lang w:val="zh-CN" w:eastAsia="zh-CN"/>
        </w:rPr>
        <w:t>充分赢得</w:t>
      </w:r>
      <w:r>
        <w:rPr>
          <w:rFonts w:hint="eastAsia" w:ascii="仿宋_GB2312" w:hAnsi="仿宋_GB2312" w:eastAsia="仿宋_GB2312" w:cs="仿宋_GB2312"/>
          <w:sz w:val="32"/>
          <w:szCs w:val="32"/>
          <w:u w:val="none"/>
          <w:lang w:val="en-US" w:eastAsia="zh-CN"/>
        </w:rPr>
        <w:t>了联系群众</w:t>
      </w:r>
      <w:r>
        <w:rPr>
          <w:rFonts w:hint="eastAsia" w:ascii="仿宋_GB2312" w:hAnsi="仿宋_GB2312" w:eastAsia="仿宋_GB2312" w:cs="仿宋_GB2312"/>
          <w:sz w:val="32"/>
          <w:szCs w:val="32"/>
          <w:u w:val="none"/>
          <w:lang w:val="zh-CN" w:eastAsia="zh-CN"/>
        </w:rPr>
        <w:t>的信任与支持。</w:t>
      </w:r>
    </w:p>
    <w:p>
      <w:pPr>
        <w:keepNext w:val="0"/>
        <w:keepLines w:val="0"/>
        <w:pageBreakBefore w:val="0"/>
        <w:widowControl w:val="0"/>
        <w:kinsoku/>
        <w:wordWrap/>
        <w:overflowPunct/>
        <w:topLinePunct w:val="0"/>
        <w:autoSpaceDE/>
        <w:autoSpaceDN/>
        <w:bidi w:val="0"/>
        <w:spacing w:line="560" w:lineRule="exact"/>
        <w:ind w:right="0" w:rightChars="0" w:firstLine="642"/>
        <w:textAlignment w:val="auto"/>
        <w:outlineLvl w:val="9"/>
        <w:rPr>
          <w:rFonts w:hint="eastAsia" w:ascii="楷体_GB2312" w:hAnsi="楷体_GB2312" w:eastAsia="楷体_GB2312" w:cs="楷体_GB2312"/>
          <w:b/>
          <w:bCs/>
          <w:color w:val="auto"/>
          <w:sz w:val="32"/>
          <w:szCs w:val="22"/>
          <w:shd w:val="clear" w:color="auto" w:fill="FFFFFF"/>
          <w:lang w:val="en-US" w:eastAsia="zh-CN"/>
        </w:rPr>
      </w:pPr>
      <w:r>
        <w:rPr>
          <w:rFonts w:hint="eastAsia" w:ascii="楷体_GB2312" w:hAnsi="楷体_GB2312" w:eastAsia="楷体_GB2312" w:cs="楷体_GB2312"/>
          <w:b/>
          <w:bCs/>
          <w:color w:val="auto"/>
          <w:sz w:val="32"/>
          <w:szCs w:val="22"/>
          <w:shd w:val="clear" w:color="auto" w:fill="FFFFFF"/>
          <w:lang w:val="en-US" w:eastAsia="zh-CN"/>
        </w:rPr>
        <w:t>（五）深入开展“学党史、悟思想、办实事、开新局”活动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u w:val="none"/>
          <w:lang w:val="en-US" w:eastAsia="zh-CN"/>
        </w:rPr>
        <w:t>2021年是中国共产党成立100周年，也是奋进“十四五”、逐梦新征程的开局之年。为扎实推进党史学习教育，引导广大妇女群众从党的百年伟大奋斗历程中汲取继续前进的智慧和力量。</w:t>
      </w:r>
      <w:r>
        <w:rPr>
          <w:rFonts w:hint="eastAsia" w:ascii="仿宋_GB2312" w:hAnsi="仿宋_GB2312" w:eastAsia="仿宋_GB2312" w:cs="仿宋_GB2312"/>
          <w:b/>
          <w:bCs/>
          <w:sz w:val="32"/>
          <w:szCs w:val="32"/>
          <w:u w:val="none"/>
          <w:lang w:val="en-US" w:eastAsia="zh-CN"/>
        </w:rPr>
        <w:t>一是</w:t>
      </w:r>
      <w:r>
        <w:rPr>
          <w:rFonts w:hint="eastAsia" w:ascii="仿宋_GB2312" w:hAnsi="仿宋_GB2312" w:eastAsia="仿宋_GB2312" w:cs="仿宋_GB2312"/>
          <w:sz w:val="32"/>
          <w:szCs w:val="32"/>
          <w:u w:val="none"/>
          <w:lang w:val="en-US" w:eastAsia="zh-CN"/>
        </w:rPr>
        <w:t>联合县妇幼保健院深入如意空行寺开展“巾帼心向党、奋斗新征程”庆祝中国共产党成立100周年宣讲活动。号召广大觉姆铭记党的历史，发扬红色传统，传承红色基因，引导大家进一步坚定理想信念、增强爱党爱国情感。结合“我为群众办实事”实践活动，还对</w:t>
      </w:r>
      <w:r>
        <w:rPr>
          <w:rFonts w:hint="eastAsia" w:ascii="仿宋_GB2312" w:hAnsi="仿宋_GB2312" w:eastAsia="仿宋_GB2312" w:cs="仿宋_GB2312"/>
          <w:kern w:val="2"/>
          <w:sz w:val="32"/>
          <w:szCs w:val="32"/>
          <w:u w:val="none"/>
          <w:lang w:val="en-US" w:eastAsia="zh-CN"/>
        </w:rPr>
        <w:t>18至64岁的觉姆进行了“两癌”筛查及妇女常见病预防知识讲解，有效提高了觉姆们的自我保健意识。并免费发放了一百多份的觉姆包、果盘、盆子等物资。</w:t>
      </w:r>
      <w:r>
        <w:rPr>
          <w:rFonts w:hint="eastAsia" w:ascii="仿宋_GB2312" w:hAnsi="仿宋_GB2312" w:eastAsia="仿宋_GB2312" w:cs="仿宋_GB2312"/>
          <w:b/>
          <w:bCs/>
          <w:kern w:val="2"/>
          <w:sz w:val="32"/>
          <w:szCs w:val="32"/>
          <w:u w:val="none"/>
          <w:lang w:val="en-US" w:eastAsia="zh-CN"/>
        </w:rPr>
        <w:t>二是</w:t>
      </w:r>
      <w:r>
        <w:rPr>
          <w:rFonts w:hint="eastAsia" w:ascii="仿宋_GB2312" w:hAnsi="仿宋_GB2312" w:eastAsia="仿宋_GB2312" w:cs="仿宋_GB2312"/>
          <w:b w:val="0"/>
          <w:bCs w:val="0"/>
          <w:kern w:val="2"/>
          <w:sz w:val="32"/>
          <w:szCs w:val="32"/>
          <w:u w:val="none"/>
          <w:lang w:val="en-US" w:eastAsia="zh-CN"/>
        </w:rPr>
        <w:t>联合县委宣传部、县委组织部开展</w:t>
      </w:r>
      <w:r>
        <w:rPr>
          <w:rFonts w:hint="eastAsia" w:ascii="仿宋_GB2312" w:hAnsi="仿宋_GB2312" w:eastAsia="仿宋_GB2312" w:cs="仿宋_GB2312"/>
          <w:sz w:val="32"/>
          <w:szCs w:val="32"/>
          <w:lang w:val="en-US" w:eastAsia="zh-CN" w:bidi="ar-SA"/>
        </w:rPr>
        <w:t>“学党史颂党恩·启航新征程”主题演讲比赛，深刻表达了全县党员干部奋进新征程的昂扬精神风貌和干事热情。</w:t>
      </w:r>
      <w:bookmarkStart w:id="14" w:name="_Toc79163605"/>
      <w:bookmarkStart w:id="15" w:name="_Toc15396601"/>
      <w:bookmarkStart w:id="16" w:name="_Toc79163855"/>
      <w:bookmarkStart w:id="17" w:name="_Toc15377200"/>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二、机构设置</w:t>
      </w:r>
      <w:bookmarkEnd w:id="14"/>
      <w:bookmarkEnd w:id="15"/>
      <w:bookmarkEnd w:id="16"/>
      <w:bookmarkEnd w:id="17"/>
    </w:p>
    <w:p>
      <w:pPr>
        <w:pageBreakBefore w:val="0"/>
        <w:kinsoku/>
        <w:wordWrap/>
        <w:overflowPunct/>
        <w:topLinePunct w:val="0"/>
        <w:autoSpaceDE/>
        <w:autoSpaceDN/>
        <w:bidi w:val="0"/>
        <w:spacing w:line="560" w:lineRule="exact"/>
        <w:ind w:firstLine="640" w:firstLineChars="200"/>
        <w:textAlignment w:val="auto"/>
        <w:rPr>
          <w:rFonts w:hint="eastAsia"/>
        </w:rPr>
      </w:pPr>
      <w:r>
        <w:rPr>
          <w:rFonts w:hint="eastAsia" w:ascii="仿宋_GB2312" w:hAnsi="仿宋_GB2312" w:eastAsia="仿宋_GB2312"/>
          <w:sz w:val="32"/>
        </w:rPr>
        <w:t>我单位</w:t>
      </w:r>
      <w:r>
        <w:rPr>
          <w:rFonts w:hint="eastAsia" w:ascii="仿宋_GB2312" w:hAnsi="仿宋_GB2312" w:eastAsia="仿宋_GB2312" w:cs="仿宋_GB2312"/>
          <w:bCs/>
          <w:sz w:val="32"/>
          <w:szCs w:val="32"/>
        </w:rPr>
        <w:t>为独立核算全额拨款行政单位，无下属单位。</w:t>
      </w:r>
      <w:r>
        <w:rPr>
          <w:rFonts w:hint="eastAsia" w:ascii="仿宋_GB2312" w:hAnsi="仿宋" w:eastAsia="仿宋_GB2312"/>
          <w:sz w:val="32"/>
          <w:szCs w:val="32"/>
        </w:rPr>
        <w:t>本单位上年末有编制人数6人、实有人数5人；本年度年末编制人数6人、实有人数5人。</w:t>
      </w:r>
    </w:p>
    <w:p>
      <w:pPr>
        <w:pStyle w:val="11"/>
        <w:adjustRightInd w:val="0"/>
        <w:snapToGrid w:val="0"/>
        <w:spacing w:before="0" w:line="440" w:lineRule="exact"/>
        <w:jc w:val="center"/>
        <w:rPr>
          <w:rFonts w:hint="eastAsia" w:ascii="方正黑体_GBK" w:hAnsi="方正黑体_GBK" w:eastAsia="方正黑体_GBK" w:cs="方正黑体_GBK"/>
          <w:b/>
          <w:bCs/>
          <w:i w:val="0"/>
          <w:iCs w:val="0"/>
          <w:kern w:val="2"/>
          <w:sz w:val="44"/>
          <w:szCs w:val="44"/>
          <w:lang w:val="en-US" w:eastAsia="zh-CN"/>
        </w:rPr>
      </w:pPr>
    </w:p>
    <w:p>
      <w:pPr>
        <w:pStyle w:val="11"/>
        <w:adjustRightInd w:val="0"/>
        <w:snapToGrid w:val="0"/>
        <w:spacing w:before="0" w:line="440" w:lineRule="exact"/>
        <w:jc w:val="center"/>
        <w:rPr>
          <w:rFonts w:hint="eastAsia" w:ascii="方正黑体_GBK" w:hAnsi="方正黑体_GBK" w:eastAsia="方正黑体_GBK" w:cs="方正黑体_GBK"/>
          <w:b/>
          <w:bCs/>
          <w:i w:val="0"/>
          <w:iCs w:val="0"/>
          <w:kern w:val="2"/>
          <w:sz w:val="44"/>
          <w:szCs w:val="44"/>
          <w:lang w:val="en-US" w:eastAsia="zh-CN"/>
        </w:rPr>
      </w:pPr>
      <w:r>
        <w:rPr>
          <w:rFonts w:hint="eastAsia" w:ascii="方正黑体_GBK" w:hAnsi="方正黑体_GBK" w:eastAsia="方正黑体_GBK" w:cs="方正黑体_GBK"/>
          <w:b/>
          <w:bCs/>
          <w:i w:val="0"/>
          <w:iCs w:val="0"/>
          <w:kern w:val="2"/>
          <w:sz w:val="44"/>
          <w:szCs w:val="44"/>
          <w:lang w:val="en-US" w:eastAsia="zh-CN"/>
        </w:rPr>
        <w:t>第二部分2021年度单位决算情况说明</w:t>
      </w:r>
    </w:p>
    <w:p>
      <w:pPr>
        <w:rPr>
          <w:rFonts w:hint="eastAsia"/>
          <w:lang w:val="en-US" w:eastAsia="zh-CN"/>
        </w:rPr>
      </w:pPr>
    </w:p>
    <w:p>
      <w:pPr>
        <w:pStyle w:val="13"/>
        <w:numPr>
          <w:ilvl w:val="0"/>
          <w:numId w:val="2"/>
        </w:numPr>
        <w:adjustRightInd w:val="0"/>
        <w:snapToGrid w:val="0"/>
        <w:spacing w:line="440" w:lineRule="exact"/>
        <w:ind w:left="420"/>
        <w:jc w:val="left"/>
        <w:rPr>
          <w:rFonts w:hint="eastAsia" w:ascii="楷体" w:hAnsi="楷体" w:eastAsia="楷体" w:cs="楷体"/>
          <w:b/>
          <w:bCs/>
          <w:sz w:val="32"/>
          <w:szCs w:val="32"/>
        </w:rPr>
      </w:pPr>
      <w:r>
        <w:rPr>
          <w:rFonts w:hint="eastAsia" w:ascii="楷体" w:hAnsi="楷体" w:eastAsia="楷体" w:cs="楷体"/>
          <w:b/>
          <w:bCs/>
          <w:sz w:val="32"/>
          <w:szCs w:val="32"/>
        </w:rPr>
        <w:t>收入支出决算总体情况说明</w:t>
      </w:r>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入总计121.9万元、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总计121.9万</w:t>
      </w:r>
      <w:r>
        <w:rPr>
          <w:rFonts w:hint="eastAsia" w:ascii="仿宋" w:hAnsi="仿宋" w:eastAsia="仿宋"/>
          <w:color w:val="000000"/>
          <w:sz w:val="32"/>
          <w:szCs w:val="32"/>
          <w:lang w:val="en-US" w:eastAsia="zh-CN"/>
        </w:rPr>
        <w:t>元，</w:t>
      </w:r>
      <w:r>
        <w:rPr>
          <w:rFonts w:ascii="仿宋" w:hAnsi="仿宋" w:eastAsia="仿宋"/>
          <w:color w:val="000000"/>
          <w:sz w:val="32"/>
          <w:szCs w:val="32"/>
        </w:rPr>
        <w:t>2020</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入总计105.31万元、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总计125.76万元。与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入增长16.59万元，上升15.75%，</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我会有两个</w:t>
      </w:r>
      <w:r>
        <w:rPr>
          <w:rFonts w:hint="eastAsia" w:ascii="仿宋_GB2312" w:hAnsi="仿宋_GB2312" w:eastAsia="仿宋_GB2312" w:cs="仿宋_GB2312"/>
          <w:color w:val="000000"/>
          <w:sz w:val="32"/>
          <w:szCs w:val="32"/>
        </w:rPr>
        <w:t>州妇联专项妇女居家灵活就业</w:t>
      </w:r>
      <w:r>
        <w:rPr>
          <w:rFonts w:hint="eastAsia" w:ascii="仿宋_GB2312" w:hAnsi="仿宋_GB2312" w:eastAsia="仿宋_GB2312" w:cs="仿宋_GB2312"/>
          <w:color w:val="000000"/>
          <w:sz w:val="32"/>
          <w:szCs w:val="32"/>
          <w:lang w:val="en-US" w:eastAsia="zh-CN"/>
        </w:rPr>
        <w:t>项目共计20万</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3.86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厉行节约。</w:t>
      </w:r>
    </w:p>
    <w:p>
      <w:pPr>
        <w:pStyle w:val="2"/>
        <w:jc w:val="center"/>
      </w:pPr>
      <w:r>
        <w:drawing>
          <wp:inline distT="0" distB="0" distL="114300" distR="114300">
            <wp:extent cx="4572000" cy="2743200"/>
            <wp:effectExtent l="4445" t="4445" r="10795" b="1079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hint="eastAsia"/>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13"/>
        <w:numPr>
          <w:ilvl w:val="0"/>
          <w:numId w:val="2"/>
        </w:numPr>
        <w:adjustRightInd w:val="0"/>
        <w:snapToGrid w:val="0"/>
        <w:spacing w:line="440" w:lineRule="exact"/>
        <w:ind w:left="420" w:leftChars="200" w:firstLine="0" w:firstLineChars="0"/>
        <w:jc w:val="left"/>
        <w:rPr>
          <w:rFonts w:hint="eastAsia" w:ascii="楷体" w:hAnsi="楷体" w:eastAsia="楷体" w:cs="楷体"/>
          <w:b/>
          <w:bCs/>
          <w:sz w:val="32"/>
          <w:szCs w:val="32"/>
        </w:rPr>
      </w:pPr>
      <w:r>
        <w:rPr>
          <w:rFonts w:hint="eastAsia" w:ascii="楷体" w:hAnsi="楷体" w:eastAsia="楷体" w:cs="楷体"/>
          <w:b/>
          <w:bCs/>
          <w:sz w:val="32"/>
          <w:szCs w:val="32"/>
        </w:rPr>
        <w:t>收入决算情况说明</w:t>
      </w:r>
    </w:p>
    <w:p>
      <w:pPr>
        <w:spacing w:line="600" w:lineRule="exact"/>
        <w:ind w:firstLine="640" w:firstLineChars="200"/>
        <w:rPr>
          <w:rFonts w:hint="eastAsia" w:ascii="仿宋" w:hAnsi="仿宋" w:eastAsia="仿宋" w:cs="Times New Roman"/>
          <w:color w:val="000000"/>
          <w:sz w:val="32"/>
          <w:szCs w:val="32"/>
          <w:lang w:val="en-US" w:eastAsia="zh-CN"/>
        </w:rPr>
      </w:pPr>
      <w:r>
        <w:rPr>
          <w:rFonts w:hint="eastAsia" w:ascii="仿宋" w:hAnsi="仿宋" w:eastAsia="仿宋" w:cs="Times New Roman"/>
          <w:color w:val="000000"/>
          <w:sz w:val="32"/>
          <w:szCs w:val="32"/>
          <w:lang w:val="en-US" w:eastAsia="zh-CN"/>
        </w:rPr>
        <w:t>2020年本年收入合计121.9万元，其中：一般公共预算财政拨款收入121.6万元，占99.75%；政府性基金预算财政拨款收入0万元，占0%；上级补助收入0万元，占0%；事业收入0万元，占0%；经营收入0万元，占0%；附属单位上缴收入0万元，占0%；其他收入0.3万元，占0.25%。</w:t>
      </w:r>
    </w:p>
    <w:p>
      <w:pPr>
        <w:jc w:val="center"/>
      </w:pPr>
      <w:r>
        <w:drawing>
          <wp:inline distT="0" distB="0" distL="114300" distR="114300">
            <wp:extent cx="4570095" cy="3002280"/>
            <wp:effectExtent l="4445" t="4445" r="12700" b="1079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ind w:firstLine="320" w:firstLineChars="100"/>
        <w:jc w:val="center"/>
        <w:rPr>
          <w:rFonts w:hint="eastAsia"/>
          <w:lang w:val="en-US" w:eastAsia="zh-CN"/>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13"/>
        <w:numPr>
          <w:ilvl w:val="0"/>
          <w:numId w:val="2"/>
        </w:numPr>
        <w:adjustRightInd w:val="0"/>
        <w:snapToGrid w:val="0"/>
        <w:spacing w:line="440" w:lineRule="exact"/>
        <w:ind w:left="420" w:leftChars="200" w:firstLine="0" w:firstLineChars="0"/>
        <w:jc w:val="left"/>
        <w:rPr>
          <w:rFonts w:hint="eastAsia" w:ascii="楷体" w:hAnsi="楷体" w:eastAsia="楷体" w:cs="楷体"/>
          <w:b/>
          <w:bCs/>
          <w:sz w:val="32"/>
          <w:szCs w:val="32"/>
        </w:rPr>
      </w:pPr>
      <w:r>
        <w:rPr>
          <w:rFonts w:hint="eastAsia" w:ascii="楷体" w:hAnsi="楷体" w:eastAsia="楷体" w:cs="楷体"/>
          <w:b/>
          <w:bCs/>
          <w:sz w:val="32"/>
          <w:szCs w:val="32"/>
        </w:rPr>
        <w:t>支出决算情况说明</w:t>
      </w:r>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121.9</w:t>
      </w:r>
      <w:r>
        <w:rPr>
          <w:rFonts w:hint="eastAsia" w:ascii="仿宋_GB2312" w:eastAsia="仿宋_GB2312"/>
          <w:sz w:val="32"/>
          <w:szCs w:val="32"/>
        </w:rPr>
        <w:t>万元，其中：基本支出108.42万元，占</w:t>
      </w:r>
      <w:r>
        <w:rPr>
          <w:rFonts w:hint="eastAsia" w:ascii="仿宋_GB2312" w:eastAsia="仿宋_GB2312"/>
          <w:sz w:val="32"/>
          <w:szCs w:val="32"/>
          <w:lang w:val="en-US" w:eastAsia="zh-CN"/>
        </w:rPr>
        <w:t>82.4</w:t>
      </w:r>
      <w:r>
        <w:rPr>
          <w:rFonts w:ascii="仿宋_GB2312" w:eastAsia="仿宋_GB2312"/>
          <w:sz w:val="32"/>
          <w:szCs w:val="32"/>
        </w:rPr>
        <w:t>%</w:t>
      </w:r>
      <w:r>
        <w:rPr>
          <w:rFonts w:hint="eastAsia" w:ascii="仿宋_GB2312" w:eastAsia="仿宋_GB2312"/>
          <w:sz w:val="32"/>
          <w:szCs w:val="32"/>
        </w:rPr>
        <w:t>；项目支出13.48万元，占</w:t>
      </w:r>
      <w:r>
        <w:rPr>
          <w:rFonts w:hint="eastAsia" w:ascii="仿宋_GB2312" w:eastAsia="仿宋_GB2312"/>
          <w:sz w:val="32"/>
          <w:szCs w:val="32"/>
          <w:lang w:val="en-US" w:eastAsia="zh-CN"/>
        </w:rPr>
        <w:t>17.6</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rPr>
          <w:rFonts w:hint="eastAsia"/>
        </w:rPr>
      </w:pPr>
    </w:p>
    <w:p>
      <w:pPr>
        <w:pStyle w:val="2"/>
        <w:jc w:val="center"/>
        <w:rPr>
          <w:rFonts w:hint="eastAsia"/>
        </w:rPr>
      </w:pPr>
      <w:r>
        <w:drawing>
          <wp:inline distT="0" distB="0" distL="114300" distR="114300">
            <wp:extent cx="4572000" cy="2743200"/>
            <wp:effectExtent l="4445" t="4445" r="10795" b="107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1280" w:firstLineChars="400"/>
        <w:rPr>
          <w:rFonts w:hint="eastAsia"/>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13"/>
        <w:numPr>
          <w:ilvl w:val="0"/>
          <w:numId w:val="2"/>
        </w:numPr>
        <w:adjustRightInd w:val="0"/>
        <w:snapToGrid w:val="0"/>
        <w:spacing w:line="440" w:lineRule="exact"/>
        <w:ind w:left="420" w:leftChars="200" w:firstLine="0" w:firstLineChars="0"/>
        <w:jc w:val="left"/>
        <w:rPr>
          <w:rFonts w:hint="eastAsia" w:ascii="楷体" w:hAnsi="楷体" w:eastAsia="楷体" w:cs="楷体"/>
          <w:b/>
          <w:bCs/>
          <w:sz w:val="32"/>
          <w:szCs w:val="32"/>
        </w:rPr>
      </w:pPr>
      <w:r>
        <w:rPr>
          <w:rFonts w:hint="eastAsia" w:ascii="楷体" w:hAnsi="楷体" w:eastAsia="楷体" w:cs="楷体"/>
          <w:b/>
          <w:bCs/>
          <w:sz w:val="32"/>
          <w:szCs w:val="32"/>
        </w:rPr>
        <w:t>财政拨款收入支出决算总体情况说明</w:t>
      </w:r>
    </w:p>
    <w:p>
      <w:pPr>
        <w:spacing w:line="600" w:lineRule="exact"/>
        <w:ind w:firstLine="640" w:firstLineChars="200"/>
        <w:rPr>
          <w:rFonts w:hint="eastAsia" w:ascii="仿宋_GB2312" w:hAnsi="仿宋_GB2312" w:eastAsia="仿宋_GB2312" w:cs="仿宋_GB2312"/>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121.6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支出总计</w:t>
      </w:r>
      <w:r>
        <w:rPr>
          <w:rFonts w:hint="eastAsia" w:ascii="仿宋_GB2312" w:eastAsia="仿宋_GB2312"/>
          <w:sz w:val="32"/>
          <w:szCs w:val="32"/>
          <w:lang w:val="en-US" w:eastAsia="zh-CN"/>
        </w:rPr>
        <w:t>121.6</w:t>
      </w:r>
      <w:r>
        <w:rPr>
          <w:rFonts w:hint="eastAsia" w:ascii="仿宋" w:hAnsi="仿宋" w:eastAsia="仿宋"/>
          <w:color w:val="000000"/>
          <w:sz w:val="32"/>
          <w:szCs w:val="32"/>
        </w:rPr>
        <w:t>万元。</w:t>
      </w: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总计105.31万元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支出总计</w:t>
      </w:r>
      <w:r>
        <w:rPr>
          <w:rFonts w:hint="eastAsia" w:ascii="仿宋_GB2312" w:eastAsia="仿宋_GB2312"/>
          <w:sz w:val="32"/>
          <w:szCs w:val="32"/>
        </w:rPr>
        <w:t>105.31</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入总计增加16.29万元，上升15.47%，</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我会增加</w:t>
      </w:r>
      <w:r>
        <w:rPr>
          <w:rFonts w:hint="eastAsia" w:ascii="仿宋_GB2312" w:hAnsi="仿宋_GB2312" w:eastAsia="仿宋_GB2312" w:cs="仿宋_GB2312"/>
          <w:color w:val="000000"/>
          <w:sz w:val="32"/>
          <w:szCs w:val="32"/>
        </w:rPr>
        <w:t>州妇联专项妇女居家灵活就业资金</w:t>
      </w:r>
      <w:r>
        <w:rPr>
          <w:rFonts w:hint="eastAsia" w:ascii="仿宋_GB2312" w:hAnsi="仿宋_GB2312" w:eastAsia="仿宋_GB2312" w:cs="仿宋_GB2312"/>
          <w:color w:val="000000"/>
          <w:sz w:val="32"/>
          <w:szCs w:val="32"/>
          <w:lang w:val="en-US" w:eastAsia="zh-CN"/>
        </w:rPr>
        <w:t>20万</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增加16.29</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上升15.47</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我会增加</w:t>
      </w:r>
      <w:r>
        <w:rPr>
          <w:rFonts w:hint="eastAsia" w:ascii="仿宋_GB2312" w:hAnsi="仿宋_GB2312" w:eastAsia="仿宋_GB2312" w:cs="仿宋_GB2312"/>
          <w:color w:val="000000"/>
          <w:sz w:val="32"/>
          <w:szCs w:val="32"/>
        </w:rPr>
        <w:t>州妇联专项妇女居家灵活就业资金</w:t>
      </w:r>
      <w:r>
        <w:rPr>
          <w:rFonts w:hint="eastAsia" w:ascii="仿宋_GB2312" w:hAnsi="仿宋_GB2312" w:eastAsia="仿宋_GB2312" w:cs="仿宋_GB2312"/>
          <w:color w:val="000000"/>
          <w:sz w:val="32"/>
          <w:szCs w:val="32"/>
          <w:lang w:val="en-US" w:eastAsia="zh-CN"/>
        </w:rPr>
        <w:t>20万</w:t>
      </w:r>
      <w:r>
        <w:rPr>
          <w:rFonts w:hint="eastAsia" w:ascii="仿宋_GB2312" w:hAnsi="仿宋_GB2312" w:eastAsia="仿宋_GB2312" w:cs="仿宋_GB2312"/>
          <w:color w:val="000000"/>
          <w:sz w:val="32"/>
          <w:szCs w:val="32"/>
        </w:rPr>
        <w:t>。</w:t>
      </w:r>
    </w:p>
    <w:p>
      <w:pPr>
        <w:jc w:val="center"/>
      </w:pPr>
      <w:r>
        <w:drawing>
          <wp:inline distT="0" distB="0" distL="114300" distR="114300">
            <wp:extent cx="4091940" cy="2926080"/>
            <wp:effectExtent l="4445" t="5080" r="18415" b="10160"/>
            <wp:docPr id="409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hint="eastAsia"/>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Style w:val="13"/>
        <w:numPr>
          <w:ilvl w:val="0"/>
          <w:numId w:val="0"/>
        </w:numPr>
        <w:adjustRightInd w:val="0"/>
        <w:snapToGrid w:val="0"/>
        <w:spacing w:line="440" w:lineRule="exact"/>
        <w:ind w:leftChars="200"/>
        <w:jc w:val="left"/>
        <w:rPr>
          <w:rFonts w:ascii="仿宋" w:hAnsi="仿宋" w:eastAsia="仿宋"/>
          <w:color w:val="000000"/>
          <w:sz w:val="32"/>
          <w:szCs w:val="32"/>
        </w:rPr>
      </w:pPr>
      <w:r>
        <w:rPr>
          <w:rFonts w:hint="eastAsia" w:ascii="楷体" w:hAnsi="楷体" w:eastAsia="楷体" w:cs="楷体"/>
          <w:b/>
          <w:bCs/>
          <w:sz w:val="32"/>
          <w:szCs w:val="32"/>
        </w:rPr>
        <w:t>五、一般公共预算财政拨款支出决算情况说明</w:t>
      </w:r>
    </w:p>
    <w:p>
      <w:pPr>
        <w:spacing w:line="600" w:lineRule="exact"/>
        <w:ind w:firstLine="643" w:firstLineChars="200"/>
        <w:outlineLvl w:val="2"/>
        <w:rPr>
          <w:rFonts w:ascii="仿宋" w:hAnsi="仿宋" w:eastAsia="仿宋"/>
          <w:b/>
          <w:color w:val="000000"/>
          <w:sz w:val="32"/>
          <w:szCs w:val="32"/>
        </w:rPr>
      </w:pPr>
      <w:bookmarkStart w:id="18" w:name="_Toc79163615"/>
      <w:bookmarkStart w:id="19" w:name="_Toc79163865"/>
      <w:r>
        <w:rPr>
          <w:rFonts w:hint="eastAsia" w:ascii="仿宋" w:hAnsi="仿宋" w:eastAsia="仿宋"/>
          <w:b/>
          <w:color w:val="000000"/>
          <w:sz w:val="32"/>
          <w:szCs w:val="32"/>
        </w:rPr>
        <w:t>（一）一般公共预算财政拨款支出决算总体情况</w:t>
      </w:r>
      <w:bookmarkEnd w:id="18"/>
      <w:bookmarkEnd w:id="19"/>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121.6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99.75</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16.29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2020年12月我会新调入领导1名。</w:t>
      </w:r>
    </w:p>
    <w:p>
      <w:pPr>
        <w:rPr>
          <w:rFonts w:hint="eastAsia" w:ascii="仿宋" w:hAnsi="仿宋" w:eastAsia="仿宋"/>
          <w:color w:val="000000"/>
          <w:sz w:val="32"/>
          <w:szCs w:val="32"/>
          <w:lang w:val="en-US" w:eastAsia="zh-CN"/>
        </w:rPr>
      </w:pPr>
    </w:p>
    <w:p>
      <w:pPr>
        <w:pStyle w:val="2"/>
        <w:jc w:val="center"/>
        <w:rPr>
          <w:rFonts w:hint="eastAsia"/>
          <w:lang w:val="en-US" w:eastAsia="zh-CN"/>
        </w:rPr>
      </w:pPr>
      <w:r>
        <w:drawing>
          <wp:inline distT="0" distB="0" distL="114300" distR="114300">
            <wp:extent cx="3944620" cy="2926080"/>
            <wp:effectExtent l="4445" t="5080" r="13335" b="10160"/>
            <wp:docPr id="512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20" w:name="_Toc79163866"/>
      <w:bookmarkStart w:id="21" w:name="_Toc79163616"/>
      <w:r>
        <w:rPr>
          <w:rFonts w:hint="eastAsia" w:ascii="仿宋" w:hAnsi="仿宋" w:eastAsia="仿宋"/>
          <w:b/>
          <w:color w:val="000000"/>
          <w:sz w:val="32"/>
          <w:szCs w:val="32"/>
        </w:rPr>
        <w:t>（二）一般公共预算财政拨款支出决算结构情况</w:t>
      </w:r>
      <w:bookmarkEnd w:id="20"/>
      <w:bookmarkEnd w:id="21"/>
    </w:p>
    <w:p>
      <w:pPr>
        <w:pStyle w:val="2"/>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121.6</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96.1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76.42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12.45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5.</w:t>
      </w:r>
      <w:r>
        <w:rPr>
          <w:rFonts w:hint="eastAsia" w:ascii="仿宋" w:hAnsi="仿宋" w:eastAsia="仿宋"/>
          <w:color w:val="000000"/>
          <w:sz w:val="32"/>
          <w:szCs w:val="32"/>
          <w:lang w:val="en-US" w:eastAsia="zh-CN"/>
        </w:rPr>
        <w:t>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4.01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Times New Roman"/>
          <w:b/>
          <w:color w:val="000000"/>
          <w:sz w:val="32"/>
          <w:szCs w:val="32"/>
        </w:rPr>
        <w:t>住房保障支出</w:t>
      </w:r>
      <w:r>
        <w:rPr>
          <w:rFonts w:hint="eastAsia" w:ascii="仿宋" w:hAnsi="仿宋" w:eastAsia="仿宋" w:cs="Times New Roman"/>
          <w:b/>
          <w:color w:val="000000"/>
          <w:sz w:val="32"/>
          <w:szCs w:val="32"/>
          <w:lang w:val="en-US" w:eastAsia="zh-CN"/>
        </w:rPr>
        <w:t>8.02</w:t>
      </w:r>
      <w:r>
        <w:rPr>
          <w:rFonts w:hint="eastAsia" w:ascii="仿宋" w:hAnsi="仿宋" w:eastAsia="仿宋" w:cs="Times New Roman"/>
          <w:b/>
          <w:color w:val="000000"/>
          <w:sz w:val="32"/>
          <w:szCs w:val="32"/>
        </w:rPr>
        <w:t>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6.38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Times New Roman"/>
          <w:b/>
          <w:color w:val="000000"/>
          <w:sz w:val="32"/>
          <w:szCs w:val="32"/>
          <w:lang w:eastAsia="zh-CN"/>
        </w:rPr>
        <w:t>其他支出</w:t>
      </w:r>
      <w:r>
        <w:rPr>
          <w:rFonts w:hint="eastAsia" w:ascii="仿宋" w:hAnsi="仿宋" w:eastAsia="仿宋" w:cs="Times New Roman"/>
          <w:b/>
          <w:color w:val="000000"/>
          <w:sz w:val="32"/>
          <w:szCs w:val="32"/>
          <w:lang w:val="en-US" w:eastAsia="zh-CN"/>
        </w:rPr>
        <w:t>0万元</w:t>
      </w:r>
      <w:r>
        <w:rPr>
          <w:rFonts w:hint="eastAsia" w:ascii="仿宋" w:hAnsi="仿宋" w:eastAsia="仿宋"/>
          <w:color w:val="000000"/>
          <w:sz w:val="32"/>
          <w:szCs w:val="32"/>
          <w:lang w:val="en-US" w:eastAsia="zh-CN"/>
        </w:rPr>
        <w:t>，占0%</w:t>
      </w:r>
      <w:r>
        <w:rPr>
          <w:rFonts w:hint="eastAsia" w:ascii="仿宋" w:hAnsi="仿宋" w:eastAsia="仿宋"/>
          <w:color w:val="000000"/>
          <w:sz w:val="32"/>
          <w:szCs w:val="32"/>
        </w:rPr>
        <w:t>。</w:t>
      </w:r>
    </w:p>
    <w:p>
      <w:pPr>
        <w:pStyle w:val="2"/>
        <w:jc w:val="center"/>
      </w:pPr>
      <w:r>
        <w:drawing>
          <wp:inline distT="0" distB="0" distL="114300" distR="114300">
            <wp:extent cx="4572000" cy="3352800"/>
            <wp:effectExtent l="4445" t="4445" r="10795" b="1079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22" w:name="_Toc79163617"/>
      <w:bookmarkStart w:id="23" w:name="_Toc79163867"/>
      <w:r>
        <w:rPr>
          <w:rFonts w:hint="eastAsia" w:ascii="仿宋" w:hAnsi="仿宋" w:eastAsia="仿宋"/>
          <w:b/>
          <w:color w:val="000000"/>
          <w:sz w:val="32"/>
          <w:szCs w:val="32"/>
        </w:rPr>
        <w:t>（三）一般公共预算财政拨款支出决算具体情况</w:t>
      </w:r>
      <w:bookmarkEnd w:id="22"/>
      <w:bookmarkEnd w:id="23"/>
    </w:p>
    <w:p>
      <w:pPr>
        <w:spacing w:line="600" w:lineRule="exact"/>
        <w:ind w:firstLine="643" w:firstLineChars="200"/>
        <w:rPr>
          <w:rFonts w:ascii="仿宋_GB2312" w:eastAsia="仿宋_GB2312"/>
          <w:b/>
          <w:bCs/>
          <w:sz w:val="32"/>
          <w:szCs w:val="32"/>
        </w:rPr>
      </w:pPr>
      <w:r>
        <w:rPr>
          <w:rFonts w:ascii="仿宋_GB2312" w:eastAsia="仿宋_GB2312"/>
          <w:b/>
          <w:bCs/>
          <w:sz w:val="32"/>
          <w:szCs w:val="32"/>
        </w:rPr>
        <w:t>202</w:t>
      </w:r>
      <w:r>
        <w:rPr>
          <w:rFonts w:hint="eastAsia" w:ascii="仿宋_GB2312" w:eastAsia="仿宋_GB2312"/>
          <w:b/>
          <w:bCs/>
          <w:sz w:val="32"/>
          <w:szCs w:val="32"/>
          <w:lang w:val="en-US" w:eastAsia="zh-CN"/>
        </w:rPr>
        <w:t>1</w:t>
      </w:r>
      <w:r>
        <w:rPr>
          <w:rFonts w:hint="eastAsia" w:ascii="仿宋_GB2312" w:eastAsia="仿宋_GB2312"/>
          <w:b/>
          <w:bCs/>
          <w:sz w:val="32"/>
          <w:szCs w:val="32"/>
        </w:rPr>
        <w:t>年一般公共预算支出决算数为</w:t>
      </w:r>
      <w:r>
        <w:rPr>
          <w:rFonts w:hint="eastAsia" w:ascii="仿宋" w:hAnsi="仿宋" w:eastAsia="仿宋"/>
          <w:color w:val="000000"/>
          <w:sz w:val="32"/>
          <w:szCs w:val="32"/>
          <w:lang w:val="en-US" w:eastAsia="zh-CN"/>
        </w:rPr>
        <w:t>121.6万元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90.8</w:t>
      </w:r>
      <w:r>
        <w:rPr>
          <w:rFonts w:ascii="仿宋_GB2312" w:eastAsia="仿宋_GB2312"/>
          <w:b/>
          <w:bCs/>
          <w:sz w:val="32"/>
          <w:szCs w:val="32"/>
        </w:rPr>
        <w:t>%</w:t>
      </w:r>
      <w:r>
        <w:rPr>
          <w:rFonts w:hint="eastAsia" w:ascii="仿宋_GB2312" w:eastAsia="仿宋_GB2312"/>
          <w:b/>
          <w:bCs/>
          <w:sz w:val="32"/>
          <w:szCs w:val="32"/>
        </w:rPr>
        <w:t>。其中：</w:t>
      </w:r>
    </w:p>
    <w:p>
      <w:pPr>
        <w:widowControl/>
        <w:spacing w:before="240" w:line="600" w:lineRule="atLeast"/>
        <w:ind w:left="3" w:firstLine="640"/>
        <w:jc w:val="left"/>
        <w:rPr>
          <w:rFonts w:ascii="仿宋" w:hAnsi="仿宋" w:eastAsia="仿宋"/>
          <w:b/>
          <w:color w:val="000000"/>
          <w:sz w:val="32"/>
          <w:szCs w:val="32"/>
        </w:rPr>
      </w:pPr>
      <w:r>
        <w:rPr>
          <w:rStyle w:val="17"/>
          <w:rFonts w:ascii="仿宋" w:hAnsi="仿宋" w:eastAsia="仿宋"/>
          <w:bCs/>
          <w:color w:val="000000"/>
          <w:sz w:val="32"/>
          <w:szCs w:val="32"/>
        </w:rPr>
        <w:t>1.</w:t>
      </w:r>
      <w:r>
        <w:rPr>
          <w:rStyle w:val="17"/>
          <w:rFonts w:hint="eastAsia" w:ascii="仿宋" w:hAnsi="仿宋" w:eastAsia="仿宋"/>
          <w:bCs/>
          <w:color w:val="000000"/>
          <w:sz w:val="32"/>
          <w:szCs w:val="32"/>
        </w:rPr>
        <w:t>一般公共服务201（类）29（款）01（项）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96.10</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 w:hAnsi="仿宋" w:eastAsia="仿宋"/>
          <w:b w:val="0"/>
          <w:bCs/>
          <w:color w:val="000000"/>
          <w:sz w:val="32"/>
          <w:szCs w:val="32"/>
          <w:lang w:val="en-US" w:eastAsia="zh-CN"/>
        </w:rPr>
        <w:t>等于预算数</w:t>
      </w:r>
      <w:r>
        <w:rPr>
          <w:rFonts w:ascii="仿宋_GB2312" w:hAnsi="微软雅黑" w:eastAsia="仿宋_GB2312" w:cs="仿宋_GB2312"/>
          <w:color w:val="000000"/>
          <w:kern w:val="0"/>
          <w:sz w:val="32"/>
          <w:szCs w:val="32"/>
          <w:shd w:val="clear" w:color="auto" w:fill="FFFFFF"/>
          <w:lang w:bidi="ar"/>
        </w:rPr>
        <w:t>。</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社会保障和就业208（类）05（款）05（项）和208（类）05（款）06（项）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12.45</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3</w:t>
      </w:r>
      <w:r>
        <w:rPr>
          <w:rStyle w:val="17"/>
          <w:rFonts w:ascii="仿宋" w:hAnsi="仿宋" w:eastAsia="仿宋"/>
          <w:bCs/>
          <w:color w:val="000000"/>
          <w:sz w:val="32"/>
          <w:szCs w:val="32"/>
        </w:rPr>
        <w:t>.</w:t>
      </w:r>
      <w:r>
        <w:rPr>
          <w:rFonts w:hint="eastAsia" w:ascii="仿宋" w:hAnsi="仿宋" w:eastAsia="仿宋"/>
          <w:b/>
          <w:bCs/>
          <w:color w:val="000000"/>
          <w:sz w:val="32"/>
          <w:szCs w:val="32"/>
        </w:rPr>
        <w:t>卫生健康</w:t>
      </w:r>
      <w:r>
        <w:rPr>
          <w:rStyle w:val="17"/>
          <w:rFonts w:hint="eastAsia" w:ascii="仿宋" w:hAnsi="仿宋" w:eastAsia="仿宋"/>
          <w:bCs/>
          <w:color w:val="000000"/>
          <w:sz w:val="32"/>
          <w:szCs w:val="32"/>
        </w:rPr>
        <w:t>210（类）04（款）09（项）和201（类）01（款）01（项）和201（类）11（款）03（项）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5.04</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3" w:firstLineChars="200"/>
        <w:rPr>
          <w:rFonts w:hint="eastAsia" w:ascii="楷体" w:hAnsi="楷体" w:eastAsia="楷体" w:cs="楷体"/>
          <w:b/>
          <w:bCs/>
          <w:kern w:val="2"/>
          <w:sz w:val="32"/>
          <w:szCs w:val="32"/>
          <w:lang w:val="en-US" w:eastAsia="zh-CN" w:bidi="ar-SA"/>
        </w:rPr>
      </w:pPr>
      <w:r>
        <w:rPr>
          <w:rStyle w:val="17"/>
          <w:rFonts w:hint="eastAsia" w:ascii="仿宋" w:hAnsi="仿宋" w:eastAsia="仿宋"/>
          <w:bCs/>
          <w:color w:val="000000"/>
          <w:sz w:val="32"/>
          <w:szCs w:val="32"/>
        </w:rPr>
        <w:t>4.住房保障支出221（类）02（款）01（项）：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8.02</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r>
        <w:rPr>
          <w:rStyle w:val="17"/>
          <w:rFonts w:hint="eastAsia" w:ascii="仿宋" w:hAnsi="仿宋" w:eastAsia="仿宋"/>
          <w:b w:val="0"/>
          <w:bCs/>
          <w:color w:val="000000"/>
          <w:sz w:val="32"/>
          <w:szCs w:val="32"/>
          <w:lang w:eastAsia="zh-CN"/>
        </w:rPr>
        <w:t>。</w:t>
      </w:r>
    </w:p>
    <w:p>
      <w:pPr>
        <w:numPr>
          <w:ilvl w:val="0"/>
          <w:numId w:val="0"/>
        </w:numPr>
        <w:spacing w:line="600" w:lineRule="exact"/>
        <w:ind w:leftChars="200"/>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六、一般公共预算财政拨款基本支出决算情况说明</w:t>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121.6</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人员经费101.53万元，主要包括：</w:t>
      </w:r>
      <w:r>
        <w:rPr>
          <w:rFonts w:hint="eastAsia" w:ascii="仿宋_GB2312" w:hAnsi="仿宋_GB2312" w:eastAsia="仿宋_GB2312" w:cs="仿宋_GB2312"/>
          <w:color w:val="000000"/>
          <w:sz w:val="32"/>
          <w:szCs w:val="32"/>
        </w:rPr>
        <w:t>基本工资20.77</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、津贴补贴50.56</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、奖金1.7</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、机关事业单位基本养老保险缴费8.3</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、职业年金缴费4.15</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、职工基本医疗保险缴费3.81</w:t>
      </w:r>
      <w:r>
        <w:rPr>
          <w:rFonts w:hint="eastAsia" w:ascii="仿宋_GB2312" w:hAnsi="仿宋_GB2312" w:eastAsia="仿宋_GB2312" w:cs="仿宋_GB2312"/>
          <w:color w:val="000000"/>
          <w:sz w:val="32"/>
          <w:szCs w:val="32"/>
          <w:lang w:val="en-US" w:eastAsia="zh-CN"/>
        </w:rPr>
        <w:t>万元、公务员医疗补助缴费1.23万元、</w:t>
      </w:r>
      <w:r>
        <w:rPr>
          <w:rFonts w:hint="eastAsia" w:ascii="仿宋_GB2312" w:hAnsi="仿宋_GB2312" w:eastAsia="仿宋_GB2312" w:cs="仿宋_GB2312"/>
          <w:color w:val="000000"/>
          <w:sz w:val="32"/>
          <w:szCs w:val="32"/>
        </w:rPr>
        <w:t>其他社会保障缴费0.84</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、住房公积金8.02</w:t>
      </w:r>
      <w:r>
        <w:rPr>
          <w:rFonts w:hint="eastAsia" w:ascii="仿宋_GB2312" w:hAnsi="仿宋_GB2312" w:eastAsia="仿宋_GB2312" w:cs="仿宋_GB2312"/>
          <w:color w:val="000000"/>
          <w:sz w:val="32"/>
          <w:szCs w:val="32"/>
          <w:lang w:val="en-US" w:eastAsia="zh-CN"/>
        </w:rPr>
        <w:t>万元、医疗费0.6万元、</w:t>
      </w:r>
      <w:r>
        <w:rPr>
          <w:rFonts w:hint="eastAsia" w:ascii="仿宋_GB2312" w:hAnsi="仿宋_GB2312" w:eastAsia="仿宋_GB2312" w:cs="仿宋_GB2312"/>
          <w:color w:val="000000"/>
          <w:sz w:val="32"/>
          <w:szCs w:val="32"/>
        </w:rPr>
        <w:t>生活补助1.31</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、医疗费补助0.24</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、奖励金0.01</w:t>
      </w:r>
      <w:r>
        <w:rPr>
          <w:rFonts w:hint="eastAsia" w:ascii="仿宋" w:hAnsi="仿宋" w:eastAsia="仿宋"/>
          <w:color w:val="000000"/>
          <w:sz w:val="32"/>
          <w:szCs w:val="32"/>
        </w:rPr>
        <w:t>。</w:t>
      </w:r>
    </w:p>
    <w:p>
      <w:pPr>
        <w:spacing w:line="600" w:lineRule="exact"/>
        <w:ind w:firstLine="645"/>
        <w:rPr>
          <w:rFonts w:hint="eastAsia"/>
          <w:lang w:val="en-US" w:eastAsia="zh-CN"/>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6.89</w:t>
      </w:r>
      <w:r>
        <w:rPr>
          <w:rFonts w:hint="eastAsia" w:ascii="仿宋" w:hAnsi="仿宋" w:eastAsia="仿宋"/>
          <w:color w:val="000000"/>
          <w:sz w:val="32"/>
          <w:szCs w:val="32"/>
        </w:rPr>
        <w:t>万元，主要包括：</w:t>
      </w:r>
      <w:r>
        <w:rPr>
          <w:rFonts w:hint="eastAsia" w:ascii="仿宋_GB2312" w:hAnsi="仿宋_GB2312" w:eastAsia="仿宋_GB2312" w:cs="仿宋_GB2312"/>
          <w:color w:val="000000"/>
          <w:sz w:val="32"/>
          <w:szCs w:val="32"/>
        </w:rPr>
        <w:t>办公费1.87</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、印刷费0.1</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、咨询费、手续费、水费0.1</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、电费0.1</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、邮电费0.89</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、取暖费0.16、差旅费1.05</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、公务用车运行维护费2.62</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w:t>
      </w:r>
    </w:p>
    <w:p>
      <w:pPr>
        <w:pStyle w:val="13"/>
        <w:adjustRightInd w:val="0"/>
        <w:snapToGrid w:val="0"/>
        <w:spacing w:line="440" w:lineRule="exact"/>
        <w:ind w:left="420"/>
        <w:jc w:val="left"/>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七、“三公”经费财政拨款支出决算情况说明</w:t>
      </w:r>
    </w:p>
    <w:p>
      <w:pPr>
        <w:spacing w:line="600" w:lineRule="exact"/>
        <w:ind w:firstLine="640"/>
        <w:outlineLvl w:val="2"/>
        <w:rPr>
          <w:rFonts w:ascii="仿宋" w:hAnsi="仿宋" w:eastAsia="仿宋"/>
          <w:b/>
          <w:color w:val="000000"/>
          <w:sz w:val="32"/>
          <w:szCs w:val="32"/>
        </w:rPr>
      </w:pPr>
      <w:bookmarkStart w:id="24" w:name="_Toc79163870"/>
      <w:bookmarkStart w:id="25" w:name="_Toc79163620"/>
      <w:r>
        <w:rPr>
          <w:rFonts w:hint="eastAsia" w:ascii="仿宋" w:hAnsi="仿宋" w:eastAsia="仿宋"/>
          <w:b/>
          <w:color w:val="000000"/>
          <w:sz w:val="32"/>
          <w:szCs w:val="32"/>
        </w:rPr>
        <w:t>（一）“三公”经费财政拨款支出决算总体情况说明</w:t>
      </w:r>
      <w:bookmarkEnd w:id="24"/>
      <w:bookmarkEnd w:id="2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bookmarkStart w:id="44" w:name="_GoBack"/>
      <w:bookmarkEnd w:id="44"/>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3.08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，决算数等于预算数。</w:t>
      </w:r>
    </w:p>
    <w:p>
      <w:pPr>
        <w:spacing w:line="600" w:lineRule="exact"/>
        <w:ind w:firstLine="640"/>
        <w:outlineLvl w:val="2"/>
        <w:rPr>
          <w:rFonts w:ascii="仿宋" w:hAnsi="仿宋" w:eastAsia="仿宋"/>
          <w:b/>
          <w:color w:val="000000"/>
          <w:sz w:val="32"/>
          <w:szCs w:val="32"/>
        </w:rPr>
      </w:pPr>
      <w:bookmarkStart w:id="26" w:name="_Toc79163871"/>
      <w:bookmarkStart w:id="27" w:name="_Toc79163621"/>
      <w:r>
        <w:rPr>
          <w:rFonts w:hint="eastAsia" w:ascii="仿宋" w:hAnsi="仿宋" w:eastAsia="仿宋"/>
          <w:b/>
          <w:color w:val="000000"/>
          <w:sz w:val="32"/>
          <w:szCs w:val="32"/>
        </w:rPr>
        <w:t>（二）“三公”经费财政拨款支出决算具体情况说明</w:t>
      </w:r>
      <w:bookmarkEnd w:id="26"/>
      <w:bookmarkEnd w:id="27"/>
    </w:p>
    <w:p>
      <w:pPr>
        <w:spacing w:line="600" w:lineRule="exact"/>
        <w:ind w:firstLine="640"/>
        <w:rPr>
          <w:rFonts w:hint="eastAsia"/>
          <w:sz w:val="24"/>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3.08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jc w:val="center"/>
        <w:rPr>
          <w:rFonts w:hint="eastAsia"/>
        </w:rPr>
      </w:pPr>
      <w:r>
        <w:drawing>
          <wp:inline distT="0" distB="0" distL="114300" distR="114300">
            <wp:extent cx="4160520" cy="2926080"/>
            <wp:effectExtent l="4445" t="4445" r="10795" b="10795"/>
            <wp:docPr id="716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320" w:firstLineChars="100"/>
        <w:jc w:val="both"/>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全年安排因公出国（境）团组0次，出国（境）0人。因公出国（境）支出决算与上年持平.</w:t>
      </w:r>
    </w:p>
    <w:p>
      <w:pPr>
        <w:spacing w:line="600" w:lineRule="exact"/>
        <w:ind w:firstLine="643" w:firstLineChars="200"/>
        <w:rPr>
          <w:rFonts w:ascii="仿宋_GB2312" w:hAnsi="仿宋_GB2312" w:eastAsia="仿宋_GB2312" w:cs="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3.08</w:t>
      </w:r>
      <w:r>
        <w:rPr>
          <w:rFonts w:hint="eastAsia" w:ascii="仿宋_GB2312" w:eastAsia="仿宋_GB2312"/>
          <w:color w:val="000000"/>
          <w:sz w:val="32"/>
          <w:szCs w:val="32"/>
        </w:rPr>
        <w:t>万元</w:t>
      </w:r>
      <w:r>
        <w:rPr>
          <w:rFonts w:ascii="仿宋_GB2312" w:eastAsia="仿宋_GB2312"/>
          <w:color w:val="000000"/>
          <w:sz w:val="32"/>
          <w:szCs w:val="32"/>
        </w:rPr>
        <w:t>,</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增加1.84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148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2021维修车辆和在全县宣讲24余场次</w:t>
      </w:r>
      <w:r>
        <w:rPr>
          <w:rFonts w:hint="eastAsia" w:ascii="仿宋_GB2312" w:hAnsi="仿宋_GB2312" w:eastAsia="仿宋_GB2312" w:cs="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3.08</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妇联</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于</w:t>
      </w:r>
      <w:r>
        <w:rPr>
          <w:rFonts w:ascii="仿宋_GB2312" w:eastAsia="仿宋_GB2312"/>
          <w:color w:val="000000"/>
          <w:sz w:val="32"/>
          <w:szCs w:val="32"/>
        </w:rPr>
        <w:t>2019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一样，未产生接待费用</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sz w:val="24"/>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3"/>
        <w:adjustRightInd w:val="0"/>
        <w:snapToGrid w:val="0"/>
        <w:spacing w:line="440" w:lineRule="exact"/>
        <w:ind w:left="420"/>
        <w:jc w:val="left"/>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八、政府性基金预算支出决算情况说明</w:t>
      </w:r>
    </w:p>
    <w:p>
      <w:pPr>
        <w:spacing w:line="600" w:lineRule="exact"/>
        <w:ind w:firstLine="640"/>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3"/>
        <w:numPr>
          <w:ilvl w:val="0"/>
          <w:numId w:val="3"/>
        </w:numPr>
        <w:adjustRightInd w:val="0"/>
        <w:snapToGrid w:val="0"/>
        <w:spacing w:line="440" w:lineRule="exact"/>
        <w:ind w:left="420"/>
        <w:jc w:val="left"/>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国有资本经营预算支出决算情况说明</w:t>
      </w:r>
    </w:p>
    <w:p>
      <w:pPr>
        <w:spacing w:line="600" w:lineRule="exact"/>
        <w:ind w:firstLine="640"/>
        <w:rPr>
          <w:rFonts w:hint="eastAsia"/>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3"/>
        <w:numPr>
          <w:ilvl w:val="0"/>
          <w:numId w:val="3"/>
        </w:numPr>
        <w:adjustRightInd w:val="0"/>
        <w:snapToGrid w:val="0"/>
        <w:spacing w:line="440" w:lineRule="exact"/>
        <w:ind w:left="420" w:leftChars="200" w:firstLine="0" w:firstLineChars="0"/>
        <w:jc w:val="left"/>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其他重要事项的情况说明</w:t>
      </w:r>
    </w:p>
    <w:p>
      <w:pPr>
        <w:spacing w:line="600" w:lineRule="exact"/>
        <w:ind w:firstLine="643" w:firstLineChars="200"/>
        <w:outlineLvl w:val="2"/>
        <w:rPr>
          <w:rFonts w:ascii="仿宋" w:hAnsi="仿宋" w:eastAsia="仿宋"/>
          <w:color w:val="000000"/>
          <w:sz w:val="32"/>
          <w:szCs w:val="32"/>
        </w:rPr>
      </w:pPr>
      <w:bookmarkStart w:id="28" w:name="_Toc79163625"/>
      <w:bookmarkStart w:id="29" w:name="_Toc79163875"/>
      <w:r>
        <w:rPr>
          <w:rFonts w:hint="eastAsia" w:ascii="仿宋" w:hAnsi="仿宋" w:eastAsia="仿宋"/>
          <w:b/>
          <w:color w:val="000000"/>
          <w:sz w:val="32"/>
          <w:szCs w:val="32"/>
        </w:rPr>
        <w:t>（一）机关运行经费支出情况</w:t>
      </w:r>
      <w:bookmarkEnd w:id="28"/>
      <w:bookmarkEnd w:id="29"/>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年，机关运行经费支出</w:t>
      </w:r>
      <w:r>
        <w:rPr>
          <w:rFonts w:hint="eastAsia" w:ascii="仿宋_GB2312" w:eastAsia="仿宋_GB2312"/>
          <w:color w:val="000000"/>
          <w:sz w:val="32"/>
          <w:szCs w:val="32"/>
          <w:lang w:val="en-US" w:eastAsia="zh-CN"/>
        </w:rPr>
        <w:t>6.89</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减少3.73</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下降35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30" w:name="_Toc79163626"/>
      <w:bookmarkStart w:id="31" w:name="_Toc79163876"/>
      <w:r>
        <w:rPr>
          <w:rFonts w:hint="eastAsia" w:ascii="仿宋" w:hAnsi="仿宋" w:eastAsia="仿宋"/>
          <w:b/>
          <w:color w:val="000000"/>
          <w:sz w:val="32"/>
          <w:szCs w:val="32"/>
        </w:rPr>
        <w:t>（二）政府采购支出情况</w:t>
      </w:r>
      <w:bookmarkEnd w:id="30"/>
      <w:bookmarkEnd w:id="3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32" w:name="_Toc79163877"/>
      <w:bookmarkStart w:id="33" w:name="_Toc79163627"/>
      <w:r>
        <w:rPr>
          <w:rFonts w:hint="eastAsia" w:ascii="仿宋" w:hAnsi="仿宋" w:eastAsia="仿宋"/>
          <w:b/>
          <w:color w:val="000000"/>
          <w:sz w:val="32"/>
          <w:szCs w:val="32"/>
        </w:rPr>
        <w:t>（三）国有资产占有使用情况</w:t>
      </w:r>
      <w:bookmarkEnd w:id="32"/>
      <w:bookmarkEnd w:id="33"/>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日，县妇联共有车辆1辆，其中：主要领导干部用车0辆、机要通信用车0辆、应急保障用车0辆、其他用车1辆。</w:t>
      </w:r>
      <w:r>
        <w:rPr>
          <w:rFonts w:hint="eastAsia" w:ascii="仿宋_GB2312" w:eastAsia="仿宋_GB2312"/>
          <w:color w:val="000000" w:themeColor="text1"/>
          <w:sz w:val="32"/>
          <w:szCs w:val="32"/>
          <w14:textFill>
            <w14:solidFill>
              <w14:schemeClr w14:val="tx1"/>
            </w14:solidFill>
          </w14:textFill>
        </w:rPr>
        <w:t>其他用车主要是用于妇联姐妹宣讲团宣讲工作及妇联日常工作。</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34" w:name="_Toc79163878"/>
      <w:bookmarkStart w:id="35" w:name="_Toc79163628"/>
      <w:r>
        <w:rPr>
          <w:rFonts w:hint="eastAsia" w:ascii="仿宋" w:hAnsi="仿宋" w:eastAsia="仿宋"/>
          <w:b/>
          <w:color w:val="000000"/>
          <w:sz w:val="32"/>
          <w:szCs w:val="32"/>
        </w:rPr>
        <w:t>（四）预算绩效管理情况</w:t>
      </w:r>
      <w:bookmarkEnd w:id="34"/>
      <w:bookmarkEnd w:id="35"/>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根据预算绩效管理要求，本部门（单位）在年初预算编制阶段，组织对妇女儿童办公室办公经费项目、姐妹宣讲团工作经费项目开展了预算事前绩效评估，对</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个项目编制了绩效目标，预算执行过程中，选取</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个项目开展绩效监控，年终执行完毕后，对</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个项目开展了绩效目标完成情况自评。</w:t>
      </w:r>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本部门按要求对</w:t>
      </w:r>
      <w:r>
        <w:rPr>
          <w:rFonts w:hint="eastAsia" w:ascii="仿宋_GB2312" w:eastAsia="仿宋_GB2312"/>
          <w:color w:val="000000" w:themeColor="text1"/>
          <w:sz w:val="32"/>
          <w:szCs w:val="32"/>
          <w:lang w:val="en-US" w:eastAsia="zh-CN"/>
          <w14:textFill>
            <w14:solidFill>
              <w14:schemeClr w14:val="tx1"/>
            </w14:solidFill>
          </w14:textFill>
        </w:rPr>
        <w:t>2021</w:t>
      </w:r>
      <w:r>
        <w:rPr>
          <w:rFonts w:hint="eastAsia" w:ascii="仿宋_GB2312" w:eastAsia="仿宋_GB2312"/>
          <w:color w:val="000000" w:themeColor="text1"/>
          <w:sz w:val="32"/>
          <w:szCs w:val="32"/>
          <w14:textFill>
            <w14:solidFill>
              <w14:schemeClr w14:val="tx1"/>
            </w14:solidFill>
          </w14:textFill>
        </w:rPr>
        <w:t>年部门整体支出开展绩效自评，从评价情况来看本部门对</w:t>
      </w:r>
      <w:r>
        <w:rPr>
          <w:rFonts w:hint="eastAsia" w:ascii="仿宋_GB2312" w:eastAsia="仿宋_GB2312"/>
          <w:color w:val="000000" w:themeColor="text1"/>
          <w:sz w:val="32"/>
          <w:szCs w:val="32"/>
          <w:lang w:val="en-US" w:eastAsia="zh-CN"/>
          <w14:textFill>
            <w14:solidFill>
              <w14:schemeClr w14:val="tx1"/>
            </w14:solidFill>
          </w14:textFill>
        </w:rPr>
        <w:t>2021</w:t>
      </w:r>
      <w:r>
        <w:rPr>
          <w:rFonts w:hint="eastAsia" w:ascii="仿宋_GB2312" w:eastAsia="仿宋_GB2312"/>
          <w:color w:val="000000" w:themeColor="text1"/>
          <w:sz w:val="32"/>
          <w:szCs w:val="32"/>
          <w14:textFill>
            <w14:solidFill>
              <w14:schemeClr w14:val="tx1"/>
            </w14:solidFill>
          </w14:textFill>
        </w:rPr>
        <w:t>年整体支出开展绩效自评，自评得分</w:t>
      </w:r>
      <w:r>
        <w:rPr>
          <w:rFonts w:hint="eastAsia" w:ascii="仿宋_GB2312" w:eastAsia="仿宋_GB2312"/>
          <w:color w:val="000000" w:themeColor="text1"/>
          <w:sz w:val="32"/>
          <w:szCs w:val="32"/>
          <w:lang w:val="en-US" w:eastAsia="zh-CN"/>
          <w14:textFill>
            <w14:solidFill>
              <w14:schemeClr w14:val="tx1"/>
            </w14:solidFill>
          </w14:textFill>
        </w:rPr>
        <w:t>95</w:t>
      </w:r>
      <w:r>
        <w:rPr>
          <w:rFonts w:hint="eastAsia" w:ascii="仿宋_GB2312" w:eastAsia="仿宋_GB2312"/>
          <w:color w:val="000000" w:themeColor="text1"/>
          <w:sz w:val="32"/>
          <w:szCs w:val="32"/>
          <w14:textFill>
            <w14:solidFill>
              <w14:schemeClr w14:val="tx1"/>
            </w14:solidFill>
          </w14:textFill>
        </w:rPr>
        <w:t>分，评价情况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存在的问题：一是部门特性目标待完善，二是是机制待完善。下一步改进措施：一是加强学习进一步规范，二是完善各项目机制。</w:t>
      </w:r>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项目绩效目标完成情况。</w:t>
      </w:r>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本部门在</w:t>
      </w:r>
      <w:r>
        <w:rPr>
          <w:rFonts w:hint="eastAsia" w:ascii="仿宋_GB2312" w:eastAsia="仿宋_GB2312"/>
          <w:color w:val="000000" w:themeColor="text1"/>
          <w:sz w:val="32"/>
          <w:szCs w:val="32"/>
          <w:lang w:val="en-US" w:eastAsia="zh-CN"/>
          <w14:textFill>
            <w14:solidFill>
              <w14:schemeClr w14:val="tx1"/>
            </w14:solidFill>
          </w14:textFill>
        </w:rPr>
        <w:t>2021</w:t>
      </w:r>
      <w:r>
        <w:rPr>
          <w:rFonts w:hint="eastAsia" w:ascii="仿宋_GB2312" w:eastAsia="仿宋_GB2312"/>
          <w:color w:val="000000" w:themeColor="text1"/>
          <w:sz w:val="32"/>
          <w:szCs w:val="32"/>
          <w14:textFill>
            <w14:solidFill>
              <w14:schemeClr w14:val="tx1"/>
            </w14:solidFill>
          </w14:textFill>
        </w:rPr>
        <w:t>年度部门决算中反映“姐妹宣讲团工作经费”</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个项目绩效目标实际完成情况。</w:t>
      </w:r>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“姐妹宣讲团工作经费”项目绩效目标完成情况综述。项目全年预算数</w:t>
      </w:r>
      <w:r>
        <w:rPr>
          <w:rFonts w:hint="eastAsia" w:ascii="仿宋_GB2312" w:eastAsia="仿宋_GB2312"/>
          <w:color w:val="000000" w:themeColor="text1"/>
          <w:sz w:val="32"/>
          <w:szCs w:val="32"/>
          <w:lang w:val="en-US" w:eastAsia="zh-CN"/>
          <w14:textFill>
            <w14:solidFill>
              <w14:schemeClr w14:val="tx1"/>
            </w14:solidFill>
          </w14:textFill>
        </w:rPr>
        <w:t>10</w:t>
      </w:r>
      <w:r>
        <w:rPr>
          <w:rFonts w:hint="eastAsia" w:ascii="仿宋_GB2312" w:eastAsia="仿宋_GB2312"/>
          <w:color w:val="000000" w:themeColor="text1"/>
          <w:sz w:val="32"/>
          <w:szCs w:val="32"/>
          <w14:textFill>
            <w14:solidFill>
              <w14:schemeClr w14:val="tx1"/>
            </w14:solidFill>
          </w14:textFill>
        </w:rPr>
        <w:t>万元，执行数为</w:t>
      </w:r>
      <w:r>
        <w:rPr>
          <w:rFonts w:hint="eastAsia" w:ascii="仿宋_GB2312" w:eastAsia="仿宋_GB2312"/>
          <w:color w:val="000000" w:themeColor="text1"/>
          <w:sz w:val="32"/>
          <w:szCs w:val="32"/>
          <w:lang w:val="en-US" w:eastAsia="zh-CN"/>
          <w14:textFill>
            <w14:solidFill>
              <w14:schemeClr w14:val="tx1"/>
            </w14:solidFill>
          </w14:textFill>
        </w:rPr>
        <w:t>5.57</w:t>
      </w:r>
      <w:r>
        <w:rPr>
          <w:rFonts w:hint="eastAsia" w:ascii="仿宋_GB2312" w:eastAsia="仿宋_GB2312"/>
          <w:color w:val="000000" w:themeColor="text1"/>
          <w:sz w:val="32"/>
          <w:szCs w:val="32"/>
          <w14:textFill>
            <w14:solidFill>
              <w14:schemeClr w14:val="tx1"/>
            </w14:solidFill>
          </w14:textFill>
        </w:rPr>
        <w:t>万元，完成预算的</w:t>
      </w:r>
      <w:r>
        <w:rPr>
          <w:rFonts w:hint="eastAsia" w:ascii="仿宋_GB2312" w:eastAsia="仿宋_GB2312"/>
          <w:color w:val="000000" w:themeColor="text1"/>
          <w:sz w:val="32"/>
          <w:szCs w:val="32"/>
          <w:lang w:val="en-US" w:eastAsia="zh-CN"/>
          <w14:textFill>
            <w14:solidFill>
              <w14:schemeClr w14:val="tx1"/>
            </w14:solidFill>
          </w14:textFill>
        </w:rPr>
        <w:t>55.7</w:t>
      </w:r>
      <w:r>
        <w:rPr>
          <w:rFonts w:hint="eastAsia" w:ascii="仿宋_GB2312" w:eastAsia="仿宋_GB2312"/>
          <w:color w:val="000000" w:themeColor="text1"/>
          <w:sz w:val="32"/>
          <w:szCs w:val="32"/>
          <w14:textFill>
            <w14:solidFill>
              <w14:schemeClr w14:val="tx1"/>
            </w14:solidFill>
          </w14:textFill>
        </w:rPr>
        <w:t>%。通过项目实施，保障各乡镇妇女了解到各项会议精神及法律法规政策，维护社会安定。姐妹宣讲团每年深入各乡镇、村（社区）及远牧点开展宣讲工作，并为广大妇女群众购买卫生用品。发现的主要问题：无。下一步改进措施：无。</w:t>
      </w:r>
    </w:p>
    <w:p>
      <w:pPr>
        <w:spacing w:line="580" w:lineRule="exact"/>
        <w:ind w:firstLine="640" w:firstLineChars="200"/>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sz w:val="32"/>
                <w:szCs w:val="32"/>
              </w:rPr>
              <w:t>“2012902-姐妹宣讲团工作经费”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b/>
                <w:color w:val="000000"/>
                <w:sz w:val="24"/>
              </w:rPr>
              <w:t>红原县妇女联合会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5.57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5.57</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完成质量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符合绩效目标设定的验收标准，达到行业基准水平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eastAsia="宋体" w:cs="宋体"/>
                <w:color w:val="000000"/>
                <w:sz w:val="20"/>
                <w:szCs w:val="2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cs="宋体"/>
                <w:color w:val="000000"/>
                <w:sz w:val="20"/>
                <w:szCs w:val="20"/>
                <w:lang w:val="en-US" w:eastAsia="zh-CN"/>
              </w:rPr>
              <w:t>60</w:t>
            </w:r>
            <w:r>
              <w:rPr>
                <w:rFonts w:hint="eastAsia" w:ascii="宋体" w:hAnsi="宋体" w:eastAsia="宋体" w:cs="宋体"/>
                <w:color w:val="000000"/>
                <w:sz w:val="20"/>
                <w:szCs w:val="20"/>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完成时效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（实际完成时间-绩效目标设定完成时间）/绩效目标设定完成时间×100%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eastAsia="宋体" w:cs="宋体"/>
                <w:color w:val="000000"/>
                <w:sz w:val="20"/>
                <w:szCs w:val="20"/>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color w:val="000000"/>
                <w:sz w:val="24"/>
                <w:lang w:val="en-US" w:eastAsia="zh-CN"/>
              </w:rPr>
            </w:pPr>
            <w:r>
              <w:rPr>
                <w:rFonts w:hint="eastAsia" w:ascii="宋体" w:hAnsi="宋体" w:cs="宋体"/>
                <w:color w:val="000000"/>
                <w:sz w:val="20"/>
                <w:szCs w:val="20"/>
                <w:lang w:val="en-US" w:eastAsia="zh-CN"/>
              </w:rPr>
              <w:t>6</w:t>
            </w:r>
            <w:r>
              <w:rPr>
                <w:rFonts w:hint="eastAsia" w:ascii="宋体" w:hAnsi="宋体" w:eastAsia="宋体" w:cs="宋体"/>
                <w:color w:val="000000"/>
                <w:sz w:val="20"/>
                <w:szCs w:val="20"/>
              </w:rPr>
              <w:t>0%</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60</w:t>
            </w:r>
            <w:r>
              <w:rPr>
                <w:rFonts w:hint="eastAsia" w:ascii="宋体" w:hAnsi="宋体" w:eastAsia="宋体" w:cs="宋体"/>
                <w:color w:val="000000"/>
                <w:sz w:val="24"/>
                <w:lang w:val="en-US" w:eastAsia="zh-CN"/>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反映相关产出对经济社会发展带来的影响和效果，根据项目实际细化具体指标。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cs="宋体"/>
                <w:color w:val="000000"/>
                <w:sz w:val="24"/>
                <w:lang w:val="en-US" w:eastAsia="zh-CN"/>
              </w:rPr>
              <w:t>6</w:t>
            </w:r>
            <w:r>
              <w:rPr>
                <w:rFonts w:hint="eastAsia" w:ascii="宋体" w:hAnsi="宋体" w:eastAsia="宋体" w:cs="宋体"/>
                <w:color w:val="000000"/>
                <w:sz w:val="24"/>
                <w:lang w:val="en-US" w:eastAsia="zh-CN"/>
              </w:rPr>
              <w:t>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反映相关产出对社会发展带来的影响和效果，根据项目实际细化具体指标。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cs="宋体"/>
                <w:color w:val="000000"/>
                <w:sz w:val="24"/>
                <w:lang w:val="en-US" w:eastAsia="zh-CN"/>
              </w:rPr>
              <w:t>6</w:t>
            </w:r>
            <w:r>
              <w:rPr>
                <w:rFonts w:hint="eastAsia" w:ascii="宋体" w:hAnsi="宋体" w:eastAsia="宋体" w:cs="宋体"/>
                <w:color w:val="000000"/>
                <w:sz w:val="24"/>
                <w:lang w:val="en-US" w:eastAsia="zh-CN"/>
              </w:rPr>
              <w:t>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kern w:val="0"/>
                <w:sz w:val="24"/>
                <w:lang w:val="en-US" w:eastAsia="zh-CN" w:bidi="ar"/>
              </w:rPr>
            </w:pPr>
            <w:r>
              <w:rPr>
                <w:rFonts w:hint="eastAsia" w:ascii="宋体" w:cs="宋体"/>
                <w:color w:val="000000"/>
                <w:kern w:val="0"/>
                <w:sz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可持续效益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反映相关产出带来影响的可持续期限，根据项目实际细化具体指标。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cs="宋体"/>
                <w:color w:val="000000"/>
                <w:sz w:val="24"/>
                <w:lang w:val="en-US" w:eastAsia="zh-CN"/>
              </w:rPr>
              <w:t>6</w:t>
            </w:r>
            <w:r>
              <w:rPr>
                <w:rFonts w:hint="eastAsia" w:ascii="宋体" w:hAnsi="宋体" w:eastAsia="宋体" w:cs="宋体"/>
                <w:color w:val="000000"/>
                <w:sz w:val="24"/>
                <w:lang w:val="en-US" w:eastAsia="zh-CN"/>
              </w:rPr>
              <w:t>0%</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反映相关产出带来影响的可持续期限，根据项目实际细化具体指标。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0"/>
                <w:szCs w:val="20"/>
                <w:lang w:bidi="ar"/>
              </w:rPr>
              <w:t>反映服务对象或项目受益人对相关产出及其影响的认可程度，根据项目实际细化具体指标。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rPr>
            </w:pPr>
            <w:r>
              <w:rPr>
                <w:rFonts w:hint="eastAsia" w:ascii="宋体" w:hAnsi="宋体" w:cs="宋体"/>
                <w:color w:val="000000"/>
                <w:sz w:val="24"/>
                <w:lang w:val="en-US" w:eastAsia="zh-CN"/>
              </w:rPr>
              <w:t>6</w:t>
            </w:r>
            <w:r>
              <w:rPr>
                <w:rFonts w:hint="eastAsia" w:ascii="宋体" w:hAnsi="宋体" w:eastAsia="宋体" w:cs="宋体"/>
                <w:color w:val="000000"/>
                <w:sz w:val="24"/>
                <w:lang w:val="en-US" w:eastAsia="zh-CN"/>
              </w:rPr>
              <w:t>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年部门整体支出绩效评价情况开展自评，《红原县妇联部门部门</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ind w:firstLine="640" w:firstLineChars="200"/>
        <w:jc w:val="left"/>
        <w:rPr>
          <w:rFonts w:hint="eastAsia"/>
          <w:lang w:val="en-US" w:eastAsia="zh-CN"/>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姐妹宣讲团工作进行</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val="en-US" w:eastAsia="zh-CN"/>
        </w:rPr>
        <w:t>姐妹宣讲团工作经费</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pStyle w:val="11"/>
        <w:adjustRightInd w:val="0"/>
        <w:snapToGrid w:val="0"/>
        <w:spacing w:before="0" w:line="440" w:lineRule="exact"/>
        <w:jc w:val="center"/>
        <w:rPr>
          <w:rFonts w:hint="eastAsia" w:ascii="方正黑体_GBK" w:hAnsi="方正黑体_GBK" w:eastAsia="方正黑体_GBK" w:cs="方正黑体_GBK"/>
          <w:b/>
          <w:bCs/>
          <w:i w:val="0"/>
          <w:iCs w:val="0"/>
          <w:kern w:val="2"/>
          <w:sz w:val="44"/>
          <w:szCs w:val="44"/>
          <w:lang w:val="en-US" w:eastAsia="zh-CN"/>
        </w:rPr>
      </w:pPr>
      <w:r>
        <w:rPr>
          <w:rFonts w:hint="eastAsia" w:ascii="方正黑体_GBK" w:hAnsi="方正黑体_GBK" w:eastAsia="方正黑体_GBK" w:cs="方正黑体_GBK"/>
          <w:b/>
          <w:bCs/>
          <w:i w:val="0"/>
          <w:iCs w:val="0"/>
          <w:kern w:val="2"/>
          <w:sz w:val="44"/>
          <w:szCs w:val="44"/>
          <w:lang w:val="en-US" w:eastAsia="zh-CN"/>
        </w:rPr>
        <w:t>第三部分名词解释</w:t>
      </w:r>
    </w:p>
    <w:p>
      <w:pPr>
        <w:rPr>
          <w:rFonts w:hint="eastAsia"/>
          <w:lang w:val="en-US" w:eastAsia="zh-CN"/>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sz w:val="32"/>
          <w:szCs w:val="32"/>
        </w:rPr>
        <w:t>2012901-行政运行支出该支出主要用于支付职工工资、退休费以及公务运行费.</w:t>
      </w:r>
    </w:p>
    <w:p>
      <w:pPr>
        <w:pStyle w:val="14"/>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4"/>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rPr>
        <w:t>2100409-重大公共卫生专项支出，该支出主要用于支付“两癌”患者医疗救助金；2101101-行政单位医疗支出，该支出主要用于支付职工医疗保险金。</w:t>
      </w:r>
    </w:p>
    <w:p>
      <w:pPr>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sz w:val="32"/>
          <w:szCs w:val="32"/>
        </w:rPr>
        <w:t>2210201-住房公积金支出，该支出主要用于支付职工住房公积金。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 w:hAnsi="仿宋" w:eastAsia="仿宋"/>
          <w:b/>
          <w:color w:val="000000"/>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4"/>
        <w:keepNext w:val="0"/>
        <w:keepLines w:val="0"/>
        <w:widowControl/>
        <w:suppressLineNumbers w:val="0"/>
        <w:spacing w:before="0" w:beforeAutospacing="0"/>
        <w:ind w:left="0"/>
        <w:jc w:val="left"/>
        <w:rPr>
          <w:rStyle w:val="17"/>
          <w:shd w:val="clear" w:fill="FFFFFF"/>
        </w:rPr>
      </w:pPr>
    </w:p>
    <w:p>
      <w:pPr>
        <w:pStyle w:val="14"/>
        <w:keepNext w:val="0"/>
        <w:keepLines w:val="0"/>
        <w:widowControl/>
        <w:suppressLineNumbers w:val="0"/>
        <w:spacing w:before="0" w:beforeAutospacing="0"/>
        <w:ind w:left="0"/>
        <w:jc w:val="left"/>
        <w:rPr>
          <w:rFonts w:hint="eastAsia" w:ascii="仿宋_GB2312" w:eastAsia="仿宋_GB2312"/>
          <w:color w:val="000000"/>
          <w:sz w:val="32"/>
          <w:szCs w:val="32"/>
          <w:lang w:val="en-US" w:eastAsia="zh-CN"/>
        </w:rPr>
      </w:pPr>
      <w:r>
        <w:rPr>
          <w:rStyle w:val="17"/>
          <w:shd w:val="clear" w:fill="FFFFFF"/>
        </w:rPr>
        <w:t>（解释本部门决算报表中涉及的全部功能分类科目至项级，不涉及的科目请自行删除。请参照《2021年政府收支分类科目》增减内容。）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hint="eastAsia"/>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1"/>
        <w:adjustRightInd w:val="0"/>
        <w:snapToGrid w:val="0"/>
        <w:spacing w:before="0" w:line="440" w:lineRule="exact"/>
        <w:jc w:val="left"/>
        <w:rPr>
          <w:rFonts w:hint="eastAsia" w:ascii="黑体" w:hAnsi="黑体" w:eastAsia="黑体" w:cs="黑体"/>
          <w:sz w:val="32"/>
          <w:szCs w:val="32"/>
        </w:rPr>
      </w:pPr>
    </w:p>
    <w:p>
      <w:pPr>
        <w:pStyle w:val="11"/>
        <w:adjustRightInd w:val="0"/>
        <w:snapToGrid w:val="0"/>
        <w:spacing w:before="0" w:line="440" w:lineRule="exact"/>
        <w:jc w:val="center"/>
        <w:rPr>
          <w:rFonts w:hint="eastAsia" w:ascii="方正黑体_GBK" w:hAnsi="方正黑体_GBK" w:eastAsia="方正黑体_GBK" w:cs="方正黑体_GBK"/>
          <w:b/>
          <w:bCs/>
          <w:i w:val="0"/>
          <w:iCs w:val="0"/>
          <w:kern w:val="2"/>
          <w:sz w:val="44"/>
          <w:szCs w:val="44"/>
          <w:lang w:val="en-US" w:eastAsia="zh-CN"/>
        </w:rPr>
      </w:pPr>
      <w:r>
        <w:rPr>
          <w:rFonts w:hint="eastAsia" w:ascii="方正黑体_GBK" w:hAnsi="方正黑体_GBK" w:eastAsia="方正黑体_GBK" w:cs="方正黑体_GBK"/>
          <w:b/>
          <w:bCs/>
          <w:i w:val="0"/>
          <w:iCs w:val="0"/>
          <w:kern w:val="2"/>
          <w:sz w:val="44"/>
          <w:szCs w:val="44"/>
          <w:lang w:val="en-US" w:eastAsia="zh-CN"/>
        </w:rPr>
        <w:t>第四部分附件</w:t>
      </w:r>
    </w:p>
    <w:p>
      <w:pPr>
        <w:spacing w:line="600" w:lineRule="exact"/>
        <w:jc w:val="left"/>
        <w:outlineLvl w:val="0"/>
        <w:rPr>
          <w:rFonts w:hint="eastAsia" w:ascii="黑体" w:hAnsi="黑体" w:eastAsia="黑体" w:cs="黑体"/>
          <w:sz w:val="32"/>
          <w:szCs w:val="32"/>
        </w:rPr>
      </w:pPr>
      <w:bookmarkStart w:id="36" w:name="_Toc79163631"/>
      <w:bookmarkStart w:id="37" w:name="_Toc79163881"/>
      <w:bookmarkStart w:id="38" w:name="_Toc79163882"/>
      <w:bookmarkStart w:id="39" w:name="_Toc79163632"/>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bookmarkEnd w:id="36"/>
      <w:bookmarkEnd w:id="37"/>
    </w:p>
    <w:p>
      <w:pPr>
        <w:spacing w:line="600" w:lineRule="exact"/>
        <w:jc w:val="center"/>
        <w:outlineLvl w:val="0"/>
        <w:rPr>
          <w:rFonts w:hint="eastAsia" w:ascii="方正小标宋简体" w:hAnsi="黑体" w:eastAsia="方正小标宋简体" w:cs="黑体"/>
          <w:sz w:val="44"/>
          <w:szCs w:val="44"/>
          <w:lang w:val="en-US" w:eastAsia="zh-CN"/>
        </w:rPr>
      </w:pP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lang w:val="en-US" w:eastAsia="zh-CN"/>
        </w:rPr>
        <w:t>妇联</w:t>
      </w:r>
      <w:r>
        <w:rPr>
          <w:rFonts w:hint="eastAsia" w:ascii="方正小标宋简体" w:hAnsi="黑体" w:eastAsia="方正小标宋简体" w:cs="黑体"/>
          <w:sz w:val="44"/>
          <w:szCs w:val="44"/>
        </w:rPr>
        <w:t>部门</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年部门整体支出绩效评价报告</w:t>
      </w:r>
      <w:bookmarkEnd w:id="38"/>
      <w:bookmarkEnd w:id="39"/>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48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bCs/>
          <w:sz w:val="32"/>
          <w:szCs w:val="32"/>
        </w:rPr>
        <w:t>我单位为独立核算全额拨款行政单位</w:t>
      </w:r>
    </w:p>
    <w:p>
      <w:pPr>
        <w:widowControl/>
        <w:numPr>
          <w:ilvl w:val="0"/>
          <w:numId w:val="4"/>
        </w:numPr>
        <w:adjustRightInd w:val="0"/>
        <w:snapToGrid w:val="0"/>
        <w:spacing w:line="48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机构职能。</w:t>
      </w:r>
    </w:p>
    <w:p>
      <w:pPr>
        <w:pStyle w:val="14"/>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（1）坚持正确的政治方向，团结、教育全县各族各界妇女以及各类妇女组织同党中央在思想上、政治上、行动上保持高度一致。</w:t>
      </w:r>
    </w:p>
    <w:p>
      <w:pPr>
        <w:pStyle w:val="14"/>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(2）紧密围绕县委、县政府的中心任务开展工作，团结、动员、组织全县妇女群众参与经济社会发展，努力推进中方县妇女儿童事业的发展。</w:t>
      </w:r>
    </w:p>
    <w:p>
      <w:pPr>
        <w:pStyle w:val="14"/>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(3)宣传马克思主义妇女观和男女平等思想，教育、引导妇女树立正确的世界观、人生观、价值观，弘扬“自尊、自信、自立、自强”的精神，积极开展对妇女的科技文化及生产劳动技能教育，全面提高妇女素质。</w:t>
      </w:r>
    </w:p>
    <w:p>
      <w:pPr>
        <w:pStyle w:val="14"/>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(5)坚持为妇女儿童服务、为基层服务，加强与社会各界的联系，协调、推动社会各界为妇女儿童办好事、办实事。</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(6)加强与社会各界妇女的联系，巩固和扩大各族各界妇女的大团结。</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(7)加强妇联组织自身建设，指导建立健全各级妇联和基层妇女组织。指导各级妇女组织按照章程独立自主地开展工作。加强干部队伍建设，提高妇联干部的整体素质。</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(8)承担县妇女儿童工作委员会的日常工作。</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lang w:val="zh-CN"/>
        </w:rPr>
      </w:pPr>
      <w:r>
        <w:rPr>
          <w:rFonts w:hint="eastAsia" w:ascii="仿宋_GB2312" w:hAnsi="仿宋_GB2312" w:eastAsia="仿宋_GB2312" w:cs="仿宋_GB2312"/>
          <w:bCs/>
          <w:kern w:val="2"/>
          <w:sz w:val="32"/>
          <w:szCs w:val="32"/>
        </w:rPr>
        <w:t>(9)承办县委、县政府和市妇联交办的其他事项。</w:t>
      </w:r>
    </w:p>
    <w:p>
      <w:pPr>
        <w:widowControl/>
        <w:adjustRightInd w:val="0"/>
        <w:snapToGrid w:val="0"/>
        <w:spacing w:line="48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（三）人员概况。</w:t>
      </w:r>
    </w:p>
    <w:p>
      <w:pPr>
        <w:widowControl/>
        <w:adjustRightInd w:val="0"/>
        <w:snapToGrid w:val="0"/>
        <w:spacing w:line="480" w:lineRule="exact"/>
        <w:ind w:firstLine="720"/>
        <w:jc w:val="both"/>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sz w:val="32"/>
          <w:szCs w:val="32"/>
        </w:rPr>
        <w:t>本单位上年末有编制人数6人、实有人数5人；本年度年末编制人数6人、实有人数5人。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napToGrid w:val="0"/>
        <w:spacing w:line="520" w:lineRule="exact"/>
        <w:ind w:firstLine="640" w:firstLineChars="200"/>
        <w:jc w:val="both"/>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年红原县妇联本年收入合计121.9</w:t>
      </w:r>
      <w:r>
        <w:rPr>
          <w:rFonts w:hint="eastAsia" w:ascii="仿宋" w:hAnsi="仿宋" w:eastAsia="仿宋"/>
          <w:color w:val="000000"/>
          <w:sz w:val="32"/>
          <w:szCs w:val="32"/>
        </w:rPr>
        <w:t>万元。</w:t>
      </w:r>
      <w:r>
        <w:rPr>
          <w:rFonts w:hint="eastAsia" w:ascii="仿宋_GB2312" w:hAnsi="仿宋_GB2312" w:eastAsia="仿宋_GB2312" w:cs="仿宋_GB2312"/>
          <w:color w:val="000000"/>
          <w:sz w:val="32"/>
          <w:szCs w:val="32"/>
        </w:rPr>
        <w:t>其中：一般公共预算财政拨款收入121.</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99.75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其他收入0.3，占0.25%。</w:t>
      </w:r>
    </w:p>
    <w:p>
      <w:pPr>
        <w:widowControl/>
        <w:numPr>
          <w:ilvl w:val="0"/>
          <w:numId w:val="4"/>
        </w:numPr>
        <w:adjustRightInd w:val="0"/>
        <w:snapToGrid w:val="0"/>
        <w:spacing w:line="480" w:lineRule="exact"/>
        <w:ind w:firstLine="720"/>
        <w:jc w:val="both"/>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部门财政资金支出情况。</w:t>
      </w:r>
    </w:p>
    <w:p>
      <w:pPr>
        <w:spacing w:line="560" w:lineRule="exact"/>
        <w:ind w:firstLine="640" w:firstLineChars="200"/>
        <w:jc w:val="both"/>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年红原县妇联本年</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合计121.9</w:t>
      </w:r>
      <w:r>
        <w:rPr>
          <w:rFonts w:hint="eastAsia" w:ascii="仿宋" w:hAnsi="仿宋" w:eastAsia="仿宋"/>
          <w:color w:val="000000"/>
          <w:sz w:val="32"/>
          <w:szCs w:val="32"/>
        </w:rPr>
        <w:t>万元。</w:t>
      </w:r>
      <w:r>
        <w:rPr>
          <w:rFonts w:hint="eastAsia" w:ascii="仿宋_GB2312" w:hAnsi="仿宋_GB2312" w:eastAsia="仿宋_GB2312" w:cs="仿宋_GB2312"/>
          <w:color w:val="000000"/>
          <w:sz w:val="32"/>
          <w:szCs w:val="32"/>
        </w:rPr>
        <w:t>其中：基本支出108.42万元，占</w:t>
      </w:r>
      <w:r>
        <w:rPr>
          <w:rFonts w:hint="eastAsia" w:ascii="仿宋_GB2312" w:hAnsi="仿宋_GB2312" w:eastAsia="仿宋_GB2312" w:cs="仿宋_GB2312"/>
          <w:color w:val="000000"/>
          <w:sz w:val="32"/>
          <w:szCs w:val="32"/>
          <w:lang w:val="en-US" w:eastAsia="zh-CN"/>
        </w:rPr>
        <w:t>88.94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项目支出13.48，占11.06%。</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bidi="ar"/>
        </w:rPr>
        <w:t>（二）执行管理情况。</w:t>
      </w:r>
      <w:r>
        <w:rPr>
          <w:rFonts w:hint="eastAsia" w:ascii="楷体" w:hAnsi="楷体" w:eastAsia="楷体" w:cs="宋体"/>
          <w:color w:val="000000"/>
          <w:kern w:val="0"/>
          <w:sz w:val="32"/>
          <w:lang w:val="zh-CN" w:bidi="ar"/>
        </w:rPr>
        <w:tab/>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1.县级财力专项预算分配时限、中央专款分配合规率：</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我单位</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val="zh-CN"/>
        </w:rPr>
        <w:t>年无县级财力专项预算和中央专款。</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zh-CN"/>
        </w:rPr>
        <w:t>部门预算执行进度情况：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val="zh-CN"/>
        </w:rPr>
        <w:t>年我单位财政预算实际到位数为</w:t>
      </w:r>
      <w:r>
        <w:rPr>
          <w:rFonts w:hint="eastAsia" w:ascii="仿宋_GB2312" w:hAnsi="仿宋_GB2312" w:eastAsia="仿宋_GB2312" w:cs="仿宋_GB2312"/>
          <w:color w:val="000000"/>
          <w:sz w:val="32"/>
          <w:szCs w:val="32"/>
        </w:rPr>
        <w:t>121.</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zh-CN"/>
        </w:rPr>
        <w:t>万元，年中财政调整预算</w:t>
      </w:r>
      <w:r>
        <w:rPr>
          <w:rFonts w:hint="eastAsia" w:ascii="仿宋_GB2312" w:hAnsi="仿宋_GB2312" w:eastAsia="仿宋_GB2312" w:cs="仿宋_GB2312"/>
          <w:color w:val="000000"/>
          <w:sz w:val="32"/>
          <w:szCs w:val="32"/>
        </w:rPr>
        <w:t>121.</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zh-CN"/>
        </w:rPr>
        <w:t>万元。</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zh-CN"/>
        </w:rPr>
        <w:t>.中期评估工作：</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按照要求，对纳入部门预算进行了中期评估论证。</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机关节能降耗</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建立节约型社会是党中央、国务院做出的一项重要部署。建设节约型机关，是建设节约型社会的重要组成部分，县妇联着力降低行政运行成本，节约用水用电、精简会议、完善采购制度节约办公消耗品。</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zh-CN"/>
        </w:rPr>
        <w:t>“三公”经费预算执行情况：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严格落实中央八项规定和省委省政府十项规定，厉行节约管理“三公”经费，全年压缩了公车预算，国外接待人数减少。20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lang w:val="zh-CN"/>
        </w:rPr>
        <w:t>年“三公经费</w:t>
      </w:r>
      <w:r>
        <w:rPr>
          <w:rFonts w:hint="eastAsia" w:ascii="仿宋_GB2312" w:hAnsi="仿宋_GB2312" w:eastAsia="仿宋_GB2312" w:cs="仿宋_GB2312"/>
          <w:color w:val="000000"/>
          <w:sz w:val="32"/>
          <w:szCs w:val="32"/>
          <w:lang w:val="en-US" w:eastAsia="zh-CN"/>
        </w:rPr>
        <w:t>3.08</w:t>
      </w:r>
      <w:r>
        <w:rPr>
          <w:rFonts w:hint="eastAsia" w:ascii="仿宋_GB2312" w:hAnsi="仿宋_GB2312" w:eastAsia="仿宋_GB2312" w:cs="仿宋_GB2312"/>
          <w:color w:val="000000"/>
          <w:sz w:val="32"/>
          <w:szCs w:val="32"/>
          <w:lang w:val="zh-CN"/>
        </w:rPr>
        <w:t>万元,完成预算100%。公务用车购置及运行维护费支出决算比2018年</w:t>
      </w:r>
      <w:r>
        <w:rPr>
          <w:rFonts w:hint="eastAsia" w:ascii="仿宋_GB2312" w:hAnsi="仿宋_GB2312" w:eastAsia="仿宋_GB2312" w:cs="仿宋_GB2312"/>
          <w:color w:val="000000"/>
          <w:sz w:val="32"/>
          <w:szCs w:val="32"/>
          <w:lang w:val="en-US" w:eastAsia="zh-CN"/>
        </w:rPr>
        <w:t>增加1.84</w:t>
      </w:r>
      <w:r>
        <w:rPr>
          <w:rFonts w:hint="eastAsia" w:ascii="仿宋_GB2312" w:hAnsi="仿宋_GB2312" w:eastAsia="仿宋_GB2312" w:cs="仿宋_GB2312"/>
          <w:color w:val="000000"/>
          <w:sz w:val="32"/>
          <w:szCs w:val="32"/>
          <w:lang w:val="zh-CN"/>
        </w:rPr>
        <w:t>万元，</w:t>
      </w:r>
      <w:r>
        <w:rPr>
          <w:rFonts w:hint="eastAsia" w:ascii="仿宋_GB2312" w:eastAsia="仿宋_GB2312"/>
          <w:color w:val="000000"/>
          <w:sz w:val="32"/>
          <w:szCs w:val="32"/>
        </w:rPr>
        <w:t>增长</w:t>
      </w:r>
      <w:r>
        <w:rPr>
          <w:rFonts w:hint="eastAsia" w:ascii="仿宋_GB2312" w:eastAsia="仿宋_GB2312"/>
          <w:color w:val="000000"/>
          <w:sz w:val="32"/>
          <w:szCs w:val="32"/>
          <w:lang w:val="en-US" w:eastAsia="zh-CN"/>
        </w:rPr>
        <w:t>148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2021维修车辆和在全县宣讲24余场次</w:t>
      </w:r>
      <w:r>
        <w:rPr>
          <w:rFonts w:hint="eastAsia" w:ascii="仿宋_GB2312" w:hAnsi="仿宋_GB2312" w:eastAsia="仿宋_GB2312" w:cs="仿宋_GB2312"/>
          <w:color w:val="000000"/>
          <w:sz w:val="32"/>
          <w:szCs w:val="32"/>
        </w:rPr>
        <w:t>。</w:t>
      </w:r>
    </w:p>
    <w:p>
      <w:pPr>
        <w:numPr>
          <w:ilvl w:val="0"/>
          <w:numId w:val="0"/>
        </w:num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zh-CN"/>
        </w:rPr>
        <w:t>综合管理情况：</w:t>
      </w:r>
    </w:p>
    <w:p>
      <w:pPr>
        <w:shd w:val="solid" w:color="FFFFFF" w:fill="auto"/>
        <w:autoSpaceDE w:val="0"/>
        <w:autoSpaceDN w:val="0"/>
        <w:spacing w:beforeLines="0" w:afterLines="0" w:line="570" w:lineRule="exact"/>
        <w:ind w:firstLine="640" w:firstLineChars="200"/>
        <w:rPr>
          <w:rFonts w:hint="eastAsia"/>
          <w:lang w:val="zh-CN"/>
        </w:rPr>
      </w:pPr>
      <w:r>
        <w:rPr>
          <w:rFonts w:hint="eastAsia" w:ascii="仿宋_GB2312" w:hAnsi="仿宋_GB2312" w:eastAsia="仿宋_GB2312"/>
          <w:color w:val="auto"/>
          <w:sz w:val="32"/>
          <w:lang w:val="en-US" w:eastAsia="zh-CN"/>
        </w:rPr>
        <w:t>2021</w:t>
      </w:r>
      <w:r>
        <w:rPr>
          <w:rFonts w:hint="eastAsia" w:ascii="仿宋_GB2312" w:hAnsi="仿宋_GB2312" w:eastAsia="仿宋_GB2312"/>
          <w:color w:val="auto"/>
          <w:sz w:val="32"/>
        </w:rPr>
        <w:t>年，红原县妇联在县委的坚强领导下，在县政府的大力支持下，在州妇联的指导</w:t>
      </w:r>
      <w:r>
        <w:rPr>
          <w:rFonts w:hint="eastAsia" w:ascii="仿宋_GB2312" w:hAnsi="仿宋_GB2312" w:eastAsia="仿宋_GB2312"/>
          <w:color w:val="auto"/>
          <w:sz w:val="32"/>
          <w:lang w:eastAsia="zh-CN"/>
        </w:rPr>
        <w:t>和关心下</w:t>
      </w:r>
      <w:r>
        <w:rPr>
          <w:rFonts w:hint="eastAsia" w:ascii="仿宋_GB2312" w:hAnsi="仿宋_GB2312" w:eastAsia="仿宋_GB2312"/>
          <w:color w:val="auto"/>
          <w:sz w:val="32"/>
        </w:rPr>
        <w:t>，按照年度工作目标任务，以构建和谐社会关系为工作核心，以加强妇联组织建设为基础，以开展“姐妹宣讲团”活动等品牌工作为统领，工作方式不断创新，工作成效不断凸显，维护好了广大妇女群众的合法权益，为推进红原建设发挥了一定的作用。</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lang w:val="zh-CN"/>
        </w:rPr>
        <w:t>资产管理情况：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红原县妇女联合会按照</w:t>
      </w:r>
      <w:r>
        <w:rPr>
          <w:rFonts w:hint="eastAsia" w:ascii="仿宋_GB2312" w:hAnsi="仿宋_GB2312" w:eastAsia="仿宋_GB2312" w:cs="仿宋_GB2312"/>
          <w:color w:val="000000"/>
          <w:sz w:val="32"/>
          <w:szCs w:val="32"/>
          <w:lang w:val="en-US" w:eastAsia="zh-CN"/>
        </w:rPr>
        <w:t>红原</w:t>
      </w:r>
      <w:r>
        <w:rPr>
          <w:rFonts w:hint="eastAsia" w:ascii="仿宋_GB2312" w:hAnsi="仿宋_GB2312" w:eastAsia="仿宋_GB2312" w:cs="仿宋_GB2312"/>
          <w:color w:val="000000"/>
          <w:sz w:val="32"/>
          <w:szCs w:val="32"/>
          <w:lang w:val="zh-CN"/>
        </w:rPr>
        <w:t>县财政局资产管理要求，设置专人管理固定资产信息系统和更新数据，按规定组织资产清查和报送国有资产报表。</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val="zh-CN"/>
        </w:rPr>
        <w:t>内控制度管理情况：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红原县妇女联合会制定有预算管理制度、收入管理制度、政府采购业务管理制度、资产管理制度和合同管理办法等方面的内部控制制度。</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信息公开情况：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红原县妇女联合会按照县财政局相关要求，在县政府统一的公开网站对</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val="zh-CN"/>
        </w:rPr>
        <w:t>年预算、决算进行了公开。</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包括部门职责履行结果、重点项目绩效评价结果和服务对象满意度等。</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zh-CN"/>
        </w:rPr>
        <w:t>部门职责履行结果：</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val="zh-CN"/>
        </w:rPr>
        <w:t>年，红原县妇联在县委的坚强领导下，在县政府的大力支持下，在州妇联的指导和关心下，按照年度工作目标任务，以构建和谐社会关系为工作核心，以加强妇联组织建设为基础，以开展“姐妹宣讲团”活动等品牌工作为统领，工作方式不断创新，工作成效不断凸显，维护好了广大妇女群众的合法权益，为推进红原建设发挥了一定的作用。</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社会经济效益分析</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u w:val="none"/>
          <w:lang w:val="en-US" w:eastAsia="zh-CN"/>
        </w:rPr>
      </w:pPr>
      <w:r>
        <w:rPr>
          <w:rFonts w:hint="eastAsia" w:ascii="仿宋_GB2312" w:hAnsi="仿宋_GB2312" w:eastAsia="仿宋_GB2312" w:cs="仿宋_GB2312"/>
          <w:b w:val="0"/>
          <w:bCs w:val="0"/>
          <w:kern w:val="2"/>
          <w:sz w:val="32"/>
          <w:szCs w:val="22"/>
          <w:u w:val="none"/>
          <w:lang w:val="en-US" w:eastAsia="zh-CN"/>
        </w:rPr>
        <w:t>组织“关爱草原阿妈”姐妹宣讲团深入邛溪镇达格龙村、玛萨村开展新一轮宣讲工作。宣讲团成员围绕“重大理论宣传、民生政策解读、道德风尚弘扬、健康知识传播”四个方面内容，用浅显的语言结合实际案例，为前来听讲的妇女群众解读党的理论政策和富民惠民政策、学习先进典型事迹、讲解婚姻纠纷中常见的法律问题和妇女疾病防治常识等。生动朴实的“乡音土话”、翔实鲜活的“身边故事”使前来听讲的妇女群众受益匪浅，妇女群众们纷纷反映这样的宣讲“听得懂，用得上”。</w:t>
      </w:r>
      <w:r>
        <w:rPr>
          <w:rFonts w:hint="eastAsia" w:ascii="仿宋_GB2312" w:hAnsi="仿宋_GB2312" w:eastAsia="仿宋_GB2312" w:cs="仿宋_GB2312"/>
          <w:sz w:val="32"/>
          <w:u w:val="none"/>
          <w:lang w:val="en-US" w:eastAsia="zh-CN"/>
        </w:rPr>
        <w:t>此次宣讲活动中还发放汉</w:t>
      </w:r>
      <w:r>
        <w:rPr>
          <w:rFonts w:hint="eastAsia" w:hAnsi="仿宋_GB2312" w:cs="仿宋_GB2312"/>
          <w:sz w:val="32"/>
          <w:u w:val="none"/>
          <w:lang w:val="en-US" w:eastAsia="zh-CN"/>
        </w:rPr>
        <w:t>藏</w:t>
      </w:r>
      <w:r>
        <w:rPr>
          <w:rFonts w:hint="eastAsia" w:ascii="仿宋_GB2312" w:hAnsi="仿宋_GB2312" w:eastAsia="仿宋_GB2312" w:cs="仿宋_GB2312"/>
          <w:sz w:val="32"/>
          <w:u w:val="none"/>
          <w:lang w:val="en-US" w:eastAsia="zh-CN"/>
        </w:rPr>
        <w:t>双语宣传资料1000余份、发放价值1.7万元的卫生生活用品，1200余名妇女群众受益。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Style w:val="14"/>
        <w:widowControl/>
        <w:shd w:val="clear" w:color="auto" w:fill="FFFFFF"/>
        <w:spacing w:before="0" w:beforeAutospacing="0" w:after="0" w:afterAutospacing="0" w:line="600" w:lineRule="atLeast"/>
        <w:ind w:firstLine="645"/>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1.我单位在预算管理上的力度加强，增强了预算的计划性、科学性，使预算管理的约束控制力得到充分发挥；</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2.在内部控制文化建设方面积极培育符合我单位实际情况的内部控制文化，使内控意识和内控文化渗透到每一位干部职工思想深处，使内控成为每位干部职工的自觉行为。</w:t>
      </w:r>
    </w:p>
    <w:p>
      <w:pPr>
        <w:pStyle w:val="14"/>
        <w:widowControl/>
        <w:shd w:val="clear" w:color="auto" w:fill="FFFFFF"/>
        <w:spacing w:before="0" w:beforeAutospacing="0" w:after="0" w:afterAutospacing="0" w:line="600" w:lineRule="atLeast"/>
        <w:ind w:firstLine="645"/>
        <w:rPr>
          <w:rFonts w:hint="eastAsia" w:ascii="楷体_GB2312" w:hAnsi="楷体_GB2312" w:eastAsia="楷体_GB2312" w:cs="楷体_GB2312"/>
          <w:b/>
          <w:bCs/>
          <w:color w:val="000000"/>
          <w:sz w:val="32"/>
          <w:szCs w:val="32"/>
          <w:lang w:val="zh-CN"/>
        </w:rPr>
      </w:pPr>
      <w:r>
        <w:rPr>
          <w:rFonts w:hint="eastAsia" w:ascii="楷体_GB2312" w:hAnsi="楷体_GB2312" w:eastAsia="楷体_GB2312" w:cs="楷体_GB2312"/>
          <w:b/>
          <w:bCs/>
          <w:color w:val="000000"/>
          <w:sz w:val="32"/>
          <w:szCs w:val="32"/>
          <w:lang w:val="zh-CN"/>
        </w:rPr>
        <w:t>（二）存在问题</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县妇联人员有限，编制只有</w:t>
      </w: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lang w:val="zh-CN"/>
        </w:rPr>
        <w:t>个，</w:t>
      </w:r>
      <w:r>
        <w:rPr>
          <w:rFonts w:hint="eastAsia" w:ascii="仿宋_GB2312" w:hAnsi="仿宋_GB2312" w:eastAsia="仿宋_GB2312" w:cs="仿宋_GB2312"/>
          <w:color w:val="000000"/>
          <w:sz w:val="32"/>
          <w:szCs w:val="32"/>
          <w:lang w:val="en-US" w:eastAsia="zh-CN"/>
        </w:rPr>
        <w:t>在职5人包含改非领导1人，</w:t>
      </w:r>
      <w:r>
        <w:rPr>
          <w:rFonts w:hint="eastAsia" w:ascii="仿宋_GB2312" w:hAnsi="仿宋_GB2312" w:eastAsia="仿宋_GB2312" w:cs="仿宋_GB2312"/>
          <w:color w:val="000000"/>
          <w:sz w:val="32"/>
          <w:szCs w:val="32"/>
          <w:lang w:val="zh-CN"/>
        </w:rPr>
        <w:t>很难做到会计岗位轮岗的要求。在接下来的工作里，我们竭尽所能将人员配齐，严格按照内部控制规范制度行事。</w:t>
      </w:r>
    </w:p>
    <w:p>
      <w:pPr>
        <w:pStyle w:val="14"/>
        <w:widowControl/>
        <w:shd w:val="clear" w:color="auto" w:fill="FFFFFF"/>
        <w:spacing w:before="0" w:beforeAutospacing="0" w:after="0" w:afterAutospacing="0" w:line="600" w:lineRule="atLeast"/>
        <w:ind w:firstLine="645"/>
        <w:rPr>
          <w:rFonts w:hint="eastAsia" w:ascii="楷体_GB2312" w:hAnsi="楷体_GB2312" w:eastAsia="楷体_GB2312" w:cs="楷体_GB2312"/>
          <w:b/>
          <w:bCs/>
          <w:color w:val="000000"/>
          <w:sz w:val="32"/>
          <w:szCs w:val="32"/>
          <w:lang w:val="zh-CN"/>
        </w:rPr>
      </w:pPr>
      <w:r>
        <w:rPr>
          <w:rFonts w:hint="eastAsia" w:ascii="楷体_GB2312" w:hAnsi="楷体_GB2312" w:eastAsia="楷体_GB2312" w:cs="楷体_GB2312"/>
          <w:b/>
          <w:bCs/>
          <w:color w:val="000000"/>
          <w:sz w:val="32"/>
          <w:szCs w:val="32"/>
          <w:lang w:val="zh-CN"/>
        </w:rPr>
        <w:t>（三）改进建议</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财政部门定期对各机关单位进行各类财务培训，加大培训力度，促进各单位事业的健康、可持续发展。</w:t>
      </w:r>
    </w:p>
    <w:p>
      <w:pPr>
        <w:spacing w:line="240" w:lineRule="auto"/>
        <w:jc w:val="left"/>
        <w:outlineLvl w:val="0"/>
        <w:rPr>
          <w:rFonts w:hint="eastAsia" w:ascii="黑体" w:hAnsi="黑体" w:eastAsia="黑体" w:cs="黑体"/>
          <w:sz w:val="32"/>
          <w:szCs w:val="32"/>
        </w:rPr>
      </w:pPr>
      <w:bookmarkStart w:id="40" w:name="_Toc79163633"/>
      <w:bookmarkStart w:id="41" w:name="_Toc79163883"/>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bookmarkEnd w:id="40"/>
      <w:bookmarkEnd w:id="41"/>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简体" w:hAnsi="黑体" w:eastAsia="方正小标宋简体" w:cs="黑体"/>
          <w:sz w:val="44"/>
          <w:szCs w:val="44"/>
        </w:rPr>
      </w:pPr>
      <w:bookmarkStart w:id="42" w:name="_Toc79163634"/>
      <w:bookmarkStart w:id="43" w:name="_Toc79163884"/>
      <w:r>
        <w:rPr>
          <w:rFonts w:hint="eastAsia" w:ascii="方正小标宋简体" w:hAnsi="黑体" w:eastAsia="方正小标宋简体" w:cs="黑体"/>
          <w:sz w:val="44"/>
          <w:szCs w:val="44"/>
          <w:lang w:val="en-US" w:eastAsia="zh-CN"/>
        </w:rPr>
        <w:t>姐妹宣讲团工作经费</w:t>
      </w:r>
      <w:r>
        <w:rPr>
          <w:rFonts w:hint="eastAsia" w:ascii="方正小标宋简体" w:hAnsi="黑体" w:eastAsia="方正小标宋简体" w:cs="黑体"/>
          <w:sz w:val="44"/>
          <w:szCs w:val="44"/>
        </w:rPr>
        <w:t>项目202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年绩效评价报告</w:t>
      </w:r>
      <w:bookmarkEnd w:id="42"/>
      <w:bookmarkEnd w:id="43"/>
    </w:p>
    <w:p>
      <w:pPr>
        <w:spacing w:line="600" w:lineRule="exact"/>
        <w:rPr>
          <w:rFonts w:ascii="宋体"/>
          <w:sz w:val="32"/>
          <w:szCs w:val="32"/>
          <w:lang w:val="zh-CN"/>
        </w:rPr>
      </w:pPr>
    </w:p>
    <w:p>
      <w:pPr>
        <w:adjustRightInd w:val="0"/>
        <w:snapToGrid w:val="0"/>
        <w:spacing w:line="600" w:lineRule="exact"/>
        <w:ind w:firstLine="720"/>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自组建“关爱草原阿妈---姐妹宣讲团”以来，县妇联每年利用牧闲时间组织宣讲团成员深入全县各乡镇、村（社区）以及偏远牧户家中，用汉藏双语、面对面地向广大妇女同胞宣讲《妇女儿童权益保障法》《未成年人保护法》《反家暴法》等与生活息息相关的法律法规，经过“姐妹宣讲团”多年的宣讲和思想引领，我县广大妇女群众懂得了如何用法律的手段来维护自己的权益。</w:t>
      </w:r>
    </w:p>
    <w:p>
      <w:pPr>
        <w:numPr>
          <w:ilvl w:val="0"/>
          <w:numId w:val="5"/>
        </w:num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项目资金申报及批复情况。</w:t>
      </w:r>
    </w:p>
    <w:p>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该项目严格按照财政要求进行</w:t>
      </w:r>
      <w:r>
        <w:rPr>
          <w:rFonts w:hint="eastAsia" w:ascii="仿宋_GB2312" w:hAnsi="仿宋_GB2312" w:eastAsia="仿宋_GB2312" w:cs="仿宋_GB2312"/>
          <w:sz w:val="32"/>
          <w:szCs w:val="32"/>
          <w:lang w:val="zh-CN"/>
        </w:rPr>
        <w:t>资金申报，</w:t>
      </w:r>
      <w:r>
        <w:rPr>
          <w:rFonts w:hint="eastAsia" w:ascii="仿宋_GB2312" w:hAnsi="仿宋_GB2312" w:eastAsia="仿宋_GB2312" w:cs="仿宋_GB2312"/>
          <w:sz w:val="32"/>
          <w:szCs w:val="32"/>
          <w:lang w:val="en-US" w:eastAsia="zh-CN"/>
        </w:rPr>
        <w:t>财政按照县妇联申报资料进行项目</w:t>
      </w:r>
      <w:r>
        <w:rPr>
          <w:rFonts w:hint="eastAsia" w:ascii="仿宋_GB2312" w:hAnsi="仿宋_GB2312" w:eastAsia="仿宋_GB2312" w:cs="仿宋_GB2312"/>
          <w:sz w:val="32"/>
          <w:szCs w:val="32"/>
          <w:lang w:val="zh-CN"/>
        </w:rPr>
        <w:t>批复。</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该项目资金主要用于姐妹宣讲团深入各乡镇、（村）社区</w:t>
      </w:r>
      <w:r>
        <w:rPr>
          <w:rFonts w:hint="eastAsia" w:ascii="仿宋_GB2312" w:hAnsi="仿宋_GB2312" w:eastAsia="仿宋_GB2312" w:cs="仿宋_GB2312"/>
          <w:sz w:val="32"/>
          <w:szCs w:val="32"/>
          <w:lang w:val="en-US" w:eastAsia="zh-CN"/>
        </w:rPr>
        <w:t>和尼姑寺宣讲</w:t>
      </w:r>
      <w:r>
        <w:rPr>
          <w:rFonts w:hint="eastAsia" w:ascii="仿宋_GB2312" w:hAnsi="仿宋_GB2312" w:eastAsia="仿宋_GB2312" w:cs="仿宋_GB2312"/>
          <w:b w:val="0"/>
          <w:bCs w:val="0"/>
          <w:color w:val="auto"/>
          <w:kern w:val="2"/>
          <w:sz w:val="32"/>
          <w:szCs w:val="22"/>
          <w:u w:val="none"/>
          <w:lang w:val="en-US" w:eastAsia="zh-CN" w:bidi="zh-CN"/>
        </w:rPr>
        <w:t>习近平新时代中国特色社会主义思想、</w:t>
      </w:r>
      <w:r>
        <w:rPr>
          <w:rFonts w:hint="eastAsia" w:ascii="仿宋_GB2312" w:hAnsi="仿宋_GB2312" w:eastAsia="仿宋_GB2312" w:cs="仿宋_GB2312"/>
          <w:color w:val="000000"/>
          <w:sz w:val="32"/>
          <w:szCs w:val="32"/>
          <w:shd w:val="clear" w:color="auto" w:fill="FFFFFF"/>
        </w:rPr>
        <w:t>习近平总书记关于家庭文明建设的系列重要指示</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b w:val="0"/>
          <w:bCs w:val="0"/>
          <w:color w:val="auto"/>
          <w:kern w:val="2"/>
          <w:sz w:val="32"/>
          <w:szCs w:val="22"/>
          <w:u w:val="none"/>
          <w:lang w:val="en-US" w:eastAsia="zh-CN" w:bidi="zh-CN"/>
        </w:rPr>
        <w:t>党的十九届五中全会、省委十一届八次全会、州委十一届十次全会精神和县委十二届十二次全会会议精神，各项富民惠民政策和卫生保健、疾病预防等知识。同时，还讲解了疫情防控、森林草原防灭火、妇女维权典型案例、男女平等基本国策、《民法典》《反家庭暴力法》等内容，切实增强了妇女群众的法制意识、维权意识。</w:t>
      </w:r>
      <w:r>
        <w:rPr>
          <w:rFonts w:hint="eastAsia" w:ascii="仿宋_GB2312" w:hAnsi="仿宋_GB2312" w:eastAsia="仿宋_GB2312" w:cs="仿宋_GB2312"/>
          <w:sz w:val="32"/>
          <w:szCs w:val="32"/>
        </w:rPr>
        <w:t>引导广大妇女牢固树立“四个意识”，切实增强“四个自信”，坚决做到“两个维护”，坚定不移跟党走、奋力建功新时代。准确深入解读党中央和省委、州委、县委作出的重大判断、重大部署，宣传省委、州委、县委关于促进经济社会持续健康发展的重大政策措施</w:t>
      </w:r>
      <w:r>
        <w:rPr>
          <w:rFonts w:hint="eastAsia" w:ascii="仿宋_GB2312" w:hAnsi="仿宋_GB2312" w:eastAsia="仿宋_GB2312" w:cs="仿宋_GB2312"/>
          <w:sz w:val="32"/>
          <w:szCs w:val="32"/>
          <w:lang w:val="en-US" w:eastAsia="zh-CN"/>
        </w:rPr>
        <w:t>及国家富民惠民政策，</w:t>
      </w:r>
      <w:r>
        <w:rPr>
          <w:rFonts w:hint="eastAsia" w:ascii="仿宋_GB2312" w:hAnsi="仿宋_GB2312" w:eastAsia="仿宋_GB2312" w:cs="仿宋_GB2312"/>
          <w:sz w:val="32"/>
          <w:szCs w:val="32"/>
        </w:rPr>
        <w:t>加强妇女儿童热点敏感问题的舆论引导，凝聚改革发展稳定正能量。项目目标完成情况：项目资金使用情况</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年部门预算姐妹宣讲团工作经费</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万元，截至</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月份，该项目资金财政拨款全部到位，资金到位率100%，实际支出</w:t>
      </w:r>
      <w:r>
        <w:rPr>
          <w:rFonts w:hint="eastAsia" w:ascii="仿宋_GB2312" w:hAnsi="仿宋_GB2312" w:eastAsia="仿宋_GB2312" w:cs="仿宋_GB2312"/>
          <w:sz w:val="32"/>
          <w:szCs w:val="32"/>
          <w:lang w:val="en-US" w:eastAsia="zh-CN"/>
        </w:rPr>
        <w:t>5.57</w:t>
      </w:r>
      <w:r>
        <w:rPr>
          <w:rFonts w:hint="eastAsia" w:ascii="仿宋_GB2312" w:hAnsi="仿宋_GB2312" w:eastAsia="仿宋_GB2312" w:cs="仿宋_GB2312"/>
          <w:sz w:val="32"/>
          <w:szCs w:val="32"/>
        </w:rPr>
        <w:t>万元，资金利用率达到</w:t>
      </w:r>
      <w:r>
        <w:rPr>
          <w:rFonts w:hint="eastAsia" w:ascii="仿宋_GB2312" w:hAnsi="仿宋_GB2312" w:eastAsia="仿宋_GB2312" w:cs="仿宋_GB2312"/>
          <w:sz w:val="32"/>
          <w:szCs w:val="32"/>
          <w:lang w:val="en-US" w:eastAsia="zh-CN"/>
        </w:rPr>
        <w:t>55.7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主要原因一是因为疫情防控不能聚集人员。2021</w:t>
      </w:r>
      <w:r>
        <w:rPr>
          <w:rFonts w:hint="eastAsia" w:ascii="仿宋_GB2312" w:hAnsi="仿宋_GB2312" w:eastAsia="仿宋_GB2312" w:cs="仿宋_GB2312"/>
          <w:sz w:val="32"/>
          <w:szCs w:val="32"/>
        </w:rPr>
        <w:t>年姐妹宣讲团工作专项资金主要用于宣讲工作。项目资金管理情况：县妇联严格执行财务和专项资金等管理制度，做到了费用支出制度健全，会计核算规范，无虚列、挤占、挪用情况，无超标准开支情况。群众满意度：</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numPr>
          <w:ilvl w:val="0"/>
          <w:numId w:val="5"/>
        </w:numPr>
        <w:adjustRightInd w:val="0"/>
        <w:snapToGrid w:val="0"/>
        <w:spacing w:line="600" w:lineRule="exact"/>
        <w:ind w:left="0" w:leftChars="0" w:firstLine="720" w:firstLineChars="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项目资金申报相符性。</w:t>
      </w:r>
    </w:p>
    <w:p>
      <w:pPr>
        <w:keepNext w:val="0"/>
        <w:keepLines w:val="0"/>
        <w:pageBreakBefore w:val="0"/>
        <w:widowControl w:val="0"/>
        <w:kinsoku/>
        <w:wordWrap/>
        <w:overflowPunct/>
        <w:topLinePunct w:val="0"/>
        <w:autoSpaceDE/>
        <w:autoSpaceDN/>
        <w:bidi w:val="0"/>
        <w:spacing w:line="6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自组建“关爱草原阿妈---姐妹宣讲团”以来，县妇联每年利用牧闲时间组织宣讲团成员深入全县各乡镇、村（社区）以及偏远牧户家中，用汉藏双语、面对面地向广大妇女同胞宣讲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民法典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妇女儿童权益保障法》《未成年人保护法》《反家暴法》等与生活息息相关的法律法规，经过“姐妹宣讲团”多年的宣讲和思想引领，我县广大妇女群众懂得了如何用法律的手段来维护自己的权益。该笔专项经费主要用于姐妹宣讲团发放宣讲资料，卫生用品，差旅费等。近年来，通过宣讲团的真诚服务、真心关爱和用心帮扶，为平常工作触角难以延伸到的远牧点的农村妇女送去了温暖、爱心和健康，赢得广大牧区妇女的信任支持，有效打通了联系服务农牧民群众的最后一公里，进一步密切了党群干群关系。</w:t>
      </w:r>
    </w:p>
    <w:p>
      <w:pPr>
        <w:adjustRightInd w:val="0"/>
        <w:snapToGrid w:val="0"/>
        <w:spacing w:line="600" w:lineRule="exact"/>
        <w:ind w:firstLine="72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pPr>
        <w:adjustRightInd w:val="0"/>
        <w:snapToGrid w:val="0"/>
        <w:spacing w:line="600" w:lineRule="exact"/>
        <w:ind w:firstLine="72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w:t>
      </w:r>
    </w:p>
    <w:p>
      <w:pPr>
        <w:ind w:left="210" w:leftChars="100"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红原县</w:t>
      </w:r>
      <w:r>
        <w:rPr>
          <w:rFonts w:hint="eastAsia" w:ascii="仿宋_GB2312" w:hAnsi="仿宋_GB2312" w:eastAsia="仿宋_GB2312" w:cs="仿宋_GB2312"/>
          <w:color w:val="000000"/>
          <w:kern w:val="0"/>
          <w:sz w:val="32"/>
          <w:szCs w:val="32"/>
        </w:rPr>
        <w:t>财政局年初预算中</w:t>
      </w:r>
      <w:r>
        <w:rPr>
          <w:rFonts w:hint="eastAsia" w:ascii="仿宋_GB2312" w:hAnsi="仿宋_GB2312" w:eastAsia="仿宋_GB2312" w:cs="仿宋_GB2312"/>
          <w:sz w:val="32"/>
          <w:szCs w:val="32"/>
          <w:lang w:val="en-US" w:eastAsia="zh-CN"/>
        </w:rPr>
        <w:t>姐妹宣讲团工作经费</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000000"/>
          <w:kern w:val="0"/>
          <w:sz w:val="32"/>
          <w:szCs w:val="32"/>
        </w:rPr>
        <w:t>预算资金指标为</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万元，经批复后下达，</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年该项目实际到位资金</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w:t>
      </w:r>
    </w:p>
    <w:p>
      <w:pPr>
        <w:numPr>
          <w:ilvl w:val="0"/>
          <w:numId w:val="6"/>
        </w:num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资金使用。</w:t>
      </w:r>
    </w:p>
    <w:p>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截止</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val="en-US" w:eastAsia="zh-CN"/>
        </w:rPr>
        <w:t>姐妹宣讲团工作经费</w:t>
      </w:r>
      <w:r>
        <w:rPr>
          <w:rFonts w:hint="eastAsia" w:ascii="仿宋_GB2312" w:hAnsi="仿宋_GB2312" w:eastAsia="仿宋_GB2312" w:cs="仿宋_GB2312"/>
          <w:color w:val="000000"/>
          <w:kern w:val="0"/>
          <w:sz w:val="32"/>
          <w:szCs w:val="32"/>
        </w:rPr>
        <w:t>项目实际支出</w:t>
      </w:r>
      <w:r>
        <w:rPr>
          <w:rFonts w:hint="eastAsia" w:ascii="仿宋_GB2312" w:hAnsi="仿宋_GB2312" w:eastAsia="仿宋_GB2312" w:cs="仿宋_GB2312"/>
          <w:color w:val="000000"/>
          <w:kern w:val="0"/>
          <w:sz w:val="32"/>
          <w:szCs w:val="32"/>
          <w:lang w:val="en-US" w:eastAsia="zh-CN"/>
        </w:rPr>
        <w:t>55700</w:t>
      </w:r>
      <w:r>
        <w:rPr>
          <w:rFonts w:hint="eastAsia" w:ascii="仿宋_GB2312" w:hAnsi="仿宋_GB2312" w:eastAsia="仿宋_GB2312" w:cs="仿宋_GB2312"/>
          <w:color w:val="000000"/>
          <w:kern w:val="0"/>
          <w:sz w:val="32"/>
          <w:szCs w:val="32"/>
        </w:rPr>
        <w:t>元（未支出金额</w:t>
      </w:r>
      <w:r>
        <w:rPr>
          <w:rFonts w:hint="eastAsia" w:ascii="仿宋_GB2312" w:hAnsi="仿宋_GB2312" w:eastAsia="仿宋_GB2312" w:cs="仿宋_GB2312"/>
          <w:color w:val="000000"/>
          <w:kern w:val="0"/>
          <w:sz w:val="32"/>
          <w:szCs w:val="32"/>
          <w:lang w:val="en-US" w:eastAsia="zh-CN"/>
        </w:rPr>
        <w:t>44300</w:t>
      </w:r>
      <w:r>
        <w:rPr>
          <w:rFonts w:hint="eastAsia" w:ascii="仿宋_GB2312" w:hAnsi="仿宋_GB2312" w:eastAsia="仿宋_GB2312" w:cs="仿宋_GB2312"/>
          <w:color w:val="000000"/>
          <w:kern w:val="0"/>
          <w:sz w:val="32"/>
          <w:szCs w:val="32"/>
        </w:rPr>
        <w:t>元，</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年年底财政已收回）</w:t>
      </w:r>
      <w:r>
        <w:rPr>
          <w:rFonts w:hint="eastAsia" w:ascii="仿宋_GB2312" w:hAnsi="仿宋_GB2312" w:eastAsia="仿宋_GB2312" w:cs="仿宋_GB2312"/>
          <w:color w:val="000000"/>
          <w:kern w:val="0"/>
          <w:sz w:val="32"/>
          <w:szCs w:val="32"/>
          <w:lang w:val="en-US" w:eastAsia="zh-CN"/>
        </w:rPr>
        <w:t>未支出较大主要原因：一是是2021年因为疫情防控原因不能组织大规模人员参加宣讲。</w:t>
      </w:r>
    </w:p>
    <w:p>
      <w:pPr>
        <w:adjustRightInd w:val="0"/>
        <w:snapToGrid w:val="0"/>
        <w:spacing w:line="600" w:lineRule="exact"/>
        <w:ind w:firstLine="72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pPr>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在项目</w:t>
      </w:r>
      <w:r>
        <w:rPr>
          <w:rFonts w:hint="eastAsia" w:ascii="仿宋_GB2312" w:hAnsi="仿宋_GB2312" w:eastAsia="仿宋_GB2312" w:cs="仿宋_GB2312"/>
          <w:color w:val="000000"/>
          <w:kern w:val="0"/>
          <w:sz w:val="32"/>
          <w:szCs w:val="32"/>
          <w:lang w:val="en-US" w:eastAsia="zh-CN"/>
        </w:rPr>
        <w:t>财务</w:t>
      </w:r>
      <w:r>
        <w:rPr>
          <w:rFonts w:hint="eastAsia" w:ascii="仿宋_GB2312" w:hAnsi="仿宋_GB2312" w:eastAsia="仿宋_GB2312" w:cs="仿宋_GB2312"/>
          <w:color w:val="000000"/>
          <w:kern w:val="0"/>
          <w:sz w:val="32"/>
          <w:szCs w:val="32"/>
        </w:rPr>
        <w:t>管理过程中，严格按照预算批复的要求，在预算范围内使用，专款专用。在资金支付过程中，严格按照规定使用款项，支付的每一笔款项都按部门财务管理制度办理了相关手续，并经</w:t>
      </w:r>
      <w:r>
        <w:rPr>
          <w:rFonts w:hint="eastAsia" w:ascii="仿宋_GB2312" w:hAnsi="仿宋_GB2312" w:eastAsia="仿宋_GB2312" w:cs="仿宋_GB2312"/>
          <w:color w:val="000000"/>
          <w:kern w:val="0"/>
          <w:sz w:val="32"/>
          <w:szCs w:val="32"/>
          <w:lang w:val="en-US" w:eastAsia="zh-CN"/>
        </w:rPr>
        <w:t>行财股</w:t>
      </w:r>
      <w:r>
        <w:rPr>
          <w:rFonts w:hint="eastAsia" w:ascii="仿宋_GB2312" w:hAnsi="仿宋_GB2312" w:eastAsia="仿宋_GB2312" w:cs="仿宋_GB2312"/>
          <w:color w:val="000000"/>
          <w:kern w:val="0"/>
          <w:sz w:val="32"/>
          <w:szCs w:val="32"/>
        </w:rPr>
        <w:t>审核，确保了资金支出的合理合规性，项目资金使用管理比较规范。</w:t>
      </w:r>
    </w:p>
    <w:p>
      <w:pPr>
        <w:adjustRightInd w:val="0"/>
        <w:snapToGrid w:val="0"/>
        <w:spacing w:line="600" w:lineRule="exact"/>
        <w:ind w:firstLine="72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理论宣讲教育项目是事务性行为管理，不存在招投标。我</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围绕</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政府的中心工作，组织实施</w:t>
      </w:r>
      <w:r>
        <w:rPr>
          <w:rFonts w:hint="eastAsia" w:ascii="仿宋_GB2312" w:hAnsi="仿宋_GB2312" w:eastAsia="仿宋_GB2312" w:cs="仿宋_GB2312"/>
          <w:sz w:val="32"/>
          <w:szCs w:val="32"/>
          <w:lang w:val="en-US" w:eastAsia="zh-CN"/>
        </w:rPr>
        <w:t>国家政策、法律法规、卫生健康</w:t>
      </w:r>
      <w:r>
        <w:rPr>
          <w:rFonts w:hint="eastAsia" w:ascii="仿宋_GB2312" w:hAnsi="仿宋_GB2312" w:eastAsia="仿宋_GB2312" w:cs="仿宋_GB2312"/>
          <w:sz w:val="32"/>
          <w:szCs w:val="32"/>
        </w:rPr>
        <w:t>宣传活动，各项活动的开展严格依照程序执行，各项活动均通过</w:t>
      </w:r>
      <w:r>
        <w:rPr>
          <w:rFonts w:hint="eastAsia" w:ascii="仿宋_GB2312" w:hAnsi="仿宋_GB2312" w:eastAsia="仿宋_GB2312" w:cs="仿宋_GB2312"/>
          <w:sz w:val="32"/>
          <w:szCs w:val="32"/>
          <w:lang w:val="en-US" w:eastAsia="zh-CN"/>
        </w:rPr>
        <w:t>县妇联</w:t>
      </w:r>
      <w:r>
        <w:rPr>
          <w:rFonts w:hint="eastAsia" w:ascii="仿宋_GB2312" w:hAnsi="仿宋_GB2312" w:eastAsia="仿宋_GB2312" w:cs="仿宋_GB2312"/>
          <w:sz w:val="32"/>
          <w:szCs w:val="32"/>
        </w:rPr>
        <w:t>办公室会议纪要讨论通过后方可实施。</w:t>
      </w:r>
    </w:p>
    <w:p>
      <w:pPr>
        <w:adjustRightInd w:val="0"/>
        <w:snapToGrid w:val="0"/>
        <w:spacing w:line="600" w:lineRule="exact"/>
        <w:ind w:firstLine="720"/>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三、项目绩效情况</w:t>
      </w:r>
      <w:r>
        <w:rPr>
          <w:rFonts w:hint="eastAsia" w:ascii="仿宋_GB2312" w:hAnsi="仿宋_GB2312" w:eastAsia="仿宋_GB2312" w:cs="仿宋_GB2312"/>
          <w:sz w:val="32"/>
          <w:szCs w:val="32"/>
          <w:lang w:val="zh-CN"/>
        </w:rPr>
        <w:tab/>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pStyle w:val="28"/>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1.项目的经济性分析</w:t>
      </w:r>
    </w:p>
    <w:p>
      <w:pPr>
        <w:pStyle w:val="28"/>
        <w:spacing w:line="240" w:lineRule="auto"/>
        <w:ind w:firstLineChars="0"/>
        <w:rPr>
          <w:rFonts w:hint="eastAsia" w:ascii="仿宋_GB2312" w:hAnsi="仿宋_GB2312" w:eastAsia="仿宋_GB2312" w:cs="仿宋_GB2312"/>
          <w:b w:val="0"/>
          <w:bCs/>
          <w:color w:val="000000"/>
          <w:kern w:val="0"/>
          <w:sz w:val="32"/>
          <w:szCs w:val="32"/>
        </w:rPr>
      </w:pPr>
      <w:r>
        <w:rPr>
          <w:rFonts w:hint="eastAsia" w:ascii="仿宋_GB2312" w:hAnsi="仿宋_GB2312" w:eastAsia="仿宋_GB2312" w:cs="仿宋_GB2312"/>
          <w:b w:val="0"/>
          <w:bCs/>
          <w:color w:val="000000"/>
          <w:kern w:val="0"/>
          <w:sz w:val="32"/>
          <w:szCs w:val="32"/>
        </w:rPr>
        <w:t>（1）项目成本（预算）控制情况</w:t>
      </w:r>
    </w:p>
    <w:p>
      <w:pPr>
        <w:adjustRightInd w:val="0"/>
        <w:snapToGrid w:val="0"/>
        <w:spacing w:line="600" w:lineRule="exact"/>
        <w:ind w:firstLine="72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sz w:val="32"/>
          <w:szCs w:val="32"/>
          <w:lang w:val="en-US" w:eastAsia="zh-CN"/>
        </w:rPr>
        <w:t>姐妹宣讲团工作经费</w:t>
      </w:r>
      <w:r>
        <w:rPr>
          <w:rFonts w:hint="eastAsia" w:ascii="仿宋_GB2312" w:hAnsi="仿宋_GB2312" w:eastAsia="仿宋_GB2312" w:cs="仿宋_GB2312"/>
          <w:sz w:val="32"/>
          <w:szCs w:val="32"/>
        </w:rPr>
        <w:t>项目</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年度年初预算金额</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万元，并于批复后下达用款指标，20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rPr>
        <w:t>年该项目实际到位资金</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w:t>
      </w:r>
      <w:r>
        <w:rPr>
          <w:rFonts w:hint="eastAsia" w:ascii="仿宋_GB2312" w:hAnsi="仿宋_GB2312" w:eastAsia="仿宋_GB2312" w:cs="仿宋_GB2312"/>
          <w:color w:val="000000"/>
          <w:kern w:val="0"/>
          <w:sz w:val="32"/>
          <w:szCs w:val="32"/>
          <w:lang w:eastAsia="zh-CN"/>
        </w:rPr>
        <w:t>。</w:t>
      </w:r>
    </w:p>
    <w:p>
      <w:pPr>
        <w:pStyle w:val="28"/>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（2）项目成本（预算）节约情况</w:t>
      </w:r>
    </w:p>
    <w:p>
      <w:pPr>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该</w:t>
      </w:r>
      <w:r>
        <w:rPr>
          <w:rFonts w:hint="eastAsia" w:ascii="仿宋_GB2312" w:hAnsi="仿宋_GB2312" w:eastAsia="仿宋_GB2312" w:cs="仿宋_GB2312"/>
          <w:color w:val="000000"/>
          <w:kern w:val="0"/>
          <w:sz w:val="32"/>
          <w:szCs w:val="32"/>
        </w:rPr>
        <w:t>项目</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年度预算金额</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万元，实际支出</w:t>
      </w:r>
      <w:r>
        <w:rPr>
          <w:rFonts w:hint="eastAsia" w:ascii="仿宋_GB2312" w:hAnsi="仿宋_GB2312" w:eastAsia="仿宋_GB2312" w:cs="仿宋_GB2312"/>
          <w:color w:val="000000"/>
          <w:kern w:val="0"/>
          <w:sz w:val="32"/>
          <w:szCs w:val="32"/>
          <w:lang w:val="en-US" w:eastAsia="zh-CN"/>
        </w:rPr>
        <w:t>5.57</w:t>
      </w:r>
      <w:r>
        <w:rPr>
          <w:rFonts w:hint="eastAsia" w:ascii="仿宋_GB2312" w:hAnsi="仿宋_GB2312" w:eastAsia="仿宋_GB2312" w:cs="仿宋_GB2312"/>
          <w:color w:val="000000"/>
          <w:kern w:val="0"/>
          <w:sz w:val="32"/>
          <w:szCs w:val="32"/>
        </w:rPr>
        <w:t>万元。本项目按照项目年初测算范围执行，确保款项专款专用，没发生其他额外成本。</w:t>
      </w:r>
    </w:p>
    <w:p>
      <w:pPr>
        <w:pStyle w:val="28"/>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2.项目的效率性分析</w:t>
      </w:r>
    </w:p>
    <w:p>
      <w:pPr>
        <w:pStyle w:val="28"/>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（1）项目的实施进度</w:t>
      </w:r>
    </w:p>
    <w:p>
      <w:pPr>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年项目预算资金</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万元，实际支出</w:t>
      </w:r>
      <w:r>
        <w:rPr>
          <w:rFonts w:hint="eastAsia" w:ascii="仿宋_GB2312" w:hAnsi="仿宋_GB2312" w:eastAsia="仿宋_GB2312" w:cs="仿宋_GB2312"/>
          <w:color w:val="000000"/>
          <w:kern w:val="0"/>
          <w:sz w:val="32"/>
          <w:szCs w:val="32"/>
          <w:lang w:val="en-US" w:eastAsia="zh-CN"/>
        </w:rPr>
        <w:t>5.57</w:t>
      </w:r>
      <w:r>
        <w:rPr>
          <w:rFonts w:hint="eastAsia" w:ascii="仿宋_GB2312" w:hAnsi="仿宋_GB2312" w:eastAsia="仿宋_GB2312" w:cs="仿宋_GB2312"/>
          <w:color w:val="000000"/>
          <w:kern w:val="0"/>
          <w:sz w:val="32"/>
          <w:szCs w:val="32"/>
        </w:rPr>
        <w:t>万元，资金使用按照拨付款进度基本完成年度工作任务。</w:t>
      </w:r>
    </w:p>
    <w:p>
      <w:pPr>
        <w:pStyle w:val="28"/>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color w:val="000000"/>
          <w:kern w:val="0"/>
          <w:sz w:val="32"/>
          <w:szCs w:val="32"/>
        </w:rPr>
        <w:t>（2）项目完成质量</w:t>
      </w:r>
    </w:p>
    <w:p>
      <w:pPr>
        <w:pStyle w:val="28"/>
        <w:spacing w:line="240" w:lineRule="auto"/>
        <w:ind w:firstLineChars="0"/>
        <w:rPr>
          <w:rFonts w:hint="eastAsia" w:ascii="仿宋_GB2312" w:hAnsi="仿宋_GB2312" w:eastAsia="仿宋_GB2312" w:cs="仿宋_GB2312"/>
          <w:b w:val="0"/>
          <w:color w:val="000000"/>
          <w:kern w:val="0"/>
          <w:sz w:val="32"/>
          <w:szCs w:val="32"/>
        </w:rPr>
      </w:pPr>
      <w:r>
        <w:rPr>
          <w:rFonts w:hint="eastAsia" w:ascii="仿宋_GB2312" w:hAnsi="仿宋_GB2312" w:eastAsia="仿宋_GB2312" w:cs="仿宋_GB2312"/>
          <w:b w:val="0"/>
          <w:sz w:val="32"/>
          <w:szCs w:val="32"/>
        </w:rPr>
        <w:t>该项目</w:t>
      </w:r>
      <w:r>
        <w:rPr>
          <w:rFonts w:hint="eastAsia" w:ascii="仿宋_GB2312" w:hAnsi="仿宋_GB2312" w:eastAsia="仿宋_GB2312" w:cs="仿宋_GB2312"/>
          <w:b w:val="0"/>
          <w:color w:val="000000"/>
          <w:kern w:val="0"/>
          <w:sz w:val="32"/>
          <w:szCs w:val="32"/>
        </w:rPr>
        <w:t>质量</w:t>
      </w:r>
      <w:r>
        <w:rPr>
          <w:rFonts w:hint="eastAsia" w:ascii="仿宋_GB2312" w:hAnsi="仿宋_GB2312" w:eastAsia="仿宋_GB2312" w:cs="仿宋_GB2312"/>
          <w:b w:val="0"/>
          <w:sz w:val="32"/>
          <w:szCs w:val="32"/>
        </w:rPr>
        <w:t>完成情况较好。</w:t>
      </w:r>
    </w:p>
    <w:p>
      <w:pPr>
        <w:numPr>
          <w:ilvl w:val="0"/>
          <w:numId w:val="5"/>
        </w:numPr>
        <w:adjustRightInd w:val="0"/>
        <w:snapToGrid w:val="0"/>
        <w:spacing w:line="600" w:lineRule="exact"/>
        <w:ind w:left="0" w:leftChars="0" w:firstLine="720" w:firstLineChars="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项目效益情况。</w:t>
      </w:r>
    </w:p>
    <w:p>
      <w:pPr>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项目资金使用情况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年部门预算姐妹宣讲团工作经费</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万元，截至</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月份，该项目资金财政拨款全部到位，资金到位率100%，实际支出</w:t>
      </w:r>
      <w:r>
        <w:rPr>
          <w:rFonts w:hint="eastAsia" w:ascii="仿宋_GB2312" w:hAnsi="仿宋_GB2312" w:eastAsia="仿宋_GB2312" w:cs="仿宋_GB2312"/>
          <w:sz w:val="32"/>
          <w:szCs w:val="32"/>
          <w:lang w:val="en-US" w:eastAsia="zh-CN"/>
        </w:rPr>
        <w:t>5.57</w:t>
      </w:r>
      <w:r>
        <w:rPr>
          <w:rFonts w:hint="eastAsia" w:ascii="仿宋_GB2312" w:hAnsi="仿宋_GB2312" w:eastAsia="仿宋_GB2312" w:cs="仿宋_GB2312"/>
          <w:sz w:val="32"/>
          <w:szCs w:val="32"/>
        </w:rPr>
        <w:t>万元，资金利用率达到</w:t>
      </w:r>
      <w:r>
        <w:rPr>
          <w:rFonts w:hint="eastAsia" w:ascii="仿宋_GB2312" w:hAnsi="仿宋_GB2312" w:eastAsia="仿宋_GB2312" w:cs="仿宋_GB2312"/>
          <w:sz w:val="32"/>
          <w:szCs w:val="32"/>
          <w:lang w:val="en-US" w:eastAsia="zh-CN"/>
        </w:rPr>
        <w:t>55.7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姐妹宣讲团工作专项资金主要用于宣讲工作。项目资金管理情况：县妇联严格执行财务和专项资金等管理制度，做到了费用支出制度健全，会计核算规范，无虚列、挤占、挪用情况，无超标准开支情况。群众满意度：98%。</w:t>
      </w:r>
    </w:p>
    <w:p>
      <w:pPr>
        <w:adjustRightInd w:val="0"/>
        <w:snapToGrid w:val="0"/>
        <w:spacing w:line="600" w:lineRule="exact"/>
        <w:ind w:firstLine="72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pPr>
        <w:adjustRightInd w:val="0"/>
        <w:snapToGrid w:val="0"/>
        <w:spacing w:line="600" w:lineRule="exact"/>
        <w:ind w:firstLine="72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pPr>
        <w:spacing w:line="360" w:lineRule="auto"/>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、党的基层理论宣传路径比较单一，常规的宣传形式就是利用课堂教学的方式开展，就理论问题的解释和方针政策的制定进行理论灌输，没有营造多渠道的宣传模式，直接对普通群众宣传教育灌输较少。</w:t>
      </w:r>
    </w:p>
    <w:p>
      <w:pPr>
        <w:spacing w:line="360" w:lineRule="auto"/>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基层理论宣传队伍薄弱，没有形成理论专家、专业技术人员、基层领导干部和普通群众组成的宣传队伍，现有的理论宣传，虽然着重于党的基本理论的系统宣讲，但理论阐述宣讲没有达到通俗化、具体化、大众化，理论宣讲的针对性不强。</w:t>
      </w:r>
    </w:p>
    <w:p>
      <w:pPr>
        <w:adjustRightInd w:val="0"/>
        <w:snapToGrid w:val="0"/>
        <w:spacing w:line="600" w:lineRule="exact"/>
        <w:ind w:firstLine="643" w:firstLineChars="200"/>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（二）相关建议。</w:t>
      </w:r>
    </w:p>
    <w:p>
      <w:pPr>
        <w:spacing w:line="360" w:lineRule="auto"/>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、坚持多渠道宣传宣讲，拓展多渠道理论宣传的新路，以推动文化资源共享工作为契机，大力推进“多网合一”的理论宣传模式，使基层理论宣传工作达到多渠道、广覆盖，充分满足群众对理论宣传的需求。</w:t>
      </w:r>
    </w:p>
    <w:p>
      <w:pPr>
        <w:spacing w:line="360" w:lineRule="auto"/>
        <w:ind w:firstLine="640" w:firstLineChars="200"/>
        <w:outlineLvl w:val="0"/>
        <w:rPr>
          <w:rFonts w:hint="eastAsia"/>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、加强宣传宣讲队伍建设，通过培训、研讨等多种形式提高专业宣传队伍的业务素质，提高理论宣传队伍的宣讲能力，增强宣讲的效果效应。</w:t>
      </w:r>
    </w:p>
    <w:p>
      <w:pPr>
        <w:pStyle w:val="11"/>
        <w:adjustRightInd w:val="0"/>
        <w:snapToGrid w:val="0"/>
        <w:spacing w:before="0" w:line="440" w:lineRule="exact"/>
        <w:jc w:val="center"/>
        <w:rPr>
          <w:rFonts w:hint="eastAsia" w:ascii="黑体" w:hAnsi="黑体" w:eastAsia="黑体" w:cs="黑体"/>
          <w:sz w:val="32"/>
          <w:szCs w:val="32"/>
        </w:rPr>
      </w:pPr>
    </w:p>
    <w:p>
      <w:pPr>
        <w:pStyle w:val="11"/>
        <w:adjustRightInd w:val="0"/>
        <w:snapToGrid w:val="0"/>
        <w:spacing w:before="0" w:line="440" w:lineRule="exact"/>
        <w:jc w:val="center"/>
        <w:rPr>
          <w:rFonts w:hint="eastAsia" w:ascii="方正黑体_GBK" w:hAnsi="方正黑体_GBK" w:eastAsia="方正黑体_GBK" w:cs="方正黑体_GBK"/>
          <w:b/>
          <w:bCs/>
          <w:i w:val="0"/>
          <w:iCs w:val="0"/>
          <w:kern w:val="2"/>
          <w:sz w:val="44"/>
          <w:szCs w:val="44"/>
          <w:lang w:val="en-US" w:eastAsia="zh-CN"/>
        </w:rPr>
      </w:pPr>
      <w:r>
        <w:rPr>
          <w:rFonts w:hint="eastAsia" w:ascii="方正黑体_GBK" w:hAnsi="方正黑体_GBK" w:eastAsia="方正黑体_GBK" w:cs="方正黑体_GBK"/>
          <w:b/>
          <w:bCs/>
          <w:i w:val="0"/>
          <w:iCs w:val="0"/>
          <w:kern w:val="2"/>
          <w:sz w:val="44"/>
          <w:szCs w:val="44"/>
          <w:lang w:val="en-US" w:eastAsia="zh-CN"/>
        </w:rPr>
        <w:t>第五部分附表</w:t>
      </w:r>
    </w:p>
    <w:p>
      <w:pPr>
        <w:rPr>
          <w:rFonts w:hint="eastAsia"/>
        </w:rPr>
      </w:pP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一、收入支出决算总表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二、收入决算表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三、支出决算表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四、财政拨款收入支出决算总表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五、财政拨款支出决算明细表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六、一般公共预算财政拨款支出决算表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七、一般公共预算财政拨款支出决算明细表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八、一般公共预算财政拨款基本支出决算表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九、一般公共预算财政拨款项目支出决算表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十、一般公共预算财政拨款“三公”经费支出决算表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十一、政府性基金预算财政拨款收入支出决算表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十二、政府性基金预算财政拨款“三公”经费支出决算表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十三、国有资本经营预算财政拨款收入支出决算表</w:t>
      </w:r>
    </w:p>
    <w:p>
      <w:pPr>
        <w:pStyle w:val="13"/>
        <w:keepNext w:val="0"/>
        <w:keepLines w:val="0"/>
        <w:pageBreakBefore w:val="0"/>
        <w:kinsoku/>
        <w:wordWrap/>
        <w:overflowPunct/>
        <w:topLinePunct w:val="0"/>
        <w:autoSpaceDE/>
        <w:autoSpaceDN/>
        <w:bidi w:val="0"/>
        <w:adjustRightInd w:val="0"/>
        <w:snapToGrid w:val="0"/>
        <w:spacing w:line="576" w:lineRule="exact"/>
        <w:ind w:left="42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十四、国有资本经营预算财政拨款支出决算表</w:t>
      </w:r>
    </w:p>
    <w:p>
      <w:pPr>
        <w:keepNext w:val="0"/>
        <w:keepLines w:val="0"/>
        <w:pageBreakBefore w:val="0"/>
        <w:widowControl/>
        <w:kinsoku/>
        <w:wordWrap/>
        <w:overflowPunct/>
        <w:topLinePunct w:val="0"/>
        <w:autoSpaceDE/>
        <w:autoSpaceDN/>
        <w:bidi w:val="0"/>
        <w:adjustRightInd w:val="0"/>
        <w:snapToGrid w:val="0"/>
        <w:spacing w:line="576" w:lineRule="exact"/>
        <w:ind w:firstLine="1760" w:firstLineChars="55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(注：请单位根据实际注明页码)</w:t>
      </w:r>
    </w:p>
    <w:p>
      <w:pPr>
        <w:keepNext w:val="0"/>
        <w:keepLines w:val="0"/>
        <w:pageBreakBefore w:val="0"/>
        <w:kinsoku/>
        <w:wordWrap/>
        <w:overflowPunct/>
        <w:topLinePunct w:val="0"/>
        <w:autoSpaceDE/>
        <w:autoSpaceDN/>
        <w:bidi w:val="0"/>
        <w:spacing w:line="576" w:lineRule="exact"/>
        <w:textAlignment w:val="auto"/>
        <w:rPr>
          <w:rFonts w:eastAsia="仿宋"/>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1887915"/>
    </w:sdtPr>
    <w:sdtContent>
      <w:p>
        <w:pPr>
          <w:pStyle w:val="9"/>
          <w:jc w:val="center"/>
        </w:pPr>
        <w:r>
          <w:fldChar w:fldCharType="begin"/>
        </w:r>
        <w:r>
          <w:instrText xml:space="preserve">PAGE   \* MERGEFORMAT</w:instrText>
        </w:r>
        <w:r>
          <w:fldChar w:fldCharType="separate"/>
        </w:r>
        <w:r>
          <w:rPr>
            <w:lang w:val="zh-CN"/>
          </w:rPr>
          <w:t>8</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85A60"/>
    <w:multiLevelType w:val="singleLevel"/>
    <w:tmpl w:val="85F85A60"/>
    <w:lvl w:ilvl="0" w:tentative="0">
      <w:start w:val="9"/>
      <w:numFmt w:val="chineseCounting"/>
      <w:suff w:val="nothing"/>
      <w:lvlText w:val="%1、"/>
      <w:lvlJc w:val="left"/>
      <w:rPr>
        <w:rFonts w:hint="eastAsia"/>
      </w:rPr>
    </w:lvl>
  </w:abstractNum>
  <w:abstractNum w:abstractNumId="1">
    <w:nsid w:val="85FCBF0B"/>
    <w:multiLevelType w:val="singleLevel"/>
    <w:tmpl w:val="85FCBF0B"/>
    <w:lvl w:ilvl="0" w:tentative="0">
      <w:start w:val="1"/>
      <w:numFmt w:val="chineseCounting"/>
      <w:suff w:val="nothing"/>
      <w:lvlText w:val="%1、"/>
      <w:lvlJc w:val="left"/>
      <w:rPr>
        <w:rFonts w:hint="eastAsia"/>
      </w:rPr>
    </w:lvl>
  </w:abstractNum>
  <w:abstractNum w:abstractNumId="2">
    <w:nsid w:val="ACD036A2"/>
    <w:multiLevelType w:val="singleLevel"/>
    <w:tmpl w:val="ACD036A2"/>
    <w:lvl w:ilvl="0" w:tentative="0">
      <w:start w:val="2"/>
      <w:numFmt w:val="decimal"/>
      <w:suff w:val="nothing"/>
      <w:lvlText w:val="%1．"/>
      <w:lvlJc w:val="left"/>
    </w:lvl>
  </w:abstractNum>
  <w:abstractNum w:abstractNumId="3">
    <w:nsid w:val="DBC597F6"/>
    <w:multiLevelType w:val="singleLevel"/>
    <w:tmpl w:val="DBC597F6"/>
    <w:lvl w:ilvl="0" w:tentative="0">
      <w:start w:val="1"/>
      <w:numFmt w:val="chineseCounting"/>
      <w:suff w:val="nothing"/>
      <w:lvlText w:val="%1、"/>
      <w:lvlJc w:val="left"/>
      <w:rPr>
        <w:rFonts w:hint="eastAsia"/>
      </w:rPr>
    </w:lvl>
  </w:abstractNum>
  <w:abstractNum w:abstractNumId="4">
    <w:nsid w:val="121F9B2F"/>
    <w:multiLevelType w:val="singleLevel"/>
    <w:tmpl w:val="121F9B2F"/>
    <w:lvl w:ilvl="0" w:tentative="0">
      <w:start w:val="1"/>
      <w:numFmt w:val="chineseCounting"/>
      <w:suff w:val="nothing"/>
      <w:lvlText w:val="（%1）"/>
      <w:lvlJc w:val="left"/>
      <w:rPr>
        <w:rFonts w:hint="eastAsia"/>
      </w:rPr>
    </w:lvl>
  </w:abstractNum>
  <w:abstractNum w:abstractNumId="5">
    <w:nsid w:val="162A9803"/>
    <w:multiLevelType w:val="singleLevel"/>
    <w:tmpl w:val="162A9803"/>
    <w:lvl w:ilvl="0" w:tentative="0">
      <w:start w:val="2"/>
      <w:numFmt w:val="chineseCounting"/>
      <w:suff w:val="nothing"/>
      <w:lvlText w:val="（%1）"/>
      <w:lvlJc w:val="left"/>
      <w:rPr>
        <w:rFonts w:hint="eastAsia"/>
      </w:r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2RjMTMxOWRkOGQwMzIzMmE4MDFiOWUwNDA2ZDg2YjYifQ=="/>
  </w:docVars>
  <w:rsids>
    <w:rsidRoot w:val="008C6A67"/>
    <w:rsid w:val="00190606"/>
    <w:rsid w:val="004F482C"/>
    <w:rsid w:val="008C6A67"/>
    <w:rsid w:val="0AF946D6"/>
    <w:rsid w:val="10D46A26"/>
    <w:rsid w:val="1A3C657A"/>
    <w:rsid w:val="23E427C1"/>
    <w:rsid w:val="2CFB1FB5"/>
    <w:rsid w:val="2F5C3B54"/>
    <w:rsid w:val="3C720907"/>
    <w:rsid w:val="4DB20CFA"/>
    <w:rsid w:val="50E1535D"/>
    <w:rsid w:val="74680A18"/>
    <w:rsid w:val="77C54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0"/>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30" w:beforeLines="30"/>
    </w:pPr>
    <w:rPr>
      <w:rFonts w:ascii="仿宋_GB2312" w:eastAsia="仿宋_GB2312"/>
      <w:kern w:val="0"/>
      <w:sz w:val="30"/>
    </w:rPr>
  </w:style>
  <w:style w:type="paragraph" w:styleId="3">
    <w:name w:val="index 8"/>
    <w:basedOn w:val="1"/>
    <w:next w:val="1"/>
    <w:unhideWhenUsed/>
    <w:qFormat/>
    <w:uiPriority w:val="99"/>
    <w:pPr>
      <w:ind w:left="2940"/>
    </w:p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able of figures"/>
    <w:basedOn w:val="1"/>
    <w:next w:val="1"/>
    <w:unhideWhenUsed/>
    <w:qFormat/>
    <w:uiPriority w:val="0"/>
    <w:pPr>
      <w:ind w:left="200" w:leftChars="200" w:hanging="200" w:hangingChars="200"/>
    </w:pPr>
    <w:rPr>
      <w:rFonts w:hint="eastAsia"/>
    </w:r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spacing w:before="100" w:beforeAutospacing="1" w:after="100" w:afterAutospacing="1"/>
      <w:jc w:val="left"/>
    </w:pPr>
    <w:rPr>
      <w:kern w:val="0"/>
      <w:sz w:val="24"/>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标题 1 字符"/>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字符"/>
    <w:basedOn w:val="16"/>
    <w:link w:val="5"/>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6"/>
    <w:qFormat/>
    <w:uiPriority w:val="0"/>
    <w:rPr>
      <w:rFonts w:ascii="Times New Roman" w:hAnsi="Times New Roman"/>
      <w:sz w:val="18"/>
      <w:szCs w:val="18"/>
    </w:rPr>
  </w:style>
  <w:style w:type="character" w:customStyle="1" w:styleId="22">
    <w:name w:val="Footer Char"/>
    <w:basedOn w:val="16"/>
    <w:qFormat/>
    <w:uiPriority w:val="0"/>
    <w:rPr>
      <w:rFonts w:ascii="Times New Roman" w:hAnsi="Times New Roman"/>
      <w:sz w:val="18"/>
      <w:szCs w:val="18"/>
    </w:rPr>
  </w:style>
  <w:style w:type="character" w:customStyle="1" w:styleId="23">
    <w:name w:val="Body Text Char"/>
    <w:basedOn w:val="16"/>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样式2"/>
    <w:basedOn w:val="29"/>
    <w:qFormat/>
    <w:uiPriority w:val="0"/>
  </w:style>
  <w:style w:type="paragraph" w:customStyle="1" w:styleId="29">
    <w:name w:val="样式1"/>
    <w:basedOn w:val="1"/>
    <w:qFormat/>
    <w:uiPriority w:val="0"/>
    <w:pPr>
      <w:spacing w:line="360" w:lineRule="auto"/>
      <w:ind w:firstLine="562" w:firstLineChars="200"/>
      <w:outlineLvl w:val="0"/>
    </w:pPr>
    <w:rPr>
      <w:rFonts w:ascii="仿宋_GB2312" w:hAnsi="仿宋" w:eastAsia="仿宋_GB2312"/>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4037;&#20316;&#31807;11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G:\&#24037;&#20316;&#31807;11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24037;&#20316;&#31807;1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4037;&#20316;&#31807;1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24037;&#20316;&#31807;11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G:\&#24037;&#20316;&#31807;1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4037;&#20316;&#31807;1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收支决算总计变动情况图（万元）</a:t>
            </a:r>
          </a:p>
        </c:rich>
      </c:tx>
      <c:layout/>
      <c:overlay val="0"/>
      <c:spPr>
        <a:noFill/>
        <a:ln>
          <a:noFill/>
        </a:ln>
        <a:effectLst/>
      </c:spPr>
    </c:title>
    <c:autoTitleDeleted val="0"/>
    <c:plotArea>
      <c:layout/>
      <c:barChart>
        <c:barDir val="col"/>
        <c:grouping val="clustered"/>
        <c:varyColors val="0"/>
        <c:ser>
          <c:idx val="0"/>
          <c:order val="0"/>
          <c:tx>
            <c:strRef>
              <c:f>[工作簿111.xlsx]Sheet1!$A$4</c:f>
              <c:strCache>
                <c:ptCount val="1"/>
                <c:pt idx="0">
                  <c:v>2021年度</c:v>
                </c:pt>
              </c:strCache>
            </c:strRef>
          </c:tx>
          <c:spPr>
            <a:solidFill>
              <a:schemeClr val="accent1"/>
            </a:solidFill>
            <a:ln>
              <a:noFill/>
            </a:ln>
            <a:effectLst/>
          </c:spPr>
          <c:invertIfNegative val="0"/>
          <c:dLbls>
            <c:delete val="1"/>
          </c:dLbls>
          <c:cat>
            <c:strRef>
              <c:f>[工作簿111.xlsx]Sheet1!$B$3:$C$3</c:f>
              <c:strCache>
                <c:ptCount val="2"/>
                <c:pt idx="0">
                  <c:v>收入总计</c:v>
                </c:pt>
                <c:pt idx="1">
                  <c:v>支出总计</c:v>
                </c:pt>
              </c:strCache>
            </c:strRef>
          </c:cat>
          <c:val>
            <c:numRef>
              <c:f>[工作簿111.xlsx]Sheet1!$B$4:$C$4</c:f>
              <c:numCache>
                <c:formatCode>General</c:formatCode>
                <c:ptCount val="2"/>
                <c:pt idx="0">
                  <c:v>121.9</c:v>
                </c:pt>
                <c:pt idx="1">
                  <c:v>121.9</c:v>
                </c:pt>
              </c:numCache>
            </c:numRef>
          </c:val>
        </c:ser>
        <c:ser>
          <c:idx val="1"/>
          <c:order val="1"/>
          <c:tx>
            <c:strRef>
              <c:f>[工作簿111.xlsx]Sheet1!$A$5</c:f>
              <c:strCache>
                <c:ptCount val="1"/>
                <c:pt idx="0">
                  <c:v>2020年度</c:v>
                </c:pt>
              </c:strCache>
            </c:strRef>
          </c:tx>
          <c:spPr>
            <a:solidFill>
              <a:schemeClr val="accent2"/>
            </a:solidFill>
            <a:ln>
              <a:noFill/>
            </a:ln>
            <a:effectLst/>
          </c:spPr>
          <c:invertIfNegative val="0"/>
          <c:dLbls>
            <c:delete val="1"/>
          </c:dLbls>
          <c:cat>
            <c:strRef>
              <c:f>[工作簿111.xlsx]Sheet1!$B$3:$C$3</c:f>
              <c:strCache>
                <c:ptCount val="2"/>
                <c:pt idx="0">
                  <c:v>收入总计</c:v>
                </c:pt>
                <c:pt idx="1">
                  <c:v>支出总计</c:v>
                </c:pt>
              </c:strCache>
            </c:strRef>
          </c:cat>
          <c:val>
            <c:numRef>
              <c:f>[工作簿111.xlsx]Sheet1!$B$5:$C$5</c:f>
              <c:numCache>
                <c:formatCode>General</c:formatCode>
                <c:ptCount val="2"/>
                <c:pt idx="0">
                  <c:v>105.31</c:v>
                </c:pt>
                <c:pt idx="1">
                  <c:v>125.76</c:v>
                </c:pt>
              </c:numCache>
            </c:numRef>
          </c:val>
        </c:ser>
        <c:dLbls>
          <c:showLegendKey val="0"/>
          <c:showVal val="0"/>
          <c:showCatName val="0"/>
          <c:showSerName val="0"/>
          <c:showPercent val="0"/>
          <c:showBubbleSize val="0"/>
        </c:dLbls>
        <c:gapWidth val="219"/>
        <c:overlap val="-27"/>
        <c:axId val="162475060"/>
        <c:axId val="728111704"/>
      </c:barChart>
      <c:catAx>
        <c:axId val="1624750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8111704"/>
        <c:crosses val="autoZero"/>
        <c:auto val="1"/>
        <c:lblAlgn val="ctr"/>
        <c:lblOffset val="100"/>
        <c:noMultiLvlLbl val="0"/>
      </c:catAx>
      <c:valAx>
        <c:axId val="728111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4750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[工作簿111.xlsx]Sheet2!$A$2:$A$8</c:f>
              <c:strCache>
                <c:ptCount val="7"/>
                <c:pt idx="0">
                  <c:v>2021年一般公共预算财政拨款收入</c:v>
                </c:pt>
                <c:pt idx="1">
                  <c:v>2021年政府性基金预算财政拨款收入</c:v>
                </c:pt>
                <c:pt idx="2">
                  <c:v>2021年上级补助收入</c:v>
                </c:pt>
                <c:pt idx="3">
                  <c:v>2021年事业收入</c:v>
                </c:pt>
                <c:pt idx="4">
                  <c:v>2021年经营收入</c:v>
                </c:pt>
                <c:pt idx="5">
                  <c:v>2021年附属单位上缴收入</c:v>
                </c:pt>
                <c:pt idx="6">
                  <c:v>2021年其他收入</c:v>
                </c:pt>
              </c:strCache>
            </c:strRef>
          </c:cat>
          <c:val>
            <c:numRef>
              <c:f>[工作簿111.xlsx]Sheet2!$B$2:$B$8</c:f>
              <c:numCache>
                <c:formatCode>General</c:formatCode>
                <c:ptCount val="7"/>
                <c:pt idx="0">
                  <c:v>121.6</c:v>
                </c:pt>
                <c:pt idx="1">
                  <c:v>0</c:v>
                </c:pt>
                <c:pt idx="2">
                  <c:v>0</c:v>
                </c:pt>
                <c:pt idx="3">
                  <c:v>0</c:v>
                </c:pt>
                <c:pt idx="4">
                  <c:v>0</c:v>
                </c:pt>
                <c:pt idx="5">
                  <c:v>0</c:v>
                </c:pt>
                <c:pt idx="6">
                  <c:v>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[工作簿111.xlsx]Sheet3!$A$1:$A$5</c:f>
              <c:strCache>
                <c:ptCount val="5"/>
                <c:pt idx="0">
                  <c:v>基本支出</c:v>
                </c:pt>
                <c:pt idx="1">
                  <c:v>项目支出</c:v>
                </c:pt>
                <c:pt idx="2">
                  <c:v>上缴上级支出</c:v>
                </c:pt>
                <c:pt idx="3">
                  <c:v>经营支出</c:v>
                </c:pt>
                <c:pt idx="4">
                  <c:v>对附属单位补助支出</c:v>
                </c:pt>
              </c:strCache>
            </c:strRef>
          </c:cat>
          <c:val>
            <c:numRef>
              <c:f>[工作簿111.xlsx]Sheet3!$B$1:$B$5</c:f>
              <c:numCache>
                <c:formatCode>General</c:formatCode>
                <c:ptCount val="5"/>
                <c:pt idx="0">
                  <c:v>108.42</c:v>
                </c:pt>
                <c:pt idx="1">
                  <c:v>13.48</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财政拨款收、支决算总计变动情况（万元）</a:t>
            </a:r>
            <a:endParaRPr lang="zh-CN" altLang="zh-CN"/>
          </a:p>
        </c:rich>
      </c:tx>
      <c:layout/>
      <c:overlay val="0"/>
      <c:spPr>
        <a:noFill/>
        <a:ln>
          <a:noFill/>
        </a:ln>
      </c:spPr>
    </c:title>
    <c:autoTitleDeleted val="0"/>
    <c:plotArea>
      <c:layout/>
      <c:barChart>
        <c:barDir val="col"/>
        <c:grouping val="clustered"/>
        <c:varyColors val="0"/>
        <c:ser>
          <c:idx val="0"/>
          <c:order val="0"/>
          <c:tx>
            <c:strRef>
              <c:f>[工作簿111.xlsx]Sheet4!$A$2</c:f>
              <c:strCache>
                <c:ptCount val="1"/>
                <c:pt idx="0">
                  <c:v>财政拨款收入总计</c:v>
                </c:pt>
              </c:strCache>
            </c:strRef>
          </c:tx>
          <c:spPr>
            <a:solidFill>
              <a:srgbClr val="5B9BD5"/>
            </a:solidFill>
            <a:ln>
              <a:noFill/>
            </a:ln>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[工作簿111.xlsx]Sheet4!$B$1:$C$1</c:f>
              <c:strCache>
                <c:ptCount val="2"/>
                <c:pt idx="0">
                  <c:v>2021年</c:v>
                </c:pt>
                <c:pt idx="1">
                  <c:v>2020年</c:v>
                </c:pt>
              </c:strCache>
            </c:strRef>
          </c:cat>
          <c:val>
            <c:numRef>
              <c:f>[工作簿111.xlsx]Sheet4!$B$2:$C$2</c:f>
              <c:numCache>
                <c:formatCode>General</c:formatCode>
                <c:ptCount val="2"/>
                <c:pt idx="0">
                  <c:v>121.6</c:v>
                </c:pt>
                <c:pt idx="1">
                  <c:v>105.31</c:v>
                </c:pt>
              </c:numCache>
            </c:numRef>
          </c:val>
        </c:ser>
        <c:ser>
          <c:idx val="1"/>
          <c:order val="1"/>
          <c:tx>
            <c:strRef>
              <c:f>[工作簿111.xlsx]Sheet4!$A$3</c:f>
              <c:strCache>
                <c:ptCount val="1"/>
                <c:pt idx="0">
                  <c:v>财政拨款支出总计</c:v>
                </c:pt>
              </c:strCache>
            </c:strRef>
          </c:tx>
          <c:spPr>
            <a:solidFill>
              <a:srgbClr val="ED7D31"/>
            </a:solidFill>
            <a:ln>
              <a:noFill/>
            </a:ln>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[工作簿111.xlsx]Sheet4!$B$1:$C$1</c:f>
              <c:strCache>
                <c:ptCount val="2"/>
                <c:pt idx="0">
                  <c:v>2021年</c:v>
                </c:pt>
                <c:pt idx="1">
                  <c:v>2020年</c:v>
                </c:pt>
              </c:strCache>
            </c:strRef>
          </c:cat>
          <c:val>
            <c:numRef>
              <c:f>[工作簿111.xlsx]Sheet4!$B$3:$C$3</c:f>
              <c:numCache>
                <c:formatCode>General</c:formatCode>
                <c:ptCount val="2"/>
                <c:pt idx="0">
                  <c:v>121.6</c:v>
                </c:pt>
                <c:pt idx="1">
                  <c:v>105.31</c:v>
                </c:pt>
              </c:numCache>
            </c:numRef>
          </c:val>
        </c:ser>
        <c:dLbls>
          <c:showLegendKey val="0"/>
          <c:showVal val="0"/>
          <c:showCatName val="0"/>
          <c:showSerName val="0"/>
          <c:showPercent val="0"/>
          <c:showBubbleSize val="0"/>
        </c:dLbls>
        <c:gapWidth val="150"/>
        <c:overlap val="-25"/>
        <c:axId val="0"/>
        <c:axId val="1"/>
      </c:barChart>
      <c:catAx>
        <c:axId val="0"/>
        <c:scaling>
          <c:orientation val="minMax"/>
        </c:scaling>
        <c:delete val="0"/>
        <c:axPos val="b"/>
        <c:majorTickMark val="none"/>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0"/>
        <c:lblAlgn val="ctr"/>
        <c:lblOffset val="100"/>
        <c:tickLblSkip val="1"/>
        <c:noMultiLvlLbl val="0"/>
      </c:catAx>
      <c:valAx>
        <c:axId val="1"/>
        <c:scaling>
          <c:orientation val="minMax"/>
        </c:scaling>
        <c:delete val="1"/>
        <c:axPos val="l"/>
        <c:numFmt formatCode="General" sourceLinked="1"/>
        <c:majorTickMark val="none"/>
        <c:minorTickMark val="none"/>
        <c:tickLblPos val="nextTo"/>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0"/>
        <c:crosses val="autoZero"/>
        <c:crossBetween val="between"/>
      </c:valAx>
      <c:spPr>
        <a:noFill/>
        <a:ln>
          <a:noFill/>
        </a:ln>
      </c:spPr>
    </c:plotArea>
    <c:legend>
      <c:legendPos val="t"/>
      <c:legendEntry>
        <c:idx val="0"/>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egendEntry>
        <c:idx val="1"/>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一般公共预算财政拨款支出决算变动情况（万元）</a:t>
            </a:r>
            <a:endParaRPr lang="zh-CN" altLang="zh-CN"/>
          </a:p>
        </c:rich>
      </c:tx>
      <c:layout>
        <c:manualLayout>
          <c:xMode val="edge"/>
          <c:yMode val="edge"/>
          <c:x val="0.106304277902863"/>
          <c:y val="0.0234375"/>
        </c:manualLayout>
      </c:layout>
      <c:overlay val="0"/>
      <c:spPr>
        <a:noFill/>
        <a:ln>
          <a:noFill/>
        </a:ln>
      </c:spPr>
    </c:title>
    <c:autoTitleDeleted val="0"/>
    <c:plotArea>
      <c:layout/>
      <c:barChart>
        <c:barDir val="col"/>
        <c:grouping val="clustered"/>
        <c:varyColors val="0"/>
        <c:ser>
          <c:idx val="0"/>
          <c:order val="0"/>
          <c:tx>
            <c:strRef>
              <c:f>[工作簿111.xlsx]Sheet5!$B$1</c:f>
              <c:strCache>
                <c:ptCount val="1"/>
                <c:pt idx="0">
                  <c:v>一般公共预算财政拨款支出</c:v>
                </c:pt>
              </c:strCache>
            </c:strRef>
          </c:tx>
          <c:spPr>
            <a:solidFill>
              <a:srgbClr val="5B9BD5"/>
            </a:solidFill>
            <a:ln>
              <a:noFill/>
            </a:ln>
          </c:spPr>
          <c:invertIfNegative val="0"/>
          <c:dPt>
            <c:idx val="0"/>
            <c:invertIfNegative val="0"/>
            <c:bubble3D val="0"/>
            <c:spPr>
              <a:solidFill>
                <a:srgbClr val="5B9BD5"/>
              </a:solidFill>
              <a:ln>
                <a:noFill/>
              </a:ln>
            </c:spPr>
          </c:dPt>
          <c:dPt>
            <c:idx val="1"/>
            <c:invertIfNegative val="0"/>
            <c:bubble3D val="0"/>
            <c:spPr>
              <a:solidFill>
                <a:srgbClr val="5B9BD5"/>
              </a:solidFill>
              <a:ln>
                <a:noFill/>
              </a:ln>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[工作簿111.xlsx]Sheet5!$A$2:$A$3</c:f>
              <c:strCache>
                <c:ptCount val="2"/>
                <c:pt idx="0">
                  <c:v>2021年</c:v>
                </c:pt>
                <c:pt idx="1">
                  <c:v>2020年</c:v>
                </c:pt>
              </c:strCache>
            </c:strRef>
          </c:cat>
          <c:val>
            <c:numRef>
              <c:f>[工作簿111.xlsx]Sheet5!$B$2:$B$3</c:f>
              <c:numCache>
                <c:formatCode>General</c:formatCode>
                <c:ptCount val="2"/>
                <c:pt idx="0">
                  <c:v>121.6</c:v>
                </c:pt>
                <c:pt idx="1">
                  <c:v>105.31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majorTickMark val="none"/>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
        <c:crosses val="autoZero"/>
        <c:auto val="0"/>
        <c:lblAlgn val="ctr"/>
        <c:lblOffset val="100"/>
        <c:tickLblSkip val="1"/>
        <c:noMultiLvlLbl val="0"/>
      </c:catAx>
      <c:valAx>
        <c:axId val="1"/>
        <c:scaling>
          <c:orientation val="minMax"/>
        </c:scaling>
        <c:delete val="0"/>
        <c:axPos val="l"/>
        <c:majorGridlines>
          <c:spPr>
            <a:ln w="3175" cap="flat" cmpd="sng" algn="ctr">
              <a:solidFill>
                <a:srgbClr val="000000"/>
              </a:solidFill>
              <a:prstDash val="solid"/>
              <a:round/>
            </a:ln>
          </c:spPr>
        </c:majorGridlines>
        <c:numFmt formatCode="General" sourceLinked="1"/>
        <c:majorTickMark val="none"/>
        <c:minorTickMark val="none"/>
        <c:tickLblPos val="nextTo"/>
        <c:spPr>
          <a:ln w="9525" cap="flat" cmpd="sng" algn="ctr">
            <a:noFill/>
            <a:prstDash val="solid"/>
            <a:round/>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0"/>
        <c:crosses val="autoZero"/>
        <c:crossBetween val="between"/>
      </c:valAx>
      <c:spPr>
        <a:noFill/>
        <a:ln>
          <a:noFill/>
        </a:ln>
      </c:spPr>
    </c:plotArea>
    <c:legend>
      <c:legendPos val="b"/>
      <c:legendEntry>
        <c:idx val="0"/>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一般公共预算财政拨款基本支出决算表</a:t>
            </a:r>
          </a:p>
        </c:rich>
      </c:tx>
      <c:layout/>
      <c:overlay val="0"/>
      <c:spPr>
        <a:noFill/>
        <a:ln>
          <a:noFill/>
        </a:ln>
        <a:effectLst/>
      </c:spPr>
    </c:title>
    <c:autoTitleDeleted val="0"/>
    <c:plotArea>
      <c:layout/>
      <c:pieChart>
        <c:varyColors val="1"/>
        <c:ser>
          <c:idx val="0"/>
          <c:order val="0"/>
          <c:spPr/>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[工作簿111.xlsx]Sheet6!$A$2:$A$6</c:f>
              <c:strCache>
                <c:ptCount val="5"/>
                <c:pt idx="0">
                  <c:v>一般公共服务（类）支出</c:v>
                </c:pt>
                <c:pt idx="1">
                  <c:v>社会保障和就业（类）支出</c:v>
                </c:pt>
                <c:pt idx="2">
                  <c:v>卫生健康支出</c:v>
                </c:pt>
                <c:pt idx="3">
                  <c:v>住房保障支出</c:v>
                </c:pt>
                <c:pt idx="4">
                  <c:v>其他支出</c:v>
                </c:pt>
              </c:strCache>
            </c:strRef>
          </c:cat>
          <c:val>
            <c:numRef>
              <c:f>[工作簿111.xlsx]Sheet6!$B$2:$B$6</c:f>
              <c:numCache>
                <c:formatCode>General</c:formatCode>
                <c:ptCount val="5"/>
                <c:pt idx="0">
                  <c:v>96.1</c:v>
                </c:pt>
                <c:pt idx="1">
                  <c:v>12.45</c:v>
                </c:pt>
                <c:pt idx="2">
                  <c:v>5.04</c:v>
                </c:pt>
                <c:pt idx="3">
                  <c:v>8.02</c:v>
                </c:pt>
                <c:pt idx="4">
                  <c:v>0</c:v>
                </c:pt>
              </c:numCache>
            </c:numRef>
          </c:val>
        </c:ser>
        <c:ser>
          <c:idx val="1"/>
          <c:order val="1"/>
          <c:spPr/>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[工作簿111.xlsx]Sheet6!$A$2:$A$6</c:f>
              <c:strCache>
                <c:ptCount val="5"/>
                <c:pt idx="0">
                  <c:v>一般公共服务（类）支出</c:v>
                </c:pt>
                <c:pt idx="1">
                  <c:v>社会保障和就业（类）支出</c:v>
                </c:pt>
                <c:pt idx="2">
                  <c:v>卫生健康支出</c:v>
                </c:pt>
                <c:pt idx="3">
                  <c:v>住房保障支出</c:v>
                </c:pt>
                <c:pt idx="4">
                  <c:v>其他支出</c:v>
                </c:pt>
              </c:strCache>
            </c:strRef>
          </c:cat>
          <c:val>
            <c:numRef>
              <c:f>[工作簿111.xlsx]Sheet6!$C$2:$C$6</c:f>
              <c:numCache>
                <c:formatCode>0.00%</c:formatCode>
                <c:ptCount val="5"/>
                <c:pt idx="0">
                  <c:v>0.764153944020356</c:v>
                </c:pt>
                <c:pt idx="1">
                  <c:v>0.0989980916030534</c:v>
                </c:pt>
                <c:pt idx="2">
                  <c:v>0.0400763358778626</c:v>
                </c:pt>
                <c:pt idx="3">
                  <c:v>0.0637722646310433</c:v>
                </c:pt>
                <c:pt idx="4" c:formatCode="0%">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“三公”经费财政拨款支出结构</a:t>
            </a:r>
            <a:endParaRPr lang="zh-CN" altLang="zh-CN"/>
          </a:p>
        </c:rich>
      </c:tx>
      <c:layout/>
      <c:overlay val="0"/>
      <c:spPr>
        <a:noFill/>
        <a:ln>
          <a:noFill/>
        </a:ln>
      </c:spPr>
    </c:title>
    <c:autoTitleDeleted val="0"/>
    <c:plotArea>
      <c:layout/>
      <c:pieChart>
        <c:varyColors val="1"/>
        <c:ser>
          <c:idx val="0"/>
          <c:order val="0"/>
          <c:spPr>
            <a:solidFill>
              <a:srgbClr val="5B9BD5"/>
            </a:solidFill>
            <a:ln>
              <a:noFill/>
            </a:ln>
          </c:spPr>
          <c:explosion val="0"/>
          <c:dPt>
            <c:idx val="0"/>
            <c:bubble3D val="0"/>
            <c:spPr>
              <a:solidFill>
                <a:srgbClr val="5B9BD5"/>
              </a:solidFill>
              <a:ln w="12700">
                <a:solidFill>
                  <a:srgbClr val="FFFFFF"/>
                </a:solidFill>
                <a:prstDash val="solid"/>
              </a:ln>
            </c:spPr>
          </c:dPt>
          <c:dPt>
            <c:idx val="1"/>
            <c:bubble3D val="0"/>
            <c:spPr>
              <a:solidFill>
                <a:srgbClr val="ED7D31"/>
              </a:solidFill>
              <a:ln w="12700">
                <a:solidFill>
                  <a:srgbClr val="FFFFFF"/>
                </a:solidFill>
                <a:prstDash val="solid"/>
              </a:ln>
            </c:spPr>
          </c:dPt>
          <c:dPt>
            <c:idx val="2"/>
            <c:bubble3D val="0"/>
            <c:spPr>
              <a:solidFill>
                <a:srgbClr val="A5A5A5"/>
              </a:solidFill>
              <a:ln w="12700">
                <a:solidFill>
                  <a:srgbClr val="FFFFFF"/>
                </a:solidFill>
                <a:prstDash val="solid"/>
              </a:ln>
            </c:spPr>
          </c:dPt>
          <c:dLbls>
            <c:dLbl>
              <c:idx val="0"/>
              <c:layout/>
              <c:tx>
                <c:rich>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公务用车购置及运行维护费支出100%</a:t>
                    </a:r>
                    <a:endParaRPr lang="zh-CN" altLang="zh-CN"/>
                  </a:p>
                </c:rich>
              </c:tx>
              <c:numFmt formatCode="0%" sourceLinked="0"/>
              <c:spPr>
                <a:noFill/>
                <a:ln>
                  <a:noFill/>
                </a:ln>
                <a:effectLst/>
              </c:spPr>
              <c:txPr>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zh-CN"/>
                      <a:t>公务接待费支出0%</a:t>
                    </a:r>
                    <a:endParaRPr lang="zh-CN" altLang="zh-CN"/>
                  </a:p>
                </c:rich>
              </c:tx>
              <c:numFmt formatCode="0%" sourceLinked="0"/>
              <c:spPr>
                <a:noFill/>
                <a:ln>
                  <a:noFill/>
                </a:ln>
                <a:effectLst/>
              </c:spPr>
              <c:txPr>
                <a:bodyPr rot="0" spcFirstLastPara="0" vertOverflow="ellipsis" vert="horz" wrap="square" lIns="38100" tIns="19050" rIns="38100" bIns="19050" anchor="ctr" anchorCtr="1"/>
                <a:lstStyle/>
                <a:p>
                  <a:pPr algn="ct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2"/>
              <c:layout/>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0"/>
              <c:showCatName val="0"/>
              <c:showSerName val="0"/>
              <c:showPercent val="1"/>
              <c:showBubbleSize val="0"/>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in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[工作簿111.xlsx]Sheet7!$A$1:$A$3</c:f>
              <c:strCache>
                <c:ptCount val="3"/>
                <c:pt idx="0">
                  <c:v>公务用车购置及运行维护费支出</c:v>
                </c:pt>
                <c:pt idx="1">
                  <c:v>公务接待费支出</c:v>
                </c:pt>
                <c:pt idx="2">
                  <c:v>因公出国（境）费支出</c:v>
                </c:pt>
              </c:strCache>
            </c:strRef>
          </c:cat>
          <c:val>
            <c:numRef>
              <c:f>[工作簿111.xlsx]Sheet7!$B$1:$B$3</c:f>
              <c:numCache>
                <c:formatCode>General</c:formatCode>
                <c:ptCount val="3"/>
                <c:pt idx="0">
                  <c:v>3.08</c:v>
                </c:pt>
                <c:pt idx="1">
                  <c:v>0</c:v>
                </c:pt>
                <c:pt idx="2">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r"/>
      <c:legendEntry>
        <c:idx val="0"/>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egendEntry>
        <c:idx val="1"/>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egendEntry>
        <c:idx val="2"/>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5" cap="flat" cmpd="sng" algn="ctr">
      <a:solidFill>
        <a:srgbClr val="000000"/>
      </a:solidFill>
      <a:prstDash val="solid"/>
      <a:round/>
    </a:ln>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15078</Words>
  <Characters>16095</Characters>
  <Lines>44</Lines>
  <Paragraphs>12</Paragraphs>
  <TotalTime>35</TotalTime>
  <ScaleCrop>false</ScaleCrop>
  <LinksUpToDate>false</LinksUpToDate>
  <CharactersWithSpaces>16166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夕颜*^_^*</cp:lastModifiedBy>
  <cp:lastPrinted>2022-12-09T03:13:00Z</cp:lastPrinted>
  <dcterms:modified xsi:type="dcterms:W3CDTF">2023-09-14T02:17:13Z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97CEFFD101FF450BAA302C81CB72E933</vt:lpwstr>
  </property>
</Properties>
</file>