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77425"/>
      <w:bookmarkStart w:id="2" w:name="_Toc15378441"/>
      <w:bookmarkStart w:id="3" w:name="_Toc15377193"/>
      <w:bookmarkStart w:id="4" w:name="_Toc15396597"/>
      <w:bookmarkStart w:id="5" w:name="_Toc15396475"/>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96598"/>
      <w:bookmarkStart w:id="7" w:name="_Toc15378442"/>
      <w:bookmarkStart w:id="8" w:name="_Toc15377194"/>
      <w:bookmarkStart w:id="9" w:name="_Toc15377426"/>
      <w:bookmarkStart w:id="10" w:name="_Toc15396476"/>
      <w:r>
        <w:rPr>
          <w:rFonts w:hint="eastAsia" w:ascii="方正小标宋简体" w:eastAsia="方正小标宋简体"/>
          <w:sz w:val="72"/>
          <w:szCs w:val="72"/>
        </w:rPr>
        <w:t>四川省阿坝州</w:t>
      </w:r>
      <w:bookmarkEnd w:id="0"/>
      <w:bookmarkStart w:id="11" w:name="_Toc15306268"/>
      <w:r>
        <w:rPr>
          <w:rFonts w:hint="eastAsia" w:ascii="方正小标宋简体" w:hAnsi="宋体" w:eastAsia="方正小标宋简体"/>
          <w:color w:val="000000"/>
          <w:sz w:val="72"/>
          <w:szCs w:val="72"/>
        </w:rPr>
        <w:t>红原县妇联</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3"/>
        <w:jc w:val="center"/>
        <w:rPr>
          <w:rFonts w:hAnsiTheme="minorHAnsi"/>
          <w:b w:val="0"/>
          <w:bCs w:val="0"/>
          <w:sz w:val="24"/>
          <w:szCs w:val="24"/>
        </w:rPr>
      </w:pPr>
      <w:r>
        <w:rPr>
          <w:rFonts w:hint="eastAsia" w:hAnsiTheme="minorHAnsi"/>
          <w:b w:val="0"/>
          <w:bCs w:val="0"/>
          <w:sz w:val="24"/>
          <w:szCs w:val="24"/>
        </w:rPr>
        <w:t xml:space="preserve">公开时间：2021年 </w:t>
      </w:r>
      <w:r>
        <w:rPr>
          <w:rFonts w:hint="eastAsia" w:hAnsiTheme="minorHAnsi"/>
          <w:b w:val="0"/>
          <w:bCs w:val="0"/>
          <w:sz w:val="24"/>
          <w:szCs w:val="24"/>
          <w:lang w:val="en-US" w:eastAsia="zh-CN"/>
        </w:rPr>
        <w:t>11</w:t>
      </w:r>
      <w:r>
        <w:rPr>
          <w:rFonts w:hint="eastAsia" w:hAnsiTheme="minorHAnsi"/>
          <w:b w:val="0"/>
          <w:bCs w:val="0"/>
          <w:sz w:val="24"/>
          <w:szCs w:val="24"/>
        </w:rPr>
        <w:t>月</w:t>
      </w:r>
      <w:r>
        <w:rPr>
          <w:rFonts w:hint="eastAsia" w:hAnsiTheme="minorHAnsi"/>
          <w:b w:val="0"/>
          <w:bCs w:val="0"/>
          <w:sz w:val="24"/>
          <w:szCs w:val="24"/>
          <w:lang w:val="en-US" w:eastAsia="zh-CN"/>
        </w:rPr>
        <w:t>25</w:t>
      </w:r>
      <w:r>
        <w:rPr>
          <w:rFonts w:hint="eastAsia" w:hAnsiTheme="minorHAnsi"/>
          <w:b w:val="0"/>
          <w:bCs w:val="0"/>
          <w:sz w:val="24"/>
          <w:szCs w:val="24"/>
        </w:rPr>
        <w:t xml:space="preserve"> 日</w:t>
      </w:r>
    </w:p>
    <w:p>
      <w:pPr>
        <w:pStyle w:val="13"/>
        <w:tabs>
          <w:tab w:val="right" w:leader="dot" w:pos="8296"/>
        </w:tabs>
        <w:rPr>
          <w:rFonts w:hAnsiTheme="minorHAnsi" w:eastAsiaTheme="minorEastAsia"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fldChar w:fldCharType="begin"/>
      </w:r>
      <w:r>
        <w:instrText xml:space="preserve"> PAGEREF _Toc79163851 \h </w:instrText>
      </w:r>
      <w:r>
        <w:fldChar w:fldCharType="separate"/>
      </w:r>
      <w:r>
        <w:t>4</w:t>
      </w:r>
      <w:r>
        <w:fldChar w:fldCharType="end"/>
      </w:r>
    </w:p>
    <w:p>
      <w:pPr>
        <w:pStyle w:val="17"/>
        <w:tabs>
          <w:tab w:val="right" w:leader="dot" w:pos="8296"/>
        </w:tabs>
        <w:rPr>
          <w:rFonts w:hAnsiTheme="minorHAnsi" w:eastAsiaTheme="minorEastAsia" w:cstheme="minorBidi"/>
          <w:smallCaps w:val="0"/>
          <w:sz w:val="21"/>
          <w:szCs w:val="22"/>
        </w:rPr>
      </w:pPr>
      <w:r>
        <w:rPr>
          <w:rFonts w:ascii="黑体" w:hAnsi="黑体" w:eastAsia="黑体"/>
          <w:color w:val="000000"/>
        </w:rPr>
        <w:t>一、基</w:t>
      </w:r>
      <w:r>
        <w:rPr>
          <w:rFonts w:ascii="黑体" w:hAnsi="黑体" w:eastAsia="黑体"/>
        </w:rPr>
        <w:t>本职能及主要工作</w:t>
      </w:r>
      <w:r>
        <w:tab/>
      </w:r>
      <w:r>
        <w:fldChar w:fldCharType="begin"/>
      </w:r>
      <w:r>
        <w:instrText xml:space="preserve"> PAGEREF _Toc79163852 \h </w:instrText>
      </w:r>
      <w:r>
        <w:fldChar w:fldCharType="separate"/>
      </w:r>
      <w:r>
        <w:t>4</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Cs/>
          <w:color w:val="000000"/>
        </w:rPr>
        <w:t>（一）主要职能。</w:t>
      </w:r>
      <w:r>
        <w:tab/>
      </w:r>
      <w:r>
        <w:fldChar w:fldCharType="begin"/>
      </w:r>
      <w:r>
        <w:instrText xml:space="preserve"> PAGEREF _Toc79163853 \h </w:instrText>
      </w:r>
      <w:r>
        <w:fldChar w:fldCharType="separate"/>
      </w:r>
      <w:r>
        <w:t>4</w:t>
      </w:r>
      <w:r>
        <w:fldChar w:fldCharType="end"/>
      </w:r>
    </w:p>
    <w:p>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Cs/>
          <w:color w:val="000000"/>
        </w:rPr>
        <w:t>（二）2020年重点工作完成情况。</w:t>
      </w:r>
      <w:r>
        <w:tab/>
      </w:r>
      <w:r>
        <w:rPr>
          <w:rFonts w:hint="eastAsia"/>
          <w:lang w:val="en-US" w:eastAsia="zh-CN"/>
        </w:rPr>
        <w:t>4</w:t>
      </w:r>
    </w:p>
    <w:p>
      <w:pPr>
        <w:pStyle w:val="17"/>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二、</w:t>
      </w:r>
      <w:r>
        <w:rPr>
          <w:rFonts w:ascii="黑体" w:hAnsi="黑体" w:eastAsia="黑体"/>
          <w:color w:val="000000"/>
        </w:rPr>
        <w:t>机</w:t>
      </w:r>
      <w:r>
        <w:rPr>
          <w:rFonts w:ascii="黑体" w:hAnsi="黑体" w:eastAsia="黑体"/>
        </w:rPr>
        <w:t>构设置</w:t>
      </w:r>
      <w:r>
        <w:tab/>
      </w:r>
      <w:r>
        <w:rPr>
          <w:rFonts w:hint="eastAsia"/>
          <w:lang w:val="en-US" w:eastAsia="zh-CN"/>
        </w:rPr>
        <w:t>10</w:t>
      </w:r>
    </w:p>
    <w:p>
      <w:pPr>
        <w:pStyle w:val="8"/>
        <w:tabs>
          <w:tab w:val="left" w:pos="840"/>
          <w:tab w:val="right" w:leader="dot" w:pos="8296"/>
        </w:tabs>
        <w:rPr>
          <w:rFonts w:hint="default" w:hAnsiTheme="minorHAnsi" w:eastAsiaTheme="minorHAnsi" w:cstheme="minorBidi"/>
          <w:i w:val="0"/>
          <w:iCs w:val="0"/>
          <w:sz w:val="21"/>
          <w:szCs w:val="22"/>
          <w:lang w:val="en-US" w:eastAsia="zh-CN"/>
        </w:rPr>
      </w:pPr>
      <w:r>
        <w:rPr>
          <w:rFonts w:ascii="仿宋" w:hAnsi="仿宋" w:eastAsia="仿宋"/>
          <w:color w:val="000000"/>
        </w:rPr>
        <w:t>1.</w:t>
      </w:r>
      <w:r>
        <w:rPr>
          <w:rFonts w:hAnsiTheme="minorHAnsi" w:eastAsiaTheme="minorEastAsia" w:cstheme="minorBidi"/>
          <w:i w:val="0"/>
          <w:iCs w:val="0"/>
          <w:sz w:val="21"/>
          <w:szCs w:val="22"/>
        </w:rPr>
        <w:tab/>
      </w:r>
      <w:r>
        <w:rPr>
          <w:rFonts w:hint="eastAsia" w:ascii="仿宋" w:hAnsi="仿宋" w:eastAsia="仿宋"/>
          <w:color w:val="000000"/>
          <w:lang w:val="en-US" w:eastAsia="zh-CN"/>
        </w:rPr>
        <w:t>机构设置</w:t>
      </w:r>
      <w:r>
        <w:tab/>
      </w:r>
      <w:r>
        <w:rPr>
          <w:rFonts w:hint="eastAsia"/>
          <w:lang w:val="en-US" w:eastAsia="zh-CN"/>
        </w:rPr>
        <w:t>10</w:t>
      </w:r>
    </w:p>
    <w:p>
      <w:pPr>
        <w:pStyle w:val="13"/>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2020年度部门决算情况说明</w:t>
      </w:r>
      <w:r>
        <w:tab/>
      </w:r>
      <w:r>
        <w:rPr>
          <w:rFonts w:hint="eastAsia"/>
          <w:lang w:val="en-US" w:eastAsia="zh-CN"/>
        </w:rPr>
        <w:t>10</w:t>
      </w:r>
    </w:p>
    <w:p>
      <w:pPr>
        <w:pStyle w:val="17"/>
        <w:tabs>
          <w:tab w:val="left" w:pos="840"/>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rPr>
          <w:rFonts w:hint="eastAsia"/>
          <w:lang w:val="en-US" w:eastAsia="zh-CN"/>
        </w:rPr>
        <w:t>10</w:t>
      </w:r>
    </w:p>
    <w:p>
      <w:pPr>
        <w:pStyle w:val="17"/>
        <w:tabs>
          <w:tab w:val="left" w:pos="840"/>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rPr>
          <w:rFonts w:hint="eastAsia"/>
          <w:lang w:val="en-US" w:eastAsia="zh-CN"/>
        </w:rPr>
        <w:t>11</w:t>
      </w:r>
    </w:p>
    <w:p>
      <w:pPr>
        <w:pStyle w:val="17"/>
        <w:tabs>
          <w:tab w:val="left" w:pos="840"/>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rPr>
          <w:rFonts w:hint="eastAsia"/>
          <w:lang w:val="en-US" w:eastAsia="zh-CN"/>
        </w:rPr>
        <w:t>12</w:t>
      </w:r>
    </w:p>
    <w:p>
      <w:pPr>
        <w:pStyle w:val="17"/>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四、财</w:t>
      </w:r>
      <w:r>
        <w:rPr>
          <w:rFonts w:ascii="黑体" w:hAnsi="黑体" w:eastAsia="黑体"/>
          <w:bCs/>
        </w:rPr>
        <w:t>政拨款收入支出决算总体情况说明</w:t>
      </w:r>
      <w:r>
        <w:tab/>
      </w:r>
      <w:r>
        <w:rPr>
          <w:rFonts w:hint="eastAsia"/>
          <w:lang w:val="en-US" w:eastAsia="zh-CN"/>
        </w:rPr>
        <w:t>12</w:t>
      </w:r>
    </w:p>
    <w:p>
      <w:pPr>
        <w:pStyle w:val="17"/>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rPr>
          <w:rFonts w:hint="eastAsia"/>
          <w:lang w:val="en-US" w:eastAsia="zh-CN"/>
        </w:rPr>
        <w:t>13</w:t>
      </w:r>
    </w:p>
    <w:p>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（一）一般公共预算财政拨款支出决算总体情况</w:t>
      </w:r>
      <w:r>
        <w:tab/>
      </w:r>
      <w:r>
        <w:rPr>
          <w:rFonts w:hint="eastAsia"/>
          <w:lang w:val="en-US" w:eastAsia="zh-CN"/>
        </w:rPr>
        <w:t>13</w:t>
      </w:r>
    </w:p>
    <w:p>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（二）一般公共预算财政拨款支出决算结构情况</w:t>
      </w:r>
      <w:r>
        <w:tab/>
      </w:r>
      <w:r>
        <w:rPr>
          <w:rFonts w:hint="eastAsia"/>
          <w:lang w:val="en-US" w:eastAsia="zh-CN"/>
        </w:rPr>
        <w:t>14</w:t>
      </w:r>
    </w:p>
    <w:p>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（三）一般公共预算财政拨款支出决算具体情况</w:t>
      </w:r>
      <w:r>
        <w:tab/>
      </w:r>
      <w:r>
        <w:rPr>
          <w:rFonts w:hint="eastAsia"/>
          <w:lang w:val="en-US" w:eastAsia="zh-CN"/>
        </w:rPr>
        <w:t>15</w:t>
      </w:r>
    </w:p>
    <w:p>
      <w:pPr>
        <w:pStyle w:val="17"/>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rPr>
          <w:rFonts w:hint="eastAsia"/>
          <w:lang w:val="en-US" w:eastAsia="zh-CN"/>
        </w:rPr>
        <w:t>16</w:t>
      </w:r>
    </w:p>
    <w:p>
      <w:pPr>
        <w:pStyle w:val="17"/>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rPr>
          <w:rFonts w:hint="eastAsia"/>
          <w:lang w:val="en-US" w:eastAsia="zh-CN"/>
        </w:rPr>
        <w:t>16</w:t>
      </w:r>
    </w:p>
    <w:p>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（一）“三公”经费财政拨款支出决算总体情况说明</w:t>
      </w:r>
      <w:r>
        <w:tab/>
      </w:r>
      <w:r>
        <w:rPr>
          <w:rFonts w:hint="eastAsia"/>
          <w:lang w:val="en-US" w:eastAsia="zh-CN"/>
        </w:rPr>
        <w:t>16</w:t>
      </w:r>
    </w:p>
    <w:p>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（二）“三公”经费财政拨款支出决算具体情况说明</w:t>
      </w:r>
      <w:r>
        <w:tab/>
      </w:r>
      <w:r>
        <w:rPr>
          <w:rFonts w:hint="eastAsia"/>
          <w:lang w:val="en-US" w:eastAsia="zh-CN"/>
        </w:rPr>
        <w:t>16</w:t>
      </w:r>
    </w:p>
    <w:p>
      <w:pPr>
        <w:pStyle w:val="17"/>
        <w:tabs>
          <w:tab w:val="right" w:leader="dot" w:pos="8296"/>
        </w:tabs>
        <w:rPr>
          <w:rFonts w:hAnsiTheme="minorHAnsi" w:eastAsiaTheme="minorEastAsia" w:cstheme="minorBidi"/>
          <w:smallCaps w:val="0"/>
          <w:sz w:val="21"/>
          <w:szCs w:val="22"/>
        </w:rPr>
      </w:pPr>
      <w:r>
        <w:rPr>
          <w:rFonts w:ascii="黑体" w:eastAsia="黑体"/>
          <w:color w:val="000000"/>
        </w:rPr>
        <w:t>八、</w:t>
      </w:r>
      <w:r>
        <w:rPr>
          <w:rFonts w:ascii="黑体" w:hAnsi="黑体" w:eastAsia="黑体"/>
          <w:bCs/>
        </w:rPr>
        <w:t>政府性基金预算支出决算情况说明</w:t>
      </w:r>
      <w:r>
        <w:tab/>
      </w:r>
      <w:r>
        <w:fldChar w:fldCharType="begin"/>
      </w:r>
      <w:r>
        <w:instrText xml:space="preserve"> PAGEREF _Toc79163872 \h </w:instrText>
      </w:r>
      <w:r>
        <w:fldChar w:fldCharType="separate"/>
      </w:r>
      <w:r>
        <w:t>1</w:t>
      </w:r>
      <w:r>
        <w:rPr>
          <w:rFonts w:hint="eastAsia"/>
          <w:lang w:val="en-US" w:eastAsia="zh-CN"/>
        </w:rPr>
        <w:t>8</w:t>
      </w:r>
      <w:r>
        <w:fldChar w:fldCharType="end"/>
      </w:r>
    </w:p>
    <w:p>
      <w:pPr>
        <w:pStyle w:val="17"/>
        <w:tabs>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九、 国有资本经营预算支出决算情况说明</w:t>
      </w:r>
      <w:r>
        <w:tab/>
      </w:r>
      <w:r>
        <w:rPr>
          <w:rFonts w:hint="eastAsia"/>
          <w:lang w:val="en-US" w:eastAsia="zh-CN"/>
        </w:rPr>
        <w:t>18</w:t>
      </w:r>
    </w:p>
    <w:p>
      <w:pPr>
        <w:pStyle w:val="17"/>
        <w:tabs>
          <w:tab w:val="right" w:leader="dot" w:pos="8296"/>
        </w:tabs>
        <w:rPr>
          <w:rFonts w:hAnsiTheme="minorHAnsi" w:eastAsiaTheme="minorEastAsia" w:cstheme="minorBidi"/>
          <w:smallCaps w:val="0"/>
          <w:sz w:val="21"/>
          <w:szCs w:val="22"/>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fldChar w:fldCharType="begin"/>
      </w:r>
      <w:r>
        <w:instrText xml:space="preserve"> PAGEREF _Toc79163874 \h </w:instrText>
      </w:r>
      <w:r>
        <w:fldChar w:fldCharType="separate"/>
      </w:r>
      <w:r>
        <w:t>1</w:t>
      </w:r>
      <w:r>
        <w:rPr>
          <w:rFonts w:hint="eastAsia"/>
          <w:lang w:val="en-US" w:eastAsia="zh-CN"/>
        </w:rPr>
        <w:t>8</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（一）机关运行经费支出情况</w:t>
      </w:r>
      <w:r>
        <w:tab/>
      </w:r>
      <w:r>
        <w:fldChar w:fldCharType="begin"/>
      </w:r>
      <w:r>
        <w:instrText xml:space="preserve"> PAGEREF _Toc79163875 \h </w:instrText>
      </w:r>
      <w:r>
        <w:fldChar w:fldCharType="separate"/>
      </w:r>
      <w:r>
        <w:t>1</w:t>
      </w:r>
      <w:r>
        <w:rPr>
          <w:rFonts w:hint="eastAsia"/>
          <w:lang w:val="en-US" w:eastAsia="zh-CN"/>
        </w:rPr>
        <w:t>8</w:t>
      </w:r>
      <w:r>
        <w:fldChar w:fldCharType="end"/>
      </w:r>
    </w:p>
    <w:p>
      <w:pPr>
        <w:pStyle w:val="8"/>
        <w:tabs>
          <w:tab w:val="right" w:leader="dot" w:pos="8296"/>
        </w:tabs>
        <w:rPr>
          <w:rFonts w:hint="eastAsia" w:hAnsiTheme="minorHAnsi" w:eastAsiaTheme="minorHAnsi" w:cstheme="minorBidi"/>
          <w:i w:val="0"/>
          <w:iCs w:val="0"/>
          <w:sz w:val="21"/>
          <w:szCs w:val="22"/>
          <w:lang w:val="en-US" w:eastAsia="zh-CN"/>
        </w:rPr>
      </w:pPr>
      <w:r>
        <w:rPr>
          <w:rFonts w:ascii="仿宋" w:hAnsi="仿宋" w:eastAsia="仿宋"/>
          <w:b/>
          <w:color w:val="000000"/>
        </w:rPr>
        <w:t>（二）政府采购支出情况</w:t>
      </w:r>
      <w:r>
        <w:tab/>
      </w:r>
      <w:r>
        <w:fldChar w:fldCharType="begin"/>
      </w:r>
      <w:r>
        <w:instrText xml:space="preserve"> PAGEREF _Toc79163876 \h </w:instrText>
      </w:r>
      <w:r>
        <w:fldChar w:fldCharType="separate"/>
      </w:r>
      <w:r>
        <w:rPr>
          <w:rFonts w:hint="eastAsia"/>
          <w:lang w:val="en-US" w:eastAsia="zh-CN"/>
        </w:rPr>
        <w:t>1</w:t>
      </w:r>
      <w:r>
        <w:fldChar w:fldCharType="end"/>
      </w:r>
      <w:r>
        <w:rPr>
          <w:rFonts w:hint="eastAsia"/>
          <w:lang w:val="en-US" w:eastAsia="zh-CN"/>
        </w:rPr>
        <w:t>8</w:t>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（三）国有资产占有使用情况</w:t>
      </w:r>
      <w:r>
        <w:tab/>
      </w:r>
      <w:r>
        <w:fldChar w:fldCharType="begin"/>
      </w:r>
      <w:r>
        <w:instrText xml:space="preserve"> PAGEREF _Toc79163877 \h </w:instrText>
      </w:r>
      <w:r>
        <w:fldChar w:fldCharType="separate"/>
      </w:r>
      <w:r>
        <w:t>1</w:t>
      </w:r>
      <w:r>
        <w:rPr>
          <w:rFonts w:hint="eastAsia"/>
          <w:lang w:val="en-US" w:eastAsia="zh-CN"/>
        </w:rPr>
        <w:t>8</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（四）预算绩效管理情况。</w:t>
      </w:r>
      <w:r>
        <w:tab/>
      </w:r>
      <w:r>
        <w:fldChar w:fldCharType="begin"/>
      </w:r>
      <w:r>
        <w:instrText xml:space="preserve"> PAGEREF _Toc79163878 \h </w:instrText>
      </w:r>
      <w:r>
        <w:fldChar w:fldCharType="separate"/>
      </w:r>
      <w:r>
        <w:t>1</w:t>
      </w:r>
      <w:r>
        <w:rPr>
          <w:rFonts w:hint="eastAsia"/>
          <w:lang w:val="en-US" w:eastAsia="zh-CN"/>
        </w:rPr>
        <w:t>9</w:t>
      </w:r>
      <w:r>
        <w:fldChar w:fldCharType="end"/>
      </w:r>
    </w:p>
    <w:p>
      <w:pPr>
        <w:pStyle w:val="13"/>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rPr>
          <w:rFonts w:hint="eastAsia"/>
          <w:lang w:val="en-US" w:eastAsia="zh-CN"/>
        </w:rPr>
        <w:t>21</w:t>
      </w:r>
    </w:p>
    <w:p>
      <w:pPr>
        <w:pStyle w:val="13"/>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四部分 附件</w:t>
      </w:r>
      <w:r>
        <w:tab/>
      </w:r>
      <w:r>
        <w:rPr>
          <w:rFonts w:hint="eastAsia"/>
          <w:lang w:val="en-US" w:eastAsia="zh-CN"/>
        </w:rPr>
        <w:t>25</w:t>
      </w:r>
    </w:p>
    <w:p>
      <w:pPr>
        <w:pStyle w:val="13"/>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s="黑体"/>
        </w:rPr>
        <w:t>附件1</w:t>
      </w:r>
      <w:r>
        <w:tab/>
      </w:r>
      <w:r>
        <w:rPr>
          <w:rFonts w:hint="eastAsia"/>
          <w:lang w:val="en-US" w:eastAsia="zh-CN"/>
        </w:rPr>
        <w:t>25</w:t>
      </w:r>
    </w:p>
    <w:p>
      <w:pPr>
        <w:pStyle w:val="13"/>
        <w:tabs>
          <w:tab w:val="right" w:leader="dot" w:pos="8296"/>
        </w:tabs>
        <w:rPr>
          <w:rFonts w:hint="default" w:hAnsiTheme="minorHAnsi" w:eastAsiaTheme="minorHAnsi" w:cstheme="minorBidi"/>
          <w:b w:val="0"/>
          <w:bCs w:val="0"/>
          <w:caps w:val="0"/>
          <w:sz w:val="21"/>
          <w:szCs w:val="22"/>
          <w:lang w:val="en-US" w:eastAsia="zh-CN"/>
        </w:rPr>
      </w:pPr>
      <w:r>
        <w:rPr>
          <w:rFonts w:hint="eastAsia" w:ascii="方正小标宋简体" w:hAnsi="黑体" w:eastAsia="方正小标宋简体" w:cs="黑体"/>
          <w:lang w:val="en-US" w:eastAsia="zh-CN"/>
        </w:rPr>
        <w:t>妇联</w:t>
      </w:r>
      <w:r>
        <w:rPr>
          <w:rFonts w:ascii="方正小标宋简体" w:hAnsi="黑体" w:eastAsia="方正小标宋简体" w:cs="黑体"/>
        </w:rPr>
        <w:t>部门2020年部门整体支出绩效评价报告</w:t>
      </w:r>
      <w:r>
        <w:tab/>
      </w:r>
      <w:r>
        <w:rPr>
          <w:rFonts w:hint="eastAsia"/>
          <w:lang w:val="en-US" w:eastAsia="zh-CN"/>
        </w:rPr>
        <w:t>25</w:t>
      </w:r>
    </w:p>
    <w:p>
      <w:pPr>
        <w:pStyle w:val="13"/>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s="黑体"/>
        </w:rPr>
        <w:t>附件2</w:t>
      </w:r>
      <w:r>
        <w:tab/>
      </w:r>
      <w:r>
        <w:rPr>
          <w:rFonts w:hint="eastAsia"/>
          <w:lang w:val="en-US" w:eastAsia="zh-CN"/>
        </w:rPr>
        <w:t>30</w:t>
      </w:r>
    </w:p>
    <w:p>
      <w:pPr>
        <w:pStyle w:val="13"/>
        <w:tabs>
          <w:tab w:val="right" w:leader="dot" w:pos="8296"/>
        </w:tabs>
        <w:rPr>
          <w:rFonts w:hint="default" w:hAnsiTheme="minorHAnsi" w:eastAsiaTheme="minorHAnsi" w:cstheme="minorBidi"/>
          <w:b w:val="0"/>
          <w:bCs w:val="0"/>
          <w:caps w:val="0"/>
          <w:sz w:val="21"/>
          <w:szCs w:val="22"/>
          <w:lang w:val="en-US" w:eastAsia="zh-CN"/>
        </w:rPr>
      </w:pPr>
      <w:r>
        <w:rPr>
          <w:rFonts w:hint="eastAsia" w:ascii="方正小标宋简体" w:hAnsi="黑体" w:eastAsia="方正小标宋简体" w:cs="黑体"/>
          <w:lang w:val="en-US" w:eastAsia="zh-CN"/>
        </w:rPr>
        <w:t>姐妹宣讲团工作经费</w:t>
      </w:r>
      <w:r>
        <w:rPr>
          <w:rFonts w:ascii="方正小标宋简体" w:hAnsi="黑体" w:eastAsia="方正小标宋简体" w:cs="黑体"/>
        </w:rPr>
        <w:t>项目2020年绩效评价报告</w:t>
      </w:r>
      <w:r>
        <w:tab/>
      </w:r>
      <w:r>
        <w:rPr>
          <w:rFonts w:hint="eastAsia"/>
          <w:lang w:val="en-US" w:eastAsia="zh-CN"/>
        </w:rPr>
        <w:t>30</w:t>
      </w:r>
    </w:p>
    <w:p>
      <w:pPr>
        <w:pStyle w:val="13"/>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五部分 附表</w:t>
      </w:r>
      <w:r>
        <w:tab/>
      </w:r>
      <w:r>
        <w:rPr>
          <w:rFonts w:hint="eastAsia"/>
          <w:lang w:val="en-US" w:eastAsia="zh-CN"/>
        </w:rPr>
        <w:t>36</w:t>
      </w:r>
    </w:p>
    <w:p>
      <w:pPr>
        <w:pStyle w:val="17"/>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一、收</w:t>
      </w:r>
      <w:r>
        <w:rPr>
          <w:rFonts w:ascii="仿宋" w:hAnsi="仿宋" w:eastAsia="仿宋"/>
        </w:rPr>
        <w:t>入支出决算总表</w:t>
      </w:r>
      <w:r>
        <w:tab/>
      </w:r>
      <w:r>
        <w:rPr>
          <w:rFonts w:hint="eastAsia"/>
          <w:lang w:val="en-US" w:eastAsia="zh-CN"/>
        </w:rPr>
        <w:t>36</w:t>
      </w:r>
    </w:p>
    <w:p>
      <w:pPr>
        <w:pStyle w:val="17"/>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二、收</w:t>
      </w:r>
      <w:r>
        <w:rPr>
          <w:rFonts w:ascii="仿宋" w:hAnsi="仿宋" w:eastAsia="仿宋"/>
        </w:rPr>
        <w:t>入决算表</w:t>
      </w:r>
      <w:r>
        <w:tab/>
      </w:r>
      <w:r>
        <w:rPr>
          <w:rFonts w:hint="eastAsia"/>
          <w:lang w:val="en-US" w:eastAsia="zh-CN"/>
        </w:rPr>
        <w:t>36</w:t>
      </w:r>
    </w:p>
    <w:p>
      <w:pPr>
        <w:pStyle w:val="17"/>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三、</w:t>
      </w:r>
      <w:r>
        <w:rPr>
          <w:rFonts w:ascii="仿宋" w:hAnsi="仿宋" w:eastAsia="仿宋"/>
          <w:color w:val="000000"/>
        </w:rPr>
        <w:t>支</w:t>
      </w:r>
      <w:r>
        <w:rPr>
          <w:rFonts w:ascii="仿宋" w:hAnsi="仿宋" w:eastAsia="仿宋"/>
        </w:rPr>
        <w:t>出决算表</w:t>
      </w:r>
      <w:r>
        <w:tab/>
      </w:r>
      <w:r>
        <w:rPr>
          <w:rFonts w:hint="eastAsia"/>
          <w:lang w:val="en-US" w:eastAsia="zh-CN"/>
        </w:rPr>
        <w:t>36</w:t>
      </w:r>
    </w:p>
    <w:p>
      <w:pPr>
        <w:pStyle w:val="17"/>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rPr>
          <w:rFonts w:hint="eastAsia"/>
          <w:lang w:val="en-US" w:eastAsia="zh-CN"/>
        </w:rPr>
        <w:t>36</w:t>
      </w:r>
    </w:p>
    <w:p>
      <w:pPr>
        <w:pStyle w:val="17"/>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rPr>
          <w:rFonts w:hint="eastAsia"/>
          <w:lang w:val="en-US" w:eastAsia="zh-CN"/>
        </w:rPr>
        <w:t>36</w:t>
      </w:r>
    </w:p>
    <w:p>
      <w:pPr>
        <w:pStyle w:val="17"/>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rPr>
          <w:rFonts w:hint="eastAsia"/>
          <w:lang w:val="en-US" w:eastAsia="zh-CN"/>
        </w:rPr>
        <w:t>36</w:t>
      </w:r>
    </w:p>
    <w:p>
      <w:pPr>
        <w:pStyle w:val="17"/>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rPr>
          <w:rFonts w:hint="eastAsia"/>
          <w:lang w:val="en-US" w:eastAsia="zh-CN"/>
        </w:rPr>
        <w:t>36</w:t>
      </w:r>
    </w:p>
    <w:p>
      <w:pPr>
        <w:pStyle w:val="17"/>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rPr>
          <w:rFonts w:hint="eastAsia"/>
          <w:lang w:val="en-US" w:eastAsia="zh-CN"/>
        </w:rPr>
        <w:t>36</w:t>
      </w:r>
    </w:p>
    <w:p>
      <w:pPr>
        <w:pStyle w:val="17"/>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rPr>
          <w:rFonts w:hint="eastAsia"/>
          <w:lang w:val="en-US" w:eastAsia="zh-CN"/>
        </w:rPr>
        <w:t>36</w:t>
      </w:r>
    </w:p>
    <w:p>
      <w:pPr>
        <w:pStyle w:val="17"/>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rPr>
          <w:rFonts w:hint="eastAsia"/>
          <w:lang w:val="en-US" w:eastAsia="zh-CN"/>
        </w:rPr>
        <w:t>36</w:t>
      </w:r>
    </w:p>
    <w:p>
      <w:pPr>
        <w:pStyle w:val="17"/>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rPr>
          <w:rFonts w:hint="eastAsia"/>
          <w:lang w:val="en-US" w:eastAsia="zh-CN"/>
        </w:rPr>
        <w:t>36</w:t>
      </w:r>
    </w:p>
    <w:p>
      <w:pPr>
        <w:pStyle w:val="17"/>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rPr>
          <w:rFonts w:hint="eastAsia"/>
          <w:lang w:val="en-US" w:eastAsia="zh-CN"/>
        </w:rPr>
        <w:t>36</w:t>
      </w:r>
    </w:p>
    <w:p>
      <w:pPr>
        <w:pStyle w:val="17"/>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十三、</w:t>
      </w:r>
      <w:r>
        <w:rPr>
          <w:rFonts w:ascii="仿宋" w:hAnsi="仿宋" w:eastAsia="仿宋"/>
          <w:color w:val="000000"/>
        </w:rPr>
        <w:t>国</w:t>
      </w:r>
      <w:r>
        <w:rPr>
          <w:rFonts w:ascii="仿宋" w:hAnsi="仿宋" w:eastAsia="仿宋"/>
        </w:rPr>
        <w:t>有资本经营预算财政拨款支出决算表</w:t>
      </w:r>
      <w:r>
        <w:tab/>
      </w:r>
      <w:r>
        <w:rPr>
          <w:rFonts w:hint="eastAsia"/>
          <w:lang w:val="en-US" w:eastAsia="zh-CN"/>
        </w:rPr>
        <w:t>36</w:t>
      </w:r>
    </w:p>
    <w:p>
      <w:pPr>
        <w:pStyle w:val="17"/>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十四、国有资本经营预算财政拨款支出决算表</w:t>
      </w:r>
      <w:r>
        <w:tab/>
      </w:r>
      <w:r>
        <w:rPr>
          <w:rFonts w:hint="eastAsia"/>
          <w:lang w:val="en-US" w:eastAsia="zh-CN"/>
        </w:rPr>
        <w:t>36</w:t>
      </w:r>
    </w:p>
    <w:p>
      <w:r>
        <w:rPr>
          <w:rFonts w:asciiTheme="minorHAnsi" w:eastAsiaTheme="minorHAnsi"/>
          <w:b/>
          <w:bCs/>
          <w:caps/>
          <w:sz w:val="20"/>
          <w:szCs w:val="20"/>
        </w:rPr>
        <w:fldChar w:fldCharType="end"/>
      </w:r>
    </w:p>
    <w:p>
      <w:pPr>
        <w:widowControl/>
        <w:adjustRightInd w:val="0"/>
        <w:snapToGrid w:val="0"/>
        <w:spacing w:line="440" w:lineRule="exact"/>
        <w:ind w:firstLine="1320" w:firstLineChars="550"/>
        <w:jc w:val="left"/>
        <w:rPr>
          <w:rFonts w:ascii="仿宋" w:hAnsi="仿宋" w:eastAsia="仿宋"/>
          <w:color w:val="FF0000"/>
          <w:sz w:val="24"/>
        </w:rPr>
      </w:pPr>
      <w:r>
        <w:rPr>
          <w:rFonts w:ascii="仿宋" w:hAnsi="仿宋" w:eastAsia="仿宋"/>
          <w:color w:val="FF0000"/>
          <w:sz w:val="24"/>
        </w:rPr>
        <w:t>(</w:t>
      </w:r>
      <w:r>
        <w:rPr>
          <w:rFonts w:hint="eastAsia" w:ascii="仿宋" w:hAnsi="仿宋" w:eastAsia="仿宋"/>
          <w:color w:val="FF0000"/>
          <w:sz w:val="24"/>
        </w:rPr>
        <w:t>注：请部门根据实际注明页码</w:t>
      </w:r>
      <w:r>
        <w:rPr>
          <w:rFonts w:ascii="仿宋" w:hAnsi="仿宋" w:eastAsia="仿宋"/>
          <w:color w:val="FF0000"/>
          <w:sz w:val="24"/>
        </w:rPr>
        <w:t>)</w:t>
      </w: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3"/>
        <w:jc w:val="center"/>
        <w:rPr>
          <w:rStyle w:val="24"/>
          <w:rFonts w:ascii="黑体" w:hAnsi="黑体" w:eastAsia="黑体"/>
          <w:b/>
          <w:bCs w:val="0"/>
        </w:rPr>
      </w:pPr>
      <w:bookmarkStart w:id="14" w:name="_Toc79163851"/>
      <w:bookmarkStart w:id="15" w:name="_Toc79163601"/>
      <w:r>
        <w:rPr>
          <w:rFonts w:hint="eastAsia" w:ascii="黑体" w:hAnsi="黑体" w:eastAsia="黑体"/>
          <w:b w:val="0"/>
        </w:rPr>
        <w:t>第一部分</w:t>
      </w:r>
      <w:r>
        <w:rPr>
          <w:rFonts w:ascii="黑体" w:hAnsi="黑体" w:eastAsia="黑体"/>
          <w:b w:val="0"/>
        </w:rPr>
        <w:t xml:space="preserve"> </w:t>
      </w:r>
      <w:r>
        <w:rPr>
          <w:rStyle w:val="24"/>
          <w:rFonts w:hint="eastAsia" w:ascii="黑体" w:hAns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4"/>
        <w:rPr>
          <w:rStyle w:val="25"/>
          <w:rFonts w:ascii="仿宋" w:hAnsi="仿宋" w:eastAsia="仿宋"/>
          <w:b w:val="0"/>
          <w:bCs w:val="0"/>
        </w:rPr>
      </w:pPr>
      <w:bookmarkStart w:id="16" w:name="_Toc15377197"/>
      <w:bookmarkStart w:id="17" w:name="_Toc15396600"/>
      <w:bookmarkStart w:id="18" w:name="_Toc79163602"/>
      <w:bookmarkStart w:id="19" w:name="_Toc79163852"/>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6"/>
      <w:bookmarkEnd w:id="17"/>
      <w:bookmarkEnd w:id="18"/>
      <w:bookmarkEnd w:id="19"/>
    </w:p>
    <w:p>
      <w:pPr>
        <w:pStyle w:val="2"/>
        <w:adjustRightInd w:val="0"/>
        <w:snapToGrid w:val="0"/>
        <w:spacing w:before="93" w:line="600" w:lineRule="exact"/>
        <w:ind w:firstLine="672" w:firstLineChars="210"/>
        <w:outlineLvl w:val="2"/>
        <w:rPr>
          <w:rFonts w:ascii="仿宋" w:hAnsi="仿宋" w:eastAsia="仿宋"/>
          <w:bCs/>
          <w:color w:val="000000"/>
          <w:sz w:val="32"/>
          <w:szCs w:val="32"/>
        </w:rPr>
      </w:pPr>
      <w:bookmarkStart w:id="20" w:name="_Toc79163603"/>
      <w:bookmarkStart w:id="21" w:name="_Toc79163853"/>
      <w:bookmarkStart w:id="22" w:name="_Toc15377198"/>
      <w:bookmarkStart w:id="23" w:name="_Toc15378445"/>
      <w:r>
        <w:rPr>
          <w:rFonts w:hint="eastAsia" w:ascii="仿宋" w:hAnsi="仿宋" w:eastAsia="仿宋"/>
          <w:bCs/>
          <w:color w:val="000000"/>
          <w:sz w:val="32"/>
          <w:szCs w:val="32"/>
        </w:rPr>
        <w:t>（一）主要职能。</w:t>
      </w:r>
      <w:bookmarkEnd w:id="20"/>
      <w:bookmarkEnd w:id="21"/>
    </w:p>
    <w:bookmarkEnd w:id="22"/>
    <w:bookmarkEnd w:id="23"/>
    <w:p>
      <w:pPr>
        <w:pStyle w:val="19"/>
        <w:pageBreakBefore w:val="0"/>
        <w:widowControl/>
        <w:shd w:val="clear" w:color="auto" w:fill="FFFFFF"/>
        <w:kinsoku/>
        <w:wordWrap/>
        <w:overflowPunct/>
        <w:topLinePunct w:val="0"/>
        <w:autoSpaceDE/>
        <w:autoSpaceDN/>
        <w:bidi w:val="0"/>
        <w:spacing w:before="0" w:beforeAutospacing="0" w:after="0" w:afterAutospacing="0" w:line="560" w:lineRule="exact"/>
        <w:ind w:firstLine="645"/>
        <w:textAlignment w:val="auto"/>
        <w:rPr>
          <w:rFonts w:ascii="仿宋_GB2312" w:hAnsi="仿宋_GB2312" w:eastAsia="仿宋_GB2312" w:cs="仿宋_GB2312"/>
          <w:bCs/>
          <w:kern w:val="2"/>
          <w:sz w:val="32"/>
          <w:szCs w:val="32"/>
        </w:rPr>
      </w:pPr>
      <w:bookmarkStart w:id="24" w:name="_Toc79163604"/>
      <w:bookmarkStart w:id="25" w:name="_Toc79163854"/>
      <w:bookmarkStart w:id="26" w:name="_Toc15377199"/>
      <w:bookmarkStart w:id="27" w:name="_Toc15378446"/>
      <w:r>
        <w:rPr>
          <w:rFonts w:hint="eastAsia" w:ascii="仿宋_GB2312" w:hAnsi="仿宋_GB2312" w:eastAsia="仿宋_GB2312" w:cs="仿宋_GB2312"/>
          <w:bCs/>
          <w:kern w:val="2"/>
          <w:sz w:val="32"/>
          <w:szCs w:val="32"/>
        </w:rPr>
        <w:t>（1）坚持正确的政治方向，团结、教育全县各族各界妇女以及各类妇女组织同党中央在思想上、政治上、行动上保持高度一致。</w:t>
      </w:r>
    </w:p>
    <w:p>
      <w:pPr>
        <w:pStyle w:val="19"/>
        <w:pageBreakBefore w:val="0"/>
        <w:widowControl/>
        <w:shd w:val="clear" w:color="auto" w:fill="FFFFFF"/>
        <w:kinsoku/>
        <w:wordWrap/>
        <w:overflowPunct/>
        <w:topLinePunct w:val="0"/>
        <w:autoSpaceDE/>
        <w:autoSpaceDN/>
        <w:bidi w:val="0"/>
        <w:spacing w:before="0" w:beforeAutospacing="0" w:after="0" w:afterAutospacing="0" w:line="560" w:lineRule="exact"/>
        <w:ind w:firstLine="645"/>
        <w:textAlignment w:val="auto"/>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(2）紧密围绕县委、县政府的中心任务开展工作，团结、动员、组织全县妇女群众参与经济社会发展，努力推进中方县妇女儿童事业的发展。</w:t>
      </w:r>
    </w:p>
    <w:p>
      <w:pPr>
        <w:pStyle w:val="19"/>
        <w:pageBreakBefore w:val="0"/>
        <w:widowControl/>
        <w:shd w:val="clear" w:color="auto" w:fill="FFFFFF"/>
        <w:kinsoku/>
        <w:wordWrap/>
        <w:overflowPunct/>
        <w:topLinePunct w:val="0"/>
        <w:autoSpaceDE/>
        <w:autoSpaceDN/>
        <w:bidi w:val="0"/>
        <w:spacing w:before="0" w:beforeAutospacing="0" w:after="0" w:afterAutospacing="0" w:line="560" w:lineRule="exact"/>
        <w:ind w:firstLine="645"/>
        <w:textAlignment w:val="auto"/>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(3)宣传马克思主义妇女观和男女平等思想，教育、引导妇女树立正确的世界观、人生观、价值观，弘扬“自尊、自信、自立、自强”的精神，积极开展对妇女的科技文化及生产劳动技能教育，全面提高妇女素质。</w:t>
      </w:r>
    </w:p>
    <w:p>
      <w:pPr>
        <w:pStyle w:val="19"/>
        <w:pageBreakBefore w:val="0"/>
        <w:widowControl/>
        <w:shd w:val="clear" w:color="auto" w:fill="FFFFFF"/>
        <w:kinsoku/>
        <w:wordWrap/>
        <w:overflowPunct/>
        <w:topLinePunct w:val="0"/>
        <w:autoSpaceDE/>
        <w:autoSpaceDN/>
        <w:bidi w:val="0"/>
        <w:spacing w:before="0" w:beforeAutospacing="0" w:after="0" w:afterAutospacing="0" w:line="560" w:lineRule="exact"/>
        <w:ind w:firstLine="645"/>
        <w:textAlignment w:val="auto"/>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(4)代表妇女参与社会事务的民主管理和民主监督；关注并积极研究涉及妇女切身利益的热点、难点问题，及时提出解决处理的建议；参与制定有关保护妇女儿童合法权益的政策并组织落实，切实维护妇女儿童合法权益。</w:t>
      </w:r>
    </w:p>
    <w:p>
      <w:pPr>
        <w:pStyle w:val="19"/>
        <w:pageBreakBefore w:val="0"/>
        <w:widowControl/>
        <w:shd w:val="clear" w:color="auto" w:fill="FFFFFF"/>
        <w:kinsoku/>
        <w:wordWrap/>
        <w:overflowPunct/>
        <w:topLinePunct w:val="0"/>
        <w:autoSpaceDE/>
        <w:autoSpaceDN/>
        <w:bidi w:val="0"/>
        <w:spacing w:before="0" w:beforeAutospacing="0" w:after="0" w:afterAutospacing="0" w:line="560" w:lineRule="exact"/>
        <w:ind w:firstLine="645"/>
        <w:textAlignment w:val="auto"/>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(5)坚持为妇女儿童服务、为基层服务，加强与社会各界的联系，协调、推动社会各界为妇女儿童办好事、办实事。</w:t>
      </w:r>
    </w:p>
    <w:p>
      <w:pPr>
        <w:pStyle w:val="19"/>
        <w:pageBreakBefore w:val="0"/>
        <w:widowControl/>
        <w:shd w:val="clear" w:color="auto" w:fill="FFFFFF"/>
        <w:kinsoku/>
        <w:wordWrap/>
        <w:overflowPunct/>
        <w:topLinePunct w:val="0"/>
        <w:autoSpaceDE/>
        <w:autoSpaceDN/>
        <w:bidi w:val="0"/>
        <w:spacing w:before="0" w:beforeAutospacing="0" w:after="0" w:afterAutospacing="0" w:line="560" w:lineRule="exact"/>
        <w:ind w:firstLine="645"/>
        <w:textAlignment w:val="auto"/>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(6)加强与社会各界妇女的联系，巩固和扩大各族各界妇女的大团结。</w:t>
      </w:r>
    </w:p>
    <w:p>
      <w:pPr>
        <w:pStyle w:val="19"/>
        <w:pageBreakBefore w:val="0"/>
        <w:widowControl/>
        <w:shd w:val="clear" w:color="auto" w:fill="FFFFFF"/>
        <w:kinsoku/>
        <w:wordWrap/>
        <w:overflowPunct/>
        <w:topLinePunct w:val="0"/>
        <w:autoSpaceDE/>
        <w:autoSpaceDN/>
        <w:bidi w:val="0"/>
        <w:spacing w:before="0" w:beforeAutospacing="0" w:after="0" w:afterAutospacing="0" w:line="560" w:lineRule="exact"/>
        <w:ind w:firstLine="645"/>
        <w:textAlignment w:val="auto"/>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(7)加强妇联组织自身建设，指导建立健全各级妇联和基层妇女组织。指导各级妇女组织按照章程独立自主地开展工作。加强干部队伍建设，提高妇联干部的整体素质。</w:t>
      </w:r>
    </w:p>
    <w:p>
      <w:pPr>
        <w:pStyle w:val="19"/>
        <w:pageBreakBefore w:val="0"/>
        <w:widowControl/>
        <w:shd w:val="clear" w:color="auto" w:fill="FFFFFF"/>
        <w:kinsoku/>
        <w:wordWrap/>
        <w:overflowPunct/>
        <w:topLinePunct w:val="0"/>
        <w:autoSpaceDE/>
        <w:autoSpaceDN/>
        <w:bidi w:val="0"/>
        <w:spacing w:before="0" w:beforeAutospacing="0" w:after="0" w:afterAutospacing="0" w:line="560" w:lineRule="exact"/>
        <w:ind w:firstLine="645"/>
        <w:textAlignment w:val="auto"/>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(8)承担县妇女儿童工作委员会的日常工作。</w:t>
      </w:r>
    </w:p>
    <w:p>
      <w:pPr>
        <w:pStyle w:val="2"/>
        <w:pageBreakBefore w:val="0"/>
        <w:kinsoku/>
        <w:wordWrap/>
        <w:overflowPunct/>
        <w:topLinePunct w:val="0"/>
        <w:autoSpaceDE/>
        <w:autoSpaceDN/>
        <w:bidi w:val="0"/>
        <w:adjustRightInd w:val="0"/>
        <w:snapToGrid w:val="0"/>
        <w:spacing w:before="93" w:line="560" w:lineRule="exact"/>
        <w:ind w:firstLine="672" w:firstLineChars="210"/>
        <w:textAlignment w:val="auto"/>
        <w:outlineLvl w:val="2"/>
        <w:rPr>
          <w:rFonts w:ascii="仿宋" w:hAnsi="仿宋" w:eastAsia="仿宋"/>
          <w:bCs/>
          <w:color w:val="000000"/>
          <w:sz w:val="32"/>
          <w:szCs w:val="32"/>
        </w:rPr>
      </w:pPr>
      <w:bookmarkStart w:id="28" w:name="_Toc22808"/>
      <w:r>
        <w:rPr>
          <w:rFonts w:hint="eastAsia" w:hAnsi="仿宋_GB2312" w:cs="仿宋_GB2312"/>
          <w:bCs/>
          <w:kern w:val="2"/>
          <w:sz w:val="32"/>
          <w:szCs w:val="32"/>
        </w:rPr>
        <w:t>(9)承办县委、县政府和市妇联交办的其他事项。</w:t>
      </w:r>
      <w:bookmarkEnd w:id="28"/>
    </w:p>
    <w:p>
      <w:pPr>
        <w:pStyle w:val="2"/>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2020</w:t>
      </w:r>
      <w:r>
        <w:rPr>
          <w:rFonts w:hint="eastAsia" w:ascii="仿宋" w:hAnsi="仿宋" w:eastAsia="仿宋"/>
          <w:bCs/>
          <w:color w:val="000000"/>
          <w:sz w:val="32"/>
          <w:szCs w:val="32"/>
        </w:rPr>
        <w:t>年重点工作完成情况。</w:t>
      </w:r>
      <w:bookmarkEnd w:id="24"/>
      <w:bookmarkEnd w:id="25"/>
      <w:bookmarkEnd w:id="26"/>
      <w:bookmarkEnd w:id="27"/>
    </w:p>
    <w:p>
      <w:pPr>
        <w:keepNext w:val="0"/>
        <w:keepLines w:val="0"/>
        <w:pageBreakBefore w:val="0"/>
        <w:shd w:val="solid" w:color="FFFFFF" w:fill="auto"/>
        <w:kinsoku/>
        <w:wordWrap/>
        <w:overflowPunct/>
        <w:topLinePunct w:val="0"/>
        <w:autoSpaceDE w:val="0"/>
        <w:autoSpaceDN w:val="0"/>
        <w:bidi w:val="0"/>
        <w:snapToGrid/>
        <w:spacing w:beforeLines="0" w:afterLines="0" w:line="560" w:lineRule="exact"/>
        <w:ind w:firstLine="640" w:firstLineChars="200"/>
        <w:textAlignment w:val="auto"/>
        <w:rPr>
          <w:rFonts w:hint="eastAsia" w:ascii="仿宋_GB2312" w:hAnsi="仿宋_GB2312" w:eastAsia="仿宋_GB2312"/>
          <w:color w:val="auto"/>
          <w:sz w:val="32"/>
        </w:rPr>
      </w:pPr>
      <w:r>
        <w:rPr>
          <w:rFonts w:hint="eastAsia" w:ascii="仿宋_GB2312" w:hAnsi="仿宋_GB2312" w:eastAsia="仿宋_GB2312"/>
          <w:color w:val="auto"/>
          <w:sz w:val="32"/>
        </w:rPr>
        <w:t>20</w:t>
      </w:r>
      <w:r>
        <w:rPr>
          <w:rFonts w:hint="eastAsia" w:ascii="仿宋_GB2312" w:hAnsi="仿宋_GB2312" w:eastAsia="仿宋_GB2312"/>
          <w:color w:val="auto"/>
          <w:sz w:val="32"/>
          <w:lang w:val="en-US" w:eastAsia="zh-CN"/>
        </w:rPr>
        <w:t>20</w:t>
      </w:r>
      <w:r>
        <w:rPr>
          <w:rFonts w:hint="eastAsia" w:ascii="仿宋_GB2312" w:hAnsi="仿宋_GB2312" w:eastAsia="仿宋_GB2312"/>
          <w:color w:val="auto"/>
          <w:sz w:val="32"/>
        </w:rPr>
        <w:t>年，</w:t>
      </w:r>
      <w:r>
        <w:rPr>
          <w:rFonts w:hint="eastAsia" w:ascii="仿宋_GB2312" w:hAnsi="仿宋_GB2312" w:eastAsia="仿宋_GB2312" w:cs="仿宋_GB2312"/>
          <w:color w:val="auto"/>
          <w:sz w:val="32"/>
          <w:szCs w:val="32"/>
        </w:rPr>
        <w:t>县妇联在</w:t>
      </w:r>
      <w:r>
        <w:rPr>
          <w:rFonts w:hint="eastAsia" w:ascii="仿宋_GB2312" w:hAnsi="仿宋_GB2312" w:eastAsia="仿宋_GB2312" w:cs="仿宋_GB2312"/>
          <w:color w:val="auto"/>
          <w:sz w:val="32"/>
          <w:szCs w:val="32"/>
          <w:lang w:eastAsia="zh-CN"/>
        </w:rPr>
        <w:t>县委、</w:t>
      </w:r>
      <w:r>
        <w:rPr>
          <w:rFonts w:hint="eastAsia" w:ascii="仿宋_GB2312" w:hAnsi="仿宋_GB2312" w:eastAsia="仿宋_GB2312" w:cs="仿宋_GB2312"/>
          <w:color w:val="auto"/>
          <w:sz w:val="32"/>
          <w:szCs w:val="32"/>
          <w:lang w:val="en-US" w:eastAsia="zh-CN"/>
        </w:rPr>
        <w:t>县政府</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lang w:val="en-US" w:eastAsia="zh-CN"/>
        </w:rPr>
        <w:t>坚强</w:t>
      </w:r>
      <w:r>
        <w:rPr>
          <w:rFonts w:hint="eastAsia" w:ascii="仿宋_GB2312" w:hAnsi="仿宋_GB2312" w:eastAsia="仿宋_GB2312" w:cs="仿宋_GB2312"/>
          <w:color w:val="auto"/>
          <w:sz w:val="32"/>
          <w:szCs w:val="32"/>
          <w:lang w:eastAsia="zh-CN"/>
        </w:rPr>
        <w:t>领导下，</w:t>
      </w:r>
      <w:r>
        <w:rPr>
          <w:rFonts w:hint="eastAsia" w:ascii="仿宋_GB2312" w:hAnsi="仿宋_GB2312" w:eastAsia="仿宋_GB2312" w:cs="仿宋_GB2312"/>
          <w:color w:val="auto"/>
          <w:sz w:val="32"/>
          <w:szCs w:val="32"/>
        </w:rPr>
        <w:t>州妇联的具体指导下，</w:t>
      </w:r>
      <w:r>
        <w:rPr>
          <w:rFonts w:hint="eastAsia" w:ascii="仿宋_GB2312" w:hAnsi="仿宋_GB2312" w:eastAsia="仿宋_GB2312" w:cs="仿宋_GB2312"/>
          <w:color w:val="auto"/>
          <w:sz w:val="32"/>
          <w:szCs w:val="32"/>
          <w:lang w:val="zh-CN"/>
        </w:rPr>
        <w:t>进一步完善工作机制，强化工作责任，</w:t>
      </w:r>
      <w:r>
        <w:rPr>
          <w:rFonts w:hint="eastAsia" w:ascii="仿宋_GB2312" w:hAnsi="仿宋_GB2312" w:eastAsia="仿宋_GB2312" w:cs="仿宋_GB2312"/>
          <w:color w:val="auto"/>
          <w:sz w:val="32"/>
          <w:szCs w:val="32"/>
        </w:rPr>
        <w:t>团结带领全县妇女，紧紧围绕县委、县政府的中心工作</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olor w:val="auto"/>
          <w:sz w:val="32"/>
        </w:rPr>
        <w:t>以构建和谐社会关系为工作核心，以加强妇联组织建设为基础，以开展“姐妹宣讲团”活动等品牌工作为统领，工作方式不断创新，工作成效不断凸显，维护好了广大妇女群众的合法权益，</w:t>
      </w:r>
      <w:r>
        <w:rPr>
          <w:rFonts w:hint="eastAsia" w:ascii="仿宋_GB2312" w:hAnsi="仿宋_GB2312" w:eastAsia="仿宋_GB2312" w:cs="仿宋_GB2312"/>
          <w:color w:val="auto"/>
          <w:sz w:val="32"/>
          <w:szCs w:val="32"/>
          <w:lang w:val="zh-CN"/>
        </w:rPr>
        <w:t>为建功“红原三地</w:t>
      </w:r>
      <w:r>
        <w:rPr>
          <w:rFonts w:hint="eastAsia" w:ascii="仿宋_GB2312" w:hAnsi="仿宋_GB2312" w:eastAsia="仿宋_GB2312" w:cs="仿宋_GB2312"/>
          <w:color w:val="auto"/>
          <w:sz w:val="32"/>
          <w:szCs w:val="32"/>
          <w:lang w:val="en-US" w:eastAsia="zh-CN"/>
        </w:rPr>
        <w:t>两心</w:t>
      </w:r>
      <w:r>
        <w:rPr>
          <w:rFonts w:hint="eastAsia" w:ascii="仿宋_GB2312" w:hAnsi="仿宋_GB2312" w:eastAsia="仿宋_GB2312" w:cs="仿宋_GB2312"/>
          <w:color w:val="auto"/>
          <w:sz w:val="32"/>
          <w:szCs w:val="32"/>
          <w:lang w:val="zh-CN"/>
        </w:rPr>
        <w:t>一时代”建设贡献</w:t>
      </w:r>
      <w:r>
        <w:rPr>
          <w:rFonts w:hint="eastAsia" w:ascii="仿宋_GB2312" w:hAnsi="仿宋_GB2312" w:eastAsia="仿宋_GB2312" w:cs="仿宋_GB2312"/>
          <w:color w:val="auto"/>
          <w:sz w:val="32"/>
          <w:szCs w:val="32"/>
          <w:lang w:val="en-US" w:eastAsia="zh-CN"/>
        </w:rPr>
        <w:t>巾帼力量</w:t>
      </w:r>
      <w:r>
        <w:rPr>
          <w:rFonts w:hint="eastAsia" w:ascii="仿宋_GB2312" w:hAnsi="仿宋_GB2312" w:eastAsia="仿宋_GB2312" w:cs="仿宋_GB2312"/>
          <w:color w:val="auto"/>
          <w:sz w:val="32"/>
          <w:szCs w:val="32"/>
          <w:lang w:val="zh-CN"/>
        </w:rPr>
        <w:t>。</w:t>
      </w:r>
    </w:p>
    <w:p>
      <w:pPr>
        <w:keepNext w:val="0"/>
        <w:keepLines w:val="0"/>
        <w:pageBreakBefore w:val="0"/>
        <w:numPr>
          <w:ilvl w:val="0"/>
          <w:numId w:val="0"/>
        </w:numPr>
        <w:kinsoku/>
        <w:wordWrap/>
        <w:overflowPunct/>
        <w:topLinePunct w:val="0"/>
        <w:bidi w:val="0"/>
        <w:snapToGrid/>
        <w:spacing w:line="560" w:lineRule="exact"/>
        <w:ind w:firstLine="643" w:firstLineChars="200"/>
        <w:textAlignment w:val="auto"/>
        <w:rPr>
          <w:rFonts w:hint="eastAsia" w:ascii="楷体" w:hAnsi="楷体" w:eastAsia="楷体"/>
          <w:b/>
          <w:sz w:val="32"/>
          <w:lang w:val="en-US" w:eastAsia="zh-CN"/>
        </w:rPr>
      </w:pPr>
      <w:r>
        <w:rPr>
          <w:rFonts w:hint="eastAsia" w:ascii="楷体_GB2312" w:hAnsi="宋体" w:eastAsia="楷体_GB2312"/>
          <w:b/>
          <w:sz w:val="32"/>
          <w:lang w:val="en-US" w:eastAsia="zh-CN"/>
        </w:rPr>
        <w:t>（二）开展工作情况</w:t>
      </w:r>
    </w:p>
    <w:p>
      <w:pPr>
        <w:keepNext w:val="0"/>
        <w:keepLines w:val="0"/>
        <w:pageBreakBefore w:val="0"/>
        <w:numPr>
          <w:ilvl w:val="0"/>
          <w:numId w:val="0"/>
        </w:numPr>
        <w:kinsoku/>
        <w:wordWrap/>
        <w:overflowPunct/>
        <w:topLinePunct w:val="0"/>
        <w:bidi w:val="0"/>
        <w:snapToGrid/>
        <w:spacing w:line="560" w:lineRule="exact"/>
        <w:ind w:firstLine="643" w:firstLineChars="200"/>
        <w:textAlignment w:val="auto"/>
        <w:rPr>
          <w:rFonts w:hint="eastAsia" w:ascii="仿宋_GB2312" w:hAnsi="仿宋_GB2312" w:eastAsia="仿宋_GB2312" w:cs="仿宋_GB2312"/>
          <w:b/>
          <w:sz w:val="32"/>
          <w:lang w:val="en-US" w:eastAsia="zh-CN"/>
        </w:rPr>
      </w:pPr>
      <w:r>
        <w:rPr>
          <w:rFonts w:hint="eastAsia" w:ascii="仿宋_GB2312" w:hAnsi="仿宋_GB2312" w:eastAsia="仿宋_GB2312" w:cs="仿宋_GB2312"/>
          <w:b/>
          <w:sz w:val="32"/>
          <w:lang w:val="en-US" w:eastAsia="zh-CN"/>
        </w:rPr>
        <w:t>1.围绕中心服务大局，推动妇女儿童事业持续发展</w:t>
      </w:r>
    </w:p>
    <w:p>
      <w:pPr>
        <w:keepNext w:val="0"/>
        <w:keepLines w:val="0"/>
        <w:pageBreakBefore w:val="0"/>
        <w:widowControl w:val="0"/>
        <w:kinsoku/>
        <w:wordWrap/>
        <w:overflowPunct/>
        <w:topLinePunct w:val="0"/>
        <w:bidi w:val="0"/>
        <w:adjustRightInd/>
        <w:snapToGrid/>
        <w:spacing w:beforeLines="0" w:afterLines="0" w:line="57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为巩固脱贫攻坚成果，提高牧区广大妇女的生产生活技能和创业能力，帮助贫困妇女增加收入，县妇联积极引导、动员和组织广大妇女参与居家灵活就业技能培训，为红原华洲地毯专业合作社、红原聚善唐卡创作中心、红原黄河源有限责任公司、红原虎头山旅游开发有限责任公司争取省、州妇女居家灵活就业资金225万元，先后开设手工编织等技能培训，30余名妇女前来参训。为</w:t>
      </w:r>
      <w:r>
        <w:rPr>
          <w:rFonts w:hint="eastAsia" w:ascii="仿宋_GB2312" w:hAnsi="仿宋_GB2312" w:eastAsia="仿宋_GB2312"/>
          <w:color w:val="auto"/>
          <w:sz w:val="32"/>
          <w:szCs w:val="22"/>
          <w:lang w:val="en-US" w:eastAsia="zh-CN"/>
        </w:rPr>
        <w:t>推进巾帼脱贫行动、乡村振兴巾帼行动及创业创新巾帼行动及关心关爱贫困母亲的务实举措，今年9月县妇联</w:t>
      </w:r>
      <w:r>
        <w:rPr>
          <w:rFonts w:hint="eastAsia" w:ascii="仿宋_GB2312" w:hAnsi="仿宋_GB2312" w:eastAsia="仿宋_GB2312"/>
          <w:color w:val="auto"/>
          <w:sz w:val="32"/>
          <w:lang w:val="en-US" w:eastAsia="zh-CN"/>
        </w:rPr>
        <w:t>带领</w:t>
      </w:r>
      <w:r>
        <w:rPr>
          <w:rFonts w:hint="eastAsia" w:ascii="仿宋_GB2312" w:hAnsi="仿宋_GB2312" w:eastAsia="仿宋_GB2312"/>
          <w:color w:val="auto"/>
          <w:sz w:val="32"/>
          <w:szCs w:val="22"/>
          <w:lang w:val="en-US" w:eastAsia="zh-CN"/>
        </w:rPr>
        <w:t>妇女手工编织产业带头人（从业者）、巾帼宣讲志愿者以及牧区贫困母亲代表5人前往甘肃省甘南州、青海省西宁市开展了为期一周的妇女手工编织产业学习交流活动。</w:t>
      </w:r>
      <w:r>
        <w:rPr>
          <w:rFonts w:hint="eastAsia" w:ascii="仿宋_GB2312" w:hAnsi="仿宋_GB2312" w:eastAsia="仿宋_GB2312" w:cs="仿宋_GB2312"/>
          <w:color w:val="auto"/>
          <w:sz w:val="32"/>
          <w:szCs w:val="32"/>
          <w:lang w:val="en-US" w:eastAsia="zh-CN"/>
        </w:rPr>
        <w:t>同时，为充分发挥妇儿工委协调作用，努力推动“两纲”重难点指标的突破，全力做好国家和省级“两纲”迎检工作，组织县妇儿工委成员单位负责人及“两纲”工作业务经办人员共计30余人传达学习了省、州妇儿工委相关工作会议精神，通报我县《妇女发展纲要（2011-2020年）》《儿童发展纲要（2011-2020年）》中期指标统计监测结果，安排部署了2020年“两纲”工作，并全面完成我县新一轮《两纲》的编制工作。</w:t>
      </w:r>
    </w:p>
    <w:p>
      <w:pPr>
        <w:keepNext w:val="0"/>
        <w:keepLines w:val="0"/>
        <w:pageBreakBefore w:val="0"/>
        <w:numPr>
          <w:ilvl w:val="0"/>
          <w:numId w:val="0"/>
        </w:numPr>
        <w:kinsoku/>
        <w:wordWrap/>
        <w:overflowPunct/>
        <w:topLinePunct w:val="0"/>
        <w:bidi w:val="0"/>
        <w:snapToGrid/>
        <w:spacing w:line="560" w:lineRule="exact"/>
        <w:ind w:firstLine="643" w:firstLineChars="200"/>
        <w:textAlignment w:val="auto"/>
        <w:rPr>
          <w:rFonts w:hint="eastAsia" w:ascii="仿宋_GB2312" w:hAnsi="仿宋_GB2312" w:eastAsia="仿宋_GB2312" w:cs="仿宋_GB2312"/>
          <w:b/>
          <w:sz w:val="32"/>
          <w:szCs w:val="22"/>
          <w:lang w:val="en-US" w:eastAsia="zh-CN"/>
        </w:rPr>
      </w:pPr>
      <w:r>
        <w:rPr>
          <w:rFonts w:hint="eastAsia" w:ascii="仿宋_GB2312" w:hAnsi="仿宋_GB2312" w:eastAsia="仿宋_GB2312" w:cs="仿宋_GB2312"/>
          <w:b/>
          <w:sz w:val="32"/>
          <w:szCs w:val="22"/>
          <w:lang w:val="en-US" w:eastAsia="zh-CN"/>
        </w:rPr>
        <w:t>2.围绕民生需求，关爱妇女儿童工作有新进展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olor w:val="auto"/>
          <w:sz w:val="32"/>
          <w:shd w:val="clear" w:color="auto" w:fill="FFFFFF"/>
        </w:rPr>
        <w:t>发挥妇联组织的桥梁和纽带作用，把党和政府的温暖和妇联组织的关爱送到贫困母亲身边，让她们在共建中共享社会发展成果</w:t>
      </w:r>
      <w:r>
        <w:rPr>
          <w:rFonts w:hint="eastAsia" w:ascii="仿宋_GB2312" w:eastAsia="仿宋_GB2312"/>
          <w:color w:val="auto"/>
          <w:sz w:val="32"/>
          <w:lang w:eastAsia="zh-CN"/>
        </w:rPr>
        <w:t>。</w:t>
      </w:r>
      <w:r>
        <w:rPr>
          <w:rFonts w:hint="eastAsia" w:ascii="仿宋_GB2312" w:eastAsia="仿宋_GB2312"/>
          <w:b/>
          <w:bCs/>
          <w:color w:val="auto"/>
          <w:sz w:val="32"/>
          <w:lang w:val="en-US" w:eastAsia="zh-CN"/>
        </w:rPr>
        <w:t>一是</w:t>
      </w:r>
      <w:r>
        <w:rPr>
          <w:rFonts w:hint="eastAsia" w:ascii="仿宋_GB2312" w:hAnsi="仿宋_GB2312" w:eastAsia="仿宋_GB2312" w:cs="仿宋_GB2312"/>
          <w:color w:val="auto"/>
          <w:sz w:val="32"/>
          <w:szCs w:val="32"/>
          <w:lang w:val="en-US" w:eastAsia="zh-CN"/>
        </w:rPr>
        <w:t>新冠肺炎疫情防控工作开展以来，我县各乡镇、村（社区）妇联组织、各行各业的妇女姐妹，积极响应县委、县政府的号召，主动担当尽责，积极开展入户排查、文明劝导、环境整治等各项防控工作，为营造人人重视、人人防控的防控氛围，为守护高原人民群众的生命健康安全发挥了“半边天”的作用。</w:t>
      </w:r>
      <w:r>
        <w:rPr>
          <w:rFonts w:hint="eastAsia" w:ascii="仿宋_GB2312" w:eastAsia="仿宋_GB2312"/>
          <w:b/>
          <w:bCs/>
          <w:color w:val="auto"/>
          <w:sz w:val="32"/>
          <w:lang w:val="en-US" w:eastAsia="zh-CN"/>
        </w:rPr>
        <w:t>二是</w:t>
      </w:r>
      <w:r>
        <w:rPr>
          <w:rFonts w:hint="eastAsia" w:ascii="仿宋_GB2312" w:hAnsi="仿宋_GB2312" w:eastAsia="仿宋_GB2312" w:cs="仿宋_GB2312"/>
          <w:color w:val="auto"/>
          <w:sz w:val="32"/>
          <w:szCs w:val="32"/>
          <w:lang w:val="en-US" w:eastAsia="zh-CN"/>
        </w:rPr>
        <w:t>“三八节”前后，县妇联</w:t>
      </w:r>
      <w:r>
        <w:rPr>
          <w:rFonts w:hint="eastAsia" w:ascii="仿宋_GB2312" w:hAnsi="仿宋_GB2312" w:eastAsia="仿宋_GB2312"/>
          <w:color w:val="auto"/>
          <w:sz w:val="32"/>
          <w:lang w:val="en-US" w:eastAsia="zh-CN"/>
        </w:rPr>
        <w:t>深入各乡镇开展关爱慰问活动,为全县</w:t>
      </w:r>
      <w:r>
        <w:rPr>
          <w:rFonts w:hint="eastAsia" w:ascii="仿宋_GB2312" w:hAnsi="仿宋_GB2312" w:eastAsia="仿宋_GB2312" w:cs="仿宋_GB2312"/>
          <w:color w:val="auto"/>
          <w:sz w:val="32"/>
          <w:szCs w:val="32"/>
          <w:lang w:val="en-US" w:eastAsia="zh-CN"/>
        </w:rPr>
        <w:t>13名</w:t>
      </w:r>
      <w:r>
        <w:rPr>
          <w:rFonts w:hint="eastAsia" w:ascii="仿宋_GB2312" w:hAnsi="仿宋_GB2312" w:eastAsia="仿宋_GB2312" w:cs="仿宋_GB2312"/>
          <w:color w:val="auto"/>
          <w:sz w:val="32"/>
          <w:szCs w:val="32"/>
          <w:lang w:eastAsia="zh-CN"/>
        </w:rPr>
        <w:t>单亲、贫困患病妇女发放</w:t>
      </w:r>
      <w:r>
        <w:rPr>
          <w:rFonts w:hint="eastAsia" w:ascii="仿宋_GB2312" w:hAnsi="仿宋_GB2312" w:eastAsia="仿宋_GB2312" w:cs="仿宋_GB2312"/>
          <w:color w:val="auto"/>
          <w:sz w:val="32"/>
          <w:szCs w:val="32"/>
          <w:lang w:val="en-US" w:eastAsia="zh-CN"/>
        </w:rPr>
        <w:t>500至1000不等的救助金，累计发放救助金9000元。</w:t>
      </w:r>
      <w:r>
        <w:rPr>
          <w:rFonts w:hint="eastAsia" w:ascii="仿宋_GB2312" w:hAnsi="仿宋_GB2312" w:eastAsia="仿宋_GB2312"/>
          <w:color w:val="auto"/>
          <w:sz w:val="32"/>
          <w:lang w:val="en-US" w:eastAsia="zh-CN"/>
        </w:rPr>
        <w:t>三</w:t>
      </w:r>
      <w:r>
        <w:rPr>
          <w:rFonts w:hint="eastAsia" w:ascii="仿宋_GB2312" w:hAnsi="仿宋_GB2312" w:eastAsia="仿宋_GB2312"/>
          <w:b/>
          <w:bCs/>
          <w:color w:val="auto"/>
          <w:sz w:val="32"/>
          <w:lang w:val="en-US" w:eastAsia="zh-CN"/>
        </w:rPr>
        <w:t>是</w:t>
      </w:r>
      <w:r>
        <w:rPr>
          <w:rFonts w:hint="eastAsia" w:ascii="仿宋_GB2312" w:eastAsia="仿宋_GB2312"/>
          <w:color w:val="auto"/>
          <w:sz w:val="32"/>
          <w:lang w:val="en-US" w:eastAsia="zh-CN"/>
        </w:rPr>
        <w:t>争取6万元资金建设3个“儿童之家”，有效改善牧区学龄儿童生存、发展环境，促进学龄儿童、留守儿童健康成长。</w:t>
      </w:r>
      <w:r>
        <w:rPr>
          <w:rFonts w:hint="eastAsia" w:ascii="仿宋_GB2312" w:eastAsia="仿宋_GB2312"/>
          <w:b/>
          <w:bCs/>
          <w:color w:val="auto"/>
          <w:sz w:val="32"/>
          <w:lang w:val="en-US" w:eastAsia="zh-CN"/>
        </w:rPr>
        <w:t>四是</w:t>
      </w:r>
      <w:r>
        <w:rPr>
          <w:rFonts w:hint="eastAsia" w:ascii="仿宋_GB2312" w:hAnsi="仿宋_GB2312" w:eastAsia="仿宋_GB2312" w:cs="仿宋_GB2312"/>
          <w:color w:val="auto"/>
          <w:sz w:val="32"/>
          <w:szCs w:val="32"/>
          <w:lang w:val="en-US" w:eastAsia="zh-CN"/>
        </w:rPr>
        <w:t>县妇联积极争取州妇联对“贫困大病患病妇女”专项救助资金，为我县3名患大病贫困妇女发放了救助共计0.9万元；为全县贫困、单亲母亲发放价值5万余元的暖心包、300余件羽绒服和100余件毛衣。</w:t>
      </w:r>
      <w:r>
        <w:rPr>
          <w:rFonts w:hint="eastAsia" w:ascii="仿宋_GB2312" w:hAnsi="仿宋_GB2312" w:eastAsia="仿宋_GB2312" w:cs="仿宋_GB2312"/>
          <w:b/>
          <w:bCs/>
          <w:color w:val="auto"/>
          <w:sz w:val="32"/>
          <w:szCs w:val="32"/>
          <w:lang w:val="en-US" w:eastAsia="zh-CN"/>
        </w:rPr>
        <w:t>五是</w:t>
      </w:r>
      <w:r>
        <w:rPr>
          <w:rFonts w:hint="eastAsia" w:ascii="仿宋_GB2312" w:hAnsi="仿宋_GB2312" w:eastAsia="仿宋_GB2312" w:cs="仿宋_GB2312"/>
          <w:color w:val="auto"/>
          <w:sz w:val="32"/>
          <w:szCs w:val="32"/>
          <w:lang w:val="en-US" w:eastAsia="zh-CN"/>
        </w:rPr>
        <w:t>为凝聚社会力量，共同搭建好关爱、保护未成年人的桥梁，县妇联为麦洼乡小学学生捐赠200件羽绒服。</w:t>
      </w:r>
    </w:p>
    <w:p>
      <w:pPr>
        <w:spacing w:beforeLines="0" w:afterLines="0" w:line="570" w:lineRule="exact"/>
        <w:ind w:firstLine="643" w:firstLineChars="200"/>
        <w:rPr>
          <w:rFonts w:hint="eastAsia" w:ascii="楷体_GB2312" w:hAnsi="宋体" w:eastAsia="楷体_GB2312" w:cs="Times New Roman"/>
          <w:b/>
          <w:sz w:val="32"/>
          <w:lang w:val="en-US" w:eastAsia="zh-CN"/>
        </w:rPr>
      </w:pPr>
      <w:r>
        <w:rPr>
          <w:rFonts w:hint="eastAsia" w:ascii="仿宋_GB2312" w:hAnsi="仿宋_GB2312" w:eastAsia="仿宋_GB2312"/>
          <w:b/>
          <w:color w:val="auto"/>
          <w:sz w:val="32"/>
          <w:lang w:val="en-US" w:eastAsia="zh-CN"/>
        </w:rPr>
        <w:t>3.积极开展普法宣传工作，</w:t>
      </w:r>
      <w:r>
        <w:rPr>
          <w:rFonts w:hint="eastAsia" w:ascii="楷体_GB2312" w:hAnsi="宋体" w:eastAsia="楷体_GB2312" w:cs="Times New Roman"/>
          <w:b/>
          <w:sz w:val="32"/>
          <w:lang w:val="en-US" w:eastAsia="zh-CN"/>
        </w:rPr>
        <w:t>维护妇女儿童合法权益</w:t>
      </w:r>
    </w:p>
    <w:p>
      <w:pPr>
        <w:ind w:firstLine="643" w:firstLineChars="200"/>
        <w:rPr>
          <w:rFonts w:hint="eastAsia" w:ascii="仿宋_GB2312" w:hAnsi="仿宋_GB2312" w:eastAsia="仿宋_GB2312" w:cs="仿宋_GB2312"/>
          <w:b/>
          <w:sz w:val="32"/>
          <w:szCs w:val="22"/>
          <w:lang w:val="en-US" w:eastAsia="zh-CN"/>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b w:val="0"/>
          <w:bCs w:val="0"/>
          <w:kern w:val="2"/>
          <w:sz w:val="32"/>
          <w:szCs w:val="22"/>
          <w:u w:val="none"/>
          <w:lang w:val="en-US" w:eastAsia="zh-CN"/>
        </w:rPr>
        <w:t>组织“关爱草原阿妈”姐妹宣讲团深入邛溪镇达格龙村、玛萨村开展新一轮宣讲工作。宣讲团成员围绕“重大理论宣传、民生政策解读、道德风尚弘扬、健康知识传播”四个方面内容，用浅显的语言结合实际案例，为前来听讲的妇女群众解读党的理论政策和富民惠民政策、学习先进典型事迹、讲解婚姻纠纷中常见的法律问题和妇女疾病防治常识等。生动朴实的“乡音土话”、翔实鲜活的“身边故事”使前来听讲的妇女群众受益匪浅，妇女群众纷纷反映这样的宣讲“听得懂，用得上”。</w:t>
      </w:r>
      <w:r>
        <w:rPr>
          <w:rFonts w:hint="eastAsia" w:ascii="仿宋_GB2312" w:hAnsi="仿宋_GB2312" w:eastAsia="仿宋_GB2312" w:cs="仿宋_GB2312"/>
          <w:sz w:val="32"/>
          <w:u w:val="none"/>
          <w:lang w:val="en-US" w:eastAsia="zh-CN"/>
        </w:rPr>
        <w:t>此次宣讲活动中还发放藏汉双语宣传资料300余份、发放卫生生活用品400余份，200余名妇女群众受益。</w:t>
      </w:r>
      <w:r>
        <w:rPr>
          <w:rFonts w:hint="eastAsia" w:ascii="仿宋_GB2312" w:hAnsi="仿宋_GB2312" w:eastAsia="仿宋_GB2312" w:cs="仿宋_GB2312"/>
          <w:b/>
          <w:bCs/>
          <w:sz w:val="32"/>
          <w:u w:val="none"/>
          <w:lang w:val="en-US" w:eastAsia="zh-CN"/>
        </w:rPr>
        <w:t>二是</w:t>
      </w:r>
      <w:r>
        <w:rPr>
          <w:rFonts w:hint="eastAsia" w:ascii="仿宋_GB2312" w:hAnsi="仿宋_GB2312" w:eastAsia="仿宋_GB2312" w:cs="仿宋_GB2312"/>
          <w:sz w:val="32"/>
          <w:szCs w:val="32"/>
          <w:lang w:val="en-US" w:eastAsia="zh-CN"/>
        </w:rPr>
        <w:t>阿坝州妇联组织的“净土春晖”巾帼志愿宣讲队来到我县藏文中学开展巡讲活动，此次巡讲队结合当前疫情防控实际和“禁毒宣传月”、“家庭教育宣传月”、“控辍保学”、“全州防范打击侵害未成年人违法犯罪、关爱保护未成年人健康成长专项行动”等重点工作任务进行巡讲，共1000余名同学收益。</w:t>
      </w:r>
      <w:r>
        <w:rPr>
          <w:rFonts w:hint="eastAsia" w:ascii="仿宋_GB2312" w:hAnsi="仿宋_GB2312" w:eastAsia="仿宋_GB2312" w:cs="仿宋_GB2312"/>
          <w:b/>
          <w:bCs/>
          <w:sz w:val="32"/>
          <w:u w:val="none"/>
          <w:lang w:val="en-US" w:eastAsia="zh-CN"/>
        </w:rPr>
        <w:t>三是</w:t>
      </w:r>
      <w:r>
        <w:rPr>
          <w:rFonts w:hint="eastAsia" w:ascii="仿宋_GB2312" w:hAnsi="仿宋_GB2312" w:eastAsia="仿宋_GB2312" w:cs="仿宋_GB2312"/>
          <w:i w:val="0"/>
          <w:caps w:val="0"/>
          <w:color w:val="auto"/>
          <w:spacing w:val="8"/>
          <w:sz w:val="32"/>
          <w:szCs w:val="32"/>
          <w:shd w:val="clear" w:color="auto" w:fill="FFFFFF"/>
          <w:lang w:val="en-US" w:eastAsia="zh-CN"/>
        </w:rPr>
        <w:t>组织巾帼志愿者在瓦切镇</w:t>
      </w:r>
      <w:r>
        <w:rPr>
          <w:rFonts w:hint="eastAsia" w:ascii="仿宋_GB2312" w:hAnsi="仿宋_GB2312" w:eastAsia="仿宋_GB2312" w:cs="仿宋_GB2312"/>
          <w:i w:val="0"/>
          <w:caps w:val="0"/>
          <w:color w:val="auto"/>
          <w:spacing w:val="8"/>
          <w:sz w:val="32"/>
          <w:szCs w:val="32"/>
          <w:shd w:val="clear" w:color="auto" w:fill="FFFFFF"/>
        </w:rPr>
        <w:t>开展“</w:t>
      </w:r>
      <w:r>
        <w:rPr>
          <w:rFonts w:hint="eastAsia" w:ascii="仿宋_GB2312" w:hAnsi="仿宋_GB2312" w:eastAsia="仿宋_GB2312" w:cs="仿宋_GB2312"/>
          <w:i w:val="0"/>
          <w:caps w:val="0"/>
          <w:color w:val="auto"/>
          <w:spacing w:val="8"/>
          <w:sz w:val="32"/>
          <w:szCs w:val="32"/>
          <w:shd w:val="clear" w:color="auto" w:fill="FFFFFF"/>
          <w:lang w:val="en-US" w:eastAsia="zh-CN"/>
        </w:rPr>
        <w:t>保护儿童·远离伤害</w:t>
      </w:r>
      <w:r>
        <w:rPr>
          <w:rFonts w:hint="eastAsia" w:ascii="仿宋_GB2312" w:hAnsi="仿宋_GB2312" w:eastAsia="仿宋_GB2312" w:cs="仿宋_GB2312"/>
          <w:i w:val="0"/>
          <w:caps w:val="0"/>
          <w:color w:val="auto"/>
          <w:spacing w:val="8"/>
          <w:sz w:val="32"/>
          <w:szCs w:val="32"/>
          <w:shd w:val="clear" w:color="auto" w:fill="FFFFFF"/>
        </w:rPr>
        <w:t>”为主题的</w:t>
      </w:r>
      <w:r>
        <w:rPr>
          <w:rFonts w:hint="eastAsia" w:ascii="仿宋_GB2312" w:hAnsi="仿宋_GB2312" w:eastAsia="仿宋_GB2312" w:cs="仿宋_GB2312"/>
          <w:i w:val="0"/>
          <w:caps w:val="0"/>
          <w:color w:val="auto"/>
          <w:spacing w:val="8"/>
          <w:sz w:val="32"/>
          <w:szCs w:val="32"/>
          <w:shd w:val="clear" w:color="auto" w:fill="FFFFFF"/>
          <w:lang w:val="en-US" w:eastAsia="zh-CN"/>
        </w:rPr>
        <w:t>暑期防汛教育</w:t>
      </w:r>
      <w:r>
        <w:rPr>
          <w:rFonts w:hint="eastAsia" w:ascii="仿宋_GB2312" w:hAnsi="仿宋_GB2312" w:eastAsia="仿宋_GB2312" w:cs="仿宋_GB2312"/>
          <w:i w:val="0"/>
          <w:caps w:val="0"/>
          <w:color w:val="auto"/>
          <w:spacing w:val="8"/>
          <w:sz w:val="32"/>
          <w:szCs w:val="32"/>
          <w:shd w:val="clear" w:color="auto" w:fill="FFFFFF"/>
        </w:rPr>
        <w:t>活动</w:t>
      </w:r>
      <w:r>
        <w:rPr>
          <w:rFonts w:hint="eastAsia" w:ascii="仿宋_GB2312" w:hAnsi="仿宋_GB2312" w:eastAsia="仿宋_GB2312" w:cs="仿宋_GB2312"/>
          <w:i w:val="0"/>
          <w:caps w:val="0"/>
          <w:color w:val="auto"/>
          <w:spacing w:val="8"/>
          <w:sz w:val="32"/>
          <w:szCs w:val="32"/>
          <w:shd w:val="clear" w:color="auto" w:fill="FFFFFF"/>
          <w:lang w:eastAsia="zh-CN"/>
        </w:rPr>
        <w:t>。</w:t>
      </w:r>
      <w:r>
        <w:rPr>
          <w:rFonts w:hint="eastAsia" w:ascii="仿宋_GB2312" w:hAnsi="仿宋_GB2312" w:eastAsia="仿宋_GB2312" w:cs="仿宋_GB2312"/>
          <w:i w:val="0"/>
          <w:caps w:val="0"/>
          <w:color w:val="auto"/>
          <w:spacing w:val="8"/>
          <w:sz w:val="32"/>
          <w:szCs w:val="32"/>
          <w:shd w:val="clear" w:color="auto" w:fill="FFFFFF"/>
          <w:lang w:val="en-US" w:eastAsia="zh-CN"/>
        </w:rPr>
        <w:t>巾帼志愿者为来自瓦切镇、阿木乡、麦洼乡等乡镇的300余名儿童讲解了防汛、防水、防雷等安全知识。</w:t>
      </w:r>
    </w:p>
    <w:p>
      <w:pPr>
        <w:keepNext w:val="0"/>
        <w:keepLines w:val="0"/>
        <w:pageBreakBefore w:val="0"/>
        <w:numPr>
          <w:ilvl w:val="0"/>
          <w:numId w:val="0"/>
        </w:numPr>
        <w:kinsoku/>
        <w:wordWrap/>
        <w:overflowPunct/>
        <w:topLinePunct w:val="0"/>
        <w:bidi w:val="0"/>
        <w:snapToGrid/>
        <w:spacing w:line="560" w:lineRule="exact"/>
        <w:ind w:firstLine="643" w:firstLineChars="200"/>
        <w:textAlignment w:val="auto"/>
        <w:rPr>
          <w:rFonts w:hint="eastAsia" w:ascii="仿宋_GB2312" w:hAnsi="仿宋_GB2312" w:eastAsia="仿宋_GB2312" w:cs="仿宋_GB2312"/>
          <w:b/>
          <w:sz w:val="32"/>
          <w:szCs w:val="22"/>
          <w:lang w:val="en-US" w:eastAsia="zh-CN"/>
        </w:rPr>
      </w:pPr>
      <w:r>
        <w:rPr>
          <w:rFonts w:hint="eastAsia" w:ascii="仿宋_GB2312" w:hAnsi="仿宋_GB2312" w:eastAsia="仿宋_GB2312" w:cs="仿宋_GB2312"/>
          <w:b/>
          <w:sz w:val="32"/>
          <w:szCs w:val="22"/>
          <w:lang w:val="en-US" w:eastAsia="zh-CN"/>
        </w:rPr>
        <w:t>4.围绕妇女和家庭，促进红原新民风建设</w:t>
      </w:r>
    </w:p>
    <w:p>
      <w:pPr>
        <w:keepNext w:val="0"/>
        <w:keepLines w:val="0"/>
        <w:pageBreakBefore w:val="0"/>
        <w:shd w:val="solid" w:color="FFFFFF" w:fill="auto"/>
        <w:kinsoku/>
        <w:wordWrap/>
        <w:overflowPunct/>
        <w:topLinePunct w:val="0"/>
        <w:autoSpaceDE w:val="0"/>
        <w:autoSpaceDN w:val="0"/>
        <w:bidi w:val="0"/>
        <w:snapToGrid/>
        <w:spacing w:beforeLines="0" w:afterLines="0" w:line="560" w:lineRule="exact"/>
        <w:ind w:firstLine="640" w:firstLineChars="200"/>
        <w:textAlignment w:val="auto"/>
        <w:rPr>
          <w:rFonts w:hint="default" w:ascii="仿宋_GB2312" w:hAnsi="仿宋_GB2312" w:eastAsia="仿宋_GB2312"/>
          <w:color w:val="auto"/>
          <w:sz w:val="32"/>
          <w:szCs w:val="22"/>
          <w:lang w:val="en-US" w:eastAsia="zh-CN"/>
        </w:rPr>
      </w:pPr>
      <w:r>
        <w:rPr>
          <w:rFonts w:hint="eastAsia" w:ascii="仿宋_GB2312" w:hAnsi="仿宋_GB2312" w:eastAsia="仿宋_GB2312"/>
          <w:color w:val="auto"/>
          <w:sz w:val="32"/>
          <w:szCs w:val="22"/>
          <w:lang w:val="en-US" w:eastAsia="zh-CN"/>
        </w:rPr>
        <w:t>为充分展示我县广大妇女同胞在抗击疫情中坚守岗位、勇挑重担、提供保障、汇聚力量的巾帼风采，利用“三八”节日节点，县妇联开展“致敬最美巾帼奋斗者”为主题的网络展播活动，多角度、全方位宣传战疫期间我县各行各业巾帼“逆行者”的风采，激励广大妇女同胞在各条战线上建功立业，以实际行动践行社会主义核心价值观。其次，为深入贯彻学习党的十九大精神和习近平总书记关于家庭文明建设的系列重要指示精神，进一步弘扬中华民族家庭美德、树立良好家风。上半年在全县范围内广泛开展红原县2020年向幸福出发——寻找“最美家庭”活动，全县广大干部职工家庭和群众家庭积极踊跃参与，在单位、村委会、民众推选推荐的基础上，通过各成员单位集中考核推荐和公示，积极推荐上报州级最美家庭4户，在全县广大家庭和妇女中兴起培育“敬信勤新”红原新民风的浓厚氛围。</w:t>
      </w:r>
    </w:p>
    <w:p>
      <w:pPr>
        <w:keepNext w:val="0"/>
        <w:keepLines w:val="0"/>
        <w:pageBreakBefore w:val="0"/>
        <w:numPr>
          <w:ilvl w:val="0"/>
          <w:numId w:val="0"/>
        </w:numPr>
        <w:kinsoku/>
        <w:wordWrap/>
        <w:overflowPunct/>
        <w:topLinePunct w:val="0"/>
        <w:bidi w:val="0"/>
        <w:snapToGrid/>
        <w:spacing w:line="560" w:lineRule="exact"/>
        <w:ind w:firstLine="643" w:firstLineChars="200"/>
        <w:textAlignment w:val="auto"/>
        <w:rPr>
          <w:rFonts w:hint="eastAsia" w:ascii="仿宋_GB2312" w:hAnsi="仿宋_GB2312" w:eastAsia="仿宋_GB2312" w:cs="仿宋_GB2312"/>
          <w:b/>
          <w:sz w:val="32"/>
          <w:szCs w:val="22"/>
          <w:lang w:val="en-US" w:eastAsia="zh-CN"/>
        </w:rPr>
      </w:pPr>
      <w:r>
        <w:rPr>
          <w:rFonts w:hint="eastAsia" w:ascii="仿宋_GB2312" w:hAnsi="仿宋_GB2312" w:eastAsia="仿宋_GB2312" w:cs="仿宋_GB2312"/>
          <w:b/>
          <w:sz w:val="32"/>
          <w:szCs w:val="22"/>
          <w:lang w:val="en-US" w:eastAsia="zh-CN"/>
        </w:rPr>
        <w:t>5.深入开展“两联一进”群众工作全覆盖</w:t>
      </w:r>
    </w:p>
    <w:p>
      <w:pPr>
        <w:keepNext w:val="0"/>
        <w:keepLines w:val="0"/>
        <w:pageBreakBefore w:val="0"/>
        <w:shd w:val="solid" w:color="FFFFFF" w:fill="auto"/>
        <w:kinsoku/>
        <w:wordWrap/>
        <w:overflowPunct/>
        <w:topLinePunct w:val="0"/>
        <w:autoSpaceDE w:val="0"/>
        <w:autoSpaceDN w:val="0"/>
        <w:bidi w:val="0"/>
        <w:snapToGrid/>
        <w:spacing w:beforeLines="0" w:afterLines="0" w:line="560" w:lineRule="exact"/>
        <w:ind w:firstLine="640" w:firstLineChars="200"/>
        <w:textAlignment w:val="auto"/>
        <w:rPr>
          <w:rFonts w:hint="eastAsia" w:ascii="仿宋_GB2312" w:hAnsi="仿宋_GB2312" w:eastAsia="仿宋_GB2312"/>
          <w:color w:val="auto"/>
          <w:sz w:val="32"/>
          <w:szCs w:val="22"/>
          <w:lang w:eastAsia="zh-CN"/>
        </w:rPr>
      </w:pPr>
      <w:r>
        <w:rPr>
          <w:rFonts w:hint="eastAsia" w:ascii="仿宋_GB2312" w:hAnsi="仿宋_GB2312" w:eastAsia="仿宋_GB2312"/>
          <w:color w:val="auto"/>
          <w:sz w:val="32"/>
          <w:szCs w:val="22"/>
          <w:lang w:val="en-US" w:eastAsia="zh-CN"/>
        </w:rPr>
        <w:t>紧扣州委、县委“两联一进”群众工作总体部署的要求，县妇联积极组织全体干部职工深入联系村、联系寺院扎实开展干部群众双向结对认亲活动，逐一走访每户结对户，耐心细致的了解结对认亲群众生产生活和尼姑学习生活现状，记录、收集每户的家庭情况、意愿诉求、意愿期盼等，针对收集的问题诉求，逐一进行梳理，按问题诉求类别交班子会集中商讨解决，帮助解决群众子女入学就读政策咨询问题5条，为困难群众和尼姑送去慰问金1000元和价值3.9万元的爱心物资，切实解决了群众的实际困难问题，</w:t>
      </w:r>
      <w:r>
        <w:rPr>
          <w:rFonts w:hint="eastAsia" w:ascii="仿宋_GB2312" w:hAnsi="仿宋_GB2312" w:eastAsia="仿宋_GB2312"/>
          <w:color w:val="auto"/>
          <w:sz w:val="32"/>
          <w:szCs w:val="22"/>
          <w:lang w:val="zh-CN" w:eastAsia="zh-CN"/>
        </w:rPr>
        <w:t>充分赢得</w:t>
      </w:r>
      <w:r>
        <w:rPr>
          <w:rFonts w:hint="eastAsia" w:ascii="仿宋_GB2312" w:hAnsi="仿宋_GB2312" w:eastAsia="仿宋_GB2312"/>
          <w:color w:val="auto"/>
          <w:sz w:val="32"/>
          <w:szCs w:val="22"/>
          <w:lang w:val="en-US" w:eastAsia="zh-CN"/>
        </w:rPr>
        <w:t>了联系群众</w:t>
      </w:r>
      <w:r>
        <w:rPr>
          <w:rFonts w:hint="eastAsia" w:ascii="仿宋_GB2312" w:hAnsi="仿宋_GB2312" w:eastAsia="仿宋_GB2312"/>
          <w:color w:val="auto"/>
          <w:sz w:val="32"/>
          <w:szCs w:val="22"/>
          <w:lang w:val="zh-CN" w:eastAsia="zh-CN"/>
        </w:rPr>
        <w:t>的信任与支持。</w:t>
      </w:r>
      <w:r>
        <w:rPr>
          <w:rFonts w:hint="eastAsia" w:ascii="仿宋_GB2312" w:hAnsi="仿宋_GB2312" w:eastAsia="仿宋_GB2312"/>
          <w:color w:val="auto"/>
          <w:sz w:val="32"/>
          <w:szCs w:val="22"/>
          <w:lang w:val="en-US" w:eastAsia="zh-CN"/>
        </w:rPr>
        <w:t>切实解决了群众的实际困难问题，</w:t>
      </w:r>
      <w:r>
        <w:rPr>
          <w:rFonts w:hint="eastAsia" w:ascii="仿宋_GB2312" w:hAnsi="仿宋_GB2312" w:eastAsia="仿宋_GB2312"/>
          <w:color w:val="auto"/>
          <w:sz w:val="32"/>
          <w:szCs w:val="22"/>
          <w:lang w:val="zh-CN" w:eastAsia="zh-CN"/>
        </w:rPr>
        <w:t>充分赢得</w:t>
      </w:r>
      <w:r>
        <w:rPr>
          <w:rFonts w:hint="eastAsia" w:ascii="仿宋_GB2312" w:hAnsi="仿宋_GB2312" w:eastAsia="仿宋_GB2312"/>
          <w:color w:val="auto"/>
          <w:sz w:val="32"/>
          <w:szCs w:val="22"/>
          <w:lang w:val="en-US" w:eastAsia="zh-CN"/>
        </w:rPr>
        <w:t>了联系群众</w:t>
      </w:r>
      <w:r>
        <w:rPr>
          <w:rFonts w:hint="eastAsia" w:ascii="仿宋_GB2312" w:hAnsi="仿宋_GB2312" w:eastAsia="仿宋_GB2312"/>
          <w:color w:val="auto"/>
          <w:sz w:val="32"/>
          <w:szCs w:val="22"/>
          <w:lang w:val="zh-CN" w:eastAsia="zh-CN"/>
        </w:rPr>
        <w:t>的信任与支持。</w:t>
      </w:r>
      <w:r>
        <w:rPr>
          <w:rFonts w:hint="eastAsia" w:ascii="仿宋_GB2312" w:hAnsi="仿宋_GB2312" w:eastAsia="仿宋_GB2312"/>
          <w:color w:val="auto"/>
          <w:sz w:val="32"/>
          <w:szCs w:val="22"/>
          <w:lang w:val="en-US" w:eastAsia="zh-CN"/>
        </w:rPr>
        <w:t>其次，与州妇联党组在如意空行寺开展</w:t>
      </w:r>
      <w:r>
        <w:rPr>
          <w:rFonts w:hint="eastAsia" w:ascii="仿宋_GB2312" w:hAnsi="仿宋_GB2312" w:eastAsia="仿宋_GB2312"/>
          <w:color w:val="auto"/>
          <w:sz w:val="32"/>
          <w:szCs w:val="22"/>
          <w:lang w:eastAsia="zh-CN"/>
        </w:rPr>
        <w:t>“为母亲河添绿·奉献巾帼力量”</w:t>
      </w:r>
      <w:r>
        <w:rPr>
          <w:rFonts w:hint="eastAsia" w:ascii="仿宋_GB2312" w:hAnsi="仿宋_GB2312" w:eastAsia="仿宋_GB2312"/>
          <w:color w:val="auto"/>
          <w:sz w:val="32"/>
          <w:szCs w:val="22"/>
          <w:lang w:val="en-US" w:eastAsia="zh-CN"/>
        </w:rPr>
        <w:t>植树活动，</w:t>
      </w:r>
      <w:r>
        <w:rPr>
          <w:rFonts w:hint="eastAsia" w:ascii="仿宋_GB2312" w:hAnsi="仿宋_GB2312" w:eastAsia="仿宋_GB2312"/>
          <w:color w:val="auto"/>
          <w:sz w:val="32"/>
          <w:szCs w:val="22"/>
          <w:lang w:eastAsia="zh-CN"/>
        </w:rPr>
        <w:t>既为如意空行寺增添了绿意，送去了温暖，又通过党员先锋模范作用带动了尼姑寺觉姆姐妹</w:t>
      </w:r>
      <w:r>
        <w:rPr>
          <w:rFonts w:hint="eastAsia" w:ascii="仿宋_GB2312" w:hAnsi="仿宋_GB2312" w:eastAsia="仿宋_GB2312"/>
          <w:color w:val="auto"/>
          <w:sz w:val="32"/>
          <w:szCs w:val="22"/>
          <w:lang w:val="en-US" w:eastAsia="zh-CN"/>
        </w:rPr>
        <w:t>自觉树立</w:t>
      </w:r>
      <w:r>
        <w:rPr>
          <w:rFonts w:hint="eastAsia" w:ascii="仿宋_GB2312" w:hAnsi="仿宋_GB2312" w:eastAsia="仿宋_GB2312"/>
          <w:color w:val="auto"/>
          <w:sz w:val="32"/>
          <w:szCs w:val="22"/>
          <w:lang w:eastAsia="zh-CN"/>
        </w:rPr>
        <w:t>美化家园，爱护环境</w:t>
      </w:r>
      <w:r>
        <w:rPr>
          <w:rFonts w:hint="eastAsia" w:ascii="仿宋_GB2312" w:hAnsi="仿宋_GB2312" w:eastAsia="仿宋_GB2312"/>
          <w:color w:val="auto"/>
          <w:sz w:val="32"/>
          <w:szCs w:val="22"/>
          <w:lang w:val="en-US" w:eastAsia="zh-CN"/>
        </w:rPr>
        <w:t>的良好生活习惯</w:t>
      </w:r>
      <w:r>
        <w:rPr>
          <w:rFonts w:hint="eastAsia" w:ascii="仿宋_GB2312" w:hAnsi="仿宋_GB2312" w:eastAsia="仿宋_GB2312"/>
          <w:color w:val="auto"/>
          <w:sz w:val="32"/>
          <w:szCs w:val="22"/>
          <w:lang w:eastAsia="zh-CN"/>
        </w:rPr>
        <w:t>。</w:t>
      </w:r>
    </w:p>
    <w:p>
      <w:pPr>
        <w:keepNext w:val="0"/>
        <w:keepLines w:val="0"/>
        <w:pageBreakBefore w:val="0"/>
        <w:numPr>
          <w:ilvl w:val="0"/>
          <w:numId w:val="0"/>
        </w:numPr>
        <w:kinsoku/>
        <w:wordWrap/>
        <w:overflowPunct/>
        <w:topLinePunct w:val="0"/>
        <w:bidi w:val="0"/>
        <w:snapToGrid/>
        <w:spacing w:line="560" w:lineRule="exact"/>
        <w:ind w:firstLine="643" w:firstLineChars="200"/>
        <w:textAlignment w:val="auto"/>
        <w:rPr>
          <w:rFonts w:hint="eastAsia" w:ascii="仿宋_GB2312" w:hAnsi="仿宋_GB2312" w:eastAsia="仿宋_GB2312" w:cs="仿宋_GB2312"/>
          <w:b/>
          <w:sz w:val="32"/>
          <w:szCs w:val="22"/>
          <w:lang w:val="en-US" w:eastAsia="zh-CN"/>
        </w:rPr>
      </w:pPr>
      <w:r>
        <w:rPr>
          <w:rFonts w:hint="eastAsia" w:ascii="仿宋_GB2312" w:hAnsi="仿宋_GB2312" w:eastAsia="仿宋_GB2312" w:cs="仿宋_GB2312"/>
          <w:b/>
          <w:sz w:val="32"/>
          <w:szCs w:val="22"/>
          <w:lang w:val="en-US" w:eastAsia="zh-CN"/>
        </w:rPr>
        <w:t xml:space="preserve"> 6.重视源头抓信访工作</w:t>
      </w:r>
    </w:p>
    <w:p>
      <w:pPr>
        <w:keepNext w:val="0"/>
        <w:keepLines w:val="0"/>
        <w:pageBreakBefore w:val="0"/>
        <w:kinsoku/>
        <w:wordWrap/>
        <w:overflowPunct/>
        <w:topLinePunct w:val="0"/>
        <w:bidi w:val="0"/>
        <w:snapToGrid/>
        <w:spacing w:beforeLines="0" w:afterLines="0" w:line="560" w:lineRule="exact"/>
        <w:textAlignment w:val="auto"/>
        <w:rPr>
          <w:rFonts w:hint="eastAsia" w:ascii="仿宋_GB2312" w:hAnsi="仿宋_GB2312" w:eastAsia="仿宋_GB2312"/>
          <w:color w:val="auto"/>
          <w:sz w:val="32"/>
          <w:szCs w:val="22"/>
        </w:rPr>
      </w:pPr>
      <w:r>
        <w:rPr>
          <w:rFonts w:hint="eastAsia" w:ascii="宋体" w:hAnsi="宋体" w:eastAsia="宋体"/>
          <w:b/>
          <w:sz w:val="32"/>
          <w:lang w:val="en-US" w:eastAsia="zh-CN"/>
        </w:rPr>
        <w:t xml:space="preserve">   </w:t>
      </w:r>
      <w:r>
        <w:rPr>
          <w:rFonts w:hint="eastAsia" w:ascii="仿宋_GB2312" w:hAnsi="仿宋_GB2312" w:eastAsia="仿宋_GB2312"/>
          <w:color w:val="auto"/>
          <w:sz w:val="32"/>
          <w:szCs w:val="22"/>
          <w:lang w:val="en-US" w:eastAsia="zh-CN"/>
        </w:rPr>
        <w:t xml:space="preserve"> </w:t>
      </w:r>
      <w:r>
        <w:rPr>
          <w:rFonts w:hint="eastAsia" w:ascii="仿宋_GB2312" w:hAnsi="仿宋_GB2312" w:eastAsia="仿宋_GB2312"/>
          <w:color w:val="auto"/>
          <w:sz w:val="32"/>
          <w:szCs w:val="22"/>
          <w:lang w:eastAsia="zh-CN"/>
        </w:rPr>
        <w:t>按照省、</w:t>
      </w:r>
      <w:r>
        <w:rPr>
          <w:rFonts w:hint="eastAsia" w:ascii="仿宋_GB2312" w:hAnsi="仿宋_GB2312" w:eastAsia="仿宋_GB2312"/>
          <w:color w:val="auto"/>
          <w:sz w:val="32"/>
          <w:szCs w:val="22"/>
        </w:rPr>
        <w:t>州妇联信访工作要求，坚持以邓小平理论和“三个代表”重要思想为指导，深入贯彻落实科学发展观，进一步重视和加强了新形势下信访工作，为维护妇女儿童的合法权益，积极营造和谐稳定的社会环境作出了积极贡献</w:t>
      </w:r>
      <w:r>
        <w:rPr>
          <w:rFonts w:hint="eastAsia" w:ascii="仿宋_GB2312" w:hAnsi="仿宋_GB2312" w:eastAsia="仿宋_GB2312"/>
          <w:color w:val="auto"/>
          <w:sz w:val="32"/>
          <w:szCs w:val="22"/>
          <w:lang w:eastAsia="zh-CN"/>
        </w:rPr>
        <w:t>。</w:t>
      </w:r>
      <w:r>
        <w:rPr>
          <w:rFonts w:hint="eastAsia" w:ascii="仿宋_GB2312" w:hAnsi="仿宋_GB2312" w:eastAsia="仿宋_GB2312"/>
          <w:color w:val="auto"/>
          <w:sz w:val="32"/>
          <w:szCs w:val="22"/>
        </w:rPr>
        <w:t>我县妇联系统今年共受理群众来信</w:t>
      </w:r>
      <w:r>
        <w:rPr>
          <w:rFonts w:hint="eastAsia" w:ascii="仿宋_GB2312" w:hAnsi="仿宋_GB2312" w:eastAsia="仿宋_GB2312"/>
          <w:color w:val="auto"/>
          <w:sz w:val="32"/>
          <w:szCs w:val="22"/>
          <w:lang w:eastAsia="zh-CN"/>
        </w:rPr>
        <w:t>来访</w:t>
      </w:r>
      <w:r>
        <w:rPr>
          <w:rFonts w:hint="eastAsia" w:ascii="仿宋_GB2312" w:hAnsi="仿宋_GB2312" w:eastAsia="仿宋_GB2312"/>
          <w:color w:val="auto"/>
          <w:sz w:val="32"/>
          <w:szCs w:val="22"/>
          <w:lang w:val="en-US" w:eastAsia="zh-CN"/>
        </w:rPr>
        <w:t>6件，</w:t>
      </w:r>
      <w:r>
        <w:rPr>
          <w:rFonts w:hint="eastAsia" w:ascii="仿宋_GB2312" w:hAnsi="仿宋_GB2312" w:eastAsia="仿宋_GB2312"/>
          <w:color w:val="auto"/>
          <w:sz w:val="32"/>
          <w:szCs w:val="22"/>
        </w:rPr>
        <w:t>来访</w:t>
      </w:r>
      <w:r>
        <w:rPr>
          <w:rFonts w:hint="eastAsia" w:ascii="仿宋_GB2312" w:hAnsi="仿宋_GB2312" w:eastAsia="仿宋_GB2312"/>
          <w:color w:val="auto"/>
          <w:sz w:val="32"/>
          <w:szCs w:val="22"/>
          <w:lang w:val="en-US" w:eastAsia="zh-CN"/>
        </w:rPr>
        <w:t>3件，</w:t>
      </w:r>
      <w:r>
        <w:rPr>
          <w:rFonts w:hint="eastAsia" w:ascii="仿宋_GB2312" w:hAnsi="仿宋_GB2312" w:eastAsia="仿宋_GB2312"/>
          <w:color w:val="auto"/>
          <w:sz w:val="32"/>
          <w:szCs w:val="22"/>
        </w:rPr>
        <w:t>来电</w:t>
      </w:r>
      <w:r>
        <w:rPr>
          <w:rFonts w:hint="eastAsia" w:ascii="仿宋_GB2312" w:hAnsi="仿宋_GB2312" w:eastAsia="仿宋_GB2312"/>
          <w:color w:val="auto"/>
          <w:sz w:val="32"/>
          <w:szCs w:val="22"/>
          <w:lang w:val="en-US" w:eastAsia="zh-CN"/>
        </w:rPr>
        <w:t>3</w:t>
      </w:r>
      <w:r>
        <w:rPr>
          <w:rFonts w:hint="eastAsia" w:ascii="仿宋_GB2312" w:hAnsi="仿宋_GB2312" w:eastAsia="仿宋_GB2312"/>
          <w:color w:val="auto"/>
          <w:sz w:val="32"/>
          <w:szCs w:val="22"/>
        </w:rPr>
        <w:t>件。</w:t>
      </w:r>
      <w:r>
        <w:rPr>
          <w:rFonts w:hint="eastAsia" w:ascii="仿宋_GB2312" w:hAnsi="仿宋_GB2312" w:eastAsia="仿宋_GB2312"/>
          <w:color w:val="auto"/>
          <w:sz w:val="32"/>
          <w:szCs w:val="22"/>
          <w:lang w:eastAsia="zh-CN"/>
        </w:rPr>
        <w:t>寻求帮助</w:t>
      </w:r>
      <w:r>
        <w:rPr>
          <w:rFonts w:hint="eastAsia" w:ascii="仿宋_GB2312" w:hAnsi="仿宋_GB2312" w:eastAsia="仿宋_GB2312"/>
          <w:color w:val="auto"/>
          <w:sz w:val="32"/>
          <w:szCs w:val="22"/>
          <w:lang w:val="en-US" w:eastAsia="zh-CN"/>
        </w:rPr>
        <w:t>3</w:t>
      </w:r>
      <w:r>
        <w:rPr>
          <w:rFonts w:hint="eastAsia" w:ascii="仿宋_GB2312" w:hAnsi="仿宋_GB2312" w:eastAsia="仿宋_GB2312"/>
          <w:color w:val="auto"/>
          <w:sz w:val="32"/>
          <w:szCs w:val="22"/>
        </w:rPr>
        <w:t>件</w:t>
      </w:r>
      <w:r>
        <w:rPr>
          <w:rFonts w:hint="eastAsia" w:ascii="仿宋_GB2312" w:hAnsi="仿宋_GB2312" w:eastAsia="仿宋_GB2312"/>
          <w:color w:val="auto"/>
          <w:sz w:val="32"/>
          <w:szCs w:val="22"/>
          <w:lang w:eastAsia="zh-CN"/>
        </w:rPr>
        <w:t>、政治权利方面</w:t>
      </w:r>
      <w:r>
        <w:rPr>
          <w:rFonts w:hint="eastAsia" w:ascii="仿宋_GB2312" w:hAnsi="仿宋_GB2312" w:eastAsia="仿宋_GB2312"/>
          <w:color w:val="auto"/>
          <w:sz w:val="32"/>
          <w:szCs w:val="22"/>
          <w:lang w:val="en-US" w:eastAsia="zh-CN"/>
        </w:rPr>
        <w:t>3件</w:t>
      </w:r>
      <w:r>
        <w:rPr>
          <w:rFonts w:hint="eastAsia" w:ascii="仿宋_GB2312" w:hAnsi="仿宋_GB2312" w:eastAsia="仿宋_GB2312"/>
          <w:color w:val="auto"/>
          <w:sz w:val="32"/>
          <w:szCs w:val="22"/>
        </w:rPr>
        <w:t>（</w:t>
      </w:r>
      <w:r>
        <w:rPr>
          <w:rFonts w:hint="eastAsia" w:ascii="仿宋_GB2312" w:hAnsi="仿宋_GB2312" w:eastAsia="仿宋_GB2312"/>
          <w:color w:val="auto"/>
          <w:sz w:val="32"/>
          <w:szCs w:val="22"/>
          <w:lang w:eastAsia="zh-CN"/>
        </w:rPr>
        <w:t>咨询婚、产假</w:t>
      </w:r>
      <w:r>
        <w:rPr>
          <w:rFonts w:hint="eastAsia" w:ascii="仿宋_GB2312" w:hAnsi="仿宋_GB2312" w:eastAsia="仿宋_GB2312"/>
          <w:color w:val="auto"/>
          <w:sz w:val="32"/>
          <w:szCs w:val="22"/>
        </w:rPr>
        <w:t>）。</w:t>
      </w:r>
    </w:p>
    <w:p>
      <w:pPr>
        <w:keepNext w:val="0"/>
        <w:keepLines w:val="0"/>
        <w:pageBreakBefore w:val="0"/>
        <w:numPr>
          <w:ilvl w:val="0"/>
          <w:numId w:val="0"/>
        </w:numPr>
        <w:kinsoku/>
        <w:wordWrap/>
        <w:overflowPunct/>
        <w:topLinePunct w:val="0"/>
        <w:bidi w:val="0"/>
        <w:snapToGrid/>
        <w:spacing w:line="560" w:lineRule="exact"/>
        <w:ind w:firstLine="643" w:firstLineChars="200"/>
        <w:textAlignment w:val="auto"/>
        <w:rPr>
          <w:rFonts w:hint="eastAsia" w:ascii="仿宋_GB2312" w:hAnsi="仿宋_GB2312" w:eastAsia="仿宋_GB2312" w:cs="仿宋_GB2312"/>
          <w:b/>
          <w:sz w:val="32"/>
          <w:szCs w:val="22"/>
          <w:lang w:val="en-US" w:eastAsia="zh-CN"/>
        </w:rPr>
      </w:pPr>
      <w:r>
        <w:rPr>
          <w:rFonts w:hint="eastAsia" w:ascii="仿宋_GB2312" w:hAnsi="仿宋_GB2312" w:eastAsia="仿宋_GB2312" w:cs="仿宋_GB2312"/>
          <w:b/>
          <w:sz w:val="32"/>
          <w:szCs w:val="22"/>
          <w:lang w:val="en-US" w:eastAsia="zh-CN"/>
        </w:rPr>
        <w:t>7.关爱儿童，促进儿童健康成长</w:t>
      </w:r>
    </w:p>
    <w:p>
      <w:pPr>
        <w:keepNext w:val="0"/>
        <w:keepLines w:val="0"/>
        <w:pageBreakBefore w:val="0"/>
        <w:shd w:val="solid" w:color="FFFFFF" w:fill="auto"/>
        <w:kinsoku/>
        <w:wordWrap/>
        <w:overflowPunct/>
        <w:topLinePunct w:val="0"/>
        <w:autoSpaceDE w:val="0"/>
        <w:autoSpaceDN w:val="0"/>
        <w:bidi w:val="0"/>
        <w:snapToGrid/>
        <w:spacing w:beforeLines="0" w:afterLines="0" w:line="560" w:lineRule="exact"/>
        <w:ind w:firstLine="640" w:firstLineChars="200"/>
        <w:textAlignment w:val="auto"/>
        <w:rPr>
          <w:rFonts w:hint="eastAsia" w:ascii="仿宋_GB2312" w:hAnsi="仿宋_GB2312" w:eastAsia="仿宋_GB2312"/>
          <w:color w:val="auto"/>
          <w:sz w:val="32"/>
          <w:szCs w:val="22"/>
        </w:rPr>
      </w:pPr>
      <w:r>
        <w:rPr>
          <w:rFonts w:hint="eastAsia" w:ascii="仿宋_GB2312" w:hAnsi="仿宋_GB2312" w:eastAsia="仿宋_GB2312"/>
          <w:color w:val="auto"/>
          <w:sz w:val="32"/>
          <w:szCs w:val="22"/>
        </w:rPr>
        <w:t>为全面落实中央、省</w:t>
      </w:r>
      <w:r>
        <w:rPr>
          <w:rFonts w:hint="eastAsia" w:ascii="仿宋_GB2312" w:hAnsi="仿宋_GB2312" w:eastAsia="仿宋_GB2312"/>
          <w:color w:val="auto"/>
          <w:sz w:val="32"/>
          <w:szCs w:val="22"/>
          <w:lang w:val="en-US" w:eastAsia="zh-CN"/>
        </w:rPr>
        <w:t>、</w:t>
      </w:r>
      <w:r>
        <w:rPr>
          <w:rFonts w:hint="eastAsia" w:ascii="仿宋_GB2312" w:hAnsi="仿宋_GB2312" w:eastAsia="仿宋_GB2312"/>
          <w:color w:val="auto"/>
          <w:sz w:val="32"/>
          <w:szCs w:val="22"/>
        </w:rPr>
        <w:t>州关于未成年人思想道德建设工作的重要部署，我会利用“六一”国际儿童节为契机，组织全体全体职工到</w:t>
      </w:r>
      <w:r>
        <w:rPr>
          <w:rFonts w:hint="eastAsia" w:ascii="仿宋_GB2312" w:hAnsi="仿宋_GB2312" w:eastAsia="仿宋_GB2312"/>
          <w:color w:val="auto"/>
          <w:sz w:val="32"/>
          <w:szCs w:val="22"/>
          <w:lang w:eastAsia="zh-CN"/>
        </w:rPr>
        <w:t>县城及周边学校</w:t>
      </w:r>
      <w:r>
        <w:rPr>
          <w:rFonts w:hint="eastAsia" w:ascii="仿宋_GB2312" w:hAnsi="仿宋_GB2312" w:eastAsia="仿宋_GB2312"/>
          <w:color w:val="auto"/>
          <w:sz w:val="32"/>
          <w:szCs w:val="22"/>
        </w:rPr>
        <w:t>展开“六一”</w:t>
      </w:r>
      <w:r>
        <w:rPr>
          <w:rFonts w:hint="eastAsia" w:ascii="仿宋_GB2312" w:hAnsi="仿宋_GB2312" w:eastAsia="仿宋_GB2312"/>
          <w:color w:val="auto"/>
          <w:sz w:val="32"/>
          <w:szCs w:val="22"/>
          <w:lang w:eastAsia="zh-CN"/>
        </w:rPr>
        <w:t>庆祝活动。</w:t>
      </w:r>
      <w:r>
        <w:rPr>
          <w:rFonts w:hint="eastAsia" w:ascii="仿宋_GB2312" w:hAnsi="仿宋_GB2312" w:eastAsia="仿宋_GB2312"/>
          <w:color w:val="auto"/>
          <w:sz w:val="32"/>
          <w:szCs w:val="22"/>
          <w:lang w:val="en-US" w:eastAsia="zh-CN"/>
        </w:rPr>
        <w:t>同时，为发挥妇联组织的职能作用，县妇联深入瓦切镇、邛溪镇、安曲镇、阿木乡、江茸乡等乡镇开展慰问贫困单亲家庭儿童活动，此次</w:t>
      </w:r>
      <w:r>
        <w:rPr>
          <w:rFonts w:hint="eastAsia" w:ascii="仿宋_GB2312" w:hAnsi="仿宋_GB2312" w:eastAsia="仿宋_GB2312"/>
          <w:color w:val="auto"/>
          <w:sz w:val="32"/>
          <w:szCs w:val="22"/>
          <w:lang w:eastAsia="zh-CN"/>
        </w:rPr>
        <w:t>活动共</w:t>
      </w:r>
      <w:r>
        <w:rPr>
          <w:rFonts w:hint="eastAsia" w:ascii="仿宋_GB2312" w:hAnsi="仿宋_GB2312" w:eastAsia="仿宋_GB2312"/>
          <w:color w:val="auto"/>
          <w:sz w:val="32"/>
          <w:szCs w:val="22"/>
          <w:lang w:val="en-US" w:eastAsia="zh-CN"/>
        </w:rPr>
        <w:t>为贫困单亲家庭儿童送去慰问金5000元，为学校送去价值1100元的学习用品和体育用品</w:t>
      </w:r>
      <w:r>
        <w:rPr>
          <w:rFonts w:hint="eastAsia" w:ascii="仿宋_GB2312" w:hAnsi="仿宋_GB2312" w:eastAsia="仿宋_GB2312"/>
          <w:color w:val="auto"/>
          <w:sz w:val="32"/>
          <w:szCs w:val="22"/>
          <w:lang w:eastAsia="zh-CN"/>
        </w:rPr>
        <w:t>。</w:t>
      </w:r>
    </w:p>
    <w:p>
      <w:pPr>
        <w:spacing w:beforeLines="0" w:afterLines="0" w:line="240" w:lineRule="atLeast"/>
        <w:ind w:firstLine="630" w:firstLineChars="196"/>
        <w:rPr>
          <w:rFonts w:hint="eastAsia" w:ascii="仿宋_GB2312" w:eastAsia="仿宋_GB2312"/>
          <w:b/>
          <w:sz w:val="32"/>
          <w:lang w:val="en-US" w:eastAsia="zh-CN"/>
        </w:rPr>
      </w:pPr>
      <w:r>
        <w:rPr>
          <w:rFonts w:hint="eastAsia" w:ascii="仿宋_GB2312" w:eastAsia="仿宋_GB2312"/>
          <w:b/>
          <w:sz w:val="32"/>
          <w:lang w:val="en-US" w:eastAsia="zh-CN"/>
        </w:rPr>
        <w:t>8、组织改革，稳步推进。</w:t>
      </w:r>
    </w:p>
    <w:p>
      <w:pPr>
        <w:keepNext w:val="0"/>
        <w:keepLines w:val="0"/>
        <w:pageBreakBefore w:val="0"/>
        <w:shd w:val="solid" w:color="FFFFFF" w:fill="auto"/>
        <w:kinsoku/>
        <w:wordWrap/>
        <w:overflowPunct/>
        <w:topLinePunct w:val="0"/>
        <w:autoSpaceDE w:val="0"/>
        <w:autoSpaceDN w:val="0"/>
        <w:bidi w:val="0"/>
        <w:snapToGrid/>
        <w:spacing w:beforeLines="0" w:afterLines="0" w:line="560" w:lineRule="exact"/>
        <w:ind w:firstLine="640" w:firstLineChars="200"/>
        <w:textAlignment w:val="auto"/>
        <w:rPr>
          <w:rFonts w:hint="eastAsia" w:ascii="仿宋_GB2312" w:hAnsi="仿宋_GB2312" w:eastAsia="仿宋_GB2312"/>
          <w:color w:val="auto"/>
          <w:sz w:val="32"/>
          <w:szCs w:val="22"/>
          <w:lang w:val="en-US" w:eastAsia="zh-CN"/>
        </w:rPr>
      </w:pPr>
      <w:r>
        <w:rPr>
          <w:rFonts w:hint="eastAsia" w:ascii="仿宋_GB2312" w:hAnsi="仿宋_GB2312" w:eastAsia="仿宋_GB2312"/>
          <w:color w:val="auto"/>
          <w:sz w:val="32"/>
          <w:szCs w:val="22"/>
        </w:rPr>
        <w:t>为深入贯彻</w:t>
      </w:r>
      <w:r>
        <w:rPr>
          <w:rFonts w:hint="eastAsia" w:ascii="仿宋_GB2312" w:hAnsi="仿宋_GB2312" w:eastAsia="仿宋_GB2312"/>
          <w:color w:val="auto"/>
          <w:sz w:val="32"/>
          <w:szCs w:val="22"/>
          <w:lang w:eastAsia="zh-CN"/>
        </w:rPr>
        <w:t>州委、县委</w:t>
      </w:r>
      <w:r>
        <w:rPr>
          <w:rFonts w:hint="eastAsia" w:ascii="仿宋_GB2312" w:hAnsi="仿宋_GB2312" w:eastAsia="仿宋_GB2312"/>
          <w:color w:val="auto"/>
          <w:sz w:val="32"/>
          <w:szCs w:val="22"/>
        </w:rPr>
        <w:t>群团工作</w:t>
      </w:r>
      <w:r>
        <w:rPr>
          <w:rFonts w:hint="eastAsia" w:ascii="仿宋_GB2312" w:hAnsi="仿宋_GB2312" w:eastAsia="仿宋_GB2312"/>
          <w:color w:val="auto"/>
          <w:sz w:val="32"/>
          <w:szCs w:val="22"/>
          <w:lang w:eastAsia="zh-CN"/>
        </w:rPr>
        <w:t>会议精神</w:t>
      </w:r>
      <w:r>
        <w:rPr>
          <w:rFonts w:hint="eastAsia" w:ascii="仿宋_GB2312" w:hAnsi="仿宋_GB2312" w:eastAsia="仿宋_GB2312"/>
          <w:color w:val="auto"/>
          <w:sz w:val="32"/>
          <w:szCs w:val="22"/>
        </w:rPr>
        <w:t>，根据《</w:t>
      </w:r>
      <w:r>
        <w:rPr>
          <w:rFonts w:hint="eastAsia" w:ascii="仿宋_GB2312" w:hAnsi="仿宋_GB2312" w:eastAsia="仿宋_GB2312"/>
          <w:color w:val="auto"/>
          <w:sz w:val="32"/>
          <w:szCs w:val="22"/>
          <w:lang w:eastAsia="zh-CN"/>
        </w:rPr>
        <w:t>红原县妇联改革方案</w:t>
      </w:r>
      <w:r>
        <w:rPr>
          <w:rFonts w:hint="eastAsia" w:ascii="仿宋_GB2312" w:hAnsi="仿宋_GB2312" w:eastAsia="仿宋_GB2312"/>
          <w:color w:val="auto"/>
          <w:sz w:val="32"/>
          <w:szCs w:val="22"/>
        </w:rPr>
        <w:t>》要求，结合红原县格桑花社会工作服务中心</w:t>
      </w:r>
      <w:r>
        <w:rPr>
          <w:rFonts w:hint="eastAsia" w:ascii="仿宋_GB2312" w:hAnsi="仿宋_GB2312" w:eastAsia="仿宋_GB2312"/>
          <w:color w:val="auto"/>
          <w:sz w:val="32"/>
          <w:szCs w:val="22"/>
          <w:lang w:eastAsia="zh-CN"/>
        </w:rPr>
        <w:t>工作</w:t>
      </w:r>
      <w:r>
        <w:rPr>
          <w:rFonts w:hint="eastAsia" w:ascii="仿宋_GB2312" w:hAnsi="仿宋_GB2312" w:eastAsia="仿宋_GB2312"/>
          <w:color w:val="auto"/>
          <w:sz w:val="32"/>
          <w:szCs w:val="22"/>
        </w:rPr>
        <w:t>实际</w:t>
      </w:r>
      <w:r>
        <w:rPr>
          <w:rFonts w:hint="eastAsia" w:ascii="仿宋_GB2312" w:hAnsi="仿宋_GB2312" w:eastAsia="仿宋_GB2312"/>
          <w:color w:val="auto"/>
          <w:sz w:val="32"/>
          <w:szCs w:val="22"/>
          <w:lang w:eastAsia="zh-CN"/>
        </w:rPr>
        <w:t>，在</w:t>
      </w:r>
      <w:r>
        <w:rPr>
          <w:rFonts w:hint="eastAsia" w:ascii="仿宋_GB2312" w:hAnsi="仿宋_GB2312" w:eastAsia="仿宋_GB2312"/>
          <w:color w:val="auto"/>
          <w:sz w:val="32"/>
          <w:szCs w:val="22"/>
        </w:rPr>
        <w:t>服务中心</w:t>
      </w:r>
      <w:r>
        <w:rPr>
          <w:rFonts w:hint="eastAsia" w:ascii="仿宋_GB2312" w:hAnsi="仿宋_GB2312" w:eastAsia="仿宋_GB2312"/>
          <w:color w:val="auto"/>
          <w:sz w:val="32"/>
          <w:szCs w:val="22"/>
          <w:lang w:eastAsia="zh-CN"/>
        </w:rPr>
        <w:t>和县妇联的精心指导下，</w:t>
      </w:r>
      <w:r>
        <w:rPr>
          <w:rFonts w:hint="eastAsia" w:ascii="仿宋_GB2312" w:hAnsi="仿宋_GB2312" w:eastAsia="仿宋_GB2312"/>
          <w:color w:val="auto"/>
          <w:sz w:val="32"/>
          <w:szCs w:val="22"/>
        </w:rPr>
        <w:t>服务中心</w:t>
      </w:r>
      <w:r>
        <w:rPr>
          <w:rFonts w:hint="eastAsia" w:ascii="仿宋_GB2312" w:hAnsi="仿宋_GB2312" w:eastAsia="仿宋_GB2312"/>
          <w:color w:val="auto"/>
          <w:sz w:val="32"/>
          <w:szCs w:val="22"/>
          <w:lang w:val="en-US" w:eastAsia="zh-CN"/>
        </w:rPr>
        <w:t>召开第一次妇女代表大会，并</w:t>
      </w:r>
      <w:r>
        <w:rPr>
          <w:rFonts w:hint="eastAsia" w:ascii="仿宋_GB2312" w:hAnsi="仿宋_GB2312" w:eastAsia="仿宋_GB2312"/>
          <w:color w:val="auto"/>
          <w:sz w:val="32"/>
          <w:szCs w:val="22"/>
        </w:rPr>
        <w:t>严格按照《中华全国妇女联合会章程》</w:t>
      </w:r>
      <w:r>
        <w:rPr>
          <w:rFonts w:hint="eastAsia" w:ascii="仿宋_GB2312" w:hAnsi="仿宋_GB2312" w:eastAsia="仿宋_GB2312"/>
          <w:color w:val="auto"/>
          <w:sz w:val="32"/>
          <w:szCs w:val="22"/>
          <w:lang w:val="en-US" w:eastAsia="zh-CN"/>
        </w:rPr>
        <w:t>成立了服务中心妇委会，并选举</w:t>
      </w:r>
      <w:r>
        <w:rPr>
          <w:rFonts w:hint="eastAsia" w:ascii="仿宋_GB2312" w:hAnsi="仿宋_GB2312" w:eastAsia="仿宋_GB2312"/>
          <w:color w:val="auto"/>
          <w:sz w:val="32"/>
          <w:szCs w:val="22"/>
        </w:rPr>
        <w:t>产生了妇委会主任1名，委员</w:t>
      </w:r>
      <w:r>
        <w:rPr>
          <w:rFonts w:hint="eastAsia" w:ascii="仿宋_GB2312" w:hAnsi="仿宋_GB2312" w:eastAsia="仿宋_GB2312"/>
          <w:color w:val="auto"/>
          <w:sz w:val="32"/>
          <w:szCs w:val="22"/>
          <w:lang w:val="en-US" w:eastAsia="zh-CN"/>
        </w:rPr>
        <w:t>1</w:t>
      </w:r>
      <w:r>
        <w:rPr>
          <w:rFonts w:hint="eastAsia" w:ascii="仿宋_GB2312" w:hAnsi="仿宋_GB2312" w:eastAsia="仿宋_GB2312"/>
          <w:color w:val="auto"/>
          <w:sz w:val="32"/>
          <w:szCs w:val="22"/>
        </w:rPr>
        <w:t>名。格桑花社会工作</w:t>
      </w:r>
      <w:r>
        <w:rPr>
          <w:rFonts w:hint="eastAsia" w:ascii="仿宋_GB2312" w:hAnsi="仿宋_GB2312" w:eastAsia="仿宋_GB2312"/>
          <w:color w:val="auto"/>
          <w:sz w:val="32"/>
          <w:szCs w:val="22"/>
          <w:lang w:val="en-US" w:eastAsia="zh-CN"/>
        </w:rPr>
        <w:t xml:space="preserve">妇委会的成立，真正实现了哪里有妇女群众，哪里就有妇女组织，进一步夯实了基层妇联组织建设。 </w:t>
      </w:r>
    </w:p>
    <w:p>
      <w:pPr>
        <w:pStyle w:val="4"/>
        <w:rPr>
          <w:rStyle w:val="25"/>
          <w:b w:val="0"/>
          <w:bCs w:val="0"/>
        </w:rPr>
      </w:pPr>
      <w:bookmarkStart w:id="29" w:name="_Toc15396601"/>
      <w:bookmarkStart w:id="30" w:name="_Toc79163605"/>
      <w:bookmarkStart w:id="31" w:name="_Toc79163855"/>
      <w:bookmarkStart w:id="32" w:name="_Toc15377200"/>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29"/>
      <w:bookmarkEnd w:id="30"/>
      <w:bookmarkEnd w:id="31"/>
      <w:bookmarkEnd w:id="32"/>
    </w:p>
    <w:p>
      <w:pPr>
        <w:pageBreakBefore w:val="0"/>
        <w:kinsoku/>
        <w:wordWrap/>
        <w:overflowPunct/>
        <w:topLinePunct w:val="0"/>
        <w:autoSpaceDE/>
        <w:autoSpaceDN/>
        <w:bidi w:val="0"/>
        <w:spacing w:line="560" w:lineRule="exact"/>
        <w:ind w:firstLine="640" w:firstLineChars="200"/>
        <w:textAlignment w:val="auto"/>
        <w:rPr>
          <w:rFonts w:ascii="仿宋_GB2312" w:hAnsi="仿宋" w:eastAsia="仿宋_GB2312"/>
          <w:sz w:val="32"/>
          <w:szCs w:val="32"/>
        </w:rPr>
      </w:pPr>
      <w:r>
        <w:rPr>
          <w:rFonts w:hint="eastAsia" w:ascii="仿宋_GB2312" w:hAnsi="仿宋_GB2312" w:eastAsia="仿宋_GB2312"/>
          <w:sz w:val="32"/>
        </w:rPr>
        <w:t>我单位</w:t>
      </w:r>
      <w:r>
        <w:rPr>
          <w:rFonts w:hint="eastAsia" w:ascii="仿宋_GB2312" w:hAnsi="仿宋_GB2312" w:eastAsia="仿宋_GB2312" w:cs="仿宋_GB2312"/>
          <w:bCs/>
          <w:sz w:val="32"/>
          <w:szCs w:val="32"/>
        </w:rPr>
        <w:t>为独立核算全额拨款行政单位，无下属单位。</w:t>
      </w:r>
      <w:r>
        <w:rPr>
          <w:rFonts w:hint="eastAsia" w:ascii="仿宋_GB2312" w:hAnsi="仿宋" w:eastAsia="仿宋_GB2312"/>
          <w:sz w:val="32"/>
          <w:szCs w:val="32"/>
        </w:rPr>
        <w:t xml:space="preserve"> 本单位上年末有编制人数6人、实有人数5人；本年度年末编制人数6人、实有人数5人。</w:t>
      </w:r>
    </w:p>
    <w:p>
      <w:pPr>
        <w:pStyle w:val="3"/>
        <w:ind w:right="440"/>
        <w:jc w:val="right"/>
      </w:pPr>
      <w:bookmarkStart w:id="33" w:name="_Toc79163859"/>
      <w:bookmarkStart w:id="34" w:name="_Toc15377204"/>
      <w:bookmarkStart w:id="35" w:name="_Toc15396602"/>
      <w:bookmarkStart w:id="36" w:name="_Toc79163609"/>
      <w:r>
        <w:rPr>
          <w:rFonts w:hint="eastAsia" w:ascii="黑体" w:hAnsi="黑体" w:eastAsia="黑体"/>
          <w:b w:val="0"/>
          <w:color w:val="000000"/>
        </w:rPr>
        <w:t>第二部分</w:t>
      </w:r>
      <w:r>
        <w:rPr>
          <w:rFonts w:ascii="黑体" w:hAnsi="黑体" w:eastAsia="黑体"/>
          <w:color w:val="000000"/>
        </w:rPr>
        <w:t xml:space="preserve"> </w:t>
      </w:r>
      <w:r>
        <w:rPr>
          <w:rStyle w:val="24"/>
          <w:rFonts w:ascii="黑体" w:hAnsi="黑体" w:eastAsia="黑体"/>
          <w:b w:val="0"/>
          <w:bCs w:val="0"/>
        </w:rPr>
        <w:t>2020</w:t>
      </w:r>
      <w:r>
        <w:rPr>
          <w:rStyle w:val="24"/>
          <w:rFonts w:hint="eastAsia" w:ascii="黑体" w:hAnsi="黑体" w:eastAsia="黑体"/>
          <w:b w:val="0"/>
          <w:bCs w:val="0"/>
        </w:rPr>
        <w:t>年度部门决算情况说明</w:t>
      </w:r>
      <w:bookmarkEnd w:id="33"/>
      <w:bookmarkEnd w:id="34"/>
      <w:bookmarkEnd w:id="35"/>
      <w:bookmarkEnd w:id="36"/>
    </w:p>
    <w:p>
      <w:pPr>
        <w:pStyle w:val="35"/>
        <w:numPr>
          <w:ilvl w:val="0"/>
          <w:numId w:val="1"/>
        </w:numPr>
        <w:spacing w:line="600" w:lineRule="exact"/>
        <w:ind w:firstLineChars="0"/>
        <w:outlineLvl w:val="1"/>
        <w:rPr>
          <w:rStyle w:val="25"/>
          <w:rFonts w:ascii="黑体" w:hAnsi="黑体" w:eastAsia="黑体"/>
          <w:b w:val="0"/>
        </w:rPr>
      </w:pPr>
      <w:bookmarkStart w:id="37" w:name="_Toc15396603"/>
      <w:bookmarkStart w:id="38" w:name="_Toc15377205"/>
      <w:bookmarkStart w:id="39" w:name="_Toc79163610"/>
      <w:bookmarkStart w:id="40" w:name="_Toc79163860"/>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37"/>
      <w:bookmarkEnd w:id="38"/>
      <w:bookmarkEnd w:id="39"/>
      <w:bookmarkEnd w:id="40"/>
    </w:p>
    <w:p>
      <w:pPr>
        <w:spacing w:line="600" w:lineRule="exact"/>
        <w:ind w:firstLine="640" w:firstLineChars="200"/>
        <w:rPr>
          <w:rFonts w:hint="eastAsia" w:ascii="仿宋" w:hAnsi="仿宋" w:eastAsia="仿宋"/>
          <w:color w:val="000000"/>
          <w:sz w:val="32"/>
          <w:szCs w:val="32"/>
          <w:lang w:val="en-US" w:eastAsia="zh-CN"/>
        </w:rPr>
      </w:pPr>
      <w:r>
        <w:rPr>
          <w:rFonts w:ascii="仿宋" w:hAnsi="仿宋" w:eastAsia="仿宋"/>
          <w:color w:val="000000"/>
          <w:sz w:val="32"/>
          <w:szCs w:val="32"/>
        </w:rPr>
        <w:t>2020</w:t>
      </w:r>
      <w:r>
        <w:rPr>
          <w:rFonts w:hint="eastAsia" w:ascii="仿宋" w:hAnsi="仿宋" w:eastAsia="仿宋"/>
          <w:color w:val="000000"/>
          <w:sz w:val="32"/>
          <w:szCs w:val="32"/>
        </w:rPr>
        <w:t>年度收</w:t>
      </w:r>
      <w:r>
        <w:rPr>
          <w:rFonts w:hint="eastAsia" w:ascii="仿宋" w:hAnsi="仿宋" w:eastAsia="仿宋"/>
          <w:color w:val="000000"/>
          <w:sz w:val="32"/>
          <w:szCs w:val="32"/>
          <w:lang w:val="en-US" w:eastAsia="zh-CN"/>
        </w:rPr>
        <w:t>入总计105.31万元、</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总计125.76万元。与</w:t>
      </w:r>
      <w:r>
        <w:rPr>
          <w:rFonts w:ascii="仿宋" w:hAnsi="仿宋" w:eastAsia="仿宋"/>
          <w:color w:val="000000"/>
          <w:sz w:val="32"/>
          <w:szCs w:val="32"/>
        </w:rPr>
        <w:t>2019</w:t>
      </w:r>
      <w:r>
        <w:rPr>
          <w:rFonts w:hint="eastAsia" w:ascii="仿宋" w:hAnsi="仿宋" w:eastAsia="仿宋"/>
          <w:color w:val="000000"/>
          <w:sz w:val="32"/>
          <w:szCs w:val="32"/>
        </w:rPr>
        <w:t>年相比，收</w:t>
      </w:r>
      <w:r>
        <w:rPr>
          <w:rFonts w:hint="eastAsia" w:ascii="仿宋" w:hAnsi="仿宋" w:eastAsia="仿宋"/>
          <w:color w:val="000000"/>
          <w:sz w:val="32"/>
          <w:szCs w:val="32"/>
          <w:lang w:val="en-US" w:eastAsia="zh-CN"/>
        </w:rPr>
        <w:t>入减少34.97万元，下降24.9%，</w:t>
      </w:r>
      <w:r>
        <w:rPr>
          <w:rFonts w:hint="eastAsia" w:ascii="仿宋" w:hAnsi="仿宋" w:eastAsia="仿宋"/>
          <w:color w:val="000000"/>
          <w:sz w:val="32"/>
          <w:szCs w:val="32"/>
        </w:rPr>
        <w:t>主要变动原因</w:t>
      </w:r>
      <w:r>
        <w:rPr>
          <w:rFonts w:hint="eastAsia" w:ascii="仿宋_GB2312" w:hAnsi="仿宋_GB2312" w:eastAsia="仿宋_GB2312" w:cs="仿宋_GB2312"/>
          <w:color w:val="000000"/>
          <w:sz w:val="32"/>
          <w:szCs w:val="32"/>
        </w:rPr>
        <w:t>是</w:t>
      </w: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我会无</w:t>
      </w:r>
      <w:r>
        <w:rPr>
          <w:rFonts w:hint="eastAsia" w:ascii="仿宋_GB2312" w:hAnsi="仿宋_GB2312" w:eastAsia="仿宋_GB2312" w:cs="仿宋_GB2312"/>
          <w:color w:val="000000"/>
          <w:sz w:val="32"/>
          <w:szCs w:val="32"/>
        </w:rPr>
        <w:t>州妇联专项妇女居家灵活就业资金。</w:t>
      </w:r>
      <w:r>
        <w:rPr>
          <w:rFonts w:hint="eastAsia" w:ascii="仿宋" w:hAnsi="仿宋" w:eastAsia="仿宋"/>
          <w:color w:val="000000"/>
          <w:sz w:val="32"/>
          <w:szCs w:val="32"/>
          <w:lang w:val="en-US" w:eastAsia="zh-CN"/>
        </w:rPr>
        <w:t>支出</w:t>
      </w:r>
      <w:r>
        <w:rPr>
          <w:rFonts w:hint="eastAsia" w:ascii="仿宋" w:hAnsi="仿宋" w:eastAsia="仿宋"/>
          <w:color w:val="000000"/>
          <w:sz w:val="32"/>
          <w:szCs w:val="32"/>
        </w:rPr>
        <w:t>总计减少</w:t>
      </w:r>
      <w:r>
        <w:rPr>
          <w:rFonts w:hint="eastAsia" w:ascii="仿宋" w:hAnsi="仿宋" w:eastAsia="仿宋"/>
          <w:color w:val="000000"/>
          <w:sz w:val="32"/>
          <w:szCs w:val="32"/>
          <w:lang w:val="en-US" w:eastAsia="zh-CN"/>
        </w:rPr>
        <w:t>1.7</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1.3</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厉行节约。</w:t>
      </w:r>
    </w:p>
    <w:p>
      <w:pPr>
        <w:spacing w:line="600" w:lineRule="exact"/>
        <w:ind w:firstLine="640" w:firstLineChars="200"/>
        <w:rPr>
          <w:rFonts w:hint="eastAsia" w:ascii="仿宋" w:hAnsi="仿宋" w:eastAsia="仿宋"/>
          <w:color w:val="000000"/>
          <w:sz w:val="32"/>
          <w:szCs w:val="32"/>
          <w:lang w:val="en-US" w:eastAsia="zh-CN"/>
        </w:rPr>
      </w:pPr>
    </w:p>
    <w:p>
      <w:pPr>
        <w:spacing w:line="600" w:lineRule="exact"/>
        <w:ind w:firstLine="640" w:firstLineChars="200"/>
        <w:rPr>
          <w:rFonts w:hint="eastAsia" w:ascii="仿宋" w:hAnsi="仿宋" w:eastAsia="仿宋"/>
          <w:color w:val="000000"/>
          <w:sz w:val="32"/>
          <w:szCs w:val="32"/>
          <w:lang w:val="en-US" w:eastAsia="zh-CN"/>
        </w:rPr>
      </w:pPr>
    </w:p>
    <w:p>
      <w:pPr>
        <w:spacing w:line="600" w:lineRule="exact"/>
        <w:ind w:firstLine="640" w:firstLineChars="200"/>
        <w:rPr>
          <w:rFonts w:hint="eastAsia" w:ascii="仿宋" w:hAnsi="仿宋" w:eastAsia="仿宋"/>
          <w:color w:val="000000"/>
          <w:sz w:val="32"/>
          <w:szCs w:val="32"/>
          <w:lang w:val="en-US" w:eastAsia="zh-CN"/>
        </w:rPr>
      </w:pPr>
    </w:p>
    <w:p>
      <w:pPr>
        <w:spacing w:line="600" w:lineRule="exact"/>
        <w:ind w:firstLine="640" w:firstLineChars="200"/>
        <w:rPr>
          <w:rFonts w:hint="eastAsia" w:ascii="仿宋" w:hAnsi="仿宋" w:eastAsia="仿宋"/>
          <w:color w:val="000000"/>
          <w:sz w:val="32"/>
          <w:szCs w:val="32"/>
          <w:lang w:val="en-US" w:eastAsia="zh-CN"/>
        </w:rPr>
      </w:pPr>
    </w:p>
    <w:p>
      <w:pPr>
        <w:spacing w:line="600" w:lineRule="exact"/>
        <w:ind w:firstLine="640" w:firstLineChars="200"/>
        <w:rPr>
          <w:rFonts w:hint="eastAsia" w:ascii="仿宋" w:hAnsi="仿宋" w:eastAsia="仿宋"/>
          <w:color w:val="000000"/>
          <w:sz w:val="32"/>
          <w:szCs w:val="32"/>
          <w:lang w:val="en-US" w:eastAsia="zh-CN"/>
        </w:rPr>
      </w:pPr>
    </w:p>
    <w:p>
      <w:pPr>
        <w:spacing w:line="600" w:lineRule="exact"/>
        <w:ind w:firstLine="640" w:firstLineChars="200"/>
        <w:rPr>
          <w:rFonts w:hint="eastAsia" w:ascii="仿宋" w:hAnsi="仿宋" w:eastAsia="仿宋"/>
          <w:color w:val="000000"/>
          <w:sz w:val="32"/>
          <w:szCs w:val="32"/>
          <w:lang w:val="en-US" w:eastAsia="zh-CN"/>
        </w:rPr>
      </w:pPr>
    </w:p>
    <w:p>
      <w:pPr>
        <w:spacing w:line="600" w:lineRule="exact"/>
        <w:ind w:firstLine="640" w:firstLineChars="200"/>
        <w:rPr>
          <w:rFonts w:hint="eastAsia" w:ascii="仿宋" w:hAnsi="仿宋" w:eastAsia="仿宋"/>
          <w:color w:val="000000"/>
          <w:sz w:val="32"/>
          <w:szCs w:val="32"/>
          <w:lang w:val="en-US" w:eastAsia="zh-CN"/>
        </w:rPr>
      </w:pPr>
    </w:p>
    <w:p>
      <w:pPr>
        <w:spacing w:line="600" w:lineRule="exact"/>
        <w:ind w:firstLine="640" w:firstLineChars="200"/>
        <w:rPr>
          <w:rFonts w:hint="eastAsia" w:ascii="仿宋" w:hAnsi="仿宋" w:eastAsia="仿宋"/>
          <w:color w:val="000000"/>
          <w:sz w:val="32"/>
          <w:szCs w:val="32"/>
        </w:rPr>
      </w:pPr>
    </w:p>
    <w:p>
      <w:pPr>
        <w:spacing w:line="600" w:lineRule="exact"/>
        <w:ind w:firstLine="420" w:firstLineChars="200"/>
        <w:rPr>
          <w:rFonts w:hint="eastAsia" w:ascii="仿宋" w:hAnsi="仿宋" w:eastAsia="仿宋"/>
          <w:color w:val="000000"/>
          <w:sz w:val="32"/>
          <w:szCs w:val="32"/>
        </w:rPr>
      </w:pPr>
      <w:r>
        <w:drawing>
          <wp:anchor distT="0" distB="0" distL="114300" distR="114300" simplePos="0" relativeHeight="251659264" behindDoc="0" locked="0" layoutInCell="1" allowOverlap="1">
            <wp:simplePos x="0" y="0"/>
            <wp:positionH relativeFrom="column">
              <wp:posOffset>271145</wp:posOffset>
            </wp:positionH>
            <wp:positionV relativeFrom="paragraph">
              <wp:posOffset>-2449195</wp:posOffset>
            </wp:positionV>
            <wp:extent cx="4572000" cy="2743200"/>
            <wp:effectExtent l="4445" t="4445" r="10795" b="10795"/>
            <wp:wrapSquare wrapText="bothSides"/>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rPr>
          <w:rFonts w:ascii="仿宋_GB2312" w:eastAsia="仿宋_GB2312"/>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pStyle w:val="35"/>
        <w:numPr>
          <w:ilvl w:val="0"/>
          <w:numId w:val="1"/>
        </w:numPr>
        <w:spacing w:line="600" w:lineRule="exact"/>
        <w:ind w:firstLineChars="0"/>
        <w:outlineLvl w:val="1"/>
        <w:rPr>
          <w:rStyle w:val="25"/>
          <w:rFonts w:ascii="黑体" w:hAnsi="黑体" w:eastAsia="黑体"/>
          <w:b w:val="0"/>
        </w:rPr>
      </w:pPr>
      <w:bookmarkStart w:id="41" w:name="_Toc79163861"/>
      <w:bookmarkStart w:id="42" w:name="_Toc15396604"/>
      <w:bookmarkStart w:id="43" w:name="_Toc15377206"/>
      <w:bookmarkStart w:id="44" w:name="_Toc79163611"/>
      <w:r>
        <w:rPr>
          <w:rFonts w:hint="eastAsia" w:ascii="黑体" w:hAnsi="黑体" w:eastAsia="黑体"/>
          <w:color w:val="000000"/>
          <w:sz w:val="32"/>
          <w:szCs w:val="32"/>
        </w:rPr>
        <w:t>收</w:t>
      </w:r>
      <w:r>
        <w:rPr>
          <w:rStyle w:val="25"/>
          <w:rFonts w:hint="eastAsia" w:ascii="黑体" w:hAnsi="黑体" w:eastAsia="黑体"/>
          <w:b w:val="0"/>
        </w:rPr>
        <w:t>入决算情况说明</w:t>
      </w:r>
      <w:bookmarkEnd w:id="41"/>
      <w:bookmarkEnd w:id="42"/>
      <w:bookmarkEnd w:id="43"/>
      <w:bookmarkEnd w:id="44"/>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年本年收入合计105.31万元，其中：一般公共预算财政拨款收入105.31万元，占</w:t>
      </w:r>
      <w:r>
        <w:rPr>
          <w:rFonts w:hint="eastAsia" w:ascii="仿宋" w:hAnsi="仿宋" w:eastAsia="仿宋"/>
          <w:color w:val="000000"/>
          <w:sz w:val="32"/>
          <w:szCs w:val="32"/>
          <w:lang w:val="en-US" w:eastAsia="zh-CN"/>
        </w:rPr>
        <w:t>100%</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420" w:firstLineChars="200"/>
        <w:rPr>
          <w:rFonts w:ascii="仿宋_GB2312" w:eastAsia="仿宋_GB2312"/>
          <w:color w:val="FF0000"/>
          <w:sz w:val="32"/>
          <w:szCs w:val="32"/>
        </w:rPr>
      </w:pPr>
      <w:r>
        <w:drawing>
          <wp:anchor distT="0" distB="0" distL="114300" distR="114300" simplePos="0" relativeHeight="251660288" behindDoc="0" locked="0" layoutInCell="1" allowOverlap="1">
            <wp:simplePos x="0" y="0"/>
            <wp:positionH relativeFrom="column">
              <wp:posOffset>292100</wp:posOffset>
            </wp:positionH>
            <wp:positionV relativeFrom="paragraph">
              <wp:posOffset>20955</wp:posOffset>
            </wp:positionV>
            <wp:extent cx="4570095" cy="2743200"/>
            <wp:effectExtent l="4445" t="4445" r="12700" b="10795"/>
            <wp:wrapSquare wrapText="bothSides"/>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Style w:val="16"/>
        <w:rPr>
          <w:rFonts w:ascii="仿宋_GB2312" w:eastAsia="仿宋_GB2312"/>
          <w:color w:val="FF0000"/>
          <w:sz w:val="32"/>
          <w:szCs w:val="32"/>
        </w:rPr>
      </w:pPr>
    </w:p>
    <w:p>
      <w:pPr>
        <w:rPr>
          <w:rFonts w:ascii="仿宋_GB2312" w:eastAsia="仿宋_GB2312"/>
          <w:color w:val="FF0000"/>
          <w:sz w:val="32"/>
          <w:szCs w:val="32"/>
        </w:rPr>
      </w:pPr>
    </w:p>
    <w:p>
      <w:pPr>
        <w:pStyle w:val="16"/>
        <w:rPr>
          <w:rFonts w:ascii="仿宋_GB2312" w:eastAsia="仿宋_GB2312"/>
          <w:color w:val="FF0000"/>
          <w:sz w:val="32"/>
          <w:szCs w:val="32"/>
        </w:rPr>
      </w:pPr>
    </w:p>
    <w:p>
      <w:pPr>
        <w:rPr>
          <w:rFonts w:ascii="仿宋_GB2312" w:eastAsia="仿宋_GB2312"/>
          <w:color w:val="FF0000"/>
          <w:sz w:val="32"/>
          <w:szCs w:val="32"/>
        </w:rPr>
      </w:pPr>
    </w:p>
    <w:p>
      <w:pPr>
        <w:pStyle w:val="16"/>
        <w:rPr>
          <w:rFonts w:ascii="仿宋_GB2312" w:eastAsia="仿宋_GB2312"/>
          <w:color w:val="FF0000"/>
          <w:sz w:val="32"/>
          <w:szCs w:val="32"/>
        </w:rPr>
      </w:pPr>
    </w:p>
    <w:p/>
    <w:p>
      <w:pPr>
        <w:pStyle w:val="16"/>
      </w:pPr>
    </w:p>
    <w:p>
      <w:pPr>
        <w:spacing w:line="600" w:lineRule="exact"/>
        <w:ind w:firstLine="1600" w:firstLineChars="5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spacing w:line="600" w:lineRule="exact"/>
        <w:ind w:firstLine="640" w:firstLineChars="200"/>
        <w:rPr>
          <w:rFonts w:ascii="仿宋_GB2312" w:eastAsia="仿宋_GB2312"/>
          <w:color w:val="FF0000"/>
          <w:sz w:val="32"/>
          <w:szCs w:val="32"/>
        </w:rPr>
      </w:pPr>
    </w:p>
    <w:p>
      <w:pPr>
        <w:pStyle w:val="35"/>
        <w:numPr>
          <w:ilvl w:val="0"/>
          <w:numId w:val="1"/>
        </w:numPr>
        <w:spacing w:line="600" w:lineRule="exact"/>
        <w:ind w:firstLineChars="0"/>
        <w:outlineLvl w:val="1"/>
        <w:rPr>
          <w:rStyle w:val="25"/>
          <w:rFonts w:ascii="黑体" w:hAnsi="黑体" w:eastAsia="黑体"/>
          <w:b w:val="0"/>
        </w:rPr>
      </w:pPr>
      <w:bookmarkStart w:id="45" w:name="_Toc15377207"/>
      <w:bookmarkStart w:id="46" w:name="_Toc79163862"/>
      <w:bookmarkStart w:id="47" w:name="_Toc79163612"/>
      <w:bookmarkStart w:id="48" w:name="_Toc15396605"/>
      <w:r>
        <w:rPr>
          <w:rFonts w:hint="eastAsia" w:ascii="黑体" w:hAnsi="黑体" w:eastAsia="黑体"/>
          <w:color w:val="000000"/>
          <w:sz w:val="32"/>
          <w:szCs w:val="32"/>
        </w:rPr>
        <w:t>支</w:t>
      </w:r>
      <w:r>
        <w:rPr>
          <w:rStyle w:val="25"/>
          <w:rFonts w:hint="eastAsia" w:ascii="黑体" w:hAnsi="黑体" w:eastAsia="黑体"/>
          <w:b w:val="0"/>
        </w:rPr>
        <w:t>出决算情况说明</w:t>
      </w:r>
      <w:bookmarkEnd w:id="45"/>
      <w:bookmarkEnd w:id="46"/>
      <w:bookmarkEnd w:id="47"/>
      <w:bookmarkEnd w:id="48"/>
    </w:p>
    <w:p>
      <w:pPr>
        <w:spacing w:line="600" w:lineRule="exact"/>
        <w:ind w:firstLine="640" w:firstLineChars="20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年本年支出合计125.76万元，其中：基本支出103.66万元，占</w:t>
      </w:r>
      <w:r>
        <w:rPr>
          <w:rFonts w:hint="eastAsia" w:ascii="仿宋_GB2312" w:eastAsia="仿宋_GB2312"/>
          <w:sz w:val="32"/>
          <w:szCs w:val="32"/>
          <w:lang w:val="en-US" w:eastAsia="zh-CN"/>
        </w:rPr>
        <w:t>82.4</w:t>
      </w:r>
      <w:r>
        <w:rPr>
          <w:rFonts w:ascii="仿宋_GB2312" w:eastAsia="仿宋_GB2312"/>
          <w:sz w:val="32"/>
          <w:szCs w:val="32"/>
        </w:rPr>
        <w:t>%</w:t>
      </w:r>
      <w:r>
        <w:rPr>
          <w:rFonts w:hint="eastAsia" w:ascii="仿宋_GB2312" w:eastAsia="仿宋_GB2312"/>
          <w:sz w:val="32"/>
          <w:szCs w:val="32"/>
        </w:rPr>
        <w:t>；项目支出22.1万元，占</w:t>
      </w:r>
      <w:r>
        <w:rPr>
          <w:rFonts w:hint="eastAsia" w:ascii="仿宋_GB2312" w:eastAsia="仿宋_GB2312"/>
          <w:sz w:val="32"/>
          <w:szCs w:val="32"/>
          <w:lang w:val="en-US" w:eastAsia="zh-CN"/>
        </w:rPr>
        <w:t>17.6</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（注：数据来源于财决</w:t>
      </w:r>
      <w:r>
        <w:rPr>
          <w:rFonts w:ascii="仿宋_GB2312" w:eastAsia="仿宋_GB2312"/>
          <w:sz w:val="32"/>
          <w:szCs w:val="32"/>
        </w:rPr>
        <w:t>0</w:t>
      </w:r>
      <w:r>
        <w:rPr>
          <w:rFonts w:hint="eastAsia" w:ascii="仿宋_GB2312" w:eastAsia="仿宋_GB2312"/>
          <w:sz w:val="32"/>
          <w:szCs w:val="32"/>
          <w:lang w:val="en-US" w:eastAsia="zh-CN"/>
        </w:rPr>
        <w:t>3</w:t>
      </w:r>
      <w:r>
        <w:rPr>
          <w:rFonts w:hint="eastAsia" w:ascii="仿宋_GB2312" w:eastAsia="仿宋_GB2312"/>
          <w:sz w:val="32"/>
          <w:szCs w:val="32"/>
        </w:rPr>
        <w:t>表）</w:t>
      </w:r>
    </w:p>
    <w:p>
      <w:pPr>
        <w:spacing w:line="600" w:lineRule="exact"/>
        <w:ind w:firstLine="640"/>
        <w:rPr>
          <w:rFonts w:ascii="仿宋" w:hAnsi="仿宋" w:eastAsia="仿宋"/>
          <w:color w:val="000000"/>
          <w:sz w:val="32"/>
          <w:szCs w:val="32"/>
          <w:shd w:val="pct10" w:color="auto" w:fill="FFFFFF"/>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420" w:firstLineChars="200"/>
        <w:rPr>
          <w:rFonts w:hint="eastAsia" w:ascii="仿宋" w:hAnsi="仿宋" w:eastAsia="仿宋"/>
          <w:color w:val="000000"/>
          <w:sz w:val="32"/>
          <w:szCs w:val="32"/>
        </w:rPr>
      </w:pPr>
      <w:r>
        <w:drawing>
          <wp:anchor distT="0" distB="0" distL="114300" distR="114300" simplePos="0" relativeHeight="251661312" behindDoc="0" locked="0" layoutInCell="1" allowOverlap="1">
            <wp:simplePos x="0" y="0"/>
            <wp:positionH relativeFrom="column">
              <wp:posOffset>271145</wp:posOffset>
            </wp:positionH>
            <wp:positionV relativeFrom="paragraph">
              <wp:posOffset>-2449195</wp:posOffset>
            </wp:positionV>
            <wp:extent cx="4572000" cy="2743200"/>
            <wp:effectExtent l="4445" t="4445" r="10795" b="10795"/>
            <wp:wrapSquare wrapText="bothSides"/>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1280" w:firstLineChars="4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spacing w:line="600" w:lineRule="exact"/>
        <w:ind w:firstLine="640" w:firstLineChars="200"/>
        <w:outlineLvl w:val="1"/>
        <w:rPr>
          <w:rStyle w:val="25"/>
          <w:rFonts w:ascii="黑体" w:hAnsi="黑体" w:eastAsia="黑体"/>
          <w:b w:val="0"/>
        </w:rPr>
      </w:pPr>
      <w:bookmarkStart w:id="49" w:name="_Toc15377208"/>
      <w:bookmarkStart w:id="50" w:name="_Toc79163613"/>
      <w:bookmarkStart w:id="51" w:name="_Toc15396606"/>
      <w:bookmarkStart w:id="52" w:name="_Toc79163863"/>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49"/>
      <w:bookmarkEnd w:id="50"/>
      <w:bookmarkEnd w:id="51"/>
      <w:bookmarkEnd w:id="52"/>
    </w:p>
    <w:p>
      <w:pPr>
        <w:spacing w:line="600" w:lineRule="exact"/>
        <w:ind w:firstLine="640" w:firstLineChars="200"/>
        <w:rPr>
          <w:rFonts w:hint="eastAsia" w:ascii="仿宋" w:hAnsi="仿宋" w:eastAsia="仿宋"/>
          <w:color w:val="000000"/>
          <w:sz w:val="32"/>
          <w:szCs w:val="32"/>
          <w:lang w:val="en-US" w:eastAsia="zh-CN"/>
        </w:rPr>
      </w:pPr>
      <w:r>
        <w:rPr>
          <w:rFonts w:ascii="仿宋" w:hAnsi="仿宋" w:eastAsia="仿宋"/>
          <w:color w:val="000000"/>
          <w:sz w:val="32"/>
          <w:szCs w:val="32"/>
        </w:rPr>
        <w:t>2020</w:t>
      </w:r>
      <w:r>
        <w:rPr>
          <w:rFonts w:hint="eastAsia" w:ascii="仿宋" w:hAnsi="仿宋" w:eastAsia="仿宋"/>
          <w:color w:val="000000"/>
          <w:sz w:val="32"/>
          <w:szCs w:val="32"/>
        </w:rPr>
        <w:t>年财政拨款收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总计138.51万元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支出总计</w:t>
      </w:r>
      <w:r>
        <w:rPr>
          <w:rFonts w:hint="eastAsia" w:ascii="仿宋_GB2312" w:eastAsia="仿宋_GB2312"/>
          <w:sz w:val="32"/>
          <w:szCs w:val="32"/>
        </w:rPr>
        <w:t>138.51</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年相比，收</w:t>
      </w:r>
      <w:r>
        <w:rPr>
          <w:rFonts w:hint="eastAsia" w:ascii="仿宋" w:hAnsi="仿宋" w:eastAsia="仿宋"/>
          <w:color w:val="000000"/>
          <w:sz w:val="32"/>
          <w:szCs w:val="32"/>
          <w:lang w:val="en-US" w:eastAsia="zh-CN"/>
        </w:rPr>
        <w:t>入总计减少17.28万元，下降11%，</w:t>
      </w:r>
      <w:r>
        <w:rPr>
          <w:rFonts w:hint="eastAsia" w:ascii="仿宋" w:hAnsi="仿宋" w:eastAsia="仿宋"/>
          <w:color w:val="000000"/>
          <w:sz w:val="32"/>
          <w:szCs w:val="32"/>
        </w:rPr>
        <w:t>主要变动原因</w:t>
      </w:r>
      <w:r>
        <w:rPr>
          <w:rFonts w:hint="eastAsia" w:ascii="仿宋_GB2312" w:hAnsi="仿宋_GB2312" w:eastAsia="仿宋_GB2312" w:cs="仿宋_GB2312"/>
          <w:color w:val="000000"/>
          <w:sz w:val="32"/>
          <w:szCs w:val="32"/>
        </w:rPr>
        <w:t>是</w:t>
      </w: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我会无</w:t>
      </w:r>
      <w:r>
        <w:rPr>
          <w:rFonts w:hint="eastAsia" w:ascii="仿宋_GB2312" w:hAnsi="仿宋_GB2312" w:eastAsia="仿宋_GB2312" w:cs="仿宋_GB2312"/>
          <w:color w:val="000000"/>
          <w:sz w:val="32"/>
          <w:szCs w:val="32"/>
        </w:rPr>
        <w:t>州妇联专项妇女居家灵活就业资金。</w:t>
      </w:r>
      <w:r>
        <w:rPr>
          <w:rFonts w:hint="eastAsia" w:ascii="仿宋" w:hAnsi="仿宋" w:eastAsia="仿宋"/>
          <w:color w:val="000000"/>
          <w:sz w:val="32"/>
          <w:szCs w:val="32"/>
          <w:lang w:val="en-US" w:eastAsia="zh-CN"/>
        </w:rPr>
        <w:t>支出</w:t>
      </w:r>
      <w:r>
        <w:rPr>
          <w:rFonts w:hint="eastAsia" w:ascii="仿宋" w:hAnsi="仿宋" w:eastAsia="仿宋"/>
          <w:color w:val="000000"/>
          <w:sz w:val="32"/>
          <w:szCs w:val="32"/>
        </w:rPr>
        <w:t>总计减少</w:t>
      </w:r>
      <w:r>
        <w:rPr>
          <w:rFonts w:hint="eastAsia" w:ascii="仿宋" w:hAnsi="仿宋" w:eastAsia="仿宋"/>
          <w:color w:val="000000"/>
          <w:sz w:val="32"/>
          <w:szCs w:val="32"/>
          <w:lang w:val="en-US" w:eastAsia="zh-CN"/>
        </w:rPr>
        <w:t>,17.28</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11</w:t>
      </w:r>
      <w:r>
        <w:rPr>
          <w:rFonts w:ascii="仿宋" w:hAnsi="仿宋" w:eastAsia="仿宋"/>
          <w:color w:val="000000"/>
          <w:sz w:val="32"/>
          <w:szCs w:val="32"/>
        </w:rPr>
        <w:t>%</w:t>
      </w:r>
      <w:r>
        <w:rPr>
          <w:rFonts w:hint="eastAsia" w:ascii="仿宋" w:hAnsi="仿宋" w:eastAsia="仿宋"/>
          <w:color w:val="000000"/>
          <w:sz w:val="32"/>
          <w:szCs w:val="32"/>
        </w:rPr>
        <w:t>。主要变动原因</w:t>
      </w:r>
      <w:r>
        <w:rPr>
          <w:rFonts w:hint="eastAsia" w:ascii="仿宋_GB2312" w:hAnsi="仿宋_GB2312" w:eastAsia="仿宋_GB2312" w:cs="仿宋_GB2312"/>
          <w:color w:val="000000"/>
          <w:sz w:val="32"/>
          <w:szCs w:val="32"/>
        </w:rPr>
        <w:t>是</w:t>
      </w: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我会无</w:t>
      </w:r>
      <w:r>
        <w:rPr>
          <w:rFonts w:hint="eastAsia" w:ascii="仿宋_GB2312" w:hAnsi="仿宋_GB2312" w:eastAsia="仿宋_GB2312" w:cs="仿宋_GB2312"/>
          <w:color w:val="000000"/>
          <w:sz w:val="32"/>
          <w:szCs w:val="32"/>
        </w:rPr>
        <w:t>州妇联专项妇女居家灵活就业资金。</w:t>
      </w:r>
    </w:p>
    <w:p>
      <w:pPr>
        <w:spacing w:line="600" w:lineRule="exact"/>
        <w:rPr>
          <w:rFonts w:ascii="仿宋" w:hAnsi="仿宋" w:eastAsia="仿宋"/>
          <w:color w:val="000000"/>
          <w:sz w:val="32"/>
          <w:szCs w:val="32"/>
        </w:rPr>
      </w:pPr>
      <w:r>
        <w:drawing>
          <wp:anchor distT="0" distB="0" distL="114300" distR="114300" simplePos="0" relativeHeight="251662336" behindDoc="0" locked="0" layoutInCell="1" allowOverlap="1">
            <wp:simplePos x="0" y="0"/>
            <wp:positionH relativeFrom="column">
              <wp:posOffset>584200</wp:posOffset>
            </wp:positionH>
            <wp:positionV relativeFrom="paragraph">
              <wp:posOffset>348615</wp:posOffset>
            </wp:positionV>
            <wp:extent cx="4091940" cy="2926080"/>
            <wp:effectExtent l="4445" t="5080" r="18415" b="10160"/>
            <wp:wrapSquare wrapText="bothSides"/>
            <wp:docPr id="4098"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ascii="仿宋" w:hAnsi="仿宋" w:eastAsia="仿宋"/>
          <w:b/>
          <w:color w:val="00B05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spacing w:line="600" w:lineRule="exact"/>
        <w:ind w:firstLine="640" w:firstLineChars="200"/>
        <w:outlineLvl w:val="1"/>
        <w:rPr>
          <w:rStyle w:val="25"/>
          <w:rFonts w:ascii="黑体" w:hAnsi="黑体" w:eastAsia="黑体"/>
          <w:b w:val="0"/>
        </w:rPr>
      </w:pPr>
      <w:bookmarkStart w:id="53" w:name="_Toc79163864"/>
      <w:bookmarkStart w:id="54" w:name="_Toc79163614"/>
      <w:bookmarkStart w:id="55" w:name="_Toc15396607"/>
      <w:bookmarkStart w:id="56"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53"/>
      <w:bookmarkEnd w:id="54"/>
      <w:bookmarkEnd w:id="55"/>
      <w:bookmarkEnd w:id="56"/>
    </w:p>
    <w:p>
      <w:pPr>
        <w:spacing w:line="600" w:lineRule="exact"/>
        <w:ind w:firstLine="643" w:firstLineChars="200"/>
        <w:outlineLvl w:val="2"/>
        <w:rPr>
          <w:rFonts w:ascii="仿宋" w:hAnsi="仿宋" w:eastAsia="仿宋"/>
          <w:b/>
          <w:color w:val="000000"/>
          <w:sz w:val="32"/>
          <w:szCs w:val="32"/>
        </w:rPr>
      </w:pPr>
      <w:bookmarkStart w:id="57" w:name="_Toc15377210"/>
      <w:bookmarkStart w:id="58" w:name="_Toc79163865"/>
      <w:bookmarkStart w:id="59" w:name="_Toc79163615"/>
      <w:r>
        <w:rPr>
          <w:rFonts w:hint="eastAsia" w:ascii="仿宋" w:hAnsi="仿宋" w:eastAsia="仿宋"/>
          <w:b/>
          <w:color w:val="000000"/>
          <w:sz w:val="32"/>
          <w:szCs w:val="32"/>
        </w:rPr>
        <w:t>（一）一般公共预算财政拨款支出决算总体情况</w:t>
      </w:r>
      <w:bookmarkEnd w:id="57"/>
      <w:bookmarkEnd w:id="58"/>
      <w:bookmarkEnd w:id="59"/>
    </w:p>
    <w:p>
      <w:pPr>
        <w:spacing w:line="600" w:lineRule="exact"/>
        <w:ind w:firstLine="640" w:firstLineChars="200"/>
        <w:rPr>
          <w:rFonts w:hint="default" w:ascii="仿宋" w:hAnsi="仿宋" w:eastAsia="仿宋"/>
          <w:color w:val="000000"/>
          <w:sz w:val="32"/>
          <w:szCs w:val="32"/>
          <w:lang w:val="en-US" w:eastAsia="zh-CN"/>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年一般公共预算财政拨款支出125.19万元，占本年支出合计的</w:t>
      </w:r>
      <w:r>
        <w:rPr>
          <w:rFonts w:hint="eastAsia" w:ascii="仿宋" w:hAnsi="仿宋" w:eastAsia="仿宋"/>
          <w:color w:val="000000"/>
          <w:sz w:val="32"/>
          <w:szCs w:val="32"/>
          <w:lang w:val="en-US" w:eastAsia="zh-CN"/>
        </w:rPr>
        <w:t>90.4</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年相比，一般公共预算财政拨款增加</w:t>
      </w:r>
      <w:r>
        <w:rPr>
          <w:rFonts w:hint="eastAsia" w:ascii="仿宋" w:hAnsi="仿宋" w:eastAsia="仿宋"/>
          <w:color w:val="000000"/>
          <w:sz w:val="32"/>
          <w:szCs w:val="32"/>
          <w:lang w:val="en-US" w:eastAsia="zh-CN"/>
        </w:rPr>
        <w:t>1.21</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社保缴费增加</w:t>
      </w: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420" w:firstLineChars="200"/>
        <w:rPr>
          <w:rFonts w:hint="eastAsia" w:ascii="仿宋" w:hAnsi="仿宋" w:eastAsia="仿宋"/>
          <w:color w:val="000000"/>
          <w:sz w:val="32"/>
          <w:szCs w:val="32"/>
        </w:rPr>
      </w:pPr>
      <w:r>
        <w:drawing>
          <wp:anchor distT="0" distB="0" distL="114300" distR="114300" simplePos="0" relativeHeight="251663360" behindDoc="0" locked="0" layoutInCell="1" allowOverlap="1">
            <wp:simplePos x="0" y="0"/>
            <wp:positionH relativeFrom="column">
              <wp:posOffset>694690</wp:posOffset>
            </wp:positionH>
            <wp:positionV relativeFrom="paragraph">
              <wp:posOffset>-448945</wp:posOffset>
            </wp:positionV>
            <wp:extent cx="3944620" cy="2926080"/>
            <wp:effectExtent l="4445" t="5080" r="13335" b="10160"/>
            <wp:wrapSquare wrapText="bothSides"/>
            <wp:docPr id="512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spacing w:line="600" w:lineRule="exact"/>
        <w:ind w:firstLine="643" w:firstLineChars="200"/>
        <w:outlineLvl w:val="2"/>
        <w:rPr>
          <w:rFonts w:ascii="仿宋" w:hAnsi="仿宋" w:eastAsia="仿宋"/>
          <w:b/>
          <w:color w:val="000000"/>
          <w:sz w:val="32"/>
          <w:szCs w:val="32"/>
        </w:rPr>
      </w:pPr>
      <w:bookmarkStart w:id="60" w:name="_Toc79163866"/>
      <w:bookmarkStart w:id="61" w:name="_Toc15377211"/>
      <w:bookmarkStart w:id="62" w:name="_Toc79163616"/>
      <w:r>
        <w:rPr>
          <w:rFonts w:hint="eastAsia" w:ascii="仿宋" w:hAnsi="仿宋" w:eastAsia="仿宋"/>
          <w:b/>
          <w:color w:val="000000"/>
          <w:sz w:val="32"/>
          <w:szCs w:val="32"/>
        </w:rPr>
        <w:t>（二）一般公共预算财政拨款支出决算结构情况</w:t>
      </w:r>
      <w:bookmarkEnd w:id="60"/>
      <w:bookmarkEnd w:id="61"/>
      <w:bookmarkEnd w:id="62"/>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125.76</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一般公共服务（类）</w:t>
      </w:r>
      <w:r>
        <w:rPr>
          <w:rFonts w:hint="eastAsia" w:ascii="仿宋" w:hAnsi="仿宋" w:eastAsia="仿宋"/>
          <w:color w:val="000000"/>
          <w:sz w:val="32"/>
          <w:szCs w:val="32"/>
        </w:rPr>
        <w:t>支出83.65万元，占</w:t>
      </w:r>
      <w:r>
        <w:rPr>
          <w:rFonts w:hint="eastAsia" w:ascii="仿宋" w:hAnsi="仿宋" w:eastAsia="仿宋"/>
          <w:color w:val="000000"/>
          <w:sz w:val="32"/>
          <w:szCs w:val="32"/>
          <w:lang w:val="en-US" w:eastAsia="zh-CN"/>
        </w:rPr>
        <w:t>68</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教育支出（类）</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科学技术（类）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文化旅游体育与传媒（类）支出</w:t>
      </w:r>
      <w:r>
        <w:rPr>
          <w:rFonts w:hint="eastAsia" w:ascii="仿宋" w:hAnsi="仿宋" w:eastAsia="仿宋"/>
          <w:b/>
          <w:bCs/>
          <w:color w:val="000000"/>
          <w:sz w:val="32"/>
          <w:szCs w:val="32"/>
          <w:lang w:val="en-US" w:eastAsia="zh-CN"/>
        </w:rPr>
        <w:t>0</w:t>
      </w:r>
      <w:r>
        <w:rPr>
          <w:rFonts w:hint="eastAsia" w:ascii="仿宋" w:hAnsi="仿宋" w:eastAsia="仿宋"/>
          <w:b/>
          <w:bCs/>
          <w:color w:val="000000"/>
          <w:sz w:val="32"/>
          <w:szCs w:val="32"/>
        </w:rPr>
        <w:t>万元，占</w:t>
      </w:r>
      <w:r>
        <w:rPr>
          <w:rFonts w:hint="eastAsia" w:ascii="仿宋" w:hAnsi="仿宋" w:eastAsia="仿宋"/>
          <w:b/>
          <w:bCs/>
          <w:color w:val="000000"/>
          <w:sz w:val="32"/>
          <w:szCs w:val="32"/>
          <w:lang w:val="en-US" w:eastAsia="zh-CN"/>
        </w:rPr>
        <w:t>0</w:t>
      </w:r>
      <w:r>
        <w:rPr>
          <w:rFonts w:ascii="仿宋" w:hAnsi="仿宋" w:eastAsia="仿宋"/>
          <w:b/>
          <w:bCs/>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14.24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color w:val="000000"/>
          <w:sz w:val="32"/>
          <w:szCs w:val="32"/>
        </w:rPr>
        <w:t>5.48万元，占</w:t>
      </w:r>
      <w:r>
        <w:rPr>
          <w:rFonts w:hint="eastAsia" w:ascii="仿宋" w:hAnsi="仿宋" w:eastAsia="仿宋"/>
          <w:color w:val="000000"/>
          <w:sz w:val="32"/>
          <w:szCs w:val="32"/>
          <w:lang w:val="en-US" w:eastAsia="zh-CN"/>
        </w:rPr>
        <w:t>4</w:t>
      </w:r>
      <w:r>
        <w:rPr>
          <w:rFonts w:ascii="仿宋" w:hAnsi="仿宋" w:eastAsia="仿宋"/>
          <w:color w:val="000000"/>
          <w:sz w:val="32"/>
          <w:szCs w:val="32"/>
        </w:rPr>
        <w:t>%</w:t>
      </w:r>
      <w:r>
        <w:rPr>
          <w:rFonts w:hint="eastAsia" w:ascii="仿宋" w:hAnsi="仿宋" w:eastAsia="仿宋"/>
          <w:color w:val="000000"/>
          <w:sz w:val="32"/>
          <w:szCs w:val="32"/>
        </w:rPr>
        <w:t>；住房保障支出7.4万元，占</w:t>
      </w:r>
      <w:r>
        <w:rPr>
          <w:rFonts w:hint="eastAsia" w:ascii="仿宋" w:hAnsi="仿宋" w:eastAsia="仿宋"/>
          <w:color w:val="000000"/>
          <w:sz w:val="32"/>
          <w:szCs w:val="32"/>
          <w:lang w:val="en-US" w:eastAsia="zh-CN"/>
        </w:rPr>
        <w:t>6</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eastAsia="zh-CN"/>
        </w:rPr>
        <w:t>其他支出15</w:t>
      </w:r>
      <w:r>
        <w:rPr>
          <w:rFonts w:hint="eastAsia" w:ascii="仿宋" w:hAnsi="仿宋" w:eastAsia="仿宋"/>
          <w:color w:val="000000"/>
          <w:sz w:val="32"/>
          <w:szCs w:val="32"/>
          <w:lang w:val="en-US" w:eastAsia="zh-CN"/>
        </w:rPr>
        <w:t>万元，占12%</w:t>
      </w:r>
      <w:r>
        <w:rPr>
          <w:rFonts w:hint="eastAsia" w:ascii="仿宋" w:hAnsi="仿宋" w:eastAsia="仿宋"/>
          <w:color w:val="000000"/>
          <w:sz w:val="32"/>
          <w:szCs w:val="32"/>
        </w:rPr>
        <w:t>。</w:t>
      </w:r>
    </w:p>
    <w:p>
      <w:pPr>
        <w:pStyle w:val="16"/>
        <w:rPr>
          <w:rFonts w:ascii="仿宋" w:hAnsi="仿宋" w:eastAsia="仿宋"/>
          <w:color w:val="000000"/>
          <w:sz w:val="32"/>
          <w:szCs w:val="32"/>
        </w:rPr>
      </w:pPr>
    </w:p>
    <w:p>
      <w:pPr>
        <w:rPr>
          <w:rFonts w:ascii="仿宋" w:hAnsi="仿宋" w:eastAsia="仿宋"/>
          <w:color w:val="000000"/>
          <w:sz w:val="32"/>
          <w:szCs w:val="32"/>
        </w:rPr>
      </w:pPr>
    </w:p>
    <w:p>
      <w:pPr>
        <w:pStyle w:val="16"/>
        <w:rPr>
          <w:rFonts w:ascii="仿宋" w:hAnsi="仿宋" w:eastAsia="仿宋"/>
          <w:color w:val="000000"/>
          <w:sz w:val="32"/>
          <w:szCs w:val="32"/>
        </w:rPr>
      </w:pPr>
    </w:p>
    <w:p>
      <w:pPr>
        <w:rPr>
          <w:rFonts w:ascii="仿宋" w:hAnsi="仿宋" w:eastAsia="仿宋"/>
          <w:color w:val="000000"/>
          <w:sz w:val="32"/>
          <w:szCs w:val="32"/>
        </w:rPr>
      </w:pPr>
    </w:p>
    <w:p>
      <w:pPr>
        <w:pStyle w:val="16"/>
        <w:rPr>
          <w:rFonts w:ascii="仿宋" w:hAnsi="仿宋" w:eastAsia="仿宋"/>
          <w:color w:val="000000"/>
          <w:sz w:val="32"/>
          <w:szCs w:val="32"/>
        </w:rPr>
      </w:pPr>
    </w:p>
    <w:p>
      <w:pPr>
        <w:rPr>
          <w:rFonts w:ascii="仿宋" w:hAnsi="仿宋" w:eastAsia="仿宋"/>
          <w:color w:val="000000"/>
          <w:sz w:val="32"/>
          <w:szCs w:val="32"/>
        </w:rPr>
      </w:pPr>
    </w:p>
    <w:p>
      <w:pPr>
        <w:pStyle w:val="16"/>
        <w:rPr>
          <w:rFonts w:ascii="仿宋" w:hAnsi="仿宋" w:eastAsia="仿宋"/>
          <w:color w:val="000000"/>
          <w:sz w:val="32"/>
          <w:szCs w:val="32"/>
        </w:rPr>
      </w:pPr>
      <w:r>
        <w:drawing>
          <wp:anchor distT="0" distB="0" distL="114300" distR="114300" simplePos="0" relativeHeight="251664384" behindDoc="0" locked="0" layoutInCell="1" allowOverlap="1">
            <wp:simplePos x="0" y="0"/>
            <wp:positionH relativeFrom="column">
              <wp:posOffset>401955</wp:posOffset>
            </wp:positionH>
            <wp:positionV relativeFrom="paragraph">
              <wp:posOffset>-707390</wp:posOffset>
            </wp:positionV>
            <wp:extent cx="4572000" cy="2743200"/>
            <wp:effectExtent l="4445" t="4445" r="10795" b="10795"/>
            <wp:wrapSquare wrapText="bothSides"/>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rPr>
          <w:rFonts w:ascii="仿宋" w:hAnsi="仿宋" w:eastAsia="仿宋"/>
          <w:color w:val="000000"/>
          <w:sz w:val="32"/>
          <w:szCs w:val="32"/>
        </w:rPr>
      </w:pPr>
    </w:p>
    <w:p>
      <w:pPr>
        <w:pStyle w:val="16"/>
        <w:rPr>
          <w:rFonts w:ascii="仿宋" w:hAnsi="仿宋" w:eastAsia="仿宋"/>
          <w:color w:val="000000"/>
          <w:sz w:val="32"/>
          <w:szCs w:val="32"/>
        </w:rPr>
      </w:pPr>
    </w:p>
    <w:p>
      <w:pPr>
        <w:rPr>
          <w:rFonts w:ascii="仿宋" w:hAnsi="仿宋" w:eastAsia="仿宋"/>
          <w:color w:val="000000"/>
          <w:sz w:val="32"/>
          <w:szCs w:val="32"/>
        </w:rPr>
      </w:pPr>
    </w:p>
    <w:p>
      <w:pPr>
        <w:pStyle w:val="16"/>
      </w:pPr>
    </w:p>
    <w:p>
      <w:pPr>
        <w:spacing w:line="600" w:lineRule="exact"/>
        <w:ind w:firstLine="640" w:firstLineChars="200"/>
        <w:jc w:val="center"/>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spacing w:line="600" w:lineRule="exact"/>
        <w:ind w:firstLine="643" w:firstLineChars="200"/>
        <w:outlineLvl w:val="2"/>
        <w:rPr>
          <w:rFonts w:ascii="仿宋" w:hAnsi="仿宋" w:eastAsia="仿宋"/>
          <w:b/>
          <w:color w:val="000000"/>
          <w:sz w:val="32"/>
          <w:szCs w:val="32"/>
        </w:rPr>
      </w:pPr>
      <w:bookmarkStart w:id="63" w:name="_Toc15377212"/>
      <w:bookmarkStart w:id="64" w:name="_Toc79163617"/>
      <w:bookmarkStart w:id="65" w:name="_Toc79163867"/>
      <w:r>
        <w:rPr>
          <w:rFonts w:hint="eastAsia" w:ascii="仿宋" w:hAnsi="仿宋" w:eastAsia="仿宋"/>
          <w:b/>
          <w:color w:val="000000"/>
          <w:sz w:val="32"/>
          <w:szCs w:val="32"/>
        </w:rPr>
        <w:t>（三）一般公共预算财政拨款支出决算具体情况</w:t>
      </w:r>
      <w:bookmarkEnd w:id="63"/>
      <w:bookmarkEnd w:id="64"/>
      <w:bookmarkEnd w:id="65"/>
    </w:p>
    <w:p>
      <w:pPr>
        <w:spacing w:line="600" w:lineRule="exact"/>
        <w:ind w:firstLine="643" w:firstLineChars="200"/>
        <w:rPr>
          <w:rFonts w:ascii="仿宋_GB2312" w:eastAsia="仿宋_GB2312"/>
          <w:b/>
          <w:bCs/>
          <w:sz w:val="32"/>
          <w:szCs w:val="32"/>
        </w:rPr>
      </w:pPr>
      <w:bookmarkStart w:id="66" w:name="_Toc15377444"/>
      <w:bookmarkStart w:id="67" w:name="_Toc15378460"/>
      <w:bookmarkStart w:id="68" w:name="_Toc15377213"/>
      <w:r>
        <w:rPr>
          <w:rFonts w:ascii="仿宋_GB2312" w:eastAsia="仿宋_GB2312"/>
          <w:b/>
          <w:bCs/>
          <w:sz w:val="32"/>
          <w:szCs w:val="32"/>
        </w:rPr>
        <w:t>2020</w:t>
      </w:r>
      <w:r>
        <w:rPr>
          <w:rFonts w:hint="eastAsia" w:ascii="仿宋_GB2312" w:eastAsia="仿宋_GB2312"/>
          <w:b/>
          <w:bCs/>
          <w:sz w:val="32"/>
          <w:szCs w:val="32"/>
        </w:rPr>
        <w:t>年一般公共预算支出决算数为</w:t>
      </w:r>
      <w:r>
        <w:rPr>
          <w:rFonts w:hint="eastAsia" w:ascii="仿宋" w:hAnsi="仿宋" w:eastAsia="仿宋"/>
          <w:color w:val="000000"/>
          <w:sz w:val="32"/>
          <w:szCs w:val="32"/>
          <w:lang w:val="en-US" w:eastAsia="zh-CN"/>
        </w:rPr>
        <w:t>125.76万元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90.8</w:t>
      </w:r>
      <w:r>
        <w:rPr>
          <w:rFonts w:ascii="仿宋_GB2312" w:eastAsia="仿宋_GB2312"/>
          <w:b/>
          <w:bCs/>
          <w:sz w:val="32"/>
          <w:szCs w:val="32"/>
        </w:rPr>
        <w:t>%</w:t>
      </w:r>
      <w:r>
        <w:rPr>
          <w:rFonts w:hint="eastAsia" w:ascii="仿宋_GB2312" w:eastAsia="仿宋_GB2312"/>
          <w:b/>
          <w:bCs/>
          <w:sz w:val="32"/>
          <w:szCs w:val="32"/>
        </w:rPr>
        <w:t>。其中：</w:t>
      </w:r>
      <w:bookmarkEnd w:id="66"/>
      <w:bookmarkEnd w:id="67"/>
      <w:bookmarkEnd w:id="68"/>
    </w:p>
    <w:p>
      <w:pPr>
        <w:widowControl/>
        <w:spacing w:before="240" w:line="600" w:lineRule="atLeast"/>
        <w:ind w:left="3" w:firstLine="640"/>
        <w:jc w:val="left"/>
        <w:rPr>
          <w:rFonts w:ascii="仿宋" w:hAnsi="仿宋" w:eastAsia="仿宋"/>
          <w:b/>
          <w:color w:val="000000"/>
          <w:sz w:val="32"/>
          <w:szCs w:val="32"/>
        </w:rPr>
      </w:pPr>
      <w:r>
        <w:rPr>
          <w:rStyle w:val="22"/>
          <w:rFonts w:ascii="仿宋" w:hAnsi="仿宋" w:eastAsia="仿宋"/>
          <w:bCs/>
          <w:color w:val="000000"/>
          <w:sz w:val="32"/>
          <w:szCs w:val="32"/>
        </w:rPr>
        <w:t>1.</w:t>
      </w:r>
      <w:r>
        <w:rPr>
          <w:rStyle w:val="22"/>
          <w:rFonts w:hint="eastAsia" w:ascii="仿宋" w:hAnsi="仿宋" w:eastAsia="仿宋"/>
          <w:bCs/>
          <w:color w:val="000000"/>
          <w:sz w:val="32"/>
          <w:szCs w:val="32"/>
        </w:rPr>
        <w:t>一般公共服务201（类）29（款）01（项）</w:t>
      </w:r>
      <w:r>
        <w:rPr>
          <w:rStyle w:val="22"/>
          <w:rFonts w:ascii="仿宋" w:hAnsi="仿宋" w:eastAsia="仿宋"/>
          <w:bCs/>
          <w:color w:val="000000"/>
          <w:sz w:val="32"/>
          <w:szCs w:val="32"/>
        </w:rPr>
        <w:t>:</w:t>
      </w:r>
      <w:r>
        <w:rPr>
          <w:rStyle w:val="22"/>
          <w:rFonts w:ascii="仿宋" w:hAnsi="仿宋" w:eastAsia="仿宋"/>
          <w:b w:val="0"/>
          <w:bCs/>
          <w:color w:val="000000"/>
          <w:sz w:val="32"/>
          <w:szCs w:val="32"/>
        </w:rPr>
        <w:t xml:space="preserve"> </w:t>
      </w:r>
      <w:r>
        <w:rPr>
          <w:rStyle w:val="22"/>
          <w:rFonts w:hint="eastAsia" w:ascii="仿宋" w:hAnsi="仿宋" w:eastAsia="仿宋"/>
          <w:b w:val="0"/>
          <w:bCs/>
          <w:color w:val="000000"/>
          <w:sz w:val="32"/>
          <w:szCs w:val="32"/>
        </w:rPr>
        <w:t>支出决算为</w:t>
      </w:r>
      <w:r>
        <w:rPr>
          <w:rStyle w:val="22"/>
          <w:rFonts w:hint="eastAsia" w:ascii="仿宋" w:hAnsi="仿宋" w:eastAsia="仿宋"/>
          <w:b w:val="0"/>
          <w:bCs/>
          <w:color w:val="000000"/>
          <w:sz w:val="32"/>
          <w:szCs w:val="32"/>
          <w:lang w:val="en-US" w:eastAsia="zh-CN"/>
        </w:rPr>
        <w:t>83.65</w:t>
      </w:r>
      <w:r>
        <w:rPr>
          <w:rStyle w:val="22"/>
          <w:rFonts w:hint="eastAsia" w:ascii="仿宋" w:hAnsi="仿宋" w:eastAsia="仿宋"/>
          <w:b w:val="0"/>
          <w:bCs/>
          <w:color w:val="000000"/>
          <w:sz w:val="32"/>
          <w:szCs w:val="32"/>
        </w:rPr>
        <w:t>万元，完成预算</w:t>
      </w:r>
      <w:r>
        <w:rPr>
          <w:rStyle w:val="22"/>
          <w:rFonts w:hint="eastAsia" w:ascii="仿宋" w:hAnsi="仿宋" w:eastAsia="仿宋"/>
          <w:b w:val="0"/>
          <w:bCs/>
          <w:color w:val="000000"/>
          <w:sz w:val="32"/>
          <w:szCs w:val="32"/>
          <w:lang w:val="en-US" w:eastAsia="zh-CN"/>
        </w:rPr>
        <w:t>97.6</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，决算数小于预算数的主要原因是</w:t>
      </w:r>
      <w:r>
        <w:rPr>
          <w:rFonts w:hint="eastAsia" w:ascii="仿宋_GB2312" w:hAnsi="微软雅黑" w:eastAsia="仿宋_GB2312" w:cs="仿宋_GB2312"/>
          <w:color w:val="000000"/>
          <w:kern w:val="0"/>
          <w:sz w:val="32"/>
          <w:szCs w:val="32"/>
          <w:shd w:val="clear" w:color="auto" w:fill="FFFFFF"/>
          <w:lang w:bidi="ar"/>
        </w:rPr>
        <w:t>厉行节约</w:t>
      </w:r>
      <w:r>
        <w:rPr>
          <w:rFonts w:ascii="仿宋_GB2312" w:hAnsi="微软雅黑" w:eastAsia="仿宋_GB2312" w:cs="仿宋_GB2312"/>
          <w:color w:val="000000"/>
          <w:kern w:val="0"/>
          <w:sz w:val="32"/>
          <w:szCs w:val="32"/>
          <w:shd w:val="clear" w:color="auto" w:fill="FFFFFF"/>
          <w:lang w:bidi="ar"/>
        </w:rPr>
        <w:t>。</w:t>
      </w:r>
    </w:p>
    <w:p>
      <w:pPr>
        <w:spacing w:line="600" w:lineRule="exact"/>
        <w:ind w:firstLine="643" w:firstLineChars="200"/>
        <w:rPr>
          <w:rFonts w:ascii="仿宋" w:hAnsi="仿宋" w:eastAsia="仿宋"/>
          <w:b/>
          <w:color w:val="000000"/>
          <w:sz w:val="32"/>
          <w:szCs w:val="32"/>
        </w:rPr>
      </w:pPr>
      <w:r>
        <w:rPr>
          <w:rStyle w:val="22"/>
          <w:rFonts w:hint="eastAsia" w:ascii="仿宋" w:hAnsi="仿宋" w:eastAsia="仿宋"/>
          <w:bCs/>
          <w:color w:val="000000"/>
          <w:sz w:val="32"/>
          <w:szCs w:val="32"/>
          <w:lang w:val="en-US" w:eastAsia="zh-CN"/>
        </w:rPr>
        <w:t>2</w:t>
      </w:r>
      <w:r>
        <w:rPr>
          <w:rStyle w:val="22"/>
          <w:rFonts w:ascii="仿宋" w:hAnsi="仿宋" w:eastAsia="仿宋"/>
          <w:bCs/>
          <w:color w:val="000000"/>
          <w:sz w:val="32"/>
          <w:szCs w:val="32"/>
        </w:rPr>
        <w:t>.</w:t>
      </w:r>
      <w:r>
        <w:rPr>
          <w:rStyle w:val="22"/>
          <w:rFonts w:hint="eastAsia" w:ascii="仿宋" w:hAnsi="仿宋" w:eastAsia="仿宋"/>
          <w:bCs/>
          <w:color w:val="000000"/>
          <w:sz w:val="32"/>
          <w:szCs w:val="32"/>
        </w:rPr>
        <w:t>社会保障和就业208（类）05（款）05（项）和208（类）05（款）06（项）</w:t>
      </w:r>
      <w:r>
        <w:rPr>
          <w:rStyle w:val="22"/>
          <w:rFonts w:ascii="仿宋" w:hAnsi="仿宋" w:eastAsia="仿宋"/>
          <w:bCs/>
          <w:color w:val="000000"/>
          <w:sz w:val="32"/>
          <w:szCs w:val="32"/>
        </w:rPr>
        <w:t>:</w:t>
      </w:r>
      <w:r>
        <w:rPr>
          <w:rStyle w:val="22"/>
          <w:rFonts w:ascii="仿宋" w:hAnsi="仿宋" w:eastAsia="仿宋"/>
          <w:b w:val="0"/>
          <w:bCs/>
          <w:color w:val="000000"/>
          <w:sz w:val="32"/>
          <w:szCs w:val="32"/>
        </w:rPr>
        <w:t xml:space="preserve"> </w:t>
      </w:r>
      <w:r>
        <w:rPr>
          <w:rStyle w:val="22"/>
          <w:rFonts w:hint="eastAsia" w:ascii="仿宋" w:hAnsi="仿宋" w:eastAsia="仿宋"/>
          <w:b w:val="0"/>
          <w:bCs/>
          <w:color w:val="000000"/>
          <w:sz w:val="32"/>
          <w:szCs w:val="32"/>
        </w:rPr>
        <w:t>支出决算为</w:t>
      </w:r>
      <w:r>
        <w:rPr>
          <w:rStyle w:val="22"/>
          <w:rFonts w:hint="eastAsia" w:ascii="仿宋" w:hAnsi="仿宋" w:eastAsia="仿宋"/>
          <w:b w:val="0"/>
          <w:bCs/>
          <w:color w:val="000000"/>
          <w:sz w:val="32"/>
          <w:szCs w:val="32"/>
          <w:lang w:val="en-US" w:eastAsia="zh-CN"/>
        </w:rPr>
        <w:t>14.2</w:t>
      </w:r>
      <w:r>
        <w:rPr>
          <w:rStyle w:val="22"/>
          <w:rFonts w:hint="eastAsia" w:ascii="仿宋" w:hAnsi="仿宋" w:eastAsia="仿宋"/>
          <w:b w:val="0"/>
          <w:bCs/>
          <w:color w:val="000000"/>
          <w:sz w:val="32"/>
          <w:szCs w:val="32"/>
        </w:rPr>
        <w:t>万元，完成预算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22"/>
          <w:rFonts w:hint="eastAsia" w:ascii="仿宋" w:hAnsi="仿宋" w:eastAsia="仿宋"/>
          <w:bCs/>
          <w:color w:val="000000"/>
          <w:sz w:val="32"/>
          <w:szCs w:val="32"/>
          <w:lang w:val="en-US" w:eastAsia="zh-CN"/>
        </w:rPr>
        <w:t>3</w:t>
      </w:r>
      <w:r>
        <w:rPr>
          <w:rStyle w:val="22"/>
          <w:rFonts w:ascii="仿宋" w:hAnsi="仿宋" w:eastAsia="仿宋"/>
          <w:bCs/>
          <w:color w:val="000000"/>
          <w:sz w:val="32"/>
          <w:szCs w:val="32"/>
        </w:rPr>
        <w:t>.</w:t>
      </w:r>
      <w:r>
        <w:rPr>
          <w:rFonts w:hint="eastAsia" w:ascii="仿宋" w:hAnsi="仿宋" w:eastAsia="仿宋"/>
          <w:b/>
          <w:bCs/>
          <w:color w:val="000000"/>
          <w:sz w:val="32"/>
          <w:szCs w:val="32"/>
        </w:rPr>
        <w:t>卫生健康</w:t>
      </w:r>
      <w:r>
        <w:rPr>
          <w:rStyle w:val="22"/>
          <w:rFonts w:hint="eastAsia" w:ascii="仿宋" w:hAnsi="仿宋" w:eastAsia="仿宋"/>
          <w:bCs/>
          <w:color w:val="000000"/>
          <w:sz w:val="32"/>
          <w:szCs w:val="32"/>
        </w:rPr>
        <w:t>210（类）04（款）09（项）和201（类）01（款）01（项）和201（类）11（款）03（项）</w:t>
      </w:r>
      <w:r>
        <w:rPr>
          <w:rStyle w:val="22"/>
          <w:rFonts w:ascii="仿宋" w:hAnsi="仿宋" w:eastAsia="仿宋"/>
          <w:bCs/>
          <w:color w:val="000000"/>
          <w:sz w:val="32"/>
          <w:szCs w:val="32"/>
        </w:rPr>
        <w:t>:</w:t>
      </w:r>
      <w:r>
        <w:rPr>
          <w:rStyle w:val="22"/>
          <w:rFonts w:hint="eastAsia" w:ascii="仿宋" w:hAnsi="仿宋" w:eastAsia="仿宋"/>
          <w:b w:val="0"/>
          <w:bCs/>
          <w:color w:val="000000"/>
          <w:sz w:val="32"/>
          <w:szCs w:val="32"/>
        </w:rPr>
        <w:t>支出决算为</w:t>
      </w:r>
      <w:r>
        <w:rPr>
          <w:rStyle w:val="22"/>
          <w:rFonts w:hint="eastAsia" w:ascii="仿宋" w:hAnsi="仿宋" w:eastAsia="仿宋"/>
          <w:b w:val="0"/>
          <w:bCs/>
          <w:color w:val="000000"/>
          <w:sz w:val="32"/>
          <w:szCs w:val="32"/>
          <w:lang w:val="en-US" w:eastAsia="zh-CN"/>
        </w:rPr>
        <w:t>5.48</w:t>
      </w:r>
      <w:r>
        <w:rPr>
          <w:rStyle w:val="22"/>
          <w:rFonts w:hint="eastAsia" w:ascii="仿宋" w:hAnsi="仿宋" w:eastAsia="仿宋"/>
          <w:b w:val="0"/>
          <w:bCs/>
          <w:color w:val="000000"/>
          <w:sz w:val="32"/>
          <w:szCs w:val="32"/>
        </w:rPr>
        <w:t>万元，完成预算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，决算数等于预算数。</w:t>
      </w:r>
    </w:p>
    <w:p>
      <w:pPr>
        <w:spacing w:line="600" w:lineRule="exact"/>
        <w:ind w:firstLine="643" w:firstLineChars="200"/>
        <w:rPr>
          <w:rStyle w:val="22"/>
          <w:rFonts w:hint="eastAsia" w:ascii="仿宋" w:hAnsi="仿宋" w:eastAsia="仿宋"/>
          <w:b w:val="0"/>
          <w:bCs/>
          <w:color w:val="000000"/>
          <w:sz w:val="32"/>
          <w:szCs w:val="32"/>
          <w:lang w:eastAsia="zh-CN"/>
        </w:rPr>
      </w:pPr>
      <w:r>
        <w:rPr>
          <w:rStyle w:val="22"/>
          <w:rFonts w:hint="eastAsia" w:ascii="仿宋" w:hAnsi="仿宋" w:eastAsia="仿宋"/>
          <w:bCs/>
          <w:color w:val="000000"/>
          <w:sz w:val="32"/>
          <w:szCs w:val="32"/>
        </w:rPr>
        <w:t>4.住房保障支出221（类）02（款）01（项）：</w:t>
      </w:r>
      <w:r>
        <w:rPr>
          <w:rStyle w:val="22"/>
          <w:rFonts w:hint="eastAsia" w:ascii="仿宋" w:hAnsi="仿宋" w:eastAsia="仿宋"/>
          <w:b w:val="0"/>
          <w:bCs/>
          <w:color w:val="000000"/>
          <w:sz w:val="32"/>
          <w:szCs w:val="32"/>
        </w:rPr>
        <w:t>支出决算为7.</w:t>
      </w:r>
      <w:r>
        <w:rPr>
          <w:rStyle w:val="22"/>
          <w:rFonts w:hint="eastAsia" w:ascii="仿宋" w:hAnsi="仿宋" w:eastAsia="仿宋"/>
          <w:b w:val="0"/>
          <w:bCs/>
          <w:color w:val="000000"/>
          <w:sz w:val="32"/>
          <w:szCs w:val="32"/>
          <w:lang w:val="en-US" w:eastAsia="zh-CN"/>
        </w:rPr>
        <w:t>4</w:t>
      </w:r>
      <w:r>
        <w:rPr>
          <w:rStyle w:val="22"/>
          <w:rFonts w:hint="eastAsia" w:ascii="仿宋" w:hAnsi="仿宋" w:eastAsia="仿宋"/>
          <w:b w:val="0"/>
          <w:bCs/>
          <w:color w:val="000000"/>
          <w:sz w:val="32"/>
          <w:szCs w:val="32"/>
        </w:rPr>
        <w:t>万元，完成预算100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，决算数等于预算数</w:t>
      </w:r>
      <w:r>
        <w:rPr>
          <w:rStyle w:val="22"/>
          <w:rFonts w:hint="eastAsia" w:ascii="仿宋" w:hAnsi="仿宋" w:eastAsia="仿宋"/>
          <w:b w:val="0"/>
          <w:bCs/>
          <w:color w:val="000000"/>
          <w:sz w:val="32"/>
          <w:szCs w:val="32"/>
          <w:lang w:eastAsia="zh-CN"/>
        </w:rPr>
        <w:t>。</w:t>
      </w:r>
    </w:p>
    <w:p>
      <w:pPr>
        <w:tabs>
          <w:tab w:val="right" w:pos="8306"/>
        </w:tabs>
        <w:spacing w:line="600" w:lineRule="exact"/>
        <w:ind w:firstLine="640"/>
        <w:outlineLvl w:val="1"/>
        <w:rPr>
          <w:rStyle w:val="25"/>
        </w:rPr>
      </w:pPr>
      <w:bookmarkStart w:id="69" w:name="_Toc79163618"/>
      <w:bookmarkStart w:id="70" w:name="_Toc79163868"/>
      <w:bookmarkStart w:id="71" w:name="_Toc15396608"/>
      <w:bookmarkStart w:id="72"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69"/>
      <w:bookmarkEnd w:id="70"/>
      <w:bookmarkEnd w:id="71"/>
      <w:bookmarkEnd w:id="72"/>
      <w:r>
        <w:rPr>
          <w:rStyle w:val="25"/>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125.76</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人员经费92.47万元，主要包括：</w:t>
      </w:r>
      <w:r>
        <w:rPr>
          <w:rFonts w:hint="eastAsia" w:ascii="仿宋_GB2312" w:hAnsi="仿宋_GB2312" w:eastAsia="仿宋_GB2312" w:cs="仿宋_GB2312"/>
          <w:color w:val="000000"/>
          <w:sz w:val="32"/>
          <w:szCs w:val="32"/>
        </w:rPr>
        <w:t>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仿宋" w:hAnsi="仿宋" w:eastAsia="仿宋"/>
          <w:color w:val="000000"/>
          <w:sz w:val="32"/>
          <w:szCs w:val="32"/>
        </w:rPr>
        <w:t>。</w:t>
      </w:r>
    </w:p>
    <w:p>
      <w:pPr>
        <w:spacing w:line="600" w:lineRule="exact"/>
        <w:ind w:firstLine="645"/>
        <w:rPr>
          <w:rFonts w:hint="eastAsia" w:ascii="仿宋_GB2312" w:hAnsi="仿宋_GB2312" w:eastAsia="仿宋_GB2312" w:cs="仿宋_GB2312"/>
          <w:color w:val="000000"/>
          <w:sz w:val="32"/>
          <w:szCs w:val="32"/>
        </w:rPr>
      </w:pP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33.29</w:t>
      </w:r>
      <w:r>
        <w:rPr>
          <w:rFonts w:hint="eastAsia" w:ascii="仿宋" w:hAnsi="仿宋" w:eastAsia="仿宋"/>
          <w:color w:val="000000"/>
          <w:sz w:val="32"/>
          <w:szCs w:val="32"/>
        </w:rPr>
        <w:t>万元，主要包括：</w:t>
      </w:r>
      <w:r>
        <w:rPr>
          <w:rFonts w:hint="eastAsia" w:ascii="仿宋_GB2312" w:hAnsi="仿宋_GB2312" w:eastAsia="仿宋_GB2312" w:cs="仿宋_GB2312"/>
          <w:color w:val="000000"/>
          <w:sz w:val="32"/>
          <w:szCs w:val="32"/>
        </w:rPr>
        <w:t>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5"/>
          <w:rFonts w:ascii="黑体" w:hAnsi="黑体" w:eastAsia="黑体"/>
          <w:b w:val="0"/>
        </w:rPr>
      </w:pPr>
      <w:bookmarkStart w:id="73" w:name="_Toc79163869"/>
      <w:bookmarkStart w:id="74" w:name="_Toc15377215"/>
      <w:bookmarkStart w:id="75" w:name="_Toc15396609"/>
      <w:bookmarkStart w:id="76" w:name="_Toc79163619"/>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73"/>
      <w:bookmarkEnd w:id="74"/>
      <w:bookmarkEnd w:id="75"/>
      <w:bookmarkEnd w:id="76"/>
    </w:p>
    <w:p>
      <w:pPr>
        <w:spacing w:line="600" w:lineRule="exact"/>
        <w:ind w:firstLine="640"/>
        <w:outlineLvl w:val="2"/>
        <w:rPr>
          <w:rFonts w:ascii="仿宋" w:hAnsi="仿宋" w:eastAsia="仿宋"/>
          <w:b/>
          <w:color w:val="000000"/>
          <w:sz w:val="32"/>
          <w:szCs w:val="32"/>
        </w:rPr>
      </w:pPr>
      <w:bookmarkStart w:id="77" w:name="_Toc79163620"/>
      <w:bookmarkStart w:id="78" w:name="_Toc15377216"/>
      <w:bookmarkStart w:id="79" w:name="_Toc79163870"/>
      <w:r>
        <w:rPr>
          <w:rFonts w:hint="eastAsia" w:ascii="仿宋" w:hAnsi="仿宋" w:eastAsia="仿宋"/>
          <w:b/>
          <w:color w:val="000000"/>
          <w:sz w:val="32"/>
          <w:szCs w:val="32"/>
        </w:rPr>
        <w:t>（一）“三公”经费财政拨款支出决算总体情况说明</w:t>
      </w:r>
      <w:bookmarkEnd w:id="77"/>
      <w:bookmarkEnd w:id="78"/>
      <w:bookmarkEnd w:id="79"/>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1.24</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，决算数等于预算数。</w:t>
      </w:r>
    </w:p>
    <w:p>
      <w:pPr>
        <w:spacing w:line="600" w:lineRule="exact"/>
        <w:ind w:firstLine="640"/>
        <w:outlineLvl w:val="2"/>
        <w:rPr>
          <w:rFonts w:ascii="仿宋" w:hAnsi="仿宋" w:eastAsia="仿宋"/>
          <w:b/>
          <w:color w:val="000000"/>
          <w:sz w:val="32"/>
          <w:szCs w:val="32"/>
        </w:rPr>
      </w:pPr>
      <w:bookmarkStart w:id="80" w:name="_Toc79163621"/>
      <w:bookmarkStart w:id="81" w:name="_Toc79163871"/>
      <w:bookmarkStart w:id="82" w:name="_Toc15377217"/>
      <w:r>
        <w:rPr>
          <w:rFonts w:hint="eastAsia" w:ascii="仿宋" w:hAnsi="仿宋" w:eastAsia="仿宋"/>
          <w:b/>
          <w:color w:val="000000"/>
          <w:sz w:val="32"/>
          <w:szCs w:val="32"/>
        </w:rPr>
        <w:t>（二）“三公”经费财政拨款支出决算具体情况说明</w:t>
      </w:r>
      <w:bookmarkEnd w:id="80"/>
      <w:bookmarkEnd w:id="81"/>
      <w:bookmarkEnd w:id="82"/>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1.24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r>
        <w:drawing>
          <wp:anchor distT="0" distB="0" distL="114300" distR="114300" simplePos="0" relativeHeight="251665408" behindDoc="0" locked="0" layoutInCell="1" allowOverlap="1">
            <wp:simplePos x="0" y="0"/>
            <wp:positionH relativeFrom="column">
              <wp:posOffset>757555</wp:posOffset>
            </wp:positionH>
            <wp:positionV relativeFrom="paragraph">
              <wp:posOffset>-346075</wp:posOffset>
            </wp:positionV>
            <wp:extent cx="4160520" cy="2926080"/>
            <wp:effectExtent l="4445" t="4445" r="10795" b="10795"/>
            <wp:wrapSquare wrapText="bothSides"/>
            <wp:docPr id="716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960" w:firstLineChars="3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pPr>
        <w:numPr>
          <w:ilvl w:val="0"/>
          <w:numId w:val="0"/>
        </w:numPr>
        <w:spacing w:line="600" w:lineRule="exact"/>
        <w:ind w:firstLine="643" w:firstLineChars="20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22"/>
          <w:rFonts w:hint="eastAsia" w:ascii="仿宋" w:hAnsi="仿宋" w:eastAsia="仿宋"/>
          <w:b w:val="0"/>
          <w:bCs/>
          <w:color w:val="000000"/>
          <w:sz w:val="32"/>
          <w:szCs w:val="32"/>
        </w:rPr>
        <w:t>完成预算0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全年安排因公出国（境）团组0次，出国（境）0人。因公出国（境）支出决算与上年持平.</w:t>
      </w:r>
    </w:p>
    <w:p>
      <w:pPr>
        <w:spacing w:line="600" w:lineRule="exact"/>
        <w:ind w:firstLine="643" w:firstLineChars="200"/>
        <w:rPr>
          <w:rFonts w:ascii="仿宋_GB2312" w:hAnsi="仿宋_GB2312" w:eastAsia="仿宋_GB2312" w:cs="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1.24</w:t>
      </w:r>
      <w:r>
        <w:rPr>
          <w:rFonts w:hint="eastAsia" w:ascii="仿宋_GB2312" w:eastAsia="仿宋_GB2312"/>
          <w:color w:val="000000"/>
          <w:sz w:val="32"/>
          <w:szCs w:val="32"/>
        </w:rPr>
        <w:t>万元</w:t>
      </w:r>
      <w:r>
        <w:rPr>
          <w:rFonts w:ascii="仿宋_GB2312" w:eastAsia="仿宋_GB2312"/>
          <w:color w:val="000000"/>
          <w:sz w:val="32"/>
          <w:szCs w:val="32"/>
        </w:rPr>
        <w:t>,</w:t>
      </w:r>
      <w:r>
        <w:rPr>
          <w:rStyle w:val="22"/>
          <w:rFonts w:hint="eastAsia" w:ascii="仿宋" w:hAnsi="仿宋" w:eastAsia="仿宋"/>
          <w:b w:val="0"/>
          <w:bCs/>
          <w:color w:val="000000"/>
          <w:sz w:val="32"/>
          <w:szCs w:val="32"/>
        </w:rPr>
        <w:t>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增加1.9</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60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2019年</w:t>
      </w:r>
      <w:r>
        <w:rPr>
          <w:rFonts w:hint="eastAsia" w:ascii="仿宋_GB2312" w:hAnsi="仿宋_GB2312" w:eastAsia="仿宋_GB2312" w:cs="仿宋_GB2312"/>
          <w:color w:val="000000"/>
          <w:sz w:val="32"/>
          <w:szCs w:val="32"/>
        </w:rPr>
        <w:t>政府调拨车辆给妇联后进行大型维修。</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1.24</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妇联</w:t>
      </w:r>
      <w:r>
        <w:rPr>
          <w:rFonts w:hint="eastAsia" w:ascii="仿宋_GB2312" w:eastAsia="仿宋_GB2312"/>
          <w:color w:val="000000"/>
          <w:sz w:val="32"/>
          <w:szCs w:val="32"/>
        </w:rPr>
        <w:t>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2"/>
          <w:rFonts w:hint="eastAsia" w:ascii="仿宋" w:hAnsi="仿宋" w:eastAsia="仿宋"/>
          <w:b w:val="0"/>
          <w:bCs/>
          <w:color w:val="000000"/>
          <w:sz w:val="32"/>
          <w:szCs w:val="32"/>
        </w:rPr>
        <w:t>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w:t>
      </w:r>
      <w:r>
        <w:rPr>
          <w:rFonts w:hint="eastAsia" w:ascii="仿宋_GB2312" w:eastAsia="仿宋_GB2312"/>
          <w:color w:val="000000"/>
          <w:sz w:val="32"/>
          <w:szCs w:val="32"/>
          <w:lang w:val="en-US" w:eastAsia="zh-CN"/>
        </w:rPr>
        <w:t>于</w:t>
      </w:r>
      <w:r>
        <w:rPr>
          <w:rFonts w:ascii="仿宋_GB2312" w:eastAsia="仿宋_GB2312"/>
          <w:color w:val="000000"/>
          <w:sz w:val="32"/>
          <w:szCs w:val="32"/>
        </w:rPr>
        <w:t>2019</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一样，未产生接待费用</w:t>
      </w:r>
      <w:r>
        <w:rPr>
          <w:rFonts w:hint="eastAsia" w:ascii="仿宋_GB2312" w:eastAsia="仿宋_GB2312"/>
          <w:color w:val="000000"/>
          <w:sz w:val="32"/>
          <w:szCs w:val="32"/>
        </w:rPr>
        <w:t>。其中：</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万元。国内公务接待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0"/>
        <w:outlineLvl w:val="1"/>
        <w:rPr>
          <w:rStyle w:val="25"/>
          <w:rFonts w:ascii="黑体" w:hAnsi="黑体" w:eastAsia="黑体"/>
        </w:rPr>
      </w:pPr>
      <w:bookmarkStart w:id="83" w:name="_Toc79163622"/>
      <w:bookmarkStart w:id="84" w:name="_Toc15396610"/>
      <w:bookmarkStart w:id="85" w:name="_Toc15377218"/>
      <w:bookmarkStart w:id="86" w:name="_Toc79163872"/>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83"/>
      <w:bookmarkEnd w:id="84"/>
      <w:bookmarkEnd w:id="85"/>
      <w:bookmarkEnd w:id="86"/>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2"/>
        </w:numPr>
        <w:spacing w:line="600" w:lineRule="exact"/>
        <w:ind w:firstLine="640"/>
        <w:outlineLvl w:val="1"/>
        <w:rPr>
          <w:rStyle w:val="25"/>
          <w:rFonts w:ascii="黑体" w:hAnsi="黑体" w:eastAsia="黑体"/>
          <w:b w:val="0"/>
        </w:rPr>
      </w:pPr>
      <w:bookmarkStart w:id="87" w:name="_Toc15377219"/>
      <w:bookmarkStart w:id="88" w:name="_Toc79163873"/>
      <w:bookmarkStart w:id="89" w:name="_Toc79163623"/>
      <w:bookmarkStart w:id="90" w:name="_Toc15396611"/>
      <w:r>
        <w:rPr>
          <w:rStyle w:val="25"/>
          <w:rFonts w:hint="eastAsia" w:ascii="黑体" w:hAnsi="黑体" w:eastAsia="黑体"/>
          <w:b w:val="0"/>
        </w:rPr>
        <w:t>国有资本经营预算支出决算情况说明</w:t>
      </w:r>
      <w:bookmarkEnd w:id="87"/>
      <w:bookmarkEnd w:id="88"/>
      <w:bookmarkEnd w:id="89"/>
      <w:bookmarkEnd w:id="90"/>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5"/>
          <w:rFonts w:ascii="黑体" w:hAnsi="黑体" w:eastAsia="黑体"/>
        </w:rPr>
      </w:pPr>
      <w:bookmarkStart w:id="91" w:name="_Toc79163624"/>
      <w:bookmarkStart w:id="92" w:name="_Toc15396612"/>
      <w:bookmarkStart w:id="93" w:name="_Toc79163874"/>
      <w:bookmarkStart w:id="94" w:name="_Toc15377221"/>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91"/>
      <w:bookmarkEnd w:id="92"/>
      <w:bookmarkEnd w:id="93"/>
      <w:bookmarkEnd w:id="94"/>
    </w:p>
    <w:p>
      <w:pPr>
        <w:spacing w:line="600" w:lineRule="exact"/>
        <w:ind w:firstLine="643" w:firstLineChars="200"/>
        <w:outlineLvl w:val="2"/>
        <w:rPr>
          <w:rFonts w:ascii="仿宋" w:hAnsi="仿宋" w:eastAsia="仿宋"/>
          <w:color w:val="000000"/>
          <w:sz w:val="32"/>
          <w:szCs w:val="32"/>
        </w:rPr>
      </w:pPr>
      <w:bookmarkStart w:id="95" w:name="_Toc79163625"/>
      <w:bookmarkStart w:id="96" w:name="_Toc79163875"/>
      <w:bookmarkStart w:id="97" w:name="_Toc15377222"/>
      <w:r>
        <w:rPr>
          <w:rFonts w:hint="eastAsia" w:ascii="仿宋" w:hAnsi="仿宋" w:eastAsia="仿宋"/>
          <w:b/>
          <w:color w:val="000000"/>
          <w:sz w:val="32"/>
          <w:szCs w:val="32"/>
        </w:rPr>
        <w:t>（一）机关运行经费支出情况</w:t>
      </w:r>
      <w:bookmarkEnd w:id="95"/>
      <w:bookmarkEnd w:id="96"/>
      <w:bookmarkEnd w:id="97"/>
    </w:p>
    <w:p>
      <w:pPr>
        <w:spacing w:line="600" w:lineRule="exact"/>
        <w:ind w:firstLine="640" w:firstLineChars="200"/>
        <w:rPr>
          <w:rFonts w:hint="default" w:ascii="仿宋_GB2312" w:eastAsia="仿宋_GB2312"/>
          <w:color w:val="000000"/>
          <w:sz w:val="32"/>
          <w:szCs w:val="32"/>
          <w:lang w:val="en-US" w:eastAsia="zh-CN"/>
        </w:rPr>
      </w:pPr>
      <w:r>
        <w:rPr>
          <w:rFonts w:ascii="仿宋_GB2312" w:eastAsia="仿宋_GB2312"/>
          <w:color w:val="000000"/>
          <w:sz w:val="32"/>
          <w:szCs w:val="32"/>
        </w:rPr>
        <w:t>2020</w:t>
      </w:r>
      <w:r>
        <w:rPr>
          <w:rFonts w:hint="eastAsia" w:ascii="仿宋_GB2312" w:eastAsia="仿宋_GB2312"/>
          <w:color w:val="000000"/>
          <w:sz w:val="32"/>
          <w:szCs w:val="32"/>
        </w:rPr>
        <w:t>年，机关运行经费支出</w:t>
      </w:r>
      <w:r>
        <w:rPr>
          <w:rFonts w:hint="eastAsia" w:ascii="仿宋_GB2312" w:eastAsia="仿宋_GB2312"/>
          <w:color w:val="000000"/>
          <w:sz w:val="32"/>
          <w:szCs w:val="32"/>
          <w:lang w:val="en-US" w:eastAsia="zh-CN"/>
        </w:rPr>
        <w:t>10.6</w:t>
      </w:r>
      <w:r>
        <w:rPr>
          <w:rFonts w:hint="eastAsia" w:ascii="仿宋_GB2312" w:eastAsia="仿宋_GB2312"/>
          <w:color w:val="000000"/>
          <w:sz w:val="32"/>
          <w:szCs w:val="32"/>
        </w:rPr>
        <w:t>万元，比</w:t>
      </w:r>
      <w:r>
        <w:rPr>
          <w:rFonts w:ascii="仿宋_GB2312" w:eastAsia="仿宋_GB2312"/>
          <w:color w:val="000000"/>
          <w:sz w:val="32"/>
          <w:szCs w:val="32"/>
        </w:rPr>
        <w:t>2019</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4.03</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61</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2019年我会保险未缴纳完成，2020年补缴2019年保险等。</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8" w:name="_Toc79163626"/>
      <w:bookmarkStart w:id="99" w:name="_Toc15377223"/>
      <w:bookmarkStart w:id="100" w:name="_Toc79163876"/>
      <w:r>
        <w:rPr>
          <w:rFonts w:hint="eastAsia" w:ascii="仿宋" w:hAnsi="仿宋" w:eastAsia="仿宋"/>
          <w:b/>
          <w:color w:val="000000"/>
          <w:sz w:val="32"/>
          <w:szCs w:val="32"/>
        </w:rPr>
        <w:t>（二）政府采购支出情况</w:t>
      </w:r>
      <w:bookmarkEnd w:id="98"/>
      <w:bookmarkEnd w:id="99"/>
      <w:bookmarkEnd w:id="100"/>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1" w:name="_Toc79163877"/>
      <w:bookmarkStart w:id="102" w:name="_Toc79163627"/>
      <w:bookmarkStart w:id="103" w:name="_Toc15377224"/>
      <w:r>
        <w:rPr>
          <w:rFonts w:hint="eastAsia" w:ascii="仿宋" w:hAnsi="仿宋" w:eastAsia="仿宋"/>
          <w:b/>
          <w:color w:val="000000"/>
          <w:sz w:val="32"/>
          <w:szCs w:val="32"/>
        </w:rPr>
        <w:t>（三）国有资产占有使用情况</w:t>
      </w:r>
      <w:bookmarkEnd w:id="101"/>
      <w:bookmarkEnd w:id="102"/>
      <w:bookmarkEnd w:id="103"/>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日，县妇联共有车辆1辆，其中：主要领导干部用车0辆、机要通信用车0辆、应急保障用车0辆、其他用车1辆。</w:t>
      </w:r>
      <w:r>
        <w:rPr>
          <w:rFonts w:hint="eastAsia" w:ascii="仿宋_GB2312" w:eastAsia="仿宋_GB2312"/>
          <w:color w:val="000000" w:themeColor="text1"/>
          <w:sz w:val="32"/>
          <w:szCs w:val="32"/>
          <w14:textFill>
            <w14:solidFill>
              <w14:schemeClr w14:val="tx1"/>
            </w14:solidFill>
          </w14:textFill>
        </w:rPr>
        <w:t>其他用车主要是用于妇联姐妹宣讲团宣讲工作及妇联日常工作。</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4" w:name="_Toc79163878"/>
      <w:bookmarkStart w:id="105" w:name="_Toc79163628"/>
      <w:r>
        <w:rPr>
          <w:rFonts w:hint="eastAsia" w:ascii="仿宋" w:hAnsi="仿宋" w:eastAsia="仿宋"/>
          <w:b/>
          <w:color w:val="000000"/>
          <w:sz w:val="32"/>
          <w:szCs w:val="32"/>
        </w:rPr>
        <w:t>（四）预算绩效管理情况。</w:t>
      </w:r>
      <w:bookmarkEnd w:id="104"/>
      <w:bookmarkEnd w:id="105"/>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auto"/>
          <w:sz w:val="32"/>
          <w:szCs w:val="32"/>
        </w:rPr>
        <w:t>根据预算绩效管理要求，本部门（单位）在年初预算编制阶段，组织对妇女儿童办公室办公经费项目、姐妹宣讲团工作经费项目开展了预算事前绩效评估，对</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个项目编制了绩效目标，预算执行过程中，选取</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个项目开展绩效监控，年终执行完毕后，对</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个项目开展了绩效目标完成情况自评</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本部门按要求对</w:t>
      </w:r>
      <w:r>
        <w:rPr>
          <w:rFonts w:hint="eastAsia" w:ascii="仿宋_GB2312" w:hAnsi="仿宋_GB2312" w:eastAsia="仿宋_GB2312" w:cs="仿宋_GB2312"/>
          <w:color w:val="auto"/>
          <w:sz w:val="32"/>
          <w:szCs w:val="32"/>
          <w:lang w:val="en-US" w:eastAsia="zh-CN"/>
        </w:rPr>
        <w:t>2020</w:t>
      </w:r>
      <w:r>
        <w:rPr>
          <w:rFonts w:hint="eastAsia" w:ascii="仿宋_GB2312" w:hAnsi="仿宋_GB2312" w:eastAsia="仿宋_GB2312" w:cs="仿宋_GB2312"/>
          <w:color w:val="auto"/>
          <w:sz w:val="32"/>
          <w:szCs w:val="32"/>
        </w:rPr>
        <w:t>年部门整体支出开展绩效自评，从评价情况来看本部门对</w:t>
      </w:r>
      <w:r>
        <w:rPr>
          <w:rFonts w:hint="eastAsia" w:ascii="仿宋_GB2312" w:hAnsi="仿宋_GB2312" w:eastAsia="仿宋_GB2312" w:cs="仿宋_GB2312"/>
          <w:color w:val="auto"/>
          <w:sz w:val="32"/>
          <w:szCs w:val="32"/>
          <w:lang w:val="en-US" w:eastAsia="zh-CN"/>
        </w:rPr>
        <w:t>2020</w:t>
      </w:r>
      <w:r>
        <w:rPr>
          <w:rFonts w:hint="eastAsia" w:ascii="仿宋_GB2312" w:hAnsi="仿宋_GB2312" w:eastAsia="仿宋_GB2312" w:cs="仿宋_GB2312"/>
          <w:color w:val="auto"/>
          <w:sz w:val="32"/>
          <w:szCs w:val="32"/>
        </w:rPr>
        <w:t>年整体支出开展绩效自评，自评得分99分，评价情况</w:t>
      </w:r>
      <w:r>
        <w:rPr>
          <w:rFonts w:hint="eastAsia" w:ascii="仿宋_GB2312" w:hAnsi="仿宋_GB2312" w:eastAsia="仿宋_GB2312" w:cs="仿宋_GB2312"/>
          <w:color w:val="auto"/>
          <w:sz w:val="32"/>
          <w:szCs w:val="32"/>
          <w:shd w:val="clear" w:color="auto" w:fill="FFFFFF"/>
        </w:rPr>
        <w:t>总体绩效目标明确，决策依据充分，资金分配科学合理，部门总体情况良好，预算编制质量较好，预算信息公开符合要求；预算执行进度良好，财务制度健全，会计核算总体规范、准确；项目在实施过程中严格执行有关制度规定，基本达到了预期效果</w:t>
      </w:r>
      <w:r>
        <w:rPr>
          <w:rFonts w:hint="eastAsia" w:ascii="仿宋_GB2312" w:hAnsi="仿宋_GB2312" w:eastAsia="仿宋_GB2312" w:cs="仿宋_GB2312"/>
          <w:color w:val="auto"/>
          <w:sz w:val="32"/>
          <w:szCs w:val="32"/>
        </w:rPr>
        <w:t>，存在的问题：一是</w:t>
      </w:r>
      <w:r>
        <w:rPr>
          <w:rFonts w:hint="eastAsia" w:ascii="仿宋_GB2312" w:hAnsi="仿宋_GB2312" w:eastAsia="仿宋_GB2312" w:cs="仿宋_GB2312"/>
          <w:color w:val="auto"/>
          <w:sz w:val="32"/>
          <w:szCs w:val="32"/>
          <w:shd w:val="clear" w:color="auto" w:fill="FFFFFF"/>
        </w:rPr>
        <w:t>部门特性目标待完善，二是是机制待完善。下一步改进措施：一是加强学习进一步规范，二是完善各项目机制</w:t>
      </w:r>
      <w:r>
        <w:rPr>
          <w:rFonts w:hint="eastAsia" w:ascii="仿宋_GB2312" w:hAnsi="仿宋_GB2312" w:eastAsia="仿宋_GB2312" w:cs="仿宋_GB2312"/>
          <w:color w:val="auto"/>
          <w:sz w:val="32"/>
          <w:szCs w:val="32"/>
        </w:rPr>
        <w:t>。</w:t>
      </w:r>
    </w:p>
    <w:p>
      <w:pPr>
        <w:numPr>
          <w:ilvl w:val="0"/>
          <w:numId w:val="0"/>
        </w:numPr>
        <w:spacing w:line="580" w:lineRule="exact"/>
        <w:ind w:firstLine="640"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val="en-US" w:eastAsia="zh-CN"/>
        </w:rPr>
        <w:t>1.</w:t>
      </w:r>
      <w:r>
        <w:rPr>
          <w:rFonts w:hint="eastAsia" w:ascii="楷体_GB2312" w:hAnsi="楷体_GB2312" w:eastAsia="楷体_GB2312" w:cs="楷体_GB2312"/>
          <w:sz w:val="32"/>
          <w:szCs w:val="32"/>
        </w:rPr>
        <w:t>项目绩效目标完成情况。</w:t>
      </w:r>
    </w:p>
    <w:p>
      <w:pPr>
        <w:numPr>
          <w:ilvl w:val="0"/>
          <w:numId w:val="0"/>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本部门在</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年度部门决算中反映“姐妹宣讲团工作经费</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个项目绩效目标实际完成情况。</w:t>
      </w:r>
    </w:p>
    <w:p>
      <w:pPr>
        <w:spacing w:line="580" w:lineRule="exact"/>
        <w:ind w:firstLine="640" w:firstLineChars="200"/>
      </w:pPr>
      <w:r>
        <w:rPr>
          <w:rFonts w:hint="eastAsia" w:ascii="仿宋_GB2312" w:hAnsi="仿宋_GB2312" w:eastAsia="仿宋_GB2312" w:cs="仿宋_GB2312"/>
          <w:sz w:val="32"/>
          <w:szCs w:val="32"/>
        </w:rPr>
        <w:t>“姐妹宣讲团工作经费</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7.1</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71</w:t>
      </w:r>
      <w:r>
        <w:rPr>
          <w:rFonts w:hint="eastAsia" w:ascii="仿宋_GB2312" w:hAnsi="仿宋_GB2312" w:eastAsia="仿宋_GB2312" w:cs="仿宋_GB2312"/>
          <w:sz w:val="32"/>
          <w:szCs w:val="32"/>
        </w:rPr>
        <w:t>%。通过项目实施，保障各乡镇妇女了解到各项会议精神及法律法规政策，维护社会安定。姐妹宣讲团每年深入各乡镇、村（社区）及远牧点开展宣讲工作，并为广大妇女群众购买卫生用品。发现的主要问题：无。下一步改进措施：无。</w:t>
      </w:r>
    </w:p>
    <w:p>
      <w:pPr>
        <w:spacing w:line="580" w:lineRule="exact"/>
        <w:ind w:firstLine="640" w:firstLineChars="200"/>
        <w:rPr>
          <w:rFonts w:ascii="仿宋_GB2312" w:hAnsi="仿宋_GB2312" w:eastAsia="仿宋_GB2312" w:cs="仿宋_GB2312"/>
          <w:sz w:val="32"/>
          <w:szCs w:val="32"/>
        </w:rPr>
      </w:pPr>
    </w:p>
    <w:tbl>
      <w:tblPr>
        <w:tblStyle w:val="20"/>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宋体" w:cs="宋体"/>
                <w:b/>
                <w:bCs/>
                <w:color w:val="000000"/>
                <w:kern w:val="0"/>
                <w:sz w:val="36"/>
                <w:szCs w:val="36"/>
                <w:lang w:eastAsia="zh-CN" w:bidi="ar"/>
              </w:rPr>
            </w:pPr>
            <w:r>
              <w:rPr>
                <w:rFonts w:hint="eastAsia" w:ascii="宋体" w:hAnsi="宋体" w:cs="宋体"/>
                <w:b/>
                <w:bCs/>
                <w:color w:val="000000"/>
                <w:kern w:val="0"/>
                <w:sz w:val="36"/>
                <w:szCs w:val="36"/>
                <w:lang w:bidi="ar"/>
              </w:rPr>
              <w:t>项目绩效目标完成情况表</w:t>
            </w:r>
          </w:p>
          <w:p>
            <w:pPr>
              <w:widowControl/>
              <w:jc w:val="center"/>
              <w:textAlignment w:val="center"/>
              <w:rPr>
                <w:rFonts w:ascii="宋体" w:cs="宋体"/>
                <w:color w:val="000000"/>
                <w:sz w:val="36"/>
                <w:szCs w:val="36"/>
              </w:rPr>
            </w:pPr>
            <w:r>
              <w:rPr>
                <w:rFonts w:ascii="宋体" w:hAnsi="宋体" w:cs="宋体"/>
                <w:color w:val="000000"/>
                <w:kern w:val="0"/>
                <w:sz w:val="36"/>
                <w:szCs w:val="36"/>
                <w:lang w:bidi="ar"/>
              </w:rPr>
              <w:t>(2020</w:t>
            </w:r>
            <w:r>
              <w:rPr>
                <w:rFonts w:hint="eastAsia" w:ascii="宋体" w:hAnsi="宋体" w:cs="宋体"/>
                <w:color w:val="000000"/>
                <w:kern w:val="0"/>
                <w:sz w:val="36"/>
                <w:szCs w:val="36"/>
                <w:lang w:bidi="ar"/>
              </w:rPr>
              <w:t>年度</w:t>
            </w:r>
            <w:r>
              <w:rPr>
                <w:rFonts w:ascii="宋体" w:hAnsi="宋体" w:cs="宋体"/>
                <w:color w:val="000000"/>
                <w:kern w:val="0"/>
                <w:sz w:val="36"/>
                <w:szCs w:val="36"/>
                <w:lang w:bidi="ar"/>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eastAsia="仿宋_GB2312" w:cs="仿宋_GB2312"/>
                <w:sz w:val="32"/>
                <w:szCs w:val="32"/>
              </w:rPr>
              <w:t>“2012902-姐妹宣讲团工作经费”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b/>
                <w:color w:val="000000"/>
                <w:sz w:val="24"/>
              </w:rPr>
              <w:t>红原县妇女联合会</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预算执行情况</w:t>
            </w:r>
            <w:r>
              <w:rPr>
                <w:rFonts w:ascii="宋体" w:hAnsi="宋体" w:cs="宋体"/>
                <w:color w:val="000000"/>
                <w:kern w:val="0"/>
                <w:sz w:val="24"/>
                <w:lang w:bidi="ar"/>
              </w:rPr>
              <w:t>(</w:t>
            </w:r>
            <w:r>
              <w:rPr>
                <w:rFonts w:hint="eastAsia" w:ascii="宋体" w:hAnsi="宋体" w:cs="宋体"/>
                <w:color w:val="000000"/>
                <w:kern w:val="0"/>
                <w:sz w:val="24"/>
                <w:lang w:bidi="ar"/>
              </w:rPr>
              <w:t>万元</w:t>
            </w:r>
            <w:r>
              <w:rPr>
                <w:rFonts w:ascii="宋体" w:hAnsi="宋体" w:cs="宋体"/>
                <w:color w:val="000000"/>
                <w:kern w:val="0"/>
                <w:sz w:val="24"/>
                <w:lang w:bidi="ar"/>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执行数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1.6</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1.6</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100%</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100%</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完成质量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符合绩效目标设定的验收标准，达到行业基准水平</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hint="eastAsia" w:ascii="宋体" w:hAnsi="宋体" w:eastAsia="宋体" w:cs="宋体"/>
                <w:color w:val="000000"/>
                <w:sz w:val="24"/>
                <w:lang w:val="en-US" w:eastAsia="zh-CN"/>
              </w:rPr>
            </w:pPr>
            <w:r>
              <w:rPr>
                <w:rFonts w:hint="eastAsia" w:ascii="宋体" w:hAnsi="宋体" w:eastAsia="宋体" w:cs="宋体"/>
                <w:color w:val="000000"/>
                <w:sz w:val="20"/>
                <w:szCs w:val="20"/>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hint="eastAsia" w:ascii="宋体" w:hAnsi="宋体" w:eastAsia="宋体" w:cs="宋体"/>
                <w:color w:val="000000"/>
                <w:sz w:val="24"/>
                <w:lang w:val="en-US" w:eastAsia="zh-CN"/>
              </w:rPr>
            </w:pPr>
            <w:r>
              <w:rPr>
                <w:rFonts w:hint="eastAsia" w:ascii="宋体" w:hAnsi="宋体" w:eastAsia="宋体" w:cs="宋体"/>
                <w:color w:val="000000"/>
                <w:sz w:val="20"/>
                <w:szCs w:val="20"/>
              </w:rPr>
              <w:t>100%</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完成时效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（实际完成时间-绩效目标设定完成时间）/绩效目标设定完成时间×100%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hint="eastAsia" w:ascii="宋体" w:hAnsi="宋体" w:eastAsia="宋体" w:cs="宋体"/>
                <w:color w:val="000000"/>
                <w:sz w:val="24"/>
                <w:lang w:val="en-US" w:eastAsia="zh-CN"/>
              </w:rPr>
            </w:pPr>
            <w:r>
              <w:rPr>
                <w:rFonts w:hint="eastAsia" w:ascii="宋体" w:hAnsi="宋体" w:eastAsia="宋体" w:cs="宋体"/>
                <w:color w:val="000000"/>
                <w:sz w:val="20"/>
                <w:szCs w:val="20"/>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hint="eastAsia" w:ascii="宋体" w:hAnsi="宋体" w:eastAsia="宋体" w:cs="宋体"/>
                <w:color w:val="000000"/>
                <w:sz w:val="24"/>
                <w:lang w:val="en-US" w:eastAsia="zh-CN"/>
              </w:rPr>
            </w:pPr>
            <w:r>
              <w:rPr>
                <w:rFonts w:hint="eastAsia" w:ascii="宋体" w:hAnsi="宋体" w:eastAsia="宋体" w:cs="宋体"/>
                <w:color w:val="000000"/>
                <w:sz w:val="20"/>
                <w:szCs w:val="20"/>
              </w:rPr>
              <w:t>100%</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0"/>
                <w:szCs w:val="20"/>
                <w:lang w:bidi="ar"/>
              </w:rPr>
              <w:t>完成数量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0"/>
                <w:szCs w:val="20"/>
                <w:lang w:bidi="ar"/>
              </w:rPr>
              <w:t>实际完成任务量/绩效目标设定任务量×100%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0"/>
                <w:szCs w:val="20"/>
                <w:lang w:bidi="ar"/>
              </w:rPr>
              <w:t>经济效益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0"/>
                <w:szCs w:val="20"/>
                <w:lang w:bidi="ar"/>
              </w:rPr>
              <w:t>反映相关产出对经济社会发展带来的影响和效果，根据项目实际细化具体指标。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sz w:val="24"/>
                <w:lang w:val="en-US" w:eastAsia="zh-CN"/>
              </w:rPr>
              <w:t>100%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0"/>
                <w:szCs w:val="20"/>
                <w:lang w:bidi="ar"/>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0"/>
                <w:szCs w:val="20"/>
                <w:lang w:bidi="ar"/>
              </w:rPr>
              <w:t>反映相关产出对社会发展带来的影响和效果，根据项目实际细化具体指标。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sz w:val="24"/>
                <w:lang w:val="en-US" w:eastAsia="zh-CN"/>
              </w:rPr>
              <w:t>100%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kern w:val="0"/>
                <w:sz w:val="24"/>
                <w:lang w:val="en-US" w:eastAsia="zh-CN" w:bidi="ar"/>
              </w:rPr>
            </w:pPr>
            <w:r>
              <w:rPr>
                <w:rFonts w:hint="eastAsia" w:ascii="宋体" w:cs="宋体"/>
                <w:color w:val="000000"/>
                <w:kern w:val="0"/>
                <w:sz w:val="24"/>
                <w:lang w:val="en-US"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0"/>
                <w:szCs w:val="20"/>
                <w:lang w:bidi="ar"/>
              </w:rPr>
              <w:t>可持续效益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0"/>
                <w:szCs w:val="20"/>
                <w:lang w:bidi="ar"/>
              </w:rPr>
              <w:t>反映相关产出带来影响的可持续期限，根据项目实际细化具体指标。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sz w:val="24"/>
                <w:lang w:val="en-US" w:eastAsia="zh-CN"/>
              </w:rPr>
              <w:t>100%</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0"/>
                <w:szCs w:val="20"/>
                <w:lang w:bidi="ar"/>
              </w:rPr>
              <w:t>反映相关产出带来影响的可持续期限，根据项目实际细化具体指标。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0"/>
                <w:szCs w:val="20"/>
                <w:lang w:bidi="ar"/>
              </w:rPr>
              <w:t>反映服务对象或项目受益人对相关产出及其影响的认可程度，根据项目实际细化具体指标。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sz w:val="24"/>
                <w:lang w:val="en-US" w:eastAsia="zh-CN"/>
              </w:rPr>
              <w:t>100%</w:t>
            </w:r>
          </w:p>
        </w:tc>
      </w:tr>
    </w:tbl>
    <w:p>
      <w:pPr>
        <w:spacing w:line="580" w:lineRule="exact"/>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年部门整体支出绩效评价情况开展自评，《红原县妇联部门部门</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widowControl/>
        <w:ind w:firstLine="640" w:firstLineChars="200"/>
        <w:jc w:val="left"/>
        <w:rPr>
          <w:rFonts w:ascii="仿宋_GB2312" w:eastAsia="仿宋_GB2312"/>
          <w:b/>
          <w:color w:val="000000"/>
          <w:sz w:val="32"/>
          <w:szCs w:val="32"/>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val="en-US" w:eastAsia="zh-CN"/>
        </w:rPr>
        <w:t>姐妹宣讲团工作进行</w:t>
      </w:r>
      <w:r>
        <w:rPr>
          <w:rFonts w:hint="eastAsia" w:ascii="仿宋_GB2312" w:hAnsi="仿宋_GB2312" w:eastAsia="仿宋_GB2312" w:cs="仿宋_GB2312"/>
          <w:sz w:val="32"/>
          <w:szCs w:val="32"/>
        </w:rPr>
        <w:t>项目开展了绩效评价，《</w:t>
      </w:r>
      <w:r>
        <w:rPr>
          <w:rFonts w:hint="eastAsia" w:ascii="仿宋_GB2312" w:hAnsi="仿宋_GB2312" w:eastAsia="仿宋_GB2312" w:cs="仿宋_GB2312"/>
          <w:sz w:val="32"/>
          <w:szCs w:val="32"/>
          <w:lang w:val="en-US" w:eastAsia="zh-CN"/>
        </w:rPr>
        <w:t>姐妹宣讲团工作经费</w:t>
      </w:r>
      <w:r>
        <w:rPr>
          <w:rFonts w:hint="eastAsia" w:ascii="仿宋_GB2312" w:hAnsi="仿宋_GB2312" w:eastAsia="仿宋_GB2312" w:cs="仿宋_GB2312"/>
          <w:sz w:val="32"/>
          <w:szCs w:val="32"/>
        </w:rPr>
        <w:t>项目</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年绩效评价报告》见附件（附件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p>
    <w:p>
      <w:pPr>
        <w:numPr>
          <w:ilvl w:val="0"/>
          <w:numId w:val="3"/>
        </w:numPr>
        <w:spacing w:line="600" w:lineRule="exact"/>
        <w:ind w:firstLine="660" w:firstLineChars="150"/>
        <w:jc w:val="center"/>
        <w:outlineLvl w:val="0"/>
        <w:rPr>
          <w:rStyle w:val="24"/>
          <w:rFonts w:ascii="黑体" w:hAnsi="黑体" w:eastAsia="黑体"/>
          <w:b w:val="0"/>
        </w:rPr>
      </w:pPr>
      <w:bookmarkStart w:id="106" w:name="_Toc79163879"/>
      <w:bookmarkStart w:id="107" w:name="_Toc15396613"/>
      <w:bookmarkStart w:id="108" w:name="_Toc79163629"/>
      <w:bookmarkStart w:id="109" w:name="_Toc15377225"/>
      <w:r>
        <w:rPr>
          <w:rFonts w:hint="eastAsia" w:ascii="黑体" w:hAnsi="黑体" w:eastAsia="黑体"/>
          <w:color w:val="000000"/>
          <w:sz w:val="44"/>
          <w:szCs w:val="44"/>
        </w:rPr>
        <w:t>名</w:t>
      </w:r>
      <w:r>
        <w:rPr>
          <w:rStyle w:val="24"/>
          <w:rFonts w:hint="eastAsia" w:ascii="黑体" w:hAnsi="黑体" w:eastAsia="黑体"/>
          <w:b w:val="0"/>
        </w:rPr>
        <w:t>词解释</w:t>
      </w:r>
      <w:bookmarkEnd w:id="106"/>
      <w:bookmarkEnd w:id="107"/>
      <w:bookmarkEnd w:id="108"/>
      <w:bookmarkEnd w:id="109"/>
    </w:p>
    <w:p>
      <w:pPr>
        <w:spacing w:line="600" w:lineRule="exact"/>
        <w:jc w:val="left"/>
        <w:rPr>
          <w:rFonts w:ascii="宋体"/>
          <w:b/>
          <w:color w:val="000000"/>
          <w:sz w:val="44"/>
          <w:szCs w:val="44"/>
        </w:rPr>
      </w:pPr>
    </w:p>
    <w:p>
      <w:pPr>
        <w:pStyle w:val="34"/>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4"/>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pPr>
        <w:pStyle w:val="34"/>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pPr>
        <w:pStyle w:val="34"/>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34"/>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4"/>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4"/>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4"/>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hAnsi="仿宋_GB2312" w:eastAsia="仿宋_GB2312" w:cs="仿宋_GB2312"/>
          <w:color w:val="000000"/>
          <w:sz w:val="32"/>
          <w:szCs w:val="32"/>
        </w:rPr>
      </w:pPr>
      <w:r>
        <w:rPr>
          <w:rFonts w:hint="eastAsia" w:ascii="仿宋_GB2312" w:eastAsia="仿宋_GB2312"/>
          <w:color w:val="000000"/>
          <w:sz w:val="32"/>
          <w:szCs w:val="32"/>
        </w:rPr>
        <w:t>6</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hAnsi="仿宋_GB2312" w:eastAsia="仿宋_GB2312" w:cs="仿宋_GB2312"/>
          <w:color w:val="000000"/>
          <w:sz w:val="32"/>
          <w:szCs w:val="32"/>
        </w:rPr>
        <w:t>2012901-行政运行支出该支出主要用于支付职工工资、退休费以及公务运行费.</w:t>
      </w:r>
    </w:p>
    <w:p>
      <w:pPr>
        <w:pStyle w:val="19"/>
        <w:widowControl/>
        <w:spacing w:before="0" w:beforeAutospacing="0" w:after="0" w:afterAutospacing="0" w:line="528"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7</w:t>
      </w:r>
      <w:r>
        <w:rPr>
          <w:rFonts w:ascii="仿宋_GB2312" w:eastAsia="仿宋_GB2312"/>
          <w:color w:val="000000"/>
          <w:sz w:val="32"/>
          <w:szCs w:val="32"/>
        </w:rPr>
        <w:t>.</w:t>
      </w:r>
      <w:r>
        <w:rPr>
          <w:rFonts w:hint="eastAsia" w:ascii="仿宋_GB2312" w:eastAsia="仿宋_GB2312"/>
          <w:color w:val="000000"/>
          <w:sz w:val="32"/>
          <w:szCs w:val="32"/>
        </w:rPr>
        <w:t>社会保障和就业</w:t>
      </w:r>
      <w:r>
        <w:rPr>
          <w:rFonts w:hint="eastAsia" w:ascii="仿宋_GB2312" w:hAnsi="仿宋_GB2312" w:eastAsia="仿宋_GB2312" w:cs="仿宋_GB2312"/>
          <w:color w:val="000000"/>
          <w:kern w:val="2"/>
          <w:sz w:val="32"/>
          <w:szCs w:val="32"/>
        </w:rPr>
        <w:t>2080505-机关事业单位基本养老保险缴费该支出主要用于支付职工养老保险金；2080506-机关事业单位职业年金缴费，该支出主要用于支付职工职业年金</w:t>
      </w:r>
      <w:r>
        <w:rPr>
          <w:rFonts w:hint="eastAsia" w:ascii="仿宋_GB2312" w:eastAsia="仿宋_GB2312"/>
          <w:color w:val="000000"/>
          <w:sz w:val="32"/>
          <w:szCs w:val="32"/>
        </w:rPr>
        <w:t>：</w:t>
      </w:r>
    </w:p>
    <w:p>
      <w:pPr>
        <w:pStyle w:val="19"/>
        <w:widowControl/>
        <w:spacing w:before="0" w:beforeAutospacing="0" w:after="0" w:afterAutospacing="0" w:line="528"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olor w:val="000000"/>
          <w:sz w:val="32"/>
          <w:szCs w:val="32"/>
        </w:rPr>
        <w:t>医疗卫生与计划生育</w:t>
      </w:r>
      <w:r>
        <w:rPr>
          <w:rFonts w:hint="eastAsia" w:ascii="仿宋_GB2312" w:hAnsi="仿宋_GB2312" w:eastAsia="仿宋_GB2312" w:cs="仿宋_GB2312"/>
          <w:color w:val="000000"/>
          <w:kern w:val="2"/>
          <w:sz w:val="32"/>
          <w:szCs w:val="32"/>
        </w:rPr>
        <w:t>2100409-重大公共卫生专项支出，该支出主要用于支付“两癌”患者医疗救助金；2101101-行政单位医疗支出，该支出主要用于支付职工医疗保险金。</w:t>
      </w:r>
    </w:p>
    <w:p>
      <w:pPr>
        <w:ind w:firstLine="640" w:firstLineChars="200"/>
        <w:rPr>
          <w:rFonts w:ascii="仿宋_GB2312" w:hAnsi="仿宋_GB2312" w:eastAsia="仿宋_GB2312" w:cs="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olor w:val="000000"/>
          <w:sz w:val="32"/>
          <w:szCs w:val="32"/>
        </w:rPr>
        <w:t>住房保障</w:t>
      </w:r>
      <w:r>
        <w:rPr>
          <w:rFonts w:hint="eastAsia" w:ascii="仿宋_GB2312" w:hAnsi="仿宋_GB2312" w:eastAsia="仿宋_GB2312" w:cs="仿宋_GB2312"/>
          <w:color w:val="000000"/>
          <w:sz w:val="32"/>
          <w:szCs w:val="32"/>
        </w:rPr>
        <w:t>2210201-住房公积金支出，该支出主要用于支付职工住房公积金。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34"/>
        <w:spacing w:line="560" w:lineRule="exact"/>
        <w:ind w:firstLine="640" w:firstLineChars="200"/>
        <w:rPr>
          <w:rFonts w:ascii="仿宋_GB2312" w:eastAsia="仿宋_GB2312"/>
          <w:sz w:val="32"/>
          <w:szCs w:val="32"/>
        </w:rPr>
      </w:pPr>
      <w:r>
        <w:rPr>
          <w:rFonts w:hint="eastAsia" w:ascii="仿宋_GB2312" w:eastAsia="仿宋_GB2312"/>
          <w:sz w:val="32"/>
          <w:szCs w:val="32"/>
        </w:rPr>
        <w:t>13</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4"/>
        <w:spacing w:line="560" w:lineRule="exact"/>
        <w:ind w:firstLine="640" w:firstLineChars="200"/>
        <w:rPr>
          <w:rFonts w:ascii="仿宋_GB2312" w:eastAsia="仿宋_GB2312"/>
          <w:sz w:val="32"/>
          <w:szCs w:val="32"/>
        </w:rPr>
      </w:pPr>
      <w:r>
        <w:rPr>
          <w:rFonts w:hint="eastAsia" w:ascii="仿宋_GB2312" w:eastAsia="仿宋_GB2312"/>
          <w:sz w:val="32"/>
          <w:szCs w:val="32"/>
        </w:rPr>
        <w:t>14</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（解释本部门决算报表中全部功能分类科目至项级，请参照《</w:t>
      </w:r>
      <w:r>
        <w:rPr>
          <w:rFonts w:ascii="仿宋" w:hAnsi="仿宋" w:eastAsia="仿宋"/>
          <w:b/>
          <w:color w:val="000000"/>
          <w:sz w:val="32"/>
          <w:szCs w:val="32"/>
        </w:rPr>
        <w:t>2020</w:t>
      </w:r>
      <w:r>
        <w:rPr>
          <w:rFonts w:hint="eastAsia" w:ascii="仿宋" w:hAnsi="仿宋" w:eastAsia="仿宋"/>
          <w:b/>
          <w:color w:val="000000"/>
          <w:sz w:val="32"/>
          <w:szCs w:val="32"/>
        </w:rPr>
        <w:t>年政府收支分类科目》增减内容。）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34"/>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4"/>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3" w:firstLineChars="200"/>
        <w:rPr>
          <w:rFonts w:ascii="仿宋" w:hAnsi="仿宋" w:eastAsia="仿宋"/>
          <w:b/>
          <w:color w:val="000000"/>
          <w:sz w:val="32"/>
          <w:szCs w:val="32"/>
        </w:rPr>
      </w:pPr>
      <w:r>
        <w:rPr>
          <w:rFonts w:hint="eastAsia" w:ascii="仿宋" w:hAnsi="仿宋" w:eastAsia="仿宋"/>
          <w:b/>
          <w:color w:val="000000"/>
          <w:sz w:val="32"/>
          <w:szCs w:val="32"/>
        </w:rPr>
        <w:t>（名词解释部分请根据各部门实际列支情况罗列，并根据本部门职责职能增减名词解释内容。）</w:t>
      </w:r>
    </w:p>
    <w:p>
      <w:pPr>
        <w:spacing w:line="600" w:lineRule="exact"/>
        <w:jc w:val="center"/>
        <w:outlineLvl w:val="0"/>
        <w:rPr>
          <w:rStyle w:val="24"/>
          <w:rFonts w:ascii="黑体" w:hAnsi="黑体" w:eastAsia="黑体"/>
          <w:b w:val="0"/>
        </w:rPr>
      </w:pPr>
      <w:bookmarkStart w:id="110" w:name="_Toc15377226"/>
      <w:r>
        <w:rPr>
          <w:rFonts w:ascii="宋体"/>
          <w:b/>
          <w:color w:val="000000"/>
          <w:sz w:val="44"/>
          <w:szCs w:val="44"/>
        </w:rPr>
        <w:br w:type="page"/>
      </w:r>
      <w:bookmarkStart w:id="111" w:name="_Toc15396614"/>
      <w:bookmarkStart w:id="112" w:name="_Toc79163630"/>
      <w:bookmarkStart w:id="113" w:name="_Toc79163880"/>
      <w:r>
        <w:rPr>
          <w:rFonts w:hint="eastAsia" w:ascii="黑体" w:hAnsi="黑体" w:eastAsia="黑体"/>
          <w:color w:val="000000"/>
          <w:sz w:val="44"/>
          <w:szCs w:val="44"/>
        </w:rPr>
        <w:t>第</w:t>
      </w:r>
      <w:r>
        <w:rPr>
          <w:rStyle w:val="24"/>
          <w:rFonts w:hint="eastAsia" w:ascii="黑体" w:hAnsi="黑体" w:eastAsia="黑体"/>
          <w:b w:val="0"/>
        </w:rPr>
        <w:t>四部分</w:t>
      </w:r>
      <w:r>
        <w:rPr>
          <w:rStyle w:val="24"/>
          <w:rFonts w:ascii="黑体" w:hAnsi="黑体" w:eastAsia="黑体"/>
          <w:b w:val="0"/>
        </w:rPr>
        <w:t xml:space="preserve"> </w:t>
      </w:r>
      <w:r>
        <w:rPr>
          <w:rStyle w:val="24"/>
          <w:rFonts w:hint="eastAsia" w:ascii="黑体" w:hAnsi="黑体" w:eastAsia="黑体"/>
          <w:b w:val="0"/>
        </w:rPr>
        <w:t>附件</w:t>
      </w:r>
      <w:bookmarkEnd w:id="111"/>
      <w:bookmarkEnd w:id="112"/>
      <w:bookmarkEnd w:id="113"/>
    </w:p>
    <w:p>
      <w:pPr>
        <w:spacing w:line="600" w:lineRule="exact"/>
        <w:jc w:val="left"/>
        <w:outlineLvl w:val="0"/>
        <w:rPr>
          <w:rFonts w:ascii="方正小标宋简体" w:hAnsi="方正小标宋简体" w:eastAsia="方正小标宋简体" w:cs="方正小标宋简体"/>
          <w:sz w:val="32"/>
          <w:szCs w:val="32"/>
        </w:rPr>
      </w:pPr>
      <w:bookmarkStart w:id="114" w:name="_Toc79163881"/>
      <w:bookmarkStart w:id="115" w:name="_Toc79163631"/>
      <w:r>
        <w:rPr>
          <w:rFonts w:hint="eastAsia" w:ascii="黑体" w:hAnsi="黑体" w:eastAsia="黑体" w:cs="黑体"/>
          <w:sz w:val="32"/>
          <w:szCs w:val="32"/>
        </w:rPr>
        <w:t>附件</w:t>
      </w:r>
      <w:r>
        <w:rPr>
          <w:rFonts w:ascii="黑体" w:hAnsi="黑体" w:eastAsia="黑体" w:cs="黑体"/>
          <w:sz w:val="32"/>
          <w:szCs w:val="32"/>
        </w:rPr>
        <w:t>1</w:t>
      </w:r>
      <w:bookmarkEnd w:id="114"/>
      <w:bookmarkEnd w:id="115"/>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ascii="方正小标宋简体" w:hAnsi="黑体" w:eastAsia="方正小标宋简体" w:cs="黑体"/>
          <w:sz w:val="44"/>
          <w:szCs w:val="44"/>
        </w:rPr>
      </w:pPr>
      <w:bookmarkStart w:id="116" w:name="_Toc79163882"/>
      <w:bookmarkStart w:id="117" w:name="_Toc79163632"/>
      <w:r>
        <w:rPr>
          <w:rFonts w:hint="eastAsia" w:ascii="方正小标宋简体" w:hAnsi="黑体" w:eastAsia="方正小标宋简体" w:cs="黑体"/>
          <w:sz w:val="44"/>
          <w:szCs w:val="44"/>
          <w:lang w:val="en-US" w:eastAsia="zh-CN"/>
        </w:rPr>
        <w:t>妇联</w:t>
      </w:r>
      <w:r>
        <w:rPr>
          <w:rFonts w:hint="eastAsia" w:ascii="方正小标宋简体" w:hAnsi="黑体" w:eastAsia="方正小标宋简体" w:cs="黑体"/>
          <w:sz w:val="44"/>
          <w:szCs w:val="44"/>
        </w:rPr>
        <w:t>部门</w:t>
      </w:r>
      <w:r>
        <w:rPr>
          <w:rFonts w:ascii="方正小标宋简体" w:hAnsi="黑体" w:eastAsia="方正小标宋简体" w:cs="黑体"/>
          <w:sz w:val="44"/>
          <w:szCs w:val="44"/>
        </w:rPr>
        <w:t>2020</w:t>
      </w:r>
      <w:r>
        <w:rPr>
          <w:rFonts w:hint="eastAsia" w:ascii="方正小标宋简体" w:hAnsi="黑体" w:eastAsia="方正小标宋简体" w:cs="黑体"/>
          <w:sz w:val="44"/>
          <w:szCs w:val="44"/>
        </w:rPr>
        <w:t>年部门整体支出绩效评价报告</w:t>
      </w:r>
      <w:bookmarkEnd w:id="116"/>
      <w:bookmarkEnd w:id="117"/>
    </w:p>
    <w:p>
      <w:pPr>
        <w:widowControl/>
        <w:spacing w:line="580" w:lineRule="exact"/>
        <w:ind w:firstLine="640" w:firstLineChars="200"/>
        <w:contextualSpacing/>
        <w:jc w:val="center"/>
        <w:rPr>
          <w:rFonts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（报告范围包括机关和下属单位）</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480" w:lineRule="exact"/>
        <w:ind w:firstLine="720"/>
        <w:jc w:val="left"/>
        <w:rPr>
          <w:rFonts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（一）机构组成。</w:t>
      </w:r>
    </w:p>
    <w:p>
      <w:pPr>
        <w:widowControl/>
        <w:adjustRightInd w:val="0"/>
        <w:snapToGrid w:val="0"/>
        <w:spacing w:line="480"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bCs/>
          <w:sz w:val="32"/>
          <w:szCs w:val="32"/>
        </w:rPr>
        <w:t>我单位为独立核算全额拨款行政单位</w:t>
      </w:r>
    </w:p>
    <w:p>
      <w:pPr>
        <w:widowControl/>
        <w:numPr>
          <w:ilvl w:val="0"/>
          <w:numId w:val="4"/>
        </w:numPr>
        <w:adjustRightInd w:val="0"/>
        <w:snapToGrid w:val="0"/>
        <w:spacing w:line="480" w:lineRule="exact"/>
        <w:ind w:firstLine="720"/>
        <w:jc w:val="left"/>
        <w:rPr>
          <w:rFonts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机构职能。</w:t>
      </w:r>
    </w:p>
    <w:p>
      <w:pPr>
        <w:pStyle w:val="19"/>
        <w:widowControl/>
        <w:shd w:val="clear" w:color="auto" w:fill="FFFFFF"/>
        <w:spacing w:before="0" w:beforeAutospacing="0" w:after="0" w:afterAutospacing="0" w:line="525" w:lineRule="atLeast"/>
        <w:ind w:firstLine="645"/>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（1）坚持正确的政治方向，团结、教育全县各族各界妇女以及各类妇女组织同党中央在思想上、政治上、行动上保持高度一致。</w:t>
      </w:r>
    </w:p>
    <w:p>
      <w:pPr>
        <w:pStyle w:val="19"/>
        <w:widowControl/>
        <w:shd w:val="clear" w:color="auto" w:fill="FFFFFF"/>
        <w:spacing w:before="0" w:beforeAutospacing="0" w:after="0" w:afterAutospacing="0" w:line="525" w:lineRule="atLeast"/>
        <w:ind w:firstLine="645"/>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(2）紧密围绕县委、县政府的中心任务开展工作，团结、动员、组织全县妇女群众参与经济社会发展，努力推进中方县妇女儿童事业的发展。</w:t>
      </w:r>
    </w:p>
    <w:p>
      <w:pPr>
        <w:pStyle w:val="19"/>
        <w:widowControl/>
        <w:shd w:val="clear" w:color="auto" w:fill="FFFFFF"/>
        <w:spacing w:before="0" w:beforeAutospacing="0" w:after="0" w:afterAutospacing="0" w:line="525" w:lineRule="atLeast"/>
        <w:ind w:firstLine="645"/>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(3)宣传马克思主义妇女观和男女平等思想，教育、引导妇女树立正确的世界观、人生观、价值观，弘扬“自尊、自信、自立、自强”的精神，积极开展对妇女的科技文化及生产劳动技能教育，全面提高妇女素质。</w:t>
      </w:r>
    </w:p>
    <w:p>
      <w:pPr>
        <w:pStyle w:val="19"/>
        <w:widowControl/>
        <w:shd w:val="clear" w:color="auto" w:fill="FFFFFF"/>
        <w:spacing w:before="0" w:beforeAutospacing="0" w:after="0" w:afterAutospacing="0" w:line="525" w:lineRule="atLeast"/>
        <w:ind w:firstLine="645"/>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(4)代表妇女参与社会事务的民主管理和民主监督；关注并积极研究涉及妇女切身利益的热点、难点问题，及时提出解决处理的建议；参与制定有关保护妇女儿童合法权益的政策并组织落实，切实维护妇女儿童合法权益。</w:t>
      </w:r>
    </w:p>
    <w:p>
      <w:pPr>
        <w:pStyle w:val="19"/>
        <w:widowControl/>
        <w:shd w:val="clear" w:color="auto" w:fill="FFFFFF"/>
        <w:spacing w:before="0" w:beforeAutospacing="0" w:after="0" w:afterAutospacing="0" w:line="525" w:lineRule="atLeast"/>
        <w:ind w:firstLine="645"/>
        <w:jc w:val="both"/>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(5)坚持为妇女儿童服务、为基层服务，加强与社会各界的联系，协调、推动社会各界为妇女儿童办好事、办实事。</w:t>
      </w:r>
    </w:p>
    <w:p>
      <w:pPr>
        <w:pStyle w:val="19"/>
        <w:widowControl/>
        <w:shd w:val="clear" w:color="auto" w:fill="FFFFFF"/>
        <w:spacing w:before="0" w:beforeAutospacing="0" w:after="0" w:afterAutospacing="0" w:line="525" w:lineRule="atLeast"/>
        <w:ind w:firstLine="645"/>
        <w:jc w:val="both"/>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(6)加强与社会各界妇女的联系，巩固和扩大各族各界妇女的大团结。</w:t>
      </w:r>
    </w:p>
    <w:p>
      <w:pPr>
        <w:pStyle w:val="19"/>
        <w:widowControl/>
        <w:shd w:val="clear" w:color="auto" w:fill="FFFFFF"/>
        <w:spacing w:before="0" w:beforeAutospacing="0" w:after="0" w:afterAutospacing="0" w:line="525" w:lineRule="atLeast"/>
        <w:ind w:firstLine="645"/>
        <w:jc w:val="both"/>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(7)加强妇联组织自身建设，指导建立健全各级妇联和基层妇女组织。指导各级妇女组织按照章程独立自主地开展工作。加强干部队伍建设，提高妇联干部的整体素质。</w:t>
      </w:r>
    </w:p>
    <w:p>
      <w:pPr>
        <w:pStyle w:val="19"/>
        <w:widowControl/>
        <w:shd w:val="clear" w:color="auto" w:fill="FFFFFF"/>
        <w:spacing w:before="0" w:beforeAutospacing="0" w:after="0" w:afterAutospacing="0" w:line="525" w:lineRule="atLeast"/>
        <w:ind w:firstLine="645"/>
        <w:jc w:val="both"/>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(8)承担县妇女儿童工作委员会的日常工作。</w:t>
      </w:r>
    </w:p>
    <w:p>
      <w:pPr>
        <w:pStyle w:val="19"/>
        <w:widowControl/>
        <w:shd w:val="clear" w:color="auto" w:fill="FFFFFF"/>
        <w:spacing w:before="0" w:beforeAutospacing="0" w:after="0" w:afterAutospacing="0" w:line="525" w:lineRule="atLeast"/>
        <w:ind w:firstLine="645"/>
        <w:jc w:val="both"/>
        <w:rPr>
          <w:rFonts w:ascii="仿宋_GB2312" w:hAnsi="仿宋_GB2312" w:eastAsia="仿宋_GB2312" w:cs="仿宋_GB2312"/>
          <w:bCs/>
          <w:kern w:val="2"/>
          <w:sz w:val="32"/>
          <w:szCs w:val="32"/>
          <w:lang w:val="zh-CN"/>
        </w:rPr>
      </w:pPr>
      <w:r>
        <w:rPr>
          <w:rFonts w:hint="eastAsia" w:ascii="仿宋_GB2312" w:hAnsi="仿宋_GB2312" w:eastAsia="仿宋_GB2312" w:cs="仿宋_GB2312"/>
          <w:bCs/>
          <w:kern w:val="2"/>
          <w:sz w:val="32"/>
          <w:szCs w:val="32"/>
        </w:rPr>
        <w:t>(9)承办县委、县政府和市妇联交办的其他事项。</w:t>
      </w:r>
    </w:p>
    <w:p>
      <w:pPr>
        <w:widowControl/>
        <w:adjustRightInd w:val="0"/>
        <w:snapToGrid w:val="0"/>
        <w:spacing w:line="480" w:lineRule="exact"/>
        <w:ind w:firstLine="720"/>
        <w:jc w:val="left"/>
        <w:rPr>
          <w:rFonts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（三）人员概况。</w:t>
      </w:r>
    </w:p>
    <w:p>
      <w:pPr>
        <w:widowControl/>
        <w:adjustRightInd w:val="0"/>
        <w:snapToGrid w:val="0"/>
        <w:spacing w:line="480" w:lineRule="exact"/>
        <w:ind w:firstLine="720"/>
        <w:jc w:val="both"/>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sz w:val="32"/>
          <w:szCs w:val="32"/>
        </w:rPr>
        <w:t>本单位上年末有编制人数6人、实有人数5人；本年度年末编制人数6人、实有人数5人。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snapToGrid w:val="0"/>
        <w:spacing w:line="520" w:lineRule="exact"/>
        <w:ind w:firstLine="640" w:firstLineChars="20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年红原县妇联本年收入合计105.31</w:t>
      </w:r>
      <w:r>
        <w:rPr>
          <w:rFonts w:hint="eastAsia" w:ascii="仿宋" w:hAnsi="仿宋" w:eastAsia="仿宋"/>
          <w:color w:val="000000"/>
          <w:sz w:val="32"/>
          <w:szCs w:val="32"/>
        </w:rPr>
        <w:t>万元。</w:t>
      </w:r>
      <w:r>
        <w:rPr>
          <w:rFonts w:hint="eastAsia" w:ascii="仿宋_GB2312" w:hAnsi="仿宋_GB2312" w:eastAsia="仿宋_GB2312" w:cs="仿宋_GB2312"/>
          <w:color w:val="000000"/>
          <w:sz w:val="32"/>
          <w:szCs w:val="32"/>
        </w:rPr>
        <w:t>其中：一般公共预算财政拨款收入105.31万</w:t>
      </w:r>
      <w:r>
        <w:rPr>
          <w:rFonts w:hint="eastAsia" w:ascii="仿宋_GB2312" w:hAnsi="仿宋_GB2312" w:eastAsia="仿宋_GB2312" w:cs="仿宋_GB2312"/>
          <w:sz w:val="32"/>
          <w:szCs w:val="32"/>
        </w:rPr>
        <w:t>元</w:t>
      </w:r>
      <w:r>
        <w:rPr>
          <w:rFonts w:hint="eastAsia" w:ascii="仿宋_GB2312" w:hAnsi="仿宋_GB2312" w:eastAsia="仿宋_GB2312" w:cs="仿宋_GB2312"/>
          <w:color w:val="000000"/>
          <w:sz w:val="32"/>
          <w:szCs w:val="32"/>
        </w:rPr>
        <w:t>，占100%。</w:t>
      </w:r>
    </w:p>
    <w:p>
      <w:pPr>
        <w:widowControl/>
        <w:numPr>
          <w:ilvl w:val="0"/>
          <w:numId w:val="4"/>
        </w:numPr>
        <w:adjustRightInd w:val="0"/>
        <w:snapToGrid w:val="0"/>
        <w:spacing w:line="480" w:lineRule="exact"/>
        <w:ind w:firstLine="720"/>
        <w:jc w:val="both"/>
        <w:rPr>
          <w:rFonts w:ascii="仿宋_GB2312" w:hAnsi="宋体" w:eastAsia="仿宋_GB2312" w:cs="宋体"/>
          <w:color w:val="000000"/>
          <w:kern w:val="0"/>
          <w:sz w:val="32"/>
          <w:lang w:val="zh-CN" w:bidi="ar"/>
        </w:rPr>
      </w:pPr>
      <w:r>
        <w:rPr>
          <w:rFonts w:hint="eastAsia" w:ascii="仿宋_GB2312" w:hAnsi="宋体" w:eastAsia="仿宋_GB2312" w:cs="宋体"/>
          <w:color w:val="000000"/>
          <w:kern w:val="0"/>
          <w:sz w:val="32"/>
          <w:lang w:val="zh-CN" w:bidi="ar"/>
        </w:rPr>
        <w:t>部门财政资金支出情况。</w:t>
      </w:r>
    </w:p>
    <w:p>
      <w:pPr>
        <w:spacing w:line="560" w:lineRule="exact"/>
        <w:ind w:firstLine="640" w:firstLineChars="20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2018年红原县妇联本年</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合计</w:t>
      </w:r>
      <w:r>
        <w:rPr>
          <w:rFonts w:hint="eastAsia" w:ascii="仿宋" w:hAnsi="仿宋" w:eastAsia="仿宋"/>
          <w:color w:val="000000"/>
          <w:sz w:val="32"/>
          <w:szCs w:val="32"/>
        </w:rPr>
        <w:t>125.76万元。</w:t>
      </w:r>
      <w:r>
        <w:rPr>
          <w:rFonts w:hint="eastAsia" w:ascii="仿宋_GB2312" w:hAnsi="仿宋_GB2312" w:eastAsia="仿宋_GB2312" w:cs="仿宋_GB2312"/>
          <w:color w:val="000000"/>
          <w:sz w:val="32"/>
          <w:szCs w:val="32"/>
        </w:rPr>
        <w:t>其中：基本支出125.76万元，占100%。</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预算编制上，严格执行《预算法》，根据县财政局的统一安排，结合本部门实际工作情况，认真编制部门预算，经领导审核后，及时报送财政局。我局在预算编制和执行上严格执行上级部门的要求，严格执行《中华人民共和国预算法》、《中华人民共和国预算法实施条例》的规定，预算编制数据准确，无随意调整预算的情况，各项收支均纳入预算管理。</w:t>
      </w:r>
    </w:p>
    <w:p>
      <w:pPr>
        <w:widowControl/>
        <w:adjustRightInd w:val="0"/>
        <w:snapToGrid w:val="0"/>
        <w:spacing w:line="480" w:lineRule="exact"/>
        <w:ind w:firstLine="720"/>
        <w:jc w:val="left"/>
        <w:rPr>
          <w:rFonts w:ascii="楷体" w:hAnsi="楷体" w:eastAsia="楷体" w:cs="宋体"/>
          <w:color w:val="000000"/>
          <w:kern w:val="0"/>
          <w:lang w:val="zh-CN"/>
        </w:rPr>
      </w:pPr>
      <w:r>
        <w:rPr>
          <w:rFonts w:hint="eastAsia" w:ascii="楷体" w:hAnsi="楷体" w:eastAsia="楷体" w:cs="宋体"/>
          <w:color w:val="000000"/>
          <w:kern w:val="0"/>
          <w:sz w:val="32"/>
          <w:lang w:val="zh-CN" w:bidi="ar"/>
        </w:rPr>
        <w:t>（二）执行管理情况。</w:t>
      </w:r>
      <w:r>
        <w:rPr>
          <w:rFonts w:hint="eastAsia" w:ascii="楷体" w:hAnsi="楷体" w:eastAsia="楷体" w:cs="宋体"/>
          <w:color w:val="000000"/>
          <w:kern w:val="0"/>
          <w:sz w:val="32"/>
          <w:lang w:val="zh-CN" w:bidi="ar"/>
        </w:rPr>
        <w:tab/>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1.县级财力专项预算分配时限、中央专款分配合规率：</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我单位</w:t>
      </w: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lang w:val="zh-CN"/>
        </w:rPr>
        <w:t>年无县级财力专项预算和中央专款。</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lang w:val="zh-CN"/>
        </w:rPr>
        <w:t>部门预算执行进度情况：</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lang w:val="zh-CN"/>
        </w:rPr>
        <w:t>年我单位财政预算实际到位数为</w:t>
      </w:r>
      <w:r>
        <w:rPr>
          <w:rFonts w:hint="eastAsia" w:ascii="仿宋_GB2312" w:hAnsi="仿宋_GB2312" w:eastAsia="仿宋_GB2312" w:cs="仿宋_GB2312"/>
          <w:color w:val="000000"/>
          <w:sz w:val="32"/>
          <w:szCs w:val="32"/>
        </w:rPr>
        <w:t>105.31</w:t>
      </w:r>
      <w:r>
        <w:rPr>
          <w:rFonts w:hint="eastAsia" w:ascii="仿宋_GB2312" w:hAnsi="仿宋_GB2312" w:eastAsia="仿宋_GB2312" w:cs="仿宋_GB2312"/>
          <w:color w:val="000000"/>
          <w:sz w:val="32"/>
          <w:szCs w:val="32"/>
          <w:lang w:val="zh-CN"/>
        </w:rPr>
        <w:t>万元，年中财政调整预算</w:t>
      </w:r>
      <w:r>
        <w:rPr>
          <w:rFonts w:hint="eastAsia" w:ascii="仿宋_GB2312" w:hAnsi="仿宋_GB2312" w:eastAsia="仿宋_GB2312" w:cs="仿宋_GB2312"/>
          <w:color w:val="000000"/>
          <w:sz w:val="32"/>
          <w:szCs w:val="32"/>
        </w:rPr>
        <w:t>105.31</w:t>
      </w:r>
      <w:r>
        <w:rPr>
          <w:rFonts w:hint="eastAsia" w:ascii="仿宋_GB2312" w:hAnsi="仿宋_GB2312" w:eastAsia="仿宋_GB2312" w:cs="仿宋_GB2312"/>
          <w:color w:val="000000"/>
          <w:sz w:val="32"/>
          <w:szCs w:val="32"/>
          <w:lang w:val="zh-CN"/>
        </w:rPr>
        <w:t>万元。</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lang w:val="zh-CN"/>
        </w:rPr>
        <w:t>.中期评估工作：</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按照要求，对纳入部门预算进行了中期评估论证。</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lang w:val="zh-CN"/>
        </w:rPr>
        <w:t>机关节能降耗</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建立节约型社会是党中央、国务院做出的一项重要部署。建设节约型机关，是建设节约型社会的重要组成部分，县妇联着力降低行政运行成本，节约用水用电、精简会议、完善采购制度节约办公消耗品。</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lang w:val="zh-CN"/>
        </w:rPr>
        <w:t>“三公”经费预算执行情况：</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严格落实中央八项规定和省委省政府十项规定，厉行节约管理“三公”经费，全年压缩了公车预算，国外接待人数减少。20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lang w:val="zh-CN"/>
        </w:rPr>
        <w:t>年“三公经费</w:t>
      </w:r>
      <w:r>
        <w:rPr>
          <w:rFonts w:hint="eastAsia" w:ascii="仿宋_GB2312" w:hAnsi="仿宋_GB2312" w:eastAsia="仿宋_GB2312" w:cs="仿宋_GB2312"/>
          <w:color w:val="000000"/>
          <w:sz w:val="32"/>
          <w:szCs w:val="32"/>
          <w:lang w:val="en-US" w:eastAsia="zh-CN"/>
        </w:rPr>
        <w:t>1.24</w:t>
      </w:r>
      <w:r>
        <w:rPr>
          <w:rFonts w:hint="eastAsia" w:ascii="仿宋_GB2312" w:hAnsi="仿宋_GB2312" w:eastAsia="仿宋_GB2312" w:cs="仿宋_GB2312"/>
          <w:color w:val="000000"/>
          <w:sz w:val="32"/>
          <w:szCs w:val="32"/>
          <w:lang w:val="zh-CN"/>
        </w:rPr>
        <w:t>万元,完成预算100%。公务用车购置及运行维护费支出决算比2018年</w:t>
      </w:r>
      <w:r>
        <w:rPr>
          <w:rFonts w:hint="eastAsia" w:ascii="仿宋_GB2312" w:hAnsi="仿宋_GB2312" w:eastAsia="仿宋_GB2312" w:cs="仿宋_GB2312"/>
          <w:color w:val="000000"/>
          <w:sz w:val="32"/>
          <w:szCs w:val="32"/>
          <w:lang w:val="en-US" w:eastAsia="zh-CN"/>
        </w:rPr>
        <w:t>减少1.9</w:t>
      </w:r>
      <w:r>
        <w:rPr>
          <w:rFonts w:hint="eastAsia" w:ascii="仿宋_GB2312" w:hAnsi="仿宋_GB2312" w:eastAsia="仿宋_GB2312" w:cs="仿宋_GB2312"/>
          <w:color w:val="000000"/>
          <w:sz w:val="32"/>
          <w:szCs w:val="32"/>
          <w:lang w:val="zh-CN"/>
        </w:rPr>
        <w:t>万元，增长96%。主要原因</w:t>
      </w:r>
      <w:r>
        <w:rPr>
          <w:rFonts w:hint="eastAsia" w:ascii="仿宋_GB2312" w:hAnsi="仿宋_GB2312" w:eastAsia="仿宋_GB2312" w:cs="仿宋_GB2312"/>
          <w:color w:val="000000"/>
          <w:sz w:val="32"/>
          <w:szCs w:val="32"/>
          <w:lang w:val="en-US" w:eastAsia="zh-CN"/>
        </w:rPr>
        <w:t>厉行节约</w:t>
      </w:r>
      <w:r>
        <w:rPr>
          <w:rFonts w:hint="eastAsia" w:ascii="仿宋_GB2312" w:hAnsi="仿宋_GB2312" w:eastAsia="仿宋_GB2312" w:cs="仿宋_GB2312"/>
          <w:color w:val="000000"/>
          <w:sz w:val="32"/>
          <w:szCs w:val="32"/>
          <w:lang w:val="zh-CN"/>
        </w:rPr>
        <w:t>。</w:t>
      </w:r>
    </w:p>
    <w:p>
      <w:pPr>
        <w:numPr>
          <w:ilvl w:val="0"/>
          <w:numId w:val="0"/>
        </w:num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lang w:val="zh-CN"/>
        </w:rPr>
        <w:t>综合管理情况：</w:t>
      </w:r>
    </w:p>
    <w:p>
      <w:pPr>
        <w:shd w:val="solid" w:color="FFFFFF" w:fill="auto"/>
        <w:autoSpaceDE w:val="0"/>
        <w:autoSpaceDN w:val="0"/>
        <w:spacing w:beforeLines="0" w:afterLines="0" w:line="570" w:lineRule="exact"/>
        <w:ind w:firstLine="640" w:firstLineChars="200"/>
        <w:rPr>
          <w:rFonts w:hint="eastAsia"/>
          <w:lang w:val="zh-CN"/>
        </w:rPr>
      </w:pPr>
      <w:r>
        <w:rPr>
          <w:rFonts w:hint="eastAsia" w:ascii="仿宋_GB2312" w:hAnsi="仿宋_GB2312" w:eastAsia="仿宋_GB2312"/>
          <w:color w:val="auto"/>
          <w:sz w:val="32"/>
          <w:lang w:val="en-US" w:eastAsia="zh-CN"/>
        </w:rPr>
        <w:t>2020</w:t>
      </w:r>
      <w:r>
        <w:rPr>
          <w:rFonts w:hint="eastAsia" w:ascii="仿宋_GB2312" w:hAnsi="仿宋_GB2312" w:eastAsia="仿宋_GB2312"/>
          <w:color w:val="auto"/>
          <w:sz w:val="32"/>
        </w:rPr>
        <w:t>年，红原县妇联在县委的坚强领导下，在县政府的大力支持下，在州妇联的指导</w:t>
      </w:r>
      <w:r>
        <w:rPr>
          <w:rFonts w:hint="eastAsia" w:ascii="仿宋_GB2312" w:hAnsi="仿宋_GB2312" w:eastAsia="仿宋_GB2312"/>
          <w:color w:val="auto"/>
          <w:sz w:val="32"/>
          <w:lang w:eastAsia="zh-CN"/>
        </w:rPr>
        <w:t>和关心下</w:t>
      </w:r>
      <w:r>
        <w:rPr>
          <w:rFonts w:hint="eastAsia" w:ascii="仿宋_GB2312" w:hAnsi="仿宋_GB2312" w:eastAsia="仿宋_GB2312"/>
          <w:color w:val="auto"/>
          <w:sz w:val="32"/>
        </w:rPr>
        <w:t>，按照年度工作目标任务，以构建和谐社会关系为工作核心，以加强妇联组织建设为基础，以开展“姐妹宣讲团”活动等品牌工作为统领，工作方式不断创新，工作成效不断凸显，维护好了广大妇女群众的合法权益，为推进红原建设发挥了一定的作用。</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lang w:val="zh-CN"/>
        </w:rPr>
        <w:t>资产管理情况：</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红原县妇女联合会按照石棉县财政局资产管理要求，设置专人管理固定资产信息系统和更新数据，按规定组织资产清查和报送国有资产报表。</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lang w:val="zh-CN"/>
        </w:rPr>
        <w:t>内控制度管理情况：</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红原县妇女联合会制定有预算管理制度、收入管理制度、政府采购业务管理制度、资产管理制度和合同管理办法等方面的内部控制制度。</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lang w:val="zh-CN"/>
        </w:rPr>
        <w:t>信息公开情况：</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红原县妇女联合会按照县财政局相关要求，在县政府统一的公开网站对</w:t>
      </w: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lang w:val="zh-CN"/>
        </w:rPr>
        <w:t>年预算、决算进行了公开。</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（四）整体绩效。</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包括部门职责履行结果、重点项目绩效评价结果和服务对象满意度等。</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val="zh-CN"/>
        </w:rPr>
        <w:t>部门职责履行结果：</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lang w:val="zh-CN"/>
        </w:rPr>
        <w:t>年，红原县妇联在县委的坚强领导下，在县政府的大力支持下，在州妇联的指导和关心下，按照年度工作目标任务，以构建和谐社会关系为工作核心，以加强妇联组织建设为基础，以开展“姐妹宣讲团”活动等品牌工作为统领，工作方式不断创新，工作成效不断凸显，维护好了广大妇女群众的合法权益，为推进红原建设发挥了一定的作用。</w:t>
      </w:r>
    </w:p>
    <w:p>
      <w:pPr>
        <w:pStyle w:val="19"/>
        <w:widowControl/>
        <w:shd w:val="clear" w:color="auto" w:fill="FFFFFF"/>
        <w:spacing w:before="0" w:beforeAutospacing="0" w:after="0" w:afterAutospacing="0" w:line="600" w:lineRule="atLeast"/>
        <w:ind w:firstLine="645"/>
        <w:rPr>
          <w:rFonts w:ascii="仿宋_GB2312" w:hAnsi="仿宋_GB2312" w:eastAsia="仿宋_GB2312" w:cs="仿宋_GB2312"/>
          <w:b/>
          <w:bCs/>
          <w:color w:val="000000"/>
          <w:sz w:val="32"/>
          <w:szCs w:val="32"/>
          <w:lang w:val="zh-CN"/>
        </w:rPr>
      </w:pPr>
      <w:r>
        <w:rPr>
          <w:rFonts w:hint="eastAsia" w:ascii="仿宋_GB2312" w:hAnsi="仿宋_GB2312" w:eastAsia="仿宋_GB2312" w:cs="仿宋_GB2312"/>
          <w:b/>
          <w:bCs/>
          <w:color w:val="000000"/>
          <w:sz w:val="32"/>
          <w:szCs w:val="32"/>
          <w:lang w:val="zh-CN"/>
        </w:rPr>
        <w:t>社会经济效益分析</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sz w:val="32"/>
          <w:u w:val="none"/>
          <w:lang w:val="en-US" w:eastAsia="zh-CN"/>
        </w:rPr>
      </w:pPr>
      <w:r>
        <w:rPr>
          <w:rFonts w:hint="eastAsia" w:ascii="仿宋_GB2312" w:hAnsi="仿宋_GB2312" w:eastAsia="仿宋_GB2312" w:cs="仿宋_GB2312"/>
          <w:b w:val="0"/>
          <w:bCs w:val="0"/>
          <w:kern w:val="2"/>
          <w:sz w:val="32"/>
          <w:szCs w:val="22"/>
          <w:u w:val="none"/>
          <w:lang w:val="en-US" w:eastAsia="zh-CN"/>
        </w:rPr>
        <w:t>组织“关爱草原阿妈”姐妹宣讲团深入邛溪镇达格龙村、玛萨村开展新一轮宣讲工作。宣讲团成员围绕“重大理论宣传、民生政策解读、道德风尚弘扬、健康知识传播”四个方面内容，用浅显的语言结合实际案例，为前来听讲的妇女群众解读党的理论政策和富民惠民政策、学习先进典型事迹、讲解婚姻纠纷中常见的法律问题和妇女疾病防治常识等。生动朴实的“乡音土话”、翔实鲜活的“身边故事”使前来听讲的妇女群众受益匪浅，妇女</w:t>
      </w:r>
      <w:bookmarkStart w:id="166" w:name="_GoBack"/>
      <w:bookmarkEnd w:id="166"/>
      <w:r>
        <w:rPr>
          <w:rFonts w:hint="eastAsia" w:ascii="仿宋_GB2312" w:hAnsi="仿宋_GB2312" w:eastAsia="仿宋_GB2312" w:cs="仿宋_GB2312"/>
          <w:b w:val="0"/>
          <w:bCs w:val="0"/>
          <w:kern w:val="2"/>
          <w:sz w:val="32"/>
          <w:szCs w:val="22"/>
          <w:u w:val="none"/>
          <w:lang w:val="en-US" w:eastAsia="zh-CN"/>
        </w:rPr>
        <w:t>群众纷纷反映这样的宣讲“听得懂，用得上”。</w:t>
      </w:r>
      <w:r>
        <w:rPr>
          <w:rFonts w:hint="eastAsia" w:ascii="仿宋_GB2312" w:hAnsi="仿宋_GB2312" w:eastAsia="仿宋_GB2312" w:cs="仿宋_GB2312"/>
          <w:sz w:val="32"/>
          <w:u w:val="none"/>
          <w:lang w:val="en-US" w:eastAsia="zh-CN"/>
        </w:rPr>
        <w:t>此次宣讲活动中还发放藏汉双语宣传资料300余份、发放卫生生活用品400余份，200余名妇女群众受益。</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pStyle w:val="19"/>
        <w:widowControl/>
        <w:shd w:val="clear" w:color="auto" w:fill="FFFFFF"/>
        <w:spacing w:before="0" w:beforeAutospacing="0" w:after="0" w:afterAutospacing="0" w:line="600" w:lineRule="atLeast"/>
        <w:ind w:firstLine="645"/>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1. 我单位在预算管理上的力度加强，增强了预算的计划性、科学性，使预算管理的约束控制力得到充分发挥；   </w:t>
      </w:r>
    </w:p>
    <w:p>
      <w:pPr>
        <w:pStyle w:val="19"/>
        <w:widowControl/>
        <w:shd w:val="clear" w:color="auto" w:fill="FFFFFF"/>
        <w:spacing w:before="0" w:beforeAutospacing="0" w:after="0" w:afterAutospacing="0" w:line="600" w:lineRule="atLeast"/>
        <w:ind w:firstLine="645"/>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2.在内部控制文化建设方面积极培育符合我单位实际情况的内部控制文化，使内控意识和内控文化渗透到每一位干部职工思想深处，使内控成为每位干部职工的自觉行为。</w:t>
      </w:r>
    </w:p>
    <w:p>
      <w:pPr>
        <w:pStyle w:val="19"/>
        <w:widowControl/>
        <w:shd w:val="clear" w:color="auto" w:fill="FFFFFF"/>
        <w:spacing w:before="0" w:beforeAutospacing="0" w:after="0" w:afterAutospacing="0" w:line="600" w:lineRule="atLeast"/>
        <w:ind w:firstLine="645"/>
        <w:rPr>
          <w:rFonts w:hint="eastAsia" w:ascii="楷体_GB2312" w:hAnsi="楷体_GB2312" w:eastAsia="楷体_GB2312" w:cs="楷体_GB2312"/>
          <w:b/>
          <w:bCs/>
          <w:color w:val="000000"/>
          <w:sz w:val="32"/>
          <w:szCs w:val="32"/>
          <w:lang w:val="zh-CN"/>
        </w:rPr>
      </w:pPr>
      <w:r>
        <w:rPr>
          <w:rFonts w:hint="eastAsia" w:ascii="楷体_GB2312" w:hAnsi="楷体_GB2312" w:eastAsia="楷体_GB2312" w:cs="楷体_GB2312"/>
          <w:b/>
          <w:bCs/>
          <w:color w:val="000000"/>
          <w:sz w:val="32"/>
          <w:szCs w:val="32"/>
          <w:lang w:val="zh-CN"/>
        </w:rPr>
        <w:t>（二）存在问题</w:t>
      </w:r>
    </w:p>
    <w:p>
      <w:pPr>
        <w:pStyle w:val="19"/>
        <w:widowControl/>
        <w:shd w:val="clear" w:color="auto" w:fill="FFFFFF"/>
        <w:spacing w:before="0" w:beforeAutospacing="0" w:after="0" w:afterAutospacing="0" w:line="600" w:lineRule="atLeast"/>
        <w:ind w:firstLine="645"/>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我单位会计股对单位重要事项的决策、实施过程和结果了解较少，进而对业务涉及财务问题时不能事前进行财务分析与指导，导致了控制与监督的不及时。今后要加强业务沟通，做到控制及时、监督有效。</w:t>
      </w:r>
    </w:p>
    <w:p>
      <w:pPr>
        <w:pStyle w:val="19"/>
        <w:widowControl/>
        <w:shd w:val="clear" w:color="auto" w:fill="FFFFFF"/>
        <w:spacing w:before="0" w:beforeAutospacing="0" w:after="0" w:afterAutospacing="0" w:line="600" w:lineRule="atLeast"/>
        <w:ind w:firstLine="645"/>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县妇联人员有限，行政编制只有</w:t>
      </w:r>
      <w:r>
        <w:rPr>
          <w:rFonts w:hint="eastAsia" w:ascii="仿宋_GB2312" w:hAnsi="仿宋_GB2312" w:eastAsia="仿宋_GB2312" w:cs="仿宋_GB2312"/>
          <w:color w:val="000000"/>
          <w:sz w:val="32"/>
          <w:szCs w:val="32"/>
        </w:rPr>
        <w:t>6</w:t>
      </w:r>
      <w:r>
        <w:rPr>
          <w:rFonts w:hint="eastAsia" w:ascii="仿宋_GB2312" w:hAnsi="仿宋_GB2312" w:eastAsia="仿宋_GB2312" w:cs="仿宋_GB2312"/>
          <w:color w:val="000000"/>
          <w:sz w:val="32"/>
          <w:szCs w:val="32"/>
          <w:lang w:val="zh-CN"/>
        </w:rPr>
        <w:t>个，很难做到会计岗位轮岗的要求。在接下来的工作里，我们竭尽所能将人员配齐，严格按照内部控制规范制度行事。</w:t>
      </w:r>
    </w:p>
    <w:p>
      <w:pPr>
        <w:pStyle w:val="19"/>
        <w:widowControl/>
        <w:shd w:val="clear" w:color="auto" w:fill="FFFFFF"/>
        <w:spacing w:before="0" w:beforeAutospacing="0" w:after="0" w:afterAutospacing="0" w:line="600" w:lineRule="atLeast"/>
        <w:ind w:firstLine="645"/>
        <w:rPr>
          <w:rFonts w:hint="eastAsia" w:ascii="楷体_GB2312" w:hAnsi="楷体_GB2312" w:eastAsia="楷体_GB2312" w:cs="楷体_GB2312"/>
          <w:b/>
          <w:bCs/>
          <w:color w:val="000000"/>
          <w:sz w:val="32"/>
          <w:szCs w:val="32"/>
          <w:lang w:val="zh-CN"/>
        </w:rPr>
      </w:pPr>
      <w:r>
        <w:rPr>
          <w:rFonts w:hint="eastAsia" w:ascii="楷体_GB2312" w:hAnsi="楷体_GB2312" w:eastAsia="楷体_GB2312" w:cs="楷体_GB2312"/>
          <w:b/>
          <w:bCs/>
          <w:color w:val="000000"/>
          <w:sz w:val="32"/>
          <w:szCs w:val="32"/>
          <w:lang w:val="zh-CN"/>
        </w:rPr>
        <w:t>（三）改进建议</w:t>
      </w:r>
    </w:p>
    <w:p>
      <w:pPr>
        <w:pStyle w:val="19"/>
        <w:widowControl/>
        <w:shd w:val="clear" w:color="auto" w:fill="FFFFFF"/>
        <w:spacing w:before="0" w:beforeAutospacing="0" w:after="0" w:afterAutospacing="0" w:line="600" w:lineRule="atLeast"/>
        <w:ind w:firstLine="645"/>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财政部门定期对各机关单位进行各类财务培训，加大培训力度，促进各单位事业的健康、可持续发展。</w:t>
      </w:r>
    </w:p>
    <w:p>
      <w:pPr>
        <w:spacing w:line="580" w:lineRule="exact"/>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600" w:lineRule="exact"/>
        <w:jc w:val="left"/>
        <w:outlineLvl w:val="0"/>
        <w:rPr>
          <w:rFonts w:ascii="黑体" w:hAnsi="黑体" w:eastAsia="黑体" w:cs="黑体"/>
          <w:sz w:val="32"/>
          <w:szCs w:val="32"/>
        </w:rPr>
      </w:pPr>
      <w:bookmarkStart w:id="118" w:name="_Toc79163883"/>
      <w:bookmarkStart w:id="119" w:name="_Toc79163633"/>
      <w:r>
        <w:rPr>
          <w:rFonts w:hint="eastAsia" w:ascii="黑体" w:hAnsi="黑体" w:eastAsia="黑体" w:cs="黑体"/>
          <w:sz w:val="32"/>
          <w:szCs w:val="32"/>
        </w:rPr>
        <w:t>附件</w:t>
      </w:r>
      <w:r>
        <w:rPr>
          <w:rFonts w:ascii="黑体" w:hAnsi="黑体" w:eastAsia="黑体" w:cs="黑体"/>
          <w:sz w:val="32"/>
          <w:szCs w:val="32"/>
        </w:rPr>
        <w:t>2</w:t>
      </w:r>
      <w:bookmarkEnd w:id="118"/>
      <w:bookmarkEnd w:id="119"/>
    </w:p>
    <w:p>
      <w:pPr>
        <w:spacing w:line="580" w:lineRule="exact"/>
        <w:ind w:firstLine="640" w:firstLineChars="200"/>
        <w:rPr>
          <w:rFonts w:ascii="仿宋_GB2312" w:hAnsi="仿宋_GB2312" w:eastAsia="仿宋_GB2312" w:cs="仿宋_GB2312"/>
          <w:sz w:val="32"/>
          <w:szCs w:val="32"/>
        </w:rPr>
      </w:pPr>
    </w:p>
    <w:p>
      <w:pPr>
        <w:spacing w:line="600" w:lineRule="exact"/>
        <w:jc w:val="center"/>
        <w:outlineLvl w:val="0"/>
        <w:rPr>
          <w:rFonts w:ascii="方正小标宋简体" w:hAnsi="黑体" w:eastAsia="方正小标宋简体" w:cs="黑体"/>
          <w:sz w:val="44"/>
          <w:szCs w:val="44"/>
        </w:rPr>
      </w:pPr>
      <w:bookmarkStart w:id="120" w:name="_Toc79163634"/>
      <w:bookmarkStart w:id="121" w:name="_Toc79163884"/>
      <w:r>
        <w:rPr>
          <w:rFonts w:hint="eastAsia" w:ascii="方正小标宋简体" w:hAnsi="黑体" w:eastAsia="方正小标宋简体" w:cs="黑体"/>
          <w:sz w:val="44"/>
          <w:szCs w:val="44"/>
          <w:lang w:val="en-US" w:eastAsia="zh-CN"/>
        </w:rPr>
        <w:t>姐妹宣讲团工作经费</w:t>
      </w:r>
      <w:r>
        <w:rPr>
          <w:rFonts w:hint="eastAsia" w:ascii="方正小标宋简体" w:hAnsi="黑体" w:eastAsia="方正小标宋简体" w:cs="黑体"/>
          <w:sz w:val="44"/>
          <w:szCs w:val="44"/>
        </w:rPr>
        <w:t>项目2020年绩效评价报告</w:t>
      </w:r>
      <w:bookmarkEnd w:id="120"/>
      <w:bookmarkEnd w:id="121"/>
    </w:p>
    <w:p>
      <w:pPr>
        <w:spacing w:line="600" w:lineRule="exact"/>
        <w:rPr>
          <w:rFonts w:ascii="宋体"/>
          <w:sz w:val="32"/>
          <w:szCs w:val="32"/>
          <w:lang w:val="zh-CN"/>
        </w:rPr>
      </w:pPr>
    </w:p>
    <w:p>
      <w:pPr>
        <w:adjustRightInd w:val="0"/>
        <w:snapToGrid w:val="0"/>
        <w:spacing w:line="600" w:lineRule="exact"/>
        <w:ind w:firstLine="720"/>
        <w:outlineLvl w:val="0"/>
        <w:rPr>
          <w:rFonts w:hint="eastAsia" w:ascii="仿宋_GB2312" w:hAnsi="仿宋_GB2312" w:eastAsia="仿宋_GB2312" w:cs="仿宋_GB2312"/>
          <w:sz w:val="32"/>
          <w:szCs w:val="32"/>
          <w:lang w:val="zh-CN"/>
        </w:rPr>
      </w:pPr>
      <w:bookmarkStart w:id="122" w:name="_Toc79163635"/>
      <w:bookmarkStart w:id="123" w:name="_Toc15396618"/>
      <w:bookmarkStart w:id="124" w:name="_Toc79163885"/>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val="zh-CN"/>
        </w:rPr>
        <w:t>项目概况</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自组建“关爱草原阿妈---姐妹宣讲团”以来，县妇联每年利用牧闲时间组织宣讲团成员深入全县各乡镇、村（社区）以及偏远牧户家中，用藏汉双语、面对面地向广大妇女同胞宣讲《妇女儿童权益保障法》《未成年人保护法》《反家暴法》等与生活息息相关的法律法规，经过“姐妹宣讲团”多年的宣讲和思想引领，我县广大妇女群众懂得了如何用法律的手段来维护自己的权益。</w:t>
      </w:r>
    </w:p>
    <w:p>
      <w:pPr>
        <w:numPr>
          <w:ilvl w:val="0"/>
          <w:numId w:val="5"/>
        </w:num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项目资金申报及批复情况。</w:t>
      </w:r>
    </w:p>
    <w:p>
      <w:pPr>
        <w:numPr>
          <w:ilvl w:val="0"/>
          <w:numId w:val="0"/>
        </w:numPr>
        <w:adjustRightInd w:val="0"/>
        <w:snapToGrid w:val="0"/>
        <w:spacing w:line="60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该项目严格按照财政要求进行</w:t>
      </w:r>
      <w:r>
        <w:rPr>
          <w:rFonts w:hint="eastAsia" w:ascii="仿宋_GB2312" w:hAnsi="仿宋_GB2312" w:eastAsia="仿宋_GB2312" w:cs="仿宋_GB2312"/>
          <w:sz w:val="32"/>
          <w:szCs w:val="32"/>
          <w:lang w:val="zh-CN"/>
        </w:rPr>
        <w:t>资金申报，</w:t>
      </w:r>
      <w:r>
        <w:rPr>
          <w:rFonts w:hint="eastAsia" w:ascii="仿宋_GB2312" w:hAnsi="仿宋_GB2312" w:eastAsia="仿宋_GB2312" w:cs="仿宋_GB2312"/>
          <w:sz w:val="32"/>
          <w:szCs w:val="32"/>
          <w:lang w:val="en-US" w:eastAsia="zh-CN"/>
        </w:rPr>
        <w:t>财政按照县妇联申报资料进行项目</w:t>
      </w:r>
      <w:r>
        <w:rPr>
          <w:rFonts w:hint="eastAsia" w:ascii="仿宋_GB2312" w:hAnsi="仿宋_GB2312" w:eastAsia="仿宋_GB2312" w:cs="仿宋_GB2312"/>
          <w:sz w:val="32"/>
          <w:szCs w:val="32"/>
          <w:lang w:val="zh-CN"/>
        </w:rPr>
        <w:t>批复。</w:t>
      </w:r>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（二）项目绩效目标。</w:t>
      </w:r>
    </w:p>
    <w:p>
      <w:pPr>
        <w:keepNext w:val="0"/>
        <w:keepLines w:val="0"/>
        <w:pageBreakBefore w:val="0"/>
        <w:widowControl w:val="0"/>
        <w:kinsoku/>
        <w:wordWrap/>
        <w:overflowPunct/>
        <w:topLinePunct w:val="0"/>
        <w:autoSpaceDE/>
        <w:autoSpaceDN/>
        <w:bidi w:val="0"/>
        <w:spacing w:line="6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资金主要用于姐妹宣讲团深入各乡镇、（村）社区宣传宣讲习近平总书记关于妇女和妇女工作的重要论述，特别是在同全国妇联新一届领导班子集体谈话时的重要讲话精神，引导广大妇女牢固树立“四个意识”，切实增强“四个自信”，坚决做到“两个维护”，坚定不移跟党走、奋力建功新时代。准确深入解读党中央和省委、州委、县委作出的重大判断、重大部署，宣传省委、州委、县委关于促进经济社会持续健康发展的重大政策措施</w:t>
      </w:r>
      <w:r>
        <w:rPr>
          <w:rFonts w:hint="eastAsia" w:ascii="仿宋_GB2312" w:hAnsi="仿宋_GB2312" w:eastAsia="仿宋_GB2312" w:cs="仿宋_GB2312"/>
          <w:sz w:val="32"/>
          <w:szCs w:val="32"/>
          <w:lang w:val="en-US" w:eastAsia="zh-CN"/>
        </w:rPr>
        <w:t>及国家富民惠民政策，有关法律法规、卫生健康知识等宣讲</w:t>
      </w:r>
      <w:r>
        <w:rPr>
          <w:rFonts w:hint="eastAsia" w:ascii="仿宋_GB2312" w:hAnsi="仿宋_GB2312" w:eastAsia="仿宋_GB2312" w:cs="仿宋_GB2312"/>
          <w:sz w:val="32"/>
          <w:szCs w:val="32"/>
        </w:rPr>
        <w:t>，加强妇女儿童热点敏感问题的舆论引导，凝聚改革发展稳定正能量。项目目标完成情况：项目资金使用情况</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年部门预算姐妹宣讲团工作经费</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万元，截至</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月份，该项目资金财政拨款全部到位，资金到位率100%，实际支出</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万元，资金利用率达到</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主要原因一是因为疫情防控不能聚集人员，二是领导调离无主要领导导致资金利用率低。2020</w:t>
      </w:r>
      <w:r>
        <w:rPr>
          <w:rFonts w:hint="eastAsia" w:ascii="仿宋_GB2312" w:hAnsi="仿宋_GB2312" w:eastAsia="仿宋_GB2312" w:cs="仿宋_GB2312"/>
          <w:sz w:val="32"/>
          <w:szCs w:val="32"/>
        </w:rPr>
        <w:t>年姐妹宣讲团工作专项资金主要用于宣讲工作。项目资金管理情况：县妇联严格执行财务和专项资金等管理制度，做到了费用支出制度健全，会计核算规范，无虚列、挤占、挪用情况，无超标准开支情况。群众满意度：</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p>
    <w:p>
      <w:pPr>
        <w:numPr>
          <w:ilvl w:val="0"/>
          <w:numId w:val="5"/>
        </w:numPr>
        <w:adjustRightInd w:val="0"/>
        <w:snapToGrid w:val="0"/>
        <w:spacing w:line="600" w:lineRule="exact"/>
        <w:ind w:left="0" w:leftChars="0" w:firstLine="720" w:firstLineChars="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项目资金申报相符性。</w:t>
      </w:r>
    </w:p>
    <w:p>
      <w:pPr>
        <w:keepNext w:val="0"/>
        <w:keepLines w:val="0"/>
        <w:pageBreakBefore w:val="0"/>
        <w:widowControl w:val="0"/>
        <w:kinsoku/>
        <w:wordWrap/>
        <w:overflowPunct/>
        <w:topLinePunct w:val="0"/>
        <w:autoSpaceDE/>
        <w:autoSpaceDN/>
        <w:bidi w:val="0"/>
        <w:spacing w:line="6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自组建“关爱草原阿妈---姐妹宣讲团”以来，县妇联每年利用牧闲时间组织宣讲团成员深入全县各乡镇、村（社区）以及偏远牧户家中，用藏汉双语、面对面地向广大妇女同胞宣讲</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民法典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妇女儿童权益保障法》《未成年人保护法》《反家暴法》等与生活息息相关的法律法规，经过“姐妹宣讲团”多年的宣讲和思想引领，我县广大妇女群众懂得了如何用法律的手段来维护自己的权益。该笔专项经费主要用于姐妹宣讲团发放宣讲资料，卫生用品，差旅费等。近年来，通过宣讲团的真诚服务、真心关爱和用心帮扶，为平常工作触角难以延伸到的远牧点的农村妇女送去了温暖、爱心和健康，赢得广大牧区妇女的信任支持，有效打通了联系服务农牧民群众的最后一公里，进一步密切了党群干群关系。</w:t>
      </w:r>
    </w:p>
    <w:p>
      <w:pPr>
        <w:adjustRightInd w:val="0"/>
        <w:snapToGrid w:val="0"/>
        <w:spacing w:line="600" w:lineRule="exact"/>
        <w:ind w:firstLine="720"/>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二、项目实施及管理情况</w:t>
      </w:r>
    </w:p>
    <w:p>
      <w:pPr>
        <w:adjustRightInd w:val="0"/>
        <w:snapToGrid w:val="0"/>
        <w:spacing w:line="600" w:lineRule="exact"/>
        <w:ind w:firstLine="720"/>
        <w:outlineLvl w:val="1"/>
        <w:rPr>
          <w:rFonts w:hint="eastAsia" w:ascii="仿宋_GB2312" w:hAnsi="仿宋_GB2312" w:eastAsia="仿宋_GB2312" w:cs="仿宋_GB2312"/>
          <w:b/>
          <w:sz w:val="32"/>
          <w:szCs w:val="32"/>
          <w:lang w:val="zh-CN"/>
        </w:rPr>
      </w:pPr>
      <w:r>
        <w:rPr>
          <w:rFonts w:hint="eastAsia" w:ascii="仿宋_GB2312" w:hAnsi="仿宋_GB2312" w:eastAsia="仿宋_GB2312" w:cs="仿宋_GB2312"/>
          <w:sz w:val="32"/>
          <w:szCs w:val="32"/>
          <w:lang w:val="zh-CN"/>
        </w:rPr>
        <w:tab/>
      </w:r>
      <w:r>
        <w:rPr>
          <w:rFonts w:hint="eastAsia" w:ascii="仿宋_GB2312" w:hAnsi="仿宋_GB2312" w:eastAsia="仿宋_GB2312" w:cs="仿宋_GB2312"/>
          <w:b/>
          <w:sz w:val="32"/>
          <w:szCs w:val="32"/>
          <w:lang w:val="zh-CN"/>
        </w:rPr>
        <w:t>（一）资金计划、到位及使用情况。</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1．资金计划及到位。</w:t>
      </w:r>
    </w:p>
    <w:p>
      <w:pPr>
        <w:ind w:left="210" w:leftChars="100"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红原县</w:t>
      </w:r>
      <w:r>
        <w:rPr>
          <w:rFonts w:hint="eastAsia" w:ascii="仿宋_GB2312" w:hAnsi="仿宋_GB2312" w:eastAsia="仿宋_GB2312" w:cs="仿宋_GB2312"/>
          <w:color w:val="000000"/>
          <w:kern w:val="0"/>
          <w:sz w:val="32"/>
          <w:szCs w:val="32"/>
        </w:rPr>
        <w:t>财政局年初预算中</w:t>
      </w:r>
      <w:r>
        <w:rPr>
          <w:rFonts w:hint="eastAsia" w:ascii="仿宋_GB2312" w:hAnsi="仿宋_GB2312" w:eastAsia="仿宋_GB2312" w:cs="仿宋_GB2312"/>
          <w:sz w:val="32"/>
          <w:szCs w:val="32"/>
          <w:lang w:val="en-US" w:eastAsia="zh-CN"/>
        </w:rPr>
        <w:t>姐妹宣讲团工作经费</w:t>
      </w:r>
      <w:r>
        <w:rPr>
          <w:rFonts w:hint="eastAsia" w:ascii="仿宋_GB2312" w:hAnsi="仿宋_GB2312" w:eastAsia="仿宋_GB2312" w:cs="仿宋_GB2312"/>
          <w:sz w:val="32"/>
          <w:szCs w:val="32"/>
        </w:rPr>
        <w:t>项目</w:t>
      </w:r>
      <w:r>
        <w:rPr>
          <w:rFonts w:hint="eastAsia" w:ascii="仿宋_GB2312" w:hAnsi="仿宋_GB2312" w:eastAsia="仿宋_GB2312" w:cs="仿宋_GB2312"/>
          <w:color w:val="000000"/>
          <w:kern w:val="0"/>
          <w:sz w:val="32"/>
          <w:szCs w:val="32"/>
        </w:rPr>
        <w:t>预算资金指标为</w:t>
      </w:r>
      <w:r>
        <w:rPr>
          <w:rFonts w:hint="eastAsia" w:ascii="仿宋_GB2312" w:hAnsi="仿宋_GB2312" w:eastAsia="仿宋_GB2312" w:cs="仿宋_GB2312"/>
          <w:color w:val="000000"/>
          <w:kern w:val="0"/>
          <w:sz w:val="32"/>
          <w:szCs w:val="32"/>
          <w:lang w:val="en-US" w:eastAsia="zh-CN"/>
        </w:rPr>
        <w:t>10</w:t>
      </w:r>
      <w:r>
        <w:rPr>
          <w:rFonts w:hint="eastAsia" w:ascii="仿宋_GB2312" w:hAnsi="仿宋_GB2312" w:eastAsia="仿宋_GB2312" w:cs="仿宋_GB2312"/>
          <w:color w:val="000000"/>
          <w:kern w:val="0"/>
          <w:sz w:val="32"/>
          <w:szCs w:val="32"/>
        </w:rPr>
        <w:t>万元，经批复后下达，</w:t>
      </w:r>
      <w:r>
        <w:rPr>
          <w:rFonts w:hint="eastAsia" w:ascii="仿宋_GB2312" w:hAnsi="仿宋_GB2312" w:eastAsia="仿宋_GB2312" w:cs="仿宋_GB2312"/>
          <w:color w:val="000000"/>
          <w:kern w:val="0"/>
          <w:sz w:val="32"/>
          <w:szCs w:val="32"/>
          <w:lang w:val="en-US" w:eastAsia="zh-CN"/>
        </w:rPr>
        <w:t>2020</w:t>
      </w:r>
      <w:r>
        <w:rPr>
          <w:rFonts w:hint="eastAsia" w:ascii="仿宋_GB2312" w:hAnsi="仿宋_GB2312" w:eastAsia="仿宋_GB2312" w:cs="仿宋_GB2312"/>
          <w:color w:val="000000"/>
          <w:kern w:val="0"/>
          <w:sz w:val="32"/>
          <w:szCs w:val="32"/>
        </w:rPr>
        <w:t>年该项目实际到位资金</w:t>
      </w:r>
      <w:r>
        <w:rPr>
          <w:rFonts w:hint="eastAsia" w:ascii="仿宋_GB2312" w:hAnsi="仿宋_GB2312" w:eastAsia="仿宋_GB2312" w:cs="仿宋_GB2312"/>
          <w:color w:val="000000"/>
          <w:kern w:val="0"/>
          <w:sz w:val="32"/>
          <w:szCs w:val="32"/>
          <w:lang w:val="en-US" w:eastAsia="zh-CN"/>
        </w:rPr>
        <w:t>10</w:t>
      </w:r>
      <w:r>
        <w:rPr>
          <w:rFonts w:hint="eastAsia" w:ascii="仿宋_GB2312" w:hAnsi="仿宋_GB2312" w:eastAsia="仿宋_GB2312" w:cs="仿宋_GB2312"/>
          <w:color w:val="000000"/>
          <w:kern w:val="0"/>
          <w:sz w:val="32"/>
          <w:szCs w:val="32"/>
        </w:rPr>
        <w:t>万元。</w:t>
      </w:r>
    </w:p>
    <w:p>
      <w:pPr>
        <w:numPr>
          <w:ilvl w:val="0"/>
          <w:numId w:val="6"/>
        </w:num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资金使用。</w:t>
      </w:r>
    </w:p>
    <w:p>
      <w:pPr>
        <w:numPr>
          <w:ilvl w:val="0"/>
          <w:numId w:val="0"/>
        </w:numPr>
        <w:adjustRightInd w:val="0"/>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截止</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年12月31日，</w:t>
      </w:r>
      <w:r>
        <w:rPr>
          <w:rFonts w:hint="eastAsia" w:ascii="仿宋_GB2312" w:hAnsi="仿宋_GB2312" w:eastAsia="仿宋_GB2312" w:cs="仿宋_GB2312"/>
          <w:sz w:val="32"/>
          <w:szCs w:val="32"/>
          <w:lang w:val="en-US" w:eastAsia="zh-CN"/>
        </w:rPr>
        <w:t>姐妹宣讲团工作经费</w:t>
      </w:r>
      <w:r>
        <w:rPr>
          <w:rFonts w:hint="eastAsia" w:ascii="仿宋_GB2312" w:hAnsi="仿宋_GB2312" w:eastAsia="仿宋_GB2312" w:cs="仿宋_GB2312"/>
          <w:color w:val="000000"/>
          <w:kern w:val="0"/>
          <w:sz w:val="32"/>
          <w:szCs w:val="32"/>
        </w:rPr>
        <w:t>项目实际支出1</w:t>
      </w:r>
      <w:r>
        <w:rPr>
          <w:rFonts w:hint="eastAsia" w:ascii="仿宋_GB2312" w:hAnsi="仿宋_GB2312" w:eastAsia="仿宋_GB2312" w:cs="仿宋_GB2312"/>
          <w:color w:val="000000"/>
          <w:kern w:val="0"/>
          <w:sz w:val="32"/>
          <w:szCs w:val="32"/>
          <w:lang w:val="en-US" w:eastAsia="zh-CN"/>
        </w:rPr>
        <w:t>6000</w:t>
      </w:r>
      <w:r>
        <w:rPr>
          <w:rFonts w:hint="eastAsia" w:ascii="仿宋_GB2312" w:hAnsi="仿宋_GB2312" w:eastAsia="仿宋_GB2312" w:cs="仿宋_GB2312"/>
          <w:color w:val="000000"/>
          <w:kern w:val="0"/>
          <w:sz w:val="32"/>
          <w:szCs w:val="32"/>
        </w:rPr>
        <w:t>元（未支出金额</w:t>
      </w:r>
      <w:r>
        <w:rPr>
          <w:rFonts w:hint="eastAsia" w:ascii="仿宋_GB2312" w:hAnsi="仿宋_GB2312" w:eastAsia="仿宋_GB2312" w:cs="仿宋_GB2312"/>
          <w:color w:val="000000"/>
          <w:kern w:val="0"/>
          <w:sz w:val="32"/>
          <w:szCs w:val="32"/>
          <w:lang w:val="en-US" w:eastAsia="zh-CN"/>
        </w:rPr>
        <w:t>84000</w:t>
      </w:r>
      <w:r>
        <w:rPr>
          <w:rFonts w:hint="eastAsia" w:ascii="仿宋_GB2312" w:hAnsi="仿宋_GB2312" w:eastAsia="仿宋_GB2312" w:cs="仿宋_GB2312"/>
          <w:color w:val="000000"/>
          <w:kern w:val="0"/>
          <w:sz w:val="32"/>
          <w:szCs w:val="32"/>
        </w:rPr>
        <w:t>元，</w:t>
      </w:r>
      <w:r>
        <w:rPr>
          <w:rFonts w:hint="eastAsia" w:ascii="仿宋_GB2312" w:hAnsi="仿宋_GB2312" w:eastAsia="仿宋_GB2312" w:cs="仿宋_GB2312"/>
          <w:color w:val="000000"/>
          <w:kern w:val="0"/>
          <w:sz w:val="32"/>
          <w:szCs w:val="32"/>
          <w:lang w:val="en-US" w:eastAsia="zh-CN"/>
        </w:rPr>
        <w:t>2020</w:t>
      </w:r>
      <w:r>
        <w:rPr>
          <w:rFonts w:hint="eastAsia" w:ascii="仿宋_GB2312" w:hAnsi="仿宋_GB2312" w:eastAsia="仿宋_GB2312" w:cs="仿宋_GB2312"/>
          <w:color w:val="000000"/>
          <w:kern w:val="0"/>
          <w:sz w:val="32"/>
          <w:szCs w:val="32"/>
        </w:rPr>
        <w:t>年年底财政已收回）</w:t>
      </w:r>
      <w:r>
        <w:rPr>
          <w:rFonts w:hint="eastAsia" w:ascii="仿宋_GB2312" w:hAnsi="仿宋_GB2312" w:eastAsia="仿宋_GB2312" w:cs="仿宋_GB2312"/>
          <w:color w:val="000000"/>
          <w:kern w:val="0"/>
          <w:sz w:val="32"/>
          <w:szCs w:val="32"/>
          <w:lang w:val="en-US" w:eastAsia="zh-CN"/>
        </w:rPr>
        <w:t>未支出较大主要原因：一是是2020年因为疫情防控原因不能组织人员参加宣讲，二是2020年9月我单位主要领导调离。</w:t>
      </w:r>
    </w:p>
    <w:p>
      <w:pPr>
        <w:adjustRightInd w:val="0"/>
        <w:snapToGrid w:val="0"/>
        <w:spacing w:line="600" w:lineRule="exact"/>
        <w:ind w:firstLine="720"/>
        <w:outlineLvl w:val="1"/>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（二）项目财务管理情况。</w:t>
      </w:r>
    </w:p>
    <w:p>
      <w:pPr>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在项目</w:t>
      </w:r>
      <w:r>
        <w:rPr>
          <w:rFonts w:hint="eastAsia" w:ascii="仿宋_GB2312" w:hAnsi="仿宋_GB2312" w:eastAsia="仿宋_GB2312" w:cs="仿宋_GB2312"/>
          <w:color w:val="000000"/>
          <w:kern w:val="0"/>
          <w:sz w:val="32"/>
          <w:szCs w:val="32"/>
          <w:lang w:val="en-US" w:eastAsia="zh-CN"/>
        </w:rPr>
        <w:t>财务</w:t>
      </w:r>
      <w:r>
        <w:rPr>
          <w:rFonts w:hint="eastAsia" w:ascii="仿宋_GB2312" w:hAnsi="仿宋_GB2312" w:eastAsia="仿宋_GB2312" w:cs="仿宋_GB2312"/>
          <w:color w:val="000000"/>
          <w:kern w:val="0"/>
          <w:sz w:val="32"/>
          <w:szCs w:val="32"/>
        </w:rPr>
        <w:t>管理过程中，严格按照预算批复的要求，在预算范围内使用，专款专用。在资金支付过程中，严格按照规定使用款项，支付的每一笔款项都按部门财务管理制度办理了相关手续，并经</w:t>
      </w:r>
      <w:r>
        <w:rPr>
          <w:rFonts w:hint="eastAsia" w:ascii="仿宋_GB2312" w:hAnsi="仿宋_GB2312" w:eastAsia="仿宋_GB2312" w:cs="仿宋_GB2312"/>
          <w:color w:val="000000"/>
          <w:kern w:val="0"/>
          <w:sz w:val="32"/>
          <w:szCs w:val="32"/>
          <w:lang w:val="en-US" w:eastAsia="zh-CN"/>
        </w:rPr>
        <w:t>行财股</w:t>
      </w:r>
      <w:r>
        <w:rPr>
          <w:rFonts w:hint="eastAsia" w:ascii="仿宋_GB2312" w:hAnsi="仿宋_GB2312" w:eastAsia="仿宋_GB2312" w:cs="仿宋_GB2312"/>
          <w:color w:val="000000"/>
          <w:kern w:val="0"/>
          <w:sz w:val="32"/>
          <w:szCs w:val="32"/>
        </w:rPr>
        <w:t>审核，确保了资金支出的合理合规性，项目资金使用管理比较规范。</w:t>
      </w:r>
    </w:p>
    <w:p>
      <w:pPr>
        <w:adjustRightInd w:val="0"/>
        <w:snapToGrid w:val="0"/>
        <w:spacing w:line="600" w:lineRule="exact"/>
        <w:ind w:firstLine="720"/>
        <w:outlineLvl w:val="1"/>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（三）项目组织实施情况。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理论宣讲教育项目是事务性行为管理，不存在招投标。我</w:t>
      </w:r>
      <w:r>
        <w:rPr>
          <w:rFonts w:hint="eastAsia" w:ascii="仿宋_GB2312" w:hAnsi="仿宋_GB2312" w:eastAsia="仿宋_GB2312" w:cs="仿宋_GB2312"/>
          <w:sz w:val="32"/>
          <w:szCs w:val="32"/>
          <w:lang w:val="en-US" w:eastAsia="zh-CN"/>
        </w:rPr>
        <w:t>会</w:t>
      </w:r>
      <w:r>
        <w:rPr>
          <w:rFonts w:hint="eastAsia" w:ascii="仿宋_GB2312" w:hAnsi="仿宋_GB2312" w:eastAsia="仿宋_GB2312" w:cs="仿宋_GB2312"/>
          <w:sz w:val="32"/>
          <w:szCs w:val="32"/>
        </w:rPr>
        <w:t>围绕</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委、</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政府的中心工作，组织实施</w:t>
      </w:r>
      <w:r>
        <w:rPr>
          <w:rFonts w:hint="eastAsia" w:ascii="仿宋_GB2312" w:hAnsi="仿宋_GB2312" w:eastAsia="仿宋_GB2312" w:cs="仿宋_GB2312"/>
          <w:sz w:val="32"/>
          <w:szCs w:val="32"/>
          <w:lang w:val="en-US" w:eastAsia="zh-CN"/>
        </w:rPr>
        <w:t>法律法规、卫生健康</w:t>
      </w:r>
      <w:r>
        <w:rPr>
          <w:rFonts w:hint="eastAsia" w:ascii="仿宋_GB2312" w:hAnsi="仿宋_GB2312" w:eastAsia="仿宋_GB2312" w:cs="仿宋_GB2312"/>
          <w:sz w:val="32"/>
          <w:szCs w:val="32"/>
        </w:rPr>
        <w:t>宣传活动，各项活动的开展严格依照程序执行，各项活动均通过</w:t>
      </w:r>
      <w:r>
        <w:rPr>
          <w:rFonts w:hint="eastAsia" w:ascii="仿宋_GB2312" w:hAnsi="仿宋_GB2312" w:eastAsia="仿宋_GB2312" w:cs="仿宋_GB2312"/>
          <w:sz w:val="32"/>
          <w:szCs w:val="32"/>
          <w:lang w:val="en-US" w:eastAsia="zh-CN"/>
        </w:rPr>
        <w:t>县妇联</w:t>
      </w:r>
      <w:r>
        <w:rPr>
          <w:rFonts w:hint="eastAsia" w:ascii="仿宋_GB2312" w:hAnsi="仿宋_GB2312" w:eastAsia="仿宋_GB2312" w:cs="仿宋_GB2312"/>
          <w:sz w:val="32"/>
          <w:szCs w:val="32"/>
        </w:rPr>
        <w:t>办公室会议纪要讨论通过后方可实施。</w:t>
      </w:r>
    </w:p>
    <w:p>
      <w:pPr>
        <w:adjustRightInd w:val="0"/>
        <w:snapToGrid w:val="0"/>
        <w:spacing w:line="600" w:lineRule="exact"/>
        <w:ind w:firstLine="720"/>
        <w:outlineLvl w:val="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三、项目绩效情况</w:t>
      </w:r>
      <w:r>
        <w:rPr>
          <w:rFonts w:hint="eastAsia" w:ascii="仿宋_GB2312" w:hAnsi="仿宋_GB2312" w:eastAsia="仿宋_GB2312" w:cs="仿宋_GB2312"/>
          <w:sz w:val="32"/>
          <w:szCs w:val="32"/>
          <w:lang w:val="zh-CN"/>
        </w:rPr>
        <w:tab/>
      </w:r>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（一）项目完成情况。</w:t>
      </w:r>
    </w:p>
    <w:p>
      <w:pPr>
        <w:pStyle w:val="39"/>
        <w:spacing w:line="240" w:lineRule="auto"/>
        <w:ind w:firstLineChars="0"/>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1.项目的经济性分析</w:t>
      </w:r>
    </w:p>
    <w:p>
      <w:pPr>
        <w:pStyle w:val="39"/>
        <w:spacing w:line="240" w:lineRule="auto"/>
        <w:ind w:firstLineChars="0"/>
        <w:rPr>
          <w:rFonts w:hint="eastAsia" w:ascii="仿宋_GB2312" w:hAnsi="仿宋_GB2312" w:eastAsia="仿宋_GB2312" w:cs="仿宋_GB2312"/>
          <w:b w:val="0"/>
          <w:bCs/>
          <w:color w:val="000000"/>
          <w:kern w:val="0"/>
          <w:sz w:val="32"/>
          <w:szCs w:val="32"/>
        </w:rPr>
      </w:pPr>
      <w:r>
        <w:rPr>
          <w:rFonts w:hint="eastAsia" w:ascii="仿宋_GB2312" w:hAnsi="仿宋_GB2312" w:eastAsia="仿宋_GB2312" w:cs="仿宋_GB2312"/>
          <w:b w:val="0"/>
          <w:bCs/>
          <w:color w:val="000000"/>
          <w:kern w:val="0"/>
          <w:sz w:val="32"/>
          <w:szCs w:val="32"/>
        </w:rPr>
        <w:t>（1）项目成本（预算）控制情况</w:t>
      </w:r>
    </w:p>
    <w:p>
      <w:pPr>
        <w:adjustRightInd w:val="0"/>
        <w:snapToGrid w:val="0"/>
        <w:spacing w:line="600" w:lineRule="exact"/>
        <w:ind w:firstLine="720"/>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sz w:val="32"/>
          <w:szCs w:val="32"/>
          <w:lang w:val="en-US" w:eastAsia="zh-CN"/>
        </w:rPr>
        <w:t>姐妹宣讲团工作经费</w:t>
      </w:r>
      <w:r>
        <w:rPr>
          <w:rFonts w:hint="eastAsia" w:ascii="仿宋_GB2312" w:hAnsi="仿宋_GB2312" w:eastAsia="仿宋_GB2312" w:cs="仿宋_GB2312"/>
          <w:sz w:val="32"/>
          <w:szCs w:val="32"/>
        </w:rPr>
        <w:t>项目</w:t>
      </w:r>
      <w:r>
        <w:rPr>
          <w:rFonts w:hint="eastAsia" w:ascii="仿宋_GB2312" w:hAnsi="仿宋_GB2312" w:eastAsia="仿宋_GB2312" w:cs="仿宋_GB2312"/>
          <w:color w:val="000000"/>
          <w:kern w:val="0"/>
          <w:sz w:val="32"/>
          <w:szCs w:val="32"/>
          <w:lang w:val="en-US" w:eastAsia="zh-CN"/>
        </w:rPr>
        <w:t>2020</w:t>
      </w:r>
      <w:r>
        <w:rPr>
          <w:rFonts w:hint="eastAsia" w:ascii="仿宋_GB2312" w:hAnsi="仿宋_GB2312" w:eastAsia="仿宋_GB2312" w:cs="仿宋_GB2312"/>
          <w:color w:val="000000"/>
          <w:kern w:val="0"/>
          <w:sz w:val="32"/>
          <w:szCs w:val="32"/>
        </w:rPr>
        <w:t>年度年初预算金额</w:t>
      </w:r>
      <w:r>
        <w:rPr>
          <w:rFonts w:hint="eastAsia" w:ascii="仿宋_GB2312" w:hAnsi="仿宋_GB2312" w:eastAsia="仿宋_GB2312" w:cs="仿宋_GB2312"/>
          <w:color w:val="000000"/>
          <w:kern w:val="0"/>
          <w:sz w:val="32"/>
          <w:szCs w:val="32"/>
          <w:lang w:val="en-US" w:eastAsia="zh-CN"/>
        </w:rPr>
        <w:t>10</w:t>
      </w:r>
      <w:r>
        <w:rPr>
          <w:rFonts w:hint="eastAsia" w:ascii="仿宋_GB2312" w:hAnsi="仿宋_GB2312" w:eastAsia="仿宋_GB2312" w:cs="仿宋_GB2312"/>
          <w:color w:val="000000"/>
          <w:kern w:val="0"/>
          <w:sz w:val="32"/>
          <w:szCs w:val="32"/>
        </w:rPr>
        <w:t>万元，并于批复后下达用款指标，20</w:t>
      </w:r>
      <w:r>
        <w:rPr>
          <w:rFonts w:hint="eastAsia" w:ascii="仿宋_GB2312" w:hAnsi="仿宋_GB2312" w:eastAsia="仿宋_GB2312" w:cs="仿宋_GB2312"/>
          <w:color w:val="000000"/>
          <w:kern w:val="0"/>
          <w:sz w:val="32"/>
          <w:szCs w:val="32"/>
          <w:lang w:val="en-US" w:eastAsia="zh-CN"/>
        </w:rPr>
        <w:t>20</w:t>
      </w:r>
      <w:r>
        <w:rPr>
          <w:rFonts w:hint="eastAsia" w:ascii="仿宋_GB2312" w:hAnsi="仿宋_GB2312" w:eastAsia="仿宋_GB2312" w:cs="仿宋_GB2312"/>
          <w:color w:val="000000"/>
          <w:kern w:val="0"/>
          <w:sz w:val="32"/>
          <w:szCs w:val="32"/>
        </w:rPr>
        <w:t>年该项目实际到位资金</w:t>
      </w:r>
      <w:r>
        <w:rPr>
          <w:rFonts w:hint="eastAsia" w:ascii="仿宋_GB2312" w:hAnsi="仿宋_GB2312" w:eastAsia="仿宋_GB2312" w:cs="仿宋_GB2312"/>
          <w:color w:val="000000"/>
          <w:kern w:val="0"/>
          <w:sz w:val="32"/>
          <w:szCs w:val="32"/>
          <w:lang w:val="en-US" w:eastAsia="zh-CN"/>
        </w:rPr>
        <w:t>10</w:t>
      </w:r>
      <w:r>
        <w:rPr>
          <w:rFonts w:hint="eastAsia" w:ascii="仿宋_GB2312" w:hAnsi="仿宋_GB2312" w:eastAsia="仿宋_GB2312" w:cs="仿宋_GB2312"/>
          <w:color w:val="000000"/>
          <w:kern w:val="0"/>
          <w:sz w:val="32"/>
          <w:szCs w:val="32"/>
        </w:rPr>
        <w:t>万</w:t>
      </w:r>
      <w:r>
        <w:rPr>
          <w:rFonts w:hint="eastAsia" w:ascii="仿宋_GB2312" w:hAnsi="仿宋_GB2312" w:eastAsia="仿宋_GB2312" w:cs="仿宋_GB2312"/>
          <w:color w:val="000000"/>
          <w:kern w:val="0"/>
          <w:sz w:val="32"/>
          <w:szCs w:val="32"/>
          <w:lang w:eastAsia="zh-CN"/>
        </w:rPr>
        <w:t>。</w:t>
      </w:r>
    </w:p>
    <w:p>
      <w:pPr>
        <w:pStyle w:val="39"/>
        <w:spacing w:line="240" w:lineRule="auto"/>
        <w:ind w:firstLineChars="0"/>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（2）项目成本（预算）节约情况</w:t>
      </w:r>
    </w:p>
    <w:p>
      <w:pPr>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rPr>
        <w:t>该</w:t>
      </w:r>
      <w:r>
        <w:rPr>
          <w:rFonts w:hint="eastAsia" w:ascii="仿宋_GB2312" w:hAnsi="仿宋_GB2312" w:eastAsia="仿宋_GB2312" w:cs="仿宋_GB2312"/>
          <w:color w:val="000000"/>
          <w:kern w:val="0"/>
          <w:sz w:val="32"/>
          <w:szCs w:val="32"/>
        </w:rPr>
        <w:t>项目</w:t>
      </w:r>
      <w:r>
        <w:rPr>
          <w:rFonts w:hint="eastAsia" w:ascii="仿宋_GB2312" w:hAnsi="仿宋_GB2312" w:eastAsia="仿宋_GB2312" w:cs="仿宋_GB2312"/>
          <w:color w:val="000000"/>
          <w:kern w:val="0"/>
          <w:sz w:val="32"/>
          <w:szCs w:val="32"/>
          <w:lang w:val="en-US" w:eastAsia="zh-CN"/>
        </w:rPr>
        <w:t>2020</w:t>
      </w:r>
      <w:r>
        <w:rPr>
          <w:rFonts w:hint="eastAsia" w:ascii="仿宋_GB2312" w:hAnsi="仿宋_GB2312" w:eastAsia="仿宋_GB2312" w:cs="仿宋_GB2312"/>
          <w:color w:val="000000"/>
          <w:kern w:val="0"/>
          <w:sz w:val="32"/>
          <w:szCs w:val="32"/>
        </w:rPr>
        <w:t>年度预算金额</w:t>
      </w:r>
      <w:r>
        <w:rPr>
          <w:rFonts w:hint="eastAsia" w:ascii="仿宋_GB2312" w:hAnsi="仿宋_GB2312" w:eastAsia="仿宋_GB2312" w:cs="仿宋_GB2312"/>
          <w:color w:val="000000"/>
          <w:kern w:val="0"/>
          <w:sz w:val="32"/>
          <w:szCs w:val="32"/>
          <w:lang w:val="en-US" w:eastAsia="zh-CN"/>
        </w:rPr>
        <w:t>10</w:t>
      </w:r>
      <w:r>
        <w:rPr>
          <w:rFonts w:hint="eastAsia" w:ascii="仿宋_GB2312" w:hAnsi="仿宋_GB2312" w:eastAsia="仿宋_GB2312" w:cs="仿宋_GB2312"/>
          <w:color w:val="000000"/>
          <w:kern w:val="0"/>
          <w:sz w:val="32"/>
          <w:szCs w:val="32"/>
        </w:rPr>
        <w:t>万元，实际支出</w:t>
      </w:r>
      <w:r>
        <w:rPr>
          <w:rFonts w:hint="eastAsia" w:ascii="仿宋_GB2312" w:hAnsi="仿宋_GB2312" w:eastAsia="仿宋_GB2312" w:cs="仿宋_GB2312"/>
          <w:color w:val="000000"/>
          <w:kern w:val="0"/>
          <w:sz w:val="32"/>
          <w:szCs w:val="32"/>
          <w:lang w:val="en-US" w:eastAsia="zh-CN"/>
        </w:rPr>
        <w:t>1.6</w:t>
      </w:r>
      <w:r>
        <w:rPr>
          <w:rFonts w:hint="eastAsia" w:ascii="仿宋_GB2312" w:hAnsi="仿宋_GB2312" w:eastAsia="仿宋_GB2312" w:cs="仿宋_GB2312"/>
          <w:color w:val="000000"/>
          <w:kern w:val="0"/>
          <w:sz w:val="32"/>
          <w:szCs w:val="32"/>
        </w:rPr>
        <w:t>万元。本项目按照项目年初测算范围执行，确保款项专款专用，没发生其他额外成本。</w:t>
      </w:r>
    </w:p>
    <w:p>
      <w:pPr>
        <w:pStyle w:val="39"/>
        <w:spacing w:line="240" w:lineRule="auto"/>
        <w:ind w:firstLineChars="0"/>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2.项目的效率性分析</w:t>
      </w:r>
    </w:p>
    <w:p>
      <w:pPr>
        <w:pStyle w:val="39"/>
        <w:spacing w:line="240" w:lineRule="auto"/>
        <w:ind w:firstLineChars="0"/>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（1）项目的实施进度</w:t>
      </w:r>
    </w:p>
    <w:p>
      <w:pPr>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2020</w:t>
      </w:r>
      <w:r>
        <w:rPr>
          <w:rFonts w:hint="eastAsia" w:ascii="仿宋_GB2312" w:hAnsi="仿宋_GB2312" w:eastAsia="仿宋_GB2312" w:cs="仿宋_GB2312"/>
          <w:color w:val="000000"/>
          <w:kern w:val="0"/>
          <w:sz w:val="32"/>
          <w:szCs w:val="32"/>
        </w:rPr>
        <w:t>年项目预算资金</w:t>
      </w:r>
      <w:r>
        <w:rPr>
          <w:rFonts w:hint="eastAsia" w:ascii="仿宋_GB2312" w:hAnsi="仿宋_GB2312" w:eastAsia="仿宋_GB2312" w:cs="仿宋_GB2312"/>
          <w:color w:val="000000"/>
          <w:kern w:val="0"/>
          <w:sz w:val="32"/>
          <w:szCs w:val="32"/>
          <w:lang w:val="en-US" w:eastAsia="zh-CN"/>
        </w:rPr>
        <w:t>10</w:t>
      </w:r>
      <w:r>
        <w:rPr>
          <w:rFonts w:hint="eastAsia" w:ascii="仿宋_GB2312" w:hAnsi="仿宋_GB2312" w:eastAsia="仿宋_GB2312" w:cs="仿宋_GB2312"/>
          <w:color w:val="000000"/>
          <w:kern w:val="0"/>
          <w:sz w:val="32"/>
          <w:szCs w:val="32"/>
        </w:rPr>
        <w:t>万元，实际支出</w:t>
      </w:r>
      <w:r>
        <w:rPr>
          <w:rFonts w:hint="eastAsia" w:ascii="仿宋_GB2312" w:hAnsi="仿宋_GB2312" w:eastAsia="仿宋_GB2312" w:cs="仿宋_GB2312"/>
          <w:color w:val="000000"/>
          <w:kern w:val="0"/>
          <w:sz w:val="32"/>
          <w:szCs w:val="32"/>
          <w:lang w:val="en-US" w:eastAsia="zh-CN"/>
        </w:rPr>
        <w:t>1.6</w:t>
      </w:r>
      <w:r>
        <w:rPr>
          <w:rFonts w:hint="eastAsia" w:ascii="仿宋_GB2312" w:hAnsi="仿宋_GB2312" w:eastAsia="仿宋_GB2312" w:cs="仿宋_GB2312"/>
          <w:color w:val="000000"/>
          <w:kern w:val="0"/>
          <w:sz w:val="32"/>
          <w:szCs w:val="32"/>
        </w:rPr>
        <w:t>万元，资金使用按照拨付款进度基本完成年度工作任务。</w:t>
      </w:r>
    </w:p>
    <w:p>
      <w:pPr>
        <w:pStyle w:val="39"/>
        <w:spacing w:line="240" w:lineRule="auto"/>
        <w:ind w:firstLineChars="0"/>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（2）项目完成质量</w:t>
      </w:r>
    </w:p>
    <w:p>
      <w:pPr>
        <w:pStyle w:val="39"/>
        <w:spacing w:line="240" w:lineRule="auto"/>
        <w:ind w:firstLineChars="0"/>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sz w:val="32"/>
          <w:szCs w:val="32"/>
        </w:rPr>
        <w:t>该项目</w:t>
      </w:r>
      <w:r>
        <w:rPr>
          <w:rFonts w:hint="eastAsia" w:ascii="仿宋_GB2312" w:hAnsi="仿宋_GB2312" w:eastAsia="仿宋_GB2312" w:cs="仿宋_GB2312"/>
          <w:b w:val="0"/>
          <w:color w:val="000000"/>
          <w:kern w:val="0"/>
          <w:sz w:val="32"/>
          <w:szCs w:val="32"/>
        </w:rPr>
        <w:t>质量</w:t>
      </w:r>
      <w:r>
        <w:rPr>
          <w:rFonts w:hint="eastAsia" w:ascii="仿宋_GB2312" w:hAnsi="仿宋_GB2312" w:eastAsia="仿宋_GB2312" w:cs="仿宋_GB2312"/>
          <w:b w:val="0"/>
          <w:sz w:val="32"/>
          <w:szCs w:val="32"/>
        </w:rPr>
        <w:t>完成情况较好。</w:t>
      </w:r>
    </w:p>
    <w:p>
      <w:pPr>
        <w:numPr>
          <w:ilvl w:val="0"/>
          <w:numId w:val="5"/>
        </w:numPr>
        <w:adjustRightInd w:val="0"/>
        <w:snapToGrid w:val="0"/>
        <w:spacing w:line="600" w:lineRule="exact"/>
        <w:ind w:left="0" w:leftChars="0" w:firstLine="720" w:firstLineChars="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项目效益情况。</w:t>
      </w:r>
    </w:p>
    <w:p>
      <w:pPr>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项目资金使用情况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年部门预算姐妹宣讲团工作经费</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万元，截至2019年1月份，该项目资金财政拨款全部到位，资金到位率100%，实际支出</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万元，资金利用率达到</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姐妹宣讲团工作专项资金主要用于宣讲工作。项目资金管理情况：县妇联严格执行财务和专项资金等管理制度，做到了费用支出制度健全，会计核算规范，无虚列、挤占、挪用情况，无超标准开支情况。群众满意度：98%。</w:t>
      </w:r>
    </w:p>
    <w:p>
      <w:pPr>
        <w:adjustRightInd w:val="0"/>
        <w:snapToGrid w:val="0"/>
        <w:spacing w:line="600" w:lineRule="exact"/>
        <w:ind w:firstLine="720"/>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四、问题及建议</w:t>
      </w:r>
    </w:p>
    <w:p>
      <w:pPr>
        <w:adjustRightInd w:val="0"/>
        <w:snapToGrid w:val="0"/>
        <w:spacing w:line="600" w:lineRule="exact"/>
        <w:ind w:firstLine="720"/>
        <w:outlineLvl w:val="1"/>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（一）存在的问题。</w:t>
      </w:r>
    </w:p>
    <w:p>
      <w:pPr>
        <w:spacing w:line="360" w:lineRule="auto"/>
        <w:ind w:firstLine="640" w:firstLineChars="200"/>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、党的基层理论宣传路径比较单一，常规的宣传形式就是利用课堂教学的方式开展，就理论问题的解释和方针政策的制定进行理论灌输，没有营造多渠道的宣传模式，直接对普通群众宣传教育灌输较少。</w:t>
      </w:r>
    </w:p>
    <w:p>
      <w:pPr>
        <w:spacing w:line="360" w:lineRule="auto"/>
        <w:ind w:firstLine="640" w:firstLineChars="200"/>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基层理论宣传队伍薄弱，没有形成理论专家、专业技术人员、基层领导干部和普通群众组成的宣传队伍，现有的理论宣传，虽然着重于党的基本理论的系统宣讲，但理论阐述宣讲没有达到通俗化、具体化、大众化，理论宣讲的针对性不强。</w:t>
      </w:r>
    </w:p>
    <w:p>
      <w:pPr>
        <w:adjustRightInd w:val="0"/>
        <w:snapToGrid w:val="0"/>
        <w:spacing w:line="600" w:lineRule="exact"/>
        <w:ind w:firstLine="643" w:firstLineChars="200"/>
        <w:outlineLvl w:val="1"/>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（二）相关建议。</w:t>
      </w:r>
    </w:p>
    <w:p>
      <w:pPr>
        <w:spacing w:line="360" w:lineRule="auto"/>
        <w:ind w:firstLine="640" w:firstLineChars="200"/>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、坚持多渠道宣传宣讲，拓展多渠道理论宣传的新路，以推动文化资源共享工作为契机，大力推进“多网合一”的理论宣传模式，使基层理论宣传工作达到多渠道、广覆盖，充分满足群众对理论宣传的需求。</w:t>
      </w:r>
    </w:p>
    <w:p>
      <w:pPr>
        <w:spacing w:line="360" w:lineRule="auto"/>
        <w:ind w:firstLine="640" w:firstLineChars="200"/>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、加强宣传宣讲队伍建设，通过培训、研讨等多种形式提高专业宣传队伍的业务素质，提高理论宣传队伍的宣讲能力，增强宣讲的效果效应。</w:t>
      </w:r>
    </w:p>
    <w:p>
      <w:pPr>
        <w:spacing w:line="360" w:lineRule="auto"/>
        <w:ind w:firstLine="640" w:firstLineChars="200"/>
        <w:outlineLvl w:val="0"/>
        <w:rPr>
          <w:rFonts w:ascii="仿宋_GB2312" w:hAnsi="仿宋" w:eastAsia="仿宋_GB2312"/>
          <w:sz w:val="32"/>
          <w:szCs w:val="32"/>
        </w:rPr>
      </w:pPr>
    </w:p>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24"/>
          <w:rFonts w:ascii="黑体" w:hAnsi="黑体" w:eastAsia="黑体"/>
          <w:b w:val="0"/>
        </w:rPr>
      </w:pPr>
      <w:r>
        <w:rPr>
          <w:rFonts w:hint="eastAsia" w:ascii="黑体" w:hAnsi="黑体" w:eastAsia="黑体"/>
          <w:color w:val="000000"/>
          <w:sz w:val="44"/>
          <w:szCs w:val="44"/>
        </w:rPr>
        <w:t>第</w:t>
      </w:r>
      <w:r>
        <w:rPr>
          <w:rStyle w:val="24"/>
          <w:rFonts w:hint="eastAsia" w:ascii="黑体" w:hAnsi="黑体" w:eastAsia="黑体"/>
          <w:b w:val="0"/>
        </w:rPr>
        <w:t>五部分</w:t>
      </w:r>
      <w:r>
        <w:rPr>
          <w:rStyle w:val="24"/>
          <w:rFonts w:ascii="黑体" w:hAnsi="黑体" w:eastAsia="黑体"/>
          <w:b w:val="0"/>
        </w:rPr>
        <w:t xml:space="preserve"> </w:t>
      </w:r>
      <w:r>
        <w:rPr>
          <w:rStyle w:val="24"/>
          <w:rFonts w:hint="eastAsia" w:ascii="黑体" w:hAnsi="黑体" w:eastAsia="黑体"/>
          <w:b w:val="0"/>
        </w:rPr>
        <w:t>附表</w:t>
      </w:r>
      <w:bookmarkEnd w:id="110"/>
      <w:bookmarkEnd w:id="122"/>
      <w:bookmarkEnd w:id="123"/>
      <w:bookmarkEnd w:id="124"/>
    </w:p>
    <w:p>
      <w:pPr>
        <w:pStyle w:val="4"/>
        <w:rPr>
          <w:rFonts w:ascii="仿宋" w:hAnsi="仿宋" w:eastAsia="仿宋"/>
          <w:color w:val="000000"/>
        </w:rPr>
      </w:pPr>
      <w:bookmarkStart w:id="125" w:name="_Toc79163636"/>
      <w:bookmarkStart w:id="126" w:name="_Toc79163886"/>
      <w:bookmarkStart w:id="127" w:name="_Toc15396619"/>
      <w:r>
        <w:rPr>
          <w:rFonts w:hint="eastAsia" w:ascii="仿宋" w:hAnsi="仿宋" w:eastAsia="仿宋"/>
          <w:b w:val="0"/>
          <w:color w:val="000000"/>
        </w:rPr>
        <w:t>一、收</w:t>
      </w:r>
      <w:r>
        <w:rPr>
          <w:rStyle w:val="25"/>
          <w:rFonts w:hint="eastAsia" w:ascii="仿宋" w:hAnsi="仿宋" w:eastAsia="仿宋"/>
          <w:b w:val="0"/>
          <w:bCs w:val="0"/>
        </w:rPr>
        <w:t>入支出决算总表</w:t>
      </w:r>
      <w:bookmarkEnd w:id="125"/>
      <w:bookmarkEnd w:id="126"/>
      <w:bookmarkEnd w:id="127"/>
    </w:p>
    <w:p>
      <w:pPr>
        <w:pStyle w:val="4"/>
        <w:rPr>
          <w:rFonts w:ascii="仿宋" w:hAnsi="仿宋" w:eastAsia="仿宋"/>
          <w:color w:val="000000"/>
        </w:rPr>
      </w:pPr>
      <w:bookmarkStart w:id="128" w:name="_Toc15396620"/>
      <w:bookmarkStart w:id="129" w:name="_Toc79163637"/>
      <w:bookmarkStart w:id="130" w:name="_Toc79163887"/>
      <w:r>
        <w:rPr>
          <w:rFonts w:hint="eastAsia" w:ascii="仿宋" w:hAnsi="仿宋" w:eastAsia="仿宋"/>
          <w:b w:val="0"/>
          <w:color w:val="000000"/>
        </w:rPr>
        <w:t>二、收</w:t>
      </w:r>
      <w:r>
        <w:rPr>
          <w:rStyle w:val="25"/>
          <w:rFonts w:hint="eastAsia" w:ascii="仿宋" w:hAnsi="仿宋" w:eastAsia="仿宋"/>
          <w:b w:val="0"/>
          <w:bCs w:val="0"/>
        </w:rPr>
        <w:t>入决算表</w:t>
      </w:r>
      <w:bookmarkEnd w:id="128"/>
      <w:bookmarkEnd w:id="129"/>
      <w:bookmarkEnd w:id="130"/>
    </w:p>
    <w:p>
      <w:pPr>
        <w:pStyle w:val="4"/>
        <w:rPr>
          <w:rFonts w:ascii="仿宋" w:hAnsi="仿宋" w:eastAsia="仿宋"/>
          <w:color w:val="000000"/>
        </w:rPr>
      </w:pPr>
      <w:bookmarkStart w:id="131" w:name="_Toc79163888"/>
      <w:bookmarkStart w:id="132" w:name="_Toc79163638"/>
      <w:bookmarkStart w:id="133" w:name="_Toc15396621"/>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131"/>
      <w:bookmarkEnd w:id="132"/>
      <w:bookmarkEnd w:id="133"/>
    </w:p>
    <w:p>
      <w:pPr>
        <w:pStyle w:val="4"/>
        <w:rPr>
          <w:rFonts w:ascii="仿宋" w:hAnsi="仿宋" w:eastAsia="仿宋"/>
          <w:b w:val="0"/>
          <w:color w:val="000000"/>
        </w:rPr>
      </w:pPr>
      <w:bookmarkStart w:id="134" w:name="_Toc15396622"/>
      <w:bookmarkStart w:id="135" w:name="_Toc79163639"/>
      <w:bookmarkStart w:id="136" w:name="_Toc79163889"/>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134"/>
      <w:bookmarkEnd w:id="135"/>
      <w:bookmarkEnd w:id="136"/>
    </w:p>
    <w:p>
      <w:pPr>
        <w:pStyle w:val="4"/>
        <w:rPr>
          <w:rStyle w:val="25"/>
          <w:rFonts w:ascii="仿宋" w:hAnsi="仿宋" w:eastAsia="仿宋"/>
          <w:b w:val="0"/>
          <w:bCs w:val="0"/>
        </w:rPr>
      </w:pPr>
      <w:bookmarkStart w:id="137" w:name="_Toc79163640"/>
      <w:bookmarkStart w:id="138" w:name="_Toc15396623"/>
      <w:bookmarkStart w:id="139" w:name="_Toc79163890"/>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137"/>
      <w:bookmarkEnd w:id="138"/>
      <w:bookmarkEnd w:id="139"/>
      <w:bookmarkStart w:id="140" w:name="_Toc15396624"/>
    </w:p>
    <w:p>
      <w:pPr>
        <w:pStyle w:val="4"/>
        <w:rPr>
          <w:rFonts w:ascii="仿宋" w:hAnsi="仿宋" w:eastAsia="仿宋"/>
          <w:color w:val="000000"/>
        </w:rPr>
      </w:pPr>
      <w:bookmarkStart w:id="141" w:name="_Toc79163891"/>
      <w:bookmarkStart w:id="142" w:name="_Toc79163641"/>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140"/>
      <w:bookmarkEnd w:id="141"/>
      <w:bookmarkEnd w:id="142"/>
    </w:p>
    <w:p>
      <w:pPr>
        <w:pStyle w:val="4"/>
        <w:rPr>
          <w:rFonts w:ascii="仿宋" w:hAnsi="仿宋" w:eastAsia="仿宋"/>
          <w:color w:val="000000"/>
        </w:rPr>
      </w:pPr>
      <w:bookmarkStart w:id="143" w:name="_Toc15396625"/>
      <w:bookmarkStart w:id="144" w:name="_Toc79163892"/>
      <w:bookmarkStart w:id="145" w:name="_Toc79163642"/>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143"/>
      <w:bookmarkEnd w:id="144"/>
      <w:bookmarkEnd w:id="145"/>
    </w:p>
    <w:p>
      <w:pPr>
        <w:pStyle w:val="4"/>
        <w:rPr>
          <w:rFonts w:ascii="仿宋" w:hAnsi="仿宋" w:eastAsia="仿宋"/>
          <w:color w:val="000000"/>
        </w:rPr>
      </w:pPr>
      <w:bookmarkStart w:id="146" w:name="_Toc15396626"/>
      <w:bookmarkStart w:id="147" w:name="_Toc79163643"/>
      <w:bookmarkStart w:id="148" w:name="_Toc79163893"/>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146"/>
      <w:bookmarkEnd w:id="147"/>
      <w:bookmarkEnd w:id="148"/>
    </w:p>
    <w:p>
      <w:pPr>
        <w:pStyle w:val="4"/>
        <w:rPr>
          <w:rFonts w:ascii="仿宋" w:hAnsi="仿宋" w:eastAsia="仿宋"/>
          <w:color w:val="000000"/>
        </w:rPr>
      </w:pPr>
      <w:bookmarkStart w:id="149" w:name="_Toc15396627"/>
      <w:bookmarkStart w:id="150" w:name="_Toc79163894"/>
      <w:bookmarkStart w:id="151" w:name="_Toc79163644"/>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149"/>
      <w:bookmarkEnd w:id="150"/>
      <w:bookmarkEnd w:id="151"/>
    </w:p>
    <w:p>
      <w:pPr>
        <w:pStyle w:val="4"/>
        <w:rPr>
          <w:rFonts w:ascii="仿宋" w:hAnsi="仿宋" w:eastAsia="仿宋"/>
          <w:color w:val="000000"/>
        </w:rPr>
      </w:pPr>
      <w:bookmarkStart w:id="152" w:name="_Toc79163645"/>
      <w:bookmarkStart w:id="153" w:name="_Toc79163895"/>
      <w:bookmarkStart w:id="154" w:name="_Toc15396628"/>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152"/>
      <w:bookmarkEnd w:id="153"/>
      <w:bookmarkEnd w:id="154"/>
    </w:p>
    <w:p>
      <w:pPr>
        <w:pStyle w:val="4"/>
        <w:rPr>
          <w:rFonts w:ascii="仿宋" w:hAnsi="仿宋" w:eastAsia="仿宋"/>
          <w:color w:val="000000"/>
        </w:rPr>
      </w:pPr>
      <w:bookmarkStart w:id="155" w:name="_Toc79163646"/>
      <w:bookmarkStart w:id="156" w:name="_Toc15396629"/>
      <w:bookmarkStart w:id="157" w:name="_Toc79163896"/>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155"/>
      <w:bookmarkEnd w:id="156"/>
      <w:bookmarkEnd w:id="157"/>
    </w:p>
    <w:p>
      <w:pPr>
        <w:pStyle w:val="4"/>
        <w:rPr>
          <w:rFonts w:ascii="仿宋" w:hAnsi="仿宋" w:eastAsia="仿宋"/>
          <w:color w:val="000000"/>
        </w:rPr>
      </w:pPr>
      <w:bookmarkStart w:id="158" w:name="_Toc15396630"/>
      <w:bookmarkStart w:id="159" w:name="_Toc79163897"/>
      <w:bookmarkStart w:id="160" w:name="_Toc79163647"/>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158"/>
      <w:bookmarkEnd w:id="159"/>
      <w:bookmarkEnd w:id="160"/>
    </w:p>
    <w:p>
      <w:pPr>
        <w:pStyle w:val="4"/>
        <w:rPr>
          <w:rStyle w:val="25"/>
          <w:rFonts w:ascii="仿宋" w:hAnsi="仿宋" w:eastAsia="仿宋"/>
          <w:b w:val="0"/>
          <w:bCs w:val="0"/>
        </w:rPr>
      </w:pPr>
      <w:bookmarkStart w:id="161" w:name="_Toc79163648"/>
      <w:bookmarkStart w:id="162" w:name="_Toc15396631"/>
      <w:bookmarkStart w:id="163" w:name="_Toc79163898"/>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有资本经营预算财政拨款支出决算表</w:t>
      </w:r>
      <w:bookmarkEnd w:id="161"/>
      <w:bookmarkEnd w:id="162"/>
      <w:bookmarkEnd w:id="163"/>
    </w:p>
    <w:p>
      <w:pPr>
        <w:pStyle w:val="4"/>
        <w:rPr>
          <w:rStyle w:val="25"/>
          <w:rFonts w:ascii="仿宋" w:hAnsi="仿宋" w:eastAsia="仿宋"/>
          <w:b w:val="0"/>
          <w:bCs w:val="0"/>
        </w:rPr>
      </w:pPr>
      <w:bookmarkStart w:id="164" w:name="_Toc79163899"/>
      <w:bookmarkStart w:id="165" w:name="_Toc79163649"/>
      <w:r>
        <w:rPr>
          <w:rStyle w:val="25"/>
          <w:rFonts w:hint="eastAsia" w:ascii="仿宋" w:hAnsi="仿宋" w:eastAsia="仿宋"/>
          <w:b w:val="0"/>
          <w:bCs w:val="0"/>
        </w:rPr>
        <w:t>十四、国有资本经营预算财政拨款支出决算表</w:t>
      </w:r>
      <w:bookmarkEnd w:id="164"/>
      <w:bookmarkEnd w:id="165"/>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3</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D036A2"/>
    <w:multiLevelType w:val="singleLevel"/>
    <w:tmpl w:val="ACD036A2"/>
    <w:lvl w:ilvl="0" w:tentative="0">
      <w:start w:val="2"/>
      <w:numFmt w:val="decimal"/>
      <w:suff w:val="nothing"/>
      <w:lvlText w:val="%1．"/>
      <w:lvlJc w:val="left"/>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121F9B2F"/>
    <w:multiLevelType w:val="singleLevel"/>
    <w:tmpl w:val="121F9B2F"/>
    <w:lvl w:ilvl="0" w:tentative="0">
      <w:start w:val="1"/>
      <w:numFmt w:val="chineseCounting"/>
      <w:suff w:val="nothing"/>
      <w:lvlText w:val="（%1）"/>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5">
    <w:nsid w:val="162A9803"/>
    <w:multiLevelType w:val="singleLevel"/>
    <w:tmpl w:val="162A9803"/>
    <w:lvl w:ilvl="0" w:tentative="0">
      <w:start w:val="2"/>
      <w:numFmt w:val="chineseCounting"/>
      <w:suff w:val="nothing"/>
      <w:lvlText w:val="（%1）"/>
      <w:lvlJc w:val="left"/>
      <w:rPr>
        <w:rFonts w:hint="eastAsia"/>
      </w:rPr>
    </w:lvl>
  </w:abstractNum>
  <w:num w:numId="1">
    <w:abstractNumId w:val="4"/>
  </w:num>
  <w:num w:numId="2">
    <w:abstractNumId w:val="1"/>
  </w:num>
  <w:num w:numId="3">
    <w:abstractNumId w:val="2"/>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RjMTMxOWRkOGQwMzIzMmE4MDFiOWUwNDA2ZDg2YjYifQ=="/>
  </w:docVars>
  <w:rsids>
    <w:rsidRoot w:val="00F1361C"/>
    <w:rsid w:val="000222C6"/>
    <w:rsid w:val="0002549F"/>
    <w:rsid w:val="000468DB"/>
    <w:rsid w:val="00047663"/>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82D0F"/>
    <w:rsid w:val="00294DC9"/>
    <w:rsid w:val="00295495"/>
    <w:rsid w:val="002A31DE"/>
    <w:rsid w:val="002B2613"/>
    <w:rsid w:val="002B2FF7"/>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0703D"/>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0BCD"/>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67211"/>
    <w:rsid w:val="00F754A1"/>
    <w:rsid w:val="00F81FD9"/>
    <w:rsid w:val="00F841AA"/>
    <w:rsid w:val="00F84A94"/>
    <w:rsid w:val="00F87E96"/>
    <w:rsid w:val="00FA23E8"/>
    <w:rsid w:val="00FD3CC1"/>
    <w:rsid w:val="00FF1E02"/>
    <w:rsid w:val="00FF30B4"/>
    <w:rsid w:val="0A2032A3"/>
    <w:rsid w:val="10C055FF"/>
    <w:rsid w:val="118107EC"/>
    <w:rsid w:val="16BB723D"/>
    <w:rsid w:val="1D155CEE"/>
    <w:rsid w:val="1FC50636"/>
    <w:rsid w:val="240371BF"/>
    <w:rsid w:val="29FD04D3"/>
    <w:rsid w:val="2B391195"/>
    <w:rsid w:val="319F7F4E"/>
    <w:rsid w:val="332F0209"/>
    <w:rsid w:val="38C9044D"/>
    <w:rsid w:val="3CF462E8"/>
    <w:rsid w:val="43DB486A"/>
    <w:rsid w:val="4ECE2238"/>
    <w:rsid w:val="52C72984"/>
    <w:rsid w:val="5E147655"/>
    <w:rsid w:val="5F562DA3"/>
    <w:rsid w:val="641244B0"/>
    <w:rsid w:val="6C4A05C8"/>
    <w:rsid w:val="72734D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5"/>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26"/>
    <w:qFormat/>
    <w:uiPriority w:val="9"/>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33"/>
    <w:qFormat/>
    <w:uiPriority w:val="99"/>
    <w:pPr>
      <w:spacing w:beforeLines="30"/>
    </w:pPr>
    <w:rPr>
      <w:rFonts w:ascii="仿宋_GB2312" w:eastAsia="仿宋_GB2312"/>
      <w:kern w:val="0"/>
      <w:sz w:val="24"/>
      <w:szCs w:val="20"/>
      <w:lang w:val="zh-CN" w:eastAsia="zh-CN"/>
    </w:r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toc 5"/>
    <w:basedOn w:val="1"/>
    <w:next w:val="1"/>
    <w:unhideWhenUsed/>
    <w:qFormat/>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qFormat/>
    <w:uiPriority w:val="39"/>
    <w:pPr>
      <w:ind w:left="1470"/>
      <w:jc w:val="left"/>
    </w:pPr>
    <w:rPr>
      <w:rFonts w:asciiTheme="minorHAnsi" w:eastAsiaTheme="minorHAnsi"/>
      <w:sz w:val="18"/>
      <w:szCs w:val="18"/>
    </w:rPr>
  </w:style>
  <w:style w:type="paragraph" w:styleId="10">
    <w:name w:val="Balloon Text"/>
    <w:basedOn w:val="1"/>
    <w:link w:val="28"/>
    <w:semiHidden/>
    <w:unhideWhenUsed/>
    <w:qFormat/>
    <w:uiPriority w:val="99"/>
    <w:rPr>
      <w:sz w:val="18"/>
      <w:szCs w:val="18"/>
    </w:rPr>
  </w:style>
  <w:style w:type="paragraph" w:styleId="11">
    <w:name w:val="footer"/>
    <w:basedOn w:val="1"/>
    <w:link w:val="32"/>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2">
    <w:name w:val="header"/>
    <w:basedOn w:val="1"/>
    <w:link w:val="31"/>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3">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4">
    <w:name w:val="toc 4"/>
    <w:basedOn w:val="1"/>
    <w:next w:val="1"/>
    <w:unhideWhenUsed/>
    <w:qFormat/>
    <w:uiPriority w:val="39"/>
    <w:pPr>
      <w:ind w:left="630"/>
      <w:jc w:val="left"/>
    </w:pPr>
    <w:rPr>
      <w:rFonts w:asciiTheme="minorHAnsi" w:eastAsiaTheme="minorHAnsi"/>
      <w:sz w:val="18"/>
      <w:szCs w:val="18"/>
    </w:rPr>
  </w:style>
  <w:style w:type="paragraph" w:styleId="15">
    <w:name w:val="toc 6"/>
    <w:basedOn w:val="1"/>
    <w:next w:val="1"/>
    <w:unhideWhenUsed/>
    <w:qFormat/>
    <w:uiPriority w:val="39"/>
    <w:pPr>
      <w:ind w:left="1050"/>
      <w:jc w:val="left"/>
    </w:pPr>
    <w:rPr>
      <w:rFonts w:asciiTheme="minorHAnsi" w:eastAsiaTheme="minorHAnsi"/>
      <w:sz w:val="18"/>
      <w:szCs w:val="18"/>
    </w:rPr>
  </w:style>
  <w:style w:type="paragraph" w:styleId="16">
    <w:name w:val="table of figures"/>
    <w:basedOn w:val="1"/>
    <w:next w:val="1"/>
    <w:unhideWhenUsed/>
    <w:qFormat/>
    <w:uiPriority w:val="0"/>
    <w:pPr>
      <w:ind w:left="200" w:leftChars="200" w:hanging="200" w:hangingChars="200"/>
    </w:pPr>
    <w:rPr>
      <w:rFonts w:hint="eastAsia"/>
    </w:rPr>
  </w:style>
  <w:style w:type="paragraph" w:styleId="17">
    <w:name w:val="toc 2"/>
    <w:basedOn w:val="1"/>
    <w:next w:val="1"/>
    <w:unhideWhenUsed/>
    <w:qFormat/>
    <w:uiPriority w:val="39"/>
    <w:pPr>
      <w:ind w:left="210"/>
      <w:jc w:val="left"/>
    </w:pPr>
    <w:rPr>
      <w:rFonts w:asciiTheme="minorHAnsi" w:eastAsiaTheme="minorHAnsi"/>
      <w:smallCaps/>
      <w:sz w:val="20"/>
      <w:szCs w:val="20"/>
    </w:rPr>
  </w:style>
  <w:style w:type="paragraph" w:styleId="18">
    <w:name w:val="toc 9"/>
    <w:basedOn w:val="1"/>
    <w:next w:val="1"/>
    <w:unhideWhenUsed/>
    <w:qFormat/>
    <w:uiPriority w:val="39"/>
    <w:pPr>
      <w:ind w:left="1680"/>
      <w:jc w:val="left"/>
    </w:pPr>
    <w:rPr>
      <w:rFonts w:asciiTheme="minorHAnsi" w:eastAsiaTheme="minorHAnsi"/>
      <w:sz w:val="18"/>
      <w:szCs w:val="18"/>
    </w:rPr>
  </w:style>
  <w:style w:type="paragraph" w:styleId="19">
    <w:name w:val="Normal (Web)"/>
    <w:basedOn w:val="1"/>
    <w:qFormat/>
    <w:uiPriority w:val="0"/>
    <w:pPr>
      <w:spacing w:before="100" w:beforeAutospacing="1" w:after="100" w:afterAutospacing="1"/>
      <w:jc w:val="left"/>
    </w:pPr>
    <w:rPr>
      <w:kern w:val="0"/>
      <w:sz w:val="24"/>
    </w:rPr>
  </w:style>
  <w:style w:type="character" w:styleId="22">
    <w:name w:val="Strong"/>
    <w:basedOn w:val="21"/>
    <w:qFormat/>
    <w:uiPriority w:val="99"/>
    <w:rPr>
      <w:rFonts w:cs="Times New Roman"/>
      <w:b/>
    </w:rPr>
  </w:style>
  <w:style w:type="character" w:styleId="23">
    <w:name w:val="Hyperlink"/>
    <w:basedOn w:val="21"/>
    <w:unhideWhenUsed/>
    <w:qFormat/>
    <w:uiPriority w:val="99"/>
    <w:rPr>
      <w:rFonts w:cs="Times New Roman"/>
      <w:color w:val="0000FF"/>
      <w:u w:val="single"/>
    </w:rPr>
  </w:style>
  <w:style w:type="character" w:customStyle="1" w:styleId="24">
    <w:name w:val="标题 1 字符"/>
    <w:basedOn w:val="21"/>
    <w:link w:val="3"/>
    <w:qFormat/>
    <w:locked/>
    <w:uiPriority w:val="9"/>
    <w:rPr>
      <w:rFonts w:ascii="Times New Roman" w:hAnsi="Times New Roman" w:cs="Times New Roman"/>
      <w:b/>
      <w:bCs/>
      <w:kern w:val="44"/>
      <w:sz w:val="44"/>
      <w:szCs w:val="44"/>
    </w:rPr>
  </w:style>
  <w:style w:type="character" w:customStyle="1" w:styleId="25">
    <w:name w:val="标题 2 字符"/>
    <w:basedOn w:val="21"/>
    <w:link w:val="4"/>
    <w:qFormat/>
    <w:locked/>
    <w:uiPriority w:val="9"/>
    <w:rPr>
      <w:rFonts w:ascii="Cambria" w:hAnsi="Cambria" w:eastAsia="宋体" w:cs="Times New Roman"/>
      <w:b/>
      <w:bCs/>
      <w:kern w:val="2"/>
      <w:sz w:val="32"/>
      <w:szCs w:val="32"/>
    </w:rPr>
  </w:style>
  <w:style w:type="character" w:customStyle="1" w:styleId="26">
    <w:name w:val="标题 3 字符"/>
    <w:basedOn w:val="21"/>
    <w:link w:val="5"/>
    <w:qFormat/>
    <w:locked/>
    <w:uiPriority w:val="9"/>
    <w:rPr>
      <w:rFonts w:ascii="Times New Roman" w:hAnsi="Times New Roman" w:cs="Times New Roman"/>
      <w:b/>
      <w:bCs/>
      <w:kern w:val="2"/>
      <w:sz w:val="32"/>
      <w:szCs w:val="32"/>
    </w:rPr>
  </w:style>
  <w:style w:type="character" w:customStyle="1" w:styleId="27">
    <w:name w:val="Body Text Char"/>
    <w:basedOn w:val="21"/>
    <w:semiHidden/>
    <w:qFormat/>
    <w:uiPriority w:val="99"/>
    <w:rPr>
      <w:rFonts w:ascii="Times New Roman" w:hAnsi="Times New Roman" w:cs="Times New Roman"/>
      <w:sz w:val="24"/>
      <w:szCs w:val="24"/>
    </w:rPr>
  </w:style>
  <w:style w:type="character" w:customStyle="1" w:styleId="28">
    <w:name w:val="批注框文本 字符"/>
    <w:basedOn w:val="21"/>
    <w:link w:val="10"/>
    <w:semiHidden/>
    <w:qFormat/>
    <w:locked/>
    <w:uiPriority w:val="99"/>
    <w:rPr>
      <w:rFonts w:ascii="Times New Roman" w:hAnsi="Times New Roman" w:cs="Times New Roman"/>
      <w:kern w:val="2"/>
      <w:sz w:val="18"/>
      <w:szCs w:val="18"/>
    </w:rPr>
  </w:style>
  <w:style w:type="character" w:customStyle="1" w:styleId="29">
    <w:name w:val="Footer Char"/>
    <w:basedOn w:val="21"/>
    <w:semiHidden/>
    <w:qFormat/>
    <w:uiPriority w:val="99"/>
    <w:rPr>
      <w:rFonts w:ascii="Times New Roman" w:hAnsi="Times New Roman" w:cs="Times New Roman"/>
      <w:sz w:val="18"/>
      <w:szCs w:val="18"/>
    </w:rPr>
  </w:style>
  <w:style w:type="character" w:customStyle="1" w:styleId="30">
    <w:name w:val="Header Char"/>
    <w:basedOn w:val="21"/>
    <w:semiHidden/>
    <w:qFormat/>
    <w:uiPriority w:val="99"/>
    <w:rPr>
      <w:rFonts w:ascii="Times New Roman" w:hAnsi="Times New Roman" w:cs="Times New Roman"/>
      <w:sz w:val="18"/>
      <w:szCs w:val="18"/>
    </w:rPr>
  </w:style>
  <w:style w:type="character" w:customStyle="1" w:styleId="31">
    <w:name w:val="页眉 字符"/>
    <w:link w:val="12"/>
    <w:semiHidden/>
    <w:qFormat/>
    <w:locked/>
    <w:uiPriority w:val="99"/>
    <w:rPr>
      <w:sz w:val="18"/>
    </w:rPr>
  </w:style>
  <w:style w:type="character" w:customStyle="1" w:styleId="32">
    <w:name w:val="页脚 字符"/>
    <w:link w:val="11"/>
    <w:qFormat/>
    <w:locked/>
    <w:uiPriority w:val="99"/>
    <w:rPr>
      <w:sz w:val="18"/>
    </w:rPr>
  </w:style>
  <w:style w:type="character" w:customStyle="1" w:styleId="33">
    <w:name w:val="正文文本 字符"/>
    <w:link w:val="2"/>
    <w:qFormat/>
    <w:locked/>
    <w:uiPriority w:val="99"/>
    <w:rPr>
      <w:rFonts w:ascii="仿宋_GB2312" w:hAnsi="Times New Roman" w:eastAsia="仿宋_GB2312"/>
      <w:sz w:val="24"/>
    </w:rPr>
  </w:style>
  <w:style w:type="paragraph" w:customStyle="1" w:styleId="3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5">
    <w:name w:val="列表段落1"/>
    <w:basedOn w:val="1"/>
    <w:qFormat/>
    <w:uiPriority w:val="34"/>
    <w:pPr>
      <w:ind w:firstLine="420" w:firstLineChars="200"/>
    </w:pPr>
  </w:style>
  <w:style w:type="paragraph" w:customStyle="1" w:styleId="36">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Heading"/>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39">
    <w:name w:val="样式2"/>
    <w:basedOn w:val="40"/>
    <w:qFormat/>
    <w:uiPriority w:val="0"/>
  </w:style>
  <w:style w:type="paragraph" w:customStyle="1" w:styleId="40">
    <w:name w:val="样式1"/>
    <w:basedOn w:val="1"/>
    <w:qFormat/>
    <w:uiPriority w:val="0"/>
    <w:pPr>
      <w:spacing w:line="360" w:lineRule="auto"/>
      <w:ind w:firstLine="562" w:firstLineChars="200"/>
      <w:outlineLvl w:val="0"/>
    </w:pPr>
    <w:rPr>
      <w:rFonts w:ascii="仿宋_GB2312" w:hAnsi="仿宋" w:eastAsia="仿宋_GB2312"/>
      <w:b/>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G:\&#24037;&#20316;&#31807;111.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G:\&#24037;&#20316;&#31807;111.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G:\&#24037;&#20316;&#31807;11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G:\&#24037;&#20316;&#31807;11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G:\&#24037;&#20316;&#31807;111.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G:\&#24037;&#20316;&#31807;1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G:\&#24037;&#20316;&#31807;11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00" b="1" i="0" u="none" strike="noStrike" kern="1200" cap="all" spc="120" normalizeH="0" baseline="0">
                <a:solidFill>
                  <a:schemeClr val="tx1">
                    <a:lumMod val="65000"/>
                    <a:lumOff val="35000"/>
                  </a:schemeClr>
                </a:solidFill>
                <a:latin typeface="+mn-lt"/>
                <a:ea typeface="+mn-ea"/>
                <a:cs typeface="+mn-cs"/>
              </a:defRPr>
            </a:pPr>
            <a:r>
              <a:t>收支决算总计变动情况图（万元）</a:t>
            </a:r>
          </a:p>
        </c:rich>
      </c:tx>
      <c:layout/>
      <c:overlay val="0"/>
      <c:spPr>
        <a:noFill/>
        <a:ln>
          <a:noFill/>
        </a:ln>
        <a:effectLst/>
      </c:spPr>
    </c:title>
    <c:autoTitleDeleted val="0"/>
    <c:plotArea>
      <c:layout/>
      <c:barChart>
        <c:barDir val="col"/>
        <c:grouping val="clustered"/>
        <c:varyColors val="0"/>
        <c:ser>
          <c:idx val="0"/>
          <c:order val="0"/>
          <c:tx>
            <c:strRef>
              <c:f>[工作簿111.xlsx]Sheet1!$A$4</c:f>
              <c:strCache>
                <c:ptCount val="1"/>
                <c:pt idx="0">
                  <c:v>2020年度</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lang="zh-CN" sz="8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tx1">
                          <a:lumMod val="35000"/>
                          <a:lumOff val="65000"/>
                        </a:schemeClr>
                      </a:solidFill>
                    </a:ln>
                    <a:effectLst/>
                  </c:spPr>
                </c15:leaderLines>
              </c:ext>
            </c:extLst>
          </c:dLbls>
          <c:cat>
            <c:strRef>
              <c:f>[工作簿111.xlsx]Sheet1!$B$3:$C$3</c:f>
              <c:strCache>
                <c:ptCount val="2"/>
                <c:pt idx="0">
                  <c:v>收入总计</c:v>
                </c:pt>
                <c:pt idx="1">
                  <c:v>支出总计</c:v>
                </c:pt>
              </c:strCache>
            </c:strRef>
          </c:cat>
          <c:val>
            <c:numRef>
              <c:f>[工作簿111.xlsx]Sheet1!$B$4:$C$4</c:f>
              <c:numCache>
                <c:formatCode>General</c:formatCode>
                <c:ptCount val="2"/>
                <c:pt idx="0">
                  <c:v>105.31</c:v>
                </c:pt>
                <c:pt idx="1">
                  <c:v>125.76</c:v>
                </c:pt>
              </c:numCache>
            </c:numRef>
          </c:val>
        </c:ser>
        <c:ser>
          <c:idx val="1"/>
          <c:order val="1"/>
          <c:tx>
            <c:strRef>
              <c:f>[工作簿111.xlsx]Sheet1!$A$5</c:f>
              <c:strCache>
                <c:ptCount val="1"/>
                <c:pt idx="0">
                  <c:v>2019年度</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lang="zh-CN" sz="8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tx1">
                          <a:lumMod val="35000"/>
                          <a:lumOff val="65000"/>
                        </a:schemeClr>
                      </a:solidFill>
                    </a:ln>
                    <a:effectLst/>
                  </c:spPr>
                </c15:leaderLines>
              </c:ext>
            </c:extLst>
          </c:dLbls>
          <c:cat>
            <c:strRef>
              <c:f>[工作簿111.xlsx]Sheet1!$B$3:$C$3</c:f>
              <c:strCache>
                <c:ptCount val="2"/>
                <c:pt idx="0">
                  <c:v>收入总计</c:v>
                </c:pt>
                <c:pt idx="1">
                  <c:v>支出总计</c:v>
                </c:pt>
              </c:strCache>
            </c:strRef>
          </c:cat>
          <c:val>
            <c:numRef>
              <c:f>[工作簿111.xlsx]Sheet1!$B$5:$C$5</c:f>
              <c:numCache>
                <c:formatCode>General</c:formatCode>
                <c:ptCount val="2"/>
                <c:pt idx="0">
                  <c:v>140.28</c:v>
                </c:pt>
                <c:pt idx="1">
                  <c:v>127.46</c:v>
                </c:pt>
              </c:numCache>
            </c:numRef>
          </c:val>
        </c:ser>
        <c:dLbls>
          <c:showLegendKey val="0"/>
          <c:showVal val="1"/>
          <c:showCatName val="0"/>
          <c:showSerName val="0"/>
          <c:showPercent val="0"/>
          <c:showBubbleSize val="0"/>
        </c:dLbls>
        <c:gapWidth val="444"/>
        <c:overlap val="-90"/>
        <c:axId val="162475060"/>
        <c:axId val="728111704"/>
      </c:barChart>
      <c:catAx>
        <c:axId val="162475060"/>
        <c:scaling>
          <c:orientation val="minMax"/>
        </c:scaling>
        <c:delete val="0"/>
        <c:axPos val="b"/>
        <c:majorGridlines>
          <c:spPr>
            <a:ln w="9525" cap="flat" cmpd="sng" algn="ctr">
              <a:solidFill>
                <a:schemeClr val="tx1">
                  <a:lumMod val="15000"/>
                  <a:lumOff val="85000"/>
                </a:schemeClr>
              </a:solidFill>
              <a:round/>
            </a:ln>
            <a:effectLst/>
          </c:spPr>
        </c:majorGridlines>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800" b="0" i="0" u="none" strike="noStrike" kern="1200" cap="all" spc="120" normalizeH="0" baseline="0">
                <a:solidFill>
                  <a:schemeClr val="tx1">
                    <a:lumMod val="65000"/>
                    <a:lumOff val="35000"/>
                  </a:schemeClr>
                </a:solidFill>
                <a:latin typeface="+mn-lt"/>
                <a:ea typeface="+mn-ea"/>
                <a:cs typeface="+mn-cs"/>
              </a:defRPr>
            </a:pPr>
          </a:p>
        </c:txPr>
        <c:crossAx val="728111704"/>
        <c:crosses val="autoZero"/>
        <c:auto val="1"/>
        <c:lblAlgn val="ctr"/>
        <c:lblOffset val="100"/>
        <c:noMultiLvlLbl val="0"/>
      </c:catAx>
      <c:valAx>
        <c:axId val="728111704"/>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2475060"/>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cap="none" spc="20" baseline="0">
                <a:solidFill>
                  <a:schemeClr val="tx1">
                    <a:lumMod val="50000"/>
                    <a:lumOff val="50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spPr/>
          <c:explosion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dPt>
          <c:dPt>
            <c:idx val="4"/>
            <c:bubble3D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dPt>
          <c:dPt>
            <c:idx val="5"/>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dPt>
          <c:dPt>
            <c:idx val="6"/>
            <c:bubble3D val="0"/>
            <c:spPr>
              <a:gradFill rotWithShape="1">
                <a:gsLst>
                  <a:gs pos="0">
                    <a:schemeClr val="accent1">
                      <a:lumMod val="60000"/>
                      <a:lumMod val="110000"/>
                      <a:satMod val="105000"/>
                      <a:tint val="67000"/>
                    </a:schemeClr>
                  </a:gs>
                  <a:gs pos="50000">
                    <a:schemeClr val="accent1">
                      <a:lumMod val="60000"/>
                      <a:lumMod val="105000"/>
                      <a:satMod val="103000"/>
                      <a:tint val="73000"/>
                    </a:schemeClr>
                  </a:gs>
                  <a:gs pos="100000">
                    <a:schemeClr val="accent1">
                      <a:lumMod val="60000"/>
                      <a:lumMod val="105000"/>
                      <a:satMod val="109000"/>
                      <a:tint val="81000"/>
                    </a:schemeClr>
                  </a:gs>
                </a:gsLst>
                <a:lin ang="5400000" scaled="0"/>
              </a:gradFill>
              <a:ln w="9525" cap="flat" cmpd="sng" algn="ctr">
                <a:solidFill>
                  <a:schemeClr val="accent1">
                    <a:lumMod val="60000"/>
                    <a:shade val="95000"/>
                  </a:schemeClr>
                </a:solidFill>
                <a:round/>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65000"/>
                        <a:lumOff val="3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[工作簿111.xlsx]Sheet2!$A$2:$A$8</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[工作簿111.xlsx]Sheet2!$B$2:$B$8</c:f>
              <c:numCache>
                <c:formatCode>General</c:formatCode>
                <c:ptCount val="7"/>
                <c:pt idx="0">
                  <c:v>105.31</c:v>
                </c:pt>
                <c:pt idx="1">
                  <c:v>0</c:v>
                </c:pt>
                <c:pt idx="2">
                  <c:v>0</c:v>
                </c:pt>
                <c:pt idx="3">
                  <c:v>0</c:v>
                </c:pt>
                <c:pt idx="4">
                  <c:v>0</c:v>
                </c:pt>
                <c:pt idx="5">
                  <c:v>0</c:v>
                </c:pt>
                <c:pt idx="6">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20300125052105"/>
          <c:y val="0.72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[工作簿111.xlsx]Sheet3!$A$1:$A$5</c:f>
              <c:strCache>
                <c:ptCount val="5"/>
                <c:pt idx="0">
                  <c:v>基本支出</c:v>
                </c:pt>
                <c:pt idx="1">
                  <c:v>项目支出</c:v>
                </c:pt>
                <c:pt idx="2">
                  <c:v>上缴上级支出</c:v>
                </c:pt>
                <c:pt idx="3">
                  <c:v>经营支出</c:v>
                </c:pt>
                <c:pt idx="4">
                  <c:v>对附属单位补助支出</c:v>
                </c:pt>
              </c:strCache>
            </c:strRef>
          </c:cat>
          <c:val>
            <c:numRef>
              <c:f>[工作簿111.xlsx]Sheet3!$B$1:$B$5</c:f>
              <c:numCache>
                <c:formatCode>General</c:formatCode>
                <c:ptCount val="5"/>
                <c:pt idx="0">
                  <c:v>103.66</c:v>
                </c:pt>
                <c:pt idx="1">
                  <c:v>22.1</c:v>
                </c:pt>
                <c:pt idx="2">
                  <c:v>0</c:v>
                </c:pt>
                <c:pt idx="3">
                  <c:v>0</c:v>
                </c:pt>
                <c:pt idx="4">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a:defRPr lang="zh-CN" sz="14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zh-CN"/>
              <a:t>财政拨款收、支决算总计变动情况（万元）</a:t>
            </a:r>
            <a:endParaRPr lang="zh-CN" altLang="zh-CN"/>
          </a:p>
        </c:rich>
      </c:tx>
      <c:layout/>
      <c:overlay val="0"/>
      <c:spPr>
        <a:noFill/>
        <a:ln>
          <a:noFill/>
        </a:ln>
      </c:spPr>
    </c:title>
    <c:autoTitleDeleted val="0"/>
    <c:plotArea>
      <c:layout/>
      <c:barChart>
        <c:barDir val="col"/>
        <c:grouping val="clustered"/>
        <c:varyColors val="0"/>
        <c:ser>
          <c:idx val="0"/>
          <c:order val="0"/>
          <c:tx>
            <c:strRef>
              <c:f>[工作簿111.xlsx]Sheet4!$A$2</c:f>
              <c:strCache>
                <c:ptCount val="1"/>
                <c:pt idx="0">
                  <c:v>财政拨款收入总计</c:v>
                </c:pt>
              </c:strCache>
            </c:strRef>
          </c:tx>
          <c:spPr>
            <a:solidFill>
              <a:srgbClr val="5B9BD5"/>
            </a:solidFill>
            <a:ln>
              <a:noFill/>
            </a:ln>
          </c:spPr>
          <c:invertIfNegative val="0"/>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[工作簿111.xlsx]Sheet4!$B$1:$C$1</c:f>
              <c:strCache>
                <c:ptCount val="2"/>
                <c:pt idx="0">
                  <c:v>2020年</c:v>
                </c:pt>
                <c:pt idx="1">
                  <c:v>2019年</c:v>
                </c:pt>
              </c:strCache>
            </c:strRef>
          </c:cat>
          <c:val>
            <c:numRef>
              <c:f>[工作簿111.xlsx]Sheet4!$B$2:$C$2</c:f>
              <c:numCache>
                <c:formatCode>General</c:formatCode>
                <c:ptCount val="2"/>
                <c:pt idx="0">
                  <c:v>138.51</c:v>
                </c:pt>
                <c:pt idx="1">
                  <c:v>155.79</c:v>
                </c:pt>
              </c:numCache>
            </c:numRef>
          </c:val>
        </c:ser>
        <c:ser>
          <c:idx val="1"/>
          <c:order val="1"/>
          <c:tx>
            <c:strRef>
              <c:f>[工作簿111.xlsx]Sheet4!$A$3</c:f>
              <c:strCache>
                <c:ptCount val="1"/>
                <c:pt idx="0">
                  <c:v>财政拨款支出总计</c:v>
                </c:pt>
              </c:strCache>
            </c:strRef>
          </c:tx>
          <c:spPr>
            <a:solidFill>
              <a:srgbClr val="ED7D31"/>
            </a:solidFill>
            <a:ln>
              <a:noFill/>
            </a:ln>
          </c:spPr>
          <c:invertIfNegative val="0"/>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[工作簿111.xlsx]Sheet4!$B$1:$C$1</c:f>
              <c:strCache>
                <c:ptCount val="2"/>
                <c:pt idx="0">
                  <c:v>2020年</c:v>
                </c:pt>
                <c:pt idx="1">
                  <c:v>2019年</c:v>
                </c:pt>
              </c:strCache>
            </c:strRef>
          </c:cat>
          <c:val>
            <c:numRef>
              <c:f>[工作簿111.xlsx]Sheet4!$B$3:$C$3</c:f>
              <c:numCache>
                <c:formatCode>General</c:formatCode>
                <c:ptCount val="2"/>
                <c:pt idx="0">
                  <c:v>138.51</c:v>
                </c:pt>
                <c:pt idx="1">
                  <c:v>155.79</c:v>
                </c:pt>
              </c:numCache>
            </c:numRef>
          </c:val>
        </c:ser>
        <c:dLbls>
          <c:showLegendKey val="0"/>
          <c:showVal val="0"/>
          <c:showCatName val="0"/>
          <c:showSerName val="0"/>
          <c:showPercent val="0"/>
          <c:showBubbleSize val="0"/>
        </c:dLbls>
        <c:gapWidth val="150"/>
        <c:overlap val="-25"/>
        <c:axId val="0"/>
        <c:axId val="1"/>
      </c:barChart>
      <c:catAx>
        <c:axId val="0"/>
        <c:scaling>
          <c:orientation val="minMax"/>
        </c:scaling>
        <c:delete val="0"/>
        <c:axPos val="b"/>
        <c:majorTickMark val="none"/>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
        <c:crosses val="autoZero"/>
        <c:auto val="0"/>
        <c:lblAlgn val="ctr"/>
        <c:lblOffset val="100"/>
        <c:tickLblSkip val="1"/>
        <c:noMultiLvlLbl val="0"/>
      </c:catAx>
      <c:valAx>
        <c:axId val="1"/>
        <c:scaling>
          <c:orientation val="minMax"/>
        </c:scaling>
        <c:delete val="1"/>
        <c:axPos val="l"/>
        <c:numFmt formatCode="General" sourceLinked="1"/>
        <c:majorTickMark val="none"/>
        <c:minorTickMark val="none"/>
        <c:tickLblPos val="nextTo"/>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0"/>
        <c:crosses val="autoZero"/>
        <c:crossBetween val="between"/>
      </c:valAx>
      <c:spPr>
        <a:noFill/>
        <a:ln>
          <a:noFill/>
        </a:ln>
      </c:spPr>
    </c:plotArea>
    <c:legend>
      <c:legendPos val="t"/>
      <c:legendEntry>
        <c:idx val="0"/>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Entry>
      <c:legendEntry>
        <c:idx val="1"/>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Entry>
      <c:layout/>
      <c:overlay val="0"/>
      <c:spPr>
        <a:noFill/>
        <a:ln>
          <a:noFill/>
        </a:ln>
      </c:spPr>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spPr>
    <a:solidFill>
      <a:srgbClr val="FFFFFF"/>
    </a:solidFill>
    <a:ln w="3175" cap="flat" cmpd="sng" algn="ctr">
      <a:solidFill>
        <a:srgbClr val="000000"/>
      </a:solidFill>
      <a:prstDash val="solid"/>
      <a:round/>
    </a:ln>
  </c:spPr>
  <c:txPr>
    <a:bodyPr/>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a:defRPr lang="zh-CN" sz="14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zh-CN"/>
              <a:t>一般公共预算财政拨款支出决算变动情况（万元）</a:t>
            </a:r>
            <a:endParaRPr lang="zh-CN" altLang="zh-CN"/>
          </a:p>
        </c:rich>
      </c:tx>
      <c:layout>
        <c:manualLayout>
          <c:xMode val="edge"/>
          <c:yMode val="edge"/>
          <c:x val="0.127173213135866"/>
          <c:y val="0.0203993055555556"/>
        </c:manualLayout>
      </c:layout>
      <c:overlay val="0"/>
      <c:spPr>
        <a:noFill/>
        <a:ln>
          <a:noFill/>
        </a:ln>
      </c:spPr>
    </c:title>
    <c:autoTitleDeleted val="0"/>
    <c:plotArea>
      <c:layout/>
      <c:barChart>
        <c:barDir val="col"/>
        <c:grouping val="clustered"/>
        <c:varyColors val="0"/>
        <c:ser>
          <c:idx val="0"/>
          <c:order val="0"/>
          <c:tx>
            <c:strRef>
              <c:f>[工作簿111.xlsx]Sheet5!$B$1</c:f>
              <c:strCache>
                <c:ptCount val="1"/>
                <c:pt idx="0">
                  <c:v>一般公共预算财政拨款支出</c:v>
                </c:pt>
              </c:strCache>
            </c:strRef>
          </c:tx>
          <c:spPr>
            <a:solidFill>
              <a:srgbClr val="5B9BD5"/>
            </a:solidFill>
            <a:ln>
              <a:noFill/>
            </a:ln>
          </c:spPr>
          <c:invertIfNegative val="0"/>
          <c:dPt>
            <c:idx val="0"/>
            <c:invertIfNegative val="0"/>
            <c:bubble3D val="0"/>
            <c:spPr>
              <a:solidFill>
                <a:srgbClr val="5B9BD5"/>
              </a:solidFill>
              <a:ln>
                <a:noFill/>
              </a:ln>
            </c:spPr>
          </c:dPt>
          <c:dPt>
            <c:idx val="1"/>
            <c:invertIfNegative val="0"/>
            <c:bubble3D val="0"/>
            <c:spPr>
              <a:solidFill>
                <a:srgbClr val="5B9BD5"/>
              </a:solidFill>
              <a:ln>
                <a:noFill/>
              </a:ln>
            </c:spPr>
          </c:dPt>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[工作簿111.xlsx]Sheet5!$A$2:$A$3</c:f>
              <c:strCache>
                <c:ptCount val="2"/>
                <c:pt idx="0">
                  <c:v>2020年</c:v>
                </c:pt>
                <c:pt idx="1">
                  <c:v>2019年</c:v>
                </c:pt>
              </c:strCache>
            </c:strRef>
          </c:cat>
          <c:val>
            <c:numRef>
              <c:f>[工作簿111.xlsx]Sheet5!$B$2:$B$3</c:f>
              <c:numCache>
                <c:formatCode>General</c:formatCode>
                <c:ptCount val="2"/>
                <c:pt idx="0">
                  <c:v>125.76</c:v>
                </c:pt>
                <c:pt idx="1">
                  <c:v>123.98</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majorTickMark val="none"/>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
        <c:crosses val="autoZero"/>
        <c:auto val="0"/>
        <c:lblAlgn val="ctr"/>
        <c:lblOffset val="100"/>
        <c:tickLblSkip val="1"/>
        <c:noMultiLvlLbl val="0"/>
      </c:catAx>
      <c:valAx>
        <c:axId val="1"/>
        <c:scaling>
          <c:orientation val="minMax"/>
        </c:scaling>
        <c:delete val="0"/>
        <c:axPos val="l"/>
        <c:majorGridlines>
          <c:spPr>
            <a:ln w="3175" cap="flat" cmpd="sng" algn="ctr">
              <a:solidFill>
                <a:srgbClr val="000000"/>
              </a:solidFill>
              <a:prstDash val="solid"/>
              <a:round/>
            </a:ln>
          </c:spPr>
        </c:majorGridlines>
        <c:numFmt formatCode="General" sourceLinked="1"/>
        <c:majorTickMark val="none"/>
        <c:minorTickMark val="none"/>
        <c:tickLblPos val="nextTo"/>
        <c:spPr>
          <a:ln w="9525" cap="flat" cmpd="sng" algn="ctr">
            <a:noFill/>
            <a:prstDash val="solid"/>
            <a:round/>
          </a:ln>
        </c:spPr>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0"/>
        <c:crosses val="autoZero"/>
        <c:crossBetween val="between"/>
      </c:valAx>
      <c:spPr>
        <a:noFill/>
        <a:ln>
          <a:noFill/>
        </a:ln>
      </c:spPr>
    </c:plotArea>
    <c:legend>
      <c:legendPos val="b"/>
      <c:legendEntry>
        <c:idx val="0"/>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Entry>
      <c:layout/>
      <c:overlay val="0"/>
      <c:spPr>
        <a:noFill/>
        <a:ln>
          <a:noFill/>
        </a:ln>
      </c:spPr>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spPr>
    <a:solidFill>
      <a:srgbClr val="FFFFFF"/>
    </a:solidFill>
    <a:ln w="3175" cap="flat" cmpd="sng" algn="ctr">
      <a:solidFill>
        <a:srgbClr val="000000"/>
      </a:solidFill>
      <a:prstDash val="solid"/>
      <a:round/>
    </a:ln>
  </c:spPr>
  <c:txPr>
    <a:bodyPr/>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cap="none" spc="20" baseline="0">
                <a:solidFill>
                  <a:schemeClr val="tx1">
                    <a:lumMod val="50000"/>
                    <a:lumOff val="50000"/>
                  </a:schemeClr>
                </a:solidFill>
                <a:latin typeface="+mn-lt"/>
                <a:ea typeface="+mn-ea"/>
                <a:cs typeface="+mn-cs"/>
              </a:defRPr>
            </a:pPr>
            <a:r>
              <a:t>一般公共预算财政拨款支出决算结构</a:t>
            </a:r>
          </a:p>
        </c:rich>
      </c:tx>
      <c:layout/>
      <c:overlay val="0"/>
      <c:spPr>
        <a:noFill/>
        <a:ln>
          <a:noFill/>
        </a:ln>
        <a:effectLst/>
      </c:spPr>
    </c:title>
    <c:autoTitleDeleted val="0"/>
    <c:plotArea>
      <c:layout/>
      <c:pieChart>
        <c:varyColors val="1"/>
        <c:ser>
          <c:idx val="0"/>
          <c:order val="0"/>
          <c:spPr/>
          <c:explosion val="0"/>
          <c:dPt>
            <c:idx val="0"/>
            <c:bubble3D val="0"/>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dPt>
          <c:dPt>
            <c:idx val="1"/>
            <c:bubble3D val="0"/>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dPt>
          <c:dPt>
            <c:idx val="2"/>
            <c:bubble3D val="0"/>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dPt>
          <c:dPt>
            <c:idx val="3"/>
            <c:bubble3D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chemeClr>
                </a:solidFill>
                <a:round/>
              </a:ln>
              <a:effectLst>
                <a:outerShdw blurRad="40000" dist="20000" dir="5400000" rotWithShape="0">
                  <a:srgbClr val="000000">
                    <a:alpha val="38000"/>
                  </a:srgbClr>
                </a:outerShdw>
              </a:effectLst>
            </c:spPr>
          </c:dPt>
          <c:dPt>
            <c:idx val="4"/>
            <c:bubble3D val="0"/>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chemeClr>
                </a:solidFill>
                <a:round/>
              </a:ln>
              <a:effectLst>
                <a:outerShdw blurRad="40000" dist="20000" dir="5400000" rotWithShape="0">
                  <a:srgbClr val="000000">
                    <a:alpha val="38000"/>
                  </a:srgbClr>
                </a:outerShdw>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65000"/>
                        <a:lumOff val="3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[工作簿111.xlsx]Sheet6!$A$2:$A$6</c:f>
              <c:strCache>
                <c:ptCount val="5"/>
                <c:pt idx="0">
                  <c:v>一般公共服务（类）支出</c:v>
                </c:pt>
                <c:pt idx="1">
                  <c:v>社会保障和就业（类）支出</c:v>
                </c:pt>
                <c:pt idx="2">
                  <c:v>卫生健康支出</c:v>
                </c:pt>
                <c:pt idx="3">
                  <c:v>住房保障支出</c:v>
                </c:pt>
                <c:pt idx="4">
                  <c:v>其他支出</c:v>
                </c:pt>
              </c:strCache>
            </c:strRef>
          </c:cat>
          <c:val>
            <c:numRef>
              <c:f>[工作簿111.xlsx]Sheet6!$B$2:$B$6</c:f>
              <c:numCache>
                <c:formatCode>General</c:formatCode>
                <c:ptCount val="5"/>
                <c:pt idx="0">
                  <c:v>83.65</c:v>
                </c:pt>
                <c:pt idx="1">
                  <c:v>11.67</c:v>
                </c:pt>
                <c:pt idx="2">
                  <c:v>5.48</c:v>
                </c:pt>
                <c:pt idx="3">
                  <c:v>7.4</c:v>
                </c:pt>
                <c:pt idx="4">
                  <c:v>15</c:v>
                </c:pt>
              </c:numCache>
            </c:numRef>
          </c:val>
        </c:ser>
        <c:ser>
          <c:idx val="1"/>
          <c:order val="1"/>
          <c:spPr/>
          <c:explosion val="0"/>
          <c:dPt>
            <c:idx val="0"/>
            <c:bubble3D val="0"/>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dPt>
          <c:dPt>
            <c:idx val="1"/>
            <c:bubble3D val="0"/>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dPt>
          <c:dPt>
            <c:idx val="2"/>
            <c:bubble3D val="0"/>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dPt>
          <c:dPt>
            <c:idx val="3"/>
            <c:bubble3D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chemeClr>
                </a:solidFill>
                <a:round/>
              </a:ln>
              <a:effectLst>
                <a:outerShdw blurRad="40000" dist="20000" dir="5400000" rotWithShape="0">
                  <a:srgbClr val="000000">
                    <a:alpha val="38000"/>
                  </a:srgbClr>
                </a:outerShdw>
              </a:effectLst>
            </c:spPr>
          </c:dPt>
          <c:dPt>
            <c:idx val="4"/>
            <c:bubble3D val="0"/>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chemeClr>
                </a:solidFill>
                <a:round/>
              </a:ln>
              <a:effectLst>
                <a:outerShdw blurRad="40000" dist="20000" dir="5400000" rotWithShape="0">
                  <a:srgbClr val="000000">
                    <a:alpha val="38000"/>
                  </a:srgbClr>
                </a:outerShdw>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65000"/>
                        <a:lumOff val="3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[工作簿111.xlsx]Sheet6!$A$2:$A$6</c:f>
              <c:strCache>
                <c:ptCount val="5"/>
                <c:pt idx="0">
                  <c:v>一般公共服务（类）支出</c:v>
                </c:pt>
                <c:pt idx="1">
                  <c:v>社会保障和就业（类）支出</c:v>
                </c:pt>
                <c:pt idx="2">
                  <c:v>卫生健康支出</c:v>
                </c:pt>
                <c:pt idx="3">
                  <c:v>住房保障支出</c:v>
                </c:pt>
                <c:pt idx="4">
                  <c:v>其他支出</c:v>
                </c:pt>
              </c:strCache>
            </c:strRef>
          </c:cat>
          <c:val>
            <c:numRef>
              <c:f>[工作簿111.xlsx]Sheet6!$C$2:$C$6</c:f>
              <c:numCache>
                <c:formatCode>0.00%</c:formatCode>
                <c:ptCount val="5"/>
                <c:pt idx="0">
                  <c:v>0.665155852417303</c:v>
                </c:pt>
                <c:pt idx="1">
                  <c:v>0.0927958015267176</c:v>
                </c:pt>
                <c:pt idx="2">
                  <c:v>0.0435750636132316</c:v>
                </c:pt>
                <c:pt idx="3">
                  <c:v>0.0588422391857506</c:v>
                </c:pt>
                <c:pt idx="4" c:formatCode="0%">
                  <c:v>0.119274809160305</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a:defRPr lang="zh-CN" sz="14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zh-CN"/>
              <a:t>“三公”经费财政拨款支出结构</a:t>
            </a:r>
            <a:endParaRPr lang="zh-CN" altLang="zh-CN"/>
          </a:p>
        </c:rich>
      </c:tx>
      <c:layout/>
      <c:overlay val="0"/>
      <c:spPr>
        <a:noFill/>
        <a:ln>
          <a:noFill/>
        </a:ln>
      </c:spPr>
    </c:title>
    <c:autoTitleDeleted val="0"/>
    <c:plotArea>
      <c:layout/>
      <c:pieChart>
        <c:varyColors val="1"/>
        <c:ser>
          <c:idx val="0"/>
          <c:order val="0"/>
          <c:spPr>
            <a:solidFill>
              <a:srgbClr val="5B9BD5"/>
            </a:solidFill>
            <a:ln>
              <a:noFill/>
            </a:ln>
          </c:spPr>
          <c:explosion val="0"/>
          <c:dPt>
            <c:idx val="0"/>
            <c:bubble3D val="0"/>
            <c:spPr>
              <a:solidFill>
                <a:srgbClr val="5B9BD5"/>
              </a:solidFill>
              <a:ln w="12700">
                <a:solidFill>
                  <a:srgbClr val="FFFFFF"/>
                </a:solidFill>
                <a:prstDash val="solid"/>
              </a:ln>
            </c:spPr>
          </c:dPt>
          <c:dPt>
            <c:idx val="1"/>
            <c:bubble3D val="0"/>
            <c:spPr>
              <a:solidFill>
                <a:srgbClr val="ED7D31"/>
              </a:solidFill>
              <a:ln w="12700">
                <a:solidFill>
                  <a:srgbClr val="FFFFFF"/>
                </a:solidFill>
                <a:prstDash val="solid"/>
              </a:ln>
            </c:spPr>
          </c:dPt>
          <c:dPt>
            <c:idx val="2"/>
            <c:bubble3D val="0"/>
            <c:spPr>
              <a:solidFill>
                <a:srgbClr val="A5A5A5"/>
              </a:solidFill>
              <a:ln w="12700">
                <a:solidFill>
                  <a:srgbClr val="FFFFFF"/>
                </a:solidFill>
                <a:prstDash val="solid"/>
              </a:ln>
            </c:spPr>
          </c:dPt>
          <c:dLbls>
            <c:dLbl>
              <c:idx val="0"/>
              <c:layout/>
              <c:tx>
                <c:rich>
                  <a:bodyPr rot="0" spcFirstLastPara="0" vertOverflow="ellipsis" vert="horz" wrap="square" lIns="38100" tIns="19050" rIns="38100" bIns="19050" anchor="ctr" anchorCtr="1"/>
                  <a:lstStyle/>
                  <a:p>
                    <a:pPr algn="ct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zh-CN"/>
                      <a:t>公务用车购置及运行维护费支出100%</a:t>
                    </a:r>
                    <a:endParaRPr lang="zh-CN" altLang="zh-CN"/>
                  </a:p>
                </c:rich>
              </c:tx>
              <c:numFmt formatCode="0%" sourceLinked="0"/>
              <c:spPr>
                <a:noFill/>
                <a:ln>
                  <a:noFill/>
                </a:ln>
                <a:effectLst/>
              </c:spPr>
              <c:txPr>
                <a:bodyPr rot="0" spcFirstLastPara="0" vertOverflow="ellipsis" vert="horz" wrap="square" lIns="38100" tIns="19050" rIns="38100" bIns="19050" anchor="ctr" anchorCtr="1"/>
                <a:lstStyle/>
                <a:p>
                  <a:pPr algn="ct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inEnd"/>
              <c:showLegendKey val="0"/>
              <c:showVal val="1"/>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lgn="ct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zh-CN"/>
                      <a:t>公务接待费支出0%</a:t>
                    </a:r>
                    <a:endParaRPr lang="zh-CN" altLang="zh-CN"/>
                  </a:p>
                </c:rich>
              </c:tx>
              <c:numFmt formatCode="0%" sourceLinked="0"/>
              <c:spPr>
                <a:noFill/>
                <a:ln>
                  <a:noFill/>
                </a:ln>
                <a:effectLst/>
              </c:spPr>
              <c:txPr>
                <a:bodyPr rot="0" spcFirstLastPara="0" vertOverflow="ellipsis" vert="horz" wrap="square" lIns="38100" tIns="19050" rIns="38100" bIns="19050" anchor="ctr" anchorCtr="1"/>
                <a:lstStyle/>
                <a:p>
                  <a:pPr algn="ct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inEnd"/>
              <c:showLegendKey val="0"/>
              <c:showVal val="1"/>
              <c:showCatName val="0"/>
              <c:showSerName val="0"/>
              <c:showPercent val="1"/>
              <c:showBubbleSize val="0"/>
              <c:extLst>
                <c:ext xmlns:c15="http://schemas.microsoft.com/office/drawing/2012/chart" uri="{CE6537A1-D6FC-4f65-9D91-7224C49458BB}"/>
              </c:extLst>
            </c:dLbl>
            <c:dLbl>
              <c:idx val="2"/>
              <c:layout/>
              <c:numFmt formatCode="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inEnd"/>
              <c:showLegendKey val="0"/>
              <c:showVal val="0"/>
              <c:showCatName val="0"/>
              <c:showSerName val="0"/>
              <c:showPercent val="1"/>
              <c:showBubbleSize val="0"/>
              <c:extLst>
                <c:ext xmlns:c15="http://schemas.microsoft.com/office/drawing/2012/chart" uri="{CE6537A1-D6FC-4f65-9D91-7224C49458BB}"/>
              </c:extLst>
            </c:dLbl>
            <c:numFmt formatCode="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inEnd"/>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ext>
            </c:extLst>
          </c:dLbls>
          <c:cat>
            <c:strRef>
              <c:f>[工作簿111.xlsx]Sheet7!$A$1:$A$3</c:f>
              <c:strCache>
                <c:ptCount val="3"/>
                <c:pt idx="0">
                  <c:v>公务用车购置及运行维护费支出</c:v>
                </c:pt>
                <c:pt idx="1">
                  <c:v>公务接待费支出</c:v>
                </c:pt>
                <c:pt idx="2">
                  <c:v>因公出国（境）费支出</c:v>
                </c:pt>
              </c:strCache>
            </c:strRef>
          </c:cat>
          <c:val>
            <c:numRef>
              <c:f>[工作簿111.xlsx]Sheet7!$B$1:$B$3</c:f>
              <c:numCache>
                <c:formatCode>General</c:formatCode>
                <c:ptCount val="3"/>
                <c:pt idx="0">
                  <c:v>1.24</c:v>
                </c:pt>
                <c:pt idx="1">
                  <c:v>0</c:v>
                </c:pt>
                <c:pt idx="2">
                  <c:v>0</c:v>
                </c:pt>
              </c:numCache>
            </c:numRef>
          </c:val>
        </c:ser>
        <c:dLbls>
          <c:showLegendKey val="0"/>
          <c:showVal val="0"/>
          <c:showCatName val="0"/>
          <c:showSerName val="0"/>
          <c:showPercent val="0"/>
          <c:showBubbleSize val="0"/>
          <c:showLeaderLines val="1"/>
        </c:dLbls>
        <c:firstSliceAng val="0"/>
      </c:pieChart>
      <c:spPr>
        <a:noFill/>
        <a:ln>
          <a:noFill/>
        </a:ln>
      </c:spPr>
    </c:plotArea>
    <c:legend>
      <c:legendPos val="r"/>
      <c:legendEntry>
        <c:idx val="0"/>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Entry>
      <c:legendEntry>
        <c:idx val="1"/>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Entry>
      <c:legendEntry>
        <c:idx val="2"/>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Entry>
      <c:layout/>
      <c:overlay val="0"/>
      <c:spPr>
        <a:noFill/>
        <a:ln>
          <a:noFill/>
        </a:ln>
      </c:spPr>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spPr>
    <a:solidFill>
      <a:srgbClr val="FFFFFF"/>
    </a:solidFill>
    <a:ln w="3175" cap="flat" cmpd="sng" algn="ctr">
      <a:solidFill>
        <a:srgbClr val="000000"/>
      </a:solidFill>
      <a:prstDash val="solid"/>
      <a:round/>
    </a:ln>
  </c:spPr>
  <c:txPr>
    <a:bodyPr/>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CAE55-CD1B-4B4A-B759-66D9AAD6058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36</Pages>
  <Words>14513</Words>
  <Characters>15395</Characters>
  <Lines>74</Lines>
  <Paragraphs>21</Paragraphs>
  <TotalTime>22</TotalTime>
  <ScaleCrop>false</ScaleCrop>
  <LinksUpToDate>false</LinksUpToDate>
  <CharactersWithSpaces>15486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夕颜*^_^*</cp:lastModifiedBy>
  <cp:lastPrinted>2021-07-29T03:56:00Z</cp:lastPrinted>
  <dcterms:modified xsi:type="dcterms:W3CDTF">2023-07-19T01:32:43Z</dcterms:modified>
  <dc:title>阿坝州部门决算说明</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31D1BD80A4F345DDBAE407A347582ABA_13</vt:lpwstr>
  </property>
</Properties>
</file>