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pStyle w:val="2"/>
        <w:rPr>
          <w:rFonts w:ascii="方正小标宋简体" w:hAnsi="宋体" w:eastAsia="方正小标宋简体"/>
          <w:color w:val="000000"/>
          <w:sz w:val="72"/>
          <w:szCs w:val="72"/>
        </w:rPr>
      </w:pPr>
    </w:p>
    <w:p>
      <w:bookmarkStart w:id="122" w:name="_GoBack"/>
      <w:bookmarkEnd w:id="122"/>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78441"/>
      <w:bookmarkStart w:id="4" w:name="_Toc15396475"/>
      <w:bookmarkStart w:id="5" w:name="_Toc4583"/>
      <w:bookmarkStart w:id="6"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96598"/>
      <w:bookmarkStart w:id="8" w:name="_Toc15396476"/>
      <w:bookmarkStart w:id="9" w:name="_Toc15378442"/>
      <w:bookmarkStart w:id="10" w:name="_Toc15377194"/>
      <w:bookmarkStart w:id="11" w:name="_Toc15377426"/>
      <w:bookmarkStart w:id="12" w:name="_Toc20977"/>
      <w:r>
        <w:rPr>
          <w:rFonts w:hint="eastAsia" w:ascii="方正小标宋简体" w:hAnsi="宋体" w:eastAsia="方正小标宋简体"/>
          <w:color w:val="000000"/>
          <w:sz w:val="72"/>
          <w:szCs w:val="72"/>
        </w:rPr>
        <w:t>四川省阿坝州红原县</w:t>
      </w:r>
      <w:bookmarkEnd w:id="0"/>
      <w:bookmarkStart w:id="13" w:name="_Toc15306268"/>
      <w:r>
        <w:rPr>
          <w:rFonts w:hint="eastAsia" w:ascii="方正小标宋简体" w:hAnsi="宋体" w:eastAsia="方正小标宋简体"/>
          <w:color w:val="000000"/>
          <w:sz w:val="72"/>
          <w:szCs w:val="72"/>
        </w:rPr>
        <w:t>妇联部门决算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
      <w:pPr>
        <w:pStyle w:val="12"/>
        <w:numPr>
          <w:ilvl w:val="0"/>
          <w:numId w:val="1"/>
        </w:numPr>
        <w:tabs>
          <w:tab w:val="right" w:leader="middleDot" w:pos="8296"/>
        </w:tabs>
        <w:adjustRightInd w:val="0"/>
        <w:snapToGrid w:val="0"/>
        <w:spacing w:before="0" w:line="440" w:lineRule="exact"/>
        <w:jc w:val="left"/>
      </w:pPr>
      <w:r>
        <w:rPr>
          <w:rFonts w:hint="eastAsia"/>
          <w:sz w:val="24"/>
        </w:rPr>
        <w:t>部门概况</w:t>
      </w:r>
      <w:r>
        <w:rPr>
          <w:rFonts w:hint="eastAsia"/>
          <w:sz w:val="24"/>
        </w:rPr>
        <w:tab/>
      </w:r>
      <w:r>
        <w:rPr>
          <w:rFonts w:hint="eastAsia"/>
          <w:sz w:val="24"/>
        </w:rPr>
        <w:t>4</w:t>
      </w:r>
    </w:p>
    <w:p>
      <w:pPr>
        <w:pStyle w:val="13"/>
        <w:adjustRightInd w:val="0"/>
        <w:snapToGrid w:val="0"/>
        <w:spacing w:line="440" w:lineRule="exact"/>
        <w:jc w:val="left"/>
        <w:rPr>
          <w:rFonts w:ascii="仿宋" w:hAnsi="仿宋"/>
          <w:sz w:val="24"/>
        </w:rPr>
      </w:pPr>
      <w:r>
        <w:rPr>
          <w:rFonts w:hint="eastAsia"/>
          <w:sz w:val="24"/>
        </w:rPr>
        <w:t>一、基本职能及主要工作</w:t>
      </w:r>
      <w:r>
        <w:rPr>
          <w:rFonts w:hint="eastAsia"/>
          <w:sz w:val="24"/>
        </w:rPr>
        <w:tab/>
      </w:r>
      <w:r>
        <w:rPr>
          <w:rFonts w:hint="eastAsia"/>
          <w:sz w:val="24"/>
        </w:rPr>
        <w:t>4</w:t>
      </w:r>
    </w:p>
    <w:p>
      <w:pPr>
        <w:pStyle w:val="13"/>
        <w:adjustRightInd w:val="0"/>
        <w:snapToGrid w:val="0"/>
        <w:spacing w:line="440" w:lineRule="exact"/>
        <w:jc w:val="left"/>
        <w:rPr>
          <w:rFonts w:ascii="仿宋" w:hAnsi="仿宋" w:cstheme="minorBidi"/>
          <w:sz w:val="24"/>
        </w:rPr>
      </w:pPr>
      <w:r>
        <w:rPr>
          <w:rFonts w:hint="eastAsia"/>
          <w:sz w:val="24"/>
        </w:rPr>
        <w:t>二、机构设置</w:t>
      </w:r>
      <w:r>
        <w:rPr>
          <w:rFonts w:hint="eastAsia"/>
          <w:sz w:val="24"/>
        </w:rPr>
        <w:tab/>
      </w:r>
      <w:r>
        <w:rPr>
          <w:rFonts w:hint="eastAsia"/>
          <w:sz w:val="24"/>
        </w:rPr>
        <w:t>11</w:t>
      </w:r>
    </w:p>
    <w:p>
      <w:pPr>
        <w:pStyle w:val="12"/>
        <w:adjustRightInd w:val="0"/>
        <w:snapToGrid w:val="0"/>
        <w:spacing w:before="0" w:line="440" w:lineRule="exact"/>
        <w:jc w:val="left"/>
        <w:rPr>
          <w:sz w:val="24"/>
          <w:szCs w:val="24"/>
        </w:rPr>
      </w:pPr>
      <w:r>
        <w:rPr>
          <w:rFonts w:hint="eastAsia"/>
          <w:sz w:val="24"/>
        </w:rPr>
        <w:t>第二部分度部门决算情况说明</w:t>
      </w:r>
      <w:r>
        <w:rPr>
          <w:rFonts w:hint="eastAsia"/>
          <w:sz w:val="24"/>
        </w:rPr>
        <w:tab/>
      </w:r>
      <w:r>
        <w:rPr>
          <w:rFonts w:hint="eastAsia"/>
          <w:sz w:val="24"/>
        </w:rPr>
        <w:t>11</w:t>
      </w:r>
    </w:p>
    <w:p>
      <w:pPr>
        <w:pStyle w:val="13"/>
        <w:adjustRightInd w:val="0"/>
        <w:snapToGrid w:val="0"/>
        <w:spacing w:line="440" w:lineRule="exact"/>
        <w:jc w:val="left"/>
        <w:rPr>
          <w:rFonts w:ascii="仿宋" w:hAnsi="仿宋" w:cstheme="minorBidi"/>
          <w:sz w:val="24"/>
        </w:rPr>
      </w:pPr>
      <w:r>
        <w:rPr>
          <w:rFonts w:hint="eastAsia"/>
          <w:sz w:val="24"/>
        </w:rPr>
        <w:t>一、收入支出决算总体情况说明</w:t>
      </w:r>
      <w:r>
        <w:rPr>
          <w:rFonts w:hint="eastAsia"/>
          <w:sz w:val="24"/>
        </w:rPr>
        <w:tab/>
      </w:r>
      <w:r>
        <w:rPr>
          <w:rFonts w:hint="eastAsia"/>
          <w:sz w:val="24"/>
        </w:rPr>
        <w:t>11</w:t>
      </w:r>
    </w:p>
    <w:p>
      <w:pPr>
        <w:pStyle w:val="13"/>
        <w:adjustRightInd w:val="0"/>
        <w:snapToGrid w:val="0"/>
        <w:spacing w:line="440" w:lineRule="exact"/>
        <w:jc w:val="left"/>
        <w:rPr>
          <w:rFonts w:ascii="仿宋" w:hAnsi="仿宋" w:cstheme="minorBidi"/>
          <w:sz w:val="24"/>
        </w:rPr>
      </w:pPr>
      <w:r>
        <w:rPr>
          <w:rFonts w:hint="eastAsia"/>
          <w:sz w:val="24"/>
        </w:rPr>
        <w:t>二、收入决算情况说明</w:t>
      </w:r>
      <w:r>
        <w:rPr>
          <w:rFonts w:hint="eastAsia"/>
          <w:sz w:val="24"/>
        </w:rPr>
        <w:tab/>
      </w:r>
      <w:r>
        <w:rPr>
          <w:rFonts w:hint="eastAsia"/>
          <w:sz w:val="24"/>
        </w:rPr>
        <w:t>12</w:t>
      </w:r>
    </w:p>
    <w:p>
      <w:pPr>
        <w:pStyle w:val="13"/>
        <w:adjustRightInd w:val="0"/>
        <w:snapToGrid w:val="0"/>
        <w:spacing w:line="440" w:lineRule="exact"/>
        <w:jc w:val="left"/>
        <w:rPr>
          <w:rFonts w:ascii="仿宋" w:hAnsi="仿宋" w:cstheme="minorBidi"/>
          <w:sz w:val="24"/>
        </w:rPr>
      </w:pPr>
      <w:r>
        <w:rPr>
          <w:rFonts w:hint="eastAsia"/>
          <w:sz w:val="24"/>
        </w:rPr>
        <w:t>三、支出决算情况说明</w:t>
      </w:r>
      <w:r>
        <w:rPr>
          <w:rFonts w:hint="eastAsia"/>
          <w:sz w:val="24"/>
        </w:rPr>
        <w:tab/>
      </w:r>
      <w:r>
        <w:rPr>
          <w:rFonts w:hint="eastAsia"/>
          <w:sz w:val="24"/>
        </w:rPr>
        <w:t>13</w:t>
      </w:r>
    </w:p>
    <w:p>
      <w:pPr>
        <w:pStyle w:val="13"/>
        <w:adjustRightInd w:val="0"/>
        <w:snapToGrid w:val="0"/>
        <w:spacing w:line="440" w:lineRule="exact"/>
        <w:jc w:val="left"/>
        <w:rPr>
          <w:rFonts w:ascii="仿宋" w:hAnsi="仿宋" w:cstheme="minorBidi"/>
          <w:sz w:val="24"/>
        </w:rPr>
      </w:pPr>
      <w:r>
        <w:rPr>
          <w:rFonts w:hint="eastAsia"/>
          <w:sz w:val="24"/>
        </w:rPr>
        <w:t>四、财政拨款收入支出决算总体情况说明</w:t>
      </w:r>
      <w:r>
        <w:rPr>
          <w:rFonts w:hint="eastAsia"/>
          <w:sz w:val="24"/>
        </w:rPr>
        <w:tab/>
      </w:r>
      <w:r>
        <w:rPr>
          <w:rFonts w:hint="eastAsia"/>
          <w:sz w:val="24"/>
        </w:rPr>
        <w:t>13</w:t>
      </w:r>
    </w:p>
    <w:p>
      <w:pPr>
        <w:pStyle w:val="13"/>
        <w:adjustRightInd w:val="0"/>
        <w:snapToGrid w:val="0"/>
        <w:spacing w:line="440" w:lineRule="exact"/>
        <w:jc w:val="left"/>
        <w:rPr>
          <w:rFonts w:ascii="仿宋" w:hAnsi="仿宋" w:cstheme="minorBidi"/>
          <w:sz w:val="24"/>
        </w:rPr>
      </w:pPr>
      <w:r>
        <w:rPr>
          <w:rFonts w:hint="eastAsia"/>
          <w:sz w:val="24"/>
        </w:rPr>
        <w:t>五、一般公共预算财政拨款支出决算情况说明</w:t>
      </w:r>
      <w:r>
        <w:rPr>
          <w:rFonts w:hint="eastAsia"/>
          <w:sz w:val="24"/>
        </w:rPr>
        <w:tab/>
      </w:r>
      <w:r>
        <w:rPr>
          <w:rFonts w:hint="eastAsia"/>
          <w:sz w:val="24"/>
        </w:rPr>
        <w:t>14</w:t>
      </w:r>
    </w:p>
    <w:p>
      <w:pPr>
        <w:pStyle w:val="13"/>
        <w:adjustRightInd w:val="0"/>
        <w:snapToGrid w:val="0"/>
        <w:spacing w:line="440" w:lineRule="exact"/>
        <w:jc w:val="left"/>
        <w:rPr>
          <w:rFonts w:ascii="仿宋" w:hAnsi="仿宋" w:cstheme="minorBidi"/>
          <w:sz w:val="24"/>
        </w:rPr>
      </w:pPr>
      <w:r>
        <w:rPr>
          <w:rFonts w:hint="eastAsia"/>
          <w:sz w:val="24"/>
        </w:rPr>
        <w:t>六、一般公共预算财政拨款基本支出决算情况说明</w:t>
      </w:r>
      <w:r>
        <w:rPr>
          <w:rFonts w:hint="eastAsia"/>
          <w:sz w:val="24"/>
        </w:rPr>
        <w:tab/>
      </w:r>
      <w:r>
        <w:rPr>
          <w:rFonts w:hint="eastAsia"/>
          <w:sz w:val="24"/>
        </w:rPr>
        <w:t>16</w:t>
      </w:r>
    </w:p>
    <w:p>
      <w:pPr>
        <w:pStyle w:val="13"/>
        <w:adjustRightInd w:val="0"/>
        <w:snapToGrid w:val="0"/>
        <w:spacing w:line="440" w:lineRule="exact"/>
        <w:jc w:val="left"/>
        <w:rPr>
          <w:rFonts w:ascii="仿宋" w:hAnsi="仿宋" w:cstheme="minorBidi"/>
          <w:sz w:val="24"/>
        </w:rPr>
      </w:pPr>
      <w:r>
        <w:rPr>
          <w:rFonts w:hint="eastAsia"/>
          <w:sz w:val="24"/>
        </w:rPr>
        <w:t>七、</w:t>
      </w:r>
      <w:r>
        <w:rPr>
          <w:sz w:val="24"/>
        </w:rPr>
        <w:t>“</w:t>
      </w:r>
      <w:r>
        <w:rPr>
          <w:rFonts w:hint="eastAsia"/>
          <w:sz w:val="24"/>
        </w:rPr>
        <w:t>三公”经费财政拨款支出决算情况说明</w:t>
      </w:r>
      <w:r>
        <w:rPr>
          <w:rFonts w:hint="eastAsia"/>
          <w:sz w:val="24"/>
        </w:rPr>
        <w:tab/>
      </w:r>
      <w:r>
        <w:rPr>
          <w:rFonts w:hint="eastAsia"/>
          <w:sz w:val="24"/>
        </w:rPr>
        <w:t>17</w:t>
      </w:r>
    </w:p>
    <w:p>
      <w:pPr>
        <w:pStyle w:val="13"/>
        <w:adjustRightInd w:val="0"/>
        <w:snapToGrid w:val="0"/>
        <w:spacing w:line="440" w:lineRule="exact"/>
        <w:jc w:val="left"/>
        <w:rPr>
          <w:rFonts w:ascii="仿宋" w:hAnsi="仿宋" w:cstheme="minorBidi"/>
          <w:sz w:val="24"/>
        </w:rPr>
      </w:pPr>
      <w:r>
        <w:rPr>
          <w:rFonts w:hint="eastAsia"/>
          <w:sz w:val="24"/>
        </w:rPr>
        <w:t>八、政府性基金预算支出决算情况说明</w:t>
      </w:r>
      <w:r>
        <w:rPr>
          <w:rFonts w:hint="eastAsia"/>
          <w:sz w:val="24"/>
        </w:rPr>
        <w:tab/>
      </w:r>
      <w:r>
        <w:rPr>
          <w:rFonts w:hint="eastAsia"/>
          <w:sz w:val="24"/>
        </w:rPr>
        <w:t>18</w:t>
      </w:r>
    </w:p>
    <w:p>
      <w:pPr>
        <w:pStyle w:val="13"/>
        <w:adjustRightInd w:val="0"/>
        <w:snapToGrid w:val="0"/>
        <w:spacing w:line="440" w:lineRule="exact"/>
        <w:ind w:leftChars="0"/>
        <w:jc w:val="left"/>
        <w:rPr>
          <w:rFonts w:ascii="仿宋" w:hAnsi="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rPr>
        <w:tab/>
      </w:r>
      <w:r>
        <w:rPr>
          <w:rFonts w:hint="eastAsia"/>
          <w:sz w:val="24"/>
        </w:rPr>
        <w:t>18</w:t>
      </w:r>
    </w:p>
    <w:p>
      <w:pPr>
        <w:adjustRightInd w:val="0"/>
        <w:snapToGrid w:val="0"/>
        <w:spacing w:line="440" w:lineRule="exact"/>
        <w:ind w:firstLine="480" w:firstLineChars="200"/>
        <w:jc w:val="left"/>
        <w:rPr>
          <w:rFonts w:ascii="仿宋" w:hAnsi="仿宋" w:eastAsia="仿宋" w:cstheme="minorBidi"/>
          <w:sz w:val="24"/>
        </w:rPr>
      </w:pPr>
      <w:r>
        <w:rPr>
          <w:rStyle w:val="18"/>
          <w:rFonts w:hint="eastAsia" w:ascii="仿宋" w:hAnsi="仿宋" w:eastAsia="仿宋"/>
          <w:color w:val="000000" w:themeColor="text1"/>
          <w:sz w:val="24"/>
          <w:u w:val="none"/>
        </w:rPr>
        <w:t>十、</w:t>
      </w:r>
      <w:r>
        <w:rPr>
          <w:rFonts w:hint="eastAsia"/>
          <w:sz w:val="24"/>
        </w:rPr>
        <w:t>其他重要事项的情况说明..........................................................................18</w:t>
      </w:r>
    </w:p>
    <w:p>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rPr>
          <w:rFonts w:hint="eastAsia"/>
          <w:sz w:val="24"/>
        </w:rPr>
        <w:tab/>
      </w:r>
      <w:r>
        <w:rPr>
          <w:rFonts w:hint="eastAsia"/>
          <w:sz w:val="24"/>
        </w:rPr>
        <w:t>23</w:t>
      </w:r>
    </w:p>
    <w:p>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r>
        <w:rPr>
          <w:rFonts w:hint="eastAsia"/>
          <w:sz w:val="24"/>
        </w:rPr>
        <w:tab/>
      </w:r>
      <w:r>
        <w:rPr>
          <w:rFonts w:hint="eastAsia"/>
          <w:sz w:val="24"/>
        </w:rPr>
        <w:t>25</w:t>
      </w:r>
    </w:p>
    <w:p>
      <w:pPr>
        <w:pStyle w:val="13"/>
        <w:adjustRightInd w:val="0"/>
        <w:snapToGrid w:val="0"/>
        <w:spacing w:line="440" w:lineRule="exact"/>
        <w:jc w:val="left"/>
        <w:rPr>
          <w:sz w:val="24"/>
        </w:rPr>
      </w:pPr>
      <w:r>
        <w:rPr>
          <w:rFonts w:hint="eastAsia"/>
          <w:sz w:val="24"/>
        </w:rPr>
        <w:t>附件</w:t>
      </w:r>
      <w:r>
        <w:rPr>
          <w:sz w:val="24"/>
        </w:rPr>
        <w:t>1</w:t>
      </w:r>
      <w:r>
        <w:rPr>
          <w:rFonts w:hint="eastAsia"/>
          <w:sz w:val="24"/>
        </w:rPr>
        <w:tab/>
      </w:r>
      <w:r>
        <w:rPr>
          <w:rFonts w:hint="eastAsia"/>
          <w:sz w:val="24"/>
        </w:rPr>
        <w:t>25</w:t>
      </w:r>
    </w:p>
    <w:p>
      <w:pPr>
        <w:pStyle w:val="13"/>
        <w:adjustRightInd w:val="0"/>
        <w:snapToGrid w:val="0"/>
        <w:spacing w:line="440" w:lineRule="exact"/>
        <w:jc w:val="left"/>
        <w:rPr>
          <w:rFonts w:hint="eastAsia" w:eastAsia="宋体"/>
          <w:sz w:val="24"/>
          <w:lang w:eastAsia="zh-CN"/>
        </w:rPr>
      </w:pPr>
      <w:r>
        <w:rPr>
          <w:rFonts w:hint="eastAsia"/>
          <w:sz w:val="24"/>
        </w:rPr>
        <w:t>附件2</w:t>
      </w:r>
      <w:r>
        <w:rPr>
          <w:rFonts w:hint="eastAsia"/>
          <w:sz w:val="24"/>
        </w:rPr>
        <w:tab/>
      </w:r>
      <w:r>
        <w:rPr>
          <w:rFonts w:hint="eastAsia"/>
          <w:sz w:val="24"/>
        </w:rPr>
        <w:t>3</w:t>
      </w:r>
      <w:r>
        <w:rPr>
          <w:rFonts w:hint="eastAsia"/>
          <w:sz w:val="24"/>
          <w:lang w:val="en-US" w:eastAsia="zh-CN"/>
        </w:rPr>
        <w:t>0</w:t>
      </w:r>
    </w:p>
    <w:p>
      <w:pPr>
        <w:pStyle w:val="12"/>
        <w:adjustRightInd w:val="0"/>
        <w:snapToGrid w:val="0"/>
        <w:spacing w:before="0" w:line="440" w:lineRule="exact"/>
        <w:jc w:val="left"/>
        <w:rPr>
          <w:rFonts w:hint="eastAsia"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rPr>
        <w:tab/>
      </w:r>
      <w:r>
        <w:rPr>
          <w:rFonts w:hint="eastAsia"/>
          <w:sz w:val="24"/>
        </w:rPr>
        <w:t>3</w:t>
      </w:r>
      <w:r>
        <w:rPr>
          <w:rFonts w:hint="eastAsia"/>
          <w:sz w:val="24"/>
          <w:lang w:val="en-US" w:eastAsia="zh-CN"/>
        </w:rPr>
        <w:t>5</w:t>
      </w:r>
    </w:p>
    <w:p>
      <w:pPr>
        <w:pStyle w:val="13"/>
        <w:adjustRightInd w:val="0"/>
        <w:snapToGrid w:val="0"/>
        <w:spacing w:line="440" w:lineRule="exact"/>
        <w:jc w:val="left"/>
        <w:rPr>
          <w:rFonts w:ascii="仿宋" w:hAnsi="仿宋" w:cstheme="minorBidi"/>
          <w:sz w:val="24"/>
        </w:rPr>
      </w:pPr>
      <w:r>
        <w:rPr>
          <w:rFonts w:hint="eastAsia" w:ascii="仿宋" w:hAnsi="仿宋" w:eastAsia="仿宋"/>
          <w:sz w:val="24"/>
        </w:rPr>
        <w:t>一、</w:t>
      </w:r>
      <w:r>
        <w:rPr>
          <w:rFonts w:hint="eastAsia"/>
          <w:sz w:val="24"/>
        </w:rPr>
        <w:t>收入支出决算总表</w:t>
      </w:r>
    </w:p>
    <w:p>
      <w:pPr>
        <w:pStyle w:val="13"/>
        <w:adjustRightInd w:val="0"/>
        <w:snapToGrid w:val="0"/>
        <w:spacing w:line="440" w:lineRule="exact"/>
        <w:jc w:val="left"/>
        <w:rPr>
          <w:rFonts w:ascii="仿宋" w:hAnsi="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3"/>
        <w:adjustRightInd w:val="0"/>
        <w:snapToGrid w:val="0"/>
        <w:spacing w:line="440" w:lineRule="exact"/>
        <w:jc w:val="left"/>
        <w:rPr>
          <w:sz w:val="24"/>
        </w:rPr>
      </w:pPr>
      <w:r>
        <w:rPr>
          <w:rFonts w:hint="eastAsia" w:ascii="仿宋" w:hAnsi="仿宋" w:eastAsia="仿宋"/>
          <w:sz w:val="24"/>
        </w:rPr>
        <w:t>四、</w:t>
      </w:r>
      <w:r>
        <w:rPr>
          <w:rFonts w:hint="eastAsia"/>
          <w:sz w:val="24"/>
        </w:rPr>
        <w:t>财政拨款收入支出决算总表</w:t>
      </w:r>
    </w:p>
    <w:p>
      <w:pPr>
        <w:pStyle w:val="13"/>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3"/>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pStyle w:val="3"/>
        <w:rPr>
          <w:rFonts w:ascii="黑体" w:hAnsi="黑体" w:eastAsia="黑体"/>
          <w:b w:val="0"/>
        </w:rPr>
      </w:pPr>
      <w:bookmarkStart w:id="14" w:name="_Toc15396599"/>
      <w:bookmarkStart w:id="15" w:name="_Toc15377196"/>
    </w:p>
    <w:p>
      <w:pPr>
        <w:rPr>
          <w:rFonts w:ascii="黑体" w:hAnsi="黑体" w:eastAsia="黑体"/>
        </w:rPr>
      </w:pPr>
    </w:p>
    <w:p>
      <w:pPr>
        <w:pStyle w:val="2"/>
        <w:ind w:left="840" w:hanging="420"/>
        <w:rPr>
          <w:rFonts w:hint="default" w:ascii="黑体" w:hAnsi="黑体" w:eastAsia="黑体"/>
        </w:rPr>
      </w:pPr>
    </w:p>
    <w:p>
      <w:pPr>
        <w:rPr>
          <w:rFonts w:ascii="黑体" w:hAnsi="黑体" w:eastAsia="黑体"/>
        </w:rPr>
      </w:pPr>
    </w:p>
    <w:p>
      <w:pPr>
        <w:pStyle w:val="2"/>
        <w:ind w:left="840" w:hanging="420"/>
        <w:rPr>
          <w:rFonts w:hint="default" w:ascii="黑体" w:hAnsi="黑体" w:eastAsia="黑体"/>
        </w:rPr>
      </w:pPr>
    </w:p>
    <w:p>
      <w:pPr>
        <w:rPr>
          <w:rFonts w:ascii="黑体" w:hAnsi="黑体" w:eastAsia="黑体"/>
        </w:rPr>
      </w:pPr>
    </w:p>
    <w:p>
      <w:pPr>
        <w:pStyle w:val="2"/>
        <w:ind w:left="840" w:hanging="420"/>
        <w:rPr>
          <w:rFonts w:hint="default" w:ascii="黑体" w:hAnsi="黑体" w:eastAsia="黑体"/>
        </w:rPr>
      </w:pPr>
    </w:p>
    <w:p>
      <w:pPr>
        <w:rPr>
          <w:rFonts w:ascii="黑体" w:hAnsi="黑体" w:eastAsia="黑体"/>
        </w:rPr>
      </w:pPr>
    </w:p>
    <w:p>
      <w:pPr>
        <w:pStyle w:val="2"/>
        <w:ind w:left="840" w:hanging="420"/>
        <w:rPr>
          <w:rFonts w:hint="default" w:ascii="黑体" w:hAnsi="黑体" w:eastAsia="黑体"/>
        </w:rPr>
      </w:pPr>
    </w:p>
    <w:p>
      <w:pPr>
        <w:rPr>
          <w:rFonts w:ascii="黑体" w:hAnsi="黑体" w:eastAsia="黑体"/>
        </w:rPr>
      </w:pPr>
    </w:p>
    <w:p>
      <w:pPr>
        <w:pStyle w:val="2"/>
        <w:ind w:left="840" w:hanging="420"/>
        <w:rPr>
          <w:rFonts w:hint="default" w:ascii="黑体" w:hAnsi="黑体" w:eastAsia="黑体"/>
        </w:rPr>
      </w:pPr>
    </w:p>
    <w:p>
      <w:pPr>
        <w:rPr>
          <w:rFonts w:ascii="黑体" w:hAnsi="黑体" w:eastAsia="黑体"/>
        </w:rPr>
      </w:pPr>
    </w:p>
    <w:p>
      <w:pPr>
        <w:pStyle w:val="2"/>
        <w:ind w:left="840" w:hanging="420"/>
        <w:rPr>
          <w:rFonts w:hint="default" w:ascii="黑体" w:hAnsi="黑体" w:eastAsia="黑体"/>
        </w:rPr>
      </w:pPr>
    </w:p>
    <w:p>
      <w:pPr>
        <w:rPr>
          <w:rFonts w:ascii="黑体" w:hAnsi="黑体" w:eastAsia="黑体"/>
        </w:rPr>
      </w:pPr>
    </w:p>
    <w:p>
      <w:pPr>
        <w:pStyle w:val="2"/>
        <w:ind w:left="840" w:hanging="420"/>
        <w:rPr>
          <w:rFonts w:hint="default" w:ascii="黑体" w:hAnsi="黑体" w:eastAsia="黑体"/>
        </w:rPr>
      </w:pPr>
    </w:p>
    <w:p>
      <w:pPr>
        <w:rPr>
          <w:rFonts w:ascii="黑体" w:hAnsi="黑体" w:eastAsia="黑体"/>
        </w:rPr>
      </w:pPr>
    </w:p>
    <w:p>
      <w:pPr>
        <w:pStyle w:val="2"/>
        <w:ind w:left="840" w:hanging="420"/>
        <w:rPr>
          <w:rFonts w:hint="default" w:ascii="黑体" w:hAnsi="黑体" w:eastAsia="黑体"/>
        </w:rPr>
      </w:pPr>
    </w:p>
    <w:p>
      <w:pPr>
        <w:rPr>
          <w:rFonts w:ascii="黑体" w:hAnsi="黑体" w:eastAsia="黑体"/>
        </w:rPr>
      </w:pPr>
    </w:p>
    <w:p>
      <w:pPr>
        <w:pStyle w:val="2"/>
        <w:ind w:left="840" w:hanging="420"/>
        <w:rPr>
          <w:rFonts w:hint="default" w:ascii="黑体" w:hAnsi="黑体" w:eastAsia="黑体"/>
        </w:rPr>
      </w:pPr>
    </w:p>
    <w:p>
      <w:pPr>
        <w:rPr>
          <w:rFonts w:ascii="黑体" w:hAnsi="黑体" w:eastAsia="黑体"/>
        </w:rPr>
      </w:pPr>
    </w:p>
    <w:p>
      <w:pPr>
        <w:pStyle w:val="2"/>
        <w:ind w:left="840" w:hanging="420"/>
        <w:rPr>
          <w:rFonts w:hint="default" w:ascii="黑体" w:hAnsi="黑体" w:eastAsia="黑体"/>
        </w:rPr>
      </w:pPr>
    </w:p>
    <w:p>
      <w:pPr>
        <w:rPr>
          <w:rFonts w:ascii="黑体" w:hAnsi="黑体" w:eastAsia="黑体"/>
        </w:rPr>
      </w:pPr>
    </w:p>
    <w:p>
      <w:pPr>
        <w:pStyle w:val="2"/>
        <w:ind w:left="840" w:hanging="420"/>
        <w:rPr>
          <w:rFonts w:hint="default" w:ascii="黑体" w:hAnsi="黑体" w:eastAsia="黑体"/>
        </w:rPr>
      </w:pPr>
    </w:p>
    <w:p>
      <w:pPr>
        <w:pStyle w:val="3"/>
        <w:rPr>
          <w:rFonts w:ascii="黑体" w:hAnsi="黑体" w:eastAsia="黑体"/>
          <w:b w:val="0"/>
          <w:bCs w:val="0"/>
          <w:kern w:val="2"/>
          <w:sz w:val="21"/>
          <w:szCs w:val="24"/>
        </w:rPr>
      </w:pPr>
    </w:p>
    <w:p/>
    <w:p>
      <w:pPr>
        <w:pStyle w:val="3"/>
        <w:jc w:val="center"/>
        <w:rPr>
          <w:rFonts w:ascii="黑体" w:hAnsi="黑体" w:eastAsia="黑体"/>
          <w:bCs w:val="0"/>
        </w:rPr>
      </w:pPr>
      <w:bookmarkStart w:id="16" w:name="_Toc29469"/>
      <w:r>
        <w:rPr>
          <w:rFonts w:hint="eastAsia" w:ascii="黑体" w:hAnsi="黑体" w:eastAsia="黑体"/>
          <w:b w:val="0"/>
        </w:rPr>
        <w:t xml:space="preserve">第一部分 </w:t>
      </w:r>
      <w:r>
        <w:rPr>
          <w:rStyle w:val="27"/>
          <w:rFonts w:hint="eastAsia" w:ascii="黑体" w:hAnsi="黑体" w:eastAsia="黑体"/>
          <w:b w:val="0"/>
          <w:bCs w:val="0"/>
        </w:rPr>
        <w:t>部门概况</w:t>
      </w:r>
      <w:bookmarkEnd w:id="14"/>
      <w:bookmarkEnd w:id="15"/>
      <w:bookmarkEnd w:id="16"/>
    </w:p>
    <w:p>
      <w:pPr>
        <w:pStyle w:val="4"/>
        <w:pageBreakBefore w:val="0"/>
        <w:kinsoku/>
        <w:wordWrap/>
        <w:overflowPunct/>
        <w:topLinePunct w:val="0"/>
        <w:autoSpaceDE/>
        <w:autoSpaceDN/>
        <w:bidi w:val="0"/>
        <w:spacing w:line="560" w:lineRule="exact"/>
        <w:ind w:firstLine="640" w:firstLineChars="200"/>
        <w:textAlignment w:val="auto"/>
        <w:rPr>
          <w:rStyle w:val="28"/>
          <w:rFonts w:ascii="仿宋" w:hAnsi="仿宋" w:eastAsia="仿宋"/>
          <w:b w:val="0"/>
          <w:bCs w:val="0"/>
        </w:rPr>
      </w:pPr>
      <w:bookmarkStart w:id="17" w:name="_Toc15377197"/>
      <w:bookmarkStart w:id="18" w:name="_Toc15396600"/>
      <w:bookmarkStart w:id="19" w:name="_Toc211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7"/>
      <w:bookmarkEnd w:id="18"/>
      <w:bookmarkEnd w:id="19"/>
    </w:p>
    <w:p>
      <w:pPr>
        <w:pStyle w:val="7"/>
        <w:pageBreakBefore w:val="0"/>
        <w:kinsoku/>
        <w:wordWrap/>
        <w:overflowPunct/>
        <w:topLinePunct w:val="0"/>
        <w:autoSpaceDE/>
        <w:autoSpaceDN/>
        <w:bidi w:val="0"/>
        <w:adjustRightInd w:val="0"/>
        <w:snapToGrid w:val="0"/>
        <w:spacing w:before="93" w:line="560" w:lineRule="exact"/>
        <w:ind w:firstLine="675" w:firstLineChars="210"/>
        <w:textAlignment w:val="auto"/>
        <w:outlineLvl w:val="2"/>
        <w:rPr>
          <w:rFonts w:hint="eastAsia" w:ascii="楷体_GB2312" w:hAnsi="楷体_GB2312" w:eastAsia="楷体_GB2312" w:cs="楷体_GB2312"/>
          <w:b/>
          <w:bCs w:val="0"/>
          <w:color w:val="000000"/>
          <w:sz w:val="32"/>
          <w:szCs w:val="32"/>
        </w:rPr>
      </w:pPr>
      <w:bookmarkStart w:id="20" w:name="_Toc15378445"/>
      <w:bookmarkStart w:id="21" w:name="_Toc15377198"/>
      <w:bookmarkStart w:id="22" w:name="_Toc30712"/>
      <w:r>
        <w:rPr>
          <w:rFonts w:hint="eastAsia" w:ascii="楷体_GB2312" w:hAnsi="楷体_GB2312" w:eastAsia="楷体_GB2312" w:cs="楷体_GB2312"/>
          <w:b/>
          <w:bCs w:val="0"/>
          <w:color w:val="000000"/>
          <w:sz w:val="32"/>
          <w:szCs w:val="32"/>
        </w:rPr>
        <w:t>（一）主要职能。</w:t>
      </w:r>
      <w:bookmarkEnd w:id="20"/>
      <w:bookmarkEnd w:id="21"/>
      <w:bookmarkEnd w:id="22"/>
      <w:bookmarkStart w:id="23" w:name="_Toc15377199"/>
      <w:bookmarkStart w:id="24" w:name="_Toc15378446"/>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（1）坚持正确的政治方向，团结、教育全县各族各界妇女以及各类妇女组织同党中央在思想上、政治上、行动上保持高度一致。</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(2）紧密围绕县委、县政府的中心任务开展工作，团结、动员、组织全县妇女群众参与经济社会发展，努力推进中方县妇女儿童事业的发展。</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(3)宣传马克思主义妇女观和男女平等思想，教育、引导妇女树立正确的世界观、人生观、价值观，弘扬“自尊、自信、自立、自强”的精神，积极开展对妇女的科技文化及生产劳动技能教育，全面提高妇女素质。</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(4)代表妇女参与社会事务的民主管理和民主监督；关注并积极研究涉及妇女切身利益的热点、难点问题，及时提出解决处理的建议；参与制定有关保护妇女儿童合法权益的政策并组织落实，切实维护妇女儿童合法权益。</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(5)坚持为妇女儿童服务、为基层服务，加强与社会各界的联系，协调、推动社会各界为妇女儿童办好事、办实事。</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(6)加强与社会各界妇女的联系，巩固和扩大各族各界妇女的大团结。</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(7)加强妇联组织自身建设，指导建立健全各级妇联和基层妇女组织。指导各级妇女组织按照章程独立自主地开展工作。加强干部队伍建设，提高妇联干部的整体素质。</w:t>
      </w:r>
    </w:p>
    <w:p>
      <w:pPr>
        <w:pStyle w:val="14"/>
        <w:pageBreakBefore w:val="0"/>
        <w:widowControl/>
        <w:shd w:val="clear" w:color="auto" w:fill="FFFFFF"/>
        <w:kinsoku/>
        <w:wordWrap/>
        <w:overflowPunct/>
        <w:topLinePunct w:val="0"/>
        <w:autoSpaceDE/>
        <w:autoSpaceDN/>
        <w:bidi w:val="0"/>
        <w:spacing w:before="0" w:beforeAutospacing="0" w:after="0" w:afterAutospacing="0" w:line="560" w:lineRule="exact"/>
        <w:ind w:firstLine="645"/>
        <w:textAlignment w:val="auto"/>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(8)承担县妇女儿童工作委员会的日常工作。</w:t>
      </w:r>
    </w:p>
    <w:p>
      <w:pPr>
        <w:pStyle w:val="7"/>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ascii="仿宋" w:hAnsi="仿宋" w:eastAsia="仿宋"/>
          <w:bCs/>
          <w:color w:val="000000"/>
          <w:sz w:val="32"/>
          <w:szCs w:val="32"/>
        </w:rPr>
      </w:pPr>
      <w:bookmarkStart w:id="25" w:name="_Toc22808"/>
      <w:r>
        <w:rPr>
          <w:rFonts w:hint="eastAsia" w:hAnsi="仿宋_GB2312" w:cs="仿宋_GB2312"/>
          <w:bCs/>
          <w:kern w:val="2"/>
          <w:sz w:val="32"/>
          <w:szCs w:val="32"/>
        </w:rPr>
        <w:t>(9)承办县委、县政府和市妇联交办的其他事项。</w:t>
      </w:r>
      <w:bookmarkEnd w:id="25"/>
    </w:p>
    <w:p>
      <w:pPr>
        <w:pStyle w:val="7"/>
        <w:pageBreakBefore w:val="0"/>
        <w:kinsoku/>
        <w:wordWrap/>
        <w:overflowPunct/>
        <w:topLinePunct w:val="0"/>
        <w:autoSpaceDE/>
        <w:autoSpaceDN/>
        <w:bidi w:val="0"/>
        <w:adjustRightInd w:val="0"/>
        <w:snapToGrid w:val="0"/>
        <w:spacing w:before="93" w:line="560" w:lineRule="exact"/>
        <w:ind w:firstLine="675" w:firstLineChars="210"/>
        <w:textAlignment w:val="auto"/>
        <w:outlineLvl w:val="2"/>
        <w:rPr>
          <w:rFonts w:hint="eastAsia" w:ascii="楷体_GB2312" w:hAnsi="楷体_GB2312" w:eastAsia="楷体_GB2312" w:cs="楷体_GB2312"/>
          <w:b/>
          <w:bCs w:val="0"/>
          <w:color w:val="000000"/>
          <w:sz w:val="32"/>
          <w:szCs w:val="32"/>
        </w:rPr>
      </w:pPr>
      <w:bookmarkStart w:id="26" w:name="_Toc11228"/>
      <w:r>
        <w:rPr>
          <w:rFonts w:hint="eastAsia" w:ascii="楷体_GB2312" w:hAnsi="楷体_GB2312" w:eastAsia="楷体_GB2312" w:cs="楷体_GB2312"/>
          <w:b/>
          <w:bCs w:val="0"/>
          <w:color w:val="000000"/>
          <w:sz w:val="32"/>
          <w:szCs w:val="32"/>
        </w:rPr>
        <w:t>（二）2019年重点工作完成情况。</w:t>
      </w:r>
      <w:bookmarkEnd w:id="23"/>
      <w:bookmarkEnd w:id="24"/>
      <w:bookmarkEnd w:id="26"/>
    </w:p>
    <w:p>
      <w:pPr>
        <w:pageBreakBefore w:val="0"/>
        <w:kinsoku/>
        <w:wordWrap/>
        <w:overflowPunct/>
        <w:topLinePunct w:val="0"/>
        <w:autoSpaceDE/>
        <w:autoSpaceDN/>
        <w:bidi w:val="0"/>
        <w:spacing w:line="560" w:lineRule="exact"/>
        <w:ind w:firstLine="627" w:firstLineChars="196"/>
        <w:textAlignment w:val="auto"/>
        <w:rPr>
          <w:rFonts w:ascii="仿宋_GB2312" w:hAnsi="仿宋_GB2312" w:eastAsia="仿宋_GB2312"/>
          <w:sz w:val="32"/>
        </w:rPr>
      </w:pPr>
      <w:r>
        <w:rPr>
          <w:rFonts w:hint="eastAsia" w:ascii="仿宋_GB2312" w:hAnsi="仿宋_GB2312" w:eastAsia="仿宋_GB2312"/>
          <w:sz w:val="32"/>
        </w:rPr>
        <w:t>2019年，红原县妇联在县委的坚强领导下，在县政府的大力支持下，在州妇联的指导和关心下，按照年度工作目标任务，以构建和谐社会关系为工作核心，以加强妇联组织建设为基础，以开展“姐妹宣讲团”活动等品牌工作为统领，工作方式不断创新，工作成效不断凸显，维护好了广大妇女群众的合法权益，为推进红原建设发挥了一定的作用。</w:t>
      </w:r>
      <w:r>
        <w:rPr>
          <w:rFonts w:hint="eastAsia" w:eastAsia="仿宋_GB2312" w:cs="仿宋_GB2312"/>
          <w:sz w:val="32"/>
          <w:szCs w:val="32"/>
        </w:rPr>
        <w:t>具体工作开展情况如下：</w:t>
      </w:r>
    </w:p>
    <w:p>
      <w:pPr>
        <w:pageBreakBefore w:val="0"/>
        <w:kinsoku/>
        <w:wordWrap/>
        <w:overflowPunct/>
        <w:topLinePunct w:val="0"/>
        <w:autoSpaceDE/>
        <w:autoSpaceDN/>
        <w:bidi w:val="0"/>
        <w:spacing w:line="560" w:lineRule="exact"/>
        <w:ind w:firstLine="630" w:firstLineChars="196"/>
        <w:textAlignment w:val="auto"/>
        <w:rPr>
          <w:rFonts w:hint="eastAsia" w:ascii="仿宋_GB2312" w:hAnsi="仿宋_GB2312" w:eastAsia="仿宋_GB2312" w:cs="仿宋_GB2312"/>
          <w:b/>
          <w:sz w:val="32"/>
        </w:rPr>
      </w:pPr>
      <w:r>
        <w:rPr>
          <w:rFonts w:hint="eastAsia" w:ascii="仿宋_GB2312" w:hAnsi="仿宋_GB2312" w:eastAsia="仿宋_GB2312" w:cs="仿宋_GB2312"/>
          <w:b/>
          <w:sz w:val="32"/>
        </w:rPr>
        <w:t>1.实施维权行动、维护妇女儿童合法权益</w:t>
      </w:r>
    </w:p>
    <w:p>
      <w:pPr>
        <w:pageBreakBefore w:val="0"/>
        <w:kinsoku/>
        <w:wordWrap/>
        <w:overflowPunct/>
        <w:topLinePunct w:val="0"/>
        <w:autoSpaceDE/>
        <w:autoSpaceDN/>
        <w:bidi w:val="0"/>
        <w:spacing w:line="560" w:lineRule="exact"/>
        <w:ind w:firstLine="641"/>
        <w:textAlignment w:val="auto"/>
        <w:rPr>
          <w:rFonts w:ascii="仿宋_GB2312" w:hAnsi="仿宋_GB2312" w:eastAsia="仿宋_GB2312"/>
          <w:sz w:val="32"/>
        </w:rPr>
      </w:pPr>
      <w:r>
        <w:rPr>
          <w:rFonts w:hint="eastAsia" w:ascii="仿宋_GB2312" w:hAnsi="仿宋_GB2312" w:eastAsia="仿宋_GB2312"/>
          <w:color w:val="000000"/>
          <w:kern w:val="0"/>
          <w:sz w:val="32"/>
        </w:rPr>
        <w:t>4月16日至20日，县妇联组织“关爱草原阿妈”姐妹宣讲团进行了为期5天的下乡宣讲活动。</w:t>
      </w:r>
      <w:r>
        <w:rPr>
          <w:rFonts w:hint="eastAsia" w:ascii="仿宋_GB2312" w:hAnsi="仿宋_GB2312" w:eastAsia="仿宋_GB2312"/>
          <w:sz w:val="32"/>
        </w:rPr>
        <w:t>宣讲团成员采取宣传图片讲解、身边案例分析等形式，用通俗易懂的日常口语，紧扣“精准扶贫”、“乡村振兴”工作和庆祝新中国成立70周年这一工作主线，着力宣传了以下内容：</w:t>
      </w:r>
      <w:r>
        <w:rPr>
          <w:rFonts w:hint="eastAsia" w:ascii="仿宋_GB2312" w:hAnsi="仿宋_GB2312" w:eastAsia="仿宋_GB2312"/>
          <w:b/>
          <w:sz w:val="32"/>
        </w:rPr>
        <w:t>一是推进文明习惯进家庭：</w:t>
      </w:r>
      <w:r>
        <w:rPr>
          <w:rFonts w:hint="eastAsia" w:ascii="仿宋_GB2312" w:hAnsi="仿宋_GB2312" w:eastAsia="仿宋_GB2312"/>
          <w:sz w:val="32"/>
        </w:rPr>
        <w:t>深化做实“巾帼脱贫行动”、“乡村振兴巾帼行动”，将其贯穿融入家庭、家教、家风建设的全过程和各方面，通过典型示范，帮助广大贫困家庭逐步养成好习惯。</w:t>
      </w:r>
      <w:r>
        <w:rPr>
          <w:rFonts w:hint="eastAsia" w:ascii="仿宋_GB2312" w:hAnsi="仿宋_GB2312" w:eastAsia="仿宋_GB2312"/>
          <w:b/>
          <w:sz w:val="32"/>
        </w:rPr>
        <w:t>二是推进科学家教进家庭：</w:t>
      </w:r>
      <w:r>
        <w:rPr>
          <w:rFonts w:hint="eastAsia" w:ascii="仿宋_GB2312" w:hAnsi="仿宋_GB2312" w:eastAsia="仿宋_GB2312"/>
          <w:sz w:val="32"/>
        </w:rPr>
        <w:t>针对全县家教意识落后、家庭教育力量薄弱等突出问题，大力普及科学育儿教子、健康养护知识，提高广大家长家教责任意识和科学家教能力，帮助孩子扣好人生第一粒扣子，阻断贫困代际传递。</w:t>
      </w:r>
      <w:r>
        <w:rPr>
          <w:rFonts w:hint="eastAsia" w:ascii="仿宋_GB2312" w:hAnsi="仿宋_GB2312" w:eastAsia="仿宋_GB2312"/>
          <w:b/>
          <w:sz w:val="32"/>
        </w:rPr>
        <w:t>三是推进优良家风进家庭：</w:t>
      </w:r>
      <w:r>
        <w:rPr>
          <w:rFonts w:hint="eastAsia" w:ascii="仿宋_GB2312" w:hAnsi="仿宋_GB2312" w:eastAsia="仿宋_GB2312"/>
          <w:sz w:val="32"/>
        </w:rPr>
        <w:t>充分发挥妇女在树立良好家风方面的独特作用，大力弘扬社会主义核心价值观、藏族优秀传统文化，带动广大家庭和妇女群众追求向上向善、共建共享的健康生活，形成良好社会风尚。同时还重点宣传了习近平总书记在同全国妇联新一届领导班子集体谈话时的重要讲话精神，与妇女切身相关的《婚姻法》《妇女权益保障法》《反家庭暴力法》《环境保护法》等法律法规常识，以及家教家风、妇女道德、个人品德和妇女病防治常识，讲解了“两癌”防治知识、计划生育节育、艾滋病、结核病等传染性疾病预防知识及相关惠民政策。</w:t>
      </w:r>
    </w:p>
    <w:p>
      <w:pPr>
        <w:pageBreakBefore w:val="0"/>
        <w:kinsoku/>
        <w:wordWrap/>
        <w:overflowPunct/>
        <w:topLinePunct w:val="0"/>
        <w:autoSpaceDE/>
        <w:autoSpaceDN/>
        <w:bidi w:val="0"/>
        <w:spacing w:line="560" w:lineRule="exact"/>
        <w:ind w:firstLine="641"/>
        <w:textAlignment w:val="auto"/>
        <w:rPr>
          <w:rFonts w:ascii="仿宋_GB2312" w:hAnsi="仿宋_GB2312" w:eastAsia="仿宋_GB2312"/>
          <w:sz w:val="32"/>
        </w:rPr>
      </w:pPr>
      <w:r>
        <w:rPr>
          <w:rFonts w:hint="eastAsia" w:ascii="仿宋_GB2312" w:hAnsi="仿宋_GB2312" w:eastAsia="仿宋_GB2312"/>
          <w:sz w:val="32"/>
        </w:rPr>
        <w:t>宣讲活动旨在团结引领广大妇女群众感党恩、听党话、跟党走，为脱贫攻坚凝聚强大合力；让广大妇女同胞懂得通过法律手段来维护自身合法权益；引导广大妇女群众“除陋习、树新风”，自觉践行“敬信勤新”美德新思想。</w:t>
      </w:r>
    </w:p>
    <w:p>
      <w:pPr>
        <w:pageBreakBefore w:val="0"/>
        <w:kinsoku/>
        <w:wordWrap/>
        <w:overflowPunct/>
        <w:topLinePunct w:val="0"/>
        <w:autoSpaceDE/>
        <w:autoSpaceDN/>
        <w:bidi w:val="0"/>
        <w:spacing w:line="560" w:lineRule="exact"/>
        <w:ind w:firstLine="630" w:firstLineChars="196"/>
        <w:textAlignment w:val="auto"/>
        <w:rPr>
          <w:rFonts w:hint="eastAsia" w:ascii="仿宋_GB2312" w:hAnsi="仿宋_GB2312" w:eastAsia="仿宋_GB2312" w:cs="仿宋_GB2312"/>
          <w:b/>
          <w:sz w:val="32"/>
        </w:rPr>
      </w:pPr>
      <w:r>
        <w:rPr>
          <w:rFonts w:hint="eastAsia" w:ascii="仿宋_GB2312" w:hAnsi="仿宋_GB2312" w:eastAsia="仿宋_GB2312" w:cs="仿宋_GB2312"/>
          <w:b/>
          <w:sz w:val="32"/>
        </w:rPr>
        <w:t>2.围绕民生需求，关爱妇女儿童工作有新进展</w:t>
      </w:r>
    </w:p>
    <w:p>
      <w:pPr>
        <w:pStyle w:val="14"/>
        <w:pageBreakBefore w:val="0"/>
        <w:shd w:val="clear" w:color="auto" w:fill="FFFFFF"/>
        <w:kinsoku/>
        <w:wordWrap/>
        <w:overflowPunct/>
        <w:topLinePunct w:val="0"/>
        <w:autoSpaceDE/>
        <w:autoSpaceDN/>
        <w:bidi w:val="0"/>
        <w:spacing w:before="0" w:beforeAutospacing="0" w:after="0" w:afterAutospacing="0" w:line="560" w:lineRule="exact"/>
        <w:ind w:firstLine="640" w:firstLineChars="200"/>
        <w:jc w:val="both"/>
        <w:textAlignment w:val="auto"/>
        <w:rPr>
          <w:rFonts w:ascii="仿宋_GB2312" w:hAnsi="仿宋_GB2312" w:eastAsia="仿宋_GB2312"/>
          <w:sz w:val="32"/>
        </w:rPr>
      </w:pPr>
      <w:r>
        <w:rPr>
          <w:rFonts w:hint="eastAsia" w:ascii="仿宋_GB2312" w:hAnsi="仿宋_GB2312" w:eastAsia="仿宋_GB2312"/>
          <w:sz w:val="32"/>
          <w:shd w:val="clear" w:color="auto" w:fill="FFFFFF"/>
        </w:rPr>
        <w:t>发挥妇联组织的桥梁和纽带作用，把党和政府的温暖和妇联组织的关爱送到贫困母亲身边，让她们在共建中共享社会发展成果。</w:t>
      </w:r>
      <w:r>
        <w:rPr>
          <w:rFonts w:hint="eastAsia" w:ascii="仿宋_GB2312" w:hAnsi="仿宋_GB2312" w:eastAsia="仿宋_GB2312"/>
          <w:b/>
          <w:sz w:val="32"/>
          <w:shd w:val="clear" w:color="auto" w:fill="FFFFFF"/>
        </w:rPr>
        <w:t>一是</w:t>
      </w:r>
      <w:r>
        <w:rPr>
          <w:rFonts w:hint="eastAsia" w:ascii="仿宋_GB2312" w:hAnsi="仿宋_GB2312" w:eastAsia="仿宋_GB2312"/>
          <w:sz w:val="32"/>
          <w:shd w:val="clear" w:color="auto" w:fill="FFFFFF"/>
        </w:rPr>
        <w:t>积极争取中央、省级“两癌”专项救助金，为1</w:t>
      </w:r>
      <w:r>
        <w:rPr>
          <w:rFonts w:hint="eastAsia" w:ascii="仿宋_GB2312" w:eastAsia="仿宋_GB2312"/>
          <w:sz w:val="32"/>
        </w:rPr>
        <w:t>名“两癌”患病贫困妇女发放救助金1万元；积极</w:t>
      </w:r>
      <w:r>
        <w:rPr>
          <w:rFonts w:hint="eastAsia" w:ascii="仿宋_GB2312" w:hAnsi="仿宋_GB2312" w:eastAsia="仿宋_GB2312"/>
          <w:sz w:val="32"/>
          <w:shd w:val="clear" w:color="auto" w:fill="FFFFFF"/>
        </w:rPr>
        <w:t>争取</w:t>
      </w:r>
      <w:r>
        <w:rPr>
          <w:rFonts w:hint="eastAsia" w:ascii="仿宋_GB2312" w:eastAsia="仿宋_GB2312"/>
          <w:sz w:val="32"/>
        </w:rPr>
        <w:t>社区贫困癌症患病妇女救助金，为2名社区贫困癌症患病妇女发放救助金0.6万元。二</w:t>
      </w:r>
      <w:r>
        <w:rPr>
          <w:rFonts w:hint="eastAsia" w:ascii="仿宋_GB2312" w:eastAsia="仿宋_GB2312"/>
          <w:b/>
          <w:sz w:val="32"/>
        </w:rPr>
        <w:t>是</w:t>
      </w:r>
      <w:r>
        <w:rPr>
          <w:rFonts w:hint="eastAsia" w:ascii="仿宋_GB2312" w:hAnsi="仿宋_GB2312" w:eastAsia="仿宋_GB2312"/>
          <w:sz w:val="32"/>
        </w:rPr>
        <w:t>深入各乡镇开展关爱慰问活动,为15名单亲母亲、贫困患病妇女发放0.1至0.3万元不等的救助金，累计发放救助金4.3万元，棉被130余床。三</w:t>
      </w:r>
      <w:r>
        <w:rPr>
          <w:rFonts w:hint="eastAsia" w:ascii="仿宋_GB2312" w:hAnsi="仿宋_GB2312" w:eastAsia="仿宋_GB2312"/>
          <w:b/>
          <w:sz w:val="32"/>
        </w:rPr>
        <w:t>是</w:t>
      </w:r>
      <w:r>
        <w:rPr>
          <w:rFonts w:hint="eastAsia" w:ascii="仿宋_GB2312" w:eastAsia="仿宋_GB2312"/>
          <w:sz w:val="32"/>
        </w:rPr>
        <w:t>争取14万元资金在全县5个乡镇建设7个“儿童之家”，有效改善牧区学龄儿童生存、发展环境，促进学龄儿童、留守儿童健康成长。</w:t>
      </w:r>
      <w:r>
        <w:rPr>
          <w:rFonts w:hint="eastAsia" w:ascii="仿宋_GB2312" w:eastAsia="仿宋_GB2312"/>
          <w:b/>
          <w:sz w:val="32"/>
        </w:rPr>
        <w:t>四是</w:t>
      </w:r>
      <w:r>
        <w:rPr>
          <w:rFonts w:hint="eastAsia" w:ascii="仿宋_GB2312" w:hAnsi="仿宋_GB2312" w:eastAsia="仿宋_GB2312"/>
          <w:sz w:val="32"/>
        </w:rPr>
        <w:t>为尼姑寺送去价值6500余元的卫生用品，县妇联将一如既往地教育引领广大尼姑严守寺规戒律、爱国爱教，团结带领广大尼姑坚定听党话、始终跟党走，自觉维护社会和谐稳定和各民族团结和睦，以实际行动礼赞新中国成立70周年。</w:t>
      </w:r>
      <w:r>
        <w:rPr>
          <w:rFonts w:hint="eastAsia" w:ascii="仿宋_GB2312" w:hAnsi="仿宋_GB2312" w:eastAsia="仿宋_GB2312"/>
          <w:b/>
          <w:sz w:val="32"/>
        </w:rPr>
        <w:t>五</w:t>
      </w:r>
      <w:r>
        <w:rPr>
          <w:rFonts w:hint="eastAsia" w:ascii="仿宋_GB2312" w:eastAsia="仿宋_GB2312"/>
          <w:b/>
          <w:sz w:val="32"/>
        </w:rPr>
        <w:t>是</w:t>
      </w:r>
      <w:r>
        <w:rPr>
          <w:rFonts w:hint="eastAsia" w:ascii="仿宋_GB2312" w:hAnsi="仿宋_GB2312" w:eastAsia="仿宋_GB2312"/>
          <w:sz w:val="32"/>
        </w:rPr>
        <w:t>为凝聚社会力量，共同搭建好关爱、保护未成年人的桥梁。县妇联在瓦切镇小学举行了“感恩暨阳公益  大爱春晖耀藏地”捐赠物资发放活动，此次捐赠活动为瓦切镇小学的同学们</w:t>
      </w:r>
      <w:r>
        <w:rPr>
          <w:rFonts w:hint="eastAsia" w:ascii="仿宋_GB2312" w:eastAsia="仿宋_GB2312"/>
          <w:sz w:val="32"/>
        </w:rPr>
        <w:t>捐赠了总价值12万元的600件毛衣。</w:t>
      </w:r>
    </w:p>
    <w:p>
      <w:pPr>
        <w:pageBreakBefore w:val="0"/>
        <w:kinsoku/>
        <w:wordWrap/>
        <w:overflowPunct/>
        <w:topLinePunct w:val="0"/>
        <w:autoSpaceDE/>
        <w:autoSpaceDN/>
        <w:bidi w:val="0"/>
        <w:spacing w:line="560" w:lineRule="exact"/>
        <w:ind w:firstLine="630" w:firstLineChars="196"/>
        <w:textAlignment w:val="auto"/>
        <w:rPr>
          <w:rFonts w:hint="eastAsia" w:ascii="仿宋_GB2312" w:hAnsi="仿宋_GB2312" w:eastAsia="仿宋_GB2312" w:cs="仿宋_GB2312"/>
          <w:b/>
          <w:sz w:val="32"/>
        </w:rPr>
      </w:pPr>
      <w:r>
        <w:rPr>
          <w:rFonts w:hint="eastAsia" w:ascii="仿宋_GB2312" w:hAnsi="仿宋_GB2312" w:eastAsia="仿宋_GB2312" w:cs="仿宋_GB2312"/>
          <w:b/>
          <w:sz w:val="32"/>
        </w:rPr>
        <w:t>3.围绕中心服务大局，推动妇女儿童事业持续发展</w:t>
      </w:r>
    </w:p>
    <w:p>
      <w:pPr>
        <w:pageBreakBefore w:val="0"/>
        <w:shd w:val="clear" w:color="auto" w:fill="FFFFFF"/>
        <w:kinsoku/>
        <w:wordWrap/>
        <w:overflowPunct/>
        <w:topLinePunct w:val="0"/>
        <w:autoSpaceDE/>
        <w:autoSpaceDN/>
        <w:bidi w:val="0"/>
        <w:spacing w:line="560" w:lineRule="exact"/>
        <w:ind w:firstLine="640" w:firstLineChars="200"/>
        <w:textAlignment w:val="auto"/>
        <w:rPr>
          <w:rFonts w:ascii="宋体" w:hAnsi="宋体"/>
          <w:b/>
          <w:sz w:val="32"/>
        </w:rPr>
      </w:pPr>
      <w:r>
        <w:rPr>
          <w:rFonts w:hint="eastAsia" w:ascii="仿宋_GB2312" w:hAnsi="仿宋_GB2312" w:eastAsia="仿宋_GB2312"/>
          <w:sz w:val="32"/>
          <w:shd w:val="clear" w:color="auto" w:fill="FFFFFF"/>
        </w:rPr>
        <w:t>为深入贯彻州委、县委群团工作会议精神，根据《红原县妇联改革方案》要求，</w:t>
      </w:r>
      <w:r>
        <w:rPr>
          <w:rFonts w:hint="eastAsia" w:ascii="仿宋_GB2312" w:hAnsi="仿宋_GB2312" w:eastAsia="仿宋_GB2312"/>
          <w:sz w:val="32"/>
        </w:rPr>
        <w:t>更好地引领妇女群众参与基层公共服务、更好地发挥村妇联组织联系凝聚妇女群众的作用。</w:t>
      </w:r>
      <w:r>
        <w:rPr>
          <w:rFonts w:hint="eastAsia" w:ascii="仿宋_GB2312" w:hAnsi="仿宋_GB2312" w:eastAsia="仿宋_GB2312"/>
          <w:b/>
          <w:sz w:val="32"/>
        </w:rPr>
        <w:t>一是</w:t>
      </w:r>
      <w:r>
        <w:rPr>
          <w:rFonts w:hint="eastAsia" w:ascii="仿宋_GB2312" w:hAnsi="仿宋_GB2312" w:eastAsia="仿宋_GB2312"/>
          <w:sz w:val="32"/>
        </w:rPr>
        <w:t>举办乡镇妇联主席履职能力培训，通过交流学习、实地观摩学习有效提高了我县基层妇联干部的综合素质和履职能力，进一步夯实基层妇女组织，更好地发挥妇联组织联系妇女群众的桥梁、纽带作用</w:t>
      </w:r>
      <w:r>
        <w:rPr>
          <w:rFonts w:hint="eastAsia" w:ascii="仿宋_GB2312" w:hAnsi="仿宋_GB2312" w:eastAsia="仿宋_GB2312"/>
          <w:color w:val="000000"/>
          <w:sz w:val="32"/>
        </w:rPr>
        <w:t>。</w:t>
      </w:r>
      <w:r>
        <w:rPr>
          <w:rFonts w:hint="eastAsia" w:ascii="仿宋_GB2312" w:hAnsi="仿宋_GB2312" w:eastAsia="仿宋_GB2312"/>
          <w:b/>
          <w:color w:val="000000"/>
          <w:kern w:val="0"/>
          <w:sz w:val="32"/>
        </w:rPr>
        <w:t>二是</w:t>
      </w:r>
      <w:r>
        <w:rPr>
          <w:rFonts w:hint="eastAsia" w:ascii="仿宋_GB2312" w:eastAsia="仿宋_GB2312"/>
          <w:sz w:val="32"/>
        </w:rPr>
        <w:t>为巩固脱贫攻坚成果，提高牧区广大妇女的生产生活技能和创业能力，帮助贫困妇女增加收入，县妇联积极引导、动员和组织广大妇女参与居家灵活就业技能培训，县妇联为红原县博钦渤藏艺服装制售有限公司、红原县悠牧部落餐饮娱乐有限公司、</w:t>
      </w:r>
      <w:r>
        <w:rPr>
          <w:rFonts w:hint="eastAsia" w:ascii="仿宋_GB2312" w:hAnsi="仿宋_GB2312" w:eastAsia="仿宋_GB2312"/>
          <w:sz w:val="32"/>
        </w:rPr>
        <w:t>红原县好手艺工艺品有限责任公司争取妇女居家灵活就业资金40万元，</w:t>
      </w:r>
      <w:r>
        <w:rPr>
          <w:rFonts w:hint="eastAsia" w:ascii="仿宋_GB2312" w:eastAsia="仿宋_GB2312"/>
          <w:sz w:val="32"/>
        </w:rPr>
        <w:t>先后开设手工编织、缝纫技能技能培训等，30余名妇女前来参训。</w:t>
      </w:r>
      <w:r>
        <w:rPr>
          <w:rFonts w:hint="eastAsia" w:ascii="仿宋_GB2312" w:eastAsia="仿宋_GB2312"/>
          <w:b/>
          <w:sz w:val="32"/>
        </w:rPr>
        <w:t>三是</w:t>
      </w:r>
      <w:r>
        <w:rPr>
          <w:rFonts w:hint="eastAsia" w:ascii="仿宋_GB2312" w:eastAsia="仿宋_GB2312"/>
          <w:sz w:val="32"/>
        </w:rPr>
        <w:t>为进一步提升我县广大家庭建设“幸福家庭”能力，提高广大家长家教责任意识和科学家教能力，县妇联特邀四川省妇联“幸福使者 母亲课堂”骨干讲师举办“美丽红原</w:t>
      </w:r>
      <w:r>
        <w:rPr>
          <w:rFonts w:hint="eastAsia" w:ascii="仿宋_GB2312" w:hAnsi="仿宋_GB2312" w:eastAsia="仿宋_GB2312"/>
          <w:sz w:val="32"/>
        </w:rPr>
        <w:t>·</w:t>
      </w:r>
      <w:r>
        <w:rPr>
          <w:rFonts w:hint="eastAsia" w:ascii="仿宋_GB2312" w:eastAsia="仿宋_GB2312"/>
          <w:sz w:val="32"/>
        </w:rPr>
        <w:t>幸福家庭-科学家教进万家”专题讲座，全县200余名干部职工聆听了讲座，为全社会共同关注青少年健康成长营造了良好的社会氛围。</w:t>
      </w:r>
      <w:r>
        <w:rPr>
          <w:rFonts w:hint="eastAsia" w:ascii="仿宋_GB2312" w:eastAsia="仿宋_GB2312"/>
          <w:b/>
          <w:sz w:val="32"/>
        </w:rPr>
        <w:t>四</w:t>
      </w:r>
      <w:r>
        <w:rPr>
          <w:rFonts w:hint="eastAsia" w:ascii="仿宋_GB2312" w:hAnsi="仿宋_GB2312" w:eastAsia="仿宋_GB2312"/>
          <w:b/>
          <w:sz w:val="32"/>
        </w:rPr>
        <w:t>是</w:t>
      </w:r>
      <w:r>
        <w:rPr>
          <w:rFonts w:hint="eastAsia" w:ascii="仿宋_GB2312" w:hAnsi="仿宋_GB2312" w:eastAsia="仿宋_GB2312"/>
          <w:sz w:val="32"/>
        </w:rPr>
        <w:t>县妇联举办首届妇女居家灵活就业手工技能大赛及作品展示动，来自各乡镇21名妇女参赛者携带93件作品参加了技能大赛及作品展示活动，充分展示出牧区广大妇女姐妹靠勤劳双手和坚韧毅力脱贫奔康的巾帼风采。</w:t>
      </w:r>
      <w:r>
        <w:rPr>
          <w:rFonts w:hint="eastAsia" w:ascii="仿宋_GB2312" w:hAnsi="仿宋_GB2312" w:eastAsia="仿宋_GB2312"/>
          <w:b/>
          <w:sz w:val="32"/>
        </w:rPr>
        <w:t>五是</w:t>
      </w:r>
      <w:r>
        <w:rPr>
          <w:rFonts w:hint="eastAsia" w:ascii="仿宋_GB2312" w:eastAsia="仿宋_GB2312"/>
          <w:sz w:val="32"/>
        </w:rPr>
        <w:t>为</w:t>
      </w:r>
      <w:r>
        <w:rPr>
          <w:rFonts w:hint="eastAsia" w:ascii="仿宋_GB2312" w:hAnsi="仿宋_GB2312" w:eastAsia="仿宋_GB2312"/>
          <w:color w:val="000000"/>
          <w:sz w:val="32"/>
        </w:rPr>
        <w:t>进一步巩固我县脱贫攻坚成果和助推乡村振兴，把家庭文明建设作为妇联组织助力脱贫攻坚和乡村振兴的有效举措，县妇联在邛溪镇达格龙村举行“树草原新风 助乡村振兴”巾帼行动启动仪式。</w:t>
      </w:r>
      <w:r>
        <w:rPr>
          <w:rFonts w:hint="eastAsia" w:ascii="仿宋_GB2312" w:hAnsi="仿宋_GB2312" w:eastAsia="仿宋_GB2312"/>
          <w:sz w:val="32"/>
        </w:rPr>
        <w:t>为喜迎新中国成立70周年和中国共产党98岁生日，县妇联在邛溪镇达格龙村“妇女之家”开展“巾帼心向党 礼赞新中国——庆祝新中国成立70周年万名妇女联动活动”群众性宣传教育活动，</w:t>
      </w:r>
      <w:r>
        <w:rPr>
          <w:rFonts w:hint="eastAsia" w:ascii="仿宋_GB2312" w:hAnsi="仿宋" w:eastAsia="仿宋_GB2312"/>
          <w:kern w:val="0"/>
          <w:sz w:val="32"/>
        </w:rPr>
        <w:t>全县</w:t>
      </w:r>
      <w:r>
        <w:rPr>
          <w:rFonts w:hint="eastAsia" w:ascii="仿宋_GB2312" w:hAnsi="仿宋_GB2312" w:eastAsia="仿宋_GB2312"/>
          <w:color w:val="000000"/>
          <w:sz w:val="32"/>
        </w:rPr>
        <w:t>11个乡镇、龙日坝党工委妇联主席及邛溪镇达格龙村、麻萨村、热坤村妇女群众共计500余人参加活动。</w:t>
      </w:r>
    </w:p>
    <w:p>
      <w:pPr>
        <w:pageBreakBefore w:val="0"/>
        <w:kinsoku/>
        <w:wordWrap/>
        <w:overflowPunct/>
        <w:topLinePunct w:val="0"/>
        <w:autoSpaceDE/>
        <w:autoSpaceDN/>
        <w:bidi w:val="0"/>
        <w:spacing w:line="560" w:lineRule="exact"/>
        <w:ind w:firstLine="321" w:firstLineChars="100"/>
        <w:textAlignment w:val="auto"/>
        <w:rPr>
          <w:rFonts w:ascii="楷体" w:hAnsi="楷体" w:eastAsia="楷体"/>
          <w:b/>
          <w:sz w:val="32"/>
        </w:rPr>
      </w:pPr>
      <w:r>
        <w:rPr>
          <w:rFonts w:hint="eastAsia" w:ascii="仿宋_GB2312" w:hAnsi="仿宋_GB2312" w:eastAsia="仿宋_GB2312"/>
          <w:b/>
          <w:sz w:val="32"/>
          <w:shd w:val="clear" w:color="auto" w:fill="FFFFFF"/>
        </w:rPr>
        <w:t xml:space="preserve">  </w:t>
      </w:r>
      <w:r>
        <w:rPr>
          <w:rFonts w:hint="eastAsia" w:ascii="仿宋_GB2312" w:hAnsi="仿宋_GB2312" w:eastAsia="仿宋_GB2312" w:cs="仿宋_GB2312"/>
          <w:b/>
          <w:sz w:val="32"/>
        </w:rPr>
        <w:t xml:space="preserve"> 4.深入开展“两联一进”群众工作全覆盖</w:t>
      </w:r>
    </w:p>
    <w:p>
      <w:pPr>
        <w:pageBreakBefore w:val="0"/>
        <w:shd w:val="clear" w:color="auto" w:fill="FFFFFF"/>
        <w:kinsoku/>
        <w:wordWrap/>
        <w:overflowPunct/>
        <w:topLinePunct w:val="0"/>
        <w:autoSpaceDE/>
        <w:autoSpaceDN/>
        <w:bidi w:val="0"/>
        <w:spacing w:line="560" w:lineRule="exact"/>
        <w:ind w:firstLine="672" w:firstLineChars="200"/>
        <w:textAlignment w:val="auto"/>
        <w:rPr>
          <w:rFonts w:ascii="仿宋_GB2312" w:hAnsi="Microsoft YaHei UI" w:eastAsia="仿宋_GB2312"/>
          <w:spacing w:val="8"/>
          <w:sz w:val="32"/>
        </w:rPr>
      </w:pPr>
      <w:r>
        <w:rPr>
          <w:rFonts w:hint="eastAsia" w:ascii="仿宋_GB2312" w:hAnsi="Microsoft YaHei UI" w:eastAsia="仿宋_GB2312"/>
          <w:spacing w:val="8"/>
          <w:sz w:val="32"/>
        </w:rPr>
        <w:t>紧扣州委、县委“两联一进”群众工作总体部署的要求，县妇联积极组织全体干部职工深入联系村、联系寺院扎实开展干部群众双向结对认亲活动。逐一走访每户结对户，耐心细致的了解结对认亲群众生产生活和尼姑学习生活现状，记录、收集每户的家庭情况、意愿诉求、意愿期盼等，针对收集的问题诉求，逐一进行梳理，按问题诉求类别交班子会集中商讨解决，帮助解决群众子女入学就读政策咨询问题5条，帮助贫困人员、尼姑入院就医9人次，帮助落实2名新生儿户籍问题等，为困难群众和尼姑送去价值0.3万元的日常生活用品，切实解决了群众的实际困难问题，</w:t>
      </w:r>
      <w:r>
        <w:rPr>
          <w:rFonts w:hint="eastAsia" w:ascii="仿宋_GB2312" w:hAnsi="Microsoft YaHei UI" w:eastAsia="仿宋_GB2312"/>
          <w:spacing w:val="8"/>
          <w:sz w:val="32"/>
          <w:lang w:val="zh-CN"/>
        </w:rPr>
        <w:t>充分赢得</w:t>
      </w:r>
      <w:r>
        <w:rPr>
          <w:rFonts w:hint="eastAsia" w:ascii="仿宋_GB2312" w:hAnsi="Microsoft YaHei UI" w:eastAsia="仿宋_GB2312"/>
          <w:spacing w:val="8"/>
          <w:sz w:val="32"/>
        </w:rPr>
        <w:t>了联系群众</w:t>
      </w:r>
      <w:r>
        <w:rPr>
          <w:rFonts w:hint="eastAsia" w:ascii="仿宋_GB2312" w:hAnsi="Microsoft YaHei UI" w:eastAsia="仿宋_GB2312"/>
          <w:spacing w:val="8"/>
          <w:sz w:val="32"/>
          <w:lang w:val="zh-CN"/>
        </w:rPr>
        <w:t>的信任与支持。</w:t>
      </w:r>
    </w:p>
    <w:p>
      <w:pPr>
        <w:pageBreakBefore w:val="0"/>
        <w:kinsoku/>
        <w:wordWrap/>
        <w:overflowPunct/>
        <w:topLinePunct w:val="0"/>
        <w:autoSpaceDE/>
        <w:autoSpaceDN/>
        <w:bidi w:val="0"/>
        <w:spacing w:line="560" w:lineRule="exact"/>
        <w:textAlignment w:val="auto"/>
        <w:rPr>
          <w:rFonts w:ascii="宋体" w:hAnsi="宋体"/>
          <w:b/>
          <w:sz w:val="32"/>
        </w:rPr>
      </w:pPr>
      <w:r>
        <w:rPr>
          <w:rFonts w:hint="eastAsia" w:ascii="宋体" w:hAnsi="宋体"/>
          <w:b/>
          <w:sz w:val="32"/>
        </w:rPr>
        <w:t xml:space="preserve">    </w:t>
      </w:r>
      <w:r>
        <w:rPr>
          <w:rFonts w:hint="eastAsia" w:ascii="仿宋_GB2312" w:hAnsi="仿宋_GB2312" w:eastAsia="仿宋_GB2312" w:cs="仿宋_GB2312"/>
          <w:b/>
          <w:sz w:val="32"/>
        </w:rPr>
        <w:t>5.重视源头抓信访工作</w:t>
      </w:r>
    </w:p>
    <w:p>
      <w:pPr>
        <w:pageBreakBefore w:val="0"/>
        <w:kinsoku/>
        <w:wordWrap/>
        <w:overflowPunct/>
        <w:topLinePunct w:val="0"/>
        <w:autoSpaceDE/>
        <w:autoSpaceDN/>
        <w:bidi w:val="0"/>
        <w:spacing w:line="560" w:lineRule="exact"/>
        <w:textAlignment w:val="auto"/>
        <w:rPr>
          <w:rFonts w:ascii="仿宋_GB2312" w:hAnsi="仿宋_GB2312" w:eastAsia="仿宋_GB2312"/>
          <w:color w:val="000000"/>
          <w:kern w:val="0"/>
          <w:sz w:val="32"/>
        </w:rPr>
      </w:pPr>
      <w:r>
        <w:rPr>
          <w:rFonts w:hint="eastAsia" w:ascii="宋体" w:hAnsi="宋体"/>
          <w:b/>
          <w:sz w:val="32"/>
        </w:rPr>
        <w:t xml:space="preserve">   </w:t>
      </w:r>
      <w:r>
        <w:rPr>
          <w:rFonts w:hint="eastAsia" w:ascii="仿宋_GB2312" w:hAnsi="仿宋_GB2312" w:eastAsia="仿宋_GB2312"/>
          <w:color w:val="000000"/>
          <w:kern w:val="0"/>
          <w:sz w:val="32"/>
        </w:rPr>
        <w:t xml:space="preserve"> 按照省、州妇联信访工作要求，坚持以邓小平理论和“三个代表”重要思想为指导，深入贯彻落实科学发展观，进一步重视和加强了新形势下信访工作，为维护妇女儿童的合法权益，积极营造和谐稳定的社会环境作出了积极贡献。我县妇联系统今年共受理群众来信来访9件，来访3件，来电6件。婚姻家庭权益方面1件、寻求帮助3件、政治权利方面5件（咨询婚、产假）。</w:t>
      </w:r>
    </w:p>
    <w:p>
      <w:pPr>
        <w:pageBreakBefore w:val="0"/>
        <w:kinsoku/>
        <w:wordWrap/>
        <w:overflowPunct/>
        <w:topLinePunct w:val="0"/>
        <w:autoSpaceDE/>
        <w:autoSpaceDN/>
        <w:bidi w:val="0"/>
        <w:spacing w:line="560" w:lineRule="exact"/>
        <w:ind w:firstLine="630" w:firstLineChars="196"/>
        <w:textAlignment w:val="auto"/>
        <w:rPr>
          <w:rFonts w:hint="eastAsia" w:ascii="仿宋_GB2312" w:hAnsi="仿宋_GB2312" w:eastAsia="仿宋_GB2312" w:cs="仿宋_GB2312"/>
          <w:b/>
          <w:sz w:val="32"/>
          <w:lang w:val="zh-CN"/>
        </w:rPr>
      </w:pPr>
      <w:r>
        <w:rPr>
          <w:rFonts w:hint="eastAsia" w:ascii="仿宋_GB2312" w:hAnsi="仿宋_GB2312" w:eastAsia="仿宋_GB2312" w:cs="仿宋_GB2312"/>
          <w:b/>
          <w:sz w:val="32"/>
        </w:rPr>
        <w:t>6.</w:t>
      </w:r>
      <w:r>
        <w:rPr>
          <w:rFonts w:hint="eastAsia" w:ascii="仿宋_GB2312" w:hAnsi="仿宋_GB2312" w:eastAsia="仿宋_GB2312" w:cs="仿宋_GB2312"/>
          <w:b/>
          <w:sz w:val="32"/>
          <w:lang w:val="zh-CN"/>
        </w:rPr>
        <w:t>抓特色活动，营造良好的舆论氛围</w:t>
      </w:r>
    </w:p>
    <w:p>
      <w:pPr>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b/>
          <w:sz w:val="32"/>
        </w:rPr>
      </w:pPr>
      <w:r>
        <w:rPr>
          <w:rFonts w:hint="eastAsia" w:ascii="仿宋_GB2312" w:hAnsi="仿宋_GB2312" w:eastAsia="仿宋_GB2312"/>
          <w:b/>
          <w:sz w:val="32"/>
        </w:rPr>
        <w:t>（1）开展“三八”国际劳动妇女节庆祝活动</w:t>
      </w:r>
    </w:p>
    <w:p>
      <w:pPr>
        <w:pageBreakBefore w:val="0"/>
        <w:kinsoku/>
        <w:wordWrap/>
        <w:overflowPunct/>
        <w:topLinePunct w:val="0"/>
        <w:autoSpaceDE/>
        <w:autoSpaceDN/>
        <w:bidi w:val="0"/>
        <w:spacing w:line="560" w:lineRule="exact"/>
        <w:ind w:firstLine="640" w:firstLineChars="200"/>
        <w:textAlignment w:val="auto"/>
        <w:rPr>
          <w:rFonts w:ascii="仿宋_GB2312" w:hAnsi="仿宋_GB2312" w:eastAsia="仿宋_GB2312"/>
          <w:sz w:val="32"/>
        </w:rPr>
      </w:pPr>
      <w:r>
        <w:rPr>
          <w:rFonts w:hint="eastAsia" w:ascii="仿宋_GB2312" w:hAnsi="仿宋_GB2312" w:eastAsia="仿宋_GB2312"/>
          <w:sz w:val="32"/>
        </w:rPr>
        <w:t>在“三八”国际妇女节来临之际，我县妇联组织各条战线的妇女代表共聚一堂，开展以“倾情礼赞新中国 巾帼奋进新时代”为主题的纪念活动，展现了我县妇女姐妹们坚定不移跟党走、奋力建功新时代的新面貌、新气象。</w:t>
      </w:r>
      <w:r>
        <w:rPr>
          <w:rFonts w:hint="eastAsia" w:ascii="仿宋_GB2312" w:hAnsi="仿宋_GB2312" w:eastAsia="仿宋_GB2312"/>
          <w:b/>
          <w:sz w:val="32"/>
        </w:rPr>
        <w:t>一是巾帼风采：</w:t>
      </w:r>
      <w:r>
        <w:rPr>
          <w:rFonts w:hint="eastAsia" w:ascii="仿宋_GB2312" w:hAnsi="仿宋_GB2312" w:eastAsia="仿宋_GB2312"/>
          <w:sz w:val="32"/>
        </w:rPr>
        <w:t>为展现广大妇女在推进社会经济发展、社会和谐、乡村振兴、打赢脱贫攻坚战等红原当代女性昂扬向上的巾帼风采，各乡镇、村（社区）妇联、各机关单位妇委会组织辖区内妇女姐妹们欢歌盛舞，营造热烈喜庆的节日氛围，吸引广大妇女同胞广泛参与，共同欢度节日、共同感受美好生活。</w:t>
      </w:r>
      <w:r>
        <w:rPr>
          <w:rFonts w:hint="eastAsia" w:ascii="仿宋_GB2312" w:hAnsi="仿宋_GB2312" w:eastAsia="仿宋_GB2312"/>
          <w:b/>
          <w:sz w:val="32"/>
        </w:rPr>
        <w:t>二是巾帼维权：</w:t>
      </w:r>
      <w:r>
        <w:rPr>
          <w:rFonts w:hint="eastAsia" w:ascii="仿宋_GB2312" w:hAnsi="仿宋_GB2312" w:eastAsia="仿宋_GB2312"/>
          <w:sz w:val="32"/>
        </w:rPr>
        <w:t>“三八”维权周期间，县妇联、县司法局等相关单位深入各乡镇以发放宣传资料、提供法律咨询、组织“姐妹宣讲团”宣讲等形式向广大妇女同胞宣讲《反家暴法》、《妇女权益保障法》等法律法规，教育引导牧区广大妇女自觉学法、用法、守法，以理性合法的形式维护自身合法权益，引领她们积极参与法治建设。</w:t>
      </w:r>
      <w:r>
        <w:rPr>
          <w:rFonts w:hint="eastAsia" w:ascii="仿宋_GB2312" w:hAnsi="仿宋_GB2312" w:eastAsia="仿宋_GB2312"/>
          <w:b/>
          <w:sz w:val="32"/>
        </w:rPr>
        <w:t>三是巾帼关爱：</w:t>
      </w:r>
      <w:r>
        <w:rPr>
          <w:rFonts w:hint="eastAsia" w:ascii="仿宋_GB2312" w:hAnsi="仿宋_GB2312" w:eastAsia="仿宋_GB2312"/>
          <w:sz w:val="32"/>
        </w:rPr>
        <w:t>县妇联机关紧扣“两联一进”群众工作全覆盖，着力妇联改革“强三性去四化”工作，走出机关、走到基层，倾听基层姐妹们心声，了解她们的困难诉求，力所能及为她们办实事、解难题，切实将党委、政府的关爱传递给她们，让她们充分感受到来自“娘家”的关心与关爱。</w:t>
      </w:r>
    </w:p>
    <w:p>
      <w:pPr>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b/>
          <w:sz w:val="32"/>
        </w:rPr>
      </w:pPr>
      <w:r>
        <w:rPr>
          <w:rFonts w:hint="eastAsia" w:ascii="仿宋_GB2312" w:hAnsi="仿宋_GB2312" w:eastAsia="仿宋_GB2312"/>
          <w:b/>
          <w:sz w:val="32"/>
        </w:rPr>
        <w:t>（2）关爱儿童，促进儿童健康成长</w:t>
      </w:r>
    </w:p>
    <w:p>
      <w:pPr>
        <w:pageBreakBefore w:val="0"/>
        <w:kinsoku/>
        <w:wordWrap/>
        <w:overflowPunct/>
        <w:topLinePunct w:val="0"/>
        <w:autoSpaceDE/>
        <w:autoSpaceDN/>
        <w:bidi w:val="0"/>
        <w:spacing w:line="560" w:lineRule="exact"/>
        <w:ind w:firstLine="640" w:firstLineChars="200"/>
        <w:textAlignment w:val="auto"/>
        <w:rPr>
          <w:rFonts w:ascii="仿宋_GB2312" w:eastAsia="仿宋_GB2312"/>
          <w:sz w:val="32"/>
        </w:rPr>
      </w:pPr>
      <w:r>
        <w:rPr>
          <w:rFonts w:hint="eastAsia" w:ascii="仿宋_GB2312" w:eastAsia="仿宋_GB2312"/>
          <w:sz w:val="32"/>
        </w:rPr>
        <w:t>为深入贯彻落实中央关于加强和改进未成年人思想道德建设工作的重要部署，切实组织好2019年“六一”国际儿童节各项庆祝活动，让儿童度过一个快乐而有意义的节日，</w:t>
      </w:r>
      <w:r>
        <w:rPr>
          <w:rFonts w:hint="eastAsia" w:ascii="仿宋_GB2312" w:hAnsi="仿宋_GB2312" w:eastAsia="仿宋_GB2312"/>
          <w:sz w:val="32"/>
        </w:rPr>
        <w:t>在“六一”国际儿童节来临之际，为了让孩子们度过一个欢快有意义的儿童节，充分感到社会大家庭的温暖，县妇联开展“情暖六一，爱在校园”慰问活动。</w:t>
      </w:r>
    </w:p>
    <w:p>
      <w:pPr>
        <w:pageBreakBefore w:val="0"/>
        <w:kinsoku/>
        <w:wordWrap/>
        <w:overflowPunct/>
        <w:topLinePunct w:val="0"/>
        <w:autoSpaceDE/>
        <w:autoSpaceDN/>
        <w:bidi w:val="0"/>
        <w:spacing w:line="560" w:lineRule="exact"/>
        <w:ind w:firstLine="643" w:firstLineChars="200"/>
        <w:textAlignment w:val="auto"/>
        <w:rPr>
          <w:rFonts w:ascii="仿宋_GB2312" w:hAnsi="仿宋_GB2312" w:eastAsia="仿宋_GB2312"/>
          <w:b/>
          <w:sz w:val="32"/>
        </w:rPr>
      </w:pPr>
      <w:r>
        <w:rPr>
          <w:rFonts w:hint="eastAsia" w:ascii="仿宋_GB2312" w:hAnsi="仿宋_GB2312" w:eastAsia="仿宋_GB2312"/>
          <w:b/>
          <w:sz w:val="32"/>
        </w:rPr>
        <w:t>(3)齐推共举，寻找最美家庭</w:t>
      </w:r>
    </w:p>
    <w:p>
      <w:pPr>
        <w:pageBreakBefore w:val="0"/>
        <w:kinsoku/>
        <w:wordWrap/>
        <w:overflowPunct/>
        <w:topLinePunct w:val="0"/>
        <w:autoSpaceDE/>
        <w:autoSpaceDN/>
        <w:bidi w:val="0"/>
        <w:spacing w:line="560" w:lineRule="exact"/>
        <w:ind w:firstLine="672" w:firstLineChars="200"/>
        <w:textAlignment w:val="auto"/>
        <w:rPr>
          <w:rFonts w:hint="eastAsia" w:ascii="仿宋_GB2312" w:hAnsi="仿宋_GB2312" w:eastAsia="仿宋_GB2312"/>
          <w:sz w:val="32"/>
        </w:rPr>
      </w:pPr>
      <w:r>
        <w:rPr>
          <w:rFonts w:hint="eastAsia" w:ascii="仿宋_GB2312" w:hAnsi="Microsoft YaHei UI" w:eastAsia="仿宋_GB2312"/>
          <w:spacing w:val="8"/>
          <w:sz w:val="32"/>
        </w:rPr>
        <w:t>为深入贯彻学习党的十九大精神和习近平总书记关于家庭文明建设的系列重要指示精神，进一步弘扬中华民族家庭美德、树立良好家风。在全县范围内广泛开展红原县2019年向幸福出发——寻找“最美家庭”活动，全县广大干部职工家庭和群众家庭积极踊跃参与，在单位、村委会、民众推选推荐的基础上，通过各成员单位集中考核推</w:t>
      </w:r>
      <w:r>
        <w:rPr>
          <w:rFonts w:hint="eastAsia" w:ascii="仿宋_GB2312" w:hAnsi="仿宋_GB2312" w:eastAsia="仿宋_GB2312"/>
          <w:sz w:val="32"/>
        </w:rPr>
        <w:t xml:space="preserve">荐和公示，在全县评选出10户县级“最美家庭”，并推荐上报州级最美家庭5户、省级最美家庭1户。  </w:t>
      </w:r>
    </w:p>
    <w:p>
      <w:pPr>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sz w:val="32"/>
        </w:rPr>
      </w:pPr>
      <w:bookmarkStart w:id="27" w:name="_Toc15396601"/>
      <w:bookmarkStart w:id="28" w:name="_Toc15377200"/>
      <w:r>
        <w:rPr>
          <w:rFonts w:hint="eastAsia" w:ascii="黑体" w:hAnsi="黑体" w:eastAsia="黑体" w:cs="黑体"/>
          <w:sz w:val="32"/>
          <w:lang w:val="en-US" w:eastAsia="zh-CN"/>
        </w:rPr>
        <w:t>二、</w:t>
      </w:r>
      <w:r>
        <w:rPr>
          <w:rFonts w:hint="eastAsia" w:ascii="黑体" w:hAnsi="黑体" w:eastAsia="黑体" w:cs="黑体"/>
          <w:sz w:val="32"/>
        </w:rPr>
        <w:t>机构设置</w:t>
      </w:r>
      <w:bookmarkEnd w:id="27"/>
      <w:bookmarkEnd w:id="28"/>
    </w:p>
    <w:p>
      <w:pPr>
        <w:pageBreakBefore w:val="0"/>
        <w:kinsoku/>
        <w:wordWrap/>
        <w:overflowPunct/>
        <w:topLinePunct w:val="0"/>
        <w:autoSpaceDE/>
        <w:autoSpaceDN/>
        <w:bidi w:val="0"/>
        <w:spacing w:line="560" w:lineRule="exact"/>
        <w:ind w:firstLine="640" w:firstLineChars="200"/>
        <w:textAlignment w:val="auto"/>
        <w:rPr>
          <w:rFonts w:ascii="仿宋_GB2312" w:hAnsi="仿宋" w:eastAsia="仿宋_GB2312"/>
          <w:sz w:val="32"/>
          <w:szCs w:val="32"/>
        </w:rPr>
      </w:pPr>
      <w:r>
        <w:rPr>
          <w:rFonts w:hint="eastAsia" w:ascii="仿宋_GB2312" w:hAnsi="仿宋_GB2312" w:eastAsia="仿宋_GB2312"/>
          <w:sz w:val="32"/>
        </w:rPr>
        <w:t xml:space="preserve"> 我单位</w:t>
      </w:r>
      <w:r>
        <w:rPr>
          <w:rFonts w:hint="eastAsia" w:ascii="仿宋_GB2312" w:hAnsi="仿宋_GB2312" w:eastAsia="仿宋_GB2312" w:cs="仿宋_GB2312"/>
          <w:bCs/>
          <w:sz w:val="32"/>
          <w:szCs w:val="32"/>
        </w:rPr>
        <w:t>为独立核算全额拨款行政单位，无下属单位。</w:t>
      </w:r>
      <w:r>
        <w:rPr>
          <w:rFonts w:hint="eastAsia" w:ascii="仿宋_GB2312" w:hAnsi="仿宋" w:eastAsia="仿宋_GB2312"/>
          <w:sz w:val="32"/>
          <w:szCs w:val="32"/>
        </w:rPr>
        <w:t xml:space="preserve"> 本单位上年末有编制人数6人、实有人数5人；本年度年末编制人数6人、实有人数5人。</w:t>
      </w:r>
    </w:p>
    <w:p>
      <w:pPr>
        <w:pStyle w:val="3"/>
        <w:pageBreakBefore w:val="0"/>
        <w:kinsoku/>
        <w:wordWrap/>
        <w:overflowPunct/>
        <w:topLinePunct w:val="0"/>
        <w:autoSpaceDE/>
        <w:autoSpaceDN/>
        <w:bidi w:val="0"/>
        <w:spacing w:line="560" w:lineRule="exact"/>
        <w:ind w:right="440"/>
        <w:jc w:val="right"/>
        <w:textAlignment w:val="auto"/>
      </w:pPr>
      <w:bookmarkStart w:id="29" w:name="_Toc15377204"/>
      <w:bookmarkStart w:id="30" w:name="_Toc15396602"/>
      <w:bookmarkStart w:id="31" w:name="_Toc2018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9"/>
      <w:bookmarkEnd w:id="30"/>
      <w:bookmarkEnd w:id="31"/>
    </w:p>
    <w:p>
      <w:pPr>
        <w:pStyle w:val="26"/>
        <w:pageBreakBefore w:val="0"/>
        <w:numPr>
          <w:ilvl w:val="0"/>
          <w:numId w:val="2"/>
        </w:numPr>
        <w:kinsoku/>
        <w:wordWrap/>
        <w:overflowPunct/>
        <w:topLinePunct w:val="0"/>
        <w:autoSpaceDE/>
        <w:autoSpaceDN/>
        <w:bidi w:val="0"/>
        <w:spacing w:line="560" w:lineRule="exact"/>
        <w:ind w:firstLineChars="0"/>
        <w:textAlignment w:val="auto"/>
        <w:outlineLvl w:val="1"/>
        <w:rPr>
          <w:rStyle w:val="28"/>
          <w:rFonts w:ascii="黑体" w:hAnsi="黑体" w:eastAsia="黑体"/>
          <w:b w:val="0"/>
        </w:rPr>
      </w:pPr>
      <w:bookmarkStart w:id="32" w:name="_Toc15377205"/>
      <w:bookmarkStart w:id="33" w:name="_Toc15396603"/>
      <w:bookmarkStart w:id="34" w:name="_Toc233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2"/>
      <w:bookmarkEnd w:id="33"/>
      <w:bookmarkEnd w:id="34"/>
    </w:p>
    <w:p>
      <w:pPr>
        <w:pageBreakBefore w:val="0"/>
        <w:kinsoku/>
        <w:wordWrap/>
        <w:overflowPunct/>
        <w:topLinePunct w:val="0"/>
        <w:autoSpaceDE/>
        <w:autoSpaceDN/>
        <w:bidi w:val="0"/>
        <w:spacing w:line="560" w:lineRule="exact"/>
        <w:ind w:firstLine="640" w:firstLineChars="200"/>
        <w:textAlignment w:val="auto"/>
        <w:rPr>
          <w:rFonts w:ascii="仿宋" w:hAnsi="仿宋" w:eastAsia="仿宋"/>
          <w:color w:val="000000" w:themeColor="text1"/>
          <w:sz w:val="32"/>
          <w:szCs w:val="32"/>
        </w:rPr>
      </w:pPr>
      <w:r>
        <w:rPr>
          <w:rFonts w:hint="eastAsia" w:ascii="仿宋" w:hAnsi="仿宋" w:eastAsia="仿宋"/>
          <w:color w:val="000000"/>
          <w:sz w:val="32"/>
          <w:szCs w:val="32"/>
        </w:rPr>
        <w:t>2019年度收入总计140.28万元、支出总计127.46万元。与2018年相比，收入总计减少7.73万元、减少5.2%。主要变动原因</w:t>
      </w:r>
      <w:r>
        <w:rPr>
          <w:rFonts w:hint="eastAsia" w:ascii="仿宋_GB2312" w:hAnsi="仿宋_GB2312" w:eastAsia="仿宋_GB2312" w:cs="仿宋_GB2312"/>
          <w:color w:val="000000"/>
          <w:sz w:val="32"/>
          <w:szCs w:val="32"/>
        </w:rPr>
        <w:t>是2019年州妇联专项妇女居家灵活就业资金减少。</w:t>
      </w:r>
      <w:r>
        <w:rPr>
          <w:rFonts w:hint="eastAsia" w:ascii="仿宋" w:hAnsi="仿宋" w:eastAsia="仿宋"/>
          <w:color w:val="000000"/>
          <w:sz w:val="32"/>
          <w:szCs w:val="32"/>
        </w:rPr>
        <w:t>支出总计增加16.93万元，增加15.3</w:t>
      </w:r>
      <w:r>
        <w:rPr>
          <w:rFonts w:ascii="仿宋" w:hAnsi="仿宋" w:eastAsia="仿宋"/>
          <w:color w:val="000000"/>
          <w:sz w:val="32"/>
          <w:szCs w:val="32"/>
        </w:rPr>
        <w:t>%</w:t>
      </w:r>
      <w:r>
        <w:rPr>
          <w:rFonts w:hint="eastAsia" w:ascii="仿宋" w:hAnsi="仿宋" w:eastAsia="仿宋"/>
          <w:color w:val="000000"/>
          <w:sz w:val="32"/>
          <w:szCs w:val="32"/>
        </w:rPr>
        <w:t>。主要变动原因2019年支2018年州妇联专项妇女居家灵活就业资金。</w:t>
      </w:r>
    </w:p>
    <w:p>
      <w: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ind w:left="1058" w:leftChars="504" w:firstLine="0" w:firstLineChars="0"/>
        <w:rPr>
          <w:rFonts w:hint="default"/>
        </w:rPr>
      </w:pPr>
      <w:r>
        <w:rPr>
          <w:rFonts w:ascii="仿宋" w:hAnsi="仿宋" w:eastAsia="仿宋"/>
          <w:color w:val="000000" w:themeColor="text1"/>
          <w:sz w:val="32"/>
          <w:szCs w:val="32"/>
        </w:rPr>
        <w:t>（图1：收、支决算总计变动情况图）</w:t>
      </w:r>
    </w:p>
    <w:p>
      <w:pPr>
        <w:pStyle w:val="26"/>
        <w:numPr>
          <w:ilvl w:val="0"/>
          <w:numId w:val="2"/>
        </w:numPr>
        <w:spacing w:line="600" w:lineRule="exact"/>
        <w:ind w:firstLineChars="0"/>
        <w:outlineLvl w:val="1"/>
        <w:rPr>
          <w:rStyle w:val="28"/>
          <w:rFonts w:ascii="黑体" w:hAnsi="黑体" w:eastAsia="黑体"/>
          <w:b w:val="0"/>
        </w:rPr>
      </w:pPr>
      <w:bookmarkStart w:id="35" w:name="_Toc15377206"/>
      <w:bookmarkStart w:id="36" w:name="_Toc15396604"/>
      <w:bookmarkStart w:id="37" w:name="_Toc16956"/>
      <w:r>
        <w:rPr>
          <w:rFonts w:hint="eastAsia" w:ascii="黑体" w:hAnsi="黑体" w:eastAsia="黑体"/>
          <w:color w:val="000000"/>
          <w:sz w:val="32"/>
          <w:szCs w:val="32"/>
        </w:rPr>
        <w:t>收</w:t>
      </w:r>
      <w:r>
        <w:rPr>
          <w:rStyle w:val="28"/>
          <w:rFonts w:hint="eastAsia" w:ascii="黑体" w:hAnsi="黑体" w:eastAsia="黑体"/>
          <w:b w:val="0"/>
        </w:rPr>
        <w:t>入决算情况说明</w:t>
      </w:r>
      <w:bookmarkEnd w:id="35"/>
      <w:bookmarkEnd w:id="36"/>
      <w:bookmarkEnd w:id="37"/>
    </w:p>
    <w:p>
      <w:pPr>
        <w:spacing w:line="600" w:lineRule="exact"/>
        <w:ind w:firstLine="640" w:firstLineChars="200"/>
        <w:outlineLvl w:val="1"/>
        <w:rPr>
          <w:rFonts w:ascii="仿宋" w:hAnsi="仿宋" w:eastAsia="仿宋"/>
          <w:color w:val="000000"/>
          <w:sz w:val="32"/>
          <w:szCs w:val="32"/>
        </w:rPr>
      </w:pPr>
      <w:bookmarkStart w:id="38" w:name="_Toc26542"/>
      <w:r>
        <w:rPr>
          <w:rFonts w:ascii="仿宋" w:hAnsi="仿宋" w:eastAsia="仿宋"/>
          <w:color w:val="000000"/>
          <w:sz w:val="32"/>
          <w:szCs w:val="32"/>
        </w:rPr>
        <w:t>201</w:t>
      </w:r>
      <w:r>
        <w:rPr>
          <w:rFonts w:hint="eastAsia" w:ascii="仿宋" w:hAnsi="仿宋" w:eastAsia="仿宋"/>
          <w:color w:val="000000"/>
          <w:sz w:val="32"/>
          <w:szCs w:val="32"/>
        </w:rPr>
        <w:t>9年本年收入合计140.28万元，其中：一般公共预算财政拨款收入140.28万元，占100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bookmarkEnd w:id="38"/>
    </w:p>
    <w:p>
      <w:pPr>
        <w:spacing w:line="600" w:lineRule="exact"/>
        <w:ind w:firstLine="420" w:firstLineChars="200"/>
        <w:outlineLvl w:val="1"/>
        <w:rPr>
          <w:rFonts w:ascii="仿宋" w:hAnsi="仿宋" w:eastAsia="仿宋"/>
          <w:color w:val="000000"/>
          <w:sz w:val="32"/>
          <w:szCs w:val="32"/>
        </w:rPr>
      </w:pPr>
      <w:r>
        <w:drawing>
          <wp:anchor distT="0" distB="0" distL="114300" distR="114300" simplePos="0" relativeHeight="251660288" behindDoc="0" locked="0" layoutInCell="1" allowOverlap="1">
            <wp:simplePos x="0" y="0"/>
            <wp:positionH relativeFrom="column">
              <wp:posOffset>79375</wp:posOffset>
            </wp:positionH>
            <wp:positionV relativeFrom="paragraph">
              <wp:posOffset>241935</wp:posOffset>
            </wp:positionV>
            <wp:extent cx="4572000" cy="2743200"/>
            <wp:effectExtent l="4445" t="4445" r="14605"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pStyle w:val="2"/>
        <w:ind w:left="1060" w:hanging="640"/>
        <w:rPr>
          <w:rFonts w:hint="default" w:ascii="仿宋" w:hAnsi="仿宋" w:eastAsia="仿宋"/>
          <w:color w:val="000000" w:themeColor="text1"/>
          <w:sz w:val="32"/>
          <w:szCs w:val="32"/>
        </w:rPr>
      </w:pPr>
    </w:p>
    <w:p/>
    <w:p>
      <w:pPr>
        <w:pStyle w:val="2"/>
        <w:ind w:left="0" w:leftChars="0" w:firstLine="0" w:firstLineChars="0"/>
        <w:rPr>
          <w:rFonts w:hint="default"/>
        </w:rPr>
      </w:pPr>
      <w:r>
        <w:t xml:space="preserve"> </w:t>
      </w:r>
    </w:p>
    <w:p>
      <w:pPr>
        <w:pStyle w:val="2"/>
        <w:ind w:left="0" w:leftChars="0" w:firstLine="0" w:firstLineChars="0"/>
        <w:rPr>
          <w:rFonts w:hint="default"/>
        </w:rPr>
      </w:pPr>
      <w:r>
        <w:t xml:space="preserve">               </w:t>
      </w:r>
      <w:r>
        <w:rPr>
          <w:rFonts w:ascii="仿宋" w:hAnsi="仿宋" w:eastAsia="仿宋"/>
          <w:color w:val="000000" w:themeColor="text1"/>
          <w:sz w:val="32"/>
          <w:szCs w:val="32"/>
        </w:rPr>
        <w:t>（图2：收入决算结构图）</w:t>
      </w:r>
    </w:p>
    <w:p>
      <w:pPr>
        <w:pStyle w:val="26"/>
        <w:numPr>
          <w:ilvl w:val="0"/>
          <w:numId w:val="2"/>
        </w:numPr>
        <w:spacing w:line="600" w:lineRule="exact"/>
        <w:ind w:firstLineChars="0"/>
        <w:outlineLvl w:val="1"/>
        <w:rPr>
          <w:rStyle w:val="28"/>
          <w:rFonts w:ascii="黑体" w:hAnsi="黑体" w:eastAsia="黑体"/>
          <w:b w:val="0"/>
        </w:rPr>
      </w:pPr>
      <w:bookmarkStart w:id="39" w:name="_Toc15396605"/>
      <w:bookmarkStart w:id="40" w:name="_Toc15377207"/>
      <w:bookmarkStart w:id="41" w:name="_Toc14439"/>
      <w:r>
        <w:rPr>
          <w:rFonts w:hint="eastAsia" w:ascii="黑体" w:hAnsi="黑体" w:eastAsia="黑体"/>
          <w:color w:val="000000"/>
          <w:sz w:val="32"/>
          <w:szCs w:val="32"/>
        </w:rPr>
        <w:t>支</w:t>
      </w:r>
      <w:r>
        <w:rPr>
          <w:rStyle w:val="28"/>
          <w:rFonts w:hint="eastAsia" w:ascii="黑体" w:hAnsi="黑体" w:eastAsia="黑体"/>
          <w:b w:val="0"/>
        </w:rPr>
        <w:t>出决算情况说明</w:t>
      </w:r>
      <w:bookmarkEnd w:id="39"/>
      <w:bookmarkEnd w:id="40"/>
      <w:bookmarkEnd w:id="41"/>
    </w:p>
    <w:p>
      <w:pPr>
        <w:spacing w:line="600" w:lineRule="exact"/>
        <w:ind w:firstLine="640" w:firstLineChars="200"/>
        <w:outlineLvl w:val="1"/>
        <w:rPr>
          <w:rFonts w:ascii="黑体" w:hAnsi="黑体" w:eastAsia="黑体"/>
          <w:color w:val="000000"/>
          <w:sz w:val="32"/>
          <w:szCs w:val="32"/>
        </w:rPr>
      </w:pPr>
      <w:bookmarkStart w:id="42" w:name="_Toc29830"/>
      <w:r>
        <w:rPr>
          <w:rFonts w:ascii="仿宋" w:hAnsi="仿宋" w:eastAsia="仿宋"/>
          <w:color w:val="000000"/>
          <w:sz w:val="32"/>
          <w:szCs w:val="32"/>
        </w:rPr>
        <w:t>201</w:t>
      </w:r>
      <w:r>
        <w:rPr>
          <w:rFonts w:hint="eastAsia" w:ascii="仿宋" w:hAnsi="仿宋" w:eastAsia="仿宋"/>
          <w:color w:val="000000"/>
          <w:sz w:val="32"/>
          <w:szCs w:val="32"/>
        </w:rPr>
        <w:t>9年本年支出合计127.46万元，其中：基本支出102.19万元，占80.17</w:t>
      </w:r>
      <w:r>
        <w:rPr>
          <w:rFonts w:ascii="仿宋" w:hAnsi="仿宋" w:eastAsia="仿宋"/>
          <w:color w:val="000000"/>
          <w:sz w:val="32"/>
          <w:szCs w:val="32"/>
        </w:rPr>
        <w:t>%</w:t>
      </w:r>
      <w:r>
        <w:rPr>
          <w:rFonts w:hint="eastAsia" w:ascii="仿宋" w:hAnsi="仿宋" w:eastAsia="仿宋"/>
          <w:color w:val="000000"/>
          <w:sz w:val="32"/>
          <w:szCs w:val="32"/>
        </w:rPr>
        <w:t>；项目支出25.28万元，占19.83</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bookmarkEnd w:id="42"/>
      <w:bookmarkStart w:id="43" w:name="_Toc15396606"/>
      <w:bookmarkStart w:id="44" w:name="_Toc15377208"/>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420" w:firstLineChars="200"/>
        <w:outlineLvl w:val="1"/>
        <w:rPr>
          <w:rFonts w:ascii="黑体" w:hAnsi="黑体" w:eastAsia="黑体"/>
          <w:color w:val="000000"/>
          <w:sz w:val="32"/>
          <w:szCs w:val="32"/>
        </w:rPr>
      </w:pPr>
      <w:r>
        <w:drawing>
          <wp:anchor distT="0" distB="0" distL="114300" distR="114300" simplePos="0" relativeHeight="251659264"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2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2240" w:firstLineChars="700"/>
        <w:outlineLvl w:val="1"/>
        <w:rPr>
          <w:rFonts w:ascii="黑体" w:hAnsi="黑体" w:eastAsia="黑体"/>
          <w:color w:val="000000"/>
          <w:sz w:val="32"/>
          <w:szCs w:val="32"/>
        </w:rPr>
      </w:pPr>
      <w:bookmarkStart w:id="45" w:name="_Toc30283"/>
      <w:r>
        <w:rPr>
          <w:rFonts w:hint="eastAsia" w:ascii="仿宋" w:hAnsi="仿宋" w:eastAsia="仿宋"/>
          <w:color w:val="000000" w:themeColor="text1"/>
          <w:sz w:val="32"/>
          <w:szCs w:val="32"/>
        </w:rPr>
        <w:t>（图3：支出决算结构图）</w:t>
      </w:r>
      <w:bookmarkEnd w:id="45"/>
    </w:p>
    <w:p>
      <w:pPr>
        <w:spacing w:line="600" w:lineRule="exact"/>
        <w:ind w:firstLine="640" w:firstLineChars="200"/>
        <w:outlineLvl w:val="1"/>
        <w:rPr>
          <w:rStyle w:val="28"/>
          <w:rFonts w:ascii="黑体" w:hAnsi="黑体" w:eastAsia="黑体"/>
          <w:b w:val="0"/>
        </w:rPr>
      </w:pPr>
      <w:bookmarkStart w:id="46" w:name="_Toc6791"/>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3"/>
      <w:bookmarkEnd w:id="44"/>
      <w:bookmarkEnd w:id="46"/>
    </w:p>
    <w:p>
      <w:pPr>
        <w:spacing w:line="600" w:lineRule="exact"/>
        <w:ind w:firstLine="640" w:firstLineChars="200"/>
        <w:rPr>
          <w:rFonts w:ascii="黑体" w:hAnsi="黑体" w:eastAsia="黑体"/>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9年财政拨款收入总计140.28万元、支出总计127.46万元。与2018年相比，财政拨款收入总计减少7.73万元、减少5.2%。主要变动原因</w:t>
      </w:r>
      <w:r>
        <w:rPr>
          <w:rFonts w:hint="eastAsia" w:ascii="仿宋_GB2312" w:hAnsi="仿宋_GB2312" w:eastAsia="仿宋_GB2312" w:cs="仿宋_GB2312"/>
          <w:color w:val="000000"/>
          <w:sz w:val="32"/>
          <w:szCs w:val="32"/>
        </w:rPr>
        <w:t>是2019年州妇联专项妇女居家灵活就业资金减少。</w:t>
      </w:r>
      <w:r>
        <w:rPr>
          <w:rFonts w:hint="eastAsia" w:ascii="仿宋" w:hAnsi="仿宋" w:eastAsia="仿宋"/>
          <w:color w:val="000000"/>
          <w:sz w:val="32"/>
          <w:szCs w:val="32"/>
        </w:rPr>
        <w:t>财政拨款支出总计增加16.93万元，增加15.3</w:t>
      </w:r>
      <w:r>
        <w:rPr>
          <w:rFonts w:ascii="仿宋" w:hAnsi="仿宋" w:eastAsia="仿宋"/>
          <w:color w:val="000000"/>
          <w:sz w:val="32"/>
          <w:szCs w:val="32"/>
        </w:rPr>
        <w:t>%</w:t>
      </w:r>
      <w:r>
        <w:rPr>
          <w:rFonts w:hint="eastAsia" w:ascii="仿宋" w:hAnsi="仿宋" w:eastAsia="仿宋"/>
          <w:color w:val="000000"/>
          <w:sz w:val="32"/>
          <w:szCs w:val="32"/>
        </w:rPr>
        <w:t>。主要变动原因2019年支2018年州妇联专项妇女居家灵活就业资金。</w:t>
      </w:r>
      <w:bookmarkStart w:id="47" w:name="_Toc15396607"/>
      <w:bookmarkStart w:id="48" w:name="_Toc15377209"/>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420" w:firstLineChars="200"/>
        <w:outlineLvl w:val="1"/>
        <w:rPr>
          <w:rFonts w:ascii="黑体" w:hAnsi="黑体" w:eastAsia="黑体"/>
          <w:color w:val="000000"/>
          <w:sz w:val="32"/>
          <w:szCs w:val="32"/>
        </w:rPr>
      </w:pPr>
      <w:r>
        <w:drawing>
          <wp:anchor distT="0" distB="0" distL="114300" distR="114300" simplePos="0" relativeHeight="251658240"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2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Fonts w:ascii="黑体" w:hAnsi="黑体" w:eastAsia="黑体"/>
          <w:color w:val="000000"/>
          <w:sz w:val="32"/>
          <w:szCs w:val="32"/>
        </w:rPr>
      </w:pPr>
      <w:bookmarkStart w:id="49" w:name="_Toc22080"/>
      <w:r>
        <w:rPr>
          <w:rFonts w:hint="eastAsia" w:ascii="仿宋" w:hAnsi="仿宋" w:eastAsia="仿宋"/>
          <w:color w:val="000000" w:themeColor="text1"/>
          <w:sz w:val="32"/>
          <w:szCs w:val="32"/>
        </w:rPr>
        <w:t>（图4：财政拨款收、支决算总计变动情况）</w:t>
      </w:r>
      <w:bookmarkEnd w:id="49"/>
    </w:p>
    <w:p>
      <w:pPr>
        <w:spacing w:line="600" w:lineRule="exact"/>
        <w:ind w:firstLine="640" w:firstLineChars="200"/>
        <w:outlineLvl w:val="1"/>
        <w:rPr>
          <w:rStyle w:val="28"/>
          <w:rFonts w:ascii="黑体" w:hAnsi="黑体" w:eastAsia="黑体"/>
          <w:b w:val="0"/>
        </w:rPr>
      </w:pPr>
      <w:bookmarkStart w:id="50" w:name="_Toc2975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7"/>
      <w:bookmarkEnd w:id="48"/>
      <w:bookmarkEnd w:id="50"/>
    </w:p>
    <w:p>
      <w:pPr>
        <w:spacing w:line="600" w:lineRule="exact"/>
        <w:ind w:firstLine="643" w:firstLineChars="200"/>
        <w:outlineLvl w:val="2"/>
        <w:rPr>
          <w:rFonts w:ascii="仿宋" w:hAnsi="仿宋" w:eastAsia="仿宋"/>
          <w:b/>
          <w:color w:val="000000"/>
          <w:sz w:val="32"/>
          <w:szCs w:val="32"/>
        </w:rPr>
      </w:pPr>
      <w:bookmarkStart w:id="51" w:name="_Toc15377210"/>
      <w:bookmarkStart w:id="52" w:name="_Toc23020"/>
      <w:r>
        <w:rPr>
          <w:rFonts w:hint="eastAsia" w:ascii="仿宋" w:hAnsi="仿宋" w:eastAsia="仿宋"/>
          <w:b/>
          <w:color w:val="000000"/>
          <w:sz w:val="32"/>
          <w:szCs w:val="32"/>
        </w:rPr>
        <w:t>（一）一般公共预算财政拨款支出决算总体情况</w:t>
      </w:r>
      <w:bookmarkEnd w:id="51"/>
      <w:bookmarkEnd w:id="52"/>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9年一般公共预算财政拨款支出123.98万元，占本年支出合计的97.27</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8年相比，一般公共预算财政拨款增加13.45万元，增长12.17</w:t>
      </w:r>
      <w:r>
        <w:rPr>
          <w:rFonts w:ascii="仿宋" w:hAnsi="仿宋" w:eastAsia="仿宋"/>
          <w:color w:val="000000"/>
          <w:sz w:val="32"/>
          <w:szCs w:val="32"/>
        </w:rPr>
        <w:t>%</w:t>
      </w:r>
      <w:r>
        <w:rPr>
          <w:rFonts w:hint="eastAsia" w:ascii="仿宋" w:hAnsi="仿宋" w:eastAsia="仿宋"/>
          <w:color w:val="000000"/>
          <w:sz w:val="32"/>
          <w:szCs w:val="32"/>
        </w:rPr>
        <w:t>。主要变动原因是2019年支出2018年州级妇女居家灵魂就业资金。</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1312" behindDoc="0" locked="0" layoutInCell="1" allowOverlap="1">
            <wp:simplePos x="0" y="0"/>
            <wp:positionH relativeFrom="column">
              <wp:posOffset>236855</wp:posOffset>
            </wp:positionH>
            <wp:positionV relativeFrom="paragraph">
              <wp:posOffset>125730</wp:posOffset>
            </wp:positionV>
            <wp:extent cx="4572000" cy="2743200"/>
            <wp:effectExtent l="4445" t="4445" r="14605" b="14605"/>
            <wp:wrapSquare wrapText="bothSides"/>
            <wp:docPr id="2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320" w:firstLineChars="100"/>
        <w:rPr>
          <w:rFonts w:ascii="仿宋" w:hAnsi="仿宋" w:eastAsia="仿宋"/>
          <w:color w:val="000000" w:themeColor="text1"/>
          <w:sz w:val="32"/>
          <w:szCs w:val="32"/>
        </w:rPr>
      </w:pPr>
      <w:r>
        <w:rPr>
          <w:rFonts w:hint="eastAsia" w:ascii="仿宋" w:hAnsi="仿宋" w:eastAsia="仿宋"/>
          <w:color w:val="000000" w:themeColor="text1"/>
          <w:sz w:val="32"/>
          <w:szCs w:val="32"/>
        </w:rPr>
        <w:t xml:space="preserve">（图5：一般公共预算财政拨款支出决算变动情况） </w:t>
      </w:r>
    </w:p>
    <w:p>
      <w:pPr>
        <w:spacing w:line="600" w:lineRule="exact"/>
        <w:ind w:firstLine="321" w:firstLineChars="100"/>
        <w:outlineLvl w:val="2"/>
        <w:rPr>
          <w:rFonts w:ascii="仿宋" w:hAnsi="仿宋" w:eastAsia="仿宋"/>
          <w:b/>
          <w:color w:val="000000"/>
          <w:sz w:val="32"/>
          <w:szCs w:val="32"/>
        </w:rPr>
      </w:pPr>
      <w:bookmarkStart w:id="53" w:name="_Toc15377211"/>
      <w:bookmarkStart w:id="54" w:name="_Toc25124"/>
      <w:r>
        <w:rPr>
          <w:rFonts w:hint="eastAsia" w:ascii="仿宋" w:hAnsi="仿宋" w:eastAsia="仿宋"/>
          <w:b/>
          <w:color w:val="000000"/>
          <w:sz w:val="32"/>
          <w:szCs w:val="32"/>
        </w:rPr>
        <w:t>（二）一般公共预算财政拨款支出决算结构情况</w:t>
      </w:r>
      <w:bookmarkEnd w:id="53"/>
      <w:bookmarkEnd w:id="54"/>
    </w:p>
    <w:p>
      <w:pPr>
        <w:spacing w:line="600" w:lineRule="exact"/>
        <w:ind w:firstLine="640"/>
        <w:rPr>
          <w:rFonts w:ascii="仿宋" w:hAnsi="仿宋" w:eastAsia="仿宋"/>
          <w:color w:val="000000" w:themeColor="text1"/>
          <w:sz w:val="32"/>
          <w:szCs w:val="32"/>
        </w:rPr>
      </w:pPr>
      <w:r>
        <w:drawing>
          <wp:anchor distT="0" distB="0" distL="114300" distR="114300" simplePos="0" relativeHeight="251662336" behindDoc="0" locked="0" layoutInCell="1" allowOverlap="1">
            <wp:simplePos x="0" y="0"/>
            <wp:positionH relativeFrom="column">
              <wp:posOffset>142240</wp:posOffset>
            </wp:positionH>
            <wp:positionV relativeFrom="paragraph">
              <wp:posOffset>2302510</wp:posOffset>
            </wp:positionV>
            <wp:extent cx="4572000" cy="2743200"/>
            <wp:effectExtent l="4445" t="4445" r="14605" b="14605"/>
            <wp:wrapSquare wrapText="bothSides"/>
            <wp:docPr id="2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政拨款支出123.98万元，主要用于以下方面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支出100.27万元，占80.88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支出11.67万元，占9.41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4.73万元，占3.81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住房保障支出</w:t>
      </w:r>
      <w:r>
        <w:rPr>
          <w:rFonts w:hint="eastAsia" w:ascii="仿宋" w:hAnsi="仿宋" w:eastAsia="仿宋"/>
          <w:color w:val="000000" w:themeColor="text1"/>
          <w:sz w:val="32"/>
          <w:szCs w:val="32"/>
        </w:rPr>
        <w:t>7.31万元，占5.90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left="638" w:leftChars="304" w:firstLine="640" w:firstLineChars="200"/>
        <w:rPr>
          <w:rFonts w:ascii="仿宋" w:hAnsi="仿宋" w:eastAsia="仿宋"/>
          <w:color w:val="000000"/>
          <w:sz w:val="32"/>
          <w:szCs w:val="32"/>
        </w:rPr>
      </w:pPr>
      <w:r>
        <w:rPr>
          <w:rFonts w:hint="eastAsia" w:ascii="仿宋" w:hAnsi="仿宋" w:eastAsia="仿宋"/>
          <w:color w:val="000000"/>
          <w:sz w:val="32"/>
          <w:szCs w:val="32"/>
        </w:rPr>
        <w:t xml:space="preserve"> （图6：一般公共预算财政拨款支出决算结构）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55" w:name="_Toc29951"/>
      <w:bookmarkStart w:id="56" w:name="_Toc15377212"/>
      <w:r>
        <w:rPr>
          <w:rFonts w:hint="eastAsia" w:ascii="仿宋" w:hAnsi="仿宋" w:eastAsia="仿宋"/>
          <w:b/>
          <w:color w:val="000000"/>
          <w:sz w:val="32"/>
          <w:szCs w:val="32"/>
        </w:rPr>
        <w:t>（三）一般公共预算财政拨款支出决算具体情况</w:t>
      </w:r>
      <w:bookmarkEnd w:id="55"/>
      <w:bookmarkEnd w:id="56"/>
    </w:p>
    <w:p>
      <w:pPr>
        <w:spacing w:line="600" w:lineRule="exact"/>
        <w:ind w:firstLine="643" w:firstLineChars="200"/>
        <w:outlineLvl w:val="2"/>
        <w:rPr>
          <w:rFonts w:ascii="仿宋" w:hAnsi="仿宋" w:eastAsia="仿宋"/>
          <w:color w:val="FF0000"/>
          <w:sz w:val="32"/>
          <w:szCs w:val="32"/>
        </w:rPr>
      </w:pPr>
      <w:bookmarkStart w:id="57" w:name="_Toc15377213"/>
      <w:bookmarkStart w:id="58" w:name="_Toc15377444"/>
      <w:bookmarkStart w:id="59" w:name="_Toc15378460"/>
      <w:bookmarkStart w:id="60" w:name="_Toc29589"/>
      <w:r>
        <w:rPr>
          <w:rFonts w:hint="eastAsia" w:ascii="仿宋" w:hAnsi="仿宋" w:eastAsia="仿宋"/>
          <w:b/>
          <w:color w:val="000000" w:themeColor="text1"/>
          <w:sz w:val="32"/>
          <w:szCs w:val="32"/>
        </w:rPr>
        <w:t>2019年般公共预算支出决算数为123.98万元</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预算82.08</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57"/>
      <w:bookmarkEnd w:id="58"/>
      <w:bookmarkEnd w:id="59"/>
      <w:bookmarkEnd w:id="60"/>
    </w:p>
    <w:p>
      <w:pPr>
        <w:widowControl/>
        <w:spacing w:before="240" w:line="600" w:lineRule="atLeast"/>
        <w:ind w:left="3" w:firstLine="640"/>
        <w:jc w:val="left"/>
      </w:pPr>
      <w:r>
        <w:rPr>
          <w:rStyle w:val="17"/>
          <w:rFonts w:ascii="仿宋" w:hAnsi="仿宋" w:eastAsia="仿宋"/>
          <w:bCs/>
          <w:color w:val="000000"/>
          <w:sz w:val="32"/>
          <w:szCs w:val="32"/>
        </w:rPr>
        <w:t>1.</w:t>
      </w:r>
      <w:r>
        <w:rPr>
          <w:rStyle w:val="17"/>
          <w:rFonts w:hint="eastAsia" w:ascii="仿宋" w:hAnsi="仿宋" w:eastAsia="仿宋"/>
          <w:bCs/>
          <w:color w:val="000000"/>
          <w:sz w:val="32"/>
          <w:szCs w:val="32"/>
        </w:rPr>
        <w:t>一般公共服务201（类）29（款）01（项）</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支出决算为100.27万元，完成预算98</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，决算数小于预算数的主要原因是</w:t>
      </w:r>
      <w:r>
        <w:rPr>
          <w:rFonts w:hint="eastAsia" w:ascii="仿宋_GB2312" w:hAnsi="微软雅黑" w:eastAsia="仿宋_GB2312" w:cs="仿宋_GB2312"/>
          <w:color w:val="000000"/>
          <w:kern w:val="0"/>
          <w:sz w:val="32"/>
          <w:szCs w:val="32"/>
          <w:shd w:val="clear" w:color="auto" w:fill="FFFFFF"/>
          <w:lang w:bidi="ar"/>
        </w:rPr>
        <w:t>厉行节约</w:t>
      </w:r>
      <w:r>
        <w:rPr>
          <w:rFonts w:ascii="仿宋_GB2312" w:hAnsi="微软雅黑" w:eastAsia="仿宋_GB2312" w:cs="仿宋_GB2312"/>
          <w:color w:val="000000"/>
          <w:kern w:val="0"/>
          <w:sz w:val="32"/>
          <w:szCs w:val="32"/>
          <w:shd w:val="clear" w:color="auto" w:fill="FFFFFF"/>
          <w:lang w:bidi="ar"/>
        </w:rPr>
        <w:t>。</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rPr>
        <w:t>2</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社会保障和就业208（类）05（款）05（项）和208（类）05（款）06（项）</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支出决算为11.67万元，完成预算100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rPr>
        <w:t>3</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医疗卫生与计划生育210（类）04（款）09（项）和201（类）01（款）01（项）和201（类）11（款）03（项）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支出决算为4.73万元，完成预算100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spacing w:line="600" w:lineRule="exact"/>
        <w:ind w:firstLine="643" w:firstLineChars="200"/>
        <w:rPr>
          <w:rStyle w:val="17"/>
          <w:rFonts w:ascii="仿宋" w:hAnsi="仿宋" w:eastAsia="仿宋"/>
          <w:bCs/>
          <w:color w:val="000000"/>
          <w:sz w:val="32"/>
          <w:szCs w:val="32"/>
        </w:rPr>
      </w:pPr>
      <w:r>
        <w:rPr>
          <w:rStyle w:val="17"/>
          <w:rFonts w:hint="eastAsia" w:ascii="仿宋" w:hAnsi="仿宋" w:eastAsia="仿宋"/>
          <w:bCs/>
          <w:color w:val="000000"/>
          <w:sz w:val="32"/>
          <w:szCs w:val="32"/>
        </w:rPr>
        <w:t>4.住房保障支出221（类）02（款）01（项）：</w:t>
      </w:r>
      <w:r>
        <w:rPr>
          <w:rStyle w:val="17"/>
          <w:rFonts w:hint="eastAsia" w:ascii="仿宋" w:hAnsi="仿宋" w:eastAsia="仿宋"/>
          <w:b w:val="0"/>
          <w:bCs/>
          <w:color w:val="000000"/>
          <w:sz w:val="32"/>
          <w:szCs w:val="32"/>
        </w:rPr>
        <w:t>支出决算为7.31万元，完成预算100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28"/>
        </w:rPr>
      </w:pPr>
      <w:bookmarkStart w:id="61" w:name="_Toc15377214"/>
      <w:bookmarkStart w:id="62" w:name="_Toc15396608"/>
      <w:bookmarkStart w:id="63" w:name="_Toc25931"/>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61"/>
      <w:bookmarkEnd w:id="62"/>
      <w:bookmarkEnd w:id="63"/>
      <w:r>
        <w:rPr>
          <w:rStyle w:val="28"/>
          <w:rFonts w:ascii="黑体" w:hAnsi="黑体" w:eastAsia="黑体"/>
          <w:b w:val="0"/>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2019年一般公共预算财政拨款基本支出123.98万元，其中：</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93.49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30.49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64" w:name="_Toc15396609"/>
      <w:bookmarkStart w:id="65" w:name="_Toc20209"/>
      <w:bookmarkStart w:id="66"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64"/>
      <w:bookmarkEnd w:id="65"/>
      <w:bookmarkEnd w:id="66"/>
    </w:p>
    <w:p>
      <w:pPr>
        <w:spacing w:line="600" w:lineRule="exact"/>
        <w:ind w:firstLine="640"/>
        <w:outlineLvl w:val="2"/>
        <w:rPr>
          <w:rFonts w:ascii="仿宋" w:hAnsi="仿宋" w:eastAsia="仿宋"/>
          <w:b/>
          <w:color w:val="000000"/>
          <w:sz w:val="32"/>
          <w:szCs w:val="32"/>
        </w:rPr>
      </w:pPr>
      <w:bookmarkStart w:id="67" w:name="_Toc24"/>
      <w:bookmarkStart w:id="68" w:name="_Toc15377216"/>
      <w:r>
        <w:rPr>
          <w:rFonts w:hint="eastAsia" w:ascii="仿宋" w:hAnsi="仿宋" w:eastAsia="仿宋"/>
          <w:b/>
          <w:color w:val="000000"/>
          <w:sz w:val="32"/>
          <w:szCs w:val="32"/>
        </w:rPr>
        <w:t>（一）“三公”经费财政拨款支出决算总体情况说明</w:t>
      </w:r>
      <w:bookmarkEnd w:id="67"/>
      <w:bookmarkEnd w:id="6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9年“三公”经费财政拨款支出决算为3.14万元，完成预算100</w:t>
      </w:r>
      <w:r>
        <w:rPr>
          <w:rFonts w:ascii="仿宋" w:hAnsi="仿宋" w:eastAsia="仿宋"/>
          <w:color w:val="000000"/>
          <w:sz w:val="32"/>
          <w:szCs w:val="32"/>
        </w:rPr>
        <w:t>%</w:t>
      </w:r>
      <w:r>
        <w:rPr>
          <w:rFonts w:hint="eastAsia" w:ascii="仿宋" w:hAnsi="仿宋" w:eastAsia="仿宋"/>
          <w:color w:val="000000"/>
          <w:sz w:val="32"/>
          <w:szCs w:val="32"/>
        </w:rPr>
        <w:t>，决算数等于预算数。</w:t>
      </w:r>
    </w:p>
    <w:p>
      <w:pPr>
        <w:spacing w:line="600" w:lineRule="exact"/>
        <w:ind w:firstLine="640"/>
        <w:outlineLvl w:val="2"/>
        <w:rPr>
          <w:rFonts w:ascii="仿宋" w:hAnsi="仿宋" w:eastAsia="仿宋"/>
          <w:b/>
          <w:color w:val="000000"/>
          <w:sz w:val="32"/>
          <w:szCs w:val="32"/>
        </w:rPr>
      </w:pPr>
      <w:bookmarkStart w:id="69" w:name="_Toc15377217"/>
      <w:bookmarkStart w:id="70" w:name="_Toc25355"/>
      <w:r>
        <w:rPr>
          <w:rFonts w:hint="eastAsia" w:ascii="仿宋" w:hAnsi="仿宋" w:eastAsia="仿宋"/>
          <w:b/>
          <w:color w:val="000000"/>
          <w:sz w:val="32"/>
          <w:szCs w:val="32"/>
        </w:rPr>
        <w:t>（二）“三公”经费财政拨款支出决算具体情况说明</w:t>
      </w:r>
      <w:bookmarkEnd w:id="69"/>
      <w:bookmarkEnd w:id="7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；公务用车购置及运行维护费支出决算3.14万元，占100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311150</wp:posOffset>
            </wp:positionH>
            <wp:positionV relativeFrom="paragraph">
              <wp:posOffset>164465</wp:posOffset>
            </wp:positionV>
            <wp:extent cx="4572000" cy="2743200"/>
            <wp:effectExtent l="4445" t="4445" r="14605" b="14605"/>
            <wp:wrapSquare wrapText="bothSides"/>
            <wp:docPr id="2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6"/>
        <w:rPr>
          <w:rFonts w:ascii="仿宋" w:hAnsi="仿宋" w:eastAsia="仿宋"/>
          <w:color w:val="000000"/>
          <w:sz w:val="32"/>
          <w:szCs w:val="32"/>
        </w:rPr>
      </w:pPr>
    </w:p>
    <w:p>
      <w:pPr>
        <w:rPr>
          <w:rFonts w:ascii="仿宋" w:hAnsi="仿宋" w:eastAsia="仿宋"/>
          <w:color w:val="000000"/>
          <w:sz w:val="32"/>
          <w:szCs w:val="32"/>
        </w:rPr>
      </w:pPr>
    </w:p>
    <w:p>
      <w:pPr>
        <w:pStyle w:val="6"/>
        <w:rPr>
          <w:rFonts w:ascii="仿宋" w:hAnsi="仿宋" w:eastAsia="仿宋"/>
          <w:color w:val="000000"/>
          <w:sz w:val="32"/>
          <w:szCs w:val="32"/>
        </w:rPr>
      </w:pPr>
    </w:p>
    <w:p>
      <w:pPr>
        <w:rPr>
          <w:rFonts w:ascii="仿宋" w:hAnsi="仿宋" w:eastAsia="仿宋"/>
          <w:color w:val="000000"/>
          <w:sz w:val="32"/>
          <w:szCs w:val="32"/>
        </w:rPr>
      </w:pPr>
    </w:p>
    <w:p>
      <w:pPr>
        <w:pStyle w:val="6"/>
        <w:rPr>
          <w:rFonts w:ascii="仿宋" w:hAnsi="仿宋" w:eastAsia="仿宋"/>
          <w:color w:val="000000"/>
          <w:sz w:val="32"/>
          <w:szCs w:val="32"/>
        </w:rPr>
      </w:pPr>
    </w:p>
    <w:p>
      <w:pPr>
        <w:rPr>
          <w:rFonts w:ascii="仿宋" w:hAnsi="仿宋" w:eastAsia="仿宋"/>
          <w:color w:val="000000"/>
          <w:sz w:val="32"/>
          <w:szCs w:val="32"/>
        </w:rPr>
      </w:pPr>
    </w:p>
    <w:p>
      <w:pPr>
        <w:spacing w:line="600" w:lineRule="exact"/>
        <w:ind w:firstLine="1600" w:firstLineChars="500"/>
        <w:rPr>
          <w:rFonts w:ascii="仿宋" w:hAnsi="仿宋" w:eastAsia="仿宋"/>
          <w:color w:val="000000"/>
          <w:sz w:val="32"/>
          <w:szCs w:val="32"/>
        </w:rPr>
      </w:pPr>
      <w:r>
        <w:rPr>
          <w:rFonts w:hint="eastAsia" w:ascii="仿宋" w:hAnsi="仿宋" w:eastAsia="仿宋"/>
          <w:color w:val="000000"/>
          <w:sz w:val="32"/>
          <w:szCs w:val="32"/>
        </w:rPr>
        <w:t xml:space="preserve">（图7：“三公”经费财政拨款支出结构） </w:t>
      </w:r>
    </w:p>
    <w:p>
      <w:pPr>
        <w:numPr>
          <w:ilvl w:val="0"/>
          <w:numId w:val="0"/>
        </w:numPr>
        <w:spacing w:line="600" w:lineRule="exact"/>
        <w:ind w:firstLine="643" w:firstLineChars="200"/>
        <w:rPr>
          <w:rFonts w:ascii="仿宋_GB2312" w:eastAsia="仿宋_GB2312"/>
          <w:color w:val="000000"/>
          <w:sz w:val="32"/>
          <w:szCs w:val="32"/>
        </w:rPr>
      </w:pPr>
      <w:bookmarkStart w:id="71" w:name="_Toc15396610"/>
      <w:bookmarkStart w:id="72" w:name="_Toc15377218"/>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 w:val="0"/>
          <w:bCs/>
          <w:color w:val="000000"/>
          <w:sz w:val="32"/>
          <w:szCs w:val="32"/>
        </w:rPr>
        <w:t>完成预算0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全年安排因公出国（境）团组0次，出国（境）0人。因公出国（境）支出决算与上年持平.</w:t>
      </w:r>
    </w:p>
    <w:p>
      <w:pPr>
        <w:spacing w:line="600" w:lineRule="exact"/>
        <w:ind w:firstLine="643" w:firstLineChars="200"/>
        <w:rPr>
          <w:rFonts w:ascii="仿宋_GB2312" w:hAnsi="仿宋_GB2312" w:eastAsia="仿宋_GB2312" w:cs="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3.14万元,</w:t>
      </w:r>
      <w:r>
        <w:rPr>
          <w:rStyle w:val="17"/>
          <w:rFonts w:hint="eastAsia" w:ascii="仿宋" w:hAnsi="仿宋" w:eastAsia="仿宋"/>
          <w:b w:val="0"/>
          <w:bCs/>
          <w:color w:val="000000"/>
          <w:sz w:val="32"/>
          <w:szCs w:val="32"/>
        </w:rPr>
        <w:t>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8年增加1.54万元，增长</w:t>
      </w:r>
      <w:r>
        <w:rPr>
          <w:rFonts w:hint="eastAsia" w:ascii="仿宋_GB2312" w:hAnsi="仿宋_GB2312" w:eastAsia="仿宋_GB2312" w:cs="仿宋_GB2312"/>
          <w:color w:val="000000"/>
          <w:sz w:val="32"/>
          <w:szCs w:val="32"/>
        </w:rPr>
        <w:t>96%。主要原因政府调拨车辆给妇联后进行大型维修。</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3.14万元。主要用于公务用车燃料费、维修费、过路过桥费、保险费等支出。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7"/>
          <w:rFonts w:hint="eastAsia" w:ascii="仿宋" w:hAnsi="仿宋" w:eastAsia="仿宋"/>
          <w:b w:val="0"/>
          <w:bCs/>
          <w:color w:val="000000"/>
          <w:sz w:val="32"/>
          <w:szCs w:val="32"/>
        </w:rPr>
        <w:t>完成预算0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公务接待费等于决算数。其中：</w:t>
      </w:r>
    </w:p>
    <w:p>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8"/>
          <w:rFonts w:ascii="黑体" w:hAnsi="黑体" w:eastAsia="黑体"/>
        </w:rPr>
      </w:pPr>
      <w:bookmarkStart w:id="73" w:name="_Toc21742"/>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71"/>
      <w:bookmarkEnd w:id="72"/>
      <w:bookmarkEnd w:id="7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numPr>
          <w:ilvl w:val="0"/>
          <w:numId w:val="3"/>
        </w:numPr>
        <w:spacing w:line="600" w:lineRule="exact"/>
        <w:ind w:firstLine="640"/>
        <w:outlineLvl w:val="1"/>
        <w:rPr>
          <w:rStyle w:val="28"/>
          <w:rFonts w:ascii="黑体" w:hAnsi="黑体" w:eastAsia="黑体"/>
          <w:b w:val="0"/>
        </w:rPr>
      </w:pPr>
      <w:bookmarkStart w:id="74" w:name="_Toc15396611"/>
      <w:bookmarkStart w:id="75" w:name="_Toc15377219"/>
      <w:bookmarkStart w:id="76" w:name="_Toc30018"/>
      <w:r>
        <w:rPr>
          <w:rStyle w:val="28"/>
          <w:rFonts w:hint="eastAsia" w:ascii="黑体" w:hAnsi="黑体" w:eastAsia="黑体"/>
          <w:b w:val="0"/>
        </w:rPr>
        <w:t>国有资本经营预算支出决算情况说明</w:t>
      </w:r>
      <w:bookmarkEnd w:id="74"/>
      <w:bookmarkEnd w:id="75"/>
      <w:bookmarkEnd w:id="76"/>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800" w:firstLineChars="250"/>
        <w:outlineLvl w:val="1"/>
        <w:rPr>
          <w:rStyle w:val="28"/>
          <w:rFonts w:ascii="黑体" w:hAnsi="黑体" w:eastAsia="黑体"/>
        </w:rPr>
      </w:pPr>
      <w:bookmarkStart w:id="77" w:name="_Toc15396612"/>
      <w:bookmarkStart w:id="78" w:name="_Toc15377221"/>
      <w:bookmarkStart w:id="79" w:name="_Toc8127"/>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77"/>
      <w:bookmarkEnd w:id="78"/>
      <w:bookmarkEnd w:id="79"/>
    </w:p>
    <w:p>
      <w:pPr>
        <w:spacing w:line="600" w:lineRule="exact"/>
        <w:ind w:firstLine="643" w:firstLineChars="200"/>
        <w:outlineLvl w:val="2"/>
        <w:rPr>
          <w:rFonts w:ascii="仿宋" w:hAnsi="仿宋" w:eastAsia="仿宋"/>
          <w:color w:val="000000"/>
          <w:sz w:val="32"/>
          <w:szCs w:val="32"/>
        </w:rPr>
      </w:pPr>
      <w:bookmarkStart w:id="80" w:name="_Toc15377222"/>
      <w:bookmarkStart w:id="81" w:name="_Toc30090"/>
      <w:r>
        <w:rPr>
          <w:rFonts w:hint="eastAsia" w:ascii="仿宋" w:hAnsi="仿宋" w:eastAsia="仿宋"/>
          <w:b/>
          <w:color w:val="000000"/>
          <w:sz w:val="32"/>
          <w:szCs w:val="32"/>
        </w:rPr>
        <w:t>（一）机关运行经费支出情况</w:t>
      </w:r>
      <w:bookmarkEnd w:id="80"/>
      <w:bookmarkEnd w:id="81"/>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9年，行政机关运行经费支出6.57万元，比</w:t>
      </w:r>
      <w:r>
        <w:rPr>
          <w:rFonts w:ascii="仿宋_GB2312" w:eastAsia="仿宋_GB2312"/>
          <w:color w:val="000000"/>
          <w:sz w:val="32"/>
          <w:szCs w:val="32"/>
        </w:rPr>
        <w:t>201</w:t>
      </w:r>
      <w:r>
        <w:rPr>
          <w:rFonts w:hint="eastAsia" w:ascii="仿宋_GB2312" w:eastAsia="仿宋_GB2312"/>
          <w:color w:val="000000"/>
          <w:sz w:val="32"/>
          <w:szCs w:val="32"/>
        </w:rPr>
        <w:t>8年减少0.47万元，下降7.7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主要原因是厉行节约。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2" w:name="_Toc15377223"/>
      <w:bookmarkStart w:id="83" w:name="_Toc19798"/>
      <w:r>
        <w:rPr>
          <w:rFonts w:hint="eastAsia" w:ascii="仿宋" w:hAnsi="仿宋" w:eastAsia="仿宋"/>
          <w:b/>
          <w:color w:val="000000"/>
          <w:sz w:val="32"/>
          <w:szCs w:val="32"/>
        </w:rPr>
        <w:t>（二）政府采购支出情况</w:t>
      </w:r>
      <w:bookmarkEnd w:id="82"/>
      <w:bookmarkEnd w:id="8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9年，县妇联政府采购支出总额0万元.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4" w:name="_Toc15377224"/>
      <w:bookmarkStart w:id="85" w:name="_Toc28574"/>
      <w:r>
        <w:rPr>
          <w:rFonts w:hint="eastAsia" w:ascii="仿宋" w:hAnsi="仿宋" w:eastAsia="仿宋"/>
          <w:b/>
          <w:color w:val="000000"/>
          <w:sz w:val="32"/>
          <w:szCs w:val="32"/>
        </w:rPr>
        <w:t>（三）国有资产占有使用情况</w:t>
      </w:r>
      <w:bookmarkEnd w:id="84"/>
      <w:bookmarkEnd w:id="85"/>
    </w:p>
    <w:p>
      <w:pPr>
        <w:autoSpaceDE w:val="0"/>
        <w:autoSpaceDN w:val="0"/>
        <w:adjustRightInd w:val="0"/>
        <w:spacing w:line="600" w:lineRule="exact"/>
        <w:ind w:firstLine="640" w:firstLineChars="200"/>
        <w:jc w:val="left"/>
        <w:rPr>
          <w:rFonts w:ascii="仿宋" w:hAnsi="仿宋" w:eastAsia="仿宋_GB2312"/>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日，县妇联共有车辆1辆，其中：主要领导干部用车0辆、机要通信用车0辆、应急保障用车0辆、其他用车1辆。</w:t>
      </w:r>
      <w:r>
        <w:rPr>
          <w:rFonts w:hint="eastAsia" w:ascii="仿宋_GB2312" w:eastAsia="仿宋_GB2312"/>
          <w:color w:val="000000" w:themeColor="text1"/>
          <w:sz w:val="32"/>
          <w:szCs w:val="32"/>
        </w:rPr>
        <w:t>其他用车主要是用于妇联姐妹宣讲团宣讲工作及妇联日常工作。</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6" w:name="_Toc11310"/>
      <w:r>
        <w:rPr>
          <w:rFonts w:hint="eastAsia" w:ascii="仿宋" w:hAnsi="仿宋" w:eastAsia="仿宋"/>
          <w:b/>
          <w:color w:val="000000"/>
          <w:sz w:val="32"/>
          <w:szCs w:val="32"/>
        </w:rPr>
        <w:t>（四）预算绩效管理情况。</w:t>
      </w:r>
      <w:bookmarkEnd w:id="86"/>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根据预算绩效管理要求，本部门（单位）在年初预算编制阶段，组织对妇女儿童办公室办公经费项目、姐妹宣讲团工作经费项目开展了预算事前绩效评估，对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个项目开展了绩效目标完成情况自评。</w:t>
      </w:r>
    </w:p>
    <w:p>
      <w:pPr>
        <w:spacing w:line="5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本部门按要求对2019年部门整体支出开展绩效自评，从评价情况来看本部门对2019年整体支出开展绩效自评，自评得分99分，评价情况</w:t>
      </w:r>
      <w:r>
        <w:rPr>
          <w:rFonts w:hint="eastAsia" w:ascii="仿宋_GB2312" w:hAnsi="仿宋_GB2312" w:eastAsia="仿宋_GB2312" w:cs="仿宋_GB2312"/>
          <w:color w:val="auto"/>
          <w:sz w:val="32"/>
          <w:szCs w:val="32"/>
          <w:shd w:val="clear" w:color="auto" w:fill="FFFFFF"/>
        </w:rPr>
        <w:t>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r>
        <w:rPr>
          <w:rFonts w:hint="eastAsia" w:ascii="仿宋_GB2312" w:hAnsi="仿宋_GB2312" w:eastAsia="仿宋_GB2312" w:cs="仿宋_GB2312"/>
          <w:color w:val="auto"/>
          <w:sz w:val="32"/>
          <w:szCs w:val="32"/>
        </w:rPr>
        <w:t>，存在的问题：一是</w:t>
      </w:r>
      <w:r>
        <w:rPr>
          <w:rFonts w:hint="eastAsia" w:ascii="仿宋_GB2312" w:hAnsi="仿宋_GB2312" w:eastAsia="仿宋_GB2312" w:cs="仿宋_GB2312"/>
          <w:color w:val="auto"/>
          <w:sz w:val="32"/>
          <w:szCs w:val="32"/>
          <w:shd w:val="clear" w:color="auto" w:fill="FFFFFF"/>
        </w:rPr>
        <w:t>部门特性目标待完善，二是是机制待完善。下一步改进措施：一是加强学习进一步规范，二是完善各项目机制</w:t>
      </w:r>
      <w:r>
        <w:rPr>
          <w:rFonts w:hint="eastAsia" w:ascii="仿宋_GB2312" w:hAnsi="仿宋_GB2312" w:eastAsia="仿宋_GB2312" w:cs="仿宋_GB2312"/>
          <w:color w:val="auto"/>
          <w:sz w:val="32"/>
          <w:szCs w:val="32"/>
        </w:rPr>
        <w:t>。</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本部门在2019年度部门决算中反映“姐妹宣讲团工作经费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spacing w:line="580" w:lineRule="exact"/>
        <w:ind w:firstLine="640" w:firstLineChars="200"/>
      </w:pPr>
      <w:r>
        <w:rPr>
          <w:rFonts w:hint="eastAsia" w:ascii="仿宋_GB2312" w:hAnsi="仿宋_GB2312" w:eastAsia="仿宋_GB2312" w:cs="仿宋_GB2312"/>
          <w:sz w:val="32"/>
          <w:szCs w:val="32"/>
        </w:rPr>
        <w:t>“姐妹宣讲团工作经费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9万元，执行数为9万元，完成预算的100%。通过项目实施，保障各乡镇妇女了解到各项会议精神及法律法规政策，维护社会安定。姐妹宣讲团每年深入各乡镇、村（社区）及远牧点开展宣讲工作，并为广大妇女群众购买卫生用品。发现的主要问题：无。下一步改进措施：无。</w:t>
      </w:r>
    </w:p>
    <w:p/>
    <w:p>
      <w:pPr>
        <w:pStyle w:val="6"/>
      </w:pPr>
    </w:p>
    <w:tbl>
      <w:tblPr>
        <w:tblStyle w:val="15"/>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1145" w:hRule="atLeast"/>
        </w:trPr>
        <w:tc>
          <w:tcPr>
            <w:tcW w:w="9522" w:type="dxa"/>
            <w:gridSpan w:val="8"/>
            <w:shd w:val="clear" w:color="auto" w:fill="auto"/>
            <w:vAlign w:val="center"/>
          </w:tcPr>
          <w:p>
            <w:pPr>
              <w:widowControl/>
              <w:jc w:val="center"/>
              <w:textAlignment w:val="center"/>
              <w:rPr>
                <w:rFonts w:ascii="宋体" w:hAnsi="宋体" w:cs="宋体"/>
                <w:b/>
                <w:color w:val="000000"/>
                <w:kern w:val="0"/>
                <w:sz w:val="24"/>
                <w:lang w:bidi="ar"/>
              </w:rPr>
            </w:pPr>
            <w:r>
              <w:rPr>
                <w:rFonts w:hint="eastAsia" w:ascii="宋体" w:hAnsi="宋体" w:cs="宋体"/>
                <w:b/>
                <w:color w:val="000000"/>
                <w:kern w:val="0"/>
                <w:sz w:val="24"/>
                <w:lang w:bidi="ar"/>
              </w:rPr>
              <w:t>项目支出绩效目标完成情况表</w:t>
            </w:r>
          </w:p>
          <w:p>
            <w:pPr>
              <w:widowControl/>
              <w:jc w:val="center"/>
              <w:textAlignment w:val="center"/>
              <w:rPr>
                <w:rFonts w:ascii="宋体" w:hAnsi="宋体" w:cs="宋体"/>
                <w:b/>
                <w:color w:val="000000"/>
                <w:sz w:val="24"/>
              </w:rPr>
            </w:pPr>
            <w:r>
              <w:rPr>
                <w:rFonts w:hint="eastAsia" w:ascii="宋体" w:hAnsi="宋体" w:cs="宋体"/>
                <w:color w:val="000000"/>
                <w:kern w:val="0"/>
                <w:sz w:val="36"/>
                <w:szCs w:val="36"/>
              </w:rPr>
              <w:t>(2019 年度)</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sz w:val="32"/>
                <w:szCs w:val="32"/>
              </w:rPr>
              <w:t>“2012902-姐妹宣讲团工作经费”</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红原县妇女联合会</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color w:val="000000"/>
                <w:sz w:val="24"/>
                <w:lang w:eastAsia="zh-CN"/>
              </w:rPr>
            </w:pPr>
            <w:r>
              <w:rPr>
                <w:rFonts w:hint="eastAsia" w:ascii="宋体" w:hAnsi="宋体" w:cs="宋体"/>
                <w:b/>
                <w:color w:val="000000"/>
                <w:sz w:val="24"/>
                <w:lang w:val="en-US" w:eastAsia="zh-CN"/>
              </w:rPr>
              <w:t>9</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color w:val="000000"/>
                <w:sz w:val="24"/>
                <w:lang w:eastAsia="zh-CN"/>
              </w:rPr>
            </w:pPr>
            <w:r>
              <w:rPr>
                <w:rFonts w:hint="eastAsia" w:ascii="宋体" w:hAnsi="宋体" w:cs="宋体"/>
                <w:b/>
                <w:color w:val="000000"/>
                <w:sz w:val="24"/>
                <w:lang w:val="en-US" w:eastAsia="zh-CN"/>
              </w:rPr>
              <w:t>9</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9</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color w:val="000000"/>
                <w:sz w:val="24"/>
                <w:lang w:eastAsia="zh-CN"/>
              </w:rPr>
            </w:pPr>
            <w:r>
              <w:rPr>
                <w:rFonts w:hint="eastAsia" w:ascii="宋体" w:hAnsi="宋体" w:cs="宋体"/>
                <w:b/>
                <w:color w:val="000000"/>
                <w:sz w:val="24"/>
                <w:lang w:val="en-US" w:eastAsia="zh-CN"/>
              </w:rPr>
              <w:t>9</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lang w:bidi="ar"/>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100%</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100%</w:t>
            </w:r>
          </w:p>
        </w:tc>
      </w:tr>
      <w:tr>
        <w:tblPrEx>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lang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lang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lang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lang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lang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lang w:bidi="ar"/>
              </w:rPr>
              <w:t>实际完成指标值(包含数字及文字描述)</w:t>
            </w: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tabs>
                <w:tab w:val="center" w:pos="1010"/>
                <w:tab w:val="right" w:pos="1901"/>
              </w:tabs>
              <w:jc w:val="left"/>
              <w:rPr>
                <w:rFonts w:ascii="宋体" w:hAnsi="宋体" w:cs="宋体"/>
                <w:color w:val="000000"/>
                <w:sz w:val="20"/>
                <w:szCs w:val="20"/>
              </w:rPr>
            </w:pPr>
            <w:r>
              <w:rPr>
                <w:rFonts w:hint="eastAsia" w:ascii="宋体" w:hAnsi="宋体" w:cs="宋体"/>
                <w:color w:val="000000"/>
                <w:sz w:val="20"/>
                <w:szCs w:val="20"/>
              </w:rPr>
              <w:tab/>
            </w: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lang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lang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本部门按要求对2019年部门整体支出绩效评价情况开展自评，《红原县妇联部门2019年部门整体支出绩效评价报告》见附件。</w:t>
      </w:r>
    </w:p>
    <w:p>
      <w:pPr>
        <w:numPr>
          <w:ilvl w:val="0"/>
          <w:numId w:val="4"/>
        </w:numPr>
        <w:spacing w:line="600" w:lineRule="exact"/>
        <w:ind w:firstLine="660" w:firstLineChars="150"/>
        <w:jc w:val="center"/>
        <w:outlineLvl w:val="0"/>
        <w:rPr>
          <w:rStyle w:val="27"/>
          <w:rFonts w:ascii="黑体" w:hAnsi="黑体" w:eastAsia="黑体"/>
          <w:b w:val="0"/>
        </w:rPr>
      </w:pPr>
      <w:bookmarkStart w:id="87" w:name="_Toc27382"/>
      <w:bookmarkStart w:id="88" w:name="_Toc15377225"/>
      <w:bookmarkStart w:id="89" w:name="_Toc15396613"/>
      <w:r>
        <w:rPr>
          <w:rFonts w:hint="eastAsia" w:ascii="黑体" w:hAnsi="黑体" w:eastAsia="黑体"/>
          <w:color w:val="000000"/>
          <w:sz w:val="44"/>
          <w:szCs w:val="44"/>
        </w:rPr>
        <w:t>名</w:t>
      </w:r>
      <w:r>
        <w:rPr>
          <w:rStyle w:val="27"/>
          <w:rFonts w:hint="eastAsia" w:ascii="黑体" w:hAnsi="黑体" w:eastAsia="黑体"/>
          <w:b w:val="0"/>
        </w:rPr>
        <w:t>词解释</w:t>
      </w:r>
      <w:bookmarkEnd w:id="87"/>
      <w:bookmarkEnd w:id="88"/>
      <w:bookmarkEnd w:id="89"/>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5、年末结转和结余：指单位按有关规定结转到下年或以后年度继续使用的资金。</w:t>
      </w:r>
    </w:p>
    <w:p>
      <w:pPr>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sz w:val="32"/>
          <w:szCs w:val="32"/>
        </w:rPr>
        <w:t>2012901-行政运行支出该支出主要用于支付职工工资、退休费以及公务运行费.</w:t>
      </w:r>
    </w:p>
    <w:p>
      <w:pPr>
        <w:pStyle w:val="14"/>
        <w:widowControl/>
        <w:spacing w:before="0" w:beforeAutospacing="0" w:after="0" w:afterAutospacing="0" w:line="528"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4"/>
        <w:widowControl/>
        <w:spacing w:before="0" w:beforeAutospacing="0" w:after="0" w:afterAutospacing="0" w:line="528"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rPr>
        <w:t>2100409-重大公共卫生专项支出，该支出主要用于支付“两癌”患者医疗救助金；2101101-行政单位医疗支出，该支出主要用于支付职工医疗保险金。</w:t>
      </w:r>
    </w:p>
    <w:p>
      <w:pPr>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sz w:val="32"/>
          <w:szCs w:val="32"/>
        </w:rPr>
        <w:t>2210201-住房公积金支出，该支出主要用于支付职工住房公积金。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2640" w:firstLineChars="600"/>
        <w:outlineLvl w:val="0"/>
        <w:rPr>
          <w:rStyle w:val="27"/>
          <w:rFonts w:ascii="黑体" w:hAnsi="黑体" w:eastAsia="黑体"/>
          <w:b w:val="0"/>
        </w:rPr>
      </w:pPr>
      <w:bookmarkStart w:id="90" w:name="_Toc29988"/>
      <w:bookmarkStart w:id="91" w:name="_Toc15396614"/>
      <w:bookmarkStart w:id="92" w:name="_Toc15377226"/>
      <w:r>
        <w:rPr>
          <w:rFonts w:hint="eastAsia" w:ascii="黑体" w:hAnsi="黑体" w:eastAsia="黑体"/>
          <w:color w:val="000000"/>
          <w:sz w:val="44"/>
          <w:szCs w:val="44"/>
        </w:rPr>
        <w:t>第</w:t>
      </w:r>
      <w:r>
        <w:rPr>
          <w:rStyle w:val="27"/>
          <w:rFonts w:hint="eastAsia" w:ascii="黑体" w:hAnsi="黑体" w:eastAsia="黑体"/>
          <w:b w:val="0"/>
        </w:rPr>
        <w:t>四部分 附件</w:t>
      </w:r>
      <w:bookmarkEnd w:id="90"/>
      <w:bookmarkEnd w:id="91"/>
    </w:p>
    <w:p>
      <w:pPr>
        <w:spacing w:line="600" w:lineRule="exact"/>
        <w:jc w:val="left"/>
        <w:outlineLvl w:val="0"/>
        <w:rPr>
          <w:rFonts w:ascii="方正小标宋简体" w:hAnsi="方正小标宋简体" w:eastAsia="方正小标宋简体" w:cs="方正小标宋简体"/>
          <w:sz w:val="32"/>
          <w:szCs w:val="32"/>
        </w:rPr>
      </w:pPr>
      <w:bookmarkStart w:id="93" w:name="_Toc22325"/>
      <w:r>
        <w:rPr>
          <w:rFonts w:hint="eastAsia" w:ascii="黑体" w:hAnsi="黑体" w:eastAsia="黑体" w:cs="黑体"/>
          <w:sz w:val="32"/>
          <w:szCs w:val="32"/>
        </w:rPr>
        <w:t>附件1</w:t>
      </w:r>
      <w:bookmarkEnd w:id="93"/>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妇联</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48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lang w:bidi="ar"/>
        </w:rPr>
        <w:t>一、</w:t>
      </w:r>
      <w:r>
        <w:rPr>
          <w:rFonts w:hint="eastAsia" w:ascii="黑体" w:hAnsi="宋体" w:eastAsia="黑体" w:cs="宋体"/>
          <w:color w:val="000000"/>
          <w:kern w:val="0"/>
          <w:sz w:val="32"/>
          <w:lang w:val="zh-CN" w:bidi="ar"/>
        </w:rPr>
        <w:t>部门（单位）概况</w:t>
      </w:r>
    </w:p>
    <w:p>
      <w:pPr>
        <w:widowControl/>
        <w:adjustRightInd w:val="0"/>
        <w:snapToGrid w:val="0"/>
        <w:spacing w:line="48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（一）机构组成。</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bCs/>
          <w:sz w:val="32"/>
          <w:szCs w:val="32"/>
        </w:rPr>
        <w:t>我单位为独立核算全额拨款行政单位</w:t>
      </w:r>
    </w:p>
    <w:p>
      <w:pPr>
        <w:widowControl/>
        <w:numPr>
          <w:ilvl w:val="0"/>
          <w:numId w:val="5"/>
        </w:numPr>
        <w:adjustRightInd w:val="0"/>
        <w:snapToGrid w:val="0"/>
        <w:spacing w:line="48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机构职能。</w:t>
      </w:r>
    </w:p>
    <w:p>
      <w:pPr>
        <w:pStyle w:val="14"/>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（1）坚持正确的政治方向，团结、教育全县各族各界妇女以及各类妇女组织同党中央在思想上、政治上、行动上保持高度一致。</w:t>
      </w:r>
    </w:p>
    <w:p>
      <w:pPr>
        <w:pStyle w:val="14"/>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(2）紧密围绕县委、县政府的中心任务开展工作，团结、动员、组织全县妇女群众参与经济社会发展，努力推进中方县妇女儿童事业的发展。</w:t>
      </w:r>
    </w:p>
    <w:p>
      <w:pPr>
        <w:pStyle w:val="14"/>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(3)宣传马克思主义妇女观和男女平等思想，教育、引导妇女树立正确的世界观、人生观、价值观，弘扬“自尊、自信、自立、自强”的精神，积极开展对妇女的科技文化及生产劳动技能教育，全面提高妇女素质。</w:t>
      </w:r>
    </w:p>
    <w:p>
      <w:pPr>
        <w:pStyle w:val="14"/>
        <w:widowControl/>
        <w:shd w:val="clear" w:color="auto" w:fill="FFFFFF"/>
        <w:spacing w:before="0" w:beforeAutospacing="0" w:after="0" w:afterAutospacing="0" w:line="525" w:lineRule="atLeas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(4)代表妇女参与社会事务的民主管理和民主监督；关注并积极研究涉及妇女切身利益的热点、难点问题，及时提出解决处理的建议；参与制定有关保护妇女儿童合法权益的政策并组织落实，切实维护妇女儿童合法权益。</w:t>
      </w:r>
    </w:p>
    <w:p>
      <w:pPr>
        <w:pStyle w:val="14"/>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(5)坚持为妇女儿童服务、为基层服务，加强与社会各界的联系，协调、推动社会各界为妇女儿童办好事、办实事。</w:t>
      </w:r>
    </w:p>
    <w:p>
      <w:pPr>
        <w:pStyle w:val="14"/>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(6)加强与社会各界妇女的联系，巩固和扩大各族各界妇女的大团结。</w:t>
      </w:r>
    </w:p>
    <w:p>
      <w:pPr>
        <w:pStyle w:val="14"/>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(7)加强妇联组织自身建设，指导建立健全各级妇联和基层妇女组织。指导各级妇女组织按照章程独立自主地开展工作。加强干部队伍建设，提高妇联干部的整体素质。</w:t>
      </w:r>
    </w:p>
    <w:p>
      <w:pPr>
        <w:pStyle w:val="14"/>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(8)承担县妇女儿童工作委员会的日常工作。</w:t>
      </w:r>
    </w:p>
    <w:p>
      <w:pPr>
        <w:pStyle w:val="14"/>
        <w:widowControl/>
        <w:shd w:val="clear" w:color="auto" w:fill="FFFFFF"/>
        <w:spacing w:before="0" w:beforeAutospacing="0" w:after="0" w:afterAutospacing="0" w:line="525" w:lineRule="atLeast"/>
        <w:ind w:firstLine="645"/>
        <w:jc w:val="both"/>
        <w:rPr>
          <w:rFonts w:ascii="仿宋_GB2312" w:hAnsi="仿宋_GB2312" w:eastAsia="仿宋_GB2312" w:cs="仿宋_GB2312"/>
          <w:bCs/>
          <w:kern w:val="2"/>
          <w:sz w:val="32"/>
          <w:szCs w:val="32"/>
          <w:lang w:val="zh-CN"/>
        </w:rPr>
      </w:pPr>
      <w:r>
        <w:rPr>
          <w:rFonts w:hint="eastAsia" w:ascii="仿宋_GB2312" w:hAnsi="仿宋_GB2312" w:eastAsia="仿宋_GB2312" w:cs="仿宋_GB2312"/>
          <w:bCs/>
          <w:kern w:val="2"/>
          <w:sz w:val="32"/>
          <w:szCs w:val="32"/>
        </w:rPr>
        <w:t>(9)承办县委、县政府和市妇联交办的其他事项。</w:t>
      </w:r>
    </w:p>
    <w:p>
      <w:pPr>
        <w:widowControl/>
        <w:adjustRightInd w:val="0"/>
        <w:snapToGrid w:val="0"/>
        <w:spacing w:line="480" w:lineRule="exact"/>
        <w:ind w:firstLine="720"/>
        <w:jc w:val="lef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（三）人员概况。</w:t>
      </w:r>
    </w:p>
    <w:p>
      <w:pPr>
        <w:widowControl/>
        <w:adjustRightInd w:val="0"/>
        <w:snapToGrid w:val="0"/>
        <w:spacing w:line="480" w:lineRule="exact"/>
        <w:ind w:firstLine="720"/>
        <w:jc w:val="both"/>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sz w:val="32"/>
          <w:szCs w:val="32"/>
        </w:rPr>
        <w:t>本单位上年末有编制人数6人、实有人数5人；本年度年末编制人数6人、实有人数5人。</w:t>
      </w:r>
    </w:p>
    <w:p>
      <w:pPr>
        <w:widowControl/>
        <w:adjustRightInd w:val="0"/>
        <w:snapToGrid w:val="0"/>
        <w:spacing w:line="480" w:lineRule="exact"/>
        <w:ind w:firstLine="720"/>
        <w:jc w:val="both"/>
        <w:rPr>
          <w:rFonts w:ascii="黑体" w:hAnsi="宋体" w:eastAsia="黑体" w:cs="宋体"/>
          <w:color w:val="000000"/>
          <w:kern w:val="0"/>
        </w:rPr>
      </w:pPr>
      <w:r>
        <w:rPr>
          <w:rFonts w:hint="eastAsia" w:ascii="黑体" w:hAnsi="宋体" w:eastAsia="黑体" w:cs="宋体"/>
          <w:color w:val="000000"/>
          <w:kern w:val="0"/>
          <w:sz w:val="32"/>
          <w:lang w:bidi="ar"/>
        </w:rPr>
        <w:t>二、部门财政资金收支情况</w:t>
      </w:r>
    </w:p>
    <w:p>
      <w:pPr>
        <w:widowControl/>
        <w:adjustRightInd w:val="0"/>
        <w:snapToGrid w:val="0"/>
        <w:spacing w:line="480" w:lineRule="exact"/>
        <w:ind w:firstLine="720"/>
        <w:jc w:val="both"/>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（一）部门财政资金收入情况。</w:t>
      </w:r>
    </w:p>
    <w:p>
      <w:pPr>
        <w:snapToGrid w:val="0"/>
        <w:spacing w:line="52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2019年红原县妇联本年收入合计</w:t>
      </w:r>
      <w:r>
        <w:rPr>
          <w:rFonts w:hint="eastAsia" w:ascii="仿宋" w:hAnsi="仿宋" w:eastAsia="仿宋"/>
          <w:color w:val="000000"/>
          <w:sz w:val="32"/>
          <w:szCs w:val="32"/>
        </w:rPr>
        <w:t>140.28万元。</w:t>
      </w:r>
      <w:r>
        <w:rPr>
          <w:rFonts w:hint="eastAsia" w:ascii="仿宋_GB2312" w:hAnsi="仿宋_GB2312" w:eastAsia="仿宋_GB2312" w:cs="仿宋_GB2312"/>
          <w:color w:val="000000"/>
          <w:sz w:val="32"/>
          <w:szCs w:val="32"/>
        </w:rPr>
        <w:t>其中：一般公共预算财政拨款收入140.28万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，占100%。</w:t>
      </w:r>
    </w:p>
    <w:p>
      <w:pPr>
        <w:widowControl/>
        <w:numPr>
          <w:ilvl w:val="0"/>
          <w:numId w:val="5"/>
        </w:numPr>
        <w:adjustRightInd w:val="0"/>
        <w:snapToGrid w:val="0"/>
        <w:spacing w:line="480" w:lineRule="exact"/>
        <w:ind w:firstLine="720"/>
        <w:jc w:val="both"/>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部门财政资金支出情况。</w:t>
      </w:r>
    </w:p>
    <w:p>
      <w:pPr>
        <w:spacing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2018年红原县妇联本年</w:t>
      </w:r>
      <w:r>
        <w:rPr>
          <w:rFonts w:hint="eastAsia" w:ascii="仿宋" w:hAnsi="仿宋" w:eastAsia="仿宋"/>
          <w:color w:val="000000"/>
          <w:sz w:val="32"/>
          <w:szCs w:val="32"/>
        </w:rPr>
        <w:t>支出总计127.46万元。</w:t>
      </w:r>
      <w:r>
        <w:rPr>
          <w:rFonts w:hint="eastAsia" w:ascii="仿宋_GB2312" w:hAnsi="仿宋_GB2312" w:eastAsia="仿宋_GB2312" w:cs="仿宋_GB2312"/>
          <w:color w:val="000000"/>
          <w:sz w:val="32"/>
          <w:szCs w:val="32"/>
        </w:rPr>
        <w:t>其中：基本支出127.46万元元，占100%。</w:t>
      </w:r>
    </w:p>
    <w:p>
      <w:pPr>
        <w:widowControl/>
        <w:adjustRightInd w:val="0"/>
        <w:snapToGrid w:val="0"/>
        <w:spacing w:line="480" w:lineRule="exact"/>
        <w:ind w:firstLine="640" w:firstLineChars="200"/>
        <w:jc w:val="left"/>
        <w:rPr>
          <w:rFonts w:ascii="黑体" w:hAnsi="宋体" w:eastAsia="黑体" w:cs="宋体"/>
          <w:color w:val="000000"/>
          <w:kern w:val="0"/>
        </w:rPr>
      </w:pPr>
      <w:r>
        <w:rPr>
          <w:rFonts w:hint="eastAsia" w:ascii="黑体" w:hAnsi="宋体" w:eastAsia="黑体" w:cs="宋体"/>
          <w:color w:val="000000"/>
          <w:kern w:val="0"/>
          <w:sz w:val="32"/>
          <w:lang w:bidi="ar"/>
        </w:rPr>
        <w:t>三、部门财政支出管理情况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bidi="ar"/>
        </w:rPr>
        <w:t>（一）预算编制情况。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bidi="ar"/>
        </w:rPr>
        <w:t>（二）执行管理情况。</w:t>
      </w:r>
      <w:r>
        <w:rPr>
          <w:rFonts w:hint="eastAsia" w:ascii="楷体" w:hAnsi="楷体" w:eastAsia="楷体" w:cs="宋体"/>
          <w:color w:val="000000"/>
          <w:kern w:val="0"/>
          <w:sz w:val="32"/>
          <w:lang w:val="zh-CN" w:bidi="ar"/>
        </w:rPr>
        <w:tab/>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1.县级财力专项预算分配时限、中央专款分配合规率：</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我单位2019年无县级财力专项预算和中央专款。</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zh-CN"/>
        </w:rPr>
        <w:t>部门预算执行进度情况：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2018年我单位财政预算实际到位数为140.28万元，年中财政调整预算140.28万元。</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zh-CN"/>
        </w:rPr>
        <w:t>.中期评估工作：</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按照要求，对纳入部门预算进行了中期评估论证。</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zh-CN"/>
        </w:rPr>
        <w:t>机关节能降耗</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建立节约型社会是党中央、国务院做出的一项重要部署。建设节约型机关，是建设节约型社会的重要组成部分，县妇联着力降低行政运行成本，节约用水用电、精简会议、完善采购制度节约办公消耗品。</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zh-CN"/>
        </w:rPr>
        <w:t>“三公”经费预算执行情况：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严格落实中央八项规定和省委省政府十项规定，厉行节约管理“三公”经费，全年压缩了公车预算，国外接待人数减少。2019年“三公经费3.14万元,完成预算100%。公务用车购置及运行维护费支出决算比2018年增加1.54万元，增长96%。主要原因政府调拨车辆给妇联后进行大型维修。</w:t>
      </w:r>
    </w:p>
    <w:p>
      <w:pPr>
        <w:numPr>
          <w:ilvl w:val="0"/>
          <w:numId w:val="0"/>
        </w:num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zh-CN"/>
        </w:rPr>
        <w:t>综合管理情况：</w:t>
      </w:r>
    </w:p>
    <w:p>
      <w:pPr>
        <w:shd w:val="solid" w:color="FFFFFF" w:fill="auto"/>
        <w:autoSpaceDE w:val="0"/>
        <w:autoSpaceDN w:val="0"/>
        <w:spacing w:beforeLines="0" w:afterLines="0" w:line="570" w:lineRule="exact"/>
        <w:ind w:firstLine="640" w:firstLineChars="200"/>
        <w:rPr>
          <w:rFonts w:hint="eastAsia"/>
          <w:lang w:val="zh-CN"/>
        </w:rPr>
      </w:pPr>
      <w:r>
        <w:rPr>
          <w:rFonts w:hint="eastAsia" w:ascii="仿宋_GB2312" w:hAnsi="仿宋_GB2312" w:eastAsia="仿宋_GB2312"/>
          <w:color w:val="auto"/>
          <w:sz w:val="32"/>
        </w:rPr>
        <w:t>201</w:t>
      </w:r>
      <w:r>
        <w:rPr>
          <w:rFonts w:hint="eastAsia" w:ascii="仿宋_GB2312" w:hAnsi="仿宋_GB2312" w:eastAsia="仿宋_GB2312"/>
          <w:color w:val="auto"/>
          <w:sz w:val="32"/>
          <w:lang w:val="en-US" w:eastAsia="zh-CN"/>
        </w:rPr>
        <w:t>9</w:t>
      </w:r>
      <w:r>
        <w:rPr>
          <w:rFonts w:hint="eastAsia" w:ascii="仿宋_GB2312" w:hAnsi="仿宋_GB2312" w:eastAsia="仿宋_GB2312"/>
          <w:color w:val="auto"/>
          <w:sz w:val="32"/>
        </w:rPr>
        <w:t>年，红原县妇联在县委的坚强领导下，在县政府的大力支持下，在州妇联的指导</w:t>
      </w:r>
      <w:r>
        <w:rPr>
          <w:rFonts w:hint="eastAsia" w:ascii="仿宋_GB2312" w:hAnsi="仿宋_GB2312" w:eastAsia="仿宋_GB2312"/>
          <w:color w:val="auto"/>
          <w:sz w:val="32"/>
          <w:lang w:eastAsia="zh-CN"/>
        </w:rPr>
        <w:t>和关心下</w:t>
      </w:r>
      <w:r>
        <w:rPr>
          <w:rFonts w:hint="eastAsia" w:ascii="仿宋_GB2312" w:hAnsi="仿宋_GB2312" w:eastAsia="仿宋_GB2312"/>
          <w:color w:val="auto"/>
          <w:sz w:val="32"/>
        </w:rPr>
        <w:t>，按照年度工作目标任务，以构建和谐社会关系为工作核心，以加强妇联组织建设为基础，以开展“姐妹宣讲团”活动等品牌工作为统领，工作方式不断创新，工作成效不断凸显，维护好了广大妇女群众的合法权益，为推进红原建设发挥了一定的作用。</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lang w:val="zh-CN"/>
        </w:rPr>
        <w:t>政府债务情况：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红原县妇女联合会2019年无政府性债务。</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val="zh-CN"/>
        </w:rPr>
        <w:t>非税收入情况：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红原县妇女联合会2019年无非税收情况。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rPr>
        <w:t>政府采购实施情况：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2019年，我单位政府采购支出总额0万元。</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lang w:val="zh-CN"/>
        </w:rPr>
        <w:t>资产管理情况：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红原县妇女联合会按照石棉县财政局资产管理要求，设置专人管理固定资产信息系统和更新数据，按规定组织资产清查和报送国有资产报表。</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lang w:val="zh-CN"/>
        </w:rPr>
        <w:t>内控制度管理情况：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红原县妇女联合会制定有预算管理制度、收入管理制度、政府采购业务管理制度、资产管理制度和合同管理办法等方面的内部控制制度。</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lang w:val="zh-CN"/>
        </w:rPr>
        <w:t>信息公开情况：</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红原县妇女联合会按照县财政局相关要求，在县政府统一的公开网站对2019年预算、决算进行了公开。</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包括部门职责履行结果、重点项目绩效评价结果和服务对象满意度等。</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zh-CN"/>
        </w:rPr>
        <w:t>部门职责履行结果：</w:t>
      </w:r>
    </w:p>
    <w:p>
      <w:pPr>
        <w:spacing w:line="560" w:lineRule="exact"/>
        <w:ind w:firstLine="640" w:firstLineChars="200"/>
        <w:jc w:val="both"/>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2019年，红原县妇联在县委的坚强领导下，在县政府的大力支持下，在州妇联的指导和关心下，按照年度工作目标任务，以构建和谐社会关系为工作核心，以加强妇联组织建设为基础，以开展“姐妹宣讲团”活动等品牌工作为统领，工作方式不断创新，工作成效不断凸显，维护好了广大妇女群众的合法权益，为推进红原建设发挥了一定的作用。</w:t>
      </w:r>
    </w:p>
    <w:p>
      <w:pPr>
        <w:pStyle w:val="14"/>
        <w:widowControl/>
        <w:shd w:val="clear" w:color="auto" w:fill="FFFFFF"/>
        <w:spacing w:before="0" w:beforeAutospacing="0" w:after="0" w:afterAutospacing="0" w:line="600" w:lineRule="atLeast"/>
        <w:ind w:firstLine="645"/>
        <w:rPr>
          <w:rFonts w:ascii="仿宋_GB2312" w:hAnsi="仿宋_GB2312" w:eastAsia="仿宋_GB2312" w:cs="仿宋_GB2312"/>
          <w:b/>
          <w:bCs/>
          <w:color w:val="000000"/>
          <w:sz w:val="32"/>
          <w:szCs w:val="32"/>
          <w:lang w:val="zh-CN"/>
        </w:rPr>
      </w:pPr>
      <w:r>
        <w:rPr>
          <w:rFonts w:hint="eastAsia" w:ascii="仿宋_GB2312" w:hAnsi="仿宋_GB2312" w:eastAsia="仿宋_GB2312" w:cs="仿宋_GB2312"/>
          <w:b/>
          <w:bCs/>
          <w:color w:val="000000"/>
          <w:sz w:val="32"/>
          <w:szCs w:val="32"/>
          <w:lang w:val="zh-CN"/>
        </w:rPr>
        <w:t>社会经济效益分析</w:t>
      </w:r>
    </w:p>
    <w:p>
      <w:pPr>
        <w:spacing w:line="570" w:lineRule="exact"/>
        <w:ind w:firstLine="641"/>
        <w:rPr>
          <w:rFonts w:ascii="仿宋_GB2312" w:hAnsi="仿宋_GB2312" w:eastAsia="仿宋_GB2312"/>
          <w:sz w:val="32"/>
        </w:rPr>
      </w:pPr>
      <w:r>
        <w:rPr>
          <w:rFonts w:hint="eastAsia" w:ascii="仿宋_GB2312" w:hAnsi="仿宋_GB2312" w:eastAsia="仿宋_GB2312" w:cs="仿宋_GB2312"/>
          <w:color w:val="000000"/>
          <w:sz w:val="32"/>
          <w:szCs w:val="32"/>
          <w:shd w:val="clear" w:color="auto" w:fill="FFFFFF"/>
        </w:rPr>
        <w:t>1</w:t>
      </w:r>
      <w:r>
        <w:rPr>
          <w:rFonts w:hint="eastAsia" w:ascii="仿宋_GB2312" w:hAnsi="仿宋_GB2312" w:eastAsia="仿宋_GB2312"/>
          <w:color w:val="000000"/>
          <w:kern w:val="0"/>
          <w:sz w:val="32"/>
        </w:rPr>
        <w:t>4月16日至20日，县妇联组织“关爱草原阿妈”姐妹宣讲团进行了为期5天的下乡宣讲活动。</w:t>
      </w:r>
      <w:r>
        <w:rPr>
          <w:rFonts w:hint="eastAsia" w:ascii="仿宋_GB2312" w:hAnsi="仿宋_GB2312" w:eastAsia="仿宋_GB2312"/>
          <w:sz w:val="32"/>
        </w:rPr>
        <w:t>宣讲团成员采取宣传图片讲解、身边案例分析等形式，用通俗易懂的日常口语，紧扣“精准扶贫”、“乡村振兴”工作和庆祝新中国成立70周年这一工作主线，着力宣传了以下内容：</w:t>
      </w:r>
      <w:r>
        <w:rPr>
          <w:rFonts w:hint="eastAsia" w:ascii="仿宋_GB2312" w:hAnsi="仿宋_GB2312" w:eastAsia="仿宋_GB2312"/>
          <w:b/>
          <w:sz w:val="32"/>
        </w:rPr>
        <w:t>一是推进文明习惯进家庭：</w:t>
      </w:r>
      <w:r>
        <w:rPr>
          <w:rFonts w:hint="eastAsia" w:ascii="仿宋_GB2312" w:hAnsi="仿宋_GB2312" w:eastAsia="仿宋_GB2312"/>
          <w:sz w:val="32"/>
        </w:rPr>
        <w:t>深化做实“巾帼脱贫行动”“乡村振兴巾帼行动”，将其贯穿融入家庭、家教、家风建设的全过程和各方面，通过典型示范，帮助广大贫困家庭逐步养成好习惯。</w:t>
      </w:r>
      <w:r>
        <w:rPr>
          <w:rFonts w:hint="eastAsia" w:ascii="仿宋_GB2312" w:hAnsi="仿宋_GB2312" w:eastAsia="仿宋_GB2312"/>
          <w:b/>
          <w:sz w:val="32"/>
        </w:rPr>
        <w:t>二是推进科学家教进家庭：</w:t>
      </w:r>
      <w:r>
        <w:rPr>
          <w:rFonts w:hint="eastAsia" w:ascii="仿宋_GB2312" w:hAnsi="仿宋_GB2312" w:eastAsia="仿宋_GB2312"/>
          <w:sz w:val="32"/>
        </w:rPr>
        <w:t>针对全县家教意识落后、家庭教育力量薄弱等突出问题，大力普及科学育儿教子、健康养护知识，提高广大家长家教责任意识和科学家教能力，帮助孩子扣好人生第一粒扣子，阻断贫困代际传递。</w:t>
      </w:r>
      <w:r>
        <w:rPr>
          <w:rFonts w:hint="eastAsia" w:ascii="仿宋_GB2312" w:hAnsi="仿宋_GB2312" w:eastAsia="仿宋_GB2312"/>
          <w:b/>
          <w:sz w:val="32"/>
        </w:rPr>
        <w:t>三是推进优良家风进家庭：</w:t>
      </w:r>
      <w:r>
        <w:rPr>
          <w:rFonts w:hint="eastAsia" w:ascii="仿宋_GB2312" w:hAnsi="仿宋_GB2312" w:eastAsia="仿宋_GB2312"/>
          <w:sz w:val="32"/>
        </w:rPr>
        <w:t>充分发挥妇女在树立良好家风方面的独特作用，大力弘扬社会主义核心价值观、藏族优秀传统文化，带动广大家庭和妇女群众追求向上向善、共建共享的健康生活，形成良好社会风尚。同时还重点宣传了习近平总书记在同全国妇联新一届领导班子集体谈话时的重要讲话精神，与妇女切身相关的《婚姻法》《妇女权益保障法》《反家庭暴力法》《环境保护法》等法律法规常识，以及家教家风、妇女道德、个人品德和妇女病防治常识，讲解了“两癌”防治知识、计划生育节育、艾滋病、结核病等传染性疾病预防知识及相关惠民政策。</w:t>
      </w:r>
    </w:p>
    <w:p>
      <w:pPr>
        <w:widowControl/>
        <w:adjustRightInd w:val="0"/>
        <w:snapToGrid w:val="0"/>
        <w:spacing w:line="480" w:lineRule="exact"/>
        <w:ind w:firstLine="960" w:firstLineChars="300"/>
        <w:jc w:val="left"/>
        <w:rPr>
          <w:rFonts w:ascii="黑体" w:hAnsi="宋体" w:eastAsia="黑体" w:cs="宋体"/>
          <w:color w:val="000000"/>
          <w:kern w:val="0"/>
        </w:rPr>
      </w:pPr>
      <w:r>
        <w:rPr>
          <w:rFonts w:hint="eastAsia" w:ascii="黑体" w:hAnsi="宋体" w:eastAsia="黑体" w:cs="宋体"/>
          <w:color w:val="000000"/>
          <w:kern w:val="0"/>
          <w:sz w:val="32"/>
          <w:lang w:bidi="ar"/>
        </w:rPr>
        <w:t>四、评价结论及建议</w:t>
      </w:r>
    </w:p>
    <w:p>
      <w:pPr>
        <w:pStyle w:val="14"/>
        <w:widowControl/>
        <w:shd w:val="clear" w:color="auto" w:fill="FFFFFF"/>
        <w:spacing w:before="0" w:beforeAutospacing="0" w:after="0" w:afterAutospacing="0" w:line="600" w:lineRule="atLeast"/>
        <w:ind w:firstLine="645"/>
        <w:rPr>
          <w:rFonts w:hint="eastAsia" w:ascii="楷体_GB2312" w:hAnsi="楷体_GB2312" w:eastAsia="楷体_GB2312" w:cs="楷体_GB2312"/>
          <w:b/>
          <w:bCs/>
          <w:color w:val="000000"/>
          <w:sz w:val="32"/>
          <w:szCs w:val="32"/>
          <w:lang w:val="zh-CN"/>
        </w:rPr>
      </w:pPr>
      <w:r>
        <w:rPr>
          <w:rFonts w:hint="eastAsia" w:ascii="楷体_GB2312" w:hAnsi="楷体_GB2312" w:eastAsia="楷体_GB2312" w:cs="楷体_GB2312"/>
          <w:b/>
          <w:bCs/>
          <w:color w:val="000000"/>
          <w:sz w:val="32"/>
          <w:szCs w:val="32"/>
          <w:lang w:val="zh-CN"/>
        </w:rPr>
        <w:t>（一）评价结论。</w:t>
      </w:r>
    </w:p>
    <w:p>
      <w:pPr>
        <w:pStyle w:val="14"/>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 我单位在预算管理上的力度加强，增强了预算的计划性、科学性，使预算管理的约束控制力得到充分发挥；   </w:t>
      </w:r>
    </w:p>
    <w:p>
      <w:pPr>
        <w:pStyle w:val="14"/>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2.在内部控制文化建设方面积极培育符合我单位实际情况的内部控制文化，使内控意识和内控文化渗透到每一位干部职工思想深处，使内控成为每位干部职工的自觉行为。</w:t>
      </w:r>
    </w:p>
    <w:p>
      <w:pPr>
        <w:pStyle w:val="14"/>
        <w:widowControl/>
        <w:shd w:val="clear" w:color="auto" w:fill="FFFFFF"/>
        <w:spacing w:before="0" w:beforeAutospacing="0" w:after="0" w:afterAutospacing="0" w:line="600" w:lineRule="atLeast"/>
        <w:ind w:firstLine="645"/>
        <w:rPr>
          <w:rFonts w:hint="eastAsia" w:ascii="楷体_GB2312" w:hAnsi="楷体_GB2312" w:eastAsia="楷体_GB2312" w:cs="楷体_GB2312"/>
          <w:b/>
          <w:bCs/>
          <w:color w:val="000000"/>
          <w:sz w:val="32"/>
          <w:szCs w:val="32"/>
          <w:lang w:val="zh-CN"/>
        </w:rPr>
      </w:pPr>
      <w:r>
        <w:rPr>
          <w:rFonts w:hint="eastAsia" w:ascii="楷体_GB2312" w:hAnsi="楷体_GB2312" w:eastAsia="楷体_GB2312" w:cs="楷体_GB2312"/>
          <w:b/>
          <w:bCs/>
          <w:color w:val="000000"/>
          <w:sz w:val="32"/>
          <w:szCs w:val="32"/>
          <w:lang w:val="zh-CN"/>
        </w:rPr>
        <w:t>（二）存在问题</w:t>
      </w:r>
    </w:p>
    <w:p>
      <w:pPr>
        <w:pStyle w:val="14"/>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14"/>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县妇联人员有限，行政编制只有</w:t>
      </w: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lang w:val="zh-CN"/>
        </w:rPr>
        <w:t>个，很难做到会计岗位轮岗的要求。在接下来的工作里，我们竭尽所能将人员配齐，严格按照内部控制规范制度行事。</w:t>
      </w:r>
    </w:p>
    <w:p>
      <w:pPr>
        <w:pStyle w:val="14"/>
        <w:widowControl/>
        <w:shd w:val="clear" w:color="auto" w:fill="FFFFFF"/>
        <w:spacing w:before="0" w:beforeAutospacing="0" w:after="0" w:afterAutospacing="0" w:line="600" w:lineRule="atLeast"/>
        <w:ind w:firstLine="645"/>
        <w:rPr>
          <w:rFonts w:hint="eastAsia" w:ascii="楷体_GB2312" w:hAnsi="楷体_GB2312" w:eastAsia="楷体_GB2312" w:cs="楷体_GB2312"/>
          <w:b/>
          <w:bCs/>
          <w:color w:val="000000"/>
          <w:sz w:val="32"/>
          <w:szCs w:val="32"/>
          <w:lang w:val="zh-CN"/>
        </w:rPr>
      </w:pPr>
      <w:r>
        <w:rPr>
          <w:rFonts w:hint="eastAsia" w:ascii="楷体_GB2312" w:hAnsi="楷体_GB2312" w:eastAsia="楷体_GB2312" w:cs="楷体_GB2312"/>
          <w:b/>
          <w:bCs/>
          <w:color w:val="000000"/>
          <w:sz w:val="32"/>
          <w:szCs w:val="32"/>
          <w:lang w:val="zh-CN"/>
        </w:rPr>
        <w:t>（三）改进建议</w:t>
      </w:r>
    </w:p>
    <w:p>
      <w:pPr>
        <w:pStyle w:val="14"/>
        <w:widowControl/>
        <w:shd w:val="clear" w:color="auto" w:fill="FFFFFF"/>
        <w:spacing w:before="0" w:beforeAutospacing="0" w:after="0" w:afterAutospacing="0" w:line="600" w:lineRule="atLeast"/>
        <w:ind w:firstLine="645"/>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财政部门定期对各机关单位进行各类财务培训，加大培训力度，促进各单位事业的健康、可持续发展。</w:t>
      </w:r>
    </w:p>
    <w:p/>
    <w:p>
      <w:pPr>
        <w:pStyle w:val="2"/>
        <w:ind w:left="840" w:hanging="420"/>
        <w:rPr>
          <w:rFonts w:hint="default"/>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sdt>
      <w:sdtPr>
        <w:rPr>
          <w:rFonts w:ascii="宋体" w:hAnsi="宋体" w:eastAsia="宋体" w:cs="Times New Roman"/>
          <w:kern w:val="2"/>
          <w:sz w:val="21"/>
          <w:szCs w:val="24"/>
          <w:lang w:val="en-US" w:eastAsia="zh-CN" w:bidi="ar-SA"/>
        </w:rPr>
        <w:id w:val="147462590"/>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2"/>
            <w:tabs>
              <w:tab w:val="right" w:leader="dot" w:pos="8306"/>
              <w:tab w:val="clear" w:pos="8296"/>
            </w:tabs>
          </w:pPr>
          <w:r>
            <w:fldChar w:fldCharType="begin"/>
          </w:r>
          <w:r>
            <w:instrText xml:space="preserve">TOC \o "1-3" \h \u </w:instrText>
          </w:r>
          <w:r>
            <w:fldChar w:fldCharType="separate"/>
          </w:r>
          <w:r>
            <w:fldChar w:fldCharType="begin"/>
          </w:r>
          <w:r>
            <w:instrText xml:space="preserve"> HYPERLINK \l _Toc4583 </w:instrText>
          </w:r>
          <w:r>
            <w:fldChar w:fldCharType="separate"/>
          </w:r>
          <w:r>
            <w:rPr>
              <w:rFonts w:ascii="黑体" w:hAnsi="黑体" w:eastAsia="黑体"/>
              <w:szCs w:val="72"/>
            </w:rPr>
            <w:t>201</w:t>
          </w:r>
          <w:r>
            <w:rPr>
              <w:rFonts w:hint="eastAsia" w:ascii="黑体" w:hAnsi="黑体" w:eastAsia="黑体"/>
              <w:szCs w:val="72"/>
            </w:rPr>
            <w:t>9</w:t>
          </w:r>
          <w:r>
            <w:rPr>
              <w:rFonts w:hint="eastAsia" w:ascii="方正小标宋简体" w:hAnsi="宋体" w:eastAsia="方正小标宋简体"/>
              <w:szCs w:val="72"/>
            </w:rPr>
            <w:t>年度</w:t>
          </w:r>
          <w:r>
            <w:tab/>
          </w:r>
          <w:r>
            <w:fldChar w:fldCharType="begin"/>
          </w:r>
          <w:r>
            <w:instrText xml:space="preserve"> PAGEREF _Toc4583 </w:instrText>
          </w:r>
          <w:r>
            <w:fldChar w:fldCharType="separate"/>
          </w:r>
          <w:r>
            <w:t>1</w:t>
          </w:r>
          <w:r>
            <w:fldChar w:fldCharType="end"/>
          </w:r>
          <w:r>
            <w:fldChar w:fldCharType="end"/>
          </w:r>
        </w:p>
        <w:p>
          <w:pPr>
            <w:pStyle w:val="12"/>
            <w:tabs>
              <w:tab w:val="right" w:leader="dot" w:pos="8306"/>
              <w:tab w:val="clear" w:pos="8296"/>
            </w:tabs>
          </w:pPr>
          <w:r>
            <w:fldChar w:fldCharType="begin"/>
          </w:r>
          <w:r>
            <w:instrText xml:space="preserve"> HYPERLINK \l _Toc20977 </w:instrText>
          </w:r>
          <w:r>
            <w:fldChar w:fldCharType="separate"/>
          </w:r>
          <w:r>
            <w:rPr>
              <w:rFonts w:hint="eastAsia" w:ascii="方正小标宋简体" w:hAnsi="宋体" w:eastAsia="方正小标宋简体"/>
              <w:szCs w:val="72"/>
            </w:rPr>
            <w:t>四川省阿坝州红原县妇联部门决算</w:t>
          </w:r>
          <w:r>
            <w:tab/>
          </w:r>
          <w:r>
            <w:fldChar w:fldCharType="begin"/>
          </w:r>
          <w:r>
            <w:instrText xml:space="preserve"> PAGEREF _Toc20977 </w:instrText>
          </w:r>
          <w:r>
            <w:fldChar w:fldCharType="separate"/>
          </w:r>
          <w:r>
            <w:t>1</w:t>
          </w:r>
          <w:r>
            <w:fldChar w:fldCharType="end"/>
          </w:r>
          <w:r>
            <w:fldChar w:fldCharType="end"/>
          </w:r>
        </w:p>
        <w:p>
          <w:pPr>
            <w:pStyle w:val="12"/>
            <w:tabs>
              <w:tab w:val="right" w:leader="dot" w:pos="8306"/>
              <w:tab w:val="clear" w:pos="8296"/>
            </w:tabs>
          </w:pPr>
          <w:r>
            <w:fldChar w:fldCharType="begin"/>
          </w:r>
          <w:r>
            <w:instrText xml:space="preserve"> HYPERLINK \l _Toc29469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_Toc29469 </w:instrText>
          </w:r>
          <w:r>
            <w:fldChar w:fldCharType="separate"/>
          </w:r>
          <w:r>
            <w:t>4</w:t>
          </w:r>
          <w:r>
            <w:fldChar w:fldCharType="end"/>
          </w:r>
          <w:r>
            <w:fldChar w:fldCharType="end"/>
          </w:r>
        </w:p>
        <w:p>
          <w:pPr>
            <w:pStyle w:val="13"/>
            <w:tabs>
              <w:tab w:val="right" w:leader="dot" w:pos="8306"/>
              <w:tab w:val="clear" w:pos="8296"/>
            </w:tabs>
          </w:pPr>
          <w:r>
            <w:fldChar w:fldCharType="begin"/>
          </w:r>
          <w:r>
            <w:instrText xml:space="preserve"> HYPERLINK \l _Toc21100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_Toc21100 </w:instrText>
          </w:r>
          <w:r>
            <w:fldChar w:fldCharType="separate"/>
          </w:r>
          <w:r>
            <w:t>4</w:t>
          </w:r>
          <w:r>
            <w:fldChar w:fldCharType="end"/>
          </w:r>
          <w:r>
            <w:fldChar w:fldCharType="end"/>
          </w:r>
        </w:p>
        <w:p>
          <w:pPr>
            <w:pStyle w:val="8"/>
            <w:tabs>
              <w:tab w:val="right" w:leader="dot" w:pos="8306"/>
              <w:tab w:val="clear" w:pos="8296"/>
            </w:tabs>
          </w:pPr>
          <w:r>
            <w:fldChar w:fldCharType="begin"/>
          </w:r>
          <w:r>
            <w:instrText xml:space="preserve"> HYPERLINK \l _Toc30712 </w:instrText>
          </w:r>
          <w:r>
            <w:fldChar w:fldCharType="separate"/>
          </w:r>
          <w:r>
            <w:rPr>
              <w:rFonts w:hint="eastAsia" w:ascii="楷体_GB2312" w:hAnsi="楷体_GB2312" w:eastAsia="楷体_GB2312" w:cs="楷体_GB2312"/>
              <w:bCs w:val="0"/>
              <w:szCs w:val="32"/>
            </w:rPr>
            <w:t>（一）主要职能。</w:t>
          </w:r>
          <w:r>
            <w:tab/>
          </w:r>
          <w:r>
            <w:fldChar w:fldCharType="begin"/>
          </w:r>
          <w:r>
            <w:instrText xml:space="preserve"> PAGEREF _Toc30712 </w:instrText>
          </w:r>
          <w:r>
            <w:fldChar w:fldCharType="separate"/>
          </w:r>
          <w:r>
            <w:t>4</w:t>
          </w:r>
          <w:r>
            <w:fldChar w:fldCharType="end"/>
          </w:r>
          <w:r>
            <w:fldChar w:fldCharType="end"/>
          </w:r>
        </w:p>
        <w:p>
          <w:pPr>
            <w:pStyle w:val="8"/>
            <w:tabs>
              <w:tab w:val="right" w:leader="dot" w:pos="8306"/>
              <w:tab w:val="clear" w:pos="8296"/>
            </w:tabs>
          </w:pPr>
          <w:r>
            <w:fldChar w:fldCharType="begin"/>
          </w:r>
          <w:r>
            <w:instrText xml:space="preserve"> HYPERLINK \l _Toc22808 </w:instrText>
          </w:r>
          <w:r>
            <w:fldChar w:fldCharType="separate"/>
          </w:r>
          <w:r>
            <w:rPr>
              <w:rFonts w:hint="eastAsia" w:hAnsi="仿宋_GB2312" w:cs="仿宋_GB2312"/>
              <w:bCs/>
              <w:kern w:val="2"/>
              <w:szCs w:val="32"/>
            </w:rPr>
            <w:t>(9)承办县委、县政府和市妇联交办的其他事项。</w:t>
          </w:r>
          <w:r>
            <w:tab/>
          </w:r>
          <w:r>
            <w:fldChar w:fldCharType="begin"/>
          </w:r>
          <w:r>
            <w:instrText xml:space="preserve"> PAGEREF _Toc22808 </w:instrText>
          </w:r>
          <w:r>
            <w:fldChar w:fldCharType="separate"/>
          </w:r>
          <w:r>
            <w:t>5</w:t>
          </w:r>
          <w:r>
            <w:fldChar w:fldCharType="end"/>
          </w:r>
          <w:r>
            <w:fldChar w:fldCharType="end"/>
          </w:r>
        </w:p>
        <w:p>
          <w:pPr>
            <w:pStyle w:val="8"/>
            <w:tabs>
              <w:tab w:val="right" w:leader="dot" w:pos="8306"/>
              <w:tab w:val="clear" w:pos="8296"/>
            </w:tabs>
          </w:pPr>
          <w:r>
            <w:fldChar w:fldCharType="begin"/>
          </w:r>
          <w:r>
            <w:instrText xml:space="preserve"> HYPERLINK \l _Toc11228 </w:instrText>
          </w:r>
          <w:r>
            <w:fldChar w:fldCharType="separate"/>
          </w:r>
          <w:r>
            <w:rPr>
              <w:rFonts w:hint="eastAsia" w:ascii="楷体_GB2312" w:hAnsi="楷体_GB2312" w:eastAsia="楷体_GB2312" w:cs="楷体_GB2312"/>
              <w:bCs w:val="0"/>
              <w:szCs w:val="32"/>
            </w:rPr>
            <w:t>（二）2019年重点工作完成情况。</w:t>
          </w:r>
          <w:r>
            <w:tab/>
          </w:r>
          <w:r>
            <w:fldChar w:fldCharType="begin"/>
          </w:r>
          <w:r>
            <w:instrText xml:space="preserve"> PAGEREF _Toc11228 </w:instrText>
          </w:r>
          <w:r>
            <w:fldChar w:fldCharType="separate"/>
          </w:r>
          <w:r>
            <w:t>5</w:t>
          </w:r>
          <w:r>
            <w:fldChar w:fldCharType="end"/>
          </w:r>
          <w:r>
            <w:fldChar w:fldCharType="end"/>
          </w:r>
        </w:p>
        <w:p>
          <w:pPr>
            <w:pStyle w:val="12"/>
            <w:tabs>
              <w:tab w:val="right" w:leader="dot" w:pos="8306"/>
              <w:tab w:val="clear" w:pos="8296"/>
            </w:tabs>
          </w:pPr>
          <w:r>
            <w:fldChar w:fldCharType="begin"/>
          </w:r>
          <w:r>
            <w:instrText xml:space="preserve"> HYPERLINK \l _Toc20182 </w:instrText>
          </w:r>
          <w: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_Toc20182 </w:instrText>
          </w:r>
          <w:r>
            <w:fldChar w:fldCharType="separate"/>
          </w:r>
          <w:r>
            <w:t>11</w:t>
          </w:r>
          <w:r>
            <w:fldChar w:fldCharType="end"/>
          </w:r>
          <w:r>
            <w:fldChar w:fldCharType="end"/>
          </w:r>
        </w:p>
        <w:p>
          <w:pPr>
            <w:pStyle w:val="13"/>
            <w:tabs>
              <w:tab w:val="right" w:leader="dot" w:pos="8306"/>
              <w:tab w:val="clear" w:pos="8296"/>
            </w:tabs>
          </w:pPr>
          <w:r>
            <w:fldChar w:fldCharType="begin"/>
          </w:r>
          <w:r>
            <w:instrText xml:space="preserve"> HYPERLINK \l _Toc23305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_Toc23305 </w:instrText>
          </w:r>
          <w:r>
            <w:fldChar w:fldCharType="separate"/>
          </w:r>
          <w:r>
            <w:t>11</w:t>
          </w:r>
          <w:r>
            <w:fldChar w:fldCharType="end"/>
          </w:r>
          <w:r>
            <w:fldChar w:fldCharType="end"/>
          </w:r>
        </w:p>
        <w:p>
          <w:pPr>
            <w:pStyle w:val="13"/>
            <w:tabs>
              <w:tab w:val="right" w:leader="dot" w:pos="8306"/>
              <w:tab w:val="clear" w:pos="8296"/>
            </w:tabs>
          </w:pPr>
          <w:r>
            <w:fldChar w:fldCharType="begin"/>
          </w:r>
          <w:r>
            <w:instrText xml:space="preserve"> HYPERLINK \l _Toc16956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_Toc16956 </w:instrText>
          </w:r>
          <w:r>
            <w:fldChar w:fldCharType="separate"/>
          </w:r>
          <w:r>
            <w:t>12</w:t>
          </w:r>
          <w:r>
            <w:fldChar w:fldCharType="end"/>
          </w:r>
          <w:r>
            <w:fldChar w:fldCharType="end"/>
          </w:r>
        </w:p>
        <w:p>
          <w:pPr>
            <w:pStyle w:val="13"/>
            <w:tabs>
              <w:tab w:val="right" w:leader="dot" w:pos="8306"/>
              <w:tab w:val="clear" w:pos="8296"/>
            </w:tabs>
          </w:pPr>
          <w:r>
            <w:fldChar w:fldCharType="begin"/>
          </w:r>
          <w:r>
            <w:instrText xml:space="preserve"> HYPERLINK \l _Toc26542 </w:instrText>
          </w:r>
          <w:r>
            <w:fldChar w:fldCharType="separate"/>
          </w:r>
          <w:r>
            <w:rPr>
              <w:rFonts w:ascii="仿宋" w:hAnsi="仿宋" w:eastAsia="仿宋"/>
              <w:szCs w:val="32"/>
            </w:rPr>
            <w:t>201</w:t>
          </w:r>
          <w:r>
            <w:rPr>
              <w:rFonts w:hint="eastAsia" w:ascii="仿宋" w:hAnsi="仿宋" w:eastAsia="仿宋"/>
              <w:szCs w:val="32"/>
            </w:rPr>
            <w:t>9年本年收入合计140.28万元，其中：一般公共预算财政拨款收入140.28万元，占100</w:t>
          </w:r>
          <w:r>
            <w:rPr>
              <w:rFonts w:ascii="仿宋" w:hAnsi="仿宋" w:eastAsia="仿宋"/>
              <w:szCs w:val="32"/>
            </w:rPr>
            <w:t>%</w:t>
          </w:r>
          <w:r>
            <w:rPr>
              <w:rFonts w:hint="eastAsia" w:ascii="仿宋" w:hAnsi="仿宋" w:eastAsia="仿宋"/>
              <w:szCs w:val="32"/>
            </w:rPr>
            <w:t>；政府性基金预算财政拨款收入0万元，占0</w:t>
          </w:r>
          <w:r>
            <w:rPr>
              <w:rFonts w:ascii="仿宋" w:hAnsi="仿宋" w:eastAsia="仿宋"/>
              <w:szCs w:val="32"/>
            </w:rPr>
            <w:t>%</w:t>
          </w:r>
          <w:r>
            <w:rPr>
              <w:rFonts w:hint="eastAsia" w:ascii="仿宋" w:hAnsi="仿宋" w:eastAsia="仿宋"/>
              <w:szCs w:val="32"/>
            </w:rPr>
            <w:t>；上级补助收入0万元，占0</w:t>
          </w:r>
          <w:r>
            <w:rPr>
              <w:rFonts w:ascii="仿宋" w:hAnsi="仿宋" w:eastAsia="仿宋"/>
              <w:szCs w:val="32"/>
            </w:rPr>
            <w:t>%</w:t>
          </w:r>
          <w:r>
            <w:rPr>
              <w:rFonts w:hint="eastAsia" w:ascii="仿宋" w:hAnsi="仿宋" w:eastAsia="仿宋"/>
              <w:szCs w:val="32"/>
            </w:rPr>
            <w:t>；事业收入0万元，占0</w:t>
          </w:r>
          <w:r>
            <w:rPr>
              <w:rFonts w:ascii="仿宋" w:hAnsi="仿宋" w:eastAsia="仿宋"/>
              <w:szCs w:val="32"/>
            </w:rPr>
            <w:t>%</w:t>
          </w:r>
          <w:r>
            <w:rPr>
              <w:rFonts w:hint="eastAsia" w:ascii="仿宋" w:hAnsi="仿宋" w:eastAsia="仿宋"/>
              <w:szCs w:val="32"/>
            </w:rPr>
            <w:t>；经营收入0万元，占0</w:t>
          </w:r>
          <w:r>
            <w:rPr>
              <w:rFonts w:ascii="仿宋" w:hAnsi="仿宋" w:eastAsia="仿宋"/>
              <w:szCs w:val="32"/>
            </w:rPr>
            <w:t>%</w:t>
          </w:r>
          <w:r>
            <w:rPr>
              <w:rFonts w:hint="eastAsia" w:ascii="仿宋" w:hAnsi="仿宋" w:eastAsia="仿宋"/>
              <w:szCs w:val="32"/>
            </w:rPr>
            <w:t>；附属单位上缴收入0万元，占0</w:t>
          </w:r>
          <w:r>
            <w:rPr>
              <w:rFonts w:ascii="仿宋" w:hAnsi="仿宋" w:eastAsia="仿宋"/>
              <w:szCs w:val="32"/>
            </w:rPr>
            <w:t>%</w:t>
          </w:r>
          <w:r>
            <w:rPr>
              <w:rFonts w:hint="eastAsia" w:ascii="仿宋" w:hAnsi="仿宋" w:eastAsia="仿宋"/>
              <w:szCs w:val="32"/>
            </w:rPr>
            <w:t>；其他收入0万元，占0</w:t>
          </w:r>
          <w:r>
            <w:rPr>
              <w:rFonts w:ascii="仿宋" w:hAnsi="仿宋" w:eastAsia="仿宋"/>
              <w:szCs w:val="32"/>
            </w:rPr>
            <w:t>%</w:t>
          </w:r>
          <w:r>
            <w:rPr>
              <w:rFonts w:hint="eastAsia" w:ascii="仿宋" w:hAnsi="仿宋" w:eastAsia="仿宋"/>
              <w:szCs w:val="32"/>
            </w:rPr>
            <w:t>。</w:t>
          </w:r>
          <w:r>
            <w:tab/>
          </w:r>
          <w:r>
            <w:fldChar w:fldCharType="begin"/>
          </w:r>
          <w:r>
            <w:instrText xml:space="preserve"> PAGEREF _Toc26542 </w:instrText>
          </w:r>
          <w:r>
            <w:fldChar w:fldCharType="separate"/>
          </w:r>
          <w:r>
            <w:t>12</w:t>
          </w:r>
          <w:r>
            <w:fldChar w:fldCharType="end"/>
          </w:r>
          <w:r>
            <w:fldChar w:fldCharType="end"/>
          </w:r>
        </w:p>
        <w:p>
          <w:pPr>
            <w:pStyle w:val="13"/>
            <w:tabs>
              <w:tab w:val="right" w:leader="dot" w:pos="8306"/>
              <w:tab w:val="clear" w:pos="8296"/>
            </w:tabs>
          </w:pPr>
          <w:r>
            <w:fldChar w:fldCharType="begin"/>
          </w:r>
          <w:r>
            <w:instrText xml:space="preserve"> HYPERLINK \l _Toc14439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_Toc14439 </w:instrText>
          </w:r>
          <w:r>
            <w:fldChar w:fldCharType="separate"/>
          </w:r>
          <w:r>
            <w:t>13</w:t>
          </w:r>
          <w:r>
            <w:fldChar w:fldCharType="end"/>
          </w:r>
          <w:r>
            <w:fldChar w:fldCharType="end"/>
          </w:r>
        </w:p>
        <w:p>
          <w:pPr>
            <w:pStyle w:val="13"/>
            <w:tabs>
              <w:tab w:val="right" w:leader="dot" w:pos="8306"/>
              <w:tab w:val="clear" w:pos="8296"/>
            </w:tabs>
          </w:pPr>
          <w:r>
            <w:fldChar w:fldCharType="begin"/>
          </w:r>
          <w:r>
            <w:instrText xml:space="preserve"> HYPERLINK \l _Toc29830 </w:instrText>
          </w:r>
          <w:r>
            <w:fldChar w:fldCharType="separate"/>
          </w:r>
          <w:r>
            <w:rPr>
              <w:rFonts w:ascii="仿宋" w:hAnsi="仿宋" w:eastAsia="仿宋"/>
              <w:szCs w:val="32"/>
            </w:rPr>
            <w:t>201</w:t>
          </w:r>
          <w:r>
            <w:rPr>
              <w:rFonts w:hint="eastAsia" w:ascii="仿宋" w:hAnsi="仿宋" w:eastAsia="仿宋"/>
              <w:szCs w:val="32"/>
            </w:rPr>
            <w:t>9年本年支出合计127.46万元，其中：基本支出102.19万元，占80.17</w:t>
          </w:r>
          <w:r>
            <w:rPr>
              <w:rFonts w:ascii="仿宋" w:hAnsi="仿宋" w:eastAsia="仿宋"/>
              <w:szCs w:val="32"/>
            </w:rPr>
            <w:t>%</w:t>
          </w:r>
          <w:r>
            <w:rPr>
              <w:rFonts w:hint="eastAsia" w:ascii="仿宋" w:hAnsi="仿宋" w:eastAsia="仿宋"/>
              <w:szCs w:val="32"/>
            </w:rPr>
            <w:t>；项目支出25.28万元，占19.83</w:t>
          </w:r>
          <w:r>
            <w:rPr>
              <w:rFonts w:ascii="仿宋" w:hAnsi="仿宋" w:eastAsia="仿宋"/>
              <w:szCs w:val="32"/>
            </w:rPr>
            <w:t>%</w:t>
          </w:r>
          <w:r>
            <w:rPr>
              <w:rFonts w:hint="eastAsia" w:ascii="仿宋" w:hAnsi="仿宋" w:eastAsia="仿宋"/>
              <w:szCs w:val="32"/>
            </w:rPr>
            <w:t>；上缴上级支出0万元，占0</w:t>
          </w:r>
          <w:r>
            <w:rPr>
              <w:rFonts w:ascii="仿宋" w:hAnsi="仿宋" w:eastAsia="仿宋"/>
              <w:szCs w:val="32"/>
            </w:rPr>
            <w:t>%</w:t>
          </w:r>
          <w:r>
            <w:rPr>
              <w:rFonts w:hint="eastAsia" w:ascii="仿宋" w:hAnsi="仿宋" w:eastAsia="仿宋"/>
              <w:szCs w:val="32"/>
            </w:rPr>
            <w:t>；经营支出0万元，占0</w:t>
          </w:r>
          <w:r>
            <w:rPr>
              <w:rFonts w:ascii="仿宋" w:hAnsi="仿宋" w:eastAsia="仿宋"/>
              <w:szCs w:val="32"/>
            </w:rPr>
            <w:t>%</w:t>
          </w:r>
          <w:r>
            <w:rPr>
              <w:rFonts w:hint="eastAsia" w:ascii="仿宋" w:hAnsi="仿宋" w:eastAsia="仿宋"/>
              <w:szCs w:val="32"/>
            </w:rPr>
            <w:t>；对附属单位补助支出0万元，占0</w:t>
          </w:r>
          <w:r>
            <w:rPr>
              <w:rFonts w:ascii="仿宋" w:hAnsi="仿宋" w:eastAsia="仿宋"/>
              <w:szCs w:val="32"/>
            </w:rPr>
            <w:t>%</w:t>
          </w:r>
          <w:r>
            <w:rPr>
              <w:rFonts w:hint="eastAsia" w:ascii="仿宋" w:hAnsi="仿宋" w:eastAsia="仿宋"/>
              <w:szCs w:val="32"/>
            </w:rPr>
            <w:t>。</w:t>
          </w:r>
          <w:r>
            <w:tab/>
          </w:r>
          <w:r>
            <w:fldChar w:fldCharType="begin"/>
          </w:r>
          <w:r>
            <w:instrText xml:space="preserve"> PAGEREF _Toc29830 </w:instrText>
          </w:r>
          <w:r>
            <w:fldChar w:fldCharType="separate"/>
          </w:r>
          <w:r>
            <w:t>13</w:t>
          </w:r>
          <w:r>
            <w:fldChar w:fldCharType="end"/>
          </w:r>
          <w:r>
            <w:fldChar w:fldCharType="end"/>
          </w:r>
        </w:p>
        <w:p>
          <w:pPr>
            <w:pStyle w:val="13"/>
            <w:tabs>
              <w:tab w:val="right" w:leader="dot" w:pos="8306"/>
              <w:tab w:val="clear" w:pos="8296"/>
            </w:tabs>
          </w:pPr>
          <w:r>
            <w:fldChar w:fldCharType="begin"/>
          </w:r>
          <w:r>
            <w:instrText xml:space="preserve"> HYPERLINK \l _Toc30283 </w:instrText>
          </w:r>
          <w:r>
            <w:fldChar w:fldCharType="separate"/>
          </w:r>
          <w:r>
            <w:rPr>
              <w:rFonts w:hint="eastAsia" w:ascii="仿宋" w:hAnsi="仿宋" w:eastAsia="仿宋"/>
              <w:szCs w:val="32"/>
            </w:rPr>
            <w:t>（图3：支出决算结构图）</w:t>
          </w:r>
          <w:r>
            <w:tab/>
          </w:r>
          <w:r>
            <w:fldChar w:fldCharType="begin"/>
          </w:r>
          <w:r>
            <w:instrText xml:space="preserve"> PAGEREF _Toc30283 </w:instrText>
          </w:r>
          <w:r>
            <w:fldChar w:fldCharType="separate"/>
          </w:r>
          <w:r>
            <w:t>13</w:t>
          </w:r>
          <w:r>
            <w:fldChar w:fldCharType="end"/>
          </w:r>
          <w:r>
            <w:fldChar w:fldCharType="end"/>
          </w:r>
        </w:p>
        <w:p>
          <w:pPr>
            <w:pStyle w:val="13"/>
            <w:tabs>
              <w:tab w:val="right" w:leader="dot" w:pos="8306"/>
              <w:tab w:val="clear" w:pos="8296"/>
            </w:tabs>
          </w:pPr>
          <w:r>
            <w:fldChar w:fldCharType="begin"/>
          </w:r>
          <w:r>
            <w:instrText xml:space="preserve"> HYPERLINK \l _Toc6791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_Toc6791 </w:instrText>
          </w:r>
          <w:r>
            <w:fldChar w:fldCharType="separate"/>
          </w:r>
          <w:r>
            <w:t>13</w:t>
          </w:r>
          <w:r>
            <w:fldChar w:fldCharType="end"/>
          </w:r>
          <w:r>
            <w:fldChar w:fldCharType="end"/>
          </w:r>
        </w:p>
        <w:p>
          <w:pPr>
            <w:pStyle w:val="13"/>
            <w:tabs>
              <w:tab w:val="right" w:leader="dot" w:pos="8306"/>
              <w:tab w:val="clear" w:pos="8296"/>
            </w:tabs>
          </w:pPr>
          <w:r>
            <w:fldChar w:fldCharType="begin"/>
          </w:r>
          <w:r>
            <w:instrText xml:space="preserve"> HYPERLINK \l _Toc22080 </w:instrText>
          </w:r>
          <w:r>
            <w:fldChar w:fldCharType="separate"/>
          </w:r>
          <w:r>
            <w:rPr>
              <w:rFonts w:hint="eastAsia" w:ascii="仿宋" w:hAnsi="仿宋" w:eastAsia="仿宋"/>
              <w:szCs w:val="32"/>
            </w:rPr>
            <w:t>（图4：财政拨款收、支决算总计变动情况）</w:t>
          </w:r>
          <w:r>
            <w:tab/>
          </w:r>
          <w:r>
            <w:fldChar w:fldCharType="begin"/>
          </w:r>
          <w:r>
            <w:instrText xml:space="preserve"> PAGEREF _Toc22080 </w:instrText>
          </w:r>
          <w:r>
            <w:fldChar w:fldCharType="separate"/>
          </w:r>
          <w:r>
            <w:t>14</w:t>
          </w:r>
          <w:r>
            <w:fldChar w:fldCharType="end"/>
          </w:r>
          <w:r>
            <w:fldChar w:fldCharType="end"/>
          </w:r>
        </w:p>
        <w:p>
          <w:pPr>
            <w:pStyle w:val="13"/>
            <w:tabs>
              <w:tab w:val="right" w:leader="dot" w:pos="8306"/>
              <w:tab w:val="clear" w:pos="8296"/>
            </w:tabs>
          </w:pPr>
          <w:r>
            <w:fldChar w:fldCharType="begin"/>
          </w:r>
          <w:r>
            <w:instrText xml:space="preserve"> HYPERLINK \l _Toc29754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_Toc29754 </w:instrText>
          </w:r>
          <w:r>
            <w:fldChar w:fldCharType="separate"/>
          </w:r>
          <w:r>
            <w:t>14</w:t>
          </w:r>
          <w:r>
            <w:fldChar w:fldCharType="end"/>
          </w:r>
          <w:r>
            <w:fldChar w:fldCharType="end"/>
          </w:r>
        </w:p>
        <w:p>
          <w:pPr>
            <w:pStyle w:val="8"/>
            <w:tabs>
              <w:tab w:val="right" w:leader="dot" w:pos="8306"/>
              <w:tab w:val="clear" w:pos="8296"/>
            </w:tabs>
          </w:pPr>
          <w:r>
            <w:fldChar w:fldCharType="begin"/>
          </w:r>
          <w:r>
            <w:instrText xml:space="preserve"> HYPERLINK \l _Toc23020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_Toc23020 </w:instrText>
          </w:r>
          <w:r>
            <w:fldChar w:fldCharType="separate"/>
          </w:r>
          <w:r>
            <w:t>14</w:t>
          </w:r>
          <w:r>
            <w:fldChar w:fldCharType="end"/>
          </w:r>
          <w:r>
            <w:fldChar w:fldCharType="end"/>
          </w:r>
        </w:p>
        <w:p>
          <w:pPr>
            <w:pStyle w:val="8"/>
            <w:tabs>
              <w:tab w:val="right" w:leader="dot" w:pos="8306"/>
              <w:tab w:val="clear" w:pos="8296"/>
            </w:tabs>
          </w:pPr>
          <w:r>
            <w:fldChar w:fldCharType="begin"/>
          </w:r>
          <w:r>
            <w:instrText xml:space="preserve"> HYPERLINK \l _Toc25124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_Toc25124 </w:instrText>
          </w:r>
          <w:r>
            <w:fldChar w:fldCharType="separate"/>
          </w:r>
          <w:r>
            <w:t>15</w:t>
          </w:r>
          <w:r>
            <w:fldChar w:fldCharType="end"/>
          </w:r>
          <w:r>
            <w:fldChar w:fldCharType="end"/>
          </w:r>
        </w:p>
        <w:p>
          <w:pPr>
            <w:pStyle w:val="8"/>
            <w:tabs>
              <w:tab w:val="right" w:leader="dot" w:pos="8306"/>
              <w:tab w:val="clear" w:pos="8296"/>
            </w:tabs>
          </w:pPr>
          <w:r>
            <w:fldChar w:fldCharType="begin"/>
          </w:r>
          <w:r>
            <w:instrText xml:space="preserve"> HYPERLINK \l _Toc29951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_Toc29951 </w:instrText>
          </w:r>
          <w:r>
            <w:fldChar w:fldCharType="separate"/>
          </w:r>
          <w:r>
            <w:t>15</w:t>
          </w:r>
          <w:r>
            <w:fldChar w:fldCharType="end"/>
          </w:r>
          <w:r>
            <w:fldChar w:fldCharType="end"/>
          </w:r>
        </w:p>
        <w:p>
          <w:pPr>
            <w:pStyle w:val="8"/>
            <w:tabs>
              <w:tab w:val="right" w:leader="dot" w:pos="8306"/>
              <w:tab w:val="clear" w:pos="8296"/>
            </w:tabs>
          </w:pPr>
          <w:r>
            <w:fldChar w:fldCharType="begin"/>
          </w:r>
          <w:r>
            <w:instrText xml:space="preserve"> HYPERLINK \l _Toc29589 </w:instrText>
          </w:r>
          <w:r>
            <w:fldChar w:fldCharType="separate"/>
          </w:r>
          <w:r>
            <w:rPr>
              <w:rFonts w:hint="eastAsia" w:ascii="仿宋" w:hAnsi="仿宋" w:eastAsia="仿宋"/>
              <w:szCs w:val="32"/>
            </w:rPr>
            <w:t>2019年般公共预算支出决算数为123.98万元，</w:t>
          </w:r>
          <w:r>
            <w:rPr>
              <w:rFonts w:hint="eastAsia" w:ascii="仿宋" w:hAnsi="仿宋" w:eastAsia="仿宋"/>
              <w:bCs/>
              <w:szCs w:val="32"/>
            </w:rPr>
            <w:t>完成预算82.08</w:t>
          </w:r>
          <w:r>
            <w:rPr>
              <w:rFonts w:ascii="仿宋" w:hAnsi="仿宋" w:eastAsia="仿宋"/>
              <w:bCs/>
              <w:szCs w:val="32"/>
            </w:rPr>
            <w:t>%</w:t>
          </w:r>
          <w:r>
            <w:rPr>
              <w:rFonts w:hint="eastAsia" w:ascii="仿宋" w:hAnsi="仿宋" w:eastAsia="仿宋"/>
              <w:bCs/>
              <w:szCs w:val="32"/>
            </w:rPr>
            <w:t>。其中：</w:t>
          </w:r>
          <w:r>
            <w:tab/>
          </w:r>
          <w:r>
            <w:fldChar w:fldCharType="begin"/>
          </w:r>
          <w:r>
            <w:instrText xml:space="preserve"> PAGEREF _Toc29589 </w:instrText>
          </w:r>
          <w:r>
            <w:fldChar w:fldCharType="separate"/>
          </w:r>
          <w:r>
            <w:t>15</w:t>
          </w:r>
          <w:r>
            <w:fldChar w:fldCharType="end"/>
          </w:r>
          <w:r>
            <w:fldChar w:fldCharType="end"/>
          </w:r>
        </w:p>
        <w:p>
          <w:pPr>
            <w:pStyle w:val="13"/>
            <w:tabs>
              <w:tab w:val="right" w:leader="dot" w:pos="8306"/>
              <w:tab w:val="clear" w:pos="8296"/>
            </w:tabs>
          </w:pPr>
          <w:r>
            <w:fldChar w:fldCharType="begin"/>
          </w:r>
          <w:r>
            <w:instrText xml:space="preserve"> HYPERLINK \l _Toc25931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_Toc25931 </w:instrText>
          </w:r>
          <w:r>
            <w:fldChar w:fldCharType="separate"/>
          </w:r>
          <w:r>
            <w:t>16</w:t>
          </w:r>
          <w:r>
            <w:fldChar w:fldCharType="end"/>
          </w:r>
          <w:r>
            <w:fldChar w:fldCharType="end"/>
          </w:r>
        </w:p>
        <w:p>
          <w:pPr>
            <w:pStyle w:val="13"/>
            <w:tabs>
              <w:tab w:val="right" w:leader="dot" w:pos="8306"/>
              <w:tab w:val="clear" w:pos="8296"/>
            </w:tabs>
          </w:pPr>
          <w:r>
            <w:fldChar w:fldCharType="begin"/>
          </w:r>
          <w:r>
            <w:instrText xml:space="preserve"> HYPERLINK \l _Toc20209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_Toc20209 </w:instrText>
          </w:r>
          <w:r>
            <w:fldChar w:fldCharType="separate"/>
          </w:r>
          <w:r>
            <w:t>17</w:t>
          </w:r>
          <w:r>
            <w:fldChar w:fldCharType="end"/>
          </w:r>
          <w:r>
            <w:fldChar w:fldCharType="end"/>
          </w:r>
        </w:p>
        <w:p>
          <w:pPr>
            <w:pStyle w:val="8"/>
            <w:tabs>
              <w:tab w:val="right" w:leader="dot" w:pos="8306"/>
              <w:tab w:val="clear" w:pos="8296"/>
            </w:tabs>
          </w:pPr>
          <w:r>
            <w:fldChar w:fldCharType="begin"/>
          </w:r>
          <w:r>
            <w:instrText xml:space="preserve"> HYPERLINK \l _Toc24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_Toc24 </w:instrText>
          </w:r>
          <w:r>
            <w:fldChar w:fldCharType="separate"/>
          </w:r>
          <w:r>
            <w:t>17</w:t>
          </w:r>
          <w:r>
            <w:fldChar w:fldCharType="end"/>
          </w:r>
          <w:r>
            <w:fldChar w:fldCharType="end"/>
          </w:r>
        </w:p>
        <w:p>
          <w:pPr>
            <w:pStyle w:val="8"/>
            <w:tabs>
              <w:tab w:val="right" w:leader="dot" w:pos="8306"/>
              <w:tab w:val="clear" w:pos="8296"/>
            </w:tabs>
          </w:pPr>
          <w:r>
            <w:fldChar w:fldCharType="begin"/>
          </w:r>
          <w:r>
            <w:instrText xml:space="preserve"> HYPERLINK \l _Toc25355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_Toc25355 </w:instrText>
          </w:r>
          <w:r>
            <w:fldChar w:fldCharType="separate"/>
          </w:r>
          <w:r>
            <w:t>17</w:t>
          </w:r>
          <w:r>
            <w:fldChar w:fldCharType="end"/>
          </w:r>
          <w:r>
            <w:fldChar w:fldCharType="end"/>
          </w:r>
        </w:p>
        <w:p>
          <w:pPr>
            <w:pStyle w:val="13"/>
            <w:tabs>
              <w:tab w:val="right" w:leader="dot" w:pos="8306"/>
              <w:tab w:val="clear" w:pos="8296"/>
            </w:tabs>
          </w:pPr>
          <w:r>
            <w:fldChar w:fldCharType="begin"/>
          </w:r>
          <w:r>
            <w:instrText xml:space="preserve"> HYPERLINK \l _Toc21742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_Toc21742 </w:instrText>
          </w:r>
          <w:r>
            <w:fldChar w:fldCharType="separate"/>
          </w:r>
          <w:r>
            <w:t>18</w:t>
          </w:r>
          <w:r>
            <w:fldChar w:fldCharType="end"/>
          </w:r>
          <w:r>
            <w:fldChar w:fldCharType="end"/>
          </w:r>
        </w:p>
        <w:p>
          <w:pPr>
            <w:pStyle w:val="13"/>
            <w:tabs>
              <w:tab w:val="right" w:leader="dot" w:pos="8306"/>
              <w:tab w:val="clear" w:pos="8296"/>
            </w:tabs>
          </w:pPr>
          <w:r>
            <w:fldChar w:fldCharType="begin"/>
          </w:r>
          <w:r>
            <w:instrText xml:space="preserve"> HYPERLINK \l _Toc30018 </w:instrText>
          </w:r>
          <w:r>
            <w:fldChar w:fldCharType="separate"/>
          </w:r>
          <w:r>
            <w:rPr>
              <w:rFonts w:hint="eastAsia" w:ascii="黑体" w:hAnsi="黑体" w:eastAsia="黑体"/>
            </w:rPr>
            <w:t>九、 国有资本经营预算支出决算情况说明</w:t>
          </w:r>
          <w:r>
            <w:tab/>
          </w:r>
          <w:r>
            <w:fldChar w:fldCharType="begin"/>
          </w:r>
          <w:r>
            <w:instrText xml:space="preserve"> PAGEREF _Toc30018 </w:instrText>
          </w:r>
          <w:r>
            <w:fldChar w:fldCharType="separate"/>
          </w:r>
          <w:r>
            <w:t>18</w:t>
          </w:r>
          <w:r>
            <w:fldChar w:fldCharType="end"/>
          </w:r>
          <w:r>
            <w:fldChar w:fldCharType="end"/>
          </w:r>
        </w:p>
        <w:p>
          <w:pPr>
            <w:pStyle w:val="13"/>
            <w:tabs>
              <w:tab w:val="right" w:leader="dot" w:pos="8306"/>
              <w:tab w:val="clear" w:pos="8296"/>
            </w:tabs>
          </w:pPr>
          <w:r>
            <w:fldChar w:fldCharType="begin"/>
          </w:r>
          <w:r>
            <w:instrText xml:space="preserve"> HYPERLINK \l _Toc8127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_Toc8127 </w:instrText>
          </w:r>
          <w:r>
            <w:fldChar w:fldCharType="separate"/>
          </w:r>
          <w:r>
            <w:t>18</w:t>
          </w:r>
          <w:r>
            <w:fldChar w:fldCharType="end"/>
          </w:r>
          <w:r>
            <w:fldChar w:fldCharType="end"/>
          </w:r>
        </w:p>
        <w:p>
          <w:pPr>
            <w:pStyle w:val="8"/>
            <w:tabs>
              <w:tab w:val="right" w:leader="dot" w:pos="8306"/>
              <w:tab w:val="clear" w:pos="8296"/>
            </w:tabs>
          </w:pPr>
          <w:r>
            <w:fldChar w:fldCharType="begin"/>
          </w:r>
          <w:r>
            <w:instrText xml:space="preserve"> HYPERLINK \l _Toc30090 </w:instrText>
          </w:r>
          <w:r>
            <w:fldChar w:fldCharType="separate"/>
          </w:r>
          <w:r>
            <w:rPr>
              <w:rFonts w:hint="eastAsia" w:ascii="仿宋" w:hAnsi="仿宋" w:eastAsia="仿宋"/>
              <w:szCs w:val="32"/>
            </w:rPr>
            <w:t>（一）机关运行经费支出情况</w:t>
          </w:r>
          <w:r>
            <w:tab/>
          </w:r>
          <w:r>
            <w:fldChar w:fldCharType="begin"/>
          </w:r>
          <w:r>
            <w:instrText xml:space="preserve"> PAGEREF _Toc30090 </w:instrText>
          </w:r>
          <w:r>
            <w:fldChar w:fldCharType="separate"/>
          </w:r>
          <w:r>
            <w:t>18</w:t>
          </w:r>
          <w:r>
            <w:fldChar w:fldCharType="end"/>
          </w:r>
          <w:r>
            <w:fldChar w:fldCharType="end"/>
          </w:r>
        </w:p>
        <w:p>
          <w:pPr>
            <w:pStyle w:val="8"/>
            <w:tabs>
              <w:tab w:val="right" w:leader="dot" w:pos="8306"/>
              <w:tab w:val="clear" w:pos="8296"/>
            </w:tabs>
          </w:pPr>
          <w:r>
            <w:fldChar w:fldCharType="begin"/>
          </w:r>
          <w:r>
            <w:instrText xml:space="preserve"> HYPERLINK \l _Toc19798 </w:instrText>
          </w:r>
          <w:r>
            <w:fldChar w:fldCharType="separate"/>
          </w:r>
          <w:r>
            <w:rPr>
              <w:rFonts w:hint="eastAsia" w:ascii="仿宋" w:hAnsi="仿宋" w:eastAsia="仿宋"/>
              <w:szCs w:val="32"/>
            </w:rPr>
            <w:t>（二）政府采购支出情况</w:t>
          </w:r>
          <w:r>
            <w:tab/>
          </w:r>
          <w:r>
            <w:fldChar w:fldCharType="begin"/>
          </w:r>
          <w:r>
            <w:instrText xml:space="preserve"> PAGEREF _Toc19798 </w:instrText>
          </w:r>
          <w:r>
            <w:fldChar w:fldCharType="separate"/>
          </w:r>
          <w:r>
            <w:t>18</w:t>
          </w:r>
          <w:r>
            <w:fldChar w:fldCharType="end"/>
          </w:r>
          <w:r>
            <w:fldChar w:fldCharType="end"/>
          </w:r>
        </w:p>
        <w:p>
          <w:pPr>
            <w:pStyle w:val="8"/>
            <w:tabs>
              <w:tab w:val="right" w:leader="dot" w:pos="8306"/>
              <w:tab w:val="clear" w:pos="8296"/>
            </w:tabs>
          </w:pPr>
          <w:r>
            <w:fldChar w:fldCharType="begin"/>
          </w:r>
          <w:r>
            <w:instrText xml:space="preserve"> HYPERLINK \l _Toc28574 </w:instrText>
          </w:r>
          <w:r>
            <w:fldChar w:fldCharType="separate"/>
          </w:r>
          <w:r>
            <w:rPr>
              <w:rFonts w:hint="eastAsia" w:ascii="仿宋" w:hAnsi="仿宋" w:eastAsia="仿宋"/>
              <w:szCs w:val="32"/>
            </w:rPr>
            <w:t>（三）国有资产占有使用情况</w:t>
          </w:r>
          <w:r>
            <w:tab/>
          </w:r>
          <w:r>
            <w:fldChar w:fldCharType="begin"/>
          </w:r>
          <w:r>
            <w:instrText xml:space="preserve"> PAGEREF _Toc28574 </w:instrText>
          </w:r>
          <w:r>
            <w:fldChar w:fldCharType="separate"/>
          </w:r>
          <w:r>
            <w:t>19</w:t>
          </w:r>
          <w:r>
            <w:fldChar w:fldCharType="end"/>
          </w:r>
          <w:r>
            <w:fldChar w:fldCharType="end"/>
          </w:r>
        </w:p>
        <w:p>
          <w:pPr>
            <w:pStyle w:val="8"/>
            <w:tabs>
              <w:tab w:val="right" w:leader="dot" w:pos="8306"/>
              <w:tab w:val="clear" w:pos="8296"/>
            </w:tabs>
          </w:pPr>
          <w:r>
            <w:fldChar w:fldCharType="begin"/>
          </w:r>
          <w:r>
            <w:instrText xml:space="preserve"> HYPERLINK \l _Toc11310 </w:instrText>
          </w:r>
          <w:r>
            <w:fldChar w:fldCharType="separate"/>
          </w:r>
          <w:r>
            <w:rPr>
              <w:rFonts w:hint="eastAsia" w:ascii="仿宋" w:hAnsi="仿宋" w:eastAsia="仿宋"/>
              <w:szCs w:val="32"/>
            </w:rPr>
            <w:t>（四）预算绩效管理情况。</w:t>
          </w:r>
          <w:r>
            <w:tab/>
          </w:r>
          <w:r>
            <w:fldChar w:fldCharType="begin"/>
          </w:r>
          <w:r>
            <w:instrText xml:space="preserve"> PAGEREF _Toc11310 </w:instrText>
          </w:r>
          <w:r>
            <w:fldChar w:fldCharType="separate"/>
          </w:r>
          <w:r>
            <w:t>19</w:t>
          </w:r>
          <w:r>
            <w:fldChar w:fldCharType="end"/>
          </w:r>
          <w:r>
            <w:fldChar w:fldCharType="end"/>
          </w:r>
        </w:p>
        <w:p>
          <w:pPr>
            <w:pStyle w:val="12"/>
            <w:tabs>
              <w:tab w:val="right" w:leader="dot" w:pos="8306"/>
              <w:tab w:val="clear" w:pos="8296"/>
            </w:tabs>
          </w:pPr>
          <w:r>
            <w:fldChar w:fldCharType="begin"/>
          </w:r>
          <w:r>
            <w:instrText xml:space="preserve"> HYPERLINK \l _Toc27382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_Toc27382 </w:instrText>
          </w:r>
          <w:r>
            <w:fldChar w:fldCharType="separate"/>
          </w:r>
          <w:r>
            <w:t>23</w:t>
          </w:r>
          <w:r>
            <w:fldChar w:fldCharType="end"/>
          </w:r>
          <w:r>
            <w:fldChar w:fldCharType="end"/>
          </w:r>
        </w:p>
        <w:p>
          <w:pPr>
            <w:pStyle w:val="12"/>
            <w:tabs>
              <w:tab w:val="right" w:leader="dot" w:pos="8306"/>
              <w:tab w:val="clear" w:pos="8296"/>
            </w:tabs>
          </w:pPr>
          <w:r>
            <w:fldChar w:fldCharType="begin"/>
          </w:r>
          <w:r>
            <w:instrText xml:space="preserve"> HYPERLINK \l _Toc29988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_Toc29988 </w:instrText>
          </w:r>
          <w:r>
            <w:fldChar w:fldCharType="separate"/>
          </w:r>
          <w:r>
            <w:t>24</w:t>
          </w:r>
          <w:r>
            <w:fldChar w:fldCharType="end"/>
          </w:r>
          <w:r>
            <w:fldChar w:fldCharType="end"/>
          </w:r>
        </w:p>
        <w:p>
          <w:pPr>
            <w:pStyle w:val="12"/>
            <w:tabs>
              <w:tab w:val="right" w:leader="dot" w:pos="8306"/>
              <w:tab w:val="clear" w:pos="8296"/>
            </w:tabs>
          </w:pPr>
          <w:r>
            <w:fldChar w:fldCharType="begin"/>
          </w:r>
          <w:r>
            <w:instrText xml:space="preserve"> HYPERLINK \l _Toc22325 </w:instrText>
          </w:r>
          <w:r>
            <w:fldChar w:fldCharType="separate"/>
          </w:r>
          <w:r>
            <w:rPr>
              <w:rFonts w:hint="eastAsia" w:ascii="黑体" w:hAnsi="黑体" w:eastAsia="黑体" w:cs="黑体"/>
              <w:szCs w:val="32"/>
            </w:rPr>
            <w:t>附件1</w:t>
          </w:r>
          <w:r>
            <w:tab/>
          </w:r>
          <w:r>
            <w:fldChar w:fldCharType="begin"/>
          </w:r>
          <w:r>
            <w:instrText xml:space="preserve"> PAGEREF _Toc22325 </w:instrText>
          </w:r>
          <w:r>
            <w:fldChar w:fldCharType="separate"/>
          </w:r>
          <w:r>
            <w:t>25</w:t>
          </w:r>
          <w:r>
            <w:fldChar w:fldCharType="end"/>
          </w:r>
          <w:r>
            <w:fldChar w:fldCharType="end"/>
          </w:r>
        </w:p>
        <w:p>
          <w:pPr>
            <w:pStyle w:val="12"/>
            <w:tabs>
              <w:tab w:val="right" w:leader="dot" w:pos="8306"/>
              <w:tab w:val="clear" w:pos="8296"/>
            </w:tabs>
          </w:pPr>
          <w:r>
            <w:fldChar w:fldCharType="begin"/>
          </w:r>
          <w:r>
            <w:instrText xml:space="preserve"> HYPERLINK \l _Toc29348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_Toc29348 </w:instrText>
          </w:r>
          <w:r>
            <w:fldChar w:fldCharType="separate"/>
          </w:r>
          <w:r>
            <w:t>38</w:t>
          </w:r>
          <w:r>
            <w:fldChar w:fldCharType="end"/>
          </w:r>
          <w:r>
            <w:fldChar w:fldCharType="end"/>
          </w:r>
        </w:p>
        <w:p>
          <w:pPr>
            <w:pStyle w:val="13"/>
            <w:tabs>
              <w:tab w:val="right" w:leader="dot" w:pos="8306"/>
              <w:tab w:val="clear" w:pos="8296"/>
            </w:tabs>
          </w:pPr>
          <w:r>
            <w:fldChar w:fldCharType="begin"/>
          </w:r>
          <w:r>
            <w:instrText xml:space="preserve"> HYPERLINK \l _Toc20769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_Toc20769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_Toc570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_Toc570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_Toc11379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_Toc11379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_Toc19374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_Toc19374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_Toc20728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_Toc20728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_Toc8733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_Toc8733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_Toc11733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_Toc11733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_Toc26277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_Toc26277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_Toc23546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_Toc23546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_Toc16797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_Toc16797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_Toc4348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_Toc4348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_Toc28280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_Toc28280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_Toc19951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_Toc19951 </w:instrText>
          </w:r>
          <w:r>
            <w:fldChar w:fldCharType="separate"/>
          </w:r>
          <w:r>
            <w:t>39</w:t>
          </w:r>
          <w:r>
            <w:fldChar w:fldCharType="end"/>
          </w:r>
          <w:r>
            <w:fldChar w:fldCharType="end"/>
          </w:r>
        </w:p>
        <w:p>
          <w:r>
            <w:fldChar w:fldCharType="end"/>
          </w:r>
        </w:p>
      </w:sdtContent>
    </w:sdt>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600" w:lineRule="exact"/>
        <w:jc w:val="center"/>
        <w:rPr>
          <w:rFonts w:ascii="宋体" w:hAnsi="宋体"/>
          <w:sz w:val="32"/>
          <w:szCs w:val="32"/>
          <w:lang w:val="zh-CN"/>
        </w:rPr>
      </w:pPr>
      <w:r>
        <w:rPr>
          <w:rFonts w:hint="eastAsia" w:ascii="方正小标宋简体" w:hAnsi="宋体" w:eastAsia="方正小标宋简体"/>
          <w:color w:val="000000"/>
          <w:kern w:val="0"/>
          <w:sz w:val="44"/>
          <w:szCs w:val="44"/>
        </w:rPr>
        <w:t>姐妹宣讲团专项工作</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1.为切实履行维护妇女儿童合法权益的职能作用，在县委、县政府高度重视下，在上级妇联的关心和帮助下，2013年3月由红原县妇联牵头组织的“关爱草原阿妈—姐妹宣讲团”工作队正式成立，并组织协调相关单位深入各乡镇、尼姑寺等开展大型宣传教育活动。以关爱草原母亲工作为平台，结合牧区妇女工作需求，进一步加大妇女维权、妇女保健、传染性疾病预防知识宣讲工作</w:t>
      </w:r>
      <w:r>
        <w:rPr>
          <w:rFonts w:hint="eastAsia" w:ascii="仿宋_GB2312" w:hAnsi="宋体" w:eastAsia="仿宋_GB2312"/>
          <w:sz w:val="32"/>
          <w:szCs w:val="32"/>
          <w:lang w:val="zh-CN"/>
        </w:rPr>
        <w:t>。</w:t>
      </w:r>
    </w:p>
    <w:p>
      <w:pPr>
        <w:spacing w:line="56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该项目完成后，通过开展宣传教育活动，一方面能逐步提高妇女群众的自我维权意识，懂得用法律武器来维护自身合法权益；通过宣传卫生保健知识，能提高了妇女群众卫生保健意识；另一方面妇联组织也能经常深入基层贴近群众，了解到妇女群众所思、所想、所盼、所需，从而为改进妇联的工作方法起到了积极作用。</w:t>
      </w:r>
    </w:p>
    <w:p>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spacing w:line="240" w:lineRule="atLeast"/>
        <w:ind w:firstLine="640"/>
        <w:rPr>
          <w:rFonts w:ascii="仿宋_GB2312" w:hAnsi="仿宋_GB2312" w:eastAsia="仿宋_GB2312" w:cs="仿宋_GB2312"/>
          <w:sz w:val="32"/>
        </w:rPr>
      </w:pPr>
      <w:r>
        <w:rPr>
          <w:rFonts w:hint="eastAsia" w:ascii="仿宋_GB2312" w:hAnsi="仿宋_GB2312" w:eastAsia="仿宋_GB2312" w:cs="仿宋_GB2312"/>
          <w:sz w:val="32"/>
        </w:rPr>
        <w:t>为深入贯彻习近平总书记在同全国妇联新一届领导班子集体谈话时的重要讲话精神和“注重家庭、注重家教、注重家风”的重要指示，发挥妇女在社会生活和家庭生活中的独特作用，推动社会主义核心价值观在家庭落地生根，促进家庭工作与“巾帼脱贫行动”，“乡村振兴行动”深度融合。每年牧闲时，县妇联组织“关爱草原阿妈”姐妹宣讲团深入各乡镇、村（社区）及尼姑寺开展宣讲工作。</w:t>
      </w:r>
    </w:p>
    <w:p>
      <w:pPr>
        <w:spacing w:line="240" w:lineRule="atLeast"/>
        <w:ind w:firstLine="640"/>
        <w:rPr>
          <w:rFonts w:ascii="仿宋_GB2312" w:hAnsi="仿宋_GB2312" w:eastAsia="仿宋_GB2312" w:cs="仿宋_GB2312"/>
          <w:sz w:val="32"/>
        </w:rPr>
      </w:pPr>
      <w:r>
        <w:rPr>
          <w:rFonts w:hint="eastAsia" w:ascii="仿宋_GB2312" w:hAnsi="仿宋_GB2312" w:eastAsia="仿宋_GB2312" w:cs="仿宋_GB2312"/>
          <w:sz w:val="32"/>
        </w:rPr>
        <w:t>宣讲团成员采取宣传图片讲解、身边案例分析等形式，用通俗易懂的日常口语，紧扣“精准扶贫”、“乡村振兴”工作和庆祝新中国成立70周年这一工作主线，着力宣传了以下内容：</w:t>
      </w:r>
      <w:r>
        <w:rPr>
          <w:rFonts w:hint="eastAsia" w:ascii="仿宋_GB2312" w:hAnsi="仿宋_GB2312" w:eastAsia="仿宋_GB2312" w:cs="仿宋_GB2312"/>
          <w:b/>
          <w:bCs/>
          <w:sz w:val="32"/>
        </w:rPr>
        <w:t>一是推进文明习惯进家庭</w:t>
      </w:r>
      <w:r>
        <w:rPr>
          <w:rFonts w:hint="eastAsia" w:ascii="仿宋_GB2312" w:hAnsi="仿宋_GB2312" w:eastAsia="仿宋_GB2312" w:cs="仿宋_GB2312"/>
          <w:sz w:val="32"/>
        </w:rPr>
        <w:t>：深化做实“巾帼脱贫行动”、“乡村振兴巾帼行动”，将其贯穿融入家庭、家教、家风建设的全过程和各方面，通过典型示范，帮助广大贫困家庭逐步养成好习惯。</w:t>
      </w:r>
      <w:r>
        <w:rPr>
          <w:rFonts w:hint="eastAsia" w:ascii="仿宋_GB2312" w:hAnsi="仿宋_GB2312" w:eastAsia="仿宋_GB2312" w:cs="仿宋_GB2312"/>
          <w:b/>
          <w:bCs/>
          <w:sz w:val="32"/>
        </w:rPr>
        <w:t>二是推进科学家教进家庭</w:t>
      </w:r>
      <w:r>
        <w:rPr>
          <w:rFonts w:hint="eastAsia" w:ascii="仿宋_GB2312" w:hAnsi="仿宋_GB2312" w:eastAsia="仿宋_GB2312" w:cs="仿宋_GB2312"/>
          <w:sz w:val="32"/>
        </w:rPr>
        <w:t>：针对全县家教意识落后、家庭教育力量薄弱等突出问题，大力普及科学育儿教子、健康养护知识，提高广大家长家教责任意识和科学家教能力，帮助孩子扣好人生第一粒扣子，阻断贫困代际传递。</w:t>
      </w:r>
      <w:r>
        <w:rPr>
          <w:rFonts w:hint="eastAsia" w:ascii="仿宋_GB2312" w:hAnsi="仿宋_GB2312" w:eastAsia="仿宋_GB2312" w:cs="仿宋_GB2312"/>
          <w:b/>
          <w:bCs/>
          <w:sz w:val="32"/>
        </w:rPr>
        <w:t>三是推进优良家风进家庭</w:t>
      </w:r>
      <w:r>
        <w:rPr>
          <w:rFonts w:hint="eastAsia" w:ascii="仿宋_GB2312" w:hAnsi="仿宋_GB2312" w:eastAsia="仿宋_GB2312" w:cs="仿宋_GB2312"/>
          <w:sz w:val="32"/>
        </w:rPr>
        <w:t xml:space="preserve">：充分发挥妇女在树立良好家风方面的独特作用，大力弘扬社会主义核心价值观、藏族优秀传统文化，带动广大家庭和妇女群众追求向上向善、共建共享的健康生活，形成良好社会风尚。  </w:t>
      </w:r>
    </w:p>
    <w:p>
      <w:pPr>
        <w:spacing w:line="240" w:lineRule="atLeast"/>
        <w:ind w:firstLine="640"/>
        <w:rPr>
          <w:rFonts w:ascii="仿宋_GB2312" w:hAnsi="仿宋_GB2312" w:eastAsia="仿宋_GB2312" w:cs="仿宋_GB2312"/>
          <w:sz w:val="32"/>
        </w:rPr>
      </w:pPr>
      <w:r>
        <w:rPr>
          <w:rFonts w:hint="eastAsia" w:ascii="仿宋_GB2312" w:hAnsi="仿宋_GB2312" w:eastAsia="仿宋_GB2312" w:cs="仿宋_GB2312"/>
          <w:sz w:val="32"/>
        </w:rPr>
        <w:t>还重点宣传了习近平总书记在同全国妇联新一届领导班子集体谈话时的重要讲话精神，与妇女切身相关的《婚姻法》《妇女权益保障法》《反家庭暴力法》《环境保护法》等法律法规常识，以及家教家风、妇女道德、个人品德和妇女病防治常识，讲解了“两癌”防治知识、计划生育节育、艾滋病、结核病等传染性疾病预防知识及相关惠民政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项目绩效自评采用项目完成、项目效益和项目满意度方法进行。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项目资金申报严格按照项目管理办法、批复及预算调整等按照财政相关规定。</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楷体_GB2312" w:hAnsi="宋体" w:eastAsia="楷体_GB2312"/>
          <w:sz w:val="32"/>
          <w:szCs w:val="32"/>
          <w:lang w:val="zh-CN"/>
        </w:rPr>
      </w:pPr>
      <w:r>
        <w:rPr>
          <w:rFonts w:hint="eastAsia" w:ascii="楷体_GB2312" w:hAnsi="宋体" w:eastAsia="楷体_GB2312"/>
          <w:sz w:val="32"/>
          <w:szCs w:val="32"/>
          <w:lang w:val="zh-CN"/>
        </w:rPr>
        <w:t>1．资金计划。</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申请县级财政资金。</w:t>
      </w:r>
    </w:p>
    <w:p>
      <w:pPr>
        <w:adjustRightInd w:val="0"/>
        <w:snapToGrid w:val="0"/>
        <w:spacing w:line="600" w:lineRule="exact"/>
        <w:ind w:firstLine="720"/>
        <w:rPr>
          <w:rFonts w:ascii="楷体_GB2312" w:hAnsi="宋体" w:eastAsia="楷体_GB2312"/>
          <w:sz w:val="32"/>
          <w:szCs w:val="32"/>
          <w:lang w:val="zh-CN"/>
        </w:rPr>
      </w:pPr>
      <w:r>
        <w:rPr>
          <w:rFonts w:hint="eastAsia" w:ascii="楷体_GB2312" w:hAnsi="宋体" w:eastAsia="楷体_GB2312"/>
          <w:sz w:val="32"/>
          <w:szCs w:val="32"/>
          <w:lang w:val="zh-CN"/>
        </w:rPr>
        <w:t>2．资金到位。</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按照当年的安排，该项目一次性拨付资金9万，已全部到位。</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p>
    <w:p>
      <w:pPr>
        <w:widowControl/>
        <w:shd w:val="clear" w:color="auto" w:fill="FFFFFF"/>
        <w:spacing w:line="560" w:lineRule="atLeast"/>
        <w:ind w:firstLine="640"/>
        <w:jc w:val="left"/>
        <w:rPr>
          <w:rFonts w:ascii="仿宋_GB2312" w:hAnsi="宋体" w:eastAsia="仿宋_GB2312"/>
          <w:sz w:val="32"/>
          <w:szCs w:val="32"/>
          <w:lang w:val="zh-CN"/>
        </w:rPr>
      </w:pPr>
      <w:r>
        <w:rPr>
          <w:rFonts w:hint="eastAsia" w:ascii="仿宋_GB2312" w:hAnsi="宋体" w:eastAsia="仿宋_GB2312"/>
          <w:sz w:val="32"/>
          <w:szCs w:val="32"/>
          <w:lang w:val="zh-CN"/>
        </w:rPr>
        <w:t>严格项目资金管理。专项立项依据充分。资金分配合理，突出重点，公平公正。没有散小差现象，项目资金专款专用。</w:t>
      </w:r>
    </w:p>
    <w:p>
      <w:pPr>
        <w:widowControl/>
        <w:shd w:val="clear" w:color="auto" w:fill="FFFFFF"/>
        <w:spacing w:line="560" w:lineRule="atLeast"/>
        <w:jc w:val="left"/>
        <w:rPr>
          <w:rFonts w:ascii="仿宋_GB2312" w:hAnsi="宋体" w:eastAsia="仿宋_GB2312"/>
          <w:sz w:val="32"/>
          <w:szCs w:val="32"/>
          <w:lang w:val="zh-CN"/>
        </w:rPr>
      </w:pPr>
      <w:r>
        <w:rPr>
          <w:rFonts w:hint="eastAsia" w:ascii="仿宋_GB2312" w:hAnsi="宋体" w:eastAsia="仿宋_GB2312"/>
          <w:sz w:val="32"/>
          <w:szCs w:val="32"/>
          <w:lang w:val="zh-CN"/>
        </w:rPr>
        <w:t>资金拨付及时，无滞留、闲置等现象。资金使用方面的问题。资金使用合规，无截留、挪用等现象。资金支付范围、支付标准、支付进度、支付依据合规合法、与预算相符。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总体评价各项目实施单位财务管理制度健全，严格执行财务管理制度，账务处理及时，会计核算规范。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pStyle w:val="26"/>
        <w:numPr>
          <w:ilvl w:val="0"/>
          <w:numId w:val="6"/>
        </w:numPr>
        <w:adjustRightInd w:val="0"/>
        <w:snapToGrid w:val="0"/>
        <w:spacing w:line="600" w:lineRule="exact"/>
        <w:ind w:firstLineChars="0"/>
        <w:rPr>
          <w:rFonts w:ascii="楷体_GB2312" w:hAnsi="宋体" w:eastAsia="楷体_GB2312"/>
          <w:b/>
          <w:sz w:val="32"/>
          <w:szCs w:val="32"/>
          <w:lang w:val="zh-CN"/>
        </w:rPr>
      </w:pPr>
      <w:r>
        <w:rPr>
          <w:rFonts w:hint="eastAsia" w:ascii="楷体_GB2312" w:hAnsi="宋体" w:eastAsia="楷体_GB2312"/>
          <w:b/>
          <w:sz w:val="32"/>
          <w:szCs w:val="32"/>
          <w:lang w:val="zh-CN"/>
        </w:rPr>
        <w:t>项目组织架构及实施流程。</w:t>
      </w:r>
    </w:p>
    <w:p>
      <w:pPr>
        <w:rPr>
          <w:rFonts w:ascii="仿宋_GB2312" w:hAnsi="仿宋_GB2312" w:eastAsia="仿宋_GB2312" w:cs="仿宋_GB2312"/>
          <w:sz w:val="32"/>
          <w:szCs w:val="32"/>
        </w:rPr>
      </w:pPr>
      <w:r>
        <w:rPr>
          <w:lang w:val="zh-CN"/>
        </w:rPr>
        <w:t xml:space="preserve">    </w:t>
      </w:r>
      <w:r>
        <w:rPr>
          <w:rFonts w:hint="eastAsia" w:ascii="仿宋_GB2312" w:hAnsi="宋体" w:eastAsia="仿宋_GB2312"/>
          <w:sz w:val="32"/>
          <w:szCs w:val="32"/>
          <w:lang w:val="zh-CN"/>
        </w:rPr>
        <w:t>为进一步推进</w:t>
      </w:r>
      <w:r>
        <w:rPr>
          <w:rFonts w:ascii="仿宋_GB2312" w:hAnsi="宋体" w:eastAsia="仿宋_GB2312"/>
          <w:sz w:val="32"/>
          <w:szCs w:val="32"/>
          <w:lang w:val="zh-CN"/>
        </w:rPr>
        <w:t>姐妹宣讲团宣讲工作</w:t>
      </w:r>
      <w:r>
        <w:rPr>
          <w:rFonts w:hint="eastAsia" w:ascii="仿宋_GB2312" w:hAnsi="宋体" w:eastAsia="仿宋_GB2312"/>
          <w:sz w:val="32"/>
          <w:szCs w:val="32"/>
          <w:lang w:val="zh-CN"/>
        </w:rPr>
        <w:t>，特成立领导小组</w:t>
      </w:r>
      <w:r>
        <w:rPr>
          <w:rFonts w:ascii="仿宋_GB2312" w:hAnsi="宋体" w:eastAsia="仿宋_GB2312"/>
          <w:sz w:val="32"/>
          <w:szCs w:val="32"/>
          <w:lang w:val="zh-CN"/>
        </w:rPr>
        <w:t>成立领导小组，由县妇联主席任组长，副主席任副组长，姐妹宣讲团成员的领导小组</w:t>
      </w:r>
      <w:r>
        <w:rPr>
          <w:rFonts w:hint="eastAsia" w:ascii="仿宋_GB2312" w:hAnsi="宋体" w:eastAsia="仿宋_GB2312"/>
          <w:sz w:val="32"/>
          <w:szCs w:val="32"/>
          <w:lang w:val="zh-CN"/>
        </w:rPr>
        <w:t>。</w:t>
      </w:r>
      <w:r>
        <w:rPr>
          <w:rFonts w:hint="eastAsia" w:ascii="仿宋_GB2312" w:hAnsi="仿宋_GB2312" w:eastAsia="仿宋_GB2312" w:cs="仿宋_GB2312"/>
          <w:sz w:val="32"/>
          <w:szCs w:val="32"/>
        </w:rPr>
        <w:t>领导小组下设办公室，由李乾同志兼任办公室主任，负责具体相关事宜。项目实施时间在全县牧闲时组织姐妹宣讲团深入各乡镇、村（社区）进行宣讲。</w:t>
      </w:r>
    </w:p>
    <w:p>
      <w:pPr>
        <w:pStyle w:val="2"/>
        <w:ind w:left="1063" w:hanging="643"/>
        <w:rPr>
          <w:rFonts w:hint="default" w:ascii="仿宋_GB2312" w:hAnsi="宋体" w:eastAsia="仿宋_GB2312"/>
          <w:sz w:val="32"/>
          <w:szCs w:val="32"/>
          <w:lang w:val="zh-CN"/>
        </w:rPr>
      </w:pPr>
      <w:r>
        <w:rPr>
          <w:rFonts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严格按照项目管理办法等相关规定管理。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县妇联加强项目管理所采取的监管手段、监管程序、监管工作开展情况。</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240" w:lineRule="atLeast"/>
        <w:ind w:firstLine="640"/>
        <w:rPr>
          <w:rFonts w:ascii="仿宋_GB2312" w:hAnsi="仿宋_GB2312" w:eastAsia="仿宋_GB2312" w:cs="仿宋_GB2312"/>
          <w:sz w:val="32"/>
        </w:rPr>
      </w:pPr>
      <w:r>
        <w:rPr>
          <w:rFonts w:hint="eastAsia" w:ascii="仿宋_GB2312" w:hAnsi="仿宋_GB2312" w:eastAsia="仿宋_GB2312" w:cs="仿宋_GB2312"/>
          <w:sz w:val="32"/>
        </w:rPr>
        <w:t>2019年组织姐妹宣讲团宣讲，今年宣讲受益群众达1000余人，活动发放各种宣传资料1200余份，制作横幅2幅，发放生活用品共计1000余份。</w:t>
      </w:r>
    </w:p>
    <w:p>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60" w:lineRule="exact"/>
        <w:rPr>
          <w:rFonts w:ascii="仿宋_GB2312" w:hAnsi="仿宋_GB2312" w:eastAsia="仿宋_GB2312" w:cs="仿宋_GB2312"/>
          <w:bCs/>
          <w:sz w:val="32"/>
          <w:szCs w:val="32"/>
        </w:rPr>
      </w:pPr>
      <w:r>
        <w:rPr>
          <w:rFonts w:hint="eastAsia" w:ascii="仿宋_GB2312" w:hAnsi="仿宋_GB2312" w:eastAsia="仿宋_GB2312" w:cs="仿宋_GB2312"/>
          <w:sz w:val="32"/>
          <w:szCs w:val="32"/>
        </w:rPr>
        <w:t>深入全县11个乡镇、尼姑寺及群团服务站以召开妇女群众大会的形式开展宣传教育动，发放自制藏汉双语宣传资料，向广大农牧民群众宣传党国家一系列富民惠民政策、《妇女权益保障法》、《未成年人保护法》、《婚姻法》、《反家暴法》、《义务教育法》、《妇女权益保障法》等与其生活密切相关的法律法规知识及传染性（艾滋病）疾病预防知识，自活动开展以来共发放（法律、惠民政策、卫生保健知识）宣传资料8万余份、悬挂横幅35条、制作宣传展板36块。共为妇女群众发放价值35万元的卫生用品，发放避孕药品、安全套等4万余盒。通过开展宣传教育活动，一方面能逐步提高妇女群众的自我维权意识，懂得用法律武器来维护自身合法权益；通过宣传卫生保健知识，能提高了妇女群众卫生保健意识；另一方面妇联组织也能经常深入基层贴近群众，了解到妇女群众所思、所想、所盼、所需，从而为改进妇联的工作方法起到了积极作用。</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60" w:lineRule="exact"/>
        <w:rPr>
          <w:rFonts w:ascii="楷体_GB2312" w:hAnsi="楷体_GB2312" w:eastAsia="楷体_GB2312" w:cs="楷体_GB2312"/>
          <w:b/>
          <w:bCs/>
          <w:sz w:val="32"/>
        </w:rPr>
      </w:pPr>
      <w:r>
        <w:rPr>
          <w:rFonts w:hint="eastAsia" w:ascii="仿宋_GB2312" w:hAnsi="宋体" w:eastAsia="仿宋_GB2312"/>
          <w:sz w:val="32"/>
          <w:szCs w:val="32"/>
          <w:lang w:val="zh-CN"/>
        </w:rPr>
        <w:t>组织姐妹宣讲团在全县各乡镇、村（社区）不少于12的宣讲，</w:t>
      </w:r>
      <w:r>
        <w:rPr>
          <w:rFonts w:hint="eastAsia" w:ascii="仿宋_GB2312" w:hAnsi="仿宋_GB2312" w:eastAsia="仿宋_GB2312" w:cs="仿宋_GB2312"/>
          <w:sz w:val="32"/>
        </w:rPr>
        <w:t>宣讲活动旨在团结引领广大妇女群众感党恩、听党话、跟党走，为脱贫攻坚凝聚强大合力；让广大妇女同胞懂得通过法律手段来维护自身合法权益；引导广大妇女群众“除陋习、树新风”，自觉践行“敬信勤新”美德新思想，并积极</w:t>
      </w:r>
      <w:r>
        <w:rPr>
          <w:rFonts w:hint="eastAsia" w:ascii="仿宋_GB2312" w:hAnsi="仿宋_GB2312" w:eastAsia="仿宋_GB2312"/>
          <w:sz w:val="32"/>
        </w:rPr>
        <w:t>教育和引导广大妇女群众为红原“三地两中心一时代”建设贡献智慧和巾帼力量。</w:t>
      </w:r>
    </w:p>
    <w:p>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1920" w:firstLineChars="600"/>
        <w:rPr>
          <w:rFonts w:ascii="仿宋_GB2312" w:hAnsi="宋体" w:eastAsia="仿宋_GB2312"/>
          <w:sz w:val="32"/>
          <w:szCs w:val="32"/>
          <w:lang w:val="zh-CN"/>
        </w:rPr>
      </w:pPr>
      <w:r>
        <w:rPr>
          <w:rFonts w:hint="eastAsia" w:ascii="仿宋_GB2312" w:hAnsi="宋体" w:eastAsia="仿宋_GB2312"/>
          <w:sz w:val="32"/>
          <w:szCs w:val="32"/>
          <w:lang w:val="zh-CN"/>
        </w:rPr>
        <w:t>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1920" w:firstLineChars="600"/>
        <w:rPr>
          <w:rFonts w:ascii="仿宋_GB2312" w:hAnsi="仿宋_GB2312" w:eastAsia="仿宋_GB2312" w:cs="仿宋_GB2312"/>
          <w:sz w:val="32"/>
          <w:szCs w:val="32"/>
        </w:rPr>
      </w:pPr>
      <w:r>
        <w:rPr>
          <w:rFonts w:hint="eastAsia" w:ascii="仿宋_GB2312" w:hAnsi="宋体" w:eastAsia="仿宋_GB2312"/>
          <w:sz w:val="32"/>
          <w:szCs w:val="32"/>
          <w:lang w:val="zh-CN"/>
        </w:rPr>
        <w:t xml:space="preserve">无 </w:t>
      </w:r>
    </w:p>
    <w:p>
      <w:pPr>
        <w:spacing w:line="600" w:lineRule="exact"/>
        <w:jc w:val="both"/>
        <w:outlineLvl w:val="0"/>
        <w:rPr>
          <w:rFonts w:hint="eastAsia" w:ascii="黑体" w:hAnsi="黑体" w:eastAsia="黑体"/>
          <w:color w:val="000000"/>
          <w:sz w:val="44"/>
          <w:szCs w:val="44"/>
        </w:rPr>
      </w:pPr>
      <w:bookmarkStart w:id="94" w:name="_Toc15396618"/>
    </w:p>
    <w:p>
      <w:pPr>
        <w:spacing w:line="600" w:lineRule="exact"/>
        <w:jc w:val="center"/>
        <w:outlineLvl w:val="0"/>
        <w:rPr>
          <w:rStyle w:val="27"/>
          <w:rFonts w:ascii="黑体" w:hAnsi="黑体" w:eastAsia="黑体"/>
          <w:b w:val="0"/>
        </w:rPr>
      </w:pPr>
      <w:bookmarkStart w:id="95" w:name="_Toc29348"/>
      <w:r>
        <w:rPr>
          <w:rFonts w:hint="eastAsia" w:ascii="黑体" w:hAnsi="黑体" w:eastAsia="黑体"/>
          <w:color w:val="000000"/>
          <w:sz w:val="44"/>
          <w:szCs w:val="44"/>
        </w:rPr>
        <w:t>第</w:t>
      </w:r>
      <w:r>
        <w:rPr>
          <w:rStyle w:val="27"/>
          <w:rFonts w:hint="eastAsia" w:ascii="黑体" w:hAnsi="黑体" w:eastAsia="黑体"/>
          <w:b w:val="0"/>
        </w:rPr>
        <w:t>五部分 附表</w:t>
      </w:r>
      <w:bookmarkEnd w:id="92"/>
      <w:bookmarkEnd w:id="94"/>
      <w:bookmarkEnd w:id="95"/>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96" w:name="_Toc15396619"/>
      <w:bookmarkStart w:id="97" w:name="_Toc20769"/>
      <w:r>
        <w:rPr>
          <w:rFonts w:hint="eastAsia" w:ascii="仿宋" w:hAnsi="仿宋" w:eastAsia="仿宋"/>
          <w:b w:val="0"/>
          <w:color w:val="000000"/>
        </w:rPr>
        <w:t>一、收</w:t>
      </w:r>
      <w:r>
        <w:rPr>
          <w:rStyle w:val="28"/>
          <w:rFonts w:hint="eastAsia" w:ascii="仿宋" w:hAnsi="仿宋" w:eastAsia="仿宋"/>
          <w:b w:val="0"/>
          <w:bCs w:val="0"/>
        </w:rPr>
        <w:t>入支出决算总表</w:t>
      </w:r>
      <w:bookmarkEnd w:id="96"/>
      <w:bookmarkEnd w:id="97"/>
    </w:p>
    <w:p>
      <w:pPr>
        <w:pStyle w:val="4"/>
        <w:rPr>
          <w:rFonts w:ascii="仿宋" w:hAnsi="仿宋" w:eastAsia="仿宋"/>
          <w:color w:val="000000"/>
        </w:rPr>
      </w:pPr>
      <w:bookmarkStart w:id="98" w:name="_Toc570"/>
      <w:bookmarkStart w:id="99"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98"/>
      <w:bookmarkEnd w:id="99"/>
    </w:p>
    <w:p>
      <w:pPr>
        <w:pStyle w:val="4"/>
        <w:rPr>
          <w:rFonts w:ascii="仿宋" w:hAnsi="仿宋" w:eastAsia="仿宋"/>
          <w:color w:val="000000"/>
        </w:rPr>
      </w:pPr>
      <w:bookmarkStart w:id="100" w:name="_Toc11379"/>
      <w:bookmarkStart w:id="101"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00"/>
      <w:bookmarkEnd w:id="101"/>
    </w:p>
    <w:p>
      <w:pPr>
        <w:pStyle w:val="4"/>
        <w:rPr>
          <w:rFonts w:ascii="仿宋" w:hAnsi="仿宋" w:eastAsia="仿宋"/>
          <w:b w:val="0"/>
          <w:color w:val="000000"/>
        </w:rPr>
      </w:pPr>
      <w:bookmarkStart w:id="102" w:name="_Toc19374"/>
      <w:bookmarkStart w:id="103"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02"/>
      <w:bookmarkEnd w:id="103"/>
    </w:p>
    <w:p>
      <w:pPr>
        <w:pStyle w:val="4"/>
        <w:rPr>
          <w:rStyle w:val="28"/>
          <w:rFonts w:ascii="仿宋" w:hAnsi="仿宋" w:eastAsia="仿宋"/>
          <w:b w:val="0"/>
          <w:bCs w:val="0"/>
        </w:rPr>
      </w:pPr>
      <w:bookmarkStart w:id="104" w:name="_Toc20728"/>
      <w:bookmarkStart w:id="105"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04"/>
      <w:bookmarkEnd w:id="105"/>
      <w:bookmarkStart w:id="106" w:name="_Toc15396624"/>
    </w:p>
    <w:p>
      <w:pPr>
        <w:pStyle w:val="4"/>
        <w:rPr>
          <w:rFonts w:ascii="仿宋" w:hAnsi="仿宋" w:eastAsia="仿宋"/>
          <w:color w:val="000000"/>
        </w:rPr>
      </w:pPr>
      <w:bookmarkStart w:id="107" w:name="_Toc8733"/>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06"/>
      <w:bookmarkEnd w:id="107"/>
    </w:p>
    <w:p>
      <w:pPr>
        <w:pStyle w:val="4"/>
        <w:rPr>
          <w:rFonts w:ascii="仿宋" w:hAnsi="仿宋" w:eastAsia="仿宋"/>
          <w:color w:val="000000"/>
        </w:rPr>
      </w:pPr>
      <w:bookmarkStart w:id="108" w:name="_Toc11733"/>
      <w:bookmarkStart w:id="109"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08"/>
      <w:bookmarkEnd w:id="109"/>
    </w:p>
    <w:p>
      <w:pPr>
        <w:pStyle w:val="4"/>
        <w:rPr>
          <w:rFonts w:ascii="仿宋" w:hAnsi="仿宋" w:eastAsia="仿宋"/>
          <w:color w:val="000000"/>
        </w:rPr>
      </w:pPr>
      <w:bookmarkStart w:id="110" w:name="_Toc26277"/>
      <w:bookmarkStart w:id="111"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10"/>
      <w:bookmarkEnd w:id="111"/>
    </w:p>
    <w:p>
      <w:pPr>
        <w:pStyle w:val="4"/>
        <w:rPr>
          <w:rFonts w:ascii="仿宋" w:hAnsi="仿宋" w:eastAsia="仿宋"/>
          <w:color w:val="000000"/>
        </w:rPr>
      </w:pPr>
      <w:bookmarkStart w:id="112" w:name="_Toc23546"/>
      <w:bookmarkStart w:id="113"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12"/>
      <w:bookmarkEnd w:id="113"/>
    </w:p>
    <w:p>
      <w:pPr>
        <w:pStyle w:val="4"/>
        <w:rPr>
          <w:rFonts w:ascii="仿宋" w:hAnsi="仿宋" w:eastAsia="仿宋"/>
          <w:color w:val="000000"/>
        </w:rPr>
      </w:pPr>
      <w:bookmarkStart w:id="114" w:name="_Toc16797"/>
      <w:bookmarkStart w:id="115"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14"/>
      <w:bookmarkEnd w:id="115"/>
    </w:p>
    <w:p>
      <w:pPr>
        <w:pStyle w:val="4"/>
        <w:rPr>
          <w:rFonts w:ascii="仿宋" w:hAnsi="仿宋" w:eastAsia="仿宋"/>
          <w:color w:val="000000"/>
        </w:rPr>
      </w:pPr>
      <w:bookmarkStart w:id="116" w:name="_Toc4348"/>
      <w:bookmarkStart w:id="117"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16"/>
      <w:bookmarkEnd w:id="117"/>
    </w:p>
    <w:p>
      <w:pPr>
        <w:pStyle w:val="4"/>
        <w:rPr>
          <w:rFonts w:ascii="仿宋" w:hAnsi="仿宋" w:eastAsia="仿宋"/>
          <w:color w:val="000000"/>
        </w:rPr>
      </w:pPr>
      <w:bookmarkStart w:id="118" w:name="_Toc28280"/>
      <w:bookmarkStart w:id="119"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18"/>
      <w:bookmarkEnd w:id="119"/>
    </w:p>
    <w:p>
      <w:pPr>
        <w:pStyle w:val="4"/>
        <w:rPr>
          <w:rFonts w:ascii="仿宋" w:hAnsi="仿宋" w:eastAsia="仿宋"/>
          <w:color w:val="000000" w:themeColor="text1"/>
        </w:rPr>
      </w:pPr>
      <w:bookmarkStart w:id="120" w:name="_Toc15396631"/>
      <w:bookmarkStart w:id="121" w:name="_Toc1995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20"/>
      <w:bookmarkEnd w:id="12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62A9803"/>
    <w:multiLevelType w:val="singleLevel"/>
    <w:tmpl w:val="162A9803"/>
    <w:lvl w:ilvl="0" w:tentative="0">
      <w:start w:val="2"/>
      <w:numFmt w:val="chineseCounting"/>
      <w:suff w:val="nothing"/>
      <w:lvlText w:val="（%1）"/>
      <w:lvlJc w:val="left"/>
      <w:rPr>
        <w:rFonts w:hint="eastAsia"/>
      </w:rPr>
    </w:lvl>
  </w:abstractNum>
  <w:abstractNum w:abstractNumId="4">
    <w:nsid w:val="42697F6E"/>
    <w:multiLevelType w:val="multilevel"/>
    <w:tmpl w:val="42697F6E"/>
    <w:lvl w:ilvl="0" w:tentative="0">
      <w:start w:val="1"/>
      <w:numFmt w:val="japaneseCounting"/>
      <w:lvlText w:val="（%1）"/>
      <w:lvlJc w:val="left"/>
      <w:pPr>
        <w:ind w:left="1716" w:hanging="996"/>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5">
    <w:nsid w:val="5761964B"/>
    <w:multiLevelType w:val="singleLevel"/>
    <w:tmpl w:val="5761964B"/>
    <w:lvl w:ilvl="0" w:tentative="0">
      <w:start w:val="1"/>
      <w:numFmt w:val="chineseCounting"/>
      <w:suff w:val="space"/>
      <w:lvlText w:val="第%1部分"/>
      <w:lvlJc w:val="left"/>
      <w:rPr>
        <w:rFonts w:hint="eastAsia"/>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0FC7"/>
    <w:rsid w:val="00157BAB"/>
    <w:rsid w:val="001630E3"/>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4F83"/>
    <w:rsid w:val="00235629"/>
    <w:rsid w:val="002377A2"/>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44482"/>
    <w:rsid w:val="00352C60"/>
    <w:rsid w:val="0036561B"/>
    <w:rsid w:val="0037013F"/>
    <w:rsid w:val="00372E1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422BC"/>
    <w:rsid w:val="005664BB"/>
    <w:rsid w:val="00566FFA"/>
    <w:rsid w:val="0057481D"/>
    <w:rsid w:val="00575F0B"/>
    <w:rsid w:val="0058486E"/>
    <w:rsid w:val="00585B33"/>
    <w:rsid w:val="0059014D"/>
    <w:rsid w:val="005B5C64"/>
    <w:rsid w:val="005C2281"/>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19E2"/>
    <w:rsid w:val="00946945"/>
    <w:rsid w:val="00951248"/>
    <w:rsid w:val="0095152F"/>
    <w:rsid w:val="00954C49"/>
    <w:rsid w:val="00955E37"/>
    <w:rsid w:val="0097099F"/>
    <w:rsid w:val="00971997"/>
    <w:rsid w:val="00971FFC"/>
    <w:rsid w:val="00984842"/>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467AA"/>
    <w:rsid w:val="00A56DF2"/>
    <w:rsid w:val="00A56E6E"/>
    <w:rsid w:val="00A67AB5"/>
    <w:rsid w:val="00A733B2"/>
    <w:rsid w:val="00A741C2"/>
    <w:rsid w:val="00A91760"/>
    <w:rsid w:val="00A93B00"/>
    <w:rsid w:val="00A93C21"/>
    <w:rsid w:val="00A95B61"/>
    <w:rsid w:val="00AB64C9"/>
    <w:rsid w:val="00AC3C6A"/>
    <w:rsid w:val="00AD0F83"/>
    <w:rsid w:val="00AD5620"/>
    <w:rsid w:val="00AD656B"/>
    <w:rsid w:val="00AD7C1B"/>
    <w:rsid w:val="00AE16BA"/>
    <w:rsid w:val="00AE1EBE"/>
    <w:rsid w:val="00AF37A0"/>
    <w:rsid w:val="00B01F02"/>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1AE4"/>
    <w:rsid w:val="00CE44F6"/>
    <w:rsid w:val="00CE49DA"/>
    <w:rsid w:val="00CE7B61"/>
    <w:rsid w:val="00CF22EC"/>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D205AF"/>
    <w:rsid w:val="08330EB6"/>
    <w:rsid w:val="0C961B04"/>
    <w:rsid w:val="10C055FF"/>
    <w:rsid w:val="12CD5845"/>
    <w:rsid w:val="137A4AA9"/>
    <w:rsid w:val="146A64B2"/>
    <w:rsid w:val="16BB723D"/>
    <w:rsid w:val="181F2AB2"/>
    <w:rsid w:val="1E760791"/>
    <w:rsid w:val="240371BF"/>
    <w:rsid w:val="28AA631A"/>
    <w:rsid w:val="29134AE3"/>
    <w:rsid w:val="29FD04D3"/>
    <w:rsid w:val="2D854D5D"/>
    <w:rsid w:val="2FF06148"/>
    <w:rsid w:val="319F7F4E"/>
    <w:rsid w:val="34884CF1"/>
    <w:rsid w:val="36BD6A64"/>
    <w:rsid w:val="46E13E41"/>
    <w:rsid w:val="4A234C87"/>
    <w:rsid w:val="4B1931D8"/>
    <w:rsid w:val="4ECE2238"/>
    <w:rsid w:val="52B64E69"/>
    <w:rsid w:val="57A70DE1"/>
    <w:rsid w:val="5AC90767"/>
    <w:rsid w:val="5E011882"/>
    <w:rsid w:val="64571D15"/>
    <w:rsid w:val="65022A82"/>
    <w:rsid w:val="655B597B"/>
    <w:rsid w:val="678D7D5C"/>
    <w:rsid w:val="6A5D3DD1"/>
    <w:rsid w:val="70E90778"/>
    <w:rsid w:val="71B45E44"/>
    <w:rsid w:val="72236A8F"/>
    <w:rsid w:val="72734D90"/>
    <w:rsid w:val="76433086"/>
    <w:rsid w:val="77997F23"/>
    <w:rsid w:val="79913D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0"/>
    <w:pPr>
      <w:ind w:left="200" w:leftChars="200" w:hanging="200" w:hangingChars="200"/>
    </w:pPr>
    <w:rPr>
      <w:rFonts w:hint="eastAsia"/>
    </w:rPr>
  </w:style>
  <w:style w:type="paragraph" w:styleId="6">
    <w:name w:val="toa heading"/>
    <w:basedOn w:val="1"/>
    <w:next w:val="1"/>
    <w:qFormat/>
    <w:uiPriority w:val="0"/>
    <w:pPr>
      <w:spacing w:before="120"/>
    </w:pPr>
    <w:rPr>
      <w:rFonts w:ascii="Arial" w:hAnsi="Arial" w:cs="Arial"/>
      <w:sz w:val="24"/>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qFormat/>
    <w:uiPriority w:val="9"/>
    <w:rPr>
      <w:rFonts w:ascii="Times New Roman" w:hAnsi="Times New Roman"/>
      <w:b/>
      <w:bCs/>
      <w:kern w:val="44"/>
      <w:sz w:val="44"/>
      <w:szCs w:val="44"/>
    </w:rPr>
  </w:style>
  <w:style w:type="character" w:customStyle="1" w:styleId="28">
    <w:name w:val="标题 2 字符"/>
    <w:basedOn w:val="16"/>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5"/>
    <w:qFormat/>
    <w:uiPriority w:val="9"/>
    <w:rPr>
      <w:rFonts w:ascii="Times New Roman" w:hAnsi="Times New Roman"/>
      <w:b/>
      <w:bCs/>
      <w:kern w:val="2"/>
      <w:sz w:val="32"/>
      <w:szCs w:val="32"/>
    </w:rPr>
  </w:style>
  <w:style w:type="paragraph" w:customStyle="1" w:styleId="32">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标题 1 Char"/>
    <w:basedOn w:val="16"/>
    <w:link w:val="3"/>
    <w:qFormat/>
    <w:uiPriority w:val="9"/>
    <w:rPr>
      <w:rFonts w:ascii="Times New Roman" w:hAnsi="Times New Roman"/>
      <w:b/>
      <w:bCs/>
      <w:kern w:val="44"/>
      <w:sz w:val="44"/>
      <w:szCs w:val="44"/>
    </w:rPr>
  </w:style>
  <w:style w:type="character" w:customStyle="1" w:styleId="34">
    <w:name w:val="标题 2 Char"/>
    <w:basedOn w:val="16"/>
    <w:link w:val="4"/>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my%20documents\tencent%20files\676038786\filerecv\&#24037;&#20316;&#31807;11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my%20documents\tencent%20files\676038786\filerecv\&#24037;&#20316;&#31807;11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my%20documents\tencent%20files\676038786\filerecv\&#24037;&#20316;&#31807;111.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my%20documents\tencent%20files\676038786\filerecv\&#24037;&#20316;&#31807;111.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my%20documents\tencent%20files\676038786\filerecv\&#24037;&#20316;&#31807;11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D:\my%20documents\tencent%20files\676038786\filerecv\&#24037;&#20316;&#31807;111.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D:\my%20documents\tencent%20files\676038786\filerecv\&#24037;&#20316;&#31807;1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收、支决算总计变动情况图（万元）</a:t>
            </a:r>
            <a:endParaRPr lang="zh-CN" altLang="en-US"/>
          </a:p>
        </c:rich>
      </c:tx>
      <c:layout>
        <c:manualLayout>
          <c:xMode val="edge"/>
          <c:yMode val="edge"/>
          <c:x val="0.203333333333333"/>
          <c:y val="0.0541666666666667"/>
        </c:manualLayout>
      </c:layout>
      <c:overlay val="0"/>
      <c:spPr>
        <a:noFill/>
        <a:ln>
          <a:noFill/>
        </a:ln>
        <a:effectLst/>
      </c:spPr>
    </c:title>
    <c:autoTitleDeleted val="0"/>
    <c:plotArea>
      <c:layout/>
      <c:barChart>
        <c:barDir val="col"/>
        <c:grouping val="clustered"/>
        <c:varyColors val="0"/>
        <c:ser>
          <c:idx val="0"/>
          <c:order val="0"/>
          <c:tx>
            <c:strRef>
              <c:f>[工作簿111.xlsx]Sheet1!$A$4</c:f>
              <c:strCache>
                <c:ptCount val="1"/>
                <c:pt idx="0">
                  <c:v>2019年度</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[工作簿111.xlsx]Sheet1!$B$3:$C$3</c:f>
              <c:strCache>
                <c:ptCount val="2"/>
                <c:pt idx="0">
                  <c:v>收入总计</c:v>
                </c:pt>
                <c:pt idx="1">
                  <c:v>支出总计</c:v>
                </c:pt>
              </c:strCache>
            </c:strRef>
          </c:cat>
          <c:val>
            <c:numRef>
              <c:f>[工作簿111.xlsx]Sheet1!$B$4:$C$4</c:f>
              <c:numCache>
                <c:formatCode>General</c:formatCode>
                <c:ptCount val="2"/>
                <c:pt idx="0">
                  <c:v>140.28</c:v>
                </c:pt>
                <c:pt idx="1">
                  <c:v>127.46</c:v>
                </c:pt>
              </c:numCache>
            </c:numRef>
          </c:val>
        </c:ser>
        <c:ser>
          <c:idx val="1"/>
          <c:order val="1"/>
          <c:tx>
            <c:strRef>
              <c:f>[工作簿111.xlsx]Sheet1!$A$5</c:f>
              <c:strCache>
                <c:ptCount val="1"/>
                <c:pt idx="0">
                  <c:v>2018年度</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[工作簿111.xlsx]Sheet1!$B$3:$C$3</c:f>
              <c:strCache>
                <c:ptCount val="2"/>
                <c:pt idx="0">
                  <c:v>收入总计</c:v>
                </c:pt>
                <c:pt idx="1">
                  <c:v>支出总计</c:v>
                </c:pt>
              </c:strCache>
            </c:strRef>
          </c:cat>
          <c:val>
            <c:numRef>
              <c:f>[工作簿111.xlsx]Sheet1!$B$5:$C$5</c:f>
              <c:numCache>
                <c:formatCode>General</c:formatCode>
                <c:ptCount val="2"/>
                <c:pt idx="0">
                  <c:v>148.01</c:v>
                </c:pt>
                <c:pt idx="1">
                  <c:v>110.53</c:v>
                </c:pt>
              </c:numCache>
            </c:numRef>
          </c:val>
        </c:ser>
        <c:dLbls>
          <c:showLegendKey val="0"/>
          <c:showVal val="1"/>
          <c:showCatName val="0"/>
          <c:showSerName val="0"/>
          <c:showPercent val="0"/>
          <c:showBubbleSize val="0"/>
        </c:dLbls>
        <c:gapWidth val="150"/>
        <c:overlap val="-25"/>
        <c:axId val="237125632"/>
        <c:axId val="237127168"/>
      </c:barChart>
      <c:catAx>
        <c:axId val="2371256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7127168"/>
        <c:crosses val="autoZero"/>
        <c:auto val="1"/>
        <c:lblAlgn val="ctr"/>
        <c:lblOffset val="100"/>
        <c:noMultiLvlLbl val="0"/>
      </c:catAx>
      <c:valAx>
        <c:axId val="237127168"/>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7125632"/>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55972222222222"/>
          <c:y val="0.0368055555555556"/>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[工作簿111.xlsx]Sheet2!$A$2</c:f>
              <c:strCache>
                <c:ptCount val="1"/>
                <c:pt idx="0">
                  <c:v>一般公共预算财政拨款收入</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[工作簿111.xlsx]Sheet2!$B$2</c:f>
              <c:numCache>
                <c:formatCode>General</c:formatCode>
                <c:ptCount val="1"/>
                <c:pt idx="0">
                  <c:v>140.28</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[工作簿111.xlsx]Sheet3!$A$1:$A$2</c:f>
              <c:strCache>
                <c:ptCount val="2"/>
                <c:pt idx="0">
                  <c:v>基本支出</c:v>
                </c:pt>
                <c:pt idx="1">
                  <c:v>项目支出</c:v>
                </c:pt>
              </c:strCache>
            </c:strRef>
          </c:cat>
          <c:val>
            <c:numRef>
              <c:f>[工作簿111.xlsx]Sheet3!$B$1:$B$2</c:f>
              <c:numCache>
                <c:formatCode>General</c:formatCode>
                <c:ptCount val="2"/>
                <c:pt idx="0">
                  <c:v>102.19</c:v>
                </c:pt>
                <c:pt idx="1">
                  <c:v>25.28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[工作簿111.xlsx]Sheet4!$A$2</c:f>
              <c:strCache>
                <c:ptCount val="1"/>
                <c:pt idx="0">
                  <c:v>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[工作簿111.xlsx]Sheet4!$B$1:$C$1</c:f>
              <c:strCache>
                <c:ptCount val="2"/>
                <c:pt idx="0">
                  <c:v>2019年</c:v>
                </c:pt>
                <c:pt idx="1">
                  <c:v>2018年</c:v>
                </c:pt>
              </c:strCache>
            </c:strRef>
          </c:cat>
          <c:val>
            <c:numRef>
              <c:f>[工作簿111.xlsx]Sheet4!$B$2:$C$2</c:f>
              <c:numCache>
                <c:formatCode>General</c:formatCode>
                <c:ptCount val="2"/>
                <c:pt idx="0">
                  <c:v>140.28</c:v>
                </c:pt>
                <c:pt idx="1">
                  <c:v>127.46</c:v>
                </c:pt>
              </c:numCache>
            </c:numRef>
          </c:val>
        </c:ser>
        <c:ser>
          <c:idx val="1"/>
          <c:order val="1"/>
          <c:tx>
            <c:strRef>
              <c:f>[工作簿111.xlsx]Sheet4!$A$3</c:f>
              <c:strCache>
                <c:ptCount val="1"/>
                <c:pt idx="0">
                  <c:v>财政拨款支出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[工作簿111.xlsx]Sheet4!$B$1:$C$1</c:f>
              <c:strCache>
                <c:ptCount val="2"/>
                <c:pt idx="0">
                  <c:v>2019年</c:v>
                </c:pt>
                <c:pt idx="1">
                  <c:v>2018年</c:v>
                </c:pt>
              </c:strCache>
            </c:strRef>
          </c:cat>
          <c:val>
            <c:numRef>
              <c:f>[工作簿111.xlsx]Sheet4!$B$3:$C$3</c:f>
              <c:numCache>
                <c:formatCode>General</c:formatCode>
                <c:ptCount val="2"/>
                <c:pt idx="0">
                  <c:v>148.01</c:v>
                </c:pt>
                <c:pt idx="1">
                  <c:v>110.53</c:v>
                </c:pt>
              </c:numCache>
            </c:numRef>
          </c:val>
        </c:ser>
        <c:dLbls>
          <c:showLegendKey val="0"/>
          <c:showVal val="1"/>
          <c:showCatName val="0"/>
          <c:showSerName val="0"/>
          <c:showPercent val="0"/>
          <c:showBubbleSize val="0"/>
        </c:dLbls>
        <c:gapWidth val="219"/>
        <c:overlap val="-27"/>
        <c:axId val="200590080"/>
        <c:axId val="200591616"/>
      </c:barChart>
      <c:catAx>
        <c:axId val="2005900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0591616"/>
        <c:crosses val="autoZero"/>
        <c:auto val="1"/>
        <c:lblAlgn val="ctr"/>
        <c:lblOffset val="100"/>
        <c:noMultiLvlLbl val="0"/>
      </c:catAx>
      <c:valAx>
        <c:axId val="20059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059008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一般公共预算财政拨款支出决算变动情况（万元）</a:t>
            </a:r>
            <a:endParaRPr lang="zh-CN" altLang="en-US"/>
          </a:p>
        </c:rich>
      </c:tx>
      <c:layout>
        <c:manualLayout>
          <c:xMode val="edge"/>
          <c:yMode val="edge"/>
          <c:x val="0.108888888888889"/>
          <c:y val="0.0381944444444444"/>
        </c:manualLayout>
      </c:layout>
      <c:overlay val="0"/>
      <c:spPr>
        <a:noFill/>
        <a:ln>
          <a:noFill/>
        </a:ln>
        <a:effectLst/>
      </c:spPr>
    </c:title>
    <c:autoTitleDeleted val="0"/>
    <c:plotArea>
      <c:layout/>
      <c:barChart>
        <c:barDir val="col"/>
        <c:grouping val="clustered"/>
        <c:varyColors val="0"/>
        <c:ser>
          <c:idx val="0"/>
          <c:order val="0"/>
          <c:tx>
            <c:strRef>
              <c:f>[工作簿111.xlsx]Sheet5!$B$1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[工作簿111.xlsx]Sheet5!$A$2:$A$3</c:f>
              <c:strCache>
                <c:ptCount val="2"/>
                <c:pt idx="0">
                  <c:v>2019年</c:v>
                </c:pt>
                <c:pt idx="1">
                  <c:v>2018年</c:v>
                </c:pt>
              </c:strCache>
            </c:strRef>
          </c:cat>
          <c:val>
            <c:numRef>
              <c:f>[工作簿111.xlsx]Sheet5!$B$2:$B$3</c:f>
              <c:numCache>
                <c:formatCode>General</c:formatCode>
                <c:ptCount val="2"/>
                <c:pt idx="0">
                  <c:v>123.98</c:v>
                </c:pt>
                <c:pt idx="1">
                  <c:v>110.53</c:v>
                </c:pt>
              </c:numCache>
            </c:numRef>
          </c:val>
        </c:ser>
        <c:dLbls>
          <c:showLegendKey val="0"/>
          <c:showVal val="1"/>
          <c:showCatName val="0"/>
          <c:showSerName val="0"/>
          <c:showPercent val="0"/>
          <c:showBubbleSize val="0"/>
        </c:dLbls>
        <c:gapWidth val="219"/>
        <c:overlap val="-27"/>
        <c:axId val="200730112"/>
        <c:axId val="237592960"/>
      </c:barChart>
      <c:catAx>
        <c:axId val="2007301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7592960"/>
        <c:crosses val="autoZero"/>
        <c:auto val="1"/>
        <c:lblAlgn val="ctr"/>
        <c:lblOffset val="100"/>
        <c:noMultiLvlLbl val="0"/>
      </c:catAx>
      <c:valAx>
        <c:axId val="237592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073011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一般公共预算财政拨款支出决算结构</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7.81%</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86.9%</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[工作簿111.xlsx]Sheet6!$A$2:$A$5</c:f>
              <c:strCache>
                <c:ptCount val="4"/>
                <c:pt idx="0">
                  <c:v>一般公共服务（类）支出</c:v>
                </c:pt>
                <c:pt idx="1">
                  <c:v>社会保障和就业（类）支出</c:v>
                </c:pt>
                <c:pt idx="2">
                  <c:v>卫生健康支出</c:v>
                </c:pt>
                <c:pt idx="3">
                  <c:v>住房保障支出</c:v>
                </c:pt>
              </c:strCache>
            </c:strRef>
          </c:cat>
          <c:val>
            <c:numRef>
              <c:f>[工作簿111.xlsx]Sheet6!$B$2:$B$5</c:f>
              <c:numCache>
                <c:formatCode>General</c:formatCode>
                <c:ptCount val="4"/>
                <c:pt idx="0">
                  <c:v>100.27</c:v>
                </c:pt>
                <c:pt idx="1">
                  <c:v>11.67</c:v>
                </c:pt>
                <c:pt idx="2">
                  <c:v>4.73</c:v>
                </c:pt>
                <c:pt idx="3">
                  <c:v>7.31</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[工作簿111.xlsx]Sheet6!$A$2:$A$5</c:f>
              <c:strCache>
                <c:ptCount val="4"/>
                <c:pt idx="0">
                  <c:v>一般公共服务（类）支出</c:v>
                </c:pt>
                <c:pt idx="1">
                  <c:v>社会保障和就业（类）支出</c:v>
                </c:pt>
                <c:pt idx="2">
                  <c:v>卫生健康支出</c:v>
                </c:pt>
                <c:pt idx="3">
                  <c:v>住房保障支出</c:v>
                </c:pt>
              </c:strCache>
            </c:strRef>
          </c:cat>
          <c:val>
            <c:numRef>
              <c:f>[工作簿111.xlsx]Sheet6!$C$2:$C$5</c:f>
              <c:numCache>
                <c:formatCode>0.00%</c:formatCode>
                <c:ptCount val="4"/>
                <c:pt idx="0">
                  <c:v>0.808759477335054</c:v>
                </c:pt>
                <c:pt idx="1">
                  <c:v>0.0941280851750282</c:v>
                </c:pt>
                <c:pt idx="2">
                  <c:v>0.038151314728182</c:v>
                </c:pt>
                <c:pt idx="3">
                  <c:v>0.0589611227617358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“三公”经费财政拨款支出结构</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zh-CN" altLang="en-US"/>
                      <a:t>公务用车购置及运行维护费支出</a:t>
                    </a:r>
                    <a:endParaRPr lang="zh-CN" altLang="en-US"/>
                  </a:p>
                  <a:p>
                    <a:pPr>
                      <a:defRPr lang="zh-CN" sz="900" b="0" i="0" u="none" strike="noStrike" kern="1200" baseline="0">
                        <a:solidFill>
                          <a:schemeClr val="tx1">
                            <a:lumMod val="75000"/>
                            <a:lumOff val="25000"/>
                          </a:schemeClr>
                        </a:solidFill>
                        <a:latin typeface="+mn-lt"/>
                        <a:ea typeface="+mn-ea"/>
                        <a:cs typeface="+mn-cs"/>
                      </a:defRPr>
                    </a:pPr>
                    <a:r>
                      <a:rPr lang="en-US" altLang="zh-CN"/>
                      <a:t>100%</a:t>
                    </a:r>
                    <a:endParaRPr lang="en-US" altLang="zh-CN"/>
                  </a:p>
                </c:rich>
              </c:tx>
              <c:dLblPos val="inEnd"/>
              <c:showLegendKey val="0"/>
              <c:showVal val="0"/>
              <c:showCatName val="0"/>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zh-CN" altLang="en-US"/>
                      <a:t>公务接待费支出</a:t>
                    </a:r>
                    <a:endParaRPr lang="zh-CN" altLang="en-US"/>
                  </a:p>
                  <a:p>
                    <a:pPr>
                      <a:defRPr lang="zh-CN" sz="900" b="0" i="0" u="none" strike="noStrike" kern="1200" baseline="0">
                        <a:solidFill>
                          <a:schemeClr val="tx1">
                            <a:lumMod val="75000"/>
                            <a:lumOff val="25000"/>
                          </a:schemeClr>
                        </a:solidFill>
                        <a:latin typeface="+mn-lt"/>
                        <a:ea typeface="+mn-ea"/>
                        <a:cs typeface="+mn-cs"/>
                      </a:defRPr>
                    </a:pPr>
                    <a:r>
                      <a:rPr lang="en-US" altLang="zh-CN"/>
                      <a:t>0%</a:t>
                    </a:r>
                    <a:endParaRPr lang="en-US" altLang="zh-CN"/>
                  </a:p>
                </c:rich>
              </c:tx>
              <c:dLblPos val="inEnd"/>
              <c:showLegendKey val="0"/>
              <c:showVal val="0"/>
              <c:showCatName val="0"/>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[工作簿111.xlsx]Sheet7!$A$1:$A$3</c:f>
              <c:strCache>
                <c:ptCount val="3"/>
                <c:pt idx="0">
                  <c:v>公务用车购置及运行维护费支出</c:v>
                </c:pt>
                <c:pt idx="1">
                  <c:v>公务接待费支出</c:v>
                </c:pt>
                <c:pt idx="2">
                  <c:v>因公出国（境）费支出</c:v>
                </c:pt>
              </c:strCache>
            </c:strRef>
          </c:cat>
          <c:val>
            <c:numRef>
              <c:f>[工作簿111.xlsx]Sheet7!$B$1:$B$3</c:f>
              <c:numCache>
                <c:formatCode>General</c:formatCode>
                <c:ptCount val="3"/>
                <c:pt idx="0">
                  <c:v>3.14</c:v>
                </c:pt>
                <c:pt idx="1">
                  <c:v>0</c:v>
                </c:pt>
                <c:pt idx="2">
                  <c:v>0</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r"/>
      <c:layout>
        <c:manualLayout>
          <c:xMode val="edge"/>
          <c:yMode val="edge"/>
          <c:x val="0.65"/>
          <c:y val="0.3658564814814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11C124-A6D3-4CA6-9548-5A598BA5601E}">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37</Pages>
  <Words>14826</Words>
  <Characters>1776</Characters>
  <Lines>14</Lines>
  <Paragraphs>33</Paragraphs>
  <TotalTime>1</TotalTime>
  <ScaleCrop>false</ScaleCrop>
  <LinksUpToDate>false</LinksUpToDate>
  <CharactersWithSpaces>16569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2020-10-26T03:02:45Z</dcterms:modified>
  <dc:title>四川省***</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