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96475"/>
      <w:bookmarkStart w:id="3" w:name="_Toc15378441"/>
      <w:bookmarkStart w:id="4" w:name="_Toc15377425"/>
      <w:bookmarkStart w:id="5" w:name="_Toc15377193"/>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77194"/>
      <w:bookmarkStart w:id="8" w:name="_Toc15378442"/>
      <w:bookmarkStart w:id="9" w:name="_Toc15377426"/>
      <w:bookmarkStart w:id="10" w:name="_Toc15396476"/>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lang w:val="en-US" w:eastAsia="zh-CN"/>
        </w:rPr>
        <w:t>阿坝州红原县妇联</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pStyle w:val="10"/>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bookmarkStart w:id="74" w:name="_GoBack"/>
      <w:bookmarkEnd w:id="74"/>
    </w:p>
    <w:p/>
    <w:p>
      <w:pPr>
        <w:pStyle w:val="10"/>
        <w:jc w:val="center"/>
        <w:rPr>
          <w:rFonts w:cstheme="minorBidi"/>
        </w:rPr>
      </w:pPr>
      <w:r>
        <w:fldChar w:fldCharType="begin"/>
      </w:r>
      <w:r>
        <w:instrText xml:space="preserve"> HYPERLINK \l "_Toc15396599" </w:instrText>
      </w:r>
      <w:r>
        <w:fldChar w:fldCharType="separate"/>
      </w:r>
      <w:r>
        <w:rPr>
          <w:rStyle w:val="15"/>
          <w:rFonts w:hint="eastAsia"/>
        </w:rPr>
        <w:t>第一部分</w:t>
      </w:r>
      <w:r>
        <w:rPr>
          <w:rStyle w:val="15"/>
        </w:rPr>
        <w:t xml:space="preserve"> </w:t>
      </w:r>
      <w:r>
        <w:rPr>
          <w:rStyle w:val="15"/>
          <w:rFonts w:hint="eastAsia"/>
        </w:rPr>
        <w:t>部门概况</w:t>
      </w:r>
      <w:r>
        <w:rPr>
          <w:rFonts w:hint="eastAsia"/>
        </w:rPr>
        <w:fldChar w:fldCharType="end"/>
      </w:r>
    </w:p>
    <w:p>
      <w:pPr>
        <w:pStyle w:val="11"/>
        <w:ind w:left="0" w:leftChars="0" w:firstLine="0" w:firstLineChars="0"/>
        <w:rPr>
          <w:rFonts w:ascii="仿宋" w:hAnsi="仿宋" w:eastAsia="仿宋" w:cstheme="minorBidi"/>
          <w:sz w:val="28"/>
          <w:szCs w:val="28"/>
        </w:rPr>
      </w:pPr>
      <w:r>
        <w:fldChar w:fldCharType="begin"/>
      </w:r>
      <w:r>
        <w:instrText xml:space="preserve"> HYPERLINK \l "_Toc15396600" </w:instrText>
      </w:r>
      <w:r>
        <w:fldChar w:fldCharType="separate"/>
      </w:r>
      <w:r>
        <w:rPr>
          <w:rStyle w:val="15"/>
          <w:rFonts w:hint="eastAsia" w:ascii="仿宋" w:hAnsi="仿宋" w:eastAsia="仿宋"/>
          <w:sz w:val="28"/>
          <w:szCs w:val="28"/>
        </w:rPr>
        <w:t>一、基本职能及主要工作</w:t>
      </w:r>
      <w:r>
        <w:rPr>
          <w:rFonts w:hint="eastAsia"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fldChar w:fldCharType="begin"/>
      </w:r>
      <w:r>
        <w:instrText xml:space="preserve"> HYPERLINK \l "_Toc15396601" </w:instrText>
      </w:r>
      <w:r>
        <w:fldChar w:fldCharType="separate"/>
      </w:r>
      <w:r>
        <w:rPr>
          <w:rStyle w:val="15"/>
          <w:rFonts w:hint="eastAsia" w:ascii="仿宋" w:hAnsi="仿宋" w:eastAsia="仿宋"/>
          <w:sz w:val="28"/>
          <w:szCs w:val="28"/>
        </w:rPr>
        <w:t>二、机构设置</w:t>
      </w:r>
      <w:r>
        <w:rPr>
          <w:rFonts w:ascii="仿宋" w:hAnsi="仿宋" w:eastAsia="仿宋"/>
          <w:sz w:val="28"/>
          <w:szCs w:val="28"/>
        </w:rPr>
        <w:fldChar w:fldCharType="end"/>
      </w:r>
    </w:p>
    <w:p>
      <w:pPr>
        <w:pStyle w:val="10"/>
        <w:jc w:val="center"/>
      </w:pPr>
      <w:r>
        <w:fldChar w:fldCharType="begin"/>
      </w:r>
      <w:r>
        <w:instrText xml:space="preserve"> 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fldChar w:fldCharType="end"/>
      </w:r>
    </w:p>
    <w:p>
      <w:pPr>
        <w:pStyle w:val="11"/>
        <w:ind w:left="0" w:leftChars="0" w:firstLine="0" w:firstLineChars="0"/>
        <w:rPr>
          <w:rFonts w:ascii="仿宋" w:hAnsi="仿宋" w:eastAsia="仿宋" w:cstheme="minorBidi"/>
          <w:sz w:val="28"/>
          <w:szCs w:val="28"/>
        </w:rPr>
      </w:pPr>
      <w:r>
        <w:fldChar w:fldCharType="begin"/>
      </w:r>
      <w:r>
        <w:instrText xml:space="preserve"> HYPERLINK \l "_Toc15396603" </w:instrText>
      </w:r>
      <w:r>
        <w:fldChar w:fldCharType="separate"/>
      </w:r>
      <w:r>
        <w:rPr>
          <w:rStyle w:val="15"/>
          <w:rFonts w:hint="eastAsia" w:ascii="仿宋" w:hAnsi="仿宋" w:eastAsia="仿宋" w:cstheme="majorBidi"/>
          <w:bCs/>
          <w:sz w:val="28"/>
          <w:szCs w:val="28"/>
        </w:rPr>
        <w:t>一、</w:t>
      </w:r>
      <w:r>
        <w:rPr>
          <w:rStyle w:val="15"/>
          <w:rFonts w:hint="eastAsia" w:ascii="仿宋" w:hAnsi="仿宋" w:eastAsia="仿宋"/>
          <w:sz w:val="28"/>
          <w:szCs w:val="28"/>
        </w:rPr>
        <w:t>收</w:t>
      </w:r>
      <w:r>
        <w:rPr>
          <w:rStyle w:val="15"/>
          <w:rFonts w:hint="eastAsia" w:ascii="仿宋" w:hAnsi="仿宋" w:eastAsia="仿宋" w:cstheme="majorBidi"/>
          <w:bCs/>
          <w:sz w:val="28"/>
          <w:szCs w:val="28"/>
        </w:rPr>
        <w:t>入支出决算总体情况说明</w:t>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fldChar w:fldCharType="begin"/>
      </w:r>
      <w:r>
        <w:instrText xml:space="preserve"> HYPERLINK \l "_Toc15396604" </w:instrText>
      </w:r>
      <w:r>
        <w:fldChar w:fldCharType="separate"/>
      </w:r>
      <w:r>
        <w:rPr>
          <w:rStyle w:val="15"/>
          <w:rFonts w:hint="eastAsia" w:ascii="仿宋" w:hAnsi="仿宋" w:eastAsia="仿宋" w:cstheme="majorBidi"/>
          <w:bCs/>
          <w:sz w:val="28"/>
          <w:szCs w:val="28"/>
        </w:rPr>
        <w:t>二、</w:t>
      </w:r>
      <w:r>
        <w:rPr>
          <w:rStyle w:val="15"/>
          <w:rFonts w:hint="eastAsia" w:ascii="仿宋" w:hAnsi="仿宋" w:eastAsia="仿宋"/>
          <w:sz w:val="28"/>
          <w:szCs w:val="28"/>
        </w:rPr>
        <w:t>收</w:t>
      </w:r>
      <w:r>
        <w:rPr>
          <w:rStyle w:val="15"/>
          <w:rFonts w:hint="eastAsia" w:ascii="仿宋" w:hAnsi="仿宋" w:eastAsia="仿宋" w:cstheme="majorBidi"/>
          <w:bCs/>
          <w:sz w:val="28"/>
          <w:szCs w:val="28"/>
        </w:rPr>
        <w:t>入决算情况说明</w:t>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fldChar w:fldCharType="begin"/>
      </w:r>
      <w:r>
        <w:instrText xml:space="preserve"> HYPERLINK \l "_Toc15396605" </w:instrText>
      </w:r>
      <w:r>
        <w:fldChar w:fldCharType="separate"/>
      </w:r>
      <w:r>
        <w:rPr>
          <w:rStyle w:val="15"/>
          <w:rFonts w:hint="eastAsia" w:ascii="仿宋" w:hAnsi="仿宋" w:eastAsia="仿宋" w:cstheme="majorBidi"/>
          <w:bCs/>
          <w:sz w:val="28"/>
          <w:szCs w:val="28"/>
        </w:rPr>
        <w:t>三、</w:t>
      </w:r>
      <w:r>
        <w:rPr>
          <w:rStyle w:val="15"/>
          <w:rFonts w:hint="eastAsia" w:ascii="仿宋" w:hAnsi="仿宋" w:eastAsia="仿宋"/>
          <w:sz w:val="28"/>
          <w:szCs w:val="28"/>
        </w:rPr>
        <w:t>支</w:t>
      </w:r>
      <w:r>
        <w:rPr>
          <w:rStyle w:val="15"/>
          <w:rFonts w:hint="eastAsia" w:ascii="仿宋" w:hAnsi="仿宋" w:eastAsia="仿宋" w:cstheme="majorBidi"/>
          <w:bCs/>
          <w:sz w:val="28"/>
          <w:szCs w:val="28"/>
        </w:rPr>
        <w:t>出决算情况说明</w:t>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fldChar w:fldCharType="begin"/>
      </w:r>
      <w:r>
        <w:instrText xml:space="preserve"> HYPERLINK \l "_Toc15396606" </w:instrText>
      </w:r>
      <w:r>
        <w:fldChar w:fldCharType="separate"/>
      </w:r>
      <w:r>
        <w:rPr>
          <w:rStyle w:val="15"/>
          <w:rFonts w:hint="eastAsia" w:ascii="仿宋" w:hAnsi="仿宋" w:eastAsia="仿宋"/>
          <w:sz w:val="28"/>
          <w:szCs w:val="28"/>
        </w:rPr>
        <w:t>四、财</w:t>
      </w:r>
      <w:r>
        <w:rPr>
          <w:rStyle w:val="15"/>
          <w:rFonts w:hint="eastAsia" w:ascii="仿宋" w:hAnsi="仿宋" w:eastAsia="仿宋" w:cstheme="majorBidi"/>
          <w:bCs/>
          <w:sz w:val="28"/>
          <w:szCs w:val="28"/>
        </w:rPr>
        <w:t>政拨款收入支出决算总体情况说明</w:t>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fldChar w:fldCharType="begin"/>
      </w:r>
      <w:r>
        <w:instrText xml:space="preserve"> HYPERLINK \l "_Toc15396607" </w:instrText>
      </w:r>
      <w:r>
        <w:fldChar w:fldCharType="separate"/>
      </w:r>
      <w:r>
        <w:rPr>
          <w:rStyle w:val="15"/>
          <w:rFonts w:hint="eastAsia" w:ascii="仿宋" w:hAnsi="仿宋" w:eastAsia="仿宋"/>
          <w:sz w:val="28"/>
          <w:szCs w:val="28"/>
        </w:rPr>
        <w:t>五、一</w:t>
      </w:r>
      <w:r>
        <w:rPr>
          <w:rStyle w:val="15"/>
          <w:rFonts w:hint="eastAsia" w:ascii="仿宋" w:hAnsi="仿宋" w:eastAsia="仿宋" w:cstheme="majorBidi"/>
          <w:bCs/>
          <w:sz w:val="28"/>
          <w:szCs w:val="28"/>
        </w:rPr>
        <w:t>般公共预算财政拨款支出决算情况说明</w:t>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fldChar w:fldCharType="begin"/>
      </w:r>
      <w:r>
        <w:instrText xml:space="preserve"> HYPERLINK \l "_Toc15396608" </w:instrText>
      </w:r>
      <w:r>
        <w:fldChar w:fldCharType="separate"/>
      </w:r>
      <w:r>
        <w:rPr>
          <w:rStyle w:val="15"/>
          <w:rFonts w:hint="eastAsia" w:ascii="仿宋" w:hAnsi="仿宋" w:eastAsia="仿宋"/>
          <w:sz w:val="28"/>
          <w:szCs w:val="28"/>
        </w:rPr>
        <w:t>六、一</w:t>
      </w:r>
      <w:r>
        <w:rPr>
          <w:rStyle w:val="15"/>
          <w:rFonts w:hint="eastAsia" w:ascii="仿宋" w:hAnsi="仿宋" w:eastAsia="仿宋" w:cstheme="majorBidi"/>
          <w:bCs/>
          <w:sz w:val="28"/>
          <w:szCs w:val="28"/>
        </w:rPr>
        <w:t>般公共预算财政拨款基本支出决算情况说明</w:t>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fldChar w:fldCharType="begin"/>
      </w:r>
      <w:r>
        <w:instrText xml:space="preserve"> HYPERLINK \l "_Toc15396609" </w:instrText>
      </w:r>
      <w:r>
        <w:fldChar w:fldCharType="separate"/>
      </w:r>
      <w:r>
        <w:rPr>
          <w:rStyle w:val="15"/>
          <w:rFonts w:hint="eastAsia" w:ascii="仿宋" w:hAnsi="仿宋" w:eastAsia="仿宋"/>
          <w:sz w:val="28"/>
          <w:szCs w:val="28"/>
        </w:rPr>
        <w:t>七、</w:t>
      </w:r>
      <w:r>
        <w:rPr>
          <w:rStyle w:val="15"/>
          <w:rFonts w:ascii="仿宋" w:hAnsi="仿宋" w:eastAsia="仿宋"/>
          <w:sz w:val="28"/>
          <w:szCs w:val="28"/>
        </w:rPr>
        <w:t>“</w:t>
      </w:r>
      <w:r>
        <w:rPr>
          <w:rStyle w:val="15"/>
          <w:rFonts w:hint="eastAsia" w:ascii="仿宋" w:hAnsi="仿宋" w:eastAsia="仿宋" w:cstheme="majorBidi"/>
          <w:bCs/>
          <w:sz w:val="28"/>
          <w:szCs w:val="28"/>
        </w:rPr>
        <w:t>三公”经费财政拨款支出决算情况说明</w:t>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fldChar w:fldCharType="begin"/>
      </w:r>
      <w:r>
        <w:instrText xml:space="preserve"> HYPERLINK \l "_Toc15396610" </w:instrText>
      </w:r>
      <w:r>
        <w:fldChar w:fldCharType="separate"/>
      </w:r>
      <w:r>
        <w:rPr>
          <w:rStyle w:val="15"/>
          <w:rFonts w:hint="eastAsia" w:ascii="仿宋" w:hAnsi="仿宋" w:eastAsia="仿宋"/>
          <w:sz w:val="28"/>
          <w:szCs w:val="28"/>
        </w:rPr>
        <w:t>八、</w:t>
      </w:r>
      <w:r>
        <w:rPr>
          <w:rStyle w:val="15"/>
          <w:rFonts w:hint="eastAsia" w:ascii="仿宋" w:hAnsi="仿宋" w:eastAsia="仿宋" w:cstheme="majorBidi"/>
          <w:bCs/>
          <w:sz w:val="28"/>
          <w:szCs w:val="28"/>
        </w:rPr>
        <w:t>政府性基金预算支出决算情况说明</w:t>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fldChar w:fldCharType="begin"/>
      </w:r>
      <w:r>
        <w:instrText xml:space="preserve"> HYPERLINK \l "_Toc15396611" </w:instrText>
      </w:r>
      <w:r>
        <w:fldChar w:fldCharType="separate"/>
      </w:r>
      <w:r>
        <w:rPr>
          <w:rStyle w:val="15"/>
          <w:rFonts w:hint="eastAsia" w:ascii="仿宋" w:hAnsi="仿宋" w:eastAsia="仿宋" w:cstheme="majorBidi"/>
          <w:bCs/>
          <w:sz w:val="28"/>
          <w:szCs w:val="28"/>
        </w:rPr>
        <w:t>九、</w:t>
      </w:r>
      <w:r>
        <w:rPr>
          <w:rStyle w:val="15"/>
          <w:rFonts w:hint="eastAsia" w:ascii="仿宋" w:hAnsi="仿宋" w:eastAsia="仿宋"/>
          <w:sz w:val="28"/>
          <w:szCs w:val="28"/>
        </w:rPr>
        <w:t xml:space="preserve"> 国</w:t>
      </w:r>
      <w:r>
        <w:rPr>
          <w:rStyle w:val="15"/>
          <w:rFonts w:hint="eastAsia" w:ascii="仿宋" w:hAnsi="仿宋" w:eastAsia="仿宋" w:cstheme="majorBidi"/>
          <w:bCs/>
          <w:sz w:val="28"/>
          <w:szCs w:val="28"/>
        </w:rPr>
        <w:t>有资本经营预算支出决算情况说明</w:t>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fldChar w:fldCharType="begin"/>
      </w:r>
      <w:r>
        <w:instrText xml:space="preserve"> HYPERLINK \l "_Toc15396612" </w:instrText>
      </w:r>
      <w:r>
        <w:fldChar w:fldCharType="separate"/>
      </w:r>
      <w:r>
        <w:rPr>
          <w:rStyle w:val="15"/>
          <w:rFonts w:hint="eastAsia" w:ascii="仿宋" w:hAnsi="仿宋" w:eastAsia="仿宋"/>
          <w:sz w:val="28"/>
          <w:szCs w:val="28"/>
        </w:rPr>
        <w:t>十</w:t>
      </w:r>
      <w:r>
        <w:rPr>
          <w:rStyle w:val="15"/>
          <w:rFonts w:hint="eastAsia" w:ascii="仿宋" w:hAnsi="仿宋" w:eastAsia="仿宋" w:cstheme="majorBidi"/>
          <w:bCs/>
          <w:sz w:val="28"/>
          <w:szCs w:val="28"/>
        </w:rPr>
        <w:t>、其他重要事项的情况说明</w:t>
      </w:r>
      <w:r>
        <w:rPr>
          <w:rFonts w:ascii="仿宋" w:hAnsi="仿宋" w:eastAsia="仿宋"/>
          <w:sz w:val="28"/>
          <w:szCs w:val="28"/>
        </w:rPr>
        <w:fldChar w:fldCharType="end"/>
      </w:r>
    </w:p>
    <w:p>
      <w:pPr>
        <w:pStyle w:val="10"/>
        <w:jc w:val="center"/>
        <w:rPr>
          <w:rFonts w:cstheme="minorBidi"/>
        </w:rPr>
      </w:pPr>
      <w:r>
        <w:fldChar w:fldCharType="begin"/>
      </w:r>
      <w:r>
        <w:instrText xml:space="preserve"> HYPERLINK \l "_Toc15396613" </w:instrText>
      </w:r>
      <w:r>
        <w:fldChar w:fldCharType="separate"/>
      </w:r>
      <w:r>
        <w:rPr>
          <w:rStyle w:val="15"/>
          <w:rFonts w:hint="eastAsia"/>
          <w:bCs/>
          <w:kern w:val="44"/>
        </w:rPr>
        <w:t>第三部分</w:t>
      </w:r>
      <w:r>
        <w:rPr>
          <w:rStyle w:val="15"/>
          <w:rFonts w:hint="eastAsia"/>
        </w:rPr>
        <w:t xml:space="preserve"> 名</w:t>
      </w:r>
      <w:r>
        <w:rPr>
          <w:rStyle w:val="15"/>
          <w:rFonts w:hint="eastAsia"/>
          <w:bCs/>
          <w:kern w:val="44"/>
        </w:rPr>
        <w:t>词解释</w:t>
      </w:r>
      <w:r>
        <w:fldChar w:fldCharType="end"/>
      </w:r>
    </w:p>
    <w:p>
      <w:pPr>
        <w:pStyle w:val="10"/>
        <w:jc w:val="center"/>
        <w:rPr>
          <w:rFonts w:cstheme="minorBidi"/>
        </w:rPr>
      </w:pPr>
      <w:r>
        <w:fldChar w:fldCharType="begin"/>
      </w:r>
      <w:r>
        <w:instrText xml:space="preserve"> HYPERLINK \l "_Toc15396614" </w:instrText>
      </w:r>
      <w:r>
        <w:fldChar w:fldCharType="separate"/>
      </w:r>
      <w:r>
        <w:rPr>
          <w:rStyle w:val="15"/>
          <w:rFonts w:hint="eastAsia"/>
        </w:rPr>
        <w:t>第</w:t>
      </w:r>
      <w:r>
        <w:rPr>
          <w:rStyle w:val="15"/>
          <w:rFonts w:hint="eastAsia"/>
          <w:bCs/>
          <w:kern w:val="44"/>
        </w:rPr>
        <w:t>四部分</w:t>
      </w:r>
      <w:r>
        <w:rPr>
          <w:rStyle w:val="15"/>
          <w:bCs/>
          <w:kern w:val="44"/>
        </w:rPr>
        <w:t xml:space="preserve"> </w:t>
      </w:r>
      <w:r>
        <w:rPr>
          <w:rStyle w:val="15"/>
          <w:rFonts w:hint="eastAsia"/>
          <w:bCs/>
          <w:kern w:val="44"/>
        </w:rPr>
        <w:t>附件</w:t>
      </w:r>
      <w:r>
        <w:fldChar w:fldCharType="end"/>
      </w:r>
    </w:p>
    <w:p>
      <w:pPr>
        <w:pStyle w:val="11"/>
        <w:ind w:left="0" w:leftChars="0" w:firstLine="0" w:firstLineChars="0"/>
        <w:rPr>
          <w:rFonts w:ascii="仿宋" w:hAnsi="仿宋" w:eastAsia="仿宋" w:cstheme="minorBidi"/>
          <w:sz w:val="28"/>
          <w:szCs w:val="28"/>
        </w:rPr>
      </w:pPr>
      <w:r>
        <w:fldChar w:fldCharType="begin"/>
      </w:r>
      <w:r>
        <w:instrText xml:space="preserve"> HYPERLINK \l "_Toc15396615"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1</w:t>
      </w:r>
      <w:r>
        <w:rPr>
          <w:rFonts w:ascii="仿宋" w:hAnsi="仿宋" w:eastAsia="仿宋"/>
          <w:sz w:val="28"/>
          <w:szCs w:val="28"/>
        </w:rPr>
        <w:fldChar w:fldCharType="end"/>
      </w:r>
    </w:p>
    <w:p>
      <w:pPr>
        <w:pStyle w:val="10"/>
        <w:jc w:val="center"/>
        <w:rPr>
          <w:rFonts w:cstheme="minorBidi"/>
        </w:rPr>
      </w:pPr>
      <w:r>
        <w:fldChar w:fldCharType="begin"/>
      </w:r>
      <w:r>
        <w:instrText xml:space="preserve"> HYPERLINK \l "_Toc15396618" </w:instrText>
      </w:r>
      <w:r>
        <w:fldChar w:fldCharType="separate"/>
      </w:r>
      <w:r>
        <w:rPr>
          <w:rStyle w:val="15"/>
          <w:rFonts w:hint="eastAsia"/>
        </w:rPr>
        <w:t>第</w:t>
      </w:r>
      <w:r>
        <w:rPr>
          <w:rStyle w:val="15"/>
          <w:rFonts w:hint="eastAsia"/>
          <w:bCs/>
          <w:kern w:val="44"/>
        </w:rPr>
        <w:t>五部分</w:t>
      </w:r>
      <w:r>
        <w:rPr>
          <w:rStyle w:val="15"/>
          <w:bCs/>
          <w:kern w:val="44"/>
        </w:rPr>
        <w:t xml:space="preserve"> </w:t>
      </w:r>
      <w:r>
        <w:rPr>
          <w:rStyle w:val="15"/>
          <w:rFonts w:hint="eastAsia"/>
          <w:bCs/>
          <w:kern w:val="44"/>
        </w:rPr>
        <w:t>附表</w:t>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5"/>
          <w:rFonts w:hint="eastAsia" w:ascii="仿宋" w:hAnsi="仿宋" w:eastAsia="仿宋"/>
          <w:sz w:val="28"/>
          <w:szCs w:val="28"/>
        </w:rPr>
        <w:t>收入支出决算总表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5"/>
          <w:rFonts w:hint="eastAsia" w:ascii="仿宋" w:hAnsi="仿宋" w:eastAsia="仿宋"/>
          <w:sz w:val="28"/>
          <w:szCs w:val="28"/>
        </w:rPr>
        <w:t>收入总表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5"/>
          <w:rFonts w:hint="eastAsia" w:ascii="仿宋" w:hAnsi="仿宋" w:eastAsia="仿宋"/>
          <w:sz w:val="28"/>
          <w:szCs w:val="28"/>
        </w:rPr>
        <w:t>支出总表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5"/>
          <w:rFonts w:hint="eastAsia" w:ascii="仿宋" w:hAnsi="仿宋" w:eastAsia="仿宋"/>
          <w:sz w:val="28"/>
          <w:szCs w:val="28"/>
        </w:rPr>
        <w:t>财政拨款收入支出决算总表</w:t>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5"/>
          <w:rFonts w:hint="eastAsia" w:ascii="仿宋" w:hAnsi="仿宋" w:eastAsia="仿宋"/>
          <w:sz w:val="28"/>
          <w:szCs w:val="28"/>
        </w:rPr>
        <w:t>一般公共预算财政拨款支出决算表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5"/>
          <w:rFonts w:hint="eastAsia" w:ascii="仿宋" w:hAnsi="仿宋" w:eastAsia="仿宋"/>
          <w:sz w:val="28"/>
          <w:szCs w:val="28"/>
        </w:rPr>
        <w:t>一般公共预算财政拨款支出决算明细表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5"/>
          <w:rFonts w:hint="eastAsia" w:ascii="仿宋" w:hAnsi="仿宋" w:eastAsia="仿宋"/>
          <w:sz w:val="28"/>
          <w:szCs w:val="28"/>
        </w:rPr>
        <w:t>一般公共预算财政拨款基本支出决算表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5"/>
          <w:rFonts w:hint="eastAsia" w:ascii="仿宋" w:hAnsi="仿宋" w:eastAsia="仿宋"/>
          <w:sz w:val="28"/>
          <w:szCs w:val="28"/>
        </w:rPr>
        <w:t>一般公共预算财政拨款项目支出决算表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5"/>
          <w:rFonts w:hint="eastAsia" w:ascii="仿宋" w:hAnsi="仿宋" w:eastAsia="仿宋"/>
          <w:sz w:val="28"/>
          <w:szCs w:val="28"/>
        </w:rPr>
        <w:t>一般公共预算财政拨款“三公”经费支出决算表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5"/>
          <w:rFonts w:hint="eastAsia" w:ascii="仿宋" w:hAnsi="仿宋" w:eastAsia="仿宋"/>
          <w:sz w:val="28"/>
          <w:szCs w:val="28"/>
        </w:rPr>
        <w:t>政府性基金预算财政拨款收入支出决算表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5"/>
          <w:rFonts w:hint="eastAsia" w:ascii="仿宋" w:hAnsi="仿宋" w:eastAsia="仿宋"/>
          <w:sz w:val="28"/>
          <w:szCs w:val="28"/>
        </w:rPr>
        <w:t>政府性基金预算财政拨款“三公”经费支出决算表</w:t>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5"/>
          <w:rFonts w:hint="eastAsia" w:ascii="仿宋" w:hAnsi="仿宋" w:eastAsia="仿宋"/>
          <w:sz w:val="28"/>
          <w:szCs w:val="28"/>
        </w:rPr>
        <w:t>国有资本经营预算支出决算表</w:t>
      </w:r>
      <w:r>
        <w:rPr>
          <w:rFonts w:ascii="仿宋" w:hAnsi="仿宋" w:eastAsia="仿宋"/>
          <w:sz w:val="28"/>
          <w:szCs w:val="28"/>
        </w:rPr>
        <w:fldChar w:fldCharType="end"/>
      </w:r>
    </w:p>
    <w:p>
      <w:pPr>
        <w:ind w:firstLine="640"/>
        <w:rPr>
          <w:rStyle w:val="26"/>
          <w:rFonts w:hint="eastAsia" w:ascii="仿宋" w:hAnsi="仿宋" w:eastAsia="仿宋"/>
          <w:b w:val="0"/>
          <w:bCs w:val="0"/>
          <w:lang w:val="en-US" w:eastAsia="zh-CN"/>
        </w:rPr>
      </w:pPr>
      <w:r>
        <w:rPr>
          <w:rStyle w:val="26"/>
          <w:rFonts w:hint="eastAsia" w:ascii="仿宋" w:hAnsi="仿宋" w:eastAsia="仿宋"/>
          <w:b w:val="0"/>
          <w:bCs w:val="0"/>
          <w:lang w:val="en-US" w:eastAsia="zh-CN"/>
        </w:rPr>
        <w:t>十四、整体支出绩效评价打分表</w:t>
      </w:r>
    </w:p>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2"/>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6"/>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25" w:lineRule="atLeast"/>
        <w:ind w:left="0" w:right="0" w:firstLine="645"/>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（1）坚持正确的政治方向，团结、教育全县各族各界妇女以及各类妇女组织同党中央在思想上、政治上、行动上保持高度一致。</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25" w:lineRule="atLeast"/>
        <w:ind w:left="0" w:right="0" w:firstLine="645"/>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(2）紧密围绕县委、县政府的中心任务开展工作，团结、动员、组织全县妇女群众参与经济社会发展，努力推进中方县妇女儿童事业的发展。</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25" w:lineRule="atLeast"/>
        <w:ind w:left="0" w:right="0" w:firstLine="645"/>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(3)宣传马克思主义妇女观和男女平等思想，教育、引导妇女树立正确的世界观、人生观、价值观，弘扬“自尊、自信、自立、自强”的精神，积极开展对妇女的科技文化及生产劳动技能教育，全面提高妇女素质。</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25" w:lineRule="atLeast"/>
        <w:ind w:left="0" w:right="0" w:firstLine="645"/>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(4)代表妇女参与社会事务的民主管理和民主监督；关注并积极研究涉及妇女切身利益的热点、难点问题，及时提出解决处理的建议；参与制定有关保护妇女儿童合法权益的政策并组织落实，切实维护妇女儿童合法权益。</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25" w:lineRule="atLeast"/>
        <w:ind w:left="0" w:right="0" w:firstLine="645"/>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(5)坚持为妇女儿童服务、为基层服务，加强与社会各界的联系，协调、推动社会各界为妇女儿童办好事、办实事。</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25" w:lineRule="atLeast"/>
        <w:ind w:left="0" w:right="0" w:firstLine="645"/>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(6)加强与社会各界妇女的联系，巩固和扩大各族各界妇女的大团结。</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25" w:lineRule="atLeast"/>
        <w:ind w:left="0" w:right="0" w:firstLine="645"/>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(7)加强妇联组织自身建设，指导建立健全各级妇联和基层妇女组织。指导各级妇女组织按照章程独立自主地开展工作。加强干部队伍建设，提高妇联干部的整体素质。</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25" w:lineRule="atLeast"/>
        <w:ind w:left="0" w:right="0" w:firstLine="645"/>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(8)承担县妇女儿童工作委员会的日常工作。</w:t>
      </w:r>
    </w:p>
    <w:p>
      <w:pPr>
        <w:pStyle w:val="5"/>
        <w:keepNext w:val="0"/>
        <w:keepLines w:val="0"/>
        <w:pageBreakBefore w:val="0"/>
        <w:numPr>
          <w:ilvl w:val="0"/>
          <w:numId w:val="0"/>
        </w:numPr>
        <w:kinsoku/>
        <w:wordWrap/>
        <w:overflowPunct/>
        <w:topLinePunct w:val="0"/>
        <w:bidi w:val="0"/>
        <w:adjustRightInd w:val="0"/>
        <w:snapToGrid w:val="0"/>
        <w:spacing w:line="560" w:lineRule="exact"/>
        <w:ind w:leftChars="210" w:right="0" w:rightChars="0"/>
        <w:textAlignment w:val="auto"/>
        <w:outlineLvl w:val="9"/>
        <w:rPr>
          <w:rFonts w:hint="eastAsia" w:ascii="宋体" w:hAnsi="宋体" w:eastAsia="宋体" w:cs="宋体"/>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(9)承办县委、县政府和市妇联交办的其他事项。</w:t>
      </w:r>
    </w:p>
    <w:bookmarkEnd w:id="16"/>
    <w:bookmarkEnd w:id="17"/>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8" w:name="_Toc15377199"/>
      <w:bookmarkStart w:id="19"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pStyle w:val="5"/>
        <w:keepNext w:val="0"/>
        <w:keepLines w:val="0"/>
        <w:pageBreakBefore w:val="0"/>
        <w:kinsoku/>
        <w:wordWrap/>
        <w:overflowPunct/>
        <w:topLinePunct w:val="0"/>
        <w:bidi w:val="0"/>
        <w:adjustRightInd w:val="0"/>
        <w:snapToGrid w:val="0"/>
        <w:spacing w:line="560" w:lineRule="exact"/>
        <w:ind w:left="0" w:leftChars="0" w:right="0" w:rightChars="0" w:firstLine="672" w:firstLineChars="210"/>
        <w:textAlignment w:val="auto"/>
        <w:outlineLvl w:val="9"/>
        <w:rPr>
          <w:rFonts w:hint="eastAsia" w:ascii="楷体_GB2312" w:hAnsi="楷体_GB2312" w:eastAsia="楷体_GB2312" w:cs="楷体_GB2312"/>
          <w:b/>
          <w:bCs w:val="0"/>
          <w:color w:val="000000"/>
          <w:sz w:val="32"/>
          <w:szCs w:val="32"/>
        </w:rPr>
      </w:pPr>
      <w:r>
        <w:rPr>
          <w:rFonts w:hint="eastAsia" w:ascii="仿宋_GB2312" w:hAnsi="仿宋" w:eastAsia="仿宋_GB2312"/>
          <w:sz w:val="32"/>
          <w:szCs w:val="32"/>
        </w:rPr>
        <w:t>2018年，红原县妇联在县委的坚强领导下，在县政府的</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大力支持下，在州妇联的指导和关心下，按照年度工作目标任务，以构建和谐社会关系为工作核心，以加强妇联组织建设为基础，以开展“姐妹宣讲团”活动等品牌工作为统领，工作方式不断创新，工作成效不断凸显，维护好了广大妇女群众的合法权益，为推进红原建设发挥了一定的作用</w:t>
      </w:r>
      <w:r>
        <w:rPr>
          <w:rFonts w:hint="eastAsia" w:ascii="仿宋_GB2312" w:hAnsi="仿宋" w:eastAsia="仿宋_GB2312"/>
          <w:sz w:val="32"/>
          <w:szCs w:val="32"/>
          <w:lang w:eastAsia="zh-CN"/>
        </w:rPr>
        <w:t>。</w:t>
      </w:r>
      <w:r>
        <w:rPr>
          <w:rFonts w:hint="eastAsia" w:ascii="仿宋_GB2312" w:hAnsi="仿宋" w:eastAsia="仿宋_GB2312"/>
          <w:sz w:val="32"/>
          <w:szCs w:val="32"/>
        </w:rPr>
        <w:t>1、实施维权行动、维护妇女儿童合法权益。2、积极开展扶贫帮困活动加强贫困母亲帮扶，为困难家庭群体排忧解难。3、认真组织实施了群团工作服务站（安曲镇）的站点建设。 4、坚持群众路线，做好联系村及联系寺庙工作。</w:t>
      </w:r>
      <w:r>
        <w:rPr>
          <w:rFonts w:hint="eastAsia" w:ascii="仿宋_GB2312" w:hAnsi="仿宋" w:eastAsia="仿宋_GB2312"/>
          <w:sz w:val="32"/>
          <w:szCs w:val="32"/>
          <w:lang w:val="en-US" w:eastAsia="zh-CN"/>
        </w:rPr>
        <w:t>5</w:t>
      </w:r>
      <w:r>
        <w:rPr>
          <w:rFonts w:hint="eastAsia" w:ascii="仿宋_GB2312" w:hAnsi="仿宋" w:eastAsia="仿宋_GB2312"/>
          <w:sz w:val="32"/>
          <w:szCs w:val="32"/>
        </w:rPr>
        <w:t>、加强基层组织建设，增强基层妇女技能</w:t>
      </w:r>
      <w:r>
        <w:rPr>
          <w:rFonts w:hint="eastAsia" w:ascii="仿宋_GB2312" w:hAnsi="仿宋" w:eastAsia="仿宋_GB2312"/>
          <w:sz w:val="32"/>
          <w:szCs w:val="32"/>
          <w:lang w:eastAsia="zh-CN"/>
        </w:rPr>
        <w:t>。</w:t>
      </w:r>
    </w:p>
    <w:p>
      <w:pPr>
        <w:pStyle w:val="3"/>
        <w:rPr>
          <w:rStyle w:val="26"/>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numPr>
          <w:ilvl w:val="0"/>
          <w:numId w:val="0"/>
        </w:numPr>
        <w:snapToGrid w:val="0"/>
        <w:spacing w:line="520" w:lineRule="exact"/>
        <w:ind w:leftChars="200"/>
        <w:rPr>
          <w:rFonts w:hint="eastAsia" w:ascii="仿宋_GB2312" w:hAnsi="仿宋" w:eastAsia="仿宋_GB2312"/>
          <w:sz w:val="32"/>
          <w:szCs w:val="32"/>
          <w:lang w:val="en-US" w:eastAsia="zh-CN"/>
        </w:rPr>
      </w:pPr>
      <w:r>
        <w:rPr>
          <w:rFonts w:hint="eastAsia" w:ascii="仿宋_GB2312" w:hAnsi="仿宋_GB2312" w:eastAsia="仿宋_GB2312" w:cs="仿宋_GB2312"/>
          <w:bCs/>
          <w:sz w:val="32"/>
          <w:szCs w:val="32"/>
        </w:rPr>
        <w:t xml:space="preserve"> 我单位为独立核算全额拨款行政单位</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无下属单位。</w:t>
      </w:r>
      <w:r>
        <w:rPr>
          <w:rFonts w:hint="eastAsia" w:ascii="仿宋_GB2312" w:hAnsi="仿宋" w:eastAsia="仿宋_GB2312"/>
          <w:sz w:val="32"/>
          <w:szCs w:val="32"/>
          <w:lang w:val="en-US" w:eastAsia="zh-CN"/>
        </w:rPr>
        <w:t xml:space="preserve"> 本单位上年末有编制人数6人、实有人数5人；本年度年末编制人数6人、实有人数5人</w:t>
      </w:r>
      <w:r>
        <w:rPr>
          <w:rFonts w:hint="eastAsia" w:ascii="仿宋_GB2312" w:hAnsi="仿宋" w:eastAsia="仿宋_GB2312"/>
          <w:sz w:val="32"/>
          <w:szCs w:val="32"/>
        </w:rPr>
        <w:t>。</w:t>
      </w:r>
    </w:p>
    <w:p>
      <w:pPr>
        <w:widowControl/>
        <w:jc w:val="left"/>
        <w:rPr>
          <w:rFonts w:ascii="仿宋" w:hAnsi="仿宋" w:eastAsia="仿宋"/>
          <w:color w:val="000000"/>
          <w:kern w:val="0"/>
          <w:sz w:val="32"/>
          <w:szCs w:val="32"/>
        </w:rPr>
      </w:pPr>
    </w:p>
    <w:p>
      <w:pPr>
        <w:pStyle w:val="2"/>
        <w:ind w:right="440"/>
        <w:jc w:val="right"/>
        <w:rPr>
          <w:rStyle w:val="25"/>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2018年度部门决算情况说明</w:t>
      </w:r>
      <w:bookmarkEnd w:id="22"/>
      <w:bookmarkEnd w:id="23"/>
    </w:p>
    <w:p/>
    <w:p>
      <w:pPr>
        <w:pStyle w:val="24"/>
        <w:numPr>
          <w:ilvl w:val="0"/>
          <w:numId w:val="1"/>
        </w:numPr>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2018年度收</w:t>
      </w:r>
      <w:r>
        <w:rPr>
          <w:rFonts w:hint="eastAsia" w:ascii="仿宋" w:hAnsi="仿宋" w:eastAsia="仿宋"/>
          <w:color w:val="000000"/>
          <w:sz w:val="32"/>
          <w:szCs w:val="32"/>
          <w:lang w:val="en-US" w:eastAsia="zh-CN"/>
        </w:rPr>
        <w:t>入总计148.01万元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总计110.53万元。与2017年相比，收</w:t>
      </w:r>
      <w:r>
        <w:rPr>
          <w:rFonts w:hint="eastAsia" w:ascii="仿宋" w:hAnsi="仿宋" w:eastAsia="仿宋"/>
          <w:color w:val="000000"/>
          <w:sz w:val="32"/>
          <w:szCs w:val="32"/>
          <w:lang w:val="en-US" w:eastAsia="zh-CN"/>
        </w:rPr>
        <w:t>入总计增加30.57万元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增长26%。</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是2018年州妇联专项妇女居家灵活就业资金增加。</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减少16.67万元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下降13</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val="en-US" w:eastAsia="zh-CN"/>
        </w:rPr>
        <w:t>2018年州妇联专项妇女居家灵活就业资金年底才下达，导致资金没有支出。</w:t>
      </w:r>
    </w:p>
    <w:p>
      <w:pPr>
        <w:spacing w:line="600" w:lineRule="exact"/>
        <w:jc w:val="center"/>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收、支决算总计变动情况图</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_GB2312" w:eastAsia="仿宋_GB2312"/>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4184015" cy="2395855"/>
            <wp:effectExtent l="4445" t="4445" r="21590" b="1905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4"/>
        <w:numPr>
          <w:ilvl w:val="0"/>
          <w:numId w:val="1"/>
        </w:numPr>
        <w:spacing w:line="600" w:lineRule="exact"/>
        <w:ind w:firstLineChars="0"/>
        <w:outlineLvl w:val="1"/>
        <w:rPr>
          <w:rStyle w:val="26"/>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8年本年收入合计148.01万元，其中：一般公共预算财政拨款收入147.98万元，占</w:t>
      </w:r>
      <w:r>
        <w:rPr>
          <w:rFonts w:hint="eastAsia" w:ascii="仿宋" w:hAnsi="仿宋" w:eastAsia="仿宋"/>
          <w:color w:val="000000"/>
          <w:sz w:val="32"/>
          <w:szCs w:val="32"/>
          <w:lang w:val="en-US" w:eastAsia="zh-CN"/>
        </w:rPr>
        <w:t>99.98</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；其他收入0.03万元，占</w:t>
      </w:r>
      <w:r>
        <w:rPr>
          <w:rFonts w:hint="eastAsia" w:ascii="仿宋" w:hAnsi="仿宋" w:eastAsia="仿宋"/>
          <w:color w:val="000000"/>
          <w:sz w:val="32"/>
          <w:szCs w:val="32"/>
          <w:lang w:val="en-US" w:eastAsia="zh-CN"/>
        </w:rPr>
        <w:t>0.02</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jc w:val="center"/>
        <w:outlineLvl w:val="1"/>
        <w:rPr>
          <w:rFonts w:hint="eastAsia" w:ascii="仿宋" w:hAnsi="仿宋" w:eastAsia="仿宋"/>
          <w:b/>
          <w:bCs/>
          <w:color w:val="000000"/>
          <w:sz w:val="32"/>
          <w:szCs w:val="32"/>
          <w:lang w:eastAsia="zh-CN"/>
        </w:rPr>
      </w:pPr>
      <w:r>
        <w:rPr>
          <w:rFonts w:hint="eastAsia" w:ascii="仿宋" w:hAnsi="仿宋" w:eastAsia="仿宋"/>
          <w:b/>
          <w:bCs/>
          <w:color w:val="000000"/>
          <w:sz w:val="32"/>
          <w:szCs w:val="32"/>
          <w:lang w:eastAsia="zh-CN"/>
        </w:rPr>
        <w:t>收入决算结构图</w:t>
      </w: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 w:hAnsi="仿宋" w:eastAsia="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100" w:lineRule="exact"/>
        <w:ind w:firstLine="640" w:firstLineChars="200"/>
        <w:textAlignment w:val="auto"/>
        <w:outlineLvl w:val="1"/>
        <w:rPr>
          <w:rFonts w:hint="eastAsia" w:ascii="仿宋" w:hAnsi="仿宋" w:eastAsia="仿宋"/>
          <w:color w:val="000000"/>
          <w:sz w:val="32"/>
          <w:szCs w:val="32"/>
          <w:lang w:eastAsia="zh-CN"/>
        </w:rPr>
      </w:pPr>
    </w:p>
    <w:p>
      <w:pPr>
        <w:spacing w:line="600" w:lineRule="exact"/>
        <w:ind w:firstLine="640" w:firstLineChars="200"/>
        <w:jc w:val="center"/>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eastAsia="zh-CN"/>
        </w:rPr>
        <w:drawing>
          <wp:anchor distT="0" distB="0" distL="114300" distR="114300" simplePos="0" relativeHeight="251667456" behindDoc="0" locked="0" layoutInCell="1" allowOverlap="1">
            <wp:simplePos x="0" y="0"/>
            <wp:positionH relativeFrom="column">
              <wp:posOffset>208280</wp:posOffset>
            </wp:positionH>
            <wp:positionV relativeFrom="paragraph">
              <wp:posOffset>55245</wp:posOffset>
            </wp:positionV>
            <wp:extent cx="5009515" cy="3757930"/>
            <wp:effectExtent l="4445" t="4445" r="15240" b="952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themeColor="text1"/>
          <w:sz w:val="32"/>
          <w:szCs w:val="32"/>
          <w14:textFill>
            <w14:solidFill>
              <w14:schemeClr w14:val="tx1"/>
            </w14:solidFill>
          </w14:textFill>
        </w:rPr>
        <w:t>（图2：收入决算结构图）（饼状图）</w:t>
      </w:r>
    </w:p>
    <w:p>
      <w:pPr>
        <w:pStyle w:val="24"/>
        <w:numPr>
          <w:ilvl w:val="0"/>
          <w:numId w:val="1"/>
        </w:numPr>
        <w:spacing w:line="600" w:lineRule="exact"/>
        <w:ind w:firstLineChars="0"/>
        <w:outlineLvl w:val="1"/>
        <w:rPr>
          <w:rStyle w:val="26"/>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8年本年支出合计110.53万元，其中：基本支出98.26万元，占</w:t>
      </w:r>
      <w:r>
        <w:rPr>
          <w:rFonts w:hint="eastAsia" w:ascii="仿宋" w:hAnsi="仿宋" w:eastAsia="仿宋"/>
          <w:color w:val="000000"/>
          <w:sz w:val="32"/>
          <w:szCs w:val="32"/>
          <w:lang w:val="en-US" w:eastAsia="zh-CN"/>
        </w:rPr>
        <w:t>88.9</w:t>
      </w:r>
      <w:r>
        <w:rPr>
          <w:rFonts w:ascii="仿宋" w:hAnsi="仿宋" w:eastAsia="仿宋"/>
          <w:color w:val="000000"/>
          <w:sz w:val="32"/>
          <w:szCs w:val="32"/>
        </w:rPr>
        <w:t>%</w:t>
      </w:r>
      <w:r>
        <w:rPr>
          <w:rFonts w:hint="eastAsia" w:ascii="仿宋" w:hAnsi="仿宋" w:eastAsia="仿宋"/>
          <w:color w:val="000000"/>
          <w:sz w:val="32"/>
          <w:szCs w:val="32"/>
        </w:rPr>
        <w:t>；项目支出12.27万元，占</w:t>
      </w:r>
      <w:r>
        <w:rPr>
          <w:rFonts w:hint="eastAsia" w:ascii="仿宋" w:hAnsi="仿宋" w:eastAsia="仿宋"/>
          <w:color w:val="000000"/>
          <w:sz w:val="32"/>
          <w:szCs w:val="32"/>
          <w:lang w:val="en-US" w:eastAsia="zh-CN"/>
        </w:rPr>
        <w:t>11.1</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br w:type="page"/>
      </w:r>
    </w:p>
    <w:p>
      <w:pPr>
        <w:spacing w:line="600" w:lineRule="exac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eastAsia="zh-CN"/>
        </w:rPr>
        <w:drawing>
          <wp:anchor distT="0" distB="0" distL="114300" distR="114300" simplePos="0" relativeHeight="251677696" behindDoc="0" locked="0" layoutInCell="1" allowOverlap="1">
            <wp:simplePos x="0" y="0"/>
            <wp:positionH relativeFrom="column">
              <wp:posOffset>106045</wp:posOffset>
            </wp:positionH>
            <wp:positionV relativeFrom="paragraph">
              <wp:posOffset>3175</wp:posOffset>
            </wp:positionV>
            <wp:extent cx="5080000" cy="3810000"/>
            <wp:effectExtent l="4445" t="4445" r="20955" b="1460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bookmarkStart w:id="30" w:name="_Toc15377208"/>
      <w:bookmarkStart w:id="31" w:name="_Toc15396606"/>
      <w:r>
        <w:rPr>
          <w:rFonts w:hint="eastAsia" w:ascii="仿宋" w:hAnsi="仿宋" w:eastAsia="仿宋"/>
          <w:color w:val="000000"/>
          <w:sz w:val="32"/>
          <w:szCs w:val="32"/>
          <w:lang w:eastAsia="zh-CN"/>
        </w:rPr>
        <w:t>　　</w:t>
      </w: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rPr>
          <w:rStyle w:val="26"/>
          <w:rFonts w:ascii="黑体" w:hAnsi="黑体" w:eastAsia="黑体"/>
          <w:b w:val="0"/>
        </w:rPr>
      </w:pPr>
      <w:r>
        <w:rPr>
          <w:rFonts w:hint="eastAsia" w:ascii="黑体" w:hAnsi="黑体" w:eastAsia="黑体"/>
          <w:color w:val="000000"/>
          <w:sz w:val="32"/>
          <w:szCs w:val="32"/>
          <w:lang w:eastAsia="zh-CN"/>
        </w:rPr>
        <w:t>　　</w:t>
      </w:r>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8年财政拨款收</w:t>
      </w:r>
      <w:r>
        <w:rPr>
          <w:rFonts w:hint="eastAsia" w:ascii="仿宋" w:hAnsi="仿宋" w:eastAsia="仿宋"/>
          <w:color w:val="000000"/>
          <w:sz w:val="32"/>
          <w:szCs w:val="32"/>
          <w:lang w:val="en-US" w:eastAsia="zh-CN"/>
        </w:rPr>
        <w:t>入总计147.98万元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110.53</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7年相比，财政拨款收</w:t>
      </w:r>
      <w:r>
        <w:rPr>
          <w:rFonts w:hint="eastAsia" w:ascii="仿宋" w:hAnsi="仿宋" w:eastAsia="仿宋"/>
          <w:color w:val="000000"/>
          <w:sz w:val="32"/>
          <w:szCs w:val="32"/>
          <w:lang w:val="en-US" w:eastAsia="zh-CN"/>
        </w:rPr>
        <w:t>入总计增加38.32万元，增长34.94%，</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2018年州妇联专项妇女居家灵活就业资金增加；</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减少13.6</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下降10.96</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val="en-US" w:eastAsia="zh-CN"/>
        </w:rPr>
        <w:t>是州妇联专项资金年底才下达，导致没有支出。</w:t>
      </w:r>
    </w:p>
    <w:p>
      <w:pPr>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br w:type="page"/>
      </w:r>
    </w:p>
    <w:p>
      <w:pPr>
        <w:spacing w:line="600" w:lineRule="exact"/>
        <w:jc w:val="center"/>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收、支决算总计变动情况图</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_GB2312" w:eastAsia="仿宋_GB2312"/>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4184015" cy="2395855"/>
            <wp:effectExtent l="4445" t="4445" r="21590" b="1905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outlineLvl w:val="1"/>
        <w:rPr>
          <w:rStyle w:val="26"/>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110.53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w:t>
      </w:r>
      <w:r>
        <w:rPr>
          <w:rFonts w:hint="eastAsia" w:ascii="仿宋" w:hAnsi="仿宋" w:eastAsia="仿宋"/>
          <w:color w:val="000000"/>
          <w:sz w:val="32"/>
          <w:szCs w:val="32"/>
          <w:lang w:val="en-US" w:eastAsia="zh-CN"/>
        </w:rPr>
        <w:t>0.87</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0.79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2018年支出2017年“两癌”救助款。</w:t>
      </w:r>
    </w:p>
    <w:p>
      <w:pPr>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center"/>
        <w:textAlignment w:val="auto"/>
        <w:rPr>
          <w:rFonts w:ascii="仿宋_GB2312" w:eastAsia="仿宋_GB2312"/>
          <w:color w:val="000000"/>
          <w:sz w:val="32"/>
          <w:szCs w:val="32"/>
        </w:rPr>
      </w:pPr>
      <w:r>
        <w:rPr>
          <w:rFonts w:hint="eastAsia" w:ascii="仿宋" w:hAnsi="仿宋" w:eastAsia="仿宋"/>
          <w:b/>
          <w:bCs/>
          <w:color w:val="000000" w:themeColor="text1"/>
          <w:sz w:val="32"/>
          <w:szCs w:val="32"/>
          <w14:textFill>
            <w14:solidFill>
              <w14:schemeClr w14:val="tx1"/>
            </w14:solidFill>
          </w14:textFill>
        </w:rPr>
        <w:t>一般公共预算财政拨款支出决算变动情况</w:t>
      </w: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4184015" cy="2395855"/>
            <wp:effectExtent l="4445" t="4445" r="21590" b="1905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jc w:val="center"/>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jc w:val="center"/>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110.53</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支出86.27万元，占</w:t>
      </w:r>
      <w:r>
        <w:rPr>
          <w:rFonts w:hint="eastAsia" w:ascii="仿宋" w:hAnsi="仿宋" w:eastAsia="仿宋"/>
          <w:color w:val="000000" w:themeColor="text1"/>
          <w:sz w:val="32"/>
          <w:szCs w:val="32"/>
          <w:lang w:val="en-US" w:eastAsia="zh-CN"/>
          <w14:textFill>
            <w14:solidFill>
              <w14:schemeClr w14:val="tx1"/>
            </w14:solidFill>
          </w14:textFill>
        </w:rPr>
        <w:t>78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b/>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支出12.19万元，占</w:t>
      </w:r>
      <w:r>
        <w:rPr>
          <w:rFonts w:hint="eastAsia" w:ascii="仿宋" w:hAnsi="仿宋" w:eastAsia="仿宋"/>
          <w:color w:val="000000" w:themeColor="text1"/>
          <w:sz w:val="32"/>
          <w:szCs w:val="32"/>
          <w:lang w:val="en-US" w:eastAsia="zh-CN"/>
          <w14:textFill>
            <w14:solidFill>
              <w14:schemeClr w14:val="tx1"/>
            </w14:solidFill>
          </w14:textFill>
        </w:rPr>
        <w:t>11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；医疗卫生支出4.89万元，占</w:t>
      </w:r>
      <w:r>
        <w:rPr>
          <w:rFonts w:hint="eastAsia" w:ascii="仿宋" w:hAnsi="仿宋" w:eastAsia="仿宋"/>
          <w:color w:val="000000" w:themeColor="text1"/>
          <w:sz w:val="32"/>
          <w:szCs w:val="32"/>
          <w:lang w:val="en-US" w:eastAsia="zh-CN"/>
          <w14:textFill>
            <w14:solidFill>
              <w14:schemeClr w14:val="tx1"/>
            </w14:solidFill>
          </w14:textFill>
        </w:rPr>
        <w:t>4.4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；住房保障支出6.18万元，</w:t>
      </w:r>
    </w:p>
    <w:p>
      <w:pPr>
        <w:spacing w:line="600" w:lineRule="exact"/>
        <w:jc w:val="both"/>
        <w:rPr>
          <w:rFonts w:hint="eastAsia" w:ascii="仿宋" w:hAnsi="仿宋" w:eastAsia="仿宋"/>
          <w:b/>
          <w:bCs/>
          <w:color w:val="000000"/>
          <w:sz w:val="32"/>
          <w:szCs w:val="32"/>
        </w:rPr>
      </w:pP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5.6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其他支出1万元，占1%</w:t>
      </w:r>
      <w:r>
        <w:rPr>
          <w:rFonts w:hint="eastAsia" w:ascii="仿宋" w:hAnsi="仿宋" w:eastAsia="仿宋"/>
          <w:color w:val="000000" w:themeColor="text1"/>
          <w:sz w:val="32"/>
          <w:szCs w:val="32"/>
          <w14:textFill>
            <w14:solidFill>
              <w14:schemeClr w14:val="tx1"/>
            </w14:solidFill>
          </w14:textFill>
        </w:rPr>
        <w:t>。</w:t>
      </w:r>
    </w:p>
    <w:p>
      <w:pPr>
        <w:spacing w:line="600" w:lineRule="exact"/>
        <w:jc w:val="center"/>
        <w:rPr>
          <w:rFonts w:hint="eastAsia" w:ascii="仿宋" w:hAnsi="仿宋" w:eastAsia="仿宋"/>
          <w:b/>
          <w:bCs/>
          <w:color w:val="000000"/>
          <w:sz w:val="32"/>
          <w:szCs w:val="32"/>
        </w:rPr>
      </w:pPr>
    </w:p>
    <w:p>
      <w:pPr>
        <w:spacing w:line="600" w:lineRule="exact"/>
        <w:jc w:val="center"/>
        <w:rPr>
          <w:rFonts w:hint="eastAsia" w:ascii="仿宋" w:hAnsi="仿宋" w:eastAsia="仿宋"/>
          <w:b/>
          <w:bCs/>
          <w:color w:val="000000"/>
          <w:sz w:val="32"/>
          <w:szCs w:val="32"/>
        </w:rPr>
      </w:pPr>
    </w:p>
    <w:p>
      <w:pPr>
        <w:spacing w:line="600" w:lineRule="exact"/>
        <w:jc w:val="center"/>
        <w:rPr>
          <w:rFonts w:hint="eastAsia" w:ascii="仿宋" w:hAnsi="仿宋" w:eastAsia="仿宋"/>
          <w:b/>
          <w:bCs/>
          <w:color w:val="000000"/>
          <w:sz w:val="32"/>
          <w:szCs w:val="32"/>
        </w:rPr>
      </w:pPr>
    </w:p>
    <w:p>
      <w:pPr>
        <w:spacing w:line="600" w:lineRule="exact"/>
        <w:jc w:val="center"/>
        <w:rPr>
          <w:rFonts w:hint="eastAsia" w:ascii="仿宋" w:hAnsi="仿宋" w:eastAsia="仿宋"/>
          <w:b/>
          <w:bCs/>
          <w:color w:val="000000"/>
          <w:sz w:val="32"/>
          <w:szCs w:val="32"/>
        </w:rPr>
      </w:pPr>
      <w:r>
        <w:rPr>
          <w:rFonts w:hint="eastAsia" w:ascii="仿宋" w:hAnsi="仿宋" w:eastAsia="仿宋"/>
          <w:color w:val="000000"/>
          <w:sz w:val="32"/>
          <w:szCs w:val="32"/>
          <w:lang w:eastAsia="zh-CN"/>
        </w:rPr>
        <w:drawing>
          <wp:anchor distT="0" distB="0" distL="114300" distR="114300" simplePos="0" relativeHeight="251678720" behindDoc="0" locked="0" layoutInCell="1" allowOverlap="1">
            <wp:simplePos x="0" y="0"/>
            <wp:positionH relativeFrom="column">
              <wp:posOffset>99695</wp:posOffset>
            </wp:positionH>
            <wp:positionV relativeFrom="paragraph">
              <wp:posOffset>637540</wp:posOffset>
            </wp:positionV>
            <wp:extent cx="5080000" cy="3810000"/>
            <wp:effectExtent l="4445" t="4445" r="20955" b="14605"/>
            <wp:wrapSquare wrapText="bothSides"/>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b/>
          <w:bCs/>
          <w:color w:val="000000"/>
          <w:sz w:val="32"/>
          <w:szCs w:val="32"/>
        </w:rPr>
        <w:t>一般公共预算财政拨款支出决算结构</w:t>
      </w: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444"/>
      <w:bookmarkStart w:id="38" w:name="_Toc15377213"/>
      <w:bookmarkStart w:id="39" w:name="_Toc15378460"/>
      <w:r>
        <w:rPr>
          <w:rFonts w:hint="eastAsia" w:ascii="仿宋" w:hAnsi="仿宋" w:eastAsia="仿宋"/>
          <w:b/>
          <w:color w:val="000000" w:themeColor="text1"/>
          <w:sz w:val="32"/>
          <w:szCs w:val="32"/>
          <w14:textFill>
            <w14:solidFill>
              <w14:schemeClr w14:val="tx1"/>
            </w14:solidFill>
          </w14:textFill>
        </w:rPr>
        <w:t>2018年度一般公共预算财政拨款支出年初预算为</w:t>
      </w:r>
      <w:r>
        <w:rPr>
          <w:rFonts w:hint="eastAsia" w:ascii="仿宋" w:hAnsi="仿宋" w:eastAsia="仿宋"/>
          <w:b/>
          <w:color w:val="000000" w:themeColor="text1"/>
          <w:sz w:val="32"/>
          <w:szCs w:val="32"/>
          <w:lang w:val="en-US" w:eastAsia="zh-CN"/>
          <w14:textFill>
            <w14:solidFill>
              <w14:schemeClr w14:val="tx1"/>
            </w14:solidFill>
          </w14:textFill>
        </w:rPr>
        <w:t>157.34</w:t>
      </w:r>
      <w:r>
        <w:rPr>
          <w:rFonts w:hint="eastAsia" w:ascii="仿宋" w:hAnsi="仿宋" w:eastAsia="仿宋"/>
          <w:b/>
          <w:color w:val="000000" w:themeColor="text1"/>
          <w:sz w:val="32"/>
          <w:szCs w:val="32"/>
          <w14:textFill>
            <w14:solidFill>
              <w14:schemeClr w14:val="tx1"/>
            </w14:solidFill>
          </w14:textFill>
        </w:rPr>
        <w:t>万元，支出决算为</w:t>
      </w:r>
      <w:r>
        <w:rPr>
          <w:rFonts w:hint="eastAsia" w:ascii="仿宋" w:hAnsi="仿宋" w:eastAsia="仿宋"/>
          <w:b/>
          <w:color w:val="000000" w:themeColor="text1"/>
          <w:sz w:val="32"/>
          <w:szCs w:val="32"/>
          <w:lang w:val="en-US" w:eastAsia="zh-CN"/>
          <w14:textFill>
            <w14:solidFill>
              <w14:schemeClr w14:val="tx1"/>
            </w14:solidFill>
          </w14:textFill>
        </w:rPr>
        <w:t>110.53</w:t>
      </w:r>
      <w:r>
        <w:rPr>
          <w:rFonts w:hint="eastAsia" w:ascii="仿宋" w:hAnsi="仿宋" w:eastAsia="仿宋"/>
          <w:b/>
          <w:color w:val="000000" w:themeColor="text1"/>
          <w:sz w:val="32"/>
          <w:szCs w:val="32"/>
          <w14:textFill>
            <w14:solidFill>
              <w14:schemeClr w14:val="tx1"/>
            </w14:solidFill>
          </w14:textFill>
        </w:rPr>
        <w:t>万元，完成年初预算的</w:t>
      </w:r>
      <w:r>
        <w:rPr>
          <w:rFonts w:hint="eastAsia" w:ascii="仿宋" w:hAnsi="仿宋" w:eastAsia="仿宋"/>
          <w:b/>
          <w:color w:val="000000" w:themeColor="text1"/>
          <w:sz w:val="32"/>
          <w:szCs w:val="32"/>
          <w:lang w:val="en-US" w:eastAsia="zh-CN"/>
          <w14:textFill>
            <w14:solidFill>
              <w14:schemeClr w14:val="tx1"/>
            </w14:solidFill>
          </w14:textFill>
        </w:rPr>
        <w:t>70.25%，</w:t>
      </w:r>
      <w:r>
        <w:rPr>
          <w:rStyle w:val="14"/>
          <w:rFonts w:hint="eastAsia" w:ascii="仿宋" w:hAnsi="仿宋" w:eastAsia="仿宋"/>
          <w:bCs/>
          <w:color w:val="000000"/>
          <w:sz w:val="32"/>
          <w:szCs w:val="32"/>
        </w:rPr>
        <w:t>其中：</w:t>
      </w:r>
      <w:bookmarkEnd w:id="37"/>
      <w:bookmarkEnd w:id="38"/>
      <w:bookmarkEnd w:id="39"/>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一般公共服务</w:t>
      </w:r>
      <w:r>
        <w:rPr>
          <w:rStyle w:val="14"/>
          <w:rFonts w:hint="eastAsia" w:ascii="仿宋" w:hAnsi="仿宋" w:eastAsia="仿宋"/>
          <w:bCs/>
          <w:color w:val="000000"/>
          <w:sz w:val="32"/>
          <w:szCs w:val="32"/>
          <w:lang w:val="en-US" w:eastAsia="zh-CN"/>
        </w:rPr>
        <w:t>201</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29</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支出决算为86.27万元，完成预算</w:t>
      </w:r>
      <w:r>
        <w:rPr>
          <w:rStyle w:val="14"/>
          <w:rFonts w:hint="eastAsia" w:ascii="仿宋" w:hAnsi="仿宋" w:eastAsia="仿宋"/>
          <w:b w:val="0"/>
          <w:bCs/>
          <w:color w:val="000000"/>
          <w:sz w:val="32"/>
          <w:szCs w:val="32"/>
          <w:lang w:val="en-US" w:eastAsia="zh-CN"/>
        </w:rPr>
        <w:t>92.7</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w:t>
      </w:r>
      <w:r>
        <w:rPr>
          <w:rStyle w:val="14"/>
          <w:rFonts w:hint="eastAsia" w:ascii="仿宋" w:hAnsi="仿宋" w:eastAsia="仿宋"/>
          <w:b w:val="0"/>
          <w:bCs/>
          <w:color w:val="000000"/>
          <w:sz w:val="32"/>
          <w:szCs w:val="32"/>
          <w:lang w:val="en-US" w:eastAsia="zh-CN"/>
        </w:rPr>
        <w:t>是2018年由于副主席在外挂职，工作人员休产假等原因为开展姐妹宣讲团工作，没支出姐妹宣讲团工作经费</w:t>
      </w:r>
      <w:r>
        <w:rPr>
          <w:rStyle w:val="14"/>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2</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社会保障和就业</w:t>
      </w:r>
      <w:r>
        <w:rPr>
          <w:rStyle w:val="14"/>
          <w:rFonts w:hint="eastAsia" w:ascii="仿宋" w:hAnsi="仿宋" w:eastAsia="仿宋"/>
          <w:bCs/>
          <w:color w:val="000000"/>
          <w:sz w:val="32"/>
          <w:szCs w:val="32"/>
          <w:lang w:val="en-US" w:eastAsia="zh-CN"/>
        </w:rPr>
        <w:t>208</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（项）</w:t>
      </w:r>
      <w:r>
        <w:rPr>
          <w:rStyle w:val="14"/>
          <w:rFonts w:hint="eastAsia" w:ascii="仿宋" w:hAnsi="仿宋" w:eastAsia="仿宋"/>
          <w:bCs/>
          <w:color w:val="000000"/>
          <w:sz w:val="32"/>
          <w:szCs w:val="32"/>
          <w:lang w:val="en-US" w:eastAsia="zh-CN"/>
        </w:rPr>
        <w:t>和208</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06</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12.19</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3</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医疗卫生与计划生育</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04</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09</w:t>
      </w:r>
      <w:r>
        <w:rPr>
          <w:rStyle w:val="14"/>
          <w:rFonts w:hint="eastAsia" w:ascii="仿宋" w:hAnsi="仿宋" w:eastAsia="仿宋"/>
          <w:bCs/>
          <w:color w:val="000000"/>
          <w:sz w:val="32"/>
          <w:szCs w:val="32"/>
        </w:rPr>
        <w:t>（项）</w:t>
      </w:r>
      <w:r>
        <w:rPr>
          <w:rStyle w:val="14"/>
          <w:rFonts w:hint="eastAsia" w:ascii="仿宋" w:hAnsi="仿宋" w:eastAsia="仿宋"/>
          <w:bCs/>
          <w:color w:val="000000"/>
          <w:sz w:val="32"/>
          <w:szCs w:val="32"/>
          <w:lang w:val="en-US" w:eastAsia="zh-CN"/>
        </w:rPr>
        <w:t>和201</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（项）</w:t>
      </w:r>
      <w:r>
        <w:rPr>
          <w:rStyle w:val="14"/>
          <w:rFonts w:hint="eastAsia" w:ascii="仿宋" w:hAnsi="仿宋" w:eastAsia="仿宋"/>
          <w:bCs/>
          <w:color w:val="000000"/>
          <w:sz w:val="32"/>
          <w:szCs w:val="32"/>
          <w:lang w:val="en-US" w:eastAsia="zh-CN"/>
        </w:rPr>
        <w:t>和201</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11</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03</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支出决算为4.89万元，完成预算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Style w:val="14"/>
          <w:rFonts w:hint="eastAsia" w:ascii="仿宋" w:hAnsi="仿宋" w:eastAsia="仿宋"/>
          <w:bCs/>
          <w:color w:val="000000"/>
          <w:sz w:val="32"/>
          <w:szCs w:val="32"/>
          <w:lang w:val="en-US" w:eastAsia="zh-CN"/>
        </w:rPr>
      </w:pPr>
      <w:r>
        <w:rPr>
          <w:rStyle w:val="14"/>
          <w:rFonts w:hint="eastAsia" w:ascii="仿宋" w:hAnsi="仿宋" w:eastAsia="仿宋"/>
          <w:bCs/>
          <w:color w:val="000000"/>
          <w:sz w:val="32"/>
          <w:szCs w:val="32"/>
          <w:lang w:val="en-US" w:eastAsia="zh-CN"/>
        </w:rPr>
        <w:t>4.住房保障支出221</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02</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（项）</w:t>
      </w:r>
      <w:r>
        <w:rPr>
          <w:rStyle w:val="14"/>
          <w:rFonts w:hint="eastAsia" w:ascii="仿宋" w:hAnsi="仿宋" w:eastAsia="仿宋"/>
          <w:bCs/>
          <w:color w:val="000000"/>
          <w:sz w:val="32"/>
          <w:szCs w:val="32"/>
          <w:lang w:eastAsia="zh-CN"/>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6.18</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r>
        <w:rPr>
          <w:rStyle w:val="14"/>
          <w:rFonts w:hint="eastAsia" w:ascii="仿宋" w:hAnsi="仿宋" w:eastAsia="仿宋"/>
          <w:b w:val="0"/>
          <w:bCs/>
          <w:color w:val="000000"/>
          <w:sz w:val="32"/>
          <w:szCs w:val="32"/>
          <w:lang w:eastAsia="zh-CN"/>
        </w:rPr>
        <w:t>。</w:t>
      </w:r>
    </w:p>
    <w:p>
      <w:pPr>
        <w:spacing w:line="600" w:lineRule="exact"/>
        <w:ind w:firstLine="643" w:firstLineChars="200"/>
        <w:rPr>
          <w:rStyle w:val="14"/>
          <w:rFonts w:hint="default" w:ascii="仿宋" w:hAnsi="仿宋" w:eastAsia="仿宋"/>
          <w:bCs/>
          <w:color w:val="000000"/>
          <w:sz w:val="32"/>
          <w:szCs w:val="32"/>
          <w:lang w:val="en-US" w:eastAsia="zh-CN"/>
        </w:rPr>
      </w:pPr>
      <w:r>
        <w:rPr>
          <w:rStyle w:val="14"/>
          <w:rFonts w:hint="eastAsia" w:ascii="仿宋" w:hAnsi="仿宋" w:eastAsia="仿宋"/>
          <w:bCs/>
          <w:color w:val="000000"/>
          <w:sz w:val="32"/>
          <w:szCs w:val="32"/>
          <w:lang w:val="en-US" w:eastAsia="zh-CN"/>
        </w:rPr>
        <w:t>5其他支出229</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99</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（项）</w:t>
      </w:r>
      <w:r>
        <w:rPr>
          <w:rStyle w:val="14"/>
          <w:rFonts w:hint="eastAsia" w:ascii="仿宋" w:hAnsi="仿宋" w:eastAsia="仿宋"/>
          <w:bCs/>
          <w:color w:val="000000"/>
          <w:sz w:val="32"/>
          <w:szCs w:val="32"/>
          <w:lang w:eastAsia="zh-CN"/>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2.4</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val="en-US" w:eastAsia="zh-CN"/>
        </w:rPr>
        <w:t>小于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val="en-US" w:eastAsia="zh-CN"/>
        </w:rPr>
        <w:t>的主要原因是州妇联专项资金40万年底才下达，导致专项资金没有支出。</w:t>
      </w:r>
    </w:p>
    <w:p>
      <w:pPr>
        <w:tabs>
          <w:tab w:val="right" w:pos="8306"/>
        </w:tabs>
        <w:spacing w:line="600" w:lineRule="exact"/>
        <w:ind w:firstLine="640"/>
        <w:outlineLvl w:val="1"/>
        <w:rPr>
          <w:rStyle w:val="26"/>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8年一般公共预算财政拨款基本支出110.53万元，其中：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人员经费92.16万元，主要包括：基本工资18.6</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、津贴补贴35.34</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、奖金12.25</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、机关事业单位基本养老保险缴费8.71</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、职业年金缴费3.48</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公务员医疗补助缴费0.64万元、</w:t>
      </w:r>
      <w:r>
        <w:rPr>
          <w:rFonts w:hint="eastAsia" w:ascii="仿宋" w:hAnsi="仿宋" w:eastAsia="仿宋"/>
          <w:color w:val="000000"/>
          <w:sz w:val="32"/>
          <w:szCs w:val="32"/>
        </w:rPr>
        <w:t>其他社会保障缴费0.97</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、其他工资福利支出、离休费、退休费、抚恤金、生活补助2.12</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0.6万元</w:t>
      </w:r>
      <w:r>
        <w:rPr>
          <w:rFonts w:hint="eastAsia" w:ascii="仿宋" w:hAnsi="仿宋" w:eastAsia="仿宋"/>
          <w:color w:val="000000"/>
          <w:sz w:val="32"/>
          <w:szCs w:val="32"/>
        </w:rPr>
        <w:t>、奖励金0.02</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、住房公积金6.18</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、提租补贴、购房补贴、其他对个人和家庭的补助支出2.14</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w:t>
      </w:r>
      <w:r>
        <w:rPr>
          <w:rFonts w:ascii="仿宋" w:hAnsi="仿宋" w:eastAsia="仿宋"/>
          <w:color w:val="000000"/>
          <w:sz w:val="32"/>
          <w:szCs w:val="32"/>
        </w:rPr>
        <w:br w:type="textWrapping"/>
      </w:r>
      <w:r>
        <w:rPr>
          <w:rFonts w:hint="eastAsia" w:ascii="仿宋" w:hAnsi="仿宋" w:eastAsia="仿宋"/>
          <w:color w:val="000000"/>
          <w:sz w:val="32"/>
          <w:szCs w:val="32"/>
        </w:rPr>
        <w:t>　　公用经费6.1万元，主要包括：办公费1.86</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、印刷费0.68</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、咨询费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、手续费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、电费0.21</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、邮电费0.96</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、取暖费0.2</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、物业管理费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、差旅费0.56</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、因公出国（境）费用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、租赁费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、公务接待费0.02</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、委托业务费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、工会经费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、福利费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、公务用车运行维护费1.6</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、其他交通费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、税金及附加费用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、其他商品和服务支出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、办公设备购置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、专用设备购置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、信息网络及软件购置更新</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、其他资本性支出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w:t>
      </w:r>
    </w:p>
    <w:p>
      <w:pPr>
        <w:spacing w:line="600" w:lineRule="exact"/>
        <w:ind w:firstLine="640"/>
        <w:outlineLvl w:val="1"/>
        <w:rPr>
          <w:rStyle w:val="26"/>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1.62</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98.5</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0.02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1.5</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jc w:val="center"/>
        <w:rPr>
          <w:rFonts w:hint="eastAsia" w:ascii="仿宋" w:hAnsi="仿宋" w:eastAsia="仿宋"/>
          <w:b/>
          <w:bCs/>
          <w:color w:val="000000"/>
          <w:sz w:val="32"/>
          <w:szCs w:val="32"/>
        </w:rPr>
      </w:pP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rPr>
        <w:t>三公”经费财政拨款支出结构</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79744" behindDoc="0" locked="0" layoutInCell="1" allowOverlap="1">
            <wp:simplePos x="0" y="0"/>
            <wp:positionH relativeFrom="column">
              <wp:posOffset>128905</wp:posOffset>
            </wp:positionH>
            <wp:positionV relativeFrom="paragraph">
              <wp:posOffset>114300</wp:posOffset>
            </wp:positionV>
            <wp:extent cx="5080000" cy="3810000"/>
            <wp:effectExtent l="4445" t="4445" r="20955" b="1460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color w:val="000000"/>
          <w:sz w:val="32"/>
          <w:szCs w:val="32"/>
        </w:rPr>
        <w:t>（图</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：“三公”经费财政拨款支出结构）（饼状图）</w:t>
      </w:r>
    </w:p>
    <w:p>
      <w:pPr>
        <w:numPr>
          <w:ilvl w:val="0"/>
          <w:numId w:val="2"/>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eastAsia="zh-CN"/>
        </w:rPr>
        <w:t>与上年持平</w:t>
      </w:r>
    </w:p>
    <w:p>
      <w:pPr>
        <w:numPr>
          <w:ilvl w:val="0"/>
          <w:numId w:val="0"/>
        </w:numPr>
        <w:spacing w:line="600" w:lineRule="exact"/>
        <w:ind w:firstLine="643" w:firstLineChars="200"/>
        <w:rPr>
          <w:rFonts w:hint="eastAsia" w:ascii="仿宋_GB2312" w:hAnsi="仿宋_GB2312" w:eastAsia="仿宋_GB2312" w:cs="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下降</w:t>
      </w:r>
      <w:r>
        <w:rPr>
          <w:rFonts w:hint="eastAsia" w:ascii="仿宋_GB2312" w:hAnsi="仿宋_GB2312" w:eastAsia="仿宋_GB2312" w:cs="仿宋_GB2312"/>
          <w:color w:val="000000"/>
          <w:sz w:val="32"/>
          <w:szCs w:val="32"/>
          <w:lang w:val="en-US" w:eastAsia="zh-CN"/>
        </w:rPr>
        <w:t>16.5</w:t>
      </w:r>
      <w:r>
        <w:rPr>
          <w:rFonts w:hint="eastAsia" w:ascii="仿宋_GB2312" w:hAnsi="仿宋_GB2312" w:eastAsia="仿宋_GB2312" w:cs="仿宋_GB2312"/>
          <w:color w:val="000000"/>
          <w:sz w:val="32"/>
          <w:szCs w:val="32"/>
        </w:rPr>
        <w:t>%。主要原因</w:t>
      </w:r>
      <w:r>
        <w:rPr>
          <w:rFonts w:hint="eastAsia" w:ascii="仿宋_GB2312" w:hAnsi="仿宋_GB2312" w:eastAsia="仿宋_GB2312" w:cs="仿宋_GB2312"/>
          <w:color w:val="000000"/>
          <w:sz w:val="32"/>
          <w:szCs w:val="32"/>
          <w:lang w:val="en-US" w:eastAsia="zh-CN"/>
        </w:rPr>
        <w:t>车辆使用年限久在2018年10月申请报废就没有使用该车了</w:t>
      </w:r>
      <w:r>
        <w:rPr>
          <w:rFonts w:hint="eastAsia" w:ascii="仿宋_GB2312" w:hAnsi="仿宋_GB2312" w:eastAsia="仿宋_GB2312" w:cs="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万元。主要用于公务用车燃料费、维修费、过路过桥费、保险费等支出。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0.02</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0.04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79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hAnsi="仿宋_GB2312" w:eastAsia="仿宋_GB2312" w:cs="仿宋_GB2312"/>
          <w:color w:val="000000"/>
          <w:sz w:val="32"/>
          <w:szCs w:val="32"/>
          <w:lang w:val="en-US" w:eastAsia="zh-CN"/>
        </w:rPr>
        <w:t>2017年我会</w:t>
      </w:r>
      <w:r>
        <w:rPr>
          <w:rFonts w:hint="eastAsia" w:ascii="仿宋_GB2312" w:hAnsi="仿宋_GB2312" w:eastAsia="仿宋_GB2312" w:cs="仿宋_GB2312"/>
          <w:color w:val="000000"/>
          <w:sz w:val="32"/>
          <w:szCs w:val="32"/>
        </w:rPr>
        <w:t>开展妇联改革工作，村级妇联到县城开展妇联工作较多</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2018年无妇联改革</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0.02</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val="en-US" w:eastAsia="zh-CN"/>
        </w:rPr>
        <w:t>接待州妇联下来检查指导工作</w:t>
      </w:r>
      <w:r>
        <w:rPr>
          <w:rFonts w:hint="eastAsia" w:ascii="仿宋_GB2312" w:eastAsia="仿宋_GB2312"/>
          <w:color w:val="000000"/>
          <w:sz w:val="32"/>
          <w:szCs w:val="32"/>
        </w:rPr>
        <w:t>。其中：</w:t>
      </w:r>
    </w:p>
    <w:p>
      <w:pPr>
        <w:spacing w:line="600" w:lineRule="exact"/>
        <w:ind w:firstLine="643" w:firstLineChars="20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p>
    <w:p>
      <w:pPr>
        <w:spacing w:line="600" w:lineRule="exact"/>
        <w:ind w:firstLine="640"/>
        <w:rPr>
          <w:rFonts w:hint="default" w:ascii="仿宋_GB2312" w:eastAsia="仿宋_GB2312"/>
          <w:color w:val="000000"/>
          <w:sz w:val="32"/>
          <w:szCs w:val="32"/>
          <w:lang w:val="en-US" w:eastAsia="zh-CN"/>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lang w:val="en-US" w:eastAsia="zh-CN"/>
        </w:rPr>
        <w:t>0.02</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接待州妇联检查指导工作。</w:t>
      </w:r>
    </w:p>
    <w:p>
      <w:pPr>
        <w:tabs>
          <w:tab w:val="left" w:pos="488"/>
        </w:tabs>
        <w:spacing w:line="600" w:lineRule="exact"/>
        <w:ind w:firstLine="640" w:firstLineChars="200"/>
        <w:outlineLvl w:val="1"/>
        <w:rPr>
          <w:rStyle w:val="26"/>
          <w:rFonts w:ascii="黑体" w:hAnsi="黑体" w:eastAsia="黑体"/>
        </w:rPr>
      </w:pPr>
      <w:bookmarkStart w:id="46" w:name="_Toc15377218"/>
      <w:bookmarkStart w:id="47" w:name="_Toc15396610"/>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6"/>
          <w:rFonts w:ascii="黑体" w:hAnsi="黑体" w:eastAsia="黑体"/>
          <w:b w:val="0"/>
        </w:rPr>
      </w:pPr>
      <w:bookmarkStart w:id="48" w:name="_Toc15396611"/>
      <w:bookmarkStart w:id="49" w:name="_Toc15377219"/>
      <w:r>
        <w:rPr>
          <w:rStyle w:val="26"/>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4"/>
        <w:numPr>
          <w:ilvl w:val="0"/>
          <w:numId w:val="4"/>
        </w:numPr>
        <w:spacing w:line="580" w:lineRule="exact"/>
        <w:ind w:firstLineChars="0"/>
        <w:rPr>
          <w:rStyle w:val="26"/>
          <w:rFonts w:ascii="黑体" w:hAnsi="黑体" w:eastAsia="黑体"/>
          <w:b w:val="0"/>
        </w:rPr>
      </w:pPr>
      <w:r>
        <w:rPr>
          <w:rStyle w:val="26"/>
          <w:rFonts w:hint="eastAsia" w:ascii="黑体" w:hAnsi="黑体" w:eastAsia="黑体"/>
          <w:b w:val="0"/>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w:t>
      </w:r>
      <w:r>
        <w:rPr>
          <w:rFonts w:hint="eastAsia" w:ascii="仿宋_GB2312" w:hAnsi="仿宋_GB2312" w:eastAsia="仿宋_GB2312" w:cs="仿宋_GB2312"/>
          <w:sz w:val="32"/>
          <w:szCs w:val="32"/>
          <w:lang w:eastAsia="zh-CN"/>
        </w:rPr>
        <w:t>由于只编制了基本公用及人员经费，故未</w:t>
      </w:r>
      <w:r>
        <w:rPr>
          <w:rFonts w:hint="eastAsia" w:ascii="仿宋_GB2312" w:hAnsi="仿宋_GB2312" w:eastAsia="仿宋_GB2312" w:cs="仿宋_GB2312"/>
          <w:sz w:val="32"/>
          <w:szCs w:val="32"/>
        </w:rPr>
        <w:t>组织项目预算事前绩效评估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预算执行过程中，执行完毕后</w:t>
      </w:r>
      <w:r>
        <w:rPr>
          <w:rFonts w:hint="eastAsia" w:ascii="仿宋_GB2312" w:hAnsi="仿宋_GB2312" w:eastAsia="仿宋_GB2312" w:cs="仿宋_GB2312"/>
          <w:sz w:val="32"/>
          <w:szCs w:val="32"/>
          <w:lang w:eastAsia="zh-CN"/>
        </w:rPr>
        <w:t>，开展了整体支出绩效评价</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本部门按要求对2018年部门整体支出开展绩效自评，从评价情况来看</w:t>
      </w:r>
      <w:r>
        <w:rPr>
          <w:rFonts w:hint="eastAsia" w:ascii="仿宋_GB2312" w:hAnsi="仿宋_GB2312" w:eastAsia="仿宋_GB2312" w:cs="仿宋_GB2312"/>
          <w:color w:val="000000"/>
          <w:sz w:val="32"/>
          <w:szCs w:val="32"/>
        </w:rPr>
        <w:t>按照预算绩效管理要求，本部门对</w:t>
      </w:r>
      <w:r>
        <w:rPr>
          <w:rFonts w:hint="eastAsia" w:ascii="仿宋_GB2312" w:hAnsi="仿宋_GB2312" w:eastAsia="仿宋_GB2312" w:cs="仿宋_GB2312"/>
          <w:color w:val="000000"/>
          <w:sz w:val="32"/>
          <w:szCs w:val="32"/>
          <w:lang w:eastAsia="zh-CN"/>
        </w:rPr>
        <w:t>2018</w:t>
      </w:r>
      <w:r>
        <w:rPr>
          <w:rFonts w:hint="eastAsia" w:ascii="仿宋_GB2312" w:hAnsi="仿宋_GB2312" w:eastAsia="仿宋_GB2312" w:cs="仿宋_GB2312"/>
          <w:color w:val="000000"/>
          <w:sz w:val="32"/>
          <w:szCs w:val="32"/>
        </w:rPr>
        <w:t>年整体支出开展绩效自评，自评得分</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分，</w:t>
      </w:r>
      <w:r>
        <w:rPr>
          <w:rFonts w:hint="eastAsia" w:ascii="仿宋_GB2312" w:hAnsi="仿宋_GB2312" w:eastAsia="仿宋_GB2312" w:cs="仿宋_GB2312"/>
          <w:color w:val="000000"/>
          <w:sz w:val="32"/>
          <w:szCs w:val="32"/>
          <w:lang w:eastAsia="zh-CN"/>
        </w:rPr>
        <w:t>评价情况</w:t>
      </w:r>
      <w:r>
        <w:rPr>
          <w:rFonts w:hint="eastAsia" w:ascii="仿宋_GB2312" w:hAnsi="仿宋_GB2312" w:eastAsia="仿宋_GB2312" w:cs="仿宋_GB2312"/>
          <w:i w:val="0"/>
          <w:caps w:val="0"/>
          <w:color w:val="333333"/>
          <w:spacing w:val="0"/>
          <w:sz w:val="32"/>
          <w:szCs w:val="32"/>
          <w:shd w:val="clear" w:color="auto" w:fill="FFFFFF"/>
        </w:rPr>
        <w:t>总体绩效目标明确，决策依据充分，资金分配科学合理，部门总体情况良好，预算编制质量较好，预算信息公开符合要求；预算执行进度良好，财务制度健全，会计核算总体规范、准确；项目在实施过程中严格执行有关制度规定，基本达到了预期效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存在的问题：</w:t>
      </w:r>
      <w:r>
        <w:rPr>
          <w:rFonts w:hint="eastAsia" w:ascii="仿宋_GB2312" w:hAnsi="仿宋_GB2312" w:eastAsia="仿宋_GB2312" w:cs="仿宋_GB2312"/>
          <w:color w:val="000000"/>
          <w:sz w:val="32"/>
          <w:szCs w:val="32"/>
          <w:lang w:val="en-US" w:eastAsia="zh-CN"/>
        </w:rPr>
        <w:t>一是</w:t>
      </w:r>
      <w:r>
        <w:rPr>
          <w:rFonts w:hint="eastAsia" w:ascii="仿宋_GB2312" w:hAnsi="仿宋_GB2312" w:eastAsia="仿宋_GB2312" w:cs="仿宋_GB2312"/>
          <w:i w:val="0"/>
          <w:caps w:val="0"/>
          <w:color w:val="333333"/>
          <w:spacing w:val="0"/>
          <w:sz w:val="32"/>
          <w:szCs w:val="32"/>
          <w:shd w:val="clear" w:color="auto" w:fill="FFFFFF"/>
        </w:rPr>
        <w:t>部门特性目标待完善，</w:t>
      </w:r>
      <w:r>
        <w:rPr>
          <w:rFonts w:hint="eastAsia" w:ascii="仿宋_GB2312" w:hAnsi="仿宋_GB2312" w:eastAsia="仿宋_GB2312" w:cs="仿宋_GB2312"/>
          <w:i w:val="0"/>
          <w:caps w:val="0"/>
          <w:color w:val="333333"/>
          <w:spacing w:val="0"/>
          <w:sz w:val="32"/>
          <w:szCs w:val="32"/>
          <w:shd w:val="clear" w:color="auto" w:fill="FFFFFF"/>
          <w:lang w:val="en-US" w:eastAsia="zh-CN"/>
        </w:rPr>
        <w:t>二是</w:t>
      </w:r>
      <w:r>
        <w:rPr>
          <w:rFonts w:hint="eastAsia" w:ascii="仿宋_GB2312" w:hAnsi="仿宋_GB2312" w:eastAsia="仿宋_GB2312" w:cs="仿宋_GB2312"/>
          <w:i w:val="0"/>
          <w:caps w:val="0"/>
          <w:color w:val="333333"/>
          <w:spacing w:val="0"/>
          <w:sz w:val="32"/>
          <w:szCs w:val="32"/>
          <w:shd w:val="clear" w:color="auto" w:fill="FFFFFF"/>
        </w:rPr>
        <w:t>是机制待完善。下一步改进措施：一是加强学习进一步规范，二是完善各项目</w:t>
      </w:r>
      <w:r>
        <w:rPr>
          <w:rFonts w:hint="eastAsia" w:ascii="仿宋_GB2312" w:hAnsi="仿宋_GB2312" w:eastAsia="仿宋_GB2312" w:cs="仿宋_GB2312"/>
          <w:i w:val="0"/>
          <w:caps w:val="0"/>
          <w:color w:val="333333"/>
          <w:spacing w:val="0"/>
          <w:sz w:val="32"/>
          <w:szCs w:val="32"/>
          <w:shd w:val="clear" w:color="auto" w:fill="FFFFFF"/>
          <w:lang w:val="en-US" w:eastAsia="zh-CN"/>
        </w:rPr>
        <w:t>机制</w:t>
      </w:r>
      <w:r>
        <w:rPr>
          <w:rFonts w:hint="eastAsia" w:ascii="仿宋_GB2312" w:hAnsi="仿宋_GB2312" w:eastAsia="仿宋_GB2312" w:cs="仿宋_GB2312"/>
          <w:color w:val="000000"/>
          <w:sz w:val="32"/>
          <w:szCs w:val="32"/>
        </w:rPr>
        <w:t>。</w:t>
      </w:r>
    </w:p>
    <w:p>
      <w:pPr>
        <w:numPr>
          <w:ilvl w:val="0"/>
          <w:numId w:val="5"/>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w:t>
      </w:r>
      <w:r>
        <w:rPr>
          <w:rFonts w:hint="eastAsia" w:ascii="仿宋_GB2312" w:hAnsi="仿宋_GB2312" w:eastAsia="仿宋_GB2312" w:cs="仿宋_GB2312"/>
          <w:sz w:val="32"/>
          <w:szCs w:val="32"/>
          <w:lang w:val="en-US" w:eastAsia="zh-CN"/>
        </w:rPr>
        <w:t>2012902-办公经费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2100409-省级贫困妇女“两癌”救助专项资金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2299901-爱心屋物资补给经费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个项目绩效目标实际完成情况。</w:t>
      </w:r>
    </w:p>
    <w:p>
      <w:pPr>
        <w:numPr>
          <w:ilvl w:val="0"/>
          <w:numId w:val="6"/>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2012902-办公经费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10.27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10.27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en-US" w:eastAsia="zh-CN"/>
        </w:rPr>
        <w:t>了日常工作的开展。</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无。</w:t>
      </w:r>
    </w:p>
    <w:p>
      <w:pPr>
        <w:numPr>
          <w:ilvl w:val="0"/>
          <w:numId w:val="6"/>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2100409-省级贫困妇女“两癌”救助专项资金</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en-US" w:eastAsia="zh-CN"/>
        </w:rPr>
        <w:t>贫困患者就医需求。</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无。</w:t>
      </w:r>
    </w:p>
    <w:p>
      <w:pPr>
        <w:numPr>
          <w:ilvl w:val="0"/>
          <w:numId w:val="6"/>
        </w:numPr>
        <w:spacing w:line="580" w:lineRule="exact"/>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2299901-爱心屋物资补给经费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%。通过项目实施促进</w:t>
      </w:r>
      <w:r>
        <w:rPr>
          <w:rFonts w:hint="eastAsia" w:ascii="仿宋_GB2312" w:hAnsi="仿宋_GB2312" w:eastAsia="仿宋_GB2312" w:cs="仿宋_GB2312"/>
          <w:sz w:val="32"/>
          <w:szCs w:val="32"/>
          <w:lang w:val="en-US" w:eastAsia="zh-CN"/>
        </w:rPr>
        <w:t>了村妇女参加义务活动的积极性。</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无。</w:t>
      </w:r>
    </w:p>
    <w:tbl>
      <w:tblPr>
        <w:tblStyle w:val="16"/>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9522"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2012902-办公经费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2100409-省级贫困妇女“两癌”救助专项资金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2299901-爱心屋物资补给经费</w:t>
            </w:r>
            <w:r>
              <w:rPr>
                <w:rFonts w:hint="eastAsia" w:ascii="仿宋_GB2312" w:hAnsi="仿宋_GB2312" w:eastAsia="仿宋_GB2312" w:cs="仿宋_GB2312"/>
                <w:sz w:val="32"/>
                <w:szCs w:val="3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红原县妇女联合会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12.27</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12.27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12.27</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12.27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100%</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tabs>
                <w:tab w:val="center" w:pos="1010"/>
                <w:tab w:val="right" w:pos="1901"/>
              </w:tabs>
              <w:jc w:val="left"/>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ab/>
            </w: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bl>
    <w:p>
      <w:pPr>
        <w:tabs>
          <w:tab w:val="left" w:pos="312"/>
        </w:tabs>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hAnsi="仿宋_GB2312" w:eastAsia="仿宋_GB2312" w:cs="仿宋_GB2312"/>
          <w:sz w:val="32"/>
          <w:szCs w:val="32"/>
          <w:lang w:val="en-US" w:eastAsia="zh-CN"/>
        </w:rPr>
        <w:t>红原县妇联</w:t>
      </w:r>
      <w:r>
        <w:rPr>
          <w:rFonts w:hint="eastAsia" w:ascii="仿宋_GB2312" w:hAnsi="仿宋_GB2312" w:eastAsia="仿宋_GB2312" w:cs="仿宋_GB2312"/>
          <w:sz w:val="32"/>
          <w:szCs w:val="32"/>
        </w:rPr>
        <w:t>部门2018年部门整体支出绩效评价报告》见附件。</w:t>
      </w:r>
    </w:p>
    <w:p>
      <w:pPr>
        <w:spacing w:line="580" w:lineRule="exact"/>
        <w:ind w:firstLine="640" w:firstLineChars="200"/>
        <w:rPr>
          <w:rFonts w:hint="eastAsia" w:ascii="方正小标宋简体" w:hAnsi="方正小标宋简体" w:eastAsia="仿宋_GB2312" w:cs="方正小标宋简体"/>
          <w:sz w:val="44"/>
          <w:szCs w:val="44"/>
          <w:lang w:eastAsia="zh-CN"/>
        </w:rPr>
      </w:pPr>
      <w:r>
        <w:rPr>
          <w:rFonts w:hint="eastAsia" w:ascii="仿宋_GB2312" w:hAnsi="仿宋_GB2312" w:eastAsia="仿宋_GB2312" w:cs="仿宋_GB2312"/>
          <w:sz w:val="32"/>
          <w:szCs w:val="32"/>
        </w:rPr>
        <w:t>本部门</w:t>
      </w:r>
      <w:r>
        <w:rPr>
          <w:rFonts w:hint="eastAsia" w:ascii="仿宋_GB2312" w:hAnsi="仿宋_GB2312" w:eastAsia="仿宋_GB2312" w:cs="仿宋_GB2312"/>
          <w:sz w:val="32"/>
          <w:szCs w:val="32"/>
          <w:lang w:val="en-US" w:eastAsia="zh-CN"/>
        </w:rPr>
        <w:t>没有开展项目</w:t>
      </w:r>
      <w:r>
        <w:rPr>
          <w:rFonts w:hint="eastAsia" w:ascii="仿宋_GB2312" w:hAnsi="仿宋_GB2312" w:eastAsia="仿宋_GB2312" w:cs="仿宋_GB2312"/>
          <w:sz w:val="32"/>
          <w:szCs w:val="32"/>
        </w:rPr>
        <w:t>绩效评价</w:t>
      </w:r>
      <w:r>
        <w:rPr>
          <w:rFonts w:hint="eastAsia" w:ascii="仿宋_GB2312" w:hAnsi="仿宋_GB2312" w:eastAsia="仿宋_GB2312" w:cs="仿宋_GB2312"/>
          <w:sz w:val="32"/>
          <w:szCs w:val="32"/>
          <w:lang w:eastAsia="zh-CN"/>
        </w:rPr>
        <w:t>。</w:t>
      </w:r>
    </w:p>
    <w:p>
      <w:pPr>
        <w:spacing w:line="600" w:lineRule="exact"/>
        <w:ind w:firstLine="800" w:firstLineChars="250"/>
        <w:outlineLvl w:val="1"/>
        <w:rPr>
          <w:rStyle w:val="26"/>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6.1</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4.8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44</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2018年由于人员情况原因没有开展姐妹宣讲团工作，导致该经费没有支出。</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0.21</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0.21</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w:t>
      </w:r>
      <w:r>
        <w:rPr>
          <w:rFonts w:hint="eastAsia" w:ascii="仿宋_GB2312" w:eastAsia="仿宋_GB2312"/>
          <w:color w:val="000000"/>
          <w:sz w:val="32"/>
          <w:szCs w:val="32"/>
          <w:lang w:val="en-US" w:eastAsia="zh-CN"/>
        </w:rPr>
        <w:t>出纳办理相关业务，购买针式打印机</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CS06</w:t>
      </w:r>
      <w:r>
        <w:rPr>
          <w:rFonts w:hint="eastAsia" w:ascii="仿宋" w:hAnsi="仿宋" w:eastAsia="仿宋"/>
          <w:b/>
          <w:color w:val="000000"/>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7"/>
        </w:numPr>
        <w:spacing w:line="600" w:lineRule="exact"/>
        <w:ind w:firstLine="663" w:firstLineChars="150"/>
        <w:jc w:val="center"/>
        <w:outlineLvl w:val="0"/>
        <w:rPr>
          <w:rStyle w:val="25"/>
          <w:rFonts w:ascii="黑体" w:hAnsi="黑体" w:eastAsia="黑体"/>
          <w:b w:val="0"/>
        </w:rPr>
      </w:pPr>
      <w:bookmarkStart w:id="55" w:name="_Toc15396613"/>
      <w:bookmarkStart w:id="56" w:name="_Toc15377225"/>
      <w:r>
        <w:rPr>
          <w:rFonts w:hint="eastAsia" w:ascii="黑体" w:hAnsi="黑体" w:eastAsia="黑体"/>
          <w:b/>
          <w:color w:val="000000"/>
          <w:sz w:val="44"/>
          <w:szCs w:val="44"/>
        </w:rPr>
        <w:t>名</w:t>
      </w:r>
      <w:r>
        <w:rPr>
          <w:rStyle w:val="25"/>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hAnsi="仿宋_GB2312" w:eastAsia="仿宋_GB2312" w:cs="仿宋_GB2312"/>
          <w:color w:val="000000"/>
          <w:kern w:val="2"/>
          <w:sz w:val="32"/>
          <w:szCs w:val="32"/>
          <w:lang w:val="en-US" w:eastAsia="zh-CN" w:bidi="ar-SA"/>
        </w:rPr>
        <w:t>2012901-行政运行支出该支出主要用于支付职工工资、退休费以及公务运行费.</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8" w:lineRule="atLeast"/>
        <w:ind w:left="0" w:right="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hAnsi="仿宋_GB2312" w:eastAsia="仿宋_GB2312" w:cs="仿宋_GB2312"/>
          <w:color w:val="000000"/>
          <w:kern w:val="2"/>
          <w:sz w:val="32"/>
          <w:szCs w:val="32"/>
          <w:lang w:val="en-US" w:eastAsia="zh-CN" w:bidi="ar-SA"/>
        </w:rPr>
        <w:t>2080505-机关事业单位基本养老保险缴费该支出主要用于支付职工养老保险金；2080506-机关事业单位职业年金缴费，该支出主要用于支付职工职业年金</w:t>
      </w:r>
      <w:r>
        <w:rPr>
          <w:rFonts w:hint="eastAsia" w:ascii="仿宋_GB2312" w:eastAsia="仿宋_GB2312"/>
          <w:color w:val="000000"/>
          <w:sz w:val="32"/>
          <w:szCs w:val="32"/>
        </w:rPr>
        <w:t>：</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8" w:lineRule="atLeast"/>
        <w:ind w:left="0" w:right="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hAnsi="仿宋_GB2312" w:eastAsia="仿宋_GB2312" w:cs="仿宋_GB2312"/>
          <w:color w:val="000000"/>
          <w:kern w:val="2"/>
          <w:sz w:val="32"/>
          <w:szCs w:val="32"/>
          <w:lang w:val="en-US" w:eastAsia="zh-CN" w:bidi="ar-SA"/>
        </w:rPr>
        <w:t>2100409-重大公共卫生专项支出，该支出主要用于支付“两癌”患者医疗救助金；2101101-行政单位医疗支出，该支出主要用于支付职工医疗保险金。</w:t>
      </w:r>
    </w:p>
    <w:p>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hAnsi="仿宋_GB2312" w:eastAsia="仿宋_GB2312" w:cs="仿宋_GB2312"/>
          <w:color w:val="000000"/>
          <w:kern w:val="2"/>
          <w:sz w:val="32"/>
          <w:szCs w:val="32"/>
          <w:lang w:val="en-US" w:eastAsia="zh-CN" w:bidi="ar-SA"/>
        </w:rPr>
        <w:t>2210201-住房公积金支出，该支出主要用于支付职工住房公积金。</w:t>
      </w:r>
    </w:p>
    <w:p>
      <w:pPr>
        <w:ind w:firstLine="640" w:firstLineChars="200"/>
        <w:rPr>
          <w:rFonts w:ascii="仿宋" w:hAnsi="仿宋" w:eastAsia="仿宋"/>
          <w:b/>
          <w:color w:val="000000"/>
          <w:sz w:val="32"/>
          <w:szCs w:val="32"/>
        </w:rPr>
      </w:pPr>
      <w:r>
        <w:rPr>
          <w:rFonts w:hint="eastAsia" w:ascii="仿宋_GB2312" w:hAnsi="仿宋_GB2312" w:eastAsia="仿宋_GB2312" w:cs="仿宋_GB2312"/>
          <w:color w:val="000000"/>
          <w:kern w:val="2"/>
          <w:sz w:val="32"/>
          <w:szCs w:val="32"/>
          <w:lang w:val="en-US" w:eastAsia="zh-CN" w:bidi="ar-SA"/>
        </w:rPr>
        <w:t>10.其他支出2299901-其他支出，该支出主要用于购置办公设备。</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ascii="仿宋_GB2312" w:eastAsia="仿宋_GB2312" w:cs="黑体"/>
          <w:sz w:val="32"/>
          <w:szCs w:val="32"/>
        </w:rPr>
      </w:pPr>
    </w:p>
    <w:p>
      <w:pPr>
        <w:spacing w:line="600" w:lineRule="exact"/>
        <w:jc w:val="center"/>
        <w:outlineLvl w:val="0"/>
        <w:rPr>
          <w:rStyle w:val="25"/>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8"/>
    </w:p>
    <w:p>
      <w:pPr>
        <w:spacing w:line="600" w:lineRule="exact"/>
        <w:jc w:val="center"/>
        <w:outlineLvl w:val="0"/>
        <w:rPr>
          <w:rStyle w:val="25"/>
        </w:rPr>
      </w:pPr>
    </w:p>
    <w:p>
      <w:pPr>
        <w:pStyle w:val="3"/>
        <w:rPr>
          <w:rStyle w:val="25"/>
          <w:rFonts w:ascii="仿宋" w:hAnsi="仿宋" w:eastAsia="仿宋"/>
          <w:b w:val="0"/>
          <w:bCs w:val="0"/>
          <w:sz w:val="32"/>
          <w:szCs w:val="32"/>
        </w:rPr>
      </w:pPr>
      <w:bookmarkStart w:id="59" w:name="_Toc15396615"/>
      <w:r>
        <w:rPr>
          <w:rStyle w:val="25"/>
          <w:rFonts w:hint="eastAsia" w:ascii="仿宋" w:hAnsi="仿宋" w:eastAsia="仿宋"/>
          <w:b w:val="0"/>
          <w:bCs w:val="0"/>
          <w:sz w:val="32"/>
          <w:szCs w:val="32"/>
        </w:rPr>
        <w:t>附件1</w:t>
      </w:r>
      <w:bookmarkEnd w:id="59"/>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sz w:val="44"/>
          <w:szCs w:val="44"/>
          <w:lang w:val="en-US"/>
        </w:rPr>
      </w:pPr>
      <w:bookmarkStart w:id="60" w:name="_Toc15396617"/>
      <w:r>
        <w:rPr>
          <w:rFonts w:hint="eastAsia" w:ascii="方正小标宋简体" w:hAnsi="宋体" w:eastAsia="方正小标宋简体" w:cs="方正小标宋简体"/>
          <w:kern w:val="2"/>
          <w:sz w:val="44"/>
          <w:szCs w:val="44"/>
          <w:lang w:val="en-US" w:eastAsia="zh-CN" w:bidi="ar"/>
        </w:rPr>
        <w:t>部门整体支出绩效报告范本</w:t>
      </w:r>
    </w:p>
    <w:p>
      <w:pPr>
        <w:keepNext w:val="0"/>
        <w:keepLines w:val="0"/>
        <w:widowControl/>
        <w:suppressLineNumbers w:val="0"/>
        <w:spacing w:before="0" w:beforeAutospacing="0" w:after="0" w:afterAutospacing="0" w:line="480" w:lineRule="exact"/>
        <w:ind w:left="0" w:right="0"/>
        <w:jc w:val="center"/>
        <w:rPr>
          <w:rFonts w:hint="eastAsia" w:ascii="黑体" w:hAnsi="宋体" w:eastAsia="黑体" w:cs="宋体"/>
          <w:color w:val="000000"/>
          <w:kern w:val="0"/>
          <w:lang w:val="en-US"/>
        </w:rPr>
      </w:pPr>
      <w:r>
        <w:rPr>
          <w:rFonts w:hint="eastAsia" w:ascii="仿宋_GB2312" w:hAnsi="宋体" w:eastAsia="仿宋_GB2312" w:cs="仿宋_GB2312"/>
          <w:kern w:val="2"/>
          <w:sz w:val="32"/>
          <w:szCs w:val="24"/>
          <w:lang w:val="en-US" w:eastAsia="zh-CN" w:bidi="ar"/>
        </w:rPr>
        <w:t>（报告范围包括机关和下属单位）</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zh-CN" w:eastAsia="zh-CN"/>
        </w:rPr>
      </w:pPr>
      <w:r>
        <w:rPr>
          <w:rFonts w:hint="eastAsia" w:ascii="黑体" w:hAnsi="宋体" w:eastAsia="黑体" w:cs="宋体"/>
          <w:color w:val="000000"/>
          <w:kern w:val="0"/>
          <w:sz w:val="32"/>
          <w:szCs w:val="24"/>
          <w:lang w:val="en-US" w:eastAsia="zh-CN" w:bidi="ar"/>
        </w:rPr>
        <w:t>一、</w:t>
      </w:r>
      <w:r>
        <w:rPr>
          <w:rFonts w:hint="eastAsia" w:ascii="黑体" w:hAnsi="宋体" w:eastAsia="黑体" w:cs="宋体"/>
          <w:color w:val="000000"/>
          <w:kern w:val="0"/>
          <w:sz w:val="32"/>
          <w:szCs w:val="24"/>
          <w:lang w:val="zh-CN" w:eastAsia="zh-CN" w:bidi="ar"/>
        </w:rPr>
        <w:t>部门（单位）概况</w:t>
      </w:r>
    </w:p>
    <w:p>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b/>
          <w:bCs/>
          <w:color w:val="000000"/>
          <w:kern w:val="0"/>
          <w:sz w:val="32"/>
          <w:szCs w:val="32"/>
          <w:lang w:val="zh-CN" w:eastAsia="zh-CN"/>
        </w:rPr>
      </w:pPr>
      <w:r>
        <w:rPr>
          <w:rFonts w:hint="eastAsia" w:ascii="仿宋_GB2312" w:hAnsi="仿宋_GB2312" w:eastAsia="仿宋_GB2312" w:cs="仿宋_GB2312"/>
          <w:b/>
          <w:bCs/>
          <w:color w:val="000000"/>
          <w:kern w:val="0"/>
          <w:sz w:val="32"/>
          <w:szCs w:val="32"/>
          <w:lang w:val="zh-CN" w:eastAsia="zh-CN"/>
        </w:rPr>
        <w:t>（一）机构组成。</w:t>
      </w:r>
    </w:p>
    <w:p>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bCs/>
          <w:sz w:val="32"/>
          <w:szCs w:val="32"/>
        </w:rPr>
        <w:t>我</w:t>
      </w:r>
      <w:r>
        <w:rPr>
          <w:rFonts w:hint="eastAsia" w:ascii="仿宋_GB2312" w:hAnsi="仿宋_GB2312" w:eastAsia="仿宋_GB2312" w:cs="仿宋_GB2312"/>
          <w:bCs/>
          <w:sz w:val="32"/>
          <w:szCs w:val="32"/>
          <w:lang w:val="en-US" w:eastAsia="zh-CN"/>
        </w:rPr>
        <w:t>单位</w:t>
      </w:r>
      <w:r>
        <w:rPr>
          <w:rFonts w:hint="eastAsia" w:ascii="仿宋_GB2312" w:hAnsi="仿宋_GB2312" w:eastAsia="仿宋_GB2312" w:cs="仿宋_GB2312"/>
          <w:bCs/>
          <w:sz w:val="32"/>
          <w:szCs w:val="32"/>
        </w:rPr>
        <w:t>为独立核算全额拨款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p>
    <w:p>
      <w:pPr>
        <w:widowControl/>
        <w:numPr>
          <w:ilvl w:val="0"/>
          <w:numId w:val="8"/>
        </w:numPr>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b/>
          <w:bCs/>
          <w:color w:val="000000"/>
          <w:kern w:val="0"/>
          <w:sz w:val="32"/>
          <w:szCs w:val="32"/>
          <w:lang w:val="zh-CN" w:eastAsia="zh-CN"/>
        </w:rPr>
      </w:pPr>
      <w:r>
        <w:rPr>
          <w:rFonts w:hint="eastAsia" w:ascii="仿宋_GB2312" w:hAnsi="仿宋_GB2312" w:eastAsia="仿宋_GB2312" w:cs="仿宋_GB2312"/>
          <w:b/>
          <w:bCs/>
          <w:color w:val="000000"/>
          <w:kern w:val="0"/>
          <w:sz w:val="32"/>
          <w:szCs w:val="32"/>
          <w:lang w:val="zh-CN" w:eastAsia="zh-CN"/>
        </w:rPr>
        <w:t>机构职能。</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45"/>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（1）坚持正确的政治方向，团结、教育全县各族各界妇女以及各类妇女组织同党中央在思想上、政治上、行动上保持高度一致。</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45"/>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(2）紧密围绕县委、县政府的中心任务开展工作，团结、动员、组织全县妇女群众参与经济社会发展，努力推进中方县妇女儿童事业的发展。</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45"/>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(3)宣传马克思主义妇女观和男女平等思想，教育、引导妇女树立正确的世界观、人生观、价值观，弘扬“自尊、自信、自立、自强”的精神，积极开展对妇女的科技文化及生产劳动技能教育，全面提高妇女素质。</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45"/>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(4)代表妇女参与社会事务的民主管理和民主监督；关注并积极研究涉及妇女切身利益的热点、难点问题，及时提出解决处理的建议；参与制定有关保护妇女儿童合法权益的政策并组织落实，切实维护妇女儿童合法权益。</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45"/>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(5)坚持为妇女儿童服务、为基层服务，加强与社会各界的联系，协调、推动社会各界为妇女儿童办好事、办实事。</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45"/>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(6)加强与社会各界妇女的联系，巩固和扩大各族各界妇女的大团结。</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45"/>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(7)加强妇联组织自身建设，指导建立健全各级妇联和基层妇女组织。指导各级妇女组织按照章程独立自主地开展工作。加强干部队伍建设，提高妇联干部的整体素质。</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45"/>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(8)承担县妇女儿童工作委员会的日常工作。</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45"/>
        <w:jc w:val="left"/>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en-US" w:eastAsia="zh-CN" w:bidi="ar-SA"/>
        </w:rPr>
        <w:t>(9)承办县委、县政府和市妇联交办的其他事项。</w:t>
      </w:r>
    </w:p>
    <w:p>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b/>
          <w:bCs/>
          <w:color w:val="000000"/>
          <w:kern w:val="0"/>
          <w:sz w:val="32"/>
          <w:szCs w:val="32"/>
          <w:lang w:val="zh-CN" w:eastAsia="zh-CN"/>
        </w:rPr>
      </w:pPr>
      <w:r>
        <w:rPr>
          <w:rFonts w:hint="eastAsia" w:ascii="仿宋_GB2312" w:hAnsi="仿宋_GB2312" w:eastAsia="仿宋_GB2312" w:cs="仿宋_GB2312"/>
          <w:b/>
          <w:bCs/>
          <w:color w:val="000000"/>
          <w:kern w:val="0"/>
          <w:sz w:val="32"/>
          <w:szCs w:val="32"/>
          <w:lang w:val="zh-CN" w:eastAsia="zh-CN"/>
        </w:rPr>
        <w:t>（三）人员概况。</w:t>
      </w:r>
    </w:p>
    <w:p>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sz w:val="32"/>
          <w:szCs w:val="32"/>
          <w:lang w:val="en-US" w:eastAsia="zh-CN"/>
        </w:rPr>
        <w:t>本单位上年末有编制人数6人、实有人数5人；本年度年末编制人数6人、实有人数5人</w:t>
      </w:r>
      <w:r>
        <w:rPr>
          <w:rFonts w:hint="eastAsia" w:ascii="仿宋_GB2312" w:hAnsi="仿宋_GB2312" w:eastAsia="仿宋_GB2312" w:cs="仿宋_GB2312"/>
          <w:sz w:val="32"/>
          <w:szCs w:val="32"/>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二、部门财政资金收支情况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（一）部门财政资金收入情况。</w:t>
      </w:r>
    </w:p>
    <w:p>
      <w:pPr>
        <w:snapToGrid w:val="0"/>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红原县</w:t>
      </w:r>
      <w:r>
        <w:rPr>
          <w:rFonts w:hint="eastAsia" w:ascii="仿宋_GB2312" w:hAnsi="仿宋_GB2312" w:eastAsia="仿宋_GB2312" w:cs="仿宋_GB2312"/>
          <w:color w:val="000000"/>
          <w:sz w:val="32"/>
          <w:szCs w:val="32"/>
          <w:lang w:val="en-US" w:eastAsia="zh-CN"/>
        </w:rPr>
        <w:t>妇联</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szCs w:val="32"/>
          <w:lang w:val="en-US" w:eastAsia="zh-CN"/>
        </w:rPr>
        <w:t>148.01万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，其中：一般公共预算财政拨款收入147</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98</w:t>
      </w:r>
      <w:r>
        <w:rPr>
          <w:rFonts w:hint="eastAsia" w:ascii="仿宋_GB2312" w:hAnsi="仿宋_GB2312" w:eastAsia="仿宋_GB2312" w:cs="仿宋_GB2312"/>
          <w:color w:val="000000"/>
          <w:sz w:val="32"/>
          <w:szCs w:val="32"/>
          <w:lang w:val="en-US" w:eastAsia="zh-CN"/>
        </w:rPr>
        <w:t>万</w:t>
      </w:r>
      <w:r>
        <w:rPr>
          <w:rFonts w:hint="eastAsia" w:ascii="仿宋_GB2312" w:hAnsi="仿宋_GB2312" w:eastAsia="仿宋_GB2312" w:cs="仿宋_GB2312"/>
          <w:sz w:val="32"/>
          <w:szCs w:val="32"/>
        </w:rPr>
        <w:t>元</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(其中：</w:t>
      </w:r>
      <w:r>
        <w:rPr>
          <w:rFonts w:hint="eastAsia" w:ascii="仿宋_GB2312" w:hAnsi="仿宋_GB2312" w:eastAsia="仿宋_GB2312" w:cs="仿宋_GB2312"/>
          <w:sz w:val="32"/>
          <w:szCs w:val="32"/>
          <w:lang w:eastAsia="zh-CN"/>
        </w:rPr>
        <w:t>基本</w:t>
      </w:r>
      <w:r>
        <w:rPr>
          <w:rFonts w:hint="eastAsia" w:ascii="仿宋_GB2312" w:hAnsi="仿宋_GB2312" w:eastAsia="仿宋_GB2312" w:cs="仿宋_GB2312"/>
          <w:sz w:val="32"/>
          <w:szCs w:val="32"/>
        </w:rPr>
        <w:t>支出98.26</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rPr>
        <w:t>元、项目支出12.27</w:t>
      </w:r>
      <w:r>
        <w:rPr>
          <w:rFonts w:hint="eastAsia" w:ascii="仿宋_GB2312" w:hAnsi="仿宋_GB2312" w:eastAsia="仿宋_GB2312" w:cs="仿宋_GB2312"/>
          <w:sz w:val="32"/>
          <w:szCs w:val="32"/>
          <w:lang w:val="en-US" w:eastAsia="zh-CN"/>
        </w:rPr>
        <w:t>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p>
    <w:p>
      <w:pPr>
        <w:keepNext w:val="0"/>
        <w:keepLines w:val="0"/>
        <w:widowControl/>
        <w:numPr>
          <w:ilvl w:val="0"/>
          <w:numId w:val="8"/>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部门财政资金支出情况。</w:t>
      </w:r>
    </w:p>
    <w:p>
      <w:pPr>
        <w:wordWrap/>
        <w:spacing w:line="560" w:lineRule="exact"/>
        <w:ind w:left="0" w:leftChars="0" w:right="0" w:firstLine="640" w:firstLineChars="200"/>
        <w:textAlignment w:val="auto"/>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红原</w:t>
      </w:r>
      <w:r>
        <w:rPr>
          <w:rFonts w:hint="eastAsia" w:ascii="仿宋_GB2312" w:hAnsi="仿宋_GB2312" w:eastAsia="仿宋_GB2312" w:cs="仿宋_GB2312"/>
          <w:color w:val="000000"/>
          <w:sz w:val="32"/>
          <w:szCs w:val="32"/>
          <w:lang w:val="en-US" w:eastAsia="zh-CN"/>
        </w:rPr>
        <w:t>县妇联</w:t>
      </w:r>
      <w:r>
        <w:rPr>
          <w:rFonts w:hint="eastAsia" w:ascii="仿宋_GB2312" w:hAnsi="仿宋_GB2312" w:eastAsia="仿宋_GB2312" w:cs="仿宋_GB2312"/>
          <w:color w:val="000000"/>
          <w:sz w:val="32"/>
          <w:szCs w:val="32"/>
        </w:rPr>
        <w:t>本年支出合计110.53</w:t>
      </w:r>
      <w:r>
        <w:rPr>
          <w:rFonts w:hint="eastAsia" w:ascii="仿宋_GB2312" w:hAnsi="仿宋_GB2312" w:eastAsia="仿宋_GB2312" w:cs="仿宋_GB2312"/>
          <w:color w:val="000000"/>
          <w:sz w:val="32"/>
          <w:szCs w:val="32"/>
          <w:lang w:val="en-US" w:eastAsia="zh-CN"/>
        </w:rPr>
        <w:t>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，其中：基本支出</w:t>
      </w:r>
      <w:r>
        <w:rPr>
          <w:rFonts w:hint="eastAsia" w:ascii="仿宋_GB2312" w:hAnsi="仿宋_GB2312" w:eastAsia="仿宋_GB2312" w:cs="仿宋_GB2312"/>
          <w:color w:val="000000"/>
          <w:sz w:val="32"/>
          <w:szCs w:val="32"/>
          <w:lang w:val="en-US" w:eastAsia="zh-CN"/>
        </w:rPr>
        <w:t>110.53万元</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（一）预算编制情况。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r>
        <w:rPr>
          <w:rFonts w:hint="eastAsia" w:ascii="仿宋_GB2312" w:hAnsi="仿宋_GB2312" w:eastAsia="仿宋_GB2312" w:cs="仿宋_GB2312"/>
          <w:color w:val="000000"/>
          <w:sz w:val="32"/>
          <w:szCs w:val="32"/>
          <w:lang w:val="zh-CN" w:eastAsia="zh-CN"/>
        </w:rPr>
        <w:t>预算编制上，严格执行《预算法》，根据县财政局的统一安排，结合本部门实际工作情况，认真编制部门预算，经领导审核后，及时报送财政局。我局在预算编制和执行上严格执行上级部门的要求，严格执行《中华人民共和国预算法》、《中华人民共和国预算法实施条例》的规定，预算编制数据准确，无随意调整预算的情况，各项收支均纳入预算管理。</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（二）执行管理情况。</w:t>
      </w:r>
      <w:r>
        <w:rPr>
          <w:rFonts w:hint="eastAsia" w:ascii="楷体" w:hAnsi="楷体" w:eastAsia="楷体" w:cs="宋体"/>
          <w:color w:val="000000"/>
          <w:kern w:val="0"/>
          <w:sz w:val="32"/>
          <w:szCs w:val="24"/>
          <w:lang w:val="zh-CN" w:eastAsia="zh-CN" w:bidi="ar"/>
        </w:rPr>
        <w:tab/>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cs="宋体"/>
          <w:color w:val="000000"/>
          <w:kern w:val="0"/>
          <w:sz w:val="32"/>
          <w:szCs w:val="24"/>
          <w:lang w:val="en-US" w:eastAsia="zh-CN" w:bidi="ar"/>
        </w:rPr>
        <w:t>1、</w:t>
      </w:r>
      <w:r>
        <w:rPr>
          <w:rFonts w:hint="eastAsia" w:ascii="仿宋_GB2312" w:hAnsi="宋体" w:cs="宋体"/>
          <w:color w:val="000000"/>
          <w:kern w:val="0"/>
          <w:sz w:val="32"/>
          <w:szCs w:val="24"/>
          <w:lang w:val="zh-CN" w:eastAsia="zh-CN" w:bidi="ar"/>
        </w:rPr>
        <w:t>县</w:t>
      </w:r>
      <w:r>
        <w:rPr>
          <w:rFonts w:hint="eastAsia" w:ascii="仿宋_GB2312" w:hAnsi="宋体" w:eastAsia="仿宋_GB2312" w:cs="宋体"/>
          <w:color w:val="000000"/>
          <w:kern w:val="0"/>
          <w:sz w:val="32"/>
          <w:szCs w:val="24"/>
          <w:lang w:val="zh-CN" w:eastAsia="zh-CN" w:bidi="ar"/>
        </w:rPr>
        <w:t>级财力专项预算分配时限、中央专款分配合规率</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default"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我单位2018年无县级财力专项预算和中央专款。</w:t>
      </w:r>
    </w:p>
    <w:p>
      <w:pPr>
        <w:keepNext w:val="0"/>
        <w:keepLines w:val="0"/>
        <w:widowControl/>
        <w:numPr>
          <w:ilvl w:val="0"/>
          <w:numId w:val="9"/>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部门预算执行进度情况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2018年我单位财政预算实际到位数为万元，年中财政调整预算666.67万元(其中项目预算调整23.8万元)。</w:t>
      </w:r>
    </w:p>
    <w:p>
      <w:pPr>
        <w:keepNext w:val="0"/>
        <w:keepLines w:val="0"/>
        <w:widowControl/>
        <w:numPr>
          <w:ilvl w:val="0"/>
          <w:numId w:val="9"/>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24"/>
          <w:lang w:val="zh-CN" w:eastAsia="zh-CN" w:bidi="ar"/>
        </w:rPr>
      </w:pPr>
      <w:r>
        <w:rPr>
          <w:rFonts w:hint="eastAsia" w:ascii="微软雅黑" w:hAnsi="微软雅黑" w:eastAsia="微软雅黑" w:cs="微软雅黑"/>
          <w:i w:val="0"/>
          <w:caps w:val="0"/>
          <w:color w:val="090909"/>
          <w:spacing w:val="0"/>
          <w:sz w:val="24"/>
          <w:szCs w:val="24"/>
          <w:shd w:val="clear" w:fill="FFFFFF"/>
        </w:rPr>
        <w:t>.</w:t>
      </w:r>
      <w:r>
        <w:rPr>
          <w:rFonts w:hint="eastAsia" w:ascii="仿宋_GB2312" w:hAnsi="宋体" w:eastAsia="仿宋_GB2312" w:cs="宋体"/>
          <w:color w:val="000000"/>
          <w:kern w:val="0"/>
          <w:sz w:val="32"/>
          <w:szCs w:val="24"/>
          <w:lang w:val="zh-CN" w:eastAsia="zh-CN" w:bidi="ar"/>
        </w:rPr>
        <w:t>中期评估工作</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按照要求，对纳入部门预算进行了中期评估论证。</w:t>
      </w:r>
    </w:p>
    <w:p>
      <w:pPr>
        <w:keepNext w:val="0"/>
        <w:keepLines w:val="0"/>
        <w:widowControl/>
        <w:numPr>
          <w:ilvl w:val="0"/>
          <w:numId w:val="6"/>
        </w:numPr>
        <w:suppressLineNumbers w:val="0"/>
        <w:adjustRightInd w:val="0"/>
        <w:snapToGrid w:val="0"/>
        <w:spacing w:before="0" w:beforeAutospacing="0" w:after="0" w:afterAutospacing="0" w:line="480" w:lineRule="exact"/>
        <w:ind w:left="0" w:leftChars="0" w:right="0" w:firstLine="640" w:firstLineChars="20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机关节能降耗</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建立节约型社会是党中央、国务院做出的一项重要部署。建设节约型机关，是建设节约型社会的重要组成部分，</w:t>
      </w:r>
      <w:r>
        <w:rPr>
          <w:rFonts w:hint="eastAsia" w:ascii="仿宋_GB2312" w:hAnsi="宋体" w:eastAsia="仿宋_GB2312" w:cs="宋体"/>
          <w:color w:val="000000"/>
          <w:kern w:val="0"/>
          <w:sz w:val="32"/>
          <w:szCs w:val="24"/>
          <w:lang w:val="en-US" w:eastAsia="zh-CN" w:bidi="ar"/>
        </w:rPr>
        <w:t>县妇联</w:t>
      </w:r>
      <w:r>
        <w:rPr>
          <w:rFonts w:hint="eastAsia" w:ascii="仿宋_GB2312" w:hAnsi="宋体" w:eastAsia="仿宋_GB2312" w:cs="宋体"/>
          <w:color w:val="000000"/>
          <w:kern w:val="0"/>
          <w:sz w:val="32"/>
          <w:szCs w:val="24"/>
          <w:lang w:val="zh-CN" w:eastAsia="zh-CN" w:bidi="ar"/>
        </w:rPr>
        <w:t>着力降低行政运行成本，节约用水用电、精简会议、完善采购制度节约办公消耗品。</w:t>
      </w:r>
    </w:p>
    <w:p>
      <w:pPr>
        <w:keepNext w:val="0"/>
        <w:keepLines w:val="0"/>
        <w:widowControl/>
        <w:numPr>
          <w:ilvl w:val="0"/>
          <w:numId w:val="9"/>
        </w:numPr>
        <w:suppressLineNumbers w:val="0"/>
        <w:adjustRightInd w:val="0"/>
        <w:snapToGrid w:val="0"/>
        <w:spacing w:before="0" w:beforeAutospacing="0" w:after="0" w:afterAutospacing="0" w:line="480" w:lineRule="exact"/>
        <w:ind w:left="0" w:leftChars="0" w:right="0" w:rightChars="0" w:firstLine="720" w:firstLine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“三公”经费预算执行情况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default" w:ascii="仿宋_GB2312" w:hAnsi="宋体" w:eastAsia="仿宋_GB2312" w:cs="宋体"/>
          <w:color w:val="000000"/>
          <w:kern w:val="0"/>
          <w:lang w:val="en-US" w:eastAsia="zh-CN"/>
        </w:rPr>
      </w:pPr>
      <w:r>
        <w:rPr>
          <w:rFonts w:hint="eastAsia" w:ascii="仿宋_GB2312" w:hAnsi="宋体" w:eastAsia="仿宋_GB2312" w:cs="宋体"/>
          <w:color w:val="000000"/>
          <w:kern w:val="0"/>
          <w:sz w:val="32"/>
          <w:szCs w:val="24"/>
          <w:lang w:val="zh-CN" w:eastAsia="zh-CN" w:bidi="ar"/>
        </w:rPr>
        <w:t>严格落实中央八项规定和省委省政府十项规定，厉行节约管理“三公”经费，全年压缩了公车预算，国外接待人数减少。</w:t>
      </w:r>
      <w:r>
        <w:rPr>
          <w:rFonts w:hint="eastAsia" w:ascii="仿宋_GB2312" w:hAnsi="宋体" w:eastAsia="仿宋_GB2312" w:cs="宋体"/>
          <w:color w:val="000000"/>
          <w:kern w:val="0"/>
          <w:sz w:val="32"/>
          <w:szCs w:val="24"/>
          <w:lang w:val="en-US" w:eastAsia="zh-CN" w:bidi="ar"/>
        </w:rPr>
        <w:t>2018年“三公经费1.62万元，2017年“三公”经费2.02万元，减少0.4万元，下降20%。</w:t>
      </w:r>
    </w:p>
    <w:p>
      <w:pPr>
        <w:keepNext w:val="0"/>
        <w:keepLines w:val="0"/>
        <w:widowControl/>
        <w:numPr>
          <w:ilvl w:val="0"/>
          <w:numId w:val="8"/>
        </w:numPr>
        <w:suppressLineNumbers w:val="0"/>
        <w:adjustRightInd w:val="0"/>
        <w:snapToGrid w:val="0"/>
        <w:spacing w:before="0" w:beforeAutospacing="0" w:after="0" w:afterAutospacing="0" w:line="480" w:lineRule="exact"/>
        <w:ind w:left="0" w:leftChars="0" w:right="0" w:firstLine="720" w:firstLineChars="0"/>
        <w:jc w:val="left"/>
        <w:rPr>
          <w:rFonts w:hint="eastAsia" w:ascii="楷体" w:hAnsi="楷体" w:eastAsia="楷体" w:cs="宋体"/>
          <w:color w:val="000000"/>
          <w:kern w:val="0"/>
          <w:sz w:val="32"/>
          <w:szCs w:val="24"/>
          <w:lang w:val="zh-CN" w:eastAsia="zh-CN" w:bidi="ar"/>
        </w:rPr>
      </w:pPr>
      <w:r>
        <w:rPr>
          <w:rFonts w:hint="eastAsia" w:ascii="楷体" w:hAnsi="楷体" w:eastAsia="楷体" w:cs="宋体"/>
          <w:color w:val="000000"/>
          <w:kern w:val="0"/>
          <w:sz w:val="32"/>
          <w:szCs w:val="24"/>
          <w:lang w:val="zh-CN" w:eastAsia="zh-CN" w:bidi="ar"/>
        </w:rPr>
        <w:t>综合管理情况。</w:t>
      </w:r>
    </w:p>
    <w:p>
      <w:pPr>
        <w:keepNext w:val="0"/>
        <w:keepLines w:val="0"/>
        <w:widowControl/>
        <w:numPr>
          <w:ilvl w:val="0"/>
          <w:numId w:val="1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政府债务情况</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红原县妇女联合会</w:t>
      </w:r>
      <w:r>
        <w:rPr>
          <w:rFonts w:hint="eastAsia" w:ascii="仿宋_GB2312" w:hAnsi="仿宋_GB2312" w:eastAsia="仿宋_GB2312" w:cs="仿宋_GB2312"/>
          <w:color w:val="000000"/>
          <w:kern w:val="2"/>
          <w:sz w:val="32"/>
          <w:szCs w:val="32"/>
          <w:lang w:val="zh-CN" w:eastAsia="zh-CN" w:bidi="ar-SA"/>
        </w:rPr>
        <w:t>201</w:t>
      </w:r>
      <w:r>
        <w:rPr>
          <w:rFonts w:hint="eastAsia" w:ascii="仿宋_GB2312" w:hAnsi="仿宋_GB2312" w:eastAsia="仿宋_GB2312" w:cs="仿宋_GB2312"/>
          <w:color w:val="000000"/>
          <w:kern w:val="2"/>
          <w:sz w:val="32"/>
          <w:szCs w:val="32"/>
          <w:lang w:val="en-US" w:eastAsia="zh-CN" w:bidi="ar-SA"/>
        </w:rPr>
        <w:t>8</w:t>
      </w:r>
      <w:r>
        <w:rPr>
          <w:rFonts w:hint="eastAsia" w:ascii="仿宋_GB2312" w:hAnsi="仿宋_GB2312" w:eastAsia="仿宋_GB2312" w:cs="仿宋_GB2312"/>
          <w:color w:val="000000"/>
          <w:kern w:val="2"/>
          <w:sz w:val="32"/>
          <w:szCs w:val="32"/>
          <w:lang w:val="zh-CN" w:eastAsia="zh-CN" w:bidi="ar-SA"/>
        </w:rPr>
        <w:t>年无政府性债务。</w:t>
      </w:r>
    </w:p>
    <w:p>
      <w:pPr>
        <w:keepNext w:val="0"/>
        <w:keepLines w:val="0"/>
        <w:widowControl/>
        <w:numPr>
          <w:ilvl w:val="0"/>
          <w:numId w:val="10"/>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非税收入情况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红原县妇女联合会</w:t>
      </w:r>
      <w:r>
        <w:rPr>
          <w:rFonts w:hint="eastAsia" w:ascii="仿宋_GB2312" w:hAnsi="仿宋_GB2312" w:eastAsia="仿宋_GB2312" w:cs="仿宋_GB2312"/>
          <w:color w:val="000000"/>
          <w:kern w:val="2"/>
          <w:sz w:val="32"/>
          <w:szCs w:val="32"/>
          <w:lang w:val="zh-CN" w:eastAsia="zh-CN" w:bidi="ar-SA"/>
        </w:rPr>
        <w:t>201</w:t>
      </w:r>
      <w:r>
        <w:rPr>
          <w:rFonts w:hint="eastAsia" w:ascii="仿宋_GB2312" w:hAnsi="仿宋_GB2312" w:eastAsia="仿宋_GB2312" w:cs="仿宋_GB2312"/>
          <w:color w:val="000000"/>
          <w:kern w:val="2"/>
          <w:sz w:val="32"/>
          <w:szCs w:val="32"/>
          <w:lang w:val="en-US" w:eastAsia="zh-CN" w:bidi="ar-SA"/>
        </w:rPr>
        <w:t>8</w:t>
      </w:r>
      <w:r>
        <w:rPr>
          <w:rFonts w:hint="eastAsia" w:ascii="仿宋_GB2312" w:hAnsi="仿宋_GB2312" w:eastAsia="仿宋_GB2312" w:cs="仿宋_GB2312"/>
          <w:color w:val="000000"/>
          <w:kern w:val="2"/>
          <w:sz w:val="32"/>
          <w:szCs w:val="32"/>
          <w:lang w:val="zh-CN" w:eastAsia="zh-CN" w:bidi="ar-SA"/>
        </w:rPr>
        <w:t>年无</w:t>
      </w:r>
      <w:r>
        <w:rPr>
          <w:rFonts w:hint="eastAsia" w:ascii="仿宋_GB2312" w:hAnsi="仿宋_GB2312" w:eastAsia="仿宋_GB2312" w:cs="仿宋_GB2312"/>
          <w:color w:val="000000"/>
          <w:kern w:val="2"/>
          <w:sz w:val="32"/>
          <w:szCs w:val="32"/>
          <w:lang w:val="en-US" w:eastAsia="zh-CN" w:bidi="ar-SA"/>
        </w:rPr>
        <w:t>非税收情况。</w:t>
      </w:r>
    </w:p>
    <w:p>
      <w:pPr>
        <w:keepNext w:val="0"/>
        <w:keepLines w:val="0"/>
        <w:widowControl/>
        <w:numPr>
          <w:ilvl w:val="0"/>
          <w:numId w:val="10"/>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政府采购实施情况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0.21</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0.21</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w:t>
      </w:r>
      <w:r>
        <w:rPr>
          <w:rFonts w:hint="eastAsia" w:ascii="仿宋_GB2312" w:eastAsia="仿宋_GB2312"/>
          <w:color w:val="000000"/>
          <w:sz w:val="32"/>
          <w:szCs w:val="32"/>
          <w:lang w:val="en-US" w:eastAsia="zh-CN"/>
        </w:rPr>
        <w:t>出纳办理相关业务，购买针式打印机</w:t>
      </w:r>
      <w:r>
        <w:rPr>
          <w:rFonts w:hint="eastAsia" w:ascii="仿宋_GB2312" w:eastAsia="仿宋_GB2312"/>
          <w:color w:val="000000"/>
          <w:sz w:val="32"/>
          <w:szCs w:val="32"/>
        </w:rPr>
        <w:t>。</w:t>
      </w:r>
    </w:p>
    <w:p>
      <w:pPr>
        <w:keepNext w:val="0"/>
        <w:keepLines w:val="0"/>
        <w:widowControl/>
        <w:numPr>
          <w:ilvl w:val="0"/>
          <w:numId w:val="10"/>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资产管理情况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红原县妇女联合会</w:t>
      </w:r>
      <w:r>
        <w:rPr>
          <w:rFonts w:hint="eastAsia" w:ascii="仿宋_GB2312" w:hAnsi="仿宋_GB2312" w:eastAsia="仿宋_GB2312" w:cs="仿宋_GB2312"/>
          <w:color w:val="000000"/>
          <w:kern w:val="2"/>
          <w:sz w:val="32"/>
          <w:szCs w:val="32"/>
          <w:lang w:val="zh-CN" w:eastAsia="zh-CN" w:bidi="ar-SA"/>
        </w:rPr>
        <w:t>按照石棉县财政局资产管理要求，设置专人管理固定资产信息系统和更新数据，按规定组织资产清查和报送国有资产报表。</w:t>
      </w:r>
    </w:p>
    <w:p>
      <w:pPr>
        <w:keepNext w:val="0"/>
        <w:keepLines w:val="0"/>
        <w:widowControl/>
        <w:numPr>
          <w:ilvl w:val="0"/>
          <w:numId w:val="10"/>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内控制度管理情况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红原县妇女联合会</w:t>
      </w:r>
      <w:r>
        <w:rPr>
          <w:rFonts w:hint="eastAsia" w:ascii="仿宋_GB2312" w:hAnsi="仿宋_GB2312" w:eastAsia="仿宋_GB2312" w:cs="仿宋_GB2312"/>
          <w:color w:val="000000"/>
          <w:kern w:val="2"/>
          <w:sz w:val="32"/>
          <w:szCs w:val="32"/>
          <w:lang w:val="zh-CN" w:eastAsia="zh-CN" w:bidi="ar-SA"/>
        </w:rPr>
        <w:t>制定有预算管理制度、收入管理制度、政府采购业务管理制度、资产管理制度和合同管理办法等方面的内部控制制度。</w:t>
      </w:r>
    </w:p>
    <w:p>
      <w:pPr>
        <w:keepNext w:val="0"/>
        <w:keepLines w:val="0"/>
        <w:widowControl/>
        <w:numPr>
          <w:ilvl w:val="0"/>
          <w:numId w:val="10"/>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信息公开情况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红原县妇女联合会</w:t>
      </w:r>
      <w:r>
        <w:rPr>
          <w:rFonts w:hint="eastAsia" w:ascii="仿宋_GB2312" w:hAnsi="仿宋_GB2312" w:eastAsia="仿宋_GB2312" w:cs="仿宋_GB2312"/>
          <w:color w:val="000000"/>
          <w:kern w:val="2"/>
          <w:sz w:val="32"/>
          <w:szCs w:val="32"/>
          <w:lang w:val="zh-CN" w:eastAsia="zh-CN" w:bidi="ar-SA"/>
        </w:rPr>
        <w:t>按照县财政局相关要求，在县政府统一的公开网站对201</w:t>
      </w:r>
      <w:r>
        <w:rPr>
          <w:rFonts w:hint="eastAsia" w:ascii="仿宋_GB2312" w:hAnsi="仿宋_GB2312" w:eastAsia="仿宋_GB2312" w:cs="仿宋_GB2312"/>
          <w:color w:val="000000"/>
          <w:kern w:val="2"/>
          <w:sz w:val="32"/>
          <w:szCs w:val="32"/>
          <w:lang w:val="en-US" w:eastAsia="zh-CN" w:bidi="ar-SA"/>
        </w:rPr>
        <w:t>8</w:t>
      </w:r>
      <w:r>
        <w:rPr>
          <w:rFonts w:hint="eastAsia" w:ascii="仿宋_GB2312" w:hAnsi="仿宋_GB2312" w:eastAsia="仿宋_GB2312" w:cs="仿宋_GB2312"/>
          <w:color w:val="000000"/>
          <w:kern w:val="2"/>
          <w:sz w:val="32"/>
          <w:szCs w:val="32"/>
          <w:lang w:val="zh-CN" w:eastAsia="zh-CN" w:bidi="ar-SA"/>
        </w:rPr>
        <w:t>年预算、决算进行了公开。</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（四）整体绩效。</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包括部门职责履行结果、重点项目绩效评价结果和服务对象满意度等。</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部门职责履行</w:t>
      </w:r>
      <w:r>
        <w:rPr>
          <w:rFonts w:hint="eastAsia" w:ascii="仿宋_GB2312" w:hAnsi="仿宋_GB2312" w:eastAsia="仿宋_GB2312" w:cs="仿宋_GB2312"/>
          <w:color w:val="000000"/>
          <w:kern w:val="0"/>
          <w:sz w:val="32"/>
          <w:szCs w:val="32"/>
          <w:lang w:val="en-US" w:eastAsia="zh-CN" w:bidi="ar-SA"/>
        </w:rPr>
        <w:t>结果：</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000000"/>
          <w:spacing w:val="0"/>
          <w:sz w:val="32"/>
          <w:szCs w:val="32"/>
          <w:shd w:val="clear" w:fill="FFFFFF"/>
        </w:rPr>
        <w:t>今年以来，</w:t>
      </w:r>
      <w:r>
        <w:rPr>
          <w:rFonts w:hint="eastAsia" w:ascii="仿宋_GB2312" w:hAnsi="仿宋_GB2312" w:eastAsia="仿宋_GB2312" w:cs="仿宋_GB2312"/>
          <w:i w:val="0"/>
          <w:caps w:val="0"/>
          <w:color w:val="000000"/>
          <w:spacing w:val="0"/>
          <w:sz w:val="32"/>
          <w:szCs w:val="32"/>
          <w:shd w:val="clear" w:fill="FFFFFF"/>
          <w:lang w:val="en-US" w:eastAsia="zh-CN"/>
        </w:rPr>
        <w:t>我</w:t>
      </w:r>
      <w:r>
        <w:rPr>
          <w:rFonts w:hint="eastAsia" w:ascii="仿宋_GB2312" w:hAnsi="仿宋_GB2312" w:eastAsia="仿宋_GB2312" w:cs="仿宋_GB2312"/>
          <w:i w:val="0"/>
          <w:caps w:val="0"/>
          <w:color w:val="000000"/>
          <w:spacing w:val="0"/>
          <w:sz w:val="32"/>
          <w:szCs w:val="32"/>
          <w:shd w:val="clear" w:fill="FFFFFF"/>
        </w:rPr>
        <w:t>县妇联在</w:t>
      </w:r>
      <w:r>
        <w:rPr>
          <w:rFonts w:hint="eastAsia" w:ascii="仿宋_GB2312" w:hAnsi="仿宋_GB2312" w:eastAsia="仿宋_GB2312" w:cs="仿宋_GB2312"/>
          <w:i w:val="0"/>
          <w:caps w:val="0"/>
          <w:color w:val="000000"/>
          <w:spacing w:val="0"/>
          <w:sz w:val="32"/>
          <w:szCs w:val="32"/>
          <w:shd w:val="clear" w:fill="FFFFFF"/>
          <w:lang w:val="en-US" w:eastAsia="zh-CN"/>
        </w:rPr>
        <w:t>县</w:t>
      </w:r>
      <w:r>
        <w:rPr>
          <w:rFonts w:hint="eastAsia" w:ascii="仿宋_GB2312" w:hAnsi="仿宋_GB2312" w:eastAsia="仿宋_GB2312" w:cs="仿宋_GB2312"/>
          <w:i w:val="0"/>
          <w:caps w:val="0"/>
          <w:color w:val="000000"/>
          <w:spacing w:val="0"/>
          <w:sz w:val="32"/>
          <w:szCs w:val="32"/>
          <w:shd w:val="clear" w:fill="FFFFFF"/>
        </w:rPr>
        <w:t>委</w:t>
      </w:r>
      <w:r>
        <w:rPr>
          <w:rFonts w:hint="eastAsia" w:ascii="仿宋_GB2312" w:hAnsi="仿宋_GB2312" w:eastAsia="仿宋_GB2312" w:cs="仿宋_GB2312"/>
          <w:i w:val="0"/>
          <w:caps w:val="0"/>
          <w:color w:val="000000"/>
          <w:spacing w:val="0"/>
          <w:sz w:val="32"/>
          <w:szCs w:val="32"/>
          <w:shd w:val="clear" w:fill="FFFFFF"/>
          <w:lang w:eastAsia="zh-CN"/>
        </w:rPr>
        <w:t>、</w:t>
      </w:r>
      <w:r>
        <w:rPr>
          <w:rFonts w:hint="eastAsia" w:ascii="仿宋_GB2312" w:hAnsi="仿宋_GB2312" w:eastAsia="仿宋_GB2312" w:cs="仿宋_GB2312"/>
          <w:i w:val="0"/>
          <w:caps w:val="0"/>
          <w:color w:val="000000"/>
          <w:spacing w:val="0"/>
          <w:sz w:val="32"/>
          <w:szCs w:val="32"/>
          <w:shd w:val="clear" w:fill="FFFFFF"/>
          <w:lang w:val="en-US" w:eastAsia="zh-CN"/>
        </w:rPr>
        <w:t>县政府</w:t>
      </w:r>
      <w:r>
        <w:rPr>
          <w:rFonts w:hint="eastAsia" w:ascii="仿宋_GB2312" w:hAnsi="仿宋_GB2312" w:eastAsia="仿宋_GB2312" w:cs="仿宋_GB2312"/>
          <w:i w:val="0"/>
          <w:caps w:val="0"/>
          <w:color w:val="000000"/>
          <w:spacing w:val="0"/>
          <w:sz w:val="32"/>
          <w:szCs w:val="32"/>
          <w:shd w:val="clear" w:fill="FFFFFF"/>
        </w:rPr>
        <w:t>和</w:t>
      </w:r>
      <w:r>
        <w:rPr>
          <w:rFonts w:hint="eastAsia" w:ascii="仿宋_GB2312" w:hAnsi="仿宋_GB2312" w:eastAsia="仿宋_GB2312" w:cs="仿宋_GB2312"/>
          <w:i w:val="0"/>
          <w:caps w:val="0"/>
          <w:color w:val="000000"/>
          <w:spacing w:val="0"/>
          <w:sz w:val="32"/>
          <w:szCs w:val="32"/>
          <w:shd w:val="clear" w:fill="FFFFFF"/>
          <w:lang w:val="en-US" w:eastAsia="zh-CN"/>
        </w:rPr>
        <w:t>州</w:t>
      </w:r>
      <w:r>
        <w:rPr>
          <w:rFonts w:hint="eastAsia" w:ascii="仿宋_GB2312" w:hAnsi="仿宋_GB2312" w:eastAsia="仿宋_GB2312" w:cs="仿宋_GB2312"/>
          <w:i w:val="0"/>
          <w:caps w:val="0"/>
          <w:color w:val="000000"/>
          <w:spacing w:val="0"/>
          <w:sz w:val="32"/>
          <w:szCs w:val="32"/>
          <w:shd w:val="clear" w:fill="FFFFFF"/>
        </w:rPr>
        <w:t>妇联的正确领导下，以中央、省委、</w:t>
      </w:r>
      <w:r>
        <w:rPr>
          <w:rFonts w:hint="eastAsia" w:ascii="仿宋_GB2312" w:hAnsi="仿宋_GB2312" w:eastAsia="仿宋_GB2312" w:cs="仿宋_GB2312"/>
          <w:i w:val="0"/>
          <w:caps w:val="0"/>
          <w:color w:val="000000"/>
          <w:spacing w:val="0"/>
          <w:sz w:val="32"/>
          <w:szCs w:val="32"/>
          <w:shd w:val="clear" w:fill="FFFFFF"/>
          <w:lang w:val="en-US" w:eastAsia="zh-CN"/>
        </w:rPr>
        <w:t>州</w:t>
      </w:r>
      <w:r>
        <w:rPr>
          <w:rFonts w:hint="eastAsia" w:ascii="仿宋_GB2312" w:hAnsi="仿宋_GB2312" w:eastAsia="仿宋_GB2312" w:cs="仿宋_GB2312"/>
          <w:i w:val="0"/>
          <w:caps w:val="0"/>
          <w:color w:val="000000"/>
          <w:spacing w:val="0"/>
          <w:sz w:val="32"/>
          <w:szCs w:val="32"/>
          <w:shd w:val="clear" w:fill="FFFFFF"/>
        </w:rPr>
        <w:t>委、县委党的群团工作会议精神为指导，紧紧围绕全县工作大局，以党政工作中心为切入点，以创业、创新、创优为抓手，以建好组织、强化基层为重点，以各项主题活动为载体，扎实有效地开展了妇联的各项工作。</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社会经济效益分析</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left"/>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1、</w:t>
      </w:r>
      <w:r>
        <w:rPr>
          <w:rFonts w:hint="eastAsia" w:ascii="仿宋_GB2312" w:hAnsi="仿宋_GB2312" w:eastAsia="仿宋_GB2312" w:cs="仿宋_GB2312"/>
          <w:i w:val="0"/>
          <w:caps w:val="0"/>
          <w:color w:val="000000"/>
          <w:spacing w:val="0"/>
          <w:sz w:val="32"/>
          <w:szCs w:val="32"/>
          <w:shd w:val="clear" w:fill="FFFFFF"/>
          <w:lang w:val="en-US" w:eastAsia="zh-CN"/>
        </w:rPr>
        <w:t>在农闲期间组织姐妹宣讲团深入各乡镇、远牧点，</w:t>
      </w:r>
      <w:r>
        <w:rPr>
          <w:rFonts w:hint="eastAsia" w:ascii="仿宋_GB2312" w:hAnsi="仿宋_GB2312" w:eastAsia="仿宋_GB2312" w:cs="仿宋_GB2312"/>
          <w:i w:val="0"/>
          <w:caps w:val="0"/>
          <w:color w:val="000000"/>
          <w:spacing w:val="0"/>
          <w:sz w:val="32"/>
          <w:szCs w:val="32"/>
          <w:shd w:val="clear" w:fill="FFFFFF"/>
        </w:rPr>
        <w:t>重点围绕《反家庭暴力法》的实施、农村妇女土地经营权确立、禁毒防艾等主题开展宣</w:t>
      </w:r>
      <w:r>
        <w:rPr>
          <w:rFonts w:hint="eastAsia" w:ascii="仿宋_GB2312" w:hAnsi="仿宋_GB2312" w:eastAsia="仿宋_GB2312" w:cs="仿宋_GB2312"/>
          <w:i w:val="0"/>
          <w:caps w:val="0"/>
          <w:color w:val="000000"/>
          <w:spacing w:val="0"/>
          <w:sz w:val="32"/>
          <w:szCs w:val="32"/>
          <w:shd w:val="clear" w:fill="FFFFFF"/>
          <w:lang w:val="en-US" w:eastAsia="zh-CN"/>
        </w:rPr>
        <w:t>讲</w:t>
      </w:r>
      <w:r>
        <w:rPr>
          <w:rFonts w:hint="eastAsia" w:ascii="仿宋_GB2312" w:hAnsi="仿宋_GB2312" w:eastAsia="仿宋_GB2312" w:cs="仿宋_GB2312"/>
          <w:i w:val="0"/>
          <w:caps w:val="0"/>
          <w:color w:val="000000"/>
          <w:spacing w:val="0"/>
          <w:sz w:val="32"/>
          <w:szCs w:val="32"/>
          <w:shd w:val="clear" w:fill="FFFFFF"/>
        </w:rPr>
        <w:t>，发放宣传资料</w:t>
      </w:r>
      <w:r>
        <w:rPr>
          <w:rFonts w:hint="eastAsia" w:ascii="仿宋_GB2312" w:hAnsi="仿宋_GB2312" w:eastAsia="仿宋_GB2312" w:cs="仿宋_GB2312"/>
          <w:i w:val="0"/>
          <w:caps w:val="0"/>
          <w:color w:val="000000"/>
          <w:spacing w:val="0"/>
          <w:sz w:val="32"/>
          <w:szCs w:val="32"/>
          <w:shd w:val="clear" w:fill="FFFFFF"/>
          <w:lang w:val="en-US" w:eastAsia="zh-CN"/>
        </w:rPr>
        <w:t>1</w:t>
      </w:r>
      <w:r>
        <w:rPr>
          <w:rFonts w:hint="eastAsia" w:ascii="仿宋_GB2312" w:hAnsi="仿宋_GB2312" w:eastAsia="仿宋_GB2312" w:cs="仿宋_GB2312"/>
          <w:i w:val="0"/>
          <w:caps w:val="0"/>
          <w:color w:val="000000"/>
          <w:spacing w:val="0"/>
          <w:sz w:val="32"/>
          <w:szCs w:val="32"/>
          <w:shd w:val="clear" w:fill="FFFFFF"/>
        </w:rPr>
        <w:t>000余份，接受妇女群众咨询80余人次。</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left"/>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2、2018年，</w:t>
      </w:r>
      <w:r>
        <w:rPr>
          <w:rFonts w:hint="eastAsia" w:ascii="仿宋_GB2312" w:hAnsi="仿宋_GB2312" w:eastAsia="仿宋_GB2312" w:cs="仿宋_GB2312"/>
          <w:i w:val="0"/>
          <w:caps w:val="0"/>
          <w:color w:val="000000"/>
          <w:spacing w:val="0"/>
          <w:sz w:val="32"/>
          <w:szCs w:val="32"/>
          <w:shd w:val="clear" w:fill="FFFFFF"/>
          <w:lang w:val="en-US" w:eastAsia="zh-CN"/>
        </w:rPr>
        <w:t>组织缝纫</w:t>
      </w:r>
      <w:r>
        <w:rPr>
          <w:rFonts w:hint="eastAsia" w:ascii="仿宋_GB2312" w:hAnsi="仿宋_GB2312" w:eastAsia="仿宋_GB2312" w:cs="仿宋_GB2312"/>
          <w:i w:val="0"/>
          <w:caps w:val="0"/>
          <w:color w:val="000000"/>
          <w:spacing w:val="0"/>
          <w:sz w:val="32"/>
          <w:szCs w:val="32"/>
          <w:shd w:val="clear" w:fill="FFFFFF"/>
        </w:rPr>
        <w:t>培训，</w:t>
      </w:r>
      <w:r>
        <w:rPr>
          <w:rFonts w:hint="eastAsia" w:ascii="仿宋_GB2312" w:hAnsi="仿宋_GB2312" w:eastAsia="仿宋_GB2312" w:cs="仿宋_GB2312"/>
          <w:i w:val="0"/>
          <w:caps w:val="0"/>
          <w:color w:val="000000"/>
          <w:spacing w:val="0"/>
          <w:sz w:val="32"/>
          <w:szCs w:val="32"/>
          <w:shd w:val="clear" w:fill="FFFFFF"/>
          <w:lang w:val="en-US" w:eastAsia="zh-CN"/>
        </w:rPr>
        <w:t>40</w:t>
      </w:r>
      <w:r>
        <w:rPr>
          <w:rFonts w:hint="eastAsia" w:ascii="仿宋_GB2312" w:hAnsi="仿宋_GB2312" w:eastAsia="仿宋_GB2312" w:cs="仿宋_GB2312"/>
          <w:i w:val="0"/>
          <w:caps w:val="0"/>
          <w:color w:val="000000"/>
          <w:spacing w:val="0"/>
          <w:sz w:val="32"/>
          <w:szCs w:val="32"/>
          <w:shd w:val="clear" w:fill="FFFFFF"/>
        </w:rPr>
        <w:t>余名贫困妇女参加培训。通过培训，进一步提升了贫困妇女的综合素质和就业技能，帮助她们在家就能实现就业致富。</w:t>
      </w:r>
    </w:p>
    <w:p>
      <w:pPr>
        <w:keepNext w:val="0"/>
        <w:keepLines w:val="0"/>
        <w:widowControl/>
        <w:suppressLineNumbers w:val="0"/>
        <w:adjustRightInd w:val="0"/>
        <w:snapToGrid w:val="0"/>
        <w:spacing w:before="0" w:beforeAutospacing="0" w:after="0" w:afterAutospacing="0" w:line="480" w:lineRule="exact"/>
        <w:ind w:right="0" w:firstLine="960" w:firstLineChars="30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四、评价结论及建议</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（一）评价结论。</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1. 我单位在预算管理上的力度加强，增强了预算的计划性、科学性，使预算管理的约束控制力得到充分发挥；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2.在内部控制文化建设方面积极培育符合我单位实际情况的内部控制文化，使内控意识和内控文化渗透到每一位干部职工思想深处，使内控成为每位干部职工的自觉行为。</w:t>
      </w:r>
    </w:p>
    <w:p>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（二）存在问题</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我单位会计股对单位重要事项的决策、实施过程和结果了解较少，进而对业务涉及财务问题时不能事前进行财务分析与指导，导致了控制与监督的不及时。今后要加强业务沟通，做到控制及时、监督有效。</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县妇联人员有限，行政编制只有</w:t>
      </w:r>
      <w:r>
        <w:rPr>
          <w:rFonts w:hint="eastAsia" w:ascii="仿宋_GB2312" w:hAnsi="仿宋_GB2312" w:eastAsia="仿宋_GB2312" w:cs="仿宋_GB2312"/>
          <w:color w:val="000000"/>
          <w:kern w:val="0"/>
          <w:sz w:val="32"/>
          <w:szCs w:val="32"/>
          <w:lang w:val="en-US" w:eastAsia="zh-CN" w:bidi="ar-SA"/>
        </w:rPr>
        <w:t>6</w:t>
      </w:r>
      <w:r>
        <w:rPr>
          <w:rFonts w:hint="eastAsia" w:ascii="仿宋_GB2312" w:hAnsi="仿宋_GB2312" w:eastAsia="仿宋_GB2312" w:cs="仿宋_GB2312"/>
          <w:color w:val="000000"/>
          <w:kern w:val="0"/>
          <w:sz w:val="32"/>
          <w:szCs w:val="32"/>
          <w:lang w:val="zh-CN" w:eastAsia="zh-CN" w:bidi="ar-SA"/>
        </w:rPr>
        <w:t>个，很难做到会计岗位轮岗的要求。在接下来的工作里，我们竭尽所能将人员配齐，严格按照内部控制规范制度行事。</w:t>
      </w:r>
    </w:p>
    <w:p>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zh-CN" w:eastAsia="zh-CN" w:bidi="ar-SA"/>
        </w:rPr>
        <w:t>（三）改进建议</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财政部门定期对各机关单位进行各类财务培训，加大培训力度，促进各单位事业的健康、可持续发展。</w:t>
      </w:r>
    </w:p>
    <w:bookmarkEnd w:id="60"/>
    <w:p>
      <w:pPr>
        <w:spacing w:line="600" w:lineRule="exact"/>
        <w:jc w:val="both"/>
        <w:outlineLvl w:val="0"/>
        <w:rPr>
          <w:rStyle w:val="25"/>
          <w:rFonts w:ascii="黑体" w:hAnsi="黑体" w:eastAsia="黑体"/>
          <w:b w:val="0"/>
        </w:rPr>
      </w:pPr>
      <w:bookmarkStart w:id="61"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7"/>
      <w:bookmarkEnd w:id="61"/>
    </w:p>
    <w:p>
      <w:pPr>
        <w:pStyle w:val="3"/>
        <w:numPr>
          <w:ilvl w:val="0"/>
          <w:numId w:val="0"/>
        </w:numPr>
        <w:rPr>
          <w:rFonts w:hint="eastAsia" w:ascii="仿宋" w:hAnsi="仿宋" w:eastAsia="仿宋"/>
          <w:b w:val="0"/>
          <w:color w:val="000000"/>
        </w:rPr>
      </w:pPr>
      <w:bookmarkStart w:id="62" w:name="_Toc15396620"/>
      <w:r>
        <w:rPr>
          <w:rFonts w:hint="eastAsia" w:ascii="仿宋" w:hAnsi="仿宋" w:eastAsia="仿宋"/>
          <w:b w:val="0"/>
          <w:color w:val="000000"/>
          <w:lang w:val="en-US" w:eastAsia="zh-CN"/>
        </w:rPr>
        <w:t>一、</w:t>
      </w:r>
      <w:r>
        <w:rPr>
          <w:rFonts w:hint="eastAsia" w:ascii="仿宋" w:hAnsi="仿宋" w:eastAsia="仿宋"/>
          <w:b w:val="0"/>
          <w:color w:val="000000"/>
        </w:rPr>
        <w:t>收入支出决算总表</w:t>
      </w:r>
    </w:p>
    <w:p>
      <w:pPr>
        <w:pStyle w:val="3"/>
        <w:numPr>
          <w:ilvl w:val="0"/>
          <w:numId w:val="0"/>
        </w:numPr>
        <w:rPr>
          <w:rFonts w:ascii="仿宋" w:hAnsi="仿宋" w:eastAsia="仿宋"/>
          <w:color w:val="000000"/>
        </w:rPr>
      </w:pPr>
      <w:r>
        <w:rPr>
          <w:rFonts w:hint="eastAsia" w:ascii="仿宋" w:hAnsi="仿宋" w:eastAsia="仿宋"/>
          <w:b w:val="0"/>
          <w:color w:val="000000"/>
        </w:rPr>
        <w:t>二、收</w:t>
      </w:r>
      <w:r>
        <w:rPr>
          <w:rStyle w:val="26"/>
          <w:rFonts w:hint="eastAsia" w:ascii="仿宋" w:hAnsi="仿宋" w:eastAsia="仿宋"/>
          <w:b w:val="0"/>
          <w:bCs w:val="0"/>
        </w:rPr>
        <w:t>入总表</w:t>
      </w:r>
      <w:bookmarkEnd w:id="62"/>
    </w:p>
    <w:p>
      <w:pPr>
        <w:pStyle w:val="3"/>
        <w:rPr>
          <w:rFonts w:ascii="仿宋" w:hAnsi="仿宋" w:eastAsia="仿宋"/>
          <w:color w:val="000000"/>
        </w:rPr>
      </w:pPr>
      <w:bookmarkStart w:id="63"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出总表</w:t>
      </w:r>
      <w:bookmarkEnd w:id="63"/>
    </w:p>
    <w:p>
      <w:pPr>
        <w:pStyle w:val="3"/>
        <w:rPr>
          <w:rFonts w:ascii="仿宋" w:hAnsi="仿宋" w:eastAsia="仿宋"/>
          <w:b w:val="0"/>
          <w:color w:val="000000"/>
        </w:rPr>
      </w:pPr>
      <w:bookmarkStart w:id="64"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4"/>
    </w:p>
    <w:p>
      <w:pPr>
        <w:pStyle w:val="3"/>
        <w:rPr>
          <w:rFonts w:ascii="仿宋" w:hAnsi="仿宋" w:eastAsia="仿宋"/>
          <w:color w:val="000000"/>
        </w:rPr>
      </w:pPr>
      <w:bookmarkStart w:id="65"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政拨款支出决算明细表（政府经济分类科目）</w:t>
      </w:r>
      <w:bookmarkEnd w:id="65"/>
    </w:p>
    <w:p>
      <w:pPr>
        <w:pStyle w:val="3"/>
        <w:rPr>
          <w:rFonts w:ascii="仿宋" w:hAnsi="仿宋" w:eastAsia="仿宋"/>
          <w:color w:val="000000"/>
        </w:rPr>
      </w:pPr>
      <w:bookmarkStart w:id="66" w:name="_Toc15396624"/>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6"/>
    </w:p>
    <w:p>
      <w:pPr>
        <w:pStyle w:val="3"/>
        <w:rPr>
          <w:rFonts w:ascii="仿宋" w:hAnsi="仿宋" w:eastAsia="仿宋"/>
          <w:color w:val="000000"/>
        </w:rPr>
      </w:pPr>
      <w:bookmarkStart w:id="67"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7"/>
    </w:p>
    <w:p>
      <w:pPr>
        <w:pStyle w:val="3"/>
        <w:rPr>
          <w:rFonts w:ascii="仿宋" w:hAnsi="仿宋" w:eastAsia="仿宋"/>
          <w:color w:val="000000"/>
        </w:rPr>
      </w:pPr>
      <w:bookmarkStart w:id="68"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8"/>
    </w:p>
    <w:p>
      <w:pPr>
        <w:pStyle w:val="3"/>
        <w:rPr>
          <w:rFonts w:ascii="仿宋" w:hAnsi="仿宋" w:eastAsia="仿宋"/>
          <w:color w:val="000000"/>
        </w:rPr>
      </w:pPr>
      <w:bookmarkStart w:id="69"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69"/>
    </w:p>
    <w:p>
      <w:pPr>
        <w:pStyle w:val="3"/>
        <w:rPr>
          <w:rFonts w:ascii="仿宋" w:hAnsi="仿宋" w:eastAsia="仿宋"/>
          <w:color w:val="000000"/>
        </w:rPr>
      </w:pPr>
      <w:bookmarkStart w:id="70"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70"/>
    </w:p>
    <w:p>
      <w:pPr>
        <w:pStyle w:val="3"/>
        <w:rPr>
          <w:rFonts w:ascii="仿宋" w:hAnsi="仿宋" w:eastAsia="仿宋"/>
          <w:color w:val="000000"/>
        </w:rPr>
      </w:pPr>
      <w:bookmarkStart w:id="71"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1"/>
    </w:p>
    <w:p>
      <w:pPr>
        <w:pStyle w:val="3"/>
        <w:rPr>
          <w:rFonts w:ascii="仿宋" w:hAnsi="仿宋" w:eastAsia="仿宋"/>
          <w:color w:val="000000"/>
        </w:rPr>
      </w:pPr>
      <w:bookmarkStart w:id="72"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2"/>
    </w:p>
    <w:p>
      <w:pPr>
        <w:pStyle w:val="3"/>
        <w:rPr>
          <w:rStyle w:val="26"/>
          <w:rFonts w:hint="eastAsia" w:ascii="仿宋" w:hAnsi="仿宋" w:eastAsia="仿宋"/>
          <w:b w:val="0"/>
          <w:bCs w:val="0"/>
        </w:rPr>
      </w:pPr>
      <w:bookmarkStart w:id="73"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3"/>
    </w:p>
    <w:p>
      <w:pPr>
        <w:rPr>
          <w:rStyle w:val="26"/>
          <w:rFonts w:hint="eastAsia" w:ascii="仿宋" w:hAnsi="仿宋" w:eastAsia="仿宋"/>
          <w:b w:val="0"/>
          <w:bCs w:val="0"/>
          <w:lang w:val="en-US" w:eastAsia="zh-CN"/>
        </w:rPr>
      </w:pPr>
      <w:r>
        <w:rPr>
          <w:rStyle w:val="26"/>
          <w:rFonts w:hint="eastAsia" w:ascii="仿宋" w:hAnsi="仿宋" w:eastAsia="仿宋"/>
          <w:b w:val="0"/>
          <w:bCs w:val="0"/>
          <w:lang w:val="en-US" w:eastAsia="zh-CN"/>
        </w:rPr>
        <w:t>十四、整体支出绩效评价打分表</w:t>
      </w:r>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auto"/>
    <w:pitch w:val="default"/>
    <w:sig w:usb0="00000003" w:usb1="288F0000" w:usb2="0000000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Book Antiqua">
    <w:altName w:val="Segoe Print"/>
    <w:panose1 w:val="02040602050305030304"/>
    <w:charset w:val="00"/>
    <w:family w:val="auto"/>
    <w:pitch w:val="default"/>
    <w:sig w:usb0="00000000" w:usb1="00000000" w:usb2="00000000" w:usb3="00000000" w:csb0="2000009F" w:csb1="DFD70000"/>
  </w:font>
  <w:font w:name="华文仿宋">
    <w:altName w:val="仿宋"/>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华文新魏">
    <w:altName w:val="宋体"/>
    <w:panose1 w:val="02010800040101010101"/>
    <w:charset w:val="86"/>
    <w:family w:val="auto"/>
    <w:pitch w:val="default"/>
    <w:sig w:usb0="00000000" w:usb1="0000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A6F83B"/>
    <w:multiLevelType w:val="singleLevel"/>
    <w:tmpl w:val="99A6F83B"/>
    <w:lvl w:ilvl="0" w:tentative="0">
      <w:start w:val="1"/>
      <w:numFmt w:val="decimal"/>
      <w:suff w:val="nothing"/>
      <w:lvlText w:val="%1、"/>
      <w:lvlJc w:val="left"/>
    </w:lvl>
  </w:abstractNum>
  <w:abstractNum w:abstractNumId="1">
    <w:nsid w:val="B026C66B"/>
    <w:multiLevelType w:val="singleLevel"/>
    <w:tmpl w:val="B026C66B"/>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09FC8B8"/>
    <w:multiLevelType w:val="singleLevel"/>
    <w:tmpl w:val="E09FC8B8"/>
    <w:lvl w:ilvl="0" w:tentative="0">
      <w:start w:val="2"/>
      <w:numFmt w:val="decimal"/>
      <w:suff w:val="nothing"/>
      <w:lvlText w:val="%1、"/>
      <w:lvlJc w:val="left"/>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162A9803"/>
    <w:multiLevelType w:val="singleLevel"/>
    <w:tmpl w:val="162A9803"/>
    <w:lvl w:ilvl="0" w:tentative="0">
      <w:start w:val="2"/>
      <w:numFmt w:val="chineseCounting"/>
      <w:suff w:val="nothing"/>
      <w:lvlText w:val="（%1）"/>
      <w:lvlJc w:val="left"/>
      <w:rPr>
        <w:rFonts w:hint="eastAsia"/>
      </w:rPr>
    </w:lvl>
  </w:abstractNum>
  <w:abstractNum w:abstractNumId="8">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9">
    <w:nsid w:val="5D550A1F"/>
    <w:multiLevelType w:val="singleLevel"/>
    <w:tmpl w:val="5D550A1F"/>
    <w:lvl w:ilvl="0" w:tentative="0">
      <w:start w:val="1"/>
      <w:numFmt w:val="decimal"/>
      <w:lvlText w:val="%1."/>
      <w:lvlJc w:val="left"/>
      <w:pPr>
        <w:tabs>
          <w:tab w:val="left" w:pos="312"/>
        </w:tabs>
      </w:pPr>
    </w:lvl>
  </w:abstractNum>
  <w:num w:numId="1">
    <w:abstractNumId w:val="6"/>
  </w:num>
  <w:num w:numId="2">
    <w:abstractNumId w:val="9"/>
  </w:num>
  <w:num w:numId="3">
    <w:abstractNumId w:val="2"/>
  </w:num>
  <w:num w:numId="4">
    <w:abstractNumId w:val="8"/>
  </w:num>
  <w:num w:numId="5">
    <w:abstractNumId w:val="5"/>
  </w:num>
  <w:num w:numId="6">
    <w:abstractNumId w:val="1"/>
  </w:num>
  <w:num w:numId="7">
    <w:abstractNumId w:val="4"/>
  </w:num>
  <w:num w:numId="8">
    <w:abstractNumId w:val="7"/>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674119C"/>
    <w:rsid w:val="06844575"/>
    <w:rsid w:val="0ED62A80"/>
    <w:rsid w:val="10C055FF"/>
    <w:rsid w:val="10F529AD"/>
    <w:rsid w:val="10F9450A"/>
    <w:rsid w:val="12E46FEF"/>
    <w:rsid w:val="16BB723D"/>
    <w:rsid w:val="1D780C60"/>
    <w:rsid w:val="240371BF"/>
    <w:rsid w:val="25B46BBD"/>
    <w:rsid w:val="290146E4"/>
    <w:rsid w:val="29647425"/>
    <w:rsid w:val="29FD04D3"/>
    <w:rsid w:val="2A840E2A"/>
    <w:rsid w:val="319F7F4E"/>
    <w:rsid w:val="32C948B5"/>
    <w:rsid w:val="363A2BAF"/>
    <w:rsid w:val="39AB5E5F"/>
    <w:rsid w:val="413F3A1D"/>
    <w:rsid w:val="418357A8"/>
    <w:rsid w:val="41D72CE8"/>
    <w:rsid w:val="453E098F"/>
    <w:rsid w:val="45F27EAA"/>
    <w:rsid w:val="4A4B63BA"/>
    <w:rsid w:val="4B9C5A3D"/>
    <w:rsid w:val="4C022464"/>
    <w:rsid w:val="4CB50588"/>
    <w:rsid w:val="4E251EF5"/>
    <w:rsid w:val="51354234"/>
    <w:rsid w:val="5144220F"/>
    <w:rsid w:val="56B724A8"/>
    <w:rsid w:val="57AE5A6E"/>
    <w:rsid w:val="5EE97454"/>
    <w:rsid w:val="61CC17A6"/>
    <w:rsid w:val="6283125C"/>
    <w:rsid w:val="629378CF"/>
    <w:rsid w:val="65E821BF"/>
    <w:rsid w:val="66D401B3"/>
    <w:rsid w:val="6B7F3207"/>
    <w:rsid w:val="6F0F4DAF"/>
    <w:rsid w:val="71DC6A55"/>
    <w:rsid w:val="71F44FD0"/>
    <w:rsid w:val="75282356"/>
    <w:rsid w:val="7BFA1856"/>
    <w:rsid w:val="7DB146BC"/>
    <w:rsid w:val="7EC53FB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7">
    <w:name w:val="Header Char"/>
    <w:basedOn w:val="13"/>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3"/>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3"/>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3"/>
    <w:link w:val="2"/>
    <w:qFormat/>
    <w:uiPriority w:val="9"/>
    <w:rPr>
      <w:rFonts w:ascii="Times New Roman" w:hAnsi="Times New Roman"/>
      <w:b/>
      <w:bCs/>
      <w:kern w:val="44"/>
      <w:sz w:val="44"/>
      <w:szCs w:val="44"/>
    </w:rPr>
  </w:style>
  <w:style w:type="character" w:customStyle="1" w:styleId="26">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7">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3"/>
    <w:link w:val="7"/>
    <w:semiHidden/>
    <w:qFormat/>
    <w:uiPriority w:val="99"/>
    <w:rPr>
      <w:rFonts w:ascii="Times New Roman" w:hAnsi="Times New Roman"/>
      <w:kern w:val="2"/>
      <w:sz w:val="18"/>
      <w:szCs w:val="18"/>
    </w:rPr>
  </w:style>
  <w:style w:type="character" w:customStyle="1" w:styleId="29">
    <w:name w:val="标题 3 Char"/>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themeOverride" Target="../theme/themeOverride3.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69009668147374"/>
          <c:y val="0.176846747519294"/>
          <c:w val="0.799764828847661"/>
          <c:h val="0.714090407938258"/>
        </c:manualLayout>
      </c:layout>
      <c:barChart>
        <c:barDir val="col"/>
        <c:grouping val="clustered"/>
        <c:varyColors val="0"/>
        <c:ser>
          <c:idx val="1"/>
          <c:order val="0"/>
          <c:tx>
            <c:strRef>
              <c:f>Sheet1!$B$1</c:f>
              <c:strCache>
                <c:ptCount val="1"/>
                <c:pt idx="0">
                  <c:v>收入（万元）</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2017年度</c:v>
                </c:pt>
                <c:pt idx="1">
                  <c:v>2018年度</c:v>
                </c:pt>
              </c:strCache>
            </c:strRef>
          </c:cat>
          <c:val>
            <c:numRef>
              <c:f>Sheet1!$B$2:$B$5</c:f>
              <c:numCache>
                <c:formatCode>General</c:formatCode>
                <c:ptCount val="4"/>
                <c:pt idx="0">
                  <c:v>117.44</c:v>
                </c:pt>
                <c:pt idx="1">
                  <c:v>148.01</c:v>
                </c:pt>
              </c:numCache>
            </c:numRef>
          </c:val>
        </c:ser>
        <c:ser>
          <c:idx val="2"/>
          <c:order val="1"/>
          <c:tx>
            <c:strRef>
              <c:f>Sheet1!$C$1</c:f>
              <c:strCache>
                <c:ptCount val="1"/>
                <c:pt idx="0">
                  <c:v>支出（万元）</c:v>
                </c:pt>
              </c:strCache>
            </c:strRef>
          </c:tx>
          <c:spPr>
            <a:solidFill>
              <a:schemeClr val="accent3"/>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2017年度</c:v>
                </c:pt>
                <c:pt idx="1">
                  <c:v>2018年度</c:v>
                </c:pt>
              </c:strCache>
            </c:strRef>
          </c:cat>
          <c:val>
            <c:numRef>
              <c:f>Sheet1!$C$2:$C$5</c:f>
              <c:numCache>
                <c:formatCode>General</c:formatCode>
                <c:ptCount val="4"/>
                <c:pt idx="0">
                  <c:v>127.2</c:v>
                </c:pt>
                <c:pt idx="1">
                  <c:v>110.53</c:v>
                </c:pt>
              </c:numCache>
            </c:numRef>
          </c:val>
        </c:ser>
        <c:ser>
          <c:idx val="3"/>
          <c:order val="2"/>
          <c:tx>
            <c:strRef>
              <c:f>Sheet1!$D$1</c:f>
              <c:strCache>
                <c:ptCount val="1"/>
                <c:pt idx="0">
                  <c:v/>
                </c:pt>
              </c:strCache>
            </c:strRef>
          </c:tx>
          <c:spPr>
            <a:solidFill>
              <a:schemeClr val="accent4"/>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2017年度</c:v>
                </c:pt>
                <c:pt idx="1">
                  <c:v>2018年度</c:v>
                </c:pt>
              </c:strCache>
            </c:strRef>
          </c:cat>
          <c:val>
            <c:numRef>
              <c:f>Sheet1!$D$2:$D$5</c:f>
              <c:numCache>
                <c:formatCode>General</c:formatCode>
                <c:ptCount val="4"/>
              </c:numCache>
            </c:numRef>
          </c:val>
        </c:ser>
        <c:dLbls>
          <c:showLegendKey val="0"/>
          <c:showVal val="1"/>
          <c:showCatName val="0"/>
          <c:showSerName val="0"/>
          <c:showPercent val="0"/>
          <c:showBubbleSize val="0"/>
        </c:dLbls>
        <c:gapWidth val="219"/>
        <c:overlap val="-27"/>
        <c:axId val="44196800"/>
        <c:axId val="666555786"/>
      </c:barChart>
      <c:catAx>
        <c:axId val="44196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6555786"/>
        <c:crosses val="autoZero"/>
        <c:auto val="1"/>
        <c:lblAlgn val="ctr"/>
        <c:lblOffset val="100"/>
        <c:noMultiLvlLbl val="0"/>
      </c:catAx>
      <c:valAx>
        <c:axId val="66655578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196800"/>
        <c:crosses val="autoZero"/>
        <c:crossBetween val="between"/>
      </c:valAx>
      <c:spPr>
        <a:noFill/>
        <a:ln>
          <a:noFill/>
        </a:ln>
        <a:effectLst/>
      </c:spPr>
    </c:plotArea>
    <c:legend>
      <c:legendPos val="r"/>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rgbClr val="3A6D70"/>
                </a:solidFill>
                <a:latin typeface="微软雅黑" panose="020B0503020204020204" pitchFamily="2" charset="-122"/>
                <a:ea typeface="微软雅黑" panose="020B0503020204020204" pitchFamily="2" charset="-122"/>
                <a:cs typeface="+mn-cs"/>
              </a:defRPr>
            </a:pPr>
            <a:r>
              <a:rPr lang="en-US" altLang="zh-CN"/>
              <a:t>2018</a:t>
            </a:r>
            <a:r>
              <a:rPr altLang="en-US"/>
              <a:t>年</a:t>
            </a:r>
            <a:r>
              <a:t>总收入</a:t>
            </a:r>
          </a:p>
        </c:rich>
      </c:tx>
      <c:layout/>
      <c:overlay val="0"/>
      <c:spPr>
        <a:noFill/>
        <a:ln>
          <a:noFill/>
        </a:ln>
        <a:effectLst/>
      </c:spPr>
    </c:title>
    <c:autoTitleDeleted val="0"/>
    <c:plotArea>
      <c:layout>
        <c:manualLayout>
          <c:layoutTarget val="inner"/>
          <c:xMode val="edge"/>
          <c:yMode val="edge"/>
          <c:x val="0.295332708740591"/>
          <c:y val="0.178610753655793"/>
          <c:w val="0.426443689574079"/>
          <c:h val="0.71973539140022"/>
        </c:manualLayout>
      </c:layout>
      <c:pieChart>
        <c:varyColors val="1"/>
        <c:ser>
          <c:idx val="0"/>
          <c:order val="0"/>
          <c:tx>
            <c:strRef>
              <c:f>Sheet1!$B$1</c:f>
              <c:strCache>
                <c:ptCount val="1"/>
                <c:pt idx="0">
                  <c:v>总收入</c:v>
                </c:pt>
              </c:strCache>
            </c:strRef>
          </c:tx>
          <c:spPr>
            <a:solidFill>
              <a:srgbClr val="DFAD58"/>
            </a:solidFill>
            <a:effectLst/>
          </c:spPr>
          <c:explosion val="0"/>
          <c:dPt>
            <c:idx val="0"/>
            <c:bubble3D val="0"/>
            <c:spPr>
              <a:solidFill>
                <a:srgbClr val="3A6D70"/>
              </a:solidFill>
              <a:ln>
                <a:noFill/>
              </a:ln>
              <a:effectLst/>
            </c:spPr>
          </c:dPt>
          <c:dPt>
            <c:idx val="1"/>
            <c:bubble3D val="0"/>
            <c:spPr>
              <a:solidFill>
                <a:srgbClr val="4BACC6"/>
              </a:solidFill>
              <a:ln>
                <a:noFill/>
              </a:ln>
              <a:effectLst/>
            </c:spPr>
          </c:dPt>
          <c:dPt>
            <c:idx val="2"/>
            <c:bubble3D val="0"/>
            <c:spPr>
              <a:solidFill>
                <a:srgbClr val="C0504D"/>
              </a:solidFill>
              <a:ln>
                <a:noFill/>
              </a:ln>
              <a:effectLst/>
            </c:spPr>
          </c:dPt>
          <c:dPt>
            <c:idx val="3"/>
            <c:bubble3D val="0"/>
            <c:spPr>
              <a:solidFill>
                <a:srgbClr val="F79646"/>
              </a:solidFill>
              <a:ln>
                <a:noFill/>
              </a:ln>
              <a:effectLst/>
            </c:spPr>
          </c:dPt>
          <c:dPt>
            <c:idx val="4"/>
            <c:bubble3D val="0"/>
            <c:spPr>
              <a:solidFill>
                <a:srgbClr val="8064A2"/>
              </a:solidFill>
              <a:ln>
                <a:noFill/>
              </a:ln>
              <a:effectLst/>
            </c:spPr>
          </c:dPt>
          <c:dPt>
            <c:idx val="5"/>
            <c:bubble3D val="0"/>
            <c:spPr>
              <a:solidFill>
                <a:srgbClr val="DFAD58"/>
              </a:solidFill>
              <a:ln>
                <a:noFill/>
              </a:ln>
              <a:effectLst/>
            </c:spPr>
          </c:dPt>
          <c:dPt>
            <c:idx val="6"/>
            <c:bubble3D val="0"/>
            <c:spPr>
              <a:solidFill>
                <a:srgbClr val="C00000"/>
              </a:solidFill>
              <a:ln>
                <a:noFill/>
              </a:ln>
              <a:effectLst/>
            </c:spPr>
          </c:dPt>
          <c:dLbls>
            <c:dLbl>
              <c:idx val="0"/>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bg1"/>
                        </a:solidFill>
                        <a:latin typeface="微软雅黑" panose="020B0503020204020204" pitchFamily="2" charset="-122"/>
                        <a:ea typeface="微软雅黑" panose="020B0503020204020204" pitchFamily="2" charset="-122"/>
                        <a:cs typeface="+mn-cs"/>
                      </a:defRPr>
                    </a:pPr>
                    <a:r>
                      <a:rPr lang="en-US" altLang="zh-CN"/>
                      <a:t>99.98</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1"/>
              <c:delete val="1"/>
            </c:dLbl>
            <c:dLbl>
              <c:idx val="2"/>
              <c:delete val="1"/>
            </c:dLbl>
            <c:dLbl>
              <c:idx val="3"/>
              <c:delete val="1"/>
            </c:dLbl>
            <c:dLbl>
              <c:idx val="4"/>
              <c:layout>
                <c:manualLayout>
                  <c:x val="-0.156838486716964"/>
                  <c:y val="-0.0134531527833425"/>
                </c:manualLayout>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bg1"/>
                        </a:solidFill>
                        <a:latin typeface="微软雅黑" panose="020B0503020204020204" pitchFamily="2" charset="-122"/>
                        <a:ea typeface="微软雅黑" panose="020B0503020204020204" pitchFamily="2" charset="-122"/>
                        <a:cs typeface="+mn-cs"/>
                      </a:defRPr>
                    </a:pPr>
                    <a:r>
                      <a:t>0</a:t>
                    </a:r>
                    <a:r>
                      <a:rPr lang="en-US" altLang="zh-CN"/>
                      <a:t>.02</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5"/>
              <c:delete val="1"/>
            </c:dLbl>
            <c:dLbl>
              <c:idx val="6"/>
              <c:delete val="1"/>
            </c:dLbl>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pitchFamily="2" charset="-122"/>
                    <a:ea typeface="微软雅黑" panose="020B0503020204020204" pitchFamily="2" charset="-122"/>
                    <a:cs typeface="+mn-cs"/>
                  </a:defRPr>
                </a:pPr>
              </a:p>
            </c:txPr>
            <c:dLblPos val="ctr"/>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一般公共预算财政拨款收入（万元）</c:v>
                </c:pt>
                <c:pt idx="1">
                  <c:v>政府性基金预算财政拨款收入（万元）</c:v>
                </c:pt>
                <c:pt idx="2">
                  <c:v>国有资本经营预算财政拨款收入（万元）</c:v>
                </c:pt>
                <c:pt idx="3">
                  <c:v>事业收入（万元）</c:v>
                </c:pt>
                <c:pt idx="4">
                  <c:v>经营收入（万元）</c:v>
                </c:pt>
                <c:pt idx="5">
                  <c:v>附属单位上缴收入（万元）</c:v>
                </c:pt>
                <c:pt idx="6">
                  <c:v>其他收入（万元）</c:v>
                </c:pt>
              </c:strCache>
            </c:strRef>
          </c:cat>
          <c:val>
            <c:numRef>
              <c:f>Sheet1!$B$2:$B$8</c:f>
              <c:numCache>
                <c:formatCode>General</c:formatCode>
                <c:ptCount val="7"/>
                <c:pt idx="0">
                  <c:v>147.98</c:v>
                </c:pt>
                <c:pt idx="1">
                  <c:v>0</c:v>
                </c:pt>
                <c:pt idx="2">
                  <c:v>0</c:v>
                </c:pt>
                <c:pt idx="3">
                  <c:v>0</c:v>
                </c:pt>
                <c:pt idx="4">
                  <c:v>0</c:v>
                </c:pt>
                <c:pt idx="5">
                  <c:v>0</c:v>
                </c:pt>
                <c:pt idx="6">
                  <c:v>0.03</c:v>
                </c:pt>
              </c:numCache>
            </c:numRef>
          </c:val>
        </c:ser>
        <c:dLbls>
          <c:showLegendKey val="0"/>
          <c:showVal val="0"/>
          <c:showCatName val="0"/>
          <c:showSerName val="0"/>
          <c:showPercent val="1"/>
          <c:showBubbleSize val="0"/>
          <c:showLeaderLines val="0"/>
        </c:dLbls>
        <c:firstSliceAng val="94"/>
      </c:pieChart>
      <c:spPr>
        <a:noFill/>
        <a:ln>
          <a:noFill/>
        </a:ln>
        <a:effectLst/>
      </c:spPr>
    </c:plotArea>
    <c:legend>
      <c:legendPos val="r"/>
      <c:legendEntry>
        <c:idx val="0"/>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pitchFamily="2" charset="-122"/>
                <a:ea typeface="微软雅黑" panose="020B0503020204020204" pitchFamily="2" charset="-122"/>
                <a:cs typeface="+mn-cs"/>
              </a:defRPr>
            </a:pPr>
          </a:p>
        </c:txPr>
      </c:legendEntry>
      <c:legendEntry>
        <c:idx val="1"/>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pitchFamily="2" charset="-122"/>
                <a:ea typeface="微软雅黑" panose="020B0503020204020204" pitchFamily="2" charset="-122"/>
                <a:cs typeface="+mn-cs"/>
              </a:defRPr>
            </a:pPr>
          </a:p>
        </c:txPr>
      </c:legendEntry>
      <c:layout>
        <c:manualLayout>
          <c:xMode val="edge"/>
          <c:yMode val="edge"/>
          <c:x val="0.04425"/>
          <c:y val="0.837"/>
          <c:w val="0.913375"/>
          <c:h val="0.158"/>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pitchFamily="2" charset="-122"/>
              <a:ea typeface="微软雅黑" panose="020B0503020204020204" pitchFamily="2" charset="-122"/>
              <a:cs typeface="+mn-cs"/>
            </a:defRPr>
          </a:pPr>
        </a:p>
      </c:txPr>
    </c:legend>
    <c:plotVisOnly val="1"/>
    <c:dispBlanksAs val="gap"/>
    <c:showDLblsOverMax val="0"/>
  </c:chart>
  <c:spPr>
    <a:solidFill>
      <a:srgbClr val="EBF1EC"/>
    </a:solidFill>
    <a:ln w="9525" cap="flat" cmpd="sng" algn="ctr">
      <a:solidFill>
        <a:schemeClr val="bg1">
          <a:lumMod val="95000"/>
        </a:schemeClr>
      </a:solidFill>
      <a:round/>
    </a:ln>
    <a:effectLst/>
  </c:spPr>
  <c:txPr>
    <a:bodyPr/>
    <a:lstStyle/>
    <a:p>
      <a:pPr>
        <a:defRPr lang="zh-CN" b="0">
          <a:solidFill>
            <a:schemeClr val="tx2">
              <a:lumMod val="60000"/>
              <a:lumOff val="40000"/>
            </a:schemeClr>
          </a:solidFill>
          <a:latin typeface="微软雅黑" panose="020B0503020204020204" pitchFamily="2" charset="-122"/>
          <a:ea typeface="微软雅黑" panose="020B0503020204020204" pitchFamily="2"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rgbClr val="3A6D70"/>
                </a:solidFill>
                <a:latin typeface="微软雅黑" panose="020B0503020204020204" pitchFamily="2" charset="-122"/>
                <a:ea typeface="微软雅黑" panose="020B0503020204020204" pitchFamily="2" charset="-122"/>
                <a:cs typeface="+mn-cs"/>
              </a:defRPr>
            </a:pPr>
            <a:r>
              <a:rPr lang="en-US" altLang="zh-CN"/>
              <a:t>2018</a:t>
            </a:r>
            <a:r>
              <a:rPr altLang="en-US"/>
              <a:t>年</a:t>
            </a:r>
            <a:r>
              <a:t>总支出</a:t>
            </a:r>
          </a:p>
        </c:rich>
      </c:tx>
      <c:layout/>
      <c:overlay val="0"/>
      <c:spPr>
        <a:noFill/>
        <a:ln>
          <a:noFill/>
        </a:ln>
        <a:effectLst/>
      </c:spPr>
    </c:title>
    <c:autoTitleDeleted val="0"/>
    <c:plotArea>
      <c:layout>
        <c:manualLayout>
          <c:layoutTarget val="inner"/>
          <c:xMode val="edge"/>
          <c:yMode val="edge"/>
          <c:x val="0.295332708740591"/>
          <c:y val="0.178610753655793"/>
          <c:w val="0.426443689574079"/>
          <c:h val="0.71973539140022"/>
        </c:manualLayout>
      </c:layout>
      <c:pieChart>
        <c:varyColors val="1"/>
        <c:ser>
          <c:idx val="0"/>
          <c:order val="0"/>
          <c:tx>
            <c:strRef>
              <c:f>Sheet1!$B$1</c:f>
              <c:strCache>
                <c:ptCount val="1"/>
                <c:pt idx="0">
                  <c:v>总收入</c:v>
                </c:pt>
              </c:strCache>
            </c:strRef>
          </c:tx>
          <c:spPr>
            <a:solidFill>
              <a:srgbClr val="DFAD58"/>
            </a:solidFill>
            <a:effectLst/>
          </c:spPr>
          <c:explosion val="0"/>
          <c:dPt>
            <c:idx val="0"/>
            <c:bubble3D val="0"/>
            <c:spPr>
              <a:solidFill>
                <a:srgbClr val="4BACC6"/>
              </a:solidFill>
              <a:ln>
                <a:noFill/>
              </a:ln>
              <a:effectLst/>
            </c:spPr>
          </c:dPt>
          <c:dPt>
            <c:idx val="1"/>
            <c:bubble3D val="0"/>
            <c:spPr>
              <a:solidFill>
                <a:schemeClr val="accent2"/>
              </a:solidFill>
              <a:ln>
                <a:noFill/>
              </a:ln>
              <a:effectLst/>
            </c:spPr>
          </c:dPt>
          <c:dPt>
            <c:idx val="2"/>
            <c:bubble3D val="0"/>
            <c:spPr>
              <a:solidFill>
                <a:srgbClr val="C0504D"/>
              </a:solidFill>
              <a:ln>
                <a:noFill/>
              </a:ln>
              <a:effectLst/>
            </c:spPr>
          </c:dPt>
          <c:dPt>
            <c:idx val="3"/>
            <c:bubble3D val="0"/>
            <c:spPr>
              <a:solidFill>
                <a:srgbClr val="F79646"/>
              </a:solidFill>
              <a:ln>
                <a:noFill/>
              </a:ln>
              <a:effectLst/>
            </c:spPr>
          </c:dPt>
          <c:dPt>
            <c:idx val="4"/>
            <c:bubble3D val="0"/>
            <c:spPr>
              <a:solidFill>
                <a:srgbClr val="8064A2"/>
              </a:solidFill>
              <a:ln>
                <a:noFill/>
              </a:ln>
              <a:effectLst/>
            </c:spPr>
          </c:dPt>
          <c:dPt>
            <c:idx val="5"/>
            <c:bubble3D val="0"/>
            <c:spPr>
              <a:solidFill>
                <a:srgbClr val="DFAD58"/>
              </a:solidFill>
              <a:ln>
                <a:noFill/>
              </a:ln>
              <a:effectLst/>
            </c:spPr>
          </c:dPt>
          <c:dPt>
            <c:idx val="6"/>
            <c:bubble3D val="0"/>
            <c:spPr>
              <a:solidFill>
                <a:srgbClr val="C00000"/>
              </a:solidFill>
              <a:ln>
                <a:noFill/>
              </a:ln>
              <a:effectLst/>
            </c:spPr>
          </c:dPt>
          <c:dLbls>
            <c:dLbl>
              <c:idx val="0"/>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bg1"/>
                        </a:solidFill>
                        <a:latin typeface="微软雅黑" panose="020B0503020204020204" pitchFamily="2" charset="-122"/>
                        <a:ea typeface="微软雅黑" panose="020B0503020204020204" pitchFamily="2" charset="-122"/>
                        <a:cs typeface="+mn-cs"/>
                      </a:defRPr>
                    </a:pPr>
                    <a:r>
                      <a:rPr lang="en-US" altLang="zh-CN"/>
                      <a:t>88.9</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1"/>
              <c:delete val="1"/>
            </c:dLbl>
            <c:dLbl>
              <c:idx val="2"/>
              <c:delete val="1"/>
            </c:dLbl>
            <c:dLbl>
              <c:idx val="3"/>
              <c:delete val="1"/>
            </c:dLbl>
            <c:dLbl>
              <c:idx val="4"/>
              <c:layout>
                <c:manualLayout>
                  <c:x val="-0.156838486716964"/>
                  <c:y val="-0.0134531527833425"/>
                </c:manualLayout>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bg1"/>
                        </a:solidFill>
                        <a:latin typeface="微软雅黑" panose="020B0503020204020204" pitchFamily="2" charset="-122"/>
                        <a:ea typeface="微软雅黑" panose="020B0503020204020204" pitchFamily="2" charset="-122"/>
                        <a:cs typeface="+mn-cs"/>
                      </a:defRPr>
                    </a:pPr>
                    <a:r>
                      <a:rPr lang="en-US" altLang="zh-CN"/>
                      <a:t>11.1</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5"/>
              <c:delete val="1"/>
            </c:dLbl>
            <c:dLbl>
              <c:idx val="6"/>
              <c:delete val="1"/>
            </c:dLbl>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pitchFamily="2" charset="-122"/>
                    <a:ea typeface="微软雅黑" panose="020B0503020204020204" pitchFamily="2" charset="-122"/>
                    <a:cs typeface="+mn-cs"/>
                  </a:defRPr>
                </a:pPr>
              </a:p>
            </c:txPr>
            <c:dLblPos val="ctr"/>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Sheet1!$A$2:$A$8</c:f>
              <c:strCache>
                <c:ptCount val="7"/>
                <c:pt idx="0">
                  <c:v>基本支出（万元）</c:v>
                </c:pt>
                <c:pt idx="1">
                  <c:v>项目支出（万元）</c:v>
                </c:pt>
                <c:pt idx="2">
                  <c:v>上缴上级支出（万元）</c:v>
                </c:pt>
                <c:pt idx="3">
                  <c:v>经营支出（万元）</c:v>
                </c:pt>
                <c:pt idx="4">
                  <c:v>对附属单位补助支出（万元）</c:v>
                </c:pt>
              </c:strCache>
            </c:strRef>
          </c:cat>
          <c:val>
            <c:numRef>
              <c:f>Sheet1!$B$2:$B$8</c:f>
              <c:numCache>
                <c:formatCode>General</c:formatCode>
                <c:ptCount val="7"/>
                <c:pt idx="0">
                  <c:v>98.26</c:v>
                </c:pt>
                <c:pt idx="1">
                  <c:v>12.27</c:v>
                </c:pt>
                <c:pt idx="2">
                  <c:v>0</c:v>
                </c:pt>
                <c:pt idx="3">
                  <c:v>0</c:v>
                </c:pt>
                <c:pt idx="4">
                  <c:v>0</c:v>
                </c:pt>
              </c:numCache>
            </c:numRef>
          </c:val>
        </c:ser>
        <c:dLbls>
          <c:showLegendKey val="0"/>
          <c:showVal val="0"/>
          <c:showCatName val="0"/>
          <c:showSerName val="0"/>
          <c:showPercent val="1"/>
          <c:showBubbleSize val="0"/>
          <c:showLeaderLines val="0"/>
        </c:dLbls>
        <c:firstSliceAng val="94"/>
      </c:pieChart>
      <c:spPr>
        <a:noFill/>
        <a:ln>
          <a:noFill/>
        </a:ln>
        <a:effectLst/>
      </c:spPr>
    </c:plotArea>
    <c:legend>
      <c:legendPos val="r"/>
      <c:legendEntry>
        <c:idx val="0"/>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pitchFamily="2" charset="-122"/>
                <a:ea typeface="微软雅黑" panose="020B0503020204020204" pitchFamily="2" charset="-122"/>
                <a:cs typeface="+mn-cs"/>
              </a:defRPr>
            </a:pPr>
          </a:p>
        </c:txPr>
      </c:legendEntry>
      <c:legendEntry>
        <c:idx val="1"/>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pitchFamily="2" charset="-122"/>
                <a:ea typeface="微软雅黑" panose="020B0503020204020204" pitchFamily="2" charset="-122"/>
                <a:cs typeface="+mn-cs"/>
              </a:defRPr>
            </a:pPr>
          </a:p>
        </c:txPr>
      </c:legendEntry>
      <c:legendEntry>
        <c:idx val="5"/>
        <c:delete val="1"/>
      </c:legendEntry>
      <c:legendEntry>
        <c:idx val="6"/>
        <c:delete val="1"/>
      </c:legendEntry>
      <c:layout>
        <c:manualLayout>
          <c:xMode val="edge"/>
          <c:yMode val="edge"/>
          <c:x val="0.04425"/>
          <c:y val="0.837"/>
          <c:w val="0.913375"/>
          <c:h val="0.158"/>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pitchFamily="2" charset="-122"/>
              <a:ea typeface="微软雅黑" panose="020B0503020204020204" pitchFamily="2" charset="-122"/>
              <a:cs typeface="+mn-cs"/>
            </a:defRPr>
          </a:pPr>
        </a:p>
      </c:txPr>
    </c:legend>
    <c:plotVisOnly val="1"/>
    <c:dispBlanksAs val="gap"/>
    <c:showDLblsOverMax val="0"/>
  </c:chart>
  <c:spPr>
    <a:solidFill>
      <a:srgbClr val="EBF1EC"/>
    </a:solidFill>
    <a:ln w="9525" cap="flat" cmpd="sng" algn="ctr">
      <a:solidFill>
        <a:schemeClr val="bg1">
          <a:lumMod val="95000"/>
        </a:schemeClr>
      </a:solidFill>
      <a:round/>
    </a:ln>
    <a:effectLst/>
  </c:spPr>
  <c:txPr>
    <a:bodyPr/>
    <a:lstStyle/>
    <a:p>
      <a:pPr>
        <a:defRPr lang="zh-CN" b="0">
          <a:solidFill>
            <a:schemeClr val="tx2">
              <a:lumMod val="60000"/>
              <a:lumOff val="40000"/>
            </a:schemeClr>
          </a:solidFill>
          <a:latin typeface="微软雅黑" panose="020B0503020204020204" pitchFamily="2" charset="-122"/>
          <a:ea typeface="微软雅黑" panose="020B0503020204020204" pitchFamily="2"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69009668147374"/>
          <c:y val="0.176846747519294"/>
          <c:w val="0.799764828847661"/>
          <c:h val="0.714090407938258"/>
        </c:manualLayout>
      </c:layout>
      <c:barChart>
        <c:barDir val="col"/>
        <c:grouping val="clustered"/>
        <c:varyColors val="0"/>
        <c:ser>
          <c:idx val="1"/>
          <c:order val="0"/>
          <c:tx>
            <c:strRef>
              <c:f>Sheet1!$B$1</c:f>
              <c:strCache>
                <c:ptCount val="1"/>
                <c:pt idx="0">
                  <c:v>收入（万元）</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2017年度</c:v>
                </c:pt>
                <c:pt idx="1">
                  <c:v>2018年度</c:v>
                </c:pt>
              </c:strCache>
            </c:strRef>
          </c:cat>
          <c:val>
            <c:numRef>
              <c:f>Sheet1!$B$2:$B$5</c:f>
              <c:numCache>
                <c:formatCode>General</c:formatCode>
                <c:ptCount val="4"/>
                <c:pt idx="0">
                  <c:v>109.66</c:v>
                </c:pt>
                <c:pt idx="1">
                  <c:v>147.98</c:v>
                </c:pt>
              </c:numCache>
            </c:numRef>
          </c:val>
        </c:ser>
        <c:ser>
          <c:idx val="2"/>
          <c:order val="1"/>
          <c:tx>
            <c:strRef>
              <c:f>Sheet1!$C$1</c:f>
              <c:strCache>
                <c:ptCount val="1"/>
                <c:pt idx="0">
                  <c:v>支出（万元）</c:v>
                </c:pt>
              </c:strCache>
            </c:strRef>
          </c:tx>
          <c:spPr>
            <a:solidFill>
              <a:schemeClr val="accent3"/>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2017年度</c:v>
                </c:pt>
                <c:pt idx="1">
                  <c:v>2018年度</c:v>
                </c:pt>
              </c:strCache>
            </c:strRef>
          </c:cat>
          <c:val>
            <c:numRef>
              <c:f>Sheet1!$C$2:$C$5</c:f>
              <c:numCache>
                <c:formatCode>General</c:formatCode>
                <c:ptCount val="4"/>
                <c:pt idx="0">
                  <c:v>96.93</c:v>
                </c:pt>
                <c:pt idx="1">
                  <c:v>110.53</c:v>
                </c:pt>
              </c:numCache>
            </c:numRef>
          </c:val>
        </c:ser>
        <c:ser>
          <c:idx val="3"/>
          <c:order val="2"/>
          <c:tx>
            <c:strRef>
              <c:f>Sheet1!$D$1</c:f>
              <c:strCache>
                <c:ptCount val="1"/>
                <c:pt idx="0">
                  <c:v/>
                </c:pt>
              </c:strCache>
            </c:strRef>
          </c:tx>
          <c:spPr>
            <a:solidFill>
              <a:schemeClr val="accent4"/>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2017年度</c:v>
                </c:pt>
                <c:pt idx="1">
                  <c:v>2018年度</c:v>
                </c:pt>
              </c:strCache>
            </c:strRef>
          </c:cat>
          <c:val>
            <c:numRef>
              <c:f>Sheet1!$D$2:$D$5</c:f>
              <c:numCache>
                <c:formatCode>General</c:formatCode>
                <c:ptCount val="4"/>
              </c:numCache>
            </c:numRef>
          </c:val>
        </c:ser>
        <c:dLbls>
          <c:showLegendKey val="0"/>
          <c:showVal val="1"/>
          <c:showCatName val="0"/>
          <c:showSerName val="0"/>
          <c:showPercent val="0"/>
          <c:showBubbleSize val="0"/>
        </c:dLbls>
        <c:gapWidth val="219"/>
        <c:overlap val="-27"/>
        <c:axId val="44196800"/>
        <c:axId val="666555786"/>
      </c:barChart>
      <c:catAx>
        <c:axId val="44196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6555786"/>
        <c:crosses val="autoZero"/>
        <c:auto val="1"/>
        <c:lblAlgn val="ctr"/>
        <c:lblOffset val="100"/>
        <c:noMultiLvlLbl val="0"/>
      </c:catAx>
      <c:valAx>
        <c:axId val="66655578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196800"/>
        <c:crosses val="autoZero"/>
        <c:crossBetween val="between"/>
      </c:valAx>
      <c:spPr>
        <a:noFill/>
        <a:ln>
          <a:noFill/>
        </a:ln>
        <a:effectLst/>
      </c:spPr>
    </c:plotArea>
    <c:legend>
      <c:legendPos val="r"/>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69009668147374"/>
          <c:y val="0.176846747519294"/>
          <c:w val="0.799764828847661"/>
          <c:h val="0.714090407938258"/>
        </c:manualLayout>
      </c:layout>
      <c:barChart>
        <c:barDir val="col"/>
        <c:grouping val="clustered"/>
        <c:varyColors val="0"/>
        <c:ser>
          <c:idx val="2"/>
          <c:order val="0"/>
          <c:tx>
            <c:strRef>
              <c:f>Sheet1!$B$1</c:f>
              <c:strCache>
                <c:ptCount val="1"/>
                <c:pt idx="0">
                  <c:v>支出（万元）</c:v>
                </c:pt>
              </c:strCache>
            </c:strRef>
          </c:tx>
          <c:spPr>
            <a:gradFill>
              <a:gsLst>
                <a:gs pos="0">
                  <a:srgbClr val="7B32B2"/>
                </a:gs>
                <a:gs pos="100000">
                  <a:srgbClr val="401A5D"/>
                </a:gs>
              </a:gsLst>
              <a:lin ang="5400000" scaled="0"/>
            </a:gra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2017年度</c:v>
                </c:pt>
                <c:pt idx="1">
                  <c:v>2018年度</c:v>
                </c:pt>
              </c:strCache>
            </c:strRef>
          </c:cat>
          <c:val>
            <c:numRef>
              <c:f>Sheet1!$B$2:$B$5</c:f>
              <c:numCache>
                <c:formatCode>General</c:formatCode>
                <c:ptCount val="4"/>
                <c:pt idx="0">
                  <c:v>111.4</c:v>
                </c:pt>
                <c:pt idx="1">
                  <c:v>110.53</c:v>
                </c:pt>
              </c:numCache>
            </c:numRef>
          </c:val>
        </c:ser>
        <c:ser>
          <c:idx val="3"/>
          <c:order val="1"/>
          <c:tx>
            <c:strRef>
              <c:f>Sheet1!$C$1</c:f>
              <c:strCache>
                <c:ptCount val="1"/>
                <c:pt idx="0">
                  <c:v/>
                </c:pt>
              </c:strCache>
            </c:strRef>
          </c:tx>
          <c:spPr>
            <a:solidFill>
              <a:schemeClr val="accent4"/>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2017年度</c:v>
                </c:pt>
                <c:pt idx="1">
                  <c:v>2018年度</c:v>
                </c:pt>
              </c:strCache>
            </c:strRef>
          </c:cat>
          <c:val>
            <c:numRef>
              <c:f>Sheet1!$C$2:$C$5</c:f>
              <c:numCache>
                <c:formatCode>General</c:formatCode>
                <c:ptCount val="4"/>
              </c:numCache>
            </c:numRef>
          </c:val>
        </c:ser>
        <c:dLbls>
          <c:showLegendKey val="0"/>
          <c:showVal val="1"/>
          <c:showCatName val="0"/>
          <c:showSerName val="0"/>
          <c:showPercent val="0"/>
          <c:showBubbleSize val="0"/>
        </c:dLbls>
        <c:gapWidth val="219"/>
        <c:overlap val="-27"/>
        <c:axId val="44196800"/>
        <c:axId val="666555786"/>
      </c:barChart>
      <c:catAx>
        <c:axId val="44196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6555786"/>
        <c:crosses val="autoZero"/>
        <c:auto val="1"/>
        <c:lblAlgn val="ctr"/>
        <c:lblOffset val="100"/>
        <c:noMultiLvlLbl val="0"/>
      </c:catAx>
      <c:valAx>
        <c:axId val="66655578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196800"/>
        <c:crosses val="autoZero"/>
        <c:crossBetween val="between"/>
      </c:valAx>
      <c:spPr>
        <a:noFill/>
        <a:ln>
          <a:noFill/>
        </a:ln>
        <a:effectLst/>
      </c:spPr>
    </c:plotArea>
    <c:legend>
      <c:legendPos val="r"/>
      <c:legendEntry>
        <c:idx val="1"/>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rgbClr val="3A6D70"/>
                </a:solidFill>
                <a:latin typeface="微软雅黑" panose="020B0503020204020204" pitchFamily="2" charset="-122"/>
                <a:ea typeface="微软雅黑" panose="020B0503020204020204" pitchFamily="2" charset="-122"/>
                <a:cs typeface="+mn-cs"/>
              </a:defRPr>
            </a:pPr>
            <a:r>
              <a:rPr lang="en-US" altLang="zh-CN"/>
              <a:t>2018</a:t>
            </a:r>
            <a:r>
              <a:rPr altLang="zh-CN"/>
              <a:t>年财政拨款支出</a:t>
            </a:r>
            <a:endParaRPr altLang="zh-CN"/>
          </a:p>
        </c:rich>
      </c:tx>
      <c:layout/>
      <c:overlay val="0"/>
      <c:spPr>
        <a:noFill/>
        <a:ln>
          <a:noFill/>
        </a:ln>
        <a:effectLst/>
      </c:spPr>
    </c:title>
    <c:autoTitleDeleted val="0"/>
    <c:plotArea>
      <c:layout>
        <c:manualLayout>
          <c:layoutTarget val="inner"/>
          <c:xMode val="edge"/>
          <c:yMode val="edge"/>
          <c:x val="0.295332708740591"/>
          <c:y val="0.178610753655793"/>
          <c:w val="0.426443689574079"/>
          <c:h val="0.71973539140022"/>
        </c:manualLayout>
      </c:layout>
      <c:pieChart>
        <c:varyColors val="1"/>
        <c:ser>
          <c:idx val="0"/>
          <c:order val="0"/>
          <c:tx>
            <c:strRef>
              <c:f>Sheet1!$B$1</c:f>
              <c:strCache>
                <c:ptCount val="1"/>
                <c:pt idx="0">
                  <c:v>总支出</c:v>
                </c:pt>
              </c:strCache>
            </c:strRef>
          </c:tx>
          <c:spPr>
            <a:solidFill>
              <a:srgbClr val="DFAD58"/>
            </a:solidFill>
            <a:effectLst/>
          </c:spPr>
          <c:explosion val="0"/>
          <c:dPt>
            <c:idx val="0"/>
            <c:bubble3D val="0"/>
            <c:spPr>
              <a:solidFill>
                <a:srgbClr val="C0504D">
                  <a:lumMod val="60000"/>
                  <a:lumOff val="40000"/>
                </a:srgbClr>
              </a:solidFill>
              <a:ln>
                <a:noFill/>
              </a:ln>
              <a:effectLst/>
            </c:spPr>
          </c:dPt>
          <c:dPt>
            <c:idx val="1"/>
            <c:bubble3D val="0"/>
            <c:spPr>
              <a:solidFill>
                <a:srgbClr val="DFAD58"/>
              </a:solidFill>
              <a:ln>
                <a:noFill/>
              </a:ln>
              <a:effectLst/>
            </c:spPr>
          </c:dPt>
          <c:dPt>
            <c:idx val="2"/>
            <c:bubble3D val="0"/>
            <c:spPr>
              <a:solidFill>
                <a:srgbClr val="DFAD58"/>
              </a:solidFill>
              <a:ln>
                <a:noFill/>
              </a:ln>
              <a:effectLst/>
            </c:spPr>
          </c:dPt>
          <c:dPt>
            <c:idx val="3"/>
            <c:bubble3D val="0"/>
            <c:spPr>
              <a:solidFill>
                <a:srgbClr val="9BBB59">
                  <a:lumMod val="40000"/>
                  <a:lumOff val="60000"/>
                </a:srgbClr>
              </a:solidFill>
              <a:ln>
                <a:noFill/>
              </a:ln>
              <a:effectLst/>
            </c:spPr>
          </c:dPt>
          <c:dPt>
            <c:idx val="4"/>
            <c:bubble3D val="0"/>
            <c:spPr>
              <a:solidFill>
                <a:srgbClr val="C0504D"/>
              </a:solidFill>
              <a:ln>
                <a:noFill/>
              </a:ln>
              <a:effectLst/>
            </c:spPr>
          </c:dPt>
          <c:dPt>
            <c:idx val="5"/>
            <c:bubble3D val="0"/>
            <c:spPr>
              <a:solidFill>
                <a:srgbClr val="8064A2">
                  <a:lumMod val="60000"/>
                  <a:lumOff val="40000"/>
                </a:srgbClr>
              </a:solidFill>
              <a:ln>
                <a:noFill/>
              </a:ln>
              <a:effectLst/>
            </c:spPr>
          </c:dPt>
          <c:dPt>
            <c:idx val="6"/>
            <c:bubble3D val="0"/>
            <c:spPr>
              <a:solidFill>
                <a:srgbClr val="4BACC6">
                  <a:lumMod val="60000"/>
                  <a:lumOff val="40000"/>
                </a:srgbClr>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pitchFamily="2" charset="-122"/>
                    <a:ea typeface="微软雅黑" panose="020B0503020204020204" pitchFamily="2" charset="-122"/>
                    <a:cs typeface="+mn-cs"/>
                  </a:defRPr>
                </a:pPr>
              </a:p>
            </c:txPr>
            <c:dLblPos val="ctr"/>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Sheet1!$A$2:$A$8</c:f>
              <c:strCache>
                <c:ptCount val="7"/>
                <c:pt idx="0">
                  <c:v>一般公共服务（类）支出（万元）</c:v>
                </c:pt>
                <c:pt idx="1">
                  <c:v>教育支出（类）（万元）</c:v>
                </c:pt>
                <c:pt idx="2">
                  <c:v>科学技术（类）支出（万元）</c:v>
                </c:pt>
                <c:pt idx="3">
                  <c:v>社会保障和就业（类）支出（万元）</c:v>
                </c:pt>
                <c:pt idx="4">
                  <c:v>医疗卫生支出（万元）</c:v>
                </c:pt>
                <c:pt idx="5">
                  <c:v>住房保障支出（万元）</c:v>
                </c:pt>
                <c:pt idx="6">
                  <c:v>其他支出（万元）</c:v>
                </c:pt>
              </c:strCache>
            </c:strRef>
          </c:cat>
          <c:val>
            <c:numRef>
              <c:f>Sheet1!$B$2:$B$8</c:f>
              <c:numCache>
                <c:formatCode>General</c:formatCode>
                <c:ptCount val="7"/>
                <c:pt idx="0">
                  <c:v>86.27</c:v>
                </c:pt>
                <c:pt idx="1">
                  <c:v>0</c:v>
                </c:pt>
                <c:pt idx="2">
                  <c:v>0</c:v>
                </c:pt>
                <c:pt idx="3">
                  <c:v>12.19</c:v>
                </c:pt>
                <c:pt idx="4">
                  <c:v>4.89</c:v>
                </c:pt>
                <c:pt idx="5">
                  <c:v>6.18</c:v>
                </c:pt>
                <c:pt idx="6">
                  <c:v>1</c:v>
                </c:pt>
              </c:numCache>
            </c:numRef>
          </c:val>
        </c:ser>
        <c:dLbls>
          <c:showLegendKey val="0"/>
          <c:showVal val="0"/>
          <c:showCatName val="0"/>
          <c:showSerName val="0"/>
          <c:showPercent val="1"/>
          <c:showBubbleSize val="0"/>
          <c:showLeaderLines val="0"/>
        </c:dLbls>
        <c:firstSliceAng val="94"/>
      </c:pieChart>
      <c:spPr>
        <a:noFill/>
        <a:ln>
          <a:noFill/>
        </a:ln>
        <a:effectLst/>
      </c:spPr>
    </c:plotArea>
    <c:legend>
      <c:legendPos val="r"/>
      <c:legendEntry>
        <c:idx val="0"/>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pitchFamily="2" charset="-122"/>
                <a:ea typeface="微软雅黑" panose="020B0503020204020204" pitchFamily="2" charset="-122"/>
                <a:cs typeface="+mn-cs"/>
              </a:defRPr>
            </a:pPr>
          </a:p>
        </c:txPr>
      </c:legendEntry>
      <c:legendEntry>
        <c:idx val="1"/>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pitchFamily="2" charset="-122"/>
                <a:ea typeface="微软雅黑" panose="020B0503020204020204" pitchFamily="2" charset="-122"/>
                <a:cs typeface="+mn-cs"/>
              </a:defRPr>
            </a:pPr>
          </a:p>
        </c:txPr>
      </c:legendEntry>
      <c:layout>
        <c:manualLayout>
          <c:xMode val="edge"/>
          <c:yMode val="edge"/>
          <c:x val="0.06025"/>
          <c:y val="0.843833333333333"/>
          <c:w val="0.841875"/>
          <c:h val="0.151166666666667"/>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pitchFamily="2" charset="-122"/>
              <a:ea typeface="微软雅黑" panose="020B0503020204020204" pitchFamily="2" charset="-122"/>
              <a:cs typeface="+mn-cs"/>
            </a:defRPr>
          </a:pPr>
        </a:p>
      </c:txPr>
    </c:legend>
    <c:plotVisOnly val="1"/>
    <c:dispBlanksAs val="gap"/>
    <c:showDLblsOverMax val="0"/>
  </c:chart>
  <c:spPr>
    <a:solidFill>
      <a:srgbClr val="EBF1EC"/>
    </a:solidFill>
    <a:ln w="9525" cap="flat" cmpd="sng" algn="ctr">
      <a:solidFill>
        <a:schemeClr val="bg1">
          <a:lumMod val="95000"/>
        </a:schemeClr>
      </a:solidFill>
      <a:round/>
    </a:ln>
    <a:effectLst/>
  </c:spPr>
  <c:txPr>
    <a:bodyPr/>
    <a:lstStyle/>
    <a:p>
      <a:pPr>
        <a:defRPr lang="zh-CN" b="0">
          <a:solidFill>
            <a:schemeClr val="tx2">
              <a:lumMod val="60000"/>
              <a:lumOff val="40000"/>
            </a:schemeClr>
          </a:solidFill>
          <a:latin typeface="微软雅黑" panose="020B0503020204020204" pitchFamily="2" charset="-122"/>
          <a:ea typeface="微软雅黑" panose="020B0503020204020204" pitchFamily="2"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65000"/>
                    <a:lumOff val="35000"/>
                  </a:schemeClr>
                </a:solidFill>
                <a:latin typeface="+mn-lt"/>
                <a:ea typeface="+mn-ea"/>
                <a:cs typeface="+mn-cs"/>
              </a:defRPr>
            </a:pPr>
            <a:r>
              <a:rPr lang="en-US" altLang="zh-CN"/>
              <a:t>“</a:t>
            </a:r>
            <a:r>
              <a:rPr altLang="zh-CN"/>
              <a:t>三公</a:t>
            </a:r>
            <a:r>
              <a:rPr lang="en-US" altLang="zh-CN"/>
              <a:t>”</a:t>
            </a:r>
            <a:r>
              <a:rPr altLang="en-US"/>
              <a:t>经费支出</a:t>
            </a:r>
            <a:endParaRPr altLang="en-US"/>
          </a:p>
        </c:rich>
      </c:tx>
      <c:layout/>
      <c:overlay val="0"/>
      <c:spPr>
        <a:noFill/>
        <a:ln>
          <a:noFill/>
        </a:ln>
        <a:effectLst/>
      </c:sp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a:noFill/>
              </a:ln>
              <a:effectLst>
                <a:outerShdw blurRad="317500" algn="ctr" rotWithShape="0">
                  <a:prstClr val="black">
                    <a:alpha val="25000"/>
                  </a:prstClr>
                </a:outerShdw>
              </a:effectLst>
            </c:spPr>
          </c:dPt>
          <c:dPt>
            <c:idx val="1"/>
            <c:bubble3D val="0"/>
            <c:spPr>
              <a:solidFill>
                <a:schemeClr val="accent2"/>
              </a:solidFill>
              <a:ln>
                <a:noFill/>
              </a:ln>
              <a:effectLst>
                <a:outerShdw blurRad="317500" algn="ctr" rotWithShape="0">
                  <a:prstClr val="black">
                    <a:alpha val="25000"/>
                  </a:prstClr>
                </a:outerShdw>
              </a:effectLst>
            </c:spPr>
          </c:dPt>
          <c:dPt>
            <c:idx val="2"/>
            <c:bubble3D val="0"/>
            <c:spPr>
              <a:solidFill>
                <a:schemeClr val="accent3"/>
              </a:solidFill>
              <a:ln>
                <a:noFill/>
              </a:ln>
              <a:effectLst>
                <a:outerShdw blurRad="317500" algn="ctr" rotWithShape="0">
                  <a:prstClr val="black">
                    <a:alpha val="25000"/>
                  </a:prstClr>
                </a:outerShdw>
              </a:effectLst>
            </c:spPr>
          </c:dPt>
          <c:dPt>
            <c:idx val="3"/>
            <c:bubble3D val="0"/>
            <c:spPr>
              <a:solidFill>
                <a:schemeClr val="accent4"/>
              </a:solidFill>
              <a:ln>
                <a:noFill/>
              </a:ln>
              <a:effectLst>
                <a:outerShdw blurRad="317500" algn="ctr" rotWithShape="0">
                  <a:prstClr val="black">
                    <a:alpha val="25000"/>
                  </a:prstClr>
                </a:outerShdw>
              </a:effectLst>
            </c:spPr>
          </c:dPt>
          <c:dLbls>
            <c:dLbl>
              <c:idx val="0"/>
              <c:layout/>
              <c:tx>
                <c:rich>
                  <a:bodyPr rot="0" spcFirstLastPara="0" vertOverflow="ellipsis" vert="horz" wrap="square" lIns="38100" tIns="19050" rIns="38100" bIns="19050" anchor="ctr" anchorCtr="1"/>
                  <a:lstStyle/>
                  <a:p>
                    <a:pPr defTabSz="914400">
                      <a:defRPr lang="zh-CN" sz="900" b="1" i="0" u="none" strike="noStrike" kern="1200" baseline="0">
                        <a:solidFill>
                          <a:schemeClr val="lt1"/>
                        </a:solidFill>
                        <a:latin typeface="+mn-lt"/>
                        <a:ea typeface="+mn-ea"/>
                        <a:cs typeface="+mn-cs"/>
                      </a:defRPr>
                    </a:pPr>
                    <a:r>
                      <a:rPr lang="en-US" altLang="zh-CN"/>
                      <a:t>1.5</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1" i="0" u="none" strike="noStrike" kern="1200" baseline="0">
                        <a:solidFill>
                          <a:schemeClr val="lt1"/>
                        </a:solidFill>
                        <a:latin typeface="+mn-lt"/>
                        <a:ea typeface="+mn-ea"/>
                        <a:cs typeface="+mn-cs"/>
                      </a:defRPr>
                    </a:pPr>
                    <a:r>
                      <a:t>9</a:t>
                    </a:r>
                    <a:r>
                      <a:rPr lang="en-US" altLang="zh-CN"/>
                      <a:t>8.5</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2"/>
              <c:delete val="1"/>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Sheet1!$A$2:$A$5</c:f>
              <c:strCache>
                <c:ptCount val="4"/>
                <c:pt idx="0">
                  <c:v>因公出国（境）费支出（万元）</c:v>
                </c:pt>
                <c:pt idx="1">
                  <c:v>公务用车购置及运行维护费支出（万元)</c:v>
                </c:pt>
                <c:pt idx="2">
                  <c:v>公务接待费支出(万元)</c:v>
                </c:pt>
              </c:strCache>
            </c:strRef>
          </c:cat>
          <c:val>
            <c:numRef>
              <c:f>Sheet1!$B$2:$B$5</c:f>
              <c:numCache>
                <c:formatCode>General</c:formatCode>
                <c:ptCount val="4"/>
                <c:pt idx="0">
                  <c:v>0</c:v>
                </c:pt>
                <c:pt idx="1">
                  <c:v>1.6</c:v>
                </c:pt>
                <c:pt idx="2">
                  <c:v>0.02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1441</Words>
  <Characters>8219</Characters>
  <Lines>68</Lines>
  <Paragraphs>19</Paragraphs>
  <ScaleCrop>false</ScaleCrop>
  <LinksUpToDate>false</LinksUpToDate>
  <CharactersWithSpaces>9641</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LENOVO</cp:lastModifiedBy>
  <cp:lastPrinted>2019-08-01T00:48:00Z</cp:lastPrinted>
  <dcterms:modified xsi:type="dcterms:W3CDTF">2019-09-04T02:55:45Z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