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31074" w14:textId="77777777" w:rsidR="003753FB" w:rsidRDefault="003753FB">
      <w:pPr>
        <w:spacing w:line="600" w:lineRule="exact"/>
        <w:jc w:val="center"/>
        <w:rPr>
          <w:rFonts w:ascii="方正小标宋简体" w:eastAsia="方正小标宋简体" w:hAnsi="宋体" w:hint="eastAsia"/>
          <w:sz w:val="72"/>
          <w:szCs w:val="72"/>
        </w:rPr>
      </w:pPr>
      <w:bookmarkStart w:id="0" w:name="_Toc15396597"/>
      <w:bookmarkStart w:id="1" w:name="_Toc15377425"/>
      <w:bookmarkStart w:id="2" w:name="_Toc15396475"/>
      <w:bookmarkStart w:id="3" w:name="_Toc15378441"/>
      <w:bookmarkStart w:id="4" w:name="_Toc15377193"/>
      <w:bookmarkStart w:id="5" w:name="_Toc15306267"/>
    </w:p>
    <w:p w14:paraId="2BBAE445" w14:textId="77777777" w:rsidR="003753FB" w:rsidRDefault="003753FB">
      <w:pPr>
        <w:pStyle w:val="a5"/>
        <w:spacing w:before="93"/>
      </w:pPr>
    </w:p>
    <w:p w14:paraId="3BD3F266" w14:textId="77777777" w:rsidR="003753FB" w:rsidRDefault="003753FB">
      <w:pPr>
        <w:spacing w:line="600" w:lineRule="exact"/>
        <w:jc w:val="center"/>
        <w:rPr>
          <w:rFonts w:ascii="方正小标宋简体" w:eastAsia="方正小标宋简体" w:hAnsi="宋体" w:hint="eastAsia"/>
          <w:sz w:val="72"/>
          <w:szCs w:val="72"/>
        </w:rPr>
      </w:pPr>
    </w:p>
    <w:p w14:paraId="4D0709E5" w14:textId="77777777" w:rsidR="003753FB" w:rsidRDefault="003753FB">
      <w:pPr>
        <w:spacing w:line="600" w:lineRule="exact"/>
        <w:jc w:val="center"/>
        <w:rPr>
          <w:rFonts w:ascii="方正小标宋简体" w:eastAsia="方正小标宋简体" w:hAnsi="宋体" w:hint="eastAsia"/>
          <w:sz w:val="72"/>
          <w:szCs w:val="72"/>
        </w:rPr>
      </w:pPr>
    </w:p>
    <w:p w14:paraId="2213840A" w14:textId="77777777" w:rsidR="003753FB" w:rsidRDefault="00000000">
      <w:pPr>
        <w:adjustRightInd w:val="0"/>
        <w:snapToGrid w:val="0"/>
        <w:spacing w:line="360" w:lineRule="auto"/>
        <w:jc w:val="center"/>
        <w:outlineLvl w:val="0"/>
        <w:rPr>
          <w:rFonts w:ascii="方正小标宋简体" w:eastAsia="方正小标宋简体" w:hAnsi="方正小标宋简体" w:cs="方正小标宋简体" w:hint="eastAsia"/>
          <w:sz w:val="44"/>
          <w:szCs w:val="44"/>
        </w:rPr>
      </w:pPr>
      <w:bookmarkStart w:id="6" w:name="_Toc22403"/>
      <w:r>
        <w:rPr>
          <w:rFonts w:ascii="方正小标宋简体" w:eastAsia="方正小标宋简体" w:hAnsi="方正小标宋简体" w:cs="方正小标宋简体" w:hint="eastAsia"/>
          <w:sz w:val="44"/>
          <w:szCs w:val="44"/>
        </w:rPr>
        <w:t>2024年度</w:t>
      </w:r>
      <w:bookmarkEnd w:id="0"/>
      <w:bookmarkEnd w:id="1"/>
      <w:bookmarkEnd w:id="2"/>
      <w:bookmarkEnd w:id="3"/>
      <w:bookmarkEnd w:id="4"/>
      <w:bookmarkEnd w:id="6"/>
    </w:p>
    <w:p w14:paraId="69E8E9DE" w14:textId="77777777" w:rsidR="00F2190B" w:rsidRDefault="00000000" w:rsidP="00F2190B">
      <w:pPr>
        <w:adjustRightInd w:val="0"/>
        <w:snapToGrid w:val="0"/>
        <w:spacing w:line="360" w:lineRule="auto"/>
        <w:jc w:val="center"/>
        <w:outlineLvl w:val="0"/>
        <w:rPr>
          <w:rFonts w:ascii="方正小标宋简体" w:eastAsia="方正小标宋简体" w:hAnsi="方正小标宋简体" w:cs="方正小标宋简体"/>
          <w:sz w:val="44"/>
          <w:szCs w:val="44"/>
        </w:rPr>
      </w:pPr>
      <w:bookmarkStart w:id="7" w:name="_Toc20526"/>
      <w:bookmarkStart w:id="8" w:name="_Toc15396598"/>
      <w:bookmarkStart w:id="9" w:name="_Toc15396476"/>
      <w:bookmarkStart w:id="10" w:name="_Toc15377426"/>
      <w:bookmarkStart w:id="11" w:name="_Toc15306268"/>
      <w:bookmarkStart w:id="12" w:name="_Toc15377194"/>
      <w:bookmarkStart w:id="13" w:name="_Toc15378442"/>
      <w:bookmarkEnd w:id="5"/>
      <w:r>
        <w:rPr>
          <w:rFonts w:ascii="方正小标宋简体" w:eastAsia="方正小标宋简体" w:hAnsi="方正小标宋简体" w:cs="方正小标宋简体" w:hint="eastAsia"/>
          <w:sz w:val="44"/>
          <w:szCs w:val="44"/>
        </w:rPr>
        <w:t>红原县工商业联合会</w:t>
      </w:r>
      <w:bookmarkEnd w:id="7"/>
      <w:r>
        <w:rPr>
          <w:rFonts w:ascii="方正小标宋简体" w:eastAsia="方正小标宋简体" w:hAnsi="方正小标宋简体" w:cs="方正小标宋简体" w:hint="eastAsia"/>
          <w:sz w:val="44"/>
          <w:szCs w:val="44"/>
        </w:rPr>
        <w:t>（商会）</w:t>
      </w:r>
      <w:bookmarkStart w:id="14" w:name="_Toc19928"/>
    </w:p>
    <w:p w14:paraId="3235DBF7" w14:textId="396EC784" w:rsidR="003753FB" w:rsidRDefault="00000000" w:rsidP="00F2190B">
      <w:pPr>
        <w:adjustRightInd w:val="0"/>
        <w:snapToGrid w:val="0"/>
        <w:spacing w:line="360" w:lineRule="auto"/>
        <w:jc w:val="center"/>
        <w:outlineLvl w:val="0"/>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部门决算</w:t>
      </w:r>
      <w:bookmarkEnd w:id="8"/>
      <w:bookmarkEnd w:id="9"/>
      <w:bookmarkEnd w:id="10"/>
      <w:bookmarkEnd w:id="11"/>
      <w:bookmarkEnd w:id="12"/>
      <w:bookmarkEnd w:id="13"/>
      <w:r>
        <w:rPr>
          <w:rFonts w:ascii="方正小标宋简体" w:eastAsia="方正小标宋简体" w:hAnsi="方正小标宋简体" w:cs="方正小标宋简体" w:hint="eastAsia"/>
          <w:sz w:val="44"/>
          <w:szCs w:val="44"/>
        </w:rPr>
        <w:t>公开编制说明</w:t>
      </w:r>
      <w:bookmarkEnd w:id="14"/>
    </w:p>
    <w:p w14:paraId="574451E5" w14:textId="77777777" w:rsidR="003753FB" w:rsidRDefault="003753FB">
      <w:pPr>
        <w:widowControl/>
        <w:jc w:val="center"/>
        <w:rPr>
          <w:rFonts w:ascii="方正小标宋简体" w:eastAsia="方正小标宋简体" w:hAnsi="宋体" w:hint="eastAsia"/>
          <w:sz w:val="36"/>
          <w:szCs w:val="36"/>
        </w:rPr>
      </w:pPr>
    </w:p>
    <w:p w14:paraId="73069CC0" w14:textId="77777777" w:rsidR="003753FB" w:rsidRDefault="003753FB">
      <w:pPr>
        <w:widowControl/>
        <w:jc w:val="center"/>
        <w:rPr>
          <w:rFonts w:ascii="方正小标宋简体" w:eastAsia="方正小标宋简体" w:hAnsi="宋体" w:hint="eastAsia"/>
          <w:sz w:val="36"/>
          <w:szCs w:val="36"/>
        </w:rPr>
      </w:pPr>
    </w:p>
    <w:p w14:paraId="5FB8546E" w14:textId="77777777" w:rsidR="003753FB" w:rsidRDefault="003753FB">
      <w:pPr>
        <w:widowControl/>
        <w:jc w:val="center"/>
        <w:rPr>
          <w:rFonts w:ascii="方正小标宋简体" w:eastAsia="方正小标宋简体" w:hAnsi="宋体" w:hint="eastAsia"/>
          <w:sz w:val="36"/>
          <w:szCs w:val="36"/>
        </w:rPr>
      </w:pPr>
    </w:p>
    <w:p w14:paraId="3D8BE258" w14:textId="77777777" w:rsidR="003753FB" w:rsidRDefault="003753FB">
      <w:pPr>
        <w:widowControl/>
        <w:jc w:val="center"/>
        <w:rPr>
          <w:rFonts w:ascii="方正小标宋简体" w:eastAsia="方正小标宋简体" w:hAnsi="宋体" w:hint="eastAsia"/>
          <w:sz w:val="36"/>
          <w:szCs w:val="36"/>
        </w:rPr>
      </w:pPr>
    </w:p>
    <w:p w14:paraId="3A771067" w14:textId="77777777" w:rsidR="003753FB" w:rsidRDefault="003753FB">
      <w:pPr>
        <w:widowControl/>
        <w:jc w:val="center"/>
        <w:rPr>
          <w:rFonts w:ascii="方正小标宋简体" w:eastAsia="方正小标宋简体" w:hAnsi="宋体" w:hint="eastAsia"/>
          <w:sz w:val="36"/>
          <w:szCs w:val="36"/>
        </w:rPr>
      </w:pPr>
    </w:p>
    <w:p w14:paraId="04BD0F5F" w14:textId="77777777" w:rsidR="003753FB" w:rsidRDefault="003753FB">
      <w:pPr>
        <w:widowControl/>
        <w:jc w:val="center"/>
        <w:rPr>
          <w:rFonts w:ascii="方正小标宋简体" w:eastAsia="方正小标宋简体" w:hAnsi="宋体" w:hint="eastAsia"/>
          <w:sz w:val="36"/>
          <w:szCs w:val="36"/>
        </w:rPr>
      </w:pPr>
    </w:p>
    <w:p w14:paraId="64035BB8" w14:textId="77777777" w:rsidR="003753FB" w:rsidRDefault="003753FB">
      <w:pPr>
        <w:pStyle w:val="5"/>
        <w:outlineLvl w:val="9"/>
        <w:rPr>
          <w:rFonts w:ascii="方正小标宋简体" w:eastAsia="方正小标宋简体" w:hAnsi="宋体" w:hint="eastAsia"/>
          <w:sz w:val="36"/>
          <w:szCs w:val="36"/>
        </w:rPr>
      </w:pPr>
    </w:p>
    <w:p w14:paraId="6FE28220" w14:textId="77777777" w:rsidR="003753FB" w:rsidRDefault="003753FB">
      <w:pPr>
        <w:rPr>
          <w:rFonts w:ascii="方正小标宋简体" w:eastAsia="方正小标宋简体" w:hAnsi="宋体" w:hint="eastAsia"/>
          <w:sz w:val="36"/>
          <w:szCs w:val="36"/>
        </w:rPr>
      </w:pPr>
    </w:p>
    <w:p w14:paraId="5FA6EF1F" w14:textId="77777777" w:rsidR="003753FB" w:rsidRDefault="003753FB">
      <w:pPr>
        <w:pStyle w:val="5"/>
        <w:outlineLvl w:val="9"/>
        <w:rPr>
          <w:rFonts w:ascii="方正小标宋简体" w:eastAsia="方正小标宋简体" w:hAnsi="宋体" w:hint="eastAsia"/>
          <w:sz w:val="36"/>
          <w:szCs w:val="36"/>
        </w:rPr>
      </w:pPr>
    </w:p>
    <w:p w14:paraId="22306EE0" w14:textId="77777777" w:rsidR="003753FB" w:rsidRDefault="003753FB"/>
    <w:p w14:paraId="371A4F75" w14:textId="77777777" w:rsidR="003753FB" w:rsidRDefault="00000000">
      <w:pPr>
        <w:pStyle w:val="ad"/>
        <w:widowControl/>
        <w:ind w:right="75"/>
      </w:pPr>
      <w:r>
        <w:rPr>
          <w:shd w:val="clear" w:color="auto" w:fill="FFFFFF"/>
        </w:rPr>
        <w:t>保密审查情况：已审查，内容审定</w:t>
      </w:r>
    </w:p>
    <w:p w14:paraId="07670B4E" w14:textId="77777777" w:rsidR="003753FB" w:rsidRDefault="00000000">
      <w:pPr>
        <w:pStyle w:val="ad"/>
        <w:widowControl/>
        <w:ind w:right="75"/>
        <w:rPr>
          <w:rStyle w:val="ae"/>
          <w:sz w:val="30"/>
          <w:szCs w:val="30"/>
          <w:shd w:val="clear" w:color="auto" w:fill="FFFFFF"/>
        </w:rPr>
        <w:sectPr w:rsidR="003753FB">
          <w:pgSz w:w="11906" w:h="16838"/>
          <w:pgMar w:top="1440" w:right="1800" w:bottom="1440" w:left="1800" w:header="851" w:footer="992" w:gutter="0"/>
          <w:cols w:space="720"/>
          <w:docGrid w:type="lines" w:linePitch="312"/>
        </w:sectPr>
      </w:pPr>
      <w:r>
        <w:rPr>
          <w:shd w:val="clear" w:color="auto" w:fill="FFFFFF"/>
        </w:rPr>
        <w:t>部门主要负责人审签情况：已审签，同意对外公开</w:t>
      </w:r>
    </w:p>
    <w:p w14:paraId="172973F9" w14:textId="77777777" w:rsidR="003753FB" w:rsidRDefault="00000000">
      <w:pPr>
        <w:widowControl/>
        <w:jc w:val="center"/>
        <w:rPr>
          <w:rFonts w:ascii="黑体" w:eastAsia="黑体" w:hAnsi="黑体" w:cstheme="minorBidi" w:hint="eastAsia"/>
          <w:sz w:val="28"/>
          <w:szCs w:val="28"/>
        </w:rPr>
      </w:pPr>
      <w:r>
        <w:rPr>
          <w:rFonts w:ascii="黑体" w:eastAsia="黑体" w:hAnsi="黑体" w:hint="eastAsia"/>
          <w:sz w:val="48"/>
          <w:szCs w:val="48"/>
        </w:rPr>
        <w:lastRenderedPageBreak/>
        <w:t>目录</w:t>
      </w:r>
    </w:p>
    <w:p w14:paraId="2C52D99F" w14:textId="77777777" w:rsidR="003753FB" w:rsidRDefault="00000000">
      <w:pPr>
        <w:pStyle w:val="TOC1"/>
        <w:rPr>
          <w:rFonts w:hint="eastAsia"/>
        </w:rPr>
      </w:pPr>
      <w:r>
        <w:rPr>
          <w:rFonts w:hint="eastAsia"/>
        </w:rPr>
        <w:t>公开时间：2025年9月18日</w:t>
      </w:r>
    </w:p>
    <w:bookmarkStart w:id="15" w:name="_Toc15377196" w:displacedByCustomXml="next"/>
    <w:bookmarkStart w:id="16" w:name="_Toc15396599" w:displacedByCustomXml="next"/>
    <w:sdt>
      <w:sdtPr>
        <w:rPr>
          <w:rFonts w:ascii="宋体" w:hAnsi="宋体"/>
        </w:rPr>
        <w:id w:val="147452070"/>
        <w15:color w:val="DBDBDB"/>
        <w:docPartObj>
          <w:docPartGallery w:val="Table of Contents"/>
          <w:docPartUnique/>
        </w:docPartObj>
      </w:sdtPr>
      <w:sdtContent>
        <w:p w14:paraId="01736B27" w14:textId="77777777" w:rsidR="003753FB" w:rsidRDefault="00000000">
          <w:pPr>
            <w:jc w:val="center"/>
            <w:rPr>
              <w:sz w:val="24"/>
            </w:rPr>
          </w:pPr>
          <w:r>
            <w:fldChar w:fldCharType="begin"/>
          </w:r>
          <w:r>
            <w:instrText xml:space="preserve">TOC \o "1-3" \h \u </w:instrText>
          </w:r>
          <w:r>
            <w:fldChar w:fldCharType="separate"/>
          </w:r>
        </w:p>
        <w:p w14:paraId="43E26819" w14:textId="77777777" w:rsidR="003753FB" w:rsidRDefault="00000000">
          <w:pPr>
            <w:pStyle w:val="WPSOffice1"/>
            <w:tabs>
              <w:tab w:val="right" w:leader="dot" w:pos="8306"/>
            </w:tabs>
            <w:rPr>
              <w:sz w:val="24"/>
              <w:szCs w:val="24"/>
            </w:rPr>
          </w:pPr>
          <w:hyperlink w:anchor="_Toc20526" w:history="1">
            <w:r>
              <w:rPr>
                <w:rFonts w:ascii="方正小标宋简体" w:eastAsia="方正小标宋简体" w:hAnsi="方正小标宋简体" w:cs="方正小标宋简体" w:hint="eastAsia"/>
                <w:sz w:val="24"/>
                <w:szCs w:val="24"/>
              </w:rPr>
              <w:t>红原县工商业联合会</w:t>
            </w:r>
            <w:r>
              <w:rPr>
                <w:sz w:val="24"/>
                <w:szCs w:val="24"/>
              </w:rPr>
              <w:tab/>
            </w:r>
            <w:r>
              <w:rPr>
                <w:sz w:val="24"/>
                <w:szCs w:val="24"/>
              </w:rPr>
              <w:fldChar w:fldCharType="begin"/>
            </w:r>
            <w:r>
              <w:rPr>
                <w:sz w:val="24"/>
                <w:szCs w:val="24"/>
              </w:rPr>
              <w:instrText xml:space="preserve"> PAGEREF _Toc20526 \h </w:instrText>
            </w:r>
            <w:r>
              <w:rPr>
                <w:sz w:val="24"/>
                <w:szCs w:val="24"/>
              </w:rPr>
            </w:r>
            <w:r>
              <w:rPr>
                <w:sz w:val="24"/>
                <w:szCs w:val="24"/>
              </w:rPr>
              <w:fldChar w:fldCharType="separate"/>
            </w:r>
            <w:r>
              <w:rPr>
                <w:sz w:val="24"/>
                <w:szCs w:val="24"/>
              </w:rPr>
              <w:t>1</w:t>
            </w:r>
            <w:r>
              <w:rPr>
                <w:sz w:val="24"/>
                <w:szCs w:val="24"/>
              </w:rPr>
              <w:fldChar w:fldCharType="end"/>
            </w:r>
          </w:hyperlink>
        </w:p>
        <w:p w14:paraId="5FC05203" w14:textId="77777777" w:rsidR="003753FB" w:rsidRDefault="00000000">
          <w:pPr>
            <w:pStyle w:val="WPSOffice1"/>
            <w:tabs>
              <w:tab w:val="right" w:leader="dot" w:pos="8306"/>
            </w:tabs>
            <w:rPr>
              <w:sz w:val="24"/>
              <w:szCs w:val="24"/>
            </w:rPr>
          </w:pPr>
          <w:hyperlink w:anchor="_Toc19928" w:history="1">
            <w:r>
              <w:rPr>
                <w:rFonts w:ascii="方正小标宋简体" w:eastAsia="方正小标宋简体" w:hAnsi="方正小标宋简体" w:cs="方正小标宋简体" w:hint="eastAsia"/>
                <w:sz w:val="24"/>
                <w:szCs w:val="24"/>
              </w:rPr>
              <w:t>部门决算公开编制说明</w:t>
            </w:r>
            <w:r>
              <w:rPr>
                <w:sz w:val="24"/>
                <w:szCs w:val="24"/>
              </w:rPr>
              <w:tab/>
            </w:r>
            <w:r>
              <w:rPr>
                <w:sz w:val="24"/>
                <w:szCs w:val="24"/>
              </w:rPr>
              <w:fldChar w:fldCharType="begin"/>
            </w:r>
            <w:r>
              <w:rPr>
                <w:sz w:val="24"/>
                <w:szCs w:val="24"/>
              </w:rPr>
              <w:instrText xml:space="preserve"> PAGEREF _Toc19928 \h </w:instrText>
            </w:r>
            <w:r>
              <w:rPr>
                <w:sz w:val="24"/>
                <w:szCs w:val="24"/>
              </w:rPr>
            </w:r>
            <w:r>
              <w:rPr>
                <w:sz w:val="24"/>
                <w:szCs w:val="24"/>
              </w:rPr>
              <w:fldChar w:fldCharType="separate"/>
            </w:r>
            <w:r>
              <w:rPr>
                <w:sz w:val="24"/>
                <w:szCs w:val="24"/>
              </w:rPr>
              <w:t>1</w:t>
            </w:r>
            <w:r>
              <w:rPr>
                <w:sz w:val="24"/>
                <w:szCs w:val="24"/>
              </w:rPr>
              <w:fldChar w:fldCharType="end"/>
            </w:r>
          </w:hyperlink>
        </w:p>
        <w:p w14:paraId="7017149A" w14:textId="77777777" w:rsidR="003753FB" w:rsidRDefault="00000000">
          <w:pPr>
            <w:pStyle w:val="WPSOffice1"/>
            <w:tabs>
              <w:tab w:val="right" w:leader="dot" w:pos="8306"/>
            </w:tabs>
          </w:pPr>
          <w:hyperlink w:anchor="_Toc31245" w:history="1">
            <w:r>
              <w:rPr>
                <w:rFonts w:ascii="黑体" w:eastAsia="黑体" w:hAnsi="黑体" w:hint="eastAsia"/>
                <w:sz w:val="24"/>
                <w:szCs w:val="24"/>
              </w:rPr>
              <w:t>第一部分 部门概况</w:t>
            </w:r>
            <w:r>
              <w:rPr>
                <w:sz w:val="24"/>
                <w:szCs w:val="24"/>
              </w:rPr>
              <w:tab/>
            </w:r>
            <w:r>
              <w:rPr>
                <w:sz w:val="24"/>
                <w:szCs w:val="24"/>
              </w:rPr>
              <w:fldChar w:fldCharType="begin"/>
            </w:r>
            <w:r>
              <w:rPr>
                <w:sz w:val="24"/>
                <w:szCs w:val="24"/>
              </w:rPr>
              <w:instrText xml:space="preserve"> PAGEREF _Toc31245 \h </w:instrText>
            </w:r>
            <w:r>
              <w:rPr>
                <w:sz w:val="24"/>
                <w:szCs w:val="24"/>
              </w:rPr>
            </w:r>
            <w:r>
              <w:rPr>
                <w:sz w:val="24"/>
                <w:szCs w:val="24"/>
              </w:rPr>
              <w:fldChar w:fldCharType="separate"/>
            </w:r>
            <w:r>
              <w:rPr>
                <w:sz w:val="24"/>
                <w:szCs w:val="24"/>
              </w:rPr>
              <w:t>2</w:t>
            </w:r>
            <w:r>
              <w:rPr>
                <w:sz w:val="24"/>
                <w:szCs w:val="24"/>
              </w:rPr>
              <w:fldChar w:fldCharType="end"/>
            </w:r>
          </w:hyperlink>
        </w:p>
        <w:p w14:paraId="407E5E24" w14:textId="77777777" w:rsidR="003753FB" w:rsidRDefault="00000000">
          <w:pPr>
            <w:pStyle w:val="WPSOffice2"/>
            <w:tabs>
              <w:tab w:val="right" w:leader="dot" w:pos="8306"/>
            </w:tabs>
            <w:ind w:left="420"/>
          </w:pPr>
          <w:hyperlink w:anchor="_Toc12608" w:history="1">
            <w:r>
              <w:rPr>
                <w:rFonts w:ascii="黑体" w:eastAsia="黑体" w:hAnsi="黑体" w:hint="eastAsia"/>
              </w:rPr>
              <w:t>一、 部门职责</w:t>
            </w:r>
            <w:r>
              <w:tab/>
            </w:r>
            <w:r>
              <w:fldChar w:fldCharType="begin"/>
            </w:r>
            <w:r>
              <w:instrText xml:space="preserve"> PAGEREF _Toc12608 \h </w:instrText>
            </w:r>
            <w:r>
              <w:fldChar w:fldCharType="separate"/>
            </w:r>
            <w:r>
              <w:t>2</w:t>
            </w:r>
            <w:r>
              <w:fldChar w:fldCharType="end"/>
            </w:r>
          </w:hyperlink>
        </w:p>
        <w:p w14:paraId="4AEE7134" w14:textId="77777777" w:rsidR="003753FB" w:rsidRDefault="00000000">
          <w:pPr>
            <w:pStyle w:val="WPSOffice2"/>
            <w:tabs>
              <w:tab w:val="right" w:leader="dot" w:pos="8306"/>
            </w:tabs>
            <w:ind w:left="420"/>
          </w:pPr>
          <w:hyperlink w:anchor="_Toc5597" w:history="1">
            <w:r>
              <w:rPr>
                <w:rFonts w:ascii="黑体" w:eastAsia="黑体" w:hint="eastAsia"/>
              </w:rPr>
              <w:t>二、</w:t>
            </w:r>
            <w:r>
              <w:rPr>
                <w:rFonts w:ascii="黑体" w:eastAsia="黑体" w:hAnsi="黑体" w:hint="eastAsia"/>
              </w:rPr>
              <w:t>机构设置</w:t>
            </w:r>
            <w:r>
              <w:tab/>
            </w:r>
            <w:r>
              <w:fldChar w:fldCharType="begin"/>
            </w:r>
            <w:r>
              <w:instrText xml:space="preserve"> PAGEREF _Toc5597 \h </w:instrText>
            </w:r>
            <w:r>
              <w:fldChar w:fldCharType="separate"/>
            </w:r>
            <w:r>
              <w:t>2</w:t>
            </w:r>
            <w:r>
              <w:fldChar w:fldCharType="end"/>
            </w:r>
          </w:hyperlink>
        </w:p>
        <w:p w14:paraId="3879C7D6" w14:textId="77777777" w:rsidR="003753FB" w:rsidRDefault="00000000">
          <w:pPr>
            <w:pStyle w:val="WPSOffice1"/>
            <w:tabs>
              <w:tab w:val="right" w:leader="dot" w:pos="8306"/>
            </w:tabs>
          </w:pPr>
          <w:hyperlink w:anchor="_Toc20567" w:history="1">
            <w:r>
              <w:rPr>
                <w:rFonts w:ascii="黑体" w:eastAsia="黑体" w:hAnsi="黑体" w:hint="eastAsia"/>
              </w:rPr>
              <w:t>第二部分 2024年度</w:t>
            </w:r>
            <w:r>
              <w:rPr>
                <w:rFonts w:ascii="黑体" w:eastAsia="黑体" w:hAnsi="黑体" w:hint="eastAsia"/>
                <w:bCs/>
              </w:rPr>
              <w:t>部门决算情况说明</w:t>
            </w:r>
            <w:r>
              <w:tab/>
            </w:r>
            <w:r>
              <w:fldChar w:fldCharType="begin"/>
            </w:r>
            <w:r>
              <w:instrText xml:space="preserve"> PAGEREF _Toc20567 \h </w:instrText>
            </w:r>
            <w:r>
              <w:fldChar w:fldCharType="separate"/>
            </w:r>
            <w:r>
              <w:t>3</w:t>
            </w:r>
            <w:r>
              <w:fldChar w:fldCharType="end"/>
            </w:r>
          </w:hyperlink>
        </w:p>
        <w:p w14:paraId="32F41E75" w14:textId="77777777" w:rsidR="003753FB" w:rsidRDefault="00000000">
          <w:pPr>
            <w:pStyle w:val="WPSOffice2"/>
            <w:tabs>
              <w:tab w:val="right" w:leader="dot" w:pos="8306"/>
            </w:tabs>
            <w:ind w:left="420"/>
          </w:pPr>
          <w:hyperlink w:anchor="_Toc4901" w:history="1">
            <w:r>
              <w:rPr>
                <w:rFonts w:ascii="黑体" w:eastAsia="黑体" w:hAnsi="黑体"/>
              </w:rPr>
              <w:t xml:space="preserve">一、 </w:t>
            </w:r>
            <w:r>
              <w:rPr>
                <w:rFonts w:ascii="黑体" w:eastAsia="黑体" w:hAnsi="黑体" w:hint="eastAsia"/>
                <w:szCs w:val="32"/>
              </w:rPr>
              <w:t>收</w:t>
            </w:r>
            <w:r>
              <w:rPr>
                <w:rFonts w:ascii="黑体" w:eastAsia="黑体" w:hAnsi="黑体" w:hint="eastAsia"/>
              </w:rPr>
              <w:t>入支出决算总体情况说明</w:t>
            </w:r>
            <w:r>
              <w:tab/>
            </w:r>
            <w:r>
              <w:fldChar w:fldCharType="begin"/>
            </w:r>
            <w:r>
              <w:instrText xml:space="preserve"> PAGEREF _Toc4901 \h </w:instrText>
            </w:r>
            <w:r>
              <w:fldChar w:fldCharType="separate"/>
            </w:r>
            <w:r>
              <w:t>3</w:t>
            </w:r>
            <w:r>
              <w:fldChar w:fldCharType="end"/>
            </w:r>
          </w:hyperlink>
        </w:p>
        <w:p w14:paraId="5A412D71" w14:textId="77777777" w:rsidR="003753FB" w:rsidRDefault="00000000">
          <w:pPr>
            <w:pStyle w:val="WPSOffice2"/>
            <w:tabs>
              <w:tab w:val="right" w:leader="dot" w:pos="8306"/>
            </w:tabs>
            <w:ind w:left="420"/>
          </w:pPr>
          <w:hyperlink w:anchor="_Toc12917" w:history="1">
            <w:r>
              <w:rPr>
                <w:rFonts w:ascii="黑体" w:eastAsia="黑体" w:hAnsi="黑体"/>
              </w:rPr>
              <w:t xml:space="preserve">二、 </w:t>
            </w:r>
            <w:r>
              <w:rPr>
                <w:rFonts w:ascii="黑体" w:eastAsia="黑体" w:hAnsi="黑体" w:hint="eastAsia"/>
                <w:szCs w:val="32"/>
              </w:rPr>
              <w:t>收</w:t>
            </w:r>
            <w:r>
              <w:rPr>
                <w:rFonts w:ascii="黑体" w:eastAsia="黑体" w:hAnsi="黑体" w:hint="eastAsia"/>
              </w:rPr>
              <w:t>入决算情况说明</w:t>
            </w:r>
            <w:r>
              <w:tab/>
            </w:r>
            <w:r>
              <w:fldChar w:fldCharType="begin"/>
            </w:r>
            <w:r>
              <w:instrText xml:space="preserve"> PAGEREF _Toc12917 \h </w:instrText>
            </w:r>
            <w:r>
              <w:fldChar w:fldCharType="separate"/>
            </w:r>
            <w:r>
              <w:t>3</w:t>
            </w:r>
            <w:r>
              <w:fldChar w:fldCharType="end"/>
            </w:r>
          </w:hyperlink>
        </w:p>
        <w:p w14:paraId="11793812" w14:textId="77777777" w:rsidR="003753FB" w:rsidRDefault="00000000">
          <w:pPr>
            <w:pStyle w:val="WPSOffice2"/>
            <w:tabs>
              <w:tab w:val="right" w:leader="dot" w:pos="8306"/>
            </w:tabs>
            <w:ind w:left="420"/>
          </w:pPr>
          <w:hyperlink w:anchor="_Toc8714" w:history="1">
            <w:r>
              <w:rPr>
                <w:rFonts w:ascii="仿宋" w:eastAsia="仿宋" w:hAnsi="仿宋" w:hint="eastAsia"/>
                <w:szCs w:val="32"/>
              </w:rPr>
              <w:t>2024年度本年收入合计</w:t>
            </w:r>
            <w:r>
              <w:rPr>
                <w:rFonts w:eastAsia="仿宋" w:hint="eastAsia"/>
                <w:szCs w:val="32"/>
              </w:rPr>
              <w:t>145.62</w:t>
            </w:r>
            <w:r>
              <w:rPr>
                <w:rFonts w:ascii="仿宋" w:eastAsia="仿宋" w:hAnsi="仿宋" w:hint="eastAsia"/>
                <w:szCs w:val="32"/>
              </w:rPr>
              <w:t>万元，其中：一般公共预算财政拨款收入</w:t>
            </w:r>
            <w:r>
              <w:rPr>
                <w:rFonts w:eastAsia="仿宋" w:hint="eastAsia"/>
                <w:szCs w:val="32"/>
              </w:rPr>
              <w:t>145.62</w:t>
            </w:r>
            <w:r>
              <w:rPr>
                <w:rFonts w:ascii="仿宋" w:eastAsia="仿宋" w:hAnsi="仿宋" w:hint="eastAsia"/>
                <w:szCs w:val="32"/>
              </w:rPr>
              <w:t>万元，占</w:t>
            </w:r>
            <w:r>
              <w:rPr>
                <w:szCs w:val="32"/>
              </w:rPr>
              <w:t>100</w:t>
            </w:r>
            <w:r>
              <w:rPr>
                <w:rFonts w:ascii="仿宋" w:eastAsia="仿宋" w:hAnsi="仿宋"/>
                <w:szCs w:val="32"/>
              </w:rPr>
              <w:t>%</w:t>
            </w:r>
            <w:r>
              <w:rPr>
                <w:rFonts w:ascii="仿宋" w:eastAsia="仿宋" w:hAnsi="仿宋" w:hint="eastAsia"/>
                <w:szCs w:val="32"/>
              </w:rPr>
              <w:t>；政府性基金预算财政拨款收入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；国有资本经营预算财政拨款收入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；上级补助收入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；事业收入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；经营收入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；附属单位上缴收入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；其他收入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w:t>
            </w:r>
            <w:r>
              <w:tab/>
            </w:r>
            <w:r>
              <w:fldChar w:fldCharType="begin"/>
            </w:r>
            <w:r>
              <w:instrText xml:space="preserve"> PAGEREF _Toc8714 \h </w:instrText>
            </w:r>
            <w:r>
              <w:fldChar w:fldCharType="separate"/>
            </w:r>
            <w:r>
              <w:t>3</w:t>
            </w:r>
            <w:r>
              <w:fldChar w:fldCharType="end"/>
            </w:r>
          </w:hyperlink>
        </w:p>
        <w:p w14:paraId="7268D337" w14:textId="77777777" w:rsidR="003753FB" w:rsidRDefault="00000000">
          <w:pPr>
            <w:pStyle w:val="WPSOffice2"/>
            <w:tabs>
              <w:tab w:val="right" w:leader="dot" w:pos="8306"/>
            </w:tabs>
            <w:ind w:left="420"/>
          </w:pPr>
          <w:hyperlink w:anchor="_Toc7345" w:history="1">
            <w:r>
              <w:rPr>
                <w:rFonts w:ascii="黑体" w:eastAsia="黑体" w:hAnsi="黑体"/>
              </w:rPr>
              <w:t xml:space="preserve">三、 </w:t>
            </w:r>
            <w:r>
              <w:rPr>
                <w:rFonts w:ascii="黑体" w:eastAsia="黑体" w:hAnsi="黑体" w:hint="eastAsia"/>
                <w:szCs w:val="32"/>
              </w:rPr>
              <w:t>支</w:t>
            </w:r>
            <w:r>
              <w:rPr>
                <w:rFonts w:ascii="黑体" w:eastAsia="黑体" w:hAnsi="黑体" w:hint="eastAsia"/>
              </w:rPr>
              <w:t>出决算情况说明</w:t>
            </w:r>
            <w:r>
              <w:tab/>
            </w:r>
            <w:r>
              <w:fldChar w:fldCharType="begin"/>
            </w:r>
            <w:r>
              <w:instrText xml:space="preserve"> PAGEREF _Toc7345 \h </w:instrText>
            </w:r>
            <w:r>
              <w:fldChar w:fldCharType="separate"/>
            </w:r>
            <w:r>
              <w:t>4</w:t>
            </w:r>
            <w:r>
              <w:fldChar w:fldCharType="end"/>
            </w:r>
          </w:hyperlink>
        </w:p>
        <w:p w14:paraId="3A7BEC87" w14:textId="77777777" w:rsidR="003753FB" w:rsidRDefault="00000000">
          <w:pPr>
            <w:pStyle w:val="WPSOffice2"/>
            <w:tabs>
              <w:tab w:val="right" w:leader="dot" w:pos="8306"/>
            </w:tabs>
            <w:ind w:left="420"/>
          </w:pPr>
          <w:hyperlink w:anchor="_Toc31421" w:history="1">
            <w:r>
              <w:rPr>
                <w:rFonts w:ascii="仿宋" w:eastAsia="仿宋" w:hAnsi="仿宋" w:hint="eastAsia"/>
                <w:szCs w:val="32"/>
              </w:rPr>
              <w:t>2024年度本年支出合计</w:t>
            </w:r>
            <w:r>
              <w:rPr>
                <w:rFonts w:eastAsia="仿宋" w:hint="eastAsia"/>
                <w:szCs w:val="32"/>
              </w:rPr>
              <w:t>145.62</w:t>
            </w:r>
            <w:r>
              <w:rPr>
                <w:rFonts w:ascii="仿宋" w:eastAsia="仿宋" w:hAnsi="仿宋" w:hint="eastAsia"/>
                <w:szCs w:val="32"/>
              </w:rPr>
              <w:t>万元，其中：基本支出</w:t>
            </w:r>
            <w:r>
              <w:rPr>
                <w:rFonts w:eastAsia="仿宋" w:hint="eastAsia"/>
                <w:szCs w:val="32"/>
              </w:rPr>
              <w:t>140.84</w:t>
            </w:r>
            <w:r>
              <w:rPr>
                <w:rFonts w:ascii="仿宋" w:eastAsia="仿宋" w:hAnsi="仿宋" w:hint="eastAsia"/>
                <w:szCs w:val="32"/>
              </w:rPr>
              <w:t>万元，占</w:t>
            </w:r>
            <w:r>
              <w:rPr>
                <w:rFonts w:eastAsia="仿宋" w:hint="eastAsia"/>
                <w:szCs w:val="32"/>
              </w:rPr>
              <w:t>96.72</w:t>
            </w:r>
            <w:r>
              <w:rPr>
                <w:rFonts w:ascii="仿宋" w:eastAsia="仿宋" w:hAnsi="仿宋"/>
                <w:szCs w:val="32"/>
              </w:rPr>
              <w:t>%</w:t>
            </w:r>
            <w:r>
              <w:rPr>
                <w:rFonts w:ascii="仿宋" w:eastAsia="仿宋" w:hAnsi="仿宋" w:hint="eastAsia"/>
                <w:szCs w:val="32"/>
              </w:rPr>
              <w:t>；项目支出</w:t>
            </w:r>
            <w:r>
              <w:rPr>
                <w:rFonts w:eastAsia="仿宋" w:hint="eastAsia"/>
                <w:szCs w:val="32"/>
              </w:rPr>
              <w:t>4.79</w:t>
            </w:r>
            <w:r>
              <w:rPr>
                <w:rFonts w:ascii="仿宋" w:eastAsia="仿宋" w:hAnsi="仿宋" w:hint="eastAsia"/>
                <w:szCs w:val="32"/>
              </w:rPr>
              <w:t>万元，占</w:t>
            </w:r>
            <w:r>
              <w:rPr>
                <w:rFonts w:eastAsia="仿宋" w:hint="eastAsia"/>
                <w:szCs w:val="32"/>
              </w:rPr>
              <w:t>3.28</w:t>
            </w:r>
            <w:r>
              <w:rPr>
                <w:rFonts w:ascii="仿宋" w:eastAsia="仿宋" w:hAnsi="仿宋"/>
                <w:szCs w:val="32"/>
              </w:rPr>
              <w:t>%</w:t>
            </w:r>
            <w:r>
              <w:rPr>
                <w:rFonts w:ascii="仿宋" w:eastAsia="仿宋" w:hAnsi="仿宋" w:hint="eastAsia"/>
                <w:szCs w:val="32"/>
              </w:rPr>
              <w:t>；上缴上级支出</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；经营支出</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；对附属单位补助支出</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w:t>
            </w:r>
            <w:r>
              <w:tab/>
            </w:r>
            <w:r>
              <w:fldChar w:fldCharType="begin"/>
            </w:r>
            <w:r>
              <w:instrText xml:space="preserve"> PAGEREF _Toc31421 \h </w:instrText>
            </w:r>
            <w:r>
              <w:fldChar w:fldCharType="separate"/>
            </w:r>
            <w:r>
              <w:t>4</w:t>
            </w:r>
            <w:r>
              <w:fldChar w:fldCharType="end"/>
            </w:r>
          </w:hyperlink>
        </w:p>
        <w:p w14:paraId="3F2DC126" w14:textId="77777777" w:rsidR="003753FB" w:rsidRDefault="00000000">
          <w:pPr>
            <w:pStyle w:val="WPSOffice2"/>
            <w:tabs>
              <w:tab w:val="right" w:leader="dot" w:pos="8306"/>
            </w:tabs>
            <w:ind w:left="420"/>
          </w:pPr>
          <w:hyperlink w:anchor="_Toc14338" w:history="1">
            <w:r>
              <w:rPr>
                <w:rFonts w:ascii="黑体" w:eastAsia="黑体" w:hAnsi="黑体" w:hint="eastAsia"/>
                <w:szCs w:val="32"/>
              </w:rPr>
              <w:t>四、财</w:t>
            </w:r>
            <w:r>
              <w:rPr>
                <w:rFonts w:ascii="黑体" w:eastAsia="黑体" w:hAnsi="黑体" w:hint="eastAsia"/>
              </w:rPr>
              <w:t>政拨款收入支出决算总体情况说明</w:t>
            </w:r>
            <w:r>
              <w:tab/>
            </w:r>
            <w:r>
              <w:fldChar w:fldCharType="begin"/>
            </w:r>
            <w:r>
              <w:instrText xml:space="preserve"> PAGEREF _Toc14338 \h </w:instrText>
            </w:r>
            <w:r>
              <w:fldChar w:fldCharType="separate"/>
            </w:r>
            <w:r>
              <w:t>5</w:t>
            </w:r>
            <w:r>
              <w:fldChar w:fldCharType="end"/>
            </w:r>
          </w:hyperlink>
        </w:p>
        <w:p w14:paraId="59579AEE" w14:textId="77777777" w:rsidR="003753FB" w:rsidRDefault="00000000">
          <w:pPr>
            <w:pStyle w:val="WPSOffice2"/>
            <w:tabs>
              <w:tab w:val="right" w:leader="dot" w:pos="8306"/>
            </w:tabs>
            <w:ind w:left="420"/>
          </w:pPr>
          <w:hyperlink w:anchor="_Toc30113" w:history="1">
            <w:r>
              <w:rPr>
                <w:rFonts w:ascii="黑体" w:eastAsia="黑体" w:hAnsi="黑体" w:hint="eastAsia"/>
                <w:szCs w:val="32"/>
              </w:rPr>
              <w:t>五、一</w:t>
            </w:r>
            <w:r>
              <w:rPr>
                <w:rFonts w:ascii="黑体" w:eastAsia="黑体" w:hAnsi="黑体" w:hint="eastAsia"/>
              </w:rPr>
              <w:t>般公共预算财政拨款支出决算情况说明</w:t>
            </w:r>
            <w:r>
              <w:tab/>
            </w:r>
            <w:r>
              <w:fldChar w:fldCharType="begin"/>
            </w:r>
            <w:r>
              <w:instrText xml:space="preserve"> PAGEREF _Toc30113 \h </w:instrText>
            </w:r>
            <w:r>
              <w:fldChar w:fldCharType="separate"/>
            </w:r>
            <w:r>
              <w:t>6</w:t>
            </w:r>
            <w:r>
              <w:fldChar w:fldCharType="end"/>
            </w:r>
          </w:hyperlink>
        </w:p>
        <w:p w14:paraId="10DF8B48" w14:textId="77777777" w:rsidR="003753FB" w:rsidRDefault="00000000">
          <w:pPr>
            <w:pStyle w:val="WPSOffice3"/>
            <w:tabs>
              <w:tab w:val="right" w:leader="dot" w:pos="8306"/>
            </w:tabs>
            <w:ind w:left="840"/>
          </w:pPr>
          <w:hyperlink w:anchor="_Toc10601" w:history="1">
            <w:r>
              <w:rPr>
                <w:rFonts w:ascii="仿宋" w:eastAsia="仿宋" w:hAnsi="仿宋" w:hint="eastAsia"/>
                <w:szCs w:val="32"/>
              </w:rPr>
              <w:t>（一）一般公共预算财政拨款支出决算总体情况</w:t>
            </w:r>
            <w:r>
              <w:tab/>
            </w:r>
            <w:r>
              <w:fldChar w:fldCharType="begin"/>
            </w:r>
            <w:r>
              <w:instrText xml:space="preserve"> PAGEREF _Toc10601 \h </w:instrText>
            </w:r>
            <w:r>
              <w:fldChar w:fldCharType="separate"/>
            </w:r>
            <w:r>
              <w:t>6</w:t>
            </w:r>
            <w:r>
              <w:fldChar w:fldCharType="end"/>
            </w:r>
          </w:hyperlink>
        </w:p>
        <w:p w14:paraId="6AEF156E" w14:textId="77777777" w:rsidR="003753FB" w:rsidRDefault="00000000">
          <w:pPr>
            <w:pStyle w:val="WPSOffice3"/>
            <w:tabs>
              <w:tab w:val="right" w:leader="dot" w:pos="8306"/>
            </w:tabs>
            <w:ind w:left="840"/>
          </w:pPr>
          <w:hyperlink w:anchor="_Toc8532" w:history="1">
            <w:r>
              <w:rPr>
                <w:rFonts w:ascii="仿宋" w:eastAsia="仿宋" w:hAnsi="仿宋" w:hint="eastAsia"/>
                <w:szCs w:val="32"/>
              </w:rPr>
              <w:t>（二）一般公共预算财政拨款支出决算结构情况</w:t>
            </w:r>
            <w:r>
              <w:tab/>
            </w:r>
            <w:r>
              <w:fldChar w:fldCharType="begin"/>
            </w:r>
            <w:r>
              <w:instrText xml:space="preserve"> PAGEREF _Toc8532 \h </w:instrText>
            </w:r>
            <w:r>
              <w:fldChar w:fldCharType="separate"/>
            </w:r>
            <w:r>
              <w:t>6</w:t>
            </w:r>
            <w:r>
              <w:fldChar w:fldCharType="end"/>
            </w:r>
          </w:hyperlink>
        </w:p>
        <w:p w14:paraId="711619B7" w14:textId="77777777" w:rsidR="003753FB" w:rsidRDefault="00000000">
          <w:pPr>
            <w:pStyle w:val="WPSOffice3"/>
            <w:tabs>
              <w:tab w:val="right" w:leader="dot" w:pos="8306"/>
            </w:tabs>
            <w:ind w:left="840"/>
          </w:pPr>
          <w:hyperlink w:anchor="_Toc13372" w:history="1">
            <w:r>
              <w:rPr>
                <w:rFonts w:ascii="仿宋" w:eastAsia="仿宋" w:hAnsi="仿宋" w:hint="eastAsia"/>
                <w:szCs w:val="32"/>
              </w:rPr>
              <w:t>（三）一般公共预算财政拨款支出决算具体情况</w:t>
            </w:r>
            <w:r>
              <w:tab/>
            </w:r>
            <w:r>
              <w:fldChar w:fldCharType="begin"/>
            </w:r>
            <w:r>
              <w:instrText xml:space="preserve"> PAGEREF _Toc13372 \h </w:instrText>
            </w:r>
            <w:r>
              <w:fldChar w:fldCharType="separate"/>
            </w:r>
            <w:r>
              <w:t>7</w:t>
            </w:r>
            <w:r>
              <w:fldChar w:fldCharType="end"/>
            </w:r>
          </w:hyperlink>
        </w:p>
        <w:p w14:paraId="77E56BF3" w14:textId="77777777" w:rsidR="003753FB" w:rsidRDefault="00000000">
          <w:pPr>
            <w:pStyle w:val="WPSOffice3"/>
            <w:tabs>
              <w:tab w:val="right" w:leader="dot" w:pos="8306"/>
            </w:tabs>
            <w:ind w:left="840"/>
          </w:pPr>
          <w:hyperlink w:anchor="_Toc11833" w:history="1">
            <w:r>
              <w:rPr>
                <w:rFonts w:ascii="仿宋" w:eastAsia="仿宋" w:hAnsi="仿宋" w:hint="eastAsia"/>
                <w:szCs w:val="32"/>
              </w:rPr>
              <w:t>2023年度一般公共预算支出决算数为</w:t>
            </w:r>
            <w:r>
              <w:rPr>
                <w:szCs w:val="32"/>
              </w:rPr>
              <w:t>163.15</w:t>
            </w:r>
            <w:r>
              <w:rPr>
                <w:rFonts w:ascii="仿宋" w:eastAsia="仿宋" w:hAnsi="仿宋" w:hint="eastAsia"/>
                <w:szCs w:val="32"/>
              </w:rPr>
              <w:t>，</w:t>
            </w:r>
            <w:r>
              <w:rPr>
                <w:rFonts w:ascii="仿宋" w:eastAsia="仿宋" w:hAnsi="仿宋" w:hint="eastAsia"/>
                <w:bCs/>
                <w:szCs w:val="32"/>
              </w:rPr>
              <w:t>完成预算100</w:t>
            </w:r>
            <w:r>
              <w:rPr>
                <w:rFonts w:ascii="仿宋" w:eastAsia="仿宋" w:hAnsi="仿宋"/>
                <w:bCs/>
                <w:szCs w:val="32"/>
              </w:rPr>
              <w:t>%</w:t>
            </w:r>
            <w:r>
              <w:rPr>
                <w:rFonts w:ascii="仿宋" w:eastAsia="仿宋" w:hAnsi="仿宋" w:hint="eastAsia"/>
                <w:bCs/>
                <w:szCs w:val="32"/>
              </w:rPr>
              <w:t>。其中：</w:t>
            </w:r>
            <w:r>
              <w:tab/>
            </w:r>
            <w:r>
              <w:fldChar w:fldCharType="begin"/>
            </w:r>
            <w:r>
              <w:instrText xml:space="preserve"> PAGEREF _Toc11833 \h </w:instrText>
            </w:r>
            <w:r>
              <w:fldChar w:fldCharType="separate"/>
            </w:r>
            <w:r>
              <w:t>7</w:t>
            </w:r>
            <w:r>
              <w:fldChar w:fldCharType="end"/>
            </w:r>
          </w:hyperlink>
        </w:p>
        <w:p w14:paraId="376B4DD4" w14:textId="77777777" w:rsidR="003753FB" w:rsidRDefault="00000000">
          <w:pPr>
            <w:pStyle w:val="WPSOffice2"/>
            <w:tabs>
              <w:tab w:val="right" w:leader="dot" w:pos="8306"/>
            </w:tabs>
            <w:ind w:left="420"/>
          </w:pPr>
          <w:hyperlink w:anchor="_Toc20" w:history="1">
            <w:r>
              <w:rPr>
                <w:rFonts w:ascii="黑体" w:eastAsia="黑体" w:hint="eastAsia"/>
                <w:szCs w:val="32"/>
              </w:rPr>
              <w:t>六、</w:t>
            </w:r>
            <w:r>
              <w:rPr>
                <w:rFonts w:ascii="黑体" w:eastAsia="黑体" w:hAnsi="黑体" w:hint="eastAsia"/>
                <w:szCs w:val="32"/>
              </w:rPr>
              <w:t>一</w:t>
            </w:r>
            <w:r>
              <w:rPr>
                <w:rFonts w:ascii="黑体" w:eastAsia="黑体" w:hAnsi="黑体" w:hint="eastAsia"/>
              </w:rPr>
              <w:t>般公共预算财政拨款基本支出决算情况说明</w:t>
            </w:r>
            <w:r>
              <w:tab/>
            </w:r>
            <w:r>
              <w:fldChar w:fldCharType="begin"/>
            </w:r>
            <w:r>
              <w:instrText xml:space="preserve"> PAGEREF _Toc20 \h </w:instrText>
            </w:r>
            <w:r>
              <w:fldChar w:fldCharType="separate"/>
            </w:r>
            <w:r>
              <w:t>8</w:t>
            </w:r>
            <w:r>
              <w:fldChar w:fldCharType="end"/>
            </w:r>
          </w:hyperlink>
        </w:p>
        <w:p w14:paraId="2A957DEE" w14:textId="77777777" w:rsidR="003753FB" w:rsidRDefault="00000000">
          <w:pPr>
            <w:pStyle w:val="WPSOffice2"/>
            <w:tabs>
              <w:tab w:val="right" w:leader="dot" w:pos="8306"/>
            </w:tabs>
            <w:ind w:left="420"/>
          </w:pPr>
          <w:hyperlink w:anchor="_Toc833" w:history="1">
            <w:r>
              <w:rPr>
                <w:rFonts w:ascii="黑体" w:eastAsia="黑体" w:hint="eastAsia"/>
                <w:szCs w:val="32"/>
              </w:rPr>
              <w:t>七、</w:t>
            </w:r>
            <w:r>
              <w:rPr>
                <w:rFonts w:ascii="黑体" w:eastAsia="黑体" w:hAnsi="黑体" w:hint="eastAsia"/>
              </w:rPr>
              <w:t>财政拨款“三公”经费支出决算情况说明</w:t>
            </w:r>
            <w:r>
              <w:tab/>
            </w:r>
            <w:r>
              <w:fldChar w:fldCharType="begin"/>
            </w:r>
            <w:r>
              <w:instrText xml:space="preserve"> PAGEREF _Toc833 \h </w:instrText>
            </w:r>
            <w:r>
              <w:fldChar w:fldCharType="separate"/>
            </w:r>
            <w:r>
              <w:t>9</w:t>
            </w:r>
            <w:r>
              <w:fldChar w:fldCharType="end"/>
            </w:r>
          </w:hyperlink>
        </w:p>
        <w:p w14:paraId="440CEAFA" w14:textId="77777777" w:rsidR="003753FB" w:rsidRDefault="00000000">
          <w:pPr>
            <w:pStyle w:val="WPSOffice3"/>
            <w:tabs>
              <w:tab w:val="right" w:leader="dot" w:pos="8306"/>
            </w:tabs>
            <w:ind w:left="840"/>
          </w:pPr>
          <w:hyperlink w:anchor="_Toc9966" w:history="1">
            <w:r>
              <w:rPr>
                <w:rFonts w:ascii="仿宋" w:eastAsia="仿宋" w:hAnsi="仿宋" w:hint="eastAsia"/>
                <w:szCs w:val="32"/>
              </w:rPr>
              <w:t>（一）“三公”经费财政拨款支出决算总体情况说明</w:t>
            </w:r>
            <w:r>
              <w:tab/>
            </w:r>
            <w:r>
              <w:fldChar w:fldCharType="begin"/>
            </w:r>
            <w:r>
              <w:instrText xml:space="preserve"> PAGEREF _Toc9966 \h </w:instrText>
            </w:r>
            <w:r>
              <w:fldChar w:fldCharType="separate"/>
            </w:r>
            <w:r>
              <w:t>9</w:t>
            </w:r>
            <w:r>
              <w:fldChar w:fldCharType="end"/>
            </w:r>
          </w:hyperlink>
        </w:p>
        <w:p w14:paraId="3E9F58A7" w14:textId="77777777" w:rsidR="003753FB" w:rsidRDefault="00000000">
          <w:pPr>
            <w:pStyle w:val="WPSOffice3"/>
            <w:tabs>
              <w:tab w:val="right" w:leader="dot" w:pos="8306"/>
            </w:tabs>
            <w:ind w:left="840"/>
          </w:pPr>
          <w:hyperlink w:anchor="_Toc11774" w:history="1">
            <w:r>
              <w:rPr>
                <w:rFonts w:ascii="仿宋" w:eastAsia="仿宋" w:hAnsi="仿宋" w:hint="eastAsia"/>
                <w:szCs w:val="32"/>
              </w:rPr>
              <w:t>（二）“三公”经费财政拨款支出决算具体情况说明</w:t>
            </w:r>
            <w:r>
              <w:tab/>
            </w:r>
            <w:r>
              <w:fldChar w:fldCharType="begin"/>
            </w:r>
            <w:r>
              <w:instrText xml:space="preserve"> PAGEREF _Toc11774 \h </w:instrText>
            </w:r>
            <w:r>
              <w:fldChar w:fldCharType="separate"/>
            </w:r>
            <w:r>
              <w:t>9</w:t>
            </w:r>
            <w:r>
              <w:fldChar w:fldCharType="end"/>
            </w:r>
          </w:hyperlink>
        </w:p>
        <w:p w14:paraId="0218E4B9" w14:textId="77777777" w:rsidR="003753FB" w:rsidRDefault="00000000">
          <w:pPr>
            <w:pStyle w:val="WPSOffice2"/>
            <w:tabs>
              <w:tab w:val="right" w:leader="dot" w:pos="8306"/>
            </w:tabs>
            <w:ind w:left="420"/>
          </w:pPr>
          <w:hyperlink w:anchor="_Toc5494" w:history="1">
            <w:r>
              <w:rPr>
                <w:rFonts w:ascii="黑体" w:eastAsia="黑体" w:hint="eastAsia"/>
                <w:szCs w:val="32"/>
              </w:rPr>
              <w:t>八、</w:t>
            </w:r>
            <w:r>
              <w:rPr>
                <w:rFonts w:ascii="黑体" w:eastAsia="黑体" w:hAnsi="黑体" w:hint="eastAsia"/>
              </w:rPr>
              <w:t>政府性基金预算支出决算情况说明</w:t>
            </w:r>
            <w:r>
              <w:tab/>
            </w:r>
            <w:r>
              <w:fldChar w:fldCharType="begin"/>
            </w:r>
            <w:r>
              <w:instrText xml:space="preserve"> PAGEREF _Toc5494 \h </w:instrText>
            </w:r>
            <w:r>
              <w:fldChar w:fldCharType="separate"/>
            </w:r>
            <w:r>
              <w:t>11</w:t>
            </w:r>
            <w:r>
              <w:fldChar w:fldCharType="end"/>
            </w:r>
          </w:hyperlink>
        </w:p>
        <w:p w14:paraId="100B4FD2" w14:textId="77777777" w:rsidR="003753FB" w:rsidRDefault="00000000">
          <w:pPr>
            <w:pStyle w:val="WPSOffice2"/>
            <w:tabs>
              <w:tab w:val="right" w:leader="dot" w:pos="8306"/>
            </w:tabs>
            <w:ind w:left="420"/>
          </w:pPr>
          <w:hyperlink w:anchor="_Toc12358" w:history="1">
            <w:r>
              <w:rPr>
                <w:rFonts w:ascii="黑体" w:eastAsia="黑体" w:hAnsi="黑体" w:hint="eastAsia"/>
              </w:rPr>
              <w:t>九、 国有资本经营预算支出决算情况说明</w:t>
            </w:r>
            <w:r>
              <w:tab/>
            </w:r>
            <w:r>
              <w:fldChar w:fldCharType="begin"/>
            </w:r>
            <w:r>
              <w:instrText xml:space="preserve"> PAGEREF _Toc12358 \h </w:instrText>
            </w:r>
            <w:r>
              <w:fldChar w:fldCharType="separate"/>
            </w:r>
            <w:r>
              <w:t>11</w:t>
            </w:r>
            <w:r>
              <w:fldChar w:fldCharType="end"/>
            </w:r>
          </w:hyperlink>
        </w:p>
        <w:p w14:paraId="1D01F121" w14:textId="77777777" w:rsidR="003753FB" w:rsidRDefault="00000000">
          <w:pPr>
            <w:pStyle w:val="WPSOffice2"/>
            <w:tabs>
              <w:tab w:val="right" w:leader="dot" w:pos="8306"/>
            </w:tabs>
            <w:ind w:left="420"/>
          </w:pPr>
          <w:hyperlink w:anchor="_Toc22174" w:history="1">
            <w:r>
              <w:rPr>
                <w:rFonts w:ascii="黑体" w:eastAsia="黑体" w:hAnsi="黑体" w:hint="eastAsia"/>
              </w:rPr>
              <w:t>十、 其他重要事项的情况说明</w:t>
            </w:r>
            <w:r>
              <w:tab/>
            </w:r>
            <w:r>
              <w:fldChar w:fldCharType="begin"/>
            </w:r>
            <w:r>
              <w:instrText xml:space="preserve"> PAGEREF _Toc22174 \h </w:instrText>
            </w:r>
            <w:r>
              <w:fldChar w:fldCharType="separate"/>
            </w:r>
            <w:r>
              <w:t>11</w:t>
            </w:r>
            <w:r>
              <w:fldChar w:fldCharType="end"/>
            </w:r>
          </w:hyperlink>
        </w:p>
        <w:p w14:paraId="6E8C2E31" w14:textId="77777777" w:rsidR="003753FB" w:rsidRDefault="00000000">
          <w:pPr>
            <w:pStyle w:val="WPSOffice3"/>
            <w:tabs>
              <w:tab w:val="right" w:leader="dot" w:pos="8306"/>
            </w:tabs>
            <w:ind w:left="840"/>
          </w:pPr>
          <w:hyperlink w:anchor="_Toc32750" w:history="1">
            <w:r>
              <w:rPr>
                <w:rFonts w:ascii="仿宋" w:eastAsia="仿宋" w:hAnsi="仿宋" w:hint="eastAsia"/>
                <w:szCs w:val="32"/>
              </w:rPr>
              <w:t>（一）机关运行经费支出情况</w:t>
            </w:r>
            <w:r>
              <w:tab/>
            </w:r>
            <w:r>
              <w:fldChar w:fldCharType="begin"/>
            </w:r>
            <w:r>
              <w:instrText xml:space="preserve"> PAGEREF _Toc32750 \h </w:instrText>
            </w:r>
            <w:r>
              <w:fldChar w:fldCharType="separate"/>
            </w:r>
            <w:r>
              <w:t>11</w:t>
            </w:r>
            <w:r>
              <w:fldChar w:fldCharType="end"/>
            </w:r>
          </w:hyperlink>
        </w:p>
        <w:p w14:paraId="12D4F847" w14:textId="77777777" w:rsidR="003753FB" w:rsidRDefault="00000000">
          <w:pPr>
            <w:pStyle w:val="WPSOffice3"/>
            <w:tabs>
              <w:tab w:val="right" w:leader="dot" w:pos="8306"/>
            </w:tabs>
            <w:ind w:left="840"/>
          </w:pPr>
          <w:hyperlink w:anchor="_Toc27880" w:history="1">
            <w:r>
              <w:rPr>
                <w:rFonts w:ascii="仿宋" w:eastAsia="仿宋" w:hAnsi="仿宋" w:hint="eastAsia"/>
                <w:szCs w:val="32"/>
              </w:rPr>
              <w:t>（二）政府采购支出情况</w:t>
            </w:r>
            <w:r>
              <w:tab/>
            </w:r>
            <w:r>
              <w:fldChar w:fldCharType="begin"/>
            </w:r>
            <w:r>
              <w:instrText xml:space="preserve"> PAGEREF _Toc27880 \h </w:instrText>
            </w:r>
            <w:r>
              <w:fldChar w:fldCharType="separate"/>
            </w:r>
            <w:r>
              <w:t>11</w:t>
            </w:r>
            <w:r>
              <w:fldChar w:fldCharType="end"/>
            </w:r>
          </w:hyperlink>
        </w:p>
        <w:p w14:paraId="0F45739E" w14:textId="77777777" w:rsidR="003753FB" w:rsidRDefault="00000000">
          <w:pPr>
            <w:pStyle w:val="WPSOffice3"/>
            <w:tabs>
              <w:tab w:val="right" w:leader="dot" w:pos="8306"/>
            </w:tabs>
            <w:ind w:left="840"/>
          </w:pPr>
          <w:hyperlink w:anchor="_Toc29032" w:history="1">
            <w:r>
              <w:rPr>
                <w:rFonts w:ascii="仿宋" w:eastAsia="仿宋" w:hAnsi="仿宋" w:hint="eastAsia"/>
                <w:szCs w:val="32"/>
              </w:rPr>
              <w:t>（三）国有资产占有使用情况</w:t>
            </w:r>
            <w:r>
              <w:tab/>
            </w:r>
            <w:r>
              <w:fldChar w:fldCharType="begin"/>
            </w:r>
            <w:r>
              <w:instrText xml:space="preserve"> PAGEREF _Toc29032 \h </w:instrText>
            </w:r>
            <w:r>
              <w:fldChar w:fldCharType="separate"/>
            </w:r>
            <w:r>
              <w:t>11</w:t>
            </w:r>
            <w:r>
              <w:fldChar w:fldCharType="end"/>
            </w:r>
          </w:hyperlink>
        </w:p>
        <w:p w14:paraId="7671343C" w14:textId="77777777" w:rsidR="003753FB" w:rsidRDefault="00000000">
          <w:pPr>
            <w:pStyle w:val="WPSOffice3"/>
            <w:tabs>
              <w:tab w:val="right" w:leader="dot" w:pos="8306"/>
            </w:tabs>
            <w:ind w:left="840"/>
          </w:pPr>
          <w:hyperlink w:anchor="_Toc12049" w:history="1">
            <w:r>
              <w:rPr>
                <w:rFonts w:ascii="仿宋" w:eastAsia="仿宋" w:hAnsi="仿宋" w:hint="eastAsia"/>
                <w:szCs w:val="32"/>
              </w:rPr>
              <w:t>（四）预算绩效管理情况</w:t>
            </w:r>
            <w:r>
              <w:tab/>
            </w:r>
            <w:r>
              <w:fldChar w:fldCharType="begin"/>
            </w:r>
            <w:r>
              <w:instrText xml:space="preserve"> PAGEREF _Toc12049 \h </w:instrText>
            </w:r>
            <w:r>
              <w:fldChar w:fldCharType="separate"/>
            </w:r>
            <w:r>
              <w:t>12</w:t>
            </w:r>
            <w:r>
              <w:fldChar w:fldCharType="end"/>
            </w:r>
          </w:hyperlink>
        </w:p>
        <w:p w14:paraId="6FEDD8B5" w14:textId="77777777" w:rsidR="003753FB" w:rsidRDefault="00000000">
          <w:pPr>
            <w:pStyle w:val="WPSOffice1"/>
            <w:tabs>
              <w:tab w:val="right" w:leader="dot" w:pos="8306"/>
            </w:tabs>
          </w:pPr>
          <w:hyperlink w:anchor="_Toc19529" w:history="1">
            <w:r>
              <w:rPr>
                <w:rFonts w:hint="eastAsia"/>
              </w:rPr>
              <w:t>第三部分</w:t>
            </w:r>
            <w:r>
              <w:rPr>
                <w:rFonts w:hint="eastAsia"/>
              </w:rPr>
              <w:t xml:space="preserve"> </w:t>
            </w:r>
            <w:r>
              <w:rPr>
                <w:rFonts w:hint="eastAsia"/>
              </w:rPr>
              <w:t>名词解释</w:t>
            </w:r>
            <w:r>
              <w:tab/>
            </w:r>
            <w:r>
              <w:fldChar w:fldCharType="begin"/>
            </w:r>
            <w:r>
              <w:instrText xml:space="preserve"> PAGEREF _Toc19529 \h </w:instrText>
            </w:r>
            <w:r>
              <w:fldChar w:fldCharType="separate"/>
            </w:r>
            <w:r>
              <w:t>13</w:t>
            </w:r>
            <w:r>
              <w:fldChar w:fldCharType="end"/>
            </w:r>
          </w:hyperlink>
        </w:p>
        <w:p w14:paraId="129F7BC9" w14:textId="77777777" w:rsidR="003753FB" w:rsidRDefault="00000000">
          <w:pPr>
            <w:pStyle w:val="WPSOffice1"/>
            <w:tabs>
              <w:tab w:val="right" w:leader="dot" w:pos="8306"/>
            </w:tabs>
          </w:pPr>
          <w:hyperlink w:anchor="_Toc2812" w:history="1">
            <w:r>
              <w:rPr>
                <w:rFonts w:ascii="黑体" w:eastAsia="黑体" w:hAnsi="黑体" w:hint="eastAsia"/>
              </w:rPr>
              <w:t>第四部分 附件</w:t>
            </w:r>
            <w:r>
              <w:tab/>
            </w:r>
            <w:r>
              <w:fldChar w:fldCharType="begin"/>
            </w:r>
            <w:r>
              <w:instrText xml:space="preserve"> PAGEREF _Toc2812 \h </w:instrText>
            </w:r>
            <w:r>
              <w:fldChar w:fldCharType="separate"/>
            </w:r>
            <w:r>
              <w:t>16</w:t>
            </w:r>
            <w:r>
              <w:fldChar w:fldCharType="end"/>
            </w:r>
          </w:hyperlink>
        </w:p>
        <w:p w14:paraId="0B5C9461" w14:textId="77777777" w:rsidR="003753FB" w:rsidRDefault="00000000">
          <w:pPr>
            <w:pStyle w:val="WPSOffice1"/>
            <w:tabs>
              <w:tab w:val="right" w:leader="dot" w:pos="8306"/>
            </w:tabs>
          </w:pPr>
          <w:hyperlink w:anchor="_Toc254" w:history="1">
            <w:r>
              <w:rPr>
                <w:rFonts w:ascii="黑体" w:eastAsia="黑体" w:hAnsi="黑体" w:hint="eastAsia"/>
              </w:rPr>
              <w:t>第五部分 附表</w:t>
            </w:r>
            <w:r>
              <w:tab/>
            </w:r>
            <w:r>
              <w:fldChar w:fldCharType="begin"/>
            </w:r>
            <w:r>
              <w:instrText xml:space="preserve"> PAGEREF _Toc254 \h </w:instrText>
            </w:r>
            <w:r>
              <w:fldChar w:fldCharType="separate"/>
            </w:r>
            <w:r>
              <w:t>25</w:t>
            </w:r>
            <w:r>
              <w:fldChar w:fldCharType="end"/>
            </w:r>
          </w:hyperlink>
        </w:p>
        <w:p w14:paraId="79B51637" w14:textId="77777777" w:rsidR="003753FB" w:rsidRDefault="00000000">
          <w:r>
            <w:fldChar w:fldCharType="end"/>
          </w:r>
        </w:p>
      </w:sdtContent>
    </w:sdt>
    <w:p w14:paraId="42F2EE41" w14:textId="2760DE77" w:rsidR="003753FB" w:rsidRDefault="00000000" w:rsidP="00F2190B">
      <w:pPr>
        <w:widowControl/>
        <w:spacing w:line="440" w:lineRule="exact"/>
        <w:jc w:val="center"/>
        <w:rPr>
          <w:rStyle w:val="10"/>
          <w:rFonts w:ascii="黑体" w:eastAsia="黑体" w:hAnsi="黑体" w:hint="eastAsia"/>
          <w:b w:val="0"/>
        </w:rPr>
      </w:pPr>
      <w:r>
        <w:rPr>
          <w:rFonts w:ascii="仿宋" w:eastAsia="仿宋" w:hAnsi="仿宋"/>
          <w:b/>
          <w:sz w:val="24"/>
        </w:rPr>
        <w:br w:type="page"/>
      </w:r>
      <w:bookmarkStart w:id="17" w:name="_Toc31245"/>
      <w:r w:rsidRPr="00F2190B">
        <w:rPr>
          <w:rStyle w:val="10"/>
          <w:rFonts w:ascii="黑体" w:hAnsi="黑体" w:hint="eastAsia"/>
        </w:rPr>
        <w:lastRenderedPageBreak/>
        <w:t>第一部分</w:t>
      </w:r>
      <w:r w:rsidRPr="00F2190B">
        <w:rPr>
          <w:rStyle w:val="10"/>
          <w:rFonts w:ascii="黑体" w:hAnsi="黑体" w:hint="eastAsia"/>
        </w:rPr>
        <w:t xml:space="preserve"> </w:t>
      </w:r>
      <w:r>
        <w:rPr>
          <w:rStyle w:val="10"/>
          <w:rFonts w:ascii="黑体" w:eastAsia="黑体" w:hAnsi="黑体" w:hint="eastAsia"/>
          <w:b w:val="0"/>
          <w:bCs w:val="0"/>
        </w:rPr>
        <w:t>部门概况</w:t>
      </w:r>
      <w:bookmarkEnd w:id="16"/>
      <w:bookmarkEnd w:id="15"/>
      <w:bookmarkEnd w:id="17"/>
    </w:p>
    <w:p w14:paraId="7CAB013C" w14:textId="77777777" w:rsidR="003753FB" w:rsidRDefault="00000000">
      <w:pPr>
        <w:pStyle w:val="20"/>
        <w:numPr>
          <w:ilvl w:val="0"/>
          <w:numId w:val="1"/>
        </w:numPr>
        <w:rPr>
          <w:rFonts w:ascii="黑体" w:eastAsia="黑体" w:hAnsi="黑体" w:hint="eastAsia"/>
          <w:b w:val="0"/>
        </w:rPr>
      </w:pPr>
      <w:bookmarkStart w:id="18" w:name="_Toc12608"/>
      <w:r>
        <w:rPr>
          <w:rFonts w:ascii="黑体" w:eastAsia="黑体" w:hAnsi="黑体" w:hint="eastAsia"/>
          <w:b w:val="0"/>
        </w:rPr>
        <w:t>部门职责</w:t>
      </w:r>
      <w:bookmarkEnd w:id="18"/>
    </w:p>
    <w:p w14:paraId="475B61E4" w14:textId="77777777" w:rsidR="003753FB" w:rsidRDefault="00000000">
      <w:pPr>
        <w:ind w:firstLineChars="200" w:firstLine="640"/>
      </w:pPr>
      <w:r>
        <w:rPr>
          <w:rFonts w:eastAsia="仿宋_GB2312" w:hint="eastAsia"/>
          <w:sz w:val="32"/>
          <w:szCs w:val="32"/>
        </w:rPr>
        <w:t>我</w:t>
      </w:r>
      <w:r>
        <w:rPr>
          <w:rFonts w:ascii="仿宋_GB2312" w:eastAsia="仿宋_GB2312" w:hAnsi="仿宋_GB2312" w:cs="仿宋_GB2312" w:hint="eastAsia"/>
          <w:sz w:val="32"/>
          <w:szCs w:val="32"/>
        </w:rPr>
        <w:t>团结、服务、引导、教育非公有制</w:t>
      </w:r>
      <w:proofErr w:type="gramStart"/>
      <w:r>
        <w:rPr>
          <w:rFonts w:ascii="仿宋_GB2312" w:eastAsia="仿宋_GB2312" w:hAnsi="仿宋_GB2312" w:cs="仿宋_GB2312" w:hint="eastAsia"/>
          <w:sz w:val="32"/>
          <w:szCs w:val="32"/>
        </w:rPr>
        <w:t>经济人</w:t>
      </w:r>
      <w:proofErr w:type="gramEnd"/>
      <w:r>
        <w:rPr>
          <w:rFonts w:ascii="仿宋_GB2312" w:eastAsia="仿宋_GB2312" w:hAnsi="仿宋_GB2312" w:cs="仿宋_GB2312" w:hint="eastAsia"/>
          <w:sz w:val="32"/>
          <w:szCs w:val="32"/>
        </w:rPr>
        <w:t>士，发挥民主监督作用，积极参政议政。参与政府相关的经济活动，开展民间外交，推动经贸交流和协作，促进经济社会发展。指导本会直属商会工作，为会员提供政策信息、人才交流培训等服务。积极引导非公有制企业及其非公有制</w:t>
      </w:r>
      <w:proofErr w:type="gramStart"/>
      <w:r>
        <w:rPr>
          <w:rFonts w:ascii="仿宋_GB2312" w:eastAsia="仿宋_GB2312" w:hAnsi="仿宋_GB2312" w:cs="仿宋_GB2312" w:hint="eastAsia"/>
          <w:sz w:val="32"/>
          <w:szCs w:val="32"/>
        </w:rPr>
        <w:t>经济人士承担</w:t>
      </w:r>
      <w:proofErr w:type="gramEnd"/>
      <w:r>
        <w:rPr>
          <w:rFonts w:ascii="仿宋_GB2312" w:eastAsia="仿宋_GB2312" w:hAnsi="仿宋_GB2312" w:cs="仿宋_GB2312" w:hint="eastAsia"/>
          <w:sz w:val="32"/>
          <w:szCs w:val="32"/>
        </w:rPr>
        <w:t>社会责任，大力支持慈善公益事业发展，积极投身光彩事业。</w:t>
      </w:r>
    </w:p>
    <w:p w14:paraId="17C754DA" w14:textId="77777777" w:rsidR="003753FB" w:rsidRDefault="00000000">
      <w:pPr>
        <w:pStyle w:val="20"/>
        <w:rPr>
          <w:rStyle w:val="21"/>
        </w:rPr>
      </w:pPr>
      <w:bookmarkStart w:id="19" w:name="_Toc15377200"/>
      <w:bookmarkStart w:id="20" w:name="_Toc15396601"/>
      <w:bookmarkStart w:id="21" w:name="_Toc5597"/>
      <w:r>
        <w:rPr>
          <w:rFonts w:ascii="黑体" w:eastAsia="黑体" w:hint="eastAsia"/>
          <w:b w:val="0"/>
        </w:rPr>
        <w:t>二、</w:t>
      </w:r>
      <w:r>
        <w:rPr>
          <w:rFonts w:ascii="黑体" w:eastAsia="黑体" w:hAnsi="黑体" w:hint="eastAsia"/>
          <w:b w:val="0"/>
        </w:rPr>
        <w:t>机</w:t>
      </w:r>
      <w:r>
        <w:rPr>
          <w:rStyle w:val="21"/>
          <w:rFonts w:ascii="黑体" w:eastAsia="黑体" w:hAnsi="黑体" w:hint="eastAsia"/>
        </w:rPr>
        <w:t>构设置</w:t>
      </w:r>
      <w:bookmarkEnd w:id="19"/>
      <w:bookmarkEnd w:id="20"/>
      <w:bookmarkEnd w:id="21"/>
    </w:p>
    <w:p w14:paraId="550EEDAF" w14:textId="77777777" w:rsidR="003753FB"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红原县工商业联合会（商会）下属二级预算单位0个，其中行政单位0个，参照公务员法管理的事业单位0个，其他事业单位0个。</w:t>
      </w:r>
    </w:p>
    <w:p w14:paraId="38C13F25" w14:textId="77777777" w:rsidR="003753FB"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lang w:val="zh-CN"/>
        </w:rPr>
        <w:t>我</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lang w:val="zh-CN"/>
        </w:rPr>
        <w:t>人事核定行政编制</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lang w:val="zh-CN"/>
        </w:rPr>
        <w:t>人，其中：行政工勤编制1人。是独立核算的机构，是独立编报预算的单位。20</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lang w:val="zh-CN"/>
        </w:rPr>
        <w:t>年年末在职行政人数</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lang w:val="zh-CN"/>
        </w:rPr>
        <w:t>人，其中：行政工勤在职人数1人。事业编制人数</w:t>
      </w:r>
      <w:r>
        <w:rPr>
          <w:rFonts w:ascii="仿宋_GB2312" w:eastAsia="仿宋_GB2312" w:hAnsi="仿宋_GB2312" w:cs="仿宋_GB2312" w:hint="eastAsia"/>
          <w:sz w:val="32"/>
          <w:szCs w:val="32"/>
        </w:rPr>
        <w:t>0人，实有人数5人。</w:t>
      </w:r>
    </w:p>
    <w:p w14:paraId="68A04FD9" w14:textId="77777777" w:rsidR="003753FB" w:rsidRDefault="003753FB">
      <w:pPr>
        <w:pStyle w:val="2"/>
        <w:ind w:left="420"/>
      </w:pPr>
    </w:p>
    <w:p w14:paraId="692416C4" w14:textId="77777777" w:rsidR="003753FB" w:rsidRDefault="00000000">
      <w:pPr>
        <w:widowControl/>
        <w:jc w:val="left"/>
        <w:rPr>
          <w:rFonts w:ascii="仿宋" w:eastAsia="仿宋" w:hAnsi="仿宋" w:hint="eastAsia"/>
          <w:kern w:val="0"/>
          <w:sz w:val="32"/>
          <w:szCs w:val="32"/>
        </w:rPr>
      </w:pPr>
      <w:r>
        <w:rPr>
          <w:rFonts w:ascii="仿宋" w:eastAsia="仿宋" w:hAnsi="仿宋"/>
          <w:sz w:val="32"/>
          <w:szCs w:val="32"/>
        </w:rPr>
        <w:br w:type="page"/>
      </w:r>
    </w:p>
    <w:p w14:paraId="288A3C5D" w14:textId="77777777" w:rsidR="003753FB" w:rsidRDefault="00000000">
      <w:pPr>
        <w:pStyle w:val="1"/>
        <w:ind w:right="440"/>
        <w:jc w:val="center"/>
      </w:pPr>
      <w:bookmarkStart w:id="22" w:name="_Toc15377204"/>
      <w:bookmarkStart w:id="23" w:name="_Toc15396602"/>
      <w:bookmarkStart w:id="24" w:name="_Toc20567"/>
      <w:r>
        <w:rPr>
          <w:rFonts w:ascii="黑体" w:eastAsia="黑体" w:hAnsi="黑体" w:hint="eastAsia"/>
          <w:b w:val="0"/>
        </w:rPr>
        <w:lastRenderedPageBreak/>
        <w:t>第二部分 2024年度</w:t>
      </w:r>
      <w:r>
        <w:rPr>
          <w:rStyle w:val="10"/>
          <w:rFonts w:ascii="黑体" w:eastAsia="黑体" w:hAnsi="黑体" w:hint="eastAsia"/>
          <w:bCs/>
        </w:rPr>
        <w:t>部门决算情况说明</w:t>
      </w:r>
      <w:bookmarkEnd w:id="22"/>
      <w:bookmarkEnd w:id="23"/>
      <w:bookmarkEnd w:id="24"/>
    </w:p>
    <w:p w14:paraId="5A3A897C" w14:textId="77777777" w:rsidR="003753FB" w:rsidRDefault="00000000">
      <w:pPr>
        <w:pStyle w:val="af0"/>
        <w:numPr>
          <w:ilvl w:val="0"/>
          <w:numId w:val="2"/>
        </w:numPr>
        <w:spacing w:line="600" w:lineRule="exact"/>
        <w:ind w:firstLineChars="0"/>
        <w:outlineLvl w:val="1"/>
        <w:rPr>
          <w:rStyle w:val="21"/>
          <w:rFonts w:ascii="黑体" w:eastAsia="黑体" w:hAnsi="黑体" w:hint="eastAsia"/>
          <w:b w:val="0"/>
        </w:rPr>
      </w:pPr>
      <w:bookmarkStart w:id="25" w:name="_Toc4901"/>
      <w:bookmarkStart w:id="26" w:name="_Toc15396603"/>
      <w:bookmarkStart w:id="27" w:name="_Toc15377205"/>
      <w:r>
        <w:rPr>
          <w:rFonts w:ascii="黑体" w:eastAsia="黑体" w:hAnsi="黑体" w:hint="eastAsia"/>
          <w:sz w:val="32"/>
          <w:szCs w:val="32"/>
        </w:rPr>
        <w:t>收</w:t>
      </w:r>
      <w:r>
        <w:rPr>
          <w:rStyle w:val="21"/>
          <w:rFonts w:ascii="黑体" w:eastAsia="黑体" w:hAnsi="黑体" w:hint="eastAsia"/>
          <w:b w:val="0"/>
        </w:rPr>
        <w:t>入支出决算总体情况说明</w:t>
      </w:r>
      <w:bookmarkEnd w:id="25"/>
      <w:bookmarkEnd w:id="26"/>
      <w:bookmarkEnd w:id="27"/>
    </w:p>
    <w:p w14:paraId="12B941C0" w14:textId="77777777" w:rsidR="003753FB" w:rsidRDefault="00000000">
      <w:pPr>
        <w:ind w:firstLineChars="200" w:firstLine="640"/>
        <w:rPr>
          <w:rFonts w:ascii="仿宋_GB2312" w:eastAsia="仿宋_GB2312" w:hAnsi="仿宋_GB2312" w:cs="仿宋_GB2312" w:hint="eastAsia"/>
          <w:sz w:val="32"/>
          <w:szCs w:val="32"/>
          <w:lang w:val="zh-CN"/>
        </w:rPr>
      </w:pPr>
      <w:r>
        <w:rPr>
          <w:rFonts w:ascii="仿宋_GB2312" w:eastAsia="仿宋_GB2312" w:hAnsi="仿宋_GB2312" w:cs="仿宋_GB2312" w:hint="eastAsia"/>
          <w:sz w:val="32"/>
          <w:szCs w:val="32"/>
          <w:lang w:val="zh-CN"/>
        </w:rPr>
        <w:t>202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lang w:val="zh-CN"/>
        </w:rPr>
        <w:t>年度收、支总计均为</w:t>
      </w:r>
      <w:r>
        <w:rPr>
          <w:rFonts w:ascii="仿宋_GB2312" w:eastAsia="仿宋_GB2312" w:hAnsi="仿宋_GB2312" w:cs="仿宋_GB2312" w:hint="eastAsia"/>
          <w:sz w:val="32"/>
          <w:szCs w:val="32"/>
        </w:rPr>
        <w:t>145.62</w:t>
      </w:r>
      <w:r>
        <w:rPr>
          <w:rFonts w:ascii="仿宋_GB2312" w:eastAsia="仿宋_GB2312" w:hAnsi="仿宋_GB2312" w:cs="仿宋_GB2312" w:hint="eastAsia"/>
          <w:sz w:val="32"/>
          <w:szCs w:val="32"/>
          <w:lang w:val="zh-CN"/>
        </w:rPr>
        <w:t>万元。与202</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lang w:val="zh-CN"/>
        </w:rPr>
        <w:t>年度相比，收、支总计各减少</w:t>
      </w:r>
      <w:r>
        <w:rPr>
          <w:rFonts w:ascii="仿宋_GB2312" w:eastAsia="仿宋_GB2312" w:hAnsi="仿宋_GB2312" w:cs="仿宋_GB2312" w:hint="eastAsia"/>
          <w:sz w:val="32"/>
          <w:szCs w:val="32"/>
        </w:rPr>
        <w:t>17.25</w:t>
      </w:r>
      <w:r>
        <w:rPr>
          <w:rFonts w:ascii="仿宋_GB2312" w:eastAsia="仿宋_GB2312" w:hAnsi="仿宋_GB2312" w:cs="仿宋_GB2312" w:hint="eastAsia"/>
          <w:sz w:val="32"/>
          <w:szCs w:val="32"/>
          <w:lang w:val="zh-CN"/>
        </w:rPr>
        <w:t>万元，下降</w:t>
      </w:r>
      <w:r>
        <w:rPr>
          <w:rFonts w:ascii="仿宋_GB2312" w:eastAsia="仿宋_GB2312" w:hAnsi="仿宋_GB2312" w:cs="仿宋_GB2312" w:hint="eastAsia"/>
          <w:sz w:val="32"/>
          <w:szCs w:val="32"/>
        </w:rPr>
        <w:t>10.74</w:t>
      </w:r>
      <w:r>
        <w:rPr>
          <w:rFonts w:ascii="仿宋_GB2312" w:eastAsia="仿宋_GB2312" w:hAnsi="仿宋_GB2312" w:cs="仿宋_GB2312" w:hint="eastAsia"/>
          <w:sz w:val="32"/>
          <w:szCs w:val="32"/>
          <w:lang w:val="zh-CN"/>
        </w:rPr>
        <w:t>%。主要变动原</w:t>
      </w:r>
      <w:r>
        <w:rPr>
          <w:rFonts w:ascii="仿宋_GB2312" w:eastAsia="仿宋_GB2312" w:hAnsi="仿宋_GB2312" w:cs="仿宋_GB2312" w:hint="eastAsia"/>
          <w:sz w:val="32"/>
          <w:szCs w:val="32"/>
        </w:rPr>
        <w:t>是人员经费、公用经费减少</w:t>
      </w:r>
      <w:r>
        <w:rPr>
          <w:rFonts w:ascii="仿宋_GB2312" w:eastAsia="仿宋_GB2312" w:hAnsi="仿宋_GB2312" w:cs="仿宋_GB2312" w:hint="eastAsia"/>
          <w:sz w:val="32"/>
          <w:szCs w:val="32"/>
          <w:lang w:val="zh-CN"/>
        </w:rPr>
        <w:t>。</w:t>
      </w:r>
    </w:p>
    <w:p w14:paraId="681C2536" w14:textId="77777777" w:rsidR="003753FB" w:rsidRDefault="00000000">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w:t>
      </w:r>
      <w:r>
        <w:rPr>
          <w:rFonts w:ascii="仿宋" w:eastAsia="仿宋" w:hAnsi="仿宋"/>
          <w:sz w:val="32"/>
          <w:szCs w:val="32"/>
        </w:rPr>
        <w:t>1</w:t>
      </w:r>
      <w:r>
        <w:rPr>
          <w:rFonts w:ascii="仿宋" w:eastAsia="仿宋" w:hAnsi="仿宋" w:hint="eastAsia"/>
          <w:sz w:val="32"/>
          <w:szCs w:val="32"/>
        </w:rPr>
        <w:t>：收、支决算总计变动情况图）（柱状图）</w:t>
      </w:r>
    </w:p>
    <w:p w14:paraId="1ACC66E1" w14:textId="77777777" w:rsidR="003753FB" w:rsidRDefault="00000000">
      <w:pPr>
        <w:pStyle w:val="5"/>
        <w:outlineLvl w:val="9"/>
        <w:rPr>
          <w:rFonts w:ascii="仿宋_GB2312" w:eastAsia="仿宋_GB2312"/>
          <w:sz w:val="32"/>
          <w:szCs w:val="32"/>
        </w:rPr>
      </w:pPr>
      <w:r>
        <w:rPr>
          <w:rFonts w:eastAsia="仿宋" w:hint="eastAsia"/>
          <w:noProof/>
        </w:rPr>
        <w:drawing>
          <wp:inline distT="0" distB="0" distL="114300" distR="114300" wp14:anchorId="1EC5D79D" wp14:editId="26ED5357">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E938C8C" w14:textId="77777777" w:rsidR="003753FB" w:rsidRDefault="00000000">
      <w:pPr>
        <w:pStyle w:val="af0"/>
        <w:numPr>
          <w:ilvl w:val="0"/>
          <w:numId w:val="2"/>
        </w:numPr>
        <w:spacing w:line="600" w:lineRule="exact"/>
        <w:ind w:firstLineChars="0"/>
        <w:outlineLvl w:val="1"/>
        <w:rPr>
          <w:rStyle w:val="21"/>
          <w:rFonts w:ascii="黑体" w:eastAsia="黑体" w:hAnsi="黑体" w:hint="eastAsia"/>
          <w:b w:val="0"/>
        </w:rPr>
      </w:pPr>
      <w:bookmarkStart w:id="28" w:name="_Toc15396604"/>
      <w:bookmarkStart w:id="29" w:name="_Toc15377206"/>
      <w:bookmarkStart w:id="30" w:name="_Toc12917"/>
      <w:r>
        <w:rPr>
          <w:rFonts w:ascii="黑体" w:eastAsia="黑体" w:hAnsi="黑体" w:hint="eastAsia"/>
          <w:sz w:val="32"/>
          <w:szCs w:val="32"/>
        </w:rPr>
        <w:t>收</w:t>
      </w:r>
      <w:r>
        <w:rPr>
          <w:rStyle w:val="21"/>
          <w:rFonts w:ascii="黑体" w:eastAsia="黑体" w:hAnsi="黑体" w:hint="eastAsia"/>
          <w:b w:val="0"/>
        </w:rPr>
        <w:t>入决算情况说明</w:t>
      </w:r>
      <w:bookmarkEnd w:id="28"/>
      <w:bookmarkEnd w:id="29"/>
      <w:bookmarkEnd w:id="30"/>
    </w:p>
    <w:p w14:paraId="6D83A349" w14:textId="77777777" w:rsidR="003753FB" w:rsidRDefault="00000000">
      <w:pPr>
        <w:ind w:firstLineChars="200" w:firstLine="640"/>
        <w:rPr>
          <w:rFonts w:ascii="仿宋_GB2312" w:eastAsia="仿宋_GB2312" w:hAnsi="仿宋_GB2312" w:cs="仿宋_GB2312" w:hint="eastAsia"/>
          <w:sz w:val="32"/>
          <w:szCs w:val="32"/>
          <w:lang w:val="zh-CN"/>
        </w:rPr>
      </w:pPr>
      <w:bookmarkStart w:id="31" w:name="_Toc8714"/>
      <w:r>
        <w:rPr>
          <w:rFonts w:ascii="仿宋_GB2312" w:eastAsia="仿宋_GB2312" w:hAnsi="仿宋_GB2312" w:cs="仿宋_GB2312" w:hint="eastAsia"/>
          <w:sz w:val="32"/>
          <w:szCs w:val="32"/>
          <w:lang w:val="zh-CN"/>
        </w:rPr>
        <w:t>202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lang w:val="zh-CN"/>
        </w:rPr>
        <w:t>年度本年收入合计</w:t>
      </w:r>
      <w:r>
        <w:rPr>
          <w:rFonts w:ascii="仿宋_GB2312" w:eastAsia="仿宋_GB2312" w:hAnsi="仿宋_GB2312" w:cs="仿宋_GB2312" w:hint="eastAsia"/>
          <w:sz w:val="32"/>
          <w:szCs w:val="32"/>
        </w:rPr>
        <w:t>145.62</w:t>
      </w:r>
      <w:r>
        <w:rPr>
          <w:rFonts w:ascii="仿宋_GB2312" w:eastAsia="仿宋_GB2312" w:hAnsi="仿宋_GB2312" w:cs="仿宋_GB2312" w:hint="eastAsia"/>
          <w:sz w:val="32"/>
          <w:szCs w:val="32"/>
          <w:lang w:val="zh-CN"/>
        </w:rPr>
        <w:t>万元，其中：一般公共预算财政拨款收入</w:t>
      </w:r>
      <w:r>
        <w:rPr>
          <w:rFonts w:ascii="仿宋_GB2312" w:eastAsia="仿宋_GB2312" w:hAnsi="仿宋_GB2312" w:cs="仿宋_GB2312" w:hint="eastAsia"/>
          <w:sz w:val="32"/>
          <w:szCs w:val="32"/>
        </w:rPr>
        <w:t>145.62</w:t>
      </w:r>
      <w:r>
        <w:rPr>
          <w:rFonts w:ascii="仿宋_GB2312" w:eastAsia="仿宋_GB2312" w:hAnsi="仿宋_GB2312" w:cs="仿宋_GB2312" w:hint="eastAsia"/>
          <w:sz w:val="32"/>
          <w:szCs w:val="32"/>
          <w:lang w:val="zh-CN"/>
        </w:rPr>
        <w:t>万元，占100%；政府性基金预算财政拨款收入0万元，占0%；国有资本经营预算财政拨款收入0万元，占0%；上级补助收入0万元，占0%；事业收入0</w:t>
      </w:r>
      <w:r>
        <w:rPr>
          <w:rFonts w:ascii="仿宋_GB2312" w:eastAsia="仿宋_GB2312" w:hAnsi="仿宋_GB2312" w:cs="仿宋_GB2312" w:hint="eastAsia"/>
          <w:sz w:val="32"/>
          <w:szCs w:val="32"/>
          <w:lang w:val="zh-CN"/>
        </w:rPr>
        <w:lastRenderedPageBreak/>
        <w:t>万元，占0%；经营收入0万元，占0%；附属单位上缴收入0万元，占0%；其他收入0万元，占0%。</w:t>
      </w:r>
      <w:bookmarkEnd w:id="31"/>
    </w:p>
    <w:p w14:paraId="6E1C0BD9" w14:textId="77777777" w:rsidR="003753FB" w:rsidRDefault="00000000">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（图2：收入决算结构图）（饼状图）</w:t>
      </w:r>
    </w:p>
    <w:p w14:paraId="44FF6610" w14:textId="77777777" w:rsidR="003753FB" w:rsidRDefault="00000000">
      <w:pPr>
        <w:pStyle w:val="5"/>
        <w:outlineLvl w:val="9"/>
        <w:rPr>
          <w:rFonts w:eastAsia="仿宋"/>
        </w:rPr>
      </w:pPr>
      <w:r>
        <w:rPr>
          <w:rFonts w:eastAsia="仿宋" w:hint="eastAsia"/>
          <w:noProof/>
        </w:rPr>
        <w:drawing>
          <wp:inline distT="0" distB="0" distL="114300" distR="114300" wp14:anchorId="79A2F802" wp14:editId="7C1168E6">
            <wp:extent cx="2750820" cy="3437255"/>
            <wp:effectExtent l="4445" t="4445" r="6985" b="635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4FB52C0" w14:textId="77777777" w:rsidR="003753FB" w:rsidRDefault="003753FB">
      <w:pPr>
        <w:spacing w:line="600" w:lineRule="exact"/>
        <w:ind w:firstLineChars="200" w:firstLine="640"/>
        <w:rPr>
          <w:rFonts w:ascii="仿宋_GB2312" w:eastAsia="仿宋_GB2312"/>
          <w:sz w:val="32"/>
          <w:szCs w:val="32"/>
        </w:rPr>
      </w:pPr>
    </w:p>
    <w:p w14:paraId="08A2488D" w14:textId="77777777" w:rsidR="003753FB" w:rsidRDefault="00000000">
      <w:pPr>
        <w:pStyle w:val="af0"/>
        <w:numPr>
          <w:ilvl w:val="0"/>
          <w:numId w:val="2"/>
        </w:numPr>
        <w:spacing w:line="600" w:lineRule="exact"/>
        <w:ind w:firstLineChars="0"/>
        <w:outlineLvl w:val="1"/>
        <w:rPr>
          <w:rStyle w:val="21"/>
          <w:rFonts w:ascii="黑体" w:eastAsia="黑体" w:hAnsi="黑体" w:hint="eastAsia"/>
          <w:b w:val="0"/>
        </w:rPr>
      </w:pPr>
      <w:bookmarkStart w:id="32" w:name="_Toc15377207"/>
      <w:bookmarkStart w:id="33" w:name="_Toc15396605"/>
      <w:bookmarkStart w:id="34" w:name="_Toc7345"/>
      <w:r>
        <w:rPr>
          <w:rFonts w:ascii="黑体" w:eastAsia="黑体" w:hAnsi="黑体" w:hint="eastAsia"/>
          <w:sz w:val="32"/>
          <w:szCs w:val="32"/>
        </w:rPr>
        <w:t>支</w:t>
      </w:r>
      <w:r>
        <w:rPr>
          <w:rStyle w:val="21"/>
          <w:rFonts w:ascii="黑体" w:eastAsia="黑体" w:hAnsi="黑体" w:hint="eastAsia"/>
          <w:b w:val="0"/>
        </w:rPr>
        <w:t>出决算情况说明</w:t>
      </w:r>
      <w:bookmarkEnd w:id="32"/>
      <w:bookmarkEnd w:id="33"/>
      <w:bookmarkEnd w:id="34"/>
    </w:p>
    <w:p w14:paraId="54C5F08F" w14:textId="77777777" w:rsidR="003753FB" w:rsidRDefault="00000000">
      <w:pPr>
        <w:ind w:firstLineChars="200" w:firstLine="640"/>
        <w:rPr>
          <w:rFonts w:ascii="仿宋_GB2312" w:eastAsia="仿宋_GB2312" w:hAnsi="仿宋_GB2312" w:cs="仿宋_GB2312" w:hint="eastAsia"/>
          <w:sz w:val="32"/>
          <w:szCs w:val="32"/>
          <w:lang w:val="zh-CN"/>
        </w:rPr>
      </w:pPr>
      <w:bookmarkStart w:id="35" w:name="_Toc31421"/>
      <w:r>
        <w:rPr>
          <w:rFonts w:ascii="仿宋_GB2312" w:eastAsia="仿宋_GB2312" w:hAnsi="仿宋_GB2312" w:cs="仿宋_GB2312" w:hint="eastAsia"/>
          <w:sz w:val="32"/>
          <w:szCs w:val="32"/>
          <w:lang w:val="zh-CN"/>
        </w:rPr>
        <w:t>202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lang w:val="zh-CN"/>
        </w:rPr>
        <w:t>年度本年支出合计</w:t>
      </w:r>
      <w:r>
        <w:rPr>
          <w:rFonts w:ascii="仿宋_GB2312" w:eastAsia="仿宋_GB2312" w:hAnsi="仿宋_GB2312" w:cs="仿宋_GB2312" w:hint="eastAsia"/>
          <w:sz w:val="32"/>
          <w:szCs w:val="32"/>
        </w:rPr>
        <w:t>145.62</w:t>
      </w:r>
      <w:r>
        <w:rPr>
          <w:rFonts w:ascii="仿宋_GB2312" w:eastAsia="仿宋_GB2312" w:hAnsi="仿宋_GB2312" w:cs="仿宋_GB2312" w:hint="eastAsia"/>
          <w:sz w:val="32"/>
          <w:szCs w:val="32"/>
          <w:lang w:val="zh-CN"/>
        </w:rPr>
        <w:t>万元，其中：基本支出</w:t>
      </w:r>
      <w:r>
        <w:rPr>
          <w:rFonts w:ascii="仿宋_GB2312" w:eastAsia="仿宋_GB2312" w:hAnsi="仿宋_GB2312" w:cs="仿宋_GB2312" w:hint="eastAsia"/>
          <w:sz w:val="32"/>
          <w:szCs w:val="32"/>
        </w:rPr>
        <w:t>140.84</w:t>
      </w:r>
      <w:r>
        <w:rPr>
          <w:rFonts w:ascii="仿宋_GB2312" w:eastAsia="仿宋_GB2312" w:hAnsi="仿宋_GB2312" w:cs="仿宋_GB2312" w:hint="eastAsia"/>
          <w:sz w:val="32"/>
          <w:szCs w:val="32"/>
          <w:lang w:val="zh-CN"/>
        </w:rPr>
        <w:t>万元，占</w:t>
      </w:r>
      <w:r>
        <w:rPr>
          <w:rFonts w:ascii="仿宋_GB2312" w:eastAsia="仿宋_GB2312" w:hAnsi="仿宋_GB2312" w:cs="仿宋_GB2312" w:hint="eastAsia"/>
          <w:sz w:val="32"/>
          <w:szCs w:val="32"/>
        </w:rPr>
        <w:t>96.72%</w:t>
      </w:r>
      <w:r>
        <w:rPr>
          <w:rFonts w:ascii="仿宋_GB2312" w:eastAsia="仿宋_GB2312" w:hAnsi="仿宋_GB2312" w:cs="仿宋_GB2312" w:hint="eastAsia"/>
          <w:sz w:val="32"/>
          <w:szCs w:val="32"/>
          <w:lang w:val="zh-CN"/>
        </w:rPr>
        <w:t>；项目支出</w:t>
      </w:r>
      <w:r>
        <w:rPr>
          <w:rFonts w:ascii="仿宋_GB2312" w:eastAsia="仿宋_GB2312" w:hAnsi="仿宋_GB2312" w:cs="仿宋_GB2312" w:hint="eastAsia"/>
          <w:sz w:val="32"/>
          <w:szCs w:val="32"/>
        </w:rPr>
        <w:t>4.79</w:t>
      </w:r>
      <w:r>
        <w:rPr>
          <w:rFonts w:ascii="仿宋_GB2312" w:eastAsia="仿宋_GB2312" w:hAnsi="仿宋_GB2312" w:cs="仿宋_GB2312" w:hint="eastAsia"/>
          <w:sz w:val="32"/>
          <w:szCs w:val="32"/>
          <w:lang w:val="zh-CN"/>
        </w:rPr>
        <w:t>万元，占</w:t>
      </w:r>
      <w:r>
        <w:rPr>
          <w:rFonts w:ascii="仿宋_GB2312" w:eastAsia="仿宋_GB2312" w:hAnsi="仿宋_GB2312" w:cs="仿宋_GB2312" w:hint="eastAsia"/>
          <w:sz w:val="32"/>
          <w:szCs w:val="32"/>
        </w:rPr>
        <w:t>3.28</w:t>
      </w:r>
      <w:r>
        <w:rPr>
          <w:rFonts w:ascii="仿宋_GB2312" w:eastAsia="仿宋_GB2312" w:hAnsi="仿宋_GB2312" w:cs="仿宋_GB2312" w:hint="eastAsia"/>
          <w:sz w:val="32"/>
          <w:szCs w:val="32"/>
          <w:lang w:val="zh-CN"/>
        </w:rPr>
        <w:t>%；上缴上级支出0万元，占0%；经营支出0万元，占0%；对附属单位补助支出0万元，占0%。</w:t>
      </w:r>
      <w:bookmarkEnd w:id="35"/>
    </w:p>
    <w:p w14:paraId="48AA85A6" w14:textId="77777777" w:rsidR="003753FB" w:rsidRDefault="00000000">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（图3：支出决算结构图）（饼状图）</w:t>
      </w:r>
    </w:p>
    <w:p w14:paraId="50D61A21" w14:textId="77777777" w:rsidR="003753FB" w:rsidRDefault="00000000">
      <w:pPr>
        <w:pStyle w:val="5"/>
        <w:outlineLvl w:val="9"/>
        <w:rPr>
          <w:rFonts w:ascii="仿宋_GB2312" w:eastAsia="仿宋_GB2312"/>
          <w:sz w:val="32"/>
          <w:szCs w:val="32"/>
        </w:rPr>
      </w:pPr>
      <w:r>
        <w:rPr>
          <w:rFonts w:eastAsia="仿宋" w:hint="eastAsia"/>
          <w:noProof/>
        </w:rPr>
        <w:lastRenderedPageBreak/>
        <w:drawing>
          <wp:inline distT="0" distB="0" distL="114300" distR="114300" wp14:anchorId="42F22947" wp14:editId="5F266E05">
            <wp:extent cx="2948305" cy="3100070"/>
            <wp:effectExtent l="5080" t="4445" r="18415" b="1968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0B54240" w14:textId="77777777" w:rsidR="003753FB" w:rsidRDefault="00000000">
      <w:pPr>
        <w:spacing w:line="600" w:lineRule="exact"/>
        <w:ind w:firstLineChars="200" w:firstLine="640"/>
        <w:outlineLvl w:val="1"/>
        <w:rPr>
          <w:rStyle w:val="21"/>
          <w:rFonts w:ascii="黑体" w:eastAsia="黑体" w:hAnsi="黑体" w:hint="eastAsia"/>
          <w:b w:val="0"/>
        </w:rPr>
      </w:pPr>
      <w:bookmarkStart w:id="36" w:name="_Toc15396606"/>
      <w:bookmarkStart w:id="37" w:name="_Toc15377208"/>
      <w:bookmarkStart w:id="38" w:name="_Toc14338"/>
      <w:r>
        <w:rPr>
          <w:rFonts w:ascii="黑体" w:eastAsia="黑体" w:hAnsi="黑体" w:hint="eastAsia"/>
          <w:sz w:val="32"/>
          <w:szCs w:val="32"/>
        </w:rPr>
        <w:t>四、财</w:t>
      </w:r>
      <w:r>
        <w:rPr>
          <w:rStyle w:val="21"/>
          <w:rFonts w:ascii="黑体" w:eastAsia="黑体" w:hAnsi="黑体" w:hint="eastAsia"/>
          <w:b w:val="0"/>
        </w:rPr>
        <w:t>政拨款收入支出决算总体情况说明</w:t>
      </w:r>
      <w:bookmarkEnd w:id="36"/>
      <w:bookmarkEnd w:id="37"/>
      <w:bookmarkEnd w:id="38"/>
    </w:p>
    <w:p w14:paraId="04BB5810" w14:textId="77777777" w:rsidR="003753FB" w:rsidRDefault="00000000">
      <w:pPr>
        <w:spacing w:line="600" w:lineRule="exact"/>
        <w:ind w:firstLine="640"/>
        <w:rPr>
          <w:rFonts w:ascii="仿宋" w:eastAsia="仿宋" w:hAnsi="仿宋" w:hint="eastAsia"/>
          <w:sz w:val="32"/>
          <w:szCs w:val="32"/>
        </w:rPr>
      </w:pPr>
      <w:r>
        <w:rPr>
          <w:rFonts w:ascii="仿宋" w:eastAsia="仿宋" w:hAnsi="仿宋" w:hint="eastAsia"/>
          <w:sz w:val="32"/>
          <w:szCs w:val="32"/>
        </w:rPr>
        <w:t>2024年度财政拨款收、支总计均为145.62万元。与2023年度相比，财政拨款收、支总计各减少17.25万元，下降10.7</w:t>
      </w:r>
      <w:r>
        <w:rPr>
          <w:rFonts w:ascii="仿宋" w:eastAsia="仿宋" w:hAnsi="仿宋"/>
          <w:sz w:val="32"/>
          <w:szCs w:val="32"/>
        </w:rPr>
        <w:t>%</w:t>
      </w:r>
      <w:r>
        <w:rPr>
          <w:rFonts w:ascii="仿宋" w:eastAsia="仿宋" w:hAnsi="仿宋" w:hint="eastAsia"/>
          <w:sz w:val="32"/>
          <w:szCs w:val="32"/>
        </w:rPr>
        <w:t>。主要变动原因是人员经费，公用经费少</w:t>
      </w:r>
    </w:p>
    <w:p w14:paraId="222E03E1" w14:textId="77777777" w:rsidR="003753FB" w:rsidRDefault="00000000">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（图4：财政拨款收、支决算总计变动情况）（柱状图）</w:t>
      </w:r>
    </w:p>
    <w:p w14:paraId="5A578CB4" w14:textId="77777777" w:rsidR="003753FB" w:rsidRDefault="00000000">
      <w:pPr>
        <w:pStyle w:val="5"/>
        <w:outlineLvl w:val="9"/>
        <w:rPr>
          <w:rFonts w:eastAsia="仿宋"/>
        </w:rPr>
      </w:pPr>
      <w:r>
        <w:rPr>
          <w:rFonts w:eastAsia="仿宋" w:hint="eastAsia"/>
          <w:noProof/>
        </w:rPr>
        <w:drawing>
          <wp:inline distT="0" distB="0" distL="114300" distR="114300" wp14:anchorId="60579EDD" wp14:editId="1C767774">
            <wp:extent cx="3256915" cy="2924175"/>
            <wp:effectExtent l="4445" t="4445" r="15240"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BBDB78B" w14:textId="77777777" w:rsidR="003753FB" w:rsidRDefault="003753FB">
      <w:pPr>
        <w:spacing w:line="600" w:lineRule="exact"/>
        <w:ind w:firstLine="640"/>
        <w:rPr>
          <w:rFonts w:ascii="仿宋" w:eastAsia="仿宋" w:hAnsi="仿宋" w:hint="eastAsia"/>
          <w:b/>
          <w:sz w:val="32"/>
          <w:szCs w:val="32"/>
        </w:rPr>
      </w:pPr>
    </w:p>
    <w:p w14:paraId="68374DC0" w14:textId="77777777" w:rsidR="003753FB" w:rsidRDefault="00000000">
      <w:pPr>
        <w:spacing w:line="600" w:lineRule="exact"/>
        <w:ind w:firstLineChars="200" w:firstLine="640"/>
        <w:outlineLvl w:val="1"/>
        <w:rPr>
          <w:rStyle w:val="21"/>
          <w:rFonts w:ascii="黑体" w:eastAsia="黑体" w:hAnsi="黑体" w:hint="eastAsia"/>
          <w:b w:val="0"/>
        </w:rPr>
      </w:pPr>
      <w:bookmarkStart w:id="39" w:name="_Toc15377209"/>
      <w:bookmarkStart w:id="40" w:name="_Toc30113"/>
      <w:bookmarkStart w:id="41" w:name="_Toc15396607"/>
      <w:r>
        <w:rPr>
          <w:rFonts w:ascii="黑体" w:eastAsia="黑体" w:hAnsi="黑体" w:hint="eastAsia"/>
          <w:sz w:val="32"/>
          <w:szCs w:val="32"/>
        </w:rPr>
        <w:lastRenderedPageBreak/>
        <w:t>五、</w:t>
      </w:r>
      <w:r>
        <w:rPr>
          <w:rFonts w:ascii="黑体" w:eastAsia="黑体" w:hAnsi="黑体" w:hint="eastAsia"/>
          <w:b/>
          <w:sz w:val="32"/>
          <w:szCs w:val="32"/>
        </w:rPr>
        <w:t>一</w:t>
      </w:r>
      <w:r>
        <w:rPr>
          <w:rStyle w:val="21"/>
          <w:rFonts w:ascii="黑体" w:eastAsia="黑体" w:hAnsi="黑体" w:hint="eastAsia"/>
          <w:b w:val="0"/>
        </w:rPr>
        <w:t>般公共预算财政拨款支出决算情况说明</w:t>
      </w:r>
      <w:bookmarkEnd w:id="39"/>
      <w:bookmarkEnd w:id="40"/>
      <w:bookmarkEnd w:id="41"/>
    </w:p>
    <w:p w14:paraId="2CAE9B23" w14:textId="77777777" w:rsidR="003753FB" w:rsidRDefault="00000000">
      <w:pPr>
        <w:spacing w:line="600" w:lineRule="exact"/>
        <w:ind w:firstLineChars="200" w:firstLine="643"/>
        <w:outlineLvl w:val="2"/>
        <w:rPr>
          <w:rFonts w:ascii="仿宋" w:eastAsia="仿宋" w:hAnsi="仿宋" w:hint="eastAsia"/>
          <w:b/>
          <w:sz w:val="32"/>
          <w:szCs w:val="32"/>
        </w:rPr>
      </w:pPr>
      <w:bookmarkStart w:id="42" w:name="_Toc15377210"/>
      <w:bookmarkStart w:id="43" w:name="_Toc10601"/>
      <w:r>
        <w:rPr>
          <w:rFonts w:ascii="仿宋" w:eastAsia="仿宋" w:hAnsi="仿宋" w:hint="eastAsia"/>
          <w:b/>
          <w:sz w:val="32"/>
          <w:szCs w:val="32"/>
        </w:rPr>
        <w:t>（一）一般公共预算财政拨款支出决算总体情况</w:t>
      </w:r>
      <w:bookmarkEnd w:id="42"/>
      <w:bookmarkEnd w:id="43"/>
    </w:p>
    <w:p w14:paraId="41826621" w14:textId="77777777" w:rsidR="003753FB" w:rsidRDefault="00000000">
      <w:pPr>
        <w:spacing w:line="600" w:lineRule="exact"/>
        <w:ind w:firstLine="640"/>
        <w:rPr>
          <w:rFonts w:ascii="仿宋" w:eastAsia="仿宋" w:hAnsi="仿宋" w:hint="eastAsia"/>
          <w:sz w:val="32"/>
          <w:szCs w:val="32"/>
        </w:rPr>
      </w:pPr>
      <w:r>
        <w:rPr>
          <w:rFonts w:ascii="仿宋" w:eastAsia="仿宋" w:hAnsi="仿宋" w:hint="eastAsia"/>
          <w:sz w:val="32"/>
          <w:szCs w:val="32"/>
        </w:rPr>
        <w:t>2024年度一般公共预算财政拨款支出145.62万元，占本年支出合计的100%。与2023年度相比，一般公共预算财政拨款支出减少17.25万元，下降10.7%。主要变动原因是人员经费，公用经费少。</w:t>
      </w:r>
    </w:p>
    <w:p w14:paraId="4294E6B7" w14:textId="77777777" w:rsidR="003753FB" w:rsidRDefault="00000000">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（图5：一般公共预算财政拨款支出决算变动情况）（柱状图）</w:t>
      </w:r>
    </w:p>
    <w:p w14:paraId="6563D571" w14:textId="77777777" w:rsidR="003753FB" w:rsidRDefault="00000000">
      <w:pPr>
        <w:pStyle w:val="5"/>
        <w:outlineLvl w:val="9"/>
        <w:rPr>
          <w:rFonts w:ascii="仿宋" w:eastAsia="仿宋" w:hAnsi="仿宋" w:hint="eastAsia"/>
          <w:sz w:val="32"/>
          <w:szCs w:val="32"/>
        </w:rPr>
      </w:pPr>
      <w:r>
        <w:rPr>
          <w:rFonts w:eastAsia="仿宋" w:hint="eastAsia"/>
          <w:noProof/>
        </w:rPr>
        <w:drawing>
          <wp:inline distT="0" distB="0" distL="114300" distR="114300" wp14:anchorId="07D15797" wp14:editId="0519E30C">
            <wp:extent cx="3058160" cy="2769870"/>
            <wp:effectExtent l="4445" t="4445" r="23495" b="698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2003D85" w14:textId="77777777" w:rsidR="003753FB" w:rsidRDefault="00000000">
      <w:pPr>
        <w:spacing w:line="600" w:lineRule="exact"/>
        <w:ind w:firstLineChars="200" w:firstLine="643"/>
        <w:outlineLvl w:val="2"/>
        <w:rPr>
          <w:rFonts w:ascii="仿宋" w:eastAsia="仿宋" w:hAnsi="仿宋" w:hint="eastAsia"/>
          <w:b/>
          <w:sz w:val="32"/>
          <w:szCs w:val="32"/>
        </w:rPr>
      </w:pPr>
      <w:bookmarkStart w:id="44" w:name="_Toc8532"/>
      <w:bookmarkStart w:id="45" w:name="_Toc15377211"/>
      <w:r>
        <w:rPr>
          <w:rFonts w:ascii="仿宋" w:eastAsia="仿宋" w:hAnsi="仿宋" w:hint="eastAsia"/>
          <w:b/>
          <w:sz w:val="32"/>
          <w:szCs w:val="32"/>
        </w:rPr>
        <w:t>（二）一般公共预算财政拨款支出决算结构情况</w:t>
      </w:r>
      <w:bookmarkEnd w:id="44"/>
      <w:bookmarkEnd w:id="45"/>
    </w:p>
    <w:p w14:paraId="1E44FF9E" w14:textId="77777777" w:rsidR="003753FB" w:rsidRDefault="00000000">
      <w:pPr>
        <w:spacing w:line="600" w:lineRule="exact"/>
        <w:ind w:firstLine="640"/>
        <w:rPr>
          <w:rFonts w:ascii="仿宋" w:eastAsia="仿宋" w:hAnsi="仿宋" w:hint="eastAsia"/>
          <w:sz w:val="32"/>
          <w:szCs w:val="32"/>
        </w:rPr>
      </w:pPr>
      <w:r>
        <w:rPr>
          <w:rFonts w:ascii="仿宋" w:eastAsia="仿宋" w:hAnsi="仿宋" w:hint="eastAsia"/>
          <w:sz w:val="32"/>
          <w:szCs w:val="32"/>
        </w:rPr>
        <w:t>2024年度一般公共预算财政拨款支出145.62万元，主要用于以下方面:一般公共服务支出106.55万元，占73.18%；教育支出0万元，占0%；科学技术支出0万元，占0%；文化旅游体育与传媒支出0万元，占0%；社会保障和就业支出20.80万元，占14.28%；卫生健康支出8.03万元，占5.51%；</w:t>
      </w:r>
    </w:p>
    <w:p w14:paraId="580F243E" w14:textId="77777777" w:rsidR="003753FB" w:rsidRDefault="00000000">
      <w:pPr>
        <w:spacing w:line="600" w:lineRule="exact"/>
        <w:ind w:firstLine="640"/>
        <w:rPr>
          <w:rFonts w:ascii="仿宋" w:eastAsia="仿宋" w:hAnsi="仿宋" w:hint="eastAsia"/>
          <w:sz w:val="32"/>
          <w:szCs w:val="32"/>
        </w:rPr>
      </w:pPr>
      <w:r>
        <w:rPr>
          <w:rFonts w:ascii="仿宋" w:eastAsia="仿宋" w:hAnsi="仿宋" w:hint="eastAsia"/>
          <w:sz w:val="32"/>
          <w:szCs w:val="32"/>
        </w:rPr>
        <w:lastRenderedPageBreak/>
        <w:t>住房保障支出10.24万元，占7.03%。</w:t>
      </w:r>
    </w:p>
    <w:p w14:paraId="57EE422D" w14:textId="77777777" w:rsidR="003753FB" w:rsidRDefault="00000000">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（图6：一般公共预算财政拨款支出决算结构）（饼状图）</w:t>
      </w:r>
    </w:p>
    <w:p w14:paraId="6A6DA883" w14:textId="77777777" w:rsidR="003753FB" w:rsidRDefault="00000000">
      <w:pPr>
        <w:pStyle w:val="5"/>
        <w:outlineLvl w:val="9"/>
        <w:rPr>
          <w:rFonts w:ascii="仿宋" w:eastAsia="仿宋" w:hAnsi="仿宋" w:hint="eastAsia"/>
          <w:sz w:val="32"/>
          <w:szCs w:val="32"/>
        </w:rPr>
      </w:pPr>
      <w:r>
        <w:rPr>
          <w:rFonts w:eastAsia="仿宋" w:hint="eastAsia"/>
          <w:noProof/>
        </w:rPr>
        <w:drawing>
          <wp:inline distT="0" distB="0" distL="114300" distR="114300" wp14:anchorId="4D27F6C2" wp14:editId="1132618C">
            <wp:extent cx="2531110" cy="2689225"/>
            <wp:effectExtent l="4445" t="4445" r="17145" b="1143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BE6A693" w14:textId="77777777" w:rsidR="003753FB" w:rsidRDefault="00000000">
      <w:pPr>
        <w:spacing w:line="600" w:lineRule="exact"/>
        <w:ind w:firstLineChars="200" w:firstLine="643"/>
        <w:outlineLvl w:val="2"/>
        <w:rPr>
          <w:rFonts w:ascii="仿宋" w:eastAsia="仿宋" w:hAnsi="仿宋" w:hint="eastAsia"/>
          <w:b/>
          <w:sz w:val="32"/>
          <w:szCs w:val="32"/>
        </w:rPr>
      </w:pPr>
      <w:bookmarkStart w:id="46" w:name="_Toc13372"/>
      <w:bookmarkStart w:id="47" w:name="_Toc15377212"/>
      <w:r>
        <w:rPr>
          <w:rFonts w:ascii="仿宋" w:eastAsia="仿宋" w:hAnsi="仿宋" w:hint="eastAsia"/>
          <w:b/>
          <w:sz w:val="32"/>
          <w:szCs w:val="32"/>
        </w:rPr>
        <w:t>（三）一般公共预算财政拨款支出决算具体情况</w:t>
      </w:r>
      <w:bookmarkEnd w:id="46"/>
      <w:bookmarkEnd w:id="47"/>
    </w:p>
    <w:p w14:paraId="2A9107FB" w14:textId="77777777" w:rsidR="003753FB" w:rsidRDefault="00000000">
      <w:pPr>
        <w:spacing w:line="600" w:lineRule="exact"/>
        <w:ind w:firstLineChars="200" w:firstLine="643"/>
        <w:outlineLvl w:val="2"/>
        <w:rPr>
          <w:rFonts w:ascii="仿宋" w:eastAsia="仿宋" w:hAnsi="仿宋" w:hint="eastAsia"/>
          <w:sz w:val="32"/>
          <w:szCs w:val="32"/>
        </w:rPr>
      </w:pPr>
      <w:bookmarkStart w:id="48" w:name="_Toc15377444"/>
      <w:bookmarkStart w:id="49" w:name="_Toc11833"/>
      <w:bookmarkStart w:id="50" w:name="_Toc15378460"/>
      <w:bookmarkStart w:id="51" w:name="_Toc15377213"/>
      <w:r>
        <w:rPr>
          <w:rFonts w:ascii="仿宋" w:eastAsia="仿宋" w:hAnsi="仿宋" w:hint="eastAsia"/>
          <w:b/>
          <w:sz w:val="32"/>
          <w:szCs w:val="32"/>
        </w:rPr>
        <w:t>2024年度一般公共预算支出决算数为</w:t>
      </w:r>
      <w:r>
        <w:rPr>
          <w:rFonts w:eastAsia="仿宋" w:hint="eastAsia"/>
          <w:sz w:val="32"/>
          <w:szCs w:val="32"/>
        </w:rPr>
        <w:t>145.62</w:t>
      </w:r>
      <w:r>
        <w:rPr>
          <w:rFonts w:ascii="仿宋" w:eastAsia="仿宋" w:hAnsi="仿宋" w:hint="eastAsia"/>
          <w:sz w:val="32"/>
          <w:szCs w:val="32"/>
        </w:rPr>
        <w:t>，</w:t>
      </w:r>
      <w:r>
        <w:rPr>
          <w:rStyle w:val="ae"/>
          <w:rFonts w:ascii="仿宋" w:eastAsia="仿宋" w:hAnsi="仿宋" w:hint="eastAsia"/>
          <w:bCs/>
          <w:sz w:val="32"/>
          <w:szCs w:val="32"/>
        </w:rPr>
        <w:t>完成预算100</w:t>
      </w:r>
      <w:r>
        <w:rPr>
          <w:rStyle w:val="ae"/>
          <w:rFonts w:ascii="仿宋" w:eastAsia="仿宋" w:hAnsi="仿宋"/>
          <w:bCs/>
          <w:sz w:val="32"/>
          <w:szCs w:val="32"/>
        </w:rPr>
        <w:t>%</w:t>
      </w:r>
      <w:r>
        <w:rPr>
          <w:rStyle w:val="ae"/>
          <w:rFonts w:ascii="仿宋" w:eastAsia="仿宋" w:hAnsi="仿宋" w:hint="eastAsia"/>
          <w:bCs/>
          <w:sz w:val="32"/>
          <w:szCs w:val="32"/>
        </w:rPr>
        <w:t>。其中：</w:t>
      </w:r>
      <w:bookmarkEnd w:id="48"/>
      <w:bookmarkEnd w:id="49"/>
      <w:bookmarkEnd w:id="50"/>
      <w:bookmarkEnd w:id="51"/>
    </w:p>
    <w:p w14:paraId="18EBF2F7" w14:textId="77777777" w:rsidR="003753FB" w:rsidRDefault="00000000">
      <w:pPr>
        <w:spacing w:line="600" w:lineRule="exact"/>
        <w:ind w:firstLine="640"/>
        <w:rPr>
          <w:rFonts w:ascii="仿宋" w:eastAsia="仿宋" w:hAnsi="仿宋" w:hint="eastAsia"/>
          <w:sz w:val="32"/>
          <w:szCs w:val="32"/>
        </w:rPr>
      </w:pPr>
      <w:r>
        <w:rPr>
          <w:rStyle w:val="ae"/>
          <w:rFonts w:ascii="仿宋" w:eastAsia="仿宋" w:hAnsi="仿宋" w:hint="eastAsia"/>
          <w:bCs/>
          <w:sz w:val="32"/>
          <w:szCs w:val="32"/>
        </w:rPr>
        <w:t>一般公共服务201</w:t>
      </w:r>
      <w:r>
        <w:rPr>
          <w:rStyle w:val="ae"/>
          <w:rFonts w:ascii="仿宋" w:eastAsia="仿宋" w:hAnsi="仿宋"/>
          <w:bCs/>
          <w:sz w:val="32"/>
          <w:szCs w:val="32"/>
        </w:rPr>
        <w:t>:</w:t>
      </w:r>
      <w:r>
        <w:rPr>
          <w:rStyle w:val="ae"/>
          <w:rFonts w:ascii="仿宋" w:eastAsia="仿宋" w:hAnsi="仿宋"/>
          <w:b w:val="0"/>
          <w:bCs/>
          <w:sz w:val="32"/>
          <w:szCs w:val="32"/>
        </w:rPr>
        <w:t xml:space="preserve"> </w:t>
      </w:r>
      <w:r>
        <w:rPr>
          <w:rStyle w:val="ae"/>
          <w:rFonts w:ascii="仿宋" w:eastAsia="仿宋" w:hAnsi="仿宋" w:hint="eastAsia"/>
          <w:b w:val="0"/>
          <w:bCs/>
          <w:sz w:val="32"/>
          <w:szCs w:val="32"/>
        </w:rPr>
        <w:t>支</w:t>
      </w:r>
      <w:r>
        <w:rPr>
          <w:rFonts w:ascii="仿宋" w:eastAsia="仿宋" w:hAnsi="仿宋" w:hint="eastAsia"/>
          <w:sz w:val="32"/>
          <w:szCs w:val="32"/>
        </w:rPr>
        <w:t>出决算为106.55万元，完成预算73.18%，决算数等于预算数。</w:t>
      </w:r>
    </w:p>
    <w:p w14:paraId="2ED4ABD9" w14:textId="77777777" w:rsidR="003753FB" w:rsidRDefault="00000000">
      <w:pPr>
        <w:pStyle w:val="5"/>
        <w:rPr>
          <w:rFonts w:ascii="仿宋" w:eastAsia="仿宋" w:hAnsi="仿宋" w:cs="仿宋" w:hint="eastAsia"/>
          <w:b w:val="0"/>
          <w:bCs/>
          <w:sz w:val="32"/>
          <w:szCs w:val="32"/>
        </w:rPr>
      </w:pPr>
      <w:r>
        <w:rPr>
          <w:rFonts w:hint="eastAsia"/>
        </w:rPr>
        <w:t xml:space="preserve">     </w:t>
      </w:r>
      <w:r>
        <w:rPr>
          <w:rFonts w:ascii="仿宋" w:eastAsia="仿宋" w:hAnsi="仿宋" w:cs="仿宋" w:hint="eastAsia"/>
          <w:b w:val="0"/>
          <w:bCs/>
          <w:sz w:val="32"/>
          <w:szCs w:val="32"/>
        </w:rPr>
        <w:t>行政运行2012801：支出决算为101.76万元，完成预算95.50%，决算数等于预算数。</w:t>
      </w:r>
    </w:p>
    <w:p w14:paraId="2FD16D90" w14:textId="77777777" w:rsidR="003753FB" w:rsidRDefault="00000000">
      <w:r>
        <w:rPr>
          <w:rFonts w:ascii="仿宋" w:eastAsia="仿宋" w:hAnsi="仿宋" w:cs="仿宋" w:hint="eastAsia"/>
          <w:bCs/>
          <w:sz w:val="32"/>
          <w:szCs w:val="32"/>
        </w:rPr>
        <w:t xml:space="preserve">    一般行政管理事务2012802：支出决算为4.79万元，完成预算4.50%，决算数等于预算数。</w:t>
      </w:r>
    </w:p>
    <w:p w14:paraId="1064FCF7" w14:textId="77777777" w:rsidR="003753FB" w:rsidRDefault="00000000">
      <w:pPr>
        <w:spacing w:line="600" w:lineRule="exact"/>
        <w:ind w:firstLineChars="200" w:firstLine="643"/>
        <w:rPr>
          <w:rStyle w:val="ae"/>
          <w:rFonts w:ascii="仿宋" w:eastAsia="仿宋" w:hAnsi="仿宋" w:hint="eastAsia"/>
          <w:b w:val="0"/>
          <w:bCs/>
          <w:sz w:val="32"/>
          <w:szCs w:val="32"/>
        </w:rPr>
      </w:pPr>
      <w:r>
        <w:rPr>
          <w:rStyle w:val="ae"/>
          <w:rFonts w:ascii="仿宋" w:eastAsia="仿宋" w:hAnsi="仿宋" w:hint="eastAsia"/>
          <w:bCs/>
          <w:sz w:val="32"/>
          <w:szCs w:val="32"/>
        </w:rPr>
        <w:t>2.社会保障和就业208</w:t>
      </w:r>
      <w:r>
        <w:rPr>
          <w:rStyle w:val="ae"/>
          <w:rFonts w:ascii="仿宋" w:eastAsia="仿宋" w:hAnsi="仿宋"/>
          <w:bCs/>
          <w:sz w:val="32"/>
          <w:szCs w:val="32"/>
        </w:rPr>
        <w:t>:</w:t>
      </w:r>
      <w:r>
        <w:rPr>
          <w:rStyle w:val="ae"/>
          <w:rFonts w:ascii="仿宋" w:eastAsia="仿宋" w:hAnsi="仿宋"/>
          <w:b w:val="0"/>
          <w:bCs/>
          <w:sz w:val="32"/>
          <w:szCs w:val="32"/>
        </w:rPr>
        <w:t xml:space="preserve"> </w:t>
      </w:r>
      <w:r>
        <w:rPr>
          <w:rStyle w:val="ae"/>
          <w:rFonts w:ascii="仿宋" w:eastAsia="仿宋" w:hAnsi="仿宋" w:hint="eastAsia"/>
          <w:b w:val="0"/>
          <w:bCs/>
          <w:sz w:val="32"/>
          <w:szCs w:val="32"/>
        </w:rPr>
        <w:t>支出决算为20.80万元，完成预算14.28</w:t>
      </w:r>
      <w:r>
        <w:rPr>
          <w:rStyle w:val="ae"/>
          <w:rFonts w:ascii="仿宋" w:eastAsia="仿宋" w:hAnsi="仿宋"/>
          <w:b w:val="0"/>
          <w:bCs/>
          <w:sz w:val="32"/>
          <w:szCs w:val="32"/>
        </w:rPr>
        <w:t>%</w:t>
      </w:r>
      <w:r>
        <w:rPr>
          <w:rStyle w:val="ae"/>
          <w:rFonts w:ascii="仿宋" w:eastAsia="仿宋" w:hAnsi="仿宋" w:hint="eastAsia"/>
          <w:b w:val="0"/>
          <w:bCs/>
          <w:sz w:val="32"/>
          <w:szCs w:val="32"/>
        </w:rPr>
        <w:t>，决算数等于预算数。</w:t>
      </w:r>
    </w:p>
    <w:p w14:paraId="0D49466E" w14:textId="77777777" w:rsidR="003753FB" w:rsidRDefault="00000000">
      <w:pPr>
        <w:pStyle w:val="5"/>
        <w:ind w:firstLineChars="200" w:firstLine="640"/>
        <w:rPr>
          <w:rFonts w:ascii="仿宋" w:eastAsia="仿宋" w:hAnsi="仿宋" w:cs="仿宋" w:hint="eastAsia"/>
          <w:b w:val="0"/>
          <w:bCs/>
          <w:sz w:val="32"/>
          <w:szCs w:val="32"/>
        </w:rPr>
      </w:pPr>
      <w:r>
        <w:rPr>
          <w:rFonts w:ascii="仿宋" w:eastAsia="仿宋" w:hAnsi="仿宋" w:cs="仿宋" w:hint="eastAsia"/>
          <w:b w:val="0"/>
          <w:bCs/>
          <w:sz w:val="32"/>
          <w:szCs w:val="32"/>
        </w:rPr>
        <w:lastRenderedPageBreak/>
        <w:t>机关事业单位基本养老保险缴费支出2080505：支出决算数为14.27万元，完成预算数68.61%，决算数等于预算数。</w:t>
      </w:r>
    </w:p>
    <w:p w14:paraId="4F1FB45D" w14:textId="77777777" w:rsidR="003753FB" w:rsidRDefault="00000000">
      <w:pPr>
        <w:ind w:firstLineChars="200" w:firstLine="640"/>
      </w:pPr>
      <w:r>
        <w:rPr>
          <w:rFonts w:ascii="仿宋" w:eastAsia="仿宋" w:hAnsi="仿宋" w:cs="仿宋" w:hint="eastAsia"/>
          <w:bCs/>
          <w:sz w:val="32"/>
          <w:szCs w:val="32"/>
        </w:rPr>
        <w:t>机关事业单位职业年金缴费出2080506：支出决算数为6.53，完成预算数31.39%，决算数等于预算数。</w:t>
      </w:r>
    </w:p>
    <w:p w14:paraId="0E573BCA" w14:textId="77777777" w:rsidR="003753FB" w:rsidRDefault="00000000">
      <w:pPr>
        <w:spacing w:line="600" w:lineRule="exact"/>
        <w:ind w:firstLineChars="200" w:firstLine="643"/>
        <w:rPr>
          <w:rStyle w:val="ae"/>
          <w:rFonts w:ascii="仿宋" w:eastAsia="仿宋" w:hAnsi="仿宋" w:hint="eastAsia"/>
          <w:b w:val="0"/>
          <w:bCs/>
          <w:sz w:val="32"/>
          <w:szCs w:val="32"/>
        </w:rPr>
      </w:pPr>
      <w:r>
        <w:rPr>
          <w:rFonts w:ascii="仿宋" w:eastAsia="仿宋" w:hAnsi="仿宋" w:hint="eastAsia"/>
          <w:b/>
          <w:bCs/>
          <w:sz w:val="32"/>
          <w:szCs w:val="32"/>
        </w:rPr>
        <w:t>3.卫生健康210</w:t>
      </w:r>
      <w:r>
        <w:rPr>
          <w:rStyle w:val="ae"/>
          <w:rFonts w:ascii="仿宋" w:eastAsia="仿宋" w:hAnsi="仿宋"/>
          <w:bCs/>
          <w:sz w:val="32"/>
          <w:szCs w:val="32"/>
        </w:rPr>
        <w:t>:</w:t>
      </w:r>
      <w:r>
        <w:rPr>
          <w:rStyle w:val="ae"/>
          <w:rFonts w:ascii="仿宋" w:eastAsia="仿宋" w:hAnsi="仿宋" w:hint="eastAsia"/>
          <w:b w:val="0"/>
          <w:bCs/>
          <w:sz w:val="32"/>
          <w:szCs w:val="32"/>
        </w:rPr>
        <w:t>支出决算为8.03万元，完成预算5.51</w:t>
      </w:r>
      <w:r>
        <w:rPr>
          <w:rStyle w:val="ae"/>
          <w:rFonts w:ascii="仿宋" w:eastAsia="仿宋" w:hAnsi="仿宋"/>
          <w:b w:val="0"/>
          <w:bCs/>
          <w:sz w:val="32"/>
          <w:szCs w:val="32"/>
        </w:rPr>
        <w:t>%</w:t>
      </w:r>
      <w:r>
        <w:rPr>
          <w:rStyle w:val="ae"/>
          <w:rFonts w:ascii="仿宋" w:eastAsia="仿宋" w:hAnsi="仿宋" w:hint="eastAsia"/>
          <w:b w:val="0"/>
          <w:bCs/>
          <w:sz w:val="32"/>
          <w:szCs w:val="32"/>
        </w:rPr>
        <w:t>，决算数等于预算数。</w:t>
      </w:r>
    </w:p>
    <w:p w14:paraId="439D6C5B" w14:textId="77777777" w:rsidR="003753FB" w:rsidRDefault="00000000">
      <w:pPr>
        <w:pStyle w:val="5"/>
        <w:ind w:firstLineChars="200" w:firstLine="640"/>
        <w:rPr>
          <w:rStyle w:val="ae"/>
          <w:rFonts w:ascii="仿宋" w:eastAsia="仿宋" w:hAnsi="仿宋" w:hint="eastAsia"/>
          <w:bCs/>
          <w:sz w:val="32"/>
          <w:szCs w:val="32"/>
        </w:rPr>
      </w:pPr>
      <w:r>
        <w:rPr>
          <w:rStyle w:val="ae"/>
          <w:rFonts w:ascii="仿宋" w:eastAsia="仿宋" w:hAnsi="仿宋" w:hint="eastAsia"/>
          <w:bCs/>
          <w:sz w:val="32"/>
          <w:szCs w:val="32"/>
        </w:rPr>
        <w:t>行政单位医疗2101101：支出决算数为6.39万元，完成预算数79.58%，决算数等于预算数。</w:t>
      </w:r>
    </w:p>
    <w:p w14:paraId="0952ACD6" w14:textId="77777777" w:rsidR="003753FB" w:rsidRDefault="00000000">
      <w:pPr>
        <w:ind w:firstLineChars="200" w:firstLine="640"/>
        <w:rPr>
          <w:rStyle w:val="ae"/>
          <w:rFonts w:ascii="仿宋" w:eastAsia="仿宋" w:hAnsi="仿宋" w:hint="eastAsia"/>
          <w:b w:val="0"/>
          <w:bCs/>
          <w:sz w:val="32"/>
          <w:szCs w:val="32"/>
        </w:rPr>
      </w:pPr>
      <w:r>
        <w:rPr>
          <w:rStyle w:val="ae"/>
          <w:rFonts w:ascii="仿宋" w:eastAsia="仿宋" w:hAnsi="仿宋" w:hint="eastAsia"/>
          <w:b w:val="0"/>
          <w:bCs/>
          <w:sz w:val="32"/>
          <w:szCs w:val="32"/>
        </w:rPr>
        <w:t>公务员医疗补助2101103：支出决算数为1.64万元，完成预算数20.42%，决算数等于预算数。</w:t>
      </w:r>
    </w:p>
    <w:p w14:paraId="43BD560C" w14:textId="77777777" w:rsidR="003753FB" w:rsidRDefault="00000000">
      <w:pPr>
        <w:pStyle w:val="5"/>
        <w:ind w:firstLineChars="200" w:firstLine="640"/>
        <w:rPr>
          <w:rStyle w:val="ae"/>
          <w:rFonts w:ascii="仿宋" w:eastAsia="仿宋" w:hAnsi="仿宋" w:hint="eastAsia"/>
          <w:bCs/>
          <w:sz w:val="32"/>
          <w:szCs w:val="32"/>
        </w:rPr>
      </w:pPr>
      <w:r>
        <w:rPr>
          <w:rStyle w:val="ae"/>
          <w:rFonts w:ascii="仿宋" w:eastAsia="仿宋" w:hAnsi="仿宋" w:hint="eastAsia"/>
          <w:bCs/>
          <w:sz w:val="32"/>
          <w:szCs w:val="32"/>
        </w:rPr>
        <w:t>4.住房保障支出221</w:t>
      </w:r>
      <w:r>
        <w:rPr>
          <w:rStyle w:val="ae"/>
          <w:rFonts w:ascii="仿宋" w:eastAsia="仿宋" w:hAnsi="仿宋"/>
          <w:b/>
          <w:bCs/>
          <w:sz w:val="32"/>
          <w:szCs w:val="32"/>
        </w:rPr>
        <w:t>:</w:t>
      </w:r>
      <w:r>
        <w:rPr>
          <w:rStyle w:val="ae"/>
          <w:rFonts w:ascii="仿宋" w:eastAsia="仿宋" w:hAnsi="仿宋" w:hint="eastAsia"/>
          <w:bCs/>
          <w:sz w:val="32"/>
          <w:szCs w:val="32"/>
        </w:rPr>
        <w:t>支出决算为10.24万元，完成预算7.03%，决算数等于预算数。</w:t>
      </w:r>
    </w:p>
    <w:p w14:paraId="519AEF10" w14:textId="77777777" w:rsidR="003753FB" w:rsidRDefault="00000000">
      <w:pPr>
        <w:pStyle w:val="5"/>
        <w:ind w:firstLineChars="200" w:firstLine="640"/>
        <w:rPr>
          <w:rFonts w:ascii="仿宋" w:eastAsia="仿宋" w:hAnsi="仿宋" w:hint="eastAsia"/>
          <w:sz w:val="32"/>
          <w:szCs w:val="32"/>
        </w:rPr>
      </w:pPr>
      <w:r>
        <w:rPr>
          <w:rStyle w:val="ae"/>
          <w:rFonts w:ascii="仿宋" w:eastAsia="仿宋" w:hAnsi="仿宋" w:hint="eastAsia"/>
          <w:bCs/>
          <w:sz w:val="32"/>
          <w:szCs w:val="32"/>
        </w:rPr>
        <w:t xml:space="preserve">住房公积金2210201：支出决算为10.24万元，完成预算100%，决算数等于预算数。 </w:t>
      </w:r>
    </w:p>
    <w:p w14:paraId="3FD21773" w14:textId="77777777" w:rsidR="003753FB" w:rsidRDefault="00000000">
      <w:pPr>
        <w:tabs>
          <w:tab w:val="right" w:pos="8306"/>
        </w:tabs>
        <w:spacing w:line="600" w:lineRule="exact"/>
        <w:ind w:firstLine="640"/>
        <w:outlineLvl w:val="1"/>
        <w:rPr>
          <w:rStyle w:val="21"/>
        </w:rPr>
      </w:pPr>
      <w:bookmarkStart w:id="52" w:name="_Toc15377214"/>
      <w:bookmarkStart w:id="53" w:name="_Toc15396608"/>
      <w:bookmarkStart w:id="54" w:name="_Toc20"/>
      <w:r>
        <w:rPr>
          <w:rFonts w:ascii="黑体" w:eastAsia="黑体" w:hint="eastAsia"/>
          <w:sz w:val="32"/>
          <w:szCs w:val="32"/>
        </w:rPr>
        <w:t>六</w:t>
      </w:r>
      <w:r>
        <w:rPr>
          <w:rFonts w:ascii="黑体" w:eastAsia="黑体" w:hint="eastAsia"/>
          <w:b/>
          <w:sz w:val="32"/>
          <w:szCs w:val="32"/>
        </w:rPr>
        <w:t>、</w:t>
      </w:r>
      <w:r>
        <w:rPr>
          <w:rFonts w:ascii="黑体" w:eastAsia="黑体" w:hAnsi="黑体" w:hint="eastAsia"/>
          <w:b/>
          <w:sz w:val="32"/>
          <w:szCs w:val="32"/>
        </w:rPr>
        <w:t>一</w:t>
      </w:r>
      <w:r>
        <w:rPr>
          <w:rStyle w:val="21"/>
          <w:rFonts w:ascii="黑体" w:eastAsia="黑体" w:hAnsi="黑体" w:hint="eastAsia"/>
          <w:b w:val="0"/>
        </w:rPr>
        <w:t>般公共预算财政拨款基本支出决算情况说明</w:t>
      </w:r>
      <w:bookmarkEnd w:id="52"/>
      <w:bookmarkEnd w:id="53"/>
      <w:bookmarkEnd w:id="54"/>
      <w:r>
        <w:rPr>
          <w:rStyle w:val="21"/>
          <w:rFonts w:ascii="黑体" w:eastAsia="黑体" w:hAnsi="黑体"/>
          <w:b w:val="0"/>
        </w:rPr>
        <w:tab/>
      </w:r>
    </w:p>
    <w:p w14:paraId="79DA5A0F" w14:textId="77777777" w:rsidR="003753FB" w:rsidRDefault="00000000">
      <w:pPr>
        <w:spacing w:line="600" w:lineRule="exact"/>
        <w:ind w:firstLine="645"/>
        <w:rPr>
          <w:rStyle w:val="ae"/>
          <w:rFonts w:ascii="仿宋" w:eastAsia="仿宋" w:hAnsi="仿宋" w:hint="eastAsia"/>
          <w:b w:val="0"/>
          <w:bCs/>
          <w:sz w:val="32"/>
          <w:szCs w:val="32"/>
        </w:rPr>
      </w:pPr>
      <w:r>
        <w:rPr>
          <w:rFonts w:ascii="仿宋" w:eastAsia="仿宋" w:hAnsi="仿宋" w:hint="eastAsia"/>
          <w:sz w:val="32"/>
          <w:szCs w:val="32"/>
        </w:rPr>
        <w:t>2</w:t>
      </w:r>
      <w:r>
        <w:rPr>
          <w:rStyle w:val="ae"/>
          <w:rFonts w:ascii="仿宋" w:eastAsia="仿宋" w:hAnsi="仿宋" w:hint="eastAsia"/>
          <w:b w:val="0"/>
          <w:bCs/>
          <w:sz w:val="32"/>
          <w:szCs w:val="32"/>
        </w:rPr>
        <w:t>024年度一般公共预算财政拨款基本支出145.62万元，其中：</w:t>
      </w:r>
    </w:p>
    <w:p w14:paraId="48BDF5FF" w14:textId="77777777" w:rsidR="003753FB" w:rsidRDefault="00000000">
      <w:pPr>
        <w:spacing w:line="600" w:lineRule="exact"/>
        <w:ind w:firstLine="645"/>
        <w:rPr>
          <w:rFonts w:ascii="仿宋" w:eastAsia="仿宋" w:hAnsi="仿宋" w:hint="eastAsia"/>
          <w:sz w:val="32"/>
          <w:szCs w:val="32"/>
        </w:rPr>
      </w:pPr>
      <w:r>
        <w:rPr>
          <w:rStyle w:val="ae"/>
          <w:rFonts w:ascii="仿宋" w:eastAsia="仿宋" w:hAnsi="仿宋" w:hint="eastAsia"/>
          <w:b w:val="0"/>
          <w:bCs/>
          <w:sz w:val="32"/>
          <w:szCs w:val="32"/>
        </w:rPr>
        <w:t>人员经费134.02万元，主要包括：基本工资23.58万元、津贴补贴39.70万元、奖金27.03万元、伙食补助费0</w:t>
      </w:r>
      <w:r>
        <w:rPr>
          <w:rStyle w:val="ae"/>
          <w:rFonts w:ascii="仿宋" w:eastAsia="仿宋" w:hAnsi="仿宋" w:hint="eastAsia"/>
          <w:b w:val="0"/>
          <w:bCs/>
          <w:sz w:val="32"/>
          <w:szCs w:val="32"/>
        </w:rPr>
        <w:lastRenderedPageBreak/>
        <w:t>万元、绩效工资0万元、机关事业单位基本养老保险缴费14.27万</w:t>
      </w:r>
      <w:r>
        <w:rPr>
          <w:rFonts w:ascii="仿宋" w:eastAsia="仿宋" w:hAnsi="仿宋" w:hint="eastAsia"/>
          <w:sz w:val="32"/>
          <w:szCs w:val="32"/>
        </w:rPr>
        <w:t>元、职业年金缴费6.53万元、职工基本医疗保险缴费6.39万元、公务员医疗保险缴费1.64万元、其他社会保障缴费1.51万元、其他工资福利支出0万元、离休费0万元、退休费0万元、抚恤金0万元、生活补助2.64万元、医疗费补助0.49万元、奖励金0万元、住房公积金10.24万元、其他对个人和家庭的补助支出0万元等。</w:t>
      </w:r>
      <w:r>
        <w:rPr>
          <w:rFonts w:ascii="仿宋" w:eastAsia="仿宋" w:hAnsi="仿宋" w:hint="eastAsia"/>
          <w:sz w:val="32"/>
          <w:szCs w:val="32"/>
        </w:rPr>
        <w:br/>
        <w:t xml:space="preserve">　　公用经费6.82万元，主要包括：办公费0.64万元、印刷费0万元、咨询费0万元、手续费0万元、水费0万元、电费0.1万元、邮电费0.3万元、取暖费0万元、物业管理费0万元、差旅费0万元、因公出国（境）费用0万元、维修（护）费0万元、租赁费0万元、会议费0万元、培训费0万元、公务接待费0万元、劳务费0万元、委托业务费2.16万元、工会经费1.08万元、福利费0万元、公务用车运行维护费2.54万元、其他交通费0万元、税金及附加费用0万元、其他商品和服务支出0万元、办公设备购置0万元、专用设备购置0万元、信息网络及软件购置更新0万元、其他资本性支出等。</w:t>
      </w:r>
    </w:p>
    <w:p w14:paraId="3A931DEA" w14:textId="77777777" w:rsidR="003753FB" w:rsidRDefault="00000000">
      <w:pPr>
        <w:spacing w:line="600" w:lineRule="exact"/>
        <w:ind w:firstLine="640"/>
        <w:outlineLvl w:val="1"/>
        <w:rPr>
          <w:rStyle w:val="21"/>
          <w:rFonts w:ascii="黑体" w:eastAsia="黑体" w:hAnsi="黑体" w:hint="eastAsia"/>
          <w:b w:val="0"/>
        </w:rPr>
      </w:pPr>
      <w:bookmarkStart w:id="55" w:name="_Toc833"/>
      <w:bookmarkStart w:id="56" w:name="_Toc15377215"/>
      <w:bookmarkStart w:id="57" w:name="_Toc15396609"/>
      <w:r>
        <w:rPr>
          <w:rFonts w:ascii="黑体" w:eastAsia="黑体" w:hint="eastAsia"/>
          <w:sz w:val="32"/>
          <w:szCs w:val="32"/>
        </w:rPr>
        <w:t>七、</w:t>
      </w:r>
      <w:r>
        <w:rPr>
          <w:rStyle w:val="21"/>
          <w:rFonts w:ascii="黑体" w:eastAsia="黑体" w:hAnsi="黑体" w:hint="eastAsia"/>
          <w:b w:val="0"/>
        </w:rPr>
        <w:t>财政拨款</w:t>
      </w:r>
      <w:r>
        <w:rPr>
          <w:rStyle w:val="21"/>
          <w:rFonts w:ascii="黑体" w:eastAsia="黑体" w:hAnsi="黑体" w:hint="eastAsia"/>
        </w:rPr>
        <w:t>“</w:t>
      </w:r>
      <w:r>
        <w:rPr>
          <w:rStyle w:val="21"/>
          <w:rFonts w:ascii="黑体" w:eastAsia="黑体" w:hAnsi="黑体" w:hint="eastAsia"/>
          <w:b w:val="0"/>
        </w:rPr>
        <w:t>三公”经费支出决算情况说明</w:t>
      </w:r>
      <w:bookmarkEnd w:id="55"/>
      <w:bookmarkEnd w:id="56"/>
      <w:bookmarkEnd w:id="57"/>
    </w:p>
    <w:p w14:paraId="38EF7186" w14:textId="77777777" w:rsidR="003753FB" w:rsidRDefault="00000000">
      <w:pPr>
        <w:spacing w:line="600" w:lineRule="exact"/>
        <w:ind w:firstLine="640"/>
        <w:outlineLvl w:val="2"/>
        <w:rPr>
          <w:rFonts w:ascii="仿宋" w:eastAsia="仿宋" w:hAnsi="仿宋" w:hint="eastAsia"/>
          <w:b/>
          <w:sz w:val="32"/>
          <w:szCs w:val="32"/>
        </w:rPr>
      </w:pPr>
      <w:bookmarkStart w:id="58" w:name="_Toc15377216"/>
      <w:bookmarkStart w:id="59" w:name="_Toc9966"/>
      <w:r>
        <w:rPr>
          <w:rFonts w:ascii="仿宋" w:eastAsia="仿宋" w:hAnsi="仿宋" w:hint="eastAsia"/>
          <w:b/>
          <w:sz w:val="32"/>
          <w:szCs w:val="32"/>
        </w:rPr>
        <w:t>（一）“三公”经费财政拨款支出决算总体情况说明</w:t>
      </w:r>
      <w:bookmarkEnd w:id="58"/>
      <w:bookmarkEnd w:id="59"/>
    </w:p>
    <w:p w14:paraId="54E30183" w14:textId="77777777" w:rsidR="003753FB" w:rsidRDefault="00000000">
      <w:pPr>
        <w:spacing w:line="600" w:lineRule="exact"/>
        <w:ind w:firstLine="640"/>
        <w:rPr>
          <w:rFonts w:ascii="仿宋" w:eastAsia="仿宋" w:hAnsi="仿宋" w:hint="eastAsia"/>
          <w:b/>
          <w:sz w:val="32"/>
          <w:szCs w:val="32"/>
        </w:rPr>
      </w:pPr>
      <w:r>
        <w:rPr>
          <w:rFonts w:ascii="仿宋" w:eastAsia="仿宋" w:hAnsi="仿宋" w:hint="eastAsia"/>
          <w:sz w:val="32"/>
          <w:szCs w:val="32"/>
        </w:rPr>
        <w:t>2024年度“三公”经费财政拨款支出决算为2.54万元，完成预算100%，较上年度减少0.03万元，下降1.17%。决算数小于预算数（或与预算数持平）的主要原因是厉行节约。</w:t>
      </w:r>
    </w:p>
    <w:p w14:paraId="23BDE4A5" w14:textId="77777777" w:rsidR="003753FB" w:rsidRDefault="00000000">
      <w:pPr>
        <w:spacing w:line="600" w:lineRule="exact"/>
        <w:ind w:firstLine="640"/>
        <w:outlineLvl w:val="2"/>
        <w:rPr>
          <w:rFonts w:ascii="仿宋" w:eastAsia="仿宋" w:hAnsi="仿宋" w:hint="eastAsia"/>
          <w:b/>
          <w:sz w:val="32"/>
          <w:szCs w:val="32"/>
        </w:rPr>
      </w:pPr>
      <w:bookmarkStart w:id="60" w:name="_Toc11774"/>
      <w:bookmarkStart w:id="61" w:name="_Toc15377217"/>
      <w:r>
        <w:rPr>
          <w:rFonts w:ascii="仿宋" w:eastAsia="仿宋" w:hAnsi="仿宋" w:hint="eastAsia"/>
          <w:b/>
          <w:sz w:val="32"/>
          <w:szCs w:val="32"/>
        </w:rPr>
        <w:lastRenderedPageBreak/>
        <w:t>（二）“三公”经费财政拨款支出决算具体情况说明</w:t>
      </w:r>
      <w:bookmarkEnd w:id="60"/>
      <w:bookmarkEnd w:id="61"/>
    </w:p>
    <w:p w14:paraId="46F9508D" w14:textId="77777777" w:rsidR="003753FB" w:rsidRDefault="00000000">
      <w:pPr>
        <w:spacing w:line="600" w:lineRule="exact"/>
        <w:ind w:firstLine="640"/>
        <w:rPr>
          <w:rFonts w:ascii="仿宋" w:eastAsia="仿宋" w:hAnsi="仿宋" w:hint="eastAsia"/>
          <w:sz w:val="32"/>
          <w:szCs w:val="32"/>
        </w:rPr>
      </w:pPr>
      <w:r>
        <w:rPr>
          <w:rFonts w:ascii="仿宋" w:eastAsia="仿宋" w:hAnsi="仿宋" w:hint="eastAsia"/>
          <w:sz w:val="32"/>
          <w:szCs w:val="32"/>
        </w:rPr>
        <w:t>2024年度“三公”经费财政拨款支出决算中，因公出国（境）费支出决算0万元，占0%；公务用车购置及运行维护费支出决算2.54万元，占100%；公务接待费支出决算0万元，占0%。具体情况如下：</w:t>
      </w:r>
    </w:p>
    <w:p w14:paraId="65941D6B" w14:textId="77777777" w:rsidR="003753FB" w:rsidRDefault="00000000">
      <w:pPr>
        <w:spacing w:line="600" w:lineRule="exact"/>
        <w:ind w:firstLine="640"/>
        <w:rPr>
          <w:rFonts w:ascii="仿宋" w:eastAsia="仿宋" w:hAnsi="仿宋" w:hint="eastAsia"/>
          <w:sz w:val="32"/>
          <w:szCs w:val="32"/>
        </w:rPr>
      </w:pPr>
      <w:r>
        <w:rPr>
          <w:rFonts w:ascii="仿宋" w:eastAsia="仿宋" w:hAnsi="仿宋" w:hint="eastAsia"/>
          <w:sz w:val="32"/>
          <w:szCs w:val="32"/>
        </w:rPr>
        <w:t>（图7：“三公”经费财政拨款支出结构）（饼状图）</w:t>
      </w:r>
    </w:p>
    <w:p w14:paraId="7E3976CC" w14:textId="77777777" w:rsidR="003753FB" w:rsidRDefault="00000000">
      <w:pPr>
        <w:pStyle w:val="5"/>
        <w:outlineLvl w:val="9"/>
        <w:rPr>
          <w:rFonts w:eastAsia="仿宋"/>
        </w:rPr>
      </w:pPr>
      <w:r>
        <w:rPr>
          <w:rFonts w:eastAsia="仿宋" w:hint="eastAsia"/>
          <w:noProof/>
        </w:rPr>
        <w:drawing>
          <wp:inline distT="0" distB="0" distL="114300" distR="114300" wp14:anchorId="54D4EF01" wp14:editId="07E1ED95">
            <wp:extent cx="2933065" cy="1927860"/>
            <wp:effectExtent l="4445" t="4445" r="15240" b="1079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D8F63A5" w14:textId="77777777" w:rsidR="003753FB" w:rsidRDefault="00000000">
      <w:pPr>
        <w:spacing w:line="600" w:lineRule="exact"/>
        <w:ind w:firstLine="640"/>
        <w:rPr>
          <w:rFonts w:ascii="仿宋_GB2312" w:eastAsia="仿宋_GB2312"/>
          <w:b/>
          <w:sz w:val="32"/>
          <w:szCs w:val="32"/>
        </w:rPr>
      </w:pPr>
      <w:r>
        <w:rPr>
          <w:rFonts w:ascii="仿宋_GB2312" w:eastAsia="仿宋_GB2312"/>
          <w:b/>
          <w:sz w:val="32"/>
          <w:szCs w:val="32"/>
        </w:rPr>
        <w:t>1.</w:t>
      </w:r>
      <w:r>
        <w:rPr>
          <w:rFonts w:ascii="仿宋_GB2312" w:eastAsia="仿宋_GB2312" w:hint="eastAsia"/>
          <w:b/>
          <w:sz w:val="32"/>
          <w:szCs w:val="32"/>
        </w:rPr>
        <w:t>因公出国（境）经费支出</w:t>
      </w:r>
      <w:r>
        <w:rPr>
          <w:sz w:val="32"/>
          <w:szCs w:val="32"/>
        </w:rPr>
        <w:t>0</w:t>
      </w:r>
      <w:r>
        <w:rPr>
          <w:rFonts w:ascii="仿宋_GB2312" w:eastAsia="仿宋_GB2312" w:hint="eastAsia"/>
          <w:sz w:val="32"/>
          <w:szCs w:val="32"/>
        </w:rPr>
        <w:t>万元，</w:t>
      </w:r>
      <w:r>
        <w:rPr>
          <w:rStyle w:val="ae"/>
          <w:rFonts w:ascii="仿宋" w:eastAsia="仿宋" w:hAnsi="仿宋" w:hint="eastAsia"/>
          <w:b w:val="0"/>
          <w:bCs/>
          <w:sz w:val="32"/>
          <w:szCs w:val="32"/>
        </w:rPr>
        <w:t>完</w:t>
      </w:r>
      <w:r>
        <w:rPr>
          <w:rFonts w:ascii="仿宋" w:eastAsia="仿宋" w:hAnsi="仿宋" w:hint="eastAsia"/>
          <w:sz w:val="32"/>
          <w:szCs w:val="32"/>
        </w:rPr>
        <w:t>成预算0%。全年安排因公出国（境）团组0次，出国（境）0人。因公出国（境）支出决算比2023年增加/减少0万元，增长/下降0%。</w:t>
      </w:r>
    </w:p>
    <w:p w14:paraId="00EEB4BF" w14:textId="77777777" w:rsidR="003753FB" w:rsidRDefault="00000000">
      <w:pPr>
        <w:spacing w:line="600" w:lineRule="exact"/>
        <w:ind w:firstLine="640"/>
        <w:rPr>
          <w:rFonts w:ascii="仿宋" w:eastAsia="仿宋" w:hAnsi="仿宋" w:hint="eastAsia"/>
          <w:sz w:val="32"/>
          <w:szCs w:val="32"/>
        </w:rPr>
      </w:pPr>
      <w:r>
        <w:rPr>
          <w:rFonts w:ascii="仿宋_GB2312" w:eastAsia="仿宋_GB2312"/>
          <w:b/>
          <w:sz w:val="32"/>
          <w:szCs w:val="32"/>
        </w:rPr>
        <w:t>2.</w:t>
      </w:r>
      <w:r>
        <w:rPr>
          <w:rFonts w:ascii="仿宋_GB2312" w:eastAsia="仿宋_GB2312" w:hint="eastAsia"/>
          <w:b/>
          <w:sz w:val="32"/>
          <w:szCs w:val="32"/>
        </w:rPr>
        <w:t>公务用车购置及运行维护费支出</w:t>
      </w:r>
      <w:r>
        <w:rPr>
          <w:sz w:val="32"/>
          <w:szCs w:val="32"/>
        </w:rPr>
        <w:t>2.5</w:t>
      </w:r>
      <w:r>
        <w:rPr>
          <w:rFonts w:ascii="仿宋_GB2312" w:eastAsia="仿宋_GB2312" w:hint="eastAsia"/>
          <w:sz w:val="32"/>
          <w:szCs w:val="32"/>
        </w:rPr>
        <w:t>4,</w:t>
      </w:r>
      <w:r>
        <w:rPr>
          <w:rFonts w:ascii="仿宋" w:eastAsia="仿宋" w:hAnsi="仿宋" w:hint="eastAsia"/>
          <w:sz w:val="32"/>
          <w:szCs w:val="32"/>
        </w:rPr>
        <w:t>完成预算100%。公务用车购置及运行维护费支出决算比2023年度减少0.03万元，下降1.17%。主要原因是厉行节约。</w:t>
      </w:r>
    </w:p>
    <w:p w14:paraId="6098A3FB" w14:textId="77777777" w:rsidR="003753FB" w:rsidRDefault="00000000">
      <w:pPr>
        <w:spacing w:line="600" w:lineRule="exact"/>
        <w:ind w:firstLineChars="200" w:firstLine="640"/>
        <w:rPr>
          <w:rFonts w:ascii="仿宋" w:eastAsia="仿宋" w:hAnsi="仿宋" w:hint="eastAsia"/>
          <w:sz w:val="32"/>
          <w:szCs w:val="32"/>
        </w:rPr>
      </w:pPr>
      <w:r>
        <w:rPr>
          <w:rFonts w:ascii="仿宋_GB2312" w:eastAsia="仿宋_GB2312" w:hint="eastAsia"/>
          <w:sz w:val="32"/>
          <w:szCs w:val="32"/>
        </w:rPr>
        <w:t>其中：</w:t>
      </w:r>
      <w:r>
        <w:rPr>
          <w:rFonts w:ascii="仿宋_GB2312" w:eastAsia="仿宋_GB2312" w:hint="eastAsia"/>
          <w:b/>
          <w:sz w:val="32"/>
          <w:szCs w:val="32"/>
        </w:rPr>
        <w:t>公务用车购置支出</w:t>
      </w:r>
      <w:r>
        <w:rPr>
          <w:sz w:val="32"/>
          <w:szCs w:val="32"/>
        </w:rPr>
        <w:t>0</w:t>
      </w:r>
      <w:r>
        <w:rPr>
          <w:rFonts w:ascii="仿宋_GB2312" w:eastAsia="仿宋_GB2312" w:hint="eastAsia"/>
          <w:sz w:val="32"/>
          <w:szCs w:val="32"/>
        </w:rPr>
        <w:t>万元。</w:t>
      </w:r>
      <w:r>
        <w:rPr>
          <w:rFonts w:ascii="仿宋" w:eastAsia="仿宋" w:hAnsi="仿宋" w:hint="eastAsia"/>
          <w:sz w:val="32"/>
          <w:szCs w:val="32"/>
        </w:rPr>
        <w:t>全年按规定更新购置公务用车0辆，其中：轿车0辆、金额0万元，越野车0辆、金额0万元，载客汽车0辆、金额0万元。截至2024年12月31日，单位共有公务用车1辆，其中：轿车1辆、越野车0辆、载客汽车0辆。</w:t>
      </w:r>
    </w:p>
    <w:p w14:paraId="5AD7AE8C" w14:textId="77777777" w:rsidR="003753FB" w:rsidRDefault="00000000">
      <w:pPr>
        <w:spacing w:line="600" w:lineRule="exact"/>
        <w:ind w:firstLine="640"/>
        <w:rPr>
          <w:rFonts w:ascii="仿宋_GB2312" w:eastAsia="仿宋_GB2312"/>
          <w:sz w:val="32"/>
          <w:szCs w:val="32"/>
        </w:rPr>
      </w:pPr>
      <w:r>
        <w:rPr>
          <w:rFonts w:ascii="仿宋_GB2312" w:eastAsia="仿宋_GB2312" w:hint="eastAsia"/>
          <w:b/>
          <w:sz w:val="32"/>
          <w:szCs w:val="32"/>
        </w:rPr>
        <w:lastRenderedPageBreak/>
        <w:t>公务用车运行维护费支出</w:t>
      </w:r>
      <w:r>
        <w:rPr>
          <w:sz w:val="32"/>
          <w:szCs w:val="32"/>
        </w:rPr>
        <w:t>2.5</w:t>
      </w:r>
      <w:r>
        <w:rPr>
          <w:rFonts w:hint="eastAsia"/>
          <w:sz w:val="32"/>
          <w:szCs w:val="32"/>
        </w:rPr>
        <w:t>4</w:t>
      </w:r>
      <w:r>
        <w:rPr>
          <w:rFonts w:ascii="仿宋_GB2312" w:eastAsia="仿宋_GB2312" w:hint="eastAsia"/>
          <w:sz w:val="32"/>
          <w:szCs w:val="32"/>
        </w:rPr>
        <w:t>万元。主要用于车燃料费、维修费、保险费等。</w:t>
      </w:r>
    </w:p>
    <w:p w14:paraId="1F50186A" w14:textId="77777777" w:rsidR="003753FB" w:rsidRDefault="00000000">
      <w:pPr>
        <w:numPr>
          <w:ilvl w:val="0"/>
          <w:numId w:val="3"/>
        </w:numPr>
        <w:spacing w:line="600" w:lineRule="exact"/>
        <w:ind w:firstLineChars="200" w:firstLine="643"/>
        <w:rPr>
          <w:rFonts w:ascii="仿宋_GB2312" w:eastAsia="仿宋_GB2312"/>
          <w:sz w:val="32"/>
          <w:szCs w:val="32"/>
        </w:rPr>
      </w:pPr>
      <w:r>
        <w:rPr>
          <w:rFonts w:ascii="仿宋_GB2312" w:eastAsia="仿宋_GB2312" w:hint="eastAsia"/>
          <w:b/>
          <w:sz w:val="32"/>
          <w:szCs w:val="32"/>
        </w:rPr>
        <w:t>公务接待费支出</w:t>
      </w:r>
      <w:r>
        <w:rPr>
          <w:rFonts w:ascii="仿宋" w:eastAsia="仿宋" w:hAnsi="仿宋" w:hint="eastAsia"/>
          <w:sz w:val="32"/>
          <w:szCs w:val="32"/>
        </w:rPr>
        <w:t>0万元，完成预算0%。公务接待费支出决算比2023年度增加/减少0万元，增长/下降0%</w:t>
      </w:r>
      <w:r>
        <w:rPr>
          <w:rFonts w:ascii="仿宋_GB2312" w:eastAsia="仿宋_GB2312" w:hint="eastAsia"/>
          <w:sz w:val="32"/>
          <w:szCs w:val="32"/>
        </w:rPr>
        <w:t>。</w:t>
      </w:r>
    </w:p>
    <w:p w14:paraId="5EC54F08" w14:textId="77777777" w:rsidR="003753FB" w:rsidRDefault="00000000">
      <w:pPr>
        <w:numPr>
          <w:ilvl w:val="0"/>
          <w:numId w:val="3"/>
        </w:numPr>
        <w:spacing w:line="600" w:lineRule="exact"/>
        <w:ind w:firstLineChars="200" w:firstLine="643"/>
        <w:rPr>
          <w:rFonts w:ascii="仿宋_GB2312" w:eastAsia="仿宋_GB2312"/>
          <w:sz w:val="32"/>
          <w:szCs w:val="32"/>
        </w:rPr>
      </w:pPr>
      <w:r>
        <w:rPr>
          <w:rFonts w:ascii="仿宋" w:eastAsia="仿宋" w:hAnsi="仿宋" w:hint="eastAsia"/>
          <w:b/>
          <w:sz w:val="32"/>
          <w:szCs w:val="32"/>
        </w:rPr>
        <w:t>国内公务接待支出0</w:t>
      </w:r>
      <w:r>
        <w:rPr>
          <w:rFonts w:ascii="仿宋_GB2312" w:eastAsia="仿宋_GB2312" w:hint="eastAsia"/>
          <w:sz w:val="32"/>
          <w:szCs w:val="32"/>
        </w:rPr>
        <w:t>万元，国内公务接待0批次，0人次（不包括陪同人员），共计支出0万元。</w:t>
      </w:r>
    </w:p>
    <w:p w14:paraId="5275CC68" w14:textId="77777777" w:rsidR="003753FB" w:rsidRDefault="00000000">
      <w:pPr>
        <w:spacing w:line="600" w:lineRule="exact"/>
        <w:ind w:firstLineChars="200" w:firstLine="643"/>
        <w:rPr>
          <w:rFonts w:ascii="黑体" w:eastAsia="黑体"/>
          <w:sz w:val="32"/>
          <w:szCs w:val="32"/>
        </w:rPr>
      </w:pPr>
      <w:r>
        <w:rPr>
          <w:rFonts w:ascii="仿宋" w:eastAsia="仿宋" w:hAnsi="仿宋" w:hint="eastAsia"/>
          <w:b/>
          <w:sz w:val="32"/>
          <w:szCs w:val="32"/>
        </w:rPr>
        <w:t>外事接待支出0</w:t>
      </w:r>
      <w:r>
        <w:rPr>
          <w:rFonts w:ascii="仿宋_GB2312" w:eastAsia="仿宋_GB2312" w:hint="eastAsia"/>
          <w:sz w:val="32"/>
          <w:szCs w:val="32"/>
        </w:rPr>
        <w:t>万元，外事接待0批次，0人次（不包括陪同人员），共计支出0万元。</w:t>
      </w:r>
      <w:bookmarkStart w:id="62" w:name="_Toc15377218"/>
      <w:bookmarkStart w:id="63" w:name="_Toc15396610"/>
    </w:p>
    <w:p w14:paraId="0C2F9E35" w14:textId="77777777" w:rsidR="003753FB" w:rsidRDefault="00000000">
      <w:pPr>
        <w:spacing w:line="600" w:lineRule="exact"/>
        <w:ind w:firstLine="640"/>
        <w:outlineLvl w:val="1"/>
        <w:rPr>
          <w:rStyle w:val="21"/>
          <w:rFonts w:ascii="黑体" w:eastAsia="黑体" w:hAnsi="黑体" w:hint="eastAsia"/>
        </w:rPr>
      </w:pPr>
      <w:bookmarkStart w:id="64" w:name="_Toc5494"/>
      <w:r>
        <w:rPr>
          <w:rFonts w:ascii="黑体" w:eastAsia="黑体" w:hint="eastAsia"/>
          <w:sz w:val="32"/>
          <w:szCs w:val="32"/>
        </w:rPr>
        <w:t>八、</w:t>
      </w:r>
      <w:r>
        <w:rPr>
          <w:rStyle w:val="21"/>
          <w:rFonts w:ascii="黑体" w:eastAsia="黑体" w:hAnsi="黑体" w:hint="eastAsia"/>
          <w:b w:val="0"/>
        </w:rPr>
        <w:t>政府性基金预算支出决算情况说明</w:t>
      </w:r>
      <w:bookmarkEnd w:id="62"/>
      <w:bookmarkEnd w:id="63"/>
      <w:bookmarkEnd w:id="64"/>
    </w:p>
    <w:p w14:paraId="19D5045D" w14:textId="77777777" w:rsidR="003753FB" w:rsidRDefault="00000000">
      <w:pPr>
        <w:spacing w:line="600" w:lineRule="exact"/>
        <w:ind w:firstLine="640"/>
        <w:rPr>
          <w:rFonts w:ascii="仿宋_GB2312" w:eastAsia="仿宋_GB2312"/>
          <w:sz w:val="32"/>
          <w:szCs w:val="32"/>
        </w:rPr>
      </w:pPr>
      <w:r>
        <w:rPr>
          <w:rFonts w:ascii="仿宋_GB2312" w:eastAsia="仿宋_GB2312" w:hint="eastAsia"/>
          <w:sz w:val="32"/>
          <w:szCs w:val="32"/>
        </w:rPr>
        <w:t>2024年年初无政府性基金预算财政拨款支出。</w:t>
      </w:r>
    </w:p>
    <w:p w14:paraId="1C15249A" w14:textId="77777777" w:rsidR="003753FB" w:rsidRDefault="00000000">
      <w:pPr>
        <w:numPr>
          <w:ilvl w:val="0"/>
          <w:numId w:val="4"/>
        </w:numPr>
        <w:spacing w:line="600" w:lineRule="exact"/>
        <w:ind w:firstLine="640"/>
        <w:outlineLvl w:val="1"/>
        <w:rPr>
          <w:rStyle w:val="21"/>
          <w:rFonts w:ascii="黑体" w:eastAsia="黑体" w:hAnsi="黑体" w:hint="eastAsia"/>
          <w:b w:val="0"/>
        </w:rPr>
      </w:pPr>
      <w:bookmarkStart w:id="65" w:name="_Toc15377219"/>
      <w:bookmarkStart w:id="66" w:name="_Toc12358"/>
      <w:bookmarkStart w:id="67" w:name="_Toc15396611"/>
      <w:r>
        <w:rPr>
          <w:rStyle w:val="21"/>
          <w:rFonts w:ascii="黑体" w:eastAsia="黑体" w:hAnsi="黑体" w:hint="eastAsia"/>
          <w:b w:val="0"/>
        </w:rPr>
        <w:t>国有资本经营预算支出决算情况说明</w:t>
      </w:r>
      <w:bookmarkEnd w:id="65"/>
      <w:bookmarkEnd w:id="66"/>
      <w:bookmarkEnd w:id="67"/>
    </w:p>
    <w:p w14:paraId="7229DFFD" w14:textId="77777777" w:rsidR="003753FB" w:rsidRDefault="00000000">
      <w:pPr>
        <w:spacing w:line="600" w:lineRule="exact"/>
        <w:ind w:firstLine="640"/>
        <w:rPr>
          <w:rFonts w:ascii="方正小标宋简体" w:eastAsia="方正小标宋简体" w:hAnsi="方正小标宋简体" w:cs="方正小标宋简体" w:hint="eastAsia"/>
          <w:sz w:val="44"/>
          <w:szCs w:val="44"/>
        </w:rPr>
      </w:pPr>
      <w:r>
        <w:rPr>
          <w:rFonts w:ascii="仿宋_GB2312" w:eastAsia="仿宋_GB2312" w:hint="eastAsia"/>
          <w:sz w:val="32"/>
          <w:szCs w:val="32"/>
        </w:rPr>
        <w:t>2024年年初无国有资本经营预算财政拨款支出。</w:t>
      </w:r>
    </w:p>
    <w:p w14:paraId="4B82E804" w14:textId="77777777" w:rsidR="003753FB" w:rsidRDefault="00000000">
      <w:pPr>
        <w:numPr>
          <w:ilvl w:val="0"/>
          <w:numId w:val="4"/>
        </w:numPr>
        <w:spacing w:line="600" w:lineRule="exact"/>
        <w:ind w:firstLine="640"/>
        <w:outlineLvl w:val="1"/>
        <w:rPr>
          <w:rStyle w:val="21"/>
          <w:rFonts w:ascii="黑体" w:eastAsia="黑体" w:hAnsi="黑体" w:hint="eastAsia"/>
          <w:b w:val="0"/>
        </w:rPr>
      </w:pPr>
      <w:bookmarkStart w:id="68" w:name="_Toc15377221"/>
      <w:bookmarkStart w:id="69" w:name="_Toc22174"/>
      <w:bookmarkStart w:id="70" w:name="_Toc15396612"/>
      <w:r>
        <w:rPr>
          <w:rStyle w:val="21"/>
          <w:rFonts w:ascii="黑体" w:eastAsia="黑体" w:hAnsi="黑体" w:hint="eastAsia"/>
          <w:b w:val="0"/>
        </w:rPr>
        <w:t>其他重要事项的情况说明</w:t>
      </w:r>
      <w:bookmarkEnd w:id="68"/>
      <w:bookmarkEnd w:id="69"/>
      <w:bookmarkEnd w:id="70"/>
    </w:p>
    <w:p w14:paraId="780BCC13" w14:textId="77777777" w:rsidR="003753FB" w:rsidRDefault="00000000">
      <w:pPr>
        <w:spacing w:line="600" w:lineRule="exact"/>
        <w:ind w:firstLineChars="200" w:firstLine="643"/>
        <w:outlineLvl w:val="2"/>
        <w:rPr>
          <w:rFonts w:ascii="仿宋" w:eastAsia="仿宋" w:hAnsi="仿宋" w:hint="eastAsia"/>
          <w:sz w:val="32"/>
          <w:szCs w:val="32"/>
        </w:rPr>
      </w:pPr>
      <w:bookmarkStart w:id="71" w:name="_Toc32750"/>
      <w:bookmarkStart w:id="72" w:name="_Toc15377222"/>
      <w:r>
        <w:rPr>
          <w:rFonts w:ascii="仿宋" w:eastAsia="仿宋" w:hAnsi="仿宋" w:hint="eastAsia"/>
          <w:b/>
          <w:sz w:val="32"/>
          <w:szCs w:val="32"/>
        </w:rPr>
        <w:t>（一）机关运行经费支出情况</w:t>
      </w:r>
      <w:bookmarkEnd w:id="71"/>
      <w:bookmarkEnd w:id="72"/>
    </w:p>
    <w:p w14:paraId="77A0E0F2" w14:textId="77777777" w:rsidR="003753FB" w:rsidRDefault="00000000">
      <w:pPr>
        <w:spacing w:line="600" w:lineRule="exact"/>
        <w:ind w:firstLineChars="200" w:firstLine="640"/>
        <w:rPr>
          <w:rFonts w:ascii="仿宋_GB2312" w:eastAsia="仿宋_GB2312"/>
          <w:sz w:val="32"/>
          <w:szCs w:val="32"/>
        </w:rPr>
      </w:pPr>
      <w:r>
        <w:rPr>
          <w:rFonts w:ascii="仿宋_GB2312" w:eastAsia="仿宋_GB2312" w:hint="eastAsia"/>
          <w:sz w:val="32"/>
          <w:szCs w:val="32"/>
        </w:rPr>
        <w:t>2024年度，红原县工商业联合会（商会）机关运行经费支出</w:t>
      </w:r>
      <w:r>
        <w:rPr>
          <w:rFonts w:hint="eastAsia"/>
          <w:sz w:val="32"/>
          <w:szCs w:val="32"/>
        </w:rPr>
        <w:t>6.82</w:t>
      </w:r>
      <w:r>
        <w:rPr>
          <w:rFonts w:ascii="仿宋_GB2312" w:eastAsia="仿宋_GB2312" w:hint="eastAsia"/>
          <w:sz w:val="32"/>
          <w:szCs w:val="32"/>
        </w:rPr>
        <w:t>万元，比2023年度减少0.21万元，下降2.99</w:t>
      </w:r>
      <w:r>
        <w:rPr>
          <w:rFonts w:ascii="仿宋_GB2312" w:eastAsia="仿宋_GB2312"/>
          <w:sz w:val="32"/>
          <w:szCs w:val="32"/>
        </w:rPr>
        <w:t>%</w:t>
      </w:r>
      <w:r>
        <w:rPr>
          <w:rFonts w:ascii="仿宋_GB2312" w:eastAsia="仿宋_GB2312" w:hint="eastAsia"/>
          <w:sz w:val="32"/>
          <w:szCs w:val="32"/>
        </w:rPr>
        <w:t>。主要原因为日常公用经费减少。</w:t>
      </w:r>
    </w:p>
    <w:p w14:paraId="71E2A16B" w14:textId="77777777" w:rsidR="003753FB" w:rsidRDefault="00000000">
      <w:pPr>
        <w:autoSpaceDE w:val="0"/>
        <w:autoSpaceDN w:val="0"/>
        <w:adjustRightInd w:val="0"/>
        <w:spacing w:line="600" w:lineRule="exact"/>
        <w:ind w:firstLineChars="200" w:firstLine="643"/>
        <w:jc w:val="left"/>
        <w:outlineLvl w:val="2"/>
        <w:rPr>
          <w:rFonts w:ascii="仿宋" w:eastAsia="仿宋" w:hAnsi="仿宋" w:hint="eastAsia"/>
          <w:b/>
          <w:sz w:val="32"/>
          <w:szCs w:val="32"/>
        </w:rPr>
      </w:pPr>
      <w:bookmarkStart w:id="73" w:name="_Toc27880"/>
      <w:bookmarkStart w:id="74" w:name="_Toc15377223"/>
      <w:r>
        <w:rPr>
          <w:rFonts w:ascii="仿宋" w:eastAsia="仿宋" w:hAnsi="仿宋" w:hint="eastAsia"/>
          <w:b/>
          <w:sz w:val="32"/>
          <w:szCs w:val="32"/>
        </w:rPr>
        <w:t>（二）政府采购支出情况</w:t>
      </w:r>
      <w:bookmarkEnd w:id="73"/>
      <w:bookmarkEnd w:id="74"/>
    </w:p>
    <w:p w14:paraId="1E57694E" w14:textId="77777777" w:rsidR="003753FB" w:rsidRDefault="00000000">
      <w:pPr>
        <w:spacing w:line="600" w:lineRule="exact"/>
        <w:ind w:firstLineChars="200" w:firstLine="640"/>
        <w:rPr>
          <w:rFonts w:ascii="仿宋_GB2312" w:eastAsia="仿宋_GB2312"/>
          <w:sz w:val="32"/>
          <w:szCs w:val="32"/>
        </w:rPr>
      </w:pPr>
      <w:r>
        <w:rPr>
          <w:rFonts w:ascii="仿宋_GB2312" w:eastAsia="仿宋_GB2312" w:hint="eastAsia"/>
          <w:sz w:val="32"/>
          <w:szCs w:val="32"/>
        </w:rPr>
        <w:t>2024年度，红原县工商业联合会（商会）政府采购支出总额0万元，其中：政府采购货物支出0万元、政府采购工程支出0万元、政府采购服务支出0万元。授予中小企业合同金额0万元，占政府采购支出总额的0%，其中：授予小</w:t>
      </w:r>
      <w:proofErr w:type="gramStart"/>
      <w:r>
        <w:rPr>
          <w:rFonts w:ascii="仿宋_GB2312" w:eastAsia="仿宋_GB2312" w:hint="eastAsia"/>
          <w:sz w:val="32"/>
          <w:szCs w:val="32"/>
        </w:rPr>
        <w:t>微企业</w:t>
      </w:r>
      <w:proofErr w:type="gramEnd"/>
      <w:r>
        <w:rPr>
          <w:rFonts w:ascii="仿宋_GB2312" w:eastAsia="仿宋_GB2312" w:hint="eastAsia"/>
          <w:sz w:val="32"/>
          <w:szCs w:val="32"/>
        </w:rPr>
        <w:t>合同金额0万元，占政府采购支出总额的0%。</w:t>
      </w:r>
    </w:p>
    <w:p w14:paraId="1A6F8A50" w14:textId="77777777" w:rsidR="003753FB" w:rsidRDefault="00000000">
      <w:pPr>
        <w:autoSpaceDE w:val="0"/>
        <w:autoSpaceDN w:val="0"/>
        <w:adjustRightInd w:val="0"/>
        <w:spacing w:line="600" w:lineRule="exact"/>
        <w:ind w:firstLineChars="200" w:firstLine="643"/>
        <w:jc w:val="left"/>
        <w:outlineLvl w:val="2"/>
        <w:rPr>
          <w:rFonts w:ascii="仿宋" w:eastAsia="仿宋" w:hAnsi="仿宋" w:hint="eastAsia"/>
          <w:b/>
          <w:sz w:val="32"/>
          <w:szCs w:val="32"/>
        </w:rPr>
      </w:pPr>
      <w:bookmarkStart w:id="75" w:name="_Toc29032"/>
      <w:bookmarkStart w:id="76" w:name="_Toc15377224"/>
      <w:r>
        <w:rPr>
          <w:rFonts w:ascii="仿宋" w:eastAsia="仿宋" w:hAnsi="仿宋" w:hint="eastAsia"/>
          <w:b/>
          <w:sz w:val="32"/>
          <w:szCs w:val="32"/>
        </w:rPr>
        <w:lastRenderedPageBreak/>
        <w:t>（三）国有资产占有使用情况</w:t>
      </w:r>
      <w:bookmarkEnd w:id="75"/>
      <w:bookmarkEnd w:id="76"/>
    </w:p>
    <w:p w14:paraId="4419E2A6" w14:textId="77777777" w:rsidR="003753FB" w:rsidRDefault="00000000">
      <w:pPr>
        <w:autoSpaceDE w:val="0"/>
        <w:autoSpaceDN w:val="0"/>
        <w:adjustRightInd w:val="0"/>
        <w:spacing w:line="600" w:lineRule="exact"/>
        <w:ind w:firstLineChars="200" w:firstLine="640"/>
        <w:jc w:val="left"/>
        <w:rPr>
          <w:rFonts w:ascii="仿宋_GB2312" w:eastAsia="仿宋_GB2312"/>
          <w:sz w:val="32"/>
          <w:szCs w:val="32"/>
        </w:rPr>
      </w:pPr>
      <w:r>
        <w:rPr>
          <w:rFonts w:ascii="仿宋_GB2312" w:eastAsia="仿宋_GB2312" w:hint="eastAsia"/>
          <w:sz w:val="32"/>
          <w:szCs w:val="32"/>
        </w:rPr>
        <w:t>截至2024年12月31日，红原县工商业联合会（商会）共有车辆1辆，其中：主要领导干部用车0辆、机要通信用车0辆、应急保障用车1辆、其他用车0。单价100万元以上设备（不含车辆）0台。</w:t>
      </w:r>
    </w:p>
    <w:p w14:paraId="3018CE00" w14:textId="77777777" w:rsidR="003753FB" w:rsidRDefault="00000000">
      <w:pPr>
        <w:autoSpaceDE w:val="0"/>
        <w:autoSpaceDN w:val="0"/>
        <w:adjustRightInd w:val="0"/>
        <w:spacing w:line="600" w:lineRule="exact"/>
        <w:ind w:firstLineChars="200" w:firstLine="643"/>
        <w:jc w:val="left"/>
        <w:outlineLvl w:val="2"/>
        <w:rPr>
          <w:rFonts w:ascii="仿宋" w:eastAsia="仿宋" w:hAnsi="仿宋" w:hint="eastAsia"/>
          <w:b/>
          <w:sz w:val="32"/>
          <w:szCs w:val="32"/>
        </w:rPr>
      </w:pPr>
      <w:bookmarkStart w:id="77" w:name="_Toc12049"/>
      <w:r>
        <w:rPr>
          <w:rFonts w:ascii="仿宋" w:eastAsia="仿宋" w:hAnsi="仿宋" w:hint="eastAsia"/>
          <w:b/>
          <w:sz w:val="32"/>
          <w:szCs w:val="32"/>
        </w:rPr>
        <w:t>（四）预算绩效管理情况</w:t>
      </w:r>
      <w:bookmarkEnd w:id="77"/>
    </w:p>
    <w:p w14:paraId="42A3ABB8" w14:textId="77777777" w:rsidR="003753FB" w:rsidRDefault="00000000">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根据预算绩效管理要求，本部门在2024年度预算编制阶段，组织对光彩事业及考察调研培训经费项目开展了预算事前绩效评估，对1个项目编制了绩效目标，预算执行过程中，选取1个项目开展绩效监控。</w:t>
      </w:r>
    </w:p>
    <w:p w14:paraId="1BFF83E5" w14:textId="77777777" w:rsidR="003753FB" w:rsidRDefault="00000000">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本部门按要求对2024年部门整体支出开展绩效自评，从评价情况来看本单位1个项目完成情况良好，严格按照本单位制定的目标绩效管理制度来开展绩效管理工作，项目资金为专项经费的，全部用于专项工作。2024年本部门未组织开展项目支出事后绩效评价。</w:t>
      </w:r>
    </w:p>
    <w:p w14:paraId="347397B2" w14:textId="77777777" w:rsidR="003753FB" w:rsidRDefault="00000000">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1.项目绩效目标完成情况。</w:t>
      </w:r>
      <w:r>
        <w:rPr>
          <w:rFonts w:ascii="仿宋_GB2312" w:eastAsia="仿宋_GB2312" w:hAnsi="仿宋_GB2312" w:cs="仿宋_GB2312" w:hint="eastAsia"/>
          <w:sz w:val="32"/>
          <w:szCs w:val="32"/>
        </w:rPr>
        <w:br/>
        <w:t xml:space="preserve">    本部门在2024年度部门决算中反映：“光彩事业及考察调研培训经费”1个项目绩效目标实际完成情况。</w:t>
      </w:r>
    </w:p>
    <w:p w14:paraId="518F67A5" w14:textId="77777777" w:rsidR="003753FB" w:rsidRDefault="00000000">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光彩事业及考察调研培训经费绩效目标完成情况综述。项目全年预算数5万元，执行数为4.79万元，完成预算的95.8%。通过项目实施，保障了2024年光彩事业及考察调研的顺利进行，在2024年支出执行基础上，细化预算编制，提高了预算编制的精准性。</w:t>
      </w:r>
    </w:p>
    <w:p w14:paraId="058818EF" w14:textId="77777777" w:rsidR="003753FB" w:rsidRDefault="003753FB">
      <w:pPr>
        <w:pStyle w:val="2"/>
        <w:ind w:left="420"/>
      </w:pPr>
    </w:p>
    <w:p w14:paraId="51314331" w14:textId="77777777" w:rsidR="003753FB" w:rsidRDefault="00000000">
      <w:pPr>
        <w:pStyle w:val="1"/>
        <w:jc w:val="center"/>
      </w:pPr>
      <w:bookmarkStart w:id="78" w:name="_Toc19529"/>
      <w:r>
        <w:rPr>
          <w:rFonts w:hint="eastAsia"/>
        </w:rPr>
        <w:lastRenderedPageBreak/>
        <w:t>第三部分</w:t>
      </w:r>
      <w:r>
        <w:rPr>
          <w:rFonts w:hint="eastAsia"/>
        </w:rPr>
        <w:t xml:space="preserve"> </w:t>
      </w:r>
      <w:r>
        <w:rPr>
          <w:rFonts w:hint="eastAsia"/>
        </w:rPr>
        <w:t>名词解释</w:t>
      </w:r>
      <w:bookmarkEnd w:id="78"/>
    </w:p>
    <w:p w14:paraId="69EB9BBF" w14:textId="77777777" w:rsidR="003753FB" w:rsidRDefault="003753FB"/>
    <w:p w14:paraId="0EC2CC46"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1.财政拨款收入：指单位从同级财政部门取得的财政预算资金。</w:t>
      </w:r>
    </w:p>
    <w:p w14:paraId="622363C2"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2.事业收入：指事业单位开展专业业务活动及辅助活动取得的收入。</w:t>
      </w:r>
    </w:p>
    <w:p w14:paraId="02B6EA83"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3.经营收入：指事业单位在专业业务活动及其辅助活动之外开展非独立核算经营活动取得的收入。</w:t>
      </w:r>
    </w:p>
    <w:p w14:paraId="3E4F5FAF"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4.其他收入：指单位取得的除上述收入以外的各项收入。</w:t>
      </w:r>
    </w:p>
    <w:p w14:paraId="061689FB"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 xml:space="preserve">5.使用非财政拨款结余（含专用结余）：指事业单位使用以前年度积累的非财政拨款结余弥补当年收支差额的金额。 </w:t>
      </w:r>
    </w:p>
    <w:p w14:paraId="29B81EA7"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 xml:space="preserve">6.年初结转和结余：指以前年度尚未完成、结转到本年按有关规定继续使用的资金。 </w:t>
      </w:r>
    </w:p>
    <w:p w14:paraId="177CB68D"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7.结余分配：指事业单位按照会计制度规定缴纳的所得税、提取的专用结余以及转入非财政拨款结余的金额等。</w:t>
      </w:r>
    </w:p>
    <w:p w14:paraId="2673F672"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8.年末结转和结余：指单位按有关规定结转到下年或以后年度继续使用的资金。</w:t>
      </w:r>
    </w:p>
    <w:p w14:paraId="49C2483C"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9.一般公共服务（类）…（款）…（项）：指……。</w:t>
      </w:r>
    </w:p>
    <w:p w14:paraId="3D59F0F3"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10.外交（类）…（款）…（项）：指……。</w:t>
      </w:r>
    </w:p>
    <w:p w14:paraId="3E7D7B3C"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11.公共安全（类）…（款）…（项）：指……。</w:t>
      </w:r>
    </w:p>
    <w:p w14:paraId="6EED8848"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12.教育（类）…（款）…（项）：指……。</w:t>
      </w:r>
    </w:p>
    <w:p w14:paraId="29922A0B"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13.科学技术（类）…（款）…（项）：指……。</w:t>
      </w:r>
    </w:p>
    <w:p w14:paraId="6763B372"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14.文化旅游体育与传媒（类）…（款）…（项）：指……。</w:t>
      </w:r>
    </w:p>
    <w:p w14:paraId="76E8193E"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15.社会保障和就业（类）…（款）…（项）：指……。</w:t>
      </w:r>
    </w:p>
    <w:p w14:paraId="411D50E4"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16.卫生健康（类）…（款）…（项）：指……。</w:t>
      </w:r>
    </w:p>
    <w:p w14:paraId="1CB50DED"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17.节能环保（类）…（款）…（项）：指……。</w:t>
      </w:r>
    </w:p>
    <w:p w14:paraId="68E4016E"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18.城乡社区（类）…（款）…（项）：指……。</w:t>
      </w:r>
    </w:p>
    <w:p w14:paraId="0E17CBFB"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19.农林水（类）…（款）…（项）：指……。</w:t>
      </w:r>
    </w:p>
    <w:p w14:paraId="41F908B1"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20.交通运输（类）…（款）…（项）：指……。</w:t>
      </w:r>
    </w:p>
    <w:p w14:paraId="09CF4419"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21.资源勘探工业信息等（类）…（款）…（项）：指……。</w:t>
      </w:r>
    </w:p>
    <w:p w14:paraId="6F7425BB"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22.商业服务业（类）…（款）…（项）：指……。</w:t>
      </w:r>
    </w:p>
    <w:p w14:paraId="55D86F0B"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23.金融（类）…（款）…（项）：指……。</w:t>
      </w:r>
    </w:p>
    <w:p w14:paraId="6B28D96D"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24.自然资源海洋气象等（类）…（款）…（项）：指……。</w:t>
      </w:r>
    </w:p>
    <w:p w14:paraId="192A2209"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25.住房保障（类）…（款）…（项）：指……。</w:t>
      </w:r>
    </w:p>
    <w:p w14:paraId="00687B6E"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26.粮油物资储备（类）…（款）…（项）：指……。</w:t>
      </w:r>
    </w:p>
    <w:p w14:paraId="4353DB5D"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27.基本支出：指为保障机构正常运转、完成日常工作任务而发生的人员支出和公用支出。</w:t>
      </w:r>
    </w:p>
    <w:p w14:paraId="031365AB"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 xml:space="preserve">28.项目支出：指在基本支出之外为完成特定行政任务和事业发展目标所发生的支出。 </w:t>
      </w:r>
    </w:p>
    <w:p w14:paraId="1A2FFBAF"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29.经营支出：指事业单位在专业业务活动及其辅助活动之外开展非独立核算经营活动发生的支出。</w:t>
      </w:r>
    </w:p>
    <w:p w14:paraId="3DD722A5"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30.“三公”经费：指部门用财政拨款安排的因公出国（境）费、公务用车购置及运行费和公务接待费。其中，因公出国</w:t>
      </w:r>
      <w:r>
        <w:rPr>
          <w:rFonts w:ascii="仿宋_GB2312" w:eastAsia="仿宋_GB2312" w:hint="eastAsia"/>
          <w:sz w:val="32"/>
          <w:szCs w:val="32"/>
        </w:rPr>
        <w:lastRenderedPageBreak/>
        <w:t>（境）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14:paraId="0158FC05"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DC90AC1" w14:textId="77777777" w:rsidR="003753FB" w:rsidRDefault="00000000">
      <w:pPr>
        <w:ind w:firstLineChars="200" w:firstLine="643"/>
        <w:rPr>
          <w:rFonts w:ascii="仿宋" w:eastAsia="仿宋" w:hAnsi="仿宋" w:hint="eastAsia"/>
          <w:b/>
          <w:sz w:val="32"/>
          <w:szCs w:val="32"/>
        </w:rPr>
      </w:pPr>
      <w:r>
        <w:rPr>
          <w:rFonts w:ascii="仿宋" w:eastAsia="仿宋" w:hAnsi="仿宋"/>
          <w:b/>
          <w:sz w:val="32"/>
          <w:szCs w:val="32"/>
        </w:rPr>
        <w:br w:type="page"/>
      </w:r>
    </w:p>
    <w:p w14:paraId="34AE7E22" w14:textId="77777777" w:rsidR="003753FB" w:rsidRDefault="00000000">
      <w:pPr>
        <w:pStyle w:val="1"/>
        <w:jc w:val="center"/>
        <w:rPr>
          <w:rFonts w:ascii="黑体" w:eastAsia="黑体" w:hAnsi="黑体" w:hint="eastAsia"/>
          <w:b w:val="0"/>
        </w:rPr>
      </w:pPr>
      <w:bookmarkStart w:id="79" w:name="_Toc2812"/>
      <w:r>
        <w:rPr>
          <w:rFonts w:ascii="黑体" w:eastAsia="黑体" w:hAnsi="黑体" w:hint="eastAsia"/>
          <w:b w:val="0"/>
        </w:rPr>
        <w:lastRenderedPageBreak/>
        <w:t>第四部分 附件</w:t>
      </w:r>
      <w:bookmarkEnd w:id="79"/>
    </w:p>
    <w:p w14:paraId="2529B27F" w14:textId="77777777" w:rsidR="003753FB" w:rsidRDefault="003753FB"/>
    <w:p w14:paraId="4BB18B4D" w14:textId="77777777" w:rsidR="003753FB" w:rsidRDefault="00000000">
      <w:pPr>
        <w:rPr>
          <w:rFonts w:ascii="黑体" w:eastAsia="黑体" w:hAnsi="黑体" w:hint="eastAsia"/>
          <w:sz w:val="32"/>
          <w:szCs w:val="32"/>
        </w:rPr>
      </w:pPr>
      <w:r>
        <w:rPr>
          <w:rFonts w:ascii="黑体" w:eastAsia="黑体" w:hAnsi="黑体" w:hint="eastAsia"/>
          <w:sz w:val="32"/>
          <w:szCs w:val="32"/>
        </w:rPr>
        <w:t>附件1</w:t>
      </w:r>
    </w:p>
    <w:p w14:paraId="7539E8A7" w14:textId="77777777" w:rsidR="003753FB" w:rsidRDefault="00000000">
      <w:pPr>
        <w:jc w:val="center"/>
        <w:rPr>
          <w:rFonts w:ascii="方正小标宋简体" w:eastAsia="方正小标宋简体" w:hAnsi="方正小标宋简体" w:hint="eastAsia"/>
          <w:sz w:val="44"/>
          <w:szCs w:val="44"/>
        </w:rPr>
      </w:pPr>
      <w:r>
        <w:rPr>
          <w:rFonts w:ascii="方正小标宋简体" w:eastAsia="方正小标宋简体" w:hAnsi="方正小标宋简体" w:hint="eastAsia"/>
          <w:sz w:val="44"/>
          <w:szCs w:val="44"/>
        </w:rPr>
        <w:t>部门预算绩效评价报告</w:t>
      </w:r>
    </w:p>
    <w:p w14:paraId="499F4D26" w14:textId="77777777" w:rsidR="003753FB" w:rsidRDefault="003753FB"/>
    <w:p w14:paraId="7F5F75A8" w14:textId="77777777" w:rsidR="003753FB" w:rsidRDefault="00000000">
      <w:pPr>
        <w:rPr>
          <w:rFonts w:ascii="黑体" w:eastAsia="黑体" w:hAnsi="黑体" w:hint="eastAsia"/>
          <w:sz w:val="32"/>
          <w:szCs w:val="32"/>
        </w:rPr>
      </w:pPr>
      <w:r>
        <w:rPr>
          <w:rFonts w:ascii="黑体" w:eastAsia="黑体" w:hAnsi="黑体" w:hint="eastAsia"/>
          <w:sz w:val="32"/>
          <w:szCs w:val="32"/>
        </w:rPr>
        <w:t>一、部门（单位）基本情况</w:t>
      </w:r>
    </w:p>
    <w:p w14:paraId="0C31997B" w14:textId="77777777" w:rsidR="003753FB" w:rsidRDefault="00000000">
      <w:pPr>
        <w:ind w:firstLineChars="200" w:firstLine="643"/>
        <w:rPr>
          <w:rFonts w:ascii="楷体_GB2312" w:eastAsia="楷体_GB2312"/>
          <w:b/>
          <w:sz w:val="32"/>
          <w:szCs w:val="32"/>
        </w:rPr>
      </w:pPr>
      <w:r>
        <w:rPr>
          <w:rFonts w:ascii="楷体_GB2312" w:eastAsia="楷体_GB2312" w:hint="eastAsia"/>
          <w:b/>
          <w:sz w:val="32"/>
          <w:szCs w:val="32"/>
        </w:rPr>
        <w:t>（一）机构组成。</w:t>
      </w:r>
    </w:p>
    <w:p w14:paraId="65D9C971" w14:textId="77777777" w:rsidR="003753FB" w:rsidRDefault="00000000">
      <w:pPr>
        <w:ind w:firstLineChars="200" w:firstLine="640"/>
        <w:rPr>
          <w:rFonts w:ascii="仿宋_GB2312" w:eastAsia="仿宋_GB2312"/>
          <w:sz w:val="32"/>
          <w:szCs w:val="32"/>
          <w:lang w:val="zh-CN"/>
        </w:rPr>
      </w:pPr>
      <w:r>
        <w:rPr>
          <w:rFonts w:ascii="仿宋_GB2312" w:eastAsia="仿宋_GB2312" w:hint="eastAsia"/>
          <w:sz w:val="32"/>
          <w:szCs w:val="32"/>
          <w:lang w:val="zh-CN"/>
        </w:rPr>
        <w:t>红原县</w:t>
      </w:r>
      <w:r>
        <w:rPr>
          <w:rFonts w:ascii="仿宋_GB2312" w:eastAsia="仿宋_GB2312" w:hint="eastAsia"/>
          <w:sz w:val="32"/>
          <w:szCs w:val="32"/>
        </w:rPr>
        <w:t>工商业联合会（商会）</w:t>
      </w:r>
      <w:r>
        <w:rPr>
          <w:rFonts w:ascii="仿宋_GB2312" w:eastAsia="仿宋_GB2312" w:hint="eastAsia"/>
          <w:sz w:val="32"/>
          <w:szCs w:val="32"/>
          <w:lang w:val="zh-CN"/>
        </w:rPr>
        <w:t>是行政单位，执行行政单位会计制度，我局下属二级决算单位</w:t>
      </w:r>
      <w:r>
        <w:rPr>
          <w:rFonts w:ascii="仿宋_GB2312" w:eastAsia="仿宋_GB2312" w:hint="eastAsia"/>
          <w:sz w:val="32"/>
          <w:szCs w:val="32"/>
        </w:rPr>
        <w:t>0</w:t>
      </w:r>
      <w:r>
        <w:rPr>
          <w:rFonts w:ascii="仿宋_GB2312" w:eastAsia="仿宋_GB2312" w:hint="eastAsia"/>
          <w:sz w:val="32"/>
          <w:szCs w:val="32"/>
          <w:lang w:val="zh-CN"/>
        </w:rPr>
        <w:t>个，其中行政单位</w:t>
      </w:r>
      <w:r>
        <w:rPr>
          <w:rFonts w:ascii="仿宋_GB2312" w:eastAsia="仿宋_GB2312" w:hint="eastAsia"/>
          <w:sz w:val="32"/>
          <w:szCs w:val="32"/>
        </w:rPr>
        <w:t>0</w:t>
      </w:r>
      <w:r>
        <w:rPr>
          <w:rFonts w:ascii="仿宋_GB2312" w:eastAsia="仿宋_GB2312" w:hint="eastAsia"/>
          <w:sz w:val="32"/>
          <w:szCs w:val="32"/>
          <w:lang w:val="zh-CN"/>
        </w:rPr>
        <w:t>个，参照公务员法管理的事业单位</w:t>
      </w:r>
      <w:r>
        <w:rPr>
          <w:rFonts w:ascii="仿宋_GB2312" w:eastAsia="仿宋_GB2312" w:hint="eastAsia"/>
          <w:sz w:val="32"/>
          <w:szCs w:val="32"/>
        </w:rPr>
        <w:t>0</w:t>
      </w:r>
      <w:r>
        <w:rPr>
          <w:rFonts w:ascii="仿宋_GB2312" w:eastAsia="仿宋_GB2312" w:hint="eastAsia"/>
          <w:sz w:val="32"/>
          <w:szCs w:val="32"/>
          <w:lang w:val="zh-CN"/>
        </w:rPr>
        <w:t>个，其他事业单位0个，</w:t>
      </w:r>
      <w:r>
        <w:rPr>
          <w:rFonts w:ascii="仿宋_GB2312" w:eastAsia="仿宋_GB2312"/>
          <w:sz w:val="32"/>
          <w:szCs w:val="32"/>
          <w:lang w:val="zh-CN"/>
        </w:rPr>
        <w:t>是独立核算的机构</w:t>
      </w:r>
      <w:r>
        <w:rPr>
          <w:rFonts w:ascii="仿宋_GB2312" w:eastAsia="仿宋_GB2312" w:hint="eastAsia"/>
          <w:sz w:val="32"/>
          <w:szCs w:val="32"/>
          <w:lang w:val="zh-CN"/>
        </w:rPr>
        <w:t>。</w:t>
      </w:r>
    </w:p>
    <w:p w14:paraId="6F11D202" w14:textId="77777777" w:rsidR="003753FB" w:rsidRDefault="00000000">
      <w:pPr>
        <w:numPr>
          <w:ilvl w:val="0"/>
          <w:numId w:val="5"/>
        </w:numPr>
        <w:ind w:firstLineChars="200" w:firstLine="643"/>
        <w:rPr>
          <w:rFonts w:ascii="楷体_GB2312" w:eastAsia="楷体_GB2312"/>
          <w:b/>
          <w:sz w:val="32"/>
          <w:szCs w:val="32"/>
        </w:rPr>
      </w:pPr>
      <w:r>
        <w:rPr>
          <w:rFonts w:ascii="楷体_GB2312" w:eastAsia="楷体_GB2312" w:hint="eastAsia"/>
          <w:b/>
          <w:sz w:val="32"/>
          <w:szCs w:val="32"/>
        </w:rPr>
        <w:t>机构职能。</w:t>
      </w:r>
    </w:p>
    <w:p w14:paraId="19B28E64" w14:textId="77777777" w:rsidR="003753FB" w:rsidRDefault="00000000">
      <w:pPr>
        <w:ind w:firstLineChars="200" w:firstLine="640"/>
        <w:rPr>
          <w:rFonts w:ascii="楷体_GB2312" w:eastAsia="楷体_GB2312"/>
          <w:b/>
          <w:sz w:val="32"/>
          <w:szCs w:val="32"/>
        </w:rPr>
      </w:pPr>
      <w:r>
        <w:rPr>
          <w:rFonts w:eastAsia="仿宋_GB2312" w:hint="eastAsia"/>
          <w:sz w:val="32"/>
          <w:szCs w:val="32"/>
        </w:rPr>
        <w:t>我</w:t>
      </w:r>
      <w:r>
        <w:rPr>
          <w:rFonts w:ascii="仿宋_GB2312" w:eastAsia="仿宋_GB2312" w:hAnsi="仿宋_GB2312" w:cs="仿宋_GB2312" w:hint="eastAsia"/>
          <w:sz w:val="32"/>
          <w:szCs w:val="32"/>
        </w:rPr>
        <w:t>团结、服务、引导、教育非公有制</w:t>
      </w:r>
      <w:proofErr w:type="gramStart"/>
      <w:r>
        <w:rPr>
          <w:rFonts w:ascii="仿宋_GB2312" w:eastAsia="仿宋_GB2312" w:hAnsi="仿宋_GB2312" w:cs="仿宋_GB2312" w:hint="eastAsia"/>
          <w:sz w:val="32"/>
          <w:szCs w:val="32"/>
        </w:rPr>
        <w:t>经济人</w:t>
      </w:r>
      <w:proofErr w:type="gramEnd"/>
      <w:r>
        <w:rPr>
          <w:rFonts w:ascii="仿宋_GB2312" w:eastAsia="仿宋_GB2312" w:hAnsi="仿宋_GB2312" w:cs="仿宋_GB2312" w:hint="eastAsia"/>
          <w:sz w:val="32"/>
          <w:szCs w:val="32"/>
        </w:rPr>
        <w:t>士，发挥民主监督作用，积极参政议政。参与政府相关的经济活动，开展民间外交，推动经贸交流和协作，促进经济社会发展。指导本会直属商会工作，为会员提供政策信息、人才交流培训等服务。积极引导非公有制企业及其非公有制</w:t>
      </w:r>
      <w:proofErr w:type="gramStart"/>
      <w:r>
        <w:rPr>
          <w:rFonts w:ascii="仿宋_GB2312" w:eastAsia="仿宋_GB2312" w:hAnsi="仿宋_GB2312" w:cs="仿宋_GB2312" w:hint="eastAsia"/>
          <w:sz w:val="32"/>
          <w:szCs w:val="32"/>
        </w:rPr>
        <w:t>经济人士承担</w:t>
      </w:r>
      <w:proofErr w:type="gramEnd"/>
      <w:r>
        <w:rPr>
          <w:rFonts w:ascii="仿宋_GB2312" w:eastAsia="仿宋_GB2312" w:hAnsi="仿宋_GB2312" w:cs="仿宋_GB2312" w:hint="eastAsia"/>
          <w:sz w:val="32"/>
          <w:szCs w:val="32"/>
        </w:rPr>
        <w:t>社会责任，大力支持慈善公益事业发展，积极投身光彩事业</w:t>
      </w:r>
    </w:p>
    <w:p w14:paraId="720D48F3" w14:textId="77777777" w:rsidR="003753FB" w:rsidRDefault="00000000">
      <w:pPr>
        <w:numPr>
          <w:ilvl w:val="0"/>
          <w:numId w:val="5"/>
        </w:numPr>
        <w:snapToGrid w:val="0"/>
        <w:spacing w:line="560" w:lineRule="exact"/>
        <w:ind w:firstLineChars="200" w:firstLine="643"/>
        <w:rPr>
          <w:rFonts w:ascii="楷体_GB2312" w:eastAsia="楷体_GB2312"/>
          <w:b/>
          <w:sz w:val="32"/>
          <w:szCs w:val="32"/>
        </w:rPr>
      </w:pPr>
      <w:r>
        <w:rPr>
          <w:rFonts w:ascii="楷体_GB2312" w:eastAsia="楷体_GB2312" w:hint="eastAsia"/>
          <w:b/>
          <w:sz w:val="32"/>
          <w:szCs w:val="32"/>
        </w:rPr>
        <w:t>人员概况。</w:t>
      </w:r>
    </w:p>
    <w:p w14:paraId="02B47C15" w14:textId="77777777" w:rsidR="003753FB"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lang w:val="zh-CN"/>
        </w:rPr>
        <w:t>我</w:t>
      </w:r>
      <w:r>
        <w:rPr>
          <w:rFonts w:ascii="仿宋_GB2312" w:eastAsia="仿宋_GB2312" w:hint="eastAsia"/>
          <w:sz w:val="32"/>
        </w:rPr>
        <w:t>单位</w:t>
      </w:r>
      <w:r>
        <w:rPr>
          <w:rFonts w:ascii="仿宋_GB2312" w:eastAsia="仿宋_GB2312" w:hint="eastAsia"/>
          <w:sz w:val="32"/>
          <w:lang w:val="zh-CN"/>
        </w:rPr>
        <w:t>人事核定行政编制</w:t>
      </w:r>
      <w:r>
        <w:rPr>
          <w:rFonts w:ascii="仿宋_GB2312" w:eastAsia="仿宋_GB2312" w:hint="eastAsia"/>
          <w:sz w:val="32"/>
        </w:rPr>
        <w:t>4</w:t>
      </w:r>
      <w:r>
        <w:rPr>
          <w:rFonts w:ascii="仿宋_GB2312" w:eastAsia="仿宋_GB2312" w:hint="eastAsia"/>
          <w:sz w:val="32"/>
          <w:lang w:val="zh-CN"/>
        </w:rPr>
        <w:t>人，其中：行政工勤编制1人。是独立核算的机构，是独立编报预算的单位。20</w:t>
      </w:r>
      <w:r>
        <w:rPr>
          <w:rFonts w:ascii="仿宋_GB2312" w:hint="eastAsia"/>
          <w:sz w:val="32"/>
        </w:rPr>
        <w:t>24</w:t>
      </w:r>
      <w:r>
        <w:rPr>
          <w:rFonts w:ascii="仿宋_GB2312" w:eastAsia="仿宋_GB2312" w:hint="eastAsia"/>
          <w:sz w:val="32"/>
          <w:lang w:val="zh-CN"/>
        </w:rPr>
        <w:t>年年末在职行政人数</w:t>
      </w:r>
      <w:r>
        <w:rPr>
          <w:rFonts w:ascii="仿宋_GB2312" w:hint="eastAsia"/>
          <w:sz w:val="32"/>
        </w:rPr>
        <w:t>5</w:t>
      </w:r>
      <w:r>
        <w:rPr>
          <w:rFonts w:ascii="仿宋_GB2312" w:eastAsia="仿宋_GB2312" w:hint="eastAsia"/>
          <w:sz w:val="32"/>
          <w:lang w:val="zh-CN"/>
        </w:rPr>
        <w:t>人，其中：行政工勤在职人数1人。事业</w:t>
      </w:r>
      <w:r>
        <w:rPr>
          <w:rFonts w:ascii="仿宋_GB2312" w:eastAsia="仿宋_GB2312" w:hint="eastAsia"/>
          <w:sz w:val="32"/>
          <w:lang w:val="zh-CN"/>
        </w:rPr>
        <w:lastRenderedPageBreak/>
        <w:t>编制人数</w:t>
      </w:r>
      <w:r>
        <w:rPr>
          <w:rFonts w:ascii="仿宋_GB2312" w:hint="eastAsia"/>
          <w:sz w:val="32"/>
        </w:rPr>
        <w:t>0</w:t>
      </w:r>
      <w:r>
        <w:rPr>
          <w:rFonts w:ascii="仿宋_GB2312" w:eastAsia="仿宋_GB2312" w:hint="eastAsia"/>
          <w:sz w:val="32"/>
        </w:rPr>
        <w:t>人，实有人数5人。</w:t>
      </w:r>
    </w:p>
    <w:p w14:paraId="6108D106" w14:textId="77777777" w:rsidR="003753FB" w:rsidRDefault="00000000">
      <w:pPr>
        <w:rPr>
          <w:rFonts w:ascii="黑体" w:eastAsia="黑体" w:hAnsi="黑体" w:hint="eastAsia"/>
          <w:sz w:val="32"/>
          <w:szCs w:val="32"/>
        </w:rPr>
      </w:pPr>
      <w:r>
        <w:rPr>
          <w:rFonts w:ascii="黑体" w:eastAsia="黑体" w:hAnsi="黑体" w:hint="eastAsia"/>
          <w:sz w:val="32"/>
          <w:szCs w:val="32"/>
        </w:rPr>
        <w:t>二、部门资金收支情况</w:t>
      </w:r>
    </w:p>
    <w:p w14:paraId="2A47B125" w14:textId="77777777" w:rsidR="003753FB" w:rsidRDefault="00000000">
      <w:pPr>
        <w:ind w:firstLineChars="200" w:firstLine="643"/>
        <w:rPr>
          <w:rFonts w:ascii="楷体_GB2312" w:eastAsia="楷体_GB2312"/>
          <w:b/>
          <w:sz w:val="32"/>
          <w:szCs w:val="32"/>
        </w:rPr>
      </w:pPr>
      <w:r>
        <w:rPr>
          <w:rFonts w:ascii="楷体_GB2312" w:eastAsia="楷体_GB2312" w:hint="eastAsia"/>
          <w:b/>
          <w:sz w:val="32"/>
          <w:szCs w:val="32"/>
        </w:rPr>
        <w:t>（一）收入情况。</w:t>
      </w:r>
    </w:p>
    <w:p w14:paraId="1B639A62" w14:textId="77777777" w:rsidR="003753FB" w:rsidRDefault="00000000">
      <w:pPr>
        <w:snapToGrid w:val="0"/>
        <w:spacing w:line="560" w:lineRule="exact"/>
        <w:ind w:firstLineChars="200" w:firstLine="640"/>
        <w:rPr>
          <w:rFonts w:ascii="仿宋_GB2312" w:eastAsia="仿宋_GB2312"/>
          <w:sz w:val="32"/>
          <w:lang w:val="zh-CN"/>
        </w:rPr>
      </w:pPr>
      <w:r>
        <w:rPr>
          <w:rFonts w:ascii="仿宋_GB2312" w:eastAsia="仿宋_GB2312" w:hint="eastAsia"/>
          <w:sz w:val="32"/>
          <w:lang w:val="zh-CN"/>
        </w:rPr>
        <w:t>本单位</w:t>
      </w:r>
      <w:r>
        <w:rPr>
          <w:rFonts w:ascii="仿宋_GB2312" w:eastAsia="仿宋_GB2312" w:hint="eastAsia"/>
          <w:sz w:val="32"/>
        </w:rPr>
        <w:t>2024年</w:t>
      </w:r>
      <w:r>
        <w:rPr>
          <w:rFonts w:ascii="仿宋_GB2312" w:eastAsia="仿宋_GB2312" w:hint="eastAsia"/>
          <w:sz w:val="32"/>
          <w:lang w:val="zh-CN"/>
        </w:rPr>
        <w:t>收入全年预算数为</w:t>
      </w:r>
      <w:r>
        <w:rPr>
          <w:rFonts w:ascii="仿宋_GB2312" w:eastAsia="仿宋_GB2312" w:hint="eastAsia"/>
          <w:sz w:val="32"/>
        </w:rPr>
        <w:t>145.62</w:t>
      </w:r>
      <w:r>
        <w:rPr>
          <w:rFonts w:ascii="仿宋_GB2312" w:eastAsia="仿宋_GB2312" w:hint="eastAsia"/>
          <w:sz w:val="32"/>
          <w:lang w:val="zh-CN"/>
        </w:rPr>
        <w:t>万元，收入决算数为</w:t>
      </w:r>
      <w:r>
        <w:rPr>
          <w:rFonts w:ascii="仿宋_GB2312" w:eastAsia="仿宋_GB2312" w:hint="eastAsia"/>
          <w:sz w:val="32"/>
        </w:rPr>
        <w:t>145.62</w:t>
      </w:r>
      <w:r>
        <w:rPr>
          <w:rFonts w:ascii="仿宋_GB2312" w:eastAsia="仿宋_GB2312" w:hint="eastAsia"/>
          <w:sz w:val="32"/>
          <w:lang w:val="zh-CN"/>
        </w:rPr>
        <w:t>万元，预算完成度为100%。20</w:t>
      </w:r>
      <w:r>
        <w:rPr>
          <w:rFonts w:ascii="仿宋_GB2312" w:eastAsia="仿宋_GB2312" w:hint="eastAsia"/>
          <w:sz w:val="32"/>
        </w:rPr>
        <w:t>24</w:t>
      </w:r>
      <w:r>
        <w:rPr>
          <w:rFonts w:ascii="仿宋_GB2312" w:eastAsia="仿宋_GB2312" w:hint="eastAsia"/>
          <w:sz w:val="32"/>
          <w:lang w:val="zh-CN"/>
        </w:rPr>
        <w:t>年</w:t>
      </w:r>
      <w:r>
        <w:rPr>
          <w:rFonts w:ascii="仿宋_GB2312" w:eastAsia="仿宋_GB2312" w:hint="eastAsia"/>
          <w:sz w:val="32"/>
        </w:rPr>
        <w:t>总</w:t>
      </w:r>
      <w:r>
        <w:rPr>
          <w:rFonts w:ascii="仿宋_GB2312" w:eastAsia="仿宋_GB2312" w:hint="eastAsia"/>
          <w:sz w:val="32"/>
          <w:lang w:val="zh-CN"/>
        </w:rPr>
        <w:t>收入</w:t>
      </w:r>
      <w:r>
        <w:rPr>
          <w:rFonts w:ascii="仿宋_GB2312" w:eastAsia="仿宋_GB2312" w:hint="eastAsia"/>
          <w:sz w:val="32"/>
        </w:rPr>
        <w:t>145.62</w:t>
      </w:r>
      <w:r>
        <w:rPr>
          <w:rFonts w:ascii="仿宋_GB2312" w:eastAsia="仿宋_GB2312" w:hint="eastAsia"/>
          <w:sz w:val="32"/>
          <w:lang w:val="zh-CN"/>
        </w:rPr>
        <w:t>万元，其中：财政拨款收入</w:t>
      </w:r>
      <w:r>
        <w:rPr>
          <w:rFonts w:ascii="仿宋_GB2312" w:eastAsia="仿宋_GB2312" w:hint="eastAsia"/>
          <w:sz w:val="32"/>
        </w:rPr>
        <w:t>145.62</w:t>
      </w:r>
      <w:r>
        <w:rPr>
          <w:rFonts w:ascii="仿宋_GB2312" w:eastAsia="仿宋_GB2312" w:hint="eastAsia"/>
          <w:sz w:val="32"/>
          <w:lang w:val="zh-CN"/>
        </w:rPr>
        <w:t>万元，占</w:t>
      </w:r>
      <w:r>
        <w:rPr>
          <w:rFonts w:ascii="仿宋_GB2312" w:eastAsia="仿宋_GB2312" w:hint="eastAsia"/>
          <w:sz w:val="32"/>
        </w:rPr>
        <w:t>100</w:t>
      </w:r>
      <w:r>
        <w:rPr>
          <w:rFonts w:ascii="仿宋_GB2312" w:eastAsia="仿宋_GB2312" w:hint="eastAsia"/>
          <w:sz w:val="32"/>
          <w:lang w:val="zh-CN"/>
        </w:rPr>
        <w:t>%</w:t>
      </w:r>
      <w:r>
        <w:rPr>
          <w:rFonts w:ascii="仿宋_GB2312" w:eastAsia="仿宋_GB2312" w:hint="eastAsia"/>
          <w:sz w:val="32"/>
        </w:rPr>
        <w:t>。</w:t>
      </w:r>
    </w:p>
    <w:p w14:paraId="57264F15" w14:textId="77777777" w:rsidR="003753FB" w:rsidRDefault="00000000">
      <w:pPr>
        <w:ind w:firstLineChars="200" w:firstLine="643"/>
        <w:rPr>
          <w:rFonts w:ascii="楷体_GB2312" w:eastAsia="楷体_GB2312"/>
          <w:b/>
          <w:sz w:val="32"/>
          <w:szCs w:val="32"/>
        </w:rPr>
      </w:pPr>
      <w:r>
        <w:rPr>
          <w:rFonts w:ascii="楷体_GB2312" w:eastAsia="楷体_GB2312" w:hint="eastAsia"/>
          <w:b/>
          <w:sz w:val="32"/>
          <w:szCs w:val="32"/>
        </w:rPr>
        <w:t>（二）支出情况。</w:t>
      </w:r>
    </w:p>
    <w:p w14:paraId="73B4BC48" w14:textId="77777777" w:rsidR="003753FB" w:rsidRDefault="00000000">
      <w:pPr>
        <w:ind w:firstLineChars="200" w:firstLine="640"/>
        <w:rPr>
          <w:rFonts w:ascii="仿宋_GB2312" w:eastAsia="仿宋_GB2312"/>
          <w:sz w:val="32"/>
          <w:lang w:val="zh-CN"/>
        </w:rPr>
      </w:pPr>
      <w:r>
        <w:rPr>
          <w:rFonts w:ascii="仿宋_GB2312" w:eastAsia="仿宋_GB2312" w:hAnsi="仿宋" w:hint="eastAsia"/>
          <w:sz w:val="32"/>
          <w:szCs w:val="32"/>
        </w:rPr>
        <w:t>本</w:t>
      </w:r>
      <w:r>
        <w:rPr>
          <w:rFonts w:ascii="仿宋_GB2312" w:eastAsia="仿宋_GB2312" w:hint="eastAsia"/>
          <w:sz w:val="32"/>
          <w:lang w:val="zh-CN"/>
        </w:rPr>
        <w:t>单位</w:t>
      </w:r>
      <w:r>
        <w:rPr>
          <w:rFonts w:ascii="仿宋_GB2312" w:eastAsia="仿宋_GB2312" w:hint="eastAsia"/>
          <w:sz w:val="32"/>
        </w:rPr>
        <w:t>2024年支出</w:t>
      </w:r>
      <w:r>
        <w:rPr>
          <w:rFonts w:ascii="仿宋_GB2312" w:eastAsia="仿宋_GB2312" w:hint="eastAsia"/>
          <w:sz w:val="32"/>
          <w:lang w:val="zh-CN"/>
        </w:rPr>
        <w:t>全年预算数为</w:t>
      </w:r>
      <w:r>
        <w:rPr>
          <w:rFonts w:ascii="仿宋_GB2312" w:eastAsia="仿宋_GB2312" w:hint="eastAsia"/>
          <w:sz w:val="32"/>
        </w:rPr>
        <w:t>165.25</w:t>
      </w:r>
      <w:r>
        <w:rPr>
          <w:rFonts w:ascii="仿宋_GB2312" w:eastAsia="仿宋_GB2312" w:hint="eastAsia"/>
          <w:sz w:val="32"/>
          <w:lang w:val="zh-CN"/>
        </w:rPr>
        <w:t>万元，</w:t>
      </w:r>
      <w:r>
        <w:rPr>
          <w:rFonts w:ascii="仿宋_GB2312" w:eastAsia="仿宋_GB2312" w:hint="eastAsia"/>
          <w:sz w:val="32"/>
        </w:rPr>
        <w:t>支出</w:t>
      </w:r>
      <w:r>
        <w:rPr>
          <w:rFonts w:ascii="仿宋_GB2312" w:eastAsia="仿宋_GB2312" w:hint="eastAsia"/>
          <w:sz w:val="32"/>
          <w:lang w:val="zh-CN"/>
        </w:rPr>
        <w:t>决算数为</w:t>
      </w:r>
      <w:r>
        <w:rPr>
          <w:rFonts w:ascii="仿宋_GB2312" w:eastAsia="仿宋_GB2312" w:hint="eastAsia"/>
          <w:sz w:val="32"/>
        </w:rPr>
        <w:t>145.62</w:t>
      </w:r>
      <w:r>
        <w:rPr>
          <w:rFonts w:ascii="仿宋_GB2312" w:eastAsia="仿宋_GB2312" w:hint="eastAsia"/>
          <w:sz w:val="32"/>
          <w:lang w:val="zh-CN"/>
        </w:rPr>
        <w:t>万元，预算完成度为</w:t>
      </w:r>
      <w:r>
        <w:rPr>
          <w:rFonts w:ascii="仿宋_GB2312" w:eastAsia="仿宋_GB2312" w:hint="eastAsia"/>
          <w:sz w:val="32"/>
        </w:rPr>
        <w:t>88.12</w:t>
      </w:r>
      <w:r>
        <w:rPr>
          <w:rFonts w:ascii="仿宋_GB2312" w:eastAsia="仿宋_GB2312" w:hint="eastAsia"/>
          <w:sz w:val="32"/>
          <w:lang w:val="zh-CN"/>
        </w:rPr>
        <w:t>%。20</w:t>
      </w:r>
      <w:r>
        <w:rPr>
          <w:rFonts w:ascii="仿宋_GB2312" w:eastAsia="仿宋_GB2312" w:hint="eastAsia"/>
          <w:sz w:val="32"/>
        </w:rPr>
        <w:t>24</w:t>
      </w:r>
      <w:r>
        <w:rPr>
          <w:rFonts w:ascii="仿宋_GB2312" w:eastAsia="仿宋_GB2312" w:hint="eastAsia"/>
          <w:sz w:val="32"/>
          <w:lang w:val="zh-CN"/>
        </w:rPr>
        <w:t>年支出</w:t>
      </w:r>
      <w:r>
        <w:rPr>
          <w:rFonts w:ascii="仿宋_GB2312" w:eastAsia="仿宋_GB2312" w:hint="eastAsia"/>
          <w:sz w:val="32"/>
        </w:rPr>
        <w:t>决算数145.62</w:t>
      </w:r>
      <w:r>
        <w:rPr>
          <w:rFonts w:ascii="仿宋_GB2312" w:eastAsia="仿宋_GB2312" w:hint="eastAsia"/>
          <w:sz w:val="32"/>
          <w:lang w:val="zh-CN"/>
        </w:rPr>
        <w:t>万元，其中：一般公共服务支出为</w:t>
      </w:r>
      <w:r>
        <w:rPr>
          <w:rFonts w:ascii="仿宋_GB2312" w:eastAsia="仿宋_GB2312" w:hint="eastAsia"/>
          <w:sz w:val="32"/>
        </w:rPr>
        <w:t>106.55</w:t>
      </w:r>
      <w:r>
        <w:rPr>
          <w:rFonts w:ascii="仿宋_GB2312" w:eastAsia="仿宋_GB2312" w:hint="eastAsia"/>
          <w:sz w:val="32"/>
          <w:lang w:val="zh-CN"/>
        </w:rPr>
        <w:t>万元，占比</w:t>
      </w:r>
      <w:r>
        <w:rPr>
          <w:rFonts w:ascii="仿宋_GB2312" w:eastAsia="仿宋_GB2312" w:hint="eastAsia"/>
          <w:sz w:val="32"/>
        </w:rPr>
        <w:t>73.18</w:t>
      </w:r>
      <w:r>
        <w:rPr>
          <w:rFonts w:ascii="仿宋_GB2312" w:eastAsia="仿宋_GB2312" w:hint="eastAsia"/>
          <w:sz w:val="32"/>
          <w:lang w:val="zh-CN"/>
        </w:rPr>
        <w:t>%；社会保障和就业支出为</w:t>
      </w:r>
      <w:r>
        <w:rPr>
          <w:rFonts w:ascii="仿宋_GB2312" w:eastAsia="仿宋_GB2312" w:hint="eastAsia"/>
          <w:sz w:val="32"/>
        </w:rPr>
        <w:t>20.80</w:t>
      </w:r>
      <w:r>
        <w:rPr>
          <w:rFonts w:ascii="仿宋_GB2312" w:eastAsia="仿宋_GB2312" w:hint="eastAsia"/>
          <w:sz w:val="32"/>
          <w:lang w:val="zh-CN"/>
        </w:rPr>
        <w:t>万元，占比</w:t>
      </w:r>
      <w:r>
        <w:rPr>
          <w:rFonts w:ascii="仿宋_GB2312" w:eastAsia="仿宋_GB2312" w:hint="eastAsia"/>
          <w:sz w:val="32"/>
        </w:rPr>
        <w:t>14.28</w:t>
      </w:r>
      <w:r>
        <w:rPr>
          <w:rFonts w:ascii="仿宋_GB2312" w:eastAsia="仿宋_GB2312" w:hint="eastAsia"/>
          <w:sz w:val="32"/>
          <w:lang w:val="zh-CN"/>
        </w:rPr>
        <w:t>%；卫生健康支出为</w:t>
      </w:r>
      <w:r>
        <w:rPr>
          <w:rFonts w:ascii="仿宋_GB2312" w:eastAsia="仿宋_GB2312" w:hint="eastAsia"/>
          <w:sz w:val="32"/>
        </w:rPr>
        <w:t>8.03</w:t>
      </w:r>
      <w:r>
        <w:rPr>
          <w:rFonts w:ascii="仿宋_GB2312" w:eastAsia="仿宋_GB2312" w:hint="eastAsia"/>
          <w:sz w:val="32"/>
          <w:lang w:val="zh-CN"/>
        </w:rPr>
        <w:t>万元，占比</w:t>
      </w:r>
      <w:r>
        <w:rPr>
          <w:rFonts w:ascii="仿宋_GB2312" w:eastAsia="仿宋_GB2312" w:hint="eastAsia"/>
          <w:sz w:val="32"/>
        </w:rPr>
        <w:t>5.51</w:t>
      </w:r>
      <w:r>
        <w:rPr>
          <w:rFonts w:ascii="仿宋_GB2312" w:eastAsia="仿宋_GB2312" w:hint="eastAsia"/>
          <w:sz w:val="32"/>
          <w:lang w:val="zh-CN"/>
        </w:rPr>
        <w:t>%；住房保障支出为</w:t>
      </w:r>
      <w:r>
        <w:rPr>
          <w:rFonts w:ascii="仿宋_GB2312" w:eastAsia="仿宋_GB2312" w:hint="eastAsia"/>
          <w:sz w:val="32"/>
        </w:rPr>
        <w:t>10.24</w:t>
      </w:r>
      <w:r>
        <w:rPr>
          <w:rFonts w:ascii="仿宋_GB2312" w:eastAsia="仿宋_GB2312" w:hint="eastAsia"/>
          <w:sz w:val="32"/>
          <w:lang w:val="zh-CN"/>
        </w:rPr>
        <w:t>万元，占比</w:t>
      </w:r>
      <w:r>
        <w:rPr>
          <w:rFonts w:ascii="仿宋_GB2312" w:eastAsia="仿宋_GB2312" w:hint="eastAsia"/>
          <w:sz w:val="32"/>
        </w:rPr>
        <w:t>7.03</w:t>
      </w:r>
      <w:r>
        <w:rPr>
          <w:rFonts w:ascii="仿宋_GB2312" w:eastAsia="仿宋_GB2312" w:hint="eastAsia"/>
          <w:sz w:val="32"/>
          <w:lang w:val="zh-CN"/>
        </w:rPr>
        <w:t>%；较上年支出</w:t>
      </w:r>
      <w:r>
        <w:rPr>
          <w:rFonts w:ascii="仿宋_GB2312" w:eastAsia="仿宋_GB2312" w:hint="eastAsia"/>
          <w:sz w:val="32"/>
        </w:rPr>
        <w:t>163.15万元减少17.53万元。</w:t>
      </w:r>
    </w:p>
    <w:p w14:paraId="77A80652" w14:textId="77777777" w:rsidR="003753FB" w:rsidRDefault="00000000">
      <w:pPr>
        <w:widowControl/>
        <w:adjustRightInd w:val="0"/>
        <w:snapToGrid w:val="0"/>
        <w:spacing w:line="578" w:lineRule="exact"/>
        <w:ind w:firstLineChars="200" w:firstLine="643"/>
        <w:contextualSpacing/>
        <w:jc w:val="left"/>
        <w:rPr>
          <w:rFonts w:ascii="楷体_GB2312" w:eastAsia="楷体_GB2312"/>
          <w:b/>
          <w:sz w:val="32"/>
          <w:szCs w:val="32"/>
        </w:rPr>
      </w:pPr>
      <w:r>
        <w:rPr>
          <w:rFonts w:ascii="楷体_GB2312" w:eastAsia="楷体_GB2312" w:hint="eastAsia"/>
          <w:b/>
          <w:sz w:val="32"/>
          <w:szCs w:val="32"/>
        </w:rPr>
        <w:t>（三）结余分配和结转结余情况。</w:t>
      </w:r>
    </w:p>
    <w:p w14:paraId="040774D9" w14:textId="77777777" w:rsidR="003753FB" w:rsidRDefault="00000000">
      <w:pPr>
        <w:widowControl/>
        <w:adjustRightInd w:val="0"/>
        <w:snapToGrid w:val="0"/>
        <w:spacing w:line="578" w:lineRule="exact"/>
        <w:ind w:firstLineChars="200" w:firstLine="640"/>
        <w:contextualSpacing/>
        <w:jc w:val="left"/>
        <w:rPr>
          <w:rFonts w:ascii="仿宋_GB2312" w:eastAsia="仿宋_GB2312"/>
          <w:sz w:val="32"/>
          <w:szCs w:val="32"/>
        </w:rPr>
      </w:pPr>
      <w:r>
        <w:rPr>
          <w:rFonts w:ascii="仿宋_GB2312" w:eastAsia="仿宋_GB2312" w:hint="eastAsia"/>
          <w:sz w:val="32"/>
        </w:rPr>
        <w:t>红原县工商业联合会（商会）2024年决算报表</w:t>
      </w:r>
      <w:r>
        <w:rPr>
          <w:rFonts w:ascii="仿宋_GB2312" w:eastAsia="仿宋_GB2312"/>
          <w:sz w:val="32"/>
        </w:rPr>
        <w:t>结转结余</w:t>
      </w:r>
      <w:r>
        <w:rPr>
          <w:rFonts w:ascii="仿宋_GB2312" w:eastAsia="仿宋_GB2312" w:hint="eastAsia"/>
          <w:sz w:val="32"/>
        </w:rPr>
        <w:t>为0元</w:t>
      </w:r>
      <w:r>
        <w:rPr>
          <w:rFonts w:ascii="仿宋_GB2312" w:eastAsia="仿宋_GB2312" w:hAnsi="仿宋" w:cs="仿宋_GB2312"/>
          <w:color w:val="000000"/>
          <w:kern w:val="0"/>
          <w:sz w:val="32"/>
          <w:szCs w:val="32"/>
          <w:lang w:bidi="ar"/>
        </w:rPr>
        <w:t>。</w:t>
      </w:r>
    </w:p>
    <w:p w14:paraId="2D1A6274" w14:textId="77777777" w:rsidR="003753FB" w:rsidRDefault="00000000">
      <w:pPr>
        <w:rPr>
          <w:rFonts w:ascii="黑体" w:eastAsia="黑体" w:hAnsi="黑体" w:hint="eastAsia"/>
          <w:sz w:val="32"/>
          <w:szCs w:val="32"/>
        </w:rPr>
      </w:pPr>
      <w:r>
        <w:rPr>
          <w:rFonts w:ascii="黑体" w:eastAsia="黑体" w:hAnsi="黑体" w:hint="eastAsia"/>
          <w:sz w:val="32"/>
          <w:szCs w:val="32"/>
        </w:rPr>
        <w:t>三、部门预算绩效分析</w:t>
      </w:r>
    </w:p>
    <w:p w14:paraId="683FC9C4" w14:textId="77777777" w:rsidR="003753FB" w:rsidRDefault="00000000">
      <w:pPr>
        <w:rPr>
          <w:rFonts w:ascii="仿宋_GB2312" w:eastAsia="仿宋_GB2312"/>
          <w:sz w:val="32"/>
        </w:rPr>
      </w:pPr>
      <w:r>
        <w:rPr>
          <w:rFonts w:ascii="楷体_GB2312" w:eastAsia="楷体_GB2312" w:hint="eastAsia"/>
          <w:b/>
          <w:sz w:val="32"/>
          <w:szCs w:val="32"/>
        </w:rPr>
        <w:t>（一）部门预算总体绩效分析。</w:t>
      </w:r>
      <w:r>
        <w:rPr>
          <w:rFonts w:ascii="仿宋_GB2312" w:eastAsia="仿宋_GB2312" w:hint="eastAsia"/>
          <w:sz w:val="32"/>
        </w:rPr>
        <w:t>根据部门预算绩效评价指标体系“总体绩效”涉及二、三级指标进行逐项绩效分析并评分，依次包括履职效能、预算管理、财务管理、资产管理、采购管理等情况。</w:t>
      </w:r>
    </w:p>
    <w:p w14:paraId="722C44EF" w14:textId="77777777" w:rsidR="003753FB" w:rsidRDefault="00000000">
      <w:pPr>
        <w:spacing w:line="578" w:lineRule="exact"/>
        <w:ind w:firstLineChars="200" w:firstLine="640"/>
        <w:rPr>
          <w:rFonts w:ascii="楷体_GB2312" w:eastAsia="楷体_GB2312" w:hAnsi="楷体_GB2312" w:cs="楷体_GB2312" w:hint="eastAsia"/>
          <w:color w:val="000000"/>
          <w:kern w:val="0"/>
          <w:sz w:val="32"/>
          <w:szCs w:val="32"/>
          <w:shd w:val="clear" w:color="auto" w:fill="FFFFFF"/>
          <w:lang w:val="zh-CN"/>
        </w:rPr>
      </w:pPr>
      <w:r>
        <w:rPr>
          <w:rFonts w:ascii="楷体_GB2312" w:eastAsia="楷体_GB2312" w:hAnsi="楷体_GB2312" w:cs="楷体_GB2312" w:hint="eastAsia"/>
          <w:color w:val="000000"/>
          <w:kern w:val="0"/>
          <w:sz w:val="32"/>
          <w:szCs w:val="32"/>
          <w:shd w:val="clear" w:color="auto" w:fill="FFFFFF"/>
        </w:rPr>
        <w:t>1.</w:t>
      </w:r>
      <w:r>
        <w:rPr>
          <w:rFonts w:ascii="楷体_GB2312" w:eastAsia="楷体_GB2312" w:hAnsi="楷体_GB2312" w:cs="楷体_GB2312" w:hint="eastAsia"/>
          <w:color w:val="000000"/>
          <w:kern w:val="0"/>
          <w:sz w:val="32"/>
          <w:szCs w:val="32"/>
          <w:shd w:val="clear" w:color="auto" w:fill="FFFFFF"/>
          <w:lang w:val="zh-CN"/>
        </w:rPr>
        <w:t>履职</w:t>
      </w:r>
      <w:r>
        <w:rPr>
          <w:rFonts w:ascii="楷体_GB2312" w:eastAsia="楷体_GB2312" w:hAnsi="楷体_GB2312" w:cs="楷体_GB2312" w:hint="eastAsia"/>
          <w:color w:val="000000"/>
          <w:kern w:val="0"/>
          <w:sz w:val="32"/>
          <w:szCs w:val="32"/>
          <w:shd w:val="clear" w:color="auto" w:fill="FFFFFF"/>
        </w:rPr>
        <w:t>效能</w:t>
      </w:r>
      <w:r>
        <w:rPr>
          <w:rFonts w:ascii="楷体_GB2312" w:eastAsia="楷体_GB2312" w:hAnsi="楷体_GB2312" w:cs="楷体_GB2312" w:hint="eastAsia"/>
          <w:color w:val="000000"/>
          <w:kern w:val="0"/>
          <w:sz w:val="32"/>
          <w:szCs w:val="32"/>
          <w:shd w:val="clear" w:color="auto" w:fill="FFFFFF"/>
          <w:lang w:val="zh-CN"/>
        </w:rPr>
        <w:t>。</w:t>
      </w:r>
    </w:p>
    <w:p w14:paraId="275D71C6"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产出指标：时效指标，完成时效，≤1年，全年完成值应保尽保。</w:t>
      </w:r>
    </w:p>
    <w:p w14:paraId="46E2709A"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rPr>
        <w:t>效益指标：社会效益指标，提高参政议政影响力，定性指标，有效提高。</w:t>
      </w:r>
    </w:p>
    <w:p w14:paraId="78069C35" w14:textId="77777777" w:rsidR="003753FB" w:rsidRDefault="00000000">
      <w:pPr>
        <w:ind w:firstLineChars="200" w:firstLine="640"/>
        <w:rPr>
          <w:color w:val="000000"/>
          <w:kern w:val="0"/>
          <w:szCs w:val="32"/>
          <w:shd w:val="clear" w:color="auto" w:fill="FFFFFF"/>
          <w:lang w:val="zh-CN"/>
        </w:rPr>
      </w:pPr>
      <w:r>
        <w:rPr>
          <w:rFonts w:ascii="仿宋_GB2312" w:eastAsia="仿宋_GB2312" w:hint="eastAsia"/>
          <w:sz w:val="32"/>
          <w:szCs w:val="32"/>
        </w:rPr>
        <w:t>满意度指标：服务对象满意度指标，社会服务对象满意度，≥95%，全年完成值100%。</w:t>
      </w:r>
    </w:p>
    <w:p w14:paraId="30A39C69" w14:textId="77777777" w:rsidR="003753FB" w:rsidRDefault="00000000">
      <w:pPr>
        <w:numPr>
          <w:ilvl w:val="0"/>
          <w:numId w:val="3"/>
        </w:numPr>
        <w:spacing w:line="578" w:lineRule="exact"/>
        <w:ind w:firstLineChars="200" w:firstLine="640"/>
        <w:rPr>
          <w:rFonts w:ascii="楷体_GB2312" w:eastAsia="楷体_GB2312" w:hAnsi="楷体_GB2312" w:cs="楷体_GB2312" w:hint="eastAsia"/>
          <w:color w:val="000000"/>
          <w:kern w:val="0"/>
          <w:sz w:val="32"/>
          <w:szCs w:val="32"/>
          <w:shd w:val="clear" w:color="auto" w:fill="FFFFFF"/>
          <w:lang w:val="zh-CN"/>
        </w:rPr>
      </w:pPr>
      <w:r>
        <w:rPr>
          <w:rFonts w:ascii="楷体_GB2312" w:eastAsia="楷体_GB2312" w:hAnsi="楷体_GB2312" w:cs="楷体_GB2312" w:hint="eastAsia"/>
          <w:color w:val="000000"/>
          <w:kern w:val="0"/>
          <w:sz w:val="32"/>
          <w:szCs w:val="32"/>
          <w:shd w:val="clear" w:color="auto" w:fill="FFFFFF"/>
          <w:lang w:val="zh-CN"/>
        </w:rPr>
        <w:t>预算管理。</w:t>
      </w:r>
    </w:p>
    <w:p w14:paraId="0FB42511"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lang w:val="zh-CN"/>
        </w:rPr>
        <w:t>预算编制质量：实际收入与预算收入无差异，实际支出与预算支出无差异。所有应纳入预算的项目被涵盖</w:t>
      </w:r>
      <w:r>
        <w:rPr>
          <w:rFonts w:ascii="仿宋_GB2312" w:eastAsia="仿宋_GB2312" w:hint="eastAsia"/>
          <w:sz w:val="32"/>
          <w:szCs w:val="32"/>
        </w:rPr>
        <w:t>100%，预算分配与单位的年度总体目标相匹配。预算编制符合法律法规和内部政策制度。</w:t>
      </w:r>
    </w:p>
    <w:p w14:paraId="0CFEA424" w14:textId="77777777" w:rsidR="003753FB" w:rsidRDefault="00000000">
      <w:pPr>
        <w:ind w:firstLineChars="200" w:firstLine="640"/>
        <w:rPr>
          <w:rFonts w:ascii="仿宋_GB2312" w:eastAsia="仿宋_GB2312"/>
          <w:sz w:val="32"/>
          <w:szCs w:val="32"/>
          <w:lang w:val="zh-CN"/>
        </w:rPr>
      </w:pPr>
      <w:r>
        <w:rPr>
          <w:rFonts w:ascii="仿宋_GB2312" w:eastAsia="仿宋_GB2312" w:hint="eastAsia"/>
          <w:sz w:val="32"/>
          <w:szCs w:val="32"/>
          <w:lang w:val="zh-CN"/>
        </w:rPr>
        <w:t>单位收入统筹：</w:t>
      </w:r>
      <w:r>
        <w:rPr>
          <w:rFonts w:ascii="仿宋_GB2312" w:eastAsia="仿宋_GB2312" w:hint="eastAsia"/>
          <w:sz w:val="32"/>
          <w:szCs w:val="32"/>
        </w:rPr>
        <w:t>本单位2024年收入全年预算数为165.25万元，收入决算数为145.62万元，预算完成度为88.12%。</w:t>
      </w:r>
      <w:r>
        <w:rPr>
          <w:rFonts w:ascii="仿宋_GB2312" w:eastAsia="仿宋_GB2312" w:hint="eastAsia"/>
          <w:sz w:val="32"/>
          <w:szCs w:val="32"/>
          <w:lang w:val="zh-CN"/>
        </w:rPr>
        <w:t>20</w:t>
      </w:r>
      <w:r>
        <w:rPr>
          <w:rFonts w:ascii="仿宋_GB2312" w:eastAsia="仿宋_GB2312" w:hint="eastAsia"/>
          <w:sz w:val="32"/>
          <w:szCs w:val="32"/>
        </w:rPr>
        <w:t>24</w:t>
      </w:r>
      <w:r>
        <w:rPr>
          <w:rFonts w:ascii="仿宋_GB2312" w:eastAsia="仿宋_GB2312" w:hint="eastAsia"/>
          <w:sz w:val="32"/>
          <w:szCs w:val="32"/>
          <w:lang w:val="zh-CN"/>
        </w:rPr>
        <w:t>年度总收入</w:t>
      </w:r>
      <w:r>
        <w:rPr>
          <w:rFonts w:ascii="仿宋_GB2312" w:eastAsia="仿宋_GB2312" w:hint="eastAsia"/>
          <w:sz w:val="32"/>
          <w:szCs w:val="32"/>
        </w:rPr>
        <w:t>145.62</w:t>
      </w:r>
      <w:r>
        <w:rPr>
          <w:rFonts w:ascii="仿宋_GB2312" w:eastAsia="仿宋_GB2312" w:hint="eastAsia"/>
          <w:sz w:val="32"/>
          <w:szCs w:val="32"/>
          <w:lang w:val="zh-CN"/>
        </w:rPr>
        <w:t>万元，其中：财政拨款收入</w:t>
      </w:r>
      <w:r>
        <w:rPr>
          <w:rFonts w:ascii="仿宋_GB2312" w:eastAsia="仿宋_GB2312" w:hint="eastAsia"/>
          <w:sz w:val="32"/>
          <w:szCs w:val="32"/>
        </w:rPr>
        <w:t>145.62</w:t>
      </w:r>
      <w:r>
        <w:rPr>
          <w:rFonts w:ascii="仿宋_GB2312" w:eastAsia="仿宋_GB2312" w:hint="eastAsia"/>
          <w:sz w:val="32"/>
          <w:szCs w:val="32"/>
          <w:lang w:val="zh-CN"/>
        </w:rPr>
        <w:t>万元，占</w:t>
      </w:r>
      <w:r>
        <w:rPr>
          <w:rFonts w:ascii="仿宋_GB2312" w:eastAsia="仿宋_GB2312" w:hint="eastAsia"/>
          <w:sz w:val="32"/>
          <w:szCs w:val="32"/>
        </w:rPr>
        <w:t>100</w:t>
      </w:r>
      <w:r>
        <w:rPr>
          <w:rFonts w:ascii="仿宋_GB2312" w:eastAsia="仿宋_GB2312" w:hint="eastAsia"/>
          <w:sz w:val="32"/>
          <w:szCs w:val="32"/>
          <w:lang w:val="zh-CN"/>
        </w:rPr>
        <w:t>%；政府性基金预算财政拨款</w:t>
      </w:r>
      <w:r>
        <w:rPr>
          <w:rFonts w:ascii="仿宋_GB2312" w:eastAsia="仿宋_GB2312" w:hint="eastAsia"/>
          <w:sz w:val="32"/>
          <w:szCs w:val="32"/>
        </w:rPr>
        <w:t>0</w:t>
      </w:r>
      <w:r>
        <w:rPr>
          <w:rFonts w:ascii="仿宋_GB2312" w:eastAsia="仿宋_GB2312" w:hint="eastAsia"/>
          <w:sz w:val="32"/>
          <w:szCs w:val="32"/>
          <w:lang w:val="zh-CN"/>
        </w:rPr>
        <w:t>万元，占</w:t>
      </w:r>
      <w:r>
        <w:rPr>
          <w:rFonts w:ascii="仿宋_GB2312" w:eastAsia="仿宋_GB2312" w:hint="eastAsia"/>
          <w:sz w:val="32"/>
          <w:szCs w:val="32"/>
        </w:rPr>
        <w:t>0</w:t>
      </w:r>
      <w:r>
        <w:rPr>
          <w:rFonts w:ascii="仿宋_GB2312" w:eastAsia="仿宋_GB2312" w:hint="eastAsia"/>
          <w:sz w:val="32"/>
          <w:szCs w:val="32"/>
          <w:lang w:val="zh-CN"/>
        </w:rPr>
        <w:t>%；其他收入</w:t>
      </w:r>
      <w:r>
        <w:rPr>
          <w:rFonts w:ascii="仿宋_GB2312" w:eastAsia="仿宋_GB2312" w:hint="eastAsia"/>
          <w:sz w:val="32"/>
          <w:szCs w:val="32"/>
        </w:rPr>
        <w:t>0</w:t>
      </w:r>
      <w:r>
        <w:rPr>
          <w:rFonts w:ascii="仿宋_GB2312" w:eastAsia="仿宋_GB2312" w:hint="eastAsia"/>
          <w:sz w:val="32"/>
          <w:szCs w:val="32"/>
          <w:lang w:val="zh-CN"/>
        </w:rPr>
        <w:t>万元，占</w:t>
      </w:r>
      <w:r>
        <w:rPr>
          <w:rFonts w:ascii="仿宋_GB2312" w:eastAsia="仿宋_GB2312" w:hint="eastAsia"/>
          <w:sz w:val="32"/>
          <w:szCs w:val="32"/>
        </w:rPr>
        <w:t>0</w:t>
      </w:r>
      <w:r>
        <w:rPr>
          <w:rFonts w:ascii="仿宋_GB2312" w:eastAsia="仿宋_GB2312" w:hint="eastAsia"/>
          <w:sz w:val="32"/>
          <w:szCs w:val="32"/>
          <w:lang w:val="zh-CN"/>
        </w:rPr>
        <w:t>%；上级补助收入0万元，占0%；事业收入0万元，占0%；经营收入0万元，占0%；附属单位上缴收入0万元，占0%；上年项目支出结转和结余</w:t>
      </w:r>
      <w:r>
        <w:rPr>
          <w:rFonts w:ascii="仿宋_GB2312" w:eastAsia="仿宋_GB2312" w:hint="eastAsia"/>
          <w:sz w:val="32"/>
          <w:szCs w:val="32"/>
        </w:rPr>
        <w:t>0</w:t>
      </w:r>
      <w:r>
        <w:rPr>
          <w:rFonts w:ascii="仿宋_GB2312" w:eastAsia="仿宋_GB2312" w:hint="eastAsia"/>
          <w:sz w:val="32"/>
          <w:szCs w:val="32"/>
          <w:lang w:val="zh-CN"/>
        </w:rPr>
        <w:t>万元，占</w:t>
      </w:r>
      <w:r>
        <w:rPr>
          <w:rFonts w:ascii="仿宋_GB2312" w:eastAsia="仿宋_GB2312" w:hint="eastAsia"/>
          <w:sz w:val="32"/>
          <w:szCs w:val="32"/>
        </w:rPr>
        <w:t>0</w:t>
      </w:r>
      <w:r>
        <w:rPr>
          <w:rFonts w:ascii="仿宋_GB2312" w:eastAsia="仿宋_GB2312" w:hint="eastAsia"/>
          <w:sz w:val="32"/>
          <w:szCs w:val="32"/>
          <w:lang w:val="zh-CN"/>
        </w:rPr>
        <w:t>%。</w:t>
      </w:r>
    </w:p>
    <w:p w14:paraId="1FEBBDF1" w14:textId="77777777" w:rsidR="003753FB" w:rsidRDefault="00000000">
      <w:pPr>
        <w:ind w:firstLineChars="200" w:firstLine="640"/>
        <w:rPr>
          <w:rFonts w:ascii="仿宋_GB2312" w:eastAsia="仿宋_GB2312"/>
          <w:sz w:val="32"/>
          <w:szCs w:val="32"/>
        </w:rPr>
      </w:pPr>
      <w:r>
        <w:rPr>
          <w:rFonts w:ascii="仿宋_GB2312" w:eastAsia="仿宋_GB2312" w:hint="eastAsia"/>
          <w:sz w:val="32"/>
          <w:szCs w:val="32"/>
          <w:lang w:val="zh-CN"/>
        </w:rPr>
        <w:t>支出执行进度：</w:t>
      </w:r>
      <w:r>
        <w:rPr>
          <w:rFonts w:ascii="仿宋_GB2312" w:eastAsia="仿宋_GB2312" w:hint="eastAsia"/>
          <w:sz w:val="32"/>
          <w:szCs w:val="32"/>
        </w:rPr>
        <w:t>2024年度支出全年预算数为165.25万元，支出决算数为145.62万元，预算完成度为88.12%，执行进度88.12%。</w:t>
      </w:r>
    </w:p>
    <w:p w14:paraId="31E27741" w14:textId="77777777" w:rsidR="003753FB" w:rsidRDefault="00000000">
      <w:pPr>
        <w:ind w:firstLineChars="200" w:firstLine="640"/>
        <w:rPr>
          <w:rFonts w:ascii="仿宋_GB2312" w:eastAsia="仿宋_GB2312"/>
          <w:sz w:val="32"/>
          <w:szCs w:val="32"/>
          <w:lang w:val="zh-CN"/>
        </w:rPr>
      </w:pPr>
      <w:r>
        <w:rPr>
          <w:rFonts w:ascii="仿宋_GB2312" w:eastAsia="仿宋_GB2312" w:hint="eastAsia"/>
          <w:sz w:val="32"/>
          <w:szCs w:val="32"/>
          <w:lang w:val="zh-CN"/>
        </w:rPr>
        <w:t>预算年终结余：无。</w:t>
      </w:r>
    </w:p>
    <w:p w14:paraId="5805D500" w14:textId="77777777" w:rsidR="003753FB" w:rsidRDefault="00000000">
      <w:pPr>
        <w:numPr>
          <w:ilvl w:val="0"/>
          <w:numId w:val="3"/>
        </w:numPr>
        <w:adjustRightInd w:val="0"/>
        <w:snapToGrid w:val="0"/>
        <w:spacing w:line="578" w:lineRule="exact"/>
        <w:ind w:firstLineChars="200" w:firstLine="640"/>
        <w:jc w:val="left"/>
        <w:rPr>
          <w:rFonts w:eastAsia="仿宋_GB2312"/>
          <w:sz w:val="32"/>
          <w:szCs w:val="32"/>
          <w:lang w:val="zh-CN"/>
        </w:rPr>
      </w:pPr>
      <w:r>
        <w:rPr>
          <w:rFonts w:ascii="楷体_GB2312" w:eastAsia="楷体_GB2312" w:hAnsi="楷体_GB2312" w:cs="楷体_GB2312" w:hint="eastAsia"/>
          <w:color w:val="000000"/>
          <w:kern w:val="0"/>
          <w:sz w:val="32"/>
          <w:szCs w:val="32"/>
          <w:shd w:val="clear" w:color="auto" w:fill="FFFFFF"/>
          <w:lang w:val="zh-CN"/>
        </w:rPr>
        <w:lastRenderedPageBreak/>
        <w:t>财务管理。</w:t>
      </w:r>
      <w:r>
        <w:rPr>
          <w:rFonts w:eastAsia="仿宋_GB2312" w:hint="eastAsia"/>
          <w:sz w:val="32"/>
          <w:szCs w:val="32"/>
          <w:lang w:val="zh-CN"/>
        </w:rPr>
        <w:t>围绕财务管理制度、财务岗位设置、资金使用规范进行绩效分析。</w:t>
      </w:r>
    </w:p>
    <w:p w14:paraId="72C9396A" w14:textId="77777777" w:rsidR="003753FB"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14:paraId="2CAC7E3C" w14:textId="77777777" w:rsidR="003753FB"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14:paraId="70739ED5" w14:textId="77777777" w:rsidR="003753FB"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rPr>
        <w:t>A</w:t>
      </w:r>
      <w:r>
        <w:rPr>
          <w:rFonts w:ascii="仿宋" w:eastAsia="仿宋" w:hAnsi="仿宋" w:cs="仿宋" w:hint="eastAsia"/>
          <w:color w:val="000000"/>
          <w:kern w:val="0"/>
          <w:sz w:val="32"/>
          <w:szCs w:val="32"/>
          <w:shd w:val="clear" w:color="auto" w:fill="FFFFFF"/>
          <w:lang w:val="zh-CN"/>
        </w:rPr>
        <w:t>、明确了记账人员与审批人员、经办人员的职责权限，使其相互分离、相互制约，以明确责任，防止舞弊，各项业务事项得以有序进行。</w:t>
      </w:r>
    </w:p>
    <w:p w14:paraId="1EA145D2" w14:textId="77777777" w:rsidR="003753FB"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rPr>
        <w:t>B</w:t>
      </w:r>
      <w:r>
        <w:rPr>
          <w:rFonts w:ascii="仿宋" w:eastAsia="仿宋" w:hAnsi="仿宋" w:cs="仿宋" w:hint="eastAsia"/>
          <w:color w:val="000000"/>
          <w:kern w:val="0"/>
          <w:sz w:val="32"/>
          <w:szCs w:val="32"/>
          <w:shd w:val="clear" w:color="auto" w:fill="FFFFFF"/>
          <w:lang w:val="zh-CN"/>
        </w:rPr>
        <w:t>、明确了财务收支审批程序和审批人的权限和责任，规范了各项资金的使用，提高了资金使用效益。</w:t>
      </w:r>
    </w:p>
    <w:p w14:paraId="2C004742" w14:textId="77777777" w:rsidR="003753FB"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rPr>
        <w:t>C</w:t>
      </w:r>
      <w:r>
        <w:rPr>
          <w:rFonts w:ascii="仿宋" w:eastAsia="仿宋" w:hAnsi="仿宋" w:cs="仿宋" w:hint="eastAsia"/>
          <w:color w:val="000000"/>
          <w:kern w:val="0"/>
          <w:sz w:val="32"/>
          <w:szCs w:val="32"/>
          <w:shd w:val="clear" w:color="auto" w:fill="FFFFFF"/>
          <w:lang w:val="zh-CN"/>
        </w:rPr>
        <w:t>、明确经费支出的范围和开支标准，采取各种有效措</w:t>
      </w:r>
      <w:r>
        <w:rPr>
          <w:rFonts w:ascii="仿宋" w:eastAsia="仿宋" w:hAnsi="仿宋" w:cs="仿宋" w:hint="eastAsia"/>
          <w:color w:val="000000"/>
          <w:kern w:val="0"/>
          <w:sz w:val="32"/>
          <w:szCs w:val="32"/>
          <w:shd w:val="clear" w:color="auto" w:fill="FFFFFF"/>
          <w:lang w:val="zh-CN"/>
        </w:rPr>
        <w:lastRenderedPageBreak/>
        <w:t>施控制经费开支，杜绝了浪费现象的发生。</w:t>
      </w:r>
    </w:p>
    <w:p w14:paraId="21BA6AC6" w14:textId="77777777" w:rsidR="003753FB"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rPr>
        <w:t>D</w:t>
      </w:r>
      <w:r>
        <w:rPr>
          <w:rFonts w:ascii="仿宋" w:eastAsia="仿宋" w:hAnsi="仿宋" w:cs="仿宋" w:hint="eastAsia"/>
          <w:color w:val="000000"/>
          <w:kern w:val="0"/>
          <w:sz w:val="32"/>
          <w:szCs w:val="32"/>
          <w:shd w:val="clear" w:color="auto" w:fill="FFFFFF"/>
          <w:lang w:val="zh-CN"/>
        </w:rPr>
        <w:t>、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14:paraId="079EDF76" w14:textId="77777777" w:rsidR="003753FB" w:rsidRDefault="00000000">
      <w:pPr>
        <w:adjustRightInd w:val="0"/>
        <w:snapToGrid w:val="0"/>
        <w:spacing w:line="578" w:lineRule="exact"/>
        <w:ind w:firstLineChars="200" w:firstLine="640"/>
        <w:contextualSpacing/>
        <w:jc w:val="left"/>
        <w:rPr>
          <w:rFonts w:ascii="楷体_GB2312" w:eastAsia="楷体_GB2312" w:hAnsi="楷体_GB2312" w:cs="楷体_GB2312" w:hint="eastAsia"/>
          <w:color w:val="000000"/>
          <w:kern w:val="0"/>
          <w:sz w:val="32"/>
          <w:szCs w:val="32"/>
          <w:shd w:val="clear" w:color="auto" w:fill="FFFFFF"/>
          <w:lang w:val="zh-CN"/>
        </w:rPr>
      </w:pPr>
      <w:r>
        <w:rPr>
          <w:rFonts w:ascii="楷体_GB2312" w:eastAsia="楷体_GB2312" w:hAnsi="楷体_GB2312" w:cs="楷体_GB2312" w:hint="eastAsia"/>
          <w:color w:val="000000"/>
          <w:kern w:val="0"/>
          <w:sz w:val="32"/>
          <w:szCs w:val="32"/>
          <w:shd w:val="clear" w:color="auto" w:fill="FFFFFF"/>
        </w:rPr>
        <w:t>4.</w:t>
      </w:r>
      <w:r>
        <w:rPr>
          <w:rFonts w:ascii="楷体_GB2312" w:eastAsia="楷体_GB2312" w:hAnsi="楷体_GB2312" w:cs="楷体_GB2312" w:hint="eastAsia"/>
          <w:color w:val="000000"/>
          <w:kern w:val="0"/>
          <w:sz w:val="32"/>
          <w:szCs w:val="32"/>
          <w:shd w:val="clear" w:color="auto" w:fill="FFFFFF"/>
          <w:lang w:val="zh-CN"/>
        </w:rPr>
        <w:t>资产管理。</w:t>
      </w:r>
    </w:p>
    <w:p w14:paraId="74EF67D0" w14:textId="77777777" w:rsidR="003753FB"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lang w:val="zh-CN"/>
        </w:rPr>
        <w:t>人均资产变化率：无变化。</w:t>
      </w:r>
    </w:p>
    <w:p w14:paraId="1F6E8E60" w14:textId="77777777" w:rsidR="003753FB"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rPr>
      </w:pPr>
      <w:r>
        <w:rPr>
          <w:rFonts w:ascii="仿宋" w:eastAsia="仿宋" w:hAnsi="仿宋" w:cs="仿宋" w:hint="eastAsia"/>
          <w:color w:val="000000"/>
          <w:kern w:val="0"/>
          <w:sz w:val="32"/>
          <w:szCs w:val="32"/>
          <w:shd w:val="clear" w:color="auto" w:fill="FFFFFF"/>
          <w:lang w:val="zh-CN"/>
        </w:rPr>
        <w:t>资产利用率：</w:t>
      </w:r>
      <w:r>
        <w:rPr>
          <w:rFonts w:ascii="仿宋" w:eastAsia="仿宋" w:hAnsi="仿宋" w:cs="仿宋" w:hint="eastAsia"/>
          <w:color w:val="000000"/>
          <w:kern w:val="0"/>
          <w:sz w:val="32"/>
          <w:szCs w:val="32"/>
          <w:shd w:val="clear" w:color="auto" w:fill="FFFFFF"/>
        </w:rPr>
        <w:t>100%。</w:t>
      </w:r>
    </w:p>
    <w:p w14:paraId="6F58BD6F" w14:textId="77777777" w:rsidR="003753FB"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rPr>
      </w:pPr>
      <w:r>
        <w:rPr>
          <w:rFonts w:ascii="仿宋" w:eastAsia="仿宋" w:hAnsi="仿宋" w:cs="仿宋" w:hint="eastAsia"/>
          <w:color w:val="000000"/>
          <w:kern w:val="0"/>
          <w:sz w:val="32"/>
          <w:szCs w:val="32"/>
          <w:shd w:val="clear" w:color="auto" w:fill="FFFFFF"/>
          <w:lang w:val="zh-CN"/>
        </w:rPr>
        <w:t>资产盘活率：</w:t>
      </w:r>
      <w:r>
        <w:rPr>
          <w:rFonts w:ascii="仿宋" w:eastAsia="仿宋" w:hAnsi="仿宋" w:cs="仿宋" w:hint="eastAsia"/>
          <w:color w:val="000000"/>
          <w:kern w:val="0"/>
          <w:sz w:val="32"/>
          <w:szCs w:val="32"/>
          <w:shd w:val="clear" w:color="auto" w:fill="FFFFFF"/>
        </w:rPr>
        <w:t>95%。</w:t>
      </w:r>
    </w:p>
    <w:p w14:paraId="3A682CE2" w14:textId="77777777" w:rsidR="003753FB" w:rsidRDefault="00000000">
      <w:pPr>
        <w:adjustRightInd w:val="0"/>
        <w:snapToGrid w:val="0"/>
        <w:spacing w:line="578" w:lineRule="exact"/>
        <w:ind w:firstLineChars="200" w:firstLine="640"/>
        <w:contextualSpacing/>
        <w:jc w:val="left"/>
        <w:rPr>
          <w:rFonts w:ascii="楷体_GB2312" w:eastAsia="楷体_GB2312" w:hAnsi="楷体_GB2312" w:cs="楷体_GB2312"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lang w:val="zh-CN"/>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14:paraId="498EA0C2" w14:textId="77777777" w:rsidR="003753FB" w:rsidRDefault="00000000">
      <w:pPr>
        <w:numPr>
          <w:ilvl w:val="0"/>
          <w:numId w:val="3"/>
        </w:numPr>
        <w:adjustRightInd w:val="0"/>
        <w:snapToGrid w:val="0"/>
        <w:spacing w:line="578" w:lineRule="exact"/>
        <w:ind w:firstLineChars="200" w:firstLine="640"/>
        <w:jc w:val="left"/>
        <w:rPr>
          <w:rFonts w:eastAsia="仿宋_GB2312"/>
          <w:sz w:val="32"/>
          <w:szCs w:val="32"/>
          <w:lang w:val="zh-CN"/>
        </w:rPr>
      </w:pPr>
      <w:r>
        <w:rPr>
          <w:rFonts w:ascii="楷体_GB2312" w:eastAsia="楷体_GB2312" w:hAnsi="楷体_GB2312" w:cs="楷体_GB2312" w:hint="eastAsia"/>
          <w:color w:val="000000"/>
          <w:kern w:val="0"/>
          <w:sz w:val="32"/>
          <w:szCs w:val="32"/>
          <w:shd w:val="clear" w:color="auto" w:fill="FFFFFF"/>
          <w:lang w:val="zh-CN"/>
        </w:rPr>
        <w:t>采购管理。</w:t>
      </w:r>
      <w:r>
        <w:rPr>
          <w:rFonts w:eastAsia="仿宋_GB2312" w:hint="eastAsia"/>
          <w:sz w:val="32"/>
          <w:szCs w:val="32"/>
          <w:lang w:val="zh-CN"/>
        </w:rPr>
        <w:t>围绕支持中小企业发展、采购执行率进行绩效分析。</w:t>
      </w:r>
    </w:p>
    <w:p w14:paraId="7FBA1754" w14:textId="77777777" w:rsidR="003753FB" w:rsidRDefault="00000000">
      <w:pPr>
        <w:pStyle w:val="2"/>
        <w:ind w:left="420" w:firstLineChars="0" w:firstLine="0"/>
        <w:rPr>
          <w:lang w:val="zh-CN"/>
        </w:rPr>
      </w:pPr>
      <w:r>
        <w:rPr>
          <w:rFonts w:ascii="Times New Roman" w:eastAsia="仿宋_GB2312" w:hint="eastAsia"/>
          <w:sz w:val="32"/>
        </w:rPr>
        <w:t>本单位无采购。</w:t>
      </w:r>
    </w:p>
    <w:p w14:paraId="211DDE17" w14:textId="77777777" w:rsidR="003753FB" w:rsidRDefault="00000000">
      <w:pPr>
        <w:ind w:firstLineChars="200" w:firstLine="643"/>
        <w:rPr>
          <w:rFonts w:eastAsia="仿宋_GB2312"/>
          <w:sz w:val="32"/>
          <w:szCs w:val="32"/>
          <w:lang w:val="zh-CN"/>
        </w:rPr>
      </w:pPr>
      <w:r>
        <w:rPr>
          <w:rFonts w:ascii="楷体_GB2312" w:eastAsia="楷体_GB2312" w:hint="eastAsia"/>
          <w:b/>
          <w:sz w:val="32"/>
          <w:szCs w:val="32"/>
        </w:rPr>
        <w:t>（二）部门预算项目绩效分析。</w:t>
      </w:r>
      <w:r>
        <w:rPr>
          <w:rFonts w:eastAsia="仿宋_GB2312" w:hint="eastAsia"/>
          <w:sz w:val="32"/>
          <w:szCs w:val="32"/>
          <w:lang w:val="zh-CN"/>
        </w:rPr>
        <w:t>填报以下数据，并根据部门预算绩效评价指标体系“项目绩效”涉及二、三级指标进行逐项绩效分析并评分，依次包括项目决策、项目执行、目标实现等情况。</w:t>
      </w:r>
    </w:p>
    <w:p w14:paraId="11DDD37A" w14:textId="77777777" w:rsidR="003753FB" w:rsidRDefault="00000000">
      <w:pPr>
        <w:ind w:firstLineChars="200" w:firstLine="640"/>
        <w:rPr>
          <w:rFonts w:eastAsia="仿宋_GB2312"/>
          <w:sz w:val="32"/>
          <w:szCs w:val="32"/>
          <w:lang w:val="zh-CN"/>
        </w:rPr>
      </w:pPr>
      <w:r>
        <w:rPr>
          <w:rFonts w:eastAsia="仿宋_GB2312" w:hint="eastAsia"/>
          <w:sz w:val="32"/>
          <w:szCs w:val="32"/>
        </w:rPr>
        <w:lastRenderedPageBreak/>
        <w:t>常年项目绩效分析。</w:t>
      </w:r>
      <w:r>
        <w:rPr>
          <w:rFonts w:eastAsia="仿宋_GB2312" w:hint="eastAsia"/>
          <w:sz w:val="32"/>
          <w:szCs w:val="32"/>
          <w:lang w:val="zh-CN"/>
        </w:rPr>
        <w:t>该类项目总数</w:t>
      </w:r>
      <w:r>
        <w:rPr>
          <w:rFonts w:eastAsia="仿宋_GB2312" w:hint="eastAsia"/>
          <w:sz w:val="32"/>
          <w:szCs w:val="32"/>
        </w:rPr>
        <w:t>1</w:t>
      </w:r>
      <w:r>
        <w:rPr>
          <w:rFonts w:eastAsia="仿宋_GB2312" w:hint="eastAsia"/>
          <w:sz w:val="32"/>
          <w:szCs w:val="32"/>
          <w:lang w:val="zh-CN"/>
        </w:rPr>
        <w:t>个，涉及预算总金额</w:t>
      </w:r>
      <w:r>
        <w:rPr>
          <w:rFonts w:eastAsia="仿宋_GB2312" w:hint="eastAsia"/>
          <w:sz w:val="32"/>
          <w:szCs w:val="32"/>
        </w:rPr>
        <w:t>5</w:t>
      </w:r>
      <w:r>
        <w:rPr>
          <w:rFonts w:eastAsia="仿宋_GB2312" w:hint="eastAsia"/>
          <w:sz w:val="32"/>
          <w:szCs w:val="32"/>
          <w:lang w:val="zh-CN"/>
        </w:rPr>
        <w:t>万元，</w:t>
      </w:r>
      <w:r>
        <w:rPr>
          <w:rFonts w:eastAsia="仿宋_GB2312" w:hint="eastAsia"/>
          <w:sz w:val="32"/>
          <w:szCs w:val="32"/>
          <w:lang w:val="zh-CN"/>
        </w:rPr>
        <w:t>1</w:t>
      </w:r>
      <w:r>
        <w:rPr>
          <w:rFonts w:eastAsia="仿宋_GB2312" w:hint="eastAsia"/>
          <w:sz w:val="32"/>
          <w:szCs w:val="32"/>
          <w:lang w:val="zh-CN"/>
        </w:rPr>
        <w:t>—</w:t>
      </w:r>
      <w:r>
        <w:rPr>
          <w:rFonts w:eastAsia="仿宋_GB2312" w:hint="eastAsia"/>
          <w:sz w:val="32"/>
          <w:szCs w:val="32"/>
          <w:lang w:val="zh-CN"/>
        </w:rPr>
        <w:t>1</w:t>
      </w:r>
      <w:r>
        <w:rPr>
          <w:rFonts w:eastAsia="仿宋_GB2312" w:hint="eastAsia"/>
          <w:sz w:val="32"/>
          <w:szCs w:val="32"/>
        </w:rPr>
        <w:t>2</w:t>
      </w:r>
      <w:r>
        <w:rPr>
          <w:rFonts w:eastAsia="仿宋_GB2312" w:hint="eastAsia"/>
          <w:sz w:val="32"/>
          <w:szCs w:val="32"/>
          <w:lang w:val="zh-CN"/>
        </w:rPr>
        <w:t>月预算执行总体进度为</w:t>
      </w:r>
      <w:r>
        <w:rPr>
          <w:rFonts w:eastAsia="仿宋_GB2312" w:hint="eastAsia"/>
          <w:sz w:val="32"/>
          <w:szCs w:val="32"/>
        </w:rPr>
        <w:t>95.8</w:t>
      </w:r>
      <w:r>
        <w:rPr>
          <w:rFonts w:eastAsia="仿宋_GB2312" w:hint="eastAsia"/>
          <w:sz w:val="32"/>
          <w:szCs w:val="32"/>
          <w:lang w:val="zh-CN"/>
        </w:rPr>
        <w:t>%</w:t>
      </w:r>
      <w:r>
        <w:rPr>
          <w:rFonts w:eastAsia="仿宋_GB2312" w:hint="eastAsia"/>
          <w:sz w:val="32"/>
          <w:szCs w:val="32"/>
          <w:lang w:val="zh-CN"/>
        </w:rPr>
        <w:t>，其中：预算结余率大于</w:t>
      </w:r>
      <w:r>
        <w:rPr>
          <w:rFonts w:eastAsia="仿宋_GB2312" w:hint="eastAsia"/>
          <w:sz w:val="32"/>
          <w:szCs w:val="32"/>
        </w:rPr>
        <w:t>10%</w:t>
      </w:r>
      <w:r>
        <w:rPr>
          <w:rFonts w:eastAsia="仿宋_GB2312" w:hint="eastAsia"/>
          <w:sz w:val="32"/>
          <w:szCs w:val="32"/>
          <w:lang w:val="zh-CN"/>
        </w:rPr>
        <w:t>的项目共计</w:t>
      </w:r>
      <w:r>
        <w:rPr>
          <w:rFonts w:eastAsia="仿宋_GB2312" w:hint="eastAsia"/>
          <w:sz w:val="32"/>
          <w:szCs w:val="32"/>
        </w:rPr>
        <w:t>0</w:t>
      </w:r>
      <w:r>
        <w:rPr>
          <w:rFonts w:eastAsia="仿宋_GB2312" w:hint="eastAsia"/>
          <w:sz w:val="32"/>
          <w:szCs w:val="32"/>
          <w:lang w:val="zh-CN"/>
        </w:rPr>
        <w:t>个。</w:t>
      </w:r>
    </w:p>
    <w:p w14:paraId="0606AEDD" w14:textId="77777777" w:rsidR="003753FB" w:rsidRDefault="00000000">
      <w:pPr>
        <w:ind w:firstLineChars="200" w:firstLine="640"/>
        <w:rPr>
          <w:rFonts w:eastAsia="仿宋_GB2312"/>
          <w:sz w:val="32"/>
          <w:szCs w:val="32"/>
          <w:lang w:val="zh-CN"/>
        </w:rPr>
      </w:pPr>
      <w:r>
        <w:rPr>
          <w:rFonts w:eastAsia="仿宋_GB2312" w:hint="eastAsia"/>
          <w:sz w:val="32"/>
          <w:szCs w:val="32"/>
        </w:rPr>
        <w:t>阶段（一次性）项目绩效分析。</w:t>
      </w:r>
      <w:r>
        <w:rPr>
          <w:rFonts w:eastAsia="仿宋_GB2312" w:hint="eastAsia"/>
          <w:sz w:val="32"/>
          <w:szCs w:val="32"/>
          <w:lang w:val="zh-CN"/>
        </w:rPr>
        <w:t>该类项目总数</w:t>
      </w:r>
      <w:r>
        <w:rPr>
          <w:rFonts w:eastAsia="仿宋_GB2312" w:hint="eastAsia"/>
          <w:sz w:val="32"/>
          <w:szCs w:val="32"/>
        </w:rPr>
        <w:t>0</w:t>
      </w:r>
      <w:r>
        <w:rPr>
          <w:rFonts w:eastAsia="仿宋_GB2312" w:hint="eastAsia"/>
          <w:sz w:val="32"/>
          <w:szCs w:val="32"/>
          <w:lang w:val="zh-CN"/>
        </w:rPr>
        <w:t>个，涉及预算总金额</w:t>
      </w:r>
      <w:r>
        <w:rPr>
          <w:rFonts w:eastAsia="仿宋_GB2312" w:hint="eastAsia"/>
          <w:sz w:val="32"/>
          <w:szCs w:val="32"/>
        </w:rPr>
        <w:t>0</w:t>
      </w:r>
      <w:r>
        <w:rPr>
          <w:rFonts w:eastAsia="仿宋_GB2312" w:hint="eastAsia"/>
          <w:sz w:val="32"/>
          <w:szCs w:val="32"/>
          <w:lang w:val="zh-CN"/>
        </w:rPr>
        <w:t>万元，</w:t>
      </w:r>
      <w:r>
        <w:rPr>
          <w:rFonts w:eastAsia="仿宋_GB2312" w:hint="eastAsia"/>
          <w:sz w:val="32"/>
          <w:szCs w:val="32"/>
          <w:lang w:val="zh-CN"/>
        </w:rPr>
        <w:t>1</w:t>
      </w:r>
      <w:r>
        <w:rPr>
          <w:rFonts w:eastAsia="仿宋_GB2312" w:hint="eastAsia"/>
          <w:sz w:val="32"/>
          <w:szCs w:val="32"/>
          <w:lang w:val="zh-CN"/>
        </w:rPr>
        <w:t>—</w:t>
      </w:r>
      <w:r>
        <w:rPr>
          <w:rFonts w:eastAsia="仿宋_GB2312" w:hint="eastAsia"/>
          <w:sz w:val="32"/>
          <w:szCs w:val="32"/>
          <w:lang w:val="zh-CN"/>
        </w:rPr>
        <w:t>1</w:t>
      </w:r>
      <w:r>
        <w:rPr>
          <w:rFonts w:eastAsia="仿宋_GB2312" w:hint="eastAsia"/>
          <w:sz w:val="32"/>
          <w:szCs w:val="32"/>
        </w:rPr>
        <w:t>2</w:t>
      </w:r>
      <w:r>
        <w:rPr>
          <w:rFonts w:eastAsia="仿宋_GB2312" w:hint="eastAsia"/>
          <w:sz w:val="32"/>
          <w:szCs w:val="32"/>
          <w:lang w:val="zh-CN"/>
        </w:rPr>
        <w:t>月预算执行总体进度为</w:t>
      </w:r>
      <w:r>
        <w:rPr>
          <w:rFonts w:eastAsia="仿宋_GB2312" w:hint="eastAsia"/>
          <w:sz w:val="32"/>
          <w:szCs w:val="32"/>
        </w:rPr>
        <w:t>0</w:t>
      </w:r>
      <w:r>
        <w:rPr>
          <w:rFonts w:eastAsia="仿宋_GB2312" w:hint="eastAsia"/>
          <w:sz w:val="32"/>
          <w:szCs w:val="32"/>
          <w:lang w:val="zh-CN"/>
        </w:rPr>
        <w:t>%</w:t>
      </w:r>
      <w:r>
        <w:rPr>
          <w:rFonts w:eastAsia="仿宋_GB2312" w:hint="eastAsia"/>
          <w:sz w:val="32"/>
          <w:szCs w:val="32"/>
          <w:lang w:val="zh-CN"/>
        </w:rPr>
        <w:t>，其中：预算结余率大于</w:t>
      </w:r>
      <w:r>
        <w:rPr>
          <w:rFonts w:eastAsia="仿宋_GB2312" w:hint="eastAsia"/>
          <w:sz w:val="32"/>
          <w:szCs w:val="32"/>
        </w:rPr>
        <w:t>10%</w:t>
      </w:r>
      <w:r>
        <w:rPr>
          <w:rFonts w:eastAsia="仿宋_GB2312" w:hint="eastAsia"/>
          <w:sz w:val="32"/>
          <w:szCs w:val="32"/>
          <w:lang w:val="zh-CN"/>
        </w:rPr>
        <w:t>的项目共计</w:t>
      </w:r>
      <w:r>
        <w:rPr>
          <w:rFonts w:eastAsia="仿宋_GB2312" w:hint="eastAsia"/>
          <w:sz w:val="32"/>
          <w:szCs w:val="32"/>
        </w:rPr>
        <w:t>0</w:t>
      </w:r>
      <w:r>
        <w:rPr>
          <w:rFonts w:eastAsia="仿宋_GB2312" w:hint="eastAsia"/>
          <w:sz w:val="32"/>
          <w:szCs w:val="32"/>
          <w:lang w:val="zh-CN"/>
        </w:rPr>
        <w:t>个。</w:t>
      </w:r>
    </w:p>
    <w:p w14:paraId="496F08F6" w14:textId="77777777" w:rsidR="003753FB" w:rsidRDefault="00000000">
      <w:pPr>
        <w:numPr>
          <w:ilvl w:val="0"/>
          <w:numId w:val="6"/>
        </w:numPr>
        <w:adjustRightInd w:val="0"/>
        <w:snapToGrid w:val="0"/>
        <w:spacing w:line="578" w:lineRule="exact"/>
        <w:ind w:firstLineChars="200" w:firstLine="640"/>
        <w:contextualSpacing/>
        <w:jc w:val="left"/>
        <w:rPr>
          <w:rFonts w:ascii="楷体_GB2312" w:eastAsia="楷体_GB2312" w:hAnsi="楷体_GB2312" w:cs="楷体_GB2312" w:hint="eastAsia"/>
          <w:color w:val="000000"/>
          <w:kern w:val="0"/>
          <w:sz w:val="32"/>
          <w:szCs w:val="32"/>
          <w:shd w:val="clear" w:color="auto" w:fill="FFFFFF"/>
        </w:rPr>
      </w:pPr>
      <w:r>
        <w:rPr>
          <w:rFonts w:ascii="楷体_GB2312" w:eastAsia="楷体_GB2312" w:hAnsi="楷体_GB2312" w:cs="楷体_GB2312" w:hint="eastAsia"/>
          <w:color w:val="000000"/>
          <w:kern w:val="0"/>
          <w:sz w:val="32"/>
          <w:szCs w:val="32"/>
          <w:shd w:val="clear" w:color="auto" w:fill="FFFFFF"/>
        </w:rPr>
        <w:t>项目决策。</w:t>
      </w:r>
    </w:p>
    <w:p w14:paraId="43B79371" w14:textId="77777777" w:rsidR="003753FB" w:rsidRDefault="00000000">
      <w:pPr>
        <w:ind w:firstLineChars="200" w:firstLine="640"/>
        <w:rPr>
          <w:rFonts w:eastAsia="仿宋_GB2312"/>
          <w:sz w:val="32"/>
          <w:szCs w:val="32"/>
        </w:rPr>
      </w:pPr>
      <w:r>
        <w:rPr>
          <w:rFonts w:eastAsia="仿宋_GB2312" w:hint="eastAsia"/>
          <w:sz w:val="32"/>
          <w:szCs w:val="32"/>
          <w:lang w:val="zh-CN"/>
        </w:rPr>
        <w:t>决策程序：</w:t>
      </w:r>
      <w:r>
        <w:rPr>
          <w:rFonts w:eastAsia="仿宋_GB2312" w:hint="eastAsia"/>
          <w:sz w:val="32"/>
          <w:szCs w:val="32"/>
        </w:rPr>
        <w:t>加强对领导机关、领导干部特别是各级领导班子主要负责人的监督。认真检查党的路线、方针、政策和决议的执行情况，监督民主集中制及领导班子议事规则落实情况，</w:t>
      </w:r>
      <w:proofErr w:type="gramStart"/>
      <w:r>
        <w:rPr>
          <w:rFonts w:eastAsia="仿宋_GB2312" w:hint="eastAsia"/>
          <w:sz w:val="32"/>
          <w:szCs w:val="32"/>
        </w:rPr>
        <w:t>反属重大</w:t>
      </w:r>
      <w:proofErr w:type="gramEnd"/>
      <w:r>
        <w:rPr>
          <w:rFonts w:eastAsia="仿宋_GB2312" w:hint="eastAsia"/>
          <w:sz w:val="32"/>
          <w:szCs w:val="32"/>
        </w:rPr>
        <w:t>决策、重要干部任免、重大项目安排和大额度资金的使用，必须由领导班子集体</w:t>
      </w:r>
      <w:proofErr w:type="gramStart"/>
      <w:r>
        <w:rPr>
          <w:rFonts w:eastAsia="仿宋_GB2312" w:hint="eastAsia"/>
          <w:sz w:val="32"/>
          <w:szCs w:val="32"/>
        </w:rPr>
        <w:t>作出</w:t>
      </w:r>
      <w:proofErr w:type="gramEnd"/>
      <w:r>
        <w:rPr>
          <w:rFonts w:eastAsia="仿宋_GB2312" w:hint="eastAsia"/>
          <w:sz w:val="32"/>
          <w:szCs w:val="32"/>
        </w:rPr>
        <w:t>决定。</w:t>
      </w:r>
    </w:p>
    <w:p w14:paraId="74A03A3A" w14:textId="77777777" w:rsidR="003753FB" w:rsidRDefault="00000000">
      <w:pPr>
        <w:ind w:firstLineChars="200" w:firstLine="640"/>
        <w:rPr>
          <w:rFonts w:ascii="仿宋_GB2312" w:eastAsia="仿宋_GB2312" w:hAnsi="仿宋" w:cs="仿宋_GB2312" w:hint="eastAsia"/>
          <w:color w:val="000000"/>
          <w:kern w:val="0"/>
          <w:sz w:val="32"/>
          <w:szCs w:val="32"/>
          <w:lang w:val="zh-CN" w:bidi="ar"/>
        </w:rPr>
      </w:pPr>
      <w:r>
        <w:rPr>
          <w:rFonts w:eastAsia="仿宋_GB2312" w:hint="eastAsia"/>
          <w:sz w:val="32"/>
          <w:szCs w:val="32"/>
          <w:lang w:val="zh-CN"/>
        </w:rPr>
        <w:t>目标设置：</w:t>
      </w:r>
      <w:r>
        <w:rPr>
          <w:rFonts w:ascii="仿宋_GB2312" w:eastAsia="仿宋_GB2312" w:hAnsi="仿宋" w:cs="仿宋_GB2312" w:hint="eastAsia"/>
          <w:color w:val="000000"/>
          <w:kern w:val="0"/>
          <w:sz w:val="32"/>
          <w:szCs w:val="32"/>
          <w:lang w:val="zh-CN" w:bidi="ar"/>
        </w:rPr>
        <w:t>参与政府相关的经济活动，广泛联系各地工商界人士，开展民间外交，推动经贸交流和协作，促进经济社会发展。</w:t>
      </w:r>
    </w:p>
    <w:p w14:paraId="41E6BDA7" w14:textId="77777777" w:rsidR="003753FB" w:rsidRDefault="00000000">
      <w:pPr>
        <w:ind w:firstLineChars="200" w:firstLine="640"/>
        <w:rPr>
          <w:rFonts w:ascii="仿宋_GB2312" w:eastAsia="仿宋_GB2312" w:hAnsi="仿宋" w:cs="仿宋_GB2312" w:hint="eastAsia"/>
          <w:color w:val="000000"/>
          <w:kern w:val="0"/>
          <w:sz w:val="32"/>
          <w:szCs w:val="32"/>
          <w:lang w:val="zh-CN" w:bidi="ar"/>
        </w:rPr>
      </w:pPr>
      <w:r>
        <w:rPr>
          <w:rFonts w:eastAsia="仿宋_GB2312" w:hint="eastAsia"/>
          <w:sz w:val="32"/>
          <w:szCs w:val="32"/>
          <w:lang w:val="zh-CN"/>
        </w:rPr>
        <w:t>项</w:t>
      </w:r>
      <w:r>
        <w:rPr>
          <w:rFonts w:ascii="仿宋_GB2312" w:eastAsia="仿宋_GB2312" w:hAnsi="仿宋" w:cs="仿宋_GB2312" w:hint="eastAsia"/>
          <w:color w:val="000000"/>
          <w:kern w:val="0"/>
          <w:sz w:val="32"/>
          <w:szCs w:val="32"/>
          <w:lang w:val="zh-CN" w:bidi="ar"/>
        </w:rPr>
        <w:t>目入</w:t>
      </w:r>
      <w:r>
        <w:rPr>
          <w:rFonts w:eastAsia="仿宋_GB2312" w:hint="eastAsia"/>
          <w:sz w:val="32"/>
          <w:szCs w:val="32"/>
          <w:lang w:val="zh-CN"/>
        </w:rPr>
        <w:t>库：</w:t>
      </w:r>
      <w:r>
        <w:rPr>
          <w:rFonts w:ascii="仿宋_GB2312" w:eastAsia="仿宋_GB2312" w:hAnsi="仿宋" w:cs="仿宋_GB2312" w:hint="eastAsia"/>
          <w:color w:val="000000"/>
          <w:kern w:val="0"/>
          <w:sz w:val="32"/>
          <w:szCs w:val="32"/>
          <w:lang w:bidi="ar"/>
        </w:rPr>
        <w:t>严格</w:t>
      </w:r>
      <w:r>
        <w:rPr>
          <w:rFonts w:ascii="仿宋_GB2312" w:eastAsia="仿宋_GB2312" w:hAnsi="仿宋" w:cs="仿宋_GB2312" w:hint="eastAsia"/>
          <w:color w:val="000000"/>
          <w:kern w:val="0"/>
          <w:sz w:val="32"/>
          <w:szCs w:val="32"/>
          <w:lang w:val="zh-CN" w:bidi="ar"/>
        </w:rPr>
        <w:t>按照程序以及要求，项目在资金使用前必须进行项目入库。</w:t>
      </w:r>
    </w:p>
    <w:p w14:paraId="4C068FCD" w14:textId="77777777" w:rsidR="003753FB" w:rsidRDefault="00000000">
      <w:pPr>
        <w:numPr>
          <w:ilvl w:val="0"/>
          <w:numId w:val="6"/>
        </w:numPr>
        <w:snapToGrid w:val="0"/>
        <w:spacing w:line="560" w:lineRule="exact"/>
        <w:ind w:firstLineChars="200" w:firstLine="640"/>
        <w:rPr>
          <w:rFonts w:ascii="楷体_GB2312" w:eastAsia="楷体_GB2312" w:hAnsi="楷体_GB2312" w:cs="楷体_GB2312" w:hint="eastAsia"/>
          <w:color w:val="000000"/>
          <w:kern w:val="0"/>
          <w:sz w:val="32"/>
          <w:szCs w:val="32"/>
          <w:shd w:val="clear" w:color="auto" w:fill="FFFFFF"/>
        </w:rPr>
      </w:pPr>
      <w:r>
        <w:rPr>
          <w:rFonts w:ascii="楷体_GB2312" w:eastAsia="楷体_GB2312" w:hAnsi="楷体_GB2312" w:cs="楷体_GB2312" w:hint="eastAsia"/>
          <w:color w:val="000000"/>
          <w:kern w:val="0"/>
          <w:sz w:val="32"/>
          <w:szCs w:val="32"/>
          <w:shd w:val="clear" w:color="auto" w:fill="FFFFFF"/>
        </w:rPr>
        <w:t>项目执行。</w:t>
      </w:r>
    </w:p>
    <w:p w14:paraId="32C78709" w14:textId="77777777" w:rsidR="003753FB" w:rsidRDefault="00000000">
      <w:pPr>
        <w:ind w:firstLineChars="200" w:firstLine="640"/>
        <w:rPr>
          <w:rFonts w:eastAsia="仿宋_GB2312"/>
          <w:sz w:val="32"/>
          <w:szCs w:val="32"/>
        </w:rPr>
      </w:pPr>
      <w:r>
        <w:rPr>
          <w:rFonts w:eastAsia="仿宋_GB2312" w:hint="eastAsia"/>
          <w:sz w:val="32"/>
          <w:szCs w:val="32"/>
        </w:rPr>
        <w:t>2024</w:t>
      </w:r>
      <w:r>
        <w:rPr>
          <w:rFonts w:eastAsia="仿宋_GB2312" w:hint="eastAsia"/>
          <w:sz w:val="32"/>
          <w:szCs w:val="32"/>
        </w:rPr>
        <w:t>年预算决算总收入</w:t>
      </w:r>
      <w:r>
        <w:rPr>
          <w:rFonts w:eastAsia="仿宋_GB2312" w:hint="eastAsia"/>
          <w:sz w:val="32"/>
          <w:szCs w:val="32"/>
        </w:rPr>
        <w:t>145.62</w:t>
      </w:r>
      <w:r>
        <w:rPr>
          <w:rFonts w:eastAsia="仿宋_GB2312" w:hint="eastAsia"/>
          <w:sz w:val="32"/>
          <w:szCs w:val="32"/>
        </w:rPr>
        <w:t>万元，</w:t>
      </w:r>
      <w:r>
        <w:rPr>
          <w:rFonts w:eastAsia="仿宋_GB2312" w:hint="eastAsia"/>
          <w:sz w:val="32"/>
          <w:szCs w:val="32"/>
        </w:rPr>
        <w:t>2024</w:t>
      </w:r>
      <w:r>
        <w:rPr>
          <w:rFonts w:eastAsia="仿宋_GB2312" w:hint="eastAsia"/>
          <w:sz w:val="32"/>
          <w:szCs w:val="32"/>
        </w:rPr>
        <w:t>年支出合计</w:t>
      </w:r>
      <w:r>
        <w:rPr>
          <w:rFonts w:eastAsia="仿宋_GB2312" w:hint="eastAsia"/>
          <w:sz w:val="32"/>
          <w:szCs w:val="32"/>
        </w:rPr>
        <w:t>145.62</w:t>
      </w:r>
      <w:r>
        <w:rPr>
          <w:rFonts w:eastAsia="仿宋_GB2312" w:hint="eastAsia"/>
          <w:sz w:val="32"/>
          <w:szCs w:val="32"/>
        </w:rPr>
        <w:t>万元，资金使用率</w:t>
      </w:r>
      <w:r>
        <w:rPr>
          <w:rFonts w:eastAsia="仿宋_GB2312" w:hint="eastAsia"/>
          <w:sz w:val="32"/>
          <w:szCs w:val="32"/>
        </w:rPr>
        <w:t>100%</w:t>
      </w:r>
      <w:r>
        <w:rPr>
          <w:rFonts w:eastAsia="仿宋_GB2312" w:hint="eastAsia"/>
          <w:sz w:val="32"/>
          <w:szCs w:val="32"/>
        </w:rPr>
        <w:t>。其中：一般公共服务支出为</w:t>
      </w:r>
      <w:r>
        <w:rPr>
          <w:rFonts w:eastAsia="仿宋_GB2312" w:hint="eastAsia"/>
          <w:sz w:val="32"/>
          <w:szCs w:val="32"/>
        </w:rPr>
        <w:t>106.55</w:t>
      </w:r>
      <w:r>
        <w:rPr>
          <w:rFonts w:eastAsia="仿宋_GB2312" w:hint="eastAsia"/>
          <w:sz w:val="32"/>
          <w:szCs w:val="32"/>
        </w:rPr>
        <w:t>万元，占比</w:t>
      </w:r>
      <w:r>
        <w:rPr>
          <w:rFonts w:eastAsia="仿宋_GB2312" w:hint="eastAsia"/>
          <w:sz w:val="32"/>
          <w:szCs w:val="32"/>
        </w:rPr>
        <w:t>73.18%</w:t>
      </w:r>
      <w:r>
        <w:rPr>
          <w:rFonts w:eastAsia="仿宋_GB2312" w:hint="eastAsia"/>
          <w:sz w:val="32"/>
          <w:szCs w:val="32"/>
        </w:rPr>
        <w:t>；社会保障和就业支出为</w:t>
      </w:r>
      <w:r>
        <w:rPr>
          <w:rFonts w:eastAsia="仿宋_GB2312" w:hint="eastAsia"/>
          <w:sz w:val="32"/>
          <w:szCs w:val="32"/>
        </w:rPr>
        <w:t>20.80</w:t>
      </w:r>
      <w:r>
        <w:rPr>
          <w:rFonts w:eastAsia="仿宋_GB2312" w:hint="eastAsia"/>
          <w:sz w:val="32"/>
          <w:szCs w:val="32"/>
        </w:rPr>
        <w:t>万元，占比</w:t>
      </w:r>
      <w:r>
        <w:rPr>
          <w:rFonts w:eastAsia="仿宋_GB2312" w:hint="eastAsia"/>
          <w:sz w:val="32"/>
          <w:szCs w:val="32"/>
        </w:rPr>
        <w:t>14.28%</w:t>
      </w:r>
      <w:r>
        <w:rPr>
          <w:rFonts w:eastAsia="仿宋_GB2312" w:hint="eastAsia"/>
          <w:sz w:val="32"/>
          <w:szCs w:val="32"/>
        </w:rPr>
        <w:t>；卫生健康支出为</w:t>
      </w:r>
      <w:r>
        <w:rPr>
          <w:rFonts w:eastAsia="仿宋_GB2312" w:hint="eastAsia"/>
          <w:sz w:val="32"/>
          <w:szCs w:val="32"/>
        </w:rPr>
        <w:t>8.03</w:t>
      </w:r>
      <w:r>
        <w:rPr>
          <w:rFonts w:eastAsia="仿宋_GB2312" w:hint="eastAsia"/>
          <w:sz w:val="32"/>
          <w:szCs w:val="32"/>
        </w:rPr>
        <w:t>万元，占比</w:t>
      </w:r>
      <w:r>
        <w:rPr>
          <w:rFonts w:eastAsia="仿宋_GB2312" w:hint="eastAsia"/>
          <w:sz w:val="32"/>
          <w:szCs w:val="32"/>
        </w:rPr>
        <w:t>5.51%</w:t>
      </w:r>
      <w:r>
        <w:rPr>
          <w:rFonts w:eastAsia="仿宋_GB2312" w:hint="eastAsia"/>
          <w:sz w:val="32"/>
          <w:szCs w:val="32"/>
        </w:rPr>
        <w:t>；</w:t>
      </w:r>
      <w:r>
        <w:rPr>
          <w:rFonts w:eastAsia="仿宋_GB2312" w:hint="eastAsia"/>
          <w:sz w:val="32"/>
          <w:szCs w:val="32"/>
        </w:rPr>
        <w:lastRenderedPageBreak/>
        <w:t>住房保障支出为</w:t>
      </w:r>
      <w:r>
        <w:rPr>
          <w:rFonts w:eastAsia="仿宋_GB2312" w:hint="eastAsia"/>
          <w:sz w:val="32"/>
          <w:szCs w:val="32"/>
        </w:rPr>
        <w:t>10.24</w:t>
      </w:r>
      <w:r>
        <w:rPr>
          <w:rFonts w:eastAsia="仿宋_GB2312" w:hint="eastAsia"/>
          <w:sz w:val="32"/>
          <w:szCs w:val="32"/>
        </w:rPr>
        <w:t>万元，占比</w:t>
      </w:r>
      <w:r>
        <w:rPr>
          <w:rFonts w:eastAsia="仿宋_GB2312" w:hint="eastAsia"/>
          <w:sz w:val="32"/>
          <w:szCs w:val="32"/>
        </w:rPr>
        <w:t>7.03%</w:t>
      </w:r>
      <w:r>
        <w:rPr>
          <w:rFonts w:eastAsia="仿宋_GB2312" w:hint="eastAsia"/>
          <w:sz w:val="32"/>
          <w:szCs w:val="32"/>
        </w:rPr>
        <w:t>；较上年支出</w:t>
      </w:r>
      <w:r>
        <w:rPr>
          <w:rFonts w:eastAsia="仿宋_GB2312" w:hint="eastAsia"/>
          <w:sz w:val="32"/>
          <w:szCs w:val="32"/>
        </w:rPr>
        <w:t>163.15</w:t>
      </w:r>
      <w:r>
        <w:rPr>
          <w:rFonts w:eastAsia="仿宋_GB2312" w:hint="eastAsia"/>
          <w:sz w:val="32"/>
          <w:szCs w:val="32"/>
        </w:rPr>
        <w:t>万元减少</w:t>
      </w:r>
      <w:r>
        <w:rPr>
          <w:rFonts w:ascii="仿宋" w:eastAsia="仿宋" w:hAnsi="仿宋" w:cs="仿宋" w:hint="eastAsia"/>
          <w:sz w:val="32"/>
          <w:szCs w:val="32"/>
        </w:rPr>
        <w:t>17.53</w:t>
      </w:r>
      <w:r>
        <w:rPr>
          <w:rFonts w:eastAsia="仿宋_GB2312" w:hint="eastAsia"/>
          <w:sz w:val="32"/>
          <w:szCs w:val="32"/>
        </w:rPr>
        <w:t>万元。</w:t>
      </w:r>
    </w:p>
    <w:p w14:paraId="2B943CC3" w14:textId="77777777" w:rsidR="003753FB" w:rsidRDefault="00000000">
      <w:pPr>
        <w:ind w:firstLineChars="200" w:firstLine="640"/>
        <w:rPr>
          <w:rFonts w:eastAsia="仿宋_GB2312"/>
          <w:sz w:val="32"/>
          <w:szCs w:val="32"/>
          <w:lang w:val="zh-CN"/>
        </w:rPr>
      </w:pPr>
      <w:r>
        <w:rPr>
          <w:rFonts w:ascii="楷体_GB2312" w:eastAsia="楷体_GB2312" w:hAnsi="楷体_GB2312" w:cs="楷体_GB2312" w:hint="eastAsia"/>
          <w:color w:val="000000"/>
          <w:kern w:val="0"/>
          <w:sz w:val="32"/>
          <w:szCs w:val="32"/>
          <w:shd w:val="clear" w:color="auto" w:fill="FFFFFF"/>
        </w:rPr>
        <w:t>3.目标实现。</w:t>
      </w:r>
      <w:r>
        <w:rPr>
          <w:rFonts w:eastAsia="仿宋_GB2312" w:hint="eastAsia"/>
          <w:sz w:val="32"/>
          <w:szCs w:val="32"/>
          <w:lang w:val="zh-CN"/>
        </w:rPr>
        <w:t>围</w:t>
      </w:r>
      <w:r>
        <w:rPr>
          <w:rFonts w:ascii="仿宋_GB2312" w:eastAsia="仿宋_GB2312" w:hAnsi="仿宋" w:cs="仿宋_GB2312" w:hint="eastAsia"/>
          <w:color w:val="000000"/>
          <w:kern w:val="0"/>
          <w:sz w:val="32"/>
          <w:szCs w:val="32"/>
          <w:lang w:val="zh-CN" w:bidi="ar"/>
        </w:rPr>
        <w:t>绕目标完成、目标偏离、实现效果进行绩效分析。</w:t>
      </w:r>
    </w:p>
    <w:p w14:paraId="70EBCC2B" w14:textId="77777777" w:rsidR="003753FB" w:rsidRDefault="00000000">
      <w:pPr>
        <w:ind w:firstLineChars="200" w:firstLine="640"/>
        <w:rPr>
          <w:rFonts w:eastAsia="仿宋_GB2312"/>
          <w:sz w:val="32"/>
          <w:szCs w:val="32"/>
          <w:lang w:val="zh-CN"/>
        </w:rPr>
      </w:pPr>
      <w:r>
        <w:rPr>
          <w:rFonts w:ascii="仿宋_GB2312" w:eastAsia="仿宋_GB2312" w:hAnsi="仿宋" w:cs="仿宋_GB2312" w:hint="eastAsia"/>
          <w:color w:val="000000"/>
          <w:kern w:val="0"/>
          <w:sz w:val="32"/>
          <w:szCs w:val="32"/>
          <w:lang w:bidi="ar"/>
        </w:rPr>
        <w:t>2024年</w:t>
      </w:r>
      <w:r>
        <w:rPr>
          <w:rFonts w:ascii="仿宋_GB2312" w:eastAsia="仿宋_GB2312" w:hAnsi="仿宋" w:cs="仿宋_GB2312" w:hint="eastAsia"/>
          <w:color w:val="000000"/>
          <w:kern w:val="0"/>
          <w:sz w:val="32"/>
          <w:szCs w:val="32"/>
          <w:lang w:val="zh-CN" w:bidi="ar"/>
        </w:rPr>
        <w:t>我</w:t>
      </w:r>
      <w:r>
        <w:rPr>
          <w:rFonts w:ascii="仿宋_GB2312" w:eastAsia="仿宋_GB2312" w:hAnsi="仿宋" w:cs="仿宋_GB2312" w:hint="eastAsia"/>
          <w:color w:val="000000"/>
          <w:kern w:val="0"/>
          <w:sz w:val="32"/>
          <w:szCs w:val="32"/>
          <w:lang w:bidi="ar"/>
        </w:rPr>
        <w:t>单位目标完成100%，未偏离目标。</w:t>
      </w:r>
      <w:r>
        <w:rPr>
          <w:rFonts w:ascii="仿宋_GB2312" w:eastAsia="仿宋_GB2312" w:hAnsi="仿宋" w:cs="仿宋_GB2312" w:hint="eastAsia"/>
          <w:color w:val="000000"/>
          <w:kern w:val="0"/>
          <w:sz w:val="32"/>
          <w:szCs w:val="32"/>
          <w:lang w:val="zh-CN" w:bidi="ar"/>
        </w:rPr>
        <w:t>参与政府相关的经济活动，广泛联系各地工商界人士，开展民间外交，推动经贸交流和协作，促进经济社会发展。</w:t>
      </w:r>
    </w:p>
    <w:p w14:paraId="21048AD4" w14:textId="77777777" w:rsidR="003753FB" w:rsidRDefault="00000000">
      <w:pPr>
        <w:widowControl/>
        <w:adjustRightInd w:val="0"/>
        <w:snapToGrid w:val="0"/>
        <w:spacing w:line="578" w:lineRule="exact"/>
        <w:ind w:firstLineChars="200" w:firstLine="643"/>
        <w:contextualSpacing/>
        <w:jc w:val="left"/>
        <w:rPr>
          <w:rFonts w:ascii="楷体_GB2312" w:eastAsia="楷体_GB2312"/>
          <w:b/>
          <w:sz w:val="32"/>
          <w:szCs w:val="32"/>
        </w:rPr>
      </w:pPr>
      <w:r>
        <w:rPr>
          <w:rFonts w:ascii="楷体_GB2312" w:eastAsia="楷体_GB2312" w:hint="eastAsia"/>
          <w:b/>
          <w:sz w:val="32"/>
          <w:szCs w:val="32"/>
        </w:rPr>
        <w:t>（三）重点领域绩效分析。</w:t>
      </w:r>
    </w:p>
    <w:p w14:paraId="464EAE92" w14:textId="77777777" w:rsidR="003753FB" w:rsidRDefault="00000000">
      <w:pPr>
        <w:ind w:firstLineChars="200" w:firstLine="640"/>
        <w:rPr>
          <w:rFonts w:eastAsia="仿宋_GB2312"/>
          <w:sz w:val="32"/>
          <w:szCs w:val="32"/>
        </w:rPr>
      </w:pPr>
      <w:r>
        <w:rPr>
          <w:rFonts w:eastAsia="仿宋_GB2312" w:hint="eastAsia"/>
          <w:sz w:val="32"/>
          <w:szCs w:val="32"/>
        </w:rPr>
        <w:t>我单位</w:t>
      </w:r>
      <w:r>
        <w:rPr>
          <w:rFonts w:eastAsia="仿宋_GB2312" w:hint="eastAsia"/>
          <w:sz w:val="32"/>
          <w:szCs w:val="32"/>
        </w:rPr>
        <w:t>2024</w:t>
      </w:r>
      <w:r>
        <w:rPr>
          <w:rFonts w:eastAsia="仿宋_GB2312" w:hint="eastAsia"/>
          <w:sz w:val="32"/>
          <w:szCs w:val="32"/>
        </w:rPr>
        <w:t>年未涉及重点领域事项。</w:t>
      </w:r>
    </w:p>
    <w:p w14:paraId="538C02C9" w14:textId="77777777" w:rsidR="003753FB" w:rsidRDefault="00000000">
      <w:pPr>
        <w:numPr>
          <w:ilvl w:val="0"/>
          <w:numId w:val="5"/>
        </w:numPr>
        <w:adjustRightInd w:val="0"/>
        <w:snapToGrid w:val="0"/>
        <w:spacing w:line="578" w:lineRule="exact"/>
        <w:ind w:firstLineChars="200" w:firstLine="643"/>
        <w:contextualSpacing/>
        <w:jc w:val="left"/>
        <w:rPr>
          <w:rFonts w:ascii="楷体_GB2312" w:eastAsia="楷体_GB2312"/>
          <w:b/>
          <w:sz w:val="32"/>
          <w:szCs w:val="32"/>
        </w:rPr>
      </w:pPr>
      <w:r>
        <w:rPr>
          <w:rFonts w:ascii="楷体_GB2312" w:eastAsia="楷体_GB2312" w:hint="eastAsia"/>
          <w:b/>
          <w:sz w:val="32"/>
          <w:szCs w:val="32"/>
        </w:rPr>
        <w:t>绩效结果应用情况。</w:t>
      </w:r>
    </w:p>
    <w:p w14:paraId="3D53BA80" w14:textId="77777777" w:rsidR="003753FB" w:rsidRDefault="00000000">
      <w:pPr>
        <w:autoSpaceDE w:val="0"/>
        <w:spacing w:line="560" w:lineRule="exact"/>
        <w:ind w:firstLineChars="200" w:firstLine="640"/>
        <w:jc w:val="left"/>
        <w:rPr>
          <w:rFonts w:ascii="仿宋_GB2312" w:eastAsia="仿宋_GB2312" w:hAnsi="仿宋" w:cs="仿宋_GB2312" w:hint="eastAsia"/>
          <w:color w:val="000000"/>
          <w:kern w:val="0"/>
          <w:sz w:val="32"/>
          <w:szCs w:val="32"/>
          <w:lang w:val="zh-CN" w:bidi="ar"/>
        </w:rPr>
      </w:pPr>
      <w:r>
        <w:rPr>
          <w:rFonts w:ascii="仿宋_GB2312" w:eastAsia="仿宋_GB2312" w:hAnsi="仿宋" w:cs="仿宋_GB2312" w:hint="eastAsia"/>
          <w:color w:val="000000"/>
          <w:kern w:val="0"/>
          <w:sz w:val="32"/>
          <w:szCs w:val="32"/>
          <w:lang w:val="zh-CN" w:bidi="ar"/>
        </w:rPr>
        <w:t>我</w:t>
      </w:r>
      <w:r>
        <w:rPr>
          <w:rFonts w:ascii="仿宋_GB2312" w:eastAsia="仿宋_GB2312" w:hAnsi="仿宋" w:cs="仿宋_GB2312" w:hint="eastAsia"/>
          <w:color w:val="000000"/>
          <w:kern w:val="0"/>
          <w:sz w:val="32"/>
          <w:szCs w:val="32"/>
          <w:lang w:bidi="ar"/>
        </w:rPr>
        <w:t>单位</w:t>
      </w:r>
      <w:r>
        <w:rPr>
          <w:rFonts w:ascii="仿宋_GB2312" w:eastAsia="仿宋_GB2312" w:hAnsi="仿宋" w:cs="仿宋_GB2312" w:hint="eastAsia"/>
          <w:color w:val="000000"/>
          <w:kern w:val="0"/>
          <w:sz w:val="32"/>
          <w:szCs w:val="32"/>
          <w:lang w:val="zh-CN" w:bidi="ar"/>
        </w:rPr>
        <w:t>部门绩效结果应用到了下一年的绩效目标设定与调整。根据支出预决算，为下一年度的预算提供了基础预算数据。优化了</w:t>
      </w:r>
      <w:r>
        <w:rPr>
          <w:rFonts w:ascii="仿宋_GB2312" w:eastAsia="仿宋_GB2312" w:hAnsi="仿宋" w:cs="仿宋_GB2312" w:hint="eastAsia"/>
          <w:color w:val="000000"/>
          <w:kern w:val="0"/>
          <w:sz w:val="32"/>
          <w:szCs w:val="32"/>
          <w:lang w:bidi="ar"/>
        </w:rPr>
        <w:t>单位</w:t>
      </w:r>
      <w:r>
        <w:rPr>
          <w:rFonts w:ascii="仿宋_GB2312" w:eastAsia="仿宋_GB2312" w:hAnsi="仿宋" w:cs="仿宋_GB2312" w:hint="eastAsia"/>
          <w:color w:val="000000"/>
          <w:kern w:val="0"/>
          <w:sz w:val="32"/>
          <w:szCs w:val="32"/>
          <w:lang w:val="zh-CN" w:bidi="ar"/>
        </w:rPr>
        <w:t>资金的使用率。保障了机关日常正常运转，专项资金保障了经贸交流和协作，促进经济社会发展，同时在维护少数名</w:t>
      </w:r>
      <w:proofErr w:type="gramStart"/>
      <w:r>
        <w:rPr>
          <w:rFonts w:ascii="仿宋_GB2312" w:eastAsia="仿宋_GB2312" w:hAnsi="仿宋" w:cs="仿宋_GB2312" w:hint="eastAsia"/>
          <w:color w:val="000000"/>
          <w:kern w:val="0"/>
          <w:sz w:val="32"/>
          <w:szCs w:val="32"/>
          <w:lang w:val="zh-CN" w:bidi="ar"/>
        </w:rPr>
        <w:t>族地区</w:t>
      </w:r>
      <w:proofErr w:type="gramEnd"/>
      <w:r>
        <w:rPr>
          <w:rFonts w:ascii="仿宋_GB2312" w:eastAsia="仿宋_GB2312" w:hAnsi="仿宋" w:cs="仿宋_GB2312" w:hint="eastAsia"/>
          <w:color w:val="000000"/>
          <w:kern w:val="0"/>
          <w:sz w:val="32"/>
          <w:szCs w:val="32"/>
          <w:lang w:val="zh-CN" w:bidi="ar"/>
        </w:rPr>
        <w:t>的社会稳定，提高人民生活水平，改善人民生活质量等方面有着极其重要的意义，有力促进了社会和谐发展，为全县及乡镇的经济发展</w:t>
      </w:r>
      <w:proofErr w:type="gramStart"/>
      <w:r>
        <w:rPr>
          <w:rFonts w:ascii="仿宋_GB2312" w:eastAsia="仿宋_GB2312" w:hAnsi="仿宋" w:cs="仿宋_GB2312" w:hint="eastAsia"/>
          <w:color w:val="000000"/>
          <w:kern w:val="0"/>
          <w:sz w:val="32"/>
          <w:szCs w:val="32"/>
          <w:lang w:val="zh-CN" w:bidi="ar"/>
        </w:rPr>
        <w:t>作出</w:t>
      </w:r>
      <w:proofErr w:type="gramEnd"/>
      <w:r>
        <w:rPr>
          <w:rFonts w:ascii="仿宋_GB2312" w:eastAsia="仿宋_GB2312" w:hAnsi="仿宋" w:cs="仿宋_GB2312" w:hint="eastAsia"/>
          <w:color w:val="000000"/>
          <w:kern w:val="0"/>
          <w:sz w:val="32"/>
          <w:szCs w:val="32"/>
          <w:lang w:val="zh-CN" w:bidi="ar"/>
        </w:rPr>
        <w:t>了应有的贡献，</w:t>
      </w:r>
      <w:r>
        <w:rPr>
          <w:rFonts w:ascii="仿宋_GB2312" w:eastAsia="仿宋_GB2312" w:hAnsi="仿宋" w:cs="仿宋_GB2312" w:hint="eastAsia"/>
          <w:color w:val="000000"/>
          <w:kern w:val="0"/>
          <w:sz w:val="32"/>
          <w:szCs w:val="32"/>
          <w:lang w:bidi="ar"/>
        </w:rPr>
        <w:t>2024年预算及决算已在政府信息公开网站进行了公开。</w:t>
      </w:r>
    </w:p>
    <w:p w14:paraId="5026A667" w14:textId="77777777" w:rsidR="003753FB" w:rsidRDefault="00000000">
      <w:pPr>
        <w:ind w:firstLineChars="200" w:firstLine="640"/>
        <w:rPr>
          <w:rFonts w:ascii="黑体" w:eastAsia="黑体" w:hAnsi="黑体" w:hint="eastAsia"/>
          <w:sz w:val="32"/>
          <w:szCs w:val="32"/>
        </w:rPr>
      </w:pPr>
      <w:r>
        <w:rPr>
          <w:rFonts w:ascii="黑体" w:eastAsia="黑体" w:hAnsi="黑体" w:hint="eastAsia"/>
          <w:sz w:val="32"/>
          <w:szCs w:val="32"/>
        </w:rPr>
        <w:t>四、评价结论及建议</w:t>
      </w:r>
    </w:p>
    <w:p w14:paraId="75CA9874" w14:textId="77777777" w:rsidR="003753FB" w:rsidRDefault="00000000">
      <w:pPr>
        <w:adjustRightInd w:val="0"/>
        <w:snapToGrid w:val="0"/>
        <w:spacing w:line="578" w:lineRule="exact"/>
        <w:ind w:firstLineChars="200" w:firstLine="643"/>
        <w:contextualSpacing/>
        <w:jc w:val="left"/>
        <w:rPr>
          <w:rFonts w:ascii="楷体_GB2312" w:eastAsia="楷体_GB2312"/>
          <w:b/>
          <w:sz w:val="32"/>
          <w:szCs w:val="32"/>
        </w:rPr>
      </w:pPr>
      <w:r>
        <w:rPr>
          <w:rFonts w:ascii="楷体_GB2312" w:eastAsia="楷体_GB2312" w:hint="eastAsia"/>
          <w:b/>
          <w:sz w:val="32"/>
          <w:szCs w:val="32"/>
        </w:rPr>
        <w:t>（一）评价结论。</w:t>
      </w:r>
    </w:p>
    <w:p w14:paraId="78478E93" w14:textId="77777777" w:rsidR="003753FB" w:rsidRDefault="00000000">
      <w:pPr>
        <w:adjustRightInd w:val="0"/>
        <w:snapToGrid w:val="0"/>
        <w:spacing w:line="578" w:lineRule="exact"/>
        <w:ind w:firstLineChars="200" w:firstLine="640"/>
        <w:contextualSpacing/>
        <w:jc w:val="left"/>
        <w:rPr>
          <w:rFonts w:eastAsia="仿宋_GB2312"/>
          <w:sz w:val="32"/>
          <w:szCs w:val="32"/>
          <w:lang w:val="zh-CN"/>
        </w:rPr>
      </w:pPr>
      <w:r>
        <w:rPr>
          <w:rFonts w:ascii="仿宋_GB2312" w:eastAsia="仿宋_GB2312" w:hAnsi="仿宋" w:cs="仿宋_GB2312" w:hint="eastAsia"/>
          <w:color w:val="000000"/>
          <w:kern w:val="0"/>
          <w:sz w:val="32"/>
          <w:szCs w:val="32"/>
          <w:lang w:val="zh-CN" w:bidi="ar"/>
        </w:rPr>
        <w:t>我</w:t>
      </w:r>
      <w:r>
        <w:rPr>
          <w:rFonts w:ascii="仿宋_GB2312" w:eastAsia="仿宋_GB2312" w:hAnsi="仿宋" w:cs="仿宋_GB2312" w:hint="eastAsia"/>
          <w:color w:val="000000"/>
          <w:kern w:val="0"/>
          <w:sz w:val="32"/>
          <w:szCs w:val="32"/>
          <w:lang w:bidi="ar"/>
        </w:rPr>
        <w:t>单位</w:t>
      </w:r>
      <w:r>
        <w:rPr>
          <w:rFonts w:ascii="仿宋_GB2312" w:eastAsia="仿宋_GB2312" w:hAnsi="仿宋" w:cs="仿宋_GB2312" w:hint="eastAsia"/>
          <w:color w:val="000000"/>
          <w:kern w:val="0"/>
          <w:sz w:val="32"/>
          <w:szCs w:val="32"/>
          <w:lang w:val="zh-CN" w:bidi="ar"/>
        </w:rPr>
        <w:t>部门支出预算，保障了机关日常正常运转，专项资金保障了经贸交流和协作，促进经济社会发展，同时</w:t>
      </w:r>
      <w:r>
        <w:rPr>
          <w:rFonts w:ascii="仿宋_GB2312" w:eastAsia="仿宋_GB2312" w:hAnsi="仿宋" w:cs="仿宋_GB2312" w:hint="eastAsia"/>
          <w:color w:val="000000"/>
          <w:kern w:val="0"/>
          <w:sz w:val="32"/>
          <w:szCs w:val="32"/>
          <w:lang w:val="zh-CN" w:bidi="ar"/>
        </w:rPr>
        <w:lastRenderedPageBreak/>
        <w:t>在维护少数名</w:t>
      </w:r>
      <w:proofErr w:type="gramStart"/>
      <w:r>
        <w:rPr>
          <w:rFonts w:ascii="仿宋_GB2312" w:eastAsia="仿宋_GB2312" w:hAnsi="仿宋" w:cs="仿宋_GB2312" w:hint="eastAsia"/>
          <w:color w:val="000000"/>
          <w:kern w:val="0"/>
          <w:sz w:val="32"/>
          <w:szCs w:val="32"/>
          <w:lang w:val="zh-CN" w:bidi="ar"/>
        </w:rPr>
        <w:t>族地区</w:t>
      </w:r>
      <w:proofErr w:type="gramEnd"/>
      <w:r>
        <w:rPr>
          <w:rFonts w:ascii="仿宋_GB2312" w:eastAsia="仿宋_GB2312" w:hAnsi="仿宋" w:cs="仿宋_GB2312" w:hint="eastAsia"/>
          <w:color w:val="000000"/>
          <w:kern w:val="0"/>
          <w:sz w:val="32"/>
          <w:szCs w:val="32"/>
          <w:lang w:val="zh-CN" w:bidi="ar"/>
        </w:rPr>
        <w:t>的社会稳定，提高人民生活水平，改善人民生活质量等方面有着极其重要的意义，有力促进了社会和谐</w:t>
      </w:r>
      <w:r>
        <w:rPr>
          <w:rFonts w:eastAsia="仿宋_GB2312" w:hint="eastAsia"/>
          <w:sz w:val="32"/>
          <w:szCs w:val="32"/>
          <w:lang w:val="zh-CN"/>
        </w:rPr>
        <w:t>发展，为全县及乡镇的经济发展</w:t>
      </w:r>
      <w:proofErr w:type="gramStart"/>
      <w:r>
        <w:rPr>
          <w:rFonts w:eastAsia="仿宋_GB2312" w:hint="eastAsia"/>
          <w:sz w:val="32"/>
          <w:szCs w:val="32"/>
          <w:lang w:val="zh-CN"/>
        </w:rPr>
        <w:t>作出</w:t>
      </w:r>
      <w:proofErr w:type="gramEnd"/>
      <w:r>
        <w:rPr>
          <w:rFonts w:eastAsia="仿宋_GB2312" w:hint="eastAsia"/>
          <w:sz w:val="32"/>
          <w:szCs w:val="32"/>
          <w:lang w:val="zh-CN"/>
        </w:rPr>
        <w:t>了应有的贡献，部门整体支出绩效自评等级为优秀。</w:t>
      </w:r>
    </w:p>
    <w:p w14:paraId="6C35A818" w14:textId="77777777" w:rsidR="003753FB" w:rsidRDefault="00000000">
      <w:pPr>
        <w:numPr>
          <w:ilvl w:val="0"/>
          <w:numId w:val="7"/>
        </w:numPr>
        <w:autoSpaceDE w:val="0"/>
        <w:spacing w:line="560" w:lineRule="exact"/>
        <w:ind w:firstLineChars="200" w:firstLine="643"/>
        <w:jc w:val="left"/>
        <w:rPr>
          <w:rFonts w:ascii="楷体_GB2312" w:eastAsia="楷体_GB2312"/>
          <w:b/>
          <w:sz w:val="32"/>
          <w:szCs w:val="32"/>
        </w:rPr>
      </w:pPr>
      <w:r>
        <w:rPr>
          <w:rFonts w:ascii="楷体_GB2312" w:eastAsia="楷体_GB2312" w:hint="eastAsia"/>
          <w:b/>
          <w:sz w:val="32"/>
          <w:szCs w:val="32"/>
        </w:rPr>
        <w:t>存在问题。</w:t>
      </w:r>
    </w:p>
    <w:p w14:paraId="617E82F3" w14:textId="77777777" w:rsidR="003753FB" w:rsidRDefault="00000000">
      <w:pPr>
        <w:autoSpaceDE w:val="0"/>
        <w:spacing w:line="560" w:lineRule="exact"/>
        <w:ind w:firstLineChars="200" w:firstLine="640"/>
        <w:jc w:val="left"/>
        <w:rPr>
          <w:rFonts w:ascii="仿宋_GB2312" w:eastAsia="仿宋_GB2312" w:hAnsi="仿宋" w:cs="仿宋_GB2312" w:hint="eastAsia"/>
          <w:color w:val="000000"/>
          <w:kern w:val="0"/>
          <w:sz w:val="32"/>
          <w:szCs w:val="32"/>
          <w:lang w:val="zh-CN" w:bidi="ar"/>
        </w:rPr>
      </w:pPr>
      <w:r>
        <w:rPr>
          <w:rFonts w:ascii="仿宋_GB2312" w:eastAsia="仿宋_GB2312" w:hAnsi="仿宋" w:cs="仿宋_GB2312" w:hint="eastAsia"/>
          <w:color w:val="000000"/>
          <w:kern w:val="0"/>
          <w:sz w:val="32"/>
          <w:szCs w:val="32"/>
          <w:lang w:bidi="ar"/>
        </w:rPr>
        <w:t>由于财政支出的多样性和复杂性，绩效评价指标体系设置难度大，即使可以量化，但实际操作中很多项目间缺乏可比性</w:t>
      </w:r>
      <w:proofErr w:type="gramStart"/>
      <w:r>
        <w:rPr>
          <w:rFonts w:ascii="仿宋_GB2312" w:eastAsia="仿宋_GB2312" w:hAnsi="仿宋" w:cs="仿宋_GB2312" w:hint="eastAsia"/>
          <w:color w:val="000000"/>
          <w:kern w:val="0"/>
          <w:sz w:val="32"/>
          <w:szCs w:val="32"/>
          <w:lang w:bidi="ar"/>
        </w:rPr>
        <w:t>且指标</w:t>
      </w:r>
      <w:proofErr w:type="gramEnd"/>
      <w:r>
        <w:rPr>
          <w:rFonts w:ascii="仿宋_GB2312" w:eastAsia="仿宋_GB2312" w:hAnsi="仿宋" w:cs="仿宋_GB2312" w:hint="eastAsia"/>
          <w:color w:val="000000"/>
          <w:kern w:val="0"/>
          <w:sz w:val="32"/>
          <w:szCs w:val="32"/>
          <w:lang w:bidi="ar"/>
        </w:rPr>
        <w:t>本身也在逐步变化，需要逐步完善。</w:t>
      </w:r>
      <w:r>
        <w:rPr>
          <w:rFonts w:ascii="仿宋_GB2312" w:eastAsia="仿宋_GB2312" w:hAnsi="仿宋" w:cs="仿宋_GB2312" w:hint="eastAsia"/>
          <w:color w:val="000000"/>
          <w:kern w:val="0"/>
          <w:sz w:val="32"/>
          <w:szCs w:val="32"/>
          <w:lang w:bidi="ar"/>
        </w:rPr>
        <w:br/>
        <w:t xml:space="preserve">    在平时工作推进过程中，缺乏技术人员进行专业指导及培训，工作推进存在一定困难，预算编制还需更加精准。</w:t>
      </w:r>
    </w:p>
    <w:p w14:paraId="4D728336" w14:textId="77777777" w:rsidR="003753FB" w:rsidRDefault="00000000">
      <w:pPr>
        <w:numPr>
          <w:ilvl w:val="0"/>
          <w:numId w:val="7"/>
        </w:numPr>
        <w:autoSpaceDE w:val="0"/>
        <w:spacing w:line="560" w:lineRule="exact"/>
        <w:ind w:firstLineChars="200" w:firstLine="643"/>
        <w:jc w:val="left"/>
        <w:rPr>
          <w:rFonts w:ascii="楷体_GB2312" w:eastAsia="楷体_GB2312"/>
          <w:b/>
          <w:sz w:val="32"/>
          <w:szCs w:val="32"/>
        </w:rPr>
      </w:pPr>
      <w:r>
        <w:rPr>
          <w:rFonts w:ascii="楷体_GB2312" w:eastAsia="楷体_GB2312" w:hint="eastAsia"/>
          <w:b/>
          <w:sz w:val="32"/>
          <w:szCs w:val="32"/>
        </w:rPr>
        <w:t>改进建议。</w:t>
      </w:r>
    </w:p>
    <w:p w14:paraId="3D208DC7" w14:textId="77777777" w:rsidR="003753FB" w:rsidRDefault="00000000">
      <w:pPr>
        <w:autoSpaceDE w:val="0"/>
        <w:spacing w:line="560" w:lineRule="exact"/>
        <w:ind w:firstLineChars="200" w:firstLine="640"/>
        <w:jc w:val="left"/>
        <w:rPr>
          <w:rFonts w:ascii="仿宋_GB2312" w:eastAsia="仿宋_GB2312" w:hAnsi="仿宋" w:cs="仿宋_GB2312" w:hint="eastAsia"/>
          <w:color w:val="000000"/>
          <w:kern w:val="0"/>
          <w:sz w:val="32"/>
          <w:szCs w:val="32"/>
          <w:lang w:bidi="ar"/>
        </w:rPr>
      </w:pPr>
      <w:r>
        <w:rPr>
          <w:rFonts w:ascii="仿宋_GB2312" w:eastAsia="仿宋_GB2312" w:hAnsi="仿宋" w:cs="仿宋_GB2312" w:hint="eastAsia"/>
          <w:color w:val="000000"/>
          <w:kern w:val="0"/>
          <w:sz w:val="32"/>
          <w:szCs w:val="32"/>
          <w:lang w:bidi="ar"/>
        </w:rPr>
        <w:t>1.通过各种途径加强绩效管理学习，科学合理编制预算，严格执行预算。</w:t>
      </w:r>
    </w:p>
    <w:p w14:paraId="24EBD8FF" w14:textId="77777777" w:rsidR="003753FB" w:rsidRDefault="00000000">
      <w:pPr>
        <w:ind w:firstLineChars="200" w:firstLine="640"/>
        <w:rPr>
          <w:rFonts w:eastAsia="仿宋_GB2312"/>
          <w:sz w:val="32"/>
          <w:szCs w:val="32"/>
          <w:lang w:val="zh-CN"/>
        </w:rPr>
      </w:pPr>
      <w:r>
        <w:rPr>
          <w:rFonts w:ascii="仿宋_GB2312" w:eastAsia="仿宋_GB2312" w:hAnsi="仿宋" w:cs="仿宋_GB2312" w:hint="eastAsia"/>
          <w:color w:val="000000"/>
          <w:kern w:val="0"/>
          <w:sz w:val="32"/>
          <w:szCs w:val="32"/>
          <w:lang w:bidi="ar"/>
        </w:rPr>
        <w:t>2.规范账务处理，提高财务信息质量。</w:t>
      </w:r>
    </w:p>
    <w:p w14:paraId="06F06FFA" w14:textId="77777777" w:rsidR="003753FB" w:rsidRDefault="003753FB">
      <w:pPr>
        <w:ind w:firstLineChars="200" w:firstLine="640"/>
        <w:rPr>
          <w:rFonts w:eastAsia="仿宋_GB2312"/>
          <w:sz w:val="32"/>
          <w:szCs w:val="32"/>
          <w:lang w:val="zh-CN"/>
        </w:rPr>
      </w:pPr>
    </w:p>
    <w:p w14:paraId="51048C48" w14:textId="77777777" w:rsidR="003753FB" w:rsidRDefault="00000000">
      <w:pPr>
        <w:ind w:firstLineChars="200" w:firstLine="640"/>
        <w:rPr>
          <w:rFonts w:asciiTheme="minorEastAsia" w:eastAsiaTheme="minorEastAsia" w:hAnsiTheme="minorEastAsia" w:hint="eastAsia"/>
          <w:sz w:val="32"/>
          <w:szCs w:val="32"/>
          <w:lang w:val="zh-CN"/>
        </w:rPr>
      </w:pPr>
      <w:r>
        <w:rPr>
          <w:rFonts w:asciiTheme="minorEastAsia" w:eastAsiaTheme="minorEastAsia" w:hAnsiTheme="minorEastAsia" w:hint="eastAsia"/>
          <w:sz w:val="32"/>
          <w:szCs w:val="32"/>
          <w:lang w:val="zh-CN"/>
        </w:rPr>
        <w:t>附表：</w:t>
      </w:r>
      <w:r>
        <w:rPr>
          <w:rFonts w:ascii="仿宋_GB2312" w:eastAsia="仿宋_GB2312" w:hAnsi="仿宋" w:cs="仿宋_GB2312" w:hint="eastAsia"/>
          <w:color w:val="000000"/>
          <w:kern w:val="0"/>
          <w:sz w:val="32"/>
          <w:szCs w:val="32"/>
          <w:lang w:bidi="ar"/>
        </w:rPr>
        <w:t>部门</w:t>
      </w:r>
      <w:r>
        <w:rPr>
          <w:rFonts w:ascii="仿宋_GB2312" w:eastAsia="仿宋_GB2312" w:hAnsi="仿宋" w:cs="仿宋_GB2312" w:hint="eastAsia"/>
          <w:color w:val="000000"/>
          <w:kern w:val="0"/>
          <w:sz w:val="32"/>
          <w:szCs w:val="32"/>
          <w:lang w:val="zh-CN" w:bidi="ar"/>
        </w:rPr>
        <w:t>预算项目支出绩效自评表（202</w:t>
      </w:r>
      <w:r>
        <w:rPr>
          <w:rFonts w:ascii="仿宋_GB2312" w:eastAsia="仿宋_GB2312" w:hAnsi="仿宋" w:cs="仿宋_GB2312" w:hint="eastAsia"/>
          <w:color w:val="000000"/>
          <w:kern w:val="0"/>
          <w:sz w:val="32"/>
          <w:szCs w:val="32"/>
          <w:lang w:bidi="ar"/>
        </w:rPr>
        <w:t>4</w:t>
      </w:r>
      <w:r>
        <w:rPr>
          <w:rFonts w:ascii="仿宋_GB2312" w:eastAsia="仿宋_GB2312" w:hAnsi="仿宋" w:cs="仿宋_GB2312" w:hint="eastAsia"/>
          <w:color w:val="000000"/>
          <w:kern w:val="0"/>
          <w:sz w:val="32"/>
          <w:szCs w:val="32"/>
          <w:lang w:val="zh-CN" w:bidi="ar"/>
        </w:rPr>
        <w:t>年度</w:t>
      </w:r>
      <w:r>
        <w:rPr>
          <w:rFonts w:asciiTheme="minorEastAsia" w:eastAsiaTheme="minorEastAsia" w:hAnsiTheme="minorEastAsia" w:hint="eastAsia"/>
          <w:sz w:val="32"/>
          <w:szCs w:val="32"/>
          <w:lang w:val="zh-CN"/>
        </w:rPr>
        <w:t>）</w:t>
      </w:r>
    </w:p>
    <w:tbl>
      <w:tblPr>
        <w:tblpPr w:leftFromText="180" w:rightFromText="180" w:vertAnchor="text" w:horzAnchor="page" w:tblpX="261" w:tblpY="1346"/>
        <w:tblOverlap w:val="never"/>
        <w:tblW w:w="11260" w:type="dxa"/>
        <w:tblLook w:val="04A0" w:firstRow="1" w:lastRow="0" w:firstColumn="1" w:lastColumn="0" w:noHBand="0" w:noVBand="1"/>
      </w:tblPr>
      <w:tblGrid>
        <w:gridCol w:w="577"/>
        <w:gridCol w:w="1607"/>
        <w:gridCol w:w="1390"/>
        <w:gridCol w:w="1777"/>
        <w:gridCol w:w="414"/>
        <w:gridCol w:w="1317"/>
        <w:gridCol w:w="416"/>
        <w:gridCol w:w="869"/>
        <w:gridCol w:w="486"/>
        <w:gridCol w:w="396"/>
        <w:gridCol w:w="2011"/>
      </w:tblGrid>
      <w:tr w:rsidR="003753FB" w14:paraId="6192C3AD" w14:textId="77777777">
        <w:trPr>
          <w:trHeight w:val="907"/>
        </w:trPr>
        <w:tc>
          <w:tcPr>
            <w:tcW w:w="11260" w:type="dxa"/>
            <w:gridSpan w:val="11"/>
            <w:tcBorders>
              <w:top w:val="single" w:sz="4" w:space="0" w:color="000000"/>
              <w:left w:val="single" w:sz="4" w:space="0" w:color="000000"/>
              <w:bottom w:val="single" w:sz="4" w:space="0" w:color="000000"/>
              <w:right w:val="single" w:sz="4" w:space="0" w:color="000000"/>
            </w:tcBorders>
            <w:vAlign w:val="center"/>
          </w:tcPr>
          <w:p w14:paraId="3686846B" w14:textId="77777777" w:rsidR="003753FB" w:rsidRDefault="00000000">
            <w:pPr>
              <w:widowControl/>
              <w:jc w:val="center"/>
              <w:textAlignment w:val="center"/>
              <w:rPr>
                <w:rFonts w:ascii="黑体" w:eastAsia="黑体" w:hAnsi="宋体" w:cs="黑体" w:hint="eastAsia"/>
                <w:b/>
                <w:bCs/>
                <w:color w:val="000000"/>
                <w:sz w:val="30"/>
                <w:szCs w:val="30"/>
              </w:rPr>
            </w:pPr>
            <w:r>
              <w:rPr>
                <w:rFonts w:ascii="黑体" w:eastAsia="黑体" w:hAnsi="宋体" w:cs="黑体" w:hint="eastAsia"/>
                <w:b/>
                <w:bCs/>
                <w:color w:val="000000"/>
                <w:kern w:val="0"/>
                <w:sz w:val="30"/>
                <w:szCs w:val="30"/>
                <w:lang w:bidi="ar"/>
              </w:rPr>
              <w:t>部门预算项目支出绩效自评表（2024年度）</w:t>
            </w:r>
          </w:p>
        </w:tc>
      </w:tr>
      <w:tr w:rsidR="003753FB" w14:paraId="301409A7" w14:textId="77777777">
        <w:trPr>
          <w:trHeight w:val="320"/>
        </w:trPr>
        <w:tc>
          <w:tcPr>
            <w:tcW w:w="2181" w:type="dxa"/>
            <w:gridSpan w:val="2"/>
            <w:tcBorders>
              <w:top w:val="single" w:sz="4" w:space="0" w:color="000000"/>
              <w:left w:val="single" w:sz="4" w:space="0" w:color="000000"/>
              <w:bottom w:val="single" w:sz="4" w:space="0" w:color="000000"/>
              <w:right w:val="single" w:sz="4" w:space="0" w:color="000000"/>
            </w:tcBorders>
            <w:vAlign w:val="center"/>
          </w:tcPr>
          <w:p w14:paraId="5669B6A3" w14:textId="77777777" w:rsidR="003753FB" w:rsidRDefault="00000000">
            <w:pPr>
              <w:widowControl/>
              <w:jc w:val="left"/>
              <w:textAlignment w:val="center"/>
              <w:rPr>
                <w:rFonts w:ascii="宋体" w:hAnsi="宋体" w:cs="宋体" w:hint="eastAsia"/>
                <w:color w:val="000000"/>
                <w:sz w:val="18"/>
                <w:szCs w:val="18"/>
              </w:rPr>
            </w:pPr>
            <w:r>
              <w:rPr>
                <w:rFonts w:ascii="宋体" w:hAnsi="宋体" w:cs="宋体"/>
                <w:color w:val="000000"/>
                <w:kern w:val="0"/>
                <w:sz w:val="18"/>
                <w:szCs w:val="18"/>
                <w:lang w:bidi="ar"/>
              </w:rPr>
              <w:t>项目名称</w:t>
            </w:r>
          </w:p>
        </w:tc>
        <w:tc>
          <w:tcPr>
            <w:tcW w:w="9079" w:type="dxa"/>
            <w:gridSpan w:val="9"/>
            <w:tcBorders>
              <w:top w:val="single" w:sz="4" w:space="0" w:color="000000"/>
              <w:left w:val="single" w:sz="4" w:space="0" w:color="000000"/>
              <w:bottom w:val="single" w:sz="4" w:space="0" w:color="000000"/>
              <w:right w:val="single" w:sz="4" w:space="0" w:color="000000"/>
            </w:tcBorders>
            <w:vAlign w:val="center"/>
          </w:tcPr>
          <w:p w14:paraId="30906F8C" w14:textId="77777777" w:rsidR="003753FB" w:rsidRDefault="00000000">
            <w:pPr>
              <w:widowControl/>
              <w:jc w:val="left"/>
              <w:textAlignment w:val="center"/>
              <w:rPr>
                <w:rFonts w:ascii="宋体" w:hAnsi="宋体" w:cs="宋体" w:hint="eastAsia"/>
                <w:color w:val="000000"/>
                <w:sz w:val="18"/>
                <w:szCs w:val="18"/>
              </w:rPr>
            </w:pPr>
            <w:r>
              <w:rPr>
                <w:rFonts w:ascii="宋体" w:hAnsi="宋体" w:cs="宋体"/>
                <w:color w:val="000000"/>
                <w:kern w:val="0"/>
                <w:sz w:val="18"/>
                <w:szCs w:val="18"/>
                <w:lang w:bidi="ar"/>
              </w:rPr>
              <w:t>51323321T000000026342-光彩事业及考察调研培训经费</w:t>
            </w:r>
          </w:p>
        </w:tc>
      </w:tr>
      <w:tr w:rsidR="003753FB" w14:paraId="33A75C63" w14:textId="77777777">
        <w:trPr>
          <w:trHeight w:val="630"/>
        </w:trPr>
        <w:tc>
          <w:tcPr>
            <w:tcW w:w="2181" w:type="dxa"/>
            <w:gridSpan w:val="2"/>
            <w:tcBorders>
              <w:top w:val="single" w:sz="4" w:space="0" w:color="000000"/>
              <w:left w:val="single" w:sz="4" w:space="0" w:color="000000"/>
              <w:bottom w:val="single" w:sz="4" w:space="0" w:color="000000"/>
              <w:right w:val="single" w:sz="4" w:space="0" w:color="000000"/>
            </w:tcBorders>
            <w:vAlign w:val="center"/>
          </w:tcPr>
          <w:p w14:paraId="0BC32390" w14:textId="77777777" w:rsidR="003753FB" w:rsidRDefault="00000000">
            <w:pPr>
              <w:widowControl/>
              <w:jc w:val="left"/>
              <w:textAlignment w:val="center"/>
              <w:rPr>
                <w:rFonts w:ascii="宋体" w:hAnsi="宋体" w:cs="宋体" w:hint="eastAsia"/>
                <w:color w:val="000000"/>
                <w:sz w:val="18"/>
                <w:szCs w:val="18"/>
              </w:rPr>
            </w:pPr>
            <w:r>
              <w:rPr>
                <w:rFonts w:ascii="宋体" w:hAnsi="宋体" w:cs="宋体"/>
                <w:color w:val="000000"/>
                <w:kern w:val="0"/>
                <w:sz w:val="18"/>
                <w:szCs w:val="18"/>
                <w:lang w:bidi="ar"/>
              </w:rPr>
              <w:t>主管部门</w:t>
            </w:r>
          </w:p>
        </w:tc>
        <w:tc>
          <w:tcPr>
            <w:tcW w:w="5395" w:type="dxa"/>
            <w:gridSpan w:val="5"/>
            <w:tcBorders>
              <w:top w:val="single" w:sz="4" w:space="0" w:color="000000"/>
              <w:left w:val="single" w:sz="4" w:space="0" w:color="000000"/>
              <w:bottom w:val="single" w:sz="4" w:space="0" w:color="000000"/>
              <w:right w:val="single" w:sz="4" w:space="0" w:color="000000"/>
            </w:tcBorders>
            <w:vAlign w:val="center"/>
          </w:tcPr>
          <w:p w14:paraId="58380142" w14:textId="77777777" w:rsidR="003753FB" w:rsidRDefault="00000000">
            <w:pPr>
              <w:widowControl/>
              <w:jc w:val="left"/>
              <w:textAlignment w:val="center"/>
              <w:rPr>
                <w:rFonts w:ascii="宋体" w:hAnsi="宋体" w:cs="宋体" w:hint="eastAsia"/>
                <w:color w:val="000000"/>
                <w:sz w:val="18"/>
                <w:szCs w:val="18"/>
              </w:rPr>
            </w:pPr>
            <w:r>
              <w:rPr>
                <w:rFonts w:ascii="宋体" w:hAnsi="宋体" w:cs="宋体"/>
                <w:color w:val="000000"/>
                <w:kern w:val="0"/>
                <w:sz w:val="18"/>
                <w:szCs w:val="18"/>
                <w:lang w:bidi="ar"/>
              </w:rPr>
              <w:t>红原县工商业联合会</w:t>
            </w:r>
          </w:p>
        </w:tc>
        <w:tc>
          <w:tcPr>
            <w:tcW w:w="872" w:type="dxa"/>
            <w:tcBorders>
              <w:top w:val="nil"/>
              <w:left w:val="nil"/>
              <w:bottom w:val="nil"/>
              <w:right w:val="nil"/>
            </w:tcBorders>
            <w:vAlign w:val="center"/>
          </w:tcPr>
          <w:p w14:paraId="779538C9" w14:textId="77777777" w:rsidR="003753FB" w:rsidRDefault="00000000">
            <w:pPr>
              <w:widowControl/>
              <w:jc w:val="left"/>
              <w:textAlignment w:val="center"/>
              <w:rPr>
                <w:rFonts w:ascii="黑体" w:eastAsia="黑体" w:hAnsi="黑体" w:cs="黑体" w:hint="eastAsia"/>
                <w:color w:val="000000"/>
                <w:sz w:val="18"/>
                <w:szCs w:val="18"/>
              </w:rPr>
            </w:pPr>
            <w:r>
              <w:rPr>
                <w:rFonts w:ascii="黑体" w:eastAsia="黑体" w:hAnsi="黑体" w:cs="黑体" w:hint="eastAsia"/>
                <w:color w:val="000000"/>
                <w:kern w:val="0"/>
                <w:sz w:val="18"/>
                <w:szCs w:val="18"/>
                <w:lang w:bidi="ar"/>
              </w:rPr>
              <w:t>实施单位 （盖章）</w:t>
            </w:r>
          </w:p>
        </w:tc>
        <w:tc>
          <w:tcPr>
            <w:tcW w:w="2812" w:type="dxa"/>
            <w:gridSpan w:val="3"/>
            <w:tcBorders>
              <w:top w:val="single" w:sz="4" w:space="0" w:color="000000"/>
              <w:left w:val="single" w:sz="4" w:space="0" w:color="000000"/>
              <w:bottom w:val="single" w:sz="4" w:space="0" w:color="000000"/>
              <w:right w:val="single" w:sz="4" w:space="0" w:color="000000"/>
            </w:tcBorders>
            <w:vAlign w:val="center"/>
          </w:tcPr>
          <w:p w14:paraId="32B061DE"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红原县工商业联合会机关</w:t>
            </w:r>
          </w:p>
        </w:tc>
      </w:tr>
      <w:tr w:rsidR="003753FB" w14:paraId="673C969A" w14:textId="77777777">
        <w:trPr>
          <w:trHeight w:val="320"/>
        </w:trPr>
        <w:tc>
          <w:tcPr>
            <w:tcW w:w="543" w:type="dxa"/>
            <w:vMerge w:val="restart"/>
            <w:tcBorders>
              <w:top w:val="single" w:sz="4" w:space="0" w:color="000000"/>
              <w:left w:val="single" w:sz="4" w:space="0" w:color="000000"/>
              <w:bottom w:val="single" w:sz="4" w:space="0" w:color="000000"/>
              <w:right w:val="single" w:sz="4" w:space="0" w:color="000000"/>
            </w:tcBorders>
            <w:vAlign w:val="center"/>
          </w:tcPr>
          <w:p w14:paraId="36901A88" w14:textId="77777777" w:rsidR="003753FB" w:rsidRDefault="00000000">
            <w:pPr>
              <w:widowControl/>
              <w:jc w:val="left"/>
              <w:textAlignment w:val="center"/>
              <w:rPr>
                <w:rFonts w:ascii="宋体" w:hAnsi="宋体" w:cs="宋体" w:hint="eastAsia"/>
                <w:color w:val="000000"/>
                <w:sz w:val="18"/>
                <w:szCs w:val="18"/>
              </w:rPr>
            </w:pPr>
            <w:r>
              <w:rPr>
                <w:rFonts w:ascii="宋体" w:hAnsi="宋体" w:cs="宋体"/>
                <w:color w:val="000000"/>
                <w:kern w:val="0"/>
                <w:sz w:val="18"/>
                <w:szCs w:val="18"/>
                <w:lang w:bidi="ar"/>
              </w:rPr>
              <w:t>项目基本情况</w:t>
            </w:r>
          </w:p>
        </w:tc>
        <w:tc>
          <w:tcPr>
            <w:tcW w:w="1638" w:type="dxa"/>
            <w:vMerge w:val="restart"/>
            <w:tcBorders>
              <w:top w:val="single" w:sz="4" w:space="0" w:color="000000"/>
              <w:left w:val="single" w:sz="4" w:space="0" w:color="000000"/>
              <w:bottom w:val="single" w:sz="4" w:space="0" w:color="000000"/>
              <w:right w:val="single" w:sz="4" w:space="0" w:color="000000"/>
            </w:tcBorders>
            <w:vAlign w:val="center"/>
          </w:tcPr>
          <w:p w14:paraId="5156A1B5" w14:textId="77777777" w:rsidR="003753FB" w:rsidRDefault="00000000">
            <w:pPr>
              <w:widowControl/>
              <w:jc w:val="left"/>
              <w:textAlignment w:val="center"/>
              <w:rPr>
                <w:rFonts w:ascii="宋体" w:hAnsi="宋体" w:cs="宋体" w:hint="eastAsia"/>
                <w:color w:val="000000"/>
                <w:sz w:val="18"/>
                <w:szCs w:val="18"/>
              </w:rPr>
            </w:pPr>
            <w:r>
              <w:rPr>
                <w:rFonts w:ascii="宋体" w:hAnsi="宋体" w:cs="宋体"/>
                <w:color w:val="000000"/>
                <w:kern w:val="0"/>
                <w:sz w:val="18"/>
                <w:szCs w:val="18"/>
                <w:lang w:bidi="ar"/>
              </w:rPr>
              <w:t>1.项目年度目标完成情况</w:t>
            </w:r>
          </w:p>
        </w:tc>
        <w:tc>
          <w:tcPr>
            <w:tcW w:w="5395" w:type="dxa"/>
            <w:gridSpan w:val="5"/>
            <w:tcBorders>
              <w:top w:val="single" w:sz="4" w:space="0" w:color="000000"/>
              <w:left w:val="single" w:sz="4" w:space="0" w:color="000000"/>
              <w:bottom w:val="single" w:sz="4" w:space="0" w:color="000000"/>
              <w:right w:val="single" w:sz="4" w:space="0" w:color="000000"/>
            </w:tcBorders>
            <w:vAlign w:val="center"/>
          </w:tcPr>
          <w:p w14:paraId="03866F7B"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项目年度目标</w:t>
            </w:r>
          </w:p>
        </w:tc>
        <w:tc>
          <w:tcPr>
            <w:tcW w:w="3684" w:type="dxa"/>
            <w:gridSpan w:val="4"/>
            <w:tcBorders>
              <w:top w:val="single" w:sz="4" w:space="0" w:color="000000"/>
              <w:left w:val="single" w:sz="4" w:space="0" w:color="000000"/>
              <w:bottom w:val="single" w:sz="4" w:space="0" w:color="000000"/>
              <w:right w:val="single" w:sz="4" w:space="0" w:color="000000"/>
            </w:tcBorders>
            <w:vAlign w:val="center"/>
          </w:tcPr>
          <w:p w14:paraId="576F632D" w14:textId="77777777" w:rsidR="003753FB" w:rsidRDefault="00000000">
            <w:pPr>
              <w:widowControl/>
              <w:jc w:val="center"/>
              <w:textAlignment w:val="center"/>
              <w:rPr>
                <w:rFonts w:ascii="黑体" w:eastAsia="黑体" w:hAnsi="黑体" w:cs="黑体" w:hint="eastAsia"/>
                <w:color w:val="000000"/>
                <w:sz w:val="18"/>
                <w:szCs w:val="18"/>
              </w:rPr>
            </w:pPr>
            <w:r>
              <w:rPr>
                <w:rFonts w:ascii="黑体" w:eastAsia="黑体" w:hAnsi="黑体" w:cs="黑体" w:hint="eastAsia"/>
                <w:color w:val="000000"/>
                <w:kern w:val="0"/>
                <w:sz w:val="18"/>
                <w:szCs w:val="18"/>
                <w:lang w:bidi="ar"/>
              </w:rPr>
              <w:t>年度目标完成情况</w:t>
            </w:r>
          </w:p>
        </w:tc>
      </w:tr>
      <w:tr w:rsidR="003753FB" w14:paraId="6BBFA42D" w14:textId="77777777">
        <w:trPr>
          <w:trHeight w:val="940"/>
        </w:trPr>
        <w:tc>
          <w:tcPr>
            <w:tcW w:w="543" w:type="dxa"/>
            <w:vMerge/>
            <w:tcBorders>
              <w:top w:val="single" w:sz="4" w:space="0" w:color="000000"/>
              <w:left w:val="single" w:sz="4" w:space="0" w:color="000000"/>
              <w:bottom w:val="single" w:sz="4" w:space="0" w:color="000000"/>
              <w:right w:val="single" w:sz="4" w:space="0" w:color="000000"/>
            </w:tcBorders>
            <w:vAlign w:val="center"/>
          </w:tcPr>
          <w:p w14:paraId="1A6A894F" w14:textId="77777777" w:rsidR="003753FB" w:rsidRDefault="003753FB">
            <w:pPr>
              <w:rPr>
                <w:rFonts w:ascii="宋体" w:hAnsi="宋体" w:cs="宋体" w:hint="eastAsia"/>
                <w:color w:val="000000"/>
                <w:sz w:val="18"/>
                <w:szCs w:val="18"/>
              </w:rPr>
            </w:pPr>
          </w:p>
        </w:tc>
        <w:tc>
          <w:tcPr>
            <w:tcW w:w="1638" w:type="dxa"/>
            <w:vMerge/>
            <w:tcBorders>
              <w:top w:val="single" w:sz="4" w:space="0" w:color="000000"/>
              <w:left w:val="single" w:sz="4" w:space="0" w:color="000000"/>
              <w:bottom w:val="single" w:sz="4" w:space="0" w:color="000000"/>
              <w:right w:val="single" w:sz="4" w:space="0" w:color="000000"/>
            </w:tcBorders>
            <w:vAlign w:val="center"/>
          </w:tcPr>
          <w:p w14:paraId="04225CBE" w14:textId="77777777" w:rsidR="003753FB" w:rsidRDefault="003753FB">
            <w:pPr>
              <w:rPr>
                <w:rFonts w:ascii="宋体" w:hAnsi="宋体" w:cs="宋体" w:hint="eastAsia"/>
                <w:color w:val="000000"/>
                <w:sz w:val="18"/>
                <w:szCs w:val="18"/>
              </w:rPr>
            </w:pPr>
          </w:p>
        </w:tc>
        <w:tc>
          <w:tcPr>
            <w:tcW w:w="5395" w:type="dxa"/>
            <w:gridSpan w:val="5"/>
            <w:tcBorders>
              <w:top w:val="single" w:sz="4" w:space="0" w:color="000000"/>
              <w:left w:val="single" w:sz="4" w:space="0" w:color="000000"/>
              <w:bottom w:val="single" w:sz="4" w:space="0" w:color="000000"/>
              <w:right w:val="single" w:sz="4" w:space="0" w:color="000000"/>
            </w:tcBorders>
            <w:vAlign w:val="center"/>
          </w:tcPr>
          <w:p w14:paraId="354C8B9D" w14:textId="77777777" w:rsidR="003753FB" w:rsidRDefault="00000000">
            <w:pPr>
              <w:widowControl/>
              <w:jc w:val="left"/>
              <w:textAlignment w:val="center"/>
              <w:rPr>
                <w:rFonts w:ascii="宋体" w:hAnsi="宋体" w:cs="宋体" w:hint="eastAsia"/>
                <w:color w:val="000000"/>
                <w:sz w:val="18"/>
                <w:szCs w:val="18"/>
              </w:rPr>
            </w:pPr>
            <w:r>
              <w:rPr>
                <w:rFonts w:ascii="宋体" w:hAnsi="宋体" w:cs="宋体"/>
                <w:color w:val="000000"/>
                <w:kern w:val="0"/>
                <w:sz w:val="18"/>
                <w:szCs w:val="18"/>
                <w:lang w:bidi="ar"/>
              </w:rPr>
              <w:t xml:space="preserve">　更好的发挥工商联参政议政水平，深入企业调研，广泛听取广大非公有制经济代表人士意见建议，引导非公有制</w:t>
            </w:r>
            <w:proofErr w:type="gramStart"/>
            <w:r>
              <w:rPr>
                <w:rFonts w:ascii="宋体" w:hAnsi="宋体" w:cs="宋体"/>
                <w:color w:val="000000"/>
                <w:kern w:val="0"/>
                <w:sz w:val="18"/>
                <w:szCs w:val="18"/>
                <w:lang w:bidi="ar"/>
              </w:rPr>
              <w:t>经济人</w:t>
            </w:r>
            <w:proofErr w:type="gramEnd"/>
            <w:r>
              <w:rPr>
                <w:rFonts w:ascii="宋体" w:hAnsi="宋体" w:cs="宋体"/>
                <w:color w:val="000000"/>
                <w:kern w:val="0"/>
                <w:sz w:val="18"/>
                <w:szCs w:val="18"/>
                <w:lang w:bidi="ar"/>
              </w:rPr>
              <w:t>大代表、政协委员提出有质量的提案、议案。</w:t>
            </w:r>
          </w:p>
        </w:tc>
        <w:tc>
          <w:tcPr>
            <w:tcW w:w="3684" w:type="dxa"/>
            <w:gridSpan w:val="4"/>
            <w:tcBorders>
              <w:top w:val="single" w:sz="4" w:space="0" w:color="000000"/>
              <w:left w:val="single" w:sz="4" w:space="0" w:color="000000"/>
              <w:bottom w:val="single" w:sz="4" w:space="0" w:color="000000"/>
              <w:right w:val="single" w:sz="4" w:space="0" w:color="000000"/>
            </w:tcBorders>
            <w:vAlign w:val="center"/>
          </w:tcPr>
          <w:p w14:paraId="5494CE6A" w14:textId="77777777" w:rsidR="003753FB" w:rsidRDefault="00000000">
            <w:pPr>
              <w:widowControl/>
              <w:jc w:val="left"/>
              <w:textAlignment w:val="center"/>
              <w:rPr>
                <w:rFonts w:ascii="黑体" w:eastAsia="黑体" w:hAnsi="黑体" w:cs="黑体" w:hint="eastAsia"/>
                <w:color w:val="000000"/>
                <w:sz w:val="18"/>
                <w:szCs w:val="18"/>
              </w:rPr>
            </w:pPr>
            <w:r>
              <w:rPr>
                <w:rFonts w:ascii="黑体" w:eastAsia="黑体" w:hAnsi="黑体" w:cs="黑体" w:hint="eastAsia"/>
                <w:color w:val="000000"/>
                <w:kern w:val="0"/>
                <w:sz w:val="18"/>
                <w:szCs w:val="18"/>
                <w:lang w:bidi="ar"/>
              </w:rPr>
              <w:t>更好的发挥工商联参政议政水平，深入企业调研，广泛听取广大非公有制经济代表人士意见建议，引导非公有制</w:t>
            </w:r>
            <w:proofErr w:type="gramStart"/>
            <w:r>
              <w:rPr>
                <w:rFonts w:ascii="黑体" w:eastAsia="黑体" w:hAnsi="黑体" w:cs="黑体" w:hint="eastAsia"/>
                <w:color w:val="000000"/>
                <w:kern w:val="0"/>
                <w:sz w:val="18"/>
                <w:szCs w:val="18"/>
                <w:lang w:bidi="ar"/>
              </w:rPr>
              <w:t>经济人</w:t>
            </w:r>
            <w:proofErr w:type="gramEnd"/>
            <w:r>
              <w:rPr>
                <w:rFonts w:ascii="黑体" w:eastAsia="黑体" w:hAnsi="黑体" w:cs="黑体" w:hint="eastAsia"/>
                <w:color w:val="000000"/>
                <w:kern w:val="0"/>
                <w:sz w:val="18"/>
                <w:szCs w:val="18"/>
                <w:lang w:bidi="ar"/>
              </w:rPr>
              <w:t>大代表、政协委员提出有质量的提案、议案。</w:t>
            </w:r>
          </w:p>
        </w:tc>
      </w:tr>
      <w:tr w:rsidR="003753FB" w14:paraId="24C4D22E" w14:textId="77777777">
        <w:trPr>
          <w:trHeight w:val="699"/>
        </w:trPr>
        <w:tc>
          <w:tcPr>
            <w:tcW w:w="543" w:type="dxa"/>
            <w:vMerge/>
            <w:tcBorders>
              <w:top w:val="single" w:sz="4" w:space="0" w:color="000000"/>
              <w:left w:val="single" w:sz="4" w:space="0" w:color="000000"/>
              <w:bottom w:val="single" w:sz="4" w:space="0" w:color="000000"/>
              <w:right w:val="single" w:sz="4" w:space="0" w:color="000000"/>
            </w:tcBorders>
            <w:vAlign w:val="center"/>
          </w:tcPr>
          <w:p w14:paraId="320A533A" w14:textId="77777777" w:rsidR="003753FB" w:rsidRDefault="003753FB">
            <w:pPr>
              <w:rPr>
                <w:rFonts w:ascii="宋体" w:hAnsi="宋体" w:cs="宋体" w:hint="eastAsia"/>
                <w:color w:val="000000"/>
                <w:sz w:val="18"/>
                <w:szCs w:val="18"/>
              </w:rPr>
            </w:pPr>
          </w:p>
        </w:tc>
        <w:tc>
          <w:tcPr>
            <w:tcW w:w="1638" w:type="dxa"/>
            <w:tcBorders>
              <w:top w:val="single" w:sz="4" w:space="0" w:color="000000"/>
              <w:left w:val="single" w:sz="4" w:space="0" w:color="000000"/>
              <w:bottom w:val="single" w:sz="4" w:space="0" w:color="000000"/>
              <w:right w:val="single" w:sz="4" w:space="0" w:color="000000"/>
            </w:tcBorders>
            <w:vAlign w:val="center"/>
          </w:tcPr>
          <w:p w14:paraId="51279BBB" w14:textId="77777777" w:rsidR="003753FB" w:rsidRDefault="00000000">
            <w:pPr>
              <w:widowControl/>
              <w:jc w:val="left"/>
              <w:textAlignment w:val="center"/>
              <w:rPr>
                <w:rFonts w:ascii="宋体" w:hAnsi="宋体" w:cs="宋体" w:hint="eastAsia"/>
                <w:color w:val="000000"/>
                <w:sz w:val="18"/>
                <w:szCs w:val="18"/>
              </w:rPr>
            </w:pPr>
            <w:r>
              <w:rPr>
                <w:rFonts w:ascii="宋体" w:hAnsi="宋体" w:cs="宋体"/>
                <w:color w:val="000000"/>
                <w:kern w:val="0"/>
                <w:sz w:val="18"/>
                <w:szCs w:val="18"/>
                <w:lang w:bidi="ar"/>
              </w:rPr>
              <w:t>2.项目实施内容及过程概述</w:t>
            </w:r>
          </w:p>
        </w:tc>
        <w:tc>
          <w:tcPr>
            <w:tcW w:w="9079" w:type="dxa"/>
            <w:gridSpan w:val="9"/>
            <w:tcBorders>
              <w:top w:val="single" w:sz="4" w:space="0" w:color="000000"/>
              <w:left w:val="single" w:sz="4" w:space="0" w:color="000000"/>
              <w:bottom w:val="single" w:sz="4" w:space="0" w:color="000000"/>
              <w:right w:val="single" w:sz="4" w:space="0" w:color="000000"/>
            </w:tcBorders>
            <w:vAlign w:val="center"/>
          </w:tcPr>
          <w:p w14:paraId="778E2F98" w14:textId="77777777" w:rsidR="003753FB" w:rsidRDefault="00000000">
            <w:pPr>
              <w:widowControl/>
              <w:jc w:val="left"/>
              <w:textAlignment w:val="center"/>
              <w:rPr>
                <w:rFonts w:ascii="宋体" w:hAnsi="宋体" w:cs="宋体" w:hint="eastAsia"/>
                <w:color w:val="000000"/>
                <w:sz w:val="18"/>
                <w:szCs w:val="18"/>
              </w:rPr>
            </w:pPr>
            <w:r>
              <w:rPr>
                <w:rFonts w:ascii="宋体" w:hAnsi="宋体" w:cs="宋体"/>
                <w:color w:val="000000"/>
                <w:kern w:val="0"/>
                <w:sz w:val="18"/>
                <w:szCs w:val="18"/>
                <w:lang w:bidi="ar"/>
              </w:rPr>
              <w:t>光彩事业及考察调研培训经费</w:t>
            </w:r>
          </w:p>
        </w:tc>
      </w:tr>
      <w:tr w:rsidR="003753FB" w14:paraId="0D6D78C0" w14:textId="77777777">
        <w:trPr>
          <w:trHeight w:val="630"/>
        </w:trPr>
        <w:tc>
          <w:tcPr>
            <w:tcW w:w="543" w:type="dxa"/>
            <w:vMerge w:val="restart"/>
            <w:tcBorders>
              <w:top w:val="single" w:sz="4" w:space="0" w:color="000000"/>
              <w:left w:val="single" w:sz="4" w:space="0" w:color="000000"/>
              <w:bottom w:val="single" w:sz="4" w:space="0" w:color="000000"/>
              <w:right w:val="single" w:sz="4" w:space="0" w:color="000000"/>
            </w:tcBorders>
            <w:vAlign w:val="center"/>
          </w:tcPr>
          <w:p w14:paraId="2DC00135"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预算执行情况（10分）</w:t>
            </w:r>
          </w:p>
        </w:tc>
        <w:tc>
          <w:tcPr>
            <w:tcW w:w="1638" w:type="dxa"/>
            <w:tcBorders>
              <w:top w:val="single" w:sz="4" w:space="0" w:color="000000"/>
              <w:left w:val="single" w:sz="4" w:space="0" w:color="000000"/>
              <w:bottom w:val="single" w:sz="4" w:space="0" w:color="000000"/>
              <w:right w:val="single" w:sz="4" w:space="0" w:color="000000"/>
            </w:tcBorders>
            <w:vAlign w:val="center"/>
          </w:tcPr>
          <w:p w14:paraId="39FB2792"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年度预算数（万元）</w:t>
            </w:r>
          </w:p>
        </w:tc>
        <w:tc>
          <w:tcPr>
            <w:tcW w:w="1415" w:type="dxa"/>
            <w:tcBorders>
              <w:top w:val="single" w:sz="4" w:space="0" w:color="000000"/>
              <w:left w:val="single" w:sz="4" w:space="0" w:color="000000"/>
              <w:bottom w:val="single" w:sz="4" w:space="0" w:color="000000"/>
              <w:right w:val="single" w:sz="4" w:space="0" w:color="000000"/>
            </w:tcBorders>
            <w:vAlign w:val="center"/>
          </w:tcPr>
          <w:p w14:paraId="7329D34B"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年初预算</w:t>
            </w:r>
          </w:p>
        </w:tc>
        <w:tc>
          <w:tcPr>
            <w:tcW w:w="1808" w:type="dxa"/>
            <w:tcBorders>
              <w:top w:val="single" w:sz="4" w:space="0" w:color="000000"/>
              <w:left w:val="single" w:sz="4" w:space="0" w:color="000000"/>
              <w:bottom w:val="single" w:sz="4" w:space="0" w:color="000000"/>
              <w:right w:val="single" w:sz="4" w:space="0" w:color="000000"/>
            </w:tcBorders>
            <w:vAlign w:val="center"/>
          </w:tcPr>
          <w:p w14:paraId="269BDA7C"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调整</w:t>
            </w:r>
            <w:proofErr w:type="gramStart"/>
            <w:r>
              <w:rPr>
                <w:rFonts w:ascii="宋体" w:hAnsi="宋体" w:cs="宋体"/>
                <w:color w:val="000000"/>
                <w:kern w:val="0"/>
                <w:sz w:val="18"/>
                <w:szCs w:val="18"/>
                <w:lang w:bidi="ar"/>
              </w:rPr>
              <w:t>后预算</w:t>
            </w:r>
            <w:proofErr w:type="gramEnd"/>
            <w:r>
              <w:rPr>
                <w:rFonts w:ascii="宋体" w:hAnsi="宋体" w:cs="宋体"/>
                <w:color w:val="000000"/>
                <w:kern w:val="0"/>
                <w:sz w:val="18"/>
                <w:szCs w:val="18"/>
                <w:lang w:bidi="ar"/>
              </w:rPr>
              <w:t>数</w:t>
            </w:r>
          </w:p>
        </w:tc>
        <w:tc>
          <w:tcPr>
            <w:tcW w:w="2172" w:type="dxa"/>
            <w:gridSpan w:val="3"/>
            <w:tcBorders>
              <w:top w:val="single" w:sz="4" w:space="0" w:color="000000"/>
              <w:left w:val="single" w:sz="4" w:space="0" w:color="000000"/>
              <w:bottom w:val="single" w:sz="4" w:space="0" w:color="000000"/>
              <w:right w:val="single" w:sz="4" w:space="0" w:color="000000"/>
            </w:tcBorders>
            <w:vAlign w:val="center"/>
          </w:tcPr>
          <w:p w14:paraId="441992CD"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预算执行数</w:t>
            </w:r>
          </w:p>
        </w:tc>
        <w:tc>
          <w:tcPr>
            <w:tcW w:w="872" w:type="dxa"/>
            <w:tcBorders>
              <w:top w:val="single" w:sz="4" w:space="0" w:color="000000"/>
              <w:left w:val="single" w:sz="4" w:space="0" w:color="000000"/>
              <w:bottom w:val="single" w:sz="4" w:space="0" w:color="000000"/>
              <w:right w:val="single" w:sz="4" w:space="0" w:color="000000"/>
            </w:tcBorders>
            <w:vAlign w:val="center"/>
          </w:tcPr>
          <w:p w14:paraId="24218E74"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预算执行率</w:t>
            </w:r>
          </w:p>
        </w:tc>
        <w:tc>
          <w:tcPr>
            <w:tcW w:w="404" w:type="dxa"/>
            <w:tcBorders>
              <w:top w:val="single" w:sz="4" w:space="0" w:color="000000"/>
              <w:left w:val="single" w:sz="4" w:space="0" w:color="000000"/>
              <w:bottom w:val="single" w:sz="4" w:space="0" w:color="000000"/>
              <w:right w:val="single" w:sz="4" w:space="0" w:color="000000"/>
            </w:tcBorders>
            <w:vAlign w:val="center"/>
          </w:tcPr>
          <w:p w14:paraId="3662B2A9"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权重</w:t>
            </w:r>
          </w:p>
        </w:tc>
        <w:tc>
          <w:tcPr>
            <w:tcW w:w="361" w:type="dxa"/>
            <w:tcBorders>
              <w:top w:val="single" w:sz="4" w:space="0" w:color="000000"/>
              <w:left w:val="single" w:sz="4" w:space="0" w:color="000000"/>
              <w:bottom w:val="single" w:sz="4" w:space="0" w:color="000000"/>
              <w:right w:val="single" w:sz="4" w:space="0" w:color="000000"/>
            </w:tcBorders>
            <w:vAlign w:val="center"/>
          </w:tcPr>
          <w:p w14:paraId="036CD1EB"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得分</w:t>
            </w:r>
          </w:p>
        </w:tc>
        <w:tc>
          <w:tcPr>
            <w:tcW w:w="2047" w:type="dxa"/>
            <w:tcBorders>
              <w:top w:val="single" w:sz="4" w:space="0" w:color="000000"/>
              <w:left w:val="single" w:sz="4" w:space="0" w:color="000000"/>
              <w:bottom w:val="single" w:sz="4" w:space="0" w:color="000000"/>
              <w:right w:val="single" w:sz="4" w:space="0" w:color="000000"/>
            </w:tcBorders>
            <w:vAlign w:val="center"/>
          </w:tcPr>
          <w:p w14:paraId="00BDD3A8"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原因</w:t>
            </w:r>
          </w:p>
        </w:tc>
      </w:tr>
      <w:tr w:rsidR="003753FB" w14:paraId="7BB5673F" w14:textId="77777777">
        <w:trPr>
          <w:trHeight w:val="353"/>
        </w:trPr>
        <w:tc>
          <w:tcPr>
            <w:tcW w:w="543" w:type="dxa"/>
            <w:vMerge/>
            <w:tcBorders>
              <w:top w:val="single" w:sz="4" w:space="0" w:color="000000"/>
              <w:left w:val="single" w:sz="4" w:space="0" w:color="000000"/>
              <w:bottom w:val="single" w:sz="4" w:space="0" w:color="000000"/>
              <w:right w:val="single" w:sz="4" w:space="0" w:color="000000"/>
            </w:tcBorders>
            <w:vAlign w:val="center"/>
          </w:tcPr>
          <w:p w14:paraId="3BBE1161" w14:textId="77777777" w:rsidR="003753FB" w:rsidRDefault="003753FB">
            <w:pPr>
              <w:jc w:val="center"/>
              <w:rPr>
                <w:rFonts w:ascii="宋体" w:hAnsi="宋体" w:cs="宋体" w:hint="eastAsia"/>
                <w:color w:val="000000"/>
                <w:sz w:val="18"/>
                <w:szCs w:val="18"/>
              </w:rPr>
            </w:pPr>
          </w:p>
        </w:tc>
        <w:tc>
          <w:tcPr>
            <w:tcW w:w="1638" w:type="dxa"/>
            <w:tcBorders>
              <w:top w:val="single" w:sz="4" w:space="0" w:color="000000"/>
              <w:left w:val="single" w:sz="4" w:space="0" w:color="000000"/>
              <w:bottom w:val="single" w:sz="4" w:space="0" w:color="000000"/>
              <w:right w:val="single" w:sz="4" w:space="0" w:color="000000"/>
            </w:tcBorders>
            <w:vAlign w:val="center"/>
          </w:tcPr>
          <w:p w14:paraId="05AD7AFD"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总额</w:t>
            </w:r>
          </w:p>
        </w:tc>
        <w:tc>
          <w:tcPr>
            <w:tcW w:w="1415" w:type="dxa"/>
            <w:tcBorders>
              <w:top w:val="single" w:sz="4" w:space="0" w:color="000000"/>
              <w:left w:val="single" w:sz="4" w:space="0" w:color="000000"/>
              <w:bottom w:val="single" w:sz="4" w:space="0" w:color="000000"/>
              <w:right w:val="single" w:sz="4" w:space="0" w:color="000000"/>
            </w:tcBorders>
            <w:vAlign w:val="center"/>
          </w:tcPr>
          <w:p w14:paraId="6B53F54E"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5.00</w:t>
            </w:r>
          </w:p>
        </w:tc>
        <w:tc>
          <w:tcPr>
            <w:tcW w:w="1808" w:type="dxa"/>
            <w:tcBorders>
              <w:top w:val="single" w:sz="4" w:space="0" w:color="000000"/>
              <w:left w:val="single" w:sz="4" w:space="0" w:color="000000"/>
              <w:bottom w:val="single" w:sz="4" w:space="0" w:color="000000"/>
              <w:right w:val="single" w:sz="4" w:space="0" w:color="000000"/>
            </w:tcBorders>
            <w:vAlign w:val="center"/>
          </w:tcPr>
          <w:p w14:paraId="0EF6906C"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5.00</w:t>
            </w:r>
          </w:p>
        </w:tc>
        <w:tc>
          <w:tcPr>
            <w:tcW w:w="2172" w:type="dxa"/>
            <w:gridSpan w:val="3"/>
            <w:tcBorders>
              <w:top w:val="single" w:sz="4" w:space="0" w:color="000000"/>
              <w:left w:val="single" w:sz="4" w:space="0" w:color="000000"/>
              <w:bottom w:val="single" w:sz="4" w:space="0" w:color="000000"/>
              <w:right w:val="single" w:sz="4" w:space="0" w:color="000000"/>
            </w:tcBorders>
            <w:vAlign w:val="center"/>
          </w:tcPr>
          <w:p w14:paraId="240F460B"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4.79</w:t>
            </w:r>
          </w:p>
        </w:tc>
        <w:tc>
          <w:tcPr>
            <w:tcW w:w="872" w:type="dxa"/>
            <w:tcBorders>
              <w:top w:val="single" w:sz="4" w:space="0" w:color="000000"/>
              <w:left w:val="single" w:sz="4" w:space="0" w:color="000000"/>
              <w:bottom w:val="single" w:sz="4" w:space="0" w:color="000000"/>
              <w:right w:val="single" w:sz="4" w:space="0" w:color="000000"/>
            </w:tcBorders>
            <w:vAlign w:val="center"/>
          </w:tcPr>
          <w:p w14:paraId="78FEE06B"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95.75%</w:t>
            </w:r>
          </w:p>
        </w:tc>
        <w:tc>
          <w:tcPr>
            <w:tcW w:w="404" w:type="dxa"/>
            <w:tcBorders>
              <w:top w:val="single" w:sz="4" w:space="0" w:color="000000"/>
              <w:left w:val="single" w:sz="4" w:space="0" w:color="000000"/>
              <w:bottom w:val="single" w:sz="4" w:space="0" w:color="000000"/>
              <w:right w:val="single" w:sz="4" w:space="0" w:color="000000"/>
            </w:tcBorders>
            <w:vAlign w:val="center"/>
          </w:tcPr>
          <w:p w14:paraId="64F47390"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10</w:t>
            </w:r>
          </w:p>
        </w:tc>
        <w:tc>
          <w:tcPr>
            <w:tcW w:w="361" w:type="dxa"/>
            <w:tcBorders>
              <w:top w:val="single" w:sz="4" w:space="0" w:color="000000"/>
              <w:left w:val="single" w:sz="4" w:space="0" w:color="000000"/>
              <w:bottom w:val="single" w:sz="4" w:space="0" w:color="000000"/>
              <w:right w:val="single" w:sz="4" w:space="0" w:color="000000"/>
            </w:tcBorders>
            <w:vAlign w:val="center"/>
          </w:tcPr>
          <w:p w14:paraId="11023D8C" w14:textId="77777777" w:rsidR="003753FB" w:rsidRDefault="003753FB">
            <w:pPr>
              <w:jc w:val="center"/>
              <w:rPr>
                <w:rFonts w:ascii="宋体" w:hAnsi="宋体" w:cs="宋体" w:hint="eastAsia"/>
                <w:color w:val="000000"/>
                <w:sz w:val="18"/>
                <w:szCs w:val="18"/>
              </w:rPr>
            </w:pPr>
          </w:p>
        </w:tc>
        <w:tc>
          <w:tcPr>
            <w:tcW w:w="2047" w:type="dxa"/>
            <w:vMerge w:val="restart"/>
            <w:tcBorders>
              <w:top w:val="single" w:sz="4" w:space="0" w:color="000000"/>
              <w:left w:val="single" w:sz="4" w:space="0" w:color="000000"/>
              <w:bottom w:val="single" w:sz="4" w:space="0" w:color="000000"/>
              <w:right w:val="single" w:sz="4" w:space="0" w:color="000000"/>
            </w:tcBorders>
            <w:vAlign w:val="center"/>
          </w:tcPr>
          <w:p w14:paraId="1DFFDC5C" w14:textId="77777777" w:rsidR="003753FB" w:rsidRDefault="00000000">
            <w:pPr>
              <w:widowControl/>
              <w:jc w:val="left"/>
              <w:textAlignment w:val="center"/>
              <w:rPr>
                <w:rFonts w:ascii="黑体" w:eastAsia="黑体" w:hAnsi="黑体" w:cs="黑体" w:hint="eastAsia"/>
                <w:i/>
                <w:iCs/>
                <w:color w:val="000000"/>
                <w:sz w:val="18"/>
                <w:szCs w:val="18"/>
              </w:rPr>
            </w:pPr>
            <w:r>
              <w:rPr>
                <w:rFonts w:ascii="黑体" w:eastAsia="黑体" w:hAnsi="黑体" w:cs="黑体" w:hint="eastAsia"/>
                <w:i/>
                <w:iCs/>
                <w:color w:val="000000"/>
                <w:kern w:val="0"/>
                <w:sz w:val="18"/>
                <w:szCs w:val="18"/>
                <w:lang w:bidi="ar"/>
              </w:rPr>
              <w:t>1.预算执行率=预算执行数/调整</w:t>
            </w:r>
            <w:proofErr w:type="gramStart"/>
            <w:r>
              <w:rPr>
                <w:rFonts w:ascii="黑体" w:eastAsia="黑体" w:hAnsi="黑体" w:cs="黑体" w:hint="eastAsia"/>
                <w:i/>
                <w:iCs/>
                <w:color w:val="000000"/>
                <w:kern w:val="0"/>
                <w:sz w:val="18"/>
                <w:szCs w:val="18"/>
                <w:lang w:bidi="ar"/>
              </w:rPr>
              <w:t>后预算</w:t>
            </w:r>
            <w:proofErr w:type="gramEnd"/>
            <w:r>
              <w:rPr>
                <w:rFonts w:ascii="黑体" w:eastAsia="黑体" w:hAnsi="黑体" w:cs="黑体" w:hint="eastAsia"/>
                <w:i/>
                <w:iCs/>
                <w:color w:val="000000"/>
                <w:kern w:val="0"/>
                <w:sz w:val="18"/>
                <w:szCs w:val="18"/>
                <w:lang w:bidi="ar"/>
              </w:rPr>
              <w:t>数，预算执行率未达到90%的需说明原因（100字以内）;2.年中发生预算调整的（追加或调减）,应单独说明理由；3.其他资金包括：社会投入资金、银行贷款.</w:t>
            </w:r>
          </w:p>
        </w:tc>
      </w:tr>
      <w:tr w:rsidR="003753FB" w14:paraId="7CA02FC5" w14:textId="77777777">
        <w:trPr>
          <w:trHeight w:val="398"/>
        </w:trPr>
        <w:tc>
          <w:tcPr>
            <w:tcW w:w="543" w:type="dxa"/>
            <w:vMerge/>
            <w:tcBorders>
              <w:top w:val="single" w:sz="4" w:space="0" w:color="000000"/>
              <w:left w:val="single" w:sz="4" w:space="0" w:color="000000"/>
              <w:bottom w:val="single" w:sz="4" w:space="0" w:color="000000"/>
              <w:right w:val="single" w:sz="4" w:space="0" w:color="000000"/>
            </w:tcBorders>
            <w:vAlign w:val="center"/>
          </w:tcPr>
          <w:p w14:paraId="7946D412" w14:textId="77777777" w:rsidR="003753FB" w:rsidRDefault="003753FB">
            <w:pPr>
              <w:jc w:val="center"/>
              <w:rPr>
                <w:rFonts w:ascii="宋体" w:hAnsi="宋体" w:cs="宋体" w:hint="eastAsia"/>
                <w:color w:val="000000"/>
                <w:sz w:val="18"/>
                <w:szCs w:val="18"/>
              </w:rPr>
            </w:pPr>
          </w:p>
        </w:tc>
        <w:tc>
          <w:tcPr>
            <w:tcW w:w="1638" w:type="dxa"/>
            <w:tcBorders>
              <w:top w:val="single" w:sz="4" w:space="0" w:color="000000"/>
              <w:left w:val="single" w:sz="4" w:space="0" w:color="000000"/>
              <w:bottom w:val="single" w:sz="4" w:space="0" w:color="000000"/>
              <w:right w:val="single" w:sz="4" w:space="0" w:color="000000"/>
            </w:tcBorders>
            <w:vAlign w:val="center"/>
          </w:tcPr>
          <w:p w14:paraId="2D429DDE"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其中：财政资金</w:t>
            </w:r>
          </w:p>
        </w:tc>
        <w:tc>
          <w:tcPr>
            <w:tcW w:w="1415" w:type="dxa"/>
            <w:tcBorders>
              <w:top w:val="single" w:sz="4" w:space="0" w:color="000000"/>
              <w:left w:val="single" w:sz="4" w:space="0" w:color="000000"/>
              <w:bottom w:val="single" w:sz="4" w:space="0" w:color="000000"/>
              <w:right w:val="single" w:sz="4" w:space="0" w:color="000000"/>
            </w:tcBorders>
            <w:vAlign w:val="center"/>
          </w:tcPr>
          <w:p w14:paraId="6FAF13B4"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5.00</w:t>
            </w:r>
          </w:p>
        </w:tc>
        <w:tc>
          <w:tcPr>
            <w:tcW w:w="1808" w:type="dxa"/>
            <w:tcBorders>
              <w:top w:val="single" w:sz="4" w:space="0" w:color="000000"/>
              <w:left w:val="single" w:sz="4" w:space="0" w:color="000000"/>
              <w:bottom w:val="single" w:sz="4" w:space="0" w:color="000000"/>
              <w:right w:val="single" w:sz="4" w:space="0" w:color="000000"/>
            </w:tcBorders>
            <w:vAlign w:val="center"/>
          </w:tcPr>
          <w:p w14:paraId="2A93DA3A"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5.00</w:t>
            </w:r>
          </w:p>
        </w:tc>
        <w:tc>
          <w:tcPr>
            <w:tcW w:w="2172" w:type="dxa"/>
            <w:gridSpan w:val="3"/>
            <w:tcBorders>
              <w:top w:val="single" w:sz="4" w:space="0" w:color="000000"/>
              <w:left w:val="single" w:sz="4" w:space="0" w:color="000000"/>
              <w:bottom w:val="single" w:sz="4" w:space="0" w:color="000000"/>
              <w:right w:val="single" w:sz="4" w:space="0" w:color="000000"/>
            </w:tcBorders>
            <w:vAlign w:val="center"/>
          </w:tcPr>
          <w:p w14:paraId="0527A409"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4.79</w:t>
            </w:r>
          </w:p>
        </w:tc>
        <w:tc>
          <w:tcPr>
            <w:tcW w:w="872" w:type="dxa"/>
            <w:tcBorders>
              <w:top w:val="single" w:sz="4" w:space="0" w:color="000000"/>
              <w:left w:val="single" w:sz="4" w:space="0" w:color="000000"/>
              <w:bottom w:val="single" w:sz="4" w:space="0" w:color="000000"/>
              <w:right w:val="single" w:sz="4" w:space="0" w:color="000000"/>
            </w:tcBorders>
            <w:vAlign w:val="center"/>
          </w:tcPr>
          <w:p w14:paraId="5CCCB340"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95.75%</w:t>
            </w:r>
          </w:p>
        </w:tc>
        <w:tc>
          <w:tcPr>
            <w:tcW w:w="404" w:type="dxa"/>
            <w:tcBorders>
              <w:top w:val="single" w:sz="4" w:space="0" w:color="000000"/>
              <w:left w:val="single" w:sz="4" w:space="0" w:color="000000"/>
              <w:bottom w:val="single" w:sz="4" w:space="0" w:color="000000"/>
              <w:right w:val="single" w:sz="4" w:space="0" w:color="000000"/>
            </w:tcBorders>
            <w:vAlign w:val="center"/>
          </w:tcPr>
          <w:p w14:paraId="3405911E"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w:t>
            </w:r>
          </w:p>
        </w:tc>
        <w:tc>
          <w:tcPr>
            <w:tcW w:w="361" w:type="dxa"/>
            <w:tcBorders>
              <w:top w:val="single" w:sz="4" w:space="0" w:color="000000"/>
              <w:left w:val="single" w:sz="4" w:space="0" w:color="000000"/>
              <w:bottom w:val="single" w:sz="4" w:space="0" w:color="000000"/>
              <w:right w:val="single" w:sz="4" w:space="0" w:color="000000"/>
            </w:tcBorders>
            <w:vAlign w:val="center"/>
          </w:tcPr>
          <w:p w14:paraId="549CF0D5"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w:t>
            </w:r>
          </w:p>
        </w:tc>
        <w:tc>
          <w:tcPr>
            <w:tcW w:w="2047" w:type="dxa"/>
            <w:vMerge/>
            <w:tcBorders>
              <w:top w:val="single" w:sz="4" w:space="0" w:color="000000"/>
              <w:left w:val="single" w:sz="4" w:space="0" w:color="000000"/>
              <w:bottom w:val="single" w:sz="4" w:space="0" w:color="000000"/>
              <w:right w:val="single" w:sz="4" w:space="0" w:color="000000"/>
            </w:tcBorders>
            <w:vAlign w:val="center"/>
          </w:tcPr>
          <w:p w14:paraId="23CFF96A" w14:textId="77777777" w:rsidR="003753FB" w:rsidRDefault="003753FB">
            <w:pPr>
              <w:rPr>
                <w:rFonts w:ascii="黑体" w:eastAsia="黑体" w:hAnsi="黑体" w:cs="黑体" w:hint="eastAsia"/>
                <w:i/>
                <w:iCs/>
                <w:color w:val="000000"/>
                <w:sz w:val="18"/>
                <w:szCs w:val="18"/>
              </w:rPr>
            </w:pPr>
          </w:p>
        </w:tc>
      </w:tr>
      <w:tr w:rsidR="003753FB" w14:paraId="0CDD28AE" w14:textId="77777777">
        <w:trPr>
          <w:trHeight w:val="416"/>
        </w:trPr>
        <w:tc>
          <w:tcPr>
            <w:tcW w:w="543" w:type="dxa"/>
            <w:vMerge/>
            <w:tcBorders>
              <w:top w:val="single" w:sz="4" w:space="0" w:color="000000"/>
              <w:left w:val="single" w:sz="4" w:space="0" w:color="000000"/>
              <w:bottom w:val="single" w:sz="4" w:space="0" w:color="000000"/>
              <w:right w:val="single" w:sz="4" w:space="0" w:color="000000"/>
            </w:tcBorders>
            <w:vAlign w:val="center"/>
          </w:tcPr>
          <w:p w14:paraId="285597B9" w14:textId="77777777" w:rsidR="003753FB" w:rsidRDefault="003753FB">
            <w:pPr>
              <w:jc w:val="center"/>
              <w:rPr>
                <w:rFonts w:ascii="宋体" w:hAnsi="宋体" w:cs="宋体" w:hint="eastAsia"/>
                <w:color w:val="000000"/>
                <w:sz w:val="18"/>
                <w:szCs w:val="18"/>
              </w:rPr>
            </w:pPr>
          </w:p>
        </w:tc>
        <w:tc>
          <w:tcPr>
            <w:tcW w:w="1638" w:type="dxa"/>
            <w:tcBorders>
              <w:top w:val="single" w:sz="4" w:space="0" w:color="000000"/>
              <w:left w:val="single" w:sz="4" w:space="0" w:color="000000"/>
              <w:bottom w:val="single" w:sz="4" w:space="0" w:color="000000"/>
              <w:right w:val="single" w:sz="4" w:space="0" w:color="000000"/>
            </w:tcBorders>
            <w:vAlign w:val="center"/>
          </w:tcPr>
          <w:p w14:paraId="76AA511F"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财政专户管理资金</w:t>
            </w:r>
          </w:p>
        </w:tc>
        <w:tc>
          <w:tcPr>
            <w:tcW w:w="1415" w:type="dxa"/>
            <w:tcBorders>
              <w:top w:val="single" w:sz="4" w:space="0" w:color="000000"/>
              <w:left w:val="single" w:sz="4" w:space="0" w:color="000000"/>
              <w:bottom w:val="single" w:sz="4" w:space="0" w:color="000000"/>
              <w:right w:val="single" w:sz="4" w:space="0" w:color="000000"/>
            </w:tcBorders>
            <w:vAlign w:val="center"/>
          </w:tcPr>
          <w:p w14:paraId="7EF705F3"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0.00</w:t>
            </w:r>
          </w:p>
        </w:tc>
        <w:tc>
          <w:tcPr>
            <w:tcW w:w="1808" w:type="dxa"/>
            <w:tcBorders>
              <w:top w:val="single" w:sz="4" w:space="0" w:color="000000"/>
              <w:left w:val="single" w:sz="4" w:space="0" w:color="000000"/>
              <w:bottom w:val="single" w:sz="4" w:space="0" w:color="000000"/>
              <w:right w:val="single" w:sz="4" w:space="0" w:color="000000"/>
            </w:tcBorders>
            <w:vAlign w:val="center"/>
          </w:tcPr>
          <w:p w14:paraId="65AC267F"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0.00</w:t>
            </w:r>
          </w:p>
        </w:tc>
        <w:tc>
          <w:tcPr>
            <w:tcW w:w="2172" w:type="dxa"/>
            <w:gridSpan w:val="3"/>
            <w:tcBorders>
              <w:top w:val="single" w:sz="4" w:space="0" w:color="000000"/>
              <w:left w:val="single" w:sz="4" w:space="0" w:color="000000"/>
              <w:bottom w:val="single" w:sz="4" w:space="0" w:color="000000"/>
              <w:right w:val="single" w:sz="4" w:space="0" w:color="000000"/>
            </w:tcBorders>
            <w:vAlign w:val="center"/>
          </w:tcPr>
          <w:p w14:paraId="184DD3A5"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0.00</w:t>
            </w:r>
          </w:p>
        </w:tc>
        <w:tc>
          <w:tcPr>
            <w:tcW w:w="872" w:type="dxa"/>
            <w:tcBorders>
              <w:top w:val="single" w:sz="4" w:space="0" w:color="000000"/>
              <w:left w:val="single" w:sz="4" w:space="0" w:color="000000"/>
              <w:bottom w:val="single" w:sz="4" w:space="0" w:color="000000"/>
              <w:right w:val="single" w:sz="4" w:space="0" w:color="000000"/>
            </w:tcBorders>
            <w:vAlign w:val="center"/>
          </w:tcPr>
          <w:p w14:paraId="7CBD1DEE"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0.00%</w:t>
            </w:r>
          </w:p>
        </w:tc>
        <w:tc>
          <w:tcPr>
            <w:tcW w:w="404" w:type="dxa"/>
            <w:tcBorders>
              <w:top w:val="single" w:sz="4" w:space="0" w:color="000000"/>
              <w:left w:val="single" w:sz="4" w:space="0" w:color="000000"/>
              <w:bottom w:val="single" w:sz="4" w:space="0" w:color="000000"/>
              <w:right w:val="single" w:sz="4" w:space="0" w:color="000000"/>
            </w:tcBorders>
            <w:vAlign w:val="center"/>
          </w:tcPr>
          <w:p w14:paraId="7E322E1D"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w:t>
            </w:r>
          </w:p>
        </w:tc>
        <w:tc>
          <w:tcPr>
            <w:tcW w:w="361" w:type="dxa"/>
            <w:tcBorders>
              <w:top w:val="single" w:sz="4" w:space="0" w:color="000000"/>
              <w:left w:val="single" w:sz="4" w:space="0" w:color="000000"/>
              <w:bottom w:val="single" w:sz="4" w:space="0" w:color="000000"/>
              <w:right w:val="single" w:sz="4" w:space="0" w:color="000000"/>
            </w:tcBorders>
            <w:vAlign w:val="center"/>
          </w:tcPr>
          <w:p w14:paraId="66201C13"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w:t>
            </w:r>
          </w:p>
        </w:tc>
        <w:tc>
          <w:tcPr>
            <w:tcW w:w="2047" w:type="dxa"/>
            <w:vMerge/>
            <w:tcBorders>
              <w:top w:val="single" w:sz="4" w:space="0" w:color="000000"/>
              <w:left w:val="single" w:sz="4" w:space="0" w:color="000000"/>
              <w:bottom w:val="single" w:sz="4" w:space="0" w:color="000000"/>
              <w:right w:val="single" w:sz="4" w:space="0" w:color="000000"/>
            </w:tcBorders>
            <w:vAlign w:val="center"/>
          </w:tcPr>
          <w:p w14:paraId="78E1E362" w14:textId="77777777" w:rsidR="003753FB" w:rsidRDefault="003753FB">
            <w:pPr>
              <w:rPr>
                <w:rFonts w:ascii="黑体" w:eastAsia="黑体" w:hAnsi="黑体" w:cs="黑体" w:hint="eastAsia"/>
                <w:i/>
                <w:iCs/>
                <w:color w:val="000000"/>
                <w:sz w:val="18"/>
                <w:szCs w:val="18"/>
              </w:rPr>
            </w:pPr>
          </w:p>
        </w:tc>
      </w:tr>
      <w:tr w:rsidR="003753FB" w14:paraId="2DE280EA" w14:textId="77777777">
        <w:trPr>
          <w:trHeight w:val="368"/>
        </w:trPr>
        <w:tc>
          <w:tcPr>
            <w:tcW w:w="543" w:type="dxa"/>
            <w:vMerge/>
            <w:tcBorders>
              <w:top w:val="single" w:sz="4" w:space="0" w:color="000000"/>
              <w:left w:val="single" w:sz="4" w:space="0" w:color="000000"/>
              <w:bottom w:val="single" w:sz="4" w:space="0" w:color="000000"/>
              <w:right w:val="single" w:sz="4" w:space="0" w:color="000000"/>
            </w:tcBorders>
            <w:vAlign w:val="center"/>
          </w:tcPr>
          <w:p w14:paraId="1B6E5B47" w14:textId="77777777" w:rsidR="003753FB" w:rsidRDefault="003753FB">
            <w:pPr>
              <w:jc w:val="center"/>
              <w:rPr>
                <w:rFonts w:ascii="宋体" w:hAnsi="宋体" w:cs="宋体" w:hint="eastAsia"/>
                <w:color w:val="000000"/>
                <w:sz w:val="18"/>
                <w:szCs w:val="18"/>
              </w:rPr>
            </w:pPr>
          </w:p>
        </w:tc>
        <w:tc>
          <w:tcPr>
            <w:tcW w:w="1638" w:type="dxa"/>
            <w:tcBorders>
              <w:top w:val="single" w:sz="4" w:space="0" w:color="000000"/>
              <w:left w:val="single" w:sz="4" w:space="0" w:color="000000"/>
              <w:bottom w:val="single" w:sz="4" w:space="0" w:color="000000"/>
              <w:right w:val="single" w:sz="4" w:space="0" w:color="000000"/>
            </w:tcBorders>
            <w:vAlign w:val="center"/>
          </w:tcPr>
          <w:p w14:paraId="73B071E1"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单位资金</w:t>
            </w:r>
          </w:p>
        </w:tc>
        <w:tc>
          <w:tcPr>
            <w:tcW w:w="1415" w:type="dxa"/>
            <w:tcBorders>
              <w:top w:val="single" w:sz="4" w:space="0" w:color="000000"/>
              <w:left w:val="single" w:sz="4" w:space="0" w:color="000000"/>
              <w:bottom w:val="single" w:sz="4" w:space="0" w:color="000000"/>
              <w:right w:val="single" w:sz="4" w:space="0" w:color="000000"/>
            </w:tcBorders>
            <w:vAlign w:val="center"/>
          </w:tcPr>
          <w:p w14:paraId="530DC2B1"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0.00</w:t>
            </w:r>
          </w:p>
        </w:tc>
        <w:tc>
          <w:tcPr>
            <w:tcW w:w="1808" w:type="dxa"/>
            <w:tcBorders>
              <w:top w:val="single" w:sz="4" w:space="0" w:color="000000"/>
              <w:left w:val="single" w:sz="4" w:space="0" w:color="000000"/>
              <w:bottom w:val="single" w:sz="4" w:space="0" w:color="000000"/>
              <w:right w:val="single" w:sz="4" w:space="0" w:color="000000"/>
            </w:tcBorders>
            <w:vAlign w:val="center"/>
          </w:tcPr>
          <w:p w14:paraId="51F2E72D"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0.00</w:t>
            </w:r>
          </w:p>
        </w:tc>
        <w:tc>
          <w:tcPr>
            <w:tcW w:w="2172" w:type="dxa"/>
            <w:gridSpan w:val="3"/>
            <w:tcBorders>
              <w:top w:val="single" w:sz="4" w:space="0" w:color="000000"/>
              <w:left w:val="single" w:sz="4" w:space="0" w:color="000000"/>
              <w:bottom w:val="single" w:sz="4" w:space="0" w:color="000000"/>
              <w:right w:val="single" w:sz="4" w:space="0" w:color="000000"/>
            </w:tcBorders>
            <w:vAlign w:val="center"/>
          </w:tcPr>
          <w:p w14:paraId="6E9B923F"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0.00</w:t>
            </w:r>
          </w:p>
        </w:tc>
        <w:tc>
          <w:tcPr>
            <w:tcW w:w="872" w:type="dxa"/>
            <w:tcBorders>
              <w:top w:val="single" w:sz="4" w:space="0" w:color="000000"/>
              <w:left w:val="single" w:sz="4" w:space="0" w:color="000000"/>
              <w:bottom w:val="single" w:sz="4" w:space="0" w:color="000000"/>
              <w:right w:val="single" w:sz="4" w:space="0" w:color="000000"/>
            </w:tcBorders>
            <w:vAlign w:val="center"/>
          </w:tcPr>
          <w:p w14:paraId="6146601D"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0.00%</w:t>
            </w:r>
          </w:p>
        </w:tc>
        <w:tc>
          <w:tcPr>
            <w:tcW w:w="404" w:type="dxa"/>
            <w:tcBorders>
              <w:top w:val="single" w:sz="4" w:space="0" w:color="000000"/>
              <w:left w:val="single" w:sz="4" w:space="0" w:color="000000"/>
              <w:bottom w:val="single" w:sz="4" w:space="0" w:color="000000"/>
              <w:right w:val="single" w:sz="4" w:space="0" w:color="000000"/>
            </w:tcBorders>
            <w:vAlign w:val="center"/>
          </w:tcPr>
          <w:p w14:paraId="63E221A8"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w:t>
            </w:r>
          </w:p>
        </w:tc>
        <w:tc>
          <w:tcPr>
            <w:tcW w:w="361" w:type="dxa"/>
            <w:tcBorders>
              <w:top w:val="single" w:sz="4" w:space="0" w:color="000000"/>
              <w:left w:val="single" w:sz="4" w:space="0" w:color="000000"/>
              <w:bottom w:val="single" w:sz="4" w:space="0" w:color="000000"/>
              <w:right w:val="single" w:sz="4" w:space="0" w:color="000000"/>
            </w:tcBorders>
            <w:vAlign w:val="center"/>
          </w:tcPr>
          <w:p w14:paraId="75322429"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w:t>
            </w:r>
          </w:p>
        </w:tc>
        <w:tc>
          <w:tcPr>
            <w:tcW w:w="2047" w:type="dxa"/>
            <w:vMerge/>
            <w:tcBorders>
              <w:top w:val="single" w:sz="4" w:space="0" w:color="000000"/>
              <w:left w:val="single" w:sz="4" w:space="0" w:color="000000"/>
              <w:bottom w:val="single" w:sz="4" w:space="0" w:color="000000"/>
              <w:right w:val="single" w:sz="4" w:space="0" w:color="000000"/>
            </w:tcBorders>
            <w:vAlign w:val="center"/>
          </w:tcPr>
          <w:p w14:paraId="1FA23BF2" w14:textId="77777777" w:rsidR="003753FB" w:rsidRDefault="003753FB">
            <w:pPr>
              <w:rPr>
                <w:rFonts w:ascii="黑体" w:eastAsia="黑体" w:hAnsi="黑体" w:cs="黑体" w:hint="eastAsia"/>
                <w:i/>
                <w:iCs/>
                <w:color w:val="000000"/>
                <w:sz w:val="18"/>
                <w:szCs w:val="18"/>
              </w:rPr>
            </w:pPr>
          </w:p>
        </w:tc>
      </w:tr>
      <w:tr w:rsidR="003753FB" w14:paraId="121429E6" w14:textId="77777777">
        <w:trPr>
          <w:trHeight w:val="690"/>
        </w:trPr>
        <w:tc>
          <w:tcPr>
            <w:tcW w:w="543" w:type="dxa"/>
            <w:vMerge/>
            <w:tcBorders>
              <w:top w:val="single" w:sz="4" w:space="0" w:color="000000"/>
              <w:left w:val="single" w:sz="4" w:space="0" w:color="000000"/>
              <w:bottom w:val="single" w:sz="4" w:space="0" w:color="000000"/>
              <w:right w:val="single" w:sz="4" w:space="0" w:color="000000"/>
            </w:tcBorders>
            <w:vAlign w:val="center"/>
          </w:tcPr>
          <w:p w14:paraId="65786E37" w14:textId="77777777" w:rsidR="003753FB" w:rsidRDefault="003753FB">
            <w:pPr>
              <w:jc w:val="center"/>
              <w:rPr>
                <w:rFonts w:ascii="宋体" w:hAnsi="宋体" w:cs="宋体" w:hint="eastAsia"/>
                <w:color w:val="000000"/>
                <w:sz w:val="18"/>
                <w:szCs w:val="18"/>
              </w:rPr>
            </w:pPr>
          </w:p>
        </w:tc>
        <w:tc>
          <w:tcPr>
            <w:tcW w:w="1638" w:type="dxa"/>
            <w:tcBorders>
              <w:top w:val="single" w:sz="4" w:space="0" w:color="000000"/>
              <w:left w:val="single" w:sz="4" w:space="0" w:color="000000"/>
              <w:bottom w:val="single" w:sz="4" w:space="0" w:color="000000"/>
              <w:right w:val="single" w:sz="4" w:space="0" w:color="000000"/>
            </w:tcBorders>
            <w:vAlign w:val="center"/>
          </w:tcPr>
          <w:p w14:paraId="582932AF"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其他资金</w:t>
            </w:r>
          </w:p>
        </w:tc>
        <w:tc>
          <w:tcPr>
            <w:tcW w:w="1415" w:type="dxa"/>
            <w:tcBorders>
              <w:top w:val="single" w:sz="4" w:space="0" w:color="000000"/>
              <w:left w:val="single" w:sz="4" w:space="0" w:color="000000"/>
              <w:bottom w:val="single" w:sz="4" w:space="0" w:color="000000"/>
              <w:right w:val="single" w:sz="4" w:space="0" w:color="000000"/>
            </w:tcBorders>
            <w:vAlign w:val="center"/>
          </w:tcPr>
          <w:p w14:paraId="3F8A4355" w14:textId="77777777" w:rsidR="003753FB" w:rsidRDefault="003753FB">
            <w:pPr>
              <w:jc w:val="center"/>
              <w:rPr>
                <w:rFonts w:ascii="微软雅黑" w:eastAsia="微软雅黑" w:hAnsi="微软雅黑" w:cs="微软雅黑" w:hint="eastAsia"/>
                <w:i/>
                <w:iCs/>
                <w:color w:val="000000"/>
                <w:sz w:val="16"/>
                <w:szCs w:val="16"/>
              </w:rPr>
            </w:pPr>
          </w:p>
        </w:tc>
        <w:tc>
          <w:tcPr>
            <w:tcW w:w="1808" w:type="dxa"/>
            <w:tcBorders>
              <w:top w:val="single" w:sz="4" w:space="0" w:color="000000"/>
              <w:left w:val="single" w:sz="4" w:space="0" w:color="000000"/>
              <w:bottom w:val="single" w:sz="4" w:space="0" w:color="000000"/>
              <w:right w:val="single" w:sz="4" w:space="0" w:color="000000"/>
            </w:tcBorders>
            <w:vAlign w:val="center"/>
          </w:tcPr>
          <w:p w14:paraId="3645F2F7" w14:textId="77777777" w:rsidR="003753FB" w:rsidRDefault="003753FB">
            <w:pPr>
              <w:jc w:val="center"/>
              <w:rPr>
                <w:rFonts w:ascii="微软雅黑" w:eastAsia="微软雅黑" w:hAnsi="微软雅黑" w:cs="微软雅黑" w:hint="eastAsia"/>
                <w:i/>
                <w:iCs/>
                <w:color w:val="000000"/>
                <w:sz w:val="16"/>
                <w:szCs w:val="16"/>
              </w:rPr>
            </w:pPr>
          </w:p>
        </w:tc>
        <w:tc>
          <w:tcPr>
            <w:tcW w:w="2172" w:type="dxa"/>
            <w:gridSpan w:val="3"/>
            <w:tcBorders>
              <w:top w:val="single" w:sz="4" w:space="0" w:color="000000"/>
              <w:left w:val="single" w:sz="4" w:space="0" w:color="000000"/>
              <w:bottom w:val="single" w:sz="4" w:space="0" w:color="000000"/>
              <w:right w:val="single" w:sz="4" w:space="0" w:color="000000"/>
            </w:tcBorders>
            <w:vAlign w:val="center"/>
          </w:tcPr>
          <w:p w14:paraId="3486B477" w14:textId="77777777" w:rsidR="003753FB" w:rsidRDefault="003753FB">
            <w:pPr>
              <w:jc w:val="center"/>
              <w:rPr>
                <w:rFonts w:ascii="微软雅黑" w:eastAsia="微软雅黑" w:hAnsi="微软雅黑" w:cs="微软雅黑" w:hint="eastAsia"/>
                <w:i/>
                <w:iCs/>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vAlign w:val="center"/>
          </w:tcPr>
          <w:p w14:paraId="2EC5FEB1" w14:textId="77777777" w:rsidR="003753FB" w:rsidRDefault="003753FB">
            <w:pPr>
              <w:jc w:val="center"/>
              <w:rPr>
                <w:rFonts w:ascii="微软雅黑" w:eastAsia="微软雅黑" w:hAnsi="微软雅黑" w:cs="微软雅黑" w:hint="eastAsia"/>
                <w:i/>
                <w:iCs/>
                <w:color w:val="000000"/>
                <w:sz w:val="16"/>
                <w:szCs w:val="16"/>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7CC88E62"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w:t>
            </w:r>
          </w:p>
        </w:tc>
        <w:tc>
          <w:tcPr>
            <w:tcW w:w="361" w:type="dxa"/>
            <w:tcBorders>
              <w:top w:val="single" w:sz="4" w:space="0" w:color="000000"/>
              <w:left w:val="single" w:sz="4" w:space="0" w:color="000000"/>
              <w:bottom w:val="single" w:sz="4" w:space="0" w:color="000000"/>
              <w:right w:val="single" w:sz="4" w:space="0" w:color="000000"/>
            </w:tcBorders>
            <w:vAlign w:val="center"/>
          </w:tcPr>
          <w:p w14:paraId="350B4DBF"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w:t>
            </w:r>
          </w:p>
        </w:tc>
        <w:tc>
          <w:tcPr>
            <w:tcW w:w="2047" w:type="dxa"/>
            <w:vMerge/>
            <w:tcBorders>
              <w:top w:val="single" w:sz="4" w:space="0" w:color="000000"/>
              <w:left w:val="single" w:sz="4" w:space="0" w:color="000000"/>
              <w:bottom w:val="single" w:sz="4" w:space="0" w:color="000000"/>
              <w:right w:val="single" w:sz="4" w:space="0" w:color="000000"/>
            </w:tcBorders>
            <w:vAlign w:val="center"/>
          </w:tcPr>
          <w:p w14:paraId="0DB273E1" w14:textId="77777777" w:rsidR="003753FB" w:rsidRDefault="003753FB">
            <w:pPr>
              <w:rPr>
                <w:rFonts w:ascii="黑体" w:eastAsia="黑体" w:hAnsi="黑体" w:cs="黑体" w:hint="eastAsia"/>
                <w:i/>
                <w:iCs/>
                <w:color w:val="000000"/>
                <w:sz w:val="18"/>
                <w:szCs w:val="18"/>
              </w:rPr>
            </w:pPr>
          </w:p>
        </w:tc>
      </w:tr>
      <w:tr w:rsidR="003753FB" w14:paraId="310525D5" w14:textId="77777777">
        <w:trPr>
          <w:trHeight w:val="1250"/>
        </w:trPr>
        <w:tc>
          <w:tcPr>
            <w:tcW w:w="543" w:type="dxa"/>
            <w:vMerge w:val="restart"/>
            <w:tcBorders>
              <w:top w:val="single" w:sz="4" w:space="0" w:color="000000"/>
              <w:left w:val="single" w:sz="4" w:space="0" w:color="000000"/>
              <w:bottom w:val="single" w:sz="4" w:space="0" w:color="000000"/>
              <w:right w:val="single" w:sz="4" w:space="0" w:color="000000"/>
            </w:tcBorders>
            <w:vAlign w:val="center"/>
          </w:tcPr>
          <w:p w14:paraId="2A982802"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绩效指标（90分）</w:t>
            </w:r>
          </w:p>
        </w:tc>
        <w:tc>
          <w:tcPr>
            <w:tcW w:w="1638" w:type="dxa"/>
            <w:tcBorders>
              <w:top w:val="single" w:sz="4" w:space="0" w:color="000000"/>
              <w:left w:val="single" w:sz="4" w:space="0" w:color="000000"/>
              <w:bottom w:val="single" w:sz="4" w:space="0" w:color="000000"/>
              <w:right w:val="single" w:sz="4" w:space="0" w:color="000000"/>
            </w:tcBorders>
            <w:vAlign w:val="center"/>
          </w:tcPr>
          <w:p w14:paraId="2A43AB32"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一级指标</w:t>
            </w:r>
          </w:p>
        </w:tc>
        <w:tc>
          <w:tcPr>
            <w:tcW w:w="1415" w:type="dxa"/>
            <w:tcBorders>
              <w:top w:val="single" w:sz="4" w:space="0" w:color="000000"/>
              <w:left w:val="single" w:sz="4" w:space="0" w:color="000000"/>
              <w:bottom w:val="single" w:sz="4" w:space="0" w:color="000000"/>
              <w:right w:val="single" w:sz="4" w:space="0" w:color="000000"/>
            </w:tcBorders>
            <w:vAlign w:val="center"/>
          </w:tcPr>
          <w:p w14:paraId="010B682C"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二级指标</w:t>
            </w:r>
          </w:p>
        </w:tc>
        <w:tc>
          <w:tcPr>
            <w:tcW w:w="1808" w:type="dxa"/>
            <w:tcBorders>
              <w:top w:val="single" w:sz="4" w:space="0" w:color="000000"/>
              <w:left w:val="single" w:sz="4" w:space="0" w:color="000000"/>
              <w:bottom w:val="single" w:sz="4" w:space="0" w:color="000000"/>
              <w:right w:val="single" w:sz="4" w:space="0" w:color="000000"/>
            </w:tcBorders>
            <w:vAlign w:val="center"/>
          </w:tcPr>
          <w:p w14:paraId="2DA80CA5"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三级指标</w:t>
            </w:r>
          </w:p>
        </w:tc>
        <w:tc>
          <w:tcPr>
            <w:tcW w:w="415" w:type="dxa"/>
            <w:tcBorders>
              <w:top w:val="single" w:sz="4" w:space="0" w:color="000000"/>
              <w:left w:val="single" w:sz="4" w:space="0" w:color="000000"/>
              <w:bottom w:val="single" w:sz="4" w:space="0" w:color="000000"/>
              <w:right w:val="single" w:sz="4" w:space="0" w:color="000000"/>
            </w:tcBorders>
            <w:vAlign w:val="center"/>
          </w:tcPr>
          <w:p w14:paraId="22F9D350"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指标性质</w:t>
            </w:r>
          </w:p>
        </w:tc>
        <w:tc>
          <w:tcPr>
            <w:tcW w:w="1340" w:type="dxa"/>
            <w:tcBorders>
              <w:top w:val="single" w:sz="4" w:space="0" w:color="000000"/>
              <w:left w:val="single" w:sz="4" w:space="0" w:color="000000"/>
              <w:bottom w:val="single" w:sz="4" w:space="0" w:color="000000"/>
              <w:right w:val="single" w:sz="4" w:space="0" w:color="000000"/>
            </w:tcBorders>
            <w:vAlign w:val="center"/>
          </w:tcPr>
          <w:p w14:paraId="652C59F9"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指标值</w:t>
            </w:r>
          </w:p>
        </w:tc>
        <w:tc>
          <w:tcPr>
            <w:tcW w:w="417" w:type="dxa"/>
            <w:tcBorders>
              <w:top w:val="single" w:sz="4" w:space="0" w:color="000000"/>
              <w:left w:val="single" w:sz="4" w:space="0" w:color="000000"/>
              <w:bottom w:val="single" w:sz="4" w:space="0" w:color="000000"/>
              <w:right w:val="single" w:sz="4" w:space="0" w:color="000000"/>
            </w:tcBorders>
            <w:vAlign w:val="center"/>
          </w:tcPr>
          <w:p w14:paraId="71848699"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度量单位</w:t>
            </w:r>
          </w:p>
        </w:tc>
        <w:tc>
          <w:tcPr>
            <w:tcW w:w="872" w:type="dxa"/>
            <w:tcBorders>
              <w:top w:val="single" w:sz="4" w:space="0" w:color="000000"/>
              <w:left w:val="single" w:sz="4" w:space="0" w:color="000000"/>
              <w:bottom w:val="single" w:sz="4" w:space="0" w:color="000000"/>
              <w:right w:val="single" w:sz="4" w:space="0" w:color="000000"/>
            </w:tcBorders>
            <w:vAlign w:val="center"/>
          </w:tcPr>
          <w:p w14:paraId="042C9BB7"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完成值</w:t>
            </w:r>
          </w:p>
        </w:tc>
        <w:tc>
          <w:tcPr>
            <w:tcW w:w="404" w:type="dxa"/>
            <w:tcBorders>
              <w:top w:val="single" w:sz="4" w:space="0" w:color="000000"/>
              <w:left w:val="single" w:sz="4" w:space="0" w:color="000000"/>
              <w:bottom w:val="single" w:sz="4" w:space="0" w:color="000000"/>
              <w:right w:val="single" w:sz="4" w:space="0" w:color="000000"/>
            </w:tcBorders>
            <w:vAlign w:val="center"/>
          </w:tcPr>
          <w:p w14:paraId="3E5E5FF9"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权重</w:t>
            </w:r>
          </w:p>
        </w:tc>
        <w:tc>
          <w:tcPr>
            <w:tcW w:w="361" w:type="dxa"/>
            <w:tcBorders>
              <w:top w:val="single" w:sz="4" w:space="0" w:color="000000"/>
              <w:left w:val="single" w:sz="4" w:space="0" w:color="000000"/>
              <w:bottom w:val="single" w:sz="4" w:space="0" w:color="000000"/>
              <w:right w:val="single" w:sz="4" w:space="0" w:color="000000"/>
            </w:tcBorders>
            <w:vAlign w:val="center"/>
          </w:tcPr>
          <w:p w14:paraId="4594988A"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得分</w:t>
            </w:r>
          </w:p>
        </w:tc>
        <w:tc>
          <w:tcPr>
            <w:tcW w:w="2047" w:type="dxa"/>
            <w:tcBorders>
              <w:top w:val="single" w:sz="4" w:space="0" w:color="000000"/>
              <w:left w:val="single" w:sz="4" w:space="0" w:color="000000"/>
              <w:bottom w:val="single" w:sz="4" w:space="0" w:color="000000"/>
              <w:right w:val="single" w:sz="4" w:space="0" w:color="000000"/>
            </w:tcBorders>
            <w:vAlign w:val="center"/>
          </w:tcPr>
          <w:p w14:paraId="70ACD21A"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未完成原因分析</w:t>
            </w:r>
          </w:p>
        </w:tc>
      </w:tr>
      <w:tr w:rsidR="003753FB" w14:paraId="3F6C0C2D" w14:textId="77777777">
        <w:trPr>
          <w:trHeight w:val="630"/>
        </w:trPr>
        <w:tc>
          <w:tcPr>
            <w:tcW w:w="543" w:type="dxa"/>
            <w:vMerge/>
            <w:tcBorders>
              <w:top w:val="single" w:sz="4" w:space="0" w:color="000000"/>
              <w:left w:val="single" w:sz="4" w:space="0" w:color="000000"/>
              <w:bottom w:val="single" w:sz="4" w:space="0" w:color="000000"/>
              <w:right w:val="single" w:sz="4" w:space="0" w:color="000000"/>
            </w:tcBorders>
            <w:vAlign w:val="center"/>
          </w:tcPr>
          <w:p w14:paraId="2D8935EB" w14:textId="77777777" w:rsidR="003753FB" w:rsidRDefault="003753FB">
            <w:pPr>
              <w:jc w:val="center"/>
              <w:rPr>
                <w:rFonts w:ascii="宋体" w:hAnsi="宋体" w:cs="宋体" w:hint="eastAsia"/>
                <w:color w:val="000000"/>
                <w:sz w:val="18"/>
                <w:szCs w:val="18"/>
              </w:rPr>
            </w:pPr>
          </w:p>
        </w:tc>
        <w:tc>
          <w:tcPr>
            <w:tcW w:w="1638" w:type="dxa"/>
            <w:vMerge w:val="restart"/>
            <w:tcBorders>
              <w:top w:val="single" w:sz="4" w:space="0" w:color="000000"/>
              <w:left w:val="single" w:sz="4" w:space="0" w:color="000000"/>
              <w:bottom w:val="single" w:sz="4" w:space="0" w:color="000000"/>
              <w:right w:val="single" w:sz="4" w:space="0" w:color="000000"/>
            </w:tcBorders>
            <w:vAlign w:val="center"/>
          </w:tcPr>
          <w:p w14:paraId="03E65489"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产出指标</w:t>
            </w:r>
          </w:p>
        </w:tc>
        <w:tc>
          <w:tcPr>
            <w:tcW w:w="1415" w:type="dxa"/>
            <w:tcBorders>
              <w:top w:val="single" w:sz="4" w:space="0" w:color="000000"/>
              <w:left w:val="single" w:sz="4" w:space="0" w:color="000000"/>
              <w:bottom w:val="single" w:sz="4" w:space="0" w:color="000000"/>
              <w:right w:val="single" w:sz="4" w:space="0" w:color="000000"/>
            </w:tcBorders>
            <w:vAlign w:val="center"/>
          </w:tcPr>
          <w:p w14:paraId="3645CF48"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数量指标</w:t>
            </w:r>
          </w:p>
        </w:tc>
        <w:tc>
          <w:tcPr>
            <w:tcW w:w="1808" w:type="dxa"/>
            <w:tcBorders>
              <w:top w:val="single" w:sz="4" w:space="0" w:color="000000"/>
              <w:left w:val="single" w:sz="4" w:space="0" w:color="000000"/>
              <w:bottom w:val="single" w:sz="4" w:space="0" w:color="000000"/>
              <w:right w:val="single" w:sz="4" w:space="0" w:color="000000"/>
            </w:tcBorders>
            <w:vAlign w:val="center"/>
          </w:tcPr>
          <w:p w14:paraId="2F2DC9E2"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计划培训人数</w:t>
            </w:r>
          </w:p>
        </w:tc>
        <w:tc>
          <w:tcPr>
            <w:tcW w:w="415" w:type="dxa"/>
            <w:tcBorders>
              <w:top w:val="single" w:sz="4" w:space="0" w:color="000000"/>
              <w:left w:val="single" w:sz="4" w:space="0" w:color="000000"/>
              <w:bottom w:val="single" w:sz="4" w:space="0" w:color="000000"/>
              <w:right w:val="single" w:sz="4" w:space="0" w:color="000000"/>
            </w:tcBorders>
            <w:vAlign w:val="center"/>
          </w:tcPr>
          <w:p w14:paraId="0AA6BCF2"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w:t>
            </w:r>
          </w:p>
        </w:tc>
        <w:tc>
          <w:tcPr>
            <w:tcW w:w="1340" w:type="dxa"/>
            <w:tcBorders>
              <w:top w:val="single" w:sz="4" w:space="0" w:color="000000"/>
              <w:left w:val="single" w:sz="4" w:space="0" w:color="000000"/>
              <w:bottom w:val="single" w:sz="4" w:space="0" w:color="000000"/>
              <w:right w:val="single" w:sz="4" w:space="0" w:color="000000"/>
            </w:tcBorders>
            <w:vAlign w:val="center"/>
          </w:tcPr>
          <w:p w14:paraId="39AB3B39"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100</w:t>
            </w:r>
          </w:p>
        </w:tc>
        <w:tc>
          <w:tcPr>
            <w:tcW w:w="417" w:type="dxa"/>
            <w:tcBorders>
              <w:top w:val="single" w:sz="4" w:space="0" w:color="000000"/>
              <w:left w:val="single" w:sz="4" w:space="0" w:color="000000"/>
              <w:bottom w:val="single" w:sz="4" w:space="0" w:color="000000"/>
              <w:right w:val="single" w:sz="4" w:space="0" w:color="000000"/>
            </w:tcBorders>
            <w:vAlign w:val="center"/>
          </w:tcPr>
          <w:p w14:paraId="790BD318"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人次</w:t>
            </w:r>
          </w:p>
        </w:tc>
        <w:tc>
          <w:tcPr>
            <w:tcW w:w="872" w:type="dxa"/>
            <w:tcBorders>
              <w:top w:val="single" w:sz="4" w:space="0" w:color="000000"/>
              <w:left w:val="single" w:sz="4" w:space="0" w:color="000000"/>
              <w:bottom w:val="single" w:sz="4" w:space="0" w:color="000000"/>
              <w:right w:val="single" w:sz="4" w:space="0" w:color="000000"/>
            </w:tcBorders>
            <w:vAlign w:val="center"/>
          </w:tcPr>
          <w:p w14:paraId="55AE344E" w14:textId="77777777" w:rsidR="003753FB" w:rsidRDefault="003753FB">
            <w:pPr>
              <w:jc w:val="center"/>
              <w:rPr>
                <w:rFonts w:ascii="微软雅黑" w:eastAsia="微软雅黑" w:hAnsi="微软雅黑" w:cs="微软雅黑" w:hint="eastAsia"/>
                <w:i/>
                <w:iCs/>
                <w:color w:val="000000"/>
                <w:sz w:val="16"/>
                <w:szCs w:val="16"/>
              </w:rPr>
            </w:pPr>
          </w:p>
        </w:tc>
        <w:tc>
          <w:tcPr>
            <w:tcW w:w="404" w:type="dxa"/>
            <w:tcBorders>
              <w:top w:val="single" w:sz="4" w:space="0" w:color="000000"/>
              <w:left w:val="single" w:sz="4" w:space="0" w:color="000000"/>
              <w:bottom w:val="single" w:sz="4" w:space="0" w:color="000000"/>
              <w:right w:val="single" w:sz="4" w:space="0" w:color="000000"/>
            </w:tcBorders>
            <w:vAlign w:val="center"/>
          </w:tcPr>
          <w:p w14:paraId="17198674"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25</w:t>
            </w:r>
          </w:p>
        </w:tc>
        <w:tc>
          <w:tcPr>
            <w:tcW w:w="361" w:type="dxa"/>
            <w:tcBorders>
              <w:top w:val="single" w:sz="4" w:space="0" w:color="000000"/>
              <w:left w:val="single" w:sz="4" w:space="0" w:color="000000"/>
              <w:bottom w:val="single" w:sz="4" w:space="0" w:color="000000"/>
              <w:right w:val="single" w:sz="4" w:space="0" w:color="000000"/>
            </w:tcBorders>
            <w:vAlign w:val="center"/>
          </w:tcPr>
          <w:p w14:paraId="4947DC1E" w14:textId="77777777" w:rsidR="003753FB" w:rsidRDefault="003753FB">
            <w:pPr>
              <w:jc w:val="center"/>
              <w:rPr>
                <w:rFonts w:ascii="宋体" w:hAnsi="宋体" w:cs="宋体" w:hint="eastAsia"/>
                <w:color w:val="000000"/>
                <w:sz w:val="18"/>
                <w:szCs w:val="18"/>
              </w:rPr>
            </w:pPr>
          </w:p>
        </w:tc>
        <w:tc>
          <w:tcPr>
            <w:tcW w:w="2047" w:type="dxa"/>
            <w:tcBorders>
              <w:top w:val="single" w:sz="4" w:space="0" w:color="000000"/>
              <w:left w:val="single" w:sz="4" w:space="0" w:color="000000"/>
              <w:bottom w:val="single" w:sz="4" w:space="0" w:color="000000"/>
              <w:right w:val="single" w:sz="4" w:space="0" w:color="000000"/>
            </w:tcBorders>
            <w:vAlign w:val="center"/>
          </w:tcPr>
          <w:p w14:paraId="64D44BC7" w14:textId="77777777" w:rsidR="003753FB" w:rsidRDefault="003753FB">
            <w:pPr>
              <w:jc w:val="center"/>
              <w:rPr>
                <w:rFonts w:ascii="微软雅黑" w:eastAsia="微软雅黑" w:hAnsi="微软雅黑" w:cs="微软雅黑" w:hint="eastAsia"/>
                <w:i/>
                <w:iCs/>
                <w:color w:val="000000"/>
                <w:sz w:val="16"/>
                <w:szCs w:val="16"/>
              </w:rPr>
            </w:pPr>
          </w:p>
        </w:tc>
      </w:tr>
      <w:tr w:rsidR="003753FB" w14:paraId="33EB6B72" w14:textId="77777777">
        <w:trPr>
          <w:trHeight w:val="630"/>
        </w:trPr>
        <w:tc>
          <w:tcPr>
            <w:tcW w:w="543" w:type="dxa"/>
            <w:vMerge/>
            <w:tcBorders>
              <w:top w:val="single" w:sz="4" w:space="0" w:color="000000"/>
              <w:left w:val="single" w:sz="4" w:space="0" w:color="000000"/>
              <w:bottom w:val="single" w:sz="4" w:space="0" w:color="000000"/>
              <w:right w:val="single" w:sz="4" w:space="0" w:color="000000"/>
            </w:tcBorders>
            <w:vAlign w:val="center"/>
          </w:tcPr>
          <w:p w14:paraId="2F1BEFFE" w14:textId="77777777" w:rsidR="003753FB" w:rsidRDefault="003753FB">
            <w:pPr>
              <w:jc w:val="center"/>
              <w:rPr>
                <w:rFonts w:ascii="宋体" w:hAnsi="宋体" w:cs="宋体" w:hint="eastAsia"/>
                <w:color w:val="000000"/>
                <w:sz w:val="18"/>
                <w:szCs w:val="18"/>
              </w:rPr>
            </w:pPr>
          </w:p>
        </w:tc>
        <w:tc>
          <w:tcPr>
            <w:tcW w:w="1638" w:type="dxa"/>
            <w:vMerge/>
            <w:tcBorders>
              <w:top w:val="single" w:sz="4" w:space="0" w:color="000000"/>
              <w:left w:val="single" w:sz="4" w:space="0" w:color="000000"/>
              <w:bottom w:val="single" w:sz="4" w:space="0" w:color="000000"/>
              <w:right w:val="single" w:sz="4" w:space="0" w:color="000000"/>
            </w:tcBorders>
            <w:vAlign w:val="center"/>
          </w:tcPr>
          <w:p w14:paraId="5DD2AE5A" w14:textId="77777777" w:rsidR="003753FB" w:rsidRDefault="003753FB">
            <w:pPr>
              <w:jc w:val="center"/>
              <w:rPr>
                <w:rFonts w:ascii="宋体" w:hAnsi="宋体" w:cs="宋体" w:hint="eastAsia"/>
                <w:color w:val="000000"/>
                <w:sz w:val="18"/>
                <w:szCs w:val="18"/>
              </w:rPr>
            </w:pPr>
          </w:p>
        </w:tc>
        <w:tc>
          <w:tcPr>
            <w:tcW w:w="1415" w:type="dxa"/>
            <w:tcBorders>
              <w:top w:val="single" w:sz="4" w:space="0" w:color="000000"/>
              <w:left w:val="single" w:sz="4" w:space="0" w:color="000000"/>
              <w:bottom w:val="single" w:sz="4" w:space="0" w:color="000000"/>
              <w:right w:val="single" w:sz="4" w:space="0" w:color="000000"/>
            </w:tcBorders>
            <w:vAlign w:val="center"/>
          </w:tcPr>
          <w:p w14:paraId="76778CAE"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时效指标</w:t>
            </w:r>
          </w:p>
        </w:tc>
        <w:tc>
          <w:tcPr>
            <w:tcW w:w="1808" w:type="dxa"/>
            <w:tcBorders>
              <w:top w:val="single" w:sz="4" w:space="0" w:color="000000"/>
              <w:left w:val="single" w:sz="4" w:space="0" w:color="000000"/>
              <w:bottom w:val="single" w:sz="4" w:space="0" w:color="000000"/>
              <w:right w:val="single" w:sz="4" w:space="0" w:color="000000"/>
            </w:tcBorders>
            <w:vAlign w:val="center"/>
          </w:tcPr>
          <w:p w14:paraId="635CF52E"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完成时间</w:t>
            </w:r>
          </w:p>
        </w:tc>
        <w:tc>
          <w:tcPr>
            <w:tcW w:w="415" w:type="dxa"/>
            <w:tcBorders>
              <w:top w:val="single" w:sz="4" w:space="0" w:color="000000"/>
              <w:left w:val="single" w:sz="4" w:space="0" w:color="000000"/>
              <w:bottom w:val="single" w:sz="4" w:space="0" w:color="000000"/>
              <w:right w:val="single" w:sz="4" w:space="0" w:color="000000"/>
            </w:tcBorders>
            <w:vAlign w:val="center"/>
          </w:tcPr>
          <w:p w14:paraId="0036DD3A"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定性</w:t>
            </w:r>
          </w:p>
        </w:tc>
        <w:tc>
          <w:tcPr>
            <w:tcW w:w="1340" w:type="dxa"/>
            <w:tcBorders>
              <w:top w:val="single" w:sz="4" w:space="0" w:color="000000"/>
              <w:left w:val="single" w:sz="4" w:space="0" w:color="000000"/>
              <w:bottom w:val="single" w:sz="4" w:space="0" w:color="000000"/>
              <w:right w:val="single" w:sz="4" w:space="0" w:color="000000"/>
            </w:tcBorders>
            <w:vAlign w:val="center"/>
          </w:tcPr>
          <w:p w14:paraId="53D1A2AE"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2024年12月底前完成</w:t>
            </w:r>
          </w:p>
        </w:tc>
        <w:tc>
          <w:tcPr>
            <w:tcW w:w="417" w:type="dxa"/>
            <w:tcBorders>
              <w:top w:val="single" w:sz="4" w:space="0" w:color="000000"/>
              <w:left w:val="single" w:sz="4" w:space="0" w:color="000000"/>
              <w:bottom w:val="single" w:sz="4" w:space="0" w:color="000000"/>
              <w:right w:val="single" w:sz="4" w:space="0" w:color="000000"/>
            </w:tcBorders>
            <w:vAlign w:val="center"/>
          </w:tcPr>
          <w:p w14:paraId="2C5AD849" w14:textId="77777777" w:rsidR="003753FB" w:rsidRDefault="003753FB">
            <w:pPr>
              <w:jc w:val="center"/>
              <w:rPr>
                <w:rFonts w:ascii="宋体" w:hAnsi="宋体" w:cs="宋体" w:hint="eastAsia"/>
                <w:color w:val="000000"/>
                <w:sz w:val="18"/>
                <w:szCs w:val="18"/>
              </w:rPr>
            </w:pPr>
          </w:p>
        </w:tc>
        <w:tc>
          <w:tcPr>
            <w:tcW w:w="872" w:type="dxa"/>
            <w:tcBorders>
              <w:top w:val="single" w:sz="4" w:space="0" w:color="000000"/>
              <w:left w:val="single" w:sz="4" w:space="0" w:color="000000"/>
              <w:bottom w:val="single" w:sz="4" w:space="0" w:color="000000"/>
              <w:right w:val="single" w:sz="4" w:space="0" w:color="000000"/>
            </w:tcBorders>
            <w:vAlign w:val="center"/>
          </w:tcPr>
          <w:p w14:paraId="34284009" w14:textId="77777777" w:rsidR="003753FB" w:rsidRDefault="00000000">
            <w:pPr>
              <w:widowControl/>
              <w:jc w:val="center"/>
              <w:textAlignment w:val="center"/>
              <w:rPr>
                <w:rFonts w:ascii="微软雅黑" w:eastAsia="微软雅黑" w:hAnsi="微软雅黑" w:cs="微软雅黑" w:hint="eastAsia"/>
                <w:i/>
                <w:iCs/>
                <w:color w:val="000000"/>
                <w:sz w:val="16"/>
                <w:szCs w:val="16"/>
              </w:rPr>
            </w:pPr>
            <w:r>
              <w:rPr>
                <w:rFonts w:ascii="微软雅黑" w:eastAsia="微软雅黑" w:hAnsi="微软雅黑" w:cs="微软雅黑" w:hint="eastAsia"/>
                <w:i/>
                <w:iCs/>
                <w:color w:val="000000"/>
                <w:kern w:val="0"/>
                <w:sz w:val="16"/>
                <w:szCs w:val="16"/>
                <w:lang w:bidi="ar"/>
              </w:rPr>
              <w:t>100%</w:t>
            </w:r>
          </w:p>
        </w:tc>
        <w:tc>
          <w:tcPr>
            <w:tcW w:w="404" w:type="dxa"/>
            <w:tcBorders>
              <w:top w:val="single" w:sz="4" w:space="0" w:color="000000"/>
              <w:left w:val="single" w:sz="4" w:space="0" w:color="000000"/>
              <w:bottom w:val="single" w:sz="4" w:space="0" w:color="000000"/>
              <w:right w:val="single" w:sz="4" w:space="0" w:color="000000"/>
            </w:tcBorders>
            <w:vAlign w:val="center"/>
          </w:tcPr>
          <w:p w14:paraId="072D791B"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25</w:t>
            </w:r>
          </w:p>
        </w:tc>
        <w:tc>
          <w:tcPr>
            <w:tcW w:w="361" w:type="dxa"/>
            <w:tcBorders>
              <w:top w:val="single" w:sz="4" w:space="0" w:color="000000"/>
              <w:left w:val="single" w:sz="4" w:space="0" w:color="000000"/>
              <w:bottom w:val="single" w:sz="4" w:space="0" w:color="000000"/>
              <w:right w:val="single" w:sz="4" w:space="0" w:color="000000"/>
            </w:tcBorders>
            <w:vAlign w:val="center"/>
          </w:tcPr>
          <w:p w14:paraId="768BC07F" w14:textId="77777777" w:rsidR="003753FB" w:rsidRDefault="003753FB">
            <w:pPr>
              <w:jc w:val="center"/>
              <w:rPr>
                <w:rFonts w:ascii="宋体" w:hAnsi="宋体" w:cs="宋体" w:hint="eastAsia"/>
                <w:color w:val="000000"/>
                <w:sz w:val="18"/>
                <w:szCs w:val="18"/>
              </w:rPr>
            </w:pPr>
          </w:p>
        </w:tc>
        <w:tc>
          <w:tcPr>
            <w:tcW w:w="2047" w:type="dxa"/>
            <w:tcBorders>
              <w:top w:val="single" w:sz="4" w:space="0" w:color="000000"/>
              <w:left w:val="single" w:sz="4" w:space="0" w:color="000000"/>
              <w:bottom w:val="single" w:sz="4" w:space="0" w:color="000000"/>
              <w:right w:val="single" w:sz="4" w:space="0" w:color="000000"/>
            </w:tcBorders>
            <w:vAlign w:val="center"/>
          </w:tcPr>
          <w:p w14:paraId="6A64B11C" w14:textId="77777777" w:rsidR="003753FB" w:rsidRDefault="003753FB">
            <w:pPr>
              <w:jc w:val="center"/>
              <w:rPr>
                <w:rFonts w:ascii="微软雅黑" w:eastAsia="微软雅黑" w:hAnsi="微软雅黑" w:cs="微软雅黑" w:hint="eastAsia"/>
                <w:i/>
                <w:iCs/>
                <w:color w:val="000000"/>
                <w:sz w:val="16"/>
                <w:szCs w:val="16"/>
              </w:rPr>
            </w:pPr>
          </w:p>
        </w:tc>
      </w:tr>
      <w:tr w:rsidR="003753FB" w14:paraId="51E470A3" w14:textId="77777777">
        <w:trPr>
          <w:trHeight w:val="1250"/>
        </w:trPr>
        <w:tc>
          <w:tcPr>
            <w:tcW w:w="543" w:type="dxa"/>
            <w:vMerge/>
            <w:tcBorders>
              <w:top w:val="single" w:sz="4" w:space="0" w:color="000000"/>
              <w:left w:val="single" w:sz="4" w:space="0" w:color="000000"/>
              <w:bottom w:val="single" w:sz="4" w:space="0" w:color="000000"/>
              <w:right w:val="single" w:sz="4" w:space="0" w:color="000000"/>
            </w:tcBorders>
            <w:vAlign w:val="center"/>
          </w:tcPr>
          <w:p w14:paraId="6985B9F2" w14:textId="77777777" w:rsidR="003753FB" w:rsidRDefault="003753FB">
            <w:pPr>
              <w:jc w:val="center"/>
              <w:rPr>
                <w:rFonts w:ascii="宋体" w:hAnsi="宋体" w:cs="宋体" w:hint="eastAsia"/>
                <w:color w:val="000000"/>
                <w:sz w:val="18"/>
                <w:szCs w:val="18"/>
              </w:rPr>
            </w:pPr>
          </w:p>
        </w:tc>
        <w:tc>
          <w:tcPr>
            <w:tcW w:w="1638" w:type="dxa"/>
            <w:tcBorders>
              <w:top w:val="single" w:sz="4" w:space="0" w:color="000000"/>
              <w:left w:val="single" w:sz="4" w:space="0" w:color="000000"/>
              <w:bottom w:val="single" w:sz="4" w:space="0" w:color="000000"/>
              <w:right w:val="single" w:sz="4" w:space="0" w:color="000000"/>
            </w:tcBorders>
            <w:vAlign w:val="center"/>
          </w:tcPr>
          <w:p w14:paraId="4A3B6855"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效益指标</w:t>
            </w:r>
          </w:p>
        </w:tc>
        <w:tc>
          <w:tcPr>
            <w:tcW w:w="1415" w:type="dxa"/>
            <w:tcBorders>
              <w:top w:val="single" w:sz="4" w:space="0" w:color="000000"/>
              <w:left w:val="single" w:sz="4" w:space="0" w:color="000000"/>
              <w:bottom w:val="single" w:sz="4" w:space="0" w:color="000000"/>
              <w:right w:val="single" w:sz="4" w:space="0" w:color="000000"/>
            </w:tcBorders>
            <w:vAlign w:val="center"/>
          </w:tcPr>
          <w:p w14:paraId="641E628A"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社会效益指标</w:t>
            </w:r>
          </w:p>
        </w:tc>
        <w:tc>
          <w:tcPr>
            <w:tcW w:w="1808" w:type="dxa"/>
            <w:tcBorders>
              <w:top w:val="single" w:sz="4" w:space="0" w:color="000000"/>
              <w:left w:val="single" w:sz="4" w:space="0" w:color="000000"/>
              <w:bottom w:val="single" w:sz="4" w:space="0" w:color="000000"/>
              <w:right w:val="single" w:sz="4" w:space="0" w:color="000000"/>
            </w:tcBorders>
            <w:vAlign w:val="center"/>
          </w:tcPr>
          <w:p w14:paraId="7CB723EB"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组织非公有制</w:t>
            </w:r>
            <w:proofErr w:type="gramStart"/>
            <w:r>
              <w:rPr>
                <w:rFonts w:ascii="宋体" w:hAnsi="宋体" w:cs="宋体"/>
                <w:color w:val="000000"/>
                <w:kern w:val="0"/>
                <w:sz w:val="18"/>
                <w:szCs w:val="18"/>
                <w:lang w:bidi="ar"/>
              </w:rPr>
              <w:t>经济人</w:t>
            </w:r>
            <w:proofErr w:type="gramEnd"/>
            <w:r>
              <w:rPr>
                <w:rFonts w:ascii="宋体" w:hAnsi="宋体" w:cs="宋体"/>
                <w:color w:val="000000"/>
                <w:kern w:val="0"/>
                <w:sz w:val="18"/>
                <w:szCs w:val="18"/>
                <w:lang w:bidi="ar"/>
              </w:rPr>
              <w:t>士以及社会各界力量，参与“光彩事业”，走共同富裕道路</w:t>
            </w:r>
          </w:p>
        </w:tc>
        <w:tc>
          <w:tcPr>
            <w:tcW w:w="415" w:type="dxa"/>
            <w:tcBorders>
              <w:top w:val="single" w:sz="4" w:space="0" w:color="000000"/>
              <w:left w:val="single" w:sz="4" w:space="0" w:color="000000"/>
              <w:bottom w:val="single" w:sz="4" w:space="0" w:color="000000"/>
              <w:right w:val="single" w:sz="4" w:space="0" w:color="000000"/>
            </w:tcBorders>
            <w:vAlign w:val="center"/>
          </w:tcPr>
          <w:p w14:paraId="18E9DBC5"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定性</w:t>
            </w:r>
          </w:p>
        </w:tc>
        <w:tc>
          <w:tcPr>
            <w:tcW w:w="1340" w:type="dxa"/>
            <w:tcBorders>
              <w:top w:val="single" w:sz="4" w:space="0" w:color="000000"/>
              <w:left w:val="single" w:sz="4" w:space="0" w:color="000000"/>
              <w:bottom w:val="single" w:sz="4" w:space="0" w:color="000000"/>
              <w:right w:val="single" w:sz="4" w:space="0" w:color="000000"/>
            </w:tcBorders>
            <w:vAlign w:val="center"/>
          </w:tcPr>
          <w:p w14:paraId="5EA0CF89"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效果显著</w:t>
            </w:r>
          </w:p>
        </w:tc>
        <w:tc>
          <w:tcPr>
            <w:tcW w:w="417" w:type="dxa"/>
            <w:tcBorders>
              <w:top w:val="single" w:sz="4" w:space="0" w:color="000000"/>
              <w:left w:val="single" w:sz="4" w:space="0" w:color="000000"/>
              <w:bottom w:val="single" w:sz="4" w:space="0" w:color="000000"/>
              <w:right w:val="single" w:sz="4" w:space="0" w:color="000000"/>
            </w:tcBorders>
            <w:vAlign w:val="center"/>
          </w:tcPr>
          <w:p w14:paraId="5A4692BC" w14:textId="77777777" w:rsidR="003753FB" w:rsidRDefault="003753FB">
            <w:pPr>
              <w:jc w:val="center"/>
              <w:rPr>
                <w:rFonts w:ascii="宋体" w:hAnsi="宋体" w:cs="宋体" w:hint="eastAsia"/>
                <w:color w:val="000000"/>
                <w:sz w:val="18"/>
                <w:szCs w:val="18"/>
              </w:rPr>
            </w:pPr>
          </w:p>
        </w:tc>
        <w:tc>
          <w:tcPr>
            <w:tcW w:w="872" w:type="dxa"/>
            <w:tcBorders>
              <w:top w:val="single" w:sz="4" w:space="0" w:color="000000"/>
              <w:left w:val="single" w:sz="4" w:space="0" w:color="000000"/>
              <w:bottom w:val="single" w:sz="4" w:space="0" w:color="000000"/>
              <w:right w:val="single" w:sz="4" w:space="0" w:color="000000"/>
            </w:tcBorders>
            <w:vAlign w:val="center"/>
          </w:tcPr>
          <w:p w14:paraId="60781993" w14:textId="77777777" w:rsidR="003753FB" w:rsidRDefault="00000000">
            <w:pPr>
              <w:widowControl/>
              <w:jc w:val="center"/>
              <w:textAlignment w:val="center"/>
              <w:rPr>
                <w:rFonts w:ascii="微软雅黑" w:eastAsia="微软雅黑" w:hAnsi="微软雅黑" w:cs="微软雅黑" w:hint="eastAsia"/>
                <w:i/>
                <w:iCs/>
                <w:color w:val="000000"/>
                <w:sz w:val="16"/>
                <w:szCs w:val="16"/>
              </w:rPr>
            </w:pPr>
            <w:r>
              <w:rPr>
                <w:rFonts w:ascii="微软雅黑" w:eastAsia="微软雅黑" w:hAnsi="微软雅黑" w:cs="微软雅黑" w:hint="eastAsia"/>
                <w:i/>
                <w:iCs/>
                <w:color w:val="000000"/>
                <w:kern w:val="0"/>
                <w:sz w:val="16"/>
                <w:szCs w:val="16"/>
                <w:lang w:bidi="ar"/>
              </w:rPr>
              <w:t>效果显著</w:t>
            </w:r>
          </w:p>
        </w:tc>
        <w:tc>
          <w:tcPr>
            <w:tcW w:w="404" w:type="dxa"/>
            <w:tcBorders>
              <w:top w:val="single" w:sz="4" w:space="0" w:color="000000"/>
              <w:left w:val="single" w:sz="4" w:space="0" w:color="000000"/>
              <w:bottom w:val="single" w:sz="4" w:space="0" w:color="000000"/>
              <w:right w:val="single" w:sz="4" w:space="0" w:color="000000"/>
            </w:tcBorders>
            <w:vAlign w:val="center"/>
          </w:tcPr>
          <w:p w14:paraId="7A7A1017"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30</w:t>
            </w:r>
          </w:p>
        </w:tc>
        <w:tc>
          <w:tcPr>
            <w:tcW w:w="361" w:type="dxa"/>
            <w:tcBorders>
              <w:top w:val="single" w:sz="4" w:space="0" w:color="000000"/>
              <w:left w:val="single" w:sz="4" w:space="0" w:color="000000"/>
              <w:bottom w:val="single" w:sz="4" w:space="0" w:color="000000"/>
              <w:right w:val="single" w:sz="4" w:space="0" w:color="000000"/>
            </w:tcBorders>
            <w:vAlign w:val="center"/>
          </w:tcPr>
          <w:p w14:paraId="37C82D94" w14:textId="77777777" w:rsidR="003753FB" w:rsidRDefault="003753FB">
            <w:pPr>
              <w:jc w:val="center"/>
              <w:rPr>
                <w:rFonts w:ascii="宋体" w:hAnsi="宋体" w:cs="宋体" w:hint="eastAsia"/>
                <w:color w:val="000000"/>
                <w:sz w:val="18"/>
                <w:szCs w:val="18"/>
              </w:rPr>
            </w:pPr>
          </w:p>
        </w:tc>
        <w:tc>
          <w:tcPr>
            <w:tcW w:w="2047" w:type="dxa"/>
            <w:tcBorders>
              <w:top w:val="single" w:sz="4" w:space="0" w:color="000000"/>
              <w:left w:val="single" w:sz="4" w:space="0" w:color="000000"/>
              <w:bottom w:val="single" w:sz="4" w:space="0" w:color="000000"/>
              <w:right w:val="single" w:sz="4" w:space="0" w:color="000000"/>
            </w:tcBorders>
            <w:vAlign w:val="center"/>
          </w:tcPr>
          <w:p w14:paraId="15895DE9" w14:textId="77777777" w:rsidR="003753FB" w:rsidRDefault="003753FB">
            <w:pPr>
              <w:jc w:val="center"/>
              <w:rPr>
                <w:rFonts w:ascii="微软雅黑" w:eastAsia="微软雅黑" w:hAnsi="微软雅黑" w:cs="微软雅黑" w:hint="eastAsia"/>
                <w:i/>
                <w:iCs/>
                <w:color w:val="000000"/>
                <w:sz w:val="16"/>
                <w:szCs w:val="16"/>
              </w:rPr>
            </w:pPr>
          </w:p>
        </w:tc>
      </w:tr>
      <w:tr w:rsidR="003753FB" w14:paraId="698D5D9E" w14:textId="77777777">
        <w:trPr>
          <w:trHeight w:val="630"/>
        </w:trPr>
        <w:tc>
          <w:tcPr>
            <w:tcW w:w="543" w:type="dxa"/>
            <w:vMerge/>
            <w:tcBorders>
              <w:top w:val="single" w:sz="4" w:space="0" w:color="000000"/>
              <w:left w:val="single" w:sz="4" w:space="0" w:color="000000"/>
              <w:bottom w:val="single" w:sz="4" w:space="0" w:color="000000"/>
              <w:right w:val="single" w:sz="4" w:space="0" w:color="000000"/>
            </w:tcBorders>
            <w:vAlign w:val="center"/>
          </w:tcPr>
          <w:p w14:paraId="43C1F182" w14:textId="77777777" w:rsidR="003753FB" w:rsidRDefault="003753FB">
            <w:pPr>
              <w:jc w:val="center"/>
              <w:rPr>
                <w:rFonts w:ascii="宋体" w:hAnsi="宋体" w:cs="宋体" w:hint="eastAsia"/>
                <w:color w:val="000000"/>
                <w:sz w:val="18"/>
                <w:szCs w:val="18"/>
              </w:rPr>
            </w:pPr>
          </w:p>
        </w:tc>
        <w:tc>
          <w:tcPr>
            <w:tcW w:w="1638" w:type="dxa"/>
            <w:tcBorders>
              <w:top w:val="single" w:sz="4" w:space="0" w:color="000000"/>
              <w:left w:val="single" w:sz="4" w:space="0" w:color="000000"/>
              <w:bottom w:val="single" w:sz="4" w:space="0" w:color="000000"/>
              <w:right w:val="single" w:sz="4" w:space="0" w:color="000000"/>
            </w:tcBorders>
            <w:vAlign w:val="center"/>
          </w:tcPr>
          <w:p w14:paraId="025AEF55"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满意度指标</w:t>
            </w:r>
          </w:p>
        </w:tc>
        <w:tc>
          <w:tcPr>
            <w:tcW w:w="1415" w:type="dxa"/>
            <w:tcBorders>
              <w:top w:val="single" w:sz="4" w:space="0" w:color="000000"/>
              <w:left w:val="single" w:sz="4" w:space="0" w:color="000000"/>
              <w:bottom w:val="single" w:sz="4" w:space="0" w:color="000000"/>
              <w:right w:val="single" w:sz="4" w:space="0" w:color="000000"/>
            </w:tcBorders>
            <w:vAlign w:val="center"/>
          </w:tcPr>
          <w:p w14:paraId="759C40F4"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服务对象满意度指标</w:t>
            </w:r>
          </w:p>
        </w:tc>
        <w:tc>
          <w:tcPr>
            <w:tcW w:w="1808" w:type="dxa"/>
            <w:tcBorders>
              <w:top w:val="single" w:sz="4" w:space="0" w:color="000000"/>
              <w:left w:val="single" w:sz="4" w:space="0" w:color="000000"/>
              <w:bottom w:val="single" w:sz="4" w:space="0" w:color="000000"/>
              <w:right w:val="single" w:sz="4" w:space="0" w:color="000000"/>
            </w:tcBorders>
            <w:vAlign w:val="center"/>
          </w:tcPr>
          <w:p w14:paraId="0674CFE0"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非公有制</w:t>
            </w:r>
            <w:proofErr w:type="gramStart"/>
            <w:r>
              <w:rPr>
                <w:rFonts w:ascii="宋体" w:hAnsi="宋体" w:cs="宋体"/>
                <w:color w:val="000000"/>
                <w:kern w:val="0"/>
                <w:sz w:val="18"/>
                <w:szCs w:val="18"/>
                <w:lang w:bidi="ar"/>
              </w:rPr>
              <w:t>经济人员满意</w:t>
            </w:r>
            <w:proofErr w:type="gramEnd"/>
            <w:r>
              <w:rPr>
                <w:rFonts w:ascii="宋体" w:hAnsi="宋体" w:cs="宋体"/>
                <w:color w:val="000000"/>
                <w:kern w:val="0"/>
                <w:sz w:val="18"/>
                <w:szCs w:val="18"/>
                <w:lang w:bidi="ar"/>
              </w:rPr>
              <w:t>度</w:t>
            </w:r>
          </w:p>
        </w:tc>
        <w:tc>
          <w:tcPr>
            <w:tcW w:w="415" w:type="dxa"/>
            <w:tcBorders>
              <w:top w:val="single" w:sz="4" w:space="0" w:color="000000"/>
              <w:left w:val="single" w:sz="4" w:space="0" w:color="000000"/>
              <w:bottom w:val="single" w:sz="4" w:space="0" w:color="000000"/>
              <w:right w:val="single" w:sz="4" w:space="0" w:color="000000"/>
            </w:tcBorders>
            <w:vAlign w:val="center"/>
          </w:tcPr>
          <w:p w14:paraId="4A5778E6"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w:t>
            </w:r>
          </w:p>
        </w:tc>
        <w:tc>
          <w:tcPr>
            <w:tcW w:w="1340" w:type="dxa"/>
            <w:tcBorders>
              <w:top w:val="single" w:sz="4" w:space="0" w:color="000000"/>
              <w:left w:val="single" w:sz="4" w:space="0" w:color="000000"/>
              <w:bottom w:val="single" w:sz="4" w:space="0" w:color="000000"/>
              <w:right w:val="single" w:sz="4" w:space="0" w:color="000000"/>
            </w:tcBorders>
            <w:vAlign w:val="center"/>
          </w:tcPr>
          <w:p w14:paraId="18C5F60F"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95</w:t>
            </w:r>
          </w:p>
        </w:tc>
        <w:tc>
          <w:tcPr>
            <w:tcW w:w="417" w:type="dxa"/>
            <w:tcBorders>
              <w:top w:val="single" w:sz="4" w:space="0" w:color="000000"/>
              <w:left w:val="single" w:sz="4" w:space="0" w:color="000000"/>
              <w:bottom w:val="single" w:sz="4" w:space="0" w:color="000000"/>
              <w:right w:val="single" w:sz="4" w:space="0" w:color="000000"/>
            </w:tcBorders>
            <w:vAlign w:val="center"/>
          </w:tcPr>
          <w:p w14:paraId="7D7D6381"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w:t>
            </w:r>
          </w:p>
        </w:tc>
        <w:tc>
          <w:tcPr>
            <w:tcW w:w="872" w:type="dxa"/>
            <w:tcBorders>
              <w:top w:val="single" w:sz="4" w:space="0" w:color="000000"/>
              <w:left w:val="single" w:sz="4" w:space="0" w:color="000000"/>
              <w:bottom w:val="single" w:sz="4" w:space="0" w:color="000000"/>
              <w:right w:val="single" w:sz="4" w:space="0" w:color="000000"/>
            </w:tcBorders>
            <w:vAlign w:val="center"/>
          </w:tcPr>
          <w:p w14:paraId="4E5F45B2" w14:textId="77777777" w:rsidR="003753FB" w:rsidRDefault="00000000">
            <w:pPr>
              <w:widowControl/>
              <w:jc w:val="center"/>
              <w:textAlignment w:val="center"/>
              <w:rPr>
                <w:rFonts w:ascii="微软雅黑" w:eastAsia="微软雅黑" w:hAnsi="微软雅黑" w:cs="微软雅黑" w:hint="eastAsia"/>
                <w:i/>
                <w:iCs/>
                <w:color w:val="000000"/>
                <w:sz w:val="16"/>
                <w:szCs w:val="16"/>
              </w:rPr>
            </w:pPr>
            <w:r>
              <w:rPr>
                <w:rFonts w:ascii="微软雅黑" w:eastAsia="微软雅黑" w:hAnsi="微软雅黑" w:cs="微软雅黑" w:hint="eastAsia"/>
                <w:i/>
                <w:iCs/>
                <w:color w:val="000000"/>
                <w:kern w:val="0"/>
                <w:sz w:val="16"/>
                <w:szCs w:val="16"/>
                <w:lang w:bidi="ar"/>
              </w:rPr>
              <w:t>95%</w:t>
            </w:r>
          </w:p>
        </w:tc>
        <w:tc>
          <w:tcPr>
            <w:tcW w:w="404" w:type="dxa"/>
            <w:tcBorders>
              <w:top w:val="single" w:sz="4" w:space="0" w:color="000000"/>
              <w:left w:val="single" w:sz="4" w:space="0" w:color="000000"/>
              <w:bottom w:val="single" w:sz="4" w:space="0" w:color="000000"/>
              <w:right w:val="single" w:sz="4" w:space="0" w:color="000000"/>
            </w:tcBorders>
            <w:vAlign w:val="center"/>
          </w:tcPr>
          <w:p w14:paraId="3801A4FE"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10</w:t>
            </w:r>
          </w:p>
        </w:tc>
        <w:tc>
          <w:tcPr>
            <w:tcW w:w="361" w:type="dxa"/>
            <w:tcBorders>
              <w:top w:val="single" w:sz="4" w:space="0" w:color="000000"/>
              <w:left w:val="single" w:sz="4" w:space="0" w:color="000000"/>
              <w:bottom w:val="single" w:sz="4" w:space="0" w:color="000000"/>
              <w:right w:val="single" w:sz="4" w:space="0" w:color="000000"/>
            </w:tcBorders>
            <w:vAlign w:val="center"/>
          </w:tcPr>
          <w:p w14:paraId="32236A42" w14:textId="77777777" w:rsidR="003753FB" w:rsidRDefault="003753FB">
            <w:pPr>
              <w:jc w:val="center"/>
              <w:rPr>
                <w:rFonts w:ascii="宋体" w:hAnsi="宋体" w:cs="宋体" w:hint="eastAsia"/>
                <w:color w:val="000000"/>
                <w:sz w:val="18"/>
                <w:szCs w:val="18"/>
              </w:rPr>
            </w:pPr>
          </w:p>
        </w:tc>
        <w:tc>
          <w:tcPr>
            <w:tcW w:w="2047" w:type="dxa"/>
            <w:tcBorders>
              <w:top w:val="single" w:sz="4" w:space="0" w:color="000000"/>
              <w:left w:val="single" w:sz="4" w:space="0" w:color="000000"/>
              <w:bottom w:val="single" w:sz="4" w:space="0" w:color="000000"/>
              <w:right w:val="single" w:sz="4" w:space="0" w:color="000000"/>
            </w:tcBorders>
            <w:vAlign w:val="center"/>
          </w:tcPr>
          <w:p w14:paraId="13B0327B" w14:textId="77777777" w:rsidR="003753FB" w:rsidRDefault="003753FB">
            <w:pPr>
              <w:jc w:val="center"/>
              <w:rPr>
                <w:rFonts w:ascii="微软雅黑" w:eastAsia="微软雅黑" w:hAnsi="微软雅黑" w:cs="微软雅黑" w:hint="eastAsia"/>
                <w:i/>
                <w:iCs/>
                <w:color w:val="000000"/>
                <w:sz w:val="16"/>
                <w:szCs w:val="16"/>
              </w:rPr>
            </w:pPr>
          </w:p>
        </w:tc>
      </w:tr>
      <w:tr w:rsidR="003753FB" w14:paraId="47974C18" w14:textId="77777777">
        <w:trPr>
          <w:trHeight w:val="320"/>
        </w:trPr>
        <w:tc>
          <w:tcPr>
            <w:tcW w:w="8448" w:type="dxa"/>
            <w:gridSpan w:val="8"/>
            <w:tcBorders>
              <w:top w:val="single" w:sz="4" w:space="0" w:color="000000"/>
              <w:left w:val="single" w:sz="4" w:space="0" w:color="000000"/>
              <w:bottom w:val="single" w:sz="4" w:space="0" w:color="000000"/>
              <w:right w:val="single" w:sz="4" w:space="0" w:color="000000"/>
            </w:tcBorders>
            <w:vAlign w:val="center"/>
          </w:tcPr>
          <w:p w14:paraId="6F4D546E"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合计</w:t>
            </w:r>
          </w:p>
        </w:tc>
        <w:tc>
          <w:tcPr>
            <w:tcW w:w="404" w:type="dxa"/>
            <w:tcBorders>
              <w:top w:val="single" w:sz="4" w:space="0" w:color="000000"/>
              <w:left w:val="single" w:sz="4" w:space="0" w:color="000000"/>
              <w:bottom w:val="single" w:sz="4" w:space="0" w:color="000000"/>
              <w:right w:val="single" w:sz="4" w:space="0" w:color="000000"/>
            </w:tcBorders>
            <w:vAlign w:val="center"/>
          </w:tcPr>
          <w:p w14:paraId="04ACFE98"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100</w:t>
            </w:r>
          </w:p>
        </w:tc>
        <w:tc>
          <w:tcPr>
            <w:tcW w:w="361" w:type="dxa"/>
            <w:tcBorders>
              <w:top w:val="single" w:sz="4" w:space="0" w:color="000000"/>
              <w:left w:val="single" w:sz="4" w:space="0" w:color="000000"/>
              <w:bottom w:val="single" w:sz="4" w:space="0" w:color="000000"/>
              <w:right w:val="single" w:sz="4" w:space="0" w:color="000000"/>
            </w:tcBorders>
            <w:vAlign w:val="center"/>
          </w:tcPr>
          <w:p w14:paraId="7BAFBFCB" w14:textId="77777777" w:rsidR="003753FB" w:rsidRDefault="003753FB">
            <w:pPr>
              <w:rPr>
                <w:rFonts w:ascii="宋体" w:hAnsi="宋体" w:cs="宋体" w:hint="eastAsia"/>
                <w:color w:val="000000"/>
                <w:sz w:val="18"/>
                <w:szCs w:val="18"/>
              </w:rPr>
            </w:pPr>
          </w:p>
        </w:tc>
        <w:tc>
          <w:tcPr>
            <w:tcW w:w="2047" w:type="dxa"/>
            <w:tcBorders>
              <w:top w:val="single" w:sz="4" w:space="0" w:color="000000"/>
              <w:left w:val="single" w:sz="4" w:space="0" w:color="000000"/>
              <w:bottom w:val="single" w:sz="4" w:space="0" w:color="000000"/>
              <w:right w:val="single" w:sz="4" w:space="0" w:color="000000"/>
            </w:tcBorders>
            <w:vAlign w:val="center"/>
          </w:tcPr>
          <w:p w14:paraId="205DBFE4" w14:textId="77777777" w:rsidR="003753FB" w:rsidRDefault="003753FB">
            <w:pPr>
              <w:rPr>
                <w:rFonts w:ascii="宋体" w:hAnsi="宋体" w:cs="宋体" w:hint="eastAsia"/>
                <w:color w:val="000000"/>
                <w:sz w:val="18"/>
                <w:szCs w:val="18"/>
              </w:rPr>
            </w:pPr>
          </w:p>
        </w:tc>
      </w:tr>
      <w:tr w:rsidR="003753FB" w14:paraId="3D5D8F53" w14:textId="77777777">
        <w:trPr>
          <w:trHeight w:val="630"/>
        </w:trPr>
        <w:tc>
          <w:tcPr>
            <w:tcW w:w="543" w:type="dxa"/>
            <w:tcBorders>
              <w:top w:val="single" w:sz="4" w:space="0" w:color="000000"/>
              <w:left w:val="single" w:sz="4" w:space="0" w:color="000000"/>
              <w:bottom w:val="single" w:sz="4" w:space="0" w:color="000000"/>
              <w:right w:val="single" w:sz="4" w:space="0" w:color="000000"/>
            </w:tcBorders>
            <w:vAlign w:val="center"/>
          </w:tcPr>
          <w:p w14:paraId="124F0C63"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评价结论</w:t>
            </w:r>
          </w:p>
        </w:tc>
        <w:tc>
          <w:tcPr>
            <w:tcW w:w="10717" w:type="dxa"/>
            <w:gridSpan w:val="10"/>
            <w:tcBorders>
              <w:top w:val="single" w:sz="4" w:space="0" w:color="000000"/>
              <w:left w:val="single" w:sz="4" w:space="0" w:color="000000"/>
              <w:bottom w:val="single" w:sz="4" w:space="0" w:color="000000"/>
              <w:right w:val="single" w:sz="4" w:space="0" w:color="000000"/>
            </w:tcBorders>
            <w:vAlign w:val="center"/>
          </w:tcPr>
          <w:p w14:paraId="7D9AF95E" w14:textId="77777777" w:rsidR="003753FB" w:rsidRDefault="00000000">
            <w:pPr>
              <w:widowControl/>
              <w:jc w:val="left"/>
              <w:textAlignment w:val="center"/>
              <w:rPr>
                <w:rFonts w:ascii="微软雅黑" w:eastAsia="微软雅黑" w:hAnsi="微软雅黑" w:cs="微软雅黑" w:hint="eastAsia"/>
                <w:i/>
                <w:iCs/>
                <w:color w:val="000000"/>
                <w:sz w:val="16"/>
                <w:szCs w:val="16"/>
              </w:rPr>
            </w:pPr>
            <w:r>
              <w:rPr>
                <w:rFonts w:ascii="微软雅黑" w:eastAsia="微软雅黑" w:hAnsi="微软雅黑" w:cs="微软雅黑" w:hint="eastAsia"/>
                <w:i/>
                <w:iCs/>
                <w:color w:val="000000"/>
                <w:kern w:val="0"/>
                <w:sz w:val="16"/>
                <w:szCs w:val="16"/>
                <w:lang w:bidi="ar"/>
              </w:rPr>
              <w:t>帮助非公有制企业更好推进结构调整和自主创新，不断增强市场竞争能力、抵御风险能力、可持续发展能力。</w:t>
            </w:r>
          </w:p>
        </w:tc>
      </w:tr>
      <w:tr w:rsidR="003753FB" w14:paraId="5FD9DF1A" w14:textId="77777777">
        <w:trPr>
          <w:trHeight w:val="630"/>
        </w:trPr>
        <w:tc>
          <w:tcPr>
            <w:tcW w:w="543" w:type="dxa"/>
            <w:tcBorders>
              <w:top w:val="single" w:sz="4" w:space="0" w:color="000000"/>
              <w:left w:val="single" w:sz="4" w:space="0" w:color="000000"/>
              <w:bottom w:val="single" w:sz="4" w:space="0" w:color="000000"/>
              <w:right w:val="single" w:sz="4" w:space="0" w:color="000000"/>
            </w:tcBorders>
            <w:vAlign w:val="center"/>
          </w:tcPr>
          <w:p w14:paraId="49502683"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存在问题</w:t>
            </w:r>
          </w:p>
        </w:tc>
        <w:tc>
          <w:tcPr>
            <w:tcW w:w="10717" w:type="dxa"/>
            <w:gridSpan w:val="10"/>
            <w:tcBorders>
              <w:top w:val="single" w:sz="4" w:space="0" w:color="000000"/>
              <w:left w:val="single" w:sz="4" w:space="0" w:color="000000"/>
              <w:bottom w:val="single" w:sz="4" w:space="0" w:color="000000"/>
              <w:right w:val="single" w:sz="4" w:space="0" w:color="000000"/>
            </w:tcBorders>
            <w:vAlign w:val="center"/>
          </w:tcPr>
          <w:p w14:paraId="22E254BF" w14:textId="77777777" w:rsidR="003753FB" w:rsidRDefault="00000000">
            <w:pPr>
              <w:widowControl/>
              <w:jc w:val="left"/>
              <w:textAlignment w:val="center"/>
              <w:rPr>
                <w:rFonts w:ascii="微软雅黑" w:eastAsia="微软雅黑" w:hAnsi="微软雅黑" w:cs="微软雅黑" w:hint="eastAsia"/>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3753FB" w14:paraId="443C8C39" w14:textId="77777777">
        <w:trPr>
          <w:trHeight w:val="639"/>
        </w:trPr>
        <w:tc>
          <w:tcPr>
            <w:tcW w:w="543" w:type="dxa"/>
            <w:tcBorders>
              <w:top w:val="single" w:sz="4" w:space="0" w:color="000000"/>
              <w:left w:val="single" w:sz="4" w:space="0" w:color="000000"/>
              <w:bottom w:val="single" w:sz="4" w:space="0" w:color="000000"/>
              <w:right w:val="single" w:sz="4" w:space="0" w:color="000000"/>
            </w:tcBorders>
            <w:vAlign w:val="center"/>
          </w:tcPr>
          <w:p w14:paraId="4450DFBB" w14:textId="77777777" w:rsidR="003753FB" w:rsidRDefault="00000000">
            <w:pPr>
              <w:widowControl/>
              <w:jc w:val="center"/>
              <w:textAlignment w:val="center"/>
              <w:rPr>
                <w:rFonts w:ascii="宋体" w:hAnsi="宋体" w:cs="宋体" w:hint="eastAsia"/>
                <w:color w:val="000000"/>
                <w:sz w:val="18"/>
                <w:szCs w:val="18"/>
              </w:rPr>
            </w:pPr>
            <w:r>
              <w:rPr>
                <w:rFonts w:ascii="宋体" w:hAnsi="宋体" w:cs="宋体"/>
                <w:color w:val="000000"/>
                <w:kern w:val="0"/>
                <w:sz w:val="18"/>
                <w:szCs w:val="18"/>
                <w:lang w:bidi="ar"/>
              </w:rPr>
              <w:t>改进措施</w:t>
            </w:r>
          </w:p>
        </w:tc>
        <w:tc>
          <w:tcPr>
            <w:tcW w:w="10717" w:type="dxa"/>
            <w:gridSpan w:val="10"/>
            <w:tcBorders>
              <w:top w:val="single" w:sz="4" w:space="0" w:color="000000"/>
              <w:left w:val="single" w:sz="4" w:space="0" w:color="000000"/>
              <w:bottom w:val="single" w:sz="4" w:space="0" w:color="000000"/>
              <w:right w:val="single" w:sz="4" w:space="0" w:color="000000"/>
            </w:tcBorders>
            <w:vAlign w:val="center"/>
          </w:tcPr>
          <w:p w14:paraId="6DA3E95D" w14:textId="77777777" w:rsidR="003753FB" w:rsidRDefault="00000000">
            <w:pPr>
              <w:widowControl/>
              <w:jc w:val="left"/>
              <w:textAlignment w:val="center"/>
              <w:rPr>
                <w:rFonts w:ascii="微软雅黑" w:eastAsia="微软雅黑" w:hAnsi="微软雅黑" w:cs="微软雅黑" w:hint="eastAsia"/>
                <w:i/>
                <w:iCs/>
                <w:color w:val="000000"/>
                <w:sz w:val="16"/>
                <w:szCs w:val="16"/>
              </w:rPr>
            </w:pPr>
            <w:r>
              <w:rPr>
                <w:rFonts w:ascii="微软雅黑" w:eastAsia="微软雅黑" w:hAnsi="微软雅黑" w:cs="微软雅黑" w:hint="eastAsia"/>
                <w:i/>
                <w:iCs/>
                <w:color w:val="000000"/>
                <w:kern w:val="0"/>
                <w:sz w:val="16"/>
                <w:szCs w:val="16"/>
                <w:lang w:bidi="ar"/>
              </w:rPr>
              <w:t>无</w:t>
            </w:r>
          </w:p>
        </w:tc>
      </w:tr>
      <w:tr w:rsidR="003753FB" w14:paraId="02F4F89A" w14:textId="77777777">
        <w:trPr>
          <w:trHeight w:val="330"/>
        </w:trPr>
        <w:tc>
          <w:tcPr>
            <w:tcW w:w="5819" w:type="dxa"/>
            <w:gridSpan w:val="5"/>
            <w:tcBorders>
              <w:top w:val="single" w:sz="4" w:space="0" w:color="000000"/>
              <w:left w:val="single" w:sz="4" w:space="0" w:color="000000"/>
              <w:bottom w:val="single" w:sz="4" w:space="0" w:color="000000"/>
              <w:right w:val="single" w:sz="4" w:space="0" w:color="000000"/>
            </w:tcBorders>
            <w:vAlign w:val="center"/>
          </w:tcPr>
          <w:p w14:paraId="61DC2EDC" w14:textId="77777777" w:rsidR="003753FB" w:rsidRDefault="00000000">
            <w:pPr>
              <w:widowControl/>
              <w:jc w:val="left"/>
              <w:textAlignment w:val="center"/>
              <w:rPr>
                <w:rFonts w:ascii="黑体" w:eastAsia="黑体" w:hAnsi="黑体" w:cs="黑体" w:hint="eastAsia"/>
                <w:color w:val="000000"/>
                <w:sz w:val="18"/>
                <w:szCs w:val="18"/>
              </w:rPr>
            </w:pPr>
            <w:r>
              <w:rPr>
                <w:rFonts w:ascii="黑体" w:eastAsia="黑体" w:hAnsi="黑体" w:cs="黑体" w:hint="eastAsia"/>
                <w:color w:val="000000"/>
                <w:kern w:val="0"/>
                <w:sz w:val="18"/>
                <w:szCs w:val="18"/>
                <w:lang w:bidi="ar"/>
              </w:rPr>
              <w:t>项目负责人：韩敏</w:t>
            </w:r>
          </w:p>
        </w:tc>
        <w:tc>
          <w:tcPr>
            <w:tcW w:w="5441" w:type="dxa"/>
            <w:gridSpan w:val="6"/>
            <w:tcBorders>
              <w:top w:val="single" w:sz="4" w:space="0" w:color="000000"/>
              <w:left w:val="single" w:sz="4" w:space="0" w:color="000000"/>
              <w:bottom w:val="single" w:sz="4" w:space="0" w:color="000000"/>
              <w:right w:val="single" w:sz="4" w:space="0" w:color="000000"/>
            </w:tcBorders>
            <w:vAlign w:val="center"/>
          </w:tcPr>
          <w:p w14:paraId="56FEAB0D" w14:textId="77777777" w:rsidR="003753FB" w:rsidRDefault="00000000">
            <w:pPr>
              <w:widowControl/>
              <w:jc w:val="left"/>
              <w:textAlignment w:val="center"/>
              <w:rPr>
                <w:rFonts w:ascii="黑体" w:eastAsia="黑体" w:hAnsi="黑体" w:cs="黑体" w:hint="eastAsia"/>
                <w:color w:val="000000"/>
                <w:sz w:val="18"/>
                <w:szCs w:val="18"/>
              </w:rPr>
            </w:pPr>
            <w:r>
              <w:rPr>
                <w:rFonts w:ascii="黑体" w:eastAsia="黑体" w:hAnsi="黑体" w:cs="黑体" w:hint="eastAsia"/>
                <w:color w:val="000000"/>
                <w:kern w:val="0"/>
                <w:sz w:val="18"/>
                <w:szCs w:val="18"/>
                <w:lang w:bidi="ar"/>
              </w:rPr>
              <w:t>财务负责人：韩敏</w:t>
            </w:r>
          </w:p>
        </w:tc>
      </w:tr>
    </w:tbl>
    <w:p w14:paraId="0AF1EE7C" w14:textId="77777777" w:rsidR="003753FB" w:rsidRDefault="003753FB">
      <w:pPr>
        <w:pStyle w:val="2"/>
        <w:ind w:left="420"/>
      </w:pPr>
    </w:p>
    <w:p w14:paraId="7E56C9E9" w14:textId="77777777" w:rsidR="003753FB" w:rsidRDefault="003753FB">
      <w:pPr>
        <w:pStyle w:val="a4"/>
      </w:pPr>
    </w:p>
    <w:p w14:paraId="628CEFB0" w14:textId="77777777" w:rsidR="003753FB" w:rsidRDefault="003753FB">
      <w:pPr>
        <w:pStyle w:val="a4"/>
      </w:pPr>
    </w:p>
    <w:p w14:paraId="53D40DD3" w14:textId="77777777" w:rsidR="003753FB" w:rsidRDefault="00000000">
      <w:pPr>
        <w:pStyle w:val="1"/>
        <w:jc w:val="center"/>
        <w:rPr>
          <w:rFonts w:ascii="黑体" w:eastAsia="黑体" w:hAnsi="黑体" w:hint="eastAsia"/>
        </w:rPr>
      </w:pPr>
      <w:bookmarkStart w:id="80" w:name="_Toc254"/>
      <w:r>
        <w:rPr>
          <w:rFonts w:ascii="黑体" w:eastAsia="黑体" w:hAnsi="黑体" w:hint="eastAsia"/>
        </w:rPr>
        <w:t>第五部分 附表</w:t>
      </w:r>
      <w:bookmarkEnd w:id="80"/>
    </w:p>
    <w:p w14:paraId="09233E28" w14:textId="77777777" w:rsidR="003753FB" w:rsidRDefault="00000000">
      <w:pPr>
        <w:rPr>
          <w:rFonts w:ascii="仿宋" w:eastAsia="仿宋" w:hAnsi="仿宋" w:hint="eastAsia"/>
          <w:sz w:val="32"/>
          <w:szCs w:val="32"/>
        </w:rPr>
      </w:pPr>
      <w:r>
        <w:rPr>
          <w:rFonts w:ascii="仿宋" w:eastAsia="仿宋" w:hAnsi="仿宋" w:hint="eastAsia"/>
          <w:sz w:val="32"/>
          <w:szCs w:val="32"/>
        </w:rPr>
        <w:t>一、收入支出决算总表</w:t>
      </w:r>
    </w:p>
    <w:p w14:paraId="28144A97" w14:textId="77777777" w:rsidR="003753FB" w:rsidRDefault="00000000">
      <w:pPr>
        <w:rPr>
          <w:rFonts w:ascii="仿宋" w:eastAsia="仿宋" w:hAnsi="仿宋" w:hint="eastAsia"/>
          <w:sz w:val="32"/>
          <w:szCs w:val="32"/>
        </w:rPr>
      </w:pPr>
      <w:r>
        <w:rPr>
          <w:rFonts w:ascii="仿宋" w:eastAsia="仿宋" w:hAnsi="仿宋" w:hint="eastAsia"/>
          <w:sz w:val="32"/>
          <w:szCs w:val="32"/>
        </w:rPr>
        <w:t>二、收入决算表</w:t>
      </w:r>
    </w:p>
    <w:p w14:paraId="2D7E5654" w14:textId="77777777" w:rsidR="003753FB" w:rsidRDefault="00000000">
      <w:pPr>
        <w:rPr>
          <w:rFonts w:ascii="仿宋" w:eastAsia="仿宋" w:hAnsi="仿宋" w:hint="eastAsia"/>
          <w:sz w:val="32"/>
          <w:szCs w:val="32"/>
        </w:rPr>
      </w:pPr>
      <w:r>
        <w:rPr>
          <w:rFonts w:ascii="仿宋" w:eastAsia="仿宋" w:hAnsi="仿宋" w:hint="eastAsia"/>
          <w:sz w:val="32"/>
          <w:szCs w:val="32"/>
        </w:rPr>
        <w:t>三、支出决算表</w:t>
      </w:r>
    </w:p>
    <w:p w14:paraId="62C29554" w14:textId="77777777" w:rsidR="003753FB" w:rsidRDefault="00000000">
      <w:pPr>
        <w:rPr>
          <w:rFonts w:ascii="仿宋" w:eastAsia="仿宋" w:hAnsi="仿宋" w:hint="eastAsia"/>
          <w:sz w:val="32"/>
          <w:szCs w:val="32"/>
        </w:rPr>
      </w:pPr>
      <w:r>
        <w:rPr>
          <w:rFonts w:ascii="仿宋" w:eastAsia="仿宋" w:hAnsi="仿宋" w:hint="eastAsia"/>
          <w:sz w:val="32"/>
          <w:szCs w:val="32"/>
        </w:rPr>
        <w:t>四、财政拨款收入支出决算总表</w:t>
      </w:r>
    </w:p>
    <w:p w14:paraId="5DE795EC" w14:textId="77777777" w:rsidR="003753FB" w:rsidRDefault="00000000">
      <w:pPr>
        <w:rPr>
          <w:rFonts w:ascii="仿宋" w:eastAsia="仿宋" w:hAnsi="仿宋" w:hint="eastAsia"/>
          <w:sz w:val="32"/>
          <w:szCs w:val="32"/>
        </w:rPr>
      </w:pPr>
      <w:r>
        <w:rPr>
          <w:rFonts w:ascii="仿宋" w:eastAsia="仿宋" w:hAnsi="仿宋" w:hint="eastAsia"/>
          <w:sz w:val="32"/>
          <w:szCs w:val="32"/>
        </w:rPr>
        <w:t>五、财政拨款支出决算明细表</w:t>
      </w:r>
    </w:p>
    <w:p w14:paraId="186F79D8" w14:textId="77777777" w:rsidR="003753FB" w:rsidRDefault="00000000">
      <w:pPr>
        <w:rPr>
          <w:rFonts w:ascii="仿宋" w:eastAsia="仿宋" w:hAnsi="仿宋" w:hint="eastAsia"/>
          <w:sz w:val="32"/>
          <w:szCs w:val="32"/>
        </w:rPr>
      </w:pPr>
      <w:r>
        <w:rPr>
          <w:rFonts w:ascii="仿宋" w:eastAsia="仿宋" w:hAnsi="仿宋" w:hint="eastAsia"/>
          <w:sz w:val="32"/>
          <w:szCs w:val="32"/>
        </w:rPr>
        <w:t>六、一般公共预算财政拨款支出决算表</w:t>
      </w:r>
    </w:p>
    <w:p w14:paraId="07A217A8" w14:textId="77777777" w:rsidR="003753FB" w:rsidRDefault="00000000">
      <w:pPr>
        <w:rPr>
          <w:rFonts w:ascii="仿宋" w:eastAsia="仿宋" w:hAnsi="仿宋" w:hint="eastAsia"/>
          <w:sz w:val="32"/>
          <w:szCs w:val="32"/>
        </w:rPr>
      </w:pPr>
      <w:r>
        <w:rPr>
          <w:rFonts w:ascii="仿宋" w:eastAsia="仿宋" w:hAnsi="仿宋" w:hint="eastAsia"/>
          <w:sz w:val="32"/>
          <w:szCs w:val="32"/>
        </w:rPr>
        <w:t>七、一般公共预算财政拨款支出决算明细表</w:t>
      </w:r>
    </w:p>
    <w:p w14:paraId="707246BE" w14:textId="77777777" w:rsidR="003753FB" w:rsidRDefault="00000000">
      <w:pPr>
        <w:rPr>
          <w:rFonts w:ascii="仿宋" w:eastAsia="仿宋" w:hAnsi="仿宋" w:hint="eastAsia"/>
          <w:sz w:val="32"/>
          <w:szCs w:val="32"/>
        </w:rPr>
      </w:pPr>
      <w:r>
        <w:rPr>
          <w:rFonts w:ascii="仿宋" w:eastAsia="仿宋" w:hAnsi="仿宋" w:hint="eastAsia"/>
          <w:sz w:val="32"/>
          <w:szCs w:val="32"/>
        </w:rPr>
        <w:t>八、一般公共预算财政拨款基本支出决算表</w:t>
      </w:r>
    </w:p>
    <w:p w14:paraId="6B10E87F" w14:textId="77777777" w:rsidR="003753FB" w:rsidRDefault="00000000">
      <w:pPr>
        <w:rPr>
          <w:rFonts w:ascii="仿宋" w:eastAsia="仿宋" w:hAnsi="仿宋" w:hint="eastAsia"/>
          <w:sz w:val="32"/>
          <w:szCs w:val="32"/>
        </w:rPr>
      </w:pPr>
      <w:r>
        <w:rPr>
          <w:rFonts w:ascii="仿宋" w:eastAsia="仿宋" w:hAnsi="仿宋" w:hint="eastAsia"/>
          <w:sz w:val="32"/>
          <w:szCs w:val="32"/>
        </w:rPr>
        <w:t>九、一般公共预算财政拨款项目支出决算表</w:t>
      </w:r>
    </w:p>
    <w:p w14:paraId="02B44B8C" w14:textId="77777777" w:rsidR="003753FB" w:rsidRDefault="00000000">
      <w:pPr>
        <w:rPr>
          <w:rFonts w:ascii="仿宋" w:eastAsia="仿宋" w:hAnsi="仿宋" w:hint="eastAsia"/>
          <w:sz w:val="32"/>
          <w:szCs w:val="32"/>
        </w:rPr>
      </w:pPr>
      <w:r>
        <w:rPr>
          <w:rFonts w:ascii="仿宋" w:eastAsia="仿宋" w:hAnsi="仿宋" w:hint="eastAsia"/>
          <w:sz w:val="32"/>
          <w:szCs w:val="32"/>
        </w:rPr>
        <w:t>十、政府性基金预算财政拨款收入支出决算表</w:t>
      </w:r>
    </w:p>
    <w:p w14:paraId="59C2F3A1" w14:textId="77777777" w:rsidR="003753FB" w:rsidRDefault="00000000">
      <w:pPr>
        <w:rPr>
          <w:rFonts w:ascii="仿宋" w:eastAsia="仿宋" w:hAnsi="仿宋" w:hint="eastAsia"/>
          <w:sz w:val="32"/>
          <w:szCs w:val="32"/>
        </w:rPr>
      </w:pPr>
      <w:r>
        <w:rPr>
          <w:rFonts w:ascii="仿宋" w:eastAsia="仿宋" w:hAnsi="仿宋" w:hint="eastAsia"/>
          <w:sz w:val="32"/>
          <w:szCs w:val="32"/>
        </w:rPr>
        <w:t>十一、国有资本经营预算财政拨款收入支出决算表</w:t>
      </w:r>
    </w:p>
    <w:p w14:paraId="2709430E" w14:textId="77777777" w:rsidR="003753FB" w:rsidRDefault="00000000">
      <w:pPr>
        <w:rPr>
          <w:rFonts w:ascii="仿宋" w:eastAsia="仿宋" w:hAnsi="仿宋" w:hint="eastAsia"/>
          <w:sz w:val="32"/>
          <w:szCs w:val="32"/>
        </w:rPr>
      </w:pPr>
      <w:r>
        <w:rPr>
          <w:rFonts w:ascii="仿宋" w:eastAsia="仿宋" w:hAnsi="仿宋" w:hint="eastAsia"/>
          <w:sz w:val="32"/>
          <w:szCs w:val="32"/>
        </w:rPr>
        <w:t>十二、国有资本经营预算财政拨款支出决算表</w:t>
      </w:r>
    </w:p>
    <w:p w14:paraId="295E3938" w14:textId="77777777" w:rsidR="003753FB" w:rsidRDefault="00000000">
      <w:pPr>
        <w:rPr>
          <w:rFonts w:ascii="仿宋" w:eastAsia="仿宋" w:hAnsi="仿宋" w:hint="eastAsia"/>
          <w:sz w:val="32"/>
          <w:szCs w:val="32"/>
        </w:rPr>
      </w:pPr>
      <w:r>
        <w:rPr>
          <w:rFonts w:ascii="仿宋" w:eastAsia="仿宋" w:hAnsi="仿宋" w:hint="eastAsia"/>
          <w:sz w:val="32"/>
          <w:szCs w:val="32"/>
        </w:rPr>
        <w:t>十三、财政拨款“三公”经费支出决算表</w:t>
      </w:r>
    </w:p>
    <w:sectPr w:rsidR="003753FB">
      <w:headerReference w:type="default" r:id="rId15"/>
      <w:footerReference w:type="default" r:id="rId16"/>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11D7D" w14:textId="77777777" w:rsidR="00246C59" w:rsidRDefault="00246C59">
      <w:r>
        <w:separator/>
      </w:r>
    </w:p>
  </w:endnote>
  <w:endnote w:type="continuationSeparator" w:id="0">
    <w:p w14:paraId="35B3E107" w14:textId="77777777" w:rsidR="00246C59" w:rsidRDefault="00246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default"/>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4781956"/>
    </w:sdtPr>
    <w:sdtContent>
      <w:p w14:paraId="2F50E068" w14:textId="77777777" w:rsidR="003753FB" w:rsidRDefault="00000000">
        <w:pPr>
          <w:pStyle w:val="a9"/>
          <w:jc w:val="center"/>
        </w:pPr>
        <w:r>
          <w:fldChar w:fldCharType="begin"/>
        </w:r>
        <w:r>
          <w:instrText>PAGE   \* MERGEFORMAT</w:instrText>
        </w:r>
        <w:r>
          <w:fldChar w:fldCharType="separate"/>
        </w:r>
        <w:r>
          <w:rPr>
            <w:lang w:val="zh-CN"/>
          </w:rPr>
          <w:t>2</w:t>
        </w:r>
        <w:r>
          <w:rPr>
            <w:lang w:val="zh-CN"/>
          </w:rPr>
          <w:t>3</w:t>
        </w:r>
        <w:r>
          <w:fldChar w:fldCharType="end"/>
        </w:r>
      </w:p>
    </w:sdtContent>
  </w:sdt>
  <w:p w14:paraId="4CBDBB04" w14:textId="77777777" w:rsidR="003753FB" w:rsidRDefault="003753F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6494C" w14:textId="77777777" w:rsidR="00246C59" w:rsidRDefault="00246C59">
      <w:r>
        <w:separator/>
      </w:r>
    </w:p>
  </w:footnote>
  <w:footnote w:type="continuationSeparator" w:id="0">
    <w:p w14:paraId="37786023" w14:textId="77777777" w:rsidR="00246C59" w:rsidRDefault="00246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A8BDC" w14:textId="77777777" w:rsidR="003753FB" w:rsidRDefault="003753FB">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4D99B9"/>
    <w:multiLevelType w:val="singleLevel"/>
    <w:tmpl w:val="834D99B9"/>
    <w:lvl w:ilvl="0">
      <w:start w:val="1"/>
      <w:numFmt w:val="decimal"/>
      <w:lvlText w:val="%1."/>
      <w:lvlJc w:val="left"/>
      <w:pPr>
        <w:tabs>
          <w:tab w:val="left" w:pos="312"/>
        </w:tabs>
      </w:pPr>
    </w:lvl>
  </w:abstractNum>
  <w:abstractNum w:abstractNumId="1" w15:restartNumberingAfterBreak="0">
    <w:nsid w:val="CF652CEC"/>
    <w:multiLevelType w:val="singleLevel"/>
    <w:tmpl w:val="CF652CEC"/>
    <w:lvl w:ilvl="0">
      <w:start w:val="9"/>
      <w:numFmt w:val="chineseCounting"/>
      <w:suff w:val="nothing"/>
      <w:lvlText w:val="%1、"/>
      <w:lvlJc w:val="left"/>
      <w:rPr>
        <w:rFonts w:hint="eastAsia"/>
      </w:rPr>
    </w:lvl>
  </w:abstractNum>
  <w:abstractNum w:abstractNumId="2" w15:restartNumberingAfterBreak="0">
    <w:nsid w:val="0C3AE62E"/>
    <w:multiLevelType w:val="singleLevel"/>
    <w:tmpl w:val="0C3AE62E"/>
    <w:lvl w:ilvl="0">
      <w:start w:val="2"/>
      <w:numFmt w:val="chineseCounting"/>
      <w:suff w:val="nothing"/>
      <w:lvlText w:val="（%1）"/>
      <w:lvlJc w:val="left"/>
      <w:rPr>
        <w:rFonts w:hint="eastAsia"/>
      </w:rPr>
    </w:lvl>
  </w:abstractNum>
  <w:abstractNum w:abstractNumId="3" w15:restartNumberingAfterBreak="0">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15:restartNumberingAfterBreak="0">
    <w:nsid w:val="3F08F08C"/>
    <w:multiLevelType w:val="singleLevel"/>
    <w:tmpl w:val="3F08F08C"/>
    <w:lvl w:ilvl="0">
      <w:start w:val="1"/>
      <w:numFmt w:val="chineseCounting"/>
      <w:suff w:val="nothing"/>
      <w:lvlText w:val="%1、"/>
      <w:lvlJc w:val="left"/>
      <w:rPr>
        <w:rFonts w:hint="eastAsia"/>
      </w:rPr>
    </w:lvl>
  </w:abstractNum>
  <w:abstractNum w:abstractNumId="5" w15:restartNumberingAfterBreak="0">
    <w:nsid w:val="487CBA61"/>
    <w:multiLevelType w:val="singleLevel"/>
    <w:tmpl w:val="487CBA61"/>
    <w:lvl w:ilvl="0">
      <w:start w:val="2"/>
      <w:numFmt w:val="chineseCounting"/>
      <w:suff w:val="nothing"/>
      <w:lvlText w:val="（%1）"/>
      <w:lvlJc w:val="left"/>
      <w:rPr>
        <w:rFonts w:hint="eastAsia"/>
      </w:rPr>
    </w:lvl>
  </w:abstractNum>
  <w:abstractNum w:abstractNumId="6" w15:restartNumberingAfterBreak="0">
    <w:nsid w:val="5A2480C7"/>
    <w:multiLevelType w:val="singleLevel"/>
    <w:tmpl w:val="5A2480C7"/>
    <w:lvl w:ilvl="0">
      <w:start w:val="1"/>
      <w:numFmt w:val="decimal"/>
      <w:lvlText w:val="%1."/>
      <w:lvlJc w:val="left"/>
      <w:pPr>
        <w:tabs>
          <w:tab w:val="left" w:pos="312"/>
        </w:tabs>
      </w:pPr>
    </w:lvl>
  </w:abstractNum>
  <w:num w:numId="1" w16cid:durableId="1421489173">
    <w:abstractNumId w:val="4"/>
  </w:num>
  <w:num w:numId="2" w16cid:durableId="26612395">
    <w:abstractNumId w:val="3"/>
  </w:num>
  <w:num w:numId="3" w16cid:durableId="1857689389">
    <w:abstractNumId w:val="6"/>
  </w:num>
  <w:num w:numId="4" w16cid:durableId="1319725540">
    <w:abstractNumId w:val="1"/>
  </w:num>
  <w:num w:numId="5" w16cid:durableId="1495951583">
    <w:abstractNumId w:val="5"/>
  </w:num>
  <w:num w:numId="6" w16cid:durableId="226034225">
    <w:abstractNumId w:val="0"/>
  </w:num>
  <w:num w:numId="7" w16cid:durableId="199630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61C"/>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46C5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753FB"/>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2976"/>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190B"/>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082C1C"/>
    <w:rsid w:val="015975B8"/>
    <w:rsid w:val="02FEBE30"/>
    <w:rsid w:val="036F8141"/>
    <w:rsid w:val="066E0107"/>
    <w:rsid w:val="06EC2E2E"/>
    <w:rsid w:val="070F7507"/>
    <w:rsid w:val="07996F6E"/>
    <w:rsid w:val="07DFD8BA"/>
    <w:rsid w:val="0A2032A3"/>
    <w:rsid w:val="0C5232C2"/>
    <w:rsid w:val="0CD51CEA"/>
    <w:rsid w:val="0D35B1ED"/>
    <w:rsid w:val="0E082D26"/>
    <w:rsid w:val="0E7ED1F5"/>
    <w:rsid w:val="0EFD5F79"/>
    <w:rsid w:val="0F98263C"/>
    <w:rsid w:val="101860EC"/>
    <w:rsid w:val="10C055FF"/>
    <w:rsid w:val="118107EC"/>
    <w:rsid w:val="12614AA5"/>
    <w:rsid w:val="13D50BC4"/>
    <w:rsid w:val="13F5616D"/>
    <w:rsid w:val="165C5818"/>
    <w:rsid w:val="16BB723D"/>
    <w:rsid w:val="17F9714D"/>
    <w:rsid w:val="1918F934"/>
    <w:rsid w:val="1B17233E"/>
    <w:rsid w:val="1B737838"/>
    <w:rsid w:val="1BE8440E"/>
    <w:rsid w:val="1D155CEE"/>
    <w:rsid w:val="1DEC2C2B"/>
    <w:rsid w:val="1DFBC4B3"/>
    <w:rsid w:val="1E740ACF"/>
    <w:rsid w:val="1E86159A"/>
    <w:rsid w:val="1EEC1537"/>
    <w:rsid w:val="1F19C781"/>
    <w:rsid w:val="1F33FCE5"/>
    <w:rsid w:val="1F7F7398"/>
    <w:rsid w:val="1FD2DB6F"/>
    <w:rsid w:val="1FF35744"/>
    <w:rsid w:val="1FF6BC77"/>
    <w:rsid w:val="1FF9236D"/>
    <w:rsid w:val="207F0EE8"/>
    <w:rsid w:val="21804D0B"/>
    <w:rsid w:val="21D1550A"/>
    <w:rsid w:val="2333840E"/>
    <w:rsid w:val="23860B96"/>
    <w:rsid w:val="240371BF"/>
    <w:rsid w:val="25326300"/>
    <w:rsid w:val="257904F4"/>
    <w:rsid w:val="257C638F"/>
    <w:rsid w:val="25BC3562"/>
    <w:rsid w:val="25EA46C6"/>
    <w:rsid w:val="26CD68F2"/>
    <w:rsid w:val="29806D53"/>
    <w:rsid w:val="29E37F37"/>
    <w:rsid w:val="29FD04D3"/>
    <w:rsid w:val="2BFF7BC6"/>
    <w:rsid w:val="2C764298"/>
    <w:rsid w:val="2C8A61B5"/>
    <w:rsid w:val="2CD59C95"/>
    <w:rsid w:val="2DF04E50"/>
    <w:rsid w:val="2EFD05E5"/>
    <w:rsid w:val="2F0212BC"/>
    <w:rsid w:val="2F040D46"/>
    <w:rsid w:val="2F4F95CE"/>
    <w:rsid w:val="2FACAFDD"/>
    <w:rsid w:val="2FAD7EE1"/>
    <w:rsid w:val="2FAE5751"/>
    <w:rsid w:val="2FB1A395"/>
    <w:rsid w:val="2FCF0B76"/>
    <w:rsid w:val="2FD9A7D8"/>
    <w:rsid w:val="319F7F4E"/>
    <w:rsid w:val="3304709D"/>
    <w:rsid w:val="3315195B"/>
    <w:rsid w:val="36AA5135"/>
    <w:rsid w:val="36BE0DA7"/>
    <w:rsid w:val="376B6AA6"/>
    <w:rsid w:val="376D39B2"/>
    <w:rsid w:val="37E16F03"/>
    <w:rsid w:val="37F53A3B"/>
    <w:rsid w:val="38074A83"/>
    <w:rsid w:val="38D469F0"/>
    <w:rsid w:val="38F78389"/>
    <w:rsid w:val="39332272"/>
    <w:rsid w:val="397BAF1F"/>
    <w:rsid w:val="39B2524C"/>
    <w:rsid w:val="39E7B272"/>
    <w:rsid w:val="39F7642F"/>
    <w:rsid w:val="39FF7B37"/>
    <w:rsid w:val="3A44202F"/>
    <w:rsid w:val="3AB79AF3"/>
    <w:rsid w:val="3AFDCB77"/>
    <w:rsid w:val="3B7EF35A"/>
    <w:rsid w:val="3B9FDB6C"/>
    <w:rsid w:val="3BF5BC2F"/>
    <w:rsid w:val="3BF7C23A"/>
    <w:rsid w:val="3BFF223E"/>
    <w:rsid w:val="3C6EC0A1"/>
    <w:rsid w:val="3CDB0824"/>
    <w:rsid w:val="3CEBA265"/>
    <w:rsid w:val="3D29158E"/>
    <w:rsid w:val="3D6A7F9F"/>
    <w:rsid w:val="3D7E7F4D"/>
    <w:rsid w:val="3D98207C"/>
    <w:rsid w:val="3D9CF30A"/>
    <w:rsid w:val="3DFF5A3E"/>
    <w:rsid w:val="3E78745D"/>
    <w:rsid w:val="3EA81CA4"/>
    <w:rsid w:val="3EEE77E9"/>
    <w:rsid w:val="3F394AF5"/>
    <w:rsid w:val="3FBE5714"/>
    <w:rsid w:val="3FDD8615"/>
    <w:rsid w:val="3FDFB2FF"/>
    <w:rsid w:val="3FF4CAE0"/>
    <w:rsid w:val="3FF75FAF"/>
    <w:rsid w:val="3FF7B227"/>
    <w:rsid w:val="407B3368"/>
    <w:rsid w:val="43117578"/>
    <w:rsid w:val="438C715A"/>
    <w:rsid w:val="44E268DA"/>
    <w:rsid w:val="457F4F6B"/>
    <w:rsid w:val="4737FB58"/>
    <w:rsid w:val="47ECCB02"/>
    <w:rsid w:val="47FA6A3F"/>
    <w:rsid w:val="49D7AE48"/>
    <w:rsid w:val="4A3F6C7E"/>
    <w:rsid w:val="4A627F82"/>
    <w:rsid w:val="4B0E749A"/>
    <w:rsid w:val="4B4F25DA"/>
    <w:rsid w:val="4BBB4781"/>
    <w:rsid w:val="4BD709A5"/>
    <w:rsid w:val="4BDD9BFF"/>
    <w:rsid w:val="4BE068DB"/>
    <w:rsid w:val="4D574997"/>
    <w:rsid w:val="4D577224"/>
    <w:rsid w:val="4D7F6356"/>
    <w:rsid w:val="4DBF1CEB"/>
    <w:rsid w:val="4DBF6A6B"/>
    <w:rsid w:val="4DF6A672"/>
    <w:rsid w:val="4EAB630A"/>
    <w:rsid w:val="4ECE2238"/>
    <w:rsid w:val="4F7EA413"/>
    <w:rsid w:val="4FAB812F"/>
    <w:rsid w:val="4FB04FBB"/>
    <w:rsid w:val="4FE9BD67"/>
    <w:rsid w:val="4FEE4C07"/>
    <w:rsid w:val="4FFB052F"/>
    <w:rsid w:val="51D45F79"/>
    <w:rsid w:val="537E6D0A"/>
    <w:rsid w:val="53AB6B88"/>
    <w:rsid w:val="53F74C96"/>
    <w:rsid w:val="54467902"/>
    <w:rsid w:val="5583522D"/>
    <w:rsid w:val="57283307"/>
    <w:rsid w:val="57BD3DD4"/>
    <w:rsid w:val="57F9CD1E"/>
    <w:rsid w:val="59DE6AC5"/>
    <w:rsid w:val="5AF92295"/>
    <w:rsid w:val="5AF9D8E9"/>
    <w:rsid w:val="5BDD38BD"/>
    <w:rsid w:val="5BDD79E6"/>
    <w:rsid w:val="5BEFC772"/>
    <w:rsid w:val="5BFF5DFC"/>
    <w:rsid w:val="5CD71FC4"/>
    <w:rsid w:val="5D1F11B5"/>
    <w:rsid w:val="5D2424D9"/>
    <w:rsid w:val="5D3647F9"/>
    <w:rsid w:val="5DA644D4"/>
    <w:rsid w:val="5DAE1B18"/>
    <w:rsid w:val="5DE7D9E5"/>
    <w:rsid w:val="5ECEC941"/>
    <w:rsid w:val="5EFF8FC6"/>
    <w:rsid w:val="5F5BA39A"/>
    <w:rsid w:val="5F7D3B79"/>
    <w:rsid w:val="5F7F4610"/>
    <w:rsid w:val="5FBF9FF3"/>
    <w:rsid w:val="5FCD4E2C"/>
    <w:rsid w:val="5FEF394A"/>
    <w:rsid w:val="5FF67715"/>
    <w:rsid w:val="60897A27"/>
    <w:rsid w:val="60B80A4E"/>
    <w:rsid w:val="60E76F23"/>
    <w:rsid w:val="61B735BE"/>
    <w:rsid w:val="61CA71D5"/>
    <w:rsid w:val="627EE9EA"/>
    <w:rsid w:val="63763D22"/>
    <w:rsid w:val="63B23AA5"/>
    <w:rsid w:val="63E96BEA"/>
    <w:rsid w:val="63F90E0B"/>
    <w:rsid w:val="647F5392"/>
    <w:rsid w:val="64E322C4"/>
    <w:rsid w:val="656024B9"/>
    <w:rsid w:val="65F16A23"/>
    <w:rsid w:val="65FB93B9"/>
    <w:rsid w:val="6633C463"/>
    <w:rsid w:val="66C85012"/>
    <w:rsid w:val="67B93C44"/>
    <w:rsid w:val="67D55B77"/>
    <w:rsid w:val="67EE7F84"/>
    <w:rsid w:val="684C6CA1"/>
    <w:rsid w:val="686F5F53"/>
    <w:rsid w:val="69F364B6"/>
    <w:rsid w:val="6AFFCEAF"/>
    <w:rsid w:val="6B71640F"/>
    <w:rsid w:val="6B96E9E6"/>
    <w:rsid w:val="6BCE57B5"/>
    <w:rsid w:val="6BFEA4DB"/>
    <w:rsid w:val="6BFF6455"/>
    <w:rsid w:val="6BFFB662"/>
    <w:rsid w:val="6C4A05C8"/>
    <w:rsid w:val="6CFF4FB8"/>
    <w:rsid w:val="6D6BD6E0"/>
    <w:rsid w:val="6D77E73C"/>
    <w:rsid w:val="6DBF5E93"/>
    <w:rsid w:val="6DFF077E"/>
    <w:rsid w:val="6E6C26FC"/>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03C0AB5"/>
    <w:rsid w:val="709915A9"/>
    <w:rsid w:val="712A28F1"/>
    <w:rsid w:val="715C0E4B"/>
    <w:rsid w:val="71FFD401"/>
    <w:rsid w:val="72233669"/>
    <w:rsid w:val="72734D90"/>
    <w:rsid w:val="7332FE48"/>
    <w:rsid w:val="73AD73D5"/>
    <w:rsid w:val="73B6EB34"/>
    <w:rsid w:val="73F77450"/>
    <w:rsid w:val="73FA497D"/>
    <w:rsid w:val="744731E5"/>
    <w:rsid w:val="74BBD01D"/>
    <w:rsid w:val="74ED5379"/>
    <w:rsid w:val="75DEEEC2"/>
    <w:rsid w:val="767F479D"/>
    <w:rsid w:val="76E3355F"/>
    <w:rsid w:val="76F742AF"/>
    <w:rsid w:val="76F7BE7D"/>
    <w:rsid w:val="76FF5125"/>
    <w:rsid w:val="773570D3"/>
    <w:rsid w:val="77597F31"/>
    <w:rsid w:val="776C4E6E"/>
    <w:rsid w:val="776F6FFA"/>
    <w:rsid w:val="7777A522"/>
    <w:rsid w:val="77858688"/>
    <w:rsid w:val="778769C8"/>
    <w:rsid w:val="77CB741A"/>
    <w:rsid w:val="77D7BE3A"/>
    <w:rsid w:val="77DC22F5"/>
    <w:rsid w:val="77ED7AD4"/>
    <w:rsid w:val="78283105"/>
    <w:rsid w:val="78F82119"/>
    <w:rsid w:val="797E3A6C"/>
    <w:rsid w:val="79CA3EB6"/>
    <w:rsid w:val="79CF70E2"/>
    <w:rsid w:val="79D7FD79"/>
    <w:rsid w:val="79E75806"/>
    <w:rsid w:val="79EE5BA4"/>
    <w:rsid w:val="7A641148"/>
    <w:rsid w:val="7A6F8BF5"/>
    <w:rsid w:val="7A894339"/>
    <w:rsid w:val="7ACF82B5"/>
    <w:rsid w:val="7AD81325"/>
    <w:rsid w:val="7AFF28C9"/>
    <w:rsid w:val="7AFF72A0"/>
    <w:rsid w:val="7AFF7572"/>
    <w:rsid w:val="7B6C7DFB"/>
    <w:rsid w:val="7B7972FF"/>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2A3244"/>
    <w:rsid w:val="7E397EEC"/>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D194D8"/>
  <w15:docId w15:val="{DBC515DA-C79A-4C40-8522-3B726DD20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0">
    <w:name w:val="heading 2"/>
    <w:basedOn w:val="a"/>
    <w:next w:val="a"/>
    <w:link w:val="21"/>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4"/>
    <w:uiPriority w:val="99"/>
    <w:unhideWhenUsed/>
    <w:qFormat/>
    <w:pPr>
      <w:ind w:firstLineChars="200" w:firstLine="420"/>
    </w:pPr>
  </w:style>
  <w:style w:type="paragraph" w:styleId="a3">
    <w:name w:val="Body Text Indent"/>
    <w:basedOn w:val="a"/>
    <w:next w:val="2"/>
    <w:qFormat/>
    <w:pPr>
      <w:spacing w:after="120"/>
      <w:ind w:leftChars="200" w:left="200"/>
    </w:pPr>
    <w:rPr>
      <w:rFonts w:ascii="仿宋_GB2312"/>
      <w:szCs w:val="32"/>
    </w:rPr>
  </w:style>
  <w:style w:type="paragraph" w:styleId="a4">
    <w:name w:val="Plain Text"/>
    <w:basedOn w:val="a"/>
    <w:uiPriority w:val="99"/>
    <w:unhideWhenUsed/>
    <w:qFormat/>
    <w:rPr>
      <w:rFonts w:ascii="宋体" w:hAnsi="Courier New"/>
    </w:rPr>
  </w:style>
  <w:style w:type="paragraph" w:styleId="a5">
    <w:name w:val="Body Text"/>
    <w:basedOn w:val="a"/>
    <w:link w:val="a6"/>
    <w:uiPriority w:val="99"/>
    <w:qFormat/>
    <w:pPr>
      <w:spacing w:beforeLines="30"/>
    </w:pPr>
    <w:rPr>
      <w:rFonts w:ascii="仿宋_GB2312" w:eastAsia="仿宋_GB2312"/>
      <w:kern w:val="0"/>
      <w:sz w:val="30"/>
    </w:rPr>
  </w:style>
  <w:style w:type="paragraph" w:styleId="TOC3">
    <w:name w:val="toc 3"/>
    <w:basedOn w:val="a"/>
    <w:next w:val="a"/>
    <w:uiPriority w:val="39"/>
    <w:unhideWhenUsed/>
    <w:qFormat/>
    <w:pPr>
      <w:tabs>
        <w:tab w:val="right" w:leader="dot" w:pos="8296"/>
      </w:tabs>
      <w:ind w:leftChars="400" w:left="84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rFonts w:ascii="Calibri" w:hAnsi="Calibri"/>
      <w:kern w:val="0"/>
      <w:sz w:val="18"/>
      <w:szCs w:val="18"/>
    </w:rPr>
  </w:style>
  <w:style w:type="paragraph" w:styleId="ab">
    <w:name w:val="header"/>
    <w:basedOn w:val="a"/>
    <w:link w:val="ac"/>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TOC2">
    <w:name w:val="toc 2"/>
    <w:basedOn w:val="a"/>
    <w:next w:val="a"/>
    <w:uiPriority w:val="39"/>
    <w:unhideWhenUsed/>
    <w:qFormat/>
    <w:pPr>
      <w:tabs>
        <w:tab w:val="right" w:leader="dot" w:pos="8296"/>
      </w:tabs>
      <w:ind w:leftChars="200" w:left="420"/>
    </w:pPr>
  </w:style>
  <w:style w:type="paragraph" w:styleId="ad">
    <w:name w:val="Normal (Web)"/>
    <w:basedOn w:val="a"/>
    <w:qFormat/>
    <w:pPr>
      <w:spacing w:before="100" w:beforeAutospacing="1" w:after="100" w:afterAutospacing="1"/>
      <w:jc w:val="left"/>
    </w:pPr>
    <w:rPr>
      <w:kern w:val="0"/>
      <w:sz w:val="24"/>
    </w:rPr>
  </w:style>
  <w:style w:type="character" w:styleId="ae">
    <w:name w:val="Strong"/>
    <w:basedOn w:val="a0"/>
    <w:uiPriority w:val="99"/>
    <w:qFormat/>
    <w:rPr>
      <w:b/>
    </w:rPr>
  </w:style>
  <w:style w:type="character" w:styleId="af">
    <w:name w:val="Hyperlink"/>
    <w:basedOn w:val="a0"/>
    <w:uiPriority w:val="99"/>
    <w:unhideWhenUsed/>
    <w:qFormat/>
    <w:rPr>
      <w:color w:val="0000FF" w:themeColor="hyperlink"/>
      <w:u w:val="single"/>
    </w:rPr>
  </w:style>
  <w:style w:type="paragraph" w:customStyle="1" w:styleId="5">
    <w:name w:val="标题 5（有编号）（绿盟科技）"/>
    <w:next w:val="a"/>
    <w:uiPriority w:val="99"/>
    <w:qFormat/>
    <w:pPr>
      <w:keepNext/>
      <w:keepLines/>
      <w:widowControl w:val="0"/>
      <w:spacing w:before="280" w:after="156" w:line="377" w:lineRule="auto"/>
      <w:outlineLvl w:val="4"/>
    </w:pPr>
    <w:rPr>
      <w:rFonts w:ascii="Arial" w:eastAsia="黑体" w:hAnsi="Arial"/>
      <w:b/>
      <w:kern w:val="2"/>
      <w:sz w:val="24"/>
      <w:szCs w:val="28"/>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ac">
    <w:name w:val="页眉 字符"/>
    <w:link w:val="ab"/>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aa">
    <w:name w:val="页脚 字符"/>
    <w:link w:val="a9"/>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a6">
    <w:name w:val="正文文本 字符"/>
    <w:link w:val="a5"/>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f0">
    <w:name w:val="List Paragraph"/>
    <w:basedOn w:val="a"/>
    <w:uiPriority w:val="34"/>
    <w:qFormat/>
    <w:pPr>
      <w:ind w:firstLineChars="200" w:firstLine="420"/>
    </w:pPr>
  </w:style>
  <w:style w:type="character" w:customStyle="1" w:styleId="10">
    <w:name w:val="标题 1 字符"/>
    <w:basedOn w:val="a0"/>
    <w:link w:val="1"/>
    <w:uiPriority w:val="9"/>
    <w:qFormat/>
    <w:rPr>
      <w:rFonts w:ascii="Times New Roman" w:hAnsi="Times New Roman"/>
      <w:b/>
      <w:bCs/>
      <w:kern w:val="44"/>
      <w:sz w:val="44"/>
      <w:szCs w:val="44"/>
    </w:rPr>
  </w:style>
  <w:style w:type="character" w:customStyle="1" w:styleId="21">
    <w:name w:val="标题 2 字符"/>
    <w:basedOn w:val="a0"/>
    <w:link w:val="20"/>
    <w:uiPriority w:val="9"/>
    <w:qFormat/>
    <w:rPr>
      <w:rFonts w:asciiTheme="majorHAnsi" w:eastAsiaTheme="majorEastAsia" w:hAnsiTheme="majorHAnsi" w:cstheme="majorBidi"/>
      <w:b/>
      <w:bCs/>
      <w:kern w:val="2"/>
      <w:sz w:val="32"/>
      <w:szCs w:val="32"/>
    </w:rPr>
  </w:style>
  <w:style w:type="paragraph" w:customStyle="1" w:styleId="TOC10">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8">
    <w:name w:val="批注框文本 字符"/>
    <w:basedOn w:val="a0"/>
    <w:link w:val="a7"/>
    <w:uiPriority w:val="99"/>
    <w:semiHidden/>
    <w:qFormat/>
    <w:rPr>
      <w:rFonts w:ascii="Times New Roman" w:hAnsi="Times New Roman"/>
      <w:kern w:val="2"/>
      <w:sz w:val="18"/>
      <w:szCs w:val="18"/>
    </w:rPr>
  </w:style>
  <w:style w:type="character" w:customStyle="1" w:styleId="30">
    <w:name w:val="标题 3 字符"/>
    <w:basedOn w:val="a0"/>
    <w:link w:val="3"/>
    <w:uiPriority w:val="9"/>
    <w:qFormat/>
    <w:rPr>
      <w:rFonts w:ascii="Times New Roman" w:hAnsi="Times New Roman"/>
      <w:b/>
      <w:bCs/>
      <w:kern w:val="2"/>
      <w:sz w:val="32"/>
      <w:szCs w:val="32"/>
    </w:rPr>
  </w:style>
  <w:style w:type="paragraph" w:customStyle="1" w:styleId="TOC20">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f1">
    <w:name w:val="四号正文"/>
    <w:basedOn w:val="a"/>
    <w:qFormat/>
    <w:pPr>
      <w:spacing w:line="360" w:lineRule="auto"/>
    </w:pPr>
    <w:rPr>
      <w:rFonts w:ascii="??" w:hAnsi="??"/>
      <w:color w:val="000000"/>
      <w:kern w:val="0"/>
      <w:sz w:val="28"/>
      <w:szCs w:val="21"/>
      <w:lang w:val="zh-CN"/>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manualLayout>
          <c:layoutTarget val="inner"/>
          <c:xMode val="edge"/>
          <c:yMode val="edge"/>
          <c:x val="6.8824999999999997E-2"/>
          <c:y val="0.12916666666666701"/>
          <c:w val="0.90517499999999995"/>
          <c:h val="0.71689999999999998"/>
        </c:manualLayout>
      </c:layout>
      <c:barChart>
        <c:barDir val="col"/>
        <c:grouping val="stacked"/>
        <c:varyColors val="0"/>
        <c:ser>
          <c:idx val="0"/>
          <c:order val="0"/>
          <c:tx>
            <c:strRef>
              <c:f>Sheet1!$B$1</c:f>
              <c:strCache>
                <c:ptCount val="1"/>
                <c:pt idx="0">
                  <c:v>上年度</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Sheet1!$B$2:$B$5</c:f>
              <c:numCache>
                <c:formatCode>General</c:formatCode>
                <c:ptCount val="4"/>
                <c:pt idx="0">
                  <c:v>163.15</c:v>
                </c:pt>
              </c:numCache>
            </c:numRef>
          </c:val>
          <c:extLst>
            <c:ext xmlns:c16="http://schemas.microsoft.com/office/drawing/2014/chart" uri="{C3380CC4-5D6E-409C-BE32-E72D297353CC}">
              <c16:uniqueId val="{00000000-27FF-4E64-AA08-E4820F97BFE7}"/>
            </c:ext>
          </c:extLst>
        </c:ser>
        <c:ser>
          <c:idx val="1"/>
          <c:order val="1"/>
          <c:tx>
            <c:strRef>
              <c:f>Sheet1!$C$1</c:f>
              <c:strCache>
                <c:ptCount val="1"/>
                <c:pt idx="0">
                  <c:v>本年度</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Sheet1!$C$2:$C$5</c:f>
              <c:numCache>
                <c:formatCode>General</c:formatCode>
                <c:ptCount val="4"/>
                <c:pt idx="1">
                  <c:v>145.62</c:v>
                </c:pt>
              </c:numCache>
            </c:numRef>
          </c:val>
          <c:extLst>
            <c:ext xmlns:c16="http://schemas.microsoft.com/office/drawing/2014/chart" uri="{C3380CC4-5D6E-409C-BE32-E72D297353CC}">
              <c16:uniqueId val="{00000001-27FF-4E64-AA08-E4820F97BFE7}"/>
            </c:ext>
          </c:extLst>
        </c:ser>
        <c:ser>
          <c:idx val="2"/>
          <c:order val="2"/>
          <c:tx>
            <c:strRef>
              <c:f>Sheet1!$D$1</c:f>
              <c:strCache>
                <c:ptCount val="1"/>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Sheet1!$D$2:$D$5</c:f>
              <c:numCache>
                <c:formatCode>General</c:formatCode>
                <c:ptCount val="4"/>
              </c:numCache>
            </c:numRef>
          </c:val>
          <c:extLst>
            <c:ext xmlns:c16="http://schemas.microsoft.com/office/drawing/2014/chart" uri="{C3380CC4-5D6E-409C-BE32-E72D297353CC}">
              <c16:uniqueId val="{00000002-27FF-4E64-AA08-E4820F97BFE7}"/>
            </c:ext>
          </c:extLst>
        </c:ser>
        <c:dLbls>
          <c:showLegendKey val="0"/>
          <c:showVal val="1"/>
          <c:showCatName val="0"/>
          <c:showSerName val="0"/>
          <c:showPercent val="0"/>
          <c:showBubbleSize val="0"/>
        </c:dLbls>
        <c:gapWidth val="150"/>
        <c:overlap val="100"/>
        <c:axId val="829920627"/>
        <c:axId val="250191005"/>
      </c:barChart>
      <c:catAx>
        <c:axId val="829920627"/>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50191005"/>
        <c:crosses val="autoZero"/>
        <c:auto val="1"/>
        <c:lblAlgn val="ctr"/>
        <c:lblOffset val="100"/>
        <c:noMultiLvlLbl val="0"/>
      </c:catAx>
      <c:valAx>
        <c:axId val="25019100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29920627"/>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本年度财政收入</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E61-4B92-9B94-13394648188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E61-4B92-9B94-13394648188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E61-4B92-9B94-13394648188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E61-4B92-9B94-13394648188C}"/>
              </c:ext>
            </c:extLst>
          </c:dPt>
          <c:dLbls>
            <c:dLbl>
              <c:idx val="0"/>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61-4B92-9B94-13394648188C}"/>
                </c:ext>
              </c:extLst>
            </c:dLbl>
            <c:dLbl>
              <c:idx val="1"/>
              <c:delete val="1"/>
              <c:extLst>
                <c:ext xmlns:c15="http://schemas.microsoft.com/office/drawing/2012/chart" uri="{CE6537A1-D6FC-4f65-9D91-7224C49458BB}"/>
                <c:ext xmlns:c16="http://schemas.microsoft.com/office/drawing/2014/chart" uri="{C3380CC4-5D6E-409C-BE32-E72D297353CC}">
                  <c16:uniqueId val="{00000003-9E61-4B92-9B94-13394648188C}"/>
                </c:ext>
              </c:extLst>
            </c:dLbl>
            <c:dLbl>
              <c:idx val="2"/>
              <c:delete val="1"/>
              <c:extLst>
                <c:ext xmlns:c15="http://schemas.microsoft.com/office/drawing/2012/chart" uri="{CE6537A1-D6FC-4f65-9D91-7224C49458BB}"/>
                <c:ext xmlns:c16="http://schemas.microsoft.com/office/drawing/2014/chart" uri="{C3380CC4-5D6E-409C-BE32-E72D297353CC}">
                  <c16:uniqueId val="{00000005-9E61-4B92-9B94-13394648188C}"/>
                </c:ext>
              </c:extLst>
            </c:dLbl>
            <c:dLbl>
              <c:idx val="3"/>
              <c:delete val="1"/>
              <c:extLst>
                <c:ext xmlns:c15="http://schemas.microsoft.com/office/drawing/2012/chart" uri="{CE6537A1-D6FC-4f65-9D91-7224C49458BB}"/>
                <c:ext xmlns:c16="http://schemas.microsoft.com/office/drawing/2014/chart" uri="{C3380CC4-5D6E-409C-BE32-E72D297353CC}">
                  <c16:uniqueId val="{00000007-9E61-4B92-9B94-13394648188C}"/>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0"/>
            <c:showCatName val="0"/>
            <c:showSerName val="0"/>
            <c:showPercent val="0"/>
            <c:showBubbleSize val="0"/>
            <c:extLst>
              <c:ext xmlns:c15="http://schemas.microsoft.com/office/drawing/2012/chart" uri="{CE6537A1-D6FC-4f65-9D91-7224C49458BB}"/>
            </c:extLst>
          </c:dLbls>
          <c:cat>
            <c:strRef>
              <c:f>Sheet1!$A$2:$A$5</c:f>
              <c:strCache>
                <c:ptCount val="4"/>
                <c:pt idx="0">
                  <c:v>一般公共预算财政拨款收入</c:v>
                </c:pt>
              </c:strCache>
            </c:strRef>
          </c:cat>
          <c:val>
            <c:numRef>
              <c:f>Sheet1!$B$2:$B$5</c:f>
              <c:numCache>
                <c:formatCode>General</c:formatCode>
                <c:ptCount val="4"/>
                <c:pt idx="0">
                  <c:v>145.62</c:v>
                </c:pt>
              </c:numCache>
            </c:numRef>
          </c:val>
          <c:extLst>
            <c:ext xmlns:c16="http://schemas.microsoft.com/office/drawing/2014/chart" uri="{C3380CC4-5D6E-409C-BE32-E72D297353CC}">
              <c16:uniqueId val="{00000008-9E61-4B92-9B94-13394648188C}"/>
            </c:ext>
          </c:extLst>
        </c:ser>
        <c:ser>
          <c:idx val="1"/>
          <c:order val="1"/>
          <c:tx>
            <c:strRef>
              <c:f>Sheet1!$C$1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9E61-4B92-9B94-13394648188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9E61-4B92-9B94-13394648188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9E61-4B92-9B94-13394648188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9E61-4B92-9B94-13394648188C}"/>
              </c:ext>
            </c:extLst>
          </c:dPt>
          <c:cat>
            <c:strRef>
              <c:f>Sheet1!$A$2:$A$5</c:f>
              <c:strCache>
                <c:ptCount val="4"/>
                <c:pt idx="0">
                  <c:v>一般公共预算财政拨款收入</c:v>
                </c:pt>
              </c:strCache>
            </c:strRef>
          </c:cat>
          <c:val>
            <c:numRef>
              <c:f>Sheet1!$C$2:$C$5</c:f>
              <c:numCache>
                <c:formatCode>General</c:formatCode>
                <c:ptCount val="4"/>
              </c:numCache>
            </c:numRef>
          </c:val>
          <c:extLst>
            <c:ext xmlns:c16="http://schemas.microsoft.com/office/drawing/2014/chart" uri="{C3380CC4-5D6E-409C-BE32-E72D297353CC}">
              <c16:uniqueId val="{00000011-9E61-4B92-9B94-13394648188C}"/>
            </c:ext>
          </c:extLst>
        </c:ser>
        <c:ser>
          <c:idx val="2"/>
          <c:order val="2"/>
          <c:tx>
            <c:strRef>
              <c:f>Sheet1!$D$1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13-9E61-4B92-9B94-13394648188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5-9E61-4B92-9B94-13394648188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7-9E61-4B92-9B94-13394648188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9-9E61-4B92-9B94-13394648188C}"/>
              </c:ext>
            </c:extLst>
          </c:dPt>
          <c:cat>
            <c:strRef>
              <c:f>Sheet1!$A$2:$A$5</c:f>
              <c:strCache>
                <c:ptCount val="4"/>
                <c:pt idx="0">
                  <c:v>一般公共预算财政拨款收入</c:v>
                </c:pt>
              </c:strCache>
            </c:strRef>
          </c:cat>
          <c:val>
            <c:numRef>
              <c:f>Sheet1!$D$2:$D$5</c:f>
              <c:numCache>
                <c:formatCode>General</c:formatCode>
                <c:ptCount val="4"/>
              </c:numCache>
            </c:numRef>
          </c:val>
          <c:extLst>
            <c:ext xmlns:c16="http://schemas.microsoft.com/office/drawing/2014/chart" uri="{C3380CC4-5D6E-409C-BE32-E72D297353CC}">
              <c16:uniqueId val="{0000001A-9E61-4B92-9B94-13394648188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本年度支出</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BF3-445F-B6AB-020E1A4E481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BF3-445F-B6AB-020E1A4E481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BF3-445F-B6AB-020E1A4E481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BF3-445F-B6AB-020E1A4E4810}"/>
              </c:ext>
            </c:extLst>
          </c:dPt>
          <c:dLbls>
            <c:dLbl>
              <c:idx val="0"/>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F3-445F-B6AB-020E1A4E4810}"/>
                </c:ext>
              </c:extLst>
            </c:dLbl>
            <c:dLbl>
              <c:idx val="1"/>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F3-445F-B6AB-020E1A4E4810}"/>
                </c:ext>
              </c:extLst>
            </c:dLbl>
            <c:dLbl>
              <c:idx val="2"/>
              <c:delete val="1"/>
              <c:extLst>
                <c:ext xmlns:c15="http://schemas.microsoft.com/office/drawing/2012/chart" uri="{CE6537A1-D6FC-4f65-9D91-7224C49458BB}"/>
                <c:ext xmlns:c16="http://schemas.microsoft.com/office/drawing/2014/chart" uri="{C3380CC4-5D6E-409C-BE32-E72D297353CC}">
                  <c16:uniqueId val="{00000005-1BF3-445F-B6AB-020E1A4E4810}"/>
                </c:ext>
              </c:extLst>
            </c:dLbl>
            <c:dLbl>
              <c:idx val="3"/>
              <c:delete val="1"/>
              <c:extLst>
                <c:ext xmlns:c15="http://schemas.microsoft.com/office/drawing/2012/chart" uri="{CE6537A1-D6FC-4f65-9D91-7224C49458BB}"/>
                <c:ext xmlns:c16="http://schemas.microsoft.com/office/drawing/2014/chart" uri="{C3380CC4-5D6E-409C-BE32-E72D297353CC}">
                  <c16:uniqueId val="{00000007-1BF3-445F-B6AB-020E1A4E4810}"/>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0"/>
            <c:showCatName val="0"/>
            <c:showSerName val="0"/>
            <c:showPercent val="0"/>
            <c:showBubbleSize val="0"/>
            <c:extLst>
              <c:ext xmlns:c15="http://schemas.microsoft.com/office/drawing/2012/chart" uri="{CE6537A1-D6FC-4f65-9D91-7224C49458BB}"/>
            </c:extLst>
          </c:dLbls>
          <c:cat>
            <c:strRef>
              <c:f>Sheet1!$A$2:$A$5</c:f>
              <c:strCache>
                <c:ptCount val="4"/>
                <c:pt idx="0">
                  <c:v>基本支出</c:v>
                </c:pt>
                <c:pt idx="1">
                  <c:v>项目支出</c:v>
                </c:pt>
              </c:strCache>
            </c:strRef>
          </c:cat>
          <c:val>
            <c:numRef>
              <c:f>Sheet1!$B$2:$B$5</c:f>
              <c:numCache>
                <c:formatCode>General</c:formatCode>
                <c:ptCount val="4"/>
                <c:pt idx="0">
                  <c:v>140.84</c:v>
                </c:pt>
                <c:pt idx="1">
                  <c:v>4.79</c:v>
                </c:pt>
              </c:numCache>
            </c:numRef>
          </c:val>
          <c:extLst>
            <c:ext xmlns:c16="http://schemas.microsoft.com/office/drawing/2014/chart" uri="{C3380CC4-5D6E-409C-BE32-E72D297353CC}">
              <c16:uniqueId val="{00000008-1BF3-445F-B6AB-020E1A4E4810}"/>
            </c:ext>
          </c:extLst>
        </c:ser>
        <c:ser>
          <c:idx val="1"/>
          <c:order val="1"/>
          <c:tx>
            <c:strRef>
              <c:f>Sheet1!$C$1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1BF3-445F-B6AB-020E1A4E481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1BF3-445F-B6AB-020E1A4E481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1BF3-445F-B6AB-020E1A4E481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1BF3-445F-B6AB-020E1A4E4810}"/>
              </c:ext>
            </c:extLst>
          </c:dPt>
          <c:cat>
            <c:strRef>
              <c:f>Sheet1!$A$2:$A$5</c:f>
              <c:strCache>
                <c:ptCount val="4"/>
                <c:pt idx="0">
                  <c:v>基本支出</c:v>
                </c:pt>
                <c:pt idx="1">
                  <c:v>项目支出</c:v>
                </c:pt>
              </c:strCache>
            </c:strRef>
          </c:cat>
          <c:val>
            <c:numRef>
              <c:f>Sheet1!$C$2:$C$5</c:f>
              <c:numCache>
                <c:formatCode>General</c:formatCode>
                <c:ptCount val="4"/>
              </c:numCache>
            </c:numRef>
          </c:val>
          <c:extLst>
            <c:ext xmlns:c16="http://schemas.microsoft.com/office/drawing/2014/chart" uri="{C3380CC4-5D6E-409C-BE32-E72D297353CC}">
              <c16:uniqueId val="{00000011-1BF3-445F-B6AB-020E1A4E481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manualLayout>
          <c:layoutTarget val="inner"/>
          <c:xMode val="edge"/>
          <c:yMode val="edge"/>
          <c:x val="0.11729381945798401"/>
          <c:y val="0.170901194353963"/>
          <c:w val="0.85209592513160404"/>
          <c:h val="0.63070575461454903"/>
        </c:manualLayout>
      </c:layout>
      <c:barChart>
        <c:barDir val="col"/>
        <c:grouping val="stacked"/>
        <c:varyColors val="0"/>
        <c:ser>
          <c:idx val="0"/>
          <c:order val="0"/>
          <c:tx>
            <c:strRef>
              <c:f>Sheet1!$B$1</c:f>
              <c:strCache>
                <c:ptCount val="1"/>
                <c:pt idx="0">
                  <c:v>财政拨款收入变动</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Sheet1!$B$2:$B$5</c:f>
              <c:numCache>
                <c:formatCode>General</c:formatCode>
                <c:ptCount val="4"/>
                <c:pt idx="0">
                  <c:v>163.15</c:v>
                </c:pt>
              </c:numCache>
            </c:numRef>
          </c:val>
          <c:extLst>
            <c:ext xmlns:c16="http://schemas.microsoft.com/office/drawing/2014/chart" uri="{C3380CC4-5D6E-409C-BE32-E72D297353CC}">
              <c16:uniqueId val="{00000000-4ED5-48F3-B627-534A0C4D9AEF}"/>
            </c:ext>
          </c:extLst>
        </c:ser>
        <c:ser>
          <c:idx val="1"/>
          <c:order val="1"/>
          <c:tx>
            <c:strRef>
              <c:f>Sheet1!$C$1</c:f>
              <c:strCache>
                <c:ptCount val="1"/>
                <c:pt idx="0">
                  <c:v>系列 2</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Sheet1!$C$2:$C$5</c:f>
              <c:numCache>
                <c:formatCode>General</c:formatCode>
                <c:ptCount val="4"/>
                <c:pt idx="1">
                  <c:v>145.62</c:v>
                </c:pt>
              </c:numCache>
            </c:numRef>
          </c:val>
          <c:extLst>
            <c:ext xmlns:c16="http://schemas.microsoft.com/office/drawing/2014/chart" uri="{C3380CC4-5D6E-409C-BE32-E72D297353CC}">
              <c16:uniqueId val="{00000001-4ED5-48F3-B627-534A0C4D9AEF}"/>
            </c:ext>
          </c:extLst>
        </c:ser>
        <c:ser>
          <c:idx val="2"/>
          <c:order val="2"/>
          <c:tx>
            <c:strRef>
              <c:f>Sheet1!$D$1</c:f>
              <c:strCache>
                <c:ptCount val="1"/>
                <c:pt idx="0">
                  <c:v>系列 3</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Sheet1!$D$2:$D$5</c:f>
              <c:numCache>
                <c:formatCode>General</c:formatCode>
                <c:ptCount val="4"/>
              </c:numCache>
            </c:numRef>
          </c:val>
          <c:extLst>
            <c:ext xmlns:c16="http://schemas.microsoft.com/office/drawing/2014/chart" uri="{C3380CC4-5D6E-409C-BE32-E72D297353CC}">
              <c16:uniqueId val="{00000002-4ED5-48F3-B627-534A0C4D9AEF}"/>
            </c:ext>
          </c:extLst>
        </c:ser>
        <c:dLbls>
          <c:showLegendKey val="0"/>
          <c:showVal val="1"/>
          <c:showCatName val="0"/>
          <c:showSerName val="0"/>
          <c:showPercent val="0"/>
          <c:showBubbleSize val="0"/>
        </c:dLbls>
        <c:gapWidth val="150"/>
        <c:overlap val="100"/>
        <c:axId val="630063188"/>
        <c:axId val="487695788"/>
      </c:barChart>
      <c:catAx>
        <c:axId val="63006318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87695788"/>
        <c:crosses val="autoZero"/>
        <c:auto val="1"/>
        <c:lblAlgn val="ctr"/>
        <c:lblOffset val="100"/>
        <c:noMultiLvlLbl val="0"/>
      </c:catAx>
      <c:valAx>
        <c:axId val="4876957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630063188"/>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stacked"/>
        <c:varyColors val="0"/>
        <c:ser>
          <c:idx val="0"/>
          <c:order val="0"/>
          <c:tx>
            <c:strRef>
              <c:f>Sheet1!$B$1</c:f>
              <c:strCache>
                <c:ptCount val="1"/>
                <c:pt idx="0">
                  <c:v>财政拨款支出变动</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Sheet1!$B$2:$B$5</c:f>
              <c:numCache>
                <c:formatCode>General</c:formatCode>
                <c:ptCount val="4"/>
                <c:pt idx="0">
                  <c:v>163.15</c:v>
                </c:pt>
              </c:numCache>
            </c:numRef>
          </c:val>
          <c:extLst>
            <c:ext xmlns:c16="http://schemas.microsoft.com/office/drawing/2014/chart" uri="{C3380CC4-5D6E-409C-BE32-E72D297353CC}">
              <c16:uniqueId val="{00000000-3FD0-44D8-98AC-1B96ADA0DB16}"/>
            </c:ext>
          </c:extLst>
        </c:ser>
        <c:ser>
          <c:idx val="1"/>
          <c:order val="1"/>
          <c:tx>
            <c:strRef>
              <c:f>Sheet1!$C$1</c:f>
              <c:strCache>
                <c:ptCount val="1"/>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Sheet1!$C$2:$C$5</c:f>
              <c:numCache>
                <c:formatCode>General</c:formatCode>
                <c:ptCount val="4"/>
                <c:pt idx="1">
                  <c:v>145.62</c:v>
                </c:pt>
              </c:numCache>
            </c:numRef>
          </c:val>
          <c:extLst>
            <c:ext xmlns:c16="http://schemas.microsoft.com/office/drawing/2014/chart" uri="{C3380CC4-5D6E-409C-BE32-E72D297353CC}">
              <c16:uniqueId val="{00000001-3FD0-44D8-98AC-1B96ADA0DB16}"/>
            </c:ext>
          </c:extLst>
        </c:ser>
        <c:ser>
          <c:idx val="2"/>
          <c:order val="2"/>
          <c:tx>
            <c:strRef>
              <c:f>Sheet1!$D$1</c:f>
              <c:strCache>
                <c:ptCount val="1"/>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Sheet1!$D$2:$D$5</c:f>
              <c:numCache>
                <c:formatCode>General</c:formatCode>
                <c:ptCount val="4"/>
              </c:numCache>
            </c:numRef>
          </c:val>
          <c:extLst>
            <c:ext xmlns:c16="http://schemas.microsoft.com/office/drawing/2014/chart" uri="{C3380CC4-5D6E-409C-BE32-E72D297353CC}">
              <c16:uniqueId val="{00000002-3FD0-44D8-98AC-1B96ADA0DB16}"/>
            </c:ext>
          </c:extLst>
        </c:ser>
        <c:dLbls>
          <c:showLegendKey val="0"/>
          <c:showVal val="1"/>
          <c:showCatName val="0"/>
          <c:showSerName val="0"/>
          <c:showPercent val="0"/>
          <c:showBubbleSize val="0"/>
        </c:dLbls>
        <c:gapWidth val="150"/>
        <c:overlap val="100"/>
        <c:axId val="309798504"/>
        <c:axId val="162228558"/>
      </c:barChart>
      <c:catAx>
        <c:axId val="30979850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62228558"/>
        <c:crosses val="autoZero"/>
        <c:auto val="1"/>
        <c:lblAlgn val="ctr"/>
        <c:lblOffset val="100"/>
        <c:noMultiLvlLbl val="0"/>
      </c:catAx>
      <c:valAx>
        <c:axId val="1622285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09798504"/>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一般公共预算财政拨款支出</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47A-4B59-B987-C65BC70CCC2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47A-4B59-B987-C65BC70CCC2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47A-4B59-B987-C65BC70CCC2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47A-4B59-B987-C65BC70CCC21}"/>
              </c:ext>
            </c:extLst>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一般公共服务支出</c:v>
                </c:pt>
                <c:pt idx="1">
                  <c:v>社会保障</c:v>
                </c:pt>
                <c:pt idx="2">
                  <c:v>卫生健康</c:v>
                </c:pt>
                <c:pt idx="3">
                  <c:v>住房保障支出</c:v>
                </c:pt>
              </c:strCache>
            </c:strRef>
          </c:cat>
          <c:val>
            <c:numRef>
              <c:f>Sheet1!$B$2:$B$5</c:f>
              <c:numCache>
                <c:formatCode>General</c:formatCode>
                <c:ptCount val="4"/>
                <c:pt idx="0">
                  <c:v>106.55</c:v>
                </c:pt>
                <c:pt idx="1">
                  <c:v>20.8</c:v>
                </c:pt>
                <c:pt idx="2">
                  <c:v>8.0299999999999994</c:v>
                </c:pt>
                <c:pt idx="3">
                  <c:v>10.24</c:v>
                </c:pt>
              </c:numCache>
            </c:numRef>
          </c:val>
          <c:extLst>
            <c:ext xmlns:c16="http://schemas.microsoft.com/office/drawing/2014/chart" uri="{C3380CC4-5D6E-409C-BE32-E72D297353CC}">
              <c16:uniqueId val="{00000008-847A-4B59-B987-C65BC70CCC21}"/>
            </c:ext>
          </c:extLst>
        </c:ser>
        <c:ser>
          <c:idx val="1"/>
          <c:order val="1"/>
          <c:tx>
            <c:strRef>
              <c:f>Sheet1!$C$1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847A-4B59-B987-C65BC70CCC2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847A-4B59-B987-C65BC70CCC2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847A-4B59-B987-C65BC70CCC2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847A-4B59-B987-C65BC70CCC21}"/>
              </c:ext>
            </c:extLst>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一般公共服务支出</c:v>
                </c:pt>
                <c:pt idx="1">
                  <c:v>社会保障</c:v>
                </c:pt>
                <c:pt idx="2">
                  <c:v>卫生健康</c:v>
                </c:pt>
                <c:pt idx="3">
                  <c:v>住房保障支出</c:v>
                </c:pt>
              </c:strCache>
            </c:strRef>
          </c:cat>
          <c:val>
            <c:numRef>
              <c:f>Sheet1!$C$2:$C$5</c:f>
              <c:numCache>
                <c:formatCode>General</c:formatCode>
                <c:ptCount val="4"/>
              </c:numCache>
            </c:numRef>
          </c:val>
          <c:extLst>
            <c:ext xmlns:c16="http://schemas.microsoft.com/office/drawing/2014/chart" uri="{C3380CC4-5D6E-409C-BE32-E72D297353CC}">
              <c16:uniqueId val="{00000011-847A-4B59-B987-C65BC70CCC21}"/>
            </c:ext>
          </c:extLst>
        </c:ser>
        <c:ser>
          <c:idx val="2"/>
          <c:order val="2"/>
          <c:tx>
            <c:strRef>
              <c:f>Sheet1!$D$1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13-847A-4B59-B987-C65BC70CCC2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5-847A-4B59-B987-C65BC70CCC2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7-847A-4B59-B987-C65BC70CCC2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9-847A-4B59-B987-C65BC70CCC21}"/>
              </c:ext>
            </c:extLst>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一般公共服务支出</c:v>
                </c:pt>
                <c:pt idx="1">
                  <c:v>社会保障</c:v>
                </c:pt>
                <c:pt idx="2">
                  <c:v>卫生健康</c:v>
                </c:pt>
                <c:pt idx="3">
                  <c:v>住房保障支出</c:v>
                </c:pt>
              </c:strCache>
            </c:strRef>
          </c:cat>
          <c:val>
            <c:numRef>
              <c:f>Sheet1!$D$2:$D$5</c:f>
              <c:numCache>
                <c:formatCode>General</c:formatCode>
                <c:ptCount val="4"/>
              </c:numCache>
            </c:numRef>
          </c:val>
          <c:extLst>
            <c:ext xmlns:c16="http://schemas.microsoft.com/office/drawing/2014/chart" uri="{C3380CC4-5D6E-409C-BE32-E72D297353CC}">
              <c16:uniqueId val="{0000001A-847A-4B59-B987-C65BC70CCC21}"/>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三公经费支出</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664-4748-B4F9-BED45937142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664-4748-B4F9-BED45937142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664-4748-B4F9-BED45937142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664-4748-B4F9-BED459371428}"/>
              </c:ext>
            </c:extLst>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公务用车及运行维护</c:v>
                </c:pt>
              </c:strCache>
            </c:strRef>
          </c:cat>
          <c:val>
            <c:numRef>
              <c:f>Sheet1!$B$2:$B$5</c:f>
              <c:numCache>
                <c:formatCode>General</c:formatCode>
                <c:ptCount val="4"/>
                <c:pt idx="0">
                  <c:v>2.54</c:v>
                </c:pt>
              </c:numCache>
            </c:numRef>
          </c:val>
          <c:extLst>
            <c:ext xmlns:c16="http://schemas.microsoft.com/office/drawing/2014/chart" uri="{C3380CC4-5D6E-409C-BE32-E72D297353CC}">
              <c16:uniqueId val="{00000008-C664-4748-B4F9-BED459371428}"/>
            </c:ext>
          </c:extLst>
        </c:ser>
        <c:ser>
          <c:idx val="1"/>
          <c:order val="1"/>
          <c:tx>
            <c:strRef>
              <c:f>Sheet1!$C$1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C664-4748-B4F9-BED45937142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C664-4748-B4F9-BED45937142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C664-4748-B4F9-BED45937142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C664-4748-B4F9-BED459371428}"/>
              </c:ext>
            </c:extLst>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公务用车及运行维护</c:v>
                </c:pt>
              </c:strCache>
            </c:strRef>
          </c:cat>
          <c:val>
            <c:numRef>
              <c:f>Sheet1!$C$2:$C$5</c:f>
              <c:numCache>
                <c:formatCode>General</c:formatCode>
                <c:ptCount val="4"/>
              </c:numCache>
            </c:numRef>
          </c:val>
          <c:extLst>
            <c:ext xmlns:c16="http://schemas.microsoft.com/office/drawing/2014/chart" uri="{C3380CC4-5D6E-409C-BE32-E72D297353CC}">
              <c16:uniqueId val="{00000011-C664-4748-B4F9-BED459371428}"/>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6059</Words>
  <Characters>6666</Characters>
  <Application>Microsoft Office Word</Application>
  <DocSecurity>0</DocSecurity>
  <Lines>444</Lines>
  <Paragraphs>385</Paragraphs>
  <ScaleCrop>false</ScaleCrop>
  <Company>四川省财政厅</Company>
  <LinksUpToDate>false</LinksUpToDate>
  <CharactersWithSpaces>12340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永容 田</cp:lastModifiedBy>
  <cp:revision>14</cp:revision>
  <cp:lastPrinted>2023-08-03T10:35:00Z</cp:lastPrinted>
  <dcterms:created xsi:type="dcterms:W3CDTF">2024-08-05T07:12:00Z</dcterms:created>
  <dcterms:modified xsi:type="dcterms:W3CDTF">2025-09-22T02:05:00Z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C991F686FF194F38BDCFAEE20F782CBC</vt:lpwstr>
  </property>
</Properties>
</file>