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222614">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bookmarkStart w:id="16" w:name="_GoBack"/>
      <w:bookmarkEnd w:id="16"/>
    </w:p>
    <w:p w14:paraId="28DD1BEF">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p>
    <w:p w14:paraId="648FB7E5">
      <w:pPr>
        <w:adjustRightInd w:val="0"/>
        <w:snapToGrid w:val="0"/>
        <w:spacing w:line="360" w:lineRule="auto"/>
        <w:jc w:val="center"/>
        <w:outlineLvl w:val="9"/>
        <w:rPr>
          <w:rFonts w:ascii="方正小标宋简体" w:hAnsi="宋体" w:eastAsia="方正小标宋简体"/>
          <w:color w:val="000000"/>
          <w:sz w:val="72"/>
          <w:szCs w:val="72"/>
        </w:rPr>
      </w:pPr>
      <w:r>
        <w:rPr>
          <w:rFonts w:ascii="黑体" w:hAnsi="黑体" w:eastAsia="黑体"/>
          <w:color w:val="000000"/>
          <w:sz w:val="72"/>
          <w:szCs w:val="72"/>
        </w:rPr>
        <w:t>20</w:t>
      </w:r>
      <w:r>
        <w:rPr>
          <w:rFonts w:hint="eastAsia" w:ascii="黑体" w:hAnsi="黑体" w:eastAsia="黑体"/>
          <w:color w:val="000000"/>
          <w:sz w:val="72"/>
          <w:szCs w:val="72"/>
          <w:lang w:val="en-US" w:eastAsia="zh-CN"/>
        </w:rPr>
        <w:t>25</w:t>
      </w:r>
      <w:r>
        <w:rPr>
          <w:rFonts w:hint="eastAsia" w:ascii="方正小标宋简体" w:hAnsi="宋体" w:eastAsia="方正小标宋简体"/>
          <w:color w:val="000000"/>
          <w:sz w:val="72"/>
          <w:szCs w:val="72"/>
        </w:rPr>
        <w:t>年度</w:t>
      </w:r>
    </w:p>
    <w:p w14:paraId="7FEBB34B">
      <w:pPr>
        <w:adjustRightInd w:val="0"/>
        <w:snapToGrid w:val="0"/>
        <w:spacing w:line="360" w:lineRule="auto"/>
        <w:jc w:val="center"/>
        <w:outlineLvl w:val="9"/>
        <w:rPr>
          <w:rFonts w:hint="default" w:ascii="黑体" w:hAnsi="黑体" w:eastAsia="黑体"/>
          <w:color w:val="000000"/>
          <w:sz w:val="72"/>
          <w:szCs w:val="72"/>
          <w:lang w:val="en-US" w:eastAsia="zh-CN"/>
        </w:rPr>
      </w:pPr>
      <w:bookmarkStart w:id="0" w:name="_Toc13333"/>
      <w:r>
        <w:rPr>
          <w:rFonts w:hint="eastAsia" w:ascii="黑体" w:hAnsi="黑体" w:eastAsia="黑体"/>
          <w:color w:val="000000"/>
          <w:sz w:val="72"/>
          <w:szCs w:val="72"/>
          <w:lang w:eastAsia="zh-CN"/>
        </w:rPr>
        <w:t>红原县</w:t>
      </w:r>
      <w:bookmarkEnd w:id="0"/>
      <w:r>
        <w:rPr>
          <w:rFonts w:hint="eastAsia" w:ascii="黑体" w:hAnsi="黑体" w:eastAsia="黑体"/>
          <w:color w:val="000000"/>
          <w:sz w:val="72"/>
          <w:szCs w:val="72"/>
          <w:lang w:val="en-US" w:eastAsia="zh-CN"/>
        </w:rPr>
        <w:t>工商业联合会</w:t>
      </w:r>
    </w:p>
    <w:p w14:paraId="250A53ED">
      <w:pPr>
        <w:adjustRightInd w:val="0"/>
        <w:snapToGrid w:val="0"/>
        <w:spacing w:line="360" w:lineRule="auto"/>
        <w:jc w:val="center"/>
        <w:outlineLvl w:val="9"/>
        <w:rPr>
          <w:rFonts w:ascii="黑体" w:hAnsi="黑体" w:eastAsia="黑体"/>
          <w:color w:val="000000"/>
          <w:sz w:val="72"/>
          <w:szCs w:val="72"/>
        </w:rPr>
      </w:pPr>
      <w:bookmarkStart w:id="1" w:name="_Toc19355"/>
      <w:r>
        <w:rPr>
          <w:rFonts w:hint="eastAsia" w:ascii="黑体" w:hAnsi="黑体" w:eastAsia="黑体"/>
          <w:color w:val="000000"/>
          <w:sz w:val="72"/>
          <w:szCs w:val="72"/>
        </w:rPr>
        <w:t>关于</w:t>
      </w:r>
      <w:r>
        <w:rPr>
          <w:rFonts w:hint="eastAsia" w:ascii="黑体" w:hAnsi="黑体" w:eastAsia="黑体"/>
          <w:color w:val="000000"/>
          <w:sz w:val="72"/>
          <w:szCs w:val="72"/>
          <w:lang w:eastAsia="zh-CN"/>
        </w:rPr>
        <w:t>202</w:t>
      </w:r>
      <w:r>
        <w:rPr>
          <w:rFonts w:hint="eastAsia" w:ascii="黑体" w:hAnsi="黑体" w:eastAsia="黑体"/>
          <w:color w:val="000000"/>
          <w:sz w:val="72"/>
          <w:szCs w:val="72"/>
          <w:lang w:val="en-US" w:eastAsia="zh-CN"/>
        </w:rPr>
        <w:t>5</w:t>
      </w:r>
      <w:r>
        <w:rPr>
          <w:rFonts w:hint="eastAsia" w:ascii="黑体" w:hAnsi="黑体" w:eastAsia="黑体"/>
          <w:color w:val="000000"/>
          <w:sz w:val="72"/>
          <w:szCs w:val="72"/>
        </w:rPr>
        <w:t>年部门预算编制的说明</w:t>
      </w:r>
      <w:bookmarkEnd w:id="1"/>
    </w:p>
    <w:p w14:paraId="772E78D4">
      <w:pPr>
        <w:pStyle w:val="2"/>
      </w:pPr>
    </w:p>
    <w:p w14:paraId="0DE51C8D">
      <w:pPr>
        <w:rPr>
          <w:rFonts w:ascii="方正小标宋简体" w:hAnsi="宋体" w:eastAsia="方正小标宋简体"/>
          <w:sz w:val="36"/>
          <w:szCs w:val="36"/>
        </w:rPr>
      </w:pPr>
    </w:p>
    <w:p w14:paraId="075B93DE">
      <w:pPr>
        <w:pStyle w:val="2"/>
        <w:rPr>
          <w:rFonts w:ascii="方正小标宋简体" w:hAnsi="宋体" w:eastAsia="方正小标宋简体"/>
          <w:sz w:val="36"/>
          <w:szCs w:val="36"/>
        </w:rPr>
      </w:pPr>
    </w:p>
    <w:p w14:paraId="34855BC8">
      <w:pPr>
        <w:pStyle w:val="2"/>
        <w:rPr>
          <w:rFonts w:ascii="方正小标宋简体" w:hAnsi="宋体" w:eastAsia="方正小标宋简体"/>
          <w:sz w:val="36"/>
          <w:szCs w:val="36"/>
        </w:rPr>
      </w:pPr>
    </w:p>
    <w:p w14:paraId="48D2A8D2">
      <w:pPr>
        <w:rPr>
          <w:rFonts w:ascii="方正小标宋简体" w:hAnsi="宋体" w:eastAsia="方正小标宋简体"/>
          <w:sz w:val="36"/>
          <w:szCs w:val="36"/>
        </w:rPr>
      </w:pPr>
    </w:p>
    <w:p w14:paraId="6A4467AF">
      <w:pPr>
        <w:rPr>
          <w:rFonts w:ascii="方正小标宋简体" w:hAnsi="宋体" w:eastAsia="方正小标宋简体"/>
          <w:sz w:val="36"/>
          <w:szCs w:val="36"/>
        </w:rPr>
      </w:pPr>
    </w:p>
    <w:p w14:paraId="6D8DB880">
      <w:pPr>
        <w:rPr>
          <w:rFonts w:ascii="方正小标宋简体" w:hAnsi="宋体" w:eastAsia="方正小标宋简体"/>
          <w:sz w:val="36"/>
          <w:szCs w:val="36"/>
        </w:rPr>
      </w:pPr>
    </w:p>
    <w:p w14:paraId="23CF9BDF">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5AD5CFB9">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257A16CB">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p>
    <w:p w14:paraId="1EE1C453">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p>
    <w:p w14:paraId="6D23ACFE">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677A72D2">
      <w:pPr>
        <w:widowControl/>
        <w:jc w:val="center"/>
        <w:rPr>
          <w:rFonts w:ascii="黑体" w:hAnsi="黑体" w:eastAsia="黑体" w:cstheme="minorBidi"/>
          <w:sz w:val="28"/>
          <w:szCs w:val="28"/>
        </w:rPr>
      </w:pPr>
      <w:r>
        <w:rPr>
          <w:rFonts w:hint="eastAsia" w:ascii="黑体" w:hAnsi="黑体" w:eastAsia="黑体"/>
          <w:color w:val="000000"/>
          <w:sz w:val="48"/>
          <w:szCs w:val="48"/>
        </w:rPr>
        <w:t>目录</w:t>
      </w:r>
    </w:p>
    <w:p w14:paraId="4B921FE2"/>
    <w:sdt>
      <w:sdtPr>
        <w:rPr>
          <w:rFonts w:ascii="宋体" w:hAnsi="宋体" w:eastAsia="宋体" w:cstheme="minorBidi"/>
          <w:kern w:val="2"/>
          <w:sz w:val="21"/>
          <w:szCs w:val="24"/>
          <w:lang w:val="en-US" w:eastAsia="zh-CN" w:bidi="ar-SA"/>
        </w:rPr>
        <w:id w:val="147459675"/>
        <w15:color w:val="DBDBDB"/>
        <w:docPartObj>
          <w:docPartGallery w:val="Table of Contents"/>
          <w:docPartUnique/>
        </w:docPartObj>
      </w:sdtPr>
      <w:sdtContent>
        <w:p w14:paraId="2E156B9E">
          <w:pPr>
            <w:spacing w:before="0" w:beforeLines="0" w:after="0" w:afterLines="0" w:line="240" w:lineRule="auto"/>
            <w:ind w:left="0" w:leftChars="0" w:right="0" w:rightChars="0" w:firstLine="0" w:firstLineChars="0"/>
            <w:jc w:val="center"/>
          </w:pPr>
        </w:p>
        <w:p w14:paraId="627A6D74">
          <w:pPr>
            <w:pStyle w:val="5"/>
            <w:tabs>
              <w:tab w:val="right" w:leader="dot" w:pos="8306"/>
            </w:tabs>
            <w:rPr>
              <w:rFonts w:hint="eastAsia" w:ascii="方正仿宋_GB2312" w:hAnsi="方正仿宋_GB2312" w:eastAsia="方正仿宋_GB2312" w:cs="方正仿宋_GB2312"/>
              <w:sz w:val="32"/>
              <w:szCs w:val="32"/>
            </w:rPr>
          </w:pPr>
          <w:r>
            <w:fldChar w:fldCharType="begin"/>
          </w:r>
          <w:r>
            <w:instrText xml:space="preserve">TOC \o "1-3" \h \u </w:instrText>
          </w:r>
          <w:r>
            <w:fldChar w:fldCharType="separate"/>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_Toc29817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一、基本职能及主要工作</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_Toc29817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2</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2BBB3CE9">
          <w:pPr>
            <w:pStyle w:val="6"/>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_Toc5126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sz w:val="32"/>
              <w:szCs w:val="32"/>
              <w:lang w:eastAsia="zh-CN"/>
            </w:rPr>
            <w:t>（一）基本职能</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_Toc5126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2</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6CAFF22E">
          <w:pPr>
            <w:pStyle w:val="6"/>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_Toc12048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sz w:val="32"/>
              <w:szCs w:val="32"/>
              <w:lang w:eastAsia="zh-CN"/>
            </w:rPr>
            <w:t>（二）202</w:t>
          </w:r>
          <w:r>
            <w:rPr>
              <w:rFonts w:hint="eastAsia" w:ascii="方正仿宋_GB2312" w:hAnsi="方正仿宋_GB2312" w:eastAsia="方正仿宋_GB2312" w:cs="方正仿宋_GB2312"/>
              <w:bCs w:val="0"/>
              <w:sz w:val="32"/>
              <w:szCs w:val="32"/>
              <w:lang w:val="en-US" w:eastAsia="zh-CN"/>
            </w:rPr>
            <w:t>5</w:t>
          </w:r>
          <w:r>
            <w:rPr>
              <w:rFonts w:hint="eastAsia" w:ascii="方正仿宋_GB2312" w:hAnsi="方正仿宋_GB2312" w:eastAsia="方正仿宋_GB2312" w:cs="方正仿宋_GB2312"/>
              <w:bCs w:val="0"/>
              <w:sz w:val="32"/>
              <w:szCs w:val="32"/>
              <w:lang w:eastAsia="zh-CN"/>
            </w:rPr>
            <w:t>年重点工作任务</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_Toc12048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3</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0B141C4A">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_Toc6484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二、部门</w:t>
          </w:r>
          <w:r>
            <w:rPr>
              <w:rFonts w:hint="eastAsia" w:ascii="方正仿宋_GB2312" w:hAnsi="方正仿宋_GB2312" w:eastAsia="方正仿宋_GB2312" w:cs="方正仿宋_GB2312"/>
              <w:sz w:val="32"/>
              <w:szCs w:val="32"/>
              <w:lang w:eastAsia="zh-CN"/>
            </w:rPr>
            <w:t>预算单位构成</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_Toc6484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3</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0758845A">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_Toc28432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三、收支预算总体情况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_Toc28432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4</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722FF12F">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_Toc7214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四、 支出预算安排情况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_Toc7214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4</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7980D972">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_Toc1553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kern w:val="0"/>
              <w:sz w:val="32"/>
              <w:szCs w:val="32"/>
              <w:shd w:val="clear" w:color="auto" w:fill="FFFFFF"/>
              <w:lang w:val="en-US" w:eastAsia="zh-CN" w:bidi="ar"/>
            </w:rPr>
            <w:t>五、较上年度增减变化</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_Toc1553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5</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410D8FB6">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_Toc16418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kern w:val="0"/>
              <w:sz w:val="32"/>
              <w:szCs w:val="32"/>
              <w:shd w:val="clear" w:color="auto" w:fill="FFFFFF"/>
              <w:lang w:val="en-US" w:eastAsia="zh-CN" w:bidi="ar"/>
            </w:rPr>
            <w:t>六、“三公”经费预算</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_Toc16418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5</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65E98DCD">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_Toc2156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kern w:val="0"/>
              <w:sz w:val="32"/>
              <w:szCs w:val="32"/>
              <w:shd w:val="clear" w:color="auto" w:fill="FFFFFF"/>
              <w:lang w:val="en-US" w:eastAsia="zh-CN" w:bidi="ar"/>
            </w:rPr>
            <w:t>七、政府性基金预算收支情况说明</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_Toc2156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5</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00B0CB92">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_Toc29448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kern w:val="0"/>
              <w:sz w:val="32"/>
              <w:szCs w:val="32"/>
              <w:shd w:val="clear" w:color="auto" w:fill="FFFFFF"/>
              <w:lang w:val="en-US" w:eastAsia="zh-CN" w:bidi="ar"/>
            </w:rPr>
            <w:t>八、国有资本经营预算收支情况说明</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_Toc29448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5</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5C355D6C">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_Toc13304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kern w:val="0"/>
              <w:sz w:val="32"/>
              <w:szCs w:val="32"/>
              <w:shd w:val="clear" w:color="auto" w:fill="FFFFFF"/>
              <w:lang w:val="en-US" w:eastAsia="zh-CN" w:bidi="ar"/>
            </w:rPr>
            <w:t>九、其他重要事项的情况说明</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_Toc13304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6</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2BEA35B5">
          <w:pPr>
            <w:pStyle w:val="6"/>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_Toc19786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kern w:val="0"/>
              <w:sz w:val="32"/>
              <w:szCs w:val="32"/>
              <w:shd w:val="clear" w:color="auto" w:fill="FFFFFF"/>
              <w:lang w:val="en-US" w:eastAsia="zh-CN" w:bidi="ar"/>
            </w:rPr>
            <w:t>（一）政府采购预算情况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_Toc19786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6</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25080372">
          <w:pPr>
            <w:pStyle w:val="6"/>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_Toc4512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kern w:val="0"/>
              <w:sz w:val="32"/>
              <w:szCs w:val="32"/>
              <w:shd w:val="clear" w:color="auto" w:fill="FFFFFF"/>
              <w:lang w:val="en-US" w:eastAsia="zh-CN" w:bidi="ar"/>
            </w:rPr>
            <w:t>（二）政府财政国有资产占用情况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_Toc4512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6</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1EB3E9FE">
          <w:pPr>
            <w:pStyle w:val="6"/>
            <w:tabs>
              <w:tab w:val="right" w:leader="dot" w:pos="8306"/>
            </w:tabs>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_Toc26026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kern w:val="0"/>
              <w:sz w:val="32"/>
              <w:szCs w:val="32"/>
              <w:shd w:val="clear" w:color="auto" w:fill="FFFFFF"/>
              <w:lang w:val="en-US" w:eastAsia="zh-CN" w:bidi="ar"/>
            </w:rPr>
            <w:t>（三）绩效目标设置情况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_Toc26026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6</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1D09086B">
          <w:r>
            <w:fldChar w:fldCharType="end"/>
          </w:r>
        </w:p>
      </w:sdtContent>
    </w:sdt>
    <w:p w14:paraId="554ED8C2"/>
    <w:p w14:paraId="0C57ED0F"/>
    <w:p w14:paraId="14C2DDEB"/>
    <w:p w14:paraId="1BCA5E3C"/>
    <w:p w14:paraId="3FC7EE04"/>
    <w:p w14:paraId="284CA687"/>
    <w:p w14:paraId="4ECC2690"/>
    <w:p w14:paraId="12D4C0DE"/>
    <w:p w14:paraId="17F0E794"/>
    <w:p w14:paraId="3E11E7B8">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0BF28D3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2" w:name="_Toc29817"/>
      <w:r>
        <w:rPr>
          <w:rFonts w:hint="eastAsia" w:ascii="黑体" w:eastAsia="黑体"/>
          <w:sz w:val="32"/>
          <w:szCs w:val="32"/>
        </w:rPr>
        <w:t>一、基本职能及主要工作</w:t>
      </w:r>
      <w:bookmarkEnd w:id="2"/>
    </w:p>
    <w:p w14:paraId="1B83EDFC">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outlineLvl w:val="1"/>
        <w:rPr>
          <w:rFonts w:hint="eastAsia" w:ascii="楷体_GB2312" w:hAnsi="楷体_GB2312" w:eastAsia="楷体_GB2312" w:cs="楷体_GB2312"/>
          <w:b/>
          <w:bCs w:val="0"/>
          <w:sz w:val="32"/>
          <w:szCs w:val="32"/>
          <w:lang w:eastAsia="zh-CN"/>
        </w:rPr>
      </w:pPr>
      <w:bookmarkStart w:id="3" w:name="_Toc5126"/>
      <w:r>
        <w:rPr>
          <w:rFonts w:hint="eastAsia" w:ascii="楷体_GB2312" w:hAnsi="楷体_GB2312" w:eastAsia="楷体_GB2312" w:cs="楷体_GB2312"/>
          <w:b/>
          <w:bCs w:val="0"/>
          <w:sz w:val="32"/>
          <w:szCs w:val="32"/>
          <w:lang w:eastAsia="zh-CN"/>
        </w:rPr>
        <w:t>（一）基本职能</w:t>
      </w:r>
      <w:bookmarkEnd w:id="3"/>
    </w:p>
    <w:p w14:paraId="0784A60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6" w:beforeAutospacing="0" w:after="106" w:afterAutospacing="0" w:line="576" w:lineRule="exact"/>
        <w:ind w:left="0" w:right="0" w:firstLine="42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1.团结、服务、引导、教育非公有制经济人士爱国、敬业、诚信、守法、贡献，培养拥护党的领导、走中国特色社会主义道路的非公有制经济人士队伍。</w:t>
      </w:r>
    </w:p>
    <w:p w14:paraId="491E950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6" w:beforeAutospacing="0" w:after="106" w:afterAutospacing="0" w:line="576" w:lineRule="exact"/>
        <w:ind w:left="0" w:right="0" w:firstLine="42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2.做好非公有制经济人士政治安排的推荐工作。参与政治协商，发挥民主监督作用，积极参政议政。</w:t>
      </w:r>
    </w:p>
    <w:p w14:paraId="5F963FA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6" w:beforeAutospacing="0" w:after="106" w:afterAutospacing="0" w:line="576" w:lineRule="exact"/>
        <w:ind w:left="0" w:right="0" w:firstLine="42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3.参与政府相关的经济活动，广泛联系各地工商界人士，开展民间外交，推动经贸交流和协作，促进经济社会发展。</w:t>
      </w:r>
    </w:p>
    <w:p w14:paraId="7C06740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6" w:beforeAutospacing="0" w:after="106" w:afterAutospacing="0" w:line="576" w:lineRule="exact"/>
        <w:ind w:left="0" w:right="0" w:firstLine="42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4.参与协调劳动关系，促进和谐社会建设。</w:t>
      </w:r>
    </w:p>
    <w:p w14:paraId="5B7FE09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6" w:beforeAutospacing="0" w:after="106" w:afterAutospacing="0" w:line="576" w:lineRule="exact"/>
        <w:ind w:left="0" w:right="0" w:firstLine="42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5.指导本会直属商会工作，积极参与社会组织建设工作，促进行业协会商会改革发展。</w:t>
      </w:r>
    </w:p>
    <w:p w14:paraId="486E16E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6" w:beforeAutospacing="0" w:after="106" w:afterAutospacing="0" w:line="576" w:lineRule="exact"/>
        <w:ind w:left="0" w:right="0" w:firstLine="42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6.反映非公有制企业和非公有制经济人士利益诉求，维护其合法权益。 </w:t>
      </w:r>
    </w:p>
    <w:p w14:paraId="792E08C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6" w:beforeAutospacing="0" w:after="106" w:afterAutospacing="0" w:line="576" w:lineRule="exact"/>
        <w:ind w:left="0" w:right="0" w:firstLine="42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7.为会员提供政策信息、人才交流培训等服务。组织会员企业参加各类经贸活动，外出参观考察，帮助会员企业拓展市场。</w:t>
      </w:r>
    </w:p>
    <w:p w14:paraId="01B4B10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6" w:beforeAutospacing="0" w:after="106" w:afterAutospacing="0" w:line="576" w:lineRule="exact"/>
        <w:ind w:left="0" w:right="0" w:firstLine="42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8.配合有关部门开展非公有制会员企业党建工作。</w:t>
      </w:r>
    </w:p>
    <w:p w14:paraId="1803F7D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6" w:beforeAutospacing="0" w:after="106" w:afterAutospacing="0" w:line="576" w:lineRule="exact"/>
        <w:ind w:left="0" w:right="0" w:firstLine="42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9.积极引导非公有制企业及其非公有制经济人士承担社会责任，大力支持慈善公益事业发展，积极投身光彩事业。</w:t>
      </w:r>
    </w:p>
    <w:p w14:paraId="5DE4A77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6" w:beforeAutospacing="0" w:after="106" w:afterAutospacing="0" w:line="576" w:lineRule="exact"/>
        <w:ind w:left="0" w:right="0" w:firstLine="420"/>
        <w:textAlignment w:val="auto"/>
        <w:rPr>
          <w:rFonts w:hint="eastAsia" w:ascii="仿宋" w:hAnsi="仿宋" w:eastAsia="仿宋" w:cs="仿宋"/>
          <w:sz w:val="32"/>
          <w:szCs w:val="32"/>
        </w:rPr>
      </w:pPr>
      <w:r>
        <w:rPr>
          <w:rFonts w:hint="eastAsia" w:ascii="仿宋_GB2312" w:eastAsia="仿宋_GB2312" w:hAnsiTheme="minorHAnsi" w:cstheme="minorBidi"/>
          <w:kern w:val="2"/>
          <w:sz w:val="32"/>
          <w:szCs w:val="32"/>
          <w:lang w:val="en-US" w:eastAsia="zh-CN" w:bidi="ar-SA"/>
        </w:rPr>
        <w:t>10.承办县委、县政府和上级工商联交办的其他任务。</w:t>
      </w:r>
    </w:p>
    <w:p w14:paraId="71914801">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outlineLvl w:val="1"/>
        <w:rPr>
          <w:rFonts w:hint="eastAsia" w:ascii="楷体_GB2312" w:hAnsi="楷体_GB2312" w:eastAsia="楷体_GB2312" w:cs="楷体_GB2312"/>
          <w:b/>
          <w:bCs w:val="0"/>
          <w:sz w:val="32"/>
          <w:szCs w:val="32"/>
          <w:lang w:eastAsia="zh-CN"/>
        </w:rPr>
      </w:pPr>
      <w:bookmarkStart w:id="4" w:name="_Toc12048"/>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5</w:t>
      </w:r>
      <w:r>
        <w:rPr>
          <w:rFonts w:hint="eastAsia" w:ascii="楷体_GB2312" w:hAnsi="楷体_GB2312" w:eastAsia="楷体_GB2312" w:cs="楷体_GB2312"/>
          <w:b/>
          <w:bCs w:val="0"/>
          <w:sz w:val="32"/>
          <w:szCs w:val="32"/>
          <w:lang w:eastAsia="zh-CN"/>
        </w:rPr>
        <w:t>年重点工作任务</w:t>
      </w:r>
      <w:bookmarkEnd w:id="4"/>
    </w:p>
    <w:p w14:paraId="6DF523FE">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rPr>
        <w:t>做好会员发展工作。本着重点发展、入会自愿的原则，在实现会员量的扩大的同时，注重会员结构的调整和素质的提高，尽可能将我县发展前景好、诚信守法、维护公德、热心公益的非公企业吸收到县工商联（商会）组织中来；2.加强异地商会管理。健全和完善对异地商会的管理机制，充分发挥异地商会的作用；3.加强行业商会建设。对发展迅速，达到一定规模，前景广阔的行业和产业，牵头组建新的行业协会和行业商会，打造新的平台和载体；4.开展“万企帮万村”，做好社会扶贫工作，助推扶贫攻坚。</w:t>
      </w:r>
    </w:p>
    <w:p w14:paraId="696E52DD">
      <w:pPr>
        <w:keepNext w:val="0"/>
        <w:keepLines w:val="0"/>
        <w:pageBreakBefore w:val="0"/>
        <w:numPr>
          <w:ilvl w:val="0"/>
          <w:numId w:val="0"/>
        </w:numPr>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5" w:name="_Toc6484"/>
      <w:r>
        <w:rPr>
          <w:rFonts w:hint="eastAsia" w:ascii="黑体" w:eastAsia="黑体"/>
          <w:sz w:val="32"/>
          <w:szCs w:val="32"/>
        </w:rPr>
        <w:t>二、部门</w:t>
      </w:r>
      <w:r>
        <w:rPr>
          <w:rFonts w:hint="eastAsia" w:ascii="黑体" w:eastAsia="黑体"/>
          <w:sz w:val="32"/>
          <w:szCs w:val="32"/>
          <w:lang w:eastAsia="zh-CN"/>
        </w:rPr>
        <w:t>预算单位构成</w:t>
      </w:r>
      <w:bookmarkEnd w:id="5"/>
    </w:p>
    <w:p w14:paraId="7474C9FF">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val="en-US" w:eastAsia="zh-CN"/>
        </w:rPr>
        <w:t>红原县工商业联合会（商会）</w:t>
      </w:r>
      <w:r>
        <w:rPr>
          <w:rFonts w:hint="eastAsia"/>
          <w:sz w:val="32"/>
          <w:szCs w:val="32"/>
          <w:lang w:eastAsia="zh-CN"/>
        </w:rPr>
        <w:t>下设单位</w:t>
      </w:r>
      <w:r>
        <w:rPr>
          <w:rFonts w:hint="eastAsia"/>
          <w:sz w:val="32"/>
          <w:szCs w:val="32"/>
          <w:lang w:val="en-US" w:eastAsia="zh-CN"/>
        </w:rPr>
        <w:t>1</w:t>
      </w:r>
      <w:r>
        <w:rPr>
          <w:rFonts w:hint="eastAsia"/>
          <w:sz w:val="32"/>
          <w:szCs w:val="32"/>
        </w:rPr>
        <w:t>个，其中行政单位</w:t>
      </w:r>
      <w:r>
        <w:rPr>
          <w:rFonts w:hint="eastAsia"/>
          <w:sz w:val="32"/>
          <w:szCs w:val="32"/>
          <w:lang w:val="en-US" w:eastAsia="zh-CN"/>
        </w:rPr>
        <w:t>1</w:t>
      </w:r>
      <w:r>
        <w:rPr>
          <w:rFonts w:hint="eastAsia"/>
          <w:sz w:val="32"/>
          <w:szCs w:val="32"/>
        </w:rPr>
        <w:t>个，参照公务员法管理的事业单位</w:t>
      </w:r>
      <w:r>
        <w:rPr>
          <w:rFonts w:hint="eastAsia"/>
          <w:bCs/>
          <w:sz w:val="32"/>
          <w:szCs w:val="32"/>
          <w:lang w:val="en-US" w:eastAsia="zh-CN"/>
        </w:rPr>
        <w:t>0</w:t>
      </w:r>
      <w:r>
        <w:rPr>
          <w:rFonts w:hint="eastAsia"/>
          <w:sz w:val="32"/>
          <w:szCs w:val="32"/>
        </w:rPr>
        <w:t>个，其他事业单位</w:t>
      </w:r>
      <w:r>
        <w:rPr>
          <w:rFonts w:hint="eastAsia"/>
          <w:sz w:val="32"/>
          <w:szCs w:val="32"/>
          <w:lang w:val="en-US" w:eastAsia="zh-CN"/>
        </w:rPr>
        <w:t>0</w:t>
      </w:r>
      <w:r>
        <w:rPr>
          <w:rFonts w:hint="eastAsia"/>
          <w:sz w:val="32"/>
          <w:szCs w:val="32"/>
        </w:rPr>
        <w:t>个</w:t>
      </w:r>
      <w:r>
        <w:rPr>
          <w:rFonts w:hint="eastAsia"/>
          <w:sz w:val="32"/>
          <w:szCs w:val="32"/>
          <w:lang w:eastAsia="zh-CN"/>
        </w:rPr>
        <w:t>。</w:t>
      </w:r>
    </w:p>
    <w:p w14:paraId="3429782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6" w:name="_Toc28432"/>
      <w:r>
        <w:rPr>
          <w:rFonts w:hint="eastAsia" w:ascii="黑体" w:eastAsia="黑体"/>
          <w:sz w:val="32"/>
          <w:szCs w:val="32"/>
        </w:rPr>
        <w:t>三、收支预算总体情况</w:t>
      </w:r>
      <w:bookmarkEnd w:id="6"/>
    </w:p>
    <w:p w14:paraId="3DAE400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w:t>
      </w:r>
      <w:r>
        <w:rPr>
          <w:rFonts w:hint="eastAsia" w:ascii="仿宋_GB2312" w:eastAsia="仿宋_GB2312"/>
          <w:sz w:val="32"/>
          <w:szCs w:val="32"/>
          <w:lang w:val="en-US" w:eastAsia="zh-CN"/>
        </w:rPr>
        <w:t>红原县工商业联合会（商会）</w:t>
      </w:r>
      <w:r>
        <w:rPr>
          <w:rFonts w:hint="eastAsia" w:ascii="仿宋_GB2312" w:eastAsia="仿宋_GB2312"/>
          <w:sz w:val="32"/>
          <w:szCs w:val="32"/>
        </w:rPr>
        <w:t>收入预算总额为140.58万元，其中：当年财政拨款收入140.58万元。相应安排支出预算140.58万元，其中：一般公共服务104.8万元，社会保障和就业18.65万元，医疗卫生6.99万元，住房保障支出10.15万元。</w:t>
      </w:r>
    </w:p>
    <w:p w14:paraId="09782B18">
      <w:pPr>
        <w:keepNext w:val="0"/>
        <w:keepLines w:val="0"/>
        <w:pageBreakBefore w:val="0"/>
        <w:numPr>
          <w:ilvl w:val="0"/>
          <w:numId w:val="2"/>
        </w:numPr>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7" w:name="_Toc7214"/>
      <w:r>
        <w:rPr>
          <w:rFonts w:hint="eastAsia" w:ascii="黑体" w:eastAsia="黑体"/>
          <w:sz w:val="32"/>
          <w:szCs w:val="32"/>
        </w:rPr>
        <w:t>支出预算安排情况</w:t>
      </w:r>
      <w:bookmarkEnd w:id="7"/>
    </w:p>
    <w:p w14:paraId="0D3ABBA1">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红原县工商业联合会（商会）</w:t>
      </w:r>
      <w:r>
        <w:rPr>
          <w:rFonts w:hint="eastAsia" w:ascii="仿宋_GB2312" w:eastAsia="仿宋_GB2312"/>
          <w:sz w:val="32"/>
          <w:szCs w:val="32"/>
        </w:rPr>
        <w:t xml:space="preserve">预算安排支出主要用于保障该部门机构正常运转、完成日常工作任务以及承担事业发展相关工作。  </w:t>
      </w:r>
    </w:p>
    <w:p w14:paraId="625DB498">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基本支出135.58</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rPr>
        <w:t>123.73</w:t>
      </w:r>
      <w:r>
        <w:rPr>
          <w:rFonts w:hint="eastAsia" w:ascii="仿宋_GB2312" w:eastAsia="仿宋_GB2312"/>
          <w:sz w:val="32"/>
          <w:szCs w:val="32"/>
          <w:lang w:val="en-US" w:eastAsia="zh-CN"/>
        </w:rPr>
        <w:t>万元，机关运行经费</w:t>
      </w:r>
      <w:r>
        <w:rPr>
          <w:rFonts w:hint="eastAsia" w:ascii="仿宋_GB2312" w:eastAsia="仿宋_GB2312"/>
          <w:sz w:val="32"/>
          <w:szCs w:val="32"/>
        </w:rPr>
        <w:t>11.85</w:t>
      </w:r>
      <w:r>
        <w:rPr>
          <w:rFonts w:hint="eastAsia" w:ascii="仿宋_GB2312" w:eastAsia="仿宋_GB2312"/>
          <w:sz w:val="32"/>
          <w:szCs w:val="32"/>
          <w:lang w:val="en-US" w:eastAsia="zh-CN"/>
        </w:rPr>
        <w:t>万元，其中：办公费1万元，水费0.08万元，电费0.10万元，邮电费0.06万元，差旅费0.36万元，委托业务费3.18万元，工会经费0.93万元，福利费2.28万元，公务用车运行维护费2.62万元，</w:t>
      </w:r>
      <w:r>
        <w:rPr>
          <w:rFonts w:hint="eastAsia" w:ascii="仿宋_GB2312" w:eastAsia="仿宋_GB2312"/>
          <w:sz w:val="32"/>
          <w:szCs w:val="32"/>
        </w:rPr>
        <w:t>其他商品和服务支出</w:t>
      </w:r>
      <w:r>
        <w:rPr>
          <w:rFonts w:hint="eastAsia" w:ascii="仿宋_GB2312" w:eastAsia="仿宋_GB2312"/>
          <w:sz w:val="32"/>
          <w:szCs w:val="32"/>
          <w:lang w:val="en-US" w:eastAsia="zh-CN"/>
        </w:rPr>
        <w:t>1.24万元。</w:t>
      </w:r>
    </w:p>
    <w:p w14:paraId="34A31E7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2B45396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104.8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6E350BA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18.65</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6D475D6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6.99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038766B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10.15</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3BF89A0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firstLineChars="0"/>
        <w:jc w:val="left"/>
        <w:textAlignment w:val="auto"/>
        <w:outlineLvl w:val="0"/>
        <w:rPr>
          <w:rFonts w:hint="eastAsia" w:ascii="黑体" w:hAnsi="黑体" w:eastAsia="黑体" w:cs="黑体"/>
          <w:sz w:val="32"/>
          <w:szCs w:val="32"/>
        </w:rPr>
      </w:pPr>
      <w:bookmarkStart w:id="8" w:name="_Toc1553"/>
      <w:r>
        <w:rPr>
          <w:rFonts w:hint="eastAsia" w:ascii="黑体" w:hAnsi="黑体" w:eastAsia="黑体" w:cs="黑体"/>
          <w:color w:val="333333"/>
          <w:kern w:val="0"/>
          <w:sz w:val="32"/>
          <w:szCs w:val="32"/>
          <w:shd w:val="clear" w:color="auto" w:fill="FFFFFF"/>
          <w:lang w:val="en-US" w:eastAsia="zh-CN" w:bidi="ar"/>
        </w:rPr>
        <w:t>五、较上年度增减变化</w:t>
      </w:r>
      <w:bookmarkEnd w:id="8"/>
    </w:p>
    <w:p w14:paraId="71C37A1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w:t>
      </w:r>
      <w:r>
        <w:rPr>
          <w:rFonts w:hint="eastAsia" w:ascii="仿宋_GB2312" w:eastAsia="仿宋_GB2312"/>
          <w:sz w:val="32"/>
          <w:szCs w:val="32"/>
        </w:rPr>
        <w:t>140.58</w:t>
      </w:r>
      <w:r>
        <w:rPr>
          <w:rFonts w:hint="eastAsia" w:ascii="仿宋_GB2312" w:eastAsia="仿宋_GB2312"/>
          <w:sz w:val="32"/>
          <w:szCs w:val="32"/>
          <w:lang w:val="en-US" w:eastAsia="zh-CN"/>
        </w:rPr>
        <w:t>万元较上年度预算</w:t>
      </w:r>
      <w:r>
        <w:rPr>
          <w:rFonts w:hint="eastAsia" w:ascii="仿宋_GB2312" w:eastAsia="仿宋_GB2312"/>
          <w:sz w:val="32"/>
          <w:szCs w:val="32"/>
        </w:rPr>
        <w:t>156.91</w:t>
      </w:r>
      <w:r>
        <w:rPr>
          <w:rFonts w:hint="eastAsia" w:ascii="仿宋_GB2312" w:eastAsia="仿宋_GB2312"/>
          <w:sz w:val="32"/>
          <w:szCs w:val="32"/>
          <w:lang w:val="en-US" w:eastAsia="zh-CN"/>
        </w:rPr>
        <w:t>万元减少了10.41%，其中基本行政运行经费预算</w:t>
      </w:r>
      <w:r>
        <w:rPr>
          <w:rFonts w:hint="eastAsia" w:ascii="仿宋_GB2312" w:eastAsia="仿宋_GB2312"/>
          <w:sz w:val="32"/>
          <w:szCs w:val="32"/>
        </w:rPr>
        <w:t>135.58</w:t>
      </w:r>
      <w:r>
        <w:rPr>
          <w:rFonts w:hint="eastAsia" w:ascii="仿宋_GB2312" w:eastAsia="仿宋_GB2312"/>
          <w:sz w:val="32"/>
          <w:szCs w:val="32"/>
          <w:lang w:val="en-US" w:eastAsia="zh-CN"/>
        </w:rPr>
        <w:t>万元，占全部总预算的96.44%，较上年</w:t>
      </w:r>
      <w:r>
        <w:rPr>
          <w:rFonts w:hint="eastAsia" w:ascii="仿宋_GB2312" w:eastAsia="仿宋_GB2312"/>
          <w:sz w:val="32"/>
          <w:szCs w:val="32"/>
        </w:rPr>
        <w:t>151.91</w:t>
      </w:r>
      <w:r>
        <w:rPr>
          <w:rFonts w:hint="eastAsia" w:ascii="仿宋_GB2312" w:eastAsia="仿宋_GB2312"/>
          <w:sz w:val="32"/>
          <w:szCs w:val="32"/>
          <w:lang w:val="en-US" w:eastAsia="zh-CN"/>
        </w:rPr>
        <w:t xml:space="preserve">万元减少了10.75%，原因为压缩各项开支，减少基本支出；专项5万元减少了0%，主要原因为缩减了项目经费开支，减少相关支出。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14:paraId="18CA80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firstLineChars="0"/>
        <w:jc w:val="left"/>
        <w:textAlignment w:val="auto"/>
        <w:outlineLvl w:val="0"/>
        <w:rPr>
          <w:rFonts w:hint="eastAsia" w:ascii="黑体" w:hAnsi="黑体" w:eastAsia="黑体" w:cs="黑体"/>
          <w:color w:val="333333"/>
          <w:kern w:val="0"/>
          <w:sz w:val="32"/>
          <w:szCs w:val="32"/>
          <w:shd w:val="clear" w:color="auto" w:fill="FFFFFF"/>
          <w:lang w:val="en-US" w:eastAsia="zh-CN" w:bidi="ar"/>
        </w:rPr>
      </w:pPr>
      <w:bookmarkStart w:id="9" w:name="_Toc16418"/>
      <w:r>
        <w:rPr>
          <w:rFonts w:hint="eastAsia" w:ascii="黑体" w:hAnsi="黑体" w:eastAsia="黑体" w:cs="黑体"/>
          <w:color w:val="333333"/>
          <w:kern w:val="0"/>
          <w:sz w:val="32"/>
          <w:szCs w:val="32"/>
          <w:shd w:val="clear" w:color="auto" w:fill="FFFFFF"/>
          <w:lang w:val="en-US" w:eastAsia="zh-CN" w:bidi="ar"/>
        </w:rPr>
        <w:t>六、“三公”经费预算</w:t>
      </w:r>
      <w:bookmarkEnd w:id="9"/>
    </w:p>
    <w:p w14:paraId="5A41DDF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2.62万元，其中：出国费00元，与上年持平；公务用车维护费支出2.62万元，较上年度预算3.62万元略有减少，主要原因严格执行“八项规定、六项禁令”；二是将有关股室的工作有机地结合起来，减少不必要的资源浪费。较上年度预算减少1万元，主要是安排的下乡出差工作用车较多；公务接待费0万元，较上年度预算持平，主要原因为本年度我们将严格执行“八项规定、六项禁令”，结合本年度工作需要，减少不必 要的开支。</w:t>
      </w:r>
    </w:p>
    <w:p w14:paraId="4B8D81F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firstLineChars="0"/>
        <w:jc w:val="left"/>
        <w:textAlignment w:val="auto"/>
        <w:outlineLvl w:val="0"/>
        <w:rPr>
          <w:rFonts w:hint="eastAsia" w:ascii="黑体" w:hAnsi="黑体" w:eastAsia="黑体" w:cs="黑体"/>
          <w:color w:val="333333"/>
          <w:kern w:val="0"/>
          <w:sz w:val="32"/>
          <w:szCs w:val="32"/>
          <w:shd w:val="clear" w:color="auto" w:fill="FFFFFF"/>
          <w:lang w:val="en-US" w:eastAsia="zh-CN" w:bidi="ar"/>
        </w:rPr>
      </w:pPr>
      <w:bookmarkStart w:id="10" w:name="_Toc2156"/>
      <w:r>
        <w:rPr>
          <w:rFonts w:hint="eastAsia" w:ascii="黑体" w:hAnsi="黑体" w:eastAsia="黑体" w:cs="黑体"/>
          <w:color w:val="333333"/>
          <w:kern w:val="0"/>
          <w:sz w:val="32"/>
          <w:szCs w:val="32"/>
          <w:shd w:val="clear" w:color="auto" w:fill="FFFFFF"/>
          <w:lang w:val="en-US" w:eastAsia="zh-CN" w:bidi="ar"/>
        </w:rPr>
        <w:t>七、政府性基金预算收支情况说明</w:t>
      </w:r>
      <w:bookmarkEnd w:id="10"/>
    </w:p>
    <w:p w14:paraId="5A82A39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2025年无使用政府性基金预算拨款安排的支出</w:t>
      </w:r>
      <w:r>
        <w:rPr>
          <w:rFonts w:hint="eastAsia" w:ascii="仿宋_GB2312" w:eastAsia="仿宋_GB2312"/>
          <w:sz w:val="32"/>
          <w:szCs w:val="32"/>
        </w:rPr>
        <w:t>。</w:t>
      </w:r>
    </w:p>
    <w:p w14:paraId="2E4156E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firstLine="0" w:firstLineChars="0"/>
        <w:jc w:val="left"/>
        <w:textAlignment w:val="auto"/>
        <w:outlineLvl w:val="0"/>
        <w:rPr>
          <w:rFonts w:hint="eastAsia" w:ascii="黑体" w:hAnsi="黑体" w:eastAsia="黑体" w:cs="黑体"/>
          <w:color w:val="333333"/>
          <w:kern w:val="0"/>
          <w:sz w:val="32"/>
          <w:szCs w:val="32"/>
          <w:shd w:val="clear" w:color="auto" w:fill="FFFFFF"/>
          <w:lang w:val="en-US" w:eastAsia="zh-CN" w:bidi="ar"/>
        </w:rPr>
      </w:pPr>
      <w:bookmarkStart w:id="11" w:name="_Toc29448"/>
      <w:r>
        <w:rPr>
          <w:rFonts w:hint="eastAsia" w:ascii="黑体" w:hAnsi="黑体" w:eastAsia="黑体" w:cs="黑体"/>
          <w:color w:val="333333"/>
          <w:kern w:val="0"/>
          <w:sz w:val="32"/>
          <w:szCs w:val="32"/>
          <w:shd w:val="clear" w:color="auto" w:fill="FFFFFF"/>
          <w:lang w:val="en-US" w:eastAsia="zh-CN" w:bidi="ar"/>
        </w:rPr>
        <w:t>八、国有资本经营预算收支情况说明</w:t>
      </w:r>
      <w:bookmarkEnd w:id="11"/>
    </w:p>
    <w:p w14:paraId="33E955E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2025年无使用国有资本经营预算拨款安排的支出。</w:t>
      </w:r>
    </w:p>
    <w:p w14:paraId="325DB8F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firstLine="0" w:firstLineChars="0"/>
        <w:jc w:val="left"/>
        <w:textAlignment w:val="auto"/>
        <w:outlineLvl w:val="0"/>
        <w:rPr>
          <w:rFonts w:hint="eastAsia" w:ascii="黑体" w:hAnsi="黑体" w:eastAsia="黑体" w:cs="黑体"/>
          <w:color w:val="333333"/>
          <w:kern w:val="0"/>
          <w:sz w:val="32"/>
          <w:szCs w:val="32"/>
          <w:shd w:val="clear" w:color="auto" w:fill="FFFFFF"/>
          <w:lang w:val="en-US" w:eastAsia="zh-CN" w:bidi="ar"/>
        </w:rPr>
      </w:pPr>
      <w:bookmarkStart w:id="12" w:name="_Toc13304"/>
      <w:r>
        <w:rPr>
          <w:rFonts w:hint="eastAsia" w:ascii="黑体" w:hAnsi="黑体" w:eastAsia="黑体" w:cs="黑体"/>
          <w:color w:val="333333"/>
          <w:kern w:val="0"/>
          <w:sz w:val="32"/>
          <w:szCs w:val="32"/>
          <w:shd w:val="clear" w:color="auto" w:fill="FFFFFF"/>
          <w:lang w:val="en-US" w:eastAsia="zh-CN" w:bidi="ar"/>
        </w:rPr>
        <w:t>九、其他重要事项的情况说明</w:t>
      </w:r>
      <w:bookmarkEnd w:id="12"/>
    </w:p>
    <w:p w14:paraId="50D4C3B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firstLineChars="0"/>
        <w:jc w:val="left"/>
        <w:textAlignment w:val="auto"/>
        <w:outlineLvl w:val="1"/>
        <w:rPr>
          <w:rFonts w:hint="eastAsia" w:ascii="黑体" w:hAnsi="黑体" w:eastAsia="黑体" w:cs="黑体"/>
          <w:color w:val="333333"/>
          <w:kern w:val="0"/>
          <w:sz w:val="32"/>
          <w:szCs w:val="32"/>
          <w:shd w:val="clear" w:color="auto" w:fill="FFFFFF"/>
          <w:lang w:val="en-US" w:eastAsia="zh-CN" w:bidi="ar"/>
        </w:rPr>
      </w:pPr>
      <w:bookmarkStart w:id="13" w:name="_Toc19786"/>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bookmarkEnd w:id="13"/>
      <w:r>
        <w:rPr>
          <w:rFonts w:hint="eastAsia" w:ascii="黑体" w:hAnsi="黑体" w:eastAsia="黑体" w:cs="黑体"/>
          <w:color w:val="333333"/>
          <w:kern w:val="0"/>
          <w:sz w:val="32"/>
          <w:szCs w:val="32"/>
          <w:shd w:val="clear" w:color="auto" w:fill="FFFFFF"/>
          <w:lang w:val="en-US" w:eastAsia="zh-CN" w:bidi="ar"/>
        </w:rPr>
        <w:t xml:space="preserve"> </w:t>
      </w:r>
    </w:p>
    <w:p w14:paraId="49FD3FC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2025年度安排政府采购预算0万元。</w:t>
      </w:r>
    </w:p>
    <w:p w14:paraId="45DED0A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firstLine="0" w:firstLineChars="0"/>
        <w:jc w:val="left"/>
        <w:textAlignment w:val="auto"/>
        <w:outlineLvl w:val="1"/>
      </w:pPr>
      <w:bookmarkStart w:id="14" w:name="_Toc4512"/>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bookmarkEnd w:id="14"/>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145A2C7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6" w:beforeAutospacing="0" w:after="106" w:afterAutospacing="0" w:line="576" w:lineRule="exact"/>
        <w:ind w:left="0" w:right="0" w:firstLine="42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截止2024年底，</w:t>
      </w:r>
      <w:r>
        <w:rPr>
          <w:rFonts w:hint="eastAsia" w:ascii="仿宋" w:hAnsi="仿宋" w:eastAsia="仿宋" w:cs="仿宋"/>
          <w:i w:val="0"/>
          <w:iCs w:val="0"/>
          <w:caps w:val="0"/>
          <w:color w:val="333333"/>
          <w:spacing w:val="0"/>
          <w:sz w:val="32"/>
          <w:szCs w:val="32"/>
        </w:rPr>
        <w:t>实际共有固定资产价值0.71万元：其中：公务用车0.5万元；业务用房0万元；其他固定资产0.21万元。</w:t>
      </w:r>
    </w:p>
    <w:p w14:paraId="5182011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firstLine="0" w:firstLineChars="0"/>
        <w:jc w:val="left"/>
        <w:textAlignment w:val="auto"/>
        <w:outlineLvl w:val="1"/>
        <w:rPr>
          <w:rFonts w:hint="eastAsia" w:ascii="楷体_GB2312" w:hAnsi="楷体_GB2312" w:eastAsia="楷体_GB2312" w:cs="楷体_GB2312"/>
          <w:b/>
          <w:bCs/>
          <w:color w:val="333333"/>
          <w:kern w:val="0"/>
          <w:sz w:val="32"/>
          <w:szCs w:val="32"/>
          <w:shd w:val="clear" w:color="auto" w:fill="FFFFFF"/>
          <w:lang w:val="en-US" w:eastAsia="zh-CN" w:bidi="ar"/>
        </w:rPr>
      </w:pPr>
      <w:bookmarkStart w:id="15" w:name="_Toc26026"/>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bookmarkEnd w:id="15"/>
    </w:p>
    <w:p w14:paraId="7233F61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w:t>
      </w:r>
    </w:p>
    <w:p w14:paraId="7E748968">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3B18D78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7F9858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3590FA3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604840F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6160A28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782B4F0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0DA7A11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21DEAD4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0831F7C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64B745B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08A9B69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1F458EF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454CEC3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3AB7AAA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5D509F8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14:paraId="7FC3E23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B90B539-56AC-418B-BD08-91C63130C23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6CB6B70-02D3-4268-AF20-5DCA3C342E4C}"/>
  </w:font>
  <w:font w:name="仿宋_GB2312">
    <w:altName w:val="仿宋"/>
    <w:panose1 w:val="02010609030101010101"/>
    <w:charset w:val="86"/>
    <w:family w:val="modern"/>
    <w:pitch w:val="default"/>
    <w:sig w:usb0="00000000" w:usb1="00000000" w:usb2="00000000" w:usb3="00000000" w:csb0="00040000" w:csb1="00000000"/>
    <w:embedRegular r:id="rId3" w:fontKey="{EB59FD80-874C-4B05-8793-080D55011FBF}"/>
  </w:font>
  <w:font w:name="仿宋">
    <w:panose1 w:val="02010609060101010101"/>
    <w:charset w:val="86"/>
    <w:family w:val="auto"/>
    <w:pitch w:val="default"/>
    <w:sig w:usb0="800002BF" w:usb1="38CF7CFA" w:usb2="00000016" w:usb3="00000000" w:csb0="00040001" w:csb1="00000000"/>
    <w:embedRegular r:id="rId4" w:fontKey="{15D089EC-9A5D-4C35-975C-81BC60D1BE9F}"/>
  </w:font>
  <w:font w:name="方正小标宋简体">
    <w:panose1 w:val="02000000000000000000"/>
    <w:charset w:val="86"/>
    <w:family w:val="auto"/>
    <w:pitch w:val="default"/>
    <w:sig w:usb0="00000001" w:usb1="08000000" w:usb2="00000000" w:usb3="00000000" w:csb0="00040000" w:csb1="00000000"/>
    <w:embedRegular r:id="rId5" w:fontKey="{9D0CE762-FEA6-4F96-8571-594B6D3E2C42}"/>
  </w:font>
  <w:font w:name="楷体_GB2312">
    <w:altName w:val="楷体"/>
    <w:panose1 w:val="02010609030101010101"/>
    <w:charset w:val="86"/>
    <w:family w:val="auto"/>
    <w:pitch w:val="default"/>
    <w:sig w:usb0="00000000" w:usb1="00000000" w:usb2="00000000" w:usb3="00000000" w:csb0="00040000" w:csb1="00000000"/>
    <w:embedRegular r:id="rId6" w:fontKey="{DF816A08-6416-460D-BEB5-552377DC2E5F}"/>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embedRegular r:id="rId7" w:fontKey="{FD4A7DD0-A0A6-4732-BDB5-054B33C31CE7}"/>
  </w:font>
  <w:font w:name="Tahoma">
    <w:panose1 w:val="020B0604030504040204"/>
    <w:charset w:val="00"/>
    <w:family w:val="auto"/>
    <w:pitch w:val="default"/>
    <w:sig w:usb0="E1002EFF" w:usb1="C000605B" w:usb2="00000029" w:usb3="00000000" w:csb0="200101FF" w:csb1="20280000"/>
  </w:font>
  <w:font w:name="方正仿宋_GB2312">
    <w:panose1 w:val="02000000000000000000"/>
    <w:charset w:val="86"/>
    <w:family w:val="auto"/>
    <w:pitch w:val="default"/>
    <w:sig w:usb0="A00002BF" w:usb1="184F6CFA" w:usb2="00000012" w:usb3="00000000" w:csb0="00040001" w:csb1="00000000"/>
    <w:embedRegular r:id="rId8" w:fontKey="{5FFAC5FA-29B0-4565-85A2-27A33047107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abstractNum w:abstractNumId="1">
    <w:nsid w:val="7B45EED5"/>
    <w:multiLevelType w:val="singleLevel"/>
    <w:tmpl w:val="7B45EED5"/>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15F7605E"/>
    <w:rsid w:val="19C1402F"/>
    <w:rsid w:val="5F78432A"/>
    <w:rsid w:val="71CE10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widowControl w:val="0"/>
      <w:spacing w:before="0" w:beforeAutospacing="0" w:after="120" w:afterAutospacing="0"/>
      <w:ind w:left="420" w:leftChars="200" w:right="0" w:firstLine="420" w:firstLineChars="200"/>
      <w:jc w:val="both"/>
    </w:pPr>
    <w:rPr>
      <w:rFonts w:hint="eastAsia" w:ascii="Times New Roman" w:hAnsi="Times New Roman" w:eastAsia="宋体" w:cs="Times New Roman"/>
      <w:kern w:val="2"/>
      <w:sz w:val="21"/>
      <w:szCs w:val="24"/>
      <w:lang w:val="en-US" w:eastAsia="zh-CN" w:bidi="ar-SA"/>
    </w:rPr>
  </w:style>
  <w:style w:type="paragraph" w:styleId="3">
    <w:name w:val="Body Text Indent"/>
    <w:basedOn w:val="1"/>
    <w:next w:val="2"/>
    <w:qFormat/>
    <w:uiPriority w:val="0"/>
    <w:pPr>
      <w:spacing w:line="560" w:lineRule="atLeast"/>
      <w:ind w:firstLine="200" w:firstLineChars="200"/>
    </w:pPr>
    <w:rPr>
      <w:rFonts w:ascii="Times New Roman" w:hAnsi="Times New Roman" w:eastAsia="仿宋_GB2312"/>
      <w:sz w:val="32"/>
      <w:szCs w:val="20"/>
    </w:rPr>
  </w:style>
  <w:style w:type="paragraph" w:styleId="4">
    <w:name w:val="Body Text"/>
    <w:basedOn w:val="1"/>
    <w:uiPriority w:val="0"/>
    <w:pPr>
      <w:spacing w:before="93" w:beforeLines="30"/>
    </w:pPr>
    <w:rPr>
      <w:rFonts w:ascii="仿宋_GB2312" w:eastAsia="仿宋_GB2312"/>
      <w:sz w:val="30"/>
    </w:rPr>
  </w:style>
  <w:style w:type="paragraph" w:styleId="5">
    <w:name w:val="toc 1"/>
    <w:basedOn w:val="1"/>
    <w:next w:val="1"/>
    <w:uiPriority w:val="0"/>
  </w:style>
  <w:style w:type="paragraph" w:styleId="6">
    <w:name w:val="toc 2"/>
    <w:basedOn w:val="1"/>
    <w:next w:val="1"/>
    <w:uiPriority w:val="0"/>
    <w:pPr>
      <w:ind w:left="420" w:leftChars="200"/>
    </w:p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0">
    <w:name w:val="WPSOffice手动目录 1"/>
    <w:qFormat/>
    <w:uiPriority w:val="0"/>
    <w:pPr>
      <w:ind w:leftChars="0"/>
    </w:pPr>
    <w:rPr>
      <w:rFonts w:ascii="Times New Roman" w:hAnsi="Times New Roman" w:eastAsia="宋体" w:cs="Times New Roman"/>
      <w:sz w:val="20"/>
      <w:szCs w:val="20"/>
    </w:rPr>
  </w:style>
  <w:style w:type="paragraph" w:customStyle="1" w:styleId="11">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2691</Words>
  <Characters>2906</Characters>
  <Lines>0</Lines>
  <Paragraphs>0</Paragraphs>
  <TotalTime>2</TotalTime>
  <ScaleCrop>false</ScaleCrop>
  <LinksUpToDate>false</LinksUpToDate>
  <CharactersWithSpaces>2984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碟碗丽免费招代理</cp:lastModifiedBy>
  <dcterms:modified xsi:type="dcterms:W3CDTF">2025-05-29T02:12:50Z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F8E3EE6F6F494ABBBA00F020D3FBC50C</vt:lpwstr>
  </property>
  <property fmtid="{D5CDD505-2E9C-101B-9397-08002B2CF9AE}" pid="4" name="KSOTemplateDocerSaveRecord">
    <vt:lpwstr>eyJoZGlkIjoiZTBkMTc3MmM3NTJjMDVmNjg0YzA5ZmU5MjUwZWQzOTMiLCJ1c2VySWQiOiIxMDU3MjA5MjY3In0=</vt:lpwstr>
  </property>
</Properties>
</file>