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44"/>
          <w:szCs w:val="44"/>
        </w:rPr>
      </w:pPr>
      <w:r>
        <w:rPr>
          <w:rFonts w:hint="eastAsia" w:ascii="黑体" w:hAnsi="黑体" w:eastAsia="黑体" w:cs="黑体"/>
          <w:b/>
          <w:bCs/>
          <w:sz w:val="44"/>
          <w:szCs w:val="44"/>
        </w:rPr>
        <w:t>红原县工商业联合会</w:t>
      </w:r>
    </w:p>
    <w:p>
      <w:pPr>
        <w:jc w:val="center"/>
        <w:rPr>
          <w:rFonts w:hint="eastAsia" w:ascii="黑体" w:hAnsi="黑体" w:eastAsia="黑体" w:cs="黑体"/>
          <w:b/>
          <w:bCs/>
          <w:sz w:val="44"/>
          <w:szCs w:val="44"/>
        </w:rPr>
      </w:pPr>
      <w:r>
        <w:rPr>
          <w:rFonts w:hint="eastAsia" w:ascii="黑体" w:hAnsi="黑体" w:eastAsia="黑体" w:cs="黑体"/>
          <w:b/>
          <w:bCs/>
          <w:sz w:val="44"/>
          <w:szCs w:val="44"/>
        </w:rPr>
        <w:t>关于2023年部门预算编制的说明</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（一）基本职能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1.团结、服务、引导、教育非公有制经济人士爱国、敬业、诚信、守法、贡献，培养拥护党的领导、走中国特色社会主义道路的非公有制经济人士队伍。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2.做好非公有制经济代表人士政治安排的推荐工作。参与政治协商，发挥民主监督作用，积极参政议政。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3.参与政府相关的经济活动，广泛联系各地工商界人士，开展民间外交，推动经贸交流和协作，促进经济社会发展。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4.参与协调劳动关系，促进和谐社会建设。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5.指导本会直属商会工作，积极参与社会组织建设工作，促进行业协会商会改革发展。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6.反映非公有制企业和非公有制经济人士利益诉求，维护其合法权益。 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7.为会员提供政策信息、人才交流培训等服务。组织会员企业参加各类经贸活动，外出参观考察，帮助会员企业拓展市场。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8.配合有关部门开展非公有制会员企业党建工作。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9.积极引导非公有制企业及其非公有制经济人士承担社会责任，大力支持慈善公益事业发展，积极投身光彩事业。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10.承办县委、县政府和上级工商联交办的其它任务。</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（二）2023年重点工作任务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做好会员发展工作。本着重点发展、入会自愿的原则，在实现会员量的扩大的同时，注重会员结构的调整和素质的提高，尽可能将我县发展前景好、诚信守法、维护公德、热心公益的非公企业吸收到县工商联（商会）组织中来；</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2.加强异地商会管理。健全和完善对异地商会的管理机制，充分发挥异地商会的作用；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3.加强行业商会建设。对发展迅速，达到一定规模，前景广阔的行业和产业，牵头组建新的行业协会和行业商会，打造新的平台和载体；</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4.开展“万企帮万村”，做好社会扶贫工作，助推扶贫攻坚。</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红原县工商联下设单位（股室）1个，其中行政单位1个，参照公务员法管理的事业单位0个，其他事业单位0个。</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三、收支预算总体情况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2023年工商联收入预算总额为148.82万元，其中：当年财政拨款收入148.82万元。相应安排支出预算148.82元，其中：一般公共服务109.84万元，社会保障和就业20.51万元，医疗卫生7.45万元，住房保障支出11.01万元。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四、支出预算安排情况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红原县工商联（单位）预算安排支出主要用于保障该部门机构正常运转、完成日常工作任务以及承担工商联事业发展相关工作。 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基本支出143.82万元。其中人员经费支出135.32万元，机关运行经费8.5万元，其中：办公费2.83万元，电费0.2万元，邮电费0.46万元，差旅费0.36万元，工会经费1.03万元，公务用车运行维护费3.62万元。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按支出功能分类主要用于以下方面:</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（一）一般公共服务109.84万元，主要用于机关及下属事业单位人员工资、日常运转以及为完成特定行政工作任务和事业发展目标而安排的年度项目支出。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（二）社会保障和就业20.51万元，主要用于机关及下属事业单位养老保险及职业年金缴费。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（三）医疗卫生7.45万元，主要用于机关及下属事业单位按照规定标准为职工缴纳的基本医疗保险及公务员医疗补助等支出。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（四）住房保障支出11.01万元，用于机关及下属事业单位按照规定标准为职工缴纳住房公积金等支出。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五、较上年度增减变化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预算拨款收入148.82万元较上年度预算156.97万元减少了5.19%，其中基本行政运行经费预算104.84万元，占全部总预算的70.45%，较上年151.97万元减少了31.10%，原因为压缩各项开支，减少基本支出；专项业务工作经费预算5万元，占总预算的3.36%，较上年预算5万元持平。</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六、“三公”经费预算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度三公经费预算安排支出为5.62万元，其中：出国费0万元，与上年持平，主要原因为未安排因公出国；公车购置费0元，与上年持平，主要原因是厉行节约；公务用车维护费支出5.62万元，较上年度预算增加0.7万元，主要是安排的光彩事业经费、考察调研、参政议政、培训和人民调解委员会专项工作用车较多。</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七、政府性基金预算收支情况说明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八、国有资本经营预算收支情况说明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2023年没有使用国有资本经营预算拨款安排的支出。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（一）政府采购预算情况</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2023年度</w:t>
      </w:r>
      <w:r>
        <w:rPr>
          <w:rFonts w:hint="eastAsia" w:ascii="仿宋" w:hAnsi="仿宋" w:eastAsia="仿宋" w:cs="仿宋"/>
          <w:sz w:val="32"/>
          <w:szCs w:val="32"/>
          <w:lang w:val="en-US" w:eastAsia="zh-CN"/>
        </w:rPr>
        <w:t>未</w:t>
      </w:r>
      <w:r>
        <w:rPr>
          <w:rFonts w:hint="eastAsia" w:ascii="仿宋" w:hAnsi="仿宋" w:eastAsia="仿宋" w:cs="仿宋"/>
          <w:sz w:val="32"/>
          <w:szCs w:val="32"/>
        </w:rPr>
        <w:t>安排政府采购预算。</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（二）政府财政国有资产占用情况</w:t>
      </w: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截止2022年底，实际共有固定资产价值0.71万元：其中：公务用车0.5万元；业务用房0万元；其他固定资产0.21万元。</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b/>
          <w:bCs/>
          <w:sz w:val="32"/>
          <w:szCs w:val="32"/>
        </w:rPr>
        <w:t>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绩效目标是预算编制的前提和基础，按照“费随事定”的原则，2022年我单位项目支出按要求编制了绩效目标，从项目完成、项目效益、满意度。</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十、名词解释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1.财政拨款收入：指财政部门核拨给单位的财政预算资金。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2.其他收入：指除上述财政部门拨付单位以外的收入。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3.基本支出：指为保障单位机关正常运转、完成日常工作任务而发生的人员支出和公用支出。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附件</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表1.部门收支总表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表2.部门收入总表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表3.部门支出总表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表4.财政拨款收支预算总表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表6.一般公共预算支出预算表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表7.一般公共预算基本支出预算表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表8.一般公共预算项目支出预算表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表10.政府性基金支出预算表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rPr>
      </w:pPr>
      <w:r>
        <w:rPr>
          <w:rFonts w:hint="eastAsia" w:ascii="仿宋" w:hAnsi="仿宋" w:eastAsia="仿宋" w:cs="仿宋"/>
          <w:sz w:val="32"/>
          <w:szCs w:val="32"/>
        </w:rPr>
        <w:t>表12.国有资本经营预算支出预算表</w:t>
      </w:r>
    </w:p>
    <w:p>
      <w:pPr>
        <w:rPr>
          <w:rFonts w:hint="eastAsia"/>
        </w:rPr>
      </w:pPr>
      <w:r>
        <w:rPr>
          <w:rFonts w:hint="eastAsia" w:ascii="仿宋" w:hAnsi="仿宋" w:eastAsia="仿宋" w:cs="仿宋"/>
          <w:sz w:val="32"/>
          <w:szCs w:val="32"/>
        </w:rPr>
        <w:t>表13.部门项目支出绩效</w:t>
      </w:r>
      <w:r>
        <w:rPr>
          <w:rFonts w:hint="eastAsia" w:ascii="仿宋" w:hAnsi="仿宋" w:eastAsia="仿宋" w:cs="仿宋"/>
          <w:sz w:val="32"/>
          <w:szCs w:val="32"/>
          <w:lang w:val="en-US" w:eastAsia="zh-CN"/>
        </w:rPr>
        <w:t>目标申报表</w:t>
      </w:r>
      <w:r>
        <w:rPr>
          <w:rFonts w:hint="eastAsia" w:ascii="仿宋" w:hAnsi="仿宋" w:eastAsia="仿宋" w:cs="仿宋"/>
          <w:sz w:val="32"/>
          <w:szCs w:val="32"/>
        </w:rPr>
        <w:t>（2023年度)</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D4D"/>
    <w:rsid w:val="00097D4D"/>
    <w:rsid w:val="001B3C1D"/>
    <w:rsid w:val="00396A3D"/>
    <w:rsid w:val="00710B46"/>
    <w:rsid w:val="008B713C"/>
    <w:rsid w:val="00910755"/>
    <w:rsid w:val="09140A65"/>
    <w:rsid w:val="123223E1"/>
    <w:rsid w:val="2FE75EF5"/>
    <w:rsid w:val="39705E55"/>
    <w:rsid w:val="42B35EC8"/>
    <w:rsid w:val="533B255D"/>
    <w:rsid w:val="628E3E3F"/>
    <w:rsid w:val="6E194B84"/>
    <w:rsid w:val="78FD2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336</Words>
  <Characters>1917</Characters>
  <Lines>15</Lines>
  <Paragraphs>4</Paragraphs>
  <TotalTime>0</TotalTime>
  <ScaleCrop>false</ScaleCrop>
  <LinksUpToDate>false</LinksUpToDate>
  <CharactersWithSpaces>2249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2024-08-21T03:56:00Z</dcterms:created>
  <dc:creator>永容 田</dc:creator>
  <cp:lastModifiedBy>Admin</cp:lastModifiedBy>
  <dcterms:modified xsi:type="dcterms:W3CDTF">2024-08-23T04:09:50Z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1E03F17E59DF46E0B504E4F67590C358</vt:lpwstr>
  </property>
</Properties>
</file>