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11" w:name="_GoBack"/>
      <w:bookmarkStart w:id="1" w:name="_Toc15378441"/>
      <w:bookmarkStart w:id="2" w:name="_Toc15377193"/>
      <w:bookmarkStart w:id="3" w:name="_Toc15377425"/>
      <w:bookmarkStart w:id="4" w:name="_Toc15396475"/>
      <w:bookmarkStart w:id="5" w:name="_Toc7902"/>
      <w:bookmarkStart w:id="6" w:name="_Toc15396597"/>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32582"/>
      <w:bookmarkStart w:id="8" w:name="_Toc15396476"/>
      <w:bookmarkStart w:id="9" w:name="_Toc15377194"/>
      <w:bookmarkStart w:id="10" w:name="_Toc15378442"/>
      <w:bookmarkStart w:id="11" w:name="_Toc15396598"/>
      <w:bookmarkStart w:id="12"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工商业联合会</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bookmarkEnd w:id="111"/>
    <w:p>
      <w:pPr>
        <w:widowControl/>
        <w:jc w:val="center"/>
        <w:rPr>
          <w:rFonts w:ascii="方正小标宋简体" w:hAnsi="宋体" w:eastAsia="方正小标宋简体"/>
          <w:color w:val="000000"/>
          <w:sz w:val="36"/>
          <w:szCs w:val="36"/>
        </w:rPr>
      </w:pPr>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tabs>
          <w:tab w:val="center" w:pos="4213"/>
          <w:tab w:val="left" w:pos="5918"/>
        </w:tabs>
        <w:jc w:val="left"/>
        <w:rPr>
          <w:rFonts w:hint="eastAsia" w:ascii="黑体" w:hAnsi="黑体" w:eastAsia="黑体"/>
          <w:color w:val="000000"/>
          <w:sz w:val="48"/>
          <w:szCs w:val="48"/>
          <w:lang w:eastAsia="zh-CN"/>
        </w:rPr>
      </w:pPr>
      <w:r>
        <w:rPr>
          <w:rFonts w:ascii="方正小标宋简体" w:hAnsi="宋体" w:eastAsia="方正小标宋简体"/>
          <w:sz w:val="36"/>
          <w:szCs w:val="36"/>
        </w:rPr>
        <w:br w:type="page"/>
      </w:r>
      <w:r>
        <w:rPr>
          <w:rFonts w:hint="eastAsia" w:ascii="方正小标宋简体" w:hAnsi="宋体" w:eastAsia="方正小标宋简体"/>
          <w:sz w:val="36"/>
          <w:szCs w:val="36"/>
          <w:lang w:eastAsia="zh-CN"/>
        </w:rPr>
        <w:tab/>
      </w:r>
      <w:r>
        <w:rPr>
          <w:rFonts w:hint="eastAsia" w:ascii="黑体" w:hAnsi="黑体" w:eastAsia="黑体"/>
          <w:color w:val="000000"/>
          <w:sz w:val="48"/>
          <w:szCs w:val="48"/>
        </w:rPr>
        <w:t>目录</w:t>
      </w:r>
      <w:r>
        <w:rPr>
          <w:rFonts w:hint="eastAsia" w:ascii="黑体" w:hAnsi="黑体" w:eastAsia="黑体"/>
          <w:color w:val="000000"/>
          <w:sz w:val="48"/>
          <w:szCs w:val="48"/>
          <w:lang w:eastAsia="zh-CN"/>
        </w:rPr>
        <w:tab/>
      </w:r>
    </w:p>
    <w:p>
      <w:pPr>
        <w:widowControl/>
        <w:jc w:val="center"/>
        <w:rPr>
          <w:rFonts w:ascii="黑体" w:hAnsi="黑体" w:eastAsia="黑体" w:cstheme="minorBidi"/>
          <w:sz w:val="28"/>
          <w:szCs w:val="28"/>
        </w:rPr>
      </w:pP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_Toc7902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21</w:t>
          </w:r>
          <w:r>
            <w:rPr>
              <w:rFonts w:hint="eastAsia" w:ascii="方正小标宋简体" w:hAnsi="宋体" w:eastAsia="方正小标宋简体"/>
              <w:szCs w:val="72"/>
            </w:rPr>
            <w:t>年度</w:t>
          </w:r>
          <w:r>
            <w:tab/>
          </w:r>
          <w:r>
            <w:fldChar w:fldCharType="begin"/>
          </w:r>
          <w:r>
            <w:instrText xml:space="preserve"> PAGEREF _Toc7902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_Toc32582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工商业联合会</w:t>
          </w:r>
          <w:r>
            <w:rPr>
              <w:rFonts w:hint="eastAsia" w:ascii="方正小标宋简体" w:hAnsi="宋体" w:eastAsia="方正小标宋简体"/>
              <w:szCs w:val="72"/>
            </w:rPr>
            <w:t>部门决算</w:t>
          </w:r>
          <w:r>
            <w:tab/>
          </w:r>
          <w:r>
            <w:fldChar w:fldCharType="begin"/>
          </w:r>
          <w:r>
            <w:instrText xml:space="preserve"> PAGEREF _Toc32582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_Toc6710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_Toc6710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_Toc19608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_Toc19608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_Toc17613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_Toc17613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_Toc9036 </w:instrText>
          </w:r>
          <w:r>
            <w:rPr>
              <w:rFonts w:hint="eastAsia"/>
            </w:rPr>
            <w:fldChar w:fldCharType="separate"/>
          </w:r>
          <w:r>
            <w:rPr>
              <w:rFonts w:hint="eastAsia" w:ascii="仿宋_GB2312" w:hAnsi="仿宋_GB2312" w:eastAsia="仿宋_GB2312" w:cs="仿宋_GB2312"/>
              <w:kern w:val="0"/>
              <w:szCs w:val="32"/>
              <w:shd w:val="clear" w:color="auto" w:fill="FFFFFF"/>
            </w:rPr>
            <w:t>（七）为会员提供政策信息、人才交流培训等服务。组织会员企业参加各类经贸活动，外出参观考察，帮助会员企业拓展市场。</w:t>
          </w:r>
          <w:r>
            <w:rPr>
              <w:rFonts w:hint="eastAsia" w:ascii="仿宋_GB2312" w:hAnsi="仿宋_GB2312" w:eastAsia="仿宋_GB2312" w:cs="仿宋_GB2312"/>
              <w:kern w:val="0"/>
              <w:szCs w:val="32"/>
            </w:rPr>
            <w:t xml:space="preserve"> </w:t>
          </w:r>
          <w:r>
            <w:rPr>
              <w:rFonts w:hint="eastAsia" w:ascii="仿宋_GB2312" w:hAnsi="仿宋_GB2312" w:eastAsia="仿宋_GB2312" w:cs="仿宋_GB2312"/>
              <w:kern w:val="0"/>
              <w:szCs w:val="32"/>
              <w:shd w:val="clear" w:color="auto" w:fill="FFFFFF"/>
            </w:rPr>
            <w:t xml:space="preserve">   （八）配合有关部门开展非公有制会员企业党建工作。</w:t>
          </w:r>
          <w:r>
            <w:rPr>
              <w:rFonts w:hint="eastAsia" w:ascii="仿宋_GB2312" w:hAnsi="仿宋_GB2312" w:eastAsia="仿宋_GB2312" w:cs="仿宋_GB2312"/>
              <w:kern w:val="0"/>
              <w:szCs w:val="32"/>
            </w:rPr>
            <w:t xml:space="preserve"> </w:t>
          </w:r>
          <w:r>
            <w:rPr>
              <w:rFonts w:hint="eastAsia" w:ascii="仿宋_GB2312" w:hAnsi="仿宋_GB2312" w:eastAsia="仿宋_GB2312" w:cs="仿宋_GB2312"/>
              <w:kern w:val="0"/>
              <w:szCs w:val="32"/>
              <w:shd w:val="clear" w:color="auto" w:fill="FFFFFF"/>
            </w:rPr>
            <w:t xml:space="preserve">   （九）积极引导非公有制企业及其非公有制经济人士承担社会责任，大力支持慈善公益事业发展，积极投身光彩事业。</w:t>
          </w:r>
          <w:r>
            <w:rPr>
              <w:rFonts w:hint="eastAsia" w:ascii="仿宋_GB2312" w:hAnsi="仿宋_GB2312" w:eastAsia="仿宋_GB2312" w:cs="仿宋_GB2312"/>
              <w:kern w:val="0"/>
              <w:szCs w:val="32"/>
            </w:rPr>
            <w:t xml:space="preserve"> </w:t>
          </w:r>
          <w:r>
            <w:rPr>
              <w:rFonts w:hint="eastAsia" w:ascii="仿宋_GB2312" w:hAnsi="仿宋_GB2312" w:eastAsia="仿宋_GB2312" w:cs="仿宋_GB2312"/>
              <w:kern w:val="0"/>
              <w:szCs w:val="32"/>
              <w:shd w:val="clear" w:color="auto" w:fill="FFFFFF"/>
            </w:rPr>
            <w:t xml:space="preserve">   （十）承办县委、县政府和上级工商联交办的其它任务。 </w:t>
          </w:r>
          <w:r>
            <w:rPr>
              <w:rFonts w:hint="eastAsia" w:ascii="宋体" w:hAnsi="宋体" w:eastAsia="宋体" w:cs="宋体"/>
              <w:bCs/>
              <w:i w:val="0"/>
              <w:iCs w:val="0"/>
              <w:caps w:val="0"/>
              <w:spacing w:val="0"/>
              <w:szCs w:val="32"/>
              <w:shd w:val="clear" w:color="auto" w:fill="FFFFFF"/>
            </w:rPr>
            <w:t>（二）202</w:t>
          </w:r>
          <w:r>
            <w:rPr>
              <w:rFonts w:hint="eastAsia" w:ascii="宋体" w:hAnsi="宋体" w:eastAsia="宋体" w:cs="宋体"/>
              <w:bCs/>
              <w:i w:val="0"/>
              <w:iCs w:val="0"/>
              <w:caps w:val="0"/>
              <w:spacing w:val="0"/>
              <w:szCs w:val="32"/>
              <w:shd w:val="clear" w:color="auto" w:fill="FFFFFF"/>
              <w:lang w:val="en-US" w:eastAsia="zh-CN"/>
            </w:rPr>
            <w:t>1</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_Toc9036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_Toc4841 </w:instrText>
          </w:r>
          <w:r>
            <w:rPr>
              <w:rFonts w:hint="eastAsia"/>
            </w:rPr>
            <w:fldChar w:fldCharType="separate"/>
          </w:r>
          <w:r>
            <w:rPr>
              <w:rFonts w:hint="eastAsia" w:ascii="仿宋_GB2312" w:hAnsi="仿宋_GB2312" w:eastAsia="仿宋_GB2312" w:cs="仿宋_GB2312"/>
              <w:bCs w:val="0"/>
              <w:kern w:val="2"/>
              <w:szCs w:val="32"/>
              <w:lang w:val="en-US" w:eastAsia="zh-CN" w:bidi="ar-SA"/>
            </w:rPr>
            <w:t>假日期间加大廉政宣传和检查力度，严格执行值班等制度。三是落实巡察整改工作。自县委第二巡察组巡察以来，我会积极推进巡察整改工作，举一反三，巩固整改成果，警钟长鸣，再接再厉，全力以赴抓好巡察整改落实工作。细化干部分工，明确责任担当。坚持举一反三，确保整改成果持之以恒。坚持整改目标不变、整改力度不减，巩固整改成果，防止发生反弹。注重标本兼治，统筹推进各项工作。我会通过完善各项规章制度，将整改措施细致化、制度化、规范化、长效化，统一化，从而推动全面落实从严治党主体责任，将整改落实过程与密切干群关系、转变工作作风过程有机结合，用整改落实的实际成果促进全会工作健康发展。</w:t>
          </w:r>
          <w:r>
            <w:tab/>
          </w:r>
          <w:r>
            <w:fldChar w:fldCharType="begin"/>
          </w:r>
          <w:r>
            <w:instrText xml:space="preserve"> PAGEREF _Toc4841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_Toc16761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_Toc16761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_Toc8576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_Toc8576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_Toc21109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年本年收入合计</w:t>
          </w:r>
          <w:r>
            <w:rPr>
              <w:rFonts w:hint="eastAsia" w:ascii="仿宋" w:hAnsi="仿宋" w:eastAsia="仿宋"/>
              <w:szCs w:val="32"/>
              <w:lang w:val="en-US" w:eastAsia="zh-CN"/>
            </w:rPr>
            <w:t>209.53</w:t>
          </w:r>
          <w:r>
            <w:rPr>
              <w:rFonts w:hint="eastAsia" w:ascii="仿宋" w:hAnsi="仿宋" w:eastAsia="仿宋"/>
              <w:szCs w:val="32"/>
            </w:rPr>
            <w:t>万元，其中：一般公共预算财政拨款收入</w:t>
          </w:r>
          <w:r>
            <w:rPr>
              <w:rFonts w:hint="eastAsia" w:ascii="仿宋" w:hAnsi="仿宋" w:eastAsia="仿宋"/>
              <w:szCs w:val="32"/>
              <w:lang w:val="en-US" w:eastAsia="zh-CN"/>
            </w:rPr>
            <w:t>209.53</w:t>
          </w:r>
          <w:r>
            <w:rPr>
              <w:rFonts w:hint="eastAsia" w:ascii="仿宋" w:hAnsi="仿宋" w:eastAsia="仿宋"/>
              <w:szCs w:val="32"/>
            </w:rPr>
            <w:t>万元，占</w:t>
          </w:r>
          <w:r>
            <w:rPr>
              <w:rFonts w:hint="eastAsia" w:ascii="仿宋" w:hAnsi="仿宋" w:eastAsia="仿宋"/>
              <w:szCs w:val="32"/>
              <w:lang w:val="en-US" w:eastAsia="zh-CN"/>
            </w:rPr>
            <w:t>100</w:t>
          </w:r>
          <w:r>
            <w:rPr>
              <w:rFonts w:hint="eastAsia" w:ascii="仿宋" w:hAnsi="仿宋" w:eastAsia="仿宋"/>
              <w:szCs w:val="32"/>
            </w:rPr>
            <w:t>%；政府性基金预算财政拨款收入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%；其他收入</w:t>
          </w:r>
          <w:r>
            <w:rPr>
              <w:rFonts w:hint="eastAsia" w:ascii="仿宋" w:hAnsi="仿宋" w:eastAsia="仿宋"/>
              <w:szCs w:val="32"/>
              <w:lang w:val="en-US" w:eastAsia="zh-CN"/>
            </w:rPr>
            <w:t>0</w:t>
          </w:r>
          <w:r>
            <w:rPr>
              <w:rFonts w:hint="eastAsia" w:ascii="仿宋" w:hAnsi="仿宋" w:eastAsia="仿宋"/>
              <w:szCs w:val="32"/>
            </w:rPr>
            <w:t>万元，占0%。</w:t>
          </w:r>
          <w:r>
            <w:tab/>
          </w:r>
          <w:r>
            <w:fldChar w:fldCharType="begin"/>
          </w:r>
          <w:r>
            <w:instrText xml:space="preserve"> PAGEREF _Toc21109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_Toc20456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_Toc20456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_Toc23625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年本年支出合计</w:t>
          </w:r>
          <w:r>
            <w:rPr>
              <w:rFonts w:hint="eastAsia" w:ascii="仿宋" w:hAnsi="仿宋" w:eastAsia="仿宋"/>
              <w:szCs w:val="32"/>
              <w:lang w:val="en-US" w:eastAsia="zh-CN"/>
            </w:rPr>
            <w:t>209.53</w:t>
          </w:r>
          <w:r>
            <w:rPr>
              <w:rFonts w:hint="eastAsia" w:ascii="仿宋" w:hAnsi="仿宋" w:eastAsia="仿宋"/>
              <w:szCs w:val="32"/>
            </w:rPr>
            <w:t>万元，其中：基本支出</w:t>
          </w:r>
          <w:r>
            <w:rPr>
              <w:rFonts w:hint="eastAsia" w:ascii="仿宋" w:hAnsi="仿宋" w:eastAsia="仿宋"/>
              <w:szCs w:val="32"/>
              <w:lang w:val="en-US" w:eastAsia="zh-CN"/>
            </w:rPr>
            <w:t>204.58</w:t>
          </w:r>
          <w:r>
            <w:rPr>
              <w:rFonts w:hint="eastAsia" w:ascii="仿宋" w:hAnsi="仿宋" w:eastAsia="仿宋"/>
              <w:szCs w:val="32"/>
            </w:rPr>
            <w:t>万元，占</w:t>
          </w:r>
          <w:r>
            <w:rPr>
              <w:rFonts w:hint="eastAsia" w:ascii="仿宋" w:hAnsi="仿宋" w:eastAsia="仿宋"/>
              <w:szCs w:val="32"/>
              <w:lang w:val="en-US" w:eastAsia="zh-CN"/>
            </w:rPr>
            <w:t>97.64</w:t>
          </w:r>
          <w:r>
            <w:rPr>
              <w:rFonts w:hint="eastAsia" w:ascii="仿宋" w:hAnsi="仿宋" w:eastAsia="仿宋"/>
              <w:szCs w:val="32"/>
            </w:rPr>
            <w:t>%；项目支出</w:t>
          </w:r>
          <w:r>
            <w:rPr>
              <w:rFonts w:hint="eastAsia" w:ascii="仿宋" w:hAnsi="仿宋" w:eastAsia="仿宋"/>
              <w:szCs w:val="32"/>
              <w:lang w:val="en-US" w:eastAsia="zh-CN"/>
            </w:rPr>
            <w:t>4.95</w:t>
          </w:r>
          <w:r>
            <w:rPr>
              <w:rFonts w:hint="eastAsia" w:ascii="仿宋" w:hAnsi="仿宋" w:eastAsia="仿宋"/>
              <w:szCs w:val="32"/>
            </w:rPr>
            <w:t>万元，占</w:t>
          </w:r>
          <w:r>
            <w:rPr>
              <w:rFonts w:hint="eastAsia" w:ascii="仿宋" w:hAnsi="仿宋" w:eastAsia="仿宋"/>
              <w:szCs w:val="32"/>
              <w:lang w:val="en-US" w:eastAsia="zh-CN"/>
            </w:rPr>
            <w:t>2.36</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w:t>
          </w:r>
          <w:r>
            <w:tab/>
          </w:r>
          <w:r>
            <w:fldChar w:fldCharType="begin"/>
          </w:r>
          <w:r>
            <w:instrText xml:space="preserve"> PAGEREF _Toc23625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_Toc18407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_Toc18407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_Toc13822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_Toc13822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_Toc28496 </w:instrText>
          </w:r>
          <w:r>
            <w:rPr>
              <w:rFonts w:hint="eastAsia"/>
            </w:rPr>
            <w:fldChar w:fldCharType="separate"/>
          </w:r>
          <w:r>
            <w:rPr>
              <w:rFonts w:hint="eastAsia" w:ascii="仿宋" w:hAnsi="仿宋" w:eastAsia="仿宋" w:cs="仿宋"/>
              <w:szCs w:val="32"/>
              <w:lang w:val="en-US" w:eastAsia="zh-CN"/>
            </w:rPr>
            <w:t>2021</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204.57万元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_Toc28496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_Toc13637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_Toc13637 \h </w:instrText>
          </w:r>
          <w:r>
            <w:fldChar w:fldCharType="separate"/>
          </w:r>
          <w:r>
            <w:t>11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_Toc22425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_Toc22425 \h </w:instrText>
          </w:r>
          <w:r>
            <w:fldChar w:fldCharType="separate"/>
          </w:r>
          <w:r>
            <w:t>12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_Toc30261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_Toc30261 \h </w:instrText>
          </w:r>
          <w:r>
            <w:fldChar w:fldCharType="separate"/>
          </w:r>
          <w:r>
            <w:t>14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_Toc8970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_Toc8970 \h </w:instrText>
          </w:r>
          <w:r>
            <w:fldChar w:fldCharType="separate"/>
          </w:r>
          <w:r>
            <w:t>14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_Toc30270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_Toc30270 \h </w:instrText>
          </w:r>
          <w:r>
            <w:fldChar w:fldCharType="separate"/>
          </w:r>
          <w:r>
            <w:t>14</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_Toc21621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_Toc21621 \h </w:instrText>
          </w:r>
          <w:r>
            <w:fldChar w:fldCharType="separate"/>
          </w:r>
          <w:r>
            <w:t>16</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_Toc17289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_Toc17289 \h </w:instrText>
          </w:r>
          <w:r>
            <w:fldChar w:fldCharType="separate"/>
          </w:r>
          <w:r>
            <w:t>21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_Toc26005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_Toc26005 \h </w:instrText>
          </w:r>
          <w:r>
            <w:fldChar w:fldCharType="separate"/>
          </w:r>
          <w:r>
            <w:t>21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_Toc19531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_Toc19531 \h </w:instrText>
          </w:r>
          <w:r>
            <w:fldChar w:fldCharType="separate"/>
          </w:r>
          <w:r>
            <w:t>25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_Toc8585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_Toc8585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_Toc30179 </w:instrText>
          </w:r>
          <w:r>
            <w:rPr>
              <w:rFonts w:hint="eastAsia"/>
            </w:rPr>
            <w:fldChar w:fldCharType="separate"/>
          </w:r>
          <w:r>
            <w:rPr>
              <w:rFonts w:hint="eastAsia" w:ascii="仿宋" w:hAnsi="仿宋" w:eastAsia="仿宋"/>
            </w:rPr>
            <w:t>二、收入支出决算表</w:t>
          </w:r>
          <w:r>
            <w:tab/>
          </w:r>
          <w:r>
            <w:fldChar w:fldCharType="begin"/>
          </w:r>
          <w:r>
            <w:instrText xml:space="preserve"> PAGEREF _Toc30179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_Toc27654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_Toc27654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_Toc8635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_Toc8635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_Toc9011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_Toc9011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_Toc13881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_Toc13881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_Toc31053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_Toc31053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_Toc13389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_Toc13389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_Toc19589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_Toc19589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_Toc26208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_Toc26208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_Toc30393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_Toc30393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_Toc23460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_Toc23460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_Toc7150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_Toc7150 \h </w:instrText>
          </w:r>
          <w:r>
            <w:fldChar w:fldCharType="separate"/>
          </w:r>
          <w:r>
            <w:t>26</w:t>
          </w:r>
          <w:r>
            <w:fldChar w:fldCharType="end"/>
          </w:r>
          <w:r>
            <w:rPr>
              <w:rFonts w:hint="eastAsia"/>
            </w:rPr>
            <w:fldChar w:fldCharType="end"/>
          </w:r>
        </w:p>
        <w:p>
          <w:pPr>
            <w:pStyle w:val="9"/>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4"/>
        <w:jc w:val="center"/>
        <w:rPr>
          <w:rFonts w:ascii="黑体" w:eastAsia="黑体"/>
          <w:color w:val="000000"/>
          <w:sz w:val="32"/>
          <w:szCs w:val="32"/>
        </w:rPr>
      </w:pPr>
      <w:bookmarkStart w:id="14" w:name="_Toc6710"/>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19608"/>
      <w:bookmarkStart w:id="16" w:name="_Toc15377197"/>
      <w:bookmarkStart w:id="17" w:name="_Toc15396600"/>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22423"/>
      <w:bookmarkStart w:id="19" w:name="_Toc17613"/>
      <w:bookmarkStart w:id="20" w:name="_Toc15396601"/>
      <w:bookmarkStart w:id="21" w:name="_Toc15377200"/>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bookmarkStart w:id="22" w:name="_Toc9610"/>
      <w:r>
        <w:rPr>
          <w:rFonts w:hint="eastAsia" w:ascii="仿宋_GB2312" w:hAnsi="仿宋_GB2312" w:eastAsia="仿宋_GB2312" w:cs="仿宋_GB2312"/>
          <w:sz w:val="32"/>
          <w:szCs w:val="32"/>
        </w:rPr>
        <w:t>1．主要职能。</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（一）团结、服务、引导、教育非公有制经济人士爱国、敬业、诚信、守法、贡献，培养拥护党的领导、走中国特色社会主义道路的非公有制经济人士队伍。</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（二）做好非公有制经济代表人士政治安排的推荐工作。参与政治协商，发挥民主监督作用，积极参政议政。</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（三）参与政府相关的经济活动，广泛联系各地工商界人士，开展民间外交，推动经贸交流和协作，促进经济社会发展。</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（四）参与协调劳动关系，促进和谐社会建设。</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（五）指导本会直属商会工作，积极参与社会组织建设工作，促进行业协会商会改革发展。</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（六）反映非公有制企业和非公有制经济人士利益诉求，维护其合法权益。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r>
        <w:rPr>
          <w:rFonts w:hint="eastAsia" w:ascii="仿宋_GB2312" w:hAnsi="仿宋_GB2312" w:eastAsia="仿宋_GB2312" w:cs="仿宋_GB2312"/>
          <w:color w:val="333333"/>
          <w:kern w:val="0"/>
          <w:sz w:val="32"/>
          <w:szCs w:val="32"/>
          <w:shd w:val="clear" w:color="auto" w:fill="FFFFFF"/>
          <w:lang w:val="en-US" w:eastAsia="zh-CN"/>
        </w:rPr>
        <w:t xml:space="preserve">   </w:t>
      </w:r>
      <w:bookmarkStart w:id="23" w:name="_Toc9036"/>
      <w:r>
        <w:rPr>
          <w:rFonts w:hint="eastAsia" w:ascii="仿宋_GB2312" w:hAnsi="仿宋_GB2312" w:eastAsia="仿宋_GB2312" w:cs="仿宋_GB2312"/>
          <w:color w:val="333333"/>
          <w:kern w:val="0"/>
          <w:sz w:val="32"/>
          <w:szCs w:val="32"/>
          <w:shd w:val="clear" w:color="auto" w:fill="FFFFFF"/>
        </w:rPr>
        <w:t>（七）为会员提供政策信息、人才交流培训等服务。组织会员企业参加各类经贸活动，外出参观考察，帮助会员企业拓展市场。</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（八）配合有关部门开展非公有制会员企业党建工作。</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（九）积极引导非公有制企业及其非公有制经济人士承担社会责任，大力支持慈善公益事业发展，积极投身光彩事业。</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（十）承办县委、县政府和上级工商联交办的其它任务。 </w:t>
      </w:r>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eastAsia="宋体" w:cs="宋体"/>
          <w:b/>
          <w:bCs/>
          <w:i w:val="0"/>
          <w:iCs w:val="0"/>
          <w:caps w:val="0"/>
          <w:color w:val="333333"/>
          <w:spacing w:val="0"/>
          <w:sz w:val="32"/>
          <w:szCs w:val="32"/>
          <w:shd w:val="clear" w:color="auto" w:fill="FFFFFF"/>
          <w:lang w:val="en-US" w:eastAsia="zh-CN"/>
        </w:rPr>
        <w:t>1</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23"/>
    </w:p>
    <w:p>
      <w:pPr>
        <w:keepNext w:val="0"/>
        <w:keepLines w:val="0"/>
        <w:pageBreakBefore w:val="0"/>
        <w:widowControl/>
        <w:kinsoku/>
        <w:wordWrap/>
        <w:overflowPunct/>
        <w:topLinePunct w:val="0"/>
        <w:autoSpaceDE/>
        <w:autoSpaceDN w:val="0"/>
        <w:bidi w:val="0"/>
        <w:adjustRightInd w:val="0"/>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县工商联认真贯彻党的十九大精神，牢牢把握工商联“两个健康”工作主题，进一步全面落实中央、省、州关于加快民营经济大发展重要部署，助推民营经济转型升级加快发展，进一步加强思想政治引领，切实加强自身建设，团结凝聚全县广大</w:t>
      </w:r>
      <w:r>
        <w:rPr>
          <w:rFonts w:hint="eastAsia" w:ascii="仿宋_GB2312" w:hAnsi="宋体" w:eastAsia="仿宋_GB2312" w:cs="宋体"/>
          <w:kern w:val="0"/>
          <w:sz w:val="32"/>
          <w:szCs w:val="32"/>
          <w:lang w:eastAsia="zh-CN"/>
        </w:rPr>
        <w:t>民营</w:t>
      </w:r>
      <w:r>
        <w:rPr>
          <w:rFonts w:hint="eastAsia" w:ascii="仿宋_GB2312" w:hAnsi="宋体" w:eastAsia="仿宋_GB2312" w:cs="宋体"/>
          <w:kern w:val="0"/>
          <w:sz w:val="32"/>
          <w:szCs w:val="32"/>
        </w:rPr>
        <w:t>经济人士积极参与经济社会建设和全县脱贫</w:t>
      </w:r>
      <w:r>
        <w:rPr>
          <w:rFonts w:hint="eastAsia" w:ascii="仿宋_GB2312" w:hAnsi="宋体" w:eastAsia="仿宋_GB2312" w:cs="宋体"/>
          <w:kern w:val="0"/>
          <w:sz w:val="32"/>
          <w:szCs w:val="32"/>
          <w:lang w:eastAsia="zh-CN"/>
        </w:rPr>
        <w:t>攻坚</w:t>
      </w:r>
      <w:r>
        <w:rPr>
          <w:rFonts w:hint="eastAsia" w:ascii="仿宋_GB2312" w:hAnsi="宋体" w:eastAsia="仿宋_GB2312" w:cs="宋体"/>
          <w:kern w:val="0"/>
          <w:sz w:val="32"/>
          <w:szCs w:val="32"/>
        </w:rPr>
        <w:t>的各项工作中，为推动红原“三地一时代”建设，加快红原经济发展做出</w:t>
      </w:r>
      <w:r>
        <w:rPr>
          <w:rFonts w:hint="eastAsia" w:ascii="仿宋_GB2312" w:hAnsi="宋体" w:eastAsia="仿宋_GB2312" w:cs="宋体"/>
          <w:kern w:val="0"/>
          <w:sz w:val="32"/>
          <w:szCs w:val="32"/>
          <w:lang w:eastAsia="zh-CN"/>
        </w:rPr>
        <w:t>积极</w:t>
      </w:r>
      <w:r>
        <w:rPr>
          <w:rFonts w:hint="eastAsia" w:ascii="仿宋_GB2312" w:hAnsi="宋体" w:eastAsia="仿宋_GB2312" w:cs="宋体"/>
          <w:kern w:val="0"/>
          <w:sz w:val="32"/>
          <w:szCs w:val="32"/>
        </w:rPr>
        <w:t>贡献。</w:t>
      </w:r>
    </w:p>
    <w:p>
      <w:pPr>
        <w:keepNext w:val="0"/>
        <w:keepLines w:val="0"/>
        <w:pageBreakBefore w:val="0"/>
        <w:widowControl/>
        <w:numPr>
          <w:ilvl w:val="0"/>
          <w:numId w:val="0"/>
        </w:numPr>
        <w:kinsoku/>
        <w:wordWrap/>
        <w:overflowPunct/>
        <w:topLinePunct w:val="0"/>
        <w:autoSpaceDE/>
        <w:autoSpaceDN w:val="0"/>
        <w:bidi w:val="0"/>
        <w:snapToGrid/>
        <w:spacing w:beforeAutospacing="0" w:afterAutospacing="0" w:line="560" w:lineRule="exact"/>
        <w:ind w:left="0" w:leftChars="0" w:right="0" w:rightChars="0" w:firstLine="642" w:firstLineChars="200"/>
        <w:jc w:val="both"/>
        <w:textAlignment w:val="auto"/>
        <w:outlineLvl w:val="9"/>
        <w:rPr>
          <w:rFonts w:hint="eastAsia" w:ascii="楷体" w:hAnsi="楷体" w:eastAsia="楷体" w:cs="宋体"/>
          <w:b/>
          <w:kern w:val="0"/>
          <w:sz w:val="32"/>
          <w:szCs w:val="32"/>
        </w:rPr>
      </w:pPr>
      <w:r>
        <w:rPr>
          <w:rFonts w:hint="eastAsia" w:ascii="楷体" w:hAnsi="楷体" w:eastAsia="楷体" w:cs="宋体"/>
          <w:b/>
          <w:kern w:val="0"/>
          <w:sz w:val="32"/>
          <w:szCs w:val="32"/>
          <w:lang w:val="en-US" w:eastAsia="zh-CN" w:bidi="ar-SA"/>
        </w:rPr>
        <w:t>（1）</w:t>
      </w:r>
      <w:r>
        <w:rPr>
          <w:rFonts w:hint="eastAsia" w:ascii="楷体" w:hAnsi="楷体" w:eastAsia="楷体" w:cs="宋体"/>
          <w:b/>
          <w:kern w:val="0"/>
          <w:sz w:val="32"/>
          <w:szCs w:val="32"/>
        </w:rPr>
        <w:t>加强</w:t>
      </w:r>
      <w:r>
        <w:rPr>
          <w:rFonts w:hint="eastAsia" w:ascii="楷体" w:hAnsi="楷体" w:eastAsia="楷体" w:cs="宋体"/>
          <w:b/>
          <w:kern w:val="0"/>
          <w:sz w:val="32"/>
          <w:szCs w:val="32"/>
          <w:lang w:eastAsia="zh-CN"/>
        </w:rPr>
        <w:t>政治学习</w:t>
      </w:r>
      <w:r>
        <w:rPr>
          <w:rFonts w:hint="eastAsia" w:ascii="楷体" w:hAnsi="楷体" w:eastAsia="楷体" w:cs="宋体"/>
          <w:b/>
          <w:kern w:val="0"/>
          <w:sz w:val="32"/>
          <w:szCs w:val="32"/>
        </w:rPr>
        <w:t>，</w:t>
      </w:r>
      <w:r>
        <w:rPr>
          <w:rFonts w:hint="eastAsia" w:ascii="楷体" w:hAnsi="楷体" w:eastAsia="楷体" w:cs="宋体"/>
          <w:b/>
          <w:kern w:val="0"/>
          <w:sz w:val="32"/>
          <w:szCs w:val="32"/>
          <w:lang w:eastAsia="zh-CN"/>
        </w:rPr>
        <w:t>提高服务能力</w:t>
      </w:r>
      <w:r>
        <w:rPr>
          <w:rFonts w:hint="eastAsia" w:ascii="楷体" w:hAnsi="楷体" w:eastAsia="楷体" w:cs="宋体"/>
          <w:b/>
          <w:kern w:val="0"/>
          <w:sz w:val="32"/>
          <w:szCs w:val="32"/>
        </w:rPr>
        <w:t>。</w:t>
      </w:r>
    </w:p>
    <w:p>
      <w:pPr>
        <w:keepNext w:val="0"/>
        <w:keepLines w:val="0"/>
        <w:pageBreakBefore w:val="0"/>
        <w:widowControl/>
        <w:kinsoku/>
        <w:wordWrap/>
        <w:overflowPunct/>
        <w:topLinePunct w:val="0"/>
        <w:autoSpaceDE/>
        <w:autoSpaceDN w:val="0"/>
        <w:bidi w:val="0"/>
        <w:adjustRightInd w:val="0"/>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坚持以各种形式认真学习、广泛宣传、深刻领会党的十九大精神</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习近平总书记系列重要讲话精神实质</w:t>
      </w:r>
      <w:r>
        <w:rPr>
          <w:rFonts w:hint="eastAsia" w:ascii="仿宋_GB2312" w:hAnsi="宋体" w:eastAsia="仿宋_GB2312" w:cs="宋体"/>
          <w:kern w:val="0"/>
          <w:sz w:val="32"/>
          <w:szCs w:val="32"/>
          <w:lang w:eastAsia="zh-CN"/>
        </w:rPr>
        <w:t>和</w:t>
      </w:r>
      <w:r>
        <w:rPr>
          <w:rFonts w:hint="eastAsia" w:ascii="仿宋_GB2312" w:hAnsi="宋体" w:eastAsia="仿宋_GB2312" w:cs="宋体"/>
          <w:kern w:val="0"/>
          <w:sz w:val="32"/>
          <w:szCs w:val="32"/>
        </w:rPr>
        <w:t>省委州委县委全会精神</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找准切入点，找准突破口，主动服务、靠前服务，增强工作主动性、积极性和创造性。深入开展创先争优活动，完善工商联工作年度目标考核机制，对年度的重点工作任务进行细化分解。深入开展思想、组织、队伍、制度、作风建设，努力建设“学习型、服务型、和谐型、创新型、廉洁型”工商联机关。</w:t>
      </w:r>
    </w:p>
    <w:p>
      <w:pPr>
        <w:pStyle w:val="17"/>
        <w:keepNext w:val="0"/>
        <w:keepLines w:val="0"/>
        <w:pageBreakBefore w:val="0"/>
        <w:kinsoku/>
        <w:wordWrap/>
        <w:overflowPunct/>
        <w:topLinePunct w:val="0"/>
        <w:autoSpaceDE/>
        <w:bidi w:val="0"/>
        <w:snapToGrid/>
        <w:spacing w:before="0" w:beforeAutospacing="0" w:after="0" w:afterAutospacing="0" w:line="560" w:lineRule="exact"/>
        <w:ind w:left="0" w:leftChars="0" w:right="0" w:rightChars="0" w:firstLine="642" w:firstLineChars="200"/>
        <w:jc w:val="both"/>
        <w:textAlignment w:val="auto"/>
        <w:outlineLvl w:val="9"/>
        <w:rPr>
          <w:rFonts w:hint="eastAsia" w:ascii="楷体" w:hAnsi="楷体" w:eastAsia="楷体"/>
          <w:b/>
          <w:sz w:val="32"/>
          <w:szCs w:val="32"/>
        </w:rPr>
      </w:pPr>
      <w:r>
        <w:rPr>
          <w:rFonts w:hint="eastAsia" w:ascii="楷体" w:hAnsi="楷体" w:eastAsia="楷体"/>
          <w:b/>
          <w:sz w:val="32"/>
          <w:szCs w:val="32"/>
        </w:rPr>
        <w:t>（</w:t>
      </w:r>
      <w:r>
        <w:rPr>
          <w:rFonts w:hint="eastAsia" w:ascii="楷体" w:hAnsi="楷体" w:eastAsia="楷体"/>
          <w:b/>
          <w:sz w:val="32"/>
          <w:szCs w:val="32"/>
          <w:lang w:val="en-US" w:eastAsia="zh-CN"/>
        </w:rPr>
        <w:t>2</w:t>
      </w:r>
      <w:r>
        <w:rPr>
          <w:rFonts w:hint="eastAsia" w:ascii="楷体" w:hAnsi="楷体" w:eastAsia="楷体"/>
          <w:b/>
          <w:sz w:val="32"/>
          <w:szCs w:val="32"/>
        </w:rPr>
        <w:t>）以党建为抓手，做好</w:t>
      </w:r>
      <w:r>
        <w:rPr>
          <w:rFonts w:hint="eastAsia" w:ascii="楷体" w:hAnsi="楷体" w:eastAsia="楷体"/>
          <w:b/>
          <w:sz w:val="32"/>
          <w:szCs w:val="32"/>
          <w:lang w:eastAsia="zh-CN"/>
        </w:rPr>
        <w:t>思想引导</w:t>
      </w:r>
      <w:r>
        <w:rPr>
          <w:rFonts w:hint="eastAsia" w:ascii="楷体" w:hAnsi="楷体" w:eastAsia="楷体"/>
          <w:b/>
          <w:sz w:val="32"/>
          <w:szCs w:val="32"/>
        </w:rPr>
        <w:t>。</w:t>
      </w:r>
    </w:p>
    <w:p>
      <w:pPr>
        <w:keepNext w:val="0"/>
        <w:keepLines w:val="0"/>
        <w:pageBreakBefore w:val="0"/>
        <w:widowControl/>
        <w:kinsoku/>
        <w:wordWrap/>
        <w:overflowPunct/>
        <w:topLinePunct w:val="0"/>
        <w:autoSpaceDE/>
        <w:autoSpaceDN w:val="0"/>
        <w:bidi w:val="0"/>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积极抓好我会党建工作，着力开展好</w:t>
      </w:r>
      <w:r>
        <w:rPr>
          <w:rFonts w:hint="eastAsia" w:ascii="仿宋_GB2312" w:hAnsi="宋体" w:eastAsia="仿宋_GB2312" w:cs="宋体"/>
          <w:kern w:val="0"/>
          <w:sz w:val="32"/>
          <w:szCs w:val="32"/>
          <w:lang w:eastAsia="zh-CN"/>
        </w:rPr>
        <w:t>民营</w:t>
      </w:r>
      <w:r>
        <w:rPr>
          <w:rFonts w:hint="eastAsia" w:ascii="仿宋_GB2312" w:hAnsi="宋体" w:eastAsia="仿宋_GB2312" w:cs="宋体"/>
          <w:kern w:val="0"/>
          <w:sz w:val="32"/>
          <w:szCs w:val="32"/>
        </w:rPr>
        <w:t>企业和</w:t>
      </w:r>
      <w:r>
        <w:rPr>
          <w:rFonts w:hint="eastAsia" w:ascii="仿宋_GB2312" w:hAnsi="宋体" w:eastAsia="仿宋_GB2312" w:cs="宋体"/>
          <w:kern w:val="0"/>
          <w:sz w:val="32"/>
          <w:szCs w:val="32"/>
          <w:lang w:eastAsia="zh-CN"/>
        </w:rPr>
        <w:t>民营</w:t>
      </w:r>
      <w:r>
        <w:rPr>
          <w:rFonts w:hint="eastAsia" w:ascii="仿宋_GB2312" w:hAnsi="宋体" w:eastAsia="仿宋_GB2312" w:cs="宋体"/>
          <w:kern w:val="0"/>
          <w:sz w:val="32"/>
          <w:szCs w:val="32"/>
        </w:rPr>
        <w:t>经济人士党建工作，抓好“五个基本建设”和“创先争优”活动，调动和发挥企业党组织和党员的作用。充分发挥工商联在</w:t>
      </w:r>
      <w:r>
        <w:rPr>
          <w:rFonts w:hint="eastAsia" w:ascii="仿宋_GB2312" w:hAnsi="宋体" w:eastAsia="仿宋_GB2312" w:cs="宋体"/>
          <w:kern w:val="0"/>
          <w:sz w:val="32"/>
          <w:szCs w:val="32"/>
          <w:lang w:eastAsia="zh-CN"/>
        </w:rPr>
        <w:t>民营</w:t>
      </w:r>
      <w:r>
        <w:rPr>
          <w:rFonts w:hint="eastAsia" w:ascii="仿宋_GB2312" w:hAnsi="宋体" w:eastAsia="仿宋_GB2312" w:cs="宋体"/>
          <w:kern w:val="0"/>
          <w:sz w:val="32"/>
          <w:szCs w:val="32"/>
        </w:rPr>
        <w:t>经济人士思想政治工作中的引导作用，引导非公有制经济人士爱国、敬业、诚信、守法、贡献，着力增进思想共识，做合格的中国特色社会主义事业建设者。截止</w:t>
      </w:r>
      <w:r>
        <w:rPr>
          <w:rFonts w:hint="eastAsia" w:ascii="仿宋_GB2312" w:hAnsi="宋体" w:eastAsia="仿宋_GB2312" w:cs="宋体"/>
          <w:kern w:val="0"/>
          <w:sz w:val="32"/>
          <w:szCs w:val="32"/>
          <w:lang w:eastAsia="zh-CN"/>
        </w:rPr>
        <w:t>目前</w:t>
      </w:r>
      <w:r>
        <w:rPr>
          <w:rFonts w:hint="eastAsia" w:ascii="仿宋_GB2312" w:hAnsi="宋体" w:eastAsia="仿宋_GB2312" w:cs="宋体"/>
          <w:kern w:val="0"/>
          <w:sz w:val="32"/>
          <w:szCs w:val="32"/>
        </w:rPr>
        <w:t>，组织“两学一做”集中学</w:t>
      </w:r>
      <w:r>
        <w:rPr>
          <w:rFonts w:hint="eastAsia" w:ascii="仿宋_GB2312" w:hAnsi="宋体" w:eastAsia="仿宋_GB2312" w:cs="宋体"/>
          <w:color w:val="000000"/>
          <w:kern w:val="0"/>
          <w:sz w:val="32"/>
          <w:szCs w:val="32"/>
        </w:rPr>
        <w:t>习</w:t>
      </w:r>
      <w:r>
        <w:rPr>
          <w:rFonts w:hint="eastAsia" w:ascii="仿宋_GB2312" w:hAnsi="宋体" w:eastAsia="仿宋_GB2312" w:cs="宋体"/>
          <w:color w:val="000000"/>
          <w:kern w:val="0"/>
          <w:sz w:val="32"/>
          <w:szCs w:val="32"/>
          <w:lang w:val="en-US" w:eastAsia="zh-CN"/>
        </w:rPr>
        <w:t>14</w:t>
      </w:r>
      <w:r>
        <w:rPr>
          <w:rFonts w:hint="eastAsia" w:ascii="仿宋_GB2312" w:hAnsi="宋体" w:eastAsia="仿宋_GB2312" w:cs="宋体"/>
          <w:color w:val="000000"/>
          <w:kern w:val="0"/>
          <w:sz w:val="32"/>
          <w:szCs w:val="32"/>
        </w:rPr>
        <w:t>次</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将</w:t>
      </w:r>
      <w:r>
        <w:rPr>
          <w:rFonts w:hint="eastAsia" w:ascii="仿宋_GB2312" w:hAnsi="宋体" w:eastAsia="仿宋_GB2312" w:cs="宋体"/>
          <w:kern w:val="0"/>
          <w:sz w:val="32"/>
          <w:szCs w:val="32"/>
        </w:rPr>
        <w:t>学习贯彻县委党代会精神与加强宣传中央、省、州和县委、政府对支持民营经济发展政策措施相结合、与工作</w:t>
      </w:r>
      <w:r>
        <w:rPr>
          <w:rFonts w:hint="eastAsia" w:ascii="仿宋_GB2312" w:hAnsi="宋体" w:eastAsia="仿宋_GB2312" w:cs="宋体"/>
          <w:kern w:val="0"/>
          <w:sz w:val="32"/>
          <w:szCs w:val="32"/>
          <w:lang w:eastAsia="zh-CN"/>
        </w:rPr>
        <w:t>实际</w:t>
      </w:r>
      <w:r>
        <w:rPr>
          <w:rFonts w:hint="eastAsia" w:ascii="仿宋_GB2312" w:hAnsi="宋体" w:eastAsia="仿宋_GB2312" w:cs="宋体"/>
          <w:kern w:val="0"/>
          <w:sz w:val="32"/>
          <w:szCs w:val="32"/>
        </w:rPr>
        <w:t>相结合，以“服务立会”为重点，认真履行工商联五项职能，丰富服务载体，服务大局、服务非公经济发展、服务会员企业。</w:t>
      </w:r>
      <w:r>
        <w:rPr>
          <w:rFonts w:hint="eastAsia" w:ascii="仿宋_GB2312" w:hAnsi="宋体" w:eastAsia="仿宋_GB2312" w:cs="宋体"/>
          <w:kern w:val="0"/>
          <w:sz w:val="32"/>
          <w:szCs w:val="32"/>
          <w:lang w:eastAsia="zh-CN"/>
        </w:rPr>
        <w:t>全年</w:t>
      </w:r>
      <w:r>
        <w:rPr>
          <w:rFonts w:hint="eastAsia" w:ascii="仿宋_GB2312" w:hAnsi="宋体" w:eastAsia="仿宋_GB2312" w:cs="宋体"/>
          <w:kern w:val="0"/>
          <w:sz w:val="32"/>
          <w:szCs w:val="32"/>
        </w:rPr>
        <w:t>，以“不忘创业初心.接力改革伟业”、“学习优秀.奋发图强”、“坚固纪律底线、树立清风正气”等为主题，开展党员主题活动3次。</w:t>
      </w:r>
      <w:r>
        <w:rPr>
          <w:rFonts w:hint="eastAsia" w:ascii="仿宋_GB2312" w:hAnsi="宋体" w:eastAsia="仿宋_GB2312" w:cs="宋体"/>
          <w:kern w:val="0"/>
          <w:sz w:val="32"/>
          <w:szCs w:val="32"/>
          <w:lang w:eastAsia="zh-CN"/>
        </w:rPr>
        <w:t>协同县委组织部赴宇妥藏药股份有限公司、更攀农牧民专业合作社、芸谊酒店、阿坝宁环集团等企业指导企业党建工作。同时，开展红原综合发展商会党建大调研工作，深入会员、摸清底数、积极筹备，力争年底前成立商会党支部。</w:t>
      </w:r>
    </w:p>
    <w:p>
      <w:pPr>
        <w:pStyle w:val="17"/>
        <w:keepNext w:val="0"/>
        <w:keepLines w:val="0"/>
        <w:pageBreakBefore w:val="0"/>
        <w:kinsoku/>
        <w:wordWrap/>
        <w:overflowPunct/>
        <w:topLinePunct w:val="0"/>
        <w:autoSpaceDE/>
        <w:bidi w:val="0"/>
        <w:snapToGrid/>
        <w:spacing w:before="0" w:beforeAutospacing="0" w:after="0" w:afterAutospacing="0" w:line="560" w:lineRule="exact"/>
        <w:ind w:left="0" w:leftChars="0" w:right="0" w:rightChars="0" w:firstLine="642" w:firstLineChars="200"/>
        <w:jc w:val="both"/>
        <w:textAlignment w:val="auto"/>
        <w:outlineLvl w:val="9"/>
        <w:rPr>
          <w:rFonts w:hint="eastAsia" w:ascii="楷体" w:hAnsi="楷体" w:eastAsia="楷体"/>
          <w:b/>
          <w:sz w:val="32"/>
          <w:szCs w:val="32"/>
        </w:rPr>
      </w:pPr>
      <w:r>
        <w:rPr>
          <w:rFonts w:hint="eastAsia" w:ascii="楷体" w:hAnsi="楷体" w:eastAsia="楷体"/>
          <w:b/>
          <w:sz w:val="32"/>
          <w:szCs w:val="32"/>
        </w:rPr>
        <w:t>（</w:t>
      </w:r>
      <w:r>
        <w:rPr>
          <w:rFonts w:hint="eastAsia" w:ascii="楷体" w:hAnsi="楷体" w:eastAsia="楷体"/>
          <w:b/>
          <w:sz w:val="32"/>
          <w:szCs w:val="32"/>
          <w:lang w:val="en-US" w:eastAsia="zh-CN"/>
        </w:rPr>
        <w:t>3</w:t>
      </w:r>
      <w:r>
        <w:rPr>
          <w:rFonts w:hint="eastAsia" w:ascii="楷体" w:hAnsi="楷体" w:eastAsia="楷体"/>
          <w:b/>
          <w:sz w:val="32"/>
          <w:szCs w:val="32"/>
        </w:rPr>
        <w:t>）</w:t>
      </w:r>
      <w:r>
        <w:rPr>
          <w:rFonts w:hint="eastAsia" w:ascii="楷体" w:hAnsi="楷体" w:eastAsia="楷体"/>
          <w:b/>
          <w:sz w:val="32"/>
          <w:szCs w:val="32"/>
          <w:lang w:eastAsia="zh-CN"/>
        </w:rPr>
        <w:t>发挥职能服务</w:t>
      </w:r>
      <w:r>
        <w:rPr>
          <w:rFonts w:hint="eastAsia" w:ascii="楷体" w:hAnsi="楷体" w:eastAsia="楷体"/>
          <w:b/>
          <w:sz w:val="32"/>
          <w:szCs w:val="32"/>
        </w:rPr>
        <w:t>，</w:t>
      </w:r>
      <w:r>
        <w:rPr>
          <w:rFonts w:hint="eastAsia" w:ascii="楷体" w:hAnsi="楷体" w:eastAsia="楷体"/>
          <w:b/>
          <w:sz w:val="32"/>
          <w:szCs w:val="32"/>
          <w:lang w:eastAsia="zh-CN"/>
        </w:rPr>
        <w:t>助推“两个健康”</w:t>
      </w:r>
      <w:r>
        <w:rPr>
          <w:rFonts w:hint="eastAsia" w:ascii="楷体" w:hAnsi="楷体" w:eastAsia="楷体"/>
          <w:b/>
          <w:sz w:val="32"/>
          <w:szCs w:val="32"/>
        </w:rPr>
        <w:t>。</w:t>
      </w:r>
    </w:p>
    <w:p>
      <w:pPr>
        <w:pStyle w:val="17"/>
        <w:keepNext w:val="0"/>
        <w:keepLines w:val="0"/>
        <w:pageBreakBefore w:val="0"/>
        <w:kinsoku/>
        <w:wordWrap/>
        <w:overflowPunct/>
        <w:topLinePunct w:val="0"/>
        <w:autoSpaceDE/>
        <w:bidi w:val="0"/>
        <w:snapToGrid/>
        <w:spacing w:before="0" w:beforeAutospacing="0" w:after="0" w:afterAutospacing="0" w:line="560" w:lineRule="exact"/>
        <w:ind w:left="0" w:leftChars="0" w:right="0" w:rightChars="0" w:firstLine="642" w:firstLineChars="200"/>
        <w:jc w:val="both"/>
        <w:textAlignment w:val="auto"/>
        <w:outlineLvl w:val="9"/>
        <w:rPr>
          <w:rFonts w:hint="eastAsia" w:ascii="仿宋_GB2312" w:eastAsia="仿宋_GB2312"/>
          <w:color w:val="0000FF"/>
          <w:sz w:val="32"/>
          <w:szCs w:val="32"/>
          <w:lang w:eastAsia="zh-CN"/>
        </w:rPr>
      </w:pPr>
      <w:r>
        <w:rPr>
          <w:rFonts w:hint="eastAsia" w:ascii="仿宋_GB2312" w:eastAsia="仿宋_GB2312"/>
          <w:b/>
          <w:sz w:val="32"/>
          <w:szCs w:val="32"/>
        </w:rPr>
        <w:t>一是</w:t>
      </w:r>
      <w:r>
        <w:rPr>
          <w:rFonts w:hint="eastAsia" w:ascii="仿宋_GB2312" w:eastAsia="仿宋_GB2312"/>
          <w:sz w:val="32"/>
          <w:szCs w:val="32"/>
        </w:rPr>
        <w:t>创新和改进工作方式，密切与会员的联系。坚持和规范常委会议</w:t>
      </w:r>
      <w:r>
        <w:rPr>
          <w:rFonts w:hint="eastAsia" w:ascii="仿宋_GB2312" w:eastAsia="仿宋_GB2312"/>
          <w:sz w:val="32"/>
          <w:szCs w:val="32"/>
          <w:lang w:eastAsia="zh-CN"/>
        </w:rPr>
        <w:t>、</w:t>
      </w:r>
      <w:r>
        <w:rPr>
          <w:rFonts w:hint="eastAsia" w:ascii="仿宋_GB2312" w:eastAsia="仿宋_GB2312"/>
          <w:sz w:val="32"/>
          <w:szCs w:val="32"/>
        </w:rPr>
        <w:t>主席</w:t>
      </w:r>
      <w:r>
        <w:rPr>
          <w:rFonts w:hint="eastAsia" w:ascii="仿宋_GB2312" w:eastAsia="仿宋_GB2312"/>
          <w:sz w:val="32"/>
          <w:szCs w:val="32"/>
          <w:lang w:eastAsia="zh-CN"/>
        </w:rPr>
        <w:t>会议</w:t>
      </w:r>
      <w:r>
        <w:rPr>
          <w:rFonts w:hint="eastAsia" w:ascii="仿宋_GB2312" w:eastAsia="仿宋_GB2312"/>
          <w:sz w:val="32"/>
          <w:szCs w:val="32"/>
        </w:rPr>
        <w:t>制度，</w:t>
      </w:r>
      <w:r>
        <w:rPr>
          <w:rFonts w:hint="eastAsia" w:ascii="仿宋_GB2312" w:eastAsia="仿宋_GB2312"/>
          <w:sz w:val="32"/>
          <w:szCs w:val="32"/>
          <w:lang w:eastAsia="zh-CN"/>
        </w:rPr>
        <w:t>加强与民营企业和民营经济人士沟通交流，全年</w:t>
      </w:r>
      <w:r>
        <w:rPr>
          <w:rFonts w:hint="eastAsia" w:ascii="仿宋_GB2312" w:eastAsia="仿宋_GB2312"/>
          <w:sz w:val="32"/>
          <w:szCs w:val="32"/>
        </w:rPr>
        <w:t>到牦牛乳业公司、红原县高原综合商贸城、更攀合作社、遛遛牛有限责任公司</w:t>
      </w:r>
      <w:r>
        <w:rPr>
          <w:rFonts w:hint="eastAsia" w:ascii="仿宋_GB2312" w:eastAsia="仿宋_GB2312"/>
          <w:sz w:val="32"/>
          <w:szCs w:val="32"/>
          <w:lang w:eastAsia="zh-CN"/>
        </w:rPr>
        <w:t>、各类酒店</w:t>
      </w:r>
      <w:r>
        <w:rPr>
          <w:rFonts w:hint="eastAsia" w:ascii="仿宋_GB2312" w:eastAsia="仿宋_GB2312"/>
          <w:sz w:val="32"/>
          <w:szCs w:val="32"/>
        </w:rPr>
        <w:t>等会员企业开展指导工作</w:t>
      </w:r>
      <w:r>
        <w:rPr>
          <w:rFonts w:hint="eastAsia" w:ascii="仿宋_GB2312" w:eastAsia="仿宋_GB2312"/>
          <w:sz w:val="32"/>
          <w:szCs w:val="32"/>
          <w:lang w:val="en-US" w:eastAsia="zh-CN"/>
        </w:rPr>
        <w:t>8</w:t>
      </w:r>
      <w:r>
        <w:rPr>
          <w:rFonts w:hint="eastAsia" w:ascii="仿宋_GB2312" w:eastAsia="仿宋_GB2312"/>
          <w:sz w:val="32"/>
          <w:szCs w:val="32"/>
        </w:rPr>
        <w:t>次。</w:t>
      </w:r>
      <w:r>
        <w:rPr>
          <w:rFonts w:hint="eastAsia" w:ascii="仿宋_GB2312" w:eastAsia="仿宋_GB2312"/>
          <w:b/>
          <w:sz w:val="32"/>
          <w:szCs w:val="32"/>
        </w:rPr>
        <w:t>二是</w:t>
      </w:r>
      <w:r>
        <w:rPr>
          <w:rFonts w:hint="eastAsia" w:ascii="仿宋_GB2312" w:eastAsia="仿宋_GB2312"/>
          <w:sz w:val="32"/>
          <w:szCs w:val="32"/>
        </w:rPr>
        <w:t>进一步加强行业商会建设。全面理顺全县非公经济领域内的行业商会、协会组织隶属关系，切实加强工作的指导与管理，今年</w:t>
      </w:r>
      <w:r>
        <w:rPr>
          <w:rFonts w:hint="eastAsia" w:ascii="仿宋_GB2312" w:eastAsia="仿宋_GB2312"/>
          <w:sz w:val="32"/>
          <w:szCs w:val="32"/>
          <w:lang w:eastAsia="zh-CN"/>
        </w:rPr>
        <w:t>全年</w:t>
      </w:r>
      <w:r>
        <w:rPr>
          <w:rFonts w:hint="eastAsia" w:ascii="仿宋_GB2312" w:eastAsia="仿宋_GB2312"/>
          <w:sz w:val="32"/>
          <w:szCs w:val="32"/>
        </w:rPr>
        <w:t>到成都红原商会的综合商贸城项目实地调研和指导工作2次。</w:t>
      </w:r>
      <w:r>
        <w:rPr>
          <w:rFonts w:hint="eastAsia" w:ascii="仿宋_GB2312" w:eastAsia="仿宋_GB2312"/>
          <w:b/>
          <w:bCs/>
          <w:sz w:val="32"/>
          <w:szCs w:val="32"/>
          <w:lang w:eastAsia="zh-CN"/>
        </w:rPr>
        <w:t>三是</w:t>
      </w:r>
      <w:r>
        <w:rPr>
          <w:rFonts w:hint="eastAsia" w:ascii="仿宋_GB2312" w:hAnsi="宋体" w:eastAsia="仿宋_GB2312" w:cs="宋体"/>
          <w:kern w:val="0"/>
          <w:sz w:val="32"/>
          <w:szCs w:val="32"/>
        </w:rPr>
        <w:t>加强商会管理，促进县域产业发展。积极依托成都红原异地商会加强在蓉红原籍商企之间的沟通、交流和合作，还进一步规范和推进了红原在蓉非公有制经济持续发展、非公有制经济人士健康发展，为树立和打造红原商会品牌奠定了基础。成都红原商会为规范县城区建辅材、五金和小商品等交易市场，促进相关服务产业有序健康发展，提升城市形象。</w:t>
      </w:r>
    </w:p>
    <w:p>
      <w:pPr>
        <w:keepNext w:val="0"/>
        <w:keepLines w:val="0"/>
        <w:pageBreakBefore w:val="0"/>
        <w:kinsoku/>
        <w:wordWrap/>
        <w:overflowPunct/>
        <w:topLinePunct w:val="0"/>
        <w:autoSpaceDE/>
        <w:autoSpaceDN w:val="0"/>
        <w:bidi w:val="0"/>
        <w:snapToGrid/>
        <w:spacing w:beforeAutospacing="0" w:afterAutospacing="0" w:line="560" w:lineRule="exact"/>
        <w:ind w:left="0" w:leftChars="0" w:right="0" w:rightChars="0" w:firstLine="642" w:firstLineChars="200"/>
        <w:jc w:val="both"/>
        <w:textAlignment w:val="auto"/>
        <w:outlineLvl w:val="9"/>
        <w:rPr>
          <w:rFonts w:hint="eastAsia" w:ascii="楷体" w:hAnsi="楷体" w:eastAsia="楷体" w:cs="宋体"/>
          <w:b/>
          <w:kern w:val="0"/>
          <w:sz w:val="32"/>
          <w:szCs w:val="32"/>
          <w:lang w:val="en-US" w:eastAsia="zh-CN"/>
        </w:rPr>
      </w:pPr>
      <w:r>
        <w:rPr>
          <w:rFonts w:hint="eastAsia" w:ascii="楷体" w:hAnsi="楷体" w:eastAsia="楷体" w:cs="宋体"/>
          <w:b/>
          <w:kern w:val="0"/>
          <w:sz w:val="32"/>
          <w:szCs w:val="32"/>
        </w:rPr>
        <w:t>（</w:t>
      </w:r>
      <w:r>
        <w:rPr>
          <w:rFonts w:hint="eastAsia" w:ascii="楷体" w:hAnsi="楷体" w:eastAsia="楷体" w:cs="宋体"/>
          <w:b/>
          <w:kern w:val="0"/>
          <w:sz w:val="32"/>
          <w:szCs w:val="32"/>
          <w:lang w:val="en-US" w:eastAsia="zh-CN"/>
        </w:rPr>
        <w:t>4</w:t>
      </w:r>
      <w:r>
        <w:rPr>
          <w:rFonts w:hint="eastAsia" w:ascii="楷体" w:hAnsi="楷体" w:eastAsia="楷体" w:cs="宋体"/>
          <w:b/>
          <w:kern w:val="0"/>
          <w:sz w:val="32"/>
          <w:szCs w:val="32"/>
        </w:rPr>
        <w:t>）着力精准扶贫，开展好“万企帮万村”行动</w:t>
      </w:r>
      <w:r>
        <w:rPr>
          <w:rFonts w:hint="eastAsia" w:ascii="楷体" w:hAnsi="楷体" w:eastAsia="楷体" w:cs="宋体"/>
          <w:b/>
          <w:kern w:val="0"/>
          <w:sz w:val="32"/>
          <w:szCs w:val="32"/>
          <w:lang w:val="en-US" w:eastAsia="zh-CN"/>
        </w:rPr>
        <w:t>。</w:t>
      </w:r>
    </w:p>
    <w:p>
      <w:pPr>
        <w:keepNext w:val="0"/>
        <w:keepLines w:val="0"/>
        <w:pageBreakBefore w:val="0"/>
        <w:tabs>
          <w:tab w:val="left" w:pos="1895"/>
        </w:tabs>
        <w:kinsoku/>
        <w:wordWrap/>
        <w:overflowPunct/>
        <w:topLinePunct w:val="0"/>
        <w:autoSpaceDE/>
        <w:bidi w:val="0"/>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根据四川省工商联、省扶贫和移民工作局、省光彩事业促进会上级要求，制定了我县《“万企帮万村”精准扶贫行动实施方案》。全年促成浙江省东西部协作和对口支援村企结对帮扶资金310万元。</w:t>
      </w:r>
    </w:p>
    <w:p>
      <w:pPr>
        <w:keepNext w:val="0"/>
        <w:keepLines w:val="0"/>
        <w:pageBreakBefore w:val="0"/>
        <w:widowControl/>
        <w:numPr>
          <w:ilvl w:val="0"/>
          <w:numId w:val="0"/>
        </w:numPr>
        <w:kinsoku/>
        <w:wordWrap/>
        <w:overflowPunct/>
        <w:topLinePunct w:val="0"/>
        <w:autoSpaceDE/>
        <w:bidi w:val="0"/>
        <w:snapToGrid/>
        <w:spacing w:beforeAutospacing="0" w:afterAutospacing="0" w:line="560" w:lineRule="exact"/>
        <w:ind w:left="0" w:leftChars="0" w:right="0" w:rightChars="0" w:firstLine="642" w:firstLineChars="200"/>
        <w:jc w:val="both"/>
        <w:textAlignment w:val="auto"/>
        <w:outlineLvl w:val="9"/>
        <w:rPr>
          <w:rFonts w:hint="eastAsia" w:ascii="楷体" w:hAnsi="楷体" w:eastAsia="楷体" w:cs="宋体"/>
          <w:b/>
          <w:kern w:val="0"/>
          <w:sz w:val="32"/>
          <w:szCs w:val="32"/>
        </w:rPr>
      </w:pPr>
      <w:r>
        <w:rPr>
          <w:rFonts w:hint="eastAsia" w:ascii="楷体" w:hAnsi="楷体" w:eastAsia="楷体" w:cs="宋体"/>
          <w:b/>
          <w:kern w:val="0"/>
          <w:sz w:val="32"/>
          <w:szCs w:val="32"/>
          <w:lang w:val="en-US" w:eastAsia="zh-CN" w:bidi="ar-SA"/>
        </w:rPr>
        <w:t>（5）</w:t>
      </w:r>
      <w:r>
        <w:rPr>
          <w:rFonts w:hint="eastAsia" w:ascii="楷体" w:hAnsi="楷体" w:eastAsia="楷体" w:cs="宋体"/>
          <w:b/>
          <w:kern w:val="0"/>
          <w:sz w:val="32"/>
          <w:szCs w:val="32"/>
          <w:lang w:eastAsia="zh-CN"/>
        </w:rPr>
        <w:t>深入服务联系，</w:t>
      </w:r>
      <w:r>
        <w:rPr>
          <w:rFonts w:hint="eastAsia" w:ascii="楷体" w:hAnsi="楷体" w:eastAsia="楷体" w:cs="宋体"/>
          <w:b/>
          <w:kern w:val="0"/>
          <w:sz w:val="32"/>
          <w:szCs w:val="32"/>
        </w:rPr>
        <w:t>开展</w:t>
      </w:r>
      <w:r>
        <w:rPr>
          <w:rFonts w:hint="eastAsia" w:ascii="楷体" w:hAnsi="楷体" w:eastAsia="楷体" w:cs="宋体"/>
          <w:b/>
          <w:kern w:val="0"/>
          <w:sz w:val="32"/>
          <w:szCs w:val="32"/>
          <w:lang w:eastAsia="zh-CN"/>
        </w:rPr>
        <w:t>好</w:t>
      </w:r>
      <w:r>
        <w:rPr>
          <w:rFonts w:hint="eastAsia" w:ascii="楷体" w:hAnsi="楷体" w:eastAsia="楷体" w:cs="宋体"/>
          <w:b/>
          <w:kern w:val="0"/>
          <w:sz w:val="32"/>
          <w:szCs w:val="32"/>
        </w:rPr>
        <w:t>“两联一进”工作。</w:t>
      </w:r>
    </w:p>
    <w:p>
      <w:pPr>
        <w:keepNext w:val="0"/>
        <w:keepLines w:val="0"/>
        <w:pageBreakBefore w:val="0"/>
        <w:widowControl/>
        <w:numPr>
          <w:ilvl w:val="0"/>
          <w:numId w:val="0"/>
        </w:numPr>
        <w:kinsoku/>
        <w:wordWrap/>
        <w:overflowPunct/>
        <w:topLinePunct w:val="0"/>
        <w:autoSpaceDE/>
        <w:bidi w:val="0"/>
        <w:snapToGrid/>
        <w:spacing w:beforeAutospacing="0" w:afterAutospacing="0" w:line="560" w:lineRule="exact"/>
        <w:ind w:left="0" w:leftChars="0" w:right="0" w:rightChars="0" w:firstLine="640" w:firstLineChars="200"/>
        <w:jc w:val="both"/>
        <w:textAlignment w:val="auto"/>
        <w:outlineLvl w:val="9"/>
        <w:rPr>
          <w:rFonts w:hint="default" w:ascii="仿宋_GB2312" w:eastAsia="仿宋_GB2312"/>
          <w:sz w:val="32"/>
          <w:szCs w:val="32"/>
          <w:lang w:val="en-US"/>
        </w:rPr>
      </w:pPr>
      <w:r>
        <w:rPr>
          <w:rFonts w:hint="eastAsia" w:ascii="仿宋_GB2312" w:hAnsi="宋体" w:eastAsia="仿宋_GB2312" w:cs="宋体"/>
          <w:kern w:val="0"/>
          <w:sz w:val="32"/>
          <w:szCs w:val="32"/>
        </w:rPr>
        <w:t>今年，我会多次深入邛溪镇玉龙社区开展驻村帮扶指导工作。3月维稳重点时期，选派工作人员1名协助邛溪镇玉龙社区开展各项工作。</w:t>
      </w:r>
      <w:r>
        <w:rPr>
          <w:rFonts w:hint="eastAsia" w:ascii="仿宋_GB2312" w:hAnsi="宋体" w:eastAsia="仿宋_GB2312" w:cs="宋体"/>
          <w:kern w:val="0"/>
          <w:sz w:val="32"/>
          <w:szCs w:val="32"/>
          <w:lang w:eastAsia="zh-CN"/>
        </w:rPr>
        <w:t>多次深入联系户家中，开展好服务工作，用情用心深入推进联户联情工作，并为残疾联系户贫困残疾联系户送去价值</w:t>
      </w:r>
      <w:r>
        <w:rPr>
          <w:rFonts w:hint="eastAsia" w:ascii="仿宋_GB2312" w:hAnsi="宋体" w:eastAsia="仿宋_GB2312" w:cs="宋体"/>
          <w:kern w:val="0"/>
          <w:sz w:val="32"/>
          <w:szCs w:val="32"/>
          <w:lang w:val="en-US" w:eastAsia="zh-CN"/>
        </w:rPr>
        <w:t>600元</w:t>
      </w:r>
      <w:r>
        <w:rPr>
          <w:rFonts w:hint="eastAsia" w:ascii="仿宋_GB2312" w:hAnsi="宋体" w:eastAsia="仿宋_GB2312" w:cs="宋体"/>
          <w:kern w:val="0"/>
          <w:sz w:val="32"/>
          <w:szCs w:val="32"/>
          <w:lang w:eastAsia="zh-CN"/>
        </w:rPr>
        <w:t>慰问品。多次深入联系僧人家中，送去价值</w:t>
      </w:r>
      <w:r>
        <w:rPr>
          <w:rFonts w:hint="eastAsia" w:ascii="仿宋_GB2312" w:hAnsi="宋体" w:eastAsia="仿宋_GB2312" w:cs="宋体"/>
          <w:kern w:val="0"/>
          <w:sz w:val="32"/>
          <w:szCs w:val="32"/>
          <w:lang w:val="en-US" w:eastAsia="zh-CN"/>
        </w:rPr>
        <w:t>600元</w:t>
      </w:r>
      <w:r>
        <w:rPr>
          <w:rFonts w:hint="eastAsia" w:ascii="仿宋_GB2312" w:hAnsi="宋体" w:eastAsia="仿宋_GB2312" w:cs="宋体"/>
          <w:kern w:val="0"/>
          <w:sz w:val="32"/>
          <w:szCs w:val="32"/>
          <w:lang w:eastAsia="zh-CN"/>
        </w:rPr>
        <w:t>慰问品，传达党和政府的相关政策，做好服务工作。截止目前，共入户</w:t>
      </w:r>
      <w:r>
        <w:rPr>
          <w:rFonts w:hint="eastAsia" w:ascii="仿宋_GB2312" w:hAnsi="宋体" w:eastAsia="仿宋_GB2312" w:cs="宋体"/>
          <w:kern w:val="0"/>
          <w:sz w:val="32"/>
          <w:szCs w:val="32"/>
          <w:lang w:val="en-US" w:eastAsia="zh-CN"/>
        </w:rPr>
        <w:t>70余人次。</w:t>
      </w:r>
    </w:p>
    <w:p>
      <w:pPr>
        <w:keepNext w:val="0"/>
        <w:keepLines w:val="0"/>
        <w:pageBreakBefore w:val="0"/>
        <w:widowControl/>
        <w:numPr>
          <w:ilvl w:val="0"/>
          <w:numId w:val="0"/>
        </w:numPr>
        <w:kinsoku/>
        <w:wordWrap/>
        <w:overflowPunct/>
        <w:topLinePunct w:val="0"/>
        <w:autoSpaceDE/>
        <w:bidi w:val="0"/>
        <w:snapToGrid/>
        <w:spacing w:beforeAutospacing="0" w:afterAutospacing="0" w:line="560" w:lineRule="exact"/>
        <w:ind w:left="0" w:leftChars="0" w:right="0" w:rightChars="0" w:firstLine="642" w:firstLineChars="200"/>
        <w:jc w:val="both"/>
        <w:textAlignment w:val="auto"/>
        <w:outlineLvl w:val="9"/>
        <w:rPr>
          <w:rFonts w:hint="eastAsia" w:ascii="楷体" w:hAnsi="楷体" w:eastAsia="楷体" w:cs="宋体"/>
          <w:b/>
          <w:kern w:val="0"/>
          <w:sz w:val="32"/>
          <w:szCs w:val="32"/>
        </w:rPr>
      </w:pPr>
      <w:r>
        <w:rPr>
          <w:rFonts w:hint="eastAsia" w:ascii="楷体" w:hAnsi="楷体" w:eastAsia="楷体" w:cs="宋体"/>
          <w:b/>
          <w:kern w:val="0"/>
          <w:sz w:val="32"/>
          <w:szCs w:val="32"/>
          <w:lang w:val="en-US" w:eastAsia="zh-CN" w:bidi="ar-SA"/>
        </w:rPr>
        <w:t>（6）</w:t>
      </w:r>
      <w:r>
        <w:rPr>
          <w:rFonts w:hint="eastAsia" w:ascii="楷体" w:hAnsi="楷体" w:eastAsia="楷体" w:cs="宋体"/>
          <w:b/>
          <w:kern w:val="0"/>
          <w:sz w:val="32"/>
          <w:szCs w:val="32"/>
        </w:rPr>
        <w:t>凝聚</w:t>
      </w:r>
      <w:r>
        <w:rPr>
          <w:rFonts w:hint="eastAsia" w:ascii="楷体" w:hAnsi="楷体" w:eastAsia="楷体" w:cs="宋体"/>
          <w:b/>
          <w:kern w:val="0"/>
          <w:sz w:val="32"/>
          <w:szCs w:val="32"/>
          <w:lang w:eastAsia="zh-CN"/>
        </w:rPr>
        <w:t>企业</w:t>
      </w:r>
      <w:r>
        <w:rPr>
          <w:rFonts w:hint="eastAsia" w:ascii="楷体" w:hAnsi="楷体" w:eastAsia="楷体" w:cs="宋体"/>
          <w:b/>
          <w:kern w:val="0"/>
          <w:sz w:val="32"/>
          <w:szCs w:val="32"/>
        </w:rPr>
        <w:t>合力，驰援防疫一线。</w:t>
      </w:r>
    </w:p>
    <w:p>
      <w:pPr>
        <w:keepNext w:val="0"/>
        <w:keepLines w:val="0"/>
        <w:pageBreakBefore w:val="0"/>
        <w:widowControl/>
        <w:numPr>
          <w:ilvl w:val="0"/>
          <w:numId w:val="0"/>
        </w:numPr>
        <w:kinsoku/>
        <w:wordWrap/>
        <w:overflowPunct/>
        <w:topLinePunct w:val="0"/>
        <w:autoSpaceDE/>
        <w:autoSpaceDN w:val="0"/>
        <w:bidi w:val="0"/>
        <w:snapToGrid/>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在疫情期间，</w:t>
      </w:r>
      <w:r>
        <w:rPr>
          <w:rFonts w:hint="eastAsia" w:ascii="仿宋_GB2312" w:hAnsi="宋体" w:eastAsia="仿宋_GB2312" w:cs="宋体"/>
          <w:kern w:val="0"/>
          <w:sz w:val="32"/>
          <w:szCs w:val="32"/>
          <w:lang w:eastAsia="zh-CN"/>
        </w:rPr>
        <w:t>组织动员</w:t>
      </w:r>
      <w:r>
        <w:rPr>
          <w:rFonts w:hint="eastAsia" w:ascii="仿宋_GB2312" w:hAnsi="宋体" w:eastAsia="仿宋_GB2312" w:cs="宋体"/>
          <w:kern w:val="0"/>
          <w:sz w:val="32"/>
          <w:szCs w:val="32"/>
        </w:rPr>
        <w:t>全县11个</w:t>
      </w:r>
      <w:r>
        <w:rPr>
          <w:rFonts w:hint="eastAsia" w:ascii="仿宋_GB2312" w:hAnsi="宋体" w:eastAsia="仿宋_GB2312" w:cs="宋体"/>
          <w:kern w:val="0"/>
          <w:sz w:val="32"/>
          <w:szCs w:val="32"/>
          <w:lang w:eastAsia="zh-CN"/>
        </w:rPr>
        <w:t>民营企业</w:t>
      </w:r>
      <w:r>
        <w:rPr>
          <w:rFonts w:hint="eastAsia" w:ascii="仿宋_GB2312" w:hAnsi="宋体" w:eastAsia="仿宋_GB2312" w:cs="宋体"/>
          <w:kern w:val="0"/>
          <w:sz w:val="32"/>
          <w:szCs w:val="32"/>
        </w:rPr>
        <w:t>和</w:t>
      </w:r>
      <w:r>
        <w:rPr>
          <w:rFonts w:hint="eastAsia" w:ascii="仿宋_GB2312" w:hAnsi="宋体" w:eastAsia="仿宋_GB2312" w:cs="宋体"/>
          <w:kern w:val="0"/>
          <w:sz w:val="32"/>
          <w:szCs w:val="32"/>
          <w:lang w:eastAsia="zh-CN"/>
        </w:rPr>
        <w:t>企业负责人</w:t>
      </w:r>
      <w:r>
        <w:rPr>
          <w:rFonts w:hint="eastAsia" w:ascii="仿宋_GB2312" w:hAnsi="宋体" w:eastAsia="仿宋_GB2312" w:cs="宋体"/>
          <w:kern w:val="0"/>
          <w:sz w:val="32"/>
          <w:szCs w:val="32"/>
        </w:rPr>
        <w:t>深入防控一线践行初心使命，着力强化社会责任担当，主动为疫情防控尽责出力，组织</w:t>
      </w:r>
      <w:r>
        <w:rPr>
          <w:rFonts w:hint="eastAsia" w:ascii="仿宋_GB2312" w:hAnsi="宋体" w:eastAsia="仿宋_GB2312" w:cs="宋体"/>
          <w:kern w:val="0"/>
          <w:sz w:val="32"/>
          <w:szCs w:val="32"/>
          <w:lang w:eastAsia="zh-CN"/>
        </w:rPr>
        <w:t>广大民营企业</w:t>
      </w:r>
      <w:r>
        <w:rPr>
          <w:rFonts w:hint="eastAsia" w:ascii="仿宋_GB2312" w:hAnsi="宋体" w:eastAsia="仿宋_GB2312" w:cs="宋体"/>
          <w:kern w:val="0"/>
          <w:sz w:val="32"/>
          <w:szCs w:val="32"/>
        </w:rPr>
        <w:t>参与防疫工作。</w:t>
      </w:r>
      <w:r>
        <w:rPr>
          <w:rFonts w:hint="eastAsia" w:ascii="仿宋_GB2312" w:hAnsi="宋体" w:eastAsia="仿宋_GB2312" w:cs="宋体"/>
          <w:kern w:val="0"/>
          <w:sz w:val="32"/>
          <w:szCs w:val="32"/>
          <w:lang w:eastAsia="zh-CN"/>
        </w:rPr>
        <w:t>今年，</w:t>
      </w:r>
      <w:r>
        <w:rPr>
          <w:rFonts w:hint="eastAsia" w:ascii="仿宋_GB2312" w:hAnsi="宋体" w:eastAsia="仿宋_GB2312" w:cs="宋体"/>
          <w:kern w:val="0"/>
          <w:sz w:val="32"/>
          <w:szCs w:val="32"/>
        </w:rPr>
        <w:t>全县</w:t>
      </w:r>
      <w:r>
        <w:rPr>
          <w:rFonts w:hint="eastAsia" w:ascii="仿宋_GB2312" w:hAnsi="宋体" w:eastAsia="仿宋_GB2312" w:cs="宋体"/>
          <w:kern w:val="0"/>
          <w:sz w:val="32"/>
          <w:szCs w:val="32"/>
          <w:lang w:eastAsia="zh-CN"/>
        </w:rPr>
        <w:t>民营企业</w:t>
      </w:r>
      <w:r>
        <w:rPr>
          <w:rFonts w:hint="eastAsia" w:ascii="仿宋_GB2312" w:hAnsi="宋体" w:eastAsia="仿宋_GB2312" w:cs="宋体"/>
          <w:kern w:val="0"/>
          <w:sz w:val="32"/>
          <w:szCs w:val="32"/>
        </w:rPr>
        <w:t>为疫情防控提供最直接的支持与保障。县牦牛乳业分公司分批次向四川华西医院、四川省人民医院以及湖北武汉的一线医院捐赠114248盒牦牛奶粉；9家</w:t>
      </w:r>
      <w:r>
        <w:rPr>
          <w:rFonts w:hint="eastAsia" w:ascii="仿宋_GB2312" w:hAnsi="宋体" w:eastAsia="仿宋_GB2312" w:cs="宋体"/>
          <w:kern w:val="0"/>
          <w:sz w:val="32"/>
          <w:szCs w:val="32"/>
          <w:lang w:eastAsia="zh-CN"/>
        </w:rPr>
        <w:t>民营企业</w:t>
      </w:r>
      <w:r>
        <w:rPr>
          <w:rFonts w:hint="eastAsia" w:ascii="仿宋_GB2312" w:hAnsi="宋体" w:eastAsia="仿宋_GB2312" w:cs="宋体"/>
          <w:kern w:val="0"/>
          <w:sz w:val="32"/>
          <w:szCs w:val="32"/>
        </w:rPr>
        <w:t>通过实施“两新联千村.党建助振新”行动，共为贫困户提供就业岗位80余个，帮助村加工销售畜牧产品40余万元，有效增加村级集体经济发展动力。自疫情发生生以来，成都红原商会发挥自身优势，广泛动员各方力量，积极组织动员会员企业多方筹集物资，支援红原抗疫</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将8000个口罩和300斤84消毒液捐赠给疫情应急指挥部。</w:t>
      </w:r>
      <w:r>
        <w:rPr>
          <w:rFonts w:hint="eastAsia" w:ascii="仿宋_GB2312" w:hAnsi="宋体" w:eastAsia="仿宋_GB2312" w:cs="宋体"/>
          <w:kern w:val="0"/>
          <w:sz w:val="32"/>
          <w:szCs w:val="32"/>
          <w:lang w:eastAsia="zh-CN"/>
        </w:rPr>
        <w:t>并</w:t>
      </w:r>
      <w:r>
        <w:rPr>
          <w:rFonts w:hint="eastAsia" w:ascii="仿宋_GB2312" w:hAnsi="宋体" w:eastAsia="仿宋_GB2312" w:cs="宋体"/>
          <w:kern w:val="0"/>
          <w:sz w:val="32"/>
          <w:szCs w:val="32"/>
        </w:rPr>
        <w:t>深入11个乡镇、6座寺庙、5个卫生防疫检查卡点、3个治安服务卡点和4个县级医疗服机构、2个窗口服务企业、环卫工人服务站以及县城养老院、色地五保家园等处，将价值16万元的医用口罩、消毒液和方便面、牦牛肉干、奶粉、牛奶等物资送到一线抗疫人员手中，向他们送上亲切的问候。</w:t>
      </w:r>
    </w:p>
    <w:p>
      <w:pPr>
        <w:keepNext w:val="0"/>
        <w:keepLines w:val="0"/>
        <w:pageBreakBefore w:val="0"/>
        <w:widowControl/>
        <w:numPr>
          <w:ilvl w:val="0"/>
          <w:numId w:val="0"/>
        </w:numPr>
        <w:kinsoku/>
        <w:wordWrap/>
        <w:overflowPunct/>
        <w:topLinePunct w:val="0"/>
        <w:autoSpaceDE/>
        <w:bidi w:val="0"/>
        <w:snapToGrid/>
        <w:spacing w:beforeAutospacing="0" w:afterAutospacing="0" w:line="560" w:lineRule="exact"/>
        <w:ind w:left="0" w:leftChars="0" w:right="0" w:rightChars="0" w:firstLine="642" w:firstLineChars="200"/>
        <w:jc w:val="both"/>
        <w:textAlignment w:val="auto"/>
        <w:outlineLvl w:val="9"/>
        <w:rPr>
          <w:rFonts w:hint="eastAsia" w:ascii="楷体" w:hAnsi="楷体" w:eastAsia="楷体" w:cs="宋体"/>
          <w:b/>
          <w:kern w:val="0"/>
          <w:sz w:val="32"/>
          <w:szCs w:val="32"/>
          <w:lang w:eastAsia="zh-CN"/>
        </w:rPr>
      </w:pPr>
      <w:r>
        <w:rPr>
          <w:rFonts w:hint="eastAsia" w:ascii="楷体" w:hAnsi="楷体" w:eastAsia="楷体" w:cs="宋体"/>
          <w:b/>
          <w:kern w:val="0"/>
          <w:sz w:val="32"/>
          <w:szCs w:val="32"/>
          <w:lang w:val="en-US" w:eastAsia="zh-CN" w:bidi="ar-SA"/>
        </w:rPr>
        <w:t>（7）</w:t>
      </w:r>
      <w:r>
        <w:rPr>
          <w:rFonts w:hint="eastAsia" w:ascii="楷体" w:hAnsi="楷体" w:eastAsia="楷体" w:cs="宋体"/>
          <w:b/>
          <w:kern w:val="0"/>
          <w:sz w:val="32"/>
          <w:szCs w:val="32"/>
          <w:lang w:eastAsia="zh-CN"/>
        </w:rPr>
        <w:t>优化营商环境，打击网络侵权。</w:t>
      </w:r>
    </w:p>
    <w:p>
      <w:pPr>
        <w:keepNext w:val="0"/>
        <w:keepLines w:val="0"/>
        <w:pageBreakBefore w:val="0"/>
        <w:kinsoku/>
        <w:wordWrap/>
        <w:overflowPunct/>
        <w:topLinePunct w:val="0"/>
        <w:autoSpaceDE/>
        <w:bidi w:val="0"/>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根据省网信办、省工商联《关于组织观看</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“优化营商环境，打击网络侵权”主题活动知识微课</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的通知》要求，我会组织我驻会干部、执委会常委、民营经济人士共计</w:t>
      </w:r>
      <w:r>
        <w:rPr>
          <w:rFonts w:hint="eastAsia" w:ascii="仿宋_GB2312" w:hAnsi="仿宋_GB2312" w:eastAsia="仿宋_GB2312" w:cs="仿宋_GB2312"/>
          <w:sz w:val="32"/>
          <w:szCs w:val="32"/>
          <w:lang w:val="en-US" w:eastAsia="zh-CN"/>
        </w:rPr>
        <w:t>20余人、民营企业12家收看“</w:t>
      </w:r>
      <w:r>
        <w:rPr>
          <w:rFonts w:hint="eastAsia" w:ascii="仿宋_GB2312" w:hAnsi="仿宋_GB2312" w:eastAsia="仿宋_GB2312" w:cs="仿宋_GB2312"/>
          <w:sz w:val="32"/>
          <w:szCs w:val="32"/>
          <w:lang w:eastAsia="zh-CN"/>
        </w:rPr>
        <w:t>优化营商环境，打击网络侵权”主题活动知识微课。</w:t>
      </w:r>
      <w:r>
        <w:rPr>
          <w:rFonts w:hint="eastAsia" w:ascii="仿宋_GB2312" w:hAnsi="仿宋_GB2312" w:eastAsia="仿宋_GB2312" w:cs="仿宋_GB2312"/>
          <w:kern w:val="2"/>
          <w:sz w:val="32"/>
          <w:szCs w:val="32"/>
          <w:lang w:val="en-US" w:eastAsia="zh-CN" w:bidi="ar-SA"/>
        </w:rPr>
        <w:t>旨在对我会今后优化营商环境，打击网络侵权工作指明了方向，及时解读了优化营商环境的政策措施，下一步，我会将与民营经济人士、民营企业共同协作及时梳理研究民营企业关注的重点、难点问题，建立健全优化营商环境网络侵权投诉举报机制，形成网络侵权处置工作的合力，坚决打击网络侵权行为，与相关部门协作适时公开曝光反面典型案例，为企业营造更好的发展环境。</w:t>
      </w:r>
    </w:p>
    <w:p>
      <w:pPr>
        <w:keepNext w:val="0"/>
        <w:keepLines w:val="0"/>
        <w:pageBreakBefore w:val="0"/>
        <w:numPr>
          <w:ilvl w:val="0"/>
          <w:numId w:val="0"/>
        </w:numPr>
        <w:kinsoku/>
        <w:wordWrap/>
        <w:overflowPunct/>
        <w:topLinePunct w:val="0"/>
        <w:autoSpaceDE/>
        <w:bidi w:val="0"/>
        <w:snapToGrid/>
        <w:spacing w:beforeAutospacing="0" w:afterAutospacing="0" w:line="560" w:lineRule="exact"/>
        <w:ind w:left="0" w:leftChars="0" w:right="0" w:rightChars="0" w:firstLine="642" w:firstLineChars="200"/>
        <w:jc w:val="both"/>
        <w:textAlignment w:val="auto"/>
        <w:outlineLvl w:val="9"/>
        <w:rPr>
          <w:rFonts w:hint="eastAsia" w:ascii="楷体" w:hAnsi="楷体" w:eastAsia="楷体" w:cs="宋体"/>
          <w:b/>
          <w:kern w:val="0"/>
          <w:sz w:val="32"/>
          <w:szCs w:val="32"/>
          <w:lang w:eastAsia="zh-CN"/>
        </w:rPr>
      </w:pPr>
      <w:r>
        <w:rPr>
          <w:rFonts w:hint="eastAsia" w:ascii="楷体" w:hAnsi="楷体" w:eastAsia="楷体" w:cs="宋体"/>
          <w:b/>
          <w:kern w:val="0"/>
          <w:sz w:val="32"/>
          <w:szCs w:val="32"/>
          <w:lang w:val="en-US" w:eastAsia="zh-CN" w:bidi="ar-SA"/>
        </w:rPr>
        <w:t>（8）</w:t>
      </w:r>
      <w:r>
        <w:rPr>
          <w:rFonts w:hint="eastAsia" w:ascii="楷体" w:hAnsi="楷体" w:eastAsia="楷体" w:cs="宋体"/>
          <w:b/>
          <w:kern w:val="0"/>
          <w:sz w:val="32"/>
          <w:szCs w:val="32"/>
          <w:lang w:val="en-US" w:eastAsia="zh-CN"/>
        </w:rPr>
        <w:t>落实主体责任，做好巡察整改</w:t>
      </w:r>
      <w:r>
        <w:rPr>
          <w:rFonts w:hint="eastAsia" w:ascii="楷体" w:hAnsi="楷体" w:eastAsia="楷体" w:cs="宋体"/>
          <w:b/>
          <w:kern w:val="0"/>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我会落实全面从严治党主体责任。</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落实党风廉政建设工作责任制。坚持把党的思想建设放在首位，坚定正确政治方向，把好准则，不碰“红线”， 守好“底线”。明确一岗双责，深入推进“两学一做＂学习教育，党组书记统筹推进党的建设、业务工作和队伍建设，制定主体责任清单，细化责任部署。</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紧抓廉政教育。组织全体人员观看警示</w:t>
      </w:r>
      <w:r>
        <w:rPr>
          <w:rFonts w:hint="eastAsia" w:ascii="仿宋_GB2312" w:hAnsi="仿宋_GB2312" w:eastAsia="仿宋_GB2312" w:cs="仿宋_GB2312"/>
          <w:b w:val="0"/>
          <w:bCs w:val="0"/>
          <w:kern w:val="2"/>
          <w:sz w:val="32"/>
          <w:szCs w:val="32"/>
          <w:lang w:val="en-US" w:eastAsia="zh-CN" w:bidi="ar-SA"/>
        </w:rPr>
        <w:t>教育片，开展廉洁自律学习。强化关键环节监督，在重要节</w:t>
      </w:r>
    </w:p>
    <w:p>
      <w:pPr>
        <w:pStyle w:val="5"/>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bookmarkStart w:id="24" w:name="_Toc4841"/>
      <w:r>
        <w:rPr>
          <w:rFonts w:hint="eastAsia" w:ascii="仿宋_GB2312" w:hAnsi="仿宋_GB2312" w:eastAsia="仿宋_GB2312" w:cs="仿宋_GB2312"/>
          <w:b w:val="0"/>
          <w:bCs w:val="0"/>
          <w:kern w:val="2"/>
          <w:sz w:val="32"/>
          <w:szCs w:val="32"/>
          <w:lang w:val="en-US" w:eastAsia="zh-CN" w:bidi="ar-SA"/>
        </w:rPr>
        <w:t>假日期间加大廉政宣传和检查力度，严格执行值班等制度。三是落实巡察整改工作。自县委第二巡察组巡察以来，我会积极推进巡察整改工作，举一反三，巩固整改成果，警钟长鸣，再接再厉，全力以赴抓好巡察整改落实工作。细化干部分工，明确责任担当。坚持举一反三，确保整改成果持之以恒。坚持整改目标不变、整改力度不减，巩固整改成果，防止发生反弹。注重标本兼治，统筹推进各项工作。我会通过完善各项规章制度，将整改措施细致化、制度化、规范化、长效化，统一化，从而推动全面落实从严治党主体责任，将整改落实过程与密切干群关系、转变工作作风过程有机结合，用整改落实的实际成果促进全会工作健康发展。</w:t>
      </w:r>
      <w:bookmarkEnd w:id="24"/>
    </w:p>
    <w:p>
      <w:pPr>
        <w:pStyle w:val="5"/>
        <w:pageBreakBefore w:val="0"/>
        <w:widowControl w:val="0"/>
        <w:kinsoku/>
        <w:wordWrap/>
        <w:overflowPunct/>
        <w:topLinePunct w:val="0"/>
        <w:autoSpaceDE/>
        <w:autoSpaceDN/>
        <w:bidi w:val="0"/>
        <w:spacing w:line="576" w:lineRule="exact"/>
        <w:ind w:firstLine="640" w:firstLineChars="200"/>
        <w:textAlignment w:val="auto"/>
        <w:rPr>
          <w:rStyle w:val="31"/>
          <w:b w:val="0"/>
          <w:bCs w:val="0"/>
        </w:rPr>
      </w:pPr>
      <w:bookmarkStart w:id="25" w:name="_Toc16761"/>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bookmarkEnd w:id="25"/>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outlineLvl w:val="9"/>
        <w:rPr>
          <w:rFonts w:hint="eastAsia" w:ascii="仿宋_GB2312" w:hAnsi="仿宋_GB2312" w:eastAsia="仿宋_GB2312" w:cs="仿宋_GB2312"/>
          <w:color w:val="333333"/>
          <w:kern w:val="0"/>
          <w:sz w:val="32"/>
          <w:szCs w:val="32"/>
          <w:shd w:val="clear" w:color="auto" w:fill="FFFFFF"/>
          <w:lang w:val="en-US" w:eastAsia="zh-CN" w:bidi="ar-SA"/>
        </w:rPr>
      </w:pPr>
      <w:bookmarkStart w:id="26" w:name="_Toc15396603"/>
      <w:bookmarkStart w:id="27" w:name="_Toc15377205"/>
      <w:r>
        <w:rPr>
          <w:rFonts w:hint="eastAsia" w:ascii="仿宋_GB2312" w:hAnsi="仿宋_GB2312" w:eastAsia="仿宋_GB2312" w:cs="仿宋_GB2312"/>
          <w:color w:val="333333"/>
          <w:kern w:val="0"/>
          <w:sz w:val="32"/>
          <w:szCs w:val="32"/>
          <w:shd w:val="clear" w:color="auto" w:fill="FFFFFF"/>
          <w:lang w:val="en-US" w:eastAsia="zh-CN" w:bidi="ar-SA"/>
        </w:rPr>
        <w:t>本单位本年度纳入本套决算编制范围的独立编制机构数共1个，比上年增加0个，无变动情况；独立核算机构数共1个，比上年增加0个，无变动情况。年度年末实有人数为8人，比上年增加1人；变动情况及原因为调进一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Style w:val="31"/>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6"/>
      <w:bookmarkEnd w:id="2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本单位本年度收入调整预算数为209.53万元，收入决算数为209.53万元，预算完成度为100.00%，上年度预算完成度为100.00%。 本年度支出调整预算数为209.53万元，支出决算数为209.53万元，预算完成度为100.00%，上年度预算完成度为100.00%。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9"/>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28" w:name="_Toc15396604"/>
      <w:bookmarkStart w:id="29" w:name="_Toc15377206"/>
      <w:bookmarkStart w:id="30" w:name="_Toc8576"/>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28"/>
      <w:bookmarkEnd w:id="29"/>
      <w:bookmarkEnd w:id="30"/>
    </w:p>
    <w:p>
      <w:pPr>
        <w:spacing w:line="600" w:lineRule="exact"/>
        <w:ind w:firstLine="640" w:firstLineChars="200"/>
        <w:outlineLvl w:val="1"/>
        <w:rPr>
          <w:rFonts w:hint="eastAsia" w:ascii="仿宋" w:hAnsi="仿宋" w:eastAsia="仿宋"/>
          <w:color w:val="000000"/>
          <w:sz w:val="32"/>
          <w:szCs w:val="32"/>
        </w:rPr>
      </w:pPr>
      <w:bookmarkStart w:id="31" w:name="_Toc1820"/>
      <w:bookmarkStart w:id="32" w:name="_Toc29935"/>
      <w:bookmarkStart w:id="33" w:name="_Toc12789"/>
      <w:bookmarkStart w:id="34" w:name="_Toc21109"/>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209.53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209.53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万元，占0%。</w:t>
      </w:r>
      <w:bookmarkEnd w:id="31"/>
      <w:bookmarkEnd w:id="32"/>
      <w:bookmarkEnd w:id="33"/>
      <w:bookmarkEnd w:id="34"/>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5" w:name="_Toc15396605"/>
      <w:bookmarkStart w:id="36" w:name="_Toc20456"/>
      <w:bookmarkStart w:id="37" w:name="_Toc15377207"/>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23625"/>
      <w:bookmarkStart w:id="39" w:name="_Toc30411"/>
      <w:bookmarkStart w:id="40" w:name="_Toc31017"/>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209.53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204.58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97.64</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2.36</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38"/>
      <w:bookmarkEnd w:id="39"/>
      <w:bookmarkEnd w:id="40"/>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2"/>
        <w:ind w:left="0" w:leftChars="0" w:firstLine="0" w:firstLineChars="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3986530" cy="2093595"/>
            <wp:effectExtent l="4445" t="4445" r="9525" b="101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1" w:name="_Toc15396606"/>
      <w:bookmarkStart w:id="42" w:name="_Toc15377208"/>
    </w:p>
    <w:p>
      <w:pPr>
        <w:numPr>
          <w:ilvl w:val="0"/>
          <w:numId w:val="0"/>
        </w:numPr>
        <w:spacing w:line="600" w:lineRule="exact"/>
        <w:ind w:left="640" w:leftChars="0"/>
        <w:outlineLvl w:val="1"/>
        <w:rPr>
          <w:rStyle w:val="31"/>
          <w:rFonts w:hint="eastAsia" w:ascii="黑体" w:hAnsi="黑体" w:eastAsia="黑体"/>
          <w:b w:val="0"/>
        </w:rPr>
      </w:pPr>
      <w:bookmarkStart w:id="43" w:name="_Toc18407"/>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1"/>
      <w:bookmarkEnd w:id="42"/>
      <w:bookmarkEnd w:id="43"/>
    </w:p>
    <w:p>
      <w:pPr>
        <w:spacing w:line="600" w:lineRule="exact"/>
        <w:ind w:firstLine="640" w:firstLineChars="200"/>
        <w:rPr>
          <w:rFonts w:hint="eastAsia" w:eastAsia="仿宋"/>
          <w:lang w:val="en-US"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209.53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209.53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55.98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36.46</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增加55.98万元，上涨36.46%</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主要变动原因2021年新增一名在职人员；其他民主党派及工商事务支出</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9"/>
        <w:rPr>
          <w:rFonts w:hint="eastAsia" w:eastAsia="宋体"/>
          <w:lang w:eastAsia="zh-CN"/>
        </w:rPr>
      </w:pPr>
      <w:r>
        <w:rPr>
          <w:rFonts w:hint="eastAsia" w:eastAsia="宋体"/>
          <w:lang w:eastAsia="zh-CN"/>
        </w:rPr>
        <w:drawing>
          <wp:inline distT="0" distB="0" distL="114300" distR="114300">
            <wp:extent cx="5071745" cy="2092325"/>
            <wp:effectExtent l="4445" t="4445" r="16510" b="1143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4" w:name="_Toc15396607"/>
      <w:bookmarkStart w:id="45" w:name="_Toc15377209"/>
      <w:bookmarkStart w:id="46" w:name="_Toc13822"/>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4"/>
      <w:bookmarkEnd w:id="45"/>
      <w:bookmarkEnd w:id="46"/>
    </w:p>
    <w:p>
      <w:pPr>
        <w:spacing w:line="600" w:lineRule="exact"/>
        <w:ind w:firstLine="642"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209.53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增加55.98万元，上涨36.46%</w:t>
      </w:r>
      <w:r>
        <w:rPr>
          <w:rFonts w:hint="eastAsia" w:ascii="仿宋" w:hAnsi="仿宋" w:eastAsia="仿宋"/>
          <w:color w:val="000000"/>
          <w:sz w:val="32"/>
          <w:szCs w:val="32"/>
        </w:rPr>
        <w:t>。主</w:t>
      </w:r>
      <w:r>
        <w:rPr>
          <w:rFonts w:hint="eastAsia" w:ascii="仿宋" w:hAnsi="仿宋" w:eastAsia="仿宋"/>
          <w:color w:val="000000"/>
          <w:sz w:val="32"/>
          <w:szCs w:val="32"/>
          <w:lang w:val="en-US" w:eastAsia="zh-CN"/>
        </w:rPr>
        <w:t>主要变动原因2021年新增一名在职人员；其他民主党派及工商事务支出</w:t>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462780" cy="2525395"/>
            <wp:effectExtent l="4445" t="4445" r="15875" b="101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209.53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一般公共服务支出161.05</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76.86</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24.22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11.56</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9.21</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4.40</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15.05</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7.18</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2"/>
        <w:ind w:left="420" w:leftChars="20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234815" cy="2385695"/>
            <wp:effectExtent l="5080" t="4445" r="14605" b="101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1" w:firstLineChars="1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2" w:firstLineChars="200"/>
        <w:outlineLvl w:val="1"/>
        <w:rPr>
          <w:rFonts w:hint="eastAsia" w:ascii="仿宋" w:hAnsi="仿宋" w:eastAsia="仿宋" w:cs="仿宋"/>
          <w:color w:val="FF0000"/>
          <w:sz w:val="32"/>
          <w:szCs w:val="32"/>
        </w:rPr>
      </w:pPr>
      <w:bookmarkStart w:id="50" w:name="_Toc15377213"/>
      <w:bookmarkStart w:id="51" w:name="_Toc18179"/>
      <w:bookmarkStart w:id="52" w:name="_Toc15377444"/>
      <w:bookmarkStart w:id="53" w:name="_Toc28496"/>
      <w:bookmarkStart w:id="54" w:name="_Toc15378460"/>
      <w:bookmarkStart w:id="55" w:name="_Toc9371"/>
      <w:r>
        <w:rPr>
          <w:rFonts w:hint="eastAsia" w:ascii="仿宋" w:hAnsi="仿宋" w:eastAsia="仿宋" w:cs="仿宋"/>
          <w:b/>
          <w:color w:val="000000" w:themeColor="text1"/>
          <w:sz w:val="32"/>
          <w:szCs w:val="32"/>
          <w:lang w:val="en-US" w:eastAsia="zh-CN"/>
          <w14:textFill>
            <w14:solidFill>
              <w14:schemeClr w14:val="tx1"/>
            </w14:solidFill>
          </w14:textFill>
        </w:rPr>
        <w:t>2021</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204.57万元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50"/>
      <w:bookmarkEnd w:id="51"/>
      <w:bookmarkEnd w:id="52"/>
      <w:bookmarkEnd w:id="53"/>
      <w:bookmarkEnd w:id="54"/>
      <w:bookmarkEnd w:id="55"/>
    </w:p>
    <w:p>
      <w:pPr>
        <w:spacing w:line="600" w:lineRule="exact"/>
        <w:ind w:firstLine="642"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一般公共服务支出</w:t>
      </w:r>
      <w:r>
        <w:rPr>
          <w:rFonts w:hint="eastAsia" w:ascii="仿宋" w:hAnsi="仿宋" w:eastAsia="仿宋"/>
          <w:b/>
          <w:bCs/>
          <w:color w:val="000000"/>
          <w:sz w:val="32"/>
          <w:szCs w:val="32"/>
          <w:lang w:val="en-US" w:eastAsia="zh-CN"/>
        </w:rPr>
        <w:t>201：支出决算为156.10万元，完成预算100%。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行政运行</w:t>
      </w:r>
      <w:r>
        <w:rPr>
          <w:rFonts w:hint="eastAsia" w:ascii="仿宋" w:hAnsi="仿宋" w:eastAsia="仿宋"/>
          <w:color w:val="000000"/>
          <w:sz w:val="32"/>
          <w:szCs w:val="32"/>
          <w:lang w:val="en-US" w:eastAsia="zh-CN"/>
        </w:rPr>
        <w:t>2012801</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156.1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2"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2.社会保障和就业支出208：支出决算为24.21万元，完成预算100%。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行机关事业单位基本养老保险缴费支出2080505：支出决算为：16.14万元，完成预算100%。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机关事业单位职业年金缴费支出2080506：支出决算为8.07万元，完成预算100%。</w:t>
      </w:r>
    </w:p>
    <w:p>
      <w:pPr>
        <w:spacing w:line="600" w:lineRule="exact"/>
        <w:ind w:firstLine="642"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3.卫生健康支出210：支出决算为9.21万元，完成预算100%。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行政单位医疗2101101：支出决算为7.38万元，完成预算100%。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公务员医疗补助2101103：支出决算为1.83万元，完成预算100%。</w:t>
      </w:r>
    </w:p>
    <w:p>
      <w:pPr>
        <w:spacing w:line="600" w:lineRule="exact"/>
        <w:ind w:firstLine="642"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4.住房保障支出221：支出决算为49.67万元，完成预算100%。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住房改革支出住房公积金2210201：支出决算为15.05万元，完成预算100%。</w:t>
      </w:r>
    </w:p>
    <w:p>
      <w:pPr>
        <w:tabs>
          <w:tab w:val="right" w:pos="8306"/>
        </w:tabs>
        <w:spacing w:line="600" w:lineRule="exact"/>
        <w:ind w:firstLine="640"/>
        <w:outlineLvl w:val="1"/>
        <w:rPr>
          <w:rStyle w:val="31"/>
        </w:rPr>
      </w:pPr>
      <w:bookmarkStart w:id="56" w:name="_Toc15396608"/>
      <w:bookmarkStart w:id="57" w:name="_Toc15377214"/>
      <w:bookmarkStart w:id="58" w:name="_Toc13637"/>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6"/>
      <w:bookmarkEnd w:id="57"/>
      <w:bookmarkEnd w:id="58"/>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204.57</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人员经费192.86</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39.36万元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92.15万元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3.31万元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16.14万元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8.07万元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7.38</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1.83万元、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1.67万元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15.05万元、医疗费0.84万元，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7.05万元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1171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4.30万元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0.52万元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手续费0万元、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1.37万元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1.76万元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维修（护）费0.2万元、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0万元、劳务费0.18万元、委托业务费0.96万元、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2.41万元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59" w:name="_Toc22425"/>
      <w:bookmarkStart w:id="60" w:name="_Toc15377215"/>
      <w:bookmarkStart w:id="61" w:name="_Toc15396609"/>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9"/>
      <w:bookmarkEnd w:id="60"/>
      <w:bookmarkEnd w:id="61"/>
    </w:p>
    <w:p>
      <w:pPr>
        <w:spacing w:line="600" w:lineRule="exact"/>
        <w:ind w:firstLine="640"/>
        <w:outlineLvl w:val="2"/>
        <w:rPr>
          <w:rFonts w:ascii="仿宋" w:hAnsi="仿宋" w:eastAsia="仿宋"/>
          <w:b/>
          <w:color w:val="000000"/>
          <w:sz w:val="32"/>
          <w:szCs w:val="32"/>
        </w:rPr>
      </w:pPr>
      <w:bookmarkStart w:id="62" w:name="_Toc15377216"/>
      <w:r>
        <w:rPr>
          <w:rFonts w:hint="eastAsia" w:ascii="仿宋" w:hAnsi="仿宋" w:eastAsia="仿宋"/>
          <w:b/>
          <w:color w:val="000000"/>
          <w:sz w:val="32"/>
          <w:szCs w:val="32"/>
        </w:rPr>
        <w:t>（一）“三公”经费财政拨款支出决算总体情况说明</w:t>
      </w:r>
      <w:bookmarkEnd w:id="6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3.12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3" w:name="_Toc15377217"/>
      <w:r>
        <w:rPr>
          <w:rFonts w:hint="eastAsia" w:ascii="仿宋" w:hAnsi="仿宋" w:eastAsia="仿宋"/>
          <w:b/>
          <w:color w:val="000000"/>
          <w:sz w:val="32"/>
          <w:szCs w:val="32"/>
        </w:rPr>
        <w:t>（二）“三公”经费财政拨款支出决算具体情况说明</w:t>
      </w:r>
      <w:bookmarkEnd w:id="6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eastAsia="宋体"/>
          <w:lang w:eastAsia="zh-CN"/>
        </w:rPr>
      </w:pPr>
      <w:r>
        <w:rPr>
          <w:rFonts w:hint="eastAsia" w:eastAsia="宋体"/>
          <w:lang w:eastAsia="zh-CN"/>
        </w:rPr>
        <w:drawing>
          <wp:inline distT="0" distB="0" distL="114300" distR="114300">
            <wp:extent cx="4126865" cy="2150110"/>
            <wp:effectExtent l="5080" t="4445" r="825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1"/>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3.12</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见少年。</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3.12</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人次（包括陪同人员）。</w:t>
      </w:r>
    </w:p>
    <w:p>
      <w:pPr>
        <w:spacing w:line="600" w:lineRule="exact"/>
        <w:ind w:firstLine="642"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4" w:name="_Toc15396610"/>
      <w:bookmarkStart w:id="65" w:name="_Toc15377218"/>
    </w:p>
    <w:p>
      <w:pPr>
        <w:spacing w:line="600" w:lineRule="exact"/>
        <w:ind w:firstLine="640"/>
        <w:outlineLvl w:val="1"/>
        <w:rPr>
          <w:rStyle w:val="31"/>
          <w:rFonts w:ascii="黑体" w:hAnsi="黑体" w:eastAsia="黑体"/>
        </w:rPr>
      </w:pPr>
      <w:bookmarkStart w:id="66" w:name="_Toc30261"/>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4"/>
      <w:bookmarkEnd w:id="65"/>
      <w:bookmarkEnd w:id="6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67" w:name="_Toc15377219"/>
      <w:bookmarkStart w:id="68" w:name="_Toc15396611"/>
      <w:bookmarkStart w:id="69" w:name="_Toc8970"/>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67"/>
      <w:bookmarkEnd w:id="68"/>
      <w:bookmarkEnd w:id="69"/>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70" w:name="_Toc15396612"/>
      <w:bookmarkStart w:id="71" w:name="_Toc15377221"/>
      <w:bookmarkStart w:id="72" w:name="_Toc30270"/>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70"/>
      <w:bookmarkEnd w:id="71"/>
      <w:bookmarkEnd w:id="72"/>
    </w:p>
    <w:p>
      <w:pPr>
        <w:spacing w:line="600" w:lineRule="exact"/>
        <w:ind w:firstLine="642" w:firstLineChars="200"/>
        <w:outlineLvl w:val="2"/>
        <w:rPr>
          <w:rFonts w:ascii="仿宋" w:hAnsi="仿宋" w:eastAsia="仿宋"/>
          <w:color w:val="000000"/>
          <w:sz w:val="32"/>
          <w:szCs w:val="32"/>
        </w:rPr>
      </w:pPr>
      <w:bookmarkStart w:id="73" w:name="_Toc15377222"/>
      <w:r>
        <w:rPr>
          <w:rFonts w:hint="eastAsia" w:ascii="仿宋" w:hAnsi="仿宋" w:eastAsia="仿宋"/>
          <w:b/>
          <w:color w:val="000000"/>
          <w:sz w:val="32"/>
          <w:szCs w:val="32"/>
        </w:rPr>
        <w:t>（一）机关运行经费支出情况</w:t>
      </w:r>
      <w:bookmarkEnd w:id="73"/>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工商业联合会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3.12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2020年减少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74" w:name="_Toc15377223"/>
      <w:r>
        <w:rPr>
          <w:rFonts w:hint="eastAsia" w:ascii="仿宋" w:hAnsi="仿宋" w:eastAsia="仿宋"/>
          <w:b/>
          <w:color w:val="000000"/>
          <w:sz w:val="32"/>
          <w:szCs w:val="32"/>
        </w:rPr>
        <w:t>（二）政府采购支出情况</w:t>
      </w:r>
      <w:bookmarkEnd w:id="7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工商业联合会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75" w:name="_Toc15377224"/>
      <w:r>
        <w:rPr>
          <w:rFonts w:hint="eastAsia" w:ascii="仿宋" w:hAnsi="仿宋" w:eastAsia="仿宋"/>
          <w:b/>
          <w:color w:val="000000"/>
          <w:sz w:val="32"/>
          <w:szCs w:val="32"/>
        </w:rPr>
        <w:t>（三）国有资产占有使用情况</w:t>
      </w:r>
      <w:bookmarkEnd w:id="75"/>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工商业联合会</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autoSpaceDE w:val="0"/>
        <w:autoSpaceDN w:val="0"/>
        <w:adjustRightInd w:val="0"/>
        <w:spacing w:line="600" w:lineRule="exact"/>
        <w:ind w:firstLine="642"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 xml:space="preserve"> 开展换届工作等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2.重点项目预算的绩效评价结果等情况</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本部门无重点项目</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eastAsia="仿宋_GB2312"/>
          <w:color w:val="000000"/>
          <w:sz w:val="32"/>
          <w:szCs w:val="32"/>
          <w:lang w:val="en-US" w:eastAsia="zh-CN"/>
        </w:rPr>
        <w:t>工商业联合会</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30"/>
          <w:rFonts w:ascii="黑体" w:hAnsi="黑体" w:eastAsia="黑体"/>
          <w:b w:val="0"/>
        </w:rPr>
      </w:pPr>
      <w:bookmarkStart w:id="76" w:name="_Toc15396613"/>
      <w:bookmarkStart w:id="77" w:name="_Toc21621"/>
      <w:bookmarkStart w:id="78" w:name="_Toc15377225"/>
      <w:r>
        <w:rPr>
          <w:rFonts w:hint="eastAsia" w:ascii="黑体" w:hAnsi="黑体" w:eastAsia="黑体"/>
          <w:color w:val="000000"/>
          <w:sz w:val="44"/>
          <w:szCs w:val="44"/>
        </w:rPr>
        <w:t>名</w:t>
      </w:r>
      <w:r>
        <w:rPr>
          <w:rStyle w:val="30"/>
          <w:rFonts w:hint="eastAsia" w:ascii="黑体" w:hAnsi="黑体" w:eastAsia="黑体"/>
          <w:b w:val="0"/>
        </w:rPr>
        <w:t>词解释</w:t>
      </w:r>
      <w:bookmarkEnd w:id="76"/>
      <w:bookmarkEnd w:id="77"/>
      <w:bookmarkEnd w:id="78"/>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79"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0" w:name="_Toc17289"/>
      <w:bookmarkStart w:id="81" w:name="_Toc15396614"/>
      <w:r>
        <w:rPr>
          <w:rFonts w:hint="eastAsia" w:ascii="黑体" w:hAnsi="黑体" w:eastAsia="黑体"/>
          <w:color w:val="000000"/>
          <w:sz w:val="44"/>
          <w:szCs w:val="44"/>
        </w:rPr>
        <w:t>第</w:t>
      </w:r>
      <w:r>
        <w:rPr>
          <w:rStyle w:val="30"/>
          <w:rFonts w:hint="eastAsia" w:ascii="黑体" w:hAnsi="黑体" w:eastAsia="黑体"/>
          <w:b w:val="0"/>
        </w:rPr>
        <w:t>四部分 附件</w:t>
      </w:r>
      <w:bookmarkEnd w:id="80"/>
      <w:bookmarkEnd w:id="81"/>
    </w:p>
    <w:p>
      <w:pPr>
        <w:spacing w:line="600" w:lineRule="exact"/>
        <w:jc w:val="left"/>
        <w:outlineLvl w:val="1"/>
        <w:rPr>
          <w:rFonts w:ascii="方正小标宋简体" w:hAnsi="方正小标宋简体" w:eastAsia="方正小标宋简体" w:cs="方正小标宋简体"/>
          <w:sz w:val="32"/>
          <w:szCs w:val="32"/>
        </w:rPr>
      </w:pPr>
      <w:bookmarkStart w:id="82" w:name="_Toc26005"/>
      <w:r>
        <w:rPr>
          <w:rFonts w:hint="eastAsia" w:ascii="黑体" w:hAnsi="黑体" w:eastAsia="黑体" w:cs="黑体"/>
          <w:sz w:val="32"/>
          <w:szCs w:val="32"/>
        </w:rPr>
        <w:t>附件1</w:t>
      </w:r>
      <w:bookmarkEnd w:id="82"/>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kinsoku/>
        <w:wordWrap/>
        <w:overflowPunct/>
        <w:topLinePunct w:val="0"/>
        <w:autoSpaceDE/>
        <w:autoSpaceDN/>
        <w:bidi w:val="0"/>
        <w:spacing w:line="560" w:lineRule="exact"/>
        <w:ind w:firstLine="880" w:firstLineChars="200"/>
        <w:contextualSpacing/>
        <w:jc w:val="center"/>
        <w:textAlignment w:val="auto"/>
        <w:rPr>
          <w:rFonts w:hint="default"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红原县</w:t>
      </w:r>
      <w:r>
        <w:rPr>
          <w:rFonts w:hint="eastAsia" w:ascii="方正小标宋_GBK" w:hAnsi="方正小标宋_GBK" w:eastAsia="方正小标宋_GBK" w:cs="方正小标宋_GBK"/>
          <w:b w:val="0"/>
          <w:bCs/>
          <w:sz w:val="44"/>
          <w:szCs w:val="44"/>
          <w:shd w:val="clear" w:color="auto" w:fill="FFFFFF"/>
          <w:lang w:val="en-US" w:eastAsia="zh-CN"/>
        </w:rPr>
        <w:t>工商业联合会</w:t>
      </w:r>
    </w:p>
    <w:p>
      <w:pPr>
        <w:keepNext w:val="0"/>
        <w:keepLines w:val="0"/>
        <w:pageBreakBefore w:val="0"/>
        <w:widowControl/>
        <w:kinsoku/>
        <w:wordWrap/>
        <w:overflowPunct/>
        <w:topLinePunct w:val="0"/>
        <w:autoSpaceDE/>
        <w:autoSpaceDN/>
        <w:bidi w:val="0"/>
        <w:spacing w:line="560" w:lineRule="exact"/>
        <w:ind w:firstLine="880" w:firstLineChars="200"/>
        <w:contextualSpacing/>
        <w:jc w:val="center"/>
        <w:textAlignment w:val="auto"/>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lang w:eastAsia="zh-CN"/>
        </w:rPr>
        <w:t>关于</w:t>
      </w: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021</w:t>
      </w:r>
      <w:r>
        <w:rPr>
          <w:rFonts w:hint="eastAsia" w:ascii="方正小标宋_GBK" w:hAnsi="方正小标宋_GBK" w:eastAsia="方正小标宋_GBK" w:cs="方正小标宋_GBK"/>
          <w:b w:val="0"/>
          <w:bCs/>
          <w:sz w:val="44"/>
          <w:szCs w:val="44"/>
          <w:shd w:val="clear" w:color="auto" w:fill="FFFFFF"/>
        </w:rPr>
        <w:t>年部门整体支出绩效评价报告</w:t>
      </w:r>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ascii="黑体" w:hAnsi="宋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contextualSpacing/>
        <w:jc w:val="left"/>
        <w:textAlignment w:val="auto"/>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部门概况</w:t>
      </w:r>
    </w:p>
    <w:p>
      <w:pPr>
        <w:keepNext w:val="0"/>
        <w:keepLines w:val="0"/>
        <w:pageBreakBefore w:val="0"/>
        <w:widowControl w:val="0"/>
        <w:kinsoku/>
        <w:wordWrap/>
        <w:overflowPunct/>
        <w:topLinePunct w:val="0"/>
        <w:autoSpaceDN/>
        <w:bidi w:val="0"/>
        <w:spacing w:line="53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1.部门主要职责及机构设置情况。</w:t>
      </w:r>
    </w:p>
    <w:p>
      <w:pPr>
        <w:keepNext w:val="0"/>
        <w:keepLines w:val="0"/>
        <w:pageBreakBefore w:val="0"/>
        <w:widowControl w:val="0"/>
        <w:kinsoku/>
        <w:wordWrap/>
        <w:overflowPunct/>
        <w:topLinePunct w:val="0"/>
        <w:autoSpaceDN/>
        <w:bidi w:val="0"/>
        <w:snapToGrid w:val="0"/>
        <w:spacing w:line="53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团结、服务、引导、教育非公有制经济人士，发挥民主监督作用，积极参政议政。参与政府相关的经济活动，开展民间外交，推动经贸交流和协作，促进经济社会发展。指导本会直属商会工作，为会员提供政策信息、人才交流培训等服务。积极引导非公</w:t>
      </w:r>
    </w:p>
    <w:p>
      <w:pPr>
        <w:keepNext w:val="0"/>
        <w:keepLines w:val="0"/>
        <w:pageBreakBefore w:val="0"/>
        <w:widowControl w:val="0"/>
        <w:kinsoku/>
        <w:wordWrap/>
        <w:overflowPunct/>
        <w:topLinePunct w:val="0"/>
        <w:autoSpaceDN/>
        <w:bidi w:val="0"/>
        <w:snapToGrid w:val="0"/>
        <w:spacing w:line="53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有制企业及其非公有制经济人士承担社会责任，大力支持慈善公益事业发展，积极投身光彩事业。</w:t>
      </w:r>
    </w:p>
    <w:p>
      <w:pPr>
        <w:pStyle w:val="10"/>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cs="仿宋_GB2312"/>
          <w:b w:val="0"/>
          <w:bCs w:val="0"/>
          <w:sz w:val="32"/>
          <w:szCs w:val="32"/>
          <w:lang w:val="en-US" w:eastAsia="zh-CN"/>
        </w:rPr>
        <w:t>2.</w:t>
      </w:r>
      <w:r>
        <w:rPr>
          <w:rFonts w:hint="eastAsia" w:ascii="仿宋_GB2312" w:hAnsi="仿宋_GB2312" w:eastAsia="仿宋_GB2312" w:cs="仿宋_GB2312"/>
          <w:b w:val="0"/>
          <w:bCs w:val="0"/>
          <w:sz w:val="32"/>
          <w:szCs w:val="32"/>
        </w:rPr>
        <w:t>红原县工商联下设单位（股室）1个，其中行政单位1个，参照公务员法管理的事业单位0个，其他事业单位0个。属一级预算行政单位，执行的是政府会计制度。</w:t>
      </w:r>
    </w:p>
    <w:p>
      <w:pPr>
        <w:pStyle w:val="10"/>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hint="eastAsia" w:ascii="仿宋_GB2312" w:hAnsi="宋体" w:eastAsia="仿宋_GB2312" w:cs="宋体"/>
          <w:color w:val="000000"/>
          <w:kern w:val="0"/>
          <w:sz w:val="32"/>
          <w:szCs w:val="32"/>
          <w:lang w:val="zh-CN"/>
        </w:rPr>
      </w:pPr>
      <w:r>
        <w:rPr>
          <w:rFonts w:hint="eastAsia" w:ascii="仿宋_GB2312" w:hAnsi="仿宋_GB2312" w:eastAsia="仿宋_GB2312" w:cs="仿宋_GB2312"/>
          <w:b w:val="0"/>
          <w:bCs w:val="0"/>
          <w:sz w:val="32"/>
          <w:szCs w:val="32"/>
        </w:rPr>
        <w:t>本单位是独立核算的机构，是独立编报预算的单位。</w:t>
      </w:r>
    </w:p>
    <w:p>
      <w:pPr>
        <w:keepNext w:val="0"/>
        <w:keepLines w:val="0"/>
        <w:pageBreakBefore w:val="0"/>
        <w:kinsoku/>
        <w:wordWrap/>
        <w:overflowPunct/>
        <w:topLinePunct w:val="0"/>
        <w:autoSpaceDE/>
        <w:autoSpaceDN/>
        <w:bidi w:val="0"/>
        <w:adjustRightInd/>
        <w:spacing w:after="240"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3</w:t>
      </w:r>
      <w:r>
        <w:rPr>
          <w:rFonts w:hint="eastAsia" w:ascii="仿宋_GB2312" w:hAnsi="仿宋"/>
          <w:sz w:val="32"/>
          <w:szCs w:val="32"/>
          <w:lang w:val="en-US" w:eastAsia="zh-CN"/>
        </w:rPr>
        <w:t>.</w:t>
      </w:r>
      <w:r>
        <w:rPr>
          <w:rFonts w:hint="eastAsia" w:ascii="仿宋_GB2312" w:hAnsi="仿宋" w:eastAsia="仿宋_GB2312"/>
          <w:sz w:val="32"/>
          <w:szCs w:val="32"/>
        </w:rPr>
        <w:t>人员情况。</w:t>
      </w:r>
      <w:r>
        <w:rPr>
          <w:rFonts w:hint="eastAsia" w:ascii="仿宋_GB2312" w:hAnsi="仿宋"/>
          <w:sz w:val="32"/>
          <w:szCs w:val="32"/>
          <w:lang w:eastAsia="zh-CN"/>
        </w:rPr>
        <w:t>截至</w:t>
      </w:r>
      <w:r>
        <w:rPr>
          <w:rFonts w:hint="eastAsia" w:ascii="仿宋_GB2312" w:hAnsi="仿宋" w:eastAsia="仿宋_GB2312"/>
          <w:sz w:val="32"/>
          <w:szCs w:val="32"/>
        </w:rPr>
        <w:t>20</w:t>
      </w:r>
      <w:r>
        <w:rPr>
          <w:rFonts w:hint="eastAsia" w:ascii="仿宋_GB2312" w:hAnsi="仿宋" w:eastAsia="仿宋_GB2312"/>
          <w:sz w:val="32"/>
          <w:szCs w:val="32"/>
          <w:lang w:val="en-US" w:eastAsia="zh-CN"/>
        </w:rPr>
        <w:t>2</w:t>
      </w:r>
      <w:r>
        <w:rPr>
          <w:rFonts w:hint="eastAsia" w:ascii="仿宋_GB2312" w:hAnsi="仿宋"/>
          <w:sz w:val="32"/>
          <w:szCs w:val="32"/>
          <w:lang w:val="en-US" w:eastAsia="zh-CN"/>
        </w:rPr>
        <w:t>2</w:t>
      </w:r>
      <w:r>
        <w:rPr>
          <w:rFonts w:hint="eastAsia" w:ascii="仿宋_GB2312" w:hAnsi="仿宋" w:eastAsia="仿宋_GB2312"/>
          <w:sz w:val="32"/>
          <w:szCs w:val="32"/>
        </w:rPr>
        <w:t>年底我单位共有编制</w:t>
      </w:r>
      <w:r>
        <w:rPr>
          <w:rFonts w:hint="eastAsia" w:ascii="仿宋_GB2312" w:hAnsi="仿宋" w:eastAsia="仿宋_GB2312"/>
          <w:sz w:val="32"/>
          <w:szCs w:val="32"/>
          <w:lang w:val="en-US" w:eastAsia="zh-CN"/>
        </w:rPr>
        <w:t>工商业联合会</w:t>
      </w:r>
      <w:r>
        <w:rPr>
          <w:rFonts w:hint="eastAsia" w:ascii="仿宋_GB2312" w:hAnsi="仿宋" w:eastAsia="仿宋_GB2312"/>
          <w:sz w:val="32"/>
          <w:szCs w:val="32"/>
        </w:rPr>
        <w:t>下属二级预算单位0个，年末参照公务员法管理人员</w:t>
      </w:r>
      <w:r>
        <w:rPr>
          <w:rFonts w:hint="eastAsia" w:ascii="仿宋_GB2312" w:hAnsi="仿宋"/>
          <w:sz w:val="32"/>
          <w:szCs w:val="32"/>
          <w:lang w:val="en-US" w:eastAsia="zh-CN"/>
        </w:rPr>
        <w:t>9</w:t>
      </w:r>
      <w:r>
        <w:rPr>
          <w:rFonts w:hint="eastAsia" w:ascii="仿宋_GB2312" w:hAnsi="仿宋" w:eastAsia="仿宋_GB2312"/>
          <w:sz w:val="32"/>
          <w:szCs w:val="32"/>
        </w:rPr>
        <w:t>人。</w:t>
      </w:r>
    </w:p>
    <w:p>
      <w:pPr>
        <w:keepNext w:val="0"/>
        <w:keepLines w:val="0"/>
        <w:pageBreakBefore w:val="0"/>
        <w:kinsoku/>
        <w:wordWrap/>
        <w:overflowPunct/>
        <w:topLinePunct w:val="0"/>
        <w:autoSpaceDE/>
        <w:autoSpaceDN/>
        <w:bidi w:val="0"/>
        <w:adjustRightInd/>
        <w:spacing w:after="240" w:line="560" w:lineRule="exact"/>
        <w:ind w:firstLine="420" w:firstLineChars="200"/>
        <w:textAlignment w:val="auto"/>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本单位本年度总收入为</w:t>
      </w:r>
      <w:r>
        <w:rPr>
          <w:rFonts w:hint="eastAsia" w:ascii="仿宋_GB2312" w:hAnsi="仿宋"/>
          <w:sz w:val="32"/>
          <w:szCs w:val="32"/>
          <w:lang w:val="en-US" w:eastAsia="zh-CN"/>
        </w:rPr>
        <w:t>209.53</w:t>
      </w:r>
      <w:r>
        <w:rPr>
          <w:rFonts w:hint="eastAsia" w:ascii="仿宋_GB2312" w:hAnsi="仿宋" w:eastAsia="仿宋_GB2312"/>
          <w:sz w:val="32"/>
          <w:szCs w:val="32"/>
          <w:lang w:eastAsia="zh-CN"/>
        </w:rPr>
        <w:t>万元</w:t>
      </w:r>
      <w:r>
        <w:rPr>
          <w:rFonts w:hint="eastAsia" w:ascii="仿宋_GB2312" w:hAnsi="仿宋"/>
          <w:sz w:val="32"/>
          <w:szCs w:val="32"/>
          <w:lang w:val="en-US" w:eastAsia="zh-CN"/>
        </w:rPr>
        <w:t>,</w:t>
      </w:r>
      <w:r>
        <w:rPr>
          <w:rFonts w:hint="eastAsia" w:ascii="仿宋_GB2312" w:hAnsi="仿宋" w:eastAsia="仿宋_GB2312"/>
          <w:sz w:val="32"/>
          <w:szCs w:val="32"/>
          <w:lang w:eastAsia="zh-CN"/>
        </w:rPr>
        <w:t>其中：一般公共预算财政拨款收入为</w:t>
      </w:r>
      <w:r>
        <w:rPr>
          <w:rFonts w:hint="eastAsia" w:ascii="仿宋_GB2312" w:hAnsi="仿宋"/>
          <w:sz w:val="32"/>
          <w:szCs w:val="32"/>
          <w:lang w:val="en-US" w:eastAsia="zh-CN"/>
        </w:rPr>
        <w:t>209.53</w:t>
      </w:r>
      <w:r>
        <w:rPr>
          <w:rFonts w:hint="eastAsia" w:ascii="仿宋_GB2312" w:hAnsi="仿宋" w:eastAsia="仿宋_GB2312"/>
          <w:sz w:val="32"/>
          <w:szCs w:val="32"/>
          <w:lang w:eastAsia="zh-CN"/>
        </w:rPr>
        <w:t>万元，占比100.00%</w:t>
      </w:r>
      <w:r>
        <w:rPr>
          <w:rFonts w:hint="eastAsia" w:ascii="仿宋_GB2312" w:hAnsi="仿宋"/>
          <w:sz w:val="32"/>
          <w:szCs w:val="32"/>
          <w:lang w:eastAsia="zh-CN"/>
        </w:rPr>
        <w:t>。</w:t>
      </w:r>
      <w:r>
        <w:rPr>
          <w:rFonts w:hint="eastAsia" w:ascii="仿宋_GB2312" w:hAnsi="仿宋"/>
          <w:sz w:val="32"/>
          <w:szCs w:val="32"/>
          <w:lang w:val="en-US" w:eastAsia="zh-CN"/>
        </w:rPr>
        <w:t>较上年收入153.55</w:t>
      </w:r>
      <w:r>
        <w:rPr>
          <w:rFonts w:hint="eastAsia" w:ascii="仿宋_GB2312" w:hAnsi="仿宋" w:cs="仿宋"/>
          <w:color w:val="000000"/>
          <w:sz w:val="32"/>
          <w:szCs w:val="32"/>
          <w:lang w:eastAsia="zh-CN"/>
        </w:rPr>
        <w:t>万元</w:t>
      </w:r>
      <w:r>
        <w:rPr>
          <w:rFonts w:hint="eastAsia" w:ascii="仿宋_GB2312" w:hAnsi="仿宋" w:cs="仿宋"/>
          <w:color w:val="000000"/>
          <w:sz w:val="32"/>
          <w:szCs w:val="32"/>
          <w:lang w:val="en-US" w:eastAsia="zh-CN"/>
        </w:rPr>
        <w:t>增加55.98万元。</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42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部门财政资金支出情况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lang w:val="zh-CN"/>
        </w:rPr>
      </w:pPr>
      <w:r>
        <w:rPr>
          <w:rFonts w:hint="eastAsia" w:ascii="仿宋_GB2312" w:hAnsi="仿宋" w:eastAsia="仿宋_GB2312"/>
          <w:sz w:val="32"/>
          <w:szCs w:val="32"/>
          <w:lang w:eastAsia="zh-CN"/>
        </w:rPr>
        <w:t>本年度总支出为</w:t>
      </w:r>
      <w:r>
        <w:rPr>
          <w:rFonts w:hint="eastAsia" w:ascii="仿宋_GB2312" w:hAnsi="仿宋" w:eastAsia="仿宋_GB2312"/>
          <w:sz w:val="32"/>
          <w:szCs w:val="32"/>
          <w:lang w:val="en-US" w:eastAsia="zh-CN"/>
        </w:rPr>
        <w:t>209.53</w:t>
      </w:r>
      <w:r>
        <w:rPr>
          <w:rFonts w:hint="eastAsia" w:ascii="仿宋_GB2312" w:hAnsi="仿宋" w:eastAsia="仿宋_GB2312"/>
          <w:sz w:val="32"/>
          <w:szCs w:val="32"/>
          <w:lang w:eastAsia="zh-CN"/>
        </w:rPr>
        <w:t>万元。其中：一般公共服务支出为</w:t>
      </w:r>
      <w:r>
        <w:rPr>
          <w:rFonts w:hint="eastAsia" w:ascii="仿宋_GB2312" w:hAnsi="仿宋"/>
          <w:sz w:val="32"/>
          <w:szCs w:val="32"/>
          <w:lang w:val="en-US" w:eastAsia="zh-CN"/>
        </w:rPr>
        <w:t>161.05</w:t>
      </w:r>
      <w:r>
        <w:rPr>
          <w:rFonts w:hint="eastAsia" w:ascii="仿宋_GB2312" w:hAnsi="仿宋" w:eastAsia="仿宋_GB2312"/>
          <w:sz w:val="32"/>
          <w:szCs w:val="32"/>
          <w:lang w:eastAsia="zh-CN"/>
        </w:rPr>
        <w:t>万元，占比</w:t>
      </w:r>
      <w:r>
        <w:rPr>
          <w:rFonts w:hint="eastAsia" w:ascii="仿宋_GB2312" w:hAnsi="仿宋"/>
          <w:sz w:val="32"/>
          <w:szCs w:val="32"/>
          <w:lang w:val="en-US" w:eastAsia="zh-CN"/>
        </w:rPr>
        <w:t>76.86</w:t>
      </w:r>
      <w:r>
        <w:rPr>
          <w:rFonts w:hint="eastAsia" w:ascii="仿宋_GB2312" w:hAnsi="仿宋" w:eastAsia="仿宋_GB2312"/>
          <w:sz w:val="32"/>
          <w:szCs w:val="32"/>
          <w:lang w:eastAsia="zh-CN"/>
        </w:rPr>
        <w:t>%；社会保障和就业支出为</w:t>
      </w:r>
      <w:r>
        <w:rPr>
          <w:rFonts w:hint="eastAsia" w:ascii="仿宋_GB2312" w:hAnsi="仿宋"/>
          <w:sz w:val="32"/>
          <w:szCs w:val="32"/>
          <w:lang w:val="en-US" w:eastAsia="zh-CN"/>
        </w:rPr>
        <w:t>24.22</w:t>
      </w:r>
      <w:r>
        <w:rPr>
          <w:rFonts w:hint="eastAsia" w:ascii="仿宋_GB2312" w:hAnsi="仿宋" w:eastAsia="仿宋_GB2312"/>
          <w:sz w:val="32"/>
          <w:szCs w:val="32"/>
          <w:lang w:eastAsia="zh-CN"/>
        </w:rPr>
        <w:t>万元，占比</w:t>
      </w:r>
      <w:r>
        <w:rPr>
          <w:rFonts w:hint="eastAsia" w:ascii="仿宋_GB2312" w:hAnsi="仿宋"/>
          <w:sz w:val="32"/>
          <w:szCs w:val="32"/>
          <w:lang w:val="en-US" w:eastAsia="zh-CN"/>
        </w:rPr>
        <w:t>11.56</w:t>
      </w:r>
      <w:r>
        <w:rPr>
          <w:rFonts w:hint="eastAsia" w:ascii="仿宋_GB2312" w:hAnsi="仿宋" w:eastAsia="仿宋_GB2312"/>
          <w:sz w:val="32"/>
          <w:szCs w:val="32"/>
          <w:lang w:eastAsia="zh-CN"/>
        </w:rPr>
        <w:t>%；卫生健康支出为</w:t>
      </w:r>
      <w:r>
        <w:rPr>
          <w:rFonts w:hint="eastAsia" w:ascii="仿宋_GB2312" w:hAnsi="仿宋"/>
          <w:sz w:val="32"/>
          <w:szCs w:val="32"/>
          <w:lang w:val="en-US" w:eastAsia="zh-CN"/>
        </w:rPr>
        <w:t>9.21</w:t>
      </w:r>
      <w:r>
        <w:rPr>
          <w:rFonts w:hint="eastAsia" w:ascii="仿宋_GB2312" w:hAnsi="仿宋" w:eastAsia="仿宋_GB2312"/>
          <w:sz w:val="32"/>
          <w:szCs w:val="32"/>
          <w:lang w:eastAsia="zh-CN"/>
        </w:rPr>
        <w:t>万元，占比</w:t>
      </w:r>
      <w:r>
        <w:rPr>
          <w:rFonts w:hint="eastAsia" w:ascii="仿宋_GB2312" w:hAnsi="仿宋"/>
          <w:sz w:val="32"/>
          <w:szCs w:val="32"/>
          <w:lang w:val="en-US" w:eastAsia="zh-CN"/>
        </w:rPr>
        <w:t>4.4</w:t>
      </w:r>
      <w:r>
        <w:rPr>
          <w:rFonts w:hint="eastAsia" w:ascii="仿宋_GB2312" w:hAnsi="仿宋" w:eastAsia="仿宋_GB2312"/>
          <w:sz w:val="32"/>
          <w:szCs w:val="32"/>
          <w:lang w:eastAsia="zh-CN"/>
        </w:rPr>
        <w:t>%；住房保障支出为</w:t>
      </w:r>
      <w:r>
        <w:rPr>
          <w:rFonts w:hint="eastAsia" w:ascii="仿宋_GB2312" w:hAnsi="仿宋"/>
          <w:sz w:val="32"/>
          <w:szCs w:val="32"/>
          <w:lang w:val="en-US" w:eastAsia="zh-CN"/>
        </w:rPr>
        <w:t>15.05</w:t>
      </w:r>
      <w:r>
        <w:rPr>
          <w:rFonts w:hint="eastAsia" w:ascii="仿宋_GB2312" w:hAnsi="仿宋" w:eastAsia="仿宋_GB2312"/>
          <w:sz w:val="32"/>
          <w:szCs w:val="32"/>
          <w:lang w:eastAsia="zh-CN"/>
        </w:rPr>
        <w:t>万元，占比</w:t>
      </w:r>
      <w:r>
        <w:rPr>
          <w:rFonts w:hint="eastAsia" w:ascii="仿宋_GB2312" w:hAnsi="仿宋"/>
          <w:sz w:val="32"/>
          <w:szCs w:val="32"/>
          <w:lang w:val="en-US" w:eastAsia="zh-CN"/>
        </w:rPr>
        <w:t>7.18</w:t>
      </w:r>
      <w:r>
        <w:rPr>
          <w:rFonts w:hint="eastAsia" w:ascii="仿宋_GB2312" w:hAnsi="仿宋" w:eastAsia="仿宋_GB2312"/>
          <w:sz w:val="32"/>
          <w:szCs w:val="32"/>
          <w:lang w:eastAsia="zh-CN"/>
        </w:rPr>
        <w:t>%；</w:t>
      </w:r>
      <w:r>
        <w:rPr>
          <w:rFonts w:hint="eastAsia" w:ascii="仿宋_GB2312" w:hAnsi="仿宋"/>
          <w:sz w:val="32"/>
          <w:szCs w:val="32"/>
          <w:lang w:eastAsia="zh-CN"/>
        </w:rPr>
        <w:t>较上年支出</w:t>
      </w:r>
      <w:r>
        <w:rPr>
          <w:rFonts w:hint="eastAsia" w:ascii="仿宋_GB2312" w:hAnsi="仿宋"/>
          <w:sz w:val="32"/>
          <w:szCs w:val="32"/>
          <w:lang w:val="en-US" w:eastAsia="zh-CN"/>
        </w:rPr>
        <w:t>188.19万元增加21.34万元。</w:t>
      </w:r>
    </w:p>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contextualSpacing/>
        <w:jc w:val="left"/>
        <w:textAlignment w:val="auto"/>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2" w:firstLineChars="20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（一）预算编制情况。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部门</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2" w:firstLineChars="20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（二）执行管理情况。</w:t>
      </w:r>
      <w:r>
        <w:rPr>
          <w:rFonts w:hint="eastAsia" w:ascii="楷体" w:hAnsi="楷体" w:eastAsia="楷体" w:cs="楷体"/>
          <w:b/>
          <w:bCs/>
          <w:color w:val="000000"/>
          <w:kern w:val="0"/>
          <w:sz w:val="32"/>
          <w:szCs w:val="24"/>
          <w:lang w:val="zh-CN" w:eastAsia="zh-CN" w:bidi="ar"/>
        </w:rPr>
        <w:tab/>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lang w:val="zh-CN" w:eastAsia="zh-CN"/>
        </w:rPr>
      </w:pP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部门</w:t>
      </w:r>
      <w:r>
        <w:rPr>
          <w:rFonts w:hint="eastAsia" w:ascii="仿宋_GB2312" w:hAnsi="仿宋_GB2312" w:eastAsia="仿宋_GB2312" w:cs="仿宋_GB2312"/>
          <w:sz w:val="32"/>
          <w:szCs w:val="32"/>
        </w:rPr>
        <w:t>预算执行到位，严格按照预算管理进行支付并做到节能降耗，“三公”经费严格按照年初预算执行。</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2" w:firstLineChars="20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（三）综合管理情况。</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宋体" w:eastAsia="仿宋_GB2312" w:cs="宋体"/>
          <w:color w:val="auto"/>
          <w:kern w:val="0"/>
          <w:lang w:val="zh-CN" w:eastAsia="zh-CN"/>
        </w:rPr>
      </w:pPr>
      <w:r>
        <w:rPr>
          <w:rFonts w:hint="eastAsia" w:ascii="仿宋_GB2312" w:hAnsi="仿宋_GB2312" w:eastAsia="仿宋_GB2312" w:cs="仿宋_GB2312"/>
          <w:sz w:val="32"/>
          <w:szCs w:val="32"/>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w:t>
      </w:r>
      <w:r>
        <w:rPr>
          <w:rFonts w:hint="eastAsia" w:ascii="仿宋_GB2312" w:hAnsi="仿宋_GB2312" w:cs="仿宋_GB2312"/>
          <w:sz w:val="32"/>
          <w:szCs w:val="32"/>
          <w:lang w:eastAsia="zh-CN"/>
        </w:rPr>
        <w:t>局</w:t>
      </w:r>
      <w:r>
        <w:rPr>
          <w:rFonts w:hint="eastAsia" w:ascii="仿宋_GB2312" w:hAnsi="仿宋_GB2312" w:eastAsia="仿宋_GB2312" w:cs="仿宋_GB2312"/>
          <w:sz w:val="32"/>
          <w:szCs w:val="32"/>
        </w:rPr>
        <w:t>在资金使用过程中，合理使用各项资金，严格执行各项经费开支范围和标准。对中央、省转移支付资金的使用全部用于与</w:t>
      </w:r>
      <w:r>
        <w:rPr>
          <w:rFonts w:hint="eastAsia" w:ascii="仿宋_GB2312" w:hAnsi="仿宋_GB2312" w:cs="仿宋_GB2312"/>
          <w:sz w:val="32"/>
          <w:szCs w:val="32"/>
          <w:lang w:eastAsia="zh-CN"/>
        </w:rPr>
        <w:t>自然资源</w:t>
      </w:r>
      <w:r>
        <w:rPr>
          <w:rFonts w:hint="eastAsia" w:ascii="仿宋_GB2312" w:hAnsi="仿宋_GB2312" w:eastAsia="仿宋_GB2312" w:cs="仿宋_GB2312"/>
          <w:sz w:val="32"/>
          <w:szCs w:val="32"/>
        </w:rPr>
        <w:t>事务，并确保专款专用；在账务报销过程中贯彻执行国家颁布的有关财</w:t>
      </w:r>
      <w:r>
        <w:rPr>
          <w:rFonts w:hint="eastAsia" w:ascii="仿宋_GB2312" w:hAnsi="仿宋_GB2312" w:cs="仿宋_GB2312"/>
          <w:sz w:val="32"/>
          <w:szCs w:val="32"/>
          <w:lang w:eastAsia="zh-CN"/>
        </w:rPr>
        <w:t>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w:t>
      </w:r>
      <w:r>
        <w:rPr>
          <w:rFonts w:hint="eastAsia" w:ascii="仿宋_GB2312" w:hAnsi="仿宋_GB2312" w:cs="仿宋_GB2312"/>
          <w:color w:val="auto"/>
          <w:sz w:val="32"/>
          <w:szCs w:val="32"/>
          <w:lang w:eastAsia="zh-CN"/>
        </w:rPr>
        <w:t>并严格控制了“三公经费”的支出。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2" w:firstLineChars="20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（四）整体绩效。</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eastAsia" w:ascii="仿宋_GB2312" w:hAnsi="宋体" w:eastAsia="仿宋_GB2312" w:cs="宋体"/>
          <w:color w:val="000000"/>
          <w:kern w:val="0"/>
          <w:lang w:val="zh-CN" w:eastAsia="zh-CN"/>
        </w:rPr>
      </w:pPr>
      <w:r>
        <w:rPr>
          <w:rFonts w:hint="eastAsia" w:ascii="仿宋" w:hAnsi="仿宋" w:eastAsia="仿宋" w:cs="宋体"/>
          <w:kern w:val="0"/>
          <w:sz w:val="32"/>
          <w:szCs w:val="32"/>
          <w:lang w:eastAsia="zh-CN"/>
        </w:rPr>
        <w:t>我</w:t>
      </w:r>
      <w:r>
        <w:rPr>
          <w:rFonts w:hint="eastAsia" w:ascii="仿宋" w:hAnsi="仿宋" w:eastAsia="仿宋" w:cs="宋体"/>
          <w:kern w:val="0"/>
          <w:sz w:val="32"/>
          <w:szCs w:val="32"/>
          <w:lang w:val="en-US" w:eastAsia="zh-CN"/>
        </w:rPr>
        <w:t>部门</w:t>
      </w:r>
      <w:r>
        <w:rPr>
          <w:rFonts w:hint="eastAsia" w:ascii="仿宋" w:hAnsi="仿宋" w:eastAsia="仿宋" w:cs="宋体"/>
          <w:kern w:val="0"/>
          <w:sz w:val="32"/>
          <w:szCs w:val="32"/>
        </w:rPr>
        <w:t>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sz w:val="32"/>
          <w:szCs w:val="32"/>
        </w:rPr>
        <w:t>在全面贯彻落实党的十九大精神,坚持以习近平新时代中国特色社会主义思想为指导,努力实现人民群众满意。</w:t>
      </w:r>
    </w:p>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contextualSpacing/>
        <w:jc w:val="left"/>
        <w:textAlignment w:val="auto"/>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cs="仿宋_GB2312"/>
          <w:b w:val="0"/>
          <w:bCs w:val="0"/>
          <w:color w:val="auto"/>
          <w:sz w:val="32"/>
          <w:szCs w:val="32"/>
          <w:lang w:val="en-US" w:eastAsia="zh-CN"/>
        </w:rPr>
        <w:t>根据《红原县部门支出绩效评价指标体系》自查得分9</w:t>
      </w:r>
      <w:r>
        <w:rPr>
          <w:rFonts w:hint="default" w:ascii="仿宋_GB2312" w:hAnsi="仿宋_GB2312" w:cs="仿宋_GB2312"/>
          <w:b w:val="0"/>
          <w:bCs w:val="0"/>
          <w:color w:val="auto"/>
          <w:sz w:val="32"/>
          <w:szCs w:val="32"/>
          <w:lang w:val="en-US" w:eastAsia="zh-CN"/>
        </w:rPr>
        <w:t>9</w:t>
      </w:r>
      <w:r>
        <w:rPr>
          <w:rFonts w:hint="eastAsia" w:ascii="仿宋_GB2312" w:hAnsi="仿宋_GB2312" w:cs="仿宋_GB2312"/>
          <w:b w:val="0"/>
          <w:bCs w:val="0"/>
          <w:color w:val="auto"/>
          <w:sz w:val="32"/>
          <w:szCs w:val="32"/>
          <w:lang w:val="en-US" w:eastAsia="zh-CN"/>
        </w:rPr>
        <w:t>分，总体评价较好。</w:t>
      </w:r>
      <w:r>
        <w:rPr>
          <w:rFonts w:hint="eastAsia" w:ascii="仿宋_GB2312" w:hAnsi="仿宋_GB2312" w:cs="仿宋_GB2312"/>
          <w:color w:val="auto"/>
          <w:sz w:val="32"/>
          <w:szCs w:val="32"/>
          <w:lang w:eastAsia="zh-CN"/>
        </w:rPr>
        <w:t>其中：申报绩效目标的量化程度扣</w:t>
      </w:r>
      <w:r>
        <w:rPr>
          <w:rFonts w:hint="default" w:ascii="仿宋_GB2312" w:hAnsi="仿宋_GB2312" w:cs="仿宋_GB2312"/>
          <w:color w:val="auto"/>
          <w:sz w:val="32"/>
          <w:szCs w:val="32"/>
          <w:lang w:val="en-US" w:eastAsia="zh-CN"/>
        </w:rPr>
        <w:t>1</w:t>
      </w:r>
      <w:r>
        <w:rPr>
          <w:rFonts w:hint="eastAsia" w:ascii="仿宋_GB2312" w:hAnsi="仿宋_GB2312" w:cs="仿宋_GB2312"/>
          <w:color w:val="auto"/>
          <w:sz w:val="32"/>
          <w:szCs w:val="32"/>
          <w:lang w:val="en-US" w:eastAsia="zh-CN"/>
        </w:rPr>
        <w:t>分，原因是申报绩效目标的量化程度不够细致。</w:t>
      </w:r>
    </w:p>
    <w:p>
      <w:pPr>
        <w:keepNext w:val="0"/>
        <w:keepLines w:val="0"/>
        <w:pageBreakBefore w:val="0"/>
        <w:widowControl/>
        <w:numPr>
          <w:ilvl w:val="0"/>
          <w:numId w:val="4"/>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642"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存在问题。</w:t>
      </w:r>
    </w:p>
    <w:p>
      <w:pPr>
        <w:keepNext w:val="0"/>
        <w:keepLines w:val="0"/>
        <w:pageBreakBefore w:val="0"/>
        <w:numPr>
          <w:ilvl w:val="0"/>
          <w:numId w:val="5"/>
        </w:numPr>
        <w:kinsoku/>
        <w:wordWrap/>
        <w:overflowPunct/>
        <w:topLinePunct w:val="0"/>
        <w:autoSpaceDE/>
        <w:autoSpaceDN/>
        <w:bidi w:val="0"/>
        <w:spacing w:line="560" w:lineRule="exact"/>
        <w:ind w:left="0" w:leftChars="0" w:firstLine="640" w:firstLineChars="200"/>
        <w:textAlignment w:val="auto"/>
        <w:rPr>
          <w:rFonts w:hint="eastAsia"/>
          <w:lang w:val="zh-CN" w:eastAsia="zh-CN"/>
        </w:rPr>
      </w:pPr>
      <w:r>
        <w:rPr>
          <w:rFonts w:hint="eastAsia" w:ascii="仿宋_GB2312" w:hAnsi="仿宋_GB2312" w:cs="仿宋_GB2312"/>
          <w:sz w:val="32"/>
          <w:szCs w:val="32"/>
          <w:lang w:val="en-US" w:eastAsia="zh-CN"/>
        </w:rPr>
        <w:t>由于实际工作需要，导致预算经济科目与实际经济科目支出存在差异。</w:t>
      </w:r>
    </w:p>
    <w:p>
      <w:pPr>
        <w:keepNext w:val="0"/>
        <w:keepLines w:val="0"/>
        <w:pageBreakBefore w:val="0"/>
        <w:numPr>
          <w:ilvl w:val="0"/>
          <w:numId w:val="5"/>
        </w:numPr>
        <w:kinsoku/>
        <w:wordWrap/>
        <w:overflowPunct/>
        <w:topLinePunct w:val="0"/>
        <w:autoSpaceDE/>
        <w:autoSpaceDN/>
        <w:bidi w:val="0"/>
        <w:spacing w:line="560" w:lineRule="exact"/>
        <w:ind w:left="0" w:leftChars="0" w:firstLine="640" w:firstLineChars="200"/>
        <w:textAlignment w:val="auto"/>
        <w:rPr>
          <w:rFonts w:hint="eastAsia"/>
          <w:lang w:val="zh-CN" w:eastAsia="zh-CN"/>
        </w:rPr>
      </w:pPr>
      <w:r>
        <w:rPr>
          <w:rFonts w:hint="eastAsia" w:ascii="仿宋_GB2312" w:hAnsi="仿宋_GB2312" w:cs="仿宋_GB2312"/>
          <w:sz w:val="32"/>
          <w:szCs w:val="32"/>
          <w:lang w:val="en-US" w:eastAsia="zh-CN"/>
        </w:rPr>
        <w:t>实施项目绩效编制不全面，未做到将我馆实施所有项目进行绩效编制。</w:t>
      </w:r>
      <w:r>
        <w:rPr>
          <w:rFonts w:hint="eastAsia"/>
          <w:lang w:val="en-US" w:eastAsia="zh-CN"/>
        </w:rPr>
        <w:t xml:space="preserve">  </w:t>
      </w:r>
    </w:p>
    <w:p>
      <w:pPr>
        <w:keepNext w:val="0"/>
        <w:keepLines w:val="0"/>
        <w:pageBreakBefore w:val="0"/>
        <w:widowControl/>
        <w:numPr>
          <w:ilvl w:val="0"/>
          <w:numId w:val="4"/>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642" w:firstLineChars="20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改进建议。</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1.加强组织领导，增强预算编制的准确性，提高对预算编制与执行的认识，为绩效评价工作开展创造更好的条件；2.建立长效机制，加强管理提高部门支出的绩效成果，为更好的服务工作发挥最大效益。</w:t>
      </w:r>
    </w:p>
    <w:p>
      <w:pPr>
        <w:pStyle w:val="2"/>
        <w:ind w:left="0" w:leftChars="0" w:firstLine="0" w:firstLineChars="0"/>
        <w:rPr>
          <w:rFonts w:ascii="仿宋_GB2312" w:hAnsi="仿宋_GB2312" w:eastAsia="仿宋_GB2312" w:cs="仿宋_GB2312"/>
          <w:sz w:val="32"/>
          <w:szCs w:val="32"/>
        </w:rPr>
      </w:pPr>
    </w:p>
    <w:p>
      <w:pPr>
        <w:spacing w:line="600" w:lineRule="exact"/>
        <w:jc w:val="center"/>
        <w:outlineLvl w:val="9"/>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rPr>
          <w:rStyle w:val="30"/>
          <w:rFonts w:ascii="黑体" w:hAnsi="黑体" w:eastAsia="黑体"/>
          <w:b w:val="0"/>
        </w:rPr>
      </w:pPr>
    </w:p>
    <w:p>
      <w:pPr>
        <w:pStyle w:val="2"/>
        <w:ind w:left="0" w:leftChars="0" w:firstLine="0" w:firstLineChars="0"/>
        <w:rPr>
          <w:rStyle w:val="30"/>
          <w:rFonts w:ascii="黑体" w:hAnsi="黑体" w:eastAsia="黑体"/>
          <w:b w:val="0"/>
        </w:rPr>
      </w:pPr>
    </w:p>
    <w:p>
      <w:pPr>
        <w:spacing w:line="600" w:lineRule="exact"/>
        <w:jc w:val="center"/>
        <w:outlineLvl w:val="0"/>
        <w:rPr>
          <w:rStyle w:val="30"/>
          <w:rFonts w:ascii="黑体" w:hAnsi="黑体" w:eastAsia="黑体"/>
          <w:b w:val="0"/>
        </w:rPr>
      </w:pPr>
      <w:bookmarkStart w:id="83" w:name="_Toc19531"/>
      <w:bookmarkStart w:id="84"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79"/>
      <w:bookmarkEnd w:id="83"/>
      <w:bookmarkEnd w:id="84"/>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85" w:name="_Toc15396619"/>
      <w:bookmarkStart w:id="86" w:name="_Toc8585"/>
      <w:r>
        <w:rPr>
          <w:rFonts w:hint="eastAsia" w:ascii="仿宋" w:hAnsi="仿宋" w:eastAsia="仿宋"/>
          <w:b w:val="0"/>
          <w:color w:val="000000"/>
        </w:rPr>
        <w:t>一、</w:t>
      </w:r>
      <w:bookmarkEnd w:id="85"/>
      <w:r>
        <w:rPr>
          <w:rFonts w:hint="eastAsia" w:ascii="仿宋" w:hAnsi="仿宋" w:eastAsia="仿宋"/>
          <w:b w:val="0"/>
          <w:color w:val="000000"/>
        </w:rPr>
        <w:t>收入支出决算总表</w:t>
      </w:r>
      <w:bookmarkEnd w:id="86"/>
    </w:p>
    <w:p>
      <w:pPr>
        <w:pStyle w:val="5"/>
        <w:rPr>
          <w:rFonts w:ascii="仿宋" w:hAnsi="仿宋" w:eastAsia="仿宋"/>
          <w:color w:val="000000"/>
        </w:rPr>
      </w:pPr>
      <w:bookmarkStart w:id="87" w:name="_Toc15396620"/>
      <w:bookmarkStart w:id="88" w:name="_Toc30179"/>
      <w:r>
        <w:rPr>
          <w:rFonts w:hint="eastAsia" w:ascii="仿宋" w:hAnsi="仿宋" w:eastAsia="仿宋"/>
          <w:b w:val="0"/>
          <w:color w:val="000000"/>
        </w:rPr>
        <w:t>二、</w:t>
      </w:r>
      <w:bookmarkEnd w:id="87"/>
      <w:r>
        <w:rPr>
          <w:rFonts w:hint="eastAsia" w:ascii="仿宋" w:hAnsi="仿宋" w:eastAsia="仿宋"/>
          <w:b w:val="0"/>
          <w:color w:val="000000"/>
        </w:rPr>
        <w:t>收入支出决算表</w:t>
      </w:r>
      <w:bookmarkEnd w:id="88"/>
    </w:p>
    <w:p>
      <w:pPr>
        <w:pStyle w:val="5"/>
        <w:rPr>
          <w:rFonts w:ascii="仿宋" w:hAnsi="仿宋" w:eastAsia="仿宋"/>
          <w:color w:val="000000"/>
        </w:rPr>
      </w:pPr>
      <w:bookmarkStart w:id="89" w:name="_Toc15396621"/>
      <w:bookmarkStart w:id="90" w:name="_Toc27654"/>
      <w:r>
        <w:rPr>
          <w:rStyle w:val="31"/>
          <w:rFonts w:hint="eastAsia" w:ascii="仿宋" w:hAnsi="仿宋" w:eastAsia="仿宋"/>
          <w:b w:val="0"/>
          <w:bCs w:val="0"/>
        </w:rPr>
        <w:t>三、</w:t>
      </w:r>
      <w:bookmarkEnd w:id="89"/>
      <w:r>
        <w:rPr>
          <w:rFonts w:hint="eastAsia" w:ascii="仿宋" w:hAnsi="仿宋" w:eastAsia="仿宋"/>
          <w:b w:val="0"/>
          <w:color w:val="000000"/>
        </w:rPr>
        <w:t>收入决算表</w:t>
      </w:r>
      <w:bookmarkEnd w:id="90"/>
    </w:p>
    <w:p>
      <w:pPr>
        <w:pStyle w:val="5"/>
        <w:rPr>
          <w:rFonts w:ascii="仿宋" w:hAnsi="仿宋" w:eastAsia="仿宋"/>
          <w:b w:val="0"/>
          <w:color w:val="000000"/>
        </w:rPr>
      </w:pPr>
      <w:bookmarkStart w:id="91" w:name="_Toc15396622"/>
      <w:bookmarkStart w:id="92" w:name="_Toc8635"/>
      <w:r>
        <w:rPr>
          <w:rStyle w:val="31"/>
          <w:rFonts w:hint="eastAsia" w:ascii="仿宋" w:hAnsi="仿宋" w:eastAsia="仿宋"/>
          <w:b w:val="0"/>
          <w:bCs w:val="0"/>
        </w:rPr>
        <w:t>四、</w:t>
      </w:r>
      <w:bookmarkEnd w:id="91"/>
      <w:r>
        <w:rPr>
          <w:rFonts w:hint="eastAsia" w:ascii="仿宋" w:hAnsi="仿宋" w:eastAsia="仿宋"/>
          <w:b w:val="0"/>
          <w:color w:val="000000"/>
        </w:rPr>
        <w:t>支出决算表</w:t>
      </w:r>
      <w:bookmarkEnd w:id="92"/>
    </w:p>
    <w:p>
      <w:pPr>
        <w:pStyle w:val="5"/>
        <w:rPr>
          <w:rStyle w:val="31"/>
          <w:rFonts w:ascii="仿宋" w:hAnsi="仿宋" w:eastAsia="仿宋"/>
          <w:b w:val="0"/>
          <w:bCs w:val="0"/>
        </w:rPr>
      </w:pPr>
      <w:bookmarkStart w:id="93" w:name="_Toc15396623"/>
      <w:bookmarkStart w:id="94" w:name="_Toc9011"/>
      <w:r>
        <w:rPr>
          <w:rStyle w:val="31"/>
          <w:rFonts w:hint="eastAsia" w:ascii="仿宋" w:hAnsi="仿宋" w:eastAsia="仿宋"/>
          <w:b w:val="0"/>
          <w:bCs w:val="0"/>
        </w:rPr>
        <w:t>五、</w:t>
      </w:r>
      <w:bookmarkEnd w:id="93"/>
      <w:bookmarkStart w:id="95" w:name="_Toc15396624"/>
      <w:r>
        <w:rPr>
          <w:rFonts w:hint="eastAsia" w:ascii="仿宋" w:hAnsi="仿宋" w:eastAsia="仿宋"/>
          <w:b w:val="0"/>
          <w:color w:val="000000"/>
        </w:rPr>
        <w:t>支出决算明细表</w:t>
      </w:r>
      <w:bookmarkEnd w:id="94"/>
    </w:p>
    <w:p>
      <w:pPr>
        <w:pStyle w:val="5"/>
        <w:rPr>
          <w:rFonts w:ascii="仿宋" w:hAnsi="仿宋" w:eastAsia="仿宋"/>
          <w:color w:val="000000"/>
        </w:rPr>
      </w:pPr>
      <w:bookmarkStart w:id="96" w:name="_Toc13881"/>
      <w:r>
        <w:rPr>
          <w:rStyle w:val="31"/>
          <w:rFonts w:hint="eastAsia" w:ascii="仿宋" w:hAnsi="仿宋" w:eastAsia="仿宋"/>
          <w:b w:val="0"/>
          <w:bCs w:val="0"/>
        </w:rPr>
        <w:t>六、</w:t>
      </w:r>
      <w:bookmarkEnd w:id="95"/>
      <w:r>
        <w:rPr>
          <w:rFonts w:hint="eastAsia" w:ascii="仿宋" w:hAnsi="仿宋" w:eastAsia="仿宋"/>
          <w:b w:val="0"/>
          <w:color w:val="000000"/>
        </w:rPr>
        <w:t>项目收入支出决算表</w:t>
      </w:r>
      <w:bookmarkEnd w:id="96"/>
    </w:p>
    <w:p>
      <w:pPr>
        <w:pStyle w:val="5"/>
        <w:rPr>
          <w:rFonts w:ascii="仿宋" w:hAnsi="仿宋" w:eastAsia="仿宋"/>
          <w:color w:val="000000"/>
        </w:rPr>
      </w:pPr>
      <w:bookmarkStart w:id="97" w:name="_Toc15396625"/>
      <w:bookmarkStart w:id="98" w:name="_Toc31053"/>
      <w:r>
        <w:rPr>
          <w:rStyle w:val="31"/>
          <w:rFonts w:hint="eastAsia" w:ascii="仿宋" w:hAnsi="仿宋" w:eastAsia="仿宋"/>
          <w:b w:val="0"/>
          <w:bCs w:val="0"/>
        </w:rPr>
        <w:t>七、</w:t>
      </w:r>
      <w:bookmarkEnd w:id="97"/>
      <w:r>
        <w:rPr>
          <w:rFonts w:hint="eastAsia" w:ascii="仿宋" w:hAnsi="仿宋" w:eastAsia="仿宋"/>
          <w:b w:val="0"/>
          <w:color w:val="000000"/>
        </w:rPr>
        <w:t>一般公共预算财政拨款收入支出决算表</w:t>
      </w:r>
      <w:bookmarkEnd w:id="98"/>
    </w:p>
    <w:p>
      <w:pPr>
        <w:pStyle w:val="5"/>
        <w:rPr>
          <w:rFonts w:hint="eastAsia" w:ascii="仿宋" w:hAnsi="仿宋" w:eastAsia="仿宋"/>
          <w:b w:val="0"/>
          <w:color w:val="000000"/>
        </w:rPr>
      </w:pPr>
      <w:bookmarkStart w:id="99" w:name="_Toc15396626"/>
      <w:bookmarkStart w:id="100" w:name="_Toc13389"/>
      <w:r>
        <w:rPr>
          <w:rStyle w:val="31"/>
          <w:rFonts w:hint="eastAsia" w:ascii="仿宋" w:hAnsi="仿宋" w:eastAsia="仿宋"/>
          <w:b w:val="0"/>
          <w:bCs w:val="0"/>
        </w:rPr>
        <w:t>八、</w:t>
      </w:r>
      <w:bookmarkEnd w:id="99"/>
      <w:bookmarkStart w:id="101" w:name="_Toc15396627"/>
      <w:r>
        <w:rPr>
          <w:rFonts w:hint="eastAsia" w:ascii="仿宋" w:hAnsi="仿宋" w:eastAsia="仿宋"/>
          <w:b w:val="0"/>
          <w:color w:val="000000"/>
        </w:rPr>
        <w:t>一般公共预算财政拨款支出决算明细表</w:t>
      </w:r>
      <w:bookmarkEnd w:id="100"/>
    </w:p>
    <w:p>
      <w:pPr>
        <w:pStyle w:val="5"/>
        <w:rPr>
          <w:rFonts w:hint="eastAsia" w:ascii="仿宋" w:hAnsi="仿宋" w:eastAsia="仿宋"/>
          <w:b w:val="0"/>
          <w:color w:val="000000"/>
        </w:rPr>
      </w:pPr>
      <w:bookmarkStart w:id="102" w:name="_Toc19589"/>
      <w:r>
        <w:rPr>
          <w:rStyle w:val="31"/>
          <w:rFonts w:hint="eastAsia" w:ascii="仿宋" w:hAnsi="仿宋" w:eastAsia="仿宋"/>
          <w:b w:val="0"/>
          <w:bCs w:val="0"/>
        </w:rPr>
        <w:t>九、</w:t>
      </w:r>
      <w:bookmarkEnd w:id="101"/>
      <w:bookmarkStart w:id="103" w:name="_Toc15396628"/>
      <w:r>
        <w:rPr>
          <w:rFonts w:hint="eastAsia" w:ascii="仿宋" w:hAnsi="仿宋" w:eastAsia="仿宋"/>
          <w:b w:val="0"/>
          <w:color w:val="000000"/>
        </w:rPr>
        <w:t>一般公共预算财政拨款基本支出决算明细表</w:t>
      </w:r>
      <w:bookmarkEnd w:id="102"/>
    </w:p>
    <w:p>
      <w:pPr>
        <w:pStyle w:val="5"/>
        <w:rPr>
          <w:rFonts w:ascii="仿宋" w:hAnsi="仿宋" w:eastAsia="仿宋"/>
          <w:color w:val="000000"/>
        </w:rPr>
      </w:pPr>
      <w:bookmarkStart w:id="104" w:name="_Toc26208"/>
      <w:r>
        <w:rPr>
          <w:rStyle w:val="31"/>
          <w:rFonts w:hint="eastAsia" w:ascii="仿宋" w:hAnsi="仿宋" w:eastAsia="仿宋"/>
          <w:b w:val="0"/>
          <w:bCs w:val="0"/>
        </w:rPr>
        <w:t>十、</w:t>
      </w:r>
      <w:bookmarkEnd w:id="103"/>
      <w:r>
        <w:rPr>
          <w:rFonts w:hint="eastAsia" w:ascii="仿宋" w:hAnsi="仿宋" w:eastAsia="仿宋"/>
          <w:b w:val="0"/>
          <w:color w:val="000000"/>
        </w:rPr>
        <w:t>一般公共预算财政拨款项目支出决算明细表</w:t>
      </w:r>
      <w:bookmarkEnd w:id="104"/>
    </w:p>
    <w:p>
      <w:pPr>
        <w:pStyle w:val="5"/>
        <w:rPr>
          <w:rFonts w:ascii="仿宋" w:hAnsi="仿宋" w:eastAsia="仿宋"/>
          <w:color w:val="000000"/>
        </w:rPr>
      </w:pPr>
      <w:bookmarkStart w:id="105" w:name="_Toc15396629"/>
      <w:bookmarkStart w:id="106" w:name="_Toc30393"/>
      <w:r>
        <w:rPr>
          <w:rStyle w:val="31"/>
          <w:rFonts w:hint="eastAsia" w:ascii="仿宋" w:hAnsi="仿宋" w:eastAsia="仿宋"/>
          <w:b w:val="0"/>
          <w:bCs w:val="0"/>
        </w:rPr>
        <w:t>十一、</w:t>
      </w:r>
      <w:bookmarkEnd w:id="105"/>
      <w:r>
        <w:rPr>
          <w:rFonts w:hint="eastAsia" w:ascii="仿宋" w:hAnsi="仿宋" w:eastAsia="仿宋"/>
          <w:b w:val="0"/>
          <w:color w:val="000000"/>
        </w:rPr>
        <w:t>预算支出相关信息表</w:t>
      </w:r>
      <w:bookmarkEnd w:id="106"/>
    </w:p>
    <w:p>
      <w:pPr>
        <w:pStyle w:val="5"/>
        <w:rPr>
          <w:rFonts w:ascii="仿宋" w:hAnsi="仿宋" w:eastAsia="仿宋"/>
          <w:color w:val="000000"/>
        </w:rPr>
      </w:pPr>
      <w:bookmarkStart w:id="107" w:name="_Toc15396630"/>
      <w:bookmarkStart w:id="108" w:name="_Toc23460"/>
      <w:r>
        <w:rPr>
          <w:rStyle w:val="31"/>
          <w:rFonts w:hint="eastAsia" w:ascii="仿宋" w:hAnsi="仿宋" w:eastAsia="仿宋"/>
          <w:b w:val="0"/>
          <w:bCs w:val="0"/>
        </w:rPr>
        <w:t>十二、</w:t>
      </w:r>
      <w:r>
        <w:rPr>
          <w:rFonts w:hint="eastAsia" w:ascii="仿宋" w:hAnsi="仿宋" w:eastAsia="仿宋"/>
          <w:b w:val="0"/>
          <w:color w:val="000000"/>
        </w:rPr>
        <w:t>基本数字表</w:t>
      </w:r>
      <w:bookmarkEnd w:id="107"/>
      <w:bookmarkEnd w:id="108"/>
    </w:p>
    <w:p>
      <w:pPr>
        <w:pStyle w:val="5"/>
        <w:rPr>
          <w:rFonts w:hint="eastAsia" w:ascii="仿宋" w:hAnsi="仿宋" w:eastAsia="仿宋"/>
          <w:b w:val="0"/>
          <w:color w:val="000000"/>
        </w:rPr>
      </w:pPr>
      <w:bookmarkStart w:id="109" w:name="_Toc15396631"/>
      <w:bookmarkStart w:id="110" w:name="_Toc7150"/>
      <w:r>
        <w:rPr>
          <w:rStyle w:val="31"/>
          <w:rFonts w:hint="eastAsia" w:ascii="仿宋" w:hAnsi="仿宋" w:eastAsia="仿宋"/>
          <w:b w:val="0"/>
          <w:bCs w:val="0"/>
        </w:rPr>
        <w:t>十三、</w:t>
      </w:r>
      <w:bookmarkEnd w:id="109"/>
      <w:r>
        <w:rPr>
          <w:rFonts w:hint="eastAsia" w:ascii="仿宋" w:hAnsi="仿宋" w:eastAsia="仿宋"/>
          <w:b w:val="0"/>
          <w:color w:val="000000"/>
        </w:rPr>
        <w:t>机构运行信息表</w:t>
      </w:r>
      <w:bookmarkEnd w:id="110"/>
    </w:p>
    <w:p>
      <w:pPr>
        <w:pStyle w:val="7"/>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2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jgy/C0AQAAUgMAAA4AAABkcnMv&#10;ZTJvRG9jLnhtbK1TS24bMQzdF8gdBO1jjR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jFQXnhcETHb1+P338ef3whN6U9Q0wt&#10;Zj1FzMvjmzBymmGnplBCfxE+anDli5IIpmCvD5f+qjETic75crFcNhiSGJsuWII9/x4h5bcqOFIM&#10;TgEHWPsq9u9SPqVOKaWaDw/G2jpE6/9wIGbxsEL/xLFYedyMZ02b0B1Q0oCz59TjclJiHz22tqzJ&#10;ZMBkbCZjF8Fse6SmhU1lOALh73YZiVR+pcoJ+lwcB1cVnpesbMbv95r1/BT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ODL8LQBAABSAwAADgAAAAAAAAABACAAAAA0AQAAZHJzL2Uyb0Rv&#10;Yy54bWxQSwUGAAAAAAYABgBZAQAAWgU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E627DE"/>
    <w:multiLevelType w:val="singleLevel"/>
    <w:tmpl w:val="B1E627DE"/>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27A03B2"/>
    <w:multiLevelType w:val="singleLevel"/>
    <w:tmpl w:val="027A03B2"/>
    <w:lvl w:ilvl="0" w:tentative="0">
      <w:start w:val="1"/>
      <w:numFmt w:val="decimal"/>
      <w:lvlText w:val="%1."/>
      <w:lvlJc w:val="left"/>
      <w:pPr>
        <w:tabs>
          <w:tab w:val="left" w:pos="312"/>
        </w:tabs>
      </w:pPr>
    </w:lvl>
  </w:abstractNum>
  <w:abstractNum w:abstractNumId="3">
    <w:nsid w:val="38B6F3EE"/>
    <w:multiLevelType w:val="singleLevel"/>
    <w:tmpl w:val="38B6F3EE"/>
    <w:lvl w:ilvl="0" w:tentative="0">
      <w:start w:val="1"/>
      <w:numFmt w:val="decimal"/>
      <w:lvlText w:val="%1."/>
      <w:lvlJc w:val="left"/>
      <w:pPr>
        <w:tabs>
          <w:tab w:val="left" w:pos="312"/>
        </w:tabs>
      </w:pPr>
    </w:lvl>
  </w:abstractNum>
  <w:abstractNum w:abstractNumId="4">
    <w:nsid w:val="7E991817"/>
    <w:multiLevelType w:val="singleLevel"/>
    <w:tmpl w:val="7E991817"/>
    <w:lvl w:ilvl="0" w:tentative="0">
      <w:start w:val="2"/>
      <w:numFmt w:val="chineseCounting"/>
      <w:suff w:val="nothing"/>
      <w:lvlText w:val="（%1）"/>
      <w:lvlJc w:val="left"/>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049D8"/>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27A5940"/>
    <w:rsid w:val="0343119B"/>
    <w:rsid w:val="05A30906"/>
    <w:rsid w:val="05E11832"/>
    <w:rsid w:val="0A6F4298"/>
    <w:rsid w:val="10C055FF"/>
    <w:rsid w:val="10CA00A9"/>
    <w:rsid w:val="11EB6425"/>
    <w:rsid w:val="16734728"/>
    <w:rsid w:val="16BB723D"/>
    <w:rsid w:val="183500C9"/>
    <w:rsid w:val="1BB76E65"/>
    <w:rsid w:val="1C177AE5"/>
    <w:rsid w:val="1DA076DC"/>
    <w:rsid w:val="1FF26CD4"/>
    <w:rsid w:val="206D14A8"/>
    <w:rsid w:val="20836900"/>
    <w:rsid w:val="219263AA"/>
    <w:rsid w:val="21FF3314"/>
    <w:rsid w:val="223D08AC"/>
    <w:rsid w:val="229972C4"/>
    <w:rsid w:val="240371BF"/>
    <w:rsid w:val="269845D6"/>
    <w:rsid w:val="285443B9"/>
    <w:rsid w:val="29FD04D3"/>
    <w:rsid w:val="2A2B429D"/>
    <w:rsid w:val="2B1716CE"/>
    <w:rsid w:val="2B3A2F0F"/>
    <w:rsid w:val="2BA2543C"/>
    <w:rsid w:val="2C4A141C"/>
    <w:rsid w:val="2C673F57"/>
    <w:rsid w:val="2CC113B7"/>
    <w:rsid w:val="2D6A3274"/>
    <w:rsid w:val="2D6C3F53"/>
    <w:rsid w:val="319F7F4E"/>
    <w:rsid w:val="32C97752"/>
    <w:rsid w:val="34A15809"/>
    <w:rsid w:val="35265386"/>
    <w:rsid w:val="35670D6E"/>
    <w:rsid w:val="35C24C31"/>
    <w:rsid w:val="365340C6"/>
    <w:rsid w:val="37434CCD"/>
    <w:rsid w:val="3B162F0A"/>
    <w:rsid w:val="3B2F3EE1"/>
    <w:rsid w:val="3BD45317"/>
    <w:rsid w:val="3D9301D1"/>
    <w:rsid w:val="3D95132A"/>
    <w:rsid w:val="3F372642"/>
    <w:rsid w:val="3FB83028"/>
    <w:rsid w:val="44221C29"/>
    <w:rsid w:val="46596F2F"/>
    <w:rsid w:val="467C4DAF"/>
    <w:rsid w:val="46C43FE0"/>
    <w:rsid w:val="49A465D6"/>
    <w:rsid w:val="49FB4B2E"/>
    <w:rsid w:val="4B1931D8"/>
    <w:rsid w:val="4D1646FD"/>
    <w:rsid w:val="4ECE2238"/>
    <w:rsid w:val="4EE47996"/>
    <w:rsid w:val="50485D02"/>
    <w:rsid w:val="50506A35"/>
    <w:rsid w:val="51D114A4"/>
    <w:rsid w:val="51FD7221"/>
    <w:rsid w:val="53E05AE0"/>
    <w:rsid w:val="541B06AB"/>
    <w:rsid w:val="57A70DE1"/>
    <w:rsid w:val="58E16CF4"/>
    <w:rsid w:val="5ACA56DD"/>
    <w:rsid w:val="5CF80AB0"/>
    <w:rsid w:val="5E5C55A2"/>
    <w:rsid w:val="5EB81EBA"/>
    <w:rsid w:val="637251F2"/>
    <w:rsid w:val="642A7FC1"/>
    <w:rsid w:val="65313523"/>
    <w:rsid w:val="66576847"/>
    <w:rsid w:val="67DB317E"/>
    <w:rsid w:val="67E1461B"/>
    <w:rsid w:val="68C3694D"/>
    <w:rsid w:val="6F3B504A"/>
    <w:rsid w:val="72734D90"/>
    <w:rsid w:val="72B33C76"/>
    <w:rsid w:val="733009D8"/>
    <w:rsid w:val="75161F2C"/>
    <w:rsid w:val="794C5FB4"/>
    <w:rsid w:val="79C142AC"/>
    <w:rsid w:val="7A5C3C8D"/>
    <w:rsid w:val="7F82454A"/>
    <w:rsid w:val="7FFF028F"/>
    <w:rsid w:val="FFD7DA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rPr>
      <w:szCs w:val="20"/>
    </w:rPr>
  </w:style>
  <w:style w:type="paragraph" w:styleId="7">
    <w:name w:val="Normal Indent"/>
    <w:basedOn w:val="1"/>
    <w:qFormat/>
    <w:uiPriority w:val="0"/>
    <w:pPr>
      <w:ind w:firstLine="420" w:firstLineChars="200"/>
    </w:pPr>
    <w:rPr>
      <w:rFonts w:ascii="Calibri" w:hAnsi="Calibri" w:cs="黑体"/>
    </w:rPr>
  </w:style>
  <w:style w:type="paragraph" w:styleId="8">
    <w:name w:val="toa heading"/>
    <w:basedOn w:val="1"/>
    <w:next w:val="1"/>
    <w:qFormat/>
    <w:uiPriority w:val="0"/>
    <w:pPr>
      <w:spacing w:before="120" w:beforeAutospacing="0"/>
    </w:pPr>
    <w:rPr>
      <w:rFonts w:ascii="Arial" w:hAnsi="Arial"/>
      <w:sz w:val="24"/>
    </w:rPr>
  </w:style>
  <w:style w:type="paragraph" w:styleId="9">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10">
    <w:name w:val="Body Text"/>
    <w:basedOn w:val="1"/>
    <w:link w:val="27"/>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10"/>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4"/>
    <w:qFormat/>
    <w:uiPriority w:val="9"/>
    <w:rPr>
      <w:rFonts w:ascii="Times New Roman" w:hAnsi="Times New Roman"/>
      <w:b/>
      <w:bCs/>
      <w:kern w:val="44"/>
      <w:sz w:val="44"/>
      <w:szCs w:val="44"/>
    </w:rPr>
  </w:style>
  <w:style w:type="character" w:customStyle="1" w:styleId="31">
    <w:name w:val="标题 2 字符"/>
    <w:basedOn w:val="19"/>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本年度收入预算数</c:v>
                </c:pt>
              </c:strCache>
            </c:strRef>
          </c:tx>
          <c:spPr>
            <a:solidFill>
              <a:schemeClr val="accent1"/>
            </a:solidFill>
            <a:ln>
              <a:noFill/>
            </a:ln>
            <a:effectLst/>
          </c:spPr>
          <c:invertIfNegative val="false"/>
          <c:dLbls>
            <c:delete val="true"/>
          </c:dLbls>
          <c:cat>
            <c:numRef>
              <c:f>Sheet1!$A$2:$A$3</c:f>
              <c:numCache>
                <c:formatCode>General</c:formatCode>
                <c:ptCount val="2"/>
                <c:pt idx="0">
                  <c:v>2021</c:v>
                </c:pt>
                <c:pt idx="1">
                  <c:v>2020</c:v>
                </c:pt>
              </c:numCache>
            </c:numRef>
          </c:cat>
          <c:val>
            <c:numRef>
              <c:f>Sheet1!$B$2:$B$3</c:f>
              <c:numCache>
                <c:formatCode>General</c:formatCode>
                <c:ptCount val="2"/>
                <c:pt idx="0">
                  <c:v>209.53</c:v>
                </c:pt>
                <c:pt idx="1">
                  <c:v>209.53</c:v>
                </c:pt>
              </c:numCache>
            </c:numRef>
          </c:val>
        </c:ser>
        <c:ser>
          <c:idx val="1"/>
          <c:order val="1"/>
          <c:tx>
            <c:strRef>
              <c:f>Sheet1!$C$1</c:f>
              <c:strCache>
                <c:ptCount val="1"/>
                <c:pt idx="0">
                  <c:v>本年度收入决算数</c:v>
                </c:pt>
              </c:strCache>
            </c:strRef>
          </c:tx>
          <c:spPr>
            <a:solidFill>
              <a:schemeClr val="accent2"/>
            </a:solidFill>
            <a:ln>
              <a:noFill/>
            </a:ln>
            <a:effectLst/>
          </c:spPr>
          <c:invertIfNegative val="false"/>
          <c:dLbls>
            <c:delete val="true"/>
          </c:dLbls>
          <c:cat>
            <c:numRef>
              <c:f>Sheet1!$A$2:$A$3</c:f>
              <c:numCache>
                <c:formatCode>General</c:formatCode>
                <c:ptCount val="2"/>
                <c:pt idx="0">
                  <c:v>2021</c:v>
                </c:pt>
                <c:pt idx="1">
                  <c:v>2020</c:v>
                </c:pt>
              </c:numCache>
            </c:numRef>
          </c:cat>
          <c:val>
            <c:numRef>
              <c:f>Sheet1!$C$2:$C$3</c:f>
              <c:numCache>
                <c:formatCode>General</c:formatCode>
                <c:ptCount val="2"/>
                <c:pt idx="0">
                  <c:v>209.53</c:v>
                </c:pt>
                <c:pt idx="1">
                  <c:v>209.53</c:v>
                </c:pt>
              </c:numCache>
            </c:numRef>
          </c:val>
        </c:ser>
        <c:ser>
          <c:idx val="2"/>
          <c:order val="2"/>
          <c:tx>
            <c:strRef>
              <c:f>Sheet1!$D$1</c:f>
              <c:strCache>
                <c:ptCount val="1"/>
                <c:pt idx="0">
                  <c:v>完成度</c:v>
                </c:pt>
              </c:strCache>
            </c:strRef>
          </c:tx>
          <c:spPr>
            <a:solidFill>
              <a:schemeClr val="accent3"/>
            </a:solidFill>
            <a:ln>
              <a:noFill/>
            </a:ln>
            <a:effectLst/>
          </c:spPr>
          <c:invertIfNegative val="false"/>
          <c:dLbls>
            <c:delete val="true"/>
          </c:dLbls>
          <c:cat>
            <c:numRef>
              <c:f>Sheet1!$A$2:$A$3</c:f>
              <c:numCache>
                <c:formatCode>General</c:formatCode>
                <c:ptCount val="2"/>
                <c:pt idx="0">
                  <c:v>2021</c:v>
                </c:pt>
                <c:pt idx="1">
                  <c:v>2020</c:v>
                </c:pt>
              </c:numCache>
            </c:numRef>
          </c:cat>
          <c:val>
            <c:numRef>
              <c:f>Sheet1!$D$2:$D$3</c:f>
              <c:numCache>
                <c:formatCode>0%</c:formatCode>
                <c:ptCount val="2"/>
                <c:pt idx="0">
                  <c:v>1</c:v>
                </c:pt>
                <c:pt idx="1">
                  <c:v>1</c:v>
                </c:pt>
              </c:numCache>
            </c:numRef>
          </c:val>
        </c:ser>
        <c:dLbls>
          <c:showLegendKey val="false"/>
          <c:showVal val="false"/>
          <c:showCatName val="false"/>
          <c:showSerName val="false"/>
          <c:showPercent val="false"/>
          <c:showBubbleSize val="false"/>
        </c:dLbls>
        <c:gapWidth val="219"/>
        <c:overlap val="-27"/>
        <c:axId val="327530003"/>
        <c:axId val="662997339"/>
      </c:barChart>
      <c:catAx>
        <c:axId val="327530003"/>
        <c:scaling>
          <c:orientation val="minMax"/>
        </c:scaling>
        <c:delete val="false"/>
        <c:axPos val="b"/>
        <c:numFmt formatCode="General" sourceLinked="tru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true"/>
        <c:lblAlgn val="ctr"/>
        <c:lblOffset val="100"/>
        <c:noMultiLvlLbl val="false"/>
      </c:catAx>
      <c:valAx>
        <c:axId val="662997339"/>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horzOverflow="overflow"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true"/>
    <a:lstStyle/>
    <a:p>
      <a:pPr>
        <a:defRPr lang="zh-CN" sz="1000" kern="1200">
          <a:solidFill>
            <a:schemeClr val="tx1"/>
          </a:solidFill>
          <a:latin typeface="+mn-lt"/>
          <a:ea typeface="+mn-ea"/>
          <a:cs typeface="+mn-cs"/>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explosion val="0"/>
          <c:dPt>
            <c:idx val="0"/>
            <c:bubble3D val="false"/>
            <c:spPr>
              <a:gradFill>
                <a:gsLst>
                  <a:gs pos="100000">
                    <a:schemeClr val="accent1">
                      <a:lumMod val="60000"/>
                      <a:lumOff val="40000"/>
                    </a:schemeClr>
                  </a:gs>
                  <a:gs pos="0">
                    <a:schemeClr val="accent1"/>
                  </a:gs>
                </a:gsLst>
                <a:lin ang="5400000" scaled="false"/>
              </a:gradFill>
              <a:ln w="19050">
                <a:solidFill>
                  <a:schemeClr val="lt1"/>
                </a:solidFill>
              </a:ln>
              <a:effectLst/>
            </c:spPr>
          </c:dPt>
          <c:dLbls>
            <c:numFmt formatCode="General" sourceLinked="true"/>
            <c:spPr>
              <a:noFill/>
              <a:ln>
                <a:noFill/>
              </a:ln>
              <a:effectLst/>
            </c:spPr>
            <c:txPr>
              <a:bodyPr rot="0" spcFirstLastPara="0" vertOverflow="ellipsis" horzOverflow="overflow" vert="horz" wrap="square" lIns="38100" tIns="19050" rIns="38100" bIns="19050" anchor="ctr" anchorCtr="true"/>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9525" cap="flat" cmpd="sng" algn="ctr">
                      <a:solidFill>
                        <a:schemeClr val="dk1">
                          <a:lumMod val="35000"/>
                          <a:lumOff val="65000"/>
                        </a:schemeClr>
                      </a:solidFill>
                      <a:prstDash val="solid"/>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209.53</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alpha val="50000"/>
          </a:schemeClr>
        </a:solidFill>
        <a:ln>
          <a:noFill/>
        </a:ln>
        <a:effectLst/>
      </c:spPr>
      <c:txPr>
        <a:bodyPr rot="0" spcFirstLastPara="0" vertOverflow="ellipsis" horzOverflow="overflow"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true"/>
    <a:lstStyle/>
    <a:p>
      <a:pPr>
        <a:defRPr lang="zh-CN" sz="900" kern="1200">
          <a:solidFill>
            <a:schemeClr val="dk1"/>
          </a:solidFill>
          <a:latin typeface="+mn-lt"/>
          <a:ea typeface="+mn-ea"/>
          <a:cs typeface="+mn-cs"/>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支出情况分析</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97.64</c:v>
                </c:pt>
                <c:pt idx="1">
                  <c:v>2.36</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442860594346461"/>
          <c:y val="0.161920951976201"/>
          <c:w val="0.930345494080696"/>
          <c:h val="0.638631534211645"/>
        </c:manualLayout>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delete val="true"/>
          </c:dLbls>
          <c:cat>
            <c:strRef>
              <c:f>Sheet1!$A$2:$A$5</c:f>
              <c:strCache>
                <c:ptCount val="4"/>
                <c:pt idx="0">
                  <c:v>2020年</c:v>
                </c:pt>
                <c:pt idx="1">
                  <c:v>2021年</c:v>
                </c:pt>
                <c:pt idx="2">
                  <c:v>2020年</c:v>
                </c:pt>
                <c:pt idx="3">
                  <c:v>2021年</c:v>
                </c:pt>
              </c:strCache>
            </c:strRef>
          </c:cat>
          <c:val>
            <c:numRef>
              <c:f>Sheet1!$B$2:$B$5</c:f>
              <c:numCache>
                <c:formatCode>General</c:formatCode>
                <c:ptCount val="4"/>
                <c:pt idx="0">
                  <c:v>153.55</c:v>
                </c:pt>
                <c:pt idx="1">
                  <c:v>209.53</c:v>
                </c:pt>
              </c:numCache>
            </c:numRef>
          </c:val>
        </c:ser>
        <c:ser>
          <c:idx val="1"/>
          <c:order val="1"/>
          <c:tx>
            <c:strRef>
              <c:f>Sheet1!$C$1</c:f>
              <c:strCache>
                <c:ptCount val="1"/>
                <c:pt idx="0">
                  <c:v>支出</c:v>
                </c:pt>
              </c:strCache>
            </c:strRef>
          </c:tx>
          <c:spPr>
            <a:solidFill>
              <a:schemeClr val="accent2"/>
            </a:solidFill>
            <a:ln>
              <a:noFill/>
            </a:ln>
            <a:effectLst/>
          </c:spPr>
          <c:invertIfNegative val="false"/>
          <c:dLbls>
            <c:delete val="true"/>
          </c:dLbls>
          <c:cat>
            <c:strRef>
              <c:f>Sheet1!$A$2:$A$5</c:f>
              <c:strCache>
                <c:ptCount val="4"/>
                <c:pt idx="0">
                  <c:v>2020年</c:v>
                </c:pt>
                <c:pt idx="1">
                  <c:v>2021年</c:v>
                </c:pt>
                <c:pt idx="2">
                  <c:v>2020年</c:v>
                </c:pt>
                <c:pt idx="3">
                  <c:v>2021年</c:v>
                </c:pt>
              </c:strCache>
            </c:strRef>
          </c:cat>
          <c:val>
            <c:numRef>
              <c:f>Sheet1!$C$2:$C$5</c:f>
              <c:numCache>
                <c:formatCode>General</c:formatCode>
                <c:ptCount val="4"/>
                <c:pt idx="2">
                  <c:v>153.55</c:v>
                </c:pt>
                <c:pt idx="3">
                  <c:v>209.53</c:v>
                </c:pt>
              </c:numCache>
            </c:numRef>
          </c:val>
        </c:ser>
        <c:dLbls>
          <c:showLegendKey val="false"/>
          <c:showVal val="false"/>
          <c:showCatName val="false"/>
          <c:showSerName val="false"/>
          <c:showPercent val="false"/>
          <c:showBubbleSize val="false"/>
        </c:dLbls>
        <c:gapWidth val="246"/>
        <c:overlap val="-28"/>
        <c:axId val="157061212"/>
        <c:axId val="900064804"/>
      </c:barChart>
      <c:catAx>
        <c:axId val="15706121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00064804"/>
        <c:crosses val="autoZero"/>
        <c:auto val="true"/>
        <c:lblAlgn val="ctr"/>
        <c:lblOffset val="100"/>
        <c:noMultiLvlLbl val="false"/>
      </c:catAx>
      <c:valAx>
        <c:axId val="900064804"/>
        <c:scaling>
          <c:orientation val="minMax"/>
        </c:scaling>
        <c:delete val="false"/>
        <c:axPos val="l"/>
        <c:majorGridlines>
          <c:spPr>
            <a:ln w="9525" cap="flat" cmpd="sng" algn="ctr">
              <a:solidFill>
                <a:schemeClr val="bg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706121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2020</c:v>
                </c:pt>
              </c:strCache>
            </c:strRef>
          </c:tx>
          <c:spPr>
            <a:solidFill>
              <a:schemeClr val="accent1"/>
            </a:solidFill>
            <a:ln>
              <a:noFill/>
            </a:ln>
            <a:effectLst/>
          </c:spPr>
          <c:invertIfNegative val="false"/>
          <c:dLbls>
            <c:delete val="true"/>
          </c:dLbls>
          <c:cat>
            <c:numRef>
              <c:f>Sheet1!$A$2</c:f>
              <c:numCache>
                <c:formatCode>General</c:formatCode>
                <c:ptCount val="1"/>
              </c:numCache>
            </c:numRef>
          </c:cat>
          <c:val>
            <c:numRef>
              <c:f>Sheet1!$B$2</c:f>
              <c:numCache>
                <c:formatCode>General</c:formatCode>
                <c:ptCount val="1"/>
                <c:pt idx="0">
                  <c:v>153.55</c:v>
                </c:pt>
              </c:numCache>
            </c:numRef>
          </c:val>
        </c:ser>
        <c:ser>
          <c:idx val="1"/>
          <c:order val="1"/>
          <c:tx>
            <c:strRef>
              <c:f>Sheet1!$C$1</c:f>
              <c:strCache>
                <c:ptCount val="1"/>
                <c:pt idx="0">
                  <c:v>2021</c:v>
                </c:pt>
              </c:strCache>
            </c:strRef>
          </c:tx>
          <c:spPr>
            <a:solidFill>
              <a:schemeClr val="accent2"/>
            </a:solidFill>
            <a:ln>
              <a:noFill/>
            </a:ln>
            <a:effectLst/>
          </c:spPr>
          <c:invertIfNegative val="false"/>
          <c:dLbls>
            <c:delete val="true"/>
          </c:dLbls>
          <c:cat>
            <c:numRef>
              <c:f>Sheet1!$A$2</c:f>
              <c:numCache>
                <c:formatCode>General</c:formatCode>
                <c:ptCount val="1"/>
              </c:numCache>
            </c:numRef>
          </c:cat>
          <c:val>
            <c:numRef>
              <c:f>Sheet1!$C$2</c:f>
              <c:numCache>
                <c:formatCode>General</c:formatCode>
                <c:ptCount val="1"/>
                <c:pt idx="0">
                  <c:v>209.53</c:v>
                </c:pt>
              </c:numCache>
            </c:numRef>
          </c:val>
        </c:ser>
        <c:dLbls>
          <c:showLegendKey val="false"/>
          <c:showVal val="false"/>
          <c:showCatName val="false"/>
          <c:showSerName val="false"/>
          <c:showPercent val="false"/>
          <c:showBubbleSize val="false"/>
        </c:dLbls>
        <c:gapWidth val="246"/>
        <c:overlap val="-28"/>
        <c:axId val="293796978"/>
        <c:axId val="638351815"/>
      </c:barChart>
      <c:catAx>
        <c:axId val="293796978"/>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8351815"/>
        <c:crosses val="autoZero"/>
        <c:auto val="true"/>
        <c:lblAlgn val="ctr"/>
        <c:lblOffset val="100"/>
        <c:noMultiLvlLbl val="false"/>
      </c:catAx>
      <c:valAx>
        <c:axId val="638351815"/>
        <c:scaling>
          <c:orientation val="minMax"/>
        </c:scaling>
        <c:delete val="false"/>
        <c:axPos val="l"/>
        <c:majorGridlines>
          <c:spPr>
            <a:ln w="9525" cap="flat" cmpd="sng" algn="ctr">
              <a:solidFill>
                <a:schemeClr val="bg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93796978"/>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占比</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Lbls>
            <c:delete val="true"/>
          </c:dLbls>
          <c:cat>
            <c:strRef>
              <c:f>Sheet1!$A$2:$A$5</c:f>
              <c:strCache>
                <c:ptCount val="4"/>
                <c:pt idx="0">
                  <c:v>一般公共服务支出</c:v>
                </c:pt>
                <c:pt idx="1">
                  <c:v>社会保障和就业（类）支出</c:v>
                </c:pt>
                <c:pt idx="2">
                  <c:v>卫生健康支出</c:v>
                </c:pt>
                <c:pt idx="3">
                  <c:v>住房保障支出</c:v>
                </c:pt>
              </c:strCache>
            </c:strRef>
          </c:cat>
          <c:val>
            <c:numRef>
              <c:f>Sheet1!$B$2:$B$5</c:f>
              <c:numCache>
                <c:formatCode>General</c:formatCode>
                <c:ptCount val="4"/>
                <c:pt idx="0">
                  <c:v>76.86</c:v>
                </c:pt>
                <c:pt idx="1">
                  <c:v>11.56</c:v>
                </c:pt>
                <c:pt idx="2">
                  <c:v>4.4</c:v>
                </c:pt>
                <c:pt idx="3">
                  <c:v>7.18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占比</c:v>
                </c:pt>
              </c:strCache>
            </c:strRef>
          </c:tx>
          <c:spPr/>
          <c:explosion val="0"/>
          <c:dPt>
            <c:idx val="0"/>
            <c:bubble3D val="false"/>
            <c:spPr>
              <a:solidFill>
                <a:schemeClr val="accent1"/>
              </a:solidFill>
              <a:ln>
                <a:solidFill>
                  <a:schemeClr val="bg1"/>
                </a:solidFill>
              </a:ln>
              <a:effectLst/>
            </c:spPr>
          </c:dPt>
          <c:dLbls>
            <c:delete val="true"/>
          </c:dLbls>
          <c:cat>
            <c:strRef>
              <c:f>Sheet1!$A$2</c:f>
              <c:strCache>
                <c:ptCount val="1"/>
                <c:pt idx="0">
                  <c:v>公务用车购置及运行维护费支出</c:v>
                </c:pt>
              </c:strCache>
            </c:strRef>
          </c:cat>
          <c:val>
            <c:numRef>
              <c:f>Sheet1!$B$2</c:f>
              <c:numCache>
                <c:formatCode>0%</c:formatCode>
                <c:ptCount val="1"/>
                <c:pt idx="0">
                  <c:v>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9</TotalTime>
  <ScaleCrop>false</ScaleCrop>
  <LinksUpToDate>false</LinksUpToDate>
  <CharactersWithSpaces>23081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user</cp:lastModifiedBy>
  <cp:lastPrinted>2020-07-23T18:58:00Z</cp:lastPrinted>
  <dcterms:modified xsi:type="dcterms:W3CDTF">2023-11-02T17:09:20Z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99F0A60A3B64473E82D8A71841685294_13</vt:lpwstr>
  </property>
</Properties>
</file>