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center"/>
      </w:pPr>
      <w:r>
        <w:rPr>
          <w:rStyle w:val="18"/>
          <w:rFonts w:ascii="宋体" w:eastAsia="宋体" w:cs="宋体" w:hint="eastAsia"/>
          <w:kern w:val="0"/>
          <w:sz w:val="33"/>
          <w:szCs w:val="33"/>
        </w:rPr>
        <w:t>红原县工商业联合会</w:t>
      </w:r>
      <w:r>
        <w:rPr>
          <w:rStyle w:val="18"/>
          <w:rFonts w:ascii="宋体" w:eastAsia="宋体" w:cs="宋体" w:hint="eastAsia"/>
          <w:sz w:val="33"/>
          <w:szCs w:val="33"/>
        </w:rPr>
        <w:t>2020年度部门决算分析报告</w:t>
      </w:r>
    </w:p>
    <w:p>
      <w:pPr>
        <w:pStyle w:val="17"/>
        <w:widowControl/>
        <w:spacing w:beforeAutospacing="0" w:afterAutospacing="0"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一、单位情况</w:t>
      </w:r>
    </w:p>
    <w:p>
      <w:pPr>
        <w:pStyle w:val="17"/>
        <w:widowControl/>
        <w:spacing w:beforeAutospacing="0" w:afterAutospacing="0" w:line="560" w:lineRule="exact"/>
        <w:ind w:firstLineChars="200" w:firstLine="640"/>
        <w:rPr>
          <w:rFonts w:ascii="仿宋_GB2312" w:eastAsia="仿宋_GB2312" w:cs="仿宋_GB2312"/>
          <w:sz w:val="32"/>
          <w:szCs w:val="32"/>
        </w:rPr>
      </w:pPr>
      <w:r>
        <w:rPr>
          <w:rStyle w:val="18"/>
          <w:rFonts w:ascii="仿宋_GB2312" w:eastAsia="仿宋_GB2312" w:cs="仿宋_GB2312" w:hint="eastAsia"/>
          <w:sz w:val="32"/>
          <w:szCs w:val="32"/>
        </w:rPr>
        <w:t>（一）基本情况。</w:t>
      </w:r>
    </w:p>
    <w:p>
      <w:pPr>
        <w:pStyle w:val="17"/>
        <w:widowControl/>
        <w:spacing w:beforeAutospacing="0" w:afterAutospacing="0"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1．主要职能。</w:t>
      </w:r>
    </w:p>
    <w:p>
      <w:pPr>
        <w:spacing w:line="560" w:lineRule="exact"/>
        <w:jc w:val="left"/>
        <w:rPr>
          <w:rFonts w:ascii="仿宋_GB2312" w:eastAsia="仿宋_GB2312" w:cs="仿宋_GB2312"/>
          <w:sz w:val="32"/>
          <w:szCs w:val="32"/>
        </w:rPr>
      </w:pPr>
      <w:r>
        <w:rPr>
          <w:rFonts w:ascii="仿宋_GB2312" w:eastAsia="仿宋_GB2312" w:cs="仿宋_GB2312" w:hint="eastAsia"/>
          <w:color w:val="333333"/>
          <w:kern w:val="0"/>
          <w:sz w:val="32"/>
          <w:szCs w:val="32"/>
          <w:shd w:val="clear" w:color="auto" w:fill="FFFFFF"/>
        </w:rPr>
        <w:t xml:space="preserve">   （一）团结、服务、引导、教育非公有制经济人士爱国、敬业、诚信、守法、贡献，培养拥护党的领导、走中国特色社会主义道路的非公有制经济人士队伍。</w:t>
      </w:r>
      <w:r>
        <w:rPr>
          <w:rFonts w:ascii="仿宋_GB2312" w:eastAsia="仿宋_GB2312" w:cs="仿宋_GB2312" w:hint="eastAsia"/>
          <w:color w:val="333333"/>
          <w:kern w:val="0"/>
          <w:sz w:val="32"/>
          <w:szCs w:val="32"/>
        </w:rPr>
        <w:br/>
      </w:r>
      <w:r>
        <w:rPr>
          <w:rFonts w:ascii="仿宋_GB2312" w:eastAsia="仿宋_GB2312" w:cs="仿宋_GB2312" w:hint="eastAsia"/>
          <w:color w:val="333333"/>
          <w:kern w:val="0"/>
          <w:sz w:val="32"/>
          <w:szCs w:val="32"/>
          <w:shd w:val="clear" w:color="auto" w:fill="FFFFFF"/>
        </w:rPr>
        <w:t xml:space="preserve">   （二）做好非公有制经济代表人士政治安排的推荐工作。参与政治协商，发挥民主监督作用，积极参政议政。</w:t>
      </w:r>
      <w:r>
        <w:rPr>
          <w:rFonts w:ascii="仿宋_GB2312" w:eastAsia="仿宋_GB2312" w:cs="仿宋_GB2312" w:hint="eastAsia"/>
          <w:color w:val="333333"/>
          <w:kern w:val="0"/>
          <w:sz w:val="32"/>
          <w:szCs w:val="32"/>
        </w:rPr>
        <w:br/>
      </w:r>
      <w:r>
        <w:rPr>
          <w:rFonts w:ascii="仿宋_GB2312" w:eastAsia="仿宋_GB2312" w:cs="仿宋_GB2312" w:hint="eastAsia"/>
          <w:color w:val="333333"/>
          <w:kern w:val="0"/>
          <w:sz w:val="32"/>
          <w:szCs w:val="32"/>
          <w:shd w:val="clear" w:color="auto" w:fill="FFFFFF"/>
        </w:rPr>
        <w:t xml:space="preserve">   （三）参与政府相关的经济活动，广泛联系各地工商界人士，开展民间外交，推动经贸交流和协作，促进经济社会发展。</w:t>
      </w:r>
      <w:r>
        <w:rPr>
          <w:rFonts w:ascii="仿宋_GB2312" w:eastAsia="仿宋_GB2312" w:cs="仿宋_GB2312" w:hint="eastAsia"/>
          <w:color w:val="333333"/>
          <w:kern w:val="0"/>
          <w:sz w:val="32"/>
          <w:szCs w:val="32"/>
        </w:rPr>
        <w:br/>
      </w:r>
      <w:r>
        <w:rPr>
          <w:rFonts w:ascii="仿宋_GB2312" w:eastAsia="仿宋_GB2312" w:cs="仿宋_GB2312" w:hint="eastAsia"/>
          <w:color w:val="333333"/>
          <w:kern w:val="0"/>
          <w:sz w:val="32"/>
          <w:szCs w:val="32"/>
          <w:shd w:val="clear" w:color="auto" w:fill="FFFFFF"/>
        </w:rPr>
        <w:t xml:space="preserve">   （四）参与协调劳动关系，促进和谐社会建设。</w:t>
      </w:r>
      <w:r>
        <w:rPr>
          <w:rFonts w:ascii="仿宋_GB2312" w:eastAsia="仿宋_GB2312" w:cs="仿宋_GB2312" w:hint="eastAsia"/>
          <w:color w:val="333333"/>
          <w:kern w:val="0"/>
          <w:sz w:val="32"/>
          <w:szCs w:val="32"/>
        </w:rPr>
        <w:br/>
      </w:r>
      <w:r>
        <w:rPr>
          <w:rFonts w:ascii="仿宋_GB2312" w:eastAsia="仿宋_GB2312" w:cs="仿宋_GB2312" w:hint="eastAsia"/>
          <w:color w:val="333333"/>
          <w:kern w:val="0"/>
          <w:sz w:val="32"/>
          <w:szCs w:val="32"/>
          <w:shd w:val="clear" w:color="auto" w:fill="FFFFFF"/>
        </w:rPr>
        <w:t xml:space="preserve">   （五）指导本会直属商会工作，积极参与社会组织建设工作，促进行业协会商会改革发展。</w:t>
      </w:r>
      <w:r>
        <w:rPr>
          <w:rFonts w:ascii="仿宋_GB2312" w:eastAsia="仿宋_GB2312" w:cs="仿宋_GB2312" w:hint="eastAsia"/>
          <w:color w:val="333333"/>
          <w:kern w:val="0"/>
          <w:sz w:val="32"/>
          <w:szCs w:val="32"/>
        </w:rPr>
        <w:br/>
      </w:r>
      <w:r>
        <w:rPr>
          <w:rFonts w:ascii="仿宋_GB2312" w:eastAsia="仿宋_GB2312" w:cs="仿宋_GB2312" w:hint="eastAsia"/>
          <w:color w:val="333333"/>
          <w:kern w:val="0"/>
          <w:sz w:val="32"/>
          <w:szCs w:val="32"/>
          <w:shd w:val="clear" w:color="auto" w:fill="FFFFFF"/>
        </w:rPr>
        <w:t xml:space="preserve">   （六）反映非公有制企业和非公有制经济人士利益诉求，维护其合法权益。              </w:t>
      </w:r>
    </w:p>
    <w:p>
      <w:pPr>
        <w:tabs>
          <w:tab w:val="center" w:pos="4474"/>
        </w:tabs>
        <w:spacing w:line="560" w:lineRule="exact"/>
        <w:rPr>
          <w:rFonts w:ascii="仿宋_GB2312" w:eastAsia="仿宋_GB2312" w:cs="仿宋_GB2312"/>
          <w:b/>
          <w:bCs/>
          <w:color w:val="333333"/>
          <w:sz w:val="32"/>
          <w:szCs w:val="32"/>
        </w:rPr>
      </w:pPr>
      <w:r>
        <w:rPr>
          <w:rFonts w:ascii="仿宋_GB2312" w:eastAsia="仿宋_GB2312" w:cs="仿宋_GB2312" w:hint="eastAsia"/>
          <w:color w:val="333333"/>
          <w:kern w:val="0"/>
          <w:sz w:val="32"/>
          <w:szCs w:val="32"/>
          <w:shd w:val="clear" w:color="auto" w:fill="FFFFFF"/>
        </w:rPr>
        <w:t xml:space="preserve">   （七）为会员提供政策信息、人才交流培训等服务。组织会员企业参加各类经贸活动，外出参观考察，帮助会员企业拓展市场。</w:t>
      </w:r>
      <w:r>
        <w:rPr>
          <w:rFonts w:ascii="仿宋_GB2312" w:eastAsia="仿宋_GB2312" w:cs="仿宋_GB2312" w:hint="eastAsia"/>
          <w:color w:val="333333"/>
          <w:kern w:val="0"/>
          <w:sz w:val="32"/>
          <w:szCs w:val="32"/>
        </w:rPr>
        <w:br/>
      </w:r>
      <w:r>
        <w:rPr>
          <w:rFonts w:ascii="仿宋_GB2312" w:eastAsia="仿宋_GB2312" w:cs="仿宋_GB2312" w:hint="eastAsia"/>
          <w:color w:val="333333"/>
          <w:kern w:val="0"/>
          <w:sz w:val="32"/>
          <w:szCs w:val="32"/>
          <w:shd w:val="clear" w:color="auto" w:fill="FFFFFF"/>
        </w:rPr>
        <w:t xml:space="preserve">   （八）配合有关部门开展非公有制会员企业党建工作。</w:t>
      </w:r>
      <w:r>
        <w:rPr>
          <w:rFonts w:ascii="仿宋_GB2312" w:eastAsia="仿宋_GB2312" w:cs="仿宋_GB2312" w:hint="eastAsia"/>
          <w:color w:val="333333"/>
          <w:kern w:val="0"/>
          <w:sz w:val="32"/>
          <w:szCs w:val="32"/>
        </w:rPr>
        <w:br/>
      </w:r>
      <w:r>
        <w:rPr>
          <w:rFonts w:ascii="仿宋_GB2312" w:eastAsia="仿宋_GB2312" w:cs="仿宋_GB2312" w:hint="eastAsia"/>
          <w:color w:val="333333"/>
          <w:kern w:val="0"/>
          <w:sz w:val="32"/>
          <w:szCs w:val="32"/>
          <w:shd w:val="clear" w:color="auto" w:fill="FFFFFF"/>
        </w:rPr>
        <w:t xml:space="preserve">   （九）积极引导非公有制企业及其非公有制经济人士承担社会责任，大力支持慈善公益事业发展，积极投身光彩事业。</w:t>
      </w:r>
      <w:r>
        <w:rPr>
          <w:rFonts w:ascii="仿宋_GB2312" w:eastAsia="仿宋_GB2312" w:cs="仿宋_GB2312" w:hint="eastAsia"/>
          <w:color w:val="333333"/>
          <w:kern w:val="0"/>
          <w:sz w:val="32"/>
          <w:szCs w:val="32"/>
        </w:rPr>
        <w:br/>
      </w:r>
      <w:r>
        <w:rPr>
          <w:rFonts w:ascii="仿宋_GB2312" w:eastAsia="仿宋_GB2312" w:cs="仿宋_GB2312" w:hint="eastAsia"/>
          <w:color w:val="333333"/>
          <w:kern w:val="0"/>
          <w:sz w:val="32"/>
          <w:szCs w:val="32"/>
          <w:shd w:val="clear" w:color="auto" w:fill="FFFFFF"/>
        </w:rPr>
        <w:t xml:space="preserve">   （十）承办县委、县政府和上级工商联交办的其它任务。 </w:t>
      </w:r>
    </w:p>
    <w:p>
      <w:pPr>
        <w:pStyle w:val="17"/>
        <w:widowControl/>
        <w:spacing w:beforeAutospacing="0" w:afterAutospacing="0" w:line="560" w:lineRule="exac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rPr>
        <w:t xml:space="preserve">    2．本单位本年度纳入本套决算编制范围的独立编制机构数共1个，比上年增加0个，无变动情况；独立核算机构数共1个，比上年增加0个，无变动情况。</w:t>
      </w:r>
    </w:p>
    <w:p>
      <w:pPr>
        <w:pStyle w:val="17"/>
        <w:widowControl/>
        <w:spacing w:beforeAutospacing="0" w:afterAutospacing="0" w:line="560" w:lineRule="exac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rPr>
        <w:t xml:space="preserve">    3．本单位本年度年末实有人数为8人，比上年增加1人；变动情况及原因为调进一人。</w:t>
      </w:r>
    </w:p>
    <w:p>
      <w:pPr>
        <w:pStyle w:val="17"/>
        <w:widowControl/>
        <w:spacing w:beforeAutospacing="0" w:afterAutospacing="0" w:line="560" w:lineRule="exact"/>
        <w:rPr>
          <w:rFonts w:ascii="楷体_GB2312" w:eastAsia="楷体_GB2312" w:cs="楷体_GB2312"/>
          <w:b/>
          <w:bCs/>
          <w:sz w:val="32"/>
          <w:szCs w:val="32"/>
          <w:shd w:val="clear" w:color="auto" w:fill="FFFFFF"/>
        </w:rPr>
      </w:pPr>
      <w:r>
        <w:rPr>
          <w:rFonts w:ascii="仿宋_GB2312" w:eastAsia="仿宋_GB2312" w:cs="仿宋_GB2312" w:hint="eastAsia"/>
          <w:color w:val="333333"/>
          <w:sz w:val="32"/>
          <w:szCs w:val="32"/>
          <w:shd w:val="clear" w:color="auto" w:fill="FFFFFF"/>
        </w:rPr>
        <w:t xml:space="preserve">  </w:t>
      </w:r>
      <w:r>
        <w:rPr>
          <w:rFonts w:ascii="楷体_GB2312" w:eastAsia="楷体_GB2312" w:cs="楷体_GB2312" w:hint="eastAsia"/>
          <w:b/>
          <w:bCs/>
          <w:sz w:val="32"/>
          <w:szCs w:val="32"/>
          <w:shd w:val="clear" w:color="auto" w:fill="FFFFFF"/>
        </w:rPr>
        <w:t xml:space="preserve"> （二）当年取得的主要事业成效。</w:t>
      </w:r>
    </w:p>
    <w:p>
      <w:pPr>
        <w:widowControl/>
        <w:autoSpaceDN w:val="0"/>
        <w:adjustRightInd w:val="0"/>
        <w:spacing w:line="560" w:lineRule="exact"/>
        <w:ind w:firstLineChars="200" w:firstLine="640"/>
        <w:rPr>
          <w:rFonts w:ascii="仿宋_GB2312" w:eastAsia="仿宋_GB2312" w:cs="宋体"/>
          <w:kern w:val="0"/>
          <w:sz w:val="32"/>
          <w:szCs w:val="32"/>
        </w:rPr>
      </w:pPr>
      <w:r>
        <w:rPr>
          <w:rFonts w:ascii="仿宋_GB2312" w:eastAsia="仿宋_GB2312" w:cs="宋体" w:hint="eastAsia"/>
          <w:kern w:val="0"/>
          <w:sz w:val="32"/>
          <w:szCs w:val="32"/>
        </w:rPr>
        <w:t>2020年，县工商联认真贯彻党的十九大精神，牢牢把握工商联“两个健康”工作主题，进一步全面落实中央、省、州关于加快民营经济大发展重要部署，助推民营经济转型升级加快发展，进一步加强思想政治引领，切实加强自身建设，团结凝聚全县广大民营经济人士积极参与经济社会建设和全县脱贫攻坚的各项工作中，为推动红原“三地一时代”建设，加快红原经济发展做出积极贡献。</w:t>
      </w:r>
    </w:p>
    <w:p>
      <w:pPr>
        <w:widowControl/>
        <w:numPr>
          <w:ilvl w:val="0"/>
          <w:numId w:val="1"/>
        </w:numPr>
        <w:autoSpaceDN w:val="0"/>
        <w:spacing w:line="560" w:lineRule="exact"/>
        <w:ind w:left="0" w:firstLineChars="200" w:firstLine="640"/>
        <w:rPr>
          <w:rFonts w:ascii="楷体" w:eastAsia="楷体" w:cs="宋体"/>
          <w:b/>
          <w:kern w:val="0"/>
          <w:sz w:val="32"/>
          <w:szCs w:val="32"/>
        </w:rPr>
      </w:pPr>
      <w:r>
        <w:rPr>
          <w:rFonts w:ascii="楷体" w:eastAsia="楷体" w:cs="宋体" w:hint="eastAsia"/>
          <w:b/>
          <w:kern w:val="0"/>
          <w:sz w:val="32"/>
          <w:szCs w:val="32"/>
        </w:rPr>
        <w:t>加强政治学习，提高服务能力。</w:t>
      </w:r>
    </w:p>
    <w:p>
      <w:pPr>
        <w:widowControl/>
        <w:autoSpaceDN w:val="0"/>
        <w:adjustRightInd w:val="0"/>
        <w:spacing w:line="560" w:lineRule="exact"/>
        <w:ind w:firstLineChars="200" w:firstLine="640"/>
        <w:rPr>
          <w:rFonts w:ascii="仿宋_GB2312" w:eastAsia="仿宋_GB2312" w:cs="宋体"/>
          <w:kern w:val="0"/>
          <w:sz w:val="32"/>
          <w:szCs w:val="32"/>
        </w:rPr>
      </w:pPr>
      <w:r>
        <w:rPr>
          <w:rFonts w:ascii="仿宋_GB2312" w:eastAsia="仿宋_GB2312" w:cs="宋体" w:hint="eastAsia"/>
          <w:kern w:val="0"/>
          <w:sz w:val="32"/>
          <w:szCs w:val="32"/>
        </w:rPr>
        <w:t>坚持以各种形式认真学习、广泛宣传、深刻领会党的十九大精神、习近平总书记系列重要讲话精神实质和省委州委县委全会精神，找准切入点，找准突破口，主动服务、靠前服务，增强工作主动性、积极性和创造性。深入开展创先争优活动，完善工商联工作年度目标考核机制，对年度的重点工作任务进行细化分解。深入开展思想、组织、队伍、制度、作风建设，努力建设“学习型、服务型、和谐型、创新型、廉洁型”工商联机关。</w:t>
      </w:r>
    </w:p>
    <w:p>
      <w:pPr>
        <w:pStyle w:val="17"/>
        <w:spacing w:beforeAutospacing="0" w:afterAutospacing="0" w:line="560" w:lineRule="exact"/>
        <w:ind w:firstLineChars="200" w:firstLine="640"/>
        <w:jc w:val="both"/>
        <w:rPr>
          <w:rFonts w:ascii="楷体" w:eastAsia="楷体"/>
          <w:b/>
          <w:sz w:val="32"/>
          <w:szCs w:val="32"/>
        </w:rPr>
      </w:pPr>
      <w:r>
        <w:rPr>
          <w:rFonts w:ascii="楷体" w:eastAsia="楷体" w:hint="eastAsia"/>
          <w:b/>
          <w:sz w:val="32"/>
          <w:szCs w:val="32"/>
        </w:rPr>
        <w:t>（二）以党建为抓手，做好思想引导。</w:t>
      </w:r>
    </w:p>
    <w:p>
      <w:pPr>
        <w:widowControl/>
        <w:autoSpaceDN w:val="0"/>
        <w:spacing w:line="560" w:lineRule="exact"/>
        <w:ind w:firstLineChars="200" w:firstLine="640"/>
        <w:rPr>
          <w:rFonts w:ascii="仿宋_GB2312" w:eastAsia="仿宋_GB2312" w:cs="宋体"/>
          <w:kern w:val="0"/>
          <w:sz w:val="32"/>
          <w:szCs w:val="32"/>
        </w:rPr>
      </w:pPr>
      <w:r>
        <w:rPr>
          <w:rFonts w:ascii="仿宋_GB2312" w:eastAsia="仿宋_GB2312" w:cs="宋体" w:hint="eastAsia"/>
          <w:kern w:val="0"/>
          <w:sz w:val="32"/>
          <w:szCs w:val="32"/>
        </w:rPr>
        <w:t>积极抓好我会党建工作，着力开展好民营企业和民营经济人士党建工作，抓好“五个基本建设”和“创先争优”活动，调动和发挥企业党组织和党员的作用。充分发挥工商联在民营经济人士思想政治工作中的引导作用，引导非公有制经济人士爱国、敬业、诚信、守法、贡献，着力增进思想共识，做合格的中国特色社会主义事业建设者。截止目前，组织“两学一做”集中学</w:t>
      </w:r>
      <w:r>
        <w:rPr>
          <w:rFonts w:ascii="仿宋_GB2312" w:eastAsia="仿宋_GB2312" w:cs="宋体" w:hint="eastAsia"/>
          <w:color w:val="000000"/>
          <w:kern w:val="0"/>
          <w:sz w:val="32"/>
          <w:szCs w:val="32"/>
        </w:rPr>
        <w:t>习14次</w:t>
      </w:r>
      <w:r>
        <w:rPr>
          <w:rFonts w:ascii="仿宋_GB2312" w:eastAsia="仿宋_GB2312" w:cs="宋体" w:hint="eastAsia"/>
          <w:kern w:val="0"/>
          <w:sz w:val="32"/>
          <w:szCs w:val="32"/>
        </w:rPr>
        <w:t>，将学习贯彻县委党代会精神与加强宣传中央、省、州和县委、</w:t>
      </w:r>
      <w:r>
        <w:rPr>
          <w:rFonts w:ascii="仿宋_GB2312" w:eastAsia="方正兰亭黑_GBK" w:cs="宋体" w:hAnsi="仿宋_GB2312"/>
          <w:kern w:val="0"/>
          <w:sz w:val="32"/>
          <w:szCs w:val="32"/>
        </w:rPr>
        <w:t>县</w:t>
      </w:r>
      <w:r>
        <w:rPr>
          <w:rFonts w:ascii="仿宋_GB2312" w:eastAsia="仿宋_GB2312" w:cs="宋体" w:hint="eastAsia"/>
          <w:kern w:val="0"/>
          <w:sz w:val="32"/>
          <w:szCs w:val="32"/>
        </w:rPr>
        <w:t>政府对支持民营经济发展政策措施相结合、与工作实际相结合，以“服务立会”为重点，认真履行工商联五项职能，丰富服务载体，服务大局、服务非公经济发展、服务会员企业。全年，以“不忘创业初心.接力改革伟业”、“学习优秀.奋发图强”、“坚固纪律底线、树立清风正气”等为主题，开展党员主题活动3次。协同县委组织部赴宇妥藏药股份有限公司、更攀农牧民专业合作社、芸谊酒店、阿坝宁环集团等企业指导企业党建工作。同时，开展红原综合发展商会党建大调研工作，深入会员、摸清底数、积极筹备，力争年底前成立商会党支部。</w:t>
      </w:r>
    </w:p>
    <w:p>
      <w:pPr>
        <w:pStyle w:val="17"/>
        <w:spacing w:beforeAutospacing="0" w:afterAutospacing="0" w:line="560" w:lineRule="exact"/>
        <w:ind w:firstLineChars="200" w:firstLine="640"/>
        <w:jc w:val="both"/>
        <w:rPr>
          <w:rFonts w:ascii="楷体" w:eastAsia="楷体"/>
          <w:b/>
          <w:sz w:val="32"/>
          <w:szCs w:val="32"/>
        </w:rPr>
      </w:pPr>
      <w:r>
        <w:rPr>
          <w:rFonts w:ascii="楷体" w:eastAsia="楷体" w:hint="eastAsia"/>
          <w:b/>
          <w:sz w:val="32"/>
          <w:szCs w:val="32"/>
        </w:rPr>
        <w:t>（三）发挥职能服务，助推“两个健康”。</w:t>
      </w:r>
    </w:p>
    <w:p>
      <w:pPr>
        <w:pStyle w:val="17"/>
        <w:spacing w:beforeAutospacing="0" w:afterAutospacing="0" w:line="560" w:lineRule="exact"/>
        <w:ind w:firstLineChars="200" w:firstLine="640"/>
        <w:jc w:val="both"/>
        <w:rPr>
          <w:rFonts w:ascii="仿宋_GB2312" w:eastAsia="仿宋_GB2312"/>
          <w:color w:val="0000FF"/>
          <w:sz w:val="32"/>
          <w:szCs w:val="32"/>
        </w:rPr>
      </w:pPr>
      <w:r>
        <w:rPr>
          <w:rFonts w:ascii="仿宋_GB2312" w:eastAsia="仿宋_GB2312" w:hint="eastAsia"/>
          <w:b/>
          <w:sz w:val="32"/>
          <w:szCs w:val="32"/>
        </w:rPr>
        <w:t>一是</w:t>
      </w:r>
      <w:r>
        <w:rPr>
          <w:rFonts w:ascii="仿宋_GB2312" w:eastAsia="仿宋_GB2312" w:hint="eastAsia"/>
          <w:sz w:val="32"/>
          <w:szCs w:val="32"/>
        </w:rPr>
        <w:t>创新和改进工作方式，密切与会员的联系。坚持和规范常委会议、主席会议制度，加强与民营企业和民营经济人士沟通交流，全年到牦牛乳业公司、红原县高原综合商贸城、更攀合作社、遛遛牛有限责任公司、各类酒店等会员企业开展指导工作8次。</w:t>
      </w:r>
      <w:r>
        <w:rPr>
          <w:rFonts w:ascii="仿宋_GB2312" w:eastAsia="仿宋_GB2312" w:hint="eastAsia"/>
          <w:b/>
          <w:sz w:val="32"/>
          <w:szCs w:val="32"/>
        </w:rPr>
        <w:t>二是</w:t>
      </w:r>
      <w:r>
        <w:rPr>
          <w:rFonts w:ascii="仿宋_GB2312" w:eastAsia="仿宋_GB2312" w:hint="eastAsia"/>
          <w:sz w:val="32"/>
          <w:szCs w:val="32"/>
        </w:rPr>
        <w:t>进一步加强行业商会建设。全面理顺全县非公经济领域内的行业商会、协会组织隶属关系，切实加强工作的指导与管理，今年全年到成都红原商会的综合商贸城项目实地调研和指导工作2次。</w:t>
      </w:r>
      <w:r>
        <w:rPr>
          <w:rFonts w:ascii="仿宋_GB2312" w:eastAsia="仿宋_GB2312" w:hint="eastAsia"/>
          <w:b/>
          <w:bCs/>
          <w:sz w:val="32"/>
          <w:szCs w:val="32"/>
        </w:rPr>
        <w:t>三是</w:t>
      </w:r>
      <w:r>
        <w:rPr>
          <w:rFonts w:ascii="仿宋_GB2312" w:eastAsia="仿宋_GB2312" w:cs="宋体" w:hint="eastAsia"/>
          <w:sz w:val="32"/>
          <w:szCs w:val="32"/>
        </w:rPr>
        <w:t>加强商会管理，促进县域产业发展。积极依托成都红原异地商会加强在蓉红原籍商企之间的沟通、交流和合作，还进一步规范和推进了红原在蓉非公有制经济持续发展、非公有制经济人士健康发展，为树立和打造红原商会品牌奠定了基础。成都红原商会为规范县城区建辅材、五金和小商品等交易市场，促进相关服务产业有序健康发展，提升城市形象。</w:t>
      </w:r>
    </w:p>
    <w:p>
      <w:pPr>
        <w:autoSpaceDN w:val="0"/>
        <w:spacing w:line="560" w:lineRule="exact"/>
        <w:ind w:firstLineChars="200" w:firstLine="640"/>
        <w:rPr>
          <w:rFonts w:ascii="楷体" w:eastAsia="楷体" w:cs="宋体"/>
          <w:b/>
          <w:kern w:val="0"/>
          <w:sz w:val="32"/>
          <w:szCs w:val="32"/>
        </w:rPr>
      </w:pPr>
      <w:r>
        <w:rPr>
          <w:rFonts w:ascii="楷体" w:eastAsia="楷体" w:cs="宋体" w:hint="eastAsia"/>
          <w:b/>
          <w:kern w:val="0"/>
          <w:sz w:val="32"/>
          <w:szCs w:val="32"/>
        </w:rPr>
        <w:t>（四）着力精准扶贫，开展好“万企帮万村”行动。</w:t>
      </w:r>
    </w:p>
    <w:p>
      <w:pPr>
        <w:tabs>
          <w:tab w:val="left" w:pos="1895"/>
        </w:tabs>
        <w:spacing w:line="560" w:lineRule="exact"/>
        <w:ind w:firstLineChars="200" w:firstLine="640"/>
        <w:rPr>
          <w:rFonts w:ascii="仿宋_GB2312" w:eastAsia="仿宋_GB2312" w:cs="宋体"/>
          <w:kern w:val="0"/>
          <w:sz w:val="32"/>
          <w:szCs w:val="32"/>
        </w:rPr>
      </w:pPr>
      <w:r>
        <w:rPr>
          <w:rFonts w:ascii="仿宋_GB2312" w:eastAsia="仿宋_GB2312" w:cs="宋体" w:hint="eastAsia"/>
          <w:kern w:val="0"/>
          <w:sz w:val="32"/>
          <w:szCs w:val="32"/>
        </w:rPr>
        <w:t>根据四川省工商联、省扶贫和移民工作局、省光彩事业促进会上级要求，制定了我县《“万企帮万村”精准扶贫行动实施方案》。全年促成浙江省东西部协作和对口支援村企结对帮扶资金310万元。</w:t>
      </w:r>
    </w:p>
    <w:p>
      <w:pPr>
        <w:widowControl/>
        <w:numPr>
          <w:ilvl w:val="0"/>
          <w:numId w:val="2"/>
        </w:numPr>
        <w:spacing w:line="560" w:lineRule="exact"/>
        <w:ind w:left="0" w:firstLineChars="200" w:firstLine="640"/>
        <w:rPr>
          <w:rFonts w:ascii="楷体" w:eastAsia="楷体" w:cs="宋体"/>
          <w:b/>
          <w:kern w:val="0"/>
          <w:sz w:val="32"/>
          <w:szCs w:val="32"/>
        </w:rPr>
      </w:pPr>
      <w:r>
        <w:rPr>
          <w:rFonts w:ascii="楷体" w:eastAsia="楷体" w:cs="宋体" w:hint="eastAsia"/>
          <w:b/>
          <w:kern w:val="0"/>
          <w:sz w:val="32"/>
          <w:szCs w:val="32"/>
        </w:rPr>
        <w:t>深入服务联系，开展好“两联一进”工作。</w:t>
      </w:r>
    </w:p>
    <w:p>
      <w:pPr>
        <w:widowControl/>
        <w:spacing w:line="560" w:lineRule="exact"/>
        <w:ind w:firstLineChars="200" w:firstLine="640"/>
        <w:rPr>
          <w:rFonts w:ascii="仿宋_GB2312" w:eastAsia="仿宋_GB2312"/>
          <w:sz w:val="32"/>
          <w:szCs w:val="32"/>
        </w:rPr>
      </w:pPr>
      <w:r>
        <w:rPr>
          <w:rFonts w:ascii="仿宋_GB2312" w:eastAsia="仿宋_GB2312" w:cs="宋体" w:hint="eastAsia"/>
          <w:kern w:val="0"/>
          <w:sz w:val="32"/>
          <w:szCs w:val="32"/>
        </w:rPr>
        <w:t>今年，我会多次深入邛溪镇玉龙社区开展驻村帮扶指导工作。3月维稳重点时期，选派工作人员1名协助邛溪镇玉龙社区开展各项工作。多次深入联系户家中，开展好服务工作，用情用心深入推进联户联情工作，并为残疾联系户贫困残疾联系户送去价值600元慰问品。多次深入联系僧人家中，送去价值600元慰问品，传达党和政府的相关政策，做好服务工作。截止目前，共入户70余人次。</w:t>
      </w:r>
    </w:p>
    <w:p>
      <w:pPr>
        <w:widowControl/>
        <w:numPr>
          <w:ilvl w:val="0"/>
          <w:numId w:val="2"/>
        </w:numPr>
        <w:spacing w:line="560" w:lineRule="exact"/>
        <w:ind w:left="0" w:firstLineChars="200" w:firstLine="640"/>
        <w:rPr>
          <w:rFonts w:ascii="楷体" w:eastAsia="楷体" w:cs="宋体"/>
          <w:b/>
          <w:kern w:val="0"/>
          <w:sz w:val="32"/>
          <w:szCs w:val="32"/>
        </w:rPr>
      </w:pPr>
      <w:r>
        <w:rPr>
          <w:rFonts w:ascii="楷体" w:eastAsia="楷体" w:cs="宋体" w:hint="eastAsia"/>
          <w:b/>
          <w:kern w:val="0"/>
          <w:sz w:val="32"/>
          <w:szCs w:val="32"/>
        </w:rPr>
        <w:t>凝聚企业合力，驰援防疫一线。</w:t>
      </w:r>
    </w:p>
    <w:p>
      <w:pPr>
        <w:widowControl/>
        <w:autoSpaceDN w:val="0"/>
        <w:spacing w:line="560" w:lineRule="exact"/>
        <w:ind w:firstLineChars="200" w:firstLine="640"/>
        <w:rPr>
          <w:rFonts w:ascii="仿宋_GB2312" w:eastAsia="仿宋_GB2312" w:cs="宋体"/>
          <w:kern w:val="0"/>
          <w:sz w:val="32"/>
          <w:szCs w:val="32"/>
        </w:rPr>
      </w:pPr>
      <w:r>
        <w:rPr>
          <w:rFonts w:ascii="仿宋_GB2312" w:eastAsia="仿宋_GB2312" w:cs="宋体" w:hint="eastAsia"/>
          <w:kern w:val="0"/>
          <w:sz w:val="32"/>
          <w:szCs w:val="32"/>
        </w:rPr>
        <w:t>在疫情期间，组织动员全县11个民营企业和企业负责人深入防控一线践行初心使命，着力强化社会责任担当，主动为疫情防控尽责出力，组织广大民营企业参与防疫工作。今年，全县民营企业为疫情防控提供最直接的支持与保障。县牦牛乳业分公司分批次向四川华西医院、四川省人民医院以及湖北武汉的一线医院捐赠114248盒牦牛奶粉；9家民营企业通过实施“两新联千村.党建助振新”行动，共为贫困户提供就业岗位80余个，帮助村加工销售畜牧产品40余万元，有效增加村级集体经济发展动力。自疫情发生生以来，成都红原商会发挥自身优势，广泛动员各方力量，积极组织动员会员企业多方筹集物资，支援红原抗疫，将8000个口罩和300斤84消毒液捐赠给疫情应急指挥部。并深入11个乡镇、6座寺庙、5个卫生防疫检查卡点、3个治安服务卡点和4个县级医疗服机构、2个窗口服务企业、环卫工人服务站以及县城养老院、色地五保家园等处，将价值16万元的医用口罩、消毒液和方便面、牦牛肉干、奶粉、牛奶等物资送到一线抗疫人员手中，向他们送上亲切的问候。</w:t>
      </w:r>
    </w:p>
    <w:p>
      <w:pPr>
        <w:widowControl/>
        <w:numPr>
          <w:ilvl w:val="0"/>
          <w:numId w:val="2"/>
        </w:numPr>
        <w:spacing w:line="560" w:lineRule="exact"/>
        <w:ind w:left="0" w:firstLineChars="200" w:firstLine="640"/>
        <w:rPr>
          <w:rFonts w:ascii="楷体" w:eastAsia="楷体" w:cs="宋体"/>
          <w:b/>
          <w:kern w:val="0"/>
          <w:sz w:val="32"/>
          <w:szCs w:val="32"/>
        </w:rPr>
      </w:pPr>
      <w:r>
        <w:rPr>
          <w:rFonts w:ascii="楷体" w:eastAsia="楷体" w:cs="宋体" w:hint="eastAsia"/>
          <w:b/>
          <w:kern w:val="0"/>
          <w:sz w:val="32"/>
          <w:szCs w:val="32"/>
        </w:rPr>
        <w:t>优化营商环境，打击网络侵权。</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省网信办、省工商联《关于组织观看&lt;“优化营商环境，打击网络侵权”主题活动知识微课&gt;的通知》要求，我会组织我驻会干部、执委会常委、民营经济人士共计20余人、民营企业12家收看“优化营商环境，打击网络侵权”主题活动知识微课。旨在对我会今后优化营商环境，打击网络侵权工作指明了方向，及时解读了优化营商环境的政策措施，下一步，我会将与民营经济人士、民营企业共同协作及时梳理研究民营企业关注的重点、难点问题，建立健全优化营商环境网络侵权投诉举报机制，形成网络侵权处置工作的合力，坚决打击网络侵权行为，与相关部门协作适时公开曝光反面典型案例，为企业营造更好的发展环境。</w:t>
      </w:r>
    </w:p>
    <w:p>
      <w:pPr>
        <w:numPr>
          <w:ilvl w:val="0"/>
          <w:numId w:val="2"/>
        </w:numPr>
        <w:spacing w:line="560" w:lineRule="exact"/>
        <w:ind w:left="0" w:firstLineChars="200" w:firstLine="640"/>
        <w:rPr>
          <w:rFonts w:ascii="楷体" w:eastAsia="楷体" w:cs="宋体"/>
          <w:b/>
          <w:kern w:val="0"/>
          <w:sz w:val="32"/>
          <w:szCs w:val="32"/>
        </w:rPr>
      </w:pPr>
      <w:r>
        <w:rPr>
          <w:rFonts w:ascii="楷体" w:eastAsia="楷体" w:cs="宋体" w:hint="eastAsia"/>
          <w:b/>
          <w:kern w:val="0"/>
          <w:sz w:val="32"/>
          <w:szCs w:val="32"/>
        </w:rPr>
        <w:t>落实主体责任，做好巡察整改。</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我会落实全面从严治党主体责任。</w:t>
      </w:r>
      <w:r>
        <w:rPr>
          <w:rFonts w:ascii="仿宋_GB2312" w:eastAsia="仿宋_GB2312" w:cs="仿宋_GB2312" w:hint="eastAsia"/>
          <w:b/>
          <w:bCs/>
          <w:sz w:val="32"/>
          <w:szCs w:val="32"/>
        </w:rPr>
        <w:t>一是</w:t>
      </w:r>
      <w:r>
        <w:rPr>
          <w:rFonts w:ascii="仿宋_GB2312" w:eastAsia="仿宋_GB2312" w:cs="仿宋_GB2312" w:hint="eastAsia"/>
          <w:sz w:val="32"/>
          <w:szCs w:val="32"/>
        </w:rPr>
        <w:t>落实党风廉政建设工作责任制。坚持把党的思想建设放在首位，坚定正确政治方向，把好准则，不碰“红线”， 守好“底线”。明确一岗双责，深入推进“两学一做＂学习教育，党组书记统筹推进党的建设、业务工作和队伍建设，制定主体责任清单，细化责任部署。</w:t>
      </w:r>
      <w:r>
        <w:rPr>
          <w:rFonts w:ascii="仿宋_GB2312" w:eastAsia="仿宋_GB2312" w:cs="仿宋_GB2312" w:hint="eastAsia"/>
          <w:b/>
          <w:bCs/>
          <w:sz w:val="32"/>
          <w:szCs w:val="32"/>
        </w:rPr>
        <w:t>二是</w:t>
      </w:r>
      <w:r>
        <w:rPr>
          <w:rFonts w:ascii="仿宋_GB2312" w:eastAsia="仿宋_GB2312" w:cs="仿宋_GB2312" w:hint="eastAsia"/>
          <w:sz w:val="32"/>
          <w:szCs w:val="32"/>
        </w:rPr>
        <w:t>紧抓廉政教育。组织全体人员观看警示教育片，开展廉洁自律学习。强化关键环节监督，在重要节</w:t>
      </w:r>
    </w:p>
    <w:p>
      <w:pPr>
        <w:spacing w:line="560" w:lineRule="exact"/>
        <w:rPr>
          <w:rFonts w:ascii="仿宋_GB2312" w:eastAsia="仿宋_GB2312" w:cs="仿宋_GB2312"/>
          <w:sz w:val="32"/>
          <w:szCs w:val="32"/>
        </w:rPr>
      </w:pPr>
      <w:r>
        <w:rPr>
          <w:rFonts w:ascii="仿宋_GB2312" w:eastAsia="仿宋_GB2312" w:cs="仿宋_GB2312" w:hint="eastAsia"/>
          <w:sz w:val="32"/>
          <w:szCs w:val="32"/>
        </w:rPr>
        <w:t>假日期间加大廉政宣传和检查力度，严格执行值班等制度。</w:t>
      </w:r>
      <w:r>
        <w:rPr>
          <w:rFonts w:ascii="仿宋_GB2312" w:eastAsia="仿宋_GB2312" w:cs="仿宋_GB2312" w:hint="eastAsia"/>
          <w:b/>
          <w:bCs/>
          <w:sz w:val="32"/>
          <w:szCs w:val="32"/>
        </w:rPr>
        <w:t>三是</w:t>
      </w:r>
      <w:r>
        <w:rPr>
          <w:rFonts w:ascii="仿宋_GB2312" w:eastAsia="仿宋_GB2312" w:cs="仿宋_GB2312" w:hint="eastAsia"/>
          <w:sz w:val="32"/>
          <w:szCs w:val="32"/>
        </w:rPr>
        <w:t>落实巡察整改工作。自县委第二巡察组巡察以来，我会积极推进巡察整改工作，举一反三，巩固整改成果，警钟长鸣，再接再厉，全力以赴抓好巡察整改落实工作。细化干部分工，明确责任担当。坚持举一反三，确保整改成果持之以恒。坚持整改目标不变、整改力度不减，巩固整改成果，防止发生反弹。注重标本兼治，统筹推进各项工作。我会通过完善各项规章制度，将整改措施细致化、制度化、规范化、长效化，统一化，从而推动全面落实从严治党主体责任，将整改落实过程与密切干群关系、转变工作作风过程有机结合，用整改落实的实际成果促进全会工作健康发展。</w:t>
      </w:r>
    </w:p>
    <w:p>
      <w:pPr>
        <w:pStyle w:val="17"/>
        <w:widowControl/>
        <w:spacing w:beforeAutospacing="0" w:afterAutospacing="0" w:line="560" w:lineRule="exact"/>
        <w:rPr>
          <w:rFonts w:ascii="黑体" w:eastAsia="黑体" w:cs="黑体"/>
          <w:color w:val="333333"/>
          <w:sz w:val="32"/>
          <w:szCs w:val="32"/>
          <w:shd w:val="clear" w:color="auto" w:fill="FFFFFF"/>
        </w:rPr>
      </w:pPr>
      <w:r>
        <w:rPr>
          <w:rFonts w:ascii="仿宋_GB2312" w:eastAsia="仿宋_GB2312" w:cs="仿宋_GB2312" w:hint="eastAsia"/>
          <w:color w:val="333333"/>
          <w:sz w:val="32"/>
          <w:szCs w:val="32"/>
          <w:shd w:val="clear" w:color="auto" w:fill="FFFFFF"/>
        </w:rPr>
        <w:t xml:space="preserve">    </w:t>
      </w:r>
      <w:r>
        <w:rPr>
          <w:rFonts w:ascii="黑体" w:eastAsia="黑体" w:cs="黑体" w:hint="eastAsia"/>
          <w:color w:val="333333"/>
          <w:sz w:val="32"/>
          <w:szCs w:val="32"/>
          <w:shd w:val="clear" w:color="auto" w:fill="FFFFFF"/>
        </w:rPr>
        <w:t>二、收入支出预算执行情况分析</w:t>
      </w:r>
    </w:p>
    <w:p>
      <w:pPr>
        <w:pStyle w:val="17"/>
        <w:widowControl/>
        <w:spacing w:beforeAutospacing="0" w:afterAutospacing="0" w:line="560" w:lineRule="exac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rPr>
        <w:t xml:space="preserve">   （一）收入支出预算安排情况。</w:t>
      </w:r>
    </w:p>
    <w:p>
      <w:pPr>
        <w:pStyle w:val="17"/>
        <w:widowControl/>
        <w:spacing w:beforeAutospacing="0" w:afterAutospacing="0" w:line="560" w:lineRule="exac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rPr>
        <w:t xml:space="preserve">    本单位本年度收入的年初预算数为 128.46万元，上年度收入的年初预算数为112.96万元，差异为15.5万元；主要原因为人员增减导致的变动。本年度支出的年初预算数为 128.46万元，上年度支出的年初预算数为112.96万元，差异为15.5万元；主要原因为原因人员增减导致的变动。</w:t>
      </w:r>
    </w:p>
    <w:p>
      <w:pPr>
        <w:pStyle w:val="17"/>
        <w:widowControl/>
        <w:spacing w:beforeAutospacing="0" w:afterAutospacing="0" w:line="560" w:lineRule="exac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rPr>
        <w:t xml:space="preserve">    （二）收入支出预算执行情况。</w:t>
      </w:r>
    </w:p>
    <w:p>
      <w:pPr>
        <w:pStyle w:val="17"/>
        <w:widowControl/>
        <w:spacing w:beforeAutospacing="0" w:afterAutospacing="0" w:line="560" w:lineRule="exact"/>
        <w:ind w:firstLine="640"/>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rPr>
        <w:t xml:space="preserve">本单位本年度收入调整预算数为153.55万元，收入决算数为153.55万元，预算完成度为100%，上年度预算完成度为100%，无差异。 本年度支出调整预算数为188.19万元，支出决算数为188.19万元，预算完成度为100%，上上年度预算完成度为100%，无差异。 </w:t>
      </w:r>
    </w:p>
    <w:p>
      <w:pPr>
        <w:pStyle w:val="17"/>
        <w:widowControl/>
        <w:spacing w:beforeAutospacing="0" w:afterAutospacing="0" w:line="560" w:lineRule="exac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rPr>
        <w:t xml:space="preserve">    2．收入支出结构分析。</w:t>
      </w:r>
    </w:p>
    <w:p>
      <w:pPr>
        <w:pStyle w:val="17"/>
        <w:widowControl/>
        <w:spacing w:beforeAutospacing="0" w:afterAutospacing="0" w:line="560" w:lineRule="exact"/>
        <w:ind w:firstLineChars="200" w:firstLine="640"/>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rPr>
        <w:t>（1） 本单位本年度总收入为153.55万元。其中：一般公共预算财政拨款收入为153.55万元，占比100%；政府性基金预算财政拨款收入为0万元，占比0%；国有资本经营预算财政拨款收入为0万元，占比0%； 上级补助收入为0万元，占比0%；事业收入为0万元，占比0%；经营收入为0万元，占比0%；附属单位上缴收入为0万元，占比0%；其他收入为0万元，占比0%。本年度总支出为188.19万元。其中：一般公共服务支出为147.05万元，占比78.14%；社会保障和就业支出为20.33万元，占比10.8%；卫生健康支出8.53万元，占比4.53%；住房保障支出12.28万元，占比6.53%；（2）本年度一般公共预算财政拨款收入相比上年度增加9.85万元，主要原因为人员增加一人，导致人员经费增加；政府性基金预算财政拨款收入相比上年度不变；国有资本经营预算财政拨款收入相比上年度不变。</w:t>
      </w:r>
    </w:p>
    <w:p>
      <w:pPr>
        <w:pStyle w:val="17"/>
        <w:widowControl/>
        <w:spacing w:beforeAutospacing="0" w:afterAutospacing="0" w:line="560" w:lineRule="exact"/>
        <w:ind w:firstLineChars="200" w:firstLine="640"/>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rPr>
        <w:t>3．支出按经济分类科目分析。</w:t>
      </w:r>
    </w:p>
    <w:p>
      <w:pPr>
        <w:pStyle w:val="17"/>
        <w:widowControl/>
        <w:spacing w:beforeAutospacing="0" w:afterAutospacing="0" w:line="560" w:lineRule="exact"/>
        <w:ind w:firstLineChars="200" w:firstLine="640"/>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rPr>
        <w:t>（1）“三公”经费支出情况：本单位本年度“三公”经费支出决算数为 3.56万元。其中:因公出国（境）费支出决算数为0万元，相比上年度减少0万元，主要原因为未安排因公出国经费；公务用车购置及运行维护费支出决算数为 3.56万元，相比上年度增加2.52万元，主要原因为增加两联一进等扶贫工作导致公务用车运行维护费增加；公务接待费支出决算数为0万元，相比上年度不变，主要原因为厉行节约，未安排接待相关支出。本年度“三公”经费支出预算数为0万元，决算数为3.56万元，预算完成度为100%。 本年度因公出国（境）费人均支出0万元，公务用车购置及运行维护费人均支出为0.445万元，公务接待费人均支出为0万元。</w:t>
      </w:r>
    </w:p>
    <w:p>
      <w:pPr>
        <w:pStyle w:val="17"/>
        <w:widowControl/>
        <w:spacing w:beforeAutospacing="0" w:afterAutospacing="0" w:line="560" w:lineRule="exac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rPr>
        <w:t xml:space="preserve">    （2）会议费支出情况：本单位本年度会议费支出决算数为 0万元，相比上年度不变，主要原因为未召开会议；会议费人均支出为0。</w:t>
      </w:r>
    </w:p>
    <w:p>
      <w:pPr>
        <w:pStyle w:val="17"/>
        <w:widowControl/>
        <w:numPr>
          <w:ilvl w:val="0"/>
          <w:numId w:val="3"/>
        </w:numPr>
        <w:spacing w:beforeAutospacing="0" w:afterAutospacing="0" w:line="560" w:lineRule="exact"/>
        <w:ind w:left="0" w:firstLineChars="200" w:firstLine="640"/>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rPr>
        <w:t>培训费支出情况：本单位本年度培训费支出决算数为0.03万元，相比上年度减少75万元，主要原因为因疫情原因减少培训；培训费人均支出为0.00375万元。</w:t>
      </w:r>
    </w:p>
    <w:p>
      <w:pPr>
        <w:pStyle w:val="17"/>
        <w:widowControl/>
        <w:numPr>
          <w:ilvl w:val="0"/>
          <w:numId w:val="3"/>
        </w:numPr>
        <w:spacing w:beforeAutospacing="0" w:afterAutospacing="0" w:line="560" w:lineRule="exact"/>
        <w:ind w:left="0" w:firstLineChars="200" w:firstLine="640"/>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rPr>
        <w:t>其他对单位影响较大的支出情况。</w:t>
      </w:r>
    </w:p>
    <w:p>
      <w:pPr>
        <w:pStyle w:val="17"/>
        <w:widowControl/>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rPr>
        <w:t xml:space="preserve">    （5）重点经济分类支出中存在的问题及改进措施。</w:t>
      </w:r>
    </w:p>
    <w:p>
      <w:pPr>
        <w:pStyle w:val="17"/>
        <w:widowControl/>
        <w:spacing w:beforeAutospacing="0" w:afterAutospacing="0" w:line="560" w:lineRule="exac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rPr>
        <w:t xml:space="preserve">    4.财政拨款收入、支出分析。</w:t>
      </w:r>
    </w:p>
    <w:p>
      <w:pPr>
        <w:pStyle w:val="17"/>
        <w:widowControl/>
        <w:spacing w:beforeAutospacing="0" w:afterAutospacing="0" w:line="560" w:lineRule="exac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rPr>
        <w:t xml:space="preserve">    本单位本年度财政拨款收入为153.55万元，财政拨款支出为153.55万元，其中：基本支出中人员经费支出为155.79万元，公用经费支出为13.48万元。项目支出中基本建设类项目支出为0万元。</w:t>
      </w:r>
    </w:p>
    <w:p>
      <w:pPr>
        <w:pStyle w:val="17"/>
        <w:widowControl/>
        <w:spacing w:beforeAutospacing="0" w:afterAutospacing="0" w:line="560" w:lineRule="exac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rPr>
        <w:t xml:space="preserve">    （三）年末结转和结余情况。</w:t>
      </w:r>
    </w:p>
    <w:p>
      <w:pPr>
        <w:pStyle w:val="17"/>
        <w:widowControl/>
        <w:spacing w:beforeAutospacing="0" w:afterAutospacing="0" w:line="560" w:lineRule="exact"/>
        <w:rPr>
          <w:rFonts w:ascii="仿宋_GB2312" w:eastAsia="仿宋_GB2312" w:cs="仿宋_GB2312"/>
          <w:color w:val="333333"/>
          <w:sz w:val="32"/>
          <w:szCs w:val="32"/>
          <w:shd w:val="clear" w:color="auto" w:fill="FFFFFF"/>
        </w:rPr>
      </w:pPr>
      <w:r>
        <w:rPr>
          <w:rFonts w:ascii="仿宋_GB2312" w:eastAsia="仿宋_GB2312" w:cs="仿宋_GB2312" w:hint="eastAsia"/>
          <w:color w:val="333333"/>
          <w:sz w:val="32"/>
          <w:szCs w:val="32"/>
          <w:shd w:val="clear" w:color="auto" w:fill="FFFFFF"/>
        </w:rPr>
        <w:t xml:space="preserve">    年末不存在结转和结余。</w:t>
      </w:r>
    </w:p>
    <w:p>
      <w:pPr>
        <w:pStyle w:val="17"/>
        <w:widowControl/>
        <w:spacing w:beforeAutospacing="0" w:afterAutospacing="0" w:line="560" w:lineRule="exact"/>
      </w:pPr>
      <w:r>
        <w:rPr>
          <w:rStyle w:val="18"/>
          <w:rFonts w:hint="eastAsia"/>
        </w:rPr>
        <w:t xml:space="preserve">    </w:t>
      </w:r>
      <w:r>
        <w:rPr>
          <w:rStyle w:val="18"/>
        </w:rPr>
        <w:t>（四）与预算支出相关的其他指标分析。</w:t>
      </w:r>
    </w:p>
    <w:p>
      <w:pPr>
        <w:snapToGrid w:val="0"/>
        <w:spacing w:line="520" w:lineRule="exact"/>
        <w:ind w:firstLineChars="200" w:firstLine="640"/>
        <w:rPr>
          <w:rFonts w:ascii="仿宋_GB2312" w:eastAsia="仿宋_GB2312" w:cs="仿宋_GB2312"/>
          <w:color w:val="333333"/>
          <w:kern w:val="0"/>
          <w:sz w:val="32"/>
          <w:szCs w:val="32"/>
          <w:shd w:val="clear" w:color="auto" w:fill="FFFFFF"/>
        </w:rPr>
      </w:pPr>
      <w:r>
        <w:rPr>
          <w:rFonts w:ascii="仿宋_GB2312" w:eastAsia="仿宋_GB2312" w:hint="eastAsia"/>
          <w:sz w:val="32"/>
          <w:szCs w:val="32"/>
        </w:rPr>
        <w:t>年末本单位资产合计186,291.88元，比上年增加3687元，主要是预付账款和其他应收款。负债0元，比上年减少18,632.67元，主要是应付账款的处置。</w:t>
      </w:r>
    </w:p>
    <w:p>
      <w:pPr>
        <w:pStyle w:val="17"/>
        <w:widowControl/>
        <w:spacing w:beforeAutospacing="0" w:afterAutospacing="0" w:line="560" w:lineRule="exact"/>
      </w:pPr>
      <w:r>
        <w:rPr>
          <w:rStyle w:val="18"/>
          <w:rFonts w:hint="eastAsia"/>
        </w:rPr>
        <w:t xml:space="preserve">    </w:t>
      </w:r>
      <w:r>
        <w:rPr>
          <w:rStyle w:val="18"/>
        </w:rPr>
        <w:t>（五）绩效目标完成情况。</w:t>
      </w:r>
    </w:p>
    <w:p>
      <w:pPr>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本单位今年所有支出均保证了机关的正常运行，其中32.4万元是  第七届西部五省区草原畜牧业专业合作社会发展论坛暨红原经贸洽谈会资金支出和光彩事业费。</w:t>
      </w:r>
    </w:p>
    <w:p>
      <w:pPr>
        <w:pStyle w:val="17"/>
        <w:widowControl/>
        <w:spacing w:beforeAutospacing="0" w:afterAutospacing="0" w:line="560" w:lineRule="exact"/>
      </w:pPr>
      <w:r>
        <w:rPr>
          <w:rStyle w:val="18"/>
          <w:rFonts w:hint="eastAsia"/>
        </w:rPr>
        <w:t xml:space="preserve">    </w:t>
      </w:r>
      <w:r>
        <w:rPr>
          <w:rStyle w:val="18"/>
        </w:rPr>
        <w:t>（六）当年预算执行及绩效管理中存在问题、原因及改进措施。</w:t>
      </w:r>
    </w:p>
    <w:p>
      <w:pPr>
        <w:pStyle w:val="17"/>
        <w:widowControl/>
        <w:spacing w:beforeAutospacing="0" w:afterAutospacing="0" w:line="560" w:lineRule="exact"/>
      </w:pPr>
      <w:r>
        <w:rPr>
          <w:rFonts w:hint="eastAsia"/>
        </w:rPr>
        <w:t xml:space="preserve">    </w:t>
      </w:r>
      <w:r>
        <w:t>三、本年度部门决算等财务工作开展情况</w:t>
      </w:r>
    </w:p>
    <w:p>
      <w:pPr>
        <w:pStyle w:val="17"/>
        <w:widowControl/>
        <w:spacing w:beforeAutospacing="0" w:afterAutospacing="0" w:line="560" w:lineRule="exact"/>
      </w:pPr>
      <w:r>
        <w:rPr>
          <w:rFonts w:hint="eastAsia"/>
        </w:rPr>
        <w:t xml:space="preserve">    </w:t>
      </w:r>
      <w:r>
        <w:t>（一）本单位财务管理、绩效管理、决算组织、编报、审核情况。</w:t>
      </w:r>
    </w:p>
    <w:p>
      <w:pPr>
        <w:snapToGrid w:val="0"/>
        <w:spacing w:line="520" w:lineRule="exact"/>
        <w:ind w:firstLineChars="200" w:firstLine="420"/>
      </w:pPr>
      <w:r>
        <w:t> </w:t>
      </w:r>
      <w:r>
        <w:rPr>
          <w:rFonts w:ascii="仿宋_GB2312" w:eastAsia="仿宋_GB2312" w:hint="eastAsia"/>
          <w:sz w:val="32"/>
          <w:szCs w:val="32"/>
        </w:rPr>
        <w:t>单位严格按照财务管理制度进行预、决算编报，并在规定的时间内进行财务公开工作，建立健全目标绩效评价体系，</w:t>
      </w:r>
      <w:r>
        <w:rPr>
          <w:rFonts w:ascii="仿宋_GB2312" w:eastAsia="仿宋_GB2312" w:cs="仿宋_GB2312" w:hint="eastAsia"/>
          <w:color w:val="000000"/>
          <w:sz w:val="32"/>
          <w:szCs w:val="32"/>
        </w:rPr>
        <w:t>严格按照相关法律、法规进行会计核算，严格资金管理，专款专用，资金拨付严格按相关程序报批后支付。</w:t>
      </w:r>
    </w:p>
    <w:p>
      <w:pPr>
        <w:pStyle w:val="17"/>
        <w:widowControl/>
        <w:spacing w:beforeAutospacing="0" w:afterAutospacing="0" w:line="560" w:lineRule="exact"/>
      </w:pPr>
      <w:r>
        <w:t>注：收入支出预算执行情况分析可参考部门决算分析评价表（见软件查询模板）及行政事业单位财务分析指标（附后）。</w:t>
      </w:r>
    </w:p>
    <w:p>
      <w:pPr>
        <w:pStyle w:val="17"/>
        <w:widowControl/>
        <w:spacing w:beforeAutospacing="0" w:afterAutospacing="0" w:line="560" w:lineRule="exact"/>
      </w:pPr>
      <w:r>
        <w:br/>
        <w:t>附：</w:t>
      </w:r>
    </w:p>
    <w:p>
      <w:pPr>
        <w:pStyle w:val="17"/>
        <w:widowControl/>
        <w:jc w:val="center"/>
      </w:pPr>
      <w:r>
        <w:t> </w:t>
      </w:r>
    </w:p>
    <w:p>
      <w:pPr>
        <w:pStyle w:val="17"/>
        <w:widowControl/>
        <w:jc w:val="center"/>
      </w:pPr>
      <w:r>
        <w:t>行政事业单位财务分析指标</w:t>
      </w:r>
    </w:p>
    <w:p>
      <w:pPr>
        <w:pStyle w:val="17"/>
        <w:widowControl/>
      </w:pPr>
      <w:r>
        <w:t> </w:t>
      </w:r>
    </w:p>
    <w:p>
      <w:pPr>
        <w:pStyle w:val="17"/>
        <w:widowControl/>
      </w:pPr>
      <w:r>
        <w:t>一、行政单位财务分析指标</w:t>
      </w:r>
    </w:p>
    <w:p>
      <w:pPr>
        <w:pStyle w:val="17"/>
        <w:widowControl/>
      </w:pPr>
      <w:r>
        <w:t>1.支出增长率，衡量行政单位支出的增长水平。计算公式为：</w:t>
      </w:r>
    </w:p>
    <w:p>
      <w:pPr>
        <w:pStyle w:val="17"/>
        <w:widowControl/>
      </w:pPr>
      <w:r>
        <w:t>支出增长率＝(本期支出总额÷上期支出总额-1)×100%=</w:t>
      </w:r>
    </w:p>
    <w:p>
      <w:pPr>
        <w:pStyle w:val="17"/>
        <w:widowControl/>
      </w:pPr>
      <w:r>
        <w:t>2.当年预算支出完成率，衡量行政单位当年支出总预算及分项预算完成的程度。计算公式为：</w:t>
      </w:r>
    </w:p>
    <w:p>
      <w:pPr>
        <w:pStyle w:val="17"/>
        <w:widowControl/>
      </w:pPr>
      <w:r>
        <w:t>当年预算支出完成率＝年终执行数÷调整预算数×100%</w:t>
      </w:r>
    </w:p>
    <w:p>
      <w:pPr>
        <w:pStyle w:val="17"/>
        <w:widowControl/>
      </w:pPr>
      <w:r>
        <w:t>年终执行数不含上年结转和结余支出数。</w:t>
      </w:r>
    </w:p>
    <w:p>
      <w:pPr>
        <w:pStyle w:val="17"/>
        <w:widowControl/>
      </w:pPr>
      <w:r>
        <w:t>3.人均开支，衡量行政单位人均年消耗经费水平。计算公式为：</w:t>
      </w:r>
    </w:p>
    <w:p>
      <w:pPr>
        <w:pStyle w:val="17"/>
        <w:widowControl/>
      </w:pPr>
      <w:r>
        <w:t>人均开支＝本期支出数÷本期平均在职人员数×100%</w:t>
      </w:r>
    </w:p>
    <w:p>
      <w:pPr>
        <w:pStyle w:val="17"/>
        <w:widowControl/>
      </w:pPr>
      <w:r>
        <w:t>4.项目支出占总支出的比率，衡量行政单位的支出结构。计算公式为：</w:t>
      </w:r>
    </w:p>
    <w:p>
      <w:pPr>
        <w:pStyle w:val="17"/>
        <w:widowControl/>
      </w:pPr>
      <w:r>
        <w:t>项目支出比率=本期项目支出数÷本期支出总数×100%</w:t>
      </w:r>
    </w:p>
    <w:p>
      <w:pPr>
        <w:pStyle w:val="17"/>
        <w:widowControl/>
      </w:pPr>
      <w:r>
        <w:t>5.人员支出、公用支出占总支出的比率，衡量行政单位的支出结构。计算公式为：</w:t>
      </w:r>
    </w:p>
    <w:p>
      <w:pPr>
        <w:pStyle w:val="17"/>
        <w:widowControl/>
      </w:pPr>
      <w:r>
        <w:t>人员支出比率=本期人员支出数÷本期支出总数×100%</w:t>
      </w:r>
    </w:p>
    <w:p>
      <w:pPr>
        <w:pStyle w:val="17"/>
        <w:widowControl/>
      </w:pPr>
      <w:r>
        <w:t>公用支出比率=本期公用支出数÷本期支出总数×100%</w:t>
      </w:r>
    </w:p>
    <w:p>
      <w:pPr>
        <w:pStyle w:val="17"/>
        <w:widowControl/>
      </w:pPr>
      <w:r>
        <w:t>6.人均办公使用面积，衡量行政单位办公用房配备情况。计算公式为：</w:t>
      </w:r>
    </w:p>
    <w:p>
      <w:pPr>
        <w:pStyle w:val="17"/>
        <w:widowControl/>
      </w:pPr>
      <w:r>
        <w:t>人均办公使用面积=本期末单位办公用房使用面积÷本期末在职人员数</w:t>
      </w:r>
    </w:p>
    <w:p>
      <w:pPr>
        <w:pStyle w:val="17"/>
        <w:widowControl/>
      </w:pPr>
      <w:r>
        <w:t>7.人车比例，衡量行政单位公务用车配备情况。计算公式为：</w:t>
      </w:r>
    </w:p>
    <w:p>
      <w:pPr>
        <w:pStyle w:val="17"/>
        <w:widowControl/>
      </w:pPr>
      <w:r>
        <w:t>人车比例=本期末在职人员数÷本期末公务用车实有数:1</w:t>
      </w:r>
    </w:p>
    <w:p>
      <w:pPr>
        <w:pStyle w:val="17"/>
        <w:widowControl/>
      </w:pPr>
      <w:r>
        <w:t> </w:t>
      </w:r>
    </w:p>
    <w:p>
      <w:pPr>
        <w:pStyle w:val="17"/>
        <w:widowControl/>
      </w:pPr>
      <w:r>
        <w:t>二、事业单位财务分析指标</w:t>
      </w:r>
    </w:p>
    <w:p>
      <w:pPr>
        <w:pStyle w:val="17"/>
        <w:widowControl/>
      </w:pPr>
      <w:r>
        <w:t>1.预算收入和支出完成率，衡量事业单位收入和支出总预算及分项预算完成的程度。计算公式为：</w:t>
      </w:r>
    </w:p>
    <w:p>
      <w:pPr>
        <w:pStyle w:val="17"/>
        <w:widowControl/>
      </w:pPr>
      <w:r>
        <w:t>预算收入完成率＝年终执行数÷调整预算数×100%</w:t>
      </w:r>
    </w:p>
    <w:p>
      <w:pPr>
        <w:pStyle w:val="17"/>
        <w:widowControl/>
      </w:pPr>
      <w:r>
        <w:t>年终执行数不含上年结转和结余收入数</w:t>
      </w:r>
    </w:p>
    <w:p>
      <w:pPr>
        <w:pStyle w:val="17"/>
        <w:widowControl/>
      </w:pPr>
      <w:r>
        <w:t>预算支出完成率＝年终执行数÷调整预算数×100%</w:t>
      </w:r>
    </w:p>
    <w:p>
      <w:pPr>
        <w:pStyle w:val="17"/>
        <w:widowControl/>
      </w:pPr>
      <w:r>
        <w:t>年终执行数不含上年结转和结余支出数</w:t>
      </w:r>
    </w:p>
    <w:p>
      <w:pPr>
        <w:pStyle w:val="17"/>
        <w:widowControl/>
      </w:pPr>
      <w:r>
        <w:t>2.人员支出、公用支出占事业支出的比率，衡量事业单位事业支出结构。计算公式为：</w:t>
      </w:r>
    </w:p>
    <w:p>
      <w:pPr>
        <w:pStyle w:val="17"/>
        <w:widowControl/>
      </w:pPr>
      <w:r>
        <w:t>人员支出比率＝人员支出÷事业支出×100%</w:t>
      </w:r>
    </w:p>
    <w:p>
      <w:pPr>
        <w:pStyle w:val="17"/>
        <w:widowControl/>
      </w:pPr>
      <w:r>
        <w:t>公用支出比率＝公用支出÷事业支出×100%</w:t>
      </w:r>
    </w:p>
    <w:p>
      <w:pPr>
        <w:pStyle w:val="17"/>
        <w:widowControl/>
      </w:pPr>
      <w:r>
        <w:t>3.人均基本支出，衡量事业单位按照实际在编人数平均的基本支出水平。计算公式为：</w:t>
      </w:r>
    </w:p>
    <w:p>
      <w:pPr>
        <w:pStyle w:val="17"/>
        <w:widowControl/>
      </w:pPr>
      <w:r>
        <w:t>人均基本支出＝（基本支出-离退休人员支出）÷实际在编人数</w:t>
      </w:r>
    </w:p>
    <w:p>
      <w:pPr>
        <w:pStyle w:val="17"/>
        <w:widowControl/>
      </w:pPr>
      <w:r>
        <w:t> </w:t>
      </w:r>
    </w:p>
    <w:p>
      <w:pPr>
        <w:pStyle w:val="17"/>
        <w:widowControl/>
      </w:pPr>
      <w:r>
        <w:t>此外，行业事业单位还可根据相关财务制度规定和分析需要增加相关分析指标，如：</w:t>
      </w:r>
    </w:p>
    <w:p>
      <w:pPr>
        <w:pStyle w:val="17"/>
        <w:widowControl/>
      </w:pPr>
      <w:r>
        <w:t>1.财政拨款依存度, 衡量部门（单位）对财政拨款的依赖程度。</w:t>
      </w:r>
    </w:p>
    <w:p>
      <w:pPr>
        <w:pStyle w:val="17"/>
        <w:widowControl/>
      </w:pPr>
      <w:r>
        <w:t>财政拨款依存度＝财政拨款收入÷收入总额×100%</w:t>
      </w:r>
    </w:p>
    <w:p/>
    <w:sectPr>
      <w:pgSz w:w="11906" w:h="16838"/>
      <w:pgMar w:top="2098" w:right="1474" w:bottom="1984" w:left="1587" w:header="851" w:footer="992" w:gutter="0"/>
      <w:docGrid w:type="lines" w:linePitch="318" w:charSpace="0"/>
    </w:sectPr>
  </w:body>
</w:document>
</file>

<file path=word/fontTable.xml><?xml version="1.0" encoding="utf-8"?>
<w:fonts xmlns:w="http://schemas.openxmlformats.org/wordprocessingml/2006/main" xmlns:r="http://schemas.openxmlformats.org/officeDocument/2006/relationships">
  <w:font w:name="宋体">
    <w:altName w:val="方正兰亭黑_GBK"/>
    <w:panose1 w:val="02010600030101010101"/>
    <w:charset w:val="86"/>
    <w:family w:val="auto"/>
    <w:pitch w:val="variable"/>
    <w:sig w:usb0="00000003" w:usb1="288F0000" w:usb2="00000016" w:usb3="00000000" w:csb0="00040001" w:csb1="00000000"/>
  </w:font>
  <w:font w:name="仿宋_GB2312">
    <w:altName w:val="永中仿宋"/>
    <w:panose1 w:val="00000000000000000000"/>
    <w:charset w:val="86"/>
    <w:family w:val="auto"/>
    <w:pitch w:val="variable"/>
    <w:sig w:usb0="00000000" w:usb1="00000000" w:usb2="00000000" w:usb3="00000000" w:csb0="00040000" w:csb1="00000000"/>
  </w:font>
  <w:font w:name="楷体_GB2312">
    <w:altName w:val="永中楷体"/>
    <w:panose1 w:val="00000000000000000000"/>
    <w:charset w:val="86"/>
    <w:family w:val="auto"/>
    <w:pitch w:val="variable"/>
    <w:sig w:usb0="00000000" w:usb1="00000000" w:usb2="00000000" w:usb3="00000000" w:csb0="00040000" w:csb1="00000000"/>
  </w:font>
  <w:font w:name="楷体">
    <w:altName w:val="永中楷体"/>
    <w:panose1 w:val="00000000000000000000"/>
    <w:charset w:val="86"/>
    <w:family w:val="modern"/>
    <w:pitch w:val="variable"/>
    <w:sig w:usb0="800002BF" w:usb1="38CF7CFA" w:usb2="00000016" w:usb3="00000000" w:csb0="00040001" w:csb1="00000000"/>
  </w:font>
  <w:font w:name="方正兰亭黑_GBK">
    <w:panose1 w:val="02000000000000000000"/>
    <w:charset w:val="86"/>
    <w:family w:val="script"/>
    <w:pitch w:val="variable"/>
    <w:sig w:usb0="A00002BF" w:usb1="3ACF7CFA" w:usb2="00080016" w:usb3="00000000" w:csb0="00040001" w:csb1="00000000"/>
  </w:font>
  <w:font w:name="黑体">
    <w:altName w:val="方正兰亭黑_GBK"/>
    <w:panose1 w:val="02010600030101010101"/>
    <w:charset w:val="86"/>
    <w:family w:val="modern"/>
    <w:pitch w:val="variable"/>
    <w:sig w:usb0="800002BF" w:usb1="38CF7CFA" w:usb2="00000016" w:usb3="00000000" w:csb0="00040001" w:csb1="00000000"/>
  </w:font>
  <w:font w:name="Times New Roman">
    <w:altName w:val="DejaVu Sans"/>
    <w:panose1 w:val="02020603050405020304"/>
    <w:charset w:val="00"/>
    <w:family w:val="roman"/>
    <w:pitch w:val="variable"/>
    <w:sig w:usb0="E0002AFF" w:usb1="C0007841" w:usb2="00000009" w:usb3="00000000" w:csb0="000001FF" w:csb1="00000000"/>
  </w:font>
  <w:font w:name="Calibri">
    <w:altName w:val="DejaVu Sans"/>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auto"/>
    <w:pitch w:val="variable"/>
    <w:sig w:usb0="00007A87" w:usb1="80000000" w:usb2="00000008" w:usb3="00000000" w:csb0="400001FF" w:csb1="FFFF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5DB401E5"/>
    <w:multiLevelType w:val="singleLevel"/>
    <w:tmpl w:val="5DB401E5"/>
    <w:lvl w:ilvl="0">
      <w:start w:val="1"/>
      <w:numFmt w:val="chineseCounting"/>
      <w:lvlRestart w:val="0"/>
      <w:suff w:val="nothing"/>
      <w:lvlText w:val="（%1）"/>
      <w:lvlJc w:val="left"/>
      <w:pPr>
        <w:ind w:left="0" w:hanging="0"/>
      </w:pPr>
      <w:rPr>
        <w:rFonts w:hint="eastAsia"/>
      </w:rPr>
    </w:lvl>
  </w:abstractNum>
  <w:abstractNum w:abstractNumId="1">
    <w:nsid w:val="F242EDA6"/>
    <w:multiLevelType w:val="singleLevel"/>
    <w:tmpl w:val="F242EDA6"/>
    <w:lvl w:ilvl="0">
      <w:start w:val="5"/>
      <w:numFmt w:val="chineseCounting"/>
      <w:lvlRestart w:val="0"/>
      <w:suff w:val="nothing"/>
      <w:lvlText w:val="（%1）"/>
      <w:lvlJc w:val="left"/>
      <w:pPr>
        <w:ind w:left="0" w:hanging="0"/>
      </w:pPr>
      <w:rPr>
        <w:rFonts w:hint="eastAsia"/>
      </w:rPr>
    </w:lvl>
  </w:abstractNum>
  <w:abstractNum w:abstractNumId="2">
    <w:nsid w:val="5FFD9164"/>
    <w:multiLevelType w:val="singleLevel"/>
    <w:tmpl w:val="5FFD9164"/>
    <w:lvl w:ilvl="0">
      <w:start w:val="3"/>
      <w:numFmt w:val="decimal"/>
      <w:lvlRestart w:val="0"/>
      <w:suff w:val="nothing"/>
      <w:lvlText w:val="（%1）"/>
      <w:lvlJc w:val="left"/>
      <w:pPr>
        <w:ind w:left="0" w:hanging="0"/>
      </w:p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doNotExpandShiftReturn/>
    <w:adjustLineHeightInTable/>
    <w:doNotUseIndentAsNumberingTabStop/>
    <w:useAltKinsokuLineBreakRules/>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方正兰亭黑_GBK" w:eastAsia="黑体" w:hAnsi="方正兰亭黑_GBK"/>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Body Text Indent"/>
    <w:basedOn w:val="0"/>
    <w:pPr>
      <w:spacing w:line="560" w:lineRule="atLeast"/>
      <w:ind w:firstLineChars="200" w:firstLine="200"/>
    </w:pPr>
    <w:rPr>
      <w:rFonts w:ascii="Times New Roman" w:eastAsia="仿宋_GB2312" w:hAnsi="Times New Roman"/>
      <w:sz w:val="32"/>
      <w:szCs w:val="20"/>
    </w:rPr>
  </w:style>
  <w:style w:type="paragraph" w:styleId="16">
    <w:name w:val="Body Text First Indent 2"/>
    <w:basedOn w:val="15"/>
    <w:pPr>
      <w:spacing w:after="120"/>
      <w:ind w:leftChars="200" w:left="200"/>
    </w:pPr>
    <w:rPr>
      <w:rFonts w:eastAsia="宋体" w:cs="Times New Roman"/>
      <w:sz w:val="21"/>
      <w:szCs w:val="24"/>
    </w:rPr>
  </w:style>
  <w:style w:type="paragraph" w:styleId="17">
    <w:name w:val="Normal (Web)"/>
    <w:basedOn w:val="0"/>
    <w:pPr>
      <w:spacing w:beforeAutospacing="1" w:afterAutospacing="1"/>
      <w:jc w:val="left"/>
    </w:pPr>
    <w:rPr>
      <w:rFonts w:cs="Times New Roman"/>
      <w:kern w:val="0"/>
      <w:sz w:val="24"/>
    </w:rPr>
  </w:style>
  <w:style w:type="character" w:styleId="18">
    <w:name w:val="Strong"/>
    <w:basedOn w:val="10"/>
    <w:rPr>
      <w:b/>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Yozo_Office27021597764231179</Application>
  <Pages>1</Pages>
  <Words>2</Words>
  <Characters>2</Characters>
  <Lines>1</Lines>
  <Paragraphs>0</Paragraphs>
  <CharactersWithSpaces>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ruijie</cp:lastModifiedBy>
  <cp:revision>5</cp:revision>
  <dcterms:created xsi:type="dcterms:W3CDTF">2021-01-12T07:34:00Z</dcterms:created>
  <dcterms:modified xsi:type="dcterms:W3CDTF">2023-02-13T07:27:49Z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2052-11.1.0.11115</vt:lpwstr>
  </property>
  <property fmtid="{D5CDD505-2E9C-101B-9397-08002B2CF9AE}" pid="3" name="ICV">
    <vt:lpwstr>63B0A8047C494280998D2E5E6DEFFA65</vt:lpwstr>
  </property>
</Properties>
</file>