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193"/>
      <w:bookmarkStart w:id="4" w:name="_Toc27574"/>
      <w:bookmarkStart w:id="5" w:name="_Toc15377425"/>
      <w:bookmarkStart w:id="6"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598"/>
      <w:bookmarkStart w:id="8" w:name="_Toc15377194"/>
      <w:bookmarkStart w:id="9" w:name="_Toc15396476"/>
      <w:bookmarkStart w:id="10" w:name="_Toc15377426"/>
      <w:bookmarkStart w:id="11" w:name="_Toc15378442"/>
      <w:bookmarkStart w:id="12" w:name="_Toc693"/>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lang w:eastAsia="zh-CN"/>
        </w:rPr>
        <w:t>红原县工商业联合会</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8"/>
      </w:pPr>
      <w:r>
        <w:rPr>
          <w:rFonts w:hint="eastAsia"/>
        </w:rPr>
        <w:t>公开时间：2020年</w:t>
      </w:r>
      <w:r>
        <w:rPr>
          <w:rFonts w:hint="eastAsia"/>
          <w:lang w:val="en-US" w:eastAsia="zh-CN"/>
        </w:rPr>
        <w:t>10</w:t>
      </w:r>
      <w:r>
        <w:rPr>
          <w:rFonts w:hint="eastAsia"/>
        </w:rPr>
        <w:t>月</w:t>
      </w:r>
      <w:r>
        <w:rPr>
          <w:rFonts w:hint="eastAsia"/>
          <w:lang w:val="en-US" w:eastAsia="zh-CN"/>
        </w:rPr>
        <w:t>10</w:t>
      </w:r>
      <w:r>
        <w:rPr>
          <w:rFonts w:hint="eastAsia"/>
        </w:rPr>
        <w:t>日</w:t>
      </w:r>
    </w:p>
    <w:p/>
    <w:p>
      <w:pPr>
        <w:pStyle w:val="8"/>
        <w:tabs>
          <w:tab w:val="right" w:leader="dot" w:pos="8306"/>
          <w:tab w:val="clear" w:pos="8296"/>
        </w:tabs>
      </w:pPr>
      <w:bookmarkStart w:id="119" w:name="_GoBack"/>
      <w:bookmarkEnd w:id="119"/>
      <w:bookmarkStart w:id="14" w:name="_Toc15377196"/>
      <w:bookmarkStart w:id="15" w:name="_Toc15501"/>
      <w:bookmarkStart w:id="16" w:name="_Toc15396599"/>
      <w:r>
        <w:rPr>
          <w:rFonts w:ascii="方正小标宋简体" w:hAnsi="宋体" w:eastAsia="方正小标宋简体"/>
          <w:color w:val="000000"/>
          <w:sz w:val="72"/>
          <w:szCs w:val="72"/>
        </w:rPr>
        <w:fldChar w:fldCharType="begin"/>
      </w:r>
      <w:r>
        <w:rPr>
          <w:rFonts w:ascii="方正小标宋简体" w:hAnsi="宋体" w:eastAsia="方正小标宋简体"/>
          <w:color w:val="000000"/>
          <w:sz w:val="72"/>
          <w:szCs w:val="72"/>
        </w:rPr>
        <w:instrText xml:space="preserve">TOC \o "1-3" \t "" \h \z \u </w:instrText>
      </w:r>
      <w:r>
        <w:rPr>
          <w:rFonts w:ascii="方正小标宋简体" w:hAnsi="宋体" w:eastAsia="方正小标宋简体"/>
          <w:color w:val="000000"/>
          <w:sz w:val="72"/>
          <w:szCs w:val="72"/>
        </w:rPr>
        <w:fldChar w:fldCharType="separate"/>
      </w:r>
    </w:p>
    <w:p>
      <w:pPr>
        <w:pStyle w:val="8"/>
        <w:tabs>
          <w:tab w:val="right" w:leader="dot" w:pos="8306"/>
          <w:tab w:val="clear" w:pos="8296"/>
        </w:tabs>
      </w:pPr>
      <w:r>
        <w:fldChar w:fldCharType="begin"/>
      </w:r>
      <w:r>
        <w:instrText xml:space="preserve"> HYPERLINK \l _Toc15501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_Toc15501 </w:instrText>
      </w:r>
      <w:r>
        <w:fldChar w:fldCharType="separate"/>
      </w:r>
      <w:r>
        <w:t>4</w:t>
      </w:r>
      <w:r>
        <w:fldChar w:fldCharType="end"/>
      </w:r>
      <w:r>
        <w:fldChar w:fldCharType="end"/>
      </w:r>
    </w:p>
    <w:p>
      <w:pPr>
        <w:pStyle w:val="9"/>
        <w:tabs>
          <w:tab w:val="right" w:leader="dot" w:pos="8306"/>
          <w:tab w:val="clear" w:pos="8296"/>
        </w:tabs>
      </w:pPr>
      <w:r>
        <w:fldChar w:fldCharType="begin"/>
      </w:r>
      <w:r>
        <w:instrText xml:space="preserve"> HYPERLINK \l _Toc24569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_Toc24569 </w:instrText>
      </w:r>
      <w:r>
        <w:fldChar w:fldCharType="separate"/>
      </w:r>
      <w:r>
        <w:t>4</w:t>
      </w:r>
      <w:r>
        <w:fldChar w:fldCharType="end"/>
      </w:r>
      <w:r>
        <w:fldChar w:fldCharType="end"/>
      </w:r>
    </w:p>
    <w:p>
      <w:pPr>
        <w:pStyle w:val="9"/>
        <w:tabs>
          <w:tab w:val="right" w:leader="dot" w:pos="8306"/>
          <w:tab w:val="clear" w:pos="8296"/>
        </w:tabs>
      </w:pPr>
      <w:r>
        <w:fldChar w:fldCharType="begin"/>
      </w:r>
      <w:r>
        <w:instrText xml:space="preserve"> HYPERLINK \l _Toc23182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_Toc23182 </w:instrText>
      </w:r>
      <w:r>
        <w:fldChar w:fldCharType="separate"/>
      </w:r>
      <w:r>
        <w:t>5</w:t>
      </w:r>
      <w:r>
        <w:fldChar w:fldCharType="end"/>
      </w:r>
      <w:r>
        <w:fldChar w:fldCharType="end"/>
      </w:r>
    </w:p>
    <w:p>
      <w:pPr>
        <w:pStyle w:val="8"/>
        <w:tabs>
          <w:tab w:val="right" w:leader="dot" w:pos="8306"/>
          <w:tab w:val="clear" w:pos="8296"/>
        </w:tabs>
      </w:pPr>
      <w:r>
        <w:fldChar w:fldCharType="begin"/>
      </w:r>
      <w:r>
        <w:instrText xml:space="preserve"> HYPERLINK \l _Toc30002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_Toc30002 </w:instrText>
      </w:r>
      <w:r>
        <w:fldChar w:fldCharType="separate"/>
      </w:r>
      <w:r>
        <w:t>5</w:t>
      </w:r>
      <w:r>
        <w:fldChar w:fldCharType="end"/>
      </w:r>
      <w:r>
        <w:fldChar w:fldCharType="end"/>
      </w:r>
    </w:p>
    <w:p>
      <w:pPr>
        <w:pStyle w:val="9"/>
        <w:tabs>
          <w:tab w:val="right" w:leader="dot" w:pos="8306"/>
          <w:tab w:val="clear" w:pos="8296"/>
        </w:tabs>
      </w:pPr>
      <w:r>
        <w:fldChar w:fldCharType="begin"/>
      </w:r>
      <w:r>
        <w:instrText xml:space="preserve"> HYPERLINK \l _Toc6988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_Toc6988 </w:instrText>
      </w:r>
      <w:r>
        <w:fldChar w:fldCharType="separate"/>
      </w:r>
      <w:r>
        <w:t>5</w:t>
      </w:r>
      <w:r>
        <w:fldChar w:fldCharType="end"/>
      </w:r>
      <w:r>
        <w:fldChar w:fldCharType="end"/>
      </w:r>
    </w:p>
    <w:p>
      <w:pPr>
        <w:pStyle w:val="9"/>
        <w:tabs>
          <w:tab w:val="right" w:leader="dot" w:pos="8306"/>
          <w:tab w:val="clear" w:pos="8296"/>
        </w:tabs>
      </w:pPr>
      <w:r>
        <w:fldChar w:fldCharType="begin"/>
      </w:r>
      <w:r>
        <w:instrText xml:space="preserve"> HYPERLINK \l _Toc18269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_Toc18269 </w:instrText>
      </w:r>
      <w:r>
        <w:fldChar w:fldCharType="separate"/>
      </w:r>
      <w:r>
        <w:t>6</w:t>
      </w:r>
      <w:r>
        <w:fldChar w:fldCharType="end"/>
      </w:r>
      <w:r>
        <w:fldChar w:fldCharType="end"/>
      </w:r>
    </w:p>
    <w:p>
      <w:pPr>
        <w:pStyle w:val="9"/>
        <w:tabs>
          <w:tab w:val="right" w:leader="dot" w:pos="8306"/>
          <w:tab w:val="clear" w:pos="8296"/>
        </w:tabs>
      </w:pPr>
      <w:r>
        <w:fldChar w:fldCharType="begin"/>
      </w:r>
      <w:r>
        <w:instrText xml:space="preserve"> HYPERLINK \l _Toc22753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_Toc22753 </w:instrText>
      </w:r>
      <w:r>
        <w:fldChar w:fldCharType="separate"/>
      </w:r>
      <w:r>
        <w:t>7</w:t>
      </w:r>
      <w:r>
        <w:fldChar w:fldCharType="end"/>
      </w:r>
      <w:r>
        <w:fldChar w:fldCharType="end"/>
      </w:r>
    </w:p>
    <w:p>
      <w:pPr>
        <w:pStyle w:val="9"/>
        <w:tabs>
          <w:tab w:val="right" w:leader="dot" w:pos="8306"/>
          <w:tab w:val="clear" w:pos="8296"/>
        </w:tabs>
      </w:pPr>
      <w:r>
        <w:fldChar w:fldCharType="begin"/>
      </w:r>
      <w:r>
        <w:instrText xml:space="preserve"> HYPERLINK \l _Toc18059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_Toc18059 </w:instrText>
      </w:r>
      <w:r>
        <w:fldChar w:fldCharType="separate"/>
      </w:r>
      <w:r>
        <w:t>7</w:t>
      </w:r>
      <w:r>
        <w:fldChar w:fldCharType="end"/>
      </w:r>
      <w:r>
        <w:fldChar w:fldCharType="end"/>
      </w:r>
    </w:p>
    <w:p>
      <w:pPr>
        <w:pStyle w:val="9"/>
        <w:tabs>
          <w:tab w:val="right" w:leader="dot" w:pos="8306"/>
          <w:tab w:val="clear" w:pos="8296"/>
        </w:tabs>
      </w:pPr>
      <w:r>
        <w:fldChar w:fldCharType="begin"/>
      </w:r>
      <w:r>
        <w:instrText xml:space="preserve"> HYPERLINK \l _Toc897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_Toc897 </w:instrText>
      </w:r>
      <w:r>
        <w:fldChar w:fldCharType="separate"/>
      </w:r>
      <w:r>
        <w:t>8</w:t>
      </w:r>
      <w:r>
        <w:fldChar w:fldCharType="end"/>
      </w:r>
      <w:r>
        <w:fldChar w:fldCharType="end"/>
      </w:r>
    </w:p>
    <w:p>
      <w:pPr>
        <w:pStyle w:val="9"/>
        <w:tabs>
          <w:tab w:val="right" w:leader="dot" w:pos="8306"/>
          <w:tab w:val="clear" w:pos="8296"/>
        </w:tabs>
      </w:pPr>
      <w:r>
        <w:fldChar w:fldCharType="begin"/>
      </w:r>
      <w:r>
        <w:instrText xml:space="preserve"> HYPERLINK \l _Toc3927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_Toc3927 </w:instrText>
      </w:r>
      <w:r>
        <w:fldChar w:fldCharType="separate"/>
      </w:r>
      <w:r>
        <w:t>10</w:t>
      </w:r>
      <w:r>
        <w:fldChar w:fldCharType="end"/>
      </w:r>
      <w:r>
        <w:fldChar w:fldCharType="end"/>
      </w:r>
    </w:p>
    <w:p>
      <w:pPr>
        <w:pStyle w:val="9"/>
        <w:tabs>
          <w:tab w:val="right" w:leader="dot" w:pos="8306"/>
          <w:tab w:val="clear" w:pos="8296"/>
        </w:tabs>
      </w:pPr>
      <w:r>
        <w:fldChar w:fldCharType="begin"/>
      </w:r>
      <w:r>
        <w:instrText xml:space="preserve"> HYPERLINK \l _Toc2449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_Toc2449 </w:instrText>
      </w:r>
      <w:r>
        <w:fldChar w:fldCharType="separate"/>
      </w:r>
      <w:r>
        <w:t>10</w:t>
      </w:r>
      <w:r>
        <w:fldChar w:fldCharType="end"/>
      </w:r>
      <w:r>
        <w:fldChar w:fldCharType="end"/>
      </w:r>
    </w:p>
    <w:p>
      <w:pPr>
        <w:pStyle w:val="9"/>
        <w:tabs>
          <w:tab w:val="right" w:leader="dot" w:pos="8306"/>
          <w:tab w:val="clear" w:pos="8296"/>
        </w:tabs>
      </w:pPr>
      <w:r>
        <w:fldChar w:fldCharType="begin"/>
      </w:r>
      <w:r>
        <w:instrText xml:space="preserve"> HYPERLINK \l _Toc405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_Toc405 </w:instrText>
      </w:r>
      <w:r>
        <w:fldChar w:fldCharType="separate"/>
      </w:r>
      <w:r>
        <w:t>12</w:t>
      </w:r>
      <w:r>
        <w:fldChar w:fldCharType="end"/>
      </w:r>
      <w:r>
        <w:fldChar w:fldCharType="end"/>
      </w:r>
    </w:p>
    <w:p>
      <w:pPr>
        <w:pStyle w:val="9"/>
        <w:tabs>
          <w:tab w:val="right" w:leader="dot" w:pos="8306"/>
          <w:tab w:val="clear" w:pos="8296"/>
        </w:tabs>
      </w:pPr>
      <w:r>
        <w:fldChar w:fldCharType="begin"/>
      </w:r>
      <w:r>
        <w:instrText xml:space="preserve"> HYPERLINK \l _Toc17101 </w:instrText>
      </w:r>
      <w:r>
        <w:fldChar w:fldCharType="separate"/>
      </w:r>
      <w:r>
        <w:rPr>
          <w:rFonts w:hint="eastAsia" w:ascii="黑体" w:hAnsi="黑体" w:eastAsia="黑体"/>
        </w:rPr>
        <w:t>九、 国有资本经营预算支出决算情况说明</w:t>
      </w:r>
      <w:r>
        <w:tab/>
      </w:r>
      <w:r>
        <w:fldChar w:fldCharType="begin"/>
      </w:r>
      <w:r>
        <w:instrText xml:space="preserve"> PAGEREF _Toc17101 </w:instrText>
      </w:r>
      <w:r>
        <w:fldChar w:fldCharType="separate"/>
      </w:r>
      <w:r>
        <w:t>12</w:t>
      </w:r>
      <w:r>
        <w:fldChar w:fldCharType="end"/>
      </w:r>
      <w:r>
        <w:fldChar w:fldCharType="end"/>
      </w:r>
    </w:p>
    <w:p>
      <w:pPr>
        <w:pStyle w:val="9"/>
        <w:tabs>
          <w:tab w:val="right" w:leader="dot" w:pos="8306"/>
          <w:tab w:val="clear" w:pos="8296"/>
        </w:tabs>
      </w:pPr>
      <w:r>
        <w:fldChar w:fldCharType="begin"/>
      </w:r>
      <w:r>
        <w:instrText xml:space="preserve"> HYPERLINK \l _Toc30237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_Toc30237 </w:instrText>
      </w:r>
      <w:r>
        <w:fldChar w:fldCharType="separate"/>
      </w:r>
      <w:r>
        <w:t>12</w:t>
      </w:r>
      <w:r>
        <w:fldChar w:fldCharType="end"/>
      </w:r>
      <w:r>
        <w:fldChar w:fldCharType="end"/>
      </w:r>
    </w:p>
    <w:p>
      <w:pPr>
        <w:pStyle w:val="8"/>
        <w:tabs>
          <w:tab w:val="right" w:leader="dot" w:pos="8306"/>
          <w:tab w:val="clear" w:pos="8296"/>
        </w:tabs>
      </w:pPr>
      <w:r>
        <w:fldChar w:fldCharType="begin"/>
      </w:r>
      <w:r>
        <w:instrText xml:space="preserve"> HYPERLINK \l _Toc16522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_Toc16522 </w:instrText>
      </w:r>
      <w:r>
        <w:fldChar w:fldCharType="separate"/>
      </w:r>
      <w:r>
        <w:t>17</w:t>
      </w:r>
      <w:r>
        <w:fldChar w:fldCharType="end"/>
      </w:r>
      <w:r>
        <w:fldChar w:fldCharType="end"/>
      </w:r>
    </w:p>
    <w:p>
      <w:pPr>
        <w:pStyle w:val="8"/>
        <w:tabs>
          <w:tab w:val="right" w:leader="dot" w:pos="8306"/>
          <w:tab w:val="clear" w:pos="8296"/>
        </w:tabs>
      </w:pPr>
      <w:r>
        <w:fldChar w:fldCharType="begin"/>
      </w:r>
      <w:r>
        <w:instrText xml:space="preserve"> HYPERLINK \l _Toc18740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_Toc18740 </w:instrText>
      </w:r>
      <w:r>
        <w:fldChar w:fldCharType="separate"/>
      </w:r>
      <w:r>
        <w:t>19</w:t>
      </w:r>
      <w:r>
        <w:fldChar w:fldCharType="end"/>
      </w:r>
      <w:r>
        <w:fldChar w:fldCharType="end"/>
      </w:r>
    </w:p>
    <w:p>
      <w:pPr>
        <w:pStyle w:val="8"/>
        <w:tabs>
          <w:tab w:val="right" w:leader="dot" w:pos="8306"/>
          <w:tab w:val="clear" w:pos="8296"/>
        </w:tabs>
      </w:pPr>
      <w:r>
        <w:rPr>
          <w:rFonts w:hint="eastAsia"/>
          <w:lang w:val="en-US" w:eastAsia="zh-CN"/>
        </w:rPr>
        <w:t xml:space="preserve">   </w:t>
      </w:r>
      <w:r>
        <w:fldChar w:fldCharType="begin"/>
      </w:r>
      <w:r>
        <w:instrText xml:space="preserve"> HYPERLINK \l _Toc9250 </w:instrText>
      </w:r>
      <w:r>
        <w:fldChar w:fldCharType="separate"/>
      </w:r>
      <w:r>
        <w:rPr>
          <w:rFonts w:hint="eastAsia" w:ascii="仿宋" w:hAnsi="仿宋" w:eastAsia="仿宋" w:cs="Times New Roman"/>
          <w:bCs w:val="0"/>
          <w:kern w:val="2"/>
          <w:sz w:val="21"/>
          <w:szCs w:val="32"/>
          <w:lang w:val="en-US" w:eastAsia="zh-CN" w:bidi="ar-SA"/>
        </w:rPr>
        <w:t>附件1</w:t>
      </w:r>
      <w:r>
        <w:tab/>
      </w:r>
      <w:r>
        <w:fldChar w:fldCharType="begin"/>
      </w:r>
      <w:r>
        <w:instrText xml:space="preserve"> PAGEREF _Toc9250 </w:instrText>
      </w:r>
      <w:r>
        <w:fldChar w:fldCharType="separate"/>
      </w:r>
      <w:r>
        <w:t>19</w:t>
      </w:r>
      <w:r>
        <w:fldChar w:fldCharType="end"/>
      </w:r>
      <w:r>
        <w:fldChar w:fldCharType="end"/>
      </w:r>
    </w:p>
    <w:p>
      <w:pPr>
        <w:pStyle w:val="9"/>
        <w:tabs>
          <w:tab w:val="right" w:leader="dot" w:pos="8306"/>
          <w:tab w:val="clear" w:pos="8296"/>
        </w:tabs>
      </w:pPr>
      <w:r>
        <w:fldChar w:fldCharType="begin"/>
      </w:r>
      <w:r>
        <w:instrText xml:space="preserve"> HYPERLINK \l _Toc23049 </w:instrText>
      </w:r>
      <w:r>
        <w:fldChar w:fldCharType="separate"/>
      </w:r>
      <w:r>
        <w:rPr>
          <w:rFonts w:hint="eastAsia" w:ascii="仿宋" w:hAnsi="仿宋" w:eastAsia="仿宋"/>
          <w:bCs w:val="0"/>
          <w:szCs w:val="32"/>
        </w:rPr>
        <w:t>附件2</w:t>
      </w:r>
      <w:r>
        <w:tab/>
      </w:r>
      <w:r>
        <w:fldChar w:fldCharType="begin"/>
      </w:r>
      <w:r>
        <w:instrText xml:space="preserve"> PAGEREF _Toc23049 </w:instrText>
      </w:r>
      <w:r>
        <w:fldChar w:fldCharType="separate"/>
      </w:r>
      <w:r>
        <w:t>23</w:t>
      </w:r>
      <w:r>
        <w:fldChar w:fldCharType="end"/>
      </w:r>
      <w:r>
        <w:fldChar w:fldCharType="end"/>
      </w:r>
    </w:p>
    <w:p>
      <w:pPr>
        <w:pStyle w:val="8"/>
        <w:tabs>
          <w:tab w:val="right" w:leader="dot" w:pos="8306"/>
          <w:tab w:val="clear" w:pos="8296"/>
        </w:tabs>
      </w:pPr>
      <w:r>
        <w:fldChar w:fldCharType="begin"/>
      </w:r>
      <w:r>
        <w:instrText xml:space="preserve"> HYPERLINK \l _Toc13299 </w:instrText>
      </w:r>
      <w:r>
        <w:fldChar w:fldCharType="separate"/>
      </w:r>
      <w:r>
        <w:rPr>
          <w:rFonts w:hint="eastAsia" w:ascii="黑体" w:hAnsi="黑体" w:eastAsia="黑体"/>
          <w:szCs w:val="44"/>
        </w:rPr>
        <w:t>第</w:t>
      </w:r>
      <w:r>
        <w:rPr>
          <w:rFonts w:hint="eastAsia" w:ascii="黑体" w:hAnsi="黑体" w:eastAsia="黑体"/>
        </w:rPr>
        <w:t>五部分 附表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_Toc1094 </w:instrText>
      </w:r>
      <w:r>
        <w:fldChar w:fldCharType="separate"/>
      </w:r>
      <w:r>
        <w:rPr>
          <w:rFonts w:hint="eastAsia" w:ascii="仿宋" w:hAnsi="仿宋" w:eastAsia="仿宋"/>
        </w:rPr>
        <w:t>一、收</w:t>
      </w:r>
      <w:r>
        <w:rPr>
          <w:rFonts w:hint="eastAsia" w:ascii="仿宋" w:hAnsi="仿宋" w:eastAsia="仿宋"/>
          <w:bCs w:val="0"/>
        </w:rPr>
        <w:t>入支出决算总表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_Toc17994 </w:instrText>
      </w:r>
      <w:r>
        <w:fldChar w:fldCharType="separate"/>
      </w:r>
      <w:r>
        <w:rPr>
          <w:rFonts w:hint="eastAsia" w:ascii="仿宋" w:hAnsi="仿宋" w:eastAsia="仿宋"/>
        </w:rPr>
        <w:t>二、收</w:t>
      </w:r>
      <w:r>
        <w:rPr>
          <w:rFonts w:hint="eastAsia" w:ascii="仿宋" w:hAnsi="仿宋" w:eastAsia="仿宋"/>
          <w:bCs w:val="0"/>
        </w:rPr>
        <w:t>入决算表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_Toc16315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_Toc19356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_Toc23367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_Toc32400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_Toc6476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_Toc2304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_Toc20763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_Toc28250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_Toc17497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_Toc19925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rPr>
          <w:rFonts w:hint="eastAsia"/>
          <w:lang w:val="en-US" w:eastAsia="zh-CN"/>
        </w:rPr>
        <w:t>2</w:t>
      </w:r>
      <w:r>
        <w:fldChar w:fldCharType="end"/>
      </w:r>
      <w:r>
        <w:rPr>
          <w:rFonts w:hint="eastAsia"/>
          <w:lang w:val="en-US" w:eastAsia="zh-CN"/>
        </w:rPr>
        <w:t>7</w:t>
      </w:r>
    </w:p>
    <w:p>
      <w:pPr>
        <w:pStyle w:val="9"/>
        <w:tabs>
          <w:tab w:val="right" w:leader="dot" w:pos="8306"/>
          <w:tab w:val="clear" w:pos="8296"/>
        </w:tabs>
      </w:pPr>
      <w:r>
        <w:fldChar w:fldCharType="begin"/>
      </w:r>
      <w:r>
        <w:instrText xml:space="preserve"> HYPERLINK \l _Toc4330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rPr>
          <w:rFonts w:hint="eastAsia"/>
          <w:lang w:val="en-US" w:eastAsia="zh-CN"/>
        </w:rPr>
        <w:t>2</w:t>
      </w:r>
      <w:r>
        <w:fldChar w:fldCharType="end"/>
      </w:r>
      <w:r>
        <w:rPr>
          <w:rFonts w:hint="eastAsia"/>
          <w:lang w:val="en-US" w:eastAsia="zh-CN"/>
        </w:rPr>
        <w:t>7</w:t>
      </w:r>
    </w:p>
    <w:p>
      <w:pPr>
        <w:pStyle w:val="2"/>
        <w:jc w:val="center"/>
      </w:pPr>
      <w:r>
        <w:fldChar w:fldCharType="end"/>
      </w:r>
    </w:p>
    <w:p>
      <w:pPr>
        <w:pStyle w:val="2"/>
        <w:jc w:val="both"/>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
      <w:pPr>
        <w:pStyle w:val="2"/>
        <w:jc w:val="center"/>
        <w:rPr>
          <w:rStyle w:val="15"/>
          <w:rFonts w:ascii="黑体" w:hAnsi="黑体" w:eastAsia="黑体"/>
          <w:b/>
          <w:bCs w:val="0"/>
        </w:rPr>
      </w:pPr>
      <w:r>
        <w:rPr>
          <w:rFonts w:hint="eastAsia" w:ascii="黑体" w:hAnsi="黑体" w:eastAsia="黑体"/>
          <w:b w:val="0"/>
        </w:rPr>
        <w:t xml:space="preserve">第一部分 </w:t>
      </w:r>
      <w:r>
        <w:rPr>
          <w:rStyle w:val="15"/>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pStyle w:val="3"/>
        <w:pageBreakBefore w:val="0"/>
        <w:kinsoku/>
        <w:wordWrap/>
        <w:overflowPunct/>
        <w:topLinePunct w:val="0"/>
        <w:autoSpaceDE/>
        <w:autoSpaceDN/>
        <w:bidi w:val="0"/>
        <w:spacing w:before="0" w:after="0" w:line="560" w:lineRule="exact"/>
        <w:ind w:left="0" w:leftChars="0" w:right="0" w:rightChars="0"/>
        <w:textAlignment w:val="auto"/>
        <w:rPr>
          <w:rStyle w:val="16"/>
          <w:rFonts w:ascii="仿宋" w:hAnsi="仿宋" w:eastAsia="仿宋"/>
          <w:b w:val="0"/>
          <w:bCs w:val="0"/>
        </w:rPr>
      </w:pPr>
      <w:bookmarkStart w:id="17" w:name="_Toc24569"/>
      <w:bookmarkStart w:id="18" w:name="_Toc15377197"/>
      <w:bookmarkStart w:id="19" w:name="_Toc15396600"/>
      <w:r>
        <w:rPr>
          <w:rFonts w:hint="eastAsia" w:ascii="黑体" w:hAnsi="黑体" w:eastAsia="黑体"/>
          <w:b w:val="0"/>
          <w:color w:val="000000"/>
        </w:rPr>
        <w:t>一、基</w:t>
      </w:r>
      <w:r>
        <w:rPr>
          <w:rStyle w:val="16"/>
          <w:rFonts w:hint="eastAsia" w:ascii="黑体" w:hAnsi="黑体" w:eastAsia="黑体"/>
          <w:b w:val="0"/>
          <w:bCs w:val="0"/>
        </w:rPr>
        <w:t>本职能及主要工作</w:t>
      </w:r>
      <w:bookmarkEnd w:id="17"/>
      <w:bookmarkEnd w:id="18"/>
      <w:bookmarkEnd w:id="19"/>
    </w:p>
    <w:p>
      <w:pPr>
        <w:pageBreakBefore w:val="0"/>
        <w:kinsoku/>
        <w:wordWrap/>
        <w:overflowPunct/>
        <w:topLinePunct w:val="0"/>
        <w:autoSpaceDE/>
        <w:autoSpaceDN/>
        <w:bidi w:val="0"/>
        <w:snapToGrid w:val="0"/>
        <w:spacing w:line="560" w:lineRule="exact"/>
        <w:ind w:left="0" w:leftChars="0" w:right="0" w:rightChars="0" w:firstLine="643" w:firstLineChars="200"/>
        <w:textAlignment w:val="auto"/>
        <w:rPr>
          <w:rFonts w:hint="eastAsia" w:ascii="楷体_GB2312" w:hAnsi="仿宋" w:eastAsia="楷体_GB2312"/>
          <w:b/>
          <w:sz w:val="32"/>
          <w:szCs w:val="32"/>
        </w:rPr>
      </w:pPr>
      <w:bookmarkStart w:id="20" w:name="_Toc15396601"/>
      <w:bookmarkStart w:id="21" w:name="_Toc15377200"/>
      <w:r>
        <w:rPr>
          <w:rFonts w:hint="eastAsia" w:ascii="楷体_GB2312" w:hAnsi="仿宋" w:eastAsia="楷体_GB2312"/>
          <w:b/>
          <w:sz w:val="32"/>
          <w:szCs w:val="32"/>
        </w:rPr>
        <w:t>（一）基本情况。</w:t>
      </w:r>
    </w:p>
    <w:p>
      <w:pPr>
        <w:pageBreakBefore w:val="0"/>
        <w:kinsoku/>
        <w:wordWrap/>
        <w:overflowPunct/>
        <w:topLinePunct w:val="0"/>
        <w:autoSpaceDE/>
        <w:autoSpaceDN/>
        <w:bidi w:val="0"/>
        <w:snapToGrid w:val="0"/>
        <w:spacing w:line="560" w:lineRule="exact"/>
        <w:ind w:left="0" w:leftChars="0" w:right="0" w:righ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1．主要职能。</w:t>
      </w:r>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（一）团结、服务、引导、教育非公有制经济人士爱国、敬业、诚信、守法、贡献，培养拥护党的领导、走中国特色社会主义道路的非公有制经济人士队伍。</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（二）做好非公有制经济代表人士政治安排的推荐工作。参与政治协商，发挥民主监督作用，积极参政议政。</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（三）参与政府相关的经济活动，广泛联系各地工商界人士，开展民间外交，推动经贸交流和协作，促进经济社会发展。</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（四）参与协调劳动关系，促进和谐社会建设。</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（五）指导本会直属商会工作，积极参与社会组织建设工作，促进行业协会商会改革发展。</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（六）反映非公有制企业和非公有制经济人士利益诉求，维护其合法权益。              </w:t>
      </w:r>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（七）为会员提供政策信息、人才交流培训等服务。组织会员企业参加各类经贸活动，外出参观考察，帮助会员企业拓展市场。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（八）配合有关部门开展非公有制会员企业党建工作。</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（九）积极引导非公有制企业及其非公有制经济人士承担社会责任，大力支持慈善公益事业发展，积极投身光彩事业。</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（十）承办县委、县政府和上级工商联交办的其它任务。</w:t>
      </w:r>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仿宋_GB2312" w:hAnsi="仿宋_GB2312" w:eastAsia="仿宋_GB2312" w:cs="仿宋_GB2312"/>
          <w:bCs/>
          <w:sz w:val="32"/>
          <w:szCs w:val="32"/>
          <w:lang w:val="en-US" w:eastAsia="zh-CN"/>
        </w:rPr>
      </w:pPr>
      <w:bookmarkStart w:id="22" w:name="_Toc15377199"/>
      <w:bookmarkStart w:id="23" w:name="_Toc15378446"/>
      <w:r>
        <w:rPr>
          <w:rFonts w:hint="eastAsia" w:ascii="仿宋_GB2312" w:hAnsi="仿宋_GB2312" w:eastAsia="仿宋_GB2312" w:cs="仿宋_GB2312"/>
          <w:bCs/>
          <w:sz w:val="32"/>
          <w:szCs w:val="32"/>
          <w:lang w:val="en-US" w:eastAsia="zh-CN"/>
        </w:rPr>
        <w:t>（二）当年取得的主要事业成效。</w:t>
      </w:r>
      <w:bookmarkEnd w:id="22"/>
      <w:bookmarkEnd w:id="23"/>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我单位今年根据财政资金的安排情况，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p>
    <w:p>
      <w:pPr>
        <w:pStyle w:val="3"/>
        <w:pageBreakBefore w:val="0"/>
        <w:kinsoku/>
        <w:wordWrap/>
        <w:overflowPunct/>
        <w:topLinePunct w:val="0"/>
        <w:autoSpaceDE/>
        <w:autoSpaceDN/>
        <w:bidi w:val="0"/>
        <w:adjustRightInd/>
        <w:spacing w:before="0" w:after="0" w:line="560" w:lineRule="exact"/>
        <w:ind w:left="0" w:leftChars="0" w:right="0" w:rightChars="0"/>
        <w:textAlignment w:val="auto"/>
        <w:rPr>
          <w:rStyle w:val="19"/>
          <w:b w:val="0"/>
          <w:bCs w:val="0"/>
        </w:rPr>
      </w:pPr>
      <w:r>
        <w:rPr>
          <w:rFonts w:hint="eastAsia" w:ascii="黑体" w:eastAsia="黑体"/>
          <w:b w:val="0"/>
          <w:color w:val="000000"/>
          <w:lang w:val="en-US" w:eastAsia="zh-CN"/>
        </w:rPr>
        <w:t xml:space="preserve">    </w:t>
      </w:r>
      <w:bookmarkStart w:id="24" w:name="_Toc23182"/>
      <w:r>
        <w:rPr>
          <w:rFonts w:hint="eastAsia" w:ascii="黑体" w:eastAsia="黑体"/>
          <w:b w:val="0"/>
          <w:color w:val="000000"/>
        </w:rPr>
        <w:t>二、</w:t>
      </w:r>
      <w:r>
        <w:rPr>
          <w:rFonts w:hint="eastAsia" w:ascii="黑体" w:hAnsi="黑体" w:eastAsia="黑体"/>
          <w:b w:val="0"/>
          <w:color w:val="000000"/>
        </w:rPr>
        <w:t>机</w:t>
      </w:r>
      <w:r>
        <w:rPr>
          <w:rStyle w:val="19"/>
          <w:rFonts w:hint="eastAsia" w:ascii="黑体" w:hAnsi="黑体" w:eastAsia="黑体"/>
          <w:b w:val="0"/>
          <w:bCs w:val="0"/>
        </w:rPr>
        <w:t>构设置</w:t>
      </w:r>
      <w:bookmarkEnd w:id="24"/>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我机关为独立核算全额拨款行政单位。工商业联合会内设办公室。</w:t>
      </w:r>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截止2019年底我单位共有编制4个，其中公务员编制3个，行政工勤编制1个，在职6人，其中公务员4人，行政工勤2人。</w:t>
      </w:r>
    </w:p>
    <w:p>
      <w:pPr>
        <w:pageBreakBefore w:val="0"/>
        <w:kinsoku/>
        <w:wordWrap/>
        <w:overflowPunct/>
        <w:topLinePunct w:val="0"/>
        <w:autoSpaceDE/>
        <w:autoSpaceDN/>
        <w:bidi w:val="0"/>
        <w:adjustRightInd/>
        <w:spacing w:line="560" w:lineRule="exact"/>
        <w:ind w:left="0" w:leftChars="0" w:right="0" w:rightChars="0" w:firstLine="640" w:firstLineChars="200"/>
        <w:jc w:val="left"/>
        <w:textAlignment w:val="auto"/>
        <w:rPr>
          <w:rFonts w:hint="eastAsia" w:ascii="宋体" w:hAnsi="宋体" w:cs="仿宋_GB2312"/>
          <w:sz w:val="32"/>
          <w:szCs w:val="32"/>
        </w:rPr>
      </w:pPr>
    </w:p>
    <w:bookmarkEnd w:id="20"/>
    <w:bookmarkEnd w:id="21"/>
    <w:p>
      <w:pPr>
        <w:pStyle w:val="2"/>
        <w:pageBreakBefore w:val="0"/>
        <w:widowControl w:val="0"/>
        <w:kinsoku/>
        <w:wordWrap/>
        <w:overflowPunct/>
        <w:topLinePunct w:val="0"/>
        <w:autoSpaceDE/>
        <w:autoSpaceDN/>
        <w:bidi w:val="0"/>
        <w:adjustRightInd/>
        <w:snapToGrid/>
        <w:spacing w:before="0" w:after="0" w:line="560" w:lineRule="exact"/>
        <w:ind w:left="0" w:leftChars="0" w:right="0" w:rightChars="0" w:firstLine="880" w:firstLineChars="200"/>
        <w:jc w:val="right"/>
        <w:textAlignment w:val="auto"/>
      </w:pPr>
      <w:bookmarkStart w:id="25" w:name="_Toc30002"/>
      <w:bookmarkStart w:id="26" w:name="_Toc15396602"/>
      <w:bookmarkStart w:id="27"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15"/>
          <w:rFonts w:hint="eastAsia" w:ascii="黑体" w:hAnsi="黑体" w:eastAsia="黑体"/>
          <w:b w:val="0"/>
          <w:bCs w:val="0"/>
        </w:rPr>
        <w:t>2019年度部门决算情况说明</w:t>
      </w:r>
      <w:bookmarkEnd w:id="25"/>
      <w:bookmarkEnd w:id="26"/>
      <w:bookmarkEnd w:id="27"/>
    </w:p>
    <w:p>
      <w:pPr>
        <w:pStyle w:val="17"/>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Style w:val="16"/>
          <w:rFonts w:ascii="黑体" w:hAnsi="黑体" w:eastAsia="黑体"/>
          <w:b w:val="0"/>
        </w:rPr>
      </w:pPr>
      <w:bookmarkStart w:id="28" w:name="_Toc15377205"/>
      <w:bookmarkStart w:id="29" w:name="_Toc15396603"/>
      <w:bookmarkStart w:id="30" w:name="_Toc6988"/>
      <w:r>
        <w:rPr>
          <w:rFonts w:hint="eastAsia" w:ascii="黑体" w:hAnsi="黑体" w:eastAsia="黑体"/>
          <w:color w:val="000000"/>
          <w:sz w:val="32"/>
          <w:szCs w:val="32"/>
        </w:rPr>
        <w:t>收</w:t>
      </w:r>
      <w:r>
        <w:rPr>
          <w:rStyle w:val="16"/>
          <w:rFonts w:hint="eastAsia" w:ascii="黑体" w:hAnsi="黑体" w:eastAsia="黑体"/>
          <w:b w:val="0"/>
        </w:rPr>
        <w:t>入支出决算总体情况说明</w:t>
      </w:r>
      <w:bookmarkEnd w:id="28"/>
      <w:bookmarkEnd w:id="29"/>
      <w:bookmarkEnd w:id="30"/>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143.68万元，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总计151.68万元。与2018年相比，</w:t>
      </w:r>
      <w:r>
        <w:rPr>
          <w:rFonts w:hint="eastAsia" w:ascii="仿宋" w:hAnsi="仿宋" w:eastAsia="仿宋"/>
          <w:color w:val="000000"/>
          <w:sz w:val="32"/>
          <w:szCs w:val="32"/>
          <w:lang w:eastAsia="zh-CN"/>
        </w:rPr>
        <w:t>收入不变，</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11.03万元，</w:t>
      </w:r>
      <w:r>
        <w:rPr>
          <w:rFonts w:hint="eastAsia" w:ascii="仿宋" w:hAnsi="仿宋" w:eastAsia="仿宋"/>
          <w:color w:val="000000"/>
          <w:sz w:val="32"/>
          <w:szCs w:val="32"/>
          <w:lang w:eastAsia="zh-CN"/>
        </w:rPr>
        <w:t>增长了</w:t>
      </w:r>
      <w:r>
        <w:rPr>
          <w:rFonts w:hint="eastAsia" w:ascii="仿宋" w:hAnsi="仿宋" w:eastAsia="仿宋"/>
          <w:color w:val="000000"/>
          <w:sz w:val="32"/>
          <w:szCs w:val="32"/>
          <w:lang w:val="en-US" w:eastAsia="zh-CN"/>
        </w:rPr>
        <w:t>7.84%</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420" w:firstLineChars="200"/>
        <w:rPr>
          <w:rFonts w:hint="eastAsia" w:ascii="仿宋" w:hAnsi="仿宋" w:eastAsia="仿宋"/>
          <w:color w:val="000000"/>
          <w:sz w:val="32"/>
          <w:szCs w:val="32"/>
          <w:lang w:eastAsia="zh-CN"/>
        </w:rPr>
      </w:pPr>
      <w:r>
        <w:drawing>
          <wp:anchor distT="0" distB="0" distL="114300" distR="114300" simplePos="0" relativeHeight="251658240" behindDoc="1" locked="0" layoutInCell="1" allowOverlap="1">
            <wp:simplePos x="0" y="0"/>
            <wp:positionH relativeFrom="column">
              <wp:posOffset>271145</wp:posOffset>
            </wp:positionH>
            <wp:positionV relativeFrom="paragraph">
              <wp:posOffset>203835</wp:posOffset>
            </wp:positionV>
            <wp:extent cx="4572000" cy="2743200"/>
            <wp:effectExtent l="4445" t="4445" r="14605"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17"/>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Style w:val="16"/>
          <w:rFonts w:ascii="黑体" w:hAnsi="黑体" w:eastAsia="黑体"/>
          <w:b w:val="0"/>
        </w:rPr>
      </w:pPr>
      <w:bookmarkStart w:id="31" w:name="_Toc15396604"/>
      <w:bookmarkStart w:id="32" w:name="_Toc15377206"/>
      <w:bookmarkStart w:id="33" w:name="_Toc18269"/>
      <w:r>
        <w:rPr>
          <w:rFonts w:hint="eastAsia" w:ascii="黑体" w:hAnsi="黑体" w:eastAsia="黑体"/>
          <w:color w:val="000000"/>
          <w:sz w:val="32"/>
          <w:szCs w:val="32"/>
        </w:rPr>
        <w:t>收</w:t>
      </w:r>
      <w:r>
        <w:rPr>
          <w:rStyle w:val="16"/>
          <w:rFonts w:hint="eastAsia" w:ascii="黑体" w:hAnsi="黑体" w:eastAsia="黑体"/>
          <w:b w:val="0"/>
        </w:rPr>
        <w:t>入决算情况说明</w:t>
      </w:r>
      <w:bookmarkEnd w:id="31"/>
      <w:bookmarkEnd w:id="32"/>
      <w:bookmarkEnd w:id="33"/>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bookmarkStart w:id="34" w:name="_Toc9915"/>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143.69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143.69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4"/>
    </w:p>
    <w:p>
      <w:pPr>
        <w:pageBreakBefore w:val="0"/>
        <w:widowControl w:val="0"/>
        <w:kinsoku/>
        <w:wordWrap/>
        <w:overflowPunct/>
        <w:topLinePunct w:val="0"/>
        <w:autoSpaceDE/>
        <w:autoSpaceDN/>
        <w:bidi w:val="0"/>
        <w:adjustRightInd/>
        <w:snapToGrid/>
        <w:spacing w:line="560" w:lineRule="exact"/>
        <w:ind w:left="0" w:leftChars="0" w:right="0" w:rightChars="0" w:firstLine="420" w:firstLineChars="200"/>
        <w:textAlignment w:val="auto"/>
        <w:outlineLvl w:val="1"/>
        <w:rPr>
          <w:rFonts w:ascii="仿宋" w:hAnsi="仿宋" w:eastAsia="仿宋"/>
          <w:color w:val="000000"/>
          <w:sz w:val="32"/>
          <w:szCs w:val="32"/>
        </w:rPr>
      </w:pPr>
      <w:r>
        <w:drawing>
          <wp:anchor distT="0" distB="0" distL="114300" distR="114300" simplePos="0" relativeHeight="251659264" behindDoc="1" locked="0" layoutInCell="1" allowOverlap="1">
            <wp:simplePos x="0" y="0"/>
            <wp:positionH relativeFrom="column">
              <wp:posOffset>271145</wp:posOffset>
            </wp:positionH>
            <wp:positionV relativeFrom="paragraph">
              <wp:posOffset>77470</wp:posOffset>
            </wp:positionV>
            <wp:extent cx="4572000" cy="2743200"/>
            <wp:effectExtent l="4445" t="4445" r="14605" b="1460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eastAsia="仿宋_GB2312"/>
          <w:color w:val="FF0000"/>
          <w:sz w:val="32"/>
          <w:szCs w:val="32"/>
        </w:rPr>
      </w:pPr>
    </w:p>
    <w:p>
      <w:pPr>
        <w:pStyle w:val="17"/>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Style w:val="16"/>
          <w:rFonts w:ascii="黑体" w:hAnsi="黑体" w:eastAsia="黑体"/>
          <w:b w:val="0"/>
        </w:rPr>
      </w:pPr>
      <w:bookmarkStart w:id="35" w:name="_Toc15396605"/>
      <w:bookmarkStart w:id="36" w:name="_Toc15377207"/>
      <w:bookmarkStart w:id="37" w:name="_Toc22753"/>
      <w:r>
        <w:rPr>
          <w:rFonts w:hint="eastAsia" w:ascii="黑体" w:hAnsi="黑体" w:eastAsia="黑体"/>
          <w:color w:val="000000"/>
          <w:sz w:val="32"/>
          <w:szCs w:val="32"/>
        </w:rPr>
        <w:t>支</w:t>
      </w:r>
      <w:r>
        <w:rPr>
          <w:rStyle w:val="16"/>
          <w:rFonts w:hint="eastAsia" w:ascii="黑体" w:hAnsi="黑体" w:eastAsia="黑体"/>
          <w:b w:val="0"/>
        </w:rPr>
        <w:t>出决算情况说明</w:t>
      </w:r>
      <w:bookmarkEnd w:id="35"/>
      <w:bookmarkEnd w:id="36"/>
      <w:bookmarkEnd w:id="37"/>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bookmarkStart w:id="38" w:name="_Toc7673"/>
      <w:r>
        <w:rPr>
          <w:rFonts w:ascii="仿宋" w:hAnsi="仿宋" w:eastAsia="仿宋"/>
          <w:color w:val="000000"/>
          <w:sz w:val="32"/>
          <w:szCs w:val="32"/>
        </w:rPr>
        <w:t>201</w:t>
      </w:r>
      <w:r>
        <w:rPr>
          <w:rFonts w:hint="eastAsia" w:ascii="仿宋" w:hAnsi="仿宋" w:eastAsia="仿宋"/>
          <w:color w:val="000000"/>
          <w:sz w:val="32"/>
          <w:szCs w:val="32"/>
        </w:rPr>
        <w:t>9年本年支出合计151.68万元，其中：基本支出151.68万元，占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8"/>
    </w:p>
    <w:p>
      <w:pPr>
        <w:pageBreakBefore w:val="0"/>
        <w:widowControl w:val="0"/>
        <w:kinsoku/>
        <w:wordWrap/>
        <w:overflowPunct/>
        <w:topLinePunct w:val="0"/>
        <w:autoSpaceDE/>
        <w:autoSpaceDN/>
        <w:bidi w:val="0"/>
        <w:adjustRightInd/>
        <w:snapToGrid/>
        <w:spacing w:line="560" w:lineRule="exact"/>
        <w:ind w:left="0" w:leftChars="0" w:right="0" w:rightChars="0" w:firstLine="420" w:firstLineChars="200"/>
        <w:textAlignment w:val="auto"/>
        <w:outlineLvl w:val="1"/>
        <w:rPr>
          <w:rFonts w:hint="eastAsia" w:ascii="仿宋" w:hAnsi="仿宋" w:eastAsia="仿宋"/>
          <w:color w:val="000000"/>
          <w:sz w:val="32"/>
          <w:szCs w:val="32"/>
        </w:rPr>
      </w:pPr>
      <w:r>
        <w:drawing>
          <wp:anchor distT="0" distB="0" distL="114300" distR="114300" simplePos="0" relativeHeight="251660288" behindDoc="1" locked="0" layoutInCell="1" allowOverlap="1">
            <wp:simplePos x="0" y="0"/>
            <wp:positionH relativeFrom="column">
              <wp:posOffset>408940</wp:posOffset>
            </wp:positionH>
            <wp:positionV relativeFrom="paragraph">
              <wp:posOffset>87630</wp:posOffset>
            </wp:positionV>
            <wp:extent cx="4572000" cy="2743200"/>
            <wp:effectExtent l="4445" t="4445" r="14605" b="14605"/>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Style w:val="16"/>
          <w:rFonts w:ascii="黑体" w:hAnsi="黑体" w:eastAsia="黑体"/>
          <w:b w:val="0"/>
        </w:rPr>
      </w:pPr>
      <w:bookmarkStart w:id="39" w:name="_Toc15396606"/>
      <w:bookmarkStart w:id="40" w:name="_Toc15377208"/>
      <w:bookmarkStart w:id="41" w:name="_Toc18059"/>
      <w:r>
        <w:rPr>
          <w:rFonts w:hint="eastAsia" w:ascii="黑体" w:hAnsi="黑体" w:eastAsia="黑体"/>
          <w:color w:val="000000"/>
          <w:sz w:val="32"/>
          <w:szCs w:val="32"/>
        </w:rPr>
        <w:t>四、财</w:t>
      </w:r>
      <w:r>
        <w:rPr>
          <w:rStyle w:val="16"/>
          <w:rFonts w:hint="eastAsia" w:ascii="黑体" w:hAnsi="黑体" w:eastAsia="黑体"/>
          <w:b w:val="0"/>
        </w:rPr>
        <w:t>政拨款收入支出决算总体情况说明</w:t>
      </w:r>
      <w:bookmarkEnd w:id="39"/>
      <w:bookmarkEnd w:id="40"/>
      <w:bookmarkEnd w:id="41"/>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w:t>
      </w:r>
      <w:r>
        <w:rPr>
          <w:rFonts w:hint="eastAsia" w:ascii="仿宋" w:hAnsi="仿宋" w:eastAsia="仿宋"/>
          <w:color w:val="000000"/>
          <w:sz w:val="32"/>
          <w:szCs w:val="32"/>
          <w:lang w:val="en-US" w:eastAsia="zh-CN"/>
        </w:rPr>
        <w:t>财政拨款收入143.68万元，支出总计151.68万元。与2018年相比，收入不变，支出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11.03万元，</w:t>
      </w:r>
      <w:r>
        <w:rPr>
          <w:rFonts w:hint="eastAsia" w:ascii="仿宋" w:hAnsi="仿宋" w:eastAsia="仿宋"/>
          <w:color w:val="000000"/>
          <w:sz w:val="32"/>
          <w:szCs w:val="32"/>
          <w:lang w:eastAsia="zh-CN"/>
        </w:rPr>
        <w:t>增长了</w:t>
      </w:r>
      <w:r>
        <w:rPr>
          <w:rFonts w:hint="eastAsia" w:ascii="仿宋" w:hAnsi="仿宋" w:eastAsia="仿宋"/>
          <w:color w:val="000000"/>
          <w:sz w:val="32"/>
          <w:szCs w:val="32"/>
          <w:lang w:val="en-US" w:eastAsia="zh-CN"/>
        </w:rPr>
        <w:t>7.84%</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ascii="仿宋" w:hAnsi="仿宋" w:eastAsia="仿宋"/>
          <w:b/>
          <w:color w:val="00B05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ascii="仿宋" w:hAnsi="仿宋" w:eastAsia="仿宋"/>
          <w:b/>
          <w:color w:val="00B05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420" w:firstLineChars="200"/>
        <w:textAlignment w:val="auto"/>
        <w:outlineLvl w:val="1"/>
        <w:rPr>
          <w:rFonts w:hint="eastAsia" w:ascii="黑体" w:hAnsi="黑体" w:eastAsia="黑体"/>
          <w:color w:val="000000"/>
          <w:sz w:val="32"/>
          <w:szCs w:val="32"/>
        </w:rPr>
      </w:pPr>
      <w:bookmarkStart w:id="42" w:name="_Toc15396607"/>
      <w:bookmarkStart w:id="43" w:name="_Toc15377209"/>
      <w:r>
        <w:drawing>
          <wp:anchor distT="0" distB="0" distL="114300" distR="114300" simplePos="0" relativeHeight="251661312" behindDoc="1" locked="0" layoutInCell="1" allowOverlap="1">
            <wp:simplePos x="0" y="0"/>
            <wp:positionH relativeFrom="column">
              <wp:posOffset>345440</wp:posOffset>
            </wp:positionH>
            <wp:positionV relativeFrom="paragraph">
              <wp:posOffset>48895</wp:posOffset>
            </wp:positionV>
            <wp:extent cx="4572000" cy="2743200"/>
            <wp:effectExtent l="4445" t="4445" r="14605" b="14605"/>
            <wp:wrapNone/>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1"/>
        <w:rPr>
          <w:rStyle w:val="16"/>
          <w:rFonts w:ascii="黑体" w:hAnsi="黑体" w:eastAsia="黑体"/>
          <w:b w:val="0"/>
        </w:rPr>
      </w:pPr>
      <w:bookmarkStart w:id="44" w:name="_Toc89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6"/>
          <w:rFonts w:hint="eastAsia" w:ascii="黑体" w:hAnsi="黑体" w:eastAsia="黑体"/>
          <w:b w:val="0"/>
        </w:rPr>
        <w:t>般公共预算财政拨款支出决算情况说明</w:t>
      </w:r>
      <w:bookmarkEnd w:id="42"/>
      <w:bookmarkEnd w:id="43"/>
      <w:bookmarkEnd w:id="44"/>
    </w:p>
    <w:p>
      <w:pPr>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2"/>
        <w:rPr>
          <w:rFonts w:ascii="仿宋" w:hAnsi="仿宋" w:eastAsia="仿宋"/>
          <w:b/>
          <w:color w:val="000000"/>
          <w:sz w:val="32"/>
          <w:szCs w:val="32"/>
        </w:rPr>
      </w:pPr>
      <w:bookmarkStart w:id="45" w:name="_Toc15377210"/>
      <w:bookmarkStart w:id="46" w:name="_Toc19471"/>
      <w:r>
        <w:rPr>
          <w:rFonts w:hint="eastAsia" w:ascii="仿宋" w:hAnsi="仿宋" w:eastAsia="仿宋"/>
          <w:b/>
          <w:color w:val="000000"/>
          <w:sz w:val="32"/>
          <w:szCs w:val="32"/>
        </w:rPr>
        <w:t>（一）一般公共预算财政拨款支出决算总体情况</w:t>
      </w:r>
      <w:bookmarkEnd w:id="45"/>
      <w:bookmarkEnd w:id="46"/>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9年一般公共预算财政拨款支出151.68万元，占本年支出合计的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11.03万元，</w:t>
      </w:r>
      <w:r>
        <w:rPr>
          <w:rFonts w:hint="eastAsia" w:ascii="仿宋" w:hAnsi="仿宋" w:eastAsia="仿宋"/>
          <w:color w:val="000000"/>
          <w:sz w:val="32"/>
          <w:szCs w:val="32"/>
          <w:lang w:eastAsia="zh-CN"/>
        </w:rPr>
        <w:t>增长了</w:t>
      </w:r>
      <w:r>
        <w:rPr>
          <w:rFonts w:hint="eastAsia" w:ascii="仿宋" w:hAnsi="仿宋" w:eastAsia="仿宋"/>
          <w:color w:val="000000"/>
          <w:sz w:val="32"/>
          <w:szCs w:val="32"/>
          <w:lang w:val="en-US" w:eastAsia="zh-CN"/>
        </w:rPr>
        <w:t>7.84%</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420" w:firstLineChars="200"/>
        <w:rPr>
          <w:rFonts w:hint="eastAsia" w:ascii="仿宋" w:hAnsi="仿宋" w:eastAsia="仿宋"/>
          <w:color w:val="000000"/>
          <w:sz w:val="32"/>
          <w:szCs w:val="32"/>
          <w:lang w:eastAsia="zh-CN"/>
        </w:rPr>
      </w:pPr>
      <w:r>
        <w:drawing>
          <wp:anchor distT="0" distB="0" distL="114300" distR="114300" simplePos="0" relativeHeight="251662336" behindDoc="1" locked="0" layoutInCell="1" allowOverlap="1">
            <wp:simplePos x="0" y="0"/>
            <wp:positionH relativeFrom="column">
              <wp:posOffset>504190</wp:posOffset>
            </wp:positionH>
            <wp:positionV relativeFrom="paragraph">
              <wp:posOffset>234950</wp:posOffset>
            </wp:positionV>
            <wp:extent cx="4572000" cy="2743200"/>
            <wp:effectExtent l="4445" t="4445" r="14605" b="14605"/>
            <wp:wrapNone/>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2"/>
        <w:rPr>
          <w:rFonts w:ascii="仿宋" w:hAnsi="仿宋" w:eastAsia="仿宋"/>
          <w:b/>
          <w:color w:val="000000"/>
          <w:sz w:val="32"/>
          <w:szCs w:val="32"/>
        </w:rPr>
      </w:pPr>
      <w:bookmarkStart w:id="47" w:name="_Toc15377211"/>
      <w:bookmarkStart w:id="48" w:name="_Toc4384"/>
      <w:r>
        <w:rPr>
          <w:rFonts w:hint="eastAsia" w:ascii="仿宋" w:hAnsi="仿宋" w:eastAsia="仿宋"/>
          <w:b/>
          <w:color w:val="000000"/>
          <w:sz w:val="32"/>
          <w:szCs w:val="32"/>
        </w:rPr>
        <w:t>（二）一般公共预算财政拨款支出决算结构情况</w:t>
      </w:r>
      <w:bookmarkEnd w:id="47"/>
      <w:bookmarkEnd w:id="48"/>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政拨款支出151.68万元，主要用于以下方面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支出114.47万元，占</w:t>
      </w:r>
      <w:r>
        <w:rPr>
          <w:rFonts w:hint="eastAsia" w:ascii="仿宋" w:hAnsi="仿宋" w:eastAsia="仿宋"/>
          <w:color w:val="000000" w:themeColor="text1"/>
          <w:sz w:val="32"/>
          <w:szCs w:val="32"/>
          <w:lang w:val="en-US" w:eastAsia="zh-CN"/>
          <w14:textFill>
            <w14:solidFill>
              <w14:schemeClr w14:val="tx1"/>
            </w14:solidFill>
          </w14:textFill>
        </w:rPr>
        <w:t>75.47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支出19.37万元，占</w:t>
      </w:r>
      <w:r>
        <w:rPr>
          <w:rFonts w:hint="eastAsia" w:ascii="仿宋" w:hAnsi="仿宋" w:eastAsia="仿宋"/>
          <w:color w:val="000000" w:themeColor="text1"/>
          <w:sz w:val="32"/>
          <w:szCs w:val="32"/>
          <w:lang w:val="en-US" w:eastAsia="zh-CN"/>
          <w14:textFill>
            <w14:solidFill>
              <w14:schemeClr w14:val="tx1"/>
            </w14:solidFill>
          </w14:textFill>
        </w:rPr>
        <w:t>12.77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7.31万元，占</w:t>
      </w:r>
      <w:r>
        <w:rPr>
          <w:rFonts w:hint="eastAsia" w:ascii="仿宋" w:hAnsi="仿宋" w:eastAsia="仿宋"/>
          <w:color w:val="000000" w:themeColor="text1"/>
          <w:sz w:val="32"/>
          <w:szCs w:val="32"/>
          <w:lang w:val="en-US" w:eastAsia="zh-CN"/>
          <w14:textFill>
            <w14:solidFill>
              <w14:schemeClr w14:val="tx1"/>
            </w14:solidFill>
          </w14:textFill>
        </w:rPr>
        <w:t>4.82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；住房保障支出10.54万元，占</w:t>
      </w:r>
      <w:r>
        <w:rPr>
          <w:rFonts w:hint="eastAsia" w:ascii="仿宋" w:hAnsi="仿宋" w:eastAsia="仿宋"/>
          <w:color w:val="000000" w:themeColor="text1"/>
          <w:sz w:val="32"/>
          <w:szCs w:val="32"/>
          <w:lang w:val="en-US" w:eastAsia="zh-CN"/>
          <w14:textFill>
            <w14:solidFill>
              <w14:schemeClr w14:val="tx1"/>
            </w14:solidFill>
          </w14:textFill>
        </w:rPr>
        <w:t>6.95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1" locked="0" layoutInCell="1" allowOverlap="1">
            <wp:simplePos x="0" y="0"/>
            <wp:positionH relativeFrom="column">
              <wp:posOffset>514985</wp:posOffset>
            </wp:positionH>
            <wp:positionV relativeFrom="paragraph">
              <wp:posOffset>266700</wp:posOffset>
            </wp:positionV>
            <wp:extent cx="4572000" cy="2743200"/>
            <wp:effectExtent l="4445" t="4445" r="14605" b="14605"/>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outlineLvl w:val="2"/>
        <w:rPr>
          <w:rFonts w:hint="eastAsia" w:ascii="仿宋" w:hAnsi="仿宋" w:eastAsia="仿宋"/>
          <w:color w:val="000000"/>
          <w:sz w:val="32"/>
          <w:szCs w:val="32"/>
        </w:rPr>
      </w:pPr>
      <w:bookmarkStart w:id="49" w:name="_Toc26605"/>
      <w:r>
        <w:rPr>
          <w:rFonts w:hint="eastAsia" w:ascii="仿宋" w:hAnsi="仿宋" w:eastAsia="仿宋"/>
          <w:color w:val="000000"/>
          <w:sz w:val="32"/>
          <w:szCs w:val="32"/>
        </w:rPr>
        <w:t>（图6：一般公共预算财政拨款支出决算结构）</w:t>
      </w:r>
      <w:bookmarkEnd w:id="49"/>
      <w:bookmarkStart w:id="50" w:name="_Toc15377212"/>
    </w:p>
    <w:p>
      <w:pPr>
        <w:spacing w:line="600" w:lineRule="exact"/>
        <w:ind w:firstLine="643" w:firstLineChars="200"/>
        <w:outlineLvl w:val="2"/>
        <w:rPr>
          <w:rFonts w:ascii="仿宋" w:hAnsi="仿宋" w:eastAsia="仿宋"/>
          <w:b/>
          <w:color w:val="000000"/>
          <w:sz w:val="32"/>
          <w:szCs w:val="32"/>
        </w:rPr>
      </w:pPr>
      <w:bookmarkStart w:id="51" w:name="_Toc10999"/>
      <w:r>
        <w:rPr>
          <w:rFonts w:hint="eastAsia" w:ascii="仿宋" w:hAnsi="仿宋" w:eastAsia="仿宋"/>
          <w:b/>
          <w:color w:val="000000"/>
          <w:sz w:val="32"/>
          <w:szCs w:val="32"/>
        </w:rPr>
        <w:t>（三）一般公共预算财政拨款支出决算具体情况</w:t>
      </w:r>
      <w:bookmarkEnd w:id="50"/>
      <w:bookmarkEnd w:id="51"/>
    </w:p>
    <w:p>
      <w:pPr>
        <w:spacing w:line="600" w:lineRule="exact"/>
        <w:ind w:firstLine="643" w:firstLineChars="200"/>
        <w:outlineLvl w:val="2"/>
        <w:rPr>
          <w:rFonts w:ascii="仿宋" w:hAnsi="仿宋" w:eastAsia="仿宋"/>
          <w:color w:val="FF0000"/>
          <w:sz w:val="32"/>
          <w:szCs w:val="32"/>
        </w:rPr>
      </w:pPr>
      <w:bookmarkStart w:id="52" w:name="_Toc15377444"/>
      <w:bookmarkStart w:id="53" w:name="_Toc15378460"/>
      <w:bookmarkStart w:id="54" w:name="_Toc15377213"/>
      <w:bookmarkStart w:id="55" w:name="_Toc7989"/>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sz w:val="32"/>
          <w:szCs w:val="32"/>
        </w:rPr>
        <w:t>一</w:t>
      </w:r>
      <w:r>
        <w:rPr>
          <w:rFonts w:hint="eastAsia" w:ascii="仿宋" w:hAnsi="仿宋" w:eastAsia="仿宋"/>
          <w:b/>
          <w:color w:val="000000" w:themeColor="text1"/>
          <w:sz w:val="32"/>
          <w:szCs w:val="32"/>
          <w14:textFill>
            <w14:solidFill>
              <w14:schemeClr w14:val="tx1"/>
            </w14:solidFill>
          </w14:textFill>
        </w:rPr>
        <w:t>般公共预算支出决算数为151.68万元，完成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52"/>
      <w:bookmarkEnd w:id="53"/>
      <w:bookmarkEnd w:id="54"/>
      <w:bookmarkEnd w:id="55"/>
    </w:p>
    <w:p>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1.</w:t>
      </w:r>
      <w:r>
        <w:rPr>
          <w:rStyle w:val="13"/>
          <w:rFonts w:hint="eastAsia" w:ascii="仿宋" w:hAnsi="仿宋" w:eastAsia="仿宋"/>
          <w:bCs/>
          <w:color w:val="000000"/>
          <w:sz w:val="32"/>
          <w:szCs w:val="32"/>
        </w:rPr>
        <w:t>一般公共服务</w:t>
      </w:r>
      <w:r>
        <w:rPr>
          <w:rStyle w:val="13"/>
          <w:rFonts w:hint="eastAsia" w:ascii="仿宋" w:hAnsi="仿宋" w:eastAsia="仿宋"/>
          <w:bCs/>
          <w:color w:val="000000"/>
          <w:sz w:val="32"/>
          <w:szCs w:val="32"/>
          <w:lang w:val="en-US" w:eastAsia="zh-CN"/>
        </w:rPr>
        <w:t>201</w:t>
      </w:r>
      <w:r>
        <w:rPr>
          <w:rStyle w:val="13"/>
          <w:rFonts w:hint="eastAsia" w:ascii="仿宋" w:hAnsi="仿宋" w:eastAsia="仿宋"/>
          <w:bCs/>
          <w:color w:val="000000"/>
          <w:sz w:val="32"/>
          <w:szCs w:val="32"/>
        </w:rPr>
        <w:t>（类）</w:t>
      </w:r>
      <w:r>
        <w:rPr>
          <w:rStyle w:val="13"/>
          <w:rFonts w:hint="eastAsia" w:ascii="仿宋" w:hAnsi="仿宋" w:eastAsia="仿宋"/>
          <w:bCs/>
          <w:color w:val="000000"/>
          <w:sz w:val="32"/>
          <w:szCs w:val="32"/>
          <w:lang w:val="en-US" w:eastAsia="zh-CN"/>
        </w:rPr>
        <w:t>28</w:t>
      </w:r>
      <w:r>
        <w:rPr>
          <w:rStyle w:val="13"/>
          <w:rFonts w:hint="eastAsia" w:ascii="仿宋" w:hAnsi="仿宋" w:eastAsia="仿宋"/>
          <w:bCs/>
          <w:color w:val="000000"/>
          <w:sz w:val="32"/>
          <w:szCs w:val="32"/>
        </w:rPr>
        <w:t>（款）</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（项）</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支出决算为106.48万元，完成预算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2.</w:t>
      </w:r>
      <w:r>
        <w:rPr>
          <w:rStyle w:val="13"/>
          <w:rFonts w:hint="eastAsia" w:ascii="仿宋" w:hAnsi="仿宋" w:eastAsia="仿宋"/>
          <w:bCs/>
          <w:color w:val="000000"/>
          <w:sz w:val="32"/>
          <w:szCs w:val="32"/>
        </w:rPr>
        <w:t>社会保障和就业</w:t>
      </w:r>
      <w:r>
        <w:rPr>
          <w:rStyle w:val="13"/>
          <w:rFonts w:hint="eastAsia" w:ascii="仿宋" w:hAnsi="仿宋" w:eastAsia="仿宋"/>
          <w:bCs/>
          <w:color w:val="000000"/>
          <w:sz w:val="32"/>
          <w:szCs w:val="32"/>
          <w:lang w:val="en-US" w:eastAsia="zh-CN"/>
        </w:rPr>
        <w:t>208</w:t>
      </w:r>
      <w:r>
        <w:rPr>
          <w:rStyle w:val="13"/>
          <w:rFonts w:hint="eastAsia" w:ascii="仿宋" w:hAnsi="仿宋" w:eastAsia="仿宋"/>
          <w:bCs/>
          <w:color w:val="000000"/>
          <w:sz w:val="32"/>
          <w:szCs w:val="32"/>
        </w:rPr>
        <w:t>（类）</w:t>
      </w:r>
      <w:r>
        <w:rPr>
          <w:rStyle w:val="13"/>
          <w:rFonts w:hint="eastAsia" w:ascii="仿宋" w:hAnsi="仿宋" w:eastAsia="仿宋"/>
          <w:bCs/>
          <w:color w:val="000000"/>
          <w:sz w:val="32"/>
          <w:szCs w:val="32"/>
          <w:lang w:val="en-US" w:eastAsia="zh-CN"/>
        </w:rPr>
        <w:t>05</w:t>
      </w:r>
      <w:r>
        <w:rPr>
          <w:rStyle w:val="13"/>
          <w:rFonts w:hint="eastAsia" w:ascii="仿宋" w:hAnsi="仿宋" w:eastAsia="仿宋"/>
          <w:bCs/>
          <w:color w:val="000000"/>
          <w:sz w:val="32"/>
          <w:szCs w:val="32"/>
        </w:rPr>
        <w:t>（款）</w:t>
      </w:r>
      <w:r>
        <w:rPr>
          <w:rStyle w:val="13"/>
          <w:rFonts w:hint="eastAsia" w:ascii="仿宋" w:hAnsi="仿宋" w:eastAsia="仿宋"/>
          <w:bCs/>
          <w:color w:val="000000"/>
          <w:sz w:val="32"/>
          <w:szCs w:val="32"/>
          <w:lang w:val="en-US" w:eastAsia="zh-CN"/>
        </w:rPr>
        <w:t>05</w:t>
      </w:r>
      <w:r>
        <w:rPr>
          <w:rStyle w:val="13"/>
          <w:rFonts w:hint="eastAsia" w:ascii="仿宋" w:hAnsi="仿宋" w:eastAsia="仿宋"/>
          <w:bCs/>
          <w:color w:val="000000"/>
          <w:sz w:val="32"/>
          <w:szCs w:val="32"/>
        </w:rPr>
        <w:t>（项）机关事业单位基本养老保险缴费支出</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13.25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Cs/>
          <w:color w:val="000000"/>
          <w:sz w:val="32"/>
          <w:szCs w:val="32"/>
          <w:lang w:val="en-US" w:eastAsia="zh-CN"/>
        </w:rPr>
        <w:t>208</w:t>
      </w:r>
      <w:r>
        <w:rPr>
          <w:rStyle w:val="13"/>
          <w:rFonts w:hint="eastAsia" w:ascii="仿宋" w:hAnsi="仿宋" w:eastAsia="仿宋"/>
          <w:bCs/>
          <w:color w:val="000000"/>
          <w:sz w:val="32"/>
          <w:szCs w:val="32"/>
        </w:rPr>
        <w:t>（类）</w:t>
      </w:r>
      <w:r>
        <w:rPr>
          <w:rStyle w:val="13"/>
          <w:rFonts w:hint="eastAsia" w:ascii="仿宋" w:hAnsi="仿宋" w:eastAsia="仿宋"/>
          <w:bCs/>
          <w:color w:val="000000"/>
          <w:sz w:val="32"/>
          <w:szCs w:val="32"/>
          <w:lang w:val="en-US" w:eastAsia="zh-CN"/>
        </w:rPr>
        <w:t>05</w:t>
      </w:r>
      <w:r>
        <w:rPr>
          <w:rStyle w:val="13"/>
          <w:rFonts w:hint="eastAsia" w:ascii="仿宋" w:hAnsi="仿宋" w:eastAsia="仿宋"/>
          <w:bCs/>
          <w:color w:val="000000"/>
          <w:sz w:val="32"/>
          <w:szCs w:val="32"/>
        </w:rPr>
        <w:t>（款）</w:t>
      </w:r>
      <w:r>
        <w:rPr>
          <w:rStyle w:val="13"/>
          <w:rFonts w:hint="eastAsia" w:ascii="仿宋" w:hAnsi="仿宋" w:eastAsia="仿宋"/>
          <w:bCs/>
          <w:color w:val="000000"/>
          <w:sz w:val="32"/>
          <w:szCs w:val="32"/>
          <w:lang w:val="en-US" w:eastAsia="zh-CN"/>
        </w:rPr>
        <w:t>06</w:t>
      </w:r>
      <w:r>
        <w:rPr>
          <w:rStyle w:val="13"/>
          <w:rFonts w:hint="eastAsia" w:ascii="仿宋" w:hAnsi="仿宋" w:eastAsia="仿宋"/>
          <w:bCs/>
          <w:color w:val="000000"/>
          <w:sz w:val="32"/>
          <w:szCs w:val="32"/>
        </w:rPr>
        <w:t>（项）机关事业单位职业年金缴费支出</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6.12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6.</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val="en-US" w:eastAsia="zh-CN"/>
          <w14:textFill>
            <w14:solidFill>
              <w14:schemeClr w14:val="tx1"/>
            </w14:solidFill>
          </w14:textFill>
        </w:rPr>
        <w:t>210</w:t>
      </w:r>
      <w:r>
        <w:rPr>
          <w:rStyle w:val="13"/>
          <w:rFonts w:hint="eastAsia" w:ascii="仿宋" w:hAnsi="仿宋" w:eastAsia="仿宋"/>
          <w:bCs/>
          <w:color w:val="000000"/>
          <w:sz w:val="32"/>
          <w:szCs w:val="32"/>
        </w:rPr>
        <w:t>（类）</w:t>
      </w:r>
      <w:r>
        <w:rPr>
          <w:rStyle w:val="13"/>
          <w:rFonts w:hint="eastAsia" w:ascii="仿宋" w:hAnsi="仿宋" w:eastAsia="仿宋"/>
          <w:bCs/>
          <w:color w:val="000000"/>
          <w:sz w:val="32"/>
          <w:szCs w:val="32"/>
          <w:lang w:val="en-US" w:eastAsia="zh-CN"/>
        </w:rPr>
        <w:t>11</w:t>
      </w:r>
      <w:r>
        <w:rPr>
          <w:rStyle w:val="13"/>
          <w:rFonts w:hint="eastAsia" w:ascii="仿宋" w:hAnsi="仿宋" w:eastAsia="仿宋"/>
          <w:bCs/>
          <w:color w:val="000000"/>
          <w:sz w:val="32"/>
          <w:szCs w:val="32"/>
        </w:rPr>
        <w:t>（款）</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（项）行政单位医疗</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支出决算为6.13万元，完成预算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Cs/>
          <w:color w:val="000000"/>
          <w:sz w:val="32"/>
          <w:szCs w:val="32"/>
          <w:lang w:val="en-US" w:eastAsia="zh-CN"/>
        </w:rPr>
        <w:t>210（类）11（款）03（项）</w:t>
      </w:r>
      <w:r>
        <w:rPr>
          <w:rStyle w:val="13"/>
          <w:rFonts w:hint="eastAsia" w:ascii="仿宋" w:hAnsi="仿宋" w:eastAsia="仿宋"/>
          <w:b w:val="0"/>
          <w:bCs/>
          <w:color w:val="000000"/>
          <w:sz w:val="32"/>
          <w:szCs w:val="32"/>
        </w:rPr>
        <w:t>公务员医疗补助为1.18万元，完成预算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16"/>
        </w:rPr>
      </w:pPr>
      <w:bookmarkStart w:id="56" w:name="_Toc15396608"/>
      <w:bookmarkStart w:id="57" w:name="_Toc15377214"/>
      <w:bookmarkStart w:id="58" w:name="_Toc3927"/>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6"/>
          <w:rFonts w:hint="eastAsia" w:ascii="黑体" w:hAnsi="黑体" w:eastAsia="黑体"/>
          <w:b w:val="0"/>
        </w:rPr>
        <w:t>般公共预算财政拨款基本支出决算情况说明</w:t>
      </w:r>
      <w:bookmarkEnd w:id="56"/>
      <w:bookmarkEnd w:id="57"/>
      <w:bookmarkEnd w:id="58"/>
      <w:r>
        <w:rPr>
          <w:rStyle w:val="1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9年一般公共预算财政拨款基本支出151.68万元，其中：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133.79</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17.89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6"/>
          <w:rFonts w:ascii="黑体" w:hAnsi="黑体" w:eastAsia="黑体"/>
          <w:b w:val="0"/>
        </w:rPr>
      </w:pPr>
      <w:bookmarkStart w:id="59" w:name="_Toc15396609"/>
      <w:bookmarkStart w:id="60" w:name="_Toc15377215"/>
      <w:bookmarkStart w:id="61" w:name="_Toc2449"/>
      <w:r>
        <w:rPr>
          <w:rFonts w:hint="eastAsia" w:ascii="黑体" w:eastAsia="黑体"/>
          <w:color w:val="000000"/>
          <w:sz w:val="32"/>
          <w:szCs w:val="32"/>
        </w:rPr>
        <w:t>七、</w:t>
      </w:r>
      <w:r>
        <w:rPr>
          <w:rStyle w:val="16"/>
          <w:rFonts w:hint="eastAsia" w:ascii="黑体" w:hAnsi="黑体" w:eastAsia="黑体"/>
        </w:rPr>
        <w:t>“</w:t>
      </w:r>
      <w:r>
        <w:rPr>
          <w:rStyle w:val="16"/>
          <w:rFonts w:hint="eastAsia" w:ascii="黑体" w:hAnsi="黑体" w:eastAsia="黑体"/>
          <w:b w:val="0"/>
        </w:rPr>
        <w:t>三公”经费财政拨款支出决算情况说明</w:t>
      </w:r>
      <w:bookmarkEnd w:id="59"/>
      <w:bookmarkEnd w:id="60"/>
      <w:bookmarkEnd w:id="61"/>
    </w:p>
    <w:p>
      <w:pPr>
        <w:spacing w:line="600" w:lineRule="exact"/>
        <w:ind w:firstLine="640"/>
        <w:outlineLvl w:val="2"/>
        <w:rPr>
          <w:rFonts w:ascii="仿宋" w:hAnsi="仿宋" w:eastAsia="仿宋"/>
          <w:b/>
          <w:color w:val="000000"/>
          <w:sz w:val="32"/>
          <w:szCs w:val="32"/>
        </w:rPr>
      </w:pPr>
      <w:bookmarkStart w:id="62" w:name="_Toc15377216"/>
      <w:bookmarkStart w:id="63" w:name="_Toc26482"/>
      <w:r>
        <w:rPr>
          <w:rFonts w:hint="eastAsia" w:ascii="仿宋" w:hAnsi="仿宋" w:eastAsia="仿宋"/>
          <w:b/>
          <w:color w:val="000000"/>
          <w:sz w:val="32"/>
          <w:szCs w:val="32"/>
        </w:rPr>
        <w:t>（一）“三公”经费财政拨款支出决算总体情况说明</w:t>
      </w:r>
      <w:bookmarkEnd w:id="62"/>
      <w:bookmarkEnd w:id="6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9年“三公”经费财政拨款支出决算为1.05万元，完成预算</w:t>
      </w:r>
      <w:r>
        <w:rPr>
          <w:rStyle w:val="13"/>
          <w:rFonts w:hint="eastAsia" w:ascii="仿宋" w:hAnsi="仿宋" w:eastAsia="仿宋"/>
          <w:b w:val="0"/>
          <w:bCs/>
          <w:color w:val="000000"/>
          <w:sz w:val="32"/>
          <w:szCs w:val="32"/>
          <w:lang w:val="en-US" w:eastAsia="zh-CN"/>
        </w:rPr>
        <w:t>68.18</w:t>
      </w:r>
      <w:r>
        <w:rPr>
          <w:rStyle w:val="13"/>
          <w:rFonts w:ascii="仿宋" w:hAnsi="仿宋" w:eastAsia="仿宋"/>
          <w:b w:val="0"/>
          <w:bCs/>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64" w:name="_Toc15377217"/>
      <w:bookmarkStart w:id="65" w:name="_Toc8915"/>
      <w:r>
        <w:rPr>
          <w:rFonts w:hint="eastAsia" w:ascii="仿宋" w:hAnsi="仿宋" w:eastAsia="仿宋"/>
          <w:b/>
          <w:color w:val="000000"/>
          <w:sz w:val="32"/>
          <w:szCs w:val="32"/>
        </w:rPr>
        <w:t>（二）“三公”经费财政拨款支出决算具体情况说明</w:t>
      </w:r>
      <w:bookmarkEnd w:id="64"/>
      <w:bookmarkEnd w:id="6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1.05</w:t>
      </w:r>
      <w:r>
        <w:rPr>
          <w:rFonts w:hint="eastAsia" w:ascii="仿宋" w:hAnsi="仿宋" w:eastAsia="仿宋"/>
          <w:color w:val="000000"/>
          <w:sz w:val="32"/>
          <w:szCs w:val="32"/>
        </w:rPr>
        <w:t>万元，占</w:t>
      </w:r>
      <w:r>
        <w:rPr>
          <w:rStyle w:val="13"/>
          <w:rFonts w:hint="eastAsia" w:ascii="仿宋" w:hAnsi="仿宋" w:eastAsia="仿宋"/>
          <w:b w:val="0"/>
          <w:bCs/>
          <w:color w:val="000000"/>
          <w:sz w:val="32"/>
          <w:szCs w:val="32"/>
          <w:lang w:val="en-US" w:eastAsia="zh-CN"/>
        </w:rPr>
        <w:t>68.18</w:t>
      </w:r>
      <w:r>
        <w:rPr>
          <w:rStyle w:val="13"/>
          <w:rFonts w:ascii="仿宋" w:hAnsi="仿宋" w:eastAsia="仿宋"/>
          <w:b w:val="0"/>
          <w:bCs/>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drawing>
          <wp:anchor distT="0" distB="0" distL="114300" distR="114300" simplePos="0" relativeHeight="251664384" behindDoc="1" locked="0" layoutInCell="1" allowOverlap="1">
            <wp:simplePos x="0" y="0"/>
            <wp:positionH relativeFrom="column">
              <wp:posOffset>398780</wp:posOffset>
            </wp:positionH>
            <wp:positionV relativeFrom="paragraph">
              <wp:posOffset>35560</wp:posOffset>
            </wp:positionV>
            <wp:extent cx="4572000" cy="2743200"/>
            <wp:effectExtent l="4445" t="4445" r="14605" b="1460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不变</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未安排因公出国事项。</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1.05</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68.18</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1.97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65.23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严格压缩一般性支出，厉行节约。</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1.05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脱贫攻坚</w:t>
      </w:r>
      <w:r>
        <w:rPr>
          <w:rFonts w:hint="eastAsia" w:ascii="仿宋_GB2312" w:eastAsia="仿宋_GB2312"/>
          <w:color w:val="000000"/>
          <w:sz w:val="32"/>
          <w:szCs w:val="32"/>
        </w:rPr>
        <w:t>等所需的公务用车燃料费、维修费、过路过桥费、保险费等支出。</w:t>
      </w:r>
    </w:p>
    <w:p>
      <w:pPr>
        <w:spacing w:line="600" w:lineRule="exact"/>
        <w:ind w:firstLine="643" w:firstLineChars="20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不变</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严格压缩一般性支出，厉行节约。</w:t>
      </w:r>
      <w:bookmarkStart w:id="66" w:name="_Toc15396610"/>
      <w:bookmarkStart w:id="67" w:name="_Toc15377218"/>
    </w:p>
    <w:p>
      <w:pPr>
        <w:spacing w:line="600" w:lineRule="exact"/>
        <w:ind w:firstLine="640"/>
        <w:outlineLvl w:val="1"/>
        <w:rPr>
          <w:rStyle w:val="16"/>
          <w:rFonts w:ascii="黑体" w:hAnsi="黑体" w:eastAsia="黑体"/>
        </w:rPr>
      </w:pPr>
      <w:bookmarkStart w:id="68" w:name="_Toc405"/>
      <w:r>
        <w:rPr>
          <w:rFonts w:hint="eastAsia" w:ascii="黑体" w:eastAsia="黑体"/>
          <w:color w:val="000000"/>
          <w:sz w:val="32"/>
          <w:szCs w:val="32"/>
        </w:rPr>
        <w:t>八、</w:t>
      </w:r>
      <w:r>
        <w:rPr>
          <w:rStyle w:val="16"/>
          <w:rFonts w:hint="eastAsia" w:ascii="黑体" w:hAnsi="黑体" w:eastAsia="黑体"/>
          <w:b w:val="0"/>
        </w:rPr>
        <w:t>政府性基金预算支出决算情况说明</w:t>
      </w:r>
      <w:bookmarkEnd w:id="66"/>
      <w:bookmarkEnd w:id="67"/>
      <w:bookmarkEnd w:id="6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16"/>
          <w:rFonts w:ascii="黑体" w:hAnsi="黑体" w:eastAsia="黑体"/>
          <w:b w:val="0"/>
        </w:rPr>
      </w:pPr>
      <w:bookmarkStart w:id="69" w:name="_Toc17101"/>
      <w:bookmarkStart w:id="70" w:name="_Toc15396611"/>
      <w:bookmarkStart w:id="71" w:name="_Toc15377219"/>
      <w:r>
        <w:rPr>
          <w:rStyle w:val="16"/>
          <w:rFonts w:hint="eastAsia" w:ascii="黑体" w:hAnsi="黑体" w:eastAsia="黑体"/>
          <w:b w:val="0"/>
        </w:rPr>
        <w:t>国有资本经营预算支出决算情况说明</w:t>
      </w:r>
      <w:bookmarkEnd w:id="69"/>
      <w:bookmarkEnd w:id="70"/>
      <w:bookmarkEnd w:id="7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16"/>
          <w:rFonts w:ascii="黑体" w:hAnsi="黑体" w:eastAsia="黑体"/>
        </w:rPr>
      </w:pPr>
      <w:bookmarkStart w:id="72" w:name="_Toc15396612"/>
      <w:bookmarkStart w:id="73" w:name="_Toc15377221"/>
      <w:bookmarkStart w:id="74" w:name="_Toc30237"/>
      <w:r>
        <w:rPr>
          <w:rFonts w:hint="eastAsia" w:ascii="黑体" w:hAnsi="黑体" w:eastAsia="黑体"/>
          <w:color w:val="000000"/>
          <w:sz w:val="32"/>
          <w:szCs w:val="32"/>
        </w:rPr>
        <w:t>十</w:t>
      </w:r>
      <w:r>
        <w:rPr>
          <w:rStyle w:val="16"/>
          <w:rFonts w:hint="eastAsia" w:ascii="黑体" w:hAnsi="黑体" w:eastAsia="黑体"/>
        </w:rPr>
        <w:t>、</w:t>
      </w:r>
      <w:r>
        <w:rPr>
          <w:rStyle w:val="16"/>
          <w:rFonts w:hint="eastAsia" w:ascii="黑体" w:hAnsi="黑体" w:eastAsia="黑体"/>
          <w:b w:val="0"/>
        </w:rPr>
        <w:t>其他重要事项的情况说明</w:t>
      </w:r>
      <w:bookmarkEnd w:id="72"/>
      <w:bookmarkEnd w:id="73"/>
      <w:bookmarkEnd w:id="74"/>
    </w:p>
    <w:p>
      <w:pPr>
        <w:spacing w:line="600" w:lineRule="exact"/>
        <w:ind w:firstLine="643" w:firstLineChars="200"/>
        <w:outlineLvl w:val="2"/>
        <w:rPr>
          <w:rFonts w:ascii="仿宋" w:hAnsi="仿宋" w:eastAsia="仿宋"/>
          <w:color w:val="000000"/>
          <w:sz w:val="32"/>
          <w:szCs w:val="32"/>
        </w:rPr>
      </w:pPr>
      <w:bookmarkStart w:id="75" w:name="_Toc15377222"/>
      <w:bookmarkStart w:id="76" w:name="_Toc2291"/>
      <w:r>
        <w:rPr>
          <w:rFonts w:hint="eastAsia" w:ascii="仿宋" w:hAnsi="仿宋" w:eastAsia="仿宋"/>
          <w:b/>
          <w:color w:val="000000"/>
          <w:sz w:val="32"/>
          <w:szCs w:val="32"/>
        </w:rPr>
        <w:t>（一）机关运行经费支出情况</w:t>
      </w:r>
      <w:bookmarkEnd w:id="75"/>
      <w:bookmarkEnd w:id="76"/>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工商业联合会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17.89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9.17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105.12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新增专项经费</w:t>
      </w:r>
      <w:r>
        <w:rPr>
          <w:rFonts w:hint="eastAsia" w:ascii="仿宋_GB2312" w:eastAsia="仿宋_GB2312"/>
          <w:color w:val="000000" w:themeColor="text1"/>
          <w:sz w:val="32"/>
          <w:szCs w:val="32"/>
          <w14:textFill>
            <w14:solidFill>
              <w14:schemeClr w14:val="tx1"/>
            </w14:solidFill>
          </w14:textFill>
        </w:rPr>
        <w:t>8万元</w:t>
      </w:r>
      <w:r>
        <w:rPr>
          <w:rFonts w:hint="eastAsia" w:ascii="仿宋_GB2312" w:eastAsia="仿宋_GB2312"/>
          <w:color w:val="000000" w:themeColor="text1"/>
          <w:sz w:val="32"/>
          <w:szCs w:val="32"/>
          <w:lang w:eastAsia="zh-CN"/>
          <w14:textFill>
            <w14:solidFill>
              <w14:schemeClr w14:val="tx1"/>
            </w14:solidFill>
          </w14:textFill>
        </w:rPr>
        <w:t>用于</w:t>
      </w:r>
      <w:r>
        <w:rPr>
          <w:rFonts w:hint="eastAsia" w:ascii="仿宋_GB2312" w:eastAsia="仿宋_GB2312"/>
          <w:color w:val="000000" w:themeColor="text1"/>
          <w:sz w:val="32"/>
          <w:szCs w:val="32"/>
          <w14:textFill>
            <w14:solidFill>
              <w14:schemeClr w14:val="tx1"/>
            </w14:solidFill>
          </w14:textFill>
        </w:rPr>
        <w:t>红原商会换届</w:t>
      </w:r>
      <w:r>
        <w:rPr>
          <w:rFonts w:hint="eastAsia" w:ascii="仿宋_GB2312" w:eastAsia="仿宋_GB2312"/>
          <w:color w:val="000000" w:themeColor="text1"/>
          <w:sz w:val="32"/>
          <w:szCs w:val="32"/>
          <w:lang w:eastAsia="zh-CN"/>
          <w14:textFill>
            <w14:solidFill>
              <w14:schemeClr w14:val="tx1"/>
            </w14:solidFill>
          </w14:textFill>
        </w:rPr>
        <w:t>工作。</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7" w:name="_Toc15377223"/>
      <w:bookmarkStart w:id="78" w:name="_Toc21776"/>
      <w:r>
        <w:rPr>
          <w:rFonts w:hint="eastAsia" w:ascii="仿宋" w:hAnsi="仿宋" w:eastAsia="仿宋"/>
          <w:b/>
          <w:color w:val="000000"/>
          <w:sz w:val="32"/>
          <w:szCs w:val="32"/>
        </w:rPr>
        <w:t>（二）政府采购支出情况</w:t>
      </w:r>
      <w:bookmarkEnd w:id="77"/>
      <w:bookmarkEnd w:id="7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工商业联合会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9" w:name="_Toc15377224"/>
      <w:bookmarkStart w:id="80" w:name="_Toc526"/>
      <w:r>
        <w:rPr>
          <w:rFonts w:hint="eastAsia" w:ascii="仿宋" w:hAnsi="仿宋" w:eastAsia="仿宋"/>
          <w:b/>
          <w:color w:val="000000"/>
          <w:sz w:val="32"/>
          <w:szCs w:val="32"/>
        </w:rPr>
        <w:t>（三）国有资产占有使用情况</w:t>
      </w:r>
      <w:bookmarkEnd w:id="79"/>
      <w:bookmarkEnd w:id="8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工商业联合会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1" w:name="_Toc10626"/>
      <w:r>
        <w:rPr>
          <w:rFonts w:hint="eastAsia" w:ascii="仿宋" w:hAnsi="仿宋" w:eastAsia="仿宋"/>
          <w:b/>
          <w:color w:val="000000"/>
          <w:sz w:val="32"/>
          <w:szCs w:val="32"/>
        </w:rPr>
        <w:t>（四）预算绩效管理情况。</w:t>
      </w:r>
      <w:bookmarkEnd w:id="81"/>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光彩事业经费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numPr>
          <w:ilvl w:val="0"/>
          <w:numId w:val="0"/>
        </w:num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，评价结果较好，较好的完成县委县政府各项工作任务</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该项目资金主要用于行政运行以外的工商联事业发展支出及扶贫和帮助社会弱势群体的支出。</w:t>
      </w: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灌溉事业经费</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红原县工商业联合会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增强</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eastAsia="宋体" w:cs="宋体"/>
                <w:i w:val="0"/>
                <w:caps w:val="0"/>
                <w:color w:val="333333"/>
                <w:spacing w:val="0"/>
                <w:sz w:val="21"/>
                <w:szCs w:val="21"/>
                <w:shd w:val="clear" w:fill="FFFFFF"/>
              </w:rPr>
              <w:t>组织非公有制经济人士以及社会各界力量，参与“光彩事业”，走共同富裕道路。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eastAsia="宋体" w:cs="宋体"/>
                <w:i w:val="0"/>
                <w:caps w:val="0"/>
                <w:color w:val="333333"/>
                <w:spacing w:val="0"/>
                <w:sz w:val="21"/>
                <w:szCs w:val="21"/>
                <w:shd w:val="clear" w:fill="FFFFFF"/>
              </w:rPr>
              <w:t>组织非公有制经济人士以及社会各界力量，参与“光彩事业”，走共同富裕道路。</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助力精准脱贫</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助力精准脱贫</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firstLine="640" w:firstLineChars="200"/>
        <w:rPr>
          <w:rFonts w:ascii="仿宋_GB2312" w:hAnsi="仿宋_GB2312" w:eastAsia="仿宋_GB2312" w:cs="仿宋_GB2312"/>
          <w:sz w:val="32"/>
          <w:szCs w:val="32"/>
        </w:rPr>
      </w:pPr>
    </w:p>
    <w:p>
      <w:pPr>
        <w:pStyle w:val="6"/>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红原县工商业联合会</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光彩事业经费</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红原县工商业联合会光彩事业经费</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5"/>
          <w:rFonts w:ascii="黑体" w:hAnsi="黑体" w:eastAsia="黑体"/>
          <w:b w:val="0"/>
        </w:rPr>
      </w:pPr>
      <w:bookmarkStart w:id="82" w:name="_Toc16522"/>
      <w:bookmarkStart w:id="83" w:name="_Toc15377225"/>
      <w:bookmarkStart w:id="84" w:name="_Toc15396613"/>
      <w:r>
        <w:rPr>
          <w:rFonts w:hint="eastAsia" w:ascii="黑体" w:hAnsi="黑体" w:eastAsia="黑体"/>
          <w:color w:val="000000"/>
          <w:sz w:val="44"/>
          <w:szCs w:val="44"/>
        </w:rPr>
        <w:t>名</w:t>
      </w:r>
      <w:r>
        <w:rPr>
          <w:rStyle w:val="15"/>
          <w:rFonts w:hint="eastAsia" w:ascii="黑体" w:hAnsi="黑体" w:eastAsia="黑体"/>
          <w:b w:val="0"/>
        </w:rPr>
        <w:t>词解释</w:t>
      </w:r>
      <w:bookmarkEnd w:id="82"/>
      <w:bookmarkEnd w:id="83"/>
      <w:bookmarkEnd w:id="84"/>
    </w:p>
    <w:p>
      <w:pPr>
        <w:spacing w:line="600" w:lineRule="exact"/>
        <w:jc w:val="left"/>
        <w:rPr>
          <w:rFonts w:ascii="宋体"/>
          <w:b/>
          <w:color w:val="000000"/>
          <w:sz w:val="44"/>
          <w:szCs w:val="44"/>
        </w:rPr>
      </w:pPr>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绵阳工商联拨入光彩事业经费</w:t>
      </w:r>
      <w:r>
        <w:rPr>
          <w:rFonts w:hint="eastAsia" w:ascii="仿宋_GB2312" w:eastAsia="仿宋_GB2312"/>
          <w:sz w:val="32"/>
          <w:szCs w:val="32"/>
        </w:rPr>
        <w:t>等。</w:t>
      </w:r>
      <w:r>
        <w:rPr>
          <w:rFonts w:ascii="仿宋_GB2312" w:eastAsia="仿宋_GB2312"/>
          <w:sz w:val="32"/>
          <w:szCs w:val="32"/>
        </w:rPr>
        <w:t xml:space="preserve"> </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2012801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工商联行政运行，反映人员经费与日常公用经费的支出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2012899指其他民主党派及工商联事务支出，反映县光彩事业活动的支出。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 w:hAnsi="仿宋" w:eastAsia="仿宋"/>
          <w:b/>
          <w:color w:val="000000"/>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spacing w:line="600" w:lineRule="exact"/>
        <w:jc w:val="both"/>
        <w:outlineLvl w:val="0"/>
        <w:rPr>
          <w:rStyle w:val="15"/>
          <w:rFonts w:ascii="黑体" w:hAnsi="黑体" w:eastAsia="黑体"/>
          <w:b w:val="0"/>
        </w:rPr>
      </w:pPr>
      <w:bookmarkStart w:id="85" w:name="_Toc18740"/>
      <w:bookmarkStart w:id="86" w:name="_Toc15396614"/>
      <w:bookmarkStart w:id="87" w:name="_Toc15377226"/>
      <w:r>
        <w:rPr>
          <w:rFonts w:hint="eastAsia" w:ascii="黑体" w:hAnsi="黑体" w:eastAsia="黑体"/>
          <w:color w:val="000000"/>
          <w:sz w:val="44"/>
          <w:szCs w:val="44"/>
        </w:rPr>
        <w:t>第</w:t>
      </w:r>
      <w:r>
        <w:rPr>
          <w:rStyle w:val="15"/>
          <w:rFonts w:hint="eastAsia" w:ascii="黑体" w:hAnsi="黑体" w:eastAsia="黑体"/>
          <w:b w:val="0"/>
        </w:rPr>
        <w:t>四部分 附件</w:t>
      </w:r>
      <w:bookmarkEnd w:id="85"/>
      <w:bookmarkEnd w:id="86"/>
    </w:p>
    <w:p>
      <w:pPr>
        <w:spacing w:line="600" w:lineRule="exact"/>
        <w:jc w:val="left"/>
        <w:outlineLvl w:val="0"/>
        <w:rPr>
          <w:rFonts w:ascii="方正小标宋简体" w:hAnsi="方正小标宋简体" w:eastAsia="方正小标宋简体" w:cs="方正小标宋简体"/>
          <w:sz w:val="32"/>
          <w:szCs w:val="32"/>
        </w:rPr>
      </w:pPr>
      <w:bookmarkStart w:id="88" w:name="_Toc9250"/>
      <w:r>
        <w:rPr>
          <w:rFonts w:hint="eastAsia" w:ascii="黑体" w:hAnsi="黑体" w:eastAsia="黑体" w:cs="黑体"/>
          <w:sz w:val="32"/>
          <w:szCs w:val="32"/>
        </w:rPr>
        <w:t>附件1</w:t>
      </w:r>
      <w:bookmarkEnd w:id="88"/>
    </w:p>
    <w:p>
      <w:pPr>
        <w:spacing w:line="580" w:lineRule="exact"/>
        <w:jc w:val="center"/>
        <w:rPr>
          <w:rFonts w:ascii="方正小标宋简体" w:hAnsi="方正小标宋简体" w:eastAsia="方正小标宋简体" w:cs="方正小标宋简体"/>
          <w:sz w:val="44"/>
          <w:szCs w:val="44"/>
        </w:rPr>
      </w:pPr>
    </w:p>
    <w:p>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sz w:val="48"/>
          <w:szCs w:val="48"/>
          <w:lang w:eastAsia="zh-CN"/>
        </w:rPr>
      </w:pPr>
      <w:bookmarkStart w:id="89" w:name="_Toc15396617"/>
      <w:r>
        <w:rPr>
          <w:rFonts w:hint="eastAsia" w:ascii="仿宋_GB2312" w:hAnsi="仿宋_GB2312" w:eastAsia="仿宋_GB2312" w:cs="仿宋_GB2312"/>
          <w:sz w:val="48"/>
          <w:szCs w:val="48"/>
          <w:lang w:eastAsia="zh-CN"/>
        </w:rPr>
        <w:t>红原县工商业联合会</w:t>
      </w: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r>
        <w:rPr>
          <w:rFonts w:hint="eastAsia" w:ascii="仿宋_GB2312" w:hAnsi="仿宋_GB2312" w:eastAsia="仿宋_GB2312" w:cs="仿宋_GB2312"/>
          <w:sz w:val="48"/>
          <w:szCs w:val="48"/>
        </w:rPr>
        <w:t>201</w:t>
      </w:r>
      <w:r>
        <w:rPr>
          <w:rFonts w:hint="eastAsia" w:ascii="仿宋_GB2312" w:hAnsi="仿宋_GB2312" w:eastAsia="仿宋_GB2312" w:cs="仿宋_GB2312"/>
          <w:sz w:val="48"/>
          <w:szCs w:val="48"/>
          <w:lang w:val="en-US" w:eastAsia="zh-CN"/>
        </w:rPr>
        <w:t>9</w:t>
      </w:r>
      <w:r>
        <w:rPr>
          <w:rFonts w:hint="eastAsia" w:ascii="仿宋_GB2312" w:hAnsi="仿宋_GB2312" w:eastAsia="仿宋_GB2312" w:cs="仿宋_GB2312"/>
          <w:sz w:val="48"/>
          <w:szCs w:val="48"/>
        </w:rPr>
        <w:t>年部门整体支出绩效评价报告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b/>
          <w:bCs/>
          <w:color w:val="000000"/>
          <w:kern w:val="0"/>
          <w:sz w:val="32"/>
          <w:szCs w:val="24"/>
          <w:lang w:val="zh-CN" w:eastAsia="zh-CN" w:bidi="ar"/>
        </w:rPr>
      </w:pPr>
      <w:r>
        <w:rPr>
          <w:rFonts w:hint="eastAsia" w:ascii="仿宋_GB2312" w:hAnsi="宋体" w:eastAsia="仿宋_GB2312" w:cs="宋体"/>
          <w:b/>
          <w:bCs/>
          <w:color w:val="000000"/>
          <w:kern w:val="0"/>
          <w:sz w:val="32"/>
          <w:szCs w:val="24"/>
          <w:lang w:val="zh-CN" w:eastAsia="zh-CN" w:bidi="ar"/>
        </w:rPr>
        <w:t>（一）机构组成</w:t>
      </w:r>
    </w:p>
    <w:p>
      <w:pPr>
        <w:keepNext w:val="0"/>
        <w:keepLines w:val="0"/>
        <w:pageBreakBefore w:val="0"/>
        <w:widowControl w:val="0"/>
        <w:kinsoku/>
        <w:wordWrap/>
        <w:overflowPunct/>
        <w:topLinePunct w:val="0"/>
        <w:autoSpaceDE/>
        <w:autoSpaceDN/>
        <w:bidi w:val="0"/>
        <w:spacing w:line="540" w:lineRule="exact"/>
        <w:ind w:right="0" w:rightChars="0" w:firstLine="640" w:firstLineChars="200"/>
        <w:jc w:val="left"/>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val="en-US" w:eastAsia="zh-CN"/>
        </w:rPr>
        <w:t>。</w:t>
      </w:r>
    </w:p>
    <w:p>
      <w:pPr>
        <w:keepNext w:val="0"/>
        <w:keepLines w:val="0"/>
        <w:widowControl/>
        <w:numPr>
          <w:ilvl w:val="0"/>
          <w:numId w:val="4"/>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numPr>
          <w:ilvl w:val="0"/>
          <w:numId w:val="0"/>
        </w:num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FFFFF"/>
          <w:lang w:val="en-US" w:eastAsia="zh-CN"/>
        </w:rPr>
        <w:t>1、</w:t>
      </w:r>
      <w:r>
        <w:rPr>
          <w:rFonts w:hint="eastAsia" w:ascii="仿宋_GB2312" w:hAnsi="仿宋_GB2312" w:eastAsia="仿宋_GB2312" w:cs="仿宋_GB2312"/>
          <w:color w:val="333333"/>
          <w:kern w:val="0"/>
          <w:sz w:val="32"/>
          <w:szCs w:val="32"/>
          <w:shd w:val="clear" w:color="auto" w:fill="FFFFFF"/>
        </w:rPr>
        <w:t>团结、服务、引导、教育非公有制经济人士爱国、敬业、诚信、守法、贡献，培养拥护党的领导、走中国特色社会主义道路的非公有制经济人士队伍。</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2、</w:t>
      </w:r>
      <w:r>
        <w:rPr>
          <w:rFonts w:hint="eastAsia" w:ascii="仿宋_GB2312" w:hAnsi="仿宋_GB2312" w:eastAsia="仿宋_GB2312" w:cs="仿宋_GB2312"/>
          <w:color w:val="333333"/>
          <w:kern w:val="0"/>
          <w:sz w:val="32"/>
          <w:szCs w:val="32"/>
          <w:shd w:val="clear" w:color="auto" w:fill="FFFFFF"/>
        </w:rPr>
        <w:t>做好非公有制经济代表人士政治安排的推荐工作。参与政治协商，发挥民主监督作用，积极参政议政。</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3、</w:t>
      </w:r>
      <w:r>
        <w:rPr>
          <w:rFonts w:hint="eastAsia" w:ascii="仿宋_GB2312" w:hAnsi="仿宋_GB2312" w:eastAsia="仿宋_GB2312" w:cs="仿宋_GB2312"/>
          <w:color w:val="333333"/>
          <w:kern w:val="0"/>
          <w:sz w:val="32"/>
          <w:szCs w:val="32"/>
          <w:shd w:val="clear" w:color="auto" w:fill="FFFFFF"/>
        </w:rPr>
        <w:t>参与政府相关的经济活动，广泛联系各地工商界人士，开展民间外交，推动经贸交流和协作，促进经济社会发展。</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4、</w:t>
      </w:r>
      <w:r>
        <w:rPr>
          <w:rFonts w:hint="eastAsia" w:ascii="仿宋_GB2312" w:hAnsi="仿宋_GB2312" w:eastAsia="仿宋_GB2312" w:cs="仿宋_GB2312"/>
          <w:color w:val="333333"/>
          <w:kern w:val="0"/>
          <w:sz w:val="32"/>
          <w:szCs w:val="32"/>
          <w:shd w:val="clear" w:color="auto" w:fill="FFFFFF"/>
        </w:rPr>
        <w:t>参与协调劳动关系，促进和谐社会建设。</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5、</w:t>
      </w:r>
      <w:r>
        <w:rPr>
          <w:rFonts w:hint="eastAsia" w:ascii="仿宋_GB2312" w:hAnsi="仿宋_GB2312" w:eastAsia="仿宋_GB2312" w:cs="仿宋_GB2312"/>
          <w:color w:val="333333"/>
          <w:kern w:val="0"/>
          <w:sz w:val="32"/>
          <w:szCs w:val="32"/>
          <w:shd w:val="clear" w:color="auto" w:fill="FFFFFF"/>
        </w:rPr>
        <w:t>指导本会直属商会工作，积极参与社会组织建设工作，促进行业协会商会改革发展。</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6、</w:t>
      </w:r>
      <w:r>
        <w:rPr>
          <w:rFonts w:hint="eastAsia" w:ascii="仿宋_GB2312" w:hAnsi="仿宋_GB2312" w:eastAsia="仿宋_GB2312" w:cs="仿宋_GB2312"/>
          <w:color w:val="333333"/>
          <w:kern w:val="0"/>
          <w:sz w:val="32"/>
          <w:szCs w:val="32"/>
          <w:shd w:val="clear" w:color="auto" w:fill="FFFFFF"/>
        </w:rPr>
        <w:t>反映非公有制企业和非公有制经济人士利益诉求，维护其合法权益。              </w:t>
      </w:r>
    </w:p>
    <w:p>
      <w:pPr>
        <w:pStyle w:val="4"/>
        <w:keepNext w:val="0"/>
        <w:keepLines w:val="0"/>
        <w:pageBreakBefore w:val="0"/>
        <w:numPr>
          <w:ilvl w:val="0"/>
          <w:numId w:val="0"/>
        </w:numPr>
        <w:kinsoku/>
        <w:wordWrap/>
        <w:overflowPunct/>
        <w:topLinePunct w:val="0"/>
        <w:bidi w:val="0"/>
        <w:adjustRightInd w:val="0"/>
        <w:snapToGrid w:val="0"/>
        <w:spacing w:line="560" w:lineRule="exact"/>
        <w:ind w:right="0" w:rightChars="0" w:firstLine="640" w:firstLineChars="200"/>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color w:val="333333"/>
          <w:kern w:val="0"/>
          <w:sz w:val="32"/>
          <w:szCs w:val="32"/>
          <w:shd w:val="clear" w:color="auto" w:fill="FFFFFF"/>
          <w:lang w:val="en-US" w:eastAsia="zh-CN"/>
        </w:rPr>
        <w:t>7、</w:t>
      </w:r>
      <w:r>
        <w:rPr>
          <w:rFonts w:hint="eastAsia" w:ascii="仿宋_GB2312" w:hAnsi="仿宋_GB2312" w:eastAsia="仿宋_GB2312" w:cs="仿宋_GB2312"/>
          <w:color w:val="333333"/>
          <w:kern w:val="0"/>
          <w:sz w:val="32"/>
          <w:szCs w:val="32"/>
          <w:shd w:val="clear" w:color="auto" w:fill="FFFFFF"/>
        </w:rPr>
        <w:t>为会员提供政策信息、人才交流培训等服务。组织会员企业参加各类经贸活动，外出参观考察，帮助会员企业拓展市场。</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8、</w:t>
      </w:r>
      <w:r>
        <w:rPr>
          <w:rFonts w:hint="eastAsia" w:ascii="仿宋_GB2312" w:hAnsi="仿宋_GB2312" w:eastAsia="仿宋_GB2312" w:cs="仿宋_GB2312"/>
          <w:color w:val="333333"/>
          <w:kern w:val="0"/>
          <w:sz w:val="32"/>
          <w:szCs w:val="32"/>
          <w:shd w:val="clear" w:color="auto" w:fill="FFFFFF"/>
        </w:rPr>
        <w:t>配合有关部门开展非公有制会员企业党建工作。</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9、</w:t>
      </w:r>
      <w:r>
        <w:rPr>
          <w:rFonts w:hint="eastAsia" w:ascii="仿宋_GB2312" w:hAnsi="仿宋_GB2312" w:eastAsia="仿宋_GB2312" w:cs="仿宋_GB2312"/>
          <w:color w:val="333333"/>
          <w:kern w:val="0"/>
          <w:sz w:val="32"/>
          <w:szCs w:val="32"/>
          <w:shd w:val="clear" w:color="auto" w:fill="FFFFFF"/>
        </w:rPr>
        <w:t>积极引导非公有制企业及其非公有制经济人士承担社会责任，大力支持慈善公益事业发展，积极投身光彩事业。</w:t>
      </w:r>
      <w:r>
        <w:rPr>
          <w:rFonts w:hint="eastAsia" w:ascii="仿宋_GB2312" w:hAnsi="仿宋_GB2312" w:eastAsia="仿宋_GB2312" w:cs="仿宋_GB2312"/>
          <w:color w:val="333333"/>
          <w:kern w:val="0"/>
          <w:sz w:val="32"/>
          <w:szCs w:val="32"/>
        </w:rPr>
        <w:br w:type="textWrapping"/>
      </w:r>
      <w:r>
        <w:rPr>
          <w:rFonts w:hint="eastAsia" w:hAnsi="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hAnsi="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lang w:val="en-US" w:eastAsia="zh-CN"/>
        </w:rPr>
        <w:t>10、</w:t>
      </w:r>
      <w:r>
        <w:rPr>
          <w:rFonts w:hint="eastAsia" w:ascii="仿宋_GB2312" w:hAnsi="仿宋_GB2312" w:eastAsia="仿宋_GB2312" w:cs="仿宋_GB2312"/>
          <w:color w:val="333333"/>
          <w:kern w:val="0"/>
          <w:sz w:val="32"/>
          <w:szCs w:val="32"/>
          <w:shd w:val="clear" w:color="auto" w:fill="FFFFFF"/>
        </w:rPr>
        <w:t>承办县委、县政府和上级工商联交办的其它任务。</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（三）人员概况</w:t>
      </w:r>
    </w:p>
    <w:p>
      <w:pPr>
        <w:keepNext w:val="0"/>
        <w:keepLines w:val="0"/>
        <w:pageBreakBefore w:val="0"/>
        <w:kinsoku/>
        <w:wordWrap/>
        <w:overflowPunct/>
        <w:topLinePunct w:val="0"/>
        <w:bidi w:val="0"/>
        <w:spacing w:line="560" w:lineRule="exact"/>
        <w:ind w:left="0" w:leftChars="0" w:right="0" w:rightChars="0" w:firstLine="640" w:firstLineChars="200"/>
        <w:jc w:val="left"/>
        <w:textAlignment w:val="auto"/>
        <w:outlineLvl w:val="9"/>
        <w:rPr>
          <w:rFonts w:hint="eastAsia" w:ascii="黑体" w:hAnsi="宋体" w:eastAsia="黑体" w:cs="宋体"/>
          <w:color w:val="000000"/>
          <w:kern w:val="0"/>
          <w:sz w:val="32"/>
          <w:szCs w:val="24"/>
          <w:lang w:val="en-US" w:eastAsia="zh-CN" w:bidi="ar"/>
        </w:rPr>
      </w:pP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个，行政工勤编制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人，其中公务员</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（一）部门财政资金收入支出情况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143.69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143.69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一般公共预算财政拨款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151.68万元。</w:t>
      </w:r>
      <w:r>
        <w:rPr>
          <w:rFonts w:hint="eastAsia" w:ascii="仿宋_GB2312"/>
          <w:color w:val="000000"/>
          <w:sz w:val="32"/>
          <w:szCs w:val="32"/>
          <w:lang w:eastAsia="zh-CN"/>
        </w:rPr>
        <w:t>（其中：</w:t>
      </w:r>
      <w:r>
        <w:rPr>
          <w:rFonts w:hint="eastAsia" w:ascii="仿宋_GB2312" w:eastAsia="仿宋_GB2312"/>
          <w:color w:val="000000"/>
          <w:sz w:val="32"/>
          <w:szCs w:val="32"/>
        </w:rPr>
        <w:t>一般公共</w:t>
      </w:r>
      <w:r>
        <w:rPr>
          <w:rFonts w:hint="eastAsia" w:ascii="仿宋_GB2312"/>
          <w:color w:val="000000"/>
          <w:sz w:val="32"/>
          <w:szCs w:val="32"/>
          <w:lang w:eastAsia="zh-CN"/>
        </w:rPr>
        <w:t>服务</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114.47万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19.37万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，医疗卫生支出</w:t>
      </w:r>
      <w:r>
        <w:rPr>
          <w:rFonts w:hint="eastAsia" w:ascii="仿宋_GB2312" w:eastAsia="仿宋_GB2312"/>
          <w:color w:val="000000"/>
          <w:sz w:val="32"/>
          <w:szCs w:val="32"/>
          <w:lang w:val="en-US" w:eastAsia="zh-CN"/>
        </w:rPr>
        <w:t>7.31万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10.54万</w:t>
      </w:r>
      <w:r>
        <w:rPr>
          <w:rFonts w:hint="eastAsia" w:ascii="仿宋_GB2312" w:eastAsia="仿宋_GB2312"/>
          <w:color w:val="000000"/>
          <w:sz w:val="32"/>
          <w:szCs w:val="32"/>
          <w:lang w:eastAsia="zh-CN"/>
        </w:rPr>
        <w:t>元</w:t>
      </w:r>
      <w:r>
        <w:rPr>
          <w:rFonts w:hint="eastAsia" w:ascii="仿宋_GB2312"/>
          <w:color w:val="000000"/>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bCs/>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cs="仿宋_GB2312"/>
          <w:b w:val="0"/>
          <w:bCs w:val="0"/>
          <w:color w:val="000000"/>
          <w:sz w:val="32"/>
          <w:szCs w:val="32"/>
          <w:lang w:eastAsia="zh-CN"/>
        </w:rPr>
        <w:t>工商业联合会</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w:t>
      </w:r>
      <w:r>
        <w:rPr>
          <w:rFonts w:hint="eastAsia" w:ascii="仿宋_GB2312" w:hAnsi="仿宋_GB2312" w:cs="仿宋_GB2312"/>
          <w:b w:val="0"/>
          <w:bCs w:val="0"/>
          <w:color w:val="000000"/>
          <w:sz w:val="32"/>
          <w:szCs w:val="32"/>
          <w:lang w:eastAsia="zh-CN"/>
        </w:rPr>
        <w:t>工商联事务</w:t>
      </w:r>
      <w:r>
        <w:rPr>
          <w:rFonts w:hint="eastAsia" w:ascii="仿宋_GB2312" w:hAnsi="仿宋_GB2312" w:eastAsia="仿宋_GB2312" w:cs="仿宋_GB2312"/>
          <w:b w:val="0"/>
          <w:bCs w:val="0"/>
          <w:color w:val="000000"/>
          <w:sz w:val="32"/>
          <w:szCs w:val="32"/>
        </w:rPr>
        <w:t>发展相关工作而编制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cs="仿宋_GB2312"/>
          <w:b w:val="0"/>
          <w:bCs w:val="0"/>
          <w:color w:val="000000"/>
          <w:sz w:val="32"/>
          <w:szCs w:val="32"/>
          <w:lang w:eastAsia="zh-CN"/>
        </w:rPr>
        <w:t>本部门</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w:t>
      </w:r>
      <w:r>
        <w:rPr>
          <w:rFonts w:hint="eastAsia" w:ascii="仿宋_GB2312" w:hAnsi="仿宋_GB2312" w:cs="仿宋_GB2312"/>
          <w:b w:val="0"/>
          <w:bCs w:val="0"/>
          <w:color w:val="000000"/>
          <w:sz w:val="32"/>
          <w:szCs w:val="32"/>
          <w:lang w:eastAsia="zh-CN"/>
        </w:rPr>
        <w:t>、会议费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不变</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未安排因公出国事项。</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1.05</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68.18</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1.97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65.23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严格压缩一般性支出，厉行节约。</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1.05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脱贫攻坚</w:t>
      </w:r>
      <w:r>
        <w:rPr>
          <w:rFonts w:hint="eastAsia" w:ascii="仿宋_GB2312" w:eastAsia="仿宋_GB2312"/>
          <w:color w:val="000000"/>
          <w:sz w:val="32"/>
          <w:szCs w:val="32"/>
        </w:rPr>
        <w:t>等所需的公务用车燃料费、维修费、过路过桥费、保险费等支出。</w:t>
      </w:r>
    </w:p>
    <w:p>
      <w:pPr>
        <w:spacing w:line="600" w:lineRule="exact"/>
        <w:ind w:firstLine="643" w:firstLineChars="200"/>
        <w:rPr>
          <w:rFonts w:hint="eastAsia"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不变</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严格压缩一般性支出，厉行节约。</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情况，检查基本支出、项目支出有关账目，收集整理相关资料，并对资料进行分析，形成评价结论。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1.部门预算严格按照上级部门预算编制通知和有关要求，结合单位具体工作及县级相关规定编制，按时完成基础、项目报送工作，单位预算按时在公众信息网公开。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 认真开展部门绩效评价工作，但绩效评价规章制度还不够健全扣1分;严格按照相关法律、法规进行会计核算，严格资金管理，专款专用，资金拨付严格按相关程序报批后支付。认真开展专项预算项目绩效评价工作，在项目决策、项目完成、项目管理、项目效果中，绩效评价工作还不够完善扣2分。    </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bCs/>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（一）评价结论。</w:t>
      </w:r>
    </w:p>
    <w:p>
      <w:pPr>
        <w:keepNext w:val="0"/>
        <w:keepLines w:val="0"/>
        <w:pageBreakBefore w:val="0"/>
        <w:widowControl w:val="0"/>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根据《红原县部门支出绩效评价指标体系》自查的分97分，总体评价较好。</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(二)存在问题</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存在的问题:专业人才匮乏</w:t>
      </w:r>
      <w:r>
        <w:rPr>
          <w:rFonts w:hint="eastAsia" w:ascii="仿宋_GB2312" w:hAnsi="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目前，由于各</w:t>
      </w:r>
      <w:r>
        <w:rPr>
          <w:rFonts w:hint="eastAsia" w:ascii="仿宋_GB2312" w:hAnsi="仿宋_GB2312" w:cs="仿宋_GB2312"/>
          <w:b w:val="0"/>
          <w:bCs w:val="0"/>
          <w:color w:val="000000"/>
          <w:sz w:val="32"/>
          <w:szCs w:val="32"/>
          <w:lang w:val="en-US" w:eastAsia="zh-CN"/>
        </w:rPr>
        <w:t>项</w:t>
      </w:r>
      <w:r>
        <w:rPr>
          <w:rFonts w:hint="eastAsia" w:ascii="仿宋_GB2312" w:hAnsi="仿宋_GB2312" w:eastAsia="仿宋_GB2312" w:cs="仿宋_GB2312"/>
          <w:b w:val="0"/>
          <w:bCs w:val="0"/>
          <w:color w:val="000000"/>
          <w:sz w:val="32"/>
          <w:szCs w:val="32"/>
          <w:lang w:val="en-US" w:eastAsia="zh-CN"/>
        </w:rPr>
        <w:t>任务繁重，而专业人才有限，在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推进过程中，缺乏技术人员进行专业指导，工</w:t>
      </w:r>
      <w:r>
        <w:rPr>
          <w:rFonts w:hint="eastAsia" w:ascii="仿宋_GB2312" w:hAnsi="仿宋_GB2312" w:cs="仿宋_GB2312"/>
          <w:b w:val="0"/>
          <w:bCs w:val="0"/>
          <w:color w:val="000000"/>
          <w:sz w:val="32"/>
          <w:szCs w:val="32"/>
          <w:lang w:val="en-US" w:eastAsia="zh-CN"/>
        </w:rPr>
        <w:t>作</w:t>
      </w:r>
      <w:r>
        <w:rPr>
          <w:rFonts w:hint="eastAsia" w:ascii="仿宋_GB2312" w:hAnsi="仿宋_GB2312" w:eastAsia="仿宋_GB2312" w:cs="仿宋_GB2312"/>
          <w:b w:val="0"/>
          <w:bCs w:val="0"/>
          <w:color w:val="000000"/>
          <w:sz w:val="32"/>
          <w:szCs w:val="32"/>
          <w:lang w:val="en-US" w:eastAsia="zh-CN"/>
        </w:rPr>
        <w:t>推进存在一定困难。</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(三)改进建议</w:t>
      </w:r>
    </w:p>
    <w:p>
      <w:pPr>
        <w:keepNext w:val="0"/>
        <w:keepLines w:val="0"/>
        <w:pageBreakBefore w:val="0"/>
        <w:widowControl w:val="0"/>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1.科学合理编制预算，严格执行预算。</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0" w:firstLineChars="200"/>
        <w:textAlignment w:val="auto"/>
        <w:outlineLvl w:val="9"/>
        <w:rPr>
          <w:rStyle w:val="20"/>
          <w:rFonts w:hint="eastAsia" w:ascii="仿宋" w:hAnsi="仿宋" w:eastAsia="仿宋"/>
          <w:b w:val="0"/>
          <w:bCs w:val="0"/>
          <w:sz w:val="32"/>
          <w:szCs w:val="32"/>
        </w:rPr>
      </w:pPr>
    </w:p>
    <w:p>
      <w:pPr>
        <w:rPr>
          <w:rStyle w:val="20"/>
          <w:rFonts w:hint="eastAsia" w:ascii="仿宋" w:hAnsi="仿宋" w:eastAsia="仿宋"/>
          <w:b w:val="0"/>
          <w:bCs w:val="0"/>
          <w:sz w:val="32"/>
          <w:szCs w:val="32"/>
        </w:rPr>
      </w:pPr>
    </w:p>
    <w:p>
      <w:pPr>
        <w:pStyle w:val="3"/>
        <w:rPr>
          <w:rStyle w:val="20"/>
          <w:rFonts w:ascii="仿宋" w:hAnsi="仿宋" w:eastAsia="仿宋"/>
          <w:b w:val="0"/>
          <w:bCs w:val="0"/>
          <w:sz w:val="32"/>
          <w:szCs w:val="32"/>
        </w:rPr>
      </w:pPr>
      <w:bookmarkStart w:id="90" w:name="_Toc23049"/>
      <w:r>
        <w:rPr>
          <w:rStyle w:val="20"/>
          <w:rFonts w:hint="eastAsia" w:ascii="仿宋" w:hAnsi="仿宋" w:eastAsia="仿宋"/>
          <w:b w:val="0"/>
          <w:bCs w:val="0"/>
          <w:sz w:val="32"/>
          <w:szCs w:val="32"/>
        </w:rPr>
        <w:t>附件2</w:t>
      </w:r>
      <w:bookmarkEnd w:id="89"/>
      <w:bookmarkEnd w:id="90"/>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红原县工商业联合会项目支出绩效评价报告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光彩事业经费</w:t>
      </w:r>
      <w:r>
        <w:rPr>
          <w:rFonts w:hint="eastAsia" w:ascii="Times New Roman" w:hAnsi="宋体" w:eastAsia="仿宋_GB2312" w:cs="仿宋_GB2312"/>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szCs w:val="21"/>
          <w:lang w:val="en-US"/>
        </w:rPr>
      </w:pPr>
    </w:p>
    <w:p>
      <w:pPr>
        <w:keepNext w:val="0"/>
        <w:keepLines w:val="0"/>
        <w:widowControl w:val="0"/>
        <w:numPr>
          <w:ilvl w:val="0"/>
          <w:numId w:val="5"/>
        </w:numPr>
        <w:suppressLineNumbers w:val="0"/>
        <w:tabs>
          <w:tab w:val="left" w:pos="3885"/>
        </w:tabs>
        <w:snapToGrid w:val="0"/>
        <w:spacing w:before="0" w:beforeAutospacing="0" w:after="0" w:afterAutospacing="0" w:line="580" w:lineRule="exact"/>
        <w:ind w:leftChars="200" w:right="0" w:rightChars="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 xml:space="preserve">项目概况 </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（一）项目基本情况</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720" w:leftChars="0" w:right="0" w:rightChars="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本项目资金用作发展工商联事业及扶贫帮困。</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720" w:leftChars="0" w:right="0" w:rightChars="0"/>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（二）项目绩效目标</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rPr>
        <w:t>组织非公有制经济人士以及社会各界力量，参与“光彩事业”，走共同富裕道路。</w:t>
      </w:r>
      <w:r>
        <w:rPr>
          <w:rFonts w:hint="eastAsia" w:ascii="仿宋_GB2312" w:hAnsi="仿宋_GB2312" w:eastAsia="仿宋_GB2312" w:cs="仿宋_GB2312"/>
          <w:i w:val="0"/>
          <w:caps w:val="0"/>
          <w:color w:val="333333"/>
          <w:spacing w:val="0"/>
          <w:sz w:val="32"/>
          <w:szCs w:val="32"/>
          <w:shd w:val="clear" w:fill="FFFFFF"/>
          <w:lang w:eastAsia="zh-CN"/>
        </w:rPr>
        <w:t>助力精准脱贫。</w:t>
      </w: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t>（三）项目自评步骤及方法</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组  长：</w:t>
      </w:r>
      <w:r>
        <w:rPr>
          <w:rFonts w:hint="eastAsia" w:ascii="仿宋_GB2312" w:hAnsi="仿宋_GB2312" w:eastAsia="仿宋_GB2312" w:cs="仿宋_GB2312"/>
          <w:color w:val="000000"/>
          <w:sz w:val="32"/>
          <w:szCs w:val="32"/>
          <w:shd w:val="clear" w:color="auto" w:fill="FFFFFF"/>
          <w:lang w:eastAsia="zh-CN"/>
        </w:rPr>
        <w:t>姜</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炜</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主</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席</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副组长：</w:t>
      </w:r>
      <w:r>
        <w:rPr>
          <w:rFonts w:hint="eastAsia" w:ascii="仿宋_GB2312" w:hAnsi="仿宋_GB2312" w:eastAsia="仿宋_GB2312" w:cs="仿宋_GB2312"/>
          <w:color w:val="000000"/>
          <w:sz w:val="32"/>
          <w:szCs w:val="32"/>
          <w:shd w:val="clear" w:color="auto" w:fill="FFFFFF"/>
          <w:lang w:eastAsia="zh-CN"/>
        </w:rPr>
        <w:t>杜晓宇</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副主席</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成  员：</w:t>
      </w:r>
      <w:r>
        <w:rPr>
          <w:rFonts w:hint="eastAsia" w:ascii="仿宋_GB2312" w:hAnsi="仿宋_GB2312" w:eastAsia="仿宋_GB2312" w:cs="仿宋_GB2312"/>
          <w:color w:val="000000"/>
          <w:sz w:val="32"/>
          <w:szCs w:val="32"/>
          <w:shd w:val="clear" w:color="auto" w:fill="FFFFFF"/>
          <w:lang w:eastAsia="zh-CN"/>
        </w:rPr>
        <w:t>周</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君、刘少杰</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二、项目资金申报及使用情况</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（一）项目资金申报及批复情况。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rPr>
        <w:t>红原县</w:t>
      </w:r>
      <w:r>
        <w:rPr>
          <w:rFonts w:hint="eastAsia" w:ascii="仿宋_GB2312" w:hAnsi="仿宋_GB2312" w:eastAsia="仿宋_GB2312" w:cs="仿宋_GB2312"/>
          <w:sz w:val="32"/>
          <w:lang w:eastAsia="zh-CN"/>
        </w:rPr>
        <w:t>工商业联合会光彩事业经费</w:t>
      </w:r>
      <w:r>
        <w:rPr>
          <w:rFonts w:hint="eastAsia" w:ascii="仿宋_GB2312" w:hAnsi="仿宋_GB2312" w:eastAsia="仿宋_GB2312" w:cs="仿宋_GB2312"/>
          <w:sz w:val="32"/>
        </w:rPr>
        <w:t>项目</w:t>
      </w:r>
      <w:r>
        <w:rPr>
          <w:rFonts w:hint="eastAsia" w:ascii="仿宋_GB2312" w:hAnsi="仿宋_GB2312" w:eastAsia="仿宋_GB2312" w:cs="仿宋_GB2312"/>
          <w:sz w:val="32"/>
          <w:lang w:eastAsia="zh-CN"/>
        </w:rPr>
        <w:t>资金</w:t>
      </w: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万元，</w:t>
      </w:r>
      <w:r>
        <w:rPr>
          <w:rFonts w:hint="eastAsia" w:ascii="仿宋_GB2312" w:hAnsi="仿宋_GB2312" w:eastAsia="仿宋_GB2312" w:cs="仿宋_GB2312"/>
          <w:color w:val="000000"/>
          <w:sz w:val="32"/>
          <w:szCs w:val="32"/>
          <w:shd w:val="clear" w:color="auto" w:fill="FFFFFF"/>
        </w:rPr>
        <w:t>经财政局批复下达后，全部用于</w:t>
      </w:r>
      <w:r>
        <w:rPr>
          <w:rFonts w:hint="eastAsia" w:ascii="仿宋_GB2312" w:hAnsi="仿宋_GB2312" w:eastAsia="仿宋_GB2312" w:cs="仿宋_GB2312"/>
          <w:sz w:val="32"/>
          <w:lang w:eastAsia="zh-CN"/>
        </w:rPr>
        <w:t>光彩事业的支出</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b/>
          <w:sz w:val="32"/>
          <w:lang w:val="zh-CN"/>
        </w:rPr>
        <w:t>（二）资金计划、到位及使用情况。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lang w:val="zh-CN"/>
        </w:rPr>
        <w:t>1．资金计划</w:t>
      </w:r>
      <w:r>
        <w:rPr>
          <w:rFonts w:hint="eastAsia" w:ascii="仿宋_GB2312" w:hAnsi="仿宋_GB2312" w:eastAsia="仿宋_GB2312" w:cs="仿宋_GB2312"/>
          <w:sz w:val="32"/>
        </w:rPr>
        <w:t xml:space="preserve">及到位；截止目前已全部到位，资金到位率100%到位及时。    </w:t>
      </w:r>
    </w:p>
    <w:p>
      <w:pPr>
        <w:adjustRightInd w:val="0"/>
        <w:snapToGrid w:val="0"/>
        <w:spacing w:line="480" w:lineRule="exact"/>
        <w:ind w:firstLine="72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val="zh-CN"/>
        </w:rPr>
        <w:t>．资金使用。</w:t>
      </w:r>
      <w:r>
        <w:rPr>
          <w:rFonts w:hint="eastAsia" w:ascii="仿宋_GB2312" w:hAnsi="仿宋_GB2312" w:eastAsia="仿宋_GB2312" w:cs="仿宋_GB2312"/>
          <w:sz w:val="32"/>
          <w:lang w:val="en-US" w:eastAsia="zh-CN"/>
        </w:rPr>
        <w:t>2019年光彩事业资金2万元已全部用于光彩事业的支出。</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（三）项目财务管理情况。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lang w:eastAsia="zh-CN"/>
        </w:rPr>
        <w:t>我单位</w:t>
      </w:r>
      <w:r>
        <w:rPr>
          <w:rFonts w:hint="eastAsia" w:ascii="仿宋_GB2312" w:hAnsi="仿宋_GB2312" w:eastAsia="仿宋_GB2312" w:cs="仿宋_GB2312"/>
          <w:sz w:val="32"/>
          <w:lang w:val="zh-CN"/>
        </w:rPr>
        <w:t>完善了项目资金管理财务工作制度。</w:t>
      </w:r>
      <w:r>
        <w:rPr>
          <w:rFonts w:hint="eastAsia" w:ascii="仿宋_GB2312" w:hAnsi="仿宋_GB2312" w:eastAsia="仿宋_GB2312" w:cs="仿宋_GB2312"/>
          <w:sz w:val="32"/>
        </w:rPr>
        <w:t>一是</w:t>
      </w:r>
      <w:r>
        <w:rPr>
          <w:rFonts w:hint="eastAsia" w:ascii="仿宋_GB2312" w:hAnsi="仿宋_GB2312" w:eastAsia="仿宋_GB2312" w:cs="仿宋_GB2312"/>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_GB2312" w:hAnsi="仿宋_GB2312" w:eastAsia="仿宋_GB2312" w:cs="仿宋_GB2312"/>
          <w:sz w:val="32"/>
        </w:rPr>
        <w:t>会计进行初审、财务主管进行最终审核，确保了会计核算和账务处理准确无误。通过进一步强化财务工作制度，使</w:t>
      </w:r>
      <w:r>
        <w:rPr>
          <w:rFonts w:hint="eastAsia" w:ascii="仿宋_GB2312" w:hAnsi="仿宋_GB2312" w:eastAsia="仿宋_GB2312" w:cs="仿宋_GB2312"/>
          <w:sz w:val="32"/>
          <w:lang w:eastAsia="zh-CN"/>
        </w:rPr>
        <w:t>本单位</w:t>
      </w:r>
      <w:r>
        <w:rPr>
          <w:rFonts w:hint="eastAsia" w:ascii="仿宋_GB2312" w:hAnsi="仿宋_GB2312" w:eastAsia="仿宋_GB2312" w:cs="仿宋_GB2312"/>
          <w:sz w:val="32"/>
        </w:rPr>
        <w:t>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_GB2312" w:hAnsi="仿宋_GB2312" w:eastAsia="仿宋_GB2312" w:cs="仿宋_GB2312"/>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实施工程中</w:t>
      </w:r>
      <w:r>
        <w:rPr>
          <w:rFonts w:hint="eastAsia" w:ascii="仿宋_GB2312" w:hAnsi="仿宋_GB2312" w:eastAsia="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三、项目实施及管理情况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项目实施阶段设置一名工作人员</w:t>
      </w:r>
      <w:r>
        <w:rPr>
          <w:rFonts w:hint="eastAsia" w:ascii="仿宋_GB2312" w:hAnsi="仿宋_GB2312" w:eastAsia="仿宋_GB2312" w:cs="仿宋_GB2312"/>
          <w:sz w:val="32"/>
          <w:szCs w:val="32"/>
          <w:lang w:val="zh-CN"/>
        </w:rPr>
        <w:t>专管本项目，不拆分项目，不单列分包招标，保证项目招投标的严肃性。</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sz w:val="32"/>
        </w:rPr>
        <w:t>四、项目绩效情况</w:t>
      </w:r>
      <w:r>
        <w:rPr>
          <w:rFonts w:hint="eastAsia" w:ascii="仿宋_GB2312" w:hAnsi="仿宋_GB2312" w:eastAsia="仿宋_GB2312" w:cs="仿宋_GB2312"/>
          <w:sz w:val="32"/>
          <w:lang w:val="zh-CN"/>
        </w:rPr>
        <w:tab/>
      </w:r>
    </w:p>
    <w:p>
      <w:pPr>
        <w:adjustRightInd w:val="0"/>
        <w:snapToGrid w:val="0"/>
        <w:spacing w:line="480" w:lineRule="exact"/>
        <w:ind w:firstLine="720"/>
        <w:rPr>
          <w:rFonts w:hint="eastAsia" w:ascii="仿宋_GB2312" w:hAnsi="仿宋_GB2312" w:eastAsia="仿宋_GB2312" w:cs="仿宋_GB2312"/>
          <w:b/>
        </w:rPr>
      </w:pPr>
      <w:r>
        <w:rPr>
          <w:rFonts w:hint="eastAsia" w:ascii="仿宋_GB2312" w:hAnsi="仿宋_GB2312" w:eastAsia="仿宋_GB2312" w:cs="仿宋_GB2312"/>
          <w:b/>
          <w:sz w:val="32"/>
          <w:lang w:val="zh-CN"/>
        </w:rPr>
        <w:t>（一）项目完成情况。</w:t>
      </w:r>
    </w:p>
    <w:p>
      <w:pPr>
        <w:adjustRightInd w:val="0"/>
        <w:snapToGrid w:val="0"/>
        <w:spacing w:line="480" w:lineRule="exact"/>
        <w:ind w:firstLine="720"/>
        <w:rPr>
          <w:rFonts w:hint="eastAsia" w:ascii="仿宋_GB2312" w:hAnsi="仿宋_GB2312" w:eastAsia="仿宋_GB2312" w:cs="仿宋_GB2312"/>
          <w:sz w:val="32"/>
          <w:lang w:val="zh-CN"/>
        </w:rPr>
      </w:pPr>
      <w:r>
        <w:rPr>
          <w:rFonts w:hint="eastAsia" w:ascii="仿宋_GB2312" w:hAnsi="仿宋_GB2312" w:eastAsia="仿宋_GB2312" w:cs="仿宋_GB2312"/>
          <w:sz w:val="32"/>
        </w:rPr>
        <w:t>该项目于</w:t>
      </w:r>
      <w:r>
        <w:rPr>
          <w:rFonts w:hint="eastAsia" w:ascii="仿宋_GB2312" w:hAnsi="仿宋_GB2312" w:eastAsia="仿宋_GB2312" w:cs="仿宋_GB2312"/>
          <w:sz w:val="32"/>
          <w:lang w:val="en-US" w:eastAsia="zh-CN"/>
        </w:rPr>
        <w:t>2018年12月31日已全部用于光彩事业及扶贫帮困的支付</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（二）项目效益情况。</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pPr>
      <w:r>
        <w:rPr>
          <w:rFonts w:hint="eastAsia" w:ascii="仿宋_GB2312" w:hAnsi="仿宋_GB2312" w:eastAsia="仿宋_GB2312" w:cs="仿宋_GB2312"/>
          <w:sz w:val="32"/>
          <w:lang w:eastAsia="zh-CN"/>
        </w:rPr>
        <w:t>通过光彩事业经费的支出，</w:t>
      </w:r>
      <w:r>
        <w:rPr>
          <w:rFonts w:hint="eastAsia" w:ascii="仿宋_GB2312" w:hAnsi="仿宋_GB2312" w:eastAsia="仿宋_GB2312" w:cs="仿宋_GB2312"/>
          <w:i w:val="0"/>
          <w:caps w:val="0"/>
          <w:color w:val="333333"/>
          <w:spacing w:val="0"/>
          <w:sz w:val="32"/>
          <w:szCs w:val="32"/>
          <w:shd w:val="clear" w:fill="FFFFFF"/>
        </w:rPr>
        <w:t>组织非公有制经济人士以及社会各界力量，参与“光彩事业”，走共同富裕道路。</w:t>
      </w:r>
      <w:r>
        <w:rPr>
          <w:rFonts w:hint="eastAsia" w:ascii="仿宋_GB2312" w:hAnsi="仿宋_GB2312" w:eastAsia="仿宋_GB2312" w:cs="仿宋_GB2312"/>
          <w:i w:val="0"/>
          <w:caps w:val="0"/>
          <w:color w:val="333333"/>
          <w:spacing w:val="0"/>
          <w:sz w:val="32"/>
          <w:szCs w:val="32"/>
          <w:shd w:val="clear" w:fill="FFFFFF"/>
          <w:lang w:eastAsia="zh-CN"/>
        </w:rPr>
        <w:t>助力精准脱贫。</w:t>
      </w:r>
    </w:p>
    <w:p>
      <w:pPr>
        <w:adjustRightInd w:val="0"/>
        <w:snapToGrid w:val="0"/>
        <w:spacing w:line="480" w:lineRule="exact"/>
        <w:ind w:firstLine="720"/>
        <w:rPr>
          <w:rFonts w:hint="eastAsia" w:ascii="仿宋_GB2312" w:hAnsi="仿宋_GB2312" w:eastAsia="仿宋_GB2312" w:cs="仿宋_GB2312"/>
          <w:color w:val="auto"/>
        </w:rPr>
      </w:pPr>
      <w:r>
        <w:rPr>
          <w:rFonts w:hint="eastAsia" w:ascii="仿宋_GB2312" w:hAnsi="仿宋_GB2312" w:eastAsia="仿宋_GB2312" w:cs="仿宋_GB2312"/>
          <w:color w:val="auto"/>
          <w:sz w:val="32"/>
        </w:rPr>
        <w:t>五、评价结论及建议</w:t>
      </w:r>
    </w:p>
    <w:p>
      <w:pPr>
        <w:adjustRightInd w:val="0"/>
        <w:snapToGrid w:val="0"/>
        <w:spacing w:line="480" w:lineRule="exact"/>
        <w:ind w:firstLine="720"/>
        <w:rPr>
          <w:rFonts w:hint="eastAsia" w:ascii="仿宋_GB2312" w:hAnsi="仿宋_GB2312" w:eastAsia="仿宋_GB2312" w:cs="仿宋_GB2312"/>
          <w:b/>
          <w:color w:val="FF0000"/>
          <w:lang w:val="zh-CN"/>
        </w:rPr>
      </w:pPr>
      <w:r>
        <w:rPr>
          <w:rFonts w:hint="eastAsia" w:ascii="仿宋_GB2312" w:hAnsi="仿宋_GB2312" w:eastAsia="仿宋_GB2312" w:cs="仿宋_GB2312"/>
          <w:b/>
          <w:color w:val="auto"/>
          <w:sz w:val="32"/>
          <w:lang w:val="zh-CN"/>
        </w:rPr>
        <w:t>（一）评价结论。</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pPr>
      <w:r>
        <w:rPr>
          <w:rFonts w:hint="eastAsia" w:ascii="仿宋_GB2312" w:hAnsi="仿宋_GB2312" w:eastAsia="仿宋_GB2312" w:cs="仿宋_GB2312"/>
          <w:sz w:val="32"/>
          <w:lang w:eastAsia="zh-CN"/>
        </w:rPr>
        <w:t>通过光彩事业经费的支出，</w:t>
      </w:r>
      <w:r>
        <w:rPr>
          <w:rFonts w:hint="eastAsia" w:ascii="仿宋_GB2312" w:hAnsi="仿宋_GB2312" w:eastAsia="仿宋_GB2312" w:cs="仿宋_GB2312"/>
          <w:i w:val="0"/>
          <w:caps w:val="0"/>
          <w:color w:val="333333"/>
          <w:spacing w:val="0"/>
          <w:sz w:val="32"/>
          <w:szCs w:val="32"/>
          <w:shd w:val="clear" w:fill="FFFFFF"/>
        </w:rPr>
        <w:t>组织非公有制经济人士以及社会各界力量，参与“光彩事业”，走共同富裕道路。</w:t>
      </w:r>
      <w:r>
        <w:rPr>
          <w:rFonts w:hint="eastAsia" w:ascii="仿宋_GB2312" w:hAnsi="仿宋_GB2312" w:eastAsia="仿宋_GB2312" w:cs="仿宋_GB2312"/>
          <w:i w:val="0"/>
          <w:caps w:val="0"/>
          <w:color w:val="333333"/>
          <w:spacing w:val="0"/>
          <w:sz w:val="32"/>
          <w:szCs w:val="32"/>
          <w:shd w:val="clear" w:fill="FFFFFF"/>
          <w:lang w:eastAsia="zh-CN"/>
        </w:rPr>
        <w:t>助力精准脱贫。</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spacing w:line="600" w:lineRule="exact"/>
        <w:jc w:val="both"/>
        <w:outlineLvl w:val="0"/>
        <w:rPr>
          <w:rFonts w:hint="eastAsia" w:ascii="黑体" w:hAnsi="黑体" w:eastAsia="黑体"/>
          <w:color w:val="000000"/>
          <w:sz w:val="44"/>
          <w:szCs w:val="44"/>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spacing w:line="600" w:lineRule="exact"/>
        <w:jc w:val="center"/>
        <w:outlineLvl w:val="0"/>
        <w:rPr>
          <w:rStyle w:val="15"/>
          <w:rFonts w:ascii="黑体" w:hAnsi="黑体" w:eastAsia="黑体"/>
          <w:b w:val="0"/>
        </w:rPr>
      </w:pPr>
    </w:p>
    <w:p>
      <w:pPr>
        <w:spacing w:line="600" w:lineRule="exact"/>
        <w:jc w:val="center"/>
        <w:outlineLvl w:val="0"/>
        <w:rPr>
          <w:rStyle w:val="15"/>
          <w:rFonts w:ascii="黑体" w:hAnsi="黑体" w:eastAsia="黑体"/>
          <w:b w:val="0"/>
        </w:rPr>
      </w:pPr>
      <w:bookmarkStart w:id="91" w:name="_Toc13299"/>
      <w:bookmarkStart w:id="92" w:name="_Toc15396618"/>
      <w:r>
        <w:rPr>
          <w:rFonts w:hint="eastAsia" w:ascii="黑体" w:hAnsi="黑体" w:eastAsia="黑体"/>
          <w:color w:val="000000"/>
          <w:sz w:val="44"/>
          <w:szCs w:val="44"/>
        </w:rPr>
        <w:t>第</w:t>
      </w:r>
      <w:r>
        <w:rPr>
          <w:rStyle w:val="15"/>
          <w:rFonts w:hint="eastAsia" w:ascii="黑体" w:hAnsi="黑体" w:eastAsia="黑体"/>
          <w:b w:val="0"/>
        </w:rPr>
        <w:t>五部分 附表</w:t>
      </w:r>
      <w:bookmarkEnd w:id="87"/>
      <w:bookmarkEnd w:id="91"/>
      <w:bookmarkEnd w:id="9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93" w:name="_Toc1094"/>
      <w:bookmarkStart w:id="94" w:name="_Toc15396619"/>
      <w:r>
        <w:rPr>
          <w:rFonts w:hint="eastAsia" w:ascii="仿宋" w:hAnsi="仿宋" w:eastAsia="仿宋"/>
          <w:b w:val="0"/>
          <w:color w:val="000000"/>
        </w:rPr>
        <w:t>一、收</w:t>
      </w:r>
      <w:r>
        <w:rPr>
          <w:rStyle w:val="16"/>
          <w:rFonts w:hint="eastAsia" w:ascii="仿宋" w:hAnsi="仿宋" w:eastAsia="仿宋"/>
          <w:b w:val="0"/>
          <w:bCs w:val="0"/>
        </w:rPr>
        <w:t>入支出决算总表</w:t>
      </w:r>
      <w:bookmarkEnd w:id="93"/>
      <w:bookmarkEnd w:id="94"/>
    </w:p>
    <w:p>
      <w:pPr>
        <w:pStyle w:val="3"/>
        <w:rPr>
          <w:rFonts w:ascii="仿宋" w:hAnsi="仿宋" w:eastAsia="仿宋"/>
          <w:color w:val="000000"/>
        </w:rPr>
      </w:pPr>
      <w:bookmarkStart w:id="95" w:name="_Toc17994"/>
      <w:bookmarkStart w:id="96" w:name="_Toc15396620"/>
      <w:r>
        <w:rPr>
          <w:rFonts w:hint="eastAsia" w:ascii="仿宋" w:hAnsi="仿宋" w:eastAsia="仿宋"/>
          <w:b w:val="0"/>
          <w:color w:val="000000"/>
        </w:rPr>
        <w:t>二、收</w:t>
      </w:r>
      <w:r>
        <w:rPr>
          <w:rStyle w:val="16"/>
          <w:rFonts w:hint="eastAsia" w:ascii="仿宋" w:hAnsi="仿宋" w:eastAsia="仿宋"/>
          <w:b w:val="0"/>
          <w:bCs w:val="0"/>
        </w:rPr>
        <w:t>入决算表</w:t>
      </w:r>
      <w:bookmarkEnd w:id="95"/>
      <w:bookmarkEnd w:id="96"/>
    </w:p>
    <w:p>
      <w:pPr>
        <w:pStyle w:val="3"/>
        <w:rPr>
          <w:rFonts w:ascii="仿宋" w:hAnsi="仿宋" w:eastAsia="仿宋"/>
          <w:color w:val="000000"/>
        </w:rPr>
      </w:pPr>
      <w:bookmarkStart w:id="97" w:name="_Toc15396621"/>
      <w:bookmarkStart w:id="98" w:name="_Toc16315"/>
      <w:r>
        <w:rPr>
          <w:rStyle w:val="16"/>
          <w:rFonts w:hint="eastAsia" w:ascii="仿宋" w:hAnsi="仿宋" w:eastAsia="仿宋"/>
          <w:b w:val="0"/>
          <w:bCs w:val="0"/>
        </w:rPr>
        <w:t>三、</w:t>
      </w:r>
      <w:r>
        <w:rPr>
          <w:rFonts w:hint="eastAsia" w:ascii="仿宋" w:hAnsi="仿宋" w:eastAsia="仿宋"/>
          <w:b w:val="0"/>
          <w:color w:val="000000"/>
        </w:rPr>
        <w:t>支</w:t>
      </w:r>
      <w:r>
        <w:rPr>
          <w:rStyle w:val="16"/>
          <w:rFonts w:hint="eastAsia" w:ascii="仿宋" w:hAnsi="仿宋" w:eastAsia="仿宋"/>
          <w:b w:val="0"/>
          <w:bCs w:val="0"/>
        </w:rPr>
        <w:t>出决算表</w:t>
      </w:r>
      <w:bookmarkEnd w:id="97"/>
      <w:bookmarkEnd w:id="98"/>
    </w:p>
    <w:p>
      <w:pPr>
        <w:pStyle w:val="3"/>
        <w:rPr>
          <w:rFonts w:ascii="仿宋" w:hAnsi="仿宋" w:eastAsia="仿宋"/>
          <w:b w:val="0"/>
          <w:color w:val="000000"/>
        </w:rPr>
      </w:pPr>
      <w:bookmarkStart w:id="99" w:name="_Toc19356"/>
      <w:bookmarkStart w:id="100" w:name="_Toc15396622"/>
      <w:r>
        <w:rPr>
          <w:rStyle w:val="16"/>
          <w:rFonts w:hint="eastAsia" w:ascii="仿宋" w:hAnsi="仿宋" w:eastAsia="仿宋"/>
          <w:b w:val="0"/>
          <w:bCs w:val="0"/>
        </w:rPr>
        <w:t>四、</w:t>
      </w:r>
      <w:r>
        <w:rPr>
          <w:rFonts w:hint="eastAsia" w:ascii="仿宋" w:hAnsi="仿宋" w:eastAsia="仿宋"/>
          <w:b w:val="0"/>
          <w:color w:val="000000"/>
        </w:rPr>
        <w:t>财</w:t>
      </w:r>
      <w:r>
        <w:rPr>
          <w:rStyle w:val="16"/>
          <w:rFonts w:hint="eastAsia" w:ascii="仿宋" w:hAnsi="仿宋" w:eastAsia="仿宋"/>
          <w:b w:val="0"/>
          <w:bCs w:val="0"/>
        </w:rPr>
        <w:t>政拨款收入支出决算总表</w:t>
      </w:r>
      <w:bookmarkEnd w:id="99"/>
      <w:bookmarkEnd w:id="100"/>
    </w:p>
    <w:p>
      <w:pPr>
        <w:pStyle w:val="3"/>
        <w:rPr>
          <w:rStyle w:val="16"/>
          <w:rFonts w:ascii="仿宋" w:hAnsi="仿宋" w:eastAsia="仿宋"/>
          <w:b w:val="0"/>
          <w:bCs w:val="0"/>
        </w:rPr>
      </w:pPr>
      <w:bookmarkStart w:id="101" w:name="_Toc15396623"/>
      <w:bookmarkStart w:id="102" w:name="_Toc23367"/>
      <w:r>
        <w:rPr>
          <w:rStyle w:val="16"/>
          <w:rFonts w:hint="eastAsia" w:ascii="仿宋" w:hAnsi="仿宋" w:eastAsia="仿宋"/>
          <w:b w:val="0"/>
          <w:bCs w:val="0"/>
        </w:rPr>
        <w:t>五、</w:t>
      </w:r>
      <w:r>
        <w:rPr>
          <w:rFonts w:hint="eastAsia" w:ascii="仿宋" w:hAnsi="仿宋" w:eastAsia="仿宋"/>
          <w:b w:val="0"/>
          <w:color w:val="000000"/>
        </w:rPr>
        <w:t>财</w:t>
      </w:r>
      <w:r>
        <w:rPr>
          <w:rStyle w:val="16"/>
          <w:rFonts w:hint="eastAsia" w:ascii="仿宋" w:hAnsi="仿宋" w:eastAsia="仿宋"/>
          <w:b w:val="0"/>
          <w:bCs w:val="0"/>
        </w:rPr>
        <w:t>政拨款支出决算明细表</w:t>
      </w:r>
      <w:bookmarkEnd w:id="101"/>
      <w:bookmarkEnd w:id="102"/>
      <w:bookmarkStart w:id="103" w:name="_Toc15396624"/>
    </w:p>
    <w:p>
      <w:pPr>
        <w:pStyle w:val="3"/>
        <w:rPr>
          <w:rFonts w:ascii="仿宋" w:hAnsi="仿宋" w:eastAsia="仿宋"/>
          <w:color w:val="000000"/>
        </w:rPr>
      </w:pPr>
      <w:bookmarkStart w:id="104" w:name="_Toc32400"/>
      <w:r>
        <w:rPr>
          <w:rStyle w:val="16"/>
          <w:rFonts w:hint="eastAsia" w:ascii="仿宋" w:hAnsi="仿宋" w:eastAsia="仿宋"/>
          <w:b w:val="0"/>
          <w:bCs w:val="0"/>
        </w:rPr>
        <w:t>六、</w:t>
      </w:r>
      <w:r>
        <w:rPr>
          <w:rFonts w:hint="eastAsia" w:ascii="仿宋" w:hAnsi="仿宋" w:eastAsia="仿宋"/>
          <w:b w:val="0"/>
          <w:color w:val="000000"/>
        </w:rPr>
        <w:t>一</w:t>
      </w:r>
      <w:r>
        <w:rPr>
          <w:rStyle w:val="16"/>
          <w:rFonts w:hint="eastAsia" w:ascii="仿宋" w:hAnsi="仿宋" w:eastAsia="仿宋"/>
          <w:b w:val="0"/>
          <w:bCs w:val="0"/>
        </w:rPr>
        <w:t>般公共预算财政拨款支出决算表</w:t>
      </w:r>
      <w:bookmarkEnd w:id="103"/>
      <w:bookmarkEnd w:id="104"/>
    </w:p>
    <w:p>
      <w:pPr>
        <w:pStyle w:val="3"/>
        <w:rPr>
          <w:rFonts w:ascii="仿宋" w:hAnsi="仿宋" w:eastAsia="仿宋"/>
          <w:color w:val="000000"/>
        </w:rPr>
      </w:pPr>
      <w:bookmarkStart w:id="105" w:name="_Toc15396625"/>
      <w:bookmarkStart w:id="106" w:name="_Toc6476"/>
      <w:r>
        <w:rPr>
          <w:rStyle w:val="16"/>
          <w:rFonts w:hint="eastAsia" w:ascii="仿宋" w:hAnsi="仿宋" w:eastAsia="仿宋"/>
          <w:b w:val="0"/>
          <w:bCs w:val="0"/>
        </w:rPr>
        <w:t>七、</w:t>
      </w:r>
      <w:r>
        <w:rPr>
          <w:rFonts w:hint="eastAsia" w:ascii="仿宋" w:hAnsi="仿宋" w:eastAsia="仿宋"/>
          <w:b w:val="0"/>
          <w:color w:val="000000"/>
        </w:rPr>
        <w:t>一</w:t>
      </w:r>
      <w:r>
        <w:rPr>
          <w:rStyle w:val="16"/>
          <w:rFonts w:hint="eastAsia" w:ascii="仿宋" w:hAnsi="仿宋" w:eastAsia="仿宋"/>
          <w:b w:val="0"/>
          <w:bCs w:val="0"/>
        </w:rPr>
        <w:t>般公共预算财政拨款支出决算明细表</w:t>
      </w:r>
      <w:bookmarkEnd w:id="105"/>
      <w:bookmarkEnd w:id="106"/>
    </w:p>
    <w:p>
      <w:pPr>
        <w:pStyle w:val="3"/>
        <w:rPr>
          <w:rFonts w:ascii="仿宋" w:hAnsi="仿宋" w:eastAsia="仿宋"/>
          <w:color w:val="000000"/>
        </w:rPr>
      </w:pPr>
      <w:bookmarkStart w:id="107" w:name="_Toc2304"/>
      <w:bookmarkStart w:id="108" w:name="_Toc15396626"/>
      <w:r>
        <w:rPr>
          <w:rStyle w:val="16"/>
          <w:rFonts w:hint="eastAsia" w:ascii="仿宋" w:hAnsi="仿宋" w:eastAsia="仿宋"/>
          <w:b w:val="0"/>
          <w:bCs w:val="0"/>
        </w:rPr>
        <w:t>八、</w:t>
      </w:r>
      <w:r>
        <w:rPr>
          <w:rFonts w:hint="eastAsia" w:ascii="仿宋" w:hAnsi="仿宋" w:eastAsia="仿宋"/>
          <w:b w:val="0"/>
          <w:color w:val="000000"/>
        </w:rPr>
        <w:t>一</w:t>
      </w:r>
      <w:r>
        <w:rPr>
          <w:rStyle w:val="16"/>
          <w:rFonts w:hint="eastAsia" w:ascii="仿宋" w:hAnsi="仿宋" w:eastAsia="仿宋"/>
          <w:b w:val="0"/>
          <w:bCs w:val="0"/>
        </w:rPr>
        <w:t>般公共预算财政拨款基本支出决算表</w:t>
      </w:r>
      <w:bookmarkEnd w:id="107"/>
      <w:bookmarkEnd w:id="108"/>
    </w:p>
    <w:p>
      <w:pPr>
        <w:pStyle w:val="3"/>
        <w:rPr>
          <w:rFonts w:ascii="仿宋" w:hAnsi="仿宋" w:eastAsia="仿宋"/>
          <w:color w:val="000000"/>
        </w:rPr>
      </w:pPr>
      <w:bookmarkStart w:id="109" w:name="_Toc20763"/>
      <w:bookmarkStart w:id="110" w:name="_Toc15396627"/>
      <w:r>
        <w:rPr>
          <w:rStyle w:val="16"/>
          <w:rFonts w:hint="eastAsia" w:ascii="仿宋" w:hAnsi="仿宋" w:eastAsia="仿宋"/>
          <w:b w:val="0"/>
          <w:bCs w:val="0"/>
        </w:rPr>
        <w:t>九、</w:t>
      </w:r>
      <w:r>
        <w:rPr>
          <w:rFonts w:hint="eastAsia" w:ascii="仿宋" w:hAnsi="仿宋" w:eastAsia="仿宋"/>
          <w:b w:val="0"/>
          <w:color w:val="000000"/>
        </w:rPr>
        <w:t>一</w:t>
      </w:r>
      <w:r>
        <w:rPr>
          <w:rStyle w:val="16"/>
          <w:rFonts w:hint="eastAsia" w:ascii="仿宋" w:hAnsi="仿宋" w:eastAsia="仿宋"/>
          <w:b w:val="0"/>
          <w:bCs w:val="0"/>
        </w:rPr>
        <w:t>般公共预算财政拨款项目支出决算表</w:t>
      </w:r>
      <w:bookmarkEnd w:id="109"/>
      <w:bookmarkEnd w:id="110"/>
    </w:p>
    <w:p>
      <w:pPr>
        <w:pStyle w:val="3"/>
        <w:rPr>
          <w:rFonts w:ascii="仿宋" w:hAnsi="仿宋" w:eastAsia="仿宋"/>
          <w:color w:val="000000"/>
        </w:rPr>
      </w:pPr>
      <w:bookmarkStart w:id="111" w:name="_Toc28250"/>
      <w:bookmarkStart w:id="112" w:name="_Toc15396628"/>
      <w:r>
        <w:rPr>
          <w:rStyle w:val="16"/>
          <w:rFonts w:hint="eastAsia" w:ascii="仿宋" w:hAnsi="仿宋" w:eastAsia="仿宋"/>
          <w:b w:val="0"/>
          <w:bCs w:val="0"/>
        </w:rPr>
        <w:t>十、</w:t>
      </w:r>
      <w:r>
        <w:rPr>
          <w:rFonts w:hint="eastAsia" w:ascii="仿宋" w:hAnsi="仿宋" w:eastAsia="仿宋"/>
          <w:b w:val="0"/>
          <w:color w:val="000000"/>
        </w:rPr>
        <w:t>一</w:t>
      </w:r>
      <w:r>
        <w:rPr>
          <w:rStyle w:val="16"/>
          <w:rFonts w:hint="eastAsia" w:ascii="仿宋" w:hAnsi="仿宋" w:eastAsia="仿宋"/>
          <w:b w:val="0"/>
          <w:bCs w:val="0"/>
        </w:rPr>
        <w:t>般公共预算财政拨款“三公”经费支出决算表</w:t>
      </w:r>
      <w:bookmarkEnd w:id="111"/>
      <w:bookmarkEnd w:id="112"/>
    </w:p>
    <w:p>
      <w:pPr>
        <w:pStyle w:val="3"/>
        <w:rPr>
          <w:rFonts w:ascii="仿宋" w:hAnsi="仿宋" w:eastAsia="仿宋"/>
          <w:color w:val="000000"/>
        </w:rPr>
      </w:pPr>
      <w:bookmarkStart w:id="113" w:name="_Toc17497"/>
      <w:bookmarkStart w:id="114" w:name="_Toc15396629"/>
      <w:r>
        <w:rPr>
          <w:rStyle w:val="16"/>
          <w:rFonts w:hint="eastAsia" w:ascii="仿宋" w:hAnsi="仿宋" w:eastAsia="仿宋"/>
          <w:b w:val="0"/>
          <w:bCs w:val="0"/>
        </w:rPr>
        <w:t>十一、</w:t>
      </w:r>
      <w:r>
        <w:rPr>
          <w:rFonts w:hint="eastAsia" w:ascii="仿宋" w:hAnsi="仿宋" w:eastAsia="仿宋"/>
          <w:b w:val="0"/>
          <w:color w:val="000000"/>
        </w:rPr>
        <w:t>政</w:t>
      </w:r>
      <w:r>
        <w:rPr>
          <w:rStyle w:val="16"/>
          <w:rFonts w:hint="eastAsia" w:ascii="仿宋" w:hAnsi="仿宋" w:eastAsia="仿宋"/>
          <w:b w:val="0"/>
          <w:bCs w:val="0"/>
        </w:rPr>
        <w:t>府性基金预算财政拨款收入支出决算表</w:t>
      </w:r>
      <w:bookmarkEnd w:id="113"/>
      <w:bookmarkEnd w:id="114"/>
    </w:p>
    <w:p>
      <w:pPr>
        <w:pStyle w:val="3"/>
        <w:rPr>
          <w:rFonts w:ascii="仿宋" w:hAnsi="仿宋" w:eastAsia="仿宋"/>
          <w:color w:val="000000"/>
        </w:rPr>
      </w:pPr>
      <w:bookmarkStart w:id="115" w:name="_Toc19925"/>
      <w:bookmarkStart w:id="116" w:name="_Toc15396630"/>
      <w:r>
        <w:rPr>
          <w:rStyle w:val="16"/>
          <w:rFonts w:hint="eastAsia" w:ascii="仿宋" w:hAnsi="仿宋" w:eastAsia="仿宋"/>
          <w:b w:val="0"/>
          <w:bCs w:val="0"/>
        </w:rPr>
        <w:t>十二、</w:t>
      </w:r>
      <w:r>
        <w:rPr>
          <w:rFonts w:hint="eastAsia" w:ascii="仿宋" w:hAnsi="仿宋" w:eastAsia="仿宋"/>
          <w:b w:val="0"/>
          <w:color w:val="000000"/>
        </w:rPr>
        <w:t>政</w:t>
      </w:r>
      <w:r>
        <w:rPr>
          <w:rStyle w:val="16"/>
          <w:rFonts w:hint="eastAsia" w:ascii="仿宋" w:hAnsi="仿宋" w:eastAsia="仿宋"/>
          <w:b w:val="0"/>
          <w:bCs w:val="0"/>
        </w:rPr>
        <w:t>府性基金预算财政拨款“三公”经费支出决算表</w:t>
      </w:r>
      <w:bookmarkEnd w:id="115"/>
      <w:bookmarkEnd w:id="116"/>
    </w:p>
    <w:p>
      <w:pPr>
        <w:pStyle w:val="3"/>
        <w:rPr>
          <w:rFonts w:ascii="仿宋" w:hAnsi="仿宋" w:eastAsia="仿宋"/>
          <w:color w:val="000000" w:themeColor="text1"/>
          <w14:textFill>
            <w14:solidFill>
              <w14:schemeClr w14:val="tx1"/>
            </w14:solidFill>
          </w14:textFill>
        </w:rPr>
      </w:pPr>
      <w:bookmarkStart w:id="117" w:name="_Toc15396631"/>
      <w:bookmarkStart w:id="118" w:name="_Toc4330"/>
      <w:r>
        <w:rPr>
          <w:rStyle w:val="16"/>
          <w:rFonts w:hint="eastAsia" w:ascii="仿宋" w:hAnsi="仿宋" w:eastAsia="仿宋"/>
          <w:b w:val="0"/>
          <w:bCs w:val="0"/>
        </w:rPr>
        <w:t>十三、</w:t>
      </w:r>
      <w:r>
        <w:rPr>
          <w:rFonts w:hint="eastAsia" w:ascii="仿宋" w:hAnsi="仿宋" w:eastAsia="仿宋"/>
          <w:b w:val="0"/>
          <w:color w:val="000000"/>
        </w:rPr>
        <w:t>国</w:t>
      </w:r>
      <w:r>
        <w:rPr>
          <w:rStyle w:val="16"/>
          <w:rFonts w:hint="eastAsia" w:ascii="仿宋" w:hAnsi="仿宋" w:eastAsia="仿宋"/>
          <w:b w:val="0"/>
          <w:bCs w:val="0"/>
        </w:rPr>
        <w:t>有资本经营预算支出决算表</w:t>
      </w:r>
      <w:bookmarkEnd w:id="117"/>
      <w:bookmarkEnd w:id="118"/>
    </w:p>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sdt>
      <w:sdtPr>
        <w:rPr>
          <w:rFonts w:hint="default"/>
          <w:lang w:val="en-US"/>
        </w:rPr>
        <w:id w:val="-1994781956"/>
      </w:sdtPr>
      <w:sdtEndPr>
        <w:rPr>
          <w:rFonts w:hint="default"/>
          <w:lang w:val="en-US"/>
        </w:rPr>
      </w:sdtEndPr>
      <w:sdtContent/>
    </w:sdt>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dotDash"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8D8B40"/>
    <w:multiLevelType w:val="singleLevel"/>
    <w:tmpl w:val="CE8D8B4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05D070D"/>
    <w:multiLevelType w:val="singleLevel"/>
    <w:tmpl w:val="705D070D"/>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E40C0C"/>
    <w:rsid w:val="010821BF"/>
    <w:rsid w:val="25E40C0C"/>
    <w:rsid w:val="2AE83CFC"/>
    <w:rsid w:val="2D6A6902"/>
    <w:rsid w:val="352C6944"/>
    <w:rsid w:val="41570CF5"/>
    <w:rsid w:val="505B0F0C"/>
    <w:rsid w:val="55EB72C2"/>
    <w:rsid w:val="5BB24631"/>
    <w:rsid w:val="5CE57270"/>
    <w:rsid w:val="72A656FA"/>
    <w:rsid w:val="75EC48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beforeLines="30"/>
    </w:pPr>
    <w:rPr>
      <w:rFonts w:ascii="仿宋_GB2312" w:eastAsia="仿宋_GB2312"/>
      <w:kern w:val="0"/>
      <w:sz w:val="30"/>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9">
    <w:name w:val="toc 2"/>
    <w:basedOn w:val="1"/>
    <w:next w:val="1"/>
    <w:qFormat/>
    <w:uiPriority w:val="0"/>
    <w:pPr>
      <w:tabs>
        <w:tab w:val="right" w:leader="dot" w:pos="8296"/>
      </w:tabs>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Hyperlink"/>
    <w:basedOn w:val="12"/>
    <w:qFormat/>
    <w:uiPriority w:val="0"/>
    <w:rPr>
      <w:color w:val="0563C1" w:themeColor="hyperlink"/>
      <w:u w:val="single"/>
      <w14:textFill>
        <w14:solidFill>
          <w14:schemeClr w14:val="hlink"/>
        </w14:solidFill>
      </w14:textFill>
    </w:rPr>
  </w:style>
  <w:style w:type="character" w:customStyle="1" w:styleId="15">
    <w:name w:val="标题 1 字符"/>
    <w:basedOn w:val="12"/>
    <w:link w:val="2"/>
    <w:qFormat/>
    <w:uiPriority w:val="9"/>
    <w:rPr>
      <w:b/>
      <w:bCs/>
      <w:kern w:val="44"/>
      <w:sz w:val="44"/>
      <w:szCs w:val="44"/>
    </w:rPr>
  </w:style>
  <w:style w:type="character" w:customStyle="1" w:styleId="16">
    <w:name w:val="标题 2 字符"/>
    <w:basedOn w:val="12"/>
    <w:link w:val="3"/>
    <w:qFormat/>
    <w:uiPriority w:val="9"/>
    <w:rPr>
      <w:rFonts w:asciiTheme="majorHAnsi" w:hAnsiTheme="majorHAnsi" w:eastAsiaTheme="majorEastAsia" w:cstheme="majorBidi"/>
      <w:b/>
      <w:bCs/>
      <w:sz w:val="32"/>
      <w:szCs w:val="32"/>
    </w:rPr>
  </w:style>
  <w:style w:type="paragraph" w:customStyle="1"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rPr>
  </w:style>
  <w:style w:type="character" w:customStyle="1" w:styleId="20">
    <w:name w:val="标题 1 Char"/>
    <w:basedOn w:val="12"/>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fp5896\Chart3%20in%20Wp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1\AppData\Local\Temp\wps.fp5896\Chart3%20in%20Wps.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1\AppData\Local\Temp\wps.fp5896\Chart3%20in%20Wps.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1\AppData\Local\Temp\wps.fp5896\Chart3%20in%20Wps.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1\AppData\Local\Temp\wps.fp5896\Chart3%20in%20Wps.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红原县工商业联合会收、支决算总计变动情况图</a:t>
            </a:r>
          </a:p>
        </c:rich>
      </c:tx>
      <c:layout>
        <c:manualLayout>
          <c:xMode val="edge"/>
          <c:yMode val="edge"/>
          <c:x val="0.118611111111111"/>
          <c:y val="0.0381944444444444"/>
        </c:manualLayout>
      </c:layout>
      <c:overlay val="0"/>
      <c:spPr>
        <a:noFill/>
        <a:ln>
          <a:noFill/>
        </a:ln>
        <a:effectLst/>
      </c:spPr>
    </c:title>
    <c:autoTitleDeleted val="0"/>
    <c:plotArea>
      <c:layout>
        <c:manualLayout>
          <c:layoutTarget val="inner"/>
          <c:xMode val="edge"/>
          <c:yMode val="edge"/>
          <c:x val="0.0748055555555556"/>
          <c:y val="0.250694444444444"/>
          <c:w val="0.894638888888889"/>
          <c:h val="0.528333333333333"/>
        </c:manualLayout>
      </c:layout>
      <c:barChart>
        <c:barDir val="col"/>
        <c:grouping val="clustered"/>
        <c:varyColors val="0"/>
        <c:ser>
          <c:idx val="0"/>
          <c:order val="0"/>
          <c:tx>
            <c:strRef>
              <c:f>'[Chart3 in Wps.xlsx]Sheet1'!$A$2</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'[Chart3 in Wps.xlsx]Sheet1'!$B$1:$C$1</c:f>
              <c:strCache>
                <c:ptCount val="2"/>
                <c:pt idx="0">
                  <c:v>收入</c:v>
                </c:pt>
                <c:pt idx="1">
                  <c:v>支出</c:v>
                </c:pt>
              </c:strCache>
            </c:strRef>
          </c:cat>
          <c:val>
            <c:numRef>
              <c:f>'[Chart3 in Wps.xlsx]Sheet1'!$B$2:$C$2</c:f>
              <c:numCache>
                <c:formatCode>General</c:formatCode>
                <c:ptCount val="2"/>
                <c:pt idx="0">
                  <c:v>143.68</c:v>
                </c:pt>
                <c:pt idx="1">
                  <c:v>140.67</c:v>
                </c:pt>
              </c:numCache>
            </c:numRef>
          </c:val>
        </c:ser>
        <c:ser>
          <c:idx val="1"/>
          <c:order val="1"/>
          <c:tx>
            <c:strRef>
              <c:f>'[Chart3 in Wps.xlsx]Sheet1'!$A$3</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'[Chart3 in Wps.xlsx]Sheet1'!$B$1:$C$1</c:f>
              <c:strCache>
                <c:ptCount val="2"/>
                <c:pt idx="0">
                  <c:v>收入</c:v>
                </c:pt>
                <c:pt idx="1">
                  <c:v>支出</c:v>
                </c:pt>
              </c:strCache>
            </c:strRef>
          </c:cat>
          <c:val>
            <c:numRef>
              <c:f>'[Chart3 in Wps.xlsx]Sheet1'!$B$3:$C$3</c:f>
              <c:numCache>
                <c:formatCode>General</c:formatCode>
                <c:ptCount val="2"/>
                <c:pt idx="0">
                  <c:v>143.69</c:v>
                </c:pt>
                <c:pt idx="1">
                  <c:v>151.68</c:v>
                </c:pt>
              </c:numCache>
            </c:numRef>
          </c:val>
        </c:ser>
        <c:dLbls>
          <c:showLegendKey val="0"/>
          <c:showVal val="1"/>
          <c:showCatName val="0"/>
          <c:showSerName val="0"/>
          <c:showPercent val="0"/>
          <c:showBubbleSize val="0"/>
        </c:dLbls>
        <c:gapWidth val="219"/>
        <c:overlap val="-27"/>
        <c:axId val="513589751"/>
        <c:axId val="470190303"/>
      </c:barChart>
      <c:catAx>
        <c:axId val="5135897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90303"/>
        <c:crosses val="autoZero"/>
        <c:auto val="1"/>
        <c:lblAlgn val="ctr"/>
        <c:lblOffset val="100"/>
        <c:noMultiLvlLbl val="0"/>
      </c:catAx>
      <c:valAx>
        <c:axId val="470190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58975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99861111111111"/>
          <c:y val="0.172685185185185"/>
          <c:w val="0.400277777777778"/>
          <c:h val="0.66712962962963"/>
        </c:manualLayout>
      </c:layout>
      <c:pieChart>
        <c:varyColors val="1"/>
        <c:ser>
          <c:idx val="0"/>
          <c:order val="0"/>
          <c:tx>
            <c:strRef>
              <c:f>'[Chart3 in Wps.xlsx]Sheet1'!$A$5</c:f>
              <c:strCache>
                <c:ptCount val="1"/>
                <c:pt idx="0">
                  <c:v>本年收入</c:v>
                </c:pt>
              </c:strCache>
            </c:strRef>
          </c:tx>
          <c:spPr/>
          <c:explosion val="0"/>
          <c:dPt>
            <c:idx val="0"/>
            <c:bubble3D val="0"/>
            <c:spPr>
              <a:solidFill>
                <a:schemeClr val="accent1"/>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'[Chart3 in Wps.xlsx]Sheet1'!$B$4</c:f>
              <c:strCache>
                <c:ptCount val="1"/>
                <c:pt idx="0">
                  <c:v>2019年</c:v>
                </c:pt>
              </c:strCache>
            </c:strRef>
          </c:cat>
          <c:val>
            <c:numRef>
              <c:f>'[Chart3 in Wps.xlsx]Sheet1'!$B$5</c:f>
              <c:numCache>
                <c:formatCode>General</c:formatCode>
                <c:ptCount val="1"/>
                <c:pt idx="0">
                  <c:v>143.69</c:v>
                </c:pt>
              </c:numCache>
            </c:numRef>
          </c:val>
        </c:ser>
        <c:ser>
          <c:idx val="1"/>
          <c:order val="1"/>
          <c:tx>
            <c:strRef>
              <c:f>'[Chart3 in Wps.xlsx]Sheet1'!$A$6</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delete val="1"/>
          </c:dLbls>
          <c:cat>
            <c:strRef>
              <c:f>'[Chart3 in Wps.xlsx]Sheet1'!$B$4</c:f>
              <c:strCache>
                <c:ptCount val="1"/>
                <c:pt idx="0">
                  <c:v>2019年</c:v>
                </c:pt>
              </c:strCache>
            </c:strRef>
          </c:cat>
          <c:val>
            <c:numRef>
              <c:f>'[Chart3 in Wps.xlsx]Sheet1'!$B$6</c:f>
              <c:numCache>
                <c:formatCode>General</c:formatCode>
                <c:ptCount val="1"/>
                <c:pt idx="0">
                  <c:v>143.69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'[Chart3 in Wps.xlsx]Sheet1'!$A$5</c:f>
              <c:strCache>
                <c:ptCount val="1"/>
                <c:pt idx="0">
                  <c:v>本年支出</c:v>
                </c:pt>
              </c:strCache>
            </c:strRef>
          </c:tx>
          <c:spPr/>
          <c:explosion val="0"/>
          <c:dPt>
            <c:idx val="0"/>
            <c:bubble3D val="0"/>
            <c:spPr>
              <a:solidFill>
                <a:schemeClr val="accent1"/>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'[Chart3 in Wps.xlsx]Sheet1'!$B$4</c:f>
              <c:strCache>
                <c:ptCount val="1"/>
                <c:pt idx="0">
                  <c:v>2019年</c:v>
                </c:pt>
              </c:strCache>
            </c:strRef>
          </c:cat>
          <c:val>
            <c:numRef>
              <c:f>'[Chart3 in Wps.xlsx]Sheet1'!$B$5</c:f>
              <c:numCache>
                <c:formatCode>General</c:formatCode>
                <c:ptCount val="1"/>
                <c:pt idx="0">
                  <c:v>151.68</c:v>
                </c:pt>
              </c:numCache>
            </c:numRef>
          </c:val>
        </c:ser>
        <c:ser>
          <c:idx val="1"/>
          <c:order val="1"/>
          <c:tx>
            <c:strRef>
              <c:f>'[Chart3 in Wps.xlsx]Sheet1'!$A$6</c:f>
              <c:strCache>
                <c:ptCount val="1"/>
                <c:pt idx="0">
                  <c:v>基本支出</c:v>
                </c:pt>
              </c:strCache>
            </c:strRef>
          </c:tx>
          <c:spPr/>
          <c:explosion val="0"/>
          <c:dPt>
            <c:idx val="0"/>
            <c:bubble3D val="0"/>
            <c:spPr>
              <a:solidFill>
                <a:schemeClr val="accent1"/>
              </a:solidFill>
              <a:ln w="19050">
                <a:solidFill>
                  <a:schemeClr val="lt1"/>
                </a:solidFill>
              </a:ln>
              <a:effectLst/>
            </c:spPr>
          </c:dPt>
          <c:dLbls>
            <c:delete val="1"/>
          </c:dLbls>
          <c:cat>
            <c:strRef>
              <c:f>'[Chart3 in Wps.xlsx]Sheet1'!$B$4</c:f>
              <c:strCache>
                <c:ptCount val="1"/>
                <c:pt idx="0">
                  <c:v>2019年</c:v>
                </c:pt>
              </c:strCache>
            </c:strRef>
          </c:cat>
          <c:val>
            <c:numRef>
              <c:f>'[Chart3 in Wps.xlsx]Sheet1'!$B$6</c:f>
              <c:numCache>
                <c:formatCode>General</c:formatCode>
                <c:ptCount val="1"/>
                <c:pt idx="0">
                  <c:v>151.68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红原县工商业联合会收、支决算总计变动情况图</a:t>
            </a:r>
          </a:p>
        </c:rich>
      </c:tx>
      <c:layout>
        <c:manualLayout>
          <c:xMode val="edge"/>
          <c:yMode val="edge"/>
          <c:x val="0.118611111111111"/>
          <c:y val="0.0381944444444444"/>
        </c:manualLayout>
      </c:layout>
      <c:overlay val="0"/>
      <c:spPr>
        <a:noFill/>
        <a:ln>
          <a:noFill/>
        </a:ln>
        <a:effectLst/>
      </c:spPr>
    </c:title>
    <c:autoTitleDeleted val="0"/>
    <c:plotArea>
      <c:layout>
        <c:manualLayout>
          <c:layoutTarget val="inner"/>
          <c:xMode val="edge"/>
          <c:yMode val="edge"/>
          <c:x val="0.0748055555555556"/>
          <c:y val="0.250694444444444"/>
          <c:w val="0.894638888888889"/>
          <c:h val="0.528333333333333"/>
        </c:manualLayout>
      </c:layout>
      <c:barChart>
        <c:barDir val="col"/>
        <c:grouping val="clustered"/>
        <c:varyColors val="0"/>
        <c:ser>
          <c:idx val="0"/>
          <c:order val="0"/>
          <c:tx>
            <c:strRef>
              <c:f>'[Chart3 in Wps.xlsx]Sheet1'!$A$2</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'[Chart3 in Wps.xlsx]Sheet1'!$B$1:$C$1</c:f>
              <c:strCache>
                <c:ptCount val="2"/>
                <c:pt idx="0">
                  <c:v>收入</c:v>
                </c:pt>
                <c:pt idx="1">
                  <c:v>支出</c:v>
                </c:pt>
              </c:strCache>
            </c:strRef>
          </c:cat>
          <c:val>
            <c:numRef>
              <c:f>'[Chart3 in Wps.xlsx]Sheet1'!$B$2:$C$2</c:f>
              <c:numCache>
                <c:formatCode>General</c:formatCode>
                <c:ptCount val="2"/>
                <c:pt idx="0">
                  <c:v>143.68</c:v>
                </c:pt>
                <c:pt idx="1">
                  <c:v>140.67</c:v>
                </c:pt>
              </c:numCache>
            </c:numRef>
          </c:val>
        </c:ser>
        <c:ser>
          <c:idx val="1"/>
          <c:order val="1"/>
          <c:tx>
            <c:strRef>
              <c:f>'[Chart3 in Wps.xlsx]Sheet1'!$A$3</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'[Chart3 in Wps.xlsx]Sheet1'!$B$1:$C$1</c:f>
              <c:strCache>
                <c:ptCount val="2"/>
                <c:pt idx="0">
                  <c:v>收入</c:v>
                </c:pt>
                <c:pt idx="1">
                  <c:v>支出</c:v>
                </c:pt>
              </c:strCache>
            </c:strRef>
          </c:cat>
          <c:val>
            <c:numRef>
              <c:f>'[Chart3 in Wps.xlsx]Sheet1'!$B$3:$C$3</c:f>
              <c:numCache>
                <c:formatCode>General</c:formatCode>
                <c:ptCount val="2"/>
                <c:pt idx="0">
                  <c:v>143.69</c:v>
                </c:pt>
                <c:pt idx="1">
                  <c:v>151.68</c:v>
                </c:pt>
              </c:numCache>
            </c:numRef>
          </c:val>
        </c:ser>
        <c:dLbls>
          <c:showLegendKey val="0"/>
          <c:showVal val="1"/>
          <c:showCatName val="0"/>
          <c:showSerName val="0"/>
          <c:showPercent val="0"/>
          <c:showBubbleSize val="0"/>
        </c:dLbls>
        <c:gapWidth val="219"/>
        <c:overlap val="-27"/>
        <c:axId val="513589751"/>
        <c:axId val="470190303"/>
      </c:barChart>
      <c:catAx>
        <c:axId val="5135897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90303"/>
        <c:crosses val="autoZero"/>
        <c:auto val="1"/>
        <c:lblAlgn val="ctr"/>
        <c:lblOffset val="100"/>
        <c:noMultiLvlLbl val="0"/>
      </c:catAx>
      <c:valAx>
        <c:axId val="470190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58975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8888888888889"/>
          <c:y val="0.0782407407407407"/>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'[Chart3 in Wps.xlsx]Sheet1'!$B$8</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'[Chart3 in Wps.xlsx]Sheet1'!$A$9:$A$10</c:f>
              <c:strCache>
                <c:ptCount val="2"/>
                <c:pt idx="0">
                  <c:v>2018年</c:v>
                </c:pt>
                <c:pt idx="1">
                  <c:v>2019年</c:v>
                </c:pt>
              </c:strCache>
            </c:strRef>
          </c:cat>
          <c:val>
            <c:numRef>
              <c:f>'[Chart3 in Wps.xlsx]Sheet1'!$B$9:$B$10</c:f>
              <c:numCache>
                <c:formatCode>General</c:formatCode>
                <c:ptCount val="2"/>
                <c:pt idx="0">
                  <c:v>140.67</c:v>
                </c:pt>
                <c:pt idx="1">
                  <c:v>151.68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2019年一般公共预算财政拨款支出</a:t>
            </a:r>
          </a:p>
        </c:rich>
      </c:tx>
      <c:layout>
        <c:manualLayout>
          <c:xMode val="edge"/>
          <c:yMode val="edge"/>
          <c:x val="0.195694444444444"/>
          <c:y val="0.0347222222222222"/>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[工作簿2]Sheet1!$A$2:$D$5</c:f>
              <c:multiLvlStrCache>
                <c:ptCount val="4"/>
                <c:lvl>
                  <c:pt idx="0">
                    <c:v>一般公共服务支出</c:v>
                  </c:pt>
                  <c:pt idx="1">
                    <c:v>社会保障和就业支出</c:v>
                  </c:pt>
                  <c:pt idx="2">
                    <c:v>卫生健康支出</c:v>
                  </c:pt>
                  <c:pt idx="3">
                    <c:v>住房保障支出</c:v>
                  </c:pt>
                </c:lvl>
                <c:lvl/>
                <c:lvl/>
                <c:lvl>
                  <c:pt idx="0">
                    <c:v>201</c:v>
                  </c:pt>
                  <c:pt idx="1">
                    <c:v>208</c:v>
                  </c:pt>
                  <c:pt idx="2">
                    <c:v>210</c:v>
                  </c:pt>
                  <c:pt idx="3">
                    <c:v>221</c:v>
                  </c:pt>
                </c:lvl>
              </c:multiLvlStrCache>
            </c:multiLvlStrRef>
          </c:cat>
          <c:val>
            <c:numRef>
              <c:f>[工作簿2]Sheet1!$E$2:$E$5</c:f>
              <c:numCache>
                <c:formatCode>#,##0.00</c:formatCode>
                <c:ptCount val="4"/>
                <c:pt idx="0">
                  <c:v>114.47</c:v>
                </c:pt>
                <c:pt idx="1">
                  <c:v>19.37</c:v>
                </c:pt>
                <c:pt idx="2">
                  <c:v>7.31</c:v>
                </c:pt>
                <c:pt idx="3">
                  <c:v>10.54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9305555555556"/>
          <c:y val="0.1625"/>
          <c:w val="0.400555555555556"/>
          <c:h val="0.667592592592593"/>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“三公”经费财政拨款支出结构</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454861111111111"/>
                      <c:h val="0.13773148148148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[工作簿1]Sheet1!$A$8:$A$11</c:f>
              <c:strCache>
                <c:ptCount val="4"/>
                <c:pt idx="0">
                  <c:v>因公出国（境）费用</c:v>
                </c:pt>
                <c:pt idx="1">
                  <c:v>公务用车购置费</c:v>
                </c:pt>
                <c:pt idx="2">
                  <c:v>公务用车运行费</c:v>
                </c:pt>
                <c:pt idx="3">
                  <c:v>公务接待费</c:v>
                </c:pt>
              </c:strCache>
            </c:strRef>
          </c:cat>
          <c:val>
            <c:numRef>
              <c:f>[工作簿1]Sheet1!$B$8:$B$11</c:f>
              <c:numCache>
                <c:formatCode>General</c:formatCode>
                <c:ptCount val="4"/>
                <c:pt idx="0">
                  <c:v>0</c:v>
                </c:pt>
                <c:pt idx="1">
                  <c:v>0</c:v>
                </c:pt>
                <c:pt idx="2">
                  <c:v>1.05</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2020-10-12T07:43:00Z</dcterms:created>
  <dc:creator>Administrator</dc:creator>
  <cp:lastModifiedBy>R.u.n 2</cp:lastModifiedBy>
  <dcterms:modified xsi:type="dcterms:W3CDTF">2020-11-18T09:22:46Z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