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lang w:eastAsia="zh-CN"/>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193"/>
      <w:bookmarkStart w:id="3" w:name="_Toc15396475"/>
      <w:bookmarkStart w:id="4" w:name="_Toc15377425"/>
      <w:bookmarkStart w:id="5" w:name="_Toc15378441"/>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06268"/>
      <w:bookmarkStart w:id="7" w:name="_Toc15378442"/>
      <w:bookmarkStart w:id="8" w:name="_Toc15377194"/>
      <w:bookmarkStart w:id="9" w:name="_Toc15396476"/>
      <w:bookmarkStart w:id="10" w:name="_Toc15396598"/>
      <w:bookmarkStart w:id="11" w:name="_Toc15377426"/>
      <w:r>
        <w:rPr>
          <w:rFonts w:hint="eastAsia" w:ascii="方正小标宋简体" w:hAnsi="宋体" w:eastAsia="方正小标宋简体"/>
          <w:color w:val="000000"/>
          <w:sz w:val="72"/>
          <w:szCs w:val="72"/>
          <w:lang w:eastAsia="zh-CN"/>
        </w:rPr>
        <w:t>红原县工商业联合会</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6"/>
          <w:rFonts w:hint="eastAsia"/>
        </w:rPr>
        <w:t>第一部分</w:t>
      </w:r>
      <w:r>
        <w:rPr>
          <w:rStyle w:val="16"/>
        </w:rPr>
        <w:t xml:space="preserve"> </w:t>
      </w:r>
      <w:r>
        <w:rPr>
          <w:rStyle w:val="16"/>
          <w:rFonts w:hint="eastAsia"/>
        </w:rPr>
        <w:t>部门概况</w:t>
      </w:r>
      <w:r>
        <w:tab/>
      </w:r>
      <w:r>
        <w:rPr>
          <w:rFonts w:hint="eastAsia"/>
          <w:lang w:val="en-US" w:eastAsia="zh-CN"/>
        </w:rPr>
        <w:t>1</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lang w:val="en-US" w:eastAsia="zh-CN"/>
        </w:rPr>
        <w:t>1</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p>
    <w:p>
      <w:pPr>
        <w:pStyle w:val="10"/>
        <w:rPr>
          <w:rFonts w:hint="eastAsia" w:eastAsia="仿宋"/>
          <w:lang w:val="en-US" w:eastAsia="zh-CN"/>
        </w:rPr>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tab/>
      </w:r>
      <w:r>
        <w:rPr>
          <w:rFonts w:hint="eastAsia"/>
          <w:lang w:val="en-US" w:eastAsia="zh-CN"/>
        </w:rPr>
        <w:t>3</w:t>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lang w:val="en-US" w:eastAsia="zh-CN"/>
        </w:rPr>
        <w:t>5</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lang w:val="en-US" w:eastAsia="zh-CN"/>
        </w:rPr>
        <w:t>8</w:t>
      </w:r>
      <w:r>
        <w:rPr>
          <w:rFonts w:ascii="仿宋" w:hAnsi="仿宋" w:eastAsia="仿宋"/>
          <w:sz w:val="28"/>
          <w:szCs w:val="28"/>
        </w:rPr>
        <w:fldChar w:fldCharType="end"/>
      </w:r>
    </w:p>
    <w:p>
      <w:pPr>
        <w:pStyle w:val="11"/>
        <w:rPr>
          <w:rFonts w:hint="eastAsia" w:ascii="仿宋" w:hAnsi="仿宋" w:eastAsia="仿宋" w:cstheme="minorBidi"/>
          <w:sz w:val="28"/>
          <w:szCs w:val="28"/>
          <w:lang w:val="en-US" w:eastAsia="zh-CN"/>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9</w:t>
      </w:r>
    </w:p>
    <w:p>
      <w:pPr>
        <w:pStyle w:val="11"/>
        <w:rPr>
          <w:rFonts w:hint="eastAsia" w:ascii="仿宋" w:hAnsi="仿宋" w:eastAsia="仿宋"/>
          <w:sz w:val="28"/>
          <w:szCs w:val="28"/>
          <w:lang w:val="en-US" w:eastAsia="zh-CN"/>
        </w:rPr>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9</w:t>
      </w:r>
    </w:p>
    <w:p>
      <w:pPr>
        <w:ind w:left="420" w:leftChars="200" w:firstLine="0" w:firstLineChars="0"/>
        <w:rPr>
          <w:rFonts w:hint="default" w:eastAsia="仿宋"/>
          <w:sz w:val="28"/>
          <w:szCs w:val="28"/>
          <w:lang w:val="en-US" w:eastAsia="zh-CN"/>
        </w:rPr>
      </w:pPr>
      <w:r>
        <w:rPr>
          <w:rFonts w:hint="eastAsia" w:eastAsia="仿宋"/>
          <w:sz w:val="28"/>
          <w:szCs w:val="28"/>
          <w:lang w:val="en-US" w:eastAsia="zh-CN"/>
        </w:rPr>
        <w:t>十、 预算绩效情况说明....................................................................9</w:t>
      </w:r>
    </w:p>
    <w:p>
      <w:pPr>
        <w:pStyle w:val="11"/>
        <w:rPr>
          <w:rFonts w:hint="default" w:ascii="仿宋" w:hAnsi="仿宋" w:eastAsia="仿宋" w:cstheme="minorBidi"/>
          <w:sz w:val="28"/>
          <w:szCs w:val="28"/>
          <w:lang w:val="en-US" w:eastAsia="zh-CN"/>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13</w:t>
      </w:r>
    </w:p>
    <w:p>
      <w:pPr>
        <w:pStyle w:val="10"/>
        <w:rPr>
          <w:rFonts w:hint="default" w:eastAsia="仿宋" w:cstheme="minorBidi"/>
          <w:lang w:val="en-US" w:eastAsia="zh-CN"/>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tab/>
      </w:r>
      <w:r>
        <w:fldChar w:fldCharType="end"/>
      </w:r>
      <w:r>
        <w:rPr>
          <w:rFonts w:hint="eastAsia"/>
          <w:lang w:val="en-US" w:eastAsia="zh-CN"/>
        </w:rPr>
        <w:t>14</w:t>
      </w:r>
    </w:p>
    <w:p>
      <w:pPr>
        <w:pStyle w:val="10"/>
        <w:rPr>
          <w:rFonts w:hint="default" w:eastAsia="仿宋" w:cstheme="minorBidi"/>
          <w:lang w:val="en-US" w:eastAsia="zh-CN"/>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w:t>
      </w:r>
      <w:r>
        <w:rPr>
          <w:rStyle w:val="16"/>
          <w:bCs/>
          <w:kern w:val="44"/>
        </w:rPr>
        <w:t xml:space="preserve"> </w:t>
      </w:r>
      <w:r>
        <w:rPr>
          <w:rStyle w:val="16"/>
          <w:rFonts w:hint="eastAsia"/>
          <w:bCs/>
          <w:kern w:val="44"/>
        </w:rPr>
        <w:t>附件</w:t>
      </w:r>
      <w:r>
        <w:tab/>
      </w:r>
      <w:r>
        <w:fldChar w:fldCharType="end"/>
      </w:r>
      <w:r>
        <w:rPr>
          <w:rFonts w:hint="eastAsia"/>
          <w:lang w:val="en-US" w:eastAsia="zh-CN"/>
        </w:rPr>
        <w:t>16</w:t>
      </w:r>
    </w:p>
    <w:p>
      <w:pPr>
        <w:pStyle w:val="11"/>
        <w:rPr>
          <w:rFonts w:hint="default" w:ascii="仿宋" w:hAnsi="仿宋" w:eastAsia="仿宋" w:cstheme="minorBidi"/>
          <w:sz w:val="28"/>
          <w:szCs w:val="28"/>
          <w:lang w:val="en-US" w:eastAsia="zh-CN"/>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16</w:t>
      </w:r>
    </w:p>
    <w:p>
      <w:pPr>
        <w:pStyle w:val="11"/>
        <w:rPr>
          <w:rFonts w:hint="eastAsia" w:ascii="仿宋" w:hAnsi="仿宋" w:eastAsia="仿宋" w:cstheme="minorBidi"/>
          <w:sz w:val="28"/>
          <w:szCs w:val="28"/>
          <w:lang w:val="en-US" w:eastAsia="zh-CN"/>
        </w:rPr>
      </w:pPr>
      <w:r>
        <w:fldChar w:fldCharType="begin"/>
      </w:r>
      <w:r>
        <w:instrText xml:space="preserve"> HYPERLINK \l "_Toc15396617"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2</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0"/>
        <w:rPr>
          <w:rFonts w:hint="default" w:eastAsia="仿宋" w:cstheme="minorBidi"/>
          <w:lang w:val="en-US" w:eastAsia="zh-CN"/>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w:t>
      </w:r>
      <w:r>
        <w:rPr>
          <w:rStyle w:val="16"/>
          <w:bCs/>
          <w:kern w:val="44"/>
        </w:rPr>
        <w:t xml:space="preserve"> </w:t>
      </w:r>
      <w:r>
        <w:rPr>
          <w:rStyle w:val="16"/>
          <w:rFonts w:hint="eastAsia"/>
          <w:bCs/>
          <w:kern w:val="44"/>
        </w:rPr>
        <w:t>附表</w:t>
      </w:r>
      <w:r>
        <w:tab/>
      </w:r>
      <w:r>
        <w:fldChar w:fldCharType="end"/>
      </w:r>
      <w:r>
        <w:rPr>
          <w:rFonts w:hint="eastAsia"/>
          <w:lang w:val="en-US" w:eastAsia="zh-CN"/>
        </w:rPr>
        <w:t>23</w:t>
      </w:r>
    </w:p>
    <w:p>
      <w:pPr>
        <w:pStyle w:val="11"/>
        <w:rPr>
          <w:rFonts w:hint="default" w:ascii="仿宋" w:hAnsi="仿宋" w:eastAsia="仿宋" w:cstheme="minorBidi"/>
          <w:sz w:val="28"/>
          <w:szCs w:val="28"/>
          <w:lang w:val="en-US" w:eastAsia="zh-CN"/>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23</w:t>
      </w:r>
    </w:p>
    <w:p>
      <w:pPr>
        <w:pStyle w:val="11"/>
        <w:rPr>
          <w:rFonts w:hint="default" w:ascii="仿宋" w:hAnsi="仿宋" w:eastAsia="仿宋" w:cstheme="minorBidi"/>
          <w:sz w:val="28"/>
          <w:szCs w:val="28"/>
          <w:lang w:val="en-US" w:eastAsia="zh-CN"/>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25</w:t>
      </w:r>
    </w:p>
    <w:p>
      <w:pPr>
        <w:pStyle w:val="11"/>
        <w:rPr>
          <w:rFonts w:hint="default" w:ascii="仿宋" w:hAnsi="仿宋" w:eastAsia="仿宋" w:cstheme="minorBidi"/>
          <w:sz w:val="28"/>
          <w:szCs w:val="28"/>
          <w:lang w:val="en-US" w:eastAsia="zh-CN"/>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27</w:t>
      </w:r>
    </w:p>
    <w:p>
      <w:pPr>
        <w:pStyle w:val="11"/>
        <w:rPr>
          <w:rFonts w:hint="default" w:ascii="仿宋" w:hAnsi="仿宋" w:eastAsia="仿宋" w:cstheme="minorBidi"/>
          <w:sz w:val="28"/>
          <w:szCs w:val="28"/>
          <w:lang w:val="en-US" w:eastAsia="zh-CN"/>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29</w:t>
      </w:r>
    </w:p>
    <w:p>
      <w:pPr>
        <w:pStyle w:val="11"/>
        <w:rPr>
          <w:rFonts w:hint="default" w:ascii="仿宋" w:hAnsi="仿宋" w:eastAsia="仿宋"/>
          <w:sz w:val="28"/>
          <w:szCs w:val="28"/>
          <w:lang w:val="en-US" w:eastAsia="zh-CN"/>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lang w:eastAsia="zh-CN"/>
        </w:rPr>
        <w:t>一般公共预算财政拨款收入支出决算表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31</w:t>
      </w:r>
    </w:p>
    <w:p>
      <w:pPr>
        <w:pStyle w:val="11"/>
        <w:rPr>
          <w:rFonts w:hint="eastAsia" w:ascii="仿宋" w:hAnsi="仿宋" w:eastAsia="仿宋"/>
          <w:sz w:val="28"/>
          <w:szCs w:val="28"/>
          <w:lang w:val="en-US" w:eastAsia="zh-CN"/>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w:t>
      </w:r>
      <w:r>
        <w:rPr>
          <w:rStyle w:val="16"/>
          <w:rFonts w:hint="eastAsia" w:ascii="仿宋" w:hAnsi="仿宋" w:eastAsia="仿宋"/>
          <w:sz w:val="28"/>
          <w:szCs w:val="28"/>
          <w:lang w:eastAsia="zh-CN"/>
        </w:rPr>
        <w:t>基本</w:t>
      </w:r>
      <w:r>
        <w:rPr>
          <w:rStyle w:val="16"/>
          <w:rFonts w:hint="eastAsia" w:ascii="仿宋" w:hAnsi="仿宋" w:eastAsia="仿宋"/>
          <w:sz w:val="28"/>
          <w:szCs w:val="28"/>
        </w:rPr>
        <w:t>支出决算表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33</w:t>
      </w:r>
    </w:p>
    <w:p>
      <w:pPr>
        <w:ind w:firstLine="486" w:firstLine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七、决算公开表........................................35</w:t>
      </w:r>
    </w:p>
    <w:p>
      <w:pPr>
        <w:widowControl/>
        <w:jc w:val="left"/>
        <w:rPr>
          <w:rFonts w:ascii="仿宋" w:hAnsi="仿宋" w:eastAsia="仿宋"/>
          <w:color w:val="000000"/>
          <w:sz w:val="24"/>
        </w:rPr>
      </w:pPr>
      <w:r>
        <w:rPr>
          <w:rFonts w:ascii="仿宋" w:hAnsi="仿宋" w:eastAsia="仿宋"/>
          <w:color w:val="000000"/>
          <w:sz w:val="24"/>
        </w:rPr>
        <w:fldChar w:fldCharType="end"/>
      </w:r>
    </w:p>
    <w:p>
      <w:pPr>
        <w:pStyle w:val="2"/>
        <w:jc w:val="center"/>
        <w:rPr>
          <w:rFonts w:hint="eastAsia" w:ascii="黑体" w:hAnsi="黑体" w:eastAsia="黑体"/>
          <w:b w:val="0"/>
        </w:rPr>
        <w:sectPr>
          <w:headerReference r:id="rId4" w:type="first"/>
          <w:footerReference r:id="rId6" w:type="first"/>
          <w:headerReference r:id="rId3" w:type="default"/>
          <w:footerReference r:id="rId5" w:type="default"/>
          <w:pgSz w:w="11906" w:h="16838"/>
          <w:pgMar w:top="1440" w:right="1800" w:bottom="1440" w:left="1800" w:header="851" w:footer="992" w:gutter="0"/>
          <w:pgNumType w:start="1"/>
          <w:cols w:space="425" w:num="1"/>
          <w:titlePg/>
          <w:docGrid w:type="lines" w:linePitch="312" w:charSpace="0"/>
        </w:sectPr>
      </w:pPr>
      <w:bookmarkStart w:id="12" w:name="_Toc15377196"/>
      <w:bookmarkStart w:id="13" w:name="_Toc15396599"/>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pStyle w:val="3"/>
        <w:rPr>
          <w:rStyle w:val="26"/>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snapToGrid w:val="0"/>
        <w:spacing w:line="520" w:lineRule="exact"/>
        <w:ind w:firstLine="643" w:firstLineChars="200"/>
        <w:rPr>
          <w:rFonts w:hint="eastAsia" w:ascii="楷体_GB2312" w:hAnsi="仿宋" w:eastAsia="楷体_GB2312"/>
          <w:b/>
          <w:sz w:val="32"/>
          <w:szCs w:val="32"/>
        </w:rPr>
      </w:pPr>
      <w:r>
        <w:rPr>
          <w:rFonts w:hint="eastAsia" w:ascii="楷体_GB2312" w:hAnsi="仿宋" w:eastAsia="楷体_GB2312"/>
          <w:b/>
          <w:sz w:val="32"/>
          <w:szCs w:val="32"/>
        </w:rPr>
        <w:t>（一）基本情况。</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1．主要职能。</w:t>
      </w:r>
    </w:p>
    <w:p>
      <w:pPr>
        <w:ind w:firstLine="630"/>
        <w:jc w:val="left"/>
        <w:rPr>
          <w:rFonts w:hint="eastAsia" w:ascii="宋体" w:hAnsi="宋体"/>
          <w:sz w:val="32"/>
          <w:szCs w:val="32"/>
        </w:rPr>
      </w:pPr>
      <w:r>
        <w:rPr>
          <w:rFonts w:ascii="宋体" w:hAnsi="宋体" w:cs="Arial"/>
          <w:color w:val="333333"/>
          <w:kern w:val="0"/>
          <w:sz w:val="32"/>
          <w:szCs w:val="32"/>
          <w:shd w:val="clear" w:color="auto" w:fill="FFFFFF"/>
        </w:rPr>
        <w:t>（一）团结、服务、引导、教育非公有制经济人士爱国、敬业、诚信、守法、贡献，培养拥护党的领导、走中国特色社会主义道路的非公有制经济人士队伍。</w:t>
      </w:r>
      <w:r>
        <w:rPr>
          <w:rFonts w:ascii="宋体" w:hAnsi="宋体" w:cs="Arial"/>
          <w:color w:val="333333"/>
          <w:kern w:val="0"/>
          <w:sz w:val="32"/>
          <w:szCs w:val="32"/>
        </w:rPr>
        <w:br w:type="textWrapping"/>
      </w:r>
      <w:r>
        <w:rPr>
          <w:rFonts w:hint="eastAsia" w:ascii="宋体" w:hAnsi="宋体" w:cs="Arial"/>
          <w:color w:val="333333"/>
          <w:kern w:val="0"/>
          <w:sz w:val="32"/>
          <w:szCs w:val="32"/>
          <w:shd w:val="clear" w:color="auto" w:fill="FFFFFF"/>
        </w:rPr>
        <w:t xml:space="preserve">   </w:t>
      </w:r>
      <w:r>
        <w:rPr>
          <w:rFonts w:ascii="宋体" w:hAnsi="宋体" w:cs="Arial"/>
          <w:color w:val="333333"/>
          <w:kern w:val="0"/>
          <w:sz w:val="32"/>
          <w:szCs w:val="32"/>
          <w:shd w:val="clear" w:color="auto" w:fill="FFFFFF"/>
        </w:rPr>
        <w:t>（二）做好非公有制经济代表人士政治安排的推荐工作。参与政治协商，发挥民主监督作用，积极参政议政。</w:t>
      </w:r>
      <w:r>
        <w:rPr>
          <w:rFonts w:ascii="宋体" w:hAnsi="宋体" w:cs="Arial"/>
          <w:color w:val="333333"/>
          <w:kern w:val="0"/>
          <w:sz w:val="32"/>
          <w:szCs w:val="32"/>
        </w:rPr>
        <w:br w:type="textWrapping"/>
      </w:r>
      <w:r>
        <w:rPr>
          <w:rFonts w:hint="eastAsia" w:ascii="宋体" w:hAnsi="宋体" w:cs="Arial"/>
          <w:color w:val="333333"/>
          <w:kern w:val="0"/>
          <w:sz w:val="32"/>
          <w:szCs w:val="32"/>
          <w:shd w:val="clear" w:color="auto" w:fill="FFFFFF"/>
        </w:rPr>
        <w:t xml:space="preserve">   </w:t>
      </w:r>
      <w:r>
        <w:rPr>
          <w:rFonts w:ascii="宋体" w:hAnsi="宋体" w:cs="Arial"/>
          <w:color w:val="333333"/>
          <w:kern w:val="0"/>
          <w:sz w:val="32"/>
          <w:szCs w:val="32"/>
          <w:shd w:val="clear" w:color="auto" w:fill="FFFFFF"/>
        </w:rPr>
        <w:t>（三）参与政府相关的经济活动，广泛联系各地工商界人士，开展民间外交，推动经贸交流和协作，促进经济社会发展。</w:t>
      </w:r>
      <w:r>
        <w:rPr>
          <w:rFonts w:ascii="宋体" w:hAnsi="宋体" w:cs="Arial"/>
          <w:color w:val="333333"/>
          <w:kern w:val="0"/>
          <w:sz w:val="32"/>
          <w:szCs w:val="32"/>
        </w:rPr>
        <w:br w:type="textWrapping"/>
      </w:r>
      <w:r>
        <w:rPr>
          <w:rFonts w:hint="eastAsia" w:ascii="宋体" w:hAnsi="宋体" w:cs="Arial"/>
          <w:color w:val="333333"/>
          <w:kern w:val="0"/>
          <w:sz w:val="32"/>
          <w:szCs w:val="32"/>
          <w:shd w:val="clear" w:color="auto" w:fill="FFFFFF"/>
        </w:rPr>
        <w:t xml:space="preserve">   </w:t>
      </w:r>
      <w:r>
        <w:rPr>
          <w:rFonts w:ascii="宋体" w:hAnsi="宋体" w:cs="Arial"/>
          <w:color w:val="333333"/>
          <w:kern w:val="0"/>
          <w:sz w:val="32"/>
          <w:szCs w:val="32"/>
          <w:shd w:val="clear" w:color="auto" w:fill="FFFFFF"/>
        </w:rPr>
        <w:t>（四）参与协调劳动关系，促进和谐社会建设。</w:t>
      </w:r>
      <w:r>
        <w:rPr>
          <w:rFonts w:ascii="宋体" w:hAnsi="宋体" w:cs="Arial"/>
          <w:color w:val="333333"/>
          <w:kern w:val="0"/>
          <w:sz w:val="32"/>
          <w:szCs w:val="32"/>
        </w:rPr>
        <w:br w:type="textWrapping"/>
      </w:r>
      <w:r>
        <w:rPr>
          <w:rFonts w:hint="eastAsia" w:ascii="宋体" w:hAnsi="宋体" w:cs="Arial"/>
          <w:color w:val="333333"/>
          <w:kern w:val="0"/>
          <w:sz w:val="32"/>
          <w:szCs w:val="32"/>
          <w:shd w:val="clear" w:color="auto" w:fill="FFFFFF"/>
        </w:rPr>
        <w:t xml:space="preserve">   </w:t>
      </w:r>
      <w:r>
        <w:rPr>
          <w:rFonts w:ascii="宋体" w:hAnsi="宋体" w:cs="Arial"/>
          <w:color w:val="333333"/>
          <w:kern w:val="0"/>
          <w:sz w:val="32"/>
          <w:szCs w:val="32"/>
          <w:shd w:val="clear" w:color="auto" w:fill="FFFFFF"/>
        </w:rPr>
        <w:t>（五）指导本会直属商会工作，积极参与社会组织建设工作，促进行业协会商会改革发展。</w:t>
      </w:r>
      <w:r>
        <w:rPr>
          <w:rFonts w:ascii="宋体" w:hAnsi="宋体" w:cs="Arial"/>
          <w:color w:val="333333"/>
          <w:kern w:val="0"/>
          <w:sz w:val="32"/>
          <w:szCs w:val="32"/>
        </w:rPr>
        <w:br w:type="textWrapping"/>
      </w:r>
      <w:r>
        <w:rPr>
          <w:rFonts w:hint="eastAsia" w:ascii="宋体" w:hAnsi="宋体" w:cs="Arial"/>
          <w:color w:val="333333"/>
          <w:kern w:val="0"/>
          <w:sz w:val="32"/>
          <w:szCs w:val="32"/>
          <w:shd w:val="clear" w:color="auto" w:fill="FFFFFF"/>
        </w:rPr>
        <w:t xml:space="preserve">   </w:t>
      </w:r>
      <w:r>
        <w:rPr>
          <w:rFonts w:ascii="宋体" w:hAnsi="宋体" w:cs="Arial"/>
          <w:color w:val="333333"/>
          <w:kern w:val="0"/>
          <w:sz w:val="32"/>
          <w:szCs w:val="32"/>
          <w:shd w:val="clear" w:color="auto" w:fill="FFFFFF"/>
        </w:rPr>
        <w:t>（六）反映非公有制企业和非公有制经济人士利益诉求，维护其合法权益。              </w:t>
      </w:r>
    </w:p>
    <w:p>
      <w:pPr>
        <w:snapToGrid w:val="0"/>
        <w:spacing w:line="520" w:lineRule="exact"/>
        <w:ind w:firstLine="640" w:firstLineChars="200"/>
        <w:rPr>
          <w:rFonts w:hint="eastAsia" w:ascii="仿宋" w:hAnsi="仿宋" w:eastAsia="仿宋"/>
          <w:bCs/>
          <w:color w:val="000000"/>
          <w:sz w:val="32"/>
          <w:szCs w:val="32"/>
        </w:rPr>
      </w:pPr>
      <w:r>
        <w:rPr>
          <w:rFonts w:ascii="宋体" w:hAnsi="宋体" w:cs="Arial"/>
          <w:color w:val="333333"/>
          <w:kern w:val="0"/>
          <w:sz w:val="32"/>
          <w:szCs w:val="32"/>
          <w:shd w:val="clear" w:color="auto" w:fill="FFFFFF"/>
        </w:rPr>
        <w:t>（七）为会员提供政策信息、人才交流培训等服务。组织会员企业参加各类经贸活动，外出参观考察，帮助会员企业拓展市场。</w:t>
      </w:r>
      <w:r>
        <w:rPr>
          <w:rFonts w:ascii="宋体" w:hAnsi="宋体" w:cs="Arial"/>
          <w:color w:val="333333"/>
          <w:kern w:val="0"/>
          <w:sz w:val="32"/>
          <w:szCs w:val="32"/>
        </w:rPr>
        <w:br w:type="textWrapping"/>
      </w:r>
      <w:r>
        <w:rPr>
          <w:rFonts w:hint="eastAsia" w:ascii="宋体" w:hAnsi="宋体" w:cs="Arial"/>
          <w:color w:val="333333"/>
          <w:kern w:val="0"/>
          <w:sz w:val="32"/>
          <w:szCs w:val="32"/>
          <w:shd w:val="clear" w:color="auto" w:fill="FFFFFF"/>
        </w:rPr>
        <w:t xml:space="preserve">   </w:t>
      </w:r>
      <w:r>
        <w:rPr>
          <w:rFonts w:ascii="宋体" w:hAnsi="宋体" w:cs="Arial"/>
          <w:color w:val="333333"/>
          <w:kern w:val="0"/>
          <w:sz w:val="32"/>
          <w:szCs w:val="32"/>
          <w:shd w:val="clear" w:color="auto" w:fill="FFFFFF"/>
        </w:rPr>
        <w:t>（八）配合有关部门开展非公有制会员企业党建工作。</w:t>
      </w:r>
      <w:r>
        <w:rPr>
          <w:rFonts w:ascii="宋体" w:hAnsi="宋体" w:cs="Arial"/>
          <w:color w:val="333333"/>
          <w:kern w:val="0"/>
          <w:sz w:val="32"/>
          <w:szCs w:val="32"/>
        </w:rPr>
        <w:br w:type="textWrapping"/>
      </w:r>
      <w:r>
        <w:rPr>
          <w:rFonts w:hint="eastAsia" w:ascii="宋体" w:hAnsi="宋体" w:cs="Arial"/>
          <w:color w:val="333333"/>
          <w:kern w:val="0"/>
          <w:sz w:val="32"/>
          <w:szCs w:val="32"/>
          <w:shd w:val="clear" w:color="auto" w:fill="FFFFFF"/>
        </w:rPr>
        <w:t xml:space="preserve">   </w:t>
      </w:r>
      <w:r>
        <w:rPr>
          <w:rFonts w:ascii="宋体" w:hAnsi="宋体" w:cs="Arial"/>
          <w:color w:val="333333"/>
          <w:kern w:val="0"/>
          <w:sz w:val="32"/>
          <w:szCs w:val="32"/>
          <w:shd w:val="clear" w:color="auto" w:fill="FFFFFF"/>
        </w:rPr>
        <w:t>（九）积极引导非公有制企业及其非公有制经济人士承担社会责任，大力支持慈善公益事业发展，积极投身光彩事业。</w:t>
      </w:r>
      <w:r>
        <w:rPr>
          <w:rFonts w:ascii="宋体" w:hAnsi="宋体" w:cs="Arial"/>
          <w:color w:val="333333"/>
          <w:kern w:val="0"/>
          <w:sz w:val="32"/>
          <w:szCs w:val="32"/>
        </w:rPr>
        <w:br w:type="textWrapping"/>
      </w:r>
      <w:r>
        <w:rPr>
          <w:rFonts w:hint="eastAsia" w:ascii="宋体" w:hAnsi="宋体" w:cs="Arial"/>
          <w:color w:val="333333"/>
          <w:kern w:val="0"/>
          <w:sz w:val="32"/>
          <w:szCs w:val="32"/>
          <w:shd w:val="clear" w:color="auto" w:fill="FFFFFF"/>
        </w:rPr>
        <w:t xml:space="preserve">   </w:t>
      </w:r>
      <w:r>
        <w:rPr>
          <w:rFonts w:ascii="宋体" w:hAnsi="宋体" w:cs="Arial"/>
          <w:color w:val="333333"/>
          <w:kern w:val="0"/>
          <w:sz w:val="32"/>
          <w:szCs w:val="32"/>
          <w:shd w:val="clear" w:color="auto" w:fill="FFFFFF"/>
        </w:rPr>
        <w:t>（十）承办县委、县政府和上级工商联交办的其它任务</w:t>
      </w:r>
      <w:r>
        <w:rPr>
          <w:rFonts w:hint="eastAsia" w:ascii="宋体" w:hAnsi="宋体" w:cs="Arial"/>
          <w:color w:val="333333"/>
          <w:kern w:val="0"/>
          <w:sz w:val="32"/>
          <w:szCs w:val="32"/>
          <w:shd w:val="clear" w:color="auto" w:fill="FFFFFF"/>
        </w:rPr>
        <w:t>。</w:t>
      </w:r>
    </w:p>
    <w:p>
      <w:pPr>
        <w:pStyle w:val="12"/>
        <w:widowControl/>
        <w:spacing w:before="0" w:beforeAutospacing="0" w:after="0" w:afterAutospacing="0" w:line="560" w:lineRule="exact"/>
        <w:ind w:firstLine="640" w:firstLineChars="200"/>
        <w:rPr>
          <w:rFonts w:hint="eastAsia" w:ascii="宋体" w:hAnsi="宋体" w:eastAsia="宋体" w:cs="宋体"/>
          <w:bCs/>
          <w:color w:val="000000"/>
          <w:sz w:val="32"/>
          <w:szCs w:val="32"/>
        </w:rPr>
      </w:pPr>
      <w:bookmarkStart w:id="16" w:name="_Toc15378446"/>
      <w:bookmarkStart w:id="17" w:name="_Toc15377199"/>
      <w:r>
        <w:rPr>
          <w:rFonts w:hint="eastAsia" w:ascii="宋体" w:hAnsi="宋体" w:eastAsia="宋体" w:cs="宋体"/>
          <w:bCs/>
          <w:color w:val="000000"/>
          <w:sz w:val="32"/>
          <w:szCs w:val="32"/>
        </w:rPr>
        <w:t>（二）</w:t>
      </w:r>
      <w:r>
        <w:rPr>
          <w:rFonts w:hint="eastAsia" w:ascii="宋体" w:hAnsi="宋体" w:eastAsia="宋体" w:cs="宋体"/>
          <w:bCs/>
          <w:color w:val="000000"/>
          <w:sz w:val="32"/>
          <w:szCs w:val="32"/>
          <w:lang w:eastAsia="zh-CN"/>
        </w:rPr>
        <w:t>当年取得的主要事业成效</w:t>
      </w:r>
      <w:r>
        <w:rPr>
          <w:rFonts w:hint="eastAsia" w:ascii="宋体" w:hAnsi="宋体" w:eastAsia="宋体" w:cs="宋体"/>
          <w:bCs/>
          <w:color w:val="000000"/>
          <w:sz w:val="32"/>
          <w:szCs w:val="32"/>
        </w:rPr>
        <w:t>。</w:t>
      </w:r>
      <w:bookmarkEnd w:id="16"/>
      <w:bookmarkEnd w:id="17"/>
    </w:p>
    <w:p>
      <w:pPr>
        <w:ind w:firstLine="640" w:firstLineChars="200"/>
        <w:jc w:val="left"/>
        <w:rPr>
          <w:rFonts w:hint="eastAsia" w:ascii="宋体" w:hAnsi="宋体"/>
          <w:bCs/>
          <w:sz w:val="32"/>
          <w:szCs w:val="32"/>
        </w:rPr>
      </w:pPr>
      <w:bookmarkStart w:id="18" w:name="_Toc15396601"/>
      <w:bookmarkStart w:id="19" w:name="_Toc15377200"/>
      <w:r>
        <w:rPr>
          <w:rFonts w:hint="eastAsia" w:ascii="宋体" w:hAnsi="宋体"/>
          <w:bCs/>
          <w:sz w:val="32"/>
          <w:szCs w:val="32"/>
        </w:rPr>
        <w:t>我单位今年根据财政资金的安排情况，</w:t>
      </w:r>
      <w:r>
        <w:rPr>
          <w:rFonts w:hint="eastAsia" w:ascii="宋体" w:hAnsi="宋体" w:cs="仿宋_GB2312"/>
          <w:sz w:val="32"/>
          <w:szCs w:val="32"/>
        </w:rPr>
        <w:t>严格控制经费管理，未存在超预算，不按规定追加预算现象。严格规范“三公”经费，严格控制公务接待经费、公务用车维护经费等公用经费支出。我单位今年进一步规范和修改财务管理制度，进一步防范贪污、挪用、截留等现象发生。</w:t>
      </w:r>
    </w:p>
    <w:p>
      <w:pPr>
        <w:pStyle w:val="3"/>
        <w:rPr>
          <w:rStyle w:val="26"/>
          <w:b w:val="0"/>
          <w:bCs w:val="0"/>
        </w:rPr>
      </w:pPr>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18"/>
      <w:bookmarkEnd w:id="19"/>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_GB2312" w:eastAsia="仿宋_GB2312" w:cs="仿宋_GB2312"/>
          <w:color w:val="333333"/>
          <w:sz w:val="32"/>
          <w:szCs w:val="32"/>
          <w:shd w:val="clear" w:color="auto" w:fill="FFFFFF"/>
        </w:rPr>
        <w:t>我机关为独立核算全额拨款行政单位。</w:t>
      </w:r>
      <w:r>
        <w:rPr>
          <w:rFonts w:hint="eastAsia" w:ascii="仿宋_GB2312" w:hAnsi="仿宋" w:eastAsia="仿宋_GB2312"/>
          <w:sz w:val="32"/>
          <w:szCs w:val="32"/>
        </w:rPr>
        <w:t>工商业联合会内设办公室。</w:t>
      </w:r>
    </w:p>
    <w:p>
      <w:pPr>
        <w:widowControl/>
        <w:adjustRightInd w:val="0"/>
        <w:snapToGrid w:val="0"/>
        <w:spacing w:line="480" w:lineRule="exact"/>
        <w:ind w:firstLine="720" w:firstLineChars="225"/>
        <w:jc w:val="left"/>
        <w:rPr>
          <w:rFonts w:hint="eastAsia" w:ascii="仿宋_GB2312" w:hAnsi="仿宋" w:eastAsia="仿宋_GB2312"/>
          <w:sz w:val="32"/>
          <w:szCs w:val="32"/>
        </w:rPr>
      </w:pPr>
      <w:r>
        <w:rPr>
          <w:rFonts w:hint="eastAsia" w:ascii="仿宋_GB2312" w:hAnsi="仿宋_GB2312" w:eastAsia="仿宋_GB2312" w:cs="仿宋_GB2312"/>
          <w:bCs/>
          <w:sz w:val="32"/>
          <w:szCs w:val="32"/>
        </w:rPr>
        <w:t>截止2018年底我单位共有编制4个，其中公务员编制3个，行政工勤编制1个，在职7人，其中公务员5人，行政工勤2人。</w:t>
      </w:r>
    </w:p>
    <w:p>
      <w:pPr>
        <w:widowControl/>
        <w:adjustRightInd w:val="0"/>
        <w:snapToGrid w:val="0"/>
        <w:spacing w:line="480" w:lineRule="exact"/>
        <w:ind w:firstLine="720" w:firstLineChars="225"/>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5"/>
          <w:rFonts w:ascii="黑体" w:hAnsi="黑体" w:eastAsia="黑体"/>
          <w:b w:val="0"/>
          <w:bCs w:val="0"/>
        </w:rPr>
      </w:pPr>
      <w:bookmarkStart w:id="20" w:name="_Toc15377204"/>
      <w:bookmarkStart w:id="21"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2018年度部门决算情况说明</w:t>
      </w:r>
      <w:bookmarkEnd w:id="20"/>
      <w:bookmarkEnd w:id="21"/>
    </w:p>
    <w:p/>
    <w:p>
      <w:pPr>
        <w:pStyle w:val="24"/>
        <w:numPr>
          <w:ilvl w:val="0"/>
          <w:numId w:val="1"/>
        </w:numPr>
        <w:spacing w:line="600" w:lineRule="exact"/>
        <w:ind w:firstLineChars="0"/>
        <w:outlineLvl w:val="1"/>
        <w:rPr>
          <w:rStyle w:val="26"/>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2"/>
      <w:bookmarkEnd w:id="23"/>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2018年度收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143.68万元，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lang w:val="en-US" w:eastAsia="zh-CN"/>
        </w:rPr>
        <w:t>140.67</w:t>
      </w:r>
      <w:r>
        <w:rPr>
          <w:rFonts w:hint="eastAsia" w:ascii="仿宋" w:hAnsi="仿宋" w:eastAsia="仿宋"/>
          <w:color w:val="000000"/>
          <w:sz w:val="32"/>
          <w:szCs w:val="32"/>
        </w:rPr>
        <w:t>万元。与2017年相比，</w:t>
      </w:r>
      <w:r>
        <w:rPr>
          <w:rFonts w:hint="eastAsia" w:ascii="仿宋" w:hAnsi="仿宋" w:eastAsia="仿宋"/>
          <w:color w:val="000000"/>
          <w:sz w:val="32"/>
          <w:szCs w:val="32"/>
          <w:lang w:eastAsia="zh-CN"/>
        </w:rPr>
        <w:t>收入增加了</w:t>
      </w:r>
      <w:r>
        <w:rPr>
          <w:rFonts w:hint="eastAsia" w:ascii="仿宋" w:hAnsi="仿宋" w:eastAsia="仿宋"/>
          <w:color w:val="000000"/>
          <w:sz w:val="32"/>
          <w:szCs w:val="32"/>
          <w:lang w:val="en-US" w:eastAsia="zh-CN"/>
        </w:rPr>
        <w:t>10.48万元，支出增加了7.23万元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分别增长了</w:t>
      </w:r>
      <w:r>
        <w:rPr>
          <w:rFonts w:hint="eastAsia" w:ascii="仿宋" w:hAnsi="仿宋" w:eastAsia="仿宋"/>
          <w:color w:val="000000"/>
          <w:sz w:val="32"/>
          <w:szCs w:val="32"/>
          <w:lang w:val="en-US" w:eastAsia="zh-CN"/>
        </w:rPr>
        <w:t>7.87%、5.42%</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一</w:t>
      </w:r>
      <w:r>
        <w:rPr>
          <w:rFonts w:hint="eastAsia" w:ascii="仿宋" w:hAnsi="仿宋" w:eastAsia="仿宋"/>
          <w:color w:val="000000"/>
          <w:sz w:val="32"/>
          <w:szCs w:val="32"/>
        </w:rPr>
        <w:t>是</w:t>
      </w:r>
      <w:r>
        <w:rPr>
          <w:rFonts w:hint="eastAsia" w:ascii="仿宋" w:hAnsi="仿宋" w:eastAsia="仿宋"/>
          <w:color w:val="000000"/>
          <w:sz w:val="32"/>
          <w:szCs w:val="32"/>
          <w:lang w:eastAsia="zh-CN"/>
        </w:rPr>
        <w:t>年底人员工资的调增，二是开展脱贫攻坚工作下乡次数直线上升导致公务用车运行维护费的增加。</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w:t>
      </w: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tabs>
          <w:tab w:val="left" w:pos="2708"/>
        </w:tabs>
        <w:spacing w:line="600" w:lineRule="exact"/>
        <w:ind w:firstLine="640" w:firstLineChars="200"/>
        <w:rPr>
          <w:rStyle w:val="26"/>
          <w:rFonts w:hint="eastAsia" w:ascii="宋体" w:hAnsi="宋体" w:eastAsia="宋体" w:cs="宋体"/>
          <w:b w:val="0"/>
          <w:sz w:val="32"/>
          <w:szCs w:val="32"/>
          <w:lang w:eastAsia="zh-CN"/>
        </w:rPr>
      </w:pPr>
      <w:r>
        <w:rPr>
          <w:rFonts w:hint="eastAsia" w:ascii="仿宋" w:hAnsi="仿宋" w:eastAsia="仿宋"/>
          <w:color w:val="000000" w:themeColor="text1"/>
          <w:sz w:val="32"/>
          <w:szCs w:val="32"/>
          <w:lang w:eastAsia="zh-CN"/>
          <w14:textFill>
            <w14:solidFill>
              <w14:schemeClr w14:val="tx1"/>
            </w14:solidFill>
          </w14:textFill>
        </w:rPr>
        <w:tab/>
      </w:r>
      <w:r>
        <w:drawing>
          <wp:anchor distT="0" distB="0" distL="114300" distR="114300" simplePos="0" relativeHeight="251665408" behindDoc="0" locked="0" layoutInCell="1" allowOverlap="1">
            <wp:simplePos x="0" y="0"/>
            <wp:positionH relativeFrom="column">
              <wp:posOffset>4445</wp:posOffset>
            </wp:positionH>
            <wp:positionV relativeFrom="paragraph">
              <wp:posOffset>-2072005</wp:posOffset>
            </wp:positionV>
            <wp:extent cx="4572000" cy="2743200"/>
            <wp:effectExtent l="4445" t="4445" r="14605" b="14605"/>
            <wp:wrapSquare wrapText="bothSides"/>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24" w:name="_Toc15396604"/>
      <w:bookmarkStart w:id="25" w:name="_Toc15377206"/>
    </w:p>
    <w:p>
      <w:pPr>
        <w:pStyle w:val="24"/>
        <w:numPr>
          <w:ilvl w:val="0"/>
          <w:numId w:val="0"/>
        </w:numPr>
        <w:spacing w:line="600" w:lineRule="exact"/>
        <w:ind w:left="640" w:leftChars="0"/>
        <w:outlineLvl w:val="1"/>
        <w:rPr>
          <w:rStyle w:val="26"/>
          <w:rFonts w:ascii="黑体" w:hAnsi="黑体" w:eastAsia="黑体"/>
          <w:b w:val="0"/>
        </w:rPr>
      </w:pPr>
    </w:p>
    <w:p>
      <w:pPr>
        <w:pStyle w:val="24"/>
        <w:numPr>
          <w:ilvl w:val="0"/>
          <w:numId w:val="0"/>
        </w:numPr>
        <w:spacing w:line="600" w:lineRule="exact"/>
        <w:ind w:left="640" w:leftChars="0"/>
        <w:outlineLvl w:val="1"/>
        <w:rPr>
          <w:rStyle w:val="26"/>
          <w:rFonts w:ascii="黑体" w:hAnsi="黑体" w:eastAsia="黑体"/>
          <w:b w:val="0"/>
        </w:rPr>
      </w:pPr>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6"/>
          <w:rFonts w:hint="eastAsia" w:ascii="黑体" w:hAnsi="黑体" w:eastAsia="黑体"/>
          <w:b w:val="0"/>
        </w:rPr>
        <w:t>入决算情况说明</w:t>
      </w:r>
      <w:bookmarkEnd w:id="24"/>
      <w:bookmarkEnd w:id="25"/>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143.68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140.67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97.91</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3.01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2.09</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6432"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4"/>
        <w:numPr>
          <w:ilvl w:val="0"/>
          <w:numId w:val="0"/>
        </w:numPr>
        <w:spacing w:line="600" w:lineRule="exact"/>
        <w:ind w:left="640" w:leftChars="0"/>
        <w:outlineLvl w:val="1"/>
        <w:rPr>
          <w:rStyle w:val="26"/>
          <w:rFonts w:ascii="黑体" w:hAnsi="黑体" w:eastAsia="黑体"/>
          <w:b w:val="0"/>
          <w:color w:val="auto"/>
        </w:rPr>
      </w:pPr>
      <w:bookmarkStart w:id="26" w:name="_Toc15377207"/>
      <w:bookmarkStart w:id="27" w:name="_Toc15396605"/>
      <w:r>
        <w:rPr>
          <w:rFonts w:hint="eastAsia" w:ascii="黑体" w:hAnsi="黑体" w:eastAsia="黑体"/>
          <w:color w:val="auto"/>
          <w:sz w:val="32"/>
          <w:szCs w:val="32"/>
          <w:lang w:eastAsia="zh-CN"/>
        </w:rPr>
        <w:t>三、</w:t>
      </w:r>
      <w:r>
        <w:rPr>
          <w:rFonts w:hint="eastAsia" w:ascii="黑体" w:hAnsi="黑体" w:eastAsia="黑体"/>
          <w:color w:val="auto"/>
          <w:sz w:val="32"/>
          <w:szCs w:val="32"/>
        </w:rPr>
        <w:t>支</w:t>
      </w:r>
      <w:r>
        <w:rPr>
          <w:rStyle w:val="26"/>
          <w:rFonts w:hint="eastAsia" w:ascii="黑体" w:hAnsi="黑体" w:eastAsia="黑体"/>
          <w:b w:val="0"/>
          <w:color w:val="auto"/>
        </w:rPr>
        <w:t>出决算情况说明</w:t>
      </w:r>
      <w:bookmarkEnd w:id="26"/>
      <w:bookmarkEnd w:id="27"/>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140.67</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138.67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98.58</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1.42</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pPr>
    </w:p>
    <w:p>
      <w:pPr>
        <w:spacing w:line="600" w:lineRule="exact"/>
      </w:pPr>
      <w:r>
        <w:drawing>
          <wp:anchor distT="0" distB="0" distL="114300" distR="114300" simplePos="0" relativeHeight="251667456" behindDoc="0" locked="0" layoutInCell="1" allowOverlap="1">
            <wp:simplePos x="0" y="0"/>
            <wp:positionH relativeFrom="column">
              <wp:posOffset>4445</wp:posOffset>
            </wp:positionH>
            <wp:positionV relativeFrom="paragraph">
              <wp:posOffset>-2453005</wp:posOffset>
            </wp:positionV>
            <wp:extent cx="4572000" cy="2743200"/>
            <wp:effectExtent l="4445" t="4445" r="14605" b="14605"/>
            <wp:wrapSquare wrapText="bothSides"/>
            <wp:docPr id="1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outlineLvl w:val="1"/>
        <w:rPr>
          <w:rStyle w:val="26"/>
          <w:rFonts w:ascii="黑体" w:hAnsi="黑体" w:eastAsia="黑体"/>
          <w:b w:val="0"/>
        </w:rPr>
      </w:pPr>
      <w:bookmarkStart w:id="28" w:name="_Toc15377208"/>
      <w:bookmarkStart w:id="29"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28"/>
      <w:bookmarkEnd w:id="2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140.67万元，</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140.67</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7年相比，财政拨款收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7.48万元，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出增加</w:t>
      </w:r>
      <w:r>
        <w:rPr>
          <w:rFonts w:hint="eastAsia" w:ascii="仿宋" w:hAnsi="仿宋" w:eastAsia="仿宋"/>
          <w:color w:val="000000"/>
          <w:sz w:val="32"/>
          <w:szCs w:val="32"/>
          <w:lang w:val="en-US" w:eastAsia="zh-CN"/>
        </w:rPr>
        <w:t>7.23万元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分别增长</w:t>
      </w:r>
      <w:r>
        <w:rPr>
          <w:rFonts w:hint="eastAsia" w:ascii="仿宋" w:hAnsi="仿宋" w:eastAsia="仿宋"/>
          <w:color w:val="000000"/>
          <w:sz w:val="32"/>
          <w:szCs w:val="32"/>
          <w:lang w:val="en-US" w:eastAsia="zh-CN"/>
        </w:rPr>
        <w:t>7.87%、5.42%</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一</w:t>
      </w:r>
      <w:r>
        <w:rPr>
          <w:rFonts w:hint="eastAsia" w:ascii="仿宋" w:hAnsi="仿宋" w:eastAsia="仿宋"/>
          <w:color w:val="000000"/>
          <w:sz w:val="32"/>
          <w:szCs w:val="32"/>
        </w:rPr>
        <w:t>是</w:t>
      </w:r>
      <w:r>
        <w:rPr>
          <w:rFonts w:hint="eastAsia" w:ascii="仿宋" w:hAnsi="仿宋" w:eastAsia="仿宋"/>
          <w:color w:val="000000"/>
          <w:sz w:val="32"/>
          <w:szCs w:val="32"/>
          <w:lang w:eastAsia="zh-CN"/>
        </w:rPr>
        <w:t>年底人员工资的调增，二是开展脱贫攻坚工作下乡次数直线上升导致公务用车运行维护费的增加</w:t>
      </w: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14:textFill>
            <w14:solidFill>
              <w14:schemeClr w14:val="tx1"/>
            </w14:solidFill>
          </w14:textFill>
        </w:rPr>
        <w:t>图4：财政拨款收、支决算总计变动情况</w:t>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Fonts w:hint="eastAsia" w:ascii="黑体" w:hAnsi="黑体" w:eastAsia="黑体"/>
          <w:color w:val="000000"/>
          <w:sz w:val="32"/>
          <w:szCs w:val="32"/>
        </w:rPr>
      </w:pPr>
      <w:bookmarkStart w:id="30" w:name="_Toc15396607"/>
      <w:bookmarkStart w:id="31" w:name="_Toc15377209"/>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420" w:firstLineChars="200"/>
        <w:outlineLvl w:val="1"/>
        <w:rPr>
          <w:rFonts w:hint="eastAsia" w:ascii="黑体" w:hAnsi="黑体" w:eastAsia="黑体"/>
          <w:color w:val="000000"/>
          <w:sz w:val="32"/>
          <w:szCs w:val="32"/>
        </w:rPr>
      </w:pPr>
      <w:r>
        <w:drawing>
          <wp:anchor distT="0" distB="0" distL="114300" distR="114300" simplePos="0" relativeHeight="251668480"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1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0"/>
      <w:bookmarkEnd w:id="31"/>
    </w:p>
    <w:p>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140.67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w:t>
      </w:r>
      <w:r>
        <w:rPr>
          <w:rFonts w:hint="eastAsia" w:ascii="仿宋" w:hAnsi="仿宋" w:eastAsia="仿宋"/>
          <w:color w:val="000000"/>
          <w:sz w:val="32"/>
          <w:szCs w:val="32"/>
          <w:lang w:val="en-US" w:eastAsia="zh-CN"/>
        </w:rPr>
        <w:t>7.48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5.61</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一</w:t>
      </w:r>
      <w:r>
        <w:rPr>
          <w:rFonts w:hint="eastAsia" w:ascii="仿宋" w:hAnsi="仿宋" w:eastAsia="仿宋"/>
          <w:color w:val="000000"/>
          <w:sz w:val="32"/>
          <w:szCs w:val="32"/>
        </w:rPr>
        <w:t>是</w:t>
      </w:r>
      <w:r>
        <w:rPr>
          <w:rFonts w:hint="eastAsia" w:ascii="仿宋" w:hAnsi="仿宋" w:eastAsia="仿宋"/>
          <w:color w:val="000000"/>
          <w:sz w:val="32"/>
          <w:szCs w:val="32"/>
          <w:lang w:eastAsia="zh-CN"/>
        </w:rPr>
        <w:t>年底人员工资的调增，二是开展脱贫攻坚工作下乡次数直线上升导致公务用车运行维护费的增加。</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rPr>
          <w:rFonts w:hint="eastAsia"/>
        </w:rPr>
      </w:pPr>
      <w:r>
        <w:drawing>
          <wp:anchor distT="0" distB="0" distL="114300" distR="114300" simplePos="0" relativeHeight="251669504"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1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3" w:firstLineChars="200"/>
        <w:outlineLvl w:val="2"/>
        <w:rPr>
          <w:rFonts w:ascii="仿宋" w:hAnsi="仿宋" w:eastAsia="仿宋"/>
          <w:b/>
          <w:color w:val="000000"/>
          <w:sz w:val="32"/>
          <w:szCs w:val="32"/>
        </w:rPr>
      </w:pPr>
      <w:bookmarkStart w:id="33" w:name="_Toc15377211"/>
      <w:r>
        <w:rPr>
          <w:rFonts w:hint="eastAsia" w:ascii="仿宋" w:hAnsi="仿宋" w:eastAsia="仿宋"/>
          <w:b/>
          <w:color w:val="000000"/>
          <w:sz w:val="32"/>
          <w:szCs w:val="32"/>
        </w:rPr>
        <w:t>（二）一般公共预算财政拨款支出决算结构情况</w:t>
      </w:r>
      <w:bookmarkEnd w:id="33"/>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140.67</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105.07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74.69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20.49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14.57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w:t>
      </w:r>
      <w:r>
        <w:rPr>
          <w:rFonts w:hint="eastAsia" w:ascii="仿宋" w:hAnsi="仿宋" w:eastAsia="仿宋"/>
          <w:color w:val="000000" w:themeColor="text1"/>
          <w:sz w:val="32"/>
          <w:szCs w:val="32"/>
          <w:lang w:val="en-US" w:eastAsia="zh-CN"/>
          <w14:textFill>
            <w14:solidFill>
              <w14:schemeClr w14:val="tx1"/>
            </w14:solidFill>
          </w14:textFill>
        </w:rPr>
        <w:t>5.95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4.23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9.15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rPr>
          <w:rFonts w:ascii="仿宋" w:hAnsi="仿宋" w:eastAsia="仿宋"/>
          <w:color w:val="000000"/>
          <w:sz w:val="32"/>
          <w:szCs w:val="32"/>
        </w:rPr>
      </w:pPr>
      <w:r>
        <w:drawing>
          <wp:anchor distT="0" distB="0" distL="114300" distR="114300" simplePos="0" relativeHeight="251670528"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1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line="600" w:lineRule="exact"/>
        <w:ind w:firstLine="643" w:firstLineChars="200"/>
        <w:outlineLvl w:val="2"/>
        <w:rPr>
          <w:rFonts w:ascii="仿宋" w:hAnsi="仿宋" w:eastAsia="仿宋"/>
          <w:b/>
          <w:color w:val="000000"/>
          <w:sz w:val="32"/>
          <w:szCs w:val="32"/>
        </w:rPr>
      </w:pPr>
      <w:bookmarkStart w:id="34" w:name="_Toc15377212"/>
      <w:r>
        <w:rPr>
          <w:rFonts w:hint="eastAsia" w:ascii="仿宋" w:hAnsi="仿宋" w:eastAsia="仿宋"/>
          <w:b/>
          <w:color w:val="000000"/>
          <w:sz w:val="32"/>
          <w:szCs w:val="32"/>
        </w:rPr>
        <w:t>（三）一般公共预算财政拨款支出决算具体情况</w:t>
      </w:r>
      <w:bookmarkEnd w:id="34"/>
    </w:p>
    <w:p>
      <w:pPr>
        <w:spacing w:line="600" w:lineRule="exact"/>
        <w:ind w:firstLine="643" w:firstLineChars="200"/>
        <w:outlineLvl w:val="2"/>
        <w:rPr>
          <w:rFonts w:ascii="仿宋" w:hAnsi="仿宋" w:eastAsia="仿宋"/>
          <w:color w:val="FF0000"/>
          <w:sz w:val="32"/>
          <w:szCs w:val="32"/>
        </w:rPr>
      </w:pPr>
      <w:bookmarkStart w:id="35" w:name="_Toc15377444"/>
      <w:bookmarkStart w:id="36" w:name="_Toc15378460"/>
      <w:bookmarkStart w:id="37" w:name="_Toc15377213"/>
      <w:r>
        <w:rPr>
          <w:rFonts w:hint="eastAsia" w:ascii="仿宋" w:hAnsi="仿宋" w:eastAsia="仿宋"/>
          <w:b/>
          <w:color w:val="000000" w:themeColor="text1"/>
          <w:sz w:val="32"/>
          <w:szCs w:val="32"/>
          <w14:textFill>
            <w14:solidFill>
              <w14:schemeClr w14:val="tx1"/>
            </w14:solidFill>
          </w14:textFill>
        </w:rPr>
        <w:t>2018年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140.67万元</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5"/>
      <w:bookmarkEnd w:id="36"/>
      <w:bookmarkEnd w:id="37"/>
    </w:p>
    <w:p>
      <w:pPr>
        <w:numPr>
          <w:ilvl w:val="0"/>
          <w:numId w:val="2"/>
        </w:numPr>
        <w:spacing w:line="600" w:lineRule="exact"/>
        <w:ind w:firstLine="643" w:firstLineChars="200"/>
        <w:rPr>
          <w:rStyle w:val="15"/>
          <w:rFonts w:hint="default" w:ascii="仿宋" w:hAnsi="仿宋" w:eastAsia="仿宋"/>
          <w:b w:val="0"/>
          <w:bCs/>
          <w:color w:val="000000"/>
          <w:sz w:val="32"/>
          <w:szCs w:val="32"/>
          <w:lang w:val="en-US" w:eastAsia="zh-CN"/>
        </w:rPr>
      </w:pPr>
      <w:r>
        <w:rPr>
          <w:rStyle w:val="15"/>
          <w:rFonts w:hint="eastAsia" w:ascii="仿宋" w:hAnsi="仿宋" w:eastAsia="仿宋"/>
          <w:bCs/>
          <w:color w:val="000000"/>
          <w:sz w:val="32"/>
          <w:szCs w:val="32"/>
        </w:rPr>
        <w:t>一般公共服务</w:t>
      </w:r>
      <w:r>
        <w:rPr>
          <w:rStyle w:val="15"/>
          <w:rFonts w:hint="eastAsia" w:ascii="仿宋" w:hAnsi="仿宋" w:eastAsia="仿宋"/>
          <w:bCs/>
          <w:color w:val="000000"/>
          <w:sz w:val="32"/>
          <w:szCs w:val="32"/>
          <w:lang w:eastAsia="zh-CN"/>
        </w:rPr>
        <w:t>：</w:t>
      </w:r>
      <w:r>
        <w:rPr>
          <w:rStyle w:val="15"/>
          <w:rFonts w:hint="eastAsia" w:ascii="仿宋" w:hAnsi="仿宋" w:eastAsia="仿宋"/>
          <w:b w:val="0"/>
          <w:bCs w:val="0"/>
          <w:color w:val="000000"/>
          <w:sz w:val="32"/>
          <w:szCs w:val="32"/>
          <w:lang w:val="en-US" w:eastAsia="zh-CN"/>
        </w:rPr>
        <w:t>2012801行政运行</w:t>
      </w:r>
      <w:r>
        <w:rPr>
          <w:rStyle w:val="15"/>
          <w:rFonts w:ascii="仿宋" w:hAnsi="仿宋" w:eastAsia="仿宋"/>
          <w:b w:val="0"/>
          <w:bCs w:val="0"/>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103.07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lang w:val="en-US" w:eastAsia="zh-CN"/>
        </w:rPr>
        <w:t>2012899其他民主党派及工商联事务支出：支出决算为2万元，完成预算100%。</w:t>
      </w:r>
    </w:p>
    <w:p>
      <w:pPr>
        <w:numPr>
          <w:ilvl w:val="0"/>
          <w:numId w:val="2"/>
        </w:numPr>
        <w:spacing w:line="600" w:lineRule="exact"/>
        <w:ind w:left="0" w:leftChars="0" w:firstLine="643" w:firstLineChars="200"/>
        <w:rPr>
          <w:rStyle w:val="15"/>
          <w:rFonts w:hint="eastAsia" w:ascii="仿宋" w:hAnsi="仿宋" w:eastAsia="仿宋"/>
          <w:b w:val="0"/>
          <w:bCs/>
          <w:color w:val="000000"/>
          <w:sz w:val="32"/>
          <w:szCs w:val="32"/>
          <w:lang w:val="en-US" w:eastAsia="zh-CN"/>
        </w:rPr>
      </w:pPr>
      <w:r>
        <w:rPr>
          <w:rStyle w:val="15"/>
          <w:rFonts w:hint="eastAsia" w:ascii="仿宋" w:hAnsi="仿宋" w:eastAsia="仿宋"/>
          <w:bCs/>
          <w:color w:val="000000"/>
          <w:sz w:val="32"/>
          <w:szCs w:val="32"/>
        </w:rPr>
        <w:t>社会保障和就业</w:t>
      </w:r>
      <w:r>
        <w:rPr>
          <w:rStyle w:val="15"/>
          <w:rFonts w:hint="eastAsia" w:ascii="仿宋" w:hAnsi="仿宋" w:eastAsia="仿宋"/>
          <w:bCs/>
          <w:color w:val="000000"/>
          <w:sz w:val="32"/>
          <w:szCs w:val="32"/>
          <w:lang w:eastAsia="zh-CN"/>
        </w:rPr>
        <w:t>：</w:t>
      </w:r>
      <w:r>
        <w:rPr>
          <w:rStyle w:val="15"/>
          <w:rFonts w:hint="eastAsia" w:ascii="仿宋" w:hAnsi="仿宋" w:eastAsia="仿宋"/>
          <w:b w:val="0"/>
          <w:bCs w:val="0"/>
          <w:color w:val="000000"/>
          <w:sz w:val="32"/>
          <w:szCs w:val="32"/>
          <w:lang w:val="en-US" w:eastAsia="zh-CN"/>
        </w:rPr>
        <w:t>2080505养老保险缴费支出</w:t>
      </w:r>
      <w:r>
        <w:rPr>
          <w:rStyle w:val="15"/>
          <w:rFonts w:ascii="仿宋" w:hAnsi="仿宋" w:eastAsia="仿宋"/>
          <w:b w:val="0"/>
          <w:bCs w:val="0"/>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14.64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lang w:val="en-US" w:eastAsia="zh-CN"/>
        </w:rPr>
        <w:t>2080506职业年金缴费支出：支出决算数为5.86万元，完成预算数100%。</w:t>
      </w:r>
    </w:p>
    <w:p>
      <w:pPr>
        <w:numPr>
          <w:ilvl w:val="0"/>
          <w:numId w:val="0"/>
        </w:numPr>
        <w:spacing w:line="600" w:lineRule="exact"/>
        <w:ind w:left="0" w:leftChars="0" w:firstLine="643" w:firstLineChars="200"/>
        <w:rPr>
          <w:rStyle w:val="15"/>
          <w:rFonts w:ascii="仿宋" w:hAnsi="仿宋" w:eastAsia="仿宋"/>
          <w:bCs/>
          <w:color w:val="000000"/>
          <w:sz w:val="32"/>
          <w:szCs w:val="32"/>
        </w:rPr>
      </w:pPr>
      <w:r>
        <w:rPr>
          <w:rStyle w:val="15"/>
          <w:rFonts w:ascii="仿宋" w:hAnsi="仿宋" w:eastAsia="仿宋"/>
          <w:bCs/>
          <w:color w:val="000000"/>
          <w:sz w:val="32"/>
          <w:szCs w:val="32"/>
        </w:rPr>
        <w:t>3.</w:t>
      </w:r>
      <w:r>
        <w:rPr>
          <w:rStyle w:val="15"/>
          <w:rFonts w:hint="eastAsia" w:ascii="仿宋" w:hAnsi="仿宋" w:eastAsia="仿宋"/>
          <w:bCs/>
          <w:color w:val="000000"/>
          <w:sz w:val="32"/>
          <w:szCs w:val="32"/>
        </w:rPr>
        <w:t>医疗卫生与计划生育</w:t>
      </w:r>
      <w:r>
        <w:rPr>
          <w:rStyle w:val="15"/>
          <w:rFonts w:hint="eastAsia" w:ascii="仿宋" w:hAnsi="仿宋" w:eastAsia="仿宋"/>
          <w:bCs/>
          <w:color w:val="000000"/>
          <w:sz w:val="32"/>
          <w:szCs w:val="32"/>
          <w:lang w:eastAsia="zh-CN"/>
        </w:rPr>
        <w:t>：</w:t>
      </w:r>
      <w:r>
        <w:rPr>
          <w:rStyle w:val="15"/>
          <w:rFonts w:hint="eastAsia" w:ascii="仿宋" w:hAnsi="仿宋" w:eastAsia="仿宋"/>
          <w:b w:val="0"/>
          <w:bCs w:val="0"/>
          <w:color w:val="000000"/>
          <w:sz w:val="32"/>
          <w:szCs w:val="32"/>
          <w:lang w:val="en-US" w:eastAsia="zh-CN"/>
        </w:rPr>
        <w:t>2101101行政单位医疗</w:t>
      </w:r>
      <w:r>
        <w:rPr>
          <w:rStyle w:val="15"/>
          <w:rFonts w:ascii="仿宋" w:hAnsi="仿宋" w:eastAsia="仿宋"/>
          <w:b w:val="0"/>
          <w:bCs w:val="0"/>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4.85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lang w:val="en-US" w:eastAsia="zh-CN"/>
        </w:rPr>
        <w:t>2101103公务员医疗补助：支出决算数为1.10万元，完成预算数100%</w:t>
      </w:r>
      <w:r>
        <w:rPr>
          <w:rStyle w:val="15"/>
          <w:rFonts w:hint="eastAsia" w:ascii="仿宋" w:hAnsi="仿宋" w:eastAsia="仿宋"/>
          <w:b w:val="0"/>
          <w:bCs/>
          <w:color w:val="000000"/>
          <w:sz w:val="32"/>
          <w:szCs w:val="32"/>
        </w:rPr>
        <w:t>。</w:t>
      </w:r>
    </w:p>
    <w:p>
      <w:pPr>
        <w:spacing w:line="600" w:lineRule="exact"/>
        <w:ind w:firstLine="643" w:firstLineChars="200"/>
        <w:rPr>
          <w:rStyle w:val="15"/>
          <w:rFonts w:hint="default" w:ascii="仿宋" w:hAnsi="仿宋" w:eastAsia="仿宋"/>
          <w:bCs/>
          <w:color w:val="000000"/>
          <w:sz w:val="32"/>
          <w:szCs w:val="32"/>
          <w:lang w:val="en-US" w:eastAsia="zh-CN"/>
        </w:rPr>
      </w:pPr>
      <w:r>
        <w:rPr>
          <w:rStyle w:val="15"/>
          <w:rFonts w:ascii="仿宋" w:hAnsi="仿宋" w:eastAsia="仿宋"/>
          <w:bCs/>
          <w:color w:val="000000"/>
          <w:sz w:val="32"/>
          <w:szCs w:val="32"/>
        </w:rPr>
        <w:t>4.</w:t>
      </w:r>
      <w:r>
        <w:rPr>
          <w:rStyle w:val="15"/>
          <w:rFonts w:hint="eastAsia" w:ascii="仿宋" w:hAnsi="仿宋" w:eastAsia="仿宋"/>
          <w:bCs/>
          <w:color w:val="000000"/>
          <w:sz w:val="32"/>
          <w:szCs w:val="32"/>
          <w:lang w:eastAsia="zh-CN"/>
        </w:rPr>
        <w:t>住房保障支出：</w:t>
      </w:r>
      <w:r>
        <w:rPr>
          <w:rStyle w:val="15"/>
          <w:rFonts w:hint="eastAsia" w:ascii="仿宋" w:hAnsi="仿宋" w:eastAsia="仿宋"/>
          <w:b w:val="0"/>
          <w:bCs w:val="0"/>
          <w:color w:val="000000"/>
          <w:sz w:val="32"/>
          <w:szCs w:val="32"/>
          <w:lang w:val="en-US" w:eastAsia="zh-CN"/>
        </w:rPr>
        <w:t>2210201住房公积金：支出决算数为9.15万元，完成预算数100%。</w:t>
      </w:r>
    </w:p>
    <w:p>
      <w:pPr>
        <w:tabs>
          <w:tab w:val="right" w:pos="8306"/>
        </w:tabs>
        <w:spacing w:line="600" w:lineRule="exact"/>
        <w:ind w:firstLine="640"/>
        <w:outlineLvl w:val="1"/>
        <w:rPr>
          <w:rStyle w:val="26"/>
        </w:rPr>
      </w:pPr>
      <w:bookmarkStart w:id="38" w:name="_Toc15396608"/>
      <w:bookmarkStart w:id="39"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38"/>
      <w:bookmarkEnd w:id="39"/>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138.67</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129.95</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28.77万元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50.17万元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13.53万元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14.64万元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5.86万元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7.39万元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0.44万元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9.15万元</w:t>
      </w:r>
      <w:r>
        <w:rPr>
          <w:rFonts w:hint="eastAsia" w:ascii="仿宋" w:hAnsi="仿宋" w:eastAsia="仿宋"/>
          <w:color w:val="000000"/>
          <w:sz w:val="32"/>
          <w:szCs w:val="32"/>
        </w:rPr>
        <w:t>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8.72</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1.19万元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1.09万元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手续费</w:t>
      </w:r>
      <w:r>
        <w:rPr>
          <w:rFonts w:hint="eastAsia" w:ascii="仿宋" w:hAnsi="仿宋" w:eastAsia="仿宋"/>
          <w:color w:val="000000"/>
          <w:sz w:val="32"/>
          <w:szCs w:val="32"/>
          <w:lang w:val="en-US" w:eastAsia="zh-CN"/>
        </w:rPr>
        <w:t>0.07万元、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1.60万元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1.85万元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2.92万元</w:t>
      </w:r>
      <w:r>
        <w:rPr>
          <w:rFonts w:hint="eastAsia" w:ascii="仿宋" w:hAnsi="仿宋" w:eastAsia="仿宋"/>
          <w:color w:val="000000"/>
          <w:sz w:val="32"/>
          <w:szCs w:val="32"/>
          <w:lang w:eastAsia="zh-CN"/>
        </w:rPr>
        <w:t>等费用</w:t>
      </w:r>
      <w:r>
        <w:rPr>
          <w:rFonts w:hint="eastAsia" w:ascii="仿宋" w:hAnsi="仿宋" w:eastAsia="仿宋"/>
          <w:color w:val="000000"/>
          <w:sz w:val="32"/>
          <w:szCs w:val="32"/>
        </w:rPr>
        <w:t>。</w:t>
      </w:r>
    </w:p>
    <w:p>
      <w:pPr>
        <w:spacing w:line="600" w:lineRule="exact"/>
        <w:ind w:firstLine="640"/>
        <w:outlineLvl w:val="1"/>
        <w:rPr>
          <w:rStyle w:val="26"/>
          <w:rFonts w:ascii="黑体" w:hAnsi="黑体" w:eastAsia="黑体"/>
          <w:b w:val="0"/>
        </w:rPr>
      </w:pPr>
      <w:bookmarkStart w:id="40" w:name="_Toc15377215"/>
      <w:bookmarkStart w:id="41"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0"/>
      <w:bookmarkEnd w:id="41"/>
    </w:p>
    <w:p>
      <w:pPr>
        <w:spacing w:line="600" w:lineRule="exact"/>
        <w:ind w:firstLine="640"/>
        <w:outlineLvl w:val="2"/>
        <w:rPr>
          <w:rFonts w:ascii="仿宋" w:hAnsi="仿宋" w:eastAsia="仿宋"/>
          <w:b/>
          <w:color w:val="000000"/>
          <w:sz w:val="32"/>
          <w:szCs w:val="32"/>
        </w:rPr>
      </w:pPr>
      <w:bookmarkStart w:id="42" w:name="_Toc15377216"/>
      <w:r>
        <w:rPr>
          <w:rFonts w:hint="eastAsia" w:ascii="仿宋" w:hAnsi="仿宋" w:eastAsia="仿宋"/>
          <w:b/>
          <w:color w:val="000000"/>
          <w:sz w:val="32"/>
          <w:szCs w:val="32"/>
        </w:rPr>
        <w:t>（一）“三公”经费财政拨款支出决算总体情况说明</w:t>
      </w:r>
      <w:bookmarkEnd w:id="4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3.02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w:t>
      </w:r>
      <w:r>
        <w:rPr>
          <w:rFonts w:hint="eastAsia" w:ascii="仿宋" w:hAnsi="仿宋" w:eastAsia="仿宋"/>
          <w:color w:val="000000"/>
          <w:sz w:val="32"/>
          <w:szCs w:val="32"/>
          <w:lang w:eastAsia="zh-CN"/>
        </w:rPr>
        <w:t>基本</w:t>
      </w:r>
      <w:r>
        <w:rPr>
          <w:rFonts w:hint="eastAsia" w:ascii="仿宋" w:hAnsi="仿宋" w:eastAsia="仿宋"/>
          <w:color w:val="000000"/>
          <w:sz w:val="32"/>
          <w:szCs w:val="32"/>
        </w:rPr>
        <w:t>持平。</w:t>
      </w:r>
    </w:p>
    <w:p>
      <w:pPr>
        <w:spacing w:line="600" w:lineRule="exact"/>
        <w:ind w:firstLine="640"/>
        <w:outlineLvl w:val="2"/>
        <w:rPr>
          <w:rFonts w:ascii="仿宋" w:hAnsi="仿宋" w:eastAsia="仿宋"/>
          <w:b/>
          <w:color w:val="000000"/>
          <w:sz w:val="32"/>
          <w:szCs w:val="32"/>
        </w:rPr>
      </w:pPr>
      <w:bookmarkStart w:id="43" w:name="_Toc15377217"/>
      <w:r>
        <w:rPr>
          <w:rFonts w:hint="eastAsia" w:ascii="仿宋" w:hAnsi="仿宋" w:eastAsia="仿宋"/>
          <w:b/>
          <w:color w:val="000000"/>
          <w:sz w:val="32"/>
          <w:szCs w:val="32"/>
        </w:rPr>
        <w:t>（二）“三公”经费财政拨款支出决算具体情况说明</w:t>
      </w:r>
      <w:bookmarkEnd w:id="4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3.02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6.34</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图8：“三公”经费财政拨款支出结构</w:t>
      </w: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rPr>
          <w:rFonts w:hint="eastAsia" w:ascii="仿宋" w:hAnsi="仿宋" w:eastAsia="仿宋"/>
          <w:color w:val="000000"/>
          <w:sz w:val="32"/>
          <w:szCs w:val="32"/>
        </w:rPr>
      </w:pPr>
    </w:p>
    <w:p>
      <w:pPr>
        <w:spacing w:line="600" w:lineRule="exact"/>
        <w:ind w:firstLine="640"/>
        <w:rPr>
          <w:rFonts w:ascii="仿宋_GB2312" w:eastAsia="仿宋_GB2312"/>
          <w:b/>
          <w:color w:val="000000"/>
          <w:sz w:val="32"/>
          <w:szCs w:val="32"/>
        </w:rPr>
      </w:pPr>
      <w:r>
        <w:drawing>
          <wp:anchor distT="0" distB="0" distL="114300" distR="114300" simplePos="0" relativeHeight="251671552" behindDoc="0" locked="0" layoutInCell="1" allowOverlap="1">
            <wp:simplePos x="0" y="0"/>
            <wp:positionH relativeFrom="column">
              <wp:posOffset>410845</wp:posOffset>
            </wp:positionH>
            <wp:positionV relativeFrom="paragraph">
              <wp:posOffset>-2453005</wp:posOffset>
            </wp:positionV>
            <wp:extent cx="4572000" cy="2743200"/>
            <wp:effectExtent l="4445" t="4445" r="14605" b="14605"/>
            <wp:wrapSquare wrapText="bothSides"/>
            <wp:docPr id="1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spacing w:line="600" w:lineRule="exact"/>
        <w:ind w:firstLine="640"/>
        <w:rPr>
          <w:rFonts w:ascii="仿宋_GB2312" w:eastAsia="仿宋_GB2312"/>
          <w:b/>
          <w:color w:val="000000"/>
          <w:sz w:val="32"/>
          <w:szCs w:val="32"/>
        </w:rPr>
      </w:pPr>
      <w:r>
        <w:rPr>
          <w:rFonts w:hint="eastAsia" w:ascii="仿宋" w:hAnsi="仿宋" w:eastAsia="仿宋"/>
          <w:color w:val="000000"/>
          <w:sz w:val="32"/>
          <w:szCs w:val="32"/>
        </w:rPr>
        <w:t>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万元。因公出国（境）支出决算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eastAsia="仿宋_GB2312"/>
          <w:color w:val="000000"/>
          <w:sz w:val="32"/>
          <w:szCs w:val="32"/>
          <w:lang w:eastAsia="zh-CN"/>
        </w:rPr>
        <w:t>持平</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3.02</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0.43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1.52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hAnsi="仿宋" w:eastAsia="仿宋_GB2312"/>
          <w:sz w:val="32"/>
          <w:szCs w:val="32"/>
          <w:lang w:eastAsia="zh-CN"/>
        </w:rPr>
        <w:t>下乡和出差次数增加</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3.02</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人大工作出差、开展脱贫攻坚工作下乡</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hint="eastAsia" w:ascii="黑体" w:eastAsia="黑体"/>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0.27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本年无接待支出</w:t>
      </w:r>
      <w:r>
        <w:rPr>
          <w:rFonts w:hint="eastAsia" w:ascii="仿宋_GB2312" w:eastAsia="仿宋_GB2312"/>
          <w:color w:val="000000"/>
          <w:sz w:val="32"/>
          <w:szCs w:val="32"/>
        </w:rPr>
        <w:t>。</w:t>
      </w:r>
      <w:bookmarkStart w:id="44" w:name="_Toc15377218"/>
      <w:bookmarkStart w:id="45" w:name="_Toc15396610"/>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6"/>
          <w:rFonts w:ascii="黑体" w:hAnsi="黑体" w:eastAsia="黑体"/>
          <w:b w:val="0"/>
        </w:rPr>
      </w:pPr>
      <w:bookmarkStart w:id="46" w:name="_Toc15377219"/>
      <w:bookmarkStart w:id="47" w:name="_Toc15396611"/>
      <w:r>
        <w:rPr>
          <w:rStyle w:val="26"/>
          <w:rFonts w:hint="eastAsia" w:ascii="黑体" w:hAnsi="黑体" w:eastAsia="黑体"/>
          <w:b w:val="0"/>
        </w:rPr>
        <w:t>国有资本经营预算支出决算情况说明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4"/>
        <w:numPr>
          <w:ilvl w:val="0"/>
          <w:numId w:val="4"/>
        </w:numPr>
        <w:spacing w:line="580" w:lineRule="exact"/>
        <w:ind w:firstLineChars="0"/>
        <w:rPr>
          <w:rStyle w:val="26"/>
          <w:rFonts w:ascii="黑体" w:hAnsi="黑体" w:eastAsia="黑体"/>
          <w:b w:val="0"/>
        </w:rPr>
      </w:pPr>
      <w:r>
        <w:rPr>
          <w:rStyle w:val="26"/>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1个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按要求对2018年部门整体支出开展绩效自评，从评价情况来看</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项目完成情况良好，严格按照本单位制定的目标绩效管理制度来开展绩效管理工作，项目资金为专项经费的，全部用于专项工作</w:t>
      </w:r>
      <w:r>
        <w:rPr>
          <w:rFonts w:hint="eastAsia" w:ascii="仿宋_GB2312" w:hAnsi="仿宋_GB2312" w:eastAsia="仿宋_GB2312" w:cs="仿宋_GB2312"/>
          <w:sz w:val="32"/>
          <w:szCs w:val="32"/>
        </w:rPr>
        <w:t>。</w:t>
      </w:r>
    </w:p>
    <w:p>
      <w:pPr>
        <w:numPr>
          <w:ilvl w:val="0"/>
          <w:numId w:val="5"/>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w:t>
      </w:r>
      <w:r>
        <w:rPr>
          <w:rFonts w:hint="eastAsia" w:ascii="仿宋_GB2312" w:hAnsi="仿宋_GB2312" w:eastAsia="仿宋_GB2312" w:cs="仿宋_GB2312"/>
          <w:sz w:val="32"/>
          <w:szCs w:val="32"/>
          <w:lang w:eastAsia="zh-CN"/>
        </w:rPr>
        <w:t>光彩事业经费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项目绩效目标实际完成情况。</w:t>
      </w:r>
    </w:p>
    <w:p>
      <w:pPr>
        <w:numPr>
          <w:ilvl w:val="0"/>
          <w:numId w:val="6"/>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光彩事业经费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该项目资金主要用于行政运行以外的工商联事业发展支出及扶贫和帮助社会弱势群体的支出。</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65"/>
        <w:gridCol w:w="825"/>
        <w:gridCol w:w="1800"/>
        <w:gridCol w:w="1935"/>
        <w:gridCol w:w="2415"/>
      </w:tblGrid>
      <w:tr>
        <w:tblPrEx>
          <w:tblLayout w:type="fixed"/>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tblPrEx>
          <w:tblLayout w:type="fixed"/>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灌溉事业经费</w:t>
            </w:r>
          </w:p>
        </w:tc>
      </w:tr>
      <w:tr>
        <w:tblPrEx>
          <w:tblLayout w:type="fixed"/>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红原县工商业联合会</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2万元</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i w:val="0"/>
                <w:caps w:val="0"/>
                <w:color w:val="333333"/>
                <w:spacing w:val="0"/>
                <w:sz w:val="24"/>
                <w:szCs w:val="24"/>
                <w:shd w:val="clear" w:fill="FFFFFF"/>
              </w:rPr>
              <w:t>组织非公有制经济人士以及社会各界力量，参与“光彩事业”，走共同富裕道路。</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eastAsia="宋体" w:cs="宋体"/>
                <w:i w:val="0"/>
                <w:caps w:val="0"/>
                <w:color w:val="333333"/>
                <w:spacing w:val="0"/>
                <w:sz w:val="24"/>
                <w:szCs w:val="24"/>
                <w:shd w:val="clear" w:fill="FFFFFF"/>
              </w:rPr>
              <w:t>组织非公有制经济人士以及社会各界力量，参与“光彩事业”，走共同富裕道路。</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2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Layout w:type="fixed"/>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i w:val="0"/>
                <w:caps w:val="0"/>
                <w:color w:val="333333"/>
                <w:spacing w:val="0"/>
                <w:sz w:val="24"/>
                <w:szCs w:val="24"/>
                <w:shd w:val="clear" w:fill="FFFFFF"/>
              </w:rPr>
              <w:t>组织非公有制经济人士以及社会各界力量，参与“光彩事业”，走共同富裕道路。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i w:val="0"/>
                <w:caps w:val="0"/>
                <w:color w:val="333333"/>
                <w:spacing w:val="0"/>
                <w:sz w:val="24"/>
                <w:szCs w:val="24"/>
                <w:shd w:val="clear" w:fill="FFFFFF"/>
              </w:rPr>
              <w:t>组织非公有制经济人士以及社会各界力量，参与“光彩事业”，走共同富裕道路。</w:t>
            </w:r>
          </w:p>
        </w:tc>
      </w:tr>
      <w:tr>
        <w:tblPrEx>
          <w:tblLayout w:type="fixed"/>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Layout w:type="fixed"/>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Layout w:type="fixed"/>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Layout w:type="fixed"/>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Layout w:type="fixed"/>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Layout w:type="fixed"/>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Layout w:type="fixed"/>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2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2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r>
      <w:tr>
        <w:tblPrEx>
          <w:tblLayout w:type="fixed"/>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Layout w:type="fixed"/>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Layout w:type="fixed"/>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增强</w:t>
            </w:r>
          </w:p>
        </w:tc>
      </w:tr>
      <w:tr>
        <w:tblPrEx>
          <w:tblLayout w:type="fixed"/>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eastAsia="宋体" w:cs="宋体"/>
                <w:i w:val="0"/>
                <w:caps w:val="0"/>
                <w:color w:val="333333"/>
                <w:spacing w:val="0"/>
                <w:sz w:val="21"/>
                <w:szCs w:val="21"/>
                <w:shd w:val="clear" w:fill="FFFFFF"/>
              </w:rPr>
              <w:t>组织非公有制经济人士以及社会各界力量，参与“光彩事业”，走共同富裕道路。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eastAsia="宋体" w:cs="宋体"/>
                <w:i w:val="0"/>
                <w:caps w:val="0"/>
                <w:color w:val="333333"/>
                <w:spacing w:val="0"/>
                <w:sz w:val="21"/>
                <w:szCs w:val="21"/>
                <w:shd w:val="clear" w:fill="FFFFFF"/>
              </w:rPr>
              <w:t>组织非公有制经济人士以及社会各界力量，参与“光彩事业”，走共同富裕道路。</w:t>
            </w:r>
          </w:p>
        </w:tc>
      </w:tr>
      <w:tr>
        <w:tblPrEx>
          <w:tblLayout w:type="fixed"/>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助力精准脱贫</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助力精准脱贫</w:t>
            </w:r>
          </w:p>
        </w:tc>
      </w:tr>
      <w:tr>
        <w:tblPrEx>
          <w:tblLayout w:type="fixed"/>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r>
      <w:tr>
        <w:tblPrEx>
          <w:tblLayout w:type="fixed"/>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spacing w:line="580" w:lineRule="exact"/>
        <w:rPr>
          <w:rFonts w:ascii="仿宋_GB2312" w:hAnsi="仿宋_GB2312" w:eastAsia="仿宋_GB2312" w:cs="仿宋_GB2312"/>
          <w:sz w:val="32"/>
          <w:szCs w:val="32"/>
        </w:rPr>
      </w:pPr>
    </w:p>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eastAsia="zh-CN"/>
        </w:rPr>
        <w:t>红原县工商业联合会</w:t>
      </w:r>
      <w:r>
        <w:rPr>
          <w:rFonts w:hint="eastAsia" w:ascii="仿宋_GB2312" w:hAnsi="仿宋_GB2312" w:eastAsia="仿宋_GB2312" w:cs="仿宋_GB2312"/>
          <w:sz w:val="32"/>
          <w:szCs w:val="32"/>
        </w:rPr>
        <w:t>2018年部门整体支出绩效评价报告》见附件。</w:t>
      </w:r>
    </w:p>
    <w:p>
      <w:pPr>
        <w:spacing w:line="580" w:lineRule="exact"/>
        <w:ind w:firstLine="640" w:firstLineChars="200"/>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光彩事业经费</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eastAsia="zh-CN"/>
        </w:rPr>
        <w:t>红原县工商业联合会光彩事业经费</w:t>
      </w:r>
      <w:r>
        <w:rPr>
          <w:rFonts w:hint="eastAsia" w:ascii="仿宋_GB2312" w:hAnsi="仿宋_GB2312" w:eastAsia="仿宋_GB2312" w:cs="仿宋_GB2312"/>
          <w:sz w:val="32"/>
          <w:szCs w:val="32"/>
        </w:rPr>
        <w:t>2018年绩效评价报告》见附件。</w:t>
      </w:r>
    </w:p>
    <w:p>
      <w:pPr>
        <w:spacing w:line="600" w:lineRule="exact"/>
        <w:ind w:firstLine="800" w:firstLineChars="250"/>
        <w:outlineLvl w:val="1"/>
        <w:rPr>
          <w:rStyle w:val="26"/>
          <w:rFonts w:ascii="黑体" w:hAnsi="黑体" w:eastAsia="黑体"/>
        </w:rPr>
      </w:pPr>
      <w:bookmarkStart w:id="48" w:name="_Toc15377221"/>
      <w:bookmarkStart w:id="49" w:name="_Toc15396612"/>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48"/>
      <w:bookmarkEnd w:id="49"/>
    </w:p>
    <w:p>
      <w:pPr>
        <w:spacing w:line="600" w:lineRule="exact"/>
        <w:ind w:firstLine="643" w:firstLineChars="200"/>
        <w:outlineLvl w:val="2"/>
        <w:rPr>
          <w:rFonts w:ascii="仿宋" w:hAnsi="仿宋" w:eastAsia="仿宋"/>
          <w:color w:val="000000"/>
          <w:sz w:val="32"/>
          <w:szCs w:val="32"/>
        </w:rPr>
      </w:pPr>
      <w:bookmarkStart w:id="50" w:name="_Toc15377222"/>
      <w:r>
        <w:rPr>
          <w:rFonts w:hint="eastAsia" w:ascii="仿宋" w:hAnsi="仿宋" w:eastAsia="仿宋"/>
          <w:b/>
          <w:color w:val="000000"/>
          <w:sz w:val="32"/>
          <w:szCs w:val="32"/>
        </w:rPr>
        <w:t>（一）机关运行经费支出情况</w:t>
      </w:r>
      <w:bookmarkEnd w:id="50"/>
    </w:p>
    <w:p>
      <w:pPr>
        <w:spacing w:line="600" w:lineRule="exact"/>
        <w:ind w:firstLine="640" w:firstLineChars="200"/>
        <w:rPr>
          <w:rFonts w:ascii="仿宋" w:hAnsi="仿宋" w:eastAsia="仿宋"/>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红原县工商业联合会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8.72</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4.86</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35.8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2017工商联进行换届选举会议费增加，2018年严格控制经费拨付。</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1" w:name="_Toc15377223"/>
      <w:r>
        <w:rPr>
          <w:rFonts w:hint="eastAsia" w:ascii="仿宋" w:hAnsi="仿宋" w:eastAsia="仿宋"/>
          <w:b/>
          <w:color w:val="000000"/>
          <w:sz w:val="32"/>
          <w:szCs w:val="32"/>
        </w:rPr>
        <w:t>（二）政府采购支出情况</w:t>
      </w:r>
      <w:bookmarkEnd w:id="51"/>
    </w:p>
    <w:p>
      <w:pPr>
        <w:autoSpaceDE w:val="0"/>
        <w:autoSpaceDN w:val="0"/>
        <w:adjustRightInd w:val="0"/>
        <w:spacing w:line="600" w:lineRule="exact"/>
        <w:ind w:firstLine="640" w:firstLineChars="200"/>
        <w:jc w:val="left"/>
        <w:outlineLvl w:val="2"/>
        <w:rPr>
          <w:rFonts w:hint="eastAsia" w:ascii="仿宋" w:hAnsi="仿宋" w:eastAsia="仿宋_GB2312"/>
          <w:b/>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没有政府采购计划。</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2" w:name="_Toc15377224"/>
      <w:r>
        <w:rPr>
          <w:rFonts w:hint="eastAsia" w:ascii="仿宋" w:hAnsi="仿宋" w:eastAsia="仿宋"/>
          <w:b/>
          <w:color w:val="000000"/>
          <w:sz w:val="32"/>
          <w:szCs w:val="32"/>
        </w:rPr>
        <w:t>（三）国有资产占有使用情况</w:t>
      </w:r>
      <w:bookmarkEnd w:id="52"/>
    </w:p>
    <w:p>
      <w:pPr>
        <w:autoSpaceDE w:val="0"/>
        <w:autoSpaceDN w:val="0"/>
        <w:adjustRightInd w:val="0"/>
        <w:spacing w:line="600" w:lineRule="exact"/>
        <w:ind w:firstLine="640" w:firstLineChars="200"/>
        <w:jc w:val="left"/>
        <w:outlineLvl w:val="2"/>
        <w:rPr>
          <w:rFonts w:ascii="仿宋" w:hAnsi="仿宋" w:eastAsia="仿宋"/>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本单位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辆，其中：一般公务用车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atLeast"/>
        <w:ind w:firstLine="643" w:firstLineChars="200"/>
        <w:rPr>
          <w:rFonts w:ascii="仿宋_GB2312" w:eastAsia="仿宋_GB2312"/>
          <w:b/>
          <w:color w:val="000000"/>
          <w:sz w:val="32"/>
          <w:szCs w:val="32"/>
        </w:rPr>
      </w:pPr>
    </w:p>
    <w:p>
      <w:pPr>
        <w:widowControl/>
        <w:jc w:val="center"/>
        <w:rPr>
          <w:rStyle w:val="25"/>
          <w:rFonts w:ascii="黑体" w:hAnsi="黑体" w:eastAsia="黑体"/>
          <w:b w:val="0"/>
        </w:rPr>
      </w:pPr>
      <w:bookmarkStart w:id="53" w:name="_Toc15377225"/>
      <w:bookmarkStart w:id="54" w:name="_Toc15396613"/>
      <w:r>
        <w:rPr>
          <w:rFonts w:hint="eastAsia" w:ascii="黑体" w:hAnsi="黑体" w:eastAsia="黑体"/>
          <w:b/>
          <w:color w:val="000000"/>
          <w:sz w:val="44"/>
          <w:szCs w:val="44"/>
          <w:lang w:eastAsia="zh-CN"/>
        </w:rPr>
        <w:t>第三部分</w:t>
      </w:r>
      <w:r>
        <w:rPr>
          <w:rFonts w:hint="eastAsia" w:ascii="黑体" w:hAnsi="黑体" w:eastAsia="黑体"/>
          <w:b/>
          <w:color w:val="000000"/>
          <w:sz w:val="44"/>
          <w:szCs w:val="44"/>
          <w:lang w:val="en-US" w:eastAsia="zh-CN"/>
        </w:rPr>
        <w:t xml:space="preserve"> </w:t>
      </w:r>
      <w:r>
        <w:rPr>
          <w:rFonts w:hint="eastAsia" w:ascii="黑体" w:hAnsi="黑体" w:eastAsia="黑体"/>
          <w:b/>
          <w:color w:val="000000"/>
          <w:sz w:val="44"/>
          <w:szCs w:val="44"/>
        </w:rPr>
        <w:t>名</w:t>
      </w:r>
      <w:r>
        <w:rPr>
          <w:rStyle w:val="25"/>
          <w:rFonts w:hint="eastAsia" w:ascii="黑体" w:hAnsi="黑体" w:eastAsia="黑体"/>
          <w:b w:val="0"/>
        </w:rPr>
        <w:t>词解释</w:t>
      </w:r>
      <w:bookmarkEnd w:id="53"/>
      <w:bookmarkEnd w:id="54"/>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绵阳工商联拨入光彩事业经费</w:t>
      </w:r>
      <w:r>
        <w:rPr>
          <w:rFonts w:hint="eastAsia" w:ascii="仿宋_GB2312" w:eastAsia="仿宋_GB2312"/>
          <w:sz w:val="32"/>
          <w:szCs w:val="32"/>
        </w:rPr>
        <w:t>等。</w:t>
      </w:r>
      <w:r>
        <w:rPr>
          <w:rFonts w:ascii="仿宋_GB2312" w:eastAsia="仿宋_GB2312"/>
          <w:sz w:val="32"/>
          <w:szCs w:val="32"/>
        </w:rPr>
        <w:t xml:space="preserve"> </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2012801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工商联行政运行，反映人员经费与日常公用经费的支出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2012899指其他民主党派及工商联事务支出，反映县光彩事业活动的支出。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2101103指公务员医疗补助。</w:t>
      </w:r>
    </w:p>
    <w:p>
      <w:pPr>
        <w:ind w:firstLine="640" w:firstLineChars="200"/>
        <w:rPr>
          <w:rFonts w:ascii="仿宋" w:hAnsi="仿宋" w:eastAsia="仿宋"/>
          <w:b/>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jc w:val="left"/>
        <w:rPr>
          <w:rStyle w:val="25"/>
        </w:rPr>
      </w:pPr>
      <w:r>
        <w:rPr>
          <w:rFonts w:hint="eastAsia" w:ascii="仿宋_GB2312" w:eastAsia="仿宋_GB2312"/>
          <w:sz w:val="32"/>
          <w:szCs w:val="32"/>
          <w:lang w:val="en-US" w:eastAsia="zh-CN"/>
        </w:rPr>
        <w:t>10.</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5" w:name="_Toc15377226"/>
      <w:r>
        <w:rPr>
          <w:rFonts w:ascii="宋体"/>
          <w:b/>
          <w:color w:val="000000"/>
          <w:sz w:val="44"/>
          <w:szCs w:val="44"/>
        </w:rPr>
        <w:br w:type="page"/>
      </w:r>
      <w:bookmarkStart w:id="56"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6"/>
    </w:p>
    <w:p>
      <w:pPr>
        <w:pStyle w:val="3"/>
        <w:rPr>
          <w:rStyle w:val="25"/>
          <w:rFonts w:ascii="仿宋" w:hAnsi="仿宋" w:eastAsia="仿宋"/>
          <w:b w:val="0"/>
          <w:bCs w:val="0"/>
          <w:sz w:val="32"/>
          <w:szCs w:val="32"/>
        </w:rPr>
      </w:pPr>
      <w:bookmarkStart w:id="57" w:name="_Toc15396615"/>
      <w:r>
        <w:rPr>
          <w:rStyle w:val="25"/>
          <w:rFonts w:hint="eastAsia" w:ascii="仿宋" w:hAnsi="仿宋" w:eastAsia="仿宋"/>
          <w:b w:val="0"/>
          <w:bCs w:val="0"/>
          <w:sz w:val="32"/>
          <w:szCs w:val="32"/>
        </w:rPr>
        <w:t>附件1</w:t>
      </w:r>
      <w:bookmarkEnd w:id="57"/>
    </w:p>
    <w:p>
      <w:pPr>
        <w:keepNext w:val="0"/>
        <w:keepLines w:val="0"/>
        <w:widowControl/>
        <w:suppressLineNumbers w:val="0"/>
        <w:spacing w:before="0" w:beforeAutospacing="0" w:after="0" w:afterAutospacing="0" w:line="480" w:lineRule="exact"/>
        <w:ind w:left="0" w:right="0"/>
        <w:jc w:val="center"/>
        <w:rPr>
          <w:rFonts w:hint="eastAsia" w:ascii="仿宋_GB2312" w:hAnsi="仿宋_GB2312" w:eastAsia="仿宋_GB2312" w:cs="仿宋_GB2312"/>
          <w:sz w:val="48"/>
          <w:szCs w:val="48"/>
          <w:lang w:eastAsia="zh-CN"/>
        </w:rPr>
      </w:pPr>
      <w:bookmarkStart w:id="58" w:name="_Toc15396617"/>
      <w:r>
        <w:rPr>
          <w:rFonts w:hint="eastAsia" w:ascii="仿宋_GB2312" w:hAnsi="仿宋_GB2312" w:eastAsia="仿宋_GB2312" w:cs="仿宋_GB2312"/>
          <w:sz w:val="48"/>
          <w:szCs w:val="48"/>
          <w:lang w:eastAsia="zh-CN"/>
        </w:rPr>
        <w:t>红原县工商业联合会</w:t>
      </w:r>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r>
        <w:rPr>
          <w:rFonts w:hint="eastAsia" w:ascii="仿宋_GB2312" w:hAnsi="仿宋_GB2312" w:eastAsia="仿宋_GB2312" w:cs="仿宋_GB2312"/>
          <w:sz w:val="48"/>
          <w:szCs w:val="48"/>
        </w:rPr>
        <w:t>2018年部门整体支出绩效评价报告</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单位概况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b/>
          <w:bCs/>
          <w:color w:val="000000"/>
          <w:kern w:val="0"/>
          <w:sz w:val="32"/>
          <w:szCs w:val="24"/>
          <w:lang w:val="zh-CN" w:eastAsia="zh-CN" w:bidi="ar"/>
        </w:rPr>
      </w:pPr>
      <w:r>
        <w:rPr>
          <w:rFonts w:hint="eastAsia" w:ascii="仿宋_GB2312" w:hAnsi="宋体" w:eastAsia="仿宋_GB2312" w:cs="宋体"/>
          <w:b/>
          <w:bCs/>
          <w:color w:val="000000"/>
          <w:kern w:val="0"/>
          <w:sz w:val="32"/>
          <w:szCs w:val="24"/>
          <w:lang w:val="zh-CN" w:eastAsia="zh-CN" w:bidi="ar"/>
        </w:rPr>
        <w:t>（一）机构组成</w:t>
      </w:r>
    </w:p>
    <w:p>
      <w:pPr>
        <w:keepNext w:val="0"/>
        <w:keepLines w:val="0"/>
        <w:pageBreakBefore w:val="0"/>
        <w:widowControl w:val="0"/>
        <w:kinsoku/>
        <w:wordWrap/>
        <w:overflowPunct/>
        <w:topLinePunct w:val="0"/>
        <w:autoSpaceDE/>
        <w:autoSpaceDN/>
        <w:bidi w:val="0"/>
        <w:spacing w:line="540" w:lineRule="exact"/>
        <w:ind w:right="0" w:rightChars="0" w:firstLine="640" w:firstLineChars="200"/>
        <w:jc w:val="left"/>
        <w:textAlignment w:val="auto"/>
        <w:outlineLvl w:val="9"/>
        <w:rPr>
          <w:rFonts w:hint="eastAsia" w:ascii="仿宋_GB2312" w:hAnsi="宋体" w:eastAsia="仿宋_GB2312" w:cs="宋体"/>
          <w:color w:val="000000"/>
          <w:kern w:val="0"/>
          <w:sz w:val="32"/>
          <w:szCs w:val="24"/>
          <w:lang w:val="zh-CN" w:eastAsia="zh-CN" w:bidi="ar"/>
        </w:rPr>
      </w:pPr>
      <w:r>
        <w:rPr>
          <w:rFonts w:hint="eastAsia" w:ascii="仿宋_GB2312" w:hAnsi="仿宋_GB2312" w:eastAsia="仿宋_GB2312" w:cs="仿宋_GB2312"/>
          <w:bCs/>
          <w:sz w:val="32"/>
          <w:szCs w:val="32"/>
        </w:rPr>
        <w:t>我单位为独立核算全额拨款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r>
        <w:rPr>
          <w:rFonts w:hint="eastAsia" w:ascii="仿宋_GB2312" w:hAnsi="仿宋_GB2312" w:eastAsia="仿宋_GB2312" w:cs="仿宋_GB2312"/>
          <w:bCs/>
          <w:sz w:val="32"/>
          <w:szCs w:val="32"/>
          <w:lang w:val="en-US" w:eastAsia="zh-CN"/>
        </w:rPr>
        <w:t>。</w:t>
      </w:r>
    </w:p>
    <w:p>
      <w:pPr>
        <w:keepNext w:val="0"/>
        <w:keepLines w:val="0"/>
        <w:widowControl/>
        <w:numPr>
          <w:ilvl w:val="0"/>
          <w:numId w:val="7"/>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机构职能</w:t>
      </w:r>
    </w:p>
    <w:p>
      <w:pPr>
        <w:numPr>
          <w:ilvl w:val="0"/>
          <w:numId w:val="0"/>
        </w:num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shd w:val="clear" w:color="auto" w:fill="FFFFFF"/>
          <w:lang w:val="en-US" w:eastAsia="zh-CN"/>
        </w:rPr>
        <w:t>1、</w:t>
      </w:r>
      <w:r>
        <w:rPr>
          <w:rFonts w:hint="eastAsia" w:ascii="仿宋_GB2312" w:hAnsi="仿宋_GB2312" w:eastAsia="仿宋_GB2312" w:cs="仿宋_GB2312"/>
          <w:color w:val="333333"/>
          <w:kern w:val="0"/>
          <w:sz w:val="32"/>
          <w:szCs w:val="32"/>
          <w:shd w:val="clear" w:color="auto" w:fill="FFFFFF"/>
        </w:rPr>
        <w:t>团结、服务、引导、教育非公有制经济人士爱国、敬业、诚信、守法、贡献，培养拥护党的领导、走中国特色社会主义道路的非公有制经济人士队伍。</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 xml:space="preserve"> </w:t>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2、</w:t>
      </w:r>
      <w:r>
        <w:rPr>
          <w:rFonts w:hint="eastAsia" w:ascii="仿宋_GB2312" w:hAnsi="仿宋_GB2312" w:eastAsia="仿宋_GB2312" w:cs="仿宋_GB2312"/>
          <w:color w:val="333333"/>
          <w:kern w:val="0"/>
          <w:sz w:val="32"/>
          <w:szCs w:val="32"/>
          <w:shd w:val="clear" w:color="auto" w:fill="FFFFFF"/>
        </w:rPr>
        <w:t>做好非公有制经济代表人士政治安排的推荐工作。参与政治协商，发挥民主监督作用，积极参政议政。</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 xml:space="preserve"> 3、</w:t>
      </w:r>
      <w:r>
        <w:rPr>
          <w:rFonts w:hint="eastAsia" w:ascii="仿宋_GB2312" w:hAnsi="仿宋_GB2312" w:eastAsia="仿宋_GB2312" w:cs="仿宋_GB2312"/>
          <w:color w:val="333333"/>
          <w:kern w:val="0"/>
          <w:sz w:val="32"/>
          <w:szCs w:val="32"/>
          <w:shd w:val="clear" w:color="auto" w:fill="FFFFFF"/>
        </w:rPr>
        <w:t>参与政府相关的经济活动，广泛联系各地工商界人士，开展民间外交，推动经贸交流和协作，促进经济社会发展。</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 xml:space="preserve"> 4、</w:t>
      </w:r>
      <w:r>
        <w:rPr>
          <w:rFonts w:hint="eastAsia" w:ascii="仿宋_GB2312" w:hAnsi="仿宋_GB2312" w:eastAsia="仿宋_GB2312" w:cs="仿宋_GB2312"/>
          <w:color w:val="333333"/>
          <w:kern w:val="0"/>
          <w:sz w:val="32"/>
          <w:szCs w:val="32"/>
          <w:shd w:val="clear" w:color="auto" w:fill="FFFFFF"/>
        </w:rPr>
        <w:t>参与协调劳动关系，促进和谐社会建设。</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 xml:space="preserve"> </w:t>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5、</w:t>
      </w:r>
      <w:r>
        <w:rPr>
          <w:rFonts w:hint="eastAsia" w:ascii="仿宋_GB2312" w:hAnsi="仿宋_GB2312" w:eastAsia="仿宋_GB2312" w:cs="仿宋_GB2312"/>
          <w:color w:val="333333"/>
          <w:kern w:val="0"/>
          <w:sz w:val="32"/>
          <w:szCs w:val="32"/>
          <w:shd w:val="clear" w:color="auto" w:fill="FFFFFF"/>
        </w:rPr>
        <w:t>指导本会直属商会工作，积极参与社会组织建设工作，促进行业协会商会改革发展。</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 xml:space="preserve"> 6、</w:t>
      </w:r>
      <w:r>
        <w:rPr>
          <w:rFonts w:hint="eastAsia" w:ascii="仿宋_GB2312" w:hAnsi="仿宋_GB2312" w:eastAsia="仿宋_GB2312" w:cs="仿宋_GB2312"/>
          <w:color w:val="333333"/>
          <w:kern w:val="0"/>
          <w:sz w:val="32"/>
          <w:szCs w:val="32"/>
          <w:shd w:val="clear" w:color="auto" w:fill="FFFFFF"/>
        </w:rPr>
        <w:t>反映非公有制企业和非公有制经济人士利益诉求，维护其合法权益。              </w:t>
      </w:r>
    </w:p>
    <w:p>
      <w:pPr>
        <w:pStyle w:val="5"/>
        <w:keepNext w:val="0"/>
        <w:keepLines w:val="0"/>
        <w:pageBreakBefore w:val="0"/>
        <w:numPr>
          <w:ilvl w:val="0"/>
          <w:numId w:val="0"/>
        </w:numPr>
        <w:kinsoku/>
        <w:wordWrap/>
        <w:overflowPunct/>
        <w:topLinePunct w:val="0"/>
        <w:bidi w:val="0"/>
        <w:adjustRightInd w:val="0"/>
        <w:snapToGrid w:val="0"/>
        <w:spacing w:line="560" w:lineRule="exact"/>
        <w:ind w:right="0" w:rightChars="0" w:firstLine="640" w:firstLineChars="200"/>
        <w:textAlignment w:val="auto"/>
        <w:outlineLvl w:val="9"/>
        <w:rPr>
          <w:rFonts w:hint="eastAsia" w:ascii="仿宋_GB2312" w:hAnsi="宋体" w:eastAsia="仿宋_GB2312" w:cs="宋体"/>
          <w:color w:val="000000"/>
          <w:kern w:val="0"/>
          <w:sz w:val="32"/>
          <w:szCs w:val="24"/>
          <w:lang w:val="zh-CN" w:eastAsia="zh-CN" w:bidi="ar"/>
        </w:rPr>
      </w:pPr>
      <w:r>
        <w:rPr>
          <w:rFonts w:hint="eastAsia" w:ascii="仿宋_GB2312" w:hAnsi="仿宋_GB2312" w:eastAsia="仿宋_GB2312" w:cs="仿宋_GB2312"/>
          <w:color w:val="333333"/>
          <w:kern w:val="0"/>
          <w:sz w:val="32"/>
          <w:szCs w:val="32"/>
          <w:shd w:val="clear" w:color="auto" w:fill="FFFFFF"/>
          <w:lang w:val="en-US" w:eastAsia="zh-CN"/>
        </w:rPr>
        <w:t>7、</w:t>
      </w:r>
      <w:r>
        <w:rPr>
          <w:rFonts w:hint="eastAsia" w:ascii="仿宋_GB2312" w:hAnsi="仿宋_GB2312" w:eastAsia="仿宋_GB2312" w:cs="仿宋_GB2312"/>
          <w:color w:val="333333"/>
          <w:kern w:val="0"/>
          <w:sz w:val="32"/>
          <w:szCs w:val="32"/>
          <w:shd w:val="clear" w:color="auto" w:fill="FFFFFF"/>
        </w:rPr>
        <w:t>为会员提供政策信息、人才交流培训等服务。组织会员企业参加各类经贸活动，外出参观考察，帮助会员企业拓展市场。</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 xml:space="preserve"> 8、</w:t>
      </w:r>
      <w:r>
        <w:rPr>
          <w:rFonts w:hint="eastAsia" w:ascii="仿宋_GB2312" w:hAnsi="仿宋_GB2312" w:eastAsia="仿宋_GB2312" w:cs="仿宋_GB2312"/>
          <w:color w:val="333333"/>
          <w:kern w:val="0"/>
          <w:sz w:val="32"/>
          <w:szCs w:val="32"/>
          <w:shd w:val="clear" w:color="auto" w:fill="FFFFFF"/>
        </w:rPr>
        <w:t>配合有关部门开展非公有制会员企业党建工作。</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 xml:space="preserve"> </w:t>
      </w:r>
      <w:r>
        <w:rPr>
          <w:rFonts w:hint="eastAsia" w:ascii="仿宋_GB2312" w:hAnsi="仿宋_GB2312" w:eastAsia="仿宋_GB2312" w:cs="仿宋_GB2312"/>
          <w:color w:val="333333"/>
          <w:kern w:val="0"/>
          <w:sz w:val="32"/>
          <w:szCs w:val="32"/>
          <w:shd w:val="clear" w:color="auto" w:fill="FFFFFF"/>
        </w:rPr>
        <w:t xml:space="preserve"> </w:t>
      </w:r>
      <w:r>
        <w:rPr>
          <w:rFonts w:hint="eastAsia" w:ascii="仿宋_GB2312" w:hAnsi="仿宋_GB2312" w:eastAsia="仿宋_GB2312" w:cs="仿宋_GB2312"/>
          <w:color w:val="333333"/>
          <w:kern w:val="0"/>
          <w:sz w:val="32"/>
          <w:szCs w:val="32"/>
          <w:shd w:val="clear" w:color="auto" w:fill="FFFFFF"/>
          <w:lang w:val="en-US" w:eastAsia="zh-CN"/>
        </w:rPr>
        <w:t>9、</w:t>
      </w:r>
      <w:r>
        <w:rPr>
          <w:rFonts w:hint="eastAsia" w:ascii="仿宋_GB2312" w:hAnsi="仿宋_GB2312" w:eastAsia="仿宋_GB2312" w:cs="仿宋_GB2312"/>
          <w:color w:val="333333"/>
          <w:kern w:val="0"/>
          <w:sz w:val="32"/>
          <w:szCs w:val="32"/>
          <w:shd w:val="clear" w:color="auto" w:fill="FFFFFF"/>
        </w:rPr>
        <w:t>积极引导非公有制企业及其非公有制经济人士承担社会责任，大力支持慈善公益事业发展，积极投身光彩事业。</w:t>
      </w:r>
      <w:r>
        <w:rPr>
          <w:rFonts w:hint="eastAsia" w:ascii="仿宋_GB2312" w:hAnsi="仿宋_GB2312" w:eastAsia="仿宋_GB2312" w:cs="仿宋_GB2312"/>
          <w:color w:val="333333"/>
          <w:kern w:val="0"/>
          <w:sz w:val="32"/>
          <w:szCs w:val="32"/>
        </w:rPr>
        <w:br w:type="textWrapping"/>
      </w:r>
      <w:r>
        <w:rPr>
          <w:rFonts w:hint="eastAsia" w:hAnsi="仿宋_GB2312" w:cs="仿宋_GB2312"/>
          <w:color w:val="333333"/>
          <w:kern w:val="0"/>
          <w:sz w:val="32"/>
          <w:szCs w:val="32"/>
          <w:lang w:val="en-US" w:eastAsia="zh-CN"/>
        </w:rPr>
        <w:t xml:space="preserve">  </w:t>
      </w:r>
      <w:r>
        <w:rPr>
          <w:rFonts w:hint="eastAsia" w:ascii="仿宋_GB2312" w:hAnsi="仿宋_GB2312" w:eastAsia="仿宋_GB2312" w:cs="仿宋_GB2312"/>
          <w:color w:val="333333"/>
          <w:kern w:val="0"/>
          <w:sz w:val="32"/>
          <w:szCs w:val="32"/>
          <w:shd w:val="clear" w:color="auto" w:fill="FFFFFF"/>
        </w:rPr>
        <w:t xml:space="preserve"> </w:t>
      </w:r>
      <w:r>
        <w:rPr>
          <w:rFonts w:hint="eastAsia" w:hAnsi="仿宋_GB2312" w:cs="仿宋_GB2312"/>
          <w:color w:val="333333"/>
          <w:kern w:val="0"/>
          <w:sz w:val="32"/>
          <w:szCs w:val="32"/>
          <w:shd w:val="clear" w:color="auto" w:fill="FFFFFF"/>
          <w:lang w:val="en-US" w:eastAsia="zh-CN"/>
        </w:rPr>
        <w:t xml:space="preserve"> </w:t>
      </w:r>
      <w:r>
        <w:rPr>
          <w:rFonts w:hint="eastAsia" w:ascii="仿宋_GB2312" w:hAnsi="仿宋_GB2312" w:eastAsia="仿宋_GB2312" w:cs="仿宋_GB2312"/>
          <w:color w:val="333333"/>
          <w:kern w:val="0"/>
          <w:sz w:val="32"/>
          <w:szCs w:val="32"/>
          <w:shd w:val="clear" w:color="auto" w:fill="FFFFFF"/>
          <w:lang w:val="en-US" w:eastAsia="zh-CN"/>
        </w:rPr>
        <w:t>10、</w:t>
      </w:r>
      <w:r>
        <w:rPr>
          <w:rFonts w:hint="eastAsia" w:ascii="仿宋_GB2312" w:hAnsi="仿宋_GB2312" w:eastAsia="仿宋_GB2312" w:cs="仿宋_GB2312"/>
          <w:color w:val="333333"/>
          <w:kern w:val="0"/>
          <w:sz w:val="32"/>
          <w:szCs w:val="32"/>
          <w:shd w:val="clear" w:color="auto" w:fill="FFFFFF"/>
        </w:rPr>
        <w:t>承办县委、县政府和上级工商联交办的其它任务。</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r>
        <w:rPr>
          <w:rFonts w:hint="eastAsia" w:ascii="仿宋_GB2312" w:hAnsi="宋体" w:eastAsia="仿宋_GB2312" w:cs="宋体"/>
          <w:color w:val="000000"/>
          <w:kern w:val="0"/>
          <w:sz w:val="32"/>
          <w:szCs w:val="24"/>
          <w:lang w:val="zh-CN" w:eastAsia="zh-CN" w:bidi="ar"/>
        </w:rPr>
        <w:t>（三）人员概况</w:t>
      </w:r>
    </w:p>
    <w:p>
      <w:pPr>
        <w:keepNext w:val="0"/>
        <w:keepLines w:val="0"/>
        <w:pageBreakBefore w:val="0"/>
        <w:kinsoku/>
        <w:wordWrap/>
        <w:overflowPunct/>
        <w:topLinePunct w:val="0"/>
        <w:bidi w:val="0"/>
        <w:spacing w:line="560" w:lineRule="exact"/>
        <w:ind w:left="0" w:leftChars="0" w:right="0" w:rightChars="0" w:firstLine="640" w:firstLineChars="200"/>
        <w:jc w:val="left"/>
        <w:textAlignment w:val="auto"/>
        <w:outlineLvl w:val="9"/>
        <w:rPr>
          <w:rFonts w:hint="eastAsia" w:ascii="黑体" w:hAnsi="宋体" w:eastAsia="黑体" w:cs="宋体"/>
          <w:color w:val="000000"/>
          <w:kern w:val="0"/>
          <w:sz w:val="32"/>
          <w:szCs w:val="24"/>
          <w:lang w:val="en-US" w:eastAsia="zh-CN" w:bidi="ar"/>
        </w:rPr>
      </w:pPr>
      <w:r>
        <w:rPr>
          <w:rFonts w:hint="eastAsia" w:ascii="仿宋_GB2312" w:hAnsi="仿宋_GB2312" w:eastAsia="仿宋_GB2312" w:cs="仿宋_GB2312"/>
          <w:bCs/>
          <w:sz w:val="32"/>
          <w:szCs w:val="32"/>
        </w:rPr>
        <w:t>截止201</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年底我单位共有编制</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个，其中公务员编制</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个，行政工勤编制</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个，在职</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人，其中公务员</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人，</w:t>
      </w:r>
      <w:r>
        <w:rPr>
          <w:rFonts w:hint="eastAsia" w:ascii="仿宋_GB2312" w:hAnsi="仿宋_GB2312" w:eastAsia="仿宋_GB2312" w:cs="仿宋_GB2312"/>
          <w:bCs/>
          <w:sz w:val="32"/>
          <w:szCs w:val="32"/>
          <w:lang w:eastAsia="zh-CN"/>
        </w:rPr>
        <w:t>行政工勤</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（一）部门财政资金收入情况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color w:val="000000"/>
          <w:sz w:val="32"/>
          <w:szCs w:val="32"/>
          <w:lang w:val="en-US" w:eastAsia="zh-CN"/>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年度财政拨款收</w:t>
      </w:r>
      <w:r>
        <w:rPr>
          <w:rFonts w:hint="eastAsia" w:ascii="仿宋_GB2312" w:eastAsia="仿宋_GB2312"/>
          <w:color w:val="000000"/>
          <w:sz w:val="32"/>
          <w:szCs w:val="32"/>
          <w:lang w:eastAsia="zh-CN"/>
        </w:rPr>
        <w:t>入</w:t>
      </w:r>
      <w:r>
        <w:rPr>
          <w:rFonts w:hint="eastAsia" w:ascii="仿宋_GB2312" w:eastAsia="仿宋_GB2312"/>
          <w:color w:val="000000"/>
          <w:sz w:val="32"/>
          <w:szCs w:val="32"/>
        </w:rPr>
        <w:t>总计</w:t>
      </w:r>
      <w:r>
        <w:rPr>
          <w:rFonts w:hint="eastAsia" w:ascii="仿宋_GB2312" w:eastAsia="仿宋_GB2312"/>
          <w:color w:val="000000"/>
          <w:sz w:val="32"/>
          <w:szCs w:val="32"/>
          <w:lang w:val="en-US" w:eastAsia="zh-CN"/>
        </w:rPr>
        <w:t>140.67万</w:t>
      </w:r>
      <w:r>
        <w:rPr>
          <w:rFonts w:hint="eastAsia" w:ascii="仿宋_GB2312" w:eastAsia="仿宋_GB2312"/>
          <w:color w:val="000000"/>
          <w:sz w:val="32"/>
          <w:szCs w:val="32"/>
          <w:lang w:eastAsia="zh-CN"/>
        </w:rPr>
        <w:t>元</w:t>
      </w:r>
      <w:r>
        <w:rPr>
          <w:rFonts w:hint="eastAsia" w:ascii="仿宋_GB2312"/>
          <w:color w:val="000000"/>
          <w:sz w:val="32"/>
          <w:szCs w:val="32"/>
          <w:lang w:eastAsia="zh-CN"/>
        </w:rPr>
        <w:t>（其中：</w:t>
      </w:r>
      <w:r>
        <w:rPr>
          <w:rFonts w:hint="eastAsia" w:ascii="仿宋_GB2312" w:eastAsia="仿宋_GB2312"/>
          <w:color w:val="000000"/>
          <w:sz w:val="32"/>
          <w:szCs w:val="32"/>
        </w:rPr>
        <w:t>一般公共</w:t>
      </w:r>
      <w:r>
        <w:rPr>
          <w:rFonts w:hint="eastAsia" w:ascii="仿宋_GB2312"/>
          <w:color w:val="000000"/>
          <w:sz w:val="32"/>
          <w:szCs w:val="32"/>
          <w:lang w:eastAsia="zh-CN"/>
        </w:rPr>
        <w:t>服务</w:t>
      </w:r>
      <w:r>
        <w:rPr>
          <w:rFonts w:hint="eastAsia" w:ascii="仿宋_GB2312" w:eastAsia="仿宋_GB2312"/>
          <w:color w:val="000000"/>
          <w:sz w:val="32"/>
          <w:szCs w:val="32"/>
        </w:rPr>
        <w:t>支出</w:t>
      </w:r>
      <w:r>
        <w:rPr>
          <w:rFonts w:hint="eastAsia" w:ascii="仿宋_GB2312" w:eastAsia="仿宋_GB2312"/>
          <w:color w:val="000000"/>
          <w:sz w:val="32"/>
          <w:szCs w:val="32"/>
          <w:lang w:val="en-US" w:eastAsia="zh-CN"/>
        </w:rPr>
        <w:t>105.07万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20.50万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，医疗卫生支出</w:t>
      </w:r>
      <w:r>
        <w:rPr>
          <w:rFonts w:hint="eastAsia" w:ascii="仿宋_GB2312" w:eastAsia="仿宋_GB2312"/>
          <w:color w:val="000000"/>
          <w:sz w:val="32"/>
          <w:szCs w:val="32"/>
          <w:lang w:val="en-US" w:eastAsia="zh-CN"/>
        </w:rPr>
        <w:t>5.95万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9.15万</w:t>
      </w:r>
      <w:r>
        <w:rPr>
          <w:rFonts w:hint="eastAsia" w:ascii="仿宋_GB2312" w:eastAsia="仿宋_GB2312"/>
          <w:color w:val="000000"/>
          <w:sz w:val="32"/>
          <w:szCs w:val="32"/>
          <w:lang w:eastAsia="zh-CN"/>
        </w:rPr>
        <w:t>元</w:t>
      </w:r>
      <w:r>
        <w:rPr>
          <w:rFonts w:hint="eastAsia" w:ascii="仿宋_GB2312"/>
          <w:color w:val="000000"/>
          <w:sz w:val="32"/>
          <w:szCs w:val="32"/>
          <w:lang w:eastAsia="zh-CN"/>
        </w:rPr>
        <w:t>）。</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_GB2312" w:hAnsi="宋体" w:eastAsia="仿宋_GB2312" w:cs="宋体"/>
          <w:color w:val="000000"/>
          <w:kern w:val="0"/>
          <w:sz w:val="32"/>
          <w:szCs w:val="24"/>
          <w:lang w:val="zh-CN" w:eastAsia="zh-CN" w:bidi="ar"/>
        </w:rPr>
      </w:pPr>
      <w:r>
        <w:rPr>
          <w:rFonts w:hint="eastAsia" w:ascii="仿宋_GB2312" w:hAnsi="宋体" w:cs="宋体"/>
          <w:color w:val="000000"/>
          <w:kern w:val="0"/>
          <w:sz w:val="32"/>
          <w:szCs w:val="24"/>
          <w:lang w:val="zh-CN" w:eastAsia="zh-CN" w:bidi="ar"/>
        </w:rPr>
        <w:t>（二）</w:t>
      </w:r>
      <w:r>
        <w:rPr>
          <w:rFonts w:hint="eastAsia" w:ascii="仿宋_GB2312" w:hAnsi="宋体" w:eastAsia="仿宋_GB2312" w:cs="宋体"/>
          <w:color w:val="000000"/>
          <w:kern w:val="0"/>
          <w:sz w:val="32"/>
          <w:szCs w:val="24"/>
          <w:lang w:val="zh-CN" w:eastAsia="zh-CN" w:bidi="ar"/>
        </w:rPr>
        <w:t>部门财政资金支出情况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color w:val="000000"/>
          <w:sz w:val="32"/>
          <w:szCs w:val="32"/>
          <w:lang w:val="en-US" w:eastAsia="zh-CN"/>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年度财政拨款</w:t>
      </w:r>
      <w:r>
        <w:rPr>
          <w:rFonts w:hint="eastAsia" w:ascii="仿宋_GB2312" w:hAnsi="仿宋_GB2312" w:eastAsia="仿宋_GB2312" w:cs="仿宋_GB2312"/>
          <w:color w:val="000000"/>
          <w:sz w:val="32"/>
          <w:szCs w:val="32"/>
          <w:lang w:eastAsia="zh-CN"/>
        </w:rPr>
        <w:t>支出</w:t>
      </w:r>
      <w:r>
        <w:rPr>
          <w:rFonts w:hint="eastAsia" w:ascii="仿宋_GB2312" w:hAnsi="仿宋_GB2312" w:cs="仿宋_GB2312"/>
          <w:color w:val="000000"/>
          <w:sz w:val="32"/>
          <w:szCs w:val="32"/>
          <w:lang w:eastAsia="zh-CN"/>
        </w:rPr>
        <w:t>总计</w:t>
      </w:r>
      <w:r>
        <w:rPr>
          <w:rFonts w:hint="eastAsia" w:ascii="仿宋_GB2312" w:eastAsia="仿宋_GB2312"/>
          <w:color w:val="000000"/>
          <w:sz w:val="32"/>
          <w:szCs w:val="32"/>
          <w:lang w:val="en-US" w:eastAsia="zh-CN"/>
        </w:rPr>
        <w:t>140.67万</w:t>
      </w:r>
      <w:r>
        <w:rPr>
          <w:rFonts w:hint="eastAsia" w:ascii="仿宋_GB2312" w:eastAsia="仿宋_GB2312"/>
          <w:color w:val="000000"/>
          <w:sz w:val="32"/>
          <w:szCs w:val="32"/>
          <w:lang w:eastAsia="zh-CN"/>
        </w:rPr>
        <w:t>元</w:t>
      </w:r>
      <w:r>
        <w:rPr>
          <w:rFonts w:hint="eastAsia" w:ascii="仿宋_GB2312"/>
          <w:color w:val="000000"/>
          <w:sz w:val="32"/>
          <w:szCs w:val="32"/>
          <w:lang w:eastAsia="zh-CN"/>
        </w:rPr>
        <w:t>（其中：</w:t>
      </w:r>
      <w:r>
        <w:rPr>
          <w:rFonts w:hint="eastAsia" w:ascii="仿宋_GB2312" w:eastAsia="仿宋_GB2312"/>
          <w:color w:val="000000"/>
          <w:sz w:val="32"/>
          <w:szCs w:val="32"/>
        </w:rPr>
        <w:t>一般公共服务支出</w:t>
      </w:r>
      <w:r>
        <w:rPr>
          <w:rFonts w:hint="eastAsia" w:ascii="仿宋_GB2312" w:eastAsia="仿宋_GB2312"/>
          <w:color w:val="000000"/>
          <w:sz w:val="32"/>
          <w:szCs w:val="32"/>
          <w:lang w:val="en-US" w:eastAsia="zh-CN"/>
        </w:rPr>
        <w:t>105.07万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20.50万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，医疗卫生支出</w:t>
      </w:r>
      <w:r>
        <w:rPr>
          <w:rFonts w:hint="eastAsia" w:ascii="仿宋_GB2312" w:eastAsia="仿宋_GB2312"/>
          <w:color w:val="000000"/>
          <w:sz w:val="32"/>
          <w:szCs w:val="32"/>
          <w:lang w:val="en-US" w:eastAsia="zh-CN"/>
        </w:rPr>
        <w:t>5.95万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9.15万</w:t>
      </w:r>
      <w:r>
        <w:rPr>
          <w:rFonts w:hint="eastAsia" w:ascii="仿宋_GB2312" w:eastAsia="仿宋_GB2312"/>
          <w:color w:val="000000"/>
          <w:sz w:val="32"/>
          <w:szCs w:val="32"/>
          <w:lang w:eastAsia="zh-CN"/>
        </w:rPr>
        <w:t>元</w:t>
      </w:r>
      <w:r>
        <w:rPr>
          <w:rFonts w:hint="eastAsia" w:ascii="仿宋_GB2312"/>
          <w:color w:val="000000"/>
          <w:sz w:val="32"/>
          <w:szCs w:val="32"/>
          <w:lang w:eastAsia="zh-CN"/>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b/>
          <w:bCs/>
          <w:color w:val="000000"/>
          <w:kern w:val="0"/>
          <w:lang w:val="en-US"/>
        </w:rPr>
      </w:pPr>
      <w:r>
        <w:rPr>
          <w:rFonts w:hint="eastAsia" w:ascii="仿宋_GB2312" w:hAnsi="仿宋_GB2312" w:eastAsia="仿宋_GB2312" w:cs="仿宋_GB2312"/>
          <w:b/>
          <w:bCs/>
          <w:color w:val="000000"/>
          <w:kern w:val="0"/>
          <w:sz w:val="32"/>
          <w:szCs w:val="24"/>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（一）预算编制情况。</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outlineLvl w:val="9"/>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lang w:eastAsia="zh-CN"/>
        </w:rPr>
        <w:t>红原</w:t>
      </w:r>
      <w:r>
        <w:rPr>
          <w:rFonts w:hint="eastAsia" w:ascii="仿宋_GB2312" w:hAnsi="仿宋_GB2312" w:eastAsia="仿宋_GB2312" w:cs="仿宋_GB2312"/>
          <w:b w:val="0"/>
          <w:bCs w:val="0"/>
          <w:color w:val="000000"/>
          <w:sz w:val="32"/>
          <w:szCs w:val="32"/>
        </w:rPr>
        <w:t>县</w:t>
      </w:r>
      <w:r>
        <w:rPr>
          <w:rFonts w:hint="eastAsia" w:ascii="仿宋_GB2312" w:hAnsi="仿宋_GB2312" w:cs="仿宋_GB2312"/>
          <w:b w:val="0"/>
          <w:bCs w:val="0"/>
          <w:color w:val="000000"/>
          <w:sz w:val="32"/>
          <w:szCs w:val="32"/>
          <w:lang w:eastAsia="zh-CN"/>
        </w:rPr>
        <w:t>工商业联合会</w:t>
      </w:r>
      <w:r>
        <w:rPr>
          <w:rFonts w:hint="eastAsia" w:ascii="仿宋_GB2312" w:hAnsi="仿宋_GB2312" w:eastAsia="仿宋_GB2312" w:cs="仿宋_GB2312"/>
          <w:b w:val="0"/>
          <w:bCs w:val="0"/>
          <w:color w:val="000000"/>
          <w:sz w:val="32"/>
          <w:szCs w:val="32"/>
        </w:rPr>
        <w:t>预算编制严格按照《预算法》相关规定，结合全县预算编制口径，结合我单位实际情况，主要用于保障该机构正常运转、完成日常工作任务以及</w:t>
      </w:r>
      <w:r>
        <w:rPr>
          <w:rFonts w:hint="eastAsia" w:ascii="仿宋_GB2312" w:hAnsi="仿宋_GB2312" w:eastAsia="仿宋_GB2312" w:cs="仿宋_GB2312"/>
          <w:b w:val="0"/>
          <w:bCs w:val="0"/>
          <w:color w:val="000000"/>
          <w:sz w:val="32"/>
          <w:szCs w:val="32"/>
          <w:lang w:eastAsia="zh-CN"/>
        </w:rPr>
        <w:t>红原县</w:t>
      </w:r>
      <w:r>
        <w:rPr>
          <w:rFonts w:hint="eastAsia" w:ascii="仿宋_GB2312" w:hAnsi="仿宋_GB2312" w:cs="仿宋_GB2312"/>
          <w:b w:val="0"/>
          <w:bCs w:val="0"/>
          <w:color w:val="000000"/>
          <w:sz w:val="32"/>
          <w:szCs w:val="32"/>
          <w:lang w:eastAsia="zh-CN"/>
        </w:rPr>
        <w:t>工商联事务</w:t>
      </w:r>
      <w:r>
        <w:rPr>
          <w:rFonts w:hint="eastAsia" w:ascii="仿宋_GB2312" w:hAnsi="仿宋_GB2312" w:eastAsia="仿宋_GB2312" w:cs="仿宋_GB2312"/>
          <w:b w:val="0"/>
          <w:bCs w:val="0"/>
          <w:color w:val="000000"/>
          <w:sz w:val="32"/>
          <w:szCs w:val="32"/>
        </w:rPr>
        <w:t>发展相关工作而编制</w:t>
      </w:r>
      <w:r>
        <w:rPr>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spacing w:line="540" w:lineRule="exact"/>
        <w:ind w:left="0" w:leftChars="0" w:right="0" w:rightChars="0" w:firstLine="640" w:firstLineChars="200"/>
        <w:textAlignment w:val="auto"/>
        <w:outlineLvl w:val="9"/>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rPr>
        <w:t>基本支出，是用于保障</w:t>
      </w:r>
      <w:r>
        <w:rPr>
          <w:rFonts w:hint="eastAsia" w:ascii="仿宋_GB2312" w:hAnsi="仿宋_GB2312" w:cs="仿宋_GB2312"/>
          <w:b w:val="0"/>
          <w:bCs w:val="0"/>
          <w:color w:val="000000"/>
          <w:sz w:val="32"/>
          <w:szCs w:val="32"/>
          <w:lang w:eastAsia="zh-CN"/>
        </w:rPr>
        <w:t>本部门</w:t>
      </w:r>
      <w:r>
        <w:rPr>
          <w:rFonts w:hint="eastAsia" w:ascii="仿宋_GB2312" w:hAnsi="仿宋_GB2312" w:eastAsia="仿宋_GB2312" w:cs="仿宋_GB2312"/>
          <w:b w:val="0"/>
          <w:bCs w:val="0"/>
          <w:color w:val="000000"/>
          <w:sz w:val="32"/>
          <w:szCs w:val="32"/>
        </w:rPr>
        <w:t>正常运转的日常支出，包括基本工资、津贴补贴等人员经费以及办公费、印刷费、水电费、</w:t>
      </w:r>
      <w:r>
        <w:rPr>
          <w:rFonts w:hint="eastAsia" w:ascii="仿宋_GB2312" w:hAnsi="仿宋_GB2312" w:eastAsia="仿宋_GB2312" w:cs="仿宋_GB2312"/>
          <w:b w:val="0"/>
          <w:bCs w:val="0"/>
          <w:color w:val="000000"/>
          <w:sz w:val="32"/>
          <w:szCs w:val="32"/>
          <w:lang w:eastAsia="zh-CN"/>
        </w:rPr>
        <w:t>培训费</w:t>
      </w:r>
      <w:r>
        <w:rPr>
          <w:rFonts w:hint="eastAsia" w:ascii="仿宋_GB2312" w:hAnsi="仿宋_GB2312" w:cs="仿宋_GB2312"/>
          <w:b w:val="0"/>
          <w:bCs w:val="0"/>
          <w:color w:val="000000"/>
          <w:sz w:val="32"/>
          <w:szCs w:val="32"/>
          <w:lang w:eastAsia="zh-CN"/>
        </w:rPr>
        <w:t>、会议费</w:t>
      </w:r>
      <w:r>
        <w:rPr>
          <w:rFonts w:hint="eastAsia" w:ascii="仿宋_GB2312" w:hAnsi="仿宋_GB2312" w:eastAsia="仿宋_GB2312" w:cs="仿宋_GB2312"/>
          <w:b w:val="0"/>
          <w:bCs w:val="0"/>
          <w:color w:val="000000"/>
          <w:sz w:val="32"/>
          <w:szCs w:val="32"/>
        </w:rPr>
        <w:t>等日常公用经</w:t>
      </w:r>
      <w:r>
        <w:rPr>
          <w:rFonts w:hint="eastAsia" w:ascii="仿宋_GB2312" w:hAnsi="仿宋_GB2312" w:eastAsia="仿宋_GB2312" w:cs="仿宋_GB2312"/>
          <w:b w:val="0"/>
          <w:bCs w:val="0"/>
          <w:color w:val="000000"/>
          <w:sz w:val="32"/>
          <w:szCs w:val="32"/>
          <w:lang w:eastAsia="zh-CN"/>
        </w:rPr>
        <w:t>费。</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pPr>
        <w:keepNext w:val="0"/>
        <w:keepLines w:val="0"/>
        <w:pageBreakBefore w:val="0"/>
        <w:widowControl w:val="0"/>
        <w:numPr>
          <w:ilvl w:val="0"/>
          <w:numId w:val="0"/>
        </w:numPr>
        <w:kinsoku/>
        <w:wordWrap/>
        <w:overflowPunct/>
        <w:topLinePunct w:val="0"/>
        <w:autoSpaceDE/>
        <w:autoSpaceDN/>
        <w:bidi w:val="0"/>
        <w:spacing w:line="540" w:lineRule="exact"/>
        <w:ind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1.因公出国(境)经费</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201</w:t>
      </w:r>
      <w:r>
        <w:rPr>
          <w:rFonts w:hint="eastAsia" w:ascii="仿宋_GB2312" w:hAnsi="仿宋_GB2312" w:eastAsia="仿宋_GB2312" w:cs="仿宋_GB2312"/>
          <w:b w:val="0"/>
          <w:bCs w:val="0"/>
          <w:color w:val="000000"/>
          <w:sz w:val="32"/>
          <w:szCs w:val="32"/>
          <w:lang w:val="en-US" w:eastAsia="zh-CN"/>
        </w:rPr>
        <w:t>8</w:t>
      </w:r>
      <w:r>
        <w:rPr>
          <w:rFonts w:hint="eastAsia" w:ascii="仿宋_GB2312" w:hAnsi="仿宋_GB2312" w:eastAsia="仿宋_GB2312" w:cs="仿宋_GB2312"/>
          <w:b w:val="0"/>
          <w:bCs w:val="0"/>
          <w:color w:val="000000"/>
          <w:sz w:val="32"/>
          <w:szCs w:val="32"/>
        </w:rPr>
        <w:t>年因公出国(境)费</w:t>
      </w:r>
      <w:r>
        <w:rPr>
          <w:rFonts w:hint="eastAsia" w:ascii="仿宋_GB2312" w:hAnsi="仿宋_GB2312" w:eastAsia="仿宋_GB2312" w:cs="仿宋_GB2312"/>
          <w:b w:val="0"/>
          <w:bCs w:val="0"/>
          <w:color w:val="000000"/>
          <w:sz w:val="32"/>
          <w:szCs w:val="32"/>
          <w:lang w:val="en-US" w:eastAsia="zh-CN"/>
        </w:rPr>
        <w:t>0万</w:t>
      </w:r>
      <w:r>
        <w:rPr>
          <w:rFonts w:hint="eastAsia" w:ascii="仿宋_GB2312" w:hAnsi="仿宋_GB2312" w:eastAsia="仿宋_GB2312" w:cs="仿宋_GB2312"/>
          <w:b w:val="0"/>
          <w:bCs w:val="0"/>
          <w:color w:val="000000"/>
          <w:sz w:val="32"/>
          <w:szCs w:val="32"/>
        </w:rPr>
        <w:t xml:space="preserve">元，因公出国(境) </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人。</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2.公务接待费</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hAnsi="仿宋_GB2312" w:eastAsia="仿宋_GB2312" w:cs="仿宋_GB2312"/>
          <w:b w:val="0"/>
          <w:bCs w:val="0"/>
          <w:color w:val="000000"/>
          <w:sz w:val="32"/>
          <w:szCs w:val="32"/>
        </w:rPr>
        <w:t>201</w:t>
      </w:r>
      <w:r>
        <w:rPr>
          <w:rFonts w:hint="eastAsia" w:ascii="仿宋_GB2312" w:hAnsi="仿宋_GB2312" w:eastAsia="仿宋_GB2312" w:cs="仿宋_GB2312"/>
          <w:b w:val="0"/>
          <w:bCs w:val="0"/>
          <w:color w:val="000000"/>
          <w:sz w:val="32"/>
          <w:szCs w:val="32"/>
          <w:lang w:val="en-US" w:eastAsia="zh-CN"/>
        </w:rPr>
        <w:t>8</w:t>
      </w:r>
      <w:r>
        <w:rPr>
          <w:rFonts w:hint="eastAsia" w:ascii="仿宋_GB2312" w:hAnsi="仿宋_GB2312" w:eastAsia="仿宋_GB2312" w:cs="仿宋_GB2312"/>
          <w:b w:val="0"/>
          <w:bCs w:val="0"/>
          <w:color w:val="000000"/>
          <w:sz w:val="32"/>
          <w:szCs w:val="32"/>
        </w:rPr>
        <w:t>年公务接待费</w:t>
      </w:r>
      <w:r>
        <w:rPr>
          <w:rFonts w:hint="eastAsia" w:ascii="仿宋_GB2312" w:hAnsi="仿宋_GB2312" w:cs="仿宋_GB2312"/>
          <w:b w:val="0"/>
          <w:bCs w:val="0"/>
          <w:color w:val="000000"/>
          <w:sz w:val="32"/>
          <w:szCs w:val="32"/>
          <w:lang w:eastAsia="zh-CN"/>
        </w:rPr>
        <w:t>支出</w:t>
      </w:r>
      <w:r>
        <w:rPr>
          <w:rFonts w:hint="eastAsia" w:ascii="仿宋_GB2312" w:eastAsia="仿宋_GB2312"/>
          <w:color w:val="000000"/>
          <w:sz w:val="32"/>
          <w:szCs w:val="32"/>
          <w:lang w:val="en-US" w:eastAsia="zh-CN"/>
        </w:rPr>
        <w:t>0万</w:t>
      </w:r>
      <w:r>
        <w:rPr>
          <w:rFonts w:hint="eastAsia" w:ascii="仿宋_GB2312" w:hAnsi="仿宋_GB2312" w:eastAsia="仿宋_GB2312" w:cs="仿宋_GB2312"/>
          <w:b w:val="0"/>
          <w:bCs w:val="0"/>
          <w:color w:val="000000"/>
          <w:sz w:val="32"/>
          <w:szCs w:val="32"/>
        </w:rPr>
        <w:t>元</w:t>
      </w:r>
      <w:r>
        <w:rPr>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spacing w:line="540" w:lineRule="exact"/>
        <w:ind w:left="0" w:leftChars="0" w:right="0" w:rightChars="0" w:firstLine="643"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3.公务用车购置及运行维护费</w:t>
      </w:r>
    </w:p>
    <w:p>
      <w:pPr>
        <w:spacing w:line="600" w:lineRule="exact"/>
        <w:ind w:firstLine="640" w:firstLineChars="200"/>
        <w:rPr>
          <w:rFonts w:hint="eastAsia" w:ascii="仿宋_GB2312" w:eastAsia="仿宋_GB2312"/>
          <w:color w:val="000000"/>
          <w:sz w:val="32"/>
          <w:szCs w:val="32"/>
        </w:rPr>
      </w:pPr>
      <w:r>
        <w:rPr>
          <w:rFonts w:hint="eastAsia" w:ascii="仿宋_GB2312" w:hAnsi="仿宋_GB2312" w:eastAsia="仿宋_GB2312" w:cs="仿宋_GB2312"/>
          <w:b w:val="0"/>
          <w:bCs w:val="0"/>
          <w:color w:val="000000"/>
          <w:sz w:val="32"/>
          <w:szCs w:val="32"/>
        </w:rPr>
        <w:t>201</w:t>
      </w:r>
      <w:r>
        <w:rPr>
          <w:rFonts w:hint="eastAsia" w:ascii="仿宋_GB2312" w:hAnsi="仿宋_GB2312" w:eastAsia="仿宋_GB2312" w:cs="仿宋_GB2312"/>
          <w:b w:val="0"/>
          <w:bCs w:val="0"/>
          <w:color w:val="000000"/>
          <w:sz w:val="32"/>
          <w:szCs w:val="32"/>
          <w:lang w:val="en-US" w:eastAsia="zh-CN"/>
        </w:rPr>
        <w:t>8</w:t>
      </w:r>
      <w:r>
        <w:rPr>
          <w:rFonts w:hint="eastAsia" w:ascii="仿宋_GB2312" w:hAnsi="仿宋_GB2312" w:eastAsia="仿宋_GB2312" w:cs="仿宋_GB2312"/>
          <w:b w:val="0"/>
          <w:bCs w:val="0"/>
          <w:color w:val="000000"/>
          <w:sz w:val="32"/>
          <w:szCs w:val="32"/>
        </w:rPr>
        <w:t>年公务用车运行维护费</w:t>
      </w:r>
      <w:r>
        <w:rPr>
          <w:rFonts w:hint="eastAsia" w:ascii="仿宋_GB2312" w:hAnsi="仿宋_GB2312" w:cs="仿宋_GB2312"/>
          <w:b w:val="0"/>
          <w:bCs w:val="0"/>
          <w:color w:val="000000"/>
          <w:sz w:val="32"/>
          <w:szCs w:val="32"/>
          <w:lang w:eastAsia="zh-CN"/>
        </w:rPr>
        <w:t>支出</w:t>
      </w:r>
      <w:r>
        <w:rPr>
          <w:rFonts w:hint="eastAsia" w:ascii="仿宋_GB2312" w:eastAsia="仿宋_GB2312"/>
          <w:color w:val="000000"/>
          <w:sz w:val="32"/>
          <w:szCs w:val="32"/>
          <w:lang w:val="en-US" w:eastAsia="zh-CN"/>
        </w:rPr>
        <w:t>3.02万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。其中：</w:t>
      </w:r>
    </w:p>
    <w:p>
      <w:pPr>
        <w:spacing w:line="600" w:lineRule="exact"/>
        <w:ind w:firstLine="643" w:firstLineChars="200"/>
        <w:rPr>
          <w:rFonts w:hint="eastAsia" w:ascii="仿宋_GB2312" w:eastAsia="仿宋_GB2312"/>
          <w:b/>
          <w:color w:val="000000"/>
          <w:sz w:val="32"/>
          <w:szCs w:val="32"/>
        </w:rPr>
      </w:pPr>
      <w:r>
        <w:rPr>
          <w:rFonts w:hint="eastAsia" w:ascii="仿宋_GB2312" w:eastAsia="仿宋_GB2312"/>
          <w:b/>
          <w:bCs/>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lang w:eastAsia="zh-CN"/>
        </w:rPr>
        <w:t>元</w:t>
      </w:r>
      <w:r>
        <w:rPr>
          <w:rFonts w:hint="eastAsia" w:ascii="仿宋_GB2312" w:eastAsia="仿宋_GB2312"/>
          <w:color w:val="000000"/>
          <w:sz w:val="32"/>
          <w:szCs w:val="32"/>
        </w:rPr>
        <w:t>。截至201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年12月底，单位共有公务用车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3.02万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本部门因公出差、下乡</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公务用车购置及运行维护费支出决算比201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0.43</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，增长</w:t>
      </w:r>
      <w:r>
        <w:rPr>
          <w:rFonts w:hint="eastAsia" w:ascii="仿宋_GB2312" w:eastAsia="仿宋_GB2312"/>
          <w:color w:val="000000"/>
          <w:sz w:val="32"/>
          <w:szCs w:val="32"/>
          <w:lang w:val="en-US" w:eastAsia="zh-CN"/>
        </w:rPr>
        <w:t>16.52</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出差及下乡次数增加</w:t>
      </w:r>
      <w:r>
        <w:rPr>
          <w:rFonts w:hint="eastAsia" w:ascii="仿宋_GB2312" w:eastAsia="仿宋_GB2312"/>
          <w:color w:val="000000"/>
          <w:sz w:val="32"/>
          <w:szCs w:val="32"/>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（三）综合管理情况。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r>
        <w:rPr>
          <w:rFonts w:hint="eastAsia" w:ascii="仿宋_GB2312" w:hAnsi="仿宋_GB2312" w:eastAsia="仿宋_GB2312" w:cs="仿宋_GB2312"/>
          <w:b w:val="0"/>
          <w:bCs w:val="0"/>
          <w:color w:val="000000"/>
          <w:sz w:val="32"/>
          <w:szCs w:val="32"/>
          <w:lang w:val="en-US" w:eastAsia="zh-CN"/>
        </w:rPr>
        <w:t>根据《会计法》《预算法》、《行政单位会计制》等法律和财政部及其省财政厅有关财务规章的规定，明确了单位经费审批权限及程序，经费预算、核算管理、资产购置与处置、财务监督等相关规定。</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（四）整体绩效。</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b/>
          <w:bCs/>
          <w:color w:val="000000"/>
          <w:kern w:val="0"/>
          <w:lang w:val="en-US"/>
        </w:rPr>
      </w:pPr>
      <w:r>
        <w:rPr>
          <w:rFonts w:hint="eastAsia" w:ascii="仿宋_GB2312" w:hAnsi="仿宋_GB2312" w:eastAsia="仿宋_GB2312" w:cs="仿宋_GB2312"/>
          <w:b w:val="0"/>
          <w:bCs w:val="0"/>
          <w:color w:val="000000"/>
          <w:sz w:val="32"/>
          <w:szCs w:val="32"/>
          <w:lang w:val="en-US" w:eastAsia="zh-CN"/>
        </w:rPr>
        <w:t>我单位领导高度重视绩效评价工作，成立了绩效评价工作领导小组，采取座谈等方式听取</w:t>
      </w:r>
      <w:r>
        <w:rPr>
          <w:rFonts w:hint="eastAsia" w:ascii="仿宋_GB2312" w:hAnsi="仿宋_GB2312" w:cs="仿宋_GB2312"/>
          <w:b w:val="0"/>
          <w:bCs w:val="0"/>
          <w:color w:val="000000"/>
          <w:sz w:val="32"/>
          <w:szCs w:val="32"/>
          <w:lang w:val="en-US" w:eastAsia="zh-CN"/>
        </w:rPr>
        <w:t>相关</w:t>
      </w:r>
      <w:r>
        <w:rPr>
          <w:rFonts w:hint="eastAsia" w:ascii="仿宋_GB2312" w:hAnsi="仿宋_GB2312" w:eastAsia="仿宋_GB2312" w:cs="仿宋_GB2312"/>
          <w:b w:val="0"/>
          <w:bCs w:val="0"/>
          <w:color w:val="000000"/>
          <w:sz w:val="32"/>
          <w:szCs w:val="32"/>
          <w:lang w:val="en-US" w:eastAsia="zh-CN"/>
        </w:rPr>
        <w:t>情况，检查基本支出、项目支出有关账目，收集整理相关资料，并对资料进行分析，形成评价结论。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1.部门预算严格按照上级部门预算编制通知和有关要求，结合单位具体工作及县级相关规定编制，按时完成基础、项目报送工作，单位预算按时在公众信息网公开。</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2.严格执行支出预算，“三公经费”本着节约、高效的原则严格控制支出。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3. 认真开展部门绩效评价工作，但绩效评价规章制度还不够健全扣1分;严格按照相关法律、法规进行会计核算，严格资金管理，专款专用，资金拨付严格按相关程序报批后支付。认真开展专项预算项目绩效评价工作，在项目决策、项目完成、项目管理、项目效果中，绩效评价工作还不够完善扣2分。</w:t>
      </w:r>
      <w:bookmarkStart w:id="65" w:name="_GoBack"/>
      <w:bookmarkEnd w:id="65"/>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bCs/>
          <w:color w:val="000000"/>
          <w:kern w:val="0"/>
          <w:sz w:val="32"/>
          <w:szCs w:val="24"/>
          <w:lang w:val="en-US" w:eastAsia="zh-CN" w:bidi="ar"/>
        </w:rPr>
        <w:t>四、评价结论及建议</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r>
        <w:rPr>
          <w:rFonts w:hint="eastAsia" w:ascii="仿宋_GB2312" w:hAnsi="宋体" w:eastAsia="仿宋_GB2312" w:cs="宋体"/>
          <w:color w:val="000000"/>
          <w:kern w:val="0"/>
          <w:sz w:val="32"/>
          <w:szCs w:val="24"/>
          <w:lang w:val="zh-CN" w:eastAsia="zh-CN" w:bidi="ar"/>
        </w:rPr>
        <w:t>（一）评价结论。</w:t>
      </w:r>
    </w:p>
    <w:p>
      <w:pPr>
        <w:keepNext w:val="0"/>
        <w:keepLines w:val="0"/>
        <w:pageBreakBefore w:val="0"/>
        <w:widowControl w:val="0"/>
        <w:kinsoku/>
        <w:wordWrap/>
        <w:overflowPunct/>
        <w:topLinePunct w:val="0"/>
        <w:autoSpaceDE/>
        <w:autoSpaceDN/>
        <w:bidi w:val="0"/>
        <w:spacing w:line="54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cs="仿宋_GB2312"/>
          <w:b w:val="0"/>
          <w:bCs w:val="0"/>
          <w:color w:val="000000"/>
          <w:sz w:val="32"/>
          <w:szCs w:val="32"/>
          <w:lang w:val="en-US" w:eastAsia="zh-CN"/>
        </w:rPr>
        <w:t>根据《红原县部门支出绩效评价指标体系》自查的分97分，总体评价较好。</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bCs/>
          <w:color w:val="000000"/>
          <w:sz w:val="32"/>
          <w:szCs w:val="32"/>
          <w:lang w:val="en-US" w:eastAsia="zh-CN"/>
        </w:rPr>
        <w:t xml:space="preserve"> </w:t>
      </w:r>
      <w:r>
        <w:rPr>
          <w:rFonts w:hint="eastAsia" w:ascii="仿宋_GB2312" w:hAnsi="仿宋_GB2312" w:eastAsia="仿宋_GB2312" w:cs="仿宋_GB2312"/>
          <w:b w:val="0"/>
          <w:bCs w:val="0"/>
          <w:color w:val="000000"/>
          <w:sz w:val="32"/>
          <w:szCs w:val="32"/>
          <w:lang w:val="en-US" w:eastAsia="zh-CN"/>
        </w:rPr>
        <w:t>(二)存在问题</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存在的问题:专业人才匮乏</w:t>
      </w:r>
      <w:r>
        <w:rPr>
          <w:rFonts w:hint="eastAsia" w:ascii="仿宋_GB2312" w:hAnsi="仿宋_GB2312" w:cs="仿宋_GB2312"/>
          <w:b w:val="0"/>
          <w:bCs w:val="0"/>
          <w:color w:val="000000"/>
          <w:sz w:val="32"/>
          <w:szCs w:val="32"/>
          <w:lang w:val="en-US" w:eastAsia="zh-CN"/>
        </w:rPr>
        <w:t>，</w:t>
      </w:r>
      <w:r>
        <w:rPr>
          <w:rFonts w:hint="eastAsia" w:ascii="仿宋_GB2312" w:hAnsi="仿宋_GB2312" w:eastAsia="仿宋_GB2312" w:cs="仿宋_GB2312"/>
          <w:b w:val="0"/>
          <w:bCs w:val="0"/>
          <w:color w:val="000000"/>
          <w:sz w:val="32"/>
          <w:szCs w:val="32"/>
          <w:lang w:val="en-US" w:eastAsia="zh-CN"/>
        </w:rPr>
        <w:t>目前，由于各</w:t>
      </w:r>
      <w:r>
        <w:rPr>
          <w:rFonts w:hint="eastAsia" w:ascii="仿宋_GB2312" w:hAnsi="仿宋_GB2312" w:cs="仿宋_GB2312"/>
          <w:b w:val="0"/>
          <w:bCs w:val="0"/>
          <w:color w:val="000000"/>
          <w:sz w:val="32"/>
          <w:szCs w:val="32"/>
          <w:lang w:val="en-US" w:eastAsia="zh-CN"/>
        </w:rPr>
        <w:t>项</w:t>
      </w:r>
      <w:r>
        <w:rPr>
          <w:rFonts w:hint="eastAsia" w:ascii="仿宋_GB2312" w:hAnsi="仿宋_GB2312" w:eastAsia="仿宋_GB2312" w:cs="仿宋_GB2312"/>
          <w:b w:val="0"/>
          <w:bCs w:val="0"/>
          <w:color w:val="000000"/>
          <w:sz w:val="32"/>
          <w:szCs w:val="32"/>
          <w:lang w:val="en-US" w:eastAsia="zh-CN"/>
        </w:rPr>
        <w:t>任务繁重，而专业人才有限，在</w:t>
      </w:r>
      <w:r>
        <w:rPr>
          <w:rFonts w:hint="eastAsia" w:ascii="仿宋_GB2312" w:hAnsi="仿宋_GB2312" w:cs="仿宋_GB2312"/>
          <w:b w:val="0"/>
          <w:bCs w:val="0"/>
          <w:color w:val="000000"/>
          <w:sz w:val="32"/>
          <w:szCs w:val="32"/>
          <w:lang w:val="en-US" w:eastAsia="zh-CN"/>
        </w:rPr>
        <w:t>平时工作</w:t>
      </w:r>
      <w:r>
        <w:rPr>
          <w:rFonts w:hint="eastAsia" w:ascii="仿宋_GB2312" w:hAnsi="仿宋_GB2312" w:eastAsia="仿宋_GB2312" w:cs="仿宋_GB2312"/>
          <w:b w:val="0"/>
          <w:bCs w:val="0"/>
          <w:color w:val="000000"/>
          <w:sz w:val="32"/>
          <w:szCs w:val="32"/>
          <w:lang w:val="en-US" w:eastAsia="zh-CN"/>
        </w:rPr>
        <w:t>推进过程中，缺乏技术人员进行专业指导，工</w:t>
      </w:r>
      <w:r>
        <w:rPr>
          <w:rFonts w:hint="eastAsia" w:ascii="仿宋_GB2312" w:hAnsi="仿宋_GB2312" w:cs="仿宋_GB2312"/>
          <w:b w:val="0"/>
          <w:bCs w:val="0"/>
          <w:color w:val="000000"/>
          <w:sz w:val="32"/>
          <w:szCs w:val="32"/>
          <w:lang w:val="en-US" w:eastAsia="zh-CN"/>
        </w:rPr>
        <w:t>作</w:t>
      </w:r>
      <w:r>
        <w:rPr>
          <w:rFonts w:hint="eastAsia" w:ascii="仿宋_GB2312" w:hAnsi="仿宋_GB2312" w:eastAsia="仿宋_GB2312" w:cs="仿宋_GB2312"/>
          <w:b w:val="0"/>
          <w:bCs w:val="0"/>
          <w:color w:val="000000"/>
          <w:sz w:val="32"/>
          <w:szCs w:val="32"/>
          <w:lang w:val="en-US" w:eastAsia="zh-CN"/>
        </w:rPr>
        <w:t>推进存在一定困难。</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(三)改进建议</w:t>
      </w:r>
    </w:p>
    <w:p>
      <w:pPr>
        <w:keepNext w:val="0"/>
        <w:keepLines w:val="0"/>
        <w:pageBreakBefore w:val="0"/>
        <w:widowControl w:val="0"/>
        <w:kinsoku/>
        <w:wordWrap/>
        <w:overflowPunct/>
        <w:topLinePunct w:val="0"/>
        <w:autoSpaceDE/>
        <w:autoSpaceDN/>
        <w:bidi w:val="0"/>
        <w:spacing w:line="54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1.科学合理编制预算，严格执行预算。</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2.规范账务处理，提高财务信息质量。</w:t>
      </w:r>
    </w:p>
    <w:p>
      <w:pPr>
        <w:keepNext w:val="0"/>
        <w:keepLines w:val="0"/>
        <w:pageBreakBefore w:val="0"/>
        <w:widowControl w:val="0"/>
        <w:numPr>
          <w:ilvl w:val="0"/>
          <w:numId w:val="0"/>
        </w:numPr>
        <w:kinsoku/>
        <w:wordWrap/>
        <w:overflowPunct/>
        <w:topLinePunct w:val="0"/>
        <w:autoSpaceDE/>
        <w:autoSpaceDN/>
        <w:bidi w:val="0"/>
        <w:spacing w:line="540" w:lineRule="exact"/>
        <w:ind w:right="0" w:rightChars="0" w:firstLine="640" w:firstLineChars="200"/>
        <w:textAlignment w:val="auto"/>
        <w:outlineLvl w:val="9"/>
        <w:rPr>
          <w:rStyle w:val="25"/>
          <w:rFonts w:hint="eastAsia" w:ascii="仿宋" w:hAnsi="仿宋" w:eastAsia="仿宋"/>
          <w:b w:val="0"/>
          <w:bCs w:val="0"/>
          <w:sz w:val="32"/>
          <w:szCs w:val="32"/>
        </w:rPr>
      </w:pPr>
    </w:p>
    <w:p>
      <w:pPr>
        <w:rPr>
          <w:rStyle w:val="25"/>
          <w:rFonts w:hint="eastAsia" w:ascii="仿宋" w:hAnsi="仿宋" w:eastAsia="仿宋"/>
          <w:b w:val="0"/>
          <w:bCs w:val="0"/>
          <w:sz w:val="32"/>
          <w:szCs w:val="32"/>
        </w:rPr>
      </w:pPr>
    </w:p>
    <w:p>
      <w:pPr>
        <w:pStyle w:val="3"/>
        <w:rPr>
          <w:rStyle w:val="25"/>
          <w:rFonts w:ascii="仿宋" w:hAnsi="仿宋" w:eastAsia="仿宋"/>
          <w:b w:val="0"/>
          <w:bCs w:val="0"/>
          <w:sz w:val="32"/>
          <w:szCs w:val="32"/>
        </w:rPr>
      </w:pPr>
      <w:r>
        <w:rPr>
          <w:rStyle w:val="25"/>
          <w:rFonts w:hint="eastAsia" w:ascii="仿宋" w:hAnsi="仿宋" w:eastAsia="仿宋"/>
          <w:b w:val="0"/>
          <w:bCs w:val="0"/>
          <w:sz w:val="32"/>
          <w:szCs w:val="32"/>
        </w:rPr>
        <w:t>附件2</w:t>
      </w:r>
      <w:bookmarkEnd w:id="58"/>
    </w:p>
    <w:p>
      <w:pPr>
        <w:keepNext w:val="0"/>
        <w:keepLines w:val="0"/>
        <w:widowControl w:val="0"/>
        <w:suppressLineNumbers w:val="0"/>
        <w:snapToGrid w:val="0"/>
        <w:spacing w:before="0" w:beforeAutospacing="0" w:after="0" w:afterAutospacing="0" w:line="580" w:lineRule="exact"/>
        <w:ind w:left="0" w:right="0"/>
        <w:jc w:val="center"/>
        <w:rPr>
          <w:rFonts w:hint="eastAsia" w:ascii="方正小标宋简体" w:hAnsi="宋体" w:eastAsia="方正小标宋简体" w:cs="方正小标宋简体"/>
          <w:sz w:val="44"/>
          <w:szCs w:val="44"/>
          <w:lang w:val="en-US"/>
        </w:rPr>
      </w:pPr>
      <w:bookmarkStart w:id="59" w:name="_Toc15396618"/>
      <w:r>
        <w:rPr>
          <w:rFonts w:hint="eastAsia" w:ascii="方正小标宋简体" w:hAnsi="宋体" w:eastAsia="方正小标宋简体" w:cs="方正小标宋简体"/>
          <w:kern w:val="2"/>
          <w:sz w:val="44"/>
          <w:szCs w:val="44"/>
          <w:lang w:val="en-US" w:eastAsia="zh-CN" w:bidi="ar"/>
        </w:rPr>
        <w:t>红原县工商业联合会项目支出绩效评价报告</w:t>
      </w:r>
    </w:p>
    <w:p>
      <w:pPr>
        <w:keepNext w:val="0"/>
        <w:keepLines w:val="0"/>
        <w:widowControl w:val="0"/>
        <w:suppressLineNumbers w:val="0"/>
        <w:tabs>
          <w:tab w:val="left" w:pos="3885"/>
        </w:tabs>
        <w:snapToGrid w:val="0"/>
        <w:spacing w:before="0" w:beforeAutospacing="0" w:after="0" w:afterAutospacing="0" w:line="580" w:lineRule="exact"/>
        <w:ind w:left="0" w:right="0" w:firstLine="640" w:firstLineChars="200"/>
        <w:jc w:val="center"/>
        <w:rPr>
          <w:rFonts w:hAnsi="宋体"/>
          <w:lang w:val="en-US"/>
        </w:rPr>
      </w:pPr>
      <w:r>
        <w:rPr>
          <w:rFonts w:hint="eastAsia" w:ascii="Times New Roman" w:hAnsi="宋体" w:eastAsia="仿宋_GB2312" w:cs="仿宋_GB2312"/>
          <w:kern w:val="2"/>
          <w:sz w:val="32"/>
          <w:szCs w:val="24"/>
          <w:lang w:val="en-US" w:eastAsia="zh-CN" w:bidi="ar"/>
        </w:rPr>
        <w:t>（</w:t>
      </w:r>
      <w:r>
        <w:rPr>
          <w:rFonts w:hint="eastAsia" w:hAnsi="宋体" w:eastAsia="仿宋_GB2312" w:cs="Times New Roman"/>
          <w:kern w:val="2"/>
          <w:sz w:val="32"/>
          <w:szCs w:val="24"/>
          <w:lang w:val="en-US" w:eastAsia="zh-CN" w:bidi="ar"/>
        </w:rPr>
        <w:t>光彩事业经费</w:t>
      </w:r>
      <w:r>
        <w:rPr>
          <w:rFonts w:hint="eastAsia" w:ascii="Times New Roman" w:hAnsi="宋体" w:eastAsia="仿宋_GB2312" w:cs="仿宋_GB2312"/>
          <w:kern w:val="2"/>
          <w:sz w:val="32"/>
          <w:szCs w:val="24"/>
          <w:lang w:val="en-US" w:eastAsia="zh-CN" w:bidi="ar"/>
        </w:rPr>
        <w:t>项目）</w:t>
      </w:r>
    </w:p>
    <w:p>
      <w:pPr>
        <w:keepNext w:val="0"/>
        <w:keepLines w:val="0"/>
        <w:widowControl w:val="0"/>
        <w:suppressLineNumbers w:val="0"/>
        <w:tabs>
          <w:tab w:val="left" w:pos="3885"/>
        </w:tabs>
        <w:snapToGrid w:val="0"/>
        <w:spacing w:before="0" w:beforeAutospacing="0" w:after="0" w:afterAutospacing="0" w:line="580" w:lineRule="exact"/>
        <w:ind w:left="0" w:right="0" w:firstLine="422" w:firstLineChars="200"/>
        <w:jc w:val="left"/>
        <w:rPr>
          <w:rFonts w:hint="eastAsia" w:ascii="宋体" w:hAnsi="宋体" w:eastAsia="仿宋_GB2312" w:cs="宋体"/>
          <w:b/>
          <w:bCs w:val="0"/>
          <w:szCs w:val="21"/>
          <w:lang w:val="en-US"/>
        </w:rPr>
      </w:pPr>
    </w:p>
    <w:p>
      <w:pPr>
        <w:keepNext w:val="0"/>
        <w:keepLines w:val="0"/>
        <w:widowControl w:val="0"/>
        <w:numPr>
          <w:ilvl w:val="0"/>
          <w:numId w:val="8"/>
        </w:numPr>
        <w:suppressLineNumbers w:val="0"/>
        <w:tabs>
          <w:tab w:val="left" w:pos="3885"/>
        </w:tabs>
        <w:snapToGrid w:val="0"/>
        <w:spacing w:before="0" w:beforeAutospacing="0" w:after="0" w:afterAutospacing="0" w:line="580" w:lineRule="exact"/>
        <w:ind w:leftChars="200" w:right="0" w:rightChars="0"/>
        <w:jc w:val="left"/>
        <w:rPr>
          <w:rFonts w:hint="eastAsia" w:ascii="黑体" w:hAnsi="宋体" w:eastAsia="黑体" w:cs="黑体"/>
          <w:kern w:val="2"/>
          <w:sz w:val="32"/>
          <w:szCs w:val="21"/>
          <w:lang w:val="en-US" w:eastAsia="zh-CN" w:bidi="ar"/>
        </w:rPr>
      </w:pPr>
      <w:r>
        <w:rPr>
          <w:rFonts w:hint="eastAsia" w:ascii="黑体" w:hAnsi="宋体" w:eastAsia="黑体" w:cs="黑体"/>
          <w:kern w:val="2"/>
          <w:sz w:val="32"/>
          <w:szCs w:val="21"/>
          <w:lang w:val="en-US" w:eastAsia="zh-CN" w:bidi="ar"/>
        </w:rPr>
        <w:t xml:space="preserve">项目概况 </w:t>
      </w:r>
    </w:p>
    <w:p>
      <w:pPr>
        <w:keepNext w:val="0"/>
        <w:keepLines w:val="0"/>
        <w:widowControl w:val="0"/>
        <w:numPr>
          <w:ilvl w:val="0"/>
          <w:numId w:val="0"/>
        </w:numPr>
        <w:suppressLineNumbers w:val="0"/>
        <w:snapToGrid w:val="0"/>
        <w:spacing w:before="0" w:beforeAutospacing="0" w:after="0" w:afterAutospacing="0" w:line="580" w:lineRule="exact"/>
        <w:ind w:right="0" w:rightChars="0" w:firstLine="640" w:firstLineChars="200"/>
        <w:jc w:val="left"/>
        <w:rPr>
          <w:rFonts w:hint="eastAsia" w:ascii="仿宋_GB2312" w:hAnsi="仿宋_GB2312" w:eastAsia="仿宋_GB2312" w:cs="仿宋_GB2312"/>
          <w:kern w:val="2"/>
          <w:sz w:val="32"/>
          <w:szCs w:val="21"/>
          <w:lang w:val="en-US" w:eastAsia="zh-CN" w:bidi="ar"/>
        </w:rPr>
      </w:pPr>
      <w:r>
        <w:rPr>
          <w:rFonts w:hint="eastAsia" w:ascii="仿宋_GB2312" w:hAnsi="仿宋_GB2312" w:eastAsia="仿宋_GB2312" w:cs="仿宋_GB2312"/>
          <w:kern w:val="2"/>
          <w:sz w:val="32"/>
          <w:szCs w:val="21"/>
          <w:lang w:val="en-US" w:eastAsia="zh-CN" w:bidi="ar"/>
        </w:rPr>
        <w:t>（一）项目基本情况</w:t>
      </w:r>
    </w:p>
    <w:p>
      <w:pPr>
        <w:keepNext w:val="0"/>
        <w:keepLines w:val="0"/>
        <w:widowControl w:val="0"/>
        <w:numPr>
          <w:ilvl w:val="0"/>
          <w:numId w:val="0"/>
        </w:numPr>
        <w:suppressLineNumbers w:val="0"/>
        <w:tabs>
          <w:tab w:val="left" w:pos="3885"/>
        </w:tabs>
        <w:snapToGrid w:val="0"/>
        <w:spacing w:before="0" w:beforeAutospacing="0" w:after="0" w:afterAutospacing="0" w:line="580" w:lineRule="exact"/>
        <w:ind w:left="720" w:leftChars="0" w:right="0" w:rightChars="0"/>
        <w:jc w:val="left"/>
        <w:rPr>
          <w:rFonts w:hint="eastAsia" w:ascii="仿宋_GB2312" w:hAnsi="仿宋_GB2312" w:eastAsia="仿宋_GB2312" w:cs="仿宋_GB2312"/>
          <w:kern w:val="2"/>
          <w:sz w:val="32"/>
          <w:szCs w:val="21"/>
          <w:lang w:val="en-US" w:eastAsia="zh-CN" w:bidi="ar"/>
        </w:rPr>
      </w:pPr>
      <w:r>
        <w:rPr>
          <w:rFonts w:hint="eastAsia" w:ascii="仿宋_GB2312" w:hAnsi="仿宋_GB2312" w:eastAsia="仿宋_GB2312" w:cs="仿宋_GB2312"/>
          <w:kern w:val="2"/>
          <w:sz w:val="32"/>
          <w:szCs w:val="21"/>
          <w:lang w:val="en-US" w:eastAsia="zh-CN" w:bidi="ar"/>
        </w:rPr>
        <w:t>本项目资金用作发展工商联事业及扶贫帮困。</w:t>
      </w:r>
    </w:p>
    <w:p>
      <w:pPr>
        <w:keepNext w:val="0"/>
        <w:keepLines w:val="0"/>
        <w:widowControl w:val="0"/>
        <w:numPr>
          <w:ilvl w:val="0"/>
          <w:numId w:val="0"/>
        </w:numPr>
        <w:suppressLineNumbers w:val="0"/>
        <w:tabs>
          <w:tab w:val="left" w:pos="3885"/>
        </w:tabs>
        <w:snapToGrid w:val="0"/>
        <w:spacing w:before="0" w:beforeAutospacing="0" w:after="0" w:afterAutospacing="0" w:line="580" w:lineRule="exact"/>
        <w:ind w:left="720" w:leftChars="0" w:right="0" w:rightChars="0"/>
        <w:jc w:val="left"/>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pP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（二）项目绩效目标</w:t>
      </w:r>
    </w:p>
    <w:p>
      <w:pPr>
        <w:ind w:firstLine="64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eastAsia="zh-CN"/>
          <w14:textFill>
            <w14:solidFill>
              <w14:schemeClr w14:val="tx1"/>
            </w14:solidFill>
          </w14:textFill>
        </w:rPr>
      </w:pPr>
      <w:r>
        <w:rPr>
          <w:rFonts w:hint="eastAsia" w:ascii="仿宋_GB2312" w:hAnsi="仿宋_GB2312" w:eastAsia="仿宋_GB2312" w:cs="仿宋_GB2312"/>
          <w:i w:val="0"/>
          <w:caps w:val="0"/>
          <w:color w:val="333333"/>
          <w:spacing w:val="0"/>
          <w:sz w:val="32"/>
          <w:szCs w:val="32"/>
          <w:shd w:val="clear" w:fill="FFFFFF"/>
        </w:rPr>
        <w:t>组织非公有制经济人士以及社会各界力量，参与“光彩事业”，走共同富裕道路。</w:t>
      </w:r>
      <w:r>
        <w:rPr>
          <w:rFonts w:hint="eastAsia" w:ascii="仿宋_GB2312" w:hAnsi="仿宋_GB2312" w:eastAsia="仿宋_GB2312" w:cs="仿宋_GB2312"/>
          <w:i w:val="0"/>
          <w:caps w:val="0"/>
          <w:color w:val="333333"/>
          <w:spacing w:val="0"/>
          <w:sz w:val="32"/>
          <w:szCs w:val="32"/>
          <w:shd w:val="clear" w:fill="FFFFFF"/>
          <w:lang w:eastAsia="zh-CN"/>
        </w:rPr>
        <w:t>助力精准脱贫。</w:t>
      </w:r>
    </w:p>
    <w:p>
      <w:pPr>
        <w:numPr>
          <w:ilvl w:val="0"/>
          <w:numId w:val="0"/>
        </w:numPr>
        <w:ind w:left="720" w:leftChars="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val="en-US" w:eastAsia="zh-CN"/>
          <w14:textFill>
            <w14:solidFill>
              <w14:schemeClr w14:val="tx1"/>
            </w14:solidFill>
          </w14:textFill>
        </w:rPr>
        <w:t>（三）项目自评步骤及方法</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项目采取自评方式，成立项目自评领导小组，结合评价内容，做到有计划，有安排，扎实开展本次自评工作。按照上级下达的项目支出绩效评价指标体系，自评小组针对申报内容、实施情况、资金兑现、财务管理、社会效益等做出自我评价。领导小组如下：</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组  长：</w:t>
      </w:r>
      <w:r>
        <w:rPr>
          <w:rFonts w:hint="eastAsia" w:ascii="仿宋_GB2312" w:hAnsi="仿宋_GB2312" w:eastAsia="仿宋_GB2312" w:cs="仿宋_GB2312"/>
          <w:color w:val="000000"/>
          <w:sz w:val="32"/>
          <w:szCs w:val="32"/>
          <w:shd w:val="clear" w:color="auto" w:fill="FFFFFF"/>
          <w:lang w:eastAsia="zh-CN"/>
        </w:rPr>
        <w:t>姜</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eastAsia="zh-CN"/>
        </w:rPr>
        <w:t>炜</w:t>
      </w:r>
      <w:r>
        <w:rPr>
          <w:rFonts w:hint="eastAsia"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lang w:eastAsia="zh-CN"/>
        </w:rPr>
        <w:t>主</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eastAsia="zh-CN"/>
        </w:rPr>
        <w:t>席</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副组长：</w:t>
      </w:r>
      <w:r>
        <w:rPr>
          <w:rFonts w:hint="eastAsia" w:ascii="仿宋_GB2312" w:hAnsi="仿宋_GB2312" w:eastAsia="仿宋_GB2312" w:cs="仿宋_GB2312"/>
          <w:color w:val="000000"/>
          <w:sz w:val="32"/>
          <w:szCs w:val="32"/>
          <w:shd w:val="clear" w:color="auto" w:fill="FFFFFF"/>
          <w:lang w:eastAsia="zh-CN"/>
        </w:rPr>
        <w:t>杜晓宇</w:t>
      </w:r>
      <w:r>
        <w:rPr>
          <w:rFonts w:hint="eastAsia"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lang w:eastAsia="zh-CN"/>
        </w:rPr>
        <w:t>副主席</w:t>
      </w:r>
    </w:p>
    <w:p>
      <w:pPr>
        <w:adjustRightInd w:val="0"/>
        <w:snapToGrid w:val="0"/>
        <w:spacing w:line="480" w:lineRule="exact"/>
        <w:ind w:firstLine="720"/>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成  员：</w:t>
      </w:r>
      <w:r>
        <w:rPr>
          <w:rFonts w:hint="eastAsia" w:ascii="仿宋_GB2312" w:hAnsi="仿宋_GB2312" w:eastAsia="仿宋_GB2312" w:cs="仿宋_GB2312"/>
          <w:color w:val="000000"/>
          <w:sz w:val="32"/>
          <w:szCs w:val="32"/>
          <w:shd w:val="clear" w:color="auto" w:fill="FFFFFF"/>
          <w:lang w:eastAsia="zh-CN"/>
        </w:rPr>
        <w:t>周</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eastAsia="zh-CN"/>
        </w:rPr>
        <w:t>君、刘少杰</w:t>
      </w:r>
    </w:p>
    <w:p>
      <w:pPr>
        <w:adjustRightInd w:val="0"/>
        <w:snapToGrid w:val="0"/>
        <w:spacing w:line="480" w:lineRule="exact"/>
        <w:ind w:firstLine="720"/>
        <w:rPr>
          <w:rFonts w:hint="eastAsia" w:ascii="仿宋_GB2312" w:hAnsi="仿宋_GB2312" w:eastAsia="仿宋_GB2312" w:cs="仿宋_GB2312"/>
        </w:rPr>
      </w:pPr>
      <w:r>
        <w:rPr>
          <w:rFonts w:hint="eastAsia" w:ascii="仿宋_GB2312" w:hAnsi="仿宋_GB2312" w:eastAsia="仿宋_GB2312" w:cs="仿宋_GB2312"/>
          <w:sz w:val="32"/>
        </w:rPr>
        <w:t>二、项目资金申报及使用情况</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（一）项目资金申报及批复情况。</w:t>
      </w:r>
    </w:p>
    <w:p>
      <w:pPr>
        <w:adjustRightInd w:val="0"/>
        <w:snapToGrid w:val="0"/>
        <w:spacing w:line="480" w:lineRule="exact"/>
        <w:ind w:firstLine="720"/>
        <w:rPr>
          <w:rFonts w:hint="eastAsia" w:ascii="仿宋_GB2312" w:hAnsi="仿宋_GB2312" w:eastAsia="仿宋_GB2312" w:cs="仿宋_GB2312"/>
          <w:sz w:val="32"/>
        </w:rPr>
      </w:pPr>
      <w:r>
        <w:rPr>
          <w:rFonts w:hint="eastAsia" w:ascii="仿宋_GB2312" w:hAnsi="仿宋_GB2312" w:eastAsia="仿宋_GB2312" w:cs="仿宋_GB2312"/>
          <w:sz w:val="32"/>
        </w:rPr>
        <w:t>红原县</w:t>
      </w:r>
      <w:r>
        <w:rPr>
          <w:rFonts w:hint="eastAsia" w:ascii="仿宋_GB2312" w:hAnsi="仿宋_GB2312" w:eastAsia="仿宋_GB2312" w:cs="仿宋_GB2312"/>
          <w:sz w:val="32"/>
          <w:lang w:eastAsia="zh-CN"/>
        </w:rPr>
        <w:t>工商业联合会光彩事业经费</w:t>
      </w:r>
      <w:r>
        <w:rPr>
          <w:rFonts w:hint="eastAsia" w:ascii="仿宋_GB2312" w:hAnsi="仿宋_GB2312" w:eastAsia="仿宋_GB2312" w:cs="仿宋_GB2312"/>
          <w:sz w:val="32"/>
        </w:rPr>
        <w:t>项目</w:t>
      </w:r>
      <w:r>
        <w:rPr>
          <w:rFonts w:hint="eastAsia" w:ascii="仿宋_GB2312" w:hAnsi="仿宋_GB2312" w:eastAsia="仿宋_GB2312" w:cs="仿宋_GB2312"/>
          <w:sz w:val="32"/>
          <w:lang w:eastAsia="zh-CN"/>
        </w:rPr>
        <w:t>资金</w:t>
      </w:r>
      <w:r>
        <w:rPr>
          <w:rFonts w:hint="eastAsia" w:ascii="仿宋_GB2312" w:hAnsi="仿宋_GB2312" w:eastAsia="仿宋_GB2312" w:cs="仿宋_GB2312"/>
          <w:sz w:val="32"/>
          <w:lang w:val="en-US" w:eastAsia="zh-CN"/>
        </w:rPr>
        <w:t>2</w:t>
      </w:r>
      <w:r>
        <w:rPr>
          <w:rFonts w:hint="eastAsia" w:ascii="仿宋_GB2312" w:hAnsi="仿宋_GB2312" w:eastAsia="仿宋_GB2312" w:cs="仿宋_GB2312"/>
          <w:sz w:val="32"/>
        </w:rPr>
        <w:t>万元，</w:t>
      </w:r>
      <w:r>
        <w:rPr>
          <w:rFonts w:hint="eastAsia" w:ascii="仿宋_GB2312" w:hAnsi="仿宋_GB2312" w:eastAsia="仿宋_GB2312" w:cs="仿宋_GB2312"/>
          <w:color w:val="000000"/>
          <w:sz w:val="32"/>
          <w:szCs w:val="32"/>
          <w:shd w:val="clear" w:color="auto" w:fill="FFFFFF"/>
        </w:rPr>
        <w:t>经财政局批复下达后，全部用于</w:t>
      </w:r>
      <w:r>
        <w:rPr>
          <w:rFonts w:hint="eastAsia" w:ascii="仿宋_GB2312" w:hAnsi="仿宋_GB2312" w:eastAsia="仿宋_GB2312" w:cs="仿宋_GB2312"/>
          <w:sz w:val="32"/>
          <w:lang w:eastAsia="zh-CN"/>
        </w:rPr>
        <w:t>光彩事业的支出</w:t>
      </w:r>
      <w:r>
        <w:rPr>
          <w:rFonts w:hint="eastAsia" w:ascii="仿宋_GB2312" w:hAnsi="仿宋_GB2312" w:eastAsia="仿宋_GB2312" w:cs="仿宋_GB2312"/>
          <w:sz w:val="32"/>
        </w:rPr>
        <w:t>。</w:t>
      </w:r>
    </w:p>
    <w:p>
      <w:pPr>
        <w:adjustRightInd w:val="0"/>
        <w:snapToGrid w:val="0"/>
        <w:spacing w:line="480" w:lineRule="exact"/>
        <w:ind w:firstLine="720"/>
        <w:rPr>
          <w:rFonts w:hint="eastAsia" w:ascii="仿宋_GB2312" w:hAnsi="仿宋_GB2312" w:eastAsia="仿宋_GB2312" w:cs="仿宋_GB2312"/>
          <w:lang w:val="zh-CN"/>
        </w:rPr>
      </w:pPr>
      <w:r>
        <w:rPr>
          <w:rFonts w:hint="eastAsia" w:ascii="仿宋_GB2312" w:hAnsi="仿宋_GB2312" w:eastAsia="仿宋_GB2312" w:cs="仿宋_GB2312"/>
          <w:b/>
          <w:sz w:val="32"/>
          <w:lang w:val="zh-CN"/>
        </w:rPr>
        <w:t>（二）资金计划、到位及使用情况。</w:t>
      </w:r>
    </w:p>
    <w:p>
      <w:pPr>
        <w:adjustRightInd w:val="0"/>
        <w:snapToGrid w:val="0"/>
        <w:spacing w:line="480" w:lineRule="exact"/>
        <w:ind w:firstLine="720"/>
        <w:rPr>
          <w:rFonts w:hint="eastAsia" w:ascii="仿宋_GB2312" w:hAnsi="仿宋_GB2312" w:eastAsia="仿宋_GB2312" w:cs="仿宋_GB2312"/>
          <w:sz w:val="32"/>
        </w:rPr>
      </w:pPr>
      <w:r>
        <w:rPr>
          <w:rFonts w:hint="eastAsia" w:ascii="仿宋_GB2312" w:hAnsi="仿宋_GB2312" w:eastAsia="仿宋_GB2312" w:cs="仿宋_GB2312"/>
          <w:sz w:val="32"/>
          <w:lang w:val="zh-CN"/>
        </w:rPr>
        <w:t>1．资金计划</w:t>
      </w:r>
      <w:r>
        <w:rPr>
          <w:rFonts w:hint="eastAsia" w:ascii="仿宋_GB2312" w:hAnsi="仿宋_GB2312" w:eastAsia="仿宋_GB2312" w:cs="仿宋_GB2312"/>
          <w:sz w:val="32"/>
        </w:rPr>
        <w:t xml:space="preserve">及到位；截止目前已全部到位，资金到位率100%到位及时。    </w:t>
      </w:r>
    </w:p>
    <w:p>
      <w:pPr>
        <w:adjustRightInd w:val="0"/>
        <w:snapToGrid w:val="0"/>
        <w:spacing w:line="480" w:lineRule="exact"/>
        <w:ind w:firstLine="720"/>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rPr>
        <w:t>2</w:t>
      </w:r>
      <w:r>
        <w:rPr>
          <w:rFonts w:hint="eastAsia" w:ascii="仿宋_GB2312" w:hAnsi="仿宋_GB2312" w:eastAsia="仿宋_GB2312" w:cs="仿宋_GB2312"/>
          <w:sz w:val="32"/>
          <w:lang w:val="zh-CN"/>
        </w:rPr>
        <w:t>．资金使用。</w:t>
      </w:r>
      <w:r>
        <w:rPr>
          <w:rFonts w:hint="eastAsia" w:ascii="仿宋_GB2312" w:hAnsi="仿宋_GB2312" w:eastAsia="仿宋_GB2312" w:cs="仿宋_GB2312"/>
          <w:sz w:val="32"/>
          <w:lang w:val="en-US" w:eastAsia="zh-CN"/>
        </w:rPr>
        <w:t>2018年光彩事业资金2万元已全部用于光彩事业的支出。</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（三）项目财务管理情况。</w:t>
      </w:r>
    </w:p>
    <w:p>
      <w:pPr>
        <w:adjustRightInd w:val="0"/>
        <w:snapToGrid w:val="0"/>
        <w:spacing w:line="4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lang w:eastAsia="zh-CN"/>
        </w:rPr>
        <w:t>我单位</w:t>
      </w:r>
      <w:r>
        <w:rPr>
          <w:rFonts w:hint="eastAsia" w:ascii="仿宋_GB2312" w:hAnsi="仿宋_GB2312" w:eastAsia="仿宋_GB2312" w:cs="仿宋_GB2312"/>
          <w:sz w:val="32"/>
          <w:lang w:val="zh-CN"/>
        </w:rPr>
        <w:t>完善了项目资金管理财务工作制度。</w:t>
      </w:r>
      <w:r>
        <w:rPr>
          <w:rFonts w:hint="eastAsia" w:ascii="仿宋_GB2312" w:hAnsi="仿宋_GB2312" w:eastAsia="仿宋_GB2312" w:cs="仿宋_GB2312"/>
          <w:sz w:val="32"/>
        </w:rPr>
        <w:t>一是</w:t>
      </w:r>
      <w:r>
        <w:rPr>
          <w:rFonts w:hint="eastAsia" w:ascii="仿宋_GB2312" w:hAnsi="仿宋_GB2312" w:eastAsia="仿宋_GB2312" w:cs="仿宋_GB2312"/>
          <w:sz w:val="32"/>
          <w:lang w:val="zh-CN"/>
        </w:rPr>
        <w:t>细化了工作流程，明确了工作任务和责任人，使之有了更强的可操作性和针对性。二是进一步规范了财务工作运行机制。结合工作内容和需要对现有各类自制原始凭证进行统一设计，规范填写。加强了凭证审核力度，坚持出纳填制凭证、</w:t>
      </w:r>
      <w:r>
        <w:rPr>
          <w:rFonts w:hint="eastAsia" w:ascii="仿宋_GB2312" w:hAnsi="仿宋_GB2312" w:eastAsia="仿宋_GB2312" w:cs="仿宋_GB2312"/>
          <w:sz w:val="32"/>
        </w:rPr>
        <w:t>会计进行初审、财务主管进行最终审核，确保了会计核算和账务处理准确无误。通过进一步强化财务工作制度，使</w:t>
      </w:r>
      <w:r>
        <w:rPr>
          <w:rFonts w:hint="eastAsia" w:ascii="仿宋_GB2312" w:hAnsi="仿宋_GB2312" w:eastAsia="仿宋_GB2312" w:cs="仿宋_GB2312"/>
          <w:sz w:val="32"/>
          <w:lang w:eastAsia="zh-CN"/>
        </w:rPr>
        <w:t>本单位</w:t>
      </w:r>
      <w:r>
        <w:rPr>
          <w:rFonts w:hint="eastAsia" w:ascii="仿宋_GB2312" w:hAnsi="仿宋_GB2312" w:eastAsia="仿宋_GB2312" w:cs="仿宋_GB2312"/>
          <w:sz w:val="32"/>
        </w:rPr>
        <w:t>财务工作形成了一个相互衔接、相互制约的有机整体，同时财务制度得到进一步完善，财务基础工作得到进一步规范，财务人员自身工作能力得到进一步加强，确保了全局各项工作的顺利开展</w:t>
      </w:r>
      <w:r>
        <w:rPr>
          <w:rFonts w:hint="eastAsia" w:ascii="仿宋_GB2312" w:hAnsi="仿宋_GB2312" w:eastAsia="仿宋_GB2312" w:cs="仿宋_GB2312"/>
          <w:sz w:val="32"/>
          <w:lang w:val="zh-CN"/>
        </w:rPr>
        <w:t>说明项目财务管理制度建设、机构设置、会计核算及账务处理等相关情况。对照项目资金管理办法，评价项目是否严格执行财务管理制度、财务处理是否及时、会计核算是否规范等。</w:t>
      </w:r>
      <w:r>
        <w:rPr>
          <w:rFonts w:hint="eastAsia" w:ascii="仿宋_GB2312" w:hAnsi="仿宋_GB2312" w:eastAsia="仿宋_GB2312" w:cs="仿宋_GB2312"/>
          <w:sz w:val="32"/>
          <w:szCs w:val="32"/>
          <w:lang w:val="zh-CN"/>
        </w:rPr>
        <w:t>项目</w:t>
      </w:r>
      <w:r>
        <w:rPr>
          <w:rFonts w:hint="eastAsia" w:ascii="仿宋_GB2312" w:hAnsi="仿宋_GB2312" w:eastAsia="仿宋_GB2312" w:cs="仿宋_GB2312"/>
          <w:sz w:val="32"/>
          <w:szCs w:val="32"/>
        </w:rPr>
        <w:t>实施工程中</w:t>
      </w:r>
      <w:r>
        <w:rPr>
          <w:rFonts w:hint="eastAsia" w:ascii="仿宋_GB2312" w:hAnsi="仿宋_GB2312" w:eastAsia="仿宋_GB2312" w:cs="仿宋_GB2312"/>
          <w:sz w:val="32"/>
          <w:szCs w:val="32"/>
          <w:lang w:val="zh-CN"/>
        </w:rPr>
        <w:t>严格按照项目财务管理制度进行财务管理，专款专用，专人负责，严格对照资金管理办法，不拆借资金，规范会计核算程序。</w:t>
      </w:r>
    </w:p>
    <w:p>
      <w:pPr>
        <w:adjustRightInd w:val="0"/>
        <w:snapToGrid w:val="0"/>
        <w:spacing w:line="480" w:lineRule="exact"/>
        <w:ind w:firstLine="720"/>
        <w:rPr>
          <w:rFonts w:hint="eastAsia" w:ascii="仿宋_GB2312" w:hAnsi="仿宋_GB2312" w:eastAsia="仿宋_GB2312" w:cs="仿宋_GB2312"/>
        </w:rPr>
      </w:pPr>
      <w:r>
        <w:rPr>
          <w:rFonts w:hint="eastAsia" w:ascii="仿宋_GB2312" w:hAnsi="仿宋_GB2312" w:eastAsia="仿宋_GB2312" w:cs="仿宋_GB2312"/>
          <w:sz w:val="32"/>
        </w:rPr>
        <w:t>三、项目实施及管理情况</w:t>
      </w:r>
    </w:p>
    <w:p>
      <w:pPr>
        <w:adjustRightInd w:val="0"/>
        <w:snapToGrid w:val="0"/>
        <w:spacing w:line="48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项目实施阶段设置一名工作人员</w:t>
      </w:r>
      <w:r>
        <w:rPr>
          <w:rFonts w:hint="eastAsia" w:ascii="仿宋_GB2312" w:hAnsi="仿宋_GB2312" w:eastAsia="仿宋_GB2312" w:cs="仿宋_GB2312"/>
          <w:sz w:val="32"/>
          <w:szCs w:val="32"/>
          <w:lang w:val="zh-CN"/>
        </w:rPr>
        <w:t>专管本项目，不拆分项目，不单列分包招标，保证项目招投标的严肃性。</w:t>
      </w:r>
    </w:p>
    <w:p>
      <w:pPr>
        <w:adjustRightInd w:val="0"/>
        <w:snapToGrid w:val="0"/>
        <w:spacing w:line="480" w:lineRule="exact"/>
        <w:ind w:firstLine="720"/>
        <w:rPr>
          <w:rFonts w:hint="eastAsia" w:ascii="仿宋_GB2312" w:hAnsi="仿宋_GB2312" w:eastAsia="仿宋_GB2312" w:cs="仿宋_GB2312"/>
          <w:lang w:val="zh-CN"/>
        </w:rPr>
      </w:pPr>
      <w:r>
        <w:rPr>
          <w:rFonts w:hint="eastAsia" w:ascii="仿宋_GB2312" w:hAnsi="仿宋_GB2312" w:eastAsia="仿宋_GB2312" w:cs="仿宋_GB2312"/>
          <w:sz w:val="32"/>
        </w:rPr>
        <w:t>四、项目绩效情况</w:t>
      </w:r>
      <w:r>
        <w:rPr>
          <w:rFonts w:hint="eastAsia" w:ascii="仿宋_GB2312" w:hAnsi="仿宋_GB2312" w:eastAsia="仿宋_GB2312" w:cs="仿宋_GB2312"/>
          <w:sz w:val="32"/>
          <w:lang w:val="zh-CN"/>
        </w:rPr>
        <w:tab/>
      </w:r>
    </w:p>
    <w:p>
      <w:pPr>
        <w:adjustRightInd w:val="0"/>
        <w:snapToGrid w:val="0"/>
        <w:spacing w:line="480" w:lineRule="exact"/>
        <w:ind w:firstLine="720"/>
        <w:rPr>
          <w:rFonts w:hint="eastAsia" w:ascii="仿宋_GB2312" w:hAnsi="仿宋_GB2312" w:eastAsia="仿宋_GB2312" w:cs="仿宋_GB2312"/>
          <w:b/>
        </w:rPr>
      </w:pPr>
      <w:r>
        <w:rPr>
          <w:rFonts w:hint="eastAsia" w:ascii="仿宋_GB2312" w:hAnsi="仿宋_GB2312" w:eastAsia="仿宋_GB2312" w:cs="仿宋_GB2312"/>
          <w:b/>
          <w:sz w:val="32"/>
          <w:lang w:val="zh-CN"/>
        </w:rPr>
        <w:t>（一）项目完成情况。</w:t>
      </w:r>
    </w:p>
    <w:p>
      <w:pPr>
        <w:adjustRightInd w:val="0"/>
        <w:snapToGrid w:val="0"/>
        <w:spacing w:line="480" w:lineRule="exact"/>
        <w:ind w:firstLine="720"/>
        <w:rPr>
          <w:rFonts w:hint="eastAsia" w:ascii="仿宋_GB2312" w:hAnsi="仿宋_GB2312" w:eastAsia="仿宋_GB2312" w:cs="仿宋_GB2312"/>
          <w:sz w:val="32"/>
          <w:lang w:val="zh-CN"/>
        </w:rPr>
      </w:pPr>
      <w:r>
        <w:rPr>
          <w:rFonts w:hint="eastAsia" w:ascii="仿宋_GB2312" w:hAnsi="仿宋_GB2312" w:eastAsia="仿宋_GB2312" w:cs="仿宋_GB2312"/>
          <w:sz w:val="32"/>
        </w:rPr>
        <w:t>该项目于</w:t>
      </w:r>
      <w:r>
        <w:rPr>
          <w:rFonts w:hint="eastAsia" w:ascii="仿宋_GB2312" w:hAnsi="仿宋_GB2312" w:eastAsia="仿宋_GB2312" w:cs="仿宋_GB2312"/>
          <w:sz w:val="32"/>
          <w:lang w:val="en-US" w:eastAsia="zh-CN"/>
        </w:rPr>
        <w:t>2018年12月31日已全部用于光彩事业及扶贫帮困的支付</w:t>
      </w:r>
      <w:r>
        <w:rPr>
          <w:rFonts w:hint="eastAsia" w:ascii="仿宋_GB2312" w:hAnsi="仿宋_GB2312" w:eastAsia="仿宋_GB2312" w:cs="仿宋_GB2312"/>
          <w:sz w:val="32"/>
        </w:rPr>
        <w:t>。</w:t>
      </w:r>
    </w:p>
    <w:p>
      <w:pPr>
        <w:adjustRightInd w:val="0"/>
        <w:snapToGrid w:val="0"/>
        <w:spacing w:line="480" w:lineRule="exact"/>
        <w:ind w:firstLine="720"/>
        <w:rPr>
          <w:rFonts w:hint="eastAsia" w:ascii="仿宋_GB2312" w:hAnsi="仿宋_GB2312" w:eastAsia="仿宋_GB2312" w:cs="仿宋_GB2312"/>
          <w:b/>
          <w:lang w:val="zh-CN"/>
        </w:rPr>
      </w:pPr>
      <w:r>
        <w:rPr>
          <w:rFonts w:hint="eastAsia" w:ascii="仿宋_GB2312" w:hAnsi="仿宋_GB2312" w:eastAsia="仿宋_GB2312" w:cs="仿宋_GB2312"/>
          <w:b/>
          <w:sz w:val="32"/>
          <w:lang w:val="zh-CN"/>
        </w:rPr>
        <w:t>（二）项目效益情况。</w:t>
      </w:r>
    </w:p>
    <w:p>
      <w:pPr>
        <w:ind w:firstLine="64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eastAsia="zh-CN"/>
          <w14:textFill>
            <w14:solidFill>
              <w14:schemeClr w14:val="tx1"/>
            </w14:solidFill>
          </w14:textFill>
        </w:rPr>
      </w:pPr>
      <w:r>
        <w:rPr>
          <w:rFonts w:hint="eastAsia" w:ascii="仿宋_GB2312" w:hAnsi="仿宋_GB2312" w:eastAsia="仿宋_GB2312" w:cs="仿宋_GB2312"/>
          <w:sz w:val="32"/>
          <w:lang w:eastAsia="zh-CN"/>
        </w:rPr>
        <w:t>通过光彩事业经费的支出，</w:t>
      </w:r>
      <w:r>
        <w:rPr>
          <w:rFonts w:hint="eastAsia" w:ascii="仿宋_GB2312" w:hAnsi="仿宋_GB2312" w:eastAsia="仿宋_GB2312" w:cs="仿宋_GB2312"/>
          <w:i w:val="0"/>
          <w:caps w:val="0"/>
          <w:color w:val="333333"/>
          <w:spacing w:val="0"/>
          <w:sz w:val="32"/>
          <w:szCs w:val="32"/>
          <w:shd w:val="clear" w:fill="FFFFFF"/>
        </w:rPr>
        <w:t>组织非公有制经济人士以及社会各界力量，参与“光彩事业”，走共同富裕道路。</w:t>
      </w:r>
      <w:r>
        <w:rPr>
          <w:rFonts w:hint="eastAsia" w:ascii="仿宋_GB2312" w:hAnsi="仿宋_GB2312" w:eastAsia="仿宋_GB2312" w:cs="仿宋_GB2312"/>
          <w:i w:val="0"/>
          <w:caps w:val="0"/>
          <w:color w:val="333333"/>
          <w:spacing w:val="0"/>
          <w:sz w:val="32"/>
          <w:szCs w:val="32"/>
          <w:shd w:val="clear" w:fill="FFFFFF"/>
          <w:lang w:eastAsia="zh-CN"/>
        </w:rPr>
        <w:t>助力精准脱贫。</w:t>
      </w:r>
    </w:p>
    <w:p>
      <w:pPr>
        <w:adjustRightInd w:val="0"/>
        <w:snapToGrid w:val="0"/>
        <w:spacing w:line="480" w:lineRule="exact"/>
        <w:ind w:firstLine="720"/>
        <w:rPr>
          <w:rFonts w:hint="eastAsia" w:ascii="仿宋_GB2312" w:hAnsi="仿宋_GB2312" w:eastAsia="仿宋_GB2312" w:cs="仿宋_GB2312"/>
          <w:color w:val="auto"/>
        </w:rPr>
      </w:pPr>
      <w:r>
        <w:rPr>
          <w:rFonts w:hint="eastAsia" w:ascii="仿宋_GB2312" w:hAnsi="仿宋_GB2312" w:eastAsia="仿宋_GB2312" w:cs="仿宋_GB2312"/>
          <w:color w:val="auto"/>
          <w:sz w:val="32"/>
        </w:rPr>
        <w:t>五、评价结论及建议</w:t>
      </w:r>
    </w:p>
    <w:p>
      <w:pPr>
        <w:adjustRightInd w:val="0"/>
        <w:snapToGrid w:val="0"/>
        <w:spacing w:line="480" w:lineRule="exact"/>
        <w:ind w:firstLine="720"/>
        <w:rPr>
          <w:rFonts w:hint="eastAsia" w:ascii="仿宋_GB2312" w:hAnsi="仿宋_GB2312" w:eastAsia="仿宋_GB2312" w:cs="仿宋_GB2312"/>
          <w:b/>
          <w:color w:val="FF0000"/>
          <w:lang w:val="zh-CN"/>
        </w:rPr>
      </w:pPr>
      <w:r>
        <w:rPr>
          <w:rFonts w:hint="eastAsia" w:ascii="仿宋_GB2312" w:hAnsi="仿宋_GB2312" w:eastAsia="仿宋_GB2312" w:cs="仿宋_GB2312"/>
          <w:b/>
          <w:color w:val="auto"/>
          <w:sz w:val="32"/>
          <w:lang w:val="zh-CN"/>
        </w:rPr>
        <w:t>（一）评价结论。</w:t>
      </w:r>
    </w:p>
    <w:p>
      <w:pPr>
        <w:ind w:firstLine="640"/>
        <w:rPr>
          <w:rFonts w:hint="eastAsia" w:ascii="仿宋_GB2312" w:hAnsi="仿宋_GB2312" w:eastAsia="仿宋_GB2312" w:cs="仿宋_GB2312"/>
          <w:b w:val="0"/>
          <w:i w:val="0"/>
          <w:caps w:val="0"/>
          <w:snapToGrid w:val="0"/>
          <w:color w:val="000000" w:themeColor="text1"/>
          <w:spacing w:val="0"/>
          <w:kern w:val="56"/>
          <w:sz w:val="32"/>
          <w:szCs w:val="32"/>
          <w:shd w:val="clear" w:color="auto" w:fill="FFFFFF"/>
          <w:lang w:eastAsia="zh-CN"/>
          <w14:textFill>
            <w14:solidFill>
              <w14:schemeClr w14:val="tx1"/>
            </w14:solidFill>
          </w14:textFill>
        </w:rPr>
      </w:pPr>
      <w:r>
        <w:rPr>
          <w:rFonts w:hint="eastAsia" w:ascii="仿宋_GB2312" w:hAnsi="仿宋_GB2312" w:eastAsia="仿宋_GB2312" w:cs="仿宋_GB2312"/>
          <w:sz w:val="32"/>
          <w:lang w:eastAsia="zh-CN"/>
        </w:rPr>
        <w:t>通过光彩事业经费的支出，</w:t>
      </w:r>
      <w:r>
        <w:rPr>
          <w:rFonts w:hint="eastAsia" w:ascii="仿宋_GB2312" w:hAnsi="仿宋_GB2312" w:eastAsia="仿宋_GB2312" w:cs="仿宋_GB2312"/>
          <w:i w:val="0"/>
          <w:caps w:val="0"/>
          <w:color w:val="333333"/>
          <w:spacing w:val="0"/>
          <w:sz w:val="32"/>
          <w:szCs w:val="32"/>
          <w:shd w:val="clear" w:fill="FFFFFF"/>
        </w:rPr>
        <w:t>组织非公有制经济人士以及社会各界力量，参与“光彩事业”，走共同富裕道路。</w:t>
      </w:r>
      <w:r>
        <w:rPr>
          <w:rFonts w:hint="eastAsia" w:ascii="仿宋_GB2312" w:hAnsi="仿宋_GB2312" w:eastAsia="仿宋_GB2312" w:cs="仿宋_GB2312"/>
          <w:i w:val="0"/>
          <w:caps w:val="0"/>
          <w:color w:val="333333"/>
          <w:spacing w:val="0"/>
          <w:sz w:val="32"/>
          <w:szCs w:val="32"/>
          <w:shd w:val="clear" w:fill="FFFFFF"/>
          <w:lang w:eastAsia="zh-CN"/>
        </w:rPr>
        <w:t>助力精准脱贫。</w:t>
      </w: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auto"/>
          <w:sz w:val="32"/>
          <w:lang w:eastAsia="zh-CN"/>
        </w:rPr>
      </w:pPr>
    </w:p>
    <w:p>
      <w:pPr>
        <w:spacing w:line="600" w:lineRule="exact"/>
        <w:jc w:val="both"/>
        <w:outlineLvl w:val="0"/>
        <w:rPr>
          <w:rFonts w:hint="eastAsia" w:ascii="黑体" w:hAnsi="黑体" w:eastAsia="黑体"/>
          <w:color w:val="000000"/>
          <w:sz w:val="44"/>
          <w:szCs w:val="44"/>
        </w:rPr>
        <w:sectPr>
          <w:footerReference r:id="rId8" w:type="first"/>
          <w:footerReference r:id="rId7" w:type="default"/>
          <w:pgSz w:w="11906" w:h="16838"/>
          <w:pgMar w:top="1440" w:right="1800" w:bottom="1440" w:left="1800" w:header="851" w:footer="992" w:gutter="0"/>
          <w:pgNumType w:fmt="decimal" w:start="1"/>
          <w:cols w:space="425" w:num="1"/>
          <w:titlePg/>
          <w:docGrid w:type="lines" w:linePitch="312" w:charSpace="0"/>
        </w:sectPr>
      </w:pPr>
    </w:p>
    <w:p>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五部分 附表</w:t>
      </w:r>
      <w:bookmarkEnd w:id="55"/>
      <w:bookmarkEnd w:id="59"/>
    </w:p>
    <w:p>
      <w:pPr>
        <w:spacing w:line="600" w:lineRule="exact"/>
        <w:jc w:val="center"/>
        <w:outlineLvl w:val="0"/>
        <w:rPr>
          <w:rFonts w:ascii="仿宋" w:hAnsi="仿宋" w:eastAsia="仿宋"/>
          <w:b/>
          <w:color w:val="000000"/>
          <w:sz w:val="44"/>
          <w:szCs w:val="44"/>
        </w:rPr>
      </w:pPr>
    </w:p>
    <w:p>
      <w:pPr>
        <w:pStyle w:val="3"/>
        <w:numPr>
          <w:ilvl w:val="0"/>
          <w:numId w:val="9"/>
        </w:numPr>
        <w:rPr>
          <w:rFonts w:hint="eastAsia" w:ascii="仿宋" w:hAnsi="仿宋" w:eastAsia="仿宋"/>
          <w:b w:val="0"/>
          <w:color w:val="000000"/>
        </w:rPr>
      </w:pPr>
      <w:bookmarkStart w:id="60" w:name="_Toc15396620"/>
      <w:r>
        <w:rPr>
          <w:rFonts w:hint="eastAsia" w:ascii="仿宋" w:hAnsi="仿宋" w:eastAsia="仿宋"/>
          <w:b w:val="0"/>
          <w:color w:val="000000"/>
        </w:rPr>
        <w:t>收入支出决算总表</w:t>
      </w:r>
    </w:p>
    <w:tbl>
      <w:tblPr>
        <w:tblStyle w:val="13"/>
        <w:tblW w:w="15085" w:type="dxa"/>
        <w:tblInd w:w="0" w:type="dxa"/>
        <w:shd w:val="clear" w:color="auto" w:fill="auto"/>
        <w:tblLayout w:type="fixed"/>
        <w:tblCellMar>
          <w:top w:w="0" w:type="dxa"/>
          <w:left w:w="0" w:type="dxa"/>
          <w:bottom w:w="0" w:type="dxa"/>
          <w:right w:w="0" w:type="dxa"/>
        </w:tblCellMar>
      </w:tblPr>
      <w:tblGrid>
        <w:gridCol w:w="5230"/>
        <w:gridCol w:w="570"/>
        <w:gridCol w:w="2250"/>
        <w:gridCol w:w="4215"/>
        <w:gridCol w:w="570"/>
        <w:gridCol w:w="2250"/>
      </w:tblGrid>
      <w:tr>
        <w:tblPrEx>
          <w:shd w:val="clear" w:color="auto" w:fill="auto"/>
          <w:tblLayout w:type="fixed"/>
          <w:tblCellMar>
            <w:top w:w="0" w:type="dxa"/>
            <w:left w:w="0" w:type="dxa"/>
            <w:bottom w:w="0" w:type="dxa"/>
            <w:right w:w="0" w:type="dxa"/>
          </w:tblCellMar>
        </w:tblPrEx>
        <w:trPr>
          <w:trHeight w:val="390" w:hRule="atLeast"/>
        </w:trPr>
        <w:tc>
          <w:tcPr>
            <w:tcW w:w="5230" w:type="dxa"/>
            <w:tcBorders>
              <w:top w:val="nil"/>
              <w:left w:val="nil"/>
              <w:bottom w:val="nil"/>
              <w:right w:val="nil"/>
            </w:tcBorders>
            <w:shd w:val="clear" w:color="auto" w:fill="auto"/>
            <w:tcMar>
              <w:top w:w="15" w:type="dxa"/>
              <w:left w:w="15" w:type="dxa"/>
              <w:right w:w="15" w:type="dxa"/>
            </w:tcMar>
            <w:vAlign w:val="bottom"/>
          </w:tcPr>
          <w:p>
            <w:pPr>
              <w:rPr>
                <w:rFonts w:hint="eastAsia" w:ascii="Arial" w:hAnsi="Arial" w:cs="Arial"/>
                <w:i w:val="0"/>
                <w:color w:val="000000"/>
                <w:sz w:val="20"/>
                <w:szCs w:val="20"/>
                <w:u w:val="none"/>
              </w:rPr>
            </w:pPr>
          </w:p>
        </w:tc>
        <w:tc>
          <w:tcPr>
            <w:tcW w:w="57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6465" w:type="dxa"/>
            <w:gridSpan w:val="2"/>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30"/>
                <w:szCs w:val="30"/>
                <w:u w:val="none"/>
                <w:lang w:val="en-US" w:eastAsia="zh-CN" w:bidi="ar"/>
              </w:rPr>
              <w:t>收入支出决算批复表</w:t>
            </w:r>
          </w:p>
        </w:tc>
        <w:tc>
          <w:tcPr>
            <w:tcW w:w="57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25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52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7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25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421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7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25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财决批复01表</w:t>
            </w:r>
          </w:p>
        </w:tc>
      </w:tr>
      <w:tr>
        <w:tblPrEx>
          <w:tblLayout w:type="fixed"/>
          <w:tblCellMar>
            <w:top w:w="0" w:type="dxa"/>
            <w:left w:w="0" w:type="dxa"/>
            <w:bottom w:w="0" w:type="dxa"/>
            <w:right w:w="0" w:type="dxa"/>
          </w:tblCellMar>
        </w:tblPrEx>
        <w:trPr>
          <w:trHeight w:val="255" w:hRule="atLeast"/>
        </w:trPr>
        <w:tc>
          <w:tcPr>
            <w:tcW w:w="523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57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25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421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7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25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8050" w:type="dxa"/>
            <w:gridSpan w:val="3"/>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703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225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225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一、财政拨款收入</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140.67</w:t>
            </w: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其中：政府性基金预算财政拨款</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二、上级补助收入</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三、事业收入</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四、经营收入</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五、附属单位上缴收入</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六、其他收入</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七、文化体育与传媒支出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20.49</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九、医疗卫生与计划生育支出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十四、资源勘探信息等支出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十八、国土海洋气象等支出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二十一、其他支出</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143.68</w:t>
            </w: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140.67</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用事业基金弥补收支差额</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其中：提取职工福利基金</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其中：项目支出结转和结余</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转入事业基金</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其中：项目支出结转和结余</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143.69</w:t>
            </w:r>
          </w:p>
        </w:tc>
        <w:tc>
          <w:tcPr>
            <w:tcW w:w="4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22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143.69</w:t>
            </w:r>
          </w:p>
        </w:tc>
      </w:tr>
      <w:tr>
        <w:tblPrEx>
          <w:tblLayout w:type="fixed"/>
          <w:tblCellMar>
            <w:top w:w="0" w:type="dxa"/>
            <w:left w:w="0" w:type="dxa"/>
            <w:bottom w:w="0" w:type="dxa"/>
            <w:right w:w="0" w:type="dxa"/>
          </w:tblCellMar>
        </w:tblPrEx>
        <w:trPr>
          <w:trHeight w:val="308" w:hRule="atLeast"/>
        </w:trPr>
        <w:tc>
          <w:tcPr>
            <w:tcW w:w="15085"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注：1.本表依据《收入支出决算总表》（财决01表）进行批复。</w:t>
            </w:r>
          </w:p>
        </w:tc>
      </w:tr>
      <w:tr>
        <w:tblPrEx>
          <w:tblLayout w:type="fixed"/>
          <w:tblCellMar>
            <w:top w:w="0" w:type="dxa"/>
            <w:left w:w="0" w:type="dxa"/>
            <w:bottom w:w="0" w:type="dxa"/>
            <w:right w:w="0" w:type="dxa"/>
          </w:tblCellMar>
        </w:tblPrEx>
        <w:trPr>
          <w:trHeight w:val="308" w:hRule="atLeast"/>
        </w:trPr>
        <w:tc>
          <w:tcPr>
            <w:tcW w:w="15085"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2.本表含政府性基金预算财政拨款。</w:t>
            </w:r>
          </w:p>
        </w:tc>
      </w:tr>
      <w:tr>
        <w:tblPrEx>
          <w:tblLayout w:type="fixed"/>
          <w:tblCellMar>
            <w:top w:w="0" w:type="dxa"/>
            <w:left w:w="0" w:type="dxa"/>
            <w:bottom w:w="0" w:type="dxa"/>
            <w:right w:w="0" w:type="dxa"/>
          </w:tblCellMar>
        </w:tblPrEx>
        <w:trPr>
          <w:trHeight w:val="308" w:hRule="atLeast"/>
        </w:trPr>
        <w:tc>
          <w:tcPr>
            <w:tcW w:w="15085"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3.本表以“万元”为金额单位（保留两位小数）。</w:t>
            </w:r>
          </w:p>
        </w:tc>
      </w:tr>
    </w:tbl>
    <w:p>
      <w:pPr>
        <w:rPr>
          <w:rFonts w:hint="eastAsia"/>
        </w:rPr>
      </w:pPr>
    </w:p>
    <w:p>
      <w:pPr>
        <w:pStyle w:val="3"/>
        <w:numPr>
          <w:ilvl w:val="0"/>
          <w:numId w:val="9"/>
        </w:numPr>
        <w:ind w:left="0" w:leftChars="0" w:firstLine="0" w:firstLineChars="0"/>
        <w:rPr>
          <w:rStyle w:val="26"/>
          <w:rFonts w:hint="eastAsia" w:ascii="仿宋" w:hAnsi="仿宋" w:eastAsia="仿宋"/>
          <w:b w:val="0"/>
          <w:bCs w:val="0"/>
        </w:rPr>
      </w:pPr>
      <w:r>
        <w:rPr>
          <w:rFonts w:hint="eastAsia" w:ascii="仿宋" w:hAnsi="仿宋" w:eastAsia="仿宋"/>
          <w:b w:val="0"/>
          <w:color w:val="000000"/>
        </w:rPr>
        <w:t>收</w:t>
      </w:r>
      <w:r>
        <w:rPr>
          <w:rStyle w:val="26"/>
          <w:rFonts w:hint="eastAsia" w:ascii="仿宋" w:hAnsi="仿宋" w:eastAsia="仿宋"/>
          <w:b w:val="0"/>
          <w:bCs w:val="0"/>
        </w:rPr>
        <w:t>入总表</w:t>
      </w:r>
      <w:bookmarkEnd w:id="60"/>
    </w:p>
    <w:tbl>
      <w:tblPr>
        <w:tblStyle w:val="13"/>
        <w:tblW w:w="15087" w:type="dxa"/>
        <w:tblInd w:w="0" w:type="dxa"/>
        <w:shd w:val="clear" w:color="auto" w:fill="auto"/>
        <w:tblLayout w:type="fixed"/>
        <w:tblCellMar>
          <w:top w:w="0" w:type="dxa"/>
          <w:left w:w="0" w:type="dxa"/>
          <w:bottom w:w="0" w:type="dxa"/>
          <w:right w:w="0" w:type="dxa"/>
        </w:tblCellMar>
      </w:tblPr>
      <w:tblGrid>
        <w:gridCol w:w="327"/>
        <w:gridCol w:w="300"/>
        <w:gridCol w:w="315"/>
        <w:gridCol w:w="2400"/>
        <w:gridCol w:w="1320"/>
        <w:gridCol w:w="1650"/>
        <w:gridCol w:w="1575"/>
        <w:gridCol w:w="1800"/>
        <w:gridCol w:w="1800"/>
        <w:gridCol w:w="1800"/>
        <w:gridCol w:w="1800"/>
      </w:tblGrid>
      <w:tr>
        <w:tblPrEx>
          <w:shd w:val="clear" w:color="auto" w:fill="auto"/>
          <w:tblLayout w:type="fixed"/>
          <w:tblCellMar>
            <w:top w:w="0" w:type="dxa"/>
            <w:left w:w="0" w:type="dxa"/>
            <w:bottom w:w="0" w:type="dxa"/>
            <w:right w:w="0" w:type="dxa"/>
          </w:tblCellMar>
        </w:tblPrEx>
        <w:trPr>
          <w:trHeight w:val="390" w:hRule="atLeast"/>
        </w:trPr>
        <w:tc>
          <w:tcPr>
            <w:tcW w:w="327" w:type="dxa"/>
            <w:tcBorders>
              <w:top w:val="nil"/>
              <w:left w:val="nil"/>
              <w:bottom w:val="nil"/>
              <w:right w:val="nil"/>
            </w:tcBorders>
            <w:shd w:val="clear" w:color="auto" w:fill="auto"/>
            <w:tcMar>
              <w:top w:w="15" w:type="dxa"/>
              <w:left w:w="15" w:type="dxa"/>
              <w:right w:w="15" w:type="dxa"/>
            </w:tcMar>
            <w:vAlign w:val="bottom"/>
          </w:tcPr>
          <w:p>
            <w:pPr>
              <w:rPr>
                <w:rFonts w:hint="eastAsia" w:ascii="Arial" w:hAnsi="Arial" w:cs="Arial"/>
                <w:i w:val="0"/>
                <w:color w:val="000000"/>
                <w:sz w:val="20"/>
                <w:szCs w:val="20"/>
                <w:u w:val="none"/>
              </w:rPr>
            </w:pPr>
            <w:bookmarkStart w:id="61" w:name="_Toc15396621"/>
          </w:p>
        </w:tc>
        <w:tc>
          <w:tcPr>
            <w:tcW w:w="3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31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4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32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025" w:type="dxa"/>
            <w:gridSpan w:val="3"/>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30"/>
                <w:szCs w:val="30"/>
                <w:u w:val="none"/>
                <w:lang w:val="en-US" w:eastAsia="zh-CN" w:bidi="ar"/>
              </w:rPr>
              <w:t>收入决算批复表</w:t>
            </w: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32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3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31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4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32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65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57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财决批复02表</w:t>
            </w:r>
          </w:p>
        </w:tc>
      </w:tr>
      <w:tr>
        <w:tblPrEx>
          <w:tblLayout w:type="fixed"/>
          <w:tblCellMar>
            <w:top w:w="0" w:type="dxa"/>
            <w:left w:w="0" w:type="dxa"/>
            <w:bottom w:w="0" w:type="dxa"/>
            <w:right w:w="0" w:type="dxa"/>
          </w:tblCellMar>
        </w:tblPrEx>
        <w:trPr>
          <w:trHeight w:val="255" w:hRule="atLeast"/>
        </w:trPr>
        <w:tc>
          <w:tcPr>
            <w:tcW w:w="6312" w:type="dxa"/>
            <w:gridSpan w:val="6"/>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157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942"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4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32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本年收入合计</w:t>
            </w:r>
          </w:p>
        </w:tc>
        <w:tc>
          <w:tcPr>
            <w:tcW w:w="165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157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18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18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18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18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r>
      <w:tr>
        <w:tblPrEx>
          <w:tblLayout w:type="fixed"/>
          <w:tblCellMar>
            <w:top w:w="0" w:type="dxa"/>
            <w:left w:w="0" w:type="dxa"/>
            <w:bottom w:w="0" w:type="dxa"/>
            <w:right w:w="0" w:type="dxa"/>
          </w:tblCellMar>
        </w:tblPrEx>
        <w:trPr>
          <w:trHeight w:val="308" w:hRule="atLeast"/>
        </w:trPr>
        <w:tc>
          <w:tcPr>
            <w:tcW w:w="942"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5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942"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5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942"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5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27"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30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31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24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32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65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57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tblPrEx>
          <w:tblLayout w:type="fixed"/>
          <w:tblCellMar>
            <w:top w:w="0" w:type="dxa"/>
            <w:left w:w="0" w:type="dxa"/>
            <w:bottom w:w="0" w:type="dxa"/>
            <w:right w:w="0" w:type="dxa"/>
          </w:tblCellMar>
        </w:tblPrEx>
        <w:trPr>
          <w:trHeight w:val="308" w:hRule="atLeast"/>
        </w:trPr>
        <w:tc>
          <w:tcPr>
            <w:tcW w:w="327"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1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143.68</w:t>
            </w:r>
          </w:p>
        </w:tc>
        <w:tc>
          <w:tcPr>
            <w:tcW w:w="16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140.67</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3.01</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24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108.08</w:t>
            </w:r>
          </w:p>
        </w:tc>
        <w:tc>
          <w:tcPr>
            <w:tcW w:w="16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w:t>
            </w:r>
          </w:p>
        </w:tc>
        <w:tc>
          <w:tcPr>
            <w:tcW w:w="24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民主党派及工商联事务</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108.08</w:t>
            </w:r>
          </w:p>
        </w:tc>
        <w:tc>
          <w:tcPr>
            <w:tcW w:w="16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2012801</w:t>
            </w:r>
          </w:p>
        </w:tc>
        <w:tc>
          <w:tcPr>
            <w:tcW w:w="24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103.08</w:t>
            </w:r>
          </w:p>
        </w:tc>
        <w:tc>
          <w:tcPr>
            <w:tcW w:w="16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2012899</w:t>
            </w:r>
          </w:p>
        </w:tc>
        <w:tc>
          <w:tcPr>
            <w:tcW w:w="24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15"/>
                <w:szCs w:val="15"/>
                <w:u w:val="none"/>
                <w:lang w:val="en-US" w:eastAsia="zh-CN" w:bidi="ar"/>
              </w:rPr>
              <w:t>其他民主党派及工商联事务支出</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6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24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16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24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行政事业单位离退休</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16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24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w:t>
            </w:r>
            <w:r>
              <w:rPr>
                <w:rFonts w:hint="eastAsia" w:ascii="宋体" w:hAnsi="宋体" w:eastAsia="宋体" w:cs="宋体"/>
                <w:i w:val="0"/>
                <w:color w:val="000000"/>
                <w:kern w:val="0"/>
                <w:sz w:val="13"/>
                <w:szCs w:val="13"/>
                <w:u w:val="none"/>
                <w:lang w:val="en-US" w:eastAsia="zh-CN" w:bidi="ar"/>
              </w:rPr>
              <w:t>机关事业单位基本养老保险缴费支出</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16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24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机关事业单位职业年金缴费支出</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16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24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1"/>
                <w:szCs w:val="21"/>
                <w:u w:val="none"/>
                <w:lang w:val="en-US" w:eastAsia="zh-CN" w:bidi="ar"/>
              </w:rPr>
              <w:t>医疗卫生与计划生育支出</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6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24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6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24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16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2101103</w:t>
            </w:r>
          </w:p>
        </w:tc>
        <w:tc>
          <w:tcPr>
            <w:tcW w:w="24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16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24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6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24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6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24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6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5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5087"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注：1.本表依据《收入决算表》（财决03表）进行批复。</w:t>
            </w:r>
          </w:p>
        </w:tc>
      </w:tr>
      <w:tr>
        <w:tblPrEx>
          <w:tblLayout w:type="fixed"/>
          <w:tblCellMar>
            <w:top w:w="0" w:type="dxa"/>
            <w:left w:w="0" w:type="dxa"/>
            <w:bottom w:w="0" w:type="dxa"/>
            <w:right w:w="0" w:type="dxa"/>
          </w:tblCellMar>
        </w:tblPrEx>
        <w:trPr>
          <w:trHeight w:val="308" w:hRule="atLeast"/>
        </w:trPr>
        <w:tc>
          <w:tcPr>
            <w:tcW w:w="15087"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2.本表含政府性基金预算财政拨款。</w:t>
            </w:r>
          </w:p>
        </w:tc>
      </w:tr>
      <w:tr>
        <w:tblPrEx>
          <w:tblLayout w:type="fixed"/>
          <w:tblCellMar>
            <w:top w:w="0" w:type="dxa"/>
            <w:left w:w="0" w:type="dxa"/>
            <w:bottom w:w="0" w:type="dxa"/>
            <w:right w:w="0" w:type="dxa"/>
          </w:tblCellMar>
        </w:tblPrEx>
        <w:trPr>
          <w:trHeight w:val="308" w:hRule="atLeast"/>
        </w:trPr>
        <w:tc>
          <w:tcPr>
            <w:tcW w:w="15087"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3.本表批复到项级科目。</w:t>
            </w:r>
          </w:p>
        </w:tc>
      </w:tr>
      <w:tr>
        <w:tblPrEx>
          <w:tblLayout w:type="fixed"/>
          <w:tblCellMar>
            <w:top w:w="0" w:type="dxa"/>
            <w:left w:w="0" w:type="dxa"/>
            <w:bottom w:w="0" w:type="dxa"/>
            <w:right w:w="0" w:type="dxa"/>
          </w:tblCellMar>
        </w:tblPrEx>
        <w:trPr>
          <w:trHeight w:val="308" w:hRule="atLeast"/>
        </w:trPr>
        <w:tc>
          <w:tcPr>
            <w:tcW w:w="15087"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4.本表以“万元”为金额单位（保留两位小数）。</w:t>
            </w:r>
          </w:p>
        </w:tc>
      </w:tr>
    </w:tbl>
    <w:p>
      <w:pPr>
        <w:pStyle w:val="3"/>
        <w:numPr>
          <w:ilvl w:val="0"/>
          <w:numId w:val="0"/>
        </w:numPr>
        <w:ind w:leftChars="0"/>
        <w:rPr>
          <w:rFonts w:hint="eastAsia" w:ascii="仿宋" w:hAnsi="仿宋" w:eastAsia="仿宋"/>
          <w:b w:val="0"/>
          <w:color w:val="000000"/>
        </w:rPr>
      </w:pPr>
    </w:p>
    <w:p>
      <w:pPr>
        <w:rPr>
          <w:rFonts w:hint="eastAsia" w:ascii="仿宋" w:hAnsi="仿宋" w:eastAsia="仿宋"/>
          <w:b w:val="0"/>
          <w:color w:val="000000"/>
        </w:rPr>
      </w:pPr>
    </w:p>
    <w:p>
      <w:pPr>
        <w:pStyle w:val="3"/>
        <w:numPr>
          <w:ilvl w:val="0"/>
          <w:numId w:val="0"/>
        </w:numPr>
        <w:ind w:leftChars="0"/>
        <w:rPr>
          <w:rFonts w:hint="eastAsia" w:ascii="仿宋" w:hAnsi="仿宋" w:eastAsia="仿宋"/>
          <w:b w:val="0"/>
          <w:color w:val="000000"/>
        </w:rPr>
      </w:pPr>
    </w:p>
    <w:p>
      <w:pPr>
        <w:pStyle w:val="3"/>
        <w:numPr>
          <w:ilvl w:val="0"/>
          <w:numId w:val="0"/>
        </w:numPr>
        <w:ind w:leftChars="0"/>
        <w:rPr>
          <w:rFonts w:hint="eastAsia" w:ascii="仿宋" w:hAnsi="仿宋" w:eastAsia="仿宋"/>
          <w:b w:val="0"/>
          <w:color w:val="000000"/>
        </w:rPr>
      </w:pPr>
    </w:p>
    <w:p>
      <w:pPr>
        <w:rPr>
          <w:rFonts w:hint="eastAsia"/>
        </w:rPr>
      </w:pPr>
    </w:p>
    <w:p>
      <w:pPr>
        <w:pStyle w:val="3"/>
        <w:numPr>
          <w:ilvl w:val="0"/>
          <w:numId w:val="0"/>
        </w:numPr>
        <w:ind w:leftChars="0"/>
        <w:rPr>
          <w:rFonts w:hint="eastAsia" w:ascii="仿宋" w:hAnsi="仿宋" w:eastAsia="仿宋"/>
          <w:b w:val="0"/>
          <w:color w:val="000000"/>
          <w:lang w:eastAsia="zh-CN"/>
        </w:rPr>
      </w:pPr>
    </w:p>
    <w:p>
      <w:pPr>
        <w:pStyle w:val="3"/>
        <w:numPr>
          <w:ilvl w:val="0"/>
          <w:numId w:val="0"/>
        </w:numPr>
        <w:ind w:leftChars="0"/>
        <w:rPr>
          <w:rStyle w:val="26"/>
          <w:rFonts w:hint="eastAsia" w:ascii="仿宋" w:hAnsi="仿宋" w:eastAsia="仿宋"/>
          <w:b w:val="0"/>
          <w:bCs w:val="0"/>
        </w:rPr>
      </w:pPr>
      <w:r>
        <w:rPr>
          <w:rFonts w:hint="eastAsia" w:ascii="仿宋" w:hAnsi="仿宋" w:eastAsia="仿宋"/>
          <w:b w:val="0"/>
          <w:color w:val="000000"/>
          <w:lang w:eastAsia="zh-CN"/>
        </w:rPr>
        <w:t>三、</w:t>
      </w:r>
      <w:r>
        <w:rPr>
          <w:rFonts w:hint="eastAsia" w:ascii="仿宋" w:hAnsi="仿宋" w:eastAsia="仿宋"/>
          <w:b w:val="0"/>
          <w:color w:val="000000"/>
        </w:rPr>
        <w:t>支</w:t>
      </w:r>
      <w:r>
        <w:rPr>
          <w:rStyle w:val="26"/>
          <w:rFonts w:hint="eastAsia" w:ascii="仿宋" w:hAnsi="仿宋" w:eastAsia="仿宋"/>
          <w:b w:val="0"/>
          <w:bCs w:val="0"/>
        </w:rPr>
        <w:t>出总表</w:t>
      </w:r>
      <w:bookmarkEnd w:id="61"/>
    </w:p>
    <w:tbl>
      <w:tblPr>
        <w:tblStyle w:val="13"/>
        <w:tblW w:w="14547" w:type="dxa"/>
        <w:tblInd w:w="0" w:type="dxa"/>
        <w:shd w:val="clear" w:color="auto" w:fill="auto"/>
        <w:tblLayout w:type="fixed"/>
        <w:tblCellMar>
          <w:top w:w="0" w:type="dxa"/>
          <w:left w:w="0" w:type="dxa"/>
          <w:bottom w:w="0" w:type="dxa"/>
          <w:right w:w="0" w:type="dxa"/>
        </w:tblCellMar>
      </w:tblPr>
      <w:tblGrid>
        <w:gridCol w:w="297"/>
        <w:gridCol w:w="240"/>
        <w:gridCol w:w="525"/>
        <w:gridCol w:w="2700"/>
        <w:gridCol w:w="1785"/>
        <w:gridCol w:w="1800"/>
        <w:gridCol w:w="1800"/>
        <w:gridCol w:w="1800"/>
        <w:gridCol w:w="1800"/>
        <w:gridCol w:w="1800"/>
      </w:tblGrid>
      <w:tr>
        <w:tblPrEx>
          <w:shd w:val="clear" w:color="auto" w:fill="auto"/>
          <w:tblLayout w:type="fixed"/>
          <w:tblCellMar>
            <w:top w:w="0" w:type="dxa"/>
            <w:left w:w="0" w:type="dxa"/>
            <w:bottom w:w="0" w:type="dxa"/>
            <w:right w:w="0" w:type="dxa"/>
          </w:tblCellMar>
        </w:tblPrEx>
        <w:trPr>
          <w:trHeight w:val="390" w:hRule="atLeast"/>
        </w:trPr>
        <w:tc>
          <w:tcPr>
            <w:tcW w:w="297" w:type="dxa"/>
            <w:tcBorders>
              <w:top w:val="nil"/>
              <w:left w:val="nil"/>
              <w:bottom w:val="nil"/>
              <w:right w:val="nil"/>
            </w:tcBorders>
            <w:shd w:val="clear" w:color="auto" w:fill="auto"/>
            <w:tcMar>
              <w:top w:w="15" w:type="dxa"/>
              <w:left w:w="15" w:type="dxa"/>
              <w:right w:w="15" w:type="dxa"/>
            </w:tcMar>
            <w:vAlign w:val="bottom"/>
          </w:tcPr>
          <w:p>
            <w:pPr>
              <w:rPr>
                <w:rFonts w:hint="eastAsia" w:ascii="Arial" w:hAnsi="Arial" w:cs="Arial"/>
                <w:i w:val="0"/>
                <w:color w:val="000000"/>
                <w:sz w:val="20"/>
                <w:szCs w:val="20"/>
                <w:u w:val="none"/>
              </w:rPr>
            </w:pPr>
            <w:bookmarkStart w:id="62" w:name="_Toc15396622"/>
          </w:p>
        </w:tc>
        <w:tc>
          <w:tcPr>
            <w:tcW w:w="24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2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7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385" w:type="dxa"/>
            <w:gridSpan w:val="3"/>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30"/>
                <w:szCs w:val="30"/>
                <w:u w:val="none"/>
                <w:lang w:val="en-US" w:eastAsia="zh-CN" w:bidi="ar"/>
              </w:rPr>
              <w:t>支出决算批复表</w:t>
            </w: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29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4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2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7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78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财决批复03表</w:t>
            </w:r>
          </w:p>
        </w:tc>
      </w:tr>
      <w:tr>
        <w:tblPrEx>
          <w:tblLayout w:type="fixed"/>
          <w:tblCellMar>
            <w:top w:w="0" w:type="dxa"/>
            <w:left w:w="0" w:type="dxa"/>
            <w:bottom w:w="0" w:type="dxa"/>
            <w:right w:w="0" w:type="dxa"/>
          </w:tblCellMar>
        </w:tblPrEx>
        <w:trPr>
          <w:trHeight w:val="255" w:hRule="atLeast"/>
        </w:trPr>
        <w:tc>
          <w:tcPr>
            <w:tcW w:w="5547" w:type="dxa"/>
            <w:gridSpan w:val="5"/>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1062"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7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78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8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8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8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18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18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tblPrEx>
          <w:tblLayout w:type="fixed"/>
          <w:tblCellMar>
            <w:top w:w="0" w:type="dxa"/>
            <w:left w:w="0" w:type="dxa"/>
            <w:bottom w:w="0" w:type="dxa"/>
            <w:right w:w="0" w:type="dxa"/>
          </w:tblCellMar>
        </w:tblPrEx>
        <w:trPr>
          <w:trHeight w:val="308" w:hRule="atLeast"/>
        </w:trPr>
        <w:tc>
          <w:tcPr>
            <w:tcW w:w="1062"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1062"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12" w:hRule="atLeast"/>
        </w:trPr>
        <w:tc>
          <w:tcPr>
            <w:tcW w:w="1062"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297"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24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52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27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78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8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Layout w:type="fixed"/>
          <w:tblCellMar>
            <w:top w:w="0" w:type="dxa"/>
            <w:left w:w="0" w:type="dxa"/>
            <w:bottom w:w="0" w:type="dxa"/>
            <w:right w:w="0" w:type="dxa"/>
          </w:tblCellMar>
        </w:tblPrEx>
        <w:trPr>
          <w:trHeight w:val="308" w:hRule="atLeast"/>
        </w:trPr>
        <w:tc>
          <w:tcPr>
            <w:tcW w:w="297"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2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7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140.67</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138.67</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27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17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w:t>
            </w:r>
          </w:p>
        </w:tc>
        <w:tc>
          <w:tcPr>
            <w:tcW w:w="27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民主党派及工商联事务</w:t>
            </w:r>
          </w:p>
        </w:tc>
        <w:tc>
          <w:tcPr>
            <w:tcW w:w="17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2012801</w:t>
            </w:r>
          </w:p>
        </w:tc>
        <w:tc>
          <w:tcPr>
            <w:tcW w:w="27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7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2012899</w:t>
            </w:r>
          </w:p>
        </w:tc>
        <w:tc>
          <w:tcPr>
            <w:tcW w:w="27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15"/>
                <w:szCs w:val="15"/>
                <w:u w:val="none"/>
                <w:lang w:val="en-US" w:eastAsia="zh-CN" w:bidi="ar"/>
              </w:rPr>
              <w:t>其他民主党派及工商联事务支出</w:t>
            </w:r>
          </w:p>
        </w:tc>
        <w:tc>
          <w:tcPr>
            <w:tcW w:w="17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27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7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27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行政事业单位离退休</w:t>
            </w:r>
          </w:p>
        </w:tc>
        <w:tc>
          <w:tcPr>
            <w:tcW w:w="17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27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15"/>
                <w:szCs w:val="15"/>
                <w:u w:val="none"/>
                <w:lang w:val="en-US" w:eastAsia="zh-CN" w:bidi="ar"/>
              </w:rPr>
              <w:t>机关事业单位基本养老保险缴费支出</w:t>
            </w:r>
          </w:p>
        </w:tc>
        <w:tc>
          <w:tcPr>
            <w:tcW w:w="17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27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15"/>
                <w:szCs w:val="15"/>
                <w:u w:val="none"/>
                <w:lang w:val="en-US" w:eastAsia="zh-CN" w:bidi="ar"/>
              </w:rPr>
              <w:t>机关事业单位职业年金缴费支出</w:t>
            </w:r>
          </w:p>
        </w:tc>
        <w:tc>
          <w:tcPr>
            <w:tcW w:w="17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27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医疗卫生与计划生育支出</w:t>
            </w:r>
          </w:p>
        </w:tc>
        <w:tc>
          <w:tcPr>
            <w:tcW w:w="17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27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17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27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17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2101103</w:t>
            </w:r>
          </w:p>
        </w:tc>
        <w:tc>
          <w:tcPr>
            <w:tcW w:w="27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w:t>
            </w:r>
          </w:p>
        </w:tc>
        <w:tc>
          <w:tcPr>
            <w:tcW w:w="17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27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17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27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17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06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27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7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4547"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注：1.本表依据《支出决算表》（财决04表）进行批复。</w:t>
            </w:r>
          </w:p>
        </w:tc>
      </w:tr>
      <w:tr>
        <w:tblPrEx>
          <w:tblLayout w:type="fixed"/>
          <w:tblCellMar>
            <w:top w:w="0" w:type="dxa"/>
            <w:left w:w="0" w:type="dxa"/>
            <w:bottom w:w="0" w:type="dxa"/>
            <w:right w:w="0" w:type="dxa"/>
          </w:tblCellMar>
        </w:tblPrEx>
        <w:trPr>
          <w:trHeight w:val="308" w:hRule="atLeast"/>
        </w:trPr>
        <w:tc>
          <w:tcPr>
            <w:tcW w:w="14547"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2.本表含政府性基金预算财政拨款。</w:t>
            </w:r>
          </w:p>
        </w:tc>
      </w:tr>
      <w:tr>
        <w:tblPrEx>
          <w:tblLayout w:type="fixed"/>
          <w:tblCellMar>
            <w:top w:w="0" w:type="dxa"/>
            <w:left w:w="0" w:type="dxa"/>
            <w:bottom w:w="0" w:type="dxa"/>
            <w:right w:w="0" w:type="dxa"/>
          </w:tblCellMar>
        </w:tblPrEx>
        <w:trPr>
          <w:trHeight w:val="308" w:hRule="atLeast"/>
        </w:trPr>
        <w:tc>
          <w:tcPr>
            <w:tcW w:w="14547"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3.本表批复到项级科目。</w:t>
            </w:r>
          </w:p>
        </w:tc>
      </w:tr>
      <w:tr>
        <w:tblPrEx>
          <w:tblLayout w:type="fixed"/>
          <w:tblCellMar>
            <w:top w:w="0" w:type="dxa"/>
            <w:left w:w="0" w:type="dxa"/>
            <w:bottom w:w="0" w:type="dxa"/>
            <w:right w:w="0" w:type="dxa"/>
          </w:tblCellMar>
        </w:tblPrEx>
        <w:trPr>
          <w:trHeight w:val="308" w:hRule="atLeast"/>
        </w:trPr>
        <w:tc>
          <w:tcPr>
            <w:tcW w:w="14547" w:type="dxa"/>
            <w:gridSpan w:val="1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4.本表以“万元”为金额单位（保留两位小数）。</w:t>
            </w:r>
          </w:p>
        </w:tc>
      </w:tr>
    </w:tbl>
    <w:p>
      <w:pPr>
        <w:pStyle w:val="3"/>
        <w:numPr>
          <w:ilvl w:val="0"/>
          <w:numId w:val="0"/>
        </w:numPr>
        <w:ind w:leftChars="0"/>
        <w:rPr>
          <w:rFonts w:hint="eastAsia" w:ascii="仿宋" w:hAnsi="仿宋" w:eastAsia="仿宋"/>
          <w:b w:val="0"/>
          <w:color w:val="000000"/>
          <w:lang w:eastAsia="zh-CN"/>
        </w:rPr>
      </w:pPr>
    </w:p>
    <w:p>
      <w:pPr>
        <w:rPr>
          <w:rFonts w:hint="eastAsia" w:ascii="仿宋" w:hAnsi="仿宋" w:eastAsia="仿宋"/>
          <w:b w:val="0"/>
          <w:color w:val="000000"/>
          <w:lang w:eastAsia="zh-CN"/>
        </w:rPr>
      </w:pPr>
    </w:p>
    <w:p>
      <w:pPr>
        <w:pStyle w:val="3"/>
        <w:numPr>
          <w:ilvl w:val="0"/>
          <w:numId w:val="0"/>
        </w:numPr>
        <w:ind w:leftChars="0"/>
        <w:rPr>
          <w:rFonts w:hint="eastAsia" w:ascii="仿宋" w:hAnsi="仿宋" w:eastAsia="仿宋"/>
          <w:b w:val="0"/>
          <w:color w:val="000000"/>
          <w:lang w:eastAsia="zh-CN"/>
        </w:rPr>
      </w:pPr>
    </w:p>
    <w:p>
      <w:pPr>
        <w:pStyle w:val="3"/>
        <w:numPr>
          <w:ilvl w:val="0"/>
          <w:numId w:val="0"/>
        </w:numPr>
        <w:ind w:leftChars="0"/>
        <w:rPr>
          <w:rFonts w:hint="eastAsia" w:ascii="仿宋" w:hAnsi="仿宋" w:eastAsia="仿宋"/>
          <w:b w:val="0"/>
          <w:color w:val="000000"/>
          <w:lang w:eastAsia="zh-CN"/>
        </w:rPr>
      </w:pPr>
    </w:p>
    <w:p>
      <w:pPr>
        <w:rPr>
          <w:rFonts w:hint="eastAsia"/>
          <w:lang w:eastAsia="zh-CN"/>
        </w:rPr>
      </w:pPr>
    </w:p>
    <w:p>
      <w:pPr>
        <w:pStyle w:val="3"/>
        <w:numPr>
          <w:ilvl w:val="0"/>
          <w:numId w:val="0"/>
        </w:numPr>
        <w:ind w:leftChars="0"/>
        <w:rPr>
          <w:rFonts w:hint="eastAsia" w:ascii="仿宋" w:hAnsi="仿宋" w:eastAsia="仿宋"/>
          <w:b w:val="0"/>
          <w:color w:val="000000"/>
          <w:lang w:eastAsia="zh-CN"/>
        </w:rPr>
      </w:pPr>
    </w:p>
    <w:p>
      <w:pPr>
        <w:pStyle w:val="3"/>
        <w:numPr>
          <w:ilvl w:val="0"/>
          <w:numId w:val="0"/>
        </w:numPr>
        <w:ind w:leftChars="0"/>
        <w:rPr>
          <w:rStyle w:val="26"/>
          <w:rFonts w:hint="eastAsia" w:ascii="仿宋" w:hAnsi="仿宋" w:eastAsia="仿宋"/>
          <w:b w:val="0"/>
          <w:bCs w:val="0"/>
        </w:rPr>
      </w:pPr>
      <w:r>
        <w:rPr>
          <w:rFonts w:hint="eastAsia" w:ascii="仿宋" w:hAnsi="仿宋" w:eastAsia="仿宋"/>
          <w:b w:val="0"/>
          <w:color w:val="000000"/>
          <w:lang w:eastAsia="zh-CN"/>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2"/>
    </w:p>
    <w:tbl>
      <w:tblPr>
        <w:tblStyle w:val="13"/>
        <w:tblW w:w="14982" w:type="dxa"/>
        <w:tblInd w:w="0" w:type="dxa"/>
        <w:shd w:val="clear" w:color="auto" w:fill="auto"/>
        <w:tblLayout w:type="fixed"/>
        <w:tblCellMar>
          <w:top w:w="0" w:type="dxa"/>
          <w:left w:w="0" w:type="dxa"/>
          <w:bottom w:w="0" w:type="dxa"/>
          <w:right w:w="0" w:type="dxa"/>
        </w:tblCellMar>
      </w:tblPr>
      <w:tblGrid>
        <w:gridCol w:w="3057"/>
        <w:gridCol w:w="960"/>
        <w:gridCol w:w="1320"/>
        <w:gridCol w:w="3375"/>
        <w:gridCol w:w="360"/>
        <w:gridCol w:w="210"/>
        <w:gridCol w:w="930"/>
        <w:gridCol w:w="750"/>
        <w:gridCol w:w="375"/>
        <w:gridCol w:w="1305"/>
        <w:gridCol w:w="345"/>
        <w:gridCol w:w="1995"/>
      </w:tblGrid>
      <w:tr>
        <w:tblPrEx>
          <w:shd w:val="clear" w:color="auto" w:fill="auto"/>
          <w:tblLayout w:type="fixed"/>
          <w:tblCellMar>
            <w:top w:w="0" w:type="dxa"/>
            <w:left w:w="0" w:type="dxa"/>
            <w:bottom w:w="0" w:type="dxa"/>
            <w:right w:w="0" w:type="dxa"/>
          </w:tblCellMar>
        </w:tblPrEx>
        <w:trPr>
          <w:trHeight w:val="390" w:hRule="atLeast"/>
        </w:trPr>
        <w:tc>
          <w:tcPr>
            <w:tcW w:w="3057" w:type="dxa"/>
            <w:tcBorders>
              <w:top w:val="nil"/>
              <w:left w:val="nil"/>
              <w:bottom w:val="nil"/>
              <w:right w:val="nil"/>
            </w:tcBorders>
            <w:shd w:val="clear" w:color="auto" w:fill="auto"/>
            <w:tcMar>
              <w:top w:w="15" w:type="dxa"/>
              <w:left w:w="15" w:type="dxa"/>
              <w:right w:w="15" w:type="dxa"/>
            </w:tcMar>
            <w:vAlign w:val="bottom"/>
          </w:tcPr>
          <w:p>
            <w:pPr>
              <w:rPr>
                <w:rFonts w:hint="eastAsia" w:ascii="Arial" w:hAnsi="Arial" w:cs="Arial"/>
                <w:i w:val="0"/>
                <w:color w:val="000000"/>
                <w:sz w:val="20"/>
                <w:szCs w:val="20"/>
                <w:u w:val="none"/>
              </w:rPr>
            </w:pPr>
          </w:p>
        </w:tc>
        <w:tc>
          <w:tcPr>
            <w:tcW w:w="9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32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4875" w:type="dxa"/>
            <w:gridSpan w:val="4"/>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30"/>
                <w:szCs w:val="30"/>
                <w:u w:val="none"/>
                <w:lang w:val="en-US" w:eastAsia="zh-CN" w:bidi="ar"/>
              </w:rPr>
              <w:t>财政拨款收入支出决算批复表</w:t>
            </w:r>
          </w:p>
        </w:tc>
        <w:tc>
          <w:tcPr>
            <w:tcW w:w="1125" w:type="dxa"/>
            <w:gridSpan w:val="2"/>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650" w:type="dxa"/>
            <w:gridSpan w:val="2"/>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99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305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32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3735" w:type="dxa"/>
            <w:gridSpan w:val="2"/>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140" w:type="dxa"/>
            <w:gridSpan w:val="2"/>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125" w:type="dxa"/>
            <w:gridSpan w:val="2"/>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650" w:type="dxa"/>
            <w:gridSpan w:val="2"/>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995"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财决批复04表</w:t>
            </w:r>
          </w:p>
        </w:tc>
      </w:tr>
      <w:tr>
        <w:tblPrEx>
          <w:tblLayout w:type="fixed"/>
          <w:tblCellMar>
            <w:top w:w="0" w:type="dxa"/>
            <w:left w:w="0" w:type="dxa"/>
            <w:bottom w:w="0" w:type="dxa"/>
            <w:right w:w="0" w:type="dxa"/>
          </w:tblCellMar>
        </w:tblPrEx>
        <w:trPr>
          <w:trHeight w:val="255" w:hRule="atLeast"/>
        </w:trPr>
        <w:tc>
          <w:tcPr>
            <w:tcW w:w="5337" w:type="dxa"/>
            <w:gridSpan w:val="3"/>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337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70" w:type="dxa"/>
            <w:gridSpan w:val="2"/>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680" w:type="dxa"/>
            <w:gridSpan w:val="2"/>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680" w:type="dxa"/>
            <w:gridSpan w:val="2"/>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340" w:type="dxa"/>
            <w:gridSpan w:val="2"/>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5337" w:type="dxa"/>
            <w:gridSpan w:val="3"/>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     入</w:t>
            </w:r>
          </w:p>
        </w:tc>
        <w:tc>
          <w:tcPr>
            <w:tcW w:w="9645" w:type="dxa"/>
            <w:gridSpan w:val="9"/>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     出</w:t>
            </w:r>
          </w:p>
        </w:tc>
      </w:tr>
      <w:tr>
        <w:tblPrEx>
          <w:tblLayout w:type="fixed"/>
          <w:tblCellMar>
            <w:top w:w="0" w:type="dxa"/>
            <w:left w:w="0" w:type="dxa"/>
            <w:bottom w:w="0" w:type="dxa"/>
            <w:right w:w="0" w:type="dxa"/>
          </w:tblCellMar>
        </w:tblPrEx>
        <w:trPr>
          <w:trHeight w:val="292" w:hRule="atLeast"/>
        </w:trPr>
        <w:tc>
          <w:tcPr>
            <w:tcW w:w="3057"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96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3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3735"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140"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125"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650"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19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r>
      <w:tr>
        <w:tblPrEx>
          <w:tblLayout w:type="fixed"/>
          <w:tblCellMar>
            <w:top w:w="0" w:type="dxa"/>
            <w:left w:w="0" w:type="dxa"/>
            <w:bottom w:w="0" w:type="dxa"/>
            <w:right w:w="0" w:type="dxa"/>
          </w:tblCellMar>
        </w:tblPrEx>
        <w:trPr>
          <w:trHeight w:val="615" w:hRule="atLeast"/>
        </w:trPr>
        <w:tc>
          <w:tcPr>
            <w:tcW w:w="3057"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6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35"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40"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5"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50"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2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65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99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140.67</w:t>
            </w: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七、文化体育与传媒支出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20.49</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20.49</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九、医疗卫生与计划生育支出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十四、资源勘探信息等支出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十八、国土海洋气象等支出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二十一、其他支出</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140.67</w:t>
            </w: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140.67</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140.67</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05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9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3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140.68</w:t>
            </w:r>
          </w:p>
        </w:tc>
        <w:tc>
          <w:tcPr>
            <w:tcW w:w="373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12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140.68</w:t>
            </w:r>
          </w:p>
        </w:tc>
        <w:tc>
          <w:tcPr>
            <w:tcW w:w="16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140.68</w:t>
            </w:r>
          </w:p>
        </w:tc>
        <w:tc>
          <w:tcPr>
            <w:tcW w:w="19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4982" w:type="dxa"/>
            <w:gridSpan w:val="1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注：1.本表依据《财政拨款收入支出决算总表》（财决01-1表）进行批复。</w:t>
            </w:r>
          </w:p>
        </w:tc>
      </w:tr>
      <w:tr>
        <w:tblPrEx>
          <w:tblLayout w:type="fixed"/>
          <w:tblCellMar>
            <w:top w:w="0" w:type="dxa"/>
            <w:left w:w="0" w:type="dxa"/>
            <w:bottom w:w="0" w:type="dxa"/>
            <w:right w:w="0" w:type="dxa"/>
          </w:tblCellMar>
        </w:tblPrEx>
        <w:trPr>
          <w:trHeight w:val="308" w:hRule="atLeast"/>
        </w:trPr>
        <w:tc>
          <w:tcPr>
            <w:tcW w:w="14982" w:type="dxa"/>
            <w:gridSpan w:val="1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2.本表以“万元”为金额单位（保留两位小数）。</w:t>
            </w:r>
          </w:p>
        </w:tc>
      </w:tr>
    </w:tbl>
    <w:p>
      <w:pPr>
        <w:pStyle w:val="3"/>
        <w:numPr>
          <w:ilvl w:val="0"/>
          <w:numId w:val="0"/>
        </w:numPr>
        <w:ind w:leftChars="0"/>
        <w:rPr>
          <w:rFonts w:hint="eastAsia" w:ascii="仿宋" w:hAnsi="仿宋" w:eastAsia="仿宋"/>
          <w:b w:val="0"/>
          <w:color w:val="000000"/>
          <w:lang w:eastAsia="zh-CN"/>
        </w:rPr>
      </w:pPr>
    </w:p>
    <w:p>
      <w:pPr>
        <w:pStyle w:val="3"/>
        <w:numPr>
          <w:ilvl w:val="0"/>
          <w:numId w:val="0"/>
        </w:numPr>
        <w:ind w:leftChars="0"/>
        <w:rPr>
          <w:rFonts w:hint="eastAsia" w:ascii="仿宋" w:hAnsi="仿宋" w:eastAsia="仿宋"/>
          <w:b w:val="0"/>
          <w:color w:val="000000"/>
          <w:lang w:eastAsia="zh-CN"/>
        </w:rPr>
      </w:pPr>
    </w:p>
    <w:p>
      <w:pPr>
        <w:pStyle w:val="3"/>
        <w:numPr>
          <w:ilvl w:val="0"/>
          <w:numId w:val="0"/>
        </w:numPr>
        <w:ind w:leftChars="0"/>
        <w:rPr>
          <w:rFonts w:hint="eastAsia"/>
        </w:rPr>
      </w:pPr>
      <w:r>
        <w:rPr>
          <w:rFonts w:hint="eastAsia" w:ascii="仿宋" w:hAnsi="仿宋" w:eastAsia="仿宋"/>
          <w:b w:val="0"/>
          <w:color w:val="000000"/>
          <w:lang w:eastAsia="zh-CN"/>
        </w:rPr>
        <w:t>五、</w:t>
      </w:r>
      <w:r>
        <w:rPr>
          <w:rFonts w:hint="eastAsia" w:ascii="仿宋" w:hAnsi="仿宋" w:eastAsia="仿宋"/>
          <w:b w:val="0"/>
          <w:color w:val="000000"/>
        </w:rPr>
        <w:t>一</w:t>
      </w:r>
      <w:r>
        <w:rPr>
          <w:rStyle w:val="26"/>
          <w:rFonts w:hint="eastAsia" w:ascii="仿宋" w:hAnsi="仿宋" w:eastAsia="仿宋"/>
          <w:b w:val="0"/>
          <w:bCs w:val="0"/>
        </w:rPr>
        <w:t>般公共预算财政拨款</w:t>
      </w:r>
      <w:r>
        <w:rPr>
          <w:rStyle w:val="26"/>
          <w:rFonts w:hint="eastAsia" w:ascii="仿宋" w:hAnsi="仿宋" w:eastAsia="仿宋"/>
          <w:b w:val="0"/>
          <w:bCs w:val="0"/>
          <w:lang w:eastAsia="zh-CN"/>
        </w:rPr>
        <w:t>收入</w:t>
      </w:r>
      <w:r>
        <w:rPr>
          <w:rStyle w:val="26"/>
          <w:rFonts w:hint="eastAsia" w:ascii="仿宋" w:hAnsi="仿宋" w:eastAsia="仿宋"/>
          <w:b w:val="0"/>
          <w:bCs w:val="0"/>
        </w:rPr>
        <w:t>支出决算表</w:t>
      </w:r>
    </w:p>
    <w:tbl>
      <w:tblPr>
        <w:tblStyle w:val="13"/>
        <w:tblW w:w="15021" w:type="dxa"/>
        <w:tblInd w:w="0" w:type="dxa"/>
        <w:shd w:val="clear" w:color="auto" w:fill="auto"/>
        <w:tblLayout w:type="fixed"/>
        <w:tblCellMar>
          <w:top w:w="0" w:type="dxa"/>
          <w:left w:w="0" w:type="dxa"/>
          <w:bottom w:w="0" w:type="dxa"/>
          <w:right w:w="0" w:type="dxa"/>
        </w:tblCellMar>
      </w:tblPr>
      <w:tblGrid>
        <w:gridCol w:w="402"/>
        <w:gridCol w:w="240"/>
        <w:gridCol w:w="300"/>
        <w:gridCol w:w="2850"/>
        <w:gridCol w:w="600"/>
        <w:gridCol w:w="675"/>
        <w:gridCol w:w="660"/>
        <w:gridCol w:w="840"/>
        <w:gridCol w:w="975"/>
        <w:gridCol w:w="885"/>
        <w:gridCol w:w="795"/>
        <w:gridCol w:w="780"/>
        <w:gridCol w:w="885"/>
        <w:gridCol w:w="1275"/>
        <w:gridCol w:w="810"/>
        <w:gridCol w:w="990"/>
        <w:gridCol w:w="1059"/>
      </w:tblGrid>
      <w:tr>
        <w:tblPrEx>
          <w:shd w:val="clear" w:color="auto" w:fill="auto"/>
          <w:tblLayout w:type="fixed"/>
          <w:tblCellMar>
            <w:top w:w="0" w:type="dxa"/>
            <w:left w:w="0" w:type="dxa"/>
            <w:bottom w:w="0" w:type="dxa"/>
            <w:right w:w="0" w:type="dxa"/>
          </w:tblCellMar>
        </w:tblPrEx>
        <w:trPr>
          <w:trHeight w:val="390" w:hRule="atLeast"/>
        </w:trPr>
        <w:tc>
          <w:tcPr>
            <w:tcW w:w="402" w:type="dxa"/>
            <w:tcBorders>
              <w:top w:val="nil"/>
              <w:left w:val="nil"/>
              <w:bottom w:val="nil"/>
              <w:right w:val="nil"/>
            </w:tcBorders>
            <w:shd w:val="clear" w:color="auto" w:fill="auto"/>
            <w:tcMar>
              <w:top w:w="15" w:type="dxa"/>
              <w:left w:w="15" w:type="dxa"/>
              <w:right w:w="15" w:type="dxa"/>
            </w:tcMar>
            <w:vAlign w:val="bottom"/>
          </w:tcPr>
          <w:p>
            <w:pPr>
              <w:rPr>
                <w:rFonts w:hint="eastAsia" w:ascii="Arial" w:hAnsi="Arial" w:cs="Arial"/>
                <w:i w:val="0"/>
                <w:color w:val="000000"/>
                <w:sz w:val="20"/>
                <w:szCs w:val="20"/>
                <w:u w:val="none"/>
              </w:rPr>
            </w:pPr>
            <w:bookmarkStart w:id="63" w:name="_Toc15396624"/>
          </w:p>
        </w:tc>
        <w:tc>
          <w:tcPr>
            <w:tcW w:w="24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3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85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6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67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820" w:type="dxa"/>
            <w:gridSpan w:val="7"/>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30"/>
                <w:szCs w:val="30"/>
                <w:u w:val="none"/>
                <w:lang w:val="en-US" w:eastAsia="zh-CN" w:bidi="ar"/>
              </w:rPr>
              <w:t>一般公共预算财政拨款收入支出决算批复表</w:t>
            </w:r>
          </w:p>
        </w:tc>
        <w:tc>
          <w:tcPr>
            <w:tcW w:w="127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1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9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05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40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4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3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85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6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67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6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4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7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8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79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78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8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27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1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049" w:type="dxa"/>
            <w:gridSpan w:val="2"/>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财决批复05表</w:t>
            </w:r>
          </w:p>
        </w:tc>
      </w:tr>
      <w:tr>
        <w:tblPrEx>
          <w:tblLayout w:type="fixed"/>
          <w:tblCellMar>
            <w:top w:w="0" w:type="dxa"/>
            <w:left w:w="0" w:type="dxa"/>
            <w:bottom w:w="0" w:type="dxa"/>
            <w:right w:w="0" w:type="dxa"/>
          </w:tblCellMar>
        </w:tblPrEx>
        <w:trPr>
          <w:trHeight w:val="255" w:hRule="atLeast"/>
        </w:trPr>
        <w:tc>
          <w:tcPr>
            <w:tcW w:w="5067" w:type="dxa"/>
            <w:gridSpan w:val="6"/>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6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4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7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8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79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78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8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27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81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049" w:type="dxa"/>
            <w:gridSpan w:val="2"/>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942"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85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93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2700"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2460"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c>
          <w:tcPr>
            <w:tcW w:w="4134" w:type="dxa"/>
            <w:gridSpan w:val="4"/>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r>
      <w:tr>
        <w:tblPrEx>
          <w:tblLayout w:type="fixed"/>
          <w:tblCellMar>
            <w:top w:w="0" w:type="dxa"/>
            <w:left w:w="0" w:type="dxa"/>
            <w:bottom w:w="0" w:type="dxa"/>
            <w:right w:w="0" w:type="dxa"/>
          </w:tblCellMar>
        </w:tblPrEx>
        <w:trPr>
          <w:trHeight w:val="308" w:hRule="atLeast"/>
        </w:trPr>
        <w:tc>
          <w:tcPr>
            <w:tcW w:w="942"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5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67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基本支出结转</w:t>
            </w:r>
          </w:p>
        </w:tc>
        <w:tc>
          <w:tcPr>
            <w:tcW w:w="66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项目支出结转和结余</w:t>
            </w:r>
          </w:p>
        </w:tc>
        <w:tc>
          <w:tcPr>
            <w:tcW w:w="84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7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88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7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78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88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27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81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基本支出结转</w:t>
            </w:r>
          </w:p>
        </w:tc>
        <w:tc>
          <w:tcPr>
            <w:tcW w:w="2049"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项目支出结转和结余</w:t>
            </w:r>
          </w:p>
        </w:tc>
      </w:tr>
      <w:tr>
        <w:tblPrEx>
          <w:tblLayout w:type="fixed"/>
          <w:tblCellMar>
            <w:top w:w="0" w:type="dxa"/>
            <w:left w:w="0" w:type="dxa"/>
            <w:bottom w:w="0" w:type="dxa"/>
            <w:right w:w="0" w:type="dxa"/>
          </w:tblCellMar>
        </w:tblPrEx>
        <w:trPr>
          <w:trHeight w:val="277" w:hRule="atLeast"/>
        </w:trPr>
        <w:tc>
          <w:tcPr>
            <w:tcW w:w="942"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5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7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7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8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8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1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项目支出结转</w:t>
            </w:r>
          </w:p>
        </w:tc>
        <w:tc>
          <w:tcPr>
            <w:tcW w:w="105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项目支出结余</w:t>
            </w:r>
          </w:p>
        </w:tc>
      </w:tr>
      <w:tr>
        <w:tblPrEx>
          <w:tblLayout w:type="fixed"/>
          <w:tblCellMar>
            <w:top w:w="0" w:type="dxa"/>
            <w:left w:w="0" w:type="dxa"/>
            <w:bottom w:w="0" w:type="dxa"/>
            <w:right w:w="0" w:type="dxa"/>
          </w:tblCellMar>
        </w:tblPrEx>
        <w:trPr>
          <w:trHeight w:val="615" w:hRule="atLeast"/>
        </w:trPr>
        <w:tc>
          <w:tcPr>
            <w:tcW w:w="942"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5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7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7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8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8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8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1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40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24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30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285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6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67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6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4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97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8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79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7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88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7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9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05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r>
      <w:tr>
        <w:tblPrEx>
          <w:tblLayout w:type="fixed"/>
          <w:tblCellMar>
            <w:top w:w="0" w:type="dxa"/>
            <w:left w:w="0" w:type="dxa"/>
            <w:bottom w:w="0" w:type="dxa"/>
            <w:right w:w="0" w:type="dxa"/>
          </w:tblCellMar>
        </w:tblPrEx>
        <w:trPr>
          <w:trHeight w:val="308" w:hRule="atLeast"/>
        </w:trPr>
        <w:tc>
          <w:tcPr>
            <w:tcW w:w="40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5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6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0.01</w:t>
            </w:r>
          </w:p>
        </w:tc>
        <w:tc>
          <w:tcPr>
            <w:tcW w:w="6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0.01</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8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140.67</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138.67</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2.00</w:t>
            </w:r>
          </w:p>
        </w:tc>
        <w:tc>
          <w:tcPr>
            <w:tcW w:w="7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140.67</w:t>
            </w:r>
          </w:p>
        </w:tc>
        <w:tc>
          <w:tcPr>
            <w:tcW w:w="7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138.67</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2.00</w:t>
            </w:r>
          </w:p>
        </w:tc>
        <w:tc>
          <w:tcPr>
            <w:tcW w:w="12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0.01</w:t>
            </w:r>
          </w:p>
        </w:tc>
        <w:tc>
          <w:tcPr>
            <w:tcW w:w="8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0.01</w:t>
            </w:r>
          </w:p>
        </w:tc>
        <w:tc>
          <w:tcPr>
            <w:tcW w:w="9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2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6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6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7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7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2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8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9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w:t>
            </w:r>
          </w:p>
        </w:tc>
        <w:tc>
          <w:tcPr>
            <w:tcW w:w="2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民主党派及工商联事务</w:t>
            </w:r>
          </w:p>
        </w:tc>
        <w:tc>
          <w:tcPr>
            <w:tcW w:w="6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6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7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7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2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8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9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2012801</w:t>
            </w:r>
          </w:p>
        </w:tc>
        <w:tc>
          <w:tcPr>
            <w:tcW w:w="2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6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6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7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8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9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2012899</w:t>
            </w:r>
          </w:p>
        </w:tc>
        <w:tc>
          <w:tcPr>
            <w:tcW w:w="2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其他民主党派及工商联事务支出</w:t>
            </w:r>
          </w:p>
        </w:tc>
        <w:tc>
          <w:tcPr>
            <w:tcW w:w="6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7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7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2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2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6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7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2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行政事业单位离退休</w:t>
            </w:r>
          </w:p>
        </w:tc>
        <w:tc>
          <w:tcPr>
            <w:tcW w:w="6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7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2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15"/>
                <w:szCs w:val="15"/>
                <w:u w:val="none"/>
                <w:lang w:val="en-US" w:eastAsia="zh-CN" w:bidi="ar"/>
              </w:rPr>
              <w:t>机关事业单位基本养老保险缴费支出</w:t>
            </w:r>
          </w:p>
        </w:tc>
        <w:tc>
          <w:tcPr>
            <w:tcW w:w="6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7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2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机关事业单位职业年金缴费支出</w:t>
            </w:r>
          </w:p>
        </w:tc>
        <w:tc>
          <w:tcPr>
            <w:tcW w:w="6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7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2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医疗卫生与计划生育支出</w:t>
            </w:r>
          </w:p>
        </w:tc>
        <w:tc>
          <w:tcPr>
            <w:tcW w:w="6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7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2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6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7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2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6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7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2101103</w:t>
            </w:r>
          </w:p>
        </w:tc>
        <w:tc>
          <w:tcPr>
            <w:tcW w:w="2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w:t>
            </w:r>
          </w:p>
        </w:tc>
        <w:tc>
          <w:tcPr>
            <w:tcW w:w="6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7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2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6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7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2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6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7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42"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28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60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9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9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78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88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1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5021" w:type="dxa"/>
            <w:gridSpan w:val="1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注：1.本表依据《一般公共预算财政拨款收入支出决算表》（财决07表）进行批复。</w:t>
            </w:r>
          </w:p>
        </w:tc>
      </w:tr>
      <w:tr>
        <w:tblPrEx>
          <w:tblLayout w:type="fixed"/>
          <w:tblCellMar>
            <w:top w:w="0" w:type="dxa"/>
            <w:left w:w="0" w:type="dxa"/>
            <w:bottom w:w="0" w:type="dxa"/>
            <w:right w:w="0" w:type="dxa"/>
          </w:tblCellMar>
        </w:tblPrEx>
        <w:trPr>
          <w:trHeight w:val="308" w:hRule="atLeast"/>
        </w:trPr>
        <w:tc>
          <w:tcPr>
            <w:tcW w:w="15021" w:type="dxa"/>
            <w:gridSpan w:val="1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2.本表批复到项级科目。</w:t>
            </w:r>
          </w:p>
        </w:tc>
      </w:tr>
      <w:tr>
        <w:tblPrEx>
          <w:tblLayout w:type="fixed"/>
          <w:tblCellMar>
            <w:top w:w="0" w:type="dxa"/>
            <w:left w:w="0" w:type="dxa"/>
            <w:bottom w:w="0" w:type="dxa"/>
            <w:right w:w="0" w:type="dxa"/>
          </w:tblCellMar>
        </w:tblPrEx>
        <w:trPr>
          <w:trHeight w:val="308" w:hRule="atLeast"/>
        </w:trPr>
        <w:tc>
          <w:tcPr>
            <w:tcW w:w="15021" w:type="dxa"/>
            <w:gridSpan w:val="1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3.本表以“万元”为金额单位（保留两位小数）。</w:t>
            </w:r>
          </w:p>
        </w:tc>
      </w:tr>
    </w:tbl>
    <w:p>
      <w:pPr>
        <w:pStyle w:val="3"/>
        <w:rPr>
          <w:rStyle w:val="26"/>
          <w:rFonts w:hint="eastAsia" w:ascii="仿宋" w:hAnsi="仿宋" w:eastAsia="仿宋"/>
          <w:b w:val="0"/>
          <w:bCs w:val="0"/>
        </w:rPr>
      </w:pPr>
    </w:p>
    <w:p>
      <w:pPr>
        <w:rPr>
          <w:rFonts w:hint="eastAsia"/>
        </w:rPr>
      </w:pPr>
    </w:p>
    <w:bookmarkEnd w:id="63"/>
    <w:p>
      <w:pPr>
        <w:pStyle w:val="3"/>
        <w:numPr>
          <w:ilvl w:val="0"/>
          <w:numId w:val="0"/>
        </w:numPr>
        <w:ind w:leftChars="0"/>
        <w:rPr>
          <w:rFonts w:hint="eastAsia" w:ascii="仿宋" w:hAnsi="仿宋" w:eastAsia="仿宋"/>
          <w:b w:val="0"/>
          <w:color w:val="000000"/>
          <w:lang w:eastAsia="zh-CN"/>
        </w:rPr>
      </w:pPr>
      <w:bookmarkStart w:id="64" w:name="_Toc15396625"/>
    </w:p>
    <w:p>
      <w:pPr>
        <w:rPr>
          <w:rFonts w:hint="eastAsia" w:ascii="仿宋" w:hAnsi="仿宋" w:eastAsia="仿宋"/>
          <w:b w:val="0"/>
          <w:color w:val="000000"/>
          <w:lang w:eastAsia="zh-CN"/>
        </w:rPr>
      </w:pPr>
    </w:p>
    <w:p>
      <w:pPr>
        <w:rPr>
          <w:rFonts w:hint="eastAsia" w:ascii="仿宋" w:hAnsi="仿宋" w:eastAsia="仿宋"/>
          <w:b w:val="0"/>
          <w:color w:val="000000"/>
          <w:lang w:eastAsia="zh-CN"/>
        </w:rPr>
      </w:pPr>
    </w:p>
    <w:p>
      <w:pPr>
        <w:pStyle w:val="3"/>
        <w:numPr>
          <w:ilvl w:val="0"/>
          <w:numId w:val="0"/>
        </w:numPr>
        <w:ind w:leftChars="0"/>
        <w:rPr>
          <w:rStyle w:val="26"/>
          <w:rFonts w:hint="eastAsia" w:ascii="仿宋" w:hAnsi="仿宋" w:eastAsia="仿宋"/>
          <w:b w:val="0"/>
          <w:bCs w:val="0"/>
        </w:rPr>
      </w:pPr>
      <w:r>
        <w:rPr>
          <w:rFonts w:hint="eastAsia" w:ascii="仿宋" w:hAnsi="仿宋" w:eastAsia="仿宋"/>
          <w:b w:val="0"/>
          <w:color w:val="000000"/>
          <w:lang w:eastAsia="zh-CN"/>
        </w:rPr>
        <w:t>六、</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4"/>
    </w:p>
    <w:tbl>
      <w:tblPr>
        <w:tblStyle w:val="13"/>
        <w:tblW w:w="15012" w:type="dxa"/>
        <w:tblInd w:w="0" w:type="dxa"/>
        <w:shd w:val="clear" w:color="auto" w:fill="auto"/>
        <w:tblLayout w:type="fixed"/>
        <w:tblCellMar>
          <w:top w:w="0" w:type="dxa"/>
          <w:left w:w="0" w:type="dxa"/>
          <w:bottom w:w="0" w:type="dxa"/>
          <w:right w:w="0" w:type="dxa"/>
        </w:tblCellMar>
      </w:tblPr>
      <w:tblGrid>
        <w:gridCol w:w="897"/>
        <w:gridCol w:w="2370"/>
        <w:gridCol w:w="1140"/>
        <w:gridCol w:w="900"/>
        <w:gridCol w:w="495"/>
        <w:gridCol w:w="240"/>
        <w:gridCol w:w="240"/>
        <w:gridCol w:w="240"/>
        <w:gridCol w:w="542"/>
        <w:gridCol w:w="1230"/>
        <w:gridCol w:w="750"/>
        <w:gridCol w:w="315"/>
        <w:gridCol w:w="958"/>
        <w:gridCol w:w="2895"/>
        <w:gridCol w:w="347"/>
        <w:gridCol w:w="240"/>
        <w:gridCol w:w="1213"/>
      </w:tblGrid>
      <w:tr>
        <w:tblPrEx>
          <w:shd w:val="clear" w:color="auto" w:fill="auto"/>
          <w:tblLayout w:type="fixed"/>
          <w:tblCellMar>
            <w:top w:w="0" w:type="dxa"/>
            <w:left w:w="0" w:type="dxa"/>
            <w:bottom w:w="0" w:type="dxa"/>
            <w:right w:w="0" w:type="dxa"/>
          </w:tblCellMar>
        </w:tblPrEx>
        <w:trPr>
          <w:gridAfter w:val="1"/>
          <w:wAfter w:w="1213" w:type="dxa"/>
          <w:trHeight w:val="390" w:hRule="atLeast"/>
        </w:trPr>
        <w:tc>
          <w:tcPr>
            <w:tcW w:w="897" w:type="dxa"/>
            <w:tcBorders>
              <w:top w:val="nil"/>
              <w:left w:val="nil"/>
              <w:bottom w:val="nil"/>
              <w:right w:val="nil"/>
            </w:tcBorders>
            <w:shd w:val="clear" w:color="auto" w:fill="auto"/>
            <w:tcMar>
              <w:top w:w="15" w:type="dxa"/>
              <w:left w:w="15" w:type="dxa"/>
              <w:right w:w="15" w:type="dxa"/>
            </w:tcMar>
            <w:vAlign w:val="bottom"/>
          </w:tcPr>
          <w:p>
            <w:pPr>
              <w:rPr>
                <w:rFonts w:hint="eastAsia" w:ascii="Arial" w:hAnsi="Arial" w:cs="Arial"/>
                <w:i w:val="0"/>
                <w:color w:val="000000"/>
                <w:sz w:val="20"/>
                <w:szCs w:val="20"/>
                <w:u w:val="none"/>
              </w:rPr>
            </w:pPr>
          </w:p>
        </w:tc>
        <w:tc>
          <w:tcPr>
            <w:tcW w:w="237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5777" w:type="dxa"/>
            <w:gridSpan w:val="9"/>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30"/>
                <w:szCs w:val="30"/>
                <w:u w:val="none"/>
                <w:lang w:val="en-US" w:eastAsia="zh-CN" w:bidi="ar"/>
              </w:rPr>
              <w:t>一般公共预算财政拨款基本支出决算批复表</w:t>
            </w:r>
          </w:p>
        </w:tc>
        <w:tc>
          <w:tcPr>
            <w:tcW w:w="4515" w:type="dxa"/>
            <w:gridSpan w:val="4"/>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4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85" w:hRule="atLeast"/>
        </w:trPr>
        <w:tc>
          <w:tcPr>
            <w:tcW w:w="89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37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14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90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757" w:type="dxa"/>
            <w:gridSpan w:val="5"/>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2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065" w:type="dxa"/>
            <w:gridSpan w:val="2"/>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3853" w:type="dxa"/>
            <w:gridSpan w:val="2"/>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1800" w:type="dxa"/>
            <w:gridSpan w:val="3"/>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财决批复06表</w:t>
            </w:r>
          </w:p>
        </w:tc>
      </w:tr>
      <w:tr>
        <w:tblPrEx>
          <w:tblLayout w:type="fixed"/>
          <w:tblCellMar>
            <w:top w:w="0" w:type="dxa"/>
            <w:left w:w="0" w:type="dxa"/>
            <w:bottom w:w="0" w:type="dxa"/>
            <w:right w:w="0" w:type="dxa"/>
          </w:tblCellMar>
        </w:tblPrEx>
        <w:trPr>
          <w:trHeight w:val="255" w:hRule="atLeast"/>
        </w:trPr>
        <w:tc>
          <w:tcPr>
            <w:tcW w:w="5307" w:type="dxa"/>
            <w:gridSpan w:val="4"/>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49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4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4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24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3795" w:type="dxa"/>
            <w:gridSpan w:val="5"/>
            <w:tcBorders>
              <w:top w:val="nil"/>
              <w:left w:val="nil"/>
              <w:bottom w:val="nil"/>
              <w:right w:val="nil"/>
            </w:tcBorders>
            <w:shd w:val="clear" w:color="auto" w:fill="auto"/>
            <w:tcMar>
              <w:top w:w="15" w:type="dxa"/>
              <w:left w:w="15" w:type="dxa"/>
              <w:right w:w="15" w:type="dxa"/>
            </w:tcMar>
            <w:vAlign w:val="bottom"/>
          </w:tcPr>
          <w:p>
            <w:pPr>
              <w:rPr>
                <w:rFonts w:hint="default" w:ascii="Arial" w:hAnsi="Arial" w:cs="Arial"/>
                <w:i w:val="0"/>
                <w:color w:val="000000"/>
                <w:sz w:val="20"/>
                <w:szCs w:val="20"/>
                <w:u w:val="none"/>
              </w:rPr>
            </w:pPr>
          </w:p>
        </w:tc>
        <w:tc>
          <w:tcPr>
            <w:tcW w:w="4695" w:type="dxa"/>
            <w:gridSpan w:val="4"/>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4407" w:type="dxa"/>
            <w:gridSpan w:val="3"/>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10605" w:type="dxa"/>
            <w:gridSpan w:val="14"/>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tblPrEx>
          <w:tblLayout w:type="fixed"/>
          <w:tblCellMar>
            <w:top w:w="0" w:type="dxa"/>
            <w:left w:w="0" w:type="dxa"/>
            <w:bottom w:w="0" w:type="dxa"/>
            <w:right w:w="0" w:type="dxa"/>
          </w:tblCellMar>
        </w:tblPrEx>
        <w:trPr>
          <w:trHeight w:val="308" w:hRule="atLeast"/>
        </w:trPr>
        <w:tc>
          <w:tcPr>
            <w:tcW w:w="897"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37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14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90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1757" w:type="dxa"/>
            <w:gridSpan w:val="5"/>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2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1065"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3853"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800" w:type="dxa"/>
            <w:gridSpan w:val="3"/>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Layout w:type="fixed"/>
          <w:tblCellMar>
            <w:top w:w="0" w:type="dxa"/>
            <w:left w:w="0" w:type="dxa"/>
            <w:bottom w:w="0" w:type="dxa"/>
            <w:right w:w="0" w:type="dxa"/>
          </w:tblCellMar>
        </w:tblPrEx>
        <w:trPr>
          <w:trHeight w:val="308" w:hRule="atLeast"/>
        </w:trPr>
        <w:tc>
          <w:tcPr>
            <w:tcW w:w="897"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7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4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57" w:type="dxa"/>
            <w:gridSpan w:val="5"/>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853"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gridSpan w:val="3"/>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129.95</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8.72</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28.77</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50.17</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1.09</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13.53</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0.07</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1.85</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0.44</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39906</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赠与</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2.92</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其他对个人和家庭的补助支出</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897"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3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1757"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123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853"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267"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人员经费合计</w:t>
            </w:r>
          </w:p>
        </w:tc>
        <w:tc>
          <w:tcPr>
            <w:tcW w:w="11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129.96</w:t>
            </w:r>
          </w:p>
        </w:tc>
        <w:tc>
          <w:tcPr>
            <w:tcW w:w="8805" w:type="dxa"/>
            <w:gridSpan w:val="11"/>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公用经费合计</w:t>
            </w:r>
          </w:p>
        </w:tc>
        <w:tc>
          <w:tcPr>
            <w:tcW w:w="1800" w:type="dxa"/>
            <w:gridSpan w:val="3"/>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8.72</w:t>
            </w:r>
          </w:p>
        </w:tc>
      </w:tr>
      <w:tr>
        <w:tblPrEx>
          <w:tblLayout w:type="fixed"/>
          <w:tblCellMar>
            <w:top w:w="0" w:type="dxa"/>
            <w:left w:w="0" w:type="dxa"/>
            <w:bottom w:w="0" w:type="dxa"/>
            <w:right w:w="0" w:type="dxa"/>
          </w:tblCellMar>
        </w:tblPrEx>
        <w:trPr>
          <w:trHeight w:val="308" w:hRule="atLeast"/>
        </w:trPr>
        <w:tc>
          <w:tcPr>
            <w:tcW w:w="15012" w:type="dxa"/>
            <w:gridSpan w:val="1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注：1.本表依据《一般公共预算财政拨款基本支出决算明细表》（财决08-1表）进行批复。</w:t>
            </w:r>
          </w:p>
        </w:tc>
      </w:tr>
      <w:tr>
        <w:tblPrEx>
          <w:tblLayout w:type="fixed"/>
          <w:tblCellMar>
            <w:top w:w="0" w:type="dxa"/>
            <w:left w:w="0" w:type="dxa"/>
            <w:bottom w:w="0" w:type="dxa"/>
            <w:right w:w="0" w:type="dxa"/>
          </w:tblCellMar>
        </w:tblPrEx>
        <w:trPr>
          <w:trHeight w:val="308" w:hRule="atLeast"/>
        </w:trPr>
        <w:tc>
          <w:tcPr>
            <w:tcW w:w="15012" w:type="dxa"/>
            <w:gridSpan w:val="1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2.本表以“万元”为金额单位（保留两位小数）。</w:t>
            </w:r>
          </w:p>
        </w:tc>
      </w:tr>
    </w:tbl>
    <w:p>
      <w:pPr>
        <w:numPr>
          <w:ilvl w:val="0"/>
          <w:numId w:val="0"/>
        </w:numPr>
        <w:ind w:leftChars="0"/>
      </w:pPr>
    </w:p>
    <w:p>
      <w:pPr>
        <w:numPr>
          <w:ilvl w:val="0"/>
          <w:numId w:val="10"/>
        </w:numPr>
        <w:ind w:leftChars="0"/>
        <w:rPr>
          <w:rFonts w:hint="eastAsia" w:ascii="仿宋" w:hAnsi="仿宋" w:eastAsia="仿宋" w:cs="仿宋"/>
          <w:sz w:val="32"/>
          <w:szCs w:val="32"/>
          <w:lang w:eastAsia="zh-CN"/>
        </w:rPr>
      </w:pPr>
      <w:r>
        <w:rPr>
          <w:rFonts w:hint="eastAsia" w:ascii="仿宋" w:hAnsi="仿宋" w:eastAsia="仿宋" w:cs="仿宋"/>
          <w:sz w:val="32"/>
          <w:szCs w:val="32"/>
          <w:lang w:eastAsia="zh-CN"/>
        </w:rPr>
        <w:t>决算公开表</w:t>
      </w:r>
    </w:p>
    <w:tbl>
      <w:tblPr>
        <w:tblStyle w:val="13"/>
        <w:tblW w:w="15085" w:type="dxa"/>
        <w:tblInd w:w="0" w:type="dxa"/>
        <w:shd w:val="clear" w:color="auto" w:fill="auto"/>
        <w:tblLayout w:type="fixed"/>
        <w:tblCellMar>
          <w:top w:w="0" w:type="dxa"/>
          <w:left w:w="0" w:type="dxa"/>
          <w:bottom w:w="0" w:type="dxa"/>
          <w:right w:w="0" w:type="dxa"/>
        </w:tblCellMar>
      </w:tblPr>
      <w:tblGrid>
        <w:gridCol w:w="5230"/>
        <w:gridCol w:w="570"/>
        <w:gridCol w:w="2250"/>
        <w:gridCol w:w="4215"/>
        <w:gridCol w:w="570"/>
        <w:gridCol w:w="2250"/>
      </w:tblGrid>
      <w:tr>
        <w:tblPrEx>
          <w:shd w:val="clear" w:color="auto" w:fill="auto"/>
          <w:tblLayout w:type="fixed"/>
          <w:tblCellMar>
            <w:top w:w="0" w:type="dxa"/>
            <w:left w:w="0" w:type="dxa"/>
            <w:bottom w:w="0" w:type="dxa"/>
            <w:right w:w="0" w:type="dxa"/>
          </w:tblCellMar>
        </w:tblPrEx>
        <w:trPr>
          <w:trHeight w:val="405" w:hRule="atLeast"/>
        </w:trPr>
        <w:tc>
          <w:tcPr>
            <w:tcW w:w="5230"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7035" w:type="dxa"/>
            <w:gridSpan w:val="3"/>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收入支出决算总表</w:t>
            </w:r>
          </w:p>
        </w:tc>
        <w:tc>
          <w:tcPr>
            <w:tcW w:w="5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25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52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5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25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2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5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25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财决公开01表</w:t>
            </w:r>
          </w:p>
        </w:tc>
      </w:tr>
      <w:tr>
        <w:tblPrEx>
          <w:tblLayout w:type="fixed"/>
          <w:tblCellMar>
            <w:top w:w="0" w:type="dxa"/>
            <w:left w:w="0" w:type="dxa"/>
            <w:bottom w:w="0" w:type="dxa"/>
            <w:right w:w="0" w:type="dxa"/>
          </w:tblCellMar>
        </w:tblPrEx>
        <w:trPr>
          <w:trHeight w:val="255" w:hRule="atLeast"/>
        </w:trPr>
        <w:tc>
          <w:tcPr>
            <w:tcW w:w="523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5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25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2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5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25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8050"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7035" w:type="dxa"/>
            <w:gridSpan w:val="3"/>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22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22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140.67</w:t>
            </w: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七、文化体育与传媒支出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20.49</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九、医疗卫生与计划生育支出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十四、资源勘探信息等支出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十八、国土海洋气象等支出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二十一、其他支出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二十二、债务还本支出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二十三、债务付息支出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143.68</w:t>
            </w: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140.66</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用事业基金弥补收支差额</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其中：转入事业基金</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其中：经营结余 </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523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143.69</w:t>
            </w:r>
          </w:p>
        </w:tc>
        <w:tc>
          <w:tcPr>
            <w:tcW w:w="42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22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143.68</w:t>
            </w:r>
          </w:p>
        </w:tc>
      </w:tr>
      <w:tr>
        <w:tblPrEx>
          <w:tblLayout w:type="fixed"/>
          <w:tblCellMar>
            <w:top w:w="0" w:type="dxa"/>
            <w:left w:w="0" w:type="dxa"/>
            <w:bottom w:w="0" w:type="dxa"/>
            <w:right w:w="0" w:type="dxa"/>
          </w:tblCellMar>
        </w:tblPrEx>
        <w:trPr>
          <w:trHeight w:val="308" w:hRule="atLeast"/>
        </w:trPr>
        <w:tc>
          <w:tcPr>
            <w:tcW w:w="15085"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注：本表以“万元”为金额单位（保留两位小数），反映部门本年度总收支和年末结转结余情况。</w:t>
            </w:r>
          </w:p>
        </w:tc>
      </w:tr>
    </w:tbl>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tbl>
      <w:tblPr>
        <w:tblStyle w:val="13"/>
        <w:tblW w:w="15132" w:type="dxa"/>
        <w:tblInd w:w="0" w:type="dxa"/>
        <w:shd w:val="clear" w:color="auto" w:fill="auto"/>
        <w:tblLayout w:type="fixed"/>
        <w:tblCellMar>
          <w:top w:w="0" w:type="dxa"/>
          <w:left w:w="0" w:type="dxa"/>
          <w:bottom w:w="0" w:type="dxa"/>
          <w:right w:w="0" w:type="dxa"/>
        </w:tblCellMar>
      </w:tblPr>
      <w:tblGrid>
        <w:gridCol w:w="387"/>
        <w:gridCol w:w="420"/>
        <w:gridCol w:w="390"/>
        <w:gridCol w:w="4065"/>
        <w:gridCol w:w="1710"/>
        <w:gridCol w:w="1365"/>
        <w:gridCol w:w="1500"/>
        <w:gridCol w:w="1485"/>
        <w:gridCol w:w="210"/>
        <w:gridCol w:w="1590"/>
        <w:gridCol w:w="1800"/>
        <w:gridCol w:w="210"/>
      </w:tblGrid>
      <w:tr>
        <w:tblPrEx>
          <w:shd w:val="clear" w:color="auto" w:fill="auto"/>
          <w:tblLayout w:type="fixed"/>
          <w:tblCellMar>
            <w:top w:w="0" w:type="dxa"/>
            <w:left w:w="0" w:type="dxa"/>
            <w:bottom w:w="0" w:type="dxa"/>
            <w:right w:w="0" w:type="dxa"/>
          </w:tblCellMar>
        </w:tblPrEx>
        <w:trPr>
          <w:gridAfter w:val="1"/>
          <w:wAfter w:w="210" w:type="dxa"/>
          <w:trHeight w:val="405" w:hRule="atLeast"/>
        </w:trPr>
        <w:tc>
          <w:tcPr>
            <w:tcW w:w="387"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42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0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6060" w:type="dxa"/>
            <w:gridSpan w:val="4"/>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支出决算表</w:t>
            </w:r>
          </w:p>
        </w:tc>
        <w:tc>
          <w:tcPr>
            <w:tcW w:w="1800"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38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2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0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7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3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5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695"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5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010"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财决公开03表</w:t>
            </w:r>
          </w:p>
        </w:tc>
      </w:tr>
      <w:tr>
        <w:tblPrEx>
          <w:tblLayout w:type="fixed"/>
          <w:tblCellMar>
            <w:top w:w="0" w:type="dxa"/>
            <w:left w:w="0" w:type="dxa"/>
            <w:bottom w:w="0" w:type="dxa"/>
            <w:right w:w="0" w:type="dxa"/>
          </w:tblCellMar>
        </w:tblPrEx>
        <w:trPr>
          <w:trHeight w:val="255" w:hRule="atLeast"/>
        </w:trPr>
        <w:tc>
          <w:tcPr>
            <w:tcW w:w="5262" w:type="dxa"/>
            <w:gridSpan w:val="4"/>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17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3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5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695"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5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010"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1197"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4065" w:type="dxa"/>
            <w:vMerge w:val="restart"/>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71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36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50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695" w:type="dxa"/>
            <w:gridSpan w:val="2"/>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159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2010" w:type="dxa"/>
            <w:gridSpan w:val="2"/>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tblPrEx>
          <w:tblLayout w:type="fixed"/>
          <w:tblCellMar>
            <w:top w:w="0" w:type="dxa"/>
            <w:left w:w="0" w:type="dxa"/>
            <w:bottom w:w="0" w:type="dxa"/>
            <w:right w:w="0" w:type="dxa"/>
          </w:tblCellMar>
        </w:tblPrEx>
        <w:trPr>
          <w:trHeight w:val="308" w:hRule="atLeast"/>
        </w:trPr>
        <w:tc>
          <w:tcPr>
            <w:tcW w:w="1197"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65" w:type="dxa"/>
            <w:vMerge w:val="continue"/>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1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6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5"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9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10"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1197"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65" w:type="dxa"/>
            <w:vMerge w:val="continue"/>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1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6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5"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9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10"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1197"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65" w:type="dxa"/>
            <w:vMerge w:val="continue"/>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1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6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0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95"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9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10"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87"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420"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390"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40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7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6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5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695"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5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01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Layout w:type="fixed"/>
          <w:tblCellMar>
            <w:top w:w="0" w:type="dxa"/>
            <w:left w:w="0" w:type="dxa"/>
            <w:bottom w:w="0" w:type="dxa"/>
            <w:right w:w="0" w:type="dxa"/>
          </w:tblCellMar>
        </w:tblPrEx>
        <w:trPr>
          <w:trHeight w:val="308" w:hRule="atLeast"/>
        </w:trPr>
        <w:tc>
          <w:tcPr>
            <w:tcW w:w="387"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2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06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140.67</w:t>
            </w:r>
          </w:p>
        </w:tc>
        <w:tc>
          <w:tcPr>
            <w:tcW w:w="13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138.67</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2.00</w:t>
            </w:r>
          </w:p>
        </w:tc>
        <w:tc>
          <w:tcPr>
            <w:tcW w:w="16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5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201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9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4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13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6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1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9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w:t>
            </w:r>
          </w:p>
        </w:tc>
        <w:tc>
          <w:tcPr>
            <w:tcW w:w="4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民主党派及工商联事务</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13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6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1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9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2012801</w:t>
            </w:r>
          </w:p>
        </w:tc>
        <w:tc>
          <w:tcPr>
            <w:tcW w:w="4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13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1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9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2012899</w:t>
            </w:r>
          </w:p>
        </w:tc>
        <w:tc>
          <w:tcPr>
            <w:tcW w:w="4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其他民主党派及工商联事务支出</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3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6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1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9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4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13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1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9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4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行政事业单位离退休</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13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1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9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4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13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1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9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4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机关事业单位职业年金缴费支出★</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13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1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9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4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医疗卫生与计划生育支出</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3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1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9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4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3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1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9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4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13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1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9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2101103</w:t>
            </w:r>
          </w:p>
        </w:tc>
        <w:tc>
          <w:tcPr>
            <w:tcW w:w="4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13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1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9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4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3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1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9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4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3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1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19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40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7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3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9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01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5132" w:type="dxa"/>
            <w:gridSpan w:val="1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注：本表以“万元”为金额单位（保留两位小数），反映部门本年度各项支出情况。</w:t>
            </w:r>
          </w:p>
        </w:tc>
      </w:tr>
    </w:tbl>
    <w:p>
      <w:pPr>
        <w:numPr>
          <w:ilvl w:val="0"/>
          <w:numId w:val="0"/>
        </w:numPr>
        <w:rPr>
          <w:rFonts w:hint="eastAsia" w:ascii="仿宋" w:hAnsi="仿宋" w:eastAsia="仿宋" w:cs="仿宋"/>
          <w:sz w:val="32"/>
          <w:szCs w:val="32"/>
          <w:lang w:eastAsia="zh-CN"/>
        </w:rPr>
      </w:pPr>
    </w:p>
    <w:tbl>
      <w:tblPr>
        <w:tblStyle w:val="13"/>
        <w:tblW w:w="15057" w:type="dxa"/>
        <w:tblInd w:w="0" w:type="dxa"/>
        <w:shd w:val="clear" w:color="auto" w:fill="auto"/>
        <w:tblLayout w:type="fixed"/>
        <w:tblCellMar>
          <w:top w:w="0" w:type="dxa"/>
          <w:left w:w="0" w:type="dxa"/>
          <w:bottom w:w="0" w:type="dxa"/>
          <w:right w:w="0" w:type="dxa"/>
        </w:tblCellMar>
      </w:tblPr>
      <w:tblGrid>
        <w:gridCol w:w="3192"/>
        <w:gridCol w:w="690"/>
        <w:gridCol w:w="1140"/>
        <w:gridCol w:w="3030"/>
        <w:gridCol w:w="660"/>
        <w:gridCol w:w="1110"/>
        <w:gridCol w:w="1635"/>
        <w:gridCol w:w="1800"/>
        <w:gridCol w:w="1800"/>
      </w:tblGrid>
      <w:tr>
        <w:tblPrEx>
          <w:shd w:val="clear" w:color="auto" w:fill="auto"/>
          <w:tblLayout w:type="fixed"/>
          <w:tblCellMar>
            <w:top w:w="0" w:type="dxa"/>
            <w:left w:w="0" w:type="dxa"/>
            <w:bottom w:w="0" w:type="dxa"/>
            <w:right w:w="0" w:type="dxa"/>
          </w:tblCellMar>
        </w:tblPrEx>
        <w:trPr>
          <w:trHeight w:val="405" w:hRule="atLeast"/>
        </w:trPr>
        <w:tc>
          <w:tcPr>
            <w:tcW w:w="3192"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6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830" w:type="dxa"/>
            <w:gridSpan w:val="3"/>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财政拨款收入支出决算总表</w:t>
            </w:r>
          </w:p>
        </w:tc>
        <w:tc>
          <w:tcPr>
            <w:tcW w:w="11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6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319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6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4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0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6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6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财决公开04表</w:t>
            </w:r>
          </w:p>
        </w:tc>
      </w:tr>
      <w:tr>
        <w:tblPrEx>
          <w:tblLayout w:type="fixed"/>
          <w:tblCellMar>
            <w:top w:w="0" w:type="dxa"/>
            <w:left w:w="0" w:type="dxa"/>
            <w:bottom w:w="0" w:type="dxa"/>
            <w:right w:w="0" w:type="dxa"/>
          </w:tblCellMar>
        </w:tblPrEx>
        <w:trPr>
          <w:trHeight w:val="255" w:hRule="atLeast"/>
        </w:trPr>
        <w:tc>
          <w:tcPr>
            <w:tcW w:w="8052" w:type="dxa"/>
            <w:gridSpan w:val="4"/>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6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6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5022"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     入</w:t>
            </w:r>
          </w:p>
        </w:tc>
        <w:tc>
          <w:tcPr>
            <w:tcW w:w="10035"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     出</w:t>
            </w:r>
          </w:p>
        </w:tc>
      </w:tr>
      <w:tr>
        <w:tblPrEx>
          <w:tblLayout w:type="fixed"/>
          <w:tblCellMar>
            <w:top w:w="0" w:type="dxa"/>
            <w:left w:w="0" w:type="dxa"/>
            <w:bottom w:w="0" w:type="dxa"/>
            <w:right w:w="0" w:type="dxa"/>
          </w:tblCellMar>
        </w:tblPrEx>
        <w:trPr>
          <w:trHeight w:val="292" w:hRule="atLeast"/>
        </w:trPr>
        <w:tc>
          <w:tcPr>
            <w:tcW w:w="319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69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14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30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66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110"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63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180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180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tblPrEx>
          <w:tblLayout w:type="fixed"/>
          <w:tblCellMar>
            <w:top w:w="0" w:type="dxa"/>
            <w:left w:w="0" w:type="dxa"/>
            <w:bottom w:w="0" w:type="dxa"/>
            <w:right w:w="0" w:type="dxa"/>
          </w:tblCellMar>
        </w:tblPrEx>
        <w:trPr>
          <w:trHeight w:val="615" w:hRule="atLeast"/>
        </w:trPr>
        <w:tc>
          <w:tcPr>
            <w:tcW w:w="319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9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4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6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3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6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8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8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140.67</w:t>
            </w: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七、文化体育与传媒支出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20.49</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20.49</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九、医疗卫生与计划生育支出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十四、资源勘探信息等支出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十八、国土海洋气象等支出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二十一、其他支出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二十二、债务还本支出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二十三、债务付息支出</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140.67</w:t>
            </w: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140.66</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140.66</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19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1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140.68</w:t>
            </w:r>
          </w:p>
        </w:tc>
        <w:tc>
          <w:tcPr>
            <w:tcW w:w="303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11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140.67</w:t>
            </w:r>
          </w:p>
        </w:tc>
        <w:tc>
          <w:tcPr>
            <w:tcW w:w="16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140.67</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615" w:hRule="atLeast"/>
        </w:trPr>
        <w:tc>
          <w:tcPr>
            <w:tcW w:w="15057" w:type="dxa"/>
            <w:gridSpan w:val="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注：本表以“万元”为金额单位（保留两位小数），反映部门本年度一般公共预算财政拨款、政府性基金预算财政拨款和国有资本经营预算财政拨款的总收支和年末结转结余情况。</w:t>
            </w:r>
          </w:p>
        </w:tc>
      </w:tr>
    </w:tbl>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tbl>
      <w:tblPr>
        <w:tblStyle w:val="13"/>
        <w:tblW w:w="15087" w:type="dxa"/>
        <w:tblInd w:w="0" w:type="dxa"/>
        <w:shd w:val="clear" w:color="auto" w:fill="auto"/>
        <w:tblLayout w:type="fixed"/>
        <w:tblCellMar>
          <w:top w:w="0" w:type="dxa"/>
          <w:left w:w="0" w:type="dxa"/>
          <w:bottom w:w="0" w:type="dxa"/>
          <w:right w:w="0" w:type="dxa"/>
        </w:tblCellMar>
      </w:tblPr>
      <w:tblGrid>
        <w:gridCol w:w="2922"/>
        <w:gridCol w:w="705"/>
        <w:gridCol w:w="1500"/>
        <w:gridCol w:w="2925"/>
        <w:gridCol w:w="810"/>
        <w:gridCol w:w="1440"/>
        <w:gridCol w:w="1440"/>
        <w:gridCol w:w="3345"/>
      </w:tblGrid>
      <w:tr>
        <w:tblPrEx>
          <w:shd w:val="clear" w:color="auto" w:fill="auto"/>
          <w:tblLayout w:type="fixed"/>
          <w:tblCellMar>
            <w:top w:w="0" w:type="dxa"/>
            <w:left w:w="0" w:type="dxa"/>
            <w:bottom w:w="0" w:type="dxa"/>
            <w:right w:w="0" w:type="dxa"/>
          </w:tblCellMar>
        </w:tblPrEx>
        <w:trPr>
          <w:trHeight w:val="390" w:hRule="atLeast"/>
        </w:trPr>
        <w:tc>
          <w:tcPr>
            <w:tcW w:w="2922"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70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8115" w:type="dxa"/>
            <w:gridSpan w:val="5"/>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cs="Arial"/>
                <w:i w:val="0"/>
                <w:color w:val="000000"/>
                <w:sz w:val="20"/>
                <w:szCs w:val="20"/>
                <w:u w:val="none"/>
              </w:rPr>
            </w:pPr>
            <w:r>
              <w:rPr>
                <w:rFonts w:hint="eastAsia" w:ascii="宋体" w:hAnsi="宋体" w:eastAsia="宋体" w:cs="宋体"/>
                <w:i w:val="0"/>
                <w:color w:val="000000"/>
                <w:kern w:val="0"/>
                <w:sz w:val="30"/>
                <w:szCs w:val="30"/>
                <w:u w:val="none"/>
                <w:lang w:val="en-US" w:eastAsia="zh-CN" w:bidi="ar"/>
              </w:rPr>
              <w:t>财政拨款收入支出决算总表</w:t>
            </w:r>
          </w:p>
        </w:tc>
        <w:tc>
          <w:tcPr>
            <w:tcW w:w="33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292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0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5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92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8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4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4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34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公开04表</w:t>
            </w:r>
          </w:p>
        </w:tc>
      </w:tr>
      <w:tr>
        <w:tblPrEx>
          <w:tblLayout w:type="fixed"/>
          <w:tblCellMar>
            <w:top w:w="0" w:type="dxa"/>
            <w:left w:w="0" w:type="dxa"/>
            <w:bottom w:w="0" w:type="dxa"/>
            <w:right w:w="0" w:type="dxa"/>
          </w:tblCellMar>
        </w:tblPrEx>
        <w:trPr>
          <w:trHeight w:val="255" w:hRule="atLeast"/>
        </w:trPr>
        <w:tc>
          <w:tcPr>
            <w:tcW w:w="8052" w:type="dxa"/>
            <w:gridSpan w:val="4"/>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8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4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4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34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金额单位：元</w:t>
            </w:r>
          </w:p>
        </w:tc>
      </w:tr>
      <w:tr>
        <w:tblPrEx>
          <w:tblLayout w:type="fixed"/>
          <w:tblCellMar>
            <w:top w:w="0" w:type="dxa"/>
            <w:left w:w="0" w:type="dxa"/>
            <w:bottom w:w="0" w:type="dxa"/>
            <w:right w:w="0" w:type="dxa"/>
          </w:tblCellMar>
        </w:tblPrEx>
        <w:trPr>
          <w:trHeight w:val="308" w:hRule="atLeast"/>
        </w:trPr>
        <w:tc>
          <w:tcPr>
            <w:tcW w:w="5127"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     入</w:t>
            </w:r>
          </w:p>
        </w:tc>
        <w:tc>
          <w:tcPr>
            <w:tcW w:w="9960" w:type="dxa"/>
            <w:gridSpan w:val="5"/>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     出</w:t>
            </w:r>
          </w:p>
        </w:tc>
      </w:tr>
      <w:tr>
        <w:tblPrEx>
          <w:tblLayout w:type="fixed"/>
          <w:tblCellMar>
            <w:top w:w="0" w:type="dxa"/>
            <w:left w:w="0" w:type="dxa"/>
            <w:bottom w:w="0" w:type="dxa"/>
            <w:right w:w="0" w:type="dxa"/>
          </w:tblCellMar>
        </w:tblPrEx>
        <w:trPr>
          <w:trHeight w:val="292" w:hRule="atLeast"/>
        </w:trPr>
        <w:tc>
          <w:tcPr>
            <w:tcW w:w="29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70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50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292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81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440"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44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334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r>
      <w:tr>
        <w:tblPrEx>
          <w:tblLayout w:type="fixed"/>
          <w:tblCellMar>
            <w:top w:w="0" w:type="dxa"/>
            <w:left w:w="0" w:type="dxa"/>
            <w:bottom w:w="0" w:type="dxa"/>
            <w:right w:w="0" w:type="dxa"/>
          </w:tblCellMar>
        </w:tblPrEx>
        <w:trPr>
          <w:trHeight w:val="615" w:hRule="atLeast"/>
        </w:trPr>
        <w:tc>
          <w:tcPr>
            <w:tcW w:w="29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2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1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4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4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4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3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1,406,728.79</w:t>
            </w: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1,050,723.35</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1,050,723.35</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七、文化体育与传媒支出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204,946.56</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204,946.56</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九、医疗卫生与计划生育支出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59,510.88</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59,510.88</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十四、资源勘探信息等支出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十八、国土海洋气象等支出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91,548.00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91,548.00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二十一、其他支出</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1,406,728.79</w:t>
            </w: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1,406,728.79</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1,406,728.79</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87.88</w:t>
            </w: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87.88</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87.88</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87.88</w:t>
            </w: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292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7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1,406,816.67</w:t>
            </w:r>
          </w:p>
        </w:tc>
        <w:tc>
          <w:tcPr>
            <w:tcW w:w="29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8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1,406,816.67</w:t>
            </w:r>
          </w:p>
        </w:tc>
        <w:tc>
          <w:tcPr>
            <w:tcW w:w="14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1,406,816.67</w:t>
            </w:r>
          </w:p>
        </w:tc>
        <w:tc>
          <w:tcPr>
            <w:tcW w:w="33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5087"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注：本表反映部门本年度一般公共预算财政拨款和政府性基金预算财政拨款的总收支和年末结转结余情况。</w:t>
            </w:r>
          </w:p>
        </w:tc>
      </w:tr>
    </w:tbl>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tbl>
      <w:tblPr>
        <w:tblStyle w:val="13"/>
        <w:tblW w:w="15237" w:type="dxa"/>
        <w:tblInd w:w="0" w:type="dxa"/>
        <w:shd w:val="clear" w:color="auto" w:fill="auto"/>
        <w:tblLayout w:type="fixed"/>
        <w:tblCellMar>
          <w:top w:w="0" w:type="dxa"/>
          <w:left w:w="0" w:type="dxa"/>
          <w:bottom w:w="0" w:type="dxa"/>
          <w:right w:w="0" w:type="dxa"/>
        </w:tblCellMar>
      </w:tblPr>
      <w:tblGrid>
        <w:gridCol w:w="912"/>
        <w:gridCol w:w="2460"/>
        <w:gridCol w:w="1560"/>
        <w:gridCol w:w="990"/>
        <w:gridCol w:w="2325"/>
        <w:gridCol w:w="1455"/>
        <w:gridCol w:w="960"/>
        <w:gridCol w:w="2700"/>
        <w:gridCol w:w="1875"/>
      </w:tblGrid>
      <w:tr>
        <w:tblPrEx>
          <w:shd w:val="clear" w:color="auto" w:fill="auto"/>
          <w:tblLayout w:type="fixed"/>
          <w:tblCellMar>
            <w:top w:w="0" w:type="dxa"/>
            <w:left w:w="0" w:type="dxa"/>
            <w:bottom w:w="0" w:type="dxa"/>
            <w:right w:w="0" w:type="dxa"/>
          </w:tblCellMar>
        </w:tblPrEx>
        <w:trPr>
          <w:trHeight w:val="255" w:hRule="atLeast"/>
        </w:trPr>
        <w:tc>
          <w:tcPr>
            <w:tcW w:w="912"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12450" w:type="dxa"/>
            <w:gridSpan w:val="7"/>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cs="Arial"/>
                <w:i w:val="0"/>
                <w:color w:val="000000"/>
                <w:sz w:val="20"/>
                <w:szCs w:val="20"/>
                <w:u w:val="none"/>
              </w:rPr>
            </w:pPr>
            <w:r>
              <w:rPr>
                <w:rFonts w:hint="default" w:ascii="Arial" w:hAnsi="Arial" w:cs="Arial"/>
                <w:i w:val="0"/>
                <w:color w:val="000000"/>
                <w:sz w:val="44"/>
                <w:szCs w:val="44"/>
                <w:u w:val="none"/>
              </w:rPr>
              <w:t>一般公共预算财政拨款基本支出决算表</w:t>
            </w:r>
          </w:p>
        </w:tc>
        <w:tc>
          <w:tcPr>
            <w:tcW w:w="18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85" w:hRule="atLeast"/>
        </w:trPr>
        <w:tc>
          <w:tcPr>
            <w:tcW w:w="91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4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5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32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5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7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7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公开06表</w:t>
            </w:r>
          </w:p>
        </w:tc>
      </w:tr>
      <w:tr>
        <w:tblPrEx>
          <w:tblLayout w:type="fixed"/>
          <w:tblCellMar>
            <w:top w:w="0" w:type="dxa"/>
            <w:left w:w="0" w:type="dxa"/>
            <w:bottom w:w="0" w:type="dxa"/>
            <w:right w:w="0" w:type="dxa"/>
          </w:tblCellMar>
        </w:tblPrEx>
        <w:trPr>
          <w:trHeight w:val="255" w:hRule="atLeast"/>
        </w:trPr>
        <w:tc>
          <w:tcPr>
            <w:tcW w:w="4932" w:type="dxa"/>
            <w:gridSpan w:val="3"/>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9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32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5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7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7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金额单位：元</w:t>
            </w:r>
          </w:p>
        </w:tc>
      </w:tr>
      <w:tr>
        <w:tblPrEx>
          <w:tblLayout w:type="fixed"/>
          <w:tblCellMar>
            <w:top w:w="0" w:type="dxa"/>
            <w:left w:w="0" w:type="dxa"/>
            <w:bottom w:w="0" w:type="dxa"/>
            <w:right w:w="0" w:type="dxa"/>
          </w:tblCellMar>
        </w:tblPrEx>
        <w:trPr>
          <w:trHeight w:val="308" w:hRule="atLeast"/>
        </w:trPr>
        <w:tc>
          <w:tcPr>
            <w:tcW w:w="4932"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10305"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tblPrEx>
          <w:tblLayout w:type="fixed"/>
          <w:tblCellMar>
            <w:top w:w="0" w:type="dxa"/>
            <w:left w:w="0" w:type="dxa"/>
            <w:bottom w:w="0" w:type="dxa"/>
            <w:right w:w="0" w:type="dxa"/>
          </w:tblCellMar>
        </w:tblPrEx>
        <w:trPr>
          <w:trHeight w:val="308" w:hRule="atLeast"/>
        </w:trPr>
        <w:tc>
          <w:tcPr>
            <w:tcW w:w="91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46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56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99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32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45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96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70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87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Layout w:type="fixed"/>
          <w:tblCellMar>
            <w:top w:w="0" w:type="dxa"/>
            <w:left w:w="0" w:type="dxa"/>
            <w:bottom w:w="0" w:type="dxa"/>
            <w:right w:w="0" w:type="dxa"/>
          </w:tblCellMar>
        </w:tblPrEx>
        <w:trPr>
          <w:trHeight w:val="308" w:hRule="atLeast"/>
        </w:trPr>
        <w:tc>
          <w:tcPr>
            <w:tcW w:w="91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6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6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2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5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6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7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1,299,523.47</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87,194.32</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287,705.00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11,919.30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501,732.00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10,895.00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135,299.50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685.00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15"/>
                <w:szCs w:val="15"/>
                <w:u w:val="none"/>
                <w:lang w:val="en-US" w:eastAsia="zh-CN" w:bidi="ar"/>
              </w:rPr>
              <w:t>机关事业单位基本养老保险缴费</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146,390.40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58,556.16</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16,012.90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48,528.48</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10,982.40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14,381.53</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18,464.00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91,548.00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4,400.00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公务招待费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39906</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赠与</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29,218.12</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其他对个人和家庭的补助支出</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912"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32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14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372"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人员经费合计</w:t>
            </w:r>
          </w:p>
        </w:tc>
        <w:tc>
          <w:tcPr>
            <w:tcW w:w="15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1,299,553.47</w:t>
            </w:r>
          </w:p>
        </w:tc>
        <w:tc>
          <w:tcPr>
            <w:tcW w:w="8430"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公用经费合计</w:t>
            </w:r>
          </w:p>
        </w:tc>
        <w:tc>
          <w:tcPr>
            <w:tcW w:w="18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87,194.32</w:t>
            </w:r>
          </w:p>
        </w:tc>
      </w:tr>
      <w:tr>
        <w:tblPrEx>
          <w:tblLayout w:type="fixed"/>
          <w:tblCellMar>
            <w:top w:w="0" w:type="dxa"/>
            <w:left w:w="0" w:type="dxa"/>
            <w:bottom w:w="0" w:type="dxa"/>
            <w:right w:w="0" w:type="dxa"/>
          </w:tblCellMar>
        </w:tblPrEx>
        <w:trPr>
          <w:trHeight w:val="308" w:hRule="atLeast"/>
        </w:trPr>
        <w:tc>
          <w:tcPr>
            <w:tcW w:w="15237"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注：本表反映部门本年度一般公共预算财政拨款基本支出明细情况。</w:t>
            </w:r>
          </w:p>
        </w:tc>
      </w:tr>
    </w:tbl>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tbl>
      <w:tblPr>
        <w:tblStyle w:val="13"/>
        <w:tblW w:w="15177" w:type="dxa"/>
        <w:tblInd w:w="0" w:type="dxa"/>
        <w:shd w:val="clear" w:color="auto" w:fill="auto"/>
        <w:tblLayout w:type="fixed"/>
        <w:tblCellMar>
          <w:top w:w="0" w:type="dxa"/>
          <w:left w:w="0" w:type="dxa"/>
          <w:bottom w:w="0" w:type="dxa"/>
          <w:right w:w="0" w:type="dxa"/>
        </w:tblCellMar>
      </w:tblPr>
      <w:tblGrid>
        <w:gridCol w:w="1272"/>
        <w:gridCol w:w="1005"/>
        <w:gridCol w:w="1155"/>
        <w:gridCol w:w="1275"/>
        <w:gridCol w:w="1500"/>
        <w:gridCol w:w="1215"/>
        <w:gridCol w:w="1335"/>
        <w:gridCol w:w="1095"/>
        <w:gridCol w:w="1095"/>
        <w:gridCol w:w="1410"/>
        <w:gridCol w:w="1410"/>
        <w:gridCol w:w="1410"/>
      </w:tblGrid>
      <w:tr>
        <w:tblPrEx>
          <w:shd w:val="clear" w:color="auto" w:fill="auto"/>
          <w:tblLayout w:type="fixed"/>
          <w:tblCellMar>
            <w:top w:w="0" w:type="dxa"/>
            <w:left w:w="0" w:type="dxa"/>
            <w:bottom w:w="0" w:type="dxa"/>
            <w:right w:w="0" w:type="dxa"/>
          </w:tblCellMar>
        </w:tblPrEx>
        <w:trPr>
          <w:trHeight w:val="540" w:hRule="atLeast"/>
        </w:trPr>
        <w:tc>
          <w:tcPr>
            <w:tcW w:w="1272"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100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080" w:type="dxa"/>
            <w:gridSpan w:val="8"/>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44"/>
                <w:szCs w:val="44"/>
                <w:u w:val="none"/>
                <w:lang w:val="en-US" w:eastAsia="zh-CN" w:bidi="ar"/>
              </w:rPr>
              <w:t>一般公共预算财政拨款“三公”经费支出决算表</w:t>
            </w:r>
          </w:p>
        </w:tc>
        <w:tc>
          <w:tcPr>
            <w:tcW w:w="14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127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0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5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5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3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9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9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Layout w:type="fixed"/>
          <w:tblCellMar>
            <w:top w:w="0" w:type="dxa"/>
            <w:left w:w="0" w:type="dxa"/>
            <w:bottom w:w="0" w:type="dxa"/>
            <w:right w:w="0" w:type="dxa"/>
          </w:tblCellMar>
        </w:tblPrEx>
        <w:trPr>
          <w:trHeight w:val="255" w:hRule="atLeast"/>
        </w:trPr>
        <w:tc>
          <w:tcPr>
            <w:tcW w:w="6207" w:type="dxa"/>
            <w:gridSpan w:val="5"/>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12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3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9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9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金额单位：元</w:t>
            </w:r>
          </w:p>
        </w:tc>
      </w:tr>
      <w:tr>
        <w:tblPrEx>
          <w:tblLayout w:type="fixed"/>
          <w:tblCellMar>
            <w:top w:w="0" w:type="dxa"/>
            <w:left w:w="0" w:type="dxa"/>
            <w:bottom w:w="0" w:type="dxa"/>
            <w:right w:w="0" w:type="dxa"/>
          </w:tblCellMar>
        </w:tblPrEx>
        <w:trPr>
          <w:trHeight w:val="308" w:hRule="atLeast"/>
        </w:trPr>
        <w:tc>
          <w:tcPr>
            <w:tcW w:w="7422" w:type="dxa"/>
            <w:gridSpan w:val="6"/>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755" w:type="dxa"/>
            <w:gridSpan w:val="6"/>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Layout w:type="fixed"/>
          <w:tblCellMar>
            <w:top w:w="0" w:type="dxa"/>
            <w:left w:w="0" w:type="dxa"/>
            <w:bottom w:w="0" w:type="dxa"/>
            <w:right w:w="0" w:type="dxa"/>
          </w:tblCellMar>
        </w:tblPrEx>
        <w:trPr>
          <w:trHeight w:val="308" w:hRule="atLeast"/>
        </w:trPr>
        <w:tc>
          <w:tcPr>
            <w:tcW w:w="127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00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930" w:type="dxa"/>
            <w:gridSpan w:val="3"/>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公务用车购置及运行费</w:t>
            </w:r>
          </w:p>
        </w:tc>
        <w:tc>
          <w:tcPr>
            <w:tcW w:w="121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33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0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915" w:type="dxa"/>
            <w:gridSpan w:val="3"/>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公务用车购置及运行费</w:t>
            </w:r>
          </w:p>
        </w:tc>
        <w:tc>
          <w:tcPr>
            <w:tcW w:w="141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Layout w:type="fixed"/>
          <w:tblCellMar>
            <w:top w:w="0" w:type="dxa"/>
            <w:left w:w="0" w:type="dxa"/>
            <w:bottom w:w="0" w:type="dxa"/>
            <w:right w:w="0" w:type="dxa"/>
          </w:tblCellMar>
        </w:tblPrEx>
        <w:trPr>
          <w:trHeight w:val="615" w:hRule="atLeast"/>
        </w:trPr>
        <w:tc>
          <w:tcPr>
            <w:tcW w:w="127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7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15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公务用车运行费</w:t>
            </w:r>
          </w:p>
        </w:tc>
        <w:tc>
          <w:tcPr>
            <w:tcW w:w="1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3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9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9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4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14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公务用车运行费</w:t>
            </w:r>
          </w:p>
        </w:tc>
        <w:tc>
          <w:tcPr>
            <w:tcW w:w="14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1272"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0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5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7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50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3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09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09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1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Layout w:type="fixed"/>
          <w:tblCellMar>
            <w:top w:w="0" w:type="dxa"/>
            <w:left w:w="0" w:type="dxa"/>
            <w:bottom w:w="0" w:type="dxa"/>
            <w:right w:w="0" w:type="dxa"/>
          </w:tblCellMar>
        </w:tblPrEx>
        <w:trPr>
          <w:trHeight w:val="308" w:hRule="atLeast"/>
        </w:trPr>
        <w:tc>
          <w:tcPr>
            <w:tcW w:w="127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30,218.12</w:t>
            </w:r>
          </w:p>
        </w:tc>
        <w:tc>
          <w:tcPr>
            <w:tcW w:w="10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30,218.12</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30,218.12</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30,218.12</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30,218.12</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30,218.12</w:t>
            </w:r>
          </w:p>
        </w:tc>
        <w:tc>
          <w:tcPr>
            <w:tcW w:w="14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615" w:hRule="atLeast"/>
        </w:trPr>
        <w:tc>
          <w:tcPr>
            <w:tcW w:w="15177" w:type="dxa"/>
            <w:gridSpan w:val="1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注：本表反映部门本年度“三公”经费支出预决算情况。其中：预算数为“三公”经费年初预算数，决算数是包括当年一般公共预算财政拨款和以前年度结转资金安排的实际支出。</w:t>
            </w:r>
          </w:p>
        </w:tc>
      </w:tr>
    </w:tbl>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tbl>
      <w:tblPr>
        <w:tblStyle w:val="13"/>
        <w:tblW w:w="13735" w:type="dxa"/>
        <w:tblInd w:w="0" w:type="dxa"/>
        <w:shd w:val="clear" w:color="auto" w:fill="auto"/>
        <w:tblLayout w:type="fixed"/>
        <w:tblCellMar>
          <w:top w:w="0" w:type="dxa"/>
          <w:left w:w="0" w:type="dxa"/>
          <w:bottom w:w="0" w:type="dxa"/>
          <w:right w:w="0" w:type="dxa"/>
        </w:tblCellMar>
      </w:tblPr>
      <w:tblGrid>
        <w:gridCol w:w="5230"/>
        <w:gridCol w:w="450"/>
        <w:gridCol w:w="390"/>
        <w:gridCol w:w="3480"/>
        <w:gridCol w:w="2175"/>
        <w:gridCol w:w="2010"/>
      </w:tblGrid>
      <w:tr>
        <w:tblPrEx>
          <w:shd w:val="clear" w:color="auto" w:fill="auto"/>
          <w:tblLayout w:type="fixed"/>
          <w:tblCellMar>
            <w:top w:w="0" w:type="dxa"/>
            <w:left w:w="0" w:type="dxa"/>
            <w:bottom w:w="0" w:type="dxa"/>
            <w:right w:w="0" w:type="dxa"/>
          </w:tblCellMar>
        </w:tblPrEx>
        <w:trPr>
          <w:trHeight w:val="405" w:hRule="atLeast"/>
        </w:trPr>
        <w:tc>
          <w:tcPr>
            <w:tcW w:w="5230"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6495" w:type="dxa"/>
            <w:gridSpan w:val="4"/>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一般公共预算财政拨款项目支出决算表</w:t>
            </w:r>
          </w:p>
        </w:tc>
        <w:tc>
          <w:tcPr>
            <w:tcW w:w="201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52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5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48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1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01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财决公开09表</w:t>
            </w:r>
          </w:p>
        </w:tc>
      </w:tr>
      <w:tr>
        <w:tblPrEx>
          <w:tblLayout w:type="fixed"/>
          <w:tblCellMar>
            <w:top w:w="0" w:type="dxa"/>
            <w:left w:w="0" w:type="dxa"/>
            <w:bottom w:w="0" w:type="dxa"/>
            <w:right w:w="0" w:type="dxa"/>
          </w:tblCellMar>
        </w:tblPrEx>
        <w:trPr>
          <w:trHeight w:val="255" w:hRule="atLeast"/>
        </w:trPr>
        <w:tc>
          <w:tcPr>
            <w:tcW w:w="523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45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48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1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01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6070"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348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17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201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tblPrEx>
          <w:tblLayout w:type="fixed"/>
          <w:tblCellMar>
            <w:top w:w="0" w:type="dxa"/>
            <w:left w:w="0" w:type="dxa"/>
            <w:bottom w:w="0" w:type="dxa"/>
            <w:right w:w="0" w:type="dxa"/>
          </w:tblCellMar>
        </w:tblPrEx>
        <w:trPr>
          <w:trHeight w:val="308" w:hRule="atLeast"/>
        </w:trPr>
        <w:tc>
          <w:tcPr>
            <w:tcW w:w="6070"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8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1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5230"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45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39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348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1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5230"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5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48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2.00</w:t>
            </w:r>
          </w:p>
        </w:tc>
        <w:tc>
          <w:tcPr>
            <w:tcW w:w="20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2.00</w:t>
            </w:r>
          </w:p>
        </w:tc>
      </w:tr>
      <w:tr>
        <w:tblPrEx>
          <w:tblLayout w:type="fixed"/>
          <w:tblCellMar>
            <w:top w:w="0" w:type="dxa"/>
            <w:left w:w="0" w:type="dxa"/>
            <w:bottom w:w="0" w:type="dxa"/>
            <w:right w:w="0" w:type="dxa"/>
          </w:tblCellMar>
        </w:tblPrEx>
        <w:trPr>
          <w:trHeight w:val="308" w:hRule="atLeast"/>
        </w:trPr>
        <w:tc>
          <w:tcPr>
            <w:tcW w:w="6070"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34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2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20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r>
      <w:tr>
        <w:tblPrEx>
          <w:tblLayout w:type="fixed"/>
          <w:tblCellMar>
            <w:top w:w="0" w:type="dxa"/>
            <w:left w:w="0" w:type="dxa"/>
            <w:bottom w:w="0" w:type="dxa"/>
            <w:right w:w="0" w:type="dxa"/>
          </w:tblCellMar>
        </w:tblPrEx>
        <w:trPr>
          <w:trHeight w:val="308" w:hRule="atLeast"/>
        </w:trPr>
        <w:tc>
          <w:tcPr>
            <w:tcW w:w="6070"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w:t>
            </w:r>
          </w:p>
        </w:tc>
        <w:tc>
          <w:tcPr>
            <w:tcW w:w="34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民主党派及工商联事务</w:t>
            </w:r>
          </w:p>
        </w:tc>
        <w:tc>
          <w:tcPr>
            <w:tcW w:w="2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20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r>
      <w:tr>
        <w:tblPrEx>
          <w:tblLayout w:type="fixed"/>
          <w:tblCellMar>
            <w:top w:w="0" w:type="dxa"/>
            <w:left w:w="0" w:type="dxa"/>
            <w:bottom w:w="0" w:type="dxa"/>
            <w:right w:w="0" w:type="dxa"/>
          </w:tblCellMar>
        </w:tblPrEx>
        <w:trPr>
          <w:trHeight w:val="308" w:hRule="atLeast"/>
        </w:trPr>
        <w:tc>
          <w:tcPr>
            <w:tcW w:w="6070"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2012899</w:t>
            </w:r>
          </w:p>
        </w:tc>
        <w:tc>
          <w:tcPr>
            <w:tcW w:w="34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其他民主党派及工商联事务支出</w:t>
            </w:r>
          </w:p>
        </w:tc>
        <w:tc>
          <w:tcPr>
            <w:tcW w:w="2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20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r>
      <w:tr>
        <w:tblPrEx>
          <w:tblLayout w:type="fixed"/>
          <w:tblCellMar>
            <w:top w:w="0" w:type="dxa"/>
            <w:left w:w="0" w:type="dxa"/>
            <w:bottom w:w="0" w:type="dxa"/>
            <w:right w:w="0" w:type="dxa"/>
          </w:tblCellMar>
        </w:tblPrEx>
        <w:trPr>
          <w:trHeight w:val="308" w:hRule="atLeast"/>
        </w:trPr>
        <w:tc>
          <w:tcPr>
            <w:tcW w:w="6070"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6070"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6070"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6070"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6070"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1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01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585" w:hRule="atLeast"/>
        </w:trPr>
        <w:tc>
          <w:tcPr>
            <w:tcW w:w="13735"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注：本表以“万元”为金额单位（保留两位小数），反映部门本年度一般公共预算财政拨款项目支出收支明细情况。</w:t>
            </w:r>
          </w:p>
        </w:tc>
      </w:tr>
    </w:tbl>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tbl>
      <w:tblPr>
        <w:tblStyle w:val="13"/>
        <w:tblW w:w="15207" w:type="dxa"/>
        <w:tblInd w:w="0" w:type="dxa"/>
        <w:shd w:val="clear" w:color="auto" w:fill="auto"/>
        <w:tblLayout w:type="fixed"/>
        <w:tblCellMar>
          <w:top w:w="0" w:type="dxa"/>
          <w:left w:w="0" w:type="dxa"/>
          <w:bottom w:w="0" w:type="dxa"/>
          <w:right w:w="0" w:type="dxa"/>
        </w:tblCellMar>
      </w:tblPr>
      <w:tblGrid>
        <w:gridCol w:w="327"/>
        <w:gridCol w:w="300"/>
        <w:gridCol w:w="300"/>
        <w:gridCol w:w="2355"/>
        <w:gridCol w:w="975"/>
        <w:gridCol w:w="1035"/>
        <w:gridCol w:w="1050"/>
        <w:gridCol w:w="1470"/>
        <w:gridCol w:w="1515"/>
        <w:gridCol w:w="1275"/>
        <w:gridCol w:w="1170"/>
        <w:gridCol w:w="1920"/>
        <w:gridCol w:w="1515"/>
      </w:tblGrid>
      <w:tr>
        <w:tblPrEx>
          <w:shd w:val="clear" w:color="auto" w:fill="auto"/>
          <w:tblLayout w:type="fixed"/>
          <w:tblCellMar>
            <w:top w:w="0" w:type="dxa"/>
            <w:left w:w="0" w:type="dxa"/>
            <w:bottom w:w="0" w:type="dxa"/>
            <w:right w:w="0" w:type="dxa"/>
          </w:tblCellMar>
        </w:tblPrEx>
        <w:trPr>
          <w:trHeight w:val="405" w:hRule="atLeast"/>
        </w:trPr>
        <w:tc>
          <w:tcPr>
            <w:tcW w:w="327"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3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35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5310" w:type="dxa"/>
            <w:gridSpan w:val="4"/>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收入决算表</w:t>
            </w:r>
          </w:p>
        </w:tc>
        <w:tc>
          <w:tcPr>
            <w:tcW w:w="11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92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5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32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35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5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5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92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51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财决公开02表</w:t>
            </w:r>
          </w:p>
        </w:tc>
      </w:tr>
      <w:tr>
        <w:tblPrEx>
          <w:tblLayout w:type="fixed"/>
          <w:tblCellMar>
            <w:top w:w="0" w:type="dxa"/>
            <w:left w:w="0" w:type="dxa"/>
            <w:bottom w:w="0" w:type="dxa"/>
            <w:right w:w="0" w:type="dxa"/>
          </w:tblCellMar>
        </w:tblPrEx>
        <w:trPr>
          <w:trHeight w:val="255" w:hRule="atLeast"/>
        </w:trPr>
        <w:tc>
          <w:tcPr>
            <w:tcW w:w="5292" w:type="dxa"/>
            <w:gridSpan w:val="6"/>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105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4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5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17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92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51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927"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355" w:type="dxa"/>
            <w:vMerge w:val="restart"/>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97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本年收入合计</w:t>
            </w:r>
          </w:p>
        </w:tc>
        <w:tc>
          <w:tcPr>
            <w:tcW w:w="103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一般公共预算财政拨款收入</w:t>
            </w:r>
          </w:p>
        </w:tc>
        <w:tc>
          <w:tcPr>
            <w:tcW w:w="105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政府性基金预算财政拨款收入</w:t>
            </w:r>
          </w:p>
        </w:tc>
        <w:tc>
          <w:tcPr>
            <w:tcW w:w="147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国有资本经营预算财政拨款收入</w:t>
            </w:r>
          </w:p>
        </w:tc>
        <w:tc>
          <w:tcPr>
            <w:tcW w:w="151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127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117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192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151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r>
      <w:tr>
        <w:tblPrEx>
          <w:tblLayout w:type="fixed"/>
          <w:tblCellMar>
            <w:top w:w="0" w:type="dxa"/>
            <w:left w:w="0" w:type="dxa"/>
            <w:bottom w:w="0" w:type="dxa"/>
            <w:right w:w="0" w:type="dxa"/>
          </w:tblCellMar>
        </w:tblPrEx>
        <w:trPr>
          <w:trHeight w:val="308" w:hRule="atLeast"/>
        </w:trPr>
        <w:tc>
          <w:tcPr>
            <w:tcW w:w="927"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55" w:type="dxa"/>
            <w:vMerge w:val="continue"/>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7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1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1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927"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55" w:type="dxa"/>
            <w:vMerge w:val="continue"/>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7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1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1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927"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55" w:type="dxa"/>
            <w:vMerge w:val="continue"/>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7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1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1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327"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300"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300"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23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97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3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05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4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5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7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7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92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5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r>
      <w:tr>
        <w:tblPrEx>
          <w:tblLayout w:type="fixed"/>
          <w:tblCellMar>
            <w:top w:w="0" w:type="dxa"/>
            <w:left w:w="0" w:type="dxa"/>
            <w:bottom w:w="0" w:type="dxa"/>
            <w:right w:w="0" w:type="dxa"/>
          </w:tblCellMar>
        </w:tblPrEx>
        <w:trPr>
          <w:trHeight w:val="308" w:hRule="atLeast"/>
        </w:trPr>
        <w:tc>
          <w:tcPr>
            <w:tcW w:w="327"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5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143.68</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140.67</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3.01</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23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9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108.08</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w:t>
            </w:r>
          </w:p>
        </w:tc>
        <w:tc>
          <w:tcPr>
            <w:tcW w:w="23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民主党派及工商联事务</w:t>
            </w:r>
          </w:p>
        </w:tc>
        <w:tc>
          <w:tcPr>
            <w:tcW w:w="9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108.08</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2012801</w:t>
            </w:r>
          </w:p>
        </w:tc>
        <w:tc>
          <w:tcPr>
            <w:tcW w:w="23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9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103.08</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0.01</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2012899</w:t>
            </w:r>
          </w:p>
        </w:tc>
        <w:tc>
          <w:tcPr>
            <w:tcW w:w="23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其他民主党派及工商联事务支出</w:t>
            </w:r>
          </w:p>
        </w:tc>
        <w:tc>
          <w:tcPr>
            <w:tcW w:w="9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23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9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23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行政事业单位离退休</w:t>
            </w:r>
          </w:p>
        </w:tc>
        <w:tc>
          <w:tcPr>
            <w:tcW w:w="9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23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9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23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机关事业单位职业年金缴费支出★</w:t>
            </w:r>
          </w:p>
        </w:tc>
        <w:tc>
          <w:tcPr>
            <w:tcW w:w="9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23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医疗卫生与计划生育支出</w:t>
            </w:r>
          </w:p>
        </w:tc>
        <w:tc>
          <w:tcPr>
            <w:tcW w:w="9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23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9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23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9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2101103</w:t>
            </w:r>
          </w:p>
        </w:tc>
        <w:tc>
          <w:tcPr>
            <w:tcW w:w="23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w:t>
            </w:r>
          </w:p>
        </w:tc>
        <w:tc>
          <w:tcPr>
            <w:tcW w:w="9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23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9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23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9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927"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235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9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5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15207" w:type="dxa"/>
            <w:gridSpan w:val="13"/>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注：本表以“万元”为金额单位（保留两位小数），反映部门本年度取得的各项收入情况。</w:t>
            </w:r>
          </w:p>
        </w:tc>
      </w:tr>
    </w:tbl>
    <w:p>
      <w:pPr>
        <w:numPr>
          <w:ilvl w:val="0"/>
          <w:numId w:val="0"/>
        </w:numPr>
        <w:rPr>
          <w:rFonts w:hint="eastAsia" w:ascii="仿宋" w:hAnsi="仿宋" w:eastAsia="仿宋" w:cs="仿宋"/>
          <w:sz w:val="32"/>
          <w:szCs w:val="32"/>
          <w:lang w:eastAsia="zh-CN"/>
        </w:rPr>
      </w:pPr>
    </w:p>
    <w:tbl>
      <w:tblPr>
        <w:tblStyle w:val="13"/>
        <w:tblW w:w="14937" w:type="dxa"/>
        <w:tblInd w:w="0" w:type="dxa"/>
        <w:shd w:val="clear" w:color="auto" w:fill="auto"/>
        <w:tblLayout w:type="fixed"/>
        <w:tblCellMar>
          <w:top w:w="0" w:type="dxa"/>
          <w:left w:w="0" w:type="dxa"/>
          <w:bottom w:w="0" w:type="dxa"/>
          <w:right w:w="0" w:type="dxa"/>
        </w:tblCellMar>
      </w:tblPr>
      <w:tblGrid>
        <w:gridCol w:w="240"/>
        <w:gridCol w:w="267"/>
        <w:gridCol w:w="300"/>
        <w:gridCol w:w="1545"/>
        <w:gridCol w:w="615"/>
        <w:gridCol w:w="960"/>
        <w:gridCol w:w="1035"/>
        <w:gridCol w:w="1290"/>
        <w:gridCol w:w="1245"/>
        <w:gridCol w:w="1035"/>
        <w:gridCol w:w="1335"/>
        <w:gridCol w:w="1260"/>
        <w:gridCol w:w="1215"/>
        <w:gridCol w:w="1275"/>
        <w:gridCol w:w="1320"/>
      </w:tblGrid>
      <w:tr>
        <w:tblPrEx>
          <w:shd w:val="clear" w:color="auto" w:fill="auto"/>
          <w:tblLayout w:type="fixed"/>
          <w:tblCellMar>
            <w:top w:w="0" w:type="dxa"/>
            <w:left w:w="0" w:type="dxa"/>
            <w:bottom w:w="0" w:type="dxa"/>
            <w:right w:w="0" w:type="dxa"/>
          </w:tblCellMar>
        </w:tblPrEx>
        <w:trPr>
          <w:trHeight w:val="405" w:hRule="atLeast"/>
        </w:trPr>
        <w:tc>
          <w:tcPr>
            <w:tcW w:w="240"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26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5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6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6165" w:type="dxa"/>
            <w:gridSpan w:val="5"/>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财政拨款支出决算明细表</w:t>
            </w:r>
          </w:p>
        </w:tc>
        <w:tc>
          <w:tcPr>
            <w:tcW w:w="12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32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24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6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5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6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9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3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32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财决公开05表</w:t>
            </w:r>
          </w:p>
        </w:tc>
      </w:tr>
      <w:tr>
        <w:tblPrEx>
          <w:tblLayout w:type="fixed"/>
          <w:tblCellMar>
            <w:top w:w="0" w:type="dxa"/>
            <w:left w:w="0" w:type="dxa"/>
            <w:bottom w:w="0" w:type="dxa"/>
            <w:right w:w="0" w:type="dxa"/>
          </w:tblCellMar>
        </w:tblPrEx>
        <w:trPr>
          <w:trHeight w:val="255" w:hRule="atLeast"/>
        </w:trPr>
        <w:tc>
          <w:tcPr>
            <w:tcW w:w="6252" w:type="dxa"/>
            <w:gridSpan w:val="8"/>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124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0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3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21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595"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492" w:hRule="atLeast"/>
        </w:trPr>
        <w:tc>
          <w:tcPr>
            <w:tcW w:w="2352" w:type="dxa"/>
            <w:gridSpan w:val="4"/>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    目</w:t>
            </w:r>
          </w:p>
        </w:tc>
        <w:tc>
          <w:tcPr>
            <w:tcW w:w="615" w:type="dxa"/>
            <w:vMerge w:val="restart"/>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960" w:type="dxa"/>
            <w:vMerge w:val="restart"/>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3570"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3630"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3810"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tblPrEx>
          <w:tblLayout w:type="fixed"/>
          <w:tblCellMar>
            <w:top w:w="0" w:type="dxa"/>
            <w:left w:w="0" w:type="dxa"/>
            <w:bottom w:w="0" w:type="dxa"/>
            <w:right w:w="0" w:type="dxa"/>
          </w:tblCellMar>
        </w:tblPrEx>
        <w:trPr>
          <w:trHeight w:val="462" w:hRule="atLeast"/>
        </w:trPr>
        <w:tc>
          <w:tcPr>
            <w:tcW w:w="807" w:type="dxa"/>
            <w:gridSpan w:val="3"/>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经济分类科目编码</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615"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9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24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03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33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2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21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7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32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tblPrEx>
          <w:tblLayout w:type="fixed"/>
          <w:tblCellMar>
            <w:top w:w="0" w:type="dxa"/>
            <w:left w:w="0" w:type="dxa"/>
            <w:bottom w:w="0" w:type="dxa"/>
            <w:right w:w="0" w:type="dxa"/>
          </w:tblCellMar>
        </w:tblPrEx>
        <w:trPr>
          <w:trHeight w:val="308" w:hRule="atLeast"/>
        </w:trPr>
        <w:tc>
          <w:tcPr>
            <w:tcW w:w="807" w:type="dxa"/>
            <w:gridSpan w:val="3"/>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140.67</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140.67</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138.67</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301</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工资福利支出</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2</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129.95</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129.95</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129.95</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基本工资</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28.77</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28.77</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28.77</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津贴补贴</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50.17</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50.17</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50.17</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奖金</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13.53</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13.53</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13.53</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伙食补助费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绩效工资</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机关事业单位基本养老保险费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职业年金缴费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职工基本医疗保险缴费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公务员医疗补助缴费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其他社会保障缴费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住房公积金</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0.44</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0.44</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0.44</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其他工资福利支出</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302</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商品和服务支出</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10.22</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10.22</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8.72</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办公费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印刷费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1.09</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1.09</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1.09</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咨询费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手续费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0.07</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0.07</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0.07</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邮电费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取暖费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物业管理费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差旅费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1.85</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1.85</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1.85</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因公出国（境）费用</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维修（护）费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租赁费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会议费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培训费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专用材料费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被装购置费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专用燃料费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劳务费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委托业务费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工会经费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福利费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公务用车运行维护费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2.92</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其他交通费用</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税金及附加费用</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其他商品和服务支出</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303</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对个人和家庭的补助</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离休费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退休费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退职（役）费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抚恤金</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生活补助</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救济费</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医疗费补助</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助学金</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奖励金</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个人农业生产补贴</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54</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其他个人和家庭的补助支出</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55</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307</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债务利息及费用支出</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国内债务付息</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57</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国外债务付息</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58</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国内债务发行费用</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国外债务发行费用</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309</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资本性支出（基本建设）</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30901</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房屋建筑物购建</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62</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30902</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办公设备购置</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63</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30903</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专用设备购置</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30905</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基础设施建设</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65</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30906</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大型修缮</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66</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30907</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信息网络及软件购置更新</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67</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30908</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物资储备</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68</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30913</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69</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30919</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其他交通工具购置</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30921</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文物和陈列品购置</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71</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30922</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无形资产购置</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72</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30999</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其他基本建设支出</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73</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310</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资本性支出</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74</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房屋建筑物购建</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办公设备购置</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76</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专用设备购置</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77</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基础设施建设</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78</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大型修缮</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79</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信息网络及软件购置更新</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物资储备</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81</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土地补偿</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82</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安置补助</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83</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地上附着物和青苗补偿</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84</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拆迁补偿</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86</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31018</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其他交通工具购置</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87</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文物和陈列品购置</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无形资产购置</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89</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其他资本性支出</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311</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对企业补助（基本建设）</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91</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31101</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资本金注入</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92</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31199</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其他对企业补助</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93</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312</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对企业补助</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94</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资本金注入</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政府投资基金股权投资</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费用补贴</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利息补贴</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312099</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其他对企业补助</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313</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对社会保障基金补助</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31302</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对社会保险基金补助</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101</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31303</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补充全国社会保障基金</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399</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其他支出</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39906</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赠与</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104</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国家赔偿费用支出</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对民间非营利组织和群众性自治组织补贴</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807"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154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6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107</w:t>
            </w:r>
          </w:p>
        </w:tc>
        <w:tc>
          <w:tcPr>
            <w:tcW w:w="9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3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497"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注：本表以“万元”为金额单位（保留两位小数），反映部门本年度财政拨款实际支出情况。</w:t>
            </w:r>
          </w:p>
        </w:tc>
        <w:tc>
          <w:tcPr>
            <w:tcW w:w="1035" w:type="dxa"/>
            <w:tcBorders>
              <w:top w:val="nil"/>
              <w:left w:val="nil"/>
              <w:bottom w:val="nil"/>
              <w:right w:val="nil"/>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35" w:type="dxa"/>
            <w:tcBorders>
              <w:top w:val="nil"/>
              <w:left w:val="nil"/>
              <w:bottom w:val="nil"/>
              <w:right w:val="nil"/>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60" w:type="dxa"/>
            <w:tcBorders>
              <w:top w:val="nil"/>
              <w:left w:val="nil"/>
              <w:bottom w:val="nil"/>
              <w:right w:val="nil"/>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15" w:type="dxa"/>
            <w:tcBorders>
              <w:top w:val="nil"/>
              <w:left w:val="nil"/>
              <w:bottom w:val="nil"/>
              <w:right w:val="nil"/>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75" w:type="dxa"/>
            <w:tcBorders>
              <w:top w:val="nil"/>
              <w:left w:val="nil"/>
              <w:bottom w:val="nil"/>
              <w:right w:val="nil"/>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20" w:type="dxa"/>
            <w:tcBorders>
              <w:top w:val="nil"/>
              <w:left w:val="nil"/>
              <w:bottom w:val="nil"/>
              <w:right w:val="nil"/>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bl>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tbl>
      <w:tblPr>
        <w:tblStyle w:val="13"/>
        <w:tblW w:w="14979" w:type="dxa"/>
        <w:tblInd w:w="0" w:type="dxa"/>
        <w:shd w:val="clear" w:color="auto" w:fill="auto"/>
        <w:tblLayout w:type="fixed"/>
        <w:tblCellMar>
          <w:top w:w="0" w:type="dxa"/>
          <w:left w:w="0" w:type="dxa"/>
          <w:bottom w:w="0" w:type="dxa"/>
          <w:right w:w="0" w:type="dxa"/>
        </w:tblCellMar>
      </w:tblPr>
      <w:tblGrid>
        <w:gridCol w:w="357"/>
        <w:gridCol w:w="375"/>
        <w:gridCol w:w="3"/>
        <w:gridCol w:w="837"/>
        <w:gridCol w:w="1891"/>
        <w:gridCol w:w="1800"/>
        <w:gridCol w:w="434"/>
        <w:gridCol w:w="301"/>
        <w:gridCol w:w="2174"/>
        <w:gridCol w:w="60"/>
        <w:gridCol w:w="1740"/>
        <w:gridCol w:w="735"/>
        <w:gridCol w:w="345"/>
        <w:gridCol w:w="2112"/>
        <w:gridCol w:w="824"/>
        <w:gridCol w:w="991"/>
      </w:tblGrid>
      <w:tr>
        <w:tblPrEx>
          <w:shd w:val="clear" w:color="auto" w:fill="auto"/>
          <w:tblLayout w:type="fixed"/>
          <w:tblCellMar>
            <w:top w:w="0" w:type="dxa"/>
            <w:left w:w="0" w:type="dxa"/>
            <w:bottom w:w="0" w:type="dxa"/>
            <w:right w:w="0" w:type="dxa"/>
          </w:tblCellMar>
        </w:tblPrEx>
        <w:trPr>
          <w:gridAfter w:val="1"/>
          <w:wAfter w:w="991" w:type="dxa"/>
          <w:trHeight w:val="405" w:hRule="atLeast"/>
        </w:trPr>
        <w:tc>
          <w:tcPr>
            <w:tcW w:w="357"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3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840"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480" w:type="dxa"/>
            <w:gridSpan w:val="9"/>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一般公共预算财政拨款支出决算表</w:t>
            </w:r>
          </w:p>
        </w:tc>
        <w:tc>
          <w:tcPr>
            <w:tcW w:w="2936"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gridAfter w:val="1"/>
          <w:wAfter w:w="991" w:type="dxa"/>
          <w:trHeight w:val="255" w:hRule="atLeast"/>
        </w:trPr>
        <w:tc>
          <w:tcPr>
            <w:tcW w:w="35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37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840"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4125" w:type="dxa"/>
            <w:gridSpan w:val="3"/>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535" w:type="dxa"/>
            <w:gridSpan w:val="3"/>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820" w:type="dxa"/>
            <w:gridSpan w:val="3"/>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936"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财决公开06表</w:t>
            </w:r>
          </w:p>
        </w:tc>
      </w:tr>
      <w:tr>
        <w:tblPrEx>
          <w:tblLayout w:type="fixed"/>
          <w:tblCellMar>
            <w:top w:w="0" w:type="dxa"/>
            <w:left w:w="0" w:type="dxa"/>
            <w:bottom w:w="0" w:type="dxa"/>
            <w:right w:w="0" w:type="dxa"/>
          </w:tblCellMar>
        </w:tblPrEx>
        <w:trPr>
          <w:gridAfter w:val="1"/>
          <w:wAfter w:w="991" w:type="dxa"/>
          <w:trHeight w:val="255" w:hRule="atLeast"/>
        </w:trPr>
        <w:tc>
          <w:tcPr>
            <w:tcW w:w="5697" w:type="dxa"/>
            <w:gridSpan w:val="7"/>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2535" w:type="dxa"/>
            <w:gridSpan w:val="3"/>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820" w:type="dxa"/>
            <w:gridSpan w:val="3"/>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936"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gridAfter w:val="1"/>
          <w:wAfter w:w="991" w:type="dxa"/>
          <w:trHeight w:val="308" w:hRule="atLeast"/>
        </w:trPr>
        <w:tc>
          <w:tcPr>
            <w:tcW w:w="1572" w:type="dxa"/>
            <w:gridSpan w:val="4"/>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w:t>
            </w:r>
          </w:p>
        </w:tc>
        <w:tc>
          <w:tcPr>
            <w:tcW w:w="4125" w:type="dxa"/>
            <w:gridSpan w:val="3"/>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535" w:type="dxa"/>
            <w:gridSpan w:val="3"/>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2820" w:type="dxa"/>
            <w:gridSpan w:val="3"/>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2936" w:type="dxa"/>
            <w:gridSpan w:val="2"/>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tblPrEx>
          <w:tblLayout w:type="fixed"/>
          <w:tblCellMar>
            <w:top w:w="0" w:type="dxa"/>
            <w:left w:w="0" w:type="dxa"/>
            <w:bottom w:w="0" w:type="dxa"/>
            <w:right w:w="0" w:type="dxa"/>
          </w:tblCellMar>
        </w:tblPrEx>
        <w:trPr>
          <w:gridAfter w:val="1"/>
          <w:wAfter w:w="991" w:type="dxa"/>
          <w:trHeight w:val="277" w:hRule="atLeast"/>
        </w:trPr>
        <w:tc>
          <w:tcPr>
            <w:tcW w:w="1572" w:type="dxa"/>
            <w:gridSpan w:val="4"/>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25" w:type="dxa"/>
            <w:gridSpan w:val="3"/>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35" w:type="dxa"/>
            <w:gridSpan w:val="3"/>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20" w:type="dxa"/>
            <w:gridSpan w:val="3"/>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36"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gridAfter w:val="1"/>
          <w:wAfter w:w="991" w:type="dxa"/>
          <w:trHeight w:val="615" w:hRule="atLeast"/>
        </w:trPr>
        <w:tc>
          <w:tcPr>
            <w:tcW w:w="357"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37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840"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412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3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20"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36" w:type="dxa"/>
            <w:gridSpan w:val="2"/>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gridAfter w:val="1"/>
          <w:wAfter w:w="991" w:type="dxa"/>
          <w:trHeight w:val="308" w:hRule="atLeast"/>
        </w:trPr>
        <w:tc>
          <w:tcPr>
            <w:tcW w:w="357"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40"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25" w:type="dxa"/>
            <w:gridSpan w:val="3"/>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53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140.67</w:t>
            </w:r>
          </w:p>
        </w:tc>
        <w:tc>
          <w:tcPr>
            <w:tcW w:w="282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138.67</w:t>
            </w:r>
          </w:p>
        </w:tc>
        <w:tc>
          <w:tcPr>
            <w:tcW w:w="29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2.00</w:t>
            </w:r>
          </w:p>
        </w:tc>
      </w:tr>
      <w:tr>
        <w:tblPrEx>
          <w:tblLayout w:type="fixed"/>
          <w:tblCellMar>
            <w:top w:w="0" w:type="dxa"/>
            <w:left w:w="0" w:type="dxa"/>
            <w:bottom w:w="0" w:type="dxa"/>
            <w:right w:w="0" w:type="dxa"/>
          </w:tblCellMar>
        </w:tblPrEx>
        <w:trPr>
          <w:gridAfter w:val="1"/>
          <w:wAfter w:w="991" w:type="dxa"/>
          <w:trHeight w:val="308" w:hRule="atLeast"/>
        </w:trPr>
        <w:tc>
          <w:tcPr>
            <w:tcW w:w="157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412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253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282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29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r>
      <w:tr>
        <w:tblPrEx>
          <w:tblLayout w:type="fixed"/>
          <w:tblCellMar>
            <w:top w:w="0" w:type="dxa"/>
            <w:left w:w="0" w:type="dxa"/>
            <w:bottom w:w="0" w:type="dxa"/>
            <w:right w:w="0" w:type="dxa"/>
          </w:tblCellMar>
        </w:tblPrEx>
        <w:trPr>
          <w:gridAfter w:val="1"/>
          <w:wAfter w:w="991" w:type="dxa"/>
          <w:trHeight w:val="308" w:hRule="atLeast"/>
        </w:trPr>
        <w:tc>
          <w:tcPr>
            <w:tcW w:w="157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w:t>
            </w:r>
          </w:p>
        </w:tc>
        <w:tc>
          <w:tcPr>
            <w:tcW w:w="412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民主党派及工商联事务</w:t>
            </w:r>
          </w:p>
        </w:tc>
        <w:tc>
          <w:tcPr>
            <w:tcW w:w="253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105.07</w:t>
            </w:r>
          </w:p>
        </w:tc>
        <w:tc>
          <w:tcPr>
            <w:tcW w:w="282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29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r>
      <w:tr>
        <w:tblPrEx>
          <w:tblLayout w:type="fixed"/>
          <w:tblCellMar>
            <w:top w:w="0" w:type="dxa"/>
            <w:left w:w="0" w:type="dxa"/>
            <w:bottom w:w="0" w:type="dxa"/>
            <w:right w:w="0" w:type="dxa"/>
          </w:tblCellMar>
        </w:tblPrEx>
        <w:trPr>
          <w:gridAfter w:val="1"/>
          <w:wAfter w:w="991" w:type="dxa"/>
          <w:trHeight w:val="308" w:hRule="atLeast"/>
        </w:trPr>
        <w:tc>
          <w:tcPr>
            <w:tcW w:w="157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2012801</w:t>
            </w:r>
          </w:p>
        </w:tc>
        <w:tc>
          <w:tcPr>
            <w:tcW w:w="412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253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282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103.07</w:t>
            </w:r>
          </w:p>
        </w:tc>
        <w:tc>
          <w:tcPr>
            <w:tcW w:w="29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gridAfter w:val="1"/>
          <w:wAfter w:w="991" w:type="dxa"/>
          <w:trHeight w:val="308" w:hRule="atLeast"/>
        </w:trPr>
        <w:tc>
          <w:tcPr>
            <w:tcW w:w="157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2012899</w:t>
            </w:r>
          </w:p>
        </w:tc>
        <w:tc>
          <w:tcPr>
            <w:tcW w:w="412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其他民主党派及工商联事务支出</w:t>
            </w:r>
          </w:p>
        </w:tc>
        <w:tc>
          <w:tcPr>
            <w:tcW w:w="253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282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9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r>
      <w:tr>
        <w:tblPrEx>
          <w:tblLayout w:type="fixed"/>
          <w:tblCellMar>
            <w:top w:w="0" w:type="dxa"/>
            <w:left w:w="0" w:type="dxa"/>
            <w:bottom w:w="0" w:type="dxa"/>
            <w:right w:w="0" w:type="dxa"/>
          </w:tblCellMar>
        </w:tblPrEx>
        <w:trPr>
          <w:gridAfter w:val="1"/>
          <w:wAfter w:w="991" w:type="dxa"/>
          <w:trHeight w:val="308" w:hRule="atLeast"/>
        </w:trPr>
        <w:tc>
          <w:tcPr>
            <w:tcW w:w="157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412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253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282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29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gridAfter w:val="1"/>
          <w:wAfter w:w="991" w:type="dxa"/>
          <w:trHeight w:val="308" w:hRule="atLeast"/>
        </w:trPr>
        <w:tc>
          <w:tcPr>
            <w:tcW w:w="157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412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行政事业单位离退休</w:t>
            </w:r>
          </w:p>
        </w:tc>
        <w:tc>
          <w:tcPr>
            <w:tcW w:w="253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282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29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gridAfter w:val="1"/>
          <w:wAfter w:w="991" w:type="dxa"/>
          <w:trHeight w:val="308" w:hRule="atLeast"/>
        </w:trPr>
        <w:tc>
          <w:tcPr>
            <w:tcW w:w="157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412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253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282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29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gridAfter w:val="1"/>
          <w:wAfter w:w="991" w:type="dxa"/>
          <w:trHeight w:val="308" w:hRule="atLeast"/>
        </w:trPr>
        <w:tc>
          <w:tcPr>
            <w:tcW w:w="157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2080506</w:t>
            </w:r>
          </w:p>
        </w:tc>
        <w:tc>
          <w:tcPr>
            <w:tcW w:w="412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机关事业单位职业年金缴费支出★</w:t>
            </w:r>
          </w:p>
        </w:tc>
        <w:tc>
          <w:tcPr>
            <w:tcW w:w="253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282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29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gridAfter w:val="1"/>
          <w:wAfter w:w="991" w:type="dxa"/>
          <w:trHeight w:val="308" w:hRule="atLeast"/>
        </w:trPr>
        <w:tc>
          <w:tcPr>
            <w:tcW w:w="157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412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医疗卫生与计划生育支出</w:t>
            </w:r>
          </w:p>
        </w:tc>
        <w:tc>
          <w:tcPr>
            <w:tcW w:w="253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282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29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gridAfter w:val="1"/>
          <w:wAfter w:w="991" w:type="dxa"/>
          <w:trHeight w:val="308" w:hRule="atLeast"/>
        </w:trPr>
        <w:tc>
          <w:tcPr>
            <w:tcW w:w="157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412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253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282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w:t>
            </w:r>
          </w:p>
        </w:tc>
        <w:tc>
          <w:tcPr>
            <w:tcW w:w="29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gridAfter w:val="1"/>
          <w:wAfter w:w="991" w:type="dxa"/>
          <w:trHeight w:val="308" w:hRule="atLeast"/>
        </w:trPr>
        <w:tc>
          <w:tcPr>
            <w:tcW w:w="157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412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253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282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29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gridAfter w:val="1"/>
          <w:wAfter w:w="991" w:type="dxa"/>
          <w:trHeight w:val="308" w:hRule="atLeast"/>
        </w:trPr>
        <w:tc>
          <w:tcPr>
            <w:tcW w:w="157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2101103</w:t>
            </w:r>
          </w:p>
        </w:tc>
        <w:tc>
          <w:tcPr>
            <w:tcW w:w="412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w:t>
            </w:r>
          </w:p>
        </w:tc>
        <w:tc>
          <w:tcPr>
            <w:tcW w:w="253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282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29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gridAfter w:val="1"/>
          <w:wAfter w:w="991" w:type="dxa"/>
          <w:trHeight w:val="308" w:hRule="atLeast"/>
        </w:trPr>
        <w:tc>
          <w:tcPr>
            <w:tcW w:w="157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412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253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282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29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gridAfter w:val="1"/>
          <w:wAfter w:w="991" w:type="dxa"/>
          <w:trHeight w:val="308" w:hRule="atLeast"/>
        </w:trPr>
        <w:tc>
          <w:tcPr>
            <w:tcW w:w="157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412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253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282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29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gridAfter w:val="1"/>
          <w:wAfter w:w="991" w:type="dxa"/>
          <w:trHeight w:val="308" w:hRule="atLeast"/>
        </w:trPr>
        <w:tc>
          <w:tcPr>
            <w:tcW w:w="1572"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412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53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2820"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29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gridAfter w:val="1"/>
          <w:wAfter w:w="991" w:type="dxa"/>
          <w:trHeight w:val="308" w:hRule="atLeast"/>
        </w:trPr>
        <w:tc>
          <w:tcPr>
            <w:tcW w:w="13988" w:type="dxa"/>
            <w:gridSpan w:val="15"/>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注：本表以“万元”为金额单位（保留两位小数），反映部门本年度一般公共预算财政拨款实际支出情况。</w:t>
            </w:r>
          </w:p>
        </w:tc>
      </w:tr>
      <w:tr>
        <w:tblPrEx>
          <w:tblLayout w:type="fixed"/>
          <w:tblCellMar>
            <w:top w:w="0" w:type="dxa"/>
            <w:left w:w="0" w:type="dxa"/>
            <w:bottom w:w="0" w:type="dxa"/>
            <w:right w:w="0" w:type="dxa"/>
          </w:tblCellMar>
        </w:tblPrEx>
        <w:trPr>
          <w:trHeight w:val="405" w:hRule="atLeast"/>
        </w:trPr>
        <w:tc>
          <w:tcPr>
            <w:tcW w:w="735" w:type="dxa"/>
            <w:gridSpan w:val="3"/>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2728"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9701" w:type="dxa"/>
            <w:gridSpan w:val="9"/>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一般公共预算财政拨款基本支出决算表</w:t>
            </w:r>
          </w:p>
        </w:tc>
        <w:tc>
          <w:tcPr>
            <w:tcW w:w="1815"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735" w:type="dxa"/>
            <w:gridSpan w:val="3"/>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728"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35"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174"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457"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15"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财决公开08表</w:t>
            </w:r>
          </w:p>
        </w:tc>
      </w:tr>
      <w:tr>
        <w:tblPrEx>
          <w:tblLayout w:type="fixed"/>
          <w:tblCellMar>
            <w:top w:w="0" w:type="dxa"/>
            <w:left w:w="0" w:type="dxa"/>
            <w:bottom w:w="0" w:type="dxa"/>
            <w:right w:w="0" w:type="dxa"/>
          </w:tblCellMar>
        </w:tblPrEx>
        <w:trPr>
          <w:trHeight w:val="255" w:hRule="atLeast"/>
        </w:trPr>
        <w:tc>
          <w:tcPr>
            <w:tcW w:w="8172" w:type="dxa"/>
            <w:gridSpan w:val="9"/>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1800"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73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457" w:type="dxa"/>
            <w:gridSpan w:val="2"/>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815"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308" w:hRule="atLeast"/>
        </w:trPr>
        <w:tc>
          <w:tcPr>
            <w:tcW w:w="5263" w:type="dxa"/>
            <w:gridSpan w:val="6"/>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9716" w:type="dxa"/>
            <w:gridSpan w:val="10"/>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tblPrEx>
          <w:tblLayout w:type="fixed"/>
          <w:tblCellMar>
            <w:top w:w="0" w:type="dxa"/>
            <w:left w:w="0" w:type="dxa"/>
            <w:bottom w:w="0" w:type="dxa"/>
            <w:right w:w="0" w:type="dxa"/>
          </w:tblCellMar>
        </w:tblPrEx>
        <w:trPr>
          <w:trHeight w:val="308" w:hRule="atLeast"/>
        </w:trPr>
        <w:tc>
          <w:tcPr>
            <w:tcW w:w="735" w:type="dxa"/>
            <w:gridSpan w:val="3"/>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728"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80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735"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17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800"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73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457"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815"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r>
      <w:tr>
        <w:tblPrEx>
          <w:tblLayout w:type="fixed"/>
          <w:tblCellMar>
            <w:top w:w="0" w:type="dxa"/>
            <w:left w:w="0" w:type="dxa"/>
            <w:bottom w:w="0" w:type="dxa"/>
            <w:right w:w="0" w:type="dxa"/>
          </w:tblCellMar>
        </w:tblPrEx>
        <w:trPr>
          <w:trHeight w:val="308" w:hRule="atLeast"/>
        </w:trPr>
        <w:tc>
          <w:tcPr>
            <w:tcW w:w="735" w:type="dxa"/>
            <w:gridSpan w:val="3"/>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28"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35"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7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3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457"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15"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301</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工资福利支出</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129.95</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302</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商品和服务支出</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8.72</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307</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债务利息及费用支出</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基本工资</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28.77</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办公费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国内债务付息</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津贴补贴</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50.17</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印刷费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1.09</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国外债务付息</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奖金</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13.53</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咨询费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国内债务发行费用</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伙食补助费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手续费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0.07</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国外债务发行费用</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绩效工资</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310</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资本性支出</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机关事业单位基本养老保险费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14.64</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房屋建筑物购建</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职业年金缴费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5.86</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邮电费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办公设备购置</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职工基本医疗保险缴费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4.85</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取暖费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专用设备购置</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公务员医疗补助缴费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物业管理费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基础设施建设</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其他社会保障缴费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差旅费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1.85</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大型修缮</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住房公积金</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因公出国（境）费用</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信息网络及软件购置更新</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0.44</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维修（护）费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物资储备</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其他工资福利支出</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租赁费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土地补偿</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303</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对个人和家庭的补助</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会议费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安置补助</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离休费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培训费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地上附着物和青苗补偿</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退休费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拆迁补偿</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3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退职（役）费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专用材料费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抚恤金</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被装购置费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31018</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其他交通工具购置</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生活补助</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专用燃料费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文物和陈列品购置</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救济费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劳务费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无形资产购置</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医疗费补助</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委托业务费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其他资本性支出</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助学金</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工会经费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312</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对企业补助</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奖励金</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福利费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资本金注入</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个人农业生产补贴</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公务用车运行维护费</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2.92</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政府投资基金股权投资</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其他个人和家庭的补助支出</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其他交通费用</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费用补贴</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税金及附加费用</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利息补贴</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其他商品和服务支出</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312099</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其他对企业补助</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399</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其他支出</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39906</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赠与</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39907</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国家赔偿费用支出</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39908</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对民间非营利组织和群众性自治组织补贴</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gridSpan w:val="3"/>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72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17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39999</w:t>
            </w:r>
          </w:p>
        </w:tc>
        <w:tc>
          <w:tcPr>
            <w:tcW w:w="245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3463" w:type="dxa"/>
            <w:gridSpan w:val="5"/>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人员经费合计</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129.95</w:t>
            </w:r>
          </w:p>
        </w:tc>
        <w:tc>
          <w:tcPr>
            <w:tcW w:w="7901" w:type="dxa"/>
            <w:gridSpan w:val="8"/>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公用经费合计</w:t>
            </w:r>
          </w:p>
        </w:tc>
        <w:tc>
          <w:tcPr>
            <w:tcW w:w="181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8.72</w:t>
            </w:r>
          </w:p>
        </w:tc>
      </w:tr>
      <w:tr>
        <w:tblPrEx>
          <w:tblLayout w:type="fixed"/>
          <w:tblCellMar>
            <w:top w:w="0" w:type="dxa"/>
            <w:left w:w="0" w:type="dxa"/>
            <w:bottom w:w="0" w:type="dxa"/>
            <w:right w:w="0" w:type="dxa"/>
          </w:tblCellMar>
        </w:tblPrEx>
        <w:trPr>
          <w:trHeight w:val="308" w:hRule="atLeast"/>
        </w:trPr>
        <w:tc>
          <w:tcPr>
            <w:tcW w:w="14979" w:type="dxa"/>
            <w:gridSpan w:val="1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注：本表以“万元”为金额单位（保留两位小数），反映部门本年度一般公共预算财政拨款基本支出明细情况。</w:t>
            </w:r>
          </w:p>
        </w:tc>
      </w:tr>
    </w:tbl>
    <w:p>
      <w:pPr>
        <w:numPr>
          <w:ilvl w:val="0"/>
          <w:numId w:val="0"/>
        </w:numPr>
        <w:rPr>
          <w:rFonts w:hint="eastAsia" w:ascii="仿宋" w:hAnsi="仿宋" w:eastAsia="仿宋" w:cs="仿宋"/>
          <w:sz w:val="32"/>
          <w:szCs w:val="32"/>
          <w:lang w:eastAsia="zh-CN"/>
        </w:rPr>
      </w:pPr>
    </w:p>
    <w:p>
      <w:pPr>
        <w:numPr>
          <w:ilvl w:val="0"/>
          <w:numId w:val="0"/>
        </w:numPr>
        <w:rPr>
          <w:rFonts w:hint="eastAsia" w:ascii="仿宋" w:hAnsi="仿宋" w:eastAsia="仿宋" w:cs="仿宋"/>
          <w:sz w:val="32"/>
          <w:szCs w:val="32"/>
          <w:lang w:eastAsia="zh-CN"/>
        </w:rPr>
      </w:pPr>
    </w:p>
    <w:tbl>
      <w:tblPr>
        <w:tblStyle w:val="13"/>
        <w:tblW w:w="13988" w:type="dxa"/>
        <w:tblInd w:w="0" w:type="dxa"/>
        <w:shd w:val="clear" w:color="auto" w:fill="auto"/>
        <w:tblLayout w:type="fixed"/>
        <w:tblCellMar>
          <w:top w:w="0" w:type="dxa"/>
          <w:left w:w="0" w:type="dxa"/>
          <w:bottom w:w="0" w:type="dxa"/>
          <w:right w:w="0" w:type="dxa"/>
        </w:tblCellMar>
      </w:tblPr>
      <w:tblGrid>
        <w:gridCol w:w="4936"/>
        <w:gridCol w:w="2068"/>
        <w:gridCol w:w="1700"/>
        <w:gridCol w:w="1785"/>
        <w:gridCol w:w="1700"/>
        <w:gridCol w:w="1799"/>
      </w:tblGrid>
      <w:tr>
        <w:tblPrEx>
          <w:shd w:val="clear" w:color="auto" w:fill="auto"/>
          <w:tblLayout w:type="fixed"/>
          <w:tblCellMar>
            <w:top w:w="0" w:type="dxa"/>
            <w:left w:w="0" w:type="dxa"/>
            <w:bottom w:w="0" w:type="dxa"/>
            <w:right w:w="0" w:type="dxa"/>
          </w:tblCellMar>
        </w:tblPrEx>
        <w:trPr>
          <w:trHeight w:val="405" w:hRule="atLeast"/>
        </w:trPr>
        <w:tc>
          <w:tcPr>
            <w:tcW w:w="4936" w:type="dxa"/>
            <w:tcBorders>
              <w:top w:val="nil"/>
              <w:left w:val="nil"/>
              <w:bottom w:val="nil"/>
              <w:right w:val="nil"/>
            </w:tcBorders>
            <w:shd w:val="clear" w:color="auto" w:fill="auto"/>
            <w:noWrap/>
            <w:tcMar>
              <w:top w:w="15" w:type="dxa"/>
              <w:left w:w="15" w:type="dxa"/>
              <w:right w:w="15" w:type="dxa"/>
            </w:tcMar>
            <w:vAlign w:val="bottom"/>
          </w:tcPr>
          <w:p>
            <w:pPr>
              <w:rPr>
                <w:rFonts w:hint="eastAsia" w:ascii="Arial" w:hAnsi="Arial" w:cs="Arial"/>
                <w:i w:val="0"/>
                <w:color w:val="000000"/>
                <w:sz w:val="20"/>
                <w:szCs w:val="20"/>
                <w:u w:val="none"/>
              </w:rPr>
            </w:pPr>
          </w:p>
        </w:tc>
        <w:tc>
          <w:tcPr>
            <w:tcW w:w="7253" w:type="dxa"/>
            <w:gridSpan w:val="4"/>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32"/>
                <w:szCs w:val="32"/>
                <w:u w:val="none"/>
                <w:lang w:val="en-US" w:eastAsia="zh-CN" w:bidi="ar"/>
              </w:rPr>
              <w:t>一般公共预算财政拨款“三公”经费支出决算表</w:t>
            </w:r>
          </w:p>
        </w:tc>
        <w:tc>
          <w:tcPr>
            <w:tcW w:w="179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r>
      <w:tr>
        <w:tblPrEx>
          <w:tblLayout w:type="fixed"/>
          <w:tblCellMar>
            <w:top w:w="0" w:type="dxa"/>
            <w:left w:w="0" w:type="dxa"/>
            <w:bottom w:w="0" w:type="dxa"/>
            <w:right w:w="0" w:type="dxa"/>
          </w:tblCellMar>
        </w:tblPrEx>
        <w:trPr>
          <w:trHeight w:val="255" w:hRule="atLeast"/>
        </w:trPr>
        <w:tc>
          <w:tcPr>
            <w:tcW w:w="49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206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7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78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7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799"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财决公开10表</w:t>
            </w:r>
          </w:p>
        </w:tc>
      </w:tr>
      <w:tr>
        <w:tblPrEx>
          <w:tblLayout w:type="fixed"/>
          <w:tblCellMar>
            <w:top w:w="0" w:type="dxa"/>
            <w:left w:w="0" w:type="dxa"/>
            <w:bottom w:w="0" w:type="dxa"/>
            <w:right w:w="0" w:type="dxa"/>
          </w:tblCellMar>
        </w:tblPrEx>
        <w:trPr>
          <w:trHeight w:val="255" w:hRule="atLeast"/>
        </w:trPr>
        <w:tc>
          <w:tcPr>
            <w:tcW w:w="4936"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部门：中华全国工商业联合会四川省阿坝州红原县（本级）</w:t>
            </w:r>
          </w:p>
        </w:tc>
        <w:tc>
          <w:tcPr>
            <w:tcW w:w="206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7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78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70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u w:val="none"/>
              </w:rPr>
            </w:pPr>
          </w:p>
        </w:tc>
        <w:tc>
          <w:tcPr>
            <w:tcW w:w="1799"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Layout w:type="fixed"/>
          <w:tblCellMar>
            <w:top w:w="0" w:type="dxa"/>
            <w:left w:w="0" w:type="dxa"/>
            <w:bottom w:w="0" w:type="dxa"/>
            <w:right w:w="0" w:type="dxa"/>
          </w:tblCellMar>
        </w:tblPrEx>
        <w:trPr>
          <w:trHeight w:val="585" w:hRule="atLeast"/>
        </w:trPr>
        <w:tc>
          <w:tcPr>
            <w:tcW w:w="13988" w:type="dxa"/>
            <w:gridSpan w:val="6"/>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一般公共预算财政拨款“三公”经费支出</w:t>
            </w:r>
          </w:p>
        </w:tc>
      </w:tr>
      <w:tr>
        <w:tblPrEx>
          <w:tblLayout w:type="fixed"/>
          <w:tblCellMar>
            <w:top w:w="0" w:type="dxa"/>
            <w:left w:w="0" w:type="dxa"/>
            <w:bottom w:w="0" w:type="dxa"/>
            <w:right w:w="0" w:type="dxa"/>
          </w:tblCellMar>
        </w:tblPrEx>
        <w:trPr>
          <w:trHeight w:val="508" w:hRule="atLeast"/>
        </w:trPr>
        <w:tc>
          <w:tcPr>
            <w:tcW w:w="4936"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068"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因公出国（境）费用</w:t>
            </w:r>
          </w:p>
        </w:tc>
        <w:tc>
          <w:tcPr>
            <w:tcW w:w="5185"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公务用车购置及运行费</w:t>
            </w:r>
          </w:p>
        </w:tc>
        <w:tc>
          <w:tcPr>
            <w:tcW w:w="1799"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Layout w:type="fixed"/>
          <w:tblCellMar>
            <w:top w:w="0" w:type="dxa"/>
            <w:left w:w="0" w:type="dxa"/>
            <w:bottom w:w="0" w:type="dxa"/>
            <w:right w:w="0" w:type="dxa"/>
          </w:tblCellMar>
        </w:tblPrEx>
        <w:trPr>
          <w:trHeight w:val="431" w:hRule="atLeast"/>
        </w:trPr>
        <w:tc>
          <w:tcPr>
            <w:tcW w:w="4936"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68"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78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17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公务用车运行费</w:t>
            </w:r>
          </w:p>
        </w:tc>
        <w:tc>
          <w:tcPr>
            <w:tcW w:w="1799"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77" w:hRule="atLeast"/>
        </w:trPr>
        <w:tc>
          <w:tcPr>
            <w:tcW w:w="49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0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7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17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7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17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662" w:hRule="atLeast"/>
        </w:trPr>
        <w:tc>
          <w:tcPr>
            <w:tcW w:w="13988"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注：本表以“万元”为金额单位（保留两位小数），反映部门本年度一般公共预算财政拨款“三公”经费支出决算情况，决算数包括当年一般公共预算财政拨款和以前年度结转资金安排的实际支出。</w:t>
            </w:r>
          </w:p>
        </w:tc>
      </w:tr>
    </w:tbl>
    <w:p>
      <w:pPr>
        <w:numPr>
          <w:ilvl w:val="0"/>
          <w:numId w:val="0"/>
        </w:numPr>
        <w:rPr>
          <w:rFonts w:hint="eastAsia" w:ascii="仿宋" w:hAnsi="仿宋" w:eastAsia="仿宋" w:cs="仿宋"/>
          <w:sz w:val="32"/>
          <w:szCs w:val="32"/>
          <w:lang w:eastAsia="zh-CN"/>
        </w:rPr>
      </w:pPr>
    </w:p>
    <w:sectPr>
      <w:pgSz w:w="16838" w:h="11906" w:orient="landscape"/>
      <w:pgMar w:top="1800" w:right="1440" w:bottom="1800" w:left="144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仿宋_GB2312"/>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default"/>
        <w:lang w:val="en-US"/>
      </w:rPr>
      <w:id w:val="-1994781956"/>
      <w:docPartObj>
        <w:docPartGallery w:val="autotext"/>
      </w:docPartObj>
    </w:sdtPr>
    <w:sdtEndPr>
      <w:rPr>
        <w:rFonts w:hint="default"/>
        <w:lang w:val="en-US"/>
      </w:rPr>
    </w:sdtEndPr>
    <w:sdtContent>
      <w:p>
        <w:pPr>
          <w:pStyle w:val="8"/>
          <w:jc w:val="center"/>
        </w:pPr>
      </w:p>
    </w:sdtContent>
  </w:sdt>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default" w:eastAsia="宋体"/>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sdt>
      <w:sdtPr>
        <w:rPr>
          <w:rFonts w:hint="default"/>
          <w:lang w:val="en-US"/>
        </w:rPr>
        <w:id w:val="-1994781956"/>
        <w:docPartObj>
          <w:docPartGallery w:val="autotext"/>
        </w:docPartObj>
      </w:sdtPr>
      <w:sdtEndPr>
        <w:rPr>
          <w:rFonts w:hint="default"/>
          <w:lang w:val="en-US"/>
        </w:rPr>
      </w:sdtEndPr>
      <w:sdtContent/>
    </w:sdt>
  </w:p>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default" w:eastAsia="宋体"/>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CE8D8B40"/>
    <w:multiLevelType w:val="singleLevel"/>
    <w:tmpl w:val="CE8D8B40"/>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F20E5409"/>
    <w:multiLevelType w:val="singleLevel"/>
    <w:tmpl w:val="F20E5409"/>
    <w:lvl w:ilvl="0" w:tentative="0">
      <w:start w:val="1"/>
      <w:numFmt w:val="decimal"/>
      <w:lvlText w:val="%1."/>
      <w:lvlJc w:val="left"/>
      <w:pPr>
        <w:tabs>
          <w:tab w:val="left" w:pos="312"/>
        </w:tabs>
      </w:p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5D5382B5"/>
    <w:multiLevelType w:val="singleLevel"/>
    <w:tmpl w:val="5D5382B5"/>
    <w:lvl w:ilvl="0" w:tentative="0">
      <w:start w:val="1"/>
      <w:numFmt w:val="chineseCounting"/>
      <w:suff w:val="nothing"/>
      <w:lvlText w:val="%1、"/>
      <w:lvlJc w:val="left"/>
    </w:lvl>
  </w:abstractNum>
  <w:abstractNum w:abstractNumId="8">
    <w:nsid w:val="6B799D43"/>
    <w:multiLevelType w:val="singleLevel"/>
    <w:tmpl w:val="6B799D43"/>
    <w:lvl w:ilvl="0" w:tentative="0">
      <w:start w:val="7"/>
      <w:numFmt w:val="chineseCounting"/>
      <w:suff w:val="nothing"/>
      <w:lvlText w:val="%1、"/>
      <w:lvlJc w:val="left"/>
      <w:rPr>
        <w:rFonts w:hint="eastAsia"/>
      </w:rPr>
    </w:lvl>
  </w:abstractNum>
  <w:abstractNum w:abstractNumId="9">
    <w:nsid w:val="705D070D"/>
    <w:multiLevelType w:val="singleLevel"/>
    <w:tmpl w:val="705D070D"/>
    <w:lvl w:ilvl="0" w:tentative="0">
      <w:start w:val="1"/>
      <w:numFmt w:val="chineseCounting"/>
      <w:suff w:val="nothing"/>
      <w:lvlText w:val="%1、"/>
      <w:lvlJc w:val="left"/>
      <w:rPr>
        <w:rFonts w:hint="eastAsia"/>
      </w:rPr>
    </w:lvl>
  </w:abstractNum>
  <w:num w:numId="1">
    <w:abstractNumId w:val="5"/>
  </w:num>
  <w:num w:numId="2">
    <w:abstractNumId w:val="4"/>
  </w:num>
  <w:num w:numId="3">
    <w:abstractNumId w:val="2"/>
  </w:num>
  <w:num w:numId="4">
    <w:abstractNumId w:val="6"/>
  </w:num>
  <w:num w:numId="5">
    <w:abstractNumId w:val="3"/>
  </w:num>
  <w:num w:numId="6">
    <w:abstractNumId w:val="0"/>
  </w:num>
  <w:num w:numId="7">
    <w:abstractNumId w:val="1"/>
  </w:num>
  <w:num w:numId="8">
    <w:abstractNumId w:val="9"/>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BC1B75"/>
    <w:rsid w:val="02DF6E24"/>
    <w:rsid w:val="038B3AAB"/>
    <w:rsid w:val="051A39BB"/>
    <w:rsid w:val="08FC1BFC"/>
    <w:rsid w:val="0C757710"/>
    <w:rsid w:val="0DD94A49"/>
    <w:rsid w:val="0ED62A80"/>
    <w:rsid w:val="10312421"/>
    <w:rsid w:val="10C055FF"/>
    <w:rsid w:val="10F529AD"/>
    <w:rsid w:val="12054ADE"/>
    <w:rsid w:val="124B6187"/>
    <w:rsid w:val="138F3F72"/>
    <w:rsid w:val="16AA46A7"/>
    <w:rsid w:val="16BB723D"/>
    <w:rsid w:val="17A74292"/>
    <w:rsid w:val="1E0D4ABA"/>
    <w:rsid w:val="22CC42E1"/>
    <w:rsid w:val="231C1429"/>
    <w:rsid w:val="240371BF"/>
    <w:rsid w:val="25B46BBD"/>
    <w:rsid w:val="265B3414"/>
    <w:rsid w:val="2767641B"/>
    <w:rsid w:val="288646FF"/>
    <w:rsid w:val="29FD04D3"/>
    <w:rsid w:val="2B9E3AEA"/>
    <w:rsid w:val="2BAF01F4"/>
    <w:rsid w:val="2E4E24A0"/>
    <w:rsid w:val="300B47CC"/>
    <w:rsid w:val="31254F89"/>
    <w:rsid w:val="319F7F4E"/>
    <w:rsid w:val="322351A0"/>
    <w:rsid w:val="377B1476"/>
    <w:rsid w:val="3BC509C1"/>
    <w:rsid w:val="3D8A26AE"/>
    <w:rsid w:val="3F007D09"/>
    <w:rsid w:val="40D12815"/>
    <w:rsid w:val="423978F4"/>
    <w:rsid w:val="449D64C5"/>
    <w:rsid w:val="453E098F"/>
    <w:rsid w:val="456B774D"/>
    <w:rsid w:val="45712921"/>
    <w:rsid w:val="46263426"/>
    <w:rsid w:val="46C421C3"/>
    <w:rsid w:val="489220CD"/>
    <w:rsid w:val="49B64151"/>
    <w:rsid w:val="53511201"/>
    <w:rsid w:val="58D44498"/>
    <w:rsid w:val="59AF7C04"/>
    <w:rsid w:val="5E3E721B"/>
    <w:rsid w:val="63721A61"/>
    <w:rsid w:val="65195E69"/>
    <w:rsid w:val="670A54B9"/>
    <w:rsid w:val="6A862435"/>
    <w:rsid w:val="6B7F3207"/>
    <w:rsid w:val="74D22736"/>
    <w:rsid w:val="75282356"/>
    <w:rsid w:val="757C4CF6"/>
    <w:rsid w:val="77B310A7"/>
    <w:rsid w:val="788E0C06"/>
    <w:rsid w:val="78AD68C9"/>
    <w:rsid w:val="7DB146BC"/>
    <w:rsid w:val="7FCA3A1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6032;&#24314;%20XLS%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6032;&#24314;%20XLS%20&#24037;&#20316;&#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000"/>
              <a:t>单位：万元</a:t>
            </a:r>
            <a:endParaRPr sz="1000"/>
          </a:p>
        </c:rich>
      </c:tx>
      <c:layout>
        <c:manualLayout>
          <c:xMode val="edge"/>
          <c:yMode val="edge"/>
          <c:x val="0.789444444444444"/>
          <c:y val="0.0625"/>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工作表.xls]Sheet1'!$A$1:$A$4</c:f>
              <c:strCache>
                <c:ptCount val="4"/>
                <c:pt idx="0">
                  <c:v>2017年收入</c:v>
                </c:pt>
                <c:pt idx="1">
                  <c:v>2017年支出</c:v>
                </c:pt>
                <c:pt idx="2">
                  <c:v>2018年收入</c:v>
                </c:pt>
                <c:pt idx="3">
                  <c:v>2018年支出</c:v>
                </c:pt>
              </c:strCache>
            </c:strRef>
          </c:cat>
          <c:val>
            <c:numRef>
              <c:f>'[新建 XLS 工作表.xls]Sheet1'!$B$1:$B$4</c:f>
              <c:numCache>
                <c:formatCode>General</c:formatCode>
                <c:ptCount val="4"/>
                <c:pt idx="0">
                  <c:v>133.2</c:v>
                </c:pt>
                <c:pt idx="1">
                  <c:v>133.45</c:v>
                </c:pt>
                <c:pt idx="2">
                  <c:v>143.68</c:v>
                </c:pt>
                <c:pt idx="3">
                  <c:v>140.67</c:v>
                </c:pt>
              </c:numCache>
            </c:numRef>
          </c:val>
        </c:ser>
        <c:dLbls>
          <c:showLegendKey val="0"/>
          <c:showVal val="1"/>
          <c:showCatName val="0"/>
          <c:showSerName val="0"/>
          <c:showPercent val="0"/>
          <c:showBubbleSize val="0"/>
        </c:dLbls>
        <c:gapWidth val="150"/>
        <c:overlap val="0"/>
        <c:axId val="630541442"/>
        <c:axId val="652720753"/>
      </c:barChart>
      <c:catAx>
        <c:axId val="63054144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2720753"/>
        <c:crosses val="autoZero"/>
        <c:auto val="1"/>
        <c:lblAlgn val="ctr"/>
        <c:lblOffset val="100"/>
        <c:noMultiLvlLbl val="0"/>
      </c:catAx>
      <c:valAx>
        <c:axId val="65272075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054144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工作表.xls]Sheet1'!$A$1:$A$2</c:f>
              <c:strCache>
                <c:ptCount val="2"/>
                <c:pt idx="0">
                  <c:v>一般公共预算财政拨款收入</c:v>
                </c:pt>
                <c:pt idx="1">
                  <c:v>其他收入</c:v>
                </c:pt>
              </c:strCache>
            </c:strRef>
          </c:cat>
          <c:val>
            <c:numRef>
              <c:f>'[新建 XLS 工作表.xls]Sheet1'!$B$1:$B$2</c:f>
              <c:numCache>
                <c:formatCode>General</c:formatCode>
                <c:ptCount val="2"/>
                <c:pt idx="0">
                  <c:v>140.67</c:v>
                </c:pt>
                <c:pt idx="1">
                  <c:v>3.01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000"/>
              <a:t>单位：万元</a:t>
            </a:r>
            <a:endParaRPr sz="1000"/>
          </a:p>
        </c:rich>
      </c:tx>
      <c:layout>
        <c:manualLayout>
          <c:xMode val="edge"/>
          <c:yMode val="edge"/>
          <c:x val="0.783194444444444"/>
          <c:y val="0.0625"/>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工作表.xls]Sheet1'!$A$1:$A$2</c:f>
              <c:strCache>
                <c:ptCount val="2"/>
                <c:pt idx="0">
                  <c:v>基本支出</c:v>
                </c:pt>
                <c:pt idx="1">
                  <c:v>项目支出</c:v>
                </c:pt>
              </c:strCache>
            </c:strRef>
          </c:cat>
          <c:val>
            <c:numRef>
              <c:f>'[新建 XLS 工作表.xls]Sheet1'!$B$1:$B$2</c:f>
              <c:numCache>
                <c:formatCode>General</c:formatCode>
                <c:ptCount val="2"/>
                <c:pt idx="0">
                  <c:v>138.67</c:v>
                </c:pt>
                <c:pt idx="1">
                  <c:v>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 </a:t>
            </a:r>
            <a:r>
              <a:t>财政拨款收支决算对比                </a:t>
            </a:r>
            <a:r>
              <a:rPr sz="1000"/>
              <a:t>单位：万元</a:t>
            </a:r>
            <a:endParaRPr sz="1000"/>
          </a:p>
        </c:rich>
      </c:tx>
      <c:layout>
        <c:manualLayout>
          <c:xMode val="edge"/>
          <c:yMode val="edge"/>
          <c:x val="0.26"/>
          <c:y val="0.0555555555555556"/>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工作表.xls]Sheet1'!$A$1:$A$4</c:f>
              <c:strCache>
                <c:ptCount val="4"/>
                <c:pt idx="0">
                  <c:v>2017年收入</c:v>
                </c:pt>
                <c:pt idx="1">
                  <c:v>2017年支出</c:v>
                </c:pt>
                <c:pt idx="2">
                  <c:v>2018年收入</c:v>
                </c:pt>
                <c:pt idx="3">
                  <c:v>2018年支出</c:v>
                </c:pt>
              </c:strCache>
            </c:strRef>
          </c:cat>
          <c:val>
            <c:numRef>
              <c:f>'[新建 XLS 工作表.xls]Sheet1'!$B$1:$B$4</c:f>
              <c:numCache>
                <c:formatCode>General</c:formatCode>
                <c:ptCount val="4"/>
                <c:pt idx="0">
                  <c:v>133.2</c:v>
                </c:pt>
                <c:pt idx="1">
                  <c:v>133.45</c:v>
                </c:pt>
                <c:pt idx="2">
                  <c:v>140.67</c:v>
                </c:pt>
                <c:pt idx="3">
                  <c:v>140.67</c:v>
                </c:pt>
              </c:numCache>
            </c:numRef>
          </c:val>
        </c:ser>
        <c:dLbls>
          <c:showLegendKey val="0"/>
          <c:showVal val="1"/>
          <c:showCatName val="0"/>
          <c:showSerName val="0"/>
          <c:showPercent val="0"/>
          <c:showBubbleSize val="0"/>
        </c:dLbls>
        <c:gapWidth val="219"/>
        <c:overlap val="-27"/>
        <c:axId val="127396046"/>
        <c:axId val="243453054"/>
      </c:barChart>
      <c:catAx>
        <c:axId val="12739604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3453054"/>
        <c:crosses val="autoZero"/>
        <c:auto val="1"/>
        <c:lblAlgn val="ctr"/>
        <c:lblOffset val="100"/>
        <c:noMultiLvlLbl val="0"/>
      </c:catAx>
      <c:valAx>
        <c:axId val="24345305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739604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000"/>
              <a:t>单位：万元</a:t>
            </a:r>
            <a:endParaRPr sz="1000"/>
          </a:p>
        </c:rich>
      </c:tx>
      <c:layout>
        <c:manualLayout>
          <c:xMode val="edge"/>
          <c:yMode val="edge"/>
          <c:x val="0.768611111111111"/>
          <c:y val="0.0763888888888889"/>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工作表.xls]Sheet1'!$A$1:$A$2</c:f>
              <c:strCache>
                <c:ptCount val="2"/>
                <c:pt idx="0">
                  <c:v>2017年支出</c:v>
                </c:pt>
                <c:pt idx="1">
                  <c:v>2018年支出</c:v>
                </c:pt>
              </c:strCache>
            </c:strRef>
          </c:cat>
          <c:val>
            <c:numRef>
              <c:f>'[新建 XLS 工作表.xls]Sheet1'!$B$1:$B$2</c:f>
              <c:numCache>
                <c:formatCode>General</c:formatCode>
                <c:ptCount val="2"/>
                <c:pt idx="0">
                  <c:v>133.2</c:v>
                </c:pt>
                <c:pt idx="1">
                  <c:v>140.67</c:v>
                </c:pt>
              </c:numCache>
            </c:numRef>
          </c:val>
        </c:ser>
        <c:dLbls>
          <c:showLegendKey val="0"/>
          <c:showVal val="1"/>
          <c:showCatName val="0"/>
          <c:showSerName val="0"/>
          <c:showPercent val="0"/>
          <c:showBubbleSize val="0"/>
        </c:dLbls>
        <c:gapWidth val="219"/>
        <c:overlap val="-27"/>
        <c:axId val="24355812"/>
        <c:axId val="176078186"/>
      </c:barChart>
      <c:catAx>
        <c:axId val="243558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6078186"/>
        <c:crosses val="autoZero"/>
        <c:auto val="1"/>
        <c:lblAlgn val="ctr"/>
        <c:lblOffset val="100"/>
        <c:noMultiLvlLbl val="0"/>
      </c:catAx>
      <c:valAx>
        <c:axId val="17607818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3558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000"/>
              <a:t>单位：万元</a:t>
            </a:r>
            <a:endParaRPr sz="1000"/>
          </a:p>
        </c:rich>
      </c:tx>
      <c:layout>
        <c:manualLayout>
          <c:xMode val="edge"/>
          <c:yMode val="edge"/>
          <c:x val="0.774861111111111"/>
          <c:y val="0.0763888888888889"/>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工作表.xls]Sheet1'!$A$1:$A$4</c:f>
              <c:strCache>
                <c:ptCount val="4"/>
                <c:pt idx="0">
                  <c:v>一般公共服务支出</c:v>
                </c:pt>
                <c:pt idx="1">
                  <c:v>社会保障和就业支出</c:v>
                </c:pt>
                <c:pt idx="2">
                  <c:v>医疗卫生与计划生育支出</c:v>
                </c:pt>
                <c:pt idx="3">
                  <c:v>住房保障支出</c:v>
                </c:pt>
              </c:strCache>
            </c:strRef>
          </c:cat>
          <c:val>
            <c:numRef>
              <c:f>'[新建 XLS 工作表.xls]Sheet1'!$B$1:$B$4</c:f>
              <c:numCache>
                <c:formatCode>General</c:formatCode>
                <c:ptCount val="4"/>
                <c:pt idx="0">
                  <c:v>105.07</c:v>
                </c:pt>
                <c:pt idx="1">
                  <c:v>20.49</c:v>
                </c:pt>
                <c:pt idx="2">
                  <c:v>5.95</c:v>
                </c:pt>
                <c:pt idx="3">
                  <c:v>9.15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000"/>
              <a:t>单位：万元</a:t>
            </a:r>
            <a:endParaRPr sz="1000"/>
          </a:p>
        </c:rich>
      </c:tx>
      <c:layout>
        <c:manualLayout>
          <c:xMode val="edge"/>
          <c:yMode val="edge"/>
          <c:x val="0.797777777777778"/>
          <c:y val="0.0625"/>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工作表.xls]Sheet1'!$A$1:$A$3</c:f>
              <c:strCache>
                <c:ptCount val="3"/>
                <c:pt idx="0">
                  <c:v>因公出国（境）费</c:v>
                </c:pt>
                <c:pt idx="1">
                  <c:v>公务用车运行维护费</c:v>
                </c:pt>
                <c:pt idx="2">
                  <c:v>公务接待费</c:v>
                </c:pt>
              </c:strCache>
            </c:strRef>
          </c:cat>
          <c:val>
            <c:numRef>
              <c:f>'[新建 XLS 工作表.xls]Sheet1'!$B$1:$B$3</c:f>
              <c:numCache>
                <c:formatCode>General</c:formatCode>
                <c:ptCount val="3"/>
                <c:pt idx="0">
                  <c:v>0</c:v>
                </c:pt>
                <c:pt idx="1">
                  <c:v>3.02</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TotalTime>42</TotalTime>
  <ScaleCrop>false</ScaleCrop>
  <LinksUpToDate>false</LinksUpToDate>
  <CharactersWithSpaces>9641</CharactersWithSpaces>
  <Application>WPS Office_11.1.0.9058_F1E327BC-269C-435d-A152-05C5408002CA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fluency</cp:lastModifiedBy>
  <cp:lastPrinted>2019-08-01T00:48:00Z</cp:lastPrinted>
  <dcterms:modified xsi:type="dcterms:W3CDTF">2019-09-05T03:29:47Z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2052-11.1.0.9058</vt:lpwstr>
  </property>
</Properties>
</file>