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方正小标宋简体" w:hAnsi="宋体" w:eastAsia="方正小标宋简体"/>
          <w:color w:val="000000"/>
          <w:sz w:val="72"/>
          <w:szCs w:val="72"/>
        </w:rPr>
      </w:pPr>
      <w:bookmarkStart w:id="1" w:name="_Toc15378441"/>
      <w:bookmarkStart w:id="2" w:name="_Toc15396475"/>
      <w:bookmarkStart w:id="3" w:name="_Toc15377193"/>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方正小标宋简体" w:hAnsi="宋体" w:eastAsia="方正小标宋简体"/>
          <w:color w:val="000000"/>
          <w:sz w:val="72"/>
          <w:szCs w:val="72"/>
          <w:lang w:eastAsia="zh-CN"/>
        </w:rPr>
      </w:pPr>
      <w:bookmarkStart w:id="6" w:name="_Toc15378442"/>
      <w:bookmarkStart w:id="7" w:name="_Toc15396598"/>
      <w:bookmarkStart w:id="8" w:name="_Toc15377194"/>
      <w:bookmarkStart w:id="9" w:name="_Toc15377426"/>
      <w:bookmarkStart w:id="10"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信访局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2"/>
        <w:pageBreakBefore w:val="0"/>
        <w:kinsoku/>
        <w:wordWrap/>
        <w:overflowPunct/>
        <w:topLinePunct w:val="0"/>
        <w:bidi w:val="0"/>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pPr>
        <w:pStyle w:val="12"/>
        <w:pageBreakBefore w:val="0"/>
        <w:kinsoku/>
        <w:wordWrap/>
        <w:overflowPunct/>
        <w:topLinePunct w:val="0"/>
        <w:bidi w:val="0"/>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第二部分度部门决算情况说明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pPr>
        <w:pStyle w:val="13"/>
        <w:pageBreakBefore w:val="0"/>
        <w:kinsoku/>
        <w:wordWrap/>
        <w:overflowPunct/>
        <w:topLinePunct w:val="0"/>
        <w:bidi w:val="0"/>
        <w:adjustRightInd w:val="0"/>
        <w:snapToGrid w:val="0"/>
        <w:spacing w:line="440" w:lineRule="exact"/>
        <w:ind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国有资本经营预算支出决算情况说明</w:t>
      </w:r>
    </w:p>
    <w:p>
      <w:pPr>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Style w:val="19"/>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p>
    <w:p>
      <w:pPr>
        <w:pStyle w:val="12"/>
        <w:pageBreakBefore w:val="0"/>
        <w:kinsoku/>
        <w:wordWrap/>
        <w:overflowPunct/>
        <w:topLinePunct w:val="0"/>
        <w:bidi w:val="0"/>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p>
    <w:p>
      <w:pPr>
        <w:pStyle w:val="12"/>
        <w:pageBreakBefore w:val="0"/>
        <w:kinsoku/>
        <w:wordWrap/>
        <w:overflowPunct/>
        <w:topLinePunct w:val="0"/>
        <w:bidi w:val="0"/>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pStyle w:val="12"/>
        <w:pageBreakBefore w:val="0"/>
        <w:kinsoku/>
        <w:wordWrap/>
        <w:overflowPunct/>
        <w:topLinePunct w:val="0"/>
        <w:bidi w:val="0"/>
        <w:adjustRightInd w:val="0"/>
        <w:snapToGrid w:val="0"/>
        <w:spacing w:before="0"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pPr>
        <w:pStyle w:val="13"/>
        <w:pageBreakBefore w:val="0"/>
        <w:kinsoku/>
        <w:wordWrap/>
        <w:overflowPunct/>
        <w:topLinePunct w:val="0"/>
        <w:bidi w:val="0"/>
        <w:adjustRightInd w:val="0"/>
        <w:snapToGrid w:val="0"/>
        <w:spacing w:line="440" w:lineRule="exact"/>
        <w:ind w:firstLine="640" w:firstLineChars="200"/>
        <w:jc w:val="left"/>
        <w:rPr>
          <w:rFonts w:hint="eastAsia" w:ascii="黑体" w:hAnsi="黑体" w:eastAsia="黑体"/>
          <w:b w:val="0"/>
        </w:rPr>
      </w:pPr>
      <w:r>
        <w:rPr>
          <w:rFonts w:hint="eastAsia" w:ascii="仿宋_GB2312" w:hAnsi="仿宋_GB2312" w:eastAsia="仿宋_GB2312" w:cs="仿宋_GB2312"/>
          <w:sz w:val="32"/>
          <w:szCs w:val="32"/>
        </w:rPr>
        <w:t>十三、国有资本经营预算支出决算表</w:t>
      </w:r>
      <w:bookmarkStart w:id="12" w:name="_Toc15396599"/>
      <w:bookmarkStart w:id="13" w:name="_Toc15377196"/>
    </w:p>
    <w:p>
      <w:pPr>
        <w:pageBreakBefore w:val="0"/>
        <w:kinsoku/>
        <w:wordWrap/>
        <w:overflowPunct/>
        <w:topLinePunct w:val="0"/>
        <w:bidi w:val="0"/>
        <w:ind w:firstLine="420" w:firstLineChars="200"/>
        <w:rPr>
          <w:rFonts w:hint="eastAsia" w:ascii="黑体" w:hAnsi="黑体" w:eastAsia="黑体"/>
          <w:b w:val="0"/>
        </w:rPr>
      </w:pPr>
    </w:p>
    <w:p>
      <w:pPr>
        <w:pStyle w:val="4"/>
        <w:pageBreakBefore w:val="0"/>
        <w:kinsoku/>
        <w:wordWrap/>
        <w:overflowPunct/>
        <w:topLinePunct w:val="0"/>
        <w:bidi w:val="0"/>
        <w:ind w:firstLine="880" w:firstLineChars="200"/>
        <w:jc w:val="center"/>
        <w:rPr>
          <w:rFonts w:ascii="黑体" w:eastAsia="黑体"/>
          <w:color w:val="000000"/>
          <w:sz w:val="32"/>
          <w:szCs w:val="32"/>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keepNext w:val="0"/>
        <w:keepLines w:val="0"/>
        <w:pageBreakBefore w:val="0"/>
        <w:widowControl w:val="0"/>
        <w:kinsoku/>
        <w:wordWrap/>
        <w:overflowPunct/>
        <w:topLinePunct w:val="0"/>
        <w:autoSpaceDE/>
        <w:autoSpaceDN/>
        <w:bidi w:val="0"/>
        <w:spacing w:line="560" w:lineRule="exact"/>
        <w:ind w:firstLine="640" w:firstLineChars="200"/>
        <w:jc w:val="left"/>
        <w:rPr>
          <w:rStyle w:val="29"/>
          <w:rFonts w:hint="eastAsia" w:ascii="黑体" w:hAnsi="黑体" w:eastAsia="黑体"/>
          <w:b w:val="0"/>
          <w:bCs w:val="0"/>
        </w:rPr>
      </w:pPr>
      <w:bookmarkStart w:id="14" w:name="_Toc15377197"/>
      <w:bookmarkStart w:id="15" w:name="_Toc15396600"/>
      <w:r>
        <w:rPr>
          <w:rStyle w:val="29"/>
          <w:rFonts w:hint="eastAsia" w:ascii="黑体" w:hAnsi="黑体" w:eastAsia="黑体"/>
          <w:b w:val="0"/>
          <w:bCs w:val="0"/>
          <w:lang w:eastAsia="zh-CN"/>
        </w:rPr>
        <w:t>一、</w:t>
      </w:r>
      <w:r>
        <w:rPr>
          <w:rStyle w:val="29"/>
          <w:rFonts w:hint="eastAsia" w:ascii="黑体" w:hAnsi="黑体" w:eastAsia="黑体"/>
          <w:b w:val="0"/>
          <w:bCs w:val="0"/>
        </w:rPr>
        <w:t>基本职能及主要工作</w:t>
      </w:r>
      <w:bookmarkEnd w:id="14"/>
      <w:bookmarkEnd w:id="15"/>
      <w:bookmarkStart w:id="16" w:name="_Toc15378445"/>
      <w:bookmarkStart w:id="17" w:name="_Toc15377198"/>
    </w:p>
    <w:p>
      <w:pPr>
        <w:pageBreakBefore w:val="0"/>
        <w:kinsoku/>
        <w:wordWrap/>
        <w:overflowPunct/>
        <w:topLinePunct w:val="0"/>
        <w:bidi w:val="0"/>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rPr>
        <w:t>（一）主要职能</w:t>
      </w:r>
      <w:bookmarkEnd w:id="16"/>
      <w:bookmarkEnd w:id="17"/>
      <w:bookmarkStart w:id="18" w:name="_Toc15377199"/>
      <w:bookmarkStart w:id="19" w:name="_Toc15378446"/>
    </w:p>
    <w:p>
      <w:pPr>
        <w:pStyle w:val="34"/>
        <w:keepNext w:val="0"/>
        <w:keepLines w:val="0"/>
        <w:pageBreakBefore w:val="0"/>
        <w:kinsoku/>
        <w:wordWrap/>
        <w:overflowPunct/>
        <w:topLinePunct w:val="0"/>
        <w:autoSpaceDE/>
        <w:autoSpaceDN/>
        <w:bidi w:val="0"/>
        <w:adjustRightInd/>
        <w:spacing w:line="520" w:lineRule="exact"/>
        <w:ind w:firstLine="608" w:firstLineChars="200"/>
        <w:jc w:val="lef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(1)代表县委、县政府受理人民来信、来电，接待群众来访；(2)承办上级领导机关及其所属部门、单位和县委、县政府领导交办、转办的信访事项，并负责督办和上报查处结果；(3)根据县委、县政府领导意见，向各乡镇和县级各有关部门交办、转办信访事项，并负责督办和报告查处结果；(4)检查、指导、督查各乡镇、县级各部门的信访工作。</w:t>
      </w:r>
    </w:p>
    <w:p>
      <w:pPr>
        <w:pStyle w:val="34"/>
        <w:keepNext w:val="0"/>
        <w:keepLines w:val="0"/>
        <w:pageBreakBefore w:val="0"/>
        <w:kinsoku/>
        <w:wordWrap/>
        <w:overflowPunct/>
        <w:topLinePunct w:val="0"/>
        <w:autoSpaceDE/>
        <w:autoSpaceDN/>
        <w:bidi w:val="0"/>
        <w:adjustRightInd/>
        <w:spacing w:line="520" w:lineRule="exact"/>
        <w:ind w:firstLine="640" w:firstLineChars="200"/>
        <w:jc w:val="left"/>
        <w:textAlignment w:val="auto"/>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right="0" w:rightChars="0" w:firstLine="643" w:firstLineChars="200"/>
        <w:jc w:val="left"/>
        <w:textAlignment w:val="baseline"/>
        <w:outlineLvl w:val="9"/>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lang w:val="en-US" w:eastAsia="zh-CN"/>
        </w:rPr>
        <w:t>（1）信访总量。</w:t>
      </w:r>
      <w:r>
        <w:rPr>
          <w:rFonts w:hint="eastAsia" w:ascii="仿宋_GB2312" w:hAnsi="仿宋_GB2312" w:eastAsia="仿宋_GB2312" w:cs="仿宋_GB2312"/>
          <w:bCs/>
          <w:sz w:val="32"/>
          <w:szCs w:val="32"/>
          <w:lang w:val="en-US" w:eastAsia="zh-CN"/>
        </w:rPr>
        <w:t>2019年</w:t>
      </w:r>
      <w:r>
        <w:rPr>
          <w:rFonts w:hint="eastAsia" w:ascii="仿宋_GB2312" w:hAnsi="仿宋_GB2312" w:eastAsia="仿宋_GB2312" w:cs="仿宋_GB2312"/>
          <w:bCs/>
          <w:sz w:val="32"/>
          <w:szCs w:val="32"/>
          <w:lang w:eastAsia="zh-CN"/>
        </w:rPr>
        <w:t>来访</w:t>
      </w:r>
      <w:r>
        <w:rPr>
          <w:rFonts w:hint="eastAsia" w:ascii="仿宋_GB2312" w:hAnsi="仿宋_GB2312" w:eastAsia="仿宋_GB2312" w:cs="仿宋_GB2312"/>
          <w:bCs/>
          <w:sz w:val="32"/>
          <w:szCs w:val="32"/>
          <w:lang w:val="en-US" w:eastAsia="zh-CN"/>
        </w:rPr>
        <w:t>31</w:t>
      </w:r>
      <w:r>
        <w:rPr>
          <w:rFonts w:hint="eastAsia" w:ascii="仿宋_GB2312" w:hAnsi="仿宋_GB2312" w:eastAsia="仿宋_GB2312" w:cs="仿宋_GB2312"/>
          <w:bCs/>
          <w:sz w:val="32"/>
          <w:szCs w:val="32"/>
        </w:rPr>
        <w:t>批</w:t>
      </w:r>
      <w:r>
        <w:rPr>
          <w:rFonts w:hint="eastAsia" w:ascii="仿宋_GB2312" w:hAnsi="仿宋_GB2312" w:eastAsia="仿宋_GB2312" w:cs="仿宋_GB2312"/>
          <w:bCs/>
          <w:sz w:val="32"/>
          <w:szCs w:val="32"/>
          <w:lang w:val="en-US" w:eastAsia="zh-CN"/>
        </w:rPr>
        <w:t>96</w:t>
      </w:r>
      <w:r>
        <w:rPr>
          <w:rFonts w:hint="eastAsia" w:ascii="仿宋_GB2312" w:hAnsi="仿宋_GB2312" w:eastAsia="仿宋_GB2312" w:cs="仿宋_GB2312"/>
          <w:bCs/>
          <w:sz w:val="32"/>
          <w:szCs w:val="32"/>
        </w:rPr>
        <w:t>人次。</w:t>
      </w:r>
      <w:r>
        <w:rPr>
          <w:rFonts w:hint="eastAsia" w:ascii="仿宋_GB2312" w:hAnsi="仿宋_GB2312" w:eastAsia="仿宋_GB2312" w:cs="仿宋_GB2312"/>
          <w:bCs/>
          <w:sz w:val="32"/>
          <w:szCs w:val="32"/>
          <w:lang w:eastAsia="zh-CN"/>
        </w:rPr>
        <w:t>其中：群众来访</w:t>
      </w:r>
      <w:r>
        <w:rPr>
          <w:rFonts w:hint="eastAsia" w:ascii="仿宋_GB2312" w:hAnsi="仿宋_GB2312" w:eastAsia="仿宋_GB2312" w:cs="仿宋_GB2312"/>
          <w:bCs/>
          <w:sz w:val="32"/>
          <w:szCs w:val="32"/>
          <w:lang w:val="en-US" w:eastAsia="zh-CN"/>
        </w:rPr>
        <w:t>13批34人次（集体访3批22人次，个访10批12人次，已办结），网信6批6人次（</w:t>
      </w:r>
      <w:r>
        <w:rPr>
          <w:rFonts w:hint="eastAsia" w:ascii="仿宋_GB2312" w:hAnsi="仿宋_GB2312" w:eastAsia="仿宋_GB2312" w:cs="仿宋_GB2312"/>
          <w:bCs/>
          <w:sz w:val="32"/>
          <w:szCs w:val="32"/>
        </w:rPr>
        <w:t>网上投诉2件，网上留言转办件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件，县委书记信箱</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件</w:t>
      </w:r>
      <w:r>
        <w:rPr>
          <w:rFonts w:hint="eastAsia" w:ascii="仿宋_GB2312" w:hAnsi="仿宋_GB2312" w:eastAsia="仿宋_GB2312" w:cs="仿宋_GB2312"/>
          <w:bCs/>
          <w:sz w:val="32"/>
          <w:szCs w:val="32"/>
          <w:lang w:eastAsia="zh-CN"/>
        </w:rPr>
        <w:t>，已办结</w:t>
      </w:r>
      <w:r>
        <w:rPr>
          <w:rFonts w:hint="eastAsia" w:ascii="仿宋_GB2312" w:hAnsi="仿宋_GB2312" w:eastAsia="仿宋_GB2312" w:cs="仿宋_GB2312"/>
          <w:bCs/>
          <w:sz w:val="32"/>
          <w:szCs w:val="32"/>
          <w:lang w:val="en-US" w:eastAsia="zh-CN"/>
        </w:rPr>
        <w:t>4件，办结中2件）；来信4批4人次（</w:t>
      </w:r>
      <w:r>
        <w:rPr>
          <w:rFonts w:hint="eastAsia" w:ascii="仿宋_GB2312" w:hAnsi="仿宋_GB2312" w:eastAsia="仿宋_GB2312" w:cs="仿宋_GB2312"/>
          <w:bCs/>
          <w:sz w:val="32"/>
          <w:szCs w:val="32"/>
        </w:rPr>
        <w:t>国转交1件、省转交2件、州转交1件，</w:t>
      </w:r>
      <w:r>
        <w:rPr>
          <w:rFonts w:hint="eastAsia" w:ascii="仿宋_GB2312" w:hAnsi="仿宋_GB2312" w:eastAsia="仿宋_GB2312" w:cs="仿宋_GB2312"/>
          <w:bCs/>
          <w:sz w:val="32"/>
          <w:szCs w:val="32"/>
          <w:lang w:eastAsia="zh-CN"/>
        </w:rPr>
        <w:t>已办结</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政策咨询8批52人次。</w:t>
      </w:r>
    </w:p>
    <w:p>
      <w:pPr>
        <w:keepNext w:val="0"/>
        <w:keepLines w:val="0"/>
        <w:pageBreakBefore w:val="0"/>
        <w:widowControl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认真做好信访积案化解攻坚。</w:t>
      </w:r>
      <w:r>
        <w:rPr>
          <w:rFonts w:hint="eastAsia" w:ascii="仿宋_GB2312" w:hAnsi="仿宋_GB2312" w:eastAsia="仿宋_GB2312" w:cs="仿宋_GB2312"/>
          <w:sz w:val="32"/>
          <w:szCs w:val="32"/>
        </w:rPr>
        <w:t>对全县信访积案、遗留问题进行全面梳理，逐一进行会商研判，落实责任、细化措施，集中力量开展化解稳控工作。今年成功处置化解了瓦斯学长达近10年的“三跨三分离”案件。</w:t>
      </w:r>
    </w:p>
    <w:p>
      <w:pPr>
        <w:keepNext w:val="0"/>
        <w:keepLines w:val="0"/>
        <w:pageBreakBefore w:val="0"/>
        <w:widowControl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color w:val="242424"/>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认真开展信访法治宣传教育。</w:t>
      </w:r>
      <w:r>
        <w:rPr>
          <w:rFonts w:hint="eastAsia" w:ascii="仿宋_GB2312" w:hAnsi="仿宋_GB2312" w:eastAsia="仿宋_GB2312" w:cs="仿宋_GB2312"/>
          <w:sz w:val="32"/>
          <w:szCs w:val="32"/>
        </w:rPr>
        <w:t>采取深入牧户家中、工地现场，</w:t>
      </w:r>
      <w:r>
        <w:rPr>
          <w:rFonts w:hint="eastAsia" w:ascii="仿宋_GB2312" w:hAnsi="仿宋_GB2312" w:eastAsia="仿宋_GB2312" w:cs="仿宋_GB2312"/>
          <w:color w:val="242424"/>
          <w:sz w:val="32"/>
          <w:szCs w:val="32"/>
        </w:rPr>
        <w:t>面对面地向牧民群众、建筑工人宣传讲解信访法规政策，并发放了宣传资料</w:t>
      </w:r>
      <w:r>
        <w:rPr>
          <w:rFonts w:hint="eastAsia" w:ascii="仿宋_GB2312" w:hAnsi="仿宋_GB2312" w:eastAsia="仿宋_GB2312" w:cs="仿宋_GB2312"/>
          <w:color w:val="242424"/>
          <w:sz w:val="32"/>
          <w:szCs w:val="32"/>
          <w:lang w:eastAsia="zh-CN"/>
        </w:rPr>
        <w:t>，</w:t>
      </w:r>
      <w:r>
        <w:rPr>
          <w:rFonts w:hint="eastAsia" w:ascii="仿宋_GB2312" w:hAnsi="仿宋_GB2312" w:eastAsia="仿宋_GB2312" w:cs="仿宋_GB2312"/>
          <w:sz w:val="32"/>
          <w:szCs w:val="32"/>
        </w:rPr>
        <w:t>共走访群众</w:t>
      </w:r>
      <w:r>
        <w:rPr>
          <w:rFonts w:hint="eastAsia" w:ascii="仿宋_GB2312" w:hAnsi="仿宋_GB2312" w:eastAsia="仿宋_GB2312" w:cs="仿宋_GB2312"/>
          <w:sz w:val="32"/>
          <w:szCs w:val="32"/>
          <w:lang w:val="en-US" w:eastAsia="zh-CN"/>
        </w:rPr>
        <w:t>450</w:t>
      </w:r>
      <w:r>
        <w:rPr>
          <w:rFonts w:hint="eastAsia" w:ascii="仿宋_GB2312" w:hAnsi="仿宋_GB2312" w:eastAsia="仿宋_GB2312" w:cs="仿宋_GB2312"/>
          <w:sz w:val="32"/>
          <w:szCs w:val="32"/>
        </w:rPr>
        <w:t>余人次，发放《信访条例》宣讲手册</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余份</w:t>
      </w:r>
      <w:r>
        <w:rPr>
          <w:rFonts w:hint="eastAsia" w:ascii="仿宋_GB2312" w:hAnsi="仿宋_GB2312" w:eastAsia="仿宋_GB2312" w:cs="仿宋_GB2312"/>
          <w:color w:val="242424"/>
          <w:sz w:val="32"/>
          <w:szCs w:val="32"/>
        </w:rPr>
        <w:t>。同时，将信访法规政策的宣讲贯穿于每一次接访工作中，引导群众依法理性表达诉求。</w:t>
      </w:r>
    </w:p>
    <w:p>
      <w:pPr>
        <w:keepNext w:val="0"/>
        <w:keepLines w:val="0"/>
        <w:pageBreakBefore w:val="0"/>
        <w:widowControl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bidi="ar-SA"/>
        </w:rPr>
        <w:t>（</w:t>
      </w:r>
      <w:r>
        <w:rPr>
          <w:rFonts w:hint="eastAsia" w:ascii="仿宋_GB2312" w:hAnsi="仿宋_GB2312" w:eastAsia="仿宋_GB2312" w:cs="仿宋_GB2312"/>
          <w:b/>
          <w:sz w:val="32"/>
          <w:szCs w:val="32"/>
          <w:lang w:val="en-US" w:eastAsia="zh-CN" w:bidi="ar-SA"/>
        </w:rPr>
        <w:t>4</w:t>
      </w:r>
      <w:r>
        <w:rPr>
          <w:rFonts w:hint="eastAsia" w:ascii="仿宋_GB2312" w:hAnsi="仿宋_GB2312" w:eastAsia="仿宋_GB2312" w:cs="仿宋_GB2312"/>
          <w:b/>
          <w:sz w:val="32"/>
          <w:szCs w:val="32"/>
          <w:lang w:eastAsia="zh-CN" w:bidi="ar-SA"/>
        </w:rPr>
        <w:t>）</w:t>
      </w:r>
      <w:r>
        <w:rPr>
          <w:rFonts w:hint="eastAsia" w:ascii="仿宋_GB2312" w:hAnsi="仿宋_GB2312" w:eastAsia="仿宋_GB2312" w:cs="仿宋_GB2312"/>
          <w:b/>
          <w:sz w:val="32"/>
          <w:szCs w:val="32"/>
          <w:lang w:bidi="ar-SA"/>
        </w:rPr>
        <w:t>加强矛盾纠纷排查化解。</w:t>
      </w:r>
      <w:r>
        <w:rPr>
          <w:rFonts w:hint="eastAsia" w:ascii="仿宋_GB2312" w:hAnsi="仿宋_GB2312" w:eastAsia="仿宋_GB2312" w:cs="仿宋_GB2312"/>
          <w:b w:val="0"/>
          <w:bCs/>
          <w:sz w:val="32"/>
          <w:szCs w:val="32"/>
          <w:lang w:eastAsia="zh-CN" w:bidi="ar-SA"/>
        </w:rPr>
        <w:t>聚焦</w:t>
      </w:r>
      <w:r>
        <w:rPr>
          <w:rFonts w:hint="eastAsia" w:ascii="仿宋_GB2312" w:hAnsi="仿宋_GB2312" w:eastAsia="仿宋_GB2312" w:cs="仿宋_GB2312"/>
          <w:sz w:val="32"/>
          <w:szCs w:val="32"/>
        </w:rPr>
        <w:t>劳务用工、土地纠纷、草场边界纠纷、劳动社保等信访事项高发领域</w:t>
      </w:r>
      <w:r>
        <w:rPr>
          <w:rFonts w:hint="eastAsia" w:ascii="仿宋_GB2312" w:hAnsi="仿宋_GB2312" w:eastAsia="仿宋_GB2312" w:cs="仿宋_GB2312"/>
          <w:sz w:val="32"/>
          <w:szCs w:val="32"/>
          <w:lang w:eastAsia="zh-CN"/>
        </w:rPr>
        <w:t>常态开展矛盾纠纷排查化解工作</w:t>
      </w:r>
      <w:r>
        <w:rPr>
          <w:rFonts w:hint="eastAsia" w:ascii="仿宋_GB2312" w:hAnsi="仿宋_GB2312" w:eastAsia="仿宋_GB2312" w:cs="仿宋_GB2312"/>
          <w:sz w:val="32"/>
          <w:szCs w:val="32"/>
        </w:rPr>
        <w:t>，做到排查调处横向到边，纵向到底。截至目前共排查出矛盾纠纷</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件，化解</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件，化解率达100%。</w:t>
      </w:r>
    </w:p>
    <w:p>
      <w:pPr>
        <w:pStyle w:val="2"/>
        <w:keepNext w:val="0"/>
        <w:keepLines w:val="0"/>
        <w:pageBreakBefore w:val="0"/>
        <w:widowControl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bidi="ar-SA"/>
        </w:rPr>
        <w:t>（</w:t>
      </w:r>
      <w:r>
        <w:rPr>
          <w:rFonts w:hint="eastAsia" w:hAnsi="仿宋_GB2312" w:cs="仿宋_GB2312"/>
          <w:b/>
          <w:sz w:val="32"/>
          <w:szCs w:val="32"/>
          <w:lang w:val="en-US" w:eastAsia="zh-CN" w:bidi="ar-SA"/>
        </w:rPr>
        <w:t>5</w:t>
      </w:r>
      <w:r>
        <w:rPr>
          <w:rFonts w:hint="eastAsia" w:ascii="仿宋_GB2312" w:hAnsi="仿宋_GB2312" w:eastAsia="仿宋_GB2312" w:cs="仿宋_GB2312"/>
          <w:b/>
          <w:sz w:val="32"/>
          <w:szCs w:val="32"/>
          <w:lang w:eastAsia="zh-CN" w:bidi="ar-SA"/>
        </w:rPr>
        <w:t>）</w:t>
      </w:r>
      <w:r>
        <w:rPr>
          <w:rFonts w:hint="eastAsia" w:ascii="仿宋_GB2312" w:hAnsi="仿宋_GB2312" w:eastAsia="仿宋_GB2312" w:cs="仿宋_GB2312"/>
          <w:b/>
          <w:sz w:val="32"/>
          <w:szCs w:val="32"/>
          <w:lang w:bidi="ar-SA"/>
        </w:rPr>
        <w:t>落实领导干部接访下访制度。</w:t>
      </w:r>
      <w:r>
        <w:rPr>
          <w:rFonts w:hint="eastAsia" w:ascii="仿宋_GB2312" w:hAnsi="仿宋_GB2312" w:eastAsia="仿宋_GB2312" w:cs="仿宋_GB2312"/>
          <w:sz w:val="32"/>
          <w:szCs w:val="32"/>
        </w:rPr>
        <w:t>采取集中接访、主动约访、深入下访、跟踪回访等方式，扎实开展</w:t>
      </w:r>
      <w:r>
        <w:rPr>
          <w:rFonts w:hint="eastAsia" w:ascii="仿宋_GB2312" w:hAnsi="仿宋_GB2312" w:eastAsia="仿宋_GB2312" w:cs="仿宋_GB2312"/>
          <w:sz w:val="32"/>
          <w:szCs w:val="32"/>
          <w:lang w:eastAsia="zh-CN"/>
        </w:rPr>
        <w:t>领导干部</w:t>
      </w:r>
      <w:r>
        <w:rPr>
          <w:rFonts w:hint="eastAsia" w:ascii="仿宋_GB2312" w:hAnsi="仿宋_GB2312" w:eastAsia="仿宋_GB2312" w:cs="仿宋_GB2312"/>
          <w:sz w:val="32"/>
          <w:szCs w:val="32"/>
        </w:rPr>
        <w:t>大接访活动。截止目前，县级领导参与接访</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人次，县级领导干部下访</w:t>
      </w:r>
      <w:r>
        <w:rPr>
          <w:rFonts w:hint="eastAsia" w:ascii="仿宋_GB2312" w:hAnsi="仿宋_GB2312" w:eastAsia="仿宋_GB2312" w:cs="仿宋_GB2312"/>
          <w:sz w:val="32"/>
          <w:szCs w:val="32"/>
          <w:lang w:val="en-US" w:eastAsia="zh-CN"/>
        </w:rPr>
        <w:t>440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975</w:t>
      </w:r>
      <w:r>
        <w:rPr>
          <w:rFonts w:hint="eastAsia" w:ascii="仿宋_GB2312" w:hAnsi="仿宋_GB2312" w:eastAsia="仿宋_GB2312" w:cs="仿宋_GB2312"/>
          <w:sz w:val="32"/>
          <w:szCs w:val="32"/>
        </w:rPr>
        <w:t>人次，一大批矛盾纠纷事件得到</w:t>
      </w:r>
      <w:r>
        <w:rPr>
          <w:rFonts w:hint="eastAsia" w:ascii="仿宋_GB2312" w:hAnsi="仿宋_GB2312" w:eastAsia="仿宋_GB2312" w:cs="仿宋_GB2312"/>
          <w:sz w:val="32"/>
          <w:szCs w:val="32"/>
          <w:lang w:eastAsia="zh-CN"/>
        </w:rPr>
        <w:t>及时有效</w:t>
      </w:r>
      <w:r>
        <w:rPr>
          <w:rFonts w:hint="eastAsia" w:ascii="仿宋_GB2312" w:hAnsi="仿宋_GB2312" w:eastAsia="仿宋_GB2312" w:cs="仿宋_GB2312"/>
          <w:sz w:val="32"/>
          <w:szCs w:val="32"/>
        </w:rPr>
        <w:t>化解。</w:t>
      </w:r>
    </w:p>
    <w:p>
      <w:pPr>
        <w:pStyle w:val="35"/>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开展人民满意窗口创建活动。</w:t>
      </w:r>
      <w:r>
        <w:rPr>
          <w:rFonts w:hint="eastAsia" w:ascii="仿宋_GB2312" w:hAnsi="仿宋_GB2312" w:eastAsia="仿宋_GB2312" w:cs="仿宋_GB2312"/>
          <w:sz w:val="32"/>
          <w:szCs w:val="32"/>
        </w:rPr>
        <w:t>持续推进“人民满意窗口”创建活动的要求，进一步建立健全窗口接访、领导约访、视频接访、联合处访、案件调处等制度</w:t>
      </w:r>
      <w:r>
        <w:rPr>
          <w:rFonts w:hint="eastAsia" w:ascii="仿宋_GB2312" w:hAnsi="仿宋_GB2312" w:eastAsia="仿宋_GB2312" w:cs="仿宋_GB2312"/>
          <w:sz w:val="32"/>
          <w:szCs w:val="32"/>
          <w:lang w:eastAsia="zh-CN"/>
        </w:rPr>
        <w:t>，信访工作流程进一步规范，业务水平进一步提升</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bidi="ar-SA"/>
        </w:rPr>
        <w:t>（</w:t>
      </w:r>
      <w:r>
        <w:rPr>
          <w:rFonts w:hint="eastAsia" w:ascii="仿宋_GB2312" w:hAnsi="仿宋_GB2312" w:eastAsia="仿宋_GB2312" w:cs="仿宋_GB2312"/>
          <w:b/>
          <w:sz w:val="32"/>
          <w:szCs w:val="32"/>
          <w:lang w:val="en-US" w:eastAsia="zh-CN" w:bidi="ar-SA"/>
        </w:rPr>
        <w:t>7</w:t>
      </w:r>
      <w:r>
        <w:rPr>
          <w:rFonts w:hint="eastAsia" w:ascii="仿宋_GB2312" w:hAnsi="仿宋_GB2312" w:eastAsia="仿宋_GB2312" w:cs="仿宋_GB2312"/>
          <w:b/>
          <w:sz w:val="32"/>
          <w:szCs w:val="32"/>
          <w:lang w:eastAsia="zh-CN" w:bidi="ar-SA"/>
        </w:rPr>
        <w:t>）</w:t>
      </w:r>
      <w:r>
        <w:rPr>
          <w:rFonts w:hint="eastAsia" w:ascii="仿宋_GB2312" w:hAnsi="仿宋_GB2312" w:eastAsia="仿宋_GB2312" w:cs="仿宋_GB2312"/>
          <w:b/>
          <w:sz w:val="32"/>
          <w:szCs w:val="32"/>
          <w:lang w:bidi="ar-SA"/>
        </w:rPr>
        <w:t>扎实开展</w:t>
      </w:r>
      <w:r>
        <w:rPr>
          <w:rFonts w:hint="eastAsia" w:ascii="仿宋_GB2312" w:hAnsi="仿宋_GB2312" w:eastAsia="仿宋_GB2312" w:cs="仿宋_GB2312"/>
          <w:b/>
          <w:sz w:val="32"/>
          <w:szCs w:val="32"/>
          <w:lang w:eastAsia="zh-CN" w:bidi="ar-SA"/>
        </w:rPr>
        <w:t>帮扶</w:t>
      </w:r>
      <w:r>
        <w:rPr>
          <w:rFonts w:hint="eastAsia" w:ascii="仿宋_GB2312" w:hAnsi="仿宋_GB2312" w:eastAsia="仿宋_GB2312" w:cs="仿宋_GB2312"/>
          <w:b/>
          <w:sz w:val="32"/>
          <w:szCs w:val="32"/>
          <w:lang w:bidi="ar-SA"/>
        </w:rPr>
        <w:t>工作。</w:t>
      </w:r>
      <w:r>
        <w:rPr>
          <w:rFonts w:hint="eastAsia" w:ascii="仿宋_GB2312" w:hAnsi="仿宋_GB2312" w:eastAsia="仿宋_GB2312" w:cs="仿宋_GB2312"/>
          <w:b w:val="0"/>
          <w:bCs/>
          <w:sz w:val="32"/>
          <w:szCs w:val="32"/>
          <w:lang w:eastAsia="zh-CN" w:bidi="ar-SA"/>
        </w:rPr>
        <w:t>按照精准帮扶和“联户联情”“联寺联僧”工作的要求，常态</w:t>
      </w:r>
      <w:r>
        <w:rPr>
          <w:rFonts w:hint="eastAsia" w:ascii="仿宋_GB2312" w:hAnsi="仿宋_GB2312" w:eastAsia="仿宋_GB2312" w:cs="仿宋_GB2312"/>
          <w:sz w:val="32"/>
          <w:szCs w:val="32"/>
        </w:rPr>
        <w:t>深入</w:t>
      </w:r>
      <w:r>
        <w:rPr>
          <w:rFonts w:hint="eastAsia" w:ascii="仿宋_GB2312" w:hAnsi="仿宋_GB2312" w:eastAsia="仿宋_GB2312" w:cs="仿宋_GB2312"/>
          <w:sz w:val="32"/>
          <w:szCs w:val="32"/>
          <w:lang w:eastAsia="zh-CN"/>
        </w:rPr>
        <w:t>联系村（寺）和帮扶对象家中</w:t>
      </w:r>
      <w:r>
        <w:rPr>
          <w:rFonts w:hint="eastAsia" w:ascii="仿宋_GB2312" w:hAnsi="仿宋_GB2312" w:eastAsia="仿宋_GB2312" w:cs="仿宋_GB2312"/>
          <w:sz w:val="32"/>
          <w:szCs w:val="32"/>
        </w:rPr>
        <w:t>开展“大走访”和慰问活动，共计</w:t>
      </w:r>
      <w:r>
        <w:rPr>
          <w:rFonts w:hint="eastAsia" w:ascii="仿宋_GB2312" w:hAnsi="仿宋_GB2312" w:eastAsia="仿宋_GB2312" w:cs="仿宋_GB2312"/>
          <w:sz w:val="32"/>
          <w:szCs w:val="32"/>
          <w:lang w:eastAsia="zh-CN"/>
        </w:rPr>
        <w:t>筹集捐赠</w:t>
      </w:r>
      <w:r>
        <w:rPr>
          <w:rFonts w:hint="eastAsia" w:ascii="仿宋_GB2312" w:hAnsi="仿宋_GB2312" w:eastAsia="仿宋_GB2312" w:cs="仿宋_GB2312"/>
          <w:sz w:val="32"/>
          <w:szCs w:val="32"/>
        </w:rPr>
        <w:t>帮扶资金</w:t>
      </w:r>
      <w:r>
        <w:rPr>
          <w:rFonts w:hint="eastAsia" w:ascii="仿宋_GB2312" w:hAnsi="仿宋_GB2312" w:eastAsia="仿宋_GB2312" w:cs="仿宋_GB2312"/>
          <w:sz w:val="32"/>
          <w:szCs w:val="32"/>
          <w:lang w:eastAsia="zh-CN"/>
        </w:rPr>
        <w:t>、慰问物品折合人民币</w:t>
      </w:r>
      <w:r>
        <w:rPr>
          <w:rFonts w:hint="eastAsia" w:ascii="仿宋_GB2312" w:hAnsi="仿宋_GB2312" w:eastAsia="仿宋_GB2312" w:cs="仿宋_GB2312"/>
          <w:sz w:val="32"/>
          <w:szCs w:val="32"/>
        </w:rPr>
        <w:t>13000</w:t>
      </w:r>
      <w:r>
        <w:rPr>
          <w:rFonts w:hint="eastAsia" w:ascii="仿宋_GB2312" w:hAnsi="仿宋_GB2312" w:eastAsia="仿宋_GB2312" w:cs="仿宋_GB2312"/>
          <w:sz w:val="32"/>
          <w:szCs w:val="32"/>
          <w:lang w:eastAsia="zh-CN"/>
        </w:rPr>
        <w:t>余</w:t>
      </w:r>
      <w:r>
        <w:rPr>
          <w:rFonts w:hint="eastAsia" w:ascii="仿宋_GB2312" w:hAnsi="仿宋_GB2312" w:eastAsia="仿宋_GB2312" w:cs="仿宋_GB2312"/>
          <w:sz w:val="32"/>
          <w:szCs w:val="32"/>
        </w:rPr>
        <w:t>元，慰问联系户和联席僧人22户。</w:t>
      </w:r>
      <w:bookmarkEnd w:id="18"/>
      <w:bookmarkEnd w:id="19"/>
      <w:bookmarkStart w:id="20" w:name="_Toc15396601"/>
      <w:bookmarkStart w:id="21" w:name="_Toc15377200"/>
    </w:p>
    <w:p>
      <w:pPr>
        <w:keepNext w:val="0"/>
        <w:keepLines w:val="0"/>
        <w:pageBreakBefore w:val="0"/>
        <w:widowControl w:val="0"/>
        <w:kinsoku/>
        <w:wordWrap/>
        <w:overflowPunct/>
        <w:topLinePunct w:val="0"/>
        <w:autoSpaceDE/>
        <w:autoSpaceDN/>
        <w:bidi w:val="0"/>
        <w:spacing w:line="560" w:lineRule="exact"/>
        <w:ind w:firstLine="640" w:firstLineChars="200"/>
        <w:jc w:val="left"/>
        <w:rPr>
          <w:rStyle w:val="29"/>
          <w:rFonts w:hint="eastAsia" w:ascii="黑体" w:hAnsi="黑体" w:eastAsia="黑体"/>
          <w:b w:val="0"/>
          <w:bCs w:val="0"/>
        </w:rPr>
      </w:pPr>
      <w:r>
        <w:rPr>
          <w:rStyle w:val="29"/>
          <w:rFonts w:hint="eastAsia" w:ascii="黑体" w:hAnsi="黑体" w:eastAsia="黑体"/>
          <w:b w:val="0"/>
          <w:bCs w:val="0"/>
        </w:rPr>
        <w:t>二、机构设置</w:t>
      </w:r>
      <w:bookmarkEnd w:id="20"/>
      <w:bookmarkEnd w:id="21"/>
    </w:p>
    <w:p>
      <w:pPr>
        <w:keepNext w:val="0"/>
        <w:keepLines w:val="0"/>
        <w:pageBreakBefore w:val="0"/>
        <w:widowControl w:val="0"/>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 w:hAnsi="仿宋" w:eastAsia="仿宋" w:cs="仿宋_GB2312"/>
          <w:bCs/>
          <w:sz w:val="32"/>
        </w:rPr>
        <w:t>我单位为独立核算全额拨行政单位，</w:t>
      </w:r>
      <w:r>
        <w:rPr>
          <w:rFonts w:hint="eastAsia" w:ascii="仿宋_GB2312" w:hAnsi="仿宋_GB2312" w:eastAsia="仿宋_GB2312" w:cs="仿宋_GB2312"/>
          <w:w w:val="95"/>
          <w:kern w:val="0"/>
          <w:sz w:val="32"/>
          <w:szCs w:val="32"/>
          <w:lang w:val="en-US" w:eastAsia="zh-CN" w:bidi="ar-SA"/>
        </w:rPr>
        <w:t>内设机构为综合办公室、督查督办股，内设事业单位1个，为红原县信访接待中心。</w:t>
      </w:r>
      <w:r>
        <w:rPr>
          <w:rFonts w:hint="eastAsia" w:ascii="仿宋_GB2312" w:hAnsi="仿宋_GB2312" w:eastAsia="仿宋_GB2312" w:cs="仿宋_GB2312"/>
          <w:sz w:val="32"/>
          <w:szCs w:val="32"/>
        </w:rPr>
        <w:t>县信访局目前在编人员9人，其中公务员4人、行政工勤1人、</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人员4人。</w:t>
      </w:r>
    </w:p>
    <w:p>
      <w:pPr>
        <w:pStyle w:val="4"/>
        <w:pageBreakBefore w:val="0"/>
        <w:kinsoku/>
        <w:wordWrap/>
        <w:overflowPunct/>
        <w:topLinePunct w:val="0"/>
        <w:bidi w:val="0"/>
        <w:ind w:firstLine="880" w:firstLineChars="200"/>
        <w:jc w:val="center"/>
        <w:rPr>
          <w:rFonts w:hint="eastAsia" w:ascii="黑体" w:hAnsi="黑体" w:eastAsia="黑体"/>
          <w:b w:val="0"/>
          <w:lang w:eastAsia="zh-CN"/>
        </w:rPr>
      </w:pPr>
      <w:bookmarkStart w:id="22" w:name="_Toc15396602"/>
      <w:bookmarkStart w:id="23" w:name="_Toc15377204"/>
      <w:r>
        <w:rPr>
          <w:rFonts w:hint="eastAsia" w:ascii="黑体" w:hAnsi="黑体" w:eastAsia="黑体"/>
          <w:b w:val="0"/>
        </w:rPr>
        <w:t>第二部分 2019年度部门决算情况说</w:t>
      </w:r>
      <w:bookmarkEnd w:id="22"/>
      <w:bookmarkEnd w:id="23"/>
      <w:r>
        <w:rPr>
          <w:rFonts w:hint="eastAsia" w:ascii="黑体" w:hAnsi="黑体" w:eastAsia="黑体"/>
          <w:b w:val="0"/>
          <w:lang w:eastAsia="zh-CN"/>
        </w:rPr>
        <w:t>明</w:t>
      </w:r>
    </w:p>
    <w:p>
      <w:pPr>
        <w:pStyle w:val="27"/>
        <w:pageBreakBefore w:val="0"/>
        <w:numPr>
          <w:ilvl w:val="0"/>
          <w:numId w:val="0"/>
        </w:numPr>
        <w:kinsoku/>
        <w:wordWrap/>
        <w:overflowPunct/>
        <w:topLinePunct w:val="0"/>
        <w:bidi w:val="0"/>
        <w:spacing w:line="600" w:lineRule="exact"/>
        <w:ind w:firstLine="640" w:firstLineChars="200"/>
        <w:outlineLvl w:val="1"/>
        <w:rPr>
          <w:rStyle w:val="29"/>
          <w:rFonts w:ascii="黑体" w:hAnsi="黑体" w:eastAsia="黑体"/>
          <w:b w:val="0"/>
        </w:rPr>
      </w:pPr>
      <w:bookmarkStart w:id="24" w:name="_Toc15396603"/>
      <w:bookmarkStart w:id="25" w:name="_Toc15377205"/>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pageBreakBefore w:val="0"/>
        <w:kinsoku/>
        <w:wordWrap/>
        <w:overflowPunct/>
        <w:topLinePunct w:val="0"/>
        <w:bidi w:val="0"/>
        <w:spacing w:line="600" w:lineRule="exact"/>
        <w:ind w:firstLine="640" w:firstLineChars="200"/>
        <w:rPr>
          <w:rFonts w:hint="eastAsia" w:eastAsia="仿宋_GB2312"/>
          <w:lang w:eastAsia="zh-CN"/>
        </w:rPr>
      </w:pPr>
      <w:r>
        <w:rPr>
          <w:rFonts w:hint="eastAsia" w:ascii="仿宋_GB2312" w:hAnsi="仿宋_GB2312" w:eastAsia="仿宋_GB2312" w:cs="仿宋_GB2312"/>
          <w:sz w:val="32"/>
          <w:szCs w:val="32"/>
        </w:rPr>
        <w:drawing>
          <wp:anchor distT="0" distB="0" distL="0" distR="0" simplePos="0" relativeHeight="251658240" behindDoc="0" locked="0" layoutInCell="1" allowOverlap="1">
            <wp:simplePos x="0" y="0"/>
            <wp:positionH relativeFrom="column">
              <wp:posOffset>-33655</wp:posOffset>
            </wp:positionH>
            <wp:positionV relativeFrom="paragraph">
              <wp:posOffset>1624965</wp:posOffset>
            </wp:positionV>
            <wp:extent cx="5504815" cy="3325495"/>
            <wp:effectExtent l="5080" t="4445" r="14605" b="2286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10.85万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，主要原因为人员经费增加。</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年支出142.97万元，上年支出148.85万元，支出比上年减少5.88元，主要原因是公用经费支出较上年减少。</w:t>
      </w:r>
    </w:p>
    <w:p>
      <w:pPr>
        <w:pStyle w:val="2"/>
        <w:ind w:firstLine="1920" w:firstLineChars="600"/>
        <w:rPr>
          <w:rFonts w:hint="eastAsia" w:eastAsia="仿宋_GB2312"/>
          <w:lang w:eastAsia="zh-CN"/>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pStyle w:val="27"/>
        <w:pageBreakBefore w:val="0"/>
        <w:numPr>
          <w:ilvl w:val="0"/>
          <w:numId w:val="0"/>
        </w:numPr>
        <w:kinsoku/>
        <w:wordWrap/>
        <w:overflowPunct/>
        <w:topLinePunct w:val="0"/>
        <w:bidi w:val="0"/>
        <w:spacing w:line="600" w:lineRule="exact"/>
        <w:ind w:firstLine="640" w:firstLineChars="20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pStyle w:val="26"/>
        <w:pageBreakBefore w:val="0"/>
        <w:kinsoku/>
        <w:wordWrap/>
        <w:overflowPunct/>
        <w:topLinePunct w:val="0"/>
        <w:bidi w:val="0"/>
        <w:spacing w:line="56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hAnsi="仿宋"/>
          <w:color w:val="000000"/>
          <w:sz w:val="32"/>
          <w:szCs w:val="32"/>
          <w:lang w:val="en-US" w:eastAsia="zh-CN"/>
        </w:rPr>
        <w:t>0</w:t>
      </w:r>
      <w:r>
        <w:rPr>
          <w:rFonts w:hint="eastAsia" w:ascii="仿宋" w:hAnsi="仿宋" w:eastAsia="仿宋"/>
          <w:color w:val="000000"/>
          <w:sz w:val="32"/>
          <w:szCs w:val="32"/>
        </w:rPr>
        <w:t>万元，占</w:t>
      </w:r>
      <w:r>
        <w:rPr>
          <w:rFonts w:hint="eastAsia" w:hAnsi="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6"/>
        <w:pageBreakBefore w:val="0"/>
        <w:kinsoku/>
        <w:wordWrap/>
        <w:overflowPunct/>
        <w:topLinePunct w:val="0"/>
        <w:bidi w:val="0"/>
        <w:spacing w:line="560" w:lineRule="exact"/>
        <w:ind w:firstLine="2240" w:firstLineChars="700"/>
        <w:rPr>
          <w:rFonts w:hint="eastAsia" w:ascii="仿宋" w:hAnsi="仿宋" w:eastAsia="仿宋"/>
          <w:color w:val="000000"/>
          <w:sz w:val="32"/>
          <w:szCs w:val="32"/>
          <w:lang w:eastAsia="zh-CN"/>
        </w:rPr>
      </w:pPr>
      <w:r>
        <w:rPr>
          <w:rFonts w:hint="eastAsia" w:ascii="仿宋_GB2312" w:hAnsi="仿宋_GB2312" w:eastAsia="仿宋_GB2312" w:cs="仿宋_GB2312"/>
          <w:color w:val="535353"/>
          <w:kern w:val="0"/>
          <w:sz w:val="32"/>
          <w:szCs w:val="32"/>
        </w:rPr>
        <w:drawing>
          <wp:anchor distT="0" distB="0" distL="0" distR="0" simplePos="0" relativeHeight="251659264" behindDoc="0" locked="0" layoutInCell="1" allowOverlap="1">
            <wp:simplePos x="0" y="0"/>
            <wp:positionH relativeFrom="column">
              <wp:posOffset>-17145</wp:posOffset>
            </wp:positionH>
            <wp:positionV relativeFrom="paragraph">
              <wp:posOffset>156845</wp:posOffset>
            </wp:positionV>
            <wp:extent cx="5377815" cy="3989070"/>
            <wp:effectExtent l="5080" t="4445" r="8255" b="698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w:t>
      </w:r>
    </w:p>
    <w:p>
      <w:pPr>
        <w:pStyle w:val="27"/>
        <w:pageBreakBefore w:val="0"/>
        <w:numPr>
          <w:ilvl w:val="0"/>
          <w:numId w:val="0"/>
        </w:numPr>
        <w:kinsoku/>
        <w:wordWrap/>
        <w:overflowPunct/>
        <w:topLinePunct w:val="0"/>
        <w:bidi w:val="0"/>
        <w:spacing w:line="600" w:lineRule="exact"/>
        <w:ind w:firstLine="640" w:firstLineChars="200"/>
        <w:outlineLvl w:val="1"/>
        <w:rPr>
          <w:rStyle w:val="29"/>
          <w:rFonts w:ascii="黑体" w:hAnsi="黑体" w:eastAsia="黑体"/>
          <w:b w:val="0"/>
        </w:rPr>
      </w:pPr>
      <w:bookmarkStart w:id="28" w:name="_Toc15396605"/>
      <w:bookmarkStart w:id="29"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pStyle w:val="26"/>
        <w:pageBreakBefore w:val="0"/>
        <w:kinsoku/>
        <w:wordWrap/>
        <w:overflowPunct/>
        <w:topLinePunct w:val="0"/>
        <w:bidi w:val="0"/>
        <w:spacing w:line="560" w:lineRule="exact"/>
        <w:ind w:firstLine="640" w:firstLineChars="200"/>
        <w:rPr>
          <w:rFonts w:hint="eastAsia" w:hAnsi="仿宋"/>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142.97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142.97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6"/>
        <w:pageBreakBefore w:val="0"/>
        <w:kinsoku/>
        <w:wordWrap/>
        <w:overflowPunct/>
        <w:topLinePunct w:val="0"/>
        <w:bidi w:val="0"/>
        <w:spacing w:line="560" w:lineRule="exact"/>
        <w:ind w:firstLine="2240" w:firstLineChars="700"/>
        <w:rPr>
          <w:rFonts w:hint="eastAsia" w:ascii="仿宋" w:hAnsi="仿宋" w:eastAsia="仿宋"/>
          <w:color w:val="000000" w:themeColor="text1"/>
          <w:sz w:val="32"/>
          <w:szCs w:val="32"/>
          <w14:textFill>
            <w14:solidFill>
              <w14:schemeClr w14:val="tx1"/>
            </w14:solidFill>
          </w14:textFill>
        </w:rPr>
      </w:pPr>
    </w:p>
    <w:p>
      <w:pPr>
        <w:pStyle w:val="26"/>
        <w:pageBreakBefore w:val="0"/>
        <w:kinsoku/>
        <w:wordWrap/>
        <w:overflowPunct/>
        <w:topLinePunct w:val="0"/>
        <w:bidi w:val="0"/>
        <w:spacing w:line="560" w:lineRule="exact"/>
        <w:ind w:firstLine="2240" w:firstLineChars="700"/>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535353"/>
          <w:kern w:val="0"/>
          <w:sz w:val="32"/>
          <w:szCs w:val="32"/>
        </w:rPr>
        <w:drawing>
          <wp:anchor distT="0" distB="0" distL="0" distR="0" simplePos="0" relativeHeight="251666432" behindDoc="0" locked="0" layoutInCell="1" allowOverlap="1">
            <wp:simplePos x="0" y="0"/>
            <wp:positionH relativeFrom="column">
              <wp:posOffset>-109220</wp:posOffset>
            </wp:positionH>
            <wp:positionV relativeFrom="paragraph">
              <wp:posOffset>166370</wp:posOffset>
            </wp:positionV>
            <wp:extent cx="5681980" cy="5674995"/>
            <wp:effectExtent l="4445" t="4445" r="9525" b="1651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w:t>
      </w:r>
      <w:bookmarkStart w:id="30" w:name="_Toc15377208"/>
      <w:bookmarkStart w:id="31" w:name="_Toc15396606"/>
    </w:p>
    <w:p>
      <w:pPr>
        <w:pStyle w:val="26"/>
        <w:pageBreakBefore w:val="0"/>
        <w:numPr>
          <w:numId w:val="0"/>
        </w:numPr>
        <w:kinsoku/>
        <w:wordWrap/>
        <w:overflowPunct/>
        <w:topLinePunct w:val="0"/>
        <w:bidi w:val="0"/>
        <w:spacing w:line="560" w:lineRule="exact"/>
        <w:ind w:firstLine="640" w:firstLineChars="200"/>
        <w:rPr>
          <w:rStyle w:val="29"/>
          <w:rFonts w:hint="eastAsia" w:ascii="黑体" w:hAnsi="黑体" w:eastAsia="黑体"/>
          <w:b w:val="0"/>
        </w:rPr>
      </w:pPr>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29"/>
          <w:rFonts w:hint="eastAsia" w:ascii="黑体" w:hAnsi="黑体" w:eastAsia="黑体"/>
          <w:b w:val="0"/>
        </w:rPr>
        <w:t>政拨款收入支出决算总体情况说明</w:t>
      </w:r>
      <w:bookmarkEnd w:id="30"/>
      <w:bookmarkEnd w:id="31"/>
    </w:p>
    <w:p>
      <w:pPr>
        <w:pStyle w:val="26"/>
        <w:pageBreakBefore w:val="0"/>
        <w:numPr>
          <w:numId w:val="0"/>
        </w:numPr>
        <w:kinsoku/>
        <w:wordWrap/>
        <w:overflowPunct/>
        <w:topLinePunct w:val="0"/>
        <w:bidi w:val="0"/>
        <w:spacing w:line="560" w:lineRule="exact"/>
        <w:ind w:firstLine="640" w:firstLineChars="200"/>
        <w:rPr>
          <w:rFonts w:hint="eastAsia" w:eastAsia="仿宋_GB231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_GB2312" w:hAnsi="仿宋_GB2312" w:eastAsia="仿宋_GB2312" w:cs="仿宋_GB2312"/>
          <w:sz w:val="32"/>
          <w:szCs w:val="32"/>
        </w:rPr>
        <w:drawing>
          <wp:anchor distT="0" distB="0" distL="0" distR="0" simplePos="0" relativeHeight="251661312" behindDoc="0" locked="0" layoutInCell="1" allowOverlap="1">
            <wp:simplePos x="0" y="0"/>
            <wp:positionH relativeFrom="column">
              <wp:posOffset>271780</wp:posOffset>
            </wp:positionH>
            <wp:positionV relativeFrom="paragraph">
              <wp:posOffset>-5522595</wp:posOffset>
            </wp:positionV>
            <wp:extent cx="5191125" cy="3163570"/>
            <wp:effectExtent l="4445" t="4445" r="5080" b="1333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lang w:val="en-US" w:eastAsia="zh-CN"/>
        </w:rPr>
        <w:t>142.97</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_GB2312" w:hAnsi="仿宋_GB2312" w:eastAsia="仿宋_GB2312" w:cs="仿宋_GB2312"/>
          <w:sz w:val="32"/>
          <w:szCs w:val="32"/>
        </w:rPr>
        <w:t>减少</w:t>
      </w:r>
      <w:r>
        <w:rPr>
          <w:rFonts w:hint="eastAsia" w:ascii="仿宋_GB2312" w:hAnsi="仿宋_GB2312" w:eastAsia="仿宋_GB2312" w:cs="仿宋_GB2312"/>
          <w:sz w:val="32"/>
          <w:szCs w:val="32"/>
          <w:lang w:val="en-US" w:eastAsia="zh-CN"/>
        </w:rPr>
        <w:t>8.87</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年支出142.97万元，上年支出148.85万元，支出比上年减少5.88元，主要原因是公用经费支出较上年减少。</w:t>
      </w:r>
    </w:p>
    <w:p>
      <w:pPr>
        <w:pageBreakBefore w:val="0"/>
        <w:kinsoku/>
        <w:wordWrap/>
        <w:overflowPunct/>
        <w:topLinePunct w:val="0"/>
        <w:bidi w:val="0"/>
        <w:spacing w:line="600" w:lineRule="exact"/>
        <w:ind w:firstLine="640" w:firstLineChars="200"/>
        <w:outlineLvl w:val="1"/>
        <w:rPr>
          <w:rFonts w:hint="eastAsia" w:ascii="黑体" w:hAnsi="黑体" w:eastAsia="黑体"/>
          <w:color w:val="000000"/>
          <w:sz w:val="32"/>
          <w:szCs w:val="32"/>
        </w:rPr>
      </w:pPr>
      <w:bookmarkStart w:id="32" w:name="_Toc15396607"/>
      <w:bookmarkStart w:id="33" w:name="_Toc15377209"/>
    </w:p>
    <w:p>
      <w:pPr>
        <w:pageBreakBefore w:val="0"/>
        <w:kinsoku/>
        <w:wordWrap/>
        <w:overflowPunct/>
        <w:topLinePunct w:val="0"/>
        <w:bidi w:val="0"/>
        <w:spacing w:line="600" w:lineRule="exact"/>
        <w:ind w:firstLine="640" w:firstLineChars="200"/>
        <w:outlineLvl w:val="1"/>
        <w:rPr>
          <w:rFonts w:hint="eastAsia" w:ascii="黑体" w:hAnsi="黑体" w:eastAsia="黑体"/>
          <w:color w:val="000000"/>
          <w:sz w:val="32"/>
          <w:szCs w:val="32"/>
        </w:rPr>
      </w:pPr>
    </w:p>
    <w:p>
      <w:pPr>
        <w:pageBreakBefore w:val="0"/>
        <w:kinsoku/>
        <w:wordWrap/>
        <w:overflowPunct/>
        <w:topLinePunct w:val="0"/>
        <w:bidi w:val="0"/>
        <w:spacing w:line="600" w:lineRule="exact"/>
        <w:ind w:firstLine="640" w:firstLineChars="200"/>
        <w:outlineLvl w:val="1"/>
        <w:rPr>
          <w:rFonts w:hint="eastAsia" w:ascii="黑体" w:hAnsi="黑体" w:eastAsia="黑体"/>
          <w:color w:val="000000"/>
          <w:sz w:val="32"/>
          <w:szCs w:val="32"/>
        </w:rPr>
      </w:pPr>
    </w:p>
    <w:p>
      <w:pPr>
        <w:pStyle w:val="26"/>
        <w:pageBreakBefore w:val="0"/>
        <w:kinsoku/>
        <w:wordWrap/>
        <w:overflowPunct/>
        <w:topLinePunct w:val="0"/>
        <w:bidi w:val="0"/>
        <w:spacing w:line="560" w:lineRule="exact"/>
        <w:ind w:firstLine="1200" w:firstLineChars="500"/>
        <w:rPr>
          <w:rFonts w:hint="eastAsia" w:eastAsia="仿宋_GB2312"/>
          <w:lang w:eastAsia="zh-CN"/>
        </w:rPr>
      </w:pPr>
      <w:r>
        <w:rPr>
          <w:rFonts w:hint="eastAsia" w:eastAsia="仿宋_GB2312"/>
          <w:lang w:eastAsia="zh-CN"/>
        </w:rPr>
        <w:drawing>
          <wp:anchor distT="0" distB="0" distL="114300" distR="114300" simplePos="0" relativeHeight="251662336" behindDoc="0" locked="0" layoutInCell="1" allowOverlap="1">
            <wp:simplePos x="0" y="0"/>
            <wp:positionH relativeFrom="column">
              <wp:posOffset>96520</wp:posOffset>
            </wp:positionH>
            <wp:positionV relativeFrom="paragraph">
              <wp:posOffset>287020</wp:posOffset>
            </wp:positionV>
            <wp:extent cx="5080000" cy="3810000"/>
            <wp:effectExtent l="4445" t="4445" r="2095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w:t>
      </w:r>
    </w:p>
    <w:p>
      <w:pPr>
        <w:pageBreakBefore w:val="0"/>
        <w:kinsoku/>
        <w:wordWrap/>
        <w:overflowPunct/>
        <w:topLinePunct w:val="0"/>
        <w:bidi w:val="0"/>
        <w:spacing w:line="600" w:lineRule="exact"/>
        <w:ind w:firstLine="640" w:firstLineChars="200"/>
        <w:outlineLvl w:val="1"/>
        <w:rPr>
          <w:rFonts w:hint="eastAsia" w:ascii="黑体" w:hAnsi="黑体" w:eastAsia="黑体"/>
          <w:color w:val="000000"/>
          <w:sz w:val="32"/>
          <w:szCs w:val="32"/>
        </w:rPr>
      </w:pPr>
    </w:p>
    <w:p>
      <w:pPr>
        <w:pageBreakBefore w:val="0"/>
        <w:kinsoku/>
        <w:wordWrap/>
        <w:overflowPunct/>
        <w:topLinePunct w:val="0"/>
        <w:bidi w:val="0"/>
        <w:spacing w:line="600" w:lineRule="exact"/>
        <w:ind w:firstLine="640" w:firstLineChars="200"/>
        <w:outlineLvl w:val="1"/>
        <w:rPr>
          <w:rStyle w:val="29"/>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pageBreakBefore w:val="0"/>
        <w:kinsoku/>
        <w:wordWrap/>
        <w:overflowPunct/>
        <w:topLinePunct w:val="0"/>
        <w:bidi w:val="0"/>
        <w:spacing w:line="600" w:lineRule="exact"/>
        <w:ind w:firstLine="640" w:firstLineChars="200"/>
        <w:rPr>
          <w:rFonts w:hint="eastAsia" w:ascii="仿宋_GB2312" w:hAnsi="仿宋_GB2312" w:eastAsia="仿宋_GB2312"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142.97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5.88</w:t>
      </w:r>
      <w:r>
        <w:rPr>
          <w:rFonts w:hint="eastAsia" w:ascii="仿宋" w:hAnsi="仿宋" w:eastAsia="仿宋"/>
          <w:color w:val="000000"/>
          <w:sz w:val="32"/>
          <w:szCs w:val="32"/>
        </w:rPr>
        <w:t>万元，主要变动原因是</w:t>
      </w:r>
      <w:r>
        <w:rPr>
          <w:rFonts w:hint="eastAsia" w:ascii="仿宋_GB2312" w:hAnsi="仿宋_GB2312" w:eastAsia="仿宋_GB2312" w:cs="仿宋_GB2312"/>
          <w:sz w:val="32"/>
          <w:szCs w:val="32"/>
        </w:rPr>
        <w:t>公用经费支出较上年减少。</w:t>
      </w:r>
    </w:p>
    <w:p>
      <w:pPr>
        <w:pStyle w:val="2"/>
        <w:rPr>
          <w:rFonts w:hint="eastAsia" w:ascii="仿宋" w:hAnsi="仿宋" w:eastAsia="仿宋"/>
          <w:color w:val="000000" w:themeColor="text1"/>
          <w:sz w:val="32"/>
          <w:szCs w:val="32"/>
          <w14:textFill>
            <w14:solidFill>
              <w14:schemeClr w14:val="tx1"/>
            </w14:solidFill>
          </w14:textFill>
        </w:rPr>
      </w:pPr>
    </w:p>
    <w:p>
      <w:pPr>
        <w:pStyle w:val="2"/>
        <w:rPr>
          <w:rFonts w:hint="eastAsia" w:ascii="仿宋" w:hAnsi="仿宋" w:eastAsia="仿宋"/>
          <w:color w:val="000000" w:themeColor="text1"/>
          <w:sz w:val="32"/>
          <w:szCs w:val="32"/>
          <w14:textFill>
            <w14:solidFill>
              <w14:schemeClr w14:val="tx1"/>
            </w14:solidFill>
          </w14:textFill>
        </w:rPr>
      </w:pPr>
    </w:p>
    <w:p>
      <w:pPr>
        <w:pStyle w:val="2"/>
        <w:rPr>
          <w:rFonts w:hint="eastAsia" w:ascii="仿宋" w:hAnsi="仿宋" w:eastAsia="仿宋"/>
          <w:color w:val="000000" w:themeColor="text1"/>
          <w:sz w:val="32"/>
          <w:szCs w:val="32"/>
          <w14:textFill>
            <w14:solidFill>
              <w14:schemeClr w14:val="tx1"/>
            </w14:solidFill>
          </w14:textFill>
        </w:rPr>
      </w:pPr>
    </w:p>
    <w:p>
      <w:pPr>
        <w:pStyle w:val="2"/>
        <w:rPr>
          <w:rFonts w:hint="eastAsia" w:eastAsia="仿宋_GB2312"/>
          <w:lang w:eastAsia="zh-CN"/>
        </w:rPr>
      </w:pPr>
      <w:bookmarkStart w:id="71" w:name="_GoBack"/>
      <w:r>
        <w:rPr>
          <w:rFonts w:hint="eastAsia" w:eastAsia="仿宋_GB2312"/>
          <w:lang w:eastAsia="zh-CN"/>
        </w:rPr>
        <w:drawing>
          <wp:anchor distT="0" distB="0" distL="114300" distR="114300" simplePos="0" relativeHeight="251671552" behindDoc="0" locked="0" layoutInCell="1" allowOverlap="1">
            <wp:simplePos x="0" y="0"/>
            <wp:positionH relativeFrom="column">
              <wp:posOffset>156845</wp:posOffset>
            </wp:positionH>
            <wp:positionV relativeFrom="paragraph">
              <wp:posOffset>233045</wp:posOffset>
            </wp:positionV>
            <wp:extent cx="5080000" cy="3810000"/>
            <wp:effectExtent l="4445" t="4445" r="20955" b="14605"/>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End w:id="71"/>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pageBreakBefore w:val="0"/>
        <w:kinsoku/>
        <w:wordWrap/>
        <w:overflowPunct/>
        <w:topLinePunct w:val="0"/>
        <w:bidi w:val="0"/>
        <w:spacing w:line="600" w:lineRule="exact"/>
        <w:ind w:firstLine="640" w:firstLineChars="200"/>
        <w:rPr>
          <w:rFonts w:hint="eastAsia" w:ascii="仿宋_GB2312" w:hAnsi="仿宋_GB2312" w:eastAsia="仿宋_GB2312"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142.97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105.44</w:t>
      </w:r>
      <w:r>
        <w:rPr>
          <w:rFonts w:hint="eastAsia" w:ascii="仿宋" w:hAnsi="仿宋" w:eastAsia="仿宋"/>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占总支出74%，养老保险：12.40万元，占总支出9%；职业年金：5.77万元,占总支出4%；行政医疗：7.73万元，占总收入5%。住房公积金：11.63万元，占总支出8%。</w:t>
      </w:r>
    </w:p>
    <w:p>
      <w:pPr>
        <w:pStyle w:val="2"/>
        <w:rPr>
          <w:rFonts w:hint="eastAsia" w:ascii="仿宋_GB2312" w:hAnsi="仿宋_GB2312" w:eastAsia="仿宋_GB2312" w:cs="仿宋_GB2312"/>
          <w:sz w:val="32"/>
          <w:szCs w:val="32"/>
        </w:rPr>
      </w:pPr>
      <w:r>
        <w:rPr>
          <w:rFonts w:hint="eastAsia" w:ascii="仿宋" w:hAnsi="仿宋" w:eastAsia="仿宋"/>
          <w:color w:val="000000"/>
          <w:sz w:val="32"/>
          <w:szCs w:val="32"/>
        </w:rPr>
        <w:t>（图6：一般公共预算财政拨款支出决算结构）</w:t>
      </w:r>
      <w:r>
        <w:rPr>
          <w:rFonts w:hint="eastAsia" w:ascii="仿宋_GB2312" w:hAnsi="仿宋_GB2312" w:eastAsia="仿宋_GB2312" w:cs="仿宋_GB2312"/>
          <w:color w:val="535353"/>
          <w:kern w:val="0"/>
          <w:sz w:val="32"/>
          <w:szCs w:val="32"/>
        </w:rPr>
        <w:drawing>
          <wp:anchor distT="0" distB="0" distL="0" distR="0" simplePos="0" relativeHeight="251664384" behindDoc="0" locked="0" layoutInCell="1" allowOverlap="1">
            <wp:simplePos x="0" y="0"/>
            <wp:positionH relativeFrom="column">
              <wp:posOffset>-13970</wp:posOffset>
            </wp:positionH>
            <wp:positionV relativeFrom="paragraph">
              <wp:posOffset>347345</wp:posOffset>
            </wp:positionV>
            <wp:extent cx="5377815" cy="3989070"/>
            <wp:effectExtent l="5080" t="4445" r="8255" b="698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pageBreakBefore w:val="0"/>
        <w:kinsoku/>
        <w:wordWrap/>
        <w:overflowPunct/>
        <w:topLinePunct w:val="0"/>
        <w:bidi w:val="0"/>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142.97万元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pageBreakBefore w:val="0"/>
        <w:kinsoku/>
        <w:wordWrap/>
        <w:overflowPunct/>
        <w:topLinePunct w:val="0"/>
        <w:bidi w:val="0"/>
        <w:spacing w:line="54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2013601-行政运行支出1</w:t>
      </w:r>
      <w:r>
        <w:rPr>
          <w:rFonts w:hint="eastAsia" w:ascii="仿宋" w:hAnsi="仿宋" w:eastAsia="仿宋" w:cs="仿宋_GB2312"/>
          <w:bCs/>
          <w:sz w:val="32"/>
          <w:szCs w:val="32"/>
          <w:lang w:val="en-US" w:eastAsia="zh-CN"/>
        </w:rPr>
        <w:t>05</w:t>
      </w:r>
      <w:r>
        <w:rPr>
          <w:rFonts w:hint="eastAsia" w:ascii="仿宋" w:hAnsi="仿宋" w:eastAsia="仿宋" w:cs="仿宋_GB2312"/>
          <w:bCs/>
          <w:sz w:val="32"/>
          <w:szCs w:val="32"/>
        </w:rPr>
        <w:t>.</w:t>
      </w:r>
      <w:r>
        <w:rPr>
          <w:rFonts w:hint="eastAsia" w:ascii="仿宋" w:hAnsi="仿宋" w:eastAsia="仿宋" w:cs="仿宋_GB2312"/>
          <w:bCs/>
          <w:sz w:val="32"/>
          <w:szCs w:val="32"/>
          <w:lang w:val="en-US" w:eastAsia="zh-CN"/>
        </w:rPr>
        <w:t>44</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 xml:space="preserve">完成预算100 </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，决算数与预算数持平。</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2080505-机关事业单位基本养老保险缴费支出12.</w:t>
      </w:r>
      <w:r>
        <w:rPr>
          <w:rFonts w:hint="eastAsia" w:ascii="仿宋" w:hAnsi="仿宋" w:eastAsia="仿宋" w:cs="仿宋_GB2312"/>
          <w:bCs/>
          <w:sz w:val="32"/>
          <w:szCs w:val="32"/>
          <w:lang w:val="en-US" w:eastAsia="zh-CN"/>
        </w:rPr>
        <w:t>4</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w:t>
      </w:r>
      <w:r>
        <w:rPr>
          <w:rFonts w:hint="eastAsia" w:ascii="仿宋" w:hAnsi="仿宋" w:eastAsia="仿宋" w:cs="仿宋_GB2312"/>
          <w:bCs/>
          <w:sz w:val="32"/>
          <w:szCs w:val="32"/>
        </w:rPr>
        <w:t>持平。</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2080506-机关事业单位职业年金缴费支出</w:t>
      </w:r>
      <w:r>
        <w:rPr>
          <w:rFonts w:hint="eastAsia" w:ascii="仿宋" w:hAnsi="仿宋" w:eastAsia="仿宋" w:cs="仿宋_GB2312"/>
          <w:bCs/>
          <w:sz w:val="32"/>
          <w:szCs w:val="32"/>
          <w:lang w:val="en-US" w:eastAsia="zh-CN"/>
        </w:rPr>
        <w:t>5.77</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w:t>
      </w:r>
      <w:r>
        <w:rPr>
          <w:rFonts w:hint="eastAsia" w:ascii="仿宋" w:hAnsi="仿宋" w:eastAsia="仿宋" w:cs="仿宋_GB2312"/>
          <w:bCs/>
          <w:sz w:val="32"/>
          <w:szCs w:val="32"/>
        </w:rPr>
        <w:t>持平。</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2101101-行政单位医疗支出</w:t>
      </w:r>
      <w:r>
        <w:rPr>
          <w:rFonts w:hint="eastAsia" w:ascii="仿宋" w:hAnsi="仿宋" w:eastAsia="仿宋" w:cs="仿宋_GB2312"/>
          <w:bCs/>
          <w:sz w:val="32"/>
          <w:szCs w:val="32"/>
          <w:lang w:val="en-US" w:eastAsia="zh-CN"/>
        </w:rPr>
        <w:t>6.6</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w:t>
      </w:r>
      <w:r>
        <w:rPr>
          <w:rFonts w:hint="eastAsia" w:ascii="仿宋" w:hAnsi="仿宋" w:eastAsia="仿宋" w:cs="仿宋_GB2312"/>
          <w:bCs/>
          <w:sz w:val="32"/>
          <w:szCs w:val="32"/>
        </w:rPr>
        <w:t>持平。</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2101103-公务员医疗补助支出</w:t>
      </w:r>
      <w:r>
        <w:rPr>
          <w:rFonts w:hint="eastAsia" w:ascii="仿宋" w:hAnsi="仿宋" w:eastAsia="仿宋" w:cs="仿宋_GB2312"/>
          <w:bCs/>
          <w:sz w:val="32"/>
          <w:szCs w:val="32"/>
        </w:rPr>
        <w:tab/>
      </w:r>
      <w:r>
        <w:rPr>
          <w:rFonts w:hint="eastAsia" w:ascii="仿宋" w:hAnsi="仿宋" w:eastAsia="仿宋" w:cs="仿宋_GB2312"/>
          <w:bCs/>
          <w:sz w:val="32"/>
          <w:szCs w:val="32"/>
          <w:lang w:val="en-US" w:eastAsia="zh-CN"/>
        </w:rPr>
        <w:t>1.14</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w:t>
      </w:r>
      <w:r>
        <w:rPr>
          <w:rFonts w:hint="eastAsia" w:ascii="仿宋" w:hAnsi="仿宋" w:eastAsia="仿宋" w:cs="仿宋_GB2312"/>
          <w:bCs/>
          <w:sz w:val="32"/>
          <w:szCs w:val="32"/>
        </w:rPr>
        <w:t>持平。</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2210201-住房公积金</w:t>
      </w:r>
      <w:r>
        <w:rPr>
          <w:rFonts w:hint="eastAsia" w:ascii="仿宋" w:hAnsi="仿宋" w:eastAsia="仿宋" w:cs="仿宋_GB2312"/>
          <w:bCs/>
          <w:sz w:val="32"/>
          <w:szCs w:val="32"/>
          <w:lang w:val="en-US" w:eastAsia="zh-CN"/>
        </w:rPr>
        <w:t>11.63</w:t>
      </w:r>
      <w:r>
        <w:rPr>
          <w:rFonts w:hint="eastAsia" w:ascii="仿宋" w:hAnsi="仿宋" w:eastAsia="仿宋" w:cs="仿宋_GB2312"/>
          <w:bCs/>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，决算数与预算数</w:t>
      </w:r>
      <w:r>
        <w:rPr>
          <w:rFonts w:hint="eastAsia" w:ascii="仿宋" w:hAnsi="仿宋" w:eastAsia="仿宋" w:cs="仿宋_GB2312"/>
          <w:bCs/>
          <w:sz w:val="32"/>
          <w:szCs w:val="32"/>
        </w:rPr>
        <w:t>持平。</w:t>
      </w:r>
    </w:p>
    <w:p>
      <w:pPr>
        <w:pageBreakBefore w:val="0"/>
        <w:tabs>
          <w:tab w:val="right" w:pos="8306"/>
        </w:tabs>
        <w:kinsoku/>
        <w:wordWrap/>
        <w:overflowPunct/>
        <w:topLinePunct w:val="0"/>
        <w:bidi w:val="0"/>
        <w:spacing w:line="600" w:lineRule="exact"/>
        <w:ind w:firstLine="640" w:firstLineChars="200"/>
        <w:outlineLvl w:val="1"/>
        <w:rPr>
          <w:rStyle w:val="2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pageBreakBefore w:val="0"/>
        <w:kinsoku/>
        <w:wordWrap/>
        <w:overflowPunct/>
        <w:topLinePunct w:val="0"/>
        <w:bidi w:val="0"/>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年一般公共预算财政拨款基本支出14</w:t>
      </w:r>
      <w:r>
        <w:rPr>
          <w:rFonts w:hint="eastAsia" w:ascii="仿宋" w:hAnsi="仿宋" w:eastAsia="仿宋"/>
          <w:color w:val="000000"/>
          <w:sz w:val="32"/>
          <w:szCs w:val="32"/>
          <w:lang w:val="en-US" w:eastAsia="zh-CN"/>
        </w:rPr>
        <w:t>2.97</w:t>
      </w:r>
      <w:r>
        <w:rPr>
          <w:rFonts w:hint="eastAsia" w:ascii="仿宋" w:hAnsi="仿宋" w:eastAsia="仿宋"/>
          <w:color w:val="000000"/>
          <w:sz w:val="32"/>
          <w:szCs w:val="32"/>
        </w:rPr>
        <w:t>万元，其中：</w:t>
      </w:r>
    </w:p>
    <w:p>
      <w:pPr>
        <w:pageBreakBefore w:val="0"/>
        <w:kinsoku/>
        <w:wordWrap/>
        <w:overflowPunct/>
        <w:topLinePunct w:val="0"/>
        <w:bidi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116.64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27.39</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46.93</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2.75</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12.4</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5.77</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1.46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职工基本医疗保险费</w:t>
      </w:r>
      <w:r>
        <w:rPr>
          <w:rFonts w:hint="eastAsia" w:ascii="仿宋" w:hAnsi="仿宋" w:eastAsia="仿宋"/>
          <w:color w:val="000000"/>
          <w:sz w:val="32"/>
          <w:szCs w:val="32"/>
          <w:lang w:val="en-US" w:eastAsia="zh-CN"/>
        </w:rPr>
        <w:t>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1.14万元、</w:t>
      </w:r>
      <w:r>
        <w:rPr>
          <w:rFonts w:hint="eastAsia" w:ascii="仿宋" w:hAnsi="仿宋" w:eastAsia="仿宋"/>
          <w:color w:val="000000"/>
          <w:sz w:val="32"/>
          <w:szCs w:val="32"/>
        </w:rPr>
        <w:t>奖励金0.02万元、住房公积金</w:t>
      </w:r>
      <w:r>
        <w:rPr>
          <w:rFonts w:hint="eastAsia" w:ascii="仿宋" w:hAnsi="仿宋" w:eastAsia="仿宋"/>
          <w:color w:val="000000"/>
          <w:sz w:val="32"/>
          <w:szCs w:val="32"/>
          <w:lang w:val="en-US" w:eastAsia="zh-CN"/>
        </w:rPr>
        <w:t>11.63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医疗费</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6。</w:t>
      </w:r>
      <w:r>
        <w:rPr>
          <w:rFonts w:ascii="仿宋" w:hAnsi="仿宋" w:eastAsia="仿宋"/>
          <w:color w:val="000000"/>
          <w:sz w:val="32"/>
          <w:szCs w:val="32"/>
        </w:rPr>
        <w:br w:type="textWrapping"/>
      </w: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26.33</w:t>
      </w:r>
      <w:r>
        <w:rPr>
          <w:rFonts w:hint="eastAsia" w:ascii="仿宋" w:hAnsi="仿宋" w:eastAsia="仿宋"/>
          <w:color w:val="000000"/>
          <w:sz w:val="32"/>
          <w:szCs w:val="32"/>
        </w:rPr>
        <w:t>万元，主要包括：办公费7.3万元、</w:t>
      </w:r>
      <w:r>
        <w:rPr>
          <w:rFonts w:hint="eastAsia" w:ascii="仿宋" w:hAnsi="仿宋" w:eastAsia="仿宋"/>
          <w:color w:val="000000"/>
          <w:sz w:val="32"/>
          <w:szCs w:val="32"/>
          <w:lang w:eastAsia="zh-CN"/>
        </w:rPr>
        <w:t>手续费</w:t>
      </w:r>
      <w:r>
        <w:rPr>
          <w:rFonts w:hint="eastAsia" w:ascii="仿宋" w:hAnsi="仿宋" w:eastAsia="仿宋"/>
          <w:color w:val="000000"/>
          <w:sz w:val="32"/>
          <w:szCs w:val="32"/>
          <w:lang w:val="en-US" w:eastAsia="zh-CN"/>
        </w:rPr>
        <w:t>0.07万元，</w:t>
      </w:r>
      <w:r>
        <w:rPr>
          <w:rFonts w:hint="eastAsia" w:ascii="仿宋" w:hAnsi="仿宋" w:eastAsia="仿宋"/>
          <w:color w:val="000000"/>
          <w:sz w:val="32"/>
          <w:szCs w:val="32"/>
        </w:rPr>
        <w:t>邮电费8.</w:t>
      </w:r>
      <w:r>
        <w:rPr>
          <w:rFonts w:hint="eastAsia" w:ascii="仿宋" w:hAnsi="仿宋" w:eastAsia="仿宋"/>
          <w:color w:val="000000"/>
          <w:sz w:val="32"/>
          <w:szCs w:val="32"/>
          <w:lang w:val="en-US" w:eastAsia="zh-CN"/>
        </w:rPr>
        <w:t>81</w:t>
      </w:r>
      <w:r>
        <w:rPr>
          <w:rFonts w:hint="eastAsia" w:ascii="仿宋" w:hAnsi="仿宋" w:eastAsia="仿宋"/>
          <w:color w:val="000000"/>
          <w:sz w:val="32"/>
          <w:szCs w:val="32"/>
        </w:rPr>
        <w:t>万元、取暖费0.26万元、差旅费7.</w:t>
      </w:r>
      <w:r>
        <w:rPr>
          <w:rFonts w:hint="eastAsia" w:ascii="仿宋" w:hAnsi="仿宋" w:eastAsia="仿宋"/>
          <w:color w:val="000000"/>
          <w:sz w:val="32"/>
          <w:szCs w:val="32"/>
          <w:lang w:val="en-US" w:eastAsia="zh-CN"/>
        </w:rPr>
        <w:t>17</w:t>
      </w:r>
      <w:r>
        <w:rPr>
          <w:rFonts w:hint="eastAsia" w:ascii="仿宋" w:hAnsi="仿宋" w:eastAsia="仿宋"/>
          <w:color w:val="000000"/>
          <w:sz w:val="32"/>
          <w:szCs w:val="32"/>
        </w:rPr>
        <w:t>万元、会议费0.3</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培训费</w:t>
      </w:r>
      <w:r>
        <w:rPr>
          <w:rFonts w:hint="eastAsia" w:ascii="仿宋" w:hAnsi="仿宋" w:eastAsia="仿宋"/>
          <w:color w:val="000000"/>
          <w:sz w:val="32"/>
          <w:szCs w:val="32"/>
          <w:lang w:val="en-US" w:eastAsia="zh-CN"/>
        </w:rPr>
        <w:t>1.23万元，</w:t>
      </w:r>
      <w:r>
        <w:rPr>
          <w:rFonts w:hint="eastAsia" w:ascii="仿宋" w:hAnsi="仿宋" w:eastAsia="仿宋"/>
          <w:color w:val="000000"/>
          <w:sz w:val="32"/>
          <w:szCs w:val="32"/>
        </w:rPr>
        <w:t>公务接待费0.</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万元、其他交通费</w:t>
      </w:r>
      <w:r>
        <w:rPr>
          <w:rFonts w:hint="eastAsia" w:ascii="仿宋" w:hAnsi="仿宋" w:eastAsia="仿宋"/>
          <w:color w:val="000000"/>
          <w:sz w:val="32"/>
          <w:szCs w:val="32"/>
          <w:lang w:val="en-US" w:eastAsia="zh-CN"/>
        </w:rPr>
        <w:t>0.83</w:t>
      </w:r>
      <w:r>
        <w:rPr>
          <w:rFonts w:hint="eastAsia" w:ascii="仿宋" w:hAnsi="仿宋" w:eastAsia="仿宋"/>
          <w:color w:val="000000"/>
          <w:sz w:val="32"/>
          <w:szCs w:val="32"/>
        </w:rPr>
        <w:t>万元。</w:t>
      </w:r>
    </w:p>
    <w:p>
      <w:pPr>
        <w:pageBreakBefore w:val="0"/>
        <w:kinsoku/>
        <w:wordWrap/>
        <w:overflowPunct/>
        <w:topLinePunct w:val="0"/>
        <w:bidi w:val="0"/>
        <w:spacing w:line="600" w:lineRule="exact"/>
        <w:ind w:firstLine="640" w:firstLineChars="20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pageBreakBefore w:val="0"/>
        <w:kinsoku/>
        <w:wordWrap/>
        <w:overflowPunct/>
        <w:topLinePunct w:val="0"/>
        <w:bidi w:val="0"/>
        <w:spacing w:line="600" w:lineRule="exact"/>
        <w:ind w:firstLine="640" w:firstLineChars="20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pageBreakBefore w:val="0"/>
        <w:kinsoku/>
        <w:wordWrap/>
        <w:overflowPunct/>
        <w:topLinePunct w:val="0"/>
        <w:bidi w:val="0"/>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 xml:space="preserve">  </w:t>
      </w:r>
    </w:p>
    <w:p>
      <w:pPr>
        <w:pageBreakBefore w:val="0"/>
        <w:kinsoku/>
        <w:wordWrap/>
        <w:overflowPunct/>
        <w:topLinePunct w:val="0"/>
        <w:bidi w:val="0"/>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无变化。</w:t>
      </w:r>
    </w:p>
    <w:p>
      <w:pPr>
        <w:pageBreakBefore w:val="0"/>
        <w:kinsoku/>
        <w:wordWrap/>
        <w:overflowPunct/>
        <w:topLinePunct w:val="0"/>
        <w:bidi w:val="0"/>
        <w:spacing w:line="600" w:lineRule="exact"/>
        <w:ind w:firstLine="643" w:firstLineChars="20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无变化。</w:t>
      </w:r>
    </w:p>
    <w:p>
      <w:pPr>
        <w:pageBreakBefore w:val="0"/>
        <w:kinsoku/>
        <w:wordWrap/>
        <w:overflowPunct/>
        <w:topLinePunct w:val="0"/>
        <w:bidi w:val="0"/>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w:t>
      </w:r>
      <w:r>
        <w:rPr>
          <w:rFonts w:hint="eastAsia" w:ascii="仿宋_GB2312" w:eastAsia="仿宋_GB2312"/>
          <w:color w:val="000000"/>
          <w:sz w:val="32"/>
          <w:szCs w:val="32"/>
          <w:lang w:eastAsia="zh-CN"/>
        </w:rPr>
        <w:t>有公务用车编制，但无公务用车。</w:t>
      </w:r>
    </w:p>
    <w:p>
      <w:pPr>
        <w:pageBreakBefore w:val="0"/>
        <w:kinsoku/>
        <w:wordWrap/>
        <w:overflowPunct/>
        <w:topLinePunct w:val="0"/>
        <w:bidi w:val="0"/>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600" w:lineRule="exact"/>
        <w:ind w:firstLine="643" w:firstLineChars="20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0.003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业务活动增多。</w:t>
      </w:r>
    </w:p>
    <w:p>
      <w:pPr>
        <w:pageBreakBefore w:val="0"/>
        <w:kinsoku/>
        <w:wordWrap/>
        <w:overflowPunct/>
        <w:topLinePunct w:val="0"/>
        <w:bidi w:val="0"/>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pageBreakBefore w:val="0"/>
        <w:kinsoku/>
        <w:wordWrap/>
        <w:overflowPunct/>
        <w:topLinePunct w:val="0"/>
        <w:bidi w:val="0"/>
        <w:spacing w:line="600" w:lineRule="exact"/>
        <w:ind w:firstLine="640" w:firstLineChars="20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pageBreakBefore w:val="0"/>
        <w:kinsoku/>
        <w:wordWrap/>
        <w:overflowPunct/>
        <w:topLinePunct w:val="0"/>
        <w:bidi w:val="0"/>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0"/>
        </w:numPr>
        <w:kinsoku/>
        <w:wordWrap/>
        <w:overflowPunct/>
        <w:topLinePunct w:val="0"/>
        <w:bidi w:val="0"/>
        <w:spacing w:line="600" w:lineRule="exact"/>
        <w:ind w:firstLine="640" w:firstLineChars="20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lang w:eastAsia="zh-CN"/>
        </w:rPr>
        <w:t>九、</w:t>
      </w:r>
      <w:r>
        <w:rPr>
          <w:rStyle w:val="29"/>
          <w:rFonts w:hint="eastAsia" w:ascii="黑体" w:hAnsi="黑体" w:eastAsia="黑体"/>
          <w:b w:val="0"/>
        </w:rPr>
        <w:t>国有资本经营预算支出决算情况说明</w:t>
      </w:r>
      <w:bookmarkEnd w:id="48"/>
      <w:bookmarkEnd w:id="49"/>
    </w:p>
    <w:p>
      <w:pPr>
        <w:pageBreakBefore w:val="0"/>
        <w:kinsoku/>
        <w:wordWrap/>
        <w:overflowPunct/>
        <w:topLinePunct w:val="0"/>
        <w:bidi w:val="0"/>
        <w:spacing w:line="600" w:lineRule="exact"/>
        <w:ind w:firstLine="640" w:firstLineChars="20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600" w:lineRule="exact"/>
        <w:ind w:firstLine="640" w:firstLineChars="20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pageBreakBefore w:val="0"/>
        <w:kinsoku/>
        <w:wordWrap/>
        <w:overflowPunct/>
        <w:topLinePunct w:val="0"/>
        <w:bidi w:val="0"/>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ageBreakBefore w:val="0"/>
        <w:kinsoku/>
        <w:wordWrap/>
        <w:overflowPunct/>
        <w:topLinePunct w:val="0"/>
        <w:bidi w:val="0"/>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信访局</w:t>
      </w:r>
      <w:r>
        <w:rPr>
          <w:rFonts w:hint="eastAsia" w:ascii="仿宋_GB2312" w:eastAsia="仿宋_GB2312"/>
          <w:color w:val="000000"/>
          <w:sz w:val="32"/>
          <w:szCs w:val="32"/>
        </w:rPr>
        <w:t>机关运行经费支出</w:t>
      </w:r>
      <w:r>
        <w:rPr>
          <w:rFonts w:ascii="仿宋_GB2312" w:eastAsia="仿宋_GB2312"/>
          <w:color w:val="000000"/>
          <w:sz w:val="32"/>
          <w:szCs w:val="32"/>
        </w:rPr>
        <w:t>2</w:t>
      </w:r>
      <w:r>
        <w:rPr>
          <w:rFonts w:hint="eastAsia" w:ascii="仿宋_GB2312" w:eastAsia="仿宋_GB2312"/>
          <w:color w:val="000000"/>
          <w:sz w:val="32"/>
          <w:szCs w:val="32"/>
          <w:lang w:val="en-US" w:eastAsia="zh-CN"/>
        </w:rPr>
        <w:t>6.33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16.4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2019年未新建有信访业务系统。</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pageBreakBefore w:val="0"/>
        <w:kinsoku/>
        <w:wordWrap/>
        <w:overflowPunct/>
        <w:topLinePunct w:val="0"/>
        <w:bidi w:val="0"/>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我单位未安排有政府采购。</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pageBreakBefore w:val="0"/>
        <w:kinsoku/>
        <w:wordWrap/>
        <w:overflowPunct/>
        <w:topLinePunct w:val="0"/>
        <w:autoSpaceDE w:val="0"/>
        <w:autoSpaceDN w:val="0"/>
        <w:bidi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
        <w:pageBreakBefore w:val="0"/>
        <w:kinsoku/>
        <w:wordWrap/>
        <w:overflowPunct/>
        <w:topLinePunct w:val="0"/>
        <w:bidi w:val="0"/>
        <w:ind w:left="0" w:leftChars="0"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其他固定资产12.73万元。</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ageBreakBefore w:val="0"/>
        <w:kinsoku/>
        <w:wordWrap/>
        <w:overflowPunct/>
        <w:topLinePunct w:val="0"/>
        <w:bidi w:val="0"/>
        <w:spacing w:line="580" w:lineRule="exact"/>
        <w:ind w:firstLine="640" w:firstLineChars="200"/>
        <w:rPr>
          <w:rFonts w:hint="eastAsia" w:ascii="仿宋" w:hAnsi="仿宋" w:eastAsia="仿宋" w:cs="仿宋"/>
          <w:sz w:val="32"/>
          <w:szCs w:val="32"/>
        </w:rPr>
      </w:pPr>
      <w:r>
        <w:rPr>
          <w:rFonts w:hint="eastAsia" w:ascii="仿宋" w:hAnsi="仿宋" w:eastAsia="仿宋" w:cs="仿宋"/>
          <w:i w:val="0"/>
          <w:caps w:val="0"/>
          <w:color w:val="000000"/>
          <w:spacing w:val="0"/>
          <w:sz w:val="32"/>
          <w:szCs w:val="32"/>
          <w:lang w:val="en-US" w:eastAsia="zh-CN"/>
        </w:rPr>
        <w:t>1、</w:t>
      </w:r>
      <w:r>
        <w:rPr>
          <w:rFonts w:hint="eastAsia" w:ascii="仿宋" w:hAnsi="仿宋" w:eastAsia="仿宋" w:cs="仿宋"/>
          <w:i w:val="0"/>
          <w:caps w:val="0"/>
          <w:color w:val="000000"/>
          <w:spacing w:val="0"/>
          <w:sz w:val="32"/>
          <w:szCs w:val="32"/>
        </w:rPr>
        <w:t>201</w:t>
      </w:r>
      <w:r>
        <w:rPr>
          <w:rFonts w:hint="eastAsia" w:ascii="仿宋" w:hAnsi="仿宋" w:eastAsia="仿宋" w:cs="仿宋"/>
          <w:i w:val="0"/>
          <w:caps w:val="0"/>
          <w:color w:val="000000"/>
          <w:spacing w:val="0"/>
          <w:sz w:val="32"/>
          <w:szCs w:val="32"/>
          <w:lang w:val="en-US" w:eastAsia="zh-CN"/>
        </w:rPr>
        <w:t>9</w:t>
      </w:r>
      <w:r>
        <w:rPr>
          <w:rFonts w:hint="eastAsia" w:ascii="仿宋" w:hAnsi="仿宋" w:eastAsia="仿宋" w:cs="仿宋"/>
          <w:i w:val="0"/>
          <w:caps w:val="0"/>
          <w:color w:val="000000"/>
          <w:spacing w:val="0"/>
          <w:sz w:val="32"/>
          <w:szCs w:val="32"/>
        </w:rPr>
        <w:t>年本单位无自行开展的和绩效评价要求开展的项目。</w:t>
      </w:r>
    </w:p>
    <w:p>
      <w:pPr>
        <w:pageBreakBefore w:val="0"/>
        <w:kinsoku/>
        <w:wordWrap/>
        <w:overflowPunct/>
        <w:topLinePunct w:val="0"/>
        <w:bidi w:val="0"/>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bidi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信访局</w:t>
      </w:r>
      <w:r>
        <w:rPr>
          <w:rFonts w:hint="eastAsia" w:ascii="仿宋_GB2312" w:hAnsi="仿宋_GB2312" w:eastAsia="仿宋_GB2312" w:cs="仿宋_GB2312"/>
          <w:sz w:val="32"/>
          <w:szCs w:val="32"/>
        </w:rPr>
        <w:t>部门2019年部门整体支出绩效评价报告》见附件（附件1）。</w:t>
      </w:r>
    </w:p>
    <w:p>
      <w:pPr>
        <w:pageBreakBefore w:val="0"/>
        <w:numPr>
          <w:ilvl w:val="0"/>
          <w:numId w:val="1"/>
        </w:numPr>
        <w:kinsoku/>
        <w:wordWrap/>
        <w:overflowPunct/>
        <w:topLinePunct w:val="0"/>
        <w:bidi w:val="0"/>
        <w:spacing w:line="600" w:lineRule="exact"/>
        <w:ind w:firstLine="880" w:firstLineChars="200"/>
        <w:jc w:val="center"/>
        <w:outlineLvl w:val="0"/>
        <w:rPr>
          <w:rStyle w:val="36"/>
          <w:rFonts w:ascii="仿宋" w:hAnsi="仿宋" w:eastAsia="仿宋"/>
        </w:rPr>
      </w:pPr>
      <w:r>
        <w:rPr>
          <w:rFonts w:hint="eastAsia" w:ascii="仿宋" w:hAnsi="仿宋" w:eastAsia="仿宋"/>
          <w:color w:val="000000"/>
          <w:sz w:val="44"/>
          <w:szCs w:val="44"/>
        </w:rPr>
        <w:t>名</w:t>
      </w:r>
      <w:r>
        <w:rPr>
          <w:rStyle w:val="36"/>
          <w:rFonts w:hint="eastAsia" w:ascii="仿宋" w:hAnsi="仿宋" w:eastAsia="仿宋"/>
        </w:rPr>
        <w:t>词解释</w:t>
      </w:r>
    </w:p>
    <w:p>
      <w:pPr>
        <w:pageBreakBefore w:val="0"/>
        <w:kinsoku/>
        <w:wordWrap/>
        <w:overflowPunct/>
        <w:topLinePunct w:val="0"/>
        <w:bidi w:val="0"/>
        <w:spacing w:line="600" w:lineRule="exact"/>
        <w:ind w:firstLine="643" w:firstLineChars="200"/>
        <w:jc w:val="left"/>
        <w:rPr>
          <w:rFonts w:ascii="仿宋" w:hAnsi="仿宋" w:eastAsia="仿宋"/>
          <w:b/>
          <w:color w:val="000000"/>
          <w:sz w:val="32"/>
          <w:szCs w:val="32"/>
        </w:rPr>
      </w:pPr>
    </w:p>
    <w:p>
      <w:pPr>
        <w:pStyle w:val="26"/>
        <w:pageBreakBefore w:val="0"/>
        <w:kinsoku/>
        <w:wordWrap/>
        <w:overflowPunct/>
        <w:topLinePunct w:val="0"/>
        <w:bidi w:val="0"/>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6"/>
        <w:pageBreakBefore w:val="0"/>
        <w:kinsoku/>
        <w:wordWrap/>
        <w:overflowPunct/>
        <w:topLinePunct w:val="0"/>
        <w:bidi w:val="0"/>
        <w:spacing w:line="560" w:lineRule="exact"/>
        <w:ind w:firstLine="640" w:firstLineChars="200"/>
        <w:rPr>
          <w:rFonts w:hAnsi="仿宋"/>
          <w:sz w:val="32"/>
          <w:szCs w:val="32"/>
        </w:rPr>
      </w:pPr>
      <w:r>
        <w:rPr>
          <w:rFonts w:hAnsi="仿宋"/>
          <w:color w:val="auto"/>
          <w:sz w:val="32"/>
          <w:szCs w:val="32"/>
        </w:rPr>
        <w:t>2</w:t>
      </w:r>
      <w:r>
        <w:rPr>
          <w:rFonts w:hint="eastAsia" w:hAnsi="仿宋"/>
          <w:color w:val="auto"/>
          <w:sz w:val="32"/>
          <w:szCs w:val="32"/>
        </w:rPr>
        <w:t>.其他收入：指单位取得的除上述收入以外的各项收入。主要是利息收入</w:t>
      </w:r>
      <w:r>
        <w:rPr>
          <w:rFonts w:hint="eastAsia" w:hAnsi="仿宋"/>
          <w:sz w:val="32"/>
          <w:szCs w:val="32"/>
        </w:rPr>
        <w:t>。</w:t>
      </w:r>
    </w:p>
    <w:p>
      <w:pPr>
        <w:pStyle w:val="26"/>
        <w:pageBreakBefore w:val="0"/>
        <w:kinsoku/>
        <w:wordWrap/>
        <w:overflowPunct/>
        <w:topLinePunct w:val="0"/>
        <w:bidi w:val="0"/>
        <w:spacing w:line="560" w:lineRule="exact"/>
        <w:ind w:firstLine="640" w:firstLineChars="200"/>
        <w:rPr>
          <w:rFonts w:hAnsi="仿宋"/>
          <w:sz w:val="32"/>
          <w:szCs w:val="32"/>
        </w:rPr>
      </w:pPr>
      <w:r>
        <w:rPr>
          <w:rFonts w:hint="eastAsia" w:hAnsi="仿宋"/>
          <w:sz w:val="32"/>
          <w:szCs w:val="32"/>
        </w:rPr>
        <w:t>3</w:t>
      </w:r>
      <w:r>
        <w:rPr>
          <w:rFonts w:hAnsi="仿宋"/>
          <w:sz w:val="32"/>
          <w:szCs w:val="32"/>
        </w:rPr>
        <w:t>.</w:t>
      </w:r>
      <w:r>
        <w:rPr>
          <w:rFonts w:hint="eastAsia" w:hAnsi="仿宋"/>
          <w:sz w:val="32"/>
          <w:szCs w:val="32"/>
        </w:rPr>
        <w:t>年初结转和结余：指以前年度尚未完成、结转到本年按有关规定继续使用的资金。</w:t>
      </w:r>
    </w:p>
    <w:p>
      <w:pPr>
        <w:pStyle w:val="26"/>
        <w:pageBreakBefore w:val="0"/>
        <w:kinsoku/>
        <w:wordWrap/>
        <w:overflowPunct/>
        <w:topLinePunct w:val="0"/>
        <w:bidi w:val="0"/>
        <w:spacing w:line="560" w:lineRule="exact"/>
        <w:ind w:firstLine="640" w:firstLineChars="200"/>
        <w:rPr>
          <w:rFonts w:hAnsi="仿宋"/>
          <w:sz w:val="32"/>
          <w:szCs w:val="32"/>
        </w:rPr>
      </w:pPr>
      <w:r>
        <w:rPr>
          <w:rFonts w:hint="eastAsia" w:hAnsi="仿宋"/>
          <w:sz w:val="32"/>
          <w:szCs w:val="32"/>
        </w:rPr>
        <w:t>4、年末结转和结余：指单位按有关规定结转到下年或以后年度继续使用的资金。</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行政运行2013601：指反映行政单位的基本支出。</w:t>
      </w:r>
    </w:p>
    <w:p>
      <w:pPr>
        <w:pageBreakBefore w:val="0"/>
        <w:kinsoku/>
        <w:wordWrap/>
        <w:overflowPunct/>
        <w:topLinePunct w:val="0"/>
        <w:bidi w:val="0"/>
        <w:ind w:firstLine="640" w:firstLineChars="200"/>
        <w:rPr>
          <w:rFonts w:ascii="仿宋" w:hAnsi="仿宋" w:eastAsia="仿宋"/>
          <w:color w:val="FF0000"/>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cs="仿宋_GB2312"/>
          <w:bCs/>
          <w:sz w:val="32"/>
          <w:szCs w:val="32"/>
        </w:rPr>
        <w:t>机关事业单位基本养老保险缴费2080505</w:t>
      </w:r>
      <w:r>
        <w:rPr>
          <w:rFonts w:hint="eastAsia" w:ascii="仿宋" w:hAnsi="仿宋" w:eastAsia="仿宋"/>
          <w:sz w:val="32"/>
          <w:szCs w:val="32"/>
        </w:rPr>
        <w:t>：指反映机关事业单位实施养老保险制度由单位缴纳的基本养老保险费。</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 xml:space="preserve">7. </w:t>
      </w:r>
      <w:r>
        <w:rPr>
          <w:rFonts w:hint="eastAsia" w:ascii="仿宋" w:hAnsi="仿宋" w:eastAsia="仿宋" w:cs="仿宋_GB2312"/>
          <w:bCs/>
          <w:sz w:val="32"/>
          <w:szCs w:val="32"/>
        </w:rPr>
        <w:t>机关事业单位</w:t>
      </w:r>
      <w:r>
        <w:rPr>
          <w:rFonts w:hint="eastAsia" w:ascii="仿宋" w:hAnsi="仿宋" w:eastAsia="仿宋"/>
          <w:color w:val="000000"/>
          <w:sz w:val="32"/>
          <w:szCs w:val="32"/>
        </w:rPr>
        <w:t>职业年金</w:t>
      </w:r>
      <w:r>
        <w:rPr>
          <w:rFonts w:hint="eastAsia" w:ascii="仿宋" w:hAnsi="仿宋" w:eastAsia="仿宋" w:cs="仿宋_GB2312"/>
          <w:bCs/>
          <w:sz w:val="32"/>
          <w:szCs w:val="32"/>
        </w:rPr>
        <w:t>缴费2080506：</w:t>
      </w:r>
      <w:r>
        <w:rPr>
          <w:rFonts w:hint="eastAsia" w:ascii="仿宋" w:hAnsi="仿宋" w:eastAsia="仿宋"/>
          <w:sz w:val="32"/>
          <w:szCs w:val="32"/>
        </w:rPr>
        <w:t>指反映机关事业单位实施养老保险制度由单位缴纳的职业年金。</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8.法制建设2010307：指反映各级政府用于法制建设方面的支出。</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9.一般行政管理事务2013602：反映行政单位未单独设置项级科目的其他项目支出。</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10.行政单位医疗2101101：反映财政部门集中安排的行政单位基本医疗缴费。</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11.公务员医疗补助2101103：指反映财政部门集中安排的公务员医疗补助经费。</w:t>
      </w:r>
    </w:p>
    <w:p>
      <w:pPr>
        <w:pageBreakBefore w:val="0"/>
        <w:kinsoku/>
        <w:wordWrap/>
        <w:overflowPunct/>
        <w:topLinePunct w:val="0"/>
        <w:bidi w:val="0"/>
        <w:ind w:firstLine="640" w:firstLineChars="200"/>
        <w:rPr>
          <w:rFonts w:ascii="仿宋" w:hAnsi="仿宋" w:eastAsia="仿宋"/>
          <w:sz w:val="32"/>
          <w:szCs w:val="32"/>
        </w:rPr>
      </w:pPr>
      <w:r>
        <w:rPr>
          <w:rFonts w:hint="eastAsia" w:ascii="仿宋" w:hAnsi="仿宋" w:eastAsia="仿宋"/>
          <w:sz w:val="32"/>
          <w:szCs w:val="32"/>
        </w:rPr>
        <w:t>12.住房公积金2210201：指反映行政事业单位按规定及规定比例为职工缴纳的住房公积金。</w:t>
      </w:r>
    </w:p>
    <w:p>
      <w:pPr>
        <w:pageBreakBefore w:val="0"/>
        <w:kinsoku/>
        <w:wordWrap/>
        <w:overflowPunct/>
        <w:topLinePunct w:val="0"/>
        <w:bidi w:val="0"/>
        <w:ind w:firstLine="640" w:firstLineChars="200"/>
        <w:rPr>
          <w:rFonts w:ascii="仿宋" w:hAnsi="仿宋" w:eastAsia="仿宋"/>
          <w:color w:val="000000"/>
          <w:sz w:val="32"/>
          <w:szCs w:val="32"/>
        </w:rPr>
      </w:pPr>
      <w:r>
        <w:rPr>
          <w:rFonts w:hint="eastAsia" w:ascii="仿宋" w:hAnsi="仿宋" w:eastAsia="仿宋"/>
          <w:color w:val="000000"/>
          <w:sz w:val="32"/>
          <w:szCs w:val="32"/>
        </w:rPr>
        <w:t>13</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pStyle w:val="26"/>
        <w:pageBreakBefore w:val="0"/>
        <w:kinsoku/>
        <w:wordWrap/>
        <w:overflowPunct/>
        <w:topLinePunct w:val="0"/>
        <w:bidi w:val="0"/>
        <w:spacing w:line="560" w:lineRule="exact"/>
        <w:ind w:firstLine="640" w:firstLineChars="200"/>
        <w:rPr>
          <w:rFonts w:hAnsi="仿宋"/>
          <w:sz w:val="32"/>
          <w:szCs w:val="32"/>
        </w:rPr>
      </w:pPr>
      <w:r>
        <w:rPr>
          <w:rFonts w:hint="eastAsia" w:hAnsi="仿宋"/>
          <w:sz w:val="32"/>
          <w:szCs w:val="32"/>
        </w:rPr>
        <w:t>14</w:t>
      </w:r>
      <w:r>
        <w:rPr>
          <w:rFonts w:hAnsi="仿宋"/>
          <w:sz w:val="32"/>
          <w:szCs w:val="32"/>
        </w:rPr>
        <w:t>.</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overflowPunct/>
        <w:topLinePunct w:val="0"/>
        <w:bidi w:val="0"/>
        <w:spacing w:line="560" w:lineRule="exact"/>
        <w:ind w:firstLine="640" w:firstLineChars="200"/>
        <w:rPr>
          <w:rFonts w:hint="eastAsia" w:hAnsi="仿宋"/>
          <w:sz w:val="32"/>
          <w:szCs w:val="32"/>
        </w:rPr>
      </w:pPr>
      <w:r>
        <w:rPr>
          <w:rFonts w:hint="eastAsia" w:hAnsi="仿宋"/>
          <w:sz w:val="32"/>
          <w:szCs w:val="32"/>
        </w:rPr>
        <w:t>15</w:t>
      </w:r>
      <w:r>
        <w:rPr>
          <w:rFonts w:hAnsi="仿宋"/>
          <w:sz w:val="32"/>
          <w:szCs w:val="32"/>
        </w:rPr>
        <w:t>.</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pageBreakBefore w:val="0"/>
        <w:kinsoku/>
        <w:wordWrap/>
        <w:overflowPunct/>
        <w:topLinePunct w:val="0"/>
        <w:bidi w:val="0"/>
        <w:spacing w:line="560" w:lineRule="exact"/>
        <w:ind w:firstLine="640" w:firstLineChars="200"/>
        <w:rPr>
          <w:rFonts w:hint="eastAsia" w:hAnsi="仿宋"/>
          <w:sz w:val="32"/>
          <w:szCs w:val="32"/>
        </w:rPr>
      </w:pPr>
    </w:p>
    <w:p>
      <w:pPr>
        <w:pStyle w:val="26"/>
        <w:pageBreakBefore w:val="0"/>
        <w:kinsoku/>
        <w:wordWrap/>
        <w:overflowPunct/>
        <w:topLinePunct w:val="0"/>
        <w:bidi w:val="0"/>
        <w:spacing w:line="560" w:lineRule="exact"/>
        <w:ind w:firstLine="640" w:firstLineChars="200"/>
        <w:rPr>
          <w:rFonts w:hint="eastAsia" w:hAnsi="仿宋"/>
          <w:sz w:val="32"/>
          <w:szCs w:val="32"/>
        </w:rPr>
      </w:pPr>
    </w:p>
    <w:p>
      <w:pPr>
        <w:pStyle w:val="26"/>
        <w:pageBreakBefore w:val="0"/>
        <w:kinsoku/>
        <w:wordWrap/>
        <w:overflowPunct/>
        <w:topLinePunct w:val="0"/>
        <w:bidi w:val="0"/>
        <w:spacing w:line="560" w:lineRule="exact"/>
        <w:ind w:firstLine="640" w:firstLineChars="200"/>
        <w:rPr>
          <w:rFonts w:hint="eastAsia" w:hAnsi="仿宋"/>
          <w:sz w:val="32"/>
          <w:szCs w:val="32"/>
        </w:rPr>
      </w:pPr>
    </w:p>
    <w:p>
      <w:pPr>
        <w:pStyle w:val="26"/>
        <w:pageBreakBefore w:val="0"/>
        <w:kinsoku/>
        <w:wordWrap/>
        <w:overflowPunct/>
        <w:topLinePunct w:val="0"/>
        <w:bidi w:val="0"/>
        <w:spacing w:line="560" w:lineRule="exact"/>
        <w:ind w:firstLine="640" w:firstLineChars="200"/>
        <w:rPr>
          <w:rFonts w:hint="eastAsia" w:hAnsi="仿宋"/>
          <w:sz w:val="32"/>
          <w:szCs w:val="32"/>
        </w:rPr>
      </w:pPr>
    </w:p>
    <w:p>
      <w:pPr>
        <w:pStyle w:val="26"/>
        <w:pageBreakBefore w:val="0"/>
        <w:kinsoku/>
        <w:wordWrap/>
        <w:overflowPunct/>
        <w:topLinePunct w:val="0"/>
        <w:bidi w:val="0"/>
        <w:spacing w:line="560" w:lineRule="exact"/>
        <w:ind w:firstLine="640" w:firstLineChars="200"/>
        <w:rPr>
          <w:rFonts w:hint="eastAsia" w:hAnsi="仿宋"/>
          <w:sz w:val="32"/>
          <w:szCs w:val="32"/>
        </w:rPr>
      </w:pPr>
    </w:p>
    <w:p>
      <w:pPr>
        <w:pageBreakBefore w:val="0"/>
        <w:kinsoku/>
        <w:wordWrap/>
        <w:overflowPunct/>
        <w:topLinePunct w:val="0"/>
        <w:bidi w:val="0"/>
        <w:spacing w:line="600" w:lineRule="exact"/>
        <w:ind w:firstLine="880" w:firstLineChars="200"/>
        <w:jc w:val="center"/>
        <w:outlineLvl w:val="0"/>
        <w:rPr>
          <w:rStyle w:val="28"/>
          <w:rFonts w:ascii="黑体" w:hAnsi="黑体" w:eastAsia="黑体"/>
          <w:b w:val="0"/>
        </w:rPr>
      </w:pPr>
      <w:bookmarkStart w:id="55" w:name="_Toc15396614"/>
      <w:bookmarkStart w:id="56" w:name="_Toc15377226"/>
      <w:r>
        <w:rPr>
          <w:rFonts w:hint="eastAsia" w:ascii="黑体" w:hAnsi="黑体" w:eastAsia="黑体"/>
          <w:color w:val="000000"/>
          <w:sz w:val="44"/>
          <w:szCs w:val="44"/>
        </w:rPr>
        <w:t>第</w:t>
      </w:r>
      <w:r>
        <w:rPr>
          <w:rStyle w:val="28"/>
          <w:rFonts w:hint="eastAsia" w:ascii="黑体" w:hAnsi="黑体" w:eastAsia="黑体"/>
          <w:b w:val="0"/>
        </w:rPr>
        <w:t>四部分 附件</w:t>
      </w:r>
      <w:bookmarkEnd w:id="55"/>
    </w:p>
    <w:p>
      <w:pPr>
        <w:pageBreakBefore w:val="0"/>
        <w:kinsoku/>
        <w:wordWrap/>
        <w:overflowPunct/>
        <w:topLinePunct w:val="0"/>
        <w:bidi w:val="0"/>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pageBreakBefore w:val="0"/>
        <w:kinsoku/>
        <w:wordWrap/>
        <w:overflowPunct/>
        <w:topLinePunct w:val="0"/>
        <w:bidi w:val="0"/>
        <w:spacing w:line="580" w:lineRule="exact"/>
        <w:ind w:firstLine="880" w:firstLineChars="200"/>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信访局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pPr>
        <w:pageBreakBefore w:val="0"/>
        <w:kinsoku/>
        <w:wordWrap/>
        <w:overflowPunct/>
        <w:topLinePunct w:val="0"/>
        <w:bidi w:val="0"/>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绩效评价报告</w:t>
      </w:r>
    </w:p>
    <w:p>
      <w:pPr>
        <w:pStyle w:val="2"/>
      </w:pP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ageBreakBefore w:val="0"/>
        <w:widowControl/>
        <w:kinsoku/>
        <w:wordWrap/>
        <w:overflowPunct/>
        <w:topLinePunct w:val="0"/>
        <w:bidi w:val="0"/>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b/>
          <w:color w:val="000000"/>
          <w:sz w:val="32"/>
          <w:szCs w:val="32"/>
          <w:lang w:val="zh-CN"/>
        </w:rPr>
        <w:t>（一）机构组成。</w:t>
      </w:r>
      <w:r>
        <w:rPr>
          <w:rFonts w:hint="eastAsia" w:ascii="仿宋" w:hAnsi="仿宋" w:eastAsia="仿宋" w:cs="仿宋_GB2312"/>
          <w:bCs/>
          <w:sz w:val="32"/>
        </w:rPr>
        <w:t>我单位为独立核算全额拨行政单位，</w:t>
      </w:r>
      <w:r>
        <w:rPr>
          <w:rFonts w:hint="eastAsia" w:ascii="仿宋_GB2312" w:hAnsi="仿宋_GB2312" w:eastAsia="仿宋_GB2312" w:cs="仿宋_GB2312"/>
          <w:w w:val="95"/>
          <w:kern w:val="0"/>
          <w:sz w:val="32"/>
          <w:szCs w:val="32"/>
          <w:lang w:val="en-US" w:eastAsia="zh-CN" w:bidi="ar-SA"/>
        </w:rPr>
        <w:t>内设机构为综合办公室、督查督办股，内设事业单位1个，为红原县信访接待中心。</w:t>
      </w:r>
    </w:p>
    <w:p>
      <w:pPr>
        <w:pStyle w:val="34"/>
        <w:keepNext w:val="0"/>
        <w:keepLines w:val="0"/>
        <w:pageBreakBefore w:val="0"/>
        <w:kinsoku/>
        <w:wordWrap/>
        <w:overflowPunct/>
        <w:topLinePunct w:val="0"/>
        <w:autoSpaceDE/>
        <w:autoSpaceDN/>
        <w:bidi w:val="0"/>
        <w:adjustRightInd/>
        <w:spacing w:line="520" w:lineRule="exact"/>
        <w:ind w:firstLine="643" w:firstLineChars="200"/>
        <w:jc w:val="left"/>
        <w:textAlignment w:val="auto"/>
        <w:rPr>
          <w:rFonts w:hint="eastAsia" w:ascii="仿宋_GB2312" w:hAnsi="仿宋_GB2312" w:eastAsia="仿宋_GB2312" w:cs="仿宋_GB2312"/>
          <w:w w:val="95"/>
          <w:sz w:val="32"/>
          <w:szCs w:val="32"/>
        </w:rPr>
      </w:pPr>
      <w:r>
        <w:rPr>
          <w:rFonts w:hint="eastAsia" w:ascii="仿宋" w:hAnsi="仿宋" w:eastAsia="仿宋" w:cs="Times New Roman"/>
          <w:b/>
          <w:color w:val="000000"/>
          <w:kern w:val="2"/>
          <w:sz w:val="32"/>
          <w:szCs w:val="32"/>
          <w:lang w:val="zh-CN" w:eastAsia="zh-CN" w:bidi="ar-SA"/>
        </w:rPr>
        <w:t>（二）机构职能。</w:t>
      </w:r>
      <w:r>
        <w:rPr>
          <w:rFonts w:hint="eastAsia" w:ascii="仿宋_GB2312" w:hAnsi="仿宋_GB2312" w:eastAsia="仿宋_GB2312" w:cs="仿宋_GB2312"/>
          <w:w w:val="95"/>
          <w:sz w:val="32"/>
          <w:szCs w:val="32"/>
        </w:rPr>
        <w:t>(1)代表县委、县政府受理人民来信、来电，接待群众来访；(2)承办上级领导机关及其所属部门、单位和县委、县政府领导交办、转办的信访事项，并负责督办和上报查处结果；(3)根据县委、县政府领导意见，向各乡镇和县级各有关部门交办、转办信访事项，并负责督办和报告查处结果；(4)检查、指导、督查各乡镇、县级各部门的信访工作。</w:t>
      </w:r>
    </w:p>
    <w:p>
      <w:pPr>
        <w:pageBreakBefore w:val="0"/>
        <w:widowControl/>
        <w:kinsoku/>
        <w:wordWrap/>
        <w:overflowPunct/>
        <w:topLinePunct w:val="0"/>
        <w:bidi w:val="0"/>
        <w:adjustRightInd w:val="0"/>
        <w:snapToGrid w:val="0"/>
        <w:spacing w:line="580" w:lineRule="exact"/>
        <w:ind w:firstLine="643"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 w:hAnsi="仿宋" w:eastAsia="仿宋" w:cs="Times New Roman"/>
          <w:b/>
          <w:color w:val="000000"/>
          <w:kern w:val="2"/>
          <w:sz w:val="32"/>
          <w:szCs w:val="32"/>
          <w:lang w:val="zh-CN" w:eastAsia="zh-CN" w:bidi="ar-SA"/>
        </w:rPr>
        <w:t>（三）人员概况。</w:t>
      </w:r>
      <w:r>
        <w:rPr>
          <w:rFonts w:hint="eastAsia" w:ascii="仿宋_GB2312" w:hAnsi="宋体" w:eastAsia="仿宋_GB2312" w:cs="宋体"/>
          <w:color w:val="000000"/>
          <w:kern w:val="0"/>
          <w:sz w:val="32"/>
          <w:szCs w:val="32"/>
          <w:shd w:val="clear" w:color="auto" w:fill="FFFFFF"/>
          <w:lang w:val="zh-CN"/>
        </w:rPr>
        <w:t>县信访局行政编制</w:t>
      </w:r>
      <w:r>
        <w:rPr>
          <w:rFonts w:hint="eastAsia" w:ascii="仿宋_GB2312" w:hAnsi="宋体" w:eastAsia="仿宋_GB2312" w:cs="宋体"/>
          <w:color w:val="000000"/>
          <w:kern w:val="0"/>
          <w:sz w:val="32"/>
          <w:szCs w:val="32"/>
          <w:shd w:val="clear" w:color="auto" w:fill="FFFFFF"/>
          <w:lang w:val="en-US" w:eastAsia="zh-CN"/>
        </w:rPr>
        <w:t>4名，其中，局长1名，副局长2名；股级领导职数2名，机关工勤人员事业编制1名，事业人员4名。</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bidi w:val="0"/>
        <w:adjustRightInd w:val="0"/>
        <w:snapToGrid w:val="0"/>
        <w:spacing w:line="580" w:lineRule="exact"/>
        <w:ind w:firstLine="643" w:firstLineChars="200"/>
        <w:contextualSpacing/>
        <w:jc w:val="left"/>
        <w:rPr>
          <w:rFonts w:hint="eastAsia" w:ascii="仿宋" w:hAnsi="仿宋" w:eastAsia="仿宋" w:cs="Times New Roman"/>
          <w:b/>
          <w:color w:val="000000"/>
          <w:kern w:val="2"/>
          <w:sz w:val="32"/>
          <w:szCs w:val="32"/>
          <w:lang w:val="zh-CN" w:eastAsia="zh-CN" w:bidi="ar-SA"/>
        </w:rPr>
      </w:pPr>
      <w:r>
        <w:rPr>
          <w:rFonts w:hint="eastAsia" w:ascii="仿宋" w:hAnsi="仿宋" w:eastAsia="仿宋" w:cs="Times New Roman"/>
          <w:b/>
          <w:color w:val="000000"/>
          <w:kern w:val="2"/>
          <w:sz w:val="32"/>
          <w:szCs w:val="32"/>
          <w:lang w:val="zh-CN" w:eastAsia="zh-CN" w:bidi="ar-SA"/>
        </w:rPr>
        <w:t>（一）部门财政资金收入情况。</w:t>
      </w:r>
    </w:p>
    <w:p>
      <w:pPr>
        <w:pStyle w:val="2"/>
        <w:pageBreakBefore w:val="0"/>
        <w:kinsoku/>
        <w:wordWrap/>
        <w:overflowPunct/>
        <w:topLinePunct w:val="0"/>
        <w:bidi w:val="0"/>
        <w:ind w:left="0" w:leftChars="0" w:firstLine="640" w:firstLineChars="200"/>
        <w:rPr>
          <w:lang w:val="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万元，占100%；其他收入0万元，占0 %。</w:t>
      </w:r>
    </w:p>
    <w:p>
      <w:pPr>
        <w:pageBreakBefore w:val="0"/>
        <w:widowControl/>
        <w:kinsoku/>
        <w:wordWrap/>
        <w:overflowPunct/>
        <w:topLinePunct w:val="0"/>
        <w:bidi w:val="0"/>
        <w:adjustRightInd w:val="0"/>
        <w:snapToGrid w:val="0"/>
        <w:spacing w:line="580" w:lineRule="exact"/>
        <w:ind w:firstLine="643" w:firstLineChars="200"/>
        <w:contextualSpacing/>
        <w:jc w:val="left"/>
        <w:rPr>
          <w:rFonts w:hint="eastAsia" w:ascii="仿宋" w:hAnsi="仿宋" w:eastAsia="仿宋" w:cs="Times New Roman"/>
          <w:b/>
          <w:color w:val="000000"/>
          <w:kern w:val="2"/>
          <w:sz w:val="32"/>
          <w:szCs w:val="32"/>
          <w:lang w:val="zh-CN" w:eastAsia="zh-CN" w:bidi="ar-SA"/>
        </w:rPr>
      </w:pPr>
      <w:r>
        <w:rPr>
          <w:rFonts w:hint="eastAsia" w:ascii="仿宋" w:hAnsi="仿宋" w:eastAsia="仿宋" w:cs="Times New Roman"/>
          <w:b/>
          <w:color w:val="000000"/>
          <w:kern w:val="2"/>
          <w:sz w:val="32"/>
          <w:szCs w:val="32"/>
          <w:lang w:val="zh-CN" w:eastAsia="zh-CN" w:bidi="ar-SA"/>
        </w:rPr>
        <w:t>（二）部门财政资金支出情况。</w:t>
      </w:r>
    </w:p>
    <w:p>
      <w:pPr>
        <w:pageBreakBefore w:val="0"/>
        <w:kinsoku/>
        <w:wordWrap/>
        <w:overflowPunct/>
        <w:topLinePunct w:val="0"/>
        <w:bidi w:val="0"/>
        <w:spacing w:line="540" w:lineRule="exact"/>
        <w:ind w:firstLine="420" w:firstLineChars="200"/>
        <w:jc w:val="left"/>
        <w:rPr>
          <w:rFonts w:ascii="仿宋" w:hAnsi="仿宋" w:eastAsia="仿宋"/>
          <w:color w:val="000000"/>
          <w:sz w:val="32"/>
          <w:szCs w:val="32"/>
        </w:rPr>
      </w:pPr>
      <w:r>
        <w:rPr>
          <w:rFonts w:hint="eastAsia"/>
          <w:lang w:val="en-US" w:eastAsia="zh-CN"/>
        </w:rPr>
        <w:t xml:space="preserve"> </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s="Arial"/>
          <w:color w:val="000000"/>
          <w:kern w:val="0"/>
          <w:sz w:val="32"/>
          <w:szCs w:val="32"/>
          <w:lang w:val="en-US" w:eastAsia="zh-CN"/>
        </w:rPr>
        <w:t>142.97</w:t>
      </w:r>
      <w:r>
        <w:rPr>
          <w:rFonts w:hint="eastAsia" w:ascii="仿宋" w:hAnsi="仿宋" w:eastAsia="仿宋" w:cs="Arial"/>
          <w:color w:val="000000"/>
          <w:kern w:val="0"/>
          <w:sz w:val="32"/>
          <w:szCs w:val="32"/>
        </w:rPr>
        <w:t>万</w:t>
      </w:r>
      <w:r>
        <w:rPr>
          <w:rFonts w:hint="eastAsia" w:ascii="仿宋" w:hAnsi="仿宋" w:eastAsia="仿宋"/>
          <w:color w:val="000000"/>
          <w:sz w:val="32"/>
          <w:szCs w:val="32"/>
        </w:rPr>
        <w:t>元，其中：基本支出</w:t>
      </w:r>
      <w:r>
        <w:rPr>
          <w:rFonts w:hint="eastAsia" w:ascii="仿宋" w:hAnsi="仿宋" w:eastAsia="仿宋" w:cs="Arial"/>
          <w:color w:val="000000"/>
          <w:kern w:val="0"/>
          <w:sz w:val="32"/>
          <w:szCs w:val="32"/>
          <w:lang w:val="en-US" w:eastAsia="zh-CN"/>
        </w:rPr>
        <w:t>142.97</w:t>
      </w:r>
      <w:r>
        <w:rPr>
          <w:rFonts w:hint="eastAsia" w:ascii="仿宋" w:hAnsi="仿宋" w:eastAsia="仿宋" w:cs="Arial"/>
          <w:color w:val="000000"/>
          <w:kern w:val="0"/>
          <w:sz w:val="32"/>
          <w:szCs w:val="32"/>
        </w:rPr>
        <w:t>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pageBreakBefore w:val="0"/>
        <w:kinsoku/>
        <w:wordWrap/>
        <w:overflowPunct/>
        <w:topLinePunct w:val="0"/>
        <w:bidi w:val="0"/>
        <w:spacing w:line="540" w:lineRule="exact"/>
        <w:ind w:firstLine="640" w:firstLineChars="200"/>
        <w:jc w:val="left"/>
        <w:rPr>
          <w:rFonts w:ascii="仿宋" w:hAnsi="仿宋" w:eastAsia="仿宋" w:cs="Arial"/>
          <w:color w:val="000000"/>
          <w:kern w:val="0"/>
          <w:sz w:val="32"/>
          <w:szCs w:val="32"/>
        </w:rPr>
      </w:pPr>
      <w:r>
        <w:rPr>
          <w:rFonts w:hint="eastAsia" w:ascii="仿宋" w:hAnsi="仿宋" w:eastAsia="仿宋" w:cs="Arial"/>
          <w:color w:val="000000"/>
          <w:kern w:val="0"/>
          <w:sz w:val="32"/>
          <w:szCs w:val="32"/>
        </w:rPr>
        <w:t>整体支出主要体现在：一是保障单位基本正常运转，其中：工资福利支出：</w:t>
      </w:r>
      <w:r>
        <w:rPr>
          <w:rFonts w:hint="eastAsia" w:ascii="仿宋" w:hAnsi="仿宋" w:eastAsia="仿宋" w:cs="Arial"/>
          <w:color w:val="000000"/>
          <w:kern w:val="0"/>
          <w:sz w:val="32"/>
          <w:szCs w:val="32"/>
          <w:lang w:val="en-US" w:eastAsia="zh-CN"/>
        </w:rPr>
        <w:t>116.62</w:t>
      </w:r>
      <w:r>
        <w:rPr>
          <w:rFonts w:hint="eastAsia" w:ascii="仿宋" w:hAnsi="仿宋" w:eastAsia="仿宋" w:cs="Arial"/>
          <w:color w:val="000000"/>
          <w:kern w:val="0"/>
          <w:sz w:val="32"/>
          <w:szCs w:val="32"/>
        </w:rPr>
        <w:t>万元、商品和服务支出：</w:t>
      </w:r>
      <w:r>
        <w:rPr>
          <w:rFonts w:hint="eastAsia" w:ascii="仿宋" w:hAnsi="仿宋" w:eastAsia="仿宋" w:cs="Arial"/>
          <w:color w:val="000000"/>
          <w:kern w:val="0"/>
          <w:sz w:val="32"/>
          <w:szCs w:val="32"/>
          <w:lang w:val="en-US" w:eastAsia="zh-CN"/>
        </w:rPr>
        <w:t>26.33</w:t>
      </w:r>
      <w:r>
        <w:rPr>
          <w:rFonts w:hint="eastAsia" w:ascii="仿宋" w:hAnsi="仿宋" w:eastAsia="仿宋" w:cs="Arial"/>
          <w:color w:val="000000"/>
          <w:kern w:val="0"/>
          <w:sz w:val="32"/>
          <w:szCs w:val="32"/>
        </w:rPr>
        <w:t>万元、对家庭和个人的补助支出：0.02万元。</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年一般公共预算财政拨款支出14</w:t>
      </w:r>
      <w:r>
        <w:rPr>
          <w:rFonts w:hint="eastAsia" w:ascii="仿宋" w:hAnsi="仿宋" w:eastAsia="仿宋"/>
          <w:color w:val="000000"/>
          <w:sz w:val="32"/>
          <w:szCs w:val="32"/>
          <w:lang w:val="en-US" w:eastAsia="zh-CN"/>
        </w:rPr>
        <w:t>2.97</w:t>
      </w:r>
      <w:r>
        <w:rPr>
          <w:rFonts w:hint="eastAsia" w:ascii="仿宋" w:hAnsi="仿宋" w:eastAsia="仿宋"/>
          <w:color w:val="000000"/>
          <w:sz w:val="32"/>
          <w:szCs w:val="32"/>
        </w:rPr>
        <w:t>万元，主要用于以下方面:</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一般公共服务支出</w:t>
      </w:r>
      <w:r>
        <w:rPr>
          <w:rFonts w:hint="eastAsia" w:ascii="仿宋" w:hAnsi="仿宋" w:eastAsia="仿宋"/>
          <w:color w:val="000000"/>
          <w:sz w:val="32"/>
          <w:szCs w:val="32"/>
          <w:lang w:val="en-US" w:eastAsia="zh-CN"/>
        </w:rPr>
        <w:t>105.44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73.75</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社会保障和就业支出</w:t>
      </w:r>
      <w:r>
        <w:rPr>
          <w:rFonts w:hint="eastAsia" w:ascii="仿宋" w:hAnsi="仿宋" w:eastAsia="仿宋"/>
          <w:color w:val="000000"/>
          <w:sz w:val="32"/>
          <w:szCs w:val="32"/>
          <w:lang w:val="en-US" w:eastAsia="zh-CN"/>
        </w:rPr>
        <w:t>18.17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12.71</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医疗卫生支出</w:t>
      </w:r>
      <w:r>
        <w:rPr>
          <w:rFonts w:hint="eastAsia" w:ascii="仿宋" w:hAnsi="仿宋" w:eastAsia="仿宋"/>
          <w:color w:val="000000"/>
          <w:sz w:val="32"/>
          <w:szCs w:val="32"/>
          <w:lang w:val="en-US" w:eastAsia="zh-CN"/>
        </w:rPr>
        <w:t>7.74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5.41</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11.63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8.13</w:t>
      </w:r>
      <w:r>
        <w:rPr>
          <w:rFonts w:hint="eastAsia" w:ascii="仿宋" w:hAnsi="仿宋" w:eastAsia="仿宋"/>
          <w:color w:val="000000"/>
          <w:sz w:val="32"/>
          <w:szCs w:val="32"/>
        </w:rPr>
        <w:t>%;</w:t>
      </w:r>
    </w:p>
    <w:p>
      <w:pPr>
        <w:pageBreakBefore w:val="0"/>
        <w:kinsoku/>
        <w:wordWrap/>
        <w:overflowPunct/>
        <w:topLinePunct w:val="0"/>
        <w:bidi w:val="0"/>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一般公共预算财政拨款支出具体情况：</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2013601-行政运行支出</w:t>
      </w:r>
      <w:r>
        <w:rPr>
          <w:rFonts w:hint="eastAsia" w:ascii="仿宋" w:hAnsi="仿宋" w:eastAsia="仿宋" w:cs="仿宋_GB2312"/>
          <w:bCs/>
          <w:sz w:val="32"/>
          <w:szCs w:val="32"/>
          <w:lang w:val="en-US" w:eastAsia="zh-CN"/>
        </w:rPr>
        <w:t>105.44</w:t>
      </w:r>
      <w:r>
        <w:rPr>
          <w:rFonts w:hint="eastAsia" w:ascii="仿宋" w:hAnsi="仿宋" w:eastAsia="仿宋" w:cs="仿宋_GB2312"/>
          <w:bCs/>
          <w:sz w:val="32"/>
          <w:szCs w:val="32"/>
        </w:rPr>
        <w:t>万元，完成预算100%，决</w:t>
      </w:r>
      <w:r>
        <w:rPr>
          <w:rStyle w:val="17"/>
          <w:rFonts w:hint="eastAsia" w:ascii="仿宋" w:hAnsi="仿宋" w:eastAsia="仿宋"/>
          <w:b w:val="0"/>
          <w:color w:val="000000"/>
          <w:sz w:val="32"/>
          <w:szCs w:val="32"/>
        </w:rPr>
        <w:t>算数与预算数持平，该支出</w:t>
      </w:r>
      <w:r>
        <w:rPr>
          <w:rFonts w:hint="eastAsia" w:ascii="仿宋" w:hAnsi="仿宋" w:eastAsia="仿宋" w:cs="仿宋_GB2312"/>
          <w:bCs/>
          <w:sz w:val="32"/>
          <w:szCs w:val="32"/>
        </w:rPr>
        <w:t>主要用于支付职工工资和维护办公室正常运行。</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2080505-机关事业单位基本养老保险缴费支出12.</w:t>
      </w:r>
      <w:r>
        <w:rPr>
          <w:rFonts w:hint="eastAsia" w:ascii="仿宋" w:hAnsi="仿宋" w:eastAsia="仿宋" w:cs="仿宋_GB2312"/>
          <w:bCs/>
          <w:sz w:val="32"/>
          <w:szCs w:val="32"/>
          <w:lang w:val="en-US" w:eastAsia="zh-CN"/>
        </w:rPr>
        <w:t>4</w:t>
      </w:r>
      <w:r>
        <w:rPr>
          <w:rFonts w:hint="eastAsia" w:ascii="仿宋" w:hAnsi="仿宋" w:eastAsia="仿宋" w:cs="仿宋_GB2312"/>
          <w:bCs/>
          <w:sz w:val="32"/>
          <w:szCs w:val="32"/>
        </w:rPr>
        <w:t>万元，完成预算100%</w:t>
      </w:r>
      <w:r>
        <w:rPr>
          <w:rStyle w:val="17"/>
          <w:rFonts w:hint="eastAsia" w:ascii="仿宋" w:hAnsi="仿宋" w:eastAsia="仿宋"/>
          <w:color w:val="000000"/>
          <w:sz w:val="32"/>
          <w:szCs w:val="32"/>
        </w:rPr>
        <w:t>，</w:t>
      </w:r>
      <w:r>
        <w:rPr>
          <w:rFonts w:hint="eastAsia" w:ascii="仿宋" w:hAnsi="仿宋" w:eastAsia="仿宋" w:cs="仿宋_GB2312"/>
          <w:bCs/>
          <w:sz w:val="32"/>
          <w:szCs w:val="32"/>
        </w:rPr>
        <w:t>决算数与预算数持平，</w:t>
      </w:r>
      <w:r>
        <w:rPr>
          <w:rStyle w:val="17"/>
          <w:rFonts w:hint="eastAsia" w:ascii="仿宋" w:hAnsi="仿宋" w:eastAsia="仿宋"/>
          <w:b w:val="0"/>
          <w:color w:val="000000"/>
          <w:sz w:val="32"/>
          <w:szCs w:val="32"/>
        </w:rPr>
        <w:t>该支出</w:t>
      </w:r>
      <w:r>
        <w:rPr>
          <w:rFonts w:hint="eastAsia" w:ascii="仿宋" w:hAnsi="仿宋" w:eastAsia="仿宋" w:cs="仿宋_GB2312"/>
          <w:bCs/>
          <w:sz w:val="32"/>
          <w:szCs w:val="32"/>
        </w:rPr>
        <w:t>主要用于支付机关事业单位养老保险缴费支出。</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2080506-机关事业单位职业年金缴费支出</w:t>
      </w:r>
      <w:r>
        <w:rPr>
          <w:rFonts w:hint="eastAsia" w:ascii="仿宋" w:hAnsi="仿宋" w:eastAsia="仿宋" w:cs="仿宋_GB2312"/>
          <w:bCs/>
          <w:sz w:val="32"/>
          <w:szCs w:val="32"/>
          <w:lang w:val="en-US" w:eastAsia="zh-CN"/>
        </w:rPr>
        <w:t>5.77</w:t>
      </w:r>
      <w:r>
        <w:rPr>
          <w:rFonts w:hint="eastAsia" w:ascii="仿宋" w:hAnsi="仿宋" w:eastAsia="仿宋" w:cs="仿宋_GB2312"/>
          <w:bCs/>
          <w:sz w:val="32"/>
          <w:szCs w:val="32"/>
        </w:rPr>
        <w:t>万元，完成预算100%</w:t>
      </w:r>
      <w:r>
        <w:rPr>
          <w:rStyle w:val="17"/>
          <w:rFonts w:hint="eastAsia" w:ascii="仿宋" w:hAnsi="仿宋" w:eastAsia="仿宋"/>
          <w:color w:val="000000"/>
          <w:sz w:val="32"/>
          <w:szCs w:val="32"/>
        </w:rPr>
        <w:t>，</w:t>
      </w:r>
      <w:r>
        <w:rPr>
          <w:rFonts w:hint="eastAsia" w:ascii="仿宋" w:hAnsi="仿宋" w:eastAsia="仿宋" w:cs="仿宋_GB2312"/>
          <w:bCs/>
          <w:sz w:val="32"/>
          <w:szCs w:val="32"/>
        </w:rPr>
        <w:t>决算数与预算数持平，</w:t>
      </w:r>
      <w:r>
        <w:rPr>
          <w:rStyle w:val="17"/>
          <w:rFonts w:hint="eastAsia" w:ascii="仿宋" w:hAnsi="仿宋" w:eastAsia="仿宋"/>
          <w:b w:val="0"/>
          <w:color w:val="000000"/>
          <w:sz w:val="32"/>
          <w:szCs w:val="32"/>
        </w:rPr>
        <w:t>该支出</w:t>
      </w:r>
      <w:r>
        <w:rPr>
          <w:rFonts w:hint="eastAsia" w:ascii="仿宋" w:hAnsi="仿宋" w:eastAsia="仿宋" w:cs="仿宋_GB2312"/>
          <w:bCs/>
          <w:sz w:val="32"/>
          <w:szCs w:val="32"/>
        </w:rPr>
        <w:t>主要用于支付机关事业单位职业年金缴费支出。</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2101101-行政单位医疗支出</w:t>
      </w:r>
      <w:r>
        <w:rPr>
          <w:rFonts w:hint="eastAsia" w:ascii="仿宋" w:hAnsi="仿宋" w:eastAsia="仿宋" w:cs="仿宋_GB2312"/>
          <w:bCs/>
          <w:sz w:val="32"/>
          <w:szCs w:val="32"/>
          <w:lang w:val="en-US" w:eastAsia="zh-CN"/>
        </w:rPr>
        <w:t>6.6</w:t>
      </w:r>
      <w:r>
        <w:rPr>
          <w:rFonts w:hint="eastAsia" w:ascii="仿宋" w:hAnsi="仿宋" w:eastAsia="仿宋" w:cs="仿宋_GB2312"/>
          <w:bCs/>
          <w:sz w:val="32"/>
          <w:szCs w:val="32"/>
        </w:rPr>
        <w:t>万元，完成预算100%</w:t>
      </w:r>
      <w:r>
        <w:rPr>
          <w:rStyle w:val="17"/>
          <w:rFonts w:hint="eastAsia" w:ascii="仿宋" w:hAnsi="仿宋" w:eastAsia="仿宋"/>
          <w:color w:val="000000"/>
          <w:sz w:val="32"/>
          <w:szCs w:val="32"/>
        </w:rPr>
        <w:t>，</w:t>
      </w:r>
      <w:r>
        <w:rPr>
          <w:rFonts w:hint="eastAsia" w:ascii="仿宋" w:hAnsi="仿宋" w:eastAsia="仿宋" w:cs="仿宋_GB2312"/>
          <w:bCs/>
          <w:sz w:val="32"/>
          <w:szCs w:val="32"/>
        </w:rPr>
        <w:t>决算数与预算数持平，</w:t>
      </w:r>
      <w:r>
        <w:rPr>
          <w:rStyle w:val="17"/>
          <w:rFonts w:hint="eastAsia" w:ascii="仿宋" w:hAnsi="仿宋" w:eastAsia="仿宋"/>
          <w:b w:val="0"/>
          <w:color w:val="000000"/>
          <w:sz w:val="32"/>
          <w:szCs w:val="32"/>
        </w:rPr>
        <w:t>该支出</w:t>
      </w:r>
      <w:r>
        <w:rPr>
          <w:rFonts w:hint="eastAsia" w:ascii="仿宋" w:hAnsi="仿宋" w:eastAsia="仿宋" w:cs="仿宋_GB2312"/>
          <w:bCs/>
          <w:sz w:val="32"/>
          <w:szCs w:val="32"/>
        </w:rPr>
        <w:t>主要用于支付职工基本医疗保险缴费。</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ascii="仿宋" w:hAnsi="仿宋" w:eastAsia="仿宋" w:cs="仿宋_GB2312"/>
          <w:bCs/>
          <w:sz w:val="32"/>
          <w:szCs w:val="32"/>
        </w:rPr>
        <w:t>2101103</w:t>
      </w:r>
      <w:r>
        <w:rPr>
          <w:rFonts w:hint="eastAsia" w:ascii="仿宋" w:hAnsi="仿宋" w:eastAsia="仿宋" w:cs="仿宋_GB2312"/>
          <w:bCs/>
          <w:sz w:val="32"/>
          <w:szCs w:val="32"/>
        </w:rPr>
        <w:t>- 公务员医疗补助支出</w:t>
      </w:r>
      <w:r>
        <w:rPr>
          <w:rFonts w:hint="eastAsia" w:ascii="仿宋" w:hAnsi="仿宋" w:eastAsia="仿宋" w:cs="仿宋_GB2312"/>
          <w:bCs/>
          <w:sz w:val="32"/>
          <w:szCs w:val="32"/>
          <w:lang w:val="en-US" w:eastAsia="zh-CN"/>
        </w:rPr>
        <w:t>1.14</w:t>
      </w:r>
      <w:r>
        <w:rPr>
          <w:rFonts w:hint="eastAsia" w:ascii="仿宋" w:hAnsi="仿宋" w:eastAsia="仿宋" w:cs="仿宋_GB2312"/>
          <w:bCs/>
          <w:sz w:val="32"/>
          <w:szCs w:val="32"/>
        </w:rPr>
        <w:t>万元，</w:t>
      </w:r>
      <w:r>
        <w:rPr>
          <w:rStyle w:val="17"/>
          <w:rFonts w:hint="eastAsia" w:ascii="仿宋" w:hAnsi="仿宋" w:eastAsia="仿宋"/>
          <w:b w:val="0"/>
          <w:color w:val="000000"/>
          <w:sz w:val="32"/>
          <w:szCs w:val="32"/>
        </w:rPr>
        <w:t>完成预算100%，该支出</w:t>
      </w:r>
      <w:r>
        <w:rPr>
          <w:rFonts w:hint="eastAsia" w:ascii="仿宋" w:hAnsi="仿宋" w:eastAsia="仿宋" w:cs="仿宋_GB2312"/>
          <w:bCs/>
          <w:sz w:val="32"/>
          <w:szCs w:val="32"/>
        </w:rPr>
        <w:t>主要用于支付公务员医疗补助缴费。</w:t>
      </w:r>
    </w:p>
    <w:p>
      <w:pPr>
        <w:pageBreakBefore w:val="0"/>
        <w:kinsoku/>
        <w:wordWrap/>
        <w:overflowPunct/>
        <w:topLinePunct w:val="0"/>
        <w:bidi w:val="0"/>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2210201-住房公积金支出</w:t>
      </w:r>
      <w:r>
        <w:rPr>
          <w:rFonts w:hint="eastAsia" w:ascii="仿宋" w:hAnsi="仿宋" w:eastAsia="仿宋" w:cs="仿宋_GB2312"/>
          <w:bCs/>
          <w:sz w:val="32"/>
          <w:szCs w:val="32"/>
          <w:lang w:val="en-US" w:eastAsia="zh-CN"/>
        </w:rPr>
        <w:t>11.63</w:t>
      </w:r>
      <w:r>
        <w:rPr>
          <w:rFonts w:hint="eastAsia" w:ascii="仿宋" w:hAnsi="仿宋" w:eastAsia="仿宋" w:cs="仿宋_GB2312"/>
          <w:bCs/>
          <w:sz w:val="32"/>
          <w:szCs w:val="32"/>
        </w:rPr>
        <w:t>万元，</w:t>
      </w:r>
      <w:r>
        <w:rPr>
          <w:rStyle w:val="17"/>
          <w:rFonts w:hint="eastAsia" w:ascii="仿宋" w:hAnsi="仿宋" w:eastAsia="仿宋"/>
          <w:b w:val="0"/>
          <w:color w:val="000000"/>
          <w:sz w:val="32"/>
          <w:szCs w:val="32"/>
        </w:rPr>
        <w:t>完成预算100%，</w:t>
      </w:r>
      <w:r>
        <w:rPr>
          <w:rFonts w:hint="eastAsia" w:ascii="仿宋" w:hAnsi="仿宋" w:eastAsia="仿宋" w:cs="仿宋_GB2312"/>
          <w:bCs/>
          <w:sz w:val="32"/>
          <w:szCs w:val="32"/>
        </w:rPr>
        <w:t>决算数与预算数持平，</w:t>
      </w:r>
      <w:r>
        <w:rPr>
          <w:rStyle w:val="17"/>
          <w:rFonts w:hint="eastAsia" w:ascii="仿宋" w:hAnsi="仿宋" w:eastAsia="仿宋"/>
          <w:b w:val="0"/>
          <w:color w:val="000000"/>
          <w:sz w:val="32"/>
          <w:szCs w:val="32"/>
        </w:rPr>
        <w:t>该支出</w:t>
      </w:r>
      <w:r>
        <w:rPr>
          <w:rFonts w:hint="eastAsia" w:ascii="仿宋" w:hAnsi="仿宋" w:eastAsia="仿宋" w:cs="仿宋_GB2312"/>
          <w:bCs/>
          <w:sz w:val="32"/>
          <w:szCs w:val="32"/>
        </w:rPr>
        <w:t>主要用于支付职工住房公积金。</w:t>
      </w:r>
    </w:p>
    <w:p>
      <w:pPr>
        <w:pageBreakBefore w:val="0"/>
        <w:kinsoku/>
        <w:wordWrap/>
        <w:overflowPunct/>
        <w:topLinePunct w:val="0"/>
        <w:bidi w:val="0"/>
        <w:ind w:firstLine="640" w:firstLineChars="200"/>
        <w:rPr>
          <w:rFonts w:ascii="仿宋" w:hAnsi="仿宋" w:eastAsia="仿宋" w:cs="Arial"/>
          <w:color w:val="000000"/>
          <w:kern w:val="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年度一般公共预算财政拨款基本支出</w:t>
      </w:r>
      <w:r>
        <w:rPr>
          <w:rFonts w:hint="eastAsia" w:ascii="仿宋" w:hAnsi="仿宋" w:eastAsia="仿宋" w:cs="Arial"/>
          <w:color w:val="000000"/>
          <w:kern w:val="0"/>
          <w:sz w:val="32"/>
          <w:szCs w:val="32"/>
          <w:lang w:val="en-US" w:eastAsia="zh-CN"/>
        </w:rPr>
        <w:t>142.97</w:t>
      </w:r>
      <w:r>
        <w:rPr>
          <w:rFonts w:hint="eastAsia" w:ascii="仿宋" w:hAnsi="仿宋" w:eastAsia="仿宋" w:cs="Arial"/>
          <w:color w:val="000000"/>
          <w:kern w:val="0"/>
          <w:sz w:val="32"/>
          <w:szCs w:val="32"/>
        </w:rPr>
        <w:t>万</w:t>
      </w:r>
      <w:r>
        <w:rPr>
          <w:rFonts w:hint="eastAsia" w:ascii="仿宋" w:hAnsi="仿宋" w:eastAsia="仿宋"/>
          <w:color w:val="000000"/>
          <w:sz w:val="32"/>
          <w:szCs w:val="32"/>
        </w:rPr>
        <w:t>元，其中：</w:t>
      </w:r>
    </w:p>
    <w:p>
      <w:pPr>
        <w:pageBreakBefore w:val="0"/>
        <w:kinsoku/>
        <w:wordWrap/>
        <w:overflowPunct/>
        <w:topLinePunct w:val="0"/>
        <w:bidi w:val="0"/>
        <w:spacing w:line="600" w:lineRule="exact"/>
        <w:ind w:firstLine="640" w:firstLineChars="200"/>
        <w:rPr>
          <w:rFonts w:hint="default" w:eastAsia="仿宋_GB231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116.64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27.39</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46.93</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2.75</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12.4</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5.77</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1.46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职工基本医疗保险费</w:t>
      </w:r>
      <w:r>
        <w:rPr>
          <w:rFonts w:hint="eastAsia" w:ascii="仿宋" w:hAnsi="仿宋" w:eastAsia="仿宋"/>
          <w:color w:val="000000"/>
          <w:sz w:val="32"/>
          <w:szCs w:val="32"/>
          <w:lang w:val="en-US" w:eastAsia="zh-CN"/>
        </w:rPr>
        <w:t>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1.14万元、</w:t>
      </w:r>
      <w:r>
        <w:rPr>
          <w:rFonts w:hint="eastAsia" w:ascii="仿宋" w:hAnsi="仿宋" w:eastAsia="仿宋"/>
          <w:color w:val="000000"/>
          <w:sz w:val="32"/>
          <w:szCs w:val="32"/>
        </w:rPr>
        <w:t>奖励金0.02万元、住房公积金</w:t>
      </w:r>
      <w:r>
        <w:rPr>
          <w:rFonts w:hint="eastAsia" w:ascii="仿宋" w:hAnsi="仿宋" w:eastAsia="仿宋"/>
          <w:color w:val="000000"/>
          <w:sz w:val="32"/>
          <w:szCs w:val="32"/>
          <w:lang w:val="en-US" w:eastAsia="zh-CN"/>
        </w:rPr>
        <w:t>11.63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医疗费</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6。</w:t>
      </w:r>
      <w:r>
        <w:rPr>
          <w:rFonts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26.33</w:t>
      </w:r>
      <w:r>
        <w:rPr>
          <w:rFonts w:hint="eastAsia" w:ascii="仿宋" w:hAnsi="仿宋" w:eastAsia="仿宋"/>
          <w:color w:val="000000"/>
          <w:sz w:val="32"/>
          <w:szCs w:val="32"/>
        </w:rPr>
        <w:t>万元，主要包括：办公费7.3万元、</w:t>
      </w:r>
      <w:r>
        <w:rPr>
          <w:rFonts w:hint="eastAsia" w:ascii="仿宋" w:hAnsi="仿宋" w:eastAsia="仿宋"/>
          <w:color w:val="000000"/>
          <w:sz w:val="32"/>
          <w:szCs w:val="32"/>
          <w:lang w:eastAsia="zh-CN"/>
        </w:rPr>
        <w:t>手续费</w:t>
      </w:r>
      <w:r>
        <w:rPr>
          <w:rFonts w:hint="eastAsia" w:ascii="仿宋" w:hAnsi="仿宋" w:eastAsia="仿宋"/>
          <w:color w:val="000000"/>
          <w:sz w:val="32"/>
          <w:szCs w:val="32"/>
          <w:lang w:val="en-US" w:eastAsia="zh-CN"/>
        </w:rPr>
        <w:t>0.07万元，</w:t>
      </w:r>
      <w:r>
        <w:rPr>
          <w:rFonts w:hint="eastAsia" w:ascii="仿宋" w:hAnsi="仿宋" w:eastAsia="仿宋"/>
          <w:color w:val="000000"/>
          <w:sz w:val="32"/>
          <w:szCs w:val="32"/>
        </w:rPr>
        <w:t>邮电费8.</w:t>
      </w:r>
      <w:r>
        <w:rPr>
          <w:rFonts w:hint="eastAsia" w:ascii="仿宋" w:hAnsi="仿宋" w:eastAsia="仿宋"/>
          <w:color w:val="000000"/>
          <w:sz w:val="32"/>
          <w:szCs w:val="32"/>
          <w:lang w:val="en-US" w:eastAsia="zh-CN"/>
        </w:rPr>
        <w:t>81</w:t>
      </w:r>
      <w:r>
        <w:rPr>
          <w:rFonts w:hint="eastAsia" w:ascii="仿宋" w:hAnsi="仿宋" w:eastAsia="仿宋"/>
          <w:color w:val="000000"/>
          <w:sz w:val="32"/>
          <w:szCs w:val="32"/>
        </w:rPr>
        <w:t>万元、取暖费0.26万元、差旅费7.</w:t>
      </w:r>
      <w:r>
        <w:rPr>
          <w:rFonts w:hint="eastAsia" w:ascii="仿宋" w:hAnsi="仿宋" w:eastAsia="仿宋"/>
          <w:color w:val="000000"/>
          <w:sz w:val="32"/>
          <w:szCs w:val="32"/>
          <w:lang w:val="en-US" w:eastAsia="zh-CN"/>
        </w:rPr>
        <w:t>17</w:t>
      </w:r>
      <w:r>
        <w:rPr>
          <w:rFonts w:hint="eastAsia" w:ascii="仿宋" w:hAnsi="仿宋" w:eastAsia="仿宋"/>
          <w:color w:val="000000"/>
          <w:sz w:val="32"/>
          <w:szCs w:val="32"/>
        </w:rPr>
        <w:t>万元、会议费0.3</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培训费</w:t>
      </w:r>
      <w:r>
        <w:rPr>
          <w:rFonts w:hint="eastAsia" w:ascii="仿宋" w:hAnsi="仿宋" w:eastAsia="仿宋"/>
          <w:color w:val="000000"/>
          <w:sz w:val="32"/>
          <w:szCs w:val="32"/>
          <w:lang w:val="en-US" w:eastAsia="zh-CN"/>
        </w:rPr>
        <w:t>1.23万元，</w:t>
      </w:r>
      <w:r>
        <w:rPr>
          <w:rFonts w:hint="eastAsia" w:ascii="仿宋" w:hAnsi="仿宋" w:eastAsia="仿宋"/>
          <w:color w:val="000000"/>
          <w:sz w:val="32"/>
          <w:szCs w:val="32"/>
        </w:rPr>
        <w:t>公务接待费0.</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万元、其他交通费</w:t>
      </w:r>
      <w:r>
        <w:rPr>
          <w:rFonts w:hint="eastAsia" w:ascii="仿宋" w:hAnsi="仿宋" w:eastAsia="仿宋"/>
          <w:color w:val="000000"/>
          <w:sz w:val="32"/>
          <w:szCs w:val="32"/>
          <w:lang w:val="en-US" w:eastAsia="zh-CN"/>
        </w:rPr>
        <w:t>0.83</w:t>
      </w:r>
      <w:r>
        <w:rPr>
          <w:rFonts w:hint="eastAsia" w:ascii="仿宋" w:hAnsi="仿宋" w:eastAsia="仿宋"/>
          <w:color w:val="000000"/>
          <w:sz w:val="32"/>
          <w:szCs w:val="32"/>
        </w:rPr>
        <w:t>万元。</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bidi w:val="0"/>
        <w:adjustRightInd w:val="0"/>
        <w:snapToGrid w:val="0"/>
        <w:spacing w:line="580" w:lineRule="exact"/>
        <w:ind w:firstLine="643" w:firstLineChars="200"/>
        <w:contextualSpacing/>
        <w:jc w:val="left"/>
        <w:rPr>
          <w:rFonts w:hint="eastAsia" w:ascii="仿宋" w:hAnsi="仿宋" w:eastAsia="仿宋" w:cs="Times New Roman"/>
          <w:b/>
          <w:color w:val="000000"/>
          <w:kern w:val="2"/>
          <w:sz w:val="32"/>
          <w:szCs w:val="32"/>
          <w:lang w:val="zh-CN" w:eastAsia="zh-CN" w:bidi="ar-SA"/>
        </w:rPr>
      </w:pPr>
      <w:r>
        <w:rPr>
          <w:rFonts w:hint="eastAsia" w:ascii="仿宋" w:hAnsi="仿宋" w:eastAsia="仿宋" w:cs="Times New Roman"/>
          <w:b/>
          <w:color w:val="000000"/>
          <w:kern w:val="2"/>
          <w:sz w:val="32"/>
          <w:szCs w:val="32"/>
          <w:lang w:val="zh-CN" w:eastAsia="zh-CN" w:bidi="ar-SA"/>
        </w:rPr>
        <w:t>（一）部门预算管理</w:t>
      </w:r>
    </w:p>
    <w:p>
      <w:pPr>
        <w:pageBreakBefore w:val="0"/>
        <w:widowControl/>
        <w:kinsoku/>
        <w:wordWrap/>
        <w:overflowPunct/>
        <w:topLinePunct w:val="0"/>
        <w:bidi w:val="0"/>
        <w:adjustRightInd w:val="0"/>
        <w:snapToGrid w:val="0"/>
        <w:spacing w:line="480" w:lineRule="exact"/>
        <w:ind w:firstLine="640" w:firstLineChars="200"/>
        <w:jc w:val="left"/>
        <w:rPr>
          <w:rFonts w:hint="eastAsia" w:ascii="仿宋" w:hAnsi="仿宋" w:eastAsia="仿宋" w:cs="宋体"/>
          <w:color w:val="000000"/>
          <w:kern w:val="0"/>
          <w:sz w:val="32"/>
          <w:szCs w:val="32"/>
          <w:lang w:val="zh-CN"/>
        </w:rPr>
      </w:pP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lang w:val="zh-CN"/>
        </w:rPr>
        <w:t>预算编制情况。2019年部门（单位）收入预算总额为</w:t>
      </w:r>
      <w:r>
        <w:rPr>
          <w:rFonts w:hint="eastAsia" w:ascii="仿宋" w:hAnsi="仿宋" w:eastAsia="仿宋" w:cs="宋体"/>
          <w:color w:val="000000"/>
          <w:kern w:val="0"/>
          <w:sz w:val="32"/>
          <w:szCs w:val="32"/>
          <w:lang w:val="en-US" w:eastAsia="zh-CN"/>
        </w:rPr>
        <w:t>144.92</w:t>
      </w:r>
      <w:r>
        <w:rPr>
          <w:rFonts w:hint="eastAsia" w:ascii="仿宋" w:hAnsi="仿宋" w:eastAsia="仿宋" w:cs="宋体"/>
          <w:color w:val="000000"/>
          <w:kern w:val="0"/>
          <w:sz w:val="32"/>
          <w:szCs w:val="32"/>
          <w:lang w:val="zh-CN"/>
        </w:rPr>
        <w:t>万元，其中：当年财政拨款收入</w:t>
      </w:r>
      <w:r>
        <w:rPr>
          <w:rFonts w:hint="eastAsia" w:ascii="仿宋" w:hAnsi="仿宋" w:eastAsia="仿宋" w:cs="宋体"/>
          <w:color w:val="000000"/>
          <w:kern w:val="0"/>
          <w:sz w:val="32"/>
          <w:szCs w:val="32"/>
          <w:lang w:val="en-US" w:eastAsia="zh-CN"/>
        </w:rPr>
        <w:t>144.92</w:t>
      </w:r>
      <w:r>
        <w:rPr>
          <w:rFonts w:hint="eastAsia" w:ascii="仿宋" w:hAnsi="仿宋" w:eastAsia="仿宋" w:cs="宋体"/>
          <w:color w:val="000000"/>
          <w:kern w:val="0"/>
          <w:sz w:val="32"/>
          <w:szCs w:val="32"/>
          <w:lang w:val="zh-CN"/>
        </w:rPr>
        <w:t>万元。相应安排支出预算</w:t>
      </w:r>
      <w:r>
        <w:rPr>
          <w:rFonts w:hint="eastAsia" w:ascii="仿宋" w:hAnsi="仿宋" w:eastAsia="仿宋" w:cs="宋体"/>
          <w:color w:val="000000"/>
          <w:kern w:val="0"/>
          <w:sz w:val="32"/>
          <w:szCs w:val="32"/>
          <w:lang w:val="en-US" w:eastAsia="zh-CN"/>
        </w:rPr>
        <w:t>142.97</w:t>
      </w:r>
      <w:r>
        <w:rPr>
          <w:rFonts w:hint="eastAsia" w:ascii="仿宋" w:hAnsi="仿宋" w:eastAsia="仿宋" w:cs="宋体"/>
          <w:color w:val="000000"/>
          <w:kern w:val="0"/>
          <w:sz w:val="32"/>
          <w:szCs w:val="32"/>
          <w:lang w:val="zh-CN"/>
        </w:rPr>
        <w:t>万元，其中：一般公共服务</w:t>
      </w:r>
      <w:r>
        <w:rPr>
          <w:rFonts w:hint="eastAsia" w:ascii="仿宋" w:hAnsi="仿宋" w:eastAsia="仿宋" w:cs="宋体"/>
          <w:color w:val="000000"/>
          <w:kern w:val="0"/>
          <w:sz w:val="32"/>
          <w:szCs w:val="32"/>
          <w:lang w:val="en-US" w:eastAsia="zh-CN"/>
        </w:rPr>
        <w:t>105.44</w:t>
      </w:r>
      <w:r>
        <w:rPr>
          <w:rFonts w:hint="eastAsia" w:ascii="仿宋" w:hAnsi="仿宋" w:eastAsia="仿宋" w:cs="宋体"/>
          <w:color w:val="000000"/>
          <w:kern w:val="0"/>
          <w:sz w:val="32"/>
          <w:szCs w:val="32"/>
          <w:lang w:val="zh-CN"/>
        </w:rPr>
        <w:t>万元，社会保障和就业</w:t>
      </w:r>
      <w:r>
        <w:rPr>
          <w:rFonts w:hint="eastAsia" w:ascii="仿宋" w:hAnsi="仿宋" w:eastAsia="仿宋" w:cs="宋体"/>
          <w:color w:val="000000"/>
          <w:kern w:val="0"/>
          <w:sz w:val="32"/>
          <w:szCs w:val="32"/>
          <w:lang w:val="en-US" w:eastAsia="zh-CN"/>
        </w:rPr>
        <w:t>18.17</w:t>
      </w:r>
      <w:r>
        <w:rPr>
          <w:rFonts w:hint="eastAsia" w:ascii="仿宋" w:hAnsi="仿宋" w:eastAsia="仿宋" w:cs="宋体"/>
          <w:color w:val="000000"/>
          <w:kern w:val="0"/>
          <w:sz w:val="32"/>
          <w:szCs w:val="32"/>
          <w:lang w:val="zh-CN"/>
        </w:rPr>
        <w:t>万元，医疗卫生</w:t>
      </w:r>
      <w:r>
        <w:rPr>
          <w:rFonts w:hint="eastAsia" w:ascii="仿宋" w:hAnsi="仿宋" w:eastAsia="仿宋" w:cs="宋体"/>
          <w:color w:val="000000"/>
          <w:kern w:val="0"/>
          <w:sz w:val="32"/>
          <w:szCs w:val="32"/>
          <w:lang w:val="en-US" w:eastAsia="zh-CN"/>
        </w:rPr>
        <w:t>7.73</w:t>
      </w:r>
      <w:r>
        <w:rPr>
          <w:rFonts w:hint="eastAsia" w:ascii="仿宋" w:hAnsi="仿宋" w:eastAsia="仿宋" w:cs="宋体"/>
          <w:color w:val="000000"/>
          <w:kern w:val="0"/>
          <w:sz w:val="32"/>
          <w:szCs w:val="32"/>
          <w:lang w:val="zh-CN"/>
        </w:rPr>
        <w:t>万元，住房保障支出</w:t>
      </w:r>
      <w:r>
        <w:rPr>
          <w:rFonts w:hint="eastAsia" w:ascii="仿宋" w:hAnsi="仿宋" w:eastAsia="仿宋" w:cs="宋体"/>
          <w:color w:val="000000"/>
          <w:kern w:val="0"/>
          <w:sz w:val="32"/>
          <w:szCs w:val="32"/>
          <w:lang w:val="en-US" w:eastAsia="zh-CN"/>
        </w:rPr>
        <w:t>11.63</w:t>
      </w:r>
      <w:r>
        <w:rPr>
          <w:rFonts w:hint="eastAsia" w:ascii="仿宋" w:hAnsi="仿宋" w:eastAsia="仿宋" w:cs="宋体"/>
          <w:color w:val="000000"/>
          <w:kern w:val="0"/>
          <w:sz w:val="32"/>
          <w:szCs w:val="32"/>
          <w:lang w:val="zh-CN"/>
        </w:rPr>
        <w:t>万元。</w:t>
      </w:r>
    </w:p>
    <w:p>
      <w:pPr>
        <w:pageBreakBefore w:val="0"/>
        <w:widowControl/>
        <w:kinsoku/>
        <w:wordWrap/>
        <w:overflowPunct/>
        <w:topLinePunct w:val="0"/>
        <w:bidi w:val="0"/>
        <w:adjustRightInd w:val="0"/>
        <w:snapToGrid w:val="0"/>
        <w:spacing w:line="480" w:lineRule="exact"/>
        <w:ind w:firstLine="640" w:firstLineChars="200"/>
        <w:jc w:val="left"/>
        <w:rPr>
          <w:rFonts w:hint="eastAsia"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（二）执行管理情况。</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144.92</w:t>
      </w:r>
      <w:r>
        <w:rPr>
          <w:rFonts w:hint="eastAsia" w:ascii="仿宋" w:hAnsi="仿宋" w:eastAsia="仿宋"/>
          <w:color w:val="000000"/>
          <w:sz w:val="32"/>
          <w:szCs w:val="32"/>
        </w:rPr>
        <w:t>万元，占100%。</w:t>
      </w:r>
    </w:p>
    <w:p>
      <w:pPr>
        <w:pageBreakBefore w:val="0"/>
        <w:kinsoku/>
        <w:wordWrap/>
        <w:overflowPunct/>
        <w:topLinePunct w:val="0"/>
        <w:bidi w:val="0"/>
        <w:spacing w:line="54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s="Arial"/>
          <w:kern w:val="0"/>
          <w:sz w:val="32"/>
          <w:szCs w:val="32"/>
          <w:lang w:val="en-US" w:eastAsia="zh-CN"/>
        </w:rPr>
        <w:t>142.97</w:t>
      </w:r>
      <w:r>
        <w:rPr>
          <w:rFonts w:hint="eastAsia" w:ascii="仿宋" w:hAnsi="仿宋" w:eastAsia="仿宋" w:cs="Arial"/>
          <w:kern w:val="0"/>
          <w:sz w:val="32"/>
          <w:szCs w:val="32"/>
        </w:rPr>
        <w:t>万</w:t>
      </w:r>
      <w:r>
        <w:rPr>
          <w:rFonts w:hint="eastAsia" w:ascii="仿宋" w:hAnsi="仿宋" w:eastAsia="仿宋"/>
          <w:color w:val="000000"/>
          <w:sz w:val="32"/>
          <w:szCs w:val="32"/>
        </w:rPr>
        <w:t>元，其中：基本支出</w:t>
      </w:r>
      <w:r>
        <w:rPr>
          <w:rFonts w:hint="eastAsia" w:ascii="仿宋" w:hAnsi="仿宋" w:eastAsia="仿宋" w:cs="Arial"/>
          <w:color w:val="000000"/>
          <w:kern w:val="0"/>
          <w:sz w:val="32"/>
          <w:szCs w:val="32"/>
          <w:lang w:val="en-US" w:eastAsia="zh-CN"/>
        </w:rPr>
        <w:t>142.97</w:t>
      </w:r>
      <w:r>
        <w:rPr>
          <w:rFonts w:hint="eastAsia" w:ascii="仿宋" w:hAnsi="仿宋" w:eastAsia="仿宋" w:cs="Arial"/>
          <w:color w:val="000000"/>
          <w:kern w:val="0"/>
          <w:sz w:val="32"/>
          <w:szCs w:val="32"/>
        </w:rPr>
        <w:t>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pageBreakBefore w:val="0"/>
        <w:kinsoku/>
        <w:wordWrap/>
        <w:overflowPunct/>
        <w:topLinePunct w:val="0"/>
        <w:bidi w:val="0"/>
        <w:spacing w:line="540" w:lineRule="exact"/>
        <w:ind w:firstLine="640" w:firstLineChars="200"/>
        <w:jc w:val="left"/>
        <w:rPr>
          <w:rFonts w:ascii="仿宋" w:hAnsi="仿宋" w:eastAsia="仿宋" w:cs="Arial"/>
          <w:color w:val="000000"/>
          <w:kern w:val="0"/>
          <w:sz w:val="32"/>
          <w:szCs w:val="32"/>
        </w:rPr>
      </w:pPr>
      <w:r>
        <w:rPr>
          <w:rFonts w:hint="eastAsia" w:ascii="仿宋" w:hAnsi="仿宋" w:eastAsia="仿宋" w:cs="Arial"/>
          <w:color w:val="000000"/>
          <w:kern w:val="0"/>
          <w:sz w:val="32"/>
          <w:szCs w:val="32"/>
        </w:rPr>
        <w:t>整体支出主要体现在保障单位基本正常运转，其中：工资福利支出：</w:t>
      </w:r>
      <w:r>
        <w:rPr>
          <w:rFonts w:hint="eastAsia" w:ascii="仿宋" w:hAnsi="仿宋" w:eastAsia="仿宋" w:cs="Arial"/>
          <w:color w:val="000000"/>
          <w:kern w:val="0"/>
          <w:sz w:val="32"/>
          <w:szCs w:val="32"/>
          <w:lang w:val="en-US" w:eastAsia="zh-CN"/>
        </w:rPr>
        <w:t>116.62</w:t>
      </w:r>
      <w:r>
        <w:rPr>
          <w:rFonts w:hint="eastAsia" w:ascii="仿宋" w:hAnsi="仿宋" w:eastAsia="仿宋" w:cs="Arial"/>
          <w:color w:val="000000"/>
          <w:kern w:val="0"/>
          <w:sz w:val="32"/>
          <w:szCs w:val="32"/>
        </w:rPr>
        <w:t>万元、商品和服务支出：</w:t>
      </w:r>
      <w:r>
        <w:rPr>
          <w:rFonts w:hint="eastAsia" w:ascii="仿宋" w:hAnsi="仿宋" w:eastAsia="仿宋" w:cs="Arial"/>
          <w:color w:val="000000"/>
          <w:kern w:val="0"/>
          <w:sz w:val="32"/>
          <w:szCs w:val="32"/>
          <w:lang w:val="en-US" w:eastAsia="zh-CN"/>
        </w:rPr>
        <w:t>26.33</w:t>
      </w:r>
      <w:r>
        <w:rPr>
          <w:rFonts w:hint="eastAsia" w:ascii="仿宋" w:hAnsi="仿宋" w:eastAsia="仿宋" w:cs="Arial"/>
          <w:color w:val="000000"/>
          <w:kern w:val="0"/>
          <w:sz w:val="32"/>
          <w:szCs w:val="32"/>
        </w:rPr>
        <w:t>万元、对家庭和个人的补助支出：0.02万元。</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仿宋" w:hAnsi="仿宋" w:eastAsia="仿宋" w:cs="宋体"/>
          <w:color w:val="000000"/>
          <w:kern w:val="0"/>
          <w:sz w:val="32"/>
          <w:szCs w:val="32"/>
          <w:lang w:val="zh-CN"/>
        </w:rPr>
      </w:pPr>
      <w:r>
        <w:rPr>
          <w:rFonts w:hint="eastAsia" w:ascii="仿宋_GB2312" w:hAnsi="宋体" w:eastAsia="仿宋_GB2312" w:cs="宋体"/>
          <w:color w:val="000000"/>
          <w:kern w:val="0"/>
          <w:sz w:val="32"/>
          <w:szCs w:val="32"/>
          <w:shd w:val="clear" w:color="auto" w:fill="FFFFFF"/>
          <w:lang w:val="zh-CN"/>
        </w:rPr>
        <w:t>（三）结果应用情况。</w:t>
      </w:r>
    </w:p>
    <w:p>
      <w:pPr>
        <w:pageBreakBefore w:val="0"/>
        <w:kinsoku/>
        <w:wordWrap/>
        <w:overflowPunct/>
        <w:topLinePunct w:val="0"/>
        <w:bidi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在财务管理过程中建立健全财务核算制度、严格执行国家相关财经法规，加强了会计基础工作、逐渐规范了财务管理行为。进一步规范了“三公经费”的管理并严格控制了“三公经费”的支出。</w:t>
      </w:r>
      <w:r>
        <w:rPr>
          <w:rFonts w:hint="eastAsia" w:ascii="仿宋" w:hAnsi="仿宋" w:eastAsia="仿宋" w:cs="宋体"/>
          <w:color w:val="000000"/>
          <w:kern w:val="0"/>
          <w:sz w:val="32"/>
          <w:szCs w:val="32"/>
          <w:lang w:val="zh-CN"/>
        </w:rPr>
        <w:t>按规定及时进行信息公开，绩效评价合理，依法接受财政监督。</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（一）评价结论。</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好</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（二）存在问题。</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会计理论知识欠缺，预算时考虑不全面，造成部分科目经费不多就少的现象。</w:t>
      </w:r>
    </w:p>
    <w:p>
      <w:pPr>
        <w:pageBreakBefore w:val="0"/>
        <w:widowControl/>
        <w:kinsoku/>
        <w:wordWrap/>
        <w:overflowPunct/>
        <w:topLinePunct w:val="0"/>
        <w:bidi w:val="0"/>
        <w:adjustRightInd w:val="0"/>
        <w:snapToGrid w:val="0"/>
        <w:spacing w:line="48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（三）改进建议。</w:t>
      </w:r>
    </w:p>
    <w:p>
      <w:pPr>
        <w:pageBreakBefore w:val="0"/>
        <w:kinsoku/>
        <w:wordWrap/>
        <w:overflowPunct/>
        <w:topLinePunct w:val="0"/>
        <w:bidi w:val="0"/>
        <w:ind w:firstLine="640" w:firstLineChars="200"/>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1.加强业务知识、财经法规的自学。</w:t>
      </w:r>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2.加强与其他单位财会人员沟通交流学习，进一步提高财会业务水平。</w:t>
      </w:r>
    </w:p>
    <w:p>
      <w:pPr>
        <w:pStyle w:val="2"/>
        <w:pageBreakBefore w:val="0"/>
        <w:kinsoku/>
        <w:wordWrap/>
        <w:overflowPunct/>
        <w:topLinePunct w:val="0"/>
        <w:bidi w:val="0"/>
        <w:ind w:firstLine="640" w:firstLineChars="200"/>
      </w:pPr>
    </w:p>
    <w:p>
      <w:pPr>
        <w:pStyle w:val="2"/>
        <w:pageBreakBefore w:val="0"/>
        <w:kinsoku/>
        <w:wordWrap/>
        <w:overflowPunct/>
        <w:topLinePunct w:val="0"/>
        <w:bidi w:val="0"/>
        <w:ind w:firstLine="640" w:firstLineChars="200"/>
      </w:pPr>
    </w:p>
    <w:p>
      <w:pPr>
        <w:pageBreakBefore w:val="0"/>
        <w:numPr>
          <w:ilvl w:val="0"/>
          <w:numId w:val="0"/>
        </w:numPr>
        <w:kinsoku/>
        <w:wordWrap/>
        <w:overflowPunct/>
        <w:topLinePunct w:val="0"/>
        <w:bidi w:val="0"/>
        <w:spacing w:line="600" w:lineRule="exact"/>
        <w:ind w:leftChars="150" w:firstLine="880" w:firstLineChars="200"/>
        <w:jc w:val="center"/>
        <w:outlineLvl w:val="0"/>
        <w:rPr>
          <w:rStyle w:val="28"/>
          <w:rFonts w:hint="eastAsia" w:ascii="黑体" w:hAnsi="黑体" w:eastAsia="黑体"/>
          <w:b w:val="0"/>
        </w:rPr>
      </w:pPr>
      <w:bookmarkStart w:id="57" w:name="_Toc15396618"/>
      <w:r>
        <w:rPr>
          <w:rStyle w:val="28"/>
          <w:rFonts w:hint="eastAsia" w:ascii="黑体" w:hAnsi="黑体" w:eastAsia="黑体"/>
          <w:b w:val="0"/>
          <w:lang w:eastAsia="zh-CN"/>
        </w:rPr>
        <w:t>第五部分</w:t>
      </w:r>
      <w:r>
        <w:rPr>
          <w:rStyle w:val="28"/>
          <w:rFonts w:hint="eastAsia" w:ascii="黑体" w:hAnsi="黑体" w:eastAsia="黑体"/>
          <w:b w:val="0"/>
          <w:lang w:val="en-US" w:eastAsia="zh-CN"/>
        </w:rPr>
        <w:t xml:space="preserve"> </w:t>
      </w:r>
      <w:r>
        <w:rPr>
          <w:rStyle w:val="28"/>
          <w:rFonts w:hint="eastAsia" w:ascii="黑体" w:hAnsi="黑体" w:eastAsia="黑体"/>
          <w:b w:val="0"/>
        </w:rPr>
        <w:t>附表</w:t>
      </w:r>
      <w:bookmarkEnd w:id="56"/>
      <w:bookmarkEnd w:id="57"/>
      <w:bookmarkStart w:id="58" w:name="_Toc15396619"/>
    </w:p>
    <w:p>
      <w:pPr>
        <w:pStyle w:val="2"/>
        <w:pageBreakBefore w:val="0"/>
        <w:kinsoku/>
        <w:wordWrap/>
        <w:overflowPunct/>
        <w:topLinePunct w:val="0"/>
        <w:bidi w:val="0"/>
        <w:ind w:firstLine="640" w:firstLineChars="200"/>
        <w:rPr>
          <w:rFonts w:hint="eastAsia"/>
        </w:rPr>
      </w:pPr>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一、收入支出决算总表</w:t>
      </w:r>
      <w:bookmarkEnd w:id="58"/>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59" w:name="_Toc15396620"/>
      <w:r>
        <w:rPr>
          <w:rFonts w:hint="eastAsia" w:ascii="仿宋" w:hAnsi="仿宋" w:eastAsia="仿宋" w:cs="宋体"/>
          <w:color w:val="000000"/>
          <w:kern w:val="0"/>
          <w:sz w:val="32"/>
          <w:szCs w:val="32"/>
          <w:lang w:val="zh-CN"/>
        </w:rPr>
        <w:t>二、收入决算表</w:t>
      </w:r>
      <w:bookmarkEnd w:id="59"/>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0" w:name="_Toc15396621"/>
      <w:r>
        <w:rPr>
          <w:rFonts w:hint="eastAsia" w:ascii="仿宋" w:hAnsi="仿宋" w:eastAsia="仿宋" w:cs="宋体"/>
          <w:color w:val="000000"/>
          <w:kern w:val="0"/>
          <w:sz w:val="32"/>
          <w:szCs w:val="32"/>
          <w:lang w:val="zh-CN"/>
        </w:rPr>
        <w:t>三、支出决算表</w:t>
      </w:r>
      <w:bookmarkEnd w:id="60"/>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1" w:name="_Toc15396622"/>
      <w:r>
        <w:rPr>
          <w:rFonts w:hint="eastAsia" w:ascii="仿宋" w:hAnsi="仿宋" w:eastAsia="仿宋" w:cs="宋体"/>
          <w:color w:val="000000"/>
          <w:kern w:val="0"/>
          <w:sz w:val="32"/>
          <w:szCs w:val="32"/>
          <w:lang w:val="zh-CN"/>
        </w:rPr>
        <w:t>四、财政拨款收入支出决算总表</w:t>
      </w:r>
      <w:bookmarkEnd w:id="61"/>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2" w:name="_Toc15396623"/>
      <w:r>
        <w:rPr>
          <w:rFonts w:hint="eastAsia" w:ascii="仿宋" w:hAnsi="仿宋" w:eastAsia="仿宋" w:cs="宋体"/>
          <w:color w:val="000000"/>
          <w:kern w:val="0"/>
          <w:sz w:val="32"/>
          <w:szCs w:val="32"/>
          <w:lang w:val="zh-CN"/>
        </w:rPr>
        <w:t>五、财政拨款支出决算明细表</w:t>
      </w:r>
      <w:bookmarkEnd w:id="62"/>
      <w:bookmarkStart w:id="63" w:name="_Toc15396624"/>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六、一般公共预算财政拨款支出决算表</w:t>
      </w:r>
      <w:bookmarkEnd w:id="63"/>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4" w:name="_Toc15396625"/>
      <w:r>
        <w:rPr>
          <w:rFonts w:hint="eastAsia" w:ascii="仿宋" w:hAnsi="仿宋" w:eastAsia="仿宋" w:cs="宋体"/>
          <w:color w:val="000000"/>
          <w:kern w:val="0"/>
          <w:sz w:val="32"/>
          <w:szCs w:val="32"/>
          <w:lang w:val="zh-CN"/>
        </w:rPr>
        <w:t>七、一般公共预算财政拨款支出决算明细表</w:t>
      </w:r>
      <w:bookmarkEnd w:id="64"/>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5" w:name="_Toc15396626"/>
      <w:r>
        <w:rPr>
          <w:rFonts w:hint="eastAsia" w:ascii="仿宋" w:hAnsi="仿宋" w:eastAsia="仿宋" w:cs="宋体"/>
          <w:color w:val="000000"/>
          <w:kern w:val="0"/>
          <w:sz w:val="32"/>
          <w:szCs w:val="32"/>
          <w:lang w:val="zh-CN"/>
        </w:rPr>
        <w:t>八、一般公共预算财政拨款基本支出决算表</w:t>
      </w:r>
      <w:bookmarkEnd w:id="65"/>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6" w:name="_Toc15396627"/>
      <w:r>
        <w:rPr>
          <w:rFonts w:hint="eastAsia" w:ascii="仿宋" w:hAnsi="仿宋" w:eastAsia="仿宋" w:cs="宋体"/>
          <w:color w:val="000000"/>
          <w:kern w:val="0"/>
          <w:sz w:val="32"/>
          <w:szCs w:val="32"/>
          <w:lang w:val="zh-CN"/>
        </w:rPr>
        <w:t>九、一般公共预算财政拨款项目支出决算表</w:t>
      </w:r>
      <w:bookmarkEnd w:id="66"/>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7" w:name="_Toc15396628"/>
      <w:r>
        <w:rPr>
          <w:rFonts w:hint="eastAsia" w:ascii="仿宋" w:hAnsi="仿宋" w:eastAsia="仿宋" w:cs="宋体"/>
          <w:color w:val="000000"/>
          <w:kern w:val="0"/>
          <w:sz w:val="32"/>
          <w:szCs w:val="32"/>
          <w:lang w:val="zh-CN"/>
        </w:rPr>
        <w:t>十、一般公共预算财政拨款“三公”经费支出决算表</w:t>
      </w:r>
      <w:bookmarkEnd w:id="67"/>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8" w:name="_Toc15396629"/>
      <w:r>
        <w:rPr>
          <w:rFonts w:hint="eastAsia" w:ascii="仿宋" w:hAnsi="仿宋" w:eastAsia="仿宋" w:cs="宋体"/>
          <w:color w:val="000000"/>
          <w:kern w:val="0"/>
          <w:sz w:val="32"/>
          <w:szCs w:val="32"/>
          <w:lang w:val="zh-CN"/>
        </w:rPr>
        <w:t>十一、政府性基金预算财政拨款收入支出决算表</w:t>
      </w:r>
      <w:bookmarkEnd w:id="68"/>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69" w:name="_Toc15396630"/>
      <w:r>
        <w:rPr>
          <w:rFonts w:hint="eastAsia" w:ascii="仿宋" w:hAnsi="仿宋" w:eastAsia="仿宋" w:cs="宋体"/>
          <w:color w:val="000000"/>
          <w:kern w:val="0"/>
          <w:sz w:val="32"/>
          <w:szCs w:val="32"/>
          <w:lang w:val="zh-CN"/>
        </w:rPr>
        <w:t>十二、政府性基金预算财政拨款“三公”经费支出决算表</w:t>
      </w:r>
      <w:bookmarkEnd w:id="69"/>
    </w:p>
    <w:p>
      <w:pPr>
        <w:pageBreakBefore w:val="0"/>
        <w:kinsoku/>
        <w:wordWrap/>
        <w:overflowPunct/>
        <w:topLinePunct w:val="0"/>
        <w:bidi w:val="0"/>
        <w:ind w:firstLine="640" w:firstLineChars="200"/>
        <w:rPr>
          <w:rFonts w:hint="eastAsia" w:ascii="仿宋" w:hAnsi="仿宋" w:eastAsia="仿宋" w:cs="宋体"/>
          <w:color w:val="000000"/>
          <w:kern w:val="0"/>
          <w:sz w:val="32"/>
          <w:szCs w:val="32"/>
          <w:lang w:val="zh-CN"/>
        </w:rPr>
      </w:pPr>
      <w:bookmarkStart w:id="70" w:name="_Toc15396631"/>
      <w:r>
        <w:rPr>
          <w:rFonts w:hint="eastAsia" w:ascii="仿宋" w:hAnsi="仿宋" w:eastAsia="仿宋" w:cs="宋体"/>
          <w:color w:val="000000"/>
          <w:kern w:val="0"/>
          <w:sz w:val="32"/>
          <w:szCs w:val="32"/>
          <w:lang w:val="zh-CN"/>
        </w:rPr>
        <w:t>十三、国有资本经营预算支出决算表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6284E"/>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74266"/>
    <w:rsid w:val="022D00E4"/>
    <w:rsid w:val="02473C36"/>
    <w:rsid w:val="03C7592A"/>
    <w:rsid w:val="040402E0"/>
    <w:rsid w:val="06186149"/>
    <w:rsid w:val="06476FD8"/>
    <w:rsid w:val="07D238C5"/>
    <w:rsid w:val="08517155"/>
    <w:rsid w:val="08881188"/>
    <w:rsid w:val="093118F9"/>
    <w:rsid w:val="09A85141"/>
    <w:rsid w:val="0A307E46"/>
    <w:rsid w:val="0A335C93"/>
    <w:rsid w:val="0A3F0BEC"/>
    <w:rsid w:val="0A511D69"/>
    <w:rsid w:val="0B4A42DB"/>
    <w:rsid w:val="0B716FE2"/>
    <w:rsid w:val="0B99172D"/>
    <w:rsid w:val="0D8340E8"/>
    <w:rsid w:val="10794F5E"/>
    <w:rsid w:val="10C055FF"/>
    <w:rsid w:val="111F6889"/>
    <w:rsid w:val="11A93C63"/>
    <w:rsid w:val="11BF6A37"/>
    <w:rsid w:val="11E62B3D"/>
    <w:rsid w:val="13E65D4C"/>
    <w:rsid w:val="143F7F51"/>
    <w:rsid w:val="15C753CF"/>
    <w:rsid w:val="16093B0B"/>
    <w:rsid w:val="16537FFF"/>
    <w:rsid w:val="16BB723D"/>
    <w:rsid w:val="16F379C1"/>
    <w:rsid w:val="17530880"/>
    <w:rsid w:val="18195DE0"/>
    <w:rsid w:val="182D07EE"/>
    <w:rsid w:val="18FD306B"/>
    <w:rsid w:val="1A946B88"/>
    <w:rsid w:val="1B6D0B86"/>
    <w:rsid w:val="1B9B7713"/>
    <w:rsid w:val="1CCE65E5"/>
    <w:rsid w:val="1CDF5A46"/>
    <w:rsid w:val="1D0104F8"/>
    <w:rsid w:val="1F92553F"/>
    <w:rsid w:val="221209C4"/>
    <w:rsid w:val="237C3BA6"/>
    <w:rsid w:val="240371BF"/>
    <w:rsid w:val="247B770F"/>
    <w:rsid w:val="264454F9"/>
    <w:rsid w:val="27522AA3"/>
    <w:rsid w:val="2770549B"/>
    <w:rsid w:val="28A52AE1"/>
    <w:rsid w:val="28C80868"/>
    <w:rsid w:val="29C43ADC"/>
    <w:rsid w:val="29FD04D3"/>
    <w:rsid w:val="2AEA47A3"/>
    <w:rsid w:val="2D5763CB"/>
    <w:rsid w:val="2DBF147D"/>
    <w:rsid w:val="2E3772CB"/>
    <w:rsid w:val="2EE200C7"/>
    <w:rsid w:val="30B87AFE"/>
    <w:rsid w:val="319F7F4E"/>
    <w:rsid w:val="340349CD"/>
    <w:rsid w:val="3577140F"/>
    <w:rsid w:val="36851465"/>
    <w:rsid w:val="37753E1A"/>
    <w:rsid w:val="38285922"/>
    <w:rsid w:val="3AC50C1C"/>
    <w:rsid w:val="3CAE5006"/>
    <w:rsid w:val="3CFC7D02"/>
    <w:rsid w:val="3D88226C"/>
    <w:rsid w:val="40CA3F5A"/>
    <w:rsid w:val="416E31BC"/>
    <w:rsid w:val="4189129D"/>
    <w:rsid w:val="426C7274"/>
    <w:rsid w:val="42B7491F"/>
    <w:rsid w:val="42F27E79"/>
    <w:rsid w:val="43705DB4"/>
    <w:rsid w:val="456574A9"/>
    <w:rsid w:val="45D74B0E"/>
    <w:rsid w:val="46DA04CD"/>
    <w:rsid w:val="48EF29A8"/>
    <w:rsid w:val="49106269"/>
    <w:rsid w:val="49A14866"/>
    <w:rsid w:val="49F8672F"/>
    <w:rsid w:val="4A1D595F"/>
    <w:rsid w:val="4A637E34"/>
    <w:rsid w:val="4B1931D8"/>
    <w:rsid w:val="4CD40FC8"/>
    <w:rsid w:val="4DDA1AB7"/>
    <w:rsid w:val="4E5553A7"/>
    <w:rsid w:val="4ECE2238"/>
    <w:rsid w:val="51AB131D"/>
    <w:rsid w:val="52F232ED"/>
    <w:rsid w:val="545B218F"/>
    <w:rsid w:val="54DE5501"/>
    <w:rsid w:val="5509031C"/>
    <w:rsid w:val="55FE5EFE"/>
    <w:rsid w:val="577D466E"/>
    <w:rsid w:val="57A70DE1"/>
    <w:rsid w:val="59404DF7"/>
    <w:rsid w:val="5950044F"/>
    <w:rsid w:val="59DF2609"/>
    <w:rsid w:val="5A757704"/>
    <w:rsid w:val="5A7A593D"/>
    <w:rsid w:val="5CC56742"/>
    <w:rsid w:val="5D0F6C8C"/>
    <w:rsid w:val="5D104E45"/>
    <w:rsid w:val="5FB70FEA"/>
    <w:rsid w:val="61BE41D6"/>
    <w:rsid w:val="62D11ED3"/>
    <w:rsid w:val="634C6988"/>
    <w:rsid w:val="63E0556F"/>
    <w:rsid w:val="641F52AE"/>
    <w:rsid w:val="6438091A"/>
    <w:rsid w:val="65085342"/>
    <w:rsid w:val="65945224"/>
    <w:rsid w:val="669B6521"/>
    <w:rsid w:val="66C736F3"/>
    <w:rsid w:val="66E00134"/>
    <w:rsid w:val="66F632C5"/>
    <w:rsid w:val="6AD36592"/>
    <w:rsid w:val="6C775813"/>
    <w:rsid w:val="6E4D5AEF"/>
    <w:rsid w:val="701857E8"/>
    <w:rsid w:val="704F269F"/>
    <w:rsid w:val="706960FD"/>
    <w:rsid w:val="71B00F8A"/>
    <w:rsid w:val="720A234A"/>
    <w:rsid w:val="72232756"/>
    <w:rsid w:val="72256DA3"/>
    <w:rsid w:val="722D7EA9"/>
    <w:rsid w:val="72734D90"/>
    <w:rsid w:val="72B63F1C"/>
    <w:rsid w:val="739B4C30"/>
    <w:rsid w:val="75633F34"/>
    <w:rsid w:val="75B257F3"/>
    <w:rsid w:val="7750430C"/>
    <w:rsid w:val="78222FD1"/>
    <w:rsid w:val="78EE5853"/>
    <w:rsid w:val="798720F6"/>
    <w:rsid w:val="79C31CC4"/>
    <w:rsid w:val="79CA6AEE"/>
    <w:rsid w:val="7A2A0D06"/>
    <w:rsid w:val="7B976783"/>
    <w:rsid w:val="7C500563"/>
    <w:rsid w:val="7D5E7056"/>
    <w:rsid w:val="7F084DB2"/>
    <w:rsid w:val="7F154228"/>
    <w:rsid w:val="7F2D6B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60" w:lineRule="atLeast"/>
      <w:ind w:firstLine="640" w:firstLineChars="200"/>
    </w:pPr>
    <w:rPr>
      <w:rFonts w:ascii="仿宋_GB2312" w:eastAsia="仿宋_GB2312"/>
      <w:sz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spacing w:before="100" w:beforeAutospacing="1" w:after="100" w:afterAutospacing="1"/>
      <w:jc w:val="left"/>
    </w:pPr>
    <w:rPr>
      <w:kern w:val="0"/>
      <w:sz w:val="24"/>
      <w:szCs w:val="20"/>
    </w:rPr>
  </w:style>
  <w:style w:type="character" w:styleId="17">
    <w:name w:val="Strong"/>
    <w:basedOn w:val="16"/>
    <w:qFormat/>
    <w:uiPriority w:val="99"/>
    <w:rPr>
      <w:b/>
    </w:rPr>
  </w:style>
  <w:style w:type="character" w:styleId="18">
    <w:name w:val="FollowedHyperlink"/>
    <w:basedOn w:val="16"/>
    <w:semiHidden/>
    <w:unhideWhenUsed/>
    <w:qFormat/>
    <w:uiPriority w:val="99"/>
    <w:rPr>
      <w:color w:val="333333"/>
      <w:u w:val="none"/>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p0"/>
    <w:basedOn w:val="1"/>
    <w:qFormat/>
    <w:uiPriority w:val="0"/>
    <w:pPr>
      <w:widowControl/>
      <w:jc w:val="left"/>
    </w:pPr>
    <w:rPr>
      <w:kern w:val="0"/>
      <w:szCs w:val="21"/>
    </w:rPr>
  </w:style>
  <w:style w:type="paragraph" w:styleId="35">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6">
    <w:name w:val="标题 1 Char"/>
    <w:basedOn w:val="16"/>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504671819126"/>
          <c:y val="0.143402711476036"/>
          <c:w val="0.766293690160341"/>
          <c:h val="0.769524536948635"/>
        </c:manualLayout>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2018年收入</c:v>
                </c:pt>
                <c:pt idx="1">
                  <c:v>2018年支出</c:v>
                </c:pt>
                <c:pt idx="2">
                  <c:v>2019年收入</c:v>
                </c:pt>
                <c:pt idx="3">
                  <c:v>2019年支出</c:v>
                </c:pt>
              </c:strCache>
            </c:strRef>
          </c:cat>
          <c:val>
            <c:numRef>
              <c:f>Sheet1!$B$2:$B$5</c:f>
              <c:numCache>
                <c:formatCode>General</c:formatCode>
                <c:ptCount val="4"/>
                <c:pt idx="0">
                  <c:v>151.84</c:v>
                </c:pt>
                <c:pt idx="2">
                  <c:v>144.92</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2018年收入</c:v>
                </c:pt>
                <c:pt idx="1">
                  <c:v>2018年支出</c:v>
                </c:pt>
                <c:pt idx="2">
                  <c:v>2019年收入</c:v>
                </c:pt>
                <c:pt idx="3">
                  <c:v>2019年支出</c:v>
                </c:pt>
              </c:strCache>
            </c:strRef>
          </c:cat>
          <c:val>
            <c:numRef>
              <c:f>Sheet1!$C$2:$C$5</c:f>
              <c:numCache>
                <c:formatCode>General</c:formatCode>
                <c:ptCount val="4"/>
                <c:pt idx="1">
                  <c:v>148.85</c:v>
                </c:pt>
                <c:pt idx="3">
                  <c:v>142.97</c:v>
                </c:pt>
              </c:numCache>
            </c:numRef>
          </c:val>
        </c:ser>
        <c:dLbls>
          <c:showLegendKey val="0"/>
          <c:showVal val="1"/>
          <c:showCatName val="0"/>
          <c:showSerName val="0"/>
          <c:showPercent val="0"/>
          <c:showBubbleSize val="0"/>
        </c:dLbls>
        <c:gapWidth val="150"/>
        <c:axId val="76664192"/>
        <c:axId val="138262016"/>
      </c:barChart>
      <c:catAx>
        <c:axId val="76664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262016"/>
        <c:crosses val="autoZero"/>
        <c:auto val="1"/>
        <c:lblAlgn val="ctr"/>
        <c:lblOffset val="100"/>
        <c:noMultiLvlLbl val="0"/>
      </c:catAx>
      <c:valAx>
        <c:axId val="138262016"/>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66641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收入决算（单位：万元）</a:t>
            </a:r>
          </a:p>
        </c:rich>
      </c:tx>
      <c:layout/>
      <c:overlay val="0"/>
    </c:title>
    <c:autoTitleDeleted val="0"/>
    <c:plotArea>
      <c:layout/>
      <c:pieChart>
        <c:varyColors val="1"/>
        <c:ser>
          <c:idx val="0"/>
          <c:order val="0"/>
          <c:tx>
            <c:strRef>
              <c:f>Sheet1!$B$1</c:f>
              <c:strCache>
                <c:ptCount val="1"/>
                <c:pt idx="0">
                  <c:v>收入决算（单位：万元）</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一般公共预算财政拨款</c:v>
                </c:pt>
                <c:pt idx="1">
                  <c:v>政府性基金</c:v>
                </c:pt>
                <c:pt idx="2">
                  <c:v>上级补助</c:v>
                </c:pt>
                <c:pt idx="3">
                  <c:v>事业收入</c:v>
                </c:pt>
                <c:pt idx="4">
                  <c:v>经营收入</c:v>
                </c:pt>
              </c:strCache>
            </c:strRef>
          </c:cat>
          <c:val>
            <c:numRef>
              <c:f>Sheet1!$B$2:$B$6</c:f>
              <c:numCache>
                <c:formatCode>General</c:formatCode>
                <c:ptCount val="5"/>
                <c:pt idx="0">
                  <c:v>144.92</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支出决算（单位：万元）</a:t>
            </a:r>
          </a:p>
        </c:rich>
      </c:tx>
      <c:layout/>
      <c:overlay val="0"/>
    </c:title>
    <c:autoTitleDeleted val="0"/>
    <c:plotArea>
      <c:layout/>
      <c:pieChart>
        <c:varyColors val="1"/>
        <c:ser>
          <c:idx val="0"/>
          <c:order val="0"/>
          <c:tx>
            <c:strRef>
              <c:f>Sheet1!$B$1</c:f>
              <c:strCache>
                <c:ptCount val="1"/>
                <c:pt idx="0">
                  <c:v>支出决算（单位：万元）</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c:v>
                </c:pt>
                <c:pt idx="3">
                  <c:v>经营支出</c:v>
                </c:pt>
                <c:pt idx="4">
                  <c:v>经营支出</c:v>
                </c:pt>
              </c:strCache>
            </c:strRef>
          </c:cat>
          <c:val>
            <c:numRef>
              <c:f>Sheet1!$B$2:$B$6</c:f>
              <c:numCache>
                <c:formatCode>General</c:formatCode>
                <c:ptCount val="5"/>
                <c:pt idx="0">
                  <c:v>144.92</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3590738158839"/>
          <c:y val="0.030309112806102"/>
          <c:w val="0.807109557109557"/>
          <c:h val="0.909289617486339"/>
        </c:manualLayout>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2018年收入</c:v>
                </c:pt>
                <c:pt idx="1">
                  <c:v>2018年支出</c:v>
                </c:pt>
                <c:pt idx="2">
                  <c:v>2019年收入</c:v>
                </c:pt>
                <c:pt idx="3">
                  <c:v>2019年支出</c:v>
                </c:pt>
              </c:strCache>
            </c:strRef>
          </c:cat>
          <c:val>
            <c:numRef>
              <c:f>Sheet1!$B$2:$B$5</c:f>
              <c:numCache>
                <c:formatCode>General</c:formatCode>
                <c:ptCount val="4"/>
                <c:pt idx="0">
                  <c:v>151.84</c:v>
                </c:pt>
                <c:pt idx="2">
                  <c:v>142.97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2018年收入</c:v>
                </c:pt>
                <c:pt idx="1">
                  <c:v>2018年支出</c:v>
                </c:pt>
                <c:pt idx="2">
                  <c:v>2019年收入</c:v>
                </c:pt>
                <c:pt idx="3">
                  <c:v>2019年支出</c:v>
                </c:pt>
              </c:strCache>
            </c:strRef>
          </c:cat>
          <c:val>
            <c:numRef>
              <c:f>Sheet1!$C$2:$C$5</c:f>
              <c:numCache>
                <c:formatCode>General</c:formatCode>
                <c:ptCount val="4"/>
                <c:pt idx="1">
                  <c:v>148.85</c:v>
                </c:pt>
                <c:pt idx="3">
                  <c:v>142.97</c:v>
                </c:pt>
              </c:numCache>
            </c:numRef>
          </c:val>
        </c:ser>
        <c:dLbls>
          <c:showLegendKey val="0"/>
          <c:showVal val="1"/>
          <c:showCatName val="0"/>
          <c:showSerName val="0"/>
          <c:showPercent val="0"/>
          <c:showBubbleSize val="0"/>
        </c:dLbls>
        <c:gapWidth val="150"/>
        <c:axId val="76664192"/>
        <c:axId val="138262016"/>
      </c:barChart>
      <c:catAx>
        <c:axId val="76664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262016"/>
        <c:crosses val="autoZero"/>
        <c:auto val="1"/>
        <c:lblAlgn val="ctr"/>
        <c:lblOffset val="100"/>
        <c:noMultiLvlLbl val="0"/>
      </c:catAx>
      <c:valAx>
        <c:axId val="138262016"/>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66641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Sheet1!$B$2</c:f>
              <c:numCache>
                <c:formatCode>General</c:formatCode>
                <c:ptCount val="1"/>
                <c:pt idx="0">
                  <c:v>148.85</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Sheet1!$C$2</c:f>
              <c:numCache>
                <c:formatCode>General</c:formatCode>
                <c:ptCount val="1"/>
                <c:pt idx="0">
                  <c:v>142.97</c:v>
                </c:pt>
              </c:numCache>
            </c:numRef>
          </c:val>
        </c:ser>
        <c:ser>
          <c:idx val="2"/>
          <c:order val="2"/>
          <c:tx>
            <c:strRef>
              <c:f>Sheet1!$D$1</c:f>
              <c:strCache>
                <c:ptCount val="1"/>
                <c:pt idx="0">
                  <c:v>对比情况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Sheet1!$D$2</c:f>
              <c:numCache>
                <c:formatCode>General</c:formatCode>
                <c:ptCount val="1"/>
                <c:pt idx="0">
                  <c:v>5.88</c:v>
                </c:pt>
              </c:numCache>
            </c:numRef>
          </c:val>
        </c:ser>
        <c:dLbls>
          <c:showLegendKey val="0"/>
          <c:showVal val="1"/>
          <c:showCatName val="0"/>
          <c:showSerName val="0"/>
          <c:showPercent val="0"/>
          <c:showBubbleSize val="0"/>
        </c:dLbls>
        <c:gapWidth val="219"/>
        <c:overlap val="-27"/>
        <c:axId val="752343404"/>
        <c:axId val="819052194"/>
      </c:barChart>
      <c:catAx>
        <c:axId val="7523434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052194"/>
        <c:crosses val="autoZero"/>
        <c:auto val="1"/>
        <c:lblAlgn val="ctr"/>
        <c:lblOffset val="100"/>
        <c:noMultiLvlLbl val="0"/>
      </c:catAx>
      <c:valAx>
        <c:axId val="8190521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23434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Sheet1!$B$2</c:f>
              <c:numCache>
                <c:formatCode>General</c:formatCode>
                <c:ptCount val="1"/>
                <c:pt idx="0">
                  <c:v>148.85</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Sheet1!$C$2</c:f>
              <c:numCache>
                <c:formatCode>General</c:formatCode>
                <c:ptCount val="1"/>
                <c:pt idx="0">
                  <c:v>142.97</c:v>
                </c:pt>
              </c:numCache>
            </c:numRef>
          </c:val>
        </c:ser>
        <c:ser>
          <c:idx val="2"/>
          <c:order val="2"/>
          <c:tx>
            <c:strRef>
              <c:f>Sheet1!$D$1</c:f>
              <c:strCache>
                <c:ptCount val="1"/>
                <c:pt idx="0">
                  <c:v>对比情况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Sheet1!$D$2</c:f>
              <c:numCache>
                <c:formatCode>General</c:formatCode>
                <c:ptCount val="1"/>
                <c:pt idx="0">
                  <c:v>5.88</c:v>
                </c:pt>
              </c:numCache>
            </c:numRef>
          </c:val>
        </c:ser>
        <c:dLbls>
          <c:showLegendKey val="0"/>
          <c:showVal val="1"/>
          <c:showCatName val="0"/>
          <c:showSerName val="0"/>
          <c:showPercent val="0"/>
          <c:showBubbleSize val="0"/>
        </c:dLbls>
        <c:gapWidth val="219"/>
        <c:overlap val="-27"/>
        <c:axId val="752343404"/>
        <c:axId val="819052194"/>
      </c:barChart>
      <c:catAx>
        <c:axId val="7523434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052194"/>
        <c:crosses val="autoZero"/>
        <c:auto val="1"/>
        <c:lblAlgn val="ctr"/>
        <c:lblOffset val="100"/>
        <c:noMultiLvlLbl val="0"/>
      </c:catAx>
      <c:valAx>
        <c:axId val="8190521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23434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一般公共预算财政拨款支出决算结构（单位：万元）</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c:v>
                </c:pt>
                <c:pt idx="1">
                  <c:v>养老保险</c:v>
                </c:pt>
                <c:pt idx="2">
                  <c:v>职业年金</c:v>
                </c:pt>
                <c:pt idx="3">
                  <c:v>行政医疗</c:v>
                </c:pt>
                <c:pt idx="4">
                  <c:v>住房公积金</c:v>
                </c:pt>
              </c:strCache>
            </c:strRef>
          </c:cat>
          <c:val>
            <c:numRef>
              <c:f>Sheet1!$B$2:$B$6</c:f>
              <c:numCache>
                <c:formatCode>General</c:formatCode>
                <c:ptCount val="5"/>
                <c:pt idx="0">
                  <c:v>105.44</c:v>
                </c:pt>
                <c:pt idx="1">
                  <c:v>12.4</c:v>
                </c:pt>
                <c:pt idx="2">
                  <c:v>5.77</c:v>
                </c:pt>
                <c:pt idx="3">
                  <c:v>7.73</c:v>
                </c:pt>
                <c:pt idx="4">
                  <c:v>11.63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余何静</cp:lastModifiedBy>
  <cp:lastPrinted>2020-07-23T02:58:00Z</cp:lastPrinted>
  <dcterms:modified xsi:type="dcterms:W3CDTF">2020-10-13T03:21:43Z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