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96597"/>
      <w:bookmarkStart w:id="2" w:name="_Toc15396475"/>
      <w:bookmarkStart w:id="3" w:name="_Toc15378441"/>
      <w:bookmarkStart w:id="4" w:name="_Toc15377425"/>
      <w:bookmarkStart w:id="5" w:name="_Toc15377193"/>
      <w:r>
        <w:rPr>
          <w:rFonts w:ascii="黑体" w:hAnsi="黑体" w:eastAsia="黑体"/>
          <w:color w:val="000000"/>
          <w:sz w:val="72"/>
          <w:szCs w:val="72"/>
        </w:rPr>
        <w:t>201</w:t>
      </w:r>
      <w:r>
        <w:rPr>
          <w:rFonts w:hint="eastAsia" w:ascii="黑体" w:hAnsi="黑体" w:eastAsia="黑体"/>
          <w:color w:val="000000"/>
          <w:sz w:val="72"/>
          <w:szCs w:val="72"/>
        </w:rPr>
        <w:t>8</w:t>
      </w:r>
      <w:r>
        <w:rPr>
          <w:rFonts w:hint="eastAsia" w:ascii="方正小标宋简体" w:hAnsi="宋体" w:eastAsia="方正小标宋简体"/>
          <w:color w:val="000000"/>
          <w:sz w:val="72"/>
          <w:szCs w:val="72"/>
        </w:rPr>
        <w:t>年度</w:t>
      </w:r>
      <w:bookmarkEnd w:id="1"/>
      <w:bookmarkEnd w:id="2"/>
      <w:bookmarkEnd w:id="3"/>
      <w:bookmarkEnd w:id="4"/>
      <w:bookmarkEnd w:id="5"/>
    </w:p>
    <w:p>
      <w:pPr>
        <w:adjustRightInd w:val="0"/>
        <w:snapToGrid w:val="0"/>
        <w:spacing w:line="360" w:lineRule="auto"/>
        <w:jc w:val="center"/>
        <w:outlineLvl w:val="0"/>
        <w:rPr>
          <w:rFonts w:ascii="方正小标宋简体" w:hAnsi="宋体" w:eastAsia="方正小标宋简体"/>
          <w:color w:val="000000"/>
          <w:sz w:val="72"/>
          <w:szCs w:val="72"/>
        </w:rPr>
      </w:pPr>
      <w:bookmarkStart w:id="6" w:name="_Toc15396598"/>
      <w:bookmarkStart w:id="7" w:name="_Toc15377194"/>
      <w:bookmarkStart w:id="8" w:name="_Toc15377426"/>
      <w:bookmarkStart w:id="9" w:name="_Toc15378442"/>
      <w:bookmarkStart w:id="10" w:name="_Toc15396476"/>
      <w:r>
        <w:rPr>
          <w:rFonts w:hint="eastAsia" w:ascii="方正小标宋简体" w:hAnsi="宋体" w:eastAsia="方正小标宋简体"/>
          <w:color w:val="000000"/>
          <w:sz w:val="72"/>
          <w:szCs w:val="72"/>
        </w:rPr>
        <w:t>四川省</w:t>
      </w:r>
      <w:bookmarkEnd w:id="0"/>
      <w:bookmarkStart w:id="11" w:name="_Toc15306268"/>
      <w:r>
        <w:rPr>
          <w:rFonts w:hint="eastAsia" w:ascii="方正小标宋简体" w:hAnsi="宋体" w:eastAsia="方正小标宋简体"/>
          <w:color w:val="000000"/>
          <w:sz w:val="72"/>
          <w:szCs w:val="72"/>
        </w:rPr>
        <w:t>阿坝州红原县</w:t>
      </w:r>
    </w:p>
    <w:p>
      <w:pPr>
        <w:adjustRightInd w:val="0"/>
        <w:snapToGrid w:val="0"/>
        <w:spacing w:line="360" w:lineRule="auto"/>
        <w:jc w:val="center"/>
        <w:outlineLvl w:val="0"/>
        <w:rPr>
          <w:rFonts w:ascii="方正小标宋简体" w:hAnsi="宋体" w:eastAsia="方正小标宋简体"/>
          <w:color w:val="000000"/>
          <w:sz w:val="72"/>
          <w:szCs w:val="72"/>
        </w:rPr>
      </w:pPr>
      <w:r>
        <w:rPr>
          <w:rFonts w:hint="eastAsia" w:ascii="方正小标宋简体" w:hAnsi="宋体" w:eastAsia="方正小标宋简体"/>
          <w:color w:val="000000"/>
          <w:sz w:val="72"/>
          <w:szCs w:val="72"/>
        </w:rPr>
        <w:t>信访局决算</w:t>
      </w:r>
      <w:bookmarkEnd w:id="6"/>
      <w:bookmarkEnd w:id="7"/>
      <w:bookmarkEnd w:id="8"/>
      <w:bookmarkEnd w:id="9"/>
      <w:bookmarkEnd w:id="10"/>
      <w:bookmarkEnd w:id="11"/>
      <w:r>
        <w:rPr>
          <w:rFonts w:hint="eastAsia" w:ascii="方正小标宋简体" w:hAnsi="宋体" w:eastAsia="方正小标宋简体"/>
          <w:color w:val="000000"/>
          <w:sz w:val="72"/>
          <w:szCs w:val="72"/>
        </w:rPr>
        <w:t>公开</w:t>
      </w:r>
    </w:p>
    <w:p>
      <w:pPr>
        <w:widowControl/>
        <w:jc w:val="center"/>
        <w:rPr>
          <w:rFonts w:ascii="黑体" w:hAnsi="黑体" w:eastAsia="黑体"/>
          <w:color w:val="000000"/>
          <w:sz w:val="48"/>
          <w:szCs w:val="4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p>
    <w:p>
      <w:pPr>
        <w:widowControl/>
        <w:jc w:val="center"/>
        <w:rPr>
          <w:rFonts w:ascii="仿宋" w:hAnsi="仿宋" w:eastAsia="仿宋" w:cstheme="minorBidi"/>
          <w:sz w:val="32"/>
          <w:szCs w:val="32"/>
        </w:rPr>
      </w:pPr>
      <w:r>
        <w:rPr>
          <w:rFonts w:ascii="仿宋" w:hAnsi="仿宋" w:eastAsia="仿宋"/>
          <w:color w:val="000000"/>
          <w:sz w:val="32"/>
          <w:szCs w:val="32"/>
        </w:rPr>
        <w:fldChar w:fldCharType="begin"/>
      </w:r>
      <w:r>
        <w:rPr>
          <w:rFonts w:ascii="仿宋" w:hAnsi="仿宋" w:eastAsia="仿宋"/>
          <w:color w:val="000000"/>
          <w:sz w:val="32"/>
          <w:szCs w:val="32"/>
        </w:rPr>
        <w:instrText xml:space="preserve"> TOC \o "1-2" \h \z \u </w:instrText>
      </w:r>
      <w:r>
        <w:rPr>
          <w:rFonts w:ascii="仿宋" w:hAnsi="仿宋" w:eastAsia="仿宋"/>
          <w:color w:val="000000"/>
          <w:sz w:val="32"/>
          <w:szCs w:val="32"/>
        </w:rPr>
        <w:fldChar w:fldCharType="separate"/>
      </w:r>
    </w:p>
    <w:p>
      <w:pPr>
        <w:rPr>
          <w:rFonts w:ascii="仿宋" w:hAnsi="仿宋" w:eastAsia="仿宋"/>
          <w:sz w:val="32"/>
          <w:szCs w:val="32"/>
        </w:rPr>
      </w:pPr>
    </w:p>
    <w:p>
      <w:pPr>
        <w:pStyle w:val="11"/>
        <w:rPr>
          <w:rFonts w:cstheme="minorBidi"/>
          <w:b/>
          <w:sz w:val="32"/>
          <w:szCs w:val="32"/>
        </w:rPr>
      </w:pPr>
      <w:r>
        <w:fldChar w:fldCharType="begin"/>
      </w:r>
      <w:r>
        <w:instrText xml:space="preserve"> HYPERLINK \l "_Toc15396599" </w:instrText>
      </w:r>
      <w:r>
        <w:fldChar w:fldCharType="separate"/>
      </w:r>
      <w:r>
        <w:rPr>
          <w:rStyle w:val="16"/>
          <w:rFonts w:hint="eastAsia"/>
          <w:b/>
          <w:sz w:val="32"/>
          <w:szCs w:val="32"/>
        </w:rPr>
        <w:t>第一部分部门概况</w:t>
      </w:r>
      <w:r>
        <w:rPr>
          <w:rStyle w:val="16"/>
          <w:rFonts w:hint="eastAsia"/>
          <w:b/>
          <w:sz w:val="32"/>
          <w:szCs w:val="32"/>
        </w:rPr>
        <w:fldChar w:fldCharType="end"/>
      </w:r>
    </w:p>
    <w:p>
      <w:pPr>
        <w:pStyle w:val="12"/>
        <w:rPr>
          <w:rFonts w:ascii="仿宋" w:hAnsi="仿宋" w:eastAsia="仿宋" w:cstheme="minorBidi"/>
          <w:sz w:val="32"/>
          <w:szCs w:val="32"/>
        </w:rPr>
      </w:pPr>
      <w:r>
        <w:fldChar w:fldCharType="begin"/>
      </w:r>
      <w:r>
        <w:instrText xml:space="preserve"> HYPERLINK \l "_Toc15396600" </w:instrText>
      </w:r>
      <w:r>
        <w:fldChar w:fldCharType="separate"/>
      </w:r>
      <w:r>
        <w:rPr>
          <w:rStyle w:val="16"/>
          <w:rFonts w:hint="eastAsia" w:ascii="仿宋" w:hAnsi="仿宋" w:eastAsia="仿宋"/>
          <w:sz w:val="32"/>
          <w:szCs w:val="32"/>
        </w:rPr>
        <w:t>一、基本职能及主要工作</w:t>
      </w:r>
      <w:r>
        <w:rPr>
          <w:rStyle w:val="16"/>
          <w:rFonts w:hint="eastAsia" w:ascii="仿宋" w:hAnsi="仿宋" w:eastAsia="仿宋"/>
          <w:sz w:val="32"/>
          <w:szCs w:val="32"/>
        </w:rPr>
        <w:fldChar w:fldCharType="end"/>
      </w:r>
    </w:p>
    <w:p>
      <w:pPr>
        <w:pStyle w:val="12"/>
        <w:rPr>
          <w:rFonts w:ascii="仿宋" w:hAnsi="仿宋" w:eastAsia="仿宋" w:cstheme="minorBidi"/>
          <w:sz w:val="32"/>
          <w:szCs w:val="32"/>
        </w:rPr>
      </w:pPr>
      <w:r>
        <w:fldChar w:fldCharType="begin"/>
      </w:r>
      <w:r>
        <w:instrText xml:space="preserve"> HYPERLINK \l "_Toc15396601" </w:instrText>
      </w:r>
      <w:r>
        <w:fldChar w:fldCharType="separate"/>
      </w:r>
      <w:r>
        <w:rPr>
          <w:rStyle w:val="16"/>
          <w:rFonts w:hint="eastAsia" w:ascii="仿宋" w:hAnsi="仿宋" w:eastAsia="仿宋"/>
          <w:sz w:val="32"/>
          <w:szCs w:val="32"/>
        </w:rPr>
        <w:t>二、机构设置</w:t>
      </w:r>
      <w:r>
        <w:rPr>
          <w:rStyle w:val="16"/>
          <w:rFonts w:hint="eastAsia" w:ascii="仿宋" w:hAnsi="仿宋" w:eastAsia="仿宋"/>
          <w:sz w:val="32"/>
          <w:szCs w:val="32"/>
        </w:rPr>
        <w:fldChar w:fldCharType="end"/>
      </w:r>
    </w:p>
    <w:p>
      <w:pPr>
        <w:pStyle w:val="11"/>
        <w:rPr>
          <w:b/>
          <w:sz w:val="32"/>
          <w:szCs w:val="32"/>
        </w:rPr>
      </w:pPr>
      <w:r>
        <w:fldChar w:fldCharType="begin"/>
      </w:r>
      <w:r>
        <w:instrText xml:space="preserve"> HYPERLINK \l "_Toc15396602" </w:instrText>
      </w:r>
      <w:r>
        <w:fldChar w:fldCharType="separate"/>
      </w:r>
      <w:r>
        <w:rPr>
          <w:rStyle w:val="16"/>
          <w:rFonts w:hint="eastAsia"/>
          <w:b/>
          <w:sz w:val="32"/>
          <w:szCs w:val="32"/>
        </w:rPr>
        <w:t>第二部分</w:t>
      </w:r>
      <w:r>
        <w:rPr>
          <w:rStyle w:val="16"/>
          <w:b/>
          <w:sz w:val="32"/>
          <w:szCs w:val="32"/>
        </w:rPr>
        <w:t xml:space="preserve"> 2018</w:t>
      </w:r>
      <w:r>
        <w:rPr>
          <w:rStyle w:val="16"/>
          <w:rFonts w:hint="eastAsia"/>
          <w:b/>
          <w:sz w:val="32"/>
          <w:szCs w:val="32"/>
        </w:rPr>
        <w:t>年度部门决算情况说明</w:t>
      </w:r>
      <w:r>
        <w:rPr>
          <w:rStyle w:val="16"/>
          <w:rFonts w:hint="eastAsia"/>
          <w:b/>
          <w:sz w:val="32"/>
          <w:szCs w:val="32"/>
        </w:rPr>
        <w:fldChar w:fldCharType="end"/>
      </w:r>
    </w:p>
    <w:p>
      <w:pPr>
        <w:pStyle w:val="12"/>
        <w:rPr>
          <w:rFonts w:ascii="仿宋" w:hAnsi="仿宋" w:eastAsia="仿宋" w:cstheme="minorBidi"/>
          <w:sz w:val="32"/>
          <w:szCs w:val="32"/>
        </w:rPr>
      </w:pPr>
      <w:r>
        <w:fldChar w:fldCharType="begin"/>
      </w:r>
      <w:r>
        <w:instrText xml:space="preserve"> HYPERLINK \l "_Toc15396603" </w:instrText>
      </w:r>
      <w:r>
        <w:fldChar w:fldCharType="separate"/>
      </w:r>
      <w:r>
        <w:rPr>
          <w:rStyle w:val="16"/>
          <w:rFonts w:hint="eastAsia" w:ascii="仿宋" w:hAnsi="仿宋" w:eastAsia="仿宋" w:cstheme="majorBidi"/>
          <w:bCs/>
          <w:sz w:val="32"/>
          <w:szCs w:val="32"/>
        </w:rPr>
        <w:t>一、</w:t>
      </w:r>
      <w:r>
        <w:rPr>
          <w:rStyle w:val="16"/>
          <w:rFonts w:hint="eastAsia" w:ascii="仿宋" w:hAnsi="仿宋" w:eastAsia="仿宋"/>
          <w:sz w:val="32"/>
          <w:szCs w:val="32"/>
        </w:rPr>
        <w:t>收</w:t>
      </w:r>
      <w:r>
        <w:rPr>
          <w:rStyle w:val="16"/>
          <w:rFonts w:hint="eastAsia" w:ascii="仿宋" w:hAnsi="仿宋" w:eastAsia="仿宋" w:cstheme="majorBidi"/>
          <w:bCs/>
          <w:sz w:val="32"/>
          <w:szCs w:val="32"/>
        </w:rPr>
        <w:t>入支出决算总体情况说明</w:t>
      </w:r>
      <w:r>
        <w:rPr>
          <w:rStyle w:val="16"/>
          <w:rFonts w:hint="eastAsia" w:ascii="仿宋" w:hAnsi="仿宋" w:eastAsia="仿宋" w:cstheme="majorBidi"/>
          <w:bCs/>
          <w:sz w:val="32"/>
          <w:szCs w:val="32"/>
        </w:rPr>
        <w:fldChar w:fldCharType="end"/>
      </w:r>
    </w:p>
    <w:p>
      <w:pPr>
        <w:pStyle w:val="12"/>
        <w:rPr>
          <w:rFonts w:ascii="仿宋" w:hAnsi="仿宋" w:eastAsia="仿宋" w:cstheme="minorBidi"/>
          <w:sz w:val="32"/>
          <w:szCs w:val="32"/>
        </w:rPr>
      </w:pPr>
      <w:r>
        <w:fldChar w:fldCharType="begin"/>
      </w:r>
      <w:r>
        <w:instrText xml:space="preserve"> HYPERLINK \l "_Toc15396604" </w:instrText>
      </w:r>
      <w:r>
        <w:fldChar w:fldCharType="separate"/>
      </w:r>
      <w:r>
        <w:rPr>
          <w:rStyle w:val="16"/>
          <w:rFonts w:hint="eastAsia" w:ascii="仿宋" w:hAnsi="仿宋" w:eastAsia="仿宋" w:cstheme="majorBidi"/>
          <w:bCs/>
          <w:sz w:val="32"/>
          <w:szCs w:val="32"/>
        </w:rPr>
        <w:t>二、</w:t>
      </w:r>
      <w:r>
        <w:rPr>
          <w:rStyle w:val="16"/>
          <w:rFonts w:hint="eastAsia" w:ascii="仿宋" w:hAnsi="仿宋" w:eastAsia="仿宋"/>
          <w:sz w:val="32"/>
          <w:szCs w:val="32"/>
        </w:rPr>
        <w:t>收</w:t>
      </w:r>
      <w:r>
        <w:rPr>
          <w:rStyle w:val="16"/>
          <w:rFonts w:hint="eastAsia" w:ascii="仿宋" w:hAnsi="仿宋" w:eastAsia="仿宋" w:cstheme="majorBidi"/>
          <w:bCs/>
          <w:sz w:val="32"/>
          <w:szCs w:val="32"/>
        </w:rPr>
        <w:t>入决算情况说明</w:t>
      </w:r>
      <w:r>
        <w:rPr>
          <w:rStyle w:val="16"/>
          <w:rFonts w:hint="eastAsia" w:ascii="仿宋" w:hAnsi="仿宋" w:eastAsia="仿宋" w:cstheme="majorBidi"/>
          <w:bCs/>
          <w:sz w:val="32"/>
          <w:szCs w:val="32"/>
        </w:rPr>
        <w:fldChar w:fldCharType="end"/>
      </w:r>
    </w:p>
    <w:p>
      <w:pPr>
        <w:pStyle w:val="12"/>
        <w:rPr>
          <w:rFonts w:ascii="仿宋" w:hAnsi="仿宋" w:eastAsia="仿宋"/>
          <w:sz w:val="32"/>
          <w:szCs w:val="32"/>
        </w:rPr>
      </w:pPr>
      <w:r>
        <w:fldChar w:fldCharType="begin"/>
      </w:r>
      <w:r>
        <w:instrText xml:space="preserve"> HYPERLINK \l "_Toc15396605" </w:instrText>
      </w:r>
      <w:r>
        <w:fldChar w:fldCharType="separate"/>
      </w:r>
      <w:r>
        <w:rPr>
          <w:rStyle w:val="16"/>
          <w:rFonts w:hint="eastAsia" w:ascii="仿宋" w:hAnsi="仿宋" w:eastAsia="仿宋" w:cstheme="majorBidi"/>
          <w:bCs/>
          <w:sz w:val="32"/>
          <w:szCs w:val="32"/>
        </w:rPr>
        <w:t>三、</w:t>
      </w:r>
      <w:r>
        <w:rPr>
          <w:rStyle w:val="16"/>
          <w:rFonts w:hint="eastAsia" w:ascii="仿宋" w:hAnsi="仿宋" w:eastAsia="仿宋"/>
          <w:sz w:val="32"/>
          <w:szCs w:val="32"/>
        </w:rPr>
        <w:t>支</w:t>
      </w:r>
      <w:r>
        <w:rPr>
          <w:rStyle w:val="16"/>
          <w:rFonts w:hint="eastAsia" w:ascii="仿宋" w:hAnsi="仿宋" w:eastAsia="仿宋" w:cstheme="majorBidi"/>
          <w:bCs/>
          <w:sz w:val="32"/>
          <w:szCs w:val="32"/>
        </w:rPr>
        <w:t>出决算情况说明</w:t>
      </w:r>
      <w:r>
        <w:rPr>
          <w:rStyle w:val="16"/>
          <w:rFonts w:hint="eastAsia" w:ascii="仿宋" w:hAnsi="仿宋" w:eastAsia="仿宋" w:cstheme="majorBidi"/>
          <w:bCs/>
          <w:sz w:val="32"/>
          <w:szCs w:val="32"/>
        </w:rPr>
        <w:fldChar w:fldCharType="end"/>
      </w:r>
    </w:p>
    <w:p>
      <w:pPr>
        <w:pStyle w:val="12"/>
        <w:rPr>
          <w:rFonts w:ascii="仿宋" w:hAnsi="仿宋" w:eastAsia="仿宋" w:cstheme="minorBidi"/>
          <w:sz w:val="32"/>
          <w:szCs w:val="32"/>
        </w:rPr>
      </w:pPr>
      <w:r>
        <w:fldChar w:fldCharType="begin"/>
      </w:r>
      <w:r>
        <w:instrText xml:space="preserve"> HYPERLINK \l "_Toc15396606" </w:instrText>
      </w:r>
      <w:r>
        <w:fldChar w:fldCharType="separate"/>
      </w:r>
      <w:r>
        <w:rPr>
          <w:rStyle w:val="16"/>
          <w:rFonts w:hint="eastAsia" w:ascii="仿宋" w:hAnsi="仿宋" w:eastAsia="仿宋"/>
          <w:sz w:val="32"/>
          <w:szCs w:val="32"/>
        </w:rPr>
        <w:t>四、财</w:t>
      </w:r>
      <w:r>
        <w:rPr>
          <w:rStyle w:val="16"/>
          <w:rFonts w:hint="eastAsia" w:ascii="仿宋" w:hAnsi="仿宋" w:eastAsia="仿宋" w:cstheme="majorBidi"/>
          <w:bCs/>
          <w:sz w:val="32"/>
          <w:szCs w:val="32"/>
        </w:rPr>
        <w:t>政拨款收入支出决算总体情况说明</w:t>
      </w:r>
      <w:r>
        <w:rPr>
          <w:rStyle w:val="16"/>
          <w:rFonts w:hint="eastAsia" w:ascii="仿宋" w:hAnsi="仿宋" w:eastAsia="仿宋" w:cstheme="majorBidi"/>
          <w:bCs/>
          <w:sz w:val="32"/>
          <w:szCs w:val="32"/>
        </w:rPr>
        <w:fldChar w:fldCharType="end"/>
      </w:r>
    </w:p>
    <w:p>
      <w:pPr>
        <w:pStyle w:val="12"/>
        <w:rPr>
          <w:rFonts w:ascii="仿宋" w:hAnsi="仿宋" w:eastAsia="仿宋" w:cstheme="minorBidi"/>
          <w:sz w:val="32"/>
          <w:szCs w:val="32"/>
        </w:rPr>
      </w:pPr>
      <w:r>
        <w:fldChar w:fldCharType="begin"/>
      </w:r>
      <w:r>
        <w:instrText xml:space="preserve"> HYPERLINK \l "_Toc15396607" </w:instrText>
      </w:r>
      <w:r>
        <w:fldChar w:fldCharType="separate"/>
      </w:r>
      <w:r>
        <w:rPr>
          <w:rStyle w:val="16"/>
          <w:rFonts w:hint="eastAsia" w:ascii="仿宋" w:hAnsi="仿宋" w:eastAsia="仿宋"/>
          <w:sz w:val="32"/>
          <w:szCs w:val="32"/>
        </w:rPr>
        <w:t>五、一</w:t>
      </w:r>
      <w:r>
        <w:rPr>
          <w:rStyle w:val="16"/>
          <w:rFonts w:hint="eastAsia" w:ascii="仿宋" w:hAnsi="仿宋" w:eastAsia="仿宋" w:cstheme="majorBidi"/>
          <w:bCs/>
          <w:sz w:val="32"/>
          <w:szCs w:val="32"/>
        </w:rPr>
        <w:t>般公共预算财政拨款支出决算情况说明</w:t>
      </w:r>
      <w:r>
        <w:rPr>
          <w:rStyle w:val="16"/>
          <w:rFonts w:hint="eastAsia" w:ascii="仿宋" w:hAnsi="仿宋" w:eastAsia="仿宋" w:cstheme="majorBidi"/>
          <w:bCs/>
          <w:sz w:val="32"/>
          <w:szCs w:val="32"/>
        </w:rPr>
        <w:fldChar w:fldCharType="end"/>
      </w:r>
    </w:p>
    <w:p>
      <w:pPr>
        <w:pStyle w:val="12"/>
        <w:rPr>
          <w:rFonts w:ascii="仿宋" w:hAnsi="仿宋" w:eastAsia="仿宋" w:cstheme="minorBidi"/>
          <w:sz w:val="32"/>
          <w:szCs w:val="32"/>
        </w:rPr>
      </w:pPr>
      <w:r>
        <w:fldChar w:fldCharType="begin"/>
      </w:r>
      <w:r>
        <w:instrText xml:space="preserve"> HYPERLINK \l "_Toc15396608" </w:instrText>
      </w:r>
      <w:r>
        <w:fldChar w:fldCharType="separate"/>
      </w:r>
      <w:r>
        <w:rPr>
          <w:rStyle w:val="16"/>
          <w:rFonts w:hint="eastAsia" w:ascii="仿宋" w:hAnsi="仿宋" w:eastAsia="仿宋"/>
          <w:sz w:val="32"/>
          <w:szCs w:val="32"/>
        </w:rPr>
        <w:t>六、一</w:t>
      </w:r>
      <w:r>
        <w:rPr>
          <w:rStyle w:val="16"/>
          <w:rFonts w:hint="eastAsia" w:ascii="仿宋" w:hAnsi="仿宋" w:eastAsia="仿宋" w:cstheme="majorBidi"/>
          <w:bCs/>
          <w:sz w:val="32"/>
          <w:szCs w:val="32"/>
        </w:rPr>
        <w:t>般公共预算财政拨款基本支出决算情况说明</w:t>
      </w:r>
      <w:r>
        <w:rPr>
          <w:rStyle w:val="16"/>
          <w:rFonts w:hint="eastAsia" w:ascii="仿宋" w:hAnsi="仿宋" w:eastAsia="仿宋" w:cstheme="majorBidi"/>
          <w:bCs/>
          <w:sz w:val="32"/>
          <w:szCs w:val="32"/>
        </w:rPr>
        <w:fldChar w:fldCharType="end"/>
      </w:r>
    </w:p>
    <w:p>
      <w:pPr>
        <w:pStyle w:val="12"/>
        <w:rPr>
          <w:rFonts w:ascii="仿宋" w:hAnsi="仿宋" w:eastAsia="仿宋" w:cstheme="minorBidi"/>
          <w:sz w:val="32"/>
          <w:szCs w:val="32"/>
        </w:rPr>
      </w:pPr>
      <w:r>
        <w:fldChar w:fldCharType="begin"/>
      </w:r>
      <w:r>
        <w:instrText xml:space="preserve"> HYPERLINK \l "_Toc15396609" </w:instrText>
      </w:r>
      <w:r>
        <w:fldChar w:fldCharType="separate"/>
      </w:r>
      <w:r>
        <w:rPr>
          <w:rStyle w:val="16"/>
          <w:rFonts w:hint="eastAsia" w:ascii="仿宋" w:hAnsi="仿宋" w:eastAsia="仿宋"/>
          <w:sz w:val="32"/>
          <w:szCs w:val="32"/>
        </w:rPr>
        <w:t>七、</w:t>
      </w:r>
      <w:r>
        <w:rPr>
          <w:rStyle w:val="16"/>
          <w:rFonts w:ascii="仿宋" w:hAnsi="仿宋" w:eastAsia="仿宋"/>
          <w:sz w:val="32"/>
          <w:szCs w:val="32"/>
        </w:rPr>
        <w:t>“</w:t>
      </w:r>
      <w:r>
        <w:rPr>
          <w:rStyle w:val="16"/>
          <w:rFonts w:hint="eastAsia" w:ascii="仿宋" w:hAnsi="仿宋" w:eastAsia="仿宋" w:cstheme="majorBidi"/>
          <w:bCs/>
          <w:sz w:val="32"/>
          <w:szCs w:val="32"/>
        </w:rPr>
        <w:t>三公”经费财政拨款支出决算情况说明</w:t>
      </w:r>
      <w:r>
        <w:rPr>
          <w:rStyle w:val="16"/>
          <w:rFonts w:hint="eastAsia" w:ascii="仿宋" w:hAnsi="仿宋" w:eastAsia="仿宋" w:cstheme="majorBidi"/>
          <w:bCs/>
          <w:sz w:val="32"/>
          <w:szCs w:val="32"/>
        </w:rPr>
        <w:fldChar w:fldCharType="end"/>
      </w:r>
    </w:p>
    <w:p>
      <w:pPr>
        <w:pStyle w:val="12"/>
        <w:rPr>
          <w:rFonts w:ascii="仿宋" w:hAnsi="仿宋" w:eastAsia="仿宋" w:cstheme="minorBidi"/>
          <w:sz w:val="32"/>
          <w:szCs w:val="32"/>
        </w:rPr>
      </w:pPr>
      <w:r>
        <w:fldChar w:fldCharType="begin"/>
      </w:r>
      <w:r>
        <w:instrText xml:space="preserve"> HYPERLINK \l "_Toc15396611" </w:instrText>
      </w:r>
      <w:r>
        <w:fldChar w:fldCharType="separate"/>
      </w:r>
      <w:r>
        <w:rPr>
          <w:rStyle w:val="16"/>
          <w:rFonts w:hint="eastAsia" w:ascii="仿宋" w:hAnsi="仿宋" w:eastAsia="仿宋" w:cstheme="majorBidi"/>
          <w:bCs/>
          <w:sz w:val="32"/>
          <w:szCs w:val="32"/>
        </w:rPr>
        <w:t>八、</w:t>
      </w:r>
      <w:r>
        <w:rPr>
          <w:rStyle w:val="16"/>
          <w:rFonts w:hint="eastAsia" w:ascii="仿宋" w:hAnsi="仿宋" w:eastAsia="仿宋"/>
          <w:sz w:val="32"/>
          <w:szCs w:val="32"/>
        </w:rPr>
        <w:t xml:space="preserve"> </w:t>
      </w:r>
      <w:r>
        <w:rPr>
          <w:rStyle w:val="16"/>
          <w:rFonts w:hint="eastAsia" w:ascii="仿宋" w:hAnsi="仿宋" w:eastAsia="仿宋"/>
          <w:sz w:val="32"/>
          <w:szCs w:val="32"/>
        </w:rPr>
        <w:fldChar w:fldCharType="end"/>
      </w:r>
      <w:r>
        <w:rPr>
          <w:rFonts w:hint="eastAsia" w:ascii="仿宋" w:hAnsi="仿宋" w:eastAsia="仿宋"/>
          <w:sz w:val="32"/>
          <w:szCs w:val="32"/>
        </w:rPr>
        <w:t>其他重要事项的情况说明</w:t>
      </w:r>
    </w:p>
    <w:p>
      <w:pPr>
        <w:pStyle w:val="11"/>
        <w:rPr>
          <w:rFonts w:cstheme="minorBidi"/>
          <w:b/>
          <w:sz w:val="32"/>
          <w:szCs w:val="32"/>
        </w:rPr>
      </w:pPr>
      <w:r>
        <w:fldChar w:fldCharType="begin"/>
      </w:r>
      <w:r>
        <w:instrText xml:space="preserve"> HYPERLINK \l "_Toc15396613" </w:instrText>
      </w:r>
      <w:r>
        <w:fldChar w:fldCharType="separate"/>
      </w:r>
      <w:r>
        <w:rPr>
          <w:rStyle w:val="16"/>
          <w:rFonts w:hint="eastAsia"/>
          <w:b/>
          <w:bCs/>
          <w:kern w:val="44"/>
          <w:sz w:val="32"/>
          <w:szCs w:val="32"/>
        </w:rPr>
        <w:t>第三部分</w:t>
      </w:r>
      <w:r>
        <w:rPr>
          <w:rStyle w:val="16"/>
          <w:rFonts w:hint="eastAsia"/>
          <w:b/>
          <w:sz w:val="32"/>
          <w:szCs w:val="32"/>
        </w:rPr>
        <w:t xml:space="preserve"> 名</w:t>
      </w:r>
      <w:r>
        <w:rPr>
          <w:rStyle w:val="16"/>
          <w:rFonts w:hint="eastAsia"/>
          <w:b/>
          <w:bCs/>
          <w:kern w:val="44"/>
          <w:sz w:val="32"/>
          <w:szCs w:val="32"/>
        </w:rPr>
        <w:t>词解释</w:t>
      </w:r>
      <w:r>
        <w:rPr>
          <w:rStyle w:val="16"/>
          <w:rFonts w:hint="eastAsia"/>
          <w:b/>
          <w:bCs/>
          <w:kern w:val="44"/>
          <w:sz w:val="32"/>
          <w:szCs w:val="32"/>
        </w:rPr>
        <w:fldChar w:fldCharType="end"/>
      </w:r>
    </w:p>
    <w:p>
      <w:pPr>
        <w:pStyle w:val="11"/>
        <w:rPr>
          <w:rFonts w:cstheme="minorBidi"/>
          <w:b/>
          <w:sz w:val="32"/>
          <w:szCs w:val="32"/>
        </w:rPr>
      </w:pPr>
      <w:r>
        <w:fldChar w:fldCharType="begin"/>
      </w:r>
      <w:r>
        <w:instrText xml:space="preserve"> HYPERLINK \l "_Toc15396614" </w:instrText>
      </w:r>
      <w:r>
        <w:fldChar w:fldCharType="separate"/>
      </w:r>
      <w:r>
        <w:rPr>
          <w:rStyle w:val="16"/>
          <w:rFonts w:hint="eastAsia"/>
          <w:b/>
          <w:sz w:val="32"/>
          <w:szCs w:val="32"/>
        </w:rPr>
        <w:t>第</w:t>
      </w:r>
      <w:r>
        <w:rPr>
          <w:rStyle w:val="16"/>
          <w:rFonts w:hint="eastAsia"/>
          <w:b/>
          <w:bCs/>
          <w:kern w:val="44"/>
          <w:sz w:val="32"/>
          <w:szCs w:val="32"/>
        </w:rPr>
        <w:t>四部分附件</w:t>
      </w:r>
      <w:r>
        <w:rPr>
          <w:rStyle w:val="16"/>
          <w:rFonts w:hint="eastAsia"/>
          <w:b/>
          <w:bCs/>
          <w:kern w:val="44"/>
          <w:sz w:val="32"/>
          <w:szCs w:val="32"/>
        </w:rPr>
        <w:fldChar w:fldCharType="end"/>
      </w:r>
    </w:p>
    <w:p>
      <w:pPr>
        <w:pStyle w:val="12"/>
        <w:rPr>
          <w:rFonts w:ascii="仿宋" w:hAnsi="仿宋" w:eastAsia="仿宋" w:cstheme="minorBidi"/>
          <w:sz w:val="32"/>
          <w:szCs w:val="32"/>
        </w:rPr>
      </w:pPr>
      <w:r>
        <w:fldChar w:fldCharType="begin"/>
      </w:r>
      <w:r>
        <w:instrText xml:space="preserve"> HYPERLINK \l "_Toc15396615" </w:instrText>
      </w:r>
      <w:r>
        <w:fldChar w:fldCharType="separate"/>
      </w:r>
      <w:r>
        <w:rPr>
          <w:rStyle w:val="16"/>
          <w:rFonts w:hint="eastAsia" w:ascii="仿宋" w:hAnsi="仿宋" w:eastAsia="仿宋"/>
          <w:kern w:val="44"/>
          <w:sz w:val="32"/>
          <w:szCs w:val="32"/>
        </w:rPr>
        <w:t>附件</w:t>
      </w:r>
      <w:r>
        <w:rPr>
          <w:rStyle w:val="16"/>
          <w:rFonts w:ascii="仿宋" w:hAnsi="仿宋" w:eastAsia="仿宋"/>
          <w:kern w:val="44"/>
          <w:sz w:val="32"/>
          <w:szCs w:val="32"/>
        </w:rPr>
        <w:t>1</w:t>
      </w:r>
      <w:r>
        <w:rPr>
          <w:rStyle w:val="16"/>
          <w:rFonts w:ascii="仿宋" w:hAnsi="仿宋" w:eastAsia="仿宋"/>
          <w:kern w:val="44"/>
          <w:sz w:val="32"/>
          <w:szCs w:val="32"/>
        </w:rPr>
        <w:fldChar w:fldCharType="end"/>
      </w:r>
    </w:p>
    <w:p>
      <w:pPr>
        <w:pStyle w:val="12"/>
        <w:rPr>
          <w:rFonts w:ascii="仿宋" w:hAnsi="仿宋" w:eastAsia="仿宋" w:cstheme="minorBidi"/>
          <w:sz w:val="32"/>
          <w:szCs w:val="32"/>
        </w:rPr>
      </w:pPr>
      <w:r>
        <w:fldChar w:fldCharType="begin"/>
      </w:r>
      <w:r>
        <w:instrText xml:space="preserve"> HYPERLINK \l "_Toc15396617" </w:instrText>
      </w:r>
      <w:r>
        <w:fldChar w:fldCharType="separate"/>
      </w:r>
      <w:r>
        <w:rPr>
          <w:rStyle w:val="16"/>
          <w:rFonts w:hint="eastAsia" w:ascii="仿宋" w:hAnsi="仿宋" w:eastAsia="仿宋"/>
          <w:kern w:val="44"/>
          <w:sz w:val="32"/>
          <w:szCs w:val="32"/>
        </w:rPr>
        <w:t>附件</w:t>
      </w:r>
      <w:r>
        <w:rPr>
          <w:rStyle w:val="16"/>
          <w:rFonts w:ascii="仿宋" w:hAnsi="仿宋" w:eastAsia="仿宋"/>
          <w:kern w:val="44"/>
          <w:sz w:val="32"/>
          <w:szCs w:val="32"/>
        </w:rPr>
        <w:t>2</w:t>
      </w:r>
      <w:r>
        <w:rPr>
          <w:rStyle w:val="16"/>
          <w:rFonts w:ascii="仿宋" w:hAnsi="仿宋" w:eastAsia="仿宋"/>
          <w:kern w:val="44"/>
          <w:sz w:val="32"/>
          <w:szCs w:val="32"/>
        </w:rPr>
        <w:fldChar w:fldCharType="end"/>
      </w:r>
    </w:p>
    <w:p>
      <w:pPr>
        <w:pStyle w:val="11"/>
        <w:rPr>
          <w:b/>
          <w:sz w:val="32"/>
          <w:szCs w:val="32"/>
        </w:rPr>
      </w:pPr>
    </w:p>
    <w:p>
      <w:pPr>
        <w:pStyle w:val="11"/>
        <w:rPr>
          <w:rFonts w:cstheme="minorBidi"/>
          <w:b/>
          <w:sz w:val="32"/>
          <w:szCs w:val="32"/>
        </w:rPr>
      </w:pPr>
      <w:r>
        <w:fldChar w:fldCharType="begin"/>
      </w:r>
      <w:r>
        <w:instrText xml:space="preserve"> HYPERLINK \l "_Toc15396618" </w:instrText>
      </w:r>
      <w:r>
        <w:fldChar w:fldCharType="separate"/>
      </w:r>
      <w:r>
        <w:rPr>
          <w:rStyle w:val="16"/>
          <w:rFonts w:hint="eastAsia"/>
          <w:b/>
          <w:sz w:val="32"/>
          <w:szCs w:val="32"/>
        </w:rPr>
        <w:t>第</w:t>
      </w:r>
      <w:r>
        <w:rPr>
          <w:rStyle w:val="16"/>
          <w:rFonts w:hint="eastAsia"/>
          <w:b/>
          <w:bCs/>
          <w:kern w:val="44"/>
          <w:sz w:val="32"/>
          <w:szCs w:val="32"/>
        </w:rPr>
        <w:t>五部分附表</w:t>
      </w:r>
      <w:r>
        <w:rPr>
          <w:rStyle w:val="16"/>
          <w:rFonts w:hint="eastAsia"/>
          <w:b/>
          <w:bCs/>
          <w:kern w:val="44"/>
          <w:sz w:val="32"/>
          <w:szCs w:val="32"/>
        </w:rPr>
        <w:fldChar w:fldCharType="end"/>
      </w:r>
    </w:p>
    <w:p>
      <w:pPr>
        <w:pStyle w:val="12"/>
        <w:rPr>
          <w:rFonts w:ascii="仿宋" w:hAnsi="仿宋" w:eastAsia="仿宋" w:cstheme="minorBidi"/>
          <w:sz w:val="32"/>
          <w:szCs w:val="32"/>
        </w:rPr>
      </w:pPr>
      <w:r>
        <w:rPr>
          <w:rFonts w:hint="eastAsia" w:ascii="仿宋" w:hAnsi="仿宋" w:eastAsia="仿宋"/>
          <w:sz w:val="32"/>
          <w:szCs w:val="32"/>
        </w:rPr>
        <w:t>一、</w:t>
      </w:r>
      <w:r>
        <w:fldChar w:fldCharType="begin"/>
      </w:r>
      <w:r>
        <w:instrText xml:space="preserve"> HYPERLINK \l "_Toc15396619" </w:instrText>
      </w:r>
      <w:r>
        <w:fldChar w:fldCharType="separate"/>
      </w:r>
      <w:r>
        <w:rPr>
          <w:rStyle w:val="16"/>
          <w:rFonts w:hint="eastAsia" w:ascii="仿宋" w:hAnsi="仿宋" w:eastAsia="仿宋"/>
          <w:sz w:val="32"/>
          <w:szCs w:val="32"/>
        </w:rPr>
        <w:t>收入支出决算总表</w:t>
      </w:r>
      <w:r>
        <w:rPr>
          <w:rStyle w:val="16"/>
          <w:rFonts w:hint="eastAsia" w:ascii="仿宋" w:hAnsi="仿宋" w:eastAsia="仿宋"/>
          <w:sz w:val="32"/>
          <w:szCs w:val="32"/>
        </w:rPr>
        <w:fldChar w:fldCharType="end"/>
      </w:r>
    </w:p>
    <w:p>
      <w:pPr>
        <w:pStyle w:val="12"/>
        <w:rPr>
          <w:rFonts w:ascii="仿宋" w:hAnsi="仿宋" w:eastAsia="仿宋" w:cstheme="minorBidi"/>
          <w:sz w:val="32"/>
          <w:szCs w:val="32"/>
        </w:rPr>
      </w:pPr>
      <w:r>
        <w:rPr>
          <w:rFonts w:hint="eastAsia" w:ascii="仿宋" w:hAnsi="仿宋" w:eastAsia="仿宋"/>
          <w:sz w:val="32"/>
          <w:szCs w:val="32"/>
        </w:rPr>
        <w:t>二、</w:t>
      </w:r>
      <w:r>
        <w:fldChar w:fldCharType="begin"/>
      </w:r>
      <w:r>
        <w:instrText xml:space="preserve"> HYPERLINK \l "_Toc15396620" </w:instrText>
      </w:r>
      <w:r>
        <w:fldChar w:fldCharType="separate"/>
      </w:r>
      <w:r>
        <w:rPr>
          <w:rStyle w:val="16"/>
          <w:rFonts w:hint="eastAsia" w:ascii="仿宋" w:hAnsi="仿宋" w:eastAsia="仿宋"/>
          <w:sz w:val="32"/>
          <w:szCs w:val="32"/>
        </w:rPr>
        <w:t>收入总表</w:t>
      </w:r>
      <w:r>
        <w:rPr>
          <w:rStyle w:val="16"/>
          <w:rFonts w:hint="eastAsia" w:ascii="仿宋" w:hAnsi="仿宋" w:eastAsia="仿宋"/>
          <w:sz w:val="32"/>
          <w:szCs w:val="32"/>
        </w:rPr>
        <w:fldChar w:fldCharType="end"/>
      </w:r>
    </w:p>
    <w:p>
      <w:pPr>
        <w:pStyle w:val="12"/>
        <w:rPr>
          <w:rFonts w:ascii="仿宋" w:hAnsi="仿宋" w:eastAsia="仿宋" w:cstheme="minorBidi"/>
          <w:sz w:val="32"/>
          <w:szCs w:val="32"/>
        </w:rPr>
      </w:pPr>
      <w:r>
        <w:rPr>
          <w:rFonts w:hint="eastAsia" w:ascii="仿宋" w:hAnsi="仿宋" w:eastAsia="仿宋"/>
          <w:sz w:val="32"/>
          <w:szCs w:val="32"/>
        </w:rPr>
        <w:t>三、</w:t>
      </w:r>
      <w:r>
        <w:fldChar w:fldCharType="begin"/>
      </w:r>
      <w:r>
        <w:instrText xml:space="preserve"> HYPERLINK \l "_Toc15396621" </w:instrText>
      </w:r>
      <w:r>
        <w:fldChar w:fldCharType="separate"/>
      </w:r>
      <w:r>
        <w:rPr>
          <w:rStyle w:val="16"/>
          <w:rFonts w:hint="eastAsia" w:ascii="仿宋" w:hAnsi="仿宋" w:eastAsia="仿宋"/>
          <w:sz w:val="32"/>
          <w:szCs w:val="32"/>
        </w:rPr>
        <w:t>支出总表</w:t>
      </w:r>
      <w:r>
        <w:rPr>
          <w:rStyle w:val="16"/>
          <w:rFonts w:hint="eastAsia" w:ascii="仿宋" w:hAnsi="仿宋" w:eastAsia="仿宋"/>
          <w:sz w:val="32"/>
          <w:szCs w:val="32"/>
        </w:rPr>
        <w:fldChar w:fldCharType="end"/>
      </w:r>
    </w:p>
    <w:p>
      <w:pPr>
        <w:pStyle w:val="12"/>
        <w:rPr>
          <w:rFonts w:ascii="仿宋" w:hAnsi="仿宋" w:eastAsia="仿宋" w:cstheme="minorBidi"/>
          <w:sz w:val="32"/>
          <w:szCs w:val="32"/>
        </w:rPr>
      </w:pPr>
      <w:r>
        <w:rPr>
          <w:rFonts w:hint="eastAsia" w:ascii="仿宋" w:hAnsi="仿宋" w:eastAsia="仿宋"/>
          <w:sz w:val="32"/>
          <w:szCs w:val="32"/>
        </w:rPr>
        <w:t>四、</w:t>
      </w:r>
      <w:r>
        <w:fldChar w:fldCharType="begin"/>
      </w:r>
      <w:r>
        <w:instrText xml:space="preserve"> HYPERLINK \l "_Toc15396622" </w:instrText>
      </w:r>
      <w:r>
        <w:fldChar w:fldCharType="separate"/>
      </w:r>
      <w:r>
        <w:rPr>
          <w:rStyle w:val="16"/>
          <w:rFonts w:hint="eastAsia" w:ascii="仿宋" w:hAnsi="仿宋" w:eastAsia="仿宋"/>
          <w:sz w:val="32"/>
          <w:szCs w:val="32"/>
        </w:rPr>
        <w:t>财政拨款收入支出决算总表</w:t>
      </w:r>
      <w:r>
        <w:rPr>
          <w:rStyle w:val="16"/>
          <w:rFonts w:hint="eastAsia" w:ascii="仿宋" w:hAnsi="仿宋" w:eastAsia="仿宋"/>
          <w:sz w:val="32"/>
          <w:szCs w:val="32"/>
        </w:rPr>
        <w:fldChar w:fldCharType="end"/>
      </w:r>
    </w:p>
    <w:p>
      <w:pPr>
        <w:pStyle w:val="12"/>
        <w:rPr>
          <w:rFonts w:ascii="仿宋" w:hAnsi="仿宋" w:eastAsia="仿宋"/>
          <w:sz w:val="32"/>
          <w:szCs w:val="32"/>
        </w:rPr>
      </w:pPr>
      <w:r>
        <w:rPr>
          <w:rFonts w:hint="eastAsia" w:ascii="仿宋" w:hAnsi="仿宋" w:eastAsia="仿宋"/>
          <w:sz w:val="32"/>
          <w:szCs w:val="32"/>
        </w:rPr>
        <w:t>五、</w:t>
      </w:r>
      <w:r>
        <w:fldChar w:fldCharType="begin"/>
      </w:r>
      <w:r>
        <w:instrText xml:space="preserve"> HYPERLINK \l "_Toc15396623" </w:instrText>
      </w:r>
      <w:r>
        <w:fldChar w:fldCharType="separate"/>
      </w:r>
      <w:r>
        <w:rPr>
          <w:rFonts w:hint="eastAsia" w:ascii="仿宋" w:hAnsi="仿宋" w:eastAsia="仿宋"/>
          <w:sz w:val="32"/>
          <w:szCs w:val="32"/>
        </w:rPr>
        <w:t>财政拨款支出决算明细表（政府经济分类科目）</w:t>
      </w:r>
      <w:r>
        <w:rPr>
          <w:rFonts w:hint="eastAsia" w:ascii="仿宋" w:hAnsi="仿宋" w:eastAsia="仿宋"/>
          <w:sz w:val="32"/>
          <w:szCs w:val="32"/>
        </w:rPr>
        <w:fldChar w:fldCharType="end"/>
      </w:r>
    </w:p>
    <w:p>
      <w:pPr>
        <w:pStyle w:val="12"/>
        <w:rPr>
          <w:rFonts w:ascii="仿宋" w:hAnsi="仿宋" w:eastAsia="仿宋" w:cstheme="minorBidi"/>
          <w:sz w:val="32"/>
          <w:szCs w:val="32"/>
        </w:rPr>
      </w:pPr>
      <w:r>
        <w:rPr>
          <w:rFonts w:hint="eastAsia" w:ascii="仿宋" w:hAnsi="仿宋" w:eastAsia="仿宋"/>
          <w:sz w:val="32"/>
          <w:szCs w:val="32"/>
        </w:rPr>
        <w:t>六、</w:t>
      </w:r>
      <w:r>
        <w:fldChar w:fldCharType="begin"/>
      </w:r>
      <w:r>
        <w:instrText xml:space="preserve"> HYPERLINK \l "_Toc15396624" </w:instrText>
      </w:r>
      <w:r>
        <w:fldChar w:fldCharType="separate"/>
      </w:r>
      <w:r>
        <w:rPr>
          <w:rStyle w:val="16"/>
          <w:rFonts w:hint="eastAsia" w:ascii="仿宋" w:hAnsi="仿宋" w:eastAsia="仿宋"/>
          <w:sz w:val="32"/>
          <w:szCs w:val="32"/>
        </w:rPr>
        <w:t>一般公共预算财政拨款支出决算表</w:t>
      </w:r>
      <w:r>
        <w:rPr>
          <w:rStyle w:val="16"/>
          <w:rFonts w:hint="eastAsia" w:ascii="仿宋" w:hAnsi="仿宋" w:eastAsia="仿宋"/>
          <w:sz w:val="32"/>
          <w:szCs w:val="32"/>
        </w:rPr>
        <w:fldChar w:fldCharType="end"/>
      </w:r>
    </w:p>
    <w:p>
      <w:pPr>
        <w:pStyle w:val="12"/>
        <w:rPr>
          <w:rFonts w:ascii="仿宋" w:hAnsi="仿宋" w:eastAsia="仿宋" w:cstheme="minorBidi"/>
          <w:sz w:val="32"/>
          <w:szCs w:val="32"/>
        </w:rPr>
      </w:pPr>
      <w:r>
        <w:rPr>
          <w:rFonts w:hint="eastAsia" w:ascii="仿宋" w:hAnsi="仿宋" w:eastAsia="仿宋"/>
          <w:sz w:val="32"/>
          <w:szCs w:val="32"/>
        </w:rPr>
        <w:t>七、</w:t>
      </w:r>
      <w:r>
        <w:fldChar w:fldCharType="begin"/>
      </w:r>
      <w:r>
        <w:instrText xml:space="preserve"> HYPERLINK \l "_Toc15396625" </w:instrText>
      </w:r>
      <w:r>
        <w:fldChar w:fldCharType="separate"/>
      </w:r>
      <w:r>
        <w:rPr>
          <w:rStyle w:val="16"/>
          <w:rFonts w:hint="eastAsia" w:ascii="仿宋" w:hAnsi="仿宋" w:eastAsia="仿宋"/>
          <w:sz w:val="32"/>
          <w:szCs w:val="32"/>
        </w:rPr>
        <w:t>一般公共预算财政拨款支出决算明细表</w:t>
      </w:r>
      <w:r>
        <w:rPr>
          <w:rStyle w:val="16"/>
          <w:rFonts w:hint="eastAsia" w:ascii="仿宋" w:hAnsi="仿宋" w:eastAsia="仿宋"/>
          <w:sz w:val="32"/>
          <w:szCs w:val="32"/>
        </w:rPr>
        <w:fldChar w:fldCharType="end"/>
      </w:r>
    </w:p>
    <w:p>
      <w:pPr>
        <w:pStyle w:val="12"/>
        <w:rPr>
          <w:rFonts w:ascii="仿宋" w:hAnsi="仿宋" w:eastAsia="仿宋" w:cstheme="minorBidi"/>
          <w:sz w:val="32"/>
          <w:szCs w:val="32"/>
        </w:rPr>
      </w:pPr>
      <w:r>
        <w:rPr>
          <w:rFonts w:hint="eastAsia" w:ascii="仿宋" w:hAnsi="仿宋" w:eastAsia="仿宋"/>
          <w:sz w:val="32"/>
          <w:szCs w:val="32"/>
        </w:rPr>
        <w:t>八、</w:t>
      </w:r>
      <w:r>
        <w:fldChar w:fldCharType="begin"/>
      </w:r>
      <w:r>
        <w:instrText xml:space="preserve"> HYPERLINK \l "_Toc15396626" </w:instrText>
      </w:r>
      <w:r>
        <w:fldChar w:fldCharType="separate"/>
      </w:r>
      <w:r>
        <w:rPr>
          <w:rStyle w:val="16"/>
          <w:rFonts w:hint="eastAsia" w:ascii="仿宋" w:hAnsi="仿宋" w:eastAsia="仿宋"/>
          <w:sz w:val="32"/>
          <w:szCs w:val="32"/>
        </w:rPr>
        <w:t>一般公共预算财政拨款基本支出决算表</w:t>
      </w:r>
      <w:r>
        <w:rPr>
          <w:rStyle w:val="16"/>
          <w:rFonts w:hint="eastAsia" w:ascii="仿宋" w:hAnsi="仿宋" w:eastAsia="仿宋"/>
          <w:sz w:val="32"/>
          <w:szCs w:val="32"/>
        </w:rPr>
        <w:fldChar w:fldCharType="end"/>
      </w:r>
    </w:p>
    <w:p>
      <w:pPr>
        <w:pStyle w:val="12"/>
        <w:rPr>
          <w:rFonts w:ascii="仿宋" w:hAnsi="仿宋" w:eastAsia="仿宋" w:cstheme="minorBidi"/>
          <w:sz w:val="32"/>
          <w:szCs w:val="32"/>
        </w:rPr>
      </w:pPr>
      <w:r>
        <w:rPr>
          <w:rFonts w:hint="eastAsia" w:ascii="仿宋" w:hAnsi="仿宋" w:eastAsia="仿宋"/>
          <w:sz w:val="32"/>
          <w:szCs w:val="32"/>
        </w:rPr>
        <w:t>九、</w:t>
      </w:r>
      <w:r>
        <w:fldChar w:fldCharType="begin"/>
      </w:r>
      <w:r>
        <w:instrText xml:space="preserve"> HYPERLINK \l "_Toc15396627" </w:instrText>
      </w:r>
      <w:r>
        <w:fldChar w:fldCharType="separate"/>
      </w:r>
      <w:r>
        <w:rPr>
          <w:rStyle w:val="16"/>
          <w:rFonts w:hint="eastAsia" w:ascii="仿宋" w:hAnsi="仿宋" w:eastAsia="仿宋"/>
          <w:sz w:val="32"/>
          <w:szCs w:val="32"/>
        </w:rPr>
        <w:t>一般公共预算财政拨款项目支出决算表</w:t>
      </w:r>
      <w:r>
        <w:rPr>
          <w:rStyle w:val="16"/>
          <w:rFonts w:hint="eastAsia" w:ascii="仿宋" w:hAnsi="仿宋" w:eastAsia="仿宋"/>
          <w:sz w:val="32"/>
          <w:szCs w:val="32"/>
        </w:rPr>
        <w:fldChar w:fldCharType="end"/>
      </w:r>
    </w:p>
    <w:p>
      <w:pPr>
        <w:pStyle w:val="12"/>
        <w:rPr>
          <w:rFonts w:ascii="仿宋" w:hAnsi="仿宋" w:eastAsia="仿宋" w:cstheme="minorBidi"/>
          <w:sz w:val="32"/>
          <w:szCs w:val="32"/>
        </w:rPr>
      </w:pPr>
      <w:r>
        <w:rPr>
          <w:rFonts w:hint="eastAsia" w:ascii="仿宋" w:hAnsi="仿宋" w:eastAsia="仿宋"/>
          <w:sz w:val="32"/>
          <w:szCs w:val="32"/>
        </w:rPr>
        <w:t>十、</w:t>
      </w:r>
      <w:r>
        <w:fldChar w:fldCharType="begin"/>
      </w:r>
      <w:r>
        <w:instrText xml:space="preserve"> HYPERLINK \l "_Toc15396628" </w:instrText>
      </w:r>
      <w:r>
        <w:fldChar w:fldCharType="separate"/>
      </w:r>
      <w:r>
        <w:rPr>
          <w:rStyle w:val="16"/>
          <w:rFonts w:hint="eastAsia" w:ascii="仿宋" w:hAnsi="仿宋" w:eastAsia="仿宋"/>
          <w:sz w:val="32"/>
          <w:szCs w:val="32"/>
        </w:rPr>
        <w:t>一般公共预算财政拨款“三公”经费支出决算表</w:t>
      </w:r>
      <w:r>
        <w:rPr>
          <w:rStyle w:val="16"/>
          <w:rFonts w:hint="eastAsia" w:ascii="仿宋" w:hAnsi="仿宋" w:eastAsia="仿宋"/>
          <w:sz w:val="32"/>
          <w:szCs w:val="32"/>
        </w:rPr>
        <w:fldChar w:fldCharType="end"/>
      </w:r>
    </w:p>
    <w:p>
      <w:pPr>
        <w:pStyle w:val="12"/>
        <w:rPr>
          <w:rFonts w:ascii="仿宋" w:hAnsi="仿宋" w:eastAsia="仿宋" w:cstheme="minorBidi"/>
          <w:sz w:val="32"/>
          <w:szCs w:val="32"/>
        </w:rPr>
      </w:pPr>
      <w:r>
        <w:rPr>
          <w:rFonts w:hint="eastAsia" w:ascii="仿宋" w:hAnsi="仿宋" w:eastAsia="仿宋"/>
          <w:sz w:val="32"/>
          <w:szCs w:val="32"/>
        </w:rPr>
        <w:t>十一、</w:t>
      </w:r>
      <w:r>
        <w:fldChar w:fldCharType="begin"/>
      </w:r>
      <w:r>
        <w:instrText xml:space="preserve"> HYPERLINK \l "_Toc15396629" </w:instrText>
      </w:r>
      <w:r>
        <w:fldChar w:fldCharType="separate"/>
      </w:r>
      <w:r>
        <w:rPr>
          <w:rStyle w:val="16"/>
          <w:rFonts w:hint="eastAsia" w:ascii="仿宋" w:hAnsi="仿宋" w:eastAsia="仿宋"/>
          <w:sz w:val="32"/>
          <w:szCs w:val="32"/>
        </w:rPr>
        <w:t>政府性基金预算财政拨款收入支出决算表</w:t>
      </w:r>
      <w:r>
        <w:rPr>
          <w:rStyle w:val="16"/>
          <w:rFonts w:hint="eastAsia" w:ascii="仿宋" w:hAnsi="仿宋" w:eastAsia="仿宋"/>
          <w:sz w:val="32"/>
          <w:szCs w:val="32"/>
        </w:rPr>
        <w:fldChar w:fldCharType="end"/>
      </w:r>
    </w:p>
    <w:p>
      <w:pPr>
        <w:pStyle w:val="12"/>
        <w:rPr>
          <w:rFonts w:ascii="仿宋" w:hAnsi="仿宋" w:eastAsia="仿宋" w:cstheme="minorBidi"/>
          <w:sz w:val="32"/>
          <w:szCs w:val="32"/>
        </w:rPr>
      </w:pPr>
      <w:r>
        <w:rPr>
          <w:rFonts w:hint="eastAsia" w:ascii="仿宋" w:hAnsi="仿宋" w:eastAsia="仿宋"/>
          <w:sz w:val="32"/>
          <w:szCs w:val="32"/>
        </w:rPr>
        <w:t>十二、</w:t>
      </w:r>
      <w:r>
        <w:fldChar w:fldCharType="begin"/>
      </w:r>
      <w:r>
        <w:instrText xml:space="preserve"> HYPERLINK \l "_Toc15396630" </w:instrText>
      </w:r>
      <w:r>
        <w:fldChar w:fldCharType="separate"/>
      </w:r>
      <w:r>
        <w:rPr>
          <w:rStyle w:val="16"/>
          <w:rFonts w:hint="eastAsia" w:ascii="仿宋" w:hAnsi="仿宋" w:eastAsia="仿宋"/>
          <w:sz w:val="32"/>
          <w:szCs w:val="32"/>
        </w:rPr>
        <w:t>政府性基金预算财政拨款“三公”经费支出决算表</w:t>
      </w:r>
      <w:r>
        <w:rPr>
          <w:rStyle w:val="16"/>
          <w:rFonts w:hint="eastAsia" w:ascii="仿宋" w:hAnsi="仿宋" w:eastAsia="仿宋"/>
          <w:sz w:val="32"/>
          <w:szCs w:val="32"/>
        </w:rPr>
        <w:fldChar w:fldCharType="end"/>
      </w:r>
    </w:p>
    <w:p>
      <w:pPr>
        <w:widowControl/>
        <w:jc w:val="left"/>
        <w:rPr>
          <w:rFonts w:ascii="仿宋" w:hAnsi="仿宋" w:eastAsia="仿宋"/>
          <w:color w:val="000000"/>
          <w:sz w:val="24"/>
        </w:rPr>
      </w:pPr>
      <w:r>
        <w:rPr>
          <w:rFonts w:ascii="仿宋" w:hAnsi="仿宋" w:eastAsia="仿宋"/>
          <w:color w:val="000000"/>
          <w:sz w:val="32"/>
          <w:szCs w:val="32"/>
        </w:rPr>
        <w:fldChar w:fldCharType="end"/>
      </w:r>
    </w:p>
    <w:p>
      <w:pPr>
        <w:widowControl/>
        <w:jc w:val="left"/>
        <w:rPr>
          <w:rFonts w:ascii="黑体" w:hAnsi="黑体" w:eastAsia="黑体"/>
          <w:bCs/>
          <w:kern w:val="44"/>
          <w:sz w:val="44"/>
          <w:szCs w:val="44"/>
        </w:rPr>
      </w:pPr>
      <w:bookmarkStart w:id="12" w:name="_Toc15377196"/>
      <w:bookmarkStart w:id="13" w:name="_Toc15396599"/>
      <w:r>
        <w:rPr>
          <w:rFonts w:ascii="黑体" w:hAnsi="黑体" w:eastAsia="黑体"/>
          <w:b/>
        </w:rPr>
        <w:br w:type="page"/>
      </w:r>
    </w:p>
    <w:p>
      <w:pPr>
        <w:pStyle w:val="2"/>
        <w:jc w:val="center"/>
        <w:rPr>
          <w:rStyle w:val="25"/>
          <w:rFonts w:ascii="黑体" w:hAnsi="黑体" w:eastAsia="黑体"/>
          <w:b/>
          <w:bCs w:val="0"/>
        </w:rPr>
      </w:pPr>
      <w:r>
        <w:rPr>
          <w:rFonts w:hint="eastAsia" w:ascii="黑体" w:hAnsi="黑体" w:eastAsia="黑体"/>
          <w:b w:val="0"/>
        </w:rPr>
        <w:t xml:space="preserve">第一部分 </w:t>
      </w:r>
      <w:r>
        <w:rPr>
          <w:rStyle w:val="25"/>
          <w:rFonts w:hint="eastAsia" w:ascii="黑体" w:hAnsi="黑体" w:eastAsia="黑体"/>
          <w:b w:val="0"/>
          <w:bCs w:val="0"/>
        </w:rPr>
        <w:t>部门概况</w:t>
      </w:r>
      <w:bookmarkEnd w:id="12"/>
      <w:bookmarkEnd w:id="13"/>
    </w:p>
    <w:p>
      <w:pPr>
        <w:widowControl/>
        <w:jc w:val="left"/>
        <w:rPr>
          <w:rFonts w:ascii="黑体" w:eastAsia="黑体"/>
          <w:color w:val="000000"/>
          <w:sz w:val="32"/>
          <w:szCs w:val="32"/>
        </w:rPr>
      </w:pPr>
    </w:p>
    <w:p>
      <w:pPr>
        <w:pStyle w:val="3"/>
        <w:spacing w:before="0" w:after="0" w:line="560" w:lineRule="exact"/>
        <w:rPr>
          <w:rStyle w:val="26"/>
          <w:rFonts w:ascii="仿宋" w:hAnsi="仿宋" w:eastAsia="仿宋"/>
          <w:b w:val="0"/>
          <w:bCs w:val="0"/>
        </w:rPr>
      </w:pPr>
      <w:bookmarkStart w:id="14" w:name="_Toc15396600"/>
      <w:bookmarkStart w:id="15" w:name="_Toc15377197"/>
      <w:r>
        <w:rPr>
          <w:rFonts w:hint="eastAsia" w:ascii="黑体" w:hAnsi="黑体" w:eastAsia="黑体"/>
          <w:b w:val="0"/>
          <w:color w:val="000000"/>
        </w:rPr>
        <w:t>一、基</w:t>
      </w:r>
      <w:r>
        <w:rPr>
          <w:rStyle w:val="26"/>
          <w:rFonts w:hint="eastAsia" w:ascii="黑体" w:hAnsi="黑体" w:eastAsia="黑体"/>
          <w:b w:val="0"/>
          <w:bCs w:val="0"/>
        </w:rPr>
        <w:t>本职能及主要工作</w:t>
      </w:r>
      <w:bookmarkEnd w:id="14"/>
      <w:bookmarkEnd w:id="15"/>
    </w:p>
    <w:p>
      <w:pPr>
        <w:pStyle w:val="5"/>
        <w:adjustRightInd w:val="0"/>
        <w:snapToGrid w:val="0"/>
        <w:spacing w:beforeLines="0" w:line="560" w:lineRule="exact"/>
        <w:ind w:firstLine="643" w:firstLineChars="200"/>
        <w:rPr>
          <w:rFonts w:ascii="仿宋" w:hAnsi="仿宋" w:eastAsia="仿宋"/>
          <w:b/>
          <w:bCs/>
          <w:color w:val="000000"/>
          <w:sz w:val="32"/>
          <w:szCs w:val="32"/>
        </w:rPr>
      </w:pPr>
      <w:bookmarkStart w:id="16" w:name="_Toc15377198"/>
      <w:bookmarkStart w:id="17" w:name="_Toc15378445"/>
      <w:r>
        <w:rPr>
          <w:rFonts w:hint="eastAsia" w:ascii="仿宋" w:hAnsi="仿宋" w:eastAsia="仿宋"/>
          <w:b/>
          <w:bCs/>
          <w:color w:val="000000"/>
          <w:sz w:val="32"/>
          <w:szCs w:val="32"/>
        </w:rPr>
        <w:t>（一）主要职能。</w:t>
      </w:r>
      <w:bookmarkEnd w:id="16"/>
      <w:bookmarkEnd w:id="17"/>
      <w:bookmarkStart w:id="18" w:name="_Toc15378446"/>
      <w:bookmarkStart w:id="19" w:name="_Toc15377199"/>
    </w:p>
    <w:p>
      <w:pPr>
        <w:pStyle w:val="30"/>
        <w:spacing w:line="520" w:lineRule="exact"/>
        <w:ind w:firstLine="595" w:firstLineChars="196"/>
        <w:rPr>
          <w:rFonts w:ascii="仿宋" w:hAnsi="仿宋" w:eastAsia="仿宋" w:cs="仿宋_GB2312"/>
          <w:w w:val="95"/>
          <w:sz w:val="32"/>
          <w:szCs w:val="32"/>
        </w:rPr>
      </w:pPr>
      <w:r>
        <w:rPr>
          <w:rFonts w:hint="eastAsia" w:ascii="仿宋" w:hAnsi="仿宋" w:eastAsia="仿宋" w:cs="仿宋_GB2312"/>
          <w:w w:val="95"/>
          <w:sz w:val="32"/>
          <w:szCs w:val="32"/>
        </w:rPr>
        <w:t>1.代表县委、县政府受理人民来信、来电，接待群众来访；2.承办上级领导机关及其所属部门、单位和县委、县政府领导交办、转办的信访事项，并负责督办和上报查处结果；3.根据县委、县政府领导意见，向各乡镇和县级各有关部门交办、转办信访事项，并负责督办和报告查处结果；4.检查、指导、督查各乡镇、县级各部门的信访工作。</w:t>
      </w:r>
    </w:p>
    <w:p>
      <w:pPr>
        <w:spacing w:line="576" w:lineRule="exact"/>
        <w:ind w:firstLine="643" w:firstLineChars="200"/>
        <w:rPr>
          <w:rFonts w:ascii="仿宋" w:hAnsi="仿宋" w:eastAsia="仿宋"/>
          <w:b/>
          <w:bCs/>
          <w:color w:val="000000"/>
          <w:sz w:val="32"/>
          <w:szCs w:val="32"/>
        </w:rPr>
      </w:pPr>
      <w:r>
        <w:rPr>
          <w:rFonts w:hint="eastAsia" w:ascii="仿宋" w:hAnsi="仿宋" w:eastAsia="仿宋"/>
          <w:b/>
          <w:bCs/>
          <w:color w:val="000000"/>
          <w:sz w:val="32"/>
          <w:szCs w:val="32"/>
        </w:rPr>
        <w:t>（二）</w:t>
      </w:r>
      <w:r>
        <w:rPr>
          <w:rFonts w:ascii="仿宋" w:hAnsi="仿宋" w:eastAsia="仿宋"/>
          <w:b/>
          <w:bCs/>
          <w:color w:val="000000"/>
          <w:sz w:val="32"/>
          <w:szCs w:val="32"/>
        </w:rPr>
        <w:t>201</w:t>
      </w:r>
      <w:r>
        <w:rPr>
          <w:rFonts w:hint="eastAsia" w:ascii="仿宋" w:hAnsi="仿宋" w:eastAsia="仿宋"/>
          <w:b/>
          <w:bCs/>
          <w:color w:val="000000"/>
          <w:sz w:val="32"/>
          <w:szCs w:val="32"/>
        </w:rPr>
        <w:t>8年重点工作完成情况。</w:t>
      </w:r>
      <w:bookmarkEnd w:id="18"/>
      <w:bookmarkEnd w:id="19"/>
    </w:p>
    <w:p>
      <w:pPr>
        <w:spacing w:line="560" w:lineRule="exact"/>
        <w:ind w:firstLine="664" w:firstLineChars="200"/>
        <w:rPr>
          <w:rFonts w:ascii="仿宋" w:hAnsi="仿宋" w:eastAsia="仿宋" w:cs="仿宋_GB2312"/>
          <w:spacing w:val="6"/>
          <w:sz w:val="32"/>
          <w:szCs w:val="32"/>
        </w:rPr>
      </w:pPr>
      <w:r>
        <w:rPr>
          <w:rFonts w:hint="eastAsia" w:ascii="仿宋" w:hAnsi="仿宋" w:eastAsia="仿宋" w:cs="仿宋_GB2312"/>
          <w:spacing w:val="6"/>
          <w:sz w:val="32"/>
          <w:szCs w:val="32"/>
        </w:rPr>
        <w:t>一年来，在县委、县政府的正确带领和州局的正确指引下，通过全局干部职工的共同努力，按照年初局班子制定的目标和计划，认真学习习近平总书记的系列讲话精神和开展“两学一做”以及“大学习、大讨论、大调研”活动，很好地完成了州县的下达的目标任务，确保了重点时段和重大节庆信访维稳目标的实现。截止10月底，共受理群众来信、来访51批136人次，其中：群众来访23批90人次（集体访4批53人次，个访19批37人次），网信7件11人次，来信8件8人次，政策咨询13批27人次。来信来访已办结37件，1件正在办理中；县级领导参与接访16批56人次，下访127批248人次；排查各类矛盾纠纷83件，已化解75件，正在化解8件。</w:t>
      </w:r>
    </w:p>
    <w:p>
      <w:pPr>
        <w:spacing w:line="560" w:lineRule="exact"/>
        <w:ind w:firstLine="643" w:firstLineChars="200"/>
        <w:rPr>
          <w:rFonts w:ascii="仿宋" w:hAnsi="仿宋" w:eastAsia="仿宋" w:cs="黑体"/>
          <w:b/>
          <w:sz w:val="32"/>
          <w:szCs w:val="32"/>
        </w:rPr>
      </w:pPr>
      <w:r>
        <w:rPr>
          <w:rFonts w:hint="eastAsia" w:ascii="仿宋" w:hAnsi="仿宋" w:eastAsia="仿宋" w:cs="黑体"/>
          <w:b/>
          <w:sz w:val="32"/>
          <w:szCs w:val="32"/>
        </w:rPr>
        <w:t>主要做法及成效</w:t>
      </w:r>
    </w:p>
    <w:p>
      <w:pPr>
        <w:spacing w:line="560" w:lineRule="exact"/>
        <w:ind w:firstLine="643" w:firstLineChars="200"/>
        <w:rPr>
          <w:rFonts w:ascii="仿宋" w:hAnsi="仿宋" w:eastAsia="仿宋" w:cs="仿宋_GB2312"/>
          <w:b/>
          <w:sz w:val="32"/>
          <w:szCs w:val="32"/>
        </w:rPr>
      </w:pPr>
      <w:r>
        <w:rPr>
          <w:rFonts w:hint="eastAsia" w:ascii="仿宋" w:hAnsi="仿宋" w:eastAsia="仿宋" w:cs="楷体_GB2312"/>
          <w:b/>
          <w:sz w:val="32"/>
          <w:szCs w:val="32"/>
        </w:rPr>
        <w:t>1.立足宣传、狠抓学习，营造良好的舆论氛围</w:t>
      </w:r>
    </w:p>
    <w:p>
      <w:pPr>
        <w:spacing w:line="56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以“三严三实”、“两学一做”、“大学习、大讨论、大调研”活动为契机，紧紧围绕建立“畅通、有序、务实、高效”的信访工作新秩序为目标，广泛深入地学习、宣传、贯彻《信访条例》，确保了《信访条例》在我县的顺利实施。</w:t>
      </w:r>
    </w:p>
    <w:p>
      <w:pPr>
        <w:tabs>
          <w:tab w:val="left" w:pos="0"/>
        </w:tabs>
        <w:spacing w:line="560" w:lineRule="exact"/>
        <w:ind w:firstLine="643" w:firstLineChars="200"/>
        <w:rPr>
          <w:rFonts w:ascii="仿宋" w:hAnsi="仿宋" w:eastAsia="仿宋" w:cs="仿宋_GB2312"/>
          <w:sz w:val="32"/>
          <w:szCs w:val="32"/>
        </w:rPr>
      </w:pPr>
      <w:r>
        <w:rPr>
          <w:rFonts w:hint="eastAsia" w:ascii="仿宋" w:hAnsi="仿宋" w:eastAsia="仿宋" w:cs="仿宋_GB2312"/>
          <w:b/>
          <w:bCs/>
          <w:sz w:val="32"/>
          <w:szCs w:val="32"/>
        </w:rPr>
        <w:t>2.广泛深入宣传《信访条例》。</w:t>
      </w:r>
      <w:r>
        <w:rPr>
          <w:rFonts w:hint="eastAsia" w:ascii="仿宋" w:hAnsi="仿宋" w:eastAsia="仿宋" w:cs="仿宋_GB2312"/>
          <w:sz w:val="32"/>
          <w:szCs w:val="32"/>
        </w:rPr>
        <w:t>一是印制了《信访条例》、以“依法信访、信访程序”等为内容的宣传资料，通过法律下乡等活动，发放到全县各单位、各乡镇干部群众手中，做到干部职工带头学，广大群众跟着学。全年集中宣传《信访条例》2次，编制汉藏双语《群众来信来访提示卡》宣传册，共发放宣传册2000余册。二是利用门户网站、微红原、微信公众号等媒体进行宣传，做到了家喻户晓。三是各信访联席会议成员单位利用板报、标语、横幅形式，在全县范围内进行广泛宣传，教育和指导群众学法、懂法、守法、用法，引导群众通过法律手段解决矛盾和纠纷。</w:t>
      </w:r>
    </w:p>
    <w:p>
      <w:pPr>
        <w:pStyle w:val="7"/>
        <w:spacing w:line="560" w:lineRule="exact"/>
        <w:ind w:firstLine="643" w:firstLineChars="200"/>
        <w:rPr>
          <w:rFonts w:ascii="仿宋" w:hAnsi="仿宋" w:eastAsia="仿宋" w:cs="仿宋_GB2312"/>
          <w:b w:val="0"/>
          <w:bCs w:val="0"/>
          <w:w w:val="100"/>
          <w:sz w:val="32"/>
          <w:szCs w:val="32"/>
          <w:lang w:eastAsia="zh-CN"/>
        </w:rPr>
      </w:pPr>
      <w:r>
        <w:rPr>
          <w:rFonts w:hint="eastAsia" w:ascii="仿宋" w:hAnsi="仿宋" w:eastAsia="仿宋" w:cs="仿宋_GB2312"/>
          <w:bCs w:val="0"/>
          <w:w w:val="100"/>
          <w:sz w:val="32"/>
          <w:szCs w:val="32"/>
          <w:lang w:eastAsia="zh-CN"/>
        </w:rPr>
        <w:t>3.积极开展多层次的培训工作。</w:t>
      </w:r>
      <w:r>
        <w:rPr>
          <w:rFonts w:hint="eastAsia" w:ascii="仿宋" w:hAnsi="仿宋" w:eastAsia="仿宋" w:cs="仿宋_GB2312"/>
          <w:b w:val="0"/>
          <w:bCs w:val="0"/>
          <w:w w:val="100"/>
          <w:sz w:val="32"/>
          <w:szCs w:val="32"/>
          <w:lang w:eastAsia="zh-CN"/>
        </w:rPr>
        <w:t>为全面掌握《信访条例》，熟练运用条例开展信访工作。一是积极参加州级的信访业务培训和跟岗学习。二是对新调入干部职工进行《信访条例》知识培训，提高新调入干部职工的法律水平，使其适应新形势下的信访工作。三是对各乡镇、县级各部门集中举办信访业务基础培训班一期，不断提升全县信访经办人员的业务能力。</w:t>
      </w:r>
    </w:p>
    <w:p>
      <w:pPr>
        <w:pStyle w:val="7"/>
        <w:spacing w:line="560" w:lineRule="exact"/>
        <w:ind w:firstLine="640" w:firstLineChars="200"/>
        <w:rPr>
          <w:rFonts w:ascii="仿宋" w:hAnsi="仿宋" w:eastAsia="仿宋" w:cs="仿宋_GB2312"/>
          <w:b w:val="0"/>
          <w:bCs w:val="0"/>
          <w:w w:val="100"/>
          <w:sz w:val="32"/>
          <w:szCs w:val="32"/>
          <w:lang w:eastAsia="zh-CN"/>
        </w:rPr>
      </w:pPr>
      <w:r>
        <w:rPr>
          <w:rFonts w:hint="eastAsia" w:ascii="仿宋" w:hAnsi="仿宋" w:eastAsia="仿宋" w:cs="仿宋_GB2312"/>
          <w:b w:val="0"/>
          <w:bCs w:val="0"/>
          <w:w w:val="100"/>
          <w:sz w:val="32"/>
          <w:szCs w:val="32"/>
          <w:lang w:eastAsia="zh-CN"/>
        </w:rPr>
        <w:t>通过深入广泛的宣传和多层次、全覆盖的培训，做到了使信访群众明白信访的基本程序，明白应该遵循的行为规范，明白如何正确行使权利和履行义务，真正做到了引导群众以理性合法的形式表达利益诉求，依法维护自身合法权益。</w:t>
      </w:r>
    </w:p>
    <w:p>
      <w:pPr>
        <w:pStyle w:val="7"/>
        <w:spacing w:line="560" w:lineRule="exact"/>
        <w:ind w:firstLine="643" w:firstLineChars="200"/>
        <w:rPr>
          <w:rFonts w:ascii="仿宋" w:hAnsi="仿宋" w:eastAsia="仿宋" w:cs="仿宋_GB2312"/>
          <w:bCs w:val="0"/>
          <w:w w:val="100"/>
          <w:sz w:val="32"/>
          <w:szCs w:val="32"/>
          <w:lang w:eastAsia="zh-CN"/>
        </w:rPr>
      </w:pPr>
      <w:r>
        <w:rPr>
          <w:rFonts w:hint="eastAsia" w:ascii="仿宋" w:hAnsi="仿宋" w:eastAsia="仿宋" w:cs="仿宋_GB2312"/>
          <w:bCs w:val="0"/>
          <w:w w:val="100"/>
          <w:sz w:val="32"/>
          <w:szCs w:val="32"/>
          <w:lang w:eastAsia="zh-CN"/>
        </w:rPr>
        <w:t>建章立制、落实责任，积极加强配套制度建设</w:t>
      </w:r>
    </w:p>
    <w:p>
      <w:pPr>
        <w:pStyle w:val="7"/>
        <w:spacing w:line="560" w:lineRule="exact"/>
        <w:ind w:firstLine="640" w:firstLineChars="200"/>
        <w:rPr>
          <w:rFonts w:ascii="仿宋" w:hAnsi="仿宋" w:eastAsia="仿宋" w:cs="仿宋_GB2312"/>
          <w:b w:val="0"/>
          <w:bCs w:val="0"/>
          <w:w w:val="100"/>
          <w:sz w:val="32"/>
          <w:szCs w:val="32"/>
          <w:lang w:eastAsia="zh-CN"/>
        </w:rPr>
      </w:pPr>
      <w:r>
        <w:rPr>
          <w:rFonts w:hint="eastAsia" w:ascii="仿宋" w:hAnsi="仿宋" w:eastAsia="仿宋" w:cs="仿宋_GB2312"/>
          <w:b w:val="0"/>
          <w:bCs w:val="0"/>
          <w:w w:val="100"/>
          <w:sz w:val="32"/>
          <w:szCs w:val="32"/>
          <w:lang w:eastAsia="zh-CN"/>
        </w:rPr>
        <w:t>紧紧围绕强化“属地管理”、“分级负责”，不断完善受理、办理信访事项的程序，及时调整和改进工作方式和方法，努力建立健全与《信访条例》相适应的工作运行机制。</w:t>
      </w:r>
    </w:p>
    <w:p>
      <w:pPr>
        <w:pStyle w:val="7"/>
        <w:spacing w:line="560" w:lineRule="exact"/>
        <w:ind w:firstLine="643" w:firstLineChars="200"/>
        <w:rPr>
          <w:rFonts w:ascii="仿宋" w:hAnsi="仿宋" w:eastAsia="仿宋" w:cs="仿宋_GB2312"/>
          <w:b w:val="0"/>
          <w:bCs w:val="0"/>
          <w:w w:val="100"/>
          <w:sz w:val="32"/>
          <w:szCs w:val="32"/>
          <w:lang w:eastAsia="zh-CN"/>
        </w:rPr>
      </w:pPr>
      <w:r>
        <w:rPr>
          <w:rFonts w:hint="eastAsia" w:ascii="仿宋" w:hAnsi="仿宋" w:eastAsia="仿宋" w:cs="仿宋_GB2312"/>
          <w:bCs w:val="0"/>
          <w:w w:val="100"/>
          <w:sz w:val="32"/>
          <w:szCs w:val="32"/>
          <w:lang w:eastAsia="zh-CN"/>
        </w:rPr>
        <w:t>1.加强组织领导。</w:t>
      </w:r>
      <w:r>
        <w:rPr>
          <w:rFonts w:hint="eastAsia" w:ascii="仿宋" w:hAnsi="仿宋" w:eastAsia="仿宋" w:cs="仿宋_GB2312"/>
          <w:b w:val="0"/>
          <w:bCs w:val="0"/>
          <w:w w:val="100"/>
          <w:sz w:val="32"/>
          <w:szCs w:val="32"/>
          <w:lang w:eastAsia="zh-CN"/>
        </w:rPr>
        <w:t>切实加强信访工作的组织领导，强化信访工作责任。成立了由县委维稳副书记、常务副县长为主要召集人，各相关部门主要负责人为成员的信访工作联席会议领导小组。建立完善了县信访工作联席会议制度，编制完善了处置应急预案，做到科学策划、有效指挥、处置得当、损失最小。按照上级要求，各乡镇、各单位也成立了信访领导小组，每个乡镇都配备了信访工作专兼职人员，全县形成了级级有组织、层层有人抓、事事有反馈的“大信访”工作格局。</w:t>
      </w:r>
    </w:p>
    <w:p>
      <w:pPr>
        <w:pStyle w:val="7"/>
        <w:spacing w:line="560" w:lineRule="exact"/>
        <w:ind w:firstLine="643" w:firstLineChars="200"/>
        <w:rPr>
          <w:rFonts w:ascii="仿宋" w:hAnsi="仿宋" w:eastAsia="仿宋" w:cs="仿宋_GB2312"/>
          <w:b w:val="0"/>
          <w:w w:val="100"/>
          <w:sz w:val="32"/>
          <w:szCs w:val="32"/>
          <w:lang w:eastAsia="zh-CN"/>
        </w:rPr>
      </w:pPr>
      <w:r>
        <w:rPr>
          <w:rFonts w:hint="eastAsia" w:ascii="仿宋" w:hAnsi="仿宋" w:eastAsia="仿宋" w:cs="仿宋_GB2312"/>
          <w:bCs w:val="0"/>
          <w:w w:val="100"/>
          <w:sz w:val="32"/>
          <w:szCs w:val="32"/>
          <w:lang w:eastAsia="zh-CN"/>
        </w:rPr>
        <w:t>2.不断完善信访配套设施。</w:t>
      </w:r>
      <w:r>
        <w:rPr>
          <w:rFonts w:hint="eastAsia" w:ascii="仿宋" w:hAnsi="仿宋" w:eastAsia="仿宋" w:cs="仿宋_GB2312"/>
          <w:b w:val="0"/>
          <w:w w:val="100"/>
          <w:sz w:val="32"/>
          <w:szCs w:val="32"/>
          <w:lang w:eastAsia="zh-CN"/>
        </w:rPr>
        <w:t>在2015年我县建成覆盖县、乡两级的信访信息系统，实现信息网上录入、流程网上管理、情况网上督查的基础上，2016年建设完成了县到乡的信访视频接访系统；2017年完成了州到县视频信访系统建设；2018年完成州、县领导信箱接入四川省信访信息系统建设。这些配套设施的建成，极大地方便了群众反映诉求的途径，极大地提高了办理信访事项的“三率”工作。</w:t>
      </w:r>
    </w:p>
    <w:p>
      <w:pPr>
        <w:pStyle w:val="7"/>
        <w:spacing w:line="560" w:lineRule="exact"/>
        <w:ind w:firstLine="643" w:firstLineChars="200"/>
        <w:jc w:val="left"/>
        <w:rPr>
          <w:rFonts w:ascii="仿宋" w:hAnsi="仿宋" w:eastAsia="仿宋" w:cs="仿宋_GB2312"/>
          <w:b w:val="0"/>
          <w:w w:val="100"/>
          <w:sz w:val="32"/>
          <w:szCs w:val="32"/>
          <w:lang w:eastAsia="zh-CN"/>
        </w:rPr>
      </w:pPr>
      <w:r>
        <w:rPr>
          <w:rFonts w:hint="eastAsia" w:ascii="仿宋" w:hAnsi="仿宋" w:eastAsia="仿宋" w:cs="仿宋_GB2312"/>
          <w:bCs w:val="0"/>
          <w:w w:val="100"/>
          <w:sz w:val="32"/>
          <w:szCs w:val="32"/>
          <w:lang w:eastAsia="zh-CN"/>
        </w:rPr>
        <w:t>3.层层签订责任书。</w:t>
      </w:r>
      <w:r>
        <w:rPr>
          <w:rFonts w:hint="eastAsia" w:ascii="仿宋" w:hAnsi="仿宋" w:eastAsia="仿宋" w:cs="仿宋_GB2312"/>
          <w:b w:val="0"/>
          <w:w w:val="100"/>
          <w:sz w:val="32"/>
          <w:szCs w:val="32"/>
          <w:lang w:eastAsia="zh-CN"/>
        </w:rPr>
        <w:t>年初，在层层落实“属地管理”的基础上，县信访联席会议与各乡镇、县级各部门签订《信访工作目标责任书》90份，为全县信访维稳依法治理常态化打下了基础。</w:t>
      </w:r>
    </w:p>
    <w:p>
      <w:pPr>
        <w:pStyle w:val="7"/>
        <w:spacing w:line="560" w:lineRule="exact"/>
        <w:ind w:firstLine="643" w:firstLineChars="200"/>
        <w:rPr>
          <w:rFonts w:ascii="仿宋" w:hAnsi="仿宋" w:eastAsia="仿宋" w:cs="仿宋_GB2312"/>
          <w:bCs w:val="0"/>
          <w:w w:val="100"/>
          <w:sz w:val="32"/>
          <w:szCs w:val="32"/>
          <w:lang w:eastAsia="zh-CN"/>
        </w:rPr>
      </w:pPr>
      <w:r>
        <w:rPr>
          <w:rFonts w:hint="eastAsia" w:ascii="仿宋" w:hAnsi="仿宋" w:eastAsia="仿宋" w:cs="仿宋_GB2312"/>
          <w:bCs w:val="0"/>
          <w:w w:val="100"/>
          <w:sz w:val="32"/>
          <w:szCs w:val="32"/>
          <w:lang w:eastAsia="zh-CN"/>
        </w:rPr>
        <w:t>求真务实、开拓创新，不断探索信访工作的长效机制</w:t>
      </w:r>
    </w:p>
    <w:p>
      <w:pPr>
        <w:pStyle w:val="7"/>
        <w:spacing w:line="560" w:lineRule="exact"/>
        <w:ind w:firstLine="640" w:firstLineChars="200"/>
        <w:rPr>
          <w:rFonts w:ascii="仿宋" w:hAnsi="仿宋" w:eastAsia="仿宋" w:cs="仿宋_GB2312"/>
          <w:b w:val="0"/>
          <w:bCs w:val="0"/>
          <w:w w:val="100"/>
          <w:sz w:val="32"/>
          <w:szCs w:val="32"/>
          <w:lang w:eastAsia="zh-CN"/>
        </w:rPr>
      </w:pPr>
      <w:r>
        <w:rPr>
          <w:rFonts w:hint="eastAsia" w:ascii="仿宋" w:hAnsi="仿宋" w:eastAsia="仿宋" w:cs="仿宋_GB2312"/>
          <w:b w:val="0"/>
          <w:bCs w:val="0"/>
          <w:w w:val="100"/>
          <w:sz w:val="32"/>
          <w:szCs w:val="32"/>
          <w:lang w:eastAsia="zh-CN"/>
        </w:rPr>
        <w:t>不断加强信访工作法制化建设和业务指导，努力探索和完善做好新形势下群众和信访工作的长效机制。</w:t>
      </w:r>
    </w:p>
    <w:p>
      <w:pPr>
        <w:pStyle w:val="7"/>
        <w:spacing w:line="560" w:lineRule="exact"/>
        <w:ind w:firstLine="643" w:firstLineChars="200"/>
        <w:rPr>
          <w:rFonts w:ascii="仿宋" w:hAnsi="仿宋" w:eastAsia="仿宋" w:cs="仿宋_GB2312"/>
          <w:b w:val="0"/>
          <w:bCs w:val="0"/>
          <w:w w:val="100"/>
          <w:sz w:val="32"/>
          <w:szCs w:val="32"/>
          <w:lang w:eastAsia="zh-CN"/>
        </w:rPr>
      </w:pPr>
      <w:r>
        <w:rPr>
          <w:rFonts w:hint="eastAsia" w:ascii="仿宋" w:hAnsi="仿宋" w:eastAsia="仿宋" w:cs="仿宋_GB2312"/>
          <w:bCs w:val="0"/>
          <w:w w:val="100"/>
          <w:sz w:val="32"/>
          <w:szCs w:val="32"/>
          <w:lang w:eastAsia="zh-CN"/>
        </w:rPr>
        <w:t>1.进一步畅通信访渠道。</w:t>
      </w:r>
      <w:r>
        <w:rPr>
          <w:rFonts w:hint="eastAsia" w:ascii="仿宋" w:hAnsi="仿宋" w:eastAsia="仿宋" w:cs="仿宋_GB2312"/>
          <w:b w:val="0"/>
          <w:bCs w:val="0"/>
          <w:w w:val="100"/>
          <w:sz w:val="32"/>
          <w:szCs w:val="32"/>
          <w:lang w:eastAsia="zh-CN"/>
        </w:rPr>
        <w:t>为进一步畅通信访渠道，保障人民群众的信访权利。一是我县通过门户网站、微红原、微信公众号等方式公布了相关单位的通讯地址、投诉电话、信访接待的时间和地点，以及信访经办人员、办公电话等，以方便群众来信来访。二是有效开展县级领导干部接访制，强化县级领导干部包案制，明确相关单位部门和人员的责任，加强督查督办，依法开展信访工作。</w:t>
      </w:r>
    </w:p>
    <w:p>
      <w:pPr>
        <w:pStyle w:val="7"/>
        <w:spacing w:line="560" w:lineRule="exact"/>
        <w:ind w:firstLine="643" w:firstLineChars="200"/>
        <w:rPr>
          <w:rFonts w:ascii="仿宋" w:hAnsi="仿宋" w:eastAsia="仿宋" w:cs="仿宋_GB2312"/>
          <w:b w:val="0"/>
          <w:bCs w:val="0"/>
          <w:w w:val="100"/>
          <w:sz w:val="32"/>
          <w:szCs w:val="32"/>
          <w:lang w:eastAsia="zh-CN"/>
        </w:rPr>
      </w:pPr>
      <w:r>
        <w:rPr>
          <w:rFonts w:hint="eastAsia" w:ascii="仿宋" w:hAnsi="仿宋" w:eastAsia="仿宋" w:cs="仿宋_GB2312"/>
          <w:bCs w:val="0"/>
          <w:w w:val="100"/>
          <w:sz w:val="32"/>
          <w:szCs w:val="32"/>
          <w:lang w:eastAsia="zh-CN"/>
        </w:rPr>
        <w:t>2.进一步规范工作程序。</w:t>
      </w:r>
      <w:r>
        <w:rPr>
          <w:rFonts w:hint="eastAsia" w:ascii="仿宋" w:hAnsi="仿宋" w:eastAsia="仿宋" w:cs="仿宋_GB2312"/>
          <w:b w:val="0"/>
          <w:w w:val="100"/>
          <w:sz w:val="32"/>
          <w:szCs w:val="32"/>
          <w:lang w:eastAsia="zh-CN"/>
        </w:rPr>
        <w:t>一是</w:t>
      </w:r>
      <w:r>
        <w:rPr>
          <w:rFonts w:hint="eastAsia" w:ascii="仿宋" w:hAnsi="仿宋" w:eastAsia="仿宋" w:cs="仿宋_GB2312"/>
          <w:b w:val="0"/>
          <w:bCs w:val="0"/>
          <w:w w:val="100"/>
          <w:sz w:val="32"/>
          <w:szCs w:val="32"/>
          <w:lang w:eastAsia="zh-CN"/>
        </w:rPr>
        <w:t>按照《信访条例》要求，制作了信访事项流程图，对信访事项的受理、办理的程序在现行基础上进一步进行了规范。二是加强了和有权处理信访问题的部门之间的合作、交流和联系，形成了工作合力，使信访工作更加规范、顺畅。</w:t>
      </w:r>
    </w:p>
    <w:p>
      <w:pPr>
        <w:pStyle w:val="7"/>
        <w:spacing w:line="560" w:lineRule="exact"/>
        <w:ind w:firstLine="643" w:firstLineChars="200"/>
        <w:rPr>
          <w:rFonts w:ascii="仿宋" w:hAnsi="仿宋" w:eastAsia="仿宋" w:cs="仿宋_GB2312"/>
          <w:b w:val="0"/>
          <w:bCs w:val="0"/>
          <w:w w:val="100"/>
          <w:sz w:val="32"/>
          <w:szCs w:val="32"/>
          <w:lang w:eastAsia="zh-CN"/>
        </w:rPr>
      </w:pPr>
      <w:r>
        <w:rPr>
          <w:rFonts w:hint="eastAsia" w:ascii="仿宋" w:hAnsi="仿宋" w:eastAsia="仿宋" w:cs="仿宋_GB2312"/>
          <w:bCs w:val="0"/>
          <w:w w:val="100"/>
          <w:sz w:val="32"/>
          <w:szCs w:val="32"/>
          <w:lang w:eastAsia="zh-CN"/>
        </w:rPr>
        <w:t>3.及时排查信访不稳定因素。</w:t>
      </w:r>
      <w:r>
        <w:rPr>
          <w:rFonts w:hint="eastAsia" w:ascii="仿宋" w:hAnsi="仿宋" w:eastAsia="仿宋" w:cs="仿宋_GB2312"/>
          <w:b w:val="0"/>
          <w:w w:val="100"/>
          <w:sz w:val="32"/>
          <w:szCs w:val="32"/>
          <w:lang w:eastAsia="zh-CN"/>
        </w:rPr>
        <w:t>一是</w:t>
      </w:r>
      <w:r>
        <w:rPr>
          <w:rFonts w:hint="eastAsia" w:ascii="仿宋" w:hAnsi="仿宋" w:eastAsia="仿宋" w:cs="仿宋_GB2312"/>
          <w:b w:val="0"/>
          <w:bCs w:val="0"/>
          <w:w w:val="100"/>
          <w:sz w:val="32"/>
          <w:szCs w:val="32"/>
          <w:lang w:eastAsia="zh-CN"/>
        </w:rPr>
        <w:t>及时召开信访联席会议。按照“排查得早、发现得了、控制得住、解决得好”的原则，对辖区内进行定期排查、集中排查、专项排查，做到排查横向到边，纵向到底、并与防范、梳理、分析、调处、化解、稳控相结合，切实掌握社情舆论，做到超前介入、超前稳控和超前化解。切实发挥信访及政法、公安、司法、人事、发改委等部门的职能作用，抓好工作延伸，真正把问题化解在基层、解决在萌芽状态。二是特别加强了敏感时期和重大节庆的排查稳控工作，认真分析和科学研判信访形势，全面梳理排查了可能影响社会稳定和政治稳定的信访事件，有针对性地制订工作措施，加强稳控工作，确保敏感时期信访秩序的正常有序和社会政治的持续稳定。</w:t>
      </w:r>
    </w:p>
    <w:p>
      <w:pPr>
        <w:pStyle w:val="3"/>
        <w:spacing w:before="0" w:after="0" w:line="560" w:lineRule="exact"/>
        <w:ind w:firstLine="640" w:firstLineChars="200"/>
        <w:rPr>
          <w:rStyle w:val="26"/>
          <w:rFonts w:ascii="仿宋" w:hAnsi="仿宋" w:eastAsia="仿宋"/>
          <w:b/>
          <w:bCs w:val="0"/>
        </w:rPr>
      </w:pPr>
      <w:bookmarkStart w:id="20" w:name="_Toc15396601"/>
      <w:bookmarkStart w:id="21" w:name="_Toc15377200"/>
      <w:r>
        <w:rPr>
          <w:rFonts w:hint="eastAsia" w:ascii="仿宋" w:hAnsi="仿宋" w:eastAsia="仿宋"/>
          <w:b w:val="0"/>
          <w:color w:val="000000"/>
        </w:rPr>
        <w:t>二、</w:t>
      </w:r>
      <w:r>
        <w:rPr>
          <w:rFonts w:hint="eastAsia" w:ascii="仿宋" w:hAnsi="仿宋" w:eastAsia="仿宋"/>
          <w:color w:val="000000"/>
        </w:rPr>
        <w:t>机</w:t>
      </w:r>
      <w:r>
        <w:rPr>
          <w:rStyle w:val="26"/>
          <w:rFonts w:hint="eastAsia" w:ascii="仿宋" w:hAnsi="仿宋" w:eastAsia="仿宋"/>
          <w:b/>
          <w:bCs w:val="0"/>
        </w:rPr>
        <w:t>构设置</w:t>
      </w:r>
      <w:bookmarkEnd w:id="20"/>
      <w:bookmarkEnd w:id="21"/>
    </w:p>
    <w:p>
      <w:pPr>
        <w:spacing w:line="520" w:lineRule="exact"/>
        <w:ind w:firstLine="640" w:firstLineChars="200"/>
        <w:jc w:val="left"/>
        <w:rPr>
          <w:rFonts w:ascii="仿宋" w:hAnsi="仿宋" w:eastAsia="仿宋" w:cs="仿宋_GB2312"/>
          <w:bCs/>
          <w:sz w:val="32"/>
        </w:rPr>
      </w:pPr>
      <w:r>
        <w:rPr>
          <w:rFonts w:hint="eastAsia" w:ascii="仿宋" w:hAnsi="仿宋" w:eastAsia="仿宋" w:cs="仿宋_GB2312"/>
          <w:bCs/>
          <w:sz w:val="32"/>
        </w:rPr>
        <w:t>我单位为独立核算全额拨行政单位，内设副科级1个，名称是群众接访中心，股室3个，分别是：综合股、政策法规股、办访和网络管理股。</w:t>
      </w:r>
    </w:p>
    <w:p>
      <w:pPr>
        <w:widowControl/>
        <w:spacing w:line="560" w:lineRule="exact"/>
        <w:jc w:val="left"/>
        <w:rPr>
          <w:rFonts w:ascii="仿宋" w:hAnsi="仿宋" w:eastAsia="仿宋"/>
          <w:color w:val="000000"/>
          <w:kern w:val="0"/>
          <w:sz w:val="32"/>
          <w:szCs w:val="32"/>
        </w:rPr>
      </w:pPr>
      <w:r>
        <w:rPr>
          <w:rFonts w:ascii="仿宋" w:hAnsi="仿宋" w:eastAsia="仿宋"/>
          <w:color w:val="000000"/>
          <w:sz w:val="32"/>
          <w:szCs w:val="32"/>
        </w:rPr>
        <w:br w:type="page"/>
      </w:r>
    </w:p>
    <w:p>
      <w:pPr>
        <w:pStyle w:val="2"/>
        <w:ind w:right="440"/>
        <w:jc w:val="right"/>
        <w:rPr>
          <w:rStyle w:val="25"/>
          <w:rFonts w:ascii="黑体" w:hAnsi="黑体" w:eastAsia="黑体"/>
          <w:b w:val="0"/>
          <w:bCs w:val="0"/>
        </w:rPr>
      </w:pPr>
      <w:bookmarkStart w:id="22" w:name="_Toc15377204"/>
      <w:bookmarkStart w:id="23" w:name="_Toc15396602"/>
      <w:r>
        <w:rPr>
          <w:rFonts w:hint="eastAsia" w:ascii="黑体" w:hAnsi="黑体" w:eastAsia="黑体"/>
          <w:b w:val="0"/>
          <w:color w:val="000000"/>
        </w:rPr>
        <w:t>第二部分</w:t>
      </w:r>
      <w:r>
        <w:rPr>
          <w:rStyle w:val="25"/>
          <w:rFonts w:hint="eastAsia" w:ascii="黑体" w:hAnsi="黑体" w:eastAsia="黑体"/>
          <w:b w:val="0"/>
          <w:bCs w:val="0"/>
        </w:rPr>
        <w:t>2018年度部门决算情况说明</w:t>
      </w:r>
      <w:bookmarkEnd w:id="22"/>
      <w:bookmarkEnd w:id="23"/>
    </w:p>
    <w:p/>
    <w:p>
      <w:pPr>
        <w:pStyle w:val="24"/>
        <w:numPr>
          <w:ilvl w:val="0"/>
          <w:numId w:val="1"/>
        </w:numPr>
        <w:spacing w:line="600" w:lineRule="exact"/>
        <w:ind w:firstLineChars="0"/>
        <w:outlineLvl w:val="1"/>
        <w:rPr>
          <w:rStyle w:val="26"/>
          <w:rFonts w:ascii="黑体" w:hAnsi="黑体" w:eastAsia="黑体"/>
          <w:b w:val="0"/>
        </w:rPr>
      </w:pPr>
      <w:bookmarkStart w:id="24" w:name="_Toc15377205"/>
      <w:bookmarkStart w:id="25" w:name="_Toc15396603"/>
      <w:r>
        <w:rPr>
          <w:rFonts w:hint="eastAsia" w:ascii="黑体" w:hAnsi="黑体" w:eastAsia="黑体"/>
          <w:color w:val="000000"/>
          <w:sz w:val="32"/>
          <w:szCs w:val="32"/>
        </w:rPr>
        <w:t>收</w:t>
      </w:r>
      <w:r>
        <w:rPr>
          <w:rStyle w:val="26"/>
          <w:rFonts w:hint="eastAsia" w:ascii="黑体" w:hAnsi="黑体" w:eastAsia="黑体"/>
          <w:b w:val="0"/>
        </w:rPr>
        <w:t>入支出决算总体情况说明</w:t>
      </w:r>
      <w:bookmarkEnd w:id="24"/>
      <w:bookmarkEnd w:id="25"/>
    </w:p>
    <w:p>
      <w:pPr>
        <w:rPr>
          <w:rFonts w:ascii="仿宋" w:hAnsi="仿宋" w:eastAsia="仿宋" w:cs="Arial"/>
          <w:color w:val="000000"/>
          <w:kern w:val="0"/>
          <w:sz w:val="32"/>
          <w:szCs w:val="32"/>
        </w:rPr>
      </w:pPr>
      <w:r>
        <w:rPr>
          <w:rFonts w:hint="eastAsia" w:ascii="仿宋" w:hAnsi="仿宋" w:eastAsia="仿宋" w:cs="仿宋_GB2312"/>
          <w:color w:val="000000"/>
          <w:sz w:val="32"/>
          <w:szCs w:val="32"/>
        </w:rPr>
        <w:t xml:space="preserve">    2018年我单位本年收入合计</w:t>
      </w:r>
      <w:r>
        <w:rPr>
          <w:rFonts w:hint="eastAsia" w:ascii="仿宋" w:hAnsi="仿宋" w:eastAsia="仿宋" w:cs="Arial"/>
          <w:color w:val="000000"/>
          <w:kern w:val="0"/>
          <w:sz w:val="32"/>
          <w:szCs w:val="32"/>
        </w:rPr>
        <w:t>134.10</w:t>
      </w:r>
      <w:r>
        <w:rPr>
          <w:rFonts w:hint="eastAsia" w:ascii="仿宋" w:hAnsi="仿宋" w:eastAsia="仿宋"/>
          <w:color w:val="000000"/>
          <w:sz w:val="32"/>
          <w:szCs w:val="32"/>
        </w:rPr>
        <w:t>万</w:t>
      </w:r>
      <w:r>
        <w:rPr>
          <w:rFonts w:hint="eastAsia" w:ascii="仿宋" w:hAnsi="仿宋" w:eastAsia="仿宋" w:cs="仿宋_GB2312"/>
          <w:color w:val="000000"/>
          <w:sz w:val="32"/>
          <w:szCs w:val="32"/>
        </w:rPr>
        <w:t>元，同比去年增加18.89万元，</w:t>
      </w:r>
      <w:r>
        <w:rPr>
          <w:rFonts w:hint="eastAsia" w:ascii="仿宋" w:hAnsi="仿宋" w:eastAsia="仿宋"/>
          <w:sz w:val="32"/>
          <w:szCs w:val="32"/>
        </w:rPr>
        <w:t>增长18.89</w:t>
      </w:r>
      <w:r>
        <w:rPr>
          <w:rFonts w:ascii="仿宋" w:hAnsi="仿宋" w:eastAsia="仿宋"/>
          <w:sz w:val="32"/>
          <w:szCs w:val="32"/>
        </w:rPr>
        <w:t>%</w:t>
      </w:r>
      <w:r>
        <w:rPr>
          <w:rFonts w:hint="eastAsia" w:ascii="仿宋" w:hAnsi="仿宋" w:eastAsia="仿宋"/>
          <w:color w:val="000000"/>
          <w:sz w:val="32"/>
          <w:szCs w:val="32"/>
        </w:rPr>
        <w:t>,</w:t>
      </w:r>
      <w:r>
        <w:rPr>
          <w:rFonts w:hint="eastAsia" w:ascii="仿宋" w:hAnsi="仿宋" w:eastAsia="仿宋" w:cs="仿宋_GB2312"/>
          <w:color w:val="000000"/>
          <w:sz w:val="32"/>
          <w:szCs w:val="32"/>
        </w:rPr>
        <w:t>增加原因一是工资和“四险一金”增加,二是新建了业务系统。</w:t>
      </w:r>
    </w:p>
    <w:p>
      <w:pPr>
        <w:spacing w:line="560" w:lineRule="exact"/>
        <w:ind w:firstLine="640" w:firstLineChars="200"/>
        <w:rPr>
          <w:rFonts w:ascii="仿宋" w:hAnsi="仿宋" w:eastAsia="仿宋" w:cs="仿宋_GB2312"/>
          <w:color w:val="000000"/>
          <w:sz w:val="32"/>
          <w:szCs w:val="32"/>
        </w:rPr>
      </w:pPr>
      <w:r>
        <w:rPr>
          <w:rFonts w:hint="eastAsia" w:ascii="仿宋" w:hAnsi="仿宋" w:eastAsia="仿宋" w:cs="仿宋_GB2312"/>
          <w:color w:val="000000"/>
          <w:sz w:val="32"/>
          <w:szCs w:val="32"/>
        </w:rPr>
        <w:t>2018年我单位本年支出合计148.85万元，同比去年增加32.89万元，</w:t>
      </w:r>
      <w:r>
        <w:rPr>
          <w:rFonts w:hint="eastAsia" w:ascii="仿宋" w:hAnsi="仿宋" w:eastAsia="仿宋"/>
          <w:sz w:val="32"/>
          <w:szCs w:val="32"/>
        </w:rPr>
        <w:t>增长28.36</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cs="仿宋_GB2312"/>
          <w:color w:val="000000"/>
          <w:sz w:val="32"/>
          <w:szCs w:val="32"/>
        </w:rPr>
        <w:t xml:space="preserve">增加原因主要一是工资和“四险一金”增加,二是新建了业务系统。 </w:t>
      </w:r>
    </w:p>
    <w:p>
      <w:pPr>
        <w:pStyle w:val="24"/>
        <w:numPr>
          <w:ilvl w:val="0"/>
          <w:numId w:val="1"/>
        </w:numPr>
        <w:spacing w:line="600" w:lineRule="exact"/>
        <w:ind w:firstLineChars="0"/>
        <w:outlineLvl w:val="1"/>
        <w:rPr>
          <w:rStyle w:val="26"/>
          <w:rFonts w:ascii="黑体" w:hAnsi="黑体" w:eastAsia="黑体"/>
          <w:b w:val="0"/>
        </w:rPr>
      </w:pPr>
      <w:bookmarkStart w:id="26" w:name="_Toc15396604"/>
      <w:bookmarkStart w:id="27" w:name="_Toc15377206"/>
      <w:r>
        <w:rPr>
          <w:rFonts w:hint="eastAsia" w:ascii="黑体" w:hAnsi="黑体" w:eastAsia="黑体"/>
          <w:color w:val="000000"/>
          <w:sz w:val="32"/>
          <w:szCs w:val="32"/>
        </w:rPr>
        <w:t>收</w:t>
      </w:r>
      <w:r>
        <w:rPr>
          <w:rStyle w:val="26"/>
          <w:rFonts w:hint="eastAsia" w:ascii="黑体" w:hAnsi="黑体" w:eastAsia="黑体"/>
          <w:b w:val="0"/>
        </w:rPr>
        <w:t>入决算情况说明</w:t>
      </w:r>
      <w:bookmarkEnd w:id="26"/>
      <w:bookmarkEnd w:id="27"/>
    </w:p>
    <w:p>
      <w:pPr>
        <w:spacing w:line="600" w:lineRule="exact"/>
        <w:ind w:firstLine="640" w:firstLineChars="200"/>
        <w:outlineLvl w:val="1"/>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8年本年收入合计</w:t>
      </w:r>
      <w:r>
        <w:rPr>
          <w:rFonts w:hint="eastAsia" w:ascii="仿宋" w:hAnsi="仿宋" w:eastAsia="仿宋"/>
          <w:sz w:val="32"/>
          <w:szCs w:val="32"/>
        </w:rPr>
        <w:t>134.10</w:t>
      </w:r>
      <w:r>
        <w:rPr>
          <w:rFonts w:hint="eastAsia" w:ascii="仿宋" w:hAnsi="仿宋" w:eastAsia="仿宋"/>
          <w:color w:val="000000"/>
          <w:sz w:val="32"/>
          <w:szCs w:val="32"/>
        </w:rPr>
        <w:t>万元，其中：一般公共预算财政拨款收入134.10万元，占100</w:t>
      </w:r>
      <w:r>
        <w:rPr>
          <w:rFonts w:ascii="仿宋" w:hAnsi="仿宋" w:eastAsia="仿宋"/>
          <w:color w:val="000000"/>
          <w:sz w:val="32"/>
          <w:szCs w:val="32"/>
        </w:rPr>
        <w:t>%</w:t>
      </w:r>
      <w:r>
        <w:rPr>
          <w:rFonts w:hint="eastAsia" w:ascii="仿宋" w:hAnsi="仿宋" w:eastAsia="仿宋"/>
          <w:color w:val="000000"/>
          <w:sz w:val="32"/>
          <w:szCs w:val="32"/>
        </w:rPr>
        <w:t>；政府性基金预算财政拨款收入0万元，占0</w:t>
      </w:r>
      <w:r>
        <w:rPr>
          <w:rFonts w:ascii="仿宋" w:hAnsi="仿宋" w:eastAsia="仿宋"/>
          <w:color w:val="000000"/>
          <w:sz w:val="32"/>
          <w:szCs w:val="32"/>
        </w:rPr>
        <w:t>%</w:t>
      </w:r>
      <w:r>
        <w:rPr>
          <w:rFonts w:hint="eastAsia" w:ascii="仿宋" w:hAnsi="仿宋" w:eastAsia="仿宋"/>
          <w:color w:val="000000"/>
          <w:sz w:val="32"/>
          <w:szCs w:val="32"/>
        </w:rPr>
        <w:t xml:space="preserve">；国有资本经营预算财政拨款收入0万元，占0 </w:t>
      </w:r>
      <w:r>
        <w:rPr>
          <w:rFonts w:ascii="仿宋" w:hAnsi="仿宋" w:eastAsia="仿宋"/>
          <w:color w:val="000000"/>
          <w:sz w:val="32"/>
          <w:szCs w:val="32"/>
        </w:rPr>
        <w:t>%</w:t>
      </w:r>
      <w:r>
        <w:rPr>
          <w:rFonts w:hint="eastAsia" w:ascii="仿宋" w:hAnsi="仿宋" w:eastAsia="仿宋"/>
          <w:color w:val="000000"/>
          <w:sz w:val="32"/>
          <w:szCs w:val="32"/>
        </w:rPr>
        <w:t xml:space="preserve">；事业收入0万元，占0 </w:t>
      </w:r>
      <w:r>
        <w:rPr>
          <w:rFonts w:ascii="仿宋" w:hAnsi="仿宋" w:eastAsia="仿宋"/>
          <w:color w:val="000000"/>
          <w:sz w:val="32"/>
          <w:szCs w:val="32"/>
        </w:rPr>
        <w:t>%</w:t>
      </w:r>
      <w:r>
        <w:rPr>
          <w:rFonts w:hint="eastAsia" w:ascii="仿宋" w:hAnsi="仿宋" w:eastAsia="仿宋"/>
          <w:color w:val="000000"/>
          <w:sz w:val="32"/>
          <w:szCs w:val="32"/>
        </w:rPr>
        <w:t xml:space="preserve">；经营收入0万元，占0 </w:t>
      </w:r>
      <w:r>
        <w:rPr>
          <w:rFonts w:ascii="仿宋" w:hAnsi="仿宋" w:eastAsia="仿宋"/>
          <w:color w:val="000000"/>
          <w:sz w:val="32"/>
          <w:szCs w:val="32"/>
        </w:rPr>
        <w:t>%</w:t>
      </w:r>
      <w:r>
        <w:rPr>
          <w:rFonts w:hint="eastAsia" w:ascii="仿宋" w:hAnsi="仿宋" w:eastAsia="仿宋"/>
          <w:color w:val="000000"/>
          <w:sz w:val="32"/>
          <w:szCs w:val="32"/>
        </w:rPr>
        <w:t xml:space="preserve">；附属单位上缴收入0元，占0 </w:t>
      </w:r>
      <w:r>
        <w:rPr>
          <w:rFonts w:ascii="仿宋" w:hAnsi="仿宋" w:eastAsia="仿宋"/>
          <w:color w:val="000000"/>
          <w:sz w:val="32"/>
          <w:szCs w:val="32"/>
        </w:rPr>
        <w:t>%</w:t>
      </w:r>
      <w:r>
        <w:rPr>
          <w:rFonts w:hint="eastAsia" w:ascii="仿宋" w:hAnsi="仿宋" w:eastAsia="仿宋"/>
          <w:color w:val="000000"/>
          <w:sz w:val="32"/>
          <w:szCs w:val="32"/>
        </w:rPr>
        <w:t xml:space="preserve">；其他收入0.01万元，占0 </w:t>
      </w:r>
      <w:r>
        <w:rPr>
          <w:rFonts w:ascii="仿宋" w:hAnsi="仿宋" w:eastAsia="仿宋"/>
          <w:color w:val="000000"/>
          <w:sz w:val="32"/>
          <w:szCs w:val="32"/>
        </w:rPr>
        <w:t>%</w:t>
      </w:r>
      <w:r>
        <w:rPr>
          <w:rFonts w:hint="eastAsia" w:ascii="仿宋" w:hAnsi="仿宋" w:eastAsia="仿宋"/>
          <w:color w:val="000000"/>
          <w:sz w:val="32"/>
          <w:szCs w:val="32"/>
        </w:rPr>
        <w:t>。</w:t>
      </w:r>
    </w:p>
    <w:p>
      <w:pPr>
        <w:pStyle w:val="24"/>
        <w:numPr>
          <w:ilvl w:val="0"/>
          <w:numId w:val="1"/>
        </w:numPr>
        <w:spacing w:line="600" w:lineRule="exact"/>
        <w:ind w:firstLineChars="0"/>
        <w:outlineLvl w:val="1"/>
        <w:rPr>
          <w:rStyle w:val="26"/>
          <w:rFonts w:ascii="黑体" w:hAnsi="黑体" w:eastAsia="黑体"/>
          <w:b w:val="0"/>
        </w:rPr>
      </w:pPr>
      <w:bookmarkStart w:id="28" w:name="_Toc15377207"/>
      <w:bookmarkStart w:id="29" w:name="_Toc15396605"/>
      <w:r>
        <w:rPr>
          <w:rFonts w:hint="eastAsia" w:ascii="黑体" w:hAnsi="黑体" w:eastAsia="黑体"/>
          <w:color w:val="000000"/>
          <w:sz w:val="32"/>
          <w:szCs w:val="32"/>
        </w:rPr>
        <w:t>支</w:t>
      </w:r>
      <w:r>
        <w:rPr>
          <w:rStyle w:val="26"/>
          <w:rFonts w:hint="eastAsia" w:ascii="黑体" w:hAnsi="黑体" w:eastAsia="黑体"/>
          <w:b w:val="0"/>
        </w:rPr>
        <w:t>出决算情况说明</w:t>
      </w:r>
      <w:bookmarkEnd w:id="28"/>
      <w:bookmarkEnd w:id="29"/>
    </w:p>
    <w:p>
      <w:pPr>
        <w:ind w:firstLine="480" w:firstLineChars="150"/>
        <w:rPr>
          <w:rFonts w:ascii="宋体" w:hAnsi="宋体" w:cs="Arial"/>
          <w:b/>
          <w:bCs/>
          <w:color w:val="000000"/>
          <w:kern w:val="0"/>
          <w:sz w:val="22"/>
          <w:szCs w:val="22"/>
        </w:rPr>
      </w:pPr>
      <w:r>
        <w:rPr>
          <w:rFonts w:ascii="仿宋" w:hAnsi="仿宋" w:eastAsia="仿宋"/>
          <w:color w:val="000000"/>
          <w:sz w:val="32"/>
          <w:szCs w:val="32"/>
        </w:rPr>
        <w:t>201</w:t>
      </w:r>
      <w:r>
        <w:rPr>
          <w:rFonts w:hint="eastAsia" w:ascii="仿宋" w:hAnsi="仿宋" w:eastAsia="仿宋"/>
          <w:color w:val="000000"/>
          <w:sz w:val="32"/>
          <w:szCs w:val="32"/>
        </w:rPr>
        <w:t>8年本年支出合计</w:t>
      </w:r>
      <w:r>
        <w:rPr>
          <w:rFonts w:hint="eastAsia" w:ascii="宋体" w:hAnsi="宋体" w:cs="Arial"/>
          <w:bCs/>
          <w:color w:val="000000"/>
          <w:kern w:val="0"/>
          <w:sz w:val="32"/>
          <w:szCs w:val="32"/>
        </w:rPr>
        <w:t>148.85</w:t>
      </w:r>
      <w:r>
        <w:rPr>
          <w:rFonts w:hint="eastAsia" w:ascii="仿宋" w:hAnsi="仿宋" w:eastAsia="仿宋"/>
          <w:color w:val="000000"/>
          <w:sz w:val="32"/>
          <w:szCs w:val="32"/>
        </w:rPr>
        <w:t>万元，其中：基本支出146.94万元，占98.72</w:t>
      </w:r>
      <w:r>
        <w:rPr>
          <w:rFonts w:ascii="仿宋" w:hAnsi="仿宋" w:eastAsia="仿宋"/>
          <w:color w:val="000000"/>
          <w:sz w:val="32"/>
          <w:szCs w:val="32"/>
        </w:rPr>
        <w:t>%</w:t>
      </w:r>
      <w:r>
        <w:rPr>
          <w:rFonts w:hint="eastAsia" w:ascii="仿宋" w:hAnsi="仿宋" w:eastAsia="仿宋"/>
          <w:color w:val="000000"/>
          <w:sz w:val="32"/>
          <w:szCs w:val="32"/>
        </w:rPr>
        <w:t>；项目支出1.9万元，占1.28</w:t>
      </w:r>
      <w:r>
        <w:rPr>
          <w:rFonts w:ascii="仿宋" w:hAnsi="仿宋" w:eastAsia="仿宋"/>
          <w:color w:val="000000"/>
          <w:sz w:val="32"/>
          <w:szCs w:val="32"/>
        </w:rPr>
        <w:t>%</w:t>
      </w:r>
      <w:r>
        <w:rPr>
          <w:rFonts w:hint="eastAsia" w:ascii="仿宋" w:hAnsi="仿宋" w:eastAsia="仿宋"/>
          <w:color w:val="000000"/>
          <w:sz w:val="32"/>
          <w:szCs w:val="32"/>
        </w:rPr>
        <w:t xml:space="preserve">；上缴上级支出0万元，占0 </w:t>
      </w:r>
      <w:r>
        <w:rPr>
          <w:rFonts w:ascii="仿宋" w:hAnsi="仿宋" w:eastAsia="仿宋"/>
          <w:color w:val="000000"/>
          <w:sz w:val="32"/>
          <w:szCs w:val="32"/>
        </w:rPr>
        <w:t>%</w:t>
      </w:r>
      <w:r>
        <w:rPr>
          <w:rFonts w:hint="eastAsia" w:ascii="仿宋" w:hAnsi="仿宋" w:eastAsia="仿宋"/>
          <w:color w:val="000000"/>
          <w:sz w:val="32"/>
          <w:szCs w:val="32"/>
        </w:rPr>
        <w:t xml:space="preserve">；经营支出0万元，占0 </w:t>
      </w:r>
      <w:r>
        <w:rPr>
          <w:rFonts w:ascii="仿宋" w:hAnsi="仿宋" w:eastAsia="仿宋"/>
          <w:color w:val="000000"/>
          <w:sz w:val="32"/>
          <w:szCs w:val="32"/>
        </w:rPr>
        <w:t>%</w:t>
      </w:r>
      <w:r>
        <w:rPr>
          <w:rFonts w:hint="eastAsia" w:ascii="仿宋" w:hAnsi="仿宋" w:eastAsia="仿宋"/>
          <w:color w:val="000000"/>
          <w:sz w:val="32"/>
          <w:szCs w:val="32"/>
        </w:rPr>
        <w:t xml:space="preserve">；对附属单位补助支出0万元，占0 </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firstLineChars="200"/>
        <w:outlineLvl w:val="1"/>
        <w:rPr>
          <w:rStyle w:val="26"/>
          <w:rFonts w:ascii="黑体" w:hAnsi="黑体" w:eastAsia="黑体"/>
          <w:b w:val="0"/>
        </w:rPr>
      </w:pPr>
      <w:bookmarkStart w:id="30" w:name="_Toc15396606"/>
      <w:bookmarkStart w:id="31" w:name="_Toc15377208"/>
      <w:r>
        <w:rPr>
          <w:rFonts w:hint="eastAsia" w:ascii="黑体" w:hAnsi="黑体" w:eastAsia="黑体"/>
          <w:color w:val="000000"/>
          <w:sz w:val="32"/>
          <w:szCs w:val="32"/>
        </w:rPr>
        <w:t>四、财</w:t>
      </w:r>
      <w:r>
        <w:rPr>
          <w:rStyle w:val="26"/>
          <w:rFonts w:hint="eastAsia" w:ascii="黑体" w:hAnsi="黑体" w:eastAsia="黑体"/>
          <w:b w:val="0"/>
        </w:rPr>
        <w:t>政拨款收入支出决算总体情况说明</w:t>
      </w:r>
      <w:bookmarkEnd w:id="30"/>
      <w:bookmarkEnd w:id="31"/>
    </w:p>
    <w:p>
      <w:pPr>
        <w:spacing w:line="600" w:lineRule="exact"/>
        <w:ind w:firstLine="640" w:firstLineChars="200"/>
        <w:rPr>
          <w:rFonts w:ascii="仿宋" w:hAnsi="仿宋" w:eastAsia="仿宋" w:cs="仿宋_GB2312"/>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8年财政拨款收入总计134.10万元。与</w:t>
      </w:r>
      <w:r>
        <w:rPr>
          <w:rFonts w:ascii="仿宋" w:hAnsi="仿宋" w:eastAsia="仿宋"/>
          <w:color w:val="000000"/>
          <w:sz w:val="32"/>
          <w:szCs w:val="32"/>
        </w:rPr>
        <w:t>201</w:t>
      </w:r>
      <w:r>
        <w:rPr>
          <w:rFonts w:hint="eastAsia" w:ascii="仿宋" w:hAnsi="仿宋" w:eastAsia="仿宋"/>
          <w:color w:val="000000"/>
          <w:sz w:val="32"/>
          <w:szCs w:val="32"/>
        </w:rPr>
        <w:t>7年相比，财政拨款收入总计增加21.39万元，增长18.98</w:t>
      </w:r>
      <w:r>
        <w:rPr>
          <w:rFonts w:ascii="仿宋" w:hAnsi="仿宋" w:eastAsia="仿宋"/>
          <w:color w:val="000000"/>
          <w:sz w:val="32"/>
          <w:szCs w:val="32"/>
        </w:rPr>
        <w:t>%</w:t>
      </w:r>
      <w:r>
        <w:rPr>
          <w:rFonts w:hint="eastAsia" w:ascii="仿宋" w:hAnsi="仿宋" w:eastAsia="仿宋"/>
          <w:color w:val="000000"/>
          <w:sz w:val="32"/>
          <w:szCs w:val="32"/>
        </w:rPr>
        <w:t>。主要变动原因是</w:t>
      </w:r>
      <w:r>
        <w:rPr>
          <w:rFonts w:hint="eastAsia" w:ascii="仿宋" w:hAnsi="仿宋" w:eastAsia="仿宋" w:cs="仿宋_GB2312"/>
          <w:color w:val="000000"/>
          <w:sz w:val="32"/>
          <w:szCs w:val="32"/>
        </w:rPr>
        <w:t>工资和“四险一金”增加和新建了业务系统。</w:t>
      </w:r>
    </w:p>
    <w:p>
      <w:pPr>
        <w:spacing w:line="600" w:lineRule="exact"/>
        <w:ind w:firstLine="640" w:firstLineChars="200"/>
        <w:rPr>
          <w:rFonts w:ascii="仿宋" w:hAnsi="仿宋" w:eastAsia="仿宋"/>
          <w:color w:val="000000" w:themeColor="text1"/>
          <w:sz w:val="32"/>
          <w:szCs w:val="32"/>
        </w:rPr>
      </w:pPr>
      <w:r>
        <w:rPr>
          <w:rFonts w:ascii="仿宋" w:hAnsi="仿宋" w:eastAsia="仿宋"/>
          <w:color w:val="000000"/>
          <w:sz w:val="32"/>
          <w:szCs w:val="32"/>
        </w:rPr>
        <w:t>201</w:t>
      </w:r>
      <w:r>
        <w:rPr>
          <w:rFonts w:hint="eastAsia" w:ascii="仿宋" w:hAnsi="仿宋" w:eastAsia="仿宋"/>
          <w:color w:val="000000"/>
          <w:sz w:val="32"/>
          <w:szCs w:val="32"/>
        </w:rPr>
        <w:t>8年财政拨款支出总计148.85万元，与</w:t>
      </w:r>
      <w:r>
        <w:rPr>
          <w:rFonts w:ascii="仿宋" w:hAnsi="仿宋" w:eastAsia="仿宋"/>
          <w:color w:val="000000"/>
          <w:sz w:val="32"/>
          <w:szCs w:val="32"/>
        </w:rPr>
        <w:t>201</w:t>
      </w:r>
      <w:r>
        <w:rPr>
          <w:rFonts w:hint="eastAsia" w:ascii="仿宋" w:hAnsi="仿宋" w:eastAsia="仿宋"/>
          <w:color w:val="000000"/>
          <w:sz w:val="32"/>
          <w:szCs w:val="32"/>
        </w:rPr>
        <w:t>7年相比，财政拨款支出总计增加32.89万元，增加28.36</w:t>
      </w:r>
      <w:r>
        <w:rPr>
          <w:rFonts w:ascii="仿宋" w:hAnsi="仿宋" w:eastAsia="仿宋"/>
          <w:color w:val="000000"/>
          <w:sz w:val="32"/>
          <w:szCs w:val="32"/>
        </w:rPr>
        <w:t>%</w:t>
      </w:r>
      <w:r>
        <w:rPr>
          <w:rFonts w:hint="eastAsia" w:ascii="仿宋" w:hAnsi="仿宋" w:eastAsia="仿宋"/>
          <w:color w:val="000000"/>
          <w:sz w:val="32"/>
          <w:szCs w:val="32"/>
        </w:rPr>
        <w:t>。主要变动原因是工资增加</w:t>
      </w:r>
      <w:r>
        <w:rPr>
          <w:rFonts w:hint="eastAsia" w:ascii="仿宋" w:hAnsi="仿宋" w:eastAsia="仿宋" w:cs="仿宋_GB2312"/>
          <w:color w:val="000000"/>
          <w:sz w:val="32"/>
          <w:szCs w:val="32"/>
        </w:rPr>
        <w:t>和新建了业务系统</w:t>
      </w:r>
      <w:r>
        <w:rPr>
          <w:rFonts w:hint="eastAsia" w:ascii="仿宋" w:hAnsi="仿宋" w:eastAsia="仿宋"/>
          <w:color w:val="000000" w:themeColor="text1"/>
          <w:sz w:val="32"/>
          <w:szCs w:val="32"/>
        </w:rPr>
        <w:t>。</w:t>
      </w:r>
    </w:p>
    <w:p>
      <w:pPr>
        <w:spacing w:line="600" w:lineRule="exact"/>
        <w:ind w:firstLine="640" w:firstLineChars="200"/>
        <w:outlineLvl w:val="1"/>
        <w:rPr>
          <w:rStyle w:val="26"/>
          <w:rFonts w:ascii="黑体" w:hAnsi="黑体" w:eastAsia="黑体"/>
          <w:b w:val="0"/>
        </w:rPr>
      </w:pPr>
      <w:bookmarkStart w:id="32" w:name="_Toc15377209"/>
      <w:bookmarkStart w:id="33" w:name="_Toc15396607"/>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26"/>
          <w:rFonts w:hint="eastAsia" w:ascii="黑体" w:hAnsi="黑体" w:eastAsia="黑体"/>
          <w:b w:val="0"/>
        </w:rPr>
        <w:t>般公共预算财政拨款支出决算情况说明</w:t>
      </w:r>
      <w:bookmarkEnd w:id="32"/>
      <w:bookmarkEnd w:id="33"/>
    </w:p>
    <w:p>
      <w:pPr>
        <w:spacing w:line="600" w:lineRule="exact"/>
        <w:ind w:firstLine="643" w:firstLineChars="200"/>
        <w:outlineLvl w:val="2"/>
        <w:rPr>
          <w:rFonts w:ascii="仿宋" w:hAnsi="仿宋" w:eastAsia="仿宋"/>
          <w:b/>
          <w:color w:val="000000"/>
          <w:sz w:val="32"/>
          <w:szCs w:val="32"/>
        </w:rPr>
      </w:pPr>
      <w:bookmarkStart w:id="34" w:name="_Toc15377210"/>
      <w:r>
        <w:rPr>
          <w:rFonts w:hint="eastAsia" w:ascii="仿宋" w:hAnsi="仿宋" w:eastAsia="仿宋"/>
          <w:b/>
          <w:color w:val="000000"/>
          <w:sz w:val="32"/>
          <w:szCs w:val="32"/>
        </w:rPr>
        <w:t>（一）一般公共预算财政拨款支出决算总体情况</w:t>
      </w:r>
      <w:bookmarkEnd w:id="34"/>
    </w:p>
    <w:p>
      <w:pPr>
        <w:spacing w:line="600" w:lineRule="exact"/>
        <w:ind w:firstLine="640" w:firstLineChars="200"/>
        <w:rPr>
          <w:rFonts w:ascii="仿宋" w:hAnsi="仿宋" w:eastAsia="仿宋"/>
          <w:color w:val="000000" w:themeColor="text1"/>
          <w:sz w:val="32"/>
          <w:szCs w:val="32"/>
        </w:rPr>
      </w:pPr>
      <w:r>
        <w:rPr>
          <w:rFonts w:ascii="仿宋" w:hAnsi="仿宋" w:eastAsia="仿宋"/>
          <w:color w:val="000000"/>
          <w:sz w:val="32"/>
          <w:szCs w:val="32"/>
        </w:rPr>
        <w:t>201</w:t>
      </w:r>
      <w:r>
        <w:rPr>
          <w:rFonts w:hint="eastAsia" w:ascii="仿宋" w:hAnsi="仿宋" w:eastAsia="仿宋"/>
          <w:color w:val="000000"/>
          <w:sz w:val="32"/>
          <w:szCs w:val="32"/>
        </w:rPr>
        <w:t xml:space="preserve">8年一般公共预算财政拨款支出148.76万元，占本年支出合计的99.94 </w:t>
      </w:r>
      <w:r>
        <w:rPr>
          <w:rFonts w:ascii="仿宋" w:hAnsi="仿宋" w:eastAsia="仿宋"/>
          <w:color w:val="000000"/>
          <w:sz w:val="32"/>
          <w:szCs w:val="32"/>
        </w:rPr>
        <w:t>%</w:t>
      </w:r>
      <w:r>
        <w:rPr>
          <w:rFonts w:hint="eastAsia" w:ascii="仿宋" w:hAnsi="仿宋" w:eastAsia="仿宋"/>
          <w:color w:val="000000"/>
          <w:sz w:val="32"/>
          <w:szCs w:val="32"/>
        </w:rPr>
        <w:t>。与</w:t>
      </w:r>
      <w:r>
        <w:rPr>
          <w:rFonts w:ascii="仿宋" w:hAnsi="仿宋" w:eastAsia="仿宋"/>
          <w:color w:val="000000"/>
          <w:sz w:val="32"/>
          <w:szCs w:val="32"/>
        </w:rPr>
        <w:t>201</w:t>
      </w:r>
      <w:r>
        <w:rPr>
          <w:rFonts w:hint="eastAsia" w:ascii="仿宋" w:hAnsi="仿宋" w:eastAsia="仿宋"/>
          <w:color w:val="000000"/>
          <w:sz w:val="32"/>
          <w:szCs w:val="32"/>
        </w:rPr>
        <w:t xml:space="preserve">7年相比，一般公共预算财政拨款增加了32.8万元，增加了28.29 </w:t>
      </w:r>
      <w:r>
        <w:rPr>
          <w:rFonts w:ascii="仿宋" w:hAnsi="仿宋" w:eastAsia="仿宋"/>
          <w:color w:val="000000"/>
          <w:sz w:val="32"/>
          <w:szCs w:val="32"/>
        </w:rPr>
        <w:t>%</w:t>
      </w:r>
      <w:r>
        <w:rPr>
          <w:rFonts w:hint="eastAsia" w:ascii="仿宋" w:hAnsi="仿宋" w:eastAsia="仿宋"/>
          <w:color w:val="000000"/>
          <w:sz w:val="32"/>
          <w:szCs w:val="32"/>
        </w:rPr>
        <w:t>。主要变动原因是工资增加。</w:t>
      </w:r>
    </w:p>
    <w:p>
      <w:pPr>
        <w:spacing w:line="600" w:lineRule="exact"/>
        <w:ind w:firstLine="643" w:firstLineChars="200"/>
        <w:outlineLvl w:val="2"/>
        <w:rPr>
          <w:rFonts w:ascii="仿宋" w:hAnsi="仿宋" w:eastAsia="仿宋"/>
          <w:b/>
          <w:color w:val="000000"/>
          <w:sz w:val="32"/>
          <w:szCs w:val="32"/>
        </w:rPr>
      </w:pPr>
      <w:bookmarkStart w:id="35" w:name="_Toc15377211"/>
      <w:r>
        <w:rPr>
          <w:rFonts w:hint="eastAsia" w:ascii="仿宋" w:hAnsi="仿宋" w:eastAsia="仿宋"/>
          <w:b/>
          <w:color w:val="000000"/>
          <w:sz w:val="32"/>
          <w:szCs w:val="32"/>
        </w:rPr>
        <w:t>（二）一般公共预算财政拨款支出决算结构情况</w:t>
      </w:r>
      <w:bookmarkEnd w:id="35"/>
    </w:p>
    <w:p>
      <w:pPr>
        <w:spacing w:line="600" w:lineRule="exact"/>
        <w:ind w:firstLine="640"/>
        <w:rPr>
          <w:rFonts w:ascii="仿宋" w:hAnsi="仿宋" w:eastAsia="仿宋"/>
          <w:color w:val="000000" w:themeColor="text1"/>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w:t>
      </w:r>
      <w:r>
        <w:rPr>
          <w:rFonts w:hint="eastAsia" w:ascii="仿宋" w:hAnsi="仿宋" w:eastAsia="仿宋"/>
          <w:color w:val="000000" w:themeColor="text1"/>
          <w:sz w:val="32"/>
          <w:szCs w:val="32"/>
        </w:rPr>
        <w:t>政拨款支出148.76万元，主要用于以下方面</w:t>
      </w:r>
      <w:r>
        <w:rPr>
          <w:rFonts w:ascii="仿宋" w:hAnsi="仿宋" w:eastAsia="仿宋"/>
          <w:color w:val="000000" w:themeColor="text1"/>
          <w:sz w:val="32"/>
          <w:szCs w:val="32"/>
        </w:rPr>
        <w:t>:</w:t>
      </w:r>
    </w:p>
    <w:p>
      <w:pPr>
        <w:spacing w:line="600" w:lineRule="exact"/>
        <w:ind w:firstLine="640"/>
        <w:rPr>
          <w:rFonts w:ascii="仿宋" w:hAnsi="仿宋" w:eastAsia="仿宋"/>
          <w:color w:val="000000" w:themeColor="text1"/>
          <w:sz w:val="32"/>
          <w:szCs w:val="32"/>
        </w:rPr>
      </w:pPr>
      <w:r>
        <w:rPr>
          <w:rFonts w:hint="eastAsia" w:ascii="仿宋" w:hAnsi="仿宋" w:eastAsia="仿宋"/>
          <w:b/>
          <w:color w:val="000000" w:themeColor="text1"/>
          <w:sz w:val="32"/>
          <w:szCs w:val="32"/>
        </w:rPr>
        <w:t>一般公共服务（类）</w:t>
      </w:r>
      <w:r>
        <w:rPr>
          <w:rFonts w:hint="eastAsia" w:ascii="仿宋" w:hAnsi="仿宋" w:eastAsia="仿宋"/>
          <w:color w:val="000000" w:themeColor="text1"/>
          <w:sz w:val="32"/>
          <w:szCs w:val="32"/>
        </w:rPr>
        <w:t>支出117.71万元，占79.13</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p>
    <w:p>
      <w:pPr>
        <w:spacing w:line="600" w:lineRule="exact"/>
        <w:ind w:firstLine="640"/>
        <w:rPr>
          <w:rFonts w:ascii="仿宋" w:hAnsi="仿宋" w:eastAsia="仿宋"/>
          <w:color w:val="000000" w:themeColor="text1"/>
          <w:sz w:val="32"/>
          <w:szCs w:val="32"/>
        </w:rPr>
      </w:pPr>
      <w:r>
        <w:rPr>
          <w:rFonts w:hint="eastAsia" w:ascii="仿宋" w:hAnsi="仿宋" w:eastAsia="仿宋"/>
          <w:b/>
          <w:color w:val="000000" w:themeColor="text1"/>
          <w:sz w:val="32"/>
          <w:szCs w:val="32"/>
        </w:rPr>
        <w:t>社会保障和就业（类）</w:t>
      </w:r>
      <w:r>
        <w:rPr>
          <w:rFonts w:hint="eastAsia" w:ascii="仿宋" w:hAnsi="仿宋" w:eastAsia="仿宋"/>
          <w:color w:val="000000" w:themeColor="text1"/>
          <w:sz w:val="32"/>
          <w:szCs w:val="32"/>
        </w:rPr>
        <w:t>支出17.31万元，占11.63</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p>
    <w:p>
      <w:pPr>
        <w:spacing w:line="600" w:lineRule="exact"/>
        <w:ind w:firstLine="640"/>
        <w:rPr>
          <w:rFonts w:ascii="仿宋" w:hAnsi="仿宋" w:eastAsia="仿宋"/>
          <w:color w:val="000000" w:themeColor="text1"/>
          <w:sz w:val="32"/>
          <w:szCs w:val="32"/>
        </w:rPr>
      </w:pPr>
      <w:r>
        <w:rPr>
          <w:rFonts w:hint="eastAsia" w:ascii="仿宋" w:hAnsi="仿宋" w:eastAsia="仿宋"/>
          <w:b/>
          <w:color w:val="000000" w:themeColor="text1"/>
          <w:sz w:val="32"/>
          <w:szCs w:val="32"/>
        </w:rPr>
        <w:t>医疗卫生</w:t>
      </w:r>
      <w:r>
        <w:rPr>
          <w:rFonts w:hint="eastAsia" w:ascii="仿宋" w:hAnsi="仿宋" w:eastAsia="仿宋"/>
          <w:color w:val="000000" w:themeColor="text1"/>
          <w:sz w:val="32"/>
          <w:szCs w:val="32"/>
        </w:rPr>
        <w:t>支出5.05万元，占3.4</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p>
    <w:p>
      <w:pPr>
        <w:spacing w:line="600" w:lineRule="exact"/>
        <w:ind w:firstLine="640"/>
        <w:rPr>
          <w:rFonts w:ascii="仿宋" w:hAnsi="仿宋" w:eastAsia="仿宋"/>
          <w:color w:val="000000" w:themeColor="text1"/>
          <w:sz w:val="32"/>
          <w:szCs w:val="32"/>
        </w:rPr>
      </w:pPr>
      <w:r>
        <w:rPr>
          <w:rFonts w:hint="eastAsia" w:ascii="仿宋" w:hAnsi="仿宋" w:eastAsia="仿宋"/>
          <w:b/>
          <w:color w:val="000000" w:themeColor="text1"/>
          <w:sz w:val="32"/>
          <w:szCs w:val="32"/>
        </w:rPr>
        <w:t>住房保障</w:t>
      </w:r>
      <w:r>
        <w:rPr>
          <w:rFonts w:hint="eastAsia" w:ascii="仿宋" w:hAnsi="仿宋" w:eastAsia="仿宋"/>
          <w:color w:val="000000" w:themeColor="text1"/>
          <w:sz w:val="32"/>
          <w:szCs w:val="32"/>
        </w:rPr>
        <w:t>支出8.69万元，占5.8</w:t>
      </w:r>
      <w:r>
        <w:rPr>
          <w:rFonts w:ascii="仿宋" w:hAnsi="仿宋" w:eastAsia="仿宋"/>
          <w:color w:val="000000" w:themeColor="text1"/>
          <w:sz w:val="32"/>
          <w:szCs w:val="32"/>
        </w:rPr>
        <w:t>%</w:t>
      </w:r>
      <w:r>
        <w:rPr>
          <w:rFonts w:hint="eastAsia" w:ascii="仿宋" w:hAnsi="仿宋" w:eastAsia="仿宋"/>
          <w:color w:val="000000" w:themeColor="text1"/>
          <w:sz w:val="32"/>
          <w:szCs w:val="32"/>
        </w:rPr>
        <w:t>；</w:t>
      </w:r>
    </w:p>
    <w:p>
      <w:pPr>
        <w:spacing w:line="600" w:lineRule="exact"/>
        <w:ind w:firstLine="643" w:firstLineChars="200"/>
        <w:outlineLvl w:val="2"/>
        <w:rPr>
          <w:rFonts w:ascii="仿宋" w:hAnsi="仿宋" w:eastAsia="仿宋"/>
          <w:b/>
          <w:color w:val="000000"/>
          <w:sz w:val="32"/>
          <w:szCs w:val="32"/>
        </w:rPr>
      </w:pPr>
      <w:bookmarkStart w:id="36" w:name="_Toc15377212"/>
      <w:r>
        <w:rPr>
          <w:rFonts w:hint="eastAsia" w:ascii="仿宋" w:hAnsi="仿宋" w:eastAsia="仿宋"/>
          <w:b/>
          <w:color w:val="000000"/>
          <w:sz w:val="32"/>
          <w:szCs w:val="32"/>
        </w:rPr>
        <w:t>（三）一般公共预算财政拨款支出决算具体情况</w:t>
      </w:r>
      <w:bookmarkEnd w:id="36"/>
    </w:p>
    <w:p>
      <w:pPr>
        <w:spacing w:line="540" w:lineRule="exact"/>
        <w:ind w:firstLine="643" w:firstLineChars="200"/>
        <w:rPr>
          <w:rStyle w:val="15"/>
          <w:rFonts w:ascii="仿宋" w:hAnsi="仿宋" w:eastAsia="仿宋"/>
          <w:bCs/>
          <w:color w:val="000000"/>
          <w:sz w:val="32"/>
          <w:szCs w:val="32"/>
        </w:rPr>
      </w:pPr>
      <w:bookmarkStart w:id="37" w:name="_Toc15377444"/>
      <w:bookmarkStart w:id="38" w:name="_Toc15377213"/>
      <w:bookmarkStart w:id="39" w:name="_Toc15378460"/>
      <w:r>
        <w:rPr>
          <w:rFonts w:hint="eastAsia" w:ascii="仿宋" w:hAnsi="仿宋" w:eastAsia="仿宋"/>
          <w:b/>
          <w:color w:val="000000" w:themeColor="text1"/>
          <w:sz w:val="32"/>
          <w:szCs w:val="32"/>
        </w:rPr>
        <w:t>2018年一般公共预算支出决算数为148.76万元</w:t>
      </w:r>
      <w:r>
        <w:rPr>
          <w:rFonts w:hint="eastAsia" w:ascii="仿宋" w:hAnsi="仿宋" w:eastAsia="仿宋"/>
          <w:color w:val="000000" w:themeColor="text1"/>
          <w:sz w:val="32"/>
          <w:szCs w:val="32"/>
        </w:rPr>
        <w:t>，</w:t>
      </w:r>
      <w:r>
        <w:rPr>
          <w:rStyle w:val="15"/>
          <w:rFonts w:hint="eastAsia" w:ascii="仿宋" w:hAnsi="仿宋" w:eastAsia="仿宋"/>
          <w:bCs/>
          <w:color w:val="000000" w:themeColor="text1"/>
          <w:sz w:val="32"/>
          <w:szCs w:val="32"/>
        </w:rPr>
        <w:t>完成</w:t>
      </w:r>
      <w:r>
        <w:rPr>
          <w:rStyle w:val="15"/>
          <w:rFonts w:hint="eastAsia" w:ascii="仿宋" w:hAnsi="仿宋" w:eastAsia="仿宋"/>
          <w:bCs/>
          <w:color w:val="000000"/>
          <w:sz w:val="32"/>
          <w:szCs w:val="32"/>
        </w:rPr>
        <w:t>预算100</w:t>
      </w:r>
      <w:r>
        <w:rPr>
          <w:rStyle w:val="15"/>
          <w:rFonts w:ascii="仿宋" w:hAnsi="仿宋" w:eastAsia="仿宋"/>
          <w:bCs/>
          <w:color w:val="000000"/>
          <w:sz w:val="32"/>
          <w:szCs w:val="32"/>
        </w:rPr>
        <w:t>%</w:t>
      </w:r>
      <w:r>
        <w:rPr>
          <w:rStyle w:val="15"/>
          <w:rFonts w:hint="eastAsia" w:ascii="仿宋" w:hAnsi="仿宋" w:eastAsia="仿宋"/>
          <w:bCs/>
          <w:color w:val="000000"/>
          <w:sz w:val="32"/>
          <w:szCs w:val="32"/>
        </w:rPr>
        <w:t>。其中：</w:t>
      </w:r>
      <w:bookmarkEnd w:id="37"/>
      <w:bookmarkEnd w:id="38"/>
      <w:bookmarkEnd w:id="39"/>
    </w:p>
    <w:p>
      <w:pPr>
        <w:spacing w:line="600" w:lineRule="exact"/>
        <w:ind w:firstLine="640" w:firstLineChars="200"/>
        <w:rPr>
          <w:rFonts w:ascii="仿宋" w:hAnsi="仿宋" w:eastAsia="仿宋"/>
          <w:b/>
          <w:color w:val="000000"/>
          <w:sz w:val="32"/>
          <w:szCs w:val="32"/>
        </w:rPr>
      </w:pPr>
      <w:r>
        <w:rPr>
          <w:rFonts w:hint="eastAsia" w:ascii="仿宋" w:hAnsi="仿宋" w:eastAsia="仿宋" w:cs="仿宋_GB2312"/>
          <w:bCs/>
          <w:sz w:val="32"/>
          <w:szCs w:val="32"/>
        </w:rPr>
        <w:t>2010307-法制建设支出0.41万元，</w:t>
      </w:r>
      <w:r>
        <w:rPr>
          <w:rStyle w:val="15"/>
          <w:rFonts w:hint="eastAsia" w:ascii="仿宋" w:hAnsi="仿宋" w:eastAsia="仿宋"/>
          <w:b w:val="0"/>
          <w:bCs/>
          <w:color w:val="000000"/>
          <w:sz w:val="32"/>
          <w:szCs w:val="32"/>
        </w:rPr>
        <w:t>完成预算100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，决算数与预算数持平。</w:t>
      </w:r>
    </w:p>
    <w:p>
      <w:pPr>
        <w:spacing w:line="540" w:lineRule="exact"/>
        <w:ind w:firstLine="640" w:firstLineChars="200"/>
        <w:rPr>
          <w:rFonts w:ascii="仿宋" w:hAnsi="仿宋" w:eastAsia="仿宋" w:cs="仿宋_GB2312"/>
          <w:bCs/>
          <w:sz w:val="32"/>
          <w:szCs w:val="32"/>
        </w:rPr>
      </w:pPr>
      <w:r>
        <w:rPr>
          <w:rFonts w:hint="eastAsia" w:ascii="仿宋" w:hAnsi="仿宋" w:eastAsia="仿宋" w:cs="仿宋_GB2312"/>
          <w:bCs/>
          <w:sz w:val="32"/>
          <w:szCs w:val="32"/>
        </w:rPr>
        <w:t>2013601-行政运行支出115.81万元，</w:t>
      </w:r>
      <w:r>
        <w:rPr>
          <w:rStyle w:val="15"/>
          <w:rFonts w:hint="eastAsia" w:ascii="仿宋" w:hAnsi="仿宋" w:eastAsia="仿宋"/>
          <w:b w:val="0"/>
          <w:bCs/>
          <w:color w:val="000000"/>
          <w:sz w:val="32"/>
          <w:szCs w:val="32"/>
        </w:rPr>
        <w:t xml:space="preserve">完成预算100 </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，决算数与预算数持平。</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2013602 一般行政管理事务支出</w:t>
      </w:r>
      <w:r>
        <w:rPr>
          <w:rFonts w:hint="eastAsia" w:ascii="仿宋" w:hAnsi="仿宋" w:eastAsia="仿宋" w:cs="仿宋_GB2312"/>
          <w:bCs/>
          <w:sz w:val="32"/>
          <w:szCs w:val="32"/>
        </w:rPr>
        <w:tab/>
      </w:r>
      <w:r>
        <w:rPr>
          <w:rFonts w:hint="eastAsia" w:ascii="仿宋" w:hAnsi="仿宋" w:eastAsia="仿宋" w:cs="仿宋_GB2312"/>
          <w:bCs/>
          <w:sz w:val="32"/>
          <w:szCs w:val="32"/>
        </w:rPr>
        <w:t>1.5万元，</w:t>
      </w:r>
      <w:r>
        <w:rPr>
          <w:rStyle w:val="15"/>
          <w:rFonts w:hint="eastAsia" w:ascii="仿宋" w:hAnsi="仿宋" w:eastAsia="仿宋"/>
          <w:b w:val="0"/>
          <w:bCs/>
          <w:color w:val="000000"/>
          <w:sz w:val="32"/>
          <w:szCs w:val="32"/>
        </w:rPr>
        <w:t>完成预算100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，决算数与预算数</w:t>
      </w:r>
      <w:r>
        <w:rPr>
          <w:rFonts w:hint="eastAsia" w:ascii="仿宋" w:hAnsi="仿宋" w:eastAsia="仿宋" w:cs="仿宋_GB2312"/>
          <w:bCs/>
          <w:sz w:val="32"/>
          <w:szCs w:val="32"/>
        </w:rPr>
        <w:t>持平。</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2080505-机关事业单位基本养老保险缴费支出12.36万元，</w:t>
      </w:r>
      <w:r>
        <w:rPr>
          <w:rStyle w:val="15"/>
          <w:rFonts w:hint="eastAsia" w:ascii="仿宋" w:hAnsi="仿宋" w:eastAsia="仿宋"/>
          <w:b w:val="0"/>
          <w:bCs/>
          <w:color w:val="000000"/>
          <w:sz w:val="32"/>
          <w:szCs w:val="32"/>
        </w:rPr>
        <w:t>完成预算100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，决算数与预算数</w:t>
      </w:r>
      <w:r>
        <w:rPr>
          <w:rFonts w:hint="eastAsia" w:ascii="仿宋" w:hAnsi="仿宋" w:eastAsia="仿宋" w:cs="仿宋_GB2312"/>
          <w:bCs/>
          <w:sz w:val="32"/>
          <w:szCs w:val="32"/>
        </w:rPr>
        <w:t>持平。</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2080506-机关事业单位职业年金缴费支出4.94万元，</w:t>
      </w:r>
      <w:r>
        <w:rPr>
          <w:rStyle w:val="15"/>
          <w:rFonts w:hint="eastAsia" w:ascii="仿宋" w:hAnsi="仿宋" w:eastAsia="仿宋"/>
          <w:b w:val="0"/>
          <w:bCs/>
          <w:color w:val="000000"/>
          <w:sz w:val="32"/>
          <w:szCs w:val="32"/>
        </w:rPr>
        <w:t>完成预算100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，决算数与预算数</w:t>
      </w:r>
      <w:r>
        <w:rPr>
          <w:rFonts w:hint="eastAsia" w:ascii="仿宋" w:hAnsi="仿宋" w:eastAsia="仿宋" w:cs="仿宋_GB2312"/>
          <w:bCs/>
          <w:sz w:val="32"/>
          <w:szCs w:val="32"/>
        </w:rPr>
        <w:t>持平。</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2101101-行政单位医疗支出4.08万元，</w:t>
      </w:r>
      <w:r>
        <w:rPr>
          <w:rStyle w:val="15"/>
          <w:rFonts w:hint="eastAsia" w:ascii="仿宋" w:hAnsi="仿宋" w:eastAsia="仿宋"/>
          <w:b w:val="0"/>
          <w:bCs/>
          <w:color w:val="000000"/>
          <w:sz w:val="32"/>
          <w:szCs w:val="32"/>
        </w:rPr>
        <w:t>完成预算100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，决算数与预算数</w:t>
      </w:r>
      <w:r>
        <w:rPr>
          <w:rFonts w:hint="eastAsia" w:ascii="仿宋" w:hAnsi="仿宋" w:eastAsia="仿宋" w:cs="仿宋_GB2312"/>
          <w:bCs/>
          <w:sz w:val="32"/>
          <w:szCs w:val="32"/>
        </w:rPr>
        <w:t>持平。</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2101103-公务员医疗补助支出</w:t>
      </w:r>
      <w:r>
        <w:rPr>
          <w:rFonts w:hint="eastAsia" w:ascii="仿宋" w:hAnsi="仿宋" w:eastAsia="仿宋" w:cs="仿宋_GB2312"/>
          <w:bCs/>
          <w:sz w:val="32"/>
          <w:szCs w:val="32"/>
        </w:rPr>
        <w:tab/>
      </w:r>
      <w:r>
        <w:rPr>
          <w:rFonts w:hint="eastAsia" w:ascii="仿宋" w:hAnsi="仿宋" w:eastAsia="仿宋" w:cs="仿宋_GB2312"/>
          <w:bCs/>
          <w:sz w:val="32"/>
          <w:szCs w:val="32"/>
        </w:rPr>
        <w:t>0.96万元，</w:t>
      </w:r>
      <w:r>
        <w:rPr>
          <w:rStyle w:val="15"/>
          <w:rFonts w:hint="eastAsia" w:ascii="仿宋" w:hAnsi="仿宋" w:eastAsia="仿宋"/>
          <w:b w:val="0"/>
          <w:bCs/>
          <w:color w:val="000000"/>
          <w:sz w:val="32"/>
          <w:szCs w:val="32"/>
        </w:rPr>
        <w:t>完成预算100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，决算数与预算数</w:t>
      </w:r>
      <w:r>
        <w:rPr>
          <w:rFonts w:hint="eastAsia" w:ascii="仿宋" w:hAnsi="仿宋" w:eastAsia="仿宋" w:cs="仿宋_GB2312"/>
          <w:bCs/>
          <w:sz w:val="32"/>
          <w:szCs w:val="32"/>
        </w:rPr>
        <w:t>持平。</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2210201-住房公积金</w:t>
      </w:r>
      <w:r>
        <w:rPr>
          <w:rFonts w:hint="eastAsia" w:ascii="仿宋" w:hAnsi="仿宋" w:eastAsia="仿宋" w:cs="仿宋_GB2312"/>
          <w:bCs/>
          <w:sz w:val="32"/>
          <w:szCs w:val="32"/>
        </w:rPr>
        <w:tab/>
      </w:r>
      <w:r>
        <w:rPr>
          <w:rFonts w:hint="eastAsia" w:ascii="仿宋" w:hAnsi="仿宋" w:eastAsia="仿宋" w:cs="仿宋_GB2312"/>
          <w:bCs/>
          <w:sz w:val="32"/>
          <w:szCs w:val="32"/>
        </w:rPr>
        <w:t>8.7万元，</w:t>
      </w:r>
      <w:r>
        <w:rPr>
          <w:rStyle w:val="15"/>
          <w:rFonts w:hint="eastAsia" w:ascii="仿宋" w:hAnsi="仿宋" w:eastAsia="仿宋"/>
          <w:b w:val="0"/>
          <w:bCs/>
          <w:color w:val="000000"/>
          <w:sz w:val="32"/>
          <w:szCs w:val="32"/>
        </w:rPr>
        <w:t>完成预算100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，决算数与预算数</w:t>
      </w:r>
      <w:r>
        <w:rPr>
          <w:rFonts w:hint="eastAsia" w:ascii="仿宋" w:hAnsi="仿宋" w:eastAsia="仿宋" w:cs="仿宋_GB2312"/>
          <w:bCs/>
          <w:sz w:val="32"/>
          <w:szCs w:val="32"/>
        </w:rPr>
        <w:t>持平。</w:t>
      </w:r>
    </w:p>
    <w:p>
      <w:pPr>
        <w:tabs>
          <w:tab w:val="right" w:pos="8306"/>
        </w:tabs>
        <w:spacing w:line="600" w:lineRule="exact"/>
        <w:ind w:firstLine="640"/>
        <w:outlineLvl w:val="1"/>
        <w:rPr>
          <w:rStyle w:val="26"/>
        </w:rPr>
      </w:pPr>
      <w:bookmarkStart w:id="40" w:name="_Toc15396608"/>
      <w:bookmarkStart w:id="41" w:name="_Toc15377214"/>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6"/>
          <w:rFonts w:hint="eastAsia" w:ascii="黑体" w:hAnsi="黑体" w:eastAsia="黑体"/>
          <w:b w:val="0"/>
        </w:rPr>
        <w:t>般公共预算财政拨款基本支出决算情况说明</w:t>
      </w:r>
      <w:bookmarkEnd w:id="40"/>
      <w:bookmarkEnd w:id="41"/>
      <w:r>
        <w:rPr>
          <w:rStyle w:val="26"/>
          <w:rFonts w:ascii="黑体" w:hAnsi="黑体" w:eastAsia="黑体"/>
          <w:b w:val="0"/>
        </w:rPr>
        <w:tab/>
      </w:r>
    </w:p>
    <w:p>
      <w:pPr>
        <w:spacing w:line="600" w:lineRule="exact"/>
        <w:ind w:firstLine="645"/>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8年一般公共预算财政拨款基本支出146.86万元，其中：</w:t>
      </w:r>
    </w:p>
    <w:p>
      <w:pPr>
        <w:spacing w:line="600" w:lineRule="exact"/>
        <w:ind w:firstLine="645"/>
        <w:rPr>
          <w:rFonts w:ascii="仿宋" w:hAnsi="仿宋" w:eastAsia="仿宋"/>
          <w:color w:val="000000"/>
          <w:sz w:val="32"/>
          <w:szCs w:val="32"/>
        </w:rPr>
      </w:pPr>
      <w:r>
        <w:rPr>
          <w:rFonts w:hint="eastAsia" w:ascii="仿宋" w:hAnsi="仿宋" w:eastAsia="仿宋"/>
          <w:color w:val="000000"/>
          <w:sz w:val="32"/>
          <w:szCs w:val="32"/>
        </w:rPr>
        <w:t>人员经费117.42万元，主要包括：基本工资22.25万元、津贴补贴47.12万元、奖金1.98万元、机关事业单位基本养老保险缴费12.36万元、职业年金缴费4.94万元、其他社会保障缴费1.32万元、医疗费0.38万元、奖励金0.02万元、住房公积金8.7万元、公务员医保0.96等。</w:t>
      </w:r>
      <w:r>
        <w:rPr>
          <w:rFonts w:ascii="仿宋" w:hAnsi="仿宋" w:eastAsia="仿宋"/>
          <w:color w:val="000000"/>
          <w:sz w:val="32"/>
          <w:szCs w:val="32"/>
        </w:rPr>
        <w:br w:type="textWrapping"/>
      </w:r>
      <w:r>
        <w:rPr>
          <w:rFonts w:hint="eastAsia" w:ascii="仿宋" w:hAnsi="仿宋" w:eastAsia="仿宋"/>
          <w:color w:val="000000"/>
          <w:sz w:val="32"/>
          <w:szCs w:val="32"/>
        </w:rPr>
        <w:t>　　公用经费42.73万元，主要包括：办公费7.34万元、邮电费8.37万元、取暖费0.26万元、差旅费7.67万元、维修维护费2.16万元、会议费0.37万元、公务接待费0.21万元、其他交通费3.06万元、办公设备购置13.29万元等。</w:t>
      </w:r>
    </w:p>
    <w:p>
      <w:pPr>
        <w:spacing w:line="600" w:lineRule="exact"/>
        <w:ind w:firstLine="640"/>
        <w:outlineLvl w:val="1"/>
        <w:rPr>
          <w:rStyle w:val="26"/>
          <w:rFonts w:ascii="黑体" w:hAnsi="黑体" w:eastAsia="黑体"/>
          <w:b w:val="0"/>
        </w:rPr>
      </w:pPr>
      <w:bookmarkStart w:id="42" w:name="_Toc15396609"/>
      <w:bookmarkStart w:id="43" w:name="_Toc15377215"/>
      <w:r>
        <w:rPr>
          <w:rFonts w:hint="eastAsia" w:ascii="黑体" w:eastAsia="黑体"/>
          <w:color w:val="000000"/>
          <w:sz w:val="32"/>
          <w:szCs w:val="32"/>
        </w:rPr>
        <w:t>七、</w:t>
      </w:r>
      <w:r>
        <w:rPr>
          <w:rStyle w:val="26"/>
          <w:rFonts w:hint="eastAsia" w:ascii="黑体" w:hAnsi="黑体" w:eastAsia="黑体"/>
        </w:rPr>
        <w:t>“</w:t>
      </w:r>
      <w:r>
        <w:rPr>
          <w:rStyle w:val="26"/>
          <w:rFonts w:hint="eastAsia" w:ascii="黑体" w:hAnsi="黑体" w:eastAsia="黑体"/>
          <w:b w:val="0"/>
        </w:rPr>
        <w:t>三公”经费财政拨款支出决算情况说明</w:t>
      </w:r>
      <w:bookmarkEnd w:id="42"/>
      <w:bookmarkEnd w:id="43"/>
    </w:p>
    <w:p>
      <w:pPr>
        <w:spacing w:line="600" w:lineRule="exact"/>
        <w:ind w:firstLine="640"/>
        <w:outlineLvl w:val="2"/>
        <w:rPr>
          <w:rFonts w:ascii="仿宋" w:hAnsi="仿宋" w:eastAsia="仿宋"/>
          <w:b/>
          <w:color w:val="000000"/>
          <w:sz w:val="32"/>
          <w:szCs w:val="32"/>
        </w:rPr>
      </w:pPr>
      <w:bookmarkStart w:id="44" w:name="_Toc15377216"/>
      <w:r>
        <w:rPr>
          <w:rFonts w:hint="eastAsia" w:ascii="仿宋" w:hAnsi="仿宋" w:eastAsia="仿宋"/>
          <w:b/>
          <w:color w:val="000000"/>
          <w:sz w:val="32"/>
          <w:szCs w:val="32"/>
        </w:rPr>
        <w:t>（一）“三公”经费财政拨款支出决算总体情况说明</w:t>
      </w:r>
      <w:bookmarkEnd w:id="44"/>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8年“三公”经费财政拨款支出决算为0.21万元，完成预算100</w:t>
      </w:r>
      <w:r>
        <w:rPr>
          <w:rFonts w:ascii="仿宋" w:hAnsi="仿宋" w:eastAsia="仿宋"/>
          <w:color w:val="000000"/>
          <w:sz w:val="32"/>
          <w:szCs w:val="32"/>
        </w:rPr>
        <w:t>%</w:t>
      </w:r>
      <w:r>
        <w:rPr>
          <w:rFonts w:hint="eastAsia" w:ascii="仿宋" w:hAnsi="仿宋" w:eastAsia="仿宋"/>
          <w:color w:val="000000"/>
          <w:sz w:val="32"/>
          <w:szCs w:val="32"/>
        </w:rPr>
        <w:t>，决算数与预算数持平。</w:t>
      </w:r>
    </w:p>
    <w:p>
      <w:pPr>
        <w:spacing w:line="600" w:lineRule="exact"/>
        <w:ind w:firstLine="640"/>
        <w:outlineLvl w:val="2"/>
        <w:rPr>
          <w:rFonts w:ascii="仿宋" w:hAnsi="仿宋" w:eastAsia="仿宋"/>
          <w:b/>
          <w:color w:val="000000"/>
          <w:sz w:val="32"/>
          <w:szCs w:val="32"/>
        </w:rPr>
      </w:pPr>
      <w:bookmarkStart w:id="45" w:name="_Toc15377217"/>
      <w:r>
        <w:rPr>
          <w:rFonts w:hint="eastAsia" w:ascii="仿宋" w:hAnsi="仿宋" w:eastAsia="仿宋"/>
          <w:b/>
          <w:color w:val="000000"/>
          <w:sz w:val="32"/>
          <w:szCs w:val="32"/>
        </w:rPr>
        <w:t>（二）“三公”经费财政拨款支出决算具体情况说明</w:t>
      </w:r>
      <w:bookmarkEnd w:id="45"/>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 xml:space="preserve">8年“三公”经费财政拨款支出决算中，因公出国（境）费支出决算0万元，占0 </w:t>
      </w:r>
      <w:r>
        <w:rPr>
          <w:rFonts w:ascii="仿宋" w:hAnsi="仿宋" w:eastAsia="仿宋"/>
          <w:color w:val="000000"/>
          <w:sz w:val="32"/>
          <w:szCs w:val="32"/>
        </w:rPr>
        <w:t>%</w:t>
      </w:r>
      <w:r>
        <w:rPr>
          <w:rFonts w:hint="eastAsia" w:ascii="仿宋" w:hAnsi="仿宋" w:eastAsia="仿宋"/>
          <w:color w:val="000000"/>
          <w:sz w:val="32"/>
          <w:szCs w:val="32"/>
        </w:rPr>
        <w:t xml:space="preserve">；公务用车购置及运行维护费支出决算0万元，占0 </w:t>
      </w:r>
      <w:r>
        <w:rPr>
          <w:rFonts w:ascii="仿宋" w:hAnsi="仿宋" w:eastAsia="仿宋"/>
          <w:color w:val="000000"/>
          <w:sz w:val="32"/>
          <w:szCs w:val="32"/>
        </w:rPr>
        <w:t>%</w:t>
      </w:r>
      <w:r>
        <w:rPr>
          <w:rFonts w:hint="eastAsia" w:ascii="仿宋" w:hAnsi="仿宋" w:eastAsia="仿宋"/>
          <w:color w:val="000000"/>
          <w:sz w:val="32"/>
          <w:szCs w:val="32"/>
        </w:rPr>
        <w:t xml:space="preserve">；公务接待费支出决算0.21万元，占100 </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rPr>
          <w:rFonts w:ascii="仿宋" w:hAnsi="仿宋" w:eastAsia="仿宋"/>
          <w:b/>
          <w:color w:val="000000"/>
          <w:sz w:val="32"/>
          <w:szCs w:val="32"/>
        </w:rPr>
      </w:pPr>
      <w:r>
        <w:rPr>
          <w:rFonts w:ascii="仿宋" w:hAnsi="仿宋" w:eastAsia="仿宋"/>
          <w:b/>
          <w:color w:val="000000"/>
          <w:sz w:val="32"/>
          <w:szCs w:val="32"/>
        </w:rPr>
        <w:t>1.</w:t>
      </w:r>
      <w:r>
        <w:rPr>
          <w:rFonts w:hint="eastAsia" w:ascii="仿宋" w:hAnsi="仿宋" w:eastAsia="仿宋"/>
          <w:b/>
          <w:color w:val="000000"/>
          <w:sz w:val="32"/>
          <w:szCs w:val="32"/>
        </w:rPr>
        <w:t>因公出国（境）经费支出</w:t>
      </w:r>
      <w:r>
        <w:rPr>
          <w:rFonts w:hint="eastAsia" w:ascii="仿宋" w:hAnsi="仿宋" w:eastAsia="仿宋"/>
          <w:color w:val="000000"/>
          <w:sz w:val="32"/>
          <w:szCs w:val="32"/>
        </w:rPr>
        <w:t>0万元，</w:t>
      </w:r>
      <w:r>
        <w:rPr>
          <w:rStyle w:val="15"/>
          <w:rFonts w:hint="eastAsia" w:ascii="仿宋" w:hAnsi="仿宋" w:eastAsia="仿宋"/>
          <w:b w:val="0"/>
          <w:bCs/>
          <w:color w:val="000000"/>
          <w:sz w:val="32"/>
          <w:szCs w:val="32"/>
        </w:rPr>
        <w:t>完成预算0</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w:t>
      </w:r>
      <w:r>
        <w:rPr>
          <w:rFonts w:hint="eastAsia" w:ascii="仿宋" w:hAnsi="仿宋" w:eastAsia="仿宋"/>
          <w:color w:val="000000"/>
          <w:sz w:val="32"/>
          <w:szCs w:val="32"/>
        </w:rPr>
        <w:t>全年安排因公出国（境）团组0次，出国（境）0人。因公出国（境）支出决算与2017年无变化。</w:t>
      </w:r>
    </w:p>
    <w:p>
      <w:pPr>
        <w:spacing w:line="600" w:lineRule="exact"/>
        <w:ind w:firstLine="640"/>
        <w:rPr>
          <w:rFonts w:ascii="仿宋" w:hAnsi="仿宋" w:eastAsia="仿宋"/>
          <w:b/>
          <w:color w:val="000000"/>
          <w:sz w:val="32"/>
          <w:szCs w:val="32"/>
        </w:rPr>
      </w:pPr>
      <w:r>
        <w:rPr>
          <w:rFonts w:ascii="仿宋" w:hAnsi="仿宋" w:eastAsia="仿宋"/>
          <w:b/>
          <w:color w:val="000000"/>
          <w:sz w:val="32"/>
          <w:szCs w:val="32"/>
        </w:rPr>
        <w:t>2.</w:t>
      </w:r>
      <w:r>
        <w:rPr>
          <w:rFonts w:hint="eastAsia" w:ascii="仿宋" w:hAnsi="仿宋" w:eastAsia="仿宋"/>
          <w:b/>
          <w:color w:val="000000"/>
          <w:sz w:val="32"/>
          <w:szCs w:val="32"/>
        </w:rPr>
        <w:t>公务用车购置及运行维护费支出</w:t>
      </w:r>
      <w:r>
        <w:rPr>
          <w:rFonts w:hint="eastAsia" w:ascii="仿宋" w:hAnsi="仿宋" w:eastAsia="仿宋"/>
          <w:color w:val="000000"/>
          <w:sz w:val="32"/>
          <w:szCs w:val="32"/>
        </w:rPr>
        <w:t>0万元,</w:t>
      </w:r>
      <w:r>
        <w:rPr>
          <w:rFonts w:ascii="仿宋" w:hAnsi="仿宋" w:eastAsia="仿宋"/>
          <w:b/>
          <w:color w:val="000000"/>
          <w:sz w:val="32"/>
          <w:szCs w:val="32"/>
        </w:rPr>
        <w:t xml:space="preserve"> </w:t>
      </w:r>
    </w:p>
    <w:p>
      <w:pPr>
        <w:spacing w:line="600" w:lineRule="exact"/>
        <w:ind w:firstLine="640" w:firstLineChars="200"/>
        <w:rPr>
          <w:rFonts w:ascii="仿宋" w:hAnsi="仿宋" w:eastAsia="仿宋"/>
          <w:b/>
          <w:color w:val="000000"/>
          <w:sz w:val="32"/>
          <w:szCs w:val="32"/>
        </w:rPr>
      </w:pPr>
      <w:r>
        <w:rPr>
          <w:rFonts w:hint="eastAsia" w:ascii="仿宋" w:hAnsi="仿宋" w:eastAsia="仿宋"/>
          <w:color w:val="000000"/>
          <w:sz w:val="32"/>
          <w:szCs w:val="32"/>
        </w:rPr>
        <w:t>其中：公务用车购置支出0万元。全年按规定更新购置公务用车0辆，其中：轿车0辆、金额0万元，越野车0辆、金额0万元，载客汽车0辆、金额0万元。</w:t>
      </w:r>
    </w:p>
    <w:p>
      <w:pPr>
        <w:spacing w:line="600" w:lineRule="exact"/>
        <w:ind w:firstLine="640"/>
        <w:rPr>
          <w:rFonts w:ascii="仿宋" w:hAnsi="仿宋" w:eastAsia="仿宋"/>
          <w:color w:val="000000"/>
          <w:sz w:val="32"/>
          <w:szCs w:val="32"/>
        </w:rPr>
      </w:pPr>
      <w:r>
        <w:rPr>
          <w:rFonts w:hint="eastAsia" w:ascii="仿宋" w:hAnsi="仿宋" w:eastAsia="仿宋"/>
          <w:b/>
          <w:color w:val="000000"/>
          <w:sz w:val="32"/>
          <w:szCs w:val="32"/>
        </w:rPr>
        <w:t>公务用车运行维护费支出</w:t>
      </w:r>
      <w:r>
        <w:rPr>
          <w:rFonts w:hint="eastAsia" w:ascii="仿宋" w:hAnsi="仿宋" w:eastAsia="仿宋"/>
          <w:color w:val="000000"/>
          <w:sz w:val="32"/>
          <w:szCs w:val="32"/>
        </w:rPr>
        <w:t>0万元。</w:t>
      </w:r>
    </w:p>
    <w:p>
      <w:pPr>
        <w:spacing w:line="600" w:lineRule="exact"/>
        <w:ind w:firstLine="640"/>
        <w:rPr>
          <w:rFonts w:ascii="仿宋" w:hAnsi="仿宋" w:eastAsia="仿宋" w:cs="仿宋_GB2312"/>
          <w:b/>
          <w:color w:val="000000"/>
          <w:sz w:val="32"/>
          <w:szCs w:val="32"/>
        </w:rPr>
      </w:pPr>
      <w:r>
        <w:rPr>
          <w:rFonts w:ascii="仿宋" w:hAnsi="仿宋" w:eastAsia="仿宋"/>
          <w:b/>
          <w:color w:val="000000"/>
          <w:sz w:val="32"/>
          <w:szCs w:val="32"/>
        </w:rPr>
        <w:t>3.</w:t>
      </w:r>
      <w:r>
        <w:rPr>
          <w:rFonts w:hint="eastAsia" w:ascii="仿宋" w:hAnsi="仿宋" w:eastAsia="仿宋"/>
          <w:b/>
          <w:color w:val="000000"/>
          <w:sz w:val="32"/>
          <w:szCs w:val="32"/>
        </w:rPr>
        <w:t>公务接待费支出</w:t>
      </w:r>
      <w:r>
        <w:rPr>
          <w:rFonts w:hint="eastAsia" w:ascii="仿宋" w:hAnsi="仿宋" w:eastAsia="仿宋"/>
          <w:color w:val="000000"/>
          <w:sz w:val="32"/>
          <w:szCs w:val="32"/>
        </w:rPr>
        <w:t>0.21万元，</w:t>
      </w:r>
      <w:r>
        <w:rPr>
          <w:rStyle w:val="15"/>
          <w:rFonts w:hint="eastAsia" w:ascii="仿宋" w:hAnsi="仿宋" w:eastAsia="仿宋"/>
          <w:b w:val="0"/>
          <w:bCs/>
          <w:color w:val="000000"/>
          <w:sz w:val="32"/>
          <w:szCs w:val="32"/>
        </w:rPr>
        <w:t>完成预算94</w:t>
      </w:r>
      <w:r>
        <w:rPr>
          <w:rStyle w:val="15"/>
          <w:rFonts w:ascii="仿宋" w:hAnsi="仿宋" w:eastAsia="仿宋"/>
          <w:b w:val="0"/>
          <w:bCs/>
          <w:color w:val="000000"/>
          <w:sz w:val="32"/>
          <w:szCs w:val="32"/>
        </w:rPr>
        <w:t>%</w:t>
      </w:r>
      <w:r>
        <w:rPr>
          <w:rStyle w:val="15"/>
          <w:rFonts w:hint="eastAsia" w:ascii="仿宋" w:hAnsi="仿宋" w:eastAsia="仿宋"/>
          <w:b w:val="0"/>
          <w:bCs/>
          <w:color w:val="000000"/>
          <w:sz w:val="32"/>
          <w:szCs w:val="32"/>
        </w:rPr>
        <w:t>。</w:t>
      </w:r>
      <w:r>
        <w:rPr>
          <w:rFonts w:hint="eastAsia" w:ascii="仿宋" w:hAnsi="仿宋" w:eastAsia="仿宋"/>
          <w:color w:val="000000"/>
          <w:sz w:val="32"/>
          <w:szCs w:val="32"/>
        </w:rPr>
        <w:t>公务接待费支出决算比</w:t>
      </w:r>
      <w:r>
        <w:rPr>
          <w:rFonts w:ascii="仿宋" w:hAnsi="仿宋" w:eastAsia="仿宋"/>
          <w:color w:val="000000"/>
          <w:sz w:val="32"/>
          <w:szCs w:val="32"/>
        </w:rPr>
        <w:t>201</w:t>
      </w:r>
      <w:r>
        <w:rPr>
          <w:rFonts w:hint="eastAsia" w:ascii="仿宋" w:hAnsi="仿宋" w:eastAsia="仿宋"/>
          <w:color w:val="000000"/>
          <w:sz w:val="32"/>
          <w:szCs w:val="32"/>
        </w:rPr>
        <w:t>7年减少0.07万元，下降26.95</w:t>
      </w:r>
      <w:r>
        <w:rPr>
          <w:rFonts w:ascii="仿宋" w:hAnsi="仿宋" w:eastAsia="仿宋"/>
          <w:color w:val="000000"/>
          <w:sz w:val="32"/>
          <w:szCs w:val="32"/>
        </w:rPr>
        <w:t>%</w:t>
      </w:r>
      <w:r>
        <w:rPr>
          <w:rFonts w:hint="eastAsia" w:ascii="仿宋" w:hAnsi="仿宋" w:eastAsia="仿宋"/>
          <w:color w:val="000000"/>
          <w:sz w:val="32"/>
          <w:szCs w:val="32"/>
        </w:rPr>
        <w:t>。主要原因是</w:t>
      </w:r>
      <w:r>
        <w:rPr>
          <w:rFonts w:hint="eastAsia" w:ascii="仿宋" w:hAnsi="仿宋" w:eastAsia="仿宋" w:cs="仿宋_GB2312"/>
          <w:color w:val="000000"/>
          <w:sz w:val="32"/>
          <w:szCs w:val="32"/>
        </w:rPr>
        <w:t>一是厉行节约，二是接待批次和接待人数有所减少。</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国内公务接待5批次，34人次，共计支出0.21万元，具体内容包括：</w:t>
      </w:r>
      <w:r>
        <w:rPr>
          <w:rFonts w:hint="eastAsia" w:ascii="仿宋" w:hAnsi="仿宋" w:eastAsia="仿宋" w:cs="仿宋_GB2312"/>
          <w:color w:val="000000"/>
          <w:sz w:val="32"/>
          <w:szCs w:val="32"/>
        </w:rPr>
        <w:t>州领导来本单位检查、指导工作，兄弟县来本单位学习、交流工作等公务活动。</w:t>
      </w:r>
      <w:r>
        <w:rPr>
          <w:rFonts w:hint="eastAsia" w:ascii="仿宋" w:hAnsi="仿宋" w:eastAsia="仿宋"/>
          <w:color w:val="000000"/>
          <w:sz w:val="32"/>
          <w:szCs w:val="32"/>
        </w:rPr>
        <w:t>其中：外事接待支出0万元</w:t>
      </w:r>
      <w:r>
        <w:rPr>
          <w:rFonts w:hint="eastAsia" w:ascii="仿宋" w:hAnsi="仿宋" w:eastAsia="仿宋"/>
          <w:color w:val="000000" w:themeColor="text1"/>
          <w:sz w:val="32"/>
          <w:szCs w:val="32"/>
        </w:rPr>
        <w:t>，外事接待0批次，0人，共计支出0万元。</w:t>
      </w:r>
    </w:p>
    <w:p>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其他国内公务接待支出0万元</w:t>
      </w:r>
      <w:r>
        <w:rPr>
          <w:rFonts w:hint="eastAsia" w:ascii="仿宋" w:hAnsi="仿宋" w:eastAsia="仿宋" w:cs="仿宋_GB2312"/>
          <w:color w:val="000000"/>
          <w:sz w:val="32"/>
          <w:szCs w:val="32"/>
        </w:rPr>
        <w:t>。</w:t>
      </w:r>
    </w:p>
    <w:p>
      <w:pPr>
        <w:spacing w:line="600" w:lineRule="exact"/>
        <w:ind w:firstLine="640"/>
        <w:outlineLvl w:val="1"/>
        <w:rPr>
          <w:rStyle w:val="26"/>
          <w:rFonts w:ascii="黑体" w:hAnsi="黑体" w:eastAsia="黑体"/>
        </w:rPr>
      </w:pPr>
      <w:bookmarkStart w:id="46" w:name="_Toc15396610"/>
      <w:bookmarkStart w:id="47" w:name="_Toc15377218"/>
      <w:r>
        <w:rPr>
          <w:rFonts w:hint="eastAsia" w:ascii="黑体" w:eastAsia="黑体"/>
          <w:color w:val="000000"/>
          <w:sz w:val="32"/>
          <w:szCs w:val="32"/>
        </w:rPr>
        <w:t>八、</w:t>
      </w:r>
      <w:r>
        <w:rPr>
          <w:rStyle w:val="26"/>
          <w:rFonts w:hint="eastAsia" w:ascii="黑体" w:hAnsi="黑体" w:eastAsia="黑体"/>
          <w:b w:val="0"/>
        </w:rPr>
        <w:t>政府性基金预算支出决算情况说明</w:t>
      </w:r>
      <w:bookmarkEnd w:id="46"/>
      <w:bookmarkEnd w:id="47"/>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8年政府性基金预算拨款支出0万元。</w:t>
      </w:r>
    </w:p>
    <w:p>
      <w:pPr>
        <w:numPr>
          <w:ilvl w:val="0"/>
          <w:numId w:val="2"/>
        </w:numPr>
        <w:spacing w:line="600" w:lineRule="exact"/>
        <w:ind w:firstLine="640"/>
        <w:outlineLvl w:val="1"/>
        <w:rPr>
          <w:rStyle w:val="26"/>
          <w:rFonts w:ascii="黑体" w:hAnsi="黑体" w:eastAsia="黑体"/>
          <w:b w:val="0"/>
        </w:rPr>
      </w:pPr>
      <w:bookmarkStart w:id="48" w:name="_Toc15396611"/>
      <w:bookmarkStart w:id="49" w:name="_Toc15377219"/>
      <w:r>
        <w:rPr>
          <w:rStyle w:val="26"/>
          <w:rFonts w:hint="eastAsia" w:ascii="黑体" w:hAnsi="黑体" w:eastAsia="黑体"/>
          <w:b w:val="0"/>
        </w:rPr>
        <w:t>国有资本经营预算支出决算情况说明</w:t>
      </w:r>
      <w:bookmarkEnd w:id="48"/>
      <w:bookmarkEnd w:id="49"/>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8年国有资本经营预算拨款支出0万元。</w:t>
      </w:r>
    </w:p>
    <w:p>
      <w:pPr>
        <w:pStyle w:val="24"/>
        <w:numPr>
          <w:ilvl w:val="0"/>
          <w:numId w:val="3"/>
        </w:numPr>
        <w:spacing w:line="580" w:lineRule="exact"/>
        <w:ind w:firstLineChars="0"/>
        <w:rPr>
          <w:rStyle w:val="26"/>
          <w:rFonts w:ascii="黑体" w:hAnsi="黑体" w:eastAsia="黑体"/>
          <w:b w:val="0"/>
        </w:rPr>
      </w:pPr>
      <w:r>
        <w:rPr>
          <w:rStyle w:val="26"/>
          <w:rFonts w:hint="eastAsia" w:ascii="黑体" w:hAnsi="黑体" w:eastAsia="黑体"/>
          <w:b w:val="0"/>
        </w:rPr>
        <w:t>预算绩效情况说明</w:t>
      </w:r>
    </w:p>
    <w:p>
      <w:pPr>
        <w:numPr>
          <w:ilvl w:val="0"/>
          <w:numId w:val="4"/>
        </w:numPr>
        <w:spacing w:line="580" w:lineRule="exact"/>
        <w:ind w:firstLine="643" w:firstLineChars="200"/>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pPr>
        <w:spacing w:line="580" w:lineRule="exact"/>
        <w:ind w:firstLine="640" w:firstLineChars="200"/>
        <w:rPr>
          <w:rFonts w:hint="eastAsia" w:ascii="仿宋" w:hAnsi="仿宋" w:eastAsia="仿宋" w:cs="仿宋"/>
          <w:sz w:val="32"/>
          <w:szCs w:val="32"/>
        </w:rPr>
      </w:pPr>
      <w:r>
        <w:rPr>
          <w:rFonts w:hint="eastAsia" w:ascii="仿宋" w:hAnsi="仿宋" w:eastAsia="仿宋" w:cs="仿宋"/>
          <w:i w:val="0"/>
          <w:caps w:val="0"/>
          <w:color w:val="000000"/>
          <w:spacing w:val="0"/>
          <w:sz w:val="32"/>
          <w:szCs w:val="32"/>
        </w:rPr>
        <w:t>201</w:t>
      </w:r>
      <w:r>
        <w:rPr>
          <w:rFonts w:hint="eastAsia" w:ascii="仿宋" w:hAnsi="仿宋" w:eastAsia="仿宋" w:cs="仿宋"/>
          <w:i w:val="0"/>
          <w:caps w:val="0"/>
          <w:color w:val="000000"/>
          <w:spacing w:val="0"/>
          <w:sz w:val="32"/>
          <w:szCs w:val="32"/>
          <w:lang w:val="en-US" w:eastAsia="zh-CN"/>
        </w:rPr>
        <w:t>8</w:t>
      </w:r>
      <w:r>
        <w:rPr>
          <w:rFonts w:hint="eastAsia" w:ascii="仿宋" w:hAnsi="仿宋" w:eastAsia="仿宋" w:cs="仿宋"/>
          <w:i w:val="0"/>
          <w:caps w:val="0"/>
          <w:color w:val="000000"/>
          <w:spacing w:val="0"/>
          <w:sz w:val="32"/>
          <w:szCs w:val="32"/>
        </w:rPr>
        <w:t>年本单位无自行开展的和绩效评价要求开展的项目。</w:t>
      </w:r>
    </w:p>
    <w:p>
      <w:pPr>
        <w:numPr>
          <w:ilvl w:val="0"/>
          <w:numId w:val="4"/>
        </w:numPr>
        <w:spacing w:line="580" w:lineRule="exact"/>
        <w:ind w:firstLine="643" w:firstLineChars="2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spacing w:line="600" w:lineRule="exact"/>
        <w:ind w:firstLine="800" w:firstLineChars="250"/>
        <w:outlineLvl w:val="1"/>
        <w:rPr>
          <w:rFonts w:hint="eastAsia" w:ascii="仿宋" w:hAnsi="仿宋" w:eastAsia="仿宋" w:cs="仿宋"/>
          <w:i w:val="0"/>
          <w:caps w:val="0"/>
          <w:color w:val="000000"/>
          <w:spacing w:val="0"/>
          <w:sz w:val="32"/>
          <w:szCs w:val="32"/>
        </w:rPr>
      </w:pPr>
      <w:bookmarkStart w:id="50" w:name="_Toc15377221"/>
      <w:bookmarkStart w:id="51" w:name="_Toc15396612"/>
      <w:r>
        <w:rPr>
          <w:rFonts w:hint="eastAsia" w:ascii="仿宋_GB2312" w:hAnsi="仿宋_GB2312" w:eastAsia="仿宋_GB2312" w:cs="仿宋_GB2312"/>
          <w:sz w:val="32"/>
          <w:szCs w:val="32"/>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i w:val="0"/>
          <w:caps w:val="0"/>
          <w:color w:val="000000"/>
          <w:spacing w:val="0"/>
          <w:sz w:val="32"/>
          <w:szCs w:val="32"/>
        </w:rPr>
        <w:t>201</w:t>
      </w:r>
      <w:r>
        <w:rPr>
          <w:rFonts w:hint="eastAsia" w:ascii="仿宋" w:hAnsi="仿宋" w:eastAsia="仿宋" w:cs="仿宋"/>
          <w:i w:val="0"/>
          <w:caps w:val="0"/>
          <w:color w:val="000000"/>
          <w:spacing w:val="0"/>
          <w:sz w:val="32"/>
          <w:szCs w:val="32"/>
          <w:lang w:val="en-US" w:eastAsia="zh-CN"/>
        </w:rPr>
        <w:t>8</w:t>
      </w:r>
      <w:r>
        <w:rPr>
          <w:rFonts w:hint="eastAsia" w:ascii="仿宋" w:hAnsi="仿宋" w:eastAsia="仿宋" w:cs="仿宋"/>
          <w:i w:val="0"/>
          <w:caps w:val="0"/>
          <w:color w:val="000000"/>
          <w:spacing w:val="0"/>
          <w:sz w:val="32"/>
          <w:szCs w:val="32"/>
        </w:rPr>
        <w:t>年本单位无自行开展的和绩效评价要求开展的项目。</w:t>
      </w:r>
    </w:p>
    <w:p>
      <w:pPr>
        <w:spacing w:line="600" w:lineRule="exact"/>
        <w:ind w:firstLine="800" w:firstLineChars="250"/>
        <w:outlineLvl w:val="1"/>
        <w:rPr>
          <w:rStyle w:val="26"/>
          <w:rFonts w:ascii="黑体" w:hAnsi="黑体" w:eastAsia="黑体"/>
        </w:rPr>
      </w:pPr>
      <w:r>
        <w:rPr>
          <w:rFonts w:hint="eastAsia" w:ascii="黑体" w:hAnsi="黑体" w:eastAsia="黑体"/>
          <w:color w:val="000000"/>
          <w:sz w:val="32"/>
          <w:szCs w:val="32"/>
        </w:rPr>
        <w:t>十</w:t>
      </w:r>
      <w:r>
        <w:rPr>
          <w:rStyle w:val="26"/>
          <w:rFonts w:hint="eastAsia" w:ascii="黑体" w:hAnsi="黑体" w:eastAsia="黑体"/>
        </w:rPr>
        <w:t>一、其他重要事项的情况说明</w:t>
      </w:r>
      <w:bookmarkEnd w:id="50"/>
      <w:bookmarkEnd w:id="51"/>
    </w:p>
    <w:p>
      <w:pPr>
        <w:spacing w:line="600" w:lineRule="exact"/>
        <w:ind w:firstLine="643" w:firstLineChars="200"/>
        <w:outlineLvl w:val="2"/>
        <w:rPr>
          <w:rFonts w:ascii="仿宋" w:hAnsi="仿宋" w:eastAsia="仿宋"/>
          <w:color w:val="000000"/>
          <w:sz w:val="32"/>
          <w:szCs w:val="32"/>
        </w:rPr>
      </w:pPr>
      <w:bookmarkStart w:id="52" w:name="_Toc15377222"/>
      <w:r>
        <w:rPr>
          <w:rFonts w:hint="eastAsia" w:ascii="仿宋" w:hAnsi="仿宋" w:eastAsia="仿宋"/>
          <w:b/>
          <w:color w:val="000000"/>
          <w:sz w:val="32"/>
          <w:szCs w:val="32"/>
        </w:rPr>
        <w:t>（一）机关运行经费支出情况</w:t>
      </w:r>
      <w:bookmarkEnd w:id="52"/>
    </w:p>
    <w:p>
      <w:pPr>
        <w:spacing w:line="600" w:lineRule="exact"/>
        <w:ind w:firstLine="640" w:firstLineChars="200"/>
        <w:rPr>
          <w:rFonts w:ascii="仿宋" w:hAnsi="仿宋" w:eastAsia="仿宋"/>
          <w:color w:val="000000" w:themeColor="text1"/>
          <w:sz w:val="32"/>
          <w:szCs w:val="32"/>
        </w:rPr>
      </w:pPr>
      <w:r>
        <w:rPr>
          <w:rFonts w:ascii="仿宋" w:hAnsi="仿宋" w:eastAsia="仿宋"/>
          <w:color w:val="000000"/>
          <w:sz w:val="32"/>
          <w:szCs w:val="32"/>
        </w:rPr>
        <w:t>201</w:t>
      </w:r>
      <w:r>
        <w:rPr>
          <w:rFonts w:hint="eastAsia" w:ascii="仿宋" w:hAnsi="仿宋" w:eastAsia="仿宋"/>
          <w:color w:val="000000"/>
          <w:sz w:val="32"/>
          <w:szCs w:val="32"/>
        </w:rPr>
        <w:t>8年，县委办公室机关运行经费支出42.73万元，比</w:t>
      </w:r>
      <w:r>
        <w:rPr>
          <w:rFonts w:ascii="仿宋" w:hAnsi="仿宋" w:eastAsia="仿宋"/>
          <w:color w:val="000000"/>
          <w:sz w:val="32"/>
          <w:szCs w:val="32"/>
        </w:rPr>
        <w:t>201</w:t>
      </w:r>
      <w:r>
        <w:rPr>
          <w:rFonts w:hint="eastAsia" w:ascii="仿宋" w:hAnsi="仿宋" w:eastAsia="仿宋"/>
          <w:color w:val="000000"/>
          <w:sz w:val="32"/>
          <w:szCs w:val="32"/>
        </w:rPr>
        <w:t>7年增加18.19万元，下降74.1</w:t>
      </w:r>
      <w:r>
        <w:rPr>
          <w:rFonts w:ascii="仿宋" w:hAnsi="仿宋" w:eastAsia="仿宋"/>
          <w:color w:val="000000"/>
          <w:sz w:val="32"/>
          <w:szCs w:val="32"/>
        </w:rPr>
        <w:t>%</w:t>
      </w:r>
      <w:r>
        <w:rPr>
          <w:rFonts w:hint="eastAsia" w:ascii="仿宋" w:hAnsi="仿宋" w:eastAsia="仿宋"/>
          <w:color w:val="000000"/>
          <w:sz w:val="32"/>
          <w:szCs w:val="32"/>
        </w:rPr>
        <w:t>。</w:t>
      </w:r>
      <w:r>
        <w:rPr>
          <w:rFonts w:hint="eastAsia" w:ascii="仿宋" w:hAnsi="仿宋" w:eastAsia="仿宋"/>
          <w:color w:val="000000" w:themeColor="text1"/>
          <w:sz w:val="32"/>
          <w:szCs w:val="32"/>
        </w:rPr>
        <w:t>主要原因：一是工资增加，二是新建了业务系统。</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3" w:name="_Toc15377223"/>
      <w:r>
        <w:rPr>
          <w:rFonts w:hint="eastAsia" w:ascii="仿宋" w:hAnsi="仿宋" w:eastAsia="仿宋"/>
          <w:b/>
          <w:color w:val="000000"/>
          <w:sz w:val="32"/>
          <w:szCs w:val="32"/>
        </w:rPr>
        <w:t>（二）政府采购支出情况</w:t>
      </w:r>
      <w:bookmarkEnd w:id="53"/>
    </w:p>
    <w:p>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8年，我单位政府采购支出总额13.29万元，其中：政府采购货物支出13.29万元、政府采购工程支出0万元、政府采购服务支出0万元。主要用于办公。授予中小企业合同金额13.29万元，占政府采购支出总额的100</w:t>
      </w:r>
      <w:r>
        <w:rPr>
          <w:rFonts w:ascii="仿宋" w:hAnsi="仿宋" w:eastAsia="仿宋"/>
          <w:color w:val="000000"/>
          <w:sz w:val="32"/>
          <w:szCs w:val="32"/>
        </w:rPr>
        <w:t>%</w:t>
      </w:r>
      <w:r>
        <w:rPr>
          <w:rFonts w:hint="eastAsia" w:ascii="仿宋" w:hAnsi="仿宋" w:eastAsia="仿宋"/>
          <w:color w:val="000000"/>
          <w:sz w:val="32"/>
          <w:szCs w:val="32"/>
        </w:rPr>
        <w:t xml:space="preserve">，其中：授予小微企业合同金额0万元，占政府采购支出总额的0 </w:t>
      </w:r>
      <w:r>
        <w:rPr>
          <w:rFonts w:ascii="仿宋" w:hAnsi="仿宋" w:eastAsia="仿宋"/>
          <w:color w:val="000000"/>
          <w:sz w:val="32"/>
          <w:szCs w:val="32"/>
        </w:rPr>
        <w:t>%</w:t>
      </w:r>
      <w:r>
        <w:rPr>
          <w:rFonts w:hint="eastAsia" w:ascii="仿宋" w:hAnsi="仿宋" w:eastAsia="仿宋"/>
          <w:color w:val="000000"/>
          <w:sz w:val="32"/>
          <w:szCs w:val="32"/>
        </w:rPr>
        <w:t>。</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4" w:name="_Toc15377224"/>
      <w:r>
        <w:rPr>
          <w:rFonts w:hint="eastAsia" w:ascii="仿宋" w:hAnsi="仿宋" w:eastAsia="仿宋"/>
          <w:b/>
          <w:color w:val="000000"/>
          <w:sz w:val="32"/>
          <w:szCs w:val="32"/>
        </w:rPr>
        <w:t>（三）国有资产占有使用情况</w:t>
      </w:r>
      <w:bookmarkEnd w:id="54"/>
    </w:p>
    <w:p>
      <w:pPr>
        <w:autoSpaceDE w:val="0"/>
        <w:autoSpaceDN w:val="0"/>
        <w:adjustRightInd w:val="0"/>
        <w:spacing w:line="60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截至</w:t>
      </w:r>
      <w:r>
        <w:rPr>
          <w:rFonts w:ascii="仿宋" w:hAnsi="仿宋" w:eastAsia="仿宋"/>
          <w:color w:val="000000"/>
          <w:sz w:val="32"/>
          <w:szCs w:val="32"/>
        </w:rPr>
        <w:t>201</w:t>
      </w:r>
      <w:r>
        <w:rPr>
          <w:rFonts w:hint="eastAsia" w:ascii="仿宋" w:hAnsi="仿宋" w:eastAsia="仿宋"/>
          <w:color w:val="000000"/>
          <w:sz w:val="32"/>
          <w:szCs w:val="32"/>
        </w:rPr>
        <w:t>8年</w:t>
      </w:r>
      <w:r>
        <w:rPr>
          <w:rFonts w:ascii="仿宋" w:hAnsi="仿宋" w:eastAsia="仿宋"/>
          <w:color w:val="000000"/>
          <w:sz w:val="32"/>
          <w:szCs w:val="32"/>
        </w:rPr>
        <w:t>12</w:t>
      </w:r>
      <w:r>
        <w:rPr>
          <w:rFonts w:hint="eastAsia" w:ascii="仿宋" w:hAnsi="仿宋" w:eastAsia="仿宋"/>
          <w:color w:val="000000"/>
          <w:sz w:val="32"/>
          <w:szCs w:val="32"/>
        </w:rPr>
        <w:t>月</w:t>
      </w:r>
      <w:r>
        <w:rPr>
          <w:rFonts w:ascii="仿宋" w:hAnsi="仿宋" w:eastAsia="仿宋"/>
          <w:color w:val="000000"/>
          <w:sz w:val="32"/>
          <w:szCs w:val="32"/>
        </w:rPr>
        <w:t>31</w:t>
      </w:r>
      <w:r>
        <w:rPr>
          <w:rFonts w:hint="eastAsia" w:ascii="仿宋" w:hAnsi="仿宋" w:eastAsia="仿宋"/>
          <w:color w:val="000000"/>
          <w:sz w:val="32"/>
          <w:szCs w:val="32"/>
        </w:rPr>
        <w:t>日，拥有国有资产总额是：24.81万元，其中共有车辆0辆，部级领导干部用车0辆、一般公务用车0辆、一般执法执勤用车0辆、特种专业技术用车0辆、其他用车0辆。</w:t>
      </w:r>
    </w:p>
    <w:p>
      <w:pPr>
        <w:autoSpaceDE w:val="0"/>
        <w:autoSpaceDN w:val="0"/>
        <w:adjustRightInd w:val="0"/>
        <w:spacing w:line="600" w:lineRule="exact"/>
        <w:ind w:firstLine="640" w:firstLineChars="200"/>
        <w:jc w:val="left"/>
        <w:rPr>
          <w:rFonts w:ascii="仿宋" w:hAnsi="仿宋" w:eastAsia="仿宋"/>
          <w:color w:val="000000"/>
          <w:sz w:val="32"/>
          <w:szCs w:val="32"/>
        </w:rPr>
      </w:pPr>
      <w:r>
        <w:rPr>
          <w:rFonts w:hint="eastAsia" w:ascii="仿宋" w:hAnsi="仿宋" w:eastAsia="仿宋"/>
          <w:color w:val="000000" w:themeColor="text1"/>
          <w:sz w:val="32"/>
          <w:szCs w:val="32"/>
        </w:rPr>
        <w:t>单价</w:t>
      </w:r>
      <w:r>
        <w:rPr>
          <w:rFonts w:ascii="仿宋" w:hAnsi="仿宋" w:eastAsia="仿宋"/>
          <w:color w:val="000000" w:themeColor="text1"/>
          <w:sz w:val="32"/>
          <w:szCs w:val="32"/>
        </w:rPr>
        <w:t>50</w:t>
      </w:r>
      <w:r>
        <w:rPr>
          <w:rFonts w:hint="eastAsia" w:ascii="仿宋" w:hAnsi="仿宋" w:eastAsia="仿宋"/>
          <w:color w:val="000000" w:themeColor="text1"/>
          <w:sz w:val="32"/>
          <w:szCs w:val="32"/>
        </w:rPr>
        <w:t>万元以上通用设备0台（套），单价</w:t>
      </w:r>
      <w:r>
        <w:rPr>
          <w:rFonts w:ascii="仿宋" w:hAnsi="仿宋" w:eastAsia="仿宋"/>
          <w:color w:val="000000" w:themeColor="text1"/>
          <w:sz w:val="32"/>
          <w:szCs w:val="32"/>
        </w:rPr>
        <w:t>100</w:t>
      </w:r>
      <w:r>
        <w:rPr>
          <w:rFonts w:hint="eastAsia" w:ascii="仿宋" w:hAnsi="仿宋" w:eastAsia="仿宋"/>
          <w:color w:val="000000"/>
          <w:sz w:val="32"/>
          <w:szCs w:val="32"/>
        </w:rPr>
        <w:t>万元以上专用设备0台（套）。</w:t>
      </w:r>
    </w:p>
    <w:p>
      <w:pPr>
        <w:spacing w:line="600" w:lineRule="atLeast"/>
        <w:ind w:firstLine="640" w:firstLineChars="200"/>
        <w:rPr>
          <w:rFonts w:ascii="仿宋" w:hAnsi="仿宋" w:eastAsia="仿宋"/>
          <w:color w:val="000000"/>
          <w:sz w:val="32"/>
          <w:szCs w:val="32"/>
        </w:rPr>
      </w:pPr>
      <w:r>
        <w:rPr>
          <w:rFonts w:hint="eastAsia" w:ascii="仿宋" w:hAnsi="仿宋" w:eastAsia="仿宋"/>
          <w:color w:val="000000"/>
          <w:sz w:val="32"/>
          <w:szCs w:val="32"/>
        </w:rPr>
        <w:t>轿车共0辆，越野车共0辆，总价值0万元。</w:t>
      </w:r>
    </w:p>
    <w:p>
      <w:pPr>
        <w:widowControl/>
        <w:jc w:val="left"/>
        <w:rPr>
          <w:rFonts w:ascii="仿宋" w:hAnsi="仿宋" w:eastAsia="仿宋"/>
          <w:b/>
          <w:color w:val="000000"/>
          <w:sz w:val="32"/>
          <w:szCs w:val="32"/>
        </w:rPr>
      </w:pPr>
      <w:r>
        <w:rPr>
          <w:rFonts w:hint="eastAsia" w:ascii="仿宋" w:hAnsi="仿宋" w:eastAsia="仿宋"/>
          <w:color w:val="000000"/>
          <w:sz w:val="32"/>
          <w:szCs w:val="32"/>
        </w:rPr>
        <w:t xml:space="preserve">    其他固定资产24.65万元，流动资产0.15万元。</w:t>
      </w:r>
      <w:r>
        <w:rPr>
          <w:rFonts w:ascii="仿宋" w:hAnsi="仿宋" w:eastAsia="仿宋"/>
          <w:b/>
          <w:color w:val="000000"/>
          <w:sz w:val="32"/>
          <w:szCs w:val="32"/>
        </w:rPr>
        <w:br w:type="page"/>
      </w:r>
    </w:p>
    <w:p>
      <w:pPr>
        <w:numPr>
          <w:ilvl w:val="0"/>
          <w:numId w:val="5"/>
        </w:numPr>
        <w:spacing w:line="600" w:lineRule="exact"/>
        <w:ind w:firstLine="660" w:firstLineChars="150"/>
        <w:jc w:val="center"/>
        <w:outlineLvl w:val="0"/>
        <w:rPr>
          <w:rStyle w:val="25"/>
          <w:rFonts w:ascii="仿宋" w:hAnsi="仿宋" w:eastAsia="仿宋"/>
        </w:rPr>
      </w:pPr>
      <w:bookmarkStart w:id="55" w:name="_Toc15396613"/>
      <w:bookmarkStart w:id="56" w:name="_Toc15377225"/>
      <w:r>
        <w:rPr>
          <w:rFonts w:hint="eastAsia" w:ascii="仿宋" w:hAnsi="仿宋" w:eastAsia="仿宋"/>
          <w:color w:val="000000"/>
          <w:sz w:val="44"/>
          <w:szCs w:val="44"/>
        </w:rPr>
        <w:t>名</w:t>
      </w:r>
      <w:r>
        <w:rPr>
          <w:rStyle w:val="25"/>
          <w:rFonts w:hint="eastAsia" w:ascii="仿宋" w:hAnsi="仿宋" w:eastAsia="仿宋"/>
        </w:rPr>
        <w:t>词解释</w:t>
      </w:r>
      <w:bookmarkEnd w:id="55"/>
      <w:bookmarkEnd w:id="56"/>
    </w:p>
    <w:p>
      <w:pPr>
        <w:spacing w:line="600" w:lineRule="exact"/>
        <w:jc w:val="left"/>
        <w:rPr>
          <w:rFonts w:ascii="仿宋" w:hAnsi="仿宋" w:eastAsia="仿宋"/>
          <w:b/>
          <w:color w:val="000000"/>
          <w:sz w:val="32"/>
          <w:szCs w:val="32"/>
        </w:rPr>
      </w:pPr>
    </w:p>
    <w:p>
      <w:pPr>
        <w:pStyle w:val="23"/>
        <w:spacing w:line="560" w:lineRule="exact"/>
        <w:ind w:firstLine="640" w:firstLineChars="200"/>
        <w:rPr>
          <w:rFonts w:hAnsi="仿宋"/>
          <w:sz w:val="32"/>
          <w:szCs w:val="32"/>
        </w:rPr>
      </w:pPr>
      <w:r>
        <w:rPr>
          <w:rFonts w:hAnsi="仿宋"/>
          <w:sz w:val="32"/>
          <w:szCs w:val="32"/>
        </w:rPr>
        <w:t>1.</w:t>
      </w:r>
      <w:r>
        <w:rPr>
          <w:rFonts w:hint="eastAsia" w:hAnsi="仿宋"/>
          <w:sz w:val="32"/>
          <w:szCs w:val="32"/>
        </w:rPr>
        <w:t>财政拨款收入：指单位从同级财政部门取得的财政预算资金。</w:t>
      </w:r>
    </w:p>
    <w:p>
      <w:pPr>
        <w:pStyle w:val="23"/>
        <w:spacing w:line="560" w:lineRule="exact"/>
        <w:ind w:firstLine="640" w:firstLineChars="200"/>
        <w:rPr>
          <w:rFonts w:hAnsi="仿宋"/>
          <w:sz w:val="32"/>
          <w:szCs w:val="32"/>
        </w:rPr>
      </w:pPr>
      <w:r>
        <w:rPr>
          <w:rFonts w:hAnsi="仿宋"/>
          <w:color w:val="auto"/>
          <w:sz w:val="32"/>
          <w:szCs w:val="32"/>
        </w:rPr>
        <w:t>2</w:t>
      </w:r>
      <w:r>
        <w:rPr>
          <w:rFonts w:hint="eastAsia" w:hAnsi="仿宋"/>
          <w:color w:val="auto"/>
          <w:sz w:val="32"/>
          <w:szCs w:val="32"/>
        </w:rPr>
        <w:t>.其他收入：指单位取得的除上述收入以外的各项收入。主要是利息收入</w:t>
      </w:r>
      <w:r>
        <w:rPr>
          <w:rFonts w:hint="eastAsia" w:hAnsi="仿宋"/>
          <w:sz w:val="32"/>
          <w:szCs w:val="32"/>
        </w:rPr>
        <w:t>。</w:t>
      </w:r>
    </w:p>
    <w:p>
      <w:pPr>
        <w:pStyle w:val="23"/>
        <w:spacing w:line="560" w:lineRule="exact"/>
        <w:ind w:firstLine="640" w:firstLineChars="200"/>
        <w:rPr>
          <w:rFonts w:hAnsi="仿宋"/>
          <w:sz w:val="32"/>
          <w:szCs w:val="32"/>
        </w:rPr>
      </w:pPr>
      <w:r>
        <w:rPr>
          <w:rFonts w:hint="eastAsia" w:hAnsi="仿宋"/>
          <w:sz w:val="32"/>
          <w:szCs w:val="32"/>
        </w:rPr>
        <w:t>3</w:t>
      </w:r>
      <w:r>
        <w:rPr>
          <w:rFonts w:hAnsi="仿宋"/>
          <w:sz w:val="32"/>
          <w:szCs w:val="32"/>
        </w:rPr>
        <w:t>.</w:t>
      </w:r>
      <w:r>
        <w:rPr>
          <w:rFonts w:hint="eastAsia" w:hAnsi="仿宋"/>
          <w:sz w:val="32"/>
          <w:szCs w:val="32"/>
        </w:rPr>
        <w:t>年初结转和结余：指以前年度尚未完成、结转到本年按有关规定继续使用的资金。</w:t>
      </w:r>
    </w:p>
    <w:p>
      <w:pPr>
        <w:pStyle w:val="23"/>
        <w:spacing w:line="560" w:lineRule="exact"/>
        <w:ind w:firstLine="640" w:firstLineChars="200"/>
        <w:rPr>
          <w:rFonts w:hAnsi="仿宋"/>
          <w:sz w:val="32"/>
          <w:szCs w:val="32"/>
        </w:rPr>
      </w:pPr>
      <w:r>
        <w:rPr>
          <w:rFonts w:hint="eastAsia" w:hAnsi="仿宋"/>
          <w:sz w:val="32"/>
          <w:szCs w:val="32"/>
        </w:rPr>
        <w:t>4、年末结转和结余：指单位按有关规定结转到下年或以后年度继续使用的资金。</w:t>
      </w:r>
    </w:p>
    <w:p>
      <w:pPr>
        <w:ind w:firstLine="640" w:firstLineChars="200"/>
        <w:rPr>
          <w:rFonts w:ascii="仿宋" w:hAnsi="仿宋" w:eastAsia="仿宋"/>
          <w:sz w:val="32"/>
          <w:szCs w:val="32"/>
        </w:rPr>
      </w:pPr>
      <w:r>
        <w:rPr>
          <w:rFonts w:hint="eastAsia" w:ascii="仿宋" w:hAnsi="仿宋" w:eastAsia="仿宋"/>
          <w:sz w:val="32"/>
          <w:szCs w:val="32"/>
        </w:rPr>
        <w:t>5</w:t>
      </w:r>
      <w:r>
        <w:rPr>
          <w:rFonts w:ascii="仿宋" w:hAnsi="仿宋" w:eastAsia="仿宋"/>
          <w:sz w:val="32"/>
          <w:szCs w:val="32"/>
        </w:rPr>
        <w:t>.</w:t>
      </w:r>
      <w:r>
        <w:rPr>
          <w:rFonts w:hint="eastAsia" w:ascii="仿宋" w:hAnsi="仿宋" w:eastAsia="仿宋"/>
          <w:sz w:val="32"/>
          <w:szCs w:val="32"/>
        </w:rPr>
        <w:t>行政运行2013601：指反映行政单位的基本支出。</w:t>
      </w:r>
    </w:p>
    <w:p>
      <w:pPr>
        <w:ind w:firstLine="640" w:firstLineChars="200"/>
        <w:rPr>
          <w:rFonts w:ascii="仿宋" w:hAnsi="仿宋" w:eastAsia="仿宋"/>
          <w:color w:val="FF0000"/>
          <w:sz w:val="32"/>
          <w:szCs w:val="32"/>
        </w:rPr>
      </w:pPr>
      <w:r>
        <w:rPr>
          <w:rFonts w:hint="eastAsia" w:ascii="仿宋" w:hAnsi="仿宋" w:eastAsia="仿宋"/>
          <w:sz w:val="32"/>
          <w:szCs w:val="32"/>
        </w:rPr>
        <w:t>6</w:t>
      </w:r>
      <w:r>
        <w:rPr>
          <w:rFonts w:ascii="仿宋" w:hAnsi="仿宋" w:eastAsia="仿宋"/>
          <w:sz w:val="32"/>
          <w:szCs w:val="32"/>
        </w:rPr>
        <w:t>.</w:t>
      </w:r>
      <w:r>
        <w:rPr>
          <w:rFonts w:hint="eastAsia" w:ascii="仿宋" w:hAnsi="仿宋" w:eastAsia="仿宋" w:cs="仿宋_GB2312"/>
          <w:bCs/>
          <w:sz w:val="32"/>
          <w:szCs w:val="32"/>
        </w:rPr>
        <w:t>机关事业单位基本养老保险缴费2080505</w:t>
      </w:r>
      <w:r>
        <w:rPr>
          <w:rFonts w:hint="eastAsia" w:ascii="仿宋" w:hAnsi="仿宋" w:eastAsia="仿宋"/>
          <w:sz w:val="32"/>
          <w:szCs w:val="32"/>
        </w:rPr>
        <w:t>：指反映机关事业单位实施养老保险制度由单位缴纳的基本养老保险费。</w:t>
      </w:r>
    </w:p>
    <w:p>
      <w:pPr>
        <w:ind w:firstLine="640" w:firstLineChars="200"/>
        <w:rPr>
          <w:rFonts w:ascii="仿宋" w:hAnsi="仿宋" w:eastAsia="仿宋"/>
          <w:sz w:val="32"/>
          <w:szCs w:val="32"/>
        </w:rPr>
      </w:pPr>
      <w:r>
        <w:rPr>
          <w:rFonts w:hint="eastAsia" w:ascii="仿宋" w:hAnsi="仿宋" w:eastAsia="仿宋"/>
          <w:sz w:val="32"/>
          <w:szCs w:val="32"/>
        </w:rPr>
        <w:t xml:space="preserve">7. </w:t>
      </w:r>
      <w:r>
        <w:rPr>
          <w:rFonts w:hint="eastAsia" w:ascii="仿宋" w:hAnsi="仿宋" w:eastAsia="仿宋" w:cs="仿宋_GB2312"/>
          <w:bCs/>
          <w:sz w:val="32"/>
          <w:szCs w:val="32"/>
        </w:rPr>
        <w:t>机关事业单位</w:t>
      </w:r>
      <w:r>
        <w:rPr>
          <w:rFonts w:hint="eastAsia" w:ascii="仿宋" w:hAnsi="仿宋" w:eastAsia="仿宋"/>
          <w:color w:val="000000"/>
          <w:sz w:val="32"/>
          <w:szCs w:val="32"/>
        </w:rPr>
        <w:t>职业年金</w:t>
      </w:r>
      <w:r>
        <w:rPr>
          <w:rFonts w:hint="eastAsia" w:ascii="仿宋" w:hAnsi="仿宋" w:eastAsia="仿宋" w:cs="仿宋_GB2312"/>
          <w:bCs/>
          <w:sz w:val="32"/>
          <w:szCs w:val="32"/>
        </w:rPr>
        <w:t>缴费2080506：</w:t>
      </w:r>
      <w:r>
        <w:rPr>
          <w:rFonts w:hint="eastAsia" w:ascii="仿宋" w:hAnsi="仿宋" w:eastAsia="仿宋"/>
          <w:sz w:val="32"/>
          <w:szCs w:val="32"/>
        </w:rPr>
        <w:t>指反映机关事业单位实施养老保险制度由单位缴纳的职业年金。</w:t>
      </w:r>
    </w:p>
    <w:p>
      <w:pPr>
        <w:ind w:firstLine="640" w:firstLineChars="200"/>
        <w:rPr>
          <w:rFonts w:ascii="仿宋" w:hAnsi="仿宋" w:eastAsia="仿宋"/>
          <w:sz w:val="32"/>
          <w:szCs w:val="32"/>
        </w:rPr>
      </w:pPr>
      <w:r>
        <w:rPr>
          <w:rFonts w:hint="eastAsia" w:ascii="仿宋" w:hAnsi="仿宋" w:eastAsia="仿宋"/>
          <w:sz w:val="32"/>
          <w:szCs w:val="32"/>
        </w:rPr>
        <w:t>8.法制建设2010307：指反映各级政府用于法制建设方面的支出。</w:t>
      </w:r>
    </w:p>
    <w:p>
      <w:pPr>
        <w:ind w:firstLine="640" w:firstLineChars="200"/>
        <w:rPr>
          <w:rFonts w:ascii="仿宋" w:hAnsi="仿宋" w:eastAsia="仿宋"/>
          <w:sz w:val="32"/>
          <w:szCs w:val="32"/>
        </w:rPr>
      </w:pPr>
      <w:r>
        <w:rPr>
          <w:rFonts w:hint="eastAsia" w:ascii="仿宋" w:hAnsi="仿宋" w:eastAsia="仿宋"/>
          <w:sz w:val="32"/>
          <w:szCs w:val="32"/>
        </w:rPr>
        <w:t>9.一般行政管理事务2013602：反映行政单位未单独设置项级科目的其他项目支出。</w:t>
      </w:r>
    </w:p>
    <w:p>
      <w:pPr>
        <w:ind w:firstLine="640" w:firstLineChars="200"/>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10.行政单位医疗2101101：反映财政部门集中安排的行政单位基本医疗缴费。</w:t>
      </w:r>
    </w:p>
    <w:p>
      <w:pPr>
        <w:ind w:firstLine="640" w:firstLineChars="200"/>
        <w:rPr>
          <w:rFonts w:ascii="仿宋" w:hAnsi="仿宋" w:eastAsia="仿宋"/>
          <w:sz w:val="32"/>
          <w:szCs w:val="32"/>
        </w:rPr>
      </w:pPr>
    </w:p>
    <w:p>
      <w:pPr>
        <w:ind w:firstLine="640" w:firstLineChars="200"/>
        <w:rPr>
          <w:rFonts w:ascii="仿宋" w:hAnsi="仿宋" w:eastAsia="仿宋"/>
          <w:sz w:val="32"/>
          <w:szCs w:val="32"/>
        </w:rPr>
      </w:pPr>
      <w:r>
        <w:rPr>
          <w:rFonts w:hint="eastAsia" w:ascii="仿宋" w:hAnsi="仿宋" w:eastAsia="仿宋"/>
          <w:sz w:val="32"/>
          <w:szCs w:val="32"/>
        </w:rPr>
        <w:t>11.公务员医疗补助2101103：指反映财政部门集中安排的公务员医疗补助经费。</w:t>
      </w:r>
    </w:p>
    <w:p>
      <w:pPr>
        <w:ind w:firstLine="640" w:firstLineChars="200"/>
        <w:rPr>
          <w:rFonts w:ascii="仿宋" w:hAnsi="仿宋" w:eastAsia="仿宋"/>
          <w:sz w:val="32"/>
          <w:szCs w:val="32"/>
        </w:rPr>
      </w:pPr>
      <w:r>
        <w:rPr>
          <w:rFonts w:hint="eastAsia" w:ascii="仿宋" w:hAnsi="仿宋" w:eastAsia="仿宋"/>
          <w:sz w:val="32"/>
          <w:szCs w:val="32"/>
        </w:rPr>
        <w:t>12.住房公积金2210201：指反映行政事业单位按规定及规定比例为职工缴纳的住房公积金。</w:t>
      </w:r>
    </w:p>
    <w:p>
      <w:pPr>
        <w:ind w:firstLine="640" w:firstLineChars="200"/>
        <w:rPr>
          <w:rFonts w:ascii="仿宋" w:hAnsi="仿宋" w:eastAsia="仿宋"/>
          <w:color w:val="000000"/>
          <w:sz w:val="32"/>
          <w:szCs w:val="32"/>
        </w:rPr>
      </w:pPr>
      <w:r>
        <w:rPr>
          <w:rFonts w:hint="eastAsia" w:ascii="仿宋" w:hAnsi="仿宋" w:eastAsia="仿宋"/>
          <w:color w:val="000000"/>
          <w:sz w:val="32"/>
          <w:szCs w:val="32"/>
        </w:rPr>
        <w:t>13</w:t>
      </w:r>
      <w:r>
        <w:rPr>
          <w:rFonts w:ascii="仿宋" w:hAnsi="仿宋" w:eastAsia="仿宋"/>
          <w:color w:val="000000"/>
          <w:sz w:val="32"/>
          <w:szCs w:val="32"/>
        </w:rPr>
        <w:t>.</w:t>
      </w:r>
      <w:r>
        <w:rPr>
          <w:rFonts w:hint="eastAsia" w:ascii="仿宋" w:hAnsi="仿宋" w:eastAsia="仿宋"/>
          <w:color w:val="000000"/>
          <w:sz w:val="32"/>
          <w:szCs w:val="32"/>
        </w:rPr>
        <w:t>基本支出：指为保障机构正常运转、完成日常工作任务而发生的人员支出和公用支出。</w:t>
      </w:r>
    </w:p>
    <w:p>
      <w:pPr>
        <w:pStyle w:val="23"/>
        <w:spacing w:line="560" w:lineRule="exact"/>
        <w:ind w:firstLine="640" w:firstLineChars="200"/>
        <w:rPr>
          <w:rFonts w:hAnsi="仿宋"/>
          <w:sz w:val="32"/>
          <w:szCs w:val="32"/>
        </w:rPr>
      </w:pPr>
      <w:r>
        <w:rPr>
          <w:rFonts w:hint="eastAsia" w:hAnsi="仿宋"/>
          <w:sz w:val="32"/>
          <w:szCs w:val="32"/>
        </w:rPr>
        <w:t>14</w:t>
      </w:r>
      <w:r>
        <w:rPr>
          <w:rFonts w:hAnsi="仿宋"/>
          <w:sz w:val="32"/>
          <w:szCs w:val="32"/>
        </w:rPr>
        <w:t>.</w:t>
      </w:r>
      <w:r>
        <w:rPr>
          <w:rFonts w:hint="eastAsia" w:hAnsi="仿宋"/>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3"/>
        <w:spacing w:line="560" w:lineRule="exact"/>
        <w:ind w:firstLine="640" w:firstLineChars="200"/>
        <w:rPr>
          <w:rFonts w:hAnsi="仿宋"/>
          <w:sz w:val="32"/>
          <w:szCs w:val="32"/>
        </w:rPr>
      </w:pPr>
      <w:r>
        <w:rPr>
          <w:rFonts w:hint="eastAsia" w:hAnsi="仿宋"/>
          <w:sz w:val="32"/>
          <w:szCs w:val="32"/>
        </w:rPr>
        <w:t>15</w:t>
      </w:r>
      <w:r>
        <w:rPr>
          <w:rFonts w:hAnsi="仿宋"/>
          <w:sz w:val="32"/>
          <w:szCs w:val="32"/>
        </w:rPr>
        <w:t>.</w:t>
      </w:r>
      <w:r>
        <w:rPr>
          <w:rFonts w:hint="eastAsia" w:hAnsi="仿宋"/>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jc w:val="center"/>
        <w:outlineLvl w:val="0"/>
        <w:rPr>
          <w:rStyle w:val="25"/>
          <w:rFonts w:ascii="仿宋" w:hAnsi="仿宋" w:eastAsia="仿宋"/>
        </w:rPr>
      </w:pPr>
      <w:bookmarkStart w:id="57" w:name="_Toc15377226"/>
      <w:r>
        <w:rPr>
          <w:rFonts w:ascii="仿宋" w:hAnsi="仿宋" w:eastAsia="仿宋"/>
          <w:b/>
          <w:color w:val="000000"/>
          <w:sz w:val="32"/>
          <w:szCs w:val="32"/>
        </w:rPr>
        <w:br w:type="page"/>
      </w:r>
      <w:bookmarkStart w:id="58" w:name="_Toc15396614"/>
      <w:r>
        <w:rPr>
          <w:rFonts w:hint="eastAsia" w:ascii="仿宋" w:hAnsi="仿宋" w:eastAsia="仿宋"/>
          <w:b/>
          <w:color w:val="000000"/>
          <w:sz w:val="44"/>
          <w:szCs w:val="44"/>
        </w:rPr>
        <w:t>第</w:t>
      </w:r>
      <w:r>
        <w:rPr>
          <w:rStyle w:val="25"/>
          <w:rFonts w:hint="eastAsia" w:ascii="仿宋" w:hAnsi="仿宋" w:eastAsia="仿宋"/>
        </w:rPr>
        <w:t>四部分 附件</w:t>
      </w:r>
      <w:bookmarkEnd w:id="58"/>
    </w:p>
    <w:p>
      <w:pPr>
        <w:spacing w:line="600" w:lineRule="exact"/>
        <w:jc w:val="center"/>
        <w:outlineLvl w:val="0"/>
        <w:rPr>
          <w:rStyle w:val="25"/>
        </w:rPr>
      </w:pPr>
    </w:p>
    <w:p>
      <w:pPr>
        <w:pStyle w:val="3"/>
        <w:rPr>
          <w:rStyle w:val="25"/>
          <w:rFonts w:ascii="仿宋" w:hAnsi="仿宋" w:eastAsia="仿宋"/>
          <w:b w:val="0"/>
          <w:bCs w:val="0"/>
          <w:sz w:val="32"/>
          <w:szCs w:val="32"/>
        </w:rPr>
      </w:pPr>
      <w:bookmarkStart w:id="59" w:name="_Toc15396615"/>
      <w:r>
        <w:rPr>
          <w:rStyle w:val="25"/>
          <w:rFonts w:hint="eastAsia" w:ascii="仿宋" w:hAnsi="仿宋" w:eastAsia="仿宋"/>
          <w:b w:val="0"/>
          <w:bCs w:val="0"/>
          <w:sz w:val="32"/>
          <w:szCs w:val="32"/>
        </w:rPr>
        <w:t>附件1</w:t>
      </w:r>
      <w:bookmarkEnd w:id="59"/>
    </w:p>
    <w:p>
      <w:pPr>
        <w:widowControl/>
        <w:spacing w:line="480" w:lineRule="exact"/>
        <w:jc w:val="center"/>
        <w:rPr>
          <w:rFonts w:ascii="仿宋" w:hAnsi="仿宋" w:eastAsia="仿宋" w:cs="方正小标宋简体"/>
          <w:b/>
          <w:sz w:val="44"/>
          <w:szCs w:val="44"/>
        </w:rPr>
      </w:pPr>
      <w:bookmarkStart w:id="60" w:name="_Toc15396617"/>
      <w:r>
        <w:rPr>
          <w:rFonts w:hint="eastAsia" w:ascii="仿宋" w:hAnsi="仿宋" w:eastAsia="仿宋" w:cs="方正小标宋简体"/>
          <w:b/>
          <w:sz w:val="44"/>
          <w:szCs w:val="44"/>
        </w:rPr>
        <w:t>部门整体支出绩效报告</w:t>
      </w:r>
    </w:p>
    <w:p>
      <w:pPr>
        <w:widowControl/>
        <w:adjustRightInd w:val="0"/>
        <w:snapToGrid w:val="0"/>
        <w:spacing w:line="480" w:lineRule="exact"/>
        <w:ind w:firstLine="720"/>
        <w:jc w:val="left"/>
        <w:rPr>
          <w:rFonts w:ascii="仿宋" w:hAnsi="仿宋" w:eastAsia="仿宋" w:cs="宋体"/>
          <w:b/>
          <w:color w:val="000000"/>
          <w:kern w:val="0"/>
          <w:sz w:val="32"/>
          <w:szCs w:val="32"/>
          <w:lang w:val="zh-CN"/>
        </w:rPr>
      </w:pPr>
      <w:r>
        <w:rPr>
          <w:rFonts w:hint="eastAsia" w:ascii="仿宋" w:hAnsi="仿宋" w:eastAsia="仿宋" w:cs="宋体"/>
          <w:b/>
          <w:color w:val="000000"/>
          <w:kern w:val="0"/>
          <w:sz w:val="32"/>
          <w:szCs w:val="32"/>
        </w:rPr>
        <w:t>一、</w:t>
      </w:r>
      <w:r>
        <w:rPr>
          <w:rFonts w:hint="eastAsia" w:ascii="仿宋" w:hAnsi="仿宋" w:eastAsia="仿宋" w:cs="宋体"/>
          <w:b/>
          <w:color w:val="000000"/>
          <w:kern w:val="0"/>
          <w:sz w:val="32"/>
          <w:szCs w:val="32"/>
          <w:lang w:val="zh-CN"/>
        </w:rPr>
        <w:t>部门（单位）概况</w:t>
      </w:r>
    </w:p>
    <w:p>
      <w:pPr>
        <w:widowControl/>
        <w:adjustRightInd w:val="0"/>
        <w:snapToGrid w:val="0"/>
        <w:spacing w:line="480" w:lineRule="exact"/>
        <w:ind w:firstLine="720"/>
        <w:jc w:val="left"/>
        <w:rPr>
          <w:rFonts w:ascii="仿宋" w:hAnsi="仿宋" w:eastAsia="仿宋" w:cs="宋体"/>
          <w:b/>
          <w:color w:val="000000"/>
          <w:kern w:val="0"/>
          <w:sz w:val="32"/>
          <w:szCs w:val="32"/>
          <w:lang w:val="zh-CN"/>
        </w:rPr>
      </w:pPr>
      <w:r>
        <w:rPr>
          <w:rFonts w:hint="eastAsia" w:ascii="仿宋" w:hAnsi="仿宋" w:eastAsia="仿宋" w:cs="宋体"/>
          <w:b/>
          <w:color w:val="000000"/>
          <w:kern w:val="0"/>
          <w:sz w:val="32"/>
          <w:szCs w:val="32"/>
          <w:lang w:val="zh-CN"/>
        </w:rPr>
        <w:t>（一）机构组成。</w:t>
      </w:r>
    </w:p>
    <w:p>
      <w:pPr>
        <w:spacing w:line="520" w:lineRule="exact"/>
        <w:ind w:firstLine="640" w:firstLineChars="200"/>
        <w:jc w:val="left"/>
        <w:rPr>
          <w:rFonts w:ascii="仿宋" w:hAnsi="仿宋" w:eastAsia="仿宋" w:cs="仿宋_GB2312"/>
          <w:bCs/>
          <w:sz w:val="32"/>
        </w:rPr>
      </w:pPr>
      <w:r>
        <w:rPr>
          <w:rFonts w:hint="eastAsia" w:ascii="仿宋" w:hAnsi="仿宋" w:eastAsia="仿宋" w:cs="仿宋_GB2312"/>
          <w:bCs/>
          <w:sz w:val="32"/>
        </w:rPr>
        <w:t>我单位为独立核算全额拨行政单位，内设副科级1个，名称是群众接访中心，股室3个，分别是：综合股、政策法规股、办访和网络管理股。</w:t>
      </w:r>
    </w:p>
    <w:p>
      <w:pPr>
        <w:widowControl/>
        <w:adjustRightInd w:val="0"/>
        <w:snapToGrid w:val="0"/>
        <w:spacing w:line="480" w:lineRule="exact"/>
        <w:ind w:firstLine="720"/>
        <w:jc w:val="left"/>
        <w:rPr>
          <w:rFonts w:ascii="仿宋" w:hAnsi="仿宋" w:eastAsia="仿宋" w:cs="宋体"/>
          <w:b/>
          <w:color w:val="000000"/>
          <w:kern w:val="0"/>
          <w:sz w:val="32"/>
          <w:szCs w:val="32"/>
          <w:lang w:val="zh-CN"/>
        </w:rPr>
      </w:pPr>
      <w:r>
        <w:rPr>
          <w:rFonts w:hint="eastAsia" w:ascii="仿宋" w:hAnsi="仿宋" w:eastAsia="仿宋" w:cs="宋体"/>
          <w:b/>
          <w:color w:val="000000"/>
          <w:kern w:val="0"/>
          <w:sz w:val="32"/>
          <w:szCs w:val="32"/>
          <w:lang w:val="zh-CN"/>
        </w:rPr>
        <w:t>（二）机构职能。</w:t>
      </w:r>
    </w:p>
    <w:p>
      <w:pPr>
        <w:pStyle w:val="30"/>
        <w:spacing w:line="520" w:lineRule="exact"/>
        <w:ind w:firstLine="595" w:firstLineChars="196"/>
        <w:rPr>
          <w:rFonts w:ascii="仿宋" w:hAnsi="仿宋" w:eastAsia="仿宋" w:cs="仿宋_GB2312"/>
          <w:w w:val="95"/>
          <w:sz w:val="32"/>
          <w:szCs w:val="32"/>
        </w:rPr>
      </w:pPr>
      <w:r>
        <w:rPr>
          <w:rFonts w:hint="eastAsia" w:ascii="仿宋" w:hAnsi="仿宋" w:eastAsia="仿宋" w:cs="仿宋_GB2312"/>
          <w:w w:val="95"/>
          <w:sz w:val="32"/>
          <w:szCs w:val="32"/>
        </w:rPr>
        <w:t>1.代表县委、县政府受理人民来信、来电，接待群众来访；2.承办上级领导机关及其所属部门、单位和县委、县政府领导交办、转办的信访事项，并负责督办和上报查处结果；3.根据县委、县政府领导意见，向各乡镇和县级各有关部门交办、转办信访事项，并负责督办和报告查处结果；4.检查、指导、督查各乡镇、县级各部门的信访工作。</w:t>
      </w:r>
    </w:p>
    <w:p>
      <w:pPr>
        <w:widowControl/>
        <w:adjustRightInd w:val="0"/>
        <w:snapToGrid w:val="0"/>
        <w:spacing w:line="480" w:lineRule="exact"/>
        <w:ind w:firstLine="482" w:firstLineChars="150"/>
        <w:jc w:val="left"/>
        <w:rPr>
          <w:rFonts w:ascii="仿宋" w:hAnsi="仿宋" w:eastAsia="仿宋" w:cs="宋体"/>
          <w:b/>
          <w:color w:val="000000"/>
          <w:kern w:val="0"/>
          <w:sz w:val="32"/>
          <w:szCs w:val="32"/>
          <w:lang w:val="zh-CN"/>
        </w:rPr>
      </w:pPr>
      <w:r>
        <w:rPr>
          <w:rFonts w:hint="eastAsia" w:ascii="仿宋" w:hAnsi="仿宋" w:eastAsia="仿宋" w:cs="宋体"/>
          <w:b/>
          <w:color w:val="000000"/>
          <w:kern w:val="0"/>
          <w:sz w:val="32"/>
          <w:szCs w:val="32"/>
          <w:lang w:val="zh-CN"/>
        </w:rPr>
        <w:t>（三）人员概况。</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截止2018年底我单位共有编制8个，其中公务员编制3个，行政工勤编制1个，参公编制0个，在职7人，其中参公0人，公务员</w:t>
      </w:r>
      <w:r>
        <w:rPr>
          <w:rFonts w:hint="eastAsia" w:ascii="仿宋" w:hAnsi="仿宋" w:eastAsia="仿宋" w:cs="仿宋_GB2312"/>
          <w:bCs/>
          <w:sz w:val="32"/>
          <w:szCs w:val="32"/>
          <w:lang w:val="en-US" w:eastAsia="zh-CN"/>
        </w:rPr>
        <w:t>3</w:t>
      </w:r>
      <w:r>
        <w:rPr>
          <w:rFonts w:hint="eastAsia" w:ascii="仿宋" w:hAnsi="仿宋" w:eastAsia="仿宋" w:cs="仿宋_GB2312"/>
          <w:bCs/>
          <w:sz w:val="32"/>
          <w:szCs w:val="32"/>
        </w:rPr>
        <w:t>人， 行政工勤1人，事业人员</w:t>
      </w:r>
      <w:r>
        <w:rPr>
          <w:rFonts w:hint="eastAsia" w:ascii="仿宋" w:hAnsi="仿宋" w:eastAsia="仿宋" w:cs="仿宋_GB2312"/>
          <w:bCs/>
          <w:sz w:val="32"/>
          <w:szCs w:val="32"/>
          <w:lang w:val="en-US" w:eastAsia="zh-CN"/>
        </w:rPr>
        <w:t>3</w:t>
      </w:r>
      <w:r>
        <w:rPr>
          <w:rFonts w:hint="eastAsia" w:ascii="仿宋" w:hAnsi="仿宋" w:eastAsia="仿宋" w:cs="仿宋_GB2312"/>
          <w:bCs/>
          <w:sz w:val="32"/>
          <w:szCs w:val="32"/>
        </w:rPr>
        <w:t>人。</w:t>
      </w:r>
    </w:p>
    <w:p>
      <w:pPr>
        <w:widowControl/>
        <w:adjustRightInd w:val="0"/>
        <w:snapToGrid w:val="0"/>
        <w:spacing w:line="480" w:lineRule="exact"/>
        <w:ind w:firstLine="720"/>
        <w:jc w:val="left"/>
        <w:rPr>
          <w:rFonts w:ascii="仿宋" w:hAnsi="仿宋" w:eastAsia="仿宋" w:cs="宋体"/>
          <w:b/>
          <w:color w:val="000000"/>
          <w:kern w:val="0"/>
          <w:sz w:val="32"/>
          <w:szCs w:val="32"/>
        </w:rPr>
      </w:pPr>
      <w:r>
        <w:rPr>
          <w:rFonts w:hint="eastAsia" w:ascii="仿宋" w:hAnsi="仿宋" w:eastAsia="仿宋" w:cs="宋体"/>
          <w:b/>
          <w:color w:val="000000"/>
          <w:kern w:val="0"/>
          <w:sz w:val="32"/>
          <w:szCs w:val="32"/>
        </w:rPr>
        <w:t>二、部门财政资金收支情况</w:t>
      </w:r>
    </w:p>
    <w:p>
      <w:pPr>
        <w:widowControl/>
        <w:adjustRightInd w:val="0"/>
        <w:snapToGrid w:val="0"/>
        <w:spacing w:line="480" w:lineRule="exact"/>
        <w:ind w:firstLine="720"/>
        <w:jc w:val="left"/>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（一）部门财政资金收入情况。</w:t>
      </w:r>
    </w:p>
    <w:p>
      <w:pPr>
        <w:widowControl/>
        <w:adjustRightInd w:val="0"/>
        <w:snapToGrid w:val="0"/>
        <w:spacing w:line="480" w:lineRule="exact"/>
        <w:ind w:firstLine="720"/>
        <w:jc w:val="left"/>
        <w:rPr>
          <w:rFonts w:ascii="仿宋" w:hAnsi="仿宋" w:eastAsia="仿宋" w:cs="宋体"/>
          <w:color w:val="000000"/>
          <w:kern w:val="0"/>
          <w:sz w:val="32"/>
          <w:szCs w:val="32"/>
          <w:lang w:val="zh-CN"/>
        </w:rPr>
      </w:pPr>
      <w:r>
        <w:rPr>
          <w:rFonts w:hint="eastAsia" w:ascii="仿宋" w:hAnsi="仿宋" w:eastAsia="仿宋"/>
          <w:color w:val="000000"/>
          <w:sz w:val="32"/>
          <w:szCs w:val="32"/>
        </w:rPr>
        <w:t>2018年本年收入合计134.10万元，其中：一般公共预算财政拨款收入134.10万元，占100%；其他收入0万元元，占0 %。</w:t>
      </w:r>
    </w:p>
    <w:p>
      <w:pPr>
        <w:widowControl/>
        <w:adjustRightInd w:val="0"/>
        <w:snapToGrid w:val="0"/>
        <w:spacing w:line="480" w:lineRule="exact"/>
        <w:ind w:firstLine="720"/>
        <w:jc w:val="left"/>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（二）部门财政资金支出情况。</w:t>
      </w:r>
    </w:p>
    <w:p>
      <w:pPr>
        <w:spacing w:line="54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2018年本年支出合计</w:t>
      </w:r>
      <w:r>
        <w:rPr>
          <w:rFonts w:hint="eastAsia" w:ascii="仿宋" w:hAnsi="仿宋" w:eastAsia="仿宋" w:cs="Arial"/>
          <w:color w:val="000000"/>
          <w:kern w:val="0"/>
          <w:sz w:val="32"/>
          <w:szCs w:val="32"/>
        </w:rPr>
        <w:t>148.85万</w:t>
      </w:r>
      <w:r>
        <w:rPr>
          <w:rFonts w:hint="eastAsia" w:ascii="仿宋" w:hAnsi="仿宋" w:eastAsia="仿宋"/>
          <w:color w:val="000000"/>
          <w:sz w:val="32"/>
          <w:szCs w:val="32"/>
        </w:rPr>
        <w:t>元，其中：基本支出</w:t>
      </w:r>
      <w:r>
        <w:rPr>
          <w:rFonts w:hint="eastAsia" w:ascii="仿宋" w:hAnsi="仿宋" w:eastAsia="仿宋" w:cs="Arial"/>
          <w:color w:val="000000"/>
          <w:kern w:val="0"/>
          <w:sz w:val="32"/>
          <w:szCs w:val="32"/>
        </w:rPr>
        <w:t>146.94万</w:t>
      </w:r>
      <w:r>
        <w:rPr>
          <w:rFonts w:hint="eastAsia" w:ascii="仿宋" w:hAnsi="仿宋" w:eastAsia="仿宋"/>
          <w:color w:val="000000"/>
          <w:sz w:val="32"/>
          <w:szCs w:val="32"/>
        </w:rPr>
        <w:t>元，占98.72%；项目支出1.91万元，占1.28%。</w:t>
      </w:r>
    </w:p>
    <w:p>
      <w:pPr>
        <w:spacing w:line="540" w:lineRule="exact"/>
        <w:ind w:firstLine="640" w:firstLineChars="200"/>
        <w:jc w:val="left"/>
        <w:rPr>
          <w:rFonts w:ascii="仿宋" w:hAnsi="仿宋" w:eastAsia="仿宋" w:cs="Arial"/>
          <w:color w:val="000000"/>
          <w:kern w:val="0"/>
          <w:sz w:val="32"/>
          <w:szCs w:val="32"/>
        </w:rPr>
      </w:pPr>
      <w:r>
        <w:rPr>
          <w:rFonts w:hint="eastAsia" w:ascii="仿宋" w:hAnsi="仿宋" w:eastAsia="仿宋" w:cs="Arial"/>
          <w:color w:val="000000"/>
          <w:kern w:val="0"/>
          <w:sz w:val="32"/>
          <w:szCs w:val="32"/>
        </w:rPr>
        <w:t>整体支出主要体现在：一是保障单位基本正常运转，其中：工资福利支出：104.10万元、商品和服务支出：31.44万元、对家庭和个人的补助支出：0.02万元、资本性支出：13.29万元。</w:t>
      </w:r>
    </w:p>
    <w:p>
      <w:pPr>
        <w:spacing w:line="560" w:lineRule="exact"/>
        <w:ind w:firstLine="640"/>
        <w:rPr>
          <w:rFonts w:ascii="仿宋" w:hAnsi="仿宋" w:eastAsia="仿宋"/>
          <w:color w:val="000000"/>
          <w:sz w:val="32"/>
          <w:szCs w:val="32"/>
        </w:rPr>
      </w:pPr>
      <w:r>
        <w:rPr>
          <w:rFonts w:hint="eastAsia" w:ascii="仿宋" w:hAnsi="仿宋" w:eastAsia="仿宋"/>
          <w:color w:val="000000"/>
          <w:sz w:val="32"/>
          <w:szCs w:val="32"/>
        </w:rPr>
        <w:t>2018年一般公共预算财政拨款支出148.76万元，主要用于以下方面:</w:t>
      </w:r>
    </w:p>
    <w:p>
      <w:pPr>
        <w:spacing w:line="560" w:lineRule="exact"/>
        <w:ind w:firstLine="640"/>
        <w:rPr>
          <w:rFonts w:ascii="仿宋" w:hAnsi="仿宋" w:eastAsia="仿宋"/>
          <w:color w:val="000000"/>
          <w:sz w:val="32"/>
          <w:szCs w:val="32"/>
        </w:rPr>
      </w:pPr>
      <w:r>
        <w:rPr>
          <w:rFonts w:hint="eastAsia" w:ascii="仿宋" w:hAnsi="仿宋" w:eastAsia="仿宋"/>
          <w:color w:val="000000"/>
          <w:sz w:val="32"/>
          <w:szCs w:val="32"/>
        </w:rPr>
        <w:t>一般公共服务支出117.72万元，占79.14%；</w:t>
      </w:r>
    </w:p>
    <w:p>
      <w:pPr>
        <w:spacing w:line="560" w:lineRule="exact"/>
        <w:ind w:firstLine="640"/>
        <w:rPr>
          <w:rFonts w:ascii="仿宋" w:hAnsi="仿宋" w:eastAsia="仿宋"/>
          <w:color w:val="000000"/>
          <w:sz w:val="32"/>
          <w:szCs w:val="32"/>
        </w:rPr>
      </w:pPr>
      <w:r>
        <w:rPr>
          <w:rFonts w:hint="eastAsia" w:ascii="仿宋" w:hAnsi="仿宋" w:eastAsia="仿宋"/>
          <w:color w:val="000000"/>
          <w:sz w:val="32"/>
          <w:szCs w:val="32"/>
        </w:rPr>
        <w:t>社会保障和就业支出17.31万元，占11.64%；</w:t>
      </w:r>
    </w:p>
    <w:p>
      <w:pPr>
        <w:spacing w:line="560" w:lineRule="exact"/>
        <w:ind w:firstLine="640"/>
        <w:rPr>
          <w:rFonts w:ascii="仿宋" w:hAnsi="仿宋" w:eastAsia="仿宋"/>
          <w:color w:val="000000"/>
          <w:sz w:val="32"/>
          <w:szCs w:val="32"/>
        </w:rPr>
      </w:pPr>
      <w:r>
        <w:rPr>
          <w:rFonts w:hint="eastAsia" w:ascii="仿宋" w:hAnsi="仿宋" w:eastAsia="仿宋"/>
          <w:color w:val="000000"/>
          <w:sz w:val="32"/>
          <w:szCs w:val="32"/>
        </w:rPr>
        <w:t>医疗卫生支出5.05万元，占3.41%；</w:t>
      </w:r>
    </w:p>
    <w:p>
      <w:pPr>
        <w:spacing w:line="560" w:lineRule="exact"/>
        <w:ind w:firstLine="640"/>
        <w:rPr>
          <w:rFonts w:ascii="仿宋" w:hAnsi="仿宋" w:eastAsia="仿宋"/>
          <w:color w:val="000000"/>
          <w:sz w:val="32"/>
          <w:szCs w:val="32"/>
        </w:rPr>
      </w:pPr>
      <w:r>
        <w:rPr>
          <w:rFonts w:hint="eastAsia" w:ascii="仿宋" w:hAnsi="仿宋" w:eastAsia="仿宋"/>
          <w:color w:val="000000"/>
          <w:sz w:val="32"/>
          <w:szCs w:val="32"/>
        </w:rPr>
        <w:t>住房保障支出8.7万元，占5.81%;</w:t>
      </w:r>
    </w:p>
    <w:p>
      <w:pPr>
        <w:spacing w:line="560" w:lineRule="exact"/>
        <w:ind w:firstLine="640"/>
        <w:rPr>
          <w:rFonts w:ascii="仿宋" w:hAnsi="仿宋" w:eastAsia="仿宋"/>
          <w:bCs/>
          <w:color w:val="000000"/>
          <w:sz w:val="32"/>
          <w:szCs w:val="32"/>
        </w:rPr>
      </w:pPr>
      <w:r>
        <w:rPr>
          <w:rFonts w:hint="eastAsia" w:ascii="仿宋" w:hAnsi="仿宋" w:eastAsia="仿宋"/>
          <w:bCs/>
          <w:color w:val="000000"/>
          <w:sz w:val="32"/>
          <w:szCs w:val="32"/>
        </w:rPr>
        <w:t>一般公共预算财政拨款支出具体情况：</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2013601-行政运行支出115.81万元，完成预算100%，决</w:t>
      </w:r>
      <w:r>
        <w:rPr>
          <w:rStyle w:val="15"/>
          <w:rFonts w:hint="eastAsia" w:ascii="仿宋" w:hAnsi="仿宋" w:eastAsia="仿宋"/>
          <w:b w:val="0"/>
          <w:color w:val="000000"/>
          <w:sz w:val="32"/>
          <w:szCs w:val="32"/>
        </w:rPr>
        <w:t>算数与预算数持平，该支出</w:t>
      </w:r>
      <w:r>
        <w:rPr>
          <w:rFonts w:hint="eastAsia" w:ascii="仿宋" w:hAnsi="仿宋" w:eastAsia="仿宋" w:cs="仿宋_GB2312"/>
          <w:bCs/>
          <w:sz w:val="32"/>
          <w:szCs w:val="32"/>
        </w:rPr>
        <w:t>主要用于支付职工工资和维护办公室正常运行。</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2013602-一般行政管理事务1.5万元，完成预算100%、决算数与预算数持平，</w:t>
      </w:r>
      <w:r>
        <w:rPr>
          <w:rStyle w:val="15"/>
          <w:rFonts w:hint="eastAsia" w:ascii="仿宋" w:hAnsi="仿宋" w:eastAsia="仿宋"/>
          <w:b w:val="0"/>
          <w:color w:val="000000"/>
          <w:sz w:val="32"/>
          <w:szCs w:val="32"/>
        </w:rPr>
        <w:t>该支出</w:t>
      </w:r>
      <w:r>
        <w:rPr>
          <w:rFonts w:hint="eastAsia" w:ascii="仿宋" w:hAnsi="仿宋" w:eastAsia="仿宋" w:cs="仿宋_GB2312"/>
          <w:bCs/>
          <w:sz w:val="32"/>
          <w:szCs w:val="32"/>
        </w:rPr>
        <w:t>主要用于维稳事宜等。</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2010307-法制建设支出0.41万元，完成预算80%，主要用于维护县法制办公室正常运行，决算数小于预算数，主要是节约了开支。</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2080505-机关事业单位基本养老保险缴费支出12.36万元，完成预算100%</w:t>
      </w:r>
      <w:r>
        <w:rPr>
          <w:rStyle w:val="15"/>
          <w:rFonts w:hint="eastAsia" w:ascii="仿宋" w:hAnsi="仿宋" w:eastAsia="仿宋"/>
          <w:color w:val="000000"/>
          <w:sz w:val="32"/>
          <w:szCs w:val="32"/>
        </w:rPr>
        <w:t>，</w:t>
      </w:r>
      <w:r>
        <w:rPr>
          <w:rFonts w:hint="eastAsia" w:ascii="仿宋" w:hAnsi="仿宋" w:eastAsia="仿宋" w:cs="仿宋_GB2312"/>
          <w:bCs/>
          <w:sz w:val="32"/>
          <w:szCs w:val="32"/>
        </w:rPr>
        <w:t>决算数与预算数持平，</w:t>
      </w:r>
      <w:r>
        <w:rPr>
          <w:rStyle w:val="15"/>
          <w:rFonts w:hint="eastAsia" w:ascii="仿宋" w:hAnsi="仿宋" w:eastAsia="仿宋"/>
          <w:b w:val="0"/>
          <w:color w:val="000000"/>
          <w:sz w:val="32"/>
          <w:szCs w:val="32"/>
        </w:rPr>
        <w:t>该支出</w:t>
      </w:r>
      <w:r>
        <w:rPr>
          <w:rFonts w:hint="eastAsia" w:ascii="仿宋" w:hAnsi="仿宋" w:eastAsia="仿宋" w:cs="仿宋_GB2312"/>
          <w:bCs/>
          <w:sz w:val="32"/>
          <w:szCs w:val="32"/>
        </w:rPr>
        <w:t>主要用于支付机关事业单位养老保险缴费支出。</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2080506-机关事业单位职业年金缴费支出4.96万元，完成预算100%</w:t>
      </w:r>
      <w:r>
        <w:rPr>
          <w:rStyle w:val="15"/>
          <w:rFonts w:hint="eastAsia" w:ascii="仿宋" w:hAnsi="仿宋" w:eastAsia="仿宋"/>
          <w:color w:val="000000"/>
          <w:sz w:val="32"/>
          <w:szCs w:val="32"/>
        </w:rPr>
        <w:t>，</w:t>
      </w:r>
      <w:r>
        <w:rPr>
          <w:rFonts w:hint="eastAsia" w:ascii="仿宋" w:hAnsi="仿宋" w:eastAsia="仿宋" w:cs="仿宋_GB2312"/>
          <w:bCs/>
          <w:sz w:val="32"/>
          <w:szCs w:val="32"/>
        </w:rPr>
        <w:t>决算数与预算数持平，</w:t>
      </w:r>
      <w:r>
        <w:rPr>
          <w:rStyle w:val="15"/>
          <w:rFonts w:hint="eastAsia" w:ascii="仿宋" w:hAnsi="仿宋" w:eastAsia="仿宋"/>
          <w:b w:val="0"/>
          <w:color w:val="000000"/>
          <w:sz w:val="32"/>
          <w:szCs w:val="32"/>
        </w:rPr>
        <w:t>该支出</w:t>
      </w:r>
      <w:r>
        <w:rPr>
          <w:rFonts w:hint="eastAsia" w:ascii="仿宋" w:hAnsi="仿宋" w:eastAsia="仿宋" w:cs="仿宋_GB2312"/>
          <w:bCs/>
          <w:sz w:val="32"/>
          <w:szCs w:val="32"/>
        </w:rPr>
        <w:t>主要用于支付机关事业单位职业年金缴费支出。</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2101101-行政单位医疗支出4.08万元，完成预算100%</w:t>
      </w:r>
      <w:r>
        <w:rPr>
          <w:rStyle w:val="15"/>
          <w:rFonts w:hint="eastAsia" w:ascii="仿宋" w:hAnsi="仿宋" w:eastAsia="仿宋"/>
          <w:color w:val="000000"/>
          <w:sz w:val="32"/>
          <w:szCs w:val="32"/>
        </w:rPr>
        <w:t>，</w:t>
      </w:r>
      <w:r>
        <w:rPr>
          <w:rFonts w:hint="eastAsia" w:ascii="仿宋" w:hAnsi="仿宋" w:eastAsia="仿宋" w:cs="仿宋_GB2312"/>
          <w:bCs/>
          <w:sz w:val="32"/>
          <w:szCs w:val="32"/>
        </w:rPr>
        <w:t>决算数与预算数持平，</w:t>
      </w:r>
      <w:r>
        <w:rPr>
          <w:rStyle w:val="15"/>
          <w:rFonts w:hint="eastAsia" w:ascii="仿宋" w:hAnsi="仿宋" w:eastAsia="仿宋"/>
          <w:b w:val="0"/>
          <w:color w:val="000000"/>
          <w:sz w:val="32"/>
          <w:szCs w:val="32"/>
        </w:rPr>
        <w:t>该支出</w:t>
      </w:r>
      <w:r>
        <w:rPr>
          <w:rFonts w:hint="eastAsia" w:ascii="仿宋" w:hAnsi="仿宋" w:eastAsia="仿宋" w:cs="仿宋_GB2312"/>
          <w:bCs/>
          <w:sz w:val="32"/>
          <w:szCs w:val="32"/>
        </w:rPr>
        <w:t>主要用于支付职工基本医疗保险缴费。</w:t>
      </w:r>
    </w:p>
    <w:p>
      <w:pPr>
        <w:spacing w:line="560" w:lineRule="exact"/>
        <w:ind w:firstLine="640" w:firstLineChars="200"/>
        <w:jc w:val="left"/>
        <w:rPr>
          <w:rFonts w:ascii="仿宋" w:hAnsi="仿宋" w:eastAsia="仿宋" w:cs="仿宋_GB2312"/>
          <w:bCs/>
          <w:sz w:val="32"/>
          <w:szCs w:val="32"/>
        </w:rPr>
      </w:pPr>
      <w:r>
        <w:rPr>
          <w:rFonts w:ascii="仿宋" w:hAnsi="仿宋" w:eastAsia="仿宋" w:cs="仿宋_GB2312"/>
          <w:bCs/>
          <w:sz w:val="32"/>
          <w:szCs w:val="32"/>
        </w:rPr>
        <w:t>2101103</w:t>
      </w:r>
      <w:r>
        <w:rPr>
          <w:rFonts w:hint="eastAsia" w:ascii="仿宋" w:hAnsi="仿宋" w:eastAsia="仿宋" w:cs="仿宋_GB2312"/>
          <w:bCs/>
          <w:sz w:val="32"/>
          <w:szCs w:val="32"/>
        </w:rPr>
        <w:t>- 公务员医疗补助支出0.96万元，</w:t>
      </w:r>
      <w:r>
        <w:rPr>
          <w:rStyle w:val="15"/>
          <w:rFonts w:hint="eastAsia" w:ascii="仿宋" w:hAnsi="仿宋" w:eastAsia="仿宋"/>
          <w:b w:val="0"/>
          <w:color w:val="000000"/>
          <w:sz w:val="32"/>
          <w:szCs w:val="32"/>
        </w:rPr>
        <w:t>完成预算100%，该支出</w:t>
      </w:r>
      <w:r>
        <w:rPr>
          <w:rFonts w:hint="eastAsia" w:ascii="仿宋" w:hAnsi="仿宋" w:eastAsia="仿宋" w:cs="仿宋_GB2312"/>
          <w:bCs/>
          <w:sz w:val="32"/>
          <w:szCs w:val="32"/>
        </w:rPr>
        <w:t>主要用于支付公务员医疗补助缴费。</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2210201-住房公积金支出8.7万元，</w:t>
      </w:r>
      <w:r>
        <w:rPr>
          <w:rStyle w:val="15"/>
          <w:rFonts w:hint="eastAsia" w:ascii="仿宋" w:hAnsi="仿宋" w:eastAsia="仿宋"/>
          <w:b w:val="0"/>
          <w:color w:val="000000"/>
          <w:sz w:val="32"/>
          <w:szCs w:val="32"/>
        </w:rPr>
        <w:t>完成预算100%，</w:t>
      </w:r>
      <w:r>
        <w:rPr>
          <w:rFonts w:hint="eastAsia" w:ascii="仿宋" w:hAnsi="仿宋" w:eastAsia="仿宋" w:cs="仿宋_GB2312"/>
          <w:bCs/>
          <w:sz w:val="32"/>
          <w:szCs w:val="32"/>
        </w:rPr>
        <w:t>决算数与预算数持平，</w:t>
      </w:r>
      <w:r>
        <w:rPr>
          <w:rStyle w:val="15"/>
          <w:rFonts w:hint="eastAsia" w:ascii="仿宋" w:hAnsi="仿宋" w:eastAsia="仿宋"/>
          <w:b w:val="0"/>
          <w:color w:val="000000"/>
          <w:sz w:val="32"/>
          <w:szCs w:val="32"/>
        </w:rPr>
        <w:t>该支出</w:t>
      </w:r>
      <w:r>
        <w:rPr>
          <w:rFonts w:hint="eastAsia" w:ascii="仿宋" w:hAnsi="仿宋" w:eastAsia="仿宋" w:cs="仿宋_GB2312"/>
          <w:bCs/>
          <w:sz w:val="32"/>
          <w:szCs w:val="32"/>
        </w:rPr>
        <w:t>主要用于支付职工住房公积金。</w:t>
      </w:r>
    </w:p>
    <w:p>
      <w:pPr>
        <w:ind w:firstLine="640" w:firstLineChars="200"/>
        <w:rPr>
          <w:rFonts w:ascii="仿宋" w:hAnsi="仿宋" w:eastAsia="仿宋" w:cs="Arial"/>
          <w:color w:val="000000"/>
          <w:kern w:val="0"/>
          <w:sz w:val="32"/>
          <w:szCs w:val="32"/>
        </w:rPr>
      </w:pPr>
      <w:r>
        <w:rPr>
          <w:rFonts w:hint="eastAsia" w:ascii="仿宋" w:hAnsi="仿宋" w:eastAsia="仿宋"/>
          <w:color w:val="000000"/>
          <w:sz w:val="32"/>
          <w:szCs w:val="32"/>
        </w:rPr>
        <w:t>2018年度一般公共预算财政拨款基本支出</w:t>
      </w:r>
      <w:r>
        <w:rPr>
          <w:rFonts w:hint="eastAsia" w:ascii="仿宋" w:hAnsi="仿宋" w:eastAsia="仿宋" w:cs="Arial"/>
          <w:color w:val="000000"/>
          <w:kern w:val="0"/>
          <w:sz w:val="32"/>
          <w:szCs w:val="32"/>
        </w:rPr>
        <w:t>146.86万</w:t>
      </w:r>
      <w:r>
        <w:rPr>
          <w:rFonts w:hint="eastAsia" w:ascii="仿宋" w:hAnsi="仿宋" w:eastAsia="仿宋"/>
          <w:color w:val="000000"/>
          <w:sz w:val="32"/>
          <w:szCs w:val="32"/>
        </w:rPr>
        <w:t>元，其中：</w:t>
      </w:r>
    </w:p>
    <w:p>
      <w:pPr>
        <w:spacing w:line="600" w:lineRule="exact"/>
        <w:ind w:firstLine="645"/>
        <w:rPr>
          <w:rFonts w:ascii="仿宋" w:hAnsi="仿宋" w:eastAsia="仿宋"/>
          <w:color w:val="000000"/>
          <w:sz w:val="32"/>
          <w:szCs w:val="32"/>
        </w:rPr>
      </w:pPr>
      <w:r>
        <w:rPr>
          <w:rFonts w:hint="eastAsia" w:ascii="仿宋" w:hAnsi="仿宋" w:eastAsia="仿宋"/>
          <w:color w:val="000000"/>
          <w:sz w:val="32"/>
          <w:szCs w:val="32"/>
        </w:rPr>
        <w:t>人员经费117.42万元，主要包括：基本工资22.25万元、津贴补贴47.12万元、奖金1.98万元、机关事业单位基本养老保险缴费12.36万元、职业年金缴费4.94万元、其他社会保障缴费1.32万元、医疗费0.38万元、奖励金0.02万元、住房公积金8.7万元、公务员医保0.96等。</w:t>
      </w:r>
      <w:r>
        <w:rPr>
          <w:rFonts w:ascii="仿宋" w:hAnsi="仿宋" w:eastAsia="仿宋"/>
          <w:color w:val="000000"/>
          <w:sz w:val="32"/>
          <w:szCs w:val="32"/>
        </w:rPr>
        <w:br w:type="textWrapping"/>
      </w:r>
      <w:r>
        <w:rPr>
          <w:rFonts w:hint="eastAsia" w:ascii="仿宋" w:hAnsi="仿宋" w:eastAsia="仿宋"/>
          <w:color w:val="000000"/>
          <w:sz w:val="32"/>
          <w:szCs w:val="32"/>
        </w:rPr>
        <w:t>　　公用经费42.73万元，主要包括：办公费7.34万元、邮电费8.37万元、取暖费0.26万元、差旅费7.67万元、维修维护费2.16万元、会议费0.37万元、公务接待费0.21万元、其他交通费3.06万元、办公设备购置13.29万元等。</w:t>
      </w:r>
    </w:p>
    <w:p>
      <w:pPr>
        <w:spacing w:line="54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一般公共预算财政拨款项目支出：1.元</w:t>
      </w:r>
    </w:p>
    <w:p>
      <w:pPr>
        <w:spacing w:line="540" w:lineRule="exact"/>
        <w:ind w:firstLine="640" w:firstLineChars="200"/>
        <w:rPr>
          <w:rFonts w:ascii="仿宋" w:hAnsi="仿宋" w:eastAsia="仿宋" w:cs="仿宋_GB2312"/>
          <w:bCs/>
          <w:sz w:val="32"/>
          <w:szCs w:val="32"/>
        </w:rPr>
      </w:pPr>
      <w:r>
        <w:rPr>
          <w:rFonts w:hint="eastAsia" w:ascii="仿宋" w:hAnsi="仿宋" w:eastAsia="仿宋" w:cs="仿宋_GB2312"/>
          <w:bCs/>
          <w:sz w:val="32"/>
          <w:szCs w:val="32"/>
        </w:rPr>
        <w:t>2010307-法制建设支出0.41万元，主要用于财经网的正常运行。</w:t>
      </w:r>
    </w:p>
    <w:p>
      <w:pPr>
        <w:spacing w:line="560" w:lineRule="exact"/>
        <w:ind w:firstLine="640" w:firstLineChars="200"/>
        <w:jc w:val="left"/>
        <w:rPr>
          <w:rFonts w:ascii="仿宋" w:hAnsi="仿宋" w:eastAsia="仿宋" w:cs="仿宋_GB2312"/>
          <w:bCs/>
          <w:sz w:val="32"/>
          <w:szCs w:val="32"/>
        </w:rPr>
      </w:pPr>
      <w:r>
        <w:rPr>
          <w:rFonts w:hint="eastAsia" w:ascii="仿宋" w:hAnsi="仿宋" w:eastAsia="仿宋" w:cs="仿宋_GB2312"/>
          <w:bCs/>
          <w:sz w:val="32"/>
          <w:szCs w:val="32"/>
        </w:rPr>
        <w:t>2013102-一般行政管理事务1.5万元，</w:t>
      </w:r>
      <w:r>
        <w:rPr>
          <w:rStyle w:val="15"/>
          <w:rFonts w:hint="eastAsia" w:ascii="仿宋" w:hAnsi="仿宋" w:eastAsia="仿宋"/>
          <w:b w:val="0"/>
          <w:color w:val="000000"/>
          <w:sz w:val="32"/>
          <w:szCs w:val="32"/>
        </w:rPr>
        <w:t>该支出</w:t>
      </w:r>
      <w:r>
        <w:rPr>
          <w:rFonts w:hint="eastAsia" w:ascii="仿宋" w:hAnsi="仿宋" w:eastAsia="仿宋" w:cs="仿宋_GB2312"/>
          <w:bCs/>
          <w:sz w:val="32"/>
          <w:szCs w:val="32"/>
        </w:rPr>
        <w:t>主要用于维稳事宜。</w:t>
      </w:r>
    </w:p>
    <w:p>
      <w:pPr>
        <w:widowControl/>
        <w:adjustRightInd w:val="0"/>
        <w:snapToGrid w:val="0"/>
        <w:spacing w:line="480" w:lineRule="exact"/>
        <w:ind w:firstLine="720"/>
        <w:jc w:val="left"/>
        <w:rPr>
          <w:rFonts w:ascii="仿宋" w:hAnsi="仿宋" w:eastAsia="仿宋" w:cs="宋体"/>
          <w:b/>
          <w:color w:val="000000"/>
          <w:kern w:val="0"/>
          <w:sz w:val="32"/>
          <w:szCs w:val="32"/>
        </w:rPr>
      </w:pPr>
      <w:r>
        <w:rPr>
          <w:rFonts w:hint="eastAsia" w:ascii="仿宋" w:hAnsi="仿宋" w:eastAsia="仿宋" w:cs="宋体"/>
          <w:b/>
          <w:color w:val="000000"/>
          <w:kern w:val="0"/>
          <w:sz w:val="32"/>
          <w:szCs w:val="32"/>
        </w:rPr>
        <w:t>三、部门财政支出管理情况</w:t>
      </w:r>
    </w:p>
    <w:p>
      <w:pPr>
        <w:widowControl/>
        <w:adjustRightInd w:val="0"/>
        <w:snapToGrid w:val="0"/>
        <w:spacing w:line="480" w:lineRule="exact"/>
        <w:ind w:firstLine="720"/>
        <w:jc w:val="left"/>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（一）预算编制情况。</w:t>
      </w:r>
    </w:p>
    <w:p>
      <w:pPr>
        <w:widowControl/>
        <w:adjustRightInd w:val="0"/>
        <w:snapToGrid w:val="0"/>
        <w:spacing w:line="480" w:lineRule="exact"/>
        <w:ind w:firstLine="720"/>
        <w:jc w:val="left"/>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2018年度预算总数134.10万元，其中:人员经费104.17万元，日常公用经费42.82万元，行政事业类项目1.91万元。</w:t>
      </w:r>
    </w:p>
    <w:p>
      <w:pPr>
        <w:widowControl/>
        <w:adjustRightInd w:val="0"/>
        <w:snapToGrid w:val="0"/>
        <w:spacing w:line="480" w:lineRule="exact"/>
        <w:ind w:firstLine="720"/>
        <w:jc w:val="left"/>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（二）执行管理情况。</w:t>
      </w:r>
    </w:p>
    <w:p>
      <w:pPr>
        <w:widowControl/>
        <w:adjustRightInd w:val="0"/>
        <w:snapToGrid w:val="0"/>
        <w:spacing w:line="480" w:lineRule="exact"/>
        <w:ind w:firstLine="720"/>
        <w:jc w:val="left"/>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ab/>
      </w:r>
      <w:r>
        <w:rPr>
          <w:rFonts w:hint="eastAsia" w:ascii="仿宋" w:hAnsi="仿宋" w:eastAsia="仿宋"/>
          <w:color w:val="000000"/>
          <w:sz w:val="32"/>
          <w:szCs w:val="32"/>
        </w:rPr>
        <w:t>2018年本年收入合计134.10万元，其中：一般公共预算财政拨款收入134.10万元，占100%；其他收入0万元。</w:t>
      </w:r>
    </w:p>
    <w:p>
      <w:pPr>
        <w:spacing w:line="540" w:lineRule="exact"/>
        <w:ind w:firstLine="640" w:firstLineChars="200"/>
        <w:jc w:val="left"/>
        <w:rPr>
          <w:rFonts w:ascii="仿宋" w:hAnsi="仿宋" w:eastAsia="仿宋"/>
          <w:color w:val="000000"/>
          <w:sz w:val="32"/>
          <w:szCs w:val="32"/>
        </w:rPr>
      </w:pPr>
      <w:r>
        <w:rPr>
          <w:rFonts w:hint="eastAsia" w:ascii="仿宋" w:hAnsi="仿宋" w:eastAsia="仿宋"/>
          <w:color w:val="000000"/>
          <w:sz w:val="32"/>
          <w:szCs w:val="32"/>
        </w:rPr>
        <w:t>2018年本年支出合计</w:t>
      </w:r>
      <w:r>
        <w:rPr>
          <w:rFonts w:hint="eastAsia" w:ascii="仿宋" w:hAnsi="仿宋" w:eastAsia="仿宋" w:cs="Arial"/>
          <w:kern w:val="0"/>
          <w:sz w:val="32"/>
          <w:szCs w:val="32"/>
        </w:rPr>
        <w:t>148.85万</w:t>
      </w:r>
      <w:r>
        <w:rPr>
          <w:rFonts w:hint="eastAsia" w:ascii="仿宋" w:hAnsi="仿宋" w:eastAsia="仿宋"/>
          <w:color w:val="000000"/>
          <w:sz w:val="32"/>
          <w:szCs w:val="32"/>
        </w:rPr>
        <w:t>元，其中：基本支出</w:t>
      </w:r>
      <w:r>
        <w:rPr>
          <w:rFonts w:hint="eastAsia" w:ascii="仿宋" w:hAnsi="仿宋" w:eastAsia="仿宋" w:cs="Arial"/>
          <w:color w:val="000000"/>
          <w:kern w:val="0"/>
          <w:sz w:val="32"/>
          <w:szCs w:val="32"/>
        </w:rPr>
        <w:t>146.87万</w:t>
      </w:r>
      <w:r>
        <w:rPr>
          <w:rFonts w:hint="eastAsia" w:ascii="仿宋" w:hAnsi="仿宋" w:eastAsia="仿宋"/>
          <w:color w:val="000000"/>
          <w:sz w:val="32"/>
          <w:szCs w:val="32"/>
        </w:rPr>
        <w:t>元，占98.67%；项目支出1.91万元，占1.33%。</w:t>
      </w:r>
    </w:p>
    <w:p>
      <w:pPr>
        <w:spacing w:line="540" w:lineRule="exact"/>
        <w:ind w:firstLine="640" w:firstLineChars="200"/>
        <w:jc w:val="left"/>
        <w:rPr>
          <w:rFonts w:ascii="仿宋" w:hAnsi="仿宋" w:eastAsia="仿宋" w:cs="Arial"/>
          <w:color w:val="000000"/>
          <w:kern w:val="0"/>
          <w:sz w:val="32"/>
          <w:szCs w:val="32"/>
        </w:rPr>
      </w:pPr>
      <w:r>
        <w:rPr>
          <w:rFonts w:hint="eastAsia" w:ascii="仿宋" w:hAnsi="仿宋" w:eastAsia="仿宋" w:cs="Arial"/>
          <w:color w:val="000000"/>
          <w:kern w:val="0"/>
          <w:sz w:val="32"/>
          <w:szCs w:val="32"/>
        </w:rPr>
        <w:t>整体支出主要体现在保障单位基本正常运转，其中：工资福利支出：104.1万元、商品和服务支出：31.44万元、对家庭和个人的补助支出：0.02万元、资本性支出：13.29万元。</w:t>
      </w:r>
    </w:p>
    <w:p>
      <w:pPr>
        <w:widowControl/>
        <w:adjustRightInd w:val="0"/>
        <w:snapToGrid w:val="0"/>
        <w:spacing w:line="480" w:lineRule="exact"/>
        <w:ind w:firstLine="720"/>
        <w:jc w:val="left"/>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（三）综合管理情况。</w:t>
      </w:r>
    </w:p>
    <w:p>
      <w:pPr>
        <w:spacing w:line="52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在财务管理过程中建立健全财务核算制度、严格执行国家相关财经法规，加强了会计基础工作、逐渐规范了财务管理行为。进一步规范了“三公经费”的管理并严格控制了“三公经费”的支出。</w:t>
      </w:r>
      <w:r>
        <w:rPr>
          <w:rFonts w:hint="eastAsia" w:ascii="仿宋" w:hAnsi="仿宋" w:eastAsia="仿宋" w:cs="宋体"/>
          <w:color w:val="000000"/>
          <w:kern w:val="0"/>
          <w:sz w:val="32"/>
          <w:szCs w:val="32"/>
          <w:lang w:val="zh-CN"/>
        </w:rPr>
        <w:t>按规定及时进行信息公开，绩效评价合理，依法接受财政监督。</w:t>
      </w:r>
    </w:p>
    <w:p>
      <w:pPr>
        <w:widowControl/>
        <w:adjustRightInd w:val="0"/>
        <w:snapToGrid w:val="0"/>
        <w:spacing w:line="480" w:lineRule="exact"/>
        <w:ind w:firstLine="720"/>
        <w:jc w:val="left"/>
        <w:rPr>
          <w:rFonts w:ascii="仿宋" w:hAnsi="仿宋" w:eastAsia="仿宋" w:cs="宋体"/>
          <w:b/>
          <w:color w:val="000000"/>
          <w:kern w:val="0"/>
          <w:sz w:val="32"/>
          <w:szCs w:val="32"/>
          <w:lang w:val="zh-CN"/>
        </w:rPr>
      </w:pPr>
      <w:r>
        <w:rPr>
          <w:rFonts w:hint="eastAsia" w:ascii="仿宋" w:hAnsi="仿宋" w:eastAsia="仿宋" w:cs="宋体"/>
          <w:b/>
          <w:color w:val="000000"/>
          <w:kern w:val="0"/>
          <w:sz w:val="32"/>
          <w:szCs w:val="32"/>
          <w:lang w:val="zh-CN"/>
        </w:rPr>
        <w:t>（四）整体绩效。</w:t>
      </w:r>
    </w:p>
    <w:p>
      <w:pPr>
        <w:spacing w:line="560" w:lineRule="exact"/>
        <w:ind w:firstLine="664" w:firstLineChars="200"/>
        <w:rPr>
          <w:rFonts w:ascii="仿宋" w:hAnsi="仿宋" w:eastAsia="仿宋" w:cs="仿宋_GB2312"/>
          <w:spacing w:val="6"/>
          <w:sz w:val="32"/>
          <w:szCs w:val="32"/>
        </w:rPr>
      </w:pPr>
      <w:r>
        <w:rPr>
          <w:rFonts w:hint="eastAsia" w:ascii="仿宋" w:hAnsi="仿宋" w:eastAsia="仿宋" w:cs="仿宋_GB2312"/>
          <w:spacing w:val="6"/>
          <w:sz w:val="32"/>
          <w:szCs w:val="32"/>
        </w:rPr>
        <w:t>一年来，在县委、县政府的正确带领和州局的正确指引下，通过全局干部职工的共同努力，按照年初局班子制定的目标和计划，认真学习</w:t>
      </w:r>
      <w:bookmarkStart w:id="74" w:name="_GoBack"/>
      <w:bookmarkEnd w:id="74"/>
      <w:r>
        <w:rPr>
          <w:rFonts w:hint="eastAsia" w:ascii="仿宋" w:hAnsi="仿宋" w:eastAsia="仿宋" w:cs="仿宋_GB2312"/>
          <w:spacing w:val="6"/>
          <w:sz w:val="32"/>
          <w:szCs w:val="32"/>
        </w:rPr>
        <w:t>习近平总书记的系列讲话精神和开展“两学一做”以及“大学习、大讨论、大调研”活动，很好地完成了州县的下达的目标任务，确保了重点时段和重大节庆信访维稳目标的实现。截止10月底，共受理群众来信、来访51批136人次，其中：群众来访23批90人次（集体访4批53人次，个访19批37人次），网信7件11人次，来信8件8人次，政策咨询13批27人次。来信来访已办结37件，1件正在办理中；县级领导参与接访16批56人次，下访127批248人次；排查各类矛盾纠纷83件，已化解75件，正在化解8件。</w:t>
      </w:r>
    </w:p>
    <w:p>
      <w:pPr>
        <w:spacing w:line="560" w:lineRule="exact"/>
        <w:ind w:firstLine="643" w:firstLineChars="200"/>
        <w:rPr>
          <w:rFonts w:ascii="仿宋" w:hAnsi="仿宋" w:eastAsia="仿宋" w:cs="黑体"/>
          <w:b/>
          <w:sz w:val="32"/>
          <w:szCs w:val="32"/>
        </w:rPr>
      </w:pPr>
      <w:r>
        <w:rPr>
          <w:rFonts w:hint="eastAsia" w:ascii="仿宋" w:hAnsi="仿宋" w:eastAsia="仿宋" w:cs="黑体"/>
          <w:b/>
          <w:sz w:val="32"/>
          <w:szCs w:val="32"/>
        </w:rPr>
        <w:t>主要做法及成效</w:t>
      </w:r>
    </w:p>
    <w:p>
      <w:pPr>
        <w:spacing w:line="560" w:lineRule="exact"/>
        <w:ind w:firstLine="643" w:firstLineChars="200"/>
        <w:rPr>
          <w:rFonts w:ascii="仿宋" w:hAnsi="仿宋" w:eastAsia="仿宋" w:cs="仿宋_GB2312"/>
          <w:b/>
          <w:sz w:val="32"/>
          <w:szCs w:val="32"/>
        </w:rPr>
      </w:pPr>
      <w:r>
        <w:rPr>
          <w:rFonts w:hint="eastAsia" w:ascii="仿宋" w:hAnsi="仿宋" w:eastAsia="仿宋" w:cs="楷体_GB2312"/>
          <w:b/>
          <w:sz w:val="32"/>
          <w:szCs w:val="32"/>
        </w:rPr>
        <w:t>1.立足宣传、狠抓学习，营造良好的舆论氛围</w:t>
      </w:r>
    </w:p>
    <w:p>
      <w:pPr>
        <w:spacing w:line="560" w:lineRule="exact"/>
        <w:ind w:firstLine="640" w:firstLineChars="200"/>
        <w:rPr>
          <w:rFonts w:ascii="仿宋" w:hAnsi="仿宋" w:eastAsia="仿宋" w:cs="仿宋_GB2312"/>
          <w:sz w:val="32"/>
          <w:szCs w:val="32"/>
        </w:rPr>
      </w:pPr>
      <w:r>
        <w:rPr>
          <w:rFonts w:hint="eastAsia" w:ascii="仿宋" w:hAnsi="仿宋" w:eastAsia="仿宋" w:cs="仿宋_GB2312"/>
          <w:sz w:val="32"/>
          <w:szCs w:val="32"/>
        </w:rPr>
        <w:t>以“三严三实”、“两学一做”、“大学习、大讨论、大调研”活动为契机，紧紧围绕建立“畅通、有序、务实、高效”的信访工作新秩序为目标，广泛深入地学习、宣传、贯彻《信访条例》，确保了《信访条例》在我县的顺利实施。</w:t>
      </w:r>
    </w:p>
    <w:p>
      <w:pPr>
        <w:tabs>
          <w:tab w:val="left" w:pos="0"/>
        </w:tabs>
        <w:spacing w:line="560" w:lineRule="exact"/>
        <w:ind w:firstLine="643" w:firstLineChars="200"/>
        <w:rPr>
          <w:rFonts w:ascii="仿宋" w:hAnsi="仿宋" w:eastAsia="仿宋" w:cs="仿宋_GB2312"/>
          <w:sz w:val="32"/>
          <w:szCs w:val="32"/>
        </w:rPr>
      </w:pPr>
      <w:r>
        <w:rPr>
          <w:rFonts w:hint="eastAsia" w:ascii="仿宋" w:hAnsi="仿宋" w:eastAsia="仿宋" w:cs="仿宋_GB2312"/>
          <w:b/>
          <w:bCs/>
          <w:sz w:val="32"/>
          <w:szCs w:val="32"/>
        </w:rPr>
        <w:t>2.广泛深入宣传《信访条例》。</w:t>
      </w:r>
      <w:r>
        <w:rPr>
          <w:rFonts w:hint="eastAsia" w:ascii="仿宋" w:hAnsi="仿宋" w:eastAsia="仿宋" w:cs="仿宋_GB2312"/>
          <w:sz w:val="32"/>
          <w:szCs w:val="32"/>
        </w:rPr>
        <w:t>一是印制了《信访条例》、以“依法信访、信访程序”等为内容的宣传资料，通过法律下乡等活动，发放到全县各单位、各乡镇干部群众手中，做到干部职工带头学，广大群众跟着学。全年集中宣传《信访条例》2次，编制汉藏双语《群众来信来访提示卡》宣传册，共发放宣传册2000余册。二是利用门户网站、微红原、微信公众号等媒体进行宣传，做到了家喻户晓。三是各信访联席会议成员单位利用板报、标语、横幅形式，在全县范围内进行广泛宣传，教育和指导群众学法、懂法、守法、用法，引导群众通过法律手段解决矛盾和纠纷。</w:t>
      </w:r>
    </w:p>
    <w:p>
      <w:pPr>
        <w:pStyle w:val="7"/>
        <w:spacing w:line="560" w:lineRule="exact"/>
        <w:ind w:firstLine="643" w:firstLineChars="200"/>
        <w:rPr>
          <w:rFonts w:ascii="仿宋" w:hAnsi="仿宋" w:eastAsia="仿宋" w:cs="仿宋_GB2312"/>
          <w:b w:val="0"/>
          <w:bCs w:val="0"/>
          <w:w w:val="100"/>
          <w:sz w:val="32"/>
          <w:szCs w:val="32"/>
          <w:lang w:eastAsia="zh-CN"/>
        </w:rPr>
      </w:pPr>
      <w:r>
        <w:rPr>
          <w:rFonts w:hint="eastAsia" w:ascii="仿宋" w:hAnsi="仿宋" w:eastAsia="仿宋" w:cs="仿宋_GB2312"/>
          <w:bCs w:val="0"/>
          <w:w w:val="100"/>
          <w:sz w:val="32"/>
          <w:szCs w:val="32"/>
          <w:lang w:eastAsia="zh-CN"/>
        </w:rPr>
        <w:t>3.积极开展多层次的培训工作。</w:t>
      </w:r>
      <w:r>
        <w:rPr>
          <w:rFonts w:hint="eastAsia" w:ascii="仿宋" w:hAnsi="仿宋" w:eastAsia="仿宋" w:cs="仿宋_GB2312"/>
          <w:b w:val="0"/>
          <w:bCs w:val="0"/>
          <w:w w:val="100"/>
          <w:sz w:val="32"/>
          <w:szCs w:val="32"/>
          <w:lang w:eastAsia="zh-CN"/>
        </w:rPr>
        <w:t>为全面掌握《信访条例》，熟练运用条例开展信访工作。一是积极参加州级的信访业务培训和跟岗学习。二是对新调入干部职工进行《信访条例》知识培训，提高新调入干部职工的法律水平，使其适应新形势下的信访工作。三是对各乡镇、县级各部门集中举办信访业务基础培训班一期，不断提升全县信访经办人员的业务能力。</w:t>
      </w:r>
    </w:p>
    <w:p>
      <w:pPr>
        <w:pStyle w:val="7"/>
        <w:spacing w:line="560" w:lineRule="exact"/>
        <w:ind w:firstLine="640" w:firstLineChars="200"/>
        <w:rPr>
          <w:rFonts w:ascii="仿宋" w:hAnsi="仿宋" w:eastAsia="仿宋" w:cs="仿宋_GB2312"/>
          <w:b w:val="0"/>
          <w:bCs w:val="0"/>
          <w:w w:val="100"/>
          <w:sz w:val="32"/>
          <w:szCs w:val="32"/>
          <w:lang w:eastAsia="zh-CN"/>
        </w:rPr>
      </w:pPr>
      <w:r>
        <w:rPr>
          <w:rFonts w:hint="eastAsia" w:ascii="仿宋" w:hAnsi="仿宋" w:eastAsia="仿宋" w:cs="仿宋_GB2312"/>
          <w:b w:val="0"/>
          <w:bCs w:val="0"/>
          <w:w w:val="100"/>
          <w:sz w:val="32"/>
          <w:szCs w:val="32"/>
          <w:lang w:eastAsia="zh-CN"/>
        </w:rPr>
        <w:t>通过深入广泛的宣传和多层次、全覆盖的培训，做到了使信访群众明白信访的基本程序，明白应该遵循的行为规范，明白如何正确行使权利和履行义务，真正做到了引导群众以理性合法的形式表达利益诉求，依法维护自身合法权益。</w:t>
      </w:r>
    </w:p>
    <w:p>
      <w:pPr>
        <w:pStyle w:val="7"/>
        <w:spacing w:line="560" w:lineRule="exact"/>
        <w:ind w:firstLine="643" w:firstLineChars="200"/>
        <w:rPr>
          <w:rFonts w:ascii="仿宋" w:hAnsi="仿宋" w:eastAsia="仿宋" w:cs="仿宋_GB2312"/>
          <w:bCs w:val="0"/>
          <w:w w:val="100"/>
          <w:sz w:val="32"/>
          <w:szCs w:val="32"/>
          <w:lang w:eastAsia="zh-CN"/>
        </w:rPr>
      </w:pPr>
      <w:r>
        <w:rPr>
          <w:rFonts w:hint="eastAsia" w:ascii="仿宋" w:hAnsi="仿宋" w:eastAsia="仿宋" w:cs="仿宋_GB2312"/>
          <w:bCs w:val="0"/>
          <w:w w:val="100"/>
          <w:sz w:val="32"/>
          <w:szCs w:val="32"/>
          <w:lang w:eastAsia="zh-CN"/>
        </w:rPr>
        <w:t>建章立制、落实责任，积极加强配套制度建设</w:t>
      </w:r>
    </w:p>
    <w:p>
      <w:pPr>
        <w:pStyle w:val="7"/>
        <w:spacing w:line="560" w:lineRule="exact"/>
        <w:ind w:firstLine="640" w:firstLineChars="200"/>
        <w:rPr>
          <w:rFonts w:ascii="仿宋" w:hAnsi="仿宋" w:eastAsia="仿宋" w:cs="仿宋_GB2312"/>
          <w:b w:val="0"/>
          <w:bCs w:val="0"/>
          <w:w w:val="100"/>
          <w:sz w:val="32"/>
          <w:szCs w:val="32"/>
          <w:lang w:eastAsia="zh-CN"/>
        </w:rPr>
      </w:pPr>
      <w:r>
        <w:rPr>
          <w:rFonts w:hint="eastAsia" w:ascii="仿宋" w:hAnsi="仿宋" w:eastAsia="仿宋" w:cs="仿宋_GB2312"/>
          <w:b w:val="0"/>
          <w:bCs w:val="0"/>
          <w:w w:val="100"/>
          <w:sz w:val="32"/>
          <w:szCs w:val="32"/>
          <w:lang w:eastAsia="zh-CN"/>
        </w:rPr>
        <w:t>紧紧围绕强化“属地管理”、“分级负责”，不断完善受理、办理信访事项的程序，及时调整和改进工作方式和方法，努力建立健全与《信访条例》相适应的工作运行机制。</w:t>
      </w:r>
    </w:p>
    <w:p>
      <w:pPr>
        <w:pStyle w:val="7"/>
        <w:spacing w:line="560" w:lineRule="exact"/>
        <w:ind w:firstLine="643" w:firstLineChars="200"/>
        <w:rPr>
          <w:rFonts w:ascii="仿宋" w:hAnsi="仿宋" w:eastAsia="仿宋" w:cs="仿宋_GB2312"/>
          <w:b w:val="0"/>
          <w:bCs w:val="0"/>
          <w:w w:val="100"/>
          <w:sz w:val="32"/>
          <w:szCs w:val="32"/>
          <w:lang w:eastAsia="zh-CN"/>
        </w:rPr>
      </w:pPr>
      <w:r>
        <w:rPr>
          <w:rFonts w:hint="eastAsia" w:ascii="仿宋" w:hAnsi="仿宋" w:eastAsia="仿宋" w:cs="仿宋_GB2312"/>
          <w:bCs w:val="0"/>
          <w:w w:val="100"/>
          <w:sz w:val="32"/>
          <w:szCs w:val="32"/>
          <w:lang w:eastAsia="zh-CN"/>
        </w:rPr>
        <w:t>1.加强组织领导。</w:t>
      </w:r>
      <w:r>
        <w:rPr>
          <w:rFonts w:hint="eastAsia" w:ascii="仿宋" w:hAnsi="仿宋" w:eastAsia="仿宋" w:cs="仿宋_GB2312"/>
          <w:b w:val="0"/>
          <w:bCs w:val="0"/>
          <w:w w:val="100"/>
          <w:sz w:val="32"/>
          <w:szCs w:val="32"/>
          <w:lang w:eastAsia="zh-CN"/>
        </w:rPr>
        <w:t>切实加强信访工作的组织领导，强化信访工作责任。成立了由县委维稳副书记、常务副县长为主要召集人，各相关部门主要负责人为成员的信访工作联席会议领导小组。建立完善了县信访工作联席会议制度，编制完善了处置应急预案，做到科学策划、有效指挥、处置得当、损失最小。按照上级要求，各乡镇、各单位也成立了信访领导小组，每个乡镇都配备了信访工作专兼职人员，全县形成了级级有组织、层层有人抓、事事有反馈的“大信访”工作格局。</w:t>
      </w:r>
    </w:p>
    <w:p>
      <w:pPr>
        <w:pStyle w:val="7"/>
        <w:spacing w:line="560" w:lineRule="exact"/>
        <w:ind w:firstLine="643" w:firstLineChars="200"/>
        <w:rPr>
          <w:rFonts w:ascii="仿宋" w:hAnsi="仿宋" w:eastAsia="仿宋" w:cs="仿宋_GB2312"/>
          <w:b w:val="0"/>
          <w:w w:val="100"/>
          <w:sz w:val="32"/>
          <w:szCs w:val="32"/>
          <w:lang w:eastAsia="zh-CN"/>
        </w:rPr>
      </w:pPr>
      <w:r>
        <w:rPr>
          <w:rFonts w:hint="eastAsia" w:ascii="仿宋" w:hAnsi="仿宋" w:eastAsia="仿宋" w:cs="仿宋_GB2312"/>
          <w:bCs w:val="0"/>
          <w:w w:val="100"/>
          <w:sz w:val="32"/>
          <w:szCs w:val="32"/>
          <w:lang w:eastAsia="zh-CN"/>
        </w:rPr>
        <w:t>2.不断完善信访配套设施。</w:t>
      </w:r>
      <w:r>
        <w:rPr>
          <w:rFonts w:hint="eastAsia" w:ascii="仿宋" w:hAnsi="仿宋" w:eastAsia="仿宋" w:cs="仿宋_GB2312"/>
          <w:b w:val="0"/>
          <w:w w:val="100"/>
          <w:sz w:val="32"/>
          <w:szCs w:val="32"/>
          <w:lang w:eastAsia="zh-CN"/>
        </w:rPr>
        <w:t>在2015年我县建成覆盖县、乡两级的信访信息系统，实现信息网上录入、流程网上管理、情况网上督查的基础上，2016年建设完成了县到乡的信访视频接访系统；2017年完成了州到县视频信访系统建设；2018年完成州、县领导信箱接入四川省信访信息系统建设。这些配套设施的建成，极大地方便了群众反映诉求的途径，极大地提高了办理信访事项的“三率”工作。</w:t>
      </w:r>
    </w:p>
    <w:p>
      <w:pPr>
        <w:pStyle w:val="7"/>
        <w:spacing w:line="560" w:lineRule="exact"/>
        <w:ind w:firstLine="643" w:firstLineChars="200"/>
        <w:jc w:val="left"/>
        <w:rPr>
          <w:rFonts w:ascii="仿宋" w:hAnsi="仿宋" w:eastAsia="仿宋" w:cs="仿宋_GB2312"/>
          <w:b w:val="0"/>
          <w:w w:val="100"/>
          <w:sz w:val="32"/>
          <w:szCs w:val="32"/>
          <w:lang w:eastAsia="zh-CN"/>
        </w:rPr>
      </w:pPr>
      <w:r>
        <w:rPr>
          <w:rFonts w:hint="eastAsia" w:ascii="仿宋" w:hAnsi="仿宋" w:eastAsia="仿宋" w:cs="仿宋_GB2312"/>
          <w:bCs w:val="0"/>
          <w:w w:val="100"/>
          <w:sz w:val="32"/>
          <w:szCs w:val="32"/>
          <w:lang w:eastAsia="zh-CN"/>
        </w:rPr>
        <w:t>3.层层签订责任书。</w:t>
      </w:r>
      <w:r>
        <w:rPr>
          <w:rFonts w:hint="eastAsia" w:ascii="仿宋" w:hAnsi="仿宋" w:eastAsia="仿宋" w:cs="仿宋_GB2312"/>
          <w:b w:val="0"/>
          <w:w w:val="100"/>
          <w:sz w:val="32"/>
          <w:szCs w:val="32"/>
          <w:lang w:eastAsia="zh-CN"/>
        </w:rPr>
        <w:t>年初，在层层落实“属地管理”的基础上，县信访联席会议与各乡镇、县级各部门签订《信访工作目标责任书》90份，为全县信访维稳依法治理常态化打下了基础。</w:t>
      </w:r>
    </w:p>
    <w:p>
      <w:pPr>
        <w:pStyle w:val="7"/>
        <w:spacing w:line="560" w:lineRule="exact"/>
        <w:ind w:firstLine="643" w:firstLineChars="200"/>
        <w:rPr>
          <w:rFonts w:ascii="仿宋" w:hAnsi="仿宋" w:eastAsia="仿宋" w:cs="仿宋_GB2312"/>
          <w:bCs w:val="0"/>
          <w:w w:val="100"/>
          <w:sz w:val="32"/>
          <w:szCs w:val="32"/>
          <w:lang w:eastAsia="zh-CN"/>
        </w:rPr>
      </w:pPr>
      <w:r>
        <w:rPr>
          <w:rFonts w:hint="eastAsia" w:ascii="仿宋" w:hAnsi="仿宋" w:eastAsia="仿宋" w:cs="仿宋_GB2312"/>
          <w:bCs w:val="0"/>
          <w:w w:val="100"/>
          <w:sz w:val="32"/>
          <w:szCs w:val="32"/>
          <w:lang w:eastAsia="zh-CN"/>
        </w:rPr>
        <w:t>求真务实、开拓创新，不断探索信访工作的长效机制</w:t>
      </w:r>
    </w:p>
    <w:p>
      <w:pPr>
        <w:pStyle w:val="7"/>
        <w:spacing w:line="560" w:lineRule="exact"/>
        <w:ind w:firstLine="640" w:firstLineChars="200"/>
        <w:rPr>
          <w:rFonts w:ascii="仿宋" w:hAnsi="仿宋" w:eastAsia="仿宋" w:cs="仿宋_GB2312"/>
          <w:b w:val="0"/>
          <w:bCs w:val="0"/>
          <w:w w:val="100"/>
          <w:sz w:val="32"/>
          <w:szCs w:val="32"/>
          <w:lang w:eastAsia="zh-CN"/>
        </w:rPr>
      </w:pPr>
      <w:r>
        <w:rPr>
          <w:rFonts w:hint="eastAsia" w:ascii="仿宋" w:hAnsi="仿宋" w:eastAsia="仿宋" w:cs="仿宋_GB2312"/>
          <w:b w:val="0"/>
          <w:bCs w:val="0"/>
          <w:w w:val="100"/>
          <w:sz w:val="32"/>
          <w:szCs w:val="32"/>
          <w:lang w:eastAsia="zh-CN"/>
        </w:rPr>
        <w:t>不断加强信访工作法制化建设和业务指导，努力探索和完善做好新形势下群众和信访工作的长效机制。</w:t>
      </w:r>
    </w:p>
    <w:p>
      <w:pPr>
        <w:pStyle w:val="7"/>
        <w:spacing w:line="560" w:lineRule="exact"/>
        <w:ind w:firstLine="643" w:firstLineChars="200"/>
        <w:rPr>
          <w:rFonts w:ascii="仿宋" w:hAnsi="仿宋" w:eastAsia="仿宋" w:cs="仿宋_GB2312"/>
          <w:b w:val="0"/>
          <w:bCs w:val="0"/>
          <w:w w:val="100"/>
          <w:sz w:val="32"/>
          <w:szCs w:val="32"/>
          <w:lang w:eastAsia="zh-CN"/>
        </w:rPr>
      </w:pPr>
      <w:r>
        <w:rPr>
          <w:rFonts w:hint="eastAsia" w:ascii="仿宋" w:hAnsi="仿宋" w:eastAsia="仿宋" w:cs="仿宋_GB2312"/>
          <w:bCs w:val="0"/>
          <w:w w:val="100"/>
          <w:sz w:val="32"/>
          <w:szCs w:val="32"/>
          <w:lang w:eastAsia="zh-CN"/>
        </w:rPr>
        <w:t>1.进一步畅通信访渠道。</w:t>
      </w:r>
      <w:r>
        <w:rPr>
          <w:rFonts w:hint="eastAsia" w:ascii="仿宋" w:hAnsi="仿宋" w:eastAsia="仿宋" w:cs="仿宋_GB2312"/>
          <w:b w:val="0"/>
          <w:bCs w:val="0"/>
          <w:w w:val="100"/>
          <w:sz w:val="32"/>
          <w:szCs w:val="32"/>
          <w:lang w:eastAsia="zh-CN"/>
        </w:rPr>
        <w:t>为进一步畅通信访渠道，保障人民群众的信访权利。一是我县通过门户网站、微红原、微信公众号等方式公布了相关单位的通讯地址、投诉电话、信访接待的时间和地点，以及信访经办人员、办公电话等，以方便群众来信来访。二是有效开展县级领导干部接访制，强化县级领导干部包案制，明确相关单位部门和人员的责任，加强督查督办，依法开展信访工作。</w:t>
      </w:r>
    </w:p>
    <w:p>
      <w:pPr>
        <w:pStyle w:val="7"/>
        <w:spacing w:line="560" w:lineRule="exact"/>
        <w:ind w:firstLine="643" w:firstLineChars="200"/>
        <w:rPr>
          <w:rFonts w:ascii="仿宋" w:hAnsi="仿宋" w:eastAsia="仿宋" w:cs="仿宋_GB2312"/>
          <w:b w:val="0"/>
          <w:bCs w:val="0"/>
          <w:w w:val="100"/>
          <w:sz w:val="32"/>
          <w:szCs w:val="32"/>
          <w:lang w:eastAsia="zh-CN"/>
        </w:rPr>
      </w:pPr>
      <w:r>
        <w:rPr>
          <w:rFonts w:hint="eastAsia" w:ascii="仿宋" w:hAnsi="仿宋" w:eastAsia="仿宋" w:cs="仿宋_GB2312"/>
          <w:bCs w:val="0"/>
          <w:w w:val="100"/>
          <w:sz w:val="32"/>
          <w:szCs w:val="32"/>
          <w:lang w:eastAsia="zh-CN"/>
        </w:rPr>
        <w:t>2.进一步规范工作程序。</w:t>
      </w:r>
      <w:r>
        <w:rPr>
          <w:rFonts w:hint="eastAsia" w:ascii="仿宋" w:hAnsi="仿宋" w:eastAsia="仿宋" w:cs="仿宋_GB2312"/>
          <w:b w:val="0"/>
          <w:w w:val="100"/>
          <w:sz w:val="32"/>
          <w:szCs w:val="32"/>
          <w:lang w:eastAsia="zh-CN"/>
        </w:rPr>
        <w:t>一是</w:t>
      </w:r>
      <w:r>
        <w:rPr>
          <w:rFonts w:hint="eastAsia" w:ascii="仿宋" w:hAnsi="仿宋" w:eastAsia="仿宋" w:cs="仿宋_GB2312"/>
          <w:b w:val="0"/>
          <w:bCs w:val="0"/>
          <w:w w:val="100"/>
          <w:sz w:val="32"/>
          <w:szCs w:val="32"/>
          <w:lang w:eastAsia="zh-CN"/>
        </w:rPr>
        <w:t>按照《信访条例》要求，制作了信访事项流程图，对信访事项的受理、办理的程序在现行基础上进一步进行了规范。二是加强了和有权处理信访问题的部门之间的合作、交流和联系，形成了工作合力，使信访工作更加规范、顺畅。</w:t>
      </w:r>
    </w:p>
    <w:p>
      <w:pPr>
        <w:pStyle w:val="7"/>
        <w:spacing w:line="560" w:lineRule="exact"/>
        <w:ind w:firstLine="643" w:firstLineChars="200"/>
        <w:rPr>
          <w:rFonts w:ascii="仿宋" w:hAnsi="仿宋" w:eastAsia="仿宋" w:cs="仿宋_GB2312"/>
          <w:b w:val="0"/>
          <w:bCs w:val="0"/>
          <w:w w:val="100"/>
          <w:sz w:val="32"/>
          <w:szCs w:val="32"/>
          <w:lang w:eastAsia="zh-CN"/>
        </w:rPr>
      </w:pPr>
      <w:r>
        <w:rPr>
          <w:rFonts w:hint="eastAsia" w:ascii="仿宋" w:hAnsi="仿宋" w:eastAsia="仿宋" w:cs="仿宋_GB2312"/>
          <w:bCs w:val="0"/>
          <w:w w:val="100"/>
          <w:sz w:val="32"/>
          <w:szCs w:val="32"/>
          <w:lang w:eastAsia="zh-CN"/>
        </w:rPr>
        <w:t>3.及时排查信访不稳定因素。</w:t>
      </w:r>
      <w:r>
        <w:rPr>
          <w:rFonts w:hint="eastAsia" w:ascii="仿宋" w:hAnsi="仿宋" w:eastAsia="仿宋" w:cs="仿宋_GB2312"/>
          <w:b w:val="0"/>
          <w:w w:val="100"/>
          <w:sz w:val="32"/>
          <w:szCs w:val="32"/>
          <w:lang w:eastAsia="zh-CN"/>
        </w:rPr>
        <w:t>一是</w:t>
      </w:r>
      <w:r>
        <w:rPr>
          <w:rFonts w:hint="eastAsia" w:ascii="仿宋" w:hAnsi="仿宋" w:eastAsia="仿宋" w:cs="仿宋_GB2312"/>
          <w:b w:val="0"/>
          <w:bCs w:val="0"/>
          <w:w w:val="100"/>
          <w:sz w:val="32"/>
          <w:szCs w:val="32"/>
          <w:lang w:eastAsia="zh-CN"/>
        </w:rPr>
        <w:t>及时召开信访联席会议。按照“排查得早、发现得了、控制得住、解决得好”的原则，对辖区内进行定期排查、集中排查、专项排查，做到排查横向到边，纵向到底、并与防范、梳理、分析、调处、化解、稳控相结合，切实掌握社情舆论，做到超前介入、超前稳控和超前化解。切实发挥信访及政法、公安、司法、人事、发改委等部门的职能作用，抓好工作延伸，真正把问题化解在基层、解决在萌芽状态。二是特别加强了敏感时期和重大节庆的排查稳控工作，认真分析和科学研判信访形势，全面梳理排查了可能影响社会稳定和政治稳定的信访事件，有针对性地制订工作措施，加强稳控工作，确保敏感时期信访秩序的正常有序和社会政治的持续稳定。</w:t>
      </w:r>
    </w:p>
    <w:p>
      <w:pPr>
        <w:widowControl/>
        <w:adjustRightInd w:val="0"/>
        <w:snapToGrid w:val="0"/>
        <w:spacing w:line="480" w:lineRule="exact"/>
        <w:ind w:firstLine="720"/>
        <w:jc w:val="left"/>
        <w:rPr>
          <w:rFonts w:ascii="仿宋" w:hAnsi="仿宋" w:eastAsia="仿宋" w:cs="宋体"/>
          <w:b/>
          <w:color w:val="000000"/>
          <w:kern w:val="0"/>
          <w:sz w:val="32"/>
          <w:szCs w:val="32"/>
        </w:rPr>
      </w:pPr>
      <w:r>
        <w:rPr>
          <w:rFonts w:hint="eastAsia" w:ascii="仿宋" w:hAnsi="仿宋" w:eastAsia="仿宋" w:cs="宋体"/>
          <w:b/>
          <w:color w:val="000000"/>
          <w:kern w:val="0"/>
          <w:sz w:val="32"/>
          <w:szCs w:val="32"/>
        </w:rPr>
        <w:t>四、评价结论及建议</w:t>
      </w:r>
    </w:p>
    <w:p>
      <w:pPr>
        <w:widowControl/>
        <w:adjustRightInd w:val="0"/>
        <w:snapToGrid w:val="0"/>
        <w:spacing w:line="480" w:lineRule="exact"/>
        <w:ind w:firstLine="720"/>
        <w:jc w:val="left"/>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（一）评价结论。</w:t>
      </w:r>
    </w:p>
    <w:p>
      <w:pPr>
        <w:widowControl/>
        <w:adjustRightInd w:val="0"/>
        <w:snapToGrid w:val="0"/>
        <w:spacing w:line="480" w:lineRule="exact"/>
        <w:ind w:firstLine="880" w:firstLineChars="275"/>
        <w:jc w:val="left"/>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好</w:t>
      </w:r>
    </w:p>
    <w:p>
      <w:pPr>
        <w:widowControl/>
        <w:adjustRightInd w:val="0"/>
        <w:snapToGrid w:val="0"/>
        <w:spacing w:line="480" w:lineRule="exact"/>
        <w:ind w:firstLine="720"/>
        <w:jc w:val="left"/>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（二）存在问题。</w:t>
      </w:r>
    </w:p>
    <w:p>
      <w:pPr>
        <w:widowControl/>
        <w:adjustRightInd w:val="0"/>
        <w:snapToGrid w:val="0"/>
        <w:spacing w:line="480" w:lineRule="exact"/>
        <w:ind w:firstLine="720"/>
        <w:jc w:val="left"/>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会计理论知识欠缺，预算时考虑不全面，造成部分科目经费不多就少的现象。</w:t>
      </w:r>
    </w:p>
    <w:p>
      <w:pPr>
        <w:widowControl/>
        <w:adjustRightInd w:val="0"/>
        <w:snapToGrid w:val="0"/>
        <w:spacing w:line="480" w:lineRule="exact"/>
        <w:ind w:firstLine="720"/>
        <w:jc w:val="left"/>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（三）改进建议。</w:t>
      </w:r>
    </w:p>
    <w:p>
      <w:pPr>
        <w:ind w:firstLine="800" w:firstLineChars="250"/>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1.加强业务知识、财经法规的自学。</w:t>
      </w:r>
    </w:p>
    <w:p>
      <w:pPr>
        <w:ind w:firstLine="800" w:firstLineChars="250"/>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2.加强与其他单位财会人员沟通交流学习，进一步提高财会业务水平。</w:t>
      </w:r>
    </w:p>
    <w:p>
      <w:pPr>
        <w:ind w:firstLine="800" w:firstLineChars="250"/>
        <w:rPr>
          <w:rFonts w:ascii="仿宋" w:hAnsi="仿宋" w:eastAsia="仿宋" w:cs="宋体"/>
          <w:color w:val="000000"/>
          <w:kern w:val="0"/>
          <w:sz w:val="32"/>
          <w:szCs w:val="32"/>
          <w:lang w:val="zh-CN"/>
        </w:rPr>
      </w:pPr>
      <w:r>
        <w:rPr>
          <w:rFonts w:hint="eastAsia" w:ascii="仿宋" w:hAnsi="仿宋" w:eastAsia="仿宋" w:cs="宋体"/>
          <w:color w:val="000000"/>
          <w:kern w:val="0"/>
          <w:sz w:val="32"/>
          <w:szCs w:val="32"/>
          <w:lang w:val="zh-CN"/>
        </w:rPr>
        <w:t>3.财政部门加强业务知识的培训，提高财会人员驾驭财会工作的能力。</w:t>
      </w:r>
    </w:p>
    <w:p>
      <w:pPr>
        <w:widowControl/>
        <w:adjustRightInd w:val="0"/>
        <w:snapToGrid w:val="0"/>
        <w:spacing w:line="480" w:lineRule="exact"/>
        <w:jc w:val="left"/>
        <w:rPr>
          <w:rFonts w:ascii="仿宋_GB2312" w:cs="仿宋_GB2312"/>
          <w:sz w:val="32"/>
          <w:szCs w:val="32"/>
        </w:rPr>
      </w:pPr>
    </w:p>
    <w:p>
      <w:pPr>
        <w:rPr>
          <w:rFonts w:ascii="黑体" w:hAnsi="宋体" w:eastAsia="黑体" w:cs="黑体"/>
          <w:sz w:val="30"/>
          <w:szCs w:val="30"/>
        </w:rPr>
      </w:pPr>
    </w:p>
    <w:p>
      <w:pPr>
        <w:pStyle w:val="3"/>
        <w:rPr>
          <w:rStyle w:val="25"/>
          <w:rFonts w:ascii="仿宋" w:hAnsi="仿宋" w:eastAsia="仿宋"/>
          <w:b w:val="0"/>
          <w:bCs w:val="0"/>
          <w:sz w:val="32"/>
          <w:szCs w:val="32"/>
        </w:rPr>
      </w:pPr>
    </w:p>
    <w:bookmarkEnd w:id="60"/>
    <w:p>
      <w:pPr>
        <w:spacing w:line="600" w:lineRule="exact"/>
        <w:outlineLvl w:val="0"/>
        <w:rPr>
          <w:rFonts w:ascii="黑体" w:hAnsi="黑体" w:eastAsia="黑体"/>
          <w:color w:val="000000"/>
          <w:sz w:val="44"/>
          <w:szCs w:val="44"/>
        </w:rPr>
      </w:pPr>
      <w:bookmarkStart w:id="61" w:name="_Toc15396618"/>
    </w:p>
    <w:p>
      <w:pPr>
        <w:spacing w:line="600" w:lineRule="exact"/>
        <w:outlineLvl w:val="0"/>
        <w:rPr>
          <w:rFonts w:ascii="黑体" w:hAnsi="黑体" w:eastAsia="黑体"/>
          <w:color w:val="000000"/>
          <w:sz w:val="44"/>
          <w:szCs w:val="44"/>
        </w:rPr>
      </w:pPr>
    </w:p>
    <w:p>
      <w:pPr>
        <w:spacing w:line="600" w:lineRule="exact"/>
        <w:outlineLvl w:val="0"/>
        <w:rPr>
          <w:rFonts w:ascii="黑体" w:hAnsi="黑体" w:eastAsia="黑体"/>
          <w:color w:val="000000"/>
          <w:sz w:val="44"/>
          <w:szCs w:val="44"/>
        </w:rPr>
      </w:pPr>
    </w:p>
    <w:p>
      <w:pPr>
        <w:spacing w:line="600" w:lineRule="exact"/>
        <w:jc w:val="center"/>
        <w:outlineLvl w:val="0"/>
        <w:rPr>
          <w:rFonts w:ascii="黑体" w:hAnsi="黑体" w:eastAsia="黑体"/>
          <w:color w:val="000000"/>
          <w:sz w:val="44"/>
          <w:szCs w:val="44"/>
        </w:rPr>
      </w:pPr>
    </w:p>
    <w:p>
      <w:pPr>
        <w:spacing w:line="600" w:lineRule="exact"/>
        <w:jc w:val="center"/>
        <w:outlineLvl w:val="0"/>
        <w:rPr>
          <w:rFonts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Style w:val="25"/>
          <w:rFonts w:ascii="黑体" w:hAnsi="黑体" w:eastAsia="黑体"/>
          <w:b w:val="0"/>
        </w:rPr>
      </w:pPr>
      <w:r>
        <w:rPr>
          <w:rFonts w:hint="eastAsia" w:ascii="黑体" w:hAnsi="黑体" w:eastAsia="黑体"/>
          <w:color w:val="000000"/>
          <w:sz w:val="44"/>
          <w:szCs w:val="44"/>
        </w:rPr>
        <w:t>第</w:t>
      </w:r>
      <w:r>
        <w:rPr>
          <w:rStyle w:val="25"/>
          <w:rFonts w:hint="eastAsia" w:ascii="黑体" w:hAnsi="黑体" w:eastAsia="黑体"/>
          <w:b w:val="0"/>
        </w:rPr>
        <w:t>五部分 附表</w:t>
      </w:r>
      <w:bookmarkEnd w:id="57"/>
      <w:bookmarkEnd w:id="61"/>
    </w:p>
    <w:p>
      <w:pPr>
        <w:spacing w:line="600" w:lineRule="exact"/>
        <w:jc w:val="center"/>
        <w:outlineLvl w:val="0"/>
        <w:rPr>
          <w:rFonts w:hint="eastAsia" w:ascii="仿宋" w:hAnsi="仿宋" w:eastAsia="仿宋"/>
          <w:b/>
          <w:color w:val="000000"/>
          <w:sz w:val="44"/>
          <w:szCs w:val="44"/>
        </w:rPr>
      </w:pPr>
    </w:p>
    <w:p>
      <w:pPr>
        <w:pStyle w:val="3"/>
        <w:numPr>
          <w:ilvl w:val="0"/>
          <w:numId w:val="6"/>
        </w:numPr>
        <w:rPr>
          <w:rFonts w:ascii="仿宋" w:hAnsi="仿宋" w:eastAsia="仿宋"/>
          <w:b w:val="0"/>
          <w:color w:val="000000"/>
        </w:rPr>
      </w:pPr>
      <w:bookmarkStart w:id="62" w:name="_Toc15396620"/>
      <w:r>
        <w:rPr>
          <w:rFonts w:hint="eastAsia" w:ascii="仿宋" w:hAnsi="仿宋" w:eastAsia="仿宋"/>
          <w:b w:val="0"/>
          <w:color w:val="000000"/>
        </w:rPr>
        <w:t>收入支出决算总表</w:t>
      </w:r>
    </w:p>
    <w:p>
      <w:pPr>
        <w:pStyle w:val="3"/>
        <w:rPr>
          <w:rFonts w:ascii="仿宋" w:hAnsi="仿宋" w:eastAsia="仿宋"/>
          <w:color w:val="000000"/>
        </w:rPr>
      </w:pPr>
      <w:r>
        <w:rPr>
          <w:rFonts w:hint="eastAsia" w:ascii="仿宋" w:hAnsi="仿宋" w:eastAsia="仿宋"/>
          <w:b w:val="0"/>
          <w:color w:val="000000"/>
        </w:rPr>
        <w:t>二、收</w:t>
      </w:r>
      <w:r>
        <w:rPr>
          <w:rStyle w:val="26"/>
          <w:rFonts w:hint="eastAsia" w:ascii="仿宋" w:hAnsi="仿宋" w:eastAsia="仿宋"/>
          <w:b w:val="0"/>
          <w:bCs w:val="0"/>
        </w:rPr>
        <w:t>入总表</w:t>
      </w:r>
      <w:bookmarkEnd w:id="62"/>
    </w:p>
    <w:p>
      <w:pPr>
        <w:pStyle w:val="3"/>
        <w:rPr>
          <w:rFonts w:ascii="仿宋" w:hAnsi="仿宋" w:eastAsia="仿宋"/>
          <w:color w:val="000000"/>
        </w:rPr>
      </w:pPr>
      <w:bookmarkStart w:id="63" w:name="_Toc15396621"/>
      <w:r>
        <w:rPr>
          <w:rStyle w:val="26"/>
          <w:rFonts w:hint="eastAsia" w:ascii="仿宋" w:hAnsi="仿宋" w:eastAsia="仿宋"/>
          <w:b w:val="0"/>
          <w:bCs w:val="0"/>
        </w:rPr>
        <w:t>三、</w:t>
      </w:r>
      <w:r>
        <w:rPr>
          <w:rFonts w:hint="eastAsia" w:ascii="仿宋" w:hAnsi="仿宋" w:eastAsia="仿宋"/>
          <w:b w:val="0"/>
          <w:color w:val="000000"/>
        </w:rPr>
        <w:t>支</w:t>
      </w:r>
      <w:r>
        <w:rPr>
          <w:rStyle w:val="26"/>
          <w:rFonts w:hint="eastAsia" w:ascii="仿宋" w:hAnsi="仿宋" w:eastAsia="仿宋"/>
          <w:b w:val="0"/>
          <w:bCs w:val="0"/>
        </w:rPr>
        <w:t>出总表</w:t>
      </w:r>
      <w:bookmarkEnd w:id="63"/>
    </w:p>
    <w:p>
      <w:pPr>
        <w:pStyle w:val="3"/>
        <w:rPr>
          <w:rFonts w:ascii="仿宋" w:hAnsi="仿宋" w:eastAsia="仿宋"/>
          <w:b w:val="0"/>
          <w:color w:val="000000"/>
        </w:rPr>
      </w:pPr>
      <w:bookmarkStart w:id="64" w:name="_Toc15396622"/>
      <w:r>
        <w:rPr>
          <w:rStyle w:val="26"/>
          <w:rFonts w:hint="eastAsia" w:ascii="仿宋" w:hAnsi="仿宋" w:eastAsia="仿宋"/>
          <w:b w:val="0"/>
          <w:bCs w:val="0"/>
        </w:rPr>
        <w:t>四、</w:t>
      </w:r>
      <w:r>
        <w:rPr>
          <w:rFonts w:hint="eastAsia" w:ascii="仿宋" w:hAnsi="仿宋" w:eastAsia="仿宋"/>
          <w:b w:val="0"/>
          <w:color w:val="000000"/>
        </w:rPr>
        <w:t>财</w:t>
      </w:r>
      <w:r>
        <w:rPr>
          <w:rStyle w:val="26"/>
          <w:rFonts w:hint="eastAsia" w:ascii="仿宋" w:hAnsi="仿宋" w:eastAsia="仿宋"/>
          <w:b w:val="0"/>
          <w:bCs w:val="0"/>
        </w:rPr>
        <w:t>政拨款收入支出决算总表</w:t>
      </w:r>
      <w:bookmarkEnd w:id="64"/>
    </w:p>
    <w:p>
      <w:pPr>
        <w:pStyle w:val="3"/>
        <w:rPr>
          <w:rFonts w:ascii="仿宋" w:hAnsi="仿宋" w:eastAsia="仿宋"/>
          <w:color w:val="000000"/>
        </w:rPr>
      </w:pPr>
      <w:bookmarkStart w:id="65" w:name="_Toc15396623"/>
      <w:r>
        <w:rPr>
          <w:rStyle w:val="26"/>
          <w:rFonts w:hint="eastAsia" w:ascii="仿宋" w:hAnsi="仿宋" w:eastAsia="仿宋"/>
          <w:b w:val="0"/>
          <w:bCs w:val="0"/>
        </w:rPr>
        <w:t>五、</w:t>
      </w:r>
      <w:r>
        <w:rPr>
          <w:rFonts w:hint="eastAsia" w:ascii="仿宋" w:hAnsi="仿宋" w:eastAsia="仿宋"/>
          <w:b w:val="0"/>
          <w:color w:val="000000"/>
        </w:rPr>
        <w:t>财</w:t>
      </w:r>
      <w:r>
        <w:rPr>
          <w:rStyle w:val="26"/>
          <w:rFonts w:hint="eastAsia" w:ascii="仿宋" w:hAnsi="仿宋" w:eastAsia="仿宋"/>
          <w:b w:val="0"/>
          <w:bCs w:val="0"/>
        </w:rPr>
        <w:t>政拨款支出决算明细表（政府经济分类科目）</w:t>
      </w:r>
      <w:bookmarkEnd w:id="65"/>
    </w:p>
    <w:p>
      <w:pPr>
        <w:pStyle w:val="3"/>
        <w:rPr>
          <w:rFonts w:ascii="仿宋" w:hAnsi="仿宋" w:eastAsia="仿宋"/>
          <w:color w:val="000000"/>
        </w:rPr>
      </w:pPr>
      <w:bookmarkStart w:id="66" w:name="_Toc15396624"/>
      <w:r>
        <w:rPr>
          <w:rStyle w:val="26"/>
          <w:rFonts w:hint="eastAsia" w:ascii="仿宋" w:hAnsi="仿宋" w:eastAsia="仿宋"/>
          <w:b w:val="0"/>
          <w:bCs w:val="0"/>
        </w:rPr>
        <w:t>六、</w:t>
      </w:r>
      <w:r>
        <w:rPr>
          <w:rFonts w:hint="eastAsia" w:ascii="仿宋" w:hAnsi="仿宋" w:eastAsia="仿宋"/>
          <w:b w:val="0"/>
          <w:color w:val="000000"/>
        </w:rPr>
        <w:t>一</w:t>
      </w:r>
      <w:r>
        <w:rPr>
          <w:rStyle w:val="26"/>
          <w:rFonts w:hint="eastAsia" w:ascii="仿宋" w:hAnsi="仿宋" w:eastAsia="仿宋"/>
          <w:b w:val="0"/>
          <w:bCs w:val="0"/>
        </w:rPr>
        <w:t>般公共预算财政拨款支出决算表</w:t>
      </w:r>
      <w:bookmarkEnd w:id="66"/>
    </w:p>
    <w:p>
      <w:pPr>
        <w:pStyle w:val="3"/>
        <w:rPr>
          <w:rFonts w:ascii="仿宋" w:hAnsi="仿宋" w:eastAsia="仿宋"/>
          <w:color w:val="000000"/>
        </w:rPr>
      </w:pPr>
      <w:bookmarkStart w:id="67" w:name="_Toc15396625"/>
      <w:r>
        <w:rPr>
          <w:rStyle w:val="26"/>
          <w:rFonts w:hint="eastAsia" w:ascii="仿宋" w:hAnsi="仿宋" w:eastAsia="仿宋"/>
          <w:b w:val="0"/>
          <w:bCs w:val="0"/>
        </w:rPr>
        <w:t>七、</w:t>
      </w:r>
      <w:r>
        <w:rPr>
          <w:rFonts w:hint="eastAsia" w:ascii="仿宋" w:hAnsi="仿宋" w:eastAsia="仿宋"/>
          <w:b w:val="0"/>
          <w:color w:val="000000"/>
        </w:rPr>
        <w:t>一</w:t>
      </w:r>
      <w:r>
        <w:rPr>
          <w:rStyle w:val="26"/>
          <w:rFonts w:hint="eastAsia" w:ascii="仿宋" w:hAnsi="仿宋" w:eastAsia="仿宋"/>
          <w:b w:val="0"/>
          <w:bCs w:val="0"/>
        </w:rPr>
        <w:t>般公共预算财政拨款支出决算明细表</w:t>
      </w:r>
      <w:bookmarkEnd w:id="67"/>
    </w:p>
    <w:p>
      <w:pPr>
        <w:pStyle w:val="3"/>
        <w:rPr>
          <w:rFonts w:ascii="仿宋" w:hAnsi="仿宋" w:eastAsia="仿宋"/>
          <w:color w:val="000000"/>
        </w:rPr>
      </w:pPr>
      <w:bookmarkStart w:id="68" w:name="_Toc15396626"/>
      <w:r>
        <w:rPr>
          <w:rStyle w:val="26"/>
          <w:rFonts w:hint="eastAsia" w:ascii="仿宋" w:hAnsi="仿宋" w:eastAsia="仿宋"/>
          <w:b w:val="0"/>
          <w:bCs w:val="0"/>
        </w:rPr>
        <w:t>八、</w:t>
      </w:r>
      <w:r>
        <w:rPr>
          <w:rFonts w:hint="eastAsia" w:ascii="仿宋" w:hAnsi="仿宋" w:eastAsia="仿宋"/>
          <w:b w:val="0"/>
          <w:color w:val="000000"/>
        </w:rPr>
        <w:t>一</w:t>
      </w:r>
      <w:r>
        <w:rPr>
          <w:rStyle w:val="26"/>
          <w:rFonts w:hint="eastAsia" w:ascii="仿宋" w:hAnsi="仿宋" w:eastAsia="仿宋"/>
          <w:b w:val="0"/>
          <w:bCs w:val="0"/>
        </w:rPr>
        <w:t>般公共预算财政拨款基本支出决算表</w:t>
      </w:r>
      <w:bookmarkEnd w:id="68"/>
    </w:p>
    <w:p>
      <w:pPr>
        <w:pStyle w:val="3"/>
        <w:rPr>
          <w:rFonts w:ascii="仿宋" w:hAnsi="仿宋" w:eastAsia="仿宋"/>
          <w:color w:val="000000"/>
        </w:rPr>
      </w:pPr>
      <w:bookmarkStart w:id="69" w:name="_Toc15396627"/>
      <w:r>
        <w:rPr>
          <w:rStyle w:val="26"/>
          <w:rFonts w:hint="eastAsia" w:ascii="仿宋" w:hAnsi="仿宋" w:eastAsia="仿宋"/>
          <w:b w:val="0"/>
          <w:bCs w:val="0"/>
        </w:rPr>
        <w:t>九、</w:t>
      </w:r>
      <w:r>
        <w:rPr>
          <w:rFonts w:hint="eastAsia" w:ascii="仿宋" w:hAnsi="仿宋" w:eastAsia="仿宋"/>
          <w:b w:val="0"/>
          <w:color w:val="000000"/>
        </w:rPr>
        <w:t>一</w:t>
      </w:r>
      <w:r>
        <w:rPr>
          <w:rStyle w:val="26"/>
          <w:rFonts w:hint="eastAsia" w:ascii="仿宋" w:hAnsi="仿宋" w:eastAsia="仿宋"/>
          <w:b w:val="0"/>
          <w:bCs w:val="0"/>
        </w:rPr>
        <w:t>般公共预算财政拨款项目支出决算表</w:t>
      </w:r>
      <w:bookmarkEnd w:id="69"/>
    </w:p>
    <w:p>
      <w:pPr>
        <w:pStyle w:val="3"/>
        <w:rPr>
          <w:rFonts w:ascii="仿宋" w:hAnsi="仿宋" w:eastAsia="仿宋"/>
          <w:color w:val="000000"/>
        </w:rPr>
      </w:pPr>
      <w:bookmarkStart w:id="70" w:name="_Toc15396628"/>
      <w:r>
        <w:rPr>
          <w:rStyle w:val="26"/>
          <w:rFonts w:hint="eastAsia" w:ascii="仿宋" w:hAnsi="仿宋" w:eastAsia="仿宋"/>
          <w:b w:val="0"/>
          <w:bCs w:val="0"/>
        </w:rPr>
        <w:t>十、</w:t>
      </w:r>
      <w:r>
        <w:rPr>
          <w:rFonts w:hint="eastAsia" w:ascii="仿宋" w:hAnsi="仿宋" w:eastAsia="仿宋"/>
          <w:b w:val="0"/>
          <w:color w:val="000000"/>
        </w:rPr>
        <w:t>一</w:t>
      </w:r>
      <w:r>
        <w:rPr>
          <w:rStyle w:val="26"/>
          <w:rFonts w:hint="eastAsia" w:ascii="仿宋" w:hAnsi="仿宋" w:eastAsia="仿宋"/>
          <w:b w:val="0"/>
          <w:bCs w:val="0"/>
        </w:rPr>
        <w:t>般公共预算财政拨款“三公”经费支出决算表</w:t>
      </w:r>
      <w:bookmarkEnd w:id="70"/>
    </w:p>
    <w:p>
      <w:pPr>
        <w:pStyle w:val="3"/>
        <w:rPr>
          <w:rFonts w:ascii="仿宋" w:hAnsi="仿宋" w:eastAsia="仿宋"/>
          <w:color w:val="000000"/>
        </w:rPr>
      </w:pPr>
      <w:bookmarkStart w:id="71" w:name="_Toc15396629"/>
      <w:r>
        <w:rPr>
          <w:rStyle w:val="26"/>
          <w:rFonts w:hint="eastAsia" w:ascii="仿宋" w:hAnsi="仿宋" w:eastAsia="仿宋"/>
          <w:b w:val="0"/>
          <w:bCs w:val="0"/>
        </w:rPr>
        <w:t>十一、</w:t>
      </w:r>
      <w:r>
        <w:rPr>
          <w:rFonts w:hint="eastAsia" w:ascii="仿宋" w:hAnsi="仿宋" w:eastAsia="仿宋"/>
          <w:b w:val="0"/>
          <w:color w:val="000000"/>
        </w:rPr>
        <w:t>政</w:t>
      </w:r>
      <w:r>
        <w:rPr>
          <w:rStyle w:val="26"/>
          <w:rFonts w:hint="eastAsia" w:ascii="仿宋" w:hAnsi="仿宋" w:eastAsia="仿宋"/>
          <w:b w:val="0"/>
          <w:bCs w:val="0"/>
        </w:rPr>
        <w:t>府性基金预算财政拨款收入支出决算表</w:t>
      </w:r>
      <w:bookmarkEnd w:id="71"/>
    </w:p>
    <w:p>
      <w:pPr>
        <w:pStyle w:val="3"/>
        <w:rPr>
          <w:rFonts w:ascii="仿宋" w:hAnsi="仿宋" w:eastAsia="仿宋"/>
          <w:color w:val="000000"/>
        </w:rPr>
      </w:pPr>
      <w:bookmarkStart w:id="72" w:name="_Toc15396630"/>
      <w:r>
        <w:rPr>
          <w:rStyle w:val="26"/>
          <w:rFonts w:hint="eastAsia" w:ascii="仿宋" w:hAnsi="仿宋" w:eastAsia="仿宋"/>
          <w:b w:val="0"/>
          <w:bCs w:val="0"/>
        </w:rPr>
        <w:t>十二、</w:t>
      </w:r>
      <w:r>
        <w:rPr>
          <w:rFonts w:hint="eastAsia" w:ascii="仿宋" w:hAnsi="仿宋" w:eastAsia="仿宋"/>
          <w:b w:val="0"/>
          <w:color w:val="000000"/>
        </w:rPr>
        <w:t>政</w:t>
      </w:r>
      <w:r>
        <w:rPr>
          <w:rStyle w:val="26"/>
          <w:rFonts w:hint="eastAsia" w:ascii="仿宋" w:hAnsi="仿宋" w:eastAsia="仿宋"/>
          <w:b w:val="0"/>
          <w:bCs w:val="0"/>
        </w:rPr>
        <w:t>府性基金预算财政拨款“三公”经费支出决算表</w:t>
      </w:r>
      <w:bookmarkEnd w:id="72"/>
    </w:p>
    <w:p>
      <w:pPr>
        <w:pStyle w:val="3"/>
        <w:rPr>
          <w:rFonts w:ascii="仿宋" w:hAnsi="仿宋" w:eastAsia="仿宋"/>
          <w:color w:val="000000" w:themeColor="text1"/>
        </w:rPr>
      </w:pPr>
      <w:bookmarkStart w:id="73" w:name="_Toc15396631"/>
      <w:r>
        <w:rPr>
          <w:rStyle w:val="26"/>
          <w:rFonts w:hint="eastAsia" w:ascii="仿宋" w:hAnsi="仿宋" w:eastAsia="仿宋"/>
          <w:b w:val="0"/>
          <w:bCs w:val="0"/>
        </w:rPr>
        <w:t>十三、</w:t>
      </w:r>
      <w:r>
        <w:rPr>
          <w:rFonts w:hint="eastAsia" w:ascii="仿宋" w:hAnsi="仿宋" w:eastAsia="仿宋"/>
          <w:b w:val="0"/>
          <w:color w:val="000000"/>
        </w:rPr>
        <w:t>国</w:t>
      </w:r>
      <w:r>
        <w:rPr>
          <w:rStyle w:val="26"/>
          <w:rFonts w:hint="eastAsia" w:ascii="仿宋" w:hAnsi="仿宋" w:eastAsia="仿宋"/>
          <w:b w:val="0"/>
          <w:bCs w:val="0"/>
        </w:rPr>
        <w:t>有资本经营预算支出决算表</w:t>
      </w:r>
      <w:bookmarkEnd w:id="73"/>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Noto Sans CJK JP Bold">
    <w:panose1 w:val="020B0800000000000000"/>
    <w:charset w:val="86"/>
    <w:family w:val="auto"/>
    <w:pitch w:val="default"/>
    <w:sig w:usb0="30000003" w:usb1="2BDF3C10" w:usb2="00000016" w:usb3="00000000" w:csb0="602E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pPr>
          <w:pStyle w:val="9"/>
          <w:jc w:val="center"/>
        </w:pPr>
        <w:r>
          <w:fldChar w:fldCharType="begin"/>
        </w:r>
        <w:r>
          <w:instrText xml:space="preserve">PAGE   \* MERGEFORMAT</w:instrText>
        </w:r>
        <w:r>
          <w:fldChar w:fldCharType="separate"/>
        </w:r>
        <w:r>
          <w:rPr>
            <w:lang w:val="zh-CN"/>
          </w:rPr>
          <w:t>24</w:t>
        </w:r>
        <w:r>
          <w:rPr>
            <w:lang w:val="zh-CN"/>
          </w:rPr>
          <w:fldChar w:fldCharType="end"/>
        </w:r>
      </w:p>
    </w:sdtContent>
  </w:sdt>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652CEC"/>
    <w:multiLevelType w:val="singleLevel"/>
    <w:tmpl w:val="CF652CEC"/>
    <w:lvl w:ilvl="0" w:tentative="0">
      <w:start w:val="9"/>
      <w:numFmt w:val="chineseCounting"/>
      <w:suff w:val="nothing"/>
      <w:lvlText w:val="%1、"/>
      <w:lvlJc w:val="left"/>
      <w:rPr>
        <w:rFonts w:hint="eastAsia"/>
      </w:rPr>
    </w:lvl>
  </w:abstractNum>
  <w:abstractNum w:abstractNumId="1">
    <w:nsid w:val="E2FA047D"/>
    <w:multiLevelType w:val="singleLevel"/>
    <w:tmpl w:val="E2FA047D"/>
    <w:lvl w:ilvl="0" w:tentative="0">
      <w:start w:val="3"/>
      <w:numFmt w:val="chineseCounting"/>
      <w:suff w:val="space"/>
      <w:lvlText w:val="第%1部分"/>
      <w:lvlJc w:val="left"/>
      <w:rPr>
        <w:rFonts w:hint="eastAsia"/>
      </w:rPr>
    </w:lvl>
  </w:abstractNum>
  <w:abstractNum w:abstractNumId="2">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3">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4">
    <w:nsid w:val="17F426B7"/>
    <w:multiLevelType w:val="multilevel"/>
    <w:tmpl w:val="17F426B7"/>
    <w:lvl w:ilvl="0" w:tentative="0">
      <w:start w:val="10"/>
      <w:numFmt w:val="japaneseCounting"/>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5">
    <w:nsid w:val="5D5382B5"/>
    <w:multiLevelType w:val="singleLevel"/>
    <w:tmpl w:val="5D5382B5"/>
    <w:lvl w:ilvl="0" w:tentative="0">
      <w:start w:val="1"/>
      <w:numFmt w:val="chineseCounting"/>
      <w:suff w:val="nothing"/>
      <w:lvlText w:val="%1、"/>
      <w:lvlJc w:val="left"/>
    </w:lvl>
  </w:abstractNum>
  <w:num w:numId="1">
    <w:abstractNumId w:val="3"/>
  </w:num>
  <w:num w:numId="2">
    <w:abstractNumId w:val="0"/>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1361C"/>
    <w:rsid w:val="000123D5"/>
    <w:rsid w:val="000166D0"/>
    <w:rsid w:val="000222C6"/>
    <w:rsid w:val="0002549F"/>
    <w:rsid w:val="000331E0"/>
    <w:rsid w:val="0006487A"/>
    <w:rsid w:val="00065F8F"/>
    <w:rsid w:val="000768F2"/>
    <w:rsid w:val="0009184B"/>
    <w:rsid w:val="0009593C"/>
    <w:rsid w:val="000B047F"/>
    <w:rsid w:val="000B5923"/>
    <w:rsid w:val="000B5A48"/>
    <w:rsid w:val="000B6FF3"/>
    <w:rsid w:val="000C3467"/>
    <w:rsid w:val="000C3CA6"/>
    <w:rsid w:val="000D1267"/>
    <w:rsid w:val="000D1D50"/>
    <w:rsid w:val="000D5782"/>
    <w:rsid w:val="000D60F3"/>
    <w:rsid w:val="000E6613"/>
    <w:rsid w:val="000E7119"/>
    <w:rsid w:val="00114E9B"/>
    <w:rsid w:val="00143280"/>
    <w:rsid w:val="0014729F"/>
    <w:rsid w:val="00157BAB"/>
    <w:rsid w:val="001654D1"/>
    <w:rsid w:val="0018106D"/>
    <w:rsid w:val="00182796"/>
    <w:rsid w:val="001877A7"/>
    <w:rsid w:val="00191536"/>
    <w:rsid w:val="00196687"/>
    <w:rsid w:val="001C0962"/>
    <w:rsid w:val="001D4B58"/>
    <w:rsid w:val="001D7531"/>
    <w:rsid w:val="001E33A4"/>
    <w:rsid w:val="001E737D"/>
    <w:rsid w:val="001F0592"/>
    <w:rsid w:val="001F58FE"/>
    <w:rsid w:val="001F7506"/>
    <w:rsid w:val="002006CD"/>
    <w:rsid w:val="00202B36"/>
    <w:rsid w:val="00202F6D"/>
    <w:rsid w:val="00204B7A"/>
    <w:rsid w:val="0021101A"/>
    <w:rsid w:val="002133FF"/>
    <w:rsid w:val="00220536"/>
    <w:rsid w:val="002234A4"/>
    <w:rsid w:val="00235629"/>
    <w:rsid w:val="00260C38"/>
    <w:rsid w:val="002616C0"/>
    <w:rsid w:val="002662AA"/>
    <w:rsid w:val="00280496"/>
    <w:rsid w:val="0028739F"/>
    <w:rsid w:val="00291A50"/>
    <w:rsid w:val="00295495"/>
    <w:rsid w:val="002B2613"/>
    <w:rsid w:val="002B35B4"/>
    <w:rsid w:val="002C1704"/>
    <w:rsid w:val="002C5EB2"/>
    <w:rsid w:val="002F1818"/>
    <w:rsid w:val="002F567B"/>
    <w:rsid w:val="003174D9"/>
    <w:rsid w:val="003210E7"/>
    <w:rsid w:val="003216A9"/>
    <w:rsid w:val="00327F31"/>
    <w:rsid w:val="003540E2"/>
    <w:rsid w:val="00362A24"/>
    <w:rsid w:val="0037013F"/>
    <w:rsid w:val="00373562"/>
    <w:rsid w:val="00375F0F"/>
    <w:rsid w:val="00380C92"/>
    <w:rsid w:val="00381334"/>
    <w:rsid w:val="003A484F"/>
    <w:rsid w:val="003B0BE0"/>
    <w:rsid w:val="003B0C1B"/>
    <w:rsid w:val="003B688C"/>
    <w:rsid w:val="003C0291"/>
    <w:rsid w:val="003C39AE"/>
    <w:rsid w:val="003C7B60"/>
    <w:rsid w:val="003D1FB2"/>
    <w:rsid w:val="003D66DA"/>
    <w:rsid w:val="003E1310"/>
    <w:rsid w:val="003E4B0E"/>
    <w:rsid w:val="003E6F55"/>
    <w:rsid w:val="00406254"/>
    <w:rsid w:val="004223DE"/>
    <w:rsid w:val="004315CA"/>
    <w:rsid w:val="00434489"/>
    <w:rsid w:val="00437085"/>
    <w:rsid w:val="00443880"/>
    <w:rsid w:val="004464F4"/>
    <w:rsid w:val="00455554"/>
    <w:rsid w:val="00471401"/>
    <w:rsid w:val="00473F31"/>
    <w:rsid w:val="0048263A"/>
    <w:rsid w:val="004838B8"/>
    <w:rsid w:val="00485F9E"/>
    <w:rsid w:val="00487E5D"/>
    <w:rsid w:val="004A711F"/>
    <w:rsid w:val="004B199D"/>
    <w:rsid w:val="004B4690"/>
    <w:rsid w:val="004E0A2D"/>
    <w:rsid w:val="004E206B"/>
    <w:rsid w:val="004E6DF7"/>
    <w:rsid w:val="004F0FBD"/>
    <w:rsid w:val="00505A47"/>
    <w:rsid w:val="00512FDA"/>
    <w:rsid w:val="00514C17"/>
    <w:rsid w:val="00520DA0"/>
    <w:rsid w:val="00547AD0"/>
    <w:rsid w:val="005652E2"/>
    <w:rsid w:val="00565D21"/>
    <w:rsid w:val="005664BB"/>
    <w:rsid w:val="0057481D"/>
    <w:rsid w:val="00577699"/>
    <w:rsid w:val="0058486E"/>
    <w:rsid w:val="00586444"/>
    <w:rsid w:val="005B1125"/>
    <w:rsid w:val="005B6EEA"/>
    <w:rsid w:val="005D15B4"/>
    <w:rsid w:val="005D1C8B"/>
    <w:rsid w:val="005D4A85"/>
    <w:rsid w:val="005D5CED"/>
    <w:rsid w:val="005E7D26"/>
    <w:rsid w:val="005F1A4C"/>
    <w:rsid w:val="00605688"/>
    <w:rsid w:val="006070AF"/>
    <w:rsid w:val="00607E6C"/>
    <w:rsid w:val="006101B1"/>
    <w:rsid w:val="00614E44"/>
    <w:rsid w:val="00622830"/>
    <w:rsid w:val="0062521A"/>
    <w:rsid w:val="00630AEF"/>
    <w:rsid w:val="006325F8"/>
    <w:rsid w:val="00634C9A"/>
    <w:rsid w:val="00640B4E"/>
    <w:rsid w:val="006440E4"/>
    <w:rsid w:val="006627A9"/>
    <w:rsid w:val="0066343B"/>
    <w:rsid w:val="00664777"/>
    <w:rsid w:val="00671D2A"/>
    <w:rsid w:val="006748A4"/>
    <w:rsid w:val="00683E73"/>
    <w:rsid w:val="00693192"/>
    <w:rsid w:val="006A0E5D"/>
    <w:rsid w:val="006A2438"/>
    <w:rsid w:val="006A3141"/>
    <w:rsid w:val="006A45DF"/>
    <w:rsid w:val="006A5E34"/>
    <w:rsid w:val="006B2422"/>
    <w:rsid w:val="006B2B9A"/>
    <w:rsid w:val="006B7E22"/>
    <w:rsid w:val="006C0C4D"/>
    <w:rsid w:val="006C18E4"/>
    <w:rsid w:val="006C1937"/>
    <w:rsid w:val="006C3BFB"/>
    <w:rsid w:val="006C5379"/>
    <w:rsid w:val="006C5AA1"/>
    <w:rsid w:val="006D7EAD"/>
    <w:rsid w:val="006E1321"/>
    <w:rsid w:val="006F020C"/>
    <w:rsid w:val="007127B7"/>
    <w:rsid w:val="0073369F"/>
    <w:rsid w:val="0073458B"/>
    <w:rsid w:val="007416B6"/>
    <w:rsid w:val="00746F48"/>
    <w:rsid w:val="0075404D"/>
    <w:rsid w:val="0076182A"/>
    <w:rsid w:val="00766C1E"/>
    <w:rsid w:val="00767B7E"/>
    <w:rsid w:val="007770C3"/>
    <w:rsid w:val="00784D24"/>
    <w:rsid w:val="00785FBA"/>
    <w:rsid w:val="00786E4A"/>
    <w:rsid w:val="007875EB"/>
    <w:rsid w:val="0079426B"/>
    <w:rsid w:val="007D312A"/>
    <w:rsid w:val="007D3273"/>
    <w:rsid w:val="007D3F19"/>
    <w:rsid w:val="007E23B0"/>
    <w:rsid w:val="007E3A00"/>
    <w:rsid w:val="007F1991"/>
    <w:rsid w:val="007F2C2F"/>
    <w:rsid w:val="007F55FC"/>
    <w:rsid w:val="007F5665"/>
    <w:rsid w:val="00800112"/>
    <w:rsid w:val="0082208F"/>
    <w:rsid w:val="008253BB"/>
    <w:rsid w:val="00837035"/>
    <w:rsid w:val="0083706E"/>
    <w:rsid w:val="008423A5"/>
    <w:rsid w:val="00850625"/>
    <w:rsid w:val="00853718"/>
    <w:rsid w:val="00855221"/>
    <w:rsid w:val="00860645"/>
    <w:rsid w:val="00871F71"/>
    <w:rsid w:val="00885AF4"/>
    <w:rsid w:val="008939CD"/>
    <w:rsid w:val="008973DD"/>
    <w:rsid w:val="008B768C"/>
    <w:rsid w:val="008B7856"/>
    <w:rsid w:val="008C4DB1"/>
    <w:rsid w:val="008C4EAF"/>
    <w:rsid w:val="008C5176"/>
    <w:rsid w:val="008C7FD0"/>
    <w:rsid w:val="008E1DE7"/>
    <w:rsid w:val="008E707C"/>
    <w:rsid w:val="008F116D"/>
    <w:rsid w:val="00900B08"/>
    <w:rsid w:val="00902155"/>
    <w:rsid w:val="00902FA3"/>
    <w:rsid w:val="00910D38"/>
    <w:rsid w:val="009155FF"/>
    <w:rsid w:val="00923564"/>
    <w:rsid w:val="0092392E"/>
    <w:rsid w:val="009315F9"/>
    <w:rsid w:val="00946945"/>
    <w:rsid w:val="00951248"/>
    <w:rsid w:val="0095152F"/>
    <w:rsid w:val="00954C49"/>
    <w:rsid w:val="0097099F"/>
    <w:rsid w:val="00971997"/>
    <w:rsid w:val="00971FFC"/>
    <w:rsid w:val="00972AFB"/>
    <w:rsid w:val="0098660A"/>
    <w:rsid w:val="00986E29"/>
    <w:rsid w:val="00986FF9"/>
    <w:rsid w:val="009931C3"/>
    <w:rsid w:val="009A21A4"/>
    <w:rsid w:val="009A3BBA"/>
    <w:rsid w:val="009B2C43"/>
    <w:rsid w:val="009B4EAE"/>
    <w:rsid w:val="009B7573"/>
    <w:rsid w:val="009C1A0B"/>
    <w:rsid w:val="009C1BE5"/>
    <w:rsid w:val="009C22F4"/>
    <w:rsid w:val="009C2E98"/>
    <w:rsid w:val="009D3447"/>
    <w:rsid w:val="009D4711"/>
    <w:rsid w:val="009F1185"/>
    <w:rsid w:val="009F18CD"/>
    <w:rsid w:val="009F2A13"/>
    <w:rsid w:val="009F4A60"/>
    <w:rsid w:val="009F5604"/>
    <w:rsid w:val="00A04EB0"/>
    <w:rsid w:val="00A13CC1"/>
    <w:rsid w:val="00A16847"/>
    <w:rsid w:val="00A237D8"/>
    <w:rsid w:val="00A24ABF"/>
    <w:rsid w:val="00A268C4"/>
    <w:rsid w:val="00A307CD"/>
    <w:rsid w:val="00A40A00"/>
    <w:rsid w:val="00A4142F"/>
    <w:rsid w:val="00A56DF2"/>
    <w:rsid w:val="00A67AB5"/>
    <w:rsid w:val="00A800A9"/>
    <w:rsid w:val="00A91760"/>
    <w:rsid w:val="00A93B00"/>
    <w:rsid w:val="00A93C21"/>
    <w:rsid w:val="00AA0319"/>
    <w:rsid w:val="00AA7973"/>
    <w:rsid w:val="00AC3C6A"/>
    <w:rsid w:val="00AD5620"/>
    <w:rsid w:val="00AD7C1B"/>
    <w:rsid w:val="00AE16BA"/>
    <w:rsid w:val="00AE1EBE"/>
    <w:rsid w:val="00AE6AAF"/>
    <w:rsid w:val="00B03C9D"/>
    <w:rsid w:val="00B060AE"/>
    <w:rsid w:val="00B10517"/>
    <w:rsid w:val="00B14E76"/>
    <w:rsid w:val="00B161B8"/>
    <w:rsid w:val="00B2048C"/>
    <w:rsid w:val="00B22923"/>
    <w:rsid w:val="00B229B0"/>
    <w:rsid w:val="00B310B9"/>
    <w:rsid w:val="00B35F3F"/>
    <w:rsid w:val="00B36CBB"/>
    <w:rsid w:val="00B404C3"/>
    <w:rsid w:val="00B41D52"/>
    <w:rsid w:val="00B425E0"/>
    <w:rsid w:val="00B440AA"/>
    <w:rsid w:val="00B44B70"/>
    <w:rsid w:val="00B46DE0"/>
    <w:rsid w:val="00B53C56"/>
    <w:rsid w:val="00B77EA6"/>
    <w:rsid w:val="00B81598"/>
    <w:rsid w:val="00B82202"/>
    <w:rsid w:val="00B8255E"/>
    <w:rsid w:val="00B841F1"/>
    <w:rsid w:val="00B940F9"/>
    <w:rsid w:val="00B944D6"/>
    <w:rsid w:val="00BA2FE6"/>
    <w:rsid w:val="00BB4DF0"/>
    <w:rsid w:val="00BC289F"/>
    <w:rsid w:val="00BC5361"/>
    <w:rsid w:val="00BC5460"/>
    <w:rsid w:val="00BC6B50"/>
    <w:rsid w:val="00BD0E25"/>
    <w:rsid w:val="00BF5BD6"/>
    <w:rsid w:val="00C0141F"/>
    <w:rsid w:val="00C03E31"/>
    <w:rsid w:val="00C15435"/>
    <w:rsid w:val="00C226AC"/>
    <w:rsid w:val="00C32A85"/>
    <w:rsid w:val="00C33E72"/>
    <w:rsid w:val="00C354B2"/>
    <w:rsid w:val="00C35554"/>
    <w:rsid w:val="00C37592"/>
    <w:rsid w:val="00C42709"/>
    <w:rsid w:val="00C533CC"/>
    <w:rsid w:val="00C5751C"/>
    <w:rsid w:val="00C61BFC"/>
    <w:rsid w:val="00C62B85"/>
    <w:rsid w:val="00C65438"/>
    <w:rsid w:val="00C743DD"/>
    <w:rsid w:val="00C91CBB"/>
    <w:rsid w:val="00CC09B6"/>
    <w:rsid w:val="00CC666F"/>
    <w:rsid w:val="00CC66E4"/>
    <w:rsid w:val="00CD1E3F"/>
    <w:rsid w:val="00CD7013"/>
    <w:rsid w:val="00CE44F6"/>
    <w:rsid w:val="00CE49DA"/>
    <w:rsid w:val="00CE7B61"/>
    <w:rsid w:val="00D00095"/>
    <w:rsid w:val="00D20620"/>
    <w:rsid w:val="00D20D3E"/>
    <w:rsid w:val="00D26091"/>
    <w:rsid w:val="00D2648C"/>
    <w:rsid w:val="00D34E7C"/>
    <w:rsid w:val="00D35489"/>
    <w:rsid w:val="00D37C80"/>
    <w:rsid w:val="00D51276"/>
    <w:rsid w:val="00D7035F"/>
    <w:rsid w:val="00D80BB0"/>
    <w:rsid w:val="00D83752"/>
    <w:rsid w:val="00D84E56"/>
    <w:rsid w:val="00D964D9"/>
    <w:rsid w:val="00DA65AC"/>
    <w:rsid w:val="00DB0CBC"/>
    <w:rsid w:val="00DB1913"/>
    <w:rsid w:val="00DC1C75"/>
    <w:rsid w:val="00DC410D"/>
    <w:rsid w:val="00DC68CA"/>
    <w:rsid w:val="00DC7CBA"/>
    <w:rsid w:val="00DD1C87"/>
    <w:rsid w:val="00DD73B7"/>
    <w:rsid w:val="00DF28BC"/>
    <w:rsid w:val="00DF34B9"/>
    <w:rsid w:val="00E01053"/>
    <w:rsid w:val="00E07ACF"/>
    <w:rsid w:val="00E10A68"/>
    <w:rsid w:val="00E331A1"/>
    <w:rsid w:val="00E33202"/>
    <w:rsid w:val="00E336A9"/>
    <w:rsid w:val="00E370BB"/>
    <w:rsid w:val="00E42055"/>
    <w:rsid w:val="00E44E6C"/>
    <w:rsid w:val="00E50624"/>
    <w:rsid w:val="00E568DF"/>
    <w:rsid w:val="00E64269"/>
    <w:rsid w:val="00E64E2B"/>
    <w:rsid w:val="00E82267"/>
    <w:rsid w:val="00E8306E"/>
    <w:rsid w:val="00E94547"/>
    <w:rsid w:val="00EA010F"/>
    <w:rsid w:val="00EA415D"/>
    <w:rsid w:val="00EA5384"/>
    <w:rsid w:val="00ED1B63"/>
    <w:rsid w:val="00ED3C1F"/>
    <w:rsid w:val="00ED4085"/>
    <w:rsid w:val="00ED420E"/>
    <w:rsid w:val="00EE2F57"/>
    <w:rsid w:val="00EE52B5"/>
    <w:rsid w:val="00EF4C34"/>
    <w:rsid w:val="00EF77C6"/>
    <w:rsid w:val="00F05438"/>
    <w:rsid w:val="00F1361C"/>
    <w:rsid w:val="00F160C7"/>
    <w:rsid w:val="00F258D7"/>
    <w:rsid w:val="00F362C4"/>
    <w:rsid w:val="00F36D8F"/>
    <w:rsid w:val="00F417B1"/>
    <w:rsid w:val="00F602DF"/>
    <w:rsid w:val="00F70C6D"/>
    <w:rsid w:val="00F81FD9"/>
    <w:rsid w:val="00F841AA"/>
    <w:rsid w:val="00FA23E8"/>
    <w:rsid w:val="00FD3CC1"/>
    <w:rsid w:val="00FE09A8"/>
    <w:rsid w:val="00FE1183"/>
    <w:rsid w:val="00FE6F3B"/>
    <w:rsid w:val="00FF1E02"/>
    <w:rsid w:val="00FF30B4"/>
    <w:rsid w:val="00FF349D"/>
    <w:rsid w:val="00FF4B5B"/>
    <w:rsid w:val="0ED62A80"/>
    <w:rsid w:val="10C055FF"/>
    <w:rsid w:val="10F529AD"/>
    <w:rsid w:val="16BB723D"/>
    <w:rsid w:val="240371BF"/>
    <w:rsid w:val="25B46BBD"/>
    <w:rsid w:val="29FD04D3"/>
    <w:rsid w:val="319F7F4E"/>
    <w:rsid w:val="3EEF5515"/>
    <w:rsid w:val="422D61D5"/>
    <w:rsid w:val="453E098F"/>
    <w:rsid w:val="6B7F3207"/>
    <w:rsid w:val="75282356"/>
    <w:rsid w:val="75FF371A"/>
    <w:rsid w:val="77BD3A9F"/>
    <w:rsid w:val="79050C40"/>
    <w:rsid w:val="7DB146BC"/>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9"/>
    <w:unhideWhenUsed/>
    <w:qFormat/>
    <w:uiPriority w:val="9"/>
    <w:pPr>
      <w:keepNext/>
      <w:keepLines/>
      <w:spacing w:before="260" w:after="260" w:line="416" w:lineRule="auto"/>
      <w:outlineLvl w:val="2"/>
    </w:pPr>
    <w:rPr>
      <w:b/>
      <w:bCs/>
      <w:sz w:val="32"/>
      <w:szCs w:val="32"/>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5">
    <w:name w:val="Body Text"/>
    <w:basedOn w:val="1"/>
    <w:link w:val="22"/>
    <w:qFormat/>
    <w:uiPriority w:val="99"/>
    <w:pPr>
      <w:spacing w:beforeLines="30"/>
    </w:pPr>
    <w:rPr>
      <w:rFonts w:ascii="仿宋_GB2312" w:eastAsia="仿宋_GB2312"/>
      <w:kern w:val="0"/>
      <w:sz w:val="30"/>
    </w:rPr>
  </w:style>
  <w:style w:type="paragraph" w:styleId="6">
    <w:name w:val="toc 3"/>
    <w:basedOn w:val="1"/>
    <w:next w:val="1"/>
    <w:unhideWhenUsed/>
    <w:qFormat/>
    <w:uiPriority w:val="39"/>
    <w:pPr>
      <w:tabs>
        <w:tab w:val="right" w:leader="dot" w:pos="8296"/>
      </w:tabs>
      <w:ind w:left="840" w:leftChars="400"/>
    </w:pPr>
  </w:style>
  <w:style w:type="paragraph" w:styleId="7">
    <w:name w:val="Plain Text"/>
    <w:basedOn w:val="1"/>
    <w:link w:val="31"/>
    <w:qFormat/>
    <w:uiPriority w:val="0"/>
    <w:pPr>
      <w:spacing w:line="312" w:lineRule="atLeast"/>
      <w:textAlignment w:val="baseline"/>
    </w:pPr>
    <w:rPr>
      <w:rFonts w:ascii="Courier New" w:hAnsi="Courier New" w:cs="Courier New"/>
      <w:b/>
      <w:bCs/>
      <w:w w:val="150"/>
      <w:kern w:val="11"/>
      <w:szCs w:val="21"/>
      <w:lang w:eastAsia="en-US"/>
    </w:rPr>
  </w:style>
  <w:style w:type="paragraph" w:styleId="8">
    <w:name w:val="Balloon Text"/>
    <w:basedOn w:val="1"/>
    <w:link w:val="28"/>
    <w:unhideWhenUsed/>
    <w:qFormat/>
    <w:uiPriority w:val="99"/>
    <w:rPr>
      <w:sz w:val="18"/>
      <w:szCs w:val="18"/>
    </w:rPr>
  </w:style>
  <w:style w:type="paragraph" w:styleId="9">
    <w:name w:val="footer"/>
    <w:basedOn w:val="1"/>
    <w:link w:val="20"/>
    <w:qFormat/>
    <w:uiPriority w:val="99"/>
    <w:pPr>
      <w:tabs>
        <w:tab w:val="center" w:pos="4153"/>
        <w:tab w:val="right" w:pos="8306"/>
      </w:tabs>
      <w:snapToGrid w:val="0"/>
      <w:jc w:val="left"/>
    </w:pPr>
    <w:rPr>
      <w:rFonts w:ascii="Calibri" w:hAnsi="Calibri"/>
      <w:kern w:val="0"/>
      <w:sz w:val="18"/>
      <w:szCs w:val="18"/>
    </w:rPr>
  </w:style>
  <w:style w:type="paragraph" w:styleId="10">
    <w:name w:val="header"/>
    <w:basedOn w:val="1"/>
    <w:link w:val="18"/>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1">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2">
    <w:name w:val="toc 2"/>
    <w:basedOn w:val="1"/>
    <w:next w:val="1"/>
    <w:unhideWhenUsed/>
    <w:qFormat/>
    <w:uiPriority w:val="39"/>
    <w:pPr>
      <w:tabs>
        <w:tab w:val="right" w:leader="dot" w:pos="8296"/>
      </w:tabs>
      <w:ind w:left="420" w:leftChars="200"/>
    </w:pPr>
  </w:style>
  <w:style w:type="character" w:styleId="15">
    <w:name w:val="Strong"/>
    <w:basedOn w:val="14"/>
    <w:qFormat/>
    <w:uiPriority w:val="0"/>
    <w:rPr>
      <w:b/>
    </w:rPr>
  </w:style>
  <w:style w:type="character" w:styleId="16">
    <w:name w:val="Hyperlink"/>
    <w:basedOn w:val="14"/>
    <w:unhideWhenUsed/>
    <w:qFormat/>
    <w:uiPriority w:val="99"/>
    <w:rPr>
      <w:color w:val="0000FF" w:themeColor="hyperlink"/>
      <w:u w:val="single"/>
    </w:rPr>
  </w:style>
  <w:style w:type="character" w:customStyle="1" w:styleId="17">
    <w:name w:val="Header Char"/>
    <w:basedOn w:val="14"/>
    <w:semiHidden/>
    <w:qFormat/>
    <w:uiPriority w:val="99"/>
    <w:rPr>
      <w:rFonts w:ascii="Times New Roman" w:hAnsi="Times New Roman"/>
      <w:sz w:val="18"/>
      <w:szCs w:val="18"/>
    </w:rPr>
  </w:style>
  <w:style w:type="character" w:customStyle="1" w:styleId="18">
    <w:name w:val="页眉 Char"/>
    <w:link w:val="10"/>
    <w:semiHidden/>
    <w:qFormat/>
    <w:locked/>
    <w:uiPriority w:val="99"/>
    <w:rPr>
      <w:sz w:val="18"/>
    </w:rPr>
  </w:style>
  <w:style w:type="character" w:customStyle="1" w:styleId="19">
    <w:name w:val="Footer Char"/>
    <w:basedOn w:val="14"/>
    <w:semiHidden/>
    <w:qFormat/>
    <w:uiPriority w:val="99"/>
    <w:rPr>
      <w:rFonts w:ascii="Times New Roman" w:hAnsi="Times New Roman"/>
      <w:sz w:val="18"/>
      <w:szCs w:val="18"/>
    </w:rPr>
  </w:style>
  <w:style w:type="character" w:customStyle="1" w:styleId="20">
    <w:name w:val="页脚 Char"/>
    <w:link w:val="9"/>
    <w:qFormat/>
    <w:locked/>
    <w:uiPriority w:val="99"/>
    <w:rPr>
      <w:sz w:val="18"/>
    </w:rPr>
  </w:style>
  <w:style w:type="character" w:customStyle="1" w:styleId="21">
    <w:name w:val="Body Text Char"/>
    <w:basedOn w:val="14"/>
    <w:semiHidden/>
    <w:qFormat/>
    <w:uiPriority w:val="99"/>
    <w:rPr>
      <w:rFonts w:ascii="Times New Roman" w:hAnsi="Times New Roman"/>
      <w:szCs w:val="24"/>
    </w:rPr>
  </w:style>
  <w:style w:type="character" w:customStyle="1" w:styleId="22">
    <w:name w:val="正文文本 Char"/>
    <w:link w:val="5"/>
    <w:qFormat/>
    <w:locked/>
    <w:uiPriority w:val="99"/>
    <w:rPr>
      <w:rFonts w:ascii="仿宋_GB2312" w:hAnsi="Times New Roman" w:eastAsia="仿宋_GB2312"/>
      <w:sz w:val="24"/>
    </w:rPr>
  </w:style>
  <w:style w:type="paragraph" w:customStyle="1" w:styleId="23">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24">
    <w:name w:val="列出段落1"/>
    <w:basedOn w:val="1"/>
    <w:qFormat/>
    <w:uiPriority w:val="34"/>
    <w:pPr>
      <w:ind w:firstLine="420" w:firstLineChars="200"/>
    </w:pPr>
  </w:style>
  <w:style w:type="character" w:customStyle="1" w:styleId="25">
    <w:name w:val="标题 1 Char"/>
    <w:basedOn w:val="14"/>
    <w:link w:val="2"/>
    <w:qFormat/>
    <w:uiPriority w:val="9"/>
    <w:rPr>
      <w:rFonts w:ascii="Times New Roman" w:hAnsi="Times New Roman"/>
      <w:b/>
      <w:bCs/>
      <w:kern w:val="44"/>
      <w:sz w:val="44"/>
      <w:szCs w:val="44"/>
    </w:rPr>
  </w:style>
  <w:style w:type="character" w:customStyle="1" w:styleId="26">
    <w:name w:val="标题 2 Char"/>
    <w:basedOn w:val="14"/>
    <w:link w:val="3"/>
    <w:qFormat/>
    <w:uiPriority w:val="9"/>
    <w:rPr>
      <w:rFonts w:asciiTheme="majorHAnsi" w:hAnsiTheme="majorHAnsi" w:eastAsiaTheme="majorEastAsia" w:cstheme="majorBidi"/>
      <w:b/>
      <w:bCs/>
      <w:kern w:val="2"/>
      <w:sz w:val="32"/>
      <w:szCs w:val="32"/>
    </w:rPr>
  </w:style>
  <w:style w:type="paragraph" w:customStyle="1" w:styleId="27">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28">
    <w:name w:val="批注框文本 Char"/>
    <w:basedOn w:val="14"/>
    <w:link w:val="8"/>
    <w:semiHidden/>
    <w:qFormat/>
    <w:uiPriority w:val="99"/>
    <w:rPr>
      <w:rFonts w:ascii="Times New Roman" w:hAnsi="Times New Roman"/>
      <w:kern w:val="2"/>
      <w:sz w:val="18"/>
      <w:szCs w:val="18"/>
    </w:rPr>
  </w:style>
  <w:style w:type="character" w:customStyle="1" w:styleId="29">
    <w:name w:val="标题 3 Char"/>
    <w:basedOn w:val="14"/>
    <w:link w:val="4"/>
    <w:qFormat/>
    <w:uiPriority w:val="9"/>
    <w:rPr>
      <w:rFonts w:ascii="Times New Roman" w:hAnsi="Times New Roman"/>
      <w:b/>
      <w:bCs/>
      <w:kern w:val="2"/>
      <w:sz w:val="32"/>
      <w:szCs w:val="32"/>
    </w:rPr>
  </w:style>
  <w:style w:type="paragraph" w:customStyle="1" w:styleId="30">
    <w:name w:val="p0"/>
    <w:basedOn w:val="1"/>
    <w:qFormat/>
    <w:uiPriority w:val="0"/>
    <w:pPr>
      <w:widowControl/>
      <w:jc w:val="left"/>
    </w:pPr>
    <w:rPr>
      <w:kern w:val="0"/>
      <w:szCs w:val="21"/>
    </w:rPr>
  </w:style>
  <w:style w:type="character" w:customStyle="1" w:styleId="31">
    <w:name w:val="纯文本 Char"/>
    <w:basedOn w:val="14"/>
    <w:link w:val="7"/>
    <w:qFormat/>
    <w:uiPriority w:val="0"/>
    <w:rPr>
      <w:rFonts w:ascii="Courier New" w:hAnsi="Courier New" w:cs="Courier New"/>
      <w:b/>
      <w:bCs/>
      <w:w w:val="150"/>
      <w:kern w:val="11"/>
      <w:sz w:val="21"/>
      <w:szCs w:val="21"/>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四川省财政厅</Company>
  <Pages>26</Pages>
  <Words>1834</Words>
  <Characters>10454</Characters>
  <Lines>87</Lines>
  <Paragraphs>24</Paragraphs>
  <TotalTime>0</TotalTime>
  <ScaleCrop>false</ScaleCrop>
  <LinksUpToDate>false</LinksUpToDate>
  <CharactersWithSpaces>12264</CharactersWithSpaces>
  <Application>WPS Office_11.8.2.1121_F1E327BC-269C-435d-A152-05C5408002CA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2019-08-15T17:48:00Z</dcterms:created>
  <dc:creator>张彬茜</dc:creator>
  <cp:lastModifiedBy>ruijie</cp:lastModifiedBy>
  <cp:lastPrinted>2019-08-15T15:08:00Z</cp:lastPrinted>
  <dcterms:modified xsi:type="dcterms:W3CDTF">2023-05-15T15:56:35Z</dcterms:modified>
  <dc:title>四川省***</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2052-11.8.2.1121</vt:lpwstr>
  </property>
  <property fmtid="{D5CDD505-2E9C-101B-9397-08002B2CF9AE}" pid="3" name="ICV">
    <vt:lpwstr>6C16FA33101EB8CBB3E561645DF3283C</vt:lpwstr>
  </property>
</Properties>
</file>