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C4C05">
      <w:pPr>
        <w:spacing w:line="560" w:lineRule="exact"/>
        <w:rPr>
          <w:rFonts w:ascii="仿宋_GB2312" w:eastAsia="仿宋_GB2312"/>
          <w:sz w:val="32"/>
          <w:szCs w:val="32"/>
        </w:rPr>
      </w:pPr>
    </w:p>
    <w:p w14:paraId="2EAA6A3D">
      <w:pPr>
        <w:spacing w:line="560" w:lineRule="exact"/>
        <w:jc w:val="center"/>
        <w:rPr>
          <w:rFonts w:hint="eastAsia" w:ascii="方正小标宋简体" w:eastAsia="方正小标宋简体" w:cs="方正小标宋简体"/>
          <w:bCs/>
          <w:sz w:val="44"/>
          <w:szCs w:val="44"/>
          <w:lang w:val="en-US" w:eastAsia="zh-CN"/>
        </w:rPr>
      </w:pPr>
      <w:r>
        <w:rPr>
          <w:rFonts w:hint="eastAsia" w:ascii="方正小标宋简体" w:eastAsia="方正小标宋简体" w:cs="方正小标宋简体"/>
          <w:bCs/>
          <w:sz w:val="44"/>
          <w:szCs w:val="44"/>
        </w:rPr>
        <w:t>关于红原县</w:t>
      </w:r>
      <w:r>
        <w:rPr>
          <w:rFonts w:hint="eastAsia" w:ascii="方正小标宋简体" w:eastAsia="方正小标宋简体" w:cs="方正小标宋简体"/>
          <w:bCs/>
          <w:sz w:val="44"/>
          <w:szCs w:val="44"/>
          <w:lang w:val="en-US" w:eastAsia="zh-CN"/>
        </w:rPr>
        <w:t>公务服务中心</w:t>
      </w:r>
    </w:p>
    <w:p w14:paraId="43FB5266">
      <w:pPr>
        <w:spacing w:line="560" w:lineRule="exact"/>
        <w:jc w:val="center"/>
        <w:rPr>
          <w:rFonts w:ascii="方正小标宋简体" w:eastAsia="方正小标宋简体" w:cs="方正小标宋简体"/>
          <w:bCs/>
          <w:sz w:val="44"/>
          <w:szCs w:val="44"/>
        </w:rPr>
      </w:pPr>
      <w:r>
        <w:rPr>
          <w:rFonts w:hint="eastAsia" w:ascii="方正小标宋简体" w:eastAsia="方正小标宋简体" w:cs="方正小标宋简体"/>
          <w:bCs/>
          <w:sz w:val="44"/>
          <w:szCs w:val="44"/>
        </w:rPr>
        <w:t>202</w:t>
      </w:r>
      <w:r>
        <w:rPr>
          <w:rFonts w:hint="eastAsia" w:ascii="方正小标宋简体" w:eastAsia="方正小标宋简体" w:cs="方正小标宋简体"/>
          <w:bCs/>
          <w:sz w:val="44"/>
          <w:szCs w:val="44"/>
          <w:lang w:val="en-US" w:eastAsia="zh-CN"/>
        </w:rPr>
        <w:t>6</w:t>
      </w:r>
      <w:r>
        <w:rPr>
          <w:rFonts w:hint="eastAsia" w:ascii="方正小标宋简体" w:eastAsia="方正小标宋简体" w:cs="方正小标宋简体"/>
          <w:bCs/>
          <w:sz w:val="44"/>
          <w:szCs w:val="44"/>
        </w:rPr>
        <w:t>年部门预算编制的说明</w:t>
      </w:r>
    </w:p>
    <w:p w14:paraId="7DE3FD80">
      <w:pPr>
        <w:pStyle w:val="5"/>
        <w:adjustRightInd w:val="0"/>
        <w:snapToGrid w:val="0"/>
        <w:spacing w:beforeLines="0" w:line="560" w:lineRule="exact"/>
        <w:rPr>
          <w:rFonts w:ascii="宋体" w:eastAsia="宋体"/>
          <w:b/>
          <w:sz w:val="44"/>
          <w:szCs w:val="44"/>
        </w:rPr>
      </w:pPr>
      <w:r>
        <w:rPr>
          <w:rFonts w:hint="eastAsia" w:ascii="宋体" w:eastAsia="宋体"/>
          <w:b/>
          <w:sz w:val="44"/>
          <w:szCs w:val="44"/>
        </w:rPr>
        <w:t xml:space="preserve">    </w:t>
      </w:r>
    </w:p>
    <w:p w14:paraId="5204AB50">
      <w:pPr>
        <w:pStyle w:val="5"/>
        <w:adjustRightInd w:val="0"/>
        <w:snapToGrid w:val="0"/>
        <w:spacing w:before="93" w:line="560" w:lineRule="exact"/>
        <w:ind w:firstLine="640" w:firstLineChars="200"/>
        <w:rPr>
          <w:rFonts w:ascii="宋体" w:eastAsia="宋体"/>
          <w:b/>
          <w:sz w:val="44"/>
          <w:szCs w:val="44"/>
        </w:rPr>
      </w:pPr>
      <w:r>
        <w:rPr>
          <w:rFonts w:hint="eastAsia"/>
          <w:sz w:val="32"/>
          <w:szCs w:val="32"/>
        </w:rPr>
        <w:t>按照预算管理有关规定，目前部门预算的编制实行综合预算制度，即全部收入和支出都反映在预算中。</w:t>
      </w:r>
    </w:p>
    <w:p w14:paraId="51B6705B">
      <w:pPr>
        <w:spacing w:line="560" w:lineRule="exact"/>
        <w:ind w:firstLine="640" w:firstLineChars="200"/>
        <w:rPr>
          <w:rFonts w:ascii="黑体" w:eastAsia="黑体"/>
          <w:sz w:val="32"/>
          <w:szCs w:val="32"/>
        </w:rPr>
      </w:pPr>
      <w:r>
        <w:rPr>
          <w:rFonts w:hint="eastAsia" w:ascii="黑体" w:eastAsia="黑体"/>
          <w:sz w:val="32"/>
          <w:szCs w:val="32"/>
        </w:rPr>
        <w:t>一、基本职能及主要工作</w:t>
      </w:r>
    </w:p>
    <w:p w14:paraId="457BD48F">
      <w:pPr>
        <w:pStyle w:val="5"/>
        <w:adjustRightInd w:val="0"/>
        <w:snapToGrid w:val="0"/>
        <w:spacing w:before="93" w:line="560" w:lineRule="exact"/>
        <w:ind w:firstLine="671" w:firstLineChars="209"/>
        <w:rPr>
          <w:rFonts w:hint="eastAsia" w:ascii="楷体_GB2312" w:eastAsia="楷体_GB2312" w:cs="楷体_GB2312"/>
          <w:b/>
          <w:sz w:val="32"/>
          <w:szCs w:val="32"/>
        </w:rPr>
      </w:pPr>
      <w:r>
        <w:rPr>
          <w:rFonts w:hint="eastAsia" w:ascii="楷体_GB2312" w:eastAsia="楷体_GB2312" w:cs="楷体_GB2312"/>
          <w:b/>
          <w:sz w:val="32"/>
          <w:szCs w:val="32"/>
        </w:rPr>
        <w:t>（一）基本职能</w:t>
      </w:r>
    </w:p>
    <w:p w14:paraId="207BB495">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1</w:t>
      </w:r>
      <w:r>
        <w:rPr>
          <w:rFonts w:hint="eastAsia" w:ascii="仿宋_GB2312" w:hAnsi="仿宋_GB2312" w:eastAsia="仿宋_GB2312" w:cs="仿宋_GB2312"/>
          <w:kern w:val="2"/>
          <w:sz w:val="32"/>
          <w:szCs w:val="32"/>
        </w:rPr>
        <w:t>）负责党和国家领导人（含曾经担任）、省委、省人大、省政府、省政协副省级以上、州委、州人大、州政府、州政协副厅级领导（含曾经</w:t>
      </w:r>
      <w:r>
        <w:rPr>
          <w:rFonts w:hint="eastAsia" w:ascii="仿宋_GB2312" w:hAnsi="仿宋_GB2312" w:eastAsia="仿宋_GB2312" w:cs="仿宋_GB2312"/>
          <w:kern w:val="2"/>
          <w:sz w:val="32"/>
          <w:szCs w:val="32"/>
          <w:lang w:eastAsia="zh-CN"/>
        </w:rPr>
        <w:t>担任</w:t>
      </w:r>
      <w:r>
        <w:rPr>
          <w:rFonts w:hint="eastAsia" w:ascii="仿宋_GB2312" w:hAnsi="仿宋_GB2312" w:eastAsia="仿宋_GB2312" w:cs="仿宋_GB2312"/>
          <w:kern w:val="2"/>
          <w:sz w:val="32"/>
          <w:szCs w:val="32"/>
        </w:rPr>
        <w:t>）来县的服务保障。</w:t>
      </w:r>
    </w:p>
    <w:p w14:paraId="3009D58E">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2</w:t>
      </w:r>
      <w:r>
        <w:rPr>
          <w:rFonts w:hint="eastAsia" w:ascii="仿宋_GB2312" w:hAnsi="仿宋_GB2312" w:eastAsia="仿宋_GB2312" w:cs="仿宋_GB2312"/>
          <w:kern w:val="2"/>
          <w:sz w:val="32"/>
          <w:szCs w:val="32"/>
        </w:rPr>
        <w:t>）按照有关规定负责和参与党中央、国务院、省委、省政府、州委、州政府巡视、检查、督查（督导、督察）、考察、调研、考核、审计等工作组来县的服务保障。</w:t>
      </w:r>
    </w:p>
    <w:p w14:paraId="34C363F8">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rPr>
        <w:t>）负责外省（州、市、区、县）党委、政府正、副县级领导干部来县的服务保障；会同县级有关部门承担中央和国家机关各部委正、副部级领导干部、省委、省政府正、副省级、州委、州政府领导干部来县的服务保障；参与县人大常委会办公室、县政协办公室牵头对口接待正、副厅级领导干部来县的服务保障。</w:t>
      </w:r>
    </w:p>
    <w:p w14:paraId="08DED9A6">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4</w:t>
      </w:r>
      <w:r>
        <w:rPr>
          <w:rFonts w:hint="eastAsia" w:ascii="仿宋_GB2312" w:hAnsi="仿宋_GB2312" w:eastAsia="仿宋_GB2312" w:cs="仿宋_GB2312"/>
          <w:kern w:val="2"/>
          <w:sz w:val="32"/>
          <w:szCs w:val="32"/>
        </w:rPr>
        <w:t>）负责或参与外省（州、市、区、县）党政代表团来县考察的协调联络和服务保障。</w:t>
      </w:r>
    </w:p>
    <w:p w14:paraId="4E3631C4">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rPr>
        <w:t>）负责我县党政代表团赴外省（州、市、区、县）考察的协调联络和服务保障。</w:t>
      </w:r>
    </w:p>
    <w:p w14:paraId="63612B9F">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rPr>
        <w:t>）负责县委、县政府交办的由县公务服务中心承担的外事接待和招商引资事项的服务保障。</w:t>
      </w:r>
    </w:p>
    <w:p w14:paraId="1BFE8C9A">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7</w:t>
      </w:r>
      <w:r>
        <w:rPr>
          <w:rFonts w:hint="eastAsia" w:ascii="仿宋_GB2312" w:hAnsi="仿宋_GB2312" w:eastAsia="仿宋_GB2312" w:cs="仿宋_GB2312"/>
          <w:kern w:val="2"/>
          <w:sz w:val="32"/>
          <w:szCs w:val="32"/>
        </w:rPr>
        <w:t>）按照中央八项规定和省委、省政府十项规定及其实施细则要求，负责联系协调县级有关部门及关联单位承办州委、州政府重大公务活动的服务工作。</w:t>
      </w:r>
    </w:p>
    <w:p w14:paraId="178AFDB8">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8</w:t>
      </w:r>
      <w:r>
        <w:rPr>
          <w:rFonts w:hint="eastAsia" w:ascii="仿宋_GB2312" w:hAnsi="仿宋_GB2312" w:eastAsia="仿宋_GB2312" w:cs="仿宋_GB2312"/>
          <w:kern w:val="2"/>
          <w:sz w:val="32"/>
          <w:szCs w:val="32"/>
        </w:rPr>
        <w:t>）会同县级有关部门承担县委、县政府交办的大型会议、活动的接待服务保障工作。</w:t>
      </w:r>
    </w:p>
    <w:p w14:paraId="5DD38FA1">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9</w:t>
      </w:r>
      <w:r>
        <w:rPr>
          <w:rFonts w:hint="eastAsia" w:ascii="仿宋_GB2312" w:hAnsi="仿宋_GB2312" w:eastAsia="仿宋_GB2312" w:cs="仿宋_GB2312"/>
          <w:kern w:val="2"/>
          <w:sz w:val="32"/>
          <w:szCs w:val="32"/>
        </w:rPr>
        <w:t>）指导县级部门的公务活动服务保障工作，参与拟订全县公务服务相关规定。</w:t>
      </w:r>
    </w:p>
    <w:p w14:paraId="21113145">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textAlignment w:val="auto"/>
        <w:rPr>
          <w:rFonts w:hint="eastAsia" w:ascii="仿宋_GB2312" w:hAnsi="仿宋_GB2312" w:eastAsia="仿宋_GB2312" w:cs="仿宋_GB2312"/>
          <w:spacing w:val="-11"/>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10</w:t>
      </w:r>
      <w:r>
        <w:rPr>
          <w:rFonts w:hint="eastAsia" w:ascii="仿宋_GB2312" w:hAnsi="仿宋_GB2312" w:eastAsia="仿宋_GB2312" w:cs="仿宋_GB2312"/>
          <w:kern w:val="2"/>
          <w:sz w:val="32"/>
          <w:szCs w:val="32"/>
        </w:rPr>
        <w:t>）</w:t>
      </w:r>
      <w:r>
        <w:rPr>
          <w:rFonts w:hint="eastAsia" w:ascii="仿宋_GB2312" w:hAnsi="仿宋_GB2312" w:eastAsia="仿宋_GB2312" w:cs="仿宋_GB2312"/>
          <w:spacing w:val="-11"/>
          <w:kern w:val="2"/>
          <w:sz w:val="32"/>
          <w:szCs w:val="32"/>
        </w:rPr>
        <w:t xml:space="preserve">负责办理中办警卫局、省警卫局安排的有关在县事务。    </w:t>
      </w:r>
    </w:p>
    <w:p w14:paraId="16178CEC">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11</w:t>
      </w:r>
      <w:r>
        <w:rPr>
          <w:rFonts w:hint="eastAsia" w:ascii="仿宋_GB2312" w:hAnsi="仿宋_GB2312" w:eastAsia="仿宋_GB2312" w:cs="仿宋_GB2312"/>
          <w:kern w:val="2"/>
          <w:sz w:val="32"/>
          <w:szCs w:val="32"/>
        </w:rPr>
        <w:t>）负责县级机关食堂管理工作。</w:t>
      </w:r>
    </w:p>
    <w:p w14:paraId="464908B2">
      <w:pPr>
        <w:pStyle w:val="5"/>
        <w:adjustRightInd w:val="0"/>
        <w:snapToGrid w:val="0"/>
        <w:spacing w:before="93" w:line="560" w:lineRule="exact"/>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12</w:t>
      </w:r>
      <w:r>
        <w:rPr>
          <w:rFonts w:hint="eastAsia" w:ascii="仿宋_GB2312" w:hAnsi="仿宋_GB2312" w:eastAsia="仿宋_GB2312" w:cs="仿宋_GB2312"/>
          <w:kern w:val="2"/>
          <w:sz w:val="32"/>
          <w:szCs w:val="32"/>
        </w:rPr>
        <w:t>）完成县委、县政府交办的其他任务。</w:t>
      </w:r>
    </w:p>
    <w:p w14:paraId="061999F7">
      <w:pPr>
        <w:pStyle w:val="5"/>
        <w:adjustRightInd w:val="0"/>
        <w:snapToGrid w:val="0"/>
        <w:spacing w:before="93" w:line="560" w:lineRule="exact"/>
        <w:rPr>
          <w:rFonts w:ascii="楷体_GB2312" w:eastAsia="楷体_GB2312" w:cs="楷体_GB2312"/>
          <w:b/>
          <w:sz w:val="32"/>
          <w:szCs w:val="32"/>
        </w:rPr>
      </w:pPr>
      <w:r>
        <w:rPr>
          <w:rFonts w:hint="eastAsia"/>
          <w:bCs/>
          <w:sz w:val="32"/>
          <w:szCs w:val="32"/>
        </w:rPr>
        <w:t xml:space="preserve">   </w:t>
      </w:r>
      <w:r>
        <w:rPr>
          <w:rFonts w:hint="eastAsia" w:ascii="楷体_GB2312" w:eastAsia="楷体_GB2312" w:cs="楷体_GB2312"/>
          <w:b/>
          <w:sz w:val="32"/>
          <w:szCs w:val="32"/>
        </w:rPr>
        <w:t>（二）202</w:t>
      </w:r>
      <w:r>
        <w:rPr>
          <w:rFonts w:hint="eastAsia" w:ascii="楷体_GB2312" w:eastAsia="楷体_GB2312" w:cs="楷体_GB2312"/>
          <w:b/>
          <w:sz w:val="32"/>
          <w:szCs w:val="32"/>
          <w:lang w:val="en-US" w:eastAsia="zh-CN"/>
        </w:rPr>
        <w:t>6</w:t>
      </w:r>
      <w:r>
        <w:rPr>
          <w:rFonts w:hint="eastAsia" w:ascii="楷体_GB2312" w:eastAsia="楷体_GB2312" w:cs="楷体_GB2312"/>
          <w:b/>
          <w:sz w:val="32"/>
          <w:szCs w:val="32"/>
        </w:rPr>
        <w:t>年重点工作任务</w:t>
      </w:r>
    </w:p>
    <w:p w14:paraId="34FE9B95">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color w:val="000000" w:themeColor="text1"/>
          <w:sz w:val="32"/>
          <w:szCs w:val="32"/>
          <w:lang w:val="en-US" w:eastAsia="zh-CN"/>
        </w:rPr>
      </w:pPr>
      <w:r>
        <w:rPr>
          <w:rFonts w:hint="eastAsia" w:ascii="楷体_GB2312" w:hAnsi="楷体_GB2312" w:eastAsia="楷体_GB2312" w:cs="楷体_GB2312"/>
          <w:b/>
          <w:bCs/>
          <w:color w:val="000000" w:themeColor="text1"/>
          <w:sz w:val="32"/>
          <w:szCs w:val="32"/>
          <w:lang w:val="en-US" w:eastAsia="zh-CN"/>
        </w:rPr>
        <w:t>（一）总体思路</w:t>
      </w:r>
    </w:p>
    <w:p w14:paraId="64179E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themeColor="text1"/>
          <w:sz w:val="32"/>
          <w:szCs w:val="32"/>
          <w:lang w:val="en-US" w:eastAsia="zh-CN"/>
        </w:rPr>
      </w:pPr>
      <w:r>
        <w:rPr>
          <w:rFonts w:hint="eastAsia" w:ascii="仿宋_GB2312" w:hAnsi="仿宋_GB2312" w:eastAsia="仿宋_GB2312" w:cs="仿宋_GB2312"/>
          <w:b w:val="0"/>
          <w:bCs w:val="0"/>
          <w:color w:val="000000" w:themeColor="text1"/>
          <w:sz w:val="32"/>
          <w:szCs w:val="32"/>
          <w:lang w:val="en-US" w:eastAsia="zh-CN"/>
        </w:rPr>
        <w:t>坚持以习近平新时代中国特色社会主义思想为指导，全面贯彻落实党的二十大和二十届三中、四中全会精神，深入学习贯彻习近平总书记关于办公厅（室）工作的重要指示批示精神，紧紧围绕中央、省、州、县的决策部署和中心工作，以服务高质量发展为主线，以提升公务接待工作水平为目标，以加强队伍建设为抓手，全面推动公务接待工作再上新台阶。坚持政治引领、服务大局、规范高效、改革创新的原则，严格执行中央八项规定及其实施细则精神，坚持勤俭办一切事业，着力打造政治过硬、业务精湛、作风优良、服务高效的模范接待单位，努力把公务服务中心打造成展示本地区形象的"重要窗口"和促进发展的"桥梁纽带"，为本地区高质量发展贡献独特力量。</w:t>
      </w:r>
    </w:p>
    <w:p w14:paraId="4550D2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 w:eastAsia="仿宋_GB2312" w:cs="仿宋"/>
          <w:color w:val="000000" w:themeColor="text1"/>
          <w:sz w:val="32"/>
          <w:szCs w:val="32"/>
          <w:lang w:val="en-US" w:eastAsia="zh-CN"/>
        </w:rPr>
      </w:pPr>
      <w:r>
        <w:rPr>
          <w:rFonts w:hint="eastAsia" w:ascii="楷体_GB2312" w:hAnsi="楷体_GB2312" w:eastAsia="楷体_GB2312" w:cs="楷体_GB2312"/>
          <w:b/>
          <w:bCs/>
          <w:color w:val="000000" w:themeColor="text1"/>
          <w:sz w:val="32"/>
          <w:szCs w:val="32"/>
          <w:lang w:val="en-US" w:eastAsia="zh-CN"/>
        </w:rPr>
        <w:t>（二）重点任务。一是</w:t>
      </w:r>
      <w:r>
        <w:rPr>
          <w:rFonts w:hint="eastAsia" w:ascii="仿宋_GB2312" w:hAnsi="仿宋_GB2312" w:eastAsia="仿宋_GB2312" w:cs="仿宋_GB2312"/>
          <w:b/>
          <w:bCs/>
          <w:color w:val="000000" w:themeColor="text1"/>
          <w:sz w:val="32"/>
          <w:szCs w:val="32"/>
          <w:lang w:val="en-US" w:eastAsia="zh-CN"/>
        </w:rPr>
        <w:t>强化政治建设，筑牢忠诚根基。</w:t>
      </w:r>
      <w:r>
        <w:rPr>
          <w:rFonts w:hint="eastAsia" w:ascii="仿宋_GB2312" w:hAnsi="仿宋_GB2312" w:eastAsia="仿宋_GB2312" w:cs="仿宋_GB2312"/>
          <w:b w:val="0"/>
          <w:bCs w:val="0"/>
          <w:color w:val="000000" w:themeColor="text1"/>
          <w:sz w:val="32"/>
          <w:szCs w:val="32"/>
          <w:lang w:val="en-US" w:eastAsia="zh-CN"/>
        </w:rPr>
        <w:t>将持续深化政治理论学习，把学习宣传贯彻习近平新时代中国特色社会主义思想作为中心全体干部职工的首要政治任务。完善学习制度，建立健全常态化学习机制，将党的创新理论、路线方针政策和上级部门的决策部署作为理论学习的重中之重，通过“线上+线下”“集中+自学”相结合的方式，确保学习入脑入心、见行见效。突出党性修养，结合新的形势任务，定期开展党风党纪和廉政警示教育，引导干部职工严守政治纪律和政治规矩，以实际行动维护党中央的集中统一领导，永葆对党忠诚的政治本色。推动理论学习与接待工作深度融合，将学习成果转化为谋划工作的思路、推动工作的举措、解决问题的能力，切实提高政治判断力、政治领悟力、政治执行力。</w:t>
      </w:r>
      <w:r>
        <w:rPr>
          <w:rFonts w:hint="eastAsia" w:ascii="仿宋_GB2312" w:hAnsi="仿宋_GB2312" w:eastAsia="仿宋_GB2312" w:cs="仿宋_GB2312"/>
          <w:b/>
          <w:bCs/>
          <w:color w:val="000000" w:themeColor="text1"/>
          <w:sz w:val="32"/>
          <w:szCs w:val="32"/>
          <w:lang w:val="en-US" w:eastAsia="zh-CN"/>
        </w:rPr>
        <w:t>二是创新工作机制，提升服务品质。</w:t>
      </w:r>
      <w:r>
        <w:rPr>
          <w:rFonts w:hint="eastAsia" w:ascii="仿宋_GB2312" w:hAnsi="仿宋_GB2312" w:eastAsia="仿宋_GB2312" w:cs="仿宋_GB2312"/>
          <w:b w:val="0"/>
          <w:bCs w:val="0"/>
          <w:color w:val="000000" w:themeColor="text1"/>
          <w:sz w:val="32"/>
          <w:szCs w:val="32"/>
          <w:lang w:val="en-US" w:eastAsia="zh-CN"/>
        </w:rPr>
        <w:t>将坚持改革创新，不断完善公务接待工作机制，提升接待服务品质。进一步梳理接待工作流程，细化各环节工作要求和服务标准，建立更加科学、规范、高效的接待工作运行机制。充分挖掘、收集和整合本地区民族文化、景区景点、饮食、住宿等接待资源，建立完善的接待资源数据库和共享机制，为高质量开展公务接待工作提供资源保障。</w:t>
      </w:r>
      <w:r>
        <w:rPr>
          <w:rFonts w:hint="eastAsia" w:ascii="仿宋_GB2312" w:hAnsi="仿宋_GB2312" w:eastAsia="仿宋_GB2312" w:cs="仿宋_GB2312"/>
          <w:b/>
          <w:bCs/>
          <w:color w:val="000000" w:themeColor="text1"/>
          <w:sz w:val="32"/>
          <w:szCs w:val="32"/>
          <w:lang w:val="en-US" w:eastAsia="zh-CN"/>
        </w:rPr>
        <w:t>三是加强队伍建设，提升履职能力。</w:t>
      </w:r>
      <w:r>
        <w:rPr>
          <w:rFonts w:hint="eastAsia" w:ascii="仿宋_GB2312" w:hAnsi="仿宋_GB2312" w:eastAsia="仿宋_GB2312" w:cs="仿宋_GB2312"/>
          <w:b w:val="0"/>
          <w:bCs w:val="0"/>
          <w:color w:val="000000" w:themeColor="text1"/>
          <w:sz w:val="32"/>
          <w:szCs w:val="32"/>
          <w:lang w:val="en-US" w:eastAsia="zh-CN"/>
        </w:rPr>
        <w:t>将进一步加强接待工作队伍建设，打造高素质专业化接待工作团队。强化能力培训，制定实施公务接待工作队伍能力提升计划，通过业务培训、岗位练兵、外出交流等多种形式，全面提升接待工作人员的业务能力和综合素质。注重实践锻炼，鼓励和支持干部职工特别是年轻干部到工作一线和重要岗位锻炼，在实践中增长才干，提高解决实际问题的能力。实行"传帮带"机制，促进经验传承和团队成长。健全激励机制，完善考核评价和激励机制，激发干部职工的积极性、主动性和创造性，营造比学赶超、争当先进的良好氛围，促进接待工作整体水平提升。</w:t>
      </w:r>
      <w:r>
        <w:rPr>
          <w:rFonts w:hint="eastAsia" w:ascii="仿宋_GB2312" w:hAnsi="仿宋_GB2312" w:eastAsia="仿宋_GB2312" w:cs="仿宋_GB2312"/>
          <w:b/>
          <w:bCs/>
          <w:color w:val="000000" w:themeColor="text1"/>
          <w:sz w:val="32"/>
          <w:szCs w:val="32"/>
          <w:lang w:val="en-US" w:eastAsia="zh-CN"/>
        </w:rPr>
        <w:t>四是坚持勤俭节约，提升管理效能。</w:t>
      </w:r>
      <w:r>
        <w:rPr>
          <w:rFonts w:hint="eastAsia" w:ascii="仿宋_GB2312" w:hAnsi="仿宋_GB2312" w:eastAsia="仿宋_GB2312" w:cs="仿宋_GB2312"/>
          <w:b w:val="0"/>
          <w:bCs w:val="0"/>
          <w:color w:val="000000" w:themeColor="text1"/>
          <w:sz w:val="32"/>
          <w:szCs w:val="32"/>
          <w:lang w:val="en-US" w:eastAsia="zh-CN"/>
        </w:rPr>
        <w:t>将始终坚持勤俭办一切事业，严格落实党政机关习惯过紧日子要求，不断提升接待工作管理效能。严格预算管理，加强接待经费预算编制和执行管理，强化成本控制，提高资金使用效益。严格执行接待标准和范围，确保接待费用支出规范透明、合规合理。推进绿色接待，积极推广绿色产品和服务在接待工作中的应用，倡导节约适度、绿色低碳的接待方式，杜绝铺张浪费，在接待工作中充分发挥党政机关示范引领作用。强化监督检查，加强接待工作的内部控制和监督检查，及时发现和纠正存在的问题，确保各项接待规章制度不折不扣执行到位，防范各类风险。</w:t>
      </w:r>
    </w:p>
    <w:p w14:paraId="3AD56109">
      <w:pPr>
        <w:spacing w:line="560" w:lineRule="exact"/>
        <w:ind w:firstLine="640" w:firstLineChars="200"/>
        <w:rPr>
          <w:rFonts w:ascii="黑体" w:eastAsia="黑体"/>
          <w:sz w:val="32"/>
          <w:szCs w:val="32"/>
        </w:rPr>
      </w:pPr>
      <w:r>
        <w:rPr>
          <w:rFonts w:hint="eastAsia" w:ascii="黑体" w:eastAsia="黑体"/>
          <w:sz w:val="32"/>
          <w:szCs w:val="32"/>
        </w:rPr>
        <w:t>二、部门预算单位构成</w:t>
      </w:r>
    </w:p>
    <w:p w14:paraId="331FE3D3">
      <w:pPr>
        <w:pStyle w:val="5"/>
        <w:adjustRightInd w:val="0"/>
        <w:snapToGrid w:val="0"/>
        <w:spacing w:before="93" w:line="560" w:lineRule="exact"/>
        <w:ind w:firstLine="627" w:firstLineChars="209"/>
        <w:rPr>
          <w:sz w:val="32"/>
          <w:szCs w:val="32"/>
        </w:rPr>
      </w:pPr>
      <w:r>
        <w:rPr>
          <w:rFonts w:hint="eastAsia" w:ascii="仿宋" w:hAnsi="仿宋" w:eastAsia="仿宋" w:cs="仿宋"/>
          <w:b w:val="0"/>
          <w:bCs w:val="0"/>
          <w:sz w:val="30"/>
          <w:szCs w:val="30"/>
          <w:lang w:val="en-US" w:eastAsia="zh-CN"/>
        </w:rPr>
        <w:t>单位内部</w:t>
      </w:r>
      <w:r>
        <w:rPr>
          <w:rFonts w:hint="eastAsia" w:ascii="仿宋" w:hAnsi="仿宋" w:eastAsia="仿宋" w:cs="仿宋"/>
          <w:b w:val="0"/>
          <w:bCs w:val="0"/>
          <w:sz w:val="30"/>
          <w:szCs w:val="30"/>
        </w:rPr>
        <w:t>设办公室、</w:t>
      </w:r>
      <w:r>
        <w:rPr>
          <w:rFonts w:hint="eastAsia" w:ascii="仿宋" w:hAnsi="仿宋" w:eastAsia="仿宋" w:cs="仿宋"/>
          <w:b w:val="0"/>
          <w:bCs w:val="0"/>
          <w:sz w:val="30"/>
          <w:szCs w:val="30"/>
          <w:lang w:val="en-US" w:eastAsia="zh-CN"/>
        </w:rPr>
        <w:t>接待股、后勤资产管理股，</w:t>
      </w:r>
      <w:r>
        <w:rPr>
          <w:rFonts w:hint="eastAsia" w:ascii="仿宋" w:hAnsi="仿宋" w:eastAsia="仿宋" w:cs="仿宋"/>
          <w:b w:val="0"/>
          <w:bCs w:val="0"/>
          <w:sz w:val="30"/>
          <w:szCs w:val="30"/>
          <w:lang w:eastAsia="zh-CN"/>
        </w:rPr>
        <w:t>在职</w:t>
      </w:r>
      <w:r>
        <w:rPr>
          <w:rFonts w:hint="eastAsia" w:ascii="仿宋" w:hAnsi="仿宋" w:eastAsia="仿宋" w:cs="仿宋"/>
          <w:b w:val="0"/>
          <w:bCs w:val="0"/>
          <w:sz w:val="30"/>
          <w:szCs w:val="30"/>
          <w:lang w:val="en-US" w:eastAsia="zh-CN"/>
        </w:rPr>
        <w:t>10人。</w:t>
      </w:r>
      <w:r>
        <w:rPr>
          <w:rFonts w:hint="eastAsia" w:ascii="仿宋" w:hAnsi="仿宋" w:eastAsia="仿宋" w:cs="仿宋"/>
          <w:b w:val="0"/>
          <w:bCs w:val="0"/>
          <w:sz w:val="30"/>
          <w:szCs w:val="30"/>
          <w:shd w:val="clear" w:color="auto" w:fill="FFFFFF"/>
        </w:rPr>
        <w:t>阿坝州红原县公务服务中心</w:t>
      </w:r>
      <w:r>
        <w:rPr>
          <w:rFonts w:hint="eastAsia" w:ascii="仿宋" w:hAnsi="仿宋" w:eastAsia="仿宋" w:cs="仿宋"/>
          <w:b w:val="0"/>
          <w:bCs w:val="0"/>
          <w:sz w:val="30"/>
          <w:szCs w:val="30"/>
          <w:shd w:val="clear" w:color="auto" w:fill="FFFFFF"/>
          <w:lang w:val="en-US" w:eastAsia="zh-CN"/>
        </w:rPr>
        <w:t>无</w:t>
      </w:r>
      <w:r>
        <w:rPr>
          <w:rFonts w:hint="eastAsia" w:ascii="仿宋" w:hAnsi="仿宋" w:eastAsia="仿宋" w:cs="仿宋"/>
          <w:b w:val="0"/>
          <w:bCs w:val="0"/>
          <w:sz w:val="30"/>
          <w:szCs w:val="30"/>
          <w:shd w:val="clear" w:color="auto" w:fill="FFFFFF"/>
        </w:rPr>
        <w:t>下属二级单位</w:t>
      </w:r>
      <w:r>
        <w:rPr>
          <w:rFonts w:hint="eastAsia" w:ascii="仿宋" w:hAnsi="仿宋" w:eastAsia="仿宋" w:cs="仿宋"/>
          <w:b w:val="0"/>
          <w:bCs w:val="0"/>
          <w:sz w:val="30"/>
          <w:szCs w:val="30"/>
          <w:shd w:val="clear" w:color="auto" w:fill="FFFFFF"/>
          <w:lang w:eastAsia="zh-CN"/>
        </w:rPr>
        <w:t>。</w:t>
      </w:r>
    </w:p>
    <w:p w14:paraId="715DBC05">
      <w:pPr>
        <w:spacing w:line="560" w:lineRule="exact"/>
        <w:ind w:firstLine="640" w:firstLineChars="200"/>
        <w:rPr>
          <w:rFonts w:ascii="黑体" w:eastAsia="黑体"/>
          <w:sz w:val="32"/>
          <w:szCs w:val="32"/>
        </w:rPr>
      </w:pPr>
      <w:r>
        <w:rPr>
          <w:rFonts w:hint="eastAsia" w:ascii="黑体" w:eastAsia="黑体"/>
          <w:sz w:val="32"/>
          <w:szCs w:val="32"/>
        </w:rPr>
        <w:t>三、收支预算总体情况</w:t>
      </w:r>
    </w:p>
    <w:p w14:paraId="1150B96C">
      <w:pPr>
        <w:spacing w:line="56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年红原县</w:t>
      </w:r>
      <w:r>
        <w:rPr>
          <w:rFonts w:hint="eastAsia" w:ascii="仿宋_GB2312" w:eastAsia="仿宋_GB2312"/>
          <w:sz w:val="32"/>
          <w:szCs w:val="32"/>
          <w:lang w:val="en-US" w:eastAsia="zh-CN"/>
        </w:rPr>
        <w:t>公务服务中心</w:t>
      </w:r>
      <w:r>
        <w:rPr>
          <w:rFonts w:hint="eastAsia" w:ascii="仿宋_GB2312" w:eastAsia="仿宋_GB2312"/>
          <w:sz w:val="32"/>
          <w:szCs w:val="32"/>
        </w:rPr>
        <w:t>收入预算总额为</w:t>
      </w:r>
      <w:r>
        <w:rPr>
          <w:rFonts w:hint="eastAsia" w:ascii="仿宋_GB2312" w:eastAsia="仿宋_GB2312"/>
          <w:sz w:val="32"/>
          <w:szCs w:val="32"/>
          <w:lang w:val="en-US" w:eastAsia="zh-CN"/>
        </w:rPr>
        <w:t>546.78</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546.78</w:t>
      </w:r>
      <w:r>
        <w:rPr>
          <w:rFonts w:hint="eastAsia" w:ascii="仿宋_GB2312" w:eastAsia="仿宋_GB2312"/>
          <w:sz w:val="32"/>
          <w:szCs w:val="32"/>
        </w:rPr>
        <w:t>万元。相应安排支出预算</w:t>
      </w:r>
      <w:r>
        <w:rPr>
          <w:rFonts w:hint="eastAsia" w:ascii="仿宋_GB2312" w:eastAsia="仿宋_GB2312"/>
          <w:sz w:val="32"/>
          <w:szCs w:val="32"/>
          <w:lang w:val="en-US" w:eastAsia="zh-CN"/>
        </w:rPr>
        <w:t>546.78</w:t>
      </w:r>
      <w:r>
        <w:rPr>
          <w:rFonts w:hint="eastAsia" w:ascii="仿宋_GB2312" w:eastAsia="仿宋_GB2312"/>
          <w:sz w:val="32"/>
          <w:szCs w:val="32"/>
        </w:rPr>
        <w:t>万元，其中：一般公共服务</w:t>
      </w:r>
      <w:r>
        <w:rPr>
          <w:rFonts w:hint="eastAsia" w:ascii="仿宋_GB2312" w:eastAsia="仿宋_GB2312"/>
          <w:sz w:val="32"/>
          <w:szCs w:val="32"/>
          <w:lang w:val="en-US" w:eastAsia="zh-CN"/>
        </w:rPr>
        <w:t>479.00</w:t>
      </w:r>
      <w:r>
        <w:rPr>
          <w:rFonts w:hint="eastAsia" w:ascii="仿宋_GB2312" w:eastAsia="仿宋_GB2312"/>
          <w:sz w:val="32"/>
          <w:szCs w:val="32"/>
        </w:rPr>
        <w:t>万元，社会保障和就业</w:t>
      </w:r>
      <w:r>
        <w:rPr>
          <w:rFonts w:hint="eastAsia" w:ascii="仿宋_GB2312" w:eastAsia="仿宋_GB2312"/>
          <w:sz w:val="32"/>
          <w:szCs w:val="32"/>
          <w:lang w:val="en-US" w:eastAsia="zh-CN"/>
        </w:rPr>
        <w:t>35.18</w:t>
      </w:r>
      <w:r>
        <w:rPr>
          <w:rFonts w:hint="eastAsia" w:ascii="仿宋_GB2312" w:eastAsia="仿宋_GB2312"/>
          <w:sz w:val="32"/>
          <w:szCs w:val="32"/>
        </w:rPr>
        <w:t>万元，卫生</w:t>
      </w:r>
      <w:r>
        <w:rPr>
          <w:rFonts w:hint="eastAsia" w:ascii="仿宋_GB2312" w:eastAsia="仿宋_GB2312"/>
          <w:sz w:val="32"/>
          <w:szCs w:val="32"/>
          <w:lang w:eastAsia="zh-CN"/>
        </w:rPr>
        <w:t>健康</w:t>
      </w:r>
      <w:r>
        <w:rPr>
          <w:rFonts w:hint="eastAsia" w:ascii="仿宋_GB2312" w:eastAsia="仿宋_GB2312"/>
          <w:sz w:val="32"/>
          <w:szCs w:val="32"/>
        </w:rPr>
        <w:t>支出</w:t>
      </w:r>
      <w:r>
        <w:rPr>
          <w:rFonts w:hint="eastAsia" w:ascii="仿宋_GB2312" w:eastAsia="仿宋_GB2312"/>
          <w:sz w:val="32"/>
          <w:szCs w:val="32"/>
          <w:lang w:val="en-US" w:eastAsia="zh-CN"/>
        </w:rPr>
        <w:t>12.92</w:t>
      </w:r>
      <w:r>
        <w:rPr>
          <w:rFonts w:hint="eastAsia" w:ascii="仿宋_GB2312" w:eastAsia="仿宋_GB2312"/>
          <w:sz w:val="32"/>
          <w:szCs w:val="32"/>
        </w:rPr>
        <w:t>万元，住房保障支出</w:t>
      </w:r>
      <w:r>
        <w:rPr>
          <w:rFonts w:hint="eastAsia" w:ascii="仿宋_GB2312" w:eastAsia="仿宋_GB2312"/>
          <w:sz w:val="32"/>
          <w:szCs w:val="32"/>
          <w:lang w:val="en-US" w:eastAsia="zh-CN"/>
        </w:rPr>
        <w:t>19.68</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w:t>
      </w:r>
    </w:p>
    <w:p w14:paraId="6D840922">
      <w:pPr>
        <w:numPr>
          <w:ilvl w:val="0"/>
          <w:numId w:val="1"/>
        </w:numPr>
        <w:spacing w:line="560" w:lineRule="exact"/>
        <w:ind w:firstLine="640" w:firstLineChars="200"/>
        <w:rPr>
          <w:rFonts w:ascii="黑体" w:eastAsia="黑体"/>
          <w:sz w:val="32"/>
          <w:szCs w:val="32"/>
        </w:rPr>
      </w:pPr>
      <w:r>
        <w:rPr>
          <w:rFonts w:hint="eastAsia" w:ascii="黑体" w:eastAsia="黑体"/>
          <w:sz w:val="32"/>
          <w:szCs w:val="32"/>
        </w:rPr>
        <w:t>支出预算安排情况</w:t>
      </w:r>
    </w:p>
    <w:p w14:paraId="4C36407E">
      <w:pPr>
        <w:spacing w:line="560" w:lineRule="exact"/>
        <w:rPr>
          <w:rFonts w:ascii="仿宋_GB2312" w:eastAsia="仿宋_GB2312"/>
          <w:sz w:val="32"/>
          <w:szCs w:val="32"/>
        </w:rPr>
      </w:pPr>
      <w:r>
        <w:rPr>
          <w:rFonts w:hint="eastAsia" w:ascii="仿宋_GB2312" w:eastAsia="仿宋_GB2312"/>
          <w:sz w:val="32"/>
          <w:szCs w:val="32"/>
        </w:rPr>
        <w:t xml:space="preserve">    红原县</w:t>
      </w:r>
      <w:r>
        <w:rPr>
          <w:rFonts w:hint="eastAsia" w:ascii="仿宋_GB2312" w:eastAsia="仿宋_GB2312"/>
          <w:sz w:val="32"/>
          <w:szCs w:val="32"/>
          <w:lang w:val="en-US" w:eastAsia="zh-CN"/>
        </w:rPr>
        <w:t>公务服务中心</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val="en-US" w:eastAsia="zh-CN"/>
        </w:rPr>
        <w:t>服务保障</w:t>
      </w:r>
      <w:r>
        <w:rPr>
          <w:rFonts w:hint="eastAsia" w:ascii="仿宋_GB2312" w:eastAsia="仿宋_GB2312"/>
          <w:sz w:val="32"/>
          <w:szCs w:val="32"/>
        </w:rPr>
        <w:t xml:space="preserve">相关工作。  </w:t>
      </w:r>
    </w:p>
    <w:p w14:paraId="7F7BE593">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306.78</w:t>
      </w:r>
      <w:r>
        <w:rPr>
          <w:rFonts w:hint="eastAsia" w:ascii="仿宋_GB2312" w:eastAsia="仿宋_GB2312"/>
          <w:sz w:val="32"/>
          <w:szCs w:val="32"/>
        </w:rPr>
        <w:t>万元。其中人员经费支出</w:t>
      </w:r>
      <w:r>
        <w:rPr>
          <w:rFonts w:hint="eastAsia" w:ascii="仿宋_GB2312" w:eastAsia="仿宋_GB2312"/>
          <w:sz w:val="32"/>
          <w:szCs w:val="32"/>
          <w:lang w:val="en-US" w:eastAsia="zh-CN"/>
        </w:rPr>
        <w:t>275.10</w:t>
      </w:r>
      <w:r>
        <w:rPr>
          <w:rFonts w:hint="eastAsia" w:ascii="仿宋_GB2312" w:eastAsia="仿宋_GB2312"/>
          <w:sz w:val="32"/>
          <w:szCs w:val="32"/>
        </w:rPr>
        <w:t>万元，机关运行经费</w:t>
      </w:r>
      <w:r>
        <w:rPr>
          <w:rFonts w:hint="eastAsia" w:ascii="仿宋_GB2312" w:eastAsia="仿宋_GB2312"/>
          <w:sz w:val="32"/>
          <w:szCs w:val="32"/>
          <w:lang w:val="en-US" w:eastAsia="zh-CN"/>
        </w:rPr>
        <w:t>31.69</w:t>
      </w:r>
      <w:r>
        <w:rPr>
          <w:rFonts w:hint="eastAsia" w:ascii="仿宋_GB2312" w:eastAsia="仿宋_GB2312"/>
          <w:sz w:val="32"/>
          <w:szCs w:val="32"/>
        </w:rPr>
        <w:t>万元，其中：办公费</w:t>
      </w:r>
      <w:r>
        <w:rPr>
          <w:rFonts w:hint="eastAsia" w:ascii="仿宋_GB2312" w:eastAsia="仿宋_GB2312"/>
          <w:sz w:val="32"/>
          <w:szCs w:val="32"/>
          <w:lang w:val="en-US" w:eastAsia="zh-CN"/>
        </w:rPr>
        <w:t>3.47</w:t>
      </w:r>
      <w:r>
        <w:rPr>
          <w:rFonts w:hint="eastAsia" w:ascii="仿宋_GB2312" w:eastAsia="仿宋_GB2312"/>
          <w:sz w:val="32"/>
          <w:szCs w:val="32"/>
        </w:rPr>
        <w:t>万元，</w:t>
      </w:r>
      <w:r>
        <w:rPr>
          <w:rFonts w:hint="eastAsia" w:ascii="仿宋_GB2312" w:eastAsia="仿宋_GB2312"/>
          <w:sz w:val="32"/>
          <w:szCs w:val="32"/>
          <w:lang w:val="en-US" w:eastAsia="zh-CN"/>
        </w:rPr>
        <w:t>印刷费0.60万元，手续</w:t>
      </w:r>
      <w:r>
        <w:rPr>
          <w:rFonts w:hint="eastAsia" w:ascii="仿宋_GB2312" w:eastAsia="仿宋_GB2312"/>
          <w:sz w:val="32"/>
          <w:szCs w:val="32"/>
        </w:rPr>
        <w:t>费0.1</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val="en-US" w:eastAsia="zh-CN"/>
        </w:rPr>
        <w:t>电</w:t>
      </w:r>
      <w:r>
        <w:rPr>
          <w:rFonts w:hint="eastAsia" w:ascii="仿宋_GB2312" w:eastAsia="仿宋_GB2312"/>
          <w:sz w:val="32"/>
          <w:szCs w:val="32"/>
        </w:rPr>
        <w:t>费</w:t>
      </w:r>
      <w:r>
        <w:rPr>
          <w:rFonts w:hint="eastAsia" w:ascii="仿宋_GB2312" w:eastAsia="仿宋_GB2312"/>
          <w:sz w:val="32"/>
          <w:szCs w:val="32"/>
          <w:lang w:val="en-US" w:eastAsia="zh-CN"/>
        </w:rPr>
        <w:t>1.00</w:t>
      </w:r>
      <w:r>
        <w:rPr>
          <w:rFonts w:hint="eastAsia" w:ascii="仿宋_GB2312" w:eastAsia="仿宋_GB2312"/>
          <w:sz w:val="32"/>
          <w:szCs w:val="32"/>
        </w:rPr>
        <w:t>万元，</w:t>
      </w:r>
      <w:r>
        <w:rPr>
          <w:rFonts w:hint="eastAsia" w:ascii="仿宋_GB2312" w:eastAsia="仿宋_GB2312"/>
          <w:sz w:val="32"/>
          <w:szCs w:val="32"/>
          <w:lang w:val="en-US" w:eastAsia="zh-CN"/>
        </w:rPr>
        <w:t>邮电</w:t>
      </w:r>
      <w:r>
        <w:rPr>
          <w:rFonts w:hint="eastAsia" w:ascii="仿宋_GB2312" w:eastAsia="仿宋_GB2312"/>
          <w:sz w:val="32"/>
          <w:szCs w:val="32"/>
        </w:rPr>
        <w:t>费</w:t>
      </w:r>
      <w:r>
        <w:rPr>
          <w:rFonts w:hint="eastAsia" w:ascii="仿宋_GB2312" w:eastAsia="仿宋_GB2312"/>
          <w:sz w:val="32"/>
          <w:szCs w:val="32"/>
          <w:lang w:val="en-US" w:eastAsia="zh-CN"/>
        </w:rPr>
        <w:t>1.00</w:t>
      </w:r>
      <w:r>
        <w:rPr>
          <w:rFonts w:hint="eastAsia" w:ascii="仿宋_GB2312" w:eastAsia="仿宋_GB2312"/>
          <w:sz w:val="32"/>
          <w:szCs w:val="32"/>
        </w:rPr>
        <w:t>万元，差旅费</w:t>
      </w:r>
      <w:r>
        <w:rPr>
          <w:rFonts w:hint="eastAsia" w:ascii="仿宋_GB2312" w:eastAsia="仿宋_GB2312"/>
          <w:sz w:val="32"/>
          <w:szCs w:val="32"/>
          <w:lang w:val="en-US" w:eastAsia="zh-CN"/>
        </w:rPr>
        <w:t>5</w:t>
      </w:r>
      <w:r>
        <w:rPr>
          <w:rFonts w:hint="eastAsia" w:ascii="仿宋_GB2312" w:eastAsia="仿宋_GB2312"/>
          <w:sz w:val="32"/>
          <w:szCs w:val="32"/>
        </w:rPr>
        <w:t>.00万元，</w:t>
      </w:r>
      <w:r>
        <w:rPr>
          <w:rFonts w:hint="eastAsia" w:ascii="仿宋_GB2312" w:eastAsia="仿宋_GB2312"/>
          <w:sz w:val="32"/>
          <w:szCs w:val="32"/>
          <w:lang w:val="en-US" w:eastAsia="zh-CN"/>
        </w:rPr>
        <w:t>委托业务费0.30万元，</w:t>
      </w:r>
      <w:r>
        <w:rPr>
          <w:rFonts w:hint="eastAsia" w:ascii="仿宋_GB2312" w:eastAsia="仿宋_GB2312"/>
          <w:sz w:val="32"/>
          <w:szCs w:val="32"/>
        </w:rPr>
        <w:t>工会经费1.</w:t>
      </w:r>
      <w:r>
        <w:rPr>
          <w:rFonts w:hint="eastAsia" w:ascii="仿宋_GB2312" w:eastAsia="仿宋_GB2312"/>
          <w:sz w:val="32"/>
          <w:szCs w:val="32"/>
          <w:lang w:val="en-US" w:eastAsia="zh-CN"/>
        </w:rPr>
        <w:t>76</w:t>
      </w:r>
      <w:r>
        <w:rPr>
          <w:rFonts w:hint="eastAsia" w:ascii="仿宋_GB2312" w:eastAsia="仿宋_GB2312"/>
          <w:sz w:val="32"/>
          <w:szCs w:val="32"/>
        </w:rPr>
        <w:t>万元</w:t>
      </w:r>
      <w:r>
        <w:rPr>
          <w:rFonts w:hint="eastAsia" w:ascii="仿宋_GB2312" w:eastAsia="仿宋_GB2312"/>
          <w:sz w:val="32"/>
          <w:szCs w:val="32"/>
          <w:lang w:val="en-US" w:eastAsia="zh-CN"/>
        </w:rPr>
        <w:t>，公务用车运行维护费11.82万元，其他商品服务支出6.64万元</w:t>
      </w:r>
      <w:r>
        <w:rPr>
          <w:rFonts w:hint="eastAsia" w:ascii="仿宋_GB2312" w:eastAsia="仿宋_GB2312"/>
          <w:sz w:val="32"/>
          <w:szCs w:val="32"/>
        </w:rPr>
        <w:t>。</w:t>
      </w:r>
    </w:p>
    <w:p w14:paraId="4915AC2E">
      <w:pPr>
        <w:spacing w:line="560" w:lineRule="exact"/>
        <w:ind w:firstLine="640" w:firstLineChars="200"/>
        <w:rPr>
          <w:rFonts w:ascii="仿宋_GB2312" w:eastAsia="仿宋_GB2312"/>
          <w:sz w:val="32"/>
          <w:szCs w:val="32"/>
        </w:rPr>
      </w:pPr>
      <w:r>
        <w:rPr>
          <w:rFonts w:hint="eastAsia" w:ascii="仿宋_GB2312" w:eastAsia="仿宋_GB2312"/>
          <w:sz w:val="32"/>
          <w:szCs w:val="32"/>
        </w:rPr>
        <w:t>按支出功能分类主要用于以下方面:</w:t>
      </w:r>
    </w:p>
    <w:p w14:paraId="441C5D4B">
      <w:pPr>
        <w:spacing w:line="560" w:lineRule="exact"/>
        <w:ind w:firstLine="640" w:firstLineChars="200"/>
        <w:rPr>
          <w:rFonts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479.00</w:t>
      </w:r>
      <w:r>
        <w:rPr>
          <w:rFonts w:hint="eastAsia" w:ascii="仿宋_GB2312" w:eastAsia="仿宋_GB2312"/>
          <w:sz w:val="32"/>
          <w:szCs w:val="32"/>
        </w:rPr>
        <w:t>万元，主要用于机关及下属事业单位人员工资、日常运转以及为完成特定行政工作任务和事业发展目标而安排的年度项目支出。</w:t>
      </w:r>
    </w:p>
    <w:p w14:paraId="0E68956B">
      <w:pPr>
        <w:spacing w:line="560" w:lineRule="exact"/>
        <w:ind w:firstLine="640" w:firstLineChars="200"/>
        <w:rPr>
          <w:rFonts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35.18</w:t>
      </w:r>
      <w:r>
        <w:rPr>
          <w:rFonts w:hint="eastAsia" w:ascii="仿宋_GB2312" w:eastAsia="仿宋_GB2312"/>
          <w:sz w:val="32"/>
          <w:szCs w:val="32"/>
        </w:rPr>
        <w:t>万元，主要用于机关及下属事业单位养老保险及职业年金缴费。</w:t>
      </w:r>
    </w:p>
    <w:p w14:paraId="23E75888">
      <w:pPr>
        <w:spacing w:line="560" w:lineRule="exact"/>
        <w:ind w:firstLine="640" w:firstLineChars="200"/>
        <w:rPr>
          <w:rFonts w:ascii="仿宋_GB2312" w:eastAsia="仿宋_GB2312"/>
          <w:sz w:val="32"/>
          <w:szCs w:val="32"/>
        </w:rPr>
      </w:pPr>
      <w:r>
        <w:rPr>
          <w:rFonts w:hint="eastAsia" w:ascii="仿宋_GB2312" w:eastAsia="仿宋_GB2312"/>
          <w:sz w:val="32"/>
          <w:szCs w:val="32"/>
        </w:rPr>
        <w:t>（三）</w:t>
      </w:r>
      <w:r>
        <w:rPr>
          <w:rFonts w:hint="eastAsia" w:ascii="仿宋_GB2312" w:eastAsia="仿宋_GB2312"/>
          <w:sz w:val="32"/>
          <w:szCs w:val="32"/>
          <w:lang w:eastAsia="zh-CN"/>
        </w:rPr>
        <w:t>卫生健康</w:t>
      </w:r>
      <w:r>
        <w:rPr>
          <w:rFonts w:hint="eastAsia" w:ascii="仿宋_GB2312" w:eastAsia="仿宋_GB2312"/>
          <w:sz w:val="32"/>
          <w:szCs w:val="32"/>
          <w:lang w:val="en-US" w:eastAsia="zh-CN"/>
        </w:rPr>
        <w:t>12.92</w:t>
      </w:r>
      <w:r>
        <w:rPr>
          <w:rFonts w:hint="eastAsia" w:ascii="仿宋_GB2312" w:eastAsia="仿宋_GB2312"/>
          <w:sz w:val="32"/>
          <w:szCs w:val="32"/>
        </w:rPr>
        <w:t>万元，主要用于机关及下属事业单位按照规定标准为职工缴纳的基本医疗保险及公务员医疗补助等支出。</w:t>
      </w:r>
    </w:p>
    <w:p w14:paraId="6829131D">
      <w:pPr>
        <w:spacing w:line="560" w:lineRule="exact"/>
        <w:ind w:firstLine="640" w:firstLineChars="200"/>
        <w:rPr>
          <w:rFonts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19.68</w:t>
      </w:r>
      <w:r>
        <w:rPr>
          <w:rFonts w:hint="eastAsia" w:ascii="仿宋_GB2312" w:eastAsia="仿宋_GB2312"/>
          <w:sz w:val="32"/>
          <w:szCs w:val="32"/>
        </w:rPr>
        <w:t>万元，用于机关及下属事业单位按照规定标准为职工缴纳住房公积金等支出。</w:t>
      </w:r>
    </w:p>
    <w:p w14:paraId="65DA2E4A">
      <w:pPr>
        <w:widowControl/>
        <w:shd w:val="clear" w:color="auto" w:fill="FFFFFF"/>
        <w:spacing w:line="560" w:lineRule="exact"/>
        <w:ind w:firstLine="480"/>
        <w:jc w:val="left"/>
        <w:rPr>
          <w:rFonts w:ascii="黑体" w:eastAsia="黑体" w:cs="黑体"/>
          <w:sz w:val="32"/>
          <w:szCs w:val="32"/>
        </w:rPr>
      </w:pPr>
      <w:r>
        <w:rPr>
          <w:rFonts w:hint="eastAsia" w:ascii="黑体" w:eastAsia="黑体" w:cs="黑体"/>
          <w:color w:val="333333"/>
          <w:kern w:val="0"/>
          <w:sz w:val="32"/>
          <w:szCs w:val="32"/>
          <w:shd w:val="clear" w:color="auto" w:fill="FFFFFF"/>
        </w:rPr>
        <w:t xml:space="preserve"> 五、较上年度增减变化 </w:t>
      </w:r>
    </w:p>
    <w:p w14:paraId="24A85D34">
      <w:pPr>
        <w:widowControl/>
        <w:shd w:val="clear" w:color="auto" w:fill="FFFFFF"/>
        <w:spacing w:line="560" w:lineRule="exact"/>
        <w:ind w:firstLine="480"/>
        <w:jc w:val="left"/>
        <w:rPr>
          <w:rFonts w:hint="eastAsia" w:ascii="仿宋_GB2312" w:eastAsia="仿宋_GB2312"/>
          <w:sz w:val="32"/>
          <w:szCs w:val="32"/>
          <w:lang w:val="en-US" w:eastAsia="zh-CN"/>
        </w:rPr>
      </w:pPr>
      <w:r>
        <w:rPr>
          <w:rFonts w:hint="eastAsia" w:ascii="仿宋_GB2312" w:eastAsia="仿宋_GB2312"/>
          <w:sz w:val="32"/>
          <w:szCs w:val="32"/>
        </w:rPr>
        <w:t>本年度预算拨款收入</w:t>
      </w:r>
      <w:r>
        <w:rPr>
          <w:rFonts w:hint="eastAsia" w:ascii="仿宋_GB2312" w:eastAsia="仿宋_GB2312"/>
          <w:sz w:val="32"/>
          <w:szCs w:val="32"/>
          <w:lang w:val="en-US" w:eastAsia="zh-CN"/>
        </w:rPr>
        <w:t>546.78</w:t>
      </w:r>
      <w:r>
        <w:rPr>
          <w:rFonts w:hint="eastAsia" w:ascii="仿宋_GB2312" w:eastAsia="仿宋_GB2312"/>
          <w:sz w:val="32"/>
          <w:szCs w:val="32"/>
        </w:rPr>
        <w:t>万元较上年度预算</w:t>
      </w:r>
      <w:r>
        <w:rPr>
          <w:rFonts w:hint="eastAsia" w:ascii="仿宋_GB2312" w:eastAsia="仿宋_GB2312"/>
          <w:sz w:val="32"/>
          <w:szCs w:val="32"/>
          <w:lang w:val="en-US" w:eastAsia="zh-CN"/>
        </w:rPr>
        <w:t>499.79</w:t>
      </w:r>
      <w:r>
        <w:rPr>
          <w:rFonts w:hint="eastAsia" w:ascii="仿宋_GB2312" w:eastAsia="仿宋_GB2312"/>
          <w:sz w:val="32"/>
          <w:szCs w:val="32"/>
        </w:rPr>
        <w:t>万元</w:t>
      </w:r>
      <w:r>
        <w:rPr>
          <w:rFonts w:hint="eastAsia" w:ascii="仿宋_GB2312" w:eastAsia="仿宋_GB2312"/>
          <w:sz w:val="32"/>
          <w:szCs w:val="32"/>
          <w:lang w:val="en-US" w:eastAsia="zh-CN"/>
        </w:rPr>
        <w:t>增加</w:t>
      </w:r>
      <w:r>
        <w:rPr>
          <w:rFonts w:hint="eastAsia" w:ascii="仿宋_GB2312" w:eastAsia="仿宋_GB2312"/>
          <w:sz w:val="32"/>
          <w:szCs w:val="32"/>
        </w:rPr>
        <w:t>了</w:t>
      </w:r>
      <w:r>
        <w:rPr>
          <w:rFonts w:hint="eastAsia" w:ascii="仿宋_GB2312" w:eastAsia="仿宋_GB2312"/>
          <w:sz w:val="32"/>
          <w:szCs w:val="32"/>
          <w:lang w:val="en-US" w:eastAsia="zh-CN"/>
        </w:rPr>
        <w:t>9.40</w:t>
      </w:r>
      <w:r>
        <w:rPr>
          <w:rFonts w:hint="eastAsia" w:ascii="仿宋_GB2312" w:eastAsia="仿宋_GB2312"/>
          <w:sz w:val="32"/>
          <w:szCs w:val="32"/>
        </w:rPr>
        <w:t>%，主要原因是</w:t>
      </w:r>
      <w:r>
        <w:rPr>
          <w:rFonts w:hint="eastAsia" w:ascii="仿宋_GB2312" w:eastAsia="仿宋_GB2312"/>
          <w:sz w:val="32"/>
          <w:szCs w:val="32"/>
          <w:lang w:val="en-US" w:eastAsia="zh-CN"/>
        </w:rPr>
        <w:t>2026年公务服务中心职工增加2名，人员工资增加</w:t>
      </w:r>
      <w:r>
        <w:rPr>
          <w:rFonts w:hint="eastAsia" w:ascii="仿宋_GB2312" w:eastAsia="仿宋_GB2312"/>
          <w:sz w:val="32"/>
          <w:szCs w:val="32"/>
        </w:rPr>
        <w:t>。其中基本行政运行经费预算</w:t>
      </w:r>
      <w:r>
        <w:rPr>
          <w:rFonts w:hint="eastAsia" w:ascii="仿宋_GB2312" w:eastAsia="仿宋_GB2312"/>
          <w:sz w:val="32"/>
          <w:szCs w:val="32"/>
          <w:lang w:val="en-US" w:eastAsia="zh-CN"/>
        </w:rPr>
        <w:t>306.78</w:t>
      </w:r>
      <w:r>
        <w:rPr>
          <w:rFonts w:hint="eastAsia" w:ascii="仿宋_GB2312" w:eastAsia="仿宋_GB2312"/>
          <w:sz w:val="32"/>
          <w:szCs w:val="32"/>
        </w:rPr>
        <w:t>万元，占全部总预算的</w:t>
      </w:r>
      <w:r>
        <w:rPr>
          <w:rFonts w:hint="eastAsia" w:ascii="仿宋_GB2312" w:eastAsia="仿宋_GB2312"/>
          <w:sz w:val="32"/>
          <w:szCs w:val="32"/>
          <w:lang w:val="en-US" w:eastAsia="zh-CN"/>
        </w:rPr>
        <w:t>56.11</w:t>
      </w:r>
      <w:r>
        <w:rPr>
          <w:rFonts w:hint="eastAsia" w:ascii="仿宋_GB2312" w:eastAsia="仿宋_GB2312"/>
          <w:sz w:val="32"/>
          <w:szCs w:val="32"/>
        </w:rPr>
        <w:t>%，较上年</w:t>
      </w:r>
      <w:r>
        <w:rPr>
          <w:rFonts w:hint="eastAsia" w:ascii="仿宋_GB2312" w:eastAsia="仿宋_GB2312"/>
          <w:sz w:val="32"/>
          <w:szCs w:val="32"/>
          <w:lang w:val="en-US" w:eastAsia="zh-CN"/>
        </w:rPr>
        <w:t>236.84</w:t>
      </w:r>
      <w:r>
        <w:rPr>
          <w:rFonts w:hint="eastAsia" w:ascii="仿宋_GB2312" w:eastAsia="仿宋_GB2312"/>
          <w:sz w:val="32"/>
          <w:szCs w:val="32"/>
        </w:rPr>
        <w:t>万元</w:t>
      </w:r>
      <w:r>
        <w:rPr>
          <w:rFonts w:hint="eastAsia" w:ascii="仿宋_GB2312" w:eastAsia="仿宋_GB2312"/>
          <w:sz w:val="32"/>
          <w:szCs w:val="32"/>
          <w:lang w:val="en-US" w:eastAsia="zh-CN"/>
        </w:rPr>
        <w:t>增加了29.53</w:t>
      </w:r>
      <w:r>
        <w:rPr>
          <w:rFonts w:hint="eastAsia" w:ascii="仿宋_GB2312" w:eastAsia="仿宋_GB2312"/>
          <w:sz w:val="32"/>
          <w:szCs w:val="32"/>
        </w:rPr>
        <w:t>%，主要原因是单位职工</w:t>
      </w:r>
      <w:r>
        <w:rPr>
          <w:rFonts w:hint="eastAsia" w:ascii="仿宋_GB2312" w:eastAsia="仿宋_GB2312"/>
          <w:sz w:val="32"/>
          <w:szCs w:val="32"/>
          <w:lang w:val="en-US" w:eastAsia="zh-CN"/>
        </w:rPr>
        <w:t>增加2名，工资增加；项目预算240.00万元，占全部总预算的43.89</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lang w:val="en-US" w:eastAsia="zh-CN"/>
        </w:rPr>
        <w:t>与上年240.00万元持平。</w:t>
      </w:r>
    </w:p>
    <w:p w14:paraId="171D74D9">
      <w:pPr>
        <w:widowControl/>
        <w:shd w:val="clear" w:color="auto" w:fill="FFFFFF"/>
        <w:spacing w:line="560" w:lineRule="exact"/>
        <w:ind w:firstLine="480"/>
        <w:jc w:val="left"/>
        <w:rPr>
          <w:rFonts w:ascii="黑体" w:eastAsia="黑体" w:cs="黑体"/>
          <w:color w:val="333333"/>
          <w:kern w:val="0"/>
          <w:sz w:val="32"/>
          <w:szCs w:val="32"/>
          <w:shd w:val="clear" w:color="auto" w:fill="FFFFFF"/>
        </w:rPr>
      </w:pPr>
      <w:r>
        <w:rPr>
          <w:rFonts w:hint="eastAsia" w:ascii="黑体" w:eastAsia="黑体" w:cs="黑体"/>
          <w:color w:val="333333"/>
          <w:kern w:val="0"/>
          <w:sz w:val="32"/>
          <w:szCs w:val="32"/>
          <w:shd w:val="clear" w:color="auto" w:fill="FFFFFF"/>
        </w:rPr>
        <w:t xml:space="preserve"> 六、“三公”经费预算 </w:t>
      </w:r>
    </w:p>
    <w:p w14:paraId="6B6A0E39">
      <w:pPr>
        <w:spacing w:line="560" w:lineRule="exact"/>
        <w:ind w:firstLine="640" w:firstLineChars="200"/>
        <w:rPr>
          <w:rFonts w:ascii="仿宋_GB2312" w:eastAsia="仿宋_GB2312"/>
          <w:sz w:val="32"/>
          <w:szCs w:val="32"/>
        </w:rPr>
      </w:pPr>
      <w:r>
        <w:rPr>
          <w:rFonts w:hint="eastAsia" w:ascii="仿宋_GB2312" w:eastAsia="仿宋_GB2312"/>
          <w:sz w:val="32"/>
          <w:szCs w:val="32"/>
        </w:rPr>
        <w:t>本年度三公经费预算安排支出为</w:t>
      </w:r>
      <w:r>
        <w:rPr>
          <w:rFonts w:hint="eastAsia" w:ascii="仿宋_GB2312" w:eastAsia="仿宋_GB2312"/>
          <w:sz w:val="32"/>
          <w:szCs w:val="32"/>
          <w:lang w:val="en-US" w:eastAsia="zh-CN"/>
        </w:rPr>
        <w:t>191.82</w:t>
      </w:r>
      <w:r>
        <w:rPr>
          <w:rFonts w:hint="eastAsia" w:ascii="仿宋_GB2312" w:eastAsia="仿宋_GB2312"/>
          <w:sz w:val="32"/>
          <w:szCs w:val="32"/>
        </w:rPr>
        <w:t>万元，其中：出国费0万元，与上年持平，主要原因为未安排因公出国；公车购置费0元，与上年持平；公务用车维护费支出</w:t>
      </w:r>
      <w:r>
        <w:rPr>
          <w:rFonts w:hint="eastAsia" w:ascii="仿宋_GB2312" w:eastAsia="仿宋_GB2312"/>
          <w:sz w:val="32"/>
          <w:szCs w:val="32"/>
          <w:lang w:val="en-US" w:eastAsia="zh-CN"/>
        </w:rPr>
        <w:t>11.82</w:t>
      </w:r>
      <w:r>
        <w:rPr>
          <w:rFonts w:hint="eastAsia" w:ascii="仿宋_GB2312" w:eastAsia="仿宋_GB2312"/>
          <w:sz w:val="32"/>
          <w:szCs w:val="32"/>
        </w:rPr>
        <w:t>万元，</w:t>
      </w:r>
      <w:r>
        <w:rPr>
          <w:rFonts w:hint="eastAsia" w:ascii="仿宋_GB2312" w:eastAsia="仿宋_GB2312"/>
          <w:sz w:val="32"/>
          <w:szCs w:val="32"/>
          <w:lang w:val="en-US" w:eastAsia="zh-CN"/>
        </w:rPr>
        <w:t>与</w:t>
      </w:r>
      <w:r>
        <w:rPr>
          <w:rFonts w:hint="eastAsia" w:ascii="仿宋_GB2312" w:eastAsia="仿宋_GB2312"/>
          <w:sz w:val="32"/>
          <w:szCs w:val="32"/>
        </w:rPr>
        <w:t>上年度预算</w:t>
      </w:r>
      <w:r>
        <w:rPr>
          <w:rFonts w:hint="eastAsia" w:ascii="仿宋_GB2312" w:eastAsia="仿宋_GB2312"/>
          <w:sz w:val="32"/>
          <w:szCs w:val="32"/>
          <w:lang w:val="en-US" w:eastAsia="zh-CN"/>
        </w:rPr>
        <w:t>7.22</w:t>
      </w:r>
      <w:r>
        <w:rPr>
          <w:rFonts w:hint="eastAsia" w:ascii="仿宋_GB2312" w:eastAsia="仿宋_GB2312"/>
          <w:sz w:val="32"/>
          <w:szCs w:val="32"/>
        </w:rPr>
        <w:t>万元</w:t>
      </w:r>
      <w:r>
        <w:rPr>
          <w:rFonts w:hint="eastAsia" w:ascii="仿宋_GB2312" w:eastAsia="仿宋_GB2312"/>
          <w:sz w:val="32"/>
          <w:szCs w:val="32"/>
          <w:lang w:val="en-US" w:eastAsia="zh-CN"/>
        </w:rPr>
        <w:t>增加4.60万元，增加了63.71%，主要原因是增加了一辆公务用车维护费</w:t>
      </w:r>
      <w:r>
        <w:rPr>
          <w:rFonts w:hint="eastAsia" w:ascii="仿宋_GB2312" w:eastAsia="仿宋_GB2312"/>
          <w:sz w:val="32"/>
          <w:szCs w:val="32"/>
        </w:rPr>
        <w:t>；二是将有关股室的工作有机地结合起来，减少不必要的资源浪费。公务接待费</w:t>
      </w:r>
      <w:r>
        <w:rPr>
          <w:rFonts w:hint="eastAsia" w:ascii="仿宋_GB2312" w:eastAsia="仿宋_GB2312"/>
          <w:sz w:val="32"/>
          <w:szCs w:val="32"/>
          <w:lang w:val="en-US" w:eastAsia="zh-CN"/>
        </w:rPr>
        <w:t>180</w:t>
      </w:r>
      <w:r>
        <w:rPr>
          <w:rFonts w:hint="eastAsia" w:ascii="仿宋_GB2312" w:eastAsia="仿宋_GB2312"/>
          <w:sz w:val="32"/>
          <w:szCs w:val="32"/>
        </w:rPr>
        <w:t>万元，</w:t>
      </w:r>
      <w:r>
        <w:rPr>
          <w:rFonts w:hint="eastAsia" w:ascii="仿宋_GB2312" w:eastAsia="仿宋_GB2312"/>
          <w:sz w:val="32"/>
          <w:szCs w:val="32"/>
          <w:lang w:val="en-US" w:eastAsia="zh-CN"/>
        </w:rPr>
        <w:t>与上年度预算180万元持平，</w:t>
      </w:r>
      <w:r>
        <w:rPr>
          <w:rFonts w:hint="eastAsia" w:ascii="仿宋_GB2312" w:eastAsia="仿宋_GB2312"/>
          <w:sz w:val="32"/>
          <w:szCs w:val="32"/>
        </w:rPr>
        <w:t xml:space="preserve">本年度我们将严格执行“八项规定、六项禁令”，结合本年度工作需要，减少不必要的开支。 </w:t>
      </w:r>
    </w:p>
    <w:p w14:paraId="111E65A8">
      <w:pPr>
        <w:widowControl/>
        <w:shd w:val="clear" w:color="auto" w:fill="FFFFFF"/>
        <w:spacing w:line="560" w:lineRule="exact"/>
        <w:ind w:firstLine="480"/>
        <w:jc w:val="left"/>
        <w:rPr>
          <w:rFonts w:ascii="黑体" w:eastAsia="黑体" w:cs="黑体"/>
          <w:color w:val="333333"/>
          <w:kern w:val="0"/>
          <w:sz w:val="32"/>
          <w:szCs w:val="32"/>
          <w:shd w:val="clear" w:color="auto" w:fill="FFFFFF"/>
        </w:rPr>
      </w:pPr>
      <w:r>
        <w:rPr>
          <w:rFonts w:hint="eastAsia" w:ascii="黑体" w:eastAsia="黑体" w:cs="黑体"/>
          <w:color w:val="333333"/>
          <w:kern w:val="0"/>
          <w:sz w:val="32"/>
          <w:szCs w:val="32"/>
          <w:shd w:val="clear" w:color="auto" w:fill="FFFFFF"/>
        </w:rPr>
        <w:t xml:space="preserve"> 七、政府性基金预算收支情况说明</w:t>
      </w:r>
    </w:p>
    <w:p w14:paraId="0C10EEF7">
      <w:pPr>
        <w:spacing w:line="56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年没有使用政府性基金预算拨款安排的支出。</w:t>
      </w:r>
    </w:p>
    <w:p w14:paraId="6782F65A">
      <w:pPr>
        <w:widowControl/>
        <w:shd w:val="clear" w:color="auto" w:fill="FFFFFF"/>
        <w:spacing w:line="560" w:lineRule="exact"/>
        <w:ind w:left="480"/>
        <w:jc w:val="left"/>
        <w:rPr>
          <w:rFonts w:ascii="黑体" w:eastAsia="黑体" w:cs="黑体"/>
          <w:color w:val="333333"/>
          <w:kern w:val="0"/>
          <w:sz w:val="32"/>
          <w:szCs w:val="32"/>
          <w:shd w:val="clear" w:color="auto" w:fill="FFFFFF"/>
        </w:rPr>
      </w:pPr>
      <w:r>
        <w:rPr>
          <w:rFonts w:hint="eastAsia" w:ascii="黑体" w:eastAsia="黑体" w:cs="黑体"/>
          <w:color w:val="333333"/>
          <w:kern w:val="0"/>
          <w:sz w:val="32"/>
          <w:szCs w:val="32"/>
          <w:shd w:val="clear" w:color="auto" w:fill="FFFFFF"/>
        </w:rPr>
        <w:t xml:space="preserve"> 八、国有资本经营预算收支情况说明</w:t>
      </w:r>
    </w:p>
    <w:p w14:paraId="2E9038E2">
      <w:pPr>
        <w:spacing w:line="56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年没有使用国有资本经营预算拨款安排的支出。</w:t>
      </w:r>
    </w:p>
    <w:p w14:paraId="5A8B21C3">
      <w:pPr>
        <w:widowControl/>
        <w:shd w:val="clear" w:color="auto" w:fill="FFFFFF"/>
        <w:spacing w:line="560" w:lineRule="exact"/>
        <w:ind w:left="480"/>
        <w:jc w:val="left"/>
        <w:rPr>
          <w:rFonts w:ascii="黑体" w:eastAsia="黑体" w:cs="黑体"/>
          <w:color w:val="333333"/>
          <w:kern w:val="0"/>
          <w:sz w:val="32"/>
          <w:szCs w:val="32"/>
          <w:shd w:val="clear" w:color="auto" w:fill="FFFFFF"/>
        </w:rPr>
      </w:pPr>
      <w:r>
        <w:rPr>
          <w:rFonts w:hint="eastAsia" w:ascii="黑体" w:eastAsia="黑体" w:cs="黑体"/>
          <w:color w:val="333333"/>
          <w:kern w:val="0"/>
          <w:sz w:val="32"/>
          <w:szCs w:val="32"/>
          <w:shd w:val="clear" w:color="auto" w:fill="FFFFFF"/>
        </w:rPr>
        <w:t xml:space="preserve"> 九、其他重要事项的情况说明</w:t>
      </w:r>
    </w:p>
    <w:p w14:paraId="2F979838">
      <w:pPr>
        <w:widowControl/>
        <w:shd w:val="clear" w:color="auto" w:fill="FFFFFF"/>
        <w:spacing w:line="560" w:lineRule="exact"/>
        <w:ind w:firstLine="480"/>
        <w:jc w:val="left"/>
        <w:rPr>
          <w:rFonts w:ascii="黑体" w:eastAsia="黑体" w:cs="黑体"/>
          <w:color w:val="333333"/>
          <w:kern w:val="0"/>
          <w:sz w:val="32"/>
          <w:szCs w:val="32"/>
          <w:shd w:val="clear" w:color="auto" w:fill="FFFFFF"/>
        </w:rPr>
      </w:pPr>
      <w:r>
        <w:rPr>
          <w:rFonts w:hint="eastAsia" w:ascii="楷体_GB2312" w:eastAsia="楷体_GB2312" w:cs="楷体_GB2312"/>
          <w:b/>
          <w:bCs/>
          <w:color w:val="333333"/>
          <w:kern w:val="0"/>
          <w:sz w:val="32"/>
          <w:szCs w:val="32"/>
          <w:shd w:val="clear" w:color="auto" w:fill="FFFFFF"/>
        </w:rPr>
        <w:t xml:space="preserve"> （一）政府采购预算情况</w:t>
      </w:r>
      <w:r>
        <w:rPr>
          <w:rFonts w:hint="eastAsia" w:ascii="黑体" w:eastAsia="黑体" w:cs="黑体"/>
          <w:color w:val="333333"/>
          <w:kern w:val="0"/>
          <w:sz w:val="32"/>
          <w:szCs w:val="32"/>
          <w:shd w:val="clear" w:color="auto" w:fill="FFFFFF"/>
        </w:rPr>
        <w:t xml:space="preserve"> </w:t>
      </w:r>
    </w:p>
    <w:p w14:paraId="54709424">
      <w:pPr>
        <w:spacing w:line="56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年度安排政府采购预算0万元。</w:t>
      </w:r>
    </w:p>
    <w:p w14:paraId="4CA834D9">
      <w:pPr>
        <w:widowControl/>
        <w:shd w:val="clear" w:color="auto" w:fill="FFFFFF"/>
        <w:spacing w:line="560" w:lineRule="exact"/>
        <w:ind w:left="480"/>
        <w:jc w:val="left"/>
      </w:pPr>
      <w:r>
        <w:rPr>
          <w:rFonts w:hint="eastAsia" w:ascii="楷体_GB2312" w:eastAsia="楷体_GB2312" w:cs="楷体_GB2312"/>
          <w:b/>
          <w:bCs/>
          <w:color w:val="333333"/>
          <w:kern w:val="0"/>
          <w:sz w:val="32"/>
          <w:szCs w:val="32"/>
          <w:shd w:val="clear" w:color="auto" w:fill="FFFFFF"/>
        </w:rPr>
        <w:t xml:space="preserve"> （二）政府财政国有资产占用情况</w:t>
      </w:r>
      <w:r>
        <w:rPr>
          <w:rFonts w:hint="eastAsia" w:ascii="微软雅黑" w:eastAsia="微软雅黑" w:cs="微软雅黑"/>
          <w:color w:val="333333"/>
          <w:kern w:val="0"/>
          <w:sz w:val="24"/>
          <w:shd w:val="clear" w:color="auto" w:fill="FFFFFF"/>
        </w:rPr>
        <w:t xml:space="preserve"> </w:t>
      </w:r>
    </w:p>
    <w:p w14:paraId="4D6C74F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15" w:lineRule="atLeast"/>
        <w:ind w:left="0" w:right="0" w:firstLine="420"/>
        <w:rPr>
          <w:rFonts w:ascii="仿宋_GB2312" w:eastAsia="仿宋_GB2312"/>
          <w:color w:val="000000" w:themeColor="text1"/>
          <w:sz w:val="32"/>
          <w:szCs w:val="32"/>
        </w:rPr>
      </w:pPr>
      <w:r>
        <w:rPr>
          <w:rFonts w:hint="eastAsia" w:ascii="仿宋_GB2312" w:eastAsia="仿宋_GB2312"/>
          <w:color w:val="000000" w:themeColor="text1"/>
          <w:sz w:val="32"/>
          <w:szCs w:val="32"/>
        </w:rPr>
        <w:t>截止202</w:t>
      </w:r>
      <w:r>
        <w:rPr>
          <w:rFonts w:hint="eastAsia" w:ascii="仿宋_GB2312" w:eastAsia="仿宋_GB2312"/>
          <w:color w:val="000000" w:themeColor="text1"/>
          <w:sz w:val="32"/>
          <w:szCs w:val="32"/>
          <w:lang w:val="en-US" w:eastAsia="zh-CN"/>
        </w:rPr>
        <w:t>5</w:t>
      </w:r>
      <w:r>
        <w:rPr>
          <w:rFonts w:hint="eastAsia" w:ascii="仿宋_GB2312" w:eastAsia="仿宋_GB2312"/>
          <w:color w:val="000000" w:themeColor="text1"/>
          <w:sz w:val="32"/>
          <w:szCs w:val="32"/>
        </w:rPr>
        <w:t>年底，</w:t>
      </w:r>
      <w:r>
        <w:rPr>
          <w:rFonts w:hint="eastAsia" w:ascii="仿宋_GB2312" w:eastAsia="仿宋_GB2312"/>
          <w:color w:val="000000" w:themeColor="text1"/>
          <w:sz w:val="32"/>
          <w:szCs w:val="32"/>
          <w:lang w:val="en-US" w:eastAsia="zh-CN"/>
        </w:rPr>
        <w:t>实际共有固定资产价值681.84万</w:t>
      </w:r>
      <w:bookmarkStart w:id="0" w:name="_GoBack"/>
      <w:bookmarkEnd w:id="0"/>
      <w:r>
        <w:rPr>
          <w:rFonts w:hint="eastAsia" w:ascii="仿宋_GB2312" w:eastAsia="仿宋_GB2312"/>
          <w:color w:val="000000" w:themeColor="text1"/>
          <w:sz w:val="32"/>
          <w:szCs w:val="32"/>
          <w:lang w:val="en-US" w:eastAsia="zh-CN"/>
        </w:rPr>
        <w:t>元；其中：公务用车23万元；业务用房132.45万元；其他资产526.39万元</w:t>
      </w:r>
      <w:r>
        <w:rPr>
          <w:rFonts w:hint="eastAsia" w:ascii="仿宋_GB2312" w:eastAsia="仿宋_GB2312"/>
          <w:color w:val="000000" w:themeColor="text1"/>
          <w:sz w:val="32"/>
          <w:szCs w:val="32"/>
        </w:rPr>
        <w:t>。</w:t>
      </w:r>
    </w:p>
    <w:p w14:paraId="1B4321A8">
      <w:pPr>
        <w:widowControl/>
        <w:shd w:val="clear" w:color="auto" w:fill="FFFFFF"/>
        <w:spacing w:line="560" w:lineRule="exact"/>
        <w:ind w:left="480"/>
        <w:jc w:val="left"/>
        <w:rPr>
          <w:rFonts w:ascii="楷体_GB2312" w:eastAsia="楷体_GB2312" w:cs="楷体_GB2312"/>
          <w:b/>
          <w:bCs/>
          <w:color w:val="333333"/>
          <w:kern w:val="0"/>
          <w:sz w:val="32"/>
          <w:szCs w:val="32"/>
          <w:shd w:val="clear" w:color="auto" w:fill="FFFFFF"/>
        </w:rPr>
      </w:pPr>
      <w:r>
        <w:rPr>
          <w:rFonts w:hint="eastAsia" w:ascii="楷体_GB2312" w:eastAsia="楷体_GB2312" w:cs="楷体_GB2312"/>
          <w:b/>
          <w:bCs/>
          <w:color w:val="333333"/>
          <w:kern w:val="0"/>
          <w:sz w:val="32"/>
          <w:szCs w:val="32"/>
          <w:shd w:val="clear" w:color="auto" w:fill="FFFFFF"/>
        </w:rPr>
        <w:t xml:space="preserve"> （三）绩效目标设置情况</w:t>
      </w:r>
    </w:p>
    <w:p w14:paraId="2492F3AE">
      <w:pPr>
        <w:spacing w:line="560" w:lineRule="exact"/>
        <w:rPr>
          <w:rFonts w:ascii="仿宋_GB2312" w:eastAsia="仿宋_GB2312"/>
          <w:sz w:val="32"/>
          <w:szCs w:val="32"/>
        </w:rPr>
      </w:pPr>
      <w:r>
        <w:rPr>
          <w:rFonts w:hint="eastAsia" w:ascii="仿宋_GB2312" w:eastAsia="仿宋_GB2312"/>
          <w:sz w:val="32"/>
          <w:szCs w:val="32"/>
        </w:rPr>
        <w:t xml:space="preserve">  绩效目标是预算编制的前提和基础，按照“费随事定”的原则，202</w:t>
      </w:r>
      <w:r>
        <w:rPr>
          <w:rFonts w:hint="eastAsia" w:ascii="仿宋_GB2312" w:eastAsia="仿宋_GB2312"/>
          <w:sz w:val="32"/>
          <w:szCs w:val="32"/>
          <w:lang w:val="en-US" w:eastAsia="zh-CN"/>
        </w:rPr>
        <w:t>6</w:t>
      </w:r>
      <w:r>
        <w:rPr>
          <w:rFonts w:hint="eastAsia" w:ascii="仿宋_GB2312" w:eastAsia="仿宋_GB2312"/>
          <w:sz w:val="32"/>
          <w:szCs w:val="32"/>
        </w:rPr>
        <w:t>年我单位项目支出按要求编制了绩效目标，从项目完成、项目效益、满意度。</w:t>
      </w:r>
    </w:p>
    <w:p w14:paraId="53827D5D">
      <w:pPr>
        <w:spacing w:line="560" w:lineRule="exact"/>
        <w:rPr>
          <w:rFonts w:hint="eastAsia" w:ascii="黑体" w:eastAsia="黑体" w:cs="黑体"/>
          <w:color w:val="333333"/>
          <w:kern w:val="0"/>
          <w:sz w:val="32"/>
          <w:szCs w:val="32"/>
          <w:shd w:val="clear" w:color="auto" w:fill="FFFFFF"/>
          <w:lang w:eastAsia="zh-CN"/>
        </w:rPr>
      </w:pPr>
      <w:r>
        <w:rPr>
          <w:rFonts w:hint="eastAsia" w:ascii="黑体" w:eastAsia="黑体" w:cs="黑体"/>
          <w:color w:val="333333"/>
          <w:kern w:val="0"/>
          <w:sz w:val="32"/>
          <w:szCs w:val="32"/>
          <w:shd w:val="clear" w:color="auto" w:fill="FFFFFF"/>
        </w:rPr>
        <w:t xml:space="preserve">    十、名词解释 </w:t>
      </w:r>
    </w:p>
    <w:p w14:paraId="4BD8A80A">
      <w:pPr>
        <w:spacing w:line="560" w:lineRule="exact"/>
        <w:rPr>
          <w:rFonts w:hint="eastAsia" w:ascii="仿宋_GB2312" w:eastAsia="仿宋_GB2312"/>
          <w:sz w:val="32"/>
          <w:szCs w:val="32"/>
          <w:lang w:eastAsia="zh-CN"/>
        </w:rPr>
      </w:pPr>
      <w:r>
        <w:rPr>
          <w:rFonts w:hint="eastAsia" w:ascii="宋体" w:cs="宋体"/>
          <w:sz w:val="28"/>
          <w:szCs w:val="28"/>
        </w:rPr>
        <w:t>　</w:t>
      </w:r>
      <w:r>
        <w:rPr>
          <w:rFonts w:hint="eastAsia" w:ascii="仿宋_GB2312" w:eastAsia="仿宋_GB2312"/>
          <w:sz w:val="32"/>
          <w:szCs w:val="32"/>
        </w:rPr>
        <w:t xml:space="preserve">　1.财政拨款收入：指财政部门核拨给单位的财政预算资金。 </w:t>
      </w:r>
    </w:p>
    <w:p w14:paraId="21EA5D75">
      <w:pPr>
        <w:spacing w:line="560" w:lineRule="exact"/>
        <w:rPr>
          <w:rFonts w:ascii="仿宋_GB2312" w:eastAsia="仿宋_GB2312"/>
          <w:sz w:val="32"/>
          <w:szCs w:val="32"/>
        </w:rPr>
      </w:pPr>
      <w:r>
        <w:rPr>
          <w:rFonts w:hint="eastAsia" w:ascii="仿宋_GB2312" w:eastAsia="仿宋_GB2312"/>
          <w:sz w:val="32"/>
          <w:szCs w:val="32"/>
        </w:rPr>
        <w:t>　　2.其他收入：指除上述财政部门拨付单位以外的收入。</w:t>
      </w:r>
    </w:p>
    <w:p w14:paraId="7D61F0B2">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 xml:space="preserve">3.基本支出：指为保障单位机关正常运转、完成日常工作任务而发生的人员支出和公用支出。 </w:t>
      </w:r>
    </w:p>
    <w:p w14:paraId="1F951F46">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 xml:space="preserve">4.项目支出：指在基本支出之外为完成特定行政任务和事业发展目标所发生的支出。 </w:t>
      </w:r>
    </w:p>
    <w:p w14:paraId="3C2AE34F">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14:paraId="26EB6F6A">
      <w:pPr>
        <w:spacing w:line="560" w:lineRule="exact"/>
        <w:ind w:firstLine="640" w:firstLineChars="200"/>
        <w:rPr>
          <w:rFonts w:ascii="仿宋_GB2312" w:eastAsia="仿宋_GB2312"/>
          <w:sz w:val="32"/>
          <w:szCs w:val="32"/>
        </w:rPr>
      </w:pPr>
    </w:p>
    <w:p w14:paraId="5580AF40">
      <w:pPr>
        <w:spacing w:line="560" w:lineRule="exact"/>
        <w:ind w:firstLine="640" w:firstLineChars="200"/>
        <w:rPr>
          <w:rFonts w:ascii="仿宋_GB2312" w:eastAsia="仿宋_GB2312"/>
          <w:sz w:val="32"/>
          <w:szCs w:val="32"/>
        </w:rPr>
      </w:pPr>
      <w:r>
        <w:rPr>
          <w:rFonts w:hint="eastAsia" w:ascii="仿宋_GB2312" w:eastAsia="仿宋_GB2312"/>
          <w:sz w:val="32"/>
          <w:szCs w:val="32"/>
        </w:rPr>
        <w:t>附件：表1.部门收支总表</w:t>
      </w:r>
    </w:p>
    <w:p w14:paraId="138B6470">
      <w:pPr>
        <w:spacing w:line="560" w:lineRule="exact"/>
        <w:ind w:firstLine="1600" w:firstLineChars="500"/>
        <w:rPr>
          <w:rFonts w:ascii="仿宋_GB2312" w:eastAsia="仿宋_GB2312"/>
          <w:sz w:val="32"/>
          <w:szCs w:val="32"/>
        </w:rPr>
      </w:pPr>
      <w:r>
        <w:rPr>
          <w:rFonts w:hint="eastAsia" w:ascii="仿宋_GB2312" w:eastAsia="仿宋_GB2312"/>
          <w:sz w:val="32"/>
          <w:szCs w:val="32"/>
        </w:rPr>
        <w:t>表2.部门收入总表</w:t>
      </w:r>
    </w:p>
    <w:p w14:paraId="494481D1">
      <w:pPr>
        <w:spacing w:line="560" w:lineRule="exact"/>
        <w:ind w:firstLine="1600" w:firstLineChars="500"/>
        <w:rPr>
          <w:rFonts w:ascii="仿宋_GB2312" w:eastAsia="仿宋_GB2312"/>
          <w:sz w:val="32"/>
          <w:szCs w:val="32"/>
        </w:rPr>
      </w:pPr>
      <w:r>
        <w:rPr>
          <w:rFonts w:hint="eastAsia" w:ascii="仿宋_GB2312" w:eastAsia="仿宋_GB2312"/>
          <w:sz w:val="32"/>
          <w:szCs w:val="32"/>
        </w:rPr>
        <w:t>表3.部门支出总表</w:t>
      </w:r>
    </w:p>
    <w:p w14:paraId="6B2E2916">
      <w:pPr>
        <w:spacing w:line="560" w:lineRule="exact"/>
        <w:ind w:firstLine="1600" w:firstLineChars="500"/>
        <w:rPr>
          <w:rFonts w:ascii="仿宋_GB2312" w:eastAsia="仿宋_GB2312"/>
          <w:sz w:val="32"/>
          <w:szCs w:val="32"/>
        </w:rPr>
      </w:pPr>
      <w:r>
        <w:rPr>
          <w:rFonts w:hint="eastAsia" w:ascii="仿宋_GB2312" w:eastAsia="仿宋_GB2312"/>
          <w:sz w:val="32"/>
          <w:szCs w:val="32"/>
        </w:rPr>
        <w:t>表4.财政拨款收支预算总表</w:t>
      </w:r>
    </w:p>
    <w:p w14:paraId="79B665D8">
      <w:pPr>
        <w:spacing w:line="560" w:lineRule="exact"/>
        <w:ind w:firstLine="1600" w:firstLineChars="500"/>
        <w:rPr>
          <w:rFonts w:ascii="仿宋_GB2312" w:eastAsia="仿宋_GB2312"/>
          <w:sz w:val="32"/>
          <w:szCs w:val="32"/>
        </w:rPr>
      </w:pPr>
      <w:r>
        <w:rPr>
          <w:rFonts w:hint="eastAsia" w:ascii="仿宋_GB2312" w:eastAsia="仿宋_GB2312"/>
          <w:sz w:val="32"/>
          <w:szCs w:val="32"/>
        </w:rPr>
        <w:t>表5.财政拨款支出预算表（部门经济分类科目）</w:t>
      </w:r>
    </w:p>
    <w:p w14:paraId="53F2E433">
      <w:pPr>
        <w:spacing w:line="560" w:lineRule="exact"/>
        <w:ind w:firstLine="1600" w:firstLineChars="500"/>
        <w:rPr>
          <w:rFonts w:ascii="仿宋_GB2312" w:eastAsia="仿宋_GB2312"/>
          <w:sz w:val="32"/>
          <w:szCs w:val="32"/>
        </w:rPr>
      </w:pPr>
      <w:r>
        <w:rPr>
          <w:rFonts w:hint="eastAsia" w:ascii="仿宋_GB2312" w:eastAsia="仿宋_GB2312"/>
          <w:sz w:val="32"/>
          <w:szCs w:val="32"/>
        </w:rPr>
        <w:t>表6.一般公共预算支出预算表</w:t>
      </w:r>
    </w:p>
    <w:p w14:paraId="1BA074C6">
      <w:pPr>
        <w:spacing w:line="560" w:lineRule="exact"/>
        <w:ind w:firstLine="1600" w:firstLineChars="500"/>
        <w:rPr>
          <w:rFonts w:ascii="仿宋_GB2312" w:eastAsia="仿宋_GB2312"/>
          <w:sz w:val="32"/>
          <w:szCs w:val="32"/>
        </w:rPr>
      </w:pPr>
      <w:r>
        <w:rPr>
          <w:rFonts w:hint="eastAsia" w:ascii="仿宋_GB2312" w:eastAsia="仿宋_GB2312"/>
          <w:sz w:val="32"/>
          <w:szCs w:val="32"/>
        </w:rPr>
        <w:t>表7.一般公共预算基本支出预算表</w:t>
      </w:r>
    </w:p>
    <w:p w14:paraId="2DA71E70">
      <w:pPr>
        <w:spacing w:line="560" w:lineRule="exact"/>
        <w:ind w:firstLine="1600" w:firstLineChars="500"/>
        <w:rPr>
          <w:rFonts w:ascii="仿宋_GB2312" w:eastAsia="仿宋_GB2312"/>
          <w:sz w:val="32"/>
          <w:szCs w:val="32"/>
        </w:rPr>
      </w:pPr>
      <w:r>
        <w:rPr>
          <w:rFonts w:hint="eastAsia" w:ascii="仿宋_GB2312" w:eastAsia="仿宋_GB2312"/>
          <w:sz w:val="32"/>
          <w:szCs w:val="32"/>
        </w:rPr>
        <w:t>表8.一般公共预算项目支出预算表</w:t>
      </w:r>
    </w:p>
    <w:p w14:paraId="5D3CC578">
      <w:pPr>
        <w:spacing w:line="560" w:lineRule="exact"/>
        <w:ind w:firstLine="1600" w:firstLineChars="500"/>
        <w:rPr>
          <w:rFonts w:ascii="仿宋_GB2312" w:eastAsia="仿宋_GB2312"/>
          <w:sz w:val="32"/>
          <w:szCs w:val="32"/>
        </w:rPr>
      </w:pPr>
      <w:r>
        <w:rPr>
          <w:rFonts w:hint="eastAsia" w:ascii="仿宋_GB2312" w:eastAsia="仿宋_GB2312"/>
          <w:sz w:val="32"/>
          <w:szCs w:val="32"/>
        </w:rPr>
        <w:t>表9.一般公共预算“三公”经费支出预算表</w:t>
      </w:r>
    </w:p>
    <w:p w14:paraId="3DA341A9">
      <w:pPr>
        <w:spacing w:line="560" w:lineRule="exact"/>
        <w:ind w:firstLine="1600" w:firstLineChars="500"/>
        <w:rPr>
          <w:rFonts w:ascii="仿宋_GB2312" w:eastAsia="仿宋_GB2312"/>
          <w:sz w:val="32"/>
          <w:szCs w:val="32"/>
        </w:rPr>
      </w:pPr>
      <w:r>
        <w:rPr>
          <w:rFonts w:hint="eastAsia" w:ascii="仿宋_GB2312" w:eastAsia="仿宋_GB2312"/>
          <w:sz w:val="32"/>
          <w:szCs w:val="32"/>
        </w:rPr>
        <w:t>表10.政府性基金支出预算表</w:t>
      </w:r>
    </w:p>
    <w:p w14:paraId="71FFB9B5">
      <w:pPr>
        <w:spacing w:line="560" w:lineRule="exact"/>
        <w:ind w:firstLine="1600" w:firstLineChars="500"/>
        <w:rPr>
          <w:rFonts w:ascii="仿宋_GB2312" w:eastAsia="仿宋_GB2312"/>
          <w:sz w:val="32"/>
          <w:szCs w:val="32"/>
        </w:rPr>
      </w:pPr>
      <w:r>
        <w:rPr>
          <w:rFonts w:hint="eastAsia" w:ascii="仿宋_GB2312" w:eastAsia="仿宋_GB2312"/>
          <w:sz w:val="32"/>
          <w:szCs w:val="32"/>
        </w:rPr>
        <w:t>表11.政府性基金预算“三公”经费支出预算表</w:t>
      </w:r>
    </w:p>
    <w:p w14:paraId="0B5F11B9">
      <w:pPr>
        <w:spacing w:line="560" w:lineRule="exact"/>
        <w:ind w:firstLine="1600" w:firstLineChars="500"/>
        <w:rPr>
          <w:rFonts w:ascii="仿宋_GB2312" w:eastAsia="仿宋_GB2312"/>
          <w:sz w:val="32"/>
          <w:szCs w:val="32"/>
        </w:rPr>
      </w:pPr>
      <w:r>
        <w:rPr>
          <w:rFonts w:hint="eastAsia" w:ascii="仿宋_GB2312" w:eastAsia="仿宋_GB2312"/>
          <w:sz w:val="32"/>
          <w:szCs w:val="32"/>
        </w:rPr>
        <w:t>表12.国有资本经营预算支出预算表</w:t>
      </w:r>
    </w:p>
    <w:p w14:paraId="1A43B772">
      <w:pPr>
        <w:spacing w:line="560" w:lineRule="exact"/>
        <w:ind w:firstLine="1600" w:firstLineChars="500"/>
        <w:rPr>
          <w:rFonts w:ascii="仿宋_GB2312" w:eastAsia="仿宋_GB2312"/>
          <w:sz w:val="32"/>
          <w:szCs w:val="32"/>
        </w:rPr>
      </w:pPr>
      <w:r>
        <w:rPr>
          <w:rFonts w:hint="eastAsia" w:ascii="仿宋_GB2312" w:eastAsia="仿宋_GB2312"/>
          <w:sz w:val="32"/>
          <w:szCs w:val="32"/>
        </w:rPr>
        <w:t>表13.部门项目支出绩效目标表（202</w:t>
      </w:r>
      <w:r>
        <w:rPr>
          <w:rFonts w:hint="eastAsia" w:ascii="仿宋_GB2312" w:eastAsia="仿宋_GB2312"/>
          <w:sz w:val="32"/>
          <w:szCs w:val="32"/>
          <w:lang w:val="en-US" w:eastAsia="zh-CN"/>
        </w:rPr>
        <w:t>5</w:t>
      </w:r>
      <w:r>
        <w:rPr>
          <w:rFonts w:hint="eastAsia" w:ascii="仿宋_GB2312" w:eastAsia="仿宋_GB2312"/>
          <w:sz w:val="32"/>
          <w:szCs w:val="32"/>
        </w:rPr>
        <w:t>年度）</w:t>
      </w: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8722C">
    <w:pPr>
      <w:pStyle w:val="7"/>
      <w:framePr w:wrap="around" w:vAnchor="text" w:hAnchor="margin" w:xAlign="center" w:y="1"/>
      <w:rPr>
        <w:rStyle w:val="13"/>
      </w:rPr>
    </w:pPr>
    <w:r>
      <w:rPr>
        <w:rStyle w:val="13"/>
      </w:rPr>
      <w:fldChar w:fldCharType="begin"/>
    </w:r>
    <w:r>
      <w:rPr>
        <w:rStyle w:val="13"/>
      </w:rPr>
      <w:instrText xml:space="preserve">PAGE  </w:instrText>
    </w:r>
    <w:r>
      <w:fldChar w:fldCharType="separate"/>
    </w:r>
    <w:r>
      <w:rPr>
        <w:rStyle w:val="13"/>
      </w:rPr>
      <w:t>7</w:t>
    </w:r>
    <w:r>
      <w:fldChar w:fldCharType="end"/>
    </w:r>
  </w:p>
  <w:p w14:paraId="78191B29">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BC746">
    <w:pPr>
      <w:pStyle w:val="7"/>
      <w:framePr w:wrap="around" w:vAnchor="text" w:hAnchor="margin" w:xAlign="center" w:y="1"/>
      <w:rPr>
        <w:rStyle w:val="13"/>
      </w:rPr>
    </w:pPr>
    <w:r>
      <w:rPr>
        <w:rStyle w:val="13"/>
      </w:rPr>
      <w:fldChar w:fldCharType="begin"/>
    </w:r>
    <w:r>
      <w:rPr>
        <w:rStyle w:val="13"/>
      </w:rPr>
      <w:instrText xml:space="preserve">PAGE  </w:instrText>
    </w:r>
    <w:r>
      <w:fldChar w:fldCharType="separate"/>
    </w:r>
    <w:r>
      <w:t xml:space="preserve"> </w:t>
    </w:r>
    <w:r>
      <w:fldChar w:fldCharType="end"/>
    </w:r>
  </w:p>
  <w:p w14:paraId="4758AB80">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jA2MDI0NjEzMDAxZjc1OGIyMmNiYjQ0MGFlZWZlNzUifQ=="/>
  </w:docVars>
  <w:rsids>
    <w:rsidRoot w:val="00FF73FC"/>
    <w:rsid w:val="00026490"/>
    <w:rsid w:val="00290B9F"/>
    <w:rsid w:val="00421A93"/>
    <w:rsid w:val="0054600C"/>
    <w:rsid w:val="0080475F"/>
    <w:rsid w:val="0084622C"/>
    <w:rsid w:val="00A439AE"/>
    <w:rsid w:val="00B0230E"/>
    <w:rsid w:val="00FE3896"/>
    <w:rsid w:val="00FF73FC"/>
    <w:rsid w:val="020930C0"/>
    <w:rsid w:val="261E33FC"/>
    <w:rsid w:val="2E5E34CA"/>
    <w:rsid w:val="37C60C58"/>
    <w:rsid w:val="3DB06BAB"/>
    <w:rsid w:val="51007199"/>
    <w:rsid w:val="5363100D"/>
    <w:rsid w:val="68260F5F"/>
    <w:rsid w:val="6FFC75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1"/>
    <w:autoRedefine/>
    <w:qFormat/>
    <w:uiPriority w:val="0"/>
    <w:pPr>
      <w:spacing w:beforeLines="30"/>
    </w:pPr>
    <w:rPr>
      <w:rFonts w:ascii="仿宋_GB2312" w:eastAsia="仿宋_GB2312"/>
      <w:sz w:val="30"/>
    </w:rPr>
  </w:style>
  <w:style w:type="paragraph" w:styleId="6">
    <w:name w:val="Body Text Indent"/>
    <w:basedOn w:val="1"/>
    <w:autoRedefine/>
    <w:qFormat/>
    <w:uiPriority w:val="0"/>
    <w:pPr>
      <w:keepNext w:val="0"/>
      <w:keepLines w:val="0"/>
      <w:widowControl w:val="0"/>
      <w:suppressLineNumbers w:val="0"/>
      <w:spacing w:before="0" w:beforeAutospacing="0" w:after="0" w:afterAutospacing="0" w:line="540" w:lineRule="exact"/>
      <w:ind w:left="0" w:right="0" w:firstLine="5440" w:firstLineChars="1700"/>
      <w:jc w:val="both"/>
    </w:pPr>
    <w:rPr>
      <w:rFonts w:hint="default" w:ascii="Calibri" w:hAnsi="Calibri" w:eastAsia="宋体" w:cs="Times New Roman"/>
      <w:kern w:val="2"/>
      <w:sz w:val="32"/>
      <w:szCs w:val="32"/>
      <w:lang w:val="en-US" w:eastAsia="zh-CN" w:bidi="ar"/>
    </w:rPr>
  </w:style>
  <w:style w:type="paragraph" w:styleId="7">
    <w:name w:val="footer"/>
    <w:basedOn w:val="1"/>
    <w:autoRedefine/>
    <w:qFormat/>
    <w:uiPriority w:val="0"/>
    <w:pPr>
      <w:tabs>
        <w:tab w:val="center" w:pos="4153"/>
        <w:tab w:val="right" w:pos="8306"/>
      </w:tabs>
      <w:snapToGrid w:val="0"/>
      <w:jc w:val="left"/>
    </w:pPr>
    <w:rPr>
      <w:sz w:val="18"/>
      <w:szCs w:val="18"/>
    </w:rPr>
  </w:style>
  <w:style w:type="paragraph" w:styleId="8">
    <w:name w:val="header"/>
    <w:basedOn w:val="1"/>
    <w:autoRedefine/>
    <w:qFormat/>
    <w:uiPriority w:val="0"/>
    <w:pPr>
      <w:tabs>
        <w:tab w:val="center" w:pos="4153"/>
        <w:tab w:val="right" w:pos="8306"/>
      </w:tabs>
      <w:snapToGrid w:val="0"/>
    </w:pPr>
    <w:rPr>
      <w:sz w:val="18"/>
    </w:rPr>
  </w:style>
  <w:style w:type="paragraph" w:styleId="9">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paragraph" w:styleId="10">
    <w:name w:val="Body Text First Indent 2"/>
    <w:basedOn w:val="6"/>
    <w:autoRedefine/>
    <w:qFormat/>
    <w:uiPriority w:val="0"/>
    <w:pPr>
      <w:keepNext w:val="0"/>
      <w:keepLines w:val="0"/>
      <w:widowControl w:val="0"/>
      <w:suppressLineNumbers w:val="0"/>
      <w:spacing w:before="0" w:beforeAutospacing="0" w:after="0" w:afterAutospacing="0" w:line="540" w:lineRule="exact"/>
      <w:ind w:left="0" w:right="0" w:firstLine="420" w:firstLineChars="200"/>
      <w:jc w:val="both"/>
    </w:pPr>
    <w:rPr>
      <w:rFonts w:hint="default" w:ascii="Calibri" w:hAnsi="Calibri" w:eastAsia="宋体" w:cs="Times New Roman"/>
      <w:kern w:val="2"/>
      <w:sz w:val="32"/>
      <w:szCs w:val="32"/>
      <w:lang w:val="en-US" w:eastAsia="zh-CN" w:bidi="ar"/>
    </w:rPr>
  </w:style>
  <w:style w:type="character" w:styleId="13">
    <w:name w:val="page number"/>
    <w:basedOn w:val="12"/>
    <w:autoRedefine/>
    <w:qFormat/>
    <w:uiPriority w:val="0"/>
  </w:style>
  <w:style w:type="character" w:styleId="14">
    <w:name w:val="line number"/>
    <w:basedOn w:val="12"/>
    <w:autoRedefine/>
    <w:qFormat/>
    <w:uiPriority w:val="0"/>
    <w:rPr>
      <w:sz w:val="22"/>
    </w:rPr>
  </w:style>
  <w:style w:type="character" w:styleId="15">
    <w:name w:val="Hyperlink"/>
    <w:autoRedefine/>
    <w:qFormat/>
    <w:uiPriority w:val="0"/>
    <w:rPr>
      <w:sz w:val="22"/>
    </w:rPr>
  </w:style>
  <w:style w:type="paragraph" w:customStyle="1" w:styleId="16">
    <w:name w:val="Body Text Indent 2_2f75ddf9-7586-465d-b894-cacca03ef0a7"/>
    <w:basedOn w:val="1"/>
    <w:qFormat/>
    <w:uiPriority w:val="0"/>
    <w:pPr>
      <w:spacing w:line="19997" w:lineRule="auto"/>
      <w:ind w:left="420" w:left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3541</Words>
  <Characters>3744</Characters>
  <Lines>24</Lines>
  <Paragraphs>6</Paragraphs>
  <TotalTime>9</TotalTime>
  <ScaleCrop>false</ScaleCrop>
  <LinksUpToDate>false</LinksUpToDate>
  <CharactersWithSpaces>3790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cp:lastModifiedBy>
  <dcterms:modified xsi:type="dcterms:W3CDTF">2026-02-08T11:04:46Z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1942BC9E337C4CD5B3C9E34D3D63196A_12</vt:lpwstr>
  </property>
  <property fmtid="{D5CDD505-2E9C-101B-9397-08002B2CF9AE}" pid="4" name="KSOTemplateDocerSaveRecord">
    <vt:lpwstr>eyJoZGlkIjoiYzA0Nzg3YTJhM2Q4NGFlOTIzYzA3NzkwMDEyZjNlNmYiLCJ1c2VySWQiOiI1NDQ2MTU0MzAifQ==</vt:lpwstr>
  </property>
</Properties>
</file>