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BA0458">
      <w:pPr>
        <w:rPr>
          <w:rFonts w:asciiTheme="minorEastAsia" w:hAnsiTheme="minorEastAsia" w:eastAsiaTheme="minorEastAsia"/>
          <w:b/>
          <w:sz w:val="72"/>
          <w:szCs w:val="72"/>
        </w:rPr>
      </w:pPr>
      <w:bookmarkStart w:id="0" w:name="_Toc15377425"/>
      <w:bookmarkStart w:id="1" w:name="_Toc15378441"/>
      <w:bookmarkStart w:id="2" w:name="_Toc15377193"/>
      <w:bookmarkStart w:id="3" w:name="_Toc15396597"/>
      <w:bookmarkStart w:id="4" w:name="_Toc15396475"/>
      <w:bookmarkStart w:id="5" w:name="_Toc15306267"/>
    </w:p>
    <w:p w14:paraId="3F107B82">
      <w:pPr>
        <w:pStyle w:val="6"/>
        <w:ind w:firstLine="0"/>
      </w:pPr>
    </w:p>
    <w:p w14:paraId="52826373">
      <w:pPr>
        <w:jc w:val="center"/>
        <w:rPr>
          <w:rFonts w:asciiTheme="minorEastAsia" w:hAnsiTheme="minorEastAsia" w:eastAsiaTheme="minorEastAsia"/>
          <w:b/>
          <w:sz w:val="72"/>
          <w:szCs w:val="72"/>
        </w:rPr>
      </w:pPr>
      <w:r>
        <w:rPr>
          <w:rFonts w:hint="eastAsia" w:asciiTheme="minorEastAsia" w:hAnsiTheme="minorEastAsia" w:eastAsiaTheme="minorEastAsia"/>
          <w:b/>
          <w:sz w:val="72"/>
          <w:szCs w:val="72"/>
        </w:rPr>
        <w:t>202</w:t>
      </w:r>
      <w:r>
        <w:rPr>
          <w:rFonts w:hint="eastAsia" w:asciiTheme="minorEastAsia" w:hAnsiTheme="minorEastAsia" w:eastAsiaTheme="minorEastAsia"/>
          <w:b/>
          <w:sz w:val="72"/>
          <w:szCs w:val="72"/>
          <w:lang w:val="en-US" w:eastAsia="zh-CN"/>
        </w:rPr>
        <w:t>4</w:t>
      </w:r>
      <w:r>
        <w:rPr>
          <w:b/>
          <w:sz w:val="72"/>
          <w:u w:color="auto"/>
        </w:rPr>
        <w:t>年度</w:t>
      </w:r>
      <w:bookmarkEnd w:id="0"/>
      <w:bookmarkEnd w:id="1"/>
      <w:bookmarkEnd w:id="2"/>
      <w:bookmarkEnd w:id="3"/>
      <w:bookmarkEnd w:id="4"/>
    </w:p>
    <w:bookmarkEnd w:id="5"/>
    <w:p w14:paraId="35351E9F">
      <w:pPr>
        <w:jc w:val="center"/>
        <w:rPr>
          <w:rFonts w:asciiTheme="minorEastAsia" w:hAnsiTheme="minorEastAsia" w:eastAsiaTheme="minorEastAsia"/>
          <w:b/>
          <w:sz w:val="72"/>
          <w:szCs w:val="72"/>
        </w:rPr>
      </w:pPr>
      <w:bookmarkStart w:id="6" w:name="_Toc15396598"/>
      <w:bookmarkStart w:id="7" w:name="_Toc15306268"/>
      <w:bookmarkStart w:id="8" w:name="_Toc15378442"/>
      <w:bookmarkStart w:id="9" w:name="_Toc15377194"/>
      <w:bookmarkStart w:id="10" w:name="_Toc15396476"/>
      <w:bookmarkStart w:id="11" w:name="_Toc15377426"/>
      <w:r>
        <w:rPr>
          <w:rFonts w:asciiTheme="minorEastAsia" w:hAnsiTheme="minorEastAsia" w:eastAsiaTheme="minorEastAsia"/>
          <w:b/>
          <w:sz w:val="72"/>
          <w:szCs w:val="72"/>
        </w:rPr>
        <w:t>阿坝州红原县公务服务中心</w:t>
      </w:r>
      <w:r>
        <w:rPr>
          <w:rFonts w:hint="eastAsia" w:asciiTheme="minorEastAsia" w:hAnsiTheme="minorEastAsia" w:eastAsiaTheme="minorEastAsia"/>
          <w:b/>
          <w:sz w:val="72"/>
          <w:szCs w:val="72"/>
        </w:rPr>
        <w:t>部门</w:t>
      </w:r>
      <w:r>
        <w:rPr>
          <w:b/>
          <w:sz w:val="72"/>
          <w:u w:color="auto"/>
        </w:rPr>
        <w:t>决算</w:t>
      </w:r>
      <w:bookmarkEnd w:id="6"/>
      <w:bookmarkEnd w:id="7"/>
      <w:bookmarkEnd w:id="8"/>
      <w:bookmarkEnd w:id="9"/>
      <w:bookmarkEnd w:id="10"/>
      <w:bookmarkEnd w:id="11"/>
    </w:p>
    <w:p w14:paraId="49677FA1">
      <w:pPr>
        <w:pStyle w:val="6"/>
      </w:pPr>
    </w:p>
    <w:p w14:paraId="35FF9302">
      <w:pPr>
        <w:pStyle w:val="6"/>
      </w:pPr>
    </w:p>
    <w:p w14:paraId="42650BCA">
      <w:pPr>
        <w:pStyle w:val="6"/>
      </w:pPr>
    </w:p>
    <w:p w14:paraId="3E69331C">
      <w:pPr>
        <w:pStyle w:val="6"/>
      </w:pPr>
    </w:p>
    <w:p w14:paraId="7084CEF0">
      <w:pPr>
        <w:pStyle w:val="6"/>
      </w:pPr>
    </w:p>
    <w:p w14:paraId="2D753217">
      <w:pPr>
        <w:pStyle w:val="6"/>
      </w:pPr>
    </w:p>
    <w:p w14:paraId="288AC5C7">
      <w:pPr>
        <w:pStyle w:val="6"/>
      </w:pPr>
    </w:p>
    <w:p w14:paraId="4B61FB1C">
      <w:pPr>
        <w:pStyle w:val="6"/>
      </w:pPr>
    </w:p>
    <w:p w14:paraId="71FCB2C0">
      <w:pPr>
        <w:pStyle w:val="6"/>
      </w:pPr>
    </w:p>
    <w:p w14:paraId="68346A2B">
      <w:pPr>
        <w:pStyle w:val="6"/>
        <w:tabs>
          <w:tab w:val="left" w:pos="3600"/>
        </w:tabs>
      </w:pPr>
      <w:r>
        <w:tab/>
      </w:r>
    </w:p>
    <w:p w14:paraId="4D97C736">
      <w:pPr>
        <w:pStyle w:val="6"/>
      </w:pPr>
    </w:p>
    <w:p w14:paraId="07551F3F">
      <w:pPr>
        <w:pStyle w:val="6"/>
      </w:pPr>
    </w:p>
    <w:p w14:paraId="60F571F1">
      <w:pPr>
        <w:pStyle w:val="6"/>
      </w:pPr>
    </w:p>
    <w:p w14:paraId="2C6751BC">
      <w:pPr>
        <w:pStyle w:val="6"/>
      </w:pPr>
    </w:p>
    <w:p w14:paraId="26C95982">
      <w:pPr>
        <w:pStyle w:val="6"/>
      </w:pPr>
    </w:p>
    <w:p w14:paraId="35A06BD1">
      <w:pPr>
        <w:pStyle w:val="6"/>
      </w:pPr>
    </w:p>
    <w:p w14:paraId="7FBFC535">
      <w:pPr>
        <w:pStyle w:val="6"/>
      </w:pPr>
    </w:p>
    <w:p w14:paraId="1FEBD0D8">
      <w:pPr>
        <w:pStyle w:val="6"/>
      </w:pPr>
    </w:p>
    <w:p w14:paraId="3B88D70E">
      <w:pPr>
        <w:pStyle w:val="6"/>
      </w:pPr>
    </w:p>
    <w:p w14:paraId="2CDB68D5">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14:paraId="5110770A">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w:t>
      </w:r>
      <w:r>
        <w:rPr>
          <w:rFonts w:ascii="宋体" w:hAnsi="宋体" w:cs="宋体"/>
          <w:sz w:val="32"/>
          <w:u w:color="auto"/>
        </w:rPr>
        <w:t>主要负责人审签情况：已审签，同意对外公开</w:t>
      </w:r>
    </w:p>
    <w:p w14:paraId="5DB9B66E">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bookmarkStart w:id="12" w:name="_Toc15377196"/>
    </w:p>
    <w:p w14:paraId="41125B1D">
      <w:pPr>
        <w:pStyle w:val="18"/>
        <w:tabs>
          <w:tab w:val="right" w:leader="dot" w:pos="8306"/>
          <w:tab w:val="clear" w:pos="8296"/>
        </w:tabs>
      </w:pPr>
      <w:r>
        <w:rPr>
          <w:smallCaps/>
          <w:sz w:val="20"/>
          <w:szCs w:val="20"/>
        </w:rPr>
        <w:fldChar w:fldCharType="begin"/>
      </w:r>
      <w:r>
        <w:rPr>
          <w:smallCaps/>
          <w:sz w:val="20"/>
          <w:szCs w:val="20"/>
        </w:rPr>
        <w:instrText xml:space="preserve"> TOC \o "1-2" \h \z \u </w:instrText>
      </w:r>
      <w:r>
        <w:rPr>
          <w:smallCaps/>
          <w:sz w:val="20"/>
          <w:szCs w:val="20"/>
        </w:rPr>
        <w:fldChar w:fldCharType="separate"/>
      </w:r>
      <w:r>
        <w:rPr>
          <w:smallCaps/>
          <w:szCs w:val="20"/>
        </w:rPr>
        <w:fldChar w:fldCharType="begin"/>
      </w:r>
      <w:r>
        <w:rPr>
          <w:smallCaps/>
          <w:szCs w:val="20"/>
        </w:rPr>
        <w:instrText xml:space="preserve"> HYPERLINK \l _Toc9016 </w:instrText>
      </w:r>
      <w:r>
        <w:rPr>
          <w:smallCaps/>
          <w:szCs w:val="20"/>
        </w:rPr>
        <w:fldChar w:fldCharType="separate"/>
      </w:r>
      <w:r>
        <w:rPr>
          <w:rFonts w:hint="eastAsia" w:ascii="黑体" w:hAnsi="黑体" w:eastAsia="黑体" w:cs="黑体"/>
        </w:rPr>
        <w:t xml:space="preserve">第一部分 </w:t>
      </w:r>
      <w:r>
        <w:rPr>
          <w:rFonts w:hint="eastAsia" w:ascii="黑体" w:hAnsi="黑体" w:eastAsia="黑体" w:cs="黑体"/>
          <w:bCs w:val="0"/>
        </w:rPr>
        <w:t>部门</w:t>
      </w:r>
      <w:r>
        <w:rPr>
          <w:rFonts w:ascii="黑体" w:hAnsi="黑体" w:eastAsia="黑体" w:cs="黑体"/>
          <w:u w:color="auto"/>
        </w:rPr>
        <w:t>概况</w:t>
      </w:r>
      <w:r>
        <w:tab/>
      </w:r>
      <w:r>
        <w:fldChar w:fldCharType="begin"/>
      </w:r>
      <w:r>
        <w:instrText xml:space="preserve"> PAGEREF _Toc9016 \h </w:instrText>
      </w:r>
      <w:r>
        <w:fldChar w:fldCharType="separate"/>
      </w:r>
      <w:r>
        <w:t>3</w:t>
      </w:r>
      <w:r>
        <w:fldChar w:fldCharType="end"/>
      </w:r>
      <w:r>
        <w:rPr>
          <w:smallCaps/>
          <w:szCs w:val="20"/>
        </w:rPr>
        <w:fldChar w:fldCharType="end"/>
      </w:r>
    </w:p>
    <w:p w14:paraId="7FA075D5">
      <w:pPr>
        <w:pStyle w:val="20"/>
        <w:tabs>
          <w:tab w:val="right" w:leader="dot" w:pos="8306"/>
          <w:tab w:val="clear" w:pos="8296"/>
        </w:tabs>
      </w:pPr>
      <w:r>
        <w:rPr>
          <w:smallCaps/>
          <w:szCs w:val="20"/>
        </w:rPr>
        <w:fldChar w:fldCharType="begin"/>
      </w:r>
      <w:r>
        <w:rPr>
          <w:smallCaps/>
          <w:szCs w:val="20"/>
        </w:rPr>
        <w:instrText xml:space="preserve"> HYPERLINK \l _Toc28564 </w:instrText>
      </w:r>
      <w:r>
        <w:rPr>
          <w:smallCaps/>
          <w:szCs w:val="20"/>
        </w:rPr>
        <w:fldChar w:fldCharType="separate"/>
      </w:r>
      <w:r>
        <w:rPr>
          <w:rFonts w:hint="eastAsia" w:ascii="黑体" w:eastAsia="黑体" w:cs="Times New Roman"/>
          <w:bCs w:val="0"/>
        </w:rPr>
        <w:t>一、基本职能及主要工作</w:t>
      </w:r>
      <w:r>
        <w:tab/>
      </w:r>
      <w:r>
        <w:fldChar w:fldCharType="begin"/>
      </w:r>
      <w:r>
        <w:instrText xml:space="preserve"> PAGEREF _Toc28564 \h </w:instrText>
      </w:r>
      <w:r>
        <w:fldChar w:fldCharType="separate"/>
      </w:r>
      <w:r>
        <w:t>3</w:t>
      </w:r>
      <w:r>
        <w:fldChar w:fldCharType="end"/>
      </w:r>
      <w:r>
        <w:rPr>
          <w:smallCaps/>
          <w:szCs w:val="20"/>
        </w:rPr>
        <w:fldChar w:fldCharType="end"/>
      </w:r>
    </w:p>
    <w:p w14:paraId="6E1898AC">
      <w:pPr>
        <w:pStyle w:val="20"/>
        <w:tabs>
          <w:tab w:val="right" w:leader="dot" w:pos="8306"/>
          <w:tab w:val="clear" w:pos="8296"/>
        </w:tabs>
      </w:pPr>
      <w:r>
        <w:rPr>
          <w:smallCaps/>
          <w:szCs w:val="20"/>
        </w:rPr>
        <w:fldChar w:fldCharType="begin"/>
      </w:r>
      <w:r>
        <w:rPr>
          <w:smallCaps/>
          <w:szCs w:val="20"/>
        </w:rPr>
        <w:instrText xml:space="preserve"> HYPERLINK \l _Toc22056 </w:instrText>
      </w:r>
      <w:r>
        <w:rPr>
          <w:smallCaps/>
          <w:szCs w:val="20"/>
        </w:rPr>
        <w:fldChar w:fldCharType="separate"/>
      </w:r>
      <w:r>
        <w:rPr>
          <w:rFonts w:hint="eastAsia" w:ascii="黑体" w:eastAsia="黑体" w:cs="Times New Roman"/>
          <w:bCs w:val="0"/>
        </w:rPr>
        <w:t>二、机构设置</w:t>
      </w:r>
      <w:r>
        <w:tab/>
      </w:r>
      <w:r>
        <w:fldChar w:fldCharType="begin"/>
      </w:r>
      <w:r>
        <w:instrText xml:space="preserve"> PAGEREF _Toc22056 \h </w:instrText>
      </w:r>
      <w:r>
        <w:fldChar w:fldCharType="separate"/>
      </w:r>
      <w:r>
        <w:t>3</w:t>
      </w:r>
      <w:r>
        <w:fldChar w:fldCharType="end"/>
      </w:r>
      <w:r>
        <w:rPr>
          <w:smallCaps/>
          <w:szCs w:val="20"/>
        </w:rPr>
        <w:fldChar w:fldCharType="end"/>
      </w:r>
    </w:p>
    <w:p w14:paraId="03BF91B3">
      <w:pPr>
        <w:pStyle w:val="18"/>
        <w:tabs>
          <w:tab w:val="right" w:leader="dot" w:pos="8306"/>
          <w:tab w:val="clear" w:pos="8296"/>
        </w:tabs>
      </w:pPr>
      <w:r>
        <w:rPr>
          <w:smallCaps/>
          <w:szCs w:val="20"/>
        </w:rPr>
        <w:fldChar w:fldCharType="begin"/>
      </w:r>
      <w:r>
        <w:rPr>
          <w:smallCaps/>
          <w:szCs w:val="20"/>
        </w:rPr>
        <w:instrText xml:space="preserve"> HYPERLINK \l _Toc9058 </w:instrText>
      </w:r>
      <w:r>
        <w:rPr>
          <w:smallCaps/>
          <w:szCs w:val="20"/>
        </w:rPr>
        <w:fldChar w:fldCharType="separate"/>
      </w:r>
      <w:r>
        <w:rPr>
          <w:rFonts w:hint="eastAsia" w:ascii="黑体" w:hAnsi="黑体" w:eastAsia="黑体" w:cs="黑体"/>
        </w:rPr>
        <w:t>第二部分</w:t>
      </w:r>
      <w:r>
        <w:rPr>
          <w:rFonts w:ascii="黑体" w:hAnsi="黑体" w:eastAsia="黑体" w:cs="黑体"/>
        </w:rPr>
        <w:t xml:space="preserve"> </w:t>
      </w:r>
      <w:r>
        <w:rPr>
          <w:rFonts w:hint="eastAsia" w:ascii="黑体" w:hAnsi="黑体" w:eastAsia="黑体" w:cs="黑体"/>
        </w:rPr>
        <w:t>202</w:t>
      </w:r>
      <w:r>
        <w:rPr>
          <w:rFonts w:hint="eastAsia" w:ascii="黑体" w:hAnsi="黑体" w:eastAsia="黑体" w:cs="黑体"/>
          <w:lang w:val="en-US" w:eastAsia="zh-CN"/>
        </w:rPr>
        <w:t>3</w:t>
      </w:r>
      <w:r>
        <w:rPr>
          <w:rFonts w:ascii="黑体" w:hAnsi="黑体" w:eastAsia="黑体" w:cs="黑体"/>
          <w:u w:color="auto"/>
        </w:rPr>
        <w:t>年度</w:t>
      </w:r>
      <w:r>
        <w:rPr>
          <w:rFonts w:hint="eastAsia" w:ascii="黑体" w:hAnsi="黑体" w:eastAsia="黑体" w:cs="黑体"/>
          <w:lang w:val="en-US" w:eastAsia="zh-CN"/>
        </w:rPr>
        <w:t>部门</w:t>
      </w:r>
      <w:r>
        <w:rPr>
          <w:rFonts w:hint="eastAsia" w:ascii="黑体" w:hAnsi="黑体" w:eastAsia="黑体" w:cs="黑体"/>
        </w:rPr>
        <w:t>决算情况说明</w:t>
      </w:r>
      <w:r>
        <w:tab/>
      </w:r>
      <w:r>
        <w:fldChar w:fldCharType="begin"/>
      </w:r>
      <w:r>
        <w:instrText xml:space="preserve"> PAGEREF _Toc9058 \h </w:instrText>
      </w:r>
      <w:r>
        <w:fldChar w:fldCharType="separate"/>
      </w:r>
      <w:r>
        <w:t>4</w:t>
      </w:r>
      <w:r>
        <w:fldChar w:fldCharType="end"/>
      </w:r>
      <w:r>
        <w:rPr>
          <w:smallCaps/>
          <w:szCs w:val="20"/>
        </w:rPr>
        <w:fldChar w:fldCharType="end"/>
      </w:r>
    </w:p>
    <w:p w14:paraId="032A0273">
      <w:pPr>
        <w:pStyle w:val="20"/>
        <w:tabs>
          <w:tab w:val="right" w:leader="dot" w:pos="8306"/>
          <w:tab w:val="clear" w:pos="8296"/>
        </w:tabs>
      </w:pPr>
      <w:r>
        <w:rPr>
          <w:smallCaps/>
          <w:szCs w:val="20"/>
        </w:rPr>
        <w:fldChar w:fldCharType="begin"/>
      </w:r>
      <w:r>
        <w:rPr>
          <w:smallCaps/>
          <w:szCs w:val="20"/>
        </w:rPr>
        <w:instrText xml:space="preserve"> HYPERLINK \l _Toc19710 </w:instrText>
      </w:r>
      <w:r>
        <w:rPr>
          <w:smallCaps/>
          <w:szCs w:val="20"/>
        </w:rPr>
        <w:fldChar w:fldCharType="separate"/>
      </w:r>
      <w:r>
        <w:rPr>
          <w:rFonts w:hint="eastAsia" w:ascii="黑体" w:eastAsia="黑体" w:cs="Times New Roman"/>
          <w:bCs w:val="0"/>
        </w:rPr>
        <w:t>一、收入支出决算总体情况说明</w:t>
      </w:r>
      <w:r>
        <w:tab/>
      </w:r>
      <w:r>
        <w:fldChar w:fldCharType="begin"/>
      </w:r>
      <w:r>
        <w:instrText xml:space="preserve"> PAGEREF _Toc19710 \h </w:instrText>
      </w:r>
      <w:r>
        <w:fldChar w:fldCharType="separate"/>
      </w:r>
      <w:r>
        <w:t>4</w:t>
      </w:r>
      <w:r>
        <w:fldChar w:fldCharType="end"/>
      </w:r>
      <w:r>
        <w:rPr>
          <w:smallCaps/>
          <w:szCs w:val="20"/>
        </w:rPr>
        <w:fldChar w:fldCharType="end"/>
      </w:r>
    </w:p>
    <w:p w14:paraId="65F4CAFB">
      <w:pPr>
        <w:pStyle w:val="20"/>
        <w:tabs>
          <w:tab w:val="right" w:leader="dot" w:pos="8306"/>
          <w:tab w:val="clear" w:pos="8296"/>
        </w:tabs>
      </w:pPr>
      <w:r>
        <w:rPr>
          <w:smallCaps/>
          <w:szCs w:val="20"/>
        </w:rPr>
        <w:fldChar w:fldCharType="begin"/>
      </w:r>
      <w:r>
        <w:rPr>
          <w:smallCaps/>
          <w:szCs w:val="20"/>
        </w:rPr>
        <w:instrText xml:space="preserve"> HYPERLINK \l _Toc8125 </w:instrText>
      </w:r>
      <w:r>
        <w:rPr>
          <w:smallCaps/>
          <w:szCs w:val="20"/>
        </w:rPr>
        <w:fldChar w:fldCharType="separate"/>
      </w:r>
      <w:r>
        <w:rPr>
          <w:rFonts w:hint="eastAsia" w:ascii="黑体" w:eastAsia="黑体" w:cs="Times New Roman"/>
          <w:bCs w:val="0"/>
        </w:rPr>
        <w:t>二、收入决算情况说明</w:t>
      </w:r>
      <w:r>
        <w:tab/>
      </w:r>
      <w:r>
        <w:fldChar w:fldCharType="begin"/>
      </w:r>
      <w:r>
        <w:instrText xml:space="preserve"> PAGEREF _Toc8125 \h </w:instrText>
      </w:r>
      <w:r>
        <w:fldChar w:fldCharType="separate"/>
      </w:r>
      <w:r>
        <w:t>5</w:t>
      </w:r>
      <w:r>
        <w:fldChar w:fldCharType="end"/>
      </w:r>
      <w:r>
        <w:rPr>
          <w:smallCaps/>
          <w:szCs w:val="20"/>
        </w:rPr>
        <w:fldChar w:fldCharType="end"/>
      </w:r>
    </w:p>
    <w:p w14:paraId="184F286E">
      <w:pPr>
        <w:pStyle w:val="20"/>
        <w:tabs>
          <w:tab w:val="right" w:leader="dot" w:pos="8306"/>
          <w:tab w:val="clear" w:pos="8296"/>
        </w:tabs>
      </w:pPr>
      <w:r>
        <w:rPr>
          <w:smallCaps/>
          <w:szCs w:val="20"/>
        </w:rPr>
        <w:fldChar w:fldCharType="begin"/>
      </w:r>
      <w:r>
        <w:rPr>
          <w:smallCaps/>
          <w:szCs w:val="20"/>
        </w:rPr>
        <w:instrText xml:space="preserve"> HYPERLINK \l _Toc28283 </w:instrText>
      </w:r>
      <w:r>
        <w:rPr>
          <w:smallCaps/>
          <w:szCs w:val="20"/>
        </w:rPr>
        <w:fldChar w:fldCharType="separate"/>
      </w:r>
      <w:r>
        <w:rPr>
          <w:rFonts w:hint="eastAsia" w:ascii="黑体" w:eastAsia="黑体" w:cs="Times New Roman"/>
          <w:bCs w:val="0"/>
        </w:rPr>
        <w:t>三、支出决算情况说明</w:t>
      </w:r>
      <w:r>
        <w:tab/>
      </w:r>
      <w:r>
        <w:fldChar w:fldCharType="begin"/>
      </w:r>
      <w:r>
        <w:instrText xml:space="preserve"> PAGEREF _Toc28283 \h </w:instrText>
      </w:r>
      <w:r>
        <w:fldChar w:fldCharType="separate"/>
      </w:r>
      <w:r>
        <w:t>6</w:t>
      </w:r>
      <w:r>
        <w:fldChar w:fldCharType="end"/>
      </w:r>
      <w:r>
        <w:rPr>
          <w:smallCaps/>
          <w:szCs w:val="20"/>
        </w:rPr>
        <w:fldChar w:fldCharType="end"/>
      </w:r>
    </w:p>
    <w:p w14:paraId="0B6BED35">
      <w:pPr>
        <w:pStyle w:val="20"/>
        <w:tabs>
          <w:tab w:val="right" w:leader="dot" w:pos="8306"/>
          <w:tab w:val="clear" w:pos="8296"/>
        </w:tabs>
      </w:pPr>
      <w:r>
        <w:rPr>
          <w:smallCaps/>
          <w:szCs w:val="20"/>
        </w:rPr>
        <w:fldChar w:fldCharType="begin"/>
      </w:r>
      <w:r>
        <w:rPr>
          <w:smallCaps/>
          <w:szCs w:val="20"/>
        </w:rPr>
        <w:instrText xml:space="preserve"> HYPERLINK \l _Toc19521 </w:instrText>
      </w:r>
      <w:r>
        <w:rPr>
          <w:smallCaps/>
          <w:szCs w:val="20"/>
        </w:rPr>
        <w:fldChar w:fldCharType="separate"/>
      </w:r>
      <w:r>
        <w:rPr>
          <w:rFonts w:hint="eastAsia" w:ascii="黑体" w:eastAsia="黑体" w:cs="Times New Roman"/>
          <w:bCs w:val="0"/>
        </w:rPr>
        <w:t>四、财政拨款收入支出决算总体情况说明</w:t>
      </w:r>
      <w:r>
        <w:tab/>
      </w:r>
      <w:r>
        <w:fldChar w:fldCharType="begin"/>
      </w:r>
      <w:r>
        <w:instrText xml:space="preserve"> PAGEREF _Toc19521 \h </w:instrText>
      </w:r>
      <w:r>
        <w:fldChar w:fldCharType="separate"/>
      </w:r>
      <w:r>
        <w:t>6</w:t>
      </w:r>
      <w:r>
        <w:fldChar w:fldCharType="end"/>
      </w:r>
      <w:r>
        <w:rPr>
          <w:smallCaps/>
          <w:szCs w:val="20"/>
        </w:rPr>
        <w:fldChar w:fldCharType="end"/>
      </w:r>
    </w:p>
    <w:p w14:paraId="048F9966">
      <w:pPr>
        <w:pStyle w:val="20"/>
        <w:tabs>
          <w:tab w:val="right" w:leader="dot" w:pos="8306"/>
          <w:tab w:val="clear" w:pos="8296"/>
        </w:tabs>
      </w:pPr>
      <w:r>
        <w:rPr>
          <w:smallCaps/>
          <w:szCs w:val="20"/>
        </w:rPr>
        <w:fldChar w:fldCharType="begin"/>
      </w:r>
      <w:r>
        <w:rPr>
          <w:smallCaps/>
          <w:szCs w:val="20"/>
        </w:rPr>
        <w:instrText xml:space="preserve"> HYPERLINK \l _Toc14368 </w:instrText>
      </w:r>
      <w:r>
        <w:rPr>
          <w:smallCaps/>
          <w:szCs w:val="20"/>
        </w:rPr>
        <w:fldChar w:fldCharType="separate"/>
      </w:r>
      <w:r>
        <w:rPr>
          <w:rFonts w:hint="eastAsia" w:ascii="黑体" w:eastAsia="黑体" w:cs="Times New Roman"/>
          <w:bCs w:val="0"/>
        </w:rPr>
        <w:t>五、一般公共预算财政拨款支出决算情况说明</w:t>
      </w:r>
      <w:r>
        <w:tab/>
      </w:r>
      <w:r>
        <w:fldChar w:fldCharType="begin"/>
      </w:r>
      <w:r>
        <w:instrText xml:space="preserve"> PAGEREF _Toc14368 \h </w:instrText>
      </w:r>
      <w:r>
        <w:fldChar w:fldCharType="separate"/>
      </w:r>
      <w:r>
        <w:t>7</w:t>
      </w:r>
      <w:r>
        <w:fldChar w:fldCharType="end"/>
      </w:r>
      <w:r>
        <w:rPr>
          <w:smallCaps/>
          <w:szCs w:val="20"/>
        </w:rPr>
        <w:fldChar w:fldCharType="end"/>
      </w:r>
    </w:p>
    <w:p w14:paraId="248E3403">
      <w:pPr>
        <w:pStyle w:val="20"/>
        <w:tabs>
          <w:tab w:val="right" w:leader="dot" w:pos="8306"/>
          <w:tab w:val="clear" w:pos="8296"/>
        </w:tabs>
      </w:pPr>
      <w:r>
        <w:rPr>
          <w:smallCaps/>
          <w:szCs w:val="20"/>
        </w:rPr>
        <w:fldChar w:fldCharType="begin"/>
      </w:r>
      <w:r>
        <w:rPr>
          <w:smallCaps/>
          <w:szCs w:val="20"/>
        </w:rPr>
        <w:instrText xml:space="preserve"> HYPERLINK \l _Toc31578 </w:instrText>
      </w:r>
      <w:r>
        <w:rPr>
          <w:smallCaps/>
          <w:szCs w:val="20"/>
        </w:rPr>
        <w:fldChar w:fldCharType="separate"/>
      </w:r>
      <w:r>
        <w:rPr>
          <w:rFonts w:hint="eastAsia" w:ascii="黑体" w:eastAsia="黑体" w:cs="Times New Roman"/>
          <w:bCs w:val="0"/>
        </w:rPr>
        <w:t>六、一般公共预算财政拨款基本支出决算情况说明</w:t>
      </w:r>
      <w:r>
        <w:tab/>
      </w:r>
      <w:r>
        <w:fldChar w:fldCharType="begin"/>
      </w:r>
      <w:r>
        <w:instrText xml:space="preserve"> PAGEREF _Toc31578 \h </w:instrText>
      </w:r>
      <w:r>
        <w:fldChar w:fldCharType="separate"/>
      </w:r>
      <w:r>
        <w:t>9</w:t>
      </w:r>
      <w:r>
        <w:fldChar w:fldCharType="end"/>
      </w:r>
      <w:r>
        <w:rPr>
          <w:smallCaps/>
          <w:szCs w:val="20"/>
        </w:rPr>
        <w:fldChar w:fldCharType="end"/>
      </w:r>
    </w:p>
    <w:p w14:paraId="199891C8">
      <w:pPr>
        <w:pStyle w:val="20"/>
        <w:tabs>
          <w:tab w:val="right" w:leader="dot" w:pos="8306"/>
          <w:tab w:val="clear" w:pos="8296"/>
        </w:tabs>
      </w:pPr>
      <w:r>
        <w:rPr>
          <w:smallCaps/>
          <w:szCs w:val="20"/>
        </w:rPr>
        <w:fldChar w:fldCharType="begin"/>
      </w:r>
      <w:r>
        <w:rPr>
          <w:smallCaps/>
          <w:szCs w:val="20"/>
        </w:rPr>
        <w:instrText xml:space="preserve"> HYPERLINK \l _Toc6614 </w:instrText>
      </w:r>
      <w:r>
        <w:rPr>
          <w:smallCaps/>
          <w:szCs w:val="20"/>
        </w:rPr>
        <w:fldChar w:fldCharType="separate"/>
      </w:r>
      <w:r>
        <w:rPr>
          <w:rFonts w:hint="eastAsia" w:ascii="黑体" w:eastAsia="黑体" w:cs="Times New Roman"/>
          <w:bCs w:val="0"/>
        </w:rPr>
        <w:t>七、“三公”经费财政拨款支出决算情况说明</w:t>
      </w:r>
      <w:r>
        <w:tab/>
      </w:r>
      <w:r>
        <w:fldChar w:fldCharType="begin"/>
      </w:r>
      <w:r>
        <w:instrText xml:space="preserve"> PAGEREF _Toc6614 \h </w:instrText>
      </w:r>
      <w:r>
        <w:fldChar w:fldCharType="separate"/>
      </w:r>
      <w:r>
        <w:t>9</w:t>
      </w:r>
      <w:r>
        <w:fldChar w:fldCharType="end"/>
      </w:r>
      <w:r>
        <w:rPr>
          <w:smallCaps/>
          <w:szCs w:val="20"/>
        </w:rPr>
        <w:fldChar w:fldCharType="end"/>
      </w:r>
    </w:p>
    <w:p w14:paraId="533C3873">
      <w:pPr>
        <w:pStyle w:val="20"/>
        <w:tabs>
          <w:tab w:val="right" w:leader="dot" w:pos="8306"/>
          <w:tab w:val="clear" w:pos="8296"/>
        </w:tabs>
      </w:pPr>
      <w:r>
        <w:rPr>
          <w:smallCaps/>
          <w:szCs w:val="20"/>
        </w:rPr>
        <w:fldChar w:fldCharType="begin"/>
      </w:r>
      <w:r>
        <w:rPr>
          <w:smallCaps/>
          <w:szCs w:val="20"/>
        </w:rPr>
        <w:instrText xml:space="preserve"> HYPERLINK \l _Toc20439 </w:instrText>
      </w:r>
      <w:r>
        <w:rPr>
          <w:smallCaps/>
          <w:szCs w:val="20"/>
        </w:rPr>
        <w:fldChar w:fldCharType="separate"/>
      </w:r>
      <w:r>
        <w:rPr>
          <w:rFonts w:hint="eastAsia" w:ascii="黑体" w:eastAsia="黑体" w:cs="Times New Roman"/>
          <w:bCs w:val="0"/>
        </w:rPr>
        <w:t>八、政府性基金预算支出决算情况说明</w:t>
      </w:r>
      <w:r>
        <w:tab/>
      </w:r>
      <w:r>
        <w:fldChar w:fldCharType="begin"/>
      </w:r>
      <w:r>
        <w:instrText xml:space="preserve"> PAGEREF _Toc20439 \h </w:instrText>
      </w:r>
      <w:r>
        <w:fldChar w:fldCharType="separate"/>
      </w:r>
      <w:r>
        <w:t>11</w:t>
      </w:r>
      <w:r>
        <w:fldChar w:fldCharType="end"/>
      </w:r>
      <w:r>
        <w:rPr>
          <w:smallCaps/>
          <w:szCs w:val="20"/>
        </w:rPr>
        <w:fldChar w:fldCharType="end"/>
      </w:r>
    </w:p>
    <w:p w14:paraId="70DDD72E">
      <w:pPr>
        <w:pStyle w:val="20"/>
        <w:tabs>
          <w:tab w:val="right" w:leader="dot" w:pos="8306"/>
          <w:tab w:val="clear" w:pos="8296"/>
        </w:tabs>
      </w:pPr>
      <w:r>
        <w:rPr>
          <w:smallCaps/>
          <w:szCs w:val="20"/>
        </w:rPr>
        <w:fldChar w:fldCharType="begin"/>
      </w:r>
      <w:r>
        <w:rPr>
          <w:smallCaps/>
          <w:szCs w:val="20"/>
        </w:rPr>
        <w:instrText xml:space="preserve"> HYPERLINK \l _Toc23467 </w:instrText>
      </w:r>
      <w:r>
        <w:rPr>
          <w:smallCaps/>
          <w:szCs w:val="20"/>
        </w:rPr>
        <w:fldChar w:fldCharType="separate"/>
      </w:r>
      <w:r>
        <w:rPr>
          <w:rFonts w:hint="eastAsia" w:ascii="黑体" w:eastAsia="黑体" w:cs="Times New Roman"/>
          <w:bCs w:val="0"/>
        </w:rPr>
        <w:t>九、国有资本经营预算支出决算情况说明</w:t>
      </w:r>
      <w:r>
        <w:tab/>
      </w:r>
      <w:r>
        <w:fldChar w:fldCharType="begin"/>
      </w:r>
      <w:r>
        <w:instrText xml:space="preserve"> PAGEREF _Toc23467 \h </w:instrText>
      </w:r>
      <w:r>
        <w:fldChar w:fldCharType="separate"/>
      </w:r>
      <w:r>
        <w:t>12</w:t>
      </w:r>
      <w:r>
        <w:fldChar w:fldCharType="end"/>
      </w:r>
      <w:r>
        <w:rPr>
          <w:smallCaps/>
          <w:szCs w:val="20"/>
        </w:rPr>
        <w:fldChar w:fldCharType="end"/>
      </w:r>
    </w:p>
    <w:p w14:paraId="1BBEC582">
      <w:pPr>
        <w:pStyle w:val="20"/>
        <w:tabs>
          <w:tab w:val="right" w:leader="dot" w:pos="8306"/>
          <w:tab w:val="clear" w:pos="8296"/>
        </w:tabs>
      </w:pPr>
      <w:r>
        <w:rPr>
          <w:smallCaps/>
          <w:szCs w:val="20"/>
        </w:rPr>
        <w:fldChar w:fldCharType="begin"/>
      </w:r>
      <w:r>
        <w:rPr>
          <w:smallCaps/>
          <w:szCs w:val="20"/>
        </w:rPr>
        <w:instrText xml:space="preserve"> HYPERLINK \l _Toc18455 </w:instrText>
      </w:r>
      <w:r>
        <w:rPr>
          <w:smallCaps/>
          <w:szCs w:val="20"/>
        </w:rPr>
        <w:fldChar w:fldCharType="separate"/>
      </w:r>
      <w:r>
        <w:rPr>
          <w:rFonts w:hint="eastAsia" w:ascii="黑体" w:eastAsia="黑体" w:cs="Times New Roman"/>
          <w:bCs w:val="0"/>
        </w:rPr>
        <w:t>十、其他重要事项的情况说明</w:t>
      </w:r>
      <w:r>
        <w:tab/>
      </w:r>
      <w:r>
        <w:fldChar w:fldCharType="begin"/>
      </w:r>
      <w:r>
        <w:instrText xml:space="preserve"> PAGEREF _Toc18455 \h </w:instrText>
      </w:r>
      <w:r>
        <w:fldChar w:fldCharType="separate"/>
      </w:r>
      <w:r>
        <w:t>12</w:t>
      </w:r>
      <w:r>
        <w:fldChar w:fldCharType="end"/>
      </w:r>
      <w:r>
        <w:rPr>
          <w:smallCaps/>
          <w:szCs w:val="20"/>
        </w:rPr>
        <w:fldChar w:fldCharType="end"/>
      </w:r>
    </w:p>
    <w:p w14:paraId="5A4D557E">
      <w:pPr>
        <w:pStyle w:val="18"/>
        <w:tabs>
          <w:tab w:val="right" w:leader="dot" w:pos="8306"/>
          <w:tab w:val="clear" w:pos="8296"/>
        </w:tabs>
      </w:pPr>
      <w:r>
        <w:rPr>
          <w:smallCaps/>
          <w:szCs w:val="20"/>
        </w:rPr>
        <w:fldChar w:fldCharType="begin"/>
      </w:r>
      <w:r>
        <w:rPr>
          <w:smallCaps/>
          <w:szCs w:val="20"/>
        </w:rPr>
        <w:instrText xml:space="preserve"> HYPERLINK \l _Toc18122 </w:instrText>
      </w:r>
      <w:r>
        <w:rPr>
          <w:smallCaps/>
          <w:szCs w:val="20"/>
        </w:rPr>
        <w:fldChar w:fldCharType="separate"/>
      </w:r>
      <w:r>
        <w:rPr>
          <w:rFonts w:hint="eastAsia" w:ascii="黑体" w:hAnsi="黑体" w:eastAsia="黑体" w:cs="黑体"/>
        </w:rPr>
        <w:t>第三部分 名词解释</w:t>
      </w:r>
      <w:r>
        <w:tab/>
      </w:r>
      <w:r>
        <w:fldChar w:fldCharType="begin"/>
      </w:r>
      <w:r>
        <w:instrText xml:space="preserve"> PAGEREF _Toc18122 \h </w:instrText>
      </w:r>
      <w:r>
        <w:fldChar w:fldCharType="separate"/>
      </w:r>
      <w:r>
        <w:t>13</w:t>
      </w:r>
      <w:r>
        <w:fldChar w:fldCharType="end"/>
      </w:r>
      <w:r>
        <w:rPr>
          <w:smallCaps/>
          <w:szCs w:val="20"/>
        </w:rPr>
        <w:fldChar w:fldCharType="end"/>
      </w:r>
    </w:p>
    <w:p w14:paraId="6D24F352">
      <w:pPr>
        <w:pStyle w:val="18"/>
        <w:tabs>
          <w:tab w:val="right" w:leader="dot" w:pos="8306"/>
          <w:tab w:val="clear" w:pos="8296"/>
        </w:tabs>
      </w:pPr>
      <w:r>
        <w:rPr>
          <w:smallCaps/>
          <w:szCs w:val="20"/>
        </w:rPr>
        <w:fldChar w:fldCharType="begin"/>
      </w:r>
      <w:r>
        <w:rPr>
          <w:smallCaps/>
          <w:szCs w:val="20"/>
        </w:rPr>
        <w:instrText xml:space="preserve"> HYPERLINK \l _Toc25539 </w:instrText>
      </w:r>
      <w:r>
        <w:rPr>
          <w:smallCaps/>
          <w:szCs w:val="20"/>
        </w:rPr>
        <w:fldChar w:fldCharType="separate"/>
      </w:r>
      <w:r>
        <w:rPr>
          <w:rFonts w:hint="eastAsia" w:ascii="黑体" w:hAnsi="黑体" w:eastAsia="黑体" w:cs="黑体"/>
        </w:rPr>
        <w:t>第四部分 附件</w:t>
      </w:r>
      <w:r>
        <w:tab/>
      </w:r>
      <w:r>
        <w:fldChar w:fldCharType="begin"/>
      </w:r>
      <w:r>
        <w:instrText xml:space="preserve"> PAGEREF _Toc25539 \h </w:instrText>
      </w:r>
      <w:r>
        <w:fldChar w:fldCharType="separate"/>
      </w:r>
      <w:r>
        <w:t>15</w:t>
      </w:r>
      <w:r>
        <w:fldChar w:fldCharType="end"/>
      </w:r>
      <w:r>
        <w:rPr>
          <w:smallCaps/>
          <w:szCs w:val="20"/>
        </w:rPr>
        <w:fldChar w:fldCharType="end"/>
      </w:r>
    </w:p>
    <w:p w14:paraId="31C36374">
      <w:pPr>
        <w:pStyle w:val="18"/>
        <w:tabs>
          <w:tab w:val="right" w:leader="dot" w:pos="8306"/>
          <w:tab w:val="clear" w:pos="8296"/>
        </w:tabs>
      </w:pPr>
      <w:r>
        <w:rPr>
          <w:smallCaps/>
          <w:szCs w:val="20"/>
        </w:rPr>
        <w:fldChar w:fldCharType="begin"/>
      </w:r>
      <w:r>
        <w:rPr>
          <w:smallCaps/>
          <w:szCs w:val="20"/>
        </w:rPr>
        <w:instrText xml:space="preserve"> HYPERLINK \l _Toc21200 </w:instrText>
      </w:r>
      <w:r>
        <w:rPr>
          <w:smallCaps/>
          <w:szCs w:val="20"/>
        </w:rPr>
        <w:fldChar w:fldCharType="separate"/>
      </w:r>
      <w:r>
        <w:rPr>
          <w:rFonts w:hint="eastAsia" w:ascii="黑体" w:hAnsi="黑体" w:eastAsia="黑体" w:cs="黑体"/>
        </w:rPr>
        <w:t>第五部分 附表</w:t>
      </w:r>
      <w:r>
        <w:tab/>
      </w:r>
      <w:r>
        <w:fldChar w:fldCharType="begin"/>
      </w:r>
      <w:r>
        <w:instrText xml:space="preserve"> PAGEREF _Toc21200 \h </w:instrText>
      </w:r>
      <w:r>
        <w:fldChar w:fldCharType="separate"/>
      </w:r>
      <w:r>
        <w:t>15</w:t>
      </w:r>
      <w:r>
        <w:fldChar w:fldCharType="end"/>
      </w:r>
      <w:r>
        <w:rPr>
          <w:smallCaps/>
          <w:szCs w:val="20"/>
        </w:rPr>
        <w:fldChar w:fldCharType="end"/>
      </w:r>
    </w:p>
    <w:p w14:paraId="633AC526">
      <w:pPr>
        <w:pStyle w:val="20"/>
        <w:tabs>
          <w:tab w:val="right" w:leader="dot" w:pos="8306"/>
          <w:tab w:val="clear" w:pos="8296"/>
        </w:tabs>
      </w:pPr>
      <w:r>
        <w:rPr>
          <w:smallCaps/>
          <w:szCs w:val="20"/>
        </w:rPr>
        <w:fldChar w:fldCharType="begin"/>
      </w:r>
      <w:r>
        <w:rPr>
          <w:smallCaps/>
          <w:szCs w:val="20"/>
        </w:rPr>
        <w:instrText xml:space="preserve"> HYPERLINK \l _Toc16431 </w:instrText>
      </w:r>
      <w:r>
        <w:rPr>
          <w:smallCaps/>
          <w:szCs w:val="20"/>
        </w:rPr>
        <w:fldChar w:fldCharType="separate"/>
      </w:r>
      <w:r>
        <w:rPr>
          <w:rFonts w:hint="eastAsia" w:ascii="黑体" w:eastAsia="黑体" w:cs="Times New Roman"/>
          <w:bCs w:val="0"/>
        </w:rPr>
        <w:t>一、收入支出决算总表</w:t>
      </w:r>
      <w:r>
        <w:tab/>
      </w:r>
      <w:r>
        <w:fldChar w:fldCharType="begin"/>
      </w:r>
      <w:r>
        <w:instrText xml:space="preserve"> PAGEREF _Toc16431 \h </w:instrText>
      </w:r>
      <w:r>
        <w:fldChar w:fldCharType="separate"/>
      </w:r>
      <w:r>
        <w:t>15</w:t>
      </w:r>
      <w:r>
        <w:fldChar w:fldCharType="end"/>
      </w:r>
      <w:r>
        <w:rPr>
          <w:smallCaps/>
          <w:szCs w:val="20"/>
        </w:rPr>
        <w:fldChar w:fldCharType="end"/>
      </w:r>
    </w:p>
    <w:p w14:paraId="6D3BAF4D">
      <w:pPr>
        <w:pStyle w:val="20"/>
        <w:tabs>
          <w:tab w:val="right" w:leader="dot" w:pos="8306"/>
          <w:tab w:val="clear" w:pos="8296"/>
        </w:tabs>
      </w:pPr>
      <w:r>
        <w:rPr>
          <w:smallCaps/>
          <w:szCs w:val="20"/>
        </w:rPr>
        <w:fldChar w:fldCharType="begin"/>
      </w:r>
      <w:r>
        <w:rPr>
          <w:smallCaps/>
          <w:szCs w:val="20"/>
        </w:rPr>
        <w:instrText xml:space="preserve"> HYPERLINK \l _Toc25389 </w:instrText>
      </w:r>
      <w:r>
        <w:rPr>
          <w:smallCaps/>
          <w:szCs w:val="20"/>
        </w:rPr>
        <w:fldChar w:fldCharType="separate"/>
      </w:r>
      <w:r>
        <w:rPr>
          <w:rFonts w:hint="eastAsia" w:ascii="黑体" w:eastAsia="黑体" w:cs="Times New Roman"/>
          <w:bCs w:val="0"/>
        </w:rPr>
        <w:t>二、收入决算表</w:t>
      </w:r>
      <w:r>
        <w:tab/>
      </w:r>
      <w:r>
        <w:fldChar w:fldCharType="begin"/>
      </w:r>
      <w:r>
        <w:instrText xml:space="preserve"> PAGEREF _Toc25389 \h </w:instrText>
      </w:r>
      <w:r>
        <w:fldChar w:fldCharType="separate"/>
      </w:r>
      <w:r>
        <w:t>15</w:t>
      </w:r>
      <w:r>
        <w:fldChar w:fldCharType="end"/>
      </w:r>
      <w:r>
        <w:rPr>
          <w:smallCaps/>
          <w:szCs w:val="20"/>
        </w:rPr>
        <w:fldChar w:fldCharType="end"/>
      </w:r>
    </w:p>
    <w:p w14:paraId="77F7C2BC">
      <w:pPr>
        <w:pStyle w:val="20"/>
        <w:tabs>
          <w:tab w:val="right" w:leader="dot" w:pos="8306"/>
          <w:tab w:val="clear" w:pos="8296"/>
        </w:tabs>
      </w:pPr>
      <w:r>
        <w:rPr>
          <w:smallCaps/>
          <w:szCs w:val="20"/>
        </w:rPr>
        <w:fldChar w:fldCharType="begin"/>
      </w:r>
      <w:r>
        <w:rPr>
          <w:smallCaps/>
          <w:szCs w:val="20"/>
        </w:rPr>
        <w:instrText xml:space="preserve"> HYPERLINK \l _Toc10450 </w:instrText>
      </w:r>
      <w:r>
        <w:rPr>
          <w:smallCaps/>
          <w:szCs w:val="20"/>
        </w:rPr>
        <w:fldChar w:fldCharType="separate"/>
      </w:r>
      <w:r>
        <w:rPr>
          <w:rFonts w:hint="eastAsia" w:ascii="黑体" w:eastAsia="黑体" w:cs="Times New Roman"/>
          <w:bCs w:val="0"/>
        </w:rPr>
        <w:t>三、支出决算表</w:t>
      </w:r>
      <w:r>
        <w:tab/>
      </w:r>
      <w:r>
        <w:fldChar w:fldCharType="begin"/>
      </w:r>
      <w:r>
        <w:instrText xml:space="preserve"> PAGEREF _Toc10450 \h </w:instrText>
      </w:r>
      <w:r>
        <w:fldChar w:fldCharType="separate"/>
      </w:r>
      <w:r>
        <w:t>15</w:t>
      </w:r>
      <w:r>
        <w:fldChar w:fldCharType="end"/>
      </w:r>
      <w:r>
        <w:rPr>
          <w:smallCaps/>
          <w:szCs w:val="20"/>
        </w:rPr>
        <w:fldChar w:fldCharType="end"/>
      </w:r>
    </w:p>
    <w:p w14:paraId="518BA8C8">
      <w:pPr>
        <w:pStyle w:val="20"/>
        <w:tabs>
          <w:tab w:val="right" w:leader="dot" w:pos="8306"/>
          <w:tab w:val="clear" w:pos="8296"/>
        </w:tabs>
      </w:pPr>
      <w:r>
        <w:rPr>
          <w:smallCaps/>
          <w:szCs w:val="20"/>
        </w:rPr>
        <w:fldChar w:fldCharType="begin"/>
      </w:r>
      <w:r>
        <w:rPr>
          <w:smallCaps/>
          <w:szCs w:val="20"/>
        </w:rPr>
        <w:instrText xml:space="preserve"> HYPERLINK \l _Toc15415 </w:instrText>
      </w:r>
      <w:r>
        <w:rPr>
          <w:smallCaps/>
          <w:szCs w:val="20"/>
        </w:rPr>
        <w:fldChar w:fldCharType="separate"/>
      </w:r>
      <w:r>
        <w:rPr>
          <w:rFonts w:hint="eastAsia" w:ascii="黑体" w:eastAsia="黑体" w:cs="Times New Roman"/>
          <w:bCs w:val="0"/>
        </w:rPr>
        <w:t>四、财政拨款收入支出决算总表</w:t>
      </w:r>
      <w:r>
        <w:tab/>
      </w:r>
      <w:r>
        <w:fldChar w:fldCharType="begin"/>
      </w:r>
      <w:r>
        <w:instrText xml:space="preserve"> PAGEREF _Toc15415 \h </w:instrText>
      </w:r>
      <w:r>
        <w:fldChar w:fldCharType="separate"/>
      </w:r>
      <w:r>
        <w:t>15</w:t>
      </w:r>
      <w:r>
        <w:fldChar w:fldCharType="end"/>
      </w:r>
      <w:r>
        <w:rPr>
          <w:smallCaps/>
          <w:szCs w:val="20"/>
        </w:rPr>
        <w:fldChar w:fldCharType="end"/>
      </w:r>
    </w:p>
    <w:p w14:paraId="0AFCCA20">
      <w:pPr>
        <w:pStyle w:val="20"/>
        <w:tabs>
          <w:tab w:val="right" w:leader="dot" w:pos="8306"/>
          <w:tab w:val="clear" w:pos="8296"/>
        </w:tabs>
      </w:pPr>
      <w:r>
        <w:rPr>
          <w:smallCaps/>
          <w:szCs w:val="20"/>
        </w:rPr>
        <w:fldChar w:fldCharType="begin"/>
      </w:r>
      <w:r>
        <w:rPr>
          <w:smallCaps/>
          <w:szCs w:val="20"/>
        </w:rPr>
        <w:instrText xml:space="preserve"> HYPERLINK \l _Toc17530 </w:instrText>
      </w:r>
      <w:r>
        <w:rPr>
          <w:smallCaps/>
          <w:szCs w:val="20"/>
        </w:rPr>
        <w:fldChar w:fldCharType="separate"/>
      </w:r>
      <w:r>
        <w:rPr>
          <w:rFonts w:hint="eastAsia" w:ascii="黑体" w:eastAsia="黑体" w:cs="Times New Roman"/>
          <w:bCs w:val="0"/>
        </w:rPr>
        <w:t>五、财政拨款支出决算明细表</w:t>
      </w:r>
      <w:r>
        <w:tab/>
      </w:r>
      <w:r>
        <w:fldChar w:fldCharType="begin"/>
      </w:r>
      <w:r>
        <w:instrText xml:space="preserve"> PAGEREF _Toc17530 \h </w:instrText>
      </w:r>
      <w:r>
        <w:fldChar w:fldCharType="separate"/>
      </w:r>
      <w:r>
        <w:t>15</w:t>
      </w:r>
      <w:r>
        <w:fldChar w:fldCharType="end"/>
      </w:r>
      <w:r>
        <w:rPr>
          <w:smallCaps/>
          <w:szCs w:val="20"/>
        </w:rPr>
        <w:fldChar w:fldCharType="end"/>
      </w:r>
    </w:p>
    <w:p w14:paraId="5B797374">
      <w:pPr>
        <w:pStyle w:val="20"/>
        <w:tabs>
          <w:tab w:val="right" w:leader="dot" w:pos="8306"/>
          <w:tab w:val="clear" w:pos="8296"/>
        </w:tabs>
      </w:pPr>
      <w:r>
        <w:rPr>
          <w:smallCaps/>
          <w:szCs w:val="20"/>
        </w:rPr>
        <w:fldChar w:fldCharType="begin"/>
      </w:r>
      <w:r>
        <w:rPr>
          <w:smallCaps/>
          <w:szCs w:val="20"/>
        </w:rPr>
        <w:instrText xml:space="preserve"> HYPERLINK \l _Toc22032 </w:instrText>
      </w:r>
      <w:r>
        <w:rPr>
          <w:smallCaps/>
          <w:szCs w:val="20"/>
        </w:rPr>
        <w:fldChar w:fldCharType="separate"/>
      </w:r>
      <w:r>
        <w:rPr>
          <w:rFonts w:hint="eastAsia" w:ascii="黑体" w:eastAsia="黑体" w:cs="Times New Roman"/>
          <w:bCs w:val="0"/>
        </w:rPr>
        <w:t>六、一般公共预算财政拨款支出决算表</w:t>
      </w:r>
      <w:r>
        <w:tab/>
      </w:r>
      <w:r>
        <w:fldChar w:fldCharType="begin"/>
      </w:r>
      <w:r>
        <w:instrText xml:space="preserve"> PAGEREF _Toc22032 \h </w:instrText>
      </w:r>
      <w:r>
        <w:fldChar w:fldCharType="separate"/>
      </w:r>
      <w:r>
        <w:t>15</w:t>
      </w:r>
      <w:r>
        <w:fldChar w:fldCharType="end"/>
      </w:r>
      <w:r>
        <w:rPr>
          <w:smallCaps/>
          <w:szCs w:val="20"/>
        </w:rPr>
        <w:fldChar w:fldCharType="end"/>
      </w:r>
    </w:p>
    <w:p w14:paraId="628A21DD">
      <w:pPr>
        <w:pStyle w:val="20"/>
        <w:tabs>
          <w:tab w:val="right" w:leader="dot" w:pos="8306"/>
          <w:tab w:val="clear" w:pos="8296"/>
        </w:tabs>
      </w:pPr>
      <w:r>
        <w:rPr>
          <w:smallCaps/>
          <w:szCs w:val="20"/>
        </w:rPr>
        <w:fldChar w:fldCharType="begin"/>
      </w:r>
      <w:r>
        <w:rPr>
          <w:smallCaps/>
          <w:szCs w:val="20"/>
        </w:rPr>
        <w:instrText xml:space="preserve"> HYPERLINK \l _Toc3364 </w:instrText>
      </w:r>
      <w:r>
        <w:rPr>
          <w:smallCaps/>
          <w:szCs w:val="20"/>
        </w:rPr>
        <w:fldChar w:fldCharType="separate"/>
      </w:r>
      <w:r>
        <w:rPr>
          <w:rFonts w:hint="eastAsia" w:ascii="黑体" w:eastAsia="黑体" w:cs="Times New Roman"/>
          <w:bCs w:val="0"/>
        </w:rPr>
        <w:t>七、一般公共预算财政拨款支出决算明细表</w:t>
      </w:r>
      <w:r>
        <w:tab/>
      </w:r>
      <w:r>
        <w:fldChar w:fldCharType="begin"/>
      </w:r>
      <w:r>
        <w:instrText xml:space="preserve"> PAGEREF _Toc3364 \h </w:instrText>
      </w:r>
      <w:r>
        <w:fldChar w:fldCharType="separate"/>
      </w:r>
      <w:r>
        <w:t>15</w:t>
      </w:r>
      <w:r>
        <w:fldChar w:fldCharType="end"/>
      </w:r>
      <w:r>
        <w:rPr>
          <w:smallCaps/>
          <w:szCs w:val="20"/>
        </w:rPr>
        <w:fldChar w:fldCharType="end"/>
      </w:r>
    </w:p>
    <w:p w14:paraId="1DC9C88B">
      <w:pPr>
        <w:pStyle w:val="20"/>
        <w:tabs>
          <w:tab w:val="right" w:leader="dot" w:pos="8306"/>
          <w:tab w:val="clear" w:pos="8296"/>
        </w:tabs>
      </w:pPr>
      <w:r>
        <w:rPr>
          <w:smallCaps/>
          <w:szCs w:val="20"/>
        </w:rPr>
        <w:fldChar w:fldCharType="begin"/>
      </w:r>
      <w:r>
        <w:rPr>
          <w:smallCaps/>
          <w:szCs w:val="20"/>
        </w:rPr>
        <w:instrText xml:space="preserve"> HYPERLINK \l _Toc9110 </w:instrText>
      </w:r>
      <w:r>
        <w:rPr>
          <w:smallCaps/>
          <w:szCs w:val="20"/>
        </w:rPr>
        <w:fldChar w:fldCharType="separate"/>
      </w:r>
      <w:r>
        <w:rPr>
          <w:rFonts w:hint="eastAsia" w:ascii="黑体" w:eastAsia="黑体" w:cs="Times New Roman"/>
          <w:bCs w:val="0"/>
        </w:rPr>
        <w:t>八、一般公共预算财政拨款基本支出决算表</w:t>
      </w:r>
      <w:r>
        <w:tab/>
      </w:r>
      <w:r>
        <w:fldChar w:fldCharType="begin"/>
      </w:r>
      <w:r>
        <w:instrText xml:space="preserve"> PAGEREF _Toc9110 \h </w:instrText>
      </w:r>
      <w:r>
        <w:fldChar w:fldCharType="separate"/>
      </w:r>
      <w:r>
        <w:t>15</w:t>
      </w:r>
      <w:r>
        <w:fldChar w:fldCharType="end"/>
      </w:r>
      <w:r>
        <w:rPr>
          <w:smallCaps/>
          <w:szCs w:val="20"/>
        </w:rPr>
        <w:fldChar w:fldCharType="end"/>
      </w:r>
    </w:p>
    <w:p w14:paraId="6EA2E85F">
      <w:pPr>
        <w:pStyle w:val="20"/>
        <w:tabs>
          <w:tab w:val="right" w:leader="dot" w:pos="8306"/>
          <w:tab w:val="clear" w:pos="8296"/>
        </w:tabs>
      </w:pPr>
      <w:r>
        <w:rPr>
          <w:smallCaps/>
          <w:szCs w:val="20"/>
        </w:rPr>
        <w:fldChar w:fldCharType="begin"/>
      </w:r>
      <w:r>
        <w:rPr>
          <w:smallCaps/>
          <w:szCs w:val="20"/>
        </w:rPr>
        <w:instrText xml:space="preserve"> HYPERLINK \l _Toc28582 </w:instrText>
      </w:r>
      <w:r>
        <w:rPr>
          <w:smallCaps/>
          <w:szCs w:val="20"/>
        </w:rPr>
        <w:fldChar w:fldCharType="separate"/>
      </w:r>
      <w:r>
        <w:rPr>
          <w:rFonts w:hint="eastAsia" w:ascii="黑体" w:eastAsia="黑体" w:cs="Times New Roman"/>
          <w:bCs w:val="0"/>
        </w:rPr>
        <w:t>九、一般公共预算财政拨款项目支出决算表</w:t>
      </w:r>
      <w:r>
        <w:tab/>
      </w:r>
      <w:r>
        <w:fldChar w:fldCharType="begin"/>
      </w:r>
      <w:r>
        <w:instrText xml:space="preserve"> PAGEREF _Toc28582 \h </w:instrText>
      </w:r>
      <w:r>
        <w:fldChar w:fldCharType="separate"/>
      </w:r>
      <w:r>
        <w:t>15</w:t>
      </w:r>
      <w:r>
        <w:fldChar w:fldCharType="end"/>
      </w:r>
      <w:r>
        <w:rPr>
          <w:smallCaps/>
          <w:szCs w:val="20"/>
        </w:rPr>
        <w:fldChar w:fldCharType="end"/>
      </w:r>
    </w:p>
    <w:p w14:paraId="637EEC9F">
      <w:pPr>
        <w:pStyle w:val="20"/>
        <w:tabs>
          <w:tab w:val="right" w:leader="dot" w:pos="8306"/>
          <w:tab w:val="clear" w:pos="8296"/>
        </w:tabs>
      </w:pPr>
      <w:r>
        <w:rPr>
          <w:smallCaps/>
          <w:szCs w:val="20"/>
        </w:rPr>
        <w:fldChar w:fldCharType="begin"/>
      </w:r>
      <w:r>
        <w:rPr>
          <w:smallCaps/>
          <w:szCs w:val="20"/>
        </w:rPr>
        <w:instrText xml:space="preserve"> HYPERLINK \l _Toc22001 </w:instrText>
      </w:r>
      <w:r>
        <w:rPr>
          <w:smallCaps/>
          <w:szCs w:val="20"/>
        </w:rPr>
        <w:fldChar w:fldCharType="separate"/>
      </w:r>
      <w:r>
        <w:rPr>
          <w:rFonts w:hint="eastAsia" w:ascii="黑体" w:eastAsia="黑体" w:cs="Times New Roman"/>
          <w:bCs w:val="0"/>
        </w:rPr>
        <w:t>十、政府性基金预算财政拨款收入支出决算表</w:t>
      </w:r>
      <w:r>
        <w:tab/>
      </w:r>
      <w:r>
        <w:fldChar w:fldCharType="begin"/>
      </w:r>
      <w:r>
        <w:instrText xml:space="preserve"> PAGEREF _Toc22001 \h </w:instrText>
      </w:r>
      <w:r>
        <w:fldChar w:fldCharType="separate"/>
      </w:r>
      <w:r>
        <w:t>15</w:t>
      </w:r>
      <w:r>
        <w:fldChar w:fldCharType="end"/>
      </w:r>
      <w:r>
        <w:rPr>
          <w:smallCaps/>
          <w:szCs w:val="20"/>
        </w:rPr>
        <w:fldChar w:fldCharType="end"/>
      </w:r>
    </w:p>
    <w:p w14:paraId="114D872C">
      <w:pPr>
        <w:pStyle w:val="20"/>
        <w:tabs>
          <w:tab w:val="right" w:leader="dot" w:pos="8306"/>
          <w:tab w:val="clear" w:pos="8296"/>
        </w:tabs>
      </w:pPr>
      <w:r>
        <w:rPr>
          <w:smallCaps/>
          <w:szCs w:val="20"/>
        </w:rPr>
        <w:fldChar w:fldCharType="begin"/>
      </w:r>
      <w:r>
        <w:rPr>
          <w:smallCaps/>
          <w:szCs w:val="20"/>
        </w:rPr>
        <w:instrText xml:space="preserve"> HYPERLINK \l _Toc6538 </w:instrText>
      </w:r>
      <w:r>
        <w:rPr>
          <w:smallCaps/>
          <w:szCs w:val="20"/>
        </w:rPr>
        <w:fldChar w:fldCharType="separate"/>
      </w:r>
      <w:r>
        <w:rPr>
          <w:rFonts w:hint="eastAsia" w:ascii="黑体" w:eastAsia="黑体" w:cs="Times New Roman"/>
          <w:bCs w:val="0"/>
        </w:rPr>
        <w:t>十一、国有资本经营预算财政拨款收入支出决算表</w:t>
      </w:r>
      <w:r>
        <w:tab/>
      </w:r>
      <w:r>
        <w:fldChar w:fldCharType="begin"/>
      </w:r>
      <w:r>
        <w:instrText xml:space="preserve"> PAGEREF _Toc6538 \h </w:instrText>
      </w:r>
      <w:r>
        <w:fldChar w:fldCharType="separate"/>
      </w:r>
      <w:r>
        <w:t>15</w:t>
      </w:r>
      <w:r>
        <w:fldChar w:fldCharType="end"/>
      </w:r>
      <w:r>
        <w:rPr>
          <w:smallCaps/>
          <w:szCs w:val="20"/>
        </w:rPr>
        <w:fldChar w:fldCharType="end"/>
      </w:r>
    </w:p>
    <w:p w14:paraId="078D5745">
      <w:pPr>
        <w:pStyle w:val="20"/>
        <w:tabs>
          <w:tab w:val="right" w:leader="dot" w:pos="8306"/>
          <w:tab w:val="clear" w:pos="8296"/>
        </w:tabs>
      </w:pPr>
      <w:r>
        <w:rPr>
          <w:smallCaps/>
          <w:szCs w:val="20"/>
        </w:rPr>
        <w:fldChar w:fldCharType="begin"/>
      </w:r>
      <w:r>
        <w:rPr>
          <w:smallCaps/>
          <w:szCs w:val="20"/>
        </w:rPr>
        <w:instrText xml:space="preserve"> HYPERLINK \l _Toc10625 </w:instrText>
      </w:r>
      <w:r>
        <w:rPr>
          <w:smallCaps/>
          <w:szCs w:val="20"/>
        </w:rPr>
        <w:fldChar w:fldCharType="separate"/>
      </w:r>
      <w:r>
        <w:rPr>
          <w:rFonts w:hint="eastAsia" w:ascii="黑体" w:eastAsia="黑体" w:cs="Times New Roman"/>
          <w:bCs w:val="0"/>
        </w:rPr>
        <w:t>十二、国有资本经营预算财政拨款支出决算表</w:t>
      </w:r>
      <w:r>
        <w:tab/>
      </w:r>
      <w:r>
        <w:fldChar w:fldCharType="begin"/>
      </w:r>
      <w:r>
        <w:instrText xml:space="preserve"> PAGEREF _Toc10625 \h </w:instrText>
      </w:r>
      <w:r>
        <w:fldChar w:fldCharType="separate"/>
      </w:r>
      <w:r>
        <w:t>15</w:t>
      </w:r>
      <w:r>
        <w:fldChar w:fldCharType="end"/>
      </w:r>
      <w:r>
        <w:rPr>
          <w:smallCaps/>
          <w:szCs w:val="20"/>
        </w:rPr>
        <w:fldChar w:fldCharType="end"/>
      </w:r>
    </w:p>
    <w:p w14:paraId="0E7553C5">
      <w:pPr>
        <w:pStyle w:val="20"/>
        <w:tabs>
          <w:tab w:val="right" w:leader="dot" w:pos="8306"/>
          <w:tab w:val="clear" w:pos="8296"/>
        </w:tabs>
      </w:pPr>
      <w:r>
        <w:rPr>
          <w:smallCaps/>
          <w:szCs w:val="20"/>
        </w:rPr>
        <w:fldChar w:fldCharType="begin"/>
      </w:r>
      <w:r>
        <w:rPr>
          <w:smallCaps/>
          <w:szCs w:val="20"/>
        </w:rPr>
        <w:instrText xml:space="preserve"> HYPERLINK \l _Toc28356 </w:instrText>
      </w:r>
      <w:r>
        <w:rPr>
          <w:smallCaps/>
          <w:szCs w:val="20"/>
        </w:rPr>
        <w:fldChar w:fldCharType="separate"/>
      </w:r>
      <w:r>
        <w:rPr>
          <w:rFonts w:hint="eastAsia" w:ascii="黑体" w:eastAsia="黑体" w:cs="Times New Roman"/>
          <w:bCs w:val="0"/>
        </w:rPr>
        <w:t>十三、财政拨款“三公”经费支出决算表</w:t>
      </w:r>
      <w:r>
        <w:tab/>
      </w:r>
      <w:r>
        <w:fldChar w:fldCharType="begin"/>
      </w:r>
      <w:r>
        <w:instrText xml:space="preserve"> PAGEREF _Toc28356 \h </w:instrText>
      </w:r>
      <w:r>
        <w:fldChar w:fldCharType="separate"/>
      </w:r>
      <w:r>
        <w:t>15</w:t>
      </w:r>
      <w:r>
        <w:fldChar w:fldCharType="end"/>
      </w:r>
      <w:r>
        <w:rPr>
          <w:smallCaps/>
          <w:szCs w:val="20"/>
        </w:rPr>
        <w:fldChar w:fldCharType="end"/>
      </w:r>
    </w:p>
    <w:p w14:paraId="6E960116">
      <w:pPr>
        <w:pStyle w:val="6"/>
      </w:pPr>
      <w:r>
        <w:rPr>
          <w:smallCaps/>
          <w:szCs w:val="20"/>
        </w:rPr>
        <w:fldChar w:fldCharType="end"/>
      </w:r>
    </w:p>
    <w:p w14:paraId="43C22F4A">
      <w:pPr>
        <w:pStyle w:val="3"/>
        <w:jc w:val="center"/>
        <w:rPr>
          <w:rFonts w:ascii="黑体" w:hAnsi="黑体" w:eastAsia="黑体" w:cs="黑体"/>
          <w:b w:val="0"/>
          <w:bCs w:val="0"/>
        </w:rPr>
      </w:pPr>
      <w:bookmarkStart w:id="13" w:name="_Toc9016"/>
      <w:bookmarkStart w:id="14" w:name="_Toc111208495"/>
      <w:r>
        <w:rPr>
          <w:rFonts w:hint="eastAsia" w:ascii="黑体" w:hAnsi="黑体" w:eastAsia="黑体" w:cs="黑体"/>
        </w:rPr>
        <w:t xml:space="preserve">第一部分 </w:t>
      </w:r>
      <w:r>
        <w:rPr>
          <w:rStyle w:val="38"/>
          <w:rFonts w:hint="eastAsia" w:ascii="黑体" w:hAnsi="黑体" w:eastAsia="黑体" w:cs="黑体"/>
          <w:b/>
          <w:bCs w:val="0"/>
        </w:rPr>
        <w:t>部门</w:t>
      </w:r>
      <w:r>
        <w:rPr>
          <w:rStyle w:val="38"/>
          <w:rFonts w:ascii="黑体" w:hAnsi="黑体" w:eastAsia="黑体" w:cs="黑体"/>
          <w:b/>
          <w:bCs w:val="0"/>
          <w:u w:color="auto"/>
        </w:rPr>
        <w:t>概况</w:t>
      </w:r>
      <w:bookmarkEnd w:id="12"/>
      <w:bookmarkEnd w:id="13"/>
      <w:bookmarkEnd w:id="14"/>
    </w:p>
    <w:p w14:paraId="46738ED4">
      <w:pPr>
        <w:pStyle w:val="4"/>
        <w:ind w:firstLine="643" w:firstLineChars="200"/>
        <w:rPr>
          <w:rFonts w:ascii="黑体" w:eastAsia="黑体" w:cs="Times New Roman"/>
          <w:bCs w:val="0"/>
          <w:color w:val="000000"/>
        </w:rPr>
      </w:pPr>
      <w:bookmarkStart w:id="15" w:name="_Toc111208496"/>
      <w:bookmarkStart w:id="16" w:name="_Toc28564"/>
      <w:bookmarkStart w:id="17" w:name="_Toc15377197"/>
      <w:bookmarkStart w:id="18" w:name="_Toc113981010"/>
      <w:bookmarkStart w:id="19" w:name="_Toc15377204"/>
      <w:r>
        <w:rPr>
          <w:rFonts w:hint="eastAsia" w:ascii="黑体" w:eastAsia="黑体" w:cs="Times New Roman"/>
          <w:bCs w:val="0"/>
          <w:color w:val="000000"/>
        </w:rPr>
        <w:t>一、基本职能及主要工作</w:t>
      </w:r>
      <w:bookmarkEnd w:id="15"/>
      <w:bookmarkEnd w:id="16"/>
      <w:bookmarkEnd w:id="17"/>
      <w:bookmarkEnd w:id="18"/>
      <w:bookmarkStart w:id="20" w:name="_Toc15377198"/>
      <w:bookmarkStart w:id="21" w:name="_Toc15378445"/>
    </w:p>
    <w:p w14:paraId="0A97E28B">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（一）主要职能</w:t>
      </w:r>
      <w:bookmarkEnd w:id="20"/>
      <w:bookmarkEnd w:id="21"/>
    </w:p>
    <w:p w14:paraId="7AD66D94">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ascii="仿宋" w:hAnsi="仿宋" w:eastAsia="仿宋"/>
          <w:color w:val="000000"/>
          <w:sz w:val="32"/>
          <w:szCs w:val="32"/>
        </w:rPr>
        <w:t>（1）负责党和国家领导人（含曾经担任）、省委、省人大、省政府、省政协副省级以上、州委、州人大、州政府、州政协副厅级领导（含曾经但任）来县的服务保障。</w:t>
      </w:r>
      <w:r>
        <w:rPr>
          <w:rFonts w:ascii="仿宋" w:hAnsi="仿宋" w:eastAsia="仿宋"/>
          <w:color w:val="000000"/>
          <w:sz w:val="32"/>
          <w:szCs w:val="32"/>
        </w:rPr>
        <w:cr/>
      </w:r>
      <w:r>
        <w:rPr>
          <w:rFonts w:ascii="仿宋" w:hAnsi="仿宋" w:eastAsia="仿宋"/>
          <w:color w:val="000000"/>
          <w:sz w:val="32"/>
          <w:szCs w:val="32"/>
        </w:rPr>
        <w:t>（2）按照有关规定负责和参与党中央、国务院、省委、省政府、州委、州政府巡视、检查、督查（督导、督察）、考察、调研、考核、审计等工作组来县的服务保障。</w:t>
      </w:r>
      <w:r>
        <w:rPr>
          <w:rFonts w:ascii="仿宋" w:hAnsi="仿宋" w:eastAsia="仿宋"/>
          <w:color w:val="000000"/>
          <w:sz w:val="32"/>
          <w:szCs w:val="32"/>
        </w:rPr>
        <w:cr/>
      </w:r>
      <w:r>
        <w:rPr>
          <w:rFonts w:ascii="仿宋" w:hAnsi="仿宋" w:eastAsia="仿宋"/>
          <w:color w:val="000000"/>
          <w:sz w:val="32"/>
          <w:szCs w:val="32"/>
        </w:rPr>
        <w:t>（3）负责外省（州、市、区、县）党委、政府正、副县级领导干部来县的服务保障；会同县级有关部门承担中央和国家机关各部委正、副部级领导干部、省委、省政府正、副省级、州委、州政府领导干部来县的服务保障；参与县人大常委会办公室、县政协办公室牵头对口接待正、副厅级领导干部来县的服务保障。</w:t>
      </w:r>
      <w:r>
        <w:rPr>
          <w:rFonts w:ascii="仿宋" w:hAnsi="仿宋" w:eastAsia="仿宋"/>
          <w:color w:val="000000"/>
          <w:sz w:val="32"/>
          <w:szCs w:val="32"/>
        </w:rPr>
        <w:cr/>
      </w:r>
      <w:r>
        <w:rPr>
          <w:rFonts w:ascii="仿宋" w:hAnsi="仿宋" w:eastAsia="仿宋"/>
          <w:color w:val="000000"/>
          <w:sz w:val="32"/>
          <w:szCs w:val="32"/>
        </w:rPr>
        <w:t>（4）负责或参与外省（州、市、区、县）党政代表团来县考察的协调联络和服务保障。</w:t>
      </w:r>
      <w:r>
        <w:rPr>
          <w:rFonts w:ascii="仿宋" w:hAnsi="仿宋" w:eastAsia="仿宋"/>
          <w:color w:val="000000"/>
          <w:sz w:val="32"/>
          <w:szCs w:val="32"/>
        </w:rPr>
        <w:cr/>
      </w:r>
      <w:r>
        <w:rPr>
          <w:rFonts w:ascii="仿宋" w:hAnsi="仿宋" w:eastAsia="仿宋"/>
          <w:color w:val="000000"/>
          <w:sz w:val="32"/>
          <w:szCs w:val="32"/>
        </w:rPr>
        <w:t>（5）负责我县党政代表团赴外省（州、市、区、县）考察的协调联络和服务保障。</w:t>
      </w:r>
      <w:r>
        <w:rPr>
          <w:rFonts w:ascii="仿宋" w:hAnsi="仿宋" w:eastAsia="仿宋"/>
          <w:color w:val="000000"/>
          <w:sz w:val="32"/>
          <w:szCs w:val="32"/>
        </w:rPr>
        <w:cr/>
      </w:r>
      <w:r>
        <w:rPr>
          <w:rFonts w:ascii="仿宋" w:hAnsi="仿宋" w:eastAsia="仿宋"/>
          <w:color w:val="000000"/>
          <w:sz w:val="32"/>
          <w:szCs w:val="32"/>
        </w:rPr>
        <w:t>（6）负责县委、县政府交办的由县公务服务中心承担的外事接待和招商引资事项的服务保障。</w:t>
      </w:r>
      <w:r>
        <w:rPr>
          <w:rFonts w:ascii="仿宋" w:hAnsi="仿宋" w:eastAsia="仿宋"/>
          <w:color w:val="000000"/>
          <w:sz w:val="32"/>
          <w:szCs w:val="32"/>
        </w:rPr>
        <w:cr/>
      </w:r>
      <w:r>
        <w:rPr>
          <w:rFonts w:ascii="仿宋" w:hAnsi="仿宋" w:eastAsia="仿宋"/>
          <w:color w:val="000000"/>
          <w:sz w:val="32"/>
          <w:szCs w:val="32"/>
        </w:rPr>
        <w:t>（7）按照中央八项规定和省委、省政府十项规定及其实施细则要求，负责联系协调县级有关部门及关联单位承办州委、州政府重大公务活动的服务工作。</w:t>
      </w:r>
      <w:r>
        <w:rPr>
          <w:rFonts w:ascii="仿宋" w:hAnsi="仿宋" w:eastAsia="仿宋"/>
          <w:color w:val="000000"/>
          <w:sz w:val="32"/>
          <w:szCs w:val="32"/>
        </w:rPr>
        <w:cr/>
      </w:r>
      <w:r>
        <w:rPr>
          <w:rFonts w:ascii="仿宋" w:hAnsi="仿宋" w:eastAsia="仿宋"/>
          <w:color w:val="000000"/>
          <w:sz w:val="32"/>
          <w:szCs w:val="32"/>
        </w:rPr>
        <w:t>（8）会同县级有关部门承担县委、县政府交办的大型会议、活动的接待服务保障工作。</w:t>
      </w:r>
      <w:r>
        <w:rPr>
          <w:rFonts w:ascii="仿宋" w:hAnsi="仿宋" w:eastAsia="仿宋"/>
          <w:color w:val="000000"/>
          <w:sz w:val="32"/>
          <w:szCs w:val="32"/>
        </w:rPr>
        <w:cr/>
      </w:r>
      <w:r>
        <w:rPr>
          <w:rFonts w:ascii="仿宋" w:hAnsi="仿宋" w:eastAsia="仿宋"/>
          <w:color w:val="000000"/>
          <w:sz w:val="32"/>
          <w:szCs w:val="32"/>
        </w:rPr>
        <w:t>（9）指导县级部门的公务活动服务保障工作，参与拟订全县公务服务相关规定。</w:t>
      </w:r>
      <w:r>
        <w:rPr>
          <w:rFonts w:ascii="仿宋" w:hAnsi="仿宋" w:eastAsia="仿宋"/>
          <w:color w:val="000000"/>
          <w:sz w:val="32"/>
          <w:szCs w:val="32"/>
        </w:rPr>
        <w:cr/>
      </w:r>
      <w:r>
        <w:rPr>
          <w:rFonts w:ascii="仿宋" w:hAnsi="仿宋" w:eastAsia="仿宋"/>
          <w:color w:val="000000"/>
          <w:sz w:val="32"/>
          <w:szCs w:val="32"/>
        </w:rPr>
        <w:t xml:space="preserve">（10）负责办理中办警卫局、省警卫局安排的有关在县事务。    </w:t>
      </w:r>
      <w:r>
        <w:rPr>
          <w:rFonts w:ascii="仿宋" w:hAnsi="仿宋" w:eastAsia="仿宋"/>
          <w:color w:val="000000"/>
          <w:sz w:val="32"/>
          <w:szCs w:val="32"/>
        </w:rPr>
        <w:cr/>
      </w:r>
      <w:r>
        <w:rPr>
          <w:rFonts w:ascii="仿宋" w:hAnsi="仿宋" w:eastAsia="仿宋"/>
          <w:color w:val="000000"/>
          <w:sz w:val="32"/>
          <w:szCs w:val="32"/>
        </w:rPr>
        <w:t>（11）负责县级机关食堂管理工作。</w:t>
      </w:r>
      <w:r>
        <w:rPr>
          <w:rFonts w:ascii="仿宋" w:hAnsi="仿宋" w:eastAsia="仿宋"/>
          <w:color w:val="000000"/>
          <w:sz w:val="32"/>
          <w:szCs w:val="32"/>
        </w:rPr>
        <w:cr/>
      </w:r>
      <w:r>
        <w:rPr>
          <w:rFonts w:ascii="仿宋" w:hAnsi="仿宋" w:eastAsia="仿宋"/>
          <w:color w:val="000000"/>
          <w:sz w:val="32"/>
          <w:szCs w:val="32"/>
        </w:rPr>
        <w:t>（12）完成县委、县政府交办的其他任务。</w:t>
      </w:r>
    </w:p>
    <w:p w14:paraId="0BBC3250">
      <w:pPr>
        <w:spacing w:line="600" w:lineRule="exact"/>
        <w:ind w:firstLine="643" w:firstLineChars="200"/>
        <w:outlineLvl w:val="2"/>
        <w:rPr>
          <w:rFonts w:ascii="仿宋" w:hAnsi="仿宋" w:eastAsia="仿宋"/>
          <w:b/>
          <w:color w:val="000000"/>
          <w:sz w:val="32"/>
          <w:szCs w:val="32"/>
        </w:rPr>
      </w:pPr>
      <w:bookmarkStart w:id="22" w:name="_Toc15378446"/>
      <w:bookmarkStart w:id="23" w:name="_Toc15377199"/>
      <w:r>
        <w:rPr>
          <w:rFonts w:hint="eastAsia" w:ascii="仿宋" w:hAnsi="仿宋" w:eastAsia="仿宋"/>
          <w:b/>
          <w:color w:val="000000"/>
          <w:sz w:val="32"/>
          <w:szCs w:val="32"/>
        </w:rPr>
        <w:t>（二）</w:t>
      </w:r>
      <w:r>
        <w:rPr>
          <w:rFonts w:ascii="仿宋" w:hAnsi="仿宋" w:eastAsia="仿宋"/>
          <w:b/>
          <w:color w:val="000000"/>
          <w:sz w:val="32"/>
          <w:szCs w:val="32"/>
        </w:rPr>
        <w:t>202</w:t>
      </w:r>
      <w:r>
        <w:rPr>
          <w:rFonts w:hint="eastAsia" w:ascii="仿宋" w:hAnsi="仿宋" w:eastAsia="仿宋"/>
          <w:b/>
          <w:color w:val="000000"/>
          <w:sz w:val="32"/>
          <w:szCs w:val="32"/>
          <w:lang w:val="en-US" w:eastAsia="zh-CN"/>
        </w:rPr>
        <w:t>4</w:t>
      </w:r>
      <w:r>
        <w:rPr>
          <w:rFonts w:hint="eastAsia" w:ascii="仿宋" w:hAnsi="仿宋" w:eastAsia="仿宋"/>
          <w:b/>
          <w:color w:val="000000"/>
          <w:sz w:val="32"/>
          <w:szCs w:val="32"/>
        </w:rPr>
        <w:t>重点工作完成情况</w:t>
      </w:r>
      <w:bookmarkEnd w:id="22"/>
      <w:bookmarkEnd w:id="23"/>
      <w:bookmarkStart w:id="24" w:name="_Toc15377200"/>
    </w:p>
    <w:p w14:paraId="4428BEC0">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pPr>
      <w:bookmarkStart w:id="25" w:name="_Toc22056"/>
      <w:bookmarkStart w:id="26" w:name="_Toc113981011"/>
      <w:bookmarkStart w:id="27" w:name="_Toc111208497"/>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（一）深化党的创新理论武装。</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以每周中心工作会议为牵引，以党组“三会一课”、主题党日活动为基础，加强党的二十大，二十届三中全会、省委十二届、州委十二届历次全会，全国、省、州、县“两会”精神学习贯彻，推动党员干部职工坚持不懈读原著学原文悟原理，更加坚定自觉地用党的理论武装头脑、指导实践、推动工作。</w:t>
      </w:r>
    </w:p>
    <w:p w14:paraId="402B99B5">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lang w:val="en-US" w:eastAsia="zh-CN"/>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（二）巩固拓展主题教育成果。</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总结学习贯彻习近平新时代中国特色社会主义思想主题教育精神做法，努力在深化上做到真学、内化上做到真信，转化上做到真用。深刻把握“四下基层”的丰富内涵、时代价值和时间要求，结合驻村帮扶工作，切实为民办好事、做实事、解难事。</w:t>
      </w:r>
    </w:p>
    <w:p w14:paraId="31B33248">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（三）不断提升党建工作质效。</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深化“红色草原·雅克先锋”党建品牌创新成效，丰富党建品牌内涵，加强党组标准化建设，推动机关党建品牌创建工作常态化、制度化、规范化，进一步实现党建工作与接待工作双融合、双促进、双提高。</w:t>
      </w:r>
    </w:p>
    <w:p w14:paraId="3FFFEB63">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（四）驰而不息深化纪律作风建设。</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以学习贯彻新修订的纪律处分条例为契机，扎实开展纪律教育。坚持正面引领和反面惊醒，进一步增强纪律意识、提高免疫能力。精准规范“四种形态”，提升监督执纪质效。加强权利监督制约，有效防控廉政风险点和履职梗阻点。深化新时代廉洁文化教育。认真贯彻落实中央八项规定精神，省委省政府十项规定、州委州政府八条意见及实施细则等规定，从严落实“坚持过紧日子”要求，严肃财经纪律，厉行勤俭节约，反对铺张浪费。</w:t>
      </w:r>
    </w:p>
    <w:p w14:paraId="5D72BADF">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（五）严格落实意识形态工作责任制。</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加强对意识形态工作领导，分析研判形势，定期通报重大情况。落实党员思想状态和心里状态定期分析报告工作，及时引导化解党员思想问题。抓好单位所属微信群意识形态阵地建设和管理，强化正面宣传，优化舆情监测、研判、报告、处置等流程机制。</w:t>
      </w:r>
    </w:p>
    <w:p w14:paraId="00271A42">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lang w:eastAsia="zh-CN"/>
          <w14:textFill>
            <w14:solidFill>
              <w14:schemeClr w14:val="tx1"/>
            </w14:solidFill>
          </w14:textFill>
        </w:rPr>
        <w:t>（</w:t>
      </w: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五</w:t>
      </w:r>
      <w:r>
        <w:rPr>
          <w:rFonts w:hint="eastAsia" w:ascii="楷体_GB2312" w:hAnsi="楷体_GB2312" w:eastAsia="楷体_GB2312" w:cs="楷体_GB2312"/>
          <w:b/>
          <w:bCs/>
          <w:color w:val="000000" w:themeColor="text1"/>
          <w:sz w:val="32"/>
          <w:szCs w:val="32"/>
          <w:lang w:eastAsia="zh-CN"/>
          <w14:textFill>
            <w14:solidFill>
              <w14:schemeClr w14:val="tx1"/>
            </w14:solidFill>
          </w14:textFill>
        </w:rPr>
        <w:t>）</w:t>
      </w: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着力务实创新</w:t>
      </w:r>
      <w:r>
        <w:rPr>
          <w:rFonts w:hint="eastAsia" w:ascii="楷体_GB2312" w:hAnsi="楷体_GB2312" w:eastAsia="楷体_GB2312" w:cs="楷体_GB2312"/>
          <w:b/>
          <w:bCs/>
          <w:color w:val="000000" w:themeColor="text1"/>
          <w:sz w:val="32"/>
          <w:szCs w:val="32"/>
          <w14:textFill>
            <w14:solidFill>
              <w14:schemeClr w14:val="tx1"/>
            </w14:solidFill>
          </w14:textFill>
        </w:rPr>
        <w:t>公务</w:t>
      </w: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服务工作。</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始终把围绕中心、服务大局作为公务服务工作的定位和职责，自觉从全局高度和发展角度谋划公务服务工作，从树立红原形象、关系红原发展的高度看待公务服务工作、做好公务服务工作。</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一是</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配县纪委、县财政局联合下发关于开展红原县公务活动用餐（车）费用“扫码支付”试运行工作的通知，进一步完善修订我县相应管理办法，进一步推进公务接待更加规范高效；</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二是</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秉持“符合规定的公务接待才是最好的公务接待”理念，严控接待范围、接待标准、陪同人员，严禁铺张浪费，严禁接待饮酒，严格监督管理。加强对公务接待经费、接待标准、经费报销等情况的审核监控，进一步规范公务接待管理；</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三是</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争取州公务服务中心的关心和支持，选派中心干部参与全州重大活动、重要接待后勤保障。多措并举引导和培养中心干部丰富专业知识、提升专业能力、锤炼专业作风、培育专业精神，提高综合素质，推动中心干部从“单一型”向“复合型”转变，不断提高适应新时代公务服务工作的业务水平和应变能力；</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四是</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按照“热情周到、大方得体、优质高效、安全细致”的工作要求，配合做好了党和国家领导人及省部级领导在县考察调研服务保障，尽心做好对口帮扶单位、东西协作、周边州、县（市）党政代表团和省委、省政府，州委、州政府各类督导检查调研工作团组的后勤保障，用心做好省、州在县召开的重要会议后勤保障。</w:t>
      </w:r>
      <w:r>
        <w:rPr>
          <w:rFonts w:hint="eastAsia" w:ascii="仿宋_GB2312" w:hAnsi="仿宋_GB2312" w:eastAsia="仿宋_GB2312" w:cs="仿宋_GB2312"/>
          <w:color w:val="000000" w:themeColor="text1"/>
          <w:sz w:val="32"/>
          <w:szCs w:val="32"/>
          <w:lang w:eastAsia="zh-CN"/>
          <w14:textFill>
            <w14:solidFill>
              <w14:schemeClr w14:val="tx1"/>
            </w14:solidFill>
          </w14:textFill>
        </w:rPr>
        <w:t>截止目前，中心</w:t>
      </w:r>
      <w:r>
        <w:rPr>
          <w:rFonts w:hint="eastAsia" w:ascii="仿宋_GB2312" w:hAnsi="仿宋_GB2312" w:eastAsia="仿宋_GB2312" w:cs="仿宋_GB2312"/>
          <w:color w:val="000000" w:themeColor="text1"/>
          <w:sz w:val="32"/>
          <w:szCs w:val="32"/>
          <w14:textFill>
            <w14:solidFill>
              <w14:schemeClr w14:val="tx1"/>
            </w14:solidFill>
          </w14:textFill>
        </w:rPr>
        <w:t>先后</w:t>
      </w:r>
      <w:r>
        <w:rPr>
          <w:rFonts w:hint="eastAsia" w:ascii="仿宋_GB2312" w:hAnsi="仿宋_GB2312" w:eastAsia="仿宋_GB2312" w:cs="仿宋_GB2312"/>
          <w:bCs/>
          <w:color w:val="000000" w:themeColor="text1"/>
          <w:sz w:val="32"/>
          <w:szCs w:val="32"/>
          <w14:textFill>
            <w14:solidFill>
              <w14:schemeClr w14:val="tx1"/>
            </w14:solidFill>
          </w14:textFill>
        </w:rPr>
        <w:t>圆满完成了</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各项公务服务保障活动</w:t>
      </w:r>
      <w:r>
        <w:rPr>
          <w:rFonts w:hint="eastAsia" w:ascii="仿宋_GB2312" w:hAnsi="仿宋_GB2312" w:eastAsia="仿宋_GB2312" w:cs="仿宋_GB2312"/>
          <w:b w:val="0"/>
          <w:i w:val="0"/>
          <w:caps w:val="0"/>
          <w:color w:val="000000" w:themeColor="text1"/>
          <w:spacing w:val="0"/>
          <w:sz w:val="32"/>
          <w:szCs w:val="32"/>
          <w:lang w:val="en-US" w:eastAsia="zh-CN"/>
          <w14:textFill>
            <w14:solidFill>
              <w14:schemeClr w14:val="tx1"/>
            </w14:solidFill>
          </w14:textFill>
        </w:rPr>
        <w:t>462批次；</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五是</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细心周到的做好机关食堂和职工之家食堂的日常管理工作，加强两个食堂的常态化管理，督促指导各项保障任务。</w:t>
      </w:r>
    </w:p>
    <w:p w14:paraId="217CCE9D">
      <w:pPr>
        <w:pStyle w:val="4"/>
        <w:ind w:firstLine="643" w:firstLineChars="200"/>
        <w:rPr>
          <w:rFonts w:hint="eastAsia" w:ascii="黑体" w:eastAsia="黑体" w:cs="Times New Roman"/>
          <w:bCs w:val="0"/>
          <w:color w:val="000000"/>
          <w:lang w:val="en-US" w:eastAsia="zh-CN"/>
        </w:rPr>
      </w:pPr>
      <w:r>
        <w:rPr>
          <w:rFonts w:hint="eastAsia" w:ascii="黑体" w:eastAsia="黑体" w:cs="Times New Roman"/>
          <w:bCs w:val="0"/>
          <w:color w:val="000000"/>
          <w:lang w:val="en-US" w:eastAsia="zh-CN"/>
        </w:rPr>
        <w:t>二、机构设置</w:t>
      </w:r>
      <w:bookmarkEnd w:id="24"/>
      <w:bookmarkEnd w:id="25"/>
      <w:bookmarkEnd w:id="26"/>
      <w:bookmarkEnd w:id="27"/>
    </w:p>
    <w:p w14:paraId="471858CC">
      <w:pPr>
        <w:snapToGrid w:val="0"/>
        <w:spacing w:line="520" w:lineRule="exact"/>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rPr>
        <w:t>红原县</w:t>
      </w:r>
      <w:r>
        <w:rPr>
          <w:rFonts w:hint="eastAsia" w:ascii="仿宋_GB2312" w:hAnsi="仿宋_GB2312" w:eastAsia="仿宋_GB2312" w:cs="仿宋_GB2312"/>
          <w:color w:val="333333"/>
          <w:sz w:val="32"/>
          <w:szCs w:val="32"/>
          <w:shd w:val="clear" w:color="auto" w:fill="FFFFFF"/>
          <w:lang w:val="en-US" w:eastAsia="zh-CN"/>
        </w:rPr>
        <w:t>公务服务中心</w:t>
      </w:r>
      <w:r>
        <w:rPr>
          <w:rFonts w:hint="eastAsia" w:ascii="仿宋_GB2312" w:hAnsi="仿宋_GB2312" w:eastAsia="仿宋_GB2312" w:cs="仿宋_GB2312"/>
          <w:color w:val="333333"/>
          <w:sz w:val="32"/>
          <w:szCs w:val="32"/>
          <w:shd w:val="clear" w:color="auto" w:fill="FFFFFF"/>
        </w:rPr>
        <w:t>编制数为</w:t>
      </w:r>
      <w:r>
        <w:rPr>
          <w:rFonts w:hint="eastAsia" w:ascii="仿宋_GB2312" w:hAnsi="仿宋_GB2312" w:eastAsia="仿宋_GB2312" w:cs="仿宋_GB2312"/>
          <w:color w:val="333333"/>
          <w:sz w:val="32"/>
          <w:szCs w:val="32"/>
          <w:shd w:val="clear" w:color="auto" w:fill="FFFFFF"/>
          <w:lang w:val="en-US" w:eastAsia="zh-CN"/>
        </w:rPr>
        <w:t>12</w:t>
      </w:r>
      <w:r>
        <w:rPr>
          <w:rFonts w:hint="eastAsia" w:ascii="仿宋_GB2312" w:hAnsi="仿宋_GB2312" w:eastAsia="仿宋_GB2312" w:cs="仿宋_GB2312"/>
          <w:color w:val="333333"/>
          <w:sz w:val="32"/>
          <w:szCs w:val="32"/>
          <w:shd w:val="clear" w:color="auto" w:fill="FFFFFF"/>
        </w:rPr>
        <w:t>人，</w:t>
      </w:r>
      <w:r>
        <w:rPr>
          <w:rFonts w:hint="eastAsia" w:ascii="仿宋_GB2312" w:hAnsi="仿宋_GB2312" w:eastAsia="仿宋_GB2312" w:cs="仿宋_GB2312"/>
          <w:color w:val="333333"/>
          <w:sz w:val="32"/>
          <w:szCs w:val="32"/>
          <w:shd w:val="clear" w:color="auto" w:fill="FFFFFF"/>
          <w:lang w:val="en-US" w:eastAsia="zh-CN"/>
        </w:rPr>
        <w:t>2024年12月31日截止</w:t>
      </w:r>
      <w:r>
        <w:rPr>
          <w:rFonts w:hint="eastAsia" w:ascii="仿宋_GB2312" w:hAnsi="仿宋_GB2312" w:eastAsia="仿宋_GB2312" w:cs="仿宋_GB2312"/>
          <w:color w:val="333333"/>
          <w:sz w:val="32"/>
          <w:szCs w:val="32"/>
          <w:shd w:val="clear" w:color="auto" w:fill="FFFFFF"/>
        </w:rPr>
        <w:t>在编人数</w:t>
      </w:r>
      <w:r>
        <w:rPr>
          <w:rFonts w:hint="eastAsia" w:ascii="仿宋_GB2312" w:hAnsi="仿宋_GB2312" w:eastAsia="仿宋_GB2312" w:cs="仿宋_GB2312"/>
          <w:color w:val="333333"/>
          <w:sz w:val="32"/>
          <w:szCs w:val="32"/>
          <w:shd w:val="clear" w:color="auto" w:fill="FFFFFF"/>
          <w:lang w:val="en-US" w:eastAsia="zh-CN"/>
        </w:rPr>
        <w:t>9人</w:t>
      </w:r>
      <w:r>
        <w:rPr>
          <w:rFonts w:hint="eastAsia" w:ascii="仿宋_GB2312" w:hAnsi="仿宋_GB2312" w:eastAsia="仿宋_GB2312" w:cs="仿宋_GB2312"/>
          <w:color w:val="333333"/>
          <w:sz w:val="32"/>
          <w:szCs w:val="32"/>
          <w:shd w:val="clear" w:color="auto" w:fill="FFFFFF"/>
          <w:lang w:eastAsia="zh-CN"/>
        </w:rPr>
        <w:t>。</w:t>
      </w:r>
      <w:r>
        <w:rPr>
          <w:rFonts w:ascii="仿宋" w:hAnsi="仿宋" w:eastAsia="仿宋"/>
          <w:color w:val="000000"/>
          <w:sz w:val="32"/>
          <w:szCs w:val="32"/>
        </w:rPr>
        <w:t>单位内部设办公室、接待股、后勤资产管理股。</w:t>
      </w:r>
    </w:p>
    <w:p w14:paraId="3B4498DA">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hAnsi="仿宋" w:eastAsia="仿宋"/>
          <w:color w:val="000000"/>
          <w:sz w:val="32"/>
          <w:szCs w:val="32"/>
        </w:rPr>
      </w:pPr>
      <w:r>
        <w:rPr>
          <w:rFonts w:ascii="仿宋" w:hAnsi="仿宋" w:eastAsia="仿宋"/>
          <w:color w:val="000000"/>
          <w:sz w:val="32"/>
          <w:szCs w:val="32"/>
        </w:rPr>
        <w:t>阿坝州红原县公务服务中心无下属二级单位</w:t>
      </w:r>
    </w:p>
    <w:p w14:paraId="590994CF">
      <w:pPr>
        <w:widowControl/>
        <w:jc w:val="left"/>
        <w:rPr>
          <w:rFonts w:ascii="仿宋_GB2312" w:hAnsi="黑体" w:eastAsia="仿宋_GB2312"/>
          <w:b/>
          <w:bCs/>
          <w:color w:val="000000"/>
          <w:kern w:val="44"/>
          <w:sz w:val="44"/>
          <w:szCs w:val="44"/>
        </w:rPr>
      </w:pPr>
      <w:r>
        <w:rPr>
          <w:rFonts w:ascii="仿宋_GB2312" w:hAnsi="黑体" w:eastAsia="仿宋_GB2312"/>
          <w:color w:val="000000"/>
        </w:rPr>
        <w:br w:type="page"/>
      </w:r>
    </w:p>
    <w:p w14:paraId="7F607B28">
      <w:pPr>
        <w:pStyle w:val="3"/>
        <w:jc w:val="center"/>
        <w:rPr>
          <w:rFonts w:ascii="黑体" w:hAnsi="黑体" w:eastAsia="黑体" w:cs="黑体"/>
        </w:rPr>
      </w:pPr>
      <w:bookmarkStart w:id="28" w:name="_Toc111208498"/>
      <w:bookmarkStart w:id="29" w:name="_Toc9058"/>
      <w:r>
        <w:rPr>
          <w:rFonts w:hint="eastAsia" w:ascii="黑体" w:hAnsi="黑体" w:eastAsia="黑体" w:cs="黑体"/>
        </w:rPr>
        <w:t>第二部分</w:t>
      </w:r>
      <w:r>
        <w:rPr>
          <w:rFonts w:ascii="黑体" w:hAnsi="黑体" w:eastAsia="黑体" w:cs="黑体"/>
        </w:rPr>
        <w:t xml:space="preserve"> </w:t>
      </w:r>
      <w:r>
        <w:rPr>
          <w:rFonts w:hint="eastAsia" w:ascii="黑体" w:hAnsi="黑体" w:eastAsia="黑体" w:cs="黑体"/>
        </w:rPr>
        <w:t>202</w:t>
      </w:r>
      <w:r>
        <w:rPr>
          <w:rFonts w:hint="eastAsia" w:ascii="黑体" w:hAnsi="黑体" w:eastAsia="黑体" w:cs="黑体"/>
          <w:lang w:val="en-US" w:eastAsia="zh-CN"/>
        </w:rPr>
        <w:t>4</w:t>
      </w:r>
      <w:r>
        <w:rPr>
          <w:rFonts w:ascii="黑体" w:hAnsi="黑体" w:eastAsia="黑体" w:cs="黑体"/>
          <w:u w:color="auto"/>
        </w:rPr>
        <w:t>年度</w:t>
      </w:r>
      <w:r>
        <w:rPr>
          <w:rFonts w:hint="eastAsia" w:ascii="黑体" w:hAnsi="黑体" w:eastAsia="黑体" w:cs="黑体"/>
          <w:lang w:val="en-US" w:eastAsia="zh-CN"/>
        </w:rPr>
        <w:t>部门</w:t>
      </w:r>
      <w:r>
        <w:rPr>
          <w:rFonts w:hint="eastAsia" w:ascii="黑体" w:hAnsi="黑体" w:eastAsia="黑体" w:cs="黑体"/>
        </w:rPr>
        <w:t>决算情况说明</w:t>
      </w:r>
      <w:bookmarkEnd w:id="19"/>
      <w:bookmarkEnd w:id="28"/>
      <w:bookmarkEnd w:id="29"/>
    </w:p>
    <w:p w14:paraId="7158BC31">
      <w:pPr>
        <w:pStyle w:val="4"/>
        <w:ind w:firstLine="643" w:firstLineChars="200"/>
        <w:rPr>
          <w:rFonts w:ascii="黑体" w:eastAsia="黑体" w:cs="Times New Roman"/>
          <w:bCs w:val="0"/>
          <w:color w:val="000000"/>
        </w:rPr>
      </w:pPr>
      <w:bookmarkStart w:id="30" w:name="_Toc15377205"/>
      <w:bookmarkStart w:id="31" w:name="_Toc111208499"/>
      <w:bookmarkStart w:id="32" w:name="_Toc19710"/>
      <w:r>
        <w:rPr>
          <w:rFonts w:hint="eastAsia" w:ascii="黑体" w:eastAsia="黑体" w:cs="Times New Roman"/>
          <w:bCs w:val="0"/>
          <w:color w:val="000000"/>
        </w:rPr>
        <w:t>一、收入支出决算总体情况说</w:t>
      </w:r>
      <w:bookmarkEnd w:id="30"/>
      <w:r>
        <w:rPr>
          <w:rFonts w:hint="eastAsia" w:ascii="黑体" w:eastAsia="黑体" w:cs="Times New Roman"/>
          <w:bCs w:val="0"/>
          <w:color w:val="000000"/>
        </w:rPr>
        <w:t>明</w:t>
      </w:r>
      <w:bookmarkEnd w:id="31"/>
      <w:bookmarkEnd w:id="32"/>
    </w:p>
    <w:p w14:paraId="3DDE90A4">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年度收入总计</w:t>
      </w:r>
      <w:r>
        <w:rPr>
          <w:rFonts w:hint="eastAsia" w:ascii="仿宋" w:hAnsi="仿宋" w:eastAsia="仿宋"/>
          <w:color w:val="000000"/>
          <w:sz w:val="32"/>
          <w:u w:color="auto"/>
          <w:lang w:val="en-US" w:eastAsia="zh-CN"/>
        </w:rPr>
        <w:t>683.69</w:t>
      </w:r>
      <w:r>
        <w:rPr>
          <w:rFonts w:ascii="仿宋" w:hAnsi="仿宋" w:eastAsia="仿宋"/>
          <w:color w:val="000000"/>
          <w:sz w:val="32"/>
          <w:u w:color="auto"/>
        </w:rPr>
        <w:t>万元，支出总计</w:t>
      </w:r>
      <w:r>
        <w:rPr>
          <w:rFonts w:hint="eastAsia" w:ascii="仿宋" w:hAnsi="仿宋" w:eastAsia="仿宋"/>
          <w:color w:val="000000"/>
          <w:sz w:val="32"/>
          <w:u w:color="auto"/>
          <w:lang w:val="en-US" w:eastAsia="zh-CN"/>
        </w:rPr>
        <w:t>683.69</w:t>
      </w:r>
      <w:r>
        <w:rPr>
          <w:rFonts w:ascii="仿宋" w:hAnsi="仿宋" w:eastAsia="仿宋"/>
          <w:color w:val="000000"/>
          <w:sz w:val="32"/>
          <w:u w:color="auto"/>
        </w:rPr>
        <w:t>万元。与</w:t>
      </w: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年相比，收入总计</w:t>
      </w:r>
      <w:r>
        <w:rPr>
          <w:rFonts w:hint="eastAsia" w:ascii="仿宋" w:hAnsi="仿宋" w:eastAsia="仿宋"/>
          <w:color w:val="000000"/>
          <w:sz w:val="32"/>
          <w:szCs w:val="32"/>
          <w:lang w:val="en-US" w:eastAsia="zh-CN"/>
        </w:rPr>
        <w:t>减少</w:t>
      </w:r>
      <w:r>
        <w:rPr>
          <w:rFonts w:hint="eastAsia" w:ascii="仿宋" w:hAnsi="仿宋" w:eastAsia="仿宋"/>
          <w:color w:val="000000"/>
          <w:sz w:val="32"/>
          <w:u w:color="auto"/>
          <w:lang w:val="en-US" w:eastAsia="zh-CN"/>
        </w:rPr>
        <w:t>125.56</w:t>
      </w:r>
      <w:r>
        <w:rPr>
          <w:rFonts w:ascii="仿宋" w:hAnsi="仿宋" w:eastAsia="仿宋"/>
          <w:color w:val="000000"/>
          <w:sz w:val="32"/>
          <w:u w:color="auto"/>
        </w:rPr>
        <w:t>万元，</w:t>
      </w:r>
      <w:r>
        <w:rPr>
          <w:rFonts w:hint="eastAsia" w:ascii="仿宋" w:hAnsi="仿宋" w:eastAsia="仿宋"/>
          <w:color w:val="000000"/>
          <w:sz w:val="32"/>
          <w:u w:color="auto"/>
          <w:lang w:val="en-US" w:eastAsia="zh-CN"/>
        </w:rPr>
        <w:t>减少15.51</w:t>
      </w:r>
      <w:r>
        <w:rPr>
          <w:rFonts w:ascii="仿宋" w:hAnsi="仿宋" w:eastAsia="仿宋"/>
          <w:color w:val="000000"/>
          <w:sz w:val="32"/>
          <w:u w:color="auto"/>
        </w:rPr>
        <w:t>%，支出总计</w:t>
      </w:r>
      <w:r>
        <w:rPr>
          <w:rFonts w:hint="eastAsia" w:ascii="仿宋" w:hAnsi="仿宋" w:eastAsia="仿宋"/>
          <w:color w:val="000000"/>
          <w:sz w:val="32"/>
          <w:u w:color="auto"/>
          <w:lang w:val="en-US" w:eastAsia="zh-CN"/>
        </w:rPr>
        <w:t>减少125.56</w:t>
      </w:r>
      <w:r>
        <w:rPr>
          <w:rFonts w:ascii="仿宋" w:hAnsi="仿宋" w:eastAsia="仿宋"/>
          <w:color w:val="000000"/>
          <w:sz w:val="32"/>
          <w:u w:color="auto"/>
        </w:rPr>
        <w:t>万元，</w:t>
      </w:r>
      <w:r>
        <w:rPr>
          <w:rFonts w:hint="eastAsia" w:ascii="仿宋" w:hAnsi="仿宋" w:eastAsia="仿宋"/>
          <w:color w:val="000000"/>
          <w:sz w:val="32"/>
          <w:u w:color="auto"/>
          <w:lang w:val="en-US" w:eastAsia="zh-CN"/>
        </w:rPr>
        <w:t>减少15.51</w:t>
      </w:r>
      <w:r>
        <w:rPr>
          <w:rFonts w:ascii="仿宋" w:hAnsi="仿宋" w:eastAsia="仿宋"/>
          <w:color w:val="000000"/>
          <w:sz w:val="32"/>
          <w:u w:color="auto"/>
        </w:rPr>
        <w:t>%。</w:t>
      </w:r>
    </w:p>
    <w:p w14:paraId="7D040517">
      <w:pPr>
        <w:spacing w:line="600" w:lineRule="exact"/>
        <w:ind w:firstLine="640" w:firstLineChars="200"/>
        <w:rPr>
          <w:rFonts w:ascii="仿宋_GB2312" w:eastAsia="仿宋_GB2312"/>
          <w:color w:val="000000"/>
          <w:sz w:val="28"/>
          <w:szCs w:val="28"/>
        </w:rPr>
      </w:pPr>
      <w:r>
        <w:rPr>
          <w:rFonts w:hint="eastAsia" w:ascii="仿宋" w:hAnsi="仿宋" w:eastAsia="仿宋"/>
          <w:color w:val="000000"/>
          <w:sz w:val="32"/>
          <w:szCs w:val="32"/>
        </w:rPr>
        <w:t>主要变动原因是项目活动</w:t>
      </w:r>
      <w:r>
        <w:rPr>
          <w:rFonts w:hint="eastAsia" w:ascii="仿宋" w:hAnsi="仿宋" w:eastAsia="仿宋"/>
          <w:color w:val="000000"/>
          <w:sz w:val="32"/>
          <w:szCs w:val="32"/>
          <w:lang w:val="en-US" w:eastAsia="zh-CN"/>
        </w:rPr>
        <w:t>减少</w:t>
      </w:r>
      <w:r>
        <w:rPr>
          <w:rFonts w:hint="eastAsia" w:ascii="仿宋" w:hAnsi="仿宋" w:eastAsia="仿宋"/>
          <w:color w:val="000000"/>
          <w:sz w:val="32"/>
          <w:szCs w:val="32"/>
        </w:rPr>
        <w:t xml:space="preserve">。 </w:t>
      </w:r>
    </w:p>
    <w:p w14:paraId="2F739676">
      <w:pPr>
        <w:pStyle w:val="6"/>
      </w:pPr>
      <w:r>
        <w:drawing>
          <wp:inline distT="0" distB="0" distL="114300" distR="114300">
            <wp:extent cx="5343525" cy="2933700"/>
            <wp:effectExtent l="5080" t="4445" r="4445" b="508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56BD501A">
      <w:pPr>
        <w:spacing w:line="600" w:lineRule="exact"/>
        <w:ind w:firstLine="640" w:firstLineChars="200"/>
        <w:jc w:val="center"/>
      </w:pPr>
      <w:r>
        <w:rPr>
          <w:rFonts w:hint="eastAsia" w:ascii="仿宋" w:hAnsi="仿宋" w:eastAsia="仿宋"/>
          <w:color w:val="000000"/>
          <w:sz w:val="32"/>
          <w:szCs w:val="32"/>
        </w:rPr>
        <w:t>（图1：收、支决算总计变动情况图）</w:t>
      </w:r>
    </w:p>
    <w:p w14:paraId="09165E5F">
      <w:pPr>
        <w:pStyle w:val="4"/>
        <w:ind w:firstLine="643" w:firstLineChars="200"/>
        <w:rPr>
          <w:rFonts w:ascii="黑体" w:eastAsia="黑体" w:cs="Times New Roman"/>
          <w:bCs w:val="0"/>
          <w:color w:val="000000"/>
        </w:rPr>
      </w:pPr>
      <w:bookmarkStart w:id="33" w:name="_Toc111208500"/>
      <w:bookmarkStart w:id="34" w:name="_Toc8125"/>
      <w:bookmarkStart w:id="35" w:name="_Toc15377206"/>
      <w:r>
        <w:rPr>
          <w:rFonts w:hint="eastAsia" w:ascii="黑体" w:eastAsia="黑体" w:cs="Times New Roman"/>
          <w:bCs w:val="0"/>
          <w:color w:val="000000"/>
        </w:rPr>
        <w:t>二、收入决算情况说明</w:t>
      </w:r>
      <w:bookmarkEnd w:id="33"/>
      <w:bookmarkEnd w:id="34"/>
      <w:bookmarkEnd w:id="35"/>
    </w:p>
    <w:p w14:paraId="58FF0EAA">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4</w:t>
      </w:r>
      <w:r>
        <w:rPr>
          <w:rFonts w:ascii="仿宋" w:hAnsi="仿宋" w:eastAsia="仿宋"/>
          <w:color w:val="000000"/>
          <w:sz w:val="32"/>
          <w:u w:color="auto"/>
        </w:rPr>
        <w:t>年本年收入合计</w:t>
      </w:r>
      <w:r>
        <w:rPr>
          <w:rFonts w:hint="eastAsia" w:ascii="仿宋" w:hAnsi="仿宋" w:eastAsia="仿宋"/>
          <w:color w:val="000000"/>
          <w:sz w:val="32"/>
          <w:u w:color="auto"/>
          <w:lang w:val="en-US" w:eastAsia="zh-CN"/>
        </w:rPr>
        <w:t>683.69</w:t>
      </w:r>
      <w:r>
        <w:rPr>
          <w:rFonts w:ascii="仿宋" w:hAnsi="仿宋" w:eastAsia="仿宋"/>
          <w:color w:val="000000"/>
          <w:sz w:val="32"/>
          <w:u w:color="auto"/>
        </w:rPr>
        <w:t>万元</w:t>
      </w:r>
      <w:r>
        <w:rPr>
          <w:rFonts w:hint="eastAsia" w:ascii="仿宋" w:hAnsi="仿宋" w:eastAsia="仿宋"/>
          <w:color w:val="000000"/>
          <w:sz w:val="32"/>
          <w:szCs w:val="32"/>
          <w:lang w:val="en-US" w:eastAsia="zh-CN"/>
        </w:rPr>
        <w:t>，其中:一般公共预算财政拨款收入683.69万元，占100.00%</w:t>
      </w:r>
      <w:r>
        <w:rPr>
          <w:rFonts w:hint="eastAsia" w:ascii="仿宋" w:hAnsi="仿宋" w:eastAsia="仿宋"/>
          <w:color w:val="000000"/>
          <w:sz w:val="32"/>
          <w:szCs w:val="32"/>
        </w:rPr>
        <w:t>。</w:t>
      </w:r>
    </w:p>
    <w:p w14:paraId="3AD10130">
      <w:pPr>
        <w:pStyle w:val="19"/>
        <w:ind w:left="1060" w:hanging="640"/>
        <w:jc w:val="center"/>
        <w:rPr>
          <w:rFonts w:hint="eastAsia"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5332730" cy="3400425"/>
            <wp:effectExtent l="0" t="0" r="1270" b="95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93D842C">
      <w:pPr>
        <w:spacing w:line="600" w:lineRule="exact"/>
        <w:ind w:firstLine="640" w:firstLineChars="200"/>
        <w:jc w:val="center"/>
      </w:pPr>
      <w:r>
        <w:rPr>
          <w:rFonts w:hint="eastAsia" w:ascii="仿宋" w:hAnsi="仿宋" w:eastAsia="仿宋"/>
          <w:color w:val="000000"/>
          <w:sz w:val="32"/>
          <w:szCs w:val="32"/>
        </w:rPr>
        <w:t>（图2：收入决算结构图）</w:t>
      </w:r>
    </w:p>
    <w:p w14:paraId="37B6503D">
      <w:pPr>
        <w:pStyle w:val="4"/>
        <w:ind w:firstLine="643" w:firstLineChars="200"/>
        <w:rPr>
          <w:rFonts w:ascii="黑体" w:eastAsia="黑体" w:cs="Times New Roman"/>
          <w:bCs w:val="0"/>
          <w:color w:val="000000"/>
        </w:rPr>
      </w:pPr>
      <w:bookmarkStart w:id="36" w:name="_Toc28283"/>
      <w:bookmarkStart w:id="37" w:name="_Toc111208501"/>
      <w:bookmarkStart w:id="38" w:name="_Toc15377207"/>
      <w:r>
        <w:rPr>
          <w:rFonts w:hint="eastAsia" w:ascii="黑体" w:eastAsia="黑体" w:cs="Times New Roman"/>
          <w:bCs w:val="0"/>
          <w:color w:val="000000"/>
        </w:rPr>
        <w:t>三、支出决算情况说明</w:t>
      </w:r>
      <w:bookmarkEnd w:id="36"/>
      <w:bookmarkEnd w:id="37"/>
      <w:bookmarkEnd w:id="38"/>
    </w:p>
    <w:p w14:paraId="086E7470">
      <w:pPr>
        <w:pStyle w:val="6"/>
        <w:rPr>
          <w:rFonts w:ascii="仿宋" w:hAnsi="仿宋" w:eastAsia="仿宋"/>
          <w:color w:val="000000"/>
          <w:sz w:val="32"/>
          <w:szCs w:val="32"/>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4</w:t>
      </w:r>
      <w:r>
        <w:rPr>
          <w:rFonts w:ascii="仿宋" w:hAnsi="仿宋" w:eastAsia="仿宋"/>
          <w:color w:val="000000"/>
          <w:sz w:val="32"/>
          <w:szCs w:val="32"/>
        </w:rPr>
        <w:t>年本年支出合计</w:t>
      </w:r>
      <w:r>
        <w:rPr>
          <w:rFonts w:hint="eastAsia" w:ascii="仿宋" w:hAnsi="仿宋" w:eastAsia="仿宋"/>
          <w:color w:val="000000"/>
          <w:sz w:val="32"/>
          <w:szCs w:val="32"/>
          <w:lang w:val="en-US" w:eastAsia="zh-CN"/>
        </w:rPr>
        <w:t>683.69</w:t>
      </w:r>
      <w:r>
        <w:rPr>
          <w:rFonts w:ascii="仿宋" w:hAnsi="仿宋" w:eastAsia="仿宋"/>
          <w:color w:val="000000"/>
          <w:sz w:val="32"/>
          <w:szCs w:val="32"/>
        </w:rPr>
        <w:t>万元</w:t>
      </w:r>
      <w:r>
        <w:rPr>
          <w:rFonts w:hint="eastAsia" w:ascii="仿宋" w:hAnsi="仿宋" w:eastAsia="仿宋"/>
          <w:color w:val="000000"/>
          <w:sz w:val="32"/>
          <w:szCs w:val="32"/>
          <w:lang w:val="en-US" w:eastAsia="zh-CN"/>
        </w:rPr>
        <w:t>，其中:基本支出258.59万元，占37.82%；项目支出425.09万元，占62.18%</w:t>
      </w:r>
      <w:r>
        <w:rPr>
          <w:rFonts w:ascii="仿宋" w:hAnsi="仿宋" w:eastAsia="仿宋"/>
          <w:color w:val="000000"/>
          <w:sz w:val="32"/>
          <w:szCs w:val="32"/>
        </w:rPr>
        <w:t>。</w:t>
      </w:r>
    </w:p>
    <w:p w14:paraId="0C590A73">
      <w:pPr>
        <w:jc w:val="center"/>
        <w:rPr>
          <w:rFonts w:hint="eastAsia"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5304155" cy="3429000"/>
            <wp:effectExtent l="0" t="0" r="10795"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4755376">
      <w:pPr>
        <w:spacing w:line="60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rPr>
        <w:t>（图3：支出决算结构图）</w:t>
      </w:r>
    </w:p>
    <w:p w14:paraId="4E513399">
      <w:pPr>
        <w:pStyle w:val="4"/>
        <w:ind w:firstLine="643" w:firstLineChars="200"/>
        <w:rPr>
          <w:rFonts w:ascii="黑体" w:eastAsia="黑体" w:cs="Times New Roman"/>
          <w:bCs w:val="0"/>
          <w:color w:val="000000"/>
        </w:rPr>
      </w:pPr>
      <w:bookmarkStart w:id="39" w:name="_Toc15377208"/>
      <w:bookmarkStart w:id="40" w:name="_Toc19521"/>
      <w:bookmarkStart w:id="41" w:name="_Toc111208502"/>
      <w:r>
        <w:rPr>
          <w:rFonts w:hint="eastAsia" w:ascii="黑体" w:eastAsia="黑体" w:cs="Times New Roman"/>
          <w:bCs w:val="0"/>
          <w:color w:val="000000"/>
        </w:rPr>
        <w:t>四、财政拨款收入支出决算总体情况说明</w:t>
      </w:r>
      <w:bookmarkEnd w:id="39"/>
      <w:bookmarkEnd w:id="40"/>
      <w:bookmarkEnd w:id="41"/>
    </w:p>
    <w:p w14:paraId="7EDEE61A">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4</w:t>
      </w:r>
      <w:r>
        <w:rPr>
          <w:rFonts w:ascii="仿宋" w:hAnsi="仿宋" w:eastAsia="仿宋"/>
          <w:color w:val="000000"/>
          <w:sz w:val="32"/>
          <w:u w:color="auto"/>
        </w:rPr>
        <w:t>年财政拨款收入总计</w:t>
      </w:r>
      <w:r>
        <w:rPr>
          <w:rFonts w:hint="eastAsia" w:ascii="仿宋" w:hAnsi="仿宋" w:eastAsia="仿宋"/>
          <w:color w:val="000000"/>
          <w:sz w:val="32"/>
          <w:u w:color="auto"/>
          <w:lang w:val="en-US" w:eastAsia="zh-CN"/>
        </w:rPr>
        <w:t>683.69</w:t>
      </w:r>
      <w:r>
        <w:rPr>
          <w:rFonts w:ascii="仿宋" w:hAnsi="仿宋" w:eastAsia="仿宋"/>
          <w:color w:val="000000"/>
          <w:sz w:val="32"/>
          <w:u w:color="auto"/>
        </w:rPr>
        <w:t>万元，财政拨款支出总计</w:t>
      </w:r>
      <w:r>
        <w:rPr>
          <w:rFonts w:hint="eastAsia" w:ascii="仿宋" w:hAnsi="仿宋" w:eastAsia="仿宋"/>
          <w:color w:val="000000"/>
          <w:sz w:val="32"/>
          <w:u w:color="auto"/>
          <w:lang w:val="en-US" w:eastAsia="zh-CN"/>
        </w:rPr>
        <w:t>683.69</w:t>
      </w:r>
      <w:r>
        <w:rPr>
          <w:rFonts w:ascii="仿宋" w:hAnsi="仿宋" w:eastAsia="仿宋"/>
          <w:color w:val="000000"/>
          <w:sz w:val="32"/>
          <w:u w:color="auto"/>
        </w:rPr>
        <w:t>万元。与202</w:t>
      </w:r>
      <w:r>
        <w:rPr>
          <w:rFonts w:hint="eastAsia" w:ascii="仿宋" w:hAnsi="仿宋" w:eastAsia="仿宋"/>
          <w:color w:val="000000"/>
          <w:sz w:val="32"/>
          <w:u w:color="auto"/>
          <w:lang w:val="en-US" w:eastAsia="zh-CN"/>
        </w:rPr>
        <w:t>3</w:t>
      </w:r>
      <w:r>
        <w:rPr>
          <w:rFonts w:ascii="仿宋" w:hAnsi="仿宋" w:eastAsia="仿宋"/>
          <w:color w:val="000000"/>
          <w:sz w:val="32"/>
          <w:u w:color="auto"/>
        </w:rPr>
        <w:t>年相比，财政拨款收入总计</w:t>
      </w:r>
      <w:r>
        <w:rPr>
          <w:rFonts w:hint="eastAsia" w:ascii="仿宋" w:hAnsi="仿宋" w:eastAsia="仿宋"/>
          <w:color w:val="000000"/>
          <w:sz w:val="32"/>
          <w:u w:color="auto"/>
          <w:lang w:val="en-US" w:eastAsia="zh-CN"/>
        </w:rPr>
        <w:t>减少125.56</w:t>
      </w:r>
      <w:r>
        <w:rPr>
          <w:rFonts w:ascii="仿宋" w:hAnsi="仿宋" w:eastAsia="仿宋"/>
          <w:color w:val="000000"/>
          <w:sz w:val="32"/>
          <w:u w:color="auto"/>
        </w:rPr>
        <w:t>万元，</w:t>
      </w:r>
      <w:r>
        <w:rPr>
          <w:rFonts w:hint="eastAsia" w:ascii="仿宋" w:hAnsi="仿宋" w:eastAsia="仿宋"/>
          <w:color w:val="000000"/>
          <w:sz w:val="32"/>
          <w:u w:color="auto"/>
          <w:lang w:val="en-US" w:eastAsia="zh-CN"/>
        </w:rPr>
        <w:t>减少15.51</w:t>
      </w:r>
      <w:r>
        <w:rPr>
          <w:rFonts w:ascii="仿宋" w:hAnsi="仿宋" w:eastAsia="仿宋"/>
          <w:color w:val="000000"/>
          <w:sz w:val="32"/>
          <w:u w:color="auto"/>
        </w:rPr>
        <w:t>%，财政拨款支出总计</w:t>
      </w:r>
      <w:r>
        <w:rPr>
          <w:rFonts w:hint="eastAsia" w:ascii="仿宋" w:hAnsi="仿宋" w:eastAsia="仿宋"/>
          <w:color w:val="000000"/>
          <w:sz w:val="32"/>
          <w:u w:color="auto"/>
          <w:lang w:val="en-US" w:eastAsia="zh-CN"/>
        </w:rPr>
        <w:t>减少125.56</w:t>
      </w:r>
      <w:r>
        <w:rPr>
          <w:rFonts w:ascii="仿宋" w:hAnsi="仿宋" w:eastAsia="仿宋"/>
          <w:color w:val="000000"/>
          <w:sz w:val="32"/>
          <w:u w:color="auto"/>
        </w:rPr>
        <w:t>万元，</w:t>
      </w:r>
      <w:r>
        <w:rPr>
          <w:rFonts w:hint="eastAsia" w:ascii="仿宋" w:hAnsi="仿宋" w:eastAsia="仿宋"/>
          <w:color w:val="000000"/>
          <w:sz w:val="32"/>
          <w:u w:color="auto"/>
          <w:lang w:val="en-US" w:eastAsia="zh-CN"/>
        </w:rPr>
        <w:t>减少15.51</w:t>
      </w:r>
      <w:r>
        <w:rPr>
          <w:rFonts w:ascii="仿宋" w:hAnsi="仿宋" w:eastAsia="仿宋"/>
          <w:color w:val="000000"/>
          <w:sz w:val="32"/>
          <w:u w:color="auto"/>
        </w:rPr>
        <w:t>%。</w:t>
      </w:r>
    </w:p>
    <w:p w14:paraId="57CC425E">
      <w:pPr>
        <w:pStyle w:val="6"/>
        <w:jc w:val="left"/>
        <w:rPr>
          <w:rFonts w:hint="eastAsia" w:ascii="仿宋_GB2312" w:hAnsi="仿宋" w:eastAsia="仿宋_GB2312"/>
          <w:color w:val="000000"/>
          <w:sz w:val="32"/>
          <w:szCs w:val="32"/>
        </w:rPr>
      </w:pPr>
      <w:r>
        <w:rPr>
          <w:rFonts w:hint="eastAsia" w:ascii="仿宋" w:hAnsi="仿宋" w:eastAsia="仿宋"/>
          <w:color w:val="000000"/>
          <w:sz w:val="32"/>
          <w:szCs w:val="32"/>
        </w:rPr>
        <w:t>主要变动原因是项目活动</w:t>
      </w:r>
      <w:r>
        <w:rPr>
          <w:rFonts w:hint="eastAsia" w:ascii="仿宋" w:hAnsi="仿宋" w:eastAsia="仿宋"/>
          <w:color w:val="000000"/>
          <w:sz w:val="32"/>
          <w:szCs w:val="32"/>
          <w:lang w:val="en-US" w:eastAsia="zh-CN"/>
        </w:rPr>
        <w:t>减少</w:t>
      </w:r>
      <w:r>
        <w:rPr>
          <w:rFonts w:hint="eastAsia" w:ascii="仿宋" w:hAnsi="仿宋" w:eastAsia="仿宋"/>
          <w:color w:val="000000"/>
          <w:sz w:val="32"/>
          <w:szCs w:val="32"/>
        </w:rPr>
        <w:t>。</w:t>
      </w:r>
      <w:r>
        <w:rPr>
          <w:rFonts w:hint="eastAsia" w:ascii="仿宋_GB2312" w:hAnsi="仿宋" w:eastAsia="仿宋_GB2312"/>
          <w:color w:val="000000"/>
          <w:sz w:val="32"/>
          <w:szCs w:val="32"/>
        </w:rPr>
        <w:drawing>
          <wp:inline distT="0" distB="0" distL="0" distR="0">
            <wp:extent cx="5062855" cy="3196590"/>
            <wp:effectExtent l="4445" t="4445" r="9525" b="889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5613378">
      <w:pPr>
        <w:spacing w:line="600" w:lineRule="exact"/>
        <w:ind w:firstLine="640" w:firstLineChars="200"/>
        <w:jc w:val="center"/>
      </w:pPr>
      <w:r>
        <w:rPr>
          <w:rFonts w:hint="eastAsia" w:ascii="仿宋" w:hAnsi="仿宋" w:eastAsia="仿宋"/>
          <w:color w:val="000000"/>
          <w:sz w:val="32"/>
          <w:szCs w:val="32"/>
        </w:rPr>
        <w:t>（图4：财政拨款收、支决算总计变动情况）</w:t>
      </w:r>
    </w:p>
    <w:p w14:paraId="7C84C55C">
      <w:pPr>
        <w:pStyle w:val="4"/>
        <w:ind w:firstLine="643" w:firstLineChars="200"/>
        <w:rPr>
          <w:rFonts w:ascii="黑体" w:eastAsia="黑体" w:cs="Times New Roman"/>
          <w:bCs w:val="0"/>
          <w:color w:val="000000"/>
        </w:rPr>
      </w:pPr>
      <w:bookmarkStart w:id="42" w:name="_Toc15377209"/>
      <w:bookmarkStart w:id="43" w:name="_Toc14368"/>
      <w:bookmarkStart w:id="44" w:name="_Toc111208503"/>
      <w:r>
        <w:rPr>
          <w:rFonts w:hint="eastAsia" w:ascii="黑体" w:eastAsia="黑体" w:cs="Times New Roman"/>
          <w:bCs w:val="0"/>
          <w:color w:val="000000"/>
        </w:rPr>
        <w:t>五、一般公共预算财政拨款支出决算情况说</w:t>
      </w:r>
      <w:bookmarkEnd w:id="42"/>
      <w:r>
        <w:rPr>
          <w:rFonts w:hint="eastAsia" w:ascii="黑体" w:eastAsia="黑体" w:cs="Times New Roman"/>
          <w:bCs w:val="0"/>
          <w:color w:val="000000"/>
        </w:rPr>
        <w:t>明</w:t>
      </w:r>
      <w:bookmarkEnd w:id="43"/>
      <w:bookmarkEnd w:id="44"/>
    </w:p>
    <w:p w14:paraId="6E87A6F0">
      <w:pPr>
        <w:spacing w:line="600" w:lineRule="exact"/>
        <w:ind w:firstLine="643" w:firstLineChars="200"/>
        <w:outlineLvl w:val="2"/>
        <w:rPr>
          <w:rFonts w:ascii="仿宋" w:hAnsi="仿宋" w:eastAsia="仿宋"/>
          <w:b/>
          <w:color w:val="000000"/>
          <w:sz w:val="32"/>
          <w:szCs w:val="32"/>
        </w:rPr>
      </w:pPr>
      <w:bookmarkStart w:id="45" w:name="_Toc15377210"/>
      <w:r>
        <w:rPr>
          <w:rFonts w:hint="eastAsia" w:ascii="仿宋" w:hAnsi="仿宋" w:eastAsia="仿宋"/>
          <w:b/>
          <w:color w:val="000000"/>
          <w:sz w:val="32"/>
          <w:szCs w:val="32"/>
        </w:rPr>
        <w:t>（一）一般公共预算财政拨款支出决算总体情况</w:t>
      </w:r>
      <w:bookmarkEnd w:id="45"/>
    </w:p>
    <w:p w14:paraId="0D40A298">
      <w:pPr>
        <w:spacing w:line="600" w:lineRule="exact"/>
        <w:ind w:firstLine="640" w:firstLineChars="200"/>
        <w:rPr>
          <w:rFonts w:ascii="仿宋_GB2312" w:hAnsi="仿宋" w:eastAsia="仿宋_GB2312"/>
          <w:color w:val="000000"/>
          <w:sz w:val="32"/>
          <w:szCs w:val="32"/>
        </w:rPr>
      </w:pPr>
      <w:bookmarkStart w:id="46" w:name="_Toc15377211"/>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4</w:t>
      </w:r>
      <w:r>
        <w:rPr>
          <w:rFonts w:ascii="仿宋" w:hAnsi="仿宋" w:eastAsia="仿宋"/>
          <w:color w:val="000000"/>
          <w:sz w:val="32"/>
          <w:u w:color="auto"/>
        </w:rPr>
        <w:t>年一般公共预算财政拨款支出</w:t>
      </w:r>
      <w:r>
        <w:rPr>
          <w:rFonts w:hint="eastAsia" w:ascii="仿宋" w:hAnsi="仿宋" w:eastAsia="仿宋"/>
          <w:color w:val="000000"/>
          <w:sz w:val="32"/>
          <w:u w:color="auto"/>
          <w:lang w:val="en-US" w:eastAsia="zh-CN"/>
        </w:rPr>
        <w:t>683.69</w:t>
      </w:r>
      <w:r>
        <w:rPr>
          <w:rFonts w:hint="eastAsia" w:ascii="仿宋" w:hAnsi="仿宋" w:eastAsia="仿宋"/>
          <w:color w:val="000000"/>
          <w:sz w:val="32"/>
          <w:szCs w:val="32"/>
        </w:rPr>
        <w:t>万元，占本年支出合计的</w:t>
      </w:r>
      <w:r>
        <w:rPr>
          <w:rFonts w:ascii="仿宋" w:hAnsi="仿宋" w:eastAsia="仿宋"/>
          <w:color w:val="000000"/>
          <w:sz w:val="32"/>
          <w:u w:color="auto"/>
        </w:rPr>
        <w:t>100.00</w:t>
      </w:r>
      <w:r>
        <w:rPr>
          <w:rFonts w:hint="eastAsia" w:ascii="仿宋" w:hAnsi="仿宋" w:eastAsia="仿宋"/>
          <w:color w:val="000000"/>
          <w:sz w:val="32"/>
          <w:szCs w:val="32"/>
        </w:rPr>
        <w:t>%。与</w:t>
      </w:r>
      <w:r>
        <w:rPr>
          <w:rFonts w:ascii="仿宋" w:hAnsi="仿宋" w:eastAsia="仿宋"/>
          <w:color w:val="000000"/>
          <w:sz w:val="32"/>
          <w:u w:color="auto"/>
        </w:rPr>
        <w:t>202</w:t>
      </w:r>
      <w:r>
        <w:rPr>
          <w:rFonts w:hint="eastAsia" w:ascii="仿宋" w:hAnsi="仿宋" w:eastAsia="仿宋"/>
          <w:color w:val="000000"/>
          <w:sz w:val="32"/>
          <w:u w:color="auto"/>
          <w:lang w:val="en-US" w:eastAsia="zh-CN"/>
        </w:rPr>
        <w:t>3</w:t>
      </w:r>
      <w:r>
        <w:rPr>
          <w:rFonts w:ascii="仿宋" w:hAnsi="仿宋" w:eastAsia="仿宋"/>
          <w:color w:val="000000"/>
          <w:sz w:val="32"/>
          <w:u w:color="auto"/>
        </w:rPr>
        <w:t>相比，一般公共预算财政拨款</w:t>
      </w:r>
      <w:r>
        <w:rPr>
          <w:rFonts w:hint="eastAsia" w:ascii="仿宋" w:hAnsi="仿宋" w:eastAsia="仿宋"/>
          <w:color w:val="000000"/>
          <w:sz w:val="32"/>
          <w:u w:color="auto"/>
          <w:lang w:val="en-US" w:eastAsia="zh-CN"/>
        </w:rPr>
        <w:t>减少125.56</w:t>
      </w:r>
      <w:r>
        <w:rPr>
          <w:rFonts w:hint="eastAsia" w:ascii="仿宋" w:hAnsi="仿宋" w:eastAsia="仿宋"/>
          <w:color w:val="000000"/>
          <w:sz w:val="32"/>
          <w:szCs w:val="32"/>
        </w:rPr>
        <w:t>万元，</w:t>
      </w:r>
      <w:r>
        <w:rPr>
          <w:rFonts w:hint="eastAsia" w:ascii="仿宋" w:hAnsi="仿宋" w:eastAsia="仿宋"/>
          <w:color w:val="000000"/>
          <w:sz w:val="32"/>
          <w:u w:color="auto"/>
          <w:lang w:val="en-US" w:eastAsia="zh-CN"/>
        </w:rPr>
        <w:t>减少15.51</w:t>
      </w:r>
      <w:r>
        <w:rPr>
          <w:rFonts w:hint="eastAsia" w:ascii="仿宋" w:hAnsi="仿宋" w:eastAsia="仿宋"/>
          <w:color w:val="000000"/>
          <w:sz w:val="32"/>
          <w:szCs w:val="32"/>
        </w:rPr>
        <w:t xml:space="preserve"> %。</w:t>
      </w:r>
      <w:r>
        <w:rPr>
          <w:rFonts w:ascii="仿宋" w:hAnsi="仿宋" w:eastAsia="仿宋"/>
          <w:color w:val="000000"/>
          <w:sz w:val="32"/>
          <w:u w:color="auto"/>
        </w:rPr>
        <w:t>主要变动原因是项目活动</w:t>
      </w:r>
      <w:r>
        <w:rPr>
          <w:rFonts w:hint="eastAsia" w:ascii="仿宋" w:hAnsi="仿宋" w:eastAsia="仿宋"/>
          <w:color w:val="000000"/>
          <w:sz w:val="32"/>
          <w:u w:color="auto"/>
          <w:lang w:val="en-US" w:eastAsia="zh-CN"/>
        </w:rPr>
        <w:t>减少</w:t>
      </w:r>
      <w:r>
        <w:rPr>
          <w:rFonts w:ascii="仿宋" w:hAnsi="仿宋" w:eastAsia="仿宋"/>
          <w:color w:val="000000"/>
          <w:sz w:val="32"/>
          <w:u w:color="auto"/>
        </w:rPr>
        <w:t>。</w:t>
      </w:r>
    </w:p>
    <w:p w14:paraId="5A79EB88">
      <w:pPr>
        <w:pStyle w:val="6"/>
        <w:ind w:firstLine="0"/>
        <w:rPr>
          <w:rFonts w:ascii="仿宋_GB2312" w:hAnsi="仿宋" w:eastAsia="仿宋_GB2312"/>
          <w:b/>
          <w:color w:val="000000"/>
          <w:sz w:val="32"/>
          <w:szCs w:val="32"/>
        </w:rPr>
      </w:pPr>
      <w:r>
        <w:rPr>
          <w:rFonts w:hint="eastAsia" w:ascii="仿宋_GB2312" w:hAnsi="仿宋" w:eastAsia="仿宋_GB2312"/>
          <w:b/>
          <w:color w:val="000000"/>
          <w:sz w:val="32"/>
          <w:szCs w:val="32"/>
        </w:rPr>
        <w:drawing>
          <wp:inline distT="0" distB="0" distL="0" distR="0">
            <wp:extent cx="4905375" cy="3569970"/>
            <wp:effectExtent l="0" t="0" r="9525" b="1143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2E253AE">
      <w:pPr>
        <w:spacing w:line="600" w:lineRule="exact"/>
        <w:ind w:firstLine="640" w:firstLineChars="200"/>
        <w:rPr>
          <w:rFonts w:hint="eastAsia" w:ascii="仿宋" w:hAnsi="仿宋" w:eastAsia="仿宋"/>
          <w:b/>
          <w:color w:val="000000"/>
          <w:sz w:val="32"/>
          <w:szCs w:val="32"/>
        </w:rPr>
      </w:pPr>
      <w:r>
        <w:rPr>
          <w:rFonts w:hint="eastAsia" w:ascii="仿宋" w:hAnsi="仿宋" w:eastAsia="仿宋"/>
          <w:color w:val="000000"/>
          <w:sz w:val="32"/>
          <w:szCs w:val="32"/>
        </w:rPr>
        <w:t>（图5：一般公共预算财政拨款支出决算变动情况）</w:t>
      </w:r>
    </w:p>
    <w:p w14:paraId="2F553C08">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46"/>
      <w:r>
        <w:rPr>
          <w:rFonts w:hint="eastAsia" w:ascii="仿宋" w:hAnsi="仿宋" w:eastAsia="仿宋"/>
          <w:b/>
          <w:color w:val="000000"/>
          <w:sz w:val="32"/>
          <w:szCs w:val="32"/>
        </w:rPr>
        <w:t>（一般公共预算收支表）</w:t>
      </w:r>
    </w:p>
    <w:p w14:paraId="6A1BC10D">
      <w:pPr>
        <w:spacing w:line="60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4</w:t>
      </w:r>
      <w:r>
        <w:rPr>
          <w:rFonts w:ascii="仿宋" w:hAnsi="仿宋" w:eastAsia="仿宋"/>
          <w:color w:val="000000"/>
          <w:sz w:val="32"/>
          <w:u w:color="auto"/>
        </w:rPr>
        <w:t>年一般公共预算财政拨款支出</w:t>
      </w:r>
      <w:r>
        <w:rPr>
          <w:rFonts w:hint="eastAsia" w:ascii="仿宋" w:hAnsi="仿宋" w:eastAsia="仿宋"/>
          <w:color w:val="000000"/>
          <w:sz w:val="32"/>
          <w:u w:color="auto"/>
          <w:lang w:val="en-US" w:eastAsia="zh-CN"/>
        </w:rPr>
        <w:t>683.69</w:t>
      </w:r>
      <w:r>
        <w:rPr>
          <w:rFonts w:hint="eastAsia" w:ascii="仿宋" w:hAnsi="仿宋" w:eastAsia="仿宋"/>
          <w:color w:val="000000"/>
          <w:sz w:val="32"/>
          <w:szCs w:val="32"/>
        </w:rPr>
        <w:t xml:space="preserve">万元，主要用于以下方面: </w:t>
      </w:r>
      <w:r>
        <w:rPr>
          <w:rFonts w:ascii="仿宋" w:hAnsi="仿宋" w:eastAsia="仿宋"/>
          <w:color w:val="000000"/>
          <w:sz w:val="32"/>
          <w:u w:color="auto"/>
        </w:rPr>
        <w:t>一般公共服务支出</w:t>
      </w:r>
      <w:r>
        <w:rPr>
          <w:rFonts w:hint="eastAsia" w:ascii="仿宋" w:hAnsi="仿宋" w:eastAsia="仿宋"/>
          <w:color w:val="000000"/>
          <w:sz w:val="32"/>
          <w:u w:color="auto"/>
          <w:lang w:val="en-US" w:eastAsia="zh-CN"/>
        </w:rPr>
        <w:t>614.62</w:t>
      </w:r>
      <w:r>
        <w:rPr>
          <w:rFonts w:ascii="仿宋" w:hAnsi="仿宋" w:eastAsia="仿宋"/>
          <w:color w:val="000000"/>
          <w:sz w:val="32"/>
          <w:u w:color="auto"/>
        </w:rPr>
        <w:t>万元，占</w:t>
      </w:r>
      <w:r>
        <w:rPr>
          <w:rFonts w:hint="eastAsia" w:ascii="仿宋" w:hAnsi="仿宋" w:eastAsia="仿宋"/>
          <w:color w:val="000000"/>
          <w:sz w:val="32"/>
          <w:u w:color="auto"/>
          <w:lang w:val="en-US" w:eastAsia="zh-CN"/>
        </w:rPr>
        <w:t>89.90</w:t>
      </w:r>
      <w:r>
        <w:rPr>
          <w:rFonts w:ascii="仿宋" w:hAnsi="仿宋" w:eastAsia="仿宋"/>
          <w:color w:val="000000"/>
          <w:sz w:val="32"/>
          <w:u w:color="auto"/>
        </w:rPr>
        <w:t>%；社会保障和就业支出</w:t>
      </w:r>
      <w:r>
        <w:rPr>
          <w:rFonts w:hint="eastAsia" w:ascii="仿宋" w:hAnsi="仿宋" w:eastAsia="仿宋"/>
          <w:color w:val="000000"/>
          <w:sz w:val="32"/>
          <w:u w:color="auto"/>
          <w:lang w:val="en-US" w:eastAsia="zh-CN"/>
        </w:rPr>
        <w:t>33.86</w:t>
      </w:r>
      <w:r>
        <w:rPr>
          <w:rFonts w:ascii="仿宋" w:hAnsi="仿宋" w:eastAsia="仿宋"/>
          <w:color w:val="000000"/>
          <w:sz w:val="32"/>
          <w:u w:color="auto"/>
        </w:rPr>
        <w:t>万元，占</w:t>
      </w:r>
      <w:r>
        <w:rPr>
          <w:rFonts w:hint="eastAsia" w:ascii="仿宋" w:hAnsi="仿宋" w:eastAsia="仿宋"/>
          <w:color w:val="000000"/>
          <w:sz w:val="32"/>
          <w:u w:color="auto"/>
          <w:lang w:val="en-US" w:eastAsia="zh-CN"/>
        </w:rPr>
        <w:t>4.95</w:t>
      </w:r>
      <w:r>
        <w:rPr>
          <w:rFonts w:ascii="仿宋" w:hAnsi="仿宋" w:eastAsia="仿宋"/>
          <w:color w:val="000000"/>
          <w:sz w:val="32"/>
          <w:u w:color="auto"/>
        </w:rPr>
        <w:t>%；卫生健康支出</w:t>
      </w:r>
      <w:r>
        <w:rPr>
          <w:rFonts w:hint="eastAsia" w:ascii="仿宋" w:hAnsi="仿宋" w:eastAsia="仿宋"/>
          <w:color w:val="000000"/>
          <w:sz w:val="32"/>
          <w:u w:color="auto"/>
          <w:lang w:val="en-US" w:eastAsia="zh-CN"/>
        </w:rPr>
        <w:t>16.77</w:t>
      </w:r>
      <w:r>
        <w:rPr>
          <w:rFonts w:ascii="仿宋" w:hAnsi="仿宋" w:eastAsia="仿宋"/>
          <w:color w:val="000000"/>
          <w:sz w:val="32"/>
          <w:u w:color="auto"/>
        </w:rPr>
        <w:t>万元，占</w:t>
      </w:r>
      <w:r>
        <w:rPr>
          <w:rFonts w:hint="eastAsia" w:ascii="仿宋" w:hAnsi="仿宋" w:eastAsia="仿宋"/>
          <w:color w:val="000000"/>
          <w:sz w:val="32"/>
          <w:u w:color="auto"/>
          <w:lang w:val="en-US" w:eastAsia="zh-CN"/>
        </w:rPr>
        <w:t>2.45</w:t>
      </w:r>
      <w:r>
        <w:rPr>
          <w:rFonts w:ascii="仿宋" w:hAnsi="仿宋" w:eastAsia="仿宋"/>
          <w:color w:val="000000"/>
          <w:sz w:val="32"/>
          <w:u w:color="auto"/>
        </w:rPr>
        <w:t>%；住房保障支出</w:t>
      </w:r>
      <w:r>
        <w:rPr>
          <w:rFonts w:hint="eastAsia" w:ascii="仿宋" w:hAnsi="仿宋" w:eastAsia="仿宋"/>
          <w:color w:val="000000"/>
          <w:sz w:val="32"/>
          <w:u w:color="auto"/>
          <w:lang w:val="en-US" w:eastAsia="zh-CN"/>
        </w:rPr>
        <w:t>18.43</w:t>
      </w:r>
      <w:r>
        <w:rPr>
          <w:rFonts w:ascii="仿宋" w:hAnsi="仿宋" w:eastAsia="仿宋"/>
          <w:color w:val="000000"/>
          <w:sz w:val="32"/>
          <w:u w:color="auto"/>
        </w:rPr>
        <w:t>万元，占</w:t>
      </w:r>
      <w:r>
        <w:rPr>
          <w:rFonts w:hint="eastAsia" w:ascii="仿宋" w:hAnsi="仿宋" w:eastAsia="仿宋"/>
          <w:color w:val="000000"/>
          <w:sz w:val="32"/>
          <w:u w:color="auto"/>
          <w:lang w:val="en-US" w:eastAsia="zh-CN"/>
        </w:rPr>
        <w:t>2.70</w:t>
      </w:r>
      <w:r>
        <w:rPr>
          <w:rFonts w:ascii="仿宋" w:hAnsi="仿宋" w:eastAsia="仿宋"/>
          <w:color w:val="000000"/>
          <w:sz w:val="32"/>
          <w:u w:color="auto"/>
        </w:rPr>
        <w:t>%。</w:t>
      </w:r>
    </w:p>
    <w:p w14:paraId="5E294E32">
      <w:pPr>
        <w:pStyle w:val="6"/>
      </w:pPr>
      <w:bookmarkStart w:id="47" w:name="_Toc15377212"/>
    </w:p>
    <w:p w14:paraId="10E848C9">
      <w:pPr>
        <w:pStyle w:val="6"/>
        <w:rPr>
          <w:rFonts w:hint="eastAsia" w:eastAsia="宋体"/>
          <w:lang w:eastAsia="zh-CN"/>
        </w:rPr>
      </w:pPr>
    </w:p>
    <w:p w14:paraId="4F890D56">
      <w:pPr>
        <w:pStyle w:val="6"/>
      </w:pPr>
    </w:p>
    <w:p w14:paraId="27823687">
      <w:pPr>
        <w:spacing w:line="600" w:lineRule="exact"/>
        <w:ind w:firstLine="640" w:firstLineChars="200"/>
        <w:jc w:val="center"/>
        <w:rPr>
          <w:rFonts w:hint="eastAsia" w:ascii="仿宋" w:hAnsi="仿宋" w:eastAsia="仿宋"/>
          <w:color w:val="000000"/>
          <w:sz w:val="32"/>
          <w:szCs w:val="32"/>
        </w:rPr>
      </w:pPr>
    </w:p>
    <w:p w14:paraId="6069394A">
      <w:pPr>
        <w:spacing w:line="600" w:lineRule="exact"/>
        <w:ind w:firstLine="640" w:firstLineChars="200"/>
        <w:jc w:val="center"/>
        <w:rPr>
          <w:rFonts w:hint="eastAsia" w:ascii="仿宋" w:hAnsi="仿宋" w:eastAsia="仿宋"/>
          <w:color w:val="000000"/>
          <w:sz w:val="32"/>
          <w:szCs w:val="32"/>
        </w:rPr>
      </w:pPr>
    </w:p>
    <w:p w14:paraId="66E8B7BB">
      <w:pPr>
        <w:spacing w:line="600" w:lineRule="exact"/>
        <w:ind w:firstLine="420" w:firstLineChars="200"/>
        <w:jc w:val="center"/>
        <w:rPr>
          <w:rFonts w:hint="eastAsia" w:ascii="仿宋" w:hAnsi="仿宋" w:eastAsia="仿宋"/>
          <w:color w:val="000000"/>
          <w:sz w:val="32"/>
          <w:szCs w:val="32"/>
        </w:rPr>
      </w:pPr>
      <w:r>
        <w:rPr>
          <w:rFonts w:hint="eastAsia" w:eastAsiaTheme="minorEastAsia"/>
          <w:lang w:eastAsia="zh-CN"/>
        </w:rPr>
        <w:drawing>
          <wp:anchor distT="0" distB="0" distL="114300" distR="114300" simplePos="0" relativeHeight="251659264" behindDoc="0" locked="0" layoutInCell="1" allowOverlap="1">
            <wp:simplePos x="0" y="0"/>
            <wp:positionH relativeFrom="column">
              <wp:posOffset>680085</wp:posOffset>
            </wp:positionH>
            <wp:positionV relativeFrom="paragraph">
              <wp:posOffset>129540</wp:posOffset>
            </wp:positionV>
            <wp:extent cx="4959350" cy="3486150"/>
            <wp:effectExtent l="4445" t="4445" r="8255" b="5080"/>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3FAEA301">
      <w:pPr>
        <w:pStyle w:val="6"/>
        <w:rPr>
          <w:rFonts w:hint="eastAsia" w:ascii="仿宋" w:hAnsi="仿宋" w:eastAsia="仿宋"/>
          <w:color w:val="000000"/>
          <w:sz w:val="32"/>
          <w:szCs w:val="32"/>
        </w:rPr>
      </w:pPr>
    </w:p>
    <w:p w14:paraId="771F7BA8">
      <w:pPr>
        <w:pStyle w:val="6"/>
        <w:rPr>
          <w:rFonts w:hint="eastAsia" w:ascii="仿宋" w:hAnsi="仿宋" w:eastAsia="仿宋"/>
          <w:color w:val="000000"/>
          <w:sz w:val="32"/>
          <w:szCs w:val="32"/>
        </w:rPr>
      </w:pPr>
    </w:p>
    <w:p w14:paraId="6805F88F">
      <w:pPr>
        <w:pStyle w:val="6"/>
        <w:rPr>
          <w:rFonts w:hint="eastAsia" w:ascii="仿宋" w:hAnsi="仿宋" w:eastAsia="仿宋"/>
          <w:color w:val="000000"/>
          <w:sz w:val="32"/>
          <w:szCs w:val="32"/>
        </w:rPr>
      </w:pPr>
    </w:p>
    <w:p w14:paraId="4C0DA789">
      <w:pPr>
        <w:pStyle w:val="6"/>
        <w:rPr>
          <w:rFonts w:hint="eastAsia" w:ascii="仿宋" w:hAnsi="仿宋" w:eastAsia="仿宋"/>
          <w:color w:val="000000"/>
          <w:sz w:val="32"/>
          <w:szCs w:val="32"/>
        </w:rPr>
      </w:pPr>
    </w:p>
    <w:p w14:paraId="04382209">
      <w:pPr>
        <w:pStyle w:val="6"/>
        <w:rPr>
          <w:rFonts w:hint="eastAsia" w:ascii="仿宋" w:hAnsi="仿宋" w:eastAsia="仿宋"/>
          <w:color w:val="000000"/>
          <w:sz w:val="32"/>
          <w:szCs w:val="32"/>
        </w:rPr>
      </w:pPr>
    </w:p>
    <w:p w14:paraId="1910866D">
      <w:pPr>
        <w:spacing w:line="600" w:lineRule="exact"/>
        <w:ind w:firstLine="640" w:firstLineChars="200"/>
        <w:jc w:val="center"/>
        <w:rPr>
          <w:rFonts w:hint="eastAsia" w:ascii="仿宋" w:hAnsi="仿宋" w:eastAsia="仿宋"/>
          <w:color w:val="000000"/>
          <w:sz w:val="32"/>
          <w:szCs w:val="32"/>
        </w:rPr>
      </w:pPr>
    </w:p>
    <w:p w14:paraId="49701573">
      <w:pPr>
        <w:spacing w:line="600" w:lineRule="exact"/>
        <w:ind w:firstLine="640" w:firstLineChars="200"/>
        <w:jc w:val="center"/>
        <w:rPr>
          <w:rFonts w:hint="eastAsia" w:ascii="仿宋" w:hAnsi="仿宋" w:eastAsia="仿宋"/>
          <w:color w:val="000000"/>
          <w:sz w:val="32"/>
          <w:szCs w:val="32"/>
        </w:rPr>
      </w:pPr>
    </w:p>
    <w:p w14:paraId="720FC560">
      <w:pPr>
        <w:spacing w:line="600" w:lineRule="exact"/>
        <w:ind w:firstLine="640" w:firstLineChars="200"/>
        <w:jc w:val="center"/>
        <w:rPr>
          <w:rFonts w:hint="eastAsia" w:ascii="仿宋" w:hAnsi="仿宋" w:eastAsia="仿宋"/>
          <w:color w:val="000000"/>
          <w:sz w:val="32"/>
          <w:szCs w:val="32"/>
        </w:rPr>
      </w:pPr>
    </w:p>
    <w:p w14:paraId="47C96F7A">
      <w:pPr>
        <w:pStyle w:val="6"/>
        <w:ind w:left="0" w:leftChars="0" w:firstLine="0" w:firstLineChars="0"/>
        <w:rPr>
          <w:rFonts w:hint="eastAsia" w:ascii="仿宋" w:hAnsi="仿宋" w:eastAsia="仿宋"/>
          <w:color w:val="000000"/>
          <w:sz w:val="32"/>
          <w:szCs w:val="32"/>
        </w:rPr>
      </w:pPr>
    </w:p>
    <w:p w14:paraId="009E9012">
      <w:pPr>
        <w:spacing w:line="60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w:t>
      </w:r>
    </w:p>
    <w:p w14:paraId="2D1F973A">
      <w:pPr>
        <w:pStyle w:val="6"/>
      </w:pPr>
    </w:p>
    <w:p w14:paraId="6005FD23">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47"/>
    </w:p>
    <w:p w14:paraId="6FBC0B26">
      <w:pPr>
        <w:spacing w:line="600" w:lineRule="exact"/>
        <w:ind w:firstLine="640"/>
      </w:pPr>
      <w:bookmarkStart w:id="48" w:name="_Toc15378460"/>
      <w:bookmarkStart w:id="49" w:name="_Toc15377213"/>
      <w:bookmarkStart w:id="50" w:name="_Toc15377444"/>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4</w:t>
      </w:r>
      <w:r>
        <w:rPr>
          <w:rFonts w:ascii="仿宋" w:hAnsi="仿宋" w:eastAsia="仿宋"/>
          <w:color w:val="000000"/>
          <w:sz w:val="32"/>
          <w:u w:color="auto"/>
        </w:rPr>
        <w:t>年一般公共预算支出决算数为</w:t>
      </w:r>
      <w:r>
        <w:rPr>
          <w:rFonts w:hint="eastAsia" w:ascii="仿宋" w:hAnsi="仿宋" w:eastAsia="仿宋"/>
          <w:color w:val="000000"/>
          <w:sz w:val="32"/>
          <w:u w:color="auto"/>
          <w:lang w:val="en-US" w:eastAsia="zh-CN"/>
        </w:rPr>
        <w:t>683.69</w:t>
      </w:r>
      <w:r>
        <w:rPr>
          <w:rFonts w:hint="eastAsia" w:ascii="仿宋" w:hAnsi="仿宋" w:eastAsia="仿宋"/>
          <w:color w:val="000000"/>
          <w:sz w:val="32"/>
          <w:szCs w:val="32"/>
        </w:rPr>
        <w:t>万元，完成预算100%。其中：</w:t>
      </w:r>
      <w:bookmarkEnd w:id="48"/>
      <w:bookmarkEnd w:id="49"/>
      <w:bookmarkEnd w:id="50"/>
    </w:p>
    <w:p w14:paraId="0B56D101">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.一般公共服务支出（201）政府办公厅（室）及相关机构事务（20103）事业运行（2010350）支出决算</w:t>
      </w:r>
      <w:r>
        <w:rPr>
          <w:rFonts w:hint="eastAsia" w:ascii="仿宋" w:hAnsi="仿宋" w:eastAsia="仿宋"/>
          <w:color w:val="000000"/>
          <w:sz w:val="32"/>
          <w:szCs w:val="32"/>
          <w:lang w:val="en-US" w:eastAsia="zh-CN"/>
        </w:rPr>
        <w:t>189.52</w:t>
      </w:r>
      <w:r>
        <w:rPr>
          <w:rFonts w:hint="eastAsia" w:ascii="仿宋" w:hAnsi="仿宋" w:eastAsia="仿宋"/>
          <w:color w:val="000000"/>
          <w:sz w:val="32"/>
          <w:szCs w:val="32"/>
        </w:rPr>
        <w:t>万元，完成预算100%。</w:t>
      </w:r>
      <w:r>
        <w:rPr>
          <w:rFonts w:hint="eastAsia" w:ascii="仿宋" w:hAnsi="仿宋" w:eastAsia="仿宋"/>
          <w:color w:val="000000"/>
          <w:sz w:val="32"/>
          <w:szCs w:val="32"/>
        </w:rPr>
        <w:cr/>
      </w:r>
      <w:r>
        <w:rPr>
          <w:rFonts w:hint="eastAsia" w:ascii="仿宋" w:hAnsi="仿宋" w:eastAsia="仿宋"/>
          <w:color w:val="000000"/>
          <w:sz w:val="32"/>
          <w:szCs w:val="32"/>
        </w:rPr>
        <w:t xml:space="preserve">    </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.一般公共服务支出（201）政府办公厅（室）及相关机构事务（20103）其他政府办公厅（室）及相关机构事务支出（2010399）支出决算</w:t>
      </w:r>
      <w:r>
        <w:rPr>
          <w:rFonts w:hint="eastAsia" w:ascii="仿宋" w:hAnsi="仿宋" w:eastAsia="仿宋"/>
          <w:color w:val="000000"/>
          <w:sz w:val="32"/>
          <w:szCs w:val="32"/>
          <w:lang w:val="en-US" w:eastAsia="zh-CN"/>
        </w:rPr>
        <w:t>425.09</w:t>
      </w:r>
      <w:r>
        <w:rPr>
          <w:rFonts w:hint="eastAsia" w:ascii="仿宋" w:hAnsi="仿宋" w:eastAsia="仿宋"/>
          <w:color w:val="000000"/>
          <w:sz w:val="32"/>
          <w:szCs w:val="32"/>
        </w:rPr>
        <w:t>万元，完成预算100%。</w:t>
      </w:r>
    </w:p>
    <w:p w14:paraId="4FCA5487">
      <w:pPr>
        <w:spacing w:line="600" w:lineRule="exact"/>
        <w:rPr>
          <w:rFonts w:ascii="仿宋" w:hAnsi="仿宋" w:eastAsia="仿宋"/>
          <w:color w:val="000000"/>
          <w:sz w:val="32"/>
          <w:szCs w:val="32"/>
        </w:rPr>
      </w:pPr>
      <w:r>
        <w:rPr>
          <w:rFonts w:hint="eastAsia" w:ascii="仿宋" w:hAnsi="仿宋" w:eastAsia="仿宋"/>
          <w:color w:val="000000"/>
          <w:sz w:val="32"/>
          <w:szCs w:val="32"/>
        </w:rPr>
        <w:t xml:space="preserve">    </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.社会保障和就业支出（208）行政事业单位养老支出（20805）机关事业单位基本养老保险缴费支出（2080505）支出决算</w:t>
      </w:r>
      <w:r>
        <w:rPr>
          <w:rFonts w:hint="eastAsia" w:ascii="仿宋" w:hAnsi="仿宋" w:eastAsia="仿宋"/>
          <w:color w:val="000000"/>
          <w:sz w:val="32"/>
          <w:szCs w:val="32"/>
          <w:lang w:val="en-US" w:eastAsia="zh-CN"/>
        </w:rPr>
        <w:t>22.50</w:t>
      </w:r>
      <w:r>
        <w:rPr>
          <w:rFonts w:hint="eastAsia" w:ascii="仿宋" w:hAnsi="仿宋" w:eastAsia="仿宋"/>
          <w:color w:val="000000"/>
          <w:sz w:val="32"/>
          <w:szCs w:val="32"/>
        </w:rPr>
        <w:t>万元，完成预算100%。</w:t>
      </w:r>
      <w:r>
        <w:rPr>
          <w:rFonts w:hint="eastAsia" w:ascii="仿宋" w:hAnsi="仿宋" w:eastAsia="仿宋"/>
          <w:color w:val="000000"/>
          <w:sz w:val="32"/>
          <w:szCs w:val="32"/>
        </w:rPr>
        <w:cr/>
      </w:r>
      <w:r>
        <w:rPr>
          <w:rFonts w:hint="eastAsia" w:ascii="仿宋" w:hAnsi="仿宋" w:eastAsia="仿宋"/>
          <w:color w:val="000000"/>
          <w:sz w:val="32"/>
          <w:szCs w:val="32"/>
        </w:rPr>
        <w:t xml:space="preserve">    </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.社会保障和就业支出（208）行政事业单位养老支出（20805）机关事业单位职业年金缴费支出（2080506）支出决算</w:t>
      </w:r>
      <w:r>
        <w:rPr>
          <w:rFonts w:hint="eastAsia" w:ascii="仿宋" w:hAnsi="仿宋" w:eastAsia="仿宋"/>
          <w:color w:val="000000"/>
          <w:sz w:val="32"/>
          <w:szCs w:val="32"/>
          <w:lang w:val="en-US" w:eastAsia="zh-CN"/>
        </w:rPr>
        <w:t>11.36</w:t>
      </w:r>
      <w:r>
        <w:rPr>
          <w:rFonts w:hint="eastAsia" w:ascii="仿宋" w:hAnsi="仿宋" w:eastAsia="仿宋"/>
          <w:color w:val="000000"/>
          <w:sz w:val="32"/>
          <w:szCs w:val="32"/>
        </w:rPr>
        <w:t>万元，完成预算100%。</w:t>
      </w:r>
      <w:r>
        <w:rPr>
          <w:rFonts w:hint="eastAsia" w:ascii="仿宋" w:hAnsi="仿宋" w:eastAsia="仿宋"/>
          <w:color w:val="000000"/>
          <w:sz w:val="32"/>
          <w:szCs w:val="32"/>
        </w:rPr>
        <w:cr/>
      </w:r>
      <w:r>
        <w:rPr>
          <w:rFonts w:hint="eastAsia" w:ascii="仿宋" w:hAnsi="仿宋" w:eastAsia="仿宋"/>
          <w:color w:val="000000"/>
          <w:sz w:val="32"/>
          <w:szCs w:val="32"/>
        </w:rPr>
        <w:t xml:space="preserve">   </w:t>
      </w:r>
      <w:r>
        <w:rPr>
          <w:rFonts w:hint="eastAsia" w:ascii="仿宋" w:hAnsi="仿宋" w:eastAsia="仿宋"/>
          <w:color w:val="000000"/>
          <w:sz w:val="32"/>
          <w:szCs w:val="32"/>
          <w:lang w:val="en-US" w:eastAsia="zh-CN"/>
        </w:rPr>
        <w:t>5</w:t>
      </w:r>
      <w:r>
        <w:rPr>
          <w:rFonts w:hint="eastAsia" w:ascii="仿宋" w:hAnsi="仿宋" w:eastAsia="仿宋"/>
          <w:color w:val="000000"/>
          <w:sz w:val="32"/>
          <w:szCs w:val="32"/>
        </w:rPr>
        <w:t>.卫生健康支出（210）行政事业单位医疗（21011）事业单位医疗（2101102）支出决算</w:t>
      </w:r>
      <w:r>
        <w:rPr>
          <w:rFonts w:hint="eastAsia" w:ascii="仿宋" w:hAnsi="仿宋" w:eastAsia="仿宋"/>
          <w:color w:val="000000"/>
          <w:sz w:val="32"/>
          <w:szCs w:val="32"/>
          <w:lang w:val="en-US" w:eastAsia="zh-CN"/>
        </w:rPr>
        <w:t>14.11</w:t>
      </w:r>
      <w:r>
        <w:rPr>
          <w:rFonts w:hint="eastAsia" w:ascii="仿宋" w:hAnsi="仿宋" w:eastAsia="仿宋"/>
          <w:color w:val="000000"/>
          <w:sz w:val="32"/>
          <w:szCs w:val="32"/>
        </w:rPr>
        <w:t>万元，完成预算100%。</w:t>
      </w:r>
      <w:r>
        <w:rPr>
          <w:rFonts w:hint="eastAsia" w:ascii="仿宋" w:hAnsi="仿宋" w:eastAsia="仿宋"/>
          <w:color w:val="000000"/>
          <w:sz w:val="32"/>
          <w:szCs w:val="32"/>
        </w:rPr>
        <w:cr/>
      </w:r>
      <w:r>
        <w:rPr>
          <w:rFonts w:hint="eastAsia" w:ascii="仿宋" w:hAnsi="仿宋" w:eastAsia="仿宋"/>
          <w:color w:val="000000"/>
          <w:sz w:val="32"/>
          <w:szCs w:val="32"/>
        </w:rPr>
        <w:t xml:space="preserve">   </w:t>
      </w:r>
      <w:r>
        <w:rPr>
          <w:rFonts w:hint="eastAsia" w:ascii="仿宋" w:hAnsi="仿宋" w:eastAsia="仿宋"/>
          <w:color w:val="000000"/>
          <w:sz w:val="32"/>
          <w:szCs w:val="32"/>
          <w:lang w:val="en-US" w:eastAsia="zh-CN"/>
        </w:rPr>
        <w:t>6</w:t>
      </w:r>
      <w:r>
        <w:rPr>
          <w:rFonts w:hint="eastAsia" w:ascii="仿宋" w:hAnsi="仿宋" w:eastAsia="仿宋"/>
          <w:color w:val="000000"/>
          <w:sz w:val="32"/>
          <w:szCs w:val="32"/>
        </w:rPr>
        <w:t>.卫生健康支出（210）行政事业单位医疗（21011）其他行政事业单位医疗支出（2101199）支出决算</w:t>
      </w:r>
      <w:r>
        <w:rPr>
          <w:rFonts w:hint="eastAsia" w:ascii="仿宋" w:hAnsi="仿宋" w:eastAsia="仿宋"/>
          <w:color w:val="000000"/>
          <w:sz w:val="32"/>
          <w:szCs w:val="32"/>
          <w:lang w:val="en-US" w:eastAsia="zh-CN"/>
        </w:rPr>
        <w:t>2.67</w:t>
      </w:r>
      <w:r>
        <w:rPr>
          <w:rFonts w:hint="eastAsia" w:ascii="仿宋" w:hAnsi="仿宋" w:eastAsia="仿宋"/>
          <w:color w:val="000000"/>
          <w:sz w:val="32"/>
          <w:szCs w:val="32"/>
        </w:rPr>
        <w:t>万元，完成预算100%。</w:t>
      </w:r>
      <w:r>
        <w:rPr>
          <w:rFonts w:hint="eastAsia" w:ascii="仿宋" w:hAnsi="仿宋" w:eastAsia="仿宋"/>
          <w:color w:val="000000"/>
          <w:sz w:val="32"/>
          <w:szCs w:val="32"/>
        </w:rPr>
        <w:cr/>
      </w:r>
      <w:r>
        <w:rPr>
          <w:rFonts w:hint="eastAsia" w:ascii="仿宋" w:hAnsi="仿宋" w:eastAsia="仿宋"/>
          <w:color w:val="000000"/>
          <w:sz w:val="32"/>
          <w:szCs w:val="32"/>
        </w:rPr>
        <w:t xml:space="preserve">   </w:t>
      </w:r>
      <w:r>
        <w:rPr>
          <w:rFonts w:hint="eastAsia" w:ascii="仿宋" w:hAnsi="仿宋" w:eastAsia="仿宋"/>
          <w:color w:val="000000"/>
          <w:sz w:val="32"/>
          <w:szCs w:val="32"/>
          <w:lang w:val="en-US" w:eastAsia="zh-CN"/>
        </w:rPr>
        <w:t>7</w:t>
      </w:r>
      <w:r>
        <w:rPr>
          <w:rFonts w:hint="eastAsia" w:ascii="仿宋" w:hAnsi="仿宋" w:eastAsia="仿宋"/>
          <w:color w:val="000000"/>
          <w:sz w:val="32"/>
          <w:szCs w:val="32"/>
        </w:rPr>
        <w:t>.住房保障支出（221）住房改革支出（22102）住房公积金（2210201）支出决算</w:t>
      </w:r>
      <w:r>
        <w:rPr>
          <w:rFonts w:hint="eastAsia" w:ascii="仿宋" w:hAnsi="仿宋" w:eastAsia="仿宋"/>
          <w:color w:val="000000"/>
          <w:sz w:val="32"/>
          <w:szCs w:val="32"/>
          <w:lang w:val="en-US" w:eastAsia="zh-CN"/>
        </w:rPr>
        <w:t>18.43</w:t>
      </w:r>
      <w:r>
        <w:rPr>
          <w:rFonts w:hint="eastAsia" w:ascii="仿宋" w:hAnsi="仿宋" w:eastAsia="仿宋"/>
          <w:color w:val="000000"/>
          <w:sz w:val="32"/>
          <w:szCs w:val="32"/>
        </w:rPr>
        <w:t>万元，完成预算100%。</w:t>
      </w:r>
    </w:p>
    <w:p w14:paraId="149EF051">
      <w:pPr>
        <w:pStyle w:val="4"/>
        <w:ind w:firstLine="643" w:firstLineChars="200"/>
        <w:rPr>
          <w:rFonts w:ascii="黑体" w:eastAsia="黑体" w:cs="Times New Roman"/>
          <w:b w:val="0"/>
          <w:color w:val="000000"/>
        </w:rPr>
      </w:pPr>
      <w:bookmarkStart w:id="51" w:name="_Toc15377214"/>
      <w:bookmarkStart w:id="52" w:name="_Toc111208504"/>
      <w:bookmarkStart w:id="53" w:name="_Toc31578"/>
      <w:r>
        <w:rPr>
          <w:rFonts w:hint="eastAsia" w:ascii="黑体" w:eastAsia="黑体" w:cs="Times New Roman"/>
          <w:bCs w:val="0"/>
          <w:color w:val="000000"/>
        </w:rPr>
        <w:t>六、一般公共预算财政拨款基本支出决算情况说</w:t>
      </w:r>
      <w:bookmarkEnd w:id="51"/>
      <w:r>
        <w:rPr>
          <w:rFonts w:hint="eastAsia" w:ascii="黑体" w:eastAsia="黑体" w:cs="Times New Roman"/>
          <w:bCs w:val="0"/>
          <w:color w:val="000000"/>
        </w:rPr>
        <w:t>明</w:t>
      </w:r>
      <w:bookmarkEnd w:id="52"/>
      <w:bookmarkEnd w:id="53"/>
    </w:p>
    <w:p w14:paraId="0A27BB73">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4</w:t>
      </w:r>
      <w:r>
        <w:rPr>
          <w:rFonts w:ascii="仿宋" w:hAnsi="仿宋" w:eastAsia="仿宋"/>
          <w:color w:val="000000"/>
          <w:sz w:val="32"/>
          <w:u w:color="auto"/>
        </w:rPr>
        <w:t>年一般公共预算财政拨款基本支出</w:t>
      </w:r>
      <w:r>
        <w:rPr>
          <w:rFonts w:hint="eastAsia" w:ascii="仿宋" w:hAnsi="仿宋" w:eastAsia="仿宋"/>
          <w:color w:val="000000"/>
          <w:sz w:val="32"/>
          <w:u w:color="auto"/>
          <w:lang w:val="en-US" w:eastAsia="zh-CN"/>
        </w:rPr>
        <w:t>258.59</w:t>
      </w:r>
      <w:r>
        <w:rPr>
          <w:rFonts w:hint="eastAsia" w:ascii="仿宋" w:hAnsi="仿宋" w:eastAsia="仿宋"/>
          <w:color w:val="000000"/>
          <w:sz w:val="32"/>
          <w:szCs w:val="32"/>
        </w:rPr>
        <w:t>万元，其中：</w:t>
      </w:r>
    </w:p>
    <w:p w14:paraId="2444B772">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u w:color="auto"/>
          <w:lang w:val="en-US" w:eastAsia="zh-CN"/>
        </w:rPr>
        <w:t>238.73</w:t>
      </w:r>
      <w:r>
        <w:rPr>
          <w:rFonts w:hint="eastAsia" w:ascii="仿宋" w:hAnsi="仿宋" w:eastAsia="仿宋"/>
          <w:color w:val="000000"/>
          <w:sz w:val="32"/>
          <w:szCs w:val="32"/>
        </w:rPr>
        <w:t>万元，主要包括：</w:t>
      </w:r>
      <w:r>
        <w:rPr>
          <w:rFonts w:ascii="仿宋" w:hAnsi="仿宋" w:eastAsia="仿宋"/>
          <w:color w:val="000000"/>
          <w:sz w:val="32"/>
          <w:u w:color="auto"/>
        </w:rPr>
        <w:t>基本工资</w:t>
      </w:r>
      <w:r>
        <w:rPr>
          <w:rFonts w:hint="eastAsia" w:ascii="仿宋" w:hAnsi="仿宋" w:eastAsia="仿宋"/>
          <w:color w:val="000000"/>
          <w:sz w:val="32"/>
          <w:u w:color="auto"/>
          <w:lang w:val="en-US" w:eastAsia="zh-CN"/>
        </w:rPr>
        <w:t>38.00</w:t>
      </w:r>
      <w:r>
        <w:rPr>
          <w:rFonts w:ascii="仿宋" w:hAnsi="仿宋" w:eastAsia="仿宋"/>
          <w:color w:val="000000"/>
          <w:sz w:val="32"/>
          <w:u w:color="auto"/>
        </w:rPr>
        <w:t>万元、津贴补贴</w:t>
      </w:r>
      <w:r>
        <w:rPr>
          <w:rFonts w:hint="eastAsia" w:ascii="仿宋" w:hAnsi="仿宋" w:eastAsia="仿宋"/>
          <w:color w:val="000000"/>
          <w:sz w:val="32"/>
          <w:u w:color="auto"/>
          <w:lang w:val="en-US" w:eastAsia="zh-CN"/>
        </w:rPr>
        <w:t>39.29</w:t>
      </w:r>
      <w:r>
        <w:rPr>
          <w:rFonts w:ascii="仿宋" w:hAnsi="仿宋" w:eastAsia="仿宋"/>
          <w:color w:val="000000"/>
          <w:sz w:val="32"/>
          <w:u w:color="auto"/>
        </w:rPr>
        <w:t>万元、奖金</w:t>
      </w:r>
      <w:r>
        <w:rPr>
          <w:rFonts w:hint="eastAsia" w:ascii="仿宋" w:hAnsi="仿宋" w:eastAsia="仿宋"/>
          <w:color w:val="000000"/>
          <w:sz w:val="32"/>
          <w:u w:color="auto"/>
          <w:lang w:val="en-US" w:eastAsia="zh-CN"/>
        </w:rPr>
        <w:t>55.32</w:t>
      </w:r>
      <w:r>
        <w:rPr>
          <w:rFonts w:ascii="仿宋" w:hAnsi="仿宋" w:eastAsia="仿宋"/>
          <w:color w:val="000000"/>
          <w:sz w:val="32"/>
          <w:u w:color="auto"/>
        </w:rPr>
        <w:t>万元、绩效工资</w:t>
      </w:r>
      <w:r>
        <w:rPr>
          <w:rFonts w:hint="eastAsia" w:ascii="仿宋" w:hAnsi="仿宋" w:eastAsia="仿宋"/>
          <w:color w:val="000000"/>
          <w:sz w:val="32"/>
          <w:u w:color="auto"/>
          <w:lang w:val="en-US" w:eastAsia="zh-CN"/>
        </w:rPr>
        <w:t>33.61</w:t>
      </w:r>
      <w:r>
        <w:rPr>
          <w:rFonts w:ascii="仿宋" w:hAnsi="仿宋" w:eastAsia="仿宋"/>
          <w:color w:val="000000"/>
          <w:sz w:val="32"/>
          <w:u w:color="auto"/>
        </w:rPr>
        <w:t>万元、机关事业单位基本养老保险缴费</w:t>
      </w:r>
      <w:r>
        <w:rPr>
          <w:rFonts w:hint="eastAsia" w:ascii="仿宋" w:hAnsi="仿宋" w:eastAsia="仿宋"/>
          <w:color w:val="000000"/>
          <w:sz w:val="32"/>
          <w:u w:color="auto"/>
          <w:lang w:val="en-US" w:eastAsia="zh-CN"/>
        </w:rPr>
        <w:t>22.50</w:t>
      </w:r>
      <w:r>
        <w:rPr>
          <w:rFonts w:ascii="仿宋" w:hAnsi="仿宋" w:eastAsia="仿宋"/>
          <w:color w:val="000000"/>
          <w:sz w:val="32"/>
          <w:u w:color="auto"/>
        </w:rPr>
        <w:t>万元、职业年金缴费</w:t>
      </w:r>
      <w:r>
        <w:rPr>
          <w:rFonts w:hint="eastAsia" w:ascii="仿宋" w:hAnsi="仿宋" w:eastAsia="仿宋"/>
          <w:color w:val="000000"/>
          <w:sz w:val="32"/>
          <w:u w:color="auto"/>
          <w:lang w:val="en-US" w:eastAsia="zh-CN"/>
        </w:rPr>
        <w:t>11.36</w:t>
      </w:r>
      <w:r>
        <w:rPr>
          <w:rFonts w:ascii="仿宋" w:hAnsi="仿宋" w:eastAsia="仿宋"/>
          <w:color w:val="000000"/>
          <w:sz w:val="32"/>
          <w:u w:color="auto"/>
        </w:rPr>
        <w:t>万元、职工基本医疗保险缴费</w:t>
      </w:r>
      <w:r>
        <w:rPr>
          <w:rFonts w:hint="eastAsia" w:ascii="仿宋" w:hAnsi="仿宋" w:eastAsia="仿宋"/>
          <w:color w:val="000000"/>
          <w:sz w:val="32"/>
          <w:u w:color="auto"/>
          <w:lang w:val="en-US" w:eastAsia="zh-CN"/>
        </w:rPr>
        <w:t>14.11</w:t>
      </w:r>
      <w:r>
        <w:rPr>
          <w:rFonts w:ascii="仿宋" w:hAnsi="仿宋" w:eastAsia="仿宋"/>
          <w:color w:val="000000"/>
          <w:sz w:val="32"/>
          <w:u w:color="auto"/>
        </w:rPr>
        <w:t>万元、公务员医疗补助缴费</w:t>
      </w:r>
      <w:r>
        <w:rPr>
          <w:rFonts w:hint="eastAsia" w:ascii="仿宋" w:hAnsi="仿宋" w:eastAsia="仿宋"/>
          <w:color w:val="000000"/>
          <w:sz w:val="32"/>
          <w:u w:color="auto"/>
          <w:lang w:val="en-US" w:eastAsia="zh-CN"/>
        </w:rPr>
        <w:t>2.67</w:t>
      </w:r>
      <w:r>
        <w:rPr>
          <w:rFonts w:ascii="仿宋" w:hAnsi="仿宋" w:eastAsia="仿宋"/>
          <w:color w:val="000000"/>
          <w:sz w:val="32"/>
          <w:u w:color="auto"/>
        </w:rPr>
        <w:t>万元、其他社会保障缴费</w:t>
      </w:r>
      <w:r>
        <w:rPr>
          <w:rFonts w:hint="eastAsia" w:ascii="仿宋" w:hAnsi="仿宋" w:eastAsia="仿宋"/>
          <w:color w:val="000000"/>
          <w:sz w:val="32"/>
          <w:u w:color="auto"/>
          <w:lang w:val="en-US" w:eastAsia="zh-CN"/>
        </w:rPr>
        <w:t>3.11</w:t>
      </w:r>
      <w:r>
        <w:rPr>
          <w:rFonts w:ascii="仿宋" w:hAnsi="仿宋" w:eastAsia="仿宋"/>
          <w:color w:val="000000"/>
          <w:sz w:val="32"/>
          <w:u w:color="auto"/>
        </w:rPr>
        <w:t>万元、住房公积金</w:t>
      </w:r>
      <w:r>
        <w:rPr>
          <w:rFonts w:hint="eastAsia" w:ascii="仿宋" w:hAnsi="仿宋" w:eastAsia="仿宋"/>
          <w:color w:val="000000"/>
          <w:sz w:val="32"/>
          <w:u w:color="auto"/>
          <w:lang w:val="en-US" w:eastAsia="zh-CN"/>
        </w:rPr>
        <w:t>18.43</w:t>
      </w:r>
      <w:r>
        <w:rPr>
          <w:rFonts w:ascii="仿宋" w:hAnsi="仿宋" w:eastAsia="仿宋"/>
          <w:color w:val="000000"/>
          <w:sz w:val="32"/>
          <w:u w:color="auto"/>
        </w:rPr>
        <w:t>万元、</w:t>
      </w:r>
      <w:r>
        <w:rPr>
          <w:rFonts w:hint="eastAsia" w:ascii="仿宋" w:hAnsi="仿宋" w:eastAsia="仿宋"/>
          <w:color w:val="000000"/>
          <w:sz w:val="32"/>
          <w:u w:color="auto"/>
          <w:lang w:val="en-US" w:eastAsia="zh-CN"/>
        </w:rPr>
        <w:t>医疗补助0.32万元、</w:t>
      </w:r>
      <w:r>
        <w:rPr>
          <w:rFonts w:ascii="仿宋" w:hAnsi="仿宋" w:eastAsia="仿宋"/>
          <w:color w:val="000000"/>
          <w:sz w:val="32"/>
          <w:u w:color="auto"/>
        </w:rPr>
        <w:t>奖励金0.0</w:t>
      </w:r>
      <w:r>
        <w:rPr>
          <w:rFonts w:hint="eastAsia" w:ascii="仿宋" w:hAnsi="仿宋" w:eastAsia="仿宋"/>
          <w:color w:val="000000"/>
          <w:sz w:val="32"/>
          <w:u w:color="auto"/>
          <w:lang w:val="en-US" w:eastAsia="zh-CN"/>
        </w:rPr>
        <w:t>1</w:t>
      </w:r>
      <w:r>
        <w:rPr>
          <w:rFonts w:ascii="仿宋" w:hAnsi="仿宋" w:eastAsia="仿宋"/>
          <w:color w:val="000000"/>
          <w:sz w:val="32"/>
          <w:u w:color="auto"/>
        </w:rPr>
        <w:t>万元。</w:t>
      </w:r>
    </w:p>
    <w:p w14:paraId="0CE77E6B">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公用经费</w:t>
      </w:r>
      <w:r>
        <w:rPr>
          <w:rFonts w:hint="eastAsia" w:ascii="仿宋" w:hAnsi="仿宋" w:eastAsia="仿宋"/>
          <w:color w:val="000000"/>
          <w:sz w:val="32"/>
          <w:u w:color="auto"/>
          <w:lang w:val="en-US" w:eastAsia="zh-CN"/>
        </w:rPr>
        <w:t>19.86</w:t>
      </w:r>
      <w:r>
        <w:rPr>
          <w:rFonts w:hint="eastAsia" w:ascii="仿宋" w:hAnsi="仿宋" w:eastAsia="仿宋"/>
          <w:color w:val="000000"/>
          <w:sz w:val="32"/>
          <w:szCs w:val="32"/>
        </w:rPr>
        <w:t>万元，主要包括：</w:t>
      </w:r>
      <w:r>
        <w:rPr>
          <w:rFonts w:ascii="仿宋" w:hAnsi="仿宋" w:eastAsia="仿宋"/>
          <w:color w:val="000000"/>
          <w:sz w:val="32"/>
          <w:u w:color="auto"/>
        </w:rPr>
        <w:t>办公费</w:t>
      </w:r>
      <w:r>
        <w:rPr>
          <w:rFonts w:hint="eastAsia" w:ascii="仿宋" w:hAnsi="仿宋" w:eastAsia="仿宋"/>
          <w:color w:val="000000"/>
          <w:sz w:val="32"/>
          <w:u w:color="auto"/>
          <w:lang w:val="en-US" w:eastAsia="zh-CN"/>
        </w:rPr>
        <w:t>4.10</w:t>
      </w:r>
      <w:r>
        <w:rPr>
          <w:rFonts w:ascii="仿宋" w:hAnsi="仿宋" w:eastAsia="仿宋"/>
          <w:color w:val="000000"/>
          <w:sz w:val="32"/>
          <w:u w:color="auto"/>
        </w:rPr>
        <w:t>万元、</w:t>
      </w:r>
      <w:r>
        <w:rPr>
          <w:rFonts w:hint="eastAsia" w:ascii="仿宋" w:hAnsi="仿宋" w:eastAsia="仿宋"/>
          <w:color w:val="000000"/>
          <w:sz w:val="32"/>
          <w:u w:color="auto"/>
          <w:lang w:eastAsia="zh-CN"/>
        </w:rPr>
        <w:t>水</w:t>
      </w:r>
      <w:r>
        <w:rPr>
          <w:rFonts w:ascii="仿宋" w:hAnsi="仿宋" w:eastAsia="仿宋"/>
          <w:color w:val="000000"/>
          <w:sz w:val="32"/>
          <w:u w:color="auto"/>
        </w:rPr>
        <w:t>费0.</w:t>
      </w:r>
      <w:r>
        <w:rPr>
          <w:rFonts w:hint="eastAsia" w:ascii="仿宋" w:hAnsi="仿宋" w:eastAsia="仿宋"/>
          <w:color w:val="000000"/>
          <w:sz w:val="32"/>
          <w:u w:color="auto"/>
          <w:lang w:val="en-US" w:eastAsia="zh-CN"/>
        </w:rPr>
        <w:t>10</w:t>
      </w:r>
      <w:r>
        <w:rPr>
          <w:rFonts w:ascii="仿宋" w:hAnsi="仿宋" w:eastAsia="仿宋"/>
          <w:color w:val="000000"/>
          <w:sz w:val="32"/>
          <w:u w:color="auto"/>
        </w:rPr>
        <w:t>万元、电费</w:t>
      </w:r>
      <w:r>
        <w:rPr>
          <w:rFonts w:hint="eastAsia" w:ascii="仿宋" w:hAnsi="仿宋" w:eastAsia="仿宋"/>
          <w:color w:val="000000"/>
          <w:sz w:val="32"/>
          <w:u w:color="auto"/>
          <w:lang w:val="en-US" w:eastAsia="zh-CN"/>
        </w:rPr>
        <w:t>0.81</w:t>
      </w:r>
      <w:r>
        <w:rPr>
          <w:rFonts w:ascii="仿宋" w:hAnsi="仿宋" w:eastAsia="仿宋"/>
          <w:color w:val="000000"/>
          <w:sz w:val="32"/>
          <w:u w:color="auto"/>
        </w:rPr>
        <w:t>万元、邮电费</w:t>
      </w:r>
      <w:r>
        <w:rPr>
          <w:rFonts w:hint="eastAsia" w:ascii="仿宋" w:hAnsi="仿宋" w:eastAsia="仿宋"/>
          <w:color w:val="000000"/>
          <w:sz w:val="32"/>
          <w:u w:color="auto"/>
          <w:lang w:val="en-US" w:eastAsia="zh-CN"/>
        </w:rPr>
        <w:t>2</w:t>
      </w:r>
      <w:r>
        <w:rPr>
          <w:rFonts w:ascii="仿宋" w:hAnsi="仿宋" w:eastAsia="仿宋"/>
          <w:color w:val="000000"/>
          <w:sz w:val="32"/>
          <w:u w:color="auto"/>
        </w:rPr>
        <w:t>.</w:t>
      </w:r>
      <w:r>
        <w:rPr>
          <w:rFonts w:hint="eastAsia" w:ascii="仿宋" w:hAnsi="仿宋" w:eastAsia="仿宋"/>
          <w:color w:val="000000"/>
          <w:sz w:val="32"/>
          <w:u w:color="auto"/>
          <w:lang w:val="en-US" w:eastAsia="zh-CN"/>
        </w:rPr>
        <w:t>0</w:t>
      </w:r>
      <w:r>
        <w:rPr>
          <w:rFonts w:ascii="仿宋" w:hAnsi="仿宋" w:eastAsia="仿宋"/>
          <w:color w:val="000000"/>
          <w:sz w:val="32"/>
          <w:u w:color="auto"/>
        </w:rPr>
        <w:t>0万元、差旅费</w:t>
      </w:r>
      <w:r>
        <w:rPr>
          <w:rFonts w:hint="eastAsia" w:ascii="仿宋" w:hAnsi="仿宋" w:eastAsia="仿宋"/>
          <w:color w:val="000000"/>
          <w:sz w:val="32"/>
          <w:u w:color="auto"/>
          <w:lang w:val="en-US" w:eastAsia="zh-CN"/>
        </w:rPr>
        <w:t>3.90</w:t>
      </w:r>
      <w:r>
        <w:rPr>
          <w:rFonts w:ascii="仿宋" w:hAnsi="仿宋" w:eastAsia="仿宋"/>
          <w:color w:val="000000"/>
          <w:sz w:val="32"/>
          <w:u w:color="auto"/>
        </w:rPr>
        <w:t>万元、工会经费</w:t>
      </w:r>
      <w:r>
        <w:rPr>
          <w:rFonts w:hint="eastAsia" w:ascii="仿宋" w:hAnsi="仿宋" w:eastAsia="仿宋"/>
          <w:color w:val="000000"/>
          <w:sz w:val="32"/>
          <w:u w:color="auto"/>
          <w:lang w:val="en-US" w:eastAsia="zh-CN"/>
        </w:rPr>
        <w:t>1.85</w:t>
      </w:r>
      <w:r>
        <w:rPr>
          <w:rFonts w:ascii="仿宋" w:hAnsi="仿宋" w:eastAsia="仿宋"/>
          <w:color w:val="000000"/>
          <w:sz w:val="32"/>
          <w:u w:color="auto"/>
        </w:rPr>
        <w:t>万元、公务用车运行维护费</w:t>
      </w:r>
      <w:r>
        <w:rPr>
          <w:rFonts w:hint="eastAsia" w:ascii="仿宋" w:hAnsi="仿宋" w:eastAsia="仿宋"/>
          <w:color w:val="000000"/>
          <w:sz w:val="32"/>
          <w:u w:color="auto"/>
          <w:lang w:val="en-US" w:eastAsia="zh-CN"/>
        </w:rPr>
        <w:t>7.11</w:t>
      </w:r>
      <w:r>
        <w:rPr>
          <w:rFonts w:ascii="仿宋" w:hAnsi="仿宋" w:eastAsia="仿宋"/>
          <w:color w:val="000000"/>
          <w:sz w:val="32"/>
          <w:u w:color="auto"/>
        </w:rPr>
        <w:t>万元</w:t>
      </w:r>
      <w:r>
        <w:rPr>
          <w:rFonts w:hint="eastAsia" w:ascii="仿宋" w:hAnsi="仿宋" w:eastAsia="仿宋"/>
          <w:color w:val="000000"/>
          <w:sz w:val="32"/>
          <w:szCs w:val="32"/>
        </w:rPr>
        <w:t>。</w:t>
      </w:r>
    </w:p>
    <w:p w14:paraId="3BC13569">
      <w:pPr>
        <w:pStyle w:val="4"/>
        <w:ind w:firstLine="643" w:firstLineChars="200"/>
        <w:rPr>
          <w:rFonts w:ascii="黑体" w:eastAsia="黑体" w:cs="Times New Roman"/>
          <w:bCs w:val="0"/>
          <w:color w:val="000000"/>
        </w:rPr>
      </w:pPr>
      <w:bookmarkStart w:id="54" w:name="_Toc15377215"/>
      <w:bookmarkStart w:id="55" w:name="_Toc6614"/>
      <w:bookmarkStart w:id="56" w:name="_Toc111208505"/>
      <w:r>
        <w:rPr>
          <w:rFonts w:hint="eastAsia" w:ascii="黑体" w:eastAsia="黑体" w:cs="Times New Roman"/>
          <w:bCs w:val="0"/>
          <w:color w:val="000000"/>
        </w:rPr>
        <w:t>七、“三公”经费财政拨款支出决算情况说明</w:t>
      </w:r>
      <w:bookmarkEnd w:id="54"/>
      <w:bookmarkEnd w:id="55"/>
      <w:bookmarkEnd w:id="56"/>
    </w:p>
    <w:p w14:paraId="7A681096">
      <w:pPr>
        <w:spacing w:line="600" w:lineRule="exact"/>
        <w:ind w:firstLine="643" w:firstLineChars="200"/>
        <w:outlineLvl w:val="2"/>
        <w:rPr>
          <w:rFonts w:ascii="仿宋" w:hAnsi="仿宋" w:eastAsia="仿宋"/>
          <w:b/>
          <w:color w:val="000000"/>
          <w:sz w:val="32"/>
          <w:szCs w:val="32"/>
        </w:rPr>
      </w:pPr>
      <w:bookmarkStart w:id="57" w:name="_Toc15377216"/>
      <w:r>
        <w:rPr>
          <w:rFonts w:hint="eastAsia" w:ascii="仿宋" w:hAnsi="仿宋" w:eastAsia="仿宋"/>
          <w:b/>
          <w:color w:val="000000"/>
          <w:sz w:val="32"/>
          <w:szCs w:val="32"/>
        </w:rPr>
        <w:t>（一）“三公”经费财政拨款支出决算总体情况说明</w:t>
      </w:r>
      <w:bookmarkEnd w:id="57"/>
    </w:p>
    <w:p w14:paraId="6F1D6248">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4</w:t>
      </w:r>
      <w:r>
        <w:rPr>
          <w:rFonts w:ascii="仿宋" w:hAnsi="仿宋" w:eastAsia="仿宋"/>
          <w:color w:val="000000"/>
          <w:sz w:val="32"/>
          <w:u w:color="auto"/>
        </w:rPr>
        <w:t>年“三公”经费财政拨款支出决算为</w:t>
      </w:r>
      <w:r>
        <w:rPr>
          <w:rFonts w:hint="eastAsia" w:ascii="仿宋" w:hAnsi="仿宋" w:eastAsia="仿宋"/>
          <w:color w:val="000000"/>
          <w:sz w:val="32"/>
          <w:u w:color="auto"/>
          <w:lang w:val="en-US" w:eastAsia="zh-CN"/>
        </w:rPr>
        <w:t>187.11</w:t>
      </w:r>
      <w:r>
        <w:rPr>
          <w:rFonts w:hint="eastAsia" w:ascii="仿宋" w:hAnsi="仿宋" w:eastAsia="仿宋"/>
          <w:color w:val="000000"/>
          <w:sz w:val="32"/>
          <w:szCs w:val="32"/>
        </w:rPr>
        <w:t>万元，完成预算</w:t>
      </w:r>
      <w:r>
        <w:rPr>
          <w:rFonts w:hint="eastAsia" w:ascii="仿宋" w:hAnsi="仿宋" w:eastAsia="仿宋"/>
          <w:color w:val="000000"/>
          <w:sz w:val="32"/>
          <w:u w:color="auto"/>
          <w:lang w:val="en-US" w:eastAsia="zh-CN"/>
        </w:rPr>
        <w:t>99.94</w:t>
      </w:r>
      <w:r>
        <w:rPr>
          <w:rFonts w:hint="eastAsia" w:ascii="仿宋" w:hAnsi="仿宋" w:eastAsia="仿宋"/>
          <w:color w:val="000000"/>
          <w:sz w:val="32"/>
          <w:szCs w:val="32"/>
        </w:rPr>
        <w:t>%。</w:t>
      </w:r>
      <w:bookmarkStart w:id="58" w:name="_Toc15377217"/>
    </w:p>
    <w:p w14:paraId="0ABCE287">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bookmarkEnd w:id="58"/>
    </w:p>
    <w:p w14:paraId="7C5CA45D">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4</w:t>
      </w:r>
      <w:r>
        <w:rPr>
          <w:rFonts w:ascii="仿宋" w:hAnsi="仿宋" w:eastAsia="仿宋"/>
          <w:color w:val="000000"/>
          <w:sz w:val="32"/>
          <w:u w:color="auto"/>
        </w:rPr>
        <w:t>年“三公”经费财政拨款支出</w:t>
      </w:r>
      <w:r>
        <w:rPr>
          <w:rFonts w:hint="eastAsia" w:ascii="仿宋" w:hAnsi="仿宋" w:eastAsia="仿宋"/>
          <w:color w:val="000000"/>
          <w:sz w:val="32"/>
          <w:u w:color="auto"/>
          <w:lang w:val="en-US" w:eastAsia="zh-CN"/>
        </w:rPr>
        <w:t>187.11</w:t>
      </w:r>
      <w:r>
        <w:rPr>
          <w:rFonts w:hint="eastAsia" w:ascii="仿宋" w:hAnsi="仿宋" w:eastAsia="仿宋"/>
          <w:color w:val="000000"/>
          <w:sz w:val="32"/>
          <w:szCs w:val="32"/>
        </w:rPr>
        <w:t>万元，因公出国（境）费支出决算</w:t>
      </w:r>
      <w:r>
        <w:rPr>
          <w:rFonts w:ascii="仿宋" w:hAnsi="仿宋" w:eastAsia="仿宋"/>
          <w:color w:val="000000"/>
          <w:sz w:val="32"/>
          <w:u w:color="auto"/>
        </w:rPr>
        <w:t>0.00</w:t>
      </w:r>
      <w:r>
        <w:rPr>
          <w:rFonts w:hint="eastAsia" w:ascii="仿宋" w:hAnsi="仿宋" w:eastAsia="仿宋"/>
          <w:color w:val="000000"/>
          <w:sz w:val="32"/>
          <w:szCs w:val="32"/>
        </w:rPr>
        <w:t>万元，占</w:t>
      </w:r>
      <w:r>
        <w:rPr>
          <w:rFonts w:ascii="仿宋" w:hAnsi="仿宋" w:eastAsia="仿宋"/>
          <w:color w:val="000000"/>
          <w:sz w:val="32"/>
          <w:u w:color="auto"/>
        </w:rPr>
        <w:t>0.00</w:t>
      </w:r>
      <w:r>
        <w:rPr>
          <w:rFonts w:hint="eastAsia" w:ascii="仿宋" w:hAnsi="仿宋" w:eastAsia="仿宋"/>
          <w:color w:val="000000"/>
          <w:sz w:val="32"/>
          <w:szCs w:val="32"/>
        </w:rPr>
        <w:t>%；公务用车购置及运行维护费支出决算</w:t>
      </w:r>
      <w:r>
        <w:rPr>
          <w:rFonts w:ascii="仿宋" w:hAnsi="仿宋" w:eastAsia="仿宋"/>
          <w:color w:val="000000"/>
          <w:sz w:val="32"/>
          <w:u w:color="auto"/>
        </w:rPr>
        <w:t>7.</w:t>
      </w:r>
      <w:r>
        <w:rPr>
          <w:rFonts w:hint="eastAsia" w:ascii="仿宋" w:hAnsi="仿宋" w:eastAsia="仿宋"/>
          <w:color w:val="000000"/>
          <w:sz w:val="32"/>
          <w:u w:color="auto"/>
          <w:lang w:val="en-US" w:eastAsia="zh-CN"/>
        </w:rPr>
        <w:t>11</w:t>
      </w:r>
      <w:r>
        <w:rPr>
          <w:rFonts w:hint="eastAsia" w:ascii="仿宋" w:hAnsi="仿宋" w:eastAsia="仿宋"/>
          <w:color w:val="000000"/>
          <w:sz w:val="32"/>
          <w:szCs w:val="32"/>
        </w:rPr>
        <w:t>万元，占</w:t>
      </w:r>
      <w:r>
        <w:rPr>
          <w:rFonts w:hint="eastAsia" w:ascii="仿宋" w:hAnsi="仿宋" w:eastAsia="仿宋"/>
          <w:color w:val="000000"/>
          <w:sz w:val="32"/>
          <w:u w:color="auto"/>
          <w:lang w:val="en-US" w:eastAsia="zh-CN"/>
        </w:rPr>
        <w:t>3.80</w:t>
      </w:r>
      <w:r>
        <w:rPr>
          <w:rFonts w:hint="eastAsia" w:ascii="仿宋" w:hAnsi="仿宋" w:eastAsia="仿宋"/>
          <w:color w:val="000000"/>
          <w:sz w:val="32"/>
          <w:szCs w:val="32"/>
        </w:rPr>
        <w:t>%；公务接待费支出决算</w:t>
      </w:r>
      <w:r>
        <w:rPr>
          <w:rFonts w:hint="eastAsia" w:ascii="仿宋" w:hAnsi="仿宋" w:eastAsia="仿宋"/>
          <w:color w:val="000000"/>
          <w:sz w:val="32"/>
          <w:u w:color="auto"/>
          <w:lang w:val="en-US" w:eastAsia="zh-CN"/>
        </w:rPr>
        <w:t>180.00</w:t>
      </w:r>
      <w:r>
        <w:rPr>
          <w:rFonts w:hint="eastAsia" w:ascii="仿宋" w:hAnsi="仿宋" w:eastAsia="仿宋"/>
          <w:color w:val="000000"/>
          <w:sz w:val="32"/>
          <w:szCs w:val="32"/>
        </w:rPr>
        <w:t>万元，占</w:t>
      </w:r>
      <w:r>
        <w:rPr>
          <w:rFonts w:hint="eastAsia" w:ascii="仿宋" w:hAnsi="仿宋" w:eastAsia="仿宋"/>
          <w:color w:val="000000"/>
          <w:sz w:val="32"/>
          <w:u w:color="auto"/>
          <w:lang w:val="en-US" w:eastAsia="zh-CN"/>
        </w:rPr>
        <w:t>96.20</w:t>
      </w:r>
      <w:r>
        <w:rPr>
          <w:rFonts w:hint="eastAsia" w:ascii="仿宋" w:hAnsi="仿宋" w:eastAsia="仿宋"/>
          <w:color w:val="000000"/>
          <w:sz w:val="32"/>
          <w:szCs w:val="32"/>
        </w:rPr>
        <w:t>%。具体情况如下：</w:t>
      </w:r>
    </w:p>
    <w:p w14:paraId="59844779">
      <w:pPr>
        <w:pStyle w:val="6"/>
      </w:pPr>
      <w:r>
        <w:drawing>
          <wp:inline distT="0" distB="0" distL="0" distR="0">
            <wp:extent cx="4333240" cy="2886075"/>
            <wp:effectExtent l="4445" t="4445" r="5715" b="508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70C90C9">
      <w:pPr>
        <w:spacing w:line="600" w:lineRule="exact"/>
        <w:ind w:firstLine="640" w:firstLineChars="200"/>
        <w:jc w:val="center"/>
      </w:pPr>
      <w:r>
        <w:rPr>
          <w:rFonts w:hint="eastAsia" w:ascii="仿宋" w:hAnsi="仿宋" w:eastAsia="仿宋"/>
          <w:color w:val="000000"/>
          <w:sz w:val="32"/>
          <w:szCs w:val="32"/>
        </w:rPr>
        <w:t>（图7：“三公”经费财政拨款支出结构）</w:t>
      </w:r>
    </w:p>
    <w:p w14:paraId="2F171C9D">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1.因公出国（境）经费支出</w:t>
      </w:r>
      <w:r>
        <w:rPr>
          <w:rFonts w:ascii="仿宋" w:hAnsi="仿宋" w:eastAsia="仿宋"/>
          <w:color w:val="000000"/>
          <w:sz w:val="32"/>
          <w:u w:color="auto"/>
        </w:rPr>
        <w:t>0.00</w:t>
      </w:r>
      <w:r>
        <w:rPr>
          <w:rFonts w:hint="eastAsia" w:ascii="仿宋" w:hAnsi="仿宋" w:eastAsia="仿宋"/>
          <w:color w:val="000000"/>
          <w:sz w:val="32"/>
          <w:szCs w:val="32"/>
        </w:rPr>
        <w:t>万元,完成预算100%。全年安排因公出国（境）团组</w:t>
      </w:r>
      <w:r>
        <w:rPr>
          <w:rFonts w:ascii="仿宋" w:hAnsi="仿宋" w:eastAsia="仿宋"/>
          <w:color w:val="000000"/>
          <w:sz w:val="32"/>
          <w:u w:color="auto"/>
        </w:rPr>
        <w:t>0</w:t>
      </w:r>
      <w:r>
        <w:rPr>
          <w:rFonts w:hint="eastAsia" w:ascii="仿宋" w:hAnsi="仿宋" w:eastAsia="仿宋"/>
          <w:color w:val="000000"/>
          <w:sz w:val="32"/>
          <w:szCs w:val="32"/>
        </w:rPr>
        <w:t>次，出国（境）</w:t>
      </w:r>
      <w:r>
        <w:rPr>
          <w:rFonts w:ascii="仿宋" w:hAnsi="仿宋" w:eastAsia="仿宋"/>
          <w:color w:val="000000"/>
          <w:sz w:val="32"/>
          <w:u w:color="auto"/>
        </w:rPr>
        <w:t>0</w:t>
      </w:r>
      <w:r>
        <w:rPr>
          <w:rFonts w:hint="eastAsia" w:ascii="仿宋" w:hAnsi="仿宋" w:eastAsia="仿宋"/>
          <w:color w:val="000000"/>
          <w:sz w:val="32"/>
          <w:szCs w:val="32"/>
        </w:rPr>
        <w:t>人。因公出国（境）支出决算比</w:t>
      </w:r>
      <w:r>
        <w:rPr>
          <w:rFonts w:ascii="仿宋" w:hAnsi="仿宋" w:eastAsia="仿宋"/>
          <w:color w:val="000000"/>
          <w:sz w:val="32"/>
          <w:u w:color="auto"/>
        </w:rPr>
        <w:t>202</w:t>
      </w:r>
      <w:r>
        <w:rPr>
          <w:rFonts w:hint="eastAsia" w:ascii="仿宋" w:hAnsi="仿宋" w:eastAsia="仿宋"/>
          <w:color w:val="000000"/>
          <w:sz w:val="32"/>
          <w:u w:color="auto"/>
          <w:lang w:val="en-US" w:eastAsia="zh-CN"/>
        </w:rPr>
        <w:t>2</w:t>
      </w:r>
      <w:r>
        <w:rPr>
          <w:rFonts w:ascii="仿宋" w:hAnsi="仿宋" w:eastAsia="仿宋"/>
          <w:color w:val="000000"/>
          <w:sz w:val="32"/>
          <w:u w:color="auto"/>
        </w:rPr>
        <w:t>年增加0.00</w:t>
      </w:r>
      <w:r>
        <w:rPr>
          <w:rFonts w:hint="eastAsia" w:ascii="仿宋" w:hAnsi="仿宋" w:eastAsia="仿宋"/>
          <w:color w:val="000000"/>
          <w:sz w:val="32"/>
          <w:szCs w:val="32"/>
        </w:rPr>
        <w:t>万元，</w:t>
      </w:r>
      <w:r>
        <w:rPr>
          <w:rFonts w:ascii="仿宋" w:hAnsi="仿宋" w:eastAsia="仿宋"/>
          <w:color w:val="000000"/>
          <w:sz w:val="32"/>
          <w:u w:color="auto"/>
        </w:rPr>
        <w:t>增加0.00</w:t>
      </w:r>
      <w:r>
        <w:rPr>
          <w:rFonts w:hint="eastAsia" w:ascii="仿宋" w:hAnsi="仿宋" w:eastAsia="仿宋"/>
          <w:color w:val="000000"/>
          <w:sz w:val="32"/>
          <w:szCs w:val="32"/>
        </w:rPr>
        <w:t xml:space="preserve"> %。</w:t>
      </w:r>
      <w:r>
        <w:rPr>
          <w:rFonts w:ascii="仿宋" w:hAnsi="仿宋" w:eastAsia="仿宋"/>
          <w:color w:val="000000"/>
          <w:sz w:val="32"/>
          <w:u w:color="auto"/>
        </w:rPr>
        <w:t xml:space="preserve"> </w:t>
      </w:r>
    </w:p>
    <w:p w14:paraId="67B87092">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2.公务用车购置及运行维护费支出</w:t>
      </w:r>
      <w:r>
        <w:rPr>
          <w:rFonts w:ascii="仿宋" w:hAnsi="仿宋" w:eastAsia="仿宋"/>
          <w:color w:val="000000"/>
          <w:sz w:val="32"/>
          <w:u w:color="auto"/>
        </w:rPr>
        <w:t>7.</w:t>
      </w:r>
      <w:r>
        <w:rPr>
          <w:rFonts w:hint="eastAsia" w:ascii="仿宋" w:hAnsi="仿宋" w:eastAsia="仿宋"/>
          <w:color w:val="000000"/>
          <w:sz w:val="32"/>
          <w:u w:color="auto"/>
          <w:lang w:val="en-US" w:eastAsia="zh-CN"/>
        </w:rPr>
        <w:t>11</w:t>
      </w:r>
      <w:r>
        <w:rPr>
          <w:rFonts w:hint="eastAsia" w:ascii="仿宋" w:hAnsi="仿宋" w:eastAsia="仿宋"/>
          <w:color w:val="000000"/>
          <w:sz w:val="32"/>
          <w:szCs w:val="32"/>
        </w:rPr>
        <w:t>万元,完成预算</w:t>
      </w:r>
      <w:r>
        <w:rPr>
          <w:rFonts w:hint="eastAsia" w:ascii="仿宋" w:hAnsi="仿宋" w:eastAsia="仿宋"/>
          <w:color w:val="000000"/>
          <w:sz w:val="32"/>
          <w:u w:color="auto"/>
          <w:lang w:val="en-US" w:eastAsia="zh-CN"/>
        </w:rPr>
        <w:t>98.48</w:t>
      </w:r>
      <w:r>
        <w:rPr>
          <w:rFonts w:hint="eastAsia" w:ascii="仿宋" w:hAnsi="仿宋" w:eastAsia="仿宋"/>
          <w:color w:val="000000"/>
          <w:sz w:val="32"/>
          <w:szCs w:val="32"/>
        </w:rPr>
        <w:t>%。公务用车购置及运行维护费支出决算比</w:t>
      </w:r>
      <w:r>
        <w:rPr>
          <w:rFonts w:ascii="仿宋" w:hAnsi="仿宋" w:eastAsia="仿宋"/>
          <w:color w:val="000000"/>
          <w:sz w:val="32"/>
          <w:u w:color="auto"/>
        </w:rPr>
        <w:t>202</w:t>
      </w:r>
      <w:r>
        <w:rPr>
          <w:rFonts w:hint="eastAsia" w:ascii="仿宋" w:hAnsi="仿宋" w:eastAsia="仿宋"/>
          <w:color w:val="000000"/>
          <w:sz w:val="32"/>
          <w:u w:color="auto"/>
          <w:lang w:val="en-US" w:eastAsia="zh-CN"/>
        </w:rPr>
        <w:t>3</w:t>
      </w:r>
      <w:r>
        <w:rPr>
          <w:rFonts w:ascii="仿宋" w:hAnsi="仿宋" w:eastAsia="仿宋"/>
          <w:color w:val="000000"/>
          <w:sz w:val="32"/>
          <w:u w:color="auto"/>
        </w:rPr>
        <w:t>年</w:t>
      </w:r>
      <w:r>
        <w:rPr>
          <w:rFonts w:hint="eastAsia" w:ascii="仿宋" w:hAnsi="仿宋" w:eastAsia="仿宋"/>
          <w:color w:val="000000"/>
          <w:sz w:val="32"/>
          <w:u w:color="auto"/>
          <w:lang w:val="en-US" w:eastAsia="zh-CN"/>
        </w:rPr>
        <w:t>减少0.11</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减少</w:t>
      </w:r>
      <w:r>
        <w:rPr>
          <w:rFonts w:hint="eastAsia" w:ascii="仿宋" w:hAnsi="仿宋" w:eastAsia="仿宋"/>
          <w:color w:val="000000"/>
          <w:sz w:val="32"/>
          <w:u w:color="auto"/>
          <w:lang w:val="en-US" w:eastAsia="zh-CN"/>
        </w:rPr>
        <w:t>1.52</w:t>
      </w:r>
      <w:r>
        <w:rPr>
          <w:rFonts w:hint="eastAsia" w:ascii="仿宋" w:hAnsi="仿宋" w:eastAsia="仿宋"/>
          <w:color w:val="000000"/>
          <w:sz w:val="32"/>
          <w:szCs w:val="32"/>
        </w:rPr>
        <w:t>%。</w:t>
      </w:r>
      <w:r>
        <w:rPr>
          <w:rFonts w:ascii="仿宋" w:hAnsi="仿宋" w:eastAsia="仿宋"/>
          <w:color w:val="000000"/>
          <w:sz w:val="32"/>
          <w:u w:color="auto"/>
        </w:rPr>
        <w:t>主要原因是</w:t>
      </w:r>
      <w:r>
        <w:rPr>
          <w:rFonts w:hint="eastAsia" w:ascii="仿宋" w:hAnsi="仿宋" w:eastAsia="仿宋"/>
          <w:color w:val="000000"/>
          <w:sz w:val="32"/>
          <w:u w:color="auto"/>
          <w:lang w:val="en-US" w:eastAsia="zh-CN"/>
        </w:rPr>
        <w:t>公车维修减少</w:t>
      </w:r>
      <w:r>
        <w:rPr>
          <w:rFonts w:ascii="仿宋" w:hAnsi="仿宋" w:eastAsia="仿宋"/>
          <w:color w:val="000000"/>
          <w:sz w:val="32"/>
          <w:u w:color="auto"/>
        </w:rPr>
        <w:t xml:space="preserve">。 </w:t>
      </w:r>
    </w:p>
    <w:p w14:paraId="5F0E325C">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其中：公务用车购置支出</w:t>
      </w:r>
      <w:r>
        <w:rPr>
          <w:rFonts w:ascii="仿宋" w:hAnsi="仿宋" w:eastAsia="仿宋"/>
          <w:color w:val="000000"/>
          <w:sz w:val="32"/>
          <w:u w:color="auto"/>
        </w:rPr>
        <w:t>0.00万元。全年按规定更新购置公务用车0辆，其中：轿车0辆、金额0.00万元，越野车0辆、金额0.00万元，载客汽车0辆、金额0.00万元。截至</w:t>
      </w:r>
      <w:r>
        <w:rPr>
          <w:rFonts w:ascii="仿宋" w:hAnsi="仿宋" w:eastAsia="仿宋"/>
          <w:color w:val="000000"/>
          <w:sz w:val="32"/>
          <w:szCs w:val="32"/>
        </w:rPr>
        <w:t>202</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年</w:t>
      </w:r>
      <w:r>
        <w:rPr>
          <w:rFonts w:ascii="仿宋" w:hAnsi="仿宋" w:eastAsia="仿宋"/>
          <w:color w:val="000000"/>
          <w:sz w:val="32"/>
          <w:szCs w:val="32"/>
        </w:rPr>
        <w:t>12</w:t>
      </w:r>
      <w:r>
        <w:rPr>
          <w:rFonts w:hint="eastAsia" w:ascii="仿宋" w:hAnsi="仿宋" w:eastAsia="仿宋"/>
          <w:color w:val="000000"/>
          <w:sz w:val="32"/>
          <w:szCs w:val="32"/>
        </w:rPr>
        <w:t>月底，单位共有公务用车</w:t>
      </w:r>
      <w:r>
        <w:rPr>
          <w:rFonts w:hint="eastAsia" w:ascii="仿宋" w:hAnsi="仿宋" w:eastAsia="仿宋"/>
          <w:color w:val="000000"/>
          <w:sz w:val="32"/>
          <w:u w:color="auto"/>
          <w:lang w:val="en-US" w:eastAsia="zh-CN"/>
        </w:rPr>
        <w:t>2</w:t>
      </w:r>
      <w:r>
        <w:rPr>
          <w:rFonts w:hint="eastAsia" w:ascii="仿宋" w:hAnsi="仿宋" w:eastAsia="仿宋"/>
          <w:color w:val="000000"/>
          <w:sz w:val="32"/>
          <w:szCs w:val="32"/>
        </w:rPr>
        <w:t>辆，其中：轿车</w:t>
      </w:r>
      <w:r>
        <w:rPr>
          <w:rFonts w:hint="eastAsia" w:ascii="仿宋" w:hAnsi="仿宋" w:eastAsia="仿宋"/>
          <w:color w:val="000000"/>
          <w:sz w:val="32"/>
          <w:u w:color="auto"/>
          <w:lang w:val="en-US" w:eastAsia="zh-CN"/>
        </w:rPr>
        <w:t>1</w:t>
      </w:r>
      <w:r>
        <w:rPr>
          <w:rFonts w:ascii="仿宋" w:hAnsi="仿宋" w:eastAsia="仿宋"/>
          <w:color w:val="000000"/>
          <w:sz w:val="32"/>
          <w:u w:color="auto"/>
        </w:rPr>
        <w:t>辆、越野车1辆、载客汽车0辆。</w:t>
      </w:r>
    </w:p>
    <w:p w14:paraId="40C0E442">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公务用车运行维护费支出</w:t>
      </w:r>
      <w:r>
        <w:rPr>
          <w:rFonts w:ascii="仿宋" w:hAnsi="仿宋" w:eastAsia="仿宋"/>
          <w:color w:val="000000"/>
          <w:sz w:val="32"/>
          <w:u w:color="auto"/>
        </w:rPr>
        <w:t>7.</w:t>
      </w:r>
      <w:r>
        <w:rPr>
          <w:rFonts w:hint="eastAsia" w:ascii="仿宋" w:hAnsi="仿宋" w:eastAsia="仿宋"/>
          <w:color w:val="000000"/>
          <w:sz w:val="32"/>
          <w:u w:color="auto"/>
          <w:lang w:val="en-US" w:eastAsia="zh-CN"/>
        </w:rPr>
        <w:t>11</w:t>
      </w:r>
      <w:r>
        <w:rPr>
          <w:rFonts w:hint="eastAsia" w:ascii="仿宋" w:hAnsi="仿宋" w:eastAsia="仿宋"/>
          <w:color w:val="000000"/>
          <w:sz w:val="32"/>
          <w:szCs w:val="32"/>
        </w:rPr>
        <w:t>万元。</w:t>
      </w:r>
      <w:r>
        <w:rPr>
          <w:rFonts w:ascii="仿宋" w:hAnsi="仿宋" w:eastAsia="仿宋"/>
          <w:color w:val="000000"/>
          <w:sz w:val="32"/>
          <w:u w:color="auto"/>
        </w:rPr>
        <w:t>主要用于公车维修</w:t>
      </w:r>
      <w:r>
        <w:rPr>
          <w:rFonts w:hint="eastAsia" w:ascii="仿宋" w:hAnsi="仿宋" w:eastAsia="仿宋"/>
          <w:color w:val="000000"/>
          <w:sz w:val="32"/>
          <w:u w:color="auto"/>
          <w:lang w:val="en-US" w:eastAsia="zh-CN"/>
        </w:rPr>
        <w:t>及油费</w:t>
      </w:r>
      <w:r>
        <w:rPr>
          <w:rFonts w:ascii="仿宋" w:hAnsi="仿宋" w:eastAsia="仿宋"/>
          <w:color w:val="000000"/>
          <w:sz w:val="32"/>
          <w:u w:color="auto"/>
        </w:rPr>
        <w:t xml:space="preserve">。 </w:t>
      </w:r>
    </w:p>
    <w:p w14:paraId="53D9FB95">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3.公务接待费支出</w:t>
      </w:r>
      <w:r>
        <w:rPr>
          <w:rFonts w:hint="eastAsia" w:ascii="仿宋" w:hAnsi="仿宋" w:eastAsia="仿宋"/>
          <w:color w:val="000000"/>
          <w:sz w:val="32"/>
          <w:u w:color="auto"/>
          <w:lang w:val="en-US" w:eastAsia="zh-CN"/>
        </w:rPr>
        <w:t>180.00</w:t>
      </w:r>
      <w:r>
        <w:rPr>
          <w:rFonts w:ascii="仿宋" w:hAnsi="仿宋" w:eastAsia="仿宋"/>
          <w:color w:val="000000"/>
          <w:sz w:val="32"/>
          <w:u w:color="auto"/>
        </w:rPr>
        <w:t>万元，完成预算100.00</w:t>
      </w:r>
      <w:r>
        <w:rPr>
          <w:rFonts w:hint="eastAsia" w:ascii="仿宋" w:hAnsi="仿宋" w:eastAsia="仿宋"/>
          <w:color w:val="000000"/>
          <w:sz w:val="32"/>
          <w:szCs w:val="32"/>
        </w:rPr>
        <w:t>%。公务接待费支出决算比</w:t>
      </w:r>
      <w:r>
        <w:rPr>
          <w:rFonts w:ascii="仿宋" w:hAnsi="仿宋" w:eastAsia="仿宋"/>
          <w:color w:val="000000"/>
          <w:sz w:val="32"/>
          <w:u w:color="auto"/>
        </w:rPr>
        <w:t>202</w:t>
      </w:r>
      <w:r>
        <w:rPr>
          <w:rFonts w:hint="eastAsia" w:ascii="仿宋" w:hAnsi="仿宋" w:eastAsia="仿宋"/>
          <w:color w:val="000000"/>
          <w:sz w:val="32"/>
          <w:u w:color="auto"/>
          <w:lang w:val="en-US" w:eastAsia="zh-CN"/>
        </w:rPr>
        <w:t>3</w:t>
      </w:r>
      <w:r>
        <w:rPr>
          <w:rFonts w:ascii="仿宋" w:hAnsi="仿宋" w:eastAsia="仿宋"/>
          <w:color w:val="000000"/>
          <w:sz w:val="32"/>
          <w:u w:color="auto"/>
        </w:rPr>
        <w:t>年</w:t>
      </w:r>
      <w:r>
        <w:rPr>
          <w:rFonts w:hint="eastAsia" w:ascii="仿宋" w:hAnsi="仿宋" w:eastAsia="仿宋"/>
          <w:color w:val="000000"/>
          <w:sz w:val="32"/>
          <w:u w:color="auto"/>
          <w:lang w:eastAsia="zh-CN"/>
        </w:rPr>
        <w:t>增加</w:t>
      </w:r>
      <w:r>
        <w:rPr>
          <w:rFonts w:hint="eastAsia" w:ascii="仿宋" w:hAnsi="仿宋" w:eastAsia="仿宋"/>
          <w:color w:val="000000"/>
          <w:sz w:val="32"/>
          <w:u w:color="auto"/>
          <w:lang w:val="en-US" w:eastAsia="zh-CN"/>
        </w:rPr>
        <w:t>0.23</w:t>
      </w:r>
      <w:r>
        <w:rPr>
          <w:rFonts w:hint="eastAsia" w:ascii="仿宋" w:hAnsi="仿宋" w:eastAsia="仿宋"/>
          <w:color w:val="000000"/>
          <w:sz w:val="32"/>
          <w:szCs w:val="32"/>
        </w:rPr>
        <w:t>万元，</w:t>
      </w:r>
      <w:r>
        <w:rPr>
          <w:rFonts w:hint="eastAsia" w:ascii="仿宋" w:hAnsi="仿宋" w:eastAsia="仿宋"/>
          <w:color w:val="000000"/>
          <w:sz w:val="32"/>
          <w:u w:color="auto"/>
          <w:lang w:eastAsia="zh-CN"/>
        </w:rPr>
        <w:t>增加</w:t>
      </w:r>
      <w:r>
        <w:rPr>
          <w:rFonts w:hint="eastAsia" w:ascii="仿宋" w:hAnsi="仿宋" w:eastAsia="仿宋"/>
          <w:color w:val="000000"/>
          <w:sz w:val="32"/>
          <w:u w:color="auto"/>
          <w:lang w:val="en-US" w:eastAsia="zh-CN"/>
        </w:rPr>
        <w:t>0.12</w:t>
      </w:r>
      <w:r>
        <w:rPr>
          <w:rFonts w:ascii="仿宋" w:hAnsi="仿宋" w:eastAsia="仿宋"/>
          <w:color w:val="000000"/>
          <w:sz w:val="32"/>
          <w:szCs w:val="32"/>
        </w:rPr>
        <w:t>%</w:t>
      </w:r>
      <w:r>
        <w:rPr>
          <w:rFonts w:hint="eastAsia" w:ascii="仿宋" w:hAnsi="仿宋" w:eastAsia="仿宋"/>
          <w:color w:val="000000"/>
          <w:sz w:val="32"/>
          <w:szCs w:val="32"/>
        </w:rPr>
        <w:t>。</w:t>
      </w:r>
      <w:bookmarkStart w:id="59" w:name="_Toc15377218"/>
      <w:r>
        <w:rPr>
          <w:rFonts w:hint="eastAsia" w:ascii="仿宋" w:hAnsi="仿宋" w:eastAsia="仿宋"/>
          <w:color w:val="000000"/>
          <w:sz w:val="32"/>
          <w:szCs w:val="32"/>
        </w:rPr>
        <w:t>主要原因是活动</w:t>
      </w:r>
      <w:r>
        <w:rPr>
          <w:rFonts w:hint="eastAsia" w:ascii="仿宋" w:hAnsi="仿宋" w:eastAsia="仿宋"/>
          <w:color w:val="000000"/>
          <w:sz w:val="32"/>
          <w:szCs w:val="32"/>
          <w:lang w:eastAsia="zh-CN"/>
        </w:rPr>
        <w:t>增加</w:t>
      </w:r>
      <w:r>
        <w:rPr>
          <w:rFonts w:hint="eastAsia" w:ascii="仿宋" w:hAnsi="仿宋" w:eastAsia="仿宋"/>
          <w:color w:val="000000"/>
          <w:sz w:val="32"/>
          <w:szCs w:val="32"/>
        </w:rPr>
        <w:t xml:space="preserve">。 </w:t>
      </w:r>
    </w:p>
    <w:p w14:paraId="568858AC">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国内公务接待支出</w:t>
      </w:r>
      <w:r>
        <w:rPr>
          <w:rFonts w:hint="eastAsia" w:ascii="仿宋" w:hAnsi="仿宋" w:eastAsia="仿宋"/>
          <w:color w:val="000000"/>
          <w:sz w:val="32"/>
          <w:u w:color="auto"/>
          <w:lang w:val="en-US" w:eastAsia="zh-CN"/>
        </w:rPr>
        <w:t>180.00</w:t>
      </w:r>
      <w:r>
        <w:rPr>
          <w:rFonts w:ascii="仿宋" w:hAnsi="仿宋" w:eastAsia="仿宋"/>
          <w:color w:val="000000"/>
          <w:sz w:val="32"/>
          <w:u w:color="auto"/>
        </w:rPr>
        <w:t>万元。国内公务接待</w:t>
      </w:r>
      <w:r>
        <w:rPr>
          <w:rFonts w:hint="eastAsia" w:ascii="仿宋" w:hAnsi="仿宋" w:eastAsia="仿宋"/>
          <w:color w:val="000000"/>
          <w:sz w:val="32"/>
          <w:u w:color="auto"/>
          <w:lang w:val="en-US" w:eastAsia="zh-CN"/>
        </w:rPr>
        <w:t>633</w:t>
      </w:r>
      <w:r>
        <w:rPr>
          <w:rFonts w:ascii="仿宋" w:hAnsi="仿宋" w:eastAsia="仿宋"/>
          <w:color w:val="000000"/>
          <w:sz w:val="32"/>
          <w:u w:color="auto"/>
        </w:rPr>
        <w:t>批次，</w:t>
      </w:r>
      <w:r>
        <w:rPr>
          <w:rFonts w:hint="eastAsia" w:ascii="仿宋" w:hAnsi="仿宋" w:eastAsia="仿宋"/>
          <w:color w:val="000000"/>
          <w:sz w:val="32"/>
          <w:u w:color="auto"/>
          <w:lang w:val="en-US" w:eastAsia="zh-CN"/>
        </w:rPr>
        <w:t>9317</w:t>
      </w:r>
      <w:r>
        <w:rPr>
          <w:rFonts w:ascii="仿宋" w:hAnsi="仿宋" w:eastAsia="仿宋"/>
          <w:color w:val="000000"/>
          <w:sz w:val="32"/>
          <w:u w:color="auto"/>
        </w:rPr>
        <w:t>人次（不包括陪同人员），共计支出</w:t>
      </w:r>
      <w:r>
        <w:rPr>
          <w:rFonts w:hint="eastAsia" w:ascii="仿宋" w:hAnsi="仿宋" w:eastAsia="仿宋"/>
          <w:color w:val="000000"/>
          <w:sz w:val="32"/>
          <w:u w:color="auto"/>
          <w:lang w:val="en-US" w:eastAsia="zh-CN"/>
        </w:rPr>
        <w:t>180.00</w:t>
      </w:r>
      <w:r>
        <w:rPr>
          <w:rFonts w:ascii="仿宋" w:hAnsi="仿宋" w:eastAsia="仿宋"/>
          <w:color w:val="000000"/>
          <w:sz w:val="32"/>
          <w:u w:color="auto"/>
        </w:rPr>
        <w:t>万元。</w:t>
      </w:r>
    </w:p>
    <w:p w14:paraId="5B77FDC6">
      <w:pPr>
        <w:pStyle w:val="6"/>
        <w:rPr>
          <w:rFonts w:ascii="仿宋" w:hAnsi="仿宋" w:eastAsia="仿宋"/>
          <w:color w:val="000000"/>
          <w:sz w:val="32"/>
          <w:szCs w:val="32"/>
        </w:rPr>
      </w:pPr>
      <w:r>
        <w:rPr>
          <w:rFonts w:hint="eastAsia" w:ascii="仿宋" w:hAnsi="仿宋" w:eastAsia="仿宋"/>
          <w:color w:val="000000"/>
          <w:sz w:val="32"/>
          <w:szCs w:val="32"/>
        </w:rPr>
        <w:t>外事接待支出</w:t>
      </w:r>
      <w:r>
        <w:rPr>
          <w:rFonts w:ascii="仿宋" w:hAnsi="仿宋" w:eastAsia="仿宋"/>
          <w:color w:val="000000"/>
          <w:sz w:val="32"/>
          <w:u w:color="auto"/>
        </w:rPr>
        <w:t>0.00万元，外事接待0批次，0人，共计支出0.00万元。</w:t>
      </w:r>
    </w:p>
    <w:p w14:paraId="22A537A2">
      <w:pPr>
        <w:pStyle w:val="4"/>
        <w:ind w:firstLine="643" w:firstLineChars="200"/>
        <w:rPr>
          <w:rFonts w:ascii="黑体" w:eastAsia="黑体" w:cs="Times New Roman"/>
          <w:bCs w:val="0"/>
          <w:color w:val="000000"/>
        </w:rPr>
      </w:pPr>
      <w:bookmarkStart w:id="60" w:name="_Toc111208506"/>
      <w:bookmarkStart w:id="61" w:name="_Toc20439"/>
      <w:r>
        <w:rPr>
          <w:rFonts w:hint="eastAsia" w:ascii="黑体" w:eastAsia="黑体" w:cs="Times New Roman"/>
          <w:bCs w:val="0"/>
          <w:color w:val="000000"/>
        </w:rPr>
        <w:t>八、政府性基金预算支出决算情况说明</w:t>
      </w:r>
      <w:bookmarkEnd w:id="59"/>
      <w:bookmarkEnd w:id="60"/>
      <w:bookmarkEnd w:id="61"/>
    </w:p>
    <w:p w14:paraId="40E43D2E">
      <w:pPr>
        <w:spacing w:line="600" w:lineRule="exact"/>
        <w:ind w:firstLine="640"/>
        <w:rPr>
          <w:rFonts w:ascii="仿宋" w:hAnsi="仿宋" w:eastAsia="仿宋"/>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4</w:t>
      </w:r>
      <w:r>
        <w:rPr>
          <w:rFonts w:ascii="仿宋" w:hAnsi="仿宋" w:eastAsia="仿宋"/>
          <w:color w:val="000000"/>
          <w:sz w:val="32"/>
          <w:u w:color="auto"/>
        </w:rPr>
        <w:t>年政府性基金预算拨款支出0.00</w:t>
      </w:r>
      <w:r>
        <w:rPr>
          <w:rFonts w:hint="eastAsia" w:ascii="仿宋" w:hAnsi="仿宋" w:eastAsia="仿宋"/>
          <w:color w:val="000000"/>
          <w:sz w:val="32"/>
          <w:szCs w:val="32"/>
        </w:rPr>
        <w:t>万元。</w:t>
      </w:r>
      <w:bookmarkStart w:id="62" w:name="_Toc15377219"/>
    </w:p>
    <w:p w14:paraId="772C512B">
      <w:pPr>
        <w:pStyle w:val="4"/>
        <w:ind w:firstLine="643" w:firstLineChars="200"/>
        <w:rPr>
          <w:rFonts w:ascii="黑体" w:eastAsia="黑体" w:cs="Times New Roman"/>
          <w:bCs w:val="0"/>
          <w:color w:val="000000"/>
        </w:rPr>
      </w:pPr>
      <w:bookmarkStart w:id="63" w:name="_Toc23467"/>
      <w:bookmarkStart w:id="64" w:name="_Toc111208507"/>
      <w:r>
        <w:rPr>
          <w:rFonts w:hint="eastAsia" w:ascii="黑体" w:eastAsia="黑体" w:cs="Times New Roman"/>
          <w:bCs w:val="0"/>
          <w:color w:val="000000"/>
        </w:rPr>
        <w:t>九、国有资本经营预算支出决算情况说明</w:t>
      </w:r>
      <w:bookmarkEnd w:id="62"/>
      <w:bookmarkEnd w:id="63"/>
      <w:bookmarkEnd w:id="64"/>
    </w:p>
    <w:p w14:paraId="673BD4F5">
      <w:pPr>
        <w:spacing w:line="600" w:lineRule="exact"/>
        <w:ind w:firstLine="640"/>
        <w:rPr>
          <w:rFonts w:ascii="仿宋" w:hAnsi="仿宋" w:eastAsia="仿宋"/>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4</w:t>
      </w:r>
      <w:r>
        <w:rPr>
          <w:rFonts w:ascii="仿宋" w:hAnsi="仿宋" w:eastAsia="仿宋"/>
          <w:color w:val="000000"/>
          <w:sz w:val="32"/>
          <w:u w:color="auto"/>
        </w:rPr>
        <w:t>年国有资本经营预算拨款支出0.00</w:t>
      </w:r>
      <w:r>
        <w:rPr>
          <w:rFonts w:hint="eastAsia" w:ascii="仿宋" w:hAnsi="仿宋" w:eastAsia="仿宋"/>
          <w:color w:val="000000"/>
          <w:sz w:val="32"/>
          <w:szCs w:val="32"/>
        </w:rPr>
        <w:t>万元。</w:t>
      </w:r>
    </w:p>
    <w:p w14:paraId="0A2ECE58">
      <w:pPr>
        <w:pStyle w:val="4"/>
        <w:ind w:firstLine="643" w:firstLineChars="200"/>
        <w:rPr>
          <w:rFonts w:ascii="黑体" w:eastAsia="黑体" w:cs="Times New Roman"/>
          <w:bCs w:val="0"/>
          <w:color w:val="000000"/>
        </w:rPr>
      </w:pPr>
      <w:bookmarkStart w:id="65" w:name="_Toc18455"/>
      <w:bookmarkStart w:id="66" w:name="_Toc15377221"/>
      <w:bookmarkStart w:id="67" w:name="_Toc111208508"/>
      <w:r>
        <w:rPr>
          <w:rFonts w:hint="eastAsia" w:ascii="黑体" w:eastAsia="黑体" w:cs="Times New Roman"/>
          <w:bCs w:val="0"/>
          <w:color w:val="000000"/>
        </w:rPr>
        <w:t>十、其他重要事项的情况说明</w:t>
      </w:r>
      <w:bookmarkEnd w:id="65"/>
      <w:bookmarkEnd w:id="66"/>
      <w:bookmarkEnd w:id="67"/>
    </w:p>
    <w:p w14:paraId="2DABD418">
      <w:pPr>
        <w:spacing w:line="600" w:lineRule="exact"/>
        <w:ind w:firstLine="643" w:firstLineChars="200"/>
        <w:outlineLvl w:val="2"/>
        <w:rPr>
          <w:rFonts w:ascii="仿宋" w:hAnsi="仿宋" w:eastAsia="仿宋"/>
          <w:b/>
          <w:color w:val="000000"/>
          <w:sz w:val="32"/>
          <w:szCs w:val="32"/>
        </w:rPr>
      </w:pPr>
      <w:bookmarkStart w:id="68" w:name="_Toc15377222"/>
      <w:r>
        <w:rPr>
          <w:rFonts w:hint="eastAsia" w:ascii="仿宋" w:hAnsi="仿宋" w:eastAsia="仿宋"/>
          <w:b/>
          <w:color w:val="000000"/>
          <w:sz w:val="32"/>
          <w:szCs w:val="32"/>
        </w:rPr>
        <w:t>（一）机关运行经费支出情况</w:t>
      </w:r>
      <w:bookmarkEnd w:id="68"/>
    </w:p>
    <w:p w14:paraId="7C70316F">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4</w:t>
      </w:r>
      <w:r>
        <w:rPr>
          <w:rFonts w:ascii="仿宋" w:hAnsi="仿宋" w:eastAsia="仿宋"/>
          <w:color w:val="000000"/>
          <w:sz w:val="32"/>
          <w:u w:color="auto"/>
        </w:rPr>
        <w:t>年，机关运行经费支出0.00</w:t>
      </w:r>
      <w:r>
        <w:rPr>
          <w:rFonts w:hint="eastAsia" w:ascii="仿宋" w:hAnsi="仿宋" w:eastAsia="仿宋"/>
          <w:color w:val="000000"/>
          <w:sz w:val="32"/>
          <w:szCs w:val="32"/>
        </w:rPr>
        <w:t>万元，比</w:t>
      </w:r>
      <w:r>
        <w:rPr>
          <w:rFonts w:ascii="仿宋" w:hAnsi="仿宋" w:eastAsia="仿宋"/>
          <w:color w:val="000000"/>
          <w:sz w:val="32"/>
          <w:u w:color="auto"/>
        </w:rPr>
        <w:t>202</w:t>
      </w:r>
      <w:r>
        <w:rPr>
          <w:rFonts w:hint="eastAsia" w:ascii="仿宋" w:hAnsi="仿宋" w:eastAsia="仿宋"/>
          <w:color w:val="000000"/>
          <w:sz w:val="32"/>
          <w:u w:color="auto"/>
          <w:lang w:val="en-US" w:eastAsia="zh-CN"/>
        </w:rPr>
        <w:t>3</w:t>
      </w:r>
      <w:r>
        <w:rPr>
          <w:rFonts w:ascii="仿宋" w:hAnsi="仿宋" w:eastAsia="仿宋"/>
          <w:color w:val="000000"/>
          <w:sz w:val="32"/>
          <w:u w:color="auto"/>
        </w:rPr>
        <w:t>年增加0.00</w:t>
      </w:r>
      <w:r>
        <w:rPr>
          <w:rFonts w:hint="eastAsia" w:ascii="仿宋" w:hAnsi="仿宋" w:eastAsia="仿宋"/>
          <w:color w:val="000000"/>
          <w:sz w:val="32"/>
          <w:szCs w:val="32"/>
        </w:rPr>
        <w:t>万元，</w:t>
      </w:r>
      <w:r>
        <w:rPr>
          <w:rFonts w:ascii="仿宋" w:hAnsi="仿宋" w:eastAsia="仿宋"/>
          <w:color w:val="000000"/>
          <w:sz w:val="32"/>
          <w:u w:color="auto"/>
        </w:rPr>
        <w:t xml:space="preserve">增加0.00 %。 </w:t>
      </w:r>
    </w:p>
    <w:p w14:paraId="00E64FA0">
      <w:pPr>
        <w:spacing w:line="600" w:lineRule="exact"/>
        <w:ind w:firstLine="643" w:firstLineChars="200"/>
        <w:outlineLvl w:val="2"/>
        <w:rPr>
          <w:rFonts w:ascii="仿宋" w:hAnsi="仿宋" w:eastAsia="仿宋"/>
          <w:b/>
          <w:color w:val="000000"/>
          <w:sz w:val="32"/>
          <w:szCs w:val="32"/>
        </w:rPr>
      </w:pPr>
      <w:bookmarkStart w:id="69" w:name="_Toc15377223"/>
      <w:r>
        <w:rPr>
          <w:rFonts w:hint="eastAsia" w:ascii="仿宋" w:hAnsi="仿宋" w:eastAsia="仿宋"/>
          <w:b/>
          <w:color w:val="000000"/>
          <w:sz w:val="32"/>
          <w:szCs w:val="32"/>
        </w:rPr>
        <w:t>（二）政府采购支出情况</w:t>
      </w:r>
      <w:bookmarkEnd w:id="69"/>
      <w:r>
        <w:rPr>
          <w:rFonts w:hint="eastAsia" w:ascii="仿宋" w:hAnsi="仿宋" w:eastAsia="仿宋"/>
          <w:b/>
          <w:color w:val="000000"/>
          <w:sz w:val="32"/>
          <w:szCs w:val="32"/>
        </w:rPr>
        <w:t>(机构运行信息表)</w:t>
      </w:r>
    </w:p>
    <w:p w14:paraId="4473DA31">
      <w:pPr>
        <w:spacing w:line="600" w:lineRule="exact"/>
        <w:ind w:firstLine="640"/>
        <w:rPr>
          <w:rFonts w:ascii="仿宋_GB2312" w:eastAsia="仿宋_GB2312"/>
          <w:color w:val="000000"/>
          <w:sz w:val="32"/>
          <w:szCs w:val="32"/>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4</w:t>
      </w:r>
      <w:r>
        <w:rPr>
          <w:rFonts w:ascii="仿宋" w:hAnsi="仿宋" w:eastAsia="仿宋"/>
          <w:color w:val="000000"/>
          <w:sz w:val="32"/>
          <w:u w:color="auto"/>
        </w:rPr>
        <w:t>年，政府采购支出总额</w:t>
      </w:r>
      <w:r>
        <w:rPr>
          <w:rFonts w:hint="eastAsia" w:ascii="仿宋" w:hAnsi="仿宋" w:eastAsia="仿宋"/>
          <w:color w:val="000000"/>
          <w:sz w:val="32"/>
          <w:u w:color="auto"/>
          <w:lang w:val="en-US" w:eastAsia="zh-CN"/>
        </w:rPr>
        <w:t>0</w:t>
      </w:r>
      <w:r>
        <w:rPr>
          <w:rFonts w:hint="eastAsia" w:ascii="仿宋" w:hAnsi="仿宋" w:eastAsia="仿宋"/>
          <w:color w:val="000000"/>
          <w:sz w:val="32"/>
          <w:szCs w:val="32"/>
        </w:rPr>
        <w:t>万元，其中：政府采购货物支出</w:t>
      </w:r>
      <w:r>
        <w:rPr>
          <w:rFonts w:hint="eastAsia" w:ascii="仿宋" w:hAnsi="仿宋" w:eastAsia="仿宋"/>
          <w:color w:val="000000"/>
          <w:sz w:val="32"/>
          <w:u w:color="auto"/>
          <w:lang w:val="en-US" w:eastAsia="zh-CN"/>
        </w:rPr>
        <w:t>0</w:t>
      </w:r>
      <w:r>
        <w:rPr>
          <w:rFonts w:hint="eastAsia" w:ascii="仿宋" w:hAnsi="仿宋" w:eastAsia="仿宋"/>
          <w:color w:val="000000"/>
          <w:sz w:val="32"/>
          <w:szCs w:val="32"/>
        </w:rPr>
        <w:t>万元、政府采购工程支出</w:t>
      </w:r>
      <w:r>
        <w:rPr>
          <w:rFonts w:ascii="仿宋" w:hAnsi="仿宋" w:eastAsia="仿宋"/>
          <w:color w:val="000000"/>
          <w:sz w:val="32"/>
          <w:u w:color="auto"/>
        </w:rPr>
        <w:t>0.00</w:t>
      </w:r>
      <w:r>
        <w:rPr>
          <w:rFonts w:hint="eastAsia" w:ascii="仿宋" w:hAnsi="仿宋" w:eastAsia="仿宋"/>
          <w:color w:val="000000"/>
          <w:sz w:val="32"/>
          <w:szCs w:val="32"/>
        </w:rPr>
        <w:t>万元、政府采购服务支出</w:t>
      </w:r>
      <w:r>
        <w:rPr>
          <w:rFonts w:ascii="仿宋" w:hAnsi="仿宋" w:eastAsia="仿宋"/>
          <w:color w:val="000000"/>
          <w:sz w:val="32"/>
          <w:u w:color="auto"/>
        </w:rPr>
        <w:t>0.00</w:t>
      </w:r>
      <w:r>
        <w:rPr>
          <w:rFonts w:hint="eastAsia" w:ascii="仿宋" w:hAnsi="仿宋" w:eastAsia="仿宋"/>
          <w:color w:val="000000"/>
          <w:sz w:val="32"/>
          <w:szCs w:val="32"/>
        </w:rPr>
        <w:t>万元。授予中小企业合同金额</w:t>
      </w:r>
      <w:r>
        <w:rPr>
          <w:rFonts w:hint="eastAsia" w:ascii="仿宋" w:hAnsi="仿宋" w:eastAsia="仿宋"/>
          <w:color w:val="000000"/>
          <w:sz w:val="32"/>
          <w:u w:color="auto"/>
          <w:lang w:val="en-US" w:eastAsia="zh-CN"/>
        </w:rPr>
        <w:t>0</w:t>
      </w:r>
      <w:r>
        <w:rPr>
          <w:rFonts w:hint="eastAsia" w:ascii="仿宋" w:hAnsi="仿宋" w:eastAsia="仿宋"/>
          <w:color w:val="000000"/>
          <w:sz w:val="32"/>
          <w:szCs w:val="32"/>
        </w:rPr>
        <w:t>万元，其中：授予小微企业合同金额</w:t>
      </w:r>
      <w:r>
        <w:rPr>
          <w:rFonts w:hint="eastAsia" w:ascii="仿宋" w:hAnsi="仿宋" w:eastAsia="仿宋"/>
          <w:color w:val="000000"/>
          <w:sz w:val="32"/>
          <w:u w:color="auto"/>
          <w:lang w:val="en-US" w:eastAsia="zh-CN"/>
        </w:rPr>
        <w:t>0</w:t>
      </w:r>
      <w:r>
        <w:rPr>
          <w:rFonts w:hint="eastAsia" w:ascii="仿宋" w:hAnsi="仿宋" w:eastAsia="仿宋"/>
          <w:color w:val="000000"/>
          <w:sz w:val="32"/>
          <w:szCs w:val="32"/>
        </w:rPr>
        <w:t>万元，占总合同的</w:t>
      </w:r>
      <w:r>
        <w:rPr>
          <w:rFonts w:hint="eastAsia" w:ascii="仿宋" w:hAnsi="仿宋" w:eastAsia="仿宋"/>
          <w:color w:val="000000"/>
          <w:sz w:val="32"/>
          <w:u w:color="auto"/>
          <w:lang w:val="en-US" w:eastAsia="zh-CN"/>
        </w:rPr>
        <w:t>0</w:t>
      </w:r>
      <w:r>
        <w:rPr>
          <w:rFonts w:hint="eastAsia" w:ascii="仿宋" w:hAnsi="仿宋" w:eastAsia="仿宋"/>
          <w:color w:val="000000"/>
          <w:sz w:val="32"/>
          <w:szCs w:val="32"/>
        </w:rPr>
        <w:t>%。</w:t>
      </w:r>
    </w:p>
    <w:p w14:paraId="0FC4FD97">
      <w:pPr>
        <w:spacing w:line="600" w:lineRule="exact"/>
        <w:ind w:firstLine="643" w:firstLineChars="200"/>
        <w:outlineLvl w:val="2"/>
        <w:rPr>
          <w:rFonts w:ascii="仿宋" w:hAnsi="仿宋" w:eastAsia="仿宋"/>
          <w:b/>
          <w:color w:val="000000"/>
          <w:sz w:val="32"/>
          <w:szCs w:val="32"/>
        </w:rPr>
      </w:pPr>
      <w:bookmarkStart w:id="70" w:name="_Toc15377224"/>
      <w:r>
        <w:rPr>
          <w:rFonts w:hint="eastAsia" w:ascii="仿宋" w:hAnsi="仿宋" w:eastAsia="仿宋"/>
          <w:b/>
          <w:color w:val="000000"/>
          <w:sz w:val="32"/>
          <w:szCs w:val="32"/>
        </w:rPr>
        <w:t>（三）国有资产占有使用情况</w:t>
      </w:r>
      <w:bookmarkEnd w:id="70"/>
    </w:p>
    <w:p w14:paraId="2273A3F0">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截至</w:t>
      </w:r>
      <w:r>
        <w:rPr>
          <w:rFonts w:ascii="仿宋" w:hAnsi="仿宋" w:eastAsia="仿宋"/>
          <w:color w:val="000000"/>
          <w:sz w:val="32"/>
          <w:u w:color="auto"/>
        </w:rPr>
        <w:t>202</w:t>
      </w:r>
      <w:r>
        <w:rPr>
          <w:rFonts w:hint="eastAsia" w:ascii="仿宋" w:hAnsi="仿宋" w:eastAsia="仿宋"/>
          <w:color w:val="000000"/>
          <w:sz w:val="32"/>
          <w:u w:color="auto"/>
          <w:lang w:val="en-US" w:eastAsia="zh-CN"/>
        </w:rPr>
        <w:t>4</w:t>
      </w:r>
      <w:r>
        <w:rPr>
          <w:rFonts w:ascii="仿宋" w:hAnsi="仿宋" w:eastAsia="仿宋"/>
          <w:color w:val="000000"/>
          <w:sz w:val="32"/>
          <w:u w:color="auto"/>
        </w:rPr>
        <w:t>年</w:t>
      </w:r>
      <w:r>
        <w:rPr>
          <w:rFonts w:ascii="仿宋" w:hAnsi="仿宋" w:eastAsia="仿宋"/>
          <w:color w:val="000000"/>
          <w:sz w:val="32"/>
          <w:szCs w:val="32"/>
        </w:rPr>
        <w:t>12</w:t>
      </w:r>
      <w:r>
        <w:rPr>
          <w:rFonts w:hint="eastAsia" w:ascii="仿宋" w:hAnsi="仿宋" w:eastAsia="仿宋"/>
          <w:color w:val="000000"/>
          <w:sz w:val="32"/>
          <w:szCs w:val="32"/>
        </w:rPr>
        <w:t>月</w:t>
      </w:r>
      <w:r>
        <w:rPr>
          <w:rFonts w:ascii="仿宋" w:hAnsi="仿宋" w:eastAsia="仿宋"/>
          <w:color w:val="000000"/>
          <w:sz w:val="32"/>
          <w:szCs w:val="32"/>
        </w:rPr>
        <w:t>31</w:t>
      </w:r>
      <w:r>
        <w:rPr>
          <w:rFonts w:hint="eastAsia" w:ascii="仿宋" w:hAnsi="仿宋" w:eastAsia="仿宋"/>
          <w:color w:val="000000"/>
          <w:sz w:val="32"/>
          <w:szCs w:val="32"/>
        </w:rPr>
        <w:t>日，共有车辆</w:t>
      </w:r>
      <w:r>
        <w:rPr>
          <w:rFonts w:hint="eastAsia" w:ascii="仿宋" w:hAnsi="仿宋" w:eastAsia="仿宋"/>
          <w:color w:val="000000"/>
          <w:sz w:val="32"/>
          <w:u w:color="auto"/>
          <w:lang w:val="en-US" w:eastAsia="zh-CN"/>
        </w:rPr>
        <w:t>2</w:t>
      </w:r>
      <w:r>
        <w:rPr>
          <w:rFonts w:ascii="仿宋" w:hAnsi="仿宋" w:eastAsia="仿宋"/>
          <w:color w:val="000000"/>
          <w:sz w:val="32"/>
          <w:u w:color="auto"/>
        </w:rPr>
        <w:t>辆，其中：主要领导干部用车0</w:t>
      </w:r>
      <w:r>
        <w:rPr>
          <w:rFonts w:hint="eastAsia" w:ascii="仿宋" w:hAnsi="仿宋" w:eastAsia="仿宋"/>
          <w:color w:val="000000"/>
          <w:sz w:val="32"/>
          <w:szCs w:val="32"/>
        </w:rPr>
        <w:t>辆、机要通信用车</w:t>
      </w:r>
      <w:r>
        <w:rPr>
          <w:rFonts w:ascii="仿宋" w:hAnsi="仿宋" w:eastAsia="仿宋"/>
          <w:color w:val="000000"/>
          <w:sz w:val="32"/>
          <w:u w:color="auto"/>
        </w:rPr>
        <w:t>0</w:t>
      </w:r>
      <w:r>
        <w:rPr>
          <w:rFonts w:hint="eastAsia" w:ascii="仿宋" w:hAnsi="仿宋" w:eastAsia="仿宋"/>
          <w:color w:val="000000"/>
          <w:sz w:val="32"/>
          <w:szCs w:val="32"/>
        </w:rPr>
        <w:t>辆、应急保障用车</w:t>
      </w:r>
      <w:r>
        <w:rPr>
          <w:rFonts w:ascii="仿宋" w:hAnsi="仿宋" w:eastAsia="仿宋"/>
          <w:color w:val="000000"/>
          <w:sz w:val="32"/>
          <w:u w:color="auto"/>
        </w:rPr>
        <w:t>1</w:t>
      </w:r>
      <w:r>
        <w:rPr>
          <w:rFonts w:hint="eastAsia" w:ascii="仿宋" w:hAnsi="仿宋" w:eastAsia="仿宋"/>
          <w:color w:val="000000"/>
          <w:sz w:val="32"/>
          <w:szCs w:val="32"/>
        </w:rPr>
        <w:t>辆、其他用车</w:t>
      </w:r>
      <w:r>
        <w:rPr>
          <w:rFonts w:hint="eastAsia" w:ascii="仿宋" w:hAnsi="仿宋" w:eastAsia="仿宋"/>
          <w:color w:val="000000"/>
          <w:sz w:val="32"/>
          <w:u w:color="auto"/>
          <w:lang w:val="en-US" w:eastAsia="zh-CN"/>
        </w:rPr>
        <w:t>1</w:t>
      </w:r>
      <w:r>
        <w:rPr>
          <w:rFonts w:hint="eastAsia" w:ascii="仿宋" w:hAnsi="仿宋" w:eastAsia="仿宋"/>
          <w:color w:val="000000"/>
          <w:sz w:val="32"/>
          <w:szCs w:val="32"/>
        </w:rPr>
        <w:t>辆。单价</w:t>
      </w:r>
      <w:r>
        <w:rPr>
          <w:rFonts w:ascii="仿宋" w:hAnsi="仿宋" w:eastAsia="仿宋"/>
          <w:color w:val="000000"/>
          <w:sz w:val="32"/>
          <w:szCs w:val="32"/>
        </w:rPr>
        <w:t>100</w:t>
      </w:r>
      <w:r>
        <w:rPr>
          <w:rFonts w:hint="eastAsia" w:ascii="仿宋" w:hAnsi="仿宋" w:eastAsia="仿宋"/>
          <w:color w:val="000000"/>
          <w:sz w:val="32"/>
          <w:szCs w:val="32"/>
        </w:rPr>
        <w:t>万元以上专用设备</w:t>
      </w:r>
      <w:r>
        <w:rPr>
          <w:rFonts w:ascii="仿宋" w:hAnsi="仿宋" w:eastAsia="仿宋"/>
          <w:color w:val="000000"/>
          <w:sz w:val="32"/>
          <w:u w:color="auto"/>
        </w:rPr>
        <w:t>0</w:t>
      </w:r>
      <w:r>
        <w:rPr>
          <w:rFonts w:hint="eastAsia" w:ascii="仿宋" w:hAnsi="仿宋" w:eastAsia="仿宋"/>
          <w:color w:val="000000"/>
          <w:sz w:val="32"/>
          <w:szCs w:val="32"/>
        </w:rPr>
        <w:t>台（套）。</w:t>
      </w:r>
    </w:p>
    <w:p w14:paraId="6FAF33F0">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14:paraId="6DC3C4C6">
      <w:pPr>
        <w:pStyle w:val="6"/>
      </w:pPr>
      <w:r>
        <w:rPr>
          <w:rFonts w:hint="eastAsia"/>
        </w:rPr>
        <w:t xml:space="preserve"> </w:t>
      </w:r>
    </w:p>
    <w:p w14:paraId="44B5899D">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78407672">
      <w:pPr>
        <w:pStyle w:val="3"/>
        <w:jc w:val="center"/>
        <w:rPr>
          <w:rFonts w:ascii="黑体" w:hAnsi="黑体" w:eastAsia="黑体" w:cs="黑体"/>
        </w:rPr>
      </w:pPr>
      <w:bookmarkStart w:id="71" w:name="_Toc111208509"/>
      <w:bookmarkStart w:id="72" w:name="_Toc15377225"/>
      <w:bookmarkStart w:id="73" w:name="_Toc18122"/>
      <w:r>
        <w:rPr>
          <w:rFonts w:hint="eastAsia" w:ascii="黑体" w:hAnsi="黑体" w:eastAsia="黑体" w:cs="黑体"/>
        </w:rPr>
        <w:t>第三部分 名词解释</w:t>
      </w:r>
      <w:bookmarkEnd w:id="71"/>
      <w:bookmarkEnd w:id="72"/>
      <w:bookmarkEnd w:id="73"/>
    </w:p>
    <w:p w14:paraId="2FD5F4B1">
      <w:pPr>
        <w:spacing w:line="600" w:lineRule="exact"/>
        <w:ind w:firstLine="64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财政拨款收入：指单位从同级财政部门取得的财政预算资金。</w:t>
      </w:r>
    </w:p>
    <w:p w14:paraId="43810F6E">
      <w:pPr>
        <w:spacing w:line="600" w:lineRule="exact"/>
        <w:ind w:firstLine="640"/>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rPr>
        <w:t>事业收入：指事业单位开展专业业务活动及辅助活动取得的收入。</w:t>
      </w:r>
    </w:p>
    <w:p w14:paraId="234D8675">
      <w:pPr>
        <w:spacing w:line="600" w:lineRule="exact"/>
        <w:ind w:firstLine="640"/>
        <w:rPr>
          <w:rFonts w:ascii="仿宋" w:hAnsi="仿宋" w:eastAsia="仿宋"/>
          <w:color w:val="000000"/>
          <w:sz w:val="32"/>
          <w:szCs w:val="32"/>
        </w:rPr>
      </w:pPr>
      <w:r>
        <w:rPr>
          <w:rFonts w:ascii="仿宋" w:hAnsi="仿宋" w:eastAsia="仿宋"/>
          <w:color w:val="000000"/>
          <w:sz w:val="32"/>
          <w:szCs w:val="32"/>
        </w:rPr>
        <w:t>3.</w:t>
      </w:r>
      <w:r>
        <w:rPr>
          <w:rFonts w:hint="eastAsia" w:ascii="仿宋" w:hAnsi="仿宋" w:eastAsia="仿宋"/>
          <w:color w:val="000000"/>
          <w:sz w:val="32"/>
          <w:szCs w:val="32"/>
        </w:rPr>
        <w:t>经营收入：指事业单位在专业业务活动及其辅助活动之外开展非独立核算经营活动取得的收入</w:t>
      </w:r>
    </w:p>
    <w:p w14:paraId="50B3120E">
      <w:pPr>
        <w:spacing w:line="600" w:lineRule="exact"/>
        <w:ind w:firstLine="640"/>
        <w:rPr>
          <w:rFonts w:ascii="仿宋" w:hAnsi="仿宋" w:eastAsia="仿宋"/>
          <w:color w:val="000000"/>
          <w:sz w:val="32"/>
          <w:szCs w:val="32"/>
        </w:rPr>
      </w:pPr>
      <w:r>
        <w:rPr>
          <w:rFonts w:ascii="仿宋" w:hAnsi="仿宋" w:eastAsia="仿宋"/>
          <w:color w:val="000000"/>
          <w:sz w:val="32"/>
          <w:szCs w:val="32"/>
        </w:rPr>
        <w:t>4.</w:t>
      </w:r>
      <w:r>
        <w:rPr>
          <w:rFonts w:hint="eastAsia" w:ascii="仿宋" w:hAnsi="仿宋" w:eastAsia="仿宋"/>
          <w:color w:val="000000"/>
          <w:sz w:val="32"/>
          <w:szCs w:val="32"/>
        </w:rPr>
        <w:t>其他收入：指单位取得的除上述收入以外的各项收入。</w:t>
      </w:r>
    </w:p>
    <w:p w14:paraId="45DD34B0">
      <w:pPr>
        <w:spacing w:line="600" w:lineRule="exact"/>
        <w:ind w:firstLine="640"/>
        <w:rPr>
          <w:rFonts w:ascii="仿宋" w:hAnsi="仿宋" w:eastAsia="仿宋"/>
          <w:color w:val="000000"/>
          <w:sz w:val="32"/>
          <w:szCs w:val="32"/>
        </w:rPr>
      </w:pPr>
      <w:r>
        <w:rPr>
          <w:rFonts w:ascii="仿宋" w:hAnsi="仿宋" w:eastAsia="仿宋"/>
          <w:color w:val="000000"/>
          <w:sz w:val="32"/>
          <w:szCs w:val="32"/>
        </w:rPr>
        <w:t>5.</w:t>
      </w:r>
      <w:r>
        <w:rPr>
          <w:rFonts w:hint="eastAsia" w:ascii="仿宋" w:hAnsi="仿宋" w:eastAsia="仿宋"/>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hAnsi="仿宋" w:eastAsia="仿宋"/>
          <w:color w:val="000000"/>
          <w:sz w:val="32"/>
          <w:szCs w:val="32"/>
        </w:rPr>
        <w:t xml:space="preserve"> </w:t>
      </w:r>
    </w:p>
    <w:p w14:paraId="2FE3A77D">
      <w:pPr>
        <w:spacing w:line="600" w:lineRule="exact"/>
        <w:ind w:firstLine="640"/>
        <w:rPr>
          <w:rFonts w:ascii="仿宋" w:hAnsi="仿宋" w:eastAsia="仿宋"/>
          <w:color w:val="000000"/>
          <w:sz w:val="32"/>
          <w:szCs w:val="32"/>
        </w:rPr>
      </w:pPr>
      <w:r>
        <w:rPr>
          <w:rFonts w:ascii="仿宋" w:hAnsi="仿宋" w:eastAsia="仿宋"/>
          <w:color w:val="000000"/>
          <w:sz w:val="32"/>
          <w:szCs w:val="32"/>
        </w:rPr>
        <w:t>6.</w:t>
      </w:r>
      <w:r>
        <w:rPr>
          <w:rFonts w:hint="eastAsia" w:ascii="仿宋" w:hAnsi="仿宋" w:eastAsia="仿宋"/>
          <w:color w:val="000000"/>
          <w:sz w:val="32"/>
          <w:szCs w:val="32"/>
        </w:rPr>
        <w:t>年初结转和结余：指以前年度尚未完成、结转到本年按有关规定继续使用的资金。</w:t>
      </w:r>
      <w:r>
        <w:rPr>
          <w:rFonts w:ascii="仿宋" w:hAnsi="仿宋" w:eastAsia="仿宋"/>
          <w:color w:val="000000"/>
          <w:sz w:val="32"/>
          <w:szCs w:val="32"/>
        </w:rPr>
        <w:t xml:space="preserve"> </w:t>
      </w:r>
    </w:p>
    <w:p w14:paraId="0ED6FFB9">
      <w:pPr>
        <w:spacing w:line="600" w:lineRule="exact"/>
        <w:ind w:firstLine="640"/>
        <w:rPr>
          <w:rFonts w:ascii="仿宋" w:hAnsi="仿宋" w:eastAsia="仿宋"/>
          <w:color w:val="000000"/>
          <w:sz w:val="32"/>
          <w:szCs w:val="32"/>
        </w:rPr>
      </w:pPr>
      <w:r>
        <w:rPr>
          <w:rFonts w:ascii="仿宋" w:hAnsi="仿宋" w:eastAsia="仿宋"/>
          <w:color w:val="000000"/>
          <w:sz w:val="32"/>
          <w:szCs w:val="32"/>
        </w:rPr>
        <w:t>7.</w:t>
      </w:r>
      <w:r>
        <w:rPr>
          <w:rFonts w:hint="eastAsia" w:ascii="仿宋" w:hAnsi="仿宋" w:eastAsia="仿宋"/>
          <w:color w:val="000000"/>
          <w:sz w:val="32"/>
          <w:szCs w:val="32"/>
        </w:rPr>
        <w:t>结余分配：指事业单位按照事业单位会计制度的规定从非财政补助结余中分配的事业基金和职工福利基金等。</w:t>
      </w:r>
    </w:p>
    <w:p w14:paraId="72BA50E5">
      <w:pPr>
        <w:spacing w:line="600" w:lineRule="exact"/>
        <w:ind w:firstLine="640"/>
        <w:rPr>
          <w:rFonts w:ascii="仿宋" w:hAnsi="仿宋" w:eastAsia="仿宋"/>
          <w:color w:val="000000"/>
          <w:sz w:val="32"/>
          <w:szCs w:val="32"/>
        </w:rPr>
      </w:pPr>
      <w:r>
        <w:rPr>
          <w:rFonts w:ascii="仿宋" w:hAnsi="仿宋" w:eastAsia="仿宋"/>
          <w:color w:val="000000"/>
          <w:sz w:val="32"/>
          <w:szCs w:val="32"/>
        </w:rPr>
        <w:t>8</w:t>
      </w:r>
      <w:r>
        <w:rPr>
          <w:rFonts w:hint="eastAsia" w:ascii="仿宋" w:hAnsi="仿宋" w:eastAsia="仿宋"/>
          <w:color w:val="000000"/>
          <w:sz w:val="32"/>
          <w:szCs w:val="32"/>
        </w:rPr>
        <w:t>.年末结转和结余：指单位按有关规定结转到下年或以后年度继续使用的资金。</w:t>
      </w:r>
    </w:p>
    <w:p w14:paraId="440F552B">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9.一般公共服务支出（201）政府办公厅（室）及相关机构事务（20103）事业运行（2010350）：反映事业单位的基本支出，不包括行政单位（包括实行公务员管理的事业单位）后勤服务中心、医务室等附属事业单位。</w:t>
      </w:r>
      <w:r>
        <w:rPr>
          <w:rFonts w:hint="eastAsia" w:ascii="仿宋" w:hAnsi="仿宋" w:eastAsia="仿宋"/>
          <w:color w:val="000000"/>
          <w:sz w:val="32"/>
          <w:szCs w:val="32"/>
        </w:rPr>
        <w:cr/>
      </w:r>
      <w:r>
        <w:rPr>
          <w:rFonts w:hint="eastAsia" w:ascii="仿宋" w:hAnsi="仿宋" w:eastAsia="仿宋"/>
          <w:color w:val="000000"/>
          <w:sz w:val="32"/>
          <w:szCs w:val="32"/>
        </w:rPr>
        <w:t xml:space="preserve">    10.一般公共服务支出（201）政府办公厅（室）及相关机构事务（20103）其他政府办公厅（室）及相关机构事务支出（2010399）：反映除上述项目以外的其他政府办公厅（室）及相关机构事务支岀。</w:t>
      </w:r>
      <w:r>
        <w:rPr>
          <w:rFonts w:hint="eastAsia" w:ascii="仿宋" w:hAnsi="仿宋" w:eastAsia="仿宋"/>
          <w:color w:val="000000"/>
          <w:sz w:val="32"/>
          <w:szCs w:val="32"/>
        </w:rPr>
        <w:cr/>
      </w:r>
      <w:r>
        <w:rPr>
          <w:rFonts w:hint="eastAsia" w:ascii="仿宋" w:hAnsi="仿宋" w:eastAsia="仿宋"/>
          <w:color w:val="000000"/>
          <w:sz w:val="32"/>
          <w:szCs w:val="32"/>
        </w:rPr>
        <w:t xml:space="preserve">    11.社会保障和就业支出（208）行政事业单位养老支出（20805）机关事业单位基本养老保险缴费支出（2080505）：反映机关事业单位实施养老保险制度由单位缴纳的基本养老保险费支出。</w:t>
      </w:r>
      <w:r>
        <w:rPr>
          <w:rFonts w:hint="eastAsia" w:ascii="仿宋" w:hAnsi="仿宋" w:eastAsia="仿宋"/>
          <w:color w:val="000000"/>
          <w:sz w:val="32"/>
          <w:szCs w:val="32"/>
        </w:rPr>
        <w:cr/>
      </w:r>
      <w:r>
        <w:rPr>
          <w:rFonts w:hint="eastAsia" w:ascii="仿宋" w:hAnsi="仿宋" w:eastAsia="仿宋"/>
          <w:color w:val="000000"/>
          <w:sz w:val="32"/>
          <w:szCs w:val="32"/>
        </w:rPr>
        <w:t xml:space="preserve">    12.社会保障和就业支出（208）行政事业单位养老支出（20805）机关事业单位职业年金缴费支出（2080506）：反映机关事业单位实施养老保险制度由单位实际缴纳的职业年金支出。</w:t>
      </w:r>
      <w:r>
        <w:rPr>
          <w:rFonts w:hint="eastAsia" w:ascii="仿宋" w:hAnsi="仿宋" w:eastAsia="仿宋"/>
          <w:color w:val="000000"/>
          <w:sz w:val="32"/>
          <w:szCs w:val="32"/>
        </w:rPr>
        <w:cr/>
      </w:r>
      <w:r>
        <w:rPr>
          <w:rFonts w:hint="eastAsia" w:ascii="仿宋" w:hAnsi="仿宋" w:eastAsia="仿宋"/>
          <w:color w:val="000000"/>
          <w:sz w:val="32"/>
          <w:szCs w:val="32"/>
        </w:rPr>
        <w:t xml:space="preserve">    13.卫生健康支出（210）行政事业单位医疗（21011）事业单位医疗（2101102）：反映财政部门安排的事业单位基本医疗保险缴费经费，未参加医疗保险的事业单位的公费医疗经费，按国家规定享受离休人员待遇的医疗经费。</w:t>
      </w:r>
      <w:r>
        <w:rPr>
          <w:rFonts w:hint="eastAsia" w:ascii="仿宋" w:hAnsi="仿宋" w:eastAsia="仿宋"/>
          <w:color w:val="000000"/>
          <w:sz w:val="32"/>
          <w:szCs w:val="32"/>
        </w:rPr>
        <w:cr/>
      </w:r>
      <w:r>
        <w:rPr>
          <w:rFonts w:hint="eastAsia" w:ascii="仿宋" w:hAnsi="仿宋" w:eastAsia="仿宋"/>
          <w:color w:val="000000"/>
          <w:sz w:val="32"/>
          <w:szCs w:val="32"/>
        </w:rPr>
        <w:t xml:space="preserve">    14.卫生健康支出（210）行政事业单位医疗（21011）其他行政事业单位医疗支出（2101199）：反映除上述项目以外的其他用于行政事业单位医疗方面的支出。</w:t>
      </w:r>
      <w:r>
        <w:rPr>
          <w:rFonts w:hint="eastAsia" w:ascii="仿宋" w:hAnsi="仿宋" w:eastAsia="仿宋"/>
          <w:color w:val="000000"/>
          <w:sz w:val="32"/>
          <w:szCs w:val="32"/>
        </w:rPr>
        <w:cr/>
      </w:r>
      <w:r>
        <w:rPr>
          <w:rFonts w:hint="eastAsia" w:ascii="仿宋" w:hAnsi="仿宋" w:eastAsia="仿宋"/>
          <w:color w:val="000000"/>
          <w:sz w:val="32"/>
          <w:szCs w:val="32"/>
        </w:rPr>
        <w:t xml:space="preserve">    15.住房保障支出（221）住房改革支出（22102）住房公积金（2210201）：反映行政事业单位按人力资源和社会保障部、财政部规定的基本工资和津贴补贴以及规定比例为职工缴纳的住房公积金。</w:t>
      </w:r>
    </w:p>
    <w:p w14:paraId="4D6FE3B4">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16.基本支出：指为保障机构正常运转、完成日常工作任务而发生的人员支出和公用支出。</w:t>
      </w:r>
    </w:p>
    <w:p w14:paraId="3A6F58A5">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17.项目支出：指在基本支出之外为完成特定行政任务和事业发展目标所发生的支出。 </w:t>
      </w:r>
    </w:p>
    <w:p w14:paraId="6FF54E6D">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18.经营支出：指事业单位在专业业务活动及其辅助活动之外开展非独立核算经营活动发生的支出。</w:t>
      </w:r>
    </w:p>
    <w:p w14:paraId="5B02CC42">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19.“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ECB7902">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84F26DA">
      <w:pPr>
        <w:spacing w:line="600" w:lineRule="exact"/>
        <w:ind w:firstLine="640"/>
        <w:rPr>
          <w:rFonts w:ascii="仿宋_GB2312" w:eastAsia="仿宋_GB2312" w:cs="黑体"/>
          <w:sz w:val="32"/>
          <w:szCs w:val="32"/>
        </w:rPr>
      </w:pPr>
      <w:r>
        <w:rPr>
          <w:rFonts w:hint="eastAsia" w:ascii="仿宋" w:hAnsi="仿宋" w:eastAsia="仿宋"/>
          <w:color w:val="000000"/>
          <w:sz w:val="32"/>
          <w:szCs w:val="32"/>
        </w:rPr>
        <w:t>.财政应返还额度：为行政事业单位会计核算科目，用于核算实行国库集中支付的行政事业单位应收财政返还的资金额度。</w:t>
      </w:r>
    </w:p>
    <w:p w14:paraId="7A2F21AC">
      <w:pPr>
        <w:widowControl/>
        <w:jc w:val="left"/>
        <w:rPr>
          <w:rStyle w:val="38"/>
          <w:rFonts w:ascii="黑体" w:hAnsi="黑体" w:eastAsia="黑体"/>
        </w:rPr>
      </w:pPr>
      <w:r>
        <w:rPr>
          <w:rStyle w:val="38"/>
          <w:rFonts w:ascii="黑体" w:hAnsi="黑体" w:eastAsia="黑体"/>
        </w:rPr>
        <w:br w:type="page"/>
      </w:r>
    </w:p>
    <w:p w14:paraId="593E8BA1">
      <w:pPr>
        <w:pStyle w:val="3"/>
        <w:jc w:val="center"/>
        <w:rPr>
          <w:rFonts w:ascii="黑体" w:hAnsi="黑体" w:eastAsia="黑体" w:cs="黑体"/>
        </w:rPr>
      </w:pPr>
      <w:bookmarkStart w:id="74" w:name="_Toc111208510"/>
      <w:bookmarkStart w:id="75" w:name="_Toc25539"/>
      <w:r>
        <w:rPr>
          <w:rFonts w:hint="eastAsia" w:ascii="黑体" w:hAnsi="黑体" w:eastAsia="黑体" w:cs="黑体"/>
        </w:rPr>
        <w:t>第四部分 附件</w:t>
      </w:r>
      <w:bookmarkEnd w:id="74"/>
      <w:bookmarkEnd w:id="75"/>
    </w:p>
    <w:p w14:paraId="24CD298F">
      <w:pPr>
        <w:pStyle w:val="22"/>
        <w:keepNext w:val="0"/>
        <w:keepLines w:val="0"/>
        <w:pageBreakBefore w:val="0"/>
        <w:kinsoku/>
        <w:wordWrap/>
        <w:overflowPunct/>
        <w:topLinePunct w:val="0"/>
        <w:autoSpaceDE/>
        <w:autoSpaceDN/>
        <w:bidi w:val="0"/>
        <w:spacing w:beforeAutospacing="0" w:afterAutospacing="0" w:line="576" w:lineRule="exact"/>
        <w:ind w:left="0" w:leftChars="0" w:firstLine="1760" w:firstLineChars="400"/>
        <w:jc w:val="both"/>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红原县公务服务中心</w:t>
      </w:r>
      <w:r>
        <w:rPr>
          <w:rFonts w:hint="eastAsia" w:ascii="方正小标宋_GBK" w:hAnsi="方正小标宋_GBK" w:eastAsia="方正小标宋_GBK" w:cs="方正小标宋_GBK"/>
          <w:sz w:val="44"/>
          <w:szCs w:val="44"/>
        </w:rPr>
        <w:t>202</w:t>
      </w:r>
      <w:r>
        <w:rPr>
          <w:rFonts w:hint="eastAsia" w:ascii="方正小标宋_GBK" w:hAnsi="方正小标宋_GBK" w:eastAsia="方正小标宋_GBK" w:cs="方正小标宋_GBK"/>
          <w:sz w:val="44"/>
          <w:szCs w:val="44"/>
          <w:lang w:val="en-US" w:eastAsia="zh-CN"/>
        </w:rPr>
        <w:t>4</w:t>
      </w:r>
      <w:r>
        <w:rPr>
          <w:rFonts w:hint="eastAsia" w:ascii="方正小标宋_GBK" w:hAnsi="方正小标宋_GBK" w:eastAsia="方正小标宋_GBK" w:cs="方正小标宋_GBK"/>
          <w:sz w:val="44"/>
          <w:szCs w:val="44"/>
        </w:rPr>
        <w:t>年</w:t>
      </w:r>
      <w:r>
        <w:rPr>
          <w:rFonts w:hint="eastAsia" w:ascii="方正小标宋_GBK" w:hAnsi="方正小标宋_GBK" w:eastAsia="方正小标宋_GBK" w:cs="方正小标宋_GBK"/>
          <w:sz w:val="44"/>
          <w:szCs w:val="44"/>
          <w:lang w:val="en-US" w:eastAsia="zh-CN"/>
        </w:rPr>
        <w:t>度</w:t>
      </w:r>
    </w:p>
    <w:p w14:paraId="0B9C45FC">
      <w:pPr>
        <w:pStyle w:val="22"/>
        <w:keepNext w:val="0"/>
        <w:keepLines w:val="0"/>
        <w:pageBreakBefore w:val="0"/>
        <w:kinsoku/>
        <w:wordWrap/>
        <w:overflowPunct/>
        <w:topLinePunct w:val="0"/>
        <w:autoSpaceDE/>
        <w:autoSpaceDN/>
        <w:bidi w:val="0"/>
        <w:spacing w:beforeAutospacing="0" w:afterAutospacing="0" w:line="576" w:lineRule="exact"/>
        <w:ind w:left="0" w:leftChars="0" w:firstLine="2640" w:firstLineChars="600"/>
        <w:jc w:val="both"/>
        <w:textAlignment w:val="auto"/>
        <w:rPr>
          <w:rFonts w:hint="eastAsia" w:ascii="方正小标宋_GBK" w:hAnsi="方正小标宋_GBK" w:eastAsia="方正小标宋_GBK" w:cs="方正小标宋_GBK"/>
          <w:sz w:val="44"/>
          <w:szCs w:val="44"/>
        </w:rPr>
      </w:pPr>
      <w:r>
        <w:rPr>
          <w:rFonts w:hint="eastAsia" w:eastAsia="方正小标宋简体" w:cs="Times New Roman"/>
          <w:b w:val="0"/>
          <w:bCs/>
          <w:sz w:val="44"/>
          <w:szCs w:val="44"/>
          <w:highlight w:val="none"/>
          <w:shd w:val="clear" w:color="auto" w:fill="FFFFFF"/>
          <w:lang w:val="en-US" w:eastAsia="zh-CN"/>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eastAsia="方正小标宋简体" w:cs="Times New Roman"/>
          <w:b w:val="0"/>
          <w:bCs/>
          <w:sz w:val="44"/>
          <w:szCs w:val="44"/>
          <w:highlight w:val="none"/>
          <w:shd w:val="clear" w:color="auto" w:fill="FFFFFF"/>
          <w:lang w:val="en-US" w:eastAsia="zh-CN"/>
        </w:rPr>
        <w:t>自评</w:t>
      </w:r>
      <w:r>
        <w:rPr>
          <w:rFonts w:hint="default" w:ascii="Times New Roman" w:hAnsi="Times New Roman" w:eastAsia="方正小标宋简体" w:cs="Times New Roman"/>
          <w:b w:val="0"/>
          <w:bCs/>
          <w:sz w:val="44"/>
          <w:szCs w:val="44"/>
          <w:highlight w:val="none"/>
          <w:shd w:val="clear" w:color="auto" w:fill="FFFFFF"/>
        </w:rPr>
        <w:t>报告</w:t>
      </w:r>
    </w:p>
    <w:p w14:paraId="4B9309A6">
      <w:pPr>
        <w:pStyle w:val="22"/>
        <w:keepNext w:val="0"/>
        <w:keepLines w:val="0"/>
        <w:pageBreakBefore w:val="0"/>
        <w:kinsoku/>
        <w:wordWrap/>
        <w:overflowPunct/>
        <w:topLinePunct w:val="0"/>
        <w:autoSpaceDE/>
        <w:autoSpaceDN/>
        <w:bidi w:val="0"/>
        <w:spacing w:beforeAutospacing="0" w:afterAutospacing="0" w:line="576" w:lineRule="exact"/>
        <w:ind w:left="0"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 xml:space="preserve"> </w:t>
      </w:r>
    </w:p>
    <w:p w14:paraId="3C6DC9AC">
      <w:pPr>
        <w:keepNext w:val="0"/>
        <w:keepLines w:val="0"/>
        <w:pageBreakBefore w:val="0"/>
        <w:widowControl/>
        <w:numPr>
          <w:ilvl w:val="0"/>
          <w:numId w:val="1"/>
        </w:numPr>
        <w:kinsoku/>
        <w:wordWrap/>
        <w:overflowPunct/>
        <w:topLinePunct w:val="0"/>
        <w:autoSpaceDE/>
        <w:autoSpaceDN/>
        <w:bidi w:val="0"/>
        <w:adjustRightInd w:val="0"/>
        <w:snapToGrid w:val="0"/>
        <w:spacing w:beforeAutospacing="0" w:afterAutospacing="0" w:line="576" w:lineRule="exact"/>
        <w:ind w:left="0" w:leftChars="0" w:right="0" w:rightChars="0"/>
        <w:jc w:val="left"/>
        <w:textAlignment w:val="auto"/>
        <w:outlineLvl w:val="9"/>
        <w:rPr>
          <w:rFonts w:hint="eastAsia" w:ascii="黑体" w:hAnsi="黑体" w:eastAsia="黑体" w:cs="黑体"/>
          <w:b w:val="0"/>
          <w:bCs/>
          <w:color w:val="000000"/>
          <w:kern w:val="0"/>
          <w:sz w:val="32"/>
          <w:szCs w:val="32"/>
          <w:lang w:val="zh-CN" w:bidi="ar"/>
        </w:rPr>
      </w:pPr>
      <w:r>
        <w:rPr>
          <w:rFonts w:hint="eastAsia" w:ascii="黑体" w:hAnsi="黑体" w:eastAsia="黑体" w:cs="黑体"/>
          <w:b w:val="0"/>
          <w:bCs/>
          <w:color w:val="000000"/>
          <w:kern w:val="0"/>
          <w:sz w:val="32"/>
          <w:szCs w:val="32"/>
          <w:lang w:val="zh-CN" w:bidi="ar"/>
        </w:rPr>
        <w:t>单位概况</w:t>
      </w:r>
    </w:p>
    <w:p w14:paraId="743AD723">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76" w:lineRule="exact"/>
        <w:ind w:left="0" w:leftChars="0" w:right="0" w:rightChars="0"/>
        <w:jc w:val="left"/>
        <w:textAlignment w:val="auto"/>
        <w:outlineLvl w:val="9"/>
        <w:rPr>
          <w:rFonts w:hint="eastAsia" w:ascii="仿宋_GB2312" w:hAnsi="仿宋_GB2312" w:eastAsia="仿宋_GB2312" w:cs="仿宋_GB2312"/>
          <w:b/>
          <w:color w:val="000000"/>
          <w:kern w:val="0"/>
          <w:sz w:val="32"/>
          <w:szCs w:val="32"/>
          <w:lang w:val="zh-CN" w:bidi="ar"/>
        </w:rPr>
      </w:pPr>
      <w:r>
        <w:rPr>
          <w:rFonts w:hint="eastAsia" w:ascii="仿宋_GB2312" w:hAnsi="仿宋_GB2312" w:eastAsia="仿宋_GB2312" w:cs="仿宋_GB2312"/>
          <w:b/>
          <w:color w:val="000000"/>
          <w:kern w:val="0"/>
          <w:sz w:val="32"/>
          <w:szCs w:val="32"/>
          <w:lang w:val="zh-CN" w:bidi="ar"/>
        </w:rPr>
        <w:t>（一）机构组成</w:t>
      </w:r>
    </w:p>
    <w:p w14:paraId="0CFB9B42">
      <w:pPr>
        <w:pStyle w:val="12"/>
        <w:keepNext w:val="0"/>
        <w:keepLines w:val="0"/>
        <w:pageBreakBefore w:val="0"/>
        <w:widowControl/>
        <w:suppressLineNumbers w:val="0"/>
        <w:kinsoku/>
        <w:wordWrap/>
        <w:overflowPunct/>
        <w:topLinePunct w:val="0"/>
        <w:autoSpaceDE/>
        <w:autoSpaceDN/>
        <w:bidi w:val="0"/>
        <w:spacing w:before="0" w:beforeAutospacing="0" w:after="0" w:afterAutospacing="0" w:line="576"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红原县公务服务中心（简称县公务服务中心），为县政府直属正科级公益一类事业单位。县公务服务中心设下列内设机构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办公室。承担机关政务工作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制定工作制度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负责依法行政、文电、会务、机要、文印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档案、信息、保密、信访、督查、规章制度建设、绩效管理、政务公开、对口接待、财务管理、固定资产管理、办公用品采购等工作；</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公务服务股。贯彻执行中央、省、州有关公务接待工作的规定，结合我县具体实际制定公务接待办法； 完成县公务接待管理部门承担的接待任务；加强本级公务接待工作的规范管理，指导公务接待工作；负责县委县政府承办的重大接待服务工作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 xml:space="preserve">后勤保障股。承担县级机关食堂管理工作，保障全县县级领导工作用餐及部分公务接待；承担县公务服务中心物资库房管理工作。 </w:t>
      </w:r>
    </w:p>
    <w:p w14:paraId="1BE033B8">
      <w:pPr>
        <w:pStyle w:val="47"/>
        <w:keepNext w:val="0"/>
        <w:keepLines w:val="0"/>
        <w:pageBreakBefore w:val="0"/>
        <w:widowControl/>
        <w:kinsoku/>
        <w:wordWrap/>
        <w:overflowPunct/>
        <w:topLinePunct w:val="0"/>
        <w:autoSpaceDE/>
        <w:autoSpaceDN/>
        <w:bidi w:val="0"/>
        <w:spacing w:beforeAutospacing="0" w:afterAutospacing="0" w:line="576" w:lineRule="exact"/>
        <w:ind w:left="0" w:leftChars="0" w:right="0" w:rightChars="0"/>
        <w:textAlignment w:val="auto"/>
        <w:outlineLvl w:val="9"/>
        <w:rPr>
          <w:rFonts w:hint="eastAsia" w:ascii="仿宋_GB2312" w:hAnsi="仿宋_GB2312" w:eastAsia="仿宋_GB2312" w:cs="仿宋_GB2312"/>
          <w:b/>
          <w:bCs/>
          <w:color w:val="000000"/>
          <w:sz w:val="32"/>
          <w:szCs w:val="32"/>
          <w:lang w:val="zh-CN" w:bidi="ar"/>
        </w:rPr>
      </w:pPr>
      <w:r>
        <w:rPr>
          <w:rFonts w:hint="eastAsia" w:ascii="仿宋_GB2312" w:hAnsi="仿宋_GB2312" w:eastAsia="仿宋_GB2312" w:cs="仿宋_GB2312"/>
          <w:b/>
          <w:bCs/>
          <w:color w:val="000000"/>
          <w:sz w:val="32"/>
          <w:szCs w:val="32"/>
          <w:lang w:val="zh-CN" w:bidi="ar"/>
        </w:rPr>
        <w:t>（二）机构职能</w:t>
      </w:r>
    </w:p>
    <w:p w14:paraId="7AD87E4C">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val="en-US" w:eastAsia="zh-CN"/>
        </w:rPr>
        <w:t>1.</w:t>
      </w:r>
      <w:r>
        <w:rPr>
          <w:rFonts w:hint="eastAsia" w:ascii="仿宋_GB2312" w:hAnsi="仿宋_GB2312" w:eastAsia="仿宋_GB2312" w:cs="仿宋_GB2312"/>
          <w:sz w:val="32"/>
          <w:szCs w:val="32"/>
        </w:rPr>
        <w:t xml:space="preserve">负责党和国家领导人（含曾经担任）、省委、省人大、省政府、省政协副省级以上、州委、州人大、州政府、州政协副厅级领导（含曾经但任）来县的服务保障。 </w:t>
      </w:r>
    </w:p>
    <w:p w14:paraId="301BC47B">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val="en-US" w:eastAsia="zh-CN"/>
        </w:rPr>
        <w:t>2.</w:t>
      </w:r>
      <w:r>
        <w:rPr>
          <w:rFonts w:hint="eastAsia" w:ascii="仿宋_GB2312" w:hAnsi="仿宋_GB2312" w:eastAsia="仿宋_GB2312" w:cs="仿宋_GB2312"/>
          <w:sz w:val="32"/>
          <w:szCs w:val="32"/>
        </w:rPr>
        <w:t xml:space="preserve">按照有关规定负责和参与党中央、国务院、省委、省政府、州委、州政府巡视、检查、督查（督导、督察）、考察、调研、考核、审计等工作组来县的服务保障。 </w:t>
      </w:r>
    </w:p>
    <w:p w14:paraId="5E9E05D7">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val="en-US" w:eastAsia="zh-CN"/>
        </w:rPr>
        <w:t>3.</w:t>
      </w:r>
      <w:r>
        <w:rPr>
          <w:rFonts w:hint="eastAsia" w:ascii="仿宋_GB2312" w:hAnsi="仿宋_GB2312" w:eastAsia="仿宋_GB2312" w:cs="仿宋_GB2312"/>
          <w:sz w:val="32"/>
          <w:szCs w:val="32"/>
        </w:rPr>
        <w:t xml:space="preserve">负责外省（州、市、区、县）党委、政府正、副县级领导干部来县的服务保障；会同县级有关部门承担中央和国家机关各部委正、副部级领导干部、省委、省政府正、副省级、州委、州政府领导干部来县的服务保障；参与县人大常委会办公室、县政协办公室牵头对口接待正、副厅级领导干部来县的服务保障。 </w:t>
      </w:r>
    </w:p>
    <w:p w14:paraId="4C61A346">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val="en-US" w:eastAsia="zh-CN"/>
        </w:rPr>
        <w:t>4.</w:t>
      </w:r>
      <w:r>
        <w:rPr>
          <w:rFonts w:hint="eastAsia" w:ascii="仿宋_GB2312" w:hAnsi="仿宋_GB2312" w:eastAsia="仿宋_GB2312" w:cs="仿宋_GB2312"/>
          <w:sz w:val="32"/>
          <w:szCs w:val="32"/>
        </w:rPr>
        <w:t>负责或参与外省（州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市、区、县）党政代表团来县考察的协调联络和服务保障。 </w:t>
      </w:r>
    </w:p>
    <w:p w14:paraId="7CD6EE32">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val="en-US" w:eastAsia="zh-CN"/>
        </w:rPr>
        <w:t>5.</w:t>
      </w:r>
      <w:r>
        <w:rPr>
          <w:rFonts w:hint="eastAsia" w:ascii="仿宋_GB2312" w:hAnsi="仿宋_GB2312" w:eastAsia="仿宋_GB2312" w:cs="仿宋_GB2312"/>
          <w:sz w:val="32"/>
          <w:szCs w:val="32"/>
        </w:rPr>
        <w:t xml:space="preserve">负责我县党政代表团赴外省（州、市、区、县）考察的协调联络和服务保障。 </w:t>
      </w:r>
    </w:p>
    <w:p w14:paraId="15FF7EDF">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cs="仿宋_GB2312"/>
          <w:sz w:val="32"/>
          <w:szCs w:val="32"/>
          <w:lang w:val="en-US" w:eastAsia="zh-CN"/>
        </w:rPr>
        <w:t>6.</w:t>
      </w:r>
      <w:r>
        <w:rPr>
          <w:rFonts w:hint="eastAsia" w:ascii="仿宋_GB2312" w:hAnsi="仿宋_GB2312" w:eastAsia="仿宋_GB2312" w:cs="仿宋_GB2312"/>
          <w:sz w:val="32"/>
          <w:szCs w:val="32"/>
        </w:rPr>
        <w:t>负责县委、县政府交办的由县公务服务中心承担的外</w:t>
      </w:r>
    </w:p>
    <w:p w14:paraId="521B9139">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事接待和招商引资事项的服务保障。 </w:t>
      </w:r>
    </w:p>
    <w:p w14:paraId="2140FBCD">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cs="仿宋_GB2312"/>
          <w:sz w:val="32"/>
          <w:szCs w:val="32"/>
          <w:lang w:val="en-US" w:eastAsia="zh-CN"/>
        </w:rPr>
        <w:t>7.</w:t>
      </w:r>
      <w:r>
        <w:rPr>
          <w:rFonts w:hint="eastAsia" w:ascii="仿宋_GB2312" w:hAnsi="仿宋_GB2312" w:eastAsia="仿宋_GB2312" w:cs="仿宋_GB2312"/>
          <w:sz w:val="32"/>
          <w:szCs w:val="32"/>
        </w:rPr>
        <w:t>按照中央八项规定和省委、省政府十项规定及其实施</w:t>
      </w:r>
    </w:p>
    <w:p w14:paraId="440498EF">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细则要求，负责联系协调县级有关部门及关联单位承办州委、州</w:t>
      </w:r>
    </w:p>
    <w:p w14:paraId="3226E77B">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政府重大公务活动的服务工作。 </w:t>
      </w:r>
    </w:p>
    <w:p w14:paraId="7A58D741">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val="en-US" w:eastAsia="zh-CN"/>
        </w:rPr>
        <w:t>8.</w:t>
      </w:r>
      <w:r>
        <w:rPr>
          <w:rFonts w:hint="eastAsia" w:ascii="仿宋_GB2312" w:hAnsi="仿宋_GB2312" w:eastAsia="仿宋_GB2312" w:cs="仿宋_GB2312"/>
          <w:sz w:val="32"/>
          <w:szCs w:val="32"/>
        </w:rPr>
        <w:t xml:space="preserve">会同县级有关部门承担县委、县政府交办的大型会议、活动的接待服务保障工作。 </w:t>
      </w:r>
    </w:p>
    <w:p w14:paraId="2D806D66">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cs="仿宋_GB2312"/>
          <w:sz w:val="32"/>
          <w:szCs w:val="32"/>
          <w:lang w:val="en-US" w:eastAsia="zh-CN"/>
        </w:rPr>
        <w:t>9.</w:t>
      </w:r>
      <w:r>
        <w:rPr>
          <w:rFonts w:hint="eastAsia" w:ascii="仿宋_GB2312" w:hAnsi="仿宋_GB2312" w:eastAsia="仿宋_GB2312" w:cs="仿宋_GB2312"/>
          <w:sz w:val="32"/>
          <w:szCs w:val="32"/>
        </w:rPr>
        <w:t>指导县级部门的公务活动服务保障工作，参与拟订全</w:t>
      </w:r>
    </w:p>
    <w:p w14:paraId="0C6B4D70">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县公务服务相关规定。 </w:t>
      </w:r>
    </w:p>
    <w:p w14:paraId="2AD7A1E5">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leftChars="0" w:firstLine="0" w:firstLineChars="0"/>
        <w:textAlignment w:val="auto"/>
        <w:rPr>
          <w:rFonts w:hint="eastAsia" w:ascii="仿宋_GB2312" w:hAnsi="仿宋_GB2312" w:eastAsia="仿宋_GB2312" w:cs="仿宋_GB2312"/>
          <w:sz w:val="32"/>
          <w:szCs w:val="32"/>
          <w:lang w:eastAsia="zh-CN"/>
        </w:rPr>
      </w:pPr>
      <w:r>
        <w:rPr>
          <w:rFonts w:hint="eastAsia" w:ascii="仿宋_GB2312" w:hAnsi="仿宋_GB2312" w:cs="仿宋_GB2312"/>
          <w:sz w:val="32"/>
          <w:szCs w:val="32"/>
          <w:lang w:val="en-US" w:eastAsia="zh-CN"/>
        </w:rPr>
        <w:t>10.</w:t>
      </w:r>
      <w:r>
        <w:rPr>
          <w:rFonts w:hint="eastAsia" w:ascii="仿宋_GB2312" w:hAnsi="仿宋_GB2312" w:eastAsia="仿宋_GB2312" w:cs="仿宋_GB2312"/>
          <w:sz w:val="32"/>
          <w:szCs w:val="32"/>
        </w:rPr>
        <w:t xml:space="preserve">负责办理中办警卫局、省警卫局安排的有关在县事务。 </w:t>
      </w:r>
    </w:p>
    <w:p w14:paraId="719123D3">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leftChars="0" w:firstLine="0" w:firstLineChars="0"/>
        <w:textAlignment w:val="auto"/>
        <w:rPr>
          <w:rFonts w:hint="eastAsia" w:ascii="仿宋_GB2312" w:hAnsi="仿宋_GB2312" w:eastAsia="仿宋_GB2312" w:cs="仿宋_GB2312"/>
          <w:sz w:val="32"/>
          <w:szCs w:val="32"/>
          <w:lang w:eastAsia="zh-CN"/>
        </w:rPr>
      </w:pPr>
      <w:r>
        <w:rPr>
          <w:rFonts w:hint="eastAsia" w:ascii="仿宋_GB2312" w:hAnsi="仿宋_GB2312" w:cs="仿宋_GB2312"/>
          <w:sz w:val="32"/>
          <w:szCs w:val="32"/>
          <w:lang w:val="en-US" w:eastAsia="zh-CN"/>
        </w:rPr>
        <w:t>11.</w:t>
      </w:r>
      <w:r>
        <w:rPr>
          <w:rFonts w:hint="eastAsia" w:ascii="仿宋_GB2312" w:hAnsi="仿宋_GB2312" w:eastAsia="仿宋_GB2312" w:cs="仿宋_GB2312"/>
          <w:sz w:val="32"/>
          <w:szCs w:val="32"/>
        </w:rPr>
        <w:t xml:space="preserve">负责县级机关食堂管理工作。 </w:t>
      </w:r>
    </w:p>
    <w:p w14:paraId="6621AC44">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val="en-US" w:eastAsia="zh-CN"/>
        </w:rPr>
        <w:t>12.</w:t>
      </w:r>
      <w:r>
        <w:rPr>
          <w:rFonts w:hint="eastAsia" w:ascii="仿宋_GB2312" w:hAnsi="仿宋_GB2312" w:eastAsia="仿宋_GB2312" w:cs="仿宋_GB2312"/>
          <w:sz w:val="32"/>
          <w:szCs w:val="32"/>
        </w:rPr>
        <w:t xml:space="preserve">完成县委、县政府交办的其他任务。 </w:t>
      </w:r>
    </w:p>
    <w:p w14:paraId="53B135BE">
      <w:pPr>
        <w:keepNext w:val="0"/>
        <w:keepLines w:val="0"/>
        <w:pageBreakBefore w:val="0"/>
        <w:kinsoku/>
        <w:wordWrap/>
        <w:overflowPunct/>
        <w:topLinePunct w:val="0"/>
        <w:autoSpaceDE/>
        <w:autoSpaceDN/>
        <w:bidi w:val="0"/>
        <w:spacing w:beforeAutospacing="0" w:afterAutospacing="0" w:line="576" w:lineRule="exact"/>
        <w:ind w:left="0" w:leftChars="0" w:right="0" w:rightChars="0"/>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（三）人员概况</w:t>
      </w:r>
    </w:p>
    <w:p w14:paraId="22036CB8">
      <w:pPr>
        <w:keepNext w:val="0"/>
        <w:keepLines w:val="0"/>
        <w:pageBreakBefore w:val="0"/>
        <w:kinsoku/>
        <w:wordWrap/>
        <w:overflowPunct/>
        <w:topLinePunct w:val="0"/>
        <w:autoSpaceDE/>
        <w:autoSpaceDN/>
        <w:bidi w:val="0"/>
        <w:snapToGrid w:val="0"/>
        <w:spacing w:beforeAutospacing="0" w:afterAutospacing="0" w:line="576"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截止20</w:t>
      </w:r>
      <w:r>
        <w:rPr>
          <w:rFonts w:hint="eastAsia" w:ascii="仿宋_GB2312" w:hAnsi="仿宋_GB2312" w:eastAsia="仿宋_GB2312" w:cs="仿宋_GB2312"/>
          <w:sz w:val="32"/>
          <w:szCs w:val="32"/>
          <w:lang w:val="en-US" w:eastAsia="zh-CN"/>
        </w:rPr>
        <w:t>2</w:t>
      </w:r>
      <w:r>
        <w:rPr>
          <w:rFonts w:hint="eastAsia" w:ascii="仿宋_GB2312" w:hAnsi="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底</w:t>
      </w:r>
      <w:r>
        <w:rPr>
          <w:rFonts w:hint="eastAsia" w:ascii="仿宋_GB2312" w:hAnsi="仿宋_GB2312" w:eastAsia="仿宋_GB2312" w:cs="仿宋_GB2312"/>
          <w:sz w:val="32"/>
          <w:szCs w:val="32"/>
        </w:rPr>
        <w:t>我</w:t>
      </w:r>
      <w:r>
        <w:rPr>
          <w:rFonts w:hint="eastAsia" w:ascii="仿宋_GB2312" w:hAnsi="仿宋_GB2312" w:eastAsia="仿宋_GB2312" w:cs="仿宋_GB2312"/>
          <w:color w:val="000000"/>
          <w:kern w:val="0"/>
          <w:sz w:val="32"/>
          <w:szCs w:val="32"/>
          <w:lang w:val="en-US" w:eastAsia="zh-CN" w:bidi="ar-SA"/>
        </w:rPr>
        <w:t>单位</w:t>
      </w:r>
      <w:r>
        <w:rPr>
          <w:rFonts w:hint="eastAsia" w:ascii="仿宋_GB2312" w:hAnsi="仿宋_GB2312" w:eastAsia="仿宋_GB2312" w:cs="仿宋_GB2312"/>
          <w:bCs/>
          <w:sz w:val="32"/>
          <w:szCs w:val="32"/>
        </w:rPr>
        <w:t>共有</w:t>
      </w:r>
      <w:r>
        <w:rPr>
          <w:rFonts w:hint="eastAsia" w:ascii="仿宋_GB2312" w:hAnsi="仿宋_GB2312" w:cs="仿宋_GB2312"/>
          <w:bCs/>
          <w:sz w:val="32"/>
          <w:szCs w:val="32"/>
          <w:lang w:val="en-US" w:eastAsia="zh-CN"/>
        </w:rPr>
        <w:t>事业</w:t>
      </w:r>
      <w:r>
        <w:rPr>
          <w:rFonts w:hint="eastAsia" w:ascii="仿宋_GB2312" w:hAnsi="仿宋_GB2312" w:eastAsia="仿宋_GB2312" w:cs="仿宋_GB2312"/>
          <w:bCs/>
          <w:sz w:val="32"/>
          <w:szCs w:val="32"/>
        </w:rPr>
        <w:t>编制</w:t>
      </w:r>
      <w:r>
        <w:rPr>
          <w:rFonts w:hint="eastAsia" w:ascii="仿宋_GB2312" w:hAnsi="仿宋_GB2312" w:eastAsia="仿宋_GB2312" w:cs="仿宋_GB2312"/>
          <w:bCs/>
          <w:sz w:val="32"/>
          <w:szCs w:val="32"/>
          <w:lang w:val="en-US" w:eastAsia="zh-CN"/>
        </w:rPr>
        <w:t>12</w:t>
      </w:r>
      <w:r>
        <w:rPr>
          <w:rFonts w:hint="eastAsia" w:ascii="仿宋_GB2312" w:hAnsi="仿宋_GB2312" w:eastAsia="仿宋_GB2312" w:cs="仿宋_GB2312"/>
          <w:bCs/>
          <w:sz w:val="32"/>
          <w:szCs w:val="32"/>
        </w:rPr>
        <w:t>个，</w:t>
      </w:r>
      <w:r>
        <w:rPr>
          <w:rFonts w:hint="eastAsia" w:ascii="仿宋_GB2312" w:hAnsi="仿宋_GB2312" w:cs="仿宋_GB2312"/>
          <w:bCs/>
          <w:sz w:val="32"/>
          <w:szCs w:val="32"/>
          <w:lang w:val="en-US" w:eastAsia="zh-CN"/>
        </w:rPr>
        <w:t>实有在编9人。</w:t>
      </w:r>
    </w:p>
    <w:p w14:paraId="67DC78E2">
      <w:pPr>
        <w:pageBreakBefore w:val="0"/>
        <w:widowControl/>
        <w:kinsoku/>
        <w:wordWrap/>
        <w:overflowPunct/>
        <w:topLinePunct w:val="0"/>
        <w:autoSpaceDE/>
        <w:autoSpaceDN/>
        <w:bidi w:val="0"/>
        <w:adjustRightInd w:val="0"/>
        <w:snapToGrid w:val="0"/>
        <w:spacing w:beforeAutospacing="0" w:afterAutospacing="0" w:line="576" w:lineRule="exact"/>
        <w:ind w:left="0" w:leftChars="0" w:firstLine="320" w:firstLineChars="100"/>
        <w:jc w:val="left"/>
        <w:textAlignment w:val="auto"/>
        <w:rPr>
          <w:rFonts w:hint="eastAsia" w:ascii="黑体" w:hAnsi="黑体" w:eastAsia="黑体" w:cs="黑体"/>
          <w:b w:val="0"/>
          <w:bCs/>
          <w:color w:val="000000"/>
          <w:kern w:val="0"/>
          <w:sz w:val="32"/>
          <w:szCs w:val="32"/>
          <w:lang w:val="zh-CN" w:eastAsia="zh-CN" w:bidi="ar"/>
        </w:rPr>
      </w:pPr>
      <w:r>
        <w:rPr>
          <w:rFonts w:hint="eastAsia" w:ascii="黑体" w:hAnsi="黑体" w:eastAsia="黑体" w:cs="黑体"/>
          <w:kern w:val="0"/>
          <w:sz w:val="32"/>
          <w:szCs w:val="32"/>
          <w:highlight w:val="none"/>
          <w:lang w:val="zh-CN" w:eastAsia="zh-CN" w:bidi="ar-SA"/>
        </w:rPr>
        <w:t>二</w:t>
      </w:r>
      <w:r>
        <w:rPr>
          <w:rFonts w:hint="eastAsia" w:ascii="黑体" w:hAnsi="黑体" w:eastAsia="黑体" w:cs="黑体"/>
          <w:b w:val="0"/>
          <w:bCs/>
          <w:color w:val="000000"/>
          <w:kern w:val="0"/>
          <w:sz w:val="32"/>
          <w:szCs w:val="32"/>
          <w:lang w:val="zh-CN" w:eastAsia="zh-CN" w:bidi="ar"/>
        </w:rPr>
        <w:t>、部门财政资金收支情况</w:t>
      </w:r>
      <w:bookmarkStart w:id="93" w:name="_GoBack"/>
      <w:bookmarkEnd w:id="93"/>
    </w:p>
    <w:p w14:paraId="6A90A305">
      <w:pPr>
        <w:keepNext w:val="0"/>
        <w:keepLines w:val="0"/>
        <w:pageBreakBefore w:val="0"/>
        <w:kinsoku/>
        <w:wordWrap/>
        <w:overflowPunct/>
        <w:topLinePunct w:val="0"/>
        <w:autoSpaceDE/>
        <w:autoSpaceDN/>
        <w:bidi w:val="0"/>
        <w:spacing w:beforeAutospacing="0" w:afterAutospacing="0" w:line="576" w:lineRule="exact"/>
        <w:ind w:left="0" w:leftChars="0" w:right="0" w:rightChars="0" w:firstLine="643" w:firstLineChars="200"/>
        <w:textAlignment w:val="auto"/>
        <w:outlineLvl w:val="9"/>
        <w:rPr>
          <w:rFonts w:hint="eastAsia" w:ascii="仿宋_GB2312" w:hAnsi="仿宋_GB2312" w:eastAsia="仿宋_GB2312" w:cs="仿宋_GB2312"/>
          <w:b/>
          <w:color w:val="000000"/>
          <w:kern w:val="0"/>
          <w:sz w:val="32"/>
          <w:szCs w:val="32"/>
          <w:lang w:val="zh-CN" w:bidi="ar"/>
        </w:rPr>
      </w:pPr>
      <w:r>
        <w:rPr>
          <w:rFonts w:hint="eastAsia" w:ascii="仿宋_GB2312" w:hAnsi="仿宋_GB2312" w:eastAsia="仿宋_GB2312" w:cs="仿宋_GB2312"/>
          <w:b/>
          <w:color w:val="000000"/>
          <w:kern w:val="0"/>
          <w:sz w:val="32"/>
          <w:szCs w:val="32"/>
          <w:lang w:val="zh-CN" w:bidi="ar"/>
        </w:rPr>
        <w:t>（一）部门财政资金收入情况</w:t>
      </w:r>
    </w:p>
    <w:p w14:paraId="2676428B">
      <w:pPr>
        <w:keepNext w:val="0"/>
        <w:keepLines w:val="0"/>
        <w:pageBreakBefore w:val="0"/>
        <w:kinsoku/>
        <w:wordWrap/>
        <w:overflowPunct/>
        <w:topLinePunct w:val="0"/>
        <w:autoSpaceDE/>
        <w:autoSpaceDN/>
        <w:bidi w:val="0"/>
        <w:spacing w:beforeAutospacing="0" w:afterAutospacing="0" w:line="576"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202</w:t>
      </w:r>
      <w:r>
        <w:rPr>
          <w:rFonts w:hint="eastAsia" w:ascii="仿宋_GB2312" w:hAnsi="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年度</w:t>
      </w:r>
      <w:r>
        <w:rPr>
          <w:rFonts w:hint="eastAsia" w:ascii="仿宋_GB2312" w:hAnsi="仿宋_GB2312" w:eastAsia="仿宋_GB2312" w:cs="仿宋_GB2312"/>
          <w:color w:val="auto"/>
          <w:sz w:val="32"/>
          <w:szCs w:val="32"/>
        </w:rPr>
        <w:t>收入合计</w:t>
      </w:r>
      <w:r>
        <w:rPr>
          <w:rFonts w:hint="eastAsia" w:ascii="仿宋_GB2312" w:hAnsi="仿宋_GB2312" w:cs="仿宋_GB2312"/>
          <w:color w:val="auto"/>
          <w:sz w:val="32"/>
          <w:szCs w:val="32"/>
          <w:lang w:val="en-US" w:eastAsia="zh-CN"/>
        </w:rPr>
        <w:t>683.69</w:t>
      </w:r>
      <w:r>
        <w:rPr>
          <w:rFonts w:hint="eastAsia" w:ascii="仿宋_GB2312" w:hAnsi="仿宋_GB2312" w:eastAsia="仿宋_GB2312" w:cs="仿宋_GB2312"/>
          <w:color w:val="auto"/>
          <w:sz w:val="32"/>
          <w:szCs w:val="32"/>
          <w:lang w:val="en-US" w:eastAsia="zh-CN"/>
        </w:rPr>
        <w:t>万</w:t>
      </w:r>
      <w:r>
        <w:rPr>
          <w:rFonts w:hint="eastAsia" w:ascii="仿宋_GB2312" w:hAnsi="仿宋_GB2312" w:eastAsia="仿宋_GB2312" w:cs="仿宋_GB2312"/>
          <w:color w:val="auto"/>
          <w:sz w:val="32"/>
          <w:szCs w:val="32"/>
        </w:rPr>
        <w:t>元，其中：一般公共预算财政拨款收入</w:t>
      </w:r>
      <w:r>
        <w:rPr>
          <w:rFonts w:hint="eastAsia" w:ascii="仿宋_GB2312" w:hAnsi="仿宋_GB2312" w:cs="仿宋_GB2312"/>
          <w:color w:val="auto"/>
          <w:sz w:val="32"/>
          <w:szCs w:val="32"/>
          <w:lang w:val="en-US" w:eastAsia="zh-CN"/>
        </w:rPr>
        <w:t>683.69</w:t>
      </w:r>
      <w:r>
        <w:rPr>
          <w:rFonts w:hint="eastAsia" w:ascii="仿宋_GB2312" w:hAnsi="仿宋_GB2312" w:eastAsia="仿宋_GB2312" w:cs="仿宋_GB2312"/>
          <w:color w:val="auto"/>
          <w:sz w:val="32"/>
          <w:szCs w:val="32"/>
          <w:lang w:val="en-US" w:eastAsia="zh-CN"/>
        </w:rPr>
        <w:t>万</w:t>
      </w:r>
      <w:r>
        <w:rPr>
          <w:rFonts w:hint="eastAsia" w:ascii="仿宋_GB2312" w:hAnsi="仿宋_GB2312" w:eastAsia="仿宋_GB2312" w:cs="仿宋_GB2312"/>
          <w:color w:val="auto"/>
          <w:sz w:val="32"/>
          <w:szCs w:val="32"/>
        </w:rPr>
        <w:t>元，占</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14:paraId="13A14C59">
      <w:pPr>
        <w:keepNext w:val="0"/>
        <w:keepLines w:val="0"/>
        <w:pageBreakBefore w:val="0"/>
        <w:kinsoku/>
        <w:wordWrap/>
        <w:overflowPunct/>
        <w:topLinePunct w:val="0"/>
        <w:autoSpaceDE/>
        <w:autoSpaceDN/>
        <w:bidi w:val="0"/>
        <w:spacing w:beforeAutospacing="0" w:afterAutospacing="0" w:line="576" w:lineRule="exact"/>
        <w:ind w:left="0" w:leftChars="0" w:right="0" w:rightChars="0" w:firstLine="643" w:firstLineChars="200"/>
        <w:textAlignment w:val="auto"/>
        <w:outlineLvl w:val="9"/>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b/>
          <w:color w:val="000000"/>
          <w:kern w:val="0"/>
          <w:sz w:val="32"/>
          <w:szCs w:val="32"/>
          <w:lang w:val="zh-CN" w:bidi="ar"/>
        </w:rPr>
        <w:t>（二）部门财政资金支出情况</w:t>
      </w:r>
    </w:p>
    <w:p w14:paraId="5001AED7">
      <w:pPr>
        <w:keepNext w:val="0"/>
        <w:keepLines w:val="0"/>
        <w:pageBreakBefore w:val="0"/>
        <w:kinsoku/>
        <w:wordWrap/>
        <w:overflowPunct/>
        <w:topLinePunct w:val="0"/>
        <w:autoSpaceDE/>
        <w:autoSpaceDN/>
        <w:bidi w:val="0"/>
        <w:spacing w:beforeAutospacing="0" w:afterAutospacing="0" w:line="576"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auto"/>
          <w:sz w:val="32"/>
          <w:szCs w:val="32"/>
          <w:lang w:eastAsia="zh-CN"/>
        </w:rPr>
        <w:t>202</w:t>
      </w:r>
      <w:r>
        <w:rPr>
          <w:rFonts w:hint="eastAsia" w:ascii="仿宋_GB2312" w:hAnsi="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年底</w:t>
      </w:r>
      <w:r>
        <w:rPr>
          <w:rFonts w:hint="eastAsia" w:ascii="仿宋_GB2312" w:hAnsi="仿宋_GB2312" w:eastAsia="仿宋_GB2312" w:cs="仿宋_GB2312"/>
          <w:color w:val="auto"/>
          <w:sz w:val="32"/>
          <w:szCs w:val="32"/>
        </w:rPr>
        <w:t>支出</w:t>
      </w:r>
      <w:r>
        <w:rPr>
          <w:rFonts w:hint="eastAsia" w:ascii="仿宋_GB2312" w:hAnsi="仿宋_GB2312" w:cs="仿宋_GB2312"/>
          <w:color w:val="auto"/>
          <w:sz w:val="32"/>
          <w:szCs w:val="32"/>
          <w:lang w:val="en-US" w:eastAsia="zh-CN"/>
        </w:rPr>
        <w:t>合计683.69</w:t>
      </w:r>
      <w:r>
        <w:rPr>
          <w:rFonts w:hint="eastAsia" w:ascii="仿宋_GB2312" w:hAnsi="仿宋_GB2312" w:eastAsia="仿宋_GB2312" w:cs="仿宋_GB2312"/>
          <w:color w:val="auto"/>
          <w:sz w:val="32"/>
          <w:szCs w:val="32"/>
          <w:lang w:val="en-US" w:eastAsia="zh-CN"/>
        </w:rPr>
        <w:t>万</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000000"/>
          <w:sz w:val="32"/>
          <w:szCs w:val="32"/>
          <w:lang w:bidi="ar-SA"/>
        </w:rPr>
        <w:t>其中：基本支出</w:t>
      </w:r>
      <w:r>
        <w:rPr>
          <w:rFonts w:hint="eastAsia" w:ascii="仿宋_GB2312" w:hAnsi="仿宋_GB2312" w:cs="仿宋_GB2312"/>
          <w:color w:val="000000"/>
          <w:sz w:val="32"/>
          <w:szCs w:val="32"/>
          <w:lang w:val="en-US" w:eastAsia="zh-CN" w:bidi="ar-SA"/>
        </w:rPr>
        <w:t>258.59</w:t>
      </w:r>
      <w:r>
        <w:rPr>
          <w:rFonts w:hint="eastAsia" w:ascii="仿宋_GB2312" w:hAnsi="仿宋_GB2312" w:eastAsia="仿宋_GB2312" w:cs="仿宋_GB2312"/>
          <w:color w:val="000000"/>
          <w:sz w:val="32"/>
          <w:szCs w:val="32"/>
          <w:lang w:bidi="ar-SA"/>
        </w:rPr>
        <w:t>万元，占</w:t>
      </w:r>
      <w:r>
        <w:rPr>
          <w:rFonts w:hint="eastAsia" w:ascii="仿宋_GB2312" w:hAnsi="仿宋_GB2312" w:cs="仿宋_GB2312"/>
          <w:color w:val="000000"/>
          <w:sz w:val="32"/>
          <w:szCs w:val="32"/>
          <w:lang w:val="en-US" w:eastAsia="zh-CN" w:bidi="ar-SA"/>
        </w:rPr>
        <w:t>37.82</w:t>
      </w:r>
      <w:r>
        <w:rPr>
          <w:rFonts w:hint="eastAsia" w:ascii="仿宋_GB2312" w:hAnsi="仿宋_GB2312" w:eastAsia="仿宋_GB2312" w:cs="仿宋_GB2312"/>
          <w:color w:val="000000"/>
          <w:sz w:val="32"/>
          <w:szCs w:val="32"/>
          <w:lang w:bidi="ar-SA"/>
        </w:rPr>
        <w:t>%；项目支出</w:t>
      </w:r>
      <w:r>
        <w:rPr>
          <w:rFonts w:hint="eastAsia" w:ascii="仿宋_GB2312" w:hAnsi="仿宋_GB2312" w:cs="仿宋_GB2312"/>
          <w:color w:val="000000"/>
          <w:sz w:val="32"/>
          <w:szCs w:val="32"/>
          <w:lang w:val="en-US" w:eastAsia="zh-CN" w:bidi="ar-SA"/>
        </w:rPr>
        <w:t>425.09</w:t>
      </w:r>
      <w:r>
        <w:rPr>
          <w:rFonts w:hint="eastAsia" w:ascii="仿宋_GB2312" w:hAnsi="仿宋_GB2312" w:eastAsia="仿宋_GB2312" w:cs="仿宋_GB2312"/>
          <w:color w:val="000000"/>
          <w:sz w:val="32"/>
          <w:szCs w:val="32"/>
          <w:lang w:bidi="ar-SA"/>
        </w:rPr>
        <w:t>万元，占</w:t>
      </w:r>
      <w:r>
        <w:rPr>
          <w:rFonts w:hint="eastAsia" w:ascii="仿宋_GB2312" w:hAnsi="仿宋_GB2312" w:cs="仿宋_GB2312"/>
          <w:color w:val="000000"/>
          <w:sz w:val="32"/>
          <w:szCs w:val="32"/>
          <w:lang w:val="en-US" w:eastAsia="zh-CN" w:bidi="ar-SA"/>
        </w:rPr>
        <w:t>62.18</w:t>
      </w:r>
      <w:r>
        <w:rPr>
          <w:rFonts w:hint="eastAsia" w:ascii="仿宋_GB2312" w:hAnsi="仿宋_GB2312" w:eastAsia="仿宋_GB2312" w:cs="仿宋_GB2312"/>
          <w:color w:val="000000"/>
          <w:sz w:val="32"/>
          <w:szCs w:val="32"/>
          <w:lang w:bidi="ar-SA"/>
        </w:rPr>
        <w:t>%；</w:t>
      </w:r>
    </w:p>
    <w:p w14:paraId="056D8720">
      <w:pPr>
        <w:pageBreakBefore w:val="0"/>
        <w:widowControl/>
        <w:numPr>
          <w:ilvl w:val="0"/>
          <w:numId w:val="2"/>
        </w:numPr>
        <w:kinsoku/>
        <w:wordWrap/>
        <w:overflowPunct/>
        <w:topLinePunct w:val="0"/>
        <w:autoSpaceDE/>
        <w:autoSpaceDN/>
        <w:bidi w:val="0"/>
        <w:adjustRightInd w:val="0"/>
        <w:snapToGrid w:val="0"/>
        <w:spacing w:beforeAutospacing="0" w:afterAutospacing="0" w:line="576" w:lineRule="exact"/>
        <w:ind w:left="0" w:leftChars="0" w:firstLine="720"/>
        <w:jc w:val="left"/>
        <w:textAlignment w:val="auto"/>
        <w:rPr>
          <w:rFonts w:hint="default" w:ascii="仿宋_GB2312" w:hAnsi="仿宋_GB2312" w:eastAsia="仿宋_GB2312" w:cs="仿宋_GB2312"/>
          <w:b/>
          <w:color w:val="000000"/>
          <w:kern w:val="0"/>
          <w:sz w:val="32"/>
          <w:szCs w:val="32"/>
          <w:lang w:val="zh-CN" w:eastAsia="zh-CN" w:bidi="ar"/>
        </w:rPr>
      </w:pPr>
      <w:r>
        <w:rPr>
          <w:rFonts w:hint="default" w:ascii="仿宋_GB2312" w:hAnsi="仿宋_GB2312" w:eastAsia="仿宋_GB2312" w:cs="仿宋_GB2312"/>
          <w:b/>
          <w:color w:val="000000"/>
          <w:kern w:val="0"/>
          <w:sz w:val="32"/>
          <w:szCs w:val="32"/>
          <w:lang w:val="zh-CN" w:eastAsia="zh-CN" w:bidi="ar"/>
        </w:rPr>
        <w:t>结余分配和结转结余情况</w:t>
      </w:r>
    </w:p>
    <w:p w14:paraId="65103E20">
      <w:pPr>
        <w:pageBreakBefore w:val="0"/>
        <w:widowControl/>
        <w:numPr>
          <w:ilvl w:val="0"/>
          <w:numId w:val="0"/>
        </w:numPr>
        <w:kinsoku/>
        <w:wordWrap/>
        <w:overflowPunct/>
        <w:topLinePunct w:val="0"/>
        <w:autoSpaceDE/>
        <w:autoSpaceDN/>
        <w:bidi w:val="0"/>
        <w:adjustRightInd w:val="0"/>
        <w:snapToGrid w:val="0"/>
        <w:spacing w:beforeAutospacing="0" w:afterAutospacing="0" w:line="576" w:lineRule="exact"/>
        <w:ind w:left="0" w:leftChars="0" w:firstLine="960" w:firstLineChars="300"/>
        <w:jc w:val="left"/>
        <w:textAlignment w:val="auto"/>
        <w:rPr>
          <w:rFonts w:hint="eastAsia" w:ascii="Times New Roman" w:hAnsi="Times New Roman" w:eastAsia="方正仿宋_GBK" w:cs="Times New Roman"/>
          <w:kern w:val="0"/>
          <w:sz w:val="32"/>
          <w:szCs w:val="32"/>
          <w:highlight w:val="none"/>
          <w:lang w:val="en-US" w:eastAsia="zh-CN" w:bidi="ar-SA"/>
        </w:rPr>
      </w:pPr>
      <w:r>
        <w:rPr>
          <w:rFonts w:hint="eastAsia" w:ascii="Times New Roman" w:hAnsi="Times New Roman" w:eastAsia="方正仿宋_GBK" w:cs="Times New Roman"/>
          <w:kern w:val="0"/>
          <w:sz w:val="32"/>
          <w:szCs w:val="32"/>
          <w:highlight w:val="none"/>
          <w:lang w:val="en-US" w:eastAsia="zh-CN" w:bidi="ar-SA"/>
        </w:rPr>
        <w:t>2024年决算无结余分配和结转结余.</w:t>
      </w:r>
    </w:p>
    <w:p w14:paraId="11F670F6">
      <w:pPr>
        <w:pageBreakBefore w:val="0"/>
        <w:widowControl/>
        <w:kinsoku/>
        <w:wordWrap/>
        <w:overflowPunct/>
        <w:topLinePunct w:val="0"/>
        <w:autoSpaceDE/>
        <w:autoSpaceDN/>
        <w:bidi w:val="0"/>
        <w:adjustRightInd w:val="0"/>
        <w:snapToGrid w:val="0"/>
        <w:spacing w:beforeAutospacing="0" w:afterAutospacing="0" w:line="576" w:lineRule="exact"/>
        <w:ind w:left="0" w:leftChars="0" w:firstLine="320" w:firstLineChars="100"/>
        <w:jc w:val="left"/>
        <w:textAlignment w:val="auto"/>
        <w:rPr>
          <w:rFonts w:hint="default" w:ascii="黑体" w:hAnsi="黑体" w:eastAsia="黑体" w:cs="黑体"/>
          <w:b w:val="0"/>
          <w:bCs/>
          <w:color w:val="000000"/>
          <w:kern w:val="0"/>
          <w:sz w:val="32"/>
          <w:szCs w:val="32"/>
          <w:lang w:val="zh-CN" w:eastAsia="zh-CN" w:bidi="ar"/>
        </w:rPr>
      </w:pPr>
      <w:r>
        <w:rPr>
          <w:rFonts w:hint="default" w:ascii="黑体" w:hAnsi="黑体" w:eastAsia="黑体" w:cs="黑体"/>
          <w:b w:val="0"/>
          <w:bCs/>
          <w:color w:val="000000"/>
          <w:kern w:val="0"/>
          <w:sz w:val="32"/>
          <w:szCs w:val="32"/>
          <w:lang w:val="zh-CN" w:eastAsia="zh-CN" w:bidi="ar"/>
        </w:rPr>
        <w:t>三、部门预算绩效分析</w:t>
      </w:r>
    </w:p>
    <w:p w14:paraId="7B3DD58D">
      <w:pPr>
        <w:pageBreakBefore w:val="0"/>
        <w:widowControl/>
        <w:kinsoku/>
        <w:wordWrap/>
        <w:overflowPunct/>
        <w:topLinePunct w:val="0"/>
        <w:autoSpaceDE/>
        <w:autoSpaceDN/>
        <w:bidi w:val="0"/>
        <w:adjustRightInd w:val="0"/>
        <w:snapToGrid w:val="0"/>
        <w:spacing w:beforeAutospacing="0" w:afterAutospacing="0" w:line="576" w:lineRule="exact"/>
        <w:ind w:left="0" w:leftChars="0" w:firstLine="720"/>
        <w:jc w:val="left"/>
        <w:textAlignment w:val="auto"/>
        <w:rPr>
          <w:rFonts w:hint="eastAsia" w:ascii="Times New Roman" w:hAnsi="Times New Roman" w:eastAsia="方正仿宋_GBK" w:cs="Times New Roman"/>
          <w:kern w:val="0"/>
          <w:sz w:val="32"/>
          <w:szCs w:val="32"/>
          <w:highlight w:val="none"/>
          <w:lang w:eastAsia="zh-CN" w:bidi="ar-SA"/>
        </w:rPr>
      </w:pPr>
      <w:r>
        <w:rPr>
          <w:rFonts w:hint="default" w:ascii="方正楷体_GBK" w:hAnsi="方正楷体_GBK" w:eastAsia="方正楷体_GBK" w:cs="方正楷体_GBK"/>
          <w:kern w:val="0"/>
          <w:sz w:val="32"/>
          <w:szCs w:val="32"/>
          <w:highlight w:val="none"/>
          <w:lang w:val="zh-CN" w:eastAsia="zh-CN" w:bidi="ar-SA"/>
        </w:rPr>
        <w:t>（一）</w:t>
      </w:r>
      <w:r>
        <w:rPr>
          <w:rFonts w:hint="eastAsia" w:ascii="方正楷体_GBK" w:hAnsi="方正楷体_GBK" w:eastAsia="方正楷体_GBK" w:cs="方正楷体_GBK"/>
          <w:kern w:val="0"/>
          <w:sz w:val="32"/>
          <w:szCs w:val="32"/>
          <w:highlight w:val="none"/>
          <w:lang w:val="zh-CN" w:eastAsia="zh-CN" w:bidi="ar-SA"/>
        </w:rPr>
        <w:t>部门预算</w:t>
      </w:r>
      <w:r>
        <w:rPr>
          <w:rFonts w:hint="default" w:ascii="方正楷体_GBK" w:hAnsi="方正楷体_GBK" w:eastAsia="方正楷体_GBK" w:cs="方正楷体_GBK"/>
          <w:kern w:val="0"/>
          <w:sz w:val="32"/>
          <w:szCs w:val="32"/>
          <w:highlight w:val="none"/>
          <w:lang w:val="zh-CN" w:eastAsia="zh-CN" w:bidi="ar-SA"/>
        </w:rPr>
        <w:t>总体绩效分析。</w:t>
      </w:r>
      <w:r>
        <w:rPr>
          <w:rFonts w:hint="eastAsia" w:ascii="Times New Roman" w:hAnsi="Times New Roman" w:eastAsia="方正仿宋_GBK" w:cs="Times New Roman"/>
          <w:kern w:val="0"/>
          <w:sz w:val="32"/>
          <w:szCs w:val="32"/>
          <w:highlight w:val="none"/>
          <w:lang w:eastAsia="zh-CN" w:bidi="ar-SA"/>
        </w:rPr>
        <w:t>202</w:t>
      </w:r>
      <w:r>
        <w:rPr>
          <w:rFonts w:hint="eastAsia" w:ascii="Times New Roman" w:hAnsi="Times New Roman" w:eastAsia="方正仿宋_GBK" w:cs="Times New Roman"/>
          <w:kern w:val="0"/>
          <w:sz w:val="32"/>
          <w:szCs w:val="32"/>
          <w:highlight w:val="none"/>
          <w:lang w:val="en-US" w:eastAsia="zh-CN" w:bidi="ar-SA"/>
        </w:rPr>
        <w:t>4</w:t>
      </w:r>
      <w:r>
        <w:rPr>
          <w:rFonts w:hint="eastAsia" w:ascii="Times New Roman" w:hAnsi="Times New Roman" w:eastAsia="方正仿宋_GBK" w:cs="Times New Roman"/>
          <w:kern w:val="0"/>
          <w:sz w:val="32"/>
          <w:szCs w:val="32"/>
          <w:highlight w:val="none"/>
          <w:lang w:eastAsia="zh-CN" w:bidi="ar-SA"/>
        </w:rPr>
        <w:t>年红原县</w:t>
      </w:r>
      <w:r>
        <w:rPr>
          <w:rFonts w:hint="eastAsia" w:ascii="Times New Roman" w:hAnsi="Times New Roman" w:eastAsia="方正仿宋_GBK" w:cs="Times New Roman"/>
          <w:kern w:val="0"/>
          <w:sz w:val="32"/>
          <w:szCs w:val="32"/>
          <w:highlight w:val="none"/>
          <w:lang w:val="en-US" w:eastAsia="zh-CN" w:bidi="ar-SA"/>
        </w:rPr>
        <w:t>公务服务中心</w:t>
      </w:r>
      <w:r>
        <w:rPr>
          <w:rFonts w:hint="eastAsia" w:ascii="Times New Roman" w:hAnsi="Times New Roman" w:eastAsia="方正仿宋_GBK" w:cs="Times New Roman"/>
          <w:kern w:val="0"/>
          <w:sz w:val="32"/>
          <w:szCs w:val="32"/>
          <w:highlight w:val="none"/>
          <w:lang w:eastAsia="zh-CN" w:bidi="ar-SA"/>
        </w:rPr>
        <w:t>收入预算总额为</w:t>
      </w:r>
      <w:r>
        <w:rPr>
          <w:rFonts w:hint="eastAsia" w:ascii="Times New Roman" w:hAnsi="Times New Roman" w:eastAsia="方正仿宋_GBK" w:cs="Times New Roman"/>
          <w:kern w:val="0"/>
          <w:sz w:val="32"/>
          <w:szCs w:val="32"/>
          <w:highlight w:val="none"/>
          <w:lang w:val="en-US" w:eastAsia="zh-CN" w:bidi="ar-SA"/>
        </w:rPr>
        <w:t>695.89</w:t>
      </w:r>
      <w:r>
        <w:rPr>
          <w:rFonts w:hint="eastAsia" w:ascii="Times New Roman" w:hAnsi="Times New Roman" w:eastAsia="方正仿宋_GBK" w:cs="Times New Roman"/>
          <w:kern w:val="0"/>
          <w:sz w:val="32"/>
          <w:szCs w:val="32"/>
          <w:highlight w:val="none"/>
          <w:lang w:eastAsia="zh-CN" w:bidi="ar-SA"/>
        </w:rPr>
        <w:t>元，其中：当年财政拨款收入</w:t>
      </w:r>
      <w:r>
        <w:rPr>
          <w:rFonts w:hint="eastAsia" w:ascii="Times New Roman" w:hAnsi="Times New Roman" w:eastAsia="方正仿宋_GBK" w:cs="Times New Roman"/>
          <w:kern w:val="0"/>
          <w:sz w:val="32"/>
          <w:szCs w:val="32"/>
          <w:highlight w:val="none"/>
          <w:lang w:val="en-US" w:eastAsia="zh-CN" w:bidi="ar-SA"/>
        </w:rPr>
        <w:t>683.68</w:t>
      </w:r>
      <w:r>
        <w:rPr>
          <w:rFonts w:hint="eastAsia" w:ascii="Times New Roman" w:hAnsi="Times New Roman" w:eastAsia="方正仿宋_GBK" w:cs="Times New Roman"/>
          <w:kern w:val="0"/>
          <w:sz w:val="32"/>
          <w:szCs w:val="32"/>
          <w:highlight w:val="none"/>
          <w:lang w:eastAsia="zh-CN" w:bidi="ar-SA"/>
        </w:rPr>
        <w:t>万元。相应安排支出预算</w:t>
      </w:r>
      <w:r>
        <w:rPr>
          <w:rFonts w:hint="eastAsia" w:ascii="Times New Roman" w:hAnsi="Times New Roman" w:eastAsia="方正仿宋_GBK" w:cs="Times New Roman"/>
          <w:kern w:val="0"/>
          <w:sz w:val="32"/>
          <w:szCs w:val="32"/>
          <w:highlight w:val="none"/>
          <w:lang w:val="en-US" w:eastAsia="zh-CN" w:bidi="ar-SA"/>
        </w:rPr>
        <w:t>683.68</w:t>
      </w:r>
      <w:r>
        <w:rPr>
          <w:rFonts w:hint="eastAsia" w:ascii="Times New Roman" w:hAnsi="Times New Roman" w:eastAsia="方正仿宋_GBK" w:cs="Times New Roman"/>
          <w:kern w:val="0"/>
          <w:sz w:val="32"/>
          <w:szCs w:val="32"/>
          <w:highlight w:val="none"/>
          <w:lang w:eastAsia="zh-CN" w:bidi="ar-SA"/>
        </w:rPr>
        <w:t>万元，其中：一般公共服务</w:t>
      </w:r>
      <w:r>
        <w:rPr>
          <w:rFonts w:hint="eastAsia" w:ascii="Times New Roman" w:hAnsi="Times New Roman" w:eastAsia="方正仿宋_GBK" w:cs="Times New Roman"/>
          <w:kern w:val="0"/>
          <w:sz w:val="32"/>
          <w:szCs w:val="32"/>
          <w:highlight w:val="none"/>
          <w:lang w:val="en-US" w:eastAsia="zh-CN" w:bidi="ar-SA"/>
        </w:rPr>
        <w:t>614.62</w:t>
      </w:r>
      <w:r>
        <w:rPr>
          <w:rFonts w:hint="eastAsia" w:ascii="Times New Roman" w:hAnsi="Times New Roman" w:eastAsia="方正仿宋_GBK" w:cs="Times New Roman"/>
          <w:kern w:val="0"/>
          <w:sz w:val="32"/>
          <w:szCs w:val="32"/>
          <w:highlight w:val="none"/>
          <w:lang w:eastAsia="zh-CN" w:bidi="ar-SA"/>
        </w:rPr>
        <w:t>万</w:t>
      </w:r>
      <w:r>
        <w:rPr>
          <w:rFonts w:hint="eastAsia" w:ascii="Times New Roman" w:hAnsi="Times New Roman" w:eastAsia="方正仿宋_GBK" w:cs="Times New Roman"/>
          <w:kern w:val="0"/>
          <w:sz w:val="32"/>
          <w:szCs w:val="32"/>
          <w:highlight w:val="none"/>
          <w:lang w:val="en-US" w:eastAsia="zh-CN" w:bidi="ar-SA"/>
        </w:rPr>
        <w:t>元；</w:t>
      </w:r>
      <w:r>
        <w:rPr>
          <w:rFonts w:hint="eastAsia" w:ascii="Times New Roman" w:hAnsi="Times New Roman" w:eastAsia="方正仿宋_GBK" w:cs="Times New Roman"/>
          <w:kern w:val="0"/>
          <w:sz w:val="32"/>
          <w:szCs w:val="32"/>
          <w:highlight w:val="none"/>
          <w:lang w:eastAsia="zh-CN" w:bidi="ar-SA"/>
        </w:rPr>
        <w:t>社会保障和就业</w:t>
      </w:r>
      <w:r>
        <w:rPr>
          <w:rFonts w:hint="eastAsia" w:ascii="Times New Roman" w:hAnsi="Times New Roman" w:eastAsia="方正仿宋_GBK" w:cs="Times New Roman"/>
          <w:kern w:val="0"/>
          <w:sz w:val="32"/>
          <w:szCs w:val="32"/>
          <w:highlight w:val="none"/>
          <w:lang w:val="en-US" w:eastAsia="zh-CN" w:bidi="ar-SA"/>
        </w:rPr>
        <w:t>支出33.86</w:t>
      </w:r>
      <w:r>
        <w:rPr>
          <w:rFonts w:hint="eastAsia" w:ascii="Times New Roman" w:hAnsi="Times New Roman" w:eastAsia="方正仿宋_GBK" w:cs="Times New Roman"/>
          <w:kern w:val="0"/>
          <w:sz w:val="32"/>
          <w:szCs w:val="32"/>
          <w:highlight w:val="none"/>
          <w:lang w:eastAsia="zh-CN" w:bidi="ar-SA"/>
        </w:rPr>
        <w:t>万元；</w:t>
      </w:r>
      <w:r>
        <w:rPr>
          <w:rFonts w:hint="eastAsia" w:ascii="Times New Roman" w:hAnsi="Times New Roman" w:eastAsia="方正仿宋_GBK" w:cs="Times New Roman"/>
          <w:kern w:val="0"/>
          <w:sz w:val="32"/>
          <w:szCs w:val="32"/>
          <w:highlight w:val="none"/>
          <w:lang w:val="en-US" w:eastAsia="zh-CN" w:bidi="ar-SA"/>
        </w:rPr>
        <w:t>卫生健康支出16.77</w:t>
      </w:r>
      <w:r>
        <w:rPr>
          <w:rFonts w:hint="eastAsia" w:ascii="Times New Roman" w:hAnsi="Times New Roman" w:eastAsia="方正仿宋_GBK" w:cs="Times New Roman"/>
          <w:kern w:val="0"/>
          <w:sz w:val="32"/>
          <w:szCs w:val="32"/>
          <w:highlight w:val="none"/>
          <w:lang w:eastAsia="zh-CN" w:bidi="ar-SA"/>
        </w:rPr>
        <w:t>万元；住房保障支出</w:t>
      </w:r>
      <w:r>
        <w:rPr>
          <w:rFonts w:hint="eastAsia" w:ascii="Times New Roman" w:hAnsi="Times New Roman" w:eastAsia="方正仿宋_GBK" w:cs="Times New Roman"/>
          <w:kern w:val="0"/>
          <w:sz w:val="32"/>
          <w:szCs w:val="32"/>
          <w:highlight w:val="none"/>
          <w:lang w:val="en-US" w:eastAsia="zh-CN" w:bidi="ar-SA"/>
        </w:rPr>
        <w:t>18.43</w:t>
      </w:r>
      <w:r>
        <w:rPr>
          <w:rFonts w:hint="eastAsia" w:ascii="Times New Roman" w:hAnsi="Times New Roman" w:eastAsia="方正仿宋_GBK" w:cs="Times New Roman"/>
          <w:kern w:val="0"/>
          <w:sz w:val="32"/>
          <w:szCs w:val="32"/>
          <w:highlight w:val="none"/>
          <w:lang w:eastAsia="zh-CN" w:bidi="ar-SA"/>
        </w:rPr>
        <w:t>万元。</w:t>
      </w:r>
    </w:p>
    <w:p w14:paraId="74CB4D01">
      <w:pPr>
        <w:pageBreakBefore w:val="0"/>
        <w:widowControl/>
        <w:kinsoku/>
        <w:wordWrap/>
        <w:overflowPunct/>
        <w:topLinePunct w:val="0"/>
        <w:autoSpaceDE/>
        <w:autoSpaceDN/>
        <w:bidi w:val="0"/>
        <w:adjustRightInd w:val="0"/>
        <w:snapToGrid w:val="0"/>
        <w:spacing w:beforeAutospacing="0" w:afterAutospacing="0" w:line="576" w:lineRule="exact"/>
        <w:ind w:left="0" w:leftChars="0" w:firstLine="720"/>
        <w:jc w:val="left"/>
        <w:textAlignment w:val="auto"/>
        <w:rPr>
          <w:rFonts w:hint="eastAsia" w:ascii="Times New Roman" w:hAnsi="Times New Roman" w:eastAsia="方正仿宋_GBK" w:cs="Times New Roman"/>
          <w:kern w:val="0"/>
          <w:sz w:val="32"/>
          <w:szCs w:val="32"/>
          <w:highlight w:val="none"/>
          <w:lang w:val="en-US" w:eastAsia="zh-CN" w:bidi="ar-SA"/>
        </w:rPr>
      </w:pPr>
      <w:r>
        <w:rPr>
          <w:rFonts w:hint="eastAsia" w:ascii="Times New Roman" w:hAnsi="Times New Roman" w:eastAsia="方正仿宋_GBK" w:cs="Times New Roman"/>
          <w:kern w:val="0"/>
          <w:sz w:val="32"/>
          <w:szCs w:val="32"/>
          <w:highlight w:val="none"/>
          <w:lang w:eastAsia="zh-CN" w:bidi="ar-SA"/>
        </w:rPr>
        <w:t>红原县</w:t>
      </w:r>
      <w:r>
        <w:rPr>
          <w:rFonts w:hint="eastAsia" w:ascii="Times New Roman" w:hAnsi="Times New Roman" w:eastAsia="方正仿宋_GBK" w:cs="Times New Roman"/>
          <w:kern w:val="0"/>
          <w:sz w:val="32"/>
          <w:szCs w:val="32"/>
          <w:highlight w:val="none"/>
          <w:lang w:val="en-US" w:eastAsia="zh-CN" w:bidi="ar-SA"/>
        </w:rPr>
        <w:t>公务服务中心</w:t>
      </w:r>
      <w:r>
        <w:rPr>
          <w:rFonts w:hint="eastAsia" w:ascii="Times New Roman" w:hAnsi="Times New Roman" w:eastAsia="方正仿宋_GBK" w:cs="Times New Roman"/>
          <w:kern w:val="0"/>
          <w:sz w:val="32"/>
          <w:szCs w:val="32"/>
          <w:highlight w:val="none"/>
          <w:lang w:eastAsia="zh-CN" w:bidi="ar-SA"/>
        </w:rPr>
        <w:t>预算安排支出主要用于保障该部门机构正常运转、完成日常工作任务以及承担工会事业发展相关工作。基本支出</w:t>
      </w:r>
      <w:r>
        <w:rPr>
          <w:rFonts w:hint="eastAsia" w:ascii="Times New Roman" w:hAnsi="Times New Roman" w:eastAsia="方正仿宋_GBK" w:cs="Times New Roman"/>
          <w:kern w:val="0"/>
          <w:sz w:val="32"/>
          <w:szCs w:val="32"/>
          <w:highlight w:val="none"/>
          <w:lang w:val="en-US" w:eastAsia="zh-CN" w:bidi="ar-SA"/>
        </w:rPr>
        <w:t>258.59</w:t>
      </w:r>
      <w:r>
        <w:rPr>
          <w:rFonts w:hint="eastAsia" w:ascii="Times New Roman" w:hAnsi="Times New Roman" w:eastAsia="方正仿宋_GBK" w:cs="Times New Roman"/>
          <w:kern w:val="0"/>
          <w:sz w:val="32"/>
          <w:szCs w:val="32"/>
          <w:highlight w:val="none"/>
          <w:lang w:eastAsia="zh-CN" w:bidi="ar-SA"/>
        </w:rPr>
        <w:t>万元</w:t>
      </w:r>
      <w:r>
        <w:rPr>
          <w:rFonts w:hint="eastAsia" w:ascii="Times New Roman" w:hAnsi="Times New Roman" w:eastAsia="方正仿宋_GBK" w:cs="Times New Roman"/>
          <w:kern w:val="0"/>
          <w:sz w:val="32"/>
          <w:szCs w:val="32"/>
          <w:highlight w:val="none"/>
          <w:lang w:val="en-US" w:eastAsia="zh-CN" w:bidi="ar-SA"/>
        </w:rPr>
        <w:t>。</w:t>
      </w:r>
      <w:r>
        <w:rPr>
          <w:rFonts w:hint="eastAsia" w:ascii="Times New Roman" w:hAnsi="Times New Roman" w:eastAsia="方正仿宋_GBK" w:cs="Times New Roman"/>
          <w:kern w:val="0"/>
          <w:sz w:val="32"/>
          <w:szCs w:val="32"/>
          <w:highlight w:val="none"/>
          <w:lang w:eastAsia="zh-CN" w:bidi="ar-SA"/>
        </w:rPr>
        <w:t>其中人员经费支出</w:t>
      </w:r>
      <w:r>
        <w:rPr>
          <w:rFonts w:hint="eastAsia" w:ascii="Times New Roman" w:hAnsi="Times New Roman" w:eastAsia="方正仿宋_GBK" w:cs="Times New Roman"/>
          <w:kern w:val="0"/>
          <w:sz w:val="32"/>
          <w:szCs w:val="32"/>
          <w:highlight w:val="none"/>
          <w:lang w:val="en-US" w:eastAsia="zh-CN" w:bidi="ar-SA"/>
        </w:rPr>
        <w:t>238.73万元，机关运行经费19.86万元。</w:t>
      </w:r>
    </w:p>
    <w:p w14:paraId="37D2E956">
      <w:pPr>
        <w:pageBreakBefore w:val="0"/>
        <w:widowControl/>
        <w:kinsoku/>
        <w:wordWrap/>
        <w:overflowPunct/>
        <w:topLinePunct w:val="0"/>
        <w:autoSpaceDE/>
        <w:autoSpaceDN/>
        <w:bidi w:val="0"/>
        <w:adjustRightInd w:val="0"/>
        <w:snapToGrid w:val="0"/>
        <w:spacing w:beforeAutospacing="0" w:afterAutospacing="0" w:line="576" w:lineRule="exact"/>
        <w:ind w:left="0" w:leftChars="0" w:firstLine="720"/>
        <w:jc w:val="left"/>
        <w:textAlignment w:val="auto"/>
        <w:rPr>
          <w:rFonts w:hint="eastAsia" w:ascii="Times New Roman" w:hAnsi="Times New Roman" w:eastAsia="方正仿宋_GBK" w:cs="Times New Roman"/>
          <w:kern w:val="0"/>
          <w:sz w:val="32"/>
          <w:szCs w:val="32"/>
          <w:highlight w:val="none"/>
          <w:lang w:eastAsia="zh-CN" w:bidi="ar-SA"/>
        </w:rPr>
      </w:pPr>
      <w:r>
        <w:rPr>
          <w:rFonts w:hint="eastAsia" w:ascii="Times New Roman" w:hAnsi="Times New Roman" w:eastAsia="方正仿宋_GBK" w:cs="Times New Roman"/>
          <w:kern w:val="0"/>
          <w:sz w:val="32"/>
          <w:szCs w:val="32"/>
          <w:highlight w:val="none"/>
          <w:lang w:eastAsia="zh-CN" w:bidi="ar-SA"/>
        </w:rPr>
        <w:t>按支出功能分类主要用于以下方面:</w:t>
      </w:r>
    </w:p>
    <w:p w14:paraId="629FC988">
      <w:pPr>
        <w:pageBreakBefore w:val="0"/>
        <w:widowControl/>
        <w:kinsoku/>
        <w:wordWrap/>
        <w:overflowPunct/>
        <w:topLinePunct w:val="0"/>
        <w:autoSpaceDE/>
        <w:autoSpaceDN/>
        <w:bidi w:val="0"/>
        <w:adjustRightInd w:val="0"/>
        <w:snapToGrid w:val="0"/>
        <w:spacing w:beforeAutospacing="0" w:afterAutospacing="0" w:line="576" w:lineRule="exact"/>
        <w:ind w:left="0" w:leftChars="0" w:firstLine="720"/>
        <w:jc w:val="left"/>
        <w:textAlignment w:val="auto"/>
        <w:rPr>
          <w:rFonts w:hint="eastAsia" w:ascii="Times New Roman" w:hAnsi="Times New Roman" w:eastAsia="方正仿宋_GBK" w:cs="Times New Roman"/>
          <w:kern w:val="0"/>
          <w:sz w:val="32"/>
          <w:szCs w:val="32"/>
          <w:highlight w:val="none"/>
          <w:lang w:eastAsia="zh-CN" w:bidi="ar-SA"/>
        </w:rPr>
      </w:pPr>
      <w:r>
        <w:rPr>
          <w:rFonts w:hint="eastAsia" w:ascii="Times New Roman" w:hAnsi="Times New Roman" w:eastAsia="方正仿宋_GBK" w:cs="Times New Roman"/>
          <w:kern w:val="0"/>
          <w:sz w:val="32"/>
          <w:szCs w:val="32"/>
          <w:highlight w:val="none"/>
          <w:lang w:val="en-US" w:eastAsia="zh-CN" w:bidi="ar-SA"/>
        </w:rPr>
        <w:t>1</w:t>
      </w:r>
      <w:r>
        <w:rPr>
          <w:rFonts w:hint="default" w:ascii="Times New Roman" w:hAnsi="Times New Roman" w:eastAsia="方正仿宋_GBK" w:cs="Times New Roman"/>
          <w:kern w:val="0"/>
          <w:sz w:val="32"/>
          <w:szCs w:val="32"/>
          <w:highlight w:val="none"/>
          <w:lang w:val="en-US" w:eastAsia="zh-CN" w:bidi="ar-SA"/>
        </w:rPr>
        <w:t>.</w:t>
      </w:r>
      <w:r>
        <w:rPr>
          <w:rFonts w:hint="eastAsia" w:ascii="Times New Roman" w:hAnsi="Times New Roman" w:eastAsia="方正仿宋_GBK" w:cs="Times New Roman"/>
          <w:kern w:val="0"/>
          <w:sz w:val="32"/>
          <w:szCs w:val="32"/>
          <w:highlight w:val="none"/>
          <w:lang w:eastAsia="zh-CN" w:bidi="ar-SA"/>
        </w:rPr>
        <w:t>一般公共服务</w:t>
      </w:r>
      <w:r>
        <w:rPr>
          <w:rFonts w:hint="eastAsia" w:ascii="Times New Roman" w:hAnsi="Times New Roman" w:eastAsia="方正仿宋_GBK" w:cs="Times New Roman"/>
          <w:kern w:val="0"/>
          <w:sz w:val="32"/>
          <w:szCs w:val="32"/>
          <w:highlight w:val="none"/>
          <w:lang w:val="en-US" w:eastAsia="zh-CN" w:bidi="ar-SA"/>
        </w:rPr>
        <w:t>支出614.62</w:t>
      </w:r>
      <w:r>
        <w:rPr>
          <w:rFonts w:hint="eastAsia" w:ascii="Times New Roman" w:hAnsi="Times New Roman" w:eastAsia="方正仿宋_GBK" w:cs="Times New Roman"/>
          <w:kern w:val="0"/>
          <w:sz w:val="32"/>
          <w:szCs w:val="32"/>
          <w:highlight w:val="none"/>
          <w:lang w:eastAsia="zh-CN" w:bidi="ar-SA"/>
        </w:rPr>
        <w:t>万元，主要用于机关及下属事业单位人员工资、日常运转以及为完成特定行政工作任务和事业发展目标而安排的年度项目支出。</w:t>
      </w:r>
    </w:p>
    <w:p w14:paraId="6D4C6CDE">
      <w:pPr>
        <w:pageBreakBefore w:val="0"/>
        <w:widowControl/>
        <w:kinsoku/>
        <w:wordWrap/>
        <w:overflowPunct/>
        <w:topLinePunct w:val="0"/>
        <w:autoSpaceDE/>
        <w:autoSpaceDN/>
        <w:bidi w:val="0"/>
        <w:adjustRightInd w:val="0"/>
        <w:snapToGrid w:val="0"/>
        <w:spacing w:beforeAutospacing="0" w:afterAutospacing="0" w:line="576" w:lineRule="exact"/>
        <w:ind w:left="0" w:leftChars="0" w:firstLine="720"/>
        <w:jc w:val="left"/>
        <w:textAlignment w:val="auto"/>
        <w:rPr>
          <w:rFonts w:hint="eastAsia" w:ascii="Times New Roman" w:hAnsi="Times New Roman" w:eastAsia="方正仿宋_GBK" w:cs="Times New Roman"/>
          <w:kern w:val="0"/>
          <w:sz w:val="32"/>
          <w:szCs w:val="32"/>
          <w:highlight w:val="none"/>
          <w:lang w:eastAsia="zh-CN" w:bidi="ar-SA"/>
        </w:rPr>
      </w:pPr>
      <w:r>
        <w:rPr>
          <w:rFonts w:hint="eastAsia" w:ascii="Times New Roman" w:hAnsi="Times New Roman" w:eastAsia="方正仿宋_GBK" w:cs="Times New Roman"/>
          <w:kern w:val="0"/>
          <w:sz w:val="32"/>
          <w:szCs w:val="32"/>
          <w:highlight w:val="none"/>
          <w:lang w:val="en-US" w:eastAsia="zh-CN" w:bidi="ar-SA"/>
        </w:rPr>
        <w:t>2</w:t>
      </w:r>
      <w:r>
        <w:rPr>
          <w:rFonts w:hint="default" w:ascii="Times New Roman" w:hAnsi="Times New Roman" w:eastAsia="方正仿宋_GBK" w:cs="Times New Roman"/>
          <w:kern w:val="0"/>
          <w:sz w:val="32"/>
          <w:szCs w:val="32"/>
          <w:highlight w:val="none"/>
          <w:lang w:val="en-US" w:eastAsia="zh-CN" w:bidi="ar-SA"/>
        </w:rPr>
        <w:t>.</w:t>
      </w:r>
      <w:r>
        <w:rPr>
          <w:rFonts w:hint="eastAsia" w:ascii="Times New Roman" w:hAnsi="Times New Roman" w:eastAsia="方正仿宋_GBK" w:cs="Times New Roman"/>
          <w:kern w:val="0"/>
          <w:sz w:val="32"/>
          <w:szCs w:val="32"/>
          <w:highlight w:val="none"/>
          <w:lang w:eastAsia="zh-CN" w:bidi="ar-SA"/>
        </w:rPr>
        <w:t>社会保障和就业</w:t>
      </w:r>
      <w:r>
        <w:rPr>
          <w:rFonts w:hint="eastAsia" w:ascii="Times New Roman" w:hAnsi="Times New Roman" w:eastAsia="方正仿宋_GBK" w:cs="Times New Roman"/>
          <w:kern w:val="0"/>
          <w:sz w:val="32"/>
          <w:szCs w:val="32"/>
          <w:highlight w:val="none"/>
          <w:lang w:val="en-US" w:eastAsia="zh-CN" w:bidi="ar-SA"/>
        </w:rPr>
        <w:t>支出33.86</w:t>
      </w:r>
      <w:r>
        <w:rPr>
          <w:rFonts w:hint="eastAsia" w:ascii="Times New Roman" w:hAnsi="Times New Roman" w:eastAsia="方正仿宋_GBK" w:cs="Times New Roman"/>
          <w:kern w:val="0"/>
          <w:sz w:val="32"/>
          <w:szCs w:val="32"/>
          <w:highlight w:val="none"/>
          <w:lang w:eastAsia="zh-CN" w:bidi="ar-SA"/>
        </w:rPr>
        <w:t>万元，主要用于机关及下属事业单位养老保险及职业年金缴费。</w:t>
      </w:r>
    </w:p>
    <w:p w14:paraId="2EBB13CC">
      <w:pPr>
        <w:pageBreakBefore w:val="0"/>
        <w:widowControl/>
        <w:kinsoku/>
        <w:wordWrap/>
        <w:overflowPunct/>
        <w:topLinePunct w:val="0"/>
        <w:autoSpaceDE/>
        <w:autoSpaceDN/>
        <w:bidi w:val="0"/>
        <w:adjustRightInd w:val="0"/>
        <w:snapToGrid w:val="0"/>
        <w:spacing w:beforeAutospacing="0" w:afterAutospacing="0" w:line="576" w:lineRule="exact"/>
        <w:ind w:left="0" w:leftChars="0" w:firstLine="720"/>
        <w:jc w:val="left"/>
        <w:textAlignment w:val="auto"/>
        <w:rPr>
          <w:rFonts w:hint="eastAsia" w:ascii="Times New Roman" w:hAnsi="Times New Roman" w:eastAsia="方正仿宋_GBK" w:cs="Times New Roman"/>
          <w:kern w:val="0"/>
          <w:sz w:val="32"/>
          <w:szCs w:val="32"/>
          <w:highlight w:val="none"/>
          <w:lang w:eastAsia="zh-CN" w:bidi="ar-SA"/>
        </w:rPr>
      </w:pPr>
      <w:r>
        <w:rPr>
          <w:rFonts w:hint="eastAsia" w:ascii="Times New Roman" w:hAnsi="Times New Roman" w:eastAsia="方正仿宋_GBK" w:cs="Times New Roman"/>
          <w:kern w:val="0"/>
          <w:sz w:val="32"/>
          <w:szCs w:val="32"/>
          <w:highlight w:val="none"/>
          <w:lang w:val="en-US" w:eastAsia="zh-CN" w:bidi="ar-SA"/>
        </w:rPr>
        <w:t>3</w:t>
      </w:r>
      <w:r>
        <w:rPr>
          <w:rFonts w:hint="default" w:ascii="Times New Roman" w:hAnsi="Times New Roman" w:eastAsia="方正仿宋_GBK" w:cs="Times New Roman"/>
          <w:kern w:val="0"/>
          <w:sz w:val="32"/>
          <w:szCs w:val="32"/>
          <w:highlight w:val="none"/>
          <w:lang w:val="en-US" w:eastAsia="zh-CN" w:bidi="ar-SA"/>
        </w:rPr>
        <w:t>.</w:t>
      </w:r>
      <w:r>
        <w:rPr>
          <w:rFonts w:hint="eastAsia" w:ascii="Times New Roman" w:hAnsi="Times New Roman" w:eastAsia="方正仿宋_GBK" w:cs="Times New Roman"/>
          <w:kern w:val="0"/>
          <w:sz w:val="32"/>
          <w:szCs w:val="32"/>
          <w:highlight w:val="none"/>
          <w:lang w:val="en-US" w:eastAsia="zh-CN" w:bidi="ar-SA"/>
        </w:rPr>
        <w:t>卫生健康支出16.77</w:t>
      </w:r>
      <w:r>
        <w:rPr>
          <w:rFonts w:hint="eastAsia" w:ascii="Times New Roman" w:hAnsi="Times New Roman" w:eastAsia="方正仿宋_GBK" w:cs="Times New Roman"/>
          <w:kern w:val="0"/>
          <w:sz w:val="32"/>
          <w:szCs w:val="32"/>
          <w:highlight w:val="none"/>
          <w:lang w:eastAsia="zh-CN" w:bidi="ar-SA"/>
        </w:rPr>
        <w:t>万元，主要用于机关及下属事业单位按照规定标准为职工缴纳的基本医疗保险及公务员医疗补助等支出。</w:t>
      </w:r>
    </w:p>
    <w:p w14:paraId="2F3E89A3">
      <w:pPr>
        <w:pageBreakBefore w:val="0"/>
        <w:widowControl/>
        <w:kinsoku/>
        <w:wordWrap/>
        <w:overflowPunct/>
        <w:topLinePunct w:val="0"/>
        <w:autoSpaceDE/>
        <w:autoSpaceDN/>
        <w:bidi w:val="0"/>
        <w:adjustRightInd w:val="0"/>
        <w:snapToGrid w:val="0"/>
        <w:spacing w:beforeAutospacing="0" w:afterAutospacing="0" w:line="576" w:lineRule="exact"/>
        <w:ind w:left="0" w:leftChars="0" w:firstLine="720"/>
        <w:jc w:val="left"/>
        <w:textAlignment w:val="auto"/>
        <w:rPr>
          <w:rFonts w:hint="eastAsia" w:ascii="Times New Roman" w:hAnsi="Times New Roman" w:eastAsia="方正仿宋_GBK" w:cs="Times New Roman"/>
          <w:kern w:val="0"/>
          <w:sz w:val="32"/>
          <w:szCs w:val="32"/>
          <w:highlight w:val="none"/>
          <w:lang w:val="en-US" w:eastAsia="zh-CN" w:bidi="ar-SA"/>
        </w:rPr>
      </w:pPr>
      <w:r>
        <w:rPr>
          <w:rFonts w:hint="eastAsia" w:ascii="Times New Roman" w:hAnsi="Times New Roman" w:eastAsia="方正仿宋_GBK" w:cs="Times New Roman"/>
          <w:kern w:val="0"/>
          <w:sz w:val="32"/>
          <w:szCs w:val="32"/>
          <w:highlight w:val="none"/>
          <w:lang w:val="en-US" w:eastAsia="zh-CN" w:bidi="ar-SA"/>
        </w:rPr>
        <w:t>4</w:t>
      </w:r>
      <w:r>
        <w:rPr>
          <w:rFonts w:hint="default" w:ascii="Times New Roman" w:hAnsi="Times New Roman" w:eastAsia="方正仿宋_GBK" w:cs="Times New Roman"/>
          <w:kern w:val="0"/>
          <w:sz w:val="32"/>
          <w:szCs w:val="32"/>
          <w:highlight w:val="none"/>
          <w:lang w:val="en-US" w:eastAsia="zh-CN" w:bidi="ar-SA"/>
        </w:rPr>
        <w:t>.</w:t>
      </w:r>
      <w:r>
        <w:rPr>
          <w:rFonts w:hint="eastAsia" w:ascii="Times New Roman" w:hAnsi="Times New Roman" w:eastAsia="方正仿宋_GBK" w:cs="Times New Roman"/>
          <w:kern w:val="0"/>
          <w:sz w:val="32"/>
          <w:szCs w:val="32"/>
          <w:highlight w:val="none"/>
          <w:lang w:eastAsia="zh-CN" w:bidi="ar-SA"/>
        </w:rPr>
        <w:t>住房保障支出</w:t>
      </w:r>
      <w:r>
        <w:rPr>
          <w:rFonts w:hint="eastAsia" w:ascii="Times New Roman" w:hAnsi="Times New Roman" w:eastAsia="方正仿宋_GBK" w:cs="Times New Roman"/>
          <w:kern w:val="0"/>
          <w:sz w:val="32"/>
          <w:szCs w:val="32"/>
          <w:highlight w:val="none"/>
          <w:lang w:val="en-US" w:eastAsia="zh-CN" w:bidi="ar-SA"/>
        </w:rPr>
        <w:t>18.43</w:t>
      </w:r>
      <w:r>
        <w:rPr>
          <w:rFonts w:hint="eastAsia" w:ascii="Times New Roman" w:hAnsi="Times New Roman" w:eastAsia="方正仿宋_GBK" w:cs="Times New Roman"/>
          <w:kern w:val="0"/>
          <w:sz w:val="32"/>
          <w:szCs w:val="32"/>
          <w:highlight w:val="none"/>
          <w:lang w:eastAsia="zh-CN" w:bidi="ar-SA"/>
        </w:rPr>
        <w:t>万元，用于机关及下属事业单位按照规定标准为职工缴纳住房公积金等支出。</w:t>
      </w:r>
    </w:p>
    <w:p w14:paraId="7459CBD5">
      <w:pPr>
        <w:pageBreakBefore w:val="0"/>
        <w:widowControl/>
        <w:kinsoku/>
        <w:wordWrap/>
        <w:overflowPunct/>
        <w:topLinePunct w:val="0"/>
        <w:autoSpaceDE/>
        <w:autoSpaceDN/>
        <w:bidi w:val="0"/>
        <w:adjustRightInd w:val="0"/>
        <w:snapToGrid w:val="0"/>
        <w:spacing w:beforeAutospacing="0" w:afterAutospacing="0" w:line="576" w:lineRule="exact"/>
        <w:ind w:left="0" w:leftChars="0" w:firstLine="720"/>
        <w:jc w:val="left"/>
        <w:textAlignment w:val="auto"/>
        <w:rPr>
          <w:rFonts w:hint="eastAsia" w:ascii="Times New Roman" w:hAnsi="Times New Roman" w:eastAsia="方正仿宋_GBK" w:cs="Times New Roman"/>
          <w:kern w:val="0"/>
          <w:sz w:val="32"/>
          <w:szCs w:val="32"/>
          <w:highlight w:val="none"/>
          <w:lang w:val="en-US" w:eastAsia="zh-CN" w:bidi="ar-SA"/>
        </w:rPr>
      </w:pPr>
      <w:r>
        <w:rPr>
          <w:rFonts w:hint="eastAsia" w:ascii="Times New Roman" w:hAnsi="Times New Roman" w:eastAsia="方正仿宋_GBK" w:cs="Times New Roman"/>
          <w:kern w:val="0"/>
          <w:sz w:val="32"/>
          <w:szCs w:val="32"/>
          <w:highlight w:val="none"/>
          <w:lang w:val="en-US" w:eastAsia="zh-CN" w:bidi="ar-SA"/>
        </w:rPr>
        <w:t>“三公”经费支出情况：本单位本年度“三公”经费支出决算数为187.11万元。其中:因公出国（境）费支出决算数为0.00万元，相比上年度减少0.00万元，公务用车购置及运行维护费支出决算数为7.11万元，公务接待费支出决算数为179.99万元。对比上年增加0.11万元，,主要原因接待费增加。</w:t>
      </w:r>
    </w:p>
    <w:p w14:paraId="15A5B7AD">
      <w:pPr>
        <w:pageBreakBefore w:val="0"/>
        <w:widowControl/>
        <w:kinsoku/>
        <w:wordWrap/>
        <w:overflowPunct/>
        <w:topLinePunct w:val="0"/>
        <w:autoSpaceDE/>
        <w:autoSpaceDN/>
        <w:bidi w:val="0"/>
        <w:adjustRightInd w:val="0"/>
        <w:snapToGrid w:val="0"/>
        <w:spacing w:beforeAutospacing="0" w:afterAutospacing="0" w:line="576" w:lineRule="exact"/>
        <w:ind w:left="0" w:leftChars="0" w:firstLine="720"/>
        <w:jc w:val="left"/>
        <w:textAlignment w:val="auto"/>
        <w:rPr>
          <w:rFonts w:hint="default" w:ascii="Times New Roman" w:hAnsi="Times New Roman" w:eastAsia="方正仿宋_GBK" w:cs="Times New Roman"/>
          <w:kern w:val="0"/>
          <w:sz w:val="32"/>
          <w:szCs w:val="32"/>
          <w:highlight w:val="none"/>
          <w:lang w:val="zh-CN" w:eastAsia="zh-CN" w:bidi="ar-SA"/>
        </w:rPr>
      </w:pPr>
      <w:r>
        <w:rPr>
          <w:rFonts w:hint="default" w:ascii="方正楷体_GBK" w:hAnsi="方正楷体_GBK" w:eastAsia="方正楷体_GBK" w:cs="方正楷体_GBK"/>
          <w:kern w:val="0"/>
          <w:sz w:val="32"/>
          <w:szCs w:val="32"/>
          <w:highlight w:val="none"/>
          <w:lang w:val="zh-CN" w:eastAsia="zh-CN" w:bidi="ar-SA"/>
        </w:rPr>
        <w:t>（二）部门预算项目绩效分析。</w:t>
      </w:r>
      <w:r>
        <w:rPr>
          <w:rFonts w:hint="default" w:ascii="Times New Roman" w:hAnsi="Times New Roman" w:eastAsia="方正仿宋_GBK" w:cs="Times New Roman"/>
          <w:kern w:val="0"/>
          <w:sz w:val="32"/>
          <w:szCs w:val="32"/>
          <w:highlight w:val="none"/>
          <w:lang w:val="en-US" w:eastAsia="zh-CN" w:bidi="ar-SA"/>
        </w:rPr>
        <w:t>常年项目绩效分析。</w:t>
      </w:r>
      <w:r>
        <w:rPr>
          <w:rFonts w:hint="default" w:ascii="Times New Roman" w:hAnsi="Times New Roman" w:eastAsia="方正仿宋_GBK" w:cs="Times New Roman"/>
          <w:kern w:val="0"/>
          <w:sz w:val="32"/>
          <w:szCs w:val="32"/>
          <w:highlight w:val="none"/>
          <w:lang w:val="zh-CN" w:eastAsia="zh-CN" w:bidi="ar-SA"/>
        </w:rPr>
        <w:t>该类项目总数</w:t>
      </w:r>
      <w:r>
        <w:rPr>
          <w:rFonts w:hint="eastAsia" w:ascii="Times New Roman" w:hAnsi="Times New Roman" w:eastAsia="方正仿宋_GBK" w:cs="Times New Roman"/>
          <w:kern w:val="0"/>
          <w:sz w:val="32"/>
          <w:szCs w:val="32"/>
          <w:highlight w:val="none"/>
          <w:lang w:val="en-US" w:eastAsia="zh-CN" w:bidi="ar-SA"/>
        </w:rPr>
        <w:t>5</w:t>
      </w:r>
      <w:r>
        <w:rPr>
          <w:rFonts w:hint="default" w:ascii="Times New Roman" w:hAnsi="Times New Roman" w:eastAsia="方正仿宋_GBK" w:cs="Times New Roman"/>
          <w:kern w:val="0"/>
          <w:sz w:val="32"/>
          <w:szCs w:val="32"/>
          <w:highlight w:val="none"/>
          <w:lang w:val="zh-CN" w:eastAsia="zh-CN" w:bidi="ar-SA"/>
        </w:rPr>
        <w:t>个，涉及预算总金额</w:t>
      </w:r>
      <w:r>
        <w:rPr>
          <w:rFonts w:hint="eastAsia" w:ascii="Times New Roman" w:hAnsi="Times New Roman" w:eastAsia="方正仿宋_GBK" w:cs="Times New Roman"/>
          <w:kern w:val="0"/>
          <w:sz w:val="32"/>
          <w:szCs w:val="32"/>
          <w:highlight w:val="none"/>
          <w:lang w:val="en-US" w:eastAsia="zh-CN" w:bidi="ar-SA"/>
        </w:rPr>
        <w:t>376.91</w:t>
      </w:r>
      <w:r>
        <w:rPr>
          <w:rFonts w:hint="default" w:ascii="Times New Roman" w:hAnsi="Times New Roman" w:eastAsia="方正仿宋_GBK" w:cs="Times New Roman"/>
          <w:kern w:val="0"/>
          <w:sz w:val="32"/>
          <w:szCs w:val="32"/>
          <w:highlight w:val="none"/>
          <w:lang w:val="zh-CN" w:eastAsia="zh-CN" w:bidi="ar-SA"/>
        </w:rPr>
        <w:t>万元，1</w:t>
      </w:r>
      <w:r>
        <w:rPr>
          <w:rFonts w:hint="eastAsia" w:ascii="Times New Roman" w:hAnsi="Times New Roman" w:eastAsia="方正仿宋_GBK" w:cs="Times New Roman"/>
          <w:kern w:val="0"/>
          <w:sz w:val="32"/>
          <w:szCs w:val="32"/>
          <w:highlight w:val="none"/>
          <w:lang w:val="zh-CN" w:eastAsia="zh-CN" w:bidi="ar-SA"/>
        </w:rPr>
        <w:t>—</w:t>
      </w:r>
      <w:r>
        <w:rPr>
          <w:rFonts w:hint="default" w:ascii="Times New Roman" w:hAnsi="Times New Roman" w:eastAsia="方正仿宋_GBK" w:cs="Times New Roman"/>
          <w:kern w:val="0"/>
          <w:sz w:val="32"/>
          <w:szCs w:val="32"/>
          <w:highlight w:val="none"/>
          <w:lang w:val="zh-CN" w:eastAsia="zh-CN" w:bidi="ar-SA"/>
        </w:rPr>
        <w:t>1</w:t>
      </w:r>
      <w:r>
        <w:rPr>
          <w:rFonts w:hint="default" w:ascii="Times New Roman" w:hAnsi="Times New Roman" w:eastAsia="方正仿宋_GBK" w:cs="Times New Roman"/>
          <w:kern w:val="0"/>
          <w:sz w:val="32"/>
          <w:szCs w:val="32"/>
          <w:highlight w:val="none"/>
          <w:lang w:val="en-US" w:eastAsia="zh-CN" w:bidi="ar-SA"/>
        </w:rPr>
        <w:t>2</w:t>
      </w:r>
      <w:r>
        <w:rPr>
          <w:rFonts w:hint="default" w:ascii="Times New Roman" w:hAnsi="Times New Roman" w:eastAsia="方正仿宋_GBK" w:cs="Times New Roman"/>
          <w:kern w:val="0"/>
          <w:sz w:val="32"/>
          <w:szCs w:val="32"/>
          <w:highlight w:val="none"/>
          <w:lang w:val="zh-CN" w:eastAsia="zh-CN" w:bidi="ar-SA"/>
        </w:rPr>
        <w:t>月预算执行总体进度为</w:t>
      </w:r>
      <w:r>
        <w:rPr>
          <w:rFonts w:hint="eastAsia" w:ascii="Times New Roman" w:hAnsi="Times New Roman" w:eastAsia="方正仿宋_GBK" w:cs="Times New Roman"/>
          <w:kern w:val="0"/>
          <w:sz w:val="32"/>
          <w:szCs w:val="32"/>
          <w:highlight w:val="none"/>
          <w:lang w:val="en-US" w:eastAsia="zh-CN" w:bidi="ar-SA"/>
        </w:rPr>
        <w:t>100</w:t>
      </w:r>
      <w:r>
        <w:rPr>
          <w:rFonts w:hint="default" w:ascii="Times New Roman" w:hAnsi="Times New Roman" w:eastAsia="方正仿宋_GBK" w:cs="Times New Roman"/>
          <w:kern w:val="0"/>
          <w:sz w:val="32"/>
          <w:szCs w:val="32"/>
          <w:highlight w:val="none"/>
          <w:lang w:val="zh-CN" w:eastAsia="zh-CN" w:bidi="ar-SA"/>
        </w:rPr>
        <w:t>%，其中：预算结余率大于</w:t>
      </w:r>
      <w:r>
        <w:rPr>
          <w:rFonts w:hint="default" w:ascii="Times New Roman" w:hAnsi="Times New Roman" w:eastAsia="方正仿宋_GBK" w:cs="Times New Roman"/>
          <w:kern w:val="0"/>
          <w:sz w:val="32"/>
          <w:szCs w:val="32"/>
          <w:highlight w:val="none"/>
          <w:lang w:val="en-US" w:eastAsia="zh-CN" w:bidi="ar-SA"/>
        </w:rPr>
        <w:t>10%</w:t>
      </w:r>
      <w:r>
        <w:rPr>
          <w:rFonts w:hint="default" w:ascii="Times New Roman" w:hAnsi="Times New Roman" w:eastAsia="方正仿宋_GBK" w:cs="Times New Roman"/>
          <w:kern w:val="0"/>
          <w:sz w:val="32"/>
          <w:szCs w:val="32"/>
          <w:highlight w:val="none"/>
          <w:lang w:val="zh-CN" w:eastAsia="zh-CN" w:bidi="ar-SA"/>
        </w:rPr>
        <w:t>的项目共计</w:t>
      </w:r>
      <w:r>
        <w:rPr>
          <w:rFonts w:hint="eastAsia" w:ascii="Times New Roman" w:hAnsi="Times New Roman" w:eastAsia="方正仿宋_GBK" w:cs="Times New Roman"/>
          <w:kern w:val="0"/>
          <w:sz w:val="32"/>
          <w:szCs w:val="32"/>
          <w:highlight w:val="none"/>
          <w:lang w:val="en-US" w:eastAsia="zh-CN" w:bidi="ar-SA"/>
        </w:rPr>
        <w:t>0</w:t>
      </w:r>
      <w:r>
        <w:rPr>
          <w:rFonts w:hint="default" w:ascii="Times New Roman" w:hAnsi="Times New Roman" w:eastAsia="方正仿宋_GBK" w:cs="Times New Roman"/>
          <w:kern w:val="0"/>
          <w:sz w:val="32"/>
          <w:szCs w:val="32"/>
          <w:highlight w:val="none"/>
          <w:lang w:val="zh-CN" w:eastAsia="zh-CN" w:bidi="ar-SA"/>
        </w:rPr>
        <w:t>个。</w:t>
      </w:r>
    </w:p>
    <w:p w14:paraId="7A2A3D53">
      <w:pPr>
        <w:pageBreakBefore w:val="0"/>
        <w:widowControl/>
        <w:kinsoku/>
        <w:wordWrap/>
        <w:overflowPunct/>
        <w:topLinePunct w:val="0"/>
        <w:autoSpaceDE/>
        <w:autoSpaceDN/>
        <w:bidi w:val="0"/>
        <w:adjustRightInd w:val="0"/>
        <w:snapToGrid w:val="0"/>
        <w:spacing w:beforeAutospacing="0" w:afterAutospacing="0" w:line="576" w:lineRule="exact"/>
        <w:ind w:left="0" w:leftChars="0" w:firstLine="720"/>
        <w:jc w:val="left"/>
        <w:textAlignment w:val="auto"/>
        <w:rPr>
          <w:rFonts w:hint="default" w:ascii="Times New Roman" w:hAnsi="Times New Roman" w:eastAsia="方正仿宋_GBK" w:cs="Times New Roman"/>
          <w:kern w:val="0"/>
          <w:sz w:val="32"/>
          <w:szCs w:val="32"/>
          <w:highlight w:val="none"/>
          <w:lang w:val="zh-CN" w:eastAsia="zh-CN" w:bidi="ar-SA"/>
        </w:rPr>
      </w:pPr>
      <w:r>
        <w:rPr>
          <w:rFonts w:hint="default" w:ascii="Times New Roman" w:hAnsi="Times New Roman" w:eastAsia="方正仿宋_GBK" w:cs="Times New Roman"/>
          <w:kern w:val="0"/>
          <w:sz w:val="32"/>
          <w:szCs w:val="32"/>
          <w:highlight w:val="none"/>
          <w:lang w:val="en-US" w:eastAsia="zh-CN" w:bidi="ar-SA"/>
        </w:rPr>
        <w:t>阶段（</w:t>
      </w:r>
      <w:r>
        <w:rPr>
          <w:rFonts w:hint="eastAsia" w:ascii="Times New Roman" w:hAnsi="Times New Roman" w:eastAsia="方正仿宋_GBK" w:cs="Times New Roman"/>
          <w:kern w:val="0"/>
          <w:sz w:val="32"/>
          <w:szCs w:val="32"/>
          <w:highlight w:val="none"/>
          <w:lang w:val="en-US" w:eastAsia="zh-CN" w:bidi="ar-SA"/>
        </w:rPr>
        <w:t>含</w:t>
      </w:r>
      <w:r>
        <w:rPr>
          <w:rFonts w:hint="default" w:ascii="Times New Roman" w:hAnsi="Times New Roman" w:eastAsia="方正仿宋_GBK" w:cs="Times New Roman"/>
          <w:kern w:val="0"/>
          <w:sz w:val="32"/>
          <w:szCs w:val="32"/>
          <w:highlight w:val="none"/>
          <w:lang w:val="en-US" w:eastAsia="zh-CN" w:bidi="ar-SA"/>
        </w:rPr>
        <w:t>一次性）项目绩效分析。</w:t>
      </w:r>
      <w:r>
        <w:rPr>
          <w:rFonts w:hint="default" w:ascii="Times New Roman" w:hAnsi="Times New Roman" w:eastAsia="方正仿宋_GBK" w:cs="Times New Roman"/>
          <w:kern w:val="0"/>
          <w:sz w:val="32"/>
          <w:szCs w:val="32"/>
          <w:highlight w:val="none"/>
          <w:lang w:val="zh-CN" w:eastAsia="zh-CN" w:bidi="ar-SA"/>
        </w:rPr>
        <w:t>该类项目总数</w:t>
      </w:r>
      <w:r>
        <w:rPr>
          <w:rFonts w:hint="eastAsia" w:ascii="Times New Roman" w:hAnsi="Times New Roman" w:eastAsia="方正仿宋_GBK" w:cs="Times New Roman"/>
          <w:kern w:val="0"/>
          <w:sz w:val="32"/>
          <w:szCs w:val="32"/>
          <w:highlight w:val="none"/>
          <w:lang w:val="en-US" w:eastAsia="zh-CN" w:bidi="ar-SA"/>
        </w:rPr>
        <w:t>5</w:t>
      </w:r>
      <w:r>
        <w:rPr>
          <w:rFonts w:hint="default" w:ascii="Times New Roman" w:hAnsi="Times New Roman" w:eastAsia="方正仿宋_GBK" w:cs="Times New Roman"/>
          <w:kern w:val="0"/>
          <w:sz w:val="32"/>
          <w:szCs w:val="32"/>
          <w:highlight w:val="none"/>
          <w:lang w:val="zh-CN" w:eastAsia="zh-CN" w:bidi="ar-SA"/>
        </w:rPr>
        <w:t>个，涉及预算总金额</w:t>
      </w:r>
      <w:r>
        <w:rPr>
          <w:rFonts w:hint="eastAsia" w:ascii="Times New Roman" w:hAnsi="Times New Roman" w:eastAsia="方正仿宋_GBK" w:cs="Times New Roman"/>
          <w:kern w:val="0"/>
          <w:sz w:val="32"/>
          <w:szCs w:val="32"/>
          <w:highlight w:val="none"/>
          <w:lang w:val="en-US" w:eastAsia="zh-CN" w:bidi="ar-SA"/>
        </w:rPr>
        <w:t>53.90</w:t>
      </w:r>
      <w:r>
        <w:rPr>
          <w:rFonts w:hint="default" w:ascii="Times New Roman" w:hAnsi="Times New Roman" w:eastAsia="方正仿宋_GBK" w:cs="Times New Roman"/>
          <w:kern w:val="0"/>
          <w:sz w:val="32"/>
          <w:szCs w:val="32"/>
          <w:highlight w:val="none"/>
          <w:lang w:val="zh-CN" w:eastAsia="zh-CN" w:bidi="ar-SA"/>
        </w:rPr>
        <w:t>万元，1</w:t>
      </w:r>
      <w:r>
        <w:rPr>
          <w:rFonts w:hint="eastAsia" w:ascii="Times New Roman" w:hAnsi="Times New Roman" w:eastAsia="方正仿宋_GBK" w:cs="Times New Roman"/>
          <w:kern w:val="0"/>
          <w:sz w:val="32"/>
          <w:szCs w:val="32"/>
          <w:highlight w:val="none"/>
          <w:lang w:val="zh-CN" w:eastAsia="zh-CN" w:bidi="ar-SA"/>
        </w:rPr>
        <w:t>—</w:t>
      </w:r>
      <w:r>
        <w:rPr>
          <w:rFonts w:hint="default" w:ascii="Times New Roman" w:hAnsi="Times New Roman" w:eastAsia="方正仿宋_GBK" w:cs="Times New Roman"/>
          <w:kern w:val="0"/>
          <w:sz w:val="32"/>
          <w:szCs w:val="32"/>
          <w:highlight w:val="none"/>
          <w:lang w:val="zh-CN" w:eastAsia="zh-CN" w:bidi="ar-SA"/>
        </w:rPr>
        <w:t>1</w:t>
      </w:r>
      <w:r>
        <w:rPr>
          <w:rFonts w:hint="default" w:ascii="Times New Roman" w:hAnsi="Times New Roman" w:eastAsia="方正仿宋_GBK" w:cs="Times New Roman"/>
          <w:kern w:val="0"/>
          <w:sz w:val="32"/>
          <w:szCs w:val="32"/>
          <w:highlight w:val="none"/>
          <w:lang w:val="en-US" w:eastAsia="zh-CN" w:bidi="ar-SA"/>
        </w:rPr>
        <w:t>2</w:t>
      </w:r>
      <w:r>
        <w:rPr>
          <w:rFonts w:hint="default" w:ascii="Times New Roman" w:hAnsi="Times New Roman" w:eastAsia="方正仿宋_GBK" w:cs="Times New Roman"/>
          <w:kern w:val="0"/>
          <w:sz w:val="32"/>
          <w:szCs w:val="32"/>
          <w:highlight w:val="none"/>
          <w:lang w:val="zh-CN" w:eastAsia="zh-CN" w:bidi="ar-SA"/>
        </w:rPr>
        <w:t>月预算执行总体进度为</w:t>
      </w:r>
      <w:r>
        <w:rPr>
          <w:rFonts w:hint="eastAsia" w:ascii="Times New Roman" w:hAnsi="Times New Roman" w:eastAsia="方正仿宋_GBK" w:cs="Times New Roman"/>
          <w:kern w:val="0"/>
          <w:sz w:val="32"/>
          <w:szCs w:val="32"/>
          <w:highlight w:val="none"/>
          <w:lang w:val="en-US" w:eastAsia="zh-CN" w:bidi="ar-SA"/>
        </w:rPr>
        <w:t>100</w:t>
      </w:r>
      <w:r>
        <w:rPr>
          <w:rFonts w:hint="default" w:ascii="Times New Roman" w:hAnsi="Times New Roman" w:eastAsia="方正仿宋_GBK" w:cs="Times New Roman"/>
          <w:kern w:val="0"/>
          <w:sz w:val="32"/>
          <w:szCs w:val="32"/>
          <w:highlight w:val="none"/>
          <w:lang w:val="zh-CN" w:eastAsia="zh-CN" w:bidi="ar-SA"/>
        </w:rPr>
        <w:t>%，其中：预算结余率大于</w:t>
      </w:r>
      <w:r>
        <w:rPr>
          <w:rFonts w:hint="default" w:ascii="Times New Roman" w:hAnsi="Times New Roman" w:eastAsia="方正仿宋_GBK" w:cs="Times New Roman"/>
          <w:kern w:val="0"/>
          <w:sz w:val="32"/>
          <w:szCs w:val="32"/>
          <w:highlight w:val="none"/>
          <w:lang w:val="en-US" w:eastAsia="zh-CN" w:bidi="ar-SA"/>
        </w:rPr>
        <w:t>10%</w:t>
      </w:r>
      <w:r>
        <w:rPr>
          <w:rFonts w:hint="default" w:ascii="Times New Roman" w:hAnsi="Times New Roman" w:eastAsia="方正仿宋_GBK" w:cs="Times New Roman"/>
          <w:kern w:val="0"/>
          <w:sz w:val="32"/>
          <w:szCs w:val="32"/>
          <w:highlight w:val="none"/>
          <w:lang w:val="zh-CN" w:eastAsia="zh-CN" w:bidi="ar-SA"/>
        </w:rPr>
        <w:t>的项目共计</w:t>
      </w:r>
      <w:r>
        <w:rPr>
          <w:rFonts w:hint="eastAsia" w:ascii="Times New Roman" w:hAnsi="Times New Roman" w:eastAsia="方正仿宋_GBK" w:cs="Times New Roman"/>
          <w:kern w:val="0"/>
          <w:sz w:val="32"/>
          <w:szCs w:val="32"/>
          <w:highlight w:val="none"/>
          <w:lang w:val="en-US" w:eastAsia="zh-CN" w:bidi="ar-SA"/>
        </w:rPr>
        <w:t>0</w:t>
      </w:r>
      <w:r>
        <w:rPr>
          <w:rFonts w:hint="default" w:ascii="Times New Roman" w:hAnsi="Times New Roman" w:eastAsia="方正仿宋_GBK" w:cs="Times New Roman"/>
          <w:kern w:val="0"/>
          <w:sz w:val="32"/>
          <w:szCs w:val="32"/>
          <w:highlight w:val="none"/>
          <w:lang w:val="zh-CN" w:eastAsia="zh-CN" w:bidi="ar-SA"/>
        </w:rPr>
        <w:t>个。</w:t>
      </w:r>
    </w:p>
    <w:p w14:paraId="6623313E">
      <w:pPr>
        <w:pageBreakBefore w:val="0"/>
        <w:widowControl/>
        <w:kinsoku/>
        <w:wordWrap/>
        <w:overflowPunct/>
        <w:topLinePunct w:val="0"/>
        <w:autoSpaceDE/>
        <w:autoSpaceDN/>
        <w:bidi w:val="0"/>
        <w:adjustRightInd w:val="0"/>
        <w:snapToGrid w:val="0"/>
        <w:spacing w:beforeAutospacing="0" w:afterAutospacing="0" w:line="576" w:lineRule="exact"/>
        <w:ind w:left="0" w:leftChars="0" w:firstLine="720"/>
        <w:jc w:val="left"/>
        <w:textAlignment w:val="auto"/>
        <w:rPr>
          <w:rFonts w:hint="eastAsia" w:ascii="Times New Roman" w:hAnsi="Times New Roman" w:eastAsia="方正仿宋_GBK" w:cs="Times New Roman"/>
          <w:kern w:val="0"/>
          <w:sz w:val="32"/>
          <w:szCs w:val="32"/>
          <w:highlight w:val="none"/>
          <w:lang w:val="en-US" w:eastAsia="zh-CN" w:bidi="ar-SA"/>
        </w:rPr>
      </w:pPr>
      <w:r>
        <w:rPr>
          <w:rFonts w:hint="eastAsia" w:ascii="Times New Roman" w:hAnsi="Times New Roman" w:eastAsia="方正仿宋_GBK" w:cs="Times New Roman"/>
          <w:kern w:val="0"/>
          <w:sz w:val="32"/>
          <w:szCs w:val="32"/>
          <w:highlight w:val="none"/>
          <w:lang w:val="en-US" w:eastAsia="zh-CN" w:bidi="ar-SA"/>
        </w:rPr>
        <w:t>1</w:t>
      </w:r>
      <w:r>
        <w:rPr>
          <w:rFonts w:hint="default" w:ascii="Times New Roman" w:hAnsi="Times New Roman" w:eastAsia="方正仿宋_GBK" w:cs="Times New Roman"/>
          <w:kern w:val="0"/>
          <w:sz w:val="32"/>
          <w:szCs w:val="32"/>
          <w:highlight w:val="none"/>
          <w:lang w:val="en-US" w:eastAsia="zh-CN" w:bidi="ar-SA"/>
        </w:rPr>
        <w:t>.</w:t>
      </w:r>
      <w:r>
        <w:rPr>
          <w:rFonts w:hint="default" w:ascii="Times New Roman" w:hAnsi="Times New Roman" w:eastAsia="方正仿宋_GBK" w:cs="Times New Roman"/>
          <w:kern w:val="0"/>
          <w:sz w:val="32"/>
          <w:szCs w:val="32"/>
          <w:highlight w:val="none"/>
          <w:lang w:val="zh-CN" w:eastAsia="zh-CN" w:bidi="ar-SA"/>
        </w:rPr>
        <w:t>项目决策。</w:t>
      </w:r>
      <w:r>
        <w:rPr>
          <w:rFonts w:hint="eastAsia" w:ascii="Times New Roman" w:hAnsi="Times New Roman" w:eastAsia="方正仿宋_GBK" w:cs="Times New Roman"/>
          <w:kern w:val="0"/>
          <w:sz w:val="32"/>
          <w:szCs w:val="32"/>
          <w:highlight w:val="none"/>
          <w:lang w:val="en-US" w:eastAsia="zh-CN" w:bidi="ar-SA"/>
        </w:rPr>
        <w:t>2024年我单位10个部门预算项目设立按规定履行了评估论证和申报程序。并设定了部门预算项目绩效目标与计划期内的任务量、预算安排的资金量匹配情况，绩效目标设置科学合理、规范完整、量化细化。10个部门预算项目在规定时间完成了项目入库。</w:t>
      </w:r>
    </w:p>
    <w:p w14:paraId="6784A236">
      <w:pPr>
        <w:pageBreakBefore w:val="0"/>
        <w:widowControl/>
        <w:kinsoku/>
        <w:wordWrap/>
        <w:overflowPunct/>
        <w:topLinePunct w:val="0"/>
        <w:autoSpaceDE/>
        <w:autoSpaceDN/>
        <w:bidi w:val="0"/>
        <w:adjustRightInd w:val="0"/>
        <w:snapToGrid w:val="0"/>
        <w:spacing w:beforeAutospacing="0" w:afterAutospacing="0" w:line="576" w:lineRule="exact"/>
        <w:ind w:left="0" w:leftChars="0" w:firstLine="720"/>
        <w:jc w:val="left"/>
        <w:textAlignment w:val="auto"/>
        <w:rPr>
          <w:rFonts w:hint="default" w:ascii="Times New Roman" w:hAnsi="Times New Roman" w:eastAsia="方正仿宋_GBK" w:cs="Times New Roman"/>
          <w:kern w:val="0"/>
          <w:sz w:val="32"/>
          <w:szCs w:val="32"/>
          <w:highlight w:val="none"/>
          <w:lang w:val="zh-CN" w:eastAsia="zh-CN" w:bidi="ar-SA"/>
        </w:rPr>
      </w:pPr>
      <w:r>
        <w:rPr>
          <w:rFonts w:hint="default" w:ascii="Times New Roman" w:hAnsi="Times New Roman" w:eastAsia="方正仿宋_GBK" w:cs="Times New Roman"/>
          <w:kern w:val="0"/>
          <w:sz w:val="32"/>
          <w:szCs w:val="32"/>
          <w:highlight w:val="none"/>
          <w:lang w:val="en-US" w:eastAsia="zh-CN" w:bidi="ar-SA"/>
        </w:rPr>
        <w:t>2.项目执行</w:t>
      </w:r>
      <w:r>
        <w:rPr>
          <w:rFonts w:hint="default" w:ascii="Times New Roman" w:hAnsi="Times New Roman" w:eastAsia="方正仿宋_GBK" w:cs="Times New Roman"/>
          <w:kern w:val="0"/>
          <w:sz w:val="32"/>
          <w:szCs w:val="32"/>
          <w:highlight w:val="none"/>
          <w:lang w:val="zh-CN" w:eastAsia="zh-CN" w:bidi="ar-SA"/>
        </w:rPr>
        <w:t>。</w:t>
      </w:r>
      <w:r>
        <w:rPr>
          <w:rFonts w:hint="eastAsia" w:ascii="Times New Roman" w:hAnsi="Times New Roman" w:eastAsia="方正仿宋_GBK" w:cs="Times New Roman"/>
          <w:kern w:val="0"/>
          <w:sz w:val="32"/>
          <w:szCs w:val="32"/>
          <w:highlight w:val="none"/>
          <w:lang w:val="en-US" w:eastAsia="zh-CN" w:bidi="ar-SA"/>
        </w:rPr>
        <w:t>部门预算项目实际列支内容与绩效目标设置方向相符；部门预算项目采取了对应调整措施；</w:t>
      </w:r>
      <w:r>
        <w:rPr>
          <w:rFonts w:hint="default" w:ascii="Times New Roman" w:hAnsi="Times New Roman" w:eastAsia="方正仿宋_GBK" w:cs="Times New Roman"/>
          <w:kern w:val="0"/>
          <w:sz w:val="32"/>
          <w:szCs w:val="32"/>
          <w:highlight w:val="none"/>
          <w:lang w:val="zh-CN" w:eastAsia="zh-CN" w:bidi="ar-SA"/>
        </w:rPr>
        <w:t>1</w:t>
      </w:r>
      <w:r>
        <w:rPr>
          <w:rFonts w:hint="eastAsia" w:ascii="Times New Roman" w:hAnsi="Times New Roman" w:eastAsia="方正仿宋_GBK" w:cs="Times New Roman"/>
          <w:kern w:val="0"/>
          <w:sz w:val="32"/>
          <w:szCs w:val="32"/>
          <w:highlight w:val="none"/>
          <w:lang w:val="zh-CN" w:eastAsia="zh-CN" w:bidi="ar-SA"/>
        </w:rPr>
        <w:t>—</w:t>
      </w:r>
      <w:r>
        <w:rPr>
          <w:rFonts w:hint="default" w:ascii="Times New Roman" w:hAnsi="Times New Roman" w:eastAsia="方正仿宋_GBK" w:cs="Times New Roman"/>
          <w:kern w:val="0"/>
          <w:sz w:val="32"/>
          <w:szCs w:val="32"/>
          <w:highlight w:val="none"/>
          <w:lang w:val="zh-CN" w:eastAsia="zh-CN" w:bidi="ar-SA"/>
        </w:rPr>
        <w:t>1</w:t>
      </w:r>
      <w:r>
        <w:rPr>
          <w:rFonts w:hint="default" w:ascii="Times New Roman" w:hAnsi="Times New Roman" w:eastAsia="方正仿宋_GBK" w:cs="Times New Roman"/>
          <w:kern w:val="0"/>
          <w:sz w:val="32"/>
          <w:szCs w:val="32"/>
          <w:highlight w:val="none"/>
          <w:lang w:val="en-US" w:eastAsia="zh-CN" w:bidi="ar-SA"/>
        </w:rPr>
        <w:t>2</w:t>
      </w:r>
      <w:r>
        <w:rPr>
          <w:rFonts w:hint="default" w:ascii="Times New Roman" w:hAnsi="Times New Roman" w:eastAsia="方正仿宋_GBK" w:cs="Times New Roman"/>
          <w:kern w:val="0"/>
          <w:sz w:val="32"/>
          <w:szCs w:val="32"/>
          <w:highlight w:val="none"/>
          <w:lang w:val="zh-CN" w:eastAsia="zh-CN" w:bidi="ar-SA"/>
        </w:rPr>
        <w:t>月预算执行总体进度为</w:t>
      </w:r>
      <w:r>
        <w:rPr>
          <w:rFonts w:hint="eastAsia" w:ascii="Times New Roman" w:hAnsi="Times New Roman" w:eastAsia="方正仿宋_GBK" w:cs="Times New Roman"/>
          <w:kern w:val="0"/>
          <w:sz w:val="32"/>
          <w:szCs w:val="32"/>
          <w:highlight w:val="none"/>
          <w:lang w:val="en-US" w:eastAsia="zh-CN" w:bidi="ar-SA"/>
        </w:rPr>
        <w:t>100</w:t>
      </w:r>
      <w:r>
        <w:rPr>
          <w:rFonts w:hint="default" w:ascii="Times New Roman" w:hAnsi="Times New Roman" w:eastAsia="方正仿宋_GBK" w:cs="Times New Roman"/>
          <w:kern w:val="0"/>
          <w:sz w:val="32"/>
          <w:szCs w:val="32"/>
          <w:highlight w:val="none"/>
          <w:lang w:val="zh-CN" w:eastAsia="zh-CN" w:bidi="ar-SA"/>
        </w:rPr>
        <w:t>%。</w:t>
      </w:r>
    </w:p>
    <w:p w14:paraId="0D3F421F">
      <w:pPr>
        <w:pageBreakBefore w:val="0"/>
        <w:widowControl/>
        <w:kinsoku/>
        <w:wordWrap/>
        <w:overflowPunct/>
        <w:topLinePunct w:val="0"/>
        <w:autoSpaceDE/>
        <w:autoSpaceDN/>
        <w:bidi w:val="0"/>
        <w:adjustRightInd w:val="0"/>
        <w:snapToGrid w:val="0"/>
        <w:spacing w:beforeAutospacing="0" w:afterAutospacing="0" w:line="576" w:lineRule="exact"/>
        <w:ind w:left="0" w:leftChars="0" w:firstLine="720"/>
        <w:jc w:val="left"/>
        <w:textAlignment w:val="auto"/>
        <w:rPr>
          <w:rFonts w:hint="eastAsia" w:ascii="Times New Roman" w:hAnsi="Times New Roman" w:eastAsia="方正仿宋_GBK" w:cs="Times New Roman"/>
          <w:kern w:val="0"/>
          <w:sz w:val="32"/>
          <w:szCs w:val="32"/>
          <w:highlight w:val="none"/>
          <w:lang w:val="en-US" w:eastAsia="zh-CN" w:bidi="ar-SA"/>
        </w:rPr>
      </w:pPr>
      <w:r>
        <w:rPr>
          <w:rFonts w:hint="default" w:ascii="Times New Roman" w:hAnsi="Times New Roman" w:eastAsia="方正仿宋_GBK" w:cs="Times New Roman"/>
          <w:kern w:val="0"/>
          <w:sz w:val="32"/>
          <w:szCs w:val="32"/>
          <w:highlight w:val="none"/>
          <w:lang w:val="en-US" w:eastAsia="zh-CN" w:bidi="ar-SA"/>
        </w:rPr>
        <w:t>3.</w:t>
      </w:r>
      <w:r>
        <w:rPr>
          <w:rFonts w:hint="default" w:ascii="Times New Roman" w:hAnsi="Times New Roman" w:eastAsia="方正仿宋_GBK" w:cs="Times New Roman"/>
          <w:kern w:val="0"/>
          <w:sz w:val="32"/>
          <w:szCs w:val="32"/>
          <w:highlight w:val="none"/>
          <w:lang w:val="zh-CN" w:eastAsia="zh-CN" w:bidi="ar-SA"/>
        </w:rPr>
        <w:t>目标实现。</w:t>
      </w:r>
      <w:r>
        <w:rPr>
          <w:rFonts w:hint="eastAsia" w:ascii="Times New Roman" w:hAnsi="Times New Roman" w:eastAsia="方正仿宋_GBK" w:cs="Times New Roman"/>
          <w:kern w:val="0"/>
          <w:sz w:val="32"/>
          <w:szCs w:val="32"/>
          <w:highlight w:val="none"/>
          <w:lang w:val="en-US" w:eastAsia="zh-CN" w:bidi="ar-SA"/>
        </w:rPr>
        <w:t>2024年部门预算项目绩效目标数量指标完成100%；部门预算项目绩效目标数量指标实现程度与预期目标无偏离情况；部门预算项目绩效目标效益指标实施效果较好。</w:t>
      </w:r>
    </w:p>
    <w:p w14:paraId="6953F194">
      <w:pPr>
        <w:pageBreakBefore w:val="0"/>
        <w:widowControl/>
        <w:kinsoku/>
        <w:wordWrap/>
        <w:overflowPunct/>
        <w:topLinePunct w:val="0"/>
        <w:autoSpaceDE/>
        <w:autoSpaceDN/>
        <w:bidi w:val="0"/>
        <w:adjustRightInd w:val="0"/>
        <w:snapToGrid w:val="0"/>
        <w:spacing w:beforeAutospacing="0" w:afterAutospacing="0" w:line="576" w:lineRule="exact"/>
        <w:ind w:left="0" w:leftChars="0" w:firstLine="320" w:firstLineChars="100"/>
        <w:jc w:val="left"/>
        <w:textAlignment w:val="auto"/>
        <w:rPr>
          <w:rFonts w:hint="eastAsia" w:ascii="黑体" w:hAnsi="黑体" w:eastAsia="黑体" w:cs="黑体"/>
          <w:b w:val="0"/>
          <w:bCs/>
          <w:color w:val="000000"/>
          <w:kern w:val="0"/>
          <w:sz w:val="32"/>
          <w:szCs w:val="32"/>
          <w:lang w:val="zh-CN" w:eastAsia="zh-CN" w:bidi="ar"/>
        </w:rPr>
      </w:pPr>
      <w:r>
        <w:rPr>
          <w:rFonts w:hint="eastAsia" w:ascii="黑体" w:hAnsi="黑体" w:eastAsia="黑体" w:cs="黑体"/>
          <w:b w:val="0"/>
          <w:bCs/>
          <w:color w:val="000000"/>
          <w:kern w:val="0"/>
          <w:sz w:val="32"/>
          <w:szCs w:val="32"/>
          <w:lang w:val="zh-CN" w:eastAsia="zh-CN" w:bidi="ar"/>
        </w:rPr>
        <w:t>四、评价结论及建议</w:t>
      </w:r>
    </w:p>
    <w:p w14:paraId="4AA5AA3A">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right="0" w:rightChars="0" w:firstLine="321" w:firstLineChars="100"/>
        <w:jc w:val="left"/>
        <w:textAlignment w:val="auto"/>
        <w:outlineLvl w:val="9"/>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b/>
          <w:bCs/>
          <w:color w:val="000000"/>
          <w:kern w:val="0"/>
          <w:sz w:val="32"/>
          <w:szCs w:val="32"/>
          <w:lang w:val="zh-CN" w:bidi="ar"/>
        </w:rPr>
        <w:t>（一）评价结论</w:t>
      </w:r>
    </w:p>
    <w:p w14:paraId="021707CE">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bidi="ar"/>
        </w:rPr>
        <w:t>根据《202</w:t>
      </w:r>
      <w:r>
        <w:rPr>
          <w:rFonts w:hint="eastAsia" w:ascii="仿宋_GB2312" w:hAnsi="仿宋_GB2312" w:cs="仿宋_GB2312"/>
          <w:color w:val="000000"/>
          <w:kern w:val="0"/>
          <w:sz w:val="32"/>
          <w:szCs w:val="32"/>
          <w:lang w:val="en-US" w:eastAsia="zh-CN" w:bidi="ar"/>
        </w:rPr>
        <w:t>4</w:t>
      </w:r>
      <w:r>
        <w:rPr>
          <w:rFonts w:hint="eastAsia" w:ascii="仿宋_GB2312" w:hAnsi="仿宋_GB2312" w:eastAsia="仿宋_GB2312" w:cs="仿宋_GB2312"/>
          <w:color w:val="000000"/>
          <w:kern w:val="0"/>
          <w:sz w:val="32"/>
          <w:szCs w:val="32"/>
          <w:lang w:val="zh-CN" w:bidi="ar"/>
        </w:rPr>
        <w:t>年红原县部门支出绩效评价指标体系》评分得分</w:t>
      </w:r>
      <w:r>
        <w:rPr>
          <w:rFonts w:hint="eastAsia" w:ascii="仿宋_GB2312" w:hAnsi="仿宋_GB2312" w:cs="仿宋_GB2312"/>
          <w:color w:val="000000"/>
          <w:kern w:val="0"/>
          <w:sz w:val="32"/>
          <w:szCs w:val="32"/>
          <w:lang w:val="en-US" w:eastAsia="zh-CN" w:bidi="ar"/>
        </w:rPr>
        <w:t>98</w:t>
      </w:r>
      <w:r>
        <w:rPr>
          <w:rFonts w:hint="eastAsia" w:ascii="仿宋_GB2312" w:hAnsi="仿宋_GB2312" w:eastAsia="仿宋_GB2312" w:cs="仿宋_GB2312"/>
          <w:color w:val="000000"/>
          <w:kern w:val="0"/>
          <w:sz w:val="32"/>
          <w:szCs w:val="32"/>
          <w:lang w:val="zh-CN" w:bidi="ar"/>
        </w:rPr>
        <w:t>分，部门整体支出绩效为“好”。</w:t>
      </w:r>
    </w:p>
    <w:p w14:paraId="465407A0">
      <w:pPr>
        <w:keepNext w:val="0"/>
        <w:keepLines w:val="0"/>
        <w:pageBreakBefore w:val="0"/>
        <w:widowControl/>
        <w:numPr>
          <w:ilvl w:val="0"/>
          <w:numId w:val="3"/>
        </w:numPr>
        <w:kinsoku/>
        <w:wordWrap/>
        <w:overflowPunct/>
        <w:topLinePunct w:val="0"/>
        <w:autoSpaceDE/>
        <w:autoSpaceDN/>
        <w:bidi w:val="0"/>
        <w:adjustRightInd w:val="0"/>
        <w:snapToGrid w:val="0"/>
        <w:spacing w:beforeAutospacing="0" w:afterAutospacing="0" w:line="576" w:lineRule="exact"/>
        <w:ind w:left="0" w:leftChars="0" w:right="0" w:rightChars="0"/>
        <w:jc w:val="left"/>
        <w:textAlignment w:val="auto"/>
        <w:outlineLvl w:val="9"/>
        <w:rPr>
          <w:rFonts w:hint="eastAsia" w:ascii="仿宋_GB2312" w:hAnsi="仿宋_GB2312" w:eastAsia="仿宋_GB2312" w:cs="仿宋_GB2312"/>
          <w:b/>
          <w:color w:val="000000"/>
          <w:kern w:val="0"/>
          <w:sz w:val="32"/>
          <w:szCs w:val="32"/>
          <w:lang w:val="zh-CN" w:bidi="ar"/>
        </w:rPr>
      </w:pPr>
      <w:r>
        <w:rPr>
          <w:rFonts w:hint="eastAsia" w:ascii="仿宋_GB2312" w:hAnsi="仿宋_GB2312" w:eastAsia="仿宋_GB2312" w:cs="仿宋_GB2312"/>
          <w:b/>
          <w:color w:val="000000"/>
          <w:kern w:val="0"/>
          <w:sz w:val="32"/>
          <w:szCs w:val="32"/>
          <w:lang w:val="zh-CN" w:bidi="ar"/>
        </w:rPr>
        <w:t>存在问题</w:t>
      </w:r>
    </w:p>
    <w:p w14:paraId="69A2F054">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76" w:lineRule="exact"/>
        <w:ind w:left="0" w:leftChars="0" w:right="0" w:rightChars="0" w:firstLine="960" w:firstLineChars="30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bidi="ar"/>
        </w:rPr>
        <w:t>预算时工作考虑不全面，部分工作开展所需经费未纳入预算，导致中途追加预算。</w:t>
      </w:r>
    </w:p>
    <w:p w14:paraId="0EC10790">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right="0" w:rightChars="0"/>
        <w:jc w:val="left"/>
        <w:textAlignment w:val="auto"/>
        <w:outlineLvl w:val="9"/>
        <w:rPr>
          <w:rFonts w:hint="eastAsia" w:ascii="仿宋_GB2312" w:hAnsi="仿宋_GB2312" w:eastAsia="仿宋_GB2312" w:cs="仿宋_GB2312"/>
          <w:b/>
          <w:color w:val="000000"/>
          <w:kern w:val="0"/>
          <w:sz w:val="32"/>
          <w:szCs w:val="32"/>
          <w:lang w:val="zh-CN" w:bidi="ar"/>
        </w:rPr>
      </w:pPr>
      <w:r>
        <w:rPr>
          <w:rFonts w:hint="eastAsia" w:ascii="仿宋_GB2312" w:hAnsi="仿宋_GB2312" w:eastAsia="仿宋_GB2312" w:cs="仿宋_GB2312"/>
          <w:b/>
          <w:color w:val="000000"/>
          <w:kern w:val="0"/>
          <w:sz w:val="32"/>
          <w:szCs w:val="32"/>
          <w:lang w:val="zh-CN" w:bidi="ar"/>
        </w:rPr>
        <w:t>（三）改进建议</w:t>
      </w:r>
    </w:p>
    <w:p w14:paraId="29AFFACF">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1.沟通交流，增强预算编制的准确性和全面性。</w:t>
      </w:r>
    </w:p>
    <w:p w14:paraId="765437FC">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2.加强管理，提高整体支出绩效成果。</w:t>
      </w:r>
    </w:p>
    <w:p w14:paraId="4441F300">
      <w:pPr>
        <w:pageBreakBefore w:val="0"/>
        <w:kinsoku/>
        <w:wordWrap/>
        <w:overflowPunct/>
        <w:topLinePunct w:val="0"/>
        <w:autoSpaceDE/>
        <w:autoSpaceDN/>
        <w:bidi w:val="0"/>
        <w:spacing w:beforeAutospacing="0" w:afterAutospacing="0" w:line="576" w:lineRule="exact"/>
        <w:ind w:left="0" w:leftChars="0"/>
        <w:textAlignment w:val="auto"/>
        <w:rPr>
          <w:rFonts w:hint="eastAsia" w:ascii="仿宋_GB2312" w:hAnsi="仿宋_GB2312" w:eastAsia="仿宋_GB2312" w:cs="仿宋_GB2312"/>
          <w:color w:val="000000"/>
          <w:kern w:val="0"/>
          <w:sz w:val="32"/>
          <w:szCs w:val="32"/>
          <w:lang w:val="zh-CN" w:bidi="ar"/>
        </w:rPr>
      </w:pPr>
    </w:p>
    <w:p w14:paraId="136F4A16">
      <w:pPr>
        <w:pStyle w:val="2"/>
        <w:pageBreakBefore w:val="0"/>
        <w:kinsoku/>
        <w:wordWrap/>
        <w:overflowPunct/>
        <w:topLinePunct w:val="0"/>
        <w:autoSpaceDE/>
        <w:autoSpaceDN/>
        <w:bidi w:val="0"/>
        <w:spacing w:before="0" w:beforeAutospacing="0" w:after="0" w:afterAutospacing="0" w:line="576" w:lineRule="exact"/>
        <w:ind w:left="0" w:leftChars="0"/>
        <w:textAlignment w:val="auto"/>
        <w:rPr>
          <w:rFonts w:hint="eastAsia"/>
          <w:lang w:val="zh-CN"/>
        </w:rPr>
      </w:pPr>
    </w:p>
    <w:p w14:paraId="6EDB79F4">
      <w:pPr>
        <w:pageBreakBefore w:val="0"/>
        <w:kinsoku/>
        <w:wordWrap/>
        <w:overflowPunct/>
        <w:topLinePunct w:val="0"/>
        <w:autoSpaceDE/>
        <w:autoSpaceDN/>
        <w:bidi w:val="0"/>
        <w:spacing w:beforeAutospacing="0" w:afterAutospacing="0" w:line="576" w:lineRule="exact"/>
        <w:ind w:left="0" w:leftChars="0"/>
        <w:textAlignment w:val="auto"/>
        <w:rPr>
          <w:rFonts w:hint="eastAsia"/>
          <w:lang w:val="zh-CN"/>
        </w:rPr>
      </w:pPr>
    </w:p>
    <w:p w14:paraId="06420DC8">
      <w:pPr>
        <w:spacing w:line="440" w:lineRule="exact"/>
        <w:rPr>
          <w:rFonts w:hint="eastAsia" w:ascii="仿宋_GB2312" w:hAnsi="仿宋_GB2312" w:eastAsia="仿宋_GB2312" w:cs="仿宋_GB2312"/>
          <w:sz w:val="32"/>
          <w:szCs w:val="32"/>
        </w:rPr>
        <w:sectPr>
          <w:pgSz w:w="11906" w:h="16838"/>
          <w:pgMar w:top="2211" w:right="1531" w:bottom="1871" w:left="1531" w:header="851" w:footer="992" w:gutter="0"/>
          <w:cols w:space="720" w:num="1"/>
          <w:docGrid w:type="lines" w:linePitch="312" w:charSpace="0"/>
        </w:sectPr>
      </w:pPr>
      <w:r>
        <w:rPr>
          <w:rFonts w:hint="eastAsia" w:ascii="仿宋_GB2312" w:hAnsi="仿宋_GB2312" w:eastAsia="仿宋_GB2312" w:cs="仿宋_GB2312"/>
          <w:color w:val="000000"/>
          <w:kern w:val="0"/>
          <w:sz w:val="32"/>
          <w:szCs w:val="32"/>
          <w:lang w:val="en-US" w:eastAsia="zh-CN" w:bidi="ar"/>
        </w:rPr>
        <w:t xml:space="preserve">                                  </w:t>
      </w:r>
    </w:p>
    <w:p w14:paraId="40FE7913">
      <w:pPr>
        <w:keepNext w:val="0"/>
        <w:keepLines w:val="0"/>
        <w:pageBreakBefore w:val="0"/>
        <w:kinsoku/>
        <w:wordWrap/>
        <w:overflowPunct/>
        <w:topLinePunct w:val="0"/>
        <w:autoSpaceDE/>
        <w:autoSpaceDN/>
        <w:bidi w:val="0"/>
        <w:spacing w:before="0" w:beforeLines="0" w:after="0" w:afterLines="0" w:line="560" w:lineRule="exact"/>
        <w:ind w:left="0" w:leftChars="0" w:right="0" w:rightChars="0"/>
        <w:textAlignment w:val="auto"/>
        <w:outlineLvl w:val="9"/>
        <w:rPr>
          <w:rFonts w:ascii="仿宋" w:hAnsi="仿宋" w:eastAsia="仿宋" w:cs="黑体"/>
          <w:szCs w:val="32"/>
        </w:rPr>
      </w:pPr>
    </w:p>
    <w:p w14:paraId="0F0B9B9F"/>
    <w:p w14:paraId="5E0800E2">
      <w:pPr>
        <w:pStyle w:val="3"/>
        <w:jc w:val="center"/>
        <w:rPr>
          <w:rFonts w:ascii="黑体" w:hAnsi="黑体" w:eastAsia="黑体" w:cs="黑体"/>
        </w:rPr>
      </w:pPr>
      <w:bookmarkStart w:id="76" w:name="_Toc21200"/>
      <w:bookmarkStart w:id="77" w:name="_Toc79163885"/>
      <w:bookmarkStart w:id="78" w:name="_Toc79163635"/>
      <w:bookmarkStart w:id="79" w:name="_Toc111208512"/>
      <w:r>
        <w:rPr>
          <w:rFonts w:hint="eastAsia" w:ascii="黑体" w:hAnsi="黑体" w:eastAsia="黑体" w:cs="黑体"/>
        </w:rPr>
        <w:t>第五部分 附表</w:t>
      </w:r>
      <w:bookmarkEnd w:id="76"/>
      <w:bookmarkEnd w:id="77"/>
      <w:bookmarkEnd w:id="78"/>
      <w:bookmarkEnd w:id="79"/>
    </w:p>
    <w:p w14:paraId="3BAFCC9B">
      <w:pPr>
        <w:pStyle w:val="4"/>
        <w:ind w:firstLine="643" w:firstLineChars="200"/>
        <w:rPr>
          <w:rFonts w:ascii="黑体" w:eastAsia="黑体" w:cs="Times New Roman"/>
          <w:bCs w:val="0"/>
          <w:color w:val="000000"/>
        </w:rPr>
      </w:pPr>
      <w:bookmarkStart w:id="80" w:name="_Toc16431"/>
      <w:r>
        <w:rPr>
          <w:rFonts w:hint="eastAsia" w:ascii="黑体" w:eastAsia="黑体" w:cs="Times New Roman"/>
          <w:bCs w:val="0"/>
          <w:color w:val="000000"/>
        </w:rPr>
        <w:t>一、收入支出决算总表</w:t>
      </w:r>
      <w:bookmarkEnd w:id="80"/>
    </w:p>
    <w:p w14:paraId="172CFCF9">
      <w:pPr>
        <w:pStyle w:val="4"/>
        <w:ind w:firstLine="643" w:firstLineChars="200"/>
        <w:rPr>
          <w:rFonts w:ascii="黑体" w:eastAsia="黑体" w:cs="Times New Roman"/>
          <w:bCs w:val="0"/>
          <w:color w:val="000000"/>
        </w:rPr>
      </w:pPr>
      <w:bookmarkStart w:id="81" w:name="_Toc25389"/>
      <w:r>
        <w:rPr>
          <w:rFonts w:hint="eastAsia" w:ascii="黑体" w:eastAsia="黑体" w:cs="Times New Roman"/>
          <w:bCs w:val="0"/>
          <w:color w:val="000000"/>
        </w:rPr>
        <w:t>二、收入决算表</w:t>
      </w:r>
      <w:bookmarkEnd w:id="81"/>
    </w:p>
    <w:p w14:paraId="36F36F2E">
      <w:pPr>
        <w:pStyle w:val="4"/>
        <w:ind w:firstLine="643" w:firstLineChars="200"/>
        <w:rPr>
          <w:rFonts w:ascii="黑体" w:eastAsia="黑体" w:cs="Times New Roman"/>
          <w:bCs w:val="0"/>
          <w:color w:val="000000"/>
        </w:rPr>
      </w:pPr>
      <w:bookmarkStart w:id="82" w:name="_Toc10450"/>
      <w:r>
        <w:rPr>
          <w:rFonts w:hint="eastAsia" w:ascii="黑体" w:eastAsia="黑体" w:cs="Times New Roman"/>
          <w:bCs w:val="0"/>
          <w:color w:val="000000"/>
        </w:rPr>
        <w:t>三、支出决算表</w:t>
      </w:r>
      <w:bookmarkEnd w:id="82"/>
    </w:p>
    <w:p w14:paraId="17371956">
      <w:pPr>
        <w:pStyle w:val="4"/>
        <w:ind w:firstLine="643" w:firstLineChars="200"/>
        <w:rPr>
          <w:rFonts w:ascii="黑体" w:eastAsia="黑体" w:cs="Times New Roman"/>
          <w:bCs w:val="0"/>
          <w:color w:val="000000"/>
        </w:rPr>
      </w:pPr>
      <w:bookmarkStart w:id="83" w:name="_Toc15415"/>
      <w:r>
        <w:rPr>
          <w:rFonts w:hint="eastAsia" w:ascii="黑体" w:eastAsia="黑体" w:cs="Times New Roman"/>
          <w:bCs w:val="0"/>
          <w:color w:val="000000"/>
        </w:rPr>
        <w:t>四、财政拨款收入支出决算总表</w:t>
      </w:r>
      <w:bookmarkEnd w:id="83"/>
    </w:p>
    <w:p w14:paraId="20DF85B9">
      <w:pPr>
        <w:pStyle w:val="4"/>
        <w:ind w:firstLine="643" w:firstLineChars="200"/>
        <w:rPr>
          <w:rFonts w:ascii="黑体" w:eastAsia="黑体" w:cs="Times New Roman"/>
          <w:bCs w:val="0"/>
          <w:color w:val="000000"/>
        </w:rPr>
      </w:pPr>
      <w:bookmarkStart w:id="84" w:name="_Toc17530"/>
      <w:r>
        <w:rPr>
          <w:rFonts w:hint="eastAsia" w:ascii="黑体" w:eastAsia="黑体" w:cs="Times New Roman"/>
          <w:bCs w:val="0"/>
          <w:color w:val="000000"/>
        </w:rPr>
        <w:t>五、财政拨款支出决算明细表</w:t>
      </w:r>
      <w:bookmarkEnd w:id="84"/>
    </w:p>
    <w:p w14:paraId="2160FC8C">
      <w:pPr>
        <w:pStyle w:val="4"/>
        <w:ind w:firstLine="643" w:firstLineChars="200"/>
        <w:rPr>
          <w:rFonts w:ascii="黑体" w:eastAsia="黑体" w:cs="Times New Roman"/>
          <w:bCs w:val="0"/>
          <w:color w:val="000000"/>
        </w:rPr>
      </w:pPr>
      <w:bookmarkStart w:id="85" w:name="_Toc22032"/>
      <w:r>
        <w:rPr>
          <w:rFonts w:hint="eastAsia" w:ascii="黑体" w:eastAsia="黑体" w:cs="Times New Roman"/>
          <w:bCs w:val="0"/>
          <w:color w:val="000000"/>
        </w:rPr>
        <w:t>六、一般公共预算财政拨款支出决算表</w:t>
      </w:r>
      <w:bookmarkEnd w:id="85"/>
    </w:p>
    <w:p w14:paraId="07A6DD77">
      <w:pPr>
        <w:pStyle w:val="4"/>
        <w:ind w:firstLine="643" w:firstLineChars="200"/>
        <w:rPr>
          <w:rFonts w:ascii="黑体" w:eastAsia="黑体" w:cs="Times New Roman"/>
          <w:bCs w:val="0"/>
          <w:color w:val="000000"/>
        </w:rPr>
      </w:pPr>
      <w:bookmarkStart w:id="86" w:name="_Toc3364"/>
      <w:r>
        <w:rPr>
          <w:rFonts w:hint="eastAsia" w:ascii="黑体" w:eastAsia="黑体" w:cs="Times New Roman"/>
          <w:bCs w:val="0"/>
          <w:color w:val="000000"/>
        </w:rPr>
        <w:t>七、一般公共预算财政拨款支出决算明细表</w:t>
      </w:r>
      <w:bookmarkEnd w:id="86"/>
    </w:p>
    <w:p w14:paraId="2A7CDD42">
      <w:pPr>
        <w:pStyle w:val="4"/>
        <w:ind w:firstLine="643" w:firstLineChars="200"/>
        <w:rPr>
          <w:rFonts w:ascii="黑体" w:eastAsia="黑体" w:cs="Times New Roman"/>
          <w:bCs w:val="0"/>
          <w:color w:val="000000"/>
        </w:rPr>
      </w:pPr>
      <w:bookmarkStart w:id="87" w:name="_Toc9110"/>
      <w:r>
        <w:rPr>
          <w:rFonts w:hint="eastAsia" w:ascii="黑体" w:eastAsia="黑体" w:cs="Times New Roman"/>
          <w:bCs w:val="0"/>
          <w:color w:val="000000"/>
        </w:rPr>
        <w:t>八、一般公共预算财政拨款基本支出决算表</w:t>
      </w:r>
      <w:bookmarkEnd w:id="87"/>
    </w:p>
    <w:p w14:paraId="1D73D331">
      <w:pPr>
        <w:pStyle w:val="4"/>
        <w:ind w:firstLine="643" w:firstLineChars="200"/>
        <w:rPr>
          <w:rFonts w:ascii="黑体" w:eastAsia="黑体" w:cs="Times New Roman"/>
          <w:bCs w:val="0"/>
          <w:color w:val="000000"/>
        </w:rPr>
      </w:pPr>
      <w:bookmarkStart w:id="88" w:name="_Toc28582"/>
      <w:r>
        <w:rPr>
          <w:rFonts w:hint="eastAsia" w:ascii="黑体" w:eastAsia="黑体" w:cs="Times New Roman"/>
          <w:bCs w:val="0"/>
          <w:color w:val="000000"/>
        </w:rPr>
        <w:t>九、一般公共预算财政拨款项目支出决算表</w:t>
      </w:r>
      <w:bookmarkEnd w:id="88"/>
    </w:p>
    <w:p w14:paraId="40F88092">
      <w:pPr>
        <w:pStyle w:val="4"/>
        <w:ind w:firstLine="643" w:firstLineChars="200"/>
        <w:rPr>
          <w:rFonts w:ascii="黑体" w:eastAsia="黑体" w:cs="Times New Roman"/>
          <w:bCs w:val="0"/>
          <w:color w:val="000000"/>
        </w:rPr>
      </w:pPr>
      <w:bookmarkStart w:id="89" w:name="_Toc22001"/>
      <w:r>
        <w:rPr>
          <w:rFonts w:hint="eastAsia" w:ascii="黑体" w:eastAsia="黑体" w:cs="Times New Roman"/>
          <w:bCs w:val="0"/>
          <w:color w:val="000000"/>
        </w:rPr>
        <w:t>十、政府性基金预算财政拨款收入支出决算表</w:t>
      </w:r>
      <w:bookmarkEnd w:id="89"/>
    </w:p>
    <w:p w14:paraId="62BB9466">
      <w:pPr>
        <w:pStyle w:val="4"/>
        <w:ind w:firstLine="643" w:firstLineChars="200"/>
        <w:rPr>
          <w:rFonts w:ascii="黑体" w:eastAsia="黑体" w:cs="Times New Roman"/>
          <w:bCs w:val="0"/>
          <w:color w:val="000000"/>
        </w:rPr>
      </w:pPr>
      <w:bookmarkStart w:id="90" w:name="_Toc6538"/>
      <w:r>
        <w:rPr>
          <w:rFonts w:hint="eastAsia" w:ascii="黑体" w:eastAsia="黑体" w:cs="Times New Roman"/>
          <w:bCs w:val="0"/>
          <w:color w:val="000000"/>
        </w:rPr>
        <w:t>十一、国有资本经营预算财政拨款收入支出决算表</w:t>
      </w:r>
      <w:bookmarkEnd w:id="90"/>
    </w:p>
    <w:p w14:paraId="3B1C1136">
      <w:pPr>
        <w:pStyle w:val="4"/>
        <w:ind w:firstLine="643" w:firstLineChars="200"/>
        <w:rPr>
          <w:rFonts w:ascii="黑体" w:eastAsia="黑体" w:cs="Times New Roman"/>
          <w:bCs w:val="0"/>
          <w:color w:val="000000"/>
        </w:rPr>
      </w:pPr>
      <w:bookmarkStart w:id="91" w:name="_Toc10625"/>
      <w:r>
        <w:rPr>
          <w:rFonts w:hint="eastAsia" w:ascii="黑体" w:eastAsia="黑体" w:cs="Times New Roman"/>
          <w:bCs w:val="0"/>
          <w:color w:val="000000"/>
        </w:rPr>
        <w:t>十二、国有资本经营预算财政拨款支出决算表</w:t>
      </w:r>
      <w:bookmarkEnd w:id="91"/>
    </w:p>
    <w:p w14:paraId="5F00765F">
      <w:pPr>
        <w:pStyle w:val="4"/>
        <w:ind w:firstLine="643" w:firstLineChars="200"/>
        <w:rPr>
          <w:rFonts w:ascii="黑体" w:eastAsia="黑体" w:cs="Times New Roman"/>
          <w:b w:val="0"/>
          <w:color w:val="000000"/>
        </w:rPr>
      </w:pPr>
      <w:bookmarkStart w:id="92" w:name="_Toc28356"/>
      <w:r>
        <w:rPr>
          <w:rFonts w:hint="eastAsia" w:ascii="黑体" w:eastAsia="黑体" w:cs="Times New Roman"/>
          <w:bCs w:val="0"/>
          <w:color w:val="000000"/>
        </w:rPr>
        <w:t>十三、财政拨款“三公”经费支出决算表</w:t>
      </w:r>
      <w:bookmarkEnd w:id="9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Unicode MS">
    <w:altName w:val="Arial"/>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A00002EF" w:usb1="4000004B"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方正仿宋_GBK">
    <w:panose1 w:val="03000509000000000000"/>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72B325CB">
        <w:pPr>
          <w:pStyle w:val="16"/>
          <w:jc w:val="center"/>
        </w:pPr>
        <w:r>
          <w:fldChar w:fldCharType="begin"/>
        </w:r>
        <w:r>
          <w:instrText xml:space="preserve">PAGE   \* MERGEFORMAT</w:instrText>
        </w:r>
        <w:r>
          <w:fldChar w:fldCharType="separate"/>
        </w:r>
        <w:r>
          <w:rPr>
            <w:lang w:val="zh-CN"/>
          </w:rPr>
          <w:t>4</w:t>
        </w:r>
        <w:r>
          <w:fldChar w:fldCharType="end"/>
        </w:r>
      </w:p>
    </w:sdtContent>
  </w:sdt>
  <w:p w14:paraId="72AC0DE6">
    <w:pPr>
      <w:pStyle w:val="1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1C72C">
    <w:pPr>
      <w:pStyle w:val="1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988A14"/>
    <w:multiLevelType w:val="singleLevel"/>
    <w:tmpl w:val="E8988A14"/>
    <w:lvl w:ilvl="0" w:tentative="0">
      <w:start w:val="2"/>
      <w:numFmt w:val="chineseCounting"/>
      <w:suff w:val="nothing"/>
      <w:lvlText w:val="（%1）"/>
      <w:lvlJc w:val="left"/>
      <w:rPr>
        <w:rFonts w:hint="eastAsia"/>
      </w:rPr>
    </w:lvl>
  </w:abstractNum>
  <w:abstractNum w:abstractNumId="1">
    <w:nsid w:val="55E8A359"/>
    <w:multiLevelType w:val="singleLevel"/>
    <w:tmpl w:val="55E8A359"/>
    <w:lvl w:ilvl="0" w:tentative="0">
      <w:start w:val="1"/>
      <w:numFmt w:val="chineseCounting"/>
      <w:suff w:val="nothing"/>
      <w:lvlText w:val="%1、"/>
      <w:lvlJc w:val="left"/>
      <w:rPr>
        <w:rFonts w:hint="eastAsia"/>
      </w:rPr>
    </w:lvl>
  </w:abstractNum>
  <w:abstractNum w:abstractNumId="2">
    <w:nsid w:val="59E38D28"/>
    <w:multiLevelType w:val="singleLevel"/>
    <w:tmpl w:val="59E38D28"/>
    <w:lvl w:ilvl="0" w:tentative="0">
      <w:start w:val="3"/>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A0Nzg3YTJhM2Q4NGFlOTIzYzA3NzkwMDEyZjNlNmY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1CB"/>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7A8"/>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3F03"/>
    <w:rsid w:val="001654D1"/>
    <w:rsid w:val="00166A14"/>
    <w:rsid w:val="00166F25"/>
    <w:rsid w:val="0016730C"/>
    <w:rsid w:val="00167FD7"/>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5F65"/>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40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0E2"/>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0706"/>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77427"/>
    <w:rsid w:val="0088122F"/>
    <w:rsid w:val="00885AF4"/>
    <w:rsid w:val="00886435"/>
    <w:rsid w:val="008875FA"/>
    <w:rsid w:val="00887A58"/>
    <w:rsid w:val="008918AA"/>
    <w:rsid w:val="008918C9"/>
    <w:rsid w:val="008920D1"/>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2C7B"/>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286"/>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CF32DE"/>
    <w:rsid w:val="01D74DB7"/>
    <w:rsid w:val="01D86637"/>
    <w:rsid w:val="01F04616"/>
    <w:rsid w:val="037A757D"/>
    <w:rsid w:val="03F359AA"/>
    <w:rsid w:val="045647CC"/>
    <w:rsid w:val="0463543B"/>
    <w:rsid w:val="048D6B52"/>
    <w:rsid w:val="04A56E6E"/>
    <w:rsid w:val="04D550AF"/>
    <w:rsid w:val="051A6F96"/>
    <w:rsid w:val="05C25E8C"/>
    <w:rsid w:val="06951176"/>
    <w:rsid w:val="07001BE1"/>
    <w:rsid w:val="07267DE7"/>
    <w:rsid w:val="073E1733"/>
    <w:rsid w:val="088F55D5"/>
    <w:rsid w:val="089C4B49"/>
    <w:rsid w:val="09081517"/>
    <w:rsid w:val="091B747D"/>
    <w:rsid w:val="09823BAD"/>
    <w:rsid w:val="09A572B6"/>
    <w:rsid w:val="0A19737C"/>
    <w:rsid w:val="0B7218AA"/>
    <w:rsid w:val="0B99373B"/>
    <w:rsid w:val="0BA37CB5"/>
    <w:rsid w:val="0D0429D6"/>
    <w:rsid w:val="0D093B48"/>
    <w:rsid w:val="0D322E51"/>
    <w:rsid w:val="0D6C338E"/>
    <w:rsid w:val="0DB37F58"/>
    <w:rsid w:val="0E6D2010"/>
    <w:rsid w:val="0F5E6610"/>
    <w:rsid w:val="0FB52B86"/>
    <w:rsid w:val="0FDB629D"/>
    <w:rsid w:val="10C055FF"/>
    <w:rsid w:val="11761AF6"/>
    <w:rsid w:val="11851C0B"/>
    <w:rsid w:val="11D56DF6"/>
    <w:rsid w:val="11ED6591"/>
    <w:rsid w:val="13367661"/>
    <w:rsid w:val="14D728AA"/>
    <w:rsid w:val="15F1786F"/>
    <w:rsid w:val="16157184"/>
    <w:rsid w:val="16BB723D"/>
    <w:rsid w:val="17283764"/>
    <w:rsid w:val="17BC7656"/>
    <w:rsid w:val="17EA348C"/>
    <w:rsid w:val="1840212F"/>
    <w:rsid w:val="184656CF"/>
    <w:rsid w:val="193C261A"/>
    <w:rsid w:val="19943114"/>
    <w:rsid w:val="19DE22C0"/>
    <w:rsid w:val="1AB026BC"/>
    <w:rsid w:val="1ABB32B6"/>
    <w:rsid w:val="1BF70747"/>
    <w:rsid w:val="1C06153F"/>
    <w:rsid w:val="1C986C96"/>
    <w:rsid w:val="1D7371C3"/>
    <w:rsid w:val="1DDC2BB3"/>
    <w:rsid w:val="1E34479D"/>
    <w:rsid w:val="1EF81F78"/>
    <w:rsid w:val="1F620905"/>
    <w:rsid w:val="201A6AB0"/>
    <w:rsid w:val="203B66A0"/>
    <w:rsid w:val="211A679A"/>
    <w:rsid w:val="22857975"/>
    <w:rsid w:val="23902475"/>
    <w:rsid w:val="23FA0B3C"/>
    <w:rsid w:val="240371BF"/>
    <w:rsid w:val="2435534E"/>
    <w:rsid w:val="24534F10"/>
    <w:rsid w:val="24DF6C66"/>
    <w:rsid w:val="253D03DB"/>
    <w:rsid w:val="253F66D1"/>
    <w:rsid w:val="25A20B86"/>
    <w:rsid w:val="25B1070F"/>
    <w:rsid w:val="25DD571A"/>
    <w:rsid w:val="265C1D1F"/>
    <w:rsid w:val="26BB36DB"/>
    <w:rsid w:val="271C5A93"/>
    <w:rsid w:val="276F1834"/>
    <w:rsid w:val="27B459F9"/>
    <w:rsid w:val="27C51E91"/>
    <w:rsid w:val="28513369"/>
    <w:rsid w:val="28BF6D42"/>
    <w:rsid w:val="28C822A0"/>
    <w:rsid w:val="29FD04D3"/>
    <w:rsid w:val="2C1E1BB4"/>
    <w:rsid w:val="2CAE1BBE"/>
    <w:rsid w:val="2CCF04B2"/>
    <w:rsid w:val="2DF079DB"/>
    <w:rsid w:val="2E4C04E0"/>
    <w:rsid w:val="2F803D16"/>
    <w:rsid w:val="30BC6FA0"/>
    <w:rsid w:val="30CB71E3"/>
    <w:rsid w:val="30E36C85"/>
    <w:rsid w:val="31810DA9"/>
    <w:rsid w:val="31903F88"/>
    <w:rsid w:val="319F7F4E"/>
    <w:rsid w:val="32004B5E"/>
    <w:rsid w:val="323A1C2F"/>
    <w:rsid w:val="329448A6"/>
    <w:rsid w:val="32F45598"/>
    <w:rsid w:val="33204932"/>
    <w:rsid w:val="33447C07"/>
    <w:rsid w:val="35244754"/>
    <w:rsid w:val="364D41F6"/>
    <w:rsid w:val="36FD0156"/>
    <w:rsid w:val="38207F4E"/>
    <w:rsid w:val="38F8371D"/>
    <w:rsid w:val="39226F5F"/>
    <w:rsid w:val="39902098"/>
    <w:rsid w:val="3A3A0F35"/>
    <w:rsid w:val="3A4E1148"/>
    <w:rsid w:val="3AF15A98"/>
    <w:rsid w:val="3C8D2F9D"/>
    <w:rsid w:val="3CE0510E"/>
    <w:rsid w:val="3D0E3B71"/>
    <w:rsid w:val="3D1927CA"/>
    <w:rsid w:val="3D1E4B3E"/>
    <w:rsid w:val="3D8344ED"/>
    <w:rsid w:val="3E03620E"/>
    <w:rsid w:val="3E343C22"/>
    <w:rsid w:val="3F512FA9"/>
    <w:rsid w:val="3FAC4683"/>
    <w:rsid w:val="3FEA5DFB"/>
    <w:rsid w:val="401C35B7"/>
    <w:rsid w:val="4119235A"/>
    <w:rsid w:val="41677310"/>
    <w:rsid w:val="422C2C46"/>
    <w:rsid w:val="4251506E"/>
    <w:rsid w:val="42B75819"/>
    <w:rsid w:val="43684120"/>
    <w:rsid w:val="444F07DA"/>
    <w:rsid w:val="44601E28"/>
    <w:rsid w:val="465F3E3E"/>
    <w:rsid w:val="475E72DC"/>
    <w:rsid w:val="47F514AF"/>
    <w:rsid w:val="4839282C"/>
    <w:rsid w:val="48FD75BD"/>
    <w:rsid w:val="4A745623"/>
    <w:rsid w:val="4B187071"/>
    <w:rsid w:val="4C7555EC"/>
    <w:rsid w:val="4D135D42"/>
    <w:rsid w:val="4D846266"/>
    <w:rsid w:val="4D8D78A2"/>
    <w:rsid w:val="4DF123A8"/>
    <w:rsid w:val="4E832A53"/>
    <w:rsid w:val="4EBC1A30"/>
    <w:rsid w:val="4F6F7A34"/>
    <w:rsid w:val="4FBC392B"/>
    <w:rsid w:val="4FD74194"/>
    <w:rsid w:val="4FDA49F5"/>
    <w:rsid w:val="50AE413E"/>
    <w:rsid w:val="51E1640E"/>
    <w:rsid w:val="51EE42CA"/>
    <w:rsid w:val="52302EF2"/>
    <w:rsid w:val="52ED6284"/>
    <w:rsid w:val="5322283B"/>
    <w:rsid w:val="532B0C13"/>
    <w:rsid w:val="53BA6F17"/>
    <w:rsid w:val="53BE2B80"/>
    <w:rsid w:val="541505F1"/>
    <w:rsid w:val="54992FD0"/>
    <w:rsid w:val="55872E29"/>
    <w:rsid w:val="56D0674C"/>
    <w:rsid w:val="57D23F06"/>
    <w:rsid w:val="58BA52C3"/>
    <w:rsid w:val="58BC5D23"/>
    <w:rsid w:val="59E11CD3"/>
    <w:rsid w:val="5A857BDE"/>
    <w:rsid w:val="5B2A4567"/>
    <w:rsid w:val="5BE202EA"/>
    <w:rsid w:val="5BFE5E0F"/>
    <w:rsid w:val="5CFA7F1D"/>
    <w:rsid w:val="5E2506F8"/>
    <w:rsid w:val="5E5E7F75"/>
    <w:rsid w:val="5EA316D6"/>
    <w:rsid w:val="5ECE1AC8"/>
    <w:rsid w:val="5F3A07D2"/>
    <w:rsid w:val="5F593A88"/>
    <w:rsid w:val="5FF901AE"/>
    <w:rsid w:val="60651EAC"/>
    <w:rsid w:val="607C4DAE"/>
    <w:rsid w:val="60BB3927"/>
    <w:rsid w:val="62A42EE2"/>
    <w:rsid w:val="62F14F12"/>
    <w:rsid w:val="630D013F"/>
    <w:rsid w:val="63347FC4"/>
    <w:rsid w:val="63604CB9"/>
    <w:rsid w:val="64A36D0B"/>
    <w:rsid w:val="64C656C1"/>
    <w:rsid w:val="64F77166"/>
    <w:rsid w:val="657F4183"/>
    <w:rsid w:val="658466A7"/>
    <w:rsid w:val="6596487B"/>
    <w:rsid w:val="65DF63C9"/>
    <w:rsid w:val="662A7F2C"/>
    <w:rsid w:val="66D65FFA"/>
    <w:rsid w:val="67EB36EB"/>
    <w:rsid w:val="68DA2DB6"/>
    <w:rsid w:val="69725134"/>
    <w:rsid w:val="6B4666B6"/>
    <w:rsid w:val="6CC85DA9"/>
    <w:rsid w:val="6D2A5F93"/>
    <w:rsid w:val="6D8F2D6B"/>
    <w:rsid w:val="6DB91990"/>
    <w:rsid w:val="6DC31436"/>
    <w:rsid w:val="6E6F4E2B"/>
    <w:rsid w:val="6ECB49CF"/>
    <w:rsid w:val="6ECB5A2B"/>
    <w:rsid w:val="6F806E0F"/>
    <w:rsid w:val="70202A42"/>
    <w:rsid w:val="70ED3F4C"/>
    <w:rsid w:val="71770A1B"/>
    <w:rsid w:val="72227D09"/>
    <w:rsid w:val="72E476B5"/>
    <w:rsid w:val="72F22338"/>
    <w:rsid w:val="73BE3A62"/>
    <w:rsid w:val="746C7E4B"/>
    <w:rsid w:val="750E6C6B"/>
    <w:rsid w:val="755E374E"/>
    <w:rsid w:val="75B310E7"/>
    <w:rsid w:val="75B318F4"/>
    <w:rsid w:val="76377F56"/>
    <w:rsid w:val="764B35A7"/>
    <w:rsid w:val="769E6A57"/>
    <w:rsid w:val="77B238DE"/>
    <w:rsid w:val="78A4106B"/>
    <w:rsid w:val="79975481"/>
    <w:rsid w:val="79F60BE5"/>
    <w:rsid w:val="7A0762BD"/>
    <w:rsid w:val="7A1B4027"/>
    <w:rsid w:val="7A965738"/>
    <w:rsid w:val="7ABC1C9C"/>
    <w:rsid w:val="7B022DCE"/>
    <w:rsid w:val="7B272834"/>
    <w:rsid w:val="7B8F71DF"/>
    <w:rsid w:val="7C1568F9"/>
    <w:rsid w:val="7CB2612E"/>
    <w:rsid w:val="7CC25607"/>
    <w:rsid w:val="7DE859ED"/>
    <w:rsid w:val="7E4C610E"/>
    <w:rsid w:val="7F09108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name="Salutation"/>
    <w:lsdException w:qFormat="1"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Arial Unicode MS"/>
      <w:kern w:val="2"/>
      <w:sz w:val="21"/>
      <w:szCs w:val="24"/>
      <w:lang w:val="en-US" w:eastAsia="zh-CN" w:bidi="bo-CN"/>
    </w:rPr>
  </w:style>
  <w:style w:type="paragraph" w:styleId="3">
    <w:name w:val="heading 1"/>
    <w:basedOn w:val="1"/>
    <w:next w:val="1"/>
    <w:link w:val="43"/>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9"/>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44"/>
    <w:autoRedefine/>
    <w:unhideWhenUsed/>
    <w:qFormat/>
    <w:uiPriority w:val="9"/>
    <w:pPr>
      <w:keepNext/>
      <w:keepLines/>
      <w:spacing w:before="260" w:after="260" w:line="416" w:lineRule="auto"/>
      <w:outlineLvl w:val="2"/>
    </w:pPr>
    <w:rPr>
      <w:b/>
      <w:bCs/>
      <w:sz w:val="32"/>
      <w:szCs w:val="32"/>
    </w:rPr>
  </w:style>
  <w:style w:type="character" w:default="1" w:styleId="24">
    <w:name w:val="Default Paragraph Font"/>
    <w:autoRedefine/>
    <w:semiHidden/>
    <w:unhideWhenUsed/>
    <w:qFormat/>
    <w:uiPriority w:val="1"/>
  </w:style>
  <w:style w:type="table" w:default="1" w:styleId="23">
    <w:name w:val="Normal Table"/>
    <w:autoRedefin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Normal Indent"/>
    <w:basedOn w:val="1"/>
    <w:autoRedefine/>
    <w:unhideWhenUsed/>
    <w:qFormat/>
    <w:uiPriority w:val="99"/>
    <w:pPr>
      <w:ind w:firstLine="680"/>
    </w:pPr>
  </w:style>
  <w:style w:type="paragraph" w:styleId="7">
    <w:name w:val="annotation text"/>
    <w:basedOn w:val="1"/>
    <w:link w:val="46"/>
    <w:autoRedefine/>
    <w:semiHidden/>
    <w:unhideWhenUsed/>
    <w:qFormat/>
    <w:uiPriority w:val="99"/>
    <w:pPr>
      <w:jc w:val="left"/>
    </w:pPr>
  </w:style>
  <w:style w:type="paragraph" w:styleId="8">
    <w:name w:val="index 6"/>
    <w:basedOn w:val="1"/>
    <w:next w:val="1"/>
    <w:qFormat/>
    <w:uiPriority w:val="0"/>
    <w:pPr>
      <w:ind w:left="2100"/>
    </w:pPr>
  </w:style>
  <w:style w:type="paragraph" w:styleId="9">
    <w:name w:val="Salutation"/>
    <w:basedOn w:val="1"/>
    <w:next w:val="1"/>
    <w:autoRedefine/>
    <w:semiHidden/>
    <w:unhideWhenUsed/>
    <w:qFormat/>
    <w:uiPriority w:val="99"/>
  </w:style>
  <w:style w:type="paragraph" w:styleId="10">
    <w:name w:val="Body Text"/>
    <w:basedOn w:val="1"/>
    <w:next w:val="1"/>
    <w:link w:val="45"/>
    <w:autoRedefine/>
    <w:qFormat/>
    <w:uiPriority w:val="0"/>
  </w:style>
  <w:style w:type="paragraph" w:styleId="11">
    <w:name w:val="Body Text Indent"/>
    <w:basedOn w:val="1"/>
    <w:next w:val="12"/>
    <w:autoRedefine/>
    <w:qFormat/>
    <w:uiPriority w:val="0"/>
    <w:pPr>
      <w:tabs>
        <w:tab w:val="left" w:pos="960"/>
      </w:tabs>
      <w:spacing w:line="540" w:lineRule="exact"/>
      <w:ind w:firstLine="5440" w:firstLineChars="1700"/>
    </w:pPr>
    <w:rPr>
      <w:sz w:val="32"/>
      <w:szCs w:val="32"/>
    </w:rPr>
  </w:style>
  <w:style w:type="paragraph" w:styleId="12">
    <w:name w:val="Normal (Web)"/>
    <w:basedOn w:val="1"/>
    <w:next w:val="8"/>
    <w:autoRedefine/>
    <w:qFormat/>
    <w:uiPriority w:val="0"/>
    <w:pPr>
      <w:spacing w:before="100" w:beforeAutospacing="1" w:after="100" w:afterAutospacing="1"/>
      <w:ind w:left="0" w:right="0"/>
      <w:jc w:val="left"/>
    </w:pPr>
    <w:rPr>
      <w:kern w:val="0"/>
      <w:sz w:val="24"/>
      <w:lang w:val="en-US" w:eastAsia="zh-CN" w:bidi="ar"/>
    </w:rPr>
  </w:style>
  <w:style w:type="paragraph" w:styleId="13">
    <w:name w:val="toc 3"/>
    <w:basedOn w:val="1"/>
    <w:next w:val="1"/>
    <w:autoRedefine/>
    <w:unhideWhenUsed/>
    <w:qFormat/>
    <w:uiPriority w:val="39"/>
    <w:pPr>
      <w:tabs>
        <w:tab w:val="right" w:leader="dot" w:pos="8296"/>
      </w:tabs>
      <w:ind w:left="840" w:leftChars="400"/>
    </w:pPr>
  </w:style>
  <w:style w:type="paragraph" w:styleId="14">
    <w:name w:val="Date"/>
    <w:basedOn w:val="1"/>
    <w:next w:val="1"/>
    <w:autoRedefine/>
    <w:semiHidden/>
    <w:unhideWhenUsed/>
    <w:qFormat/>
    <w:uiPriority w:val="99"/>
    <w:pPr>
      <w:ind w:left="100" w:leftChars="2500"/>
    </w:pPr>
  </w:style>
  <w:style w:type="paragraph" w:styleId="15">
    <w:name w:val="Balloon Text"/>
    <w:basedOn w:val="1"/>
    <w:link w:val="41"/>
    <w:autoRedefine/>
    <w:semiHidden/>
    <w:unhideWhenUsed/>
    <w:qFormat/>
    <w:uiPriority w:val="99"/>
    <w:rPr>
      <w:sz w:val="18"/>
      <w:szCs w:val="18"/>
    </w:rPr>
  </w:style>
  <w:style w:type="paragraph" w:styleId="16">
    <w:name w:val="footer"/>
    <w:basedOn w:val="1"/>
    <w:link w:val="34"/>
    <w:autoRedefine/>
    <w:unhideWhenUsed/>
    <w:qFormat/>
    <w:uiPriority w:val="99"/>
    <w:pPr>
      <w:tabs>
        <w:tab w:val="center" w:pos="4153"/>
        <w:tab w:val="right" w:pos="8306"/>
      </w:tabs>
      <w:snapToGrid w:val="0"/>
      <w:jc w:val="left"/>
    </w:pPr>
    <w:rPr>
      <w:sz w:val="18"/>
      <w:szCs w:val="26"/>
    </w:rPr>
  </w:style>
  <w:style w:type="paragraph" w:styleId="17">
    <w:name w:val="header"/>
    <w:basedOn w:val="1"/>
    <w:link w:val="32"/>
    <w:autoRedefine/>
    <w:unhideWhenUsed/>
    <w:qFormat/>
    <w:uiPriority w:val="99"/>
    <w:pPr>
      <w:pBdr>
        <w:bottom w:val="single" w:color="auto" w:sz="6" w:space="1"/>
      </w:pBdr>
      <w:tabs>
        <w:tab w:val="center" w:pos="4153"/>
        <w:tab w:val="right" w:pos="8306"/>
      </w:tabs>
      <w:snapToGrid w:val="0"/>
      <w:jc w:val="center"/>
    </w:pPr>
    <w:rPr>
      <w:sz w:val="18"/>
      <w:szCs w:val="26"/>
    </w:rPr>
  </w:style>
  <w:style w:type="paragraph" w:styleId="18">
    <w:name w:val="toc 1"/>
    <w:basedOn w:val="1"/>
    <w:next w:val="1"/>
    <w:autoRedefine/>
    <w:unhideWhenUsed/>
    <w:qFormat/>
    <w:uiPriority w:val="39"/>
    <w:pPr>
      <w:tabs>
        <w:tab w:val="right" w:leader="dot" w:pos="8296"/>
      </w:tabs>
      <w:spacing w:before="93"/>
      <w:jc w:val="center"/>
    </w:pPr>
    <w:rPr>
      <w:rFonts w:ascii="仿宋" w:hAnsi="仿宋" w:eastAsia="仿宋"/>
      <w:sz w:val="28"/>
      <w:szCs w:val="28"/>
    </w:rPr>
  </w:style>
  <w:style w:type="paragraph" w:styleId="19">
    <w:name w:val="table of figures"/>
    <w:basedOn w:val="1"/>
    <w:next w:val="1"/>
    <w:autoRedefine/>
    <w:qFormat/>
    <w:uiPriority w:val="0"/>
    <w:pPr>
      <w:ind w:left="200" w:leftChars="200" w:hanging="200" w:hangingChars="200"/>
    </w:pPr>
  </w:style>
  <w:style w:type="paragraph" w:styleId="20">
    <w:name w:val="toc 2"/>
    <w:basedOn w:val="1"/>
    <w:next w:val="1"/>
    <w:autoRedefine/>
    <w:unhideWhenUsed/>
    <w:qFormat/>
    <w:uiPriority w:val="39"/>
    <w:pPr>
      <w:tabs>
        <w:tab w:val="right" w:leader="dot" w:pos="8296"/>
      </w:tabs>
      <w:ind w:left="420" w:leftChars="200"/>
    </w:pPr>
  </w:style>
  <w:style w:type="paragraph" w:styleId="21">
    <w:name w:val="Body Text First Indent"/>
    <w:basedOn w:val="10"/>
    <w:qFormat/>
    <w:uiPriority w:val="0"/>
    <w:pPr>
      <w:ind w:firstLine="100" w:firstLineChars="100"/>
    </w:pPr>
    <w:rPr>
      <w:rFonts w:ascii="Calibri" w:hAnsi="Calibri" w:eastAsia="宋体"/>
    </w:rPr>
  </w:style>
  <w:style w:type="paragraph" w:styleId="22">
    <w:name w:val="Body Text First Indent 2"/>
    <w:basedOn w:val="11"/>
    <w:next w:val="1"/>
    <w:autoRedefine/>
    <w:qFormat/>
    <w:uiPriority w:val="0"/>
    <w:pPr>
      <w:ind w:firstLine="420" w:firstLineChars="200"/>
    </w:pPr>
  </w:style>
  <w:style w:type="character" w:styleId="25">
    <w:name w:val="Strong"/>
    <w:basedOn w:val="24"/>
    <w:autoRedefine/>
    <w:qFormat/>
    <w:uiPriority w:val="99"/>
    <w:rPr>
      <w:b/>
    </w:rPr>
  </w:style>
  <w:style w:type="character" w:styleId="26">
    <w:name w:val="page number"/>
    <w:basedOn w:val="24"/>
    <w:autoRedefine/>
    <w:qFormat/>
    <w:uiPriority w:val="0"/>
  </w:style>
  <w:style w:type="character" w:styleId="27">
    <w:name w:val="Hyperlink"/>
    <w:basedOn w:val="24"/>
    <w:autoRedefine/>
    <w:unhideWhenUsed/>
    <w:qFormat/>
    <w:uiPriority w:val="99"/>
    <w:rPr>
      <w:color w:val="0000FF" w:themeColor="hyperlink"/>
      <w:u w:val="single"/>
      <w14:textFill>
        <w14:solidFill>
          <w14:schemeClr w14:val="hlink"/>
        </w14:solidFill>
      </w14:textFill>
    </w:rPr>
  </w:style>
  <w:style w:type="character" w:styleId="28">
    <w:name w:val="annotation reference"/>
    <w:basedOn w:val="24"/>
    <w:autoRedefine/>
    <w:semiHidden/>
    <w:unhideWhenUsed/>
    <w:qFormat/>
    <w:uiPriority w:val="99"/>
    <w:rPr>
      <w:sz w:val="21"/>
      <w:szCs w:val="21"/>
    </w:rPr>
  </w:style>
  <w:style w:type="paragraph" w:customStyle="1" w:styleId="29">
    <w:name w:val="Body Text Indent 2_2f75ddf9-7586-465d-b894-cacca03ef0a7"/>
    <w:basedOn w:val="1"/>
    <w:qFormat/>
    <w:uiPriority w:val="0"/>
    <w:pPr>
      <w:spacing w:line="19997" w:lineRule="auto"/>
      <w:ind w:left="420" w:leftChars="200"/>
    </w:pPr>
  </w:style>
  <w:style w:type="paragraph" w:customStyle="1" w:styleId="30">
    <w:name w:val="Default"/>
    <w:autoRedefine/>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31">
    <w:name w:val="Header Char"/>
    <w:basedOn w:val="24"/>
    <w:autoRedefine/>
    <w:semiHidden/>
    <w:qFormat/>
    <w:uiPriority w:val="99"/>
    <w:rPr>
      <w:rFonts w:ascii="Times New Roman" w:hAnsi="Times New Roman"/>
      <w:sz w:val="18"/>
      <w:szCs w:val="18"/>
    </w:rPr>
  </w:style>
  <w:style w:type="character" w:customStyle="1" w:styleId="32">
    <w:name w:val="页眉 字符"/>
    <w:link w:val="17"/>
    <w:autoRedefine/>
    <w:semiHidden/>
    <w:qFormat/>
    <w:locked/>
    <w:uiPriority w:val="99"/>
    <w:rPr>
      <w:sz w:val="18"/>
    </w:rPr>
  </w:style>
  <w:style w:type="character" w:customStyle="1" w:styleId="33">
    <w:name w:val="Footer Char"/>
    <w:basedOn w:val="24"/>
    <w:autoRedefine/>
    <w:semiHidden/>
    <w:qFormat/>
    <w:uiPriority w:val="99"/>
    <w:rPr>
      <w:rFonts w:ascii="Times New Roman" w:hAnsi="Times New Roman"/>
      <w:sz w:val="18"/>
      <w:szCs w:val="18"/>
    </w:rPr>
  </w:style>
  <w:style w:type="character" w:customStyle="1" w:styleId="34">
    <w:name w:val="页脚 字符"/>
    <w:link w:val="16"/>
    <w:autoRedefine/>
    <w:qFormat/>
    <w:locked/>
    <w:uiPriority w:val="99"/>
    <w:rPr>
      <w:sz w:val="18"/>
    </w:rPr>
  </w:style>
  <w:style w:type="character" w:customStyle="1" w:styleId="35">
    <w:name w:val="Body Text Char"/>
    <w:basedOn w:val="24"/>
    <w:autoRedefine/>
    <w:semiHidden/>
    <w:qFormat/>
    <w:uiPriority w:val="99"/>
    <w:rPr>
      <w:rFonts w:ascii="Times New Roman" w:hAnsi="Times New Roman"/>
      <w:szCs w:val="24"/>
    </w:rPr>
  </w:style>
  <w:style w:type="character" w:customStyle="1" w:styleId="36">
    <w:name w:val="正文文本 字符"/>
    <w:link w:val="10"/>
    <w:autoRedefine/>
    <w:qFormat/>
    <w:locked/>
    <w:uiPriority w:val="99"/>
    <w:rPr>
      <w:rFonts w:ascii="仿宋_GB2312" w:hAnsi="Times New Roman" w:eastAsia="仿宋_GB2312"/>
      <w:sz w:val="24"/>
    </w:rPr>
  </w:style>
  <w:style w:type="paragraph" w:styleId="37">
    <w:name w:val="List Paragraph"/>
    <w:basedOn w:val="1"/>
    <w:autoRedefine/>
    <w:qFormat/>
    <w:uiPriority w:val="34"/>
    <w:pPr>
      <w:ind w:firstLine="420" w:firstLineChars="200"/>
    </w:pPr>
  </w:style>
  <w:style w:type="character" w:customStyle="1" w:styleId="38">
    <w:name w:val="标题 1 字符"/>
    <w:basedOn w:val="24"/>
    <w:link w:val="3"/>
    <w:autoRedefine/>
    <w:qFormat/>
    <w:uiPriority w:val="9"/>
    <w:rPr>
      <w:rFonts w:ascii="Times New Roman" w:hAnsi="Times New Roman"/>
      <w:b/>
      <w:bCs/>
      <w:kern w:val="44"/>
      <w:sz w:val="44"/>
      <w:szCs w:val="44"/>
    </w:rPr>
  </w:style>
  <w:style w:type="character" w:customStyle="1" w:styleId="39">
    <w:name w:val="标题 2 字符"/>
    <w:basedOn w:val="24"/>
    <w:link w:val="4"/>
    <w:autoRedefine/>
    <w:qFormat/>
    <w:uiPriority w:val="9"/>
    <w:rPr>
      <w:rFonts w:asciiTheme="majorHAnsi" w:hAnsiTheme="majorHAnsi" w:eastAsiaTheme="majorEastAsia" w:cstheme="majorBidi"/>
      <w:b/>
      <w:bCs/>
      <w:kern w:val="2"/>
      <w:sz w:val="32"/>
      <w:szCs w:val="32"/>
    </w:rPr>
  </w:style>
  <w:style w:type="paragraph" w:customStyle="1" w:styleId="40">
    <w:name w:val="TOC 标题1"/>
    <w:basedOn w:val="3"/>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1">
    <w:name w:val="批注框文本 字符"/>
    <w:basedOn w:val="24"/>
    <w:link w:val="15"/>
    <w:autoRedefine/>
    <w:semiHidden/>
    <w:qFormat/>
    <w:uiPriority w:val="99"/>
    <w:rPr>
      <w:rFonts w:ascii="Times New Roman" w:hAnsi="Times New Roman"/>
      <w:kern w:val="2"/>
      <w:sz w:val="18"/>
      <w:szCs w:val="18"/>
    </w:rPr>
  </w:style>
  <w:style w:type="character" w:customStyle="1" w:styleId="42">
    <w:name w:val="标题 3 字符"/>
    <w:basedOn w:val="24"/>
    <w:link w:val="5"/>
    <w:autoRedefine/>
    <w:qFormat/>
    <w:uiPriority w:val="9"/>
    <w:rPr>
      <w:rFonts w:ascii="Times New Roman" w:hAnsi="Times New Roman"/>
      <w:b/>
      <w:bCs/>
      <w:kern w:val="2"/>
      <w:sz w:val="32"/>
      <w:szCs w:val="32"/>
    </w:rPr>
  </w:style>
  <w:style w:type="character" w:customStyle="1" w:styleId="43">
    <w:name w:val="称呼 Char"/>
    <w:basedOn w:val="24"/>
    <w:link w:val="3"/>
    <w:autoRedefine/>
    <w:semiHidden/>
    <w:qFormat/>
    <w:uiPriority w:val="99"/>
    <w:rPr>
      <w:rFonts w:ascii="Calibri" w:hAnsi="Calibri" w:eastAsia="宋体" w:cs="Arial Unicode MS"/>
      <w:szCs w:val="24"/>
      <w:lang w:bidi="bo-CN"/>
    </w:rPr>
  </w:style>
  <w:style w:type="character" w:customStyle="1" w:styleId="44">
    <w:name w:val="日期 Char"/>
    <w:basedOn w:val="24"/>
    <w:link w:val="5"/>
    <w:autoRedefine/>
    <w:semiHidden/>
    <w:qFormat/>
    <w:uiPriority w:val="99"/>
    <w:rPr>
      <w:rFonts w:ascii="Calibri" w:hAnsi="Calibri" w:eastAsia="宋体" w:cs="Arial Unicode MS"/>
      <w:szCs w:val="24"/>
      <w:lang w:bidi="bo-CN"/>
    </w:rPr>
  </w:style>
  <w:style w:type="character" w:customStyle="1" w:styleId="45">
    <w:name w:val="页眉 Char"/>
    <w:basedOn w:val="24"/>
    <w:link w:val="10"/>
    <w:autoRedefine/>
    <w:qFormat/>
    <w:uiPriority w:val="99"/>
    <w:rPr>
      <w:rFonts w:ascii="Calibri" w:hAnsi="Calibri" w:eastAsia="宋体" w:cs="Arial Unicode MS"/>
      <w:sz w:val="18"/>
      <w:szCs w:val="26"/>
      <w:lang w:bidi="bo-CN"/>
    </w:rPr>
  </w:style>
  <w:style w:type="character" w:customStyle="1" w:styleId="46">
    <w:name w:val="页脚 Char"/>
    <w:basedOn w:val="24"/>
    <w:link w:val="7"/>
    <w:autoRedefine/>
    <w:qFormat/>
    <w:uiPriority w:val="99"/>
    <w:rPr>
      <w:rFonts w:ascii="Calibri" w:hAnsi="Calibri" w:eastAsia="宋体" w:cs="Arial Unicode MS"/>
      <w:sz w:val="18"/>
      <w:szCs w:val="26"/>
      <w:lang w:bidi="bo-CN"/>
    </w:rPr>
  </w:style>
  <w:style w:type="paragraph" w:customStyle="1" w:styleId="47">
    <w:name w:val="p0"/>
    <w:basedOn w:val="1"/>
    <w:autoRedefine/>
    <w:qFormat/>
    <w:uiPriority w:val="0"/>
    <w:pPr>
      <w:widowControl/>
      <w:jc w:val="left"/>
    </w:pPr>
    <w:rPr>
      <w:rFonts w:ascii="Times New Roman" w:hAnsi="Times New Roman" w:eastAsia="宋体"/>
      <w:kern w:val="0"/>
      <w:sz w:val="21"/>
      <w:szCs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{"2023","2024"}</c:f>
              <c:numCache>
                <c:formatCode>General</c:formatCode>
                <c:ptCount val="2"/>
                <c:pt idx="0">
                  <c:v>2023</c:v>
                </c:pt>
                <c:pt idx="1">
                  <c:v>2024</c:v>
                </c:pt>
              </c:numCache>
            </c:numRef>
          </c:cat>
          <c:val>
            <c:numRef>
              <c:f>{809.25,683.69}</c:f>
              <c:numCache>
                <c:formatCode>General</c:formatCode>
                <c:ptCount val="2"/>
                <c:pt idx="0">
                  <c:v>809.25</c:v>
                </c:pt>
                <c:pt idx="1">
                  <c:v>683.69</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{"2023","2024"}</c:f>
              <c:numCache>
                <c:formatCode>General</c:formatCode>
                <c:ptCount val="2"/>
                <c:pt idx="0">
                  <c:v>2023</c:v>
                </c:pt>
                <c:pt idx="1">
                  <c:v>2024</c:v>
                </c:pt>
              </c:numCache>
            </c:numRef>
          </c:cat>
          <c:val>
            <c:numRef>
              <c:f>{809.25,683.69}</c:f>
              <c:numCache>
                <c:formatCode>General</c:formatCode>
                <c:ptCount val="2"/>
                <c:pt idx="0">
                  <c:v>809.25</c:v>
                </c:pt>
                <c:pt idx="1">
                  <c:v>683.69</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3f8846c-3a43-4853-b6cb-89ec2653b900}"/>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0"/>
    </c:title>
    <c:autoTitleDeleted val="0"/>
    <c:plotArea>
      <c:layout/>
      <c:pieChart>
        <c:varyColors val="1"/>
        <c:ser>
          <c:idx val="1"/>
          <c:order val="0"/>
          <c:explosion val="0"/>
          <c:dPt>
            <c:idx val="0"/>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c:f>
              <c:strCache>
                <c:ptCount val="1"/>
                <c:pt idx="0">
                  <c:v>一般公共预算财政拨款收入</c:v>
                </c:pt>
              </c:strCache>
            </c:strRef>
          </c:cat>
          <c:val>
            <c:numRef>
              <c:f>{950.6}</c:f>
              <c:numCache>
                <c:formatCode>General</c:formatCode>
                <c:ptCount val="1"/>
                <c:pt idx="0">
                  <c:v>950.6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03a81e3c-b368-4c02-9ede-3bf68f23344d}"/>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c:f>
              <c:strCache>
                <c:ptCount val="2"/>
                <c:pt idx="0">
                  <c:v>基本支出</c:v>
                </c:pt>
                <c:pt idx="1">
                  <c:v>项目支出</c:v>
                </c:pt>
              </c:strCache>
            </c:strRef>
          </c:cat>
          <c:val>
            <c:numRef>
              <c:f>{258.59,425.09}</c:f>
              <c:numCache>
                <c:formatCode>General</c:formatCode>
                <c:ptCount val="2"/>
                <c:pt idx="0">
                  <c:v>258.59</c:v>
                </c:pt>
                <c:pt idx="1">
                  <c:v>425.09</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0d8a02ee-ee16-449e-a792-68994d290951}"/>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0"/>
      <c:spPr>
        <a:noFill/>
        <a:ln>
          <a:noFill/>
        </a:ln>
        <a:effectLst/>
      </c:spPr>
    </c:title>
    <c:autoTitleDeleted val="0"/>
    <c:plotArea>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{"2023","2024"}</c:f>
              <c:numCache>
                <c:formatCode>General</c:formatCode>
                <c:ptCount val="2"/>
                <c:pt idx="0">
                  <c:v>2023</c:v>
                </c:pt>
                <c:pt idx="1">
                  <c:v>2024</c:v>
                </c:pt>
              </c:numCache>
            </c:numRef>
          </c:cat>
          <c:val>
            <c:numRef>
              <c:f>{809.25,683.69}</c:f>
              <c:numCache>
                <c:formatCode>General</c:formatCode>
                <c:ptCount val="2"/>
                <c:pt idx="0">
                  <c:v>809.25</c:v>
                </c:pt>
                <c:pt idx="1">
                  <c:v>683.69</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{"2023","2024"}</c:f>
              <c:numCache>
                <c:formatCode>General</c:formatCode>
                <c:ptCount val="2"/>
                <c:pt idx="0">
                  <c:v>2023</c:v>
                </c:pt>
                <c:pt idx="1">
                  <c:v>2024</c:v>
                </c:pt>
              </c:numCache>
            </c:numRef>
          </c:cat>
          <c:val>
            <c:numRef>
              <c:f>{809.25,683.69}</c:f>
              <c:numCache>
                <c:formatCode>General</c:formatCode>
                <c:ptCount val="2"/>
                <c:pt idx="0">
                  <c:v>809.25</c:v>
                </c:pt>
                <c:pt idx="1">
                  <c:v>683.69</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extLst>
      <c:ext uri="{0b15fc19-7d7d-44ad-8c2d-2c3a37ce22c3}">
        <chartProps xmlns="https://web.wps.cn/et/2018/main" chartId="{b26c03c3-b333-4e1a-afd5-0d4b8af22890}"/>
      </c:ext>
    </c:extLst>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"2023"</c:f>
              <c:strCache>
                <c:ptCount val="1"/>
                <c:pt idx="0">
                  <c:v>2023</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{809.25}</c:f>
              <c:numCache>
                <c:formatCode>General</c:formatCode>
                <c:ptCount val="1"/>
                <c:pt idx="0">
                  <c:v>809.25</c:v>
                </c:pt>
              </c:numCache>
            </c:numRef>
          </c:val>
        </c:ser>
        <c:ser>
          <c:idx val="2"/>
          <c:order val="1"/>
          <c:tx>
            <c:strRef>
              <c:f>"2024"</c:f>
              <c:strCache>
                <c:ptCount val="1"/>
                <c:pt idx="0">
                  <c:v>2024</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{683.69}</c:f>
              <c:numCache>
                <c:formatCode>General</c:formatCode>
                <c:ptCount val="1"/>
                <c:pt idx="0">
                  <c:v>683.69</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18be2a1-d4f2-4b64-933b-41bea2d67710}"/>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一般公共预算财政拨款支出决算结构图</a:t>
            </a:r>
          </a:p>
        </c:rich>
      </c:tx>
      <c:layout/>
      <c:overlay val="0"/>
      <c:spPr>
        <a:noFill/>
        <a:ln>
          <a:noFill/>
        </a:ln>
        <a:effectLst/>
      </c:spPr>
    </c:title>
    <c:autoTitleDeleted val="0"/>
    <c:plotArea>
      <c:layout/>
      <c:pieChart>
        <c:varyColors val="1"/>
        <c:ser>
          <c:idx val="0"/>
          <c:order val="0"/>
          <c:tx>
            <c:strRef>
              <c:f>Sheet1!$B$1</c:f>
              <c:strCache>
                <c:ptCount val="1"/>
                <c:pt idx="0">
                  <c:v>2024年</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1"/>
              <c:layout>
                <c:manualLayout>
                  <c:x val="0.0492481216135493"/>
                  <c:y val="0.025835899473686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192173988312722"/>
                  <c:y val="0.020528382374426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49333972689862"/>
                  <c:y val="0.024923364850175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Sheet1!$A$2:$A$6</c15:sqref>
                  </c15:fullRef>
                </c:ext>
              </c:extLst>
              <c:f>Sheet1!$A$2:$A$5</c:f>
              <c:strCache>
                <c:ptCount val="4"/>
                <c:pt idx="0">
                  <c:v>一般公共服务支出</c:v>
                </c:pt>
                <c:pt idx="1">
                  <c:v>社会保障和就业支出</c:v>
                </c:pt>
                <c:pt idx="2">
                  <c:v>卫生健康支出</c:v>
                </c:pt>
                <c:pt idx="3">
                  <c:v>住房保障支出</c:v>
                </c:pt>
              </c:strCache>
            </c:strRef>
          </c:cat>
          <c:val>
            <c:numRef>
              <c:extLst>
                <c:ext xmlns:c15="http://schemas.microsoft.com/office/drawing/2012/chart" uri="{02D57815-91ED-43cb-92C2-25804820EDAC}">
                  <c15:fullRef>
                    <c15:sqref>Sheet1!$B$2:$B$6</c15:sqref>
                  </c15:fullRef>
                </c:ext>
              </c:extLst>
              <c:f>Sheet1!$B$2:$B$5</c:f>
              <c:numCache>
                <c:formatCode>General</c:formatCode>
                <c:ptCount val="4"/>
                <c:pt idx="0">
                  <c:v>614.62</c:v>
                </c:pt>
                <c:pt idx="1">
                  <c:v>33.86</c:v>
                </c:pt>
                <c:pt idx="2">
                  <c:v>16.77</c:v>
                </c:pt>
                <c:pt idx="3">
                  <c:v>18.43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1145966709347"/>
          <c:y val="0.87012824013924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900077e-c8ef-4c6d-9060-02dd9df21f9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{0,7.11,180}</c:f>
              <c:numCache>
                <c:formatCode>General</c:formatCode>
                <c:ptCount val="3"/>
                <c:pt idx="0">
                  <c:v>0</c:v>
                </c:pt>
                <c:pt idx="1">
                  <c:v>7.11</c:v>
                </c:pt>
                <c:pt idx="2">
                  <c:v>180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2d551882-3347-4d03-b4dc-dde2130515b9}"/>
      </c:ext>
    </c:extLst>
  </c:chart>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29</Pages>
  <Words>8603</Words>
  <Characters>9561</Characters>
  <Lines>48</Lines>
  <Paragraphs>13</Paragraphs>
  <TotalTime>2</TotalTime>
  <ScaleCrop>false</ScaleCrop>
  <LinksUpToDate>false</LinksUpToDate>
  <CharactersWithSpaces>9725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2023-08-18T07:28:00Z</dcterms:created>
  <dc:creator>pjf</dc:creator>
  <cp:lastModifiedBy>2046.</cp:lastModifiedBy>
  <cp:lastPrinted>2021-09-26T08:39:00Z</cp:lastPrinted>
  <dcterms:modified xsi:type="dcterms:W3CDTF">2025-09-24T03:09:44Z</dcterms:modified>
  <dc:title>四川省决算编制说明</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B93CA6F4BEAD4F359769D1203595D585</vt:lpwstr>
  </property>
  <property fmtid="{D5CDD505-2E9C-101B-9397-08002B2CF9AE}" pid="4" name="KSOTemplateDocerSaveRecord">
    <vt:lpwstr>eyJoZGlkIjoiMDYxNTExODc5ZjI0OWY0NGM0MzhkMmU0NmVmNTRmODkiLCJ1c2VySWQiOiI0NzE1NTYwODYifQ==</vt:lpwstr>
  </property>
</Properties>
</file>