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FC4C05">
      <w:pPr>
        <w:spacing w:line="560" w:lineRule="exact"/>
        <w:rPr>
          <w:rFonts w:ascii="仿宋_GB2312" w:eastAsia="仿宋_GB2312"/>
          <w:sz w:val="32"/>
          <w:szCs w:val="32"/>
        </w:rPr>
      </w:pPr>
    </w:p>
    <w:p w14:paraId="2EAA6A3D">
      <w:pPr>
        <w:spacing w:line="560" w:lineRule="exact"/>
        <w:jc w:val="center"/>
        <w:rPr>
          <w:rFonts w:hint="eastAsia" w:ascii="方正小标宋简体" w:eastAsia="方正小标宋简体" w:cs="方正小标宋简体"/>
          <w:bCs/>
          <w:sz w:val="44"/>
          <w:szCs w:val="44"/>
          <w:lang w:val="en-US" w:eastAsia="zh-CN"/>
        </w:rPr>
      </w:pPr>
      <w:r>
        <w:rPr>
          <w:rFonts w:hint="eastAsia" w:ascii="方正小标宋简体" w:eastAsia="方正小标宋简体" w:cs="方正小标宋简体"/>
          <w:bCs/>
          <w:sz w:val="44"/>
          <w:szCs w:val="44"/>
        </w:rPr>
        <w:t>关于红原县</w:t>
      </w:r>
      <w:r>
        <w:rPr>
          <w:rFonts w:hint="eastAsia" w:ascii="方正小标宋简体" w:eastAsia="方正小标宋简体" w:cs="方正小标宋简体"/>
          <w:bCs/>
          <w:sz w:val="44"/>
          <w:szCs w:val="44"/>
          <w:lang w:val="en-US" w:eastAsia="zh-CN"/>
        </w:rPr>
        <w:t>公务服务中心</w:t>
      </w:r>
    </w:p>
    <w:p w14:paraId="43FB5266">
      <w:pPr>
        <w:spacing w:line="560" w:lineRule="exact"/>
        <w:jc w:val="center"/>
        <w:rPr>
          <w:rFonts w:ascii="方正小标宋简体" w:eastAsia="方正小标宋简体" w:cs="方正小标宋简体"/>
          <w:bCs/>
          <w:sz w:val="44"/>
          <w:szCs w:val="44"/>
        </w:rPr>
      </w:pPr>
      <w:r>
        <w:rPr>
          <w:rFonts w:hint="eastAsia" w:ascii="方正小标宋简体" w:eastAsia="方正小标宋简体" w:cs="方正小标宋简体"/>
          <w:bCs/>
          <w:sz w:val="44"/>
          <w:szCs w:val="44"/>
        </w:rPr>
        <w:t>202</w:t>
      </w:r>
      <w:r>
        <w:rPr>
          <w:rFonts w:hint="eastAsia" w:ascii="方正小标宋简体" w:eastAsia="方正小标宋简体" w:cs="方正小标宋简体"/>
          <w:bCs/>
          <w:sz w:val="44"/>
          <w:szCs w:val="44"/>
          <w:lang w:val="en-US" w:eastAsia="zh-CN"/>
        </w:rPr>
        <w:t>5</w:t>
      </w:r>
      <w:r>
        <w:rPr>
          <w:rFonts w:hint="eastAsia" w:ascii="方正小标宋简体" w:eastAsia="方正小标宋简体" w:cs="方正小标宋简体"/>
          <w:bCs/>
          <w:sz w:val="44"/>
          <w:szCs w:val="44"/>
        </w:rPr>
        <w:t>年部门预算编制的说明</w:t>
      </w:r>
    </w:p>
    <w:p w14:paraId="7DE3FD80">
      <w:pPr>
        <w:pStyle w:val="5"/>
        <w:adjustRightInd w:val="0"/>
        <w:snapToGrid w:val="0"/>
        <w:spacing w:beforeLines="0" w:line="560" w:lineRule="exact"/>
        <w:rPr>
          <w:rFonts w:ascii="宋体" w:eastAsia="宋体"/>
          <w:b/>
          <w:sz w:val="44"/>
          <w:szCs w:val="44"/>
        </w:rPr>
      </w:pPr>
      <w:r>
        <w:rPr>
          <w:rFonts w:hint="eastAsia" w:ascii="宋体" w:eastAsia="宋体"/>
          <w:b/>
          <w:sz w:val="44"/>
          <w:szCs w:val="44"/>
        </w:rPr>
        <w:t xml:space="preserve">    </w:t>
      </w:r>
    </w:p>
    <w:p w14:paraId="5204AB50">
      <w:pPr>
        <w:pStyle w:val="5"/>
        <w:adjustRightInd w:val="0"/>
        <w:snapToGrid w:val="0"/>
        <w:spacing w:before="93" w:line="560" w:lineRule="exact"/>
        <w:ind w:firstLine="640" w:firstLineChars="200"/>
        <w:rPr>
          <w:rFonts w:ascii="宋体" w:eastAsia="宋体"/>
          <w:b/>
          <w:sz w:val="44"/>
          <w:szCs w:val="44"/>
        </w:rPr>
      </w:pPr>
      <w:r>
        <w:rPr>
          <w:rFonts w:hint="eastAsia"/>
          <w:sz w:val="32"/>
          <w:szCs w:val="32"/>
        </w:rPr>
        <w:t>按照预算管理有关规定，目前部门预算的编制实行综合预算制度，即全部收入和支出都反映在预算中。</w:t>
      </w:r>
    </w:p>
    <w:p w14:paraId="51B6705B">
      <w:pPr>
        <w:spacing w:line="560" w:lineRule="exact"/>
        <w:ind w:firstLine="640" w:firstLineChars="200"/>
        <w:rPr>
          <w:rFonts w:ascii="黑体" w:eastAsia="黑体"/>
          <w:sz w:val="32"/>
          <w:szCs w:val="32"/>
        </w:rPr>
      </w:pPr>
      <w:r>
        <w:rPr>
          <w:rFonts w:hint="eastAsia" w:ascii="黑体" w:eastAsia="黑体"/>
          <w:sz w:val="32"/>
          <w:szCs w:val="32"/>
        </w:rPr>
        <w:t>一、基本职能及主要工作</w:t>
      </w:r>
    </w:p>
    <w:p w14:paraId="457BD48F">
      <w:pPr>
        <w:pStyle w:val="5"/>
        <w:adjustRightInd w:val="0"/>
        <w:snapToGrid w:val="0"/>
        <w:spacing w:before="93" w:line="560" w:lineRule="exact"/>
        <w:ind w:firstLine="671" w:firstLineChars="209"/>
        <w:rPr>
          <w:rFonts w:hint="eastAsia" w:ascii="楷体_GB2312" w:eastAsia="楷体_GB2312" w:cs="楷体_GB2312"/>
          <w:b/>
          <w:sz w:val="32"/>
          <w:szCs w:val="32"/>
        </w:rPr>
      </w:pPr>
      <w:r>
        <w:rPr>
          <w:rFonts w:hint="eastAsia" w:ascii="楷体_GB2312" w:eastAsia="楷体_GB2312" w:cs="楷体_GB2312"/>
          <w:b/>
          <w:sz w:val="32"/>
          <w:szCs w:val="32"/>
        </w:rPr>
        <w:t>（一）基本职能</w:t>
      </w:r>
    </w:p>
    <w:p w14:paraId="207BB495">
      <w:pPr>
        <w:keepNext w:val="0"/>
        <w:keepLines w:val="0"/>
        <w:pageBreakBefore w:val="0"/>
        <w:widowControl/>
        <w:suppressLineNumbers w:val="0"/>
        <w:kinsoku/>
        <w:wordWrap/>
        <w:overflowPunct/>
        <w:topLinePunct w:val="0"/>
        <w:autoSpaceDN/>
        <w:bidi w:val="0"/>
        <w:adjustRightInd/>
        <w:snapToGrid/>
        <w:spacing w:afterAutospacing="0" w:line="576" w:lineRule="exact"/>
        <w:ind w:firstLine="640" w:firstLineChars="200"/>
        <w:jc w:val="both"/>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w:t>
      </w:r>
      <w:r>
        <w:rPr>
          <w:rFonts w:hint="eastAsia" w:ascii="仿宋_GB2312" w:hAnsi="仿宋_GB2312" w:eastAsia="仿宋_GB2312" w:cs="仿宋_GB2312"/>
          <w:kern w:val="2"/>
          <w:sz w:val="32"/>
          <w:szCs w:val="32"/>
          <w:lang w:val="en-US" w:eastAsia="zh-CN"/>
        </w:rPr>
        <w:t>1</w:t>
      </w:r>
      <w:r>
        <w:rPr>
          <w:rFonts w:hint="eastAsia" w:ascii="仿宋_GB2312" w:hAnsi="仿宋_GB2312" w:eastAsia="仿宋_GB2312" w:cs="仿宋_GB2312"/>
          <w:kern w:val="2"/>
          <w:sz w:val="32"/>
          <w:szCs w:val="32"/>
        </w:rPr>
        <w:t>）负责党和国家领导人（含曾经担任）、省委、省人大、省政府、省政协副省级以上、州委、州人大、州政府、州政协副厅级领导（含曾经但任）来县的服务保障。</w:t>
      </w:r>
    </w:p>
    <w:p w14:paraId="3009D58E">
      <w:pPr>
        <w:keepNext w:val="0"/>
        <w:keepLines w:val="0"/>
        <w:pageBreakBefore w:val="0"/>
        <w:widowControl/>
        <w:suppressLineNumbers w:val="0"/>
        <w:kinsoku/>
        <w:wordWrap/>
        <w:overflowPunct/>
        <w:topLinePunct w:val="0"/>
        <w:autoSpaceDN/>
        <w:bidi w:val="0"/>
        <w:adjustRightInd/>
        <w:snapToGrid/>
        <w:spacing w:afterAutospacing="0" w:line="576" w:lineRule="exact"/>
        <w:ind w:firstLine="640" w:firstLineChars="200"/>
        <w:jc w:val="both"/>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w:t>
      </w:r>
      <w:r>
        <w:rPr>
          <w:rFonts w:hint="eastAsia" w:ascii="仿宋_GB2312" w:hAnsi="仿宋_GB2312" w:eastAsia="仿宋_GB2312" w:cs="仿宋_GB2312"/>
          <w:kern w:val="2"/>
          <w:sz w:val="32"/>
          <w:szCs w:val="32"/>
          <w:lang w:val="en-US" w:eastAsia="zh-CN"/>
        </w:rPr>
        <w:t>2</w:t>
      </w:r>
      <w:r>
        <w:rPr>
          <w:rFonts w:hint="eastAsia" w:ascii="仿宋_GB2312" w:hAnsi="仿宋_GB2312" w:eastAsia="仿宋_GB2312" w:cs="仿宋_GB2312"/>
          <w:kern w:val="2"/>
          <w:sz w:val="32"/>
          <w:szCs w:val="32"/>
        </w:rPr>
        <w:t>）按照有关规定负责和参与党中央、国务院、省委、省政府、州委、州政府巡视、检查、督查（督导、督察）、考察、调研、考核、审计等工作组来县的服务保障。</w:t>
      </w:r>
    </w:p>
    <w:p w14:paraId="34C363F8">
      <w:pPr>
        <w:keepNext w:val="0"/>
        <w:keepLines w:val="0"/>
        <w:pageBreakBefore w:val="0"/>
        <w:widowControl/>
        <w:suppressLineNumbers w:val="0"/>
        <w:kinsoku/>
        <w:wordWrap/>
        <w:overflowPunct/>
        <w:topLinePunct w:val="0"/>
        <w:autoSpaceDN/>
        <w:bidi w:val="0"/>
        <w:adjustRightInd/>
        <w:snapToGrid/>
        <w:spacing w:afterAutospacing="0" w:line="576" w:lineRule="exact"/>
        <w:ind w:firstLine="640" w:firstLineChars="200"/>
        <w:jc w:val="both"/>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w:t>
      </w:r>
      <w:r>
        <w:rPr>
          <w:rFonts w:hint="eastAsia" w:ascii="仿宋_GB2312" w:hAnsi="仿宋_GB2312" w:eastAsia="仿宋_GB2312" w:cs="仿宋_GB2312"/>
          <w:kern w:val="2"/>
          <w:sz w:val="32"/>
          <w:szCs w:val="32"/>
          <w:lang w:val="en-US" w:eastAsia="zh-CN"/>
        </w:rPr>
        <w:t>3</w:t>
      </w:r>
      <w:r>
        <w:rPr>
          <w:rFonts w:hint="eastAsia" w:ascii="仿宋_GB2312" w:hAnsi="仿宋_GB2312" w:eastAsia="仿宋_GB2312" w:cs="仿宋_GB2312"/>
          <w:kern w:val="2"/>
          <w:sz w:val="32"/>
          <w:szCs w:val="32"/>
        </w:rPr>
        <w:t>）负责外省（州、市、区、县）党委、政府正、副县级领导干部来县的服务保障；会同县级有关部门承担中央和国家机关各部委正、副部级领导干部、省委、省政府正、副省级、州委、州政府领导干部来县的服务保障；参与县人大常委会办公室、县政协办公室牵头对口接待正、副厅级领导干部来县的服务保障。</w:t>
      </w:r>
    </w:p>
    <w:p w14:paraId="08DED9A6">
      <w:pPr>
        <w:keepNext w:val="0"/>
        <w:keepLines w:val="0"/>
        <w:pageBreakBefore w:val="0"/>
        <w:widowControl/>
        <w:suppressLineNumbers w:val="0"/>
        <w:kinsoku/>
        <w:wordWrap/>
        <w:overflowPunct/>
        <w:topLinePunct w:val="0"/>
        <w:autoSpaceDN/>
        <w:bidi w:val="0"/>
        <w:adjustRightInd/>
        <w:snapToGrid/>
        <w:spacing w:afterAutospacing="0" w:line="576" w:lineRule="exact"/>
        <w:ind w:firstLine="640" w:firstLineChars="200"/>
        <w:jc w:val="both"/>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w:t>
      </w:r>
      <w:r>
        <w:rPr>
          <w:rFonts w:hint="eastAsia" w:ascii="仿宋_GB2312" w:hAnsi="仿宋_GB2312" w:eastAsia="仿宋_GB2312" w:cs="仿宋_GB2312"/>
          <w:kern w:val="2"/>
          <w:sz w:val="32"/>
          <w:szCs w:val="32"/>
          <w:lang w:val="en-US" w:eastAsia="zh-CN"/>
        </w:rPr>
        <w:t>4</w:t>
      </w:r>
      <w:r>
        <w:rPr>
          <w:rFonts w:hint="eastAsia" w:ascii="仿宋_GB2312" w:hAnsi="仿宋_GB2312" w:eastAsia="仿宋_GB2312" w:cs="仿宋_GB2312"/>
          <w:kern w:val="2"/>
          <w:sz w:val="32"/>
          <w:szCs w:val="32"/>
        </w:rPr>
        <w:t>）负责或参与外省（州、市、区、县）党政代表团来县考察的协调联络和服务保障。</w:t>
      </w:r>
    </w:p>
    <w:p w14:paraId="4E3631C4">
      <w:pPr>
        <w:keepNext w:val="0"/>
        <w:keepLines w:val="0"/>
        <w:pageBreakBefore w:val="0"/>
        <w:widowControl/>
        <w:suppressLineNumbers w:val="0"/>
        <w:kinsoku/>
        <w:wordWrap/>
        <w:overflowPunct/>
        <w:topLinePunct w:val="0"/>
        <w:autoSpaceDN/>
        <w:bidi w:val="0"/>
        <w:adjustRightInd/>
        <w:snapToGrid/>
        <w:spacing w:afterAutospacing="0" w:line="576" w:lineRule="exact"/>
        <w:ind w:firstLine="640" w:firstLineChars="200"/>
        <w:jc w:val="both"/>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w:t>
      </w:r>
      <w:r>
        <w:rPr>
          <w:rFonts w:hint="eastAsia" w:ascii="仿宋_GB2312" w:hAnsi="仿宋_GB2312" w:eastAsia="仿宋_GB2312" w:cs="仿宋_GB2312"/>
          <w:kern w:val="2"/>
          <w:sz w:val="32"/>
          <w:szCs w:val="32"/>
          <w:lang w:val="en-US" w:eastAsia="zh-CN"/>
        </w:rPr>
        <w:t>5</w:t>
      </w:r>
      <w:r>
        <w:rPr>
          <w:rFonts w:hint="eastAsia" w:ascii="仿宋_GB2312" w:hAnsi="仿宋_GB2312" w:eastAsia="仿宋_GB2312" w:cs="仿宋_GB2312"/>
          <w:kern w:val="2"/>
          <w:sz w:val="32"/>
          <w:szCs w:val="32"/>
        </w:rPr>
        <w:t>）负责我县党政代表团赴外省（州、市、区、县）考察的协调联络和服务保障。</w:t>
      </w:r>
    </w:p>
    <w:p w14:paraId="63612B9F">
      <w:pPr>
        <w:keepNext w:val="0"/>
        <w:keepLines w:val="0"/>
        <w:pageBreakBefore w:val="0"/>
        <w:widowControl/>
        <w:suppressLineNumbers w:val="0"/>
        <w:kinsoku/>
        <w:wordWrap/>
        <w:overflowPunct/>
        <w:topLinePunct w:val="0"/>
        <w:autoSpaceDN/>
        <w:bidi w:val="0"/>
        <w:adjustRightInd/>
        <w:snapToGrid/>
        <w:spacing w:afterAutospacing="0" w:line="576" w:lineRule="exact"/>
        <w:ind w:firstLine="640" w:firstLineChars="200"/>
        <w:jc w:val="both"/>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w:t>
      </w:r>
      <w:r>
        <w:rPr>
          <w:rFonts w:hint="eastAsia" w:ascii="仿宋_GB2312" w:hAnsi="仿宋_GB2312" w:eastAsia="仿宋_GB2312" w:cs="仿宋_GB2312"/>
          <w:kern w:val="2"/>
          <w:sz w:val="32"/>
          <w:szCs w:val="32"/>
          <w:lang w:val="en-US" w:eastAsia="zh-CN"/>
        </w:rPr>
        <w:t>6</w:t>
      </w:r>
      <w:r>
        <w:rPr>
          <w:rFonts w:hint="eastAsia" w:ascii="仿宋_GB2312" w:hAnsi="仿宋_GB2312" w:eastAsia="仿宋_GB2312" w:cs="仿宋_GB2312"/>
          <w:kern w:val="2"/>
          <w:sz w:val="32"/>
          <w:szCs w:val="32"/>
        </w:rPr>
        <w:t>）负责县委、县政府交办的由县公务服务中心承担的外事接待和招商引资事项的服务保障。</w:t>
      </w:r>
    </w:p>
    <w:p w14:paraId="1BFE8C9A">
      <w:pPr>
        <w:keepNext w:val="0"/>
        <w:keepLines w:val="0"/>
        <w:pageBreakBefore w:val="0"/>
        <w:widowControl/>
        <w:suppressLineNumbers w:val="0"/>
        <w:kinsoku/>
        <w:wordWrap/>
        <w:overflowPunct/>
        <w:topLinePunct w:val="0"/>
        <w:autoSpaceDN/>
        <w:bidi w:val="0"/>
        <w:adjustRightInd/>
        <w:snapToGrid/>
        <w:spacing w:afterAutospacing="0" w:line="576" w:lineRule="exact"/>
        <w:ind w:firstLine="640" w:firstLineChars="200"/>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w:t>
      </w:r>
      <w:r>
        <w:rPr>
          <w:rFonts w:hint="eastAsia" w:ascii="仿宋_GB2312" w:hAnsi="仿宋_GB2312" w:eastAsia="仿宋_GB2312" w:cs="仿宋_GB2312"/>
          <w:kern w:val="2"/>
          <w:sz w:val="32"/>
          <w:szCs w:val="32"/>
          <w:lang w:val="en-US" w:eastAsia="zh-CN"/>
        </w:rPr>
        <w:t>7</w:t>
      </w:r>
      <w:r>
        <w:rPr>
          <w:rFonts w:hint="eastAsia" w:ascii="仿宋_GB2312" w:hAnsi="仿宋_GB2312" w:eastAsia="仿宋_GB2312" w:cs="仿宋_GB2312"/>
          <w:kern w:val="2"/>
          <w:sz w:val="32"/>
          <w:szCs w:val="32"/>
        </w:rPr>
        <w:t>）按照中央八项规定和省委、省政府十项规定及其实施细则要求，负责联系协调县级有关部门及关联单位承办州委、州政府重大公务活动的服务工作。</w:t>
      </w:r>
    </w:p>
    <w:p w14:paraId="178AFDB8">
      <w:pPr>
        <w:keepNext w:val="0"/>
        <w:keepLines w:val="0"/>
        <w:pageBreakBefore w:val="0"/>
        <w:widowControl/>
        <w:suppressLineNumbers w:val="0"/>
        <w:kinsoku/>
        <w:wordWrap/>
        <w:overflowPunct/>
        <w:topLinePunct w:val="0"/>
        <w:autoSpaceDN/>
        <w:bidi w:val="0"/>
        <w:adjustRightInd/>
        <w:snapToGrid/>
        <w:spacing w:afterAutospacing="0" w:line="576" w:lineRule="exact"/>
        <w:ind w:firstLine="640" w:firstLineChars="200"/>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w:t>
      </w:r>
      <w:r>
        <w:rPr>
          <w:rFonts w:hint="eastAsia" w:ascii="仿宋_GB2312" w:hAnsi="仿宋_GB2312" w:eastAsia="仿宋_GB2312" w:cs="仿宋_GB2312"/>
          <w:kern w:val="2"/>
          <w:sz w:val="32"/>
          <w:szCs w:val="32"/>
          <w:lang w:val="en-US" w:eastAsia="zh-CN"/>
        </w:rPr>
        <w:t>8</w:t>
      </w:r>
      <w:r>
        <w:rPr>
          <w:rFonts w:hint="eastAsia" w:ascii="仿宋_GB2312" w:hAnsi="仿宋_GB2312" w:eastAsia="仿宋_GB2312" w:cs="仿宋_GB2312"/>
          <w:kern w:val="2"/>
          <w:sz w:val="32"/>
          <w:szCs w:val="32"/>
        </w:rPr>
        <w:t>）会同县级有关部门承担县委、县政府交办的大型会议、活动的接待服务保障工作。</w:t>
      </w:r>
    </w:p>
    <w:p w14:paraId="5DD38FA1">
      <w:pPr>
        <w:keepNext w:val="0"/>
        <w:keepLines w:val="0"/>
        <w:pageBreakBefore w:val="0"/>
        <w:widowControl/>
        <w:suppressLineNumbers w:val="0"/>
        <w:kinsoku/>
        <w:wordWrap/>
        <w:overflowPunct/>
        <w:topLinePunct w:val="0"/>
        <w:autoSpaceDN/>
        <w:bidi w:val="0"/>
        <w:adjustRightInd/>
        <w:snapToGrid/>
        <w:spacing w:afterAutospacing="0" w:line="576" w:lineRule="exact"/>
        <w:ind w:firstLine="640" w:firstLineChars="200"/>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w:t>
      </w:r>
      <w:r>
        <w:rPr>
          <w:rFonts w:hint="eastAsia" w:ascii="仿宋_GB2312" w:hAnsi="仿宋_GB2312" w:eastAsia="仿宋_GB2312" w:cs="仿宋_GB2312"/>
          <w:kern w:val="2"/>
          <w:sz w:val="32"/>
          <w:szCs w:val="32"/>
          <w:lang w:val="en-US" w:eastAsia="zh-CN"/>
        </w:rPr>
        <w:t>9</w:t>
      </w:r>
      <w:r>
        <w:rPr>
          <w:rFonts w:hint="eastAsia" w:ascii="仿宋_GB2312" w:hAnsi="仿宋_GB2312" w:eastAsia="仿宋_GB2312" w:cs="仿宋_GB2312"/>
          <w:kern w:val="2"/>
          <w:sz w:val="32"/>
          <w:szCs w:val="32"/>
        </w:rPr>
        <w:t>）指导县级部门的公务活动服务保障工作，参与拟订全县公务服务相关规定。</w:t>
      </w:r>
    </w:p>
    <w:p w14:paraId="21113145">
      <w:pPr>
        <w:keepNext w:val="0"/>
        <w:keepLines w:val="0"/>
        <w:pageBreakBefore w:val="0"/>
        <w:widowControl/>
        <w:suppressLineNumbers w:val="0"/>
        <w:kinsoku/>
        <w:wordWrap/>
        <w:overflowPunct/>
        <w:topLinePunct w:val="0"/>
        <w:autoSpaceDN/>
        <w:bidi w:val="0"/>
        <w:adjustRightInd/>
        <w:snapToGrid/>
        <w:spacing w:afterAutospacing="0" w:line="576" w:lineRule="exact"/>
        <w:ind w:firstLine="640" w:firstLineChars="200"/>
        <w:textAlignment w:val="auto"/>
        <w:rPr>
          <w:rFonts w:hint="eastAsia" w:ascii="仿宋_GB2312" w:hAnsi="仿宋_GB2312" w:eastAsia="仿宋_GB2312" w:cs="仿宋_GB2312"/>
          <w:spacing w:val="-11"/>
          <w:kern w:val="2"/>
          <w:sz w:val="32"/>
          <w:szCs w:val="32"/>
        </w:rPr>
      </w:pPr>
      <w:r>
        <w:rPr>
          <w:rFonts w:hint="eastAsia" w:ascii="仿宋_GB2312" w:hAnsi="仿宋_GB2312" w:eastAsia="仿宋_GB2312" w:cs="仿宋_GB2312"/>
          <w:kern w:val="2"/>
          <w:sz w:val="32"/>
          <w:szCs w:val="32"/>
        </w:rPr>
        <w:t>（</w:t>
      </w:r>
      <w:r>
        <w:rPr>
          <w:rFonts w:hint="eastAsia" w:ascii="仿宋_GB2312" w:hAnsi="仿宋_GB2312" w:eastAsia="仿宋_GB2312" w:cs="仿宋_GB2312"/>
          <w:kern w:val="2"/>
          <w:sz w:val="32"/>
          <w:szCs w:val="32"/>
          <w:lang w:val="en-US" w:eastAsia="zh-CN"/>
        </w:rPr>
        <w:t>10</w:t>
      </w:r>
      <w:r>
        <w:rPr>
          <w:rFonts w:hint="eastAsia" w:ascii="仿宋_GB2312" w:hAnsi="仿宋_GB2312" w:eastAsia="仿宋_GB2312" w:cs="仿宋_GB2312"/>
          <w:kern w:val="2"/>
          <w:sz w:val="32"/>
          <w:szCs w:val="32"/>
        </w:rPr>
        <w:t>）</w:t>
      </w:r>
      <w:r>
        <w:rPr>
          <w:rFonts w:hint="eastAsia" w:ascii="仿宋_GB2312" w:hAnsi="仿宋_GB2312" w:eastAsia="仿宋_GB2312" w:cs="仿宋_GB2312"/>
          <w:spacing w:val="-11"/>
          <w:kern w:val="2"/>
          <w:sz w:val="32"/>
          <w:szCs w:val="32"/>
        </w:rPr>
        <w:t xml:space="preserve">负责办理中办警卫局、省警卫局安排的有关在县事务。    </w:t>
      </w:r>
    </w:p>
    <w:p w14:paraId="16178CEC">
      <w:pPr>
        <w:keepNext w:val="0"/>
        <w:keepLines w:val="0"/>
        <w:pageBreakBefore w:val="0"/>
        <w:widowControl/>
        <w:suppressLineNumbers w:val="0"/>
        <w:kinsoku/>
        <w:wordWrap/>
        <w:overflowPunct/>
        <w:topLinePunct w:val="0"/>
        <w:autoSpaceDN/>
        <w:bidi w:val="0"/>
        <w:adjustRightInd/>
        <w:snapToGrid/>
        <w:spacing w:afterAutospacing="0" w:line="576" w:lineRule="exact"/>
        <w:ind w:firstLine="640" w:firstLineChars="200"/>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w:t>
      </w:r>
      <w:r>
        <w:rPr>
          <w:rFonts w:hint="eastAsia" w:ascii="仿宋_GB2312" w:hAnsi="仿宋_GB2312" w:eastAsia="仿宋_GB2312" w:cs="仿宋_GB2312"/>
          <w:kern w:val="2"/>
          <w:sz w:val="32"/>
          <w:szCs w:val="32"/>
          <w:lang w:val="en-US" w:eastAsia="zh-CN"/>
        </w:rPr>
        <w:t>11</w:t>
      </w:r>
      <w:r>
        <w:rPr>
          <w:rFonts w:hint="eastAsia" w:ascii="仿宋_GB2312" w:hAnsi="仿宋_GB2312" w:eastAsia="仿宋_GB2312" w:cs="仿宋_GB2312"/>
          <w:kern w:val="2"/>
          <w:sz w:val="32"/>
          <w:szCs w:val="32"/>
        </w:rPr>
        <w:t>）负责县级机关食堂管理工作。</w:t>
      </w:r>
    </w:p>
    <w:p w14:paraId="464908B2">
      <w:pPr>
        <w:pStyle w:val="5"/>
        <w:adjustRightInd w:val="0"/>
        <w:snapToGrid w:val="0"/>
        <w:spacing w:before="93" w:line="560" w:lineRule="exact"/>
        <w:ind w:firstLine="640" w:firstLineChars="200"/>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w:t>
      </w:r>
      <w:r>
        <w:rPr>
          <w:rFonts w:hint="eastAsia" w:ascii="仿宋_GB2312" w:hAnsi="仿宋_GB2312" w:eastAsia="仿宋_GB2312" w:cs="仿宋_GB2312"/>
          <w:kern w:val="2"/>
          <w:sz w:val="32"/>
          <w:szCs w:val="32"/>
          <w:lang w:val="en-US" w:eastAsia="zh-CN"/>
        </w:rPr>
        <w:t>12</w:t>
      </w:r>
      <w:r>
        <w:rPr>
          <w:rFonts w:hint="eastAsia" w:ascii="仿宋_GB2312" w:hAnsi="仿宋_GB2312" w:eastAsia="仿宋_GB2312" w:cs="仿宋_GB2312"/>
          <w:kern w:val="2"/>
          <w:sz w:val="32"/>
          <w:szCs w:val="32"/>
        </w:rPr>
        <w:t>）完成县委、县政府交办的其他任务。</w:t>
      </w:r>
    </w:p>
    <w:p w14:paraId="061999F7">
      <w:pPr>
        <w:pStyle w:val="5"/>
        <w:adjustRightInd w:val="0"/>
        <w:snapToGrid w:val="0"/>
        <w:spacing w:before="93" w:line="560" w:lineRule="exact"/>
        <w:rPr>
          <w:rFonts w:ascii="楷体_GB2312" w:eastAsia="楷体_GB2312" w:cs="楷体_GB2312"/>
          <w:b/>
          <w:sz w:val="32"/>
          <w:szCs w:val="32"/>
        </w:rPr>
      </w:pPr>
      <w:r>
        <w:rPr>
          <w:rFonts w:hint="eastAsia"/>
          <w:bCs/>
          <w:sz w:val="32"/>
          <w:szCs w:val="32"/>
        </w:rPr>
        <w:t xml:space="preserve">   </w:t>
      </w:r>
      <w:r>
        <w:rPr>
          <w:rFonts w:hint="eastAsia" w:ascii="楷体_GB2312" w:eastAsia="楷体_GB2312" w:cs="楷体_GB2312"/>
          <w:b/>
          <w:sz w:val="32"/>
          <w:szCs w:val="32"/>
        </w:rPr>
        <w:t>（二）202</w:t>
      </w:r>
      <w:r>
        <w:rPr>
          <w:rFonts w:hint="eastAsia" w:ascii="楷体_GB2312" w:eastAsia="楷体_GB2312" w:cs="楷体_GB2312"/>
          <w:b/>
          <w:sz w:val="32"/>
          <w:szCs w:val="32"/>
          <w:lang w:val="en-US" w:eastAsia="zh-CN"/>
        </w:rPr>
        <w:t>5</w:t>
      </w:r>
      <w:r>
        <w:rPr>
          <w:rFonts w:hint="eastAsia" w:ascii="楷体_GB2312" w:eastAsia="楷体_GB2312" w:cs="楷体_GB2312"/>
          <w:b/>
          <w:sz w:val="32"/>
          <w:szCs w:val="32"/>
        </w:rPr>
        <w:t>年重点工作任务</w:t>
      </w:r>
    </w:p>
    <w:p w14:paraId="60D750E6">
      <w:pPr>
        <w:keepNext w:val="0"/>
        <w:keepLines w:val="0"/>
        <w:pageBreakBefore w:val="0"/>
        <w:widowControl/>
        <w:suppressLineNumbers w:val="0"/>
        <w:kinsoku/>
        <w:wordWrap/>
        <w:overflowPunct/>
        <w:topLinePunct w:val="0"/>
        <w:autoSpaceDN/>
        <w:bidi w:val="0"/>
        <w:adjustRightInd/>
        <w:snapToGrid/>
        <w:spacing w:afterAutospacing="0" w:line="576" w:lineRule="exact"/>
        <w:ind w:firstLine="596" w:firstLineChars="200"/>
        <w:textAlignment w:val="auto"/>
        <w:rPr>
          <w:rFonts w:hint="eastAsia" w:ascii="仿宋_GB2312" w:hAnsi="仿宋_GB2312" w:eastAsia="仿宋_GB2312" w:cs="仿宋_GB2312"/>
          <w:spacing w:val="-11"/>
          <w:kern w:val="2"/>
          <w:sz w:val="32"/>
          <w:szCs w:val="32"/>
          <w:lang w:val="en-US" w:eastAsia="zh-CN"/>
        </w:rPr>
      </w:pPr>
      <w:r>
        <w:rPr>
          <w:rFonts w:hint="eastAsia" w:ascii="仿宋_GB2312" w:hAnsi="仿宋_GB2312" w:eastAsia="仿宋_GB2312" w:cs="仿宋_GB2312"/>
          <w:spacing w:val="-11"/>
          <w:kern w:val="2"/>
          <w:sz w:val="32"/>
          <w:szCs w:val="32"/>
          <w:lang w:val="en-US" w:eastAsia="zh-CN"/>
        </w:rPr>
        <w:t>2025年我中心将紧紧围绕县委、县政府中心工作，认真落实各项工作部署。加强精细化管理，在公务接待方面，严格遵循相关标准与流程，注重细节把控，从餐饮安排到住宿协调，都做到精心筹备、贴心服务，展现地方特色与人文关怀，确实提升接待品质与形象，中心将着力从以下几个方面下功夫;</w:t>
      </w:r>
    </w:p>
    <w:p w14:paraId="039A89A8">
      <w:pPr>
        <w:keepNext w:val="0"/>
        <w:keepLines w:val="0"/>
        <w:pageBreakBefore w:val="0"/>
        <w:widowControl/>
        <w:suppressLineNumbers w:val="0"/>
        <w:kinsoku/>
        <w:wordWrap/>
        <w:overflowPunct/>
        <w:topLinePunct w:val="0"/>
        <w:autoSpaceDN/>
        <w:bidi w:val="0"/>
        <w:adjustRightInd/>
        <w:snapToGrid/>
        <w:spacing w:afterAutospacing="0" w:line="576" w:lineRule="exact"/>
        <w:ind w:firstLine="643" w:firstLineChars="200"/>
        <w:textAlignment w:val="auto"/>
        <w:rPr>
          <w:rFonts w:hint="eastAsia" w:ascii="仿宋_GB2312" w:hAnsi="仿宋_GB2312" w:eastAsia="仿宋_GB2312" w:cs="仿宋_GB2312"/>
          <w:spacing w:val="-11"/>
          <w:kern w:val="2"/>
          <w:sz w:val="32"/>
          <w:szCs w:val="32"/>
          <w:lang w:eastAsia="zh-CN"/>
        </w:rPr>
      </w:pPr>
      <w:r>
        <w:rPr>
          <w:rFonts w:hint="eastAsia" w:ascii="楷体_GB2312" w:hAnsi="楷体_GB2312" w:eastAsia="楷体_GB2312" w:cs="楷体_GB2312"/>
          <w:b/>
          <w:bCs/>
          <w:color w:val="000000" w:themeColor="text1"/>
          <w:sz w:val="32"/>
          <w:szCs w:val="32"/>
          <w:lang w:val="en-US" w:eastAsia="zh-CN"/>
        </w:rPr>
        <w:t>(一）</w:t>
      </w:r>
      <w:r>
        <w:rPr>
          <w:rFonts w:hint="eastAsia" w:ascii="楷体_GB2312" w:hAnsi="楷体_GB2312" w:eastAsia="楷体_GB2312" w:cs="楷体_GB2312"/>
          <w:b/>
          <w:bCs/>
          <w:color w:val="000000" w:themeColor="text1"/>
          <w:sz w:val="32"/>
          <w:szCs w:val="32"/>
          <w:lang w:eastAsia="zh-CN"/>
        </w:rPr>
        <w:t>着力优化接待环境与设施改善硬件条件</w:t>
      </w:r>
      <w:r>
        <w:rPr>
          <w:rFonts w:hint="eastAsia" w:ascii="仿宋_GB2312" w:hAnsi="仿宋_GB2312" w:eastAsia="仿宋_GB2312" w:cs="仿宋_GB2312"/>
          <w:spacing w:val="-11"/>
          <w:kern w:val="2"/>
          <w:sz w:val="32"/>
          <w:szCs w:val="32"/>
          <w:lang w:eastAsia="zh-CN"/>
        </w:rPr>
        <w:t>。</w:t>
      </w:r>
      <w:r>
        <w:rPr>
          <w:rFonts w:hint="eastAsia" w:ascii="仿宋_GB2312" w:hAnsi="仿宋_GB2312" w:eastAsia="仿宋_GB2312" w:cs="仿宋_GB2312"/>
          <w:spacing w:val="-11"/>
          <w:kern w:val="2"/>
          <w:sz w:val="32"/>
          <w:szCs w:val="32"/>
        </w:rPr>
        <w:t>如确保接待场所的整洁、舒适，提供充足的座位、良好的照明和通风等。同时，配备先进的办公设备、展示设备等，以满足不同类型接待活动的需求。还可增设文化元素，如在接待区域展示当地特色文化、历史文物等，彰显地域文化魅力，为来访人员营造独特的文化氛围</w:t>
      </w:r>
      <w:r>
        <w:rPr>
          <w:rFonts w:hint="eastAsia" w:ascii="仿宋_GB2312" w:hAnsi="仿宋_GB2312" w:eastAsia="仿宋_GB2312" w:cs="仿宋_GB2312"/>
          <w:spacing w:val="-11"/>
          <w:kern w:val="2"/>
          <w:sz w:val="32"/>
          <w:szCs w:val="32"/>
          <w:lang w:eastAsia="zh-CN"/>
        </w:rPr>
        <w:t>。</w:t>
      </w:r>
    </w:p>
    <w:p w14:paraId="7B99802D">
      <w:pPr>
        <w:keepNext w:val="0"/>
        <w:keepLines w:val="0"/>
        <w:pageBreakBefore w:val="0"/>
        <w:widowControl/>
        <w:suppressLineNumbers w:val="0"/>
        <w:kinsoku/>
        <w:wordWrap/>
        <w:overflowPunct/>
        <w:topLinePunct w:val="0"/>
        <w:autoSpaceDN/>
        <w:bidi w:val="0"/>
        <w:adjustRightInd/>
        <w:snapToGrid/>
        <w:spacing w:afterAutospacing="0" w:line="576" w:lineRule="exact"/>
        <w:ind w:firstLine="643" w:firstLineChars="200"/>
        <w:textAlignment w:val="auto"/>
        <w:rPr>
          <w:rFonts w:hint="eastAsia" w:ascii="仿宋_GB2312" w:hAnsi="仿宋_GB2312" w:eastAsia="仿宋_GB2312" w:cs="仿宋_GB2312"/>
          <w:spacing w:val="-11"/>
          <w:kern w:val="2"/>
          <w:sz w:val="32"/>
          <w:szCs w:val="32"/>
          <w:lang w:eastAsia="zh-CN"/>
        </w:rPr>
      </w:pPr>
      <w:r>
        <w:rPr>
          <w:rFonts w:hint="eastAsia" w:ascii="楷体_GB2312" w:hAnsi="楷体_GB2312" w:eastAsia="楷体_GB2312" w:cs="楷体_GB2312"/>
          <w:b/>
          <w:bCs/>
          <w:color w:val="000000" w:themeColor="text1"/>
          <w:sz w:val="32"/>
          <w:szCs w:val="32"/>
          <w:lang w:val="en-US" w:eastAsia="zh-CN"/>
        </w:rPr>
        <w:t>（二）着力提升接待人员素质与能力</w:t>
      </w:r>
      <w:r>
        <w:rPr>
          <w:rFonts w:hint="eastAsia" w:ascii="仿宋_GB2312" w:hAnsi="仿宋_GB2312" w:eastAsia="仿宋_GB2312" w:cs="仿宋_GB2312"/>
          <w:spacing w:val="-11"/>
          <w:kern w:val="2"/>
          <w:sz w:val="32"/>
          <w:szCs w:val="32"/>
          <w:lang w:eastAsia="zh-CN"/>
        </w:rPr>
        <w:t>。</w:t>
      </w:r>
      <w:r>
        <w:rPr>
          <w:rFonts w:hint="eastAsia" w:ascii="仿宋_GB2312" w:hAnsi="仿宋_GB2312" w:eastAsia="仿宋_GB2312" w:cs="仿宋_GB2312"/>
          <w:spacing w:val="-11"/>
          <w:kern w:val="2"/>
          <w:sz w:val="32"/>
          <w:szCs w:val="32"/>
        </w:rPr>
        <w:t>加强专业培训，包括接待礼仪、沟通技巧、服务意识等方面的课程，使接待人员具备良好的职业素养和专业技能。培养应变能力，通过案例分析、模拟演练等方式，让接待人员学会应对各种突发情况，如行程变更、人员增减等，确保接待工作的顺利进行。还要强化团队协作，明确各岗位人员的职责，加强团队成员之间的沟通与配合，形成工作合力</w:t>
      </w:r>
      <w:r>
        <w:rPr>
          <w:rFonts w:hint="eastAsia" w:ascii="仿宋_GB2312" w:hAnsi="仿宋_GB2312" w:eastAsia="仿宋_GB2312" w:cs="仿宋_GB2312"/>
          <w:spacing w:val="-11"/>
          <w:kern w:val="2"/>
          <w:sz w:val="32"/>
          <w:szCs w:val="32"/>
          <w:lang w:eastAsia="zh-CN"/>
        </w:rPr>
        <w:t>。</w:t>
      </w:r>
    </w:p>
    <w:p w14:paraId="33554B58">
      <w:pPr>
        <w:keepNext w:val="0"/>
        <w:keepLines w:val="0"/>
        <w:pageBreakBefore w:val="0"/>
        <w:widowControl/>
        <w:suppressLineNumbers w:val="0"/>
        <w:kinsoku/>
        <w:wordWrap/>
        <w:overflowPunct/>
        <w:topLinePunct w:val="0"/>
        <w:autoSpaceDN/>
        <w:bidi w:val="0"/>
        <w:adjustRightInd/>
        <w:snapToGrid/>
        <w:spacing w:afterAutospacing="0" w:line="576" w:lineRule="exact"/>
        <w:ind w:firstLine="643" w:firstLineChars="200"/>
        <w:textAlignment w:val="auto"/>
        <w:rPr>
          <w:rFonts w:hint="eastAsia" w:ascii="仿宋_GB2312" w:hAnsi="仿宋_GB2312" w:eastAsia="仿宋_GB2312" w:cs="仿宋_GB2312"/>
          <w:spacing w:val="-11"/>
          <w:kern w:val="2"/>
          <w:sz w:val="32"/>
          <w:szCs w:val="32"/>
          <w:lang w:val="en-US" w:eastAsia="zh-CN"/>
        </w:rPr>
      </w:pPr>
      <w:r>
        <w:rPr>
          <w:rFonts w:hint="eastAsia" w:ascii="楷体_GB2312" w:hAnsi="楷体_GB2312" w:eastAsia="楷体_GB2312" w:cs="楷体_GB2312"/>
          <w:b/>
          <w:bCs/>
          <w:color w:val="000000" w:themeColor="text1"/>
          <w:sz w:val="32"/>
          <w:szCs w:val="32"/>
          <w:lang w:val="en-US" w:eastAsia="zh-CN"/>
        </w:rPr>
        <w:t>（三）着力完善接待流程与细节管理</w:t>
      </w:r>
      <w:r>
        <w:rPr>
          <w:rFonts w:hint="eastAsia" w:ascii="仿宋_GB2312" w:hAnsi="仿宋_GB2312" w:eastAsia="仿宋_GB2312" w:cs="仿宋_GB2312"/>
          <w:spacing w:val="-11"/>
          <w:kern w:val="2"/>
          <w:sz w:val="32"/>
          <w:szCs w:val="32"/>
          <w:lang w:eastAsia="zh-CN"/>
        </w:rPr>
        <w:t>。</w:t>
      </w:r>
      <w:r>
        <w:rPr>
          <w:rFonts w:hint="eastAsia" w:ascii="仿宋_GB2312" w:hAnsi="仿宋_GB2312" w:eastAsia="仿宋_GB2312" w:cs="仿宋_GB2312"/>
          <w:spacing w:val="-11"/>
          <w:kern w:val="2"/>
          <w:sz w:val="32"/>
          <w:szCs w:val="32"/>
        </w:rPr>
        <w:t>制定标准化流程，对接待工作的各个环节，如预约登记、迎送安排、活动组织等，制定详细、规范的操作流程，确保接待工作的一致性和稳定性。关注个性化需求，提前了解来访人员的特殊要求和偏好，如饮食禁忌、宗教信仰等，为其提供个性化的服务方案。注重反馈与改进，建立接待服务质量评估机制，收集来访人员的意见和建议，及时发现问题并加以改进，不断优化接待服务质量</w:t>
      </w:r>
      <w:r>
        <w:rPr>
          <w:rFonts w:hint="eastAsia" w:ascii="仿宋_GB2312" w:hAnsi="仿宋_GB2312" w:eastAsia="仿宋_GB2312" w:cs="仿宋_GB2312"/>
          <w:spacing w:val="-11"/>
          <w:kern w:val="2"/>
          <w:sz w:val="32"/>
          <w:szCs w:val="32"/>
          <w:lang w:eastAsia="zh-CN"/>
        </w:rPr>
        <w:t>。</w:t>
      </w:r>
    </w:p>
    <w:p w14:paraId="3AD56109">
      <w:pPr>
        <w:spacing w:line="560" w:lineRule="exact"/>
        <w:ind w:firstLine="640" w:firstLineChars="200"/>
        <w:rPr>
          <w:rFonts w:ascii="黑体" w:eastAsia="黑体"/>
          <w:sz w:val="32"/>
          <w:szCs w:val="32"/>
        </w:rPr>
      </w:pPr>
      <w:r>
        <w:rPr>
          <w:rFonts w:hint="eastAsia" w:ascii="黑体" w:eastAsia="黑体"/>
          <w:sz w:val="32"/>
          <w:szCs w:val="32"/>
        </w:rPr>
        <w:t>二、部门预算单位构成</w:t>
      </w:r>
    </w:p>
    <w:p w14:paraId="331FE3D3">
      <w:pPr>
        <w:pStyle w:val="5"/>
        <w:adjustRightInd w:val="0"/>
        <w:snapToGrid w:val="0"/>
        <w:spacing w:before="93" w:line="560" w:lineRule="exact"/>
        <w:ind w:firstLine="627" w:firstLineChars="209"/>
        <w:rPr>
          <w:sz w:val="32"/>
          <w:szCs w:val="32"/>
        </w:rPr>
      </w:pPr>
      <w:r>
        <w:rPr>
          <w:rFonts w:hint="eastAsia" w:ascii="仿宋" w:hAnsi="仿宋" w:eastAsia="仿宋" w:cs="仿宋"/>
          <w:b w:val="0"/>
          <w:bCs w:val="0"/>
          <w:sz w:val="30"/>
          <w:szCs w:val="30"/>
          <w:lang w:val="en-US" w:eastAsia="zh-CN"/>
        </w:rPr>
        <w:t>单位内部</w:t>
      </w:r>
      <w:r>
        <w:rPr>
          <w:rFonts w:hint="eastAsia" w:ascii="仿宋" w:hAnsi="仿宋" w:eastAsia="仿宋" w:cs="仿宋"/>
          <w:b w:val="0"/>
          <w:bCs w:val="0"/>
          <w:sz w:val="30"/>
          <w:szCs w:val="30"/>
        </w:rPr>
        <w:t>设办公室、</w:t>
      </w:r>
      <w:r>
        <w:rPr>
          <w:rFonts w:hint="eastAsia" w:ascii="仿宋" w:hAnsi="仿宋" w:eastAsia="仿宋" w:cs="仿宋"/>
          <w:b w:val="0"/>
          <w:bCs w:val="0"/>
          <w:sz w:val="30"/>
          <w:szCs w:val="30"/>
          <w:lang w:val="en-US" w:eastAsia="zh-CN"/>
        </w:rPr>
        <w:t>接待股、后勤资产管理股，</w:t>
      </w:r>
      <w:r>
        <w:rPr>
          <w:rFonts w:hint="eastAsia" w:ascii="仿宋" w:hAnsi="仿宋" w:eastAsia="仿宋" w:cs="仿宋"/>
          <w:b w:val="0"/>
          <w:bCs w:val="0"/>
          <w:sz w:val="30"/>
          <w:szCs w:val="30"/>
          <w:lang w:eastAsia="zh-CN"/>
        </w:rPr>
        <w:t>在职</w:t>
      </w:r>
      <w:r>
        <w:rPr>
          <w:rFonts w:hint="eastAsia" w:ascii="仿宋" w:hAnsi="仿宋" w:eastAsia="仿宋" w:cs="仿宋"/>
          <w:b w:val="0"/>
          <w:bCs w:val="0"/>
          <w:sz w:val="30"/>
          <w:szCs w:val="30"/>
          <w:lang w:val="en-US" w:eastAsia="zh-CN"/>
        </w:rPr>
        <w:t>8人。</w:t>
      </w:r>
      <w:r>
        <w:rPr>
          <w:rFonts w:hint="eastAsia" w:ascii="仿宋" w:hAnsi="仿宋" w:eastAsia="仿宋" w:cs="仿宋"/>
          <w:b w:val="0"/>
          <w:bCs w:val="0"/>
          <w:sz w:val="30"/>
          <w:szCs w:val="30"/>
          <w:shd w:val="clear" w:color="auto" w:fill="FFFFFF"/>
        </w:rPr>
        <w:t>阿坝州红原县公务服务中心</w:t>
      </w:r>
      <w:r>
        <w:rPr>
          <w:rFonts w:hint="eastAsia" w:ascii="仿宋" w:hAnsi="仿宋" w:eastAsia="仿宋" w:cs="仿宋"/>
          <w:b w:val="0"/>
          <w:bCs w:val="0"/>
          <w:sz w:val="30"/>
          <w:szCs w:val="30"/>
          <w:shd w:val="clear" w:color="auto" w:fill="FFFFFF"/>
          <w:lang w:val="en-US" w:eastAsia="zh-CN"/>
        </w:rPr>
        <w:t>无</w:t>
      </w:r>
      <w:r>
        <w:rPr>
          <w:rFonts w:hint="eastAsia" w:ascii="仿宋" w:hAnsi="仿宋" w:eastAsia="仿宋" w:cs="仿宋"/>
          <w:b w:val="0"/>
          <w:bCs w:val="0"/>
          <w:sz w:val="30"/>
          <w:szCs w:val="30"/>
          <w:shd w:val="clear" w:color="auto" w:fill="FFFFFF"/>
        </w:rPr>
        <w:t>下属二级单位</w:t>
      </w:r>
      <w:r>
        <w:rPr>
          <w:rFonts w:hint="eastAsia" w:ascii="仿宋" w:hAnsi="仿宋" w:eastAsia="仿宋" w:cs="仿宋"/>
          <w:b w:val="0"/>
          <w:bCs w:val="0"/>
          <w:sz w:val="30"/>
          <w:szCs w:val="30"/>
          <w:shd w:val="clear" w:color="auto" w:fill="FFFFFF"/>
          <w:lang w:eastAsia="zh-CN"/>
        </w:rPr>
        <w:t>。</w:t>
      </w:r>
    </w:p>
    <w:p w14:paraId="715DBC05">
      <w:pPr>
        <w:spacing w:line="560" w:lineRule="exact"/>
        <w:ind w:firstLine="640" w:firstLineChars="200"/>
        <w:rPr>
          <w:rFonts w:ascii="黑体" w:eastAsia="黑体"/>
          <w:sz w:val="32"/>
          <w:szCs w:val="32"/>
        </w:rPr>
      </w:pPr>
      <w:r>
        <w:rPr>
          <w:rFonts w:hint="eastAsia" w:ascii="黑体" w:eastAsia="黑体"/>
          <w:sz w:val="32"/>
          <w:szCs w:val="32"/>
        </w:rPr>
        <w:t>三、收支预算总体情况</w:t>
      </w:r>
    </w:p>
    <w:p w14:paraId="1150B96C">
      <w:pPr>
        <w:spacing w:line="560" w:lineRule="exact"/>
        <w:ind w:firstLine="640" w:firstLineChars="200"/>
        <w:rPr>
          <w:rFonts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5</w:t>
      </w:r>
      <w:r>
        <w:rPr>
          <w:rFonts w:hint="eastAsia" w:ascii="仿宋_GB2312" w:eastAsia="仿宋_GB2312"/>
          <w:sz w:val="32"/>
          <w:szCs w:val="32"/>
        </w:rPr>
        <w:t>年红原县</w:t>
      </w:r>
      <w:r>
        <w:rPr>
          <w:rFonts w:hint="eastAsia" w:ascii="仿宋_GB2312" w:eastAsia="仿宋_GB2312"/>
          <w:sz w:val="32"/>
          <w:szCs w:val="32"/>
          <w:lang w:val="en-US" w:eastAsia="zh-CN"/>
        </w:rPr>
        <w:t>公务服务中心</w:t>
      </w:r>
      <w:r>
        <w:rPr>
          <w:rFonts w:hint="eastAsia" w:ascii="仿宋_GB2312" w:eastAsia="仿宋_GB2312"/>
          <w:sz w:val="32"/>
          <w:szCs w:val="32"/>
        </w:rPr>
        <w:t>收入预算总额为</w:t>
      </w:r>
      <w:r>
        <w:rPr>
          <w:rFonts w:hint="eastAsia" w:ascii="仿宋_GB2312" w:eastAsia="仿宋_GB2312"/>
          <w:sz w:val="32"/>
          <w:szCs w:val="32"/>
          <w:lang w:val="en-US" w:eastAsia="zh-CN"/>
        </w:rPr>
        <w:t>499.79</w:t>
      </w:r>
      <w:r>
        <w:rPr>
          <w:rFonts w:hint="eastAsia" w:ascii="仿宋_GB2312" w:eastAsia="仿宋_GB2312"/>
          <w:sz w:val="32"/>
          <w:szCs w:val="32"/>
        </w:rPr>
        <w:t>万元，其中：当年财政拨款收入</w:t>
      </w:r>
      <w:r>
        <w:rPr>
          <w:rFonts w:hint="eastAsia" w:ascii="仿宋_GB2312" w:eastAsia="仿宋_GB2312"/>
          <w:sz w:val="32"/>
          <w:szCs w:val="32"/>
          <w:lang w:val="en-US" w:eastAsia="zh-CN"/>
        </w:rPr>
        <w:t>499.79</w:t>
      </w:r>
      <w:r>
        <w:rPr>
          <w:rFonts w:hint="eastAsia" w:ascii="仿宋_GB2312" w:eastAsia="仿宋_GB2312"/>
          <w:sz w:val="32"/>
          <w:szCs w:val="32"/>
        </w:rPr>
        <w:t>万元。相应安排支出预算</w:t>
      </w:r>
      <w:r>
        <w:rPr>
          <w:rFonts w:hint="eastAsia" w:ascii="仿宋_GB2312" w:eastAsia="仿宋_GB2312"/>
          <w:sz w:val="32"/>
          <w:szCs w:val="32"/>
          <w:lang w:val="en-US" w:eastAsia="zh-CN"/>
        </w:rPr>
        <w:t>499.79</w:t>
      </w:r>
      <w:r>
        <w:rPr>
          <w:rFonts w:hint="eastAsia" w:ascii="仿宋_GB2312" w:eastAsia="仿宋_GB2312"/>
          <w:sz w:val="32"/>
          <w:szCs w:val="32"/>
        </w:rPr>
        <w:t>万元，其中：一般公共服务</w:t>
      </w:r>
      <w:r>
        <w:rPr>
          <w:rFonts w:hint="eastAsia" w:ascii="仿宋_GB2312" w:eastAsia="仿宋_GB2312"/>
          <w:sz w:val="32"/>
          <w:szCs w:val="32"/>
          <w:lang w:val="en-US" w:eastAsia="zh-CN"/>
        </w:rPr>
        <w:t>446.55</w:t>
      </w:r>
      <w:r>
        <w:rPr>
          <w:rFonts w:hint="eastAsia" w:ascii="仿宋_GB2312" w:eastAsia="仿宋_GB2312"/>
          <w:sz w:val="32"/>
          <w:szCs w:val="32"/>
        </w:rPr>
        <w:t>万元，社会保障和就业</w:t>
      </w:r>
      <w:r>
        <w:rPr>
          <w:rFonts w:hint="eastAsia" w:ascii="仿宋_GB2312" w:eastAsia="仿宋_GB2312"/>
          <w:sz w:val="32"/>
          <w:szCs w:val="32"/>
          <w:lang w:val="en-US" w:eastAsia="zh-CN"/>
        </w:rPr>
        <w:t>27.54</w:t>
      </w:r>
      <w:r>
        <w:rPr>
          <w:rFonts w:hint="eastAsia" w:ascii="仿宋_GB2312" w:eastAsia="仿宋_GB2312"/>
          <w:sz w:val="32"/>
          <w:szCs w:val="32"/>
        </w:rPr>
        <w:t>万元，卫生</w:t>
      </w:r>
      <w:r>
        <w:rPr>
          <w:rFonts w:hint="eastAsia" w:ascii="仿宋_GB2312" w:eastAsia="仿宋_GB2312"/>
          <w:sz w:val="32"/>
          <w:szCs w:val="32"/>
          <w:lang w:eastAsia="zh-CN"/>
        </w:rPr>
        <w:t>健康</w:t>
      </w:r>
      <w:r>
        <w:rPr>
          <w:rFonts w:hint="eastAsia" w:ascii="仿宋_GB2312" w:eastAsia="仿宋_GB2312"/>
          <w:sz w:val="32"/>
          <w:szCs w:val="32"/>
        </w:rPr>
        <w:t>支出</w:t>
      </w:r>
      <w:r>
        <w:rPr>
          <w:rFonts w:hint="eastAsia" w:ascii="仿宋_GB2312" w:eastAsia="仿宋_GB2312"/>
          <w:sz w:val="32"/>
          <w:szCs w:val="32"/>
          <w:lang w:val="en-US" w:eastAsia="zh-CN"/>
        </w:rPr>
        <w:t>10.24</w:t>
      </w:r>
      <w:r>
        <w:rPr>
          <w:rFonts w:hint="eastAsia" w:ascii="仿宋_GB2312" w:eastAsia="仿宋_GB2312"/>
          <w:sz w:val="32"/>
          <w:szCs w:val="32"/>
        </w:rPr>
        <w:t>万元，住房保障支出</w:t>
      </w:r>
      <w:r>
        <w:rPr>
          <w:rFonts w:hint="eastAsia" w:ascii="仿宋_GB2312" w:eastAsia="仿宋_GB2312"/>
          <w:sz w:val="32"/>
          <w:szCs w:val="32"/>
          <w:lang w:val="en-US" w:eastAsia="zh-CN"/>
        </w:rPr>
        <w:t>15.46</w:t>
      </w:r>
      <w:r>
        <w:rPr>
          <w:rFonts w:hint="eastAsia" w:ascii="仿宋_GB2312" w:eastAsia="仿宋_GB2312"/>
          <w:sz w:val="32"/>
          <w:szCs w:val="32"/>
        </w:rPr>
        <w:t>万元。</w:t>
      </w:r>
    </w:p>
    <w:p w14:paraId="6D840922">
      <w:pPr>
        <w:numPr>
          <w:ilvl w:val="0"/>
          <w:numId w:val="1"/>
        </w:numPr>
        <w:spacing w:line="560" w:lineRule="exact"/>
        <w:ind w:firstLine="640" w:firstLineChars="200"/>
        <w:rPr>
          <w:rFonts w:ascii="黑体" w:eastAsia="黑体"/>
          <w:sz w:val="32"/>
          <w:szCs w:val="32"/>
        </w:rPr>
      </w:pPr>
      <w:r>
        <w:rPr>
          <w:rFonts w:hint="eastAsia" w:ascii="黑体" w:eastAsia="黑体"/>
          <w:sz w:val="32"/>
          <w:szCs w:val="32"/>
        </w:rPr>
        <w:t>支出预算安排情况</w:t>
      </w:r>
    </w:p>
    <w:p w14:paraId="4C36407E">
      <w:pPr>
        <w:spacing w:line="560" w:lineRule="exact"/>
        <w:rPr>
          <w:rFonts w:ascii="仿宋_GB2312" w:eastAsia="仿宋_GB2312"/>
          <w:sz w:val="32"/>
          <w:szCs w:val="32"/>
        </w:rPr>
      </w:pPr>
      <w:r>
        <w:rPr>
          <w:rFonts w:hint="eastAsia" w:ascii="仿宋_GB2312" w:eastAsia="仿宋_GB2312"/>
          <w:sz w:val="32"/>
          <w:szCs w:val="32"/>
        </w:rPr>
        <w:t xml:space="preserve">    红原县</w:t>
      </w:r>
      <w:r>
        <w:rPr>
          <w:rFonts w:hint="eastAsia" w:ascii="仿宋_GB2312" w:eastAsia="仿宋_GB2312"/>
          <w:sz w:val="32"/>
          <w:szCs w:val="32"/>
          <w:lang w:val="en-US" w:eastAsia="zh-CN"/>
        </w:rPr>
        <w:t>公务服务中心</w:t>
      </w:r>
      <w:r>
        <w:rPr>
          <w:rFonts w:hint="eastAsia" w:ascii="仿宋_GB2312" w:eastAsia="仿宋_GB2312"/>
          <w:sz w:val="32"/>
          <w:szCs w:val="32"/>
        </w:rPr>
        <w:t>预算安排支出主要用于保障该部门机构正常运转、完成日常工作任务以及承担</w:t>
      </w:r>
      <w:r>
        <w:rPr>
          <w:rFonts w:hint="eastAsia" w:ascii="仿宋_GB2312" w:eastAsia="仿宋_GB2312"/>
          <w:sz w:val="32"/>
          <w:szCs w:val="32"/>
          <w:lang w:val="en-US" w:eastAsia="zh-CN"/>
        </w:rPr>
        <w:t>服务保障</w:t>
      </w:r>
      <w:r>
        <w:rPr>
          <w:rFonts w:hint="eastAsia" w:ascii="仿宋_GB2312" w:eastAsia="仿宋_GB2312"/>
          <w:sz w:val="32"/>
          <w:szCs w:val="32"/>
        </w:rPr>
        <w:t xml:space="preserve">相关工作。  </w:t>
      </w:r>
    </w:p>
    <w:p w14:paraId="7F7BE593">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基本支出</w:t>
      </w:r>
      <w:r>
        <w:rPr>
          <w:rFonts w:hint="eastAsia" w:ascii="仿宋_GB2312" w:eastAsia="仿宋_GB2312"/>
          <w:sz w:val="32"/>
          <w:szCs w:val="32"/>
          <w:lang w:val="en-US" w:eastAsia="zh-CN"/>
        </w:rPr>
        <w:t>259.79</w:t>
      </w:r>
      <w:r>
        <w:rPr>
          <w:rFonts w:hint="eastAsia" w:ascii="仿宋_GB2312" w:eastAsia="仿宋_GB2312"/>
          <w:sz w:val="32"/>
          <w:szCs w:val="32"/>
        </w:rPr>
        <w:t>万元。其中人员经费支出</w:t>
      </w:r>
      <w:r>
        <w:rPr>
          <w:rFonts w:hint="eastAsia" w:ascii="仿宋_GB2312" w:eastAsia="仿宋_GB2312"/>
          <w:sz w:val="32"/>
          <w:szCs w:val="32"/>
          <w:lang w:val="en-US" w:eastAsia="zh-CN"/>
        </w:rPr>
        <w:t>236.84</w:t>
      </w:r>
      <w:r>
        <w:rPr>
          <w:rFonts w:hint="eastAsia" w:ascii="仿宋_GB2312" w:eastAsia="仿宋_GB2312"/>
          <w:sz w:val="32"/>
          <w:szCs w:val="32"/>
        </w:rPr>
        <w:t>万元，机关运行经费</w:t>
      </w:r>
      <w:r>
        <w:rPr>
          <w:rFonts w:hint="eastAsia" w:ascii="仿宋_GB2312" w:eastAsia="仿宋_GB2312"/>
          <w:sz w:val="32"/>
          <w:szCs w:val="32"/>
          <w:lang w:val="en-US" w:eastAsia="zh-CN"/>
        </w:rPr>
        <w:t>22.95</w:t>
      </w:r>
      <w:r>
        <w:rPr>
          <w:rFonts w:hint="eastAsia" w:ascii="仿宋_GB2312" w:eastAsia="仿宋_GB2312"/>
          <w:sz w:val="32"/>
          <w:szCs w:val="32"/>
        </w:rPr>
        <w:t>万元，其中：办公费</w:t>
      </w:r>
      <w:r>
        <w:rPr>
          <w:rFonts w:hint="eastAsia" w:ascii="仿宋_GB2312" w:eastAsia="仿宋_GB2312"/>
          <w:sz w:val="32"/>
          <w:szCs w:val="32"/>
          <w:lang w:val="en-US" w:eastAsia="zh-CN"/>
        </w:rPr>
        <w:t>4.15</w:t>
      </w:r>
      <w:r>
        <w:rPr>
          <w:rFonts w:hint="eastAsia" w:ascii="仿宋_GB2312" w:eastAsia="仿宋_GB2312"/>
          <w:sz w:val="32"/>
          <w:szCs w:val="32"/>
        </w:rPr>
        <w:t>万元，</w:t>
      </w:r>
      <w:r>
        <w:rPr>
          <w:rFonts w:hint="eastAsia" w:ascii="仿宋_GB2312" w:eastAsia="仿宋_GB2312"/>
          <w:sz w:val="32"/>
          <w:szCs w:val="32"/>
          <w:lang w:val="en-US" w:eastAsia="zh-CN"/>
        </w:rPr>
        <w:t>手续</w:t>
      </w:r>
      <w:r>
        <w:rPr>
          <w:rFonts w:hint="eastAsia" w:ascii="仿宋_GB2312" w:eastAsia="仿宋_GB2312"/>
          <w:sz w:val="32"/>
          <w:szCs w:val="32"/>
        </w:rPr>
        <w:t>费0.1</w:t>
      </w:r>
      <w:r>
        <w:rPr>
          <w:rFonts w:hint="eastAsia" w:ascii="仿宋_GB2312" w:eastAsia="仿宋_GB2312"/>
          <w:sz w:val="32"/>
          <w:szCs w:val="32"/>
          <w:lang w:val="en-US" w:eastAsia="zh-CN"/>
        </w:rPr>
        <w:t>0</w:t>
      </w:r>
      <w:r>
        <w:rPr>
          <w:rFonts w:hint="eastAsia" w:ascii="仿宋_GB2312" w:eastAsia="仿宋_GB2312"/>
          <w:sz w:val="32"/>
          <w:szCs w:val="32"/>
        </w:rPr>
        <w:t>万元，</w:t>
      </w:r>
      <w:r>
        <w:rPr>
          <w:rFonts w:hint="eastAsia" w:ascii="仿宋_GB2312" w:eastAsia="仿宋_GB2312"/>
          <w:sz w:val="32"/>
          <w:szCs w:val="32"/>
          <w:lang w:val="en-US" w:eastAsia="zh-CN"/>
        </w:rPr>
        <w:t>水费0.10万元，电</w:t>
      </w:r>
      <w:r>
        <w:rPr>
          <w:rFonts w:hint="eastAsia" w:ascii="仿宋_GB2312" w:eastAsia="仿宋_GB2312"/>
          <w:sz w:val="32"/>
          <w:szCs w:val="32"/>
        </w:rPr>
        <w:t>费</w:t>
      </w:r>
      <w:r>
        <w:rPr>
          <w:rFonts w:hint="eastAsia" w:ascii="仿宋_GB2312" w:eastAsia="仿宋_GB2312"/>
          <w:sz w:val="32"/>
          <w:szCs w:val="32"/>
          <w:lang w:val="en-US" w:eastAsia="zh-CN"/>
        </w:rPr>
        <w:t>0.80</w:t>
      </w:r>
      <w:r>
        <w:rPr>
          <w:rFonts w:hint="eastAsia" w:ascii="仿宋_GB2312" w:eastAsia="仿宋_GB2312"/>
          <w:sz w:val="32"/>
          <w:szCs w:val="32"/>
        </w:rPr>
        <w:t>万元，</w:t>
      </w:r>
      <w:r>
        <w:rPr>
          <w:rFonts w:hint="eastAsia" w:ascii="仿宋_GB2312" w:eastAsia="仿宋_GB2312"/>
          <w:sz w:val="32"/>
          <w:szCs w:val="32"/>
          <w:lang w:val="en-US" w:eastAsia="zh-CN"/>
        </w:rPr>
        <w:t>取暖</w:t>
      </w:r>
      <w:r>
        <w:rPr>
          <w:rFonts w:hint="eastAsia" w:ascii="仿宋_GB2312" w:eastAsia="仿宋_GB2312"/>
          <w:sz w:val="32"/>
          <w:szCs w:val="32"/>
        </w:rPr>
        <w:t>费</w:t>
      </w:r>
      <w:r>
        <w:rPr>
          <w:rFonts w:hint="eastAsia" w:ascii="仿宋_GB2312" w:eastAsia="仿宋_GB2312"/>
          <w:sz w:val="32"/>
          <w:szCs w:val="32"/>
          <w:lang w:val="en-US" w:eastAsia="zh-CN"/>
        </w:rPr>
        <w:t>1.00</w:t>
      </w:r>
      <w:r>
        <w:rPr>
          <w:rFonts w:hint="eastAsia" w:ascii="仿宋_GB2312" w:eastAsia="仿宋_GB2312"/>
          <w:sz w:val="32"/>
          <w:szCs w:val="32"/>
        </w:rPr>
        <w:t>万元，差旅费</w:t>
      </w:r>
      <w:r>
        <w:rPr>
          <w:rFonts w:hint="eastAsia" w:ascii="仿宋_GB2312" w:eastAsia="仿宋_GB2312"/>
          <w:sz w:val="32"/>
          <w:szCs w:val="32"/>
          <w:lang w:val="en-US" w:eastAsia="zh-CN"/>
        </w:rPr>
        <w:t>3</w:t>
      </w:r>
      <w:r>
        <w:rPr>
          <w:rFonts w:hint="eastAsia" w:ascii="仿宋_GB2312" w:eastAsia="仿宋_GB2312"/>
          <w:sz w:val="32"/>
          <w:szCs w:val="32"/>
        </w:rPr>
        <w:t>.00万元，工会经费1.</w:t>
      </w:r>
      <w:r>
        <w:rPr>
          <w:rFonts w:hint="eastAsia" w:ascii="仿宋_GB2312" w:eastAsia="仿宋_GB2312"/>
          <w:sz w:val="32"/>
          <w:szCs w:val="32"/>
          <w:lang w:val="en-US" w:eastAsia="zh-CN"/>
        </w:rPr>
        <w:t>38</w:t>
      </w:r>
      <w:r>
        <w:rPr>
          <w:rFonts w:hint="eastAsia" w:ascii="仿宋_GB2312" w:eastAsia="仿宋_GB2312"/>
          <w:sz w:val="32"/>
          <w:szCs w:val="32"/>
        </w:rPr>
        <w:t>万元</w:t>
      </w:r>
      <w:r>
        <w:rPr>
          <w:rFonts w:hint="eastAsia" w:ascii="仿宋_GB2312" w:eastAsia="仿宋_GB2312"/>
          <w:sz w:val="32"/>
          <w:szCs w:val="32"/>
          <w:lang w:eastAsia="zh-CN"/>
        </w:rPr>
        <w:t>，福利费</w:t>
      </w:r>
      <w:r>
        <w:rPr>
          <w:rFonts w:hint="eastAsia" w:ascii="仿宋_GB2312" w:eastAsia="仿宋_GB2312"/>
          <w:sz w:val="32"/>
          <w:szCs w:val="32"/>
          <w:lang w:val="en-US" w:eastAsia="zh-CN"/>
        </w:rPr>
        <w:t>3.37万元，公务用车运行维护费7.22万元，其他商品服务支出1.83万元</w:t>
      </w:r>
      <w:r>
        <w:rPr>
          <w:rFonts w:hint="eastAsia" w:ascii="仿宋_GB2312" w:eastAsia="仿宋_GB2312"/>
          <w:sz w:val="32"/>
          <w:szCs w:val="32"/>
        </w:rPr>
        <w:t>。</w:t>
      </w:r>
    </w:p>
    <w:p w14:paraId="4915AC2E">
      <w:pPr>
        <w:spacing w:line="560" w:lineRule="exact"/>
        <w:ind w:firstLine="640" w:firstLineChars="200"/>
        <w:rPr>
          <w:rFonts w:ascii="仿宋_GB2312" w:eastAsia="仿宋_GB2312"/>
          <w:sz w:val="32"/>
          <w:szCs w:val="32"/>
        </w:rPr>
      </w:pPr>
      <w:r>
        <w:rPr>
          <w:rFonts w:hint="eastAsia" w:ascii="仿宋_GB2312" w:eastAsia="仿宋_GB2312"/>
          <w:sz w:val="32"/>
          <w:szCs w:val="32"/>
        </w:rPr>
        <w:t>按支出功能分类主要用于以下方面:</w:t>
      </w:r>
    </w:p>
    <w:p w14:paraId="441C5D4B">
      <w:pPr>
        <w:spacing w:line="560" w:lineRule="exact"/>
        <w:ind w:firstLine="640" w:firstLineChars="200"/>
        <w:rPr>
          <w:rFonts w:ascii="仿宋_GB2312" w:eastAsia="仿宋_GB2312"/>
          <w:sz w:val="32"/>
          <w:szCs w:val="32"/>
        </w:rPr>
      </w:pPr>
      <w:r>
        <w:rPr>
          <w:rFonts w:hint="eastAsia" w:ascii="仿宋_GB2312" w:eastAsia="仿宋_GB2312"/>
          <w:sz w:val="32"/>
          <w:szCs w:val="32"/>
        </w:rPr>
        <w:t>（一）一般公共服务</w:t>
      </w:r>
      <w:r>
        <w:rPr>
          <w:rFonts w:hint="eastAsia" w:ascii="仿宋_GB2312" w:eastAsia="仿宋_GB2312"/>
          <w:sz w:val="32"/>
          <w:szCs w:val="32"/>
          <w:lang w:val="en-US" w:eastAsia="zh-CN"/>
        </w:rPr>
        <w:t>446.55</w:t>
      </w:r>
      <w:r>
        <w:rPr>
          <w:rFonts w:hint="eastAsia" w:ascii="仿宋_GB2312" w:eastAsia="仿宋_GB2312"/>
          <w:sz w:val="32"/>
          <w:szCs w:val="32"/>
        </w:rPr>
        <w:t>万元，主要用于机关及下属事业单位人员工资、日常运转以及为完成特定行政工作任务和事业发展目标而安排的年度项目支出。</w:t>
      </w:r>
    </w:p>
    <w:p w14:paraId="0E68956B">
      <w:pPr>
        <w:spacing w:line="560" w:lineRule="exact"/>
        <w:ind w:firstLine="640" w:firstLineChars="200"/>
        <w:rPr>
          <w:rFonts w:ascii="仿宋_GB2312" w:eastAsia="仿宋_GB2312"/>
          <w:sz w:val="32"/>
          <w:szCs w:val="32"/>
        </w:rPr>
      </w:pPr>
      <w:r>
        <w:rPr>
          <w:rFonts w:hint="eastAsia" w:ascii="仿宋_GB2312" w:eastAsia="仿宋_GB2312"/>
          <w:sz w:val="32"/>
          <w:szCs w:val="32"/>
        </w:rPr>
        <w:t>（二）社会保障和就业</w:t>
      </w:r>
      <w:r>
        <w:rPr>
          <w:rFonts w:hint="eastAsia" w:ascii="仿宋_GB2312" w:eastAsia="仿宋_GB2312"/>
          <w:sz w:val="32"/>
          <w:szCs w:val="32"/>
          <w:lang w:val="en-US" w:eastAsia="zh-CN"/>
        </w:rPr>
        <w:t>27.54</w:t>
      </w:r>
      <w:r>
        <w:rPr>
          <w:rFonts w:hint="eastAsia" w:ascii="仿宋_GB2312" w:eastAsia="仿宋_GB2312"/>
          <w:sz w:val="32"/>
          <w:szCs w:val="32"/>
        </w:rPr>
        <w:t>万元，主要用于机关及下属事业单位养老保险及职业年金缴费。</w:t>
      </w:r>
    </w:p>
    <w:p w14:paraId="23E75888">
      <w:pPr>
        <w:spacing w:line="560" w:lineRule="exact"/>
        <w:ind w:firstLine="640" w:firstLineChars="200"/>
        <w:rPr>
          <w:rFonts w:ascii="仿宋_GB2312" w:eastAsia="仿宋_GB2312"/>
          <w:sz w:val="32"/>
          <w:szCs w:val="32"/>
        </w:rPr>
      </w:pPr>
      <w:r>
        <w:rPr>
          <w:rFonts w:hint="eastAsia" w:ascii="仿宋_GB2312" w:eastAsia="仿宋_GB2312"/>
          <w:sz w:val="32"/>
          <w:szCs w:val="32"/>
        </w:rPr>
        <w:t>（三）</w:t>
      </w:r>
      <w:r>
        <w:rPr>
          <w:rFonts w:hint="eastAsia" w:ascii="仿宋_GB2312" w:eastAsia="仿宋_GB2312"/>
          <w:sz w:val="32"/>
          <w:szCs w:val="32"/>
          <w:lang w:eastAsia="zh-CN"/>
        </w:rPr>
        <w:t>卫生健康</w:t>
      </w:r>
      <w:r>
        <w:rPr>
          <w:rFonts w:hint="eastAsia" w:ascii="仿宋_GB2312" w:eastAsia="仿宋_GB2312"/>
          <w:sz w:val="32"/>
          <w:szCs w:val="32"/>
          <w:lang w:val="en-US" w:eastAsia="zh-CN"/>
        </w:rPr>
        <w:t>10.24</w:t>
      </w:r>
      <w:r>
        <w:rPr>
          <w:rFonts w:hint="eastAsia" w:ascii="仿宋_GB2312" w:eastAsia="仿宋_GB2312"/>
          <w:sz w:val="32"/>
          <w:szCs w:val="32"/>
        </w:rPr>
        <w:t>万元，主要用于机关及下属事业单位按照规定标准为职工缴纳的基本医疗保险及公务员医疗补助等支出。</w:t>
      </w:r>
    </w:p>
    <w:p w14:paraId="6829131D">
      <w:pPr>
        <w:spacing w:line="560" w:lineRule="exact"/>
        <w:ind w:firstLine="640" w:firstLineChars="200"/>
        <w:rPr>
          <w:rFonts w:ascii="仿宋_GB2312" w:eastAsia="仿宋_GB2312"/>
          <w:sz w:val="32"/>
          <w:szCs w:val="32"/>
        </w:rPr>
      </w:pPr>
      <w:r>
        <w:rPr>
          <w:rFonts w:hint="eastAsia" w:ascii="仿宋_GB2312" w:eastAsia="仿宋_GB2312"/>
          <w:sz w:val="32"/>
          <w:szCs w:val="32"/>
        </w:rPr>
        <w:t>（四）住房保障支出</w:t>
      </w:r>
      <w:r>
        <w:rPr>
          <w:rFonts w:hint="eastAsia" w:ascii="仿宋_GB2312" w:eastAsia="仿宋_GB2312"/>
          <w:sz w:val="32"/>
          <w:szCs w:val="32"/>
          <w:lang w:val="en-US" w:eastAsia="zh-CN"/>
        </w:rPr>
        <w:t>15.46</w:t>
      </w:r>
      <w:r>
        <w:rPr>
          <w:rFonts w:hint="eastAsia" w:ascii="仿宋_GB2312" w:eastAsia="仿宋_GB2312"/>
          <w:sz w:val="32"/>
          <w:szCs w:val="32"/>
        </w:rPr>
        <w:t>万元，用于机关及下属事业单位按照规定标准为职工缴纳住房公积金等支出。</w:t>
      </w:r>
    </w:p>
    <w:p w14:paraId="65DA2E4A">
      <w:pPr>
        <w:widowControl/>
        <w:shd w:val="clear" w:color="auto" w:fill="FFFFFF"/>
        <w:spacing w:line="560" w:lineRule="exact"/>
        <w:ind w:firstLine="480"/>
        <w:jc w:val="left"/>
        <w:rPr>
          <w:rFonts w:ascii="黑体" w:eastAsia="黑体" w:cs="黑体"/>
          <w:sz w:val="32"/>
          <w:szCs w:val="32"/>
        </w:rPr>
      </w:pPr>
      <w:r>
        <w:rPr>
          <w:rFonts w:hint="eastAsia" w:ascii="黑体" w:eastAsia="黑体" w:cs="黑体"/>
          <w:color w:val="333333"/>
          <w:kern w:val="0"/>
          <w:sz w:val="32"/>
          <w:szCs w:val="32"/>
          <w:shd w:val="clear" w:color="auto" w:fill="FFFFFF"/>
        </w:rPr>
        <w:t xml:space="preserve"> 五、较上年度增减变化 </w:t>
      </w:r>
    </w:p>
    <w:p w14:paraId="456D0554">
      <w:pPr>
        <w:spacing w:line="560" w:lineRule="exact"/>
        <w:ind w:firstLine="640" w:firstLineChars="200"/>
        <w:rPr>
          <w:rFonts w:hint="default" w:ascii="仿宋_GB2312" w:eastAsia="仿宋_GB2312"/>
          <w:sz w:val="32"/>
          <w:szCs w:val="32"/>
          <w:lang w:val="en-US" w:eastAsia="zh-CN"/>
        </w:rPr>
      </w:pPr>
      <w:r>
        <w:rPr>
          <w:rFonts w:hint="eastAsia" w:ascii="仿宋_GB2312" w:eastAsia="仿宋_GB2312"/>
          <w:sz w:val="32"/>
          <w:szCs w:val="32"/>
        </w:rPr>
        <w:t>本年度预算拨款收入</w:t>
      </w:r>
      <w:r>
        <w:rPr>
          <w:rFonts w:hint="eastAsia" w:ascii="仿宋_GB2312" w:eastAsia="仿宋_GB2312"/>
          <w:sz w:val="32"/>
          <w:szCs w:val="32"/>
          <w:lang w:val="en-US" w:eastAsia="zh-CN"/>
        </w:rPr>
        <w:t>499.79</w:t>
      </w:r>
      <w:r>
        <w:rPr>
          <w:rFonts w:hint="eastAsia" w:ascii="仿宋_GB2312" w:eastAsia="仿宋_GB2312"/>
          <w:sz w:val="32"/>
          <w:szCs w:val="32"/>
        </w:rPr>
        <w:t>万元较上年度预算</w:t>
      </w:r>
      <w:r>
        <w:rPr>
          <w:rFonts w:hint="eastAsia" w:ascii="仿宋_GB2312" w:eastAsia="仿宋_GB2312"/>
          <w:sz w:val="32"/>
          <w:szCs w:val="32"/>
          <w:lang w:val="en-US" w:eastAsia="zh-CN"/>
        </w:rPr>
        <w:t>511.32</w:t>
      </w:r>
      <w:r>
        <w:rPr>
          <w:rFonts w:hint="eastAsia" w:ascii="仿宋_GB2312" w:eastAsia="仿宋_GB2312"/>
          <w:sz w:val="32"/>
          <w:szCs w:val="32"/>
        </w:rPr>
        <w:t>万元</w:t>
      </w:r>
      <w:r>
        <w:rPr>
          <w:rFonts w:hint="eastAsia" w:ascii="仿宋_GB2312" w:eastAsia="仿宋_GB2312"/>
          <w:sz w:val="32"/>
          <w:szCs w:val="32"/>
          <w:lang w:eastAsia="zh-CN"/>
        </w:rPr>
        <w:t>减少</w:t>
      </w:r>
      <w:r>
        <w:rPr>
          <w:rFonts w:hint="eastAsia" w:ascii="仿宋_GB2312" w:eastAsia="仿宋_GB2312"/>
          <w:sz w:val="32"/>
          <w:szCs w:val="32"/>
        </w:rPr>
        <w:t>了</w:t>
      </w:r>
      <w:r>
        <w:rPr>
          <w:rFonts w:hint="eastAsia" w:ascii="仿宋_GB2312" w:eastAsia="仿宋_GB2312"/>
          <w:sz w:val="32"/>
          <w:szCs w:val="32"/>
          <w:lang w:val="en-US" w:eastAsia="zh-CN"/>
        </w:rPr>
        <w:t>2.3</w:t>
      </w:r>
      <w:r>
        <w:rPr>
          <w:rFonts w:hint="eastAsia" w:ascii="仿宋_GB2312" w:eastAsia="仿宋_GB2312"/>
          <w:sz w:val="32"/>
          <w:szCs w:val="32"/>
        </w:rPr>
        <w:t>%，主要原因是</w:t>
      </w:r>
      <w:r>
        <w:rPr>
          <w:rFonts w:hint="eastAsia" w:ascii="仿宋_GB2312" w:eastAsia="仿宋_GB2312"/>
          <w:sz w:val="32"/>
          <w:szCs w:val="32"/>
          <w:lang w:val="en-US" w:eastAsia="zh-CN"/>
        </w:rPr>
        <w:t>2025年公务服务中心职工减少。</w:t>
      </w:r>
    </w:p>
    <w:p w14:paraId="171D74D9">
      <w:pPr>
        <w:widowControl/>
        <w:shd w:val="clear" w:color="auto" w:fill="FFFFFF"/>
        <w:spacing w:line="560" w:lineRule="exact"/>
        <w:ind w:firstLine="480"/>
        <w:jc w:val="left"/>
        <w:rPr>
          <w:rFonts w:ascii="黑体" w:eastAsia="黑体" w:cs="黑体"/>
          <w:color w:val="333333"/>
          <w:kern w:val="0"/>
          <w:sz w:val="32"/>
          <w:szCs w:val="32"/>
          <w:shd w:val="clear" w:color="auto" w:fill="FFFFFF"/>
        </w:rPr>
      </w:pPr>
      <w:r>
        <w:rPr>
          <w:rFonts w:hint="eastAsia" w:ascii="黑体" w:eastAsia="黑体" w:cs="黑体"/>
          <w:color w:val="333333"/>
          <w:kern w:val="0"/>
          <w:sz w:val="32"/>
          <w:szCs w:val="32"/>
          <w:shd w:val="clear" w:color="auto" w:fill="FFFFFF"/>
        </w:rPr>
        <w:t xml:space="preserve"> 六、“三公”经费预算 </w:t>
      </w:r>
    </w:p>
    <w:p w14:paraId="6B6A0E39">
      <w:pPr>
        <w:spacing w:line="560" w:lineRule="exact"/>
        <w:ind w:firstLine="640" w:firstLineChars="200"/>
        <w:rPr>
          <w:rFonts w:ascii="仿宋_GB2312" w:eastAsia="仿宋_GB2312"/>
          <w:sz w:val="32"/>
          <w:szCs w:val="32"/>
        </w:rPr>
      </w:pPr>
      <w:r>
        <w:rPr>
          <w:rFonts w:hint="eastAsia" w:ascii="仿宋_GB2312" w:eastAsia="仿宋_GB2312"/>
          <w:sz w:val="32"/>
          <w:szCs w:val="32"/>
        </w:rPr>
        <w:t>本年度三公经费预算安排支出为</w:t>
      </w:r>
      <w:r>
        <w:rPr>
          <w:rFonts w:hint="eastAsia" w:ascii="仿宋_GB2312" w:eastAsia="仿宋_GB2312"/>
          <w:sz w:val="32"/>
          <w:szCs w:val="32"/>
          <w:lang w:val="en-US" w:eastAsia="zh-CN"/>
        </w:rPr>
        <w:t>187.22</w:t>
      </w:r>
      <w:r>
        <w:rPr>
          <w:rFonts w:hint="eastAsia" w:ascii="仿宋_GB2312" w:eastAsia="仿宋_GB2312"/>
          <w:sz w:val="32"/>
          <w:szCs w:val="32"/>
        </w:rPr>
        <w:t>万元，其中：出国费0万元，与上年持平，主要原因为未安排因公出国；公车购置费0元，与上年持平；公务用车维护费支出</w:t>
      </w:r>
      <w:r>
        <w:rPr>
          <w:rFonts w:hint="eastAsia" w:ascii="仿宋_GB2312" w:eastAsia="仿宋_GB2312"/>
          <w:sz w:val="32"/>
          <w:szCs w:val="32"/>
          <w:lang w:val="en-US" w:eastAsia="zh-CN"/>
        </w:rPr>
        <w:t>7.22</w:t>
      </w:r>
      <w:r>
        <w:rPr>
          <w:rFonts w:hint="eastAsia" w:ascii="仿宋_GB2312" w:eastAsia="仿宋_GB2312"/>
          <w:sz w:val="32"/>
          <w:szCs w:val="32"/>
        </w:rPr>
        <w:t>万元，</w:t>
      </w:r>
      <w:r>
        <w:rPr>
          <w:rFonts w:hint="eastAsia" w:ascii="仿宋_GB2312" w:eastAsia="仿宋_GB2312"/>
          <w:sz w:val="32"/>
          <w:szCs w:val="32"/>
          <w:lang w:val="en-US" w:eastAsia="zh-CN"/>
        </w:rPr>
        <w:t>与</w:t>
      </w:r>
      <w:r>
        <w:rPr>
          <w:rFonts w:hint="eastAsia" w:ascii="仿宋_GB2312" w:eastAsia="仿宋_GB2312"/>
          <w:sz w:val="32"/>
          <w:szCs w:val="32"/>
        </w:rPr>
        <w:t>上年度预算</w:t>
      </w:r>
      <w:r>
        <w:rPr>
          <w:rFonts w:hint="eastAsia" w:ascii="仿宋_GB2312" w:eastAsia="仿宋_GB2312"/>
          <w:sz w:val="32"/>
          <w:szCs w:val="32"/>
          <w:lang w:val="en-US" w:eastAsia="zh-CN"/>
        </w:rPr>
        <w:t>7.22</w:t>
      </w:r>
      <w:r>
        <w:rPr>
          <w:rFonts w:hint="eastAsia" w:ascii="仿宋_GB2312" w:eastAsia="仿宋_GB2312"/>
          <w:sz w:val="32"/>
          <w:szCs w:val="32"/>
        </w:rPr>
        <w:t>万元</w:t>
      </w:r>
      <w:r>
        <w:rPr>
          <w:rFonts w:hint="eastAsia" w:ascii="仿宋_GB2312" w:eastAsia="仿宋_GB2312"/>
          <w:sz w:val="32"/>
          <w:szCs w:val="32"/>
          <w:lang w:val="en-US" w:eastAsia="zh-CN"/>
        </w:rPr>
        <w:t>持平</w:t>
      </w:r>
      <w:r>
        <w:rPr>
          <w:rFonts w:hint="eastAsia" w:ascii="仿宋_GB2312" w:eastAsia="仿宋_GB2312"/>
          <w:sz w:val="32"/>
          <w:szCs w:val="32"/>
        </w:rPr>
        <w:t>，主要原因严格执行“八项规定、六项禁令”；二是将有关股室的工作有机地结合起来，减少不必要的资源浪费。公务接待费</w:t>
      </w:r>
      <w:r>
        <w:rPr>
          <w:rFonts w:hint="eastAsia" w:ascii="仿宋_GB2312" w:eastAsia="仿宋_GB2312"/>
          <w:sz w:val="32"/>
          <w:szCs w:val="32"/>
          <w:lang w:val="en-US" w:eastAsia="zh-CN"/>
        </w:rPr>
        <w:t>180</w:t>
      </w:r>
      <w:r>
        <w:rPr>
          <w:rFonts w:hint="eastAsia" w:ascii="仿宋_GB2312" w:eastAsia="仿宋_GB2312"/>
          <w:sz w:val="32"/>
          <w:szCs w:val="32"/>
        </w:rPr>
        <w:t>万元，</w:t>
      </w:r>
      <w:r>
        <w:rPr>
          <w:rFonts w:hint="eastAsia" w:ascii="仿宋_GB2312" w:eastAsia="仿宋_GB2312"/>
          <w:sz w:val="32"/>
          <w:szCs w:val="32"/>
          <w:lang w:val="en-US" w:eastAsia="zh-CN"/>
        </w:rPr>
        <w:t>与上年度预算180万元持平，</w:t>
      </w:r>
      <w:r>
        <w:rPr>
          <w:rFonts w:hint="eastAsia" w:ascii="仿宋_GB2312" w:eastAsia="仿宋_GB2312"/>
          <w:sz w:val="32"/>
          <w:szCs w:val="32"/>
        </w:rPr>
        <w:t xml:space="preserve">本年度我们将严格执行“八项规定、六项禁令”，结合本年度工作需要，减少不必要的开支。 </w:t>
      </w:r>
    </w:p>
    <w:p w14:paraId="111E65A8">
      <w:pPr>
        <w:widowControl/>
        <w:shd w:val="clear" w:color="auto" w:fill="FFFFFF"/>
        <w:spacing w:line="560" w:lineRule="exact"/>
        <w:ind w:firstLine="480"/>
        <w:jc w:val="left"/>
        <w:rPr>
          <w:rFonts w:ascii="黑体" w:eastAsia="黑体" w:cs="黑体"/>
          <w:color w:val="333333"/>
          <w:kern w:val="0"/>
          <w:sz w:val="32"/>
          <w:szCs w:val="32"/>
          <w:shd w:val="clear" w:color="auto" w:fill="FFFFFF"/>
        </w:rPr>
      </w:pPr>
      <w:r>
        <w:rPr>
          <w:rFonts w:hint="eastAsia" w:ascii="黑体" w:eastAsia="黑体" w:cs="黑体"/>
          <w:color w:val="333333"/>
          <w:kern w:val="0"/>
          <w:sz w:val="32"/>
          <w:szCs w:val="32"/>
          <w:shd w:val="clear" w:color="auto" w:fill="FFFFFF"/>
        </w:rPr>
        <w:t xml:space="preserve"> 七、政府性基金预算收支情况说明</w:t>
      </w:r>
    </w:p>
    <w:p w14:paraId="0C10EEF7">
      <w:pPr>
        <w:spacing w:line="560" w:lineRule="exact"/>
        <w:ind w:firstLine="640" w:firstLineChars="200"/>
        <w:rPr>
          <w:rFonts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5</w:t>
      </w:r>
      <w:r>
        <w:rPr>
          <w:rFonts w:hint="eastAsia" w:ascii="仿宋_GB2312" w:eastAsia="仿宋_GB2312"/>
          <w:sz w:val="32"/>
          <w:szCs w:val="32"/>
        </w:rPr>
        <w:t>年没有使用政府性基金预算拨款安排的支出。</w:t>
      </w:r>
    </w:p>
    <w:p w14:paraId="6782F65A">
      <w:pPr>
        <w:widowControl/>
        <w:shd w:val="clear" w:color="auto" w:fill="FFFFFF"/>
        <w:spacing w:line="560" w:lineRule="exact"/>
        <w:ind w:left="480"/>
        <w:jc w:val="left"/>
        <w:rPr>
          <w:rFonts w:ascii="黑体" w:eastAsia="黑体" w:cs="黑体"/>
          <w:color w:val="333333"/>
          <w:kern w:val="0"/>
          <w:sz w:val="32"/>
          <w:szCs w:val="32"/>
          <w:shd w:val="clear" w:color="auto" w:fill="FFFFFF"/>
        </w:rPr>
      </w:pPr>
      <w:r>
        <w:rPr>
          <w:rFonts w:hint="eastAsia" w:ascii="黑体" w:eastAsia="黑体" w:cs="黑体"/>
          <w:color w:val="333333"/>
          <w:kern w:val="0"/>
          <w:sz w:val="32"/>
          <w:szCs w:val="32"/>
          <w:shd w:val="clear" w:color="auto" w:fill="FFFFFF"/>
        </w:rPr>
        <w:t xml:space="preserve"> 八、国有资本经营预算收支情况说明</w:t>
      </w:r>
    </w:p>
    <w:p w14:paraId="2E9038E2">
      <w:pPr>
        <w:spacing w:line="560" w:lineRule="exact"/>
        <w:ind w:firstLine="640" w:firstLineChars="200"/>
        <w:rPr>
          <w:rFonts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5</w:t>
      </w:r>
      <w:r>
        <w:rPr>
          <w:rFonts w:hint="eastAsia" w:ascii="仿宋_GB2312" w:eastAsia="仿宋_GB2312"/>
          <w:sz w:val="32"/>
          <w:szCs w:val="32"/>
        </w:rPr>
        <w:t>年没有使用国有资本经营预算拨款安排的支出。</w:t>
      </w:r>
    </w:p>
    <w:p w14:paraId="5A8B21C3">
      <w:pPr>
        <w:widowControl/>
        <w:shd w:val="clear" w:color="auto" w:fill="FFFFFF"/>
        <w:spacing w:line="560" w:lineRule="exact"/>
        <w:ind w:left="480"/>
        <w:jc w:val="left"/>
        <w:rPr>
          <w:rFonts w:ascii="黑体" w:eastAsia="黑体" w:cs="黑体"/>
          <w:color w:val="333333"/>
          <w:kern w:val="0"/>
          <w:sz w:val="32"/>
          <w:szCs w:val="32"/>
          <w:shd w:val="clear" w:color="auto" w:fill="FFFFFF"/>
        </w:rPr>
      </w:pPr>
      <w:r>
        <w:rPr>
          <w:rFonts w:hint="eastAsia" w:ascii="黑体" w:eastAsia="黑体" w:cs="黑体"/>
          <w:color w:val="333333"/>
          <w:kern w:val="0"/>
          <w:sz w:val="32"/>
          <w:szCs w:val="32"/>
          <w:shd w:val="clear" w:color="auto" w:fill="FFFFFF"/>
        </w:rPr>
        <w:t xml:space="preserve"> 九、其他重要事项的情况说明</w:t>
      </w:r>
    </w:p>
    <w:p w14:paraId="2F979838">
      <w:pPr>
        <w:widowControl/>
        <w:shd w:val="clear" w:color="auto" w:fill="FFFFFF"/>
        <w:spacing w:line="560" w:lineRule="exact"/>
        <w:ind w:firstLine="480"/>
        <w:jc w:val="left"/>
        <w:rPr>
          <w:rFonts w:ascii="黑体" w:eastAsia="黑体" w:cs="黑体"/>
          <w:color w:val="333333"/>
          <w:kern w:val="0"/>
          <w:sz w:val="32"/>
          <w:szCs w:val="32"/>
          <w:shd w:val="clear" w:color="auto" w:fill="FFFFFF"/>
        </w:rPr>
      </w:pPr>
      <w:r>
        <w:rPr>
          <w:rFonts w:hint="eastAsia" w:ascii="楷体_GB2312" w:eastAsia="楷体_GB2312" w:cs="楷体_GB2312"/>
          <w:b/>
          <w:bCs/>
          <w:color w:val="333333"/>
          <w:kern w:val="0"/>
          <w:sz w:val="32"/>
          <w:szCs w:val="32"/>
          <w:shd w:val="clear" w:color="auto" w:fill="FFFFFF"/>
        </w:rPr>
        <w:t xml:space="preserve"> （一）政府采购预算情况</w:t>
      </w:r>
      <w:r>
        <w:rPr>
          <w:rFonts w:hint="eastAsia" w:ascii="黑体" w:eastAsia="黑体" w:cs="黑体"/>
          <w:color w:val="333333"/>
          <w:kern w:val="0"/>
          <w:sz w:val="32"/>
          <w:szCs w:val="32"/>
          <w:shd w:val="clear" w:color="auto" w:fill="FFFFFF"/>
        </w:rPr>
        <w:t xml:space="preserve"> </w:t>
      </w:r>
    </w:p>
    <w:p w14:paraId="54709424">
      <w:pPr>
        <w:spacing w:line="560" w:lineRule="exact"/>
        <w:ind w:firstLine="640" w:firstLineChars="200"/>
        <w:rPr>
          <w:rFonts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5</w:t>
      </w:r>
      <w:r>
        <w:rPr>
          <w:rFonts w:hint="eastAsia" w:ascii="仿宋_GB2312" w:eastAsia="仿宋_GB2312"/>
          <w:sz w:val="32"/>
          <w:szCs w:val="32"/>
        </w:rPr>
        <w:t>年度安排政府采购预算0万元。</w:t>
      </w:r>
    </w:p>
    <w:p w14:paraId="4CA834D9">
      <w:pPr>
        <w:widowControl/>
        <w:shd w:val="clear" w:color="auto" w:fill="FFFFFF"/>
        <w:spacing w:line="560" w:lineRule="exact"/>
        <w:ind w:left="480"/>
        <w:jc w:val="left"/>
      </w:pPr>
      <w:r>
        <w:rPr>
          <w:rFonts w:hint="eastAsia" w:ascii="楷体_GB2312" w:eastAsia="楷体_GB2312" w:cs="楷体_GB2312"/>
          <w:b/>
          <w:bCs/>
          <w:color w:val="333333"/>
          <w:kern w:val="0"/>
          <w:sz w:val="32"/>
          <w:szCs w:val="32"/>
          <w:shd w:val="clear" w:color="auto" w:fill="FFFFFF"/>
        </w:rPr>
        <w:t xml:space="preserve"> （二）政府财政国有资产占用情况</w:t>
      </w:r>
      <w:r>
        <w:rPr>
          <w:rFonts w:hint="eastAsia" w:ascii="微软雅黑" w:eastAsia="微软雅黑" w:cs="微软雅黑"/>
          <w:color w:val="333333"/>
          <w:kern w:val="0"/>
          <w:sz w:val="24"/>
          <w:shd w:val="clear" w:color="auto" w:fill="FFFFFF"/>
        </w:rPr>
        <w:t xml:space="preserve"> </w:t>
      </w:r>
    </w:p>
    <w:p w14:paraId="4D6C74FA">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line="15" w:lineRule="atLeast"/>
        <w:ind w:left="0" w:right="0" w:firstLine="420"/>
        <w:rPr>
          <w:rFonts w:ascii="仿宋_GB2312" w:eastAsia="仿宋_GB2312"/>
          <w:sz w:val="32"/>
          <w:szCs w:val="32"/>
        </w:rPr>
      </w:pPr>
      <w:r>
        <w:rPr>
          <w:rFonts w:hint="eastAsia" w:ascii="仿宋_GB2312" w:eastAsia="仿宋_GB2312"/>
          <w:sz w:val="32"/>
          <w:szCs w:val="32"/>
        </w:rPr>
        <w:t>截止202</w:t>
      </w:r>
      <w:r>
        <w:rPr>
          <w:rFonts w:hint="eastAsia" w:ascii="仿宋_GB2312" w:eastAsia="仿宋_GB2312"/>
          <w:sz w:val="32"/>
          <w:szCs w:val="32"/>
          <w:lang w:val="en-US" w:eastAsia="zh-CN"/>
        </w:rPr>
        <w:t>4</w:t>
      </w:r>
      <w:r>
        <w:rPr>
          <w:rFonts w:hint="eastAsia" w:ascii="仿宋_GB2312" w:eastAsia="仿宋_GB2312"/>
          <w:sz w:val="32"/>
          <w:szCs w:val="32"/>
        </w:rPr>
        <w:t>年底，</w:t>
      </w:r>
      <w:r>
        <w:rPr>
          <w:rFonts w:hint="eastAsia" w:ascii="仿宋_GB2312" w:eastAsia="仿宋_GB2312"/>
          <w:sz w:val="32"/>
          <w:szCs w:val="32"/>
          <w:lang w:val="en-US" w:eastAsia="zh-CN"/>
        </w:rPr>
        <w:t>实际共有固定资产价值679.07万元；其中：公务用车23万元；业务用房132.45万元；其他资产523.62万元</w:t>
      </w:r>
      <w:r>
        <w:rPr>
          <w:rFonts w:hint="eastAsia" w:ascii="仿宋_GB2312" w:eastAsia="仿宋_GB2312"/>
          <w:sz w:val="32"/>
          <w:szCs w:val="32"/>
        </w:rPr>
        <w:t>。</w:t>
      </w:r>
    </w:p>
    <w:p w14:paraId="1B4321A8">
      <w:pPr>
        <w:widowControl/>
        <w:shd w:val="clear" w:color="auto" w:fill="FFFFFF"/>
        <w:spacing w:line="560" w:lineRule="exact"/>
        <w:ind w:left="480"/>
        <w:jc w:val="left"/>
        <w:rPr>
          <w:rFonts w:ascii="楷体_GB2312" w:eastAsia="楷体_GB2312" w:cs="楷体_GB2312"/>
          <w:b/>
          <w:bCs/>
          <w:color w:val="333333"/>
          <w:kern w:val="0"/>
          <w:sz w:val="32"/>
          <w:szCs w:val="32"/>
          <w:shd w:val="clear" w:color="auto" w:fill="FFFFFF"/>
        </w:rPr>
      </w:pPr>
      <w:r>
        <w:rPr>
          <w:rFonts w:hint="eastAsia" w:ascii="楷体_GB2312" w:eastAsia="楷体_GB2312" w:cs="楷体_GB2312"/>
          <w:b/>
          <w:bCs/>
          <w:color w:val="333333"/>
          <w:kern w:val="0"/>
          <w:sz w:val="32"/>
          <w:szCs w:val="32"/>
          <w:shd w:val="clear" w:color="auto" w:fill="FFFFFF"/>
        </w:rPr>
        <w:t xml:space="preserve"> （三）绩效目标设置情况</w:t>
      </w:r>
    </w:p>
    <w:p w14:paraId="2492F3AE">
      <w:pPr>
        <w:spacing w:line="560" w:lineRule="exact"/>
        <w:rPr>
          <w:rFonts w:ascii="仿宋_GB2312" w:eastAsia="仿宋_GB2312"/>
          <w:sz w:val="32"/>
          <w:szCs w:val="32"/>
        </w:rPr>
      </w:pPr>
      <w:r>
        <w:rPr>
          <w:rFonts w:hint="eastAsia" w:ascii="仿宋_GB2312" w:eastAsia="仿宋_GB2312"/>
          <w:sz w:val="32"/>
          <w:szCs w:val="32"/>
        </w:rPr>
        <w:t xml:space="preserve">  绩效目标是预算编制的前提和基础，按照“费随事定”的原则，202</w:t>
      </w:r>
      <w:r>
        <w:rPr>
          <w:rFonts w:hint="eastAsia" w:ascii="仿宋_GB2312" w:eastAsia="仿宋_GB2312"/>
          <w:sz w:val="32"/>
          <w:szCs w:val="32"/>
          <w:lang w:val="en-US" w:eastAsia="zh-CN"/>
        </w:rPr>
        <w:t>5</w:t>
      </w:r>
      <w:r>
        <w:rPr>
          <w:rFonts w:hint="eastAsia" w:ascii="仿宋_GB2312" w:eastAsia="仿宋_GB2312"/>
          <w:sz w:val="32"/>
          <w:szCs w:val="32"/>
        </w:rPr>
        <w:t>年我单位项目支出按要求编制了绩效目标，从项目完成、项目效益、满意度。</w:t>
      </w:r>
    </w:p>
    <w:p w14:paraId="53827D5D">
      <w:pPr>
        <w:spacing w:line="560" w:lineRule="exact"/>
        <w:rPr>
          <w:rFonts w:hint="eastAsia" w:ascii="黑体" w:eastAsia="黑体" w:cs="黑体"/>
          <w:color w:val="333333"/>
          <w:kern w:val="0"/>
          <w:sz w:val="32"/>
          <w:szCs w:val="32"/>
          <w:shd w:val="clear" w:color="auto" w:fill="FFFFFF"/>
          <w:lang w:eastAsia="zh-CN"/>
        </w:rPr>
      </w:pPr>
      <w:r>
        <w:rPr>
          <w:rFonts w:hint="eastAsia" w:ascii="黑体" w:eastAsia="黑体" w:cs="黑体"/>
          <w:color w:val="333333"/>
          <w:kern w:val="0"/>
          <w:sz w:val="32"/>
          <w:szCs w:val="32"/>
          <w:shd w:val="clear" w:color="auto" w:fill="FFFFFF"/>
        </w:rPr>
        <w:t xml:space="preserve">    十、名词解释 </w:t>
      </w:r>
    </w:p>
    <w:p w14:paraId="4BD8A80A">
      <w:pPr>
        <w:spacing w:line="560" w:lineRule="exact"/>
        <w:rPr>
          <w:rFonts w:hint="eastAsia" w:ascii="仿宋_GB2312" w:eastAsia="仿宋_GB2312"/>
          <w:sz w:val="32"/>
          <w:szCs w:val="32"/>
          <w:lang w:eastAsia="zh-CN"/>
        </w:rPr>
      </w:pPr>
      <w:r>
        <w:rPr>
          <w:rFonts w:hint="eastAsia" w:ascii="宋体" w:cs="宋体"/>
          <w:sz w:val="28"/>
          <w:szCs w:val="28"/>
        </w:rPr>
        <w:t>　</w:t>
      </w:r>
      <w:r>
        <w:rPr>
          <w:rFonts w:hint="eastAsia" w:ascii="仿宋_GB2312" w:eastAsia="仿宋_GB2312"/>
          <w:sz w:val="32"/>
          <w:szCs w:val="32"/>
        </w:rPr>
        <w:t xml:space="preserve">　1.财政拨款收入：指财政部门核拨给单位的财政预算资金。 </w:t>
      </w:r>
    </w:p>
    <w:p w14:paraId="21EA5D75">
      <w:pPr>
        <w:spacing w:line="560" w:lineRule="exact"/>
        <w:rPr>
          <w:rFonts w:ascii="仿宋_GB2312" w:eastAsia="仿宋_GB2312"/>
          <w:sz w:val="32"/>
          <w:szCs w:val="32"/>
        </w:rPr>
      </w:pPr>
      <w:r>
        <w:rPr>
          <w:rFonts w:hint="eastAsia" w:ascii="仿宋_GB2312" w:eastAsia="仿宋_GB2312"/>
          <w:sz w:val="32"/>
          <w:szCs w:val="32"/>
        </w:rPr>
        <w:t>　　2.其他收入：指除上述财政部门拨付单位以外的收入。</w:t>
      </w:r>
    </w:p>
    <w:p w14:paraId="7D61F0B2">
      <w:pPr>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rPr>
        <w:t xml:space="preserve">3.基本支出：指为保障单位机关正常运转、完成日常工作任务而发生的人员支出和公用支出。 </w:t>
      </w:r>
    </w:p>
    <w:p w14:paraId="1F951F46">
      <w:pPr>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rPr>
        <w:t xml:space="preserve">4.项目支出：指在基本支出之外为完成特定行政任务和事业发展目标所发生的支出。 </w:t>
      </w:r>
    </w:p>
    <w:p w14:paraId="3C2AE34F">
      <w:pPr>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 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 </w:t>
      </w:r>
    </w:p>
    <w:p w14:paraId="26EB6F6A">
      <w:pPr>
        <w:spacing w:line="560" w:lineRule="exact"/>
        <w:ind w:firstLine="640" w:firstLineChars="200"/>
        <w:rPr>
          <w:rFonts w:ascii="仿宋_GB2312" w:eastAsia="仿宋_GB2312"/>
          <w:sz w:val="32"/>
          <w:szCs w:val="32"/>
        </w:rPr>
      </w:pPr>
    </w:p>
    <w:p w14:paraId="5580AF40">
      <w:pPr>
        <w:spacing w:line="560" w:lineRule="exact"/>
        <w:ind w:firstLine="640" w:firstLineChars="200"/>
        <w:rPr>
          <w:rFonts w:ascii="仿宋_GB2312" w:eastAsia="仿宋_GB2312"/>
          <w:sz w:val="32"/>
          <w:szCs w:val="32"/>
        </w:rPr>
      </w:pPr>
      <w:r>
        <w:rPr>
          <w:rFonts w:hint="eastAsia" w:ascii="仿宋_GB2312" w:eastAsia="仿宋_GB2312"/>
          <w:sz w:val="32"/>
          <w:szCs w:val="32"/>
        </w:rPr>
        <w:t>附件：表1.部门收支总表</w:t>
      </w:r>
    </w:p>
    <w:p w14:paraId="138B6470">
      <w:pPr>
        <w:spacing w:line="560" w:lineRule="exact"/>
        <w:ind w:firstLine="1600" w:firstLineChars="500"/>
        <w:rPr>
          <w:rFonts w:ascii="仿宋_GB2312" w:eastAsia="仿宋_GB2312"/>
          <w:sz w:val="32"/>
          <w:szCs w:val="32"/>
        </w:rPr>
      </w:pPr>
      <w:r>
        <w:rPr>
          <w:rFonts w:hint="eastAsia" w:ascii="仿宋_GB2312" w:eastAsia="仿宋_GB2312"/>
          <w:sz w:val="32"/>
          <w:szCs w:val="32"/>
        </w:rPr>
        <w:t>表2.部门收入总表</w:t>
      </w:r>
    </w:p>
    <w:p w14:paraId="494481D1">
      <w:pPr>
        <w:spacing w:line="560" w:lineRule="exact"/>
        <w:ind w:firstLine="1600" w:firstLineChars="500"/>
        <w:rPr>
          <w:rFonts w:ascii="仿宋_GB2312" w:eastAsia="仿宋_GB2312"/>
          <w:sz w:val="32"/>
          <w:szCs w:val="32"/>
        </w:rPr>
      </w:pPr>
      <w:r>
        <w:rPr>
          <w:rFonts w:hint="eastAsia" w:ascii="仿宋_GB2312" w:eastAsia="仿宋_GB2312"/>
          <w:sz w:val="32"/>
          <w:szCs w:val="32"/>
        </w:rPr>
        <w:t>表3.部门支出总表</w:t>
      </w:r>
    </w:p>
    <w:p w14:paraId="6B2E2916">
      <w:pPr>
        <w:spacing w:line="560" w:lineRule="exact"/>
        <w:ind w:firstLine="1600" w:firstLineChars="500"/>
        <w:rPr>
          <w:rFonts w:ascii="仿宋_GB2312" w:eastAsia="仿宋_GB2312"/>
          <w:sz w:val="32"/>
          <w:szCs w:val="32"/>
        </w:rPr>
      </w:pPr>
      <w:r>
        <w:rPr>
          <w:rFonts w:hint="eastAsia" w:ascii="仿宋_GB2312" w:eastAsia="仿宋_GB2312"/>
          <w:sz w:val="32"/>
          <w:szCs w:val="32"/>
        </w:rPr>
        <w:t>表4.财政拨款收支预算总表</w:t>
      </w:r>
    </w:p>
    <w:p w14:paraId="79B665D8">
      <w:pPr>
        <w:spacing w:line="560" w:lineRule="exact"/>
        <w:ind w:firstLine="1600" w:firstLineChars="500"/>
        <w:rPr>
          <w:rFonts w:ascii="仿宋_GB2312" w:eastAsia="仿宋_GB2312"/>
          <w:sz w:val="32"/>
          <w:szCs w:val="32"/>
        </w:rPr>
      </w:pPr>
      <w:r>
        <w:rPr>
          <w:rFonts w:hint="eastAsia" w:ascii="仿宋_GB2312" w:eastAsia="仿宋_GB2312"/>
          <w:sz w:val="32"/>
          <w:szCs w:val="32"/>
        </w:rPr>
        <w:t>表5.财政拨款支出预算表（部门经济分类科目）</w:t>
      </w:r>
    </w:p>
    <w:p w14:paraId="53F2E433">
      <w:pPr>
        <w:spacing w:line="560" w:lineRule="exact"/>
        <w:ind w:firstLine="1600" w:firstLineChars="500"/>
        <w:rPr>
          <w:rFonts w:ascii="仿宋_GB2312" w:eastAsia="仿宋_GB2312"/>
          <w:sz w:val="32"/>
          <w:szCs w:val="32"/>
        </w:rPr>
      </w:pPr>
      <w:r>
        <w:rPr>
          <w:rFonts w:hint="eastAsia" w:ascii="仿宋_GB2312" w:eastAsia="仿宋_GB2312"/>
          <w:sz w:val="32"/>
          <w:szCs w:val="32"/>
        </w:rPr>
        <w:t>表6.一般公共预算支出预算表</w:t>
      </w:r>
    </w:p>
    <w:p w14:paraId="1BA074C6">
      <w:pPr>
        <w:spacing w:line="560" w:lineRule="exact"/>
        <w:ind w:firstLine="1600" w:firstLineChars="500"/>
        <w:rPr>
          <w:rFonts w:ascii="仿宋_GB2312" w:eastAsia="仿宋_GB2312"/>
          <w:sz w:val="32"/>
          <w:szCs w:val="32"/>
        </w:rPr>
      </w:pPr>
      <w:r>
        <w:rPr>
          <w:rFonts w:hint="eastAsia" w:ascii="仿宋_GB2312" w:eastAsia="仿宋_GB2312"/>
          <w:sz w:val="32"/>
          <w:szCs w:val="32"/>
        </w:rPr>
        <w:t>表7.一般公共预算基本支出预算表</w:t>
      </w:r>
    </w:p>
    <w:p w14:paraId="2DA71E70">
      <w:pPr>
        <w:spacing w:line="560" w:lineRule="exact"/>
        <w:ind w:firstLine="1600" w:firstLineChars="500"/>
        <w:rPr>
          <w:rFonts w:ascii="仿宋_GB2312" w:eastAsia="仿宋_GB2312"/>
          <w:sz w:val="32"/>
          <w:szCs w:val="32"/>
        </w:rPr>
      </w:pPr>
      <w:r>
        <w:rPr>
          <w:rFonts w:hint="eastAsia" w:ascii="仿宋_GB2312" w:eastAsia="仿宋_GB2312"/>
          <w:sz w:val="32"/>
          <w:szCs w:val="32"/>
        </w:rPr>
        <w:t>表8.一般公共预算项目支出预算表</w:t>
      </w:r>
    </w:p>
    <w:p w14:paraId="5D3CC578">
      <w:pPr>
        <w:spacing w:line="560" w:lineRule="exact"/>
        <w:ind w:firstLine="1600" w:firstLineChars="500"/>
        <w:rPr>
          <w:rFonts w:ascii="仿宋_GB2312" w:eastAsia="仿宋_GB2312"/>
          <w:sz w:val="32"/>
          <w:szCs w:val="32"/>
        </w:rPr>
      </w:pPr>
      <w:r>
        <w:rPr>
          <w:rFonts w:hint="eastAsia" w:ascii="仿宋_GB2312" w:eastAsia="仿宋_GB2312"/>
          <w:sz w:val="32"/>
          <w:szCs w:val="32"/>
        </w:rPr>
        <w:t>表9.一般公共预算“三公”经费支出预算表</w:t>
      </w:r>
    </w:p>
    <w:p w14:paraId="3DA341A9">
      <w:pPr>
        <w:spacing w:line="560" w:lineRule="exact"/>
        <w:ind w:firstLine="1600" w:firstLineChars="500"/>
        <w:rPr>
          <w:rFonts w:ascii="仿宋_GB2312" w:eastAsia="仿宋_GB2312"/>
          <w:sz w:val="32"/>
          <w:szCs w:val="32"/>
        </w:rPr>
      </w:pPr>
      <w:r>
        <w:rPr>
          <w:rFonts w:hint="eastAsia" w:ascii="仿宋_GB2312" w:eastAsia="仿宋_GB2312"/>
          <w:sz w:val="32"/>
          <w:szCs w:val="32"/>
        </w:rPr>
        <w:t>表10.政府性基金支出预算表</w:t>
      </w:r>
    </w:p>
    <w:p w14:paraId="71FFB9B5">
      <w:pPr>
        <w:spacing w:line="560" w:lineRule="exact"/>
        <w:ind w:firstLine="1600" w:firstLineChars="500"/>
        <w:rPr>
          <w:rFonts w:ascii="仿宋_GB2312" w:eastAsia="仿宋_GB2312"/>
          <w:sz w:val="32"/>
          <w:szCs w:val="32"/>
        </w:rPr>
      </w:pPr>
      <w:r>
        <w:rPr>
          <w:rFonts w:hint="eastAsia" w:ascii="仿宋_GB2312" w:eastAsia="仿宋_GB2312"/>
          <w:sz w:val="32"/>
          <w:szCs w:val="32"/>
        </w:rPr>
        <w:t>表11.政府性基金预算“三公”经费支出预算表</w:t>
      </w:r>
    </w:p>
    <w:p w14:paraId="0B5F11B9">
      <w:pPr>
        <w:spacing w:line="560" w:lineRule="exact"/>
        <w:ind w:firstLine="1600" w:firstLineChars="500"/>
        <w:rPr>
          <w:rFonts w:ascii="仿宋_GB2312" w:eastAsia="仿宋_GB2312"/>
          <w:sz w:val="32"/>
          <w:szCs w:val="32"/>
        </w:rPr>
      </w:pPr>
      <w:r>
        <w:rPr>
          <w:rFonts w:hint="eastAsia" w:ascii="仿宋_GB2312" w:eastAsia="仿宋_GB2312"/>
          <w:sz w:val="32"/>
          <w:szCs w:val="32"/>
        </w:rPr>
        <w:t>表12.国有资本经营预算支出预算表</w:t>
      </w:r>
    </w:p>
    <w:p w14:paraId="1A43B772">
      <w:pPr>
        <w:spacing w:line="560" w:lineRule="exact"/>
        <w:ind w:firstLine="1600" w:firstLineChars="500"/>
        <w:rPr>
          <w:rFonts w:ascii="仿宋_GB2312" w:eastAsia="仿宋_GB2312"/>
          <w:sz w:val="32"/>
          <w:szCs w:val="32"/>
        </w:rPr>
      </w:pPr>
      <w:r>
        <w:rPr>
          <w:rFonts w:hint="eastAsia" w:ascii="仿宋_GB2312" w:eastAsia="仿宋_GB2312"/>
          <w:sz w:val="32"/>
          <w:szCs w:val="32"/>
        </w:rPr>
        <w:t>表13.部门项目支出绩效目标表（202</w:t>
      </w:r>
      <w:r>
        <w:rPr>
          <w:rFonts w:hint="eastAsia" w:ascii="仿宋_GB2312" w:eastAsia="仿宋_GB2312"/>
          <w:sz w:val="32"/>
          <w:szCs w:val="32"/>
          <w:lang w:val="en-US" w:eastAsia="zh-CN"/>
        </w:rPr>
        <w:t>5</w:t>
      </w:r>
      <w:r>
        <w:rPr>
          <w:rFonts w:hint="eastAsia" w:ascii="仿宋_GB2312" w:eastAsia="仿宋_GB2312"/>
          <w:sz w:val="32"/>
          <w:szCs w:val="32"/>
        </w:rPr>
        <w:t>年度）</w:t>
      </w:r>
      <w:bookmarkStart w:id="0" w:name="_GoBack"/>
      <w:bookmarkEnd w:id="0"/>
    </w:p>
    <w:sectPr>
      <w:footerReference r:id="rId3" w:type="default"/>
      <w:footerReference r:id="rId4" w:type="even"/>
      <w:pgSz w:w="11906" w:h="16838"/>
      <w:pgMar w:top="2098" w:right="1418" w:bottom="1588" w:left="164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28722C">
    <w:pPr>
      <w:pStyle w:val="7"/>
      <w:framePr w:wrap="around" w:vAnchor="text" w:hAnchor="margin" w:xAlign="center" w:y="1"/>
      <w:rPr>
        <w:rStyle w:val="13"/>
      </w:rPr>
    </w:pPr>
    <w:r>
      <w:rPr>
        <w:rStyle w:val="13"/>
      </w:rPr>
      <w:fldChar w:fldCharType="begin"/>
    </w:r>
    <w:r>
      <w:rPr>
        <w:rStyle w:val="13"/>
      </w:rPr>
      <w:instrText xml:space="preserve">PAGE  </w:instrText>
    </w:r>
    <w:r>
      <w:fldChar w:fldCharType="separate"/>
    </w:r>
    <w:r>
      <w:rPr>
        <w:rStyle w:val="13"/>
      </w:rPr>
      <w:t>7</w:t>
    </w:r>
    <w:r>
      <w:fldChar w:fldCharType="end"/>
    </w:r>
  </w:p>
  <w:p w14:paraId="78191B29">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EBC746">
    <w:pPr>
      <w:pStyle w:val="7"/>
      <w:framePr w:wrap="around" w:vAnchor="text" w:hAnchor="margin" w:xAlign="center" w:y="1"/>
      <w:rPr>
        <w:rStyle w:val="13"/>
      </w:rPr>
    </w:pPr>
    <w:r>
      <w:rPr>
        <w:rStyle w:val="13"/>
      </w:rPr>
      <w:fldChar w:fldCharType="begin"/>
    </w:r>
    <w:r>
      <w:rPr>
        <w:rStyle w:val="13"/>
      </w:rPr>
      <w:instrText xml:space="preserve">PAGE  </w:instrText>
    </w:r>
    <w:r>
      <w:fldChar w:fldCharType="separate"/>
    </w:r>
    <w:r>
      <w:t xml:space="preserve"> </w:t>
    </w:r>
    <w:r>
      <w:fldChar w:fldCharType="end"/>
    </w:r>
  </w:p>
  <w:p w14:paraId="4758AB80">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717D6F"/>
    <w:multiLevelType w:val="singleLevel"/>
    <w:tmpl w:val="5A717D6F"/>
    <w:lvl w:ilvl="0" w:tentative="0">
      <w:start w:val="4"/>
      <w:numFmt w:val="chineseCounting"/>
      <w:suff w:val="nothing"/>
      <w:lvlText w:val="%1、"/>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MjA2MDI0NjEzMDAxZjc1OGIyMmNiYjQ0MGFlZWZlNzUifQ=="/>
  </w:docVars>
  <w:rsids>
    <w:rsidRoot w:val="00FF73FC"/>
    <w:rsid w:val="00026490"/>
    <w:rsid w:val="00290B9F"/>
    <w:rsid w:val="00421A93"/>
    <w:rsid w:val="0054600C"/>
    <w:rsid w:val="0080475F"/>
    <w:rsid w:val="0084622C"/>
    <w:rsid w:val="00A439AE"/>
    <w:rsid w:val="00B0230E"/>
    <w:rsid w:val="00FE3896"/>
    <w:rsid w:val="00FF73FC"/>
    <w:rsid w:val="261E33FC"/>
    <w:rsid w:val="2E5E34CA"/>
    <w:rsid w:val="3DB06BAB"/>
    <w:rsid w:val="51007199"/>
    <w:rsid w:val="536310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qFormat="1" w:unhideWhenUsed="0" w:uiPriority="0" w:semiHidden="0"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Arial"/>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rPr>
  </w:style>
  <w:style w:type="paragraph" w:styleId="3">
    <w:name w:val="heading 2"/>
    <w:basedOn w:val="1"/>
    <w:next w:val="1"/>
    <w:qFormat/>
    <w:uiPriority w:val="0"/>
    <w:pPr>
      <w:keepNext/>
      <w:keepLines/>
      <w:spacing w:before="260" w:after="260" w:line="415" w:lineRule="auto"/>
      <w:outlineLvl w:val="1"/>
    </w:pPr>
    <w:rPr>
      <w:rFonts w:ascii="Times New Roman" w:hAnsi="Times New Roman" w:eastAsia="黑体"/>
      <w:b/>
      <w:sz w:val="32"/>
    </w:rPr>
  </w:style>
  <w:style w:type="paragraph" w:styleId="4">
    <w:name w:val="heading 3"/>
    <w:basedOn w:val="1"/>
    <w:next w:val="1"/>
    <w:autoRedefine/>
    <w:qFormat/>
    <w:uiPriority w:val="0"/>
    <w:pPr>
      <w:keepNext/>
      <w:keepLines/>
      <w:spacing w:before="260" w:after="260" w:line="415" w:lineRule="auto"/>
      <w:outlineLvl w:val="2"/>
    </w:pPr>
    <w:rPr>
      <w:b/>
      <w:sz w:val="32"/>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5">
    <w:name w:val="Body Text"/>
    <w:basedOn w:val="1"/>
    <w:autoRedefine/>
    <w:qFormat/>
    <w:uiPriority w:val="0"/>
    <w:pPr>
      <w:spacing w:beforeLines="30"/>
    </w:pPr>
    <w:rPr>
      <w:rFonts w:ascii="仿宋_GB2312" w:eastAsia="仿宋_GB2312"/>
      <w:sz w:val="30"/>
    </w:rPr>
  </w:style>
  <w:style w:type="paragraph" w:styleId="6">
    <w:name w:val="Body Text Indent"/>
    <w:basedOn w:val="1"/>
    <w:autoRedefine/>
    <w:qFormat/>
    <w:uiPriority w:val="0"/>
    <w:pPr>
      <w:keepNext w:val="0"/>
      <w:keepLines w:val="0"/>
      <w:widowControl w:val="0"/>
      <w:suppressLineNumbers w:val="0"/>
      <w:spacing w:before="0" w:beforeAutospacing="0" w:after="0" w:afterAutospacing="0" w:line="540" w:lineRule="exact"/>
      <w:ind w:left="0" w:right="0" w:firstLine="5440" w:firstLineChars="1700"/>
      <w:jc w:val="both"/>
    </w:pPr>
    <w:rPr>
      <w:rFonts w:hint="default" w:ascii="Calibri" w:hAnsi="Calibri" w:eastAsia="宋体" w:cs="Times New Roman"/>
      <w:kern w:val="2"/>
      <w:sz w:val="32"/>
      <w:szCs w:val="32"/>
      <w:lang w:val="en-US" w:eastAsia="zh-CN" w:bidi="ar"/>
    </w:rPr>
  </w:style>
  <w:style w:type="paragraph" w:styleId="7">
    <w:name w:val="footer"/>
    <w:basedOn w:val="1"/>
    <w:autoRedefine/>
    <w:qFormat/>
    <w:uiPriority w:val="0"/>
    <w:pPr>
      <w:tabs>
        <w:tab w:val="center" w:pos="4153"/>
        <w:tab w:val="right" w:pos="8306"/>
      </w:tabs>
      <w:snapToGrid w:val="0"/>
      <w:jc w:val="left"/>
    </w:pPr>
    <w:rPr>
      <w:sz w:val="18"/>
      <w:szCs w:val="18"/>
    </w:rPr>
  </w:style>
  <w:style w:type="paragraph" w:styleId="8">
    <w:name w:val="header"/>
    <w:basedOn w:val="1"/>
    <w:autoRedefine/>
    <w:qFormat/>
    <w:uiPriority w:val="0"/>
    <w:pPr>
      <w:tabs>
        <w:tab w:val="center" w:pos="4153"/>
        <w:tab w:val="right" w:pos="8306"/>
      </w:tabs>
      <w:snapToGrid w:val="0"/>
    </w:pPr>
    <w:rPr>
      <w:sz w:val="18"/>
    </w:rPr>
  </w:style>
  <w:style w:type="paragraph" w:styleId="9">
    <w:name w:val="Normal (Web)"/>
    <w:basedOn w:val="1"/>
    <w:autoRedefine/>
    <w:semiHidden/>
    <w:unhideWhenUsed/>
    <w:qFormat/>
    <w:uiPriority w:val="99"/>
    <w:pPr>
      <w:spacing w:before="0" w:beforeAutospacing="1" w:after="0" w:afterAutospacing="1"/>
      <w:ind w:left="0" w:right="0"/>
      <w:jc w:val="left"/>
    </w:pPr>
    <w:rPr>
      <w:kern w:val="0"/>
      <w:sz w:val="24"/>
      <w:lang w:val="en-US" w:eastAsia="zh-CN" w:bidi="ar"/>
    </w:rPr>
  </w:style>
  <w:style w:type="paragraph" w:styleId="10">
    <w:name w:val="Body Text First Indent 2"/>
    <w:basedOn w:val="6"/>
    <w:autoRedefine/>
    <w:qFormat/>
    <w:uiPriority w:val="0"/>
    <w:pPr>
      <w:keepNext w:val="0"/>
      <w:keepLines w:val="0"/>
      <w:widowControl w:val="0"/>
      <w:suppressLineNumbers w:val="0"/>
      <w:spacing w:before="0" w:beforeAutospacing="0" w:after="0" w:afterAutospacing="0" w:line="540" w:lineRule="exact"/>
      <w:ind w:left="0" w:right="0" w:firstLine="420" w:firstLineChars="200"/>
      <w:jc w:val="both"/>
    </w:pPr>
    <w:rPr>
      <w:rFonts w:hint="default" w:ascii="Calibri" w:hAnsi="Calibri" w:eastAsia="宋体" w:cs="Times New Roman"/>
      <w:kern w:val="2"/>
      <w:sz w:val="32"/>
      <w:szCs w:val="32"/>
      <w:lang w:val="en-US" w:eastAsia="zh-CN" w:bidi="ar"/>
    </w:rPr>
  </w:style>
  <w:style w:type="character" w:styleId="13">
    <w:name w:val="page number"/>
    <w:basedOn w:val="12"/>
    <w:autoRedefine/>
    <w:qFormat/>
    <w:uiPriority w:val="0"/>
  </w:style>
  <w:style w:type="character" w:styleId="14">
    <w:name w:val="line number"/>
    <w:basedOn w:val="12"/>
    <w:autoRedefine/>
    <w:qFormat/>
    <w:uiPriority w:val="0"/>
    <w:rPr>
      <w:sz w:val="22"/>
    </w:rPr>
  </w:style>
  <w:style w:type="character" w:styleId="15">
    <w:name w:val="Hyperlink"/>
    <w:autoRedefine/>
    <w:qFormat/>
    <w:uiPriority w:val="0"/>
    <w:rPr>
      <w:sz w:val="22"/>
    </w:rPr>
  </w:style>
  <w:style w:type="paragraph" w:customStyle="1" w:styleId="16">
    <w:name w:val="Body Text Indent 2_2f75ddf9-7586-465d-b894-cacca03ef0a7"/>
    <w:basedOn w:val="1"/>
    <w:qFormat/>
    <w:uiPriority w:val="0"/>
    <w:pPr>
      <w:spacing w:line="19997" w:lineRule="auto"/>
      <w:ind w:left="420" w:left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2838</Words>
  <Characters>3032</Characters>
  <Lines>24</Lines>
  <Paragraphs>6</Paragraphs>
  <TotalTime>33</TotalTime>
  <ScaleCrop>false</ScaleCrop>
  <LinksUpToDate>false</LinksUpToDate>
  <CharactersWithSpaces>3078</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2018-01-31T07:35:00Z</dcterms:created>
  <dc:creator>Administrator</dc:creator>
  <cp:lastModifiedBy>2046.</cp:lastModifiedBy>
  <dcterms:modified xsi:type="dcterms:W3CDTF">2025-06-05T10:47:08Z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1942BC9E337C4CD5B3C9E34D3D63196A_12</vt:lpwstr>
  </property>
  <property fmtid="{D5CDD505-2E9C-101B-9397-08002B2CF9AE}" pid="4" name="KSOTemplateDocerSaveRecord">
    <vt:lpwstr>eyJoZGlkIjoiMDYxNTExODc5ZjI0OWY0NGM0MzhkMmU0NmVmNTRmODkiLCJ1c2VySWQiOiI0NzE1NTYwODYifQ==</vt:lpwstr>
  </property>
</Properties>
</file>