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96475"/>
      <w:bookmarkStart w:id="1" w:name="_Toc15377193"/>
      <w:bookmarkStart w:id="2" w:name="_Toc15396597"/>
      <w:bookmarkStart w:id="3" w:name="_Toc15377425"/>
      <w:bookmarkStart w:id="4" w:name="_Toc15378441"/>
      <w:bookmarkStart w:id="5" w:name="_Toc15306267"/>
    </w:p>
    <w:p>
      <w:pPr>
        <w:pStyle w:val="6"/>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w:t>
      </w:r>
      <w:r>
        <w:rPr>
          <w:rFonts w:hint="eastAsia" w:asciiTheme="minorEastAsia" w:hAnsiTheme="minorEastAsia" w:eastAsiaTheme="minorEastAsia"/>
          <w:b/>
          <w:sz w:val="72"/>
          <w:szCs w:val="72"/>
          <w:lang w:val="en-US" w:eastAsia="zh-CN"/>
        </w:rPr>
        <w:t>3</w:t>
      </w:r>
      <w:r>
        <w:rPr>
          <w:b/>
          <w:sz w:val="72"/>
          <w:u w:color="auto"/>
        </w:rPr>
        <w:t>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06268"/>
      <w:bookmarkStart w:id="7" w:name="_Toc15396476"/>
      <w:bookmarkStart w:id="8" w:name="_Toc15396598"/>
      <w:bookmarkStart w:id="9" w:name="_Toc15377194"/>
      <w:bookmarkStart w:id="10" w:name="_Toc15377426"/>
      <w:bookmarkStart w:id="11" w:name="_Toc15378442"/>
      <w:r>
        <w:rPr>
          <w:rFonts w:asciiTheme="minorEastAsia" w:hAnsiTheme="minorEastAsia" w:eastAsiaTheme="minorEastAsia"/>
          <w:b/>
          <w:sz w:val="72"/>
          <w:szCs w:val="72"/>
        </w:rPr>
        <w:t>阿坝州红原县公务服务中心</w:t>
      </w:r>
      <w:r>
        <w:rPr>
          <w:rFonts w:hint="eastAsia" w:asciiTheme="minorEastAsia" w:hAnsiTheme="minorEastAsia" w:eastAsiaTheme="minorEastAsia"/>
          <w:b/>
          <w:sz w:val="72"/>
          <w:szCs w:val="72"/>
        </w:rPr>
        <w:t>部门</w:t>
      </w:r>
      <w:r>
        <w:rPr>
          <w:b/>
          <w:sz w:val="72"/>
          <w:u w:color="auto"/>
        </w:rPr>
        <w:t>决算</w:t>
      </w:r>
      <w:bookmarkEnd w:id="6"/>
      <w:bookmarkEnd w:id="7"/>
      <w:bookmarkEnd w:id="8"/>
      <w:bookmarkEnd w:id="9"/>
      <w:bookmarkEnd w:id="10"/>
      <w:bookmarkEnd w:id="11"/>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w:t>
      </w:r>
      <w:r>
        <w:rPr>
          <w:rFonts w:ascii="宋体" w:hAnsi="宋体" w:cs="宋体"/>
          <w:sz w:val="32"/>
          <w:u w:color="auto"/>
        </w:rPr>
        <w:t>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6"/>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_Toc9016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rPr>
        <w:t>部门</w:t>
      </w:r>
      <w:r>
        <w:rPr>
          <w:rFonts w:ascii="黑体" w:hAnsi="黑体" w:eastAsia="黑体" w:cs="黑体"/>
          <w:u w:color="auto"/>
        </w:rPr>
        <w:t>概况</w:t>
      </w:r>
      <w:r>
        <w:tab/>
      </w:r>
      <w:r>
        <w:fldChar w:fldCharType="begin"/>
      </w:r>
      <w:r>
        <w:instrText xml:space="preserve"> PAGEREF _Toc9016 \h </w:instrText>
      </w:r>
      <w:r>
        <w:fldChar w:fldCharType="separate"/>
      </w:r>
      <w:r>
        <w:t>3</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_Toc28564 </w:instrText>
      </w:r>
      <w:r>
        <w:rPr>
          <w:smallCaps/>
          <w:szCs w:val="20"/>
        </w:rPr>
        <w:fldChar w:fldCharType="separate"/>
      </w:r>
      <w:r>
        <w:rPr>
          <w:rFonts w:hint="eastAsia" w:ascii="黑体" w:eastAsia="黑体" w:cs="Times New Roman"/>
          <w:bCs w:val="0"/>
        </w:rPr>
        <w:t>一、基本职能及主要工作</w:t>
      </w:r>
      <w:r>
        <w:tab/>
      </w:r>
      <w:r>
        <w:fldChar w:fldCharType="begin"/>
      </w:r>
      <w:r>
        <w:instrText xml:space="preserve"> PAGEREF _Toc28564 \h </w:instrText>
      </w:r>
      <w:r>
        <w:fldChar w:fldCharType="separate"/>
      </w:r>
      <w:r>
        <w:t>3</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_Toc22056 </w:instrText>
      </w:r>
      <w:r>
        <w:rPr>
          <w:smallCaps/>
          <w:szCs w:val="20"/>
        </w:rPr>
        <w:fldChar w:fldCharType="separate"/>
      </w:r>
      <w:r>
        <w:rPr>
          <w:rFonts w:hint="eastAsia" w:ascii="黑体" w:eastAsia="黑体" w:cs="Times New Roman"/>
          <w:bCs w:val="0"/>
        </w:rPr>
        <w:t>二、机构设置</w:t>
      </w:r>
      <w:r>
        <w:tab/>
      </w:r>
      <w:r>
        <w:fldChar w:fldCharType="begin"/>
      </w:r>
      <w:r>
        <w:instrText xml:space="preserve"> PAGEREF _Toc22056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_Toc9058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w:t>
      </w:r>
      <w:r>
        <w:rPr>
          <w:rFonts w:hint="eastAsia" w:ascii="黑体" w:hAnsi="黑体" w:eastAsia="黑体" w:cs="黑体"/>
          <w:lang w:val="en-US" w:eastAsia="zh-CN"/>
        </w:rPr>
        <w:t>3</w:t>
      </w:r>
      <w:r>
        <w:rPr>
          <w:rFonts w:ascii="黑体" w:hAnsi="黑体" w:eastAsia="黑体" w:cs="黑体"/>
          <w:u w:color="auto"/>
        </w:rPr>
        <w:t>年度</w:t>
      </w:r>
      <w:r>
        <w:rPr>
          <w:rFonts w:hint="eastAsia" w:ascii="黑体" w:hAnsi="黑体" w:eastAsia="黑体" w:cs="黑体"/>
          <w:lang w:val="en-US" w:eastAsia="zh-CN"/>
        </w:rPr>
        <w:t>部门</w:t>
      </w:r>
      <w:r>
        <w:rPr>
          <w:rFonts w:hint="eastAsia" w:ascii="黑体" w:hAnsi="黑体" w:eastAsia="黑体" w:cs="黑体"/>
        </w:rPr>
        <w:t>决算情况说明</w:t>
      </w:r>
      <w:r>
        <w:tab/>
      </w:r>
      <w:r>
        <w:fldChar w:fldCharType="begin"/>
      </w:r>
      <w:r>
        <w:instrText xml:space="preserve"> PAGEREF _Toc9058 \h </w:instrText>
      </w:r>
      <w:r>
        <w:fldChar w:fldCharType="separate"/>
      </w:r>
      <w:r>
        <w:t>4</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_Toc19710 </w:instrText>
      </w:r>
      <w:r>
        <w:rPr>
          <w:smallCaps/>
          <w:szCs w:val="20"/>
        </w:rPr>
        <w:fldChar w:fldCharType="separate"/>
      </w:r>
      <w:r>
        <w:rPr>
          <w:rFonts w:hint="eastAsia" w:ascii="黑体" w:eastAsia="黑体" w:cs="Times New Roman"/>
          <w:bCs w:val="0"/>
        </w:rPr>
        <w:t>一、收入支出决算总体情况说明</w:t>
      </w:r>
      <w:r>
        <w:tab/>
      </w:r>
      <w:r>
        <w:fldChar w:fldCharType="begin"/>
      </w:r>
      <w:r>
        <w:instrText xml:space="preserve"> PAGEREF _Toc19710 \h </w:instrText>
      </w:r>
      <w:r>
        <w:fldChar w:fldCharType="separate"/>
      </w:r>
      <w:r>
        <w:t>4</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_Toc8125 </w:instrText>
      </w:r>
      <w:r>
        <w:rPr>
          <w:smallCaps/>
          <w:szCs w:val="20"/>
        </w:rPr>
        <w:fldChar w:fldCharType="separate"/>
      </w:r>
      <w:r>
        <w:rPr>
          <w:rFonts w:hint="eastAsia" w:ascii="黑体" w:eastAsia="黑体" w:cs="Times New Roman"/>
          <w:bCs w:val="0"/>
        </w:rPr>
        <w:t>二、收入决算情况说明</w:t>
      </w:r>
      <w:r>
        <w:tab/>
      </w:r>
      <w:r>
        <w:fldChar w:fldCharType="begin"/>
      </w:r>
      <w:r>
        <w:instrText xml:space="preserve"> PAGEREF _Toc8125 \h </w:instrText>
      </w:r>
      <w:r>
        <w:fldChar w:fldCharType="separate"/>
      </w:r>
      <w:r>
        <w:t>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_Toc28283 </w:instrText>
      </w:r>
      <w:r>
        <w:rPr>
          <w:smallCaps/>
          <w:szCs w:val="20"/>
        </w:rPr>
        <w:fldChar w:fldCharType="separate"/>
      </w:r>
      <w:r>
        <w:rPr>
          <w:rFonts w:hint="eastAsia" w:ascii="黑体" w:eastAsia="黑体" w:cs="Times New Roman"/>
          <w:bCs w:val="0"/>
        </w:rPr>
        <w:t>三、支出决算情况说明</w:t>
      </w:r>
      <w:r>
        <w:tab/>
      </w:r>
      <w:r>
        <w:fldChar w:fldCharType="begin"/>
      </w:r>
      <w:r>
        <w:instrText xml:space="preserve"> PAGEREF _Toc28283 \h </w:instrText>
      </w:r>
      <w:r>
        <w:fldChar w:fldCharType="separate"/>
      </w:r>
      <w:r>
        <w:t>6</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_Toc19521 </w:instrText>
      </w:r>
      <w:r>
        <w:rPr>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_Toc19521 \h </w:instrText>
      </w:r>
      <w:r>
        <w:fldChar w:fldCharType="separate"/>
      </w:r>
      <w:r>
        <w:t>6</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_Toc14368 </w:instrText>
      </w:r>
      <w:r>
        <w:rPr>
          <w:smallCaps/>
          <w:szCs w:val="20"/>
        </w:rP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_Toc14368 \h </w:instrText>
      </w:r>
      <w:r>
        <w:fldChar w:fldCharType="separate"/>
      </w:r>
      <w:r>
        <w:t>7</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_Toc31578 </w:instrText>
      </w:r>
      <w:r>
        <w:rPr>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_Toc31578 \h </w:instrText>
      </w:r>
      <w:r>
        <w:fldChar w:fldCharType="separate"/>
      </w:r>
      <w:r>
        <w:t>9</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_Toc6614 </w:instrText>
      </w:r>
      <w:r>
        <w:rPr>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_Toc6614 \h </w:instrText>
      </w:r>
      <w:r>
        <w:fldChar w:fldCharType="separate"/>
      </w:r>
      <w:r>
        <w:t>9</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_Toc20439 </w:instrText>
      </w:r>
      <w:r>
        <w:rPr>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_Toc20439 \h </w:instrText>
      </w:r>
      <w:r>
        <w:fldChar w:fldCharType="separate"/>
      </w:r>
      <w:r>
        <w:t>11</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_Toc23467 </w:instrText>
      </w:r>
      <w:r>
        <w:rPr>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_Toc23467 \h </w:instrText>
      </w:r>
      <w:r>
        <w:fldChar w:fldCharType="separate"/>
      </w:r>
      <w:r>
        <w:t>12</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_Toc18455 </w:instrText>
      </w:r>
      <w:r>
        <w:rPr>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_Toc18455 \h </w:instrText>
      </w:r>
      <w:r>
        <w:fldChar w:fldCharType="separate"/>
      </w:r>
      <w:r>
        <w:t>12</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_Toc18122 </w:instrText>
      </w:r>
      <w:r>
        <w:rPr>
          <w:smallCaps/>
          <w:szCs w:val="20"/>
        </w:rPr>
        <w:fldChar w:fldCharType="separate"/>
      </w:r>
      <w:r>
        <w:rPr>
          <w:rFonts w:hint="eastAsia" w:ascii="黑体" w:hAnsi="黑体" w:eastAsia="黑体" w:cs="黑体"/>
        </w:rPr>
        <w:t>第三部分 名词解释</w:t>
      </w:r>
      <w:r>
        <w:tab/>
      </w:r>
      <w:r>
        <w:fldChar w:fldCharType="begin"/>
      </w:r>
      <w:r>
        <w:instrText xml:space="preserve"> PAGEREF _Toc18122 \h </w:instrText>
      </w:r>
      <w:r>
        <w:fldChar w:fldCharType="separate"/>
      </w:r>
      <w:r>
        <w:t>13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_Toc25539 </w:instrText>
      </w:r>
      <w:r>
        <w:rPr>
          <w:smallCaps/>
          <w:szCs w:val="20"/>
        </w:rPr>
        <w:fldChar w:fldCharType="separate"/>
      </w:r>
      <w:r>
        <w:rPr>
          <w:rFonts w:hint="eastAsia" w:ascii="黑体" w:hAnsi="黑体" w:eastAsia="黑体" w:cs="黑体"/>
        </w:rPr>
        <w:t>第四部分 附件</w:t>
      </w:r>
      <w:r>
        <w:tab/>
      </w:r>
      <w:r>
        <w:fldChar w:fldCharType="begin"/>
      </w:r>
      <w:r>
        <w:instrText xml:space="preserve"> PAGEREF _Toc25539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_Toc21200 </w:instrText>
      </w:r>
      <w:r>
        <w:rPr>
          <w:smallCaps/>
          <w:szCs w:val="20"/>
        </w:rPr>
        <w:fldChar w:fldCharType="separate"/>
      </w:r>
      <w:r>
        <w:rPr>
          <w:rFonts w:hint="eastAsia" w:ascii="黑体" w:hAnsi="黑体" w:eastAsia="黑体" w:cs="黑体"/>
        </w:rPr>
        <w:t>第五部分 附表</w:t>
      </w:r>
      <w:r>
        <w:tab/>
      </w:r>
      <w:r>
        <w:fldChar w:fldCharType="begin"/>
      </w:r>
      <w:r>
        <w:instrText xml:space="preserve"> PAGEREF _Toc21200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_Toc16431 </w:instrText>
      </w:r>
      <w:r>
        <w:rPr>
          <w:smallCaps/>
          <w:szCs w:val="20"/>
        </w:rPr>
        <w:fldChar w:fldCharType="separate"/>
      </w:r>
      <w:r>
        <w:rPr>
          <w:rFonts w:hint="eastAsia" w:ascii="黑体" w:eastAsia="黑体" w:cs="Times New Roman"/>
          <w:bCs w:val="0"/>
        </w:rPr>
        <w:t>一、收入支出决算总表</w:t>
      </w:r>
      <w:r>
        <w:tab/>
      </w:r>
      <w:r>
        <w:fldChar w:fldCharType="begin"/>
      </w:r>
      <w:r>
        <w:instrText xml:space="preserve"> PAGEREF _Toc16431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_Toc25389 </w:instrText>
      </w:r>
      <w:r>
        <w:rPr>
          <w:smallCaps/>
          <w:szCs w:val="20"/>
        </w:rPr>
        <w:fldChar w:fldCharType="separate"/>
      </w:r>
      <w:r>
        <w:rPr>
          <w:rFonts w:hint="eastAsia" w:ascii="黑体" w:eastAsia="黑体" w:cs="Times New Roman"/>
          <w:bCs w:val="0"/>
        </w:rPr>
        <w:t>二、收入决算表</w:t>
      </w:r>
      <w:r>
        <w:tab/>
      </w:r>
      <w:r>
        <w:fldChar w:fldCharType="begin"/>
      </w:r>
      <w:r>
        <w:instrText xml:space="preserve"> PAGEREF _Toc25389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_Toc10450 </w:instrText>
      </w:r>
      <w:r>
        <w:rPr>
          <w:smallCaps/>
          <w:szCs w:val="20"/>
        </w:rPr>
        <w:fldChar w:fldCharType="separate"/>
      </w:r>
      <w:r>
        <w:rPr>
          <w:rFonts w:hint="eastAsia" w:ascii="黑体" w:eastAsia="黑体" w:cs="Times New Roman"/>
          <w:bCs w:val="0"/>
        </w:rPr>
        <w:t>三、支出决算表</w:t>
      </w:r>
      <w:r>
        <w:tab/>
      </w:r>
      <w:r>
        <w:fldChar w:fldCharType="begin"/>
      </w:r>
      <w:r>
        <w:instrText xml:space="preserve"> PAGEREF _Toc10450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_Toc15415 </w:instrText>
      </w:r>
      <w:r>
        <w:rPr>
          <w:smallCaps/>
          <w:szCs w:val="20"/>
        </w:rPr>
        <w:fldChar w:fldCharType="separate"/>
      </w:r>
      <w:r>
        <w:rPr>
          <w:rFonts w:hint="eastAsia" w:ascii="黑体" w:eastAsia="黑体" w:cs="Times New Roman"/>
          <w:bCs w:val="0"/>
        </w:rPr>
        <w:t>四、财政拨款收入支出决算总表</w:t>
      </w:r>
      <w:r>
        <w:tab/>
      </w:r>
      <w:r>
        <w:fldChar w:fldCharType="begin"/>
      </w:r>
      <w:r>
        <w:instrText xml:space="preserve"> PAGEREF _Toc15415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_Toc17530 </w:instrText>
      </w:r>
      <w:r>
        <w:rPr>
          <w:smallCaps/>
          <w:szCs w:val="20"/>
        </w:rPr>
        <w:fldChar w:fldCharType="separate"/>
      </w:r>
      <w:r>
        <w:rPr>
          <w:rFonts w:hint="eastAsia" w:ascii="黑体" w:eastAsia="黑体" w:cs="Times New Roman"/>
          <w:bCs w:val="0"/>
        </w:rPr>
        <w:t>五、财政拨款支出决算明细表</w:t>
      </w:r>
      <w:r>
        <w:tab/>
      </w:r>
      <w:r>
        <w:fldChar w:fldCharType="begin"/>
      </w:r>
      <w:r>
        <w:instrText xml:space="preserve"> PAGEREF _Toc17530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_Toc22032 </w:instrText>
      </w:r>
      <w:r>
        <w:rPr>
          <w:smallCaps/>
          <w:szCs w:val="20"/>
        </w:rPr>
        <w:fldChar w:fldCharType="separate"/>
      </w:r>
      <w:r>
        <w:rPr>
          <w:rFonts w:hint="eastAsia" w:ascii="黑体" w:eastAsia="黑体" w:cs="Times New Roman"/>
          <w:bCs w:val="0"/>
        </w:rPr>
        <w:t>六、一般公共预算财政拨款支出决算表</w:t>
      </w:r>
      <w:r>
        <w:tab/>
      </w:r>
      <w:r>
        <w:fldChar w:fldCharType="begin"/>
      </w:r>
      <w:r>
        <w:instrText xml:space="preserve"> PAGEREF _Toc22032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_Toc3364 </w:instrText>
      </w:r>
      <w:r>
        <w:rPr>
          <w:smallCaps/>
          <w:szCs w:val="20"/>
        </w:rPr>
        <w:fldChar w:fldCharType="separate"/>
      </w:r>
      <w:r>
        <w:rPr>
          <w:rFonts w:hint="eastAsia" w:ascii="黑体" w:eastAsia="黑体" w:cs="Times New Roman"/>
          <w:bCs w:val="0"/>
        </w:rPr>
        <w:t>七、一般公共预算财政拨款支出决算明细表</w:t>
      </w:r>
      <w:r>
        <w:tab/>
      </w:r>
      <w:r>
        <w:fldChar w:fldCharType="begin"/>
      </w:r>
      <w:r>
        <w:instrText xml:space="preserve"> PAGEREF _Toc3364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_Toc9110 </w:instrText>
      </w:r>
      <w:r>
        <w:rPr>
          <w:smallCaps/>
          <w:szCs w:val="20"/>
        </w:rPr>
        <w:fldChar w:fldCharType="separate"/>
      </w:r>
      <w:r>
        <w:rPr>
          <w:rFonts w:hint="eastAsia" w:ascii="黑体" w:eastAsia="黑体" w:cs="Times New Roman"/>
          <w:bCs w:val="0"/>
        </w:rPr>
        <w:t>八、一般公共预算财政拨款基本支出决算表</w:t>
      </w:r>
      <w:r>
        <w:tab/>
      </w:r>
      <w:r>
        <w:fldChar w:fldCharType="begin"/>
      </w:r>
      <w:r>
        <w:instrText xml:space="preserve"> PAGEREF _Toc9110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_Toc28582 </w:instrText>
      </w:r>
      <w:r>
        <w:rPr>
          <w:smallCaps/>
          <w:szCs w:val="20"/>
        </w:rPr>
        <w:fldChar w:fldCharType="separate"/>
      </w:r>
      <w:r>
        <w:rPr>
          <w:rFonts w:hint="eastAsia" w:ascii="黑体" w:eastAsia="黑体" w:cs="Times New Roman"/>
          <w:bCs w:val="0"/>
        </w:rPr>
        <w:t>九、一般公共预算财政拨款项目支出决算表</w:t>
      </w:r>
      <w:r>
        <w:tab/>
      </w:r>
      <w:r>
        <w:fldChar w:fldCharType="begin"/>
      </w:r>
      <w:r>
        <w:instrText xml:space="preserve"> PAGEREF _Toc28582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_Toc22001 </w:instrText>
      </w:r>
      <w:r>
        <w:rPr>
          <w:smallCaps/>
          <w:szCs w:val="20"/>
        </w:rPr>
        <w:fldChar w:fldCharType="separate"/>
      </w:r>
      <w:r>
        <w:rPr>
          <w:rFonts w:hint="eastAsia" w:ascii="黑体" w:eastAsia="黑体" w:cs="Times New Roman"/>
          <w:bCs w:val="0"/>
        </w:rPr>
        <w:t>十、政府性基金预算财政拨款收入支出决算表</w:t>
      </w:r>
      <w:r>
        <w:tab/>
      </w:r>
      <w:r>
        <w:fldChar w:fldCharType="begin"/>
      </w:r>
      <w:r>
        <w:instrText xml:space="preserve"> PAGEREF _Toc22001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_Toc6538 </w:instrText>
      </w:r>
      <w:r>
        <w:rPr>
          <w:smallCaps/>
          <w:szCs w:val="20"/>
        </w:rPr>
        <w:fldChar w:fldCharType="separate"/>
      </w:r>
      <w:r>
        <w:rPr>
          <w:rFonts w:hint="eastAsia" w:ascii="黑体" w:eastAsia="黑体" w:cs="Times New Roman"/>
          <w:bCs w:val="0"/>
        </w:rPr>
        <w:t>十一、国有资本经营预算财政拨款收入支出决算表</w:t>
      </w:r>
      <w:r>
        <w:tab/>
      </w:r>
      <w:r>
        <w:fldChar w:fldCharType="begin"/>
      </w:r>
      <w:r>
        <w:instrText xml:space="preserve"> PAGEREF _Toc6538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_Toc10625 </w:instrText>
      </w:r>
      <w:r>
        <w:rPr>
          <w:smallCaps/>
          <w:szCs w:val="20"/>
        </w:rPr>
        <w:fldChar w:fldCharType="separate"/>
      </w:r>
      <w:r>
        <w:rPr>
          <w:rFonts w:hint="eastAsia" w:ascii="黑体" w:eastAsia="黑体" w:cs="Times New Roman"/>
          <w:bCs w:val="0"/>
        </w:rPr>
        <w:t>十二、国有资本经营预算财政拨款支出决算表</w:t>
      </w:r>
      <w:r>
        <w:tab/>
      </w:r>
      <w:r>
        <w:fldChar w:fldCharType="begin"/>
      </w:r>
      <w:r>
        <w:instrText xml:space="preserve"> PAGEREF _Toc10625 \h </w:instrText>
      </w:r>
      <w:r>
        <w:fldChar w:fldCharType="separate"/>
      </w:r>
      <w:r>
        <w:t>15</w:t>
      </w:r>
      <w:r>
        <w:fldChar w:fldCharType="end"/>
      </w:r>
      <w:r>
        <w:rPr>
          <w:smallCaps/>
          <w:szCs w:val="20"/>
        </w:rPr>
        <w:fldChar w:fldCharType="end"/>
      </w:r>
    </w:p>
    <w:p>
      <w:pPr>
        <w:pStyle w:val="18"/>
        <w:tabs>
          <w:tab w:val="right" w:leader="dot" w:pos="8306"/>
          <w:tab w:val="clear" w:pos="8296"/>
        </w:tabs>
      </w:pPr>
      <w:r>
        <w:rPr>
          <w:smallCaps/>
          <w:szCs w:val="20"/>
        </w:rPr>
        <w:fldChar w:fldCharType="begin"/>
      </w:r>
      <w:r>
        <w:rPr>
          <w:smallCaps/>
          <w:szCs w:val="20"/>
        </w:rPr>
        <w:instrText xml:space="preserve"> HYPERLINK \l _Toc28356 </w:instrText>
      </w:r>
      <w:r>
        <w:rPr>
          <w:smallCaps/>
          <w:szCs w:val="20"/>
        </w:rPr>
        <w:fldChar w:fldCharType="separate"/>
      </w:r>
      <w:r>
        <w:rPr>
          <w:rFonts w:hint="eastAsia" w:ascii="黑体" w:eastAsia="黑体" w:cs="Times New Roman"/>
          <w:bCs w:val="0"/>
        </w:rPr>
        <w:t>十三、财政拨款“三公”经费支出决算表</w:t>
      </w:r>
      <w:r>
        <w:tab/>
      </w:r>
      <w:r>
        <w:fldChar w:fldCharType="begin"/>
      </w:r>
      <w:r>
        <w:instrText xml:space="preserve"> PAGEREF _Toc28356 \h </w:instrText>
      </w:r>
      <w:r>
        <w:fldChar w:fldCharType="separate"/>
      </w:r>
      <w:r>
        <w:t>15</w:t>
      </w:r>
      <w:r>
        <w:fldChar w:fldCharType="end"/>
      </w:r>
      <w:r>
        <w:rPr>
          <w:smallCaps/>
          <w:szCs w:val="20"/>
        </w:rPr>
        <w:fldChar w:fldCharType="end"/>
      </w:r>
    </w:p>
    <w:p>
      <w:pPr>
        <w:pStyle w:val="6"/>
      </w:pPr>
      <w:r>
        <w:rPr>
          <w:smallCaps/>
          <w:szCs w:val="20"/>
        </w:rPr>
        <w:fldChar w:fldCharType="end"/>
      </w:r>
    </w:p>
    <w:p>
      <w:pPr>
        <w:pStyle w:val="3"/>
        <w:jc w:val="center"/>
        <w:rPr>
          <w:rFonts w:ascii="黑体" w:hAnsi="黑体" w:eastAsia="黑体" w:cs="黑体"/>
          <w:b w:val="0"/>
          <w:bCs w:val="0"/>
        </w:rPr>
      </w:pPr>
      <w:bookmarkStart w:id="13" w:name="_Toc111208495"/>
      <w:bookmarkStart w:id="14" w:name="_Toc9016"/>
      <w:r>
        <w:rPr>
          <w:rFonts w:hint="eastAsia" w:ascii="黑体" w:hAnsi="黑体" w:eastAsia="黑体" w:cs="黑体"/>
        </w:rPr>
        <w:t xml:space="preserve">第一部分 </w:t>
      </w:r>
      <w:r>
        <w:rPr>
          <w:rStyle w:val="35"/>
          <w:rFonts w:hint="eastAsia" w:ascii="黑体" w:hAnsi="黑体" w:eastAsia="黑体" w:cs="黑体"/>
          <w:b/>
          <w:bCs w:val="0"/>
        </w:rPr>
        <w:t>部门</w:t>
      </w:r>
      <w:r>
        <w:rPr>
          <w:rStyle w:val="35"/>
          <w:rFonts w:ascii="黑体" w:hAnsi="黑体" w:eastAsia="黑体" w:cs="黑体"/>
          <w:b/>
          <w:bCs w:val="0"/>
          <w:u w:color="auto"/>
        </w:rPr>
        <w:t>概况</w:t>
      </w:r>
      <w:bookmarkEnd w:id="12"/>
      <w:bookmarkEnd w:id="13"/>
      <w:bookmarkEnd w:id="14"/>
    </w:p>
    <w:p>
      <w:pPr>
        <w:pStyle w:val="4"/>
        <w:ind w:firstLine="643" w:firstLineChars="200"/>
        <w:rPr>
          <w:rFonts w:ascii="黑体" w:eastAsia="黑体" w:cs="Times New Roman"/>
          <w:bCs w:val="0"/>
          <w:color w:val="000000"/>
        </w:rPr>
      </w:pPr>
      <w:bookmarkStart w:id="15" w:name="_Toc113981010"/>
      <w:bookmarkStart w:id="16" w:name="_Toc28564"/>
      <w:bookmarkStart w:id="17" w:name="_Toc15377197"/>
      <w:bookmarkStart w:id="18" w:name="_Toc111208496"/>
      <w:bookmarkStart w:id="19" w:name="_Toc15377204"/>
      <w:r>
        <w:rPr>
          <w:rFonts w:hint="eastAsia" w:ascii="黑体" w:eastAsia="黑体" w:cs="Times New Roman"/>
          <w:bCs w:val="0"/>
          <w:color w:val="000000"/>
        </w:rPr>
        <w:t>一、基本职能及主要工作</w:t>
      </w:r>
      <w:bookmarkEnd w:id="15"/>
      <w:bookmarkEnd w:id="16"/>
      <w:bookmarkEnd w:id="17"/>
      <w:bookmarkEnd w:id="18"/>
      <w:bookmarkStart w:id="20" w:name="_Toc15377198"/>
      <w:bookmarkStart w:id="21" w:name="_Toc15378445"/>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（一）主要职能</w:t>
      </w:r>
      <w:bookmarkEnd w:id="20"/>
      <w:bookmarkEnd w:id="21"/>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仿宋" w:hAnsi="仿宋" w:eastAsia="仿宋"/>
          <w:color w:val="000000"/>
          <w:sz w:val="32"/>
          <w:szCs w:val="32"/>
        </w:rPr>
        <w:t>（1）负责党和国家领导人（含曾经担任）、省委、省人大、省政府、省政协副省级以上、州委、州人大、州政府、州政协副厅级领导（含曾经但任）来县的服务保障。</w:t>
      </w:r>
      <w:r>
        <w:rPr>
          <w:rFonts w:ascii="仿宋" w:hAnsi="仿宋" w:eastAsia="仿宋"/>
          <w:color w:val="000000"/>
          <w:sz w:val="32"/>
          <w:szCs w:val="32"/>
        </w:rPr>
        <w:cr/>
      </w:r>
      <w:r>
        <w:rPr>
          <w:rFonts w:ascii="仿宋" w:hAnsi="仿宋" w:eastAsia="仿宋"/>
          <w:color w:val="000000"/>
          <w:sz w:val="32"/>
          <w:szCs w:val="32"/>
        </w:rPr>
        <w:t>（2）按照有关规定负责和参与党中央、国务院、省委、省政府、州委、州政府巡视、检查、督查（督导、督察）、考察、调研、考核、审计等工作组来县的服务保障。</w:t>
      </w:r>
      <w:r>
        <w:rPr>
          <w:rFonts w:ascii="仿宋" w:hAnsi="仿宋" w:eastAsia="仿宋"/>
          <w:color w:val="000000"/>
          <w:sz w:val="32"/>
          <w:szCs w:val="32"/>
        </w:rPr>
        <w:cr/>
      </w:r>
      <w:r>
        <w:rPr>
          <w:rFonts w:ascii="仿宋" w:hAnsi="仿宋" w:eastAsia="仿宋"/>
          <w:color w:val="000000"/>
          <w:sz w:val="32"/>
          <w:szCs w:val="32"/>
        </w:rPr>
        <w:t>（3）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w:t>
      </w:r>
      <w:r>
        <w:rPr>
          <w:rFonts w:ascii="仿宋" w:hAnsi="仿宋" w:eastAsia="仿宋"/>
          <w:color w:val="000000"/>
          <w:sz w:val="32"/>
          <w:szCs w:val="32"/>
        </w:rPr>
        <w:cr/>
      </w:r>
      <w:r>
        <w:rPr>
          <w:rFonts w:ascii="仿宋" w:hAnsi="仿宋" w:eastAsia="仿宋"/>
          <w:color w:val="000000"/>
          <w:sz w:val="32"/>
          <w:szCs w:val="32"/>
        </w:rPr>
        <w:t>（4）负责或参与外省（州、市、区、县）党政代表团来县考察的协调联络和服务保障。</w:t>
      </w:r>
      <w:r>
        <w:rPr>
          <w:rFonts w:ascii="仿宋" w:hAnsi="仿宋" w:eastAsia="仿宋"/>
          <w:color w:val="000000"/>
          <w:sz w:val="32"/>
          <w:szCs w:val="32"/>
        </w:rPr>
        <w:cr/>
      </w:r>
      <w:r>
        <w:rPr>
          <w:rFonts w:ascii="仿宋" w:hAnsi="仿宋" w:eastAsia="仿宋"/>
          <w:color w:val="000000"/>
          <w:sz w:val="32"/>
          <w:szCs w:val="32"/>
        </w:rPr>
        <w:t>（5）负责我县党政代表团赴外省（州、市、区、县）考察的协调联络和服务保障。</w:t>
      </w:r>
      <w:r>
        <w:rPr>
          <w:rFonts w:ascii="仿宋" w:hAnsi="仿宋" w:eastAsia="仿宋"/>
          <w:color w:val="000000"/>
          <w:sz w:val="32"/>
          <w:szCs w:val="32"/>
        </w:rPr>
        <w:cr/>
      </w:r>
      <w:r>
        <w:rPr>
          <w:rFonts w:ascii="仿宋" w:hAnsi="仿宋" w:eastAsia="仿宋"/>
          <w:color w:val="000000"/>
          <w:sz w:val="32"/>
          <w:szCs w:val="32"/>
        </w:rPr>
        <w:t>（6）负责县委、县政府交办的由县公务服务中心承担的外事接待和招商引资事项的服务保障。</w:t>
      </w:r>
      <w:r>
        <w:rPr>
          <w:rFonts w:ascii="仿宋" w:hAnsi="仿宋" w:eastAsia="仿宋"/>
          <w:color w:val="000000"/>
          <w:sz w:val="32"/>
          <w:szCs w:val="32"/>
        </w:rPr>
        <w:cr/>
      </w:r>
      <w:r>
        <w:rPr>
          <w:rFonts w:ascii="仿宋" w:hAnsi="仿宋" w:eastAsia="仿宋"/>
          <w:color w:val="000000"/>
          <w:sz w:val="32"/>
          <w:szCs w:val="32"/>
        </w:rPr>
        <w:t>（7）按照中央八项规定和省委、省政府十项规定及其实施细则要求，负责联系协调县级有关部门及关联单位承办州委、州政府重大公务活动的服务工作。</w:t>
      </w:r>
      <w:r>
        <w:rPr>
          <w:rFonts w:ascii="仿宋" w:hAnsi="仿宋" w:eastAsia="仿宋"/>
          <w:color w:val="000000"/>
          <w:sz w:val="32"/>
          <w:szCs w:val="32"/>
        </w:rPr>
        <w:cr/>
      </w:r>
      <w:r>
        <w:rPr>
          <w:rFonts w:ascii="仿宋" w:hAnsi="仿宋" w:eastAsia="仿宋"/>
          <w:color w:val="000000"/>
          <w:sz w:val="32"/>
          <w:szCs w:val="32"/>
        </w:rPr>
        <w:t>（8）会同县级有关部门承担县委、县政府交办的大型会议、活动的接待服务保障工作。</w:t>
      </w:r>
      <w:r>
        <w:rPr>
          <w:rFonts w:ascii="仿宋" w:hAnsi="仿宋" w:eastAsia="仿宋"/>
          <w:color w:val="000000"/>
          <w:sz w:val="32"/>
          <w:szCs w:val="32"/>
        </w:rPr>
        <w:cr/>
      </w:r>
      <w:r>
        <w:rPr>
          <w:rFonts w:ascii="仿宋" w:hAnsi="仿宋" w:eastAsia="仿宋"/>
          <w:color w:val="000000"/>
          <w:sz w:val="32"/>
          <w:szCs w:val="32"/>
        </w:rPr>
        <w:t>（9）指导县级部门的公务活动服务保障工作，参与拟订全县公务服务相关规定。</w:t>
      </w:r>
      <w:r>
        <w:rPr>
          <w:rFonts w:ascii="仿宋" w:hAnsi="仿宋" w:eastAsia="仿宋"/>
          <w:color w:val="000000"/>
          <w:sz w:val="32"/>
          <w:szCs w:val="32"/>
        </w:rPr>
        <w:cr/>
      </w:r>
      <w:r>
        <w:rPr>
          <w:rFonts w:ascii="仿宋" w:hAnsi="仿宋" w:eastAsia="仿宋"/>
          <w:color w:val="000000"/>
          <w:sz w:val="32"/>
          <w:szCs w:val="32"/>
        </w:rPr>
        <w:t xml:space="preserve">（10）负责办理中办警卫局、省警卫局安排的有关在县事务。    </w:t>
      </w:r>
      <w:r>
        <w:rPr>
          <w:rFonts w:ascii="仿宋" w:hAnsi="仿宋" w:eastAsia="仿宋"/>
          <w:color w:val="000000"/>
          <w:sz w:val="32"/>
          <w:szCs w:val="32"/>
        </w:rPr>
        <w:cr/>
      </w:r>
      <w:r>
        <w:rPr>
          <w:rFonts w:ascii="仿宋" w:hAnsi="仿宋" w:eastAsia="仿宋"/>
          <w:color w:val="000000"/>
          <w:sz w:val="32"/>
          <w:szCs w:val="32"/>
        </w:rPr>
        <w:t>（11）负责县级机关食堂管理工作。</w:t>
      </w:r>
      <w:r>
        <w:rPr>
          <w:rFonts w:ascii="仿宋" w:hAnsi="仿宋" w:eastAsia="仿宋"/>
          <w:color w:val="000000"/>
          <w:sz w:val="32"/>
          <w:szCs w:val="32"/>
        </w:rPr>
        <w:cr/>
      </w:r>
      <w:r>
        <w:rPr>
          <w:rFonts w:ascii="仿宋" w:hAnsi="仿宋" w:eastAsia="仿宋"/>
          <w:color w:val="000000"/>
          <w:sz w:val="32"/>
          <w:szCs w:val="32"/>
        </w:rPr>
        <w:t>（12）完成县委、县政府交办的其他任务。</w:t>
      </w:r>
    </w:p>
    <w:p>
      <w:pPr>
        <w:spacing w:line="600" w:lineRule="exact"/>
        <w:ind w:firstLine="643" w:firstLineChars="200"/>
        <w:outlineLvl w:val="2"/>
        <w:rPr>
          <w:rFonts w:ascii="仿宋" w:hAnsi="仿宋" w:eastAsia="仿宋"/>
          <w:b/>
          <w:color w:val="000000"/>
          <w:sz w:val="32"/>
          <w:szCs w:val="32"/>
        </w:rPr>
      </w:pPr>
      <w:bookmarkStart w:id="22" w:name="_Toc15378446"/>
      <w:bookmarkStart w:id="23" w:name="_Toc15377199"/>
      <w:r>
        <w:rPr>
          <w:rFonts w:hint="eastAsia" w:ascii="仿宋" w:hAnsi="仿宋" w:eastAsia="仿宋"/>
          <w:b/>
          <w:color w:val="000000"/>
          <w:sz w:val="32"/>
          <w:szCs w:val="32"/>
        </w:rPr>
        <w:t>（二）</w:t>
      </w:r>
      <w:r>
        <w:rPr>
          <w:rFonts w:ascii="仿宋" w:hAnsi="仿宋" w:eastAsia="仿宋"/>
          <w:b/>
          <w:color w:val="000000"/>
          <w:sz w:val="32"/>
          <w:szCs w:val="32"/>
        </w:rPr>
        <w:t>202</w:t>
      </w:r>
      <w:r>
        <w:rPr>
          <w:rFonts w:hint="eastAsia" w:ascii="仿宋" w:hAnsi="仿宋" w:eastAsia="仿宋"/>
          <w:b/>
          <w:color w:val="000000"/>
          <w:sz w:val="32"/>
          <w:szCs w:val="32"/>
          <w:lang w:val="en-US" w:eastAsia="zh-CN"/>
        </w:rPr>
        <w:t>3</w:t>
      </w:r>
      <w:r>
        <w:rPr>
          <w:rFonts w:hint="eastAsia" w:ascii="仿宋" w:hAnsi="仿宋" w:eastAsia="仿宋"/>
          <w:b/>
          <w:color w:val="000000"/>
          <w:sz w:val="32"/>
          <w:szCs w:val="32"/>
        </w:rPr>
        <w:t>重点工作完成情况</w:t>
      </w:r>
      <w:bookmarkEnd w:id="22"/>
      <w:bookmarkEnd w:id="23"/>
      <w:bookmarkStart w:id="24" w:name="_Toc15377200"/>
    </w:p>
    <w:p>
      <w:pPr>
        <w:numPr>
          <w:ilvl w:val="0"/>
          <w:numId w:val="0"/>
        </w:numPr>
        <w:spacing w:line="580" w:lineRule="exact"/>
        <w:ind w:firstLine="643"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一</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提高服务意识，</w:t>
      </w:r>
      <w:r>
        <w:rPr>
          <w:rFonts w:hint="eastAsia" w:ascii="楷体_GB2312" w:hAnsi="楷体_GB2312" w:eastAsia="楷体_GB2312" w:cs="楷体_GB2312"/>
          <w:b/>
          <w:bCs/>
          <w:color w:val="000000" w:themeColor="text1"/>
          <w:sz w:val="32"/>
          <w:szCs w:val="32"/>
          <w14:textFill>
            <w14:solidFill>
              <w14:schemeClr w14:val="tx1"/>
            </w14:solidFill>
          </w14:textFill>
        </w:rPr>
        <w:t>提升履职能力。</w:t>
      </w:r>
      <w:r>
        <w:rPr>
          <w:rFonts w:hint="eastAsia" w:ascii="仿宋_GB2312" w:hAnsi="仿宋_GB2312" w:eastAsia="仿宋_GB2312" w:cs="仿宋_GB2312"/>
          <w:b/>
          <w:bCs/>
          <w:color w:val="000000" w:themeColor="text1"/>
          <w:sz w:val="32"/>
          <w:szCs w:val="32"/>
          <w:shd w:val="clear" w:color="auto" w:fill="FFFFFF"/>
          <w14:textFill>
            <w14:solidFill>
              <w14:schemeClr w14:val="tx1"/>
            </w14:solidFill>
          </w14:textFill>
        </w:rPr>
        <w:t>一是强化组织领导，切实履行主体责任。</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明确</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“一岗双责”，</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中心</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主任负主要责任。</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定期分析重大</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接待</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、重要情况和干部职工的思想状况。</w:t>
      </w:r>
      <w:r>
        <w:rPr>
          <w:rFonts w:hint="eastAsia" w:ascii="仿宋_GB2312" w:hAnsi="仿宋_GB2312" w:eastAsia="仿宋_GB2312" w:cs="仿宋_GB2312"/>
          <w:b/>
          <w:bCs/>
          <w:color w:val="000000" w:themeColor="text1"/>
          <w:sz w:val="32"/>
          <w:szCs w:val="32"/>
          <w:shd w:val="clear" w:color="auto" w:fill="FFFFFF"/>
          <w14:textFill>
            <w14:solidFill>
              <w14:schemeClr w14:val="tx1"/>
            </w14:solidFill>
          </w14:textFill>
        </w:rPr>
        <w:t>二是加强思想建设，坚定正确政治方向。</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坚持把加强政治理论学习作为首要政治任务，</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全面贯彻落实习近平新时代中国特色社会主义思想和党的二十大精神，深入学习贯彻习近平总书记来川视察重要讲话精神。加强组织领导保障，明确责任分工，统筹推进各项工作任务落地落实。</w:t>
      </w:r>
      <w:r>
        <w:rPr>
          <w:rFonts w:hint="eastAsia" w:ascii="仿宋_GB2312" w:hAnsi="仿宋_GB2312" w:eastAsia="仿宋_GB2312" w:cs="仿宋_GB2312"/>
          <w:bCs/>
          <w:color w:val="000000" w:themeColor="text1"/>
          <w:kern w:val="0"/>
          <w:sz w:val="32"/>
          <w:szCs w:val="32"/>
          <w14:textFill>
            <w14:solidFill>
              <w14:schemeClr w14:val="tx1"/>
            </w14:solidFill>
          </w14:textFill>
        </w:rPr>
        <w:t>干部队伍的思想意识是推动工作的基础，</w:t>
      </w:r>
      <w:r>
        <w:rPr>
          <w:rFonts w:hint="eastAsia" w:ascii="仿宋_GB2312" w:hAnsi="仿宋_GB2312" w:eastAsia="仿宋_GB2312" w:cs="仿宋_GB2312"/>
          <w:color w:val="000000" w:themeColor="text1"/>
          <w:sz w:val="32"/>
          <w:szCs w:val="32"/>
          <w14:textFill>
            <w14:solidFill>
              <w14:schemeClr w14:val="tx1"/>
            </w14:solidFill>
          </w14:textFill>
        </w:rPr>
        <w:t>我</w:t>
      </w:r>
      <w:r>
        <w:rPr>
          <w:rFonts w:hint="eastAsia" w:ascii="仿宋_GB2312" w:hAnsi="仿宋_GB2312" w:eastAsia="仿宋_GB2312" w:cs="仿宋_GB2312"/>
          <w:color w:val="000000" w:themeColor="text1"/>
          <w:sz w:val="32"/>
          <w:szCs w:val="32"/>
          <w:lang w:eastAsia="zh-CN"/>
          <w14:textFill>
            <w14:solidFill>
              <w14:schemeClr w14:val="tx1"/>
            </w14:solidFill>
          </w14:textFill>
        </w:rPr>
        <w:t>中心</w:t>
      </w:r>
      <w:r>
        <w:rPr>
          <w:rFonts w:hint="eastAsia" w:ascii="仿宋_GB2312" w:hAnsi="仿宋_GB2312" w:eastAsia="仿宋_GB2312" w:cs="仿宋_GB2312"/>
          <w:color w:val="000000" w:themeColor="text1"/>
          <w:sz w:val="32"/>
          <w:szCs w:val="32"/>
          <w14:textFill>
            <w14:solidFill>
              <w14:schemeClr w14:val="tx1"/>
            </w14:solidFill>
          </w14:textFill>
        </w:rPr>
        <w:t>坚持在强化干部职工的服务意识上下功夫，不断增强“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政通人和、欣欣向荣、风清气正</w:t>
      </w:r>
      <w:r>
        <w:rPr>
          <w:rFonts w:hint="eastAsia" w:ascii="仿宋_GB2312" w:hAnsi="仿宋_GB2312" w:eastAsia="仿宋_GB2312" w:cs="仿宋_GB2312"/>
          <w:color w:val="000000" w:themeColor="text1"/>
          <w:sz w:val="32"/>
          <w:szCs w:val="32"/>
          <w14:textFill>
            <w14:solidFill>
              <w14:schemeClr w14:val="tx1"/>
            </w14:solidFill>
          </w14:textFill>
        </w:rPr>
        <w:t>”的工作作风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认真抓好干部职工的学习与教育工作，增强全</w:t>
      </w:r>
      <w:r>
        <w:rPr>
          <w:rFonts w:hint="eastAsia" w:ascii="仿宋_GB2312" w:hAnsi="仿宋_GB2312" w:eastAsia="仿宋_GB2312" w:cs="仿宋_GB2312"/>
          <w:color w:val="000000" w:themeColor="text1"/>
          <w:sz w:val="32"/>
          <w:szCs w:val="32"/>
          <w:lang w:eastAsia="zh-CN"/>
          <w14:textFill>
            <w14:solidFill>
              <w14:schemeClr w14:val="tx1"/>
            </w14:solidFill>
          </w14:textFill>
        </w:rPr>
        <w:t>中心</w:t>
      </w:r>
      <w:r>
        <w:rPr>
          <w:rFonts w:hint="eastAsia" w:ascii="仿宋_GB2312" w:hAnsi="仿宋_GB2312" w:eastAsia="仿宋_GB2312" w:cs="仿宋_GB2312"/>
          <w:color w:val="000000" w:themeColor="text1"/>
          <w:sz w:val="32"/>
          <w:szCs w:val="32"/>
          <w14:textFill>
            <w14:solidFill>
              <w14:schemeClr w14:val="tx1"/>
            </w14:solidFill>
          </w14:textFill>
        </w:rPr>
        <w:t>干部职工的创新意识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干部职工素质、工作效率和管理服务水平得到进一步提高。</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楷体_GB2312" w:hAnsi="楷体" w:eastAsia="楷体_GB2312" w:cs="楷体"/>
          <w:b/>
          <w:color w:val="000000" w:themeColor="text1"/>
          <w:sz w:val="32"/>
          <w:szCs w:val="32"/>
          <w14:textFill>
            <w14:solidFill>
              <w14:schemeClr w14:val="tx1"/>
            </w14:solidFill>
          </w14:textFill>
        </w:rPr>
        <w:t>（</w:t>
      </w:r>
      <w:r>
        <w:rPr>
          <w:rFonts w:hint="eastAsia" w:ascii="楷体_GB2312" w:hAnsi="楷体" w:eastAsia="楷体_GB2312" w:cs="楷体"/>
          <w:b/>
          <w:color w:val="000000" w:themeColor="text1"/>
          <w:sz w:val="32"/>
          <w:szCs w:val="32"/>
          <w:lang w:eastAsia="zh-CN"/>
          <w14:textFill>
            <w14:solidFill>
              <w14:schemeClr w14:val="tx1"/>
            </w14:solidFill>
          </w14:textFill>
        </w:rPr>
        <w:t>二</w:t>
      </w:r>
      <w:r>
        <w:rPr>
          <w:rFonts w:hint="eastAsia" w:ascii="楷体_GB2312" w:hAnsi="楷体" w:eastAsia="楷体_GB2312" w:cs="楷体"/>
          <w:b/>
          <w:color w:val="000000" w:themeColor="text1"/>
          <w:sz w:val="32"/>
          <w:szCs w:val="32"/>
          <w14:textFill>
            <w14:solidFill>
              <w14:schemeClr w14:val="tx1"/>
            </w14:solidFill>
          </w14:textFill>
        </w:rPr>
        <w:t>）</w:t>
      </w:r>
      <w:r>
        <w:rPr>
          <w:rFonts w:hint="eastAsia" w:ascii="楷体_GB2312" w:hAnsi="楷体" w:eastAsia="楷体_GB2312" w:cs="楷体"/>
          <w:b/>
          <w:color w:val="000000" w:themeColor="text1"/>
          <w:sz w:val="32"/>
          <w:szCs w:val="32"/>
          <w:lang w:val="en-US" w:eastAsia="zh-CN"/>
          <w14:textFill>
            <w14:solidFill>
              <w14:schemeClr w14:val="tx1"/>
            </w14:solidFill>
          </w14:textFill>
        </w:rPr>
        <w:t>强化廉洁意识，提升服务质效</w:t>
      </w:r>
      <w:r>
        <w:rPr>
          <w:rFonts w:hint="eastAsia" w:ascii="楷体_GB2312" w:hAnsi="楷体" w:eastAsia="楷体_GB2312" w:cs="楷体"/>
          <w:b/>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一是加强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中心</w:t>
      </w:r>
      <w:r>
        <w:rPr>
          <w:rFonts w:hint="eastAsia" w:ascii="仿宋_GB2312" w:hAnsi="仿宋_GB2312" w:eastAsia="仿宋_GB2312" w:cs="仿宋_GB2312"/>
          <w:b/>
          <w:color w:val="000000" w:themeColor="text1"/>
          <w:sz w:val="32"/>
          <w:szCs w:val="32"/>
          <w14:textFill>
            <w14:solidFill>
              <w14:schemeClr w14:val="tx1"/>
            </w14:solidFill>
          </w14:textFill>
        </w:rPr>
        <w:t>党风廉政建设。</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认真贯彻落实上级党委、政府重大决策及工作部署，坚持依法行政，依法办事，围绕大局尽职尽责开展工作。坚持重大决策、重大人事任免、重大项目安排和大额资金使用等“三重一大”事项集体研究、集体决策。始终坚持集体领导和个人分工相结合，各负其责、团结共事。</w:t>
      </w:r>
      <w:r>
        <w:rPr>
          <w:rFonts w:hint="eastAsia" w:ascii="仿宋_GB2312" w:hAnsi="仿宋_GB2312" w:eastAsia="仿宋_GB2312" w:cs="仿宋_GB2312"/>
          <w:color w:val="000000" w:themeColor="text1"/>
          <w:sz w:val="32"/>
          <w:szCs w:val="32"/>
          <w14:textFill>
            <w14:solidFill>
              <w14:schemeClr w14:val="tx1"/>
            </w14:solidFill>
          </w14:textFill>
        </w:rPr>
        <w:t>切实履行“一岗双责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坚守勤政廉洁的底线，时时处处严格要求，增强廉洁从政意识，筑牢思想防线，确保各项工作落实到实处。严格执行接待审批制、接待公函制、接待清单制、对口接待制以及接待信息公开制等制度，做到无公函不接待、无审批不安排、无清单不报销、无会审不入档。</w:t>
      </w:r>
      <w:r>
        <w:rPr>
          <w:rFonts w:hint="eastAsia" w:ascii="仿宋_GB2312" w:hAnsi="仿宋_GB2312" w:eastAsia="仿宋_GB2312" w:cs="仿宋_GB2312"/>
          <w:b/>
          <w:color w:val="000000" w:themeColor="text1"/>
          <w:sz w:val="32"/>
          <w:szCs w:val="32"/>
          <w14:textFill>
            <w14:solidFill>
              <w14:schemeClr w14:val="tx1"/>
            </w14:solidFill>
          </w14:textFill>
        </w:rPr>
        <w:t>二是健全完善规章制度。</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立</w:t>
      </w:r>
      <w:r>
        <w:rPr>
          <w:rFonts w:hint="eastAsia" w:ascii="仿宋_GB2312" w:hAnsi="仿宋_GB2312" w:eastAsia="仿宋_GB2312" w:cs="仿宋_GB2312"/>
          <w:bCs/>
          <w:color w:val="000000" w:themeColor="text1"/>
          <w:sz w:val="32"/>
          <w:szCs w:val="32"/>
          <w14:textFill>
            <w14:solidFill>
              <w14:schemeClr w14:val="tx1"/>
            </w14:solidFill>
          </w14:textFill>
        </w:rPr>
        <w:t>足实际，按照“提速增效、简化礼仪、勤俭务实、大方合理”的原则，对接待原则、接待范围、接待标准、接待方案制定、经费管理等作出明确要求，执行统一的接待标准。严格实行“按标准接待、按程序报账、按制度规范”、“财务工作专人负责、经费支出事前报告、费用结算当日办结”的接待经费管理模式，整个接待过程做到有章可依、流程明确、监督到位。</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三</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加强公务接待管理，</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提升公务服务意识。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严格落实</w:t>
      </w:r>
      <w:r>
        <w:rPr>
          <w:rFonts w:hint="eastAsia" w:ascii="仿宋_GB2312" w:hAnsi="仿宋_GB2312" w:eastAsia="仿宋_GB2312" w:cs="仿宋_GB2312"/>
          <w:color w:val="000000" w:themeColor="text1"/>
          <w:sz w:val="32"/>
          <w:szCs w:val="32"/>
          <w14:textFill>
            <w14:solidFill>
              <w14:schemeClr w14:val="tx1"/>
            </w14:solidFill>
          </w14:textFill>
        </w:rPr>
        <w:t>省、州、县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相关</w:t>
      </w:r>
      <w:r>
        <w:rPr>
          <w:rFonts w:hint="eastAsia" w:ascii="仿宋_GB2312" w:hAnsi="仿宋_GB2312" w:eastAsia="仿宋_GB2312" w:cs="仿宋_GB2312"/>
          <w:color w:val="000000" w:themeColor="text1"/>
          <w:sz w:val="32"/>
          <w:szCs w:val="32"/>
          <w14:textFill>
            <w14:solidFill>
              <w14:schemeClr w14:val="tx1"/>
            </w14:solidFill>
          </w14:textFill>
        </w:rPr>
        <w:t>规定，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抓好党政机关例行节约反对浪费条例公务接待管理规定及公务接待管理办法的贯彻执行，始终坚持“有利公务、务实节俭、严格标准、简化礼仪、高效透明”的原则，规范各类公务接待活动，严格执行公务接待标准，控制接待经费，坚决禁止超标准、超范围接待。打造优质服务特色，牢固树立“细节决定成败”的理念，在接待礼仪上，对待来宾和随行人员彬彬有礼、谦和友善；在住宿安排上，精心挑选干净卫生、设施条件好服务质量高，保密意识强的酒店为指定接待点；在膳食服务上，结合宾客的需求、在例行节约、反对浪费的前提下尽量做到突出本地风味和区域特色，精心安排饮食菜肴；在安全管理上，保证客人及其物品、信息资料的安全。加强与牵头部门、来宾单位及接待酒店的沟通衔接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截止目前，我中心</w:t>
      </w:r>
      <w:r>
        <w:rPr>
          <w:rFonts w:hint="eastAsia" w:ascii="仿宋_GB2312" w:hAnsi="仿宋_GB2312" w:eastAsia="仿宋_GB2312" w:cs="仿宋_GB2312"/>
          <w:color w:val="000000" w:themeColor="text1"/>
          <w:sz w:val="32"/>
          <w:szCs w:val="32"/>
          <w14:textFill>
            <w14:solidFill>
              <w14:schemeClr w14:val="tx1"/>
            </w14:solidFill>
          </w14:textFill>
        </w:rPr>
        <w:t>先后</w:t>
      </w:r>
      <w:r>
        <w:rPr>
          <w:rFonts w:hint="eastAsia" w:ascii="仿宋_GB2312" w:hAnsi="仿宋_GB2312" w:eastAsia="仿宋_GB2312" w:cs="仿宋_GB2312"/>
          <w:bCs/>
          <w:color w:val="000000" w:themeColor="text1"/>
          <w:sz w:val="32"/>
          <w:szCs w:val="32"/>
          <w14:textFill>
            <w14:solidFill>
              <w14:schemeClr w14:val="tx1"/>
            </w14:solidFill>
          </w14:textFill>
        </w:rPr>
        <w:t>圆满完成了</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中央、</w:t>
      </w:r>
      <w:r>
        <w:rPr>
          <w:rFonts w:hint="eastAsia" w:ascii="仿宋_GB2312" w:hAnsi="仿宋_GB2312" w:eastAsia="仿宋_GB2312" w:cs="仿宋_GB2312"/>
          <w:bCs/>
          <w:color w:val="000000" w:themeColor="text1"/>
          <w:sz w:val="32"/>
          <w:szCs w:val="32"/>
          <w14:textFill>
            <w14:solidFill>
              <w14:schemeClr w14:val="tx1"/>
            </w14:solidFill>
          </w14:textFill>
        </w:rPr>
        <w:t>省、州领导来我县</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各类公务接待活动</w:t>
      </w:r>
      <w:r>
        <w:rPr>
          <w:rFonts w:hint="eastAsia" w:ascii="仿宋_GB2312" w:hAnsi="仿宋_GB2312" w:eastAsia="仿宋_GB2312" w:cs="仿宋_GB2312"/>
          <w:b w:val="0"/>
          <w:i w:val="0"/>
          <w:caps w:val="0"/>
          <w:color w:val="000000" w:themeColor="text1"/>
          <w:spacing w:val="0"/>
          <w:sz w:val="32"/>
          <w:szCs w:val="32"/>
          <w:lang w:val="en-US" w:eastAsia="zh-CN"/>
          <w14:textFill>
            <w14:solidFill>
              <w14:schemeClr w14:val="tx1"/>
            </w14:solidFill>
          </w14:textFill>
        </w:rPr>
        <w:t>326批次，</w:t>
      </w:r>
      <w:r>
        <w:rPr>
          <w:rFonts w:hint="eastAsia" w:ascii="仿宋" w:hAnsi="仿宋" w:eastAsia="仿宋" w:cs="仿宋"/>
          <w:color w:val="000000" w:themeColor="text1"/>
          <w:sz w:val="32"/>
          <w:szCs w:val="32"/>
          <w:lang w:val="en-US" w:eastAsia="zh-CN"/>
          <w14:textFill>
            <w14:solidFill>
              <w14:schemeClr w14:val="tx1"/>
            </w14:solidFill>
          </w14:textFill>
        </w:rPr>
        <w:t>高效有序的完成了全国人大常委会调研、中央统战部调研组、全国妇联赴红开展妇女发展工作调研组、国家乡村振兴重点县红原县科技特派团、国家重点帮扶县第一批进场检查组、省政法委书记一行等160批次的后勤服务保障工作；省委第十巡视组、省委主题教育第三巡回指导、省维稳督导组、省生态环保调研组、上海永嘉商会赴红开展对口支援考察工作组、省河长办赴红原县开展黄河流域省级河长联系会议筹备调研工作、州委调研组、州委蹲点督导组、眉山市发改委赴红开展2022年以工代赈经济模式创新拓展项目监督管理工作组等159批次后勤服务保障工作</w:t>
      </w:r>
      <w:r>
        <w:rPr>
          <w:rFonts w:hint="eastAsia" w:ascii="仿宋" w:hAnsi="仿宋" w:eastAsia="仿宋" w:cs="仿宋"/>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76" w:lineRule="exact"/>
        <w:ind w:left="0" w:leftChars="0" w:firstLine="642" w:firstLineChars="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（四）突出帮扶重点，扎实推进“两联一进”工作。</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按照全县“两联一进”工作总部署要求，按时组织干部深入到联系户、联系僧人家中核查基础信息，开展实地走访和调研，并制定切实可行的帮扶措施，积极宣传党的二十大精神，结合联系对象做到因户施策、因人定策，全面深入开展帮扶工作，确保政策落实到户、帮扶计划精准到人。</w:t>
      </w:r>
    </w:p>
    <w:p>
      <w:pPr>
        <w:ind w:firstLine="640"/>
        <w:jc w:val="both"/>
        <w:rPr>
          <w:rFonts w:ascii="仿宋" w:hAnsi="仿宋" w:eastAsia="仿宋"/>
          <w:color w:val="000000"/>
          <w:sz w:val="32"/>
          <w:szCs w:val="32"/>
        </w:rPr>
      </w:pPr>
      <w:r>
        <w:rPr>
          <w:rFonts w:hint="eastAsia" w:ascii="楷体_GB2312" w:hAnsi="楷体_GB2312" w:eastAsia="楷体_GB2312" w:cs="楷体_GB2312"/>
          <w:b/>
          <w:bCs/>
          <w:color w:val="000000"/>
          <w:sz w:val="32"/>
          <w:szCs w:val="32"/>
          <w:lang w:val="en-US" w:eastAsia="zh-CN"/>
        </w:rPr>
        <w:t>（五）做好后勤服务保障工作</w:t>
      </w:r>
      <w:r>
        <w:rPr>
          <w:rFonts w:hint="eastAsia" w:ascii="黑体" w:hAnsi="黑体" w:eastAsia="黑体" w:cs="黑体"/>
          <w:color w:val="000000"/>
          <w:sz w:val="32"/>
          <w:szCs w:val="32"/>
          <w:lang w:val="en-US" w:eastAsia="zh-CN"/>
        </w:rPr>
        <w:t>。</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color w:val="000000"/>
          <w:sz w:val="32"/>
          <w:szCs w:val="32"/>
          <w:lang w:val="en-US" w:eastAsia="zh-CN"/>
        </w:rPr>
        <w:t>继续将各项工作做好做扎实，圆满完成</w:t>
      </w:r>
      <w:r>
        <w:rPr>
          <w:rFonts w:hint="eastAsia" w:ascii="仿宋_GB2312" w:hAnsi="仿宋" w:eastAsia="仿宋_GB2312" w:cs="仿宋"/>
          <w:color w:val="000000"/>
          <w:sz w:val="32"/>
          <w:szCs w:val="32"/>
          <w:lang w:val="en-US" w:eastAsia="zh-CN"/>
        </w:rPr>
        <w:t>上半年重要公务接待任务，</w:t>
      </w:r>
      <w:r>
        <w:rPr>
          <w:rFonts w:hint="eastAsia" w:ascii="仿宋_GB2312" w:hAnsi="仿宋" w:eastAsia="仿宋_GB2312" w:cs="仿宋"/>
          <w:color w:val="000000"/>
          <w:sz w:val="32"/>
          <w:szCs w:val="32"/>
          <w:shd w:val="clear" w:color="auto" w:fill="FFFFFF"/>
        </w:rPr>
        <w:t>同时不断强化质量服务理念，树立主动服务意识，规范服务行为方式，推动服务规范化建设。</w:t>
      </w:r>
      <w:r>
        <w:rPr>
          <w:rFonts w:hint="eastAsia" w:ascii="仿宋_GB2312" w:hAnsi="仿宋" w:eastAsia="仿宋_GB2312" w:cs="仿宋"/>
          <w:b/>
          <w:bCs/>
          <w:color w:val="000000"/>
          <w:sz w:val="32"/>
          <w:szCs w:val="32"/>
        </w:rPr>
        <w:t>二是</w:t>
      </w:r>
      <w:r>
        <w:rPr>
          <w:rFonts w:hint="eastAsia" w:ascii="仿宋_GB2312" w:hAnsi="仿宋" w:eastAsia="仿宋_GB2312" w:cs="仿宋"/>
          <w:color w:val="000000"/>
          <w:sz w:val="32"/>
          <w:szCs w:val="32"/>
          <w:shd w:val="clear" w:color="auto" w:fill="FFFFFF"/>
        </w:rPr>
        <w:t>继续做好县级</w:t>
      </w:r>
      <w:r>
        <w:rPr>
          <w:rFonts w:hint="eastAsia" w:ascii="仿宋_GB2312" w:hAnsi="仿宋" w:eastAsia="仿宋_GB2312" w:cs="仿宋"/>
          <w:color w:val="000000"/>
          <w:sz w:val="32"/>
          <w:szCs w:val="32"/>
          <w:shd w:val="clear" w:color="auto" w:fill="FFFFFF"/>
          <w:lang w:val="en-US" w:eastAsia="zh-CN"/>
        </w:rPr>
        <w:t>机关</w:t>
      </w:r>
      <w:r>
        <w:rPr>
          <w:rFonts w:hint="eastAsia" w:ascii="仿宋_GB2312" w:hAnsi="仿宋" w:eastAsia="仿宋_GB2312" w:cs="仿宋"/>
          <w:color w:val="000000"/>
          <w:sz w:val="32"/>
          <w:szCs w:val="32"/>
          <w:shd w:val="clear" w:color="auto" w:fill="FFFFFF"/>
        </w:rPr>
        <w:t>食堂的一日三餐的保障工作，进一步完善营养搭配</w:t>
      </w:r>
      <w:r>
        <w:rPr>
          <w:rFonts w:hint="eastAsia" w:ascii="仿宋_GB2312" w:hAnsi="仿宋" w:eastAsia="仿宋_GB2312" w:cs="仿宋"/>
          <w:color w:val="000000"/>
          <w:sz w:val="32"/>
          <w:szCs w:val="32"/>
          <w:shd w:val="clear" w:color="auto" w:fill="FFFFFF"/>
          <w:lang w:eastAsia="zh-CN"/>
        </w:rPr>
        <w:t>，</w:t>
      </w:r>
      <w:r>
        <w:rPr>
          <w:rFonts w:hint="eastAsia" w:ascii="仿宋_GB2312" w:hAnsi="仿宋" w:eastAsia="仿宋_GB2312" w:cs="仿宋"/>
          <w:color w:val="000000"/>
          <w:sz w:val="32"/>
          <w:szCs w:val="32"/>
          <w:shd w:val="clear" w:color="auto" w:fill="FFFFFF"/>
          <w:lang w:val="en-US" w:eastAsia="zh-CN"/>
        </w:rPr>
        <w:t>切实</w:t>
      </w:r>
      <w:r>
        <w:rPr>
          <w:rFonts w:hint="eastAsia" w:ascii="仿宋_GB2312" w:hAnsi="仿宋" w:eastAsia="仿宋_GB2312" w:cs="仿宋"/>
          <w:color w:val="000000"/>
          <w:sz w:val="32"/>
          <w:szCs w:val="32"/>
          <w:shd w:val="clear" w:color="auto" w:fill="FFFFFF"/>
        </w:rPr>
        <w:t>做到健康、节约两不误</w:t>
      </w:r>
      <w:r>
        <w:rPr>
          <w:rFonts w:hint="eastAsia" w:ascii="仿宋_GB2312" w:hAnsi="仿宋" w:eastAsia="仿宋_GB2312" w:cs="仿宋"/>
          <w:color w:val="000000"/>
          <w:sz w:val="32"/>
          <w:szCs w:val="32"/>
          <w:shd w:val="clear" w:color="auto" w:fill="FFFFFF"/>
          <w:lang w:eastAsia="zh-CN"/>
        </w:rPr>
        <w:t>。</w:t>
      </w:r>
    </w:p>
    <w:p>
      <w:pPr>
        <w:pStyle w:val="4"/>
        <w:ind w:firstLine="643" w:firstLineChars="200"/>
        <w:rPr>
          <w:rFonts w:ascii="黑体" w:eastAsia="黑体" w:cs="Times New Roman"/>
          <w:bCs w:val="0"/>
          <w:color w:val="000000"/>
        </w:rPr>
      </w:pPr>
      <w:bookmarkStart w:id="25" w:name="_Toc22056"/>
      <w:bookmarkStart w:id="26" w:name="_Toc113981011"/>
      <w:bookmarkStart w:id="27" w:name="_Toc111208497"/>
      <w:r>
        <w:rPr>
          <w:rFonts w:hint="eastAsia" w:ascii="黑体" w:eastAsia="黑体" w:cs="Times New Roman"/>
          <w:bCs w:val="0"/>
          <w:color w:val="000000"/>
        </w:rPr>
        <w:t>二、机构设置</w:t>
      </w:r>
      <w:bookmarkEnd w:id="24"/>
      <w:bookmarkEnd w:id="25"/>
      <w:bookmarkEnd w:id="26"/>
      <w:bookmarkEnd w:id="27"/>
      <w:bookmarkStart w:id="93" w:name="_GoBack"/>
      <w:bookmarkEnd w:id="93"/>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olor w:val="000000"/>
          <w:sz w:val="32"/>
          <w:szCs w:val="32"/>
        </w:rPr>
      </w:pPr>
      <w:r>
        <w:rPr>
          <w:rFonts w:ascii="仿宋" w:hAnsi="仿宋" w:eastAsia="仿宋"/>
          <w:color w:val="000000"/>
          <w:sz w:val="32"/>
          <w:szCs w:val="32"/>
        </w:rPr>
        <w:t>单位内部设办公室、接待股、后勤资产管理股。在职1</w:t>
      </w:r>
      <w:r>
        <w:rPr>
          <w:rFonts w:hint="eastAsia" w:ascii="仿宋" w:hAnsi="仿宋" w:eastAsia="仿宋"/>
          <w:color w:val="000000"/>
          <w:sz w:val="32"/>
          <w:szCs w:val="32"/>
          <w:lang w:val="en-US" w:eastAsia="zh-CN"/>
        </w:rPr>
        <w:t>1</w:t>
      </w:r>
      <w:r>
        <w:rPr>
          <w:rFonts w:ascii="仿宋" w:hAnsi="仿宋" w:eastAsia="仿宋"/>
          <w:color w:val="000000"/>
          <w:sz w:val="32"/>
          <w:szCs w:val="32"/>
        </w:rPr>
        <w:t>人阿坝州红原县公务服务中心无下属二级单位</w:t>
      </w:r>
    </w:p>
    <w:p>
      <w:pPr>
        <w:widowControl/>
        <w:jc w:val="left"/>
        <w:rPr>
          <w:rFonts w:ascii="仿宋_GB2312" w:hAnsi="黑体" w:eastAsia="仿宋_GB2312"/>
          <w:b/>
          <w:bCs/>
          <w:color w:val="000000"/>
          <w:kern w:val="44"/>
          <w:sz w:val="44"/>
          <w:szCs w:val="44"/>
        </w:rPr>
      </w:pPr>
      <w:r>
        <w:rPr>
          <w:rFonts w:ascii="仿宋_GB2312" w:hAnsi="黑体" w:eastAsia="仿宋_GB2312"/>
          <w:color w:val="000000"/>
        </w:rPr>
        <w:br w:type="page"/>
      </w:r>
    </w:p>
    <w:p>
      <w:pPr>
        <w:pStyle w:val="3"/>
        <w:jc w:val="center"/>
        <w:rPr>
          <w:rFonts w:ascii="黑体" w:hAnsi="黑体" w:eastAsia="黑体" w:cs="黑体"/>
        </w:rPr>
      </w:pPr>
      <w:bookmarkStart w:id="28" w:name="_Toc111208498"/>
      <w:bookmarkStart w:id="29" w:name="_Toc905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w:t>
      </w:r>
      <w:r>
        <w:rPr>
          <w:rFonts w:hint="eastAsia" w:ascii="黑体" w:hAnsi="黑体" w:eastAsia="黑体" w:cs="黑体"/>
          <w:lang w:val="en-US" w:eastAsia="zh-CN"/>
        </w:rPr>
        <w:t>3</w:t>
      </w:r>
      <w:r>
        <w:rPr>
          <w:rFonts w:ascii="黑体" w:hAnsi="黑体" w:eastAsia="黑体" w:cs="黑体"/>
          <w:u w:color="auto"/>
        </w:rPr>
        <w:t>年度</w:t>
      </w:r>
      <w:r>
        <w:rPr>
          <w:rFonts w:hint="eastAsia" w:ascii="黑体" w:hAnsi="黑体" w:eastAsia="黑体" w:cs="黑体"/>
          <w:lang w:val="en-US" w:eastAsia="zh-CN"/>
        </w:rPr>
        <w:t>部门</w:t>
      </w:r>
      <w:r>
        <w:rPr>
          <w:rFonts w:hint="eastAsia" w:ascii="黑体" w:hAnsi="黑体" w:eastAsia="黑体" w:cs="黑体"/>
        </w:rPr>
        <w:t>决算情况说明</w:t>
      </w:r>
      <w:bookmarkEnd w:id="19"/>
      <w:bookmarkEnd w:id="28"/>
      <w:bookmarkEnd w:id="29"/>
    </w:p>
    <w:p>
      <w:pPr>
        <w:pStyle w:val="4"/>
        <w:ind w:firstLine="643" w:firstLineChars="200"/>
        <w:rPr>
          <w:rFonts w:ascii="黑体" w:eastAsia="黑体" w:cs="Times New Roman"/>
          <w:bCs w:val="0"/>
          <w:color w:val="000000"/>
        </w:rPr>
      </w:pPr>
      <w:bookmarkStart w:id="30" w:name="_Toc15377205"/>
      <w:bookmarkStart w:id="31" w:name="_Toc111208499"/>
      <w:bookmarkStart w:id="32" w:name="_Toc19710"/>
      <w:r>
        <w:rPr>
          <w:rFonts w:hint="eastAsia" w:ascii="黑体" w:eastAsia="黑体" w:cs="Times New Roman"/>
          <w:bCs w:val="0"/>
          <w:color w:val="000000"/>
        </w:rPr>
        <w:t>一、收入支出决算总体情况说</w:t>
      </w:r>
      <w:bookmarkEnd w:id="30"/>
      <w:r>
        <w:rPr>
          <w:rFonts w:hint="eastAsia" w:ascii="黑体" w:eastAsia="黑体" w:cs="Times New Roman"/>
          <w:bCs w:val="0"/>
          <w:color w:val="000000"/>
        </w:rPr>
        <w:t>明</w:t>
      </w:r>
      <w:bookmarkEnd w:id="31"/>
      <w:bookmarkEnd w:id="3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年度收入总计</w:t>
      </w:r>
      <w:r>
        <w:rPr>
          <w:rFonts w:hint="eastAsia" w:ascii="仿宋" w:hAnsi="仿宋" w:eastAsia="仿宋"/>
          <w:color w:val="000000"/>
          <w:sz w:val="32"/>
          <w:u w:color="auto"/>
          <w:lang w:val="en-US" w:eastAsia="zh-CN"/>
        </w:rPr>
        <w:t>809.25</w:t>
      </w:r>
      <w:r>
        <w:rPr>
          <w:rFonts w:ascii="仿宋" w:hAnsi="仿宋" w:eastAsia="仿宋"/>
          <w:color w:val="000000"/>
          <w:sz w:val="32"/>
          <w:u w:color="auto"/>
        </w:rPr>
        <w:t>万元，支出总计</w:t>
      </w:r>
      <w:r>
        <w:rPr>
          <w:rFonts w:hint="eastAsia" w:ascii="仿宋" w:hAnsi="仿宋" w:eastAsia="仿宋"/>
          <w:color w:val="000000"/>
          <w:sz w:val="32"/>
          <w:u w:color="auto"/>
          <w:lang w:val="en-US" w:eastAsia="zh-CN"/>
        </w:rPr>
        <w:t>809.25</w:t>
      </w:r>
      <w:r>
        <w:rPr>
          <w:rFonts w:ascii="仿宋" w:hAnsi="仿宋" w:eastAsia="仿宋"/>
          <w:color w:val="000000"/>
          <w:sz w:val="32"/>
          <w:u w:color="auto"/>
        </w:rPr>
        <w:t>万元。与</w:t>
      </w: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年相比，收入总计</w:t>
      </w:r>
      <w:r>
        <w:rPr>
          <w:rFonts w:hint="eastAsia" w:ascii="仿宋" w:hAnsi="仿宋" w:eastAsia="仿宋"/>
          <w:color w:val="000000"/>
          <w:sz w:val="32"/>
          <w:szCs w:val="32"/>
          <w:lang w:val="en-US" w:eastAsia="zh-CN"/>
        </w:rPr>
        <w:t>减少</w:t>
      </w:r>
      <w:r>
        <w:rPr>
          <w:rFonts w:hint="eastAsia" w:ascii="仿宋" w:hAnsi="仿宋" w:eastAsia="仿宋"/>
          <w:color w:val="000000"/>
          <w:sz w:val="32"/>
          <w:u w:color="auto"/>
          <w:lang w:val="en-US" w:eastAsia="zh-CN"/>
        </w:rPr>
        <w:t>141.35</w:t>
      </w:r>
      <w:r>
        <w:rPr>
          <w:rFonts w:ascii="仿宋" w:hAnsi="仿宋" w:eastAsia="仿宋"/>
          <w:color w:val="000000"/>
          <w:sz w:val="32"/>
          <w:u w:color="auto"/>
        </w:rPr>
        <w:t>万元，</w:t>
      </w:r>
      <w:r>
        <w:rPr>
          <w:rFonts w:hint="eastAsia" w:ascii="仿宋" w:hAnsi="仿宋" w:eastAsia="仿宋"/>
          <w:color w:val="000000"/>
          <w:sz w:val="32"/>
          <w:u w:color="auto"/>
          <w:lang w:val="en-US" w:eastAsia="zh-CN"/>
        </w:rPr>
        <w:t>减少17.46</w:t>
      </w:r>
      <w:r>
        <w:rPr>
          <w:rFonts w:ascii="仿宋" w:hAnsi="仿宋" w:eastAsia="仿宋"/>
          <w:color w:val="000000"/>
          <w:sz w:val="32"/>
          <w:u w:color="auto"/>
        </w:rPr>
        <w:t>%，支出总计</w:t>
      </w:r>
      <w:r>
        <w:rPr>
          <w:rFonts w:hint="eastAsia" w:ascii="仿宋" w:hAnsi="仿宋" w:eastAsia="仿宋"/>
          <w:color w:val="000000"/>
          <w:sz w:val="32"/>
          <w:u w:color="auto"/>
          <w:lang w:val="en-US" w:eastAsia="zh-CN"/>
        </w:rPr>
        <w:t>减少141.35</w:t>
      </w:r>
      <w:r>
        <w:rPr>
          <w:rFonts w:ascii="仿宋" w:hAnsi="仿宋" w:eastAsia="仿宋"/>
          <w:color w:val="000000"/>
          <w:sz w:val="32"/>
          <w:u w:color="auto"/>
        </w:rPr>
        <w:t>万元，</w:t>
      </w:r>
      <w:r>
        <w:rPr>
          <w:rFonts w:hint="eastAsia" w:ascii="仿宋" w:hAnsi="仿宋" w:eastAsia="仿宋"/>
          <w:color w:val="000000"/>
          <w:sz w:val="32"/>
          <w:u w:color="auto"/>
          <w:lang w:val="en-US" w:eastAsia="zh-CN"/>
        </w:rPr>
        <w:t>减少17.46</w:t>
      </w:r>
      <w:r>
        <w:rPr>
          <w:rFonts w:ascii="仿宋" w:hAnsi="仿宋" w:eastAsia="仿宋"/>
          <w:color w:val="000000"/>
          <w:sz w:val="32"/>
          <w:u w:color="auto"/>
        </w:rPr>
        <w:t>%。</w:t>
      </w:r>
    </w:p>
    <w:p>
      <w:pPr>
        <w:spacing w:line="600" w:lineRule="exact"/>
        <w:ind w:firstLine="640" w:firstLineChars="200"/>
        <w:rPr>
          <w:rFonts w:ascii="仿宋_GB2312" w:eastAsia="仿宋_GB2312"/>
          <w:color w:val="000000"/>
          <w:sz w:val="28"/>
          <w:szCs w:val="28"/>
        </w:rPr>
      </w:pPr>
      <w:r>
        <w:rPr>
          <w:rFonts w:hint="eastAsia" w:ascii="仿宋" w:hAnsi="仿宋" w:eastAsia="仿宋"/>
          <w:color w:val="000000"/>
          <w:sz w:val="32"/>
          <w:szCs w:val="32"/>
        </w:rPr>
        <w:t>主要变动原因是项目活动</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rPr>
        <w:t xml:space="preserve">。 </w:t>
      </w:r>
    </w:p>
    <w:p>
      <w:pPr>
        <w:pStyle w:val="6"/>
      </w:pPr>
      <w:r>
        <w:drawing>
          <wp:inline distT="0" distB="0" distL="114300" distR="114300">
            <wp:extent cx="5343525" cy="2933700"/>
            <wp:effectExtent l="5080" t="4445" r="4445" b="508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jc w:val="center"/>
      </w:pPr>
      <w:r>
        <w:rPr>
          <w:rFonts w:hint="eastAsia" w:ascii="仿宋" w:hAnsi="仿宋" w:eastAsia="仿宋"/>
          <w:color w:val="000000"/>
          <w:sz w:val="32"/>
          <w:szCs w:val="32"/>
        </w:rPr>
        <w:t>（图1：收、支决算总计变动情况图）</w:t>
      </w:r>
    </w:p>
    <w:p>
      <w:pPr>
        <w:pStyle w:val="4"/>
        <w:ind w:firstLine="643" w:firstLineChars="200"/>
        <w:rPr>
          <w:rFonts w:ascii="黑体" w:eastAsia="黑体" w:cs="Times New Roman"/>
          <w:bCs w:val="0"/>
          <w:color w:val="000000"/>
        </w:rPr>
      </w:pPr>
      <w:bookmarkStart w:id="33" w:name="_Toc15377206"/>
      <w:bookmarkStart w:id="34" w:name="_Toc111208500"/>
      <w:bookmarkStart w:id="35" w:name="_Toc8125"/>
      <w:r>
        <w:rPr>
          <w:rFonts w:hint="eastAsia" w:ascii="黑体" w:eastAsia="黑体" w:cs="Times New Roman"/>
          <w:bCs w:val="0"/>
          <w:color w:val="000000"/>
        </w:rPr>
        <w:t>二、收入决算情况说明</w:t>
      </w:r>
      <w:bookmarkEnd w:id="33"/>
      <w:bookmarkEnd w:id="34"/>
      <w:bookmarkEnd w:id="3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年本年收入合计</w:t>
      </w:r>
      <w:r>
        <w:rPr>
          <w:rFonts w:hint="eastAsia" w:ascii="仿宋" w:hAnsi="仿宋" w:eastAsia="仿宋"/>
          <w:color w:val="000000"/>
          <w:sz w:val="32"/>
          <w:u w:color="auto"/>
          <w:lang w:val="en-US" w:eastAsia="zh-CN"/>
        </w:rPr>
        <w:t>809.25</w:t>
      </w:r>
      <w:r>
        <w:rPr>
          <w:rFonts w:ascii="仿宋" w:hAnsi="仿宋" w:eastAsia="仿宋"/>
          <w:color w:val="000000"/>
          <w:sz w:val="32"/>
          <w:u w:color="auto"/>
        </w:rPr>
        <w:t>万元</w:t>
      </w:r>
      <w:r>
        <w:rPr>
          <w:rFonts w:hint="eastAsia" w:ascii="仿宋" w:hAnsi="仿宋" w:eastAsia="仿宋"/>
          <w:color w:val="000000"/>
          <w:sz w:val="32"/>
          <w:szCs w:val="32"/>
          <w:lang w:val="en-US" w:eastAsia="zh-CN"/>
        </w:rPr>
        <w:t>，其中:一般公共预算财政拨款收入809.25万元，占100.00%</w:t>
      </w:r>
      <w:r>
        <w:rPr>
          <w:rFonts w:hint="eastAsia" w:ascii="仿宋" w:hAnsi="仿宋" w:eastAsia="仿宋"/>
          <w:color w:val="000000"/>
          <w:sz w:val="32"/>
          <w:szCs w:val="32"/>
        </w:rPr>
        <w:t>。</w:t>
      </w:r>
    </w:p>
    <w:p>
      <w:pPr>
        <w:pStyle w:val="17"/>
        <w:ind w:left="1060" w:hanging="640"/>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pPr>
      <w:r>
        <w:rPr>
          <w:rFonts w:hint="eastAsia" w:ascii="仿宋" w:hAnsi="仿宋" w:eastAsia="仿宋"/>
          <w:color w:val="000000"/>
          <w:sz w:val="32"/>
          <w:szCs w:val="32"/>
        </w:rPr>
        <w:t>（图2：收入决算结构图）</w:t>
      </w:r>
    </w:p>
    <w:p>
      <w:pPr>
        <w:pStyle w:val="4"/>
        <w:ind w:firstLine="643" w:firstLineChars="200"/>
        <w:rPr>
          <w:rFonts w:ascii="黑体" w:eastAsia="黑体" w:cs="Times New Roman"/>
          <w:bCs w:val="0"/>
          <w:color w:val="000000"/>
        </w:rPr>
      </w:pPr>
      <w:bookmarkStart w:id="36" w:name="_Toc111208501"/>
      <w:bookmarkStart w:id="37" w:name="_Toc15377207"/>
      <w:bookmarkStart w:id="38" w:name="_Toc28283"/>
      <w:r>
        <w:rPr>
          <w:rFonts w:hint="eastAsia" w:ascii="黑体" w:eastAsia="黑体" w:cs="Times New Roman"/>
          <w:bCs w:val="0"/>
          <w:color w:val="000000"/>
        </w:rPr>
        <w:t>三、支出决算情况说明</w:t>
      </w:r>
      <w:bookmarkEnd w:id="36"/>
      <w:bookmarkEnd w:id="37"/>
      <w:bookmarkEnd w:id="38"/>
    </w:p>
    <w:p>
      <w:pPr>
        <w:pStyle w:val="6"/>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szCs w:val="32"/>
        </w:rPr>
        <w:t>年本年支出合计</w:t>
      </w:r>
      <w:r>
        <w:rPr>
          <w:rFonts w:hint="eastAsia" w:ascii="仿宋" w:hAnsi="仿宋" w:eastAsia="仿宋"/>
          <w:color w:val="000000"/>
          <w:sz w:val="32"/>
          <w:szCs w:val="32"/>
          <w:lang w:val="en-US" w:eastAsia="zh-CN"/>
        </w:rPr>
        <w:t>809.25</w:t>
      </w:r>
      <w:r>
        <w:rPr>
          <w:rFonts w:ascii="仿宋" w:hAnsi="仿宋" w:eastAsia="仿宋"/>
          <w:color w:val="000000"/>
          <w:sz w:val="32"/>
          <w:szCs w:val="32"/>
        </w:rPr>
        <w:t>万元</w:t>
      </w:r>
      <w:r>
        <w:rPr>
          <w:rFonts w:hint="eastAsia" w:ascii="仿宋" w:hAnsi="仿宋" w:eastAsia="仿宋"/>
          <w:color w:val="000000"/>
          <w:sz w:val="32"/>
          <w:szCs w:val="32"/>
          <w:lang w:val="en-US" w:eastAsia="zh-CN"/>
        </w:rPr>
        <w:t>，其中:基本支出362.85万元，占44.84%；项目支出446.40万元，占55.16%</w:t>
      </w:r>
      <w:r>
        <w:rPr>
          <w:rFonts w:ascii="仿宋" w:hAnsi="仿宋" w:eastAsia="仿宋"/>
          <w:color w:val="000000"/>
          <w:sz w:val="32"/>
          <w:szCs w:val="32"/>
        </w:rPr>
        <w:t>。</w:t>
      </w:r>
    </w:p>
    <w:p>
      <w:pPr>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（图3：支出决算结构图）</w:t>
      </w:r>
    </w:p>
    <w:p>
      <w:pPr>
        <w:pStyle w:val="4"/>
        <w:ind w:firstLine="643" w:firstLineChars="200"/>
        <w:rPr>
          <w:rFonts w:ascii="黑体" w:eastAsia="黑体" w:cs="Times New Roman"/>
          <w:bCs w:val="0"/>
          <w:color w:val="000000"/>
        </w:rPr>
      </w:pPr>
      <w:bookmarkStart w:id="39" w:name="_Toc19521"/>
      <w:bookmarkStart w:id="40" w:name="_Toc111208502"/>
      <w:bookmarkStart w:id="41" w:name="_Toc15377208"/>
      <w:r>
        <w:rPr>
          <w:rFonts w:hint="eastAsia" w:ascii="黑体" w:eastAsia="黑体" w:cs="Times New Roman"/>
          <w:bCs w:val="0"/>
          <w:color w:val="000000"/>
        </w:rPr>
        <w:t>四、财政拨款收入支出决算总体情况说明</w:t>
      </w:r>
      <w:bookmarkEnd w:id="39"/>
      <w:bookmarkEnd w:id="40"/>
      <w:bookmarkEnd w:id="41"/>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年财政拨款收入总计</w:t>
      </w:r>
      <w:r>
        <w:rPr>
          <w:rFonts w:hint="eastAsia" w:ascii="仿宋" w:hAnsi="仿宋" w:eastAsia="仿宋"/>
          <w:color w:val="000000"/>
          <w:sz w:val="32"/>
          <w:u w:color="auto"/>
          <w:lang w:val="en-US" w:eastAsia="zh-CN"/>
        </w:rPr>
        <w:t>809.25</w:t>
      </w:r>
      <w:r>
        <w:rPr>
          <w:rFonts w:ascii="仿宋" w:hAnsi="仿宋" w:eastAsia="仿宋"/>
          <w:color w:val="000000"/>
          <w:sz w:val="32"/>
          <w:u w:color="auto"/>
        </w:rPr>
        <w:t>万元，财政拨款支出总计</w:t>
      </w:r>
      <w:r>
        <w:rPr>
          <w:rFonts w:hint="eastAsia" w:ascii="仿宋" w:hAnsi="仿宋" w:eastAsia="仿宋"/>
          <w:color w:val="000000"/>
          <w:sz w:val="32"/>
          <w:u w:color="auto"/>
          <w:lang w:val="en-US" w:eastAsia="zh-CN"/>
        </w:rPr>
        <w:t>809.25</w:t>
      </w:r>
      <w:r>
        <w:rPr>
          <w:rFonts w:ascii="仿宋" w:hAnsi="仿宋" w:eastAsia="仿宋"/>
          <w:color w:val="000000"/>
          <w:sz w:val="32"/>
          <w:u w:color="auto"/>
        </w:rPr>
        <w:t>万元。与202</w:t>
      </w:r>
      <w:r>
        <w:rPr>
          <w:rFonts w:hint="eastAsia" w:ascii="仿宋" w:hAnsi="仿宋" w:eastAsia="仿宋"/>
          <w:color w:val="000000"/>
          <w:sz w:val="32"/>
          <w:u w:color="auto"/>
          <w:lang w:val="en-US" w:eastAsia="zh-CN"/>
        </w:rPr>
        <w:t>2</w:t>
      </w:r>
      <w:r>
        <w:rPr>
          <w:rFonts w:ascii="仿宋" w:hAnsi="仿宋" w:eastAsia="仿宋"/>
          <w:color w:val="000000"/>
          <w:sz w:val="32"/>
          <w:u w:color="auto"/>
        </w:rPr>
        <w:t>年相比，财政拨款收入总计</w:t>
      </w:r>
      <w:r>
        <w:rPr>
          <w:rFonts w:hint="eastAsia" w:ascii="仿宋" w:hAnsi="仿宋" w:eastAsia="仿宋"/>
          <w:color w:val="000000"/>
          <w:sz w:val="32"/>
          <w:u w:color="auto"/>
          <w:lang w:val="en-US" w:eastAsia="zh-CN"/>
        </w:rPr>
        <w:t>减少141.35</w:t>
      </w:r>
      <w:r>
        <w:rPr>
          <w:rFonts w:ascii="仿宋" w:hAnsi="仿宋" w:eastAsia="仿宋"/>
          <w:color w:val="000000"/>
          <w:sz w:val="32"/>
          <w:u w:color="auto"/>
        </w:rPr>
        <w:t>万元，</w:t>
      </w:r>
      <w:r>
        <w:rPr>
          <w:rFonts w:hint="eastAsia" w:ascii="仿宋" w:hAnsi="仿宋" w:eastAsia="仿宋"/>
          <w:color w:val="000000"/>
          <w:sz w:val="32"/>
          <w:u w:color="auto"/>
          <w:lang w:val="en-US" w:eastAsia="zh-CN"/>
        </w:rPr>
        <w:t>减少17.46</w:t>
      </w:r>
      <w:r>
        <w:rPr>
          <w:rFonts w:ascii="仿宋" w:hAnsi="仿宋" w:eastAsia="仿宋"/>
          <w:color w:val="000000"/>
          <w:sz w:val="32"/>
          <w:u w:color="auto"/>
        </w:rPr>
        <w:t>%，财政拨款支出总计</w:t>
      </w:r>
      <w:r>
        <w:rPr>
          <w:rFonts w:hint="eastAsia" w:ascii="仿宋" w:hAnsi="仿宋" w:eastAsia="仿宋"/>
          <w:color w:val="000000"/>
          <w:sz w:val="32"/>
          <w:u w:color="auto"/>
          <w:lang w:val="en-US" w:eastAsia="zh-CN"/>
        </w:rPr>
        <w:t>减少141.35</w:t>
      </w:r>
      <w:r>
        <w:rPr>
          <w:rFonts w:ascii="仿宋" w:hAnsi="仿宋" w:eastAsia="仿宋"/>
          <w:color w:val="000000"/>
          <w:sz w:val="32"/>
          <w:u w:color="auto"/>
        </w:rPr>
        <w:t>万元，</w:t>
      </w:r>
      <w:r>
        <w:rPr>
          <w:rFonts w:hint="eastAsia" w:ascii="仿宋" w:hAnsi="仿宋" w:eastAsia="仿宋"/>
          <w:color w:val="000000"/>
          <w:sz w:val="32"/>
          <w:u w:color="auto"/>
          <w:lang w:val="en-US" w:eastAsia="zh-CN"/>
        </w:rPr>
        <w:t>减少17.46</w:t>
      </w:r>
      <w:r>
        <w:rPr>
          <w:rFonts w:ascii="仿宋" w:hAnsi="仿宋" w:eastAsia="仿宋"/>
          <w:color w:val="000000"/>
          <w:sz w:val="32"/>
          <w:u w:color="auto"/>
        </w:rPr>
        <w:t>%。</w:t>
      </w:r>
    </w:p>
    <w:p>
      <w:pPr>
        <w:pStyle w:val="6"/>
        <w:jc w:val="left"/>
        <w:rPr>
          <w:rFonts w:hint="eastAsia" w:ascii="仿宋_GB2312" w:hAnsi="仿宋" w:eastAsia="仿宋_GB2312"/>
          <w:color w:val="000000"/>
          <w:sz w:val="32"/>
          <w:szCs w:val="32"/>
        </w:rPr>
      </w:pPr>
      <w:r>
        <w:rPr>
          <w:rFonts w:hint="eastAsia" w:ascii="仿宋" w:hAnsi="仿宋" w:eastAsia="仿宋"/>
          <w:color w:val="000000"/>
          <w:sz w:val="32"/>
          <w:szCs w:val="32"/>
        </w:rPr>
        <w:t>主要变动原因是项目活动</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rPr>
        <w:t>。</w:t>
      </w:r>
      <w:r>
        <w:rPr>
          <w:rFonts w:hint="eastAsia" w:ascii="仿宋_GB2312" w:hAnsi="仿宋" w:eastAsia="仿宋_GB2312"/>
          <w:color w:val="000000"/>
          <w:sz w:val="32"/>
          <w:szCs w:val="32"/>
        </w:rPr>
        <w:drawing>
          <wp:inline distT="0" distB="0" distL="0" distR="0">
            <wp:extent cx="5062855" cy="3196590"/>
            <wp:effectExtent l="4445" t="4445" r="9525" b="889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pPr>
      <w:r>
        <w:rPr>
          <w:rFonts w:hint="eastAsia" w:ascii="仿宋" w:hAnsi="仿宋" w:eastAsia="仿宋"/>
          <w:color w:val="000000"/>
          <w:sz w:val="32"/>
          <w:szCs w:val="32"/>
        </w:rPr>
        <w:t>（图4：财政拨款收、支决算总计变动情况）</w:t>
      </w:r>
    </w:p>
    <w:p>
      <w:pPr>
        <w:pStyle w:val="4"/>
        <w:ind w:firstLine="643" w:firstLineChars="200"/>
        <w:rPr>
          <w:rFonts w:ascii="黑体" w:eastAsia="黑体" w:cs="Times New Roman"/>
          <w:bCs w:val="0"/>
          <w:color w:val="000000"/>
        </w:rPr>
      </w:pPr>
      <w:bookmarkStart w:id="42" w:name="_Toc15377209"/>
      <w:bookmarkStart w:id="43" w:name="_Toc14368"/>
      <w:bookmarkStart w:id="44" w:name="_Toc111208503"/>
      <w:r>
        <w:rPr>
          <w:rFonts w:hint="eastAsia" w:ascii="黑体" w:eastAsia="黑体" w:cs="Times New Roman"/>
          <w:bCs w:val="0"/>
          <w:color w:val="000000"/>
        </w:rPr>
        <w:t>五、一般公共预算财政拨款支出决算情况说</w:t>
      </w:r>
      <w:bookmarkEnd w:id="42"/>
      <w:r>
        <w:rPr>
          <w:rFonts w:hint="eastAsia" w:ascii="黑体" w:eastAsia="黑体" w:cs="Times New Roman"/>
          <w:bCs w:val="0"/>
          <w:color w:val="000000"/>
        </w:rPr>
        <w:t>明</w:t>
      </w:r>
      <w:bookmarkEnd w:id="43"/>
      <w:bookmarkEnd w:id="44"/>
    </w:p>
    <w:p>
      <w:pPr>
        <w:spacing w:line="600" w:lineRule="exact"/>
        <w:ind w:firstLine="643" w:firstLineChars="200"/>
        <w:outlineLvl w:val="2"/>
        <w:rPr>
          <w:rFonts w:ascii="仿宋" w:hAnsi="仿宋" w:eastAsia="仿宋"/>
          <w:b/>
          <w:color w:val="000000"/>
          <w:sz w:val="32"/>
          <w:szCs w:val="32"/>
        </w:rPr>
      </w:pPr>
      <w:bookmarkStart w:id="45" w:name="_Toc15377210"/>
      <w:r>
        <w:rPr>
          <w:rFonts w:hint="eastAsia" w:ascii="仿宋" w:hAnsi="仿宋" w:eastAsia="仿宋"/>
          <w:b/>
          <w:color w:val="000000"/>
          <w:sz w:val="32"/>
          <w:szCs w:val="32"/>
        </w:rPr>
        <w:t>（一）一般公共预算财政拨款支出决算总体情况</w:t>
      </w:r>
      <w:bookmarkEnd w:id="45"/>
    </w:p>
    <w:p>
      <w:pPr>
        <w:spacing w:line="600" w:lineRule="exact"/>
        <w:ind w:firstLine="640" w:firstLineChars="200"/>
        <w:rPr>
          <w:rFonts w:ascii="仿宋_GB2312" w:hAnsi="仿宋" w:eastAsia="仿宋_GB2312"/>
          <w:color w:val="000000"/>
          <w:sz w:val="32"/>
          <w:szCs w:val="32"/>
        </w:rPr>
      </w:pPr>
      <w:bookmarkStart w:id="46" w:name="_Toc15377211"/>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年一般公共预算财政拨款支出</w:t>
      </w:r>
      <w:r>
        <w:rPr>
          <w:rFonts w:hint="eastAsia" w:ascii="仿宋" w:hAnsi="仿宋" w:eastAsia="仿宋"/>
          <w:color w:val="000000"/>
          <w:sz w:val="32"/>
          <w:u w:color="auto"/>
          <w:lang w:val="en-US" w:eastAsia="zh-CN"/>
        </w:rPr>
        <w:t>809.25</w:t>
      </w:r>
      <w:r>
        <w:rPr>
          <w:rFonts w:hint="eastAsia" w:ascii="仿宋" w:hAnsi="仿宋" w:eastAsia="仿宋"/>
          <w:color w:val="000000"/>
          <w:sz w:val="32"/>
          <w:szCs w:val="32"/>
        </w:rPr>
        <w:t>万元，占本年支出合计的</w:t>
      </w:r>
      <w:r>
        <w:rPr>
          <w:rFonts w:ascii="仿宋" w:hAnsi="仿宋" w:eastAsia="仿宋"/>
          <w:color w:val="000000"/>
          <w:sz w:val="32"/>
          <w:u w:color="auto"/>
        </w:rPr>
        <w:t>100.00</w:t>
      </w:r>
      <w:r>
        <w:rPr>
          <w:rFonts w:hint="eastAsia" w:ascii="仿宋" w:hAnsi="仿宋" w:eastAsia="仿宋"/>
          <w:color w:val="000000"/>
          <w:sz w:val="32"/>
          <w:szCs w:val="32"/>
        </w:rPr>
        <w:t>%。与</w:t>
      </w:r>
      <w:r>
        <w:rPr>
          <w:rFonts w:ascii="仿宋" w:hAnsi="仿宋" w:eastAsia="仿宋"/>
          <w:color w:val="000000"/>
          <w:sz w:val="32"/>
          <w:u w:color="auto"/>
        </w:rPr>
        <w:t>202</w:t>
      </w:r>
      <w:r>
        <w:rPr>
          <w:rFonts w:hint="eastAsia" w:ascii="仿宋" w:hAnsi="仿宋" w:eastAsia="仿宋"/>
          <w:color w:val="000000"/>
          <w:sz w:val="32"/>
          <w:u w:color="auto"/>
          <w:lang w:val="en-US" w:eastAsia="zh-CN"/>
        </w:rPr>
        <w:t>2</w:t>
      </w:r>
      <w:r>
        <w:rPr>
          <w:rFonts w:ascii="仿宋" w:hAnsi="仿宋" w:eastAsia="仿宋"/>
          <w:color w:val="000000"/>
          <w:sz w:val="32"/>
          <w:u w:color="auto"/>
        </w:rPr>
        <w:t>相比，一般公共预算财政拨款</w:t>
      </w:r>
      <w:r>
        <w:rPr>
          <w:rFonts w:hint="eastAsia" w:ascii="仿宋" w:hAnsi="仿宋" w:eastAsia="仿宋"/>
          <w:color w:val="000000"/>
          <w:sz w:val="32"/>
          <w:u w:color="auto"/>
          <w:lang w:val="en-US" w:eastAsia="zh-CN"/>
        </w:rPr>
        <w:t>减少141.35</w:t>
      </w:r>
      <w:r>
        <w:rPr>
          <w:rFonts w:hint="eastAsia" w:ascii="仿宋" w:hAnsi="仿宋" w:eastAsia="仿宋"/>
          <w:color w:val="000000"/>
          <w:sz w:val="32"/>
          <w:szCs w:val="32"/>
        </w:rPr>
        <w:t>万元，</w:t>
      </w:r>
      <w:r>
        <w:rPr>
          <w:rFonts w:hint="eastAsia" w:ascii="仿宋" w:hAnsi="仿宋" w:eastAsia="仿宋"/>
          <w:color w:val="000000"/>
          <w:sz w:val="32"/>
          <w:u w:color="auto"/>
          <w:lang w:val="en-US" w:eastAsia="zh-CN"/>
        </w:rPr>
        <w:t>减少17.46</w:t>
      </w:r>
      <w:r>
        <w:rPr>
          <w:rFonts w:hint="eastAsia" w:ascii="仿宋" w:hAnsi="仿宋" w:eastAsia="仿宋"/>
          <w:color w:val="000000"/>
          <w:sz w:val="32"/>
          <w:szCs w:val="32"/>
        </w:rPr>
        <w:t xml:space="preserve"> %。</w:t>
      </w:r>
      <w:r>
        <w:rPr>
          <w:rFonts w:ascii="仿宋" w:hAnsi="仿宋" w:eastAsia="仿宋"/>
          <w:color w:val="000000"/>
          <w:sz w:val="32"/>
          <w:u w:color="auto"/>
        </w:rPr>
        <w:t>主要变动原因是项目活动</w:t>
      </w:r>
      <w:r>
        <w:rPr>
          <w:rFonts w:hint="eastAsia" w:ascii="仿宋" w:hAnsi="仿宋" w:eastAsia="仿宋"/>
          <w:color w:val="000000"/>
          <w:sz w:val="32"/>
          <w:u w:color="auto"/>
          <w:lang w:val="en-US" w:eastAsia="zh-CN"/>
        </w:rPr>
        <w:t>减少</w:t>
      </w:r>
      <w:r>
        <w:rPr>
          <w:rFonts w:ascii="仿宋" w:hAnsi="仿宋" w:eastAsia="仿宋"/>
          <w:color w:val="000000"/>
          <w:sz w:val="32"/>
          <w:u w:color="auto"/>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6"/>
        <w:ind w:firstLine="0"/>
        <w:rPr>
          <w:rFonts w:ascii="仿宋_GB2312" w:hAnsi="仿宋" w:eastAsia="仿宋_GB2312"/>
          <w:b/>
          <w:color w:val="000000"/>
          <w:sz w:val="32"/>
          <w:szCs w:val="32"/>
        </w:rPr>
      </w:pPr>
    </w:p>
    <w:p>
      <w:pPr>
        <w:pStyle w:val="6"/>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6"/>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年一般公共预算财政拨款支出</w:t>
      </w:r>
      <w:r>
        <w:rPr>
          <w:rFonts w:hint="eastAsia" w:ascii="仿宋" w:hAnsi="仿宋" w:eastAsia="仿宋"/>
          <w:color w:val="000000"/>
          <w:sz w:val="32"/>
          <w:u w:color="auto"/>
          <w:lang w:val="en-US" w:eastAsia="zh-CN"/>
        </w:rPr>
        <w:t>809.25</w:t>
      </w:r>
      <w:r>
        <w:rPr>
          <w:rFonts w:hint="eastAsia" w:ascii="仿宋" w:hAnsi="仿宋" w:eastAsia="仿宋"/>
          <w:color w:val="000000"/>
          <w:sz w:val="32"/>
          <w:szCs w:val="32"/>
        </w:rPr>
        <w:t xml:space="preserve">万元，主要用于以下方面: </w:t>
      </w:r>
      <w:r>
        <w:rPr>
          <w:rFonts w:ascii="仿宋" w:hAnsi="仿宋" w:eastAsia="仿宋"/>
          <w:color w:val="000000"/>
          <w:sz w:val="32"/>
          <w:u w:color="auto"/>
        </w:rPr>
        <w:t>一般公共服务支出</w:t>
      </w:r>
      <w:r>
        <w:rPr>
          <w:rFonts w:hint="eastAsia" w:ascii="仿宋" w:hAnsi="仿宋" w:eastAsia="仿宋"/>
          <w:color w:val="000000"/>
          <w:sz w:val="32"/>
          <w:u w:color="auto"/>
          <w:lang w:val="en-US" w:eastAsia="zh-CN"/>
        </w:rPr>
        <w:t>630.93</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77.97</w:t>
      </w:r>
      <w:r>
        <w:rPr>
          <w:rFonts w:ascii="仿宋" w:hAnsi="仿宋" w:eastAsia="仿宋"/>
          <w:color w:val="000000"/>
          <w:sz w:val="32"/>
          <w:u w:color="auto"/>
        </w:rPr>
        <w:t>%；</w:t>
      </w:r>
      <w:r>
        <w:rPr>
          <w:rFonts w:hint="eastAsia" w:ascii="仿宋" w:hAnsi="仿宋" w:eastAsia="仿宋"/>
          <w:color w:val="000000"/>
          <w:sz w:val="32"/>
          <w:u w:color="auto"/>
          <w:lang w:val="en-US" w:eastAsia="zh-CN"/>
        </w:rPr>
        <w:t>文化旅游体育与传媒支出113.16万元，占13.98</w:t>
      </w:r>
      <w:r>
        <w:rPr>
          <w:rFonts w:ascii="仿宋" w:hAnsi="仿宋" w:eastAsia="仿宋"/>
          <w:color w:val="000000"/>
          <w:sz w:val="32"/>
          <w:u w:color="auto"/>
        </w:rPr>
        <w:t>%；社会保障和就业支出</w:t>
      </w:r>
      <w:r>
        <w:rPr>
          <w:rFonts w:hint="eastAsia" w:ascii="仿宋" w:hAnsi="仿宋" w:eastAsia="仿宋"/>
          <w:color w:val="000000"/>
          <w:sz w:val="32"/>
          <w:u w:color="auto"/>
          <w:lang w:val="en-US" w:eastAsia="zh-CN"/>
        </w:rPr>
        <w:t>33.72</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4.17</w:t>
      </w:r>
      <w:r>
        <w:rPr>
          <w:rFonts w:ascii="仿宋" w:hAnsi="仿宋" w:eastAsia="仿宋"/>
          <w:color w:val="000000"/>
          <w:sz w:val="32"/>
          <w:u w:color="auto"/>
        </w:rPr>
        <w:t>%；卫生健康支出</w:t>
      </w:r>
      <w:r>
        <w:rPr>
          <w:rFonts w:hint="eastAsia" w:ascii="仿宋" w:hAnsi="仿宋" w:eastAsia="仿宋"/>
          <w:color w:val="000000"/>
          <w:sz w:val="32"/>
          <w:u w:color="auto"/>
          <w:lang w:val="en-US" w:eastAsia="zh-CN"/>
        </w:rPr>
        <w:t>14.12</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1.74</w:t>
      </w:r>
      <w:r>
        <w:rPr>
          <w:rFonts w:ascii="仿宋" w:hAnsi="仿宋" w:eastAsia="仿宋"/>
          <w:color w:val="000000"/>
          <w:sz w:val="32"/>
          <w:u w:color="auto"/>
        </w:rPr>
        <w:t>%；住房保障支出</w:t>
      </w:r>
      <w:r>
        <w:rPr>
          <w:rFonts w:hint="eastAsia" w:ascii="仿宋" w:hAnsi="仿宋" w:eastAsia="仿宋"/>
          <w:color w:val="000000"/>
          <w:sz w:val="32"/>
          <w:u w:color="auto"/>
          <w:lang w:val="en-US" w:eastAsia="zh-CN"/>
        </w:rPr>
        <w:t>17.32</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2.14</w:t>
      </w:r>
      <w:r>
        <w:rPr>
          <w:rFonts w:ascii="仿宋" w:hAnsi="仿宋" w:eastAsia="仿宋"/>
          <w:color w:val="000000"/>
          <w:sz w:val="32"/>
          <w:u w:color="auto"/>
        </w:rPr>
        <w:t>%。</w:t>
      </w:r>
    </w:p>
    <w:p>
      <w:pPr>
        <w:pStyle w:val="6"/>
      </w:pPr>
      <w:bookmarkStart w:id="47" w:name="_Toc15377212"/>
    </w:p>
    <w:p>
      <w:pPr>
        <w:pStyle w:val="6"/>
        <w:rPr>
          <w:rFonts w:hint="eastAsia" w:eastAsia="宋体"/>
          <w:lang w:eastAsia="zh-CN"/>
        </w:rPr>
      </w:pPr>
    </w:p>
    <w:p>
      <w:pPr>
        <w:pStyle w:val="6"/>
      </w:pPr>
    </w:p>
    <w:p>
      <w:pPr>
        <w:spacing w:line="600" w:lineRule="exact"/>
        <w:ind w:firstLine="640" w:firstLineChars="200"/>
        <w:jc w:val="center"/>
        <w:rPr>
          <w:rFonts w:hint="eastAsia" w:ascii="仿宋" w:hAnsi="仿宋" w:eastAsia="仿宋"/>
          <w:color w:val="000000"/>
          <w:sz w:val="32"/>
          <w:szCs w:val="32"/>
        </w:rPr>
      </w:pPr>
    </w:p>
    <w:p>
      <w:pPr>
        <w:spacing w:line="600" w:lineRule="exact"/>
        <w:ind w:firstLine="640" w:firstLineChars="200"/>
        <w:jc w:val="center"/>
        <w:rPr>
          <w:rFonts w:hint="eastAsia" w:ascii="仿宋" w:hAnsi="仿宋" w:eastAsia="仿宋"/>
          <w:color w:val="000000"/>
          <w:sz w:val="32"/>
          <w:szCs w:val="32"/>
        </w:rPr>
      </w:pPr>
    </w:p>
    <w:p>
      <w:pPr>
        <w:spacing w:line="600" w:lineRule="exact"/>
        <w:ind w:firstLine="420" w:firstLineChars="200"/>
        <w:jc w:val="center"/>
        <w:rPr>
          <w:rFonts w:hint="eastAsia" w:ascii="仿宋" w:hAnsi="仿宋" w:eastAsia="仿宋"/>
          <w:color w:val="000000"/>
          <w:sz w:val="32"/>
          <w:szCs w:val="32"/>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680085</wp:posOffset>
            </wp:positionH>
            <wp:positionV relativeFrom="paragraph">
              <wp:posOffset>129540</wp:posOffset>
            </wp:positionV>
            <wp:extent cx="4959350" cy="3486150"/>
            <wp:effectExtent l="4445" t="4445" r="825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6"/>
        <w:rPr>
          <w:rFonts w:hint="eastAsia" w:ascii="仿宋" w:hAnsi="仿宋" w:eastAsia="仿宋"/>
          <w:color w:val="000000"/>
          <w:sz w:val="32"/>
          <w:szCs w:val="32"/>
        </w:rPr>
      </w:pPr>
    </w:p>
    <w:p>
      <w:pPr>
        <w:pStyle w:val="6"/>
        <w:rPr>
          <w:rFonts w:hint="eastAsia" w:ascii="仿宋" w:hAnsi="仿宋" w:eastAsia="仿宋"/>
          <w:color w:val="000000"/>
          <w:sz w:val="32"/>
          <w:szCs w:val="32"/>
        </w:rPr>
      </w:pPr>
    </w:p>
    <w:p>
      <w:pPr>
        <w:pStyle w:val="6"/>
        <w:rPr>
          <w:rFonts w:hint="eastAsia" w:ascii="仿宋" w:hAnsi="仿宋" w:eastAsia="仿宋"/>
          <w:color w:val="000000"/>
          <w:sz w:val="32"/>
          <w:szCs w:val="32"/>
        </w:rPr>
      </w:pPr>
    </w:p>
    <w:p>
      <w:pPr>
        <w:pStyle w:val="6"/>
        <w:rPr>
          <w:rFonts w:hint="eastAsia" w:ascii="仿宋" w:hAnsi="仿宋" w:eastAsia="仿宋"/>
          <w:color w:val="000000"/>
          <w:sz w:val="32"/>
          <w:szCs w:val="32"/>
        </w:rPr>
      </w:pPr>
    </w:p>
    <w:p>
      <w:pPr>
        <w:pStyle w:val="6"/>
        <w:rPr>
          <w:rFonts w:hint="eastAsia" w:ascii="仿宋" w:hAnsi="仿宋" w:eastAsia="仿宋"/>
          <w:color w:val="000000"/>
          <w:sz w:val="32"/>
          <w:szCs w:val="32"/>
        </w:rPr>
      </w:pPr>
    </w:p>
    <w:p>
      <w:pPr>
        <w:spacing w:line="600" w:lineRule="exact"/>
        <w:ind w:firstLine="640" w:firstLineChars="200"/>
        <w:jc w:val="center"/>
        <w:rPr>
          <w:rFonts w:hint="eastAsia" w:ascii="仿宋" w:hAnsi="仿宋" w:eastAsia="仿宋"/>
          <w:color w:val="000000"/>
          <w:sz w:val="32"/>
          <w:szCs w:val="32"/>
        </w:rPr>
      </w:pPr>
    </w:p>
    <w:p>
      <w:pPr>
        <w:spacing w:line="600" w:lineRule="exact"/>
        <w:ind w:firstLine="640" w:firstLineChars="200"/>
        <w:jc w:val="center"/>
        <w:rPr>
          <w:rFonts w:hint="eastAsia" w:ascii="仿宋" w:hAnsi="仿宋" w:eastAsia="仿宋"/>
          <w:color w:val="000000"/>
          <w:sz w:val="32"/>
          <w:szCs w:val="32"/>
        </w:rPr>
      </w:pPr>
    </w:p>
    <w:p>
      <w:pPr>
        <w:spacing w:line="600" w:lineRule="exact"/>
        <w:ind w:firstLine="640" w:firstLineChars="200"/>
        <w:jc w:val="center"/>
        <w:rPr>
          <w:rFonts w:hint="eastAsia" w:ascii="仿宋" w:hAnsi="仿宋" w:eastAsia="仿宋"/>
          <w:color w:val="000000"/>
          <w:sz w:val="32"/>
          <w:szCs w:val="32"/>
        </w:rPr>
      </w:pPr>
    </w:p>
    <w:p>
      <w:pPr>
        <w:pStyle w:val="6"/>
        <w:ind w:left="0" w:leftChars="0" w:firstLine="0" w:firstLineChars="0"/>
        <w:rPr>
          <w:rFonts w:hint="eastAsia" w:ascii="仿宋" w:hAnsi="仿宋" w:eastAsia="仿宋"/>
          <w:color w:val="000000"/>
          <w:sz w:val="32"/>
          <w:szCs w:val="32"/>
        </w:rPr>
      </w:pP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pStyle w:val="6"/>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7"/>
    </w:p>
    <w:p>
      <w:pPr>
        <w:spacing w:line="600" w:lineRule="exact"/>
        <w:ind w:firstLine="640"/>
        <w:rPr>
          <w:rFonts w:hint="eastAsia" w:ascii="仿宋" w:hAnsi="仿宋" w:eastAsia="仿宋"/>
          <w:color w:val="000000"/>
          <w:sz w:val="32"/>
          <w:szCs w:val="32"/>
        </w:rPr>
      </w:pPr>
      <w:bookmarkStart w:id="48" w:name="_Toc15377444"/>
      <w:bookmarkStart w:id="49" w:name="_Toc15377213"/>
      <w:bookmarkStart w:id="50" w:name="_Toc15378460"/>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年一般公共预算支出决算数为</w:t>
      </w:r>
      <w:r>
        <w:rPr>
          <w:rFonts w:hint="eastAsia" w:ascii="仿宋" w:hAnsi="仿宋" w:eastAsia="仿宋"/>
          <w:color w:val="000000"/>
          <w:sz w:val="32"/>
          <w:u w:color="auto"/>
          <w:lang w:val="en-US" w:eastAsia="zh-CN"/>
        </w:rPr>
        <w:t>809.25</w:t>
      </w:r>
      <w:r>
        <w:rPr>
          <w:rFonts w:hint="eastAsia" w:ascii="仿宋" w:hAnsi="仿宋" w:eastAsia="仿宋"/>
          <w:color w:val="000000"/>
          <w:sz w:val="32"/>
          <w:szCs w:val="32"/>
        </w:rPr>
        <w:t>万元，完成预算100%。其中：</w:t>
      </w:r>
      <w:bookmarkEnd w:id="48"/>
      <w:bookmarkEnd w:id="49"/>
      <w:bookmarkEnd w:id="50"/>
    </w:p>
    <w:p>
      <w:pPr>
        <w:pStyle w:val="6"/>
      </w:pP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一般公共服务支出（201）政府办公厅（室）及相关机构事务（20103）</w:t>
      </w:r>
      <w:r>
        <w:rPr>
          <w:rFonts w:hint="eastAsia" w:ascii="仿宋" w:hAnsi="仿宋" w:eastAsia="仿宋"/>
          <w:color w:val="000000"/>
          <w:sz w:val="32"/>
          <w:szCs w:val="32"/>
          <w:lang w:val="en-US" w:eastAsia="zh-CN"/>
        </w:rPr>
        <w:t>一般行政管理事务</w:t>
      </w:r>
      <w:r>
        <w:rPr>
          <w:rFonts w:hint="eastAsia" w:ascii="仿宋" w:hAnsi="仿宋" w:eastAsia="仿宋"/>
          <w:color w:val="000000"/>
          <w:sz w:val="32"/>
          <w:szCs w:val="32"/>
        </w:rPr>
        <w:t>（20103</w:t>
      </w:r>
      <w:r>
        <w:rPr>
          <w:rFonts w:hint="eastAsia" w:ascii="仿宋" w:hAnsi="仿宋" w:eastAsia="仿宋"/>
          <w:color w:val="000000"/>
          <w:sz w:val="32"/>
          <w:szCs w:val="32"/>
          <w:lang w:val="en-US" w:eastAsia="zh-CN"/>
        </w:rPr>
        <w:t>02</w:t>
      </w:r>
      <w:r>
        <w:rPr>
          <w:rFonts w:hint="eastAsia" w:ascii="仿宋" w:hAnsi="仿宋" w:eastAsia="仿宋"/>
          <w:color w:val="000000"/>
          <w:sz w:val="32"/>
          <w:szCs w:val="32"/>
        </w:rPr>
        <w:t>）支出决算</w:t>
      </w:r>
      <w:r>
        <w:rPr>
          <w:rFonts w:hint="eastAsia" w:ascii="仿宋" w:hAnsi="仿宋" w:eastAsia="仿宋"/>
          <w:color w:val="000000"/>
          <w:sz w:val="32"/>
          <w:szCs w:val="32"/>
          <w:lang w:val="en-US" w:eastAsia="zh-CN"/>
        </w:rPr>
        <w:t>40.45</w:t>
      </w:r>
      <w:r>
        <w:rPr>
          <w:rFonts w:hint="eastAsia" w:ascii="仿宋" w:hAnsi="仿宋" w:eastAsia="仿宋"/>
          <w:color w:val="000000"/>
          <w:sz w:val="32"/>
          <w:szCs w:val="32"/>
        </w:rPr>
        <w:t>万元，完成预算100%。</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.一般公共服务支出（201）政府办公厅（室）及相关机构事务（20103）事业运行（2010350）支出决算</w:t>
      </w:r>
      <w:r>
        <w:rPr>
          <w:rFonts w:hint="eastAsia" w:ascii="仿宋" w:hAnsi="仿宋" w:eastAsia="仿宋"/>
          <w:color w:val="000000"/>
          <w:sz w:val="32"/>
          <w:szCs w:val="32"/>
          <w:lang w:val="en-US" w:eastAsia="zh-CN"/>
        </w:rPr>
        <w:t>297.69</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.一般公共服务支出（201）政府办公厅（室）及相关机构事务（20103）其他政府办公厅（室）及相关机构事务支出（2010399）支出决算</w:t>
      </w:r>
      <w:r>
        <w:rPr>
          <w:rFonts w:hint="eastAsia" w:ascii="仿宋" w:hAnsi="仿宋" w:eastAsia="仿宋"/>
          <w:color w:val="000000"/>
          <w:sz w:val="32"/>
          <w:szCs w:val="32"/>
          <w:lang w:val="en-US" w:eastAsia="zh-CN"/>
        </w:rPr>
        <w:t>292.79</w:t>
      </w:r>
      <w:r>
        <w:rPr>
          <w:rFonts w:hint="eastAsia" w:ascii="仿宋" w:hAnsi="仿宋" w:eastAsia="仿宋"/>
          <w:color w:val="000000"/>
          <w:sz w:val="32"/>
          <w:szCs w:val="32"/>
        </w:rPr>
        <w:t>万元，完成预算100%。</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文化旅游体育与传媒支出</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文化和旅游</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0</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文化活动</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2070108</w:t>
      </w:r>
      <w:r>
        <w:rPr>
          <w:rFonts w:hint="eastAsia" w:ascii="仿宋" w:hAnsi="仿宋" w:eastAsia="仿宋"/>
          <w:color w:val="000000"/>
          <w:sz w:val="32"/>
          <w:szCs w:val="32"/>
        </w:rPr>
        <w:t>）支出决算</w:t>
      </w:r>
      <w:r>
        <w:rPr>
          <w:rFonts w:hint="eastAsia" w:ascii="仿宋" w:hAnsi="仿宋" w:eastAsia="仿宋"/>
          <w:color w:val="000000"/>
          <w:sz w:val="32"/>
          <w:szCs w:val="32"/>
          <w:lang w:val="en-US" w:eastAsia="zh-CN"/>
        </w:rPr>
        <w:t>59.56</w:t>
      </w:r>
      <w:r>
        <w:rPr>
          <w:rFonts w:hint="eastAsia" w:ascii="仿宋" w:hAnsi="仿宋" w:eastAsia="仿宋"/>
          <w:color w:val="000000"/>
          <w:sz w:val="32"/>
          <w:szCs w:val="32"/>
        </w:rPr>
        <w:t>万元，完成预算100%。</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文化旅游体育与传媒支出</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文化和旅游</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0</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其他文化和旅游支出</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2070199</w:t>
      </w:r>
      <w:r>
        <w:rPr>
          <w:rFonts w:hint="eastAsia" w:ascii="仿宋" w:hAnsi="仿宋" w:eastAsia="仿宋"/>
          <w:color w:val="000000"/>
          <w:sz w:val="32"/>
          <w:szCs w:val="32"/>
        </w:rPr>
        <w:t>）支出决算</w:t>
      </w:r>
      <w:r>
        <w:rPr>
          <w:rFonts w:hint="eastAsia" w:ascii="仿宋" w:hAnsi="仿宋" w:eastAsia="仿宋"/>
          <w:color w:val="000000"/>
          <w:sz w:val="32"/>
          <w:szCs w:val="32"/>
          <w:lang w:val="en-US" w:eastAsia="zh-CN"/>
        </w:rPr>
        <w:t>53.60</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.社会保障和就业支出（208）行政事业单位养老支出（20805）机关事业单位基本养老保险缴费支出（2080505）支出决算</w:t>
      </w:r>
      <w:r>
        <w:rPr>
          <w:rFonts w:hint="eastAsia" w:ascii="仿宋" w:hAnsi="仿宋" w:eastAsia="仿宋"/>
          <w:color w:val="000000"/>
          <w:sz w:val="32"/>
          <w:szCs w:val="32"/>
          <w:lang w:val="en-US" w:eastAsia="zh-CN"/>
        </w:rPr>
        <w:t>22.48</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.社会保障和就业支出（208）行政事业单位养老支出（20805）机关事业单位职业年金缴费支出（2080506）支出决算</w:t>
      </w:r>
      <w:r>
        <w:rPr>
          <w:rFonts w:hint="eastAsia" w:ascii="仿宋" w:hAnsi="仿宋" w:eastAsia="仿宋"/>
          <w:color w:val="000000"/>
          <w:sz w:val="32"/>
          <w:szCs w:val="32"/>
          <w:lang w:val="en-US" w:eastAsia="zh-CN"/>
        </w:rPr>
        <w:t>11.24</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.卫生健康支出（210）行政事业单位医疗（21011）事业单位医疗（2101102）支出决算</w:t>
      </w:r>
      <w:r>
        <w:rPr>
          <w:rFonts w:hint="eastAsia" w:ascii="仿宋" w:hAnsi="仿宋" w:eastAsia="仿宋"/>
          <w:color w:val="000000"/>
          <w:sz w:val="32"/>
          <w:szCs w:val="32"/>
          <w:lang w:val="en-US" w:eastAsia="zh-CN"/>
        </w:rPr>
        <w:t>11.36</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.卫生健康支出（210）行政事业单位医疗（21011）其他行政事业单位医疗支出（2101199）支出决算</w:t>
      </w:r>
      <w:r>
        <w:rPr>
          <w:rFonts w:hint="eastAsia" w:ascii="仿宋" w:hAnsi="仿宋" w:eastAsia="仿宋"/>
          <w:color w:val="000000"/>
          <w:sz w:val="32"/>
          <w:szCs w:val="32"/>
          <w:lang w:val="en-US" w:eastAsia="zh-CN"/>
        </w:rPr>
        <w:t>2.76</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.住房保障支出（221）住房改革支出（22102）住房公积金（2210201）支出决算</w:t>
      </w:r>
      <w:r>
        <w:rPr>
          <w:rFonts w:hint="eastAsia" w:ascii="仿宋" w:hAnsi="仿宋" w:eastAsia="仿宋"/>
          <w:color w:val="000000"/>
          <w:sz w:val="32"/>
          <w:szCs w:val="32"/>
          <w:lang w:val="en-US" w:eastAsia="zh-CN"/>
        </w:rPr>
        <w:t>17.32</w:t>
      </w:r>
      <w:r>
        <w:rPr>
          <w:rFonts w:hint="eastAsia" w:ascii="仿宋" w:hAnsi="仿宋" w:eastAsia="仿宋"/>
          <w:color w:val="000000"/>
          <w:sz w:val="32"/>
          <w:szCs w:val="32"/>
        </w:rPr>
        <w:t>万元，完成预算100%。</w:t>
      </w:r>
    </w:p>
    <w:p>
      <w:pPr>
        <w:pStyle w:val="4"/>
        <w:ind w:firstLine="643" w:firstLineChars="200"/>
        <w:rPr>
          <w:rFonts w:ascii="黑体" w:eastAsia="黑体" w:cs="Times New Roman"/>
          <w:b w:val="0"/>
          <w:color w:val="000000"/>
        </w:rPr>
      </w:pPr>
      <w:bookmarkStart w:id="51" w:name="_Toc15377214"/>
      <w:bookmarkStart w:id="52" w:name="_Toc111208504"/>
      <w:bookmarkStart w:id="53" w:name="_Toc31578"/>
      <w:r>
        <w:rPr>
          <w:rFonts w:hint="eastAsia" w:ascii="黑体" w:eastAsia="黑体" w:cs="Times New Roman"/>
          <w:bCs w:val="0"/>
          <w:color w:val="000000"/>
        </w:rPr>
        <w:t>六、一般公共预算财政拨款基本支出决算情况说</w:t>
      </w:r>
      <w:bookmarkEnd w:id="51"/>
      <w:r>
        <w:rPr>
          <w:rFonts w:hint="eastAsia" w:ascii="黑体" w:eastAsia="黑体" w:cs="Times New Roman"/>
          <w:bCs w:val="0"/>
          <w:color w:val="000000"/>
        </w:rPr>
        <w:t>明</w:t>
      </w:r>
      <w:bookmarkEnd w:id="52"/>
      <w:bookmarkEnd w:id="5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年一般公共预算财政拨款基本支出</w:t>
      </w:r>
      <w:r>
        <w:rPr>
          <w:rFonts w:hint="eastAsia" w:ascii="仿宋" w:hAnsi="仿宋" w:eastAsia="仿宋"/>
          <w:color w:val="000000"/>
          <w:sz w:val="32"/>
          <w:u w:color="auto"/>
          <w:lang w:val="en-US" w:eastAsia="zh-CN"/>
        </w:rPr>
        <w:t>362.85</w:t>
      </w:r>
      <w:r>
        <w:rPr>
          <w:rFonts w:hint="eastAsia" w:ascii="仿宋" w:hAnsi="仿宋" w:eastAsia="仿宋"/>
          <w:color w:val="000000"/>
          <w:sz w:val="32"/>
          <w:szCs w:val="32"/>
        </w:rPr>
        <w:t>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u w:color="auto"/>
          <w:lang w:val="en-US" w:eastAsia="zh-CN"/>
        </w:rPr>
        <w:t>251.55</w:t>
      </w:r>
      <w:r>
        <w:rPr>
          <w:rFonts w:hint="eastAsia" w:ascii="仿宋" w:hAnsi="仿宋" w:eastAsia="仿宋"/>
          <w:color w:val="000000"/>
          <w:sz w:val="32"/>
          <w:szCs w:val="32"/>
        </w:rPr>
        <w:t>万元，主要包括：</w:t>
      </w:r>
      <w:r>
        <w:rPr>
          <w:rFonts w:ascii="仿宋" w:hAnsi="仿宋" w:eastAsia="仿宋"/>
          <w:color w:val="000000"/>
          <w:sz w:val="32"/>
          <w:u w:color="auto"/>
        </w:rPr>
        <w:t>基本工资</w:t>
      </w:r>
      <w:r>
        <w:rPr>
          <w:rFonts w:hint="eastAsia" w:ascii="仿宋" w:hAnsi="仿宋" w:eastAsia="仿宋"/>
          <w:color w:val="000000"/>
          <w:sz w:val="32"/>
          <w:u w:color="auto"/>
          <w:lang w:val="en-US" w:eastAsia="zh-CN"/>
        </w:rPr>
        <w:t>39.02</w:t>
      </w:r>
      <w:r>
        <w:rPr>
          <w:rFonts w:ascii="仿宋" w:hAnsi="仿宋" w:eastAsia="仿宋"/>
          <w:color w:val="000000"/>
          <w:sz w:val="32"/>
          <w:u w:color="auto"/>
        </w:rPr>
        <w:t>万元、津贴补贴</w:t>
      </w:r>
      <w:r>
        <w:rPr>
          <w:rFonts w:hint="eastAsia" w:ascii="仿宋" w:hAnsi="仿宋" w:eastAsia="仿宋"/>
          <w:color w:val="000000"/>
          <w:sz w:val="32"/>
          <w:u w:color="auto"/>
          <w:lang w:val="en-US" w:eastAsia="zh-CN"/>
        </w:rPr>
        <w:t>51.13</w:t>
      </w:r>
      <w:r>
        <w:rPr>
          <w:rFonts w:ascii="仿宋" w:hAnsi="仿宋" w:eastAsia="仿宋"/>
          <w:color w:val="000000"/>
          <w:sz w:val="32"/>
          <w:u w:color="auto"/>
        </w:rPr>
        <w:t>万元、奖金</w:t>
      </w:r>
      <w:r>
        <w:rPr>
          <w:rFonts w:hint="eastAsia" w:ascii="仿宋" w:hAnsi="仿宋" w:eastAsia="仿宋"/>
          <w:color w:val="000000"/>
          <w:sz w:val="32"/>
          <w:u w:color="auto"/>
          <w:lang w:val="en-US" w:eastAsia="zh-CN"/>
        </w:rPr>
        <w:t>52.34</w:t>
      </w:r>
      <w:r>
        <w:rPr>
          <w:rFonts w:ascii="仿宋" w:hAnsi="仿宋" w:eastAsia="仿宋"/>
          <w:color w:val="000000"/>
          <w:sz w:val="32"/>
          <w:u w:color="auto"/>
        </w:rPr>
        <w:t>万元、绩效工资</w:t>
      </w:r>
      <w:r>
        <w:rPr>
          <w:rFonts w:hint="eastAsia" w:ascii="仿宋" w:hAnsi="仿宋" w:eastAsia="仿宋"/>
          <w:color w:val="000000"/>
          <w:sz w:val="32"/>
          <w:u w:color="auto"/>
          <w:lang w:val="en-US" w:eastAsia="zh-CN"/>
        </w:rPr>
        <w:t>38.28</w:t>
      </w:r>
      <w:r>
        <w:rPr>
          <w:rFonts w:ascii="仿宋" w:hAnsi="仿宋" w:eastAsia="仿宋"/>
          <w:color w:val="000000"/>
          <w:sz w:val="32"/>
          <w:u w:color="auto"/>
        </w:rPr>
        <w:t>万元、机关事业单位基本养老保险缴费</w:t>
      </w:r>
      <w:r>
        <w:rPr>
          <w:rFonts w:hint="eastAsia" w:ascii="仿宋" w:hAnsi="仿宋" w:eastAsia="仿宋"/>
          <w:color w:val="000000"/>
          <w:sz w:val="32"/>
          <w:u w:color="auto"/>
          <w:lang w:val="en-US" w:eastAsia="zh-CN"/>
        </w:rPr>
        <w:t>22.48</w:t>
      </w:r>
      <w:r>
        <w:rPr>
          <w:rFonts w:ascii="仿宋" w:hAnsi="仿宋" w:eastAsia="仿宋"/>
          <w:color w:val="000000"/>
          <w:sz w:val="32"/>
          <w:u w:color="auto"/>
        </w:rPr>
        <w:t>万元、职业年金缴费</w:t>
      </w:r>
      <w:r>
        <w:rPr>
          <w:rFonts w:hint="eastAsia" w:ascii="仿宋" w:hAnsi="仿宋" w:eastAsia="仿宋"/>
          <w:color w:val="000000"/>
          <w:sz w:val="32"/>
          <w:u w:color="auto"/>
          <w:lang w:val="en-US" w:eastAsia="zh-CN"/>
        </w:rPr>
        <w:t>11.24</w:t>
      </w:r>
      <w:r>
        <w:rPr>
          <w:rFonts w:ascii="仿宋" w:hAnsi="仿宋" w:eastAsia="仿宋"/>
          <w:color w:val="000000"/>
          <w:sz w:val="32"/>
          <w:u w:color="auto"/>
        </w:rPr>
        <w:t>万元、职工基本医疗保险缴费</w:t>
      </w:r>
      <w:r>
        <w:rPr>
          <w:rFonts w:hint="eastAsia" w:ascii="仿宋" w:hAnsi="仿宋" w:eastAsia="仿宋"/>
          <w:color w:val="000000"/>
          <w:sz w:val="32"/>
          <w:u w:color="auto"/>
          <w:lang w:val="en-US" w:eastAsia="zh-CN"/>
        </w:rPr>
        <w:t>11.36</w:t>
      </w:r>
      <w:r>
        <w:rPr>
          <w:rFonts w:ascii="仿宋" w:hAnsi="仿宋" w:eastAsia="仿宋"/>
          <w:color w:val="000000"/>
          <w:sz w:val="32"/>
          <w:u w:color="auto"/>
        </w:rPr>
        <w:t>万元、公务员医疗补助缴费</w:t>
      </w:r>
      <w:r>
        <w:rPr>
          <w:rFonts w:hint="eastAsia" w:ascii="仿宋" w:hAnsi="仿宋" w:eastAsia="仿宋"/>
          <w:color w:val="000000"/>
          <w:sz w:val="32"/>
          <w:u w:color="auto"/>
          <w:lang w:val="en-US" w:eastAsia="zh-CN"/>
        </w:rPr>
        <w:t>2.76</w:t>
      </w:r>
      <w:r>
        <w:rPr>
          <w:rFonts w:ascii="仿宋" w:hAnsi="仿宋" w:eastAsia="仿宋"/>
          <w:color w:val="000000"/>
          <w:sz w:val="32"/>
          <w:u w:color="auto"/>
        </w:rPr>
        <w:t>万元、其他社会保障缴费</w:t>
      </w:r>
      <w:r>
        <w:rPr>
          <w:rFonts w:hint="eastAsia" w:ascii="仿宋" w:hAnsi="仿宋" w:eastAsia="仿宋"/>
          <w:color w:val="000000"/>
          <w:sz w:val="32"/>
          <w:u w:color="auto"/>
          <w:lang w:val="en-US" w:eastAsia="zh-CN"/>
        </w:rPr>
        <w:t>3.54</w:t>
      </w:r>
      <w:r>
        <w:rPr>
          <w:rFonts w:ascii="仿宋" w:hAnsi="仿宋" w:eastAsia="仿宋"/>
          <w:color w:val="000000"/>
          <w:sz w:val="32"/>
          <w:u w:color="auto"/>
        </w:rPr>
        <w:t>万元、住房公积金</w:t>
      </w:r>
      <w:r>
        <w:rPr>
          <w:rFonts w:hint="eastAsia" w:ascii="仿宋" w:hAnsi="仿宋" w:eastAsia="仿宋"/>
          <w:color w:val="000000"/>
          <w:sz w:val="32"/>
          <w:u w:color="auto"/>
          <w:lang w:val="en-US" w:eastAsia="zh-CN"/>
        </w:rPr>
        <w:t>17.32</w:t>
      </w:r>
      <w:r>
        <w:rPr>
          <w:rFonts w:ascii="仿宋" w:hAnsi="仿宋" w:eastAsia="仿宋"/>
          <w:color w:val="000000"/>
          <w:sz w:val="32"/>
          <w:u w:color="auto"/>
        </w:rPr>
        <w:t>万元、医疗费</w:t>
      </w:r>
      <w:r>
        <w:rPr>
          <w:rFonts w:hint="eastAsia" w:ascii="仿宋" w:hAnsi="仿宋" w:eastAsia="仿宋"/>
          <w:color w:val="000000"/>
          <w:sz w:val="32"/>
          <w:u w:color="auto"/>
          <w:lang w:val="en-US" w:eastAsia="zh-CN"/>
        </w:rPr>
        <w:t>1.14</w:t>
      </w:r>
      <w:r>
        <w:rPr>
          <w:rFonts w:ascii="仿宋" w:hAnsi="仿宋" w:eastAsia="仿宋"/>
          <w:color w:val="000000"/>
          <w:sz w:val="32"/>
          <w:u w:color="auto"/>
        </w:rPr>
        <w:t>万元、生活补助</w:t>
      </w:r>
      <w:r>
        <w:rPr>
          <w:rFonts w:hint="eastAsia" w:ascii="仿宋" w:hAnsi="仿宋" w:eastAsia="仿宋"/>
          <w:color w:val="000000"/>
          <w:sz w:val="32"/>
          <w:u w:color="auto"/>
          <w:lang w:val="en-US" w:eastAsia="zh-CN"/>
        </w:rPr>
        <w:t>0.80</w:t>
      </w:r>
      <w:r>
        <w:rPr>
          <w:rFonts w:ascii="仿宋" w:hAnsi="仿宋" w:eastAsia="仿宋"/>
          <w:color w:val="000000"/>
          <w:sz w:val="32"/>
          <w:u w:color="auto"/>
        </w:rPr>
        <w:t>万元、</w:t>
      </w:r>
      <w:r>
        <w:rPr>
          <w:rFonts w:hint="eastAsia" w:ascii="仿宋" w:hAnsi="仿宋" w:eastAsia="仿宋"/>
          <w:color w:val="000000"/>
          <w:sz w:val="32"/>
          <w:u w:color="auto"/>
          <w:lang w:val="en-US" w:eastAsia="zh-CN"/>
        </w:rPr>
        <w:t>医疗补助0.12万元、</w:t>
      </w:r>
      <w:r>
        <w:rPr>
          <w:rFonts w:ascii="仿宋" w:hAnsi="仿宋" w:eastAsia="仿宋"/>
          <w:color w:val="000000"/>
          <w:sz w:val="32"/>
          <w:u w:color="auto"/>
        </w:rPr>
        <w:t>奖励金0.02万元。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w:t>
      </w:r>
      <w:r>
        <w:rPr>
          <w:rFonts w:hint="eastAsia" w:ascii="仿宋" w:hAnsi="仿宋" w:eastAsia="仿宋"/>
          <w:color w:val="000000"/>
          <w:sz w:val="32"/>
          <w:u w:color="auto"/>
          <w:lang w:val="en-US" w:eastAsia="zh-CN"/>
        </w:rPr>
        <w:t>111.30</w:t>
      </w:r>
      <w:r>
        <w:rPr>
          <w:rFonts w:hint="eastAsia" w:ascii="仿宋" w:hAnsi="仿宋" w:eastAsia="仿宋"/>
          <w:color w:val="000000"/>
          <w:sz w:val="32"/>
          <w:szCs w:val="32"/>
        </w:rPr>
        <w:t>万元，主要包括：</w:t>
      </w:r>
      <w:r>
        <w:rPr>
          <w:rFonts w:ascii="仿宋" w:hAnsi="仿宋" w:eastAsia="仿宋"/>
          <w:color w:val="000000"/>
          <w:sz w:val="32"/>
          <w:u w:color="auto"/>
        </w:rPr>
        <w:t>办公费</w:t>
      </w:r>
      <w:r>
        <w:rPr>
          <w:rFonts w:hint="eastAsia" w:ascii="仿宋" w:hAnsi="仿宋" w:eastAsia="仿宋"/>
          <w:color w:val="000000"/>
          <w:sz w:val="32"/>
          <w:u w:color="auto"/>
          <w:lang w:val="en-US" w:eastAsia="zh-CN"/>
        </w:rPr>
        <w:t>62.71</w:t>
      </w:r>
      <w:r>
        <w:rPr>
          <w:rFonts w:ascii="仿宋" w:hAnsi="仿宋" w:eastAsia="仿宋"/>
          <w:color w:val="000000"/>
          <w:sz w:val="32"/>
          <w:u w:color="auto"/>
        </w:rPr>
        <w:t>万元、手续费0.1</w:t>
      </w:r>
      <w:r>
        <w:rPr>
          <w:rFonts w:hint="eastAsia" w:ascii="仿宋" w:hAnsi="仿宋" w:eastAsia="仿宋"/>
          <w:color w:val="000000"/>
          <w:sz w:val="32"/>
          <w:u w:color="auto"/>
          <w:lang w:val="en-US" w:eastAsia="zh-CN"/>
        </w:rPr>
        <w:t>5</w:t>
      </w:r>
      <w:r>
        <w:rPr>
          <w:rFonts w:ascii="仿宋" w:hAnsi="仿宋" w:eastAsia="仿宋"/>
          <w:color w:val="000000"/>
          <w:sz w:val="32"/>
          <w:u w:color="auto"/>
        </w:rPr>
        <w:t>万元、电费</w:t>
      </w:r>
      <w:r>
        <w:rPr>
          <w:rFonts w:hint="eastAsia" w:ascii="仿宋" w:hAnsi="仿宋" w:eastAsia="仿宋"/>
          <w:color w:val="000000"/>
          <w:sz w:val="32"/>
          <w:u w:color="auto"/>
          <w:lang w:val="en-US" w:eastAsia="zh-CN"/>
        </w:rPr>
        <w:t>30.50</w:t>
      </w:r>
      <w:r>
        <w:rPr>
          <w:rFonts w:ascii="仿宋" w:hAnsi="仿宋" w:eastAsia="仿宋"/>
          <w:color w:val="000000"/>
          <w:sz w:val="32"/>
          <w:u w:color="auto"/>
        </w:rPr>
        <w:t>万元、邮电费1.</w:t>
      </w:r>
      <w:r>
        <w:rPr>
          <w:rFonts w:hint="eastAsia" w:ascii="仿宋" w:hAnsi="仿宋" w:eastAsia="仿宋"/>
          <w:color w:val="000000"/>
          <w:sz w:val="32"/>
          <w:u w:color="auto"/>
          <w:lang w:val="en-US" w:eastAsia="zh-CN"/>
        </w:rPr>
        <w:t>5</w:t>
      </w:r>
      <w:r>
        <w:rPr>
          <w:rFonts w:ascii="仿宋" w:hAnsi="仿宋" w:eastAsia="仿宋"/>
          <w:color w:val="000000"/>
          <w:sz w:val="32"/>
          <w:u w:color="auto"/>
        </w:rPr>
        <w:t>0万元、差旅费</w:t>
      </w:r>
      <w:r>
        <w:rPr>
          <w:rFonts w:hint="eastAsia" w:ascii="仿宋" w:hAnsi="仿宋" w:eastAsia="仿宋"/>
          <w:color w:val="000000"/>
          <w:sz w:val="32"/>
          <w:u w:color="auto"/>
          <w:lang w:val="en-US" w:eastAsia="zh-CN"/>
        </w:rPr>
        <w:t>7</w:t>
      </w:r>
      <w:r>
        <w:rPr>
          <w:rFonts w:ascii="仿宋" w:hAnsi="仿宋" w:eastAsia="仿宋"/>
          <w:color w:val="000000"/>
          <w:sz w:val="32"/>
          <w:u w:color="auto"/>
        </w:rPr>
        <w:t>.50万元、工会经费1.</w:t>
      </w:r>
      <w:r>
        <w:rPr>
          <w:rFonts w:hint="eastAsia" w:ascii="仿宋" w:hAnsi="仿宋" w:eastAsia="仿宋"/>
          <w:color w:val="000000"/>
          <w:sz w:val="32"/>
          <w:u w:color="auto"/>
          <w:lang w:val="en-US" w:eastAsia="zh-CN"/>
        </w:rPr>
        <w:t>72</w:t>
      </w:r>
      <w:r>
        <w:rPr>
          <w:rFonts w:ascii="仿宋" w:hAnsi="仿宋" w:eastAsia="仿宋"/>
          <w:color w:val="000000"/>
          <w:sz w:val="32"/>
          <w:u w:color="auto"/>
        </w:rPr>
        <w:t>万元、公务用车运行维护费7.</w:t>
      </w:r>
      <w:r>
        <w:rPr>
          <w:rFonts w:hint="eastAsia" w:ascii="仿宋" w:hAnsi="仿宋" w:eastAsia="仿宋"/>
          <w:color w:val="000000"/>
          <w:sz w:val="32"/>
          <w:u w:color="auto"/>
          <w:lang w:val="en-US" w:eastAsia="zh-CN"/>
        </w:rPr>
        <w:t>22</w:t>
      </w:r>
      <w:r>
        <w:rPr>
          <w:rFonts w:ascii="仿宋" w:hAnsi="仿宋" w:eastAsia="仿宋"/>
          <w:color w:val="000000"/>
          <w:sz w:val="32"/>
          <w:u w:color="auto"/>
        </w:rPr>
        <w:t>万元</w:t>
      </w:r>
      <w:r>
        <w:rPr>
          <w:rFonts w:hint="eastAsia" w:ascii="仿宋" w:hAnsi="仿宋" w:eastAsia="仿宋"/>
          <w:color w:val="000000"/>
          <w:sz w:val="32"/>
          <w:szCs w:val="32"/>
        </w:rPr>
        <w:t>。</w:t>
      </w:r>
    </w:p>
    <w:p>
      <w:pPr>
        <w:pStyle w:val="4"/>
        <w:ind w:firstLine="643" w:firstLineChars="200"/>
        <w:rPr>
          <w:rFonts w:ascii="黑体" w:eastAsia="黑体" w:cs="Times New Roman"/>
          <w:bCs w:val="0"/>
          <w:color w:val="000000"/>
        </w:rPr>
      </w:pPr>
      <w:bookmarkStart w:id="54" w:name="_Toc15377215"/>
      <w:bookmarkStart w:id="55" w:name="_Toc6614"/>
      <w:bookmarkStart w:id="56" w:name="_Toc111208505"/>
      <w:r>
        <w:rPr>
          <w:rFonts w:hint="eastAsia" w:ascii="黑体" w:eastAsia="黑体" w:cs="Times New Roman"/>
          <w:bCs w:val="0"/>
          <w:color w:val="000000"/>
        </w:rPr>
        <w:t>七、“三公”经费财政拨款支出决算情况说明</w:t>
      </w:r>
      <w:bookmarkEnd w:id="54"/>
      <w:bookmarkEnd w:id="55"/>
      <w:bookmarkEnd w:id="56"/>
    </w:p>
    <w:p>
      <w:pPr>
        <w:spacing w:line="600" w:lineRule="exact"/>
        <w:ind w:firstLine="643" w:firstLineChars="200"/>
        <w:outlineLvl w:val="2"/>
        <w:rPr>
          <w:rFonts w:ascii="仿宋" w:hAnsi="仿宋" w:eastAsia="仿宋"/>
          <w:b/>
          <w:color w:val="000000"/>
          <w:sz w:val="32"/>
          <w:szCs w:val="32"/>
        </w:rPr>
      </w:pPr>
      <w:bookmarkStart w:id="57" w:name="_Toc15377216"/>
      <w:r>
        <w:rPr>
          <w:rFonts w:hint="eastAsia" w:ascii="仿宋" w:hAnsi="仿宋" w:eastAsia="仿宋"/>
          <w:b/>
          <w:color w:val="000000"/>
          <w:sz w:val="32"/>
          <w:szCs w:val="32"/>
        </w:rPr>
        <w:t>（一）“三公”经费财政拨款支出决算总体情况说明</w:t>
      </w:r>
      <w:bookmarkEnd w:id="5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年“三公”经费财政拨款支出决算为18</w:t>
      </w:r>
      <w:r>
        <w:rPr>
          <w:rFonts w:hint="eastAsia" w:ascii="仿宋" w:hAnsi="仿宋" w:eastAsia="仿宋"/>
          <w:color w:val="000000"/>
          <w:sz w:val="32"/>
          <w:u w:color="auto"/>
          <w:lang w:val="en-US" w:eastAsia="zh-CN"/>
        </w:rPr>
        <w:t>6.99</w:t>
      </w:r>
      <w:r>
        <w:rPr>
          <w:rFonts w:hint="eastAsia" w:ascii="仿宋" w:hAnsi="仿宋" w:eastAsia="仿宋"/>
          <w:color w:val="000000"/>
          <w:sz w:val="32"/>
          <w:szCs w:val="32"/>
        </w:rPr>
        <w:t>万元，完成预算</w:t>
      </w:r>
      <w:r>
        <w:rPr>
          <w:rFonts w:hint="eastAsia" w:ascii="仿宋" w:hAnsi="仿宋" w:eastAsia="仿宋"/>
          <w:color w:val="000000"/>
          <w:sz w:val="32"/>
          <w:u w:color="auto"/>
          <w:lang w:val="en-US" w:eastAsia="zh-CN"/>
        </w:rPr>
        <w:t>99.88</w:t>
      </w:r>
      <w:r>
        <w:rPr>
          <w:rFonts w:hint="eastAsia" w:ascii="仿宋" w:hAnsi="仿宋" w:eastAsia="仿宋"/>
          <w:color w:val="000000"/>
          <w:sz w:val="32"/>
          <w:szCs w:val="32"/>
        </w:rPr>
        <w:t>%。</w:t>
      </w:r>
      <w:bookmarkStart w:id="58"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年“三公”经费财政拨款支出</w:t>
      </w:r>
      <w:r>
        <w:rPr>
          <w:rFonts w:hint="eastAsia" w:ascii="仿宋" w:hAnsi="仿宋" w:eastAsia="仿宋"/>
          <w:color w:val="000000"/>
          <w:sz w:val="32"/>
          <w:u w:color="auto"/>
          <w:lang w:val="en-US" w:eastAsia="zh-CN"/>
        </w:rPr>
        <w:t>186.99</w:t>
      </w:r>
      <w:r>
        <w:rPr>
          <w:rFonts w:hint="eastAsia" w:ascii="仿宋" w:hAnsi="仿宋" w:eastAsia="仿宋"/>
          <w:color w:val="000000"/>
          <w:sz w:val="32"/>
          <w:szCs w:val="32"/>
        </w:rPr>
        <w:t>万元，因公出国（境）费支出决算</w:t>
      </w:r>
      <w:r>
        <w:rPr>
          <w:rFonts w:ascii="仿宋" w:hAnsi="仿宋" w:eastAsia="仿宋"/>
          <w:color w:val="000000"/>
          <w:sz w:val="32"/>
          <w:u w:color="auto"/>
        </w:rPr>
        <w:t>0.00</w:t>
      </w:r>
      <w:r>
        <w:rPr>
          <w:rFonts w:hint="eastAsia" w:ascii="仿宋" w:hAnsi="仿宋" w:eastAsia="仿宋"/>
          <w:color w:val="000000"/>
          <w:sz w:val="32"/>
          <w:szCs w:val="32"/>
        </w:rPr>
        <w:t>万元，占</w:t>
      </w:r>
      <w:r>
        <w:rPr>
          <w:rFonts w:ascii="仿宋" w:hAnsi="仿宋" w:eastAsia="仿宋"/>
          <w:color w:val="000000"/>
          <w:sz w:val="32"/>
          <w:u w:color="auto"/>
        </w:rPr>
        <w:t>0.00</w:t>
      </w:r>
      <w:r>
        <w:rPr>
          <w:rFonts w:hint="eastAsia" w:ascii="仿宋" w:hAnsi="仿宋" w:eastAsia="仿宋"/>
          <w:color w:val="000000"/>
          <w:sz w:val="32"/>
          <w:szCs w:val="32"/>
        </w:rPr>
        <w:t>%；公务用车购置及运行维护费支出决算</w:t>
      </w:r>
      <w:r>
        <w:rPr>
          <w:rFonts w:ascii="仿宋" w:hAnsi="仿宋" w:eastAsia="仿宋"/>
          <w:color w:val="000000"/>
          <w:sz w:val="32"/>
          <w:u w:color="auto"/>
        </w:rPr>
        <w:t>7.</w:t>
      </w:r>
      <w:r>
        <w:rPr>
          <w:rFonts w:hint="eastAsia" w:ascii="仿宋" w:hAnsi="仿宋" w:eastAsia="仿宋"/>
          <w:color w:val="000000"/>
          <w:sz w:val="32"/>
          <w:u w:color="auto"/>
          <w:lang w:val="en-US" w:eastAsia="zh-CN"/>
        </w:rPr>
        <w:t>22</w:t>
      </w:r>
      <w:r>
        <w:rPr>
          <w:rFonts w:hint="eastAsia" w:ascii="仿宋" w:hAnsi="仿宋" w:eastAsia="仿宋"/>
          <w:color w:val="000000"/>
          <w:sz w:val="32"/>
          <w:szCs w:val="32"/>
        </w:rPr>
        <w:t>万元，占</w:t>
      </w:r>
      <w:r>
        <w:rPr>
          <w:rFonts w:hint="eastAsia" w:ascii="仿宋" w:hAnsi="仿宋" w:eastAsia="仿宋"/>
          <w:color w:val="000000"/>
          <w:sz w:val="32"/>
          <w:u w:color="auto"/>
          <w:lang w:val="en-US" w:eastAsia="zh-CN"/>
        </w:rPr>
        <w:t>3.86</w:t>
      </w:r>
      <w:r>
        <w:rPr>
          <w:rFonts w:hint="eastAsia" w:ascii="仿宋" w:hAnsi="仿宋" w:eastAsia="仿宋"/>
          <w:color w:val="000000"/>
          <w:sz w:val="32"/>
          <w:szCs w:val="32"/>
        </w:rPr>
        <w:t>%；公务接待费支出决算</w:t>
      </w:r>
      <w:r>
        <w:rPr>
          <w:rFonts w:ascii="仿宋" w:hAnsi="仿宋" w:eastAsia="仿宋"/>
          <w:color w:val="000000"/>
          <w:sz w:val="32"/>
          <w:u w:color="auto"/>
        </w:rPr>
        <w:t>179.</w:t>
      </w:r>
      <w:r>
        <w:rPr>
          <w:rFonts w:hint="eastAsia" w:ascii="仿宋" w:hAnsi="仿宋" w:eastAsia="仿宋"/>
          <w:color w:val="000000"/>
          <w:sz w:val="32"/>
          <w:u w:color="auto"/>
          <w:lang w:val="en-US" w:eastAsia="zh-CN"/>
        </w:rPr>
        <w:t>77</w:t>
      </w:r>
      <w:r>
        <w:rPr>
          <w:rFonts w:hint="eastAsia" w:ascii="仿宋" w:hAnsi="仿宋" w:eastAsia="仿宋"/>
          <w:color w:val="000000"/>
          <w:sz w:val="32"/>
          <w:szCs w:val="32"/>
        </w:rPr>
        <w:t>万元，占</w:t>
      </w:r>
      <w:r>
        <w:rPr>
          <w:rFonts w:hint="eastAsia" w:ascii="仿宋" w:hAnsi="仿宋" w:eastAsia="仿宋"/>
          <w:color w:val="000000"/>
          <w:sz w:val="32"/>
          <w:u w:color="auto"/>
          <w:lang w:val="en-US" w:eastAsia="zh-CN"/>
        </w:rPr>
        <w:t>96.14</w:t>
      </w:r>
      <w:r>
        <w:rPr>
          <w:rFonts w:hint="eastAsia" w:ascii="仿宋" w:hAnsi="仿宋" w:eastAsia="仿宋"/>
          <w:color w:val="000000"/>
          <w:sz w:val="32"/>
          <w:szCs w:val="32"/>
        </w:rPr>
        <w:t>%。具体情况如下：</w:t>
      </w:r>
    </w:p>
    <w:p>
      <w:pPr>
        <w:pStyle w:val="6"/>
      </w:pPr>
      <w:r>
        <w:drawing>
          <wp:inline distT="0" distB="0" distL="0" distR="0">
            <wp:extent cx="4333240" cy="2886075"/>
            <wp:effectExtent l="4445" t="4445" r="5715"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pPr>
      <w:r>
        <w:rPr>
          <w:rFonts w:hint="eastAsia" w:ascii="仿宋" w:hAnsi="仿宋" w:eastAsia="仿宋"/>
          <w:color w:val="000000"/>
          <w:sz w:val="32"/>
          <w:szCs w:val="32"/>
        </w:rPr>
        <w:t>（图7：“三公”经费财政拨款支出结构）</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1.因公出国（境）经费支出</w:t>
      </w:r>
      <w:r>
        <w:rPr>
          <w:rFonts w:ascii="仿宋" w:hAnsi="仿宋" w:eastAsia="仿宋"/>
          <w:color w:val="000000"/>
          <w:sz w:val="32"/>
          <w:u w:color="auto"/>
        </w:rPr>
        <w:t>0.00</w:t>
      </w:r>
      <w:r>
        <w:rPr>
          <w:rFonts w:hint="eastAsia" w:ascii="仿宋" w:hAnsi="仿宋" w:eastAsia="仿宋"/>
          <w:color w:val="000000"/>
          <w:sz w:val="32"/>
          <w:szCs w:val="32"/>
        </w:rPr>
        <w:t>万元,完成预算100%。全年安排因公出国（境）团组</w:t>
      </w:r>
      <w:r>
        <w:rPr>
          <w:rFonts w:ascii="仿宋" w:hAnsi="仿宋" w:eastAsia="仿宋"/>
          <w:color w:val="000000"/>
          <w:sz w:val="32"/>
          <w:u w:color="auto"/>
        </w:rPr>
        <w:t>0</w:t>
      </w:r>
      <w:r>
        <w:rPr>
          <w:rFonts w:hint="eastAsia" w:ascii="仿宋" w:hAnsi="仿宋" w:eastAsia="仿宋"/>
          <w:color w:val="000000"/>
          <w:sz w:val="32"/>
          <w:szCs w:val="32"/>
        </w:rPr>
        <w:t>次，出国（境）</w:t>
      </w:r>
      <w:r>
        <w:rPr>
          <w:rFonts w:ascii="仿宋" w:hAnsi="仿宋" w:eastAsia="仿宋"/>
          <w:color w:val="000000"/>
          <w:sz w:val="32"/>
          <w:u w:color="auto"/>
        </w:rPr>
        <w:t>0</w:t>
      </w:r>
      <w:r>
        <w:rPr>
          <w:rFonts w:hint="eastAsia" w:ascii="仿宋" w:hAnsi="仿宋" w:eastAsia="仿宋"/>
          <w:color w:val="000000"/>
          <w:sz w:val="32"/>
          <w:szCs w:val="32"/>
        </w:rPr>
        <w:t>人。因公出国（境）支出决算比</w:t>
      </w:r>
      <w:r>
        <w:rPr>
          <w:rFonts w:ascii="仿宋" w:hAnsi="仿宋" w:eastAsia="仿宋"/>
          <w:color w:val="000000"/>
          <w:sz w:val="32"/>
          <w:u w:color="auto"/>
        </w:rPr>
        <w:t>202</w:t>
      </w:r>
      <w:r>
        <w:rPr>
          <w:rFonts w:hint="eastAsia" w:ascii="仿宋" w:hAnsi="仿宋" w:eastAsia="仿宋"/>
          <w:color w:val="000000"/>
          <w:sz w:val="32"/>
          <w:u w:color="auto"/>
          <w:lang w:val="en-US" w:eastAsia="zh-CN"/>
        </w:rPr>
        <w:t>2</w:t>
      </w:r>
      <w:r>
        <w:rPr>
          <w:rFonts w:ascii="仿宋" w:hAnsi="仿宋" w:eastAsia="仿宋"/>
          <w:color w:val="000000"/>
          <w:sz w:val="32"/>
          <w:u w:color="auto"/>
        </w:rPr>
        <w:t>年增加0.00</w:t>
      </w:r>
      <w:r>
        <w:rPr>
          <w:rFonts w:hint="eastAsia" w:ascii="仿宋" w:hAnsi="仿宋" w:eastAsia="仿宋"/>
          <w:color w:val="000000"/>
          <w:sz w:val="32"/>
          <w:szCs w:val="32"/>
        </w:rPr>
        <w:t>万元，</w:t>
      </w:r>
      <w:r>
        <w:rPr>
          <w:rFonts w:ascii="仿宋" w:hAnsi="仿宋" w:eastAsia="仿宋"/>
          <w:color w:val="000000"/>
          <w:sz w:val="32"/>
          <w:u w:color="auto"/>
        </w:rPr>
        <w:t>增加0.00</w:t>
      </w:r>
      <w:r>
        <w:rPr>
          <w:rFonts w:hint="eastAsia" w:ascii="仿宋" w:hAnsi="仿宋" w:eastAsia="仿宋"/>
          <w:color w:val="000000"/>
          <w:sz w:val="32"/>
          <w:szCs w:val="32"/>
        </w:rPr>
        <w:t xml:space="preserve"> %。</w:t>
      </w:r>
      <w:r>
        <w:rPr>
          <w:rFonts w:ascii="仿宋" w:hAnsi="仿宋" w:eastAsia="仿宋"/>
          <w:color w:val="000000"/>
          <w:sz w:val="32"/>
          <w:u w:color="auto"/>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2.公务用车购置及运行维护费支出</w:t>
      </w:r>
      <w:r>
        <w:rPr>
          <w:rFonts w:ascii="仿宋" w:hAnsi="仿宋" w:eastAsia="仿宋"/>
          <w:color w:val="000000"/>
          <w:sz w:val="32"/>
          <w:u w:color="auto"/>
        </w:rPr>
        <w:t>7.</w:t>
      </w:r>
      <w:r>
        <w:rPr>
          <w:rFonts w:hint="eastAsia" w:ascii="仿宋" w:hAnsi="仿宋" w:eastAsia="仿宋"/>
          <w:color w:val="000000"/>
          <w:sz w:val="32"/>
          <w:u w:color="auto"/>
          <w:lang w:val="en-US" w:eastAsia="zh-CN"/>
        </w:rPr>
        <w:t>22</w:t>
      </w:r>
      <w:r>
        <w:rPr>
          <w:rFonts w:hint="eastAsia" w:ascii="仿宋" w:hAnsi="仿宋" w:eastAsia="仿宋"/>
          <w:color w:val="000000"/>
          <w:sz w:val="32"/>
          <w:szCs w:val="32"/>
        </w:rPr>
        <w:t>万元,完成预算</w:t>
      </w:r>
      <w:r>
        <w:rPr>
          <w:rFonts w:ascii="仿宋" w:hAnsi="仿宋" w:eastAsia="仿宋"/>
          <w:color w:val="000000"/>
          <w:sz w:val="32"/>
          <w:u w:color="auto"/>
        </w:rPr>
        <w:t>100.00</w:t>
      </w:r>
      <w:r>
        <w:rPr>
          <w:rFonts w:hint="eastAsia" w:ascii="仿宋" w:hAnsi="仿宋" w:eastAsia="仿宋"/>
          <w:color w:val="000000"/>
          <w:sz w:val="32"/>
          <w:szCs w:val="32"/>
        </w:rPr>
        <w:t>%。公务用车购置及运行维护费支出决算比</w:t>
      </w:r>
      <w:r>
        <w:rPr>
          <w:rFonts w:ascii="仿宋" w:hAnsi="仿宋" w:eastAsia="仿宋"/>
          <w:color w:val="000000"/>
          <w:sz w:val="32"/>
          <w:u w:color="auto"/>
        </w:rPr>
        <w:t>202</w:t>
      </w:r>
      <w:r>
        <w:rPr>
          <w:rFonts w:hint="eastAsia" w:ascii="仿宋" w:hAnsi="仿宋" w:eastAsia="仿宋"/>
          <w:color w:val="000000"/>
          <w:sz w:val="32"/>
          <w:u w:color="auto"/>
          <w:lang w:val="en-US" w:eastAsia="zh-CN"/>
        </w:rPr>
        <w:t>2</w:t>
      </w:r>
      <w:r>
        <w:rPr>
          <w:rFonts w:ascii="仿宋" w:hAnsi="仿宋" w:eastAsia="仿宋"/>
          <w:color w:val="000000"/>
          <w:sz w:val="32"/>
          <w:u w:color="auto"/>
        </w:rPr>
        <w:t>年</w:t>
      </w:r>
      <w:r>
        <w:rPr>
          <w:rFonts w:hint="eastAsia" w:ascii="仿宋" w:hAnsi="仿宋" w:eastAsia="仿宋"/>
          <w:color w:val="000000"/>
          <w:sz w:val="32"/>
          <w:u w:color="auto"/>
          <w:lang w:val="en-US" w:eastAsia="zh-CN"/>
        </w:rPr>
        <w:t>减少0.48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w:t>
      </w:r>
      <w:r>
        <w:rPr>
          <w:rFonts w:hint="eastAsia" w:ascii="仿宋" w:hAnsi="仿宋" w:eastAsia="仿宋"/>
          <w:color w:val="000000"/>
          <w:sz w:val="32"/>
          <w:u w:color="auto"/>
          <w:lang w:val="en-US" w:eastAsia="zh-CN"/>
        </w:rPr>
        <w:t>6.65</w:t>
      </w:r>
      <w:r>
        <w:rPr>
          <w:rFonts w:hint="eastAsia" w:ascii="仿宋" w:hAnsi="仿宋" w:eastAsia="仿宋"/>
          <w:color w:val="000000"/>
          <w:sz w:val="32"/>
          <w:szCs w:val="32"/>
        </w:rPr>
        <w:t>%。</w:t>
      </w:r>
      <w:r>
        <w:rPr>
          <w:rFonts w:ascii="仿宋" w:hAnsi="仿宋" w:eastAsia="仿宋"/>
          <w:color w:val="000000"/>
          <w:sz w:val="32"/>
          <w:u w:color="auto"/>
        </w:rPr>
        <w:t>主要原因是</w:t>
      </w:r>
      <w:r>
        <w:rPr>
          <w:rFonts w:hint="eastAsia" w:ascii="仿宋" w:hAnsi="仿宋" w:eastAsia="仿宋"/>
          <w:color w:val="000000"/>
          <w:sz w:val="32"/>
          <w:u w:color="auto"/>
          <w:lang w:val="en-US" w:eastAsia="zh-CN"/>
        </w:rPr>
        <w:t>公车维修减少</w:t>
      </w:r>
      <w:r>
        <w:rPr>
          <w:rFonts w:ascii="仿宋" w:hAnsi="仿宋" w:eastAsia="仿宋"/>
          <w:color w:val="000000"/>
          <w:sz w:val="32"/>
          <w:u w:color="auto"/>
        </w:rPr>
        <w:t xml:space="preserve">。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w:t>
      </w:r>
      <w:r>
        <w:rPr>
          <w:rFonts w:ascii="仿宋" w:hAnsi="仿宋" w:eastAsia="仿宋"/>
          <w:color w:val="000000"/>
          <w:sz w:val="32"/>
          <w:u w:color="auto"/>
        </w:rPr>
        <w:t>0.00万元。全年按规定更新购置公务用车0辆，其中：轿车0辆、金额0.00万元，越野车0辆、金额0.00万元，载客汽车0辆、金额0.00万元。截至</w:t>
      </w: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w:t>
      </w:r>
      <w:r>
        <w:rPr>
          <w:rFonts w:hint="eastAsia" w:ascii="仿宋" w:hAnsi="仿宋" w:eastAsia="仿宋"/>
          <w:color w:val="000000"/>
          <w:sz w:val="32"/>
          <w:u w:color="auto"/>
          <w:lang w:val="en-US" w:eastAsia="zh-CN"/>
        </w:rPr>
        <w:t>2</w:t>
      </w:r>
      <w:r>
        <w:rPr>
          <w:rFonts w:hint="eastAsia" w:ascii="仿宋" w:hAnsi="仿宋" w:eastAsia="仿宋"/>
          <w:color w:val="000000"/>
          <w:sz w:val="32"/>
          <w:szCs w:val="32"/>
        </w:rPr>
        <w:t>辆，其中：轿车</w:t>
      </w:r>
      <w:r>
        <w:rPr>
          <w:rFonts w:hint="eastAsia" w:ascii="仿宋" w:hAnsi="仿宋" w:eastAsia="仿宋"/>
          <w:color w:val="000000"/>
          <w:sz w:val="32"/>
          <w:u w:color="auto"/>
          <w:lang w:val="en-US" w:eastAsia="zh-CN"/>
        </w:rPr>
        <w:t>1</w:t>
      </w:r>
      <w:r>
        <w:rPr>
          <w:rFonts w:ascii="仿宋" w:hAnsi="仿宋" w:eastAsia="仿宋"/>
          <w:color w:val="000000"/>
          <w:sz w:val="32"/>
          <w:u w:color="auto"/>
        </w:rPr>
        <w:t>辆、越野车1辆、载客汽车0辆。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w:t>
      </w:r>
      <w:r>
        <w:rPr>
          <w:rFonts w:ascii="仿宋" w:hAnsi="仿宋" w:eastAsia="仿宋"/>
          <w:color w:val="000000"/>
          <w:sz w:val="32"/>
          <w:u w:color="auto"/>
        </w:rPr>
        <w:t>7.</w:t>
      </w:r>
      <w:r>
        <w:rPr>
          <w:rFonts w:hint="eastAsia" w:ascii="仿宋" w:hAnsi="仿宋" w:eastAsia="仿宋"/>
          <w:color w:val="000000"/>
          <w:sz w:val="32"/>
          <w:u w:color="auto"/>
          <w:lang w:val="en-US" w:eastAsia="zh-CN"/>
        </w:rPr>
        <w:t>22</w:t>
      </w:r>
      <w:r>
        <w:rPr>
          <w:rFonts w:hint="eastAsia" w:ascii="仿宋" w:hAnsi="仿宋" w:eastAsia="仿宋"/>
          <w:color w:val="000000"/>
          <w:sz w:val="32"/>
          <w:szCs w:val="32"/>
        </w:rPr>
        <w:t>万元。</w:t>
      </w:r>
      <w:r>
        <w:rPr>
          <w:rFonts w:ascii="仿宋" w:hAnsi="仿宋" w:eastAsia="仿宋"/>
          <w:color w:val="000000"/>
          <w:sz w:val="32"/>
          <w:u w:color="auto"/>
        </w:rPr>
        <w:t>主要用于公车维修</w:t>
      </w:r>
      <w:r>
        <w:rPr>
          <w:rFonts w:hint="eastAsia" w:ascii="仿宋" w:hAnsi="仿宋" w:eastAsia="仿宋"/>
          <w:color w:val="000000"/>
          <w:sz w:val="32"/>
          <w:u w:color="auto"/>
          <w:lang w:val="en-US" w:eastAsia="zh-CN"/>
        </w:rPr>
        <w:t>及油费</w:t>
      </w:r>
      <w:r>
        <w:rPr>
          <w:rFonts w:ascii="仿宋" w:hAnsi="仿宋" w:eastAsia="仿宋"/>
          <w:color w:val="000000"/>
          <w:sz w:val="32"/>
          <w:u w:color="auto"/>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w:t>
      </w:r>
      <w:r>
        <w:rPr>
          <w:rFonts w:ascii="仿宋" w:hAnsi="仿宋" w:eastAsia="仿宋"/>
          <w:color w:val="000000"/>
          <w:sz w:val="32"/>
          <w:u w:color="auto"/>
        </w:rPr>
        <w:t>179.</w:t>
      </w:r>
      <w:r>
        <w:rPr>
          <w:rFonts w:hint="eastAsia" w:ascii="仿宋" w:hAnsi="仿宋" w:eastAsia="仿宋"/>
          <w:color w:val="000000"/>
          <w:sz w:val="32"/>
          <w:u w:color="auto"/>
          <w:lang w:val="en-US" w:eastAsia="zh-CN"/>
        </w:rPr>
        <w:t>77</w:t>
      </w:r>
      <w:r>
        <w:rPr>
          <w:rFonts w:ascii="仿宋" w:hAnsi="仿宋" w:eastAsia="仿宋"/>
          <w:color w:val="000000"/>
          <w:sz w:val="32"/>
          <w:u w:color="auto"/>
        </w:rPr>
        <w:t>万元，完成预算100.00</w:t>
      </w:r>
      <w:r>
        <w:rPr>
          <w:rFonts w:hint="eastAsia" w:ascii="仿宋" w:hAnsi="仿宋" w:eastAsia="仿宋"/>
          <w:color w:val="000000"/>
          <w:sz w:val="32"/>
          <w:szCs w:val="32"/>
        </w:rPr>
        <w:t>%。公务接待费支出决算比</w:t>
      </w:r>
      <w:r>
        <w:rPr>
          <w:rFonts w:ascii="仿宋" w:hAnsi="仿宋" w:eastAsia="仿宋"/>
          <w:color w:val="000000"/>
          <w:sz w:val="32"/>
          <w:u w:color="auto"/>
        </w:rPr>
        <w:t>202</w:t>
      </w:r>
      <w:r>
        <w:rPr>
          <w:rFonts w:hint="eastAsia" w:ascii="仿宋" w:hAnsi="仿宋" w:eastAsia="仿宋"/>
          <w:color w:val="000000"/>
          <w:sz w:val="32"/>
          <w:u w:color="auto"/>
          <w:lang w:val="en-US" w:eastAsia="zh-CN"/>
        </w:rPr>
        <w:t>2</w:t>
      </w:r>
      <w:r>
        <w:rPr>
          <w:rFonts w:ascii="仿宋" w:hAnsi="仿宋" w:eastAsia="仿宋"/>
          <w:color w:val="000000"/>
          <w:sz w:val="32"/>
          <w:u w:color="auto"/>
        </w:rPr>
        <w:t>年减少</w:t>
      </w:r>
      <w:r>
        <w:rPr>
          <w:rFonts w:hint="eastAsia" w:ascii="仿宋" w:hAnsi="仿宋" w:eastAsia="仿宋"/>
          <w:color w:val="000000"/>
          <w:sz w:val="32"/>
          <w:u w:color="auto"/>
          <w:lang w:val="en-US" w:eastAsia="zh-CN"/>
        </w:rPr>
        <w:t>0.16</w:t>
      </w:r>
      <w:r>
        <w:rPr>
          <w:rFonts w:hint="eastAsia" w:ascii="仿宋" w:hAnsi="仿宋" w:eastAsia="仿宋"/>
          <w:color w:val="000000"/>
          <w:sz w:val="32"/>
          <w:szCs w:val="32"/>
        </w:rPr>
        <w:t>万元，</w:t>
      </w:r>
      <w:r>
        <w:rPr>
          <w:rFonts w:ascii="仿宋" w:hAnsi="仿宋" w:eastAsia="仿宋"/>
          <w:color w:val="000000"/>
          <w:sz w:val="32"/>
          <w:u w:color="auto"/>
        </w:rPr>
        <w:t>减少</w:t>
      </w:r>
      <w:r>
        <w:rPr>
          <w:rFonts w:hint="eastAsia" w:ascii="仿宋" w:hAnsi="仿宋" w:eastAsia="仿宋"/>
          <w:color w:val="000000"/>
          <w:sz w:val="32"/>
          <w:u w:color="auto"/>
          <w:lang w:val="en-US" w:eastAsia="zh-CN"/>
        </w:rPr>
        <w:t>0.09</w:t>
      </w:r>
      <w:r>
        <w:rPr>
          <w:rFonts w:ascii="仿宋" w:hAnsi="仿宋" w:eastAsia="仿宋"/>
          <w:color w:val="000000"/>
          <w:sz w:val="32"/>
          <w:szCs w:val="32"/>
        </w:rPr>
        <w:t>%</w:t>
      </w:r>
      <w:r>
        <w:rPr>
          <w:rFonts w:hint="eastAsia" w:ascii="仿宋" w:hAnsi="仿宋" w:eastAsia="仿宋"/>
          <w:color w:val="000000"/>
          <w:sz w:val="32"/>
          <w:szCs w:val="32"/>
        </w:rPr>
        <w:t>。</w:t>
      </w:r>
      <w:bookmarkStart w:id="59" w:name="_Toc15377218"/>
      <w:r>
        <w:rPr>
          <w:rFonts w:hint="eastAsia" w:ascii="仿宋" w:hAnsi="仿宋" w:eastAsia="仿宋"/>
          <w:color w:val="000000"/>
          <w:sz w:val="32"/>
          <w:szCs w:val="32"/>
        </w:rPr>
        <w:t xml:space="preserve">主要原因是活动减少。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w:t>
      </w:r>
      <w:r>
        <w:rPr>
          <w:rFonts w:ascii="仿宋" w:hAnsi="仿宋" w:eastAsia="仿宋"/>
          <w:color w:val="000000"/>
          <w:sz w:val="32"/>
          <w:u w:color="auto"/>
        </w:rPr>
        <w:t>179.</w:t>
      </w:r>
      <w:r>
        <w:rPr>
          <w:rFonts w:hint="eastAsia" w:ascii="仿宋" w:hAnsi="仿宋" w:eastAsia="仿宋"/>
          <w:color w:val="000000"/>
          <w:sz w:val="32"/>
          <w:u w:color="auto"/>
          <w:lang w:val="en-US" w:eastAsia="zh-CN"/>
        </w:rPr>
        <w:t>77</w:t>
      </w:r>
      <w:r>
        <w:rPr>
          <w:rFonts w:ascii="仿宋" w:hAnsi="仿宋" w:eastAsia="仿宋"/>
          <w:color w:val="000000"/>
          <w:sz w:val="32"/>
          <w:u w:color="auto"/>
        </w:rPr>
        <w:t>万元。国内公务接待</w:t>
      </w:r>
      <w:r>
        <w:rPr>
          <w:rFonts w:hint="eastAsia" w:ascii="仿宋" w:hAnsi="仿宋" w:eastAsia="仿宋"/>
          <w:color w:val="000000"/>
          <w:sz w:val="32"/>
          <w:u w:color="auto"/>
          <w:lang w:val="en-US" w:eastAsia="zh-CN"/>
        </w:rPr>
        <w:t>645</w:t>
      </w:r>
      <w:r>
        <w:rPr>
          <w:rFonts w:ascii="仿宋" w:hAnsi="仿宋" w:eastAsia="仿宋"/>
          <w:color w:val="000000"/>
          <w:sz w:val="32"/>
          <w:u w:color="auto"/>
        </w:rPr>
        <w:t>批次，9</w:t>
      </w:r>
      <w:r>
        <w:rPr>
          <w:rFonts w:hint="eastAsia" w:ascii="仿宋" w:hAnsi="仿宋" w:eastAsia="仿宋"/>
          <w:color w:val="000000"/>
          <w:sz w:val="32"/>
          <w:u w:color="auto"/>
          <w:lang w:val="en-US" w:eastAsia="zh-CN"/>
        </w:rPr>
        <w:t>675</w:t>
      </w:r>
      <w:r>
        <w:rPr>
          <w:rFonts w:ascii="仿宋" w:hAnsi="仿宋" w:eastAsia="仿宋"/>
          <w:color w:val="000000"/>
          <w:sz w:val="32"/>
          <w:u w:color="auto"/>
        </w:rPr>
        <w:t>人次（不包括陪同人员），共计支出179.</w:t>
      </w:r>
      <w:r>
        <w:rPr>
          <w:rFonts w:hint="eastAsia" w:ascii="仿宋" w:hAnsi="仿宋" w:eastAsia="仿宋"/>
          <w:color w:val="000000"/>
          <w:sz w:val="32"/>
          <w:u w:color="auto"/>
          <w:lang w:val="en-US" w:eastAsia="zh-CN"/>
        </w:rPr>
        <w:t>77</w:t>
      </w:r>
      <w:r>
        <w:rPr>
          <w:rFonts w:ascii="仿宋" w:hAnsi="仿宋" w:eastAsia="仿宋"/>
          <w:color w:val="000000"/>
          <w:sz w:val="32"/>
          <w:u w:color="auto"/>
        </w:rPr>
        <w:t>万元。</w:t>
      </w:r>
    </w:p>
    <w:p>
      <w:pPr>
        <w:pStyle w:val="6"/>
        <w:rPr>
          <w:rFonts w:ascii="仿宋" w:hAnsi="仿宋" w:eastAsia="仿宋"/>
          <w:color w:val="000000"/>
          <w:sz w:val="32"/>
          <w:szCs w:val="32"/>
        </w:rPr>
      </w:pPr>
      <w:r>
        <w:rPr>
          <w:rFonts w:hint="eastAsia" w:ascii="仿宋" w:hAnsi="仿宋" w:eastAsia="仿宋"/>
          <w:color w:val="000000"/>
          <w:sz w:val="32"/>
          <w:szCs w:val="32"/>
        </w:rPr>
        <w:t>外事接待支出</w:t>
      </w:r>
      <w:r>
        <w:rPr>
          <w:rFonts w:ascii="仿宋" w:hAnsi="仿宋" w:eastAsia="仿宋"/>
          <w:color w:val="000000"/>
          <w:sz w:val="32"/>
          <w:u w:color="auto"/>
        </w:rPr>
        <w:t>0.00万元，外事接待0批次，0人，共计支出0.00万元。</w:t>
      </w:r>
    </w:p>
    <w:p>
      <w:pPr>
        <w:pStyle w:val="4"/>
        <w:ind w:firstLine="643" w:firstLineChars="200"/>
        <w:rPr>
          <w:rFonts w:ascii="黑体" w:eastAsia="黑体" w:cs="Times New Roman"/>
          <w:bCs w:val="0"/>
          <w:color w:val="000000"/>
        </w:rPr>
      </w:pPr>
      <w:bookmarkStart w:id="60" w:name="_Toc111208506"/>
      <w:bookmarkStart w:id="61" w:name="_Toc20439"/>
      <w:r>
        <w:rPr>
          <w:rFonts w:hint="eastAsia" w:ascii="黑体" w:eastAsia="黑体" w:cs="Times New Roman"/>
          <w:bCs w:val="0"/>
          <w:color w:val="000000"/>
        </w:rPr>
        <w:t>八、政府性基金预算支出决算情况说明</w:t>
      </w:r>
      <w:bookmarkEnd w:id="59"/>
      <w:bookmarkEnd w:id="60"/>
      <w:bookmarkEnd w:id="61"/>
    </w:p>
    <w:p>
      <w:pPr>
        <w:spacing w:line="600" w:lineRule="exact"/>
        <w:ind w:firstLine="640"/>
        <w:rPr>
          <w:rFonts w:ascii="仿宋" w:hAnsi="仿宋" w:eastAsia="仿宋"/>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年政府性基金预算拨款支出0.00</w:t>
      </w:r>
      <w:r>
        <w:rPr>
          <w:rFonts w:hint="eastAsia" w:ascii="仿宋" w:hAnsi="仿宋" w:eastAsia="仿宋"/>
          <w:color w:val="000000"/>
          <w:sz w:val="32"/>
          <w:szCs w:val="32"/>
        </w:rPr>
        <w:t>万元。</w:t>
      </w:r>
      <w:bookmarkStart w:id="62" w:name="_Toc15377219"/>
    </w:p>
    <w:p>
      <w:pPr>
        <w:pStyle w:val="4"/>
        <w:ind w:firstLine="643" w:firstLineChars="200"/>
        <w:rPr>
          <w:rFonts w:ascii="黑体" w:eastAsia="黑体" w:cs="Times New Roman"/>
          <w:bCs w:val="0"/>
          <w:color w:val="000000"/>
        </w:rPr>
      </w:pPr>
      <w:bookmarkStart w:id="63" w:name="_Toc23467"/>
      <w:bookmarkStart w:id="64" w:name="_Toc111208507"/>
      <w:r>
        <w:rPr>
          <w:rFonts w:hint="eastAsia" w:ascii="黑体" w:eastAsia="黑体" w:cs="Times New Roman"/>
          <w:bCs w:val="0"/>
          <w:color w:val="000000"/>
        </w:rPr>
        <w:t>九、国有资本经营预算支出决算情况说明</w:t>
      </w:r>
      <w:bookmarkEnd w:id="62"/>
      <w:bookmarkEnd w:id="63"/>
      <w:bookmarkEnd w:id="64"/>
    </w:p>
    <w:p>
      <w:pPr>
        <w:spacing w:line="600" w:lineRule="exact"/>
        <w:ind w:firstLine="640"/>
        <w:rPr>
          <w:rFonts w:ascii="仿宋" w:hAnsi="仿宋" w:eastAsia="仿宋"/>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年国有资本经营预算拨款支出0.00</w:t>
      </w:r>
      <w:r>
        <w:rPr>
          <w:rFonts w:hint="eastAsia" w:ascii="仿宋" w:hAnsi="仿宋" w:eastAsia="仿宋"/>
          <w:color w:val="000000"/>
          <w:sz w:val="32"/>
          <w:szCs w:val="32"/>
        </w:rPr>
        <w:t>万元。</w:t>
      </w:r>
    </w:p>
    <w:p>
      <w:pPr>
        <w:pStyle w:val="4"/>
        <w:ind w:firstLine="643" w:firstLineChars="200"/>
        <w:rPr>
          <w:rFonts w:ascii="黑体" w:eastAsia="黑体" w:cs="Times New Roman"/>
          <w:bCs w:val="0"/>
          <w:color w:val="000000"/>
        </w:rPr>
      </w:pPr>
      <w:bookmarkStart w:id="65" w:name="_Toc18455"/>
      <w:bookmarkStart w:id="66" w:name="_Toc15377221"/>
      <w:bookmarkStart w:id="67" w:name="_Toc111208508"/>
      <w:r>
        <w:rPr>
          <w:rFonts w:hint="eastAsia" w:ascii="黑体" w:eastAsia="黑体" w:cs="Times New Roman"/>
          <w:bCs w:val="0"/>
          <w:color w:val="000000"/>
        </w:rPr>
        <w:t>十、其他重要事项的情况说明</w:t>
      </w:r>
      <w:bookmarkEnd w:id="65"/>
      <w:bookmarkEnd w:id="66"/>
      <w:bookmarkEnd w:id="67"/>
    </w:p>
    <w:p>
      <w:pPr>
        <w:spacing w:line="600" w:lineRule="exact"/>
        <w:ind w:firstLine="643" w:firstLineChars="200"/>
        <w:outlineLvl w:val="2"/>
        <w:rPr>
          <w:rFonts w:ascii="仿宋" w:hAnsi="仿宋" w:eastAsia="仿宋"/>
          <w:b/>
          <w:color w:val="000000"/>
          <w:sz w:val="32"/>
          <w:szCs w:val="32"/>
        </w:rPr>
      </w:pPr>
      <w:bookmarkStart w:id="68" w:name="_Toc15377222"/>
      <w:r>
        <w:rPr>
          <w:rFonts w:hint="eastAsia" w:ascii="仿宋" w:hAnsi="仿宋" w:eastAsia="仿宋"/>
          <w:b/>
          <w:color w:val="000000"/>
          <w:sz w:val="32"/>
          <w:szCs w:val="32"/>
        </w:rPr>
        <w:t>（一）机关运行经费支出情况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年，机关运行经费支出0.00</w:t>
      </w:r>
      <w:r>
        <w:rPr>
          <w:rFonts w:hint="eastAsia" w:ascii="仿宋" w:hAnsi="仿宋" w:eastAsia="仿宋"/>
          <w:color w:val="000000"/>
          <w:sz w:val="32"/>
          <w:szCs w:val="32"/>
        </w:rPr>
        <w:t>万元，比</w:t>
      </w:r>
      <w:r>
        <w:rPr>
          <w:rFonts w:ascii="仿宋" w:hAnsi="仿宋" w:eastAsia="仿宋"/>
          <w:color w:val="000000"/>
          <w:sz w:val="32"/>
          <w:u w:color="auto"/>
        </w:rPr>
        <w:t>2021年增加0.00</w:t>
      </w:r>
      <w:r>
        <w:rPr>
          <w:rFonts w:hint="eastAsia" w:ascii="仿宋" w:hAnsi="仿宋" w:eastAsia="仿宋"/>
          <w:color w:val="000000"/>
          <w:sz w:val="32"/>
          <w:szCs w:val="32"/>
        </w:rPr>
        <w:t>万元，</w:t>
      </w:r>
      <w:r>
        <w:rPr>
          <w:rFonts w:ascii="仿宋" w:hAnsi="仿宋" w:eastAsia="仿宋"/>
          <w:color w:val="000000"/>
          <w:sz w:val="32"/>
          <w:u w:color="auto"/>
        </w:rPr>
        <w:t xml:space="preserve">增加0.00 %。 </w:t>
      </w:r>
    </w:p>
    <w:p>
      <w:pPr>
        <w:spacing w:line="600" w:lineRule="exact"/>
        <w:ind w:firstLine="643" w:firstLineChars="200"/>
        <w:outlineLvl w:val="2"/>
        <w:rPr>
          <w:rFonts w:ascii="仿宋" w:hAnsi="仿宋" w:eastAsia="仿宋"/>
          <w:b/>
          <w:color w:val="000000"/>
          <w:sz w:val="32"/>
          <w:szCs w:val="32"/>
        </w:rPr>
      </w:pPr>
      <w:bookmarkStart w:id="69" w:name="_Toc15377223"/>
      <w:r>
        <w:rPr>
          <w:rFonts w:hint="eastAsia" w:ascii="仿宋" w:hAnsi="仿宋" w:eastAsia="仿宋"/>
          <w:b/>
          <w:color w:val="000000"/>
          <w:sz w:val="32"/>
          <w:szCs w:val="32"/>
        </w:rPr>
        <w:t>（二）政府采购支出情况</w:t>
      </w:r>
      <w:bookmarkEnd w:id="69"/>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ascii="仿宋" w:hAnsi="仿宋" w:eastAsia="仿宋"/>
          <w:color w:val="000000"/>
          <w:sz w:val="32"/>
          <w:u w:color="auto"/>
        </w:rPr>
        <w:t>年，政府采购支出总额</w:t>
      </w:r>
      <w:r>
        <w:rPr>
          <w:rFonts w:hint="eastAsia" w:ascii="仿宋" w:hAnsi="仿宋" w:eastAsia="仿宋"/>
          <w:color w:val="000000"/>
          <w:sz w:val="32"/>
          <w:u w:color="auto"/>
          <w:lang w:val="en-US" w:eastAsia="zh-CN"/>
        </w:rPr>
        <w:t>113.16</w:t>
      </w:r>
      <w:r>
        <w:rPr>
          <w:rFonts w:hint="eastAsia" w:ascii="仿宋" w:hAnsi="仿宋" w:eastAsia="仿宋"/>
          <w:color w:val="000000"/>
          <w:sz w:val="32"/>
          <w:szCs w:val="32"/>
        </w:rPr>
        <w:t>万元，其中：政府采购货物支出</w:t>
      </w:r>
      <w:r>
        <w:rPr>
          <w:rFonts w:hint="eastAsia" w:ascii="仿宋" w:hAnsi="仿宋" w:eastAsia="仿宋"/>
          <w:color w:val="000000"/>
          <w:sz w:val="32"/>
          <w:u w:color="auto"/>
          <w:lang w:val="en-US" w:eastAsia="zh-CN"/>
        </w:rPr>
        <w:t>113.16</w:t>
      </w:r>
      <w:r>
        <w:rPr>
          <w:rFonts w:hint="eastAsia" w:ascii="仿宋" w:hAnsi="仿宋" w:eastAsia="仿宋"/>
          <w:color w:val="000000"/>
          <w:sz w:val="32"/>
          <w:szCs w:val="32"/>
        </w:rPr>
        <w:t>万元、政府采购工程支出</w:t>
      </w:r>
      <w:r>
        <w:rPr>
          <w:rFonts w:ascii="仿宋" w:hAnsi="仿宋" w:eastAsia="仿宋"/>
          <w:color w:val="000000"/>
          <w:sz w:val="32"/>
          <w:u w:color="auto"/>
        </w:rPr>
        <w:t>0.00</w:t>
      </w:r>
      <w:r>
        <w:rPr>
          <w:rFonts w:hint="eastAsia" w:ascii="仿宋" w:hAnsi="仿宋" w:eastAsia="仿宋"/>
          <w:color w:val="000000"/>
          <w:sz w:val="32"/>
          <w:szCs w:val="32"/>
        </w:rPr>
        <w:t>万元、政府采购服务支出</w:t>
      </w:r>
      <w:r>
        <w:rPr>
          <w:rFonts w:ascii="仿宋" w:hAnsi="仿宋" w:eastAsia="仿宋"/>
          <w:color w:val="000000"/>
          <w:sz w:val="32"/>
          <w:u w:color="auto"/>
        </w:rPr>
        <w:t>0.00</w:t>
      </w:r>
      <w:r>
        <w:rPr>
          <w:rFonts w:hint="eastAsia" w:ascii="仿宋" w:hAnsi="仿宋" w:eastAsia="仿宋"/>
          <w:color w:val="000000"/>
          <w:sz w:val="32"/>
          <w:szCs w:val="32"/>
        </w:rPr>
        <w:t>万元。授予中小企业合同金额</w:t>
      </w:r>
      <w:r>
        <w:rPr>
          <w:rFonts w:hint="eastAsia" w:ascii="仿宋" w:hAnsi="仿宋" w:eastAsia="仿宋"/>
          <w:color w:val="000000"/>
          <w:sz w:val="32"/>
          <w:u w:color="auto"/>
          <w:lang w:val="en-US" w:eastAsia="zh-CN"/>
        </w:rPr>
        <w:t>113.16</w:t>
      </w:r>
      <w:r>
        <w:rPr>
          <w:rFonts w:hint="eastAsia" w:ascii="仿宋" w:hAnsi="仿宋" w:eastAsia="仿宋"/>
          <w:color w:val="000000"/>
          <w:sz w:val="32"/>
          <w:szCs w:val="32"/>
        </w:rPr>
        <w:t>万元，其中：授予小微企业合同金额</w:t>
      </w:r>
      <w:r>
        <w:rPr>
          <w:rFonts w:hint="eastAsia" w:ascii="仿宋" w:hAnsi="仿宋" w:eastAsia="仿宋"/>
          <w:color w:val="000000"/>
          <w:sz w:val="32"/>
          <w:u w:color="auto"/>
          <w:lang w:val="en-US" w:eastAsia="zh-CN"/>
        </w:rPr>
        <w:t>113.16</w:t>
      </w:r>
      <w:r>
        <w:rPr>
          <w:rFonts w:hint="eastAsia" w:ascii="仿宋" w:hAnsi="仿宋" w:eastAsia="仿宋"/>
          <w:color w:val="000000"/>
          <w:sz w:val="32"/>
          <w:szCs w:val="32"/>
        </w:rPr>
        <w:t>万元，占总合同的</w:t>
      </w:r>
      <w:r>
        <w:rPr>
          <w:rFonts w:ascii="仿宋" w:hAnsi="仿宋" w:eastAsia="仿宋"/>
          <w:color w:val="000000"/>
          <w:sz w:val="32"/>
          <w:u w:color="auto"/>
        </w:rPr>
        <w:t>100.00</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70" w:name="_Toc15377224"/>
      <w:r>
        <w:rPr>
          <w:rFonts w:hint="eastAsia" w:ascii="仿宋" w:hAnsi="仿宋" w:eastAsia="仿宋"/>
          <w:b/>
          <w:color w:val="000000"/>
          <w:sz w:val="32"/>
          <w:szCs w:val="32"/>
        </w:rPr>
        <w:t>（三）国有资产占有使用情况</w:t>
      </w:r>
      <w:bookmarkEnd w:id="70"/>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u w:color="auto"/>
        </w:rPr>
        <w:t>202</w:t>
      </w:r>
      <w:r>
        <w:rPr>
          <w:rFonts w:hint="eastAsia" w:ascii="仿宋" w:hAnsi="仿宋" w:eastAsia="仿宋"/>
          <w:color w:val="000000"/>
          <w:sz w:val="32"/>
          <w:u w:color="auto"/>
          <w:lang w:val="en-US" w:eastAsia="zh-CN"/>
        </w:rPr>
        <w:t>3</w:t>
      </w:r>
      <w:r>
        <w:rPr>
          <w:rFonts w:ascii="仿宋" w:hAnsi="仿宋" w:eastAsia="仿宋"/>
          <w:color w:val="000000"/>
          <w:sz w:val="32"/>
          <w:u w:color="auto"/>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w:t>
      </w:r>
      <w:r>
        <w:rPr>
          <w:rFonts w:hint="eastAsia" w:ascii="仿宋" w:hAnsi="仿宋" w:eastAsia="仿宋"/>
          <w:color w:val="000000"/>
          <w:sz w:val="32"/>
          <w:u w:color="auto"/>
          <w:lang w:val="en-US" w:eastAsia="zh-CN"/>
        </w:rPr>
        <w:t>2</w:t>
      </w:r>
      <w:r>
        <w:rPr>
          <w:rFonts w:ascii="仿宋" w:hAnsi="仿宋" w:eastAsia="仿宋"/>
          <w:color w:val="000000"/>
          <w:sz w:val="32"/>
          <w:u w:color="auto"/>
        </w:rPr>
        <w:t>辆，其中：主要领导干部用车0</w:t>
      </w:r>
      <w:r>
        <w:rPr>
          <w:rFonts w:hint="eastAsia" w:ascii="仿宋" w:hAnsi="仿宋" w:eastAsia="仿宋"/>
          <w:color w:val="000000"/>
          <w:sz w:val="32"/>
          <w:szCs w:val="32"/>
        </w:rPr>
        <w:t>辆、机要通信用车</w:t>
      </w:r>
      <w:r>
        <w:rPr>
          <w:rFonts w:ascii="仿宋" w:hAnsi="仿宋" w:eastAsia="仿宋"/>
          <w:color w:val="000000"/>
          <w:sz w:val="32"/>
          <w:u w:color="auto"/>
        </w:rPr>
        <w:t>0</w:t>
      </w:r>
      <w:r>
        <w:rPr>
          <w:rFonts w:hint="eastAsia" w:ascii="仿宋" w:hAnsi="仿宋" w:eastAsia="仿宋"/>
          <w:color w:val="000000"/>
          <w:sz w:val="32"/>
          <w:szCs w:val="32"/>
        </w:rPr>
        <w:t>辆、应急保障用车</w:t>
      </w:r>
      <w:r>
        <w:rPr>
          <w:rFonts w:ascii="仿宋" w:hAnsi="仿宋" w:eastAsia="仿宋"/>
          <w:color w:val="000000"/>
          <w:sz w:val="32"/>
          <w:u w:color="auto"/>
        </w:rPr>
        <w:t>1</w:t>
      </w:r>
      <w:r>
        <w:rPr>
          <w:rFonts w:hint="eastAsia" w:ascii="仿宋" w:hAnsi="仿宋" w:eastAsia="仿宋"/>
          <w:color w:val="000000"/>
          <w:sz w:val="32"/>
          <w:szCs w:val="32"/>
        </w:rPr>
        <w:t>辆、其他用车</w:t>
      </w:r>
      <w:r>
        <w:rPr>
          <w:rFonts w:hint="eastAsia" w:ascii="仿宋" w:hAnsi="仿宋" w:eastAsia="仿宋"/>
          <w:color w:val="000000"/>
          <w:sz w:val="32"/>
          <w:u w:color="auto"/>
          <w:lang w:val="en-US" w:eastAsia="zh-CN"/>
        </w:rPr>
        <w:t>1</w:t>
      </w:r>
      <w:r>
        <w:rPr>
          <w:rFonts w:hint="eastAsia" w:ascii="仿宋" w:hAnsi="仿宋" w:eastAsia="仿宋"/>
          <w:color w:val="000000"/>
          <w:sz w:val="32"/>
          <w:szCs w:val="32"/>
        </w:rPr>
        <w:t>辆。单价</w:t>
      </w:r>
      <w:r>
        <w:rPr>
          <w:rFonts w:ascii="仿宋" w:hAnsi="仿宋" w:eastAsia="仿宋"/>
          <w:color w:val="000000"/>
          <w:sz w:val="32"/>
          <w:szCs w:val="32"/>
        </w:rPr>
        <w:t>100</w:t>
      </w:r>
      <w:r>
        <w:rPr>
          <w:rFonts w:hint="eastAsia" w:ascii="仿宋" w:hAnsi="仿宋" w:eastAsia="仿宋"/>
          <w:color w:val="000000"/>
          <w:sz w:val="32"/>
          <w:szCs w:val="32"/>
        </w:rPr>
        <w:t>万元以上专用设备</w:t>
      </w:r>
      <w:r>
        <w:rPr>
          <w:rFonts w:ascii="仿宋" w:hAnsi="仿宋" w:eastAsia="仿宋"/>
          <w:color w:val="000000"/>
          <w:sz w:val="32"/>
          <w:u w:color="auto"/>
        </w:rPr>
        <w:t>0</w:t>
      </w:r>
      <w:r>
        <w:rPr>
          <w:rFonts w:hint="eastAsia" w:ascii="仿宋" w:hAnsi="仿宋" w:eastAsia="仿宋"/>
          <w:color w:val="000000"/>
          <w:sz w:val="32"/>
          <w:szCs w:val="32"/>
        </w:rPr>
        <w:t>台（套）。</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6"/>
      </w:pPr>
      <w:r>
        <w:rPr>
          <w:rFonts w:hint="eastAsia"/>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71" w:name="_Toc111208509"/>
      <w:bookmarkStart w:id="72" w:name="_Toc15377225"/>
      <w:bookmarkStart w:id="73" w:name="_Toc18122"/>
      <w:r>
        <w:rPr>
          <w:rFonts w:hint="eastAsia" w:ascii="黑体" w:hAnsi="黑体" w:eastAsia="黑体" w:cs="黑体"/>
        </w:rPr>
        <w:t>第三部分 名词解释</w:t>
      </w:r>
      <w:bookmarkEnd w:id="71"/>
      <w:bookmarkEnd w:id="72"/>
      <w:bookmarkEnd w:id="73"/>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9.一般公共服务支出（201）政府办公厅（室）及相关机构事务（20103）事业运行（2010350）：反映事业单位的基本支出，不包括行政单位（包括实行公务员管理的事业单位）后勤服务中心、医务室等附属事业单位。</w:t>
      </w:r>
      <w:r>
        <w:rPr>
          <w:rFonts w:hint="eastAsia" w:ascii="仿宋" w:hAnsi="仿宋" w:eastAsia="仿宋"/>
          <w:color w:val="000000"/>
          <w:sz w:val="32"/>
          <w:szCs w:val="32"/>
        </w:rPr>
        <w:cr/>
      </w:r>
      <w:r>
        <w:rPr>
          <w:rFonts w:hint="eastAsia" w:ascii="仿宋" w:hAnsi="仿宋" w:eastAsia="仿宋"/>
          <w:color w:val="000000"/>
          <w:sz w:val="32"/>
          <w:szCs w:val="32"/>
        </w:rPr>
        <w:t xml:space="preserve">    10.一般公共服务支出（201）政府办公厅（室）及相关机构事务（20103）其他政府办公厅（室）及相关机构事务支出（2010399）：反映除上述项目以外的其他政府办公厅（室）及相关机构事务支岀。</w:t>
      </w:r>
      <w:r>
        <w:rPr>
          <w:rFonts w:hint="eastAsia" w:ascii="仿宋" w:hAnsi="仿宋" w:eastAsia="仿宋"/>
          <w:color w:val="000000"/>
          <w:sz w:val="32"/>
          <w:szCs w:val="32"/>
        </w:rPr>
        <w:cr/>
      </w:r>
      <w:r>
        <w:rPr>
          <w:rFonts w:hint="eastAsia" w:ascii="仿宋" w:hAnsi="仿宋" w:eastAsia="仿宋"/>
          <w:color w:val="000000"/>
          <w:sz w:val="32"/>
          <w:szCs w:val="32"/>
        </w:rPr>
        <w:t xml:space="preserve">    11.社会保障和就业支出（208）行政事业单位养老支出（20805）机关事业单位基本养老保险缴费支出（2080505）：反映机关事业单位实施养老保险制度由单位缴纳的基本养老保险费支出。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cr/>
      </w:r>
      <w:r>
        <w:rPr>
          <w:rFonts w:hint="eastAsia" w:ascii="仿宋" w:hAnsi="仿宋" w:eastAsia="仿宋"/>
          <w:color w:val="000000"/>
          <w:sz w:val="32"/>
          <w:szCs w:val="32"/>
        </w:rPr>
        <w:t xml:space="preserve">    12.社会保障和就业支出（208）行政事业单位养老支出（20805）机关事业单位职业年金缴费支出（2080506）：反映机关事业单位实施养老保险制度由单位实际缴纳的职业年金支出。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cr/>
      </w:r>
      <w:r>
        <w:rPr>
          <w:rFonts w:hint="eastAsia" w:ascii="仿宋" w:hAnsi="仿宋" w:eastAsia="仿宋"/>
          <w:color w:val="000000"/>
          <w:sz w:val="32"/>
          <w:szCs w:val="32"/>
        </w:rPr>
        <w:t xml:space="preserve">    13.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 w:hAnsi="仿宋" w:eastAsia="仿宋"/>
          <w:color w:val="000000"/>
          <w:sz w:val="32"/>
          <w:szCs w:val="32"/>
        </w:rPr>
        <w:cr/>
      </w:r>
      <w:r>
        <w:rPr>
          <w:rFonts w:hint="eastAsia" w:ascii="仿宋" w:hAnsi="仿宋" w:eastAsia="仿宋"/>
          <w:color w:val="000000"/>
          <w:sz w:val="32"/>
          <w:szCs w:val="32"/>
        </w:rPr>
        <w:t xml:space="preserve">    14.卫生健康支出（210）行政事业单位医疗（21011）其他行政事业单位医疗支出（2101199）：反映除上述项目以外的其他用于行政事业单位医疗方面的支出。</w:t>
      </w:r>
      <w:r>
        <w:rPr>
          <w:rFonts w:hint="eastAsia" w:ascii="仿宋" w:hAnsi="仿宋" w:eastAsia="仿宋"/>
          <w:color w:val="000000"/>
          <w:sz w:val="32"/>
          <w:szCs w:val="32"/>
        </w:rPr>
        <w:cr/>
      </w:r>
      <w:r>
        <w:rPr>
          <w:rFonts w:hint="eastAsia" w:ascii="仿宋" w:hAnsi="仿宋" w:eastAsia="仿宋"/>
          <w:color w:val="000000"/>
          <w:sz w:val="32"/>
          <w:szCs w:val="32"/>
        </w:rPr>
        <w:t xml:space="preserve">    15.住房保障支出（221）住房改革支出（22102）住房公积金（2210201）：反映行政事业单位按人力资源和社会保障部、财政部规定的基本工资和津贴补贴以及规定比例为职工缴纳的住房公积金。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16.基本支出：指为保障机构正常运转、完成日常工作任务而发生的人员支出和公用支出。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17.项目支出：指在基本支出之外为完成特定行政任务和事业发展目标所发生的支出。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18.经营支出：指事业单位在专业业务活动及其辅助活动之外开展非独立核算经营活动发生的支出。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.财政应返还额度：为行政事业单位会计核算科目，用于核算实行国库集中支付的行政事业单位应收财政返还的资金额度。</w:t>
      </w:r>
    </w:p>
    <w:p>
      <w:pPr>
        <w:widowControl/>
        <w:jc w:val="left"/>
        <w:rPr>
          <w:rStyle w:val="35"/>
          <w:rFonts w:ascii="黑体" w:hAnsi="黑体" w:eastAsia="黑体"/>
        </w:rPr>
      </w:pPr>
      <w:r>
        <w:rPr>
          <w:rStyle w:val="35"/>
          <w:rFonts w:ascii="黑体" w:hAnsi="黑体" w:eastAsia="黑体"/>
        </w:rPr>
        <w:br w:type="page"/>
      </w:r>
    </w:p>
    <w:p>
      <w:pPr>
        <w:pStyle w:val="3"/>
        <w:jc w:val="center"/>
        <w:rPr>
          <w:rFonts w:ascii="黑体" w:hAnsi="黑体" w:eastAsia="黑体" w:cs="黑体"/>
        </w:rPr>
      </w:pPr>
      <w:bookmarkStart w:id="74" w:name="_Toc111208510"/>
      <w:bookmarkStart w:id="75" w:name="_Toc25539"/>
      <w:r>
        <w:rPr>
          <w:rFonts w:hint="eastAsia" w:ascii="黑体" w:hAnsi="黑体" w:eastAsia="黑体" w:cs="黑体"/>
        </w:rPr>
        <w:t>第四部分 附件</w:t>
      </w:r>
      <w:bookmarkEnd w:id="74"/>
      <w:bookmarkEnd w:id="75"/>
    </w:p>
    <w:p>
      <w:pPr>
        <w:pStyle w:val="20"/>
        <w:keepNext w:val="0"/>
        <w:keepLines w:val="0"/>
        <w:pageBreakBefore w:val="0"/>
        <w:kinsoku/>
        <w:wordWrap/>
        <w:overflowPunct/>
        <w:topLinePunct w:val="0"/>
        <w:autoSpaceDE/>
        <w:autoSpaceDN/>
        <w:bidi w:val="0"/>
        <w:spacing w:line="560" w:lineRule="exact"/>
        <w:jc w:val="both"/>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红原县公务服务中心</w:t>
      </w: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3</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度部门</w:t>
      </w:r>
    </w:p>
    <w:p>
      <w:pPr>
        <w:pStyle w:val="20"/>
        <w:keepNext w:val="0"/>
        <w:keepLines w:val="0"/>
        <w:pageBreakBefore w:val="0"/>
        <w:kinsoku/>
        <w:wordWrap/>
        <w:overflowPunct/>
        <w:topLinePunct w:val="0"/>
        <w:autoSpaceDE/>
        <w:autoSpaceDN/>
        <w:bidi w:val="0"/>
        <w:spacing w:line="560" w:lineRule="exact"/>
        <w:ind w:firstLine="1760" w:firstLineChars="400"/>
        <w:jc w:val="both"/>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整体</w:t>
      </w:r>
      <w:r>
        <w:rPr>
          <w:rFonts w:hint="eastAsia" w:ascii="方正小标宋_GBK" w:hAnsi="方正小标宋_GBK" w:eastAsia="方正小标宋_GBK" w:cs="方正小标宋_GBK"/>
          <w:sz w:val="44"/>
          <w:szCs w:val="44"/>
        </w:rPr>
        <w:t>支出绩效</w:t>
      </w:r>
      <w:r>
        <w:rPr>
          <w:rFonts w:hint="eastAsia" w:ascii="方正小标宋_GBK" w:hAnsi="方正小标宋_GBK" w:eastAsia="方正小标宋_GBK" w:cs="方正小标宋_GBK"/>
          <w:sz w:val="44"/>
          <w:szCs w:val="44"/>
          <w:lang w:val="en-US" w:eastAsia="zh-CN"/>
        </w:rPr>
        <w:t>评价自评</w:t>
      </w:r>
      <w:r>
        <w:rPr>
          <w:rFonts w:hint="eastAsia" w:ascii="方正小标宋_GBK" w:hAnsi="方正小标宋_GBK" w:eastAsia="方正小标宋_GBK" w:cs="方正小标宋_GBK"/>
          <w:sz w:val="44"/>
          <w:szCs w:val="44"/>
        </w:rPr>
        <w:t>报告</w:t>
      </w:r>
    </w:p>
    <w:p>
      <w:pPr>
        <w:pStyle w:val="20"/>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numPr>
          <w:ilvl w:val="0"/>
          <w:numId w:val="1"/>
        </w:numPr>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单位概况</w:t>
      </w:r>
    </w:p>
    <w:p>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（一）机构组成</w:t>
      </w:r>
    </w:p>
    <w:p>
      <w:pPr>
        <w:pStyle w:val="19"/>
        <w:keepNext w:val="0"/>
        <w:keepLines w:val="0"/>
        <w:pageBreakBefore w:val="0"/>
        <w:widowControl/>
        <w:suppressLineNumbers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红原县公务服务中心（简称县公务服务中心），为县政府直属正科级公益一类事业单位。县公务服务中心设下列内设机构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办公室。承担机关政务工作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制定工作制度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负责依法行政、文电、会务、机要、文印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档案、信息、保密、信访、督查、规章制度建设、绩效管理、政务公开、对口接待、财务管理、固定资产管理、办公用品采购等工作；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公务服务股。贯彻执行中央、省、州有关公务接待工作的规定，结合我县具体实际制定公务接待办法； 完成县公务接待管理部门承担的接待任务；加强本级公务接待工作的规范管理，指导公务接待工作；负责县委县政府承办的重大接待服务工作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后勤保障股。承担县级机关食堂管理工作，保障全县县级领导工作用餐及部分公务接待；承担县公务服务中心物资库房管理工作。 </w:t>
      </w:r>
    </w:p>
    <w:p>
      <w:pPr>
        <w:pStyle w:val="44"/>
        <w:keepNext w:val="0"/>
        <w:keepLines w:val="0"/>
        <w:pageBreakBefore w:val="0"/>
        <w:widowControl/>
        <w:kinsoku/>
        <w:wordWrap/>
        <w:overflowPunct/>
        <w:topLinePunct w:val="0"/>
        <w:autoSpaceDE/>
        <w:autoSpaceDN/>
        <w:bidi w:val="0"/>
        <w:spacing w:before="0" w:beforeLines="0" w:after="0" w:afterLines="0" w:line="560" w:lineRule="exact"/>
        <w:ind w:right="0" w:rightChars="0"/>
        <w:textAlignment w:val="auto"/>
        <w:outlineLvl w:val="9"/>
        <w:rPr>
          <w:rFonts w:hint="eastAsia" w:ascii="仿宋_GB2312" w:hAnsi="仿宋_GB2312" w:eastAsia="仿宋_GB2312" w:cs="仿宋_GB2312"/>
          <w:b/>
          <w:bCs/>
          <w:color w:val="000000"/>
          <w:sz w:val="32"/>
          <w:szCs w:val="32"/>
          <w:lang w:val="zh-CN" w:bidi="ar"/>
        </w:rPr>
      </w:pPr>
      <w:r>
        <w:rPr>
          <w:rFonts w:hint="eastAsia" w:ascii="仿宋_GB2312" w:hAnsi="仿宋_GB2312" w:eastAsia="仿宋_GB2312" w:cs="仿宋_GB2312"/>
          <w:b/>
          <w:bCs/>
          <w:color w:val="000000"/>
          <w:sz w:val="32"/>
          <w:szCs w:val="32"/>
          <w:lang w:val="zh-CN" w:bidi="ar"/>
        </w:rPr>
        <w:t>（二）机构职能</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 xml:space="preserve">负责党和国家领导人（含曾经担任）、省委、省人大、省政府、省政协副省级以上、州委、州人大、州政府、州政协副厅级领导（含曾经但任）来县的服务保障。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 xml:space="preserve">按照有关规定负责和参与党中央、国务院、省委、省政府、州委、州政府巡视、检查、督查（督导、督察）、考察、调研、考核、审计等工作组来县的服务保障。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rPr>
        <w:t xml:space="preserve">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rPr>
        <w:t>负责或参与外省（州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市、区、县）党政代表团来县考察的协调联络和服务保障。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 xml:space="preserve">负责我县党政代表团赴外省（州、市、区、县）考察的协调联络和服务保障。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rPr>
        <w:t>负责县委、县政府交办的由县公务服务中心承担的外</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事接待和招商引资事项的服务保障。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7.</w:t>
      </w:r>
      <w:r>
        <w:rPr>
          <w:rFonts w:hint="eastAsia" w:ascii="仿宋_GB2312" w:hAnsi="仿宋_GB2312" w:eastAsia="仿宋_GB2312" w:cs="仿宋_GB2312"/>
          <w:sz w:val="32"/>
          <w:szCs w:val="32"/>
        </w:rPr>
        <w:t>按照中央八项规定和省委、省政府十项规定及其实施</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细则要求，负责联系协调县级有关部门及关联单位承办州委、州</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政府重大公务活动的服务工作。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rPr>
        <w:t xml:space="preserve">会同县级有关部门承担县委、县政府交办的大型会议、活动的接待服务保障工作。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指导县级部门的公务活动服务保障工作，参与拟订全</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县公务服务相关规定。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420" w:leftChars="20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10.</w:t>
      </w:r>
      <w:r>
        <w:rPr>
          <w:rFonts w:hint="eastAsia" w:ascii="仿宋_GB2312" w:hAnsi="仿宋_GB2312" w:eastAsia="仿宋_GB2312" w:cs="仿宋_GB2312"/>
          <w:sz w:val="32"/>
          <w:szCs w:val="32"/>
        </w:rPr>
        <w:t xml:space="preserve">负责办理中办警卫局、省警卫局安排的有关在县事务。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420" w:leftChars="20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11.</w:t>
      </w:r>
      <w:r>
        <w:rPr>
          <w:rFonts w:hint="eastAsia" w:ascii="仿宋_GB2312" w:hAnsi="仿宋_GB2312" w:eastAsia="仿宋_GB2312" w:cs="仿宋_GB2312"/>
          <w:sz w:val="32"/>
          <w:szCs w:val="32"/>
        </w:rPr>
        <w:t xml:space="preserve">负责县级机关食堂管理工作。 </w:t>
      </w:r>
    </w:p>
    <w:p>
      <w:pPr>
        <w:pStyle w:val="19"/>
        <w:keepNext w:val="0"/>
        <w:keepLines w:val="0"/>
        <w:pageBreakBefore w:val="0"/>
        <w:widowControl/>
        <w:suppressLineNumbers w:val="0"/>
        <w:kinsoku/>
        <w:wordWrap/>
        <w:overflowPunct/>
        <w:topLinePunct w:val="0"/>
        <w:autoSpaceDE/>
        <w:autoSpaceDN/>
        <w:bidi w:val="0"/>
        <w:adjustRightInd/>
        <w:snapToGrid/>
        <w:spacing w:after="79" w:afterLines="25" w:afterAutospacing="0" w:line="560" w:lineRule="exact"/>
        <w:ind w:left="420" w:leftChars="200" w:firstLine="0" w:firstLineChars="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12.</w:t>
      </w:r>
      <w:r>
        <w:rPr>
          <w:rFonts w:hint="eastAsia" w:ascii="仿宋_GB2312" w:hAnsi="仿宋_GB2312" w:eastAsia="仿宋_GB2312" w:cs="仿宋_GB2312"/>
          <w:sz w:val="32"/>
          <w:szCs w:val="32"/>
        </w:rPr>
        <w:t xml:space="preserve">完成县委、县政府交办的其他任务。 </w:t>
      </w:r>
    </w:p>
    <w:p>
      <w:pPr>
        <w:keepNext w:val="0"/>
        <w:keepLines w:val="0"/>
        <w:pageBreakBefore w:val="0"/>
        <w:kinsoku/>
        <w:wordWrap/>
        <w:overflowPunct/>
        <w:topLinePunct w:val="0"/>
        <w:autoSpaceDE/>
        <w:autoSpaceDN/>
        <w:bidi w:val="0"/>
        <w:spacing w:before="0" w:beforeLines="0" w:after="0" w:afterLines="0" w:line="560" w:lineRule="exact"/>
        <w:ind w:right="0" w:right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（三）人员概况</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底</w:t>
      </w:r>
      <w:r>
        <w:rPr>
          <w:rFonts w:hint="eastAsia" w:ascii="仿宋_GB2312" w:hAnsi="仿宋_GB2312" w:eastAsia="仿宋_GB2312" w:cs="仿宋_GB2312"/>
          <w:sz w:val="32"/>
          <w:szCs w:val="32"/>
        </w:rPr>
        <w:t>我</w:t>
      </w:r>
      <w:r>
        <w:rPr>
          <w:rFonts w:hint="eastAsia" w:ascii="仿宋_GB2312" w:hAnsi="仿宋_GB2312" w:eastAsia="仿宋_GB2312" w:cs="仿宋_GB2312"/>
          <w:color w:val="000000"/>
          <w:kern w:val="0"/>
          <w:sz w:val="32"/>
          <w:szCs w:val="32"/>
          <w:lang w:val="en-US" w:eastAsia="zh-CN" w:bidi="ar-SA"/>
        </w:rPr>
        <w:t>单位</w:t>
      </w:r>
      <w:r>
        <w:rPr>
          <w:rFonts w:hint="eastAsia" w:ascii="仿宋_GB2312" w:hAnsi="仿宋_GB2312" w:eastAsia="仿宋_GB2312" w:cs="仿宋_GB2312"/>
          <w:bCs/>
          <w:sz w:val="32"/>
          <w:szCs w:val="32"/>
        </w:rPr>
        <w:t>共有编制</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个，其中</w:t>
      </w:r>
      <w:r>
        <w:rPr>
          <w:rFonts w:hint="eastAsia" w:ascii="仿宋_GB2312" w:hAnsi="仿宋_GB2312" w:eastAsia="仿宋_GB2312" w:cs="仿宋_GB2312"/>
          <w:bCs/>
          <w:sz w:val="32"/>
          <w:szCs w:val="32"/>
          <w:lang w:val="en-US" w:eastAsia="zh-CN"/>
        </w:rPr>
        <w:t>事业管理</w:t>
      </w:r>
      <w:r>
        <w:rPr>
          <w:rFonts w:hint="eastAsia" w:ascii="仿宋_GB2312" w:hAnsi="仿宋_GB2312" w:eastAsia="仿宋_GB2312" w:cs="仿宋_GB2312"/>
          <w:bCs/>
          <w:sz w:val="32"/>
          <w:szCs w:val="32"/>
        </w:rPr>
        <w:t>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val="en-US" w:eastAsia="zh-CN"/>
        </w:rPr>
        <w:t>事业</w:t>
      </w:r>
      <w:r>
        <w:rPr>
          <w:rFonts w:hint="eastAsia" w:ascii="仿宋_GB2312" w:hAnsi="仿宋_GB2312" w:eastAsia="仿宋_GB2312" w:cs="仿宋_GB2312"/>
          <w:bCs/>
          <w:sz w:val="32"/>
          <w:szCs w:val="32"/>
        </w:rPr>
        <w:t>工勤编制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lang w:bidi="ar"/>
        </w:rPr>
        <w:t>二、部门财政资金收支情况</w:t>
      </w:r>
    </w:p>
    <w:p>
      <w:pPr>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3" w:firstLineChars="200"/>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（一）部门财政资金收入情况</w:t>
      </w:r>
    </w:p>
    <w:p>
      <w:pPr>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202</w:t>
      </w:r>
      <w:r>
        <w:rPr>
          <w:rFonts w:hint="eastAsia" w:ascii="仿宋_GB2312" w:hAnsi="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收入合计</w:t>
      </w:r>
      <w:r>
        <w:rPr>
          <w:rFonts w:hint="eastAsia" w:ascii="仿宋_GB2312" w:hAnsi="仿宋_GB2312" w:cs="仿宋_GB2312"/>
          <w:color w:val="auto"/>
          <w:sz w:val="32"/>
          <w:szCs w:val="32"/>
          <w:lang w:val="en-US" w:eastAsia="zh-CN"/>
        </w:rPr>
        <w:t>809.25</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元，其中：一般公共预算财政拨款收入</w:t>
      </w:r>
      <w:r>
        <w:rPr>
          <w:rFonts w:hint="eastAsia" w:ascii="仿宋_GB2312" w:hAnsi="仿宋_GB2312" w:cs="仿宋_GB2312"/>
          <w:color w:val="auto"/>
          <w:sz w:val="32"/>
          <w:szCs w:val="32"/>
          <w:lang w:val="en-US" w:eastAsia="zh-CN"/>
        </w:rPr>
        <w:t>809.25</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3" w:firstLineChars="200"/>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color w:val="000000"/>
          <w:kern w:val="0"/>
          <w:sz w:val="32"/>
          <w:szCs w:val="32"/>
          <w:lang w:val="zh-CN" w:bidi="ar"/>
        </w:rPr>
        <w:t>（二）部门财政资金支出情况</w:t>
      </w:r>
    </w:p>
    <w:p>
      <w:pPr>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202</w:t>
      </w:r>
      <w:r>
        <w:rPr>
          <w:rFonts w:hint="eastAsia" w:ascii="仿宋_GB2312" w:hAnsi="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年底</w:t>
      </w:r>
      <w:r>
        <w:rPr>
          <w:rFonts w:hint="eastAsia" w:ascii="仿宋_GB2312" w:hAnsi="仿宋_GB2312" w:eastAsia="仿宋_GB2312" w:cs="仿宋_GB2312"/>
          <w:color w:val="auto"/>
          <w:sz w:val="32"/>
          <w:szCs w:val="32"/>
        </w:rPr>
        <w:t>支出</w:t>
      </w:r>
      <w:r>
        <w:rPr>
          <w:rFonts w:hint="eastAsia" w:ascii="仿宋_GB2312" w:hAnsi="仿宋_GB2312" w:cs="仿宋_GB2312"/>
          <w:color w:val="auto"/>
          <w:sz w:val="32"/>
          <w:szCs w:val="32"/>
          <w:lang w:val="en-US" w:eastAsia="zh-CN"/>
        </w:rPr>
        <w:t>809.25</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000000"/>
          <w:sz w:val="32"/>
          <w:szCs w:val="32"/>
          <w:lang w:bidi="ar-SA"/>
        </w:rPr>
        <w:t>其中：基本支出</w:t>
      </w:r>
      <w:r>
        <w:rPr>
          <w:rFonts w:hint="eastAsia" w:ascii="仿宋_GB2312" w:hAnsi="仿宋_GB2312" w:cs="仿宋_GB2312"/>
          <w:color w:val="000000"/>
          <w:sz w:val="32"/>
          <w:szCs w:val="32"/>
          <w:lang w:val="en-US" w:eastAsia="zh-CN" w:bidi="ar-SA"/>
        </w:rPr>
        <w:t>362.85</w:t>
      </w:r>
      <w:r>
        <w:rPr>
          <w:rFonts w:hint="eastAsia" w:ascii="仿宋_GB2312" w:hAnsi="仿宋_GB2312" w:eastAsia="仿宋_GB2312" w:cs="仿宋_GB2312"/>
          <w:color w:val="000000"/>
          <w:sz w:val="32"/>
          <w:szCs w:val="32"/>
          <w:lang w:bidi="ar-SA"/>
        </w:rPr>
        <w:t>万元，占</w:t>
      </w:r>
      <w:r>
        <w:rPr>
          <w:rFonts w:hint="eastAsia" w:ascii="仿宋_GB2312" w:hAnsi="仿宋_GB2312" w:cs="仿宋_GB2312"/>
          <w:color w:val="000000"/>
          <w:sz w:val="32"/>
          <w:szCs w:val="32"/>
          <w:lang w:val="en-US" w:eastAsia="zh-CN" w:bidi="ar-SA"/>
        </w:rPr>
        <w:t>44.84</w:t>
      </w:r>
      <w:r>
        <w:rPr>
          <w:rFonts w:hint="eastAsia" w:ascii="仿宋_GB2312" w:hAnsi="仿宋_GB2312" w:eastAsia="仿宋_GB2312" w:cs="仿宋_GB2312"/>
          <w:color w:val="000000"/>
          <w:sz w:val="32"/>
          <w:szCs w:val="32"/>
          <w:lang w:bidi="ar-SA"/>
        </w:rPr>
        <w:t>%；项目支出</w:t>
      </w:r>
      <w:r>
        <w:rPr>
          <w:rFonts w:hint="eastAsia" w:ascii="仿宋_GB2312" w:hAnsi="仿宋_GB2312" w:cs="仿宋_GB2312"/>
          <w:color w:val="000000"/>
          <w:sz w:val="32"/>
          <w:szCs w:val="32"/>
          <w:lang w:val="en-US" w:eastAsia="zh-CN" w:bidi="ar-SA"/>
        </w:rPr>
        <w:t>446.40</w:t>
      </w:r>
      <w:r>
        <w:rPr>
          <w:rFonts w:hint="eastAsia" w:ascii="仿宋_GB2312" w:hAnsi="仿宋_GB2312" w:eastAsia="仿宋_GB2312" w:cs="仿宋_GB2312"/>
          <w:color w:val="000000"/>
          <w:sz w:val="32"/>
          <w:szCs w:val="32"/>
          <w:lang w:bidi="ar-SA"/>
        </w:rPr>
        <w:t>万元，占</w:t>
      </w:r>
      <w:r>
        <w:rPr>
          <w:rFonts w:hint="eastAsia" w:ascii="仿宋_GB2312" w:hAnsi="仿宋_GB2312" w:cs="仿宋_GB2312"/>
          <w:color w:val="000000"/>
          <w:sz w:val="32"/>
          <w:szCs w:val="32"/>
          <w:lang w:val="en-US" w:eastAsia="zh-CN" w:bidi="ar-SA"/>
        </w:rPr>
        <w:t>55.16</w:t>
      </w:r>
      <w:r>
        <w:rPr>
          <w:rFonts w:hint="eastAsia" w:ascii="仿宋_GB2312" w:hAnsi="仿宋_GB2312" w:eastAsia="仿宋_GB2312" w:cs="仿宋_GB2312"/>
          <w:color w:val="000000"/>
          <w:sz w:val="32"/>
          <w:szCs w:val="32"/>
          <w:lang w:bidi="ar-SA"/>
        </w:rPr>
        <w:t>%；</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lang w:bidi="ar"/>
        </w:rPr>
        <w:t>三、部门财政支出管理情况</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b/>
          <w:color w:val="000000"/>
          <w:kern w:val="0"/>
          <w:sz w:val="32"/>
          <w:szCs w:val="32"/>
          <w:lang w:val="zh-CN"/>
        </w:rPr>
      </w:pPr>
      <w:r>
        <w:rPr>
          <w:rFonts w:hint="eastAsia" w:ascii="仿宋_GB2312" w:hAnsi="仿宋_GB2312" w:eastAsia="仿宋_GB2312" w:cs="仿宋_GB2312"/>
          <w:b/>
          <w:color w:val="000000"/>
          <w:kern w:val="0"/>
          <w:sz w:val="32"/>
          <w:szCs w:val="32"/>
          <w:lang w:val="zh-CN" w:bidi="ar"/>
        </w:rPr>
        <w:t>（一）预算编制情况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严格按照《预算法》及相关财经法规和政策编制本年度预算，严格控制编报质量，保证所有资金合法合规，严格按照相关规定进行预算编制。</w:t>
      </w:r>
      <w:r>
        <w:rPr>
          <w:rFonts w:hint="eastAsia" w:ascii="仿宋_GB2312" w:hAnsi="仿宋_GB2312" w:eastAsia="仿宋_GB2312" w:cs="仿宋_GB2312"/>
          <w:color w:val="000000"/>
          <w:sz w:val="32"/>
          <w:szCs w:val="32"/>
        </w:rPr>
        <w:t xml:space="preserve"> </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b/>
          <w:color w:val="000000"/>
          <w:kern w:val="0"/>
          <w:sz w:val="32"/>
          <w:szCs w:val="32"/>
          <w:lang w:val="zh-CN"/>
        </w:rPr>
      </w:pPr>
      <w:r>
        <w:rPr>
          <w:rFonts w:hint="eastAsia" w:ascii="仿宋_GB2312" w:hAnsi="仿宋_GB2312" w:eastAsia="仿宋_GB2312" w:cs="仿宋_GB2312"/>
          <w:b/>
          <w:color w:val="000000"/>
          <w:kern w:val="0"/>
          <w:sz w:val="32"/>
          <w:szCs w:val="32"/>
          <w:lang w:val="zh-CN" w:bidi="ar"/>
        </w:rPr>
        <w:t>（二）执行管理情况</w:t>
      </w:r>
      <w:r>
        <w:rPr>
          <w:rFonts w:hint="eastAsia" w:ascii="仿宋_GB2312" w:hAnsi="仿宋_GB2312" w:eastAsia="仿宋_GB2312" w:cs="仿宋_GB2312"/>
          <w:b/>
          <w:color w:val="000000"/>
          <w:kern w:val="0"/>
          <w:sz w:val="32"/>
          <w:szCs w:val="32"/>
          <w:lang w:val="zh-CN" w:bidi="ar"/>
        </w:rPr>
        <w:tab/>
      </w:r>
    </w:p>
    <w:p>
      <w:pPr>
        <w:keepNext w:val="0"/>
        <w:keepLines w:val="0"/>
        <w:pageBreakBefore w:val="0"/>
        <w:kinsoku/>
        <w:wordWrap/>
        <w:overflowPunct/>
        <w:topLinePunct w:val="0"/>
        <w:autoSpaceDE/>
        <w:autoSpaceDN/>
        <w:bidi w:val="0"/>
        <w:spacing w:before="0" w:beforeLines="0" w:after="0" w:afterLines="0" w:line="560" w:lineRule="exact"/>
        <w:ind w:left="0" w:leftChars="0" w:right="0" w:rightChars="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部门预算执行到位，严格按照预算管理进行支付并做到节能降耗，“三公”经费严格按照年初预算执行。</w:t>
      </w:r>
      <w:r>
        <w:rPr>
          <w:rFonts w:hint="eastAsia" w:ascii="仿宋_GB2312" w:hAnsi="仿宋_GB2312" w:eastAsia="仿宋_GB2312" w:cs="仿宋_GB2312"/>
          <w:color w:val="000000"/>
          <w:sz w:val="32"/>
          <w:szCs w:val="32"/>
          <w:shd w:val="clear" w:color="auto" w:fill="FFFFFF"/>
        </w:rPr>
        <w:t>“三公”经费</w:t>
      </w:r>
      <w:r>
        <w:rPr>
          <w:rFonts w:hint="eastAsia" w:ascii="仿宋_GB2312" w:hAnsi="仿宋_GB2312" w:eastAsia="仿宋_GB2312" w:cs="仿宋_GB2312"/>
          <w:color w:val="000000"/>
          <w:sz w:val="32"/>
          <w:szCs w:val="32"/>
          <w:shd w:val="clear" w:color="auto" w:fill="FFFFFF"/>
          <w:lang w:val="en-US" w:eastAsia="zh-CN"/>
        </w:rPr>
        <w:t>202</w:t>
      </w:r>
      <w:r>
        <w:rPr>
          <w:rFonts w:hint="eastAsia" w:ascii="仿宋_GB2312" w:hAnsi="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lang w:val="en-US" w:eastAsia="zh-CN"/>
        </w:rPr>
        <w:t>年底</w:t>
      </w:r>
      <w:r>
        <w:rPr>
          <w:rFonts w:hint="eastAsia" w:ascii="仿宋_GB2312" w:hAnsi="仿宋_GB2312" w:eastAsia="仿宋_GB2312" w:cs="仿宋_GB2312"/>
          <w:color w:val="000000"/>
          <w:sz w:val="32"/>
          <w:szCs w:val="32"/>
          <w:shd w:val="clear" w:color="auto" w:fill="FFFFFF"/>
        </w:rPr>
        <w:t>支出情况： 1.无因公出国（境）经费支出。 2.</w:t>
      </w:r>
      <w:r>
        <w:rPr>
          <w:rFonts w:hint="eastAsia" w:ascii="仿宋_GB2312" w:hAnsi="仿宋_GB2312" w:eastAsia="仿宋_GB2312" w:cs="仿宋_GB2312"/>
          <w:bCs/>
          <w:color w:val="000000"/>
          <w:sz w:val="32"/>
          <w:szCs w:val="32"/>
        </w:rPr>
        <w:t>公务用车运行维护费支出</w:t>
      </w:r>
      <w:r>
        <w:rPr>
          <w:rFonts w:hint="eastAsia" w:ascii="仿宋_GB2312" w:hAnsi="仿宋_GB2312" w:cs="仿宋_GB2312"/>
          <w:color w:val="000000"/>
          <w:kern w:val="0"/>
          <w:sz w:val="32"/>
          <w:szCs w:val="32"/>
          <w:lang w:val="en-US" w:eastAsia="zh-CN"/>
        </w:rPr>
        <w:t>7.22</w:t>
      </w:r>
      <w:r>
        <w:rPr>
          <w:rFonts w:hint="eastAsia" w:ascii="仿宋_GB2312" w:hAnsi="仿宋_GB2312" w:eastAsia="仿宋_GB2312" w:cs="仿宋_GB2312"/>
          <w:color w:val="000000"/>
          <w:kern w:val="0"/>
          <w:sz w:val="32"/>
          <w:szCs w:val="32"/>
          <w:lang w:val="en-US" w:eastAsia="zh-CN"/>
        </w:rPr>
        <w:t>万</w:t>
      </w:r>
      <w:r>
        <w:rPr>
          <w:rFonts w:hint="eastAsia" w:ascii="仿宋_GB2312" w:hAnsi="仿宋_GB2312" w:eastAsia="仿宋_GB2312" w:cs="仿宋_GB2312"/>
          <w:color w:val="000000"/>
          <w:sz w:val="32"/>
          <w:szCs w:val="32"/>
        </w:rPr>
        <w:t>元。主要用于日常公务等所需的公务用车燃料费、维修费、过路过桥费、保险费等支出。</w:t>
      </w:r>
      <w:r>
        <w:rPr>
          <w:rFonts w:hint="eastAsia" w:ascii="仿宋_GB2312" w:hAnsi="仿宋_GB2312" w:eastAsia="仿宋_GB2312" w:cs="仿宋_GB2312"/>
          <w:b/>
          <w:bCs/>
          <w:color w:val="000000"/>
          <w:sz w:val="32"/>
          <w:szCs w:val="32"/>
        </w:rPr>
        <w:t>3.</w:t>
      </w:r>
      <w:r>
        <w:rPr>
          <w:rFonts w:hint="eastAsia" w:ascii="仿宋_GB2312" w:hAnsi="仿宋_GB2312" w:eastAsia="仿宋_GB2312" w:cs="仿宋_GB2312"/>
          <w:bCs/>
          <w:color w:val="000000"/>
          <w:sz w:val="32"/>
          <w:szCs w:val="32"/>
        </w:rPr>
        <w:t>公务接待费支出</w:t>
      </w:r>
      <w:r>
        <w:rPr>
          <w:rFonts w:hint="eastAsia" w:ascii="仿宋_GB2312" w:hAnsi="仿宋_GB2312" w:cs="仿宋_GB2312"/>
          <w:color w:val="000000"/>
          <w:sz w:val="32"/>
          <w:szCs w:val="32"/>
          <w:lang w:val="en-US" w:eastAsia="zh-CN"/>
        </w:rPr>
        <w:t>179.77</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rPr>
        <w:t>元。</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b/>
          <w:color w:val="000000"/>
          <w:kern w:val="0"/>
          <w:sz w:val="32"/>
          <w:szCs w:val="32"/>
          <w:lang w:val="zh-CN"/>
        </w:rPr>
      </w:pPr>
      <w:r>
        <w:rPr>
          <w:rFonts w:hint="eastAsia" w:ascii="仿宋_GB2312" w:hAnsi="仿宋_GB2312" w:eastAsia="仿宋_GB2312" w:cs="仿宋_GB2312"/>
          <w:b/>
          <w:color w:val="000000"/>
          <w:kern w:val="0"/>
          <w:sz w:val="32"/>
          <w:szCs w:val="32"/>
          <w:lang w:val="zh-CN" w:bidi="ar"/>
        </w:rPr>
        <w:t>（三）综合管理情况</w:t>
      </w:r>
    </w:p>
    <w:p>
      <w:pPr>
        <w:keepNext w:val="0"/>
        <w:keepLines w:val="0"/>
        <w:pageBreakBefore w:val="0"/>
        <w:kinsoku/>
        <w:wordWrap/>
        <w:overflowPunct/>
        <w:topLinePunct w:val="0"/>
        <w:autoSpaceDE/>
        <w:autoSpaceDN/>
        <w:bidi w:val="0"/>
        <w:spacing w:before="0" w:beforeLines="0" w:after="0" w:afterLines="0"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在财务管理过程中建立健全财务核算制度、严格执行国家相关财经法规，加强了会计基础工作、逐渐规范了财务管理行为。进一步规范了“三公经费”的管理并严格控制了“三公经费”的支出。</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（四）整体绩效</w:t>
      </w:r>
    </w:p>
    <w:p>
      <w:pPr>
        <w:keepNext w:val="0"/>
        <w:keepLines w:val="0"/>
        <w:pageBreakBefore w:val="0"/>
        <w:kinsoku/>
        <w:wordWrap/>
        <w:overflowPunct/>
        <w:topLinePunct w:val="0"/>
        <w:autoSpaceDE/>
        <w:autoSpaceDN/>
        <w:bidi w:val="0"/>
        <w:snapToGrid w:val="0"/>
        <w:spacing w:before="0" w:beforeLines="0" w:after="0" w:afterLines="0"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保障当年工作正常开展，及时拨付兑现当月公用经费，按时发放工资，充分发挥协调、参谋助手作用。综合能力进一步提升，效能进一步发挥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各项工作有力有序有效推进,</w:t>
      </w:r>
      <w:r>
        <w:rPr>
          <w:rFonts w:hint="eastAsia" w:ascii="仿宋_GB2312" w:hAnsi="仿宋_GB2312" w:eastAsia="仿宋_GB2312" w:cs="仿宋_GB2312"/>
          <w:w w:val="95"/>
          <w:sz w:val="32"/>
          <w:szCs w:val="32"/>
        </w:rPr>
        <w:t>整体绩效较好</w:t>
      </w:r>
      <w:r>
        <w:rPr>
          <w:rFonts w:hint="eastAsia" w:ascii="仿宋_GB2312" w:hAnsi="仿宋_GB2312" w:eastAsia="仿宋_GB2312" w:cs="仿宋_GB2312"/>
          <w:w w:val="95"/>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lang w:bidi="ar"/>
        </w:rPr>
        <w:t>四、评价结论及建议</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b/>
          <w:bCs/>
          <w:color w:val="000000"/>
          <w:kern w:val="0"/>
          <w:sz w:val="32"/>
          <w:szCs w:val="32"/>
          <w:lang w:val="zh-CN" w:bidi="ar"/>
        </w:rPr>
        <w:t>（一）评价结论</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根据《202</w:t>
      </w:r>
      <w:r>
        <w:rPr>
          <w:rFonts w:hint="eastAsia" w:ascii="仿宋_GB2312" w:hAnsi="仿宋_GB2312" w:cs="仿宋_GB2312"/>
          <w:color w:val="000000"/>
          <w:kern w:val="0"/>
          <w:sz w:val="32"/>
          <w:szCs w:val="32"/>
          <w:lang w:val="en-US" w:eastAsia="zh-CN" w:bidi="ar"/>
        </w:rPr>
        <w:t>3</w:t>
      </w:r>
      <w:r>
        <w:rPr>
          <w:rFonts w:hint="eastAsia" w:ascii="仿宋_GB2312" w:hAnsi="仿宋_GB2312" w:eastAsia="仿宋_GB2312" w:cs="仿宋_GB2312"/>
          <w:color w:val="000000"/>
          <w:kern w:val="0"/>
          <w:sz w:val="32"/>
          <w:szCs w:val="32"/>
          <w:lang w:val="zh-CN" w:bidi="ar"/>
        </w:rPr>
        <w:t>年红原县部门支出绩效评价指标体系》评分得分</w:t>
      </w:r>
      <w:r>
        <w:rPr>
          <w:rFonts w:hint="eastAsia" w:ascii="仿宋_GB2312" w:hAnsi="仿宋_GB2312" w:eastAsia="仿宋_GB2312" w:cs="仿宋_GB2312"/>
          <w:color w:val="000000"/>
          <w:kern w:val="0"/>
          <w:sz w:val="32"/>
          <w:szCs w:val="32"/>
          <w:lang w:val="en-US" w:eastAsia="zh-CN" w:bidi="ar"/>
        </w:rPr>
        <w:t>97.5</w:t>
      </w:r>
      <w:r>
        <w:rPr>
          <w:rFonts w:hint="eastAsia" w:ascii="仿宋_GB2312" w:hAnsi="仿宋_GB2312" w:eastAsia="仿宋_GB2312" w:cs="仿宋_GB2312"/>
          <w:color w:val="000000"/>
          <w:kern w:val="0"/>
          <w:sz w:val="32"/>
          <w:szCs w:val="32"/>
          <w:lang w:val="zh-CN" w:bidi="ar"/>
        </w:rPr>
        <w:t>分，部门整体支出绩效为“好”。</w:t>
      </w:r>
    </w:p>
    <w:p>
      <w:pPr>
        <w:keepNext w:val="0"/>
        <w:keepLines w:val="0"/>
        <w:pageBreakBefore w:val="0"/>
        <w:widowControl/>
        <w:numPr>
          <w:ilvl w:val="0"/>
          <w:numId w:val="2"/>
        </w:numPr>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0" w:afterLines="0" w:line="560" w:lineRule="exact"/>
        <w:ind w:right="0" w:rightChars="0" w:firstLine="960" w:firstLineChars="30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预算时工作考虑不全面，部分工作开展所需经费未纳入预算，导致中途追加预算。</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（三）改进建议</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1.沟通交流，增强预算编制的准确性和全面性。</w:t>
      </w:r>
    </w:p>
    <w:p>
      <w:pPr>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2.加强管理，提高整体支出绩效成果。</w:t>
      </w:r>
    </w:p>
    <w:p>
      <w:pPr>
        <w:spacing w:line="440" w:lineRule="exact"/>
        <w:rPr>
          <w:rFonts w:hint="eastAsia" w:ascii="仿宋_GB2312" w:hAnsi="仿宋_GB2312" w:eastAsia="仿宋_GB2312" w:cs="仿宋_GB2312"/>
          <w:sz w:val="32"/>
          <w:szCs w:val="32"/>
        </w:rPr>
        <w:sectPr>
          <w:pgSz w:w="11906" w:h="16838"/>
          <w:pgMar w:top="2211" w:right="1531" w:bottom="1871" w:left="1531" w:header="851" w:footer="992" w:gutter="0"/>
          <w:cols w:space="720" w:num="1"/>
          <w:docGrid w:type="lines" w:linePitch="312" w:charSpace="0"/>
        </w:sectPr>
      </w:pPr>
      <w:r>
        <w:rPr>
          <w:rFonts w:hint="eastAsia" w:ascii="仿宋_GB2312" w:hAnsi="仿宋_GB2312" w:eastAsia="仿宋_GB2312" w:cs="仿宋_GB2312"/>
          <w:color w:val="000000"/>
          <w:kern w:val="0"/>
          <w:sz w:val="32"/>
          <w:szCs w:val="32"/>
          <w:lang w:val="en-US" w:eastAsia="zh-CN" w:bidi="ar"/>
        </w:rPr>
        <w:t xml:space="preserve">                                    </w:t>
      </w:r>
    </w:p>
    <w:p>
      <w:pPr>
        <w:keepNext w:val="0"/>
        <w:keepLines w:val="0"/>
        <w:pageBreakBefore w:val="0"/>
        <w:kinsoku/>
        <w:wordWrap/>
        <w:overflowPunct/>
        <w:topLinePunct w:val="0"/>
        <w:autoSpaceDE/>
        <w:autoSpaceDN/>
        <w:bidi w:val="0"/>
        <w:spacing w:before="0" w:beforeLines="0" w:after="0" w:afterLines="0" w:line="560" w:lineRule="exact"/>
        <w:ind w:left="0" w:leftChars="0" w:right="0" w:rightChars="0"/>
        <w:textAlignment w:val="auto"/>
        <w:outlineLvl w:val="9"/>
        <w:rPr>
          <w:rFonts w:ascii="仿宋" w:hAnsi="仿宋" w:eastAsia="仿宋" w:cs="黑体"/>
          <w:szCs w:val="32"/>
        </w:rPr>
      </w:pPr>
    </w:p>
    <w:p/>
    <w:p>
      <w:pPr>
        <w:pStyle w:val="3"/>
        <w:jc w:val="center"/>
        <w:rPr>
          <w:rFonts w:ascii="黑体" w:hAnsi="黑体" w:eastAsia="黑体" w:cs="黑体"/>
        </w:rPr>
      </w:pPr>
      <w:bookmarkStart w:id="76" w:name="_Toc21200"/>
      <w:bookmarkStart w:id="77" w:name="_Toc79163885"/>
      <w:bookmarkStart w:id="78" w:name="_Toc79163635"/>
      <w:bookmarkStart w:id="79" w:name="_Toc111208512"/>
      <w:r>
        <w:rPr>
          <w:rFonts w:hint="eastAsia" w:ascii="黑体" w:hAnsi="黑体" w:eastAsia="黑体" w:cs="黑体"/>
        </w:rPr>
        <w:t>第五部分 附表</w:t>
      </w:r>
      <w:bookmarkEnd w:id="76"/>
      <w:bookmarkEnd w:id="77"/>
      <w:bookmarkEnd w:id="78"/>
      <w:bookmarkEnd w:id="79"/>
    </w:p>
    <w:p>
      <w:pPr>
        <w:pStyle w:val="4"/>
        <w:ind w:firstLine="643" w:firstLineChars="200"/>
        <w:rPr>
          <w:rFonts w:ascii="黑体" w:eastAsia="黑体" w:cs="Times New Roman"/>
          <w:bCs w:val="0"/>
          <w:color w:val="000000"/>
        </w:rPr>
      </w:pPr>
      <w:bookmarkStart w:id="80" w:name="_Toc16431"/>
      <w:r>
        <w:rPr>
          <w:rFonts w:hint="eastAsia" w:ascii="黑体" w:eastAsia="黑体" w:cs="Times New Roman"/>
          <w:bCs w:val="0"/>
          <w:color w:val="000000"/>
        </w:rPr>
        <w:t>一、收入支出决算总表</w:t>
      </w:r>
      <w:bookmarkEnd w:id="80"/>
    </w:p>
    <w:p>
      <w:pPr>
        <w:pStyle w:val="4"/>
        <w:ind w:firstLine="643" w:firstLineChars="200"/>
        <w:rPr>
          <w:rFonts w:ascii="黑体" w:eastAsia="黑体" w:cs="Times New Roman"/>
          <w:bCs w:val="0"/>
          <w:color w:val="000000"/>
        </w:rPr>
      </w:pPr>
      <w:bookmarkStart w:id="81" w:name="_Toc25389"/>
      <w:r>
        <w:rPr>
          <w:rFonts w:hint="eastAsia" w:ascii="黑体" w:eastAsia="黑体" w:cs="Times New Roman"/>
          <w:bCs w:val="0"/>
          <w:color w:val="000000"/>
        </w:rPr>
        <w:t>二、收入决算表</w:t>
      </w:r>
      <w:bookmarkEnd w:id="81"/>
    </w:p>
    <w:p>
      <w:pPr>
        <w:pStyle w:val="4"/>
        <w:ind w:firstLine="643" w:firstLineChars="200"/>
        <w:rPr>
          <w:rFonts w:ascii="黑体" w:eastAsia="黑体" w:cs="Times New Roman"/>
          <w:bCs w:val="0"/>
          <w:color w:val="000000"/>
        </w:rPr>
      </w:pPr>
      <w:bookmarkStart w:id="82" w:name="_Toc10450"/>
      <w:r>
        <w:rPr>
          <w:rFonts w:hint="eastAsia" w:ascii="黑体" w:eastAsia="黑体" w:cs="Times New Roman"/>
          <w:bCs w:val="0"/>
          <w:color w:val="000000"/>
        </w:rPr>
        <w:t>三、支出决算表</w:t>
      </w:r>
      <w:bookmarkEnd w:id="82"/>
    </w:p>
    <w:p>
      <w:pPr>
        <w:pStyle w:val="4"/>
        <w:ind w:firstLine="643" w:firstLineChars="200"/>
        <w:rPr>
          <w:rFonts w:ascii="黑体" w:eastAsia="黑体" w:cs="Times New Roman"/>
          <w:bCs w:val="0"/>
          <w:color w:val="000000"/>
        </w:rPr>
      </w:pPr>
      <w:bookmarkStart w:id="83" w:name="_Toc15415"/>
      <w:r>
        <w:rPr>
          <w:rFonts w:hint="eastAsia" w:ascii="黑体" w:eastAsia="黑体" w:cs="Times New Roman"/>
          <w:bCs w:val="0"/>
          <w:color w:val="000000"/>
        </w:rPr>
        <w:t>四、财政拨款收入支出决算总表</w:t>
      </w:r>
      <w:bookmarkEnd w:id="83"/>
    </w:p>
    <w:p>
      <w:pPr>
        <w:pStyle w:val="4"/>
        <w:ind w:firstLine="643" w:firstLineChars="200"/>
        <w:rPr>
          <w:rFonts w:ascii="黑体" w:eastAsia="黑体" w:cs="Times New Roman"/>
          <w:bCs w:val="0"/>
          <w:color w:val="000000"/>
        </w:rPr>
      </w:pPr>
      <w:bookmarkStart w:id="84" w:name="_Toc17530"/>
      <w:r>
        <w:rPr>
          <w:rFonts w:hint="eastAsia" w:ascii="黑体" w:eastAsia="黑体" w:cs="Times New Roman"/>
          <w:bCs w:val="0"/>
          <w:color w:val="000000"/>
        </w:rPr>
        <w:t>五、财政拨款支出决算明细表</w:t>
      </w:r>
      <w:bookmarkEnd w:id="84"/>
    </w:p>
    <w:p>
      <w:pPr>
        <w:pStyle w:val="4"/>
        <w:ind w:firstLine="643" w:firstLineChars="200"/>
        <w:rPr>
          <w:rFonts w:ascii="黑体" w:eastAsia="黑体" w:cs="Times New Roman"/>
          <w:bCs w:val="0"/>
          <w:color w:val="000000"/>
        </w:rPr>
      </w:pPr>
      <w:bookmarkStart w:id="85" w:name="_Toc22032"/>
      <w:r>
        <w:rPr>
          <w:rFonts w:hint="eastAsia" w:ascii="黑体" w:eastAsia="黑体" w:cs="Times New Roman"/>
          <w:bCs w:val="0"/>
          <w:color w:val="000000"/>
        </w:rPr>
        <w:t>六、一般公共预算财政拨款支出决算表</w:t>
      </w:r>
      <w:bookmarkEnd w:id="85"/>
    </w:p>
    <w:p>
      <w:pPr>
        <w:pStyle w:val="4"/>
        <w:ind w:firstLine="643" w:firstLineChars="200"/>
        <w:rPr>
          <w:rFonts w:ascii="黑体" w:eastAsia="黑体" w:cs="Times New Roman"/>
          <w:bCs w:val="0"/>
          <w:color w:val="000000"/>
        </w:rPr>
      </w:pPr>
      <w:bookmarkStart w:id="86" w:name="_Toc3364"/>
      <w:r>
        <w:rPr>
          <w:rFonts w:hint="eastAsia" w:ascii="黑体" w:eastAsia="黑体" w:cs="Times New Roman"/>
          <w:bCs w:val="0"/>
          <w:color w:val="000000"/>
        </w:rPr>
        <w:t>七、一般公共预算财政拨款支出决算明细表</w:t>
      </w:r>
      <w:bookmarkEnd w:id="86"/>
    </w:p>
    <w:p>
      <w:pPr>
        <w:pStyle w:val="4"/>
        <w:ind w:firstLine="643" w:firstLineChars="200"/>
        <w:rPr>
          <w:rFonts w:ascii="黑体" w:eastAsia="黑体" w:cs="Times New Roman"/>
          <w:bCs w:val="0"/>
          <w:color w:val="000000"/>
        </w:rPr>
      </w:pPr>
      <w:bookmarkStart w:id="87" w:name="_Toc9110"/>
      <w:r>
        <w:rPr>
          <w:rFonts w:hint="eastAsia" w:ascii="黑体" w:eastAsia="黑体" w:cs="Times New Roman"/>
          <w:bCs w:val="0"/>
          <w:color w:val="000000"/>
        </w:rPr>
        <w:t>八、一般公共预算财政拨款基本支出决算表</w:t>
      </w:r>
      <w:bookmarkEnd w:id="87"/>
    </w:p>
    <w:p>
      <w:pPr>
        <w:pStyle w:val="4"/>
        <w:ind w:firstLine="643" w:firstLineChars="200"/>
        <w:rPr>
          <w:rFonts w:ascii="黑体" w:eastAsia="黑体" w:cs="Times New Roman"/>
          <w:bCs w:val="0"/>
          <w:color w:val="000000"/>
        </w:rPr>
      </w:pPr>
      <w:bookmarkStart w:id="88" w:name="_Toc28582"/>
      <w:r>
        <w:rPr>
          <w:rFonts w:hint="eastAsia" w:ascii="黑体" w:eastAsia="黑体" w:cs="Times New Roman"/>
          <w:bCs w:val="0"/>
          <w:color w:val="000000"/>
        </w:rPr>
        <w:t>九、一般公共预算财政拨款项目支出决算表</w:t>
      </w:r>
      <w:bookmarkEnd w:id="88"/>
    </w:p>
    <w:p>
      <w:pPr>
        <w:pStyle w:val="4"/>
        <w:ind w:firstLine="643" w:firstLineChars="200"/>
        <w:rPr>
          <w:rFonts w:ascii="黑体" w:eastAsia="黑体" w:cs="Times New Roman"/>
          <w:bCs w:val="0"/>
          <w:color w:val="000000"/>
        </w:rPr>
      </w:pPr>
      <w:bookmarkStart w:id="89" w:name="_Toc22001"/>
      <w:r>
        <w:rPr>
          <w:rFonts w:hint="eastAsia" w:ascii="黑体" w:eastAsia="黑体" w:cs="Times New Roman"/>
          <w:bCs w:val="0"/>
          <w:color w:val="000000"/>
        </w:rPr>
        <w:t>十、政府性基金预算财政拨款收入支出决算表</w:t>
      </w:r>
      <w:bookmarkEnd w:id="89"/>
    </w:p>
    <w:p>
      <w:pPr>
        <w:pStyle w:val="4"/>
        <w:ind w:firstLine="643" w:firstLineChars="200"/>
        <w:rPr>
          <w:rFonts w:ascii="黑体" w:eastAsia="黑体" w:cs="Times New Roman"/>
          <w:bCs w:val="0"/>
          <w:color w:val="000000"/>
        </w:rPr>
      </w:pPr>
      <w:bookmarkStart w:id="90" w:name="_Toc6538"/>
      <w:r>
        <w:rPr>
          <w:rFonts w:hint="eastAsia" w:ascii="黑体" w:eastAsia="黑体" w:cs="Times New Roman"/>
          <w:bCs w:val="0"/>
          <w:color w:val="000000"/>
        </w:rPr>
        <w:t>十一、国有资本经营预算财政拨款收入支出决算表</w:t>
      </w:r>
      <w:bookmarkEnd w:id="90"/>
    </w:p>
    <w:p>
      <w:pPr>
        <w:pStyle w:val="4"/>
        <w:ind w:firstLine="643" w:firstLineChars="200"/>
        <w:rPr>
          <w:rFonts w:ascii="黑体" w:eastAsia="黑体" w:cs="Times New Roman"/>
          <w:bCs w:val="0"/>
          <w:color w:val="000000"/>
        </w:rPr>
      </w:pPr>
      <w:bookmarkStart w:id="91" w:name="_Toc10625"/>
      <w:r>
        <w:rPr>
          <w:rFonts w:hint="eastAsia" w:ascii="黑体" w:eastAsia="黑体" w:cs="Times New Roman"/>
          <w:bCs w:val="0"/>
          <w:color w:val="000000"/>
        </w:rPr>
        <w:t>十二、国有资本经营预算财政拨款支出决算表</w:t>
      </w:r>
      <w:bookmarkEnd w:id="91"/>
    </w:p>
    <w:p>
      <w:pPr>
        <w:pStyle w:val="4"/>
        <w:ind w:firstLine="643" w:firstLineChars="200"/>
        <w:rPr>
          <w:rFonts w:ascii="黑体" w:eastAsia="黑体" w:cs="Times New Roman"/>
          <w:b w:val="0"/>
          <w:color w:val="000000"/>
        </w:rPr>
      </w:pPr>
      <w:bookmarkStart w:id="92" w:name="_Toc28356"/>
      <w:r>
        <w:rPr>
          <w:rFonts w:hint="eastAsia" w:ascii="黑体" w:eastAsia="黑体" w:cs="Times New Roman"/>
          <w:bCs w:val="0"/>
          <w:color w:val="000000"/>
        </w:rPr>
        <w:t>十三、财政拨款“三公”经费支出决算表</w:t>
      </w:r>
      <w:bookmarkEnd w:id="9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4"/>
          <w:jc w:val="center"/>
        </w:pPr>
        <w:r>
          <w:fldChar w:fldCharType="begin"/>
        </w:r>
        <w:r>
          <w:instrText xml:space="preserve">PAGE   \* MERGEFORMAT</w:instrText>
        </w:r>
        <w:r>
          <w:fldChar w:fldCharType="separate"/>
        </w:r>
        <w:r>
          <w:rPr>
            <w:lang w:val="zh-CN"/>
          </w:rPr>
          <w:t>4</w:t>
        </w:r>
        <w:r>
          <w:fldChar w:fldCharType="end"/>
        </w:r>
      </w:p>
    </w:sdtContent>
  </w:sdt>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2"/>
      <w:numFmt w:val="chineseCounting"/>
      <w:suff w:val="nothing"/>
      <w:lvlText w:val="（%1）"/>
      <w:lvlJc w:val="left"/>
      <w:rPr>
        <w:rFonts w:hint="eastAsia"/>
      </w:rPr>
    </w:lvl>
  </w:abstractNum>
  <w:abstractNum w:abstractNumId="1">
    <w:nsid w:val="0053208E"/>
    <w:multiLevelType w:val="singleLevel"/>
    <w:tmpl w:val="0053208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0Nzg3YTJhM2Q4NGFlOTIzYzA3NzkwMDEyZjNlNm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7A757D"/>
    <w:rsid w:val="03F359AA"/>
    <w:rsid w:val="045647CC"/>
    <w:rsid w:val="0463543B"/>
    <w:rsid w:val="048D6B52"/>
    <w:rsid w:val="04A56E6E"/>
    <w:rsid w:val="04D550AF"/>
    <w:rsid w:val="051A6F96"/>
    <w:rsid w:val="05C25E8C"/>
    <w:rsid w:val="06951176"/>
    <w:rsid w:val="07001BE1"/>
    <w:rsid w:val="07267DE7"/>
    <w:rsid w:val="073E1733"/>
    <w:rsid w:val="088F55D5"/>
    <w:rsid w:val="089C4B49"/>
    <w:rsid w:val="09081517"/>
    <w:rsid w:val="091B747D"/>
    <w:rsid w:val="09A572B6"/>
    <w:rsid w:val="0A19737C"/>
    <w:rsid w:val="0B7218AA"/>
    <w:rsid w:val="0B99373B"/>
    <w:rsid w:val="0BA37CB5"/>
    <w:rsid w:val="0D0429D6"/>
    <w:rsid w:val="0D093B48"/>
    <w:rsid w:val="0D322E51"/>
    <w:rsid w:val="0D6C338E"/>
    <w:rsid w:val="0DB37F58"/>
    <w:rsid w:val="0E6D2010"/>
    <w:rsid w:val="0F5E6610"/>
    <w:rsid w:val="0FB52B86"/>
    <w:rsid w:val="0FDB629D"/>
    <w:rsid w:val="10C055FF"/>
    <w:rsid w:val="11761AF6"/>
    <w:rsid w:val="11851C0B"/>
    <w:rsid w:val="11D56DF6"/>
    <w:rsid w:val="11ED6591"/>
    <w:rsid w:val="13367661"/>
    <w:rsid w:val="14D728AA"/>
    <w:rsid w:val="15F1786F"/>
    <w:rsid w:val="16157184"/>
    <w:rsid w:val="16BB723D"/>
    <w:rsid w:val="17283764"/>
    <w:rsid w:val="17BC7656"/>
    <w:rsid w:val="17EA348C"/>
    <w:rsid w:val="1840212F"/>
    <w:rsid w:val="184656CF"/>
    <w:rsid w:val="193C261A"/>
    <w:rsid w:val="19943114"/>
    <w:rsid w:val="19DE22C0"/>
    <w:rsid w:val="1AB026BC"/>
    <w:rsid w:val="1ABB32B6"/>
    <w:rsid w:val="1BF70747"/>
    <w:rsid w:val="1C06153F"/>
    <w:rsid w:val="1C986C96"/>
    <w:rsid w:val="1D7371C3"/>
    <w:rsid w:val="1DDC2BB3"/>
    <w:rsid w:val="1E34479D"/>
    <w:rsid w:val="1EF81F78"/>
    <w:rsid w:val="1F620905"/>
    <w:rsid w:val="201A6AB0"/>
    <w:rsid w:val="203B66A0"/>
    <w:rsid w:val="211A679A"/>
    <w:rsid w:val="22857975"/>
    <w:rsid w:val="23902475"/>
    <w:rsid w:val="23FA0B3C"/>
    <w:rsid w:val="240371BF"/>
    <w:rsid w:val="2435534E"/>
    <w:rsid w:val="24534F10"/>
    <w:rsid w:val="24DF6C66"/>
    <w:rsid w:val="253D03DB"/>
    <w:rsid w:val="253F66D1"/>
    <w:rsid w:val="25A20B86"/>
    <w:rsid w:val="25B1070F"/>
    <w:rsid w:val="25DD571A"/>
    <w:rsid w:val="265C1D1F"/>
    <w:rsid w:val="26BB36DB"/>
    <w:rsid w:val="271C5A93"/>
    <w:rsid w:val="276F1834"/>
    <w:rsid w:val="27B459F9"/>
    <w:rsid w:val="27C51E91"/>
    <w:rsid w:val="28513369"/>
    <w:rsid w:val="28BF6D42"/>
    <w:rsid w:val="28C822A0"/>
    <w:rsid w:val="29FD04D3"/>
    <w:rsid w:val="2C1E1BB4"/>
    <w:rsid w:val="2CAE1BBE"/>
    <w:rsid w:val="2CCF04B2"/>
    <w:rsid w:val="2DF079DB"/>
    <w:rsid w:val="2E4C04E0"/>
    <w:rsid w:val="2F803D16"/>
    <w:rsid w:val="30BC6FA0"/>
    <w:rsid w:val="30CB71E3"/>
    <w:rsid w:val="30E36C85"/>
    <w:rsid w:val="31810DA9"/>
    <w:rsid w:val="31903F88"/>
    <w:rsid w:val="319F7F4E"/>
    <w:rsid w:val="32004B5E"/>
    <w:rsid w:val="323A1C2F"/>
    <w:rsid w:val="329448A6"/>
    <w:rsid w:val="32F45598"/>
    <w:rsid w:val="33204932"/>
    <w:rsid w:val="33447C07"/>
    <w:rsid w:val="35244754"/>
    <w:rsid w:val="364D41F6"/>
    <w:rsid w:val="36FD0156"/>
    <w:rsid w:val="38207F4E"/>
    <w:rsid w:val="38F8371D"/>
    <w:rsid w:val="39226F5F"/>
    <w:rsid w:val="39902098"/>
    <w:rsid w:val="3A3A0F35"/>
    <w:rsid w:val="3A4E1148"/>
    <w:rsid w:val="3AF15A98"/>
    <w:rsid w:val="3C8D2F9D"/>
    <w:rsid w:val="3CE0510E"/>
    <w:rsid w:val="3D0E3B71"/>
    <w:rsid w:val="3D1927CA"/>
    <w:rsid w:val="3D1E4B3E"/>
    <w:rsid w:val="3D8344ED"/>
    <w:rsid w:val="3E03620E"/>
    <w:rsid w:val="3E343C22"/>
    <w:rsid w:val="3F512FA9"/>
    <w:rsid w:val="3FAC4683"/>
    <w:rsid w:val="3FEA5DFB"/>
    <w:rsid w:val="401C35B7"/>
    <w:rsid w:val="4119235A"/>
    <w:rsid w:val="41677310"/>
    <w:rsid w:val="422C2C46"/>
    <w:rsid w:val="4251506E"/>
    <w:rsid w:val="42B75819"/>
    <w:rsid w:val="43684120"/>
    <w:rsid w:val="444F07DA"/>
    <w:rsid w:val="44601E28"/>
    <w:rsid w:val="465F3E3E"/>
    <w:rsid w:val="475E72DC"/>
    <w:rsid w:val="47F514AF"/>
    <w:rsid w:val="4839282C"/>
    <w:rsid w:val="48FD75BD"/>
    <w:rsid w:val="4A745623"/>
    <w:rsid w:val="4B187071"/>
    <w:rsid w:val="4C7555EC"/>
    <w:rsid w:val="4D135D42"/>
    <w:rsid w:val="4D846266"/>
    <w:rsid w:val="4D8D78A2"/>
    <w:rsid w:val="4DF123A8"/>
    <w:rsid w:val="4E832A53"/>
    <w:rsid w:val="4EBC1A30"/>
    <w:rsid w:val="4F6F7A34"/>
    <w:rsid w:val="4FBC392B"/>
    <w:rsid w:val="4FD74194"/>
    <w:rsid w:val="4FDA49F5"/>
    <w:rsid w:val="50AE413E"/>
    <w:rsid w:val="51E1640E"/>
    <w:rsid w:val="51EE42CA"/>
    <w:rsid w:val="52302EF2"/>
    <w:rsid w:val="52ED6284"/>
    <w:rsid w:val="5322283B"/>
    <w:rsid w:val="532B0C13"/>
    <w:rsid w:val="53BA6F17"/>
    <w:rsid w:val="53BE2B80"/>
    <w:rsid w:val="541505F1"/>
    <w:rsid w:val="54992FD0"/>
    <w:rsid w:val="55872E29"/>
    <w:rsid w:val="56D0674C"/>
    <w:rsid w:val="57D23F06"/>
    <w:rsid w:val="58BA52C3"/>
    <w:rsid w:val="58BC5D23"/>
    <w:rsid w:val="59E11CD3"/>
    <w:rsid w:val="5A857BDE"/>
    <w:rsid w:val="5B2A4567"/>
    <w:rsid w:val="5BE202EA"/>
    <w:rsid w:val="5CFA7F1D"/>
    <w:rsid w:val="5E2506F8"/>
    <w:rsid w:val="5E5E7F75"/>
    <w:rsid w:val="5EA316D6"/>
    <w:rsid w:val="5ECE1AC8"/>
    <w:rsid w:val="5F3A07D2"/>
    <w:rsid w:val="5F593A88"/>
    <w:rsid w:val="5FF901AE"/>
    <w:rsid w:val="60651EAC"/>
    <w:rsid w:val="60BB3927"/>
    <w:rsid w:val="62A42EE2"/>
    <w:rsid w:val="62F14F12"/>
    <w:rsid w:val="630D013F"/>
    <w:rsid w:val="63347FC4"/>
    <w:rsid w:val="63604CB9"/>
    <w:rsid w:val="64A36D0B"/>
    <w:rsid w:val="64C656C1"/>
    <w:rsid w:val="64F77166"/>
    <w:rsid w:val="657F4183"/>
    <w:rsid w:val="658466A7"/>
    <w:rsid w:val="6596487B"/>
    <w:rsid w:val="65DF63C9"/>
    <w:rsid w:val="662A7F2C"/>
    <w:rsid w:val="66D65FFA"/>
    <w:rsid w:val="67EB36EB"/>
    <w:rsid w:val="68DA2DB6"/>
    <w:rsid w:val="69725134"/>
    <w:rsid w:val="6B4666B6"/>
    <w:rsid w:val="6CC85DA9"/>
    <w:rsid w:val="6D2A5F93"/>
    <w:rsid w:val="6D8F2D6B"/>
    <w:rsid w:val="6DB91990"/>
    <w:rsid w:val="6DC31436"/>
    <w:rsid w:val="6E6F4E2B"/>
    <w:rsid w:val="6ECB49CF"/>
    <w:rsid w:val="6ECB5A2B"/>
    <w:rsid w:val="6F806E0F"/>
    <w:rsid w:val="70202A42"/>
    <w:rsid w:val="70ED3F4C"/>
    <w:rsid w:val="72227D09"/>
    <w:rsid w:val="72E476B5"/>
    <w:rsid w:val="72F22338"/>
    <w:rsid w:val="73BE3A62"/>
    <w:rsid w:val="746C7E4B"/>
    <w:rsid w:val="750E6C6B"/>
    <w:rsid w:val="755E374E"/>
    <w:rsid w:val="75B310E7"/>
    <w:rsid w:val="75B318F4"/>
    <w:rsid w:val="76377F56"/>
    <w:rsid w:val="764B35A7"/>
    <w:rsid w:val="769E6A57"/>
    <w:rsid w:val="77B238DE"/>
    <w:rsid w:val="78A4106B"/>
    <w:rsid w:val="79975481"/>
    <w:rsid w:val="79F60BE5"/>
    <w:rsid w:val="7A0762BD"/>
    <w:rsid w:val="7A1B4027"/>
    <w:rsid w:val="7A965738"/>
    <w:rsid w:val="7ABC1C9C"/>
    <w:rsid w:val="7B022DCE"/>
    <w:rsid w:val="7B272834"/>
    <w:rsid w:val="7B8F71DF"/>
    <w:rsid w:val="7C1568F9"/>
    <w:rsid w:val="7CB2612E"/>
    <w:rsid w:val="7CC25607"/>
    <w:rsid w:val="7DE859ED"/>
    <w:rsid w:val="7E4C610E"/>
    <w:rsid w:val="7F09108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Unicode MS"/>
      <w:kern w:val="2"/>
      <w:sz w:val="21"/>
      <w:szCs w:val="24"/>
      <w:lang w:val="en-US" w:eastAsia="zh-CN" w:bidi="bo-CN"/>
    </w:rPr>
  </w:style>
  <w:style w:type="paragraph" w:styleId="3">
    <w:name w:val="heading 1"/>
    <w:basedOn w:val="1"/>
    <w:next w:val="1"/>
    <w:link w:val="40"/>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6"/>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1"/>
    <w:autoRedefine/>
    <w:unhideWhenUsed/>
    <w:qFormat/>
    <w:uiPriority w:val="9"/>
    <w:pPr>
      <w:keepNext/>
      <w:keepLines/>
      <w:spacing w:before="260" w:after="260" w:line="416" w:lineRule="auto"/>
      <w:outlineLvl w:val="2"/>
    </w:pPr>
    <w:rPr>
      <w:b/>
      <w:bCs/>
      <w:sz w:val="32"/>
      <w:szCs w:val="32"/>
    </w:rPr>
  </w:style>
  <w:style w:type="character" w:default="1" w:styleId="22">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 Text Indent 2_2f75ddf9-7586-465d-b894-cacca03ef0a7"/>
    <w:basedOn w:val="1"/>
    <w:qFormat/>
    <w:uiPriority w:val="0"/>
    <w:pPr>
      <w:spacing w:line="19997" w:lineRule="auto"/>
      <w:ind w:left="420" w:leftChars="200"/>
    </w:pPr>
  </w:style>
  <w:style w:type="paragraph" w:styleId="6">
    <w:name w:val="Normal Indent"/>
    <w:basedOn w:val="1"/>
    <w:autoRedefine/>
    <w:unhideWhenUsed/>
    <w:qFormat/>
    <w:uiPriority w:val="99"/>
    <w:pPr>
      <w:ind w:firstLine="680"/>
    </w:pPr>
  </w:style>
  <w:style w:type="paragraph" w:styleId="7">
    <w:name w:val="annotation text"/>
    <w:basedOn w:val="1"/>
    <w:link w:val="43"/>
    <w:autoRedefine/>
    <w:semiHidden/>
    <w:unhideWhenUsed/>
    <w:qFormat/>
    <w:uiPriority w:val="99"/>
    <w:pPr>
      <w:jc w:val="left"/>
    </w:pPr>
  </w:style>
  <w:style w:type="paragraph" w:styleId="8">
    <w:name w:val="Salutation"/>
    <w:basedOn w:val="1"/>
    <w:next w:val="1"/>
    <w:autoRedefine/>
    <w:semiHidden/>
    <w:unhideWhenUsed/>
    <w:qFormat/>
    <w:uiPriority w:val="99"/>
  </w:style>
  <w:style w:type="paragraph" w:styleId="9">
    <w:name w:val="Body Text"/>
    <w:basedOn w:val="1"/>
    <w:link w:val="42"/>
    <w:autoRedefine/>
    <w:qFormat/>
    <w:uiPriority w:val="0"/>
  </w:style>
  <w:style w:type="paragraph" w:styleId="10">
    <w:name w:val="Body Text Indent"/>
    <w:basedOn w:val="1"/>
    <w:autoRedefine/>
    <w:qFormat/>
    <w:uiPriority w:val="0"/>
    <w:pPr>
      <w:tabs>
        <w:tab w:val="left" w:pos="960"/>
      </w:tabs>
      <w:spacing w:line="540" w:lineRule="exact"/>
      <w:ind w:firstLine="5440" w:firstLineChars="1700"/>
    </w:pPr>
    <w:rPr>
      <w:sz w:val="32"/>
      <w:szCs w:val="32"/>
    </w:rPr>
  </w:style>
  <w:style w:type="paragraph" w:styleId="11">
    <w:name w:val="toc 3"/>
    <w:basedOn w:val="1"/>
    <w:next w:val="1"/>
    <w:autoRedefine/>
    <w:unhideWhenUsed/>
    <w:qFormat/>
    <w:uiPriority w:val="39"/>
    <w:pPr>
      <w:tabs>
        <w:tab w:val="right" w:leader="dot" w:pos="8296"/>
      </w:tabs>
      <w:ind w:left="840" w:leftChars="400"/>
    </w:pPr>
  </w:style>
  <w:style w:type="paragraph" w:styleId="12">
    <w:name w:val="Date"/>
    <w:basedOn w:val="1"/>
    <w:next w:val="1"/>
    <w:autoRedefine/>
    <w:semiHidden/>
    <w:unhideWhenUsed/>
    <w:qFormat/>
    <w:uiPriority w:val="99"/>
    <w:pPr>
      <w:ind w:left="100" w:leftChars="2500"/>
    </w:pPr>
  </w:style>
  <w:style w:type="paragraph" w:styleId="13">
    <w:name w:val="Balloon Text"/>
    <w:basedOn w:val="1"/>
    <w:link w:val="38"/>
    <w:autoRedefine/>
    <w:semiHidden/>
    <w:unhideWhenUsed/>
    <w:qFormat/>
    <w:uiPriority w:val="99"/>
    <w:rPr>
      <w:sz w:val="18"/>
      <w:szCs w:val="18"/>
    </w:rPr>
  </w:style>
  <w:style w:type="paragraph" w:styleId="14">
    <w:name w:val="footer"/>
    <w:basedOn w:val="1"/>
    <w:link w:val="31"/>
    <w:autoRedefine/>
    <w:unhideWhenUsed/>
    <w:qFormat/>
    <w:uiPriority w:val="99"/>
    <w:pPr>
      <w:tabs>
        <w:tab w:val="center" w:pos="4153"/>
        <w:tab w:val="right" w:pos="8306"/>
      </w:tabs>
      <w:snapToGrid w:val="0"/>
      <w:jc w:val="left"/>
    </w:pPr>
    <w:rPr>
      <w:sz w:val="18"/>
      <w:szCs w:val="26"/>
    </w:rPr>
  </w:style>
  <w:style w:type="paragraph" w:styleId="15">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26"/>
    </w:rPr>
  </w:style>
  <w:style w:type="paragraph" w:styleId="16">
    <w:name w:val="toc 1"/>
    <w:basedOn w:val="1"/>
    <w:next w:val="1"/>
    <w:autoRedefine/>
    <w:unhideWhenUsed/>
    <w:qFormat/>
    <w:uiPriority w:val="39"/>
    <w:pPr>
      <w:tabs>
        <w:tab w:val="right" w:leader="dot" w:pos="8296"/>
      </w:tabs>
      <w:spacing w:before="93"/>
      <w:jc w:val="center"/>
    </w:pPr>
    <w:rPr>
      <w:rFonts w:ascii="仿宋" w:hAnsi="仿宋" w:eastAsia="仿宋"/>
      <w:sz w:val="28"/>
      <w:szCs w:val="28"/>
    </w:rPr>
  </w:style>
  <w:style w:type="paragraph" w:styleId="17">
    <w:name w:val="table of figures"/>
    <w:basedOn w:val="1"/>
    <w:next w:val="1"/>
    <w:autoRedefine/>
    <w:qFormat/>
    <w:uiPriority w:val="0"/>
    <w:pPr>
      <w:ind w:left="200" w:leftChars="200" w:hanging="200" w:hangingChars="200"/>
    </w:pPr>
  </w:style>
  <w:style w:type="paragraph" w:styleId="18">
    <w:name w:val="toc 2"/>
    <w:basedOn w:val="1"/>
    <w:next w:val="1"/>
    <w:autoRedefine/>
    <w:unhideWhenUsed/>
    <w:qFormat/>
    <w:uiPriority w:val="39"/>
    <w:pPr>
      <w:tabs>
        <w:tab w:val="right" w:leader="dot" w:pos="8296"/>
      </w:tabs>
      <w:ind w:left="420" w:leftChars="200"/>
    </w:pPr>
  </w:style>
  <w:style w:type="paragraph" w:styleId="19">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20">
    <w:name w:val="Body Text First Indent 2"/>
    <w:basedOn w:val="10"/>
    <w:autoRedefine/>
    <w:qFormat/>
    <w:uiPriority w:val="0"/>
    <w:pPr>
      <w:ind w:firstLine="420" w:firstLineChars="200"/>
    </w:pPr>
  </w:style>
  <w:style w:type="character" w:styleId="23">
    <w:name w:val="Strong"/>
    <w:basedOn w:val="22"/>
    <w:autoRedefine/>
    <w:qFormat/>
    <w:uiPriority w:val="99"/>
    <w:rPr>
      <w:b/>
    </w:rPr>
  </w:style>
  <w:style w:type="character" w:styleId="24">
    <w:name w:val="page number"/>
    <w:basedOn w:val="22"/>
    <w:autoRedefine/>
    <w:qFormat/>
    <w:uiPriority w:val="0"/>
  </w:style>
  <w:style w:type="character" w:styleId="25">
    <w:name w:val="Hyperlink"/>
    <w:basedOn w:val="22"/>
    <w:autoRedefine/>
    <w:unhideWhenUsed/>
    <w:qFormat/>
    <w:uiPriority w:val="99"/>
    <w:rPr>
      <w:color w:val="0000FF" w:themeColor="hyperlink"/>
      <w:u w:val="single"/>
      <w14:textFill>
        <w14:solidFill>
          <w14:schemeClr w14:val="hlink"/>
        </w14:solidFill>
      </w14:textFill>
    </w:rPr>
  </w:style>
  <w:style w:type="character" w:styleId="26">
    <w:name w:val="annotation reference"/>
    <w:basedOn w:val="22"/>
    <w:autoRedefine/>
    <w:semiHidden/>
    <w:unhideWhenUsed/>
    <w:qFormat/>
    <w:uiPriority w:val="99"/>
    <w:rPr>
      <w:sz w:val="21"/>
      <w:szCs w:val="21"/>
    </w:rPr>
  </w:style>
  <w:style w:type="paragraph" w:customStyle="1" w:styleId="27">
    <w:name w:val="Default"/>
    <w:autoRedefine/>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8">
    <w:name w:val="Header Char"/>
    <w:basedOn w:val="22"/>
    <w:autoRedefine/>
    <w:semiHidden/>
    <w:qFormat/>
    <w:uiPriority w:val="99"/>
    <w:rPr>
      <w:rFonts w:ascii="Times New Roman" w:hAnsi="Times New Roman"/>
      <w:sz w:val="18"/>
      <w:szCs w:val="18"/>
    </w:rPr>
  </w:style>
  <w:style w:type="character" w:customStyle="1" w:styleId="29">
    <w:name w:val="页眉 字符"/>
    <w:link w:val="15"/>
    <w:autoRedefine/>
    <w:semiHidden/>
    <w:qFormat/>
    <w:locked/>
    <w:uiPriority w:val="99"/>
    <w:rPr>
      <w:sz w:val="18"/>
    </w:rPr>
  </w:style>
  <w:style w:type="character" w:customStyle="1" w:styleId="30">
    <w:name w:val="Footer Char"/>
    <w:basedOn w:val="22"/>
    <w:autoRedefine/>
    <w:semiHidden/>
    <w:qFormat/>
    <w:uiPriority w:val="99"/>
    <w:rPr>
      <w:rFonts w:ascii="Times New Roman" w:hAnsi="Times New Roman"/>
      <w:sz w:val="18"/>
      <w:szCs w:val="18"/>
    </w:rPr>
  </w:style>
  <w:style w:type="character" w:customStyle="1" w:styleId="31">
    <w:name w:val="页脚 字符"/>
    <w:link w:val="14"/>
    <w:autoRedefine/>
    <w:qFormat/>
    <w:locked/>
    <w:uiPriority w:val="99"/>
    <w:rPr>
      <w:sz w:val="18"/>
    </w:rPr>
  </w:style>
  <w:style w:type="character" w:customStyle="1" w:styleId="32">
    <w:name w:val="Body Text Char"/>
    <w:basedOn w:val="22"/>
    <w:autoRedefine/>
    <w:semiHidden/>
    <w:qFormat/>
    <w:uiPriority w:val="99"/>
    <w:rPr>
      <w:rFonts w:ascii="Times New Roman" w:hAnsi="Times New Roman"/>
      <w:szCs w:val="24"/>
    </w:rPr>
  </w:style>
  <w:style w:type="character" w:customStyle="1" w:styleId="33">
    <w:name w:val="正文文本 字符"/>
    <w:link w:val="9"/>
    <w:autoRedefine/>
    <w:qFormat/>
    <w:locked/>
    <w:uiPriority w:val="99"/>
    <w:rPr>
      <w:rFonts w:ascii="仿宋_GB2312" w:hAnsi="Times New Roman" w:eastAsia="仿宋_GB2312"/>
      <w:sz w:val="24"/>
    </w:rPr>
  </w:style>
  <w:style w:type="paragraph" w:styleId="34">
    <w:name w:val="List Paragraph"/>
    <w:basedOn w:val="1"/>
    <w:autoRedefine/>
    <w:qFormat/>
    <w:uiPriority w:val="34"/>
    <w:pPr>
      <w:ind w:firstLine="420" w:firstLineChars="200"/>
    </w:pPr>
  </w:style>
  <w:style w:type="character" w:customStyle="1" w:styleId="35">
    <w:name w:val="标题 1 字符"/>
    <w:basedOn w:val="22"/>
    <w:link w:val="3"/>
    <w:autoRedefine/>
    <w:qFormat/>
    <w:uiPriority w:val="9"/>
    <w:rPr>
      <w:rFonts w:ascii="Times New Roman" w:hAnsi="Times New Roman"/>
      <w:b/>
      <w:bCs/>
      <w:kern w:val="44"/>
      <w:sz w:val="44"/>
      <w:szCs w:val="44"/>
    </w:rPr>
  </w:style>
  <w:style w:type="character" w:customStyle="1" w:styleId="36">
    <w:name w:val="标题 2 字符"/>
    <w:basedOn w:val="22"/>
    <w:link w:val="4"/>
    <w:autoRedefine/>
    <w:qFormat/>
    <w:uiPriority w:val="9"/>
    <w:rPr>
      <w:rFonts w:asciiTheme="majorHAnsi" w:hAnsiTheme="majorHAnsi" w:eastAsiaTheme="majorEastAsia" w:cstheme="majorBidi"/>
      <w:b/>
      <w:bCs/>
      <w:kern w:val="2"/>
      <w:sz w:val="32"/>
      <w:szCs w:val="32"/>
    </w:rPr>
  </w:style>
  <w:style w:type="paragraph" w:customStyle="1" w:styleId="37">
    <w:name w:val="TOC 标题1"/>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8">
    <w:name w:val="批注框文本 字符"/>
    <w:basedOn w:val="22"/>
    <w:link w:val="13"/>
    <w:autoRedefine/>
    <w:semiHidden/>
    <w:qFormat/>
    <w:uiPriority w:val="99"/>
    <w:rPr>
      <w:rFonts w:ascii="Times New Roman" w:hAnsi="Times New Roman"/>
      <w:kern w:val="2"/>
      <w:sz w:val="18"/>
      <w:szCs w:val="18"/>
    </w:rPr>
  </w:style>
  <w:style w:type="character" w:customStyle="1" w:styleId="39">
    <w:name w:val="标题 3 字符"/>
    <w:basedOn w:val="22"/>
    <w:link w:val="5"/>
    <w:autoRedefine/>
    <w:qFormat/>
    <w:uiPriority w:val="9"/>
    <w:rPr>
      <w:rFonts w:ascii="Times New Roman" w:hAnsi="Times New Roman"/>
      <w:b/>
      <w:bCs/>
      <w:kern w:val="2"/>
      <w:sz w:val="32"/>
      <w:szCs w:val="32"/>
    </w:rPr>
  </w:style>
  <w:style w:type="character" w:customStyle="1" w:styleId="40">
    <w:name w:val="称呼 Char"/>
    <w:basedOn w:val="22"/>
    <w:link w:val="3"/>
    <w:autoRedefine/>
    <w:semiHidden/>
    <w:qFormat/>
    <w:uiPriority w:val="99"/>
    <w:rPr>
      <w:rFonts w:ascii="Calibri" w:hAnsi="Calibri" w:eastAsia="宋体" w:cs="Arial Unicode MS"/>
      <w:szCs w:val="24"/>
      <w:lang w:bidi="bo-CN"/>
    </w:rPr>
  </w:style>
  <w:style w:type="character" w:customStyle="1" w:styleId="41">
    <w:name w:val="日期 Char"/>
    <w:basedOn w:val="22"/>
    <w:link w:val="5"/>
    <w:autoRedefine/>
    <w:semiHidden/>
    <w:qFormat/>
    <w:uiPriority w:val="99"/>
    <w:rPr>
      <w:rFonts w:ascii="Calibri" w:hAnsi="Calibri" w:eastAsia="宋体" w:cs="Arial Unicode MS"/>
      <w:szCs w:val="24"/>
      <w:lang w:bidi="bo-CN"/>
    </w:rPr>
  </w:style>
  <w:style w:type="character" w:customStyle="1" w:styleId="42">
    <w:name w:val="页眉 Char"/>
    <w:basedOn w:val="22"/>
    <w:link w:val="9"/>
    <w:autoRedefine/>
    <w:qFormat/>
    <w:uiPriority w:val="99"/>
    <w:rPr>
      <w:rFonts w:ascii="Calibri" w:hAnsi="Calibri" w:eastAsia="宋体" w:cs="Arial Unicode MS"/>
      <w:sz w:val="18"/>
      <w:szCs w:val="26"/>
      <w:lang w:bidi="bo-CN"/>
    </w:rPr>
  </w:style>
  <w:style w:type="character" w:customStyle="1" w:styleId="43">
    <w:name w:val="页脚 Char"/>
    <w:basedOn w:val="22"/>
    <w:link w:val="7"/>
    <w:autoRedefine/>
    <w:qFormat/>
    <w:uiPriority w:val="99"/>
    <w:rPr>
      <w:rFonts w:ascii="Calibri" w:hAnsi="Calibri" w:eastAsia="宋体" w:cs="Arial Unicode MS"/>
      <w:sz w:val="18"/>
      <w:szCs w:val="26"/>
      <w:lang w:bidi="bo-CN"/>
    </w:rPr>
  </w:style>
  <w:style w:type="paragraph" w:customStyle="1" w:styleId="44">
    <w:name w:val="p0"/>
    <w:basedOn w:val="1"/>
    <w:autoRedefine/>
    <w:qFormat/>
    <w:uiPriority w:val="0"/>
    <w:pPr>
      <w:widowControl/>
      <w:jc w:val="left"/>
    </w:pPr>
    <w:rPr>
      <w:rFonts w:ascii="Times New Roman" w:hAnsi="Times New Roman"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{"2022","2023"}</c:f>
              <c:numCache>
                <c:formatCode>General</c:formatCode>
                <c:ptCount val="2"/>
                <c:pt idx="0">
                  <c:v>2022</c:v>
                </c:pt>
                <c:pt idx="1">
                  <c:v>2023</c:v>
                </c:pt>
              </c:numCache>
            </c:numRef>
          </c:cat>
          <c:val>
            <c:numRef>
              <c:f>{950.6,809.25}</c:f>
              <c:numCache>
                <c:formatCode>General</c:formatCode>
                <c:ptCount val="2"/>
                <c:pt idx="0">
                  <c:v>950.6</c:v>
                </c:pt>
                <c:pt idx="1">
                  <c:v>809.25</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{"2022","2023"}</c:f>
              <c:numCache>
                <c:formatCode>General</c:formatCode>
                <c:ptCount val="2"/>
                <c:pt idx="0">
                  <c:v>2022</c:v>
                </c:pt>
                <c:pt idx="1">
                  <c:v>2023</c:v>
                </c:pt>
              </c:numCache>
            </c:numRef>
          </c:cat>
          <c:val>
            <c:numRef>
              <c:f>{950.6,809.25}</c:f>
              <c:numCache>
                <c:formatCode>General</c:formatCode>
                <c:ptCount val="2"/>
                <c:pt idx="0">
                  <c:v>950.6</c:v>
                </c:pt>
                <c:pt idx="1">
                  <c:v>809.25</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{950.6}</c:f>
              <c:numCache>
                <c:formatCode>General</c:formatCode>
                <c:ptCount val="1"/>
                <c:pt idx="0">
                  <c:v>950.6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{362.85,446.4}</c:f>
              <c:numCache>
                <c:formatCode>General</c:formatCode>
                <c:ptCount val="2"/>
                <c:pt idx="0">
                  <c:v>362.85</c:v>
                </c:pt>
                <c:pt idx="1">
                  <c:v>446.4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{"2022","2023"}</c:f>
              <c:numCache>
                <c:formatCode>General</c:formatCode>
                <c:ptCount val="2"/>
                <c:pt idx="0">
                  <c:v>2022</c:v>
                </c:pt>
                <c:pt idx="1">
                  <c:v>2023</c:v>
                </c:pt>
              </c:numCache>
            </c:numRef>
          </c:cat>
          <c:val>
            <c:numRef>
              <c:f>{950.6,809.25}</c:f>
              <c:numCache>
                <c:formatCode>General</c:formatCode>
                <c:ptCount val="2"/>
                <c:pt idx="0">
                  <c:v>950.6</c:v>
                </c:pt>
                <c:pt idx="1">
                  <c:v>809.25</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{"2022","2023"}</c:f>
              <c:numCache>
                <c:formatCode>General</c:formatCode>
                <c:ptCount val="2"/>
                <c:pt idx="0">
                  <c:v>2022</c:v>
                </c:pt>
                <c:pt idx="1">
                  <c:v>2023</c:v>
                </c:pt>
              </c:numCache>
            </c:numRef>
          </c:cat>
          <c:val>
            <c:numRef>
              <c:f>{950.6,809.25}</c:f>
              <c:numCache>
                <c:formatCode>General</c:formatCode>
                <c:ptCount val="2"/>
                <c:pt idx="0">
                  <c:v>950.6</c:v>
                </c:pt>
                <c:pt idx="1">
                  <c:v>809.25</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{950.6}</c:f>
              <c:numCache>
                <c:formatCode>General</c:formatCode>
                <c:ptCount val="1"/>
                <c:pt idx="0">
                  <c:v>950.6</c:v>
                </c:pt>
              </c:numCache>
            </c:numRef>
          </c:val>
        </c:ser>
        <c:ser>
          <c:idx val="2"/>
          <c:order val="1"/>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{809.25}</c:f>
              <c:numCache>
                <c:formatCode>General</c:formatCode>
                <c:ptCount val="1"/>
                <c:pt idx="0">
                  <c:v>809.25</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2023年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0492481216135493"/>
                  <c:y val="0.025835899473686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92173988312722"/>
                  <c:y val="0.020528382374426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49333972689862"/>
                  <c:y val="0.024923364850175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住房保障支出</c:v>
                </c:pt>
                <c:pt idx="4">
                  <c:v>文化旅游体育与传媒</c:v>
                </c:pt>
              </c:strCache>
            </c:strRef>
          </c:cat>
          <c:val>
            <c:numRef>
              <c:f>Sheet1!$B$2:$B$6</c:f>
              <c:numCache>
                <c:formatCode>General</c:formatCode>
                <c:ptCount val="5"/>
                <c:pt idx="0">
                  <c:v>630.93</c:v>
                </c:pt>
                <c:pt idx="1">
                  <c:v>33.72</c:v>
                </c:pt>
                <c:pt idx="2">
                  <c:v>14.12</c:v>
                </c:pt>
                <c:pt idx="3">
                  <c:v>17.32</c:v>
                </c:pt>
                <c:pt idx="4">
                  <c:v>113.16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1145966709347"/>
          <c:y val="0.87012824013924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{0,7.22,179.77}</c:f>
              <c:numCache>
                <c:formatCode>General</c:formatCode>
                <c:ptCount val="3"/>
                <c:pt idx="0">
                  <c:v>0</c:v>
                </c:pt>
                <c:pt idx="1">
                  <c:v>7.22</c:v>
                </c:pt>
                <c:pt idx="2">
                  <c:v>179.77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15</Pages>
  <Words>1030</Words>
  <Characters>5875</Characters>
  <Lines>48</Lines>
  <Paragraphs>13</Paragraphs>
  <TotalTime>3</TotalTime>
  <ScaleCrop>false</ScaleCrop>
  <LinksUpToDate>false</LinksUpToDate>
  <CharactersWithSpaces>6892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cp:lastModifiedBy>
  <cp:lastPrinted>2021-09-26T08:39:00Z</cp:lastPrinted>
  <dcterms:modified xsi:type="dcterms:W3CDTF">2024-11-11T03:42:50Z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B93CA6F4BEAD4F359769D1203595D585</vt:lpwstr>
  </property>
</Properties>
</file>