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sz w:val="32"/>
          <w:szCs w:val="32"/>
        </w:rPr>
      </w:pPr>
    </w:p>
    <w:p>
      <w:pPr>
        <w:spacing w:line="560" w:lineRule="exact"/>
        <w:jc w:val="center"/>
        <w:rPr>
          <w:rFonts w:hint="eastAsia" w:ascii="方正小标宋简体" w:eastAsia="方正小标宋简体" w:cs="方正小标宋简体"/>
          <w:bCs/>
          <w:sz w:val="44"/>
          <w:szCs w:val="44"/>
          <w:lang w:val="en-US" w:eastAsia="zh-CN"/>
        </w:rPr>
      </w:pPr>
      <w:r>
        <w:rPr>
          <w:rFonts w:hint="eastAsia" w:ascii="方正小标宋简体" w:eastAsia="方正小标宋简体" w:cs="方正小标宋简体"/>
          <w:bCs/>
          <w:sz w:val="44"/>
          <w:szCs w:val="44"/>
        </w:rPr>
        <w:t>关于红原县</w:t>
      </w:r>
      <w:r>
        <w:rPr>
          <w:rFonts w:hint="eastAsia" w:ascii="方正小标宋简体" w:eastAsia="方正小标宋简体" w:cs="方正小标宋简体"/>
          <w:bCs/>
          <w:sz w:val="44"/>
          <w:szCs w:val="44"/>
          <w:lang w:val="en-US" w:eastAsia="zh-CN"/>
        </w:rPr>
        <w:t>公务服务中心</w:t>
      </w:r>
    </w:p>
    <w:p>
      <w:pPr>
        <w:spacing w:line="560" w:lineRule="exact"/>
        <w:jc w:val="center"/>
        <w:rPr>
          <w:rFonts w:ascii="方正小标宋简体" w:eastAsia="方正小标宋简体" w:cs="方正小标宋简体"/>
          <w:bCs/>
          <w:sz w:val="44"/>
          <w:szCs w:val="44"/>
        </w:rPr>
      </w:pPr>
      <w:r>
        <w:rPr>
          <w:rFonts w:hint="eastAsia" w:ascii="方正小标宋简体" w:eastAsia="方正小标宋简体" w:cs="方正小标宋简体"/>
          <w:bCs/>
          <w:sz w:val="44"/>
          <w:szCs w:val="44"/>
        </w:rPr>
        <w:t>202</w:t>
      </w:r>
      <w:r>
        <w:rPr>
          <w:rFonts w:hint="eastAsia" w:ascii="方正小标宋简体" w:eastAsia="方正小标宋简体" w:cs="方正小标宋简体"/>
          <w:bCs/>
          <w:sz w:val="44"/>
          <w:szCs w:val="44"/>
          <w:lang w:val="en-US" w:eastAsia="zh-CN"/>
        </w:rPr>
        <w:t>4</w:t>
      </w:r>
      <w:r>
        <w:rPr>
          <w:rFonts w:hint="eastAsia" w:ascii="方正小标宋简体" w:eastAsia="方正小标宋简体" w:cs="方正小标宋简体"/>
          <w:bCs/>
          <w:sz w:val="44"/>
          <w:szCs w:val="44"/>
        </w:rPr>
        <w:t>年部门预算编制的说明</w:t>
      </w:r>
    </w:p>
    <w:p>
      <w:pPr>
        <w:pStyle w:val="6"/>
        <w:adjustRightInd w:val="0"/>
        <w:snapToGrid w:val="0"/>
        <w:spacing w:beforeLines="0" w:line="560" w:lineRule="exact"/>
        <w:rPr>
          <w:rFonts w:ascii="宋体" w:eastAsia="宋体"/>
          <w:b/>
          <w:sz w:val="44"/>
          <w:szCs w:val="44"/>
        </w:rPr>
      </w:pPr>
      <w:r>
        <w:rPr>
          <w:rFonts w:hint="eastAsia" w:ascii="宋体" w:eastAsia="宋体"/>
          <w:b/>
          <w:sz w:val="44"/>
          <w:szCs w:val="44"/>
        </w:rPr>
        <w:t xml:space="preserve">    </w:t>
      </w:r>
    </w:p>
    <w:p>
      <w:pPr>
        <w:pStyle w:val="6"/>
        <w:adjustRightInd w:val="0"/>
        <w:snapToGrid w:val="0"/>
        <w:spacing w:before="93" w:line="560" w:lineRule="exact"/>
        <w:ind w:firstLine="640" w:firstLineChars="200"/>
        <w:rPr>
          <w:rFonts w:ascii="宋体" w:eastAsia="宋体"/>
          <w:b/>
          <w:sz w:val="44"/>
          <w:szCs w:val="44"/>
        </w:rPr>
      </w:pPr>
      <w:r>
        <w:rPr>
          <w:rFonts w:hint="eastAsia"/>
          <w:sz w:val="32"/>
          <w:szCs w:val="32"/>
        </w:rPr>
        <w:t>按照预算管理有关规定，目前部门预算的编制实行综合预算制度，即全部收入和支出都反映在预算中。</w:t>
      </w:r>
    </w:p>
    <w:p>
      <w:pPr>
        <w:spacing w:line="560" w:lineRule="exact"/>
        <w:ind w:firstLine="640" w:firstLineChars="200"/>
        <w:rPr>
          <w:rFonts w:ascii="黑体" w:eastAsia="黑体"/>
          <w:sz w:val="32"/>
          <w:szCs w:val="32"/>
        </w:rPr>
      </w:pPr>
      <w:r>
        <w:rPr>
          <w:rFonts w:hint="eastAsia" w:ascii="黑体" w:eastAsia="黑体"/>
          <w:sz w:val="32"/>
          <w:szCs w:val="32"/>
        </w:rPr>
        <w:t>一、基本职能及主要工作</w:t>
      </w:r>
    </w:p>
    <w:p>
      <w:pPr>
        <w:pStyle w:val="6"/>
        <w:adjustRightInd w:val="0"/>
        <w:snapToGrid w:val="0"/>
        <w:spacing w:before="93" w:line="560" w:lineRule="exact"/>
        <w:ind w:firstLine="671" w:firstLineChars="209"/>
        <w:rPr>
          <w:rFonts w:hint="eastAsia" w:ascii="楷体_GB2312" w:eastAsia="楷体_GB2312" w:cs="楷体_GB2312"/>
          <w:b/>
          <w:sz w:val="32"/>
          <w:szCs w:val="32"/>
        </w:rPr>
      </w:pPr>
      <w:r>
        <w:rPr>
          <w:rFonts w:hint="eastAsia" w:ascii="楷体_GB2312" w:eastAsia="楷体_GB2312" w:cs="楷体_GB2312"/>
          <w:b/>
          <w:sz w:val="32"/>
          <w:szCs w:val="32"/>
        </w:rPr>
        <w:t>（一）基本职能</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）负责党和国家领导人（含曾经担任）、省委、省人大、省政府、省政协副省级以上、州委、州人大、州政府、州政协副厅级领导（含曾经</w:t>
      </w:r>
      <w:r>
        <w:rPr>
          <w:rFonts w:hint="eastAsia" w:ascii="仿宋_GB2312" w:hAnsi="仿宋_GB2312" w:eastAsia="仿宋_GB2312" w:cs="仿宋_GB2312"/>
          <w:kern w:val="2"/>
          <w:sz w:val="32"/>
          <w:szCs w:val="32"/>
          <w:lang w:eastAsia="zh-CN"/>
        </w:rPr>
        <w:t>担</w:t>
      </w:r>
      <w:r>
        <w:rPr>
          <w:rFonts w:hint="eastAsia" w:ascii="仿宋_GB2312" w:hAnsi="仿宋_GB2312" w:eastAsia="仿宋_GB2312" w:cs="仿宋_GB2312"/>
          <w:kern w:val="2"/>
          <w:sz w:val="32"/>
          <w:szCs w:val="32"/>
        </w:rPr>
        <w:t>任）来县的服务保障。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）按照有关规定负责和参与党中央、国务院、省委、省政府、州委、州政府巡视、检查、督查（督导、督察）、考察、调研、考核、审计等工作组来县的服务保障。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）负责或参与外省（州、市、区、县）党政代表团来县考察的协调联络和服务保障。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）负责我县党政代表团赴外省（州、市、区、县）考察的协调联络和服务保障。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）负责县委、县政府交办的由县公务服务中心承担的外事接待和招商引资事项的服务保障。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rPr>
        <w:t>）按照中央八项规定和省委、省政府十项规定及其实施细则要求，负责联系协调县级有关部门及关联单位承办州委、州政府重大公务活动的服务工作。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）会同县级有关部门承担县委、县政府交办的大型会议、活动的接待服务保障工作。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）指导县级部门的公务活动服务保障工作，参与拟订全县公务服务相关规定。</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spacing w:val="-11"/>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w:t>
      </w:r>
      <w:r>
        <w:rPr>
          <w:rFonts w:hint="eastAsia" w:ascii="仿宋_GB2312" w:hAnsi="仿宋_GB2312" w:eastAsia="仿宋_GB2312" w:cs="仿宋_GB2312"/>
          <w:spacing w:val="-11"/>
          <w:kern w:val="2"/>
          <w:sz w:val="32"/>
          <w:szCs w:val="32"/>
        </w:rPr>
        <w:t xml:space="preserve">负责办理中办警卫局、省警卫局安排的有关在县事务。    </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）负责县级机关食堂管理工作。</w:t>
      </w:r>
    </w:p>
    <w:p>
      <w:pPr>
        <w:pStyle w:val="6"/>
        <w:adjustRightInd w:val="0"/>
        <w:snapToGrid w:val="0"/>
        <w:spacing w:before="93"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rPr>
        <w:t>）完成县委、县政府交办的其他任务。</w:t>
      </w:r>
    </w:p>
    <w:p>
      <w:pPr>
        <w:pStyle w:val="6"/>
        <w:adjustRightInd w:val="0"/>
        <w:snapToGrid w:val="0"/>
        <w:spacing w:before="93" w:line="560" w:lineRule="exact"/>
        <w:rPr>
          <w:rFonts w:ascii="楷体_GB2312" w:eastAsia="楷体_GB2312" w:cs="楷体_GB2312"/>
          <w:b/>
          <w:sz w:val="32"/>
          <w:szCs w:val="32"/>
        </w:rPr>
      </w:pPr>
      <w:r>
        <w:rPr>
          <w:rFonts w:hint="eastAsia"/>
          <w:bCs/>
          <w:sz w:val="32"/>
          <w:szCs w:val="32"/>
        </w:rPr>
        <w:t xml:space="preserve">   </w:t>
      </w:r>
      <w:r>
        <w:rPr>
          <w:rFonts w:hint="eastAsia" w:ascii="楷体_GB2312" w:eastAsia="楷体_GB2312" w:cs="楷体_GB2312"/>
          <w:b/>
          <w:sz w:val="32"/>
          <w:szCs w:val="32"/>
        </w:rPr>
        <w:t>（二）202</w:t>
      </w:r>
      <w:r>
        <w:rPr>
          <w:rFonts w:hint="eastAsia" w:ascii="楷体_GB2312" w:eastAsia="楷体_GB2312" w:cs="楷体_GB2312"/>
          <w:b/>
          <w:sz w:val="32"/>
          <w:szCs w:val="32"/>
          <w:lang w:val="en-US" w:eastAsia="zh-CN"/>
        </w:rPr>
        <w:t>4</w:t>
      </w:r>
      <w:r>
        <w:rPr>
          <w:rFonts w:hint="eastAsia" w:ascii="楷体_GB2312" w:eastAsia="楷体_GB2312" w:cs="楷体_GB2312"/>
          <w:b/>
          <w:sz w:val="32"/>
          <w:szCs w:val="32"/>
        </w:rPr>
        <w:t>年重点工作任务</w:t>
      </w:r>
    </w:p>
    <w:p>
      <w:pPr>
        <w:keepNext w:val="0"/>
        <w:keepLines w:val="0"/>
        <w:pageBreakBefore w:val="0"/>
        <w:numPr>
          <w:ilvl w:val="0"/>
          <w:numId w:val="0"/>
        </w:numPr>
        <w:kinsoku/>
        <w:wordWrap/>
        <w:overflowPunct/>
        <w:topLinePunct w:val="0"/>
        <w:autoSpaceDE/>
        <w:autoSpaceDN/>
        <w:bidi w:val="0"/>
        <w:adjustRightInd/>
        <w:snapToGrid/>
        <w:spacing w:line="560" w:lineRule="atLeast"/>
        <w:ind w:firstLine="640" w:firstLineChars="200"/>
        <w:jc w:val="both"/>
        <w:textAlignment w:val="auto"/>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2024年</w:t>
      </w:r>
      <w:r>
        <w:rPr>
          <w:rFonts w:hint="eastAsia" w:ascii="仿宋_GB2312" w:hAnsi="仿宋" w:eastAsia="仿宋_GB2312" w:cs="仿宋"/>
          <w:color w:val="000000"/>
          <w:sz w:val="32"/>
          <w:szCs w:val="32"/>
        </w:rPr>
        <w:t>，我们将继续紧紧围绕县委、县政府中心工作，</w:t>
      </w:r>
      <w:r>
        <w:rPr>
          <w:rFonts w:hint="eastAsia" w:ascii="仿宋_GB2312" w:hAnsi="仿宋" w:eastAsia="仿宋_GB2312" w:cs="仿宋"/>
          <w:color w:val="000000"/>
          <w:sz w:val="32"/>
          <w:szCs w:val="32"/>
          <w:shd w:val="clear" w:color="auto" w:fill="FFFFFF"/>
        </w:rPr>
        <w:t>认真落实</w:t>
      </w:r>
      <w:r>
        <w:rPr>
          <w:rFonts w:hint="eastAsia" w:ascii="仿宋_GB2312" w:hAnsi="仿宋" w:eastAsia="仿宋_GB2312" w:cs="仿宋"/>
          <w:color w:val="000000"/>
          <w:sz w:val="32"/>
          <w:szCs w:val="32"/>
          <w:shd w:val="clear" w:color="auto" w:fill="FFFFFF"/>
          <w:lang w:eastAsia="zh-CN"/>
        </w:rPr>
        <w:t>州县对我中心的各项</w:t>
      </w:r>
      <w:r>
        <w:rPr>
          <w:rFonts w:hint="eastAsia" w:ascii="仿宋_GB2312" w:hAnsi="仿宋" w:eastAsia="仿宋_GB2312" w:cs="仿宋"/>
          <w:color w:val="000000"/>
          <w:sz w:val="32"/>
          <w:szCs w:val="32"/>
          <w:shd w:val="clear" w:color="auto" w:fill="FFFFFF"/>
        </w:rPr>
        <w:t>工作要求，</w:t>
      </w:r>
      <w:r>
        <w:rPr>
          <w:rFonts w:hint="eastAsia" w:ascii="仿宋_GB2312" w:hAnsi="仿宋" w:eastAsia="仿宋_GB2312" w:cs="仿宋"/>
          <w:color w:val="000000"/>
          <w:sz w:val="32"/>
          <w:szCs w:val="32"/>
        </w:rPr>
        <w:t>注重管理创新，改进服务方式，紧盯目标任务抓落实，进一步增强危机感和紧迫感，以改革创新和服务保障为重点，努力在“三个着力”上下功夫，确保圆满完成</w:t>
      </w:r>
      <w:r>
        <w:rPr>
          <w:rFonts w:hint="eastAsia" w:ascii="仿宋_GB2312" w:hAnsi="仿宋" w:eastAsia="仿宋_GB2312" w:cs="仿宋"/>
          <w:color w:val="000000"/>
          <w:sz w:val="32"/>
          <w:szCs w:val="32"/>
          <w:lang w:val="en-US" w:eastAsia="zh-CN"/>
        </w:rPr>
        <w:t>2024年工作</w:t>
      </w:r>
      <w:r>
        <w:rPr>
          <w:rFonts w:hint="eastAsia" w:ascii="仿宋_GB2312" w:hAnsi="仿宋" w:eastAsia="仿宋_GB2312" w:cs="仿宋"/>
          <w:color w:val="000000"/>
          <w:sz w:val="32"/>
          <w:szCs w:val="32"/>
        </w:rPr>
        <w:t>目标任务。</w:t>
      </w:r>
    </w:p>
    <w:p>
      <w:pPr>
        <w:keepNext w:val="0"/>
        <w:keepLines w:val="0"/>
        <w:pageBreakBefore w:val="0"/>
        <w:kinsoku/>
        <w:wordWrap/>
        <w:overflowPunct/>
        <w:topLinePunct w:val="0"/>
        <w:autoSpaceDE/>
        <w:autoSpaceDN/>
        <w:bidi w:val="0"/>
        <w:adjustRightInd/>
        <w:snapToGrid/>
        <w:spacing w:line="560" w:lineRule="atLeast"/>
        <w:ind w:firstLine="640"/>
        <w:jc w:val="both"/>
        <w:textAlignment w:val="auto"/>
        <w:rPr>
          <w:rFonts w:hint="eastAsia" w:ascii="仿宋_GB2312" w:hAnsi="仿宋" w:eastAsia="仿宋_GB2312" w:cs="仿宋"/>
          <w:color w:val="000000"/>
          <w:sz w:val="32"/>
          <w:szCs w:val="32"/>
        </w:rPr>
      </w:pPr>
      <w:r>
        <w:rPr>
          <w:rFonts w:hint="eastAsia" w:ascii="楷体_GB2312" w:hAnsi="楷体" w:eastAsia="楷体_GB2312" w:cs="楷体"/>
          <w:b/>
          <w:bCs/>
          <w:color w:val="000000"/>
          <w:sz w:val="32"/>
          <w:szCs w:val="32"/>
        </w:rPr>
        <w:t>（</w:t>
      </w:r>
      <w:r>
        <w:rPr>
          <w:rFonts w:hint="eastAsia" w:ascii="楷体_GB2312" w:hAnsi="楷体" w:eastAsia="楷体_GB2312" w:cs="楷体"/>
          <w:b/>
          <w:bCs/>
          <w:color w:val="000000"/>
          <w:sz w:val="32"/>
          <w:szCs w:val="32"/>
          <w:lang w:val="en-US" w:eastAsia="zh-CN"/>
        </w:rPr>
        <w:t>一</w:t>
      </w:r>
      <w:r>
        <w:rPr>
          <w:rFonts w:hint="eastAsia" w:ascii="楷体_GB2312" w:hAnsi="楷体" w:eastAsia="楷体_GB2312" w:cs="楷体"/>
          <w:b/>
          <w:bCs/>
          <w:color w:val="000000"/>
          <w:sz w:val="32"/>
          <w:szCs w:val="32"/>
        </w:rPr>
        <w:t>）着力提升服务保障管理水平。</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color w:val="000000"/>
          <w:sz w:val="32"/>
          <w:szCs w:val="32"/>
          <w:lang w:val="en-US" w:eastAsia="zh-CN"/>
        </w:rPr>
        <w:t>继续将各项工作做好做扎实，确保圆满完成2024年</w:t>
      </w:r>
      <w:r>
        <w:rPr>
          <w:rFonts w:hint="eastAsia" w:ascii="仿宋_GB2312" w:hAnsi="仿宋" w:eastAsia="仿宋_GB2312" w:cs="仿宋"/>
          <w:color w:val="000000"/>
          <w:sz w:val="32"/>
          <w:szCs w:val="32"/>
          <w:lang w:val="en-US" w:eastAsia="zh-CN"/>
        </w:rPr>
        <w:t>重要公务接待任务，</w:t>
      </w:r>
      <w:r>
        <w:rPr>
          <w:rFonts w:hint="eastAsia" w:ascii="仿宋_GB2312" w:hAnsi="仿宋" w:eastAsia="仿宋_GB2312" w:cs="仿宋"/>
          <w:color w:val="000000"/>
          <w:sz w:val="32"/>
          <w:szCs w:val="32"/>
          <w:shd w:val="clear" w:color="auto" w:fill="FFFFFF"/>
        </w:rPr>
        <w:t>同时不断强化质量服务理念，树立主动服务意识，规范服务行为方式，推动服务规范化建设。</w:t>
      </w:r>
      <w:r>
        <w:rPr>
          <w:rFonts w:hint="eastAsia" w:ascii="仿宋_GB2312" w:hAnsi="仿宋_GB2312" w:eastAsia="仿宋_GB2312" w:cs="仿宋_GB2312"/>
          <w:b/>
          <w:bCs/>
          <w:color w:val="000000"/>
          <w:sz w:val="32"/>
          <w:szCs w:val="32"/>
        </w:rPr>
        <w:t>二是</w:t>
      </w:r>
      <w:r>
        <w:rPr>
          <w:rFonts w:hint="eastAsia" w:ascii="仿宋_GB2312" w:hAnsi="仿宋" w:eastAsia="仿宋_GB2312" w:cs="仿宋"/>
          <w:color w:val="000000"/>
          <w:sz w:val="32"/>
          <w:szCs w:val="32"/>
          <w:shd w:val="clear" w:color="auto" w:fill="FFFFFF"/>
        </w:rPr>
        <w:t>继续做好县级</w:t>
      </w:r>
      <w:r>
        <w:rPr>
          <w:rFonts w:hint="eastAsia" w:ascii="仿宋_GB2312" w:hAnsi="仿宋" w:eastAsia="仿宋_GB2312" w:cs="仿宋"/>
          <w:color w:val="000000"/>
          <w:sz w:val="32"/>
          <w:szCs w:val="32"/>
          <w:shd w:val="clear" w:color="auto" w:fill="FFFFFF"/>
          <w:lang w:val="en-US" w:eastAsia="zh-CN"/>
        </w:rPr>
        <w:t>机关</w:t>
      </w:r>
      <w:r>
        <w:rPr>
          <w:rFonts w:hint="eastAsia" w:ascii="仿宋_GB2312" w:hAnsi="仿宋" w:eastAsia="仿宋_GB2312" w:cs="仿宋"/>
          <w:color w:val="000000"/>
          <w:sz w:val="32"/>
          <w:szCs w:val="32"/>
          <w:shd w:val="clear" w:color="auto" w:fill="FFFFFF"/>
        </w:rPr>
        <w:t>食堂的一日三餐的保障工作，进一步完善营养搭配做到健康、节约两不误</w:t>
      </w:r>
      <w:r>
        <w:rPr>
          <w:rFonts w:hint="eastAsia" w:ascii="仿宋_GB2312" w:hAnsi="仿宋" w:eastAsia="仿宋_GB2312" w:cs="仿宋"/>
          <w:color w:val="000000"/>
          <w:sz w:val="32"/>
          <w:szCs w:val="32"/>
        </w:rPr>
        <w:t>。</w:t>
      </w:r>
    </w:p>
    <w:p>
      <w:pPr>
        <w:keepNext w:val="0"/>
        <w:keepLines w:val="0"/>
        <w:pageBreakBefore w:val="0"/>
        <w:kinsoku/>
        <w:wordWrap/>
        <w:overflowPunct/>
        <w:topLinePunct w:val="0"/>
        <w:autoSpaceDE/>
        <w:autoSpaceDN/>
        <w:bidi w:val="0"/>
        <w:adjustRightInd/>
        <w:snapToGrid/>
        <w:spacing w:line="560" w:lineRule="atLeast"/>
        <w:ind w:firstLine="640"/>
        <w:jc w:val="both"/>
        <w:textAlignment w:val="auto"/>
        <w:rPr>
          <w:rFonts w:hint="eastAsia" w:ascii="仿宋_GB2312" w:eastAsia="仿宋_GB2312"/>
          <w:color w:val="000000"/>
        </w:rPr>
      </w:pPr>
      <w:r>
        <w:rPr>
          <w:rFonts w:hint="eastAsia" w:ascii="楷体_GB2312" w:hAnsi="楷体" w:eastAsia="楷体_GB2312" w:cs="楷体"/>
          <w:b/>
          <w:bCs/>
          <w:color w:val="000000"/>
          <w:sz w:val="32"/>
          <w:szCs w:val="32"/>
        </w:rPr>
        <w:t>（</w:t>
      </w:r>
      <w:r>
        <w:rPr>
          <w:rFonts w:hint="eastAsia" w:ascii="楷体_GB2312" w:hAnsi="楷体" w:eastAsia="楷体_GB2312" w:cs="楷体"/>
          <w:b/>
          <w:bCs/>
          <w:color w:val="000000"/>
          <w:sz w:val="32"/>
          <w:szCs w:val="32"/>
          <w:lang w:val="en-US" w:eastAsia="zh-CN"/>
        </w:rPr>
        <w:t>二</w:t>
      </w:r>
      <w:r>
        <w:rPr>
          <w:rFonts w:hint="eastAsia" w:ascii="楷体_GB2312" w:hAnsi="楷体" w:eastAsia="楷体_GB2312" w:cs="楷体"/>
          <w:b/>
          <w:bCs/>
          <w:color w:val="000000"/>
          <w:sz w:val="32"/>
          <w:szCs w:val="32"/>
        </w:rPr>
        <w:t>）着力</w:t>
      </w:r>
      <w:r>
        <w:rPr>
          <w:rFonts w:hint="eastAsia" w:ascii="楷体_GB2312" w:hAnsi="楷体" w:eastAsia="楷体_GB2312" w:cs="楷体"/>
          <w:b/>
          <w:bCs/>
          <w:color w:val="000000"/>
          <w:sz w:val="32"/>
          <w:szCs w:val="32"/>
          <w:lang w:val="en-US" w:eastAsia="zh-CN"/>
        </w:rPr>
        <w:t>完善工作机制建立健全。</w:t>
      </w:r>
      <w:r>
        <w:rPr>
          <w:rFonts w:hint="eastAsia" w:ascii="仿宋_GB2312" w:hAnsi="仿宋_GB2312" w:eastAsia="仿宋_GB2312" w:cs="仿宋_GB2312"/>
          <w:b w:val="0"/>
          <w:bCs w:val="0"/>
          <w:color w:val="000000"/>
          <w:sz w:val="32"/>
          <w:szCs w:val="32"/>
          <w:lang w:val="en-US" w:eastAsia="zh-CN"/>
        </w:rPr>
        <w:t>没有规矩，不成方圆。制度建设是治本之策、长远之举，是实现作风建设常态化、长效化的根本保障。纵深推进“提士气、强担当、建机制、促发展”作风建设，必须把建章立制作为重点。建章立制，必须坚持高标准、高质量、严要求。当前，要对已有的规章制度进行全面梳理，以改革创新的精神，建立管用的规章制度，形成科学完备且操作性强的制度体系，形成靠制度激励约束、靠制度管人管事的良好氛围，以制度建设激活干部队伍精气神。</w:t>
      </w:r>
    </w:p>
    <w:p>
      <w:pPr>
        <w:keepNext w:val="0"/>
        <w:keepLines w:val="0"/>
        <w:pageBreakBefore w:val="0"/>
        <w:kinsoku/>
        <w:wordWrap/>
        <w:overflowPunct/>
        <w:topLinePunct w:val="0"/>
        <w:autoSpaceDE/>
        <w:autoSpaceDN/>
        <w:bidi w:val="0"/>
        <w:adjustRightInd/>
        <w:snapToGrid/>
        <w:spacing w:line="560" w:lineRule="atLeast"/>
        <w:ind w:firstLine="640"/>
        <w:jc w:val="both"/>
        <w:textAlignment w:val="auto"/>
        <w:rPr>
          <w:rFonts w:hint="eastAsia" w:ascii="仿宋_GB2312" w:hAnsi="仿宋" w:eastAsia="仿宋_GB2312" w:cs="仿宋"/>
          <w:color w:val="000000"/>
          <w:sz w:val="32"/>
          <w:szCs w:val="32"/>
        </w:rPr>
      </w:pPr>
      <w:r>
        <w:rPr>
          <w:rFonts w:hint="eastAsia" w:ascii="楷体_GB2312" w:hAnsi="楷体" w:eastAsia="楷体_GB2312" w:cs="楷体"/>
          <w:b/>
          <w:bCs/>
          <w:color w:val="000000"/>
          <w:sz w:val="32"/>
          <w:szCs w:val="32"/>
        </w:rPr>
        <w:t>（</w:t>
      </w:r>
      <w:r>
        <w:rPr>
          <w:rFonts w:hint="eastAsia" w:ascii="楷体_GB2312" w:hAnsi="楷体" w:eastAsia="楷体_GB2312" w:cs="楷体"/>
          <w:b/>
          <w:bCs/>
          <w:color w:val="000000"/>
          <w:sz w:val="32"/>
          <w:szCs w:val="32"/>
          <w:lang w:val="en-US" w:eastAsia="zh-CN"/>
        </w:rPr>
        <w:t>三</w:t>
      </w:r>
      <w:r>
        <w:rPr>
          <w:rFonts w:hint="eastAsia" w:ascii="楷体_GB2312" w:hAnsi="楷体" w:eastAsia="楷体_GB2312" w:cs="楷体"/>
          <w:b/>
          <w:bCs/>
          <w:color w:val="000000"/>
          <w:sz w:val="32"/>
          <w:szCs w:val="32"/>
        </w:rPr>
        <w:t>）着力加强干部队伍能力建设。</w:t>
      </w:r>
      <w:r>
        <w:rPr>
          <w:rFonts w:hint="eastAsia" w:ascii="仿宋_GB2312" w:hAnsi="仿宋_GB2312" w:eastAsia="仿宋_GB2312" w:cs="仿宋_GB2312"/>
          <w:b w:val="0"/>
          <w:bCs w:val="0"/>
          <w:color w:val="000000"/>
          <w:sz w:val="32"/>
          <w:szCs w:val="32"/>
          <w:lang w:val="en-US" w:eastAsia="zh-CN"/>
        </w:rPr>
        <w:t>继续强化</w:t>
      </w:r>
      <w:r>
        <w:rPr>
          <w:rFonts w:hint="eastAsia" w:ascii="仿宋_GB2312" w:hAnsi="仿宋" w:eastAsia="仿宋_GB2312" w:cs="仿宋"/>
          <w:color w:val="000000"/>
          <w:sz w:val="32"/>
          <w:szCs w:val="32"/>
        </w:rPr>
        <w:t>开展“每周</w:t>
      </w:r>
      <w:r>
        <w:rPr>
          <w:rFonts w:hint="eastAsia" w:ascii="仿宋_GB2312" w:hAnsi="仿宋" w:eastAsia="仿宋_GB2312" w:cs="仿宋"/>
          <w:color w:val="000000"/>
          <w:sz w:val="32"/>
          <w:szCs w:val="32"/>
          <w:lang w:val="en-US" w:eastAsia="zh-CN"/>
        </w:rPr>
        <w:t>一</w:t>
      </w:r>
      <w:r>
        <w:rPr>
          <w:rFonts w:hint="eastAsia" w:ascii="仿宋_GB2312" w:hAnsi="仿宋" w:eastAsia="仿宋_GB2312" w:cs="仿宋"/>
          <w:color w:val="000000"/>
          <w:sz w:val="32"/>
          <w:szCs w:val="32"/>
        </w:rPr>
        <w:t>学习会”大讨论等活动，有针对性地解决问题，抓细抓实，</w:t>
      </w:r>
      <w:r>
        <w:rPr>
          <w:rFonts w:hint="eastAsia" w:ascii="仿宋_GB2312" w:hAnsi="仿宋" w:eastAsia="仿宋_GB2312" w:cs="仿宋"/>
          <w:color w:val="000000"/>
          <w:sz w:val="32"/>
          <w:szCs w:val="32"/>
          <w:lang w:val="en-US" w:eastAsia="zh-CN"/>
        </w:rPr>
        <w:t>切</w:t>
      </w:r>
      <w:r>
        <w:rPr>
          <w:rFonts w:hint="eastAsia" w:ascii="仿宋_GB2312" w:hAnsi="仿宋" w:eastAsia="仿宋_GB2312" w:cs="仿宋"/>
          <w:color w:val="000000"/>
          <w:sz w:val="32"/>
          <w:szCs w:val="32"/>
        </w:rPr>
        <w:t>实</w:t>
      </w:r>
      <w:r>
        <w:rPr>
          <w:rFonts w:hint="eastAsia" w:ascii="仿宋_GB2312" w:hAnsi="仿宋" w:eastAsia="仿宋_GB2312" w:cs="仿宋"/>
          <w:color w:val="000000"/>
          <w:sz w:val="32"/>
          <w:szCs w:val="32"/>
          <w:lang w:val="en-US" w:eastAsia="zh-CN"/>
        </w:rPr>
        <w:t>将中国共产党第二十次全国代表大会</w:t>
      </w:r>
      <w:bookmarkStart w:id="0" w:name="_GoBack"/>
      <w:bookmarkEnd w:id="0"/>
      <w:r>
        <w:rPr>
          <w:rFonts w:hint="eastAsia" w:ascii="仿宋" w:hAnsi="仿宋" w:eastAsia="仿宋" w:cs="仿宋"/>
          <w:color w:val="000000"/>
          <w:sz w:val="32"/>
          <w:szCs w:val="32"/>
          <w:lang w:val="en-US" w:eastAsia="zh-CN"/>
        </w:rPr>
        <w:t>精神</w:t>
      </w:r>
      <w:r>
        <w:rPr>
          <w:rFonts w:hint="eastAsia" w:ascii="仿宋_GB2312" w:hAnsi="仿宋" w:eastAsia="仿宋_GB2312" w:cs="仿宋"/>
          <w:color w:val="000000"/>
          <w:sz w:val="32"/>
          <w:szCs w:val="32"/>
          <w:lang w:val="en-US" w:eastAsia="zh-CN"/>
        </w:rPr>
        <w:t>、</w:t>
      </w:r>
      <w:r>
        <w:rPr>
          <w:rFonts w:hint="eastAsia" w:ascii="仿宋_GB2312" w:hAnsi="仿宋" w:eastAsia="仿宋_GB2312" w:cs="仿宋"/>
          <w:color w:val="000000"/>
          <w:sz w:val="32"/>
          <w:szCs w:val="32"/>
        </w:rPr>
        <w:t>全面从严治党的要求落实到每个干部职工。落实党风廉政建设“两个责任”和领导干部“一岗双责”，深化廉政风险防控机制，深化作风效能建设，用严格的制度来规范和约束干部，做到警钟长鸣，加大从源头上防治腐败的力度，真正把党风廉政建设工作抓紧抓实。坚持和完善政务公开制度，主动接受各方面的监督，树立</w:t>
      </w:r>
      <w:r>
        <w:rPr>
          <w:rFonts w:hint="eastAsia" w:ascii="仿宋_GB2312" w:hAnsi="仿宋" w:eastAsia="仿宋_GB2312" w:cs="仿宋"/>
          <w:color w:val="000000"/>
          <w:sz w:val="32"/>
          <w:szCs w:val="32"/>
          <w:lang w:eastAsia="zh-CN"/>
        </w:rPr>
        <w:t>公务服务中心</w:t>
      </w:r>
      <w:r>
        <w:rPr>
          <w:rFonts w:hint="eastAsia" w:ascii="仿宋_GB2312" w:hAnsi="仿宋" w:eastAsia="仿宋_GB2312" w:cs="仿宋"/>
          <w:color w:val="000000"/>
          <w:sz w:val="32"/>
          <w:szCs w:val="32"/>
        </w:rPr>
        <w:t>勤政务实的良好形象。</w:t>
      </w:r>
    </w:p>
    <w:p>
      <w:pPr>
        <w:spacing w:line="560" w:lineRule="exact"/>
        <w:ind w:firstLine="640" w:firstLineChars="200"/>
        <w:rPr>
          <w:rFonts w:ascii="黑体" w:eastAsia="黑体"/>
          <w:sz w:val="32"/>
          <w:szCs w:val="32"/>
        </w:rPr>
      </w:pPr>
      <w:r>
        <w:rPr>
          <w:rFonts w:hint="eastAsia" w:ascii="黑体" w:eastAsia="黑体"/>
          <w:sz w:val="32"/>
          <w:szCs w:val="32"/>
        </w:rPr>
        <w:t>二、部门预算单位构成</w:t>
      </w:r>
    </w:p>
    <w:p>
      <w:pPr>
        <w:pStyle w:val="6"/>
        <w:adjustRightInd w:val="0"/>
        <w:snapToGrid w:val="0"/>
        <w:spacing w:before="93" w:line="560" w:lineRule="exact"/>
        <w:ind w:firstLine="627" w:firstLineChars="209"/>
        <w:rPr>
          <w:sz w:val="32"/>
          <w:szCs w:val="32"/>
        </w:rPr>
      </w:pPr>
      <w:r>
        <w:rPr>
          <w:rFonts w:hint="eastAsia" w:ascii="仿宋" w:hAnsi="仿宋" w:eastAsia="仿宋" w:cs="仿宋"/>
          <w:b w:val="0"/>
          <w:bCs w:val="0"/>
          <w:sz w:val="30"/>
          <w:szCs w:val="30"/>
          <w:lang w:val="en-US" w:eastAsia="zh-CN"/>
        </w:rPr>
        <w:t>单位内部</w:t>
      </w:r>
      <w:r>
        <w:rPr>
          <w:rFonts w:hint="eastAsia" w:ascii="仿宋" w:hAnsi="仿宋" w:eastAsia="仿宋" w:cs="仿宋"/>
          <w:b w:val="0"/>
          <w:bCs w:val="0"/>
          <w:sz w:val="30"/>
          <w:szCs w:val="30"/>
        </w:rPr>
        <w:t>设办公室、</w:t>
      </w:r>
      <w:r>
        <w:rPr>
          <w:rFonts w:hint="eastAsia" w:ascii="仿宋" w:hAnsi="仿宋" w:eastAsia="仿宋" w:cs="仿宋"/>
          <w:b w:val="0"/>
          <w:bCs w:val="0"/>
          <w:sz w:val="30"/>
          <w:szCs w:val="30"/>
          <w:lang w:val="en-US" w:eastAsia="zh-CN"/>
        </w:rPr>
        <w:t>接待股、后勤资产管理股，</w:t>
      </w:r>
      <w:r>
        <w:rPr>
          <w:rFonts w:hint="eastAsia" w:ascii="仿宋" w:hAnsi="仿宋" w:eastAsia="仿宋" w:cs="仿宋"/>
          <w:b w:val="0"/>
          <w:bCs w:val="0"/>
          <w:sz w:val="30"/>
          <w:szCs w:val="30"/>
          <w:lang w:eastAsia="zh-CN"/>
        </w:rPr>
        <w:t>在职</w:t>
      </w:r>
      <w:r>
        <w:rPr>
          <w:rFonts w:hint="eastAsia" w:ascii="仿宋" w:hAnsi="仿宋" w:eastAsia="仿宋" w:cs="仿宋"/>
          <w:b w:val="0"/>
          <w:bCs w:val="0"/>
          <w:sz w:val="30"/>
          <w:szCs w:val="30"/>
          <w:lang w:val="en-US" w:eastAsia="zh-CN"/>
        </w:rPr>
        <w:t>12人。</w:t>
      </w:r>
      <w:r>
        <w:rPr>
          <w:rFonts w:hint="eastAsia" w:ascii="仿宋" w:hAnsi="仿宋" w:eastAsia="仿宋" w:cs="仿宋"/>
          <w:b w:val="0"/>
          <w:bCs w:val="0"/>
          <w:sz w:val="30"/>
          <w:szCs w:val="30"/>
          <w:shd w:val="clear" w:color="auto" w:fill="FFFFFF"/>
        </w:rPr>
        <w:t>阿坝州红原县公务服务中心</w:t>
      </w:r>
      <w:r>
        <w:rPr>
          <w:rFonts w:hint="eastAsia" w:ascii="仿宋" w:hAnsi="仿宋" w:eastAsia="仿宋" w:cs="仿宋"/>
          <w:b w:val="0"/>
          <w:bCs w:val="0"/>
          <w:sz w:val="30"/>
          <w:szCs w:val="30"/>
          <w:shd w:val="clear" w:color="auto" w:fill="FFFFFF"/>
          <w:lang w:val="en-US" w:eastAsia="zh-CN"/>
        </w:rPr>
        <w:t>无</w:t>
      </w:r>
      <w:r>
        <w:rPr>
          <w:rFonts w:hint="eastAsia" w:ascii="仿宋" w:hAnsi="仿宋" w:eastAsia="仿宋" w:cs="仿宋"/>
          <w:b w:val="0"/>
          <w:bCs w:val="0"/>
          <w:sz w:val="30"/>
          <w:szCs w:val="30"/>
          <w:shd w:val="clear" w:color="auto" w:fill="FFFFFF"/>
        </w:rPr>
        <w:t>下属二级单位</w:t>
      </w:r>
      <w:r>
        <w:rPr>
          <w:rFonts w:hint="eastAsia" w:ascii="仿宋" w:hAnsi="仿宋" w:eastAsia="仿宋" w:cs="仿宋"/>
          <w:b w:val="0"/>
          <w:bCs w:val="0"/>
          <w:sz w:val="30"/>
          <w:szCs w:val="30"/>
          <w:shd w:val="clear" w:color="auto" w:fill="FFFFFF"/>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三、收支预算总体情况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年红原县</w:t>
      </w:r>
      <w:r>
        <w:rPr>
          <w:rFonts w:hint="eastAsia" w:ascii="仿宋_GB2312" w:eastAsia="仿宋_GB2312"/>
          <w:sz w:val="32"/>
          <w:szCs w:val="32"/>
          <w:lang w:val="en-US" w:eastAsia="zh-CN"/>
        </w:rPr>
        <w:t>公务服务中心</w:t>
      </w:r>
      <w:r>
        <w:rPr>
          <w:rFonts w:hint="eastAsia" w:ascii="仿宋_GB2312" w:eastAsia="仿宋_GB2312"/>
          <w:sz w:val="32"/>
          <w:szCs w:val="32"/>
        </w:rPr>
        <w:t>收入预算总额为</w:t>
      </w:r>
      <w:r>
        <w:rPr>
          <w:rFonts w:hint="eastAsia" w:ascii="仿宋_GB2312" w:eastAsia="仿宋_GB2312"/>
          <w:sz w:val="32"/>
          <w:szCs w:val="32"/>
          <w:lang w:val="en-US" w:eastAsia="zh-CN"/>
        </w:rPr>
        <w:t>511.32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511.32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511.32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442.91</w:t>
      </w:r>
      <w:r>
        <w:rPr>
          <w:rFonts w:hint="eastAsia" w:ascii="仿宋_GB2312" w:eastAsia="仿宋_GB2312"/>
          <w:sz w:val="32"/>
          <w:szCs w:val="32"/>
        </w:rPr>
        <w:t>万元，社会保障和就业</w:t>
      </w:r>
      <w:r>
        <w:rPr>
          <w:rFonts w:hint="eastAsia" w:ascii="仿宋_GB2312" w:eastAsia="仿宋_GB2312"/>
          <w:sz w:val="32"/>
          <w:szCs w:val="32"/>
          <w:lang w:val="en-US" w:eastAsia="zh-CN"/>
        </w:rPr>
        <w:t>36.92</w:t>
      </w:r>
      <w:r>
        <w:rPr>
          <w:rFonts w:hint="eastAsia" w:ascii="仿宋_GB2312" w:eastAsia="仿宋_GB2312"/>
          <w:sz w:val="32"/>
          <w:szCs w:val="32"/>
        </w:rPr>
        <w:t>万元，医疗卫生支出</w:t>
      </w:r>
      <w:r>
        <w:rPr>
          <w:rFonts w:hint="eastAsia" w:ascii="仿宋_GB2312" w:eastAsia="仿宋_GB2312"/>
          <w:sz w:val="32"/>
          <w:szCs w:val="32"/>
          <w:lang w:val="en-US" w:eastAsia="zh-CN"/>
        </w:rPr>
        <w:t>10.63</w:t>
      </w:r>
      <w:r>
        <w:rPr>
          <w:rFonts w:hint="eastAsia" w:ascii="仿宋_GB2312" w:eastAsia="仿宋_GB2312"/>
          <w:sz w:val="32"/>
          <w:szCs w:val="32"/>
        </w:rPr>
        <w:t>万元，住房保障支出</w:t>
      </w:r>
      <w:r>
        <w:rPr>
          <w:rFonts w:hint="eastAsia" w:ascii="仿宋_GB2312" w:eastAsia="仿宋_GB2312"/>
          <w:sz w:val="32"/>
          <w:szCs w:val="32"/>
          <w:lang w:val="en-US" w:eastAsia="zh-CN"/>
        </w:rPr>
        <w:t>20.86</w:t>
      </w:r>
      <w:r>
        <w:rPr>
          <w:rFonts w:hint="eastAsia" w:ascii="仿宋_GB2312" w:eastAsia="仿宋_GB2312"/>
          <w:sz w:val="32"/>
          <w:szCs w:val="32"/>
        </w:rPr>
        <w:t>万元。</w:t>
      </w:r>
    </w:p>
    <w:p>
      <w:pPr>
        <w:numPr>
          <w:ilvl w:val="0"/>
          <w:numId w:val="1"/>
        </w:numPr>
        <w:spacing w:line="560" w:lineRule="exact"/>
        <w:ind w:firstLine="640" w:firstLineChars="200"/>
        <w:rPr>
          <w:rFonts w:ascii="黑体" w:eastAsia="黑体"/>
          <w:sz w:val="32"/>
          <w:szCs w:val="32"/>
        </w:rPr>
      </w:pPr>
      <w:r>
        <w:rPr>
          <w:rFonts w:hint="eastAsia" w:ascii="黑体" w:eastAsia="黑体"/>
          <w:sz w:val="32"/>
          <w:szCs w:val="32"/>
        </w:rPr>
        <w:t>支出预算安排情况</w:t>
      </w:r>
    </w:p>
    <w:p>
      <w:pPr>
        <w:spacing w:line="560" w:lineRule="exact"/>
        <w:rPr>
          <w:rFonts w:ascii="仿宋_GB2312" w:eastAsia="仿宋_GB2312"/>
          <w:sz w:val="32"/>
          <w:szCs w:val="32"/>
        </w:rPr>
      </w:pPr>
      <w:r>
        <w:rPr>
          <w:rFonts w:hint="eastAsia" w:ascii="仿宋_GB2312" w:eastAsia="仿宋_GB2312"/>
          <w:sz w:val="32"/>
          <w:szCs w:val="32"/>
        </w:rPr>
        <w:t xml:space="preserve">    红原县</w:t>
      </w:r>
      <w:r>
        <w:rPr>
          <w:rFonts w:hint="eastAsia" w:ascii="仿宋_GB2312" w:eastAsia="仿宋_GB2312"/>
          <w:sz w:val="32"/>
          <w:szCs w:val="32"/>
          <w:lang w:val="en-US" w:eastAsia="zh-CN"/>
        </w:rPr>
        <w:t>公务服务中心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服务保障</w:t>
      </w:r>
      <w:r>
        <w:rPr>
          <w:rFonts w:hint="eastAsia" w:ascii="仿宋_GB2312" w:eastAsia="仿宋_GB2312"/>
          <w:sz w:val="32"/>
          <w:szCs w:val="32"/>
        </w:rPr>
        <w:t xml:space="preserve">相关工作。  </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271.32</w:t>
      </w:r>
      <w:r>
        <w:rPr>
          <w:rFonts w:hint="eastAsia" w:ascii="仿宋_GB2312" w:eastAsia="仿宋_GB2312"/>
          <w:sz w:val="32"/>
          <w:szCs w:val="32"/>
        </w:rPr>
        <w:t>万元。其中人员经费支出</w:t>
      </w:r>
      <w:r>
        <w:rPr>
          <w:rFonts w:hint="eastAsia" w:ascii="仿宋_GB2312" w:eastAsia="仿宋_GB2312"/>
          <w:sz w:val="32"/>
          <w:szCs w:val="32"/>
          <w:lang w:val="en-US" w:eastAsia="zh-CN"/>
        </w:rPr>
        <w:t>249.72</w:t>
      </w:r>
      <w:r>
        <w:rPr>
          <w:rFonts w:hint="eastAsia" w:ascii="仿宋_GB2312" w:eastAsia="仿宋_GB2312"/>
          <w:sz w:val="32"/>
          <w:szCs w:val="32"/>
        </w:rPr>
        <w:t>万元，机关运行经费</w:t>
      </w:r>
      <w:r>
        <w:rPr>
          <w:rFonts w:hint="eastAsia" w:ascii="仿宋_GB2312" w:eastAsia="仿宋_GB2312"/>
          <w:sz w:val="32"/>
          <w:szCs w:val="32"/>
          <w:lang w:val="en-US" w:eastAsia="zh-CN"/>
        </w:rPr>
        <w:t>21.60</w:t>
      </w:r>
      <w:r>
        <w:rPr>
          <w:rFonts w:hint="eastAsia" w:ascii="仿宋_GB2312" w:eastAsia="仿宋_GB2312"/>
          <w:sz w:val="32"/>
          <w:szCs w:val="32"/>
        </w:rPr>
        <w:t>万元，其中：办公费</w:t>
      </w:r>
      <w:r>
        <w:rPr>
          <w:rFonts w:hint="eastAsia" w:ascii="仿宋_GB2312" w:eastAsia="仿宋_GB2312"/>
          <w:sz w:val="32"/>
          <w:szCs w:val="32"/>
          <w:lang w:val="en-US" w:eastAsia="zh-CN"/>
        </w:rPr>
        <w:t>4.84</w:t>
      </w:r>
      <w:r>
        <w:rPr>
          <w:rFonts w:hint="eastAsia" w:ascii="仿宋_GB2312" w:eastAsia="仿宋_GB2312"/>
          <w:sz w:val="32"/>
          <w:szCs w:val="32"/>
        </w:rPr>
        <w:t>万元，</w:t>
      </w:r>
      <w:r>
        <w:rPr>
          <w:rFonts w:hint="eastAsia" w:ascii="仿宋_GB2312" w:eastAsia="仿宋_GB2312"/>
          <w:sz w:val="32"/>
          <w:szCs w:val="32"/>
          <w:lang w:val="en-US" w:eastAsia="zh-CN"/>
        </w:rPr>
        <w:t>手续</w:t>
      </w:r>
      <w:r>
        <w:rPr>
          <w:rFonts w:hint="eastAsia" w:ascii="仿宋_GB2312" w:eastAsia="仿宋_GB2312"/>
          <w:sz w:val="32"/>
          <w:szCs w:val="32"/>
        </w:rPr>
        <w:t>费0.1</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水费0.10万元，电</w:t>
      </w:r>
      <w:r>
        <w:rPr>
          <w:rFonts w:hint="eastAsia" w:ascii="仿宋_GB2312" w:eastAsia="仿宋_GB2312"/>
          <w:sz w:val="32"/>
          <w:szCs w:val="32"/>
        </w:rPr>
        <w:t>费</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0万元，</w:t>
      </w:r>
      <w:r>
        <w:rPr>
          <w:rFonts w:hint="eastAsia" w:ascii="仿宋_GB2312" w:eastAsia="仿宋_GB2312"/>
          <w:sz w:val="32"/>
          <w:szCs w:val="32"/>
          <w:lang w:val="en-US" w:eastAsia="zh-CN"/>
        </w:rPr>
        <w:t>邮电</w:t>
      </w:r>
      <w:r>
        <w:rPr>
          <w:rFonts w:hint="eastAsia" w:ascii="仿宋_GB2312" w:eastAsia="仿宋_GB2312"/>
          <w:sz w:val="32"/>
          <w:szCs w:val="32"/>
        </w:rPr>
        <w:t>费</w:t>
      </w:r>
      <w:r>
        <w:rPr>
          <w:rFonts w:hint="eastAsia" w:ascii="仿宋_GB2312" w:eastAsia="仿宋_GB2312"/>
          <w:sz w:val="32"/>
          <w:szCs w:val="32"/>
          <w:lang w:val="en-US" w:eastAsia="zh-CN"/>
        </w:rPr>
        <w:t>1.00</w:t>
      </w:r>
      <w:r>
        <w:rPr>
          <w:rFonts w:hint="eastAsia" w:ascii="仿宋_GB2312" w:eastAsia="仿宋_GB2312"/>
          <w:sz w:val="32"/>
          <w:szCs w:val="32"/>
        </w:rPr>
        <w:t>万元，</w:t>
      </w:r>
      <w:r>
        <w:rPr>
          <w:rFonts w:hint="eastAsia" w:ascii="仿宋_GB2312" w:eastAsia="仿宋_GB2312"/>
          <w:sz w:val="32"/>
          <w:szCs w:val="32"/>
          <w:lang w:val="en-US" w:eastAsia="zh-CN"/>
        </w:rPr>
        <w:t>取暖</w:t>
      </w:r>
      <w:r>
        <w:rPr>
          <w:rFonts w:hint="eastAsia" w:ascii="仿宋_GB2312" w:eastAsia="仿宋_GB2312"/>
          <w:sz w:val="32"/>
          <w:szCs w:val="32"/>
        </w:rPr>
        <w:t>费</w:t>
      </w:r>
      <w:r>
        <w:rPr>
          <w:rFonts w:hint="eastAsia" w:ascii="仿宋_GB2312" w:eastAsia="仿宋_GB2312"/>
          <w:sz w:val="32"/>
          <w:szCs w:val="32"/>
          <w:lang w:val="en-US" w:eastAsia="zh-CN"/>
        </w:rPr>
        <w:t>1.00</w:t>
      </w:r>
      <w:r>
        <w:rPr>
          <w:rFonts w:hint="eastAsia" w:ascii="仿宋_GB2312" w:eastAsia="仿宋_GB2312"/>
          <w:sz w:val="32"/>
          <w:szCs w:val="32"/>
        </w:rPr>
        <w:t>万元，差旅费</w:t>
      </w:r>
      <w:r>
        <w:rPr>
          <w:rFonts w:hint="eastAsia" w:ascii="仿宋_GB2312" w:eastAsia="仿宋_GB2312"/>
          <w:sz w:val="32"/>
          <w:szCs w:val="32"/>
          <w:lang w:val="en-US" w:eastAsia="zh-CN"/>
        </w:rPr>
        <w:t>4</w:t>
      </w:r>
      <w:r>
        <w:rPr>
          <w:rFonts w:hint="eastAsia" w:ascii="仿宋_GB2312" w:eastAsia="仿宋_GB2312"/>
          <w:sz w:val="32"/>
          <w:szCs w:val="32"/>
        </w:rPr>
        <w:t>.00万元，工会经费1.</w:t>
      </w:r>
      <w:r>
        <w:rPr>
          <w:rFonts w:hint="eastAsia" w:ascii="仿宋_GB2312" w:eastAsia="仿宋_GB2312"/>
          <w:sz w:val="32"/>
          <w:szCs w:val="32"/>
          <w:lang w:val="en-US" w:eastAsia="zh-CN"/>
        </w:rPr>
        <w:t>85</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公务用车运行维护费7.22万元</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442.91</w:t>
      </w:r>
      <w:r>
        <w:rPr>
          <w:rFonts w:hint="eastAsia" w:ascii="仿宋_GB2312" w:eastAsia="仿宋_GB2312"/>
          <w:sz w:val="32"/>
          <w:szCs w:val="32"/>
        </w:rPr>
        <w:t>万元，主要用于机关及下属事业单位人员工资、日常运转以及为完成特定行政工作任务和事业发展目标而安排的年度项目支出。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36.92</w:t>
      </w:r>
      <w:r>
        <w:rPr>
          <w:rFonts w:hint="eastAsia" w:ascii="仿宋_GB2312" w:eastAsia="仿宋_GB2312"/>
          <w:sz w:val="32"/>
          <w:szCs w:val="32"/>
        </w:rPr>
        <w:t>万元，主要用于机关及下属事业单位养老保险及职业年金缴费。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10.63</w:t>
      </w:r>
      <w:r>
        <w:rPr>
          <w:rFonts w:hint="eastAsia" w:ascii="仿宋_GB2312" w:eastAsia="仿宋_GB2312"/>
          <w:sz w:val="32"/>
          <w:szCs w:val="32"/>
        </w:rPr>
        <w:t>万元，主要用于机关及下属事业单位按照规定标准为职工缴纳的基本医疗保险及公务员医疗补助等支出。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20.86</w:t>
      </w:r>
      <w:r>
        <w:rPr>
          <w:rFonts w:hint="eastAsia" w:ascii="仿宋_GB2312" w:eastAsia="仿宋_GB2312"/>
          <w:sz w:val="32"/>
          <w:szCs w:val="32"/>
        </w:rPr>
        <w:t>万元，用于机关及下属事业单位按照规定标准为职工缴纳住房公积金等支出。</w:t>
      </w:r>
    </w:p>
    <w:p>
      <w:pPr>
        <w:widowControl/>
        <w:shd w:val="clear" w:color="auto" w:fill="FFFFFF"/>
        <w:spacing w:line="560" w:lineRule="exact"/>
        <w:ind w:firstLine="480"/>
        <w:jc w:val="left"/>
        <w:rPr>
          <w:rFonts w:ascii="黑体" w:eastAsia="黑体" w:cs="黑体"/>
          <w:sz w:val="32"/>
          <w:szCs w:val="32"/>
        </w:rPr>
      </w:pPr>
      <w:r>
        <w:rPr>
          <w:rFonts w:hint="eastAsia" w:ascii="黑体" w:eastAsia="黑体" w:cs="黑体"/>
          <w:color w:val="333333"/>
          <w:kern w:val="0"/>
          <w:sz w:val="32"/>
          <w:szCs w:val="32"/>
          <w:shd w:val="clear" w:color="auto" w:fill="FFFFFF"/>
        </w:rPr>
        <w:t xml:space="preserve"> 五、较上年度增减变化 </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本年度预算拨款收入</w:t>
      </w:r>
      <w:r>
        <w:rPr>
          <w:rFonts w:hint="eastAsia" w:ascii="仿宋_GB2312" w:eastAsia="仿宋_GB2312"/>
          <w:sz w:val="32"/>
          <w:szCs w:val="32"/>
          <w:lang w:val="en-US" w:eastAsia="zh-CN"/>
        </w:rPr>
        <w:t>511.32</w:t>
      </w:r>
      <w:r>
        <w:rPr>
          <w:rFonts w:hint="eastAsia" w:ascii="仿宋_GB2312" w:eastAsia="仿宋_GB2312"/>
          <w:sz w:val="32"/>
          <w:szCs w:val="32"/>
        </w:rPr>
        <w:t>万元较上年度预算</w:t>
      </w:r>
      <w:r>
        <w:rPr>
          <w:rFonts w:hint="eastAsia" w:ascii="仿宋_GB2312" w:eastAsia="仿宋_GB2312"/>
          <w:sz w:val="32"/>
          <w:szCs w:val="32"/>
          <w:lang w:val="en-US" w:eastAsia="zh-CN"/>
        </w:rPr>
        <w:t>437.35</w:t>
      </w:r>
      <w:r>
        <w:rPr>
          <w:rFonts w:hint="eastAsia" w:ascii="仿宋_GB2312" w:eastAsia="仿宋_GB2312"/>
          <w:sz w:val="32"/>
          <w:szCs w:val="32"/>
        </w:rPr>
        <w:t>万元增加了</w:t>
      </w:r>
      <w:r>
        <w:rPr>
          <w:rFonts w:hint="eastAsia" w:ascii="仿宋_GB2312" w:eastAsia="仿宋_GB2312"/>
          <w:sz w:val="32"/>
          <w:szCs w:val="32"/>
          <w:lang w:val="en-US" w:eastAsia="zh-CN"/>
        </w:rPr>
        <w:t>16.91</w:t>
      </w:r>
      <w:r>
        <w:rPr>
          <w:rFonts w:hint="eastAsia" w:ascii="仿宋_GB2312" w:eastAsia="仿宋_GB2312"/>
          <w:sz w:val="32"/>
          <w:szCs w:val="32"/>
        </w:rPr>
        <w:t>%，主要原因是</w:t>
      </w:r>
      <w:r>
        <w:rPr>
          <w:rFonts w:hint="eastAsia" w:ascii="仿宋_GB2312" w:eastAsia="仿宋_GB2312"/>
          <w:sz w:val="32"/>
          <w:szCs w:val="32"/>
          <w:lang w:val="en-US" w:eastAsia="zh-CN"/>
        </w:rPr>
        <w:t>2024年心中职工食堂的补助纳入预算</w:t>
      </w:r>
      <w:r>
        <w:rPr>
          <w:rFonts w:hint="eastAsia" w:ascii="仿宋_GB2312" w:eastAsia="仿宋_GB2312"/>
          <w:sz w:val="32"/>
          <w:szCs w:val="32"/>
        </w:rPr>
        <w:t>。其中基本行政运行经费预算</w:t>
      </w:r>
      <w:r>
        <w:rPr>
          <w:rFonts w:hint="eastAsia" w:ascii="仿宋_GB2312" w:eastAsia="仿宋_GB2312"/>
          <w:sz w:val="32"/>
          <w:szCs w:val="32"/>
          <w:lang w:val="en-US" w:eastAsia="zh-CN"/>
        </w:rPr>
        <w:t>271.32</w:t>
      </w:r>
      <w:r>
        <w:rPr>
          <w:rFonts w:hint="eastAsia" w:ascii="仿宋_GB2312" w:eastAsia="仿宋_GB2312"/>
          <w:sz w:val="32"/>
          <w:szCs w:val="32"/>
        </w:rPr>
        <w:t>万元，占全部总预算的</w:t>
      </w:r>
      <w:r>
        <w:rPr>
          <w:rFonts w:hint="eastAsia" w:ascii="仿宋_GB2312" w:eastAsia="仿宋_GB2312"/>
          <w:sz w:val="32"/>
          <w:szCs w:val="32"/>
          <w:lang w:val="en-US" w:eastAsia="zh-CN"/>
        </w:rPr>
        <w:t>53.06</w:t>
      </w:r>
      <w:r>
        <w:rPr>
          <w:rFonts w:hint="eastAsia" w:ascii="仿宋_GB2312" w:eastAsia="仿宋_GB2312"/>
          <w:sz w:val="32"/>
          <w:szCs w:val="32"/>
        </w:rPr>
        <w:t>%，较上年</w:t>
      </w:r>
      <w:r>
        <w:rPr>
          <w:rFonts w:hint="eastAsia" w:ascii="仿宋_GB2312" w:eastAsia="仿宋_GB2312"/>
          <w:sz w:val="32"/>
          <w:szCs w:val="32"/>
          <w:lang w:val="en-US" w:eastAsia="zh-CN"/>
        </w:rPr>
        <w:t>257.35</w:t>
      </w:r>
      <w:r>
        <w:rPr>
          <w:rFonts w:hint="eastAsia" w:ascii="仿宋_GB2312" w:eastAsia="仿宋_GB2312"/>
          <w:sz w:val="32"/>
          <w:szCs w:val="32"/>
        </w:rPr>
        <w:t>万元增加了</w:t>
      </w:r>
      <w:r>
        <w:rPr>
          <w:rFonts w:hint="eastAsia" w:ascii="仿宋_GB2312" w:eastAsia="仿宋_GB2312"/>
          <w:sz w:val="32"/>
          <w:szCs w:val="32"/>
          <w:lang w:val="en-US" w:eastAsia="zh-CN"/>
        </w:rPr>
        <w:t>5.42</w:t>
      </w:r>
      <w:r>
        <w:rPr>
          <w:rFonts w:hint="eastAsia" w:ascii="仿宋_GB2312" w:eastAsia="仿宋_GB2312"/>
          <w:sz w:val="32"/>
          <w:szCs w:val="32"/>
        </w:rPr>
        <w:t>%，原因为</w:t>
      </w:r>
      <w:r>
        <w:rPr>
          <w:rFonts w:hint="eastAsia" w:ascii="仿宋_GB2312" w:eastAsia="仿宋_GB2312"/>
          <w:sz w:val="32"/>
          <w:szCs w:val="32"/>
          <w:lang w:val="en-US" w:eastAsia="zh-CN"/>
        </w:rPr>
        <w:t>新调入</w:t>
      </w:r>
      <w:r>
        <w:rPr>
          <w:rFonts w:hint="eastAsia" w:ascii="仿宋_GB2312" w:eastAsia="仿宋_GB2312"/>
          <w:sz w:val="32"/>
          <w:szCs w:val="32"/>
        </w:rPr>
        <w:t>单位职工</w:t>
      </w:r>
      <w:r>
        <w:rPr>
          <w:rFonts w:hint="eastAsia" w:ascii="仿宋_GB2312" w:eastAsia="仿宋_GB2312"/>
          <w:sz w:val="32"/>
          <w:szCs w:val="32"/>
          <w:lang w:val="en-US" w:eastAsia="zh-CN"/>
        </w:rPr>
        <w:t>工资</w:t>
      </w:r>
      <w:r>
        <w:rPr>
          <w:rFonts w:hint="eastAsia" w:ascii="仿宋_GB2312" w:eastAsia="仿宋_GB2312"/>
          <w:sz w:val="32"/>
          <w:szCs w:val="32"/>
        </w:rPr>
        <w:t xml:space="preserve">； </w:t>
      </w:r>
      <w:r>
        <w:rPr>
          <w:rFonts w:hint="eastAsia" w:ascii="仿宋_GB2312" w:eastAsia="仿宋_GB2312"/>
          <w:sz w:val="32"/>
          <w:szCs w:val="32"/>
          <w:lang w:val="en-US" w:eastAsia="zh-CN"/>
        </w:rPr>
        <w:t>项目预算240万元，占全部总预算的46.94%，较上年180万元增加了33.33%，主要原因是新增加了职工食堂补助。</w:t>
      </w:r>
    </w:p>
    <w:p>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六、“三公”经费预算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本年度三公经费预算安排支出为</w:t>
      </w:r>
      <w:r>
        <w:rPr>
          <w:rFonts w:hint="eastAsia" w:ascii="仿宋_GB2312" w:eastAsia="仿宋_GB2312"/>
          <w:sz w:val="32"/>
          <w:szCs w:val="32"/>
          <w:lang w:val="en-US" w:eastAsia="zh-CN"/>
        </w:rPr>
        <w:t>187.72</w:t>
      </w:r>
      <w:r>
        <w:rPr>
          <w:rFonts w:hint="eastAsia" w:ascii="仿宋_GB2312" w:eastAsia="仿宋_GB2312"/>
          <w:sz w:val="32"/>
          <w:szCs w:val="32"/>
        </w:rPr>
        <w:t>万元，其中：出国费0万元，与上年持平，主要原因为未安排因公出国；公车购置费0元，与上年持平；公务用车维护费支出</w:t>
      </w:r>
      <w:r>
        <w:rPr>
          <w:rFonts w:hint="eastAsia" w:ascii="仿宋_GB2312" w:eastAsia="仿宋_GB2312"/>
          <w:sz w:val="32"/>
          <w:szCs w:val="32"/>
          <w:lang w:val="en-US" w:eastAsia="zh-CN"/>
        </w:rPr>
        <w:t>7.22</w:t>
      </w:r>
      <w:r>
        <w:rPr>
          <w:rFonts w:hint="eastAsia" w:ascii="仿宋_GB2312" w:eastAsia="仿宋_GB2312"/>
          <w:sz w:val="32"/>
          <w:szCs w:val="32"/>
        </w:rPr>
        <w:t>万元，</w:t>
      </w:r>
      <w:r>
        <w:rPr>
          <w:rFonts w:hint="eastAsia" w:ascii="仿宋_GB2312" w:eastAsia="仿宋_GB2312"/>
          <w:sz w:val="32"/>
          <w:szCs w:val="32"/>
          <w:lang w:val="en-US" w:eastAsia="zh-CN"/>
        </w:rPr>
        <w:t>与</w:t>
      </w:r>
      <w:r>
        <w:rPr>
          <w:rFonts w:hint="eastAsia" w:ascii="仿宋_GB2312" w:eastAsia="仿宋_GB2312"/>
          <w:sz w:val="32"/>
          <w:szCs w:val="32"/>
        </w:rPr>
        <w:t>上年度预算</w:t>
      </w:r>
      <w:r>
        <w:rPr>
          <w:rFonts w:hint="eastAsia" w:ascii="仿宋_GB2312" w:eastAsia="仿宋_GB2312"/>
          <w:sz w:val="32"/>
          <w:szCs w:val="32"/>
          <w:lang w:val="en-US" w:eastAsia="zh-CN"/>
        </w:rPr>
        <w:t>7.22</w:t>
      </w:r>
      <w:r>
        <w:rPr>
          <w:rFonts w:hint="eastAsia" w:ascii="仿宋_GB2312" w:eastAsia="仿宋_GB2312"/>
          <w:sz w:val="32"/>
          <w:szCs w:val="32"/>
        </w:rPr>
        <w:t>万元</w:t>
      </w:r>
      <w:r>
        <w:rPr>
          <w:rFonts w:hint="eastAsia" w:ascii="仿宋_GB2312" w:eastAsia="仿宋_GB2312"/>
          <w:sz w:val="32"/>
          <w:szCs w:val="32"/>
          <w:lang w:val="en-US" w:eastAsia="zh-CN"/>
        </w:rPr>
        <w:t>持平</w:t>
      </w:r>
      <w:r>
        <w:rPr>
          <w:rFonts w:hint="eastAsia" w:ascii="仿宋_GB2312" w:eastAsia="仿宋_GB2312"/>
          <w:sz w:val="32"/>
          <w:szCs w:val="32"/>
        </w:rPr>
        <w:t>，主要原因严格执行“八项规定、六项禁令”；二是将有关股室的工作有机地结合起来，减少不必要的资源浪费。公务接待费</w:t>
      </w:r>
      <w:r>
        <w:rPr>
          <w:rFonts w:hint="eastAsia" w:ascii="仿宋_GB2312" w:eastAsia="仿宋_GB2312"/>
          <w:sz w:val="32"/>
          <w:szCs w:val="32"/>
          <w:lang w:val="en-US" w:eastAsia="zh-CN"/>
        </w:rPr>
        <w:t>180</w:t>
      </w:r>
      <w:r>
        <w:rPr>
          <w:rFonts w:hint="eastAsia" w:ascii="仿宋_GB2312" w:eastAsia="仿宋_GB2312"/>
          <w:sz w:val="32"/>
          <w:szCs w:val="32"/>
        </w:rPr>
        <w:t>万元，</w:t>
      </w:r>
      <w:r>
        <w:rPr>
          <w:rFonts w:hint="eastAsia" w:ascii="仿宋_GB2312" w:eastAsia="仿宋_GB2312"/>
          <w:sz w:val="32"/>
          <w:szCs w:val="32"/>
          <w:lang w:val="en-US" w:eastAsia="zh-CN"/>
        </w:rPr>
        <w:t>与上年度预算180万元持平，</w:t>
      </w:r>
      <w:r>
        <w:rPr>
          <w:rFonts w:hint="eastAsia" w:ascii="仿宋_GB2312" w:eastAsia="仿宋_GB2312"/>
          <w:sz w:val="32"/>
          <w:szCs w:val="32"/>
        </w:rPr>
        <w:t xml:space="preserve">本年度我们将严格执行“八项规定、六项禁令”，结合本年度工作需要，减少不必要的开支。 </w:t>
      </w:r>
    </w:p>
    <w:p>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七、政府性基金预算收支情况说明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年没有使用政府性基金预算拨款安排的支出。</w:t>
      </w:r>
    </w:p>
    <w:p>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八、国有资本经营预算收支情况说明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年没有使用国有资本经营预算拨款安排的支出。</w:t>
      </w:r>
    </w:p>
    <w:p>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九、其他重要事项的情况说明</w:t>
      </w:r>
    </w:p>
    <w:p>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（一）政府采购预算情况</w:t>
      </w:r>
      <w:r>
        <w:rPr>
          <w:rFonts w:hint="eastAsia" w:ascii="黑体" w:eastAsia="黑体" w:cs="黑体"/>
          <w:color w:val="333333"/>
          <w:kern w:val="0"/>
          <w:sz w:val="32"/>
          <w:szCs w:val="32"/>
          <w:shd w:val="clear" w:color="auto" w:fill="FFFFFF"/>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年度安排政府采购预算0万元。</w:t>
      </w:r>
    </w:p>
    <w:p>
      <w:pPr>
        <w:widowControl/>
        <w:shd w:val="clear" w:color="auto" w:fill="FFFFFF"/>
        <w:spacing w:line="560" w:lineRule="exact"/>
        <w:ind w:left="480"/>
        <w:jc w:val="left"/>
      </w:pPr>
      <w:r>
        <w:rPr>
          <w:rFonts w:hint="eastAsia" w:ascii="楷体_GB2312" w:eastAsia="楷体_GB2312" w:cs="楷体_GB2312"/>
          <w:b/>
          <w:bCs/>
          <w:color w:val="333333"/>
          <w:kern w:val="0"/>
          <w:sz w:val="32"/>
          <w:szCs w:val="32"/>
          <w:shd w:val="clear" w:color="auto" w:fill="FFFFFF"/>
        </w:rPr>
        <w:t xml:space="preserve"> （二）政府财政国有资产占用情况</w:t>
      </w:r>
      <w:r>
        <w:rPr>
          <w:rFonts w:hint="eastAsia" w:ascii="微软雅黑" w:eastAsia="微软雅黑" w:cs="微软雅黑"/>
          <w:color w:val="333333"/>
          <w:kern w:val="0"/>
          <w:sz w:val="24"/>
          <w:shd w:val="clear" w:color="auto" w:fill="FFFFFF"/>
        </w:rPr>
        <w:t xml:space="preserve">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5" w:lineRule="atLeast"/>
        <w:ind w:left="0" w:right="0" w:firstLine="420"/>
        <w:rPr>
          <w:rFonts w:ascii="仿宋_GB2312" w:eastAsia="仿宋_GB2312"/>
          <w:sz w:val="32"/>
          <w:szCs w:val="32"/>
        </w:rPr>
      </w:pPr>
      <w:r>
        <w:rPr>
          <w:rFonts w:hint="eastAsia" w:ascii="仿宋_GB2312" w:eastAsia="仿宋_GB2312"/>
          <w:sz w:val="32"/>
          <w:szCs w:val="32"/>
        </w:rPr>
        <w:t>截止202</w:t>
      </w:r>
      <w:r>
        <w:rPr>
          <w:rFonts w:hint="eastAsia" w:ascii="仿宋_GB2312" w:eastAsia="仿宋_GB2312"/>
          <w:sz w:val="32"/>
          <w:szCs w:val="32"/>
          <w:lang w:val="en-US" w:eastAsia="zh-CN"/>
        </w:rPr>
        <w:t>4</w:t>
      </w:r>
      <w:r>
        <w:rPr>
          <w:rFonts w:hint="eastAsia" w:ascii="仿宋_GB2312" w:eastAsia="仿宋_GB2312"/>
          <w:sz w:val="32"/>
          <w:szCs w:val="32"/>
        </w:rPr>
        <w:t>年底，</w:t>
      </w:r>
      <w:r>
        <w:rPr>
          <w:rFonts w:hint="eastAsia" w:ascii="仿宋_GB2312" w:eastAsia="仿宋_GB2312"/>
          <w:sz w:val="32"/>
          <w:szCs w:val="32"/>
          <w:lang w:val="en-US" w:eastAsia="zh-CN"/>
        </w:rPr>
        <w:t>实际共有固定资产价值195.76万元；其中：公务用车23万元；业务用房132.45万元；其他资产40.31万元</w:t>
      </w:r>
      <w:r>
        <w:rPr>
          <w:rFonts w:hint="eastAsia" w:ascii="仿宋_GB2312" w:eastAsia="仿宋_GB2312"/>
          <w:sz w:val="32"/>
          <w:szCs w:val="32"/>
        </w:rPr>
        <w:t>。</w:t>
      </w:r>
    </w:p>
    <w:p>
      <w:pPr>
        <w:widowControl/>
        <w:shd w:val="clear" w:color="auto" w:fill="FFFFFF"/>
        <w:spacing w:line="560" w:lineRule="exact"/>
        <w:ind w:left="480"/>
        <w:jc w:val="left"/>
        <w:rPr>
          <w:rFonts w:ascii="楷体_GB2312" w:eastAsia="楷体_GB2312" w:cs="楷体_GB2312"/>
          <w:b/>
          <w:bCs/>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（三）绩效目标设置情况</w:t>
      </w:r>
    </w:p>
    <w:p>
      <w:pPr>
        <w:spacing w:line="560" w:lineRule="exact"/>
        <w:rPr>
          <w:rFonts w:ascii="仿宋_GB2312" w:eastAsia="仿宋_GB2312"/>
          <w:sz w:val="32"/>
          <w:szCs w:val="32"/>
        </w:rPr>
      </w:pPr>
      <w:r>
        <w:rPr>
          <w:rFonts w:hint="eastAsia" w:ascii="仿宋_GB2312" w:eastAsia="仿宋_GB2312"/>
          <w:sz w:val="32"/>
          <w:szCs w:val="32"/>
        </w:rPr>
        <w:t xml:space="preserve">  绩效目标是预算编制的前提和基础，按照“费随事定”的原则，202</w:t>
      </w:r>
      <w:r>
        <w:rPr>
          <w:rFonts w:hint="eastAsia" w:ascii="仿宋_GB2312" w:eastAsia="仿宋_GB2312"/>
          <w:sz w:val="32"/>
          <w:szCs w:val="32"/>
          <w:lang w:val="en-US" w:eastAsia="zh-CN"/>
        </w:rPr>
        <w:t>4</w:t>
      </w:r>
      <w:r>
        <w:rPr>
          <w:rFonts w:hint="eastAsia" w:ascii="仿宋_GB2312" w:eastAsia="仿宋_GB2312"/>
          <w:sz w:val="32"/>
          <w:szCs w:val="32"/>
        </w:rPr>
        <w:t>年我单位项目支出按要求编制了绩效目标，从项目完成、项目效益、满意度。</w:t>
      </w:r>
    </w:p>
    <w:p>
      <w:pPr>
        <w:spacing w:line="560" w:lineRule="exact"/>
        <w:rPr>
          <w:rFonts w:hint="eastAsia" w:ascii="黑体" w:eastAsia="黑体" w:cs="黑体"/>
          <w:color w:val="333333"/>
          <w:kern w:val="0"/>
          <w:sz w:val="32"/>
          <w:szCs w:val="32"/>
          <w:shd w:val="clear" w:color="auto" w:fill="FFFFFF"/>
          <w:lang w:eastAsia="zh-CN"/>
        </w:rPr>
      </w:pPr>
      <w:r>
        <w:rPr>
          <w:rFonts w:hint="eastAsia" w:ascii="黑体" w:eastAsia="黑体" w:cs="黑体"/>
          <w:color w:val="333333"/>
          <w:kern w:val="0"/>
          <w:sz w:val="32"/>
          <w:szCs w:val="32"/>
          <w:shd w:val="clear" w:color="auto" w:fill="FFFFFF"/>
        </w:rPr>
        <w:t xml:space="preserve">    十、名词解释 </w:t>
      </w:r>
    </w:p>
    <w:p>
      <w:pPr>
        <w:spacing w:line="560" w:lineRule="exact"/>
        <w:rPr>
          <w:rFonts w:hint="eastAsia" w:ascii="仿宋_GB2312" w:eastAsia="仿宋_GB2312"/>
          <w:sz w:val="32"/>
          <w:szCs w:val="32"/>
          <w:lang w:eastAsia="zh-CN"/>
        </w:rPr>
      </w:pPr>
      <w:r>
        <w:rPr>
          <w:rFonts w:hint="eastAsia" w:ascii="宋体" w:cs="宋体"/>
          <w:sz w:val="28"/>
          <w:szCs w:val="28"/>
        </w:rPr>
        <w:t>　</w:t>
      </w:r>
      <w:r>
        <w:rPr>
          <w:rFonts w:hint="eastAsia" w:ascii="仿宋_GB2312" w:eastAsia="仿宋_GB2312"/>
          <w:sz w:val="32"/>
          <w:szCs w:val="32"/>
        </w:rPr>
        <w:t xml:space="preserve">　1.财政拨款收入：指财政部门核拨给单位的财政预算资金。 </w:t>
      </w:r>
    </w:p>
    <w:p>
      <w:pPr>
        <w:spacing w:line="560" w:lineRule="exact"/>
        <w:rPr>
          <w:rFonts w:ascii="仿宋_GB2312" w:eastAsia="仿宋_GB2312"/>
          <w:sz w:val="32"/>
          <w:szCs w:val="32"/>
        </w:rPr>
      </w:pPr>
      <w:r>
        <w:rPr>
          <w:rFonts w:hint="eastAsia" w:ascii="仿宋_GB2312" w:eastAsia="仿宋_GB2312"/>
          <w:sz w:val="32"/>
          <w:szCs w:val="32"/>
        </w:rPr>
        <w:t>　　2.其他收入：指除上述财政部门拨付单位以外的收入。</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3.基本支出：指为保障单位机关正常运转、完成日常工作任务而发生的人员支出和公用支出。 </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4.项目支出：指在基本支出之外为完成特定行政任务和事业发展目标所发生的支出。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附件：表1.部门收支总表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表2.部门收入总表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表3.部门支出总表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表4.财政拨款收支预算总表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表5.财政拨款支出预算表（部门经济分类科目）</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表6.一般公共预算支出预算表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表7.一般公共预算基本支出预算表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表8.一般公共预算项目支出预算表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表9.一般公共预算“三公”经费支出预算表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表10.政府性基金支出预算表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表11.政府性基金预算“三公”经费支出预算表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表12.国有资本经营预算支出预算表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表13.部门项目支出绩效目标表（2023年度）</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rPr>
        <w:rStyle w:val="14"/>
      </w:rPr>
      <w:fldChar w:fldCharType="begin"/>
    </w:r>
    <w:r>
      <w:rPr>
        <w:rStyle w:val="14"/>
      </w:rPr>
      <w:instrText xml:space="preserve">PAGE  </w:instrText>
    </w:r>
    <w:r>
      <w:fldChar w:fldCharType="separate"/>
    </w:r>
    <w:r>
      <w:rPr>
        <w:rStyle w:val="14"/>
      </w:rPr>
      <w:t>7</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rPr>
        <w:rStyle w:val="14"/>
      </w:rPr>
      <w:fldChar w:fldCharType="begin"/>
    </w:r>
    <w:r>
      <w:rPr>
        <w:rStyle w:val="14"/>
      </w:rPr>
      <w:instrText xml:space="preserve">PAGE  </w:instrText>
    </w:r>
    <w:r>
      <w:fldChar w:fldCharType="separate"/>
    </w:r>
    <w:r>
      <w:t xml:space="preserve"> </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A2MDI0NjEzMDAxZjc1OGIyMmNiYjQ0MGFlZWZlNzUifQ=="/>
  </w:docVars>
  <w:rsids>
    <w:rsidRoot w:val="00FF73FC"/>
    <w:rsid w:val="00026490"/>
    <w:rsid w:val="00290B9F"/>
    <w:rsid w:val="00421A93"/>
    <w:rsid w:val="0054600C"/>
    <w:rsid w:val="0080475F"/>
    <w:rsid w:val="0084622C"/>
    <w:rsid w:val="00A439AE"/>
    <w:rsid w:val="00B0230E"/>
    <w:rsid w:val="00FE3896"/>
    <w:rsid w:val="00FF73FC"/>
    <w:rsid w:val="261E33FC"/>
    <w:rsid w:val="2E5E34CA"/>
    <w:rsid w:val="2EFB0FA9"/>
    <w:rsid w:val="3DB06BAB"/>
    <w:rsid w:val="DBBFDF65"/>
    <w:rsid w:val="FB715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Body Text Indent 2_2f75ddf9-7586-465d-b894-cacca03ef0a7"/>
    <w:basedOn w:val="1"/>
    <w:qFormat/>
    <w:uiPriority w:val="0"/>
    <w:pPr>
      <w:spacing w:line="19997" w:lineRule="auto"/>
      <w:ind w:left="420" w:leftChars="200"/>
    </w:pPr>
  </w:style>
  <w:style w:type="paragraph" w:styleId="6">
    <w:name w:val="Body Text"/>
    <w:basedOn w:val="1"/>
    <w:qFormat/>
    <w:uiPriority w:val="0"/>
    <w:pPr>
      <w:spacing w:beforeLines="30"/>
    </w:pPr>
    <w:rPr>
      <w:rFonts w:ascii="仿宋_GB2312" w:eastAsia="仿宋_GB2312"/>
      <w:sz w:val="30"/>
    </w:rPr>
  </w:style>
  <w:style w:type="paragraph" w:styleId="7">
    <w:name w:val="Body Text Indent"/>
    <w:basedOn w:val="1"/>
    <w:qFormat/>
    <w:uiPriority w:val="0"/>
    <w:pPr>
      <w:keepNext w:val="0"/>
      <w:keepLines w:val="0"/>
      <w:widowControl w:val="0"/>
      <w:suppressLineNumbers w:val="0"/>
      <w:spacing w:before="0" w:beforeAutospacing="0" w:after="0" w:afterAutospacing="0" w:line="540" w:lineRule="exact"/>
      <w:ind w:left="0" w:right="0" w:firstLine="5440" w:firstLineChars="1700"/>
      <w:jc w:val="both"/>
    </w:pPr>
    <w:rPr>
      <w:rFonts w:hint="default" w:ascii="Calibri" w:hAnsi="Calibri" w:eastAsia="宋体" w:cs="Times New Roman"/>
      <w:kern w:val="2"/>
      <w:sz w:val="32"/>
      <w:szCs w:val="32"/>
      <w:lang w:val="en-US" w:eastAsia="zh-CN" w:bidi="ar"/>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pPr>
    <w:rPr>
      <w:sz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Body Text First Indent 2"/>
    <w:basedOn w:val="7"/>
    <w:qFormat/>
    <w:uiPriority w:val="0"/>
    <w:pPr>
      <w:keepNext w:val="0"/>
      <w:keepLines w:val="0"/>
      <w:widowControl w:val="0"/>
      <w:suppressLineNumbers w:val="0"/>
      <w:spacing w:before="0" w:beforeAutospacing="0" w:after="0" w:afterAutospacing="0" w:line="540" w:lineRule="exact"/>
      <w:ind w:left="0" w:right="0" w:firstLine="420" w:firstLineChars="200"/>
      <w:jc w:val="both"/>
    </w:pPr>
    <w:rPr>
      <w:rFonts w:hint="default" w:ascii="Calibri" w:hAnsi="Calibri" w:eastAsia="宋体" w:cs="Times New Roman"/>
      <w:kern w:val="2"/>
      <w:sz w:val="32"/>
      <w:szCs w:val="32"/>
      <w:lang w:val="en-US" w:eastAsia="zh-CN" w:bidi="ar"/>
    </w:rPr>
  </w:style>
  <w:style w:type="character" w:styleId="14">
    <w:name w:val="page number"/>
    <w:basedOn w:val="13"/>
    <w:qFormat/>
    <w:uiPriority w:val="0"/>
  </w:style>
  <w:style w:type="character" w:styleId="15">
    <w:name w:val="line number"/>
    <w:basedOn w:val="13"/>
    <w:qFormat/>
    <w:uiPriority w:val="0"/>
    <w:rPr>
      <w:sz w:val="22"/>
    </w:rPr>
  </w:style>
  <w:style w:type="character" w:styleId="16">
    <w:name w:val="Hyperlink"/>
    <w:qFormat/>
    <w:uiPriority w:val="0"/>
    <w:rPr>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3084</Words>
  <Characters>3271</Characters>
  <Lines>24</Lines>
  <Paragraphs>6</Paragraphs>
  <TotalTime>0</TotalTime>
  <ScaleCrop>false</ScaleCrop>
  <LinksUpToDate>false</LinksUpToDate>
  <CharactersWithSpaces>3318</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2018-02-01T07:35:00Z</dcterms:created>
  <dc:creator>Administrator</dc:creator>
  <cp:lastModifiedBy>ruijie</cp:lastModifiedBy>
  <dcterms:modified xsi:type="dcterms:W3CDTF">2025-04-15T16:57:52Z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1942BC9E337C4CD5B3C9E34D3D63196A_12</vt:lpwstr>
  </property>
</Properties>
</file>