
<file path=[Content_Types].xml><?xml version="1.0" encoding="utf-8"?>
<Types xmlns="http://schemas.openxmlformats.org/package/2006/content-types">
  <Default ContentType="application/vnd.openxmlformats-package.relationships+xml" Extension="rels"/>
  <Default ContentType="application/vnd.openxmlformats-officedocument.spreadsheetml.sheet" Extension="xlsx"/>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6.xml"/>
  <Override ContentType="application/vnd.openxmlformats-officedocument.drawingml.chart+xml" PartName="/word/charts/chart7.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7193"/>
      <w:bookmarkStart w:id="1" w:name="_Toc15396597"/>
      <w:bookmarkStart w:id="2" w:name="_Toc15396475"/>
      <w:bookmarkStart w:id="3" w:name="_Toc15377425"/>
      <w:bookmarkStart w:id="4" w:name="_Toc15378441"/>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u/>
        </w:rPr>
        <w:t>2022</w:t>
      </w:r>
      <w:r>
        <w:rPr>
          <w:b w:val="on"/>
          <w:sz w:val="72"/>
          <w:u w:color="auto"/>
        </w:rPr>
        <w:t>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7426"/>
      <w:bookmarkStart w:id="7" w:name="_Toc15396598"/>
      <w:bookmarkStart w:id="8" w:name="_Toc15306268"/>
      <w:bookmarkStart w:id="9" w:name="_Toc15378442"/>
      <w:bookmarkStart w:id="10" w:name="_Toc15377194"/>
      <w:bookmarkStart w:id="11" w:name="_Toc15396476"/>
      <w:r>
        <w:rPr>
          <w:rFonts w:asciiTheme="minorEastAsia" w:hAnsiTheme="minorEastAsia" w:eastAsiaTheme="minorEastAsia"/>
          <w:b/>
          <w:sz w:val="72"/>
          <w:szCs w:val="72"/>
        </w:rPr>
        <w:t>阿坝州红原县公务服务中心</w:t>
      </w:r>
      <w:r>
        <w:rPr>
          <w:rFonts w:hint="eastAsia" w:asciiTheme="minorEastAsia" w:hAnsiTheme="minorEastAsia" w:eastAsiaTheme="minorEastAsia"/>
          <w:b/>
          <w:sz w:val="72"/>
          <w:szCs w:val="72"/>
          <w:u/>
        </w:rPr>
        <w:t>部门</w:t>
      </w:r>
      <w:r>
        <w:rPr>
          <w:b w:val="on"/>
          <w:sz w:val="72"/>
          <w:u w:color="auto"/>
        </w:rPr>
        <w:t>决算</w:t>
      </w:r>
      <w:bookmarkEnd w:id="6"/>
      <w:bookmarkEnd w:id="7"/>
      <w:bookmarkEnd w:id="8"/>
      <w:bookmarkEnd w:id="9"/>
      <w:bookmarkEnd w:id="10"/>
      <w:bookmarkEnd w:id="11"/>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u/>
        </w:rPr>
        <w:t>部门</w:t>
      </w:r>
      <w:r>
        <w:rPr>
          <w:rFonts w:ascii="宋体" w:hAnsi="宋体" w:cs="宋体"/>
          <w:sz w:val="32"/>
          <w:u w:color="auto"/>
        </w:rPr>
        <w:t>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_Toc9016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u/>
        </w:rPr>
        <w:t>部门</w:t>
      </w:r>
      <w:r>
        <w:rPr>
          <w:rFonts w:ascii="黑体" w:eastAsia="黑体" w:hAnsi="黑体" w:cs="黑体"/>
          <w:u w:color="auto"/>
        </w:rPr>
        <w:t>概况</w:t>
      </w:r>
      <w:r>
        <w:tab/>
      </w:r>
      <w:r>
        <w:fldChar w:fldCharType="begin"/>
      </w:r>
      <w:r>
        <w:instrText xml:space="preserve"> PAGEREF _Toc9016 \h </w:instrText>
      </w:r>
      <w:r>
        <w:fldChar w:fldCharType="separate"/>
      </w:r>
      <w:r>
        <w:t>3</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_Toc28564 </w:instrText>
      </w:r>
      <w:r>
        <w:rPr>
          <w:smallCaps/>
          <w:szCs w:val="20"/>
        </w:rPr>
        <w:fldChar w:fldCharType="separate"/>
      </w:r>
      <w:r>
        <w:rPr>
          <w:rFonts w:hint="eastAsia" w:ascii="黑体" w:eastAsia="黑体" w:cs="Times New Roman"/>
          <w:bCs w:val="0"/>
        </w:rPr>
        <w:t>一、基本职能及主要工作</w:t>
      </w:r>
      <w:r>
        <w:tab/>
      </w:r>
      <w:r>
        <w:fldChar w:fldCharType="begin"/>
      </w:r>
      <w:r>
        <w:instrText xml:space="preserve"> PAGEREF _Toc28564 \h </w:instrText>
      </w:r>
      <w:r>
        <w:fldChar w:fldCharType="separate"/>
      </w:r>
      <w:r>
        <w:t>3</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_Toc22056 </w:instrText>
      </w:r>
      <w:r>
        <w:rPr>
          <w:smallCaps/>
          <w:szCs w:val="20"/>
        </w:rPr>
        <w:fldChar w:fldCharType="separate"/>
      </w:r>
      <w:r>
        <w:rPr>
          <w:rFonts w:hint="eastAsia" w:ascii="黑体" w:eastAsia="黑体" w:cs="Times New Roman"/>
          <w:bCs w:val="0"/>
        </w:rPr>
        <w:t>二、机构设置</w:t>
      </w:r>
      <w:r>
        <w:tab/>
      </w:r>
      <w:r>
        <w:fldChar w:fldCharType="begin"/>
      </w:r>
      <w:r>
        <w:instrText xml:space="preserve"> PAGEREF _Toc22056 \h </w:instrText>
      </w:r>
      <w:r>
        <w:fldChar w:fldCharType="separate"/>
      </w:r>
      <w:r>
        <w:t>3</w:t>
      </w:r>
      <w:r>
        <w:fldChar w:fldCharType="end"/>
      </w:r>
      <w:r>
        <w:rPr>
          <w:smallCaps/>
          <w:szCs w:val="20"/>
        </w:rPr>
        <w:fldChar w:fldCharType="end"/>
      </w:r>
    </w:p>
    <w:p>
      <w:pPr>
        <w:pStyle w:val="12"/>
        <w:tabs>
          <w:tab w:val="right" w:leader="dot" w:pos="8306"/>
          <w:tab w:val="clear" w:pos="8296"/>
        </w:tabs>
      </w:pPr>
      <w:r>
        <w:rPr>
          <w:smallCaps/>
          <w:szCs w:val="20"/>
        </w:rPr>
        <w:fldChar w:fldCharType="begin"/>
      </w:r>
      <w:r>
        <w:rPr>
          <w:smallCaps/>
          <w:szCs w:val="20"/>
        </w:rPr>
        <w:instrText xml:space="preserve"> HYPERLINK \l _Toc9058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u/>
        </w:rPr>
        <w:t>2022</w:t>
      </w:r>
      <w:r>
        <w:rPr>
          <w:rFonts w:ascii="黑体" w:eastAsia="黑体" w:hAnsi="黑体" w:cs="黑体"/>
          <w:u w:color="auto"/>
        </w:rPr>
        <w:t>年度</w:t>
      </w:r>
      <w:r>
        <w:rPr>
          <w:rFonts w:hint="eastAsia" w:ascii="黑体" w:hAnsi="黑体" w:eastAsia="黑体" w:cs="黑体"/>
          <w:lang w:val="en-US" w:eastAsia="zh-CN"/>
        </w:rPr>
        <w:t>部门</w:t>
      </w:r>
      <w:r>
        <w:rPr>
          <w:rFonts w:hint="eastAsia" w:ascii="黑体" w:hAnsi="黑体" w:eastAsia="黑体" w:cs="黑体"/>
        </w:rPr>
        <w:t>决算情况说明</w:t>
      </w:r>
      <w:r>
        <w:tab/>
      </w:r>
      <w:r>
        <w:fldChar w:fldCharType="begin"/>
      </w:r>
      <w:r>
        <w:instrText xml:space="preserve"> PAGEREF _Toc9058 \h </w:instrText>
      </w:r>
      <w:r>
        <w:fldChar w:fldCharType="separate"/>
      </w:r>
      <w:r>
        <w:t>4</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_Toc19710 </w:instrText>
      </w:r>
      <w:r>
        <w:rPr>
          <w:smallCaps/>
          <w:szCs w:val="20"/>
        </w:rPr>
        <w:fldChar w:fldCharType="separate"/>
      </w:r>
      <w:r>
        <w:rPr>
          <w:rFonts w:hint="eastAsia" w:ascii="黑体" w:eastAsia="黑体" w:cs="Times New Roman"/>
          <w:bCs w:val="0"/>
        </w:rPr>
        <w:t>一、收入支出决算总体情况说明</w:t>
      </w:r>
      <w:r>
        <w:tab/>
      </w:r>
      <w:r>
        <w:fldChar w:fldCharType="begin"/>
      </w:r>
      <w:r>
        <w:instrText xml:space="preserve"> PAGEREF _Toc19710 \h </w:instrText>
      </w:r>
      <w:r>
        <w:fldChar w:fldCharType="separate"/>
      </w:r>
      <w:r>
        <w:t>4</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_Toc8125 </w:instrText>
      </w:r>
      <w:r>
        <w:rPr>
          <w:smallCaps/>
          <w:szCs w:val="20"/>
        </w:rPr>
        <w:fldChar w:fldCharType="separate"/>
      </w:r>
      <w:r>
        <w:rPr>
          <w:rFonts w:hint="eastAsia" w:ascii="黑体" w:eastAsia="黑体" w:cs="Times New Roman"/>
          <w:bCs w:val="0"/>
        </w:rPr>
        <w:t>二、收入决算情况说明</w:t>
      </w:r>
      <w:r>
        <w:tab/>
      </w:r>
      <w:r>
        <w:fldChar w:fldCharType="begin"/>
      </w:r>
      <w:r>
        <w:instrText xml:space="preserve"> PAGEREF _Toc8125 \h </w:instrText>
      </w:r>
      <w:r>
        <w:fldChar w:fldCharType="separate"/>
      </w:r>
      <w:r>
        <w:t>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_Toc28283 </w:instrText>
      </w:r>
      <w:r>
        <w:rPr>
          <w:smallCaps/>
          <w:szCs w:val="20"/>
        </w:rPr>
        <w:fldChar w:fldCharType="separate"/>
      </w:r>
      <w:r>
        <w:rPr>
          <w:rFonts w:hint="eastAsia" w:ascii="黑体" w:eastAsia="黑体" w:cs="Times New Roman"/>
          <w:bCs w:val="0"/>
        </w:rPr>
        <w:t>三、支出决算情况说明</w:t>
      </w:r>
      <w:r>
        <w:tab/>
      </w:r>
      <w:r>
        <w:fldChar w:fldCharType="begin"/>
      </w:r>
      <w:r>
        <w:instrText xml:space="preserve"> PAGEREF _Toc28283 \h </w:instrText>
      </w:r>
      <w:r>
        <w:fldChar w:fldCharType="separate"/>
      </w:r>
      <w:r>
        <w:t>6</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_Toc19521 </w:instrText>
      </w:r>
      <w:r>
        <w:rPr>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_Toc19521 \h </w:instrText>
      </w:r>
      <w:r>
        <w:fldChar w:fldCharType="separate"/>
      </w:r>
      <w:r>
        <w:t>6</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_Toc14368 </w:instrText>
      </w:r>
      <w:r>
        <w:rPr>
          <w:smallCaps/>
          <w:szCs w:val="20"/>
        </w:rP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_Toc14368 \h </w:instrText>
      </w:r>
      <w:r>
        <w:fldChar w:fldCharType="separate"/>
      </w:r>
      <w:r>
        <w:t>7</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_Toc31578 </w:instrText>
      </w:r>
      <w:r>
        <w:rPr>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_Toc31578 \h </w:instrText>
      </w:r>
      <w:r>
        <w:fldChar w:fldCharType="separate"/>
      </w:r>
      <w:r>
        <w:t>9</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_Toc6614 </w:instrText>
      </w:r>
      <w:r>
        <w:rPr>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_Toc6614 \h </w:instrText>
      </w:r>
      <w:r>
        <w:fldChar w:fldCharType="separate"/>
      </w:r>
      <w:r>
        <w:t>9</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_Toc20439 </w:instrText>
      </w:r>
      <w:r>
        <w:rPr>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_Toc20439 \h </w:instrText>
      </w:r>
      <w:r>
        <w:fldChar w:fldCharType="separate"/>
      </w:r>
      <w:r>
        <w:t>11</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_Toc23467 </w:instrText>
      </w:r>
      <w:r>
        <w:rPr>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_Toc23467 \h </w:instrText>
      </w:r>
      <w:r>
        <w:fldChar w:fldCharType="separate"/>
      </w:r>
      <w:r>
        <w:t>12</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_Toc18455 </w:instrText>
      </w:r>
      <w:r>
        <w:rPr>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_Toc18455 \h </w:instrText>
      </w:r>
      <w:r>
        <w:fldChar w:fldCharType="separate"/>
      </w:r>
      <w:r>
        <w:t>12</w:t>
      </w:r>
      <w:r>
        <w:fldChar w:fldCharType="end"/>
      </w:r>
      <w:r>
        <w:rPr>
          <w:smallCaps/>
          <w:szCs w:val="20"/>
        </w:rPr>
        <w:fldChar w:fldCharType="end"/>
      </w:r>
    </w:p>
    <w:p>
      <w:pPr>
        <w:pStyle w:val="12"/>
        <w:tabs>
          <w:tab w:val="right" w:leader="dot" w:pos="8306"/>
          <w:tab w:val="clear" w:pos="8296"/>
        </w:tabs>
      </w:pPr>
      <w:r>
        <w:rPr>
          <w:smallCaps/>
          <w:szCs w:val="20"/>
        </w:rPr>
        <w:fldChar w:fldCharType="begin"/>
      </w:r>
      <w:r>
        <w:rPr>
          <w:smallCaps/>
          <w:szCs w:val="20"/>
        </w:rPr>
        <w:instrText xml:space="preserve"> HYPERLINK \l _Toc18122 </w:instrText>
      </w:r>
      <w:r>
        <w:rPr>
          <w:smallCaps/>
          <w:szCs w:val="20"/>
        </w:rPr>
        <w:fldChar w:fldCharType="separate"/>
      </w:r>
      <w:r>
        <w:rPr>
          <w:rFonts w:hint="eastAsia" w:ascii="黑体" w:hAnsi="黑体" w:eastAsia="黑体" w:cs="黑体"/>
        </w:rPr>
        <w:t>第三部分 名词解释</w:t>
      </w:r>
      <w:r>
        <w:tab/>
      </w:r>
      <w:r>
        <w:fldChar w:fldCharType="begin"/>
      </w:r>
      <w:r>
        <w:instrText xml:space="preserve"> PAGEREF _Toc18122 \h </w:instrText>
      </w:r>
      <w:r>
        <w:fldChar w:fldCharType="separate"/>
      </w:r>
      <w:r>
        <w:t>13</w:t>
      </w:r>
      <w:r>
        <w:fldChar w:fldCharType="end"/>
      </w:r>
      <w:r>
        <w:rPr>
          <w:smallCaps/>
          <w:szCs w:val="20"/>
        </w:rPr>
        <w:fldChar w:fldCharType="end"/>
      </w:r>
    </w:p>
    <w:p>
      <w:pPr>
        <w:pStyle w:val="12"/>
        <w:tabs>
          <w:tab w:val="right" w:leader="dot" w:pos="8306"/>
          <w:tab w:val="clear" w:pos="8296"/>
        </w:tabs>
      </w:pPr>
      <w:r>
        <w:rPr>
          <w:smallCaps/>
          <w:szCs w:val="20"/>
        </w:rPr>
        <w:fldChar w:fldCharType="begin"/>
      </w:r>
      <w:r>
        <w:rPr>
          <w:smallCaps/>
          <w:szCs w:val="20"/>
        </w:rPr>
        <w:instrText xml:space="preserve"> HYPERLINK \l _Toc25539 </w:instrText>
      </w:r>
      <w:r>
        <w:rPr>
          <w:smallCaps/>
          <w:szCs w:val="20"/>
        </w:rPr>
        <w:fldChar w:fldCharType="separate"/>
      </w:r>
      <w:r>
        <w:rPr>
          <w:rFonts w:hint="eastAsia" w:ascii="黑体" w:hAnsi="黑体" w:eastAsia="黑体" w:cs="黑体"/>
        </w:rPr>
        <w:t>第四部分 附件</w:t>
      </w:r>
      <w:r>
        <w:tab/>
      </w:r>
      <w:r>
        <w:fldChar w:fldCharType="begin"/>
      </w:r>
      <w:r>
        <w:instrText xml:space="preserve"> PAGEREF _Toc25539 \h </w:instrText>
      </w:r>
      <w:r>
        <w:fldChar w:fldCharType="separate"/>
      </w:r>
      <w:r>
        <w:t>15</w:t>
      </w:r>
      <w:r>
        <w:fldChar w:fldCharType="end"/>
      </w:r>
      <w:r>
        <w:rPr>
          <w:smallCaps/>
          <w:szCs w:val="20"/>
        </w:rPr>
        <w:fldChar w:fldCharType="end"/>
      </w:r>
    </w:p>
    <w:p>
      <w:pPr>
        <w:pStyle w:val="12"/>
        <w:tabs>
          <w:tab w:val="right" w:leader="dot" w:pos="8306"/>
          <w:tab w:val="clear" w:pos="8296"/>
        </w:tabs>
      </w:pPr>
      <w:r>
        <w:rPr>
          <w:smallCaps/>
          <w:szCs w:val="20"/>
        </w:rPr>
        <w:fldChar w:fldCharType="begin"/>
      </w:r>
      <w:r>
        <w:rPr>
          <w:smallCaps/>
          <w:szCs w:val="20"/>
        </w:rPr>
        <w:instrText xml:space="preserve"> HYPERLINK \l _Toc21200 </w:instrText>
      </w:r>
      <w:r>
        <w:rPr>
          <w:smallCaps/>
          <w:szCs w:val="20"/>
        </w:rPr>
        <w:fldChar w:fldCharType="separate"/>
      </w:r>
      <w:r>
        <w:rPr>
          <w:rFonts w:hint="eastAsia" w:ascii="黑体" w:hAnsi="黑体" w:eastAsia="黑体" w:cs="黑体"/>
        </w:rPr>
        <w:t>第五部分 附表</w:t>
      </w:r>
      <w:r>
        <w:tab/>
      </w:r>
      <w:r>
        <w:fldChar w:fldCharType="begin"/>
      </w:r>
      <w:r>
        <w:instrText xml:space="preserve"> PAGEREF _Toc21200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_Toc16431 </w:instrText>
      </w:r>
      <w:r>
        <w:rPr>
          <w:smallCaps/>
          <w:szCs w:val="20"/>
        </w:rPr>
        <w:fldChar w:fldCharType="separate"/>
      </w:r>
      <w:r>
        <w:rPr>
          <w:rFonts w:hint="eastAsia" w:ascii="黑体" w:eastAsia="黑体" w:cs="Times New Roman"/>
          <w:bCs w:val="0"/>
        </w:rPr>
        <w:t>一、收入支出决算总表</w:t>
      </w:r>
      <w:r>
        <w:tab/>
      </w:r>
      <w:r>
        <w:fldChar w:fldCharType="begin"/>
      </w:r>
      <w:r>
        <w:instrText xml:space="preserve"> PAGEREF _Toc16431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_Toc25389 </w:instrText>
      </w:r>
      <w:r>
        <w:rPr>
          <w:smallCaps/>
          <w:szCs w:val="20"/>
        </w:rPr>
        <w:fldChar w:fldCharType="separate"/>
      </w:r>
      <w:r>
        <w:rPr>
          <w:rFonts w:hint="eastAsia" w:ascii="黑体" w:eastAsia="黑体" w:cs="Times New Roman"/>
          <w:bCs w:val="0"/>
        </w:rPr>
        <w:t>二、收入决算表</w:t>
      </w:r>
      <w:r>
        <w:tab/>
      </w:r>
      <w:r>
        <w:fldChar w:fldCharType="begin"/>
      </w:r>
      <w:r>
        <w:instrText xml:space="preserve"> PAGEREF _Toc25389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_Toc10450 </w:instrText>
      </w:r>
      <w:r>
        <w:rPr>
          <w:smallCaps/>
          <w:szCs w:val="20"/>
        </w:rPr>
        <w:fldChar w:fldCharType="separate"/>
      </w:r>
      <w:r>
        <w:rPr>
          <w:rFonts w:hint="eastAsia" w:ascii="黑体" w:eastAsia="黑体" w:cs="Times New Roman"/>
          <w:bCs w:val="0"/>
        </w:rPr>
        <w:t>三、支出决算表</w:t>
      </w:r>
      <w:r>
        <w:tab/>
      </w:r>
      <w:r>
        <w:fldChar w:fldCharType="begin"/>
      </w:r>
      <w:r>
        <w:instrText xml:space="preserve"> PAGEREF _Toc10450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_Toc15415 </w:instrText>
      </w:r>
      <w:r>
        <w:rPr>
          <w:smallCaps/>
          <w:szCs w:val="20"/>
        </w:rPr>
        <w:fldChar w:fldCharType="separate"/>
      </w:r>
      <w:r>
        <w:rPr>
          <w:rFonts w:hint="eastAsia" w:ascii="黑体" w:eastAsia="黑体" w:cs="Times New Roman"/>
          <w:bCs w:val="0"/>
        </w:rPr>
        <w:t>四、财政拨款收入支出决算总表</w:t>
      </w:r>
      <w:r>
        <w:tab/>
      </w:r>
      <w:r>
        <w:fldChar w:fldCharType="begin"/>
      </w:r>
      <w:r>
        <w:instrText xml:space="preserve"> PAGEREF _Toc15415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_Toc17530 </w:instrText>
      </w:r>
      <w:r>
        <w:rPr>
          <w:smallCaps/>
          <w:szCs w:val="20"/>
        </w:rPr>
        <w:fldChar w:fldCharType="separate"/>
      </w:r>
      <w:r>
        <w:rPr>
          <w:rFonts w:hint="eastAsia" w:ascii="黑体" w:eastAsia="黑体" w:cs="Times New Roman"/>
          <w:bCs w:val="0"/>
        </w:rPr>
        <w:t>五、财政拨款支出决算明细表</w:t>
      </w:r>
      <w:r>
        <w:tab/>
      </w:r>
      <w:r>
        <w:fldChar w:fldCharType="begin"/>
      </w:r>
      <w:r>
        <w:instrText xml:space="preserve"> PAGEREF _Toc17530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_Toc22032 </w:instrText>
      </w:r>
      <w:r>
        <w:rPr>
          <w:smallCaps/>
          <w:szCs w:val="20"/>
        </w:rPr>
        <w:fldChar w:fldCharType="separate"/>
      </w:r>
      <w:r>
        <w:rPr>
          <w:rFonts w:hint="eastAsia" w:ascii="黑体" w:eastAsia="黑体" w:cs="Times New Roman"/>
          <w:bCs w:val="0"/>
        </w:rPr>
        <w:t>六、一般公共预算财政拨款支出决算表</w:t>
      </w:r>
      <w:r>
        <w:tab/>
      </w:r>
      <w:r>
        <w:fldChar w:fldCharType="begin"/>
      </w:r>
      <w:r>
        <w:instrText xml:space="preserve"> PAGEREF _Toc22032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_Toc3364 </w:instrText>
      </w:r>
      <w:r>
        <w:rPr>
          <w:smallCaps/>
          <w:szCs w:val="20"/>
        </w:rPr>
        <w:fldChar w:fldCharType="separate"/>
      </w:r>
      <w:r>
        <w:rPr>
          <w:rFonts w:hint="eastAsia" w:ascii="黑体" w:eastAsia="黑体" w:cs="Times New Roman"/>
          <w:bCs w:val="0"/>
        </w:rPr>
        <w:t>七、一般公共预算财政拨款支出决算明细表</w:t>
      </w:r>
      <w:r>
        <w:tab/>
      </w:r>
      <w:r>
        <w:fldChar w:fldCharType="begin"/>
      </w:r>
      <w:r>
        <w:instrText xml:space="preserve"> PAGEREF _Toc3364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_Toc9110 </w:instrText>
      </w:r>
      <w:r>
        <w:rPr>
          <w:smallCaps/>
          <w:szCs w:val="20"/>
        </w:rPr>
        <w:fldChar w:fldCharType="separate"/>
      </w:r>
      <w:r>
        <w:rPr>
          <w:rFonts w:hint="eastAsia" w:ascii="黑体" w:eastAsia="黑体" w:cs="Times New Roman"/>
          <w:bCs w:val="0"/>
        </w:rPr>
        <w:t>八、一般公共预算财政拨款基本支出决算表</w:t>
      </w:r>
      <w:r>
        <w:tab/>
      </w:r>
      <w:r>
        <w:fldChar w:fldCharType="begin"/>
      </w:r>
      <w:r>
        <w:instrText xml:space="preserve"> PAGEREF _Toc9110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_Toc28582 </w:instrText>
      </w:r>
      <w:r>
        <w:rPr>
          <w:smallCaps/>
          <w:szCs w:val="20"/>
        </w:rPr>
        <w:fldChar w:fldCharType="separate"/>
      </w:r>
      <w:r>
        <w:rPr>
          <w:rFonts w:hint="eastAsia" w:ascii="黑体" w:eastAsia="黑体" w:cs="Times New Roman"/>
          <w:bCs w:val="0"/>
        </w:rPr>
        <w:t>九、一般公共预算财政拨款项目支出决算表</w:t>
      </w:r>
      <w:r>
        <w:tab/>
      </w:r>
      <w:r>
        <w:fldChar w:fldCharType="begin"/>
      </w:r>
      <w:r>
        <w:instrText xml:space="preserve"> PAGEREF _Toc28582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_Toc22001 </w:instrText>
      </w:r>
      <w:r>
        <w:rPr>
          <w:smallCaps/>
          <w:szCs w:val="20"/>
        </w:rPr>
        <w:fldChar w:fldCharType="separate"/>
      </w:r>
      <w:r>
        <w:rPr>
          <w:rFonts w:hint="eastAsia" w:ascii="黑体" w:eastAsia="黑体" w:cs="Times New Roman"/>
          <w:bCs w:val="0"/>
        </w:rPr>
        <w:t>十、政府性基金预算财政拨款收入支出决算表</w:t>
      </w:r>
      <w:r>
        <w:tab/>
      </w:r>
      <w:r>
        <w:fldChar w:fldCharType="begin"/>
      </w:r>
      <w:r>
        <w:instrText xml:space="preserve"> PAGEREF _Toc22001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_Toc6538 </w:instrText>
      </w:r>
      <w:r>
        <w:rPr>
          <w:smallCaps/>
          <w:szCs w:val="20"/>
        </w:rPr>
        <w:fldChar w:fldCharType="separate"/>
      </w:r>
      <w:r>
        <w:rPr>
          <w:rFonts w:hint="eastAsia" w:ascii="黑体" w:eastAsia="黑体" w:cs="Times New Roman"/>
          <w:bCs w:val="0"/>
        </w:rPr>
        <w:t>十一、国有资本经营预算财政拨款收入支出决算表</w:t>
      </w:r>
      <w:r>
        <w:tab/>
      </w:r>
      <w:r>
        <w:fldChar w:fldCharType="begin"/>
      </w:r>
      <w:r>
        <w:instrText xml:space="preserve"> PAGEREF _Toc6538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_Toc10625 </w:instrText>
      </w:r>
      <w:r>
        <w:rPr>
          <w:smallCaps/>
          <w:szCs w:val="20"/>
        </w:rPr>
        <w:fldChar w:fldCharType="separate"/>
      </w:r>
      <w:r>
        <w:rPr>
          <w:rFonts w:hint="eastAsia" w:ascii="黑体" w:eastAsia="黑体" w:cs="Times New Roman"/>
          <w:bCs w:val="0"/>
        </w:rPr>
        <w:t>十二、国有资本经营预算财政拨款支出决算表</w:t>
      </w:r>
      <w:r>
        <w:tab/>
      </w:r>
      <w:r>
        <w:fldChar w:fldCharType="begin"/>
      </w:r>
      <w:r>
        <w:instrText xml:space="preserve"> PAGEREF _Toc10625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_Toc28356 </w:instrText>
      </w:r>
      <w:r>
        <w:rPr>
          <w:smallCaps/>
          <w:szCs w:val="20"/>
        </w:rPr>
        <w:fldChar w:fldCharType="separate"/>
      </w:r>
      <w:r>
        <w:rPr>
          <w:rFonts w:hint="eastAsia" w:ascii="黑体" w:eastAsia="黑体" w:cs="Times New Roman"/>
          <w:bCs w:val="0"/>
        </w:rPr>
        <w:t>十三、财政拨款“三公”经费支出决算表</w:t>
      </w:r>
      <w:r>
        <w:tab/>
      </w:r>
      <w:r>
        <w:fldChar w:fldCharType="begin"/>
      </w:r>
      <w:r>
        <w:instrText xml:space="preserve"> PAGEREF _Toc28356 \h </w:instrText>
      </w:r>
      <w:r>
        <w:fldChar w:fldCharType="separate"/>
      </w:r>
      <w:r>
        <w:t>15</w:t>
      </w:r>
      <w:r>
        <w:fldChar w:fldCharType="end"/>
      </w:r>
      <w:r>
        <w:rPr>
          <w:smallCaps/>
          <w:szCs w:val="20"/>
        </w:rP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9016"/>
      <w:bookmarkStart w:id="14" w:name="_Toc111208495"/>
      <w:r>
        <w:rPr>
          <w:rFonts w:hint="eastAsia" w:ascii="黑体" w:hAnsi="黑体" w:eastAsia="黑体" w:cs="黑体"/>
        </w:rPr>
        <w:t xml:space="preserve">第一部分 </w:t>
      </w:r>
      <w:r>
        <w:rPr>
          <w:rStyle w:val="28"/>
          <w:rFonts w:hint="eastAsia" w:ascii="黑体" w:hAnsi="黑体" w:eastAsia="黑体" w:cs="黑体"/>
          <w:b/>
          <w:bCs w:val="0"/>
          <w:u/>
        </w:rPr>
        <w:t>部门</w:t>
      </w:r>
      <w:r>
        <w:rPr>
          <w:rStyle w:val="28"/>
          <w:b w:val="on"/>
          <w:rFonts w:ascii="黑体" w:eastAsia="黑体" w:hAnsi="黑体" w:cs="黑体"/>
          <w:u w:color="auto"/>
        </w:rPr>
        <w:t>概况</w:t>
      </w:r>
      <w:bookmarkEnd w:id="12"/>
      <w:bookmarkEnd w:id="13"/>
      <w:bookmarkEnd w:id="14"/>
    </w:p>
    <w:p>
      <w:pPr>
        <w:pStyle w:val="4"/>
        <w:ind w:firstLine="643" w:firstLineChars="200"/>
        <w:rPr>
          <w:rFonts w:ascii="黑体" w:eastAsia="黑体" w:cs="Times New Roman"/>
          <w:bCs w:val="0"/>
          <w:color w:val="000000"/>
        </w:rPr>
      </w:pPr>
      <w:bookmarkStart w:id="15" w:name="_Toc113981010"/>
      <w:bookmarkStart w:id="16" w:name="_Toc15377197"/>
      <w:bookmarkStart w:id="17" w:name="_Toc28564"/>
      <w:bookmarkStart w:id="18" w:name="_Toc111208496"/>
      <w:bookmarkStart w:id="19" w:name="_Toc15377204"/>
      <w:r>
        <w:rPr>
          <w:rFonts w:hint="eastAsia" w:ascii="黑体" w:eastAsia="黑体" w:cs="Times New Roman"/>
          <w:bCs w:val="0"/>
          <w:color w:val="000000"/>
        </w:rPr>
        <w:t>一、基本职能及主要工作</w:t>
      </w:r>
      <w:bookmarkEnd w:id="15"/>
      <w:bookmarkEnd w:id="16"/>
      <w:bookmarkEnd w:id="17"/>
      <w:bookmarkEnd w:id="18"/>
      <w:bookmarkStart w:id="20" w:name="_Toc15377198"/>
      <w:bookmarkStart w:id="21" w:name="_Toc15378445"/>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（一）主要职能</w:t>
      </w:r>
      <w:bookmarkEnd w:id="20"/>
      <w:bookmarkEnd w:id="21"/>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仿宋" w:hAnsi="仿宋" w:eastAsia="仿宋"/>
          <w:color w:val="000000"/>
          <w:sz w:val="32"/>
          <w:szCs w:val="32"/>
        </w:rPr>
        <w:t>（1）负责党和国家领导人（含曾经担任）、省委、省人大、省政府、省政协副省级以上、州委、州人大、州政府、州政协副厅级领导（含曾经但任）来县的服务保障。</w:t>
        <w:cr/>
        <w:t>（2）按照有关规定负责和参与党中央、国务院、省委、省政府、州委、州政府巡视、检查、督查（督导、督察）、考察、调研、考核、审计等工作组来县的服务保障。</w:t>
        <w:cr/>
        <w:t>（3）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w:t>
        <w:cr/>
        <w:t>（4）负责或参与外省（州、市、区、县）党政代表团来县考察的协调联络和服务保障。</w:t>
        <w:cr/>
        <w:t>（5）负责我县党政代表团赴外省（州、市、区、县）考察的协调联络和服务保障。</w:t>
        <w:cr/>
        <w:t>（6）负责县委、县政府交办的由县公务服务中心承担的外事接待和招商引资事项的服务保障。</w:t>
        <w:cr/>
        <w:t>（7）按照中央八项规定和省委、省政府十项规定及其实施细则要求，负责联系协调县级有关部门及关联单位承办州委、州政府重大公务活动的服务工作。</w:t>
        <w:cr/>
        <w:t>（8）会同县级有关部门承担县委、县政府交办的大型会议、活动的接待服务保障工作。</w:t>
        <w:cr/>
        <w:t>（9）指导县级部门的公务活动服务保障工作，参与拟订全县公务服务相关规定。</w:t>
        <w:cr/>
        <w:t xml:space="preserve">（10）负责办理中办警卫局、省警卫局安排的有关在县事务。    </w:t>
        <w:cr/>
        <w:t>（11）负责县级机关食堂管理工作。</w:t>
        <w:cr/>
        <w:t>（12）完成县委、县政府交办的其他任务。</w:t>
      </w:r>
    </w:p>
    <w:p>
      <w:pPr>
        <w:spacing w:line="600" w:lineRule="exact"/>
        <w:ind w:firstLine="643" w:firstLineChars="200"/>
        <w:outlineLvl w:val="2"/>
        <w:rPr>
          <w:rFonts w:ascii="仿宋" w:hAnsi="仿宋" w:eastAsia="仿宋"/>
          <w:b/>
          <w:color w:val="000000"/>
          <w:sz w:val="32"/>
          <w:szCs w:val="32"/>
        </w:rPr>
      </w:pPr>
      <w:bookmarkStart w:id="22" w:name="_Toc15377199"/>
      <w:bookmarkStart w:id="23" w:name="_Toc15378446"/>
      <w:r>
        <w:rPr>
          <w:rFonts w:hint="eastAsia" w:ascii="仿宋" w:hAnsi="仿宋" w:eastAsia="仿宋"/>
          <w:b/>
          <w:color w:val="000000"/>
          <w:sz w:val="32"/>
          <w:szCs w:val="32"/>
        </w:rPr>
        <w:t>（二）</w:t>
      </w:r>
      <w:r>
        <w:rPr>
          <w:rFonts w:ascii="仿宋" w:hAnsi="仿宋" w:eastAsia="仿宋"/>
          <w:b/>
          <w:color w:val="000000"/>
          <w:sz w:val="32"/>
          <w:szCs w:val="32"/>
        </w:rPr>
        <w:t>2022</w:t>
      </w:r>
      <w:r>
        <w:rPr>
          <w:rFonts w:hint="eastAsia" w:ascii="仿宋" w:hAnsi="仿宋" w:eastAsia="仿宋"/>
          <w:b/>
          <w:color w:val="000000"/>
          <w:sz w:val="32"/>
          <w:szCs w:val="32"/>
        </w:rPr>
        <w:t>重点工作完成情况</w:t>
      </w:r>
      <w:bookmarkEnd w:id="22"/>
      <w:bookmarkEnd w:id="23"/>
      <w:bookmarkStart w:id="24" w:name="_Toc1537720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olor w:val="000000"/>
          <w:sz w:val="32"/>
          <w:szCs w:val="32"/>
        </w:rPr>
      </w:pPr>
      <w:r>
        <w:rPr>
          <w:rFonts w:ascii="仿宋" w:hAnsi="仿宋" w:eastAsia="仿宋"/>
          <w:color w:val="000000"/>
          <w:sz w:val="32"/>
          <w:szCs w:val="32"/>
        </w:rPr>
        <w:t/>
        <w:cr/>
        <w:t>一、坚持厉行节约，公务活动保障务实高效</w:t>
        <w:cr/>
        <w:t xml:space="preserve"> 一是抓好规章制度落实。严格落实中央“八项规定”、“六项禁令”，省州十项规定，州委州政府八条意见，抓好《党政机关厉行节约反对浪费条例》《四川省党政机关国内公务接待管理办法》等政策的贯彻执行，始终坚持“有利公务、务实节俭、严格标准、简化礼仪、高效透明”的原则，规范各各级类公务接待活动，严格执行政务接待标准，控制接待经费，坚决禁止无公函、超标准、超范围接待。</w:t>
        <w:cr/>
        <w:t>二是打造优质特色服务。牢固树立“细节决定成败”理念，在接待礼仪上，对待来宾和随行人员彬彬有礼、谦和友善、热情大方；在住宿安排上，精心挑选干净卫生、设施条件好、服务质量高的酒店为定点接待酒店；在膳食服务上，结合宾客的饮食习惯，突出地方风味和区域特色，精心安排菜肴；在安全管理上，保证客人及其物品、信息资料的安全。</w:t>
        <w:cr/>
        <w:t>三是高效完成各类保障任务。建立“部门牵头、密切配合、协作联动”的工作机制，加强与牵头部门、来宾单位以及接待酒店、宾馆的沟通衔接，增强工作衔接度；始终坚持“有利公务、务实节俭、严格标准、简化礼仪、高效透明”的原则，规范各类公务接待活动，严格执行公务接待标准，控制接待经费，坚决禁止超标准、超范围接待。打造优质服务特色，牢固树立“细节决定成败”的理念，在接待礼仪上，对待来宾和随行人员彬彬有礼、谦和友善；在住宿安排上，精心挑选干净卫生、设施条件好服务质量高，保密意识强的酒店为指定接待点；在膳食服务上，结合宾客的需求、在例行节约、反对浪费的前提下尽量做到突出本地风味和区域特色，精心安排饮食菜肴；在安全管理上，保证客人及其物品、信息资料的安全。加强与牵头部门、来宾单位及接待酒店的沟通衔接工作。截止目前，我中心先后圆满完成了中央、省、州领导来我县各类公务接待活动250余批次，高效有序的完成了中央组织部调研组、国家乡村振兴科技特派团工作组、国家财政部资环司若尔盖国家公园创建、全国工商联第三联系工作调研组、浙江省政协专题调研组、浙江省驻四川省对口支援工作考察调研组、省政协专项活动调研组、省纪委调研组、省委政法委涉藏反分维稳工作调研组、省委统战部调研组、省委第十巡视组、黄河干流若尔盖段应急处置工程现场督导组等127批次的后勤服务保障工作；完成了国家生态环境部西南督查局环保督查组、全国、省、州人大代表沿黄河流域阿坝州段生态保护和高质量发展情况专题调研组、省内定点帮扶工作组、州风险防控和矛盾纠纷排查化解工作组、红原大草原雅克音乐季等系列重大文旅活动后勤保障、红原县实施2022乡村振兴战略暨示范乡镇创建工作现场办公会、红原县项目攻坚年暨县委农村工作、乡村振兴工作推进会等123批次后勤服务保障工作。</w:t>
        <w:cr/>
        <w:t>二、坚持精细管理，综合服务工作保障有力</w:t>
        <w:cr/>
        <w:t>一是机关食堂改造，完善制度。为进一步改善干部职工用餐环境，提高机关食堂后勤保障服务质量，今年来对县机关食堂进行全面改造，设施设备更新、功能布局优化。切实为干部职工提供温馨舒适的就餐环境、整洁干净的桌椅餐具，确保干部职工有个安全、卫生、舒心、放心的就餐体验。二是做好“6.10”地震后勤保障。6月10日凌晨，阿坝州马尔康市连续发生地震，最高6.0级。红原县及周边地区震感强烈。地震发生后，我中心高度重视，及时组织干部职工迅速集结，积极响应，全力做好抗震救灾后勤保障服务工作，中心安排两名干部一台车连夜赶往灾区运送后勤保障物资，为赶赴灾区一线的领导干部提供简单的日常生活物资，切实做到“闻令而动，保障有力”。同时，做好查尔玛乡查龙村后勤应急物资保障，确保抢险人员后勤服务工作。三是提升能力，开展业务培训。为进一步提提高工作人员公务文明礼仪素养，树立良好形象，4月22日开展公务服务礼仪专题培训，公务服务中心全体干部职工及县内重点定点接待场所服务骨干人员参加此次培训。</w:t>
        <w:cr/>
        <w:t>三、坚持完善制度，后勤管理工作科学规范</w:t>
        <w:cr/>
        <w:t>立足实际，按照“增速提效、简化礼仪、勤俭务实、大方合理”的原则，将机关单位和定点接待点纳入规范范围，对接待原则、接待范围、接待标准、接待方案制定、经费管理等作出明确要求，执行统一的接待标准。严格实行“按标准接待、按程序报账、按制度规范”、“财务工作专人负责、经费支出事前报告”的接待经费管理模式，整个接待过程做到有章可依、流程明确、监督到位。</w:t>
        <w:cr/>
        <w:t>四、坚持党建引领，中心自身建设迈上新台阶</w:t>
        <w:cr/>
        <w:t>一是抓实党建工作任务。严格落实党建工作责任，坚持党建工作与业务工作同部署、同实施、同检查，实现党建工作与业务工作相互促进。二是加强思想建设，坚定正确政治方向以开展“党史”学习教育活动为载体，采取集中与分散学、统一与自主等方式，不断强化理论知识学习，认真学习党的二十次全国代表大会会议精神、习近平总书记来川系列讲话精神，省第十二次党代会精神、以及州委和县委重要会议精神，切实提高干部职工的思想认识，自觉增强政治站位；反复学习中央八项规定和省、州、县有关规定；系统学习《红原县贯彻落实&lt;中国共产党重大事项请示报告条例&gt;的实施细则》《关于落实请销假的若干规定》等制度。通过学习，不断提高全体干部职工的理论水平、廉洁意识和业务能力，增强拒腐防变的能力，做到“不闯红线、不踏禁区”。</w:t>
        <w:cr/>
        <w:t>五、不断强化责任意识，服务后勤保障更加勤俭廉洁</w:t>
        <w:cr/>
        <w:t>（一）强化廉洁意识，提升服务质效。一是加强中心党风廉政建设。认真贯彻落实上级党委、政府重大决策及工作部署，坚持依法行政，依法办事，围绕大局尽职尽责开展工作。坚持重大决策、重大人事任免、重大项目安排和大额资金使用等“三重一大”事项集体研究、集体决策。始终坚持集体领导和个人分工相结合，各负其责、团结共事。切实履行“一岗双责”，坚守勤政廉洁的底线，时时处处严格要求，增强廉洁从政意识，筑牢思想防线，确保各项工作落实到实处。严格执行接待审批制、接待公函制、接待清单制、对口接待制以及接待信息公开制等制度，做到无公函不接待、无审批不安排、无清单不报销、无会审不入档。</w:t>
        <w:cr/>
        <w:t>二是健全完善规章制度。立足实际，按照“提速增效、简化礼仪、勤俭务实、大方合理”的原则，对接待原则、接待范围、接待标准、接待方案制定、经费管理等作出明确要求，执行统一的接待标准。严格实行“按标准接待、按程序报账、按制度规范”、“财务工作专人负责、经费支出事前报告、费用结算当日办结”的接待经费管理模式，整个接待过程做到有章可依、流程明确、监督到位。</w:t>
      </w:r>
    </w:p>
    <w:p>
      <w:pPr>
        <w:pStyle w:val="4"/>
        <w:ind w:firstLine="643" w:firstLineChars="200"/>
        <w:rPr>
          <w:rFonts w:ascii="黑体" w:eastAsia="黑体" w:cs="Times New Roman"/>
          <w:bCs w:val="0"/>
          <w:color w:val="000000"/>
        </w:rPr>
      </w:pPr>
      <w:bookmarkStart w:id="25" w:name="_Toc113981011"/>
      <w:bookmarkStart w:id="26" w:name="_Toc22056"/>
      <w:bookmarkStart w:id="27" w:name="_Toc111208497"/>
      <w:r>
        <w:rPr>
          <w:rFonts w:hint="eastAsia" w:ascii="黑体" w:eastAsia="黑体" w:cs="Times New Roman"/>
          <w:bCs w:val="0"/>
          <w:color w:val="000000"/>
        </w:rPr>
        <w:t>二、机构设置</w:t>
      </w:r>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olor w:val="000000"/>
          <w:sz w:val="32"/>
          <w:szCs w:val="32"/>
        </w:rPr>
      </w:pPr>
      <w:r>
        <w:rPr>
          <w:rFonts w:ascii="仿宋" w:hAnsi="仿宋" w:eastAsia="仿宋"/>
          <w:color w:val="000000"/>
          <w:sz w:val="32"/>
          <w:szCs w:val="32"/>
        </w:rPr>
        <w:t>单位内部设办公室、接待股、后勤资产管理股。在职12人阿坝州红原县公务服务中心无下属二级单位</w:t>
      </w:r>
    </w:p>
    <w:p>
      <w:pPr>
        <w:widowControl/>
        <w:jc w:val="left"/>
        <w:rPr>
          <w:rFonts w:ascii="仿宋_GB2312" w:hAnsi="黑体" w:eastAsia="仿宋_GB2312"/>
          <w:b/>
          <w:bCs/>
          <w:color w:val="000000"/>
          <w:kern w:val="44"/>
          <w:sz w:val="44"/>
          <w:szCs w:val="44"/>
        </w:rPr>
      </w:pPr>
      <w:r>
        <w:rPr>
          <w:rFonts w:ascii="仿宋_GB2312" w:hAnsi="黑体" w:eastAsia="仿宋_GB2312"/>
          <w:color w:val="000000"/>
        </w:rPr>
        <w:br w:type="page"/>
      </w:r>
    </w:p>
    <w:p>
      <w:pPr>
        <w:pStyle w:val="3"/>
        <w:jc w:val="center"/>
        <w:rPr>
          <w:rFonts w:ascii="黑体" w:hAnsi="黑体" w:eastAsia="黑体" w:cs="黑体"/>
        </w:rPr>
      </w:pPr>
      <w:bookmarkStart w:id="28" w:name="_Toc111208498"/>
      <w:bookmarkStart w:id="29" w:name="_Toc905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u/>
        </w:rPr>
        <w:t>2022</w:t>
      </w:r>
      <w:r>
        <w:rPr>
          <w:rFonts w:ascii="黑体" w:eastAsia="黑体" w:hAnsi="黑体" w:cs="黑体"/>
          <w:u w:color="auto"/>
        </w:rPr>
        <w:t>年度</w:t>
      </w:r>
      <w:r>
        <w:rPr>
          <w:rFonts w:hint="eastAsia" w:ascii="黑体" w:hAnsi="黑体" w:eastAsia="黑体" w:cs="黑体"/>
          <w:lang w:val="en-US" w:eastAsia="zh-CN"/>
        </w:rPr>
        <w:t>部门</w:t>
      </w:r>
      <w:r>
        <w:rPr>
          <w:rFonts w:hint="eastAsia" w:ascii="黑体" w:hAnsi="黑体" w:eastAsia="黑体" w:cs="黑体"/>
        </w:rPr>
        <w:t>决算情况说明</w:t>
      </w:r>
      <w:bookmarkEnd w:id="19"/>
      <w:bookmarkEnd w:id="28"/>
      <w:bookmarkEnd w:id="29"/>
    </w:p>
    <w:p>
      <w:pPr>
        <w:pStyle w:val="4"/>
        <w:ind w:firstLine="643" w:firstLineChars="200"/>
        <w:rPr>
          <w:rFonts w:ascii="黑体" w:eastAsia="黑体" w:cs="Times New Roman"/>
          <w:bCs w:val="0"/>
          <w:color w:val="000000"/>
        </w:rPr>
      </w:pPr>
      <w:bookmarkStart w:id="30" w:name="_Toc15377205"/>
      <w:bookmarkStart w:id="31" w:name="_Toc19710"/>
      <w:bookmarkStart w:id="32" w:name="_Toc111208499"/>
      <w:r>
        <w:rPr>
          <w:rFonts w:hint="eastAsia" w:ascii="黑体" w:eastAsia="黑体" w:cs="Times New Roman"/>
          <w:bCs w:val="0"/>
          <w:color w:val="000000"/>
        </w:rPr>
        <w:t>一、收入支出决算总体情况说</w:t>
      </w:r>
      <w:bookmarkEnd w:id="30"/>
      <w:r>
        <w:rPr>
          <w:rFonts w:hint="eastAsia" w:ascii="黑体" w:eastAsia="黑体" w:cs="Times New Roman"/>
          <w:bCs w:val="0"/>
          <w:color w:val="000000"/>
        </w:rPr>
        <w:t>明</w:t>
      </w:r>
      <w:bookmarkEnd w:id="31"/>
      <w:bookmarkEnd w:id="3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2022</w:t>
      </w:r>
      <w:r>
        <w:rPr>
          <w:rFonts w:hint="eastAsia" w:ascii="仿宋" w:hAnsi="仿宋" w:eastAsia="仿宋"/>
          <w:color w:val="000000"/>
          <w:sz w:val="32"/>
          <w:szCs w:val="32"/>
          <w:u/>
        </w:rPr>
        <w:t>年度收入总计</w:t>
      </w:r>
      <w:r>
        <w:rPr>
          <w:color w:val="000000"/>
          <w:rFonts w:ascii="仿宋" w:eastAsia="仿宋" w:hAnsi="仿宋"/>
          <w:sz w:val="32"/>
          <w:u w:color="auto"/>
        </w:rPr>
        <w:t>950.60</w:t>
      </w:r>
      <w:r>
        <w:rPr>
          <w:color w:val="000000"/>
          <w:rFonts w:ascii="仿宋" w:eastAsia="仿宋" w:hAnsi="仿宋"/>
          <w:sz w:val="32"/>
          <w:u w:color="auto"/>
        </w:rPr>
        <w:t>万元，支出总计</w:t>
      </w:r>
      <w:r>
        <w:rPr>
          <w:color w:val="000000"/>
          <w:rFonts w:ascii="仿宋" w:eastAsia="仿宋" w:hAnsi="仿宋"/>
          <w:sz w:val="32"/>
          <w:u w:color="auto"/>
        </w:rPr>
        <w:t>950.60</w:t>
      </w:r>
      <w:r>
        <w:rPr>
          <w:color w:val="000000"/>
          <w:rFonts w:ascii="仿宋" w:eastAsia="仿宋" w:hAnsi="仿宋"/>
          <w:sz w:val="32"/>
          <w:u w:color="auto"/>
        </w:rPr>
        <w:t>万元。与</w:t>
      </w:r>
      <w:r>
        <w:rPr>
          <w:rFonts w:ascii="仿宋" w:hAnsi="仿宋" w:eastAsia="仿宋"/>
          <w:color w:val="000000"/>
          <w:sz w:val="32"/>
          <w:szCs w:val="32"/>
        </w:rPr>
        <w:t>2021</w:t>
      </w:r>
      <w:r>
        <w:rPr>
          <w:rFonts w:hint="eastAsia" w:ascii="仿宋" w:hAnsi="仿宋" w:eastAsia="仿宋"/>
          <w:color w:val="000000"/>
          <w:sz w:val="32"/>
          <w:szCs w:val="32"/>
          <w:u/>
        </w:rPr>
        <w:t>年相比，收入总计</w:t>
      </w:r>
      <w:r>
        <w:rPr>
          <w:color w:val="000000"/>
          <w:rFonts w:ascii="仿宋" w:eastAsia="仿宋" w:hAnsi="仿宋"/>
          <w:sz w:val="32"/>
          <w:u w:color="auto"/>
        </w:rPr>
        <w:t>增加188.91</w:t>
      </w:r>
      <w:r>
        <w:rPr>
          <w:color w:val="000000"/>
          <w:rFonts w:ascii="仿宋" w:eastAsia="仿宋" w:hAnsi="仿宋"/>
          <w:sz w:val="32"/>
          <w:u w:color="auto"/>
        </w:rPr>
        <w:t>万元，</w:t>
      </w:r>
      <w:r>
        <w:rPr>
          <w:color w:val="000000"/>
          <w:rFonts w:ascii="仿宋" w:eastAsia="仿宋" w:hAnsi="仿宋"/>
          <w:sz w:val="32"/>
          <w:u w:color="auto"/>
        </w:rPr>
        <w:t>增加24.8</w:t>
      </w:r>
      <w:r>
        <w:rPr>
          <w:color w:val="000000"/>
          <w:rFonts w:ascii="仿宋" w:eastAsia="仿宋" w:hAnsi="仿宋"/>
          <w:sz w:val="32"/>
          <w:u w:color="auto"/>
        </w:rPr>
        <w:t>%，支出总计</w:t>
      </w:r>
      <w:r>
        <w:rPr>
          <w:color w:val="000000"/>
          <w:rFonts w:ascii="仿宋" w:eastAsia="仿宋" w:hAnsi="仿宋"/>
          <w:sz w:val="32"/>
          <w:u w:color="auto"/>
        </w:rPr>
        <w:t>增加179.11</w:t>
      </w:r>
      <w:r>
        <w:rPr>
          <w:color w:val="000000"/>
          <w:rFonts w:ascii="仿宋" w:eastAsia="仿宋" w:hAnsi="仿宋"/>
          <w:sz w:val="32"/>
          <w:u w:color="auto"/>
        </w:rPr>
        <w:t>万元，</w:t>
      </w:r>
      <w:r>
        <w:rPr>
          <w:color w:val="000000"/>
          <w:rFonts w:ascii="仿宋" w:eastAsia="仿宋" w:hAnsi="仿宋"/>
          <w:sz w:val="32"/>
          <w:u w:color="auto"/>
        </w:rPr>
        <w:t>增加23.22</w:t>
      </w:r>
      <w:r>
        <w:rPr>
          <w:color w:val="000000"/>
          <w:rFonts w:ascii="仿宋" w:eastAsia="仿宋" w:hAnsi="仿宋"/>
          <w:sz w:val="32"/>
          <w:u w:color="auto"/>
        </w:rPr>
        <w:t>%。</w:t>
      </w:r>
    </w:p>
    <w:p>
      <w:pPr>
        <w:spacing w:line="600" w:lineRule="exact"/>
        <w:ind w:firstLine="640" w:firstLineChars="200"/>
        <w:rPr>
          <w:rFonts w:ascii="仿宋_GB2312" w:eastAsia="仿宋_GB2312"/>
          <w:color w:val="000000"/>
          <w:sz w:val="28"/>
          <w:szCs w:val="28"/>
        </w:rPr>
      </w:pPr>
      <w:r>
        <w:rPr>
          <w:rFonts w:hint="eastAsia" w:ascii="仿宋" w:hAnsi="仿宋" w:eastAsia="仿宋"/>
          <w:color w:val="000000"/>
          <w:sz w:val="32"/>
          <w:szCs w:val="32"/>
        </w:rPr>
        <w:t xml:space="preserve">主要变动原因是项目活动增加。 </w:t>
      </w:r>
    </w:p>
    <w:p>
      <w:pPr>
        <w:pStyle w:val="2"/>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r:id="rId6"/>
              </a:graphicData>
            </a:graphic>
          </wp:inline>
        </w:drawing>
      </w:r>
    </w:p>
    <w:p>
      <w:pPr>
        <w:spacing w:line="600" w:lineRule="exact"/>
        <w:ind w:firstLine="640" w:firstLineChars="200"/>
        <w:jc w:val="center"/>
      </w:pPr>
      <w:r>
        <w:rPr>
          <w:rFonts w:hint="eastAsia" w:ascii="仿宋" w:hAnsi="仿宋" w:eastAsia="仿宋"/>
          <w:color w:val="000000"/>
          <w:sz w:val="32"/>
          <w:szCs w:val="32"/>
        </w:rPr>
        <w:t>（图1：收、支决算总计变动情况图）</w:t>
      </w:r>
    </w:p>
    <w:p>
      <w:pPr>
        <w:pStyle w:val="4"/>
        <w:ind w:firstLine="643" w:firstLineChars="200"/>
        <w:rPr>
          <w:rFonts w:ascii="黑体" w:eastAsia="黑体" w:cs="Times New Roman"/>
          <w:bCs w:val="0"/>
          <w:color w:val="000000"/>
        </w:rPr>
      </w:pPr>
      <w:bookmarkStart w:id="33" w:name="_Toc111208500"/>
      <w:bookmarkStart w:id="34" w:name="_Toc8125"/>
      <w:bookmarkStart w:id="35" w:name="_Toc15377206"/>
      <w:r>
        <w:rPr>
          <w:rFonts w:hint="eastAsia" w:ascii="黑体" w:eastAsia="黑体" w:cs="Times New Roman"/>
          <w:bCs w:val="0"/>
          <w:color w:val="000000"/>
        </w:rPr>
        <w:t>二、收入决算情况说明</w:t>
      </w:r>
      <w:bookmarkEnd w:id="33"/>
      <w:bookmarkEnd w:id="34"/>
      <w:bookmarkEnd w:id="3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u/>
        </w:rPr>
        <w:t>2022</w:t>
      </w:r>
      <w:r>
        <w:rPr>
          <w:color w:val="000000"/>
          <w:rFonts w:ascii="仿宋" w:eastAsia="仿宋" w:hAnsi="仿宋"/>
          <w:sz w:val="32"/>
          <w:u w:color="auto"/>
        </w:rPr>
        <w:t>年本年收入合计</w:t>
      </w:r>
      <w:r>
        <w:rPr>
          <w:color w:val="000000"/>
          <w:rFonts w:ascii="仿宋" w:eastAsia="仿宋" w:hAnsi="仿宋"/>
          <w:sz w:val="32"/>
          <w:u w:color="auto"/>
        </w:rPr>
        <w:t>950.60</w:t>
      </w:r>
      <w:r>
        <w:rPr>
          <w:color w:val="000000"/>
          <w:rFonts w:ascii="仿宋" w:eastAsia="仿宋" w:hAnsi="仿宋"/>
          <w:sz w:val="32"/>
          <w:u w:color="auto"/>
        </w:rPr>
        <w:t>万元</w:t>
      </w:r>
      <w:r>
        <w:rPr>
          <w:rFonts w:hint="eastAsia" w:ascii="仿宋" w:hAnsi="仿宋" w:eastAsia="仿宋"/>
          <w:color w:val="000000"/>
          <w:sz w:val="32"/>
          <w:szCs w:val="32"/>
          <w:lang w:val="en-US" w:eastAsia="zh-CN"/>
        </w:rPr>
        <w:t>，其中:一般公共预算财政拨款收入950.60万元，占100.00%</w:t>
      </w:r>
      <w:r>
        <w:rPr>
          <w:rFonts w:hint="eastAsia" w:ascii="仿宋" w:hAnsi="仿宋" w:eastAsia="仿宋"/>
          <w:color w:val="000000"/>
          <w:sz w:val="32"/>
          <w:szCs w:val="32"/>
        </w:rPr>
        <w:t>。</w:t>
      </w:r>
    </w:p>
    <w:p>
      <w:pPr>
        <w:pStyle w:val="13"/>
        <w:ind w:left="1060" w:hanging="640"/>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r:id="rId7"/>
              </a:graphicData>
            </a:graphic>
          </wp:inline>
        </w:drawing>
      </w:r>
    </w:p>
    <w:p>
      <w:pPr>
        <w:spacing w:line="600" w:lineRule="exact"/>
        <w:ind w:firstLine="640" w:firstLineChars="200"/>
        <w:jc w:val="center"/>
      </w:pPr>
      <w:r>
        <w:rPr>
          <w:rFonts w:hint="eastAsia" w:ascii="仿宋" w:hAnsi="仿宋" w:eastAsia="仿宋"/>
          <w:color w:val="000000"/>
          <w:sz w:val="32"/>
          <w:szCs w:val="32"/>
        </w:rPr>
        <w:t>（图2：收入决算结构图）</w:t>
      </w:r>
    </w:p>
    <w:p>
      <w:pPr>
        <w:pStyle w:val="4"/>
        <w:ind w:firstLine="643" w:firstLineChars="200"/>
        <w:rPr>
          <w:rFonts w:ascii="黑体" w:eastAsia="黑体" w:cs="Times New Roman"/>
          <w:bCs w:val="0"/>
          <w:color w:val="000000"/>
        </w:rPr>
      </w:pPr>
      <w:bookmarkStart w:id="36" w:name="_Toc28283"/>
      <w:bookmarkStart w:id="37" w:name="_Toc15377207"/>
      <w:bookmarkStart w:id="38" w:name="_Toc111208501"/>
      <w:r>
        <w:rPr>
          <w:rFonts w:hint="eastAsia" w:ascii="黑体" w:eastAsia="黑体" w:cs="Times New Roman"/>
          <w:bCs w:val="0"/>
          <w:color w:val="000000"/>
        </w:rPr>
        <w:t>三、支出决算情况说明</w:t>
      </w:r>
      <w:bookmarkEnd w:id="36"/>
      <w:bookmarkEnd w:id="37"/>
      <w:bookmarkEnd w:id="38"/>
    </w:p>
    <w:p>
      <w:pPr>
        <w:pStyle w:val="2"/>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szCs w:val="32"/>
        </w:rPr>
        <w:t>年本年支出合计</w:t>
      </w:r>
      <w:r>
        <w:rPr>
          <w:rFonts w:hint="eastAsia" w:ascii="仿宋" w:hAnsi="仿宋" w:eastAsia="仿宋"/>
          <w:color w:val="000000"/>
          <w:sz w:val="32"/>
          <w:szCs w:val="32"/>
        </w:rPr>
        <w:t>950.60</w:t>
      </w:r>
      <w:r>
        <w:rPr>
          <w:rFonts w:ascii="仿宋" w:hAnsi="仿宋" w:eastAsia="仿宋"/>
          <w:color w:val="000000"/>
          <w:sz w:val="32"/>
          <w:szCs w:val="32"/>
        </w:rPr>
        <w:t>万元</w:t>
      </w:r>
      <w:r>
        <w:rPr>
          <w:rFonts w:hint="eastAsia" w:ascii="仿宋" w:hAnsi="仿宋" w:eastAsia="仿宋"/>
          <w:color w:val="000000"/>
          <w:sz w:val="32"/>
          <w:szCs w:val="32"/>
          <w:lang w:val="en-US" w:eastAsia="zh-CN"/>
        </w:rPr>
        <w:t>，其中:基本支出273.72万元，占28.79%；项目支出676.87万元，占71.21%</w:t>
      </w:r>
      <w:r>
        <w:rPr>
          <w:rFonts w:ascii="仿宋" w:hAnsi="仿宋" w:eastAsia="仿宋"/>
          <w:color w:val="000000"/>
          <w:sz w:val="32"/>
          <w:szCs w:val="32"/>
        </w:rPr>
        <w:t>。</w:t>
      </w:r>
    </w:p>
    <w:p>
      <w:pPr>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r:id="rId8"/>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（图3：支出决算结构图）</w:t>
      </w:r>
    </w:p>
    <w:p>
      <w:pPr>
        <w:pStyle w:val="4"/>
        <w:ind w:firstLine="643" w:firstLineChars="200"/>
        <w:rPr>
          <w:rFonts w:ascii="黑体" w:eastAsia="黑体" w:cs="Times New Roman"/>
          <w:bCs w:val="0"/>
          <w:color w:val="000000"/>
        </w:rPr>
      </w:pPr>
      <w:bookmarkStart w:id="39" w:name="_Toc111208502"/>
      <w:bookmarkStart w:id="40" w:name="_Toc19521"/>
      <w:bookmarkStart w:id="41" w:name="_Toc15377208"/>
      <w:r>
        <w:rPr>
          <w:rFonts w:hint="eastAsia" w:ascii="黑体" w:eastAsia="黑体" w:cs="Times New Roman"/>
          <w:bCs w:val="0"/>
          <w:color w:val="000000"/>
        </w:rPr>
        <w:t>四、财政拨款收入支出决算总体情况说明</w:t>
      </w:r>
      <w:bookmarkEnd w:id="39"/>
      <w:bookmarkEnd w:id="40"/>
      <w:bookmarkEnd w:id="41"/>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u/>
        </w:rPr>
        <w:t>2022</w:t>
      </w:r>
      <w:r>
        <w:rPr>
          <w:color w:val="000000"/>
          <w:rFonts w:ascii="仿宋" w:eastAsia="仿宋" w:hAnsi="仿宋"/>
          <w:sz w:val="32"/>
          <w:u w:color="auto"/>
        </w:rPr>
        <w:t>年财政拨款收入总计</w:t>
      </w:r>
      <w:r>
        <w:rPr>
          <w:color w:val="000000"/>
          <w:rFonts w:ascii="仿宋" w:eastAsia="仿宋" w:hAnsi="仿宋"/>
          <w:sz w:val="32"/>
          <w:u w:color="auto"/>
        </w:rPr>
        <w:t>950.60</w:t>
      </w:r>
      <w:r>
        <w:rPr>
          <w:color w:val="000000"/>
          <w:rFonts w:ascii="仿宋" w:eastAsia="仿宋" w:hAnsi="仿宋"/>
          <w:sz w:val="32"/>
          <w:u w:color="auto"/>
        </w:rPr>
        <w:t>万元，财政拨款支出总计</w:t>
      </w:r>
      <w:r>
        <w:rPr>
          <w:color w:val="000000"/>
          <w:rFonts w:ascii="仿宋" w:eastAsia="仿宋" w:hAnsi="仿宋"/>
          <w:sz w:val="32"/>
          <w:u w:color="auto"/>
        </w:rPr>
        <w:t>950.60</w:t>
      </w:r>
      <w:r>
        <w:rPr>
          <w:color w:val="000000"/>
          <w:rFonts w:ascii="仿宋" w:eastAsia="仿宋" w:hAnsi="仿宋"/>
          <w:sz w:val="32"/>
          <w:u w:color="auto"/>
        </w:rPr>
        <w:t>万元。与</w:t>
      </w:r>
      <w:r>
        <w:rPr>
          <w:color w:val="000000"/>
          <w:rFonts w:ascii="仿宋" w:eastAsia="仿宋" w:hAnsi="仿宋"/>
          <w:sz w:val="32"/>
          <w:u w:color="auto"/>
        </w:rPr>
        <w:t>2021</w:t>
      </w:r>
      <w:r>
        <w:rPr>
          <w:color w:val="000000"/>
          <w:rFonts w:ascii="仿宋" w:eastAsia="仿宋" w:hAnsi="仿宋"/>
          <w:sz w:val="32"/>
          <w:u w:color="auto"/>
        </w:rPr>
        <w:t>年相比，财政拨款收入总计</w:t>
      </w:r>
      <w:r>
        <w:rPr>
          <w:color w:val="000000"/>
          <w:rFonts w:ascii="仿宋" w:eastAsia="仿宋" w:hAnsi="仿宋"/>
          <w:sz w:val="32"/>
          <w:u w:color="auto"/>
        </w:rPr>
        <w:t>增加188.91</w:t>
      </w:r>
      <w:r>
        <w:rPr>
          <w:color w:val="000000"/>
          <w:rFonts w:ascii="仿宋" w:eastAsia="仿宋" w:hAnsi="仿宋"/>
          <w:sz w:val="32"/>
          <w:u w:color="auto"/>
        </w:rPr>
        <w:t>万元，</w:t>
      </w:r>
      <w:r>
        <w:rPr>
          <w:color w:val="000000"/>
          <w:rFonts w:ascii="仿宋" w:eastAsia="仿宋" w:hAnsi="仿宋"/>
          <w:sz w:val="32"/>
          <w:u w:color="auto"/>
        </w:rPr>
        <w:t>增加24.80</w:t>
      </w:r>
      <w:r>
        <w:rPr>
          <w:color w:val="000000"/>
          <w:rFonts w:ascii="仿宋" w:eastAsia="仿宋" w:hAnsi="仿宋"/>
          <w:sz w:val="32"/>
          <w:u w:color="auto"/>
        </w:rPr>
        <w:t>%，财政拨款支出总计</w:t>
      </w:r>
      <w:r>
        <w:rPr>
          <w:color w:val="000000"/>
          <w:rFonts w:ascii="仿宋" w:eastAsia="仿宋" w:hAnsi="仿宋"/>
          <w:sz w:val="32"/>
          <w:u w:color="auto"/>
        </w:rPr>
        <w:t>增加179.11</w:t>
      </w:r>
      <w:r>
        <w:rPr>
          <w:color w:val="000000"/>
          <w:rFonts w:ascii="仿宋" w:eastAsia="仿宋" w:hAnsi="仿宋"/>
          <w:sz w:val="32"/>
          <w:u w:color="auto"/>
        </w:rPr>
        <w:t>万元，</w:t>
      </w:r>
      <w:r>
        <w:rPr>
          <w:color w:val="000000"/>
          <w:rFonts w:ascii="仿宋" w:eastAsia="仿宋" w:hAnsi="仿宋"/>
          <w:sz w:val="32"/>
          <w:u w:color="auto"/>
        </w:rPr>
        <w:t>增加23.22</w:t>
      </w:r>
      <w:r>
        <w:rPr>
          <w:color w:val="000000"/>
          <w:rFonts w:ascii="仿宋" w:eastAsia="仿宋" w:hAnsi="仿宋"/>
          <w:sz w:val="32"/>
          <w:u w:color="auto"/>
        </w:rPr>
        <w:t>%。</w:t>
      </w:r>
    </w:p>
    <w:p>
      <w:pPr>
        <w:pStyle w:val="2"/>
        <w:rPr>
          <w:rFonts w:hint="eastAsia" w:ascii="仿宋_GB2312" w:hAnsi="仿宋" w:eastAsia="仿宋_GB2312"/>
          <w:color w:val="000000"/>
          <w:sz w:val="32"/>
          <w:szCs w:val="32"/>
        </w:rPr>
      </w:pPr>
      <w:r>
        <w:rPr>
          <w:rFonts w:hint="eastAsia" w:ascii="仿宋" w:hAnsi="仿宋" w:eastAsia="仿宋"/>
          <w:color w:val="000000"/>
          <w:sz w:val="32"/>
          <w:szCs w:val="32"/>
        </w:rPr>
        <w:t>主要变动原因是项目活动增加。</w:t>
      </w: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r:id="rId9"/>
              </a:graphicData>
            </a:graphic>
          </wp:inline>
        </w:drawing>
      </w:r>
    </w:p>
    <w:p>
      <w:pPr>
        <w:spacing w:line="600" w:lineRule="exact"/>
        <w:ind w:firstLine="640" w:firstLineChars="200"/>
        <w:jc w:val="center"/>
      </w:pPr>
      <w:r>
        <w:rPr>
          <w:rFonts w:hint="eastAsia" w:ascii="仿宋" w:hAnsi="仿宋" w:eastAsia="仿宋"/>
          <w:color w:val="000000"/>
          <w:sz w:val="32"/>
          <w:szCs w:val="32"/>
        </w:rPr>
        <w:t>（图4：财政拨款收、支决算总计变动情况）</w:t>
      </w:r>
    </w:p>
    <w:p>
      <w:pPr>
        <w:pStyle w:val="4"/>
        <w:ind w:firstLine="643" w:firstLineChars="200"/>
        <w:rPr>
          <w:rFonts w:ascii="黑体" w:eastAsia="黑体" w:cs="Times New Roman"/>
          <w:bCs w:val="0"/>
          <w:color w:val="000000"/>
        </w:rPr>
      </w:pPr>
      <w:bookmarkStart w:id="42" w:name="_Toc15377209"/>
      <w:bookmarkStart w:id="43" w:name="_Toc14368"/>
      <w:bookmarkStart w:id="44" w:name="_Toc111208503"/>
      <w:r>
        <w:rPr>
          <w:rFonts w:hint="eastAsia" w:ascii="黑体" w:eastAsia="黑体" w:cs="Times New Roman"/>
          <w:bCs w:val="0"/>
          <w:color w:val="000000"/>
        </w:rPr>
        <w:t>五、一般公共预算财政拨款支出决算情况说</w:t>
      </w:r>
      <w:bookmarkEnd w:id="42"/>
      <w:r>
        <w:rPr>
          <w:rFonts w:hint="eastAsia" w:ascii="黑体" w:eastAsia="黑体" w:cs="Times New Roman"/>
          <w:bCs w:val="0"/>
          <w:color w:val="000000"/>
        </w:rPr>
        <w:t>明</w:t>
      </w:r>
      <w:bookmarkEnd w:id="43"/>
      <w:bookmarkEnd w:id="44"/>
    </w:p>
    <w:p>
      <w:pPr>
        <w:spacing w:line="600" w:lineRule="exact"/>
        <w:ind w:firstLine="643" w:firstLineChars="200"/>
        <w:outlineLvl w:val="2"/>
        <w:rPr>
          <w:rFonts w:ascii="仿宋" w:hAnsi="仿宋" w:eastAsia="仿宋"/>
          <w:b/>
          <w:color w:val="000000"/>
          <w:sz w:val="32"/>
          <w:szCs w:val="32"/>
        </w:rPr>
      </w:pPr>
      <w:bookmarkStart w:id="45" w:name="_Toc15377210"/>
      <w:r>
        <w:rPr>
          <w:rFonts w:hint="eastAsia" w:ascii="仿宋" w:hAnsi="仿宋" w:eastAsia="仿宋"/>
          <w:b/>
          <w:color w:val="000000"/>
          <w:sz w:val="32"/>
          <w:szCs w:val="32"/>
        </w:rPr>
        <w:t>（一）一般公共预算财政拨款支出决算总体情况</w:t>
      </w:r>
      <w:bookmarkEnd w:id="45"/>
    </w:p>
    <w:p>
      <w:pPr>
        <w:spacing w:line="600" w:lineRule="exact"/>
        <w:ind w:firstLine="640" w:firstLineChars="200"/>
        <w:rPr>
          <w:rFonts w:ascii="仿宋_GB2312" w:hAnsi="仿宋" w:eastAsia="仿宋_GB2312"/>
          <w:color w:val="000000"/>
          <w:sz w:val="32"/>
          <w:szCs w:val="32"/>
        </w:rPr>
      </w:pPr>
      <w:bookmarkStart w:id="46" w:name="_Toc15377211"/>
      <w:r>
        <w:rPr>
          <w:rFonts w:hint="eastAsia" w:ascii="仿宋" w:hAnsi="仿宋" w:eastAsia="仿宋"/>
          <w:color w:val="000000"/>
          <w:sz w:val="32"/>
          <w:szCs w:val="32"/>
          <w:u/>
        </w:rPr>
        <w:t>2022</w:t>
      </w:r>
      <w:r>
        <w:rPr>
          <w:color w:val="000000"/>
          <w:rFonts w:ascii="仿宋" w:eastAsia="仿宋" w:hAnsi="仿宋"/>
          <w:sz w:val="32"/>
          <w:u w:color="auto"/>
        </w:rPr>
        <w:t>年一般公共预算财政拨款支出</w:t>
      </w:r>
      <w:r>
        <w:rPr>
          <w:color w:val="000000"/>
          <w:rFonts w:ascii="仿宋" w:eastAsia="仿宋" w:hAnsi="仿宋"/>
          <w:sz w:val="32"/>
          <w:u w:color="auto"/>
        </w:rPr>
        <w:t>950.60</w:t>
      </w:r>
      <w:r>
        <w:rPr>
          <w:rFonts w:hint="eastAsia" w:ascii="仿宋" w:hAnsi="仿宋" w:eastAsia="仿宋"/>
          <w:color w:val="000000"/>
          <w:sz w:val="32"/>
          <w:szCs w:val="32"/>
          <w:u/>
        </w:rPr>
        <w:t>万元，占本年支出合计的</w:t>
      </w:r>
      <w:r>
        <w:rPr>
          <w:color w:val="000000"/>
          <w:rFonts w:ascii="仿宋" w:eastAsia="仿宋" w:hAnsi="仿宋"/>
          <w:sz w:val="32"/>
          <w:u w:color="auto"/>
        </w:rPr>
        <w:t>100.00</w:t>
      </w:r>
      <w:r>
        <w:rPr>
          <w:rFonts w:hint="eastAsia" w:ascii="仿宋" w:hAnsi="仿宋" w:eastAsia="仿宋"/>
          <w:color w:val="000000"/>
          <w:sz w:val="32"/>
          <w:szCs w:val="32"/>
          <w:u/>
        </w:rPr>
        <w:t>%。与</w:t>
      </w:r>
      <w:r>
        <w:rPr>
          <w:color w:val="000000"/>
          <w:rFonts w:ascii="仿宋" w:eastAsia="仿宋" w:hAnsi="仿宋"/>
          <w:sz w:val="32"/>
          <w:u w:color="auto"/>
        </w:rPr>
        <w:t>2021</w:t>
      </w:r>
      <w:r>
        <w:rPr>
          <w:color w:val="000000"/>
          <w:rFonts w:ascii="仿宋" w:eastAsia="仿宋" w:hAnsi="仿宋"/>
          <w:sz w:val="32"/>
          <w:u w:color="auto"/>
        </w:rPr>
        <w:t>相比，一般公共预算财政拨款</w:t>
      </w:r>
      <w:r>
        <w:rPr>
          <w:color w:val="000000"/>
          <w:rFonts w:ascii="仿宋" w:eastAsia="仿宋" w:hAnsi="仿宋"/>
          <w:sz w:val="32"/>
          <w:u w:color="auto"/>
        </w:rPr>
        <w:t>增加179.11</w:t>
      </w:r>
      <w:r>
        <w:rPr>
          <w:rFonts w:hint="eastAsia" w:ascii="仿宋" w:hAnsi="仿宋" w:eastAsia="仿宋"/>
          <w:color w:val="000000"/>
          <w:sz w:val="32"/>
          <w:szCs w:val="32"/>
          <w:u/>
        </w:rPr>
        <w:t>万元，</w:t>
      </w:r>
      <w:r>
        <w:rPr>
          <w:color w:val="000000"/>
          <w:rFonts w:ascii="仿宋" w:eastAsia="仿宋" w:hAnsi="仿宋"/>
          <w:sz w:val="32"/>
          <w:u w:color="auto"/>
        </w:rPr>
        <w:t>增加23.22</w:t>
      </w:r>
      <w:r>
        <w:rPr>
          <w:rFonts w:hint="eastAsia" w:ascii="仿宋" w:hAnsi="仿宋" w:eastAsia="仿宋"/>
          <w:color w:val="000000"/>
          <w:sz w:val="32"/>
          <w:szCs w:val="32"/>
          <w:u/>
        </w:rPr>
        <w:t xml:space="preserve"> %。</w:t>
      </w:r>
      <w:r>
        <w:rPr>
          <w:color w:val="000000"/>
          <w:rFonts w:ascii="仿宋" w:eastAsia="仿宋" w:hAnsi="仿宋"/>
          <w:sz w:val="32"/>
          <w:u w:color="auto"/>
        </w:rPr>
        <w:t>主要变动原因是项目活动增加。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r:id="rId10"/>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6"/>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 w:hAnsi="仿宋" w:eastAsia="仿宋"/>
          <w:color w:val="000000"/>
          <w:sz w:val="32"/>
          <w:szCs w:val="32"/>
          <w:u/>
        </w:rPr>
        <w:t>2022</w:t>
      </w:r>
      <w:r>
        <w:rPr>
          <w:color w:val="000000"/>
          <w:rFonts w:ascii="仿宋" w:eastAsia="仿宋" w:hAnsi="仿宋"/>
          <w:sz w:val="32"/>
          <w:u w:color="auto"/>
        </w:rPr>
        <w:t>年一般公共预算财政拨款支出</w:t>
      </w:r>
      <w:r>
        <w:rPr>
          <w:color w:val="000000"/>
          <w:rFonts w:ascii="仿宋" w:eastAsia="仿宋" w:hAnsi="仿宋"/>
          <w:sz w:val="32"/>
          <w:u w:color="auto"/>
        </w:rPr>
        <w:t>950.60</w:t>
      </w:r>
      <w:r>
        <w:rPr>
          <w:rFonts w:hint="eastAsia" w:ascii="仿宋" w:hAnsi="仿宋" w:eastAsia="仿宋"/>
          <w:color w:val="000000"/>
          <w:sz w:val="32"/>
          <w:szCs w:val="32"/>
          <w:u/>
        </w:rPr>
        <w:t xml:space="preserve">万元，主要用于以下方面: </w:t>
      </w:r>
      <w:r>
        <w:rPr>
          <w:color w:val="000000"/>
          <w:rFonts w:ascii="仿宋" w:eastAsia="仿宋" w:hAnsi="仿宋"/>
          <w:sz w:val="32"/>
          <w:u w:color="auto"/>
        </w:rPr>
        <w:t>一般公共服务支出884.52万元，占93.05%；社会保障和就业支出33.02万元，占3.47%；卫生健康支出14.57万元，占1.53%；住房保障支出18.48万元，占1.95%</w:t>
      </w:r>
      <w:r>
        <w:rPr>
          <w:color w:val="000000"/>
          <w:rFonts w:ascii="仿宋" w:eastAsia="仿宋" w:hAnsi="仿宋"/>
          <w:sz w:val="32"/>
          <w:u w:color="auto"/>
        </w:rPr>
        <w:t>。</w:t>
      </w:r>
    </w:p>
    <w:p>
      <w:pPr>
        <w:pStyle w:val="2"/>
      </w:pPr>
      <w:bookmarkStart w:id="47" w:name="_Toc15377212"/>
      <w: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r:id="rId11"/>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pStyle w:val="2"/>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7"/>
    </w:p>
    <w:p>
      <w:pPr>
        <w:spacing w:line="600" w:lineRule="exact"/>
        <w:ind w:firstLine="640"/>
        <w:rPr>
          <w:rFonts w:ascii="仿宋" w:hAnsi="仿宋" w:eastAsia="仿宋"/>
          <w:color w:val="000000"/>
          <w:sz w:val="32"/>
          <w:szCs w:val="32"/>
        </w:rPr>
      </w:pPr>
      <w:bookmarkStart w:id="48" w:name="_Toc15377444"/>
      <w:bookmarkStart w:id="49" w:name="_Toc15378460"/>
      <w:bookmarkStart w:id="50" w:name="_Toc15377213"/>
      <w:r>
        <w:rPr>
          <w:rFonts w:hint="eastAsia" w:ascii="仿宋" w:hAnsi="仿宋" w:eastAsia="仿宋"/>
          <w:color w:val="000000"/>
          <w:sz w:val="32"/>
          <w:szCs w:val="32"/>
          <w:u/>
        </w:rPr>
        <w:t>2022</w:t>
      </w:r>
      <w:r>
        <w:rPr>
          <w:color w:val="000000"/>
          <w:rFonts w:ascii="仿宋" w:eastAsia="仿宋" w:hAnsi="仿宋"/>
          <w:sz w:val="32"/>
          <w:u w:color="auto"/>
        </w:rPr>
        <w:t>年一般公共预算支出决算数为</w:t>
      </w:r>
      <w:r>
        <w:rPr>
          <w:color w:val="000000"/>
          <w:rFonts w:ascii="仿宋" w:eastAsia="仿宋" w:hAnsi="仿宋"/>
          <w:sz w:val="32"/>
          <w:u w:color="auto"/>
        </w:rPr>
        <w:t>950.60</w:t>
      </w:r>
      <w:r>
        <w:rPr>
          <w:rFonts w:hint="eastAsia" w:ascii="仿宋" w:hAnsi="仿宋" w:eastAsia="仿宋"/>
          <w:color w:val="000000"/>
          <w:sz w:val="32"/>
          <w:szCs w:val="32"/>
        </w:rPr>
        <w:t>万元，完成预算100%。其中：</w:t>
      </w:r>
      <w:bookmarkEnd w:id="48"/>
      <w:bookmarkEnd w:id="49"/>
      <w:bookmarkEnd w:id="50"/>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1.一般公共服务支出（201）政府办公厅（室）及相关机构事务（20103）事业运行（2010350）支出决算207.65万元，完成预算100%。</w:t>
        <w:cr/>
        <w:t xml:space="preserve">    2.一般公共服务支出（201）政府办公厅（室）及相关机构事务（20103）其他政府办公厅（室）及相关机构事务支出（2010399）支出决算676.87万元，完成预算100%。</w:t>
        <w:cr/>
        <w:t xml:space="preserve">    3.社会保障和就业支出（208）行政事业单位养老支出（20805）机关事业单位基本养老保险缴费支出（2080505）支出决算22.01万元，完成预算100%。</w:t>
        <w:cr/>
        <w:t xml:space="preserve">    4.社会保障和就业支出（208）行政事业单位养老支出（20805）机关事业单位职业年金缴费支出（2080506）支出决算11.01万元，完成预算100%。</w:t>
        <w:cr/>
        <w:t xml:space="preserve">    5.卫生健康支出（210）行政事业单位医疗（21011）事业单位医疗（2101102）支出决算12.14万元，完成预算100%。</w:t>
        <w:cr/>
        <w:t xml:space="preserve">    6.卫生健康支出（210）行政事业单位医疗（21011）其他行政事业单位医疗支出（2101199）支出决算2.43万元，完成预算100%。</w:t>
        <w:cr/>
        <w:t xml:space="preserve">    7.住房保障支出（221）住房改革支出（22102）住房公积金（2210201）支出决算18.48万元，完成预算100%。</w:t>
      </w:r>
    </w:p>
    <w:p>
      <w:pPr>
        <w:pStyle w:val="4"/>
        <w:ind w:firstLine="643" w:firstLineChars="200"/>
        <w:rPr>
          <w:rFonts w:ascii="黑体" w:eastAsia="黑体" w:cs="Times New Roman"/>
          <w:b w:val="0"/>
          <w:color w:val="000000"/>
        </w:rPr>
      </w:pPr>
      <w:bookmarkStart w:id="51" w:name="_Toc15377214"/>
      <w:bookmarkStart w:id="52" w:name="_Toc31578"/>
      <w:bookmarkStart w:id="53" w:name="_Toc111208504"/>
      <w:r>
        <w:rPr>
          <w:rFonts w:hint="eastAsia" w:ascii="黑体" w:eastAsia="黑体" w:cs="Times New Roman"/>
          <w:bCs w:val="0"/>
          <w:color w:val="000000"/>
        </w:rPr>
        <w:t>六、一般公共预算财政拨款基本支出决算情况说</w:t>
      </w:r>
      <w:bookmarkEnd w:id="51"/>
      <w:r>
        <w:rPr>
          <w:rFonts w:hint="eastAsia" w:ascii="黑体" w:eastAsia="黑体" w:cs="Times New Roman"/>
          <w:bCs w:val="0"/>
          <w:color w:val="000000"/>
        </w:rPr>
        <w:t>明</w:t>
      </w:r>
      <w:bookmarkEnd w:id="52"/>
      <w:bookmarkEnd w:id="5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2022</w:t>
      </w:r>
      <w:r>
        <w:rPr>
          <w:color w:val="000000"/>
          <w:rFonts w:ascii="仿宋" w:eastAsia="仿宋" w:hAnsi="仿宋"/>
          <w:sz w:val="32"/>
          <w:u w:color="auto"/>
        </w:rPr>
        <w:t>年一般公共预算财政拨款基本支出</w:t>
      </w:r>
      <w:r>
        <w:rPr>
          <w:color w:val="000000"/>
          <w:rFonts w:ascii="仿宋" w:eastAsia="仿宋" w:hAnsi="仿宋"/>
          <w:sz w:val="32"/>
          <w:u w:color="auto"/>
        </w:rPr>
        <w:t>273.72</w:t>
      </w:r>
      <w:r>
        <w:rPr>
          <w:rFonts w:hint="eastAsia" w:ascii="仿宋" w:hAnsi="仿宋" w:eastAsia="仿宋"/>
          <w:color w:val="000000"/>
          <w:sz w:val="32"/>
          <w:szCs w:val="32"/>
        </w:rPr>
        <w:t>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人员经费</w:t>
      </w:r>
      <w:r>
        <w:rPr>
          <w:color w:val="000000"/>
          <w:rFonts w:ascii="仿宋" w:eastAsia="仿宋" w:hAnsi="仿宋"/>
          <w:sz w:val="32"/>
          <w:u w:color="auto"/>
        </w:rPr>
        <w:t>247.01</w:t>
      </w:r>
      <w:r>
        <w:rPr>
          <w:rFonts w:hint="eastAsia" w:ascii="仿宋" w:hAnsi="仿宋" w:eastAsia="仿宋"/>
          <w:color w:val="000000"/>
          <w:sz w:val="32"/>
          <w:szCs w:val="32"/>
          <w:u/>
        </w:rPr>
        <w:t>万元，主要包括：</w:t>
      </w:r>
      <w:r>
        <w:rPr>
          <w:color w:val="000000"/>
          <w:rFonts w:ascii="仿宋" w:eastAsia="仿宋" w:hAnsi="仿宋"/>
          <w:sz w:val="32"/>
          <w:u w:color="auto"/>
        </w:rPr>
        <w:t>基本工资48.59万元、津贴补贴94.92万元、奖金0.35万元、绩效工资33.16万元、机关事业单位基本养老保险缴费22.01万元、职业年金缴费11.01万元、职工基本医疗保险缴费12.14万元、公务员医疗补助缴费2.43万元、其他社会保障缴费2.66万元、住房公积金18.48万元、医疗费0.24万元、生活补助1.00万元、奖励金0.02万元</w:t>
      </w:r>
      <w:r>
        <w:rPr>
          <w:color w:val="000000"/>
          <w:rFonts w:ascii="仿宋" w:eastAsia="仿宋" w:hAnsi="仿宋"/>
          <w:sz w:val="32"/>
          <w:u w:color="auto"/>
        </w:rPr>
        <w:t>。</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公用经费</w:t>
      </w:r>
      <w:r>
        <w:rPr>
          <w:color w:val="000000"/>
          <w:rFonts w:ascii="仿宋" w:eastAsia="仿宋" w:hAnsi="仿宋"/>
          <w:sz w:val="32"/>
          <w:u w:color="auto"/>
        </w:rPr>
        <w:t>26.72</w:t>
      </w:r>
      <w:r>
        <w:rPr>
          <w:rFonts w:hint="eastAsia" w:ascii="仿宋" w:hAnsi="仿宋" w:eastAsia="仿宋"/>
          <w:color w:val="000000"/>
          <w:sz w:val="32"/>
          <w:szCs w:val="32"/>
          <w:u/>
        </w:rPr>
        <w:t>万元，主要包括：</w:t>
      </w:r>
      <w:r>
        <w:rPr>
          <w:color w:val="000000"/>
          <w:rFonts w:ascii="仿宋" w:eastAsia="仿宋" w:hAnsi="仿宋"/>
          <w:sz w:val="32"/>
          <w:u w:color="auto"/>
        </w:rPr>
        <w:t>办公费4.55万元、印刷费0.50万元、手续费0.10万元、水费0.27万元、电费6.50万元、邮电费1.00万元、差旅费3.50万元、维修（护）费0.07万元、劳务费0.18万元、工会经费1.34万元、公务用车运行维护费7.70万元、其他商品和服务支出1.02万元</w:t>
      </w:r>
      <w:r>
        <w:rPr>
          <w:rFonts w:hint="eastAsia" w:ascii="仿宋" w:hAnsi="仿宋" w:eastAsia="仿宋"/>
          <w:color w:val="000000"/>
          <w:sz w:val="32"/>
          <w:szCs w:val="32"/>
        </w:rPr>
        <w:t>。</w:t>
      </w:r>
    </w:p>
    <w:p>
      <w:pPr>
        <w:pStyle w:val="4"/>
        <w:ind w:firstLine="643" w:firstLineChars="200"/>
        <w:rPr>
          <w:rFonts w:ascii="黑体" w:eastAsia="黑体" w:cs="Times New Roman"/>
          <w:bCs w:val="0"/>
          <w:color w:val="000000"/>
        </w:rPr>
      </w:pPr>
      <w:bookmarkStart w:id="54" w:name="_Toc6614"/>
      <w:bookmarkStart w:id="55" w:name="_Toc111208505"/>
      <w:bookmarkStart w:id="56" w:name="_Toc15377215"/>
      <w:r>
        <w:rPr>
          <w:rFonts w:hint="eastAsia" w:ascii="黑体" w:eastAsia="黑体" w:cs="Times New Roman"/>
          <w:bCs w:val="0"/>
          <w:color w:val="000000"/>
        </w:rPr>
        <w:t>七、“三公”经费财政拨款支出决算情况说明</w:t>
      </w:r>
      <w:bookmarkEnd w:id="54"/>
      <w:bookmarkEnd w:id="55"/>
      <w:bookmarkEnd w:id="56"/>
    </w:p>
    <w:p>
      <w:pPr>
        <w:spacing w:line="600" w:lineRule="exact"/>
        <w:ind w:firstLine="643" w:firstLineChars="200"/>
        <w:outlineLvl w:val="2"/>
        <w:rPr>
          <w:rFonts w:ascii="仿宋" w:hAnsi="仿宋" w:eastAsia="仿宋"/>
          <w:b/>
          <w:color w:val="000000"/>
          <w:sz w:val="32"/>
          <w:szCs w:val="32"/>
        </w:rPr>
      </w:pPr>
      <w:bookmarkStart w:id="57" w:name="_Toc15377216"/>
      <w:r>
        <w:rPr>
          <w:rFonts w:hint="eastAsia" w:ascii="仿宋" w:hAnsi="仿宋" w:eastAsia="仿宋"/>
          <w:b/>
          <w:color w:val="000000"/>
          <w:sz w:val="32"/>
          <w:szCs w:val="32"/>
        </w:rPr>
        <w:t>（一）“三公”经费财政拨款支出决算总体情况说明</w:t>
      </w:r>
      <w:bookmarkEnd w:id="5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2022</w:t>
      </w:r>
      <w:r>
        <w:rPr>
          <w:color w:val="000000"/>
          <w:rFonts w:ascii="仿宋" w:eastAsia="仿宋" w:hAnsi="仿宋"/>
          <w:sz w:val="32"/>
          <w:u w:color="auto"/>
        </w:rPr>
        <w:t>年“三公”经费财政拨款支出决算为</w:t>
      </w:r>
      <w:r>
        <w:rPr>
          <w:color w:val="000000"/>
          <w:rFonts w:ascii="仿宋" w:eastAsia="仿宋" w:hAnsi="仿宋"/>
          <w:sz w:val="32"/>
          <w:u w:color="auto"/>
        </w:rPr>
        <w:t>187.64</w:t>
      </w:r>
      <w:r>
        <w:rPr>
          <w:rFonts w:hint="eastAsia" w:ascii="仿宋" w:hAnsi="仿宋" w:eastAsia="仿宋"/>
          <w:color w:val="000000"/>
          <w:sz w:val="32"/>
          <w:szCs w:val="32"/>
          <w:u/>
        </w:rPr>
        <w:t>万元，完成预算</w:t>
      </w:r>
      <w:r>
        <w:rPr>
          <w:color w:val="000000"/>
          <w:rFonts w:ascii="仿宋" w:eastAsia="仿宋" w:hAnsi="仿宋"/>
          <w:sz w:val="32"/>
          <w:u w:color="auto"/>
        </w:rPr>
        <w:t>100.00</w:t>
      </w:r>
      <w:r>
        <w:rPr>
          <w:rFonts w:hint="eastAsia" w:ascii="仿宋" w:hAnsi="仿宋" w:eastAsia="仿宋"/>
          <w:color w:val="000000"/>
          <w:sz w:val="32"/>
          <w:szCs w:val="32"/>
        </w:rPr>
        <w:t>%。</w:t>
      </w:r>
      <w:bookmarkStart w:id="58"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2022</w:t>
      </w:r>
      <w:r>
        <w:rPr>
          <w:color w:val="000000"/>
          <w:rFonts w:ascii="仿宋" w:eastAsia="仿宋" w:hAnsi="仿宋"/>
          <w:sz w:val="32"/>
          <w:u w:color="auto"/>
        </w:rPr>
        <w:t>年“三公”经费财政拨款支出</w:t>
      </w:r>
      <w:r>
        <w:rPr>
          <w:color w:val="000000"/>
          <w:rFonts w:ascii="仿宋" w:eastAsia="仿宋" w:hAnsi="仿宋"/>
          <w:sz w:val="32"/>
          <w:u w:color="auto"/>
        </w:rPr>
        <w:t>187.64</w:t>
      </w:r>
      <w:r>
        <w:rPr>
          <w:rFonts w:hint="eastAsia" w:ascii="仿宋" w:hAnsi="仿宋" w:eastAsia="仿宋"/>
          <w:color w:val="000000"/>
          <w:sz w:val="32"/>
          <w:szCs w:val="32"/>
          <w:u/>
        </w:rPr>
        <w:t>万元，因公出国（境）费支出决算</w:t>
      </w:r>
      <w:r>
        <w:rPr>
          <w:color w:val="000000"/>
          <w:rFonts w:ascii="仿宋" w:eastAsia="仿宋" w:hAnsi="仿宋"/>
          <w:sz w:val="32"/>
          <w:u w:color="auto"/>
        </w:rPr>
        <w:t>0.00</w:t>
      </w:r>
      <w:r>
        <w:rPr>
          <w:rFonts w:hint="eastAsia" w:ascii="仿宋" w:hAnsi="仿宋" w:eastAsia="仿宋"/>
          <w:color w:val="000000"/>
          <w:sz w:val="32"/>
          <w:szCs w:val="32"/>
          <w:u/>
        </w:rPr>
        <w:t>万元，占</w:t>
      </w:r>
      <w:r>
        <w:rPr>
          <w:color w:val="000000"/>
          <w:rFonts w:ascii="仿宋" w:eastAsia="仿宋" w:hAnsi="仿宋"/>
          <w:sz w:val="32"/>
          <w:u w:color="auto"/>
        </w:rPr>
        <w:t>0.00</w:t>
      </w:r>
      <w:r>
        <w:rPr>
          <w:rFonts w:hint="eastAsia" w:ascii="仿宋" w:hAnsi="仿宋" w:eastAsia="仿宋"/>
          <w:color w:val="000000"/>
          <w:sz w:val="32"/>
          <w:szCs w:val="32"/>
          <w:u/>
        </w:rPr>
        <w:t>%；公务用车购置及运行维护费支出决算</w:t>
      </w:r>
      <w:r>
        <w:rPr>
          <w:color w:val="000000"/>
          <w:rFonts w:ascii="仿宋" w:eastAsia="仿宋" w:hAnsi="仿宋"/>
          <w:sz w:val="32"/>
          <w:u w:color="auto"/>
        </w:rPr>
        <w:t>7.70</w:t>
      </w:r>
      <w:r>
        <w:rPr>
          <w:rFonts w:hint="eastAsia" w:ascii="仿宋" w:hAnsi="仿宋" w:eastAsia="仿宋"/>
          <w:color w:val="000000"/>
          <w:sz w:val="32"/>
          <w:szCs w:val="32"/>
          <w:u/>
        </w:rPr>
        <w:t>万元，占</w:t>
      </w:r>
      <w:r>
        <w:rPr>
          <w:color w:val="000000"/>
          <w:rFonts w:ascii="仿宋" w:eastAsia="仿宋" w:hAnsi="仿宋"/>
          <w:sz w:val="32"/>
          <w:u w:color="auto"/>
        </w:rPr>
        <w:t>4.11</w:t>
      </w:r>
      <w:r>
        <w:rPr>
          <w:rFonts w:hint="eastAsia" w:ascii="仿宋" w:hAnsi="仿宋" w:eastAsia="仿宋"/>
          <w:color w:val="000000"/>
          <w:sz w:val="32"/>
          <w:szCs w:val="32"/>
          <w:u/>
        </w:rPr>
        <w:t>%；公务接待费支出决算</w:t>
      </w:r>
      <w:r>
        <w:rPr>
          <w:color w:val="000000"/>
          <w:rFonts w:ascii="仿宋" w:eastAsia="仿宋" w:hAnsi="仿宋"/>
          <w:sz w:val="32"/>
          <w:u w:color="auto"/>
        </w:rPr>
        <w:t>179.93</w:t>
      </w:r>
      <w:r>
        <w:rPr>
          <w:rFonts w:hint="eastAsia" w:ascii="仿宋" w:hAnsi="仿宋" w:eastAsia="仿宋"/>
          <w:color w:val="000000"/>
          <w:sz w:val="32"/>
          <w:szCs w:val="32"/>
          <w:u/>
        </w:rPr>
        <w:t>万元，占</w:t>
      </w:r>
      <w:r>
        <w:rPr>
          <w:color w:val="000000"/>
          <w:rFonts w:ascii="仿宋" w:eastAsia="仿宋" w:hAnsi="仿宋"/>
          <w:sz w:val="32"/>
          <w:u w:color="auto"/>
        </w:rPr>
        <w:t>95.89</w:t>
      </w:r>
      <w:r>
        <w:rPr>
          <w:rFonts w:hint="eastAsia" w:ascii="仿宋" w:hAnsi="仿宋" w:eastAsia="仿宋"/>
          <w:color w:val="000000"/>
          <w:sz w:val="32"/>
          <w:szCs w:val="32"/>
        </w:rPr>
        <w:t>%。具体情况如下：</w:t>
      </w:r>
    </w:p>
    <w:p>
      <w:pPr>
        <w:pStyle w:val="2"/>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r:id="rId12"/>
              </a:graphicData>
            </a:graphic>
          </wp:inline>
        </w:drawing>
      </w:r>
    </w:p>
    <w:p>
      <w:pPr>
        <w:spacing w:line="600" w:lineRule="exact"/>
        <w:ind w:firstLine="640" w:firstLineChars="200"/>
        <w:jc w:val="center"/>
      </w:pPr>
      <w:r>
        <w:rPr>
          <w:rFonts w:hint="eastAsia" w:ascii="仿宋" w:hAnsi="仿宋" w:eastAsia="仿宋"/>
          <w:color w:val="000000"/>
          <w:sz w:val="32"/>
          <w:szCs w:val="32"/>
        </w:rPr>
        <w:t>（图7：“三公”经费财政拨款支出结构）</w:t>
      </w:r>
      <w:bookmarkStart w:id="93" w:name="_GoBack"/>
      <w:bookmarkEnd w:id="9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1.因公出国（境）经费支出</w:t>
      </w:r>
      <w:r>
        <w:rPr>
          <w:color w:val="000000"/>
          <w:rFonts w:ascii="仿宋" w:eastAsia="仿宋" w:hAnsi="仿宋"/>
          <w:sz w:val="32"/>
          <w:u w:color="auto"/>
        </w:rPr>
        <w:t>0.00</w:t>
      </w:r>
      <w:r>
        <w:rPr>
          <w:rFonts w:hint="eastAsia" w:ascii="仿宋" w:hAnsi="仿宋" w:eastAsia="仿宋"/>
          <w:color w:val="000000"/>
          <w:sz w:val="32"/>
          <w:szCs w:val="32"/>
          <w:u/>
        </w:rPr>
        <w:t>万元,完成预算100%。全年安排因公出国（境）团组</w:t>
      </w:r>
      <w:r>
        <w:rPr>
          <w:color w:val="000000"/>
          <w:rFonts w:ascii="仿宋" w:eastAsia="仿宋" w:hAnsi="仿宋"/>
          <w:sz w:val="32"/>
          <w:u w:color="auto"/>
        </w:rPr>
        <w:t>0</w:t>
      </w:r>
      <w:r>
        <w:rPr>
          <w:rFonts w:hint="eastAsia" w:ascii="仿宋" w:hAnsi="仿宋" w:eastAsia="仿宋"/>
          <w:color w:val="000000"/>
          <w:sz w:val="32"/>
          <w:szCs w:val="32"/>
          <w:u/>
        </w:rPr>
        <w:t>次，出国（境）</w:t>
      </w:r>
      <w:r>
        <w:rPr>
          <w:color w:val="000000"/>
          <w:rFonts w:ascii="仿宋" w:eastAsia="仿宋" w:hAnsi="仿宋"/>
          <w:sz w:val="32"/>
          <w:u w:color="auto"/>
        </w:rPr>
        <w:t>0</w:t>
      </w:r>
      <w:r>
        <w:rPr>
          <w:rFonts w:hint="eastAsia" w:ascii="仿宋" w:hAnsi="仿宋" w:eastAsia="仿宋"/>
          <w:color w:val="000000"/>
          <w:sz w:val="32"/>
          <w:szCs w:val="32"/>
          <w:u/>
        </w:rPr>
        <w:t>人。因公出国（境）支出决算比</w:t>
      </w:r>
      <w:r>
        <w:rPr>
          <w:color w:val="000000"/>
          <w:rFonts w:ascii="仿宋" w:eastAsia="仿宋" w:hAnsi="仿宋"/>
          <w:sz w:val="32"/>
          <w:u w:color="auto"/>
        </w:rPr>
        <w:t>2021</w:t>
      </w:r>
      <w:r>
        <w:rPr>
          <w:color w:val="000000"/>
          <w:rFonts w:ascii="仿宋" w:eastAsia="仿宋" w:hAnsi="仿宋"/>
          <w:sz w:val="32"/>
          <w:u w:color="auto"/>
        </w:rPr>
        <w:t>年</w:t>
      </w:r>
      <w:r>
        <w:rPr>
          <w:color w:val="000000"/>
          <w:rFonts w:ascii="仿宋" w:eastAsia="仿宋" w:hAnsi="仿宋"/>
          <w:sz w:val="32"/>
          <w:u w:color="auto"/>
        </w:rPr>
        <w:t>增加0.00</w:t>
      </w:r>
      <w:r>
        <w:rPr>
          <w:rFonts w:hint="eastAsia" w:ascii="仿宋" w:hAnsi="仿宋" w:eastAsia="仿宋"/>
          <w:color w:val="000000"/>
          <w:sz w:val="32"/>
          <w:szCs w:val="32"/>
          <w:u/>
        </w:rPr>
        <w:t>万元，</w:t>
      </w:r>
      <w:r>
        <w:rPr>
          <w:color w:val="000000"/>
          <w:rFonts w:ascii="仿宋" w:eastAsia="仿宋" w:hAnsi="仿宋"/>
          <w:sz w:val="32"/>
          <w:u w:color="auto"/>
        </w:rPr>
        <w:t>增加0.00</w:t>
      </w:r>
      <w:r>
        <w:rPr>
          <w:rFonts w:hint="eastAsia" w:ascii="仿宋" w:hAnsi="仿宋" w:eastAsia="仿宋"/>
          <w:color w:val="000000"/>
          <w:sz w:val="32"/>
          <w:szCs w:val="32"/>
          <w:u/>
        </w:rPr>
        <w:t xml:space="preserve"> %。</w:t>
      </w:r>
      <w:r>
        <w:rPr>
          <w:color w:val="000000"/>
          <w:rFonts w:ascii="仿宋" w:eastAsia="仿宋" w:hAnsi="仿宋"/>
          <w:sz w:val="32"/>
          <w:u w:color="auto"/>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2.公务用车购置及运行维护费支出</w:t>
      </w:r>
      <w:r>
        <w:rPr>
          <w:color w:val="000000"/>
          <w:rFonts w:ascii="仿宋" w:eastAsia="仿宋" w:hAnsi="仿宋"/>
          <w:sz w:val="32"/>
          <w:u w:color="auto"/>
        </w:rPr>
        <w:t>7.70</w:t>
      </w:r>
      <w:r>
        <w:rPr>
          <w:rFonts w:hint="eastAsia" w:ascii="仿宋" w:hAnsi="仿宋" w:eastAsia="仿宋"/>
          <w:color w:val="000000"/>
          <w:sz w:val="32"/>
          <w:szCs w:val="32"/>
          <w:u/>
        </w:rPr>
        <w:t>万元,完成预算</w:t>
      </w:r>
      <w:r>
        <w:rPr>
          <w:color w:val="000000"/>
          <w:rFonts w:ascii="仿宋" w:eastAsia="仿宋" w:hAnsi="仿宋"/>
          <w:sz w:val="32"/>
          <w:u w:color="auto"/>
        </w:rPr>
        <w:t>100.00</w:t>
      </w:r>
      <w:r>
        <w:rPr>
          <w:rFonts w:hint="eastAsia" w:ascii="仿宋" w:hAnsi="仿宋" w:eastAsia="仿宋"/>
          <w:color w:val="000000"/>
          <w:sz w:val="32"/>
          <w:szCs w:val="32"/>
          <w:u/>
        </w:rPr>
        <w:t>%。公务用车购置及运行维护费支出决算比</w:t>
      </w:r>
      <w:r>
        <w:rPr>
          <w:color w:val="000000"/>
          <w:rFonts w:ascii="仿宋" w:eastAsia="仿宋" w:hAnsi="仿宋"/>
          <w:sz w:val="32"/>
          <w:u w:color="auto"/>
        </w:rPr>
        <w:t>2021</w:t>
      </w:r>
      <w:r>
        <w:rPr>
          <w:color w:val="000000"/>
          <w:rFonts w:ascii="仿宋" w:eastAsia="仿宋" w:hAnsi="仿宋"/>
          <w:sz w:val="32"/>
          <w:u w:color="auto"/>
        </w:rPr>
        <w:t>年</w:t>
      </w:r>
      <w:r>
        <w:rPr>
          <w:color w:val="000000"/>
          <w:rFonts w:ascii="仿宋" w:eastAsia="仿宋" w:hAnsi="仿宋"/>
          <w:sz w:val="32"/>
          <w:u w:color="auto"/>
        </w:rPr>
        <w:t>增加2.03</w:t>
      </w:r>
      <w:r>
        <w:rPr>
          <w:rFonts w:hint="eastAsia" w:ascii="仿宋" w:hAnsi="仿宋" w:eastAsia="仿宋"/>
          <w:color w:val="000000"/>
          <w:sz w:val="32"/>
          <w:szCs w:val="32"/>
          <w:u/>
        </w:rPr>
        <w:t>万元，</w:t>
      </w:r>
      <w:r>
        <w:rPr>
          <w:color w:val="000000"/>
          <w:rFonts w:ascii="仿宋" w:eastAsia="仿宋" w:hAnsi="仿宋"/>
          <w:sz w:val="32"/>
          <w:u w:color="auto"/>
        </w:rPr>
        <w:t>增加26.39</w:t>
      </w:r>
      <w:r>
        <w:rPr>
          <w:rFonts w:hint="eastAsia" w:ascii="仿宋" w:hAnsi="仿宋" w:eastAsia="仿宋"/>
          <w:color w:val="000000"/>
          <w:sz w:val="32"/>
          <w:szCs w:val="32"/>
          <w:u/>
        </w:rPr>
        <w:t>%。</w:t>
      </w:r>
      <w:r>
        <w:rPr>
          <w:color w:val="000000"/>
          <w:rFonts w:ascii="仿宋" w:eastAsia="仿宋" w:hAnsi="仿宋"/>
          <w:sz w:val="32"/>
          <w:u w:color="auto"/>
        </w:rPr>
        <w:t xml:space="preserve">主要原因是公车维修。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u/>
        </w:rPr>
        <w:t>其中：公务用车购置支出</w:t>
      </w:r>
      <w:r>
        <w:rPr>
          <w:color w:val="000000"/>
          <w:rFonts w:ascii="仿宋" w:eastAsia="仿宋" w:hAnsi="仿宋"/>
          <w:sz w:val="32"/>
          <w:u w:color="auto"/>
        </w:rPr>
        <w:t>0.00</w:t>
      </w:r>
      <w:r>
        <w:rPr>
          <w:color w:val="000000"/>
          <w:rFonts w:ascii="仿宋" w:eastAsia="仿宋" w:hAnsi="仿宋"/>
          <w:sz w:val="32"/>
          <w:u w:color="auto"/>
        </w:rPr>
        <w:t>万元。全年按规定更新购置公务用车</w:t>
      </w:r>
      <w:r>
        <w:rPr>
          <w:color w:val="000000"/>
          <w:rFonts w:ascii="仿宋" w:eastAsia="仿宋" w:hAnsi="仿宋"/>
          <w:sz w:val="32"/>
          <w:u w:color="auto"/>
        </w:rPr>
        <w:t>0</w:t>
      </w:r>
      <w:r>
        <w:rPr>
          <w:color w:val="000000"/>
          <w:rFonts w:ascii="仿宋" w:eastAsia="仿宋" w:hAnsi="仿宋"/>
          <w:sz w:val="32"/>
          <w:u w:color="auto"/>
        </w:rPr>
        <w:t>辆，其中：轿车</w:t>
      </w:r>
      <w:r>
        <w:rPr>
          <w:color w:val="000000"/>
          <w:rFonts w:ascii="仿宋" w:eastAsia="仿宋" w:hAnsi="仿宋"/>
          <w:sz w:val="32"/>
          <w:u w:color="auto"/>
        </w:rPr>
        <w:t>0</w:t>
      </w:r>
      <w:r>
        <w:rPr>
          <w:color w:val="000000"/>
          <w:rFonts w:ascii="仿宋" w:eastAsia="仿宋" w:hAnsi="仿宋"/>
          <w:sz w:val="32"/>
          <w:u w:color="auto"/>
        </w:rPr>
        <w:t>辆、金额</w:t>
      </w:r>
      <w:r>
        <w:rPr>
          <w:color w:val="000000"/>
          <w:rFonts w:ascii="仿宋" w:eastAsia="仿宋" w:hAnsi="仿宋"/>
          <w:sz w:val="32"/>
          <w:u w:color="auto"/>
        </w:rPr>
        <w:t>0.00</w:t>
      </w:r>
      <w:r>
        <w:rPr>
          <w:color w:val="000000"/>
          <w:rFonts w:ascii="仿宋" w:eastAsia="仿宋" w:hAnsi="仿宋"/>
          <w:sz w:val="32"/>
          <w:u w:color="auto"/>
        </w:rPr>
        <w:t>万元，越野车</w:t>
      </w:r>
      <w:r>
        <w:rPr>
          <w:color w:val="000000"/>
          <w:rFonts w:ascii="仿宋" w:eastAsia="仿宋" w:hAnsi="仿宋"/>
          <w:sz w:val="32"/>
          <w:u w:color="auto"/>
        </w:rPr>
        <w:t>0</w:t>
      </w:r>
      <w:r>
        <w:rPr>
          <w:color w:val="000000"/>
          <w:rFonts w:ascii="仿宋" w:eastAsia="仿宋" w:hAnsi="仿宋"/>
          <w:sz w:val="32"/>
          <w:u w:color="auto"/>
        </w:rPr>
        <w:t>辆、金额</w:t>
      </w:r>
      <w:r>
        <w:rPr>
          <w:color w:val="000000"/>
          <w:rFonts w:ascii="仿宋" w:eastAsia="仿宋" w:hAnsi="仿宋"/>
          <w:sz w:val="32"/>
          <w:u w:color="auto"/>
        </w:rPr>
        <w:t>0.00</w:t>
      </w:r>
      <w:r>
        <w:rPr>
          <w:color w:val="000000"/>
          <w:rFonts w:ascii="仿宋" w:eastAsia="仿宋" w:hAnsi="仿宋"/>
          <w:sz w:val="32"/>
          <w:u w:color="auto"/>
        </w:rPr>
        <w:t>万元，载客汽车</w:t>
      </w:r>
      <w:r>
        <w:rPr>
          <w:color w:val="000000"/>
          <w:rFonts w:ascii="仿宋" w:eastAsia="仿宋" w:hAnsi="仿宋"/>
          <w:sz w:val="32"/>
          <w:u w:color="auto"/>
        </w:rPr>
        <w:t>0</w:t>
      </w:r>
      <w:r>
        <w:rPr>
          <w:color w:val="000000"/>
          <w:rFonts w:ascii="仿宋" w:eastAsia="仿宋" w:hAnsi="仿宋"/>
          <w:sz w:val="32"/>
          <w:u w:color="auto"/>
        </w:rPr>
        <w:t>辆、金额</w:t>
      </w:r>
      <w:r>
        <w:rPr>
          <w:color w:val="000000"/>
          <w:rFonts w:ascii="仿宋" w:eastAsia="仿宋" w:hAnsi="仿宋"/>
          <w:sz w:val="32"/>
          <w:u w:color="auto"/>
        </w:rPr>
        <w:t>0.00</w:t>
      </w:r>
      <w:r>
        <w:rPr>
          <w:color w:val="000000"/>
          <w:rFonts w:ascii="仿宋" w:eastAsia="仿宋" w:hAnsi="仿宋"/>
          <w:sz w:val="32"/>
          <w:u w:color="auto"/>
        </w:rPr>
        <w:t>万元。截至</w:t>
      </w:r>
      <w:r>
        <w:rPr>
          <w:rFonts w:ascii="仿宋" w:hAnsi="仿宋" w:eastAsia="仿宋"/>
          <w:color w:val="000000"/>
          <w:sz w:val="32"/>
          <w:szCs w:val="32"/>
        </w:rPr>
        <w:t>2022</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u/>
        </w:rPr>
        <w:t>月底，单位共有公务用车</w:t>
      </w:r>
      <w:r>
        <w:rPr>
          <w:color w:val="000000"/>
          <w:rFonts w:ascii="仿宋" w:eastAsia="仿宋" w:hAnsi="仿宋"/>
          <w:sz w:val="32"/>
          <w:u w:color="auto"/>
        </w:rPr>
        <w:t>1</w:t>
      </w:r>
      <w:r>
        <w:rPr>
          <w:rFonts w:hint="eastAsia" w:ascii="仿宋" w:hAnsi="仿宋" w:eastAsia="仿宋"/>
          <w:color w:val="000000"/>
          <w:sz w:val="32"/>
          <w:szCs w:val="32"/>
          <w:u/>
        </w:rPr>
        <w:t>辆，其中：轿车</w:t>
      </w:r>
      <w:r>
        <w:rPr>
          <w:color w:val="000000"/>
          <w:rFonts w:ascii="仿宋" w:eastAsia="仿宋" w:hAnsi="仿宋"/>
          <w:sz w:val="32"/>
          <w:u w:color="auto"/>
        </w:rPr>
        <w:t>0</w:t>
      </w:r>
      <w:r>
        <w:rPr>
          <w:color w:val="000000"/>
          <w:rFonts w:ascii="仿宋" w:eastAsia="仿宋" w:hAnsi="仿宋"/>
          <w:sz w:val="32"/>
          <w:u w:color="auto"/>
        </w:rPr>
        <w:t>辆、越野车</w:t>
      </w:r>
      <w:r>
        <w:rPr>
          <w:color w:val="000000"/>
          <w:rFonts w:ascii="仿宋" w:eastAsia="仿宋" w:hAnsi="仿宋"/>
          <w:sz w:val="32"/>
          <w:u w:color="auto"/>
        </w:rPr>
        <w:t>1</w:t>
      </w:r>
      <w:r>
        <w:rPr>
          <w:color w:val="000000"/>
          <w:rFonts w:ascii="仿宋" w:eastAsia="仿宋" w:hAnsi="仿宋"/>
          <w:sz w:val="32"/>
          <w:u w:color="auto"/>
        </w:rPr>
        <w:t>辆、载客汽车</w:t>
      </w:r>
      <w:r>
        <w:rPr>
          <w:color w:val="000000"/>
          <w:rFonts w:ascii="仿宋" w:eastAsia="仿宋" w:hAnsi="仿宋"/>
          <w:sz w:val="32"/>
          <w:u w:color="auto"/>
        </w:rPr>
        <w:t>0</w:t>
      </w:r>
      <w:r>
        <w:rPr>
          <w:color w:val="000000"/>
          <w:rFonts w:ascii="仿宋" w:eastAsia="仿宋" w:hAnsi="仿宋"/>
          <w:sz w:val="32"/>
          <w:u w:color="auto"/>
        </w:rPr>
        <w:t>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公务用车运行维护费支出</w:t>
      </w:r>
      <w:r>
        <w:rPr>
          <w:color w:val="000000"/>
          <w:rFonts w:ascii="仿宋" w:eastAsia="仿宋" w:hAnsi="仿宋"/>
          <w:sz w:val="32"/>
          <w:u w:color="auto"/>
        </w:rPr>
        <w:t>7.70</w:t>
      </w:r>
      <w:r>
        <w:rPr>
          <w:rFonts w:hint="eastAsia" w:ascii="仿宋" w:hAnsi="仿宋" w:eastAsia="仿宋"/>
          <w:color w:val="000000"/>
          <w:sz w:val="32"/>
          <w:szCs w:val="32"/>
          <w:u/>
        </w:rPr>
        <w:t>万元。</w:t>
      </w:r>
      <w:r>
        <w:rPr>
          <w:color w:val="000000"/>
          <w:rFonts w:ascii="仿宋" w:eastAsia="仿宋" w:hAnsi="仿宋"/>
          <w:sz w:val="32"/>
          <w:u w:color="auto"/>
        </w:rPr>
        <w:t xml:space="preserve">主要用于公车维修。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3.公务接待费支出</w:t>
      </w:r>
      <w:r>
        <w:rPr>
          <w:color w:val="000000"/>
          <w:rFonts w:ascii="仿宋" w:eastAsia="仿宋" w:hAnsi="仿宋"/>
          <w:sz w:val="32"/>
          <w:u w:color="auto"/>
        </w:rPr>
        <w:t>179.93</w:t>
      </w:r>
      <w:r>
        <w:rPr>
          <w:color w:val="000000"/>
          <w:rFonts w:ascii="仿宋" w:eastAsia="仿宋" w:hAnsi="仿宋"/>
          <w:sz w:val="32"/>
          <w:u w:color="auto"/>
        </w:rPr>
        <w:t>万元，完成预算</w:t>
      </w:r>
      <w:r>
        <w:rPr>
          <w:color w:val="000000"/>
          <w:rFonts w:ascii="仿宋" w:eastAsia="仿宋" w:hAnsi="仿宋"/>
          <w:sz w:val="32"/>
          <w:u w:color="auto"/>
        </w:rPr>
        <w:t>100.00</w:t>
      </w:r>
      <w:r>
        <w:rPr>
          <w:rFonts w:hint="eastAsia" w:ascii="仿宋" w:hAnsi="仿宋" w:eastAsia="仿宋"/>
          <w:color w:val="000000"/>
          <w:sz w:val="32"/>
          <w:szCs w:val="32"/>
          <w:u/>
        </w:rPr>
        <w:t>%。公务接待费支出决算比</w:t>
      </w:r>
      <w:r>
        <w:rPr>
          <w:color w:val="000000"/>
          <w:rFonts w:ascii="仿宋" w:eastAsia="仿宋" w:hAnsi="仿宋"/>
          <w:sz w:val="32"/>
          <w:u w:color="auto"/>
        </w:rPr>
        <w:t>2021</w:t>
      </w:r>
      <w:r>
        <w:rPr>
          <w:color w:val="000000"/>
          <w:rFonts w:ascii="仿宋" w:eastAsia="仿宋" w:hAnsi="仿宋"/>
          <w:sz w:val="32"/>
          <w:u w:color="auto"/>
        </w:rPr>
        <w:t>年</w:t>
      </w:r>
      <w:r>
        <w:rPr>
          <w:color w:val="000000"/>
          <w:rFonts w:ascii="仿宋" w:eastAsia="仿宋" w:hAnsi="仿宋"/>
          <w:sz w:val="32"/>
          <w:u w:color="auto"/>
        </w:rPr>
        <w:t>减少196.41</w:t>
      </w:r>
      <w:r>
        <w:rPr>
          <w:rFonts w:hint="eastAsia" w:ascii="仿宋" w:hAnsi="仿宋" w:eastAsia="仿宋"/>
          <w:color w:val="000000"/>
          <w:sz w:val="32"/>
          <w:szCs w:val="32"/>
          <w:u/>
        </w:rPr>
        <w:t>万元，</w:t>
      </w:r>
      <w:r>
        <w:rPr>
          <w:color w:val="000000"/>
          <w:rFonts w:ascii="仿宋" w:eastAsia="仿宋" w:hAnsi="仿宋"/>
          <w:sz w:val="32"/>
          <w:u w:color="auto"/>
        </w:rPr>
        <w:t>减少109.16</w:t>
      </w:r>
      <w:r>
        <w:rPr>
          <w:rFonts w:ascii="仿宋" w:hAnsi="仿宋" w:eastAsia="仿宋"/>
          <w:color w:val="000000"/>
          <w:sz w:val="32"/>
          <w:szCs w:val="32"/>
        </w:rPr>
        <w:t>%</w:t>
      </w:r>
      <w:r>
        <w:rPr>
          <w:rFonts w:hint="eastAsia" w:ascii="仿宋" w:hAnsi="仿宋" w:eastAsia="仿宋"/>
          <w:color w:val="000000"/>
          <w:sz w:val="32"/>
          <w:szCs w:val="32"/>
        </w:rPr>
        <w:t>。</w:t>
      </w:r>
      <w:bookmarkStart w:id="59" w:name="_Toc15377218"/>
      <w:r>
        <w:rPr>
          <w:rFonts w:hint="eastAsia" w:ascii="仿宋" w:hAnsi="仿宋" w:eastAsia="仿宋"/>
          <w:color w:val="000000"/>
          <w:sz w:val="32"/>
          <w:szCs w:val="32"/>
        </w:rPr>
        <w:t xml:space="preserve">主要原因是活动减少。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国内公务接待支出</w:t>
      </w:r>
      <w:r>
        <w:rPr>
          <w:color w:val="000000"/>
          <w:rFonts w:ascii="仿宋" w:eastAsia="仿宋" w:hAnsi="仿宋"/>
          <w:sz w:val="32"/>
          <w:u w:color="auto"/>
        </w:rPr>
        <w:t>179.93</w:t>
      </w:r>
      <w:r>
        <w:rPr>
          <w:color w:val="000000"/>
          <w:rFonts w:ascii="仿宋" w:eastAsia="仿宋" w:hAnsi="仿宋"/>
          <w:sz w:val="32"/>
          <w:u w:color="auto"/>
        </w:rPr>
        <w:t>万元。国内公务接待</w:t>
      </w:r>
      <w:r>
        <w:rPr>
          <w:color w:val="000000"/>
          <w:rFonts w:ascii="仿宋" w:eastAsia="仿宋" w:hAnsi="仿宋"/>
          <w:sz w:val="32"/>
          <w:u w:color="auto"/>
        </w:rPr>
        <w:t>732</w:t>
      </w:r>
      <w:r>
        <w:rPr>
          <w:color w:val="000000"/>
          <w:rFonts w:ascii="仿宋" w:eastAsia="仿宋" w:hAnsi="仿宋"/>
          <w:sz w:val="32"/>
          <w:u w:color="auto"/>
        </w:rPr>
        <w:t>批次，</w:t>
      </w:r>
      <w:r>
        <w:rPr>
          <w:color w:val="000000"/>
          <w:rFonts w:ascii="仿宋" w:eastAsia="仿宋" w:hAnsi="仿宋"/>
          <w:sz w:val="32"/>
          <w:u w:color="auto"/>
        </w:rPr>
        <w:t>9154</w:t>
      </w:r>
      <w:r>
        <w:rPr>
          <w:color w:val="000000"/>
          <w:rFonts w:ascii="仿宋" w:eastAsia="仿宋" w:hAnsi="仿宋"/>
          <w:sz w:val="32"/>
          <w:u w:color="auto"/>
        </w:rPr>
        <w:t>人次（不包括陪同人员），共计支出</w:t>
      </w:r>
      <w:r>
        <w:rPr>
          <w:color w:val="000000"/>
          <w:rFonts w:ascii="仿宋" w:eastAsia="仿宋" w:hAnsi="仿宋"/>
          <w:sz w:val="32"/>
          <w:u w:color="auto"/>
        </w:rPr>
        <w:t>179.93</w:t>
      </w:r>
      <w:r>
        <w:rPr>
          <w:color w:val="000000"/>
          <w:rFonts w:ascii="仿宋" w:eastAsia="仿宋" w:hAnsi="仿宋"/>
          <w:sz w:val="32"/>
          <w:u w:color="auto"/>
        </w:rPr>
        <w:t>万元。</w:t>
      </w:r>
    </w:p>
    <w:p>
      <w:pPr>
        <w:pStyle w:val="2"/>
        <w:rPr>
          <w:rFonts w:ascii="仿宋" w:hAnsi="仿宋" w:eastAsia="仿宋"/>
          <w:color w:val="000000"/>
          <w:sz w:val="32"/>
          <w:szCs w:val="32"/>
        </w:rPr>
      </w:pPr>
      <w:r>
        <w:rPr>
          <w:rFonts w:hint="eastAsia" w:ascii="仿宋" w:hAnsi="仿宋" w:eastAsia="仿宋"/>
          <w:color w:val="000000"/>
          <w:sz w:val="32"/>
          <w:szCs w:val="32"/>
          <w:u/>
        </w:rPr>
        <w:t>外事接待支出</w:t>
      </w:r>
      <w:r>
        <w:rPr>
          <w:color w:val="000000"/>
          <w:rFonts w:ascii="仿宋" w:eastAsia="仿宋" w:hAnsi="仿宋"/>
          <w:sz w:val="32"/>
          <w:u w:color="auto"/>
        </w:rPr>
        <w:t>0.00</w:t>
      </w:r>
      <w:r>
        <w:rPr>
          <w:color w:val="000000"/>
          <w:rFonts w:ascii="仿宋" w:eastAsia="仿宋" w:hAnsi="仿宋"/>
          <w:sz w:val="32"/>
          <w:u w:color="auto"/>
        </w:rPr>
        <w:t>万元，外事接待</w:t>
      </w:r>
      <w:r>
        <w:rPr>
          <w:color w:val="000000"/>
          <w:rFonts w:ascii="仿宋" w:eastAsia="仿宋" w:hAnsi="仿宋"/>
          <w:sz w:val="32"/>
          <w:u w:color="auto"/>
        </w:rPr>
        <w:t>0</w:t>
      </w:r>
      <w:r>
        <w:rPr>
          <w:color w:val="000000"/>
          <w:rFonts w:ascii="仿宋" w:eastAsia="仿宋" w:hAnsi="仿宋"/>
          <w:sz w:val="32"/>
          <w:u w:color="auto"/>
        </w:rPr>
        <w:t>批次，</w:t>
      </w:r>
      <w:r>
        <w:rPr>
          <w:color w:val="000000"/>
          <w:rFonts w:ascii="仿宋" w:eastAsia="仿宋" w:hAnsi="仿宋"/>
          <w:sz w:val="32"/>
          <w:u w:color="auto"/>
        </w:rPr>
        <w:t>0</w:t>
      </w:r>
      <w:r>
        <w:rPr>
          <w:color w:val="000000"/>
          <w:rFonts w:ascii="仿宋" w:eastAsia="仿宋" w:hAnsi="仿宋"/>
          <w:sz w:val="32"/>
          <w:u w:color="auto"/>
        </w:rPr>
        <w:t>人，共计支出</w:t>
      </w:r>
      <w:r>
        <w:rPr>
          <w:color w:val="000000"/>
          <w:rFonts w:ascii="仿宋" w:eastAsia="仿宋" w:hAnsi="仿宋"/>
          <w:sz w:val="32"/>
          <w:u w:color="auto"/>
        </w:rPr>
        <w:t>0.00</w:t>
      </w:r>
      <w:r>
        <w:rPr>
          <w:color w:val="000000"/>
          <w:rFonts w:ascii="仿宋" w:eastAsia="仿宋" w:hAnsi="仿宋"/>
          <w:sz w:val="32"/>
          <w:u w:color="auto"/>
        </w:rPr>
        <w:t>万元。</w:t>
      </w:r>
    </w:p>
    <w:p>
      <w:pPr>
        <w:pStyle w:val="4"/>
        <w:ind w:firstLine="643" w:firstLineChars="200"/>
        <w:rPr>
          <w:rFonts w:ascii="黑体" w:eastAsia="黑体" w:cs="Times New Roman"/>
          <w:bCs w:val="0"/>
          <w:color w:val="000000"/>
        </w:rPr>
      </w:pPr>
      <w:bookmarkStart w:id="60" w:name="_Toc111208506"/>
      <w:bookmarkStart w:id="61" w:name="_Toc20439"/>
      <w:r>
        <w:rPr>
          <w:rFonts w:hint="eastAsia" w:ascii="黑体" w:eastAsia="黑体" w:cs="Times New Roman"/>
          <w:bCs w:val="0"/>
          <w:color w:val="000000"/>
        </w:rPr>
        <w:t>八、政府性基金预算支出决算情况说明</w:t>
      </w:r>
      <w:bookmarkEnd w:id="59"/>
      <w:bookmarkEnd w:id="60"/>
      <w:bookmarkEnd w:id="61"/>
    </w:p>
    <w:p>
      <w:pPr>
        <w:spacing w:line="600" w:lineRule="exact"/>
        <w:ind w:firstLine="640"/>
        <w:rPr>
          <w:rFonts w:ascii="仿宋" w:hAnsi="仿宋" w:eastAsia="仿宋"/>
        </w:rPr>
      </w:pPr>
      <w:r>
        <w:rPr>
          <w:rFonts w:hint="eastAsia" w:ascii="仿宋" w:hAnsi="仿宋" w:eastAsia="仿宋"/>
          <w:color w:val="000000"/>
          <w:sz w:val="32"/>
          <w:szCs w:val="32"/>
          <w:u/>
        </w:rPr>
        <w:t>2022</w:t>
      </w:r>
      <w:r>
        <w:rPr>
          <w:color w:val="000000"/>
          <w:rFonts w:ascii="仿宋" w:eastAsia="仿宋" w:hAnsi="仿宋"/>
          <w:sz w:val="32"/>
          <w:u w:color="auto"/>
        </w:rPr>
        <w:t>年政府性基金预算拨款支出</w:t>
      </w:r>
      <w:r>
        <w:rPr>
          <w:color w:val="000000"/>
          <w:rFonts w:ascii="仿宋" w:eastAsia="仿宋" w:hAnsi="仿宋"/>
          <w:sz w:val="32"/>
          <w:u w:color="auto"/>
        </w:rPr>
        <w:t>0.00</w:t>
      </w:r>
      <w:r>
        <w:rPr>
          <w:rFonts w:hint="eastAsia" w:ascii="仿宋" w:hAnsi="仿宋" w:eastAsia="仿宋"/>
          <w:color w:val="000000"/>
          <w:sz w:val="32"/>
          <w:szCs w:val="32"/>
        </w:rPr>
        <w:t>万元。</w:t>
      </w:r>
      <w:bookmarkStart w:id="62" w:name="_Toc15377219"/>
    </w:p>
    <w:p>
      <w:pPr>
        <w:pStyle w:val="4"/>
        <w:ind w:firstLine="643" w:firstLineChars="200"/>
        <w:rPr>
          <w:rFonts w:ascii="黑体" w:eastAsia="黑体" w:cs="Times New Roman"/>
          <w:bCs w:val="0"/>
          <w:color w:val="000000"/>
        </w:rPr>
      </w:pPr>
      <w:bookmarkStart w:id="63" w:name="_Toc111208507"/>
      <w:bookmarkStart w:id="64" w:name="_Toc23467"/>
      <w:r>
        <w:rPr>
          <w:rFonts w:hint="eastAsia" w:ascii="黑体" w:eastAsia="黑体" w:cs="Times New Roman"/>
          <w:bCs w:val="0"/>
          <w:color w:val="000000"/>
        </w:rPr>
        <w:t>九、国有资本经营预算支出决算情况说明</w:t>
      </w:r>
      <w:bookmarkEnd w:id="62"/>
      <w:bookmarkEnd w:id="63"/>
      <w:bookmarkEnd w:id="64"/>
    </w:p>
    <w:p>
      <w:pPr>
        <w:spacing w:line="600" w:lineRule="exact"/>
        <w:ind w:firstLine="640"/>
        <w:rPr>
          <w:rFonts w:ascii="仿宋" w:hAnsi="仿宋" w:eastAsia="仿宋"/>
        </w:rPr>
      </w:pPr>
      <w:r>
        <w:rPr>
          <w:rFonts w:hint="eastAsia" w:ascii="仿宋" w:hAnsi="仿宋" w:eastAsia="仿宋"/>
          <w:color w:val="000000"/>
          <w:sz w:val="32"/>
          <w:szCs w:val="32"/>
          <w:u/>
        </w:rPr>
        <w:t>2022</w:t>
      </w:r>
      <w:r>
        <w:rPr>
          <w:color w:val="000000"/>
          <w:rFonts w:ascii="仿宋" w:eastAsia="仿宋" w:hAnsi="仿宋"/>
          <w:sz w:val="32"/>
          <w:u w:color="auto"/>
        </w:rPr>
        <w:t>年国有资本经营预算拨款支出</w:t>
      </w:r>
      <w:r>
        <w:rPr>
          <w:color w:val="000000"/>
          <w:rFonts w:ascii="仿宋" w:eastAsia="仿宋" w:hAnsi="仿宋"/>
          <w:sz w:val="32"/>
          <w:u w:color="auto"/>
        </w:rPr>
        <w:t>0.00</w:t>
      </w:r>
      <w:r>
        <w:rPr>
          <w:rFonts w:hint="eastAsia" w:ascii="仿宋" w:hAnsi="仿宋" w:eastAsia="仿宋"/>
          <w:color w:val="000000"/>
          <w:sz w:val="32"/>
          <w:szCs w:val="32"/>
        </w:rPr>
        <w:t>万元。</w:t>
      </w:r>
    </w:p>
    <w:p>
      <w:pPr>
        <w:pStyle w:val="4"/>
        <w:ind w:firstLine="643" w:firstLineChars="200"/>
        <w:rPr>
          <w:rFonts w:ascii="黑体" w:eastAsia="黑体" w:cs="Times New Roman"/>
          <w:bCs w:val="0"/>
          <w:color w:val="000000"/>
        </w:rPr>
      </w:pPr>
      <w:bookmarkStart w:id="65" w:name="_Toc111208508"/>
      <w:bookmarkStart w:id="66" w:name="_Toc18455"/>
      <w:bookmarkStart w:id="67" w:name="_Toc15377221"/>
      <w:r>
        <w:rPr>
          <w:rFonts w:hint="eastAsia" w:ascii="黑体" w:eastAsia="黑体" w:cs="Times New Roman"/>
          <w:bCs w:val="0"/>
          <w:color w:val="000000"/>
        </w:rPr>
        <w:t>十、其他重要事项的情况说明</w:t>
      </w:r>
      <w:bookmarkEnd w:id="65"/>
      <w:bookmarkEnd w:id="66"/>
      <w:bookmarkEnd w:id="67"/>
    </w:p>
    <w:p>
      <w:pPr>
        <w:spacing w:line="600" w:lineRule="exact"/>
        <w:ind w:firstLine="643" w:firstLineChars="200"/>
        <w:outlineLvl w:val="2"/>
        <w:rPr>
          <w:rFonts w:ascii="仿宋" w:hAnsi="仿宋" w:eastAsia="仿宋"/>
          <w:b/>
          <w:color w:val="000000"/>
          <w:sz w:val="32"/>
          <w:szCs w:val="32"/>
        </w:rPr>
      </w:pPr>
      <w:bookmarkStart w:id="68" w:name="_Toc15377222"/>
      <w:r>
        <w:rPr>
          <w:rFonts w:hint="eastAsia" w:ascii="仿宋" w:hAnsi="仿宋" w:eastAsia="仿宋"/>
          <w:b/>
          <w:color w:val="000000"/>
          <w:sz w:val="32"/>
          <w:szCs w:val="32"/>
        </w:rPr>
        <w:t>（一）机关运行经费支出情况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2022</w:t>
      </w:r>
      <w:r>
        <w:rPr>
          <w:color w:val="000000"/>
          <w:rFonts w:ascii="仿宋" w:eastAsia="仿宋" w:hAnsi="仿宋"/>
          <w:sz w:val="32"/>
          <w:u w:color="auto"/>
        </w:rPr>
        <w:t>年，机关运行经费支出</w:t>
      </w:r>
      <w:r>
        <w:rPr>
          <w:color w:val="000000"/>
          <w:rFonts w:ascii="仿宋" w:eastAsia="仿宋" w:hAnsi="仿宋"/>
          <w:sz w:val="32"/>
          <w:u w:color="auto"/>
        </w:rPr>
        <w:t>0.00</w:t>
      </w:r>
      <w:r>
        <w:rPr>
          <w:rFonts w:hint="eastAsia" w:ascii="仿宋" w:hAnsi="仿宋" w:eastAsia="仿宋"/>
          <w:color w:val="000000"/>
          <w:sz w:val="32"/>
          <w:szCs w:val="32"/>
          <w:u/>
        </w:rPr>
        <w:t>万元，比</w:t>
      </w:r>
      <w:r>
        <w:rPr>
          <w:color w:val="000000"/>
          <w:rFonts w:ascii="仿宋" w:eastAsia="仿宋" w:hAnsi="仿宋"/>
          <w:sz w:val="32"/>
          <w:u w:color="auto"/>
        </w:rPr>
        <w:t>2021</w:t>
      </w:r>
      <w:r>
        <w:rPr>
          <w:color w:val="000000"/>
          <w:rFonts w:ascii="仿宋" w:eastAsia="仿宋" w:hAnsi="仿宋"/>
          <w:sz w:val="32"/>
          <w:u w:color="auto"/>
        </w:rPr>
        <w:t>年</w:t>
      </w:r>
      <w:r>
        <w:rPr>
          <w:color w:val="000000"/>
          <w:rFonts w:ascii="仿宋" w:eastAsia="仿宋" w:hAnsi="仿宋"/>
          <w:sz w:val="32"/>
          <w:u w:color="auto"/>
        </w:rPr>
        <w:t>增加0.00</w:t>
      </w:r>
      <w:r>
        <w:rPr>
          <w:rFonts w:hint="eastAsia" w:ascii="仿宋" w:hAnsi="仿宋" w:eastAsia="仿宋"/>
          <w:color w:val="000000"/>
          <w:sz w:val="32"/>
          <w:szCs w:val="32"/>
          <w:u/>
        </w:rPr>
        <w:t>万元，</w:t>
      </w:r>
      <w:r>
        <w:rPr>
          <w:color w:val="000000"/>
          <w:rFonts w:ascii="仿宋" w:eastAsia="仿宋" w:hAnsi="仿宋"/>
          <w:sz w:val="32"/>
          <w:u w:color="auto"/>
        </w:rPr>
        <w:t>增加0.00</w:t>
      </w:r>
      <w:r>
        <w:rPr>
          <w:color w:val="000000"/>
          <w:rFonts w:ascii="仿宋" w:eastAsia="仿宋" w:hAnsi="仿宋"/>
          <w:sz w:val="32"/>
          <w:u w:color="auto"/>
        </w:rPr>
        <w:t xml:space="preserve"> %。</w:t>
      </w:r>
      <w:r>
        <w:rPr>
          <w:color w:val="000000"/>
          <w:rFonts w:ascii="仿宋" w:eastAsia="仿宋" w:hAnsi="仿宋"/>
          <w:sz w:val="32"/>
          <w:u w:color="auto"/>
        </w:rPr>
        <w:t xml:space="preserve"> </w:t>
      </w:r>
    </w:p>
    <w:p>
      <w:pPr>
        <w:spacing w:line="600" w:lineRule="exact"/>
        <w:ind w:firstLine="643" w:firstLineChars="200"/>
        <w:outlineLvl w:val="2"/>
        <w:rPr>
          <w:rFonts w:ascii="仿宋" w:hAnsi="仿宋" w:eastAsia="仿宋"/>
          <w:b/>
          <w:color w:val="000000"/>
          <w:sz w:val="32"/>
          <w:szCs w:val="32"/>
        </w:rPr>
      </w:pPr>
      <w:bookmarkStart w:id="69" w:name="_Toc15377223"/>
      <w:r>
        <w:rPr>
          <w:rFonts w:hint="eastAsia" w:ascii="仿宋" w:hAnsi="仿宋" w:eastAsia="仿宋"/>
          <w:b/>
          <w:color w:val="000000"/>
          <w:sz w:val="32"/>
          <w:szCs w:val="32"/>
        </w:rPr>
        <w:t>（二）政府采购支出情况</w:t>
      </w:r>
      <w:bookmarkEnd w:id="69"/>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u/>
        </w:rPr>
        <w:t>2022</w:t>
      </w:r>
      <w:r>
        <w:rPr>
          <w:color w:val="000000"/>
          <w:rFonts w:ascii="仿宋" w:eastAsia="仿宋" w:hAnsi="仿宋"/>
          <w:sz w:val="32"/>
          <w:u w:color="auto"/>
        </w:rPr>
        <w:t>年，政府采购支出总额</w:t>
      </w:r>
      <w:r>
        <w:rPr>
          <w:color w:val="000000"/>
          <w:rFonts w:ascii="仿宋" w:eastAsia="仿宋" w:hAnsi="仿宋"/>
          <w:sz w:val="32"/>
          <w:u w:color="auto"/>
        </w:rPr>
        <w:t>117.97</w:t>
      </w:r>
      <w:r>
        <w:rPr>
          <w:rFonts w:hint="eastAsia" w:ascii="仿宋" w:hAnsi="仿宋" w:eastAsia="仿宋"/>
          <w:color w:val="000000"/>
          <w:sz w:val="32"/>
          <w:szCs w:val="32"/>
          <w:u/>
        </w:rPr>
        <w:t>万元，其中：政府采购货物支出</w:t>
      </w:r>
      <w:r>
        <w:rPr>
          <w:color w:val="000000"/>
          <w:rFonts w:ascii="仿宋" w:eastAsia="仿宋" w:hAnsi="仿宋"/>
          <w:sz w:val="32"/>
          <w:u w:color="auto"/>
        </w:rPr>
        <w:t>117.97</w:t>
      </w:r>
      <w:r>
        <w:rPr>
          <w:rFonts w:hint="eastAsia" w:ascii="仿宋" w:hAnsi="仿宋" w:eastAsia="仿宋"/>
          <w:color w:val="000000"/>
          <w:sz w:val="32"/>
          <w:szCs w:val="32"/>
          <w:u/>
        </w:rPr>
        <w:t>万元、政府采购工程支出</w:t>
      </w:r>
      <w:r>
        <w:rPr>
          <w:color w:val="000000"/>
          <w:rFonts w:ascii="仿宋" w:eastAsia="仿宋" w:hAnsi="仿宋"/>
          <w:sz w:val="32"/>
          <w:u w:color="auto"/>
        </w:rPr>
        <w:t>0.00</w:t>
      </w:r>
      <w:r>
        <w:rPr>
          <w:rFonts w:hint="eastAsia" w:ascii="仿宋" w:hAnsi="仿宋" w:eastAsia="仿宋"/>
          <w:color w:val="000000"/>
          <w:sz w:val="32"/>
          <w:szCs w:val="32"/>
          <w:u/>
        </w:rPr>
        <w:t>万元、政府采购服务支出</w:t>
      </w:r>
      <w:r>
        <w:rPr>
          <w:color w:val="000000"/>
          <w:rFonts w:ascii="仿宋" w:eastAsia="仿宋" w:hAnsi="仿宋"/>
          <w:sz w:val="32"/>
          <w:u w:color="auto"/>
        </w:rPr>
        <w:t>0.00</w:t>
      </w:r>
      <w:r>
        <w:rPr>
          <w:rFonts w:hint="eastAsia" w:ascii="仿宋" w:hAnsi="仿宋" w:eastAsia="仿宋"/>
          <w:color w:val="000000"/>
          <w:sz w:val="32"/>
          <w:szCs w:val="32"/>
          <w:u/>
        </w:rPr>
        <w:t>万元。授予中小企业合同金额</w:t>
      </w:r>
      <w:r>
        <w:rPr>
          <w:color w:val="000000"/>
          <w:rFonts w:ascii="仿宋" w:eastAsia="仿宋" w:hAnsi="仿宋"/>
          <w:sz w:val="32"/>
          <w:u w:color="auto"/>
        </w:rPr>
        <w:t>117.97</w:t>
      </w:r>
      <w:r>
        <w:rPr>
          <w:rFonts w:hint="eastAsia" w:ascii="仿宋" w:hAnsi="仿宋" w:eastAsia="仿宋"/>
          <w:color w:val="000000"/>
          <w:sz w:val="32"/>
          <w:szCs w:val="32"/>
          <w:u/>
        </w:rPr>
        <w:t>万元，其中：授予小微企业合同金额</w:t>
      </w:r>
      <w:r>
        <w:rPr>
          <w:color w:val="000000"/>
          <w:rFonts w:ascii="仿宋" w:eastAsia="仿宋" w:hAnsi="仿宋"/>
          <w:sz w:val="32"/>
          <w:u w:color="auto"/>
        </w:rPr>
        <w:t>117.97</w:t>
      </w:r>
      <w:r>
        <w:rPr>
          <w:rFonts w:hint="eastAsia" w:ascii="仿宋" w:hAnsi="仿宋" w:eastAsia="仿宋"/>
          <w:color w:val="000000"/>
          <w:sz w:val="32"/>
          <w:szCs w:val="32"/>
          <w:u/>
        </w:rPr>
        <w:t>万元，占总合同的</w:t>
      </w:r>
      <w:r>
        <w:rPr>
          <w:color w:val="000000"/>
          <w:rFonts w:ascii="仿宋" w:eastAsia="仿宋" w:hAnsi="仿宋"/>
          <w:sz w:val="32"/>
          <w:u w:color="auto"/>
        </w:rPr>
        <w:t>100.00</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70" w:name="_Toc15377224"/>
      <w:r>
        <w:rPr>
          <w:rFonts w:hint="eastAsia" w:ascii="仿宋" w:hAnsi="仿宋" w:eastAsia="仿宋"/>
          <w:b/>
          <w:color w:val="000000"/>
          <w:sz w:val="32"/>
          <w:szCs w:val="32"/>
        </w:rPr>
        <w:t>（三）国有资产占有使用情况</w:t>
      </w:r>
      <w:bookmarkEnd w:id="70"/>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u/>
        </w:rPr>
        <w:t>截至</w:t>
      </w:r>
      <w:r>
        <w:rPr>
          <w:color w:val="000000"/>
          <w:rFonts w:ascii="仿宋" w:eastAsia="仿宋" w:hAnsi="仿宋"/>
          <w:sz w:val="32"/>
          <w:u w:color="auto"/>
        </w:rPr>
        <w:t>2022</w:t>
      </w:r>
      <w:r>
        <w:rPr>
          <w:color w:val="000000"/>
          <w:rFonts w:ascii="仿宋" w:eastAsia="仿宋" w:hAnsi="仿宋"/>
          <w:sz w:val="32"/>
          <w:u w:color="auto"/>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u/>
        </w:rPr>
        <w:t>日，共有车辆</w:t>
      </w:r>
      <w:r>
        <w:rPr>
          <w:color w:val="000000"/>
          <w:rFonts w:ascii="仿宋" w:eastAsia="仿宋" w:hAnsi="仿宋"/>
          <w:sz w:val="32"/>
          <w:u w:color="auto"/>
        </w:rPr>
        <w:t>1</w:t>
      </w:r>
      <w:r>
        <w:rPr>
          <w:color w:val="000000"/>
          <w:rFonts w:ascii="仿宋" w:eastAsia="仿宋" w:hAnsi="仿宋"/>
          <w:sz w:val="32"/>
          <w:u w:color="auto"/>
        </w:rPr>
        <w:t>辆，其中：主要领导干部用车</w:t>
      </w:r>
      <w:r>
        <w:rPr>
          <w:color w:val="000000"/>
          <w:rFonts w:ascii="仿宋" w:eastAsia="仿宋" w:hAnsi="仿宋"/>
          <w:sz w:val="32"/>
          <w:u w:color="auto"/>
        </w:rPr>
        <w:t>0</w:t>
      </w:r>
      <w:r>
        <w:rPr>
          <w:rFonts w:hint="eastAsia" w:ascii="仿宋" w:hAnsi="仿宋" w:eastAsia="仿宋"/>
          <w:color w:val="000000"/>
          <w:sz w:val="32"/>
          <w:szCs w:val="32"/>
          <w:u/>
        </w:rPr>
        <w:t>辆、机要通信用车</w:t>
      </w:r>
      <w:r>
        <w:rPr>
          <w:color w:val="000000"/>
          <w:rFonts w:ascii="仿宋" w:eastAsia="仿宋" w:hAnsi="仿宋"/>
          <w:sz w:val="32"/>
          <w:u w:color="auto"/>
        </w:rPr>
        <w:t>0</w:t>
      </w:r>
      <w:r>
        <w:rPr>
          <w:rFonts w:hint="eastAsia" w:ascii="仿宋" w:hAnsi="仿宋" w:eastAsia="仿宋"/>
          <w:color w:val="000000"/>
          <w:sz w:val="32"/>
          <w:szCs w:val="32"/>
          <w:u/>
        </w:rPr>
        <w:t>辆、应急保障用车</w:t>
      </w:r>
      <w:r>
        <w:rPr>
          <w:color w:val="000000"/>
          <w:rFonts w:ascii="仿宋" w:eastAsia="仿宋" w:hAnsi="仿宋"/>
          <w:sz w:val="32"/>
          <w:u w:color="auto"/>
        </w:rPr>
        <w:t>1</w:t>
      </w:r>
      <w:r>
        <w:rPr>
          <w:rFonts w:hint="eastAsia" w:ascii="仿宋" w:hAnsi="仿宋" w:eastAsia="仿宋"/>
          <w:color w:val="000000"/>
          <w:sz w:val="32"/>
          <w:szCs w:val="32"/>
          <w:u/>
        </w:rPr>
        <w:t>辆、其他用车</w:t>
      </w:r>
      <w:r>
        <w:rPr>
          <w:color w:val="000000"/>
          <w:rFonts w:ascii="仿宋" w:eastAsia="仿宋" w:hAnsi="仿宋"/>
          <w:sz w:val="32"/>
          <w:u w:color="auto"/>
        </w:rPr>
        <w:t>0</w:t>
      </w:r>
      <w:r>
        <w:rPr>
          <w:rFonts w:hint="eastAsia" w:ascii="仿宋" w:hAnsi="仿宋" w:eastAsia="仿宋"/>
          <w:color w:val="000000"/>
          <w:sz w:val="32"/>
          <w:szCs w:val="32"/>
        </w:rPr>
        <w:t>辆。单价</w:t>
      </w:r>
      <w:r>
        <w:rPr>
          <w:rFonts w:ascii="仿宋" w:hAnsi="仿宋" w:eastAsia="仿宋"/>
          <w:color w:val="000000"/>
          <w:sz w:val="32"/>
          <w:szCs w:val="32"/>
        </w:rPr>
        <w:t>100</w:t>
      </w:r>
      <w:r>
        <w:rPr>
          <w:rFonts w:hint="eastAsia" w:ascii="仿宋" w:hAnsi="仿宋" w:eastAsia="仿宋"/>
          <w:color w:val="000000"/>
          <w:sz w:val="32"/>
          <w:szCs w:val="32"/>
          <w:u/>
        </w:rPr>
        <w:t>万元以上专用设备</w:t>
      </w:r>
      <w:r>
        <w:rPr>
          <w:color w:val="000000"/>
          <w:rFonts w:ascii="仿宋" w:eastAsia="仿宋" w:hAnsi="仿宋"/>
          <w:sz w:val="32"/>
          <w:u w:color="auto"/>
        </w:rPr>
        <w:t>0</w:t>
      </w:r>
      <w:r>
        <w:rPr>
          <w:rFonts w:hint="eastAsia" w:ascii="仿宋" w:hAnsi="仿宋" w:eastAsia="仿宋"/>
          <w:color w:val="000000"/>
          <w:sz w:val="32"/>
          <w:szCs w:val="32"/>
        </w:rPr>
        <w:t>台（套）。</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2"/>
      </w:pPr>
      <w:r>
        <w:rPr>
          <w:rFonts w:hint="eastAsia"/>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71" w:name="_Toc111208509"/>
      <w:bookmarkStart w:id="72" w:name="_Toc15377225"/>
      <w:bookmarkStart w:id="73" w:name="_Toc18122"/>
      <w:r>
        <w:rPr>
          <w:rFonts w:hint="eastAsia" w:ascii="黑体" w:hAnsi="黑体" w:eastAsia="黑体" w:cs="黑体"/>
        </w:rPr>
        <w:t>第三部分 名词解释</w:t>
      </w:r>
      <w:bookmarkEnd w:id="71"/>
      <w:bookmarkEnd w:id="72"/>
      <w:bookmarkEnd w:id="73"/>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9.一般公共服务支出（201）政府办公厅（室）及相关机构事务（20103）事业运行（2010350）：反映事业单位的基本支出，不包括行政单位（包括实行公务员管理的事业单位）后勤服务中心、医务室等附属事业单位。</w:t>
        <w:cr/>
        <w:t xml:space="preserve">    10.一般公共服务支出（201）政府办公厅（室）及相关机构事务（20103）其他政府办公厅（室）及相关机构事务支出（2010399）：反映除上述项目以外的其他政府办公厅（室）及相关机构事务支岀。</w:t>
        <w:cr/>
        <w:t xml:space="preserve">    11.社会保障和就业支出（208）行政事业单位养老支出（20805）机关事业单位基本养老保险缴费支出（2080505）：反映机关事业单位实施养老保险制度由单位缴纳的基本养老保险费支出。</w:t>
        <w:cr/>
        <w:t xml:space="preserve">    12.社会保障和就业支出（208）行政事业单位养老支出（20805）机关事业单位职业年金缴费支出（2080506）：反映机关事业单位实施养老保险制度由单位实际缴纳的职业年金支出。</w:t>
        <w:cr/>
        <w:t xml:space="preserve">    13.卫生健康支出（210）行政事业单位医疗（21011）事业单位医疗（2101102）：反映财政部门安排的事业单位基本医疗保险缴费经费，未参加医疗保险的事业单位的公费医疗经费，按国家规定享受离休人员待遇的医疗经费。</w:t>
        <w:cr/>
        <w:t xml:space="preserve">    14.卫生健康支出（210）行政事业单位医疗（21011）其他行政事业单位医疗支出（2101199）：反映除上述项目以外的其他用于行政事业单位医疗方面的支出。</w:t>
        <w:cr/>
        <w:t xml:space="preserve">    15.住房保障支出（221）住房改革支出（22102）住房公积金（2210201）：反映行政事业单位按人力资源和社会保障部、财政部规定的基本工资和津贴补贴以及规定比例为职工缴纳的住房公积金。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16</w:t>
      </w:r>
      <w:r>
        <w:rPr>
          <w:rFonts w:hint="eastAsia" w:ascii="仿宋" w:hAnsi="仿宋" w:eastAsia="仿宋"/>
          <w:color w:val="000000"/>
          <w:sz w:val="32"/>
          <w:szCs w:val="32"/>
        </w:rPr>
        <w:t>.基本支出：指为保障机构正常运转、完成日常工作任务而发生的人员支出和公用支出。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17</w:t>
      </w:r>
      <w:r>
        <w:rPr>
          <w:rFonts w:hint="eastAsia" w:ascii="仿宋" w:hAnsi="仿宋" w:eastAsia="仿宋"/>
          <w:color w:val="000000"/>
          <w:sz w:val="32"/>
          <w:szCs w:val="32"/>
        </w:rPr>
        <w:t xml:space="preserve">.项目支出：指在基本支出之外为完成特定行政任务和事业发展目标所发生的支出。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18</w:t>
      </w:r>
      <w:r>
        <w:rPr>
          <w:rFonts w:hint="eastAsia" w:ascii="仿宋" w:hAnsi="仿宋" w:eastAsia="仿宋"/>
          <w:color w:val="000000"/>
          <w:sz w:val="32"/>
          <w:szCs w:val="32"/>
        </w:rPr>
        <w:t>.经营支出：指事业单位在专业业务活动及其辅助活动之外开展非独立核算经营活动发生的支出。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19</w:t>
      </w:r>
      <w:r>
        <w:rPr>
          <w:rFonts w:hint="eastAsia" w:ascii="仿宋" w:hAnsi="仿宋" w:eastAsia="仿宋"/>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w:t>
      </w:r>
      <w:r>
        <w:rPr>
          <w:rFonts w:hint="eastAsia" w:ascii="仿宋" w:hAnsi="仿宋" w:eastAsia="仿宋"/>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
      </w:r>
      <w:r>
        <w:rPr>
          <w:rFonts w:hint="eastAsia" w:ascii="仿宋" w:hAnsi="仿宋" w:eastAsia="仿宋"/>
          <w:color w:val="000000"/>
          <w:sz w:val="32"/>
          <w:szCs w:val="32"/>
        </w:rPr>
        <w:t>.财政应返还额度：为行政事业单位会计核算科目，用于核算实行国库集中支付的行政事业单位应收财政返还的资金额度。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4" w:name="_Toc25539"/>
      <w:bookmarkStart w:id="75" w:name="_Toc111208510"/>
      <w:r>
        <w:rPr>
          <w:rFonts w:hint="eastAsia" w:ascii="黑体" w:hAnsi="黑体" w:eastAsia="黑体" w:cs="黑体"/>
        </w:rPr>
        <w:t>第四部分 附件</w:t>
      </w:r>
      <w:bookmarkEnd w:id="74"/>
      <w:bookmarkEnd w:id="75"/>
    </w:p>
    <w:p>
      <w:pPr>
        <w:pStyle w:val="c3a487ec"/>
        <w:keepNext w:val="0"/>
        <w:keepLines w:val="0"/>
        <w:pageBreakBefore w:val="0"/>
        <w:kinsoku/>
        <w:wordWrap/>
        <w:overflowPunct/>
        <w:topLinePunct w:val="0"/>
        <w:autoSpaceDE/>
        <w:autoSpaceDN/>
        <w:bidi w:val="0"/>
        <w:spacing w:line="560" w:lineRule="exact"/>
        <w:jc w:val="both"/>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红原县公务服务中心</w:t>
      </w: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2</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度部门</w:t>
      </w:r>
    </w:p>
    <w:p>
      <w:pPr>
        <w:pStyle w:val="c3a487ec"/>
        <w:keepNext w:val="0"/>
        <w:keepLines w:val="0"/>
        <w:pageBreakBefore w:val="0"/>
        <w:kinsoku/>
        <w:wordWrap/>
        <w:overflowPunct/>
        <w:topLinePunct w:val="0"/>
        <w:autoSpaceDE/>
        <w:autoSpaceDN/>
        <w:bidi w:val="0"/>
        <w:spacing w:line="560" w:lineRule="exact"/>
        <w:ind w:firstLine="1760" w:firstLineChars="400"/>
        <w:jc w:val="both"/>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整体</w:t>
      </w:r>
      <w:r>
        <w:rPr>
          <w:rFonts w:hint="eastAsia" w:ascii="方正小标宋_GBK" w:hAnsi="方正小标宋_GBK" w:eastAsia="方正小标宋_GBK" w:cs="方正小标宋_GBK"/>
          <w:sz w:val="44"/>
          <w:szCs w:val="44"/>
        </w:rPr>
        <w:t>支出绩效</w:t>
      </w:r>
      <w:r>
        <w:rPr>
          <w:rFonts w:hint="eastAsia" w:ascii="方正小标宋_GBK" w:hAnsi="方正小标宋_GBK" w:eastAsia="方正小标宋_GBK" w:cs="方正小标宋_GBK"/>
          <w:sz w:val="44"/>
          <w:szCs w:val="44"/>
          <w:lang w:val="en-US" w:eastAsia="zh-CN"/>
        </w:rPr>
        <w:t>评价自评</w:t>
      </w:r>
      <w:r>
        <w:rPr>
          <w:rFonts w:hint="eastAsia" w:ascii="方正小标宋_GBK" w:hAnsi="方正小标宋_GBK" w:eastAsia="方正小标宋_GBK" w:cs="方正小标宋_GBK"/>
          <w:sz w:val="44"/>
          <w:szCs w:val="44"/>
        </w:rPr>
        <w:t>报告</w:t>
      </w:r>
    </w:p>
    <w:p>
      <w:pPr>
        <w:pStyle w:val="c3a487ec"/>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pStyle w:val="6e1a93c4"/>
        <w:keepNext w:val="0"/>
        <w:keepLines w:val="0"/>
        <w:pageBreakBefore w:val="0"/>
        <w:widowControl/>
        <w:numPr>
          <w:ilvl w:val="0"/>
          <w:numId w:val="1"/>
        </w:numPr>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单位概况</w:t>
      </w:r>
    </w:p>
    <w:p>
      <w:pPr>
        <w:pStyle w:val="6e1a93c4"/>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（一）机构组成</w:t>
      </w:r>
    </w:p>
    <w:p>
      <w:pPr>
        <w:pStyle w:val="2c02c3d5"/>
        <w:keepNext w:val="0"/>
        <w:keepLines w:val="0"/>
        <w:pageBreakBefore w:val="0"/>
        <w:widowControl/>
        <w:suppressLineNumbers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红原县公务服务中心（简称县公务服务中心），为县政府直属正科级公益一类事业单位。县公务服务中心设下列内设机构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办公室。承担机关政务工作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制定工作制度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负责依法行政、文电、会务、机要、文印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档案、信息、保密、信访、督查、规章制度建设、绩效管理、政务公开、对口接待、财务管理、固定资产管理、办公用品采购等工作；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公务服务股。贯彻执行中央、省、州有关公务接待工作的规定，结合我县具体实际制定公务接待办法； 完成县公务接待管理部门承担的接待任务；加强本级公务接待工作的规范管理，指导公务接待工作；负责县委县政府承办的重大接待服务工作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后勤保障股。承担县级机关食堂管理工作，保障全县县级领导工作用餐及部分公务接待；承担县公务服务中心物资库房管理工作。 </w:t>
      </w:r>
    </w:p>
    <w:p>
      <w:pPr>
        <w:pStyle w:val="e62936c1"/>
        <w:keepNext w:val="0"/>
        <w:keepLines w:val="0"/>
        <w:pageBreakBefore w:val="0"/>
        <w:widowControl/>
        <w:kinsoku/>
        <w:wordWrap/>
        <w:overflowPunct/>
        <w:topLinePunct w:val="0"/>
        <w:autoSpaceDE/>
        <w:autoSpaceDN/>
        <w:bidi w:val="0"/>
        <w:spacing w:before="0" w:beforeLines="0" w:after="0" w:afterLines="0" w:line="560" w:lineRule="exact"/>
        <w:ind w:right="0" w:rightChars="0"/>
        <w:textAlignment w:val="auto"/>
        <w:outlineLvl w:val="9"/>
        <w:rPr>
          <w:rFonts w:hint="eastAsia" w:ascii="仿宋_GB2312" w:hAnsi="仿宋_GB2312" w:eastAsia="仿宋_GB2312" w:cs="仿宋_GB2312"/>
          <w:b/>
          <w:bCs/>
          <w:color w:val="000000"/>
          <w:sz w:val="32"/>
          <w:szCs w:val="32"/>
          <w:lang w:val="zh-CN" w:bidi="ar"/>
        </w:rPr>
      </w:pPr>
      <w:r>
        <w:rPr>
          <w:rFonts w:hint="eastAsia" w:ascii="仿宋_GB2312" w:hAnsi="仿宋_GB2312" w:eastAsia="仿宋_GB2312" w:cs="仿宋_GB2312"/>
          <w:b/>
          <w:bCs/>
          <w:color w:val="000000"/>
          <w:sz w:val="32"/>
          <w:szCs w:val="32"/>
          <w:lang w:val="zh-CN" w:bidi="ar"/>
        </w:rPr>
        <w:t>（二）机构职能</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 xml:space="preserve">负责党和国家领导人（含曾经担任）、省委、省人大、省政府、省政协副省级以上、州委、州人大、州政府、州政协副厅级领导（含曾经但任）来县的服务保障。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 xml:space="preserve">按照有关规定负责和参与党中央、国务院、省委、省政府、州委、州政府巡视、检查、督查（督导、督察）、考察、调研、考核、审计等工作组来县的服务保障。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rPr>
        <w:t xml:space="preserve">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rPr>
        <w:t>负责或参与外省（州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市、区、县）党政代表团来县考察的协调联络和服务保障。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 xml:space="preserve">负责我县党政代表团赴外省（州、市、区、县）考察的协调联络和服务保障。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rPr>
        <w:t>负责县委、县政府交办的由县公务服务中心承担的外</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事接待和招商引资事项的服务保障。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7.</w:t>
      </w:r>
      <w:r>
        <w:rPr>
          <w:rFonts w:hint="eastAsia" w:ascii="仿宋_GB2312" w:hAnsi="仿宋_GB2312" w:eastAsia="仿宋_GB2312" w:cs="仿宋_GB2312"/>
          <w:sz w:val="32"/>
          <w:szCs w:val="32"/>
        </w:rPr>
        <w:t>按照中央八项规定和省委、省政府十项规定及其实施</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细则要求，负责联系协调县级有关部门及关联单位承办州委、州</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政府重大公务活动的服务工作。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rPr>
        <w:t xml:space="preserve">会同县级有关部门承担县委、县政府交办的大型会议、活动的接待服务保障工作。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指导县级部门的公务活动服务保障工作，参与拟订全</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县公务服务相关规定。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420" w:leftChars="20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10.</w:t>
      </w:r>
      <w:r>
        <w:rPr>
          <w:rFonts w:hint="eastAsia" w:ascii="仿宋_GB2312" w:hAnsi="仿宋_GB2312" w:eastAsia="仿宋_GB2312" w:cs="仿宋_GB2312"/>
          <w:sz w:val="32"/>
          <w:szCs w:val="32"/>
        </w:rPr>
        <w:t xml:space="preserve">负责办理中办警卫局、省警卫局安排的有关在县事务。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420" w:leftChars="20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11.</w:t>
      </w:r>
      <w:r>
        <w:rPr>
          <w:rFonts w:hint="eastAsia" w:ascii="仿宋_GB2312" w:hAnsi="仿宋_GB2312" w:eastAsia="仿宋_GB2312" w:cs="仿宋_GB2312"/>
          <w:sz w:val="32"/>
          <w:szCs w:val="32"/>
        </w:rPr>
        <w:t xml:space="preserve">负责县级机关食堂管理工作。 </w:t>
      </w:r>
    </w:p>
    <w:p>
      <w:pPr>
        <w:pStyle w:val="2c02c3d5"/>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420" w:leftChars="200" w:firstLine="0" w:firstLineChars="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12.</w:t>
      </w:r>
      <w:r>
        <w:rPr>
          <w:rFonts w:hint="eastAsia" w:ascii="仿宋_GB2312" w:hAnsi="仿宋_GB2312" w:eastAsia="仿宋_GB2312" w:cs="仿宋_GB2312"/>
          <w:sz w:val="32"/>
          <w:szCs w:val="32"/>
        </w:rPr>
        <w:t xml:space="preserve">完成县委、县政府交办的其他任务。 </w:t>
      </w:r>
    </w:p>
    <w:p>
      <w:pPr>
        <w:pStyle w:val="6e1a93c4"/>
        <w:keepNext w:val="0"/>
        <w:keepLines w:val="0"/>
        <w:pageBreakBefore w:val="0"/>
        <w:kinsoku/>
        <w:wordWrap/>
        <w:overflowPunct/>
        <w:topLinePunct w:val="0"/>
        <w:autoSpaceDE/>
        <w:autoSpaceDN/>
        <w:bidi w:val="0"/>
        <w:spacing w:before="0" w:beforeLines="0" w:after="0" w:afterLines="0" w:line="560" w:lineRule="exact"/>
        <w:ind w:right="0" w:right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（三）人员概况</w:t>
      </w:r>
    </w:p>
    <w:p>
      <w:pPr>
        <w:pStyle w:val="6e1a93c4"/>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底</w:t>
      </w:r>
      <w:r>
        <w:rPr>
          <w:rFonts w:hint="eastAsia" w:ascii="仿宋_GB2312" w:hAnsi="仿宋_GB2312" w:eastAsia="仿宋_GB2312" w:cs="仿宋_GB2312"/>
          <w:sz w:val="32"/>
          <w:szCs w:val="32"/>
        </w:rPr>
        <w:t>我</w:t>
      </w:r>
      <w:r>
        <w:rPr>
          <w:rFonts w:hint="eastAsia" w:ascii="仿宋_GB2312" w:hAnsi="仿宋_GB2312" w:eastAsia="仿宋_GB2312" w:cs="仿宋_GB2312"/>
          <w:color w:val="000000"/>
          <w:kern w:val="0"/>
          <w:sz w:val="32"/>
          <w:szCs w:val="32"/>
          <w:lang w:val="en-US" w:eastAsia="zh-CN" w:bidi="ar-SA"/>
        </w:rPr>
        <w:t>单位</w:t>
      </w:r>
      <w:r>
        <w:rPr>
          <w:rFonts w:hint="eastAsia" w:ascii="仿宋_GB2312" w:hAnsi="仿宋_GB2312" w:eastAsia="仿宋_GB2312" w:cs="仿宋_GB2312"/>
          <w:bCs/>
          <w:sz w:val="32"/>
          <w:szCs w:val="32"/>
        </w:rPr>
        <w:t>共有编制</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个，其中</w:t>
      </w:r>
      <w:r>
        <w:rPr>
          <w:rFonts w:hint="eastAsia" w:ascii="仿宋_GB2312" w:hAnsi="仿宋_GB2312" w:eastAsia="仿宋_GB2312" w:cs="仿宋_GB2312"/>
          <w:bCs/>
          <w:sz w:val="32"/>
          <w:szCs w:val="32"/>
          <w:lang w:val="en-US" w:eastAsia="zh-CN"/>
        </w:rPr>
        <w:t>事业管理</w:t>
      </w:r>
      <w:r>
        <w:rPr>
          <w:rFonts w:hint="eastAsia" w:ascii="仿宋_GB2312" w:hAnsi="仿宋_GB2312" w:eastAsia="仿宋_GB2312" w:cs="仿宋_GB2312"/>
          <w:bCs/>
          <w:sz w:val="32"/>
          <w:szCs w:val="32"/>
        </w:rPr>
        <w:t>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val="en-US" w:eastAsia="zh-CN"/>
        </w:rPr>
        <w:t>事业</w:t>
      </w:r>
      <w:r>
        <w:rPr>
          <w:rFonts w:hint="eastAsia" w:ascii="仿宋_GB2312" w:hAnsi="仿宋_GB2312" w:eastAsia="仿宋_GB2312" w:cs="仿宋_GB2312"/>
          <w:bCs/>
          <w:sz w:val="32"/>
          <w:szCs w:val="32"/>
        </w:rPr>
        <w:t>工勤编制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lang w:bidi="ar"/>
        </w:rPr>
        <w:t>二、部门财政资金收支情况</w:t>
      </w:r>
    </w:p>
    <w:p>
      <w:pPr>
        <w:pStyle w:val="6e1a93c4"/>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3" w:firstLineChars="200"/>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（一）部门财政资金收入情况</w:t>
      </w:r>
    </w:p>
    <w:p>
      <w:pPr>
        <w:pStyle w:val="6e1a93c4"/>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202</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收入合计</w:t>
      </w:r>
      <w:r>
        <w:rPr>
          <w:rFonts w:hint="eastAsia" w:ascii="仿宋_GB2312" w:hAnsi="仿宋_GB2312" w:cs="仿宋_GB2312"/>
          <w:color w:val="auto"/>
          <w:sz w:val="32"/>
          <w:szCs w:val="32"/>
          <w:lang w:val="en-US" w:eastAsia="zh-CN"/>
        </w:rPr>
        <w:t>950.60</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元，其中：一般公共预算财政拨款收入</w:t>
      </w:r>
      <w:r>
        <w:rPr>
          <w:rFonts w:hint="eastAsia" w:ascii="仿宋_GB2312" w:hAnsi="仿宋_GB2312" w:cs="仿宋_GB2312"/>
          <w:color w:val="auto"/>
          <w:sz w:val="32"/>
          <w:szCs w:val="32"/>
          <w:lang w:val="en-US" w:eastAsia="zh-CN"/>
        </w:rPr>
        <w:t>950.60</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6e1a93c4"/>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3" w:firstLineChars="200"/>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color w:val="000000"/>
          <w:kern w:val="0"/>
          <w:sz w:val="32"/>
          <w:szCs w:val="32"/>
          <w:lang w:val="zh-CN" w:bidi="ar"/>
        </w:rPr>
        <w:t>（二）部门财政资金支出情况</w:t>
      </w:r>
    </w:p>
    <w:p>
      <w:pPr>
        <w:pStyle w:val="6e1a93c4"/>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202</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年底</w:t>
      </w:r>
      <w:r>
        <w:rPr>
          <w:rFonts w:hint="eastAsia" w:ascii="仿宋_GB2312" w:hAnsi="仿宋_GB2312" w:eastAsia="仿宋_GB2312" w:cs="仿宋_GB2312"/>
          <w:color w:val="auto"/>
          <w:sz w:val="32"/>
          <w:szCs w:val="32"/>
        </w:rPr>
        <w:t>支出</w:t>
      </w:r>
      <w:r>
        <w:rPr>
          <w:rFonts w:hint="eastAsia" w:ascii="仿宋_GB2312" w:hAnsi="仿宋_GB2312" w:cs="仿宋_GB2312"/>
          <w:color w:val="auto"/>
          <w:sz w:val="32"/>
          <w:szCs w:val="32"/>
          <w:lang w:val="en-US" w:eastAsia="zh-CN"/>
        </w:rPr>
        <w:t>950.60</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000000"/>
          <w:sz w:val="32"/>
          <w:szCs w:val="32"/>
          <w:lang w:bidi="ar-SA"/>
        </w:rPr>
        <w:t>其中：基本支出</w:t>
      </w:r>
      <w:r>
        <w:rPr>
          <w:rFonts w:hint="eastAsia" w:ascii="仿宋_GB2312" w:hAnsi="仿宋_GB2312" w:cs="仿宋_GB2312"/>
          <w:color w:val="000000"/>
          <w:sz w:val="32"/>
          <w:szCs w:val="32"/>
          <w:lang w:val="en-US" w:eastAsia="zh-CN" w:bidi="ar-SA"/>
        </w:rPr>
        <w:t>273.72</w:t>
      </w:r>
      <w:r>
        <w:rPr>
          <w:rFonts w:hint="eastAsia" w:ascii="仿宋_GB2312" w:hAnsi="仿宋_GB2312" w:eastAsia="仿宋_GB2312" w:cs="仿宋_GB2312"/>
          <w:color w:val="000000"/>
          <w:sz w:val="32"/>
          <w:szCs w:val="32"/>
          <w:lang w:bidi="ar-SA"/>
        </w:rPr>
        <w:t>万元，占</w:t>
      </w:r>
      <w:r>
        <w:rPr>
          <w:rFonts w:hint="eastAsia" w:ascii="仿宋_GB2312" w:hAnsi="仿宋_GB2312" w:cs="仿宋_GB2312"/>
          <w:color w:val="000000"/>
          <w:sz w:val="32"/>
          <w:szCs w:val="32"/>
          <w:lang w:val="en-US" w:eastAsia="zh-CN" w:bidi="ar-SA"/>
        </w:rPr>
        <w:t>28.79</w:t>
      </w:r>
      <w:r>
        <w:rPr>
          <w:rFonts w:hint="eastAsia" w:ascii="仿宋_GB2312" w:hAnsi="仿宋_GB2312" w:eastAsia="仿宋_GB2312" w:cs="仿宋_GB2312"/>
          <w:color w:val="000000"/>
          <w:sz w:val="32"/>
          <w:szCs w:val="32"/>
          <w:lang w:bidi="ar-SA"/>
        </w:rPr>
        <w:t>%；项目支出</w:t>
      </w:r>
      <w:r>
        <w:rPr>
          <w:rFonts w:hint="eastAsia" w:ascii="仿宋_GB2312" w:hAnsi="仿宋_GB2312" w:cs="仿宋_GB2312"/>
          <w:color w:val="000000"/>
          <w:sz w:val="32"/>
          <w:szCs w:val="32"/>
          <w:lang w:val="en-US" w:eastAsia="zh-CN" w:bidi="ar-SA"/>
        </w:rPr>
        <w:t>676.87</w:t>
      </w:r>
      <w:r>
        <w:rPr>
          <w:rFonts w:hint="eastAsia" w:ascii="仿宋_GB2312" w:hAnsi="仿宋_GB2312" w:eastAsia="仿宋_GB2312" w:cs="仿宋_GB2312"/>
          <w:color w:val="000000"/>
          <w:sz w:val="32"/>
          <w:szCs w:val="32"/>
          <w:lang w:bidi="ar-SA"/>
        </w:rPr>
        <w:t>万元，占</w:t>
      </w:r>
      <w:r>
        <w:rPr>
          <w:rFonts w:hint="eastAsia" w:ascii="仿宋_GB2312" w:hAnsi="仿宋_GB2312" w:cs="仿宋_GB2312"/>
          <w:color w:val="000000"/>
          <w:sz w:val="32"/>
          <w:szCs w:val="32"/>
          <w:lang w:val="en-US" w:eastAsia="zh-CN" w:bidi="ar-SA"/>
        </w:rPr>
        <w:t>71.21</w:t>
      </w:r>
      <w:r>
        <w:rPr>
          <w:rFonts w:hint="eastAsia" w:ascii="仿宋_GB2312" w:hAnsi="仿宋_GB2312" w:eastAsia="仿宋_GB2312" w:cs="仿宋_GB2312"/>
          <w:color w:val="000000"/>
          <w:sz w:val="32"/>
          <w:szCs w:val="32"/>
          <w:lang w:bidi="ar-SA"/>
        </w:rPr>
        <w:t>%；</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lang w:bidi="ar"/>
        </w:rPr>
        <w:t>三、部门财政支出管理情况</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b/>
          <w:color w:val="000000"/>
          <w:kern w:val="0"/>
          <w:sz w:val="32"/>
          <w:szCs w:val="32"/>
          <w:lang w:val="zh-CN"/>
        </w:rPr>
      </w:pPr>
      <w:r>
        <w:rPr>
          <w:rFonts w:hint="eastAsia" w:ascii="仿宋_GB2312" w:hAnsi="仿宋_GB2312" w:eastAsia="仿宋_GB2312" w:cs="仿宋_GB2312"/>
          <w:b/>
          <w:color w:val="000000"/>
          <w:kern w:val="0"/>
          <w:sz w:val="32"/>
          <w:szCs w:val="32"/>
          <w:lang w:val="zh-CN" w:bidi="ar"/>
        </w:rPr>
        <w:t>（一）预算编制情况</w:t>
      </w:r>
    </w:p>
    <w:p>
      <w:pPr>
        <w:pStyle w:val="6e1a93c4"/>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严格按照《预算法》及相关财经法规和政策编制本年度预算，严格控制编报质量，保证所有资金合法合规，严格按照相关规定进行预算编制。</w:t>
      </w:r>
      <w:r>
        <w:rPr>
          <w:rFonts w:hint="eastAsia" w:ascii="仿宋_GB2312" w:hAnsi="仿宋_GB2312" w:eastAsia="仿宋_GB2312" w:cs="仿宋_GB2312"/>
          <w:color w:val="000000"/>
          <w:sz w:val="32"/>
          <w:szCs w:val="32"/>
        </w:rPr>
        <w:t xml:space="preserve"> </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b/>
          <w:color w:val="000000"/>
          <w:kern w:val="0"/>
          <w:sz w:val="32"/>
          <w:szCs w:val="32"/>
          <w:lang w:val="zh-CN"/>
        </w:rPr>
      </w:pPr>
      <w:r>
        <w:rPr>
          <w:rFonts w:hint="eastAsia" w:ascii="仿宋_GB2312" w:hAnsi="仿宋_GB2312" w:eastAsia="仿宋_GB2312" w:cs="仿宋_GB2312"/>
          <w:b/>
          <w:color w:val="000000"/>
          <w:kern w:val="0"/>
          <w:sz w:val="32"/>
          <w:szCs w:val="32"/>
          <w:lang w:val="zh-CN" w:bidi="ar"/>
        </w:rPr>
        <w:t>（二）执行管理情况</w:t>
      </w:r>
      <w:r>
        <w:rPr>
          <w:rFonts w:hint="eastAsia" w:ascii="仿宋_GB2312" w:hAnsi="仿宋_GB2312" w:eastAsia="仿宋_GB2312" w:cs="仿宋_GB2312"/>
          <w:b/>
          <w:color w:val="000000"/>
          <w:kern w:val="0"/>
          <w:sz w:val="32"/>
          <w:szCs w:val="32"/>
          <w:lang w:val="zh-CN" w:bidi="ar"/>
        </w:rPr>
        <w:tab/>
      </w:r>
    </w:p>
    <w:p>
      <w:pPr>
        <w:pStyle w:val="6e1a93c4"/>
        <w:keepNext w:val="0"/>
        <w:keepLines w:val="0"/>
        <w:pageBreakBefore w:val="0"/>
        <w:kinsoku/>
        <w:wordWrap/>
        <w:overflowPunct/>
        <w:topLinePunct w:val="0"/>
        <w:autoSpaceDE/>
        <w:autoSpaceDN/>
        <w:bidi w:val="0"/>
        <w:spacing w:before="0" w:beforeLines="0" w:after="0" w:afterLines="0" w:line="560" w:lineRule="exact"/>
        <w:ind w:left="0" w:leftChars="0" w:right="0" w:rightChars="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部门预算执行到位，严格按照预算管理进行支付并做到节能降耗，“三公”经费严格按照年初预算执行。</w:t>
      </w:r>
      <w:r>
        <w:rPr>
          <w:rFonts w:hint="eastAsia" w:ascii="仿宋_GB2312" w:hAnsi="仿宋_GB2312" w:eastAsia="仿宋_GB2312" w:cs="仿宋_GB2312"/>
          <w:color w:val="000000"/>
          <w:sz w:val="32"/>
          <w:szCs w:val="32"/>
          <w:shd w:val="clear" w:color="auto" w:fill="FFFFFF"/>
        </w:rPr>
        <w:t>“三公”经费</w:t>
      </w:r>
      <w:r>
        <w:rPr>
          <w:rFonts w:hint="eastAsia" w:ascii="仿宋_GB2312" w:hAnsi="仿宋_GB2312" w:eastAsia="仿宋_GB2312" w:cs="仿宋_GB2312"/>
          <w:color w:val="000000"/>
          <w:sz w:val="32"/>
          <w:szCs w:val="32"/>
          <w:shd w:val="clear" w:color="auto" w:fill="FFFFFF"/>
          <w:lang w:val="en-US" w:eastAsia="zh-CN"/>
        </w:rPr>
        <w:t>202</w:t>
      </w:r>
      <w:r>
        <w:rPr>
          <w:rFonts w:hint="eastAsia" w:ascii="仿宋_GB2312" w:hAnsi="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lang w:val="en-US" w:eastAsia="zh-CN"/>
        </w:rPr>
        <w:t>年底</w:t>
      </w:r>
      <w:r>
        <w:rPr>
          <w:rFonts w:hint="eastAsia" w:ascii="仿宋_GB2312" w:hAnsi="仿宋_GB2312" w:eastAsia="仿宋_GB2312" w:cs="仿宋_GB2312"/>
          <w:color w:val="000000"/>
          <w:sz w:val="32"/>
          <w:szCs w:val="32"/>
          <w:shd w:val="clear" w:color="auto" w:fill="FFFFFF"/>
        </w:rPr>
        <w:t>支出情况： 1.无因公出国（境）经费支出。 2.</w:t>
      </w:r>
      <w:r>
        <w:rPr>
          <w:rFonts w:hint="eastAsia" w:ascii="仿宋_GB2312" w:hAnsi="仿宋_GB2312" w:eastAsia="仿宋_GB2312" w:cs="仿宋_GB2312"/>
          <w:bCs/>
          <w:color w:val="000000"/>
          <w:sz w:val="32"/>
          <w:szCs w:val="32"/>
        </w:rPr>
        <w:t>公务用车运行维护费支出</w:t>
      </w:r>
      <w:r>
        <w:rPr>
          <w:rFonts w:hint="eastAsia" w:ascii="仿宋_GB2312" w:hAnsi="仿宋_GB2312" w:cs="仿宋_GB2312"/>
          <w:color w:val="000000"/>
          <w:kern w:val="0"/>
          <w:sz w:val="32"/>
          <w:szCs w:val="32"/>
          <w:lang w:val="en-US" w:eastAsia="zh-CN"/>
        </w:rPr>
        <w:t>7.7</w:t>
      </w:r>
      <w:r>
        <w:rPr>
          <w:rFonts w:hint="eastAsia" w:ascii="仿宋_GB2312" w:hAnsi="仿宋_GB2312" w:eastAsia="仿宋_GB2312" w:cs="仿宋_GB2312"/>
          <w:color w:val="000000"/>
          <w:kern w:val="0"/>
          <w:sz w:val="32"/>
          <w:szCs w:val="32"/>
          <w:lang w:val="en-US" w:eastAsia="zh-CN"/>
        </w:rPr>
        <w:t>万</w:t>
      </w:r>
      <w:r>
        <w:rPr>
          <w:rFonts w:hint="eastAsia" w:ascii="仿宋_GB2312" w:hAnsi="仿宋_GB2312" w:eastAsia="仿宋_GB2312" w:cs="仿宋_GB2312"/>
          <w:color w:val="000000"/>
          <w:sz w:val="32"/>
          <w:szCs w:val="32"/>
        </w:rPr>
        <w:t>元。主要用于日常公务等所需的公务用车燃料费、维修费、过路过桥费、保险费等支出。</w:t>
      </w:r>
      <w:r>
        <w:rPr>
          <w:rFonts w:hint="eastAsia" w:ascii="仿宋_GB2312" w:hAnsi="仿宋_GB2312" w:eastAsia="仿宋_GB2312" w:cs="仿宋_GB2312"/>
          <w:b/>
          <w:bCs/>
          <w:color w:val="000000"/>
          <w:sz w:val="32"/>
          <w:szCs w:val="32"/>
        </w:rPr>
        <w:t>3.</w:t>
      </w:r>
      <w:r>
        <w:rPr>
          <w:rFonts w:hint="eastAsia" w:ascii="仿宋_GB2312" w:hAnsi="仿宋_GB2312" w:eastAsia="仿宋_GB2312" w:cs="仿宋_GB2312"/>
          <w:bCs/>
          <w:color w:val="000000"/>
          <w:sz w:val="32"/>
          <w:szCs w:val="32"/>
        </w:rPr>
        <w:t>公务接待费支出</w:t>
      </w:r>
      <w:r>
        <w:rPr>
          <w:rFonts w:hint="eastAsia" w:ascii="仿宋_GB2312" w:hAnsi="仿宋_GB2312" w:cs="仿宋_GB2312"/>
          <w:color w:val="000000"/>
          <w:sz w:val="32"/>
          <w:szCs w:val="32"/>
          <w:lang w:val="en-US" w:eastAsia="zh-CN"/>
        </w:rPr>
        <w:t>179.93</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rPr>
        <w:t>元。</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b/>
          <w:color w:val="000000"/>
          <w:kern w:val="0"/>
          <w:sz w:val="32"/>
          <w:szCs w:val="32"/>
          <w:lang w:val="zh-CN"/>
        </w:rPr>
      </w:pPr>
      <w:r>
        <w:rPr>
          <w:rFonts w:hint="eastAsia" w:ascii="仿宋_GB2312" w:hAnsi="仿宋_GB2312" w:eastAsia="仿宋_GB2312" w:cs="仿宋_GB2312"/>
          <w:b/>
          <w:color w:val="000000"/>
          <w:kern w:val="0"/>
          <w:sz w:val="32"/>
          <w:szCs w:val="32"/>
          <w:lang w:val="zh-CN" w:bidi="ar"/>
        </w:rPr>
        <w:t>（三）综合管理情况</w:t>
      </w:r>
    </w:p>
    <w:p>
      <w:pPr>
        <w:pStyle w:val="6e1a93c4"/>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在财务管理过程中建立健全财务核算制度、严格执行国家相关财经法规，加强了会计基础工作、逐渐规范了财务管理行为。进一步规范了“三公经费”的管理并严格控制了“三公经费”的支出。</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（四）整体绩效</w:t>
      </w:r>
    </w:p>
    <w:p>
      <w:pPr>
        <w:pStyle w:val="6e1a93c4"/>
        <w:keepNext w:val="0"/>
        <w:keepLines w:val="0"/>
        <w:pageBreakBefore w:val="0"/>
        <w:kinsoku/>
        <w:wordWrap/>
        <w:overflowPunct/>
        <w:topLinePunct w:val="0"/>
        <w:autoSpaceDE/>
        <w:autoSpaceDN/>
        <w:bidi w:val="0"/>
        <w:snapToGrid w:val="0"/>
        <w:spacing w:before="0" w:beforeLines="0" w:after="0" w:afterLines="0"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保障当年工作正常开展，及时拨付兑现当月公用经费，按时发放工资，充分发挥协调、参谋助手作用。综合能力进一步提升，效能进一步发挥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各项工作有力有序有效推进,</w:t>
      </w:r>
      <w:r>
        <w:rPr>
          <w:rFonts w:hint="eastAsia" w:ascii="仿宋_GB2312" w:hAnsi="仿宋_GB2312" w:eastAsia="仿宋_GB2312" w:cs="仿宋_GB2312"/>
          <w:w w:val="95"/>
          <w:sz w:val="32"/>
          <w:szCs w:val="32"/>
        </w:rPr>
        <w:t>整体绩效较好</w:t>
      </w:r>
      <w:r>
        <w:rPr>
          <w:rFonts w:hint="eastAsia" w:ascii="仿宋_GB2312" w:hAnsi="仿宋_GB2312" w:eastAsia="仿宋_GB2312" w:cs="仿宋_GB2312"/>
          <w:w w:val="95"/>
          <w:sz w:val="32"/>
          <w:szCs w:val="32"/>
          <w:lang w:eastAsia="zh-CN"/>
        </w:rPr>
        <w:t>。</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lang w:bidi="ar"/>
        </w:rPr>
        <w:t>四、评价结论及建议</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b/>
          <w:bCs/>
          <w:color w:val="000000"/>
          <w:kern w:val="0"/>
          <w:sz w:val="32"/>
          <w:szCs w:val="32"/>
          <w:lang w:val="zh-CN" w:bidi="ar"/>
        </w:rPr>
        <w:t>（一）评价结论</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根据《202</w:t>
      </w:r>
      <w:r>
        <w:rPr>
          <w:rFonts w:hint="eastAsia" w:ascii="仿宋_GB2312" w:hAnsi="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zh-CN" w:bidi="ar"/>
        </w:rPr>
        <w:t>年红原县部门支出绩效评价指标体系》评分得分</w:t>
      </w:r>
      <w:r>
        <w:rPr>
          <w:rFonts w:hint="eastAsia" w:ascii="仿宋_GB2312" w:hAnsi="仿宋_GB2312" w:eastAsia="仿宋_GB2312" w:cs="仿宋_GB2312"/>
          <w:color w:val="000000"/>
          <w:kern w:val="0"/>
          <w:sz w:val="32"/>
          <w:szCs w:val="32"/>
          <w:lang w:val="en-US" w:eastAsia="zh-CN" w:bidi="ar"/>
        </w:rPr>
        <w:t>96.5</w:t>
      </w:r>
      <w:r>
        <w:rPr>
          <w:rFonts w:hint="eastAsia" w:ascii="仿宋_GB2312" w:hAnsi="仿宋_GB2312" w:eastAsia="仿宋_GB2312" w:cs="仿宋_GB2312"/>
          <w:color w:val="000000"/>
          <w:kern w:val="0"/>
          <w:sz w:val="32"/>
          <w:szCs w:val="32"/>
          <w:lang w:val="zh-CN" w:bidi="ar"/>
        </w:rPr>
        <w:t>分，部门整体支出绩效为“好”。</w:t>
      </w:r>
    </w:p>
    <w:p>
      <w:pPr>
        <w:pStyle w:val="6e1a93c4"/>
        <w:keepNext w:val="0"/>
        <w:keepLines w:val="0"/>
        <w:pageBreakBefore w:val="0"/>
        <w:widowControl/>
        <w:numPr>
          <w:ilvl w:val="0"/>
          <w:numId w:val="2"/>
        </w:numPr>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存在问题</w:t>
      </w:r>
    </w:p>
    <w:p>
      <w:pPr>
        <w:pStyle w:val="6e1a93c4"/>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0" w:afterLines="0" w:line="560" w:lineRule="exact"/>
        <w:ind w:right="0" w:rightChars="0" w:firstLine="960" w:firstLineChars="30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预算时工作考虑不全面，部分工作开展所需经费未纳入预算，导致中途追加预算。</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（三）改进建议</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1.沟通交流，增强预算编制的准确性和全面性。</w:t>
      </w:r>
    </w:p>
    <w:p>
      <w:pPr>
        <w:pStyle w:val="6e1a93c4"/>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2.加强管理，提高整体支出绩效成果。</w:t>
      </w:r>
    </w:p>
    <w:p>
      <w:pPr>
        <w:pStyle w:val="6e1a93c4"/>
        <w:spacing w:line="440" w:lineRule="exact"/>
        <w:rPr>
          <w:rFonts w:hint="eastAsia" w:ascii="仿宋_GB2312" w:hAnsi="仿宋_GB2312" w:eastAsia="仿宋_GB2312" w:cs="仿宋_GB2312"/>
          <w:sz w:val="32"/>
          <w:szCs w:val="32"/>
        </w:rPr>
        <w:sectPr>
          <w:pgSz w:w="11906" w:h="16838"/>
          <w:pgMar w:top="2211" w:right="1531" w:bottom="1871" w:left="1531" w:header="851" w:footer="992" w:gutter="0"/>
          <w:cols w:space="720" w:num="1"/>
          <w:docGrid w:type="lines" w:linePitch="312" w:charSpace="0"/>
        </w:sectPr>
      </w:pPr>
      <w:r>
        <w:rPr>
          <w:rFonts w:hint="eastAsia" w:ascii="仿宋_GB2312" w:hAnsi="仿宋_GB2312" w:eastAsia="仿宋_GB2312" w:cs="仿宋_GB2312"/>
          <w:color w:val="000000"/>
          <w:kern w:val="0"/>
          <w:sz w:val="32"/>
          <w:szCs w:val="32"/>
          <w:lang w:val="en-US" w:eastAsia="zh-CN" w:bidi="ar"/>
        </w:rPr>
        <w:t xml:space="preserve">                                    </w:t>
      </w:r>
      <w:bookmarkStart w:id="0" w:name="_GoBack"/>
      <w:bookmarkEnd w:id="0"/>
    </w:p>
    <w:p>
      <w:pPr>
        <w:pStyle w:val="6e1a93c4"/>
        <w:keepNext w:val="0"/>
        <w:keepLines w:val="0"/>
        <w:pageBreakBefore w:val="0"/>
        <w:kinsoku/>
        <w:wordWrap/>
        <w:overflowPunct/>
        <w:topLinePunct w:val="0"/>
        <w:autoSpaceDE/>
        <w:autoSpaceDN/>
        <w:bidi w:val="0"/>
        <w:spacing w:before="0" w:beforeLines="0" w:after="0" w:afterLines="0" w:line="560" w:lineRule="exact"/>
        <w:ind w:left="0" w:leftChars="0" w:right="0" w:rightChars="0"/>
        <w:textAlignment w:val="auto"/>
        <w:outlineLvl w:val="9"/>
        <w:rPr>
          <w:rFonts w:ascii="仿宋" w:hAnsi="仿宋" w:eastAsia="仿宋" w:cs="黑体"/>
          <w:szCs w:val="32"/>
        </w:rPr>
      </w:pPr>
    </w:p>
    <w:p>
      <w:pPr>
        <w:pStyle w:val="6e1a93c4"/>
      </w:pPr>
    </w:p>
    <w:p>
      <w:pPr>
        <w:pStyle w:val="3"/>
        <w:jc w:val="center"/>
        <w:rPr>
          <w:rFonts w:ascii="黑体" w:hAnsi="黑体" w:eastAsia="黑体" w:cs="黑体"/>
        </w:rPr>
      </w:pPr>
      <w:bookmarkStart w:id="76" w:name="_Toc79163635"/>
      <w:bookmarkStart w:id="77" w:name="_Toc21200"/>
      <w:bookmarkStart w:id="78" w:name="_Toc79163885"/>
      <w:bookmarkStart w:id="79" w:name="_Toc111208512"/>
      <w:r>
        <w:rPr>
          <w:rFonts w:hint="eastAsia" w:ascii="黑体" w:hAnsi="黑体" w:eastAsia="黑体" w:cs="黑体"/>
        </w:rPr>
        <w:t>第五部分 附表</w:t>
      </w:r>
      <w:bookmarkEnd w:id="76"/>
      <w:bookmarkEnd w:id="77"/>
      <w:bookmarkEnd w:id="78"/>
      <w:bookmarkEnd w:id="79"/>
    </w:p>
    <w:p>
      <w:pPr>
        <w:pStyle w:val="4"/>
        <w:ind w:firstLine="643" w:firstLineChars="200"/>
        <w:rPr>
          <w:rFonts w:ascii="黑体" w:eastAsia="黑体" w:cs="Times New Roman"/>
          <w:bCs w:val="0"/>
          <w:color w:val="000000"/>
        </w:rPr>
      </w:pPr>
      <w:bookmarkStart w:id="80" w:name="_Toc16431"/>
      <w:r>
        <w:rPr>
          <w:rFonts w:hint="eastAsia" w:ascii="黑体" w:eastAsia="黑体" w:cs="Times New Roman"/>
          <w:bCs w:val="0"/>
          <w:color w:val="000000"/>
        </w:rPr>
        <w:t>一、收入支出决算总表</w:t>
      </w:r>
      <w:bookmarkEnd w:id="80"/>
    </w:p>
    <w:p>
      <w:pPr>
        <w:pStyle w:val="4"/>
        <w:ind w:firstLine="643" w:firstLineChars="200"/>
        <w:rPr>
          <w:rFonts w:ascii="黑体" w:eastAsia="黑体" w:cs="Times New Roman"/>
          <w:bCs w:val="0"/>
          <w:color w:val="000000"/>
        </w:rPr>
      </w:pPr>
      <w:bookmarkStart w:id="81" w:name="_Toc25389"/>
      <w:r>
        <w:rPr>
          <w:rFonts w:hint="eastAsia" w:ascii="黑体" w:eastAsia="黑体" w:cs="Times New Roman"/>
          <w:bCs w:val="0"/>
          <w:color w:val="000000"/>
        </w:rPr>
        <w:t>二、收入决算表</w:t>
      </w:r>
      <w:bookmarkEnd w:id="81"/>
    </w:p>
    <w:p>
      <w:pPr>
        <w:pStyle w:val="4"/>
        <w:ind w:firstLine="643" w:firstLineChars="200"/>
        <w:rPr>
          <w:rFonts w:ascii="黑体" w:eastAsia="黑体" w:cs="Times New Roman"/>
          <w:bCs w:val="0"/>
          <w:color w:val="000000"/>
        </w:rPr>
      </w:pPr>
      <w:bookmarkStart w:id="82" w:name="_Toc10450"/>
      <w:r>
        <w:rPr>
          <w:rFonts w:hint="eastAsia" w:ascii="黑体" w:eastAsia="黑体" w:cs="Times New Roman"/>
          <w:bCs w:val="0"/>
          <w:color w:val="000000"/>
        </w:rPr>
        <w:t>三、支出决算表</w:t>
      </w:r>
      <w:bookmarkEnd w:id="82"/>
    </w:p>
    <w:p>
      <w:pPr>
        <w:pStyle w:val="4"/>
        <w:ind w:firstLine="643" w:firstLineChars="200"/>
        <w:rPr>
          <w:rFonts w:ascii="黑体" w:eastAsia="黑体" w:cs="Times New Roman"/>
          <w:bCs w:val="0"/>
          <w:color w:val="000000"/>
        </w:rPr>
      </w:pPr>
      <w:bookmarkStart w:id="83" w:name="_Toc15415"/>
      <w:r>
        <w:rPr>
          <w:rFonts w:hint="eastAsia" w:ascii="黑体" w:eastAsia="黑体" w:cs="Times New Roman"/>
          <w:bCs w:val="0"/>
          <w:color w:val="000000"/>
        </w:rPr>
        <w:t>四、财政拨款收入支出决算总表</w:t>
      </w:r>
      <w:bookmarkEnd w:id="83"/>
    </w:p>
    <w:p>
      <w:pPr>
        <w:pStyle w:val="4"/>
        <w:ind w:firstLine="643" w:firstLineChars="200"/>
        <w:rPr>
          <w:rFonts w:ascii="黑体" w:eastAsia="黑体" w:cs="Times New Roman"/>
          <w:bCs w:val="0"/>
          <w:color w:val="000000"/>
        </w:rPr>
      </w:pPr>
      <w:bookmarkStart w:id="84" w:name="_Toc17530"/>
      <w:r>
        <w:rPr>
          <w:rFonts w:hint="eastAsia" w:ascii="黑体" w:eastAsia="黑体" w:cs="Times New Roman"/>
          <w:bCs w:val="0"/>
          <w:color w:val="000000"/>
        </w:rPr>
        <w:t>五、财政拨款支出决算明细表</w:t>
      </w:r>
      <w:bookmarkEnd w:id="84"/>
    </w:p>
    <w:p>
      <w:pPr>
        <w:pStyle w:val="4"/>
        <w:ind w:firstLine="643" w:firstLineChars="200"/>
        <w:rPr>
          <w:rFonts w:ascii="黑体" w:eastAsia="黑体" w:cs="Times New Roman"/>
          <w:bCs w:val="0"/>
          <w:color w:val="000000"/>
        </w:rPr>
      </w:pPr>
      <w:bookmarkStart w:id="85" w:name="_Toc22032"/>
      <w:r>
        <w:rPr>
          <w:rFonts w:hint="eastAsia" w:ascii="黑体" w:eastAsia="黑体" w:cs="Times New Roman"/>
          <w:bCs w:val="0"/>
          <w:color w:val="000000"/>
        </w:rPr>
        <w:t>六、一般公共预算财政拨款支出决算表</w:t>
      </w:r>
      <w:bookmarkEnd w:id="85"/>
    </w:p>
    <w:p>
      <w:pPr>
        <w:pStyle w:val="4"/>
        <w:ind w:firstLine="643" w:firstLineChars="200"/>
        <w:rPr>
          <w:rFonts w:ascii="黑体" w:eastAsia="黑体" w:cs="Times New Roman"/>
          <w:bCs w:val="0"/>
          <w:color w:val="000000"/>
        </w:rPr>
      </w:pPr>
      <w:bookmarkStart w:id="86" w:name="_Toc3364"/>
      <w:r>
        <w:rPr>
          <w:rFonts w:hint="eastAsia" w:ascii="黑体" w:eastAsia="黑体" w:cs="Times New Roman"/>
          <w:bCs w:val="0"/>
          <w:color w:val="000000"/>
        </w:rPr>
        <w:t>七、一般公共预算财政拨款支出决算明细表</w:t>
      </w:r>
      <w:bookmarkEnd w:id="86"/>
    </w:p>
    <w:p>
      <w:pPr>
        <w:pStyle w:val="4"/>
        <w:ind w:firstLine="643" w:firstLineChars="200"/>
        <w:rPr>
          <w:rFonts w:ascii="黑体" w:eastAsia="黑体" w:cs="Times New Roman"/>
          <w:bCs w:val="0"/>
          <w:color w:val="000000"/>
        </w:rPr>
      </w:pPr>
      <w:bookmarkStart w:id="87" w:name="_Toc9110"/>
      <w:r>
        <w:rPr>
          <w:rFonts w:hint="eastAsia" w:ascii="黑体" w:eastAsia="黑体" w:cs="Times New Roman"/>
          <w:bCs w:val="0"/>
          <w:color w:val="000000"/>
        </w:rPr>
        <w:t>八、一般公共预算财政拨款基本支出决算表</w:t>
      </w:r>
      <w:bookmarkEnd w:id="87"/>
    </w:p>
    <w:p>
      <w:pPr>
        <w:pStyle w:val="4"/>
        <w:ind w:firstLine="643" w:firstLineChars="200"/>
        <w:rPr>
          <w:rFonts w:ascii="黑体" w:eastAsia="黑体" w:cs="Times New Roman"/>
          <w:bCs w:val="0"/>
          <w:color w:val="000000"/>
        </w:rPr>
      </w:pPr>
      <w:bookmarkStart w:id="88" w:name="_Toc28582"/>
      <w:r>
        <w:rPr>
          <w:rFonts w:hint="eastAsia" w:ascii="黑体" w:eastAsia="黑体" w:cs="Times New Roman"/>
          <w:bCs w:val="0"/>
          <w:color w:val="000000"/>
        </w:rPr>
        <w:t>九、一般公共预算财政拨款项目支出决算表</w:t>
      </w:r>
      <w:bookmarkEnd w:id="88"/>
    </w:p>
    <w:p>
      <w:pPr>
        <w:pStyle w:val="4"/>
        <w:ind w:firstLine="643" w:firstLineChars="200"/>
        <w:rPr>
          <w:rFonts w:ascii="黑体" w:eastAsia="黑体" w:cs="Times New Roman"/>
          <w:bCs w:val="0"/>
          <w:color w:val="000000"/>
        </w:rPr>
      </w:pPr>
      <w:bookmarkStart w:id="89" w:name="_Toc22001"/>
      <w:r>
        <w:rPr>
          <w:rFonts w:hint="eastAsia" w:ascii="黑体" w:eastAsia="黑体" w:cs="Times New Roman"/>
          <w:bCs w:val="0"/>
          <w:color w:val="000000"/>
        </w:rPr>
        <w:t>十、政府性基金预算财政拨款收入支出决算表</w:t>
      </w:r>
      <w:bookmarkEnd w:id="89"/>
    </w:p>
    <w:p>
      <w:pPr>
        <w:pStyle w:val="4"/>
        <w:ind w:firstLine="643" w:firstLineChars="200"/>
        <w:rPr>
          <w:rFonts w:ascii="黑体" w:eastAsia="黑体" w:cs="Times New Roman"/>
          <w:bCs w:val="0"/>
          <w:color w:val="000000"/>
        </w:rPr>
      </w:pPr>
      <w:bookmarkStart w:id="90" w:name="_Toc6538"/>
      <w:r>
        <w:rPr>
          <w:rFonts w:hint="eastAsia" w:ascii="黑体" w:eastAsia="黑体" w:cs="Times New Roman"/>
          <w:bCs w:val="0"/>
          <w:color w:val="000000"/>
        </w:rPr>
        <w:t>十一、国有资本经营预算财政拨款收入支出决算表</w:t>
      </w:r>
      <w:bookmarkEnd w:id="90"/>
    </w:p>
    <w:p>
      <w:pPr>
        <w:pStyle w:val="4"/>
        <w:ind w:firstLine="643" w:firstLineChars="200"/>
        <w:rPr>
          <w:rFonts w:ascii="黑体" w:eastAsia="黑体" w:cs="Times New Roman"/>
          <w:bCs w:val="0"/>
          <w:color w:val="000000"/>
        </w:rPr>
      </w:pPr>
      <w:bookmarkStart w:id="91" w:name="_Toc10625"/>
      <w:r>
        <w:rPr>
          <w:rFonts w:hint="eastAsia" w:ascii="黑体" w:eastAsia="黑体" w:cs="Times New Roman"/>
          <w:bCs w:val="0"/>
          <w:color w:val="000000"/>
        </w:rPr>
        <w:t>十二、国有资本经营预算财政拨款支出决算表</w:t>
      </w:r>
      <w:bookmarkEnd w:id="91"/>
    </w:p>
    <w:p>
      <w:pPr>
        <w:pStyle w:val="4"/>
        <w:ind w:firstLine="643" w:firstLineChars="200"/>
        <w:rPr>
          <w:rFonts w:ascii="黑体" w:eastAsia="黑体" w:cs="Times New Roman"/>
          <w:b w:val="0"/>
          <w:color w:val="000000"/>
        </w:rPr>
      </w:pPr>
      <w:bookmarkStart w:id="92" w:name="_Toc28356"/>
      <w:r>
        <w:rPr>
          <w:rFonts w:hint="eastAsia" w:ascii="黑体" w:eastAsia="黑体" w:cs="Times New Roman"/>
          <w:bCs w:val="0"/>
          <w:color w:val="000000"/>
        </w:rPr>
        <w:t>十三、财政拨款“三公”经费支出决算表</w:t>
      </w:r>
      <w:bookmarkEnd w:id="9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http://schemas.openxmlformats.org/wordprocessingml/2006/main">
  <w:abstractNum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r="http://schemas.openxmlformats.org/officeDocument/2006/relationships" xmlns:wpsCustomData="http://www.wps.cn/officeDocument/2013/wpsCustomData" xmlns:mc="http://schemas.openxmlformats.org/markup-compatibility/2006" xmlns:v="urn:schemas-microsoft-com:vml" xmlns:w10="urn:schemas-microsoft-com:office:word" xmlns:wp="http://schemas.openxmlformats.org/drawingml/2006/wordprocessingDrawing" xmlns:w14="http://schemas.microsoft.com/office/word/2010/wordml" xmlns:wps="http://schemas.microsoft.com/office/word/2010/wordprocessingShape" w:abstractNumId="1">
    <w:multiLevelType w:val="singleLevel"/>
    <w:lvl w:ilvl="0" w:tentative="0">
      <w:start w:val="1"/>
      <w:numFmt w:val="chineseCounting"/>
      <w:suff w:val="nothing"/>
      <w:lvlText w:val="%1、"/>
      <w:lvlJc w:val="left"/>
      <w:rPr>
        <w:rFonts w:hint="eastAsia"/>
      </w:rPr>
    </w:lvl>
  </w:abstractNum>
  <w:abstractNum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r="http://schemas.openxmlformats.org/officeDocument/2006/relationships" xmlns:wpsCustomData="http://www.wps.cn/officeDocument/2013/wpsCustomData" xmlns:mc="http://schemas.openxmlformats.org/markup-compatibility/2006" xmlns:v="urn:schemas-microsoft-com:vml" xmlns:w10="urn:schemas-microsoft-com:office:word" xmlns:wp="http://schemas.openxmlformats.org/drawingml/2006/wordprocessingDrawing" xmlns:w14="http://schemas.microsoft.com/office/word/2010/wordml" xmlns:wps="http://schemas.microsoft.com/office/word/2010/wordprocessingShape" w:abstractNumId="2">
    <w:multiLevelType w:val="singleLevel"/>
    <w:lvl w:ilvl="0" w:tentative="0">
      <w:start w:val="2"/>
      <w:numFmt w:val="chineseCounting"/>
      <w:suff w:val="nothing"/>
      <w:lvlText w:val="（%1）"/>
      <w:lvlJc w:val="left"/>
      <w:rPr>
        <w:rFonts w:hint="eastAsia"/>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updateFields w:val="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wY2U5NTEyYmI3OTdhMDllNmUyMWU1NTVmN2NhODI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7A757D"/>
    <w:rsid w:val="03F359AA"/>
    <w:rsid w:val="045647CC"/>
    <w:rsid w:val="0463543B"/>
    <w:rsid w:val="048D6B52"/>
    <w:rsid w:val="04A56E6E"/>
    <w:rsid w:val="04D550AF"/>
    <w:rsid w:val="051A6F96"/>
    <w:rsid w:val="05C25E8C"/>
    <w:rsid w:val="06951176"/>
    <w:rsid w:val="07001BE1"/>
    <w:rsid w:val="07267DE7"/>
    <w:rsid w:val="088F55D5"/>
    <w:rsid w:val="089C4B49"/>
    <w:rsid w:val="09081517"/>
    <w:rsid w:val="091B747D"/>
    <w:rsid w:val="09A572B6"/>
    <w:rsid w:val="0A19737C"/>
    <w:rsid w:val="0B7218AA"/>
    <w:rsid w:val="0B99373B"/>
    <w:rsid w:val="0BA37CB5"/>
    <w:rsid w:val="0D0429D6"/>
    <w:rsid w:val="0D093B48"/>
    <w:rsid w:val="0D322E51"/>
    <w:rsid w:val="0D6C338E"/>
    <w:rsid w:val="0DB37F58"/>
    <w:rsid w:val="0E6D2010"/>
    <w:rsid w:val="0F5E6610"/>
    <w:rsid w:val="0FB52B86"/>
    <w:rsid w:val="0FDB629D"/>
    <w:rsid w:val="10C055FF"/>
    <w:rsid w:val="11761AF6"/>
    <w:rsid w:val="11851C0B"/>
    <w:rsid w:val="11D56DF6"/>
    <w:rsid w:val="11ED6591"/>
    <w:rsid w:val="13367661"/>
    <w:rsid w:val="14D728AA"/>
    <w:rsid w:val="15F1786F"/>
    <w:rsid w:val="16BB723D"/>
    <w:rsid w:val="17283764"/>
    <w:rsid w:val="17BC7656"/>
    <w:rsid w:val="17EA348C"/>
    <w:rsid w:val="1840212F"/>
    <w:rsid w:val="184656CF"/>
    <w:rsid w:val="193C261A"/>
    <w:rsid w:val="19943114"/>
    <w:rsid w:val="19DE22C0"/>
    <w:rsid w:val="1AB026BC"/>
    <w:rsid w:val="1ABB32B6"/>
    <w:rsid w:val="1BF70747"/>
    <w:rsid w:val="1C06153F"/>
    <w:rsid w:val="1C986C96"/>
    <w:rsid w:val="1D7371C3"/>
    <w:rsid w:val="1DDC2BB3"/>
    <w:rsid w:val="1E34479D"/>
    <w:rsid w:val="1EF81F78"/>
    <w:rsid w:val="1F620905"/>
    <w:rsid w:val="201A6AB0"/>
    <w:rsid w:val="203B66A0"/>
    <w:rsid w:val="211A679A"/>
    <w:rsid w:val="22857975"/>
    <w:rsid w:val="23902475"/>
    <w:rsid w:val="23FA0B3C"/>
    <w:rsid w:val="240371BF"/>
    <w:rsid w:val="2435534E"/>
    <w:rsid w:val="24534F10"/>
    <w:rsid w:val="24DF6C66"/>
    <w:rsid w:val="253D03DB"/>
    <w:rsid w:val="253F66D1"/>
    <w:rsid w:val="25A20B86"/>
    <w:rsid w:val="25B1070F"/>
    <w:rsid w:val="25DD571A"/>
    <w:rsid w:val="265C1D1F"/>
    <w:rsid w:val="26BB36DB"/>
    <w:rsid w:val="271C5A93"/>
    <w:rsid w:val="276F1834"/>
    <w:rsid w:val="27B459F9"/>
    <w:rsid w:val="27C51E91"/>
    <w:rsid w:val="28513369"/>
    <w:rsid w:val="28BF6D42"/>
    <w:rsid w:val="28C822A0"/>
    <w:rsid w:val="29FD04D3"/>
    <w:rsid w:val="2C1E1BB4"/>
    <w:rsid w:val="2CAE1BBE"/>
    <w:rsid w:val="2CCF04B2"/>
    <w:rsid w:val="2DF079DB"/>
    <w:rsid w:val="2E4C04E0"/>
    <w:rsid w:val="2F803D16"/>
    <w:rsid w:val="30CB71E3"/>
    <w:rsid w:val="30E36C85"/>
    <w:rsid w:val="31810DA9"/>
    <w:rsid w:val="31903F88"/>
    <w:rsid w:val="319F7F4E"/>
    <w:rsid w:val="32004B5E"/>
    <w:rsid w:val="323A1C2F"/>
    <w:rsid w:val="329448A6"/>
    <w:rsid w:val="32F45598"/>
    <w:rsid w:val="33204932"/>
    <w:rsid w:val="33447C07"/>
    <w:rsid w:val="35244754"/>
    <w:rsid w:val="364D41F6"/>
    <w:rsid w:val="36FD0156"/>
    <w:rsid w:val="38207F4E"/>
    <w:rsid w:val="38F8371D"/>
    <w:rsid w:val="39226F5F"/>
    <w:rsid w:val="39902098"/>
    <w:rsid w:val="3A3A0F35"/>
    <w:rsid w:val="3A4E1148"/>
    <w:rsid w:val="3AF15A98"/>
    <w:rsid w:val="3C8D2F9D"/>
    <w:rsid w:val="3CE0510E"/>
    <w:rsid w:val="3D0E3B71"/>
    <w:rsid w:val="3D1927CA"/>
    <w:rsid w:val="3D1E4B3E"/>
    <w:rsid w:val="3D8344ED"/>
    <w:rsid w:val="3E03620E"/>
    <w:rsid w:val="3E343C22"/>
    <w:rsid w:val="3F512FA9"/>
    <w:rsid w:val="3FAC4683"/>
    <w:rsid w:val="3FEA5DFB"/>
    <w:rsid w:val="401C35B7"/>
    <w:rsid w:val="4119235A"/>
    <w:rsid w:val="41677310"/>
    <w:rsid w:val="422C2C46"/>
    <w:rsid w:val="4251506E"/>
    <w:rsid w:val="42B75819"/>
    <w:rsid w:val="43684120"/>
    <w:rsid w:val="444F07DA"/>
    <w:rsid w:val="44601E28"/>
    <w:rsid w:val="475E72DC"/>
    <w:rsid w:val="47F514AF"/>
    <w:rsid w:val="4839282C"/>
    <w:rsid w:val="48FD75BD"/>
    <w:rsid w:val="4A745623"/>
    <w:rsid w:val="4B187071"/>
    <w:rsid w:val="4C7555EC"/>
    <w:rsid w:val="4D135D42"/>
    <w:rsid w:val="4D846266"/>
    <w:rsid w:val="4D8D78A2"/>
    <w:rsid w:val="4DF123A8"/>
    <w:rsid w:val="4E832A53"/>
    <w:rsid w:val="4EBC1A30"/>
    <w:rsid w:val="4F6F7A34"/>
    <w:rsid w:val="4FD74194"/>
    <w:rsid w:val="4FDA49F5"/>
    <w:rsid w:val="50AE413E"/>
    <w:rsid w:val="51E1640E"/>
    <w:rsid w:val="51EE42CA"/>
    <w:rsid w:val="52302EF2"/>
    <w:rsid w:val="52ED6284"/>
    <w:rsid w:val="5322283B"/>
    <w:rsid w:val="532B0C13"/>
    <w:rsid w:val="53BA6F17"/>
    <w:rsid w:val="53BE2B80"/>
    <w:rsid w:val="541505F1"/>
    <w:rsid w:val="54992FD0"/>
    <w:rsid w:val="55872E29"/>
    <w:rsid w:val="56D0674C"/>
    <w:rsid w:val="57D23F06"/>
    <w:rsid w:val="58BA52C3"/>
    <w:rsid w:val="58BC5D23"/>
    <w:rsid w:val="59E11CD3"/>
    <w:rsid w:val="5A857BDE"/>
    <w:rsid w:val="5B2A4567"/>
    <w:rsid w:val="5BE202EA"/>
    <w:rsid w:val="5CFA7F1D"/>
    <w:rsid w:val="5E2506F8"/>
    <w:rsid w:val="5E5E7F75"/>
    <w:rsid w:val="5EA316D6"/>
    <w:rsid w:val="5ECE1AC8"/>
    <w:rsid w:val="5F3A07D2"/>
    <w:rsid w:val="5F593A88"/>
    <w:rsid w:val="5FF901AE"/>
    <w:rsid w:val="60651EAC"/>
    <w:rsid w:val="60BB3927"/>
    <w:rsid w:val="62A42EE2"/>
    <w:rsid w:val="62F14F12"/>
    <w:rsid w:val="630D013F"/>
    <w:rsid w:val="63347FC4"/>
    <w:rsid w:val="63604CB9"/>
    <w:rsid w:val="64A36D0B"/>
    <w:rsid w:val="64C656C1"/>
    <w:rsid w:val="64F77166"/>
    <w:rsid w:val="657F4183"/>
    <w:rsid w:val="658466A7"/>
    <w:rsid w:val="6596487B"/>
    <w:rsid w:val="65DF63C9"/>
    <w:rsid w:val="662A7F2C"/>
    <w:rsid w:val="66D65FFA"/>
    <w:rsid w:val="67EB36EB"/>
    <w:rsid w:val="68DA2DB6"/>
    <w:rsid w:val="69725134"/>
    <w:rsid w:val="6B4666B6"/>
    <w:rsid w:val="6CC85DA9"/>
    <w:rsid w:val="6D2A5F93"/>
    <w:rsid w:val="6D8F2D6B"/>
    <w:rsid w:val="6DB91990"/>
    <w:rsid w:val="6DC31436"/>
    <w:rsid w:val="6E6F4E2B"/>
    <w:rsid w:val="6ECB49CF"/>
    <w:rsid w:val="6ECB5A2B"/>
    <w:rsid w:val="6F806E0F"/>
    <w:rsid w:val="70202A42"/>
    <w:rsid w:val="70ED3F4C"/>
    <w:rsid w:val="72227D09"/>
    <w:rsid w:val="72E476B5"/>
    <w:rsid w:val="72F22338"/>
    <w:rsid w:val="73BE3A62"/>
    <w:rsid w:val="746C7E4B"/>
    <w:rsid w:val="750E6C6B"/>
    <w:rsid w:val="755E374E"/>
    <w:rsid w:val="75B310E7"/>
    <w:rsid w:val="75B318F4"/>
    <w:rsid w:val="76377F56"/>
    <w:rsid w:val="764B35A7"/>
    <w:rsid w:val="769E6A57"/>
    <w:rsid w:val="77B238DE"/>
    <w:rsid w:val="78A4106B"/>
    <w:rsid w:val="79975481"/>
    <w:rsid w:val="79F60BE5"/>
    <w:rsid w:val="7A1B4027"/>
    <w:rsid w:val="7A965738"/>
    <w:rsid w:val="7ABC1C9C"/>
    <w:rsid w:val="7B022DCE"/>
    <w:rsid w:val="7B272834"/>
    <w:rsid w:val="7B8F71DF"/>
    <w:rsid w:val="7C1568F9"/>
    <w:rsid w:val="7CB2612E"/>
    <w:rsid w:val="7CC25607"/>
    <w:rsid w:val="7DE859ED"/>
    <w:rsid w:val="7E4C610E"/>
    <w:rsid w:val="7F09108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styleId="6e1a93c4">
    <w:name w:val="Normal"/>
    <w:next w:val="2"/>
    <w:qFormat/>
    <w:uiPriority w:val="0"/>
    <w:pPr>
      <w:widowControl w:val="0"/>
      <w:jc w:val="both"/>
    </w:pPr>
    <w:rPr>
      <w:rFonts w:ascii="Calibri" w:hAnsi="Calibri" w:eastAsia="宋体" w:cs="Arial Unicode MS"/>
      <w:kern w:val="2"/>
      <w:sz w:val="21"/>
      <w:szCs w:val="24"/>
      <w:lang w:val="en-US" w:eastAsia="zh-CN" w:bidi="bo-CN"/>
    </w:rPr>
  </w:style>
  <w:style w:type="character" w:styleId="fa693c3e">
    <w:name w:val="Default Paragraph Font"/>
    <w:semiHidden/>
    <w:unhideWhenUsed/>
    <w:qFormat/>
    <w:uiPriority w:val="1"/>
  </w:style>
  <w:style w:type="table" w:styleId="e9f5356d">
    <w:name w:val="Normal Table"/>
    <w:semiHidden/>
    <w:unhideWhenUsed/>
    <w:qFormat/>
    <w:uiPriority w:val="99"/>
    <w:tblPr>
      <w:tblCellMar>
        <w:top w:w="0" w:type="dxa"/>
        <w:left w:w="108" w:type="dxa"/>
        <w:bottom w:w="0" w:type="dxa"/>
        <w:right w:w="108" w:type="dxa"/>
      </w:tblCellMar>
    </w:tblPr>
  </w:style>
  <w:style w:type="paragraph" w:styleId="c0d7dbb1">
    <w:name w:val="Body Text"/>
    <w:basedOn w:val="6e1a93c4"/>
    <w:qFormat/>
    <w:uiPriority w:val="0"/>
  </w:style>
  <w:style w:type="paragraph" w:styleId="21d4ee1f">
    <w:name w:val="Salutation"/>
    <w:basedOn w:val="6e1a93c4"/>
    <w:next w:val="1"/>
    <w:link w:val="13"/>
    <w:semiHidden/>
    <w:unhideWhenUsed/>
    <w:qFormat/>
    <w:uiPriority w:val="99"/>
  </w:style>
  <w:style w:type="paragraph" w:styleId="10d17cac">
    <w:name w:val="Body Text Indent"/>
    <w:basedOn w:val="6e1a93c4"/>
    <w:qFormat/>
    <w:uiPriority w:val="0"/>
    <w:pPr>
      <w:tabs>
        <w:tab w:val="left" w:pos="960"/>
      </w:tabs>
      <w:spacing w:line="540" w:lineRule="exact"/>
      <w:ind w:firstLine="5440" w:firstLineChars="1700"/>
    </w:pPr>
    <w:rPr>
      <w:sz w:val="32"/>
      <w:szCs w:val="32"/>
    </w:rPr>
  </w:style>
  <w:style w:type="paragraph" w:styleId="dd79359b">
    <w:name w:val="Date"/>
    <w:basedOn w:val="6e1a93c4"/>
    <w:next w:val="1"/>
    <w:link w:val="14"/>
    <w:semiHidden/>
    <w:unhideWhenUsed/>
    <w:qFormat/>
    <w:uiPriority w:val="99"/>
    <w:pPr>
      <w:ind w:left="100" w:leftChars="2500"/>
    </w:pPr>
  </w:style>
  <w:style w:type="paragraph" w:styleId="702d0d04">
    <w:name w:val="footer"/>
    <w:basedOn w:val="6e1a93c4"/>
    <w:link w:val="16"/>
    <w:unhideWhenUsed/>
    <w:qFormat/>
    <w:uiPriority w:val="99"/>
    <w:pPr>
      <w:tabs>
        <w:tab w:val="center" w:pos="4153"/>
        <w:tab w:val="right" w:pos="8306"/>
      </w:tabs>
      <w:snapToGrid w:val="0"/>
      <w:jc w:val="left"/>
    </w:pPr>
    <w:rPr>
      <w:sz w:val="18"/>
      <w:szCs w:val="26"/>
    </w:rPr>
  </w:style>
  <w:style w:type="paragraph" w:styleId="6381a211">
    <w:name w:val="header"/>
    <w:basedOn w:val="6e1a93c4"/>
    <w:link w:val="15"/>
    <w:unhideWhenUsed/>
    <w:qFormat/>
    <w:uiPriority w:val="99"/>
    <w:pPr>
      <w:pBdr>
        <w:bottom w:val="single" w:color="auto" w:sz="6" w:space="1"/>
      </w:pBdr>
      <w:tabs>
        <w:tab w:val="center" w:pos="4153"/>
        <w:tab w:val="right" w:pos="8306"/>
      </w:tabs>
      <w:snapToGrid w:val="0"/>
      <w:jc w:val="center"/>
    </w:pPr>
    <w:rPr>
      <w:sz w:val="18"/>
      <w:szCs w:val="26"/>
    </w:rPr>
  </w:style>
  <w:style w:type="paragraph" w:styleId="2c02c3d5">
    <w:name w:val="Normal (Web)"/>
    <w:basedOn w:val="6e1a93c4"/>
    <w:uiPriority w:val="0"/>
    <w:pPr>
      <w:spacing w:before="100" w:beforeAutospacing="1" w:after="100" w:afterAutospacing="1"/>
      <w:ind w:left="0" w:right="0"/>
      <w:jc w:val="left"/>
    </w:pPr>
    <w:rPr>
      <w:kern w:val="0"/>
      <w:sz w:val="24"/>
      <w:lang w:val="en-US" w:eastAsia="zh-CN" w:bidi="ar"/>
    </w:rPr>
  </w:style>
  <w:style w:type="paragraph" w:styleId="c3a487ec">
    <w:name w:val="Body Text First Indent 2"/>
    <w:basedOn w:val="10d17cac"/>
    <w:qFormat/>
    <w:uiPriority w:val="0"/>
    <w:pPr>
      <w:ind w:firstLine="420" w:firstLineChars="200"/>
    </w:pPr>
  </w:style>
  <w:style w:type="character" w:styleId="4dd923f2">
    <w:name w:val="page number"/>
    <w:basedOn w:val="fa693c3e"/>
    <w:uiPriority w:val="0"/>
  </w:style>
  <w:style w:type="character" w:customStyle="1" w:styleId="050c8029">
    <w:name w:val="称呼 Char"/>
    <w:basedOn w:val="fa693c3e"/>
    <w:link w:val="3"/>
    <w:semiHidden/>
    <w:qFormat/>
    <w:uiPriority w:val="99"/>
    <w:rPr>
      <w:rFonts w:ascii="Calibri" w:hAnsi="Calibri" w:eastAsia="宋体" w:cs="Arial Unicode MS"/>
      <w:szCs w:val="24"/>
      <w:lang w:bidi="bo-CN"/>
    </w:rPr>
  </w:style>
  <w:style w:type="character" w:customStyle="1" w:styleId="68221526">
    <w:name w:val="日期 Char"/>
    <w:basedOn w:val="fa693c3e"/>
    <w:link w:val="5"/>
    <w:semiHidden/>
    <w:qFormat/>
    <w:uiPriority w:val="99"/>
    <w:rPr>
      <w:rFonts w:ascii="Calibri" w:hAnsi="Calibri" w:eastAsia="宋体" w:cs="Arial Unicode MS"/>
      <w:szCs w:val="24"/>
      <w:lang w:bidi="bo-CN"/>
    </w:rPr>
  </w:style>
  <w:style w:type="character" w:customStyle="1" w:styleId="c8f2ee4f">
    <w:name w:val="页眉 Char"/>
    <w:basedOn w:val="fa693c3e"/>
    <w:link w:val="7"/>
    <w:qFormat/>
    <w:uiPriority w:val="99"/>
    <w:rPr>
      <w:rFonts w:ascii="Calibri" w:hAnsi="Calibri" w:eastAsia="宋体" w:cs="Arial Unicode MS"/>
      <w:sz w:val="18"/>
      <w:szCs w:val="26"/>
      <w:lang w:bidi="bo-CN"/>
    </w:rPr>
  </w:style>
  <w:style w:type="character" w:customStyle="1" w:styleId="91f5780c">
    <w:name w:val="页脚 Char"/>
    <w:basedOn w:val="fa693c3e"/>
    <w:link w:val="6"/>
    <w:qFormat/>
    <w:uiPriority w:val="99"/>
    <w:rPr>
      <w:rFonts w:ascii="Calibri" w:hAnsi="Calibri" w:eastAsia="宋体" w:cs="Arial Unicode MS"/>
      <w:sz w:val="18"/>
      <w:szCs w:val="26"/>
      <w:lang w:bidi="bo-CN"/>
    </w:rPr>
  </w:style>
  <w:style w:type="paragraph" w:customStyle="1" w:styleId="e62936c1">
    <w:name w:val="p0"/>
    <w:basedOn w:val="6e1a93c4"/>
    <w:uiPriority w:val="0"/>
    <w:pPr>
      <w:widowControl/>
      <w:jc w:val="left"/>
    </w:pPr>
    <w:rPr>
      <w:rFonts w:ascii="Times New Roman" w:hAnsi="Times New Roman" w:eastAsia="宋体"/>
      <w:kern w:val="0"/>
      <w:sz w:val="21"/>
      <w:szCs w:val="21"/>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harts/chart5.xml" Type="http://schemas.openxmlformats.org/officeDocument/2006/relationships/chart"/><Relationship Id="rId11" Target="charts/chart6.xml" Type="http://schemas.openxmlformats.org/officeDocument/2006/relationships/chart"/><Relationship Id="rId12" Target="charts/chart7.xml" Type="http://schemas.openxmlformats.org/officeDocument/2006/relationships/chart"/><Relationship Id="rId13" Target="../customXml/item1.xml" Type="http://schemas.openxmlformats.org/officeDocument/2006/relationships/customXml"/><Relationship Id="rId14" Target="fontTable.xml" Type="http://schemas.openxmlformats.org/officeDocument/2006/relationships/fontTable"/><Relationship Id="rId15" Target="numbering.xml" Type="http://schemas.openxmlformats.org/officeDocument/2006/relationships/numbering"/><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theme/theme1.xml" Type="http://schemas.openxmlformats.org/officeDocument/2006/relationships/theme"/><Relationship Id="rId6" Target="charts/chart1.xml" Type="http://schemas.openxmlformats.org/officeDocument/2006/relationships/chart"/><Relationship Id="rId7" Target="charts/chart2.xml" Type="http://schemas.openxmlformats.org/officeDocument/2006/relationships/chart"/><Relationship Id="rId8" Target="charts/chart3.xml" Type="http://schemas.openxmlformats.org/officeDocument/2006/relationships/chart"/><Relationship Id="rId9" Target="charts/chart4.xml" Type="http://schemas.openxmlformats.org/officeDocument/2006/relationships/chart"/></Relationships>
</file>

<file path=word/charts/_rels/chart1.xml.rels><?xml version="1.0" encoding="UTF-8" standalone="yes"?><Relationships xmlns="http://schemas.openxmlformats.org/package/2006/relationships"><Relationship Id="rId1" Target="&#24037;&#20316;&#31807;1" TargetMode="External" Type="http://schemas.openxmlformats.org/officeDocument/2006/relationships/oleObject"/><Relationship Id="rId2" Target="../embeddings/Microsoft_Excel_Worksheet0.xlsx" Type="http://schemas.openxmlformats.org/officeDocument/2006/relationships/package"/></Relationships>
</file>

<file path=word/charts/_rels/chart2.xml.rels><?xml version="1.0" encoding="UTF-8" standalone="yes"?><Relationships xmlns="http://schemas.openxmlformats.org/package/2006/relationships"><Relationship Id="rId1" Target="../embeddings/Workbook2.xlsx" Type="http://schemas.openxmlformats.org/officeDocument/2006/relationships/package"/></Relationships>
</file>

<file path=word/charts/_rels/chart3.xml.rels><?xml version="1.0" encoding="UTF-8" standalone="yes"?><Relationships xmlns="http://schemas.openxmlformats.org/package/2006/relationships"><Relationship Id="rId1" Target="../embeddings/Workbook3.xlsx" Type="http://schemas.openxmlformats.org/officeDocument/2006/relationships/package"/></Relationships>
</file>

<file path=word/charts/_rels/chart4.xml.rels><?xml version="1.0" encoding="UTF-8" standalone="yes"?><Relationships xmlns="http://schemas.openxmlformats.org/package/2006/relationships"><Relationship Id="rId1" Target="../embeddings/Workbook1.xlsx" Type="http://schemas.openxmlformats.org/officeDocument/2006/relationships/package"/></Relationships>
</file>

<file path=word/charts/_rels/chart5.xml.rels><?xml version="1.0" encoding="UTF-8" standalone="yes"?><Relationships xmlns="http://schemas.openxmlformats.org/package/2006/relationships"><Relationship Id="rId1" Target="../embeddings/Workbook4.xlsx" Type="http://schemas.openxmlformats.org/officeDocument/2006/relationships/package"/></Relationships>
</file>

<file path=word/charts/_rels/chart6.xml.rels><?xml version="1.0" encoding="UTF-8" standalone="yes"?><Relationships xmlns="http://schemas.openxmlformats.org/package/2006/relationships"><Relationship Id="rId1" Target="../embeddings/Workbook6.xlsx" Type="http://schemas.openxmlformats.org/officeDocument/2006/relationships/package"/></Relationships>
</file>

<file path=word/charts/_rels/chart7.xml.rels><?xml version="1.0" encoding="UTF-8" standalone="yes"?><Relationships xmlns="http://schemas.openxmlformats.org/package/2006/relationships"><Relationship Id="rId1" Target="../embeddings/Workbook5.xlsx" Type="http://schemas.openxmlformats.org/officeDocument/2006/relationships/package"/></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t" rtlCol="false"/>
          <a:lstStyle/>
          <a:p>
            <a:pPr algn="l">
              <a:defRPr/>
            </a:pPr>
            <a:r>
              <a:rPr lang="zh-CN"/>
              <a:t>收、支决算总计变动情况图</a:t>
            </a:r>
            <a:endParaRPr lang="en-US" sz="1100"/>
          </a:p>
        </c:rich>
      </c:tx>
      <c:layout/>
    </c:title>
    <c:autoTitleDeleted val="1"/>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1"/>
          <c:tx>
            <c:v>收入</c:v>
          </c:tx>
          <c:cat>
            <c:strLit>
              <c:ptCount val="2"/>
              <c:pt idx="0">
                <c:v>2021</c:v>
              </c:pt>
              <c:pt idx="1">
                <c:v>2022</c:v>
              </c:pt>
            </c:strLit>
          </c:cat>
          <c:val>
            <c:numLit>
              <c:ptCount val="2"/>
              <c:pt idx="0">
                <c:v>761.69</c:v>
              </c:pt>
              <c:pt idx="1">
                <c:v>950.6</c:v>
              </c:pt>
            </c:numLit>
          </c:val>
        </c:ser>
        <c:ser>
          <c:idx val="2"/>
          <c:order val="2"/>
          <c:tx>
            <c:v>支出</c:v>
          </c:tx>
          <c:cat>
            <c:strLit>
              <c:ptCount val="2"/>
              <c:pt idx="0">
                <c:v>2021</c:v>
              </c:pt>
              <c:pt idx="1">
                <c:v>2022</c:v>
              </c:pt>
            </c:strLit>
          </c:cat>
          <c:val>
            <c:numLit>
              <c:ptCount val="2"/>
              <c:pt idx="0">
                <c:v>771.49</c:v>
              </c:pt>
              <c:pt idx="1">
                <c:v>950.6</c:v>
              </c:pt>
            </c:numLit>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anchor="t" rtlCol="false"/>
              <a:lstStyle/>
              <a:p>
                <a:pPr algn="l">
                  <a:defRPr/>
                </a:pPr>
                <a:r>
                  <a:rPr lang="zh-CN"/>
                  <a:t>单位：万元</a:t>
                </a:r>
                <a:endParaRPr lang="en-US" sz="1100"/>
              </a:p>
            </c:rich>
          </c:tx>
          <c:layout/>
          <c:overlay val="false"/>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anchor="t" rtlCol="false"/>
              <a:lstStyle/>
              <a:p>
                <a:pPr algn="l">
                  <a:defRPr/>
                </a:pPr>
                <a:r>
                  <a:rPr lang="zh-CN"/>
                  <a:t> </a:t>
                </a:r>
                <a:endParaRPr lang="en-US" sz="1100"/>
              </a:p>
            </c:rich>
          </c:tx>
          <c:layout/>
          <c:overlay val="false"/>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xsi="http://www.w3.org/2001/XMLSchema-instance">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t" rtlCol="false"/>
          <a:lstStyle/>
          <a:p>
            <a:pPr algn="l">
              <a:defRPr/>
            </a:pPr>
            <a:r>
              <a:rPr lang="zh-CN"/>
              <a:t>收入决算结构图</a:t>
            </a:r>
            <a:endParaRPr lang="en-US" sz="1100"/>
          </a:p>
        </c:rich>
      </c:tx>
      <c:layout/>
    </c:title>
    <c:autoTitleDeleted val="1"/>
    <c:plotArea>
      <c:layout/>
      <c:pieChart>
        <c:varyColors val="1"/>
        <c:ser>
          <c:idx val="1"/>
          <c:order val="1"/>
          <c:tx>
            <c:v xsi:nil="true"/>
          </c:tx>
          <c:cat>
            <c:strLit>
              <c:ptCount val="1"/>
              <c:pt idx="0">
                <c:v>一般公共预算财政拨款收入</c:v>
              </c:pt>
            </c:strLit>
          </c:cat>
          <c:val>
            <c:numLit>
              <c:ptCount val="1"/>
              <c:pt idx="0">
                <c:v>950.6</c:v>
              </c:pt>
            </c:numLit>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xsi="http://www.w3.org/2001/XMLSchema-instance">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t" rtlCol="false"/>
          <a:lstStyle/>
          <a:p>
            <a:pPr algn="l">
              <a:defRPr/>
            </a:pPr>
            <a:r>
              <a:rPr lang="zh-CN"/>
              <a:t>支出决算结构图</a:t>
            </a:r>
            <a:endParaRPr lang="en-US" sz="1100"/>
          </a:p>
        </c:rich>
      </c:tx>
      <c:layout/>
    </c:title>
    <c:autoTitleDeleted val="1"/>
    <c:plotArea>
      <c:layout/>
      <c:pieChart>
        <c:varyColors val="1"/>
        <c:ser>
          <c:idx val="1"/>
          <c:order val="1"/>
          <c:tx>
            <c:v xsi:nil="true"/>
          </c:tx>
          <c:cat>
            <c:strLit>
              <c:ptCount val="2"/>
              <c:pt idx="0">
                <c:v>基本支出</c:v>
              </c:pt>
              <c:pt idx="1">
                <c:v>项目支出</c:v>
              </c:pt>
            </c:strLit>
          </c:cat>
          <c:val>
            <c:numLit>
              <c:ptCount val="2"/>
              <c:pt idx="0">
                <c:v>273.72</c:v>
              </c:pt>
              <c:pt idx="1">
                <c:v>676.87</c:v>
              </c:pt>
            </c:numLit>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1"/>
          <c:tx>
            <c:v>收入</c:v>
          </c:tx>
          <c:cat>
            <c:strLit>
              <c:ptCount val="2"/>
              <c:pt idx="0">
                <c:v>2021</c:v>
              </c:pt>
              <c:pt idx="1">
                <c:v>2022</c:v>
              </c:pt>
            </c:strLit>
          </c:cat>
          <c:val>
            <c:numLit>
              <c:ptCount val="2"/>
              <c:pt idx="0">
                <c:v>761.69</c:v>
              </c:pt>
              <c:pt idx="1">
                <c:v>950.6</c:v>
              </c:pt>
            </c:numLit>
          </c:val>
        </c:ser>
        <c:ser>
          <c:idx val="2"/>
          <c:order val="2"/>
          <c:tx>
            <c:v>支出</c:v>
          </c:tx>
          <c:cat>
            <c:strLit>
              <c:ptCount val="2"/>
              <c:pt idx="0">
                <c:v>2021</c:v>
              </c:pt>
              <c:pt idx="1">
                <c:v>2022</c:v>
              </c:pt>
            </c:strLit>
          </c:cat>
          <c:val>
            <c:numLit>
              <c:ptCount val="2"/>
              <c:pt idx="0">
                <c:v>771.49</c:v>
              </c:pt>
              <c:pt idx="1">
                <c:v>950.6</c:v>
              </c:pt>
            </c:numLit>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anchor="t" rtlCol="false"/>
              <a:lstStyle/>
              <a:p>
                <a:pPr algn="l">
                  <a:defRPr/>
                </a:pPr>
                <a:r>
                  <a:rPr lang="zh-CN"/>
                  <a:t>单位：万元</a:t>
                </a:r>
                <a:endParaRPr lang="en-US" sz="1100"/>
              </a:p>
            </c:rich>
          </c:tx>
          <c:layout/>
          <c:overlay val="false"/>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anchor="t" rtlCol="false"/>
              <a:lstStyle/>
              <a:p>
                <a:pPr algn="l">
                  <a:defRPr/>
                </a:pPr>
                <a:r>
                  <a:rPr lang="zh-CN"/>
                  <a:t> </a:t>
                </a:r>
                <a:endParaRPr lang="en-US" sz="1100"/>
              </a:p>
            </c:rich>
          </c:tx>
          <c:layout/>
          <c:overlay val="false"/>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1"/>
          <c:tx>
            <c:v>2021</c:v>
          </c:tx>
          <c:cat>
            <c:strLit>
              <c:ptCount val="1"/>
              <c:pt idx="0">
                <c:v>一般公共预算财政拨款支出</c:v>
              </c:pt>
            </c:strLit>
          </c:cat>
          <c:val>
            <c:numLit>
              <c:ptCount val="1"/>
              <c:pt idx="0">
                <c:v>771.49</c:v>
              </c:pt>
            </c:numLit>
          </c:val>
        </c:ser>
        <c:ser>
          <c:idx val="2"/>
          <c:order val="2"/>
          <c:tx>
            <c:v>2022</c:v>
          </c:tx>
          <c:cat>
            <c:strLit>
              <c:ptCount val="1"/>
              <c:pt idx="0">
                <c:v>一般公共预算财政拨款支出</c:v>
              </c:pt>
            </c:strLit>
          </c:cat>
          <c:val>
            <c:numLit>
              <c:ptCount val="1"/>
              <c:pt idx="0">
                <c:v>950.6</c:v>
              </c:pt>
            </c:numLit>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anchor="t" rtlCol="false"/>
              <a:lstStyle/>
              <a:p>
                <a:pPr algn="l">
                  <a:defRPr/>
                </a:pPr>
                <a:r>
                  <a:rPr lang="zh-CN"/>
                  <a:t>单位：万元</a:t>
                </a:r>
                <a:endParaRPr lang="en-US" sz="1100"/>
              </a:p>
            </c:rich>
          </c:tx>
          <c:layout/>
          <c:overlay val="false"/>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anchor="t" rtlCol="false"/>
              <a:lstStyle/>
              <a:p>
                <a:pPr algn="l">
                  <a:defRPr/>
                </a:pPr>
                <a:r>
                  <a:rPr lang="zh-CN"/>
                  <a:t> </a:t>
                </a:r>
                <a:endParaRPr lang="en-US" sz="1100"/>
              </a:p>
            </c:rich>
          </c:tx>
          <c:layout/>
          <c:overlay val="false"/>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xsi="http://www.w3.org/2001/XMLSchema-instance">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t" rtlCol="false"/>
          <a:lstStyle/>
          <a:p>
            <a:pPr algn="l">
              <a:defRPr/>
            </a:pPr>
            <a:r>
              <a:rPr lang="zh-CN"/>
              <a:t>一般公共预算财政拨款支出</a:t>
            </a:r>
            <a:endParaRPr lang="en-US" sz="1100"/>
          </a:p>
        </c:rich>
      </c:tx>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1"/>
          <c:order val="1"/>
          <c:tx>
            <c:v xsi:nil="true"/>
          </c:tx>
          <c:cat>
            <c:strLit>
              <c:ptCount val="4"/>
              <c:pt idx="0">
                <c:v>一般公共服务支出</c:v>
              </c:pt>
              <c:pt idx="1">
                <c:v>社会保障和就业支出</c:v>
              </c:pt>
              <c:pt idx="2">
                <c:v>卫生健康支出</c:v>
              </c:pt>
              <c:pt idx="3">
                <c:v>住房保障支出</c:v>
              </c:pt>
            </c:strLit>
          </c:cat>
          <c:val>
            <c:numLit>
              <c:ptCount val="4"/>
              <c:pt idx="0">
                <c:v>884.52</c:v>
              </c:pt>
              <c:pt idx="1">
                <c:v>33.02</c:v>
              </c:pt>
              <c:pt idx="2">
                <c:v>14.57</c:v>
              </c:pt>
              <c:pt idx="3">
                <c:v>18.48</c:v>
              </c:pt>
            </c:numLit>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xsi="http://www.w3.org/2001/XMLSchema-instance">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t" rtlCol="false"/>
          <a:lstStyle/>
          <a:p>
            <a:pPr algn="l">
              <a:defRPr/>
            </a:pPr>
            <a:r>
              <a:rPr lang="zh-CN"/>
              <a:t>三公经费</a:t>
            </a:r>
            <a:endParaRPr lang="en-US" sz="1100"/>
          </a:p>
        </c:rich>
      </c:tx>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1"/>
          <c:order val="1"/>
          <c:tx>
            <c:v xsi:nil="true"/>
          </c:tx>
          <c:cat>
            <c:strLit>
              <c:ptCount val="3"/>
              <c:pt idx="0">
                <c:v>因公出国（境）费</c:v>
              </c:pt>
              <c:pt idx="1">
                <c:v>公务用车购置及运行维护费</c:v>
              </c:pt>
              <c:pt idx="2">
                <c:v>公务接待费</c:v>
              </c:pt>
            </c:strLit>
          </c:cat>
          <c:val>
            <c:numLit>
              <c:ptCount val="3"/>
              <c:pt idx="0">
                <c:v>0.0</c:v>
              </c:pt>
              <c:pt idx="1">
                <c:v>7.7</c:v>
              </c:pt>
              <c:pt idx="2">
                <c:v>179.93</c:v>
              </c:pt>
            </c:numLit>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15</Pages>
  <Words>1030</Words>
  <Characters>5875</Characters>
  <Lines>48</Lines>
  <Paragraphs>13</Paragraphs>
  <TotalTime>0</TotalTime>
  <ScaleCrop>false</ScaleCrop>
  <LinksUpToDate>false</LinksUpToDate>
  <CharactersWithSpaces>6892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2023-08-18T07:28:00Z</dcterms:created>
  <dc:creator>pjf</dc:creator>
  <cp:lastModifiedBy>pjf</cp:lastModifiedBy>
  <cp:lastPrinted>2021-09-26T08:39:00Z</cp:lastPrinted>
  <dcterms:modified xsi:type="dcterms:W3CDTF">2023-10-11T08:38:16Z</dcterms:modified>
  <cp:revision>48</cp:revision>
  <dc:title>四川省决算编制说明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B93CA6F4BEAD4F359769D1203595D585</vt:lpwstr>
  </property>
</Properties>
</file>