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pStyle w:val="26"/>
        <w:keepNext w:val="0"/>
        <w:keepLines w:val="0"/>
        <w:widowControl/>
        <w:suppressLineNumbers w:val="0"/>
        <w:spacing w:before="0" w:beforeAutospacing="0"/>
        <w:ind w:left="0"/>
        <w:jc w:val="center"/>
        <w:rPr>
          <w:rStyle w:val="25"/>
          <w:rFonts w:hint="eastAsia" w:ascii="方正小标宋简体" w:hAnsi="方正小标宋简体" w:eastAsia="方正小标宋简体" w:cs="方正小标宋简体"/>
          <w:b/>
          <w:bCs/>
          <w:color w:val="000000" w:themeColor="text1"/>
          <w:sz w:val="44"/>
          <w:szCs w:val="44"/>
          <w:shd w:val="clear" w:fill="FFFFFF"/>
          <w14:textFill>
            <w14:solidFill>
              <w14:schemeClr w14:val="tx1"/>
            </w14:solidFill>
          </w14:textFill>
        </w:rPr>
      </w:pPr>
      <w:bookmarkStart w:id="76" w:name="_GoBack"/>
      <w:bookmarkEnd w:id="76"/>
      <w:r>
        <w:rPr>
          <w:rStyle w:val="25"/>
          <w:rFonts w:hint="default" w:ascii="方正小标宋简体" w:hAnsi="方正小标宋简体" w:eastAsia="方正小标宋简体" w:cs="方正小标宋简体"/>
          <w:b/>
          <w:bCs/>
          <w:color w:val="000000" w:themeColor="text1"/>
          <w:sz w:val="44"/>
          <w:szCs w:val="44"/>
          <w:shd w:val="clear" w:fill="FFFFFF"/>
          <w14:textFill>
            <w14:solidFill>
              <w14:schemeClr w14:val="tx1"/>
            </w14:solidFill>
          </w14:textFill>
        </w:rPr>
        <w:t>2020</w:t>
      </w:r>
      <w:r>
        <w:rPr>
          <w:rStyle w:val="25"/>
          <w:rFonts w:hint="eastAsia" w:ascii="方正小标宋简体" w:hAnsi="方正小标宋简体" w:eastAsia="方正小标宋简体" w:cs="方正小标宋简体"/>
          <w:b/>
          <w:bCs/>
          <w:color w:val="000000" w:themeColor="text1"/>
          <w:sz w:val="44"/>
          <w:szCs w:val="44"/>
          <w:shd w:val="clear" w:fill="FFFFFF"/>
          <w14:textFill>
            <w14:solidFill>
              <w14:schemeClr w14:val="tx1"/>
            </w14:solidFill>
          </w14:textFill>
        </w:rPr>
        <w:t>年度</w:t>
      </w:r>
    </w:p>
    <w:p>
      <w:pPr>
        <w:pStyle w:val="26"/>
        <w:keepNext w:val="0"/>
        <w:keepLines w:val="0"/>
        <w:widowControl/>
        <w:suppressLineNumbers w:val="0"/>
        <w:spacing w:before="0" w:beforeAutospacing="0"/>
        <w:ind w:left="0"/>
        <w:jc w:val="center"/>
        <w:rPr>
          <w:rStyle w:val="25"/>
          <w:rFonts w:hint="eastAsia" w:ascii="方正小标宋简体" w:hAnsi="方正小标宋简体" w:eastAsia="方正小标宋简体" w:cs="方正小标宋简体"/>
          <w:b/>
          <w:bCs/>
          <w:color w:val="000000" w:themeColor="text1"/>
          <w:sz w:val="44"/>
          <w:szCs w:val="44"/>
          <w:shd w:val="clear" w:fill="FFFFFF"/>
          <w14:textFill>
            <w14:solidFill>
              <w14:schemeClr w14:val="tx1"/>
            </w14:solidFill>
          </w14:textFill>
        </w:rPr>
      </w:pPr>
      <w:r>
        <w:rPr>
          <w:rStyle w:val="25"/>
          <w:rFonts w:hint="eastAsia" w:ascii="方正小标宋简体" w:hAnsi="方正小标宋简体" w:eastAsia="方正小标宋简体" w:cs="方正小标宋简体"/>
          <w:b/>
          <w:bCs/>
          <w:color w:val="000000" w:themeColor="text1"/>
          <w:sz w:val="44"/>
          <w:szCs w:val="44"/>
          <w:shd w:val="clear" w:fill="FFFFFF"/>
          <w14:textFill>
            <w14:solidFill>
              <w14:schemeClr w14:val="tx1"/>
            </w14:solidFill>
          </w14:textFill>
        </w:rPr>
        <w:t>阿坝州红原县机关事务管理局</w:t>
      </w:r>
    </w:p>
    <w:p>
      <w:pPr>
        <w:pStyle w:val="26"/>
        <w:keepNext w:val="0"/>
        <w:keepLines w:val="0"/>
        <w:widowControl/>
        <w:suppressLineNumbers w:val="0"/>
        <w:spacing w:before="0" w:beforeAutospacing="0"/>
        <w:ind w:left="0"/>
        <w:jc w:val="center"/>
        <w:rPr>
          <w:rStyle w:val="25"/>
          <w:rFonts w:hint="eastAsia" w:ascii="方正小标宋简体" w:hAnsi="方正小标宋简体" w:eastAsia="方正小标宋简体" w:cs="方正小标宋简体"/>
          <w:b/>
          <w:bCs/>
          <w:color w:val="000000" w:themeColor="text1"/>
          <w:sz w:val="44"/>
          <w:szCs w:val="44"/>
          <w:shd w:val="clear" w:fill="FFFFFF"/>
          <w14:textFill>
            <w14:solidFill>
              <w14:schemeClr w14:val="tx1"/>
            </w14:solidFill>
          </w14:textFill>
        </w:rPr>
      </w:pPr>
      <w:r>
        <w:rPr>
          <w:rStyle w:val="25"/>
          <w:rFonts w:hint="eastAsia" w:ascii="方正小标宋简体" w:hAnsi="方正小标宋简体" w:eastAsia="方正小标宋简体" w:cs="方正小标宋简体"/>
          <w:b/>
          <w:bCs/>
          <w:color w:val="000000" w:themeColor="text1"/>
          <w:sz w:val="44"/>
          <w:szCs w:val="44"/>
          <w:shd w:val="clear" w:fill="FFFFFF"/>
          <w14:textFill>
            <w14:solidFill>
              <w14:schemeClr w14:val="tx1"/>
            </w14:solidFill>
          </w14:textFill>
        </w:rPr>
        <w:t>部门决算</w:t>
      </w:r>
    </w:p>
    <w:p>
      <w:pPr>
        <w:pStyle w:val="17"/>
        <w:keepNext w:val="0"/>
        <w:keepLines w:val="0"/>
        <w:widowControl/>
        <w:suppressLineNumbers w:val="0"/>
        <w:spacing w:before="0" w:beforeAutospacing="0"/>
        <w:ind w:left="0"/>
        <w:jc w:val="both"/>
        <w:rPr>
          <w:rFonts w:hint="eastAsia" w:ascii="宋体" w:hAnsi="宋体" w:eastAsia="宋体" w:cs="宋体"/>
          <w:kern w:val="0"/>
          <w:sz w:val="24"/>
          <w:szCs w:val="24"/>
        </w:rPr>
      </w:pPr>
    </w:p>
    <w:p>
      <w:pPr>
        <w:pStyle w:val="17"/>
        <w:keepNext w:val="0"/>
        <w:keepLines w:val="0"/>
        <w:widowControl/>
        <w:suppressLineNumbers w:val="0"/>
        <w:spacing w:before="0" w:beforeAutospacing="0"/>
        <w:ind w:left="0"/>
        <w:jc w:val="center"/>
        <w:rPr>
          <w:rFonts w:hint="eastAsia" w:ascii="宋体" w:hAnsi="宋体" w:eastAsia="宋体" w:cs="宋体"/>
          <w:kern w:val="0"/>
          <w:sz w:val="24"/>
          <w:szCs w:val="24"/>
        </w:rPr>
      </w:pPr>
      <w:r>
        <w:rPr>
          <w:rFonts w:hint="eastAsia" w:ascii="宋体" w:hAnsi="宋体" w:eastAsia="宋体" w:cs="宋体"/>
          <w:kern w:val="0"/>
          <w:sz w:val="24"/>
          <w:szCs w:val="24"/>
          <w:shd w:val="clear" w:fill="FFFFFF"/>
        </w:rPr>
        <w:t xml:space="preserve"> </w:t>
      </w:r>
    </w:p>
    <w:p>
      <w:pPr>
        <w:pStyle w:val="17"/>
        <w:keepNext w:val="0"/>
        <w:keepLines w:val="0"/>
        <w:widowControl/>
        <w:suppressLineNumbers w:val="0"/>
        <w:spacing w:before="0" w:beforeAutospacing="0"/>
        <w:ind w:left="0"/>
        <w:jc w:val="center"/>
        <w:rPr>
          <w:rFonts w:hint="eastAsia" w:ascii="宋体" w:hAnsi="宋体" w:eastAsia="宋体" w:cs="宋体"/>
          <w:kern w:val="0"/>
          <w:sz w:val="24"/>
          <w:szCs w:val="24"/>
        </w:rPr>
      </w:pPr>
      <w:r>
        <w:rPr>
          <w:rFonts w:hint="eastAsia" w:ascii="宋体" w:hAnsi="宋体" w:eastAsia="宋体" w:cs="宋体"/>
          <w:kern w:val="0"/>
          <w:sz w:val="24"/>
          <w:szCs w:val="24"/>
          <w:shd w:val="clear" w:fill="FFFFFF"/>
        </w:rPr>
        <w:t xml:space="preserve"> </w:t>
      </w:r>
    </w:p>
    <w:p>
      <w:pPr>
        <w:pStyle w:val="17"/>
        <w:keepNext w:val="0"/>
        <w:keepLines w:val="0"/>
        <w:widowControl/>
        <w:suppressLineNumbers w:val="0"/>
        <w:spacing w:before="0" w:beforeAutospacing="0"/>
        <w:ind w:left="0"/>
        <w:jc w:val="center"/>
        <w:rPr>
          <w:rFonts w:hint="eastAsia" w:ascii="宋体" w:hAnsi="宋体" w:eastAsia="宋体" w:cs="宋体"/>
          <w:kern w:val="0"/>
          <w:sz w:val="24"/>
          <w:szCs w:val="24"/>
        </w:rPr>
      </w:pPr>
      <w:r>
        <w:rPr>
          <w:rFonts w:hint="eastAsia" w:ascii="宋体" w:hAnsi="宋体" w:eastAsia="宋体" w:cs="宋体"/>
          <w:kern w:val="0"/>
          <w:sz w:val="24"/>
          <w:szCs w:val="24"/>
          <w:shd w:val="clear" w:fill="FFFFFF"/>
        </w:rPr>
        <w:t xml:space="preserve"> </w:t>
      </w:r>
    </w:p>
    <w:p>
      <w:pPr>
        <w:pStyle w:val="17"/>
        <w:keepNext w:val="0"/>
        <w:keepLines w:val="0"/>
        <w:widowControl/>
        <w:suppressLineNumbers w:val="0"/>
        <w:spacing w:before="0" w:beforeAutospacing="0"/>
        <w:ind w:left="0"/>
        <w:jc w:val="center"/>
        <w:rPr>
          <w:rFonts w:hint="eastAsia" w:ascii="宋体" w:hAnsi="宋体" w:eastAsia="宋体" w:cs="宋体"/>
          <w:kern w:val="0"/>
          <w:sz w:val="24"/>
          <w:szCs w:val="24"/>
        </w:rPr>
      </w:pPr>
      <w:r>
        <w:rPr>
          <w:rFonts w:hint="eastAsia" w:ascii="宋体" w:hAnsi="宋体" w:eastAsia="宋体" w:cs="宋体"/>
          <w:kern w:val="0"/>
          <w:sz w:val="24"/>
          <w:szCs w:val="24"/>
          <w:shd w:val="clear" w:fill="FFFFFF"/>
        </w:rPr>
        <w:t xml:space="preserve"> </w:t>
      </w:r>
    </w:p>
    <w:p>
      <w:pPr>
        <w:pStyle w:val="17"/>
        <w:keepNext w:val="0"/>
        <w:keepLines w:val="0"/>
        <w:widowControl/>
        <w:suppressLineNumbers w:val="0"/>
        <w:spacing w:before="0" w:beforeAutospacing="0"/>
        <w:ind w:left="0"/>
        <w:jc w:val="center"/>
        <w:rPr>
          <w:rFonts w:hint="eastAsia" w:ascii="宋体" w:hAnsi="宋体" w:eastAsia="宋体" w:cs="宋体"/>
          <w:kern w:val="0"/>
          <w:sz w:val="24"/>
          <w:szCs w:val="24"/>
          <w:shd w:val="clear" w:fill="FFFFFF"/>
        </w:rPr>
      </w:pPr>
      <w:r>
        <w:rPr>
          <w:rFonts w:hint="eastAsia" w:ascii="宋体" w:hAnsi="宋体" w:eastAsia="宋体" w:cs="宋体"/>
          <w:kern w:val="0"/>
          <w:sz w:val="24"/>
          <w:szCs w:val="24"/>
          <w:shd w:val="clear" w:fill="FFFFFF"/>
        </w:rPr>
        <w:t xml:space="preserve"> </w:t>
      </w:r>
    </w:p>
    <w:p>
      <w:pPr>
        <w:pStyle w:val="17"/>
        <w:keepNext w:val="0"/>
        <w:keepLines w:val="0"/>
        <w:widowControl/>
        <w:suppressLineNumbers w:val="0"/>
        <w:spacing w:before="0" w:beforeAutospacing="0"/>
        <w:ind w:left="0"/>
        <w:jc w:val="center"/>
        <w:rPr>
          <w:rFonts w:hint="eastAsia" w:ascii="宋体" w:hAnsi="宋体" w:eastAsia="宋体" w:cs="宋体"/>
          <w:kern w:val="0"/>
          <w:sz w:val="24"/>
          <w:szCs w:val="24"/>
          <w:shd w:val="clear" w:fill="FFFFFF"/>
        </w:rPr>
      </w:pPr>
    </w:p>
    <w:p>
      <w:pPr>
        <w:pStyle w:val="17"/>
        <w:keepNext w:val="0"/>
        <w:keepLines w:val="0"/>
        <w:widowControl/>
        <w:suppressLineNumbers w:val="0"/>
        <w:spacing w:before="0" w:beforeAutospacing="0"/>
        <w:ind w:left="0"/>
        <w:jc w:val="center"/>
        <w:rPr>
          <w:rFonts w:hint="eastAsia" w:ascii="宋体" w:hAnsi="宋体" w:eastAsia="宋体" w:cs="宋体"/>
          <w:kern w:val="0"/>
          <w:sz w:val="24"/>
          <w:szCs w:val="24"/>
          <w:shd w:val="clear" w:fill="FFFFFF"/>
        </w:rPr>
      </w:pPr>
    </w:p>
    <w:p>
      <w:pPr>
        <w:pStyle w:val="17"/>
        <w:keepNext w:val="0"/>
        <w:keepLines w:val="0"/>
        <w:widowControl/>
        <w:suppressLineNumbers w:val="0"/>
        <w:spacing w:before="0" w:beforeAutospacing="0"/>
        <w:ind w:left="0"/>
        <w:jc w:val="center"/>
        <w:rPr>
          <w:rFonts w:hint="eastAsia" w:ascii="宋体" w:hAnsi="宋体" w:eastAsia="宋体" w:cs="宋体"/>
          <w:kern w:val="0"/>
          <w:sz w:val="24"/>
          <w:szCs w:val="24"/>
        </w:rPr>
      </w:pPr>
      <w:r>
        <w:rPr>
          <w:rFonts w:hint="eastAsia" w:ascii="宋体" w:hAnsi="宋体" w:eastAsia="宋体" w:cs="宋体"/>
          <w:kern w:val="0"/>
          <w:sz w:val="24"/>
          <w:szCs w:val="24"/>
          <w:shd w:val="clear" w:fill="FFFFFF"/>
        </w:rPr>
        <w:t xml:space="preserve"> </w:t>
      </w:r>
    </w:p>
    <w:p>
      <w:pPr>
        <w:pStyle w:val="17"/>
        <w:keepNext w:val="0"/>
        <w:keepLines w:val="0"/>
        <w:widowControl/>
        <w:suppressLineNumbers w:val="0"/>
        <w:spacing w:before="0" w:beforeAutospacing="0"/>
        <w:ind w:left="0"/>
        <w:jc w:val="center"/>
        <w:rPr>
          <w:rFonts w:hint="eastAsia" w:ascii="宋体" w:hAnsi="宋体" w:eastAsia="宋体" w:cs="宋体"/>
          <w:kern w:val="0"/>
          <w:sz w:val="24"/>
          <w:szCs w:val="24"/>
        </w:rPr>
      </w:pPr>
      <w:r>
        <w:rPr>
          <w:rFonts w:hint="eastAsia" w:ascii="宋体" w:hAnsi="宋体" w:eastAsia="宋体" w:cs="宋体"/>
          <w:kern w:val="0"/>
          <w:sz w:val="24"/>
          <w:szCs w:val="24"/>
          <w:shd w:val="clear" w:fill="FFFFFF"/>
        </w:rPr>
        <w:t xml:space="preserve"> </w:t>
      </w:r>
    </w:p>
    <w:p>
      <w:pPr>
        <w:pStyle w:val="17"/>
        <w:keepNext w:val="0"/>
        <w:keepLines w:val="0"/>
        <w:widowControl/>
        <w:suppressLineNumbers w:val="0"/>
        <w:spacing w:before="0" w:beforeAutospacing="0"/>
        <w:ind w:left="0"/>
        <w:jc w:val="center"/>
        <w:rPr>
          <w:rFonts w:hint="eastAsia" w:ascii="宋体" w:hAnsi="宋体" w:eastAsia="宋体" w:cs="宋体"/>
          <w:kern w:val="0"/>
          <w:sz w:val="24"/>
          <w:szCs w:val="24"/>
        </w:rPr>
      </w:pPr>
      <w:r>
        <w:rPr>
          <w:rFonts w:hint="eastAsia" w:ascii="宋体" w:hAnsi="宋体" w:eastAsia="宋体" w:cs="宋体"/>
          <w:kern w:val="0"/>
          <w:sz w:val="24"/>
          <w:szCs w:val="24"/>
          <w:shd w:val="clear" w:fill="FFFFFF"/>
        </w:rPr>
        <w:t xml:space="preserve"> </w:t>
      </w:r>
    </w:p>
    <w:p>
      <w:pPr>
        <w:pStyle w:val="17"/>
        <w:keepNext w:val="0"/>
        <w:keepLines w:val="0"/>
        <w:widowControl/>
        <w:suppressLineNumbers w:val="0"/>
        <w:spacing w:before="0" w:beforeAutospacing="0"/>
        <w:ind w:left="0"/>
        <w:jc w:val="center"/>
        <w:rPr>
          <w:rFonts w:hint="eastAsia" w:ascii="宋体" w:hAnsi="宋体" w:eastAsia="宋体" w:cs="宋体"/>
          <w:kern w:val="0"/>
          <w:sz w:val="24"/>
          <w:szCs w:val="24"/>
        </w:rPr>
      </w:pPr>
      <w:r>
        <w:rPr>
          <w:rFonts w:hint="eastAsia" w:ascii="宋体" w:hAnsi="宋体" w:eastAsia="宋体" w:cs="宋体"/>
          <w:kern w:val="0"/>
          <w:sz w:val="24"/>
          <w:szCs w:val="24"/>
          <w:shd w:val="clear" w:fill="FFFFFF"/>
        </w:rPr>
        <w:t xml:space="preserve"> </w:t>
      </w:r>
    </w:p>
    <w:p>
      <w:pPr>
        <w:pStyle w:val="17"/>
        <w:keepNext w:val="0"/>
        <w:keepLines w:val="0"/>
        <w:widowControl/>
        <w:suppressLineNumbers w:val="0"/>
        <w:spacing w:before="0" w:beforeAutospacing="0"/>
        <w:ind w:left="0"/>
        <w:jc w:val="center"/>
        <w:rPr>
          <w:rFonts w:hint="eastAsia" w:ascii="宋体" w:hAnsi="宋体" w:eastAsia="宋体" w:cs="宋体"/>
          <w:kern w:val="0"/>
          <w:sz w:val="24"/>
          <w:szCs w:val="24"/>
        </w:rPr>
      </w:pPr>
      <w:r>
        <w:rPr>
          <w:rFonts w:hint="eastAsia" w:ascii="宋体" w:hAnsi="宋体" w:eastAsia="宋体" w:cs="宋体"/>
          <w:kern w:val="0"/>
          <w:sz w:val="24"/>
          <w:szCs w:val="24"/>
          <w:shd w:val="clear" w:fill="FFFFFF"/>
        </w:rPr>
        <w:t xml:space="preserve"> </w:t>
      </w:r>
    </w:p>
    <w:p>
      <w:pPr>
        <w:pStyle w:val="17"/>
        <w:keepNext w:val="0"/>
        <w:keepLines w:val="0"/>
        <w:widowControl/>
        <w:suppressLineNumbers w:val="0"/>
        <w:spacing w:before="0" w:beforeAutospacing="0"/>
        <w:ind w:left="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 xml:space="preserve">   保密审查情况：已审查，内容审定</w:t>
      </w:r>
    </w:p>
    <w:p>
      <w:pPr>
        <w:pStyle w:val="17"/>
        <w:keepNext w:val="0"/>
        <w:keepLines w:val="0"/>
        <w:widowControl/>
        <w:suppressLineNumbers w:val="0"/>
        <w:spacing w:before="0" w:beforeAutospacing="0"/>
        <w:ind w:left="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 xml:space="preserve">   部门主要负责人审签情况：已审签，同意对外公开</w:t>
      </w:r>
    </w:p>
    <w:sdt>
      <w:sdtPr>
        <w:rPr>
          <w:rFonts w:hint="eastAsia" w:ascii="宋体" w:hAnsi="宋体" w:eastAsia="宋体" w:cs="宋体"/>
          <w:b/>
          <w:bCs/>
          <w:kern w:val="0"/>
          <w:sz w:val="32"/>
          <w:szCs w:val="32"/>
          <w:lang w:val="en-US" w:eastAsia="zh-CN" w:bidi="ar"/>
        </w:rPr>
        <w:id w:val="147465052"/>
        <w15:color w:val="DBDBDB"/>
        <w:docPartObj>
          <w:docPartGallery w:val="Table of Contents"/>
          <w:docPartUnique/>
        </w:docPartObj>
      </w:sdtPr>
      <w:sdtEndPr>
        <w:rPr>
          <w:rFonts w:hint="eastAsia" w:ascii="宋体" w:hAnsi="宋体" w:eastAsia="宋体" w:cs="宋体"/>
          <w:b/>
          <w:bCs/>
          <w:kern w:val="0"/>
          <w:sz w:val="32"/>
          <w:szCs w:val="32"/>
          <w:lang w:val="en-US" w:eastAsia="zh-CN" w:bidi="ar"/>
        </w:rPr>
      </w:sdtEndPr>
      <w:sdtContent>
        <w:p>
          <w:pPr>
            <w:keepNext w:val="0"/>
            <w:keepLines w:val="0"/>
            <w:pageBreakBefore w:val="0"/>
            <w:widowControl/>
            <w:kinsoku/>
            <w:wordWrap/>
            <w:overflowPunct/>
            <w:topLinePunct w:val="0"/>
            <w:autoSpaceDE/>
            <w:autoSpaceDN/>
            <w:bidi w:val="0"/>
            <w:adjustRightInd/>
            <w:snapToGrid/>
            <w:spacing w:before="0" w:beforeLines="0" w:after="0" w:afterLines="0" w:line="360" w:lineRule="exact"/>
            <w:ind w:left="0" w:leftChars="0" w:right="0" w:rightChars="0" w:firstLine="0" w:firstLineChars="0"/>
            <w:jc w:val="center"/>
            <w:textAlignment w:val="auto"/>
            <w:rPr>
              <w:b/>
              <w:bCs/>
              <w:sz w:val="32"/>
              <w:szCs w:val="32"/>
            </w:rPr>
          </w:pPr>
          <w:r>
            <w:rPr>
              <w:rFonts w:ascii="宋体" w:hAnsi="宋体" w:eastAsia="宋体"/>
              <w:b/>
              <w:bCs/>
              <w:sz w:val="32"/>
              <w:szCs w:val="32"/>
            </w:rPr>
            <w:t>目</w:t>
          </w:r>
          <w:r>
            <w:rPr>
              <w:rFonts w:hint="eastAsia"/>
              <w:b/>
              <w:bCs/>
              <w:sz w:val="32"/>
              <w:szCs w:val="32"/>
              <w:lang w:val="en-US" w:eastAsia="zh-CN"/>
            </w:rPr>
            <w:t xml:space="preserve">    </w:t>
          </w:r>
          <w:r>
            <w:rPr>
              <w:rFonts w:ascii="宋体" w:hAnsi="宋体" w:eastAsia="宋体"/>
              <w:b/>
              <w:bCs/>
              <w:sz w:val="32"/>
              <w:szCs w:val="32"/>
            </w:rPr>
            <w:t>录</w:t>
          </w:r>
        </w:p>
        <w:p>
          <w:pPr>
            <w:pStyle w:val="27"/>
            <w:keepNext w:val="0"/>
            <w:keepLines w:val="0"/>
            <w:pageBreakBefore w:val="0"/>
            <w:widowControl/>
            <w:tabs>
              <w:tab w:val="right" w:leader="dot" w:pos="8853"/>
            </w:tabs>
            <w:kinsoku/>
            <w:wordWrap/>
            <w:overflowPunct/>
            <w:topLinePunct w:val="0"/>
            <w:autoSpaceDE/>
            <w:autoSpaceDN/>
            <w:bidi w:val="0"/>
            <w:adjustRightInd/>
            <w:snapToGrid/>
            <w:spacing w:line="360" w:lineRule="exact"/>
            <w:textAlignment w:val="auto"/>
            <w:rPr>
              <w:b/>
              <w:sz w:val="24"/>
              <w:szCs w:val="24"/>
            </w:rPr>
          </w:pPr>
          <w:r>
            <w:rPr>
              <w:sz w:val="24"/>
              <w:szCs w:val="24"/>
            </w:rPr>
            <w:fldChar w:fldCharType="begin"/>
          </w:r>
          <w:r>
            <w:rPr>
              <w:sz w:val="24"/>
              <w:szCs w:val="24"/>
            </w:rPr>
            <w:instrText xml:space="preserve">TOC \o "1-2" \h \u </w:instrText>
          </w:r>
          <w:r>
            <w:rPr>
              <w:sz w:val="24"/>
              <w:szCs w:val="24"/>
            </w:rPr>
            <w:fldChar w:fldCharType="separate"/>
          </w:r>
          <w:r>
            <w:rPr>
              <w:b/>
              <w:sz w:val="24"/>
              <w:szCs w:val="24"/>
            </w:rPr>
            <w:fldChar w:fldCharType="begin"/>
          </w:r>
          <w:r>
            <w:rPr>
              <w:b/>
              <w:sz w:val="24"/>
              <w:szCs w:val="24"/>
            </w:rPr>
            <w:instrText xml:space="preserve"> HYPERLINK \l _Toc5848 </w:instrText>
          </w:r>
          <w:r>
            <w:rPr>
              <w:b/>
              <w:sz w:val="24"/>
              <w:szCs w:val="24"/>
            </w:rPr>
            <w:fldChar w:fldCharType="separate"/>
          </w:r>
          <w:r>
            <w:rPr>
              <w:rFonts w:hint="eastAsia" w:ascii="宋体" w:hAnsi="宋体" w:eastAsia="宋体" w:cs="宋体"/>
              <w:b/>
              <w:bCs/>
              <w:kern w:val="0"/>
              <w:sz w:val="24"/>
              <w:szCs w:val="24"/>
              <w:shd w:val="clear" w:fill="FFFFFF"/>
              <w:lang w:val="en-US" w:eastAsia="zh-CN" w:bidi="ar"/>
            </w:rPr>
            <w:t>第一部分</w:t>
          </w:r>
          <w:r>
            <w:rPr>
              <w:rFonts w:hint="default" w:ascii="宋体" w:hAnsi="宋体" w:eastAsia="宋体" w:cs="宋体"/>
              <w:b/>
              <w:bCs/>
              <w:kern w:val="0"/>
              <w:sz w:val="24"/>
              <w:szCs w:val="24"/>
              <w:shd w:val="clear" w:fill="FFFFFF"/>
              <w:lang w:val="en-US" w:eastAsia="zh-CN" w:bidi="ar"/>
            </w:rPr>
            <w:t xml:space="preserve"> </w:t>
          </w:r>
          <w:r>
            <w:rPr>
              <w:rFonts w:hint="eastAsia" w:ascii="宋体" w:hAnsi="宋体" w:eastAsia="宋体" w:cs="宋体"/>
              <w:b/>
              <w:bCs/>
              <w:kern w:val="0"/>
              <w:sz w:val="24"/>
              <w:szCs w:val="24"/>
              <w:shd w:val="clear" w:fill="FFFFFF"/>
              <w:lang w:val="en-US" w:eastAsia="zh-CN" w:bidi="ar"/>
            </w:rPr>
            <w:t xml:space="preserve">   部门概况</w:t>
          </w:r>
          <w:r>
            <w:rPr>
              <w:b/>
              <w:sz w:val="24"/>
              <w:szCs w:val="24"/>
            </w:rPr>
            <w:tab/>
          </w:r>
          <w:r>
            <w:rPr>
              <w:b/>
              <w:sz w:val="24"/>
              <w:szCs w:val="24"/>
            </w:rPr>
            <w:fldChar w:fldCharType="begin"/>
          </w:r>
          <w:r>
            <w:rPr>
              <w:b/>
              <w:sz w:val="24"/>
              <w:szCs w:val="24"/>
            </w:rPr>
            <w:instrText xml:space="preserve"> PAGEREF _Toc5848 \h </w:instrText>
          </w:r>
          <w:r>
            <w:rPr>
              <w:b/>
              <w:sz w:val="24"/>
              <w:szCs w:val="24"/>
            </w:rPr>
            <w:fldChar w:fldCharType="separate"/>
          </w:r>
          <w:r>
            <w:rPr>
              <w:b/>
              <w:sz w:val="24"/>
              <w:szCs w:val="24"/>
            </w:rPr>
            <w:t>- 3 -</w:t>
          </w:r>
          <w:r>
            <w:rPr>
              <w:b/>
              <w:sz w:val="24"/>
              <w:szCs w:val="24"/>
            </w:rPr>
            <w:fldChar w:fldCharType="end"/>
          </w:r>
          <w:r>
            <w:rPr>
              <w:b/>
              <w:sz w:val="24"/>
              <w:szCs w:val="24"/>
            </w:rPr>
            <w:fldChar w:fldCharType="end"/>
          </w:r>
        </w:p>
        <w:p>
          <w:pPr>
            <w:pStyle w:val="28"/>
            <w:keepNext w:val="0"/>
            <w:keepLines w:val="0"/>
            <w:pageBreakBefore w:val="0"/>
            <w:widowControl/>
            <w:tabs>
              <w:tab w:val="right" w:leader="dot" w:pos="8853"/>
            </w:tabs>
            <w:kinsoku/>
            <w:wordWrap/>
            <w:overflowPunct/>
            <w:topLinePunct w:val="0"/>
            <w:autoSpaceDE/>
            <w:autoSpaceDN/>
            <w:bidi w:val="0"/>
            <w:adjustRightInd/>
            <w:snapToGrid/>
            <w:spacing w:line="360" w:lineRule="exact"/>
            <w:textAlignment w:val="auto"/>
            <w:rPr>
              <w:sz w:val="24"/>
              <w:szCs w:val="24"/>
            </w:rPr>
          </w:pPr>
          <w:r>
            <w:rPr>
              <w:sz w:val="24"/>
              <w:szCs w:val="24"/>
            </w:rPr>
            <w:fldChar w:fldCharType="begin"/>
          </w:r>
          <w:r>
            <w:rPr>
              <w:sz w:val="24"/>
              <w:szCs w:val="24"/>
            </w:rPr>
            <w:instrText xml:space="preserve"> HYPERLINK \l _Toc11380 </w:instrText>
          </w:r>
          <w:r>
            <w:rPr>
              <w:sz w:val="24"/>
              <w:szCs w:val="24"/>
            </w:rPr>
            <w:fldChar w:fldCharType="separate"/>
          </w:r>
          <w:r>
            <w:rPr>
              <w:rFonts w:hint="eastAsia" w:ascii="黑体" w:hAnsi="黑体" w:eastAsia="黑体" w:cs="黑体"/>
              <w:sz w:val="24"/>
              <w:szCs w:val="24"/>
              <w:shd w:val="clear" w:fill="FFFFFF"/>
            </w:rPr>
            <w:t>一、基本职能及主要工作</w:t>
          </w:r>
          <w:r>
            <w:rPr>
              <w:sz w:val="24"/>
              <w:szCs w:val="24"/>
            </w:rPr>
            <w:tab/>
          </w:r>
          <w:r>
            <w:rPr>
              <w:sz w:val="24"/>
              <w:szCs w:val="24"/>
            </w:rPr>
            <w:fldChar w:fldCharType="begin"/>
          </w:r>
          <w:r>
            <w:rPr>
              <w:sz w:val="24"/>
              <w:szCs w:val="24"/>
            </w:rPr>
            <w:instrText xml:space="preserve"> PAGEREF _Toc11380 \h </w:instrText>
          </w:r>
          <w:r>
            <w:rPr>
              <w:sz w:val="24"/>
              <w:szCs w:val="24"/>
            </w:rPr>
            <w:fldChar w:fldCharType="separate"/>
          </w:r>
          <w:r>
            <w:rPr>
              <w:sz w:val="24"/>
              <w:szCs w:val="24"/>
            </w:rPr>
            <w:t>- 3 -</w:t>
          </w:r>
          <w:r>
            <w:rPr>
              <w:sz w:val="24"/>
              <w:szCs w:val="24"/>
            </w:rPr>
            <w:fldChar w:fldCharType="end"/>
          </w:r>
          <w:r>
            <w:rPr>
              <w:sz w:val="24"/>
              <w:szCs w:val="24"/>
            </w:rPr>
            <w:fldChar w:fldCharType="end"/>
          </w:r>
        </w:p>
        <w:p>
          <w:pPr>
            <w:pStyle w:val="28"/>
            <w:keepNext w:val="0"/>
            <w:keepLines w:val="0"/>
            <w:pageBreakBefore w:val="0"/>
            <w:widowControl/>
            <w:tabs>
              <w:tab w:val="right" w:leader="dot" w:pos="8853"/>
            </w:tabs>
            <w:kinsoku/>
            <w:wordWrap/>
            <w:overflowPunct/>
            <w:topLinePunct w:val="0"/>
            <w:autoSpaceDE/>
            <w:autoSpaceDN/>
            <w:bidi w:val="0"/>
            <w:adjustRightInd/>
            <w:snapToGrid/>
            <w:spacing w:line="360" w:lineRule="exact"/>
            <w:textAlignment w:val="auto"/>
            <w:rPr>
              <w:sz w:val="24"/>
              <w:szCs w:val="24"/>
            </w:rPr>
          </w:pPr>
          <w:r>
            <w:rPr>
              <w:sz w:val="24"/>
              <w:szCs w:val="24"/>
            </w:rPr>
            <w:fldChar w:fldCharType="begin"/>
          </w:r>
          <w:r>
            <w:rPr>
              <w:sz w:val="24"/>
              <w:szCs w:val="24"/>
            </w:rPr>
            <w:instrText xml:space="preserve"> HYPERLINK \l _Toc20573 </w:instrText>
          </w:r>
          <w:r>
            <w:rPr>
              <w:sz w:val="24"/>
              <w:szCs w:val="24"/>
            </w:rPr>
            <w:fldChar w:fldCharType="separate"/>
          </w:r>
          <w:r>
            <w:rPr>
              <w:rFonts w:hint="eastAsia" w:ascii="黑体" w:hAnsi="黑体" w:eastAsia="黑体" w:cs="黑体"/>
              <w:sz w:val="24"/>
              <w:szCs w:val="24"/>
              <w:shd w:val="clear" w:fill="FFFFFF"/>
            </w:rPr>
            <w:t>二、机构设置</w:t>
          </w:r>
          <w:r>
            <w:rPr>
              <w:sz w:val="24"/>
              <w:szCs w:val="24"/>
            </w:rPr>
            <w:tab/>
          </w:r>
          <w:r>
            <w:rPr>
              <w:sz w:val="24"/>
              <w:szCs w:val="24"/>
            </w:rPr>
            <w:fldChar w:fldCharType="begin"/>
          </w:r>
          <w:r>
            <w:rPr>
              <w:sz w:val="24"/>
              <w:szCs w:val="24"/>
            </w:rPr>
            <w:instrText xml:space="preserve"> PAGEREF _Toc20573 \h </w:instrText>
          </w:r>
          <w:r>
            <w:rPr>
              <w:sz w:val="24"/>
              <w:szCs w:val="24"/>
            </w:rPr>
            <w:fldChar w:fldCharType="separate"/>
          </w:r>
          <w:r>
            <w:rPr>
              <w:sz w:val="24"/>
              <w:szCs w:val="24"/>
            </w:rPr>
            <w:t>- 5 -</w:t>
          </w:r>
          <w:r>
            <w:rPr>
              <w:sz w:val="24"/>
              <w:szCs w:val="24"/>
            </w:rPr>
            <w:fldChar w:fldCharType="end"/>
          </w:r>
          <w:r>
            <w:rPr>
              <w:sz w:val="24"/>
              <w:szCs w:val="24"/>
            </w:rPr>
            <w:fldChar w:fldCharType="end"/>
          </w:r>
        </w:p>
        <w:p>
          <w:pPr>
            <w:pStyle w:val="27"/>
            <w:keepNext w:val="0"/>
            <w:keepLines w:val="0"/>
            <w:pageBreakBefore w:val="0"/>
            <w:widowControl/>
            <w:tabs>
              <w:tab w:val="right" w:leader="dot" w:pos="8853"/>
            </w:tabs>
            <w:kinsoku/>
            <w:wordWrap/>
            <w:overflowPunct/>
            <w:topLinePunct w:val="0"/>
            <w:autoSpaceDE/>
            <w:autoSpaceDN/>
            <w:bidi w:val="0"/>
            <w:adjustRightInd/>
            <w:snapToGrid/>
            <w:spacing w:line="360" w:lineRule="exact"/>
            <w:textAlignment w:val="auto"/>
            <w:rPr>
              <w:b/>
              <w:sz w:val="24"/>
              <w:szCs w:val="24"/>
            </w:rPr>
          </w:pPr>
          <w:r>
            <w:rPr>
              <w:b/>
              <w:sz w:val="24"/>
              <w:szCs w:val="24"/>
            </w:rPr>
            <w:fldChar w:fldCharType="begin"/>
          </w:r>
          <w:r>
            <w:rPr>
              <w:b/>
              <w:sz w:val="24"/>
              <w:szCs w:val="24"/>
            </w:rPr>
            <w:instrText xml:space="preserve"> HYPERLINK \l _Toc31257 </w:instrText>
          </w:r>
          <w:r>
            <w:rPr>
              <w:b/>
              <w:sz w:val="24"/>
              <w:szCs w:val="24"/>
            </w:rPr>
            <w:fldChar w:fldCharType="separate"/>
          </w:r>
          <w:r>
            <w:rPr>
              <w:rFonts w:hint="eastAsia" w:ascii="宋体" w:hAnsi="宋体" w:eastAsia="宋体" w:cs="宋体"/>
              <w:b/>
              <w:bCs w:val="0"/>
              <w:sz w:val="24"/>
              <w:szCs w:val="24"/>
              <w:shd w:val="clear" w:fill="FFFFFF"/>
            </w:rPr>
            <w:t xml:space="preserve">第二部分 </w:t>
          </w:r>
          <w:r>
            <w:rPr>
              <w:rFonts w:hint="eastAsia" w:ascii="宋体" w:hAnsi="宋体" w:eastAsia="宋体" w:cs="宋体"/>
              <w:b/>
              <w:bCs w:val="0"/>
              <w:sz w:val="24"/>
              <w:szCs w:val="24"/>
              <w:shd w:val="clear" w:fill="FFFFFF"/>
              <w:lang w:val="en-US" w:eastAsia="zh-CN"/>
            </w:rPr>
            <w:t xml:space="preserve">  </w:t>
          </w:r>
          <w:r>
            <w:rPr>
              <w:rFonts w:hint="eastAsia" w:ascii="宋体" w:hAnsi="宋体" w:eastAsia="宋体" w:cs="宋体"/>
              <w:b/>
              <w:bCs w:val="0"/>
              <w:sz w:val="24"/>
              <w:szCs w:val="24"/>
              <w:shd w:val="clear" w:fill="FFFFFF"/>
            </w:rPr>
            <w:t>2020年度部门决算情况说明</w:t>
          </w:r>
          <w:r>
            <w:rPr>
              <w:b/>
              <w:sz w:val="24"/>
              <w:szCs w:val="24"/>
            </w:rPr>
            <w:tab/>
          </w:r>
          <w:r>
            <w:rPr>
              <w:b/>
              <w:sz w:val="24"/>
              <w:szCs w:val="24"/>
            </w:rPr>
            <w:fldChar w:fldCharType="begin"/>
          </w:r>
          <w:r>
            <w:rPr>
              <w:b/>
              <w:sz w:val="24"/>
              <w:szCs w:val="24"/>
            </w:rPr>
            <w:instrText xml:space="preserve"> PAGEREF _Toc31257 \h </w:instrText>
          </w:r>
          <w:r>
            <w:rPr>
              <w:b/>
              <w:sz w:val="24"/>
              <w:szCs w:val="24"/>
            </w:rPr>
            <w:fldChar w:fldCharType="separate"/>
          </w:r>
          <w:r>
            <w:rPr>
              <w:b/>
              <w:sz w:val="24"/>
              <w:szCs w:val="24"/>
            </w:rPr>
            <w:t>- 5 -</w:t>
          </w:r>
          <w:r>
            <w:rPr>
              <w:b/>
              <w:sz w:val="24"/>
              <w:szCs w:val="24"/>
            </w:rPr>
            <w:fldChar w:fldCharType="end"/>
          </w:r>
          <w:r>
            <w:rPr>
              <w:b/>
              <w:sz w:val="24"/>
              <w:szCs w:val="24"/>
            </w:rPr>
            <w:fldChar w:fldCharType="end"/>
          </w:r>
        </w:p>
        <w:p>
          <w:pPr>
            <w:pStyle w:val="28"/>
            <w:keepNext w:val="0"/>
            <w:keepLines w:val="0"/>
            <w:pageBreakBefore w:val="0"/>
            <w:widowControl/>
            <w:tabs>
              <w:tab w:val="right" w:leader="dot" w:pos="8853"/>
            </w:tabs>
            <w:kinsoku/>
            <w:wordWrap/>
            <w:overflowPunct/>
            <w:topLinePunct w:val="0"/>
            <w:autoSpaceDE/>
            <w:autoSpaceDN/>
            <w:bidi w:val="0"/>
            <w:adjustRightInd/>
            <w:snapToGrid/>
            <w:spacing w:line="360" w:lineRule="exact"/>
            <w:textAlignment w:val="auto"/>
            <w:rPr>
              <w:sz w:val="24"/>
              <w:szCs w:val="24"/>
            </w:rPr>
          </w:pPr>
          <w:r>
            <w:rPr>
              <w:sz w:val="24"/>
              <w:szCs w:val="24"/>
            </w:rPr>
            <w:fldChar w:fldCharType="begin"/>
          </w:r>
          <w:r>
            <w:rPr>
              <w:sz w:val="24"/>
              <w:szCs w:val="24"/>
            </w:rPr>
            <w:instrText xml:space="preserve"> HYPERLINK \l _Toc12653 </w:instrText>
          </w:r>
          <w:r>
            <w:rPr>
              <w:sz w:val="24"/>
              <w:szCs w:val="24"/>
            </w:rPr>
            <w:fldChar w:fldCharType="separate"/>
          </w:r>
          <w:r>
            <w:rPr>
              <w:rFonts w:hint="eastAsia" w:ascii="黑体" w:hAnsi="黑体" w:eastAsia="黑体" w:cs="黑体"/>
              <w:sz w:val="24"/>
              <w:szCs w:val="24"/>
              <w:shd w:val="clear" w:fill="FFFFFF"/>
            </w:rPr>
            <w:t>一、 收入支出决算总体情况说明</w:t>
          </w:r>
          <w:r>
            <w:rPr>
              <w:sz w:val="24"/>
              <w:szCs w:val="24"/>
            </w:rPr>
            <w:tab/>
          </w:r>
          <w:r>
            <w:rPr>
              <w:sz w:val="24"/>
              <w:szCs w:val="24"/>
            </w:rPr>
            <w:fldChar w:fldCharType="begin"/>
          </w:r>
          <w:r>
            <w:rPr>
              <w:sz w:val="24"/>
              <w:szCs w:val="24"/>
            </w:rPr>
            <w:instrText xml:space="preserve"> PAGEREF _Toc12653 \h </w:instrText>
          </w:r>
          <w:r>
            <w:rPr>
              <w:sz w:val="24"/>
              <w:szCs w:val="24"/>
            </w:rPr>
            <w:fldChar w:fldCharType="separate"/>
          </w:r>
          <w:r>
            <w:rPr>
              <w:sz w:val="24"/>
              <w:szCs w:val="24"/>
            </w:rPr>
            <w:t>- 5 -</w:t>
          </w:r>
          <w:r>
            <w:rPr>
              <w:sz w:val="24"/>
              <w:szCs w:val="24"/>
            </w:rPr>
            <w:fldChar w:fldCharType="end"/>
          </w:r>
          <w:r>
            <w:rPr>
              <w:sz w:val="24"/>
              <w:szCs w:val="24"/>
            </w:rPr>
            <w:fldChar w:fldCharType="end"/>
          </w:r>
        </w:p>
        <w:p>
          <w:pPr>
            <w:pStyle w:val="28"/>
            <w:keepNext w:val="0"/>
            <w:keepLines w:val="0"/>
            <w:pageBreakBefore w:val="0"/>
            <w:widowControl/>
            <w:tabs>
              <w:tab w:val="right" w:leader="dot" w:pos="8853"/>
            </w:tabs>
            <w:kinsoku/>
            <w:wordWrap/>
            <w:overflowPunct/>
            <w:topLinePunct w:val="0"/>
            <w:autoSpaceDE/>
            <w:autoSpaceDN/>
            <w:bidi w:val="0"/>
            <w:adjustRightInd/>
            <w:snapToGrid/>
            <w:spacing w:line="360" w:lineRule="exact"/>
            <w:textAlignment w:val="auto"/>
            <w:rPr>
              <w:sz w:val="24"/>
              <w:szCs w:val="24"/>
            </w:rPr>
          </w:pPr>
          <w:r>
            <w:rPr>
              <w:sz w:val="24"/>
              <w:szCs w:val="24"/>
            </w:rPr>
            <w:fldChar w:fldCharType="begin"/>
          </w:r>
          <w:r>
            <w:rPr>
              <w:sz w:val="24"/>
              <w:szCs w:val="24"/>
            </w:rPr>
            <w:instrText xml:space="preserve"> HYPERLINK \l _Toc20237 </w:instrText>
          </w:r>
          <w:r>
            <w:rPr>
              <w:sz w:val="24"/>
              <w:szCs w:val="24"/>
            </w:rPr>
            <w:fldChar w:fldCharType="separate"/>
          </w:r>
          <w:r>
            <w:rPr>
              <w:rFonts w:hint="eastAsia" w:ascii="黑体" w:hAnsi="黑体" w:eastAsia="黑体" w:cs="黑体"/>
              <w:sz w:val="24"/>
              <w:szCs w:val="24"/>
              <w:shd w:val="clear" w:fill="FFFFFF"/>
            </w:rPr>
            <w:t>二、收入决算情况说明</w:t>
          </w:r>
          <w:r>
            <w:rPr>
              <w:sz w:val="24"/>
              <w:szCs w:val="24"/>
            </w:rPr>
            <w:tab/>
          </w:r>
          <w:r>
            <w:rPr>
              <w:sz w:val="24"/>
              <w:szCs w:val="24"/>
            </w:rPr>
            <w:fldChar w:fldCharType="begin"/>
          </w:r>
          <w:r>
            <w:rPr>
              <w:sz w:val="24"/>
              <w:szCs w:val="24"/>
            </w:rPr>
            <w:instrText xml:space="preserve"> PAGEREF _Toc20237 \h </w:instrText>
          </w:r>
          <w:r>
            <w:rPr>
              <w:sz w:val="24"/>
              <w:szCs w:val="24"/>
            </w:rPr>
            <w:fldChar w:fldCharType="separate"/>
          </w:r>
          <w:r>
            <w:rPr>
              <w:sz w:val="24"/>
              <w:szCs w:val="24"/>
            </w:rPr>
            <w:t>- 5 -</w:t>
          </w:r>
          <w:r>
            <w:rPr>
              <w:sz w:val="24"/>
              <w:szCs w:val="24"/>
            </w:rPr>
            <w:fldChar w:fldCharType="end"/>
          </w:r>
          <w:r>
            <w:rPr>
              <w:sz w:val="24"/>
              <w:szCs w:val="24"/>
            </w:rPr>
            <w:fldChar w:fldCharType="end"/>
          </w:r>
        </w:p>
        <w:p>
          <w:pPr>
            <w:pStyle w:val="28"/>
            <w:keepNext w:val="0"/>
            <w:keepLines w:val="0"/>
            <w:pageBreakBefore w:val="0"/>
            <w:widowControl/>
            <w:tabs>
              <w:tab w:val="right" w:leader="dot" w:pos="8853"/>
            </w:tabs>
            <w:kinsoku/>
            <w:wordWrap/>
            <w:overflowPunct/>
            <w:topLinePunct w:val="0"/>
            <w:autoSpaceDE/>
            <w:autoSpaceDN/>
            <w:bidi w:val="0"/>
            <w:adjustRightInd/>
            <w:snapToGrid/>
            <w:spacing w:line="360" w:lineRule="exact"/>
            <w:textAlignment w:val="auto"/>
            <w:rPr>
              <w:sz w:val="24"/>
              <w:szCs w:val="24"/>
            </w:rPr>
          </w:pPr>
          <w:r>
            <w:rPr>
              <w:sz w:val="24"/>
              <w:szCs w:val="24"/>
            </w:rPr>
            <w:fldChar w:fldCharType="begin"/>
          </w:r>
          <w:r>
            <w:rPr>
              <w:sz w:val="24"/>
              <w:szCs w:val="24"/>
            </w:rPr>
            <w:instrText xml:space="preserve"> HYPERLINK \l _Toc18376 </w:instrText>
          </w:r>
          <w:r>
            <w:rPr>
              <w:sz w:val="24"/>
              <w:szCs w:val="24"/>
            </w:rPr>
            <w:fldChar w:fldCharType="separate"/>
          </w:r>
          <w:r>
            <w:rPr>
              <w:rFonts w:hint="eastAsia" w:ascii="黑体" w:hAnsi="黑体" w:eastAsia="黑体" w:cs="黑体"/>
              <w:sz w:val="24"/>
              <w:szCs w:val="24"/>
              <w:shd w:val="clear" w:fill="FFFFFF"/>
            </w:rPr>
            <w:t>三、支出决算情况说明</w:t>
          </w:r>
          <w:r>
            <w:rPr>
              <w:sz w:val="24"/>
              <w:szCs w:val="24"/>
            </w:rPr>
            <w:tab/>
          </w:r>
          <w:r>
            <w:rPr>
              <w:sz w:val="24"/>
              <w:szCs w:val="24"/>
            </w:rPr>
            <w:fldChar w:fldCharType="begin"/>
          </w:r>
          <w:r>
            <w:rPr>
              <w:sz w:val="24"/>
              <w:szCs w:val="24"/>
            </w:rPr>
            <w:instrText xml:space="preserve"> PAGEREF _Toc18376 \h </w:instrText>
          </w:r>
          <w:r>
            <w:rPr>
              <w:sz w:val="24"/>
              <w:szCs w:val="24"/>
            </w:rPr>
            <w:fldChar w:fldCharType="separate"/>
          </w:r>
          <w:r>
            <w:rPr>
              <w:sz w:val="24"/>
              <w:szCs w:val="24"/>
            </w:rPr>
            <w:t>- 6 -</w:t>
          </w:r>
          <w:r>
            <w:rPr>
              <w:sz w:val="24"/>
              <w:szCs w:val="24"/>
            </w:rPr>
            <w:fldChar w:fldCharType="end"/>
          </w:r>
          <w:r>
            <w:rPr>
              <w:sz w:val="24"/>
              <w:szCs w:val="24"/>
            </w:rPr>
            <w:fldChar w:fldCharType="end"/>
          </w:r>
        </w:p>
        <w:p>
          <w:pPr>
            <w:pStyle w:val="28"/>
            <w:keepNext w:val="0"/>
            <w:keepLines w:val="0"/>
            <w:pageBreakBefore w:val="0"/>
            <w:widowControl/>
            <w:tabs>
              <w:tab w:val="right" w:leader="dot" w:pos="8853"/>
            </w:tabs>
            <w:kinsoku/>
            <w:wordWrap/>
            <w:overflowPunct/>
            <w:topLinePunct w:val="0"/>
            <w:autoSpaceDE/>
            <w:autoSpaceDN/>
            <w:bidi w:val="0"/>
            <w:adjustRightInd/>
            <w:snapToGrid/>
            <w:spacing w:line="360" w:lineRule="exact"/>
            <w:textAlignment w:val="auto"/>
            <w:rPr>
              <w:sz w:val="24"/>
              <w:szCs w:val="24"/>
            </w:rPr>
          </w:pPr>
          <w:r>
            <w:rPr>
              <w:sz w:val="24"/>
              <w:szCs w:val="24"/>
            </w:rPr>
            <w:fldChar w:fldCharType="begin"/>
          </w:r>
          <w:r>
            <w:rPr>
              <w:sz w:val="24"/>
              <w:szCs w:val="24"/>
            </w:rPr>
            <w:instrText xml:space="preserve"> HYPERLINK \l _Toc21366 </w:instrText>
          </w:r>
          <w:r>
            <w:rPr>
              <w:sz w:val="24"/>
              <w:szCs w:val="24"/>
            </w:rPr>
            <w:fldChar w:fldCharType="separate"/>
          </w:r>
          <w:r>
            <w:rPr>
              <w:rFonts w:hint="eastAsia" w:ascii="黑体" w:hAnsi="黑体" w:eastAsia="黑体" w:cs="黑体"/>
              <w:sz w:val="24"/>
              <w:szCs w:val="24"/>
              <w:shd w:val="clear" w:fill="FFFFFF"/>
            </w:rPr>
            <w:t>四、财政拨款收入支出决算总体情况说明</w:t>
          </w:r>
          <w:r>
            <w:rPr>
              <w:sz w:val="24"/>
              <w:szCs w:val="24"/>
            </w:rPr>
            <w:tab/>
          </w:r>
          <w:r>
            <w:rPr>
              <w:sz w:val="24"/>
              <w:szCs w:val="24"/>
            </w:rPr>
            <w:fldChar w:fldCharType="begin"/>
          </w:r>
          <w:r>
            <w:rPr>
              <w:sz w:val="24"/>
              <w:szCs w:val="24"/>
            </w:rPr>
            <w:instrText xml:space="preserve"> PAGEREF _Toc21366 \h </w:instrText>
          </w:r>
          <w:r>
            <w:rPr>
              <w:sz w:val="24"/>
              <w:szCs w:val="24"/>
            </w:rPr>
            <w:fldChar w:fldCharType="separate"/>
          </w:r>
          <w:r>
            <w:rPr>
              <w:sz w:val="24"/>
              <w:szCs w:val="24"/>
            </w:rPr>
            <w:t>- 7 -</w:t>
          </w:r>
          <w:r>
            <w:rPr>
              <w:sz w:val="24"/>
              <w:szCs w:val="24"/>
            </w:rPr>
            <w:fldChar w:fldCharType="end"/>
          </w:r>
          <w:r>
            <w:rPr>
              <w:sz w:val="24"/>
              <w:szCs w:val="24"/>
            </w:rPr>
            <w:fldChar w:fldCharType="end"/>
          </w:r>
        </w:p>
        <w:p>
          <w:pPr>
            <w:pStyle w:val="28"/>
            <w:keepNext w:val="0"/>
            <w:keepLines w:val="0"/>
            <w:pageBreakBefore w:val="0"/>
            <w:widowControl/>
            <w:tabs>
              <w:tab w:val="right" w:leader="dot" w:pos="8853"/>
            </w:tabs>
            <w:kinsoku/>
            <w:wordWrap/>
            <w:overflowPunct/>
            <w:topLinePunct w:val="0"/>
            <w:autoSpaceDE/>
            <w:autoSpaceDN/>
            <w:bidi w:val="0"/>
            <w:adjustRightInd/>
            <w:snapToGrid/>
            <w:spacing w:line="360" w:lineRule="exact"/>
            <w:textAlignment w:val="auto"/>
            <w:rPr>
              <w:sz w:val="24"/>
              <w:szCs w:val="24"/>
            </w:rPr>
          </w:pPr>
          <w:r>
            <w:rPr>
              <w:sz w:val="24"/>
              <w:szCs w:val="24"/>
            </w:rPr>
            <w:fldChar w:fldCharType="begin"/>
          </w:r>
          <w:r>
            <w:rPr>
              <w:sz w:val="24"/>
              <w:szCs w:val="24"/>
            </w:rPr>
            <w:instrText xml:space="preserve"> HYPERLINK \l _Toc20158 </w:instrText>
          </w:r>
          <w:r>
            <w:rPr>
              <w:sz w:val="24"/>
              <w:szCs w:val="24"/>
            </w:rPr>
            <w:fldChar w:fldCharType="separate"/>
          </w:r>
          <w:r>
            <w:rPr>
              <w:rFonts w:hint="eastAsia" w:ascii="黑体" w:hAnsi="黑体" w:eastAsia="黑体" w:cs="黑体"/>
              <w:sz w:val="24"/>
              <w:szCs w:val="24"/>
              <w:shd w:val="clear" w:fill="FFFFFF"/>
            </w:rPr>
            <w:t>五、一般公共预算财政拨款支出决算情况说明</w:t>
          </w:r>
          <w:r>
            <w:rPr>
              <w:sz w:val="24"/>
              <w:szCs w:val="24"/>
            </w:rPr>
            <w:tab/>
          </w:r>
          <w:r>
            <w:rPr>
              <w:sz w:val="24"/>
              <w:szCs w:val="24"/>
            </w:rPr>
            <w:fldChar w:fldCharType="begin"/>
          </w:r>
          <w:r>
            <w:rPr>
              <w:sz w:val="24"/>
              <w:szCs w:val="24"/>
            </w:rPr>
            <w:instrText xml:space="preserve"> PAGEREF _Toc20158 \h </w:instrText>
          </w:r>
          <w:r>
            <w:rPr>
              <w:sz w:val="24"/>
              <w:szCs w:val="24"/>
            </w:rPr>
            <w:fldChar w:fldCharType="separate"/>
          </w:r>
          <w:r>
            <w:rPr>
              <w:sz w:val="24"/>
              <w:szCs w:val="24"/>
            </w:rPr>
            <w:t>- 7 -</w:t>
          </w:r>
          <w:r>
            <w:rPr>
              <w:sz w:val="24"/>
              <w:szCs w:val="24"/>
            </w:rPr>
            <w:fldChar w:fldCharType="end"/>
          </w:r>
          <w:r>
            <w:rPr>
              <w:sz w:val="24"/>
              <w:szCs w:val="24"/>
            </w:rPr>
            <w:fldChar w:fldCharType="end"/>
          </w:r>
        </w:p>
        <w:p>
          <w:pPr>
            <w:pStyle w:val="28"/>
            <w:keepNext w:val="0"/>
            <w:keepLines w:val="0"/>
            <w:pageBreakBefore w:val="0"/>
            <w:widowControl/>
            <w:tabs>
              <w:tab w:val="right" w:leader="dot" w:pos="8853"/>
            </w:tabs>
            <w:kinsoku/>
            <w:wordWrap/>
            <w:overflowPunct/>
            <w:topLinePunct w:val="0"/>
            <w:autoSpaceDE/>
            <w:autoSpaceDN/>
            <w:bidi w:val="0"/>
            <w:adjustRightInd/>
            <w:snapToGrid/>
            <w:spacing w:line="360" w:lineRule="exact"/>
            <w:textAlignment w:val="auto"/>
            <w:rPr>
              <w:sz w:val="24"/>
              <w:szCs w:val="24"/>
            </w:rPr>
          </w:pPr>
          <w:r>
            <w:rPr>
              <w:sz w:val="24"/>
              <w:szCs w:val="24"/>
            </w:rPr>
            <w:fldChar w:fldCharType="begin"/>
          </w:r>
          <w:r>
            <w:rPr>
              <w:sz w:val="24"/>
              <w:szCs w:val="24"/>
            </w:rPr>
            <w:instrText xml:space="preserve"> HYPERLINK \l _Toc16926 </w:instrText>
          </w:r>
          <w:r>
            <w:rPr>
              <w:sz w:val="24"/>
              <w:szCs w:val="24"/>
            </w:rPr>
            <w:fldChar w:fldCharType="separate"/>
          </w:r>
          <w:r>
            <w:rPr>
              <w:rFonts w:hint="eastAsia" w:ascii="仿宋_GB2312" w:hAnsi="仿宋_GB2312" w:eastAsia="仿宋_GB2312" w:cs="仿宋_GB2312"/>
              <w:sz w:val="24"/>
              <w:szCs w:val="24"/>
              <w:shd w:val="clear" w:fill="FFFFFF"/>
            </w:rPr>
            <w:t>六、一般公共预算财政拨款基本支出决算情况说明</w:t>
          </w:r>
          <w:r>
            <w:rPr>
              <w:sz w:val="24"/>
              <w:szCs w:val="24"/>
            </w:rPr>
            <w:tab/>
          </w:r>
          <w:r>
            <w:rPr>
              <w:sz w:val="24"/>
              <w:szCs w:val="24"/>
            </w:rPr>
            <w:fldChar w:fldCharType="begin"/>
          </w:r>
          <w:r>
            <w:rPr>
              <w:sz w:val="24"/>
              <w:szCs w:val="24"/>
            </w:rPr>
            <w:instrText xml:space="preserve"> PAGEREF _Toc16926 \h </w:instrText>
          </w:r>
          <w:r>
            <w:rPr>
              <w:sz w:val="24"/>
              <w:szCs w:val="24"/>
            </w:rPr>
            <w:fldChar w:fldCharType="separate"/>
          </w:r>
          <w:r>
            <w:rPr>
              <w:sz w:val="24"/>
              <w:szCs w:val="24"/>
            </w:rPr>
            <w:t>- 10 -</w:t>
          </w:r>
          <w:r>
            <w:rPr>
              <w:sz w:val="24"/>
              <w:szCs w:val="24"/>
            </w:rPr>
            <w:fldChar w:fldCharType="end"/>
          </w:r>
          <w:r>
            <w:rPr>
              <w:sz w:val="24"/>
              <w:szCs w:val="24"/>
            </w:rPr>
            <w:fldChar w:fldCharType="end"/>
          </w:r>
        </w:p>
        <w:p>
          <w:pPr>
            <w:pStyle w:val="28"/>
            <w:keepNext w:val="0"/>
            <w:keepLines w:val="0"/>
            <w:pageBreakBefore w:val="0"/>
            <w:widowControl/>
            <w:tabs>
              <w:tab w:val="right" w:leader="dot" w:pos="8853"/>
            </w:tabs>
            <w:kinsoku/>
            <w:wordWrap/>
            <w:overflowPunct/>
            <w:topLinePunct w:val="0"/>
            <w:autoSpaceDE/>
            <w:autoSpaceDN/>
            <w:bidi w:val="0"/>
            <w:adjustRightInd/>
            <w:snapToGrid/>
            <w:spacing w:line="360" w:lineRule="exact"/>
            <w:textAlignment w:val="auto"/>
            <w:rPr>
              <w:sz w:val="24"/>
              <w:szCs w:val="24"/>
            </w:rPr>
          </w:pPr>
          <w:r>
            <w:rPr>
              <w:sz w:val="24"/>
              <w:szCs w:val="24"/>
            </w:rPr>
            <w:fldChar w:fldCharType="begin"/>
          </w:r>
          <w:r>
            <w:rPr>
              <w:sz w:val="24"/>
              <w:szCs w:val="24"/>
            </w:rPr>
            <w:instrText xml:space="preserve"> HYPERLINK \l _Toc14275 </w:instrText>
          </w:r>
          <w:r>
            <w:rPr>
              <w:sz w:val="24"/>
              <w:szCs w:val="24"/>
            </w:rPr>
            <w:fldChar w:fldCharType="separate"/>
          </w:r>
          <w:r>
            <w:rPr>
              <w:rFonts w:hint="eastAsia" w:ascii="黑体" w:hAnsi="黑体" w:eastAsia="黑体" w:cs="黑体"/>
              <w:sz w:val="24"/>
              <w:szCs w:val="24"/>
              <w:shd w:val="clear" w:fill="FFFFFF"/>
            </w:rPr>
            <w:t>七、“三公”经费财政拨款支出决算情况说明</w:t>
          </w:r>
          <w:r>
            <w:rPr>
              <w:sz w:val="24"/>
              <w:szCs w:val="24"/>
            </w:rPr>
            <w:tab/>
          </w:r>
          <w:r>
            <w:rPr>
              <w:sz w:val="24"/>
              <w:szCs w:val="24"/>
            </w:rPr>
            <w:fldChar w:fldCharType="begin"/>
          </w:r>
          <w:r>
            <w:rPr>
              <w:sz w:val="24"/>
              <w:szCs w:val="24"/>
            </w:rPr>
            <w:instrText xml:space="preserve"> PAGEREF _Toc14275 \h </w:instrText>
          </w:r>
          <w:r>
            <w:rPr>
              <w:sz w:val="24"/>
              <w:szCs w:val="24"/>
            </w:rPr>
            <w:fldChar w:fldCharType="separate"/>
          </w:r>
          <w:r>
            <w:rPr>
              <w:sz w:val="24"/>
              <w:szCs w:val="24"/>
            </w:rPr>
            <w:t>- 11 -</w:t>
          </w:r>
          <w:r>
            <w:rPr>
              <w:sz w:val="24"/>
              <w:szCs w:val="24"/>
            </w:rPr>
            <w:fldChar w:fldCharType="end"/>
          </w:r>
          <w:r>
            <w:rPr>
              <w:sz w:val="24"/>
              <w:szCs w:val="24"/>
            </w:rPr>
            <w:fldChar w:fldCharType="end"/>
          </w:r>
        </w:p>
        <w:p>
          <w:pPr>
            <w:pStyle w:val="28"/>
            <w:keepNext w:val="0"/>
            <w:keepLines w:val="0"/>
            <w:pageBreakBefore w:val="0"/>
            <w:widowControl/>
            <w:tabs>
              <w:tab w:val="right" w:leader="dot" w:pos="8853"/>
            </w:tabs>
            <w:kinsoku/>
            <w:wordWrap/>
            <w:overflowPunct/>
            <w:topLinePunct w:val="0"/>
            <w:autoSpaceDE/>
            <w:autoSpaceDN/>
            <w:bidi w:val="0"/>
            <w:adjustRightInd/>
            <w:snapToGrid/>
            <w:spacing w:line="360" w:lineRule="exact"/>
            <w:textAlignment w:val="auto"/>
            <w:rPr>
              <w:sz w:val="24"/>
              <w:szCs w:val="24"/>
            </w:rPr>
          </w:pPr>
          <w:r>
            <w:rPr>
              <w:sz w:val="24"/>
              <w:szCs w:val="24"/>
            </w:rPr>
            <w:fldChar w:fldCharType="begin"/>
          </w:r>
          <w:r>
            <w:rPr>
              <w:sz w:val="24"/>
              <w:szCs w:val="24"/>
            </w:rPr>
            <w:instrText xml:space="preserve"> HYPERLINK \l _Toc10550 </w:instrText>
          </w:r>
          <w:r>
            <w:rPr>
              <w:sz w:val="24"/>
              <w:szCs w:val="24"/>
            </w:rPr>
            <w:fldChar w:fldCharType="separate"/>
          </w:r>
          <w:r>
            <w:rPr>
              <w:rFonts w:hint="eastAsia" w:ascii="黑体" w:hAnsi="黑体" w:eastAsia="黑体" w:cs="黑体"/>
              <w:sz w:val="24"/>
              <w:szCs w:val="24"/>
              <w:shd w:val="clear" w:fill="FFFFFF"/>
            </w:rPr>
            <w:t>八、政府性基金预算支出决算情况说明</w:t>
          </w:r>
          <w:r>
            <w:rPr>
              <w:sz w:val="24"/>
              <w:szCs w:val="24"/>
            </w:rPr>
            <w:tab/>
          </w:r>
          <w:r>
            <w:rPr>
              <w:sz w:val="24"/>
              <w:szCs w:val="24"/>
            </w:rPr>
            <w:fldChar w:fldCharType="begin"/>
          </w:r>
          <w:r>
            <w:rPr>
              <w:sz w:val="24"/>
              <w:szCs w:val="24"/>
            </w:rPr>
            <w:instrText xml:space="preserve"> PAGEREF _Toc10550 \h </w:instrText>
          </w:r>
          <w:r>
            <w:rPr>
              <w:sz w:val="24"/>
              <w:szCs w:val="24"/>
            </w:rPr>
            <w:fldChar w:fldCharType="separate"/>
          </w:r>
          <w:r>
            <w:rPr>
              <w:sz w:val="24"/>
              <w:szCs w:val="24"/>
            </w:rPr>
            <w:t>- 13 -</w:t>
          </w:r>
          <w:r>
            <w:rPr>
              <w:sz w:val="24"/>
              <w:szCs w:val="24"/>
            </w:rPr>
            <w:fldChar w:fldCharType="end"/>
          </w:r>
          <w:r>
            <w:rPr>
              <w:sz w:val="24"/>
              <w:szCs w:val="24"/>
            </w:rPr>
            <w:fldChar w:fldCharType="end"/>
          </w:r>
        </w:p>
        <w:p>
          <w:pPr>
            <w:pStyle w:val="28"/>
            <w:keepNext w:val="0"/>
            <w:keepLines w:val="0"/>
            <w:pageBreakBefore w:val="0"/>
            <w:widowControl/>
            <w:tabs>
              <w:tab w:val="right" w:leader="dot" w:pos="8853"/>
            </w:tabs>
            <w:kinsoku/>
            <w:wordWrap/>
            <w:overflowPunct/>
            <w:topLinePunct w:val="0"/>
            <w:autoSpaceDE/>
            <w:autoSpaceDN/>
            <w:bidi w:val="0"/>
            <w:adjustRightInd/>
            <w:snapToGrid/>
            <w:spacing w:line="360" w:lineRule="exact"/>
            <w:textAlignment w:val="auto"/>
            <w:rPr>
              <w:sz w:val="24"/>
              <w:szCs w:val="24"/>
            </w:rPr>
          </w:pPr>
          <w:r>
            <w:rPr>
              <w:sz w:val="24"/>
              <w:szCs w:val="24"/>
            </w:rPr>
            <w:fldChar w:fldCharType="begin"/>
          </w:r>
          <w:r>
            <w:rPr>
              <w:sz w:val="24"/>
              <w:szCs w:val="24"/>
            </w:rPr>
            <w:instrText xml:space="preserve"> HYPERLINK \l _Toc22694 </w:instrText>
          </w:r>
          <w:r>
            <w:rPr>
              <w:sz w:val="24"/>
              <w:szCs w:val="24"/>
            </w:rPr>
            <w:fldChar w:fldCharType="separate"/>
          </w:r>
          <w:r>
            <w:rPr>
              <w:rFonts w:hint="eastAsia" w:ascii="黑体" w:hAnsi="黑体" w:eastAsia="黑体" w:cs="黑体"/>
              <w:sz w:val="24"/>
              <w:szCs w:val="24"/>
              <w:shd w:val="clear" w:fill="FFFFFF"/>
            </w:rPr>
            <w:t>九、国有资本经营预算支出决算情况说明</w:t>
          </w:r>
          <w:r>
            <w:rPr>
              <w:sz w:val="24"/>
              <w:szCs w:val="24"/>
            </w:rPr>
            <w:tab/>
          </w:r>
          <w:r>
            <w:rPr>
              <w:sz w:val="24"/>
              <w:szCs w:val="24"/>
            </w:rPr>
            <w:fldChar w:fldCharType="begin"/>
          </w:r>
          <w:r>
            <w:rPr>
              <w:sz w:val="24"/>
              <w:szCs w:val="24"/>
            </w:rPr>
            <w:instrText xml:space="preserve"> PAGEREF _Toc22694 \h </w:instrText>
          </w:r>
          <w:r>
            <w:rPr>
              <w:sz w:val="24"/>
              <w:szCs w:val="24"/>
            </w:rPr>
            <w:fldChar w:fldCharType="separate"/>
          </w:r>
          <w:r>
            <w:rPr>
              <w:sz w:val="24"/>
              <w:szCs w:val="24"/>
            </w:rPr>
            <w:t>- 13 -</w:t>
          </w:r>
          <w:r>
            <w:rPr>
              <w:sz w:val="24"/>
              <w:szCs w:val="24"/>
            </w:rPr>
            <w:fldChar w:fldCharType="end"/>
          </w:r>
          <w:r>
            <w:rPr>
              <w:sz w:val="24"/>
              <w:szCs w:val="24"/>
            </w:rPr>
            <w:fldChar w:fldCharType="end"/>
          </w:r>
        </w:p>
        <w:p>
          <w:pPr>
            <w:pStyle w:val="28"/>
            <w:keepNext w:val="0"/>
            <w:keepLines w:val="0"/>
            <w:pageBreakBefore w:val="0"/>
            <w:widowControl/>
            <w:tabs>
              <w:tab w:val="right" w:leader="dot" w:pos="8853"/>
            </w:tabs>
            <w:kinsoku/>
            <w:wordWrap/>
            <w:overflowPunct/>
            <w:topLinePunct w:val="0"/>
            <w:autoSpaceDE/>
            <w:autoSpaceDN/>
            <w:bidi w:val="0"/>
            <w:adjustRightInd/>
            <w:snapToGrid/>
            <w:spacing w:line="360" w:lineRule="exact"/>
            <w:textAlignment w:val="auto"/>
            <w:rPr>
              <w:sz w:val="24"/>
              <w:szCs w:val="24"/>
            </w:rPr>
          </w:pPr>
          <w:r>
            <w:rPr>
              <w:sz w:val="24"/>
              <w:szCs w:val="24"/>
            </w:rPr>
            <w:fldChar w:fldCharType="begin"/>
          </w:r>
          <w:r>
            <w:rPr>
              <w:sz w:val="24"/>
              <w:szCs w:val="24"/>
            </w:rPr>
            <w:instrText xml:space="preserve"> HYPERLINK \l _Toc3625 </w:instrText>
          </w:r>
          <w:r>
            <w:rPr>
              <w:sz w:val="24"/>
              <w:szCs w:val="24"/>
            </w:rPr>
            <w:fldChar w:fldCharType="separate"/>
          </w:r>
          <w:r>
            <w:rPr>
              <w:rFonts w:hint="eastAsia" w:ascii="黑体" w:hAnsi="黑体" w:eastAsia="黑体" w:cs="黑体"/>
              <w:sz w:val="24"/>
              <w:szCs w:val="24"/>
              <w:shd w:val="clear" w:fill="FFFFFF"/>
            </w:rPr>
            <w:t>十、其他重要事项的情况说明</w:t>
          </w:r>
          <w:r>
            <w:rPr>
              <w:sz w:val="24"/>
              <w:szCs w:val="24"/>
            </w:rPr>
            <w:tab/>
          </w:r>
          <w:r>
            <w:rPr>
              <w:sz w:val="24"/>
              <w:szCs w:val="24"/>
            </w:rPr>
            <w:fldChar w:fldCharType="begin"/>
          </w:r>
          <w:r>
            <w:rPr>
              <w:sz w:val="24"/>
              <w:szCs w:val="24"/>
            </w:rPr>
            <w:instrText xml:space="preserve"> PAGEREF _Toc3625 \h </w:instrText>
          </w:r>
          <w:r>
            <w:rPr>
              <w:sz w:val="24"/>
              <w:szCs w:val="24"/>
            </w:rPr>
            <w:fldChar w:fldCharType="separate"/>
          </w:r>
          <w:r>
            <w:rPr>
              <w:sz w:val="24"/>
              <w:szCs w:val="24"/>
            </w:rPr>
            <w:t>- 13 -</w:t>
          </w:r>
          <w:r>
            <w:rPr>
              <w:sz w:val="24"/>
              <w:szCs w:val="24"/>
            </w:rPr>
            <w:fldChar w:fldCharType="end"/>
          </w:r>
          <w:r>
            <w:rPr>
              <w:sz w:val="24"/>
              <w:szCs w:val="24"/>
            </w:rPr>
            <w:fldChar w:fldCharType="end"/>
          </w:r>
        </w:p>
        <w:p>
          <w:pPr>
            <w:pStyle w:val="28"/>
            <w:keepNext w:val="0"/>
            <w:keepLines w:val="0"/>
            <w:pageBreakBefore w:val="0"/>
            <w:widowControl/>
            <w:tabs>
              <w:tab w:val="right" w:leader="dot" w:pos="8853"/>
            </w:tabs>
            <w:kinsoku/>
            <w:wordWrap/>
            <w:overflowPunct/>
            <w:topLinePunct w:val="0"/>
            <w:autoSpaceDE/>
            <w:autoSpaceDN/>
            <w:bidi w:val="0"/>
            <w:adjustRightInd/>
            <w:snapToGrid/>
            <w:spacing w:line="360" w:lineRule="exact"/>
            <w:textAlignment w:val="auto"/>
            <w:rPr>
              <w:sz w:val="24"/>
              <w:szCs w:val="24"/>
            </w:rPr>
          </w:pPr>
          <w:r>
            <w:rPr>
              <w:sz w:val="24"/>
              <w:szCs w:val="24"/>
            </w:rPr>
            <w:fldChar w:fldCharType="begin"/>
          </w:r>
          <w:r>
            <w:rPr>
              <w:sz w:val="24"/>
              <w:szCs w:val="24"/>
            </w:rPr>
            <w:instrText xml:space="preserve"> HYPERLINK \l _Toc29851 </w:instrText>
          </w:r>
          <w:r>
            <w:rPr>
              <w:sz w:val="24"/>
              <w:szCs w:val="24"/>
            </w:rPr>
            <w:fldChar w:fldCharType="separate"/>
          </w:r>
          <w:r>
            <w:rPr>
              <w:rFonts w:hint="eastAsia" w:ascii="仿宋_GB2312" w:hAnsi="仿宋_GB2312" w:eastAsia="仿宋_GB2312" w:cs="仿宋_GB2312"/>
              <w:sz w:val="24"/>
              <w:szCs w:val="24"/>
            </w:rPr>
            <w:t>本部门按要求对</w:t>
          </w:r>
          <w:r>
            <w:rPr>
              <w:rFonts w:hint="eastAsia" w:ascii="仿宋_GB2312" w:hAnsi="仿宋_GB2312" w:eastAsia="仿宋_GB2312" w:cs="仿宋_GB2312"/>
              <w:sz w:val="24"/>
              <w:szCs w:val="24"/>
              <w:lang w:val="en-US" w:eastAsia="zh-CN"/>
            </w:rPr>
            <w:t>2020</w:t>
          </w:r>
          <w:r>
            <w:rPr>
              <w:rFonts w:hint="eastAsia" w:ascii="仿宋_GB2312" w:hAnsi="仿宋_GB2312" w:eastAsia="仿宋_GB2312" w:cs="仿宋_GB2312"/>
              <w:sz w:val="24"/>
              <w:szCs w:val="24"/>
            </w:rPr>
            <w:t>年部门整体支出绩效评价情况开展自评，《红原县</w:t>
          </w:r>
          <w:r>
            <w:rPr>
              <w:rFonts w:hint="eastAsia" w:ascii="仿宋_GB2312" w:hAnsi="仿宋_GB2312" w:eastAsia="仿宋_GB2312" w:cs="仿宋_GB2312"/>
              <w:sz w:val="24"/>
              <w:szCs w:val="24"/>
              <w:lang w:eastAsia="zh-CN"/>
            </w:rPr>
            <w:t>机关事务管理局</w:t>
          </w:r>
          <w:r>
            <w:rPr>
              <w:rFonts w:hint="eastAsia" w:ascii="仿宋_GB2312" w:hAnsi="仿宋_GB2312" w:eastAsia="仿宋_GB2312" w:cs="仿宋_GB2312"/>
              <w:sz w:val="24"/>
              <w:szCs w:val="24"/>
              <w:lang w:val="en-US" w:eastAsia="zh-CN"/>
            </w:rPr>
            <w:t>2020</w:t>
          </w:r>
          <w:r>
            <w:rPr>
              <w:rFonts w:hint="eastAsia" w:ascii="仿宋_GB2312" w:hAnsi="仿宋_GB2312" w:eastAsia="仿宋_GB2312" w:cs="仿宋_GB2312"/>
              <w:sz w:val="24"/>
              <w:szCs w:val="24"/>
            </w:rPr>
            <w:t>年部门整体支出绩效评价报告》见附件</w:t>
          </w:r>
          <w:r>
            <w:rPr>
              <w:rFonts w:hint="eastAsia" w:ascii="仿宋_GB2312" w:hAnsi="仿宋_GB2312" w:eastAsia="仿宋_GB2312" w:cs="仿宋_GB2312"/>
              <w:sz w:val="24"/>
              <w:szCs w:val="24"/>
              <w:lang w:eastAsia="zh-CN"/>
            </w:rPr>
            <w:t>。</w:t>
          </w:r>
          <w:r>
            <w:rPr>
              <w:sz w:val="24"/>
              <w:szCs w:val="24"/>
            </w:rPr>
            <w:tab/>
          </w:r>
          <w:r>
            <w:rPr>
              <w:sz w:val="24"/>
              <w:szCs w:val="24"/>
            </w:rPr>
            <w:fldChar w:fldCharType="begin"/>
          </w:r>
          <w:r>
            <w:rPr>
              <w:sz w:val="24"/>
              <w:szCs w:val="24"/>
            </w:rPr>
            <w:instrText xml:space="preserve"> PAGEREF _Toc29851 \h </w:instrText>
          </w:r>
          <w:r>
            <w:rPr>
              <w:sz w:val="24"/>
              <w:szCs w:val="24"/>
            </w:rPr>
            <w:fldChar w:fldCharType="separate"/>
          </w:r>
          <w:r>
            <w:rPr>
              <w:sz w:val="24"/>
              <w:szCs w:val="24"/>
            </w:rPr>
            <w:t>- 14 -</w:t>
          </w:r>
          <w:r>
            <w:rPr>
              <w:sz w:val="24"/>
              <w:szCs w:val="24"/>
            </w:rPr>
            <w:fldChar w:fldCharType="end"/>
          </w:r>
          <w:r>
            <w:rPr>
              <w:sz w:val="24"/>
              <w:szCs w:val="24"/>
            </w:rPr>
            <w:fldChar w:fldCharType="end"/>
          </w:r>
        </w:p>
        <w:p>
          <w:pPr>
            <w:pStyle w:val="27"/>
            <w:keepNext w:val="0"/>
            <w:keepLines w:val="0"/>
            <w:pageBreakBefore w:val="0"/>
            <w:widowControl/>
            <w:tabs>
              <w:tab w:val="right" w:leader="dot" w:pos="8853"/>
            </w:tabs>
            <w:kinsoku/>
            <w:wordWrap/>
            <w:overflowPunct/>
            <w:topLinePunct w:val="0"/>
            <w:autoSpaceDE/>
            <w:autoSpaceDN/>
            <w:bidi w:val="0"/>
            <w:adjustRightInd/>
            <w:snapToGrid/>
            <w:spacing w:line="360" w:lineRule="exact"/>
            <w:textAlignment w:val="auto"/>
            <w:rPr>
              <w:b/>
              <w:sz w:val="24"/>
              <w:szCs w:val="24"/>
            </w:rPr>
          </w:pPr>
          <w:r>
            <w:rPr>
              <w:b/>
              <w:sz w:val="24"/>
              <w:szCs w:val="24"/>
            </w:rPr>
            <w:fldChar w:fldCharType="begin"/>
          </w:r>
          <w:r>
            <w:rPr>
              <w:b/>
              <w:sz w:val="24"/>
              <w:szCs w:val="24"/>
            </w:rPr>
            <w:instrText xml:space="preserve"> HYPERLINK \l _Toc29957 </w:instrText>
          </w:r>
          <w:r>
            <w:rPr>
              <w:b/>
              <w:sz w:val="24"/>
              <w:szCs w:val="24"/>
            </w:rPr>
            <w:fldChar w:fldCharType="separate"/>
          </w:r>
          <w:r>
            <w:rPr>
              <w:rFonts w:hint="eastAsia" w:ascii="宋体" w:hAnsi="宋体" w:eastAsia="宋体" w:cs="宋体"/>
              <w:b/>
              <w:bCs/>
              <w:kern w:val="0"/>
              <w:sz w:val="24"/>
              <w:szCs w:val="24"/>
              <w:shd w:val="clear" w:fill="FFFFFF"/>
            </w:rPr>
            <w:t>第三部分 名词解释</w:t>
          </w:r>
          <w:r>
            <w:rPr>
              <w:b/>
              <w:sz w:val="24"/>
              <w:szCs w:val="24"/>
            </w:rPr>
            <w:tab/>
          </w:r>
          <w:r>
            <w:rPr>
              <w:b/>
              <w:sz w:val="24"/>
              <w:szCs w:val="24"/>
            </w:rPr>
            <w:fldChar w:fldCharType="begin"/>
          </w:r>
          <w:r>
            <w:rPr>
              <w:b/>
              <w:sz w:val="24"/>
              <w:szCs w:val="24"/>
            </w:rPr>
            <w:instrText xml:space="preserve"> PAGEREF _Toc29957 \h </w:instrText>
          </w:r>
          <w:r>
            <w:rPr>
              <w:b/>
              <w:sz w:val="24"/>
              <w:szCs w:val="24"/>
            </w:rPr>
            <w:fldChar w:fldCharType="separate"/>
          </w:r>
          <w:r>
            <w:rPr>
              <w:b/>
              <w:sz w:val="24"/>
              <w:szCs w:val="24"/>
            </w:rPr>
            <w:t>- 14 -</w:t>
          </w:r>
          <w:r>
            <w:rPr>
              <w:b/>
              <w:sz w:val="24"/>
              <w:szCs w:val="24"/>
            </w:rPr>
            <w:fldChar w:fldCharType="end"/>
          </w:r>
          <w:r>
            <w:rPr>
              <w:b/>
              <w:sz w:val="24"/>
              <w:szCs w:val="24"/>
            </w:rPr>
            <w:fldChar w:fldCharType="end"/>
          </w:r>
        </w:p>
        <w:p>
          <w:pPr>
            <w:pStyle w:val="27"/>
            <w:keepNext w:val="0"/>
            <w:keepLines w:val="0"/>
            <w:pageBreakBefore w:val="0"/>
            <w:widowControl/>
            <w:tabs>
              <w:tab w:val="right" w:leader="dot" w:pos="8853"/>
            </w:tabs>
            <w:kinsoku/>
            <w:wordWrap/>
            <w:overflowPunct/>
            <w:topLinePunct w:val="0"/>
            <w:autoSpaceDE/>
            <w:autoSpaceDN/>
            <w:bidi w:val="0"/>
            <w:adjustRightInd/>
            <w:snapToGrid/>
            <w:spacing w:line="360" w:lineRule="exact"/>
            <w:textAlignment w:val="auto"/>
            <w:rPr>
              <w:b/>
              <w:sz w:val="24"/>
              <w:szCs w:val="24"/>
            </w:rPr>
          </w:pPr>
          <w:r>
            <w:rPr>
              <w:b/>
              <w:sz w:val="24"/>
              <w:szCs w:val="24"/>
            </w:rPr>
            <w:fldChar w:fldCharType="begin"/>
          </w:r>
          <w:r>
            <w:rPr>
              <w:b/>
              <w:sz w:val="24"/>
              <w:szCs w:val="24"/>
            </w:rPr>
            <w:instrText xml:space="preserve"> HYPERLINK \l _Toc15988 </w:instrText>
          </w:r>
          <w:r>
            <w:rPr>
              <w:b/>
              <w:sz w:val="24"/>
              <w:szCs w:val="24"/>
            </w:rPr>
            <w:fldChar w:fldCharType="separate"/>
          </w:r>
          <w:r>
            <w:rPr>
              <w:rFonts w:hint="eastAsia" w:ascii="宋体" w:hAnsi="宋体" w:eastAsia="宋体" w:cs="宋体"/>
              <w:b/>
              <w:bCs/>
              <w:kern w:val="0"/>
              <w:sz w:val="24"/>
              <w:szCs w:val="24"/>
              <w:shd w:val="clear" w:fill="FFFFFF"/>
            </w:rPr>
            <w:t xml:space="preserve">第四部分 </w:t>
          </w:r>
          <w:r>
            <w:rPr>
              <w:rFonts w:hint="eastAsia" w:ascii="宋体" w:hAnsi="宋体" w:eastAsia="宋体" w:cs="宋体"/>
              <w:b/>
              <w:bCs/>
              <w:kern w:val="0"/>
              <w:sz w:val="24"/>
              <w:szCs w:val="24"/>
              <w:shd w:val="clear" w:fill="FFFFFF"/>
              <w:lang w:val="en-US" w:eastAsia="zh-CN"/>
            </w:rPr>
            <w:t xml:space="preserve">  </w:t>
          </w:r>
          <w:r>
            <w:rPr>
              <w:rFonts w:hint="eastAsia" w:ascii="宋体" w:hAnsi="宋体" w:eastAsia="宋体" w:cs="宋体"/>
              <w:b/>
              <w:bCs/>
              <w:kern w:val="0"/>
              <w:sz w:val="24"/>
              <w:szCs w:val="24"/>
              <w:shd w:val="clear" w:fill="FFFFFF"/>
            </w:rPr>
            <w:t>附件</w:t>
          </w:r>
          <w:r>
            <w:rPr>
              <w:b/>
              <w:sz w:val="24"/>
              <w:szCs w:val="24"/>
            </w:rPr>
            <w:tab/>
          </w:r>
          <w:r>
            <w:rPr>
              <w:b/>
              <w:sz w:val="24"/>
              <w:szCs w:val="24"/>
            </w:rPr>
            <w:fldChar w:fldCharType="begin"/>
          </w:r>
          <w:r>
            <w:rPr>
              <w:b/>
              <w:sz w:val="24"/>
              <w:szCs w:val="24"/>
            </w:rPr>
            <w:instrText xml:space="preserve"> PAGEREF _Toc15988 \h </w:instrText>
          </w:r>
          <w:r>
            <w:rPr>
              <w:b/>
              <w:sz w:val="24"/>
              <w:szCs w:val="24"/>
            </w:rPr>
            <w:fldChar w:fldCharType="separate"/>
          </w:r>
          <w:r>
            <w:rPr>
              <w:b/>
              <w:sz w:val="24"/>
              <w:szCs w:val="24"/>
            </w:rPr>
            <w:t>- 17 -</w:t>
          </w:r>
          <w:r>
            <w:rPr>
              <w:b/>
              <w:sz w:val="24"/>
              <w:szCs w:val="24"/>
            </w:rPr>
            <w:fldChar w:fldCharType="end"/>
          </w:r>
          <w:r>
            <w:rPr>
              <w:b/>
              <w:sz w:val="24"/>
              <w:szCs w:val="24"/>
            </w:rPr>
            <w:fldChar w:fldCharType="end"/>
          </w:r>
        </w:p>
        <w:p>
          <w:pPr>
            <w:pStyle w:val="27"/>
            <w:keepNext w:val="0"/>
            <w:keepLines w:val="0"/>
            <w:pageBreakBefore w:val="0"/>
            <w:widowControl/>
            <w:tabs>
              <w:tab w:val="right" w:leader="dot" w:pos="8853"/>
            </w:tabs>
            <w:kinsoku/>
            <w:wordWrap/>
            <w:overflowPunct/>
            <w:topLinePunct w:val="0"/>
            <w:autoSpaceDE/>
            <w:autoSpaceDN/>
            <w:bidi w:val="0"/>
            <w:adjustRightInd/>
            <w:snapToGrid/>
            <w:spacing w:line="360" w:lineRule="exact"/>
            <w:textAlignment w:val="auto"/>
            <w:rPr>
              <w:b/>
              <w:sz w:val="24"/>
              <w:szCs w:val="24"/>
            </w:rPr>
          </w:pPr>
          <w:r>
            <w:rPr>
              <w:b/>
              <w:sz w:val="24"/>
              <w:szCs w:val="24"/>
            </w:rPr>
            <w:fldChar w:fldCharType="begin"/>
          </w:r>
          <w:r>
            <w:rPr>
              <w:b/>
              <w:sz w:val="24"/>
              <w:szCs w:val="24"/>
            </w:rPr>
            <w:instrText xml:space="preserve"> HYPERLINK \l _Toc4174 </w:instrText>
          </w:r>
          <w:r>
            <w:rPr>
              <w:b/>
              <w:sz w:val="24"/>
              <w:szCs w:val="24"/>
            </w:rPr>
            <w:fldChar w:fldCharType="separate"/>
          </w:r>
          <w:r>
            <w:rPr>
              <w:rFonts w:hint="eastAsia" w:ascii="宋体" w:hAnsi="宋体" w:eastAsia="宋体" w:cs="宋体"/>
              <w:b/>
              <w:bCs/>
              <w:kern w:val="0"/>
              <w:sz w:val="24"/>
              <w:szCs w:val="24"/>
              <w:shd w:val="clear" w:fill="FFFFFF"/>
            </w:rPr>
            <w:t>第五部分 附表</w:t>
          </w:r>
          <w:r>
            <w:rPr>
              <w:b/>
              <w:sz w:val="24"/>
              <w:szCs w:val="24"/>
            </w:rPr>
            <w:tab/>
          </w:r>
          <w:r>
            <w:rPr>
              <w:b/>
              <w:sz w:val="24"/>
              <w:szCs w:val="24"/>
            </w:rPr>
            <w:fldChar w:fldCharType="begin"/>
          </w:r>
          <w:r>
            <w:rPr>
              <w:b/>
              <w:sz w:val="24"/>
              <w:szCs w:val="24"/>
            </w:rPr>
            <w:instrText xml:space="preserve"> PAGEREF _Toc4174 \h </w:instrText>
          </w:r>
          <w:r>
            <w:rPr>
              <w:b/>
              <w:sz w:val="24"/>
              <w:szCs w:val="24"/>
            </w:rPr>
            <w:fldChar w:fldCharType="separate"/>
          </w:r>
          <w:r>
            <w:rPr>
              <w:b/>
              <w:sz w:val="24"/>
              <w:szCs w:val="24"/>
            </w:rPr>
            <w:t>- 21 -</w:t>
          </w:r>
          <w:r>
            <w:rPr>
              <w:b/>
              <w:sz w:val="24"/>
              <w:szCs w:val="24"/>
            </w:rPr>
            <w:fldChar w:fldCharType="end"/>
          </w:r>
          <w:r>
            <w:rPr>
              <w:b/>
              <w:sz w:val="24"/>
              <w:szCs w:val="24"/>
            </w:rPr>
            <w:fldChar w:fldCharType="end"/>
          </w:r>
        </w:p>
        <w:p>
          <w:pPr>
            <w:pStyle w:val="28"/>
            <w:keepNext w:val="0"/>
            <w:keepLines w:val="0"/>
            <w:pageBreakBefore w:val="0"/>
            <w:widowControl/>
            <w:tabs>
              <w:tab w:val="right" w:leader="dot" w:pos="8853"/>
            </w:tabs>
            <w:kinsoku/>
            <w:wordWrap/>
            <w:overflowPunct/>
            <w:topLinePunct w:val="0"/>
            <w:autoSpaceDE/>
            <w:autoSpaceDN/>
            <w:bidi w:val="0"/>
            <w:adjustRightInd/>
            <w:snapToGrid/>
            <w:spacing w:line="360" w:lineRule="exact"/>
            <w:textAlignment w:val="auto"/>
            <w:rPr>
              <w:sz w:val="24"/>
              <w:szCs w:val="24"/>
            </w:rPr>
          </w:pPr>
          <w:r>
            <w:rPr>
              <w:sz w:val="24"/>
              <w:szCs w:val="24"/>
            </w:rPr>
            <w:fldChar w:fldCharType="begin"/>
          </w:r>
          <w:r>
            <w:rPr>
              <w:sz w:val="24"/>
              <w:szCs w:val="24"/>
            </w:rPr>
            <w:instrText xml:space="preserve"> HYPERLINK \l _Toc9660 </w:instrText>
          </w:r>
          <w:r>
            <w:rPr>
              <w:sz w:val="24"/>
              <w:szCs w:val="24"/>
            </w:rPr>
            <w:fldChar w:fldCharType="separate"/>
          </w:r>
          <w:r>
            <w:rPr>
              <w:rFonts w:hint="eastAsia" w:ascii="宋体" w:hAnsi="宋体" w:eastAsia="宋体" w:cs="宋体"/>
              <w:kern w:val="0"/>
              <w:sz w:val="24"/>
              <w:szCs w:val="24"/>
              <w:shd w:val="clear" w:fill="FFFFFF"/>
            </w:rPr>
            <w:t>一、收入支出决算总表</w:t>
          </w:r>
          <w:r>
            <w:rPr>
              <w:sz w:val="24"/>
              <w:szCs w:val="24"/>
            </w:rPr>
            <w:tab/>
          </w:r>
          <w:r>
            <w:rPr>
              <w:sz w:val="24"/>
              <w:szCs w:val="24"/>
            </w:rPr>
            <w:fldChar w:fldCharType="begin"/>
          </w:r>
          <w:r>
            <w:rPr>
              <w:sz w:val="24"/>
              <w:szCs w:val="24"/>
            </w:rPr>
            <w:instrText xml:space="preserve"> PAGEREF _Toc9660 \h </w:instrText>
          </w:r>
          <w:r>
            <w:rPr>
              <w:sz w:val="24"/>
              <w:szCs w:val="24"/>
            </w:rPr>
            <w:fldChar w:fldCharType="separate"/>
          </w:r>
          <w:r>
            <w:rPr>
              <w:sz w:val="24"/>
              <w:szCs w:val="24"/>
            </w:rPr>
            <w:t>- 21 -</w:t>
          </w:r>
          <w:r>
            <w:rPr>
              <w:sz w:val="24"/>
              <w:szCs w:val="24"/>
            </w:rPr>
            <w:fldChar w:fldCharType="end"/>
          </w:r>
          <w:r>
            <w:rPr>
              <w:sz w:val="24"/>
              <w:szCs w:val="24"/>
            </w:rPr>
            <w:fldChar w:fldCharType="end"/>
          </w:r>
        </w:p>
        <w:p>
          <w:pPr>
            <w:pStyle w:val="28"/>
            <w:keepNext w:val="0"/>
            <w:keepLines w:val="0"/>
            <w:pageBreakBefore w:val="0"/>
            <w:widowControl/>
            <w:tabs>
              <w:tab w:val="right" w:leader="dot" w:pos="8853"/>
            </w:tabs>
            <w:kinsoku/>
            <w:wordWrap/>
            <w:overflowPunct/>
            <w:topLinePunct w:val="0"/>
            <w:autoSpaceDE/>
            <w:autoSpaceDN/>
            <w:bidi w:val="0"/>
            <w:adjustRightInd/>
            <w:snapToGrid/>
            <w:spacing w:line="360" w:lineRule="exact"/>
            <w:textAlignment w:val="auto"/>
            <w:rPr>
              <w:sz w:val="24"/>
              <w:szCs w:val="24"/>
            </w:rPr>
          </w:pPr>
          <w:r>
            <w:rPr>
              <w:sz w:val="24"/>
              <w:szCs w:val="24"/>
            </w:rPr>
            <w:fldChar w:fldCharType="begin"/>
          </w:r>
          <w:r>
            <w:rPr>
              <w:sz w:val="24"/>
              <w:szCs w:val="24"/>
            </w:rPr>
            <w:instrText xml:space="preserve"> HYPERLINK \l _Toc17456 </w:instrText>
          </w:r>
          <w:r>
            <w:rPr>
              <w:sz w:val="24"/>
              <w:szCs w:val="24"/>
            </w:rPr>
            <w:fldChar w:fldCharType="separate"/>
          </w:r>
          <w:r>
            <w:rPr>
              <w:rFonts w:hint="eastAsia" w:ascii="宋体" w:hAnsi="宋体" w:eastAsia="宋体" w:cs="宋体"/>
              <w:kern w:val="0"/>
              <w:sz w:val="24"/>
              <w:szCs w:val="24"/>
              <w:shd w:val="clear" w:fill="FFFFFF"/>
            </w:rPr>
            <w:t>二、收入决算表</w:t>
          </w:r>
          <w:r>
            <w:rPr>
              <w:sz w:val="24"/>
              <w:szCs w:val="24"/>
            </w:rPr>
            <w:tab/>
          </w:r>
          <w:r>
            <w:rPr>
              <w:sz w:val="24"/>
              <w:szCs w:val="24"/>
            </w:rPr>
            <w:fldChar w:fldCharType="begin"/>
          </w:r>
          <w:r>
            <w:rPr>
              <w:sz w:val="24"/>
              <w:szCs w:val="24"/>
            </w:rPr>
            <w:instrText xml:space="preserve"> PAGEREF _Toc17456 \h </w:instrText>
          </w:r>
          <w:r>
            <w:rPr>
              <w:sz w:val="24"/>
              <w:szCs w:val="24"/>
            </w:rPr>
            <w:fldChar w:fldCharType="separate"/>
          </w:r>
          <w:r>
            <w:rPr>
              <w:sz w:val="24"/>
              <w:szCs w:val="24"/>
            </w:rPr>
            <w:t>- 21 -</w:t>
          </w:r>
          <w:r>
            <w:rPr>
              <w:sz w:val="24"/>
              <w:szCs w:val="24"/>
            </w:rPr>
            <w:fldChar w:fldCharType="end"/>
          </w:r>
          <w:r>
            <w:rPr>
              <w:sz w:val="24"/>
              <w:szCs w:val="24"/>
            </w:rPr>
            <w:fldChar w:fldCharType="end"/>
          </w:r>
        </w:p>
        <w:p>
          <w:pPr>
            <w:pStyle w:val="28"/>
            <w:keepNext w:val="0"/>
            <w:keepLines w:val="0"/>
            <w:pageBreakBefore w:val="0"/>
            <w:widowControl/>
            <w:tabs>
              <w:tab w:val="right" w:leader="dot" w:pos="8853"/>
            </w:tabs>
            <w:kinsoku/>
            <w:wordWrap/>
            <w:overflowPunct/>
            <w:topLinePunct w:val="0"/>
            <w:autoSpaceDE/>
            <w:autoSpaceDN/>
            <w:bidi w:val="0"/>
            <w:adjustRightInd/>
            <w:snapToGrid/>
            <w:spacing w:line="360" w:lineRule="exact"/>
            <w:textAlignment w:val="auto"/>
            <w:rPr>
              <w:sz w:val="24"/>
              <w:szCs w:val="24"/>
            </w:rPr>
          </w:pPr>
          <w:r>
            <w:rPr>
              <w:sz w:val="24"/>
              <w:szCs w:val="24"/>
            </w:rPr>
            <w:fldChar w:fldCharType="begin"/>
          </w:r>
          <w:r>
            <w:rPr>
              <w:sz w:val="24"/>
              <w:szCs w:val="24"/>
            </w:rPr>
            <w:instrText xml:space="preserve"> HYPERLINK \l _Toc3473 </w:instrText>
          </w:r>
          <w:r>
            <w:rPr>
              <w:sz w:val="24"/>
              <w:szCs w:val="24"/>
            </w:rPr>
            <w:fldChar w:fldCharType="separate"/>
          </w:r>
          <w:r>
            <w:rPr>
              <w:rFonts w:hint="eastAsia" w:ascii="宋体" w:hAnsi="宋体" w:eastAsia="宋体" w:cs="宋体"/>
              <w:kern w:val="0"/>
              <w:sz w:val="24"/>
              <w:szCs w:val="24"/>
              <w:shd w:val="clear" w:fill="FFFFFF"/>
            </w:rPr>
            <w:t>三、支出决算表</w:t>
          </w:r>
          <w:r>
            <w:rPr>
              <w:sz w:val="24"/>
              <w:szCs w:val="24"/>
            </w:rPr>
            <w:tab/>
          </w:r>
          <w:r>
            <w:rPr>
              <w:sz w:val="24"/>
              <w:szCs w:val="24"/>
            </w:rPr>
            <w:fldChar w:fldCharType="begin"/>
          </w:r>
          <w:r>
            <w:rPr>
              <w:sz w:val="24"/>
              <w:szCs w:val="24"/>
            </w:rPr>
            <w:instrText xml:space="preserve"> PAGEREF _Toc3473 \h </w:instrText>
          </w:r>
          <w:r>
            <w:rPr>
              <w:sz w:val="24"/>
              <w:szCs w:val="24"/>
            </w:rPr>
            <w:fldChar w:fldCharType="separate"/>
          </w:r>
          <w:r>
            <w:rPr>
              <w:sz w:val="24"/>
              <w:szCs w:val="24"/>
            </w:rPr>
            <w:t>- 21 -</w:t>
          </w:r>
          <w:r>
            <w:rPr>
              <w:sz w:val="24"/>
              <w:szCs w:val="24"/>
            </w:rPr>
            <w:fldChar w:fldCharType="end"/>
          </w:r>
          <w:r>
            <w:rPr>
              <w:sz w:val="24"/>
              <w:szCs w:val="24"/>
            </w:rPr>
            <w:fldChar w:fldCharType="end"/>
          </w:r>
        </w:p>
        <w:p>
          <w:pPr>
            <w:pStyle w:val="28"/>
            <w:keepNext w:val="0"/>
            <w:keepLines w:val="0"/>
            <w:pageBreakBefore w:val="0"/>
            <w:widowControl/>
            <w:tabs>
              <w:tab w:val="right" w:leader="dot" w:pos="8853"/>
            </w:tabs>
            <w:kinsoku/>
            <w:wordWrap/>
            <w:overflowPunct/>
            <w:topLinePunct w:val="0"/>
            <w:autoSpaceDE/>
            <w:autoSpaceDN/>
            <w:bidi w:val="0"/>
            <w:adjustRightInd/>
            <w:snapToGrid/>
            <w:spacing w:line="360" w:lineRule="exact"/>
            <w:textAlignment w:val="auto"/>
            <w:rPr>
              <w:sz w:val="24"/>
              <w:szCs w:val="24"/>
            </w:rPr>
          </w:pPr>
          <w:r>
            <w:rPr>
              <w:sz w:val="24"/>
              <w:szCs w:val="24"/>
            </w:rPr>
            <w:fldChar w:fldCharType="begin"/>
          </w:r>
          <w:r>
            <w:rPr>
              <w:sz w:val="24"/>
              <w:szCs w:val="24"/>
            </w:rPr>
            <w:instrText xml:space="preserve"> HYPERLINK \l _Toc16485 </w:instrText>
          </w:r>
          <w:r>
            <w:rPr>
              <w:sz w:val="24"/>
              <w:szCs w:val="24"/>
            </w:rPr>
            <w:fldChar w:fldCharType="separate"/>
          </w:r>
          <w:r>
            <w:rPr>
              <w:rFonts w:hint="eastAsia" w:ascii="宋体" w:hAnsi="宋体" w:eastAsia="宋体" w:cs="宋体"/>
              <w:kern w:val="0"/>
              <w:sz w:val="24"/>
              <w:szCs w:val="24"/>
              <w:shd w:val="clear" w:fill="FFFFFF"/>
            </w:rPr>
            <w:t>四、财政拨款收入支出决算总表</w:t>
          </w:r>
          <w:r>
            <w:rPr>
              <w:sz w:val="24"/>
              <w:szCs w:val="24"/>
            </w:rPr>
            <w:tab/>
          </w:r>
          <w:r>
            <w:rPr>
              <w:sz w:val="24"/>
              <w:szCs w:val="24"/>
            </w:rPr>
            <w:fldChar w:fldCharType="begin"/>
          </w:r>
          <w:r>
            <w:rPr>
              <w:sz w:val="24"/>
              <w:szCs w:val="24"/>
            </w:rPr>
            <w:instrText xml:space="preserve"> PAGEREF _Toc16485 \h </w:instrText>
          </w:r>
          <w:r>
            <w:rPr>
              <w:sz w:val="24"/>
              <w:szCs w:val="24"/>
            </w:rPr>
            <w:fldChar w:fldCharType="separate"/>
          </w:r>
          <w:r>
            <w:rPr>
              <w:sz w:val="24"/>
              <w:szCs w:val="24"/>
            </w:rPr>
            <w:t>- 21 -</w:t>
          </w:r>
          <w:r>
            <w:rPr>
              <w:sz w:val="24"/>
              <w:szCs w:val="24"/>
            </w:rPr>
            <w:fldChar w:fldCharType="end"/>
          </w:r>
          <w:r>
            <w:rPr>
              <w:sz w:val="24"/>
              <w:szCs w:val="24"/>
            </w:rPr>
            <w:fldChar w:fldCharType="end"/>
          </w:r>
        </w:p>
        <w:p>
          <w:pPr>
            <w:pStyle w:val="28"/>
            <w:keepNext w:val="0"/>
            <w:keepLines w:val="0"/>
            <w:pageBreakBefore w:val="0"/>
            <w:widowControl/>
            <w:tabs>
              <w:tab w:val="right" w:leader="dot" w:pos="8853"/>
            </w:tabs>
            <w:kinsoku/>
            <w:wordWrap/>
            <w:overflowPunct/>
            <w:topLinePunct w:val="0"/>
            <w:autoSpaceDE/>
            <w:autoSpaceDN/>
            <w:bidi w:val="0"/>
            <w:adjustRightInd/>
            <w:snapToGrid/>
            <w:spacing w:line="360" w:lineRule="exact"/>
            <w:textAlignment w:val="auto"/>
            <w:rPr>
              <w:sz w:val="24"/>
              <w:szCs w:val="24"/>
            </w:rPr>
          </w:pPr>
          <w:r>
            <w:rPr>
              <w:sz w:val="24"/>
              <w:szCs w:val="24"/>
            </w:rPr>
            <w:fldChar w:fldCharType="begin"/>
          </w:r>
          <w:r>
            <w:rPr>
              <w:sz w:val="24"/>
              <w:szCs w:val="24"/>
            </w:rPr>
            <w:instrText xml:space="preserve"> HYPERLINK \l _Toc17268 </w:instrText>
          </w:r>
          <w:r>
            <w:rPr>
              <w:sz w:val="24"/>
              <w:szCs w:val="24"/>
            </w:rPr>
            <w:fldChar w:fldCharType="separate"/>
          </w:r>
          <w:r>
            <w:rPr>
              <w:rFonts w:hint="eastAsia" w:ascii="宋体" w:hAnsi="宋体" w:eastAsia="宋体" w:cs="宋体"/>
              <w:kern w:val="0"/>
              <w:sz w:val="24"/>
              <w:szCs w:val="24"/>
              <w:shd w:val="clear" w:fill="FFFFFF"/>
            </w:rPr>
            <w:t>五、财政拨款支出决算明细表</w:t>
          </w:r>
          <w:r>
            <w:rPr>
              <w:sz w:val="24"/>
              <w:szCs w:val="24"/>
            </w:rPr>
            <w:tab/>
          </w:r>
          <w:r>
            <w:rPr>
              <w:sz w:val="24"/>
              <w:szCs w:val="24"/>
            </w:rPr>
            <w:fldChar w:fldCharType="begin"/>
          </w:r>
          <w:r>
            <w:rPr>
              <w:sz w:val="24"/>
              <w:szCs w:val="24"/>
            </w:rPr>
            <w:instrText xml:space="preserve"> PAGEREF _Toc17268 \h </w:instrText>
          </w:r>
          <w:r>
            <w:rPr>
              <w:sz w:val="24"/>
              <w:szCs w:val="24"/>
            </w:rPr>
            <w:fldChar w:fldCharType="separate"/>
          </w:r>
          <w:r>
            <w:rPr>
              <w:sz w:val="24"/>
              <w:szCs w:val="24"/>
            </w:rPr>
            <w:t>- 21 -</w:t>
          </w:r>
          <w:r>
            <w:rPr>
              <w:sz w:val="24"/>
              <w:szCs w:val="24"/>
            </w:rPr>
            <w:fldChar w:fldCharType="end"/>
          </w:r>
          <w:r>
            <w:rPr>
              <w:sz w:val="24"/>
              <w:szCs w:val="24"/>
            </w:rPr>
            <w:fldChar w:fldCharType="end"/>
          </w:r>
        </w:p>
        <w:p>
          <w:pPr>
            <w:pStyle w:val="28"/>
            <w:keepNext w:val="0"/>
            <w:keepLines w:val="0"/>
            <w:pageBreakBefore w:val="0"/>
            <w:widowControl/>
            <w:tabs>
              <w:tab w:val="right" w:leader="dot" w:pos="8853"/>
            </w:tabs>
            <w:kinsoku/>
            <w:wordWrap/>
            <w:overflowPunct/>
            <w:topLinePunct w:val="0"/>
            <w:autoSpaceDE/>
            <w:autoSpaceDN/>
            <w:bidi w:val="0"/>
            <w:adjustRightInd/>
            <w:snapToGrid/>
            <w:spacing w:line="360" w:lineRule="exact"/>
            <w:textAlignment w:val="auto"/>
            <w:rPr>
              <w:sz w:val="24"/>
              <w:szCs w:val="24"/>
            </w:rPr>
          </w:pPr>
          <w:r>
            <w:rPr>
              <w:sz w:val="24"/>
              <w:szCs w:val="24"/>
            </w:rPr>
            <w:fldChar w:fldCharType="begin"/>
          </w:r>
          <w:r>
            <w:rPr>
              <w:sz w:val="24"/>
              <w:szCs w:val="24"/>
            </w:rPr>
            <w:instrText xml:space="preserve"> HYPERLINK \l _Toc20057 </w:instrText>
          </w:r>
          <w:r>
            <w:rPr>
              <w:sz w:val="24"/>
              <w:szCs w:val="24"/>
            </w:rPr>
            <w:fldChar w:fldCharType="separate"/>
          </w:r>
          <w:r>
            <w:rPr>
              <w:rFonts w:hint="eastAsia" w:ascii="宋体" w:hAnsi="宋体" w:eastAsia="宋体" w:cs="宋体"/>
              <w:kern w:val="0"/>
              <w:sz w:val="24"/>
              <w:szCs w:val="24"/>
              <w:shd w:val="clear" w:fill="FFFFFF"/>
            </w:rPr>
            <w:t>六、一般公共预算财政拨款支出决算表</w:t>
          </w:r>
          <w:r>
            <w:rPr>
              <w:sz w:val="24"/>
              <w:szCs w:val="24"/>
            </w:rPr>
            <w:tab/>
          </w:r>
          <w:r>
            <w:rPr>
              <w:sz w:val="24"/>
              <w:szCs w:val="24"/>
            </w:rPr>
            <w:fldChar w:fldCharType="begin"/>
          </w:r>
          <w:r>
            <w:rPr>
              <w:sz w:val="24"/>
              <w:szCs w:val="24"/>
            </w:rPr>
            <w:instrText xml:space="preserve"> PAGEREF _Toc20057 \h </w:instrText>
          </w:r>
          <w:r>
            <w:rPr>
              <w:sz w:val="24"/>
              <w:szCs w:val="24"/>
            </w:rPr>
            <w:fldChar w:fldCharType="separate"/>
          </w:r>
          <w:r>
            <w:rPr>
              <w:sz w:val="24"/>
              <w:szCs w:val="24"/>
            </w:rPr>
            <w:t>- 21 -</w:t>
          </w:r>
          <w:r>
            <w:rPr>
              <w:sz w:val="24"/>
              <w:szCs w:val="24"/>
            </w:rPr>
            <w:fldChar w:fldCharType="end"/>
          </w:r>
          <w:r>
            <w:rPr>
              <w:sz w:val="24"/>
              <w:szCs w:val="24"/>
            </w:rPr>
            <w:fldChar w:fldCharType="end"/>
          </w:r>
        </w:p>
        <w:p>
          <w:pPr>
            <w:pStyle w:val="28"/>
            <w:keepNext w:val="0"/>
            <w:keepLines w:val="0"/>
            <w:pageBreakBefore w:val="0"/>
            <w:widowControl/>
            <w:tabs>
              <w:tab w:val="right" w:leader="dot" w:pos="8853"/>
            </w:tabs>
            <w:kinsoku/>
            <w:wordWrap/>
            <w:overflowPunct/>
            <w:topLinePunct w:val="0"/>
            <w:autoSpaceDE/>
            <w:autoSpaceDN/>
            <w:bidi w:val="0"/>
            <w:adjustRightInd/>
            <w:snapToGrid/>
            <w:spacing w:line="360" w:lineRule="exact"/>
            <w:textAlignment w:val="auto"/>
            <w:rPr>
              <w:sz w:val="24"/>
              <w:szCs w:val="24"/>
            </w:rPr>
          </w:pPr>
          <w:r>
            <w:rPr>
              <w:sz w:val="24"/>
              <w:szCs w:val="24"/>
            </w:rPr>
            <w:fldChar w:fldCharType="begin"/>
          </w:r>
          <w:r>
            <w:rPr>
              <w:sz w:val="24"/>
              <w:szCs w:val="24"/>
            </w:rPr>
            <w:instrText xml:space="preserve"> HYPERLINK \l _Toc32099 </w:instrText>
          </w:r>
          <w:r>
            <w:rPr>
              <w:sz w:val="24"/>
              <w:szCs w:val="24"/>
            </w:rPr>
            <w:fldChar w:fldCharType="separate"/>
          </w:r>
          <w:r>
            <w:rPr>
              <w:rFonts w:hint="eastAsia" w:ascii="宋体" w:hAnsi="宋体" w:eastAsia="宋体" w:cs="宋体"/>
              <w:kern w:val="0"/>
              <w:sz w:val="24"/>
              <w:szCs w:val="24"/>
              <w:shd w:val="clear" w:fill="FFFFFF"/>
            </w:rPr>
            <w:t>七、一般公共预算财政拨款支出决算明细表</w:t>
          </w:r>
          <w:r>
            <w:rPr>
              <w:sz w:val="24"/>
              <w:szCs w:val="24"/>
            </w:rPr>
            <w:tab/>
          </w:r>
          <w:r>
            <w:rPr>
              <w:sz w:val="24"/>
              <w:szCs w:val="24"/>
            </w:rPr>
            <w:fldChar w:fldCharType="begin"/>
          </w:r>
          <w:r>
            <w:rPr>
              <w:sz w:val="24"/>
              <w:szCs w:val="24"/>
            </w:rPr>
            <w:instrText xml:space="preserve"> PAGEREF _Toc32099 \h </w:instrText>
          </w:r>
          <w:r>
            <w:rPr>
              <w:sz w:val="24"/>
              <w:szCs w:val="24"/>
            </w:rPr>
            <w:fldChar w:fldCharType="separate"/>
          </w:r>
          <w:r>
            <w:rPr>
              <w:sz w:val="24"/>
              <w:szCs w:val="24"/>
            </w:rPr>
            <w:t>- 21 -</w:t>
          </w:r>
          <w:r>
            <w:rPr>
              <w:sz w:val="24"/>
              <w:szCs w:val="24"/>
            </w:rPr>
            <w:fldChar w:fldCharType="end"/>
          </w:r>
          <w:r>
            <w:rPr>
              <w:sz w:val="24"/>
              <w:szCs w:val="24"/>
            </w:rPr>
            <w:fldChar w:fldCharType="end"/>
          </w:r>
        </w:p>
        <w:p>
          <w:pPr>
            <w:pStyle w:val="28"/>
            <w:keepNext w:val="0"/>
            <w:keepLines w:val="0"/>
            <w:pageBreakBefore w:val="0"/>
            <w:widowControl/>
            <w:tabs>
              <w:tab w:val="right" w:leader="dot" w:pos="8853"/>
            </w:tabs>
            <w:kinsoku/>
            <w:wordWrap/>
            <w:overflowPunct/>
            <w:topLinePunct w:val="0"/>
            <w:autoSpaceDE/>
            <w:autoSpaceDN/>
            <w:bidi w:val="0"/>
            <w:adjustRightInd/>
            <w:snapToGrid/>
            <w:spacing w:line="360" w:lineRule="exact"/>
            <w:textAlignment w:val="auto"/>
            <w:rPr>
              <w:sz w:val="24"/>
              <w:szCs w:val="24"/>
            </w:rPr>
          </w:pPr>
          <w:r>
            <w:rPr>
              <w:sz w:val="24"/>
              <w:szCs w:val="24"/>
            </w:rPr>
            <w:fldChar w:fldCharType="begin"/>
          </w:r>
          <w:r>
            <w:rPr>
              <w:sz w:val="24"/>
              <w:szCs w:val="24"/>
            </w:rPr>
            <w:instrText xml:space="preserve"> HYPERLINK \l _Toc7497 </w:instrText>
          </w:r>
          <w:r>
            <w:rPr>
              <w:sz w:val="24"/>
              <w:szCs w:val="24"/>
            </w:rPr>
            <w:fldChar w:fldCharType="separate"/>
          </w:r>
          <w:r>
            <w:rPr>
              <w:rFonts w:hint="eastAsia" w:ascii="宋体" w:hAnsi="宋体" w:eastAsia="宋体" w:cs="宋体"/>
              <w:kern w:val="0"/>
              <w:sz w:val="24"/>
              <w:szCs w:val="24"/>
              <w:shd w:val="clear" w:fill="FFFFFF"/>
            </w:rPr>
            <w:t>八、一般公共预算财政拨款基本支出决算表</w:t>
          </w:r>
          <w:r>
            <w:rPr>
              <w:sz w:val="24"/>
              <w:szCs w:val="24"/>
            </w:rPr>
            <w:tab/>
          </w:r>
          <w:r>
            <w:rPr>
              <w:sz w:val="24"/>
              <w:szCs w:val="24"/>
            </w:rPr>
            <w:fldChar w:fldCharType="begin"/>
          </w:r>
          <w:r>
            <w:rPr>
              <w:sz w:val="24"/>
              <w:szCs w:val="24"/>
            </w:rPr>
            <w:instrText xml:space="preserve"> PAGEREF _Toc7497 \h </w:instrText>
          </w:r>
          <w:r>
            <w:rPr>
              <w:sz w:val="24"/>
              <w:szCs w:val="24"/>
            </w:rPr>
            <w:fldChar w:fldCharType="separate"/>
          </w:r>
          <w:r>
            <w:rPr>
              <w:sz w:val="24"/>
              <w:szCs w:val="24"/>
            </w:rPr>
            <w:t>- 22 -</w:t>
          </w:r>
          <w:r>
            <w:rPr>
              <w:sz w:val="24"/>
              <w:szCs w:val="24"/>
            </w:rPr>
            <w:fldChar w:fldCharType="end"/>
          </w:r>
          <w:r>
            <w:rPr>
              <w:sz w:val="24"/>
              <w:szCs w:val="24"/>
            </w:rPr>
            <w:fldChar w:fldCharType="end"/>
          </w:r>
        </w:p>
        <w:p>
          <w:pPr>
            <w:pStyle w:val="28"/>
            <w:keepNext w:val="0"/>
            <w:keepLines w:val="0"/>
            <w:pageBreakBefore w:val="0"/>
            <w:widowControl/>
            <w:tabs>
              <w:tab w:val="right" w:leader="dot" w:pos="8853"/>
            </w:tabs>
            <w:kinsoku/>
            <w:wordWrap/>
            <w:overflowPunct/>
            <w:topLinePunct w:val="0"/>
            <w:autoSpaceDE/>
            <w:autoSpaceDN/>
            <w:bidi w:val="0"/>
            <w:adjustRightInd/>
            <w:snapToGrid/>
            <w:spacing w:line="360" w:lineRule="exact"/>
            <w:textAlignment w:val="auto"/>
            <w:rPr>
              <w:sz w:val="24"/>
              <w:szCs w:val="24"/>
            </w:rPr>
          </w:pPr>
          <w:r>
            <w:rPr>
              <w:sz w:val="24"/>
              <w:szCs w:val="24"/>
            </w:rPr>
            <w:fldChar w:fldCharType="begin"/>
          </w:r>
          <w:r>
            <w:rPr>
              <w:sz w:val="24"/>
              <w:szCs w:val="24"/>
            </w:rPr>
            <w:instrText xml:space="preserve"> HYPERLINK \l _Toc8697 </w:instrText>
          </w:r>
          <w:r>
            <w:rPr>
              <w:sz w:val="24"/>
              <w:szCs w:val="24"/>
            </w:rPr>
            <w:fldChar w:fldCharType="separate"/>
          </w:r>
          <w:r>
            <w:rPr>
              <w:rFonts w:hint="eastAsia" w:ascii="宋体" w:hAnsi="宋体" w:eastAsia="宋体" w:cs="宋体"/>
              <w:kern w:val="0"/>
              <w:sz w:val="24"/>
              <w:szCs w:val="24"/>
              <w:shd w:val="clear" w:fill="FFFFFF"/>
            </w:rPr>
            <w:t>九、一般公共预算财政拨款项目支出决算表</w:t>
          </w:r>
          <w:r>
            <w:rPr>
              <w:sz w:val="24"/>
              <w:szCs w:val="24"/>
            </w:rPr>
            <w:tab/>
          </w:r>
          <w:r>
            <w:rPr>
              <w:sz w:val="24"/>
              <w:szCs w:val="24"/>
            </w:rPr>
            <w:fldChar w:fldCharType="begin"/>
          </w:r>
          <w:r>
            <w:rPr>
              <w:sz w:val="24"/>
              <w:szCs w:val="24"/>
            </w:rPr>
            <w:instrText xml:space="preserve"> PAGEREF _Toc8697 \h </w:instrText>
          </w:r>
          <w:r>
            <w:rPr>
              <w:sz w:val="24"/>
              <w:szCs w:val="24"/>
            </w:rPr>
            <w:fldChar w:fldCharType="separate"/>
          </w:r>
          <w:r>
            <w:rPr>
              <w:sz w:val="24"/>
              <w:szCs w:val="24"/>
            </w:rPr>
            <w:t>- 22 -</w:t>
          </w:r>
          <w:r>
            <w:rPr>
              <w:sz w:val="24"/>
              <w:szCs w:val="24"/>
            </w:rPr>
            <w:fldChar w:fldCharType="end"/>
          </w:r>
          <w:r>
            <w:rPr>
              <w:sz w:val="24"/>
              <w:szCs w:val="24"/>
            </w:rPr>
            <w:fldChar w:fldCharType="end"/>
          </w:r>
        </w:p>
        <w:p>
          <w:pPr>
            <w:pStyle w:val="28"/>
            <w:keepNext w:val="0"/>
            <w:keepLines w:val="0"/>
            <w:pageBreakBefore w:val="0"/>
            <w:widowControl/>
            <w:tabs>
              <w:tab w:val="right" w:leader="dot" w:pos="8853"/>
            </w:tabs>
            <w:kinsoku/>
            <w:wordWrap/>
            <w:overflowPunct/>
            <w:topLinePunct w:val="0"/>
            <w:autoSpaceDE/>
            <w:autoSpaceDN/>
            <w:bidi w:val="0"/>
            <w:adjustRightInd/>
            <w:snapToGrid/>
            <w:spacing w:line="360" w:lineRule="exact"/>
            <w:textAlignment w:val="auto"/>
            <w:rPr>
              <w:sz w:val="24"/>
              <w:szCs w:val="24"/>
            </w:rPr>
          </w:pPr>
          <w:r>
            <w:rPr>
              <w:sz w:val="24"/>
              <w:szCs w:val="24"/>
            </w:rPr>
            <w:fldChar w:fldCharType="begin"/>
          </w:r>
          <w:r>
            <w:rPr>
              <w:sz w:val="24"/>
              <w:szCs w:val="24"/>
            </w:rPr>
            <w:instrText xml:space="preserve"> HYPERLINK \l _Toc25710 </w:instrText>
          </w:r>
          <w:r>
            <w:rPr>
              <w:sz w:val="24"/>
              <w:szCs w:val="24"/>
            </w:rPr>
            <w:fldChar w:fldCharType="separate"/>
          </w:r>
          <w:r>
            <w:rPr>
              <w:rFonts w:hint="eastAsia" w:ascii="宋体" w:hAnsi="宋体" w:eastAsia="宋体" w:cs="宋体"/>
              <w:kern w:val="0"/>
              <w:sz w:val="24"/>
              <w:szCs w:val="24"/>
              <w:shd w:val="clear" w:fill="FFFFFF"/>
            </w:rPr>
            <w:t>十、一般公共预算财政拨款“三公”经费支出决算表</w:t>
          </w:r>
          <w:r>
            <w:rPr>
              <w:sz w:val="24"/>
              <w:szCs w:val="24"/>
            </w:rPr>
            <w:tab/>
          </w:r>
          <w:r>
            <w:rPr>
              <w:sz w:val="24"/>
              <w:szCs w:val="24"/>
            </w:rPr>
            <w:fldChar w:fldCharType="begin"/>
          </w:r>
          <w:r>
            <w:rPr>
              <w:sz w:val="24"/>
              <w:szCs w:val="24"/>
            </w:rPr>
            <w:instrText xml:space="preserve"> PAGEREF _Toc25710 \h </w:instrText>
          </w:r>
          <w:r>
            <w:rPr>
              <w:sz w:val="24"/>
              <w:szCs w:val="24"/>
            </w:rPr>
            <w:fldChar w:fldCharType="separate"/>
          </w:r>
          <w:r>
            <w:rPr>
              <w:sz w:val="24"/>
              <w:szCs w:val="24"/>
            </w:rPr>
            <w:t>- 22 -</w:t>
          </w:r>
          <w:r>
            <w:rPr>
              <w:sz w:val="24"/>
              <w:szCs w:val="24"/>
            </w:rPr>
            <w:fldChar w:fldCharType="end"/>
          </w:r>
          <w:r>
            <w:rPr>
              <w:sz w:val="24"/>
              <w:szCs w:val="24"/>
            </w:rPr>
            <w:fldChar w:fldCharType="end"/>
          </w:r>
        </w:p>
        <w:p>
          <w:pPr>
            <w:pStyle w:val="28"/>
            <w:keepNext w:val="0"/>
            <w:keepLines w:val="0"/>
            <w:pageBreakBefore w:val="0"/>
            <w:widowControl/>
            <w:tabs>
              <w:tab w:val="right" w:leader="dot" w:pos="8853"/>
            </w:tabs>
            <w:kinsoku/>
            <w:wordWrap/>
            <w:overflowPunct/>
            <w:topLinePunct w:val="0"/>
            <w:autoSpaceDE/>
            <w:autoSpaceDN/>
            <w:bidi w:val="0"/>
            <w:adjustRightInd/>
            <w:snapToGrid/>
            <w:spacing w:line="360" w:lineRule="exact"/>
            <w:textAlignment w:val="auto"/>
            <w:rPr>
              <w:sz w:val="24"/>
              <w:szCs w:val="24"/>
            </w:rPr>
          </w:pPr>
          <w:r>
            <w:rPr>
              <w:sz w:val="24"/>
              <w:szCs w:val="24"/>
            </w:rPr>
            <w:fldChar w:fldCharType="begin"/>
          </w:r>
          <w:r>
            <w:rPr>
              <w:sz w:val="24"/>
              <w:szCs w:val="24"/>
            </w:rPr>
            <w:instrText xml:space="preserve"> HYPERLINK \l _Toc29296 </w:instrText>
          </w:r>
          <w:r>
            <w:rPr>
              <w:sz w:val="24"/>
              <w:szCs w:val="24"/>
            </w:rPr>
            <w:fldChar w:fldCharType="separate"/>
          </w:r>
          <w:r>
            <w:rPr>
              <w:rFonts w:hint="eastAsia" w:ascii="宋体" w:hAnsi="宋体" w:eastAsia="宋体" w:cs="宋体"/>
              <w:kern w:val="0"/>
              <w:sz w:val="24"/>
              <w:szCs w:val="24"/>
              <w:shd w:val="clear" w:fill="FFFFFF"/>
            </w:rPr>
            <w:t>十一、政府性基金预算财政拨款收入支出决算表</w:t>
          </w:r>
          <w:r>
            <w:rPr>
              <w:sz w:val="24"/>
              <w:szCs w:val="24"/>
            </w:rPr>
            <w:tab/>
          </w:r>
          <w:r>
            <w:rPr>
              <w:sz w:val="24"/>
              <w:szCs w:val="24"/>
            </w:rPr>
            <w:fldChar w:fldCharType="begin"/>
          </w:r>
          <w:r>
            <w:rPr>
              <w:sz w:val="24"/>
              <w:szCs w:val="24"/>
            </w:rPr>
            <w:instrText xml:space="preserve"> PAGEREF _Toc29296 \h </w:instrText>
          </w:r>
          <w:r>
            <w:rPr>
              <w:sz w:val="24"/>
              <w:szCs w:val="24"/>
            </w:rPr>
            <w:fldChar w:fldCharType="separate"/>
          </w:r>
          <w:r>
            <w:rPr>
              <w:sz w:val="24"/>
              <w:szCs w:val="24"/>
            </w:rPr>
            <w:t>- 22 -</w:t>
          </w:r>
          <w:r>
            <w:rPr>
              <w:sz w:val="24"/>
              <w:szCs w:val="24"/>
            </w:rPr>
            <w:fldChar w:fldCharType="end"/>
          </w:r>
          <w:r>
            <w:rPr>
              <w:sz w:val="24"/>
              <w:szCs w:val="24"/>
            </w:rPr>
            <w:fldChar w:fldCharType="end"/>
          </w:r>
        </w:p>
        <w:p>
          <w:pPr>
            <w:pStyle w:val="28"/>
            <w:keepNext w:val="0"/>
            <w:keepLines w:val="0"/>
            <w:pageBreakBefore w:val="0"/>
            <w:widowControl/>
            <w:tabs>
              <w:tab w:val="right" w:leader="dot" w:pos="8853"/>
            </w:tabs>
            <w:kinsoku/>
            <w:wordWrap/>
            <w:overflowPunct/>
            <w:topLinePunct w:val="0"/>
            <w:autoSpaceDE/>
            <w:autoSpaceDN/>
            <w:bidi w:val="0"/>
            <w:adjustRightInd/>
            <w:snapToGrid/>
            <w:spacing w:line="360" w:lineRule="exact"/>
            <w:textAlignment w:val="auto"/>
            <w:rPr>
              <w:sz w:val="24"/>
              <w:szCs w:val="24"/>
            </w:rPr>
          </w:pPr>
          <w:r>
            <w:rPr>
              <w:sz w:val="24"/>
              <w:szCs w:val="24"/>
            </w:rPr>
            <w:fldChar w:fldCharType="begin"/>
          </w:r>
          <w:r>
            <w:rPr>
              <w:sz w:val="24"/>
              <w:szCs w:val="24"/>
            </w:rPr>
            <w:instrText xml:space="preserve"> HYPERLINK \l _Toc13174 </w:instrText>
          </w:r>
          <w:r>
            <w:rPr>
              <w:sz w:val="24"/>
              <w:szCs w:val="24"/>
            </w:rPr>
            <w:fldChar w:fldCharType="separate"/>
          </w:r>
          <w:r>
            <w:rPr>
              <w:rFonts w:hint="eastAsia" w:ascii="宋体" w:hAnsi="宋体" w:eastAsia="宋体" w:cs="宋体"/>
              <w:kern w:val="0"/>
              <w:sz w:val="24"/>
              <w:szCs w:val="24"/>
              <w:shd w:val="clear" w:fill="FFFFFF"/>
            </w:rPr>
            <w:t>十二、政府性基金预算财政拨款“三公”经费支出决算表</w:t>
          </w:r>
          <w:r>
            <w:rPr>
              <w:sz w:val="24"/>
              <w:szCs w:val="24"/>
            </w:rPr>
            <w:tab/>
          </w:r>
          <w:r>
            <w:rPr>
              <w:sz w:val="24"/>
              <w:szCs w:val="24"/>
            </w:rPr>
            <w:fldChar w:fldCharType="begin"/>
          </w:r>
          <w:r>
            <w:rPr>
              <w:sz w:val="24"/>
              <w:szCs w:val="24"/>
            </w:rPr>
            <w:instrText xml:space="preserve"> PAGEREF _Toc13174 \h </w:instrText>
          </w:r>
          <w:r>
            <w:rPr>
              <w:sz w:val="24"/>
              <w:szCs w:val="24"/>
            </w:rPr>
            <w:fldChar w:fldCharType="separate"/>
          </w:r>
          <w:r>
            <w:rPr>
              <w:sz w:val="24"/>
              <w:szCs w:val="24"/>
            </w:rPr>
            <w:t>- 22 -</w:t>
          </w:r>
          <w:r>
            <w:rPr>
              <w:sz w:val="24"/>
              <w:szCs w:val="24"/>
            </w:rPr>
            <w:fldChar w:fldCharType="end"/>
          </w:r>
          <w:r>
            <w:rPr>
              <w:sz w:val="24"/>
              <w:szCs w:val="24"/>
            </w:rPr>
            <w:fldChar w:fldCharType="end"/>
          </w:r>
        </w:p>
        <w:p>
          <w:pPr>
            <w:pStyle w:val="28"/>
            <w:keepNext w:val="0"/>
            <w:keepLines w:val="0"/>
            <w:pageBreakBefore w:val="0"/>
            <w:widowControl/>
            <w:tabs>
              <w:tab w:val="right" w:leader="dot" w:pos="8853"/>
            </w:tabs>
            <w:kinsoku/>
            <w:wordWrap/>
            <w:overflowPunct/>
            <w:topLinePunct w:val="0"/>
            <w:autoSpaceDE/>
            <w:autoSpaceDN/>
            <w:bidi w:val="0"/>
            <w:adjustRightInd/>
            <w:snapToGrid/>
            <w:spacing w:line="360" w:lineRule="exact"/>
            <w:textAlignment w:val="auto"/>
            <w:rPr>
              <w:sz w:val="24"/>
              <w:szCs w:val="24"/>
            </w:rPr>
          </w:pPr>
          <w:r>
            <w:rPr>
              <w:sz w:val="24"/>
              <w:szCs w:val="24"/>
            </w:rPr>
            <w:fldChar w:fldCharType="begin"/>
          </w:r>
          <w:r>
            <w:rPr>
              <w:sz w:val="24"/>
              <w:szCs w:val="24"/>
            </w:rPr>
            <w:instrText xml:space="preserve"> HYPERLINK \l _Toc11694 </w:instrText>
          </w:r>
          <w:r>
            <w:rPr>
              <w:sz w:val="24"/>
              <w:szCs w:val="24"/>
            </w:rPr>
            <w:fldChar w:fldCharType="separate"/>
          </w:r>
          <w:r>
            <w:rPr>
              <w:rFonts w:hint="eastAsia" w:ascii="宋体" w:hAnsi="宋体" w:eastAsia="宋体" w:cs="宋体"/>
              <w:kern w:val="0"/>
              <w:sz w:val="24"/>
              <w:szCs w:val="24"/>
              <w:shd w:val="clear" w:fill="FFFFFF"/>
            </w:rPr>
            <w:t>十三、国有资本经营预算财政拨款收入支出决算表</w:t>
          </w:r>
          <w:r>
            <w:rPr>
              <w:sz w:val="24"/>
              <w:szCs w:val="24"/>
            </w:rPr>
            <w:tab/>
          </w:r>
          <w:r>
            <w:rPr>
              <w:sz w:val="24"/>
              <w:szCs w:val="24"/>
            </w:rPr>
            <w:fldChar w:fldCharType="begin"/>
          </w:r>
          <w:r>
            <w:rPr>
              <w:sz w:val="24"/>
              <w:szCs w:val="24"/>
            </w:rPr>
            <w:instrText xml:space="preserve"> PAGEREF _Toc11694 \h </w:instrText>
          </w:r>
          <w:r>
            <w:rPr>
              <w:sz w:val="24"/>
              <w:szCs w:val="24"/>
            </w:rPr>
            <w:fldChar w:fldCharType="separate"/>
          </w:r>
          <w:r>
            <w:rPr>
              <w:sz w:val="24"/>
              <w:szCs w:val="24"/>
            </w:rPr>
            <w:t>- 22 -</w:t>
          </w:r>
          <w:r>
            <w:rPr>
              <w:sz w:val="24"/>
              <w:szCs w:val="24"/>
            </w:rPr>
            <w:fldChar w:fldCharType="end"/>
          </w:r>
          <w:r>
            <w:rPr>
              <w:sz w:val="24"/>
              <w:szCs w:val="24"/>
            </w:rPr>
            <w:fldChar w:fldCharType="end"/>
          </w:r>
        </w:p>
        <w:p>
          <w:pPr>
            <w:pStyle w:val="28"/>
            <w:keepNext w:val="0"/>
            <w:keepLines w:val="0"/>
            <w:pageBreakBefore w:val="0"/>
            <w:widowControl/>
            <w:tabs>
              <w:tab w:val="right" w:leader="dot" w:pos="8853"/>
            </w:tabs>
            <w:kinsoku/>
            <w:wordWrap/>
            <w:overflowPunct/>
            <w:topLinePunct w:val="0"/>
            <w:autoSpaceDE/>
            <w:autoSpaceDN/>
            <w:bidi w:val="0"/>
            <w:adjustRightInd/>
            <w:snapToGrid/>
            <w:spacing w:line="360" w:lineRule="exact"/>
            <w:textAlignment w:val="auto"/>
            <w:rPr>
              <w:sz w:val="24"/>
              <w:szCs w:val="24"/>
            </w:rPr>
          </w:pPr>
          <w:r>
            <w:rPr>
              <w:sz w:val="24"/>
              <w:szCs w:val="24"/>
            </w:rPr>
            <w:fldChar w:fldCharType="begin"/>
          </w:r>
          <w:r>
            <w:rPr>
              <w:sz w:val="24"/>
              <w:szCs w:val="24"/>
            </w:rPr>
            <w:instrText xml:space="preserve"> HYPERLINK \l _Toc19420 </w:instrText>
          </w:r>
          <w:r>
            <w:rPr>
              <w:sz w:val="24"/>
              <w:szCs w:val="24"/>
            </w:rPr>
            <w:fldChar w:fldCharType="separate"/>
          </w:r>
          <w:r>
            <w:rPr>
              <w:rFonts w:hint="eastAsia" w:ascii="宋体" w:hAnsi="宋体" w:eastAsia="宋体" w:cs="宋体"/>
              <w:kern w:val="0"/>
              <w:sz w:val="24"/>
              <w:szCs w:val="24"/>
              <w:shd w:val="clear" w:fill="FFFFFF"/>
            </w:rPr>
            <w:t>十四、国有资本经营预算财政拨款支出决算表</w:t>
          </w:r>
          <w:r>
            <w:rPr>
              <w:sz w:val="24"/>
              <w:szCs w:val="24"/>
            </w:rPr>
            <w:tab/>
          </w:r>
          <w:r>
            <w:rPr>
              <w:sz w:val="24"/>
              <w:szCs w:val="24"/>
            </w:rPr>
            <w:fldChar w:fldCharType="begin"/>
          </w:r>
          <w:r>
            <w:rPr>
              <w:sz w:val="24"/>
              <w:szCs w:val="24"/>
            </w:rPr>
            <w:instrText xml:space="preserve"> PAGEREF _Toc19420 \h </w:instrText>
          </w:r>
          <w:r>
            <w:rPr>
              <w:sz w:val="24"/>
              <w:szCs w:val="24"/>
            </w:rPr>
            <w:fldChar w:fldCharType="separate"/>
          </w:r>
          <w:r>
            <w:rPr>
              <w:sz w:val="24"/>
              <w:szCs w:val="24"/>
            </w:rPr>
            <w:t>- 22 -</w:t>
          </w:r>
          <w:r>
            <w:rPr>
              <w:sz w:val="24"/>
              <w:szCs w:val="24"/>
            </w:rPr>
            <w:fldChar w:fldCharType="end"/>
          </w:r>
          <w:r>
            <w:rPr>
              <w:sz w:val="24"/>
              <w:szCs w:val="24"/>
            </w:rPr>
            <w:fldChar w:fldCharType="end"/>
          </w:r>
        </w:p>
        <w:p>
          <w:pPr>
            <w:keepNext w:val="0"/>
            <w:keepLines w:val="0"/>
            <w:pageBreakBefore w:val="0"/>
            <w:widowControl/>
            <w:kinsoku/>
            <w:wordWrap/>
            <w:overflowPunct/>
            <w:topLinePunct w:val="0"/>
            <w:autoSpaceDE/>
            <w:autoSpaceDN/>
            <w:bidi w:val="0"/>
            <w:adjustRightInd/>
            <w:snapToGrid/>
            <w:spacing w:line="360" w:lineRule="exact"/>
            <w:textAlignment w:val="auto"/>
          </w:pPr>
          <w:r>
            <w:rPr>
              <w:b/>
              <w:sz w:val="24"/>
              <w:szCs w:val="24"/>
            </w:rPr>
            <w:fldChar w:fldCharType="end"/>
          </w:r>
        </w:p>
      </w:sdtContent>
    </w:sdt>
    <w:p>
      <w:pPr>
        <w:pStyle w:val="17"/>
        <w:keepNext w:val="0"/>
        <w:keepLines w:val="0"/>
        <w:widowControl/>
        <w:suppressLineNumbers w:val="0"/>
        <w:spacing w:before="0" w:beforeAutospacing="0"/>
        <w:ind w:left="0"/>
        <w:jc w:val="center"/>
        <w:rPr>
          <w:rStyle w:val="25"/>
          <w:rFonts w:hint="eastAsia" w:ascii="宋体" w:hAnsi="宋体" w:eastAsia="宋体" w:cs="宋体"/>
          <w:bCs/>
          <w:color w:val="000000" w:themeColor="text1"/>
          <w:kern w:val="0"/>
          <w:sz w:val="32"/>
          <w:szCs w:val="32"/>
          <w:shd w:val="clear" w:fill="FFFFFF"/>
          <w:lang w:val="en-US" w:eastAsia="zh-CN" w:bidi="ar"/>
          <w14:textFill>
            <w14:solidFill>
              <w14:schemeClr w14:val="tx1"/>
            </w14:solidFill>
          </w14:textFill>
        </w:rPr>
      </w:pPr>
      <w:bookmarkStart w:id="0" w:name="_Toc5848"/>
      <w:r>
        <w:rPr>
          <w:rStyle w:val="25"/>
          <w:rFonts w:hint="eastAsia" w:ascii="宋体" w:hAnsi="宋体" w:eastAsia="宋体" w:cs="宋体"/>
          <w:bCs/>
          <w:color w:val="000000" w:themeColor="text1"/>
          <w:kern w:val="0"/>
          <w:sz w:val="32"/>
          <w:szCs w:val="32"/>
          <w:shd w:val="clear" w:fill="FFFFFF"/>
          <w:lang w:val="en-US" w:eastAsia="zh-CN" w:bidi="ar"/>
          <w14:textFill>
            <w14:solidFill>
              <w14:schemeClr w14:val="tx1"/>
            </w14:solidFill>
          </w14:textFill>
        </w:rPr>
        <w:t>第一部分</w:t>
      </w:r>
      <w:r>
        <w:rPr>
          <w:rStyle w:val="25"/>
          <w:rFonts w:hint="default" w:ascii="宋体" w:hAnsi="宋体" w:eastAsia="宋体" w:cs="宋体"/>
          <w:bCs/>
          <w:color w:val="000000" w:themeColor="text1"/>
          <w:kern w:val="0"/>
          <w:sz w:val="32"/>
          <w:szCs w:val="32"/>
          <w:shd w:val="clear" w:fill="FFFFFF"/>
          <w:lang w:val="en-US" w:eastAsia="zh-CN" w:bidi="ar"/>
          <w14:textFill>
            <w14:solidFill>
              <w14:schemeClr w14:val="tx1"/>
            </w14:solidFill>
          </w14:textFill>
        </w:rPr>
        <w:t xml:space="preserve"> </w:t>
      </w:r>
      <w:r>
        <w:rPr>
          <w:rStyle w:val="25"/>
          <w:rFonts w:hint="eastAsia" w:ascii="宋体" w:hAnsi="宋体" w:eastAsia="宋体" w:cs="宋体"/>
          <w:bCs/>
          <w:color w:val="000000" w:themeColor="text1"/>
          <w:kern w:val="0"/>
          <w:sz w:val="32"/>
          <w:szCs w:val="32"/>
          <w:shd w:val="clear" w:fill="FFFFFF"/>
          <w:lang w:val="en-US" w:eastAsia="zh-CN" w:bidi="ar"/>
          <w14:textFill>
            <w14:solidFill>
              <w14:schemeClr w14:val="tx1"/>
            </w14:solidFill>
          </w14:textFill>
        </w:rPr>
        <w:t xml:space="preserve">   部门概况</w:t>
      </w:r>
      <w:bookmarkEnd w:id="0"/>
    </w:p>
    <w:p>
      <w:pPr>
        <w:pStyle w:val="17"/>
        <w:keepNext w:val="0"/>
        <w:keepLines w:val="0"/>
        <w:pageBreakBefore w:val="0"/>
        <w:widowControl/>
        <w:suppressLineNumbers w:val="0"/>
        <w:kinsoku/>
        <w:wordWrap/>
        <w:overflowPunct/>
        <w:topLinePunct w:val="0"/>
        <w:autoSpaceDN/>
        <w:bidi w:val="0"/>
        <w:adjustRightInd/>
        <w:snapToGrid/>
        <w:spacing w:before="0" w:beforeAutospacing="0" w:afterAutospacing="0" w:line="576" w:lineRule="exact"/>
        <w:ind w:left="0" w:firstLine="643" w:firstLineChars="200"/>
        <w:jc w:val="left"/>
        <w:textAlignment w:val="auto"/>
        <w:outlineLvl w:val="1"/>
        <w:rPr>
          <w:rFonts w:hint="eastAsia" w:ascii="黑体" w:hAnsi="黑体" w:eastAsia="黑体" w:cs="黑体"/>
          <w:kern w:val="0"/>
          <w:sz w:val="32"/>
          <w:szCs w:val="32"/>
        </w:rPr>
      </w:pPr>
      <w:bookmarkStart w:id="1" w:name="_Toc31842"/>
      <w:bookmarkStart w:id="2" w:name="_Toc11380"/>
      <w:r>
        <w:rPr>
          <w:rStyle w:val="25"/>
          <w:rFonts w:hint="eastAsia" w:ascii="黑体" w:hAnsi="黑体" w:eastAsia="黑体" w:cs="黑体"/>
          <w:b/>
          <w:sz w:val="32"/>
          <w:szCs w:val="32"/>
          <w:shd w:val="clear" w:fill="FFFFFF"/>
        </w:rPr>
        <w:t>一、基本职能及主要工作</w:t>
      </w:r>
      <w:bookmarkEnd w:id="1"/>
      <w:bookmarkEnd w:id="2"/>
    </w:p>
    <w:p>
      <w:pPr>
        <w:pStyle w:val="17"/>
        <w:keepNext w:val="0"/>
        <w:keepLines w:val="0"/>
        <w:pageBreakBefore w:val="0"/>
        <w:widowControl/>
        <w:suppressLineNumbers w:val="0"/>
        <w:kinsoku/>
        <w:wordWrap/>
        <w:overflowPunct/>
        <w:topLinePunct w:val="0"/>
        <w:autoSpaceDN/>
        <w:bidi w:val="0"/>
        <w:adjustRightInd/>
        <w:snapToGrid/>
        <w:spacing w:before="0" w:beforeAutospacing="0" w:afterAutospacing="0" w:line="576" w:lineRule="exact"/>
        <w:ind w:left="0" w:firstLine="643" w:firstLineChars="200"/>
        <w:jc w:val="both"/>
        <w:textAlignment w:val="auto"/>
        <w:outlineLvl w:val="2"/>
        <w:rPr>
          <w:rFonts w:hint="eastAsia" w:ascii="楷体_GB2312" w:hAnsi="楷体_GB2312" w:eastAsia="楷体_GB2312" w:cs="楷体_GB2312"/>
          <w:b/>
          <w:bCs/>
          <w:kern w:val="0"/>
          <w:sz w:val="32"/>
          <w:szCs w:val="32"/>
        </w:rPr>
      </w:pPr>
      <w:bookmarkStart w:id="3" w:name="_Toc22681"/>
      <w:r>
        <w:rPr>
          <w:rFonts w:hint="eastAsia" w:ascii="楷体_GB2312" w:hAnsi="楷体_GB2312" w:eastAsia="楷体_GB2312" w:cs="楷体_GB2312"/>
          <w:b/>
          <w:bCs/>
          <w:kern w:val="0"/>
          <w:sz w:val="32"/>
          <w:szCs w:val="32"/>
          <w:shd w:val="clear" w:fill="FFFFFF"/>
        </w:rPr>
        <w:t>（一）主要职能。</w:t>
      </w:r>
      <w:bookmarkEnd w:id="3"/>
    </w:p>
    <w:p>
      <w:pPr>
        <w:keepNext w:val="0"/>
        <w:keepLines w:val="0"/>
        <w:pageBreakBefore w:val="0"/>
        <w:widowControl/>
        <w:suppressLineNumbers w:val="0"/>
        <w:kinsoku/>
        <w:wordWrap/>
        <w:overflowPunct/>
        <w:topLinePunct w:val="0"/>
        <w:autoSpaceDN/>
        <w:bidi w:val="0"/>
        <w:adjustRightInd/>
        <w:snapToGrid/>
        <w:spacing w:afterAutospacing="0" w:line="576" w:lineRule="exact"/>
        <w:ind w:firstLine="640" w:firstLineChars="200"/>
        <w:jc w:val="both"/>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w:t>
      </w:r>
      <w:r>
        <w:rPr>
          <w:rFonts w:hint="eastAsia" w:ascii="仿宋_GB2312" w:hAnsi="仿宋_GB2312" w:eastAsia="仿宋_GB2312" w:cs="仿宋_GB2312"/>
          <w:kern w:val="2"/>
          <w:sz w:val="32"/>
          <w:szCs w:val="32"/>
          <w:lang w:val="en-US" w:eastAsia="zh-CN"/>
        </w:rPr>
        <w:t>1</w:t>
      </w:r>
      <w:r>
        <w:rPr>
          <w:rFonts w:hint="eastAsia" w:ascii="仿宋_GB2312" w:hAnsi="仿宋_GB2312" w:eastAsia="仿宋_GB2312" w:cs="仿宋_GB2312"/>
          <w:kern w:val="2"/>
          <w:sz w:val="32"/>
          <w:szCs w:val="32"/>
        </w:rPr>
        <w:t>）负责党和国家领导人（含曾经担任）、省委、省人大、省政府、省政协副省级以上、州委、州人大、州政府、州政协副厅级领导（含曾经但任）来县的服务保障。</w:t>
      </w:r>
    </w:p>
    <w:p>
      <w:pPr>
        <w:keepNext w:val="0"/>
        <w:keepLines w:val="0"/>
        <w:pageBreakBefore w:val="0"/>
        <w:widowControl/>
        <w:suppressLineNumbers w:val="0"/>
        <w:kinsoku/>
        <w:wordWrap/>
        <w:overflowPunct/>
        <w:topLinePunct w:val="0"/>
        <w:autoSpaceDN/>
        <w:bidi w:val="0"/>
        <w:adjustRightInd/>
        <w:snapToGrid/>
        <w:spacing w:afterAutospacing="0" w:line="576" w:lineRule="exact"/>
        <w:ind w:firstLine="640" w:firstLineChars="200"/>
        <w:jc w:val="both"/>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w:t>
      </w:r>
      <w:r>
        <w:rPr>
          <w:rFonts w:hint="eastAsia" w:ascii="仿宋_GB2312" w:hAnsi="仿宋_GB2312" w:eastAsia="仿宋_GB2312" w:cs="仿宋_GB2312"/>
          <w:kern w:val="2"/>
          <w:sz w:val="32"/>
          <w:szCs w:val="32"/>
          <w:lang w:val="en-US" w:eastAsia="zh-CN"/>
        </w:rPr>
        <w:t>2</w:t>
      </w:r>
      <w:r>
        <w:rPr>
          <w:rFonts w:hint="eastAsia" w:ascii="仿宋_GB2312" w:hAnsi="仿宋_GB2312" w:eastAsia="仿宋_GB2312" w:cs="仿宋_GB2312"/>
          <w:kern w:val="2"/>
          <w:sz w:val="32"/>
          <w:szCs w:val="32"/>
        </w:rPr>
        <w:t>）按照有关规定负责和参与党中央、国务院、省委、省政府、州委、州政府巡视、检查、督查（督导、督察）、考察、调研、考核、审计等工作组来县的服务保障。</w:t>
      </w:r>
    </w:p>
    <w:p>
      <w:pPr>
        <w:keepNext w:val="0"/>
        <w:keepLines w:val="0"/>
        <w:pageBreakBefore w:val="0"/>
        <w:widowControl/>
        <w:suppressLineNumbers w:val="0"/>
        <w:kinsoku/>
        <w:wordWrap/>
        <w:overflowPunct/>
        <w:topLinePunct w:val="0"/>
        <w:autoSpaceDN/>
        <w:bidi w:val="0"/>
        <w:adjustRightInd/>
        <w:snapToGrid/>
        <w:spacing w:afterAutospacing="0" w:line="576" w:lineRule="exact"/>
        <w:ind w:firstLine="640" w:firstLineChars="200"/>
        <w:jc w:val="both"/>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w:t>
      </w:r>
      <w:r>
        <w:rPr>
          <w:rFonts w:hint="eastAsia" w:ascii="仿宋_GB2312" w:hAnsi="仿宋_GB2312" w:eastAsia="仿宋_GB2312" w:cs="仿宋_GB2312"/>
          <w:kern w:val="2"/>
          <w:sz w:val="32"/>
          <w:szCs w:val="32"/>
          <w:lang w:val="en-US" w:eastAsia="zh-CN"/>
        </w:rPr>
        <w:t>3</w:t>
      </w:r>
      <w:r>
        <w:rPr>
          <w:rFonts w:hint="eastAsia" w:ascii="仿宋_GB2312" w:hAnsi="仿宋_GB2312" w:eastAsia="仿宋_GB2312" w:cs="仿宋_GB2312"/>
          <w:kern w:val="2"/>
          <w:sz w:val="32"/>
          <w:szCs w:val="32"/>
        </w:rPr>
        <w:t>）负责外省（州、市、区、县）党委、政府正、副县级领导干部来县的服务保障；会同县级有关部门承担中央和国家机关各部委正、副部级领导干部、省委、省政府正、副省级、州委、州政府领导干部来县的服务保障；参与县人大常委会办公室、县政协办公室牵头对口接待正、副厅级领导干部来县的服务保障。</w:t>
      </w:r>
    </w:p>
    <w:p>
      <w:pPr>
        <w:keepNext w:val="0"/>
        <w:keepLines w:val="0"/>
        <w:pageBreakBefore w:val="0"/>
        <w:widowControl/>
        <w:suppressLineNumbers w:val="0"/>
        <w:kinsoku/>
        <w:wordWrap/>
        <w:overflowPunct/>
        <w:topLinePunct w:val="0"/>
        <w:autoSpaceDN/>
        <w:bidi w:val="0"/>
        <w:adjustRightInd/>
        <w:snapToGrid/>
        <w:spacing w:afterAutospacing="0" w:line="576" w:lineRule="exact"/>
        <w:ind w:firstLine="640" w:firstLineChars="200"/>
        <w:jc w:val="both"/>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w:t>
      </w:r>
      <w:r>
        <w:rPr>
          <w:rFonts w:hint="eastAsia" w:ascii="仿宋_GB2312" w:hAnsi="仿宋_GB2312" w:eastAsia="仿宋_GB2312" w:cs="仿宋_GB2312"/>
          <w:kern w:val="2"/>
          <w:sz w:val="32"/>
          <w:szCs w:val="32"/>
          <w:lang w:val="en-US" w:eastAsia="zh-CN"/>
        </w:rPr>
        <w:t>4</w:t>
      </w:r>
      <w:r>
        <w:rPr>
          <w:rFonts w:hint="eastAsia" w:ascii="仿宋_GB2312" w:hAnsi="仿宋_GB2312" w:eastAsia="仿宋_GB2312" w:cs="仿宋_GB2312"/>
          <w:kern w:val="2"/>
          <w:sz w:val="32"/>
          <w:szCs w:val="32"/>
        </w:rPr>
        <w:t>）负责或参与外省（州、市、区、县）党政代表团来县考察的协调联络和服务保障。</w:t>
      </w:r>
    </w:p>
    <w:p>
      <w:pPr>
        <w:keepNext w:val="0"/>
        <w:keepLines w:val="0"/>
        <w:pageBreakBefore w:val="0"/>
        <w:widowControl/>
        <w:suppressLineNumbers w:val="0"/>
        <w:kinsoku/>
        <w:wordWrap/>
        <w:overflowPunct/>
        <w:topLinePunct w:val="0"/>
        <w:autoSpaceDN/>
        <w:bidi w:val="0"/>
        <w:adjustRightInd/>
        <w:snapToGrid/>
        <w:spacing w:afterAutospacing="0" w:line="576" w:lineRule="exact"/>
        <w:ind w:firstLine="640" w:firstLineChars="200"/>
        <w:jc w:val="both"/>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w:t>
      </w:r>
      <w:r>
        <w:rPr>
          <w:rFonts w:hint="eastAsia" w:ascii="仿宋_GB2312" w:hAnsi="仿宋_GB2312" w:eastAsia="仿宋_GB2312" w:cs="仿宋_GB2312"/>
          <w:kern w:val="2"/>
          <w:sz w:val="32"/>
          <w:szCs w:val="32"/>
          <w:lang w:val="en-US" w:eastAsia="zh-CN"/>
        </w:rPr>
        <w:t>5</w:t>
      </w:r>
      <w:r>
        <w:rPr>
          <w:rFonts w:hint="eastAsia" w:ascii="仿宋_GB2312" w:hAnsi="仿宋_GB2312" w:eastAsia="仿宋_GB2312" w:cs="仿宋_GB2312"/>
          <w:kern w:val="2"/>
          <w:sz w:val="32"/>
          <w:szCs w:val="32"/>
        </w:rPr>
        <w:t>）负责我县党政代表团赴外省（州、市、区、县）考察的协调联络和服务保障。</w:t>
      </w:r>
    </w:p>
    <w:p>
      <w:pPr>
        <w:keepNext w:val="0"/>
        <w:keepLines w:val="0"/>
        <w:pageBreakBefore w:val="0"/>
        <w:widowControl/>
        <w:suppressLineNumbers w:val="0"/>
        <w:kinsoku/>
        <w:wordWrap/>
        <w:overflowPunct/>
        <w:topLinePunct w:val="0"/>
        <w:autoSpaceDN/>
        <w:bidi w:val="0"/>
        <w:adjustRightInd/>
        <w:snapToGrid/>
        <w:spacing w:afterAutospacing="0" w:line="576" w:lineRule="exact"/>
        <w:ind w:firstLine="640" w:firstLineChars="200"/>
        <w:jc w:val="both"/>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w:t>
      </w:r>
      <w:r>
        <w:rPr>
          <w:rFonts w:hint="eastAsia" w:ascii="仿宋_GB2312" w:hAnsi="仿宋_GB2312" w:eastAsia="仿宋_GB2312" w:cs="仿宋_GB2312"/>
          <w:kern w:val="2"/>
          <w:sz w:val="32"/>
          <w:szCs w:val="32"/>
          <w:lang w:val="en-US" w:eastAsia="zh-CN"/>
        </w:rPr>
        <w:t>6</w:t>
      </w:r>
      <w:r>
        <w:rPr>
          <w:rFonts w:hint="eastAsia" w:ascii="仿宋_GB2312" w:hAnsi="仿宋_GB2312" w:eastAsia="仿宋_GB2312" w:cs="仿宋_GB2312"/>
          <w:kern w:val="2"/>
          <w:sz w:val="32"/>
          <w:szCs w:val="32"/>
        </w:rPr>
        <w:t>）负责县委、县政府交办的由县公务服务中心承担的外事接待和招商引资事项的服务保障。</w:t>
      </w:r>
    </w:p>
    <w:p>
      <w:pPr>
        <w:keepNext w:val="0"/>
        <w:keepLines w:val="0"/>
        <w:pageBreakBefore w:val="0"/>
        <w:widowControl/>
        <w:suppressLineNumbers w:val="0"/>
        <w:kinsoku/>
        <w:wordWrap/>
        <w:overflowPunct/>
        <w:topLinePunct w:val="0"/>
        <w:autoSpaceDN/>
        <w:bidi w:val="0"/>
        <w:adjustRightInd/>
        <w:snapToGrid/>
        <w:spacing w:afterAutospacing="0" w:line="576" w:lineRule="exact"/>
        <w:ind w:firstLine="640" w:firstLineChars="200"/>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w:t>
      </w:r>
      <w:r>
        <w:rPr>
          <w:rFonts w:hint="eastAsia" w:ascii="仿宋_GB2312" w:hAnsi="仿宋_GB2312" w:eastAsia="仿宋_GB2312" w:cs="仿宋_GB2312"/>
          <w:kern w:val="2"/>
          <w:sz w:val="32"/>
          <w:szCs w:val="32"/>
          <w:lang w:val="en-US" w:eastAsia="zh-CN"/>
        </w:rPr>
        <w:t>7</w:t>
      </w:r>
      <w:r>
        <w:rPr>
          <w:rFonts w:hint="eastAsia" w:ascii="仿宋_GB2312" w:hAnsi="仿宋_GB2312" w:eastAsia="仿宋_GB2312" w:cs="仿宋_GB2312"/>
          <w:kern w:val="2"/>
          <w:sz w:val="32"/>
          <w:szCs w:val="32"/>
        </w:rPr>
        <w:t>）按照中央八项规定和省委、省政府十项规定及其实施细则要求，负责联系协调县级有关部门及关联单位承办州委、州政府重大公务活动的服务工作。</w:t>
      </w:r>
    </w:p>
    <w:p>
      <w:pPr>
        <w:keepNext w:val="0"/>
        <w:keepLines w:val="0"/>
        <w:pageBreakBefore w:val="0"/>
        <w:widowControl/>
        <w:suppressLineNumbers w:val="0"/>
        <w:kinsoku/>
        <w:wordWrap/>
        <w:overflowPunct/>
        <w:topLinePunct w:val="0"/>
        <w:autoSpaceDN/>
        <w:bidi w:val="0"/>
        <w:adjustRightInd/>
        <w:snapToGrid/>
        <w:spacing w:afterAutospacing="0" w:line="576" w:lineRule="exact"/>
        <w:ind w:firstLine="640" w:firstLineChars="200"/>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w:t>
      </w:r>
      <w:r>
        <w:rPr>
          <w:rFonts w:hint="eastAsia" w:ascii="仿宋_GB2312" w:hAnsi="仿宋_GB2312" w:eastAsia="仿宋_GB2312" w:cs="仿宋_GB2312"/>
          <w:kern w:val="2"/>
          <w:sz w:val="32"/>
          <w:szCs w:val="32"/>
          <w:lang w:val="en-US" w:eastAsia="zh-CN"/>
        </w:rPr>
        <w:t>8</w:t>
      </w:r>
      <w:r>
        <w:rPr>
          <w:rFonts w:hint="eastAsia" w:ascii="仿宋_GB2312" w:hAnsi="仿宋_GB2312" w:eastAsia="仿宋_GB2312" w:cs="仿宋_GB2312"/>
          <w:kern w:val="2"/>
          <w:sz w:val="32"/>
          <w:szCs w:val="32"/>
        </w:rPr>
        <w:t>）会同县级有关部门承担县委、县政府交办的大型会议、活动的接待服务保障工作。</w:t>
      </w:r>
    </w:p>
    <w:p>
      <w:pPr>
        <w:keepNext w:val="0"/>
        <w:keepLines w:val="0"/>
        <w:pageBreakBefore w:val="0"/>
        <w:widowControl/>
        <w:suppressLineNumbers w:val="0"/>
        <w:kinsoku/>
        <w:wordWrap/>
        <w:overflowPunct/>
        <w:topLinePunct w:val="0"/>
        <w:autoSpaceDN/>
        <w:bidi w:val="0"/>
        <w:adjustRightInd/>
        <w:snapToGrid/>
        <w:spacing w:afterAutospacing="0" w:line="576" w:lineRule="exact"/>
        <w:ind w:firstLine="640" w:firstLineChars="200"/>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w:t>
      </w:r>
      <w:r>
        <w:rPr>
          <w:rFonts w:hint="eastAsia" w:ascii="仿宋_GB2312" w:hAnsi="仿宋_GB2312" w:eastAsia="仿宋_GB2312" w:cs="仿宋_GB2312"/>
          <w:kern w:val="2"/>
          <w:sz w:val="32"/>
          <w:szCs w:val="32"/>
          <w:lang w:val="en-US" w:eastAsia="zh-CN"/>
        </w:rPr>
        <w:t>9</w:t>
      </w:r>
      <w:r>
        <w:rPr>
          <w:rFonts w:hint="eastAsia" w:ascii="仿宋_GB2312" w:hAnsi="仿宋_GB2312" w:eastAsia="仿宋_GB2312" w:cs="仿宋_GB2312"/>
          <w:kern w:val="2"/>
          <w:sz w:val="32"/>
          <w:szCs w:val="32"/>
        </w:rPr>
        <w:t>）指导县级部门的公务活动服务保障工作，参与拟订全县公务服务相关规定。</w:t>
      </w:r>
    </w:p>
    <w:p>
      <w:pPr>
        <w:keepNext w:val="0"/>
        <w:keepLines w:val="0"/>
        <w:pageBreakBefore w:val="0"/>
        <w:widowControl/>
        <w:suppressLineNumbers w:val="0"/>
        <w:kinsoku/>
        <w:wordWrap/>
        <w:overflowPunct/>
        <w:topLinePunct w:val="0"/>
        <w:autoSpaceDN/>
        <w:bidi w:val="0"/>
        <w:adjustRightInd/>
        <w:snapToGrid/>
        <w:spacing w:afterAutospacing="0" w:line="576" w:lineRule="exact"/>
        <w:ind w:firstLine="640" w:firstLineChars="200"/>
        <w:textAlignment w:val="auto"/>
        <w:rPr>
          <w:rFonts w:hint="eastAsia" w:ascii="仿宋_GB2312" w:hAnsi="仿宋_GB2312" w:eastAsia="仿宋_GB2312" w:cs="仿宋_GB2312"/>
          <w:spacing w:val="-11"/>
          <w:kern w:val="2"/>
          <w:sz w:val="32"/>
          <w:szCs w:val="32"/>
        </w:rPr>
      </w:pPr>
      <w:r>
        <w:rPr>
          <w:rFonts w:hint="eastAsia" w:ascii="仿宋_GB2312" w:hAnsi="仿宋_GB2312" w:eastAsia="仿宋_GB2312" w:cs="仿宋_GB2312"/>
          <w:kern w:val="2"/>
          <w:sz w:val="32"/>
          <w:szCs w:val="32"/>
        </w:rPr>
        <w:t>（</w:t>
      </w:r>
      <w:r>
        <w:rPr>
          <w:rFonts w:hint="eastAsia" w:ascii="仿宋_GB2312" w:hAnsi="仿宋_GB2312" w:eastAsia="仿宋_GB2312" w:cs="仿宋_GB2312"/>
          <w:kern w:val="2"/>
          <w:sz w:val="32"/>
          <w:szCs w:val="32"/>
          <w:lang w:val="en-US" w:eastAsia="zh-CN"/>
        </w:rPr>
        <w:t>10</w:t>
      </w:r>
      <w:r>
        <w:rPr>
          <w:rFonts w:hint="eastAsia" w:ascii="仿宋_GB2312" w:hAnsi="仿宋_GB2312" w:eastAsia="仿宋_GB2312" w:cs="仿宋_GB2312"/>
          <w:kern w:val="2"/>
          <w:sz w:val="32"/>
          <w:szCs w:val="32"/>
        </w:rPr>
        <w:t>）</w:t>
      </w:r>
      <w:r>
        <w:rPr>
          <w:rFonts w:hint="eastAsia" w:ascii="仿宋_GB2312" w:hAnsi="仿宋_GB2312" w:eastAsia="仿宋_GB2312" w:cs="仿宋_GB2312"/>
          <w:spacing w:val="-11"/>
          <w:kern w:val="2"/>
          <w:sz w:val="32"/>
          <w:szCs w:val="32"/>
        </w:rPr>
        <w:t xml:space="preserve">负责办理中办警卫局、省警卫局安排的有关在县事务。    </w:t>
      </w:r>
    </w:p>
    <w:p>
      <w:pPr>
        <w:keepNext w:val="0"/>
        <w:keepLines w:val="0"/>
        <w:pageBreakBefore w:val="0"/>
        <w:widowControl/>
        <w:suppressLineNumbers w:val="0"/>
        <w:kinsoku/>
        <w:wordWrap/>
        <w:overflowPunct/>
        <w:topLinePunct w:val="0"/>
        <w:autoSpaceDN/>
        <w:bidi w:val="0"/>
        <w:adjustRightInd/>
        <w:snapToGrid/>
        <w:spacing w:afterAutospacing="0" w:line="576" w:lineRule="exact"/>
        <w:ind w:firstLine="640" w:firstLineChars="200"/>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w:t>
      </w:r>
      <w:r>
        <w:rPr>
          <w:rFonts w:hint="eastAsia" w:ascii="仿宋_GB2312" w:hAnsi="仿宋_GB2312" w:eastAsia="仿宋_GB2312" w:cs="仿宋_GB2312"/>
          <w:kern w:val="2"/>
          <w:sz w:val="32"/>
          <w:szCs w:val="32"/>
          <w:lang w:val="en-US" w:eastAsia="zh-CN"/>
        </w:rPr>
        <w:t>11</w:t>
      </w:r>
      <w:r>
        <w:rPr>
          <w:rFonts w:hint="eastAsia" w:ascii="仿宋_GB2312" w:hAnsi="仿宋_GB2312" w:eastAsia="仿宋_GB2312" w:cs="仿宋_GB2312"/>
          <w:kern w:val="2"/>
          <w:sz w:val="32"/>
          <w:szCs w:val="32"/>
        </w:rPr>
        <w:t>）负责县级机关食堂管理工作。</w:t>
      </w:r>
    </w:p>
    <w:p>
      <w:pPr>
        <w:keepNext w:val="0"/>
        <w:keepLines w:val="0"/>
        <w:pageBreakBefore w:val="0"/>
        <w:widowControl/>
        <w:suppressLineNumbers w:val="0"/>
        <w:kinsoku/>
        <w:wordWrap/>
        <w:overflowPunct/>
        <w:topLinePunct w:val="0"/>
        <w:autoSpaceDN/>
        <w:bidi w:val="0"/>
        <w:adjustRightInd/>
        <w:snapToGrid/>
        <w:spacing w:afterAutospacing="0" w:line="576" w:lineRule="exact"/>
        <w:ind w:firstLine="640" w:firstLineChars="200"/>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w:t>
      </w:r>
      <w:r>
        <w:rPr>
          <w:rFonts w:hint="eastAsia" w:ascii="仿宋_GB2312" w:hAnsi="仿宋_GB2312" w:eastAsia="仿宋_GB2312" w:cs="仿宋_GB2312"/>
          <w:kern w:val="2"/>
          <w:sz w:val="32"/>
          <w:szCs w:val="32"/>
          <w:lang w:val="en-US" w:eastAsia="zh-CN"/>
        </w:rPr>
        <w:t>12</w:t>
      </w:r>
      <w:r>
        <w:rPr>
          <w:rFonts w:hint="eastAsia" w:ascii="仿宋_GB2312" w:hAnsi="仿宋_GB2312" w:eastAsia="仿宋_GB2312" w:cs="仿宋_GB2312"/>
          <w:kern w:val="2"/>
          <w:sz w:val="32"/>
          <w:szCs w:val="32"/>
        </w:rPr>
        <w:t>）完成县委、县政府交办的其他任务。</w:t>
      </w:r>
    </w:p>
    <w:p>
      <w:pPr>
        <w:pStyle w:val="17"/>
        <w:keepNext w:val="0"/>
        <w:keepLines w:val="0"/>
        <w:pageBreakBefore w:val="0"/>
        <w:widowControl/>
        <w:suppressLineNumbers w:val="0"/>
        <w:kinsoku/>
        <w:wordWrap/>
        <w:overflowPunct/>
        <w:topLinePunct w:val="0"/>
        <w:autoSpaceDN/>
        <w:bidi w:val="0"/>
        <w:adjustRightInd/>
        <w:snapToGrid/>
        <w:spacing w:before="0" w:beforeAutospacing="0" w:afterAutospacing="0" w:line="576" w:lineRule="exact"/>
        <w:ind w:left="0" w:firstLine="643" w:firstLineChars="200"/>
        <w:jc w:val="left"/>
        <w:textAlignment w:val="auto"/>
        <w:outlineLvl w:val="2"/>
        <w:rPr>
          <w:rFonts w:hint="eastAsia"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 xml:space="preserve"> </w:t>
      </w:r>
      <w:bookmarkStart w:id="4" w:name="_Toc16496"/>
      <w:r>
        <w:rPr>
          <w:rFonts w:hint="eastAsia" w:ascii="楷体_GB2312" w:hAnsi="楷体_GB2312" w:eastAsia="楷体_GB2312" w:cs="楷体_GB2312"/>
          <w:b/>
          <w:bCs/>
          <w:kern w:val="0"/>
          <w:sz w:val="32"/>
          <w:szCs w:val="32"/>
          <w:shd w:val="clear" w:fill="FFFFFF"/>
        </w:rPr>
        <w:t>（二）2020年重点工作完成情况。</w:t>
      </w:r>
      <w:bookmarkEnd w:id="4"/>
    </w:p>
    <w:p>
      <w:pPr>
        <w:keepNext w:val="0"/>
        <w:keepLines w:val="0"/>
        <w:pageBreakBefore w:val="0"/>
        <w:widowControl/>
        <w:suppressLineNumbers w:val="0"/>
        <w:kinsoku/>
        <w:wordWrap/>
        <w:overflowPunct/>
        <w:topLinePunct w:val="0"/>
        <w:autoSpaceDE w:val="0"/>
        <w:autoSpaceDN/>
        <w:bidi w:val="0"/>
        <w:adjustRightInd/>
        <w:snapToGrid/>
        <w:spacing w:afterAutospacing="0" w:line="576" w:lineRule="exact"/>
        <w:ind w:right="0" w:rightChars="0" w:firstLine="640" w:firstLineChars="200"/>
        <w:jc w:val="both"/>
        <w:textAlignment w:val="auto"/>
        <w:rPr>
          <w:rFonts w:hint="eastAsia" w:ascii="仿宋_GB2312" w:hAnsi="仿宋_GB2312" w:eastAsia="仿宋_GB2312" w:cs="仿宋_GB2312"/>
          <w:b w:val="0"/>
          <w:kern w:val="2"/>
          <w:sz w:val="32"/>
          <w:szCs w:val="32"/>
        </w:rPr>
      </w:pPr>
      <w:r>
        <w:rPr>
          <w:rStyle w:val="22"/>
          <w:rFonts w:hint="eastAsia" w:ascii="仿宋_GB2312" w:hAnsi="仿宋_GB2312" w:eastAsia="仿宋_GB2312" w:cs="仿宋_GB2312"/>
          <w:b w:val="0"/>
          <w:kern w:val="2"/>
          <w:sz w:val="32"/>
          <w:szCs w:val="32"/>
        </w:rPr>
        <w:t>高效完成各类保障任务。建立“部门牵头、密切配合、协作联动”的工作机制，加强与牵头部门、来宾单位以及接待酒店、宾馆的沟通衔接，增强工作衔接度；全年共计接待733批次，高效有序的完成了国务院森林草原防灭火督导组、中宣部媒体采访团、国家统计局检查组、国家林业和草原局林产规划调研组、国家林业和草原局草原生态补偿调研组、新华社中国经济信息社调研组、国家农业机械化协会等16批次国家级调研组后勤服务保障工作；完成了省纪委调研组、省政协调研组、省政法委调研组、省维护藏区稳定指挥部调研组等60批次省部级后勤服务保障工作；完成了浙江省永嘉县、青海省泽库县、久治县考察组、河南省社科院调研组等14批次省外后勤服务保障工作；完成了州委调研组、州人大常委会调研组、州政府“控辍保学”教育督导组、州政府维稳督导组、州森林草原防灭火专项督导组等166批次后勤服务保障工作。</w:t>
      </w:r>
    </w:p>
    <w:p>
      <w:pPr>
        <w:pStyle w:val="17"/>
        <w:keepNext w:val="0"/>
        <w:keepLines w:val="0"/>
        <w:pageBreakBefore w:val="0"/>
        <w:widowControl/>
        <w:suppressLineNumbers w:val="0"/>
        <w:kinsoku/>
        <w:wordWrap/>
        <w:overflowPunct/>
        <w:topLinePunct w:val="0"/>
        <w:autoSpaceDN/>
        <w:bidi w:val="0"/>
        <w:adjustRightInd/>
        <w:snapToGrid/>
        <w:spacing w:before="0" w:beforeAutospacing="0" w:afterAutospacing="0" w:line="576" w:lineRule="exact"/>
        <w:ind w:left="0" w:firstLine="643" w:firstLineChars="200"/>
        <w:jc w:val="left"/>
        <w:textAlignment w:val="auto"/>
        <w:outlineLvl w:val="1"/>
        <w:rPr>
          <w:rFonts w:hint="eastAsia" w:ascii="黑体" w:hAnsi="黑体" w:eastAsia="黑体" w:cs="黑体"/>
          <w:kern w:val="0"/>
          <w:sz w:val="32"/>
          <w:szCs w:val="32"/>
        </w:rPr>
      </w:pPr>
      <w:bookmarkStart w:id="5" w:name="_Toc20573"/>
      <w:bookmarkStart w:id="6" w:name="_Toc27625"/>
      <w:r>
        <w:rPr>
          <w:rStyle w:val="25"/>
          <w:rFonts w:hint="eastAsia" w:ascii="黑体" w:hAnsi="黑体" w:eastAsia="黑体" w:cs="黑体"/>
          <w:b/>
          <w:sz w:val="32"/>
          <w:szCs w:val="32"/>
          <w:shd w:val="clear" w:fill="FFFFFF"/>
        </w:rPr>
        <w:t>二、机构设置</w:t>
      </w:r>
      <w:bookmarkEnd w:id="5"/>
      <w:bookmarkEnd w:id="6"/>
    </w:p>
    <w:p>
      <w:pPr>
        <w:pStyle w:val="17"/>
        <w:keepNext w:val="0"/>
        <w:keepLines w:val="0"/>
        <w:pageBreakBefore w:val="0"/>
        <w:widowControl/>
        <w:suppressLineNumbers w:val="0"/>
        <w:kinsoku/>
        <w:wordWrap/>
        <w:overflowPunct/>
        <w:topLinePunct w:val="0"/>
        <w:autoSpaceDN/>
        <w:bidi w:val="0"/>
        <w:adjustRightInd/>
        <w:snapToGrid/>
        <w:spacing w:before="0" w:beforeAutospacing="0" w:afterAutospacing="0" w:line="576" w:lineRule="exact"/>
        <w:ind w:left="0" w:firstLine="640" w:firstLineChars="2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shd w:val="clear" w:fill="FFFFFF"/>
        </w:rPr>
        <w:t>阿坝州红原县机关事务管理局无下属二级单位</w:t>
      </w:r>
    </w:p>
    <w:p>
      <w:pPr>
        <w:pStyle w:val="17"/>
        <w:keepNext w:val="0"/>
        <w:keepLines w:val="0"/>
        <w:pageBreakBefore w:val="0"/>
        <w:widowControl/>
        <w:suppressLineNumbers w:val="0"/>
        <w:kinsoku/>
        <w:wordWrap/>
        <w:overflowPunct/>
        <w:topLinePunct w:val="0"/>
        <w:autoSpaceDN/>
        <w:bidi w:val="0"/>
        <w:adjustRightInd/>
        <w:snapToGrid/>
        <w:spacing w:before="0" w:beforeAutospacing="0" w:afterAutospacing="0" w:line="576" w:lineRule="exact"/>
        <w:ind w:left="0" w:firstLine="643" w:firstLineChars="200"/>
        <w:jc w:val="center"/>
        <w:textAlignment w:val="auto"/>
        <w:outlineLvl w:val="0"/>
        <w:rPr>
          <w:rFonts w:hint="eastAsia" w:ascii="宋体" w:hAnsi="宋体" w:eastAsia="宋体" w:cs="宋体"/>
          <w:b/>
          <w:bCs w:val="0"/>
          <w:kern w:val="0"/>
          <w:sz w:val="32"/>
          <w:szCs w:val="32"/>
        </w:rPr>
      </w:pPr>
      <w:bookmarkStart w:id="7" w:name="_Toc30516"/>
      <w:bookmarkStart w:id="8" w:name="_Toc31257"/>
      <w:r>
        <w:rPr>
          <w:rStyle w:val="25"/>
          <w:rFonts w:hint="eastAsia" w:ascii="宋体" w:hAnsi="宋体" w:eastAsia="宋体" w:cs="宋体"/>
          <w:b/>
          <w:bCs w:val="0"/>
          <w:sz w:val="32"/>
          <w:szCs w:val="32"/>
          <w:shd w:val="clear" w:fill="FFFFFF"/>
        </w:rPr>
        <w:t xml:space="preserve">第二部分 </w:t>
      </w:r>
      <w:r>
        <w:rPr>
          <w:rStyle w:val="25"/>
          <w:rFonts w:hint="eastAsia" w:ascii="宋体" w:hAnsi="宋体" w:eastAsia="宋体" w:cs="宋体"/>
          <w:b/>
          <w:bCs w:val="0"/>
          <w:sz w:val="32"/>
          <w:szCs w:val="32"/>
          <w:shd w:val="clear" w:fill="FFFFFF"/>
          <w:lang w:val="en-US" w:eastAsia="zh-CN"/>
        </w:rPr>
        <w:t xml:space="preserve">  </w:t>
      </w:r>
      <w:r>
        <w:rPr>
          <w:rStyle w:val="25"/>
          <w:rFonts w:hint="eastAsia" w:ascii="宋体" w:hAnsi="宋体" w:eastAsia="宋体" w:cs="宋体"/>
          <w:b/>
          <w:bCs w:val="0"/>
          <w:sz w:val="32"/>
          <w:szCs w:val="32"/>
          <w:shd w:val="clear" w:fill="FFFFFF"/>
        </w:rPr>
        <w:t>2020年度部门决算情况说明</w:t>
      </w:r>
      <w:bookmarkEnd w:id="7"/>
      <w:bookmarkEnd w:id="8"/>
      <w:r>
        <w:rPr>
          <w:rFonts w:hint="eastAsia" w:ascii="宋体" w:hAnsi="宋体" w:eastAsia="宋体" w:cs="宋体"/>
          <w:b/>
          <w:bCs w:val="0"/>
          <w:kern w:val="0"/>
          <w:sz w:val="32"/>
          <w:szCs w:val="32"/>
          <w:shd w:val="clear" w:fill="FFFFFF"/>
        </w:rPr>
        <w:t xml:space="preserve"> </w:t>
      </w:r>
    </w:p>
    <w:p>
      <w:pPr>
        <w:pStyle w:val="17"/>
        <w:keepNext w:val="0"/>
        <w:keepLines w:val="0"/>
        <w:pageBreakBefore w:val="0"/>
        <w:widowControl/>
        <w:suppressLineNumbers w:val="0"/>
        <w:kinsoku/>
        <w:wordWrap/>
        <w:overflowPunct/>
        <w:topLinePunct w:val="0"/>
        <w:autoSpaceDN/>
        <w:bidi w:val="0"/>
        <w:adjustRightInd/>
        <w:snapToGrid/>
        <w:spacing w:before="0" w:beforeAutospacing="0" w:afterAutospacing="0" w:line="576" w:lineRule="exact"/>
        <w:ind w:left="0" w:firstLine="643" w:firstLineChars="200"/>
        <w:jc w:val="left"/>
        <w:textAlignment w:val="auto"/>
        <w:outlineLvl w:val="1"/>
        <w:rPr>
          <w:rFonts w:hint="eastAsia" w:ascii="黑体" w:hAnsi="黑体" w:eastAsia="黑体" w:cs="黑体"/>
          <w:kern w:val="0"/>
          <w:sz w:val="32"/>
          <w:szCs w:val="32"/>
        </w:rPr>
      </w:pPr>
      <w:bookmarkStart w:id="9" w:name="_Toc18464"/>
      <w:bookmarkStart w:id="10" w:name="_Toc12653"/>
      <w:r>
        <w:rPr>
          <w:rStyle w:val="25"/>
          <w:rFonts w:hint="eastAsia" w:ascii="黑体" w:hAnsi="黑体" w:eastAsia="黑体" w:cs="黑体"/>
          <w:b/>
          <w:sz w:val="32"/>
          <w:szCs w:val="32"/>
          <w:shd w:val="clear" w:fill="FFFFFF"/>
        </w:rPr>
        <w:t>一、 收入支出决算总体情况说明</w:t>
      </w:r>
      <w:bookmarkEnd w:id="9"/>
      <w:bookmarkEnd w:id="10"/>
    </w:p>
    <w:p>
      <w:pPr>
        <w:pStyle w:val="17"/>
        <w:keepNext w:val="0"/>
        <w:keepLines w:val="0"/>
        <w:pageBreakBefore w:val="0"/>
        <w:widowControl/>
        <w:suppressLineNumbers w:val="0"/>
        <w:kinsoku/>
        <w:wordWrap/>
        <w:overflowPunct/>
        <w:topLinePunct w:val="0"/>
        <w:autoSpaceDN/>
        <w:bidi w:val="0"/>
        <w:adjustRightInd/>
        <w:snapToGrid/>
        <w:spacing w:before="0" w:beforeAutospacing="0" w:afterAutospacing="0" w:line="576" w:lineRule="exact"/>
        <w:ind w:left="0" w:firstLine="640" w:firstLineChars="200"/>
        <w:jc w:val="left"/>
        <w:textAlignment w:val="auto"/>
        <w:rPr>
          <w:rFonts w:hint="eastAsia" w:ascii="仿宋_GB2312" w:hAnsi="仿宋_GB2312" w:eastAsia="仿宋_GB2312" w:cs="仿宋_GB2312"/>
          <w:kern w:val="0"/>
          <w:sz w:val="32"/>
          <w:szCs w:val="32"/>
          <w:shd w:val="clear" w:fill="FFFFFF"/>
          <w:lang w:val="en-US" w:eastAsia="zh-CN"/>
        </w:rPr>
      </w:pPr>
      <w:r>
        <w:rPr>
          <w:rFonts w:hint="eastAsia" w:ascii="仿宋_GB2312" w:hAnsi="仿宋_GB2312" w:eastAsia="仿宋_GB2312" w:cs="仿宋_GB2312"/>
          <w:color w:val="000000"/>
          <w:sz w:val="32"/>
          <w:szCs w:val="32"/>
          <w:lang w:eastAsia="zh-CN"/>
        </w:rPr>
        <w:drawing>
          <wp:anchor distT="0" distB="0" distL="114300" distR="114300" simplePos="0" relativeHeight="251659264" behindDoc="0" locked="0" layoutInCell="1" allowOverlap="1">
            <wp:simplePos x="0" y="0"/>
            <wp:positionH relativeFrom="column">
              <wp:posOffset>40640</wp:posOffset>
            </wp:positionH>
            <wp:positionV relativeFrom="paragraph">
              <wp:posOffset>1554480</wp:posOffset>
            </wp:positionV>
            <wp:extent cx="5480050" cy="3183890"/>
            <wp:effectExtent l="4445" t="4445" r="20955" b="12065"/>
            <wp:wrapTopAndBottom/>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r>
        <w:rPr>
          <w:rFonts w:hint="eastAsia" w:ascii="仿宋_GB2312" w:hAnsi="仿宋_GB2312" w:eastAsia="仿宋_GB2312" w:cs="仿宋_GB2312"/>
          <w:kern w:val="0"/>
          <w:sz w:val="32"/>
          <w:szCs w:val="32"/>
          <w:shd w:val="clear" w:fill="FFFFFF"/>
        </w:rPr>
        <w:t>2020年度收</w:t>
      </w:r>
      <w:r>
        <w:rPr>
          <w:rFonts w:hint="eastAsia" w:ascii="仿宋_GB2312" w:hAnsi="仿宋_GB2312" w:eastAsia="仿宋_GB2312" w:cs="仿宋_GB2312"/>
          <w:kern w:val="0"/>
          <w:sz w:val="32"/>
          <w:szCs w:val="32"/>
          <w:shd w:val="clear" w:fill="FFFFFF"/>
          <w:lang w:eastAsia="zh-CN"/>
        </w:rPr>
        <w:t>入总计</w:t>
      </w:r>
      <w:r>
        <w:rPr>
          <w:rFonts w:hint="eastAsia" w:ascii="仿宋_GB2312" w:hAnsi="仿宋_GB2312" w:eastAsia="仿宋_GB2312" w:cs="仿宋_GB2312"/>
          <w:kern w:val="0"/>
          <w:sz w:val="32"/>
          <w:szCs w:val="32"/>
          <w:shd w:val="clear" w:fill="FFFFFF"/>
          <w:lang w:val="en-US" w:eastAsia="zh-CN"/>
        </w:rPr>
        <w:t>429.28万元</w:t>
      </w:r>
      <w:r>
        <w:rPr>
          <w:rFonts w:hint="eastAsia" w:ascii="仿宋_GB2312" w:hAnsi="仿宋_GB2312" w:eastAsia="仿宋_GB2312" w:cs="仿宋_GB2312"/>
          <w:kern w:val="0"/>
          <w:sz w:val="32"/>
          <w:szCs w:val="32"/>
          <w:shd w:val="clear" w:fill="FFFFFF"/>
        </w:rPr>
        <w:t>、支</w:t>
      </w:r>
      <w:r>
        <w:rPr>
          <w:rFonts w:hint="eastAsia" w:ascii="仿宋_GB2312" w:hAnsi="仿宋_GB2312" w:eastAsia="仿宋_GB2312" w:cs="仿宋_GB2312"/>
          <w:kern w:val="0"/>
          <w:sz w:val="32"/>
          <w:szCs w:val="32"/>
          <w:shd w:val="clear" w:fill="FFFFFF"/>
          <w:lang w:eastAsia="zh-CN"/>
        </w:rPr>
        <w:t>出</w:t>
      </w:r>
      <w:r>
        <w:rPr>
          <w:rFonts w:hint="eastAsia" w:ascii="仿宋_GB2312" w:hAnsi="仿宋_GB2312" w:eastAsia="仿宋_GB2312" w:cs="仿宋_GB2312"/>
          <w:kern w:val="0"/>
          <w:sz w:val="32"/>
          <w:szCs w:val="32"/>
          <w:shd w:val="clear" w:fill="FFFFFF"/>
        </w:rPr>
        <w:t>总计429.28万元。与2019年相比，收</w:t>
      </w:r>
      <w:r>
        <w:rPr>
          <w:rFonts w:hint="eastAsia" w:ascii="仿宋_GB2312" w:hAnsi="仿宋_GB2312" w:eastAsia="仿宋_GB2312" w:cs="仿宋_GB2312"/>
          <w:kern w:val="0"/>
          <w:sz w:val="32"/>
          <w:szCs w:val="32"/>
          <w:shd w:val="clear" w:fill="FFFFFF"/>
          <w:lang w:eastAsia="zh-CN"/>
        </w:rPr>
        <w:t>入总计减少</w:t>
      </w:r>
      <w:r>
        <w:rPr>
          <w:rFonts w:hint="eastAsia" w:ascii="仿宋_GB2312" w:hAnsi="仿宋_GB2312" w:eastAsia="仿宋_GB2312" w:cs="仿宋_GB2312"/>
          <w:kern w:val="0"/>
          <w:sz w:val="32"/>
          <w:szCs w:val="32"/>
          <w:shd w:val="clear" w:fill="FFFFFF"/>
          <w:lang w:val="en-US" w:eastAsia="zh-CN"/>
        </w:rPr>
        <w:t>119.45万元，减少21.77%</w:t>
      </w:r>
      <w:r>
        <w:rPr>
          <w:rFonts w:hint="eastAsia" w:ascii="仿宋_GB2312" w:hAnsi="仿宋_GB2312" w:eastAsia="仿宋_GB2312" w:cs="仿宋_GB2312"/>
          <w:kern w:val="0"/>
          <w:sz w:val="32"/>
          <w:szCs w:val="32"/>
          <w:shd w:val="clear" w:fill="FFFFFF"/>
          <w:lang w:eastAsia="zh-CN"/>
        </w:rPr>
        <w:t>，主要变动原因是</w:t>
      </w:r>
      <w:r>
        <w:rPr>
          <w:rFonts w:hint="eastAsia" w:ascii="仿宋_GB2312" w:hAnsi="仿宋_GB2312" w:eastAsia="仿宋_GB2312" w:cs="仿宋_GB2312"/>
          <w:kern w:val="0"/>
          <w:sz w:val="32"/>
          <w:szCs w:val="32"/>
          <w:shd w:val="clear" w:fill="FFFFFF"/>
          <w:lang w:val="en-US" w:eastAsia="zh-CN"/>
        </w:rPr>
        <w:t>2020年度项目减少。支出</w:t>
      </w:r>
      <w:r>
        <w:rPr>
          <w:rFonts w:hint="eastAsia" w:ascii="仿宋_GB2312" w:hAnsi="仿宋_GB2312" w:eastAsia="仿宋_GB2312" w:cs="仿宋_GB2312"/>
          <w:kern w:val="0"/>
          <w:sz w:val="32"/>
          <w:szCs w:val="32"/>
          <w:shd w:val="clear" w:fill="FFFFFF"/>
        </w:rPr>
        <w:t>总计</w:t>
      </w:r>
      <w:r>
        <w:rPr>
          <w:rFonts w:hint="eastAsia" w:ascii="仿宋_GB2312" w:hAnsi="仿宋_GB2312" w:eastAsia="仿宋_GB2312" w:cs="仿宋_GB2312"/>
          <w:kern w:val="0"/>
          <w:sz w:val="32"/>
          <w:szCs w:val="32"/>
          <w:shd w:val="clear" w:fill="FFFFFF"/>
          <w:lang w:eastAsia="zh-CN"/>
        </w:rPr>
        <w:t>减少</w:t>
      </w:r>
      <w:r>
        <w:rPr>
          <w:rFonts w:hint="eastAsia" w:ascii="仿宋_GB2312" w:hAnsi="仿宋_GB2312" w:eastAsia="仿宋_GB2312" w:cs="仿宋_GB2312"/>
          <w:kern w:val="0"/>
          <w:sz w:val="32"/>
          <w:szCs w:val="32"/>
          <w:shd w:val="clear" w:fill="FFFFFF"/>
        </w:rPr>
        <w:t>119.45万元，</w:t>
      </w:r>
      <w:r>
        <w:rPr>
          <w:rFonts w:hint="eastAsia" w:ascii="仿宋_GB2312" w:hAnsi="仿宋_GB2312" w:eastAsia="仿宋_GB2312" w:cs="仿宋_GB2312"/>
          <w:kern w:val="0"/>
          <w:sz w:val="32"/>
          <w:szCs w:val="32"/>
          <w:shd w:val="clear" w:fill="FFFFFF"/>
          <w:lang w:eastAsia="zh-CN"/>
        </w:rPr>
        <w:t>减少</w:t>
      </w:r>
      <w:r>
        <w:rPr>
          <w:rFonts w:hint="eastAsia" w:ascii="仿宋_GB2312" w:hAnsi="仿宋_GB2312" w:eastAsia="仿宋_GB2312" w:cs="仿宋_GB2312"/>
          <w:kern w:val="0"/>
          <w:sz w:val="32"/>
          <w:szCs w:val="32"/>
          <w:shd w:val="clear" w:fill="FFFFFF"/>
        </w:rPr>
        <w:t>21.77%。</w:t>
      </w:r>
      <w:r>
        <w:rPr>
          <w:rFonts w:hint="eastAsia" w:ascii="仿宋_GB2312" w:hAnsi="仿宋_GB2312" w:eastAsia="仿宋_GB2312" w:cs="仿宋_GB2312"/>
          <w:kern w:val="0"/>
          <w:sz w:val="32"/>
          <w:szCs w:val="32"/>
          <w:shd w:val="clear" w:fill="FFFFFF"/>
          <w:lang w:eastAsia="zh-CN"/>
        </w:rPr>
        <w:t>主要变动原因是</w:t>
      </w:r>
      <w:r>
        <w:rPr>
          <w:rFonts w:hint="eastAsia" w:ascii="仿宋_GB2312" w:hAnsi="仿宋_GB2312" w:eastAsia="仿宋_GB2312" w:cs="仿宋_GB2312"/>
          <w:kern w:val="0"/>
          <w:sz w:val="32"/>
          <w:szCs w:val="32"/>
          <w:shd w:val="clear" w:fill="FFFFFF"/>
          <w:lang w:val="en-US" w:eastAsia="zh-CN"/>
        </w:rPr>
        <w:t>2020年度项目减少</w:t>
      </w:r>
    </w:p>
    <w:p>
      <w:pPr>
        <w:pStyle w:val="17"/>
        <w:keepNext w:val="0"/>
        <w:keepLines w:val="0"/>
        <w:widowControl/>
        <w:suppressLineNumbers w:val="0"/>
        <w:spacing w:before="0" w:beforeAutospacing="0"/>
        <w:ind w:left="0"/>
        <w:jc w:val="center"/>
        <w:rPr>
          <w:rFonts w:hint="eastAsia" w:ascii="宋体" w:hAnsi="宋体" w:eastAsia="宋体" w:cs="宋体"/>
          <w:kern w:val="0"/>
          <w:sz w:val="24"/>
          <w:szCs w:val="24"/>
        </w:rPr>
      </w:pPr>
      <w:r>
        <w:rPr>
          <w:rFonts w:hint="eastAsia" w:ascii="宋体" w:hAnsi="宋体" w:eastAsia="宋体" w:cs="宋体"/>
          <w:kern w:val="0"/>
          <w:sz w:val="24"/>
          <w:szCs w:val="24"/>
          <w:shd w:val="clear" w:fill="FFFFFF"/>
        </w:rPr>
        <w:t>（图1：收、支决算总计变动情况图）（柱状图）</w:t>
      </w:r>
    </w:p>
    <w:p>
      <w:pPr>
        <w:pStyle w:val="17"/>
        <w:keepNext w:val="0"/>
        <w:keepLines w:val="0"/>
        <w:pageBreakBefore w:val="0"/>
        <w:widowControl/>
        <w:suppressLineNumbers w:val="0"/>
        <w:kinsoku/>
        <w:wordWrap/>
        <w:overflowPunct/>
        <w:topLinePunct w:val="0"/>
        <w:autoSpaceDE/>
        <w:autoSpaceDN/>
        <w:bidi w:val="0"/>
        <w:adjustRightInd/>
        <w:snapToGrid/>
        <w:spacing w:before="0" w:beforeAutospacing="0" w:afterAutospacing="0"/>
        <w:ind w:left="0" w:firstLine="643" w:firstLineChars="200"/>
        <w:jc w:val="left"/>
        <w:textAlignment w:val="auto"/>
        <w:outlineLvl w:val="1"/>
        <w:rPr>
          <w:rFonts w:hint="eastAsia" w:ascii="黑体" w:hAnsi="黑体" w:eastAsia="黑体" w:cs="黑体"/>
          <w:kern w:val="0"/>
          <w:sz w:val="32"/>
          <w:szCs w:val="32"/>
        </w:rPr>
      </w:pPr>
      <w:bookmarkStart w:id="11" w:name="_Toc26914"/>
      <w:bookmarkStart w:id="12" w:name="_Toc20237"/>
      <w:r>
        <w:rPr>
          <w:rStyle w:val="25"/>
          <w:rFonts w:hint="eastAsia" w:ascii="黑体" w:hAnsi="黑体" w:eastAsia="黑体" w:cs="黑体"/>
          <w:b/>
          <w:sz w:val="32"/>
          <w:szCs w:val="32"/>
          <w:shd w:val="clear" w:fill="FFFFFF"/>
        </w:rPr>
        <w:t>二、收入决算情况说明</w:t>
      </w:r>
      <w:bookmarkEnd w:id="11"/>
      <w:bookmarkEnd w:id="12"/>
    </w:p>
    <w:p>
      <w:pPr>
        <w:pStyle w:val="17"/>
        <w:keepNext w:val="0"/>
        <w:keepLines w:val="0"/>
        <w:pageBreakBefore w:val="0"/>
        <w:widowControl/>
        <w:suppressLineNumbers w:val="0"/>
        <w:kinsoku/>
        <w:wordWrap/>
        <w:overflowPunct/>
        <w:topLinePunct w:val="0"/>
        <w:autoSpaceDE/>
        <w:autoSpaceDN/>
        <w:bidi w:val="0"/>
        <w:adjustRightInd/>
        <w:snapToGrid/>
        <w:spacing w:before="0" w:beforeAutospacing="0" w:afterAutospacing="0"/>
        <w:ind w:left="0" w:firstLine="640" w:firstLineChars="200"/>
        <w:jc w:val="both"/>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shd w:val="clear" w:fill="FFFFFF"/>
        </w:rPr>
        <w:t>2020年本年收入合计351.56万元，其中：一般公共预算财政拨款收入351.56万元，占 100.00%；政府性基金预算财政拨款收入0.00万元，占 0.00%；国有资本经营预算财政拨款收入0.00万元，占 0.00%;上级补助收入0.00万元，占 0.00%；事业收入0.00万元，占 0.00%；经营收入0.00万元，占 0.00%；附属单位上缴收入0.00万元，占 0.00%；其他收入0.00万元，占 0.00%。</w:t>
      </w:r>
    </w:p>
    <w:p>
      <w:pPr>
        <w:pStyle w:val="17"/>
        <w:keepNext w:val="0"/>
        <w:keepLines w:val="0"/>
        <w:widowControl/>
        <w:suppressLineNumbers w:val="0"/>
        <w:spacing w:before="0" w:beforeAutospacing="0"/>
        <w:ind w:left="0"/>
        <w:jc w:val="center"/>
        <w:rPr>
          <w:rFonts w:hint="eastAsia" w:ascii="宋体" w:hAnsi="宋体" w:eastAsia="宋体" w:cs="宋体"/>
          <w:kern w:val="0"/>
          <w:sz w:val="24"/>
          <w:szCs w:val="24"/>
        </w:rPr>
      </w:pPr>
      <w:r>
        <w:rPr>
          <w:rFonts w:hint="eastAsia" w:ascii="仿宋_GB2312" w:hAnsi="仿宋_GB2312" w:eastAsia="仿宋_GB2312" w:cs="仿宋_GB2312"/>
          <w:color w:val="FF0000"/>
          <w:sz w:val="32"/>
          <w:szCs w:val="32"/>
          <w:lang w:eastAsia="zh-CN"/>
        </w:rPr>
        <w:drawing>
          <wp:anchor distT="0" distB="0" distL="114300" distR="114300" simplePos="0" relativeHeight="251660288" behindDoc="0" locked="0" layoutInCell="1" allowOverlap="1">
            <wp:simplePos x="0" y="0"/>
            <wp:positionH relativeFrom="column">
              <wp:posOffset>258445</wp:posOffset>
            </wp:positionH>
            <wp:positionV relativeFrom="paragraph">
              <wp:posOffset>102235</wp:posOffset>
            </wp:positionV>
            <wp:extent cx="5419090" cy="3308985"/>
            <wp:effectExtent l="4445" t="4445" r="5715" b="20320"/>
            <wp:wrapTopAndBottom/>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r>
        <w:rPr>
          <w:rFonts w:hint="eastAsia" w:ascii="宋体" w:hAnsi="宋体" w:eastAsia="宋体" w:cs="宋体"/>
          <w:kern w:val="0"/>
          <w:sz w:val="24"/>
          <w:szCs w:val="24"/>
          <w:shd w:val="clear" w:fill="FFFFFF"/>
        </w:rPr>
        <w:t>（图2：收入决算结构图）（饼状图）</w:t>
      </w:r>
    </w:p>
    <w:p>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ind w:left="0" w:firstLine="643" w:firstLineChars="200"/>
        <w:jc w:val="left"/>
        <w:textAlignment w:val="auto"/>
        <w:outlineLvl w:val="1"/>
        <w:rPr>
          <w:rFonts w:hint="eastAsia" w:ascii="黑体" w:hAnsi="黑体" w:eastAsia="黑体" w:cs="黑体"/>
          <w:kern w:val="0"/>
          <w:sz w:val="32"/>
          <w:szCs w:val="32"/>
        </w:rPr>
      </w:pPr>
      <w:bookmarkStart w:id="13" w:name="_Toc18376"/>
      <w:bookmarkStart w:id="14" w:name="_Toc17972"/>
      <w:r>
        <w:rPr>
          <w:rStyle w:val="25"/>
          <w:rFonts w:hint="eastAsia" w:ascii="黑体" w:hAnsi="黑体" w:eastAsia="黑体" w:cs="黑体"/>
          <w:b/>
          <w:sz w:val="32"/>
          <w:szCs w:val="32"/>
          <w:shd w:val="clear" w:fill="FFFFFF"/>
        </w:rPr>
        <w:t>三、支出决算情况说明</w:t>
      </w:r>
      <w:bookmarkEnd w:id="13"/>
      <w:bookmarkEnd w:id="14"/>
    </w:p>
    <w:p>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ind w:left="0" w:firstLine="640" w:firstLineChars="200"/>
        <w:jc w:val="both"/>
        <w:textAlignment w:val="auto"/>
        <w:rPr>
          <w:rFonts w:hint="eastAsia" w:ascii="仿宋_GB2312" w:hAnsi="仿宋_GB2312" w:eastAsia="仿宋_GB2312" w:cs="仿宋_GB2312"/>
          <w:kern w:val="0"/>
          <w:sz w:val="32"/>
          <w:szCs w:val="32"/>
          <w:shd w:val="clear" w:fill="FFFFFF"/>
        </w:rPr>
      </w:pPr>
      <w:r>
        <w:rPr>
          <w:rFonts w:hint="eastAsia" w:ascii="仿宋_GB2312" w:hAnsi="仿宋_GB2312" w:eastAsia="仿宋_GB2312" w:cs="仿宋_GB2312"/>
          <w:kern w:val="0"/>
          <w:sz w:val="32"/>
          <w:szCs w:val="32"/>
          <w:shd w:val="clear" w:fill="FFFFFF"/>
        </w:rPr>
        <w:t>2020年本年支出合计419.28万元，其中：基本支出225.05万元，占 53.68%；项目支出194.23万元，占 46.32%；上缴上级支出0.00万元，占 0.00%；经营支出0.00万元，占 0.00%；对附属单位补助支出0.00万元，占 0.00%。</w:t>
      </w:r>
    </w:p>
    <w:p>
      <w:pPr>
        <w:pStyle w:val="17"/>
        <w:keepNext w:val="0"/>
        <w:keepLines w:val="0"/>
        <w:widowControl/>
        <w:suppressLineNumbers w:val="0"/>
        <w:spacing w:before="0" w:beforeAutospacing="0"/>
        <w:ind w:left="0"/>
        <w:jc w:val="center"/>
        <w:rPr>
          <w:rFonts w:hint="eastAsia" w:ascii="宋体" w:hAnsi="宋体" w:eastAsia="宋体" w:cs="宋体"/>
          <w:kern w:val="0"/>
          <w:sz w:val="24"/>
          <w:szCs w:val="24"/>
        </w:rPr>
      </w:pPr>
      <w:r>
        <w:rPr>
          <w:rFonts w:hint="eastAsia" w:ascii="仿宋" w:hAnsi="仿宋" w:eastAsia="仿宋"/>
          <w:color w:val="000000" w:themeColor="text1"/>
          <w:sz w:val="32"/>
          <w:szCs w:val="32"/>
          <w14:textFill>
            <w14:solidFill>
              <w14:schemeClr w14:val="tx1"/>
            </w14:solidFill>
          </w14:textFill>
        </w:rPr>
        <w:drawing>
          <wp:anchor distT="0" distB="0" distL="114300" distR="114300" simplePos="0" relativeHeight="251661312" behindDoc="0" locked="0" layoutInCell="1" allowOverlap="1">
            <wp:simplePos x="0" y="0"/>
            <wp:positionH relativeFrom="column">
              <wp:posOffset>396240</wp:posOffset>
            </wp:positionH>
            <wp:positionV relativeFrom="paragraph">
              <wp:posOffset>200025</wp:posOffset>
            </wp:positionV>
            <wp:extent cx="4567555" cy="2261870"/>
            <wp:effectExtent l="4445" t="4445" r="19050" b="19685"/>
            <wp:wrapTopAndBottom/>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Pr>
          <w:rFonts w:hint="eastAsia" w:ascii="宋体" w:hAnsi="宋体" w:eastAsia="宋体" w:cs="宋体"/>
          <w:kern w:val="0"/>
          <w:sz w:val="24"/>
          <w:szCs w:val="24"/>
          <w:shd w:val="clear" w:fill="FFFFFF"/>
        </w:rPr>
        <w:t>（图3：支出决算结构图）（饼状图）</w:t>
      </w:r>
    </w:p>
    <w:p>
      <w:pPr>
        <w:pStyle w:val="17"/>
        <w:keepNext w:val="0"/>
        <w:keepLines w:val="0"/>
        <w:pageBreakBefore w:val="0"/>
        <w:widowControl w:val="0"/>
        <w:suppressLineNumbers w:val="0"/>
        <w:tabs>
          <w:tab w:val="left" w:pos="557"/>
        </w:tabs>
        <w:kinsoku/>
        <w:wordWrap/>
        <w:overflowPunct/>
        <w:topLinePunct w:val="0"/>
        <w:autoSpaceDE/>
        <w:autoSpaceDN/>
        <w:bidi w:val="0"/>
        <w:adjustRightInd/>
        <w:snapToGrid/>
        <w:spacing w:before="0" w:beforeAutospacing="0" w:afterAutospacing="0"/>
        <w:ind w:left="0" w:firstLine="643" w:firstLineChars="200"/>
        <w:jc w:val="left"/>
        <w:textAlignment w:val="auto"/>
        <w:outlineLvl w:val="1"/>
        <w:rPr>
          <w:rFonts w:hint="eastAsia" w:ascii="黑体" w:hAnsi="黑体" w:eastAsia="黑体" w:cs="黑体"/>
          <w:kern w:val="0"/>
          <w:sz w:val="32"/>
          <w:szCs w:val="32"/>
        </w:rPr>
      </w:pPr>
      <w:bookmarkStart w:id="15" w:name="_Toc15464"/>
      <w:bookmarkStart w:id="16" w:name="_Toc21366"/>
      <w:r>
        <w:rPr>
          <w:rStyle w:val="25"/>
          <w:rFonts w:hint="eastAsia" w:ascii="黑体" w:hAnsi="黑体" w:eastAsia="黑体" w:cs="黑体"/>
          <w:b/>
          <w:sz w:val="32"/>
          <w:szCs w:val="32"/>
          <w:shd w:val="clear" w:fill="FFFFFF"/>
        </w:rPr>
        <w:t>四、财政拨款收入支出决算总体情况说明</w:t>
      </w:r>
      <w:bookmarkEnd w:id="15"/>
      <w:bookmarkEnd w:id="16"/>
    </w:p>
    <w:p>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ind w:left="0" w:firstLine="640" w:firstLineChars="200"/>
        <w:jc w:val="left"/>
        <w:textAlignment w:val="auto"/>
        <w:rPr>
          <w:rFonts w:hint="eastAsia" w:ascii="仿宋_GB2312" w:hAnsi="仿宋_GB2312" w:eastAsia="仿宋_GB2312" w:cs="仿宋_GB2312"/>
          <w:kern w:val="0"/>
          <w:sz w:val="32"/>
          <w:szCs w:val="32"/>
          <w:shd w:val="clear" w:fill="FFFFFF"/>
          <w:lang w:eastAsia="zh-CN"/>
        </w:rPr>
      </w:pPr>
      <w:r>
        <w:rPr>
          <w:rFonts w:hint="eastAsia" w:ascii="仿宋_GB2312" w:hAnsi="仿宋_GB2312" w:eastAsia="仿宋_GB2312" w:cs="仿宋_GB2312"/>
          <w:kern w:val="0"/>
          <w:sz w:val="32"/>
          <w:szCs w:val="32"/>
          <w:shd w:val="clear" w:fill="FFFFFF"/>
        </w:rPr>
        <w:t>2020年财政拨款收</w:t>
      </w:r>
      <w:r>
        <w:rPr>
          <w:rFonts w:hint="eastAsia" w:ascii="仿宋_GB2312" w:hAnsi="仿宋_GB2312" w:eastAsia="仿宋_GB2312" w:cs="仿宋_GB2312"/>
          <w:kern w:val="0"/>
          <w:sz w:val="32"/>
          <w:szCs w:val="32"/>
          <w:shd w:val="clear" w:fill="FFFFFF"/>
          <w:lang w:eastAsia="zh-CN"/>
        </w:rPr>
        <w:t>入总计</w:t>
      </w:r>
      <w:r>
        <w:rPr>
          <w:rFonts w:hint="eastAsia" w:ascii="仿宋_GB2312" w:hAnsi="仿宋_GB2312" w:eastAsia="仿宋_GB2312" w:cs="仿宋_GB2312"/>
          <w:kern w:val="0"/>
          <w:sz w:val="32"/>
          <w:szCs w:val="32"/>
          <w:shd w:val="clear" w:fill="FFFFFF"/>
          <w:lang w:val="en-US" w:eastAsia="zh-CN"/>
        </w:rPr>
        <w:t>351.56万元，与2019年相比，财政拨款收入总计减少10%。</w:t>
      </w:r>
      <w:r>
        <w:rPr>
          <w:rFonts w:hint="eastAsia" w:ascii="仿宋_GB2312" w:hAnsi="仿宋_GB2312" w:eastAsia="仿宋_GB2312" w:cs="仿宋_GB2312"/>
          <w:kern w:val="0"/>
          <w:sz w:val="32"/>
          <w:szCs w:val="32"/>
          <w:shd w:val="clear" w:fill="FFFFFF"/>
        </w:rPr>
        <w:t>支</w:t>
      </w:r>
      <w:r>
        <w:rPr>
          <w:rFonts w:hint="eastAsia" w:ascii="仿宋_GB2312" w:hAnsi="仿宋_GB2312" w:eastAsia="仿宋_GB2312" w:cs="仿宋_GB2312"/>
          <w:kern w:val="0"/>
          <w:sz w:val="32"/>
          <w:szCs w:val="32"/>
          <w:shd w:val="clear" w:fill="FFFFFF"/>
          <w:lang w:eastAsia="zh-CN"/>
        </w:rPr>
        <w:t>出</w:t>
      </w:r>
      <w:r>
        <w:rPr>
          <w:rFonts w:hint="eastAsia" w:ascii="仿宋_GB2312" w:hAnsi="仿宋_GB2312" w:eastAsia="仿宋_GB2312" w:cs="仿宋_GB2312"/>
          <w:kern w:val="0"/>
          <w:sz w:val="32"/>
          <w:szCs w:val="32"/>
          <w:shd w:val="clear" w:fill="FFFFFF"/>
        </w:rPr>
        <w:t>总计</w:t>
      </w:r>
      <w:r>
        <w:rPr>
          <w:rFonts w:hint="eastAsia" w:ascii="仿宋_GB2312" w:hAnsi="仿宋_GB2312" w:eastAsia="仿宋_GB2312" w:cs="仿宋_GB2312"/>
          <w:kern w:val="0"/>
          <w:sz w:val="32"/>
          <w:szCs w:val="32"/>
          <w:shd w:val="clear" w:fill="FFFFFF"/>
          <w:lang w:val="en-US" w:eastAsia="zh-CN"/>
        </w:rPr>
        <w:t>419.28</w:t>
      </w:r>
      <w:r>
        <w:rPr>
          <w:rFonts w:hint="eastAsia" w:ascii="仿宋_GB2312" w:hAnsi="仿宋_GB2312" w:eastAsia="仿宋_GB2312" w:cs="仿宋_GB2312"/>
          <w:kern w:val="0"/>
          <w:sz w:val="32"/>
          <w:szCs w:val="32"/>
          <w:shd w:val="clear" w:fill="FFFFFF"/>
        </w:rPr>
        <w:t>万元</w:t>
      </w:r>
      <w:r>
        <w:rPr>
          <w:rFonts w:hint="eastAsia" w:ascii="仿宋_GB2312" w:hAnsi="仿宋_GB2312" w:eastAsia="仿宋_GB2312" w:cs="仿宋_GB2312"/>
          <w:kern w:val="0"/>
          <w:sz w:val="32"/>
          <w:szCs w:val="32"/>
          <w:shd w:val="clear" w:fill="FFFFFF"/>
          <w:lang w:eastAsia="zh-CN"/>
        </w:rPr>
        <w:t>，</w:t>
      </w:r>
      <w:r>
        <w:rPr>
          <w:rFonts w:hint="eastAsia" w:ascii="仿宋_GB2312" w:hAnsi="仿宋_GB2312" w:eastAsia="仿宋_GB2312" w:cs="仿宋_GB2312"/>
          <w:kern w:val="0"/>
          <w:sz w:val="32"/>
          <w:szCs w:val="32"/>
          <w:shd w:val="clear" w:fill="FFFFFF"/>
        </w:rPr>
        <w:t>与2019年相比，财政拨款支</w:t>
      </w:r>
      <w:r>
        <w:rPr>
          <w:rFonts w:hint="eastAsia" w:ascii="仿宋_GB2312" w:hAnsi="仿宋_GB2312" w:eastAsia="仿宋_GB2312" w:cs="仿宋_GB2312"/>
          <w:kern w:val="0"/>
          <w:sz w:val="32"/>
          <w:szCs w:val="32"/>
          <w:shd w:val="clear" w:fill="FFFFFF"/>
          <w:lang w:eastAsia="zh-CN"/>
        </w:rPr>
        <w:t>出</w:t>
      </w:r>
      <w:r>
        <w:rPr>
          <w:rFonts w:hint="eastAsia" w:ascii="仿宋_GB2312" w:hAnsi="仿宋_GB2312" w:eastAsia="仿宋_GB2312" w:cs="仿宋_GB2312"/>
          <w:kern w:val="0"/>
          <w:sz w:val="32"/>
          <w:szCs w:val="32"/>
          <w:shd w:val="clear" w:fill="FFFFFF"/>
        </w:rPr>
        <w:t>总计</w:t>
      </w:r>
      <w:r>
        <w:rPr>
          <w:rFonts w:hint="eastAsia" w:ascii="仿宋_GB2312" w:hAnsi="仿宋_GB2312" w:eastAsia="仿宋_GB2312" w:cs="仿宋_GB2312"/>
          <w:kern w:val="0"/>
          <w:sz w:val="32"/>
          <w:szCs w:val="32"/>
          <w:shd w:val="clear" w:fill="FFFFFF"/>
          <w:lang w:eastAsia="zh-CN"/>
        </w:rPr>
        <w:t>减少</w:t>
      </w:r>
      <w:r>
        <w:rPr>
          <w:rFonts w:hint="eastAsia" w:ascii="仿宋_GB2312" w:hAnsi="仿宋_GB2312" w:eastAsia="仿宋_GB2312" w:cs="仿宋_GB2312"/>
          <w:kern w:val="0"/>
          <w:sz w:val="32"/>
          <w:szCs w:val="32"/>
          <w:shd w:val="clear" w:fill="FFFFFF"/>
          <w:lang w:val="en-US" w:eastAsia="zh-CN"/>
        </w:rPr>
        <w:t>129.45</w:t>
      </w:r>
      <w:r>
        <w:rPr>
          <w:rFonts w:hint="eastAsia" w:ascii="仿宋_GB2312" w:hAnsi="仿宋_GB2312" w:eastAsia="仿宋_GB2312" w:cs="仿宋_GB2312"/>
          <w:kern w:val="0"/>
          <w:sz w:val="32"/>
          <w:szCs w:val="32"/>
          <w:shd w:val="clear" w:fill="FFFFFF"/>
        </w:rPr>
        <w:t>万元，</w:t>
      </w:r>
      <w:r>
        <w:rPr>
          <w:rFonts w:hint="eastAsia" w:ascii="仿宋_GB2312" w:hAnsi="仿宋_GB2312" w:eastAsia="仿宋_GB2312" w:cs="仿宋_GB2312"/>
          <w:kern w:val="0"/>
          <w:sz w:val="32"/>
          <w:szCs w:val="32"/>
          <w:shd w:val="clear" w:fill="FFFFFF"/>
          <w:lang w:eastAsia="zh-CN"/>
        </w:rPr>
        <w:t>减少</w:t>
      </w:r>
      <w:r>
        <w:rPr>
          <w:rFonts w:hint="eastAsia" w:ascii="仿宋_GB2312" w:hAnsi="仿宋_GB2312" w:eastAsia="仿宋_GB2312" w:cs="仿宋_GB2312"/>
          <w:kern w:val="0"/>
          <w:sz w:val="32"/>
          <w:szCs w:val="32"/>
          <w:shd w:val="clear" w:fill="FFFFFF"/>
          <w:lang w:val="en-US" w:eastAsia="zh-CN"/>
        </w:rPr>
        <w:t>30</w:t>
      </w:r>
      <w:r>
        <w:rPr>
          <w:rFonts w:hint="eastAsia" w:ascii="仿宋_GB2312" w:hAnsi="仿宋_GB2312" w:eastAsia="仿宋_GB2312" w:cs="仿宋_GB2312"/>
          <w:kern w:val="0"/>
          <w:sz w:val="32"/>
          <w:szCs w:val="32"/>
          <w:shd w:val="clear" w:fill="FFFFFF"/>
        </w:rPr>
        <w:t>%。主 要变动原因是</w:t>
      </w:r>
      <w:r>
        <w:rPr>
          <w:rFonts w:hint="eastAsia" w:ascii="仿宋_GB2312" w:hAnsi="仿宋_GB2312" w:eastAsia="仿宋_GB2312" w:cs="仿宋_GB2312"/>
          <w:kern w:val="0"/>
          <w:sz w:val="32"/>
          <w:szCs w:val="32"/>
          <w:shd w:val="clear" w:fill="FFFFFF"/>
          <w:lang w:val="en-US" w:eastAsia="zh-CN"/>
        </w:rPr>
        <w:t>2020年</w:t>
      </w:r>
      <w:r>
        <w:rPr>
          <w:rFonts w:hint="eastAsia" w:ascii="仿宋_GB2312" w:hAnsi="仿宋_GB2312" w:eastAsia="仿宋_GB2312" w:cs="仿宋_GB2312"/>
          <w:kern w:val="0"/>
          <w:sz w:val="32"/>
          <w:szCs w:val="32"/>
          <w:shd w:val="clear" w:fill="FFFFFF"/>
          <w:lang w:eastAsia="zh-CN"/>
        </w:rPr>
        <w:t>项目减少</w:t>
      </w:r>
      <w:r>
        <w:rPr>
          <w:rFonts w:hint="eastAsia" w:ascii="仿宋_GB2312" w:hAnsi="仿宋_GB2312" w:eastAsia="仿宋_GB2312" w:cs="仿宋_GB2312"/>
          <w:kern w:val="0"/>
          <w:sz w:val="32"/>
          <w:szCs w:val="32"/>
          <w:shd w:val="clear" w:fill="FFFFFF"/>
        </w:rPr>
        <w:t xml:space="preserve"> </w:t>
      </w:r>
      <w:r>
        <w:rPr>
          <w:rFonts w:hint="eastAsia" w:ascii="仿宋_GB2312" w:hAnsi="仿宋_GB2312" w:eastAsia="仿宋_GB2312" w:cs="仿宋_GB2312"/>
          <w:kern w:val="0"/>
          <w:sz w:val="32"/>
          <w:szCs w:val="32"/>
          <w:shd w:val="clear" w:fill="FFFFFF"/>
          <w:lang w:eastAsia="zh-CN"/>
        </w:rPr>
        <w:t>。</w:t>
      </w:r>
    </w:p>
    <w:p>
      <w:pPr>
        <w:pStyle w:val="17"/>
        <w:keepNext w:val="0"/>
        <w:keepLines w:val="0"/>
        <w:widowControl/>
        <w:suppressLineNumbers w:val="0"/>
        <w:spacing w:before="0" w:beforeAutospacing="0"/>
        <w:ind w:left="0"/>
        <w:jc w:val="center"/>
        <w:rPr>
          <w:rFonts w:hint="eastAsia" w:ascii="宋体" w:hAnsi="宋体" w:eastAsia="宋体" w:cs="宋体"/>
          <w:kern w:val="0"/>
          <w:sz w:val="24"/>
          <w:szCs w:val="24"/>
        </w:rPr>
      </w:pPr>
      <w:r>
        <w:rPr>
          <w:rFonts w:hint="eastAsia" w:ascii="仿宋_GB2312" w:hAnsi="仿宋" w:eastAsia="仿宋_GB2312"/>
          <w:sz w:val="32"/>
          <w:szCs w:val="32"/>
        </w:rPr>
        <w:drawing>
          <wp:anchor distT="0" distB="0" distL="114300" distR="114300" simplePos="0" relativeHeight="251662336" behindDoc="0" locked="0" layoutInCell="1" allowOverlap="1">
            <wp:simplePos x="0" y="0"/>
            <wp:positionH relativeFrom="column">
              <wp:posOffset>175895</wp:posOffset>
            </wp:positionH>
            <wp:positionV relativeFrom="paragraph">
              <wp:posOffset>48260</wp:posOffset>
            </wp:positionV>
            <wp:extent cx="5255260" cy="2778125"/>
            <wp:effectExtent l="4445" t="4445" r="17145" b="17780"/>
            <wp:wrapTopAndBottom/>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Pr>
          <w:rFonts w:hint="eastAsia" w:ascii="宋体" w:hAnsi="宋体" w:eastAsia="宋体" w:cs="宋体"/>
          <w:kern w:val="0"/>
          <w:sz w:val="24"/>
          <w:szCs w:val="24"/>
          <w:shd w:val="clear" w:fill="FFFFFF"/>
        </w:rPr>
        <w:t>（图4：财政拨款收、支决算总计变动情况）（柱状图）</w:t>
      </w:r>
    </w:p>
    <w:p>
      <w:pPr>
        <w:pStyle w:val="17"/>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76" w:lineRule="exact"/>
        <w:ind w:left="0" w:firstLine="643" w:firstLineChars="200"/>
        <w:jc w:val="left"/>
        <w:textAlignment w:val="auto"/>
        <w:outlineLvl w:val="1"/>
        <w:rPr>
          <w:rFonts w:hint="eastAsia" w:ascii="黑体" w:hAnsi="黑体" w:eastAsia="黑体" w:cs="黑体"/>
          <w:kern w:val="0"/>
          <w:sz w:val="32"/>
          <w:szCs w:val="32"/>
        </w:rPr>
      </w:pPr>
      <w:bookmarkStart w:id="17" w:name="_Toc2179"/>
      <w:bookmarkStart w:id="18" w:name="_Toc20158"/>
      <w:r>
        <w:rPr>
          <w:rStyle w:val="25"/>
          <w:rFonts w:hint="eastAsia" w:ascii="黑体" w:hAnsi="黑体" w:eastAsia="黑体" w:cs="黑体"/>
          <w:b/>
          <w:sz w:val="32"/>
          <w:szCs w:val="32"/>
          <w:shd w:val="clear" w:fill="FFFFFF"/>
        </w:rPr>
        <w:t>五、一般公共预算财政拨款支出决算情况说明</w:t>
      </w:r>
      <w:bookmarkEnd w:id="17"/>
      <w:bookmarkEnd w:id="18"/>
    </w:p>
    <w:p>
      <w:pPr>
        <w:pStyle w:val="17"/>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76" w:lineRule="exact"/>
        <w:ind w:left="0" w:firstLine="643" w:firstLineChars="200"/>
        <w:jc w:val="both"/>
        <w:textAlignment w:val="auto"/>
        <w:outlineLvl w:val="2"/>
        <w:rPr>
          <w:rFonts w:hint="eastAsia" w:ascii="楷体_GB2312" w:hAnsi="楷体_GB2312" w:eastAsia="楷体_GB2312" w:cs="楷体_GB2312"/>
          <w:kern w:val="0"/>
          <w:sz w:val="32"/>
          <w:szCs w:val="32"/>
        </w:rPr>
      </w:pPr>
      <w:bookmarkStart w:id="19" w:name="_Toc21313"/>
      <w:r>
        <w:rPr>
          <w:rStyle w:val="25"/>
          <w:rFonts w:hint="eastAsia" w:ascii="楷体_GB2312" w:hAnsi="楷体_GB2312" w:eastAsia="楷体_GB2312" w:cs="楷体_GB2312"/>
          <w:b/>
          <w:sz w:val="32"/>
          <w:szCs w:val="32"/>
          <w:shd w:val="clear" w:fill="FFFFFF"/>
        </w:rPr>
        <w:t>（一）一般公共预算财政拨款支出决算总体情况</w:t>
      </w:r>
      <w:bookmarkEnd w:id="19"/>
    </w:p>
    <w:p>
      <w:pPr>
        <w:pStyle w:val="17"/>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76" w:lineRule="exact"/>
        <w:ind w:left="0" w:firstLine="640" w:firstLineChars="200"/>
        <w:jc w:val="both"/>
        <w:textAlignment w:val="auto"/>
        <w:rPr>
          <w:rFonts w:hint="eastAsia" w:ascii="仿宋_GB2312" w:hAnsi="仿宋_GB2312" w:eastAsia="仿宋_GB2312" w:cs="仿宋_GB2312"/>
          <w:kern w:val="0"/>
          <w:sz w:val="32"/>
          <w:szCs w:val="32"/>
          <w:shd w:val="clear" w:fill="FFFFFF"/>
        </w:rPr>
      </w:pPr>
      <w:r>
        <w:rPr>
          <w:rFonts w:hint="eastAsia" w:ascii="仿宋_GB2312" w:hAnsi="仿宋_GB2312" w:eastAsia="仿宋_GB2312" w:cs="仿宋_GB2312"/>
          <w:kern w:val="0"/>
          <w:sz w:val="32"/>
          <w:szCs w:val="32"/>
          <w:shd w:val="clear" w:fill="FFFFFF"/>
        </w:rPr>
        <w:t>2020年一般公共预算财政拨款支出419.28万元，占本年支出合计的 100.00%。与2019年相比，一般公共预算财政拨款</w:t>
      </w:r>
      <w:r>
        <w:rPr>
          <w:rFonts w:hint="eastAsia" w:ascii="仿宋_GB2312" w:hAnsi="仿宋_GB2312" w:eastAsia="仿宋_GB2312" w:cs="仿宋_GB2312"/>
          <w:kern w:val="0"/>
          <w:sz w:val="32"/>
          <w:szCs w:val="32"/>
          <w:shd w:val="clear" w:fill="FFFFFF"/>
          <w:lang w:eastAsia="zh-CN"/>
        </w:rPr>
        <w:t>减少</w:t>
      </w:r>
      <w:r>
        <w:rPr>
          <w:rFonts w:hint="eastAsia" w:ascii="仿宋_GB2312" w:hAnsi="仿宋_GB2312" w:eastAsia="仿宋_GB2312" w:cs="仿宋_GB2312"/>
          <w:kern w:val="0"/>
          <w:sz w:val="32"/>
          <w:szCs w:val="32"/>
          <w:shd w:val="clear" w:fill="FFFFFF"/>
        </w:rPr>
        <w:t>67.87万元，</w:t>
      </w:r>
      <w:r>
        <w:rPr>
          <w:rFonts w:hint="eastAsia" w:ascii="仿宋_GB2312" w:hAnsi="仿宋_GB2312" w:eastAsia="仿宋_GB2312" w:cs="仿宋_GB2312"/>
          <w:kern w:val="0"/>
          <w:sz w:val="32"/>
          <w:szCs w:val="32"/>
          <w:shd w:val="clear" w:fill="FFFFFF"/>
          <w:lang w:eastAsia="zh-CN"/>
        </w:rPr>
        <w:t>减少</w:t>
      </w:r>
      <w:r>
        <w:rPr>
          <w:rFonts w:hint="eastAsia" w:ascii="仿宋_GB2312" w:hAnsi="仿宋_GB2312" w:eastAsia="仿宋_GB2312" w:cs="仿宋_GB2312"/>
          <w:kern w:val="0"/>
          <w:sz w:val="32"/>
          <w:szCs w:val="32"/>
          <w:shd w:val="clear" w:fill="FFFFFF"/>
        </w:rPr>
        <w:t>13.93%。主要变动原因是</w:t>
      </w:r>
      <w:r>
        <w:rPr>
          <w:rFonts w:hint="eastAsia" w:ascii="仿宋_GB2312" w:hAnsi="仿宋_GB2312" w:eastAsia="仿宋_GB2312" w:cs="仿宋_GB2312"/>
          <w:kern w:val="0"/>
          <w:sz w:val="32"/>
          <w:szCs w:val="32"/>
          <w:shd w:val="clear" w:fill="FFFFFF"/>
          <w:lang w:eastAsia="zh-CN"/>
        </w:rPr>
        <w:t>项目减少。</w:t>
      </w:r>
      <w:r>
        <w:rPr>
          <w:rFonts w:hint="eastAsia" w:ascii="仿宋_GB2312" w:hAnsi="仿宋_GB2312" w:eastAsia="仿宋_GB2312" w:cs="仿宋_GB2312"/>
          <w:kern w:val="0"/>
          <w:sz w:val="32"/>
          <w:szCs w:val="32"/>
          <w:shd w:val="clear" w:fill="FFFFFF"/>
        </w:rPr>
        <w:t xml:space="preserve"> </w:t>
      </w:r>
    </w:p>
    <w:p>
      <w:pPr>
        <w:pStyle w:val="17"/>
        <w:keepNext w:val="0"/>
        <w:keepLines w:val="0"/>
        <w:widowControl/>
        <w:suppressLineNumbers w:val="0"/>
        <w:spacing w:before="0" w:beforeAutospacing="0"/>
        <w:ind w:left="0"/>
        <w:jc w:val="center"/>
        <w:rPr>
          <w:rFonts w:hint="eastAsia" w:ascii="宋体" w:hAnsi="宋体" w:eastAsia="宋体" w:cs="宋体"/>
          <w:kern w:val="0"/>
          <w:sz w:val="24"/>
          <w:szCs w:val="24"/>
        </w:rPr>
      </w:pPr>
      <w:r>
        <w:rPr>
          <w:rFonts w:hint="eastAsia" w:ascii="仿宋" w:hAnsi="仿宋" w:eastAsia="仿宋"/>
          <w:color w:val="000000" w:themeColor="text1"/>
          <w:sz w:val="32"/>
          <w:szCs w:val="32"/>
          <w:lang w:eastAsia="zh-CN"/>
          <w14:textFill>
            <w14:solidFill>
              <w14:schemeClr w14:val="tx1"/>
            </w14:solidFill>
          </w14:textFill>
        </w:rPr>
        <w:drawing>
          <wp:anchor distT="0" distB="0" distL="114300" distR="114300" simplePos="0" relativeHeight="251663360" behindDoc="0" locked="0" layoutInCell="1" allowOverlap="1">
            <wp:simplePos x="0" y="0"/>
            <wp:positionH relativeFrom="column">
              <wp:posOffset>194945</wp:posOffset>
            </wp:positionH>
            <wp:positionV relativeFrom="paragraph">
              <wp:posOffset>66675</wp:posOffset>
            </wp:positionV>
            <wp:extent cx="5039360" cy="2613025"/>
            <wp:effectExtent l="4445" t="4445" r="23495" b="11430"/>
            <wp:wrapTopAndBottom/>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Pr>
          <w:rFonts w:hint="eastAsia" w:ascii="宋体" w:hAnsi="宋体" w:eastAsia="宋体" w:cs="宋体"/>
          <w:kern w:val="0"/>
          <w:sz w:val="24"/>
          <w:szCs w:val="24"/>
          <w:shd w:val="clear" w:fill="FFFFFF"/>
        </w:rPr>
        <w:t>（图5：一般公共预算财政拨款支出决算变动情况）（柱状图）</w:t>
      </w:r>
    </w:p>
    <w:p>
      <w:pPr>
        <w:pStyle w:val="17"/>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76" w:lineRule="exact"/>
        <w:ind w:left="0" w:firstLine="643" w:firstLineChars="200"/>
        <w:jc w:val="both"/>
        <w:textAlignment w:val="auto"/>
        <w:outlineLvl w:val="2"/>
        <w:rPr>
          <w:rFonts w:hint="eastAsia"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shd w:val="clear" w:fill="FFFFFF"/>
        </w:rPr>
        <w:t xml:space="preserve"> </w:t>
      </w:r>
      <w:bookmarkStart w:id="20" w:name="_Toc29763"/>
      <w:r>
        <w:rPr>
          <w:rStyle w:val="25"/>
          <w:rFonts w:hint="eastAsia" w:ascii="楷体_GB2312" w:hAnsi="楷体_GB2312" w:eastAsia="楷体_GB2312" w:cs="楷体_GB2312"/>
          <w:b/>
          <w:bCs/>
          <w:sz w:val="32"/>
          <w:szCs w:val="32"/>
          <w:shd w:val="clear" w:fill="FFFFFF"/>
        </w:rPr>
        <w:t>（二）一般公共预算财政拨款支出决算结构情况</w:t>
      </w:r>
      <w:bookmarkEnd w:id="20"/>
    </w:p>
    <w:p>
      <w:pPr>
        <w:pStyle w:val="17"/>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76" w:lineRule="exact"/>
        <w:ind w:left="0" w:firstLine="640" w:firstLineChars="200"/>
        <w:jc w:val="both"/>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shd w:val="clear" w:fill="FFFFFF"/>
        </w:rPr>
        <w:t>2020年一般公共预算财政拨款支出419.28万元，主要用于以下方面:</w:t>
      </w:r>
      <w:r>
        <w:rPr>
          <w:rStyle w:val="25"/>
          <w:rFonts w:hint="eastAsia" w:ascii="仿宋_GB2312" w:hAnsi="仿宋_GB2312" w:eastAsia="仿宋_GB2312" w:cs="仿宋_GB2312"/>
          <w:b/>
          <w:sz w:val="32"/>
          <w:szCs w:val="32"/>
          <w:shd w:val="clear" w:fill="FFFFFF"/>
        </w:rPr>
        <w:t>一般公共服务（类）支出</w:t>
      </w:r>
      <w:r>
        <w:rPr>
          <w:rFonts w:hint="eastAsia" w:ascii="仿宋_GB2312" w:hAnsi="仿宋_GB2312" w:eastAsia="仿宋_GB2312" w:cs="仿宋_GB2312"/>
          <w:kern w:val="0"/>
          <w:sz w:val="32"/>
          <w:szCs w:val="32"/>
          <w:shd w:val="clear" w:fill="FFFFFF"/>
        </w:rPr>
        <w:t>378.27万元，占90.22%；</w:t>
      </w:r>
      <w:r>
        <w:rPr>
          <w:rStyle w:val="25"/>
          <w:rFonts w:hint="eastAsia" w:ascii="仿宋_GB2312" w:hAnsi="仿宋_GB2312" w:eastAsia="仿宋_GB2312" w:cs="仿宋_GB2312"/>
          <w:b/>
          <w:sz w:val="32"/>
          <w:szCs w:val="32"/>
          <w:shd w:val="clear" w:fill="FFFFFF"/>
        </w:rPr>
        <w:t>外交支出（类）</w:t>
      </w:r>
      <w:r>
        <w:rPr>
          <w:rFonts w:hint="eastAsia" w:ascii="仿宋_GB2312" w:hAnsi="仿宋_GB2312" w:eastAsia="仿宋_GB2312" w:cs="仿宋_GB2312"/>
          <w:kern w:val="0"/>
          <w:sz w:val="32"/>
          <w:szCs w:val="32"/>
          <w:shd w:val="clear" w:fill="FFFFFF"/>
        </w:rPr>
        <w:t>0.00万元</w:t>
      </w:r>
      <w:r>
        <w:rPr>
          <w:rStyle w:val="25"/>
          <w:rFonts w:hint="eastAsia" w:ascii="仿宋_GB2312" w:hAnsi="仿宋_GB2312" w:eastAsia="仿宋_GB2312" w:cs="仿宋_GB2312"/>
          <w:b/>
          <w:sz w:val="32"/>
          <w:szCs w:val="32"/>
          <w:shd w:val="clear" w:fill="FFFFFF"/>
        </w:rPr>
        <w:t>，占</w:t>
      </w:r>
      <w:r>
        <w:rPr>
          <w:rFonts w:hint="eastAsia" w:ascii="仿宋_GB2312" w:hAnsi="仿宋_GB2312" w:eastAsia="仿宋_GB2312" w:cs="仿宋_GB2312"/>
          <w:kern w:val="0"/>
          <w:sz w:val="32"/>
          <w:szCs w:val="32"/>
          <w:shd w:val="clear" w:fill="FFFFFF"/>
        </w:rPr>
        <w:t>0.00%</w:t>
      </w:r>
      <w:r>
        <w:rPr>
          <w:rStyle w:val="25"/>
          <w:rFonts w:hint="eastAsia" w:ascii="仿宋_GB2312" w:hAnsi="仿宋_GB2312" w:eastAsia="仿宋_GB2312" w:cs="仿宋_GB2312"/>
          <w:b/>
          <w:sz w:val="32"/>
          <w:szCs w:val="32"/>
          <w:shd w:val="clear" w:fill="FFFFFF"/>
        </w:rPr>
        <w:t>，国防支出（类）</w:t>
      </w:r>
      <w:r>
        <w:rPr>
          <w:rFonts w:hint="eastAsia" w:ascii="仿宋_GB2312" w:hAnsi="仿宋_GB2312" w:eastAsia="仿宋_GB2312" w:cs="仿宋_GB2312"/>
          <w:kern w:val="0"/>
          <w:sz w:val="32"/>
          <w:szCs w:val="32"/>
          <w:shd w:val="clear" w:fill="FFFFFF"/>
        </w:rPr>
        <w:t>0.00万元，占0.00%</w:t>
      </w:r>
      <w:r>
        <w:rPr>
          <w:rStyle w:val="25"/>
          <w:rFonts w:hint="eastAsia" w:ascii="仿宋_GB2312" w:hAnsi="仿宋_GB2312" w:eastAsia="仿宋_GB2312" w:cs="仿宋_GB2312"/>
          <w:b/>
          <w:sz w:val="32"/>
          <w:szCs w:val="32"/>
          <w:shd w:val="clear" w:fill="FFFFFF"/>
        </w:rPr>
        <w:t>；公共安全支出（类</w:t>
      </w:r>
      <w:r>
        <w:rPr>
          <w:rFonts w:hint="eastAsia" w:ascii="仿宋_GB2312" w:hAnsi="仿宋_GB2312" w:eastAsia="仿宋_GB2312" w:cs="仿宋_GB2312"/>
          <w:kern w:val="0"/>
          <w:sz w:val="32"/>
          <w:szCs w:val="32"/>
          <w:shd w:val="clear" w:fill="FFFFFF"/>
        </w:rPr>
        <w:t>）0.00万元，占0.00%</w:t>
      </w:r>
      <w:r>
        <w:rPr>
          <w:rStyle w:val="25"/>
          <w:rFonts w:hint="eastAsia" w:ascii="仿宋_GB2312" w:hAnsi="仿宋_GB2312" w:eastAsia="仿宋_GB2312" w:cs="仿宋_GB2312"/>
          <w:b/>
          <w:sz w:val="32"/>
          <w:szCs w:val="32"/>
          <w:shd w:val="clear" w:fill="FFFFFF"/>
        </w:rPr>
        <w:t>；教育支出（类）</w:t>
      </w:r>
      <w:r>
        <w:rPr>
          <w:rFonts w:hint="eastAsia" w:ascii="仿宋_GB2312" w:hAnsi="仿宋_GB2312" w:eastAsia="仿宋_GB2312" w:cs="仿宋_GB2312"/>
          <w:kern w:val="0"/>
          <w:sz w:val="32"/>
          <w:szCs w:val="32"/>
          <w:shd w:val="clear" w:fill="FFFFFF"/>
        </w:rPr>
        <w:t>0.00万元，占0.00%；</w:t>
      </w:r>
      <w:r>
        <w:rPr>
          <w:rStyle w:val="25"/>
          <w:rFonts w:hint="eastAsia" w:ascii="仿宋_GB2312" w:hAnsi="仿宋_GB2312" w:eastAsia="仿宋_GB2312" w:cs="仿宋_GB2312"/>
          <w:b/>
          <w:sz w:val="32"/>
          <w:szCs w:val="32"/>
          <w:shd w:val="clear" w:fill="FFFFFF"/>
        </w:rPr>
        <w:t>科学技术（类）</w:t>
      </w:r>
      <w:r>
        <w:rPr>
          <w:rFonts w:hint="eastAsia" w:ascii="仿宋_GB2312" w:hAnsi="仿宋_GB2312" w:eastAsia="仿宋_GB2312" w:cs="仿宋_GB2312"/>
          <w:kern w:val="0"/>
          <w:sz w:val="32"/>
          <w:szCs w:val="32"/>
          <w:shd w:val="clear" w:fill="FFFFFF"/>
        </w:rPr>
        <w:t>支出0.00万元，占0.00%；</w:t>
      </w:r>
      <w:r>
        <w:rPr>
          <w:rStyle w:val="25"/>
          <w:rFonts w:hint="eastAsia" w:ascii="仿宋_GB2312" w:hAnsi="仿宋_GB2312" w:eastAsia="仿宋_GB2312" w:cs="仿宋_GB2312"/>
          <w:b/>
          <w:sz w:val="32"/>
          <w:szCs w:val="32"/>
          <w:shd w:val="clear" w:fill="FFFFFF"/>
        </w:rPr>
        <w:t>文化旅游体育与传媒（类）支出</w:t>
      </w:r>
      <w:r>
        <w:rPr>
          <w:rFonts w:hint="eastAsia" w:ascii="仿宋_GB2312" w:hAnsi="仿宋_GB2312" w:eastAsia="仿宋_GB2312" w:cs="仿宋_GB2312"/>
          <w:kern w:val="0"/>
          <w:sz w:val="32"/>
          <w:szCs w:val="32"/>
          <w:shd w:val="clear" w:fill="FFFFFF"/>
        </w:rPr>
        <w:t>0.00万元，占0.00%；</w:t>
      </w:r>
      <w:r>
        <w:rPr>
          <w:rStyle w:val="25"/>
          <w:rFonts w:hint="eastAsia" w:ascii="仿宋_GB2312" w:hAnsi="仿宋_GB2312" w:eastAsia="仿宋_GB2312" w:cs="仿宋_GB2312"/>
          <w:b/>
          <w:sz w:val="32"/>
          <w:szCs w:val="32"/>
          <w:shd w:val="clear" w:fill="FFFFFF"/>
        </w:rPr>
        <w:t>社会保障和就业（类）</w:t>
      </w:r>
      <w:r>
        <w:rPr>
          <w:rFonts w:hint="eastAsia" w:ascii="仿宋_GB2312" w:hAnsi="仿宋_GB2312" w:eastAsia="仿宋_GB2312" w:cs="仿宋_GB2312"/>
          <w:kern w:val="0"/>
          <w:sz w:val="32"/>
          <w:szCs w:val="32"/>
          <w:shd w:val="clear" w:fill="FFFFFF"/>
        </w:rPr>
        <w:t>支出19.45万元，占4.64%；</w:t>
      </w:r>
      <w:r>
        <w:rPr>
          <w:rStyle w:val="25"/>
          <w:rFonts w:hint="eastAsia" w:ascii="仿宋_GB2312" w:hAnsi="仿宋_GB2312" w:eastAsia="仿宋_GB2312" w:cs="仿宋_GB2312"/>
          <w:b/>
          <w:sz w:val="32"/>
          <w:szCs w:val="32"/>
          <w:shd w:val="clear" w:fill="FFFFFF"/>
        </w:rPr>
        <w:t>卫生健康支出（类）</w:t>
      </w:r>
      <w:r>
        <w:rPr>
          <w:rFonts w:hint="eastAsia" w:ascii="仿宋_GB2312" w:hAnsi="仿宋_GB2312" w:eastAsia="仿宋_GB2312" w:cs="仿宋_GB2312"/>
          <w:kern w:val="0"/>
          <w:sz w:val="32"/>
          <w:szCs w:val="32"/>
          <w:shd w:val="clear" w:fill="FFFFFF"/>
        </w:rPr>
        <w:t>8.82万元，占2.10%%；</w:t>
      </w:r>
      <w:r>
        <w:rPr>
          <w:rStyle w:val="25"/>
          <w:rFonts w:hint="eastAsia" w:ascii="仿宋_GB2312" w:hAnsi="仿宋_GB2312" w:eastAsia="仿宋_GB2312" w:cs="仿宋_GB2312"/>
          <w:b/>
          <w:sz w:val="32"/>
          <w:szCs w:val="32"/>
          <w:shd w:val="clear" w:fill="FFFFFF"/>
        </w:rPr>
        <w:t>节能环保支出（类）</w:t>
      </w:r>
      <w:r>
        <w:rPr>
          <w:rFonts w:hint="eastAsia" w:ascii="仿宋_GB2312" w:hAnsi="仿宋_GB2312" w:eastAsia="仿宋_GB2312" w:cs="仿宋_GB2312"/>
          <w:kern w:val="0"/>
          <w:sz w:val="32"/>
          <w:szCs w:val="32"/>
          <w:shd w:val="clear" w:fill="FFFFFF"/>
        </w:rPr>
        <w:t>0.00万元，占0.00%；</w:t>
      </w:r>
      <w:r>
        <w:rPr>
          <w:rStyle w:val="25"/>
          <w:rFonts w:hint="eastAsia" w:ascii="仿宋_GB2312" w:hAnsi="仿宋_GB2312" w:eastAsia="仿宋_GB2312" w:cs="仿宋_GB2312"/>
          <w:b/>
          <w:sz w:val="32"/>
          <w:szCs w:val="32"/>
          <w:shd w:val="clear" w:fill="FFFFFF"/>
        </w:rPr>
        <w:t>城乡社区支出（类）</w:t>
      </w:r>
      <w:r>
        <w:rPr>
          <w:rFonts w:hint="eastAsia" w:ascii="仿宋_GB2312" w:hAnsi="仿宋_GB2312" w:eastAsia="仿宋_GB2312" w:cs="仿宋_GB2312"/>
          <w:kern w:val="0"/>
          <w:sz w:val="32"/>
          <w:szCs w:val="32"/>
          <w:shd w:val="clear" w:fill="FFFFFF"/>
        </w:rPr>
        <w:t>0.00万元，占0.00%；</w:t>
      </w:r>
      <w:r>
        <w:rPr>
          <w:rStyle w:val="25"/>
          <w:rFonts w:hint="eastAsia" w:ascii="仿宋_GB2312" w:hAnsi="仿宋_GB2312" w:eastAsia="仿宋_GB2312" w:cs="仿宋_GB2312"/>
          <w:b/>
          <w:sz w:val="32"/>
          <w:szCs w:val="32"/>
          <w:shd w:val="clear" w:fill="FFFFFF"/>
        </w:rPr>
        <w:t>农林水支出（类）</w:t>
      </w:r>
      <w:r>
        <w:rPr>
          <w:rFonts w:hint="eastAsia" w:ascii="仿宋_GB2312" w:hAnsi="仿宋_GB2312" w:eastAsia="仿宋_GB2312" w:cs="仿宋_GB2312"/>
          <w:kern w:val="0"/>
          <w:sz w:val="32"/>
          <w:szCs w:val="32"/>
          <w:shd w:val="clear" w:fill="FFFFFF"/>
        </w:rPr>
        <w:t>0.00万元，占0.00%；</w:t>
      </w:r>
      <w:r>
        <w:rPr>
          <w:rStyle w:val="25"/>
          <w:rFonts w:hint="eastAsia" w:ascii="仿宋_GB2312" w:hAnsi="仿宋_GB2312" w:eastAsia="仿宋_GB2312" w:cs="仿宋_GB2312"/>
          <w:b/>
          <w:sz w:val="32"/>
          <w:szCs w:val="32"/>
          <w:shd w:val="clear" w:fill="FFFFFF"/>
        </w:rPr>
        <w:t>交通运输支出（类）</w:t>
      </w:r>
      <w:r>
        <w:rPr>
          <w:rFonts w:hint="eastAsia" w:ascii="仿宋_GB2312" w:hAnsi="仿宋_GB2312" w:eastAsia="仿宋_GB2312" w:cs="仿宋_GB2312"/>
          <w:kern w:val="0"/>
          <w:sz w:val="32"/>
          <w:szCs w:val="32"/>
          <w:shd w:val="clear" w:fill="FFFFFF"/>
        </w:rPr>
        <w:t>0.00万元，占0.00%；</w:t>
      </w:r>
      <w:r>
        <w:rPr>
          <w:rStyle w:val="25"/>
          <w:rFonts w:hint="eastAsia" w:ascii="仿宋_GB2312" w:hAnsi="仿宋_GB2312" w:eastAsia="仿宋_GB2312" w:cs="仿宋_GB2312"/>
          <w:b/>
          <w:sz w:val="32"/>
          <w:szCs w:val="32"/>
          <w:shd w:val="clear" w:fill="FFFFFF"/>
        </w:rPr>
        <w:t>资源勘探信息等支出（类）</w:t>
      </w:r>
      <w:r>
        <w:rPr>
          <w:rFonts w:hint="eastAsia" w:ascii="仿宋_GB2312" w:hAnsi="仿宋_GB2312" w:eastAsia="仿宋_GB2312" w:cs="仿宋_GB2312"/>
          <w:kern w:val="0"/>
          <w:sz w:val="32"/>
          <w:szCs w:val="32"/>
          <w:shd w:val="clear" w:fill="FFFFFF"/>
        </w:rPr>
        <w:t>0.00万元，占0.00%；</w:t>
      </w:r>
      <w:r>
        <w:rPr>
          <w:rStyle w:val="25"/>
          <w:rFonts w:hint="eastAsia" w:ascii="仿宋_GB2312" w:hAnsi="仿宋_GB2312" w:eastAsia="仿宋_GB2312" w:cs="仿宋_GB2312"/>
          <w:b/>
          <w:sz w:val="32"/>
          <w:szCs w:val="32"/>
          <w:shd w:val="clear" w:fill="FFFFFF"/>
        </w:rPr>
        <w:t>商业服务业等支出（类）</w:t>
      </w:r>
      <w:r>
        <w:rPr>
          <w:rFonts w:hint="eastAsia" w:ascii="仿宋_GB2312" w:hAnsi="仿宋_GB2312" w:eastAsia="仿宋_GB2312" w:cs="仿宋_GB2312"/>
          <w:kern w:val="0"/>
          <w:sz w:val="32"/>
          <w:szCs w:val="32"/>
          <w:shd w:val="clear" w:fill="FFFFFF"/>
        </w:rPr>
        <w:t>0.00万元，占0.00%；</w:t>
      </w:r>
      <w:r>
        <w:rPr>
          <w:rStyle w:val="25"/>
          <w:rFonts w:hint="eastAsia" w:ascii="仿宋_GB2312" w:hAnsi="仿宋_GB2312" w:eastAsia="仿宋_GB2312" w:cs="仿宋_GB2312"/>
          <w:b/>
          <w:sz w:val="32"/>
          <w:szCs w:val="32"/>
          <w:shd w:val="clear" w:fill="FFFFFF"/>
        </w:rPr>
        <w:t>金融支出（类）</w:t>
      </w:r>
      <w:r>
        <w:rPr>
          <w:rFonts w:hint="eastAsia" w:ascii="仿宋_GB2312" w:hAnsi="仿宋_GB2312" w:eastAsia="仿宋_GB2312" w:cs="仿宋_GB2312"/>
          <w:kern w:val="0"/>
          <w:sz w:val="32"/>
          <w:szCs w:val="32"/>
          <w:shd w:val="clear" w:fill="FFFFFF"/>
        </w:rPr>
        <w:t>0.00万元，占0.00%；</w:t>
      </w:r>
      <w:r>
        <w:rPr>
          <w:rStyle w:val="25"/>
          <w:rFonts w:hint="eastAsia" w:ascii="仿宋_GB2312" w:hAnsi="仿宋_GB2312" w:eastAsia="仿宋_GB2312" w:cs="仿宋_GB2312"/>
          <w:b/>
          <w:sz w:val="32"/>
          <w:szCs w:val="32"/>
          <w:shd w:val="clear" w:fill="FFFFFF"/>
        </w:rPr>
        <w:t>援助其他地区支出（类）</w:t>
      </w:r>
      <w:r>
        <w:rPr>
          <w:rFonts w:hint="eastAsia" w:ascii="仿宋_GB2312" w:hAnsi="仿宋_GB2312" w:eastAsia="仿宋_GB2312" w:cs="仿宋_GB2312"/>
          <w:kern w:val="0"/>
          <w:sz w:val="32"/>
          <w:szCs w:val="32"/>
          <w:shd w:val="clear" w:fill="FFFFFF"/>
        </w:rPr>
        <w:t>0.00万元，占0.00%；</w:t>
      </w:r>
      <w:r>
        <w:rPr>
          <w:rStyle w:val="25"/>
          <w:rFonts w:hint="eastAsia" w:ascii="仿宋_GB2312" w:hAnsi="仿宋_GB2312" w:eastAsia="仿宋_GB2312" w:cs="仿宋_GB2312"/>
          <w:b/>
          <w:sz w:val="32"/>
          <w:szCs w:val="32"/>
          <w:shd w:val="clear" w:fill="FFFFFF"/>
        </w:rPr>
        <w:t>自然资源海洋气象等支出（类）</w:t>
      </w:r>
      <w:r>
        <w:rPr>
          <w:rFonts w:hint="eastAsia" w:ascii="仿宋_GB2312" w:hAnsi="仿宋_GB2312" w:eastAsia="仿宋_GB2312" w:cs="仿宋_GB2312"/>
          <w:kern w:val="0"/>
          <w:sz w:val="32"/>
          <w:szCs w:val="32"/>
          <w:shd w:val="clear" w:fill="FFFFFF"/>
        </w:rPr>
        <w:t>0.00万元，占0.00%；</w:t>
      </w:r>
      <w:r>
        <w:rPr>
          <w:rStyle w:val="25"/>
          <w:rFonts w:hint="eastAsia" w:ascii="仿宋_GB2312" w:hAnsi="仿宋_GB2312" w:eastAsia="仿宋_GB2312" w:cs="仿宋_GB2312"/>
          <w:b/>
          <w:sz w:val="32"/>
          <w:szCs w:val="32"/>
          <w:shd w:val="clear" w:fill="FFFFFF"/>
        </w:rPr>
        <w:t>住房保障支出（类）</w:t>
      </w:r>
      <w:r>
        <w:rPr>
          <w:rFonts w:hint="eastAsia" w:ascii="仿宋_GB2312" w:hAnsi="仿宋_GB2312" w:eastAsia="仿宋_GB2312" w:cs="仿宋_GB2312"/>
          <w:kern w:val="0"/>
          <w:sz w:val="32"/>
          <w:szCs w:val="32"/>
          <w:shd w:val="clear" w:fill="FFFFFF"/>
        </w:rPr>
        <w:t>12.74万元，占3.04%；</w:t>
      </w:r>
      <w:r>
        <w:rPr>
          <w:rStyle w:val="25"/>
          <w:rFonts w:hint="eastAsia" w:ascii="仿宋_GB2312" w:hAnsi="仿宋_GB2312" w:eastAsia="仿宋_GB2312" w:cs="仿宋_GB2312"/>
          <w:b/>
          <w:sz w:val="32"/>
          <w:szCs w:val="32"/>
          <w:shd w:val="clear" w:fill="FFFFFF"/>
        </w:rPr>
        <w:t>粮油物资储备支出（类）</w:t>
      </w:r>
      <w:r>
        <w:rPr>
          <w:rFonts w:hint="eastAsia" w:ascii="仿宋_GB2312" w:hAnsi="仿宋_GB2312" w:eastAsia="仿宋_GB2312" w:cs="仿宋_GB2312"/>
          <w:kern w:val="0"/>
          <w:sz w:val="32"/>
          <w:szCs w:val="32"/>
          <w:shd w:val="clear" w:fill="FFFFFF"/>
        </w:rPr>
        <w:t>0.00万元，占0.00%；</w:t>
      </w:r>
      <w:r>
        <w:rPr>
          <w:rStyle w:val="25"/>
          <w:rFonts w:hint="eastAsia" w:ascii="仿宋_GB2312" w:hAnsi="仿宋_GB2312" w:eastAsia="仿宋_GB2312" w:cs="仿宋_GB2312"/>
          <w:b/>
          <w:sz w:val="32"/>
          <w:szCs w:val="32"/>
          <w:shd w:val="clear" w:fill="FFFFFF"/>
        </w:rPr>
        <w:t>国有资本经营预算支出（类）</w:t>
      </w:r>
      <w:r>
        <w:rPr>
          <w:rFonts w:hint="eastAsia" w:ascii="仿宋_GB2312" w:hAnsi="仿宋_GB2312" w:eastAsia="仿宋_GB2312" w:cs="仿宋_GB2312"/>
          <w:kern w:val="0"/>
          <w:sz w:val="32"/>
          <w:szCs w:val="32"/>
          <w:shd w:val="clear" w:fill="FFFFFF"/>
        </w:rPr>
        <w:t>0.00万元，占0.00%；</w:t>
      </w:r>
      <w:r>
        <w:rPr>
          <w:rStyle w:val="25"/>
          <w:rFonts w:hint="eastAsia" w:ascii="仿宋_GB2312" w:hAnsi="仿宋_GB2312" w:eastAsia="仿宋_GB2312" w:cs="仿宋_GB2312"/>
          <w:b/>
          <w:sz w:val="32"/>
          <w:szCs w:val="32"/>
          <w:shd w:val="clear" w:fill="FFFFFF"/>
        </w:rPr>
        <w:t>灾害防治及应急管理支出（类）</w:t>
      </w:r>
      <w:r>
        <w:rPr>
          <w:rFonts w:hint="eastAsia" w:ascii="仿宋_GB2312" w:hAnsi="仿宋_GB2312" w:eastAsia="仿宋_GB2312" w:cs="仿宋_GB2312"/>
          <w:kern w:val="0"/>
          <w:sz w:val="32"/>
          <w:szCs w:val="32"/>
          <w:shd w:val="clear" w:fill="FFFFFF"/>
        </w:rPr>
        <w:t>0.00万元，占0.00%；</w:t>
      </w:r>
      <w:r>
        <w:rPr>
          <w:rStyle w:val="25"/>
          <w:rFonts w:hint="eastAsia" w:ascii="仿宋_GB2312" w:hAnsi="仿宋_GB2312" w:eastAsia="仿宋_GB2312" w:cs="仿宋_GB2312"/>
          <w:b/>
          <w:sz w:val="32"/>
          <w:szCs w:val="32"/>
          <w:shd w:val="clear" w:fill="FFFFFF"/>
        </w:rPr>
        <w:t>其他支出（类）</w:t>
      </w:r>
      <w:r>
        <w:rPr>
          <w:rFonts w:hint="eastAsia" w:ascii="仿宋_GB2312" w:hAnsi="仿宋_GB2312" w:eastAsia="仿宋_GB2312" w:cs="仿宋_GB2312"/>
          <w:kern w:val="0"/>
          <w:sz w:val="32"/>
          <w:szCs w:val="32"/>
          <w:shd w:val="clear" w:fill="FFFFFF"/>
        </w:rPr>
        <w:t>0.00万元，占0.00%；</w:t>
      </w:r>
      <w:r>
        <w:rPr>
          <w:rStyle w:val="25"/>
          <w:rFonts w:hint="eastAsia" w:ascii="仿宋_GB2312" w:hAnsi="仿宋_GB2312" w:eastAsia="仿宋_GB2312" w:cs="仿宋_GB2312"/>
          <w:b/>
          <w:sz w:val="32"/>
          <w:szCs w:val="32"/>
          <w:shd w:val="clear" w:fill="FFFFFF"/>
        </w:rPr>
        <w:t>债务还本支出（类）</w:t>
      </w:r>
      <w:r>
        <w:rPr>
          <w:rFonts w:hint="eastAsia" w:ascii="仿宋_GB2312" w:hAnsi="仿宋_GB2312" w:eastAsia="仿宋_GB2312" w:cs="仿宋_GB2312"/>
          <w:kern w:val="0"/>
          <w:sz w:val="32"/>
          <w:szCs w:val="32"/>
          <w:shd w:val="clear" w:fill="FFFFFF"/>
        </w:rPr>
        <w:t>0.00万元，占0.00%；</w:t>
      </w:r>
      <w:r>
        <w:rPr>
          <w:rStyle w:val="25"/>
          <w:rFonts w:hint="eastAsia" w:ascii="仿宋_GB2312" w:hAnsi="仿宋_GB2312" w:eastAsia="仿宋_GB2312" w:cs="仿宋_GB2312"/>
          <w:b/>
          <w:sz w:val="32"/>
          <w:szCs w:val="32"/>
          <w:shd w:val="clear" w:fill="FFFFFF"/>
        </w:rPr>
        <w:t>债务付息支出（类）</w:t>
      </w:r>
      <w:r>
        <w:rPr>
          <w:rFonts w:hint="eastAsia" w:ascii="仿宋_GB2312" w:hAnsi="仿宋_GB2312" w:eastAsia="仿宋_GB2312" w:cs="仿宋_GB2312"/>
          <w:kern w:val="0"/>
          <w:sz w:val="32"/>
          <w:szCs w:val="32"/>
          <w:shd w:val="clear" w:fill="FFFFFF"/>
        </w:rPr>
        <w:t>0.00万元，占0.00%；</w:t>
      </w:r>
      <w:r>
        <w:rPr>
          <w:rStyle w:val="25"/>
          <w:rFonts w:hint="eastAsia" w:ascii="仿宋_GB2312" w:hAnsi="仿宋_GB2312" w:eastAsia="仿宋_GB2312" w:cs="仿宋_GB2312"/>
          <w:b/>
          <w:sz w:val="32"/>
          <w:szCs w:val="32"/>
          <w:shd w:val="clear" w:fill="FFFFFF"/>
        </w:rPr>
        <w:t>抗役特别国债安排的支出（类）</w:t>
      </w:r>
      <w:r>
        <w:rPr>
          <w:rFonts w:hint="eastAsia" w:ascii="仿宋_GB2312" w:hAnsi="仿宋_GB2312" w:eastAsia="仿宋_GB2312" w:cs="仿宋_GB2312"/>
          <w:kern w:val="0"/>
          <w:sz w:val="32"/>
          <w:szCs w:val="32"/>
          <w:shd w:val="clear" w:fill="FFFFFF"/>
        </w:rPr>
        <w:t>0.00万元，占0.00%。</w:t>
      </w:r>
    </w:p>
    <w:p>
      <w:pPr>
        <w:pStyle w:val="17"/>
        <w:keepNext w:val="0"/>
        <w:keepLines w:val="0"/>
        <w:widowControl/>
        <w:suppressLineNumbers w:val="0"/>
        <w:spacing w:before="0" w:beforeAutospacing="0"/>
        <w:ind w:left="0"/>
        <w:jc w:val="center"/>
        <w:rPr>
          <w:rFonts w:hint="eastAsia" w:ascii="宋体" w:hAnsi="宋体" w:eastAsia="宋体" w:cs="宋体"/>
          <w:kern w:val="0"/>
          <w:sz w:val="24"/>
          <w:szCs w:val="24"/>
        </w:rPr>
      </w:pPr>
      <w:r>
        <w:rPr>
          <w:rFonts w:hint="eastAsia" w:ascii="仿宋" w:hAnsi="仿宋" w:eastAsia="仿宋"/>
          <w:color w:val="000000"/>
          <w:sz w:val="32"/>
          <w:szCs w:val="32"/>
          <w:lang w:eastAsia="zh-CN"/>
        </w:rPr>
        <w:drawing>
          <wp:anchor distT="0" distB="0" distL="114300" distR="114300" simplePos="0" relativeHeight="251665408" behindDoc="0" locked="0" layoutInCell="1" allowOverlap="1">
            <wp:simplePos x="0" y="0"/>
            <wp:positionH relativeFrom="column">
              <wp:posOffset>277495</wp:posOffset>
            </wp:positionH>
            <wp:positionV relativeFrom="paragraph">
              <wp:posOffset>96520</wp:posOffset>
            </wp:positionV>
            <wp:extent cx="5080635" cy="3341370"/>
            <wp:effectExtent l="4445" t="4445" r="20320" b="6985"/>
            <wp:wrapTopAndBottom/>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Pr>
          <w:rFonts w:hint="eastAsia" w:ascii="宋体" w:hAnsi="宋体" w:eastAsia="宋体" w:cs="宋体"/>
          <w:kern w:val="0"/>
          <w:sz w:val="24"/>
          <w:szCs w:val="24"/>
          <w:shd w:val="clear" w:fill="FFFFFF"/>
        </w:rPr>
        <w:t>（图6：一般公共预算财政拨款支出决算结构）（饼状图）</w:t>
      </w:r>
    </w:p>
    <w:p>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76" w:lineRule="exact"/>
        <w:ind w:left="0" w:firstLine="480" w:firstLineChars="200"/>
        <w:jc w:val="both"/>
        <w:textAlignment w:val="auto"/>
        <w:outlineLvl w:val="2"/>
        <w:rPr>
          <w:rFonts w:hint="eastAsia" w:ascii="仿宋_GB2312" w:hAnsi="仿宋_GB2312" w:eastAsia="仿宋_GB2312" w:cs="仿宋_GB2312"/>
          <w:kern w:val="0"/>
          <w:sz w:val="32"/>
          <w:szCs w:val="32"/>
        </w:rPr>
      </w:pPr>
      <w:r>
        <w:rPr>
          <w:rFonts w:hint="eastAsia" w:ascii="宋体" w:hAnsi="宋体" w:eastAsia="宋体" w:cs="宋体"/>
          <w:kern w:val="0"/>
          <w:sz w:val="24"/>
          <w:szCs w:val="24"/>
          <w:shd w:val="clear" w:fill="FFFFFF"/>
        </w:rPr>
        <w:t xml:space="preserve"> </w:t>
      </w:r>
      <w:bookmarkStart w:id="21" w:name="_Toc8757"/>
      <w:r>
        <w:rPr>
          <w:rStyle w:val="25"/>
          <w:rFonts w:hint="eastAsia" w:ascii="仿宋_GB2312" w:hAnsi="仿宋_GB2312" w:eastAsia="仿宋_GB2312" w:cs="仿宋_GB2312"/>
          <w:b/>
          <w:sz w:val="32"/>
          <w:szCs w:val="32"/>
          <w:shd w:val="clear" w:fill="FFFFFF"/>
        </w:rPr>
        <w:t>（三）一般公共预算财政拨款支出决算具体情况</w:t>
      </w:r>
      <w:bookmarkEnd w:id="21"/>
    </w:p>
    <w:p>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76" w:lineRule="exact"/>
        <w:ind w:left="0" w:firstLine="640" w:firstLineChars="200"/>
        <w:jc w:val="both"/>
        <w:textAlignment w:val="auto"/>
        <w:rPr>
          <w:rFonts w:hint="eastAsia" w:ascii="仿宋_GB2312" w:hAnsi="仿宋_GB2312" w:eastAsia="仿宋_GB2312" w:cs="仿宋_GB2312"/>
          <w:kern w:val="0"/>
          <w:sz w:val="32"/>
          <w:szCs w:val="32"/>
          <w:shd w:val="clear" w:fill="FFFFFF"/>
        </w:rPr>
      </w:pPr>
      <w:r>
        <w:rPr>
          <w:rFonts w:hint="eastAsia" w:ascii="仿宋_GB2312" w:hAnsi="仿宋_GB2312" w:eastAsia="仿宋_GB2312" w:cs="仿宋_GB2312"/>
          <w:kern w:val="0"/>
          <w:sz w:val="32"/>
          <w:szCs w:val="32"/>
          <w:shd w:val="clear" w:fill="FFFFFF"/>
        </w:rPr>
        <w:t>2020年一般公共预算支出决算数为419.28</w:t>
      </w:r>
      <w:r>
        <w:rPr>
          <w:rFonts w:hint="eastAsia" w:ascii="仿宋_GB2312" w:hAnsi="仿宋_GB2312" w:eastAsia="仿宋_GB2312" w:cs="仿宋_GB2312"/>
          <w:kern w:val="0"/>
          <w:sz w:val="32"/>
          <w:szCs w:val="32"/>
          <w:shd w:val="clear" w:fill="FFFFFF"/>
          <w:lang w:eastAsia="zh-CN"/>
        </w:rPr>
        <w:t>万元</w:t>
      </w:r>
      <w:r>
        <w:rPr>
          <w:rFonts w:hint="eastAsia" w:ascii="仿宋_GB2312" w:hAnsi="仿宋_GB2312" w:eastAsia="仿宋_GB2312" w:cs="仿宋_GB2312"/>
          <w:kern w:val="0"/>
          <w:sz w:val="32"/>
          <w:szCs w:val="32"/>
          <w:shd w:val="clear" w:fill="FFFFFF"/>
        </w:rPr>
        <w:t>，完成预算97.67%。其中：</w:t>
      </w:r>
    </w:p>
    <w:p>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76" w:lineRule="exact"/>
        <w:ind w:left="0" w:firstLine="640" w:firstLineChars="200"/>
        <w:jc w:val="both"/>
        <w:textAlignment w:val="auto"/>
        <w:rPr>
          <w:rFonts w:hint="eastAsia" w:ascii="仿宋_GB2312" w:hAnsi="仿宋_GB2312" w:eastAsia="仿宋_GB2312" w:cs="仿宋_GB2312"/>
          <w:kern w:val="0"/>
          <w:sz w:val="32"/>
          <w:szCs w:val="32"/>
          <w:shd w:val="clear" w:fill="FFFFFF"/>
          <w:lang w:eastAsia="zh-CN"/>
        </w:rPr>
      </w:pPr>
      <w:r>
        <w:rPr>
          <w:rFonts w:hint="eastAsia" w:ascii="仿宋_GB2312" w:hAnsi="仿宋_GB2312" w:eastAsia="仿宋_GB2312" w:cs="仿宋_GB2312"/>
          <w:kern w:val="0"/>
          <w:sz w:val="32"/>
          <w:szCs w:val="32"/>
          <w:shd w:val="clear" w:fill="FFFFFF"/>
          <w:lang w:val="en-US" w:eastAsia="zh-CN"/>
        </w:rPr>
        <w:t>1.</w:t>
      </w:r>
      <w:r>
        <w:rPr>
          <w:rFonts w:hint="eastAsia" w:ascii="仿宋_GB2312" w:hAnsi="仿宋_GB2312" w:eastAsia="仿宋_GB2312" w:cs="仿宋_GB2312"/>
          <w:kern w:val="0"/>
          <w:sz w:val="32"/>
          <w:szCs w:val="32"/>
          <w:shd w:val="clear" w:fill="FFFFFF"/>
        </w:rPr>
        <w:t>一般公共服务支出决算为</w:t>
      </w:r>
      <w:r>
        <w:rPr>
          <w:rFonts w:hint="eastAsia" w:ascii="仿宋_GB2312" w:hAnsi="仿宋_GB2312" w:eastAsia="仿宋_GB2312" w:cs="仿宋_GB2312"/>
          <w:kern w:val="0"/>
          <w:sz w:val="32"/>
          <w:szCs w:val="32"/>
          <w:shd w:val="clear" w:fill="FFFFFF"/>
          <w:lang w:val="en-US" w:eastAsia="zh-CN"/>
        </w:rPr>
        <w:t>378.27</w:t>
      </w:r>
      <w:r>
        <w:rPr>
          <w:rFonts w:hint="eastAsia" w:ascii="仿宋_GB2312" w:hAnsi="仿宋_GB2312" w:eastAsia="仿宋_GB2312" w:cs="仿宋_GB2312"/>
          <w:kern w:val="0"/>
          <w:sz w:val="32"/>
          <w:szCs w:val="32"/>
          <w:shd w:val="clear" w:fill="FFFFFF"/>
        </w:rPr>
        <w:t>万元，完成预算</w:t>
      </w:r>
      <w:r>
        <w:rPr>
          <w:rFonts w:hint="eastAsia" w:ascii="仿宋_GB2312" w:hAnsi="仿宋_GB2312" w:eastAsia="仿宋_GB2312" w:cs="仿宋_GB2312"/>
          <w:kern w:val="0"/>
          <w:sz w:val="32"/>
          <w:szCs w:val="32"/>
          <w:shd w:val="clear" w:fill="FFFFFF"/>
          <w:lang w:val="en-US" w:eastAsia="zh-CN"/>
        </w:rPr>
        <w:t>100</w:t>
      </w:r>
      <w:r>
        <w:rPr>
          <w:rFonts w:hint="eastAsia" w:ascii="仿宋_GB2312" w:hAnsi="仿宋_GB2312" w:eastAsia="仿宋_GB2312" w:cs="仿宋_GB2312"/>
          <w:kern w:val="0"/>
          <w:sz w:val="32"/>
          <w:szCs w:val="32"/>
          <w:shd w:val="clear" w:fill="FFFFFF"/>
        </w:rPr>
        <w:t>%，决算数等于预算数</w:t>
      </w:r>
      <w:r>
        <w:rPr>
          <w:rFonts w:hint="eastAsia" w:ascii="仿宋_GB2312" w:hAnsi="仿宋_GB2312" w:eastAsia="仿宋_GB2312" w:cs="仿宋_GB2312"/>
          <w:kern w:val="0"/>
          <w:sz w:val="32"/>
          <w:szCs w:val="32"/>
          <w:shd w:val="clear" w:fill="FFFFFF"/>
          <w:lang w:eastAsia="zh-CN"/>
        </w:rPr>
        <w:t>。</w:t>
      </w:r>
    </w:p>
    <w:p>
      <w:pPr>
        <w:pStyle w:val="17"/>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Autospacing="0" w:line="576" w:lineRule="exact"/>
        <w:ind w:left="120" w:leftChars="0" w:right="0" w:rightChars="0" w:firstLine="640" w:firstLineChars="200"/>
        <w:jc w:val="both"/>
        <w:textAlignment w:val="auto"/>
        <w:rPr>
          <w:rFonts w:hint="eastAsia" w:ascii="仿宋_GB2312" w:hAnsi="仿宋_GB2312" w:eastAsia="仿宋_GB2312" w:cs="仿宋_GB2312"/>
          <w:kern w:val="0"/>
          <w:sz w:val="32"/>
          <w:szCs w:val="32"/>
          <w:shd w:val="clear" w:fill="FFFFFF"/>
          <w:lang w:val="en-US" w:eastAsia="zh-CN"/>
        </w:rPr>
      </w:pPr>
      <w:r>
        <w:rPr>
          <w:rFonts w:hint="eastAsia" w:ascii="仿宋_GB2312" w:hAnsi="仿宋_GB2312" w:eastAsia="仿宋_GB2312" w:cs="仿宋_GB2312"/>
          <w:kern w:val="0"/>
          <w:sz w:val="32"/>
          <w:szCs w:val="32"/>
          <w:shd w:val="clear" w:fill="FFFFFF"/>
          <w:lang w:val="en-US" w:eastAsia="zh-CN"/>
        </w:rPr>
        <w:t>2010350-事业运行支出决算数为184.04万元；2010399-其他政府办公厅（室）及相关机关事务支出决算数为179.54万元；2010207-专项普查活动支出决算数为14.69万元。</w:t>
      </w:r>
    </w:p>
    <w:p>
      <w:pPr>
        <w:pStyle w:val="17"/>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Autospacing="0" w:line="576" w:lineRule="exact"/>
        <w:ind w:left="120" w:leftChars="0" w:right="0" w:rightChars="0" w:firstLine="640" w:firstLineChars="200"/>
        <w:jc w:val="both"/>
        <w:textAlignment w:val="auto"/>
        <w:rPr>
          <w:rFonts w:hint="eastAsia" w:ascii="仿宋_GB2312" w:hAnsi="仿宋_GB2312" w:eastAsia="仿宋_GB2312" w:cs="仿宋_GB2312"/>
          <w:kern w:val="0"/>
          <w:sz w:val="32"/>
          <w:szCs w:val="32"/>
          <w:shd w:val="clear" w:fill="FFFFFF"/>
        </w:rPr>
      </w:pPr>
      <w:r>
        <w:rPr>
          <w:rFonts w:hint="eastAsia" w:ascii="仿宋_GB2312" w:hAnsi="仿宋_GB2312" w:eastAsia="仿宋_GB2312" w:cs="仿宋_GB2312"/>
          <w:kern w:val="0"/>
          <w:sz w:val="32"/>
          <w:szCs w:val="32"/>
          <w:shd w:val="clear" w:fill="FFFFFF"/>
          <w:lang w:val="en-US" w:eastAsia="zh-CN"/>
        </w:rPr>
        <w:t>2.</w:t>
      </w:r>
      <w:r>
        <w:rPr>
          <w:rFonts w:hint="eastAsia" w:ascii="仿宋_GB2312" w:hAnsi="仿宋_GB2312" w:eastAsia="仿宋_GB2312" w:cs="仿宋_GB2312"/>
          <w:kern w:val="0"/>
          <w:sz w:val="32"/>
          <w:szCs w:val="32"/>
          <w:shd w:val="clear" w:fill="FFFFFF"/>
        </w:rPr>
        <w:t>社会保障和就业支出决算为</w:t>
      </w:r>
      <w:r>
        <w:rPr>
          <w:rFonts w:hint="eastAsia" w:ascii="仿宋_GB2312" w:hAnsi="仿宋_GB2312" w:eastAsia="仿宋_GB2312" w:cs="仿宋_GB2312"/>
          <w:kern w:val="0"/>
          <w:sz w:val="32"/>
          <w:szCs w:val="32"/>
          <w:shd w:val="clear" w:fill="FFFFFF"/>
          <w:lang w:val="en-US" w:eastAsia="zh-CN"/>
        </w:rPr>
        <w:t>19.45</w:t>
      </w:r>
      <w:r>
        <w:rPr>
          <w:rFonts w:hint="eastAsia" w:ascii="仿宋_GB2312" w:hAnsi="仿宋_GB2312" w:eastAsia="仿宋_GB2312" w:cs="仿宋_GB2312"/>
          <w:kern w:val="0"/>
          <w:sz w:val="32"/>
          <w:szCs w:val="32"/>
          <w:shd w:val="clear" w:fill="FFFFFF"/>
        </w:rPr>
        <w:t>万元，完成预算</w:t>
      </w:r>
      <w:r>
        <w:rPr>
          <w:rFonts w:hint="eastAsia" w:ascii="仿宋_GB2312" w:hAnsi="仿宋_GB2312" w:eastAsia="仿宋_GB2312" w:cs="仿宋_GB2312"/>
          <w:kern w:val="0"/>
          <w:sz w:val="32"/>
          <w:szCs w:val="32"/>
          <w:shd w:val="clear" w:fill="FFFFFF"/>
          <w:lang w:val="en-US" w:eastAsia="zh-CN"/>
        </w:rPr>
        <w:t>100</w:t>
      </w:r>
      <w:r>
        <w:rPr>
          <w:rFonts w:hint="eastAsia" w:ascii="仿宋_GB2312" w:hAnsi="仿宋_GB2312" w:eastAsia="仿宋_GB2312" w:cs="仿宋_GB2312"/>
          <w:kern w:val="0"/>
          <w:sz w:val="32"/>
          <w:szCs w:val="32"/>
          <w:shd w:val="clear" w:fill="FFFFFF"/>
        </w:rPr>
        <w:t>%，决算数等于预算数。</w:t>
      </w:r>
    </w:p>
    <w:p>
      <w:pPr>
        <w:pStyle w:val="17"/>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Autospacing="0" w:line="576" w:lineRule="exact"/>
        <w:ind w:left="120" w:leftChars="0" w:right="0" w:rightChars="0" w:firstLine="640" w:firstLineChars="200"/>
        <w:jc w:val="both"/>
        <w:textAlignment w:val="auto"/>
        <w:rPr>
          <w:rFonts w:hint="eastAsia" w:ascii="仿宋_GB2312" w:hAnsi="仿宋_GB2312" w:eastAsia="仿宋_GB2312" w:cs="仿宋_GB2312"/>
          <w:kern w:val="0"/>
          <w:sz w:val="32"/>
          <w:szCs w:val="32"/>
          <w:shd w:val="clear" w:fill="FFFFFF"/>
          <w:lang w:val="en-US" w:eastAsia="zh-CN"/>
        </w:rPr>
      </w:pPr>
      <w:r>
        <w:rPr>
          <w:rFonts w:hint="eastAsia" w:ascii="仿宋_GB2312" w:hAnsi="仿宋_GB2312" w:eastAsia="仿宋_GB2312" w:cs="仿宋_GB2312"/>
          <w:kern w:val="0"/>
          <w:sz w:val="32"/>
          <w:szCs w:val="32"/>
          <w:shd w:val="clear" w:fill="FFFFFF"/>
          <w:lang w:val="en-US" w:eastAsia="zh-CN"/>
        </w:rPr>
        <w:t>2080505-机关事业单位基本养老保险缴费支出决算数为12.97万元；2080506-机关事业单位职业年金缴费支出决算数为6.84万元。</w:t>
      </w:r>
    </w:p>
    <w:p>
      <w:pPr>
        <w:pStyle w:val="17"/>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Autospacing="0" w:line="576" w:lineRule="exact"/>
        <w:ind w:left="120" w:leftChars="0" w:right="0" w:rightChars="0" w:firstLine="640" w:firstLineChars="200"/>
        <w:jc w:val="both"/>
        <w:textAlignment w:val="auto"/>
        <w:rPr>
          <w:rFonts w:hint="eastAsia" w:ascii="仿宋_GB2312" w:hAnsi="仿宋_GB2312" w:eastAsia="仿宋_GB2312" w:cs="仿宋_GB2312"/>
          <w:kern w:val="0"/>
          <w:sz w:val="32"/>
          <w:szCs w:val="32"/>
          <w:shd w:val="clear" w:fill="FFFFFF"/>
          <w:lang w:eastAsia="zh-CN"/>
        </w:rPr>
      </w:pPr>
      <w:r>
        <w:rPr>
          <w:rFonts w:hint="eastAsia" w:ascii="仿宋_GB2312" w:hAnsi="仿宋_GB2312" w:eastAsia="仿宋_GB2312" w:cs="仿宋_GB2312"/>
          <w:kern w:val="0"/>
          <w:sz w:val="32"/>
          <w:szCs w:val="32"/>
          <w:shd w:val="clear" w:fill="FFFFFF"/>
          <w:lang w:val="en-US" w:eastAsia="zh-CN"/>
        </w:rPr>
        <w:t>3.</w:t>
      </w:r>
      <w:r>
        <w:rPr>
          <w:rFonts w:hint="eastAsia" w:ascii="仿宋_GB2312" w:hAnsi="仿宋_GB2312" w:eastAsia="仿宋_GB2312" w:cs="仿宋_GB2312"/>
          <w:kern w:val="0"/>
          <w:sz w:val="32"/>
          <w:szCs w:val="32"/>
          <w:shd w:val="clear" w:fill="FFFFFF"/>
        </w:rPr>
        <w:t>卫生健康支出决算为</w:t>
      </w:r>
      <w:r>
        <w:rPr>
          <w:rFonts w:hint="eastAsia" w:ascii="仿宋_GB2312" w:hAnsi="仿宋_GB2312" w:eastAsia="仿宋_GB2312" w:cs="仿宋_GB2312"/>
          <w:kern w:val="0"/>
          <w:sz w:val="32"/>
          <w:szCs w:val="32"/>
          <w:shd w:val="clear" w:fill="FFFFFF"/>
          <w:lang w:val="en-US" w:eastAsia="zh-CN"/>
        </w:rPr>
        <w:t>8.82</w:t>
      </w:r>
      <w:r>
        <w:rPr>
          <w:rFonts w:hint="eastAsia" w:ascii="仿宋_GB2312" w:hAnsi="仿宋_GB2312" w:eastAsia="仿宋_GB2312" w:cs="仿宋_GB2312"/>
          <w:kern w:val="0"/>
          <w:sz w:val="32"/>
          <w:szCs w:val="32"/>
          <w:shd w:val="clear" w:fill="FFFFFF"/>
        </w:rPr>
        <w:t>万元，完成预算</w:t>
      </w:r>
      <w:r>
        <w:rPr>
          <w:rFonts w:hint="eastAsia" w:ascii="仿宋_GB2312" w:hAnsi="仿宋_GB2312" w:eastAsia="仿宋_GB2312" w:cs="仿宋_GB2312"/>
          <w:kern w:val="0"/>
          <w:sz w:val="32"/>
          <w:szCs w:val="32"/>
          <w:shd w:val="clear" w:fill="FFFFFF"/>
          <w:lang w:val="en-US" w:eastAsia="zh-CN"/>
        </w:rPr>
        <w:t>100</w:t>
      </w:r>
      <w:r>
        <w:rPr>
          <w:rFonts w:hint="eastAsia" w:ascii="仿宋_GB2312" w:hAnsi="仿宋_GB2312" w:eastAsia="仿宋_GB2312" w:cs="仿宋_GB2312"/>
          <w:kern w:val="0"/>
          <w:sz w:val="32"/>
          <w:szCs w:val="32"/>
          <w:shd w:val="clear" w:fill="FFFFFF"/>
        </w:rPr>
        <w:t>%，决算数等于预算数</w:t>
      </w:r>
      <w:r>
        <w:rPr>
          <w:rFonts w:hint="eastAsia" w:ascii="仿宋_GB2312" w:hAnsi="仿宋_GB2312" w:eastAsia="仿宋_GB2312" w:cs="仿宋_GB2312"/>
          <w:kern w:val="0"/>
          <w:sz w:val="32"/>
          <w:szCs w:val="32"/>
          <w:shd w:val="clear" w:fill="FFFFFF"/>
          <w:lang w:eastAsia="zh-CN"/>
        </w:rPr>
        <w:t>。</w:t>
      </w:r>
    </w:p>
    <w:p>
      <w:pPr>
        <w:pStyle w:val="17"/>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Autospacing="0" w:line="576" w:lineRule="exact"/>
        <w:ind w:left="120" w:leftChars="0" w:right="0" w:rightChars="0" w:firstLine="640" w:firstLineChars="200"/>
        <w:jc w:val="both"/>
        <w:textAlignment w:val="auto"/>
        <w:rPr>
          <w:rFonts w:hint="eastAsia" w:ascii="仿宋_GB2312" w:hAnsi="仿宋_GB2312" w:eastAsia="仿宋_GB2312" w:cs="仿宋_GB2312"/>
          <w:kern w:val="0"/>
          <w:sz w:val="32"/>
          <w:szCs w:val="32"/>
          <w:shd w:val="clear" w:fill="FFFFFF"/>
          <w:lang w:val="en-US" w:eastAsia="zh-CN"/>
        </w:rPr>
      </w:pPr>
      <w:r>
        <w:rPr>
          <w:rFonts w:hint="eastAsia" w:ascii="仿宋_GB2312" w:hAnsi="仿宋_GB2312" w:eastAsia="仿宋_GB2312" w:cs="仿宋_GB2312"/>
          <w:kern w:val="0"/>
          <w:sz w:val="32"/>
          <w:szCs w:val="32"/>
          <w:shd w:val="clear" w:fill="FFFFFF"/>
          <w:lang w:val="en-US" w:eastAsia="zh-CN"/>
        </w:rPr>
        <w:t>2101102-事业单位医疗支出决算数为7.15万元；2101199-其他行政事业单位医疗支出决算数为1.67万元。</w:t>
      </w:r>
    </w:p>
    <w:p>
      <w:pPr>
        <w:pStyle w:val="17"/>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Autospacing="0" w:line="576" w:lineRule="exact"/>
        <w:ind w:left="120" w:leftChars="0" w:right="0" w:rightChars="0" w:firstLine="640" w:firstLineChars="200"/>
        <w:jc w:val="both"/>
        <w:textAlignment w:val="auto"/>
        <w:rPr>
          <w:rFonts w:hint="eastAsia" w:ascii="仿宋_GB2312" w:hAnsi="仿宋_GB2312" w:eastAsia="仿宋_GB2312" w:cs="仿宋_GB2312"/>
          <w:kern w:val="0"/>
          <w:sz w:val="32"/>
          <w:szCs w:val="32"/>
          <w:shd w:val="clear" w:fill="FFFFFF"/>
          <w:lang w:val="en-US" w:eastAsia="zh-CN"/>
        </w:rPr>
      </w:pPr>
      <w:r>
        <w:rPr>
          <w:rFonts w:hint="eastAsia" w:ascii="仿宋_GB2312" w:hAnsi="仿宋_GB2312" w:eastAsia="仿宋_GB2312" w:cs="仿宋_GB2312"/>
          <w:kern w:val="0"/>
          <w:sz w:val="32"/>
          <w:szCs w:val="32"/>
          <w:shd w:val="clear" w:fill="FFFFFF"/>
          <w:lang w:val="en-US" w:eastAsia="zh-CN"/>
        </w:rPr>
        <w:t>4.住房保障支出决算数为12.74万元，完成预算100</w:t>
      </w:r>
      <w:r>
        <w:rPr>
          <w:rFonts w:hint="eastAsia" w:ascii="仿宋_GB2312" w:hAnsi="仿宋_GB2312" w:eastAsia="仿宋_GB2312" w:cs="仿宋_GB2312"/>
          <w:kern w:val="0"/>
          <w:sz w:val="32"/>
          <w:szCs w:val="32"/>
          <w:shd w:val="clear" w:fill="FFFFFF"/>
        </w:rPr>
        <w:t>%，决算数等于预算数</w:t>
      </w:r>
      <w:r>
        <w:rPr>
          <w:rFonts w:hint="eastAsia" w:ascii="仿宋_GB2312" w:hAnsi="仿宋_GB2312" w:eastAsia="仿宋_GB2312" w:cs="仿宋_GB2312"/>
          <w:kern w:val="0"/>
          <w:sz w:val="32"/>
          <w:szCs w:val="32"/>
          <w:shd w:val="clear" w:fill="FFFFFF"/>
          <w:lang w:eastAsia="zh-CN"/>
        </w:rPr>
        <w:t>。</w:t>
      </w:r>
    </w:p>
    <w:p>
      <w:pPr>
        <w:pStyle w:val="17"/>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Autospacing="0" w:line="576" w:lineRule="exact"/>
        <w:ind w:left="120" w:leftChars="0" w:right="0" w:rightChars="0" w:firstLine="640" w:firstLineChars="200"/>
        <w:jc w:val="both"/>
        <w:textAlignment w:val="auto"/>
        <w:rPr>
          <w:rFonts w:hint="eastAsia" w:ascii="仿宋_GB2312" w:hAnsi="仿宋_GB2312" w:eastAsia="仿宋_GB2312" w:cs="仿宋_GB2312"/>
          <w:kern w:val="0"/>
          <w:sz w:val="32"/>
          <w:szCs w:val="32"/>
          <w:shd w:val="clear" w:fill="FFFFFF"/>
          <w:lang w:val="en-US" w:eastAsia="zh-CN"/>
        </w:rPr>
      </w:pPr>
      <w:r>
        <w:rPr>
          <w:rFonts w:hint="eastAsia" w:ascii="仿宋_GB2312" w:hAnsi="仿宋_GB2312" w:eastAsia="仿宋_GB2312" w:cs="仿宋_GB2312"/>
          <w:kern w:val="0"/>
          <w:sz w:val="32"/>
          <w:szCs w:val="32"/>
          <w:shd w:val="clear" w:fill="FFFFFF"/>
          <w:lang w:val="en-US" w:eastAsia="zh-CN"/>
        </w:rPr>
        <w:t>2210201-住房公积金支出决算数为12.74万元。</w:t>
      </w:r>
    </w:p>
    <w:p>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76" w:lineRule="exact"/>
        <w:ind w:left="0" w:firstLine="643" w:firstLineChars="200"/>
        <w:jc w:val="both"/>
        <w:textAlignment w:val="auto"/>
        <w:outlineLvl w:val="1"/>
        <w:rPr>
          <w:rFonts w:hint="eastAsia" w:ascii="仿宋_GB2312" w:hAnsi="仿宋_GB2312" w:eastAsia="仿宋_GB2312" w:cs="仿宋_GB2312"/>
          <w:kern w:val="0"/>
          <w:sz w:val="32"/>
          <w:szCs w:val="32"/>
        </w:rPr>
      </w:pPr>
      <w:bookmarkStart w:id="22" w:name="_Toc26473"/>
      <w:bookmarkStart w:id="23" w:name="_Toc16926"/>
      <w:r>
        <w:rPr>
          <w:rStyle w:val="25"/>
          <w:rFonts w:hint="eastAsia" w:ascii="仿宋_GB2312" w:hAnsi="仿宋_GB2312" w:eastAsia="仿宋_GB2312" w:cs="仿宋_GB2312"/>
          <w:b/>
          <w:sz w:val="32"/>
          <w:szCs w:val="32"/>
          <w:shd w:val="clear" w:fill="FFFFFF"/>
        </w:rPr>
        <w:t>六、一般公共预算财政拨款基本支出决算情况说明</w:t>
      </w:r>
      <w:bookmarkEnd w:id="22"/>
      <w:bookmarkEnd w:id="23"/>
      <w:r>
        <w:rPr>
          <w:rFonts w:hint="eastAsia" w:ascii="仿宋_GB2312" w:hAnsi="仿宋_GB2312" w:eastAsia="仿宋_GB2312" w:cs="仿宋_GB2312"/>
          <w:kern w:val="0"/>
          <w:sz w:val="32"/>
          <w:szCs w:val="32"/>
          <w:shd w:val="clear" w:fill="FFFFFF"/>
        </w:rPr>
        <w:t xml:space="preserve">      </w:t>
      </w:r>
    </w:p>
    <w:p>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76" w:lineRule="exact"/>
        <w:ind w:left="0" w:firstLine="640" w:firstLineChars="200"/>
        <w:jc w:val="both"/>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shd w:val="clear" w:fill="FFFFFF"/>
        </w:rPr>
        <w:t>2020年一般公共预算财政拨款基本支出225.05万元，其中：</w:t>
      </w:r>
    </w:p>
    <w:p>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76" w:lineRule="exact"/>
        <w:ind w:left="0" w:firstLine="640" w:firstLineChars="200"/>
        <w:jc w:val="both"/>
        <w:textAlignment w:val="auto"/>
        <w:rPr>
          <w:rFonts w:hint="eastAsia" w:ascii="仿宋_GB2312" w:hAnsi="仿宋_GB2312" w:eastAsia="仿宋_GB2312" w:cs="仿宋_GB2312"/>
          <w:kern w:val="0"/>
          <w:sz w:val="32"/>
          <w:szCs w:val="32"/>
          <w:shd w:val="clear" w:fill="FFFFFF"/>
        </w:rPr>
      </w:pPr>
      <w:r>
        <w:rPr>
          <w:rFonts w:hint="eastAsia" w:ascii="仿宋_GB2312" w:hAnsi="仿宋_GB2312" w:eastAsia="仿宋_GB2312" w:cs="仿宋_GB2312"/>
          <w:kern w:val="0"/>
          <w:sz w:val="32"/>
          <w:szCs w:val="32"/>
          <w:shd w:val="clear" w:fill="FFFFFF"/>
        </w:rPr>
        <w:t>人员经费149.95万元，主要包括：基本工资、津贴补贴、奖金、伙食补助费、绩效工资、机关事业单位基本养老保险缴费、职业年金缴费、 其 他社会保障缴费、其他工资福利支出、离休费、退休费、抚恤金、生活补助、医疗费补助、奖励金、住房公积金、其他对个人和家庭的补助支出等。</w:t>
      </w:r>
    </w:p>
    <w:p>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76" w:lineRule="exact"/>
        <w:ind w:left="0" w:firstLine="640" w:firstLineChars="200"/>
        <w:jc w:val="both"/>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shd w:val="clear" w:fill="FFFFFF"/>
        </w:rPr>
        <w:t>日常公用经费75.09万元，主要包括：办公费、印刷费、咨询费、手续费、水费、电费、邮电费、取暖费、物业管理费、差旅费、因公出国 （境）费用、维修（护）费、租赁费、会议费、培训费、公务接待费、劳务费、委托业务费、工会经费、福利费、公务用车运行维护费、其他交通费、税金及附加费 用、其他商品和服务支出、办公设备购置、专用设备购置、信息网络及软件购置更新、其他资本性支出等。</w:t>
      </w:r>
    </w:p>
    <w:p>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76" w:lineRule="exact"/>
        <w:ind w:left="0" w:firstLine="643" w:firstLineChars="200"/>
        <w:jc w:val="both"/>
        <w:textAlignment w:val="auto"/>
        <w:outlineLvl w:val="1"/>
        <w:rPr>
          <w:rFonts w:hint="eastAsia" w:ascii="黑体" w:hAnsi="黑体" w:eastAsia="黑体" w:cs="黑体"/>
          <w:kern w:val="0"/>
          <w:sz w:val="32"/>
          <w:szCs w:val="32"/>
        </w:rPr>
      </w:pPr>
      <w:bookmarkStart w:id="24" w:name="_Toc25827"/>
      <w:bookmarkStart w:id="25" w:name="_Toc14275"/>
      <w:r>
        <w:rPr>
          <w:rStyle w:val="25"/>
          <w:rFonts w:hint="eastAsia" w:ascii="黑体" w:hAnsi="黑体" w:eastAsia="黑体" w:cs="黑体"/>
          <w:b/>
          <w:sz w:val="32"/>
          <w:szCs w:val="32"/>
          <w:shd w:val="clear" w:fill="FFFFFF"/>
        </w:rPr>
        <w:t>七、“三公”经费财政拨款支出决算情况说明</w:t>
      </w:r>
      <w:bookmarkEnd w:id="24"/>
      <w:bookmarkEnd w:id="25"/>
    </w:p>
    <w:p>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76" w:lineRule="exact"/>
        <w:ind w:left="0" w:firstLine="643" w:firstLineChars="200"/>
        <w:jc w:val="both"/>
        <w:textAlignment w:val="auto"/>
        <w:outlineLvl w:val="2"/>
        <w:rPr>
          <w:rFonts w:hint="eastAsia" w:ascii="楷体_GB2312" w:hAnsi="楷体_GB2312" w:eastAsia="楷体_GB2312" w:cs="楷体_GB2312"/>
          <w:kern w:val="0"/>
          <w:sz w:val="32"/>
          <w:szCs w:val="32"/>
        </w:rPr>
      </w:pPr>
      <w:bookmarkStart w:id="26" w:name="_Toc5795"/>
      <w:r>
        <w:rPr>
          <w:rStyle w:val="25"/>
          <w:rFonts w:hint="eastAsia" w:ascii="楷体_GB2312" w:hAnsi="楷体_GB2312" w:eastAsia="楷体_GB2312" w:cs="楷体_GB2312"/>
          <w:b/>
          <w:sz w:val="32"/>
          <w:szCs w:val="32"/>
          <w:shd w:val="clear" w:fill="FFFFFF"/>
        </w:rPr>
        <w:t>（一）“三公”经费财政拨款支出决算总体情况说明</w:t>
      </w:r>
      <w:bookmarkEnd w:id="26"/>
    </w:p>
    <w:p>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76" w:lineRule="exact"/>
        <w:ind w:left="0" w:firstLine="640" w:firstLineChars="200"/>
        <w:jc w:val="both"/>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shd w:val="clear" w:fill="FFFFFF"/>
        </w:rPr>
        <w:t xml:space="preserve"> 2020年“三公”经费财政拨款支出决算为207.66万元，完成预算100.00%，决算数与预算数持平</w:t>
      </w:r>
      <w:r>
        <w:rPr>
          <w:rFonts w:hint="eastAsia" w:ascii="仿宋_GB2312" w:hAnsi="仿宋_GB2312" w:eastAsia="仿宋_GB2312" w:cs="仿宋_GB2312"/>
          <w:kern w:val="0"/>
          <w:sz w:val="32"/>
          <w:szCs w:val="32"/>
          <w:shd w:val="clear" w:fill="FFFFFF"/>
          <w:lang w:eastAsia="zh-CN"/>
        </w:rPr>
        <w:t>。</w:t>
      </w:r>
    </w:p>
    <w:p>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76" w:lineRule="exact"/>
        <w:ind w:left="0" w:firstLine="643" w:firstLineChars="200"/>
        <w:jc w:val="both"/>
        <w:textAlignment w:val="auto"/>
        <w:outlineLvl w:val="2"/>
        <w:rPr>
          <w:rFonts w:hint="eastAsia" w:ascii="楷体_GB2312" w:hAnsi="楷体_GB2312" w:eastAsia="楷体_GB2312" w:cs="楷体_GB2312"/>
          <w:kern w:val="0"/>
          <w:sz w:val="32"/>
          <w:szCs w:val="32"/>
        </w:rPr>
      </w:pPr>
      <w:bookmarkStart w:id="27" w:name="_Toc3719"/>
      <w:r>
        <w:rPr>
          <w:rStyle w:val="25"/>
          <w:rFonts w:hint="eastAsia" w:ascii="楷体_GB2312" w:hAnsi="楷体_GB2312" w:eastAsia="楷体_GB2312" w:cs="楷体_GB2312"/>
          <w:b/>
          <w:sz w:val="32"/>
          <w:szCs w:val="32"/>
          <w:shd w:val="clear" w:fill="FFFFFF"/>
        </w:rPr>
        <w:t>（二）“三公”经费财政拨款支出决算具体情况说明</w:t>
      </w:r>
      <w:bookmarkEnd w:id="27"/>
    </w:p>
    <w:p>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76" w:lineRule="exact"/>
        <w:ind w:left="0" w:firstLine="640" w:firstLineChars="200"/>
        <w:jc w:val="both"/>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shd w:val="clear" w:fill="FFFFFF"/>
        </w:rPr>
        <w:t xml:space="preserve"> 2020年“三公”经费财政拨款支出决算中，因公出国（境）费支出决算0.00万元，占 0.00%；公务用车购置及运行维护费支出决算13.43万元，占 0.06%；公务接待费支出决算194.23万元，占 0.94%。具体情况如下：</w:t>
      </w:r>
    </w:p>
    <w:p>
      <w:pPr>
        <w:pStyle w:val="17"/>
        <w:keepNext w:val="0"/>
        <w:keepLines w:val="0"/>
        <w:widowControl/>
        <w:suppressLineNumbers w:val="0"/>
        <w:spacing w:before="0" w:beforeAutospacing="0"/>
        <w:ind w:left="0"/>
        <w:jc w:val="center"/>
        <w:rPr>
          <w:rFonts w:hint="eastAsia" w:ascii="宋体" w:hAnsi="宋体" w:eastAsia="宋体" w:cs="宋体"/>
          <w:kern w:val="0"/>
          <w:sz w:val="24"/>
          <w:szCs w:val="24"/>
        </w:rPr>
      </w:pPr>
      <w:r>
        <w:rPr>
          <w:rFonts w:hint="eastAsia" w:ascii="仿宋" w:hAnsi="仿宋" w:eastAsia="仿宋"/>
          <w:color w:val="000000"/>
          <w:sz w:val="32"/>
          <w:szCs w:val="32"/>
          <w:lang w:eastAsia="zh-CN"/>
        </w:rPr>
        <w:drawing>
          <wp:anchor distT="0" distB="0" distL="114300" distR="114300" simplePos="0" relativeHeight="251664384" behindDoc="0" locked="0" layoutInCell="1" allowOverlap="1">
            <wp:simplePos x="0" y="0"/>
            <wp:positionH relativeFrom="column">
              <wp:posOffset>357505</wp:posOffset>
            </wp:positionH>
            <wp:positionV relativeFrom="paragraph">
              <wp:posOffset>156210</wp:posOffset>
            </wp:positionV>
            <wp:extent cx="5168900" cy="2787015"/>
            <wp:effectExtent l="4445" t="4445" r="8255" b="8890"/>
            <wp:wrapTopAndBottom/>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Pr>
          <w:rFonts w:hint="eastAsia" w:ascii="宋体" w:hAnsi="宋体" w:eastAsia="宋体" w:cs="宋体"/>
          <w:kern w:val="0"/>
          <w:sz w:val="24"/>
          <w:szCs w:val="24"/>
          <w:shd w:val="clear" w:fill="FFFFFF"/>
        </w:rPr>
        <w:t>（图7：“三公”经费财政拨款支出结构）（饼状图）</w:t>
      </w:r>
    </w:p>
    <w:p>
      <w:pPr>
        <w:pStyle w:val="17"/>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Autospacing="0" w:line="576" w:lineRule="exact"/>
        <w:ind w:right="0" w:rightChars="0" w:firstLine="643" w:firstLineChars="200"/>
        <w:jc w:val="both"/>
        <w:textAlignment w:val="auto"/>
        <w:rPr>
          <w:rFonts w:hint="eastAsia" w:ascii="仿宋_GB2312" w:hAnsi="仿宋_GB2312" w:eastAsia="仿宋_GB2312" w:cs="仿宋_GB2312"/>
          <w:kern w:val="0"/>
          <w:sz w:val="32"/>
          <w:szCs w:val="32"/>
          <w:shd w:val="clear" w:fill="FFFFFF"/>
          <w:lang w:eastAsia="zh-CN"/>
        </w:rPr>
      </w:pPr>
      <w:r>
        <w:rPr>
          <w:rStyle w:val="25"/>
          <w:rFonts w:hint="eastAsia" w:ascii="仿宋_GB2312" w:hAnsi="仿宋_GB2312" w:eastAsia="仿宋_GB2312" w:cs="仿宋_GB2312"/>
          <w:b/>
          <w:sz w:val="32"/>
          <w:szCs w:val="32"/>
          <w:shd w:val="clear" w:fill="FFFFFF"/>
          <w:lang w:val="en-US" w:eastAsia="zh-CN"/>
        </w:rPr>
        <w:t>1.</w:t>
      </w:r>
      <w:r>
        <w:rPr>
          <w:rStyle w:val="25"/>
          <w:rFonts w:hint="eastAsia" w:ascii="仿宋_GB2312" w:hAnsi="仿宋_GB2312" w:eastAsia="仿宋_GB2312" w:cs="仿宋_GB2312"/>
          <w:b/>
          <w:sz w:val="32"/>
          <w:szCs w:val="32"/>
          <w:shd w:val="clear" w:fill="FFFFFF"/>
        </w:rPr>
        <w:t>因公出国（境）经费支出</w:t>
      </w:r>
      <w:r>
        <w:rPr>
          <w:rFonts w:hint="eastAsia" w:ascii="仿宋_GB2312" w:hAnsi="仿宋_GB2312" w:eastAsia="仿宋_GB2312" w:cs="仿宋_GB2312"/>
          <w:kern w:val="0"/>
          <w:sz w:val="32"/>
          <w:szCs w:val="32"/>
          <w:shd w:val="clear" w:fill="FFFFFF"/>
        </w:rPr>
        <w:t>0.00</w:t>
      </w:r>
      <w:r>
        <w:rPr>
          <w:rStyle w:val="25"/>
          <w:rFonts w:hint="eastAsia" w:ascii="仿宋_GB2312" w:hAnsi="仿宋_GB2312" w:eastAsia="仿宋_GB2312" w:cs="仿宋_GB2312"/>
          <w:b/>
          <w:sz w:val="32"/>
          <w:szCs w:val="32"/>
          <w:shd w:val="clear" w:fill="FFFFFF"/>
        </w:rPr>
        <w:t>万元，完成预算</w:t>
      </w:r>
      <w:r>
        <w:rPr>
          <w:rFonts w:hint="eastAsia" w:ascii="仿宋_GB2312" w:hAnsi="仿宋_GB2312" w:eastAsia="仿宋_GB2312" w:cs="仿宋_GB2312"/>
          <w:kern w:val="0"/>
          <w:sz w:val="32"/>
          <w:szCs w:val="32"/>
          <w:shd w:val="clear" w:fill="FFFFFF"/>
        </w:rPr>
        <w:t>0.00</w:t>
      </w:r>
      <w:r>
        <w:rPr>
          <w:rStyle w:val="25"/>
          <w:rFonts w:hint="eastAsia" w:ascii="仿宋_GB2312" w:hAnsi="仿宋_GB2312" w:eastAsia="仿宋_GB2312" w:cs="仿宋_GB2312"/>
          <w:b/>
          <w:sz w:val="32"/>
          <w:szCs w:val="32"/>
          <w:shd w:val="clear" w:fill="FFFFFF"/>
        </w:rPr>
        <w:t>%。</w:t>
      </w:r>
      <w:r>
        <w:rPr>
          <w:rFonts w:hint="eastAsia" w:ascii="仿宋_GB2312" w:hAnsi="仿宋_GB2312" w:eastAsia="仿宋_GB2312" w:cs="仿宋_GB2312"/>
          <w:kern w:val="0"/>
          <w:sz w:val="32"/>
          <w:szCs w:val="32"/>
          <w:shd w:val="clear" w:fill="FFFFFF"/>
        </w:rPr>
        <w:t>全年安排因公出国（境）团组0个，出国（境）0人。因公出国（境）支出决算比2019年增加 0.00万元</w:t>
      </w:r>
      <w:r>
        <w:rPr>
          <w:rFonts w:hint="eastAsia" w:ascii="仿宋_GB2312" w:hAnsi="仿宋_GB2312" w:eastAsia="仿宋_GB2312" w:cs="仿宋_GB2312"/>
          <w:kern w:val="0"/>
          <w:sz w:val="32"/>
          <w:szCs w:val="32"/>
          <w:shd w:val="clear" w:fill="FFFFFF"/>
          <w:lang w:eastAsia="zh-CN"/>
        </w:rPr>
        <w:t>。</w:t>
      </w:r>
    </w:p>
    <w:p>
      <w:pPr>
        <w:pStyle w:val="17"/>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Autospacing="0" w:line="576" w:lineRule="exact"/>
        <w:ind w:right="0" w:rightChars="0" w:firstLine="643" w:firstLineChars="200"/>
        <w:jc w:val="both"/>
        <w:textAlignment w:val="auto"/>
        <w:rPr>
          <w:rFonts w:hint="eastAsia" w:ascii="仿宋_GB2312" w:hAnsi="仿宋_GB2312" w:eastAsia="仿宋_GB2312" w:cs="仿宋_GB2312"/>
          <w:kern w:val="0"/>
          <w:sz w:val="32"/>
          <w:szCs w:val="32"/>
        </w:rPr>
      </w:pPr>
      <w:r>
        <w:rPr>
          <w:rStyle w:val="25"/>
          <w:rFonts w:hint="eastAsia" w:ascii="仿宋_GB2312" w:hAnsi="仿宋_GB2312" w:eastAsia="仿宋_GB2312" w:cs="仿宋_GB2312"/>
          <w:b/>
          <w:sz w:val="32"/>
          <w:szCs w:val="32"/>
          <w:shd w:val="clear" w:fill="FFFFFF"/>
        </w:rPr>
        <w:t>2.公务用车购置及运行维护费支出</w:t>
      </w:r>
      <w:r>
        <w:rPr>
          <w:rFonts w:hint="eastAsia" w:ascii="仿宋_GB2312" w:hAnsi="仿宋_GB2312" w:eastAsia="仿宋_GB2312" w:cs="仿宋_GB2312"/>
          <w:kern w:val="0"/>
          <w:sz w:val="32"/>
          <w:szCs w:val="32"/>
          <w:shd w:val="clear" w:fill="FFFFFF"/>
        </w:rPr>
        <w:t>13.43</w:t>
      </w:r>
      <w:r>
        <w:rPr>
          <w:rStyle w:val="25"/>
          <w:rFonts w:hint="eastAsia" w:ascii="仿宋_GB2312" w:hAnsi="仿宋_GB2312" w:eastAsia="仿宋_GB2312" w:cs="仿宋_GB2312"/>
          <w:b/>
          <w:sz w:val="32"/>
          <w:szCs w:val="32"/>
          <w:shd w:val="clear" w:fill="FFFFFF"/>
        </w:rPr>
        <w:t>万元,完成预算</w:t>
      </w:r>
      <w:r>
        <w:rPr>
          <w:rFonts w:hint="eastAsia" w:ascii="仿宋_GB2312" w:hAnsi="仿宋_GB2312" w:eastAsia="仿宋_GB2312" w:cs="仿宋_GB2312"/>
          <w:kern w:val="0"/>
          <w:sz w:val="32"/>
          <w:szCs w:val="32"/>
          <w:shd w:val="clear" w:fill="FFFFFF"/>
        </w:rPr>
        <w:t>100.00</w:t>
      </w:r>
      <w:r>
        <w:rPr>
          <w:rStyle w:val="25"/>
          <w:rFonts w:hint="eastAsia" w:ascii="仿宋_GB2312" w:hAnsi="仿宋_GB2312" w:eastAsia="仿宋_GB2312" w:cs="仿宋_GB2312"/>
          <w:b/>
          <w:sz w:val="32"/>
          <w:szCs w:val="32"/>
          <w:shd w:val="clear" w:fill="FFFFFF"/>
        </w:rPr>
        <w:t>%。</w:t>
      </w:r>
      <w:r>
        <w:rPr>
          <w:rFonts w:hint="eastAsia" w:ascii="仿宋_GB2312" w:hAnsi="仿宋_GB2312" w:eastAsia="仿宋_GB2312" w:cs="仿宋_GB2312"/>
          <w:kern w:val="0"/>
          <w:sz w:val="32"/>
          <w:szCs w:val="32"/>
          <w:shd w:val="clear" w:fill="FFFFFF"/>
        </w:rPr>
        <w:t>公务用车购置及运行维护费支出决算比2019年增加3.17万元，增长30.91%。主要原因是</w:t>
      </w:r>
      <w:r>
        <w:rPr>
          <w:rFonts w:hint="eastAsia" w:ascii="仿宋_GB2312" w:hAnsi="仿宋_GB2312" w:eastAsia="仿宋_GB2312" w:cs="仿宋_GB2312"/>
          <w:kern w:val="0"/>
          <w:sz w:val="32"/>
          <w:szCs w:val="32"/>
          <w:shd w:val="clear" w:fill="FFFFFF"/>
          <w:lang w:eastAsia="zh-CN"/>
        </w:rPr>
        <w:t>下乡任务加重，车辆维修费用增加</w:t>
      </w:r>
      <w:r>
        <w:rPr>
          <w:rStyle w:val="25"/>
          <w:rFonts w:hint="eastAsia" w:ascii="仿宋_GB2312" w:hAnsi="仿宋_GB2312" w:eastAsia="仿宋_GB2312" w:cs="仿宋_GB2312"/>
          <w:b/>
          <w:sz w:val="32"/>
          <w:szCs w:val="32"/>
          <w:shd w:val="clear" w:fill="FFFFFF"/>
        </w:rPr>
        <w:t>，</w:t>
      </w:r>
      <w:r>
        <w:rPr>
          <w:rFonts w:hint="eastAsia" w:ascii="仿宋_GB2312" w:hAnsi="仿宋_GB2312" w:eastAsia="仿宋_GB2312" w:cs="仿宋_GB2312"/>
          <w:kern w:val="0"/>
          <w:sz w:val="32"/>
          <w:szCs w:val="32"/>
          <w:shd w:val="clear" w:fill="FFFFFF"/>
        </w:rPr>
        <w:t>其中：</w:t>
      </w:r>
      <w:r>
        <w:rPr>
          <w:rStyle w:val="25"/>
          <w:rFonts w:hint="eastAsia" w:ascii="仿宋_GB2312" w:hAnsi="仿宋_GB2312" w:eastAsia="仿宋_GB2312" w:cs="仿宋_GB2312"/>
          <w:b/>
          <w:sz w:val="32"/>
          <w:szCs w:val="32"/>
          <w:shd w:val="clear" w:fill="FFFFFF"/>
        </w:rPr>
        <w:t>公务用车购置支出</w:t>
      </w:r>
      <w:r>
        <w:rPr>
          <w:rFonts w:hint="eastAsia" w:ascii="仿宋_GB2312" w:hAnsi="仿宋_GB2312" w:eastAsia="仿宋_GB2312" w:cs="仿宋_GB2312"/>
          <w:kern w:val="0"/>
          <w:sz w:val="32"/>
          <w:szCs w:val="32"/>
          <w:shd w:val="clear" w:fill="FFFFFF"/>
        </w:rPr>
        <w:t>0.00</w:t>
      </w:r>
      <w:r>
        <w:rPr>
          <w:rStyle w:val="25"/>
          <w:rFonts w:hint="eastAsia" w:ascii="仿宋_GB2312" w:hAnsi="仿宋_GB2312" w:eastAsia="仿宋_GB2312" w:cs="仿宋_GB2312"/>
          <w:b/>
          <w:sz w:val="32"/>
          <w:szCs w:val="32"/>
          <w:shd w:val="clear" w:fill="FFFFFF"/>
        </w:rPr>
        <w:t>万元。</w:t>
      </w:r>
      <w:r>
        <w:rPr>
          <w:rFonts w:hint="eastAsia" w:ascii="仿宋_GB2312" w:hAnsi="仿宋_GB2312" w:eastAsia="仿宋_GB2312" w:cs="仿宋_GB2312"/>
          <w:kern w:val="0"/>
          <w:sz w:val="32"/>
          <w:szCs w:val="32"/>
          <w:shd w:val="clear" w:fill="FFFFFF"/>
        </w:rPr>
        <w:t>全年按规定更新购置公务用车0辆，金额0.00万元。截至2020年12月底，单位共有公务用车 2辆，其中：主要领导干部用车0辆、机要通信用车0辆、应 急保障用车2辆、执法执勤用车0辆、特种专业技术用车0 辆、离退休干部用车0辆、其他用车0辆。</w:t>
      </w:r>
    </w:p>
    <w:p>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76" w:lineRule="exact"/>
        <w:ind w:left="0" w:firstLine="643" w:firstLineChars="200"/>
        <w:jc w:val="both"/>
        <w:textAlignment w:val="auto"/>
        <w:rPr>
          <w:rFonts w:hint="eastAsia" w:ascii="仿宋_GB2312" w:hAnsi="仿宋_GB2312" w:eastAsia="仿宋_GB2312" w:cs="仿宋_GB2312"/>
          <w:kern w:val="0"/>
          <w:sz w:val="32"/>
          <w:szCs w:val="32"/>
        </w:rPr>
      </w:pPr>
      <w:r>
        <w:rPr>
          <w:rStyle w:val="25"/>
          <w:rFonts w:hint="eastAsia" w:ascii="仿宋_GB2312" w:hAnsi="仿宋_GB2312" w:eastAsia="仿宋_GB2312" w:cs="仿宋_GB2312"/>
          <w:b/>
          <w:sz w:val="32"/>
          <w:szCs w:val="32"/>
          <w:shd w:val="clear" w:fill="FFFFFF"/>
          <w:lang w:val="en-US" w:eastAsia="zh-CN"/>
        </w:rPr>
        <w:t>3.</w:t>
      </w:r>
      <w:r>
        <w:rPr>
          <w:rStyle w:val="25"/>
          <w:rFonts w:hint="eastAsia" w:ascii="仿宋_GB2312" w:hAnsi="仿宋_GB2312" w:eastAsia="仿宋_GB2312" w:cs="仿宋_GB2312"/>
          <w:b/>
          <w:sz w:val="32"/>
          <w:szCs w:val="32"/>
          <w:shd w:val="clear" w:fill="FFFFFF"/>
        </w:rPr>
        <w:t>公务用车运行维护费支出</w:t>
      </w:r>
      <w:r>
        <w:rPr>
          <w:rFonts w:hint="eastAsia" w:ascii="仿宋_GB2312" w:hAnsi="仿宋_GB2312" w:eastAsia="仿宋_GB2312" w:cs="仿宋_GB2312"/>
          <w:kern w:val="0"/>
          <w:sz w:val="32"/>
          <w:szCs w:val="32"/>
          <w:shd w:val="clear" w:fill="FFFFFF"/>
        </w:rPr>
        <w:t>13.43</w:t>
      </w:r>
      <w:r>
        <w:rPr>
          <w:rStyle w:val="25"/>
          <w:rFonts w:hint="eastAsia" w:ascii="仿宋_GB2312" w:hAnsi="仿宋_GB2312" w:eastAsia="仿宋_GB2312" w:cs="仿宋_GB2312"/>
          <w:b/>
          <w:sz w:val="32"/>
          <w:szCs w:val="32"/>
          <w:shd w:val="clear" w:fill="FFFFFF"/>
        </w:rPr>
        <w:t>万元。</w:t>
      </w:r>
      <w:r>
        <w:rPr>
          <w:rFonts w:hint="eastAsia" w:ascii="仿宋_GB2312" w:hAnsi="仿宋_GB2312" w:eastAsia="仿宋_GB2312" w:cs="仿宋_GB2312"/>
          <w:kern w:val="0"/>
          <w:sz w:val="32"/>
          <w:szCs w:val="32"/>
          <w:shd w:val="clear" w:fill="FFFFFF"/>
        </w:rPr>
        <w:t>主要用于所需的公务用车燃料费、维修费、过路过桥费、保险费等支出。</w:t>
      </w:r>
    </w:p>
    <w:p>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76" w:lineRule="exact"/>
        <w:ind w:left="0" w:firstLine="643" w:firstLineChars="200"/>
        <w:jc w:val="both"/>
        <w:textAlignment w:val="auto"/>
        <w:rPr>
          <w:rFonts w:hint="eastAsia" w:ascii="仿宋_GB2312" w:hAnsi="仿宋_GB2312" w:eastAsia="仿宋_GB2312" w:cs="仿宋_GB2312"/>
          <w:kern w:val="0"/>
          <w:sz w:val="32"/>
          <w:szCs w:val="32"/>
        </w:rPr>
      </w:pPr>
      <w:r>
        <w:rPr>
          <w:rStyle w:val="25"/>
          <w:rFonts w:hint="eastAsia" w:ascii="仿宋_GB2312" w:hAnsi="仿宋_GB2312" w:eastAsia="仿宋_GB2312" w:cs="仿宋_GB2312"/>
          <w:b/>
          <w:sz w:val="32"/>
          <w:szCs w:val="32"/>
          <w:shd w:val="clear" w:fill="FFFFFF"/>
          <w:lang w:val="en-US" w:eastAsia="zh-CN"/>
        </w:rPr>
        <w:t>4.</w:t>
      </w:r>
      <w:r>
        <w:rPr>
          <w:rStyle w:val="25"/>
          <w:rFonts w:hint="eastAsia" w:ascii="仿宋_GB2312" w:hAnsi="仿宋_GB2312" w:eastAsia="仿宋_GB2312" w:cs="仿宋_GB2312"/>
          <w:b/>
          <w:sz w:val="32"/>
          <w:szCs w:val="32"/>
          <w:shd w:val="clear" w:fill="FFFFFF"/>
        </w:rPr>
        <w:t>公务接待费支出</w:t>
      </w:r>
      <w:r>
        <w:rPr>
          <w:rFonts w:hint="eastAsia" w:ascii="仿宋_GB2312" w:hAnsi="仿宋_GB2312" w:eastAsia="仿宋_GB2312" w:cs="仿宋_GB2312"/>
          <w:kern w:val="0"/>
          <w:sz w:val="32"/>
          <w:szCs w:val="32"/>
          <w:shd w:val="clear" w:fill="FFFFFF"/>
        </w:rPr>
        <w:t>194.23</w:t>
      </w:r>
      <w:r>
        <w:rPr>
          <w:rStyle w:val="25"/>
          <w:rFonts w:hint="eastAsia" w:ascii="仿宋_GB2312" w:hAnsi="仿宋_GB2312" w:eastAsia="仿宋_GB2312" w:cs="仿宋_GB2312"/>
          <w:b/>
          <w:sz w:val="32"/>
          <w:szCs w:val="32"/>
          <w:shd w:val="clear" w:fill="FFFFFF"/>
        </w:rPr>
        <w:t>万元，完成预算</w:t>
      </w:r>
      <w:r>
        <w:rPr>
          <w:rFonts w:hint="eastAsia" w:ascii="仿宋_GB2312" w:hAnsi="仿宋_GB2312" w:eastAsia="仿宋_GB2312" w:cs="仿宋_GB2312"/>
          <w:kern w:val="0"/>
          <w:sz w:val="32"/>
          <w:szCs w:val="32"/>
          <w:shd w:val="clear" w:fill="FFFFFF"/>
        </w:rPr>
        <w:t>100</w:t>
      </w:r>
      <w:r>
        <w:rPr>
          <w:rStyle w:val="25"/>
          <w:rFonts w:hint="eastAsia" w:ascii="仿宋_GB2312" w:hAnsi="仿宋_GB2312" w:eastAsia="仿宋_GB2312" w:cs="仿宋_GB2312"/>
          <w:b/>
          <w:sz w:val="32"/>
          <w:szCs w:val="32"/>
          <w:shd w:val="clear" w:fill="FFFFFF"/>
        </w:rPr>
        <w:t>%。</w:t>
      </w:r>
      <w:r>
        <w:rPr>
          <w:rFonts w:hint="eastAsia" w:ascii="仿宋_GB2312" w:hAnsi="仿宋_GB2312" w:eastAsia="仿宋_GB2312" w:cs="仿宋_GB2312"/>
          <w:kern w:val="0"/>
          <w:sz w:val="32"/>
          <w:szCs w:val="32"/>
          <w:shd w:val="clear" w:fill="FFFFFF"/>
        </w:rPr>
        <w:t>公务接待费支出决算比2019年</w:t>
      </w:r>
      <w:r>
        <w:rPr>
          <w:rFonts w:hint="eastAsia" w:ascii="仿宋_GB2312" w:hAnsi="仿宋_GB2312" w:eastAsia="仿宋_GB2312" w:cs="仿宋_GB2312"/>
          <w:kern w:val="0"/>
          <w:sz w:val="32"/>
          <w:szCs w:val="32"/>
          <w:shd w:val="clear" w:fill="FFFFFF"/>
          <w:lang w:eastAsia="zh-CN"/>
        </w:rPr>
        <w:t>减少</w:t>
      </w:r>
      <w:r>
        <w:rPr>
          <w:rFonts w:hint="eastAsia" w:ascii="仿宋_GB2312" w:hAnsi="仿宋_GB2312" w:eastAsia="仿宋_GB2312" w:cs="仿宋_GB2312"/>
          <w:kern w:val="0"/>
          <w:sz w:val="32"/>
          <w:szCs w:val="32"/>
          <w:shd w:val="clear" w:fill="FFFFFF"/>
        </w:rPr>
        <w:t>41.35万元，</w:t>
      </w:r>
      <w:r>
        <w:rPr>
          <w:rFonts w:hint="eastAsia" w:ascii="仿宋_GB2312" w:hAnsi="仿宋_GB2312" w:eastAsia="仿宋_GB2312" w:cs="仿宋_GB2312"/>
          <w:kern w:val="0"/>
          <w:sz w:val="32"/>
          <w:szCs w:val="32"/>
          <w:shd w:val="clear" w:fill="FFFFFF"/>
          <w:lang w:eastAsia="zh-CN"/>
        </w:rPr>
        <w:t>减少</w:t>
      </w:r>
      <w:r>
        <w:rPr>
          <w:rFonts w:hint="eastAsia" w:ascii="仿宋_GB2312" w:hAnsi="仿宋_GB2312" w:eastAsia="仿宋_GB2312" w:cs="仿宋_GB2312"/>
          <w:kern w:val="0"/>
          <w:sz w:val="32"/>
          <w:szCs w:val="32"/>
          <w:shd w:val="clear" w:fill="FFFFFF"/>
        </w:rPr>
        <w:t>17.55%。主要原因是</w:t>
      </w:r>
      <w:r>
        <w:rPr>
          <w:rFonts w:hint="eastAsia" w:ascii="仿宋_GB2312" w:hAnsi="仿宋_GB2312" w:eastAsia="仿宋_GB2312" w:cs="仿宋_GB2312"/>
          <w:kern w:val="0"/>
          <w:sz w:val="32"/>
          <w:szCs w:val="32"/>
          <w:shd w:val="clear" w:fill="FFFFFF"/>
          <w:lang w:val="en-US" w:eastAsia="zh-CN"/>
        </w:rPr>
        <w:t>2020年接待批次和人员减少。</w:t>
      </w:r>
      <w:r>
        <w:rPr>
          <w:rFonts w:hint="eastAsia" w:ascii="仿宋_GB2312" w:hAnsi="仿宋_GB2312" w:eastAsia="仿宋_GB2312" w:cs="仿宋_GB2312"/>
          <w:kern w:val="0"/>
          <w:sz w:val="32"/>
          <w:szCs w:val="32"/>
          <w:shd w:val="clear" w:fill="FFFFFF"/>
        </w:rPr>
        <w:t>其中：</w:t>
      </w:r>
    </w:p>
    <w:p>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76" w:lineRule="exact"/>
        <w:ind w:left="0" w:firstLine="643" w:firstLineChars="200"/>
        <w:jc w:val="both"/>
        <w:textAlignment w:val="auto"/>
        <w:rPr>
          <w:rFonts w:hint="eastAsia" w:ascii="仿宋_GB2312" w:hAnsi="仿宋_GB2312" w:eastAsia="仿宋_GB2312" w:cs="仿宋_GB2312"/>
          <w:kern w:val="0"/>
          <w:sz w:val="32"/>
          <w:szCs w:val="32"/>
        </w:rPr>
      </w:pPr>
      <w:r>
        <w:rPr>
          <w:rStyle w:val="25"/>
          <w:rFonts w:hint="eastAsia" w:ascii="仿宋_GB2312" w:hAnsi="仿宋_GB2312" w:eastAsia="仿宋_GB2312" w:cs="仿宋_GB2312"/>
          <w:b/>
          <w:sz w:val="32"/>
          <w:szCs w:val="32"/>
          <w:shd w:val="clear" w:fill="FFFFFF"/>
          <w:lang w:val="en-US" w:eastAsia="zh-CN"/>
        </w:rPr>
        <w:t>5.</w:t>
      </w:r>
      <w:r>
        <w:rPr>
          <w:rStyle w:val="25"/>
          <w:rFonts w:hint="eastAsia" w:ascii="仿宋_GB2312" w:hAnsi="仿宋_GB2312" w:eastAsia="仿宋_GB2312" w:cs="仿宋_GB2312"/>
          <w:b/>
          <w:sz w:val="32"/>
          <w:szCs w:val="32"/>
          <w:shd w:val="clear" w:fill="FFFFFF"/>
        </w:rPr>
        <w:t>国内公务接待支出</w:t>
      </w:r>
      <w:r>
        <w:rPr>
          <w:rFonts w:hint="eastAsia" w:ascii="仿宋_GB2312" w:hAnsi="仿宋_GB2312" w:eastAsia="仿宋_GB2312" w:cs="仿宋_GB2312"/>
          <w:kern w:val="0"/>
          <w:sz w:val="32"/>
          <w:szCs w:val="32"/>
          <w:shd w:val="clear" w:fill="FFFFFF"/>
        </w:rPr>
        <w:t>194.23万元，主要用于执行公务、开展业务活动开支的交通费、住宿费、用餐费等。国内公务接待773批次，8,736人次（不包括陪同人员），共计支出194.23万元，具体内容包括：</w:t>
      </w:r>
      <w:r>
        <w:rPr>
          <w:rFonts w:hint="eastAsia" w:ascii="仿宋_GB2312" w:hAnsi="仿宋_GB2312" w:eastAsia="仿宋_GB2312" w:cs="仿宋_GB2312"/>
          <w:kern w:val="0"/>
          <w:sz w:val="32"/>
          <w:szCs w:val="32"/>
          <w:shd w:val="clear" w:fill="FFFFFF"/>
          <w:lang w:eastAsia="zh-CN"/>
        </w:rPr>
        <w:t>政府行为公务接待</w:t>
      </w:r>
      <w:r>
        <w:rPr>
          <w:rFonts w:hint="eastAsia" w:ascii="仿宋_GB2312" w:hAnsi="仿宋_GB2312" w:eastAsia="仿宋_GB2312" w:cs="仿宋_GB2312"/>
          <w:kern w:val="0"/>
          <w:sz w:val="32"/>
          <w:szCs w:val="32"/>
          <w:shd w:val="clear" w:fill="FFFFFF"/>
        </w:rPr>
        <w:t>。</w:t>
      </w:r>
    </w:p>
    <w:p>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76" w:lineRule="exact"/>
        <w:ind w:left="0" w:firstLine="643" w:firstLineChars="200"/>
        <w:jc w:val="both"/>
        <w:textAlignment w:val="auto"/>
        <w:rPr>
          <w:rFonts w:hint="eastAsia" w:ascii="仿宋_GB2312" w:hAnsi="仿宋_GB2312" w:eastAsia="仿宋_GB2312" w:cs="仿宋_GB2312"/>
          <w:kern w:val="0"/>
          <w:sz w:val="32"/>
          <w:szCs w:val="32"/>
          <w:shd w:val="clear" w:fill="FFFFFF"/>
          <w:lang w:eastAsia="zh-CN"/>
        </w:rPr>
      </w:pPr>
      <w:r>
        <w:rPr>
          <w:rStyle w:val="25"/>
          <w:rFonts w:hint="eastAsia" w:ascii="仿宋_GB2312" w:hAnsi="仿宋_GB2312" w:eastAsia="仿宋_GB2312" w:cs="仿宋_GB2312"/>
          <w:b/>
          <w:sz w:val="32"/>
          <w:szCs w:val="32"/>
          <w:shd w:val="clear" w:fill="FFFFFF"/>
          <w:lang w:val="en-US" w:eastAsia="zh-CN"/>
        </w:rPr>
        <w:t>6.</w:t>
      </w:r>
      <w:r>
        <w:rPr>
          <w:rStyle w:val="25"/>
          <w:rFonts w:hint="eastAsia" w:ascii="仿宋_GB2312" w:hAnsi="仿宋_GB2312" w:eastAsia="仿宋_GB2312" w:cs="仿宋_GB2312"/>
          <w:b/>
          <w:sz w:val="32"/>
          <w:szCs w:val="32"/>
          <w:shd w:val="clear" w:fill="FFFFFF"/>
        </w:rPr>
        <w:t>外事接待支出</w:t>
      </w:r>
      <w:r>
        <w:rPr>
          <w:rFonts w:hint="eastAsia" w:ascii="仿宋_GB2312" w:hAnsi="仿宋_GB2312" w:eastAsia="仿宋_GB2312" w:cs="仿宋_GB2312"/>
          <w:kern w:val="0"/>
          <w:sz w:val="32"/>
          <w:szCs w:val="32"/>
          <w:shd w:val="clear" w:fill="FFFFFF"/>
        </w:rPr>
        <w:t>0.00 万元，外事接待0批次，0人，共计支出0.00 万元</w:t>
      </w:r>
      <w:r>
        <w:rPr>
          <w:rFonts w:hint="eastAsia" w:ascii="仿宋_GB2312" w:hAnsi="仿宋_GB2312" w:eastAsia="仿宋_GB2312" w:cs="仿宋_GB2312"/>
          <w:kern w:val="0"/>
          <w:sz w:val="32"/>
          <w:szCs w:val="32"/>
          <w:shd w:val="clear" w:fill="FFFFFF"/>
          <w:lang w:eastAsia="zh-CN"/>
        </w:rPr>
        <w:t>。</w:t>
      </w:r>
    </w:p>
    <w:p>
      <w:pPr>
        <w:pStyle w:val="17"/>
        <w:keepNext w:val="0"/>
        <w:keepLines w:val="0"/>
        <w:pageBreakBefore w:val="0"/>
        <w:widowControl w:val="0"/>
        <w:suppressLineNumbers w:val="0"/>
        <w:kinsoku/>
        <w:wordWrap/>
        <w:overflowPunct/>
        <w:topLinePunct w:val="0"/>
        <w:autoSpaceDE/>
        <w:autoSpaceDN/>
        <w:bidi w:val="0"/>
        <w:spacing w:before="0" w:beforeAutospacing="0" w:afterAutospacing="0" w:line="576" w:lineRule="exact"/>
        <w:ind w:left="0" w:firstLine="643" w:firstLineChars="200"/>
        <w:jc w:val="left"/>
        <w:textAlignment w:val="auto"/>
        <w:outlineLvl w:val="1"/>
        <w:rPr>
          <w:rStyle w:val="25"/>
          <w:rFonts w:hint="eastAsia" w:ascii="黑体" w:hAnsi="黑体" w:eastAsia="黑体" w:cs="黑体"/>
          <w:b/>
          <w:sz w:val="32"/>
          <w:szCs w:val="32"/>
          <w:shd w:val="clear" w:fill="FFFFFF"/>
        </w:rPr>
      </w:pPr>
      <w:bookmarkStart w:id="28" w:name="_Toc7268"/>
      <w:bookmarkStart w:id="29" w:name="_Toc10550"/>
      <w:r>
        <w:rPr>
          <w:rStyle w:val="25"/>
          <w:rFonts w:hint="eastAsia" w:ascii="黑体" w:hAnsi="黑体" w:eastAsia="黑体" w:cs="黑体"/>
          <w:b/>
          <w:sz w:val="32"/>
          <w:szCs w:val="32"/>
          <w:shd w:val="clear" w:fill="FFFFFF"/>
        </w:rPr>
        <w:t>八、政府性基金预算支出决算情况说明</w:t>
      </w:r>
      <w:bookmarkEnd w:id="28"/>
      <w:bookmarkEnd w:id="29"/>
    </w:p>
    <w:p>
      <w:pPr>
        <w:pStyle w:val="17"/>
        <w:keepNext w:val="0"/>
        <w:keepLines w:val="0"/>
        <w:pageBreakBefore w:val="0"/>
        <w:widowControl w:val="0"/>
        <w:suppressLineNumbers w:val="0"/>
        <w:kinsoku/>
        <w:wordWrap/>
        <w:overflowPunct/>
        <w:topLinePunct w:val="0"/>
        <w:autoSpaceDE/>
        <w:autoSpaceDN/>
        <w:bidi w:val="0"/>
        <w:spacing w:before="0" w:beforeAutospacing="0" w:afterAutospacing="0" w:line="576" w:lineRule="exact"/>
        <w:ind w:left="0" w:firstLine="640" w:firstLineChars="200"/>
        <w:jc w:val="left"/>
        <w:textAlignment w:val="auto"/>
        <w:rPr>
          <w:rFonts w:hint="eastAsia" w:ascii="仿宋_GB2312" w:hAnsi="仿宋_GB2312" w:eastAsia="仿宋_GB2312" w:cs="仿宋_GB2312"/>
          <w:kern w:val="0"/>
          <w:sz w:val="32"/>
          <w:szCs w:val="32"/>
          <w:shd w:val="clear" w:fill="FFFFFF"/>
        </w:rPr>
      </w:pPr>
      <w:r>
        <w:rPr>
          <w:rFonts w:hint="eastAsia" w:ascii="仿宋_GB2312" w:hAnsi="仿宋_GB2312" w:eastAsia="仿宋_GB2312" w:cs="仿宋_GB2312"/>
          <w:kern w:val="0"/>
          <w:sz w:val="32"/>
          <w:szCs w:val="32"/>
          <w:shd w:val="clear" w:fill="FFFFFF"/>
        </w:rPr>
        <w:t>2020年政府性基金预算拨款支出0.00万元。</w:t>
      </w:r>
    </w:p>
    <w:p>
      <w:pPr>
        <w:pStyle w:val="17"/>
        <w:keepNext w:val="0"/>
        <w:keepLines w:val="0"/>
        <w:pageBreakBefore w:val="0"/>
        <w:widowControl w:val="0"/>
        <w:suppressLineNumbers w:val="0"/>
        <w:kinsoku/>
        <w:wordWrap/>
        <w:overflowPunct/>
        <w:topLinePunct w:val="0"/>
        <w:autoSpaceDE/>
        <w:autoSpaceDN/>
        <w:bidi w:val="0"/>
        <w:spacing w:before="0" w:beforeAutospacing="0" w:afterAutospacing="0" w:line="576" w:lineRule="exact"/>
        <w:ind w:left="0" w:firstLine="643" w:firstLineChars="200"/>
        <w:jc w:val="left"/>
        <w:textAlignment w:val="auto"/>
        <w:outlineLvl w:val="1"/>
        <w:rPr>
          <w:rStyle w:val="25"/>
          <w:rFonts w:hint="eastAsia" w:ascii="黑体" w:hAnsi="黑体" w:eastAsia="黑体" w:cs="黑体"/>
          <w:b/>
          <w:sz w:val="32"/>
          <w:szCs w:val="32"/>
          <w:shd w:val="clear" w:fill="FFFFFF"/>
        </w:rPr>
      </w:pPr>
      <w:bookmarkStart w:id="30" w:name="_Toc22694"/>
      <w:bookmarkStart w:id="31" w:name="_Toc31587"/>
      <w:r>
        <w:rPr>
          <w:rStyle w:val="25"/>
          <w:rFonts w:hint="eastAsia" w:ascii="黑体" w:hAnsi="黑体" w:eastAsia="黑体" w:cs="黑体"/>
          <w:b/>
          <w:sz w:val="32"/>
          <w:szCs w:val="32"/>
          <w:shd w:val="clear" w:fill="FFFFFF"/>
        </w:rPr>
        <w:t>九、国有资本经营预算支出决算情况说明</w:t>
      </w:r>
      <w:bookmarkEnd w:id="30"/>
      <w:bookmarkEnd w:id="31"/>
    </w:p>
    <w:p>
      <w:pPr>
        <w:pStyle w:val="17"/>
        <w:keepNext w:val="0"/>
        <w:keepLines w:val="0"/>
        <w:pageBreakBefore w:val="0"/>
        <w:widowControl w:val="0"/>
        <w:suppressLineNumbers w:val="0"/>
        <w:kinsoku/>
        <w:wordWrap/>
        <w:overflowPunct/>
        <w:topLinePunct w:val="0"/>
        <w:autoSpaceDE/>
        <w:autoSpaceDN/>
        <w:bidi w:val="0"/>
        <w:spacing w:before="0" w:beforeAutospacing="0" w:afterAutospacing="0" w:line="576" w:lineRule="exact"/>
        <w:ind w:left="0" w:firstLine="640" w:firstLineChars="200"/>
        <w:jc w:val="left"/>
        <w:textAlignment w:val="auto"/>
        <w:rPr>
          <w:rFonts w:hint="eastAsia" w:ascii="仿宋_GB2312" w:hAnsi="仿宋_GB2312" w:eastAsia="仿宋_GB2312" w:cs="仿宋_GB2312"/>
          <w:kern w:val="0"/>
          <w:sz w:val="32"/>
          <w:szCs w:val="32"/>
          <w:shd w:val="clear" w:fill="FFFFFF"/>
        </w:rPr>
      </w:pPr>
      <w:r>
        <w:rPr>
          <w:rFonts w:hint="eastAsia" w:ascii="仿宋_GB2312" w:hAnsi="仿宋_GB2312" w:eastAsia="仿宋_GB2312" w:cs="仿宋_GB2312"/>
          <w:kern w:val="0"/>
          <w:sz w:val="32"/>
          <w:szCs w:val="32"/>
          <w:shd w:val="clear" w:fill="FFFFFF"/>
        </w:rPr>
        <w:t>2020年国有资本经营预算拨款支出0.00万元。</w:t>
      </w:r>
    </w:p>
    <w:p>
      <w:pPr>
        <w:pStyle w:val="17"/>
        <w:keepNext w:val="0"/>
        <w:keepLines w:val="0"/>
        <w:pageBreakBefore w:val="0"/>
        <w:widowControl w:val="0"/>
        <w:suppressLineNumbers w:val="0"/>
        <w:kinsoku/>
        <w:wordWrap/>
        <w:overflowPunct/>
        <w:topLinePunct w:val="0"/>
        <w:autoSpaceDE/>
        <w:autoSpaceDN/>
        <w:bidi w:val="0"/>
        <w:spacing w:before="0" w:beforeAutospacing="0" w:afterAutospacing="0" w:line="576" w:lineRule="exact"/>
        <w:ind w:left="0" w:firstLine="643" w:firstLineChars="200"/>
        <w:jc w:val="left"/>
        <w:textAlignment w:val="auto"/>
        <w:outlineLvl w:val="1"/>
        <w:rPr>
          <w:rStyle w:val="25"/>
          <w:rFonts w:hint="eastAsia" w:ascii="黑体" w:hAnsi="黑体" w:eastAsia="黑体" w:cs="黑体"/>
          <w:b/>
          <w:sz w:val="32"/>
          <w:szCs w:val="32"/>
          <w:shd w:val="clear" w:fill="FFFFFF"/>
        </w:rPr>
      </w:pPr>
      <w:bookmarkStart w:id="32" w:name="_Toc18707"/>
      <w:bookmarkStart w:id="33" w:name="_Toc3625"/>
      <w:r>
        <w:rPr>
          <w:rStyle w:val="25"/>
          <w:rFonts w:hint="eastAsia" w:ascii="黑体" w:hAnsi="黑体" w:eastAsia="黑体" w:cs="黑体"/>
          <w:b/>
          <w:sz w:val="32"/>
          <w:szCs w:val="32"/>
          <w:shd w:val="clear" w:fill="FFFFFF"/>
        </w:rPr>
        <w:t>十、其他重要事项的情况说明</w:t>
      </w:r>
      <w:bookmarkEnd w:id="32"/>
      <w:bookmarkEnd w:id="33"/>
    </w:p>
    <w:p>
      <w:pPr>
        <w:pStyle w:val="17"/>
        <w:keepNext w:val="0"/>
        <w:keepLines w:val="0"/>
        <w:pageBreakBefore w:val="0"/>
        <w:widowControl w:val="0"/>
        <w:suppressLineNumbers w:val="0"/>
        <w:kinsoku/>
        <w:wordWrap/>
        <w:overflowPunct/>
        <w:topLinePunct w:val="0"/>
        <w:autoSpaceDE/>
        <w:autoSpaceDN/>
        <w:bidi w:val="0"/>
        <w:spacing w:before="0" w:beforeAutospacing="0" w:afterAutospacing="0" w:line="576" w:lineRule="exact"/>
        <w:ind w:left="0" w:firstLine="643" w:firstLineChars="200"/>
        <w:jc w:val="left"/>
        <w:textAlignment w:val="auto"/>
        <w:outlineLvl w:val="2"/>
        <w:rPr>
          <w:rFonts w:hint="eastAsia" w:ascii="楷体_GB2312" w:hAnsi="楷体_GB2312" w:eastAsia="楷体_GB2312" w:cs="楷体_GB2312"/>
          <w:kern w:val="0"/>
          <w:sz w:val="32"/>
          <w:szCs w:val="32"/>
        </w:rPr>
      </w:pPr>
      <w:bookmarkStart w:id="34" w:name="_Toc21165"/>
      <w:r>
        <w:rPr>
          <w:rStyle w:val="25"/>
          <w:rFonts w:hint="eastAsia" w:ascii="楷体_GB2312" w:hAnsi="楷体_GB2312" w:eastAsia="楷体_GB2312" w:cs="楷体_GB2312"/>
          <w:b/>
          <w:sz w:val="32"/>
          <w:szCs w:val="32"/>
          <w:shd w:val="clear" w:fill="FFFFFF"/>
        </w:rPr>
        <w:t>（一）机关运行经费支出情况</w:t>
      </w:r>
      <w:bookmarkEnd w:id="34"/>
    </w:p>
    <w:p>
      <w:pPr>
        <w:pStyle w:val="17"/>
        <w:keepNext w:val="0"/>
        <w:keepLines w:val="0"/>
        <w:pageBreakBefore w:val="0"/>
        <w:widowControl w:val="0"/>
        <w:suppressLineNumbers w:val="0"/>
        <w:kinsoku/>
        <w:wordWrap/>
        <w:overflowPunct/>
        <w:topLinePunct w:val="0"/>
        <w:autoSpaceDE/>
        <w:autoSpaceDN/>
        <w:bidi w:val="0"/>
        <w:spacing w:before="0" w:beforeAutospacing="0" w:afterAutospacing="0" w:line="576" w:lineRule="exact"/>
        <w:ind w:left="0" w:firstLine="640" w:firstLineChars="200"/>
        <w:jc w:val="both"/>
        <w:textAlignment w:val="auto"/>
        <w:rPr>
          <w:rFonts w:hint="eastAsia" w:ascii="仿宋_GB2312" w:hAnsi="仿宋_GB2312" w:eastAsia="仿宋_GB2312" w:cs="仿宋_GB2312"/>
          <w:kern w:val="0"/>
          <w:sz w:val="32"/>
          <w:szCs w:val="32"/>
          <w:shd w:val="clear" w:fill="FFFFFF"/>
          <w:lang w:eastAsia="zh-CN"/>
        </w:rPr>
      </w:pPr>
      <w:r>
        <w:rPr>
          <w:rFonts w:hint="eastAsia" w:ascii="仿宋_GB2312" w:hAnsi="仿宋_GB2312" w:eastAsia="仿宋_GB2312" w:cs="仿宋_GB2312"/>
          <w:kern w:val="0"/>
          <w:sz w:val="32"/>
          <w:szCs w:val="32"/>
          <w:shd w:val="clear" w:fill="FFFFFF"/>
        </w:rPr>
        <w:t>2020年，阿坝州红原县机关事务管理局机关运行经费支出0.00万元，比2019年增加0.00万元</w:t>
      </w:r>
      <w:r>
        <w:rPr>
          <w:rFonts w:hint="eastAsia" w:ascii="仿宋_GB2312" w:hAnsi="仿宋_GB2312" w:eastAsia="仿宋_GB2312" w:cs="仿宋_GB2312"/>
          <w:kern w:val="0"/>
          <w:sz w:val="32"/>
          <w:szCs w:val="32"/>
          <w:shd w:val="clear" w:fill="FFFFFF"/>
          <w:lang w:eastAsia="zh-CN"/>
        </w:rPr>
        <w:t>。</w:t>
      </w:r>
    </w:p>
    <w:p>
      <w:pPr>
        <w:pStyle w:val="17"/>
        <w:keepNext w:val="0"/>
        <w:keepLines w:val="0"/>
        <w:pageBreakBefore w:val="0"/>
        <w:widowControl w:val="0"/>
        <w:suppressLineNumbers w:val="0"/>
        <w:kinsoku/>
        <w:wordWrap/>
        <w:overflowPunct/>
        <w:topLinePunct w:val="0"/>
        <w:autoSpaceDE/>
        <w:autoSpaceDN/>
        <w:bidi w:val="0"/>
        <w:spacing w:before="0" w:beforeAutospacing="0" w:afterAutospacing="0" w:line="576" w:lineRule="exact"/>
        <w:ind w:left="0" w:firstLine="643" w:firstLineChars="200"/>
        <w:jc w:val="left"/>
        <w:textAlignment w:val="auto"/>
        <w:outlineLvl w:val="2"/>
        <w:rPr>
          <w:rStyle w:val="25"/>
          <w:rFonts w:hint="eastAsia" w:ascii="楷体_GB2312" w:hAnsi="楷体_GB2312" w:eastAsia="楷体_GB2312" w:cs="楷体_GB2312"/>
          <w:b/>
          <w:sz w:val="32"/>
          <w:szCs w:val="32"/>
          <w:shd w:val="clear" w:fill="FFFFFF"/>
        </w:rPr>
      </w:pPr>
      <w:bookmarkStart w:id="35" w:name="_Toc1491"/>
      <w:r>
        <w:rPr>
          <w:rStyle w:val="25"/>
          <w:rFonts w:hint="eastAsia" w:ascii="楷体_GB2312" w:hAnsi="楷体_GB2312" w:eastAsia="楷体_GB2312" w:cs="楷体_GB2312"/>
          <w:b/>
          <w:sz w:val="32"/>
          <w:szCs w:val="32"/>
          <w:shd w:val="clear" w:fill="FFFFFF"/>
        </w:rPr>
        <w:t>（二）政府采购支出情况</w:t>
      </w:r>
      <w:bookmarkEnd w:id="35"/>
    </w:p>
    <w:p>
      <w:pPr>
        <w:pStyle w:val="17"/>
        <w:keepNext w:val="0"/>
        <w:keepLines w:val="0"/>
        <w:pageBreakBefore w:val="0"/>
        <w:widowControl w:val="0"/>
        <w:suppressLineNumbers w:val="0"/>
        <w:kinsoku/>
        <w:wordWrap/>
        <w:overflowPunct/>
        <w:topLinePunct w:val="0"/>
        <w:autoSpaceDE/>
        <w:autoSpaceDN/>
        <w:bidi w:val="0"/>
        <w:spacing w:before="0" w:beforeAutospacing="0" w:afterAutospacing="0" w:line="576" w:lineRule="exact"/>
        <w:ind w:left="0" w:firstLine="640" w:firstLineChars="200"/>
        <w:jc w:val="both"/>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shd w:val="clear" w:fill="FFFFFF"/>
        </w:rPr>
        <w:t xml:space="preserve"> 2020年，阿坝州红原县机关事务管理局政府采购支出总额0.00万元，其中：政府采购货物支出 0.00万元、政府采购工程支出0.00万元、政府采购服务支出0.00万元。主要用于…（具体工作）。授予中小企 业合同金额0.00万元，占政府采购支出总额的0.00%，其中：授予小微企业合同金额0.00万元，占政府采购支出总额的0.00%。</w:t>
      </w:r>
    </w:p>
    <w:p>
      <w:pPr>
        <w:pStyle w:val="17"/>
        <w:keepNext w:val="0"/>
        <w:keepLines w:val="0"/>
        <w:pageBreakBefore w:val="0"/>
        <w:widowControl w:val="0"/>
        <w:suppressLineNumbers w:val="0"/>
        <w:kinsoku/>
        <w:wordWrap/>
        <w:overflowPunct/>
        <w:topLinePunct w:val="0"/>
        <w:autoSpaceDE/>
        <w:autoSpaceDN/>
        <w:bidi w:val="0"/>
        <w:spacing w:before="0" w:beforeAutospacing="0" w:afterAutospacing="0" w:line="576" w:lineRule="exact"/>
        <w:ind w:firstLine="643" w:firstLineChars="200"/>
        <w:jc w:val="left"/>
        <w:textAlignment w:val="auto"/>
        <w:outlineLvl w:val="2"/>
        <w:rPr>
          <w:rStyle w:val="25"/>
          <w:rFonts w:hint="eastAsia" w:ascii="楷体_GB2312" w:hAnsi="楷体_GB2312" w:eastAsia="楷体_GB2312" w:cs="楷体_GB2312"/>
          <w:b/>
          <w:sz w:val="32"/>
          <w:szCs w:val="32"/>
          <w:shd w:val="clear" w:fill="FFFFFF"/>
        </w:rPr>
      </w:pPr>
      <w:bookmarkStart w:id="36" w:name="_Toc17587"/>
      <w:r>
        <w:rPr>
          <w:rStyle w:val="25"/>
          <w:rFonts w:hint="eastAsia" w:ascii="楷体_GB2312" w:hAnsi="楷体_GB2312" w:eastAsia="楷体_GB2312" w:cs="楷体_GB2312"/>
          <w:b/>
          <w:sz w:val="32"/>
          <w:szCs w:val="32"/>
          <w:shd w:val="clear" w:fill="FFFFFF"/>
        </w:rPr>
        <w:t>（三）国有资产占有使用情况</w:t>
      </w:r>
      <w:bookmarkEnd w:id="36"/>
    </w:p>
    <w:p>
      <w:pPr>
        <w:pStyle w:val="17"/>
        <w:keepNext w:val="0"/>
        <w:keepLines w:val="0"/>
        <w:pageBreakBefore w:val="0"/>
        <w:widowControl w:val="0"/>
        <w:suppressLineNumbers w:val="0"/>
        <w:kinsoku/>
        <w:wordWrap/>
        <w:overflowPunct/>
        <w:topLinePunct w:val="0"/>
        <w:autoSpaceDE/>
        <w:autoSpaceDN/>
        <w:bidi w:val="0"/>
        <w:spacing w:before="0" w:beforeAutospacing="0" w:afterAutospacing="0" w:line="576" w:lineRule="exact"/>
        <w:ind w:left="0" w:firstLine="640" w:firstLineChars="200"/>
        <w:jc w:val="both"/>
        <w:textAlignment w:val="auto"/>
        <w:rPr>
          <w:rFonts w:hint="eastAsia" w:ascii="仿宋_GB2312" w:hAnsi="仿宋_GB2312" w:eastAsia="仿宋_GB2312" w:cs="仿宋_GB2312"/>
          <w:kern w:val="0"/>
          <w:sz w:val="32"/>
          <w:szCs w:val="32"/>
          <w:shd w:val="clear" w:fill="FFFFFF"/>
        </w:rPr>
      </w:pPr>
      <w:r>
        <w:rPr>
          <w:rFonts w:hint="eastAsia" w:ascii="仿宋_GB2312" w:hAnsi="仿宋_GB2312" w:eastAsia="仿宋_GB2312" w:cs="仿宋_GB2312"/>
          <w:kern w:val="0"/>
          <w:sz w:val="32"/>
          <w:szCs w:val="32"/>
          <w:shd w:val="clear" w:fill="FFFFFF"/>
        </w:rPr>
        <w:t>截至2020年12月31日，阿坝州红原县机关事务管理局共有车辆2辆，其中：主要领导干部用车0 辆、机要通信用车0辆、应急保障用车2辆、执法执勤用车0 辆、特种专业技术用车0辆、离退休干部用车0辆、其他用车 0辆。</w:t>
      </w:r>
    </w:p>
    <w:p>
      <w:pPr>
        <w:pStyle w:val="17"/>
        <w:keepNext w:val="0"/>
        <w:keepLines w:val="0"/>
        <w:pageBreakBefore w:val="0"/>
        <w:widowControl w:val="0"/>
        <w:suppressLineNumbers w:val="0"/>
        <w:kinsoku/>
        <w:wordWrap/>
        <w:overflowPunct/>
        <w:topLinePunct w:val="0"/>
        <w:autoSpaceDE/>
        <w:autoSpaceDN/>
        <w:bidi w:val="0"/>
        <w:spacing w:before="0" w:beforeAutospacing="0" w:afterAutospacing="0" w:line="576" w:lineRule="exact"/>
        <w:ind w:firstLine="643" w:firstLineChars="200"/>
        <w:jc w:val="left"/>
        <w:textAlignment w:val="auto"/>
        <w:outlineLvl w:val="2"/>
        <w:rPr>
          <w:rFonts w:hint="eastAsia" w:ascii="仿宋_GB2312" w:hAnsi="仿宋_GB2312" w:eastAsia="仿宋_GB2312" w:cs="仿宋_GB2312"/>
          <w:kern w:val="0"/>
          <w:sz w:val="32"/>
          <w:szCs w:val="32"/>
          <w:shd w:val="clear" w:fill="FFFFFF"/>
        </w:rPr>
      </w:pPr>
      <w:bookmarkStart w:id="37" w:name="_Toc26250"/>
      <w:r>
        <w:rPr>
          <w:rStyle w:val="25"/>
          <w:rFonts w:hint="eastAsia" w:ascii="楷体_GB2312" w:hAnsi="楷体_GB2312" w:eastAsia="楷体_GB2312" w:cs="楷体_GB2312"/>
          <w:b/>
          <w:sz w:val="32"/>
          <w:szCs w:val="32"/>
          <w:shd w:val="clear" w:fill="FFFFFF"/>
        </w:rPr>
        <w:t>（四）预算绩效管理情况</w:t>
      </w:r>
      <w:bookmarkEnd w:id="37"/>
      <w:r>
        <w:rPr>
          <w:rFonts w:hint="eastAsia" w:ascii="仿宋_GB2312" w:hAnsi="仿宋_GB2312" w:eastAsia="仿宋_GB2312" w:cs="仿宋_GB2312"/>
          <w:kern w:val="0"/>
          <w:sz w:val="32"/>
          <w:szCs w:val="32"/>
          <w:shd w:val="clear" w:fill="FFFFFF"/>
        </w:rPr>
        <w:t xml:space="preserve"> </w:t>
      </w:r>
    </w:p>
    <w:p>
      <w:pPr>
        <w:pStyle w:val="17"/>
        <w:keepNext w:val="0"/>
        <w:keepLines w:val="0"/>
        <w:pageBreakBefore w:val="0"/>
        <w:widowControl w:val="0"/>
        <w:suppressLineNumbers w:val="0"/>
        <w:kinsoku/>
        <w:wordWrap/>
        <w:overflowPunct/>
        <w:topLinePunct w:val="0"/>
        <w:autoSpaceDE/>
        <w:autoSpaceDN/>
        <w:bidi w:val="0"/>
        <w:spacing w:before="0" w:beforeAutospacing="0" w:afterAutospacing="0" w:line="576" w:lineRule="exact"/>
        <w:ind w:left="0" w:firstLine="640" w:firstLineChars="200"/>
        <w:jc w:val="both"/>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color w:val="000000"/>
          <w:sz w:val="32"/>
          <w:szCs w:val="32"/>
        </w:rPr>
        <w:t>按照预算绩效管理要求，本部门对</w:t>
      </w:r>
      <w:r>
        <w:rPr>
          <w:rFonts w:hint="eastAsia" w:ascii="仿宋_GB2312" w:hAnsi="仿宋_GB2312" w:eastAsia="仿宋_GB2312" w:cs="仿宋_GB2312"/>
          <w:color w:val="000000"/>
          <w:sz w:val="32"/>
          <w:szCs w:val="32"/>
          <w:lang w:val="en-US" w:eastAsia="zh-CN"/>
        </w:rPr>
        <w:t>2020</w:t>
      </w:r>
      <w:r>
        <w:rPr>
          <w:rFonts w:hint="eastAsia" w:ascii="仿宋_GB2312" w:hAnsi="仿宋_GB2312" w:eastAsia="仿宋_GB2312" w:cs="仿宋_GB2312"/>
          <w:color w:val="000000"/>
          <w:sz w:val="32"/>
          <w:szCs w:val="32"/>
        </w:rPr>
        <w:t>年整体支出开展绩效自评，自评得分97分，存在的问题：一是部门特性指标，二是绩效评价结果应用。下一步改进措施：一是进一步细化部门特性指标，二是加强绩效评价结果应用</w:t>
      </w:r>
      <w:r>
        <w:rPr>
          <w:rFonts w:hint="eastAsia" w:ascii="仿宋_GB2312" w:hAnsi="仿宋_GB2312" w:eastAsia="仿宋_GB2312" w:cs="仿宋_GB2312"/>
          <w:color w:val="000000"/>
          <w:sz w:val="32"/>
          <w:szCs w:val="32"/>
          <w:lang w:eastAsia="zh-CN"/>
        </w:rPr>
        <w:t>。</w:t>
      </w:r>
    </w:p>
    <w:p>
      <w:pPr>
        <w:pStyle w:val="17"/>
        <w:keepNext w:val="0"/>
        <w:keepLines w:val="0"/>
        <w:pageBreakBefore w:val="0"/>
        <w:widowControl w:val="0"/>
        <w:suppressLineNumbers w:val="0"/>
        <w:kinsoku/>
        <w:wordWrap/>
        <w:overflowPunct/>
        <w:topLinePunct w:val="0"/>
        <w:autoSpaceDE/>
        <w:autoSpaceDN/>
        <w:bidi w:val="0"/>
        <w:spacing w:before="0" w:beforeAutospacing="0" w:afterAutospacing="0" w:line="576" w:lineRule="exact"/>
        <w:ind w:left="63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shd w:val="clear" w:fill="FFFFFF"/>
        </w:rPr>
        <w:t>2.部门绩效评价结果。</w:t>
      </w:r>
    </w:p>
    <w:p>
      <w:pPr>
        <w:keepNext w:val="0"/>
        <w:keepLines w:val="0"/>
        <w:pageBreakBefore w:val="0"/>
        <w:widowControl w:val="0"/>
        <w:kinsoku/>
        <w:wordWrap/>
        <w:overflowPunct/>
        <w:topLinePunct w:val="0"/>
        <w:autoSpaceDE/>
        <w:autoSpaceDN/>
        <w:bidi w:val="0"/>
        <w:spacing w:afterAutospacing="0" w:line="576" w:lineRule="exact"/>
        <w:ind w:firstLine="640" w:firstLineChars="200"/>
        <w:textAlignment w:val="auto"/>
        <w:outlineLvl w:val="1"/>
        <w:rPr>
          <w:rFonts w:hint="eastAsia" w:ascii="仿宋_GB2312" w:hAnsi="仿宋_GB2312" w:eastAsia="仿宋_GB2312" w:cs="仿宋_GB2312"/>
          <w:sz w:val="32"/>
          <w:szCs w:val="32"/>
          <w:lang w:eastAsia="zh-CN"/>
        </w:rPr>
      </w:pPr>
      <w:bookmarkStart w:id="38" w:name="_Toc31087"/>
      <w:bookmarkStart w:id="39" w:name="_Toc28497"/>
      <w:bookmarkStart w:id="40" w:name="_Toc29851"/>
      <w:r>
        <w:rPr>
          <w:rFonts w:hint="eastAsia" w:ascii="仿宋_GB2312" w:hAnsi="仿宋_GB2312" w:eastAsia="仿宋_GB2312" w:cs="仿宋_GB2312"/>
          <w:sz w:val="32"/>
          <w:szCs w:val="32"/>
        </w:rPr>
        <w:t>本部门按要求对</w:t>
      </w:r>
      <w:r>
        <w:rPr>
          <w:rFonts w:hint="eastAsia" w:ascii="仿宋_GB2312" w:hAnsi="仿宋_GB2312" w:eastAsia="仿宋_GB2312" w:cs="仿宋_GB2312"/>
          <w:sz w:val="32"/>
          <w:szCs w:val="32"/>
          <w:lang w:val="en-US" w:eastAsia="zh-CN"/>
        </w:rPr>
        <w:t>2020</w:t>
      </w:r>
      <w:r>
        <w:rPr>
          <w:rFonts w:hint="eastAsia" w:ascii="仿宋_GB2312" w:hAnsi="仿宋_GB2312" w:eastAsia="仿宋_GB2312" w:cs="仿宋_GB2312"/>
          <w:sz w:val="32"/>
          <w:szCs w:val="32"/>
        </w:rPr>
        <w:t>年部门整体支出绩效评价情况开展自评，《红原县</w:t>
      </w:r>
      <w:r>
        <w:rPr>
          <w:rFonts w:hint="eastAsia" w:ascii="仿宋_GB2312" w:hAnsi="仿宋_GB2312" w:eastAsia="仿宋_GB2312" w:cs="仿宋_GB2312"/>
          <w:sz w:val="32"/>
          <w:szCs w:val="32"/>
          <w:lang w:eastAsia="zh-CN"/>
        </w:rPr>
        <w:t>机关事务管理局</w:t>
      </w:r>
      <w:r>
        <w:rPr>
          <w:rFonts w:hint="eastAsia" w:ascii="仿宋_GB2312" w:hAnsi="仿宋_GB2312" w:eastAsia="仿宋_GB2312" w:cs="仿宋_GB2312"/>
          <w:sz w:val="32"/>
          <w:szCs w:val="32"/>
          <w:lang w:val="en-US" w:eastAsia="zh-CN"/>
        </w:rPr>
        <w:t>2020</w:t>
      </w:r>
      <w:r>
        <w:rPr>
          <w:rFonts w:hint="eastAsia" w:ascii="仿宋_GB2312" w:hAnsi="仿宋_GB2312" w:eastAsia="仿宋_GB2312" w:cs="仿宋_GB2312"/>
          <w:sz w:val="32"/>
          <w:szCs w:val="32"/>
        </w:rPr>
        <w:t>年部门整体支出绩效评价报告》见附件</w:t>
      </w:r>
      <w:r>
        <w:rPr>
          <w:rFonts w:hint="eastAsia" w:ascii="仿宋_GB2312" w:hAnsi="仿宋_GB2312" w:eastAsia="仿宋_GB2312" w:cs="仿宋_GB2312"/>
          <w:sz w:val="32"/>
          <w:szCs w:val="32"/>
          <w:lang w:eastAsia="zh-CN"/>
        </w:rPr>
        <w:t>。</w:t>
      </w:r>
      <w:bookmarkEnd w:id="38"/>
      <w:bookmarkEnd w:id="39"/>
      <w:bookmarkEnd w:id="40"/>
    </w:p>
    <w:p>
      <w:pPr>
        <w:pStyle w:val="17"/>
        <w:keepNext w:val="0"/>
        <w:keepLines w:val="0"/>
        <w:pageBreakBefore w:val="0"/>
        <w:widowControl w:val="0"/>
        <w:suppressLineNumbers w:val="0"/>
        <w:kinsoku/>
        <w:wordWrap/>
        <w:overflowPunct/>
        <w:topLinePunct w:val="0"/>
        <w:autoSpaceDE/>
        <w:autoSpaceDN/>
        <w:bidi w:val="0"/>
        <w:spacing w:before="0" w:beforeAutospacing="0" w:afterAutospacing="0" w:line="576" w:lineRule="exact"/>
        <w:ind w:left="0"/>
        <w:jc w:val="center"/>
        <w:textAlignment w:val="auto"/>
        <w:outlineLvl w:val="0"/>
        <w:rPr>
          <w:rFonts w:hint="eastAsia" w:ascii="宋体" w:hAnsi="宋体" w:eastAsia="宋体" w:cs="宋体"/>
          <w:b/>
          <w:bCs/>
          <w:kern w:val="0"/>
          <w:sz w:val="32"/>
          <w:szCs w:val="32"/>
        </w:rPr>
      </w:pPr>
      <w:bookmarkStart w:id="41" w:name="_Toc11527"/>
      <w:bookmarkStart w:id="42" w:name="_Toc29957"/>
      <w:r>
        <w:rPr>
          <w:rFonts w:hint="eastAsia" w:ascii="宋体" w:hAnsi="宋体" w:eastAsia="宋体" w:cs="宋体"/>
          <w:b/>
          <w:bCs/>
          <w:kern w:val="0"/>
          <w:sz w:val="32"/>
          <w:szCs w:val="32"/>
          <w:shd w:val="clear" w:fill="FFFFFF"/>
        </w:rPr>
        <w:t>第三部分 名词解释</w:t>
      </w:r>
      <w:bookmarkEnd w:id="41"/>
      <w:bookmarkEnd w:id="42"/>
    </w:p>
    <w:p>
      <w:pPr>
        <w:pStyle w:val="17"/>
        <w:keepNext w:val="0"/>
        <w:keepLines w:val="0"/>
        <w:pageBreakBefore w:val="0"/>
        <w:widowControl w:val="0"/>
        <w:suppressLineNumbers w:val="0"/>
        <w:kinsoku/>
        <w:wordWrap/>
        <w:overflowPunct/>
        <w:topLinePunct w:val="0"/>
        <w:autoSpaceDE/>
        <w:autoSpaceDN/>
        <w:bidi w:val="0"/>
        <w:spacing w:before="0" w:beforeAutospacing="0" w:afterAutospacing="0" w:line="576" w:lineRule="exact"/>
        <w:ind w:left="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shd w:val="clear" w:fill="FFFFFF"/>
        </w:rPr>
        <w:t xml:space="preserve"> </w:t>
      </w:r>
    </w:p>
    <w:p>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76" w:lineRule="exact"/>
        <w:ind w:left="0" w:firstLine="640" w:firstLineChars="200"/>
        <w:jc w:val="both"/>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shd w:val="clear" w:fill="FFFFFF"/>
        </w:rPr>
        <w:t>1.财政拨款收入：指单位从同级财政部门取得的财政预算资金。</w:t>
      </w:r>
    </w:p>
    <w:p>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76" w:lineRule="exact"/>
        <w:ind w:left="0" w:firstLine="640" w:firstLineChars="200"/>
        <w:jc w:val="both"/>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shd w:val="clear" w:fill="FFFFFF"/>
        </w:rPr>
        <w:t>2.事业收入：指事业单位开展专业业务活动及辅助活动取得的收入。如…（二级预算单位事业收入情况）等。</w:t>
      </w:r>
    </w:p>
    <w:p>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76" w:lineRule="exact"/>
        <w:ind w:left="0" w:firstLine="640" w:firstLineChars="200"/>
        <w:jc w:val="both"/>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shd w:val="clear" w:fill="FFFFFF"/>
        </w:rPr>
        <w:t>3.经营收入：指事业单位在专业业务活动及其辅助活动之外开展非独立核算经营活动取得的收入。如…（二级预算单位经营收入情况）等。</w:t>
      </w:r>
    </w:p>
    <w:p>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76" w:lineRule="exact"/>
        <w:ind w:left="0" w:firstLine="640" w:firstLineChars="200"/>
        <w:jc w:val="both"/>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shd w:val="clear" w:fill="FFFFFF"/>
        </w:rPr>
        <w:t>4.其他收入：指单位取得的除上述收入以外的各项收入。主要是…（收入类型）等。</w:t>
      </w:r>
    </w:p>
    <w:p>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76" w:lineRule="exact"/>
        <w:ind w:left="0" w:firstLine="640" w:firstLineChars="200"/>
        <w:jc w:val="both"/>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shd w:val="clear" w:fill="FFFFFF"/>
        </w:rPr>
        <w:t>5.使用非财政拨款结余：指事业单位使用以前年度积累的非财政拨款结余弥补当年收支差额的金额。</w:t>
      </w:r>
    </w:p>
    <w:p>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76" w:lineRule="exact"/>
        <w:ind w:left="0" w:firstLine="640" w:firstLineChars="200"/>
        <w:jc w:val="both"/>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shd w:val="clear" w:fill="FFFFFF"/>
        </w:rPr>
        <w:t>6.年初结转和结余：指以前年度尚未完成、结转到本年按有关规定继续使用的资金。</w:t>
      </w:r>
    </w:p>
    <w:p>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76" w:lineRule="exact"/>
        <w:ind w:left="0" w:firstLine="640" w:firstLineChars="200"/>
        <w:jc w:val="both"/>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shd w:val="clear" w:fill="FFFFFF"/>
        </w:rPr>
        <w:t>7.结余分配：指事业单位按照会计制度规定缴纳的所得税、提取的专用结余以及转入非财政拨款结余的金额等。</w:t>
      </w:r>
    </w:p>
    <w:p>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76" w:lineRule="exact"/>
        <w:ind w:left="0" w:firstLine="640" w:firstLineChars="200"/>
        <w:jc w:val="both"/>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shd w:val="clear" w:fill="FFFFFF"/>
        </w:rPr>
        <w:t>8、年末结转和结余：指单位按有关规定结转到下年或以后年度继续使用的资金。</w:t>
      </w:r>
    </w:p>
    <w:p>
      <w:pPr>
        <w:keepNext w:val="0"/>
        <w:keepLines w:val="0"/>
        <w:pageBreakBefore w:val="0"/>
        <w:widowControl w:val="0"/>
        <w:kinsoku/>
        <w:wordWrap/>
        <w:overflowPunct/>
        <w:topLinePunct w:val="0"/>
        <w:autoSpaceDE/>
        <w:autoSpaceDN/>
        <w:bidi w:val="0"/>
        <w:adjustRightInd/>
        <w:snapToGrid/>
        <w:spacing w:afterAutospacing="0" w:line="576" w:lineRule="exact"/>
        <w:ind w:firstLine="640" w:firstLineChars="200"/>
        <w:jc w:val="both"/>
        <w:textAlignment w:val="auto"/>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sz w:val="32"/>
          <w:szCs w:val="32"/>
          <w:lang w:val="en-US" w:eastAsia="zh-CN"/>
        </w:rPr>
        <w:t>9</w:t>
      </w:r>
      <w:r>
        <w:rPr>
          <w:rFonts w:hint="eastAsia" w:ascii="仿宋_GB2312" w:hAnsi="仿宋_GB2312" w:eastAsia="仿宋_GB2312" w:cs="仿宋_GB2312"/>
          <w:color w:val="000000"/>
          <w:sz w:val="32"/>
          <w:szCs w:val="32"/>
        </w:rPr>
        <w:t>.一般公共服务</w:t>
      </w:r>
      <w:r>
        <w:rPr>
          <w:rFonts w:hint="eastAsia" w:ascii="仿宋_GB2312" w:hAnsi="仿宋_GB2312" w:eastAsia="仿宋_GB2312" w:cs="仿宋_GB2312"/>
          <w:color w:val="000000"/>
          <w:kern w:val="2"/>
          <w:sz w:val="32"/>
          <w:szCs w:val="32"/>
          <w:lang w:val="en-US" w:eastAsia="zh-CN" w:bidi="ar-SA"/>
        </w:rPr>
        <w:t>2012901-行政运行支出该支出主要用于支付职工工资、退休费以及公务运行费.</w:t>
      </w:r>
    </w:p>
    <w:p>
      <w:pPr>
        <w:pStyle w:val="1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right="0"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10</w:t>
      </w:r>
      <w:r>
        <w:rPr>
          <w:rFonts w:hint="eastAsia" w:ascii="仿宋_GB2312" w:hAnsi="仿宋_GB2312" w:eastAsia="仿宋_GB2312" w:cs="仿宋_GB2312"/>
          <w:color w:val="000000"/>
          <w:sz w:val="32"/>
          <w:szCs w:val="32"/>
        </w:rPr>
        <w:t>.社会保障和就业</w:t>
      </w:r>
      <w:r>
        <w:rPr>
          <w:rFonts w:hint="eastAsia" w:ascii="仿宋_GB2312" w:hAnsi="仿宋_GB2312" w:eastAsia="仿宋_GB2312" w:cs="仿宋_GB2312"/>
          <w:color w:val="000000"/>
          <w:kern w:val="2"/>
          <w:sz w:val="32"/>
          <w:szCs w:val="32"/>
          <w:lang w:val="en-US" w:eastAsia="zh-CN" w:bidi="ar-SA"/>
        </w:rPr>
        <w:t>2080505-机关事业单位基本养老保险缴费该支出主要用于支付职工养老保险金；2080506-机关事业单位职业年金缴费，该支出主要用于支付职工职业年金</w:t>
      </w:r>
      <w:r>
        <w:rPr>
          <w:rFonts w:hint="eastAsia" w:ascii="仿宋_GB2312" w:hAnsi="仿宋_GB2312" w:eastAsia="仿宋_GB2312" w:cs="仿宋_GB2312"/>
          <w:color w:val="000000"/>
          <w:sz w:val="32"/>
          <w:szCs w:val="32"/>
        </w:rPr>
        <w:t>：</w:t>
      </w:r>
    </w:p>
    <w:p>
      <w:pPr>
        <w:pStyle w:val="1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6" w:lineRule="exact"/>
        <w:ind w:right="0"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11</w:t>
      </w:r>
      <w:r>
        <w:rPr>
          <w:rFonts w:hint="eastAsia" w:ascii="仿宋_GB2312" w:hAnsi="仿宋_GB2312" w:eastAsia="仿宋_GB2312" w:cs="仿宋_GB2312"/>
          <w:color w:val="000000"/>
          <w:sz w:val="32"/>
          <w:szCs w:val="32"/>
        </w:rPr>
        <w:t>.医疗卫生与计划生育</w:t>
      </w:r>
      <w:r>
        <w:rPr>
          <w:rFonts w:hint="eastAsia" w:ascii="仿宋_GB2312" w:hAnsi="仿宋_GB2312" w:eastAsia="仿宋_GB2312" w:cs="仿宋_GB2312"/>
          <w:color w:val="000000"/>
          <w:kern w:val="2"/>
          <w:sz w:val="32"/>
          <w:szCs w:val="32"/>
          <w:lang w:val="en-US" w:eastAsia="zh-CN" w:bidi="ar-SA"/>
        </w:rPr>
        <w:t>2100409-重大公共卫生专项支出，该支出主要用于支付“两癌”患者医疗救助金；2101101-行政单位医疗支出，该支出主要用于支付职工医疗保险金。</w:t>
      </w:r>
    </w:p>
    <w:p>
      <w:pPr>
        <w:keepNext w:val="0"/>
        <w:keepLines w:val="0"/>
        <w:pageBreakBefore w:val="0"/>
        <w:widowControl w:val="0"/>
        <w:kinsoku/>
        <w:wordWrap/>
        <w:overflowPunct/>
        <w:topLinePunct w:val="0"/>
        <w:autoSpaceDE/>
        <w:autoSpaceDN/>
        <w:bidi w:val="0"/>
        <w:adjustRightInd/>
        <w:snapToGrid/>
        <w:spacing w:afterAutospacing="0" w:line="576" w:lineRule="exact"/>
        <w:ind w:firstLine="640" w:firstLineChars="200"/>
        <w:jc w:val="both"/>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color w:val="000000"/>
          <w:sz w:val="32"/>
          <w:szCs w:val="32"/>
          <w:lang w:val="en-US" w:eastAsia="zh-CN"/>
        </w:rPr>
        <w:t>12</w:t>
      </w:r>
      <w:r>
        <w:rPr>
          <w:rFonts w:hint="eastAsia" w:ascii="仿宋_GB2312" w:hAnsi="仿宋_GB2312" w:eastAsia="仿宋_GB2312" w:cs="仿宋_GB2312"/>
          <w:color w:val="000000"/>
          <w:sz w:val="32"/>
          <w:szCs w:val="32"/>
        </w:rPr>
        <w:t>.住房保障</w:t>
      </w:r>
      <w:r>
        <w:rPr>
          <w:rFonts w:hint="eastAsia" w:ascii="仿宋_GB2312" w:hAnsi="仿宋_GB2312" w:eastAsia="仿宋_GB2312" w:cs="仿宋_GB2312"/>
          <w:color w:val="000000"/>
          <w:kern w:val="2"/>
          <w:sz w:val="32"/>
          <w:szCs w:val="32"/>
          <w:lang w:val="en-US" w:eastAsia="zh-CN" w:bidi="ar-SA"/>
        </w:rPr>
        <w:t>2210201-住房公积金支出，该支出主要用于支付职工住房公积金。</w:t>
      </w:r>
    </w:p>
    <w:p>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76" w:lineRule="exact"/>
        <w:ind w:left="0" w:firstLine="640" w:firstLineChars="200"/>
        <w:jc w:val="both"/>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shd w:val="clear" w:fill="FFFFFF"/>
          <w:lang w:val="en-US" w:eastAsia="zh-CN"/>
        </w:rPr>
        <w:t>13</w:t>
      </w:r>
      <w:r>
        <w:rPr>
          <w:rFonts w:hint="eastAsia" w:ascii="仿宋_GB2312" w:hAnsi="仿宋_GB2312" w:eastAsia="仿宋_GB2312" w:cs="仿宋_GB2312"/>
          <w:kern w:val="0"/>
          <w:sz w:val="32"/>
          <w:szCs w:val="32"/>
          <w:shd w:val="clear" w:fill="FFFFFF"/>
        </w:rPr>
        <w:t>.基本支出：指为保障机构正常运转、完成日常工作任务而发生的人员支出和公用支出。</w:t>
      </w:r>
    </w:p>
    <w:p>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76" w:lineRule="exact"/>
        <w:ind w:left="0" w:firstLine="640" w:firstLineChars="200"/>
        <w:jc w:val="both"/>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shd w:val="clear" w:fill="FFFFFF"/>
          <w:lang w:val="en-US" w:eastAsia="zh-CN"/>
        </w:rPr>
        <w:t>14</w:t>
      </w:r>
      <w:r>
        <w:rPr>
          <w:rFonts w:hint="eastAsia" w:ascii="仿宋_GB2312" w:hAnsi="仿宋_GB2312" w:eastAsia="仿宋_GB2312" w:cs="仿宋_GB2312"/>
          <w:kern w:val="0"/>
          <w:sz w:val="32"/>
          <w:szCs w:val="32"/>
          <w:shd w:val="clear" w:fill="FFFFFF"/>
        </w:rPr>
        <w:t>.项目支出：指在基本支出之外为完成特定行政任务和事业发展目标所发生的支出。</w:t>
      </w:r>
    </w:p>
    <w:p>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76" w:lineRule="exact"/>
        <w:ind w:left="0" w:firstLine="640" w:firstLineChars="200"/>
        <w:jc w:val="both"/>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shd w:val="clear" w:fill="FFFFFF"/>
          <w:lang w:val="en-US" w:eastAsia="zh-CN"/>
        </w:rPr>
        <w:t>15</w:t>
      </w:r>
      <w:r>
        <w:rPr>
          <w:rFonts w:hint="eastAsia" w:ascii="仿宋_GB2312" w:hAnsi="仿宋_GB2312" w:eastAsia="仿宋_GB2312" w:cs="仿宋_GB2312"/>
          <w:kern w:val="0"/>
          <w:sz w:val="32"/>
          <w:szCs w:val="32"/>
          <w:shd w:val="clear" w:fill="FFFFFF"/>
        </w:rPr>
        <w:t>.经营支出：指事业单位在专业业务活动及其辅助活动之外开展非独立核算经营活动发生的支出。</w:t>
      </w:r>
    </w:p>
    <w:p>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76" w:lineRule="exact"/>
        <w:ind w:left="0" w:firstLine="640" w:firstLineChars="200"/>
        <w:jc w:val="both"/>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shd w:val="clear" w:fill="FFFFFF"/>
          <w:lang w:val="en-US" w:eastAsia="zh-CN"/>
        </w:rPr>
        <w:t>16</w:t>
      </w:r>
      <w:r>
        <w:rPr>
          <w:rFonts w:hint="eastAsia" w:ascii="仿宋_GB2312" w:hAnsi="仿宋_GB2312" w:eastAsia="仿宋_GB2312" w:cs="仿宋_GB2312"/>
          <w:kern w:val="0"/>
          <w:sz w:val="32"/>
          <w:szCs w:val="32"/>
          <w:shd w:val="clear" w:fill="FFFFFF"/>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17"/>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76" w:lineRule="exact"/>
        <w:ind w:left="0" w:firstLine="640" w:firstLineChars="200"/>
        <w:jc w:val="both"/>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shd w:val="clear" w:fill="FFFFFF"/>
          <w:lang w:val="en-US" w:eastAsia="zh-CN"/>
        </w:rPr>
        <w:t>17</w:t>
      </w:r>
      <w:r>
        <w:rPr>
          <w:rFonts w:hint="eastAsia" w:ascii="仿宋_GB2312" w:hAnsi="仿宋_GB2312" w:eastAsia="仿宋_GB2312" w:cs="仿宋_GB2312"/>
          <w:kern w:val="0"/>
          <w:sz w:val="32"/>
          <w:szCs w:val="32"/>
          <w:shd w:val="clear" w:fill="FFFFFF"/>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17"/>
        <w:keepNext w:val="0"/>
        <w:keepLines w:val="0"/>
        <w:pageBreakBefore w:val="0"/>
        <w:widowControl w:val="0"/>
        <w:suppressLineNumbers w:val="0"/>
        <w:kinsoku/>
        <w:wordWrap/>
        <w:overflowPunct/>
        <w:topLinePunct w:val="0"/>
        <w:autoSpaceDE/>
        <w:autoSpaceDN/>
        <w:bidi w:val="0"/>
        <w:spacing w:before="0" w:beforeAutospacing="0" w:afterAutospacing="0" w:line="576" w:lineRule="exact"/>
        <w:ind w:left="0" w:firstLine="643" w:firstLineChars="200"/>
        <w:jc w:val="left"/>
        <w:textAlignment w:val="auto"/>
        <w:rPr>
          <w:rFonts w:hint="eastAsia" w:ascii="仿宋_GB2312" w:hAnsi="仿宋_GB2312" w:eastAsia="仿宋_GB2312" w:cs="仿宋_GB2312"/>
          <w:kern w:val="0"/>
          <w:sz w:val="32"/>
          <w:szCs w:val="32"/>
        </w:rPr>
      </w:pPr>
      <w:r>
        <w:rPr>
          <w:rStyle w:val="25"/>
          <w:rFonts w:hint="eastAsia" w:ascii="仿宋_GB2312" w:hAnsi="仿宋_GB2312" w:eastAsia="仿宋_GB2312" w:cs="仿宋_GB2312"/>
          <w:b/>
          <w:sz w:val="32"/>
          <w:szCs w:val="32"/>
          <w:shd w:val="clear" w:fill="FFFFFF"/>
        </w:rPr>
        <w:t>（名词解释部分请根据各部门实际列支情况罗列，并根据本部门职责职能增减名词解释内容。）</w:t>
      </w:r>
    </w:p>
    <w:p>
      <w:pPr>
        <w:pStyle w:val="17"/>
        <w:keepNext w:val="0"/>
        <w:keepLines w:val="0"/>
        <w:pageBreakBefore w:val="0"/>
        <w:widowControl w:val="0"/>
        <w:suppressLineNumbers w:val="0"/>
        <w:kinsoku/>
        <w:wordWrap/>
        <w:overflowPunct/>
        <w:topLinePunct w:val="0"/>
        <w:autoSpaceDE/>
        <w:autoSpaceDN/>
        <w:bidi w:val="0"/>
        <w:spacing w:before="0" w:beforeAutospacing="0" w:afterAutospacing="0" w:line="576" w:lineRule="exact"/>
        <w:ind w:left="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shd w:val="clear" w:fill="FFFFFF"/>
        </w:rPr>
        <w:t xml:space="preserve"> </w:t>
      </w:r>
    </w:p>
    <w:p>
      <w:pPr>
        <w:pStyle w:val="17"/>
        <w:keepNext w:val="0"/>
        <w:keepLines w:val="0"/>
        <w:pageBreakBefore w:val="0"/>
        <w:widowControl w:val="0"/>
        <w:suppressLineNumbers w:val="0"/>
        <w:kinsoku/>
        <w:wordWrap/>
        <w:overflowPunct/>
        <w:topLinePunct w:val="0"/>
        <w:autoSpaceDE/>
        <w:autoSpaceDN/>
        <w:bidi w:val="0"/>
        <w:spacing w:before="0" w:beforeAutospacing="0" w:afterAutospacing="0" w:line="576" w:lineRule="exact"/>
        <w:ind w:left="0"/>
        <w:jc w:val="center"/>
        <w:textAlignment w:val="auto"/>
        <w:outlineLvl w:val="0"/>
        <w:rPr>
          <w:rFonts w:hint="eastAsia" w:ascii="宋体" w:hAnsi="宋体" w:eastAsia="宋体" w:cs="宋体"/>
          <w:b/>
          <w:bCs/>
          <w:kern w:val="0"/>
          <w:sz w:val="32"/>
          <w:szCs w:val="32"/>
        </w:rPr>
      </w:pPr>
      <w:bookmarkStart w:id="43" w:name="_Toc17139"/>
      <w:bookmarkStart w:id="44" w:name="_Toc15988"/>
      <w:r>
        <w:rPr>
          <w:rFonts w:hint="eastAsia" w:ascii="宋体" w:hAnsi="宋体" w:eastAsia="宋体" w:cs="宋体"/>
          <w:b/>
          <w:bCs/>
          <w:kern w:val="0"/>
          <w:sz w:val="32"/>
          <w:szCs w:val="32"/>
          <w:shd w:val="clear" w:fill="FFFFFF"/>
        </w:rPr>
        <w:t xml:space="preserve">第四部分 </w:t>
      </w:r>
      <w:r>
        <w:rPr>
          <w:rFonts w:hint="eastAsia" w:ascii="宋体" w:hAnsi="宋体" w:eastAsia="宋体" w:cs="宋体"/>
          <w:b/>
          <w:bCs/>
          <w:kern w:val="0"/>
          <w:sz w:val="32"/>
          <w:szCs w:val="32"/>
          <w:shd w:val="clear" w:fill="FFFFFF"/>
          <w:lang w:val="en-US" w:eastAsia="zh-CN"/>
        </w:rPr>
        <w:t xml:space="preserve">  </w:t>
      </w:r>
      <w:r>
        <w:rPr>
          <w:rFonts w:hint="eastAsia" w:ascii="宋体" w:hAnsi="宋体" w:eastAsia="宋体" w:cs="宋体"/>
          <w:b/>
          <w:bCs/>
          <w:kern w:val="0"/>
          <w:sz w:val="32"/>
          <w:szCs w:val="32"/>
          <w:shd w:val="clear" w:fill="FFFFFF"/>
        </w:rPr>
        <w:t>附件</w:t>
      </w:r>
      <w:bookmarkEnd w:id="43"/>
      <w:bookmarkEnd w:id="44"/>
    </w:p>
    <w:p>
      <w:pPr>
        <w:pStyle w:val="17"/>
        <w:keepNext w:val="0"/>
        <w:keepLines w:val="0"/>
        <w:pageBreakBefore w:val="0"/>
        <w:widowControl w:val="0"/>
        <w:suppressLineNumbers w:val="0"/>
        <w:kinsoku/>
        <w:wordWrap/>
        <w:overflowPunct/>
        <w:topLinePunct w:val="0"/>
        <w:autoSpaceDE/>
        <w:autoSpaceDN/>
        <w:bidi w:val="0"/>
        <w:spacing w:before="0" w:beforeAutospacing="0" w:afterAutospacing="0" w:line="576" w:lineRule="exact"/>
        <w:ind w:left="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shd w:val="clear" w:fill="FFFFFF"/>
        </w:rPr>
        <w:t xml:space="preserve">附件1 </w:t>
      </w:r>
    </w:p>
    <w:p>
      <w:pPr>
        <w:keepNext w:val="0"/>
        <w:keepLines w:val="0"/>
        <w:pageBreakBefore w:val="0"/>
        <w:widowControl w:val="0"/>
        <w:kinsoku/>
        <w:wordWrap/>
        <w:overflowPunct/>
        <w:topLinePunct w:val="0"/>
        <w:autoSpaceDE/>
        <w:autoSpaceDN/>
        <w:bidi w:val="0"/>
        <w:spacing w:afterAutospacing="0" w:line="576" w:lineRule="exact"/>
        <w:jc w:val="center"/>
        <w:textAlignment w:val="auto"/>
        <w:rPr>
          <w:rFonts w:hint="eastAsia" w:ascii="宋体" w:hAnsi="宋体" w:eastAsia="宋体" w:cs="宋体"/>
          <w:b/>
          <w:bCs/>
          <w:sz w:val="36"/>
          <w:szCs w:val="36"/>
        </w:rPr>
      </w:pPr>
      <w:bookmarkStart w:id="45" w:name="_Toc15396617"/>
      <w:r>
        <w:rPr>
          <w:rFonts w:hint="eastAsia" w:ascii="宋体" w:hAnsi="宋体" w:eastAsia="宋体" w:cs="宋体"/>
          <w:b/>
          <w:bCs/>
          <w:sz w:val="36"/>
          <w:szCs w:val="36"/>
          <w:lang w:eastAsia="zh-CN"/>
        </w:rPr>
        <w:t>部门</w:t>
      </w:r>
      <w:r>
        <w:rPr>
          <w:rFonts w:hint="eastAsia" w:ascii="宋体" w:hAnsi="宋体" w:eastAsia="宋体" w:cs="宋体"/>
          <w:b/>
          <w:bCs/>
          <w:sz w:val="36"/>
          <w:szCs w:val="36"/>
        </w:rPr>
        <w:t>整体支出绩效报告</w:t>
      </w:r>
    </w:p>
    <w:p>
      <w:pPr>
        <w:keepNext w:val="0"/>
        <w:keepLines w:val="0"/>
        <w:pageBreakBefore w:val="0"/>
        <w:widowControl w:val="0"/>
        <w:kinsoku/>
        <w:wordWrap/>
        <w:overflowPunct/>
        <w:topLinePunct w:val="0"/>
        <w:autoSpaceDE/>
        <w:autoSpaceDN/>
        <w:bidi w:val="0"/>
        <w:adjustRightInd w:val="0"/>
        <w:snapToGrid w:val="0"/>
        <w:spacing w:afterAutospacing="0" w:line="576" w:lineRule="exact"/>
        <w:ind w:firstLine="720"/>
        <w:jc w:val="left"/>
        <w:textAlignment w:val="auto"/>
        <w:rPr>
          <w:rFonts w:hint="eastAsia" w:ascii="黑体" w:hAnsi="黑体" w:eastAsia="黑体" w:cs="黑体"/>
          <w:b/>
          <w:bCs/>
          <w:color w:val="000000"/>
          <w:kern w:val="0"/>
          <w:sz w:val="32"/>
          <w:szCs w:val="32"/>
          <w:lang w:val="zh-CN"/>
        </w:rPr>
      </w:pPr>
      <w:r>
        <w:rPr>
          <w:rFonts w:hint="eastAsia" w:ascii="黑体" w:hAnsi="黑体" w:eastAsia="黑体" w:cs="黑体"/>
          <w:b/>
          <w:bCs/>
          <w:color w:val="000000"/>
          <w:kern w:val="0"/>
          <w:sz w:val="32"/>
          <w:szCs w:val="32"/>
        </w:rPr>
        <w:t>一、</w:t>
      </w:r>
      <w:r>
        <w:rPr>
          <w:rFonts w:hint="eastAsia" w:ascii="黑体" w:hAnsi="黑体" w:eastAsia="黑体" w:cs="黑体"/>
          <w:b/>
          <w:bCs/>
          <w:color w:val="000000"/>
          <w:kern w:val="0"/>
          <w:sz w:val="32"/>
          <w:szCs w:val="32"/>
          <w:lang w:val="zh-CN"/>
        </w:rPr>
        <w:t>部门（单位）概况</w:t>
      </w:r>
    </w:p>
    <w:p>
      <w:pPr>
        <w:keepNext w:val="0"/>
        <w:keepLines w:val="0"/>
        <w:pageBreakBefore w:val="0"/>
        <w:widowControl w:val="0"/>
        <w:kinsoku/>
        <w:wordWrap/>
        <w:overflowPunct/>
        <w:topLinePunct w:val="0"/>
        <w:autoSpaceDE/>
        <w:autoSpaceDN/>
        <w:bidi w:val="0"/>
        <w:adjustRightInd w:val="0"/>
        <w:snapToGrid w:val="0"/>
        <w:spacing w:afterAutospacing="0" w:line="576" w:lineRule="exact"/>
        <w:ind w:firstLine="720"/>
        <w:jc w:val="left"/>
        <w:textAlignment w:val="auto"/>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b/>
          <w:bCs/>
          <w:color w:val="000000"/>
          <w:kern w:val="0"/>
          <w:sz w:val="32"/>
          <w:szCs w:val="32"/>
          <w:lang w:val="zh-CN"/>
        </w:rPr>
        <w:t>（一）机构组成。</w:t>
      </w:r>
    </w:p>
    <w:p>
      <w:pPr>
        <w:pStyle w:val="2"/>
        <w:keepNext w:val="0"/>
        <w:keepLines w:val="0"/>
        <w:pageBreakBefore w:val="0"/>
        <w:widowControl w:val="0"/>
        <w:kinsoku/>
        <w:wordWrap/>
        <w:overflowPunct/>
        <w:topLinePunct w:val="0"/>
        <w:autoSpaceDE/>
        <w:autoSpaceDN/>
        <w:bidi w:val="0"/>
        <w:spacing w:afterAutospacing="0" w:line="576" w:lineRule="exact"/>
        <w:ind w:firstLine="61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w w:val="96"/>
          <w:sz w:val="32"/>
          <w:szCs w:val="32"/>
        </w:rPr>
        <w:t>为县委直属正科级公益一类事业单位。</w:t>
      </w:r>
    </w:p>
    <w:p>
      <w:pPr>
        <w:keepNext w:val="0"/>
        <w:keepLines w:val="0"/>
        <w:pageBreakBefore w:val="0"/>
        <w:widowControl w:val="0"/>
        <w:kinsoku/>
        <w:wordWrap/>
        <w:overflowPunct/>
        <w:topLinePunct w:val="0"/>
        <w:autoSpaceDE/>
        <w:autoSpaceDN/>
        <w:bidi w:val="0"/>
        <w:adjustRightInd w:val="0"/>
        <w:snapToGrid w:val="0"/>
        <w:spacing w:afterAutospacing="0" w:line="576" w:lineRule="exact"/>
        <w:ind w:firstLine="720"/>
        <w:jc w:val="left"/>
        <w:textAlignment w:val="auto"/>
        <w:rPr>
          <w:rFonts w:hint="eastAsia" w:ascii="仿宋_GB2312" w:hAnsi="仿宋_GB2312" w:eastAsia="仿宋_GB2312" w:cs="仿宋_GB2312"/>
          <w:b/>
          <w:bCs/>
          <w:color w:val="000000"/>
          <w:kern w:val="0"/>
          <w:sz w:val="32"/>
          <w:szCs w:val="32"/>
          <w:lang w:val="zh-CN"/>
        </w:rPr>
      </w:pPr>
      <w:r>
        <w:rPr>
          <w:rFonts w:hint="eastAsia" w:ascii="仿宋_GB2312" w:hAnsi="仿宋_GB2312" w:eastAsia="仿宋_GB2312" w:cs="仿宋_GB2312"/>
          <w:b/>
          <w:bCs/>
          <w:color w:val="000000"/>
          <w:kern w:val="0"/>
          <w:sz w:val="32"/>
          <w:szCs w:val="32"/>
          <w:lang w:val="zh-CN"/>
        </w:rPr>
        <w:t>（二）机构职能。</w:t>
      </w:r>
    </w:p>
    <w:p>
      <w:pPr>
        <w:keepNext w:val="0"/>
        <w:keepLines w:val="0"/>
        <w:pageBreakBefore w:val="0"/>
        <w:widowControl w:val="0"/>
        <w:kinsoku/>
        <w:wordWrap/>
        <w:overflowPunct/>
        <w:topLinePunct w:val="0"/>
        <w:autoSpaceDE/>
        <w:autoSpaceDN/>
        <w:bidi w:val="0"/>
        <w:spacing w:afterAutospacing="0" w:line="576" w:lineRule="exact"/>
        <w:ind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 xml:space="preserve"> </w:t>
      </w:r>
      <w:r>
        <w:rPr>
          <w:rFonts w:hint="eastAsia" w:ascii="仿宋_GB2312" w:hAnsi="仿宋_GB2312" w:eastAsia="仿宋_GB2312" w:cs="仿宋_GB2312"/>
          <w:sz w:val="32"/>
          <w:szCs w:val="32"/>
        </w:rPr>
        <w:t>1.贯彻执行国家有关机关事务工作的方针政策，拟订县直机关事务工作的政策、规划和规章制度并组织实施； 负责县直机关事务的管理、保障和服务工作。</w:t>
      </w:r>
    </w:p>
    <w:p>
      <w:pPr>
        <w:keepNext w:val="0"/>
        <w:keepLines w:val="0"/>
        <w:pageBreakBefore w:val="0"/>
        <w:widowControl w:val="0"/>
        <w:kinsoku/>
        <w:wordWrap/>
        <w:overflowPunct/>
        <w:topLinePunct w:val="0"/>
        <w:autoSpaceDE/>
        <w:autoSpaceDN/>
        <w:bidi w:val="0"/>
        <w:spacing w:afterAutospacing="0" w:line="576"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2.负责公务接待的管理和指导工作，按照规定完成接待任务。</w:t>
      </w:r>
    </w:p>
    <w:p>
      <w:pPr>
        <w:keepNext w:val="0"/>
        <w:keepLines w:val="0"/>
        <w:pageBreakBefore w:val="0"/>
        <w:widowControl w:val="0"/>
        <w:kinsoku/>
        <w:wordWrap/>
        <w:overflowPunct/>
        <w:topLinePunct w:val="0"/>
        <w:autoSpaceDE/>
        <w:autoSpaceDN/>
        <w:bidi w:val="0"/>
        <w:spacing w:afterAutospacing="0" w:line="576"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3.负责县级行政机关和事业单位公务用车、执勤执法用车的编制、配备、更新、处置的报批及日常管理工作。</w:t>
      </w:r>
    </w:p>
    <w:p>
      <w:pPr>
        <w:keepNext w:val="0"/>
        <w:keepLines w:val="0"/>
        <w:pageBreakBefore w:val="0"/>
        <w:widowControl w:val="0"/>
        <w:kinsoku/>
        <w:wordWrap/>
        <w:overflowPunct/>
        <w:topLinePunct w:val="0"/>
        <w:autoSpaceDE/>
        <w:autoSpaceDN/>
        <w:bidi w:val="0"/>
        <w:spacing w:afterAutospacing="0" w:line="576"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4.负责制定县直机关统一的机关后勤服务管理制度， 负责指导和监督实施县直机关后勤服务工作。</w:t>
      </w:r>
    </w:p>
    <w:p>
      <w:pPr>
        <w:keepNext w:val="0"/>
        <w:keepLines w:val="0"/>
        <w:pageBreakBefore w:val="0"/>
        <w:widowControl w:val="0"/>
        <w:kinsoku/>
        <w:wordWrap/>
        <w:overflowPunct/>
        <w:topLinePunct w:val="0"/>
        <w:autoSpaceDE/>
        <w:autoSpaceDN/>
        <w:bidi w:val="0"/>
        <w:spacing w:afterAutospacing="0" w:line="576"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5.负责全县行政事业单位非经营性国有资产的配置标准， 确定资产数量、价格、性能和最低使用年限和处置， 确定相关规章制度和管理办法并组织实施。</w:t>
      </w:r>
    </w:p>
    <w:p>
      <w:pPr>
        <w:keepNext w:val="0"/>
        <w:keepLines w:val="0"/>
        <w:pageBreakBefore w:val="0"/>
        <w:widowControl w:val="0"/>
        <w:kinsoku/>
        <w:wordWrap/>
        <w:overflowPunct/>
        <w:topLinePunct w:val="0"/>
        <w:autoSpaceDE/>
        <w:autoSpaceDN/>
        <w:bidi w:val="0"/>
        <w:spacing w:afterAutospacing="0" w:line="576" w:lineRule="exact"/>
        <w:jc w:val="both"/>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rPr>
        <w:t xml:space="preserve">    6. 负责县直机关周转房的分配、 管理和日常工作， 负责 县委、人大、政府、政协机关集中办公区域的物业管理与服务工作， 负责指导县直机关集中办公区物业管理与服务工作。</w:t>
      </w:r>
    </w:p>
    <w:p>
      <w:pPr>
        <w:keepNext w:val="0"/>
        <w:keepLines w:val="0"/>
        <w:pageBreakBefore w:val="0"/>
        <w:widowControl w:val="0"/>
        <w:kinsoku/>
        <w:wordWrap/>
        <w:overflowPunct/>
        <w:topLinePunct w:val="0"/>
        <w:autoSpaceDE/>
        <w:autoSpaceDN/>
        <w:bidi w:val="0"/>
        <w:adjustRightInd w:val="0"/>
        <w:snapToGrid w:val="0"/>
        <w:spacing w:afterAutospacing="0" w:line="576" w:lineRule="exact"/>
        <w:ind w:firstLine="720"/>
        <w:jc w:val="left"/>
        <w:textAlignment w:val="auto"/>
        <w:rPr>
          <w:rFonts w:hint="eastAsia" w:ascii="仿宋_GB2312" w:hAnsi="仿宋_GB2312" w:eastAsia="仿宋_GB2312" w:cs="仿宋_GB2312"/>
          <w:b/>
          <w:bCs/>
          <w:color w:val="000000"/>
          <w:kern w:val="0"/>
          <w:sz w:val="32"/>
          <w:szCs w:val="32"/>
          <w:lang w:val="zh-CN"/>
        </w:rPr>
      </w:pPr>
      <w:r>
        <w:rPr>
          <w:rFonts w:hint="eastAsia" w:ascii="仿宋_GB2312" w:hAnsi="仿宋_GB2312" w:eastAsia="仿宋_GB2312" w:cs="仿宋_GB2312"/>
          <w:b/>
          <w:bCs/>
          <w:color w:val="000000"/>
          <w:kern w:val="0"/>
          <w:sz w:val="32"/>
          <w:szCs w:val="32"/>
          <w:lang w:val="zh-CN"/>
        </w:rPr>
        <w:t>（三）人员概况。</w:t>
      </w:r>
    </w:p>
    <w:p>
      <w:pPr>
        <w:keepNext w:val="0"/>
        <w:keepLines w:val="0"/>
        <w:pageBreakBefore w:val="0"/>
        <w:widowControl w:val="0"/>
        <w:kinsoku/>
        <w:wordWrap/>
        <w:overflowPunct/>
        <w:topLinePunct w:val="0"/>
        <w:autoSpaceDE/>
        <w:autoSpaceDN/>
        <w:bidi w:val="0"/>
        <w:spacing w:afterAutospacing="0" w:line="576" w:lineRule="exact"/>
        <w:ind w:firstLine="640" w:firstLineChars="200"/>
        <w:jc w:val="both"/>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bCs/>
          <w:sz w:val="32"/>
          <w:szCs w:val="32"/>
        </w:rPr>
        <w:t>我单位为独立核算全额拨款事业单位，截止201</w:t>
      </w:r>
      <w:r>
        <w:rPr>
          <w:rFonts w:hint="eastAsia" w:ascii="仿宋_GB2312" w:hAnsi="仿宋_GB2312" w:eastAsia="仿宋_GB2312" w:cs="仿宋_GB2312"/>
          <w:bCs/>
          <w:sz w:val="32"/>
          <w:szCs w:val="32"/>
          <w:lang w:val="en-US" w:eastAsia="zh-CN"/>
        </w:rPr>
        <w:t>9</w:t>
      </w:r>
      <w:r>
        <w:rPr>
          <w:rFonts w:hint="eastAsia" w:ascii="仿宋_GB2312" w:hAnsi="仿宋_GB2312" w:eastAsia="仿宋_GB2312" w:cs="仿宋_GB2312"/>
          <w:bCs/>
          <w:sz w:val="32"/>
          <w:szCs w:val="32"/>
        </w:rPr>
        <w:t>年底我单位共有编制12个，工勤编制6个，事业编制6个，在职12人，事业编制</w:t>
      </w:r>
      <w:r>
        <w:rPr>
          <w:rFonts w:hint="eastAsia" w:ascii="仿宋_GB2312" w:hAnsi="仿宋_GB2312" w:eastAsia="仿宋_GB2312" w:cs="仿宋_GB2312"/>
          <w:bCs/>
          <w:sz w:val="32"/>
          <w:szCs w:val="32"/>
          <w:lang w:val="en-US" w:eastAsia="zh-CN"/>
        </w:rPr>
        <w:t>4</w:t>
      </w:r>
      <w:r>
        <w:rPr>
          <w:rFonts w:hint="eastAsia" w:ascii="仿宋_GB2312" w:hAnsi="仿宋_GB2312" w:eastAsia="仿宋_GB2312" w:cs="仿宋_GB2312"/>
          <w:bCs/>
          <w:sz w:val="32"/>
          <w:szCs w:val="32"/>
        </w:rPr>
        <w:t>人，退休1人，工勤</w:t>
      </w:r>
      <w:r>
        <w:rPr>
          <w:rFonts w:hint="eastAsia" w:ascii="仿宋_GB2312" w:hAnsi="仿宋_GB2312" w:eastAsia="仿宋_GB2312" w:cs="仿宋_GB2312"/>
          <w:bCs/>
          <w:sz w:val="32"/>
          <w:szCs w:val="32"/>
          <w:lang w:val="en-US" w:eastAsia="zh-CN"/>
        </w:rPr>
        <w:t>4</w:t>
      </w:r>
      <w:r>
        <w:rPr>
          <w:rFonts w:hint="eastAsia" w:ascii="仿宋_GB2312" w:hAnsi="仿宋_GB2312" w:eastAsia="仿宋_GB2312" w:cs="仿宋_GB2312"/>
          <w:bCs/>
          <w:sz w:val="32"/>
          <w:szCs w:val="32"/>
        </w:rPr>
        <w:t>人。</w:t>
      </w:r>
    </w:p>
    <w:p>
      <w:pPr>
        <w:keepNext w:val="0"/>
        <w:keepLines w:val="0"/>
        <w:pageBreakBefore w:val="0"/>
        <w:widowControl w:val="0"/>
        <w:kinsoku/>
        <w:wordWrap/>
        <w:overflowPunct/>
        <w:topLinePunct w:val="0"/>
        <w:autoSpaceDE/>
        <w:autoSpaceDN/>
        <w:bidi w:val="0"/>
        <w:adjustRightInd w:val="0"/>
        <w:snapToGrid w:val="0"/>
        <w:spacing w:afterAutospacing="0" w:line="576" w:lineRule="exact"/>
        <w:ind w:firstLine="720"/>
        <w:jc w:val="left"/>
        <w:textAlignment w:val="auto"/>
        <w:rPr>
          <w:rFonts w:hint="eastAsia" w:ascii="黑体" w:hAnsi="黑体" w:eastAsia="黑体" w:cs="黑体"/>
          <w:b/>
          <w:bCs/>
          <w:color w:val="000000"/>
          <w:kern w:val="0"/>
          <w:sz w:val="32"/>
          <w:szCs w:val="32"/>
        </w:rPr>
      </w:pPr>
      <w:r>
        <w:rPr>
          <w:rFonts w:hint="eastAsia" w:ascii="黑体" w:hAnsi="黑体" w:eastAsia="黑体" w:cs="黑体"/>
          <w:b/>
          <w:bCs/>
          <w:color w:val="000000"/>
          <w:kern w:val="0"/>
          <w:sz w:val="32"/>
          <w:szCs w:val="32"/>
        </w:rPr>
        <w:t>二、部门财政资金收支情况</w:t>
      </w:r>
    </w:p>
    <w:p>
      <w:pPr>
        <w:keepNext w:val="0"/>
        <w:keepLines w:val="0"/>
        <w:pageBreakBefore w:val="0"/>
        <w:widowControl w:val="0"/>
        <w:kinsoku/>
        <w:wordWrap/>
        <w:overflowPunct/>
        <w:topLinePunct w:val="0"/>
        <w:autoSpaceDE/>
        <w:autoSpaceDN/>
        <w:bidi w:val="0"/>
        <w:adjustRightInd w:val="0"/>
        <w:snapToGrid w:val="0"/>
        <w:spacing w:afterAutospacing="0" w:line="576" w:lineRule="exact"/>
        <w:ind w:firstLine="720"/>
        <w:jc w:val="left"/>
        <w:textAlignment w:val="auto"/>
        <w:rPr>
          <w:rFonts w:hint="eastAsia" w:ascii="楷体_GB2312" w:hAnsi="楷体_GB2312" w:eastAsia="楷体_GB2312" w:cs="楷体_GB2312"/>
          <w:b/>
          <w:bCs/>
          <w:color w:val="000000"/>
          <w:kern w:val="0"/>
          <w:sz w:val="32"/>
          <w:szCs w:val="32"/>
          <w:lang w:val="zh-CN"/>
        </w:rPr>
      </w:pPr>
      <w:r>
        <w:rPr>
          <w:rFonts w:hint="eastAsia" w:ascii="楷体_GB2312" w:hAnsi="楷体_GB2312" w:eastAsia="楷体_GB2312" w:cs="楷体_GB2312"/>
          <w:b/>
          <w:bCs/>
          <w:color w:val="000000"/>
          <w:kern w:val="0"/>
          <w:sz w:val="32"/>
          <w:szCs w:val="32"/>
          <w:lang w:val="zh-CN"/>
        </w:rPr>
        <w:t>（一）部门财政资金收入情况。</w:t>
      </w:r>
    </w:p>
    <w:p>
      <w:pPr>
        <w:keepNext w:val="0"/>
        <w:keepLines w:val="0"/>
        <w:pageBreakBefore w:val="0"/>
        <w:widowControl w:val="0"/>
        <w:kinsoku/>
        <w:wordWrap/>
        <w:overflowPunct/>
        <w:topLinePunct w:val="0"/>
        <w:autoSpaceDE/>
        <w:autoSpaceDN/>
        <w:bidi w:val="0"/>
        <w:spacing w:afterAutospacing="0" w:line="576" w:lineRule="exact"/>
        <w:ind w:firstLine="640" w:firstLineChars="200"/>
        <w:jc w:val="both"/>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kern w:val="0"/>
          <w:sz w:val="32"/>
          <w:szCs w:val="32"/>
          <w:shd w:val="clear" w:fill="FFFFFF"/>
        </w:rPr>
        <w:t>2020年本年收入合计351.56万元，其中：一般公共预算财政拨款收入351.56万元，占 100.00%</w:t>
      </w:r>
      <w:r>
        <w:rPr>
          <w:rFonts w:hint="eastAsia" w:ascii="仿宋_GB2312" w:hAnsi="仿宋_GB2312" w:eastAsia="仿宋_GB2312" w:cs="仿宋_GB2312"/>
          <w:kern w:val="0"/>
          <w:sz w:val="32"/>
          <w:szCs w:val="32"/>
          <w:shd w:val="clear" w:fill="FFFFFF"/>
          <w:lang w:eastAsia="zh-CN"/>
        </w:rPr>
        <w:t>。</w:t>
      </w:r>
    </w:p>
    <w:p>
      <w:pPr>
        <w:keepNext w:val="0"/>
        <w:keepLines w:val="0"/>
        <w:pageBreakBefore w:val="0"/>
        <w:widowControl w:val="0"/>
        <w:kinsoku/>
        <w:wordWrap/>
        <w:overflowPunct/>
        <w:topLinePunct w:val="0"/>
        <w:autoSpaceDE/>
        <w:autoSpaceDN/>
        <w:bidi w:val="0"/>
        <w:adjustRightInd w:val="0"/>
        <w:snapToGrid w:val="0"/>
        <w:spacing w:afterAutospacing="0" w:line="576" w:lineRule="exact"/>
        <w:ind w:firstLine="720"/>
        <w:jc w:val="left"/>
        <w:textAlignment w:val="auto"/>
        <w:rPr>
          <w:rFonts w:hint="eastAsia" w:ascii="楷体_GB2312" w:hAnsi="楷体_GB2312" w:eastAsia="楷体_GB2312" w:cs="楷体_GB2312"/>
          <w:b/>
          <w:bCs/>
          <w:color w:val="000000"/>
          <w:kern w:val="0"/>
          <w:sz w:val="32"/>
          <w:szCs w:val="32"/>
          <w:lang w:val="zh-CN"/>
        </w:rPr>
      </w:pPr>
      <w:r>
        <w:rPr>
          <w:rFonts w:hint="eastAsia" w:ascii="楷体_GB2312" w:hAnsi="楷体_GB2312" w:eastAsia="楷体_GB2312" w:cs="楷体_GB2312"/>
          <w:b/>
          <w:bCs/>
          <w:color w:val="000000"/>
          <w:kern w:val="0"/>
          <w:sz w:val="32"/>
          <w:szCs w:val="32"/>
          <w:lang w:val="zh-CN"/>
        </w:rPr>
        <w:t>（二）部门财政资金支出情况。</w:t>
      </w:r>
    </w:p>
    <w:p>
      <w:pPr>
        <w:keepNext w:val="0"/>
        <w:keepLines w:val="0"/>
        <w:pageBreakBefore w:val="0"/>
        <w:widowControl w:val="0"/>
        <w:kinsoku/>
        <w:wordWrap/>
        <w:overflowPunct/>
        <w:topLinePunct w:val="0"/>
        <w:autoSpaceDE/>
        <w:autoSpaceDN/>
        <w:bidi w:val="0"/>
        <w:spacing w:afterAutospacing="0" w:line="576" w:lineRule="exact"/>
        <w:ind w:firstLine="640" w:firstLineChars="200"/>
        <w:jc w:val="both"/>
        <w:textAlignment w:val="auto"/>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kern w:val="0"/>
          <w:sz w:val="32"/>
          <w:szCs w:val="32"/>
          <w:shd w:val="clear" w:fill="FFFFFF"/>
        </w:rPr>
        <w:t>2020年本年支出合计419.28万元，其中：基本支出225.05万元，占 53.68%；项目支出194.23万元，占 46.32%；</w:t>
      </w:r>
    </w:p>
    <w:p>
      <w:pPr>
        <w:keepNext w:val="0"/>
        <w:keepLines w:val="0"/>
        <w:pageBreakBefore w:val="0"/>
        <w:widowControl w:val="0"/>
        <w:kinsoku/>
        <w:wordWrap/>
        <w:overflowPunct/>
        <w:topLinePunct w:val="0"/>
        <w:autoSpaceDE/>
        <w:autoSpaceDN/>
        <w:bidi w:val="0"/>
        <w:adjustRightInd w:val="0"/>
        <w:snapToGrid w:val="0"/>
        <w:spacing w:afterAutospacing="0" w:line="576" w:lineRule="exact"/>
        <w:ind w:firstLine="720"/>
        <w:jc w:val="left"/>
        <w:textAlignment w:val="auto"/>
        <w:rPr>
          <w:rFonts w:hint="eastAsia" w:ascii="黑体" w:hAnsi="黑体" w:eastAsia="黑体" w:cs="黑体"/>
          <w:b/>
          <w:bCs/>
          <w:color w:val="000000"/>
          <w:kern w:val="0"/>
          <w:sz w:val="32"/>
          <w:szCs w:val="32"/>
        </w:rPr>
      </w:pPr>
      <w:r>
        <w:rPr>
          <w:rFonts w:hint="eastAsia" w:ascii="黑体" w:hAnsi="黑体" w:eastAsia="黑体" w:cs="黑体"/>
          <w:b/>
          <w:bCs/>
          <w:color w:val="000000"/>
          <w:kern w:val="0"/>
          <w:sz w:val="32"/>
          <w:szCs w:val="32"/>
        </w:rPr>
        <w:t>三、部门财政支出管理情况</w:t>
      </w:r>
    </w:p>
    <w:p>
      <w:pPr>
        <w:keepNext w:val="0"/>
        <w:keepLines w:val="0"/>
        <w:pageBreakBefore w:val="0"/>
        <w:widowControl w:val="0"/>
        <w:kinsoku/>
        <w:wordWrap/>
        <w:overflowPunct/>
        <w:topLinePunct w:val="0"/>
        <w:autoSpaceDE/>
        <w:autoSpaceDN/>
        <w:bidi w:val="0"/>
        <w:adjustRightInd w:val="0"/>
        <w:snapToGrid w:val="0"/>
        <w:spacing w:afterAutospacing="0" w:line="576" w:lineRule="exact"/>
        <w:ind w:firstLine="720"/>
        <w:jc w:val="left"/>
        <w:textAlignment w:val="auto"/>
        <w:rPr>
          <w:rFonts w:hint="eastAsia" w:ascii="楷体_GB2312" w:hAnsi="楷体_GB2312" w:eastAsia="楷体_GB2312" w:cs="楷体_GB2312"/>
          <w:b/>
          <w:bCs/>
          <w:color w:val="000000"/>
          <w:kern w:val="0"/>
          <w:sz w:val="32"/>
          <w:szCs w:val="32"/>
          <w:lang w:val="zh-CN"/>
        </w:rPr>
      </w:pPr>
      <w:r>
        <w:rPr>
          <w:rFonts w:hint="eastAsia" w:ascii="楷体_GB2312" w:hAnsi="楷体_GB2312" w:eastAsia="楷体_GB2312" w:cs="楷体_GB2312"/>
          <w:b/>
          <w:bCs/>
          <w:color w:val="000000"/>
          <w:kern w:val="0"/>
          <w:sz w:val="32"/>
          <w:szCs w:val="32"/>
          <w:lang w:val="zh-CN"/>
        </w:rPr>
        <w:t>（一）预算编制情况。</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76" w:lineRule="exact"/>
        <w:ind w:left="0" w:right="0" w:firstLine="720"/>
        <w:jc w:val="both"/>
        <w:textAlignment w:val="auto"/>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sz w:val="32"/>
          <w:szCs w:val="32"/>
          <w:lang w:val="zh-CN" w:eastAsia="zh-CN"/>
        </w:rPr>
        <w:t>预算编制上，严格执行《预算法》，根据县财政局的统一安排，结合本部门实际工作情况，认真编制部门预算，经领导审核后，及时报送财政局。我局在预算编制和执行上严格执行上级部门的要求，严格执行《中华人民共和国预算法》、《中华人民共和国预算法实施条例》的规定，预算编制数据准确，无随意调整预算的情况，各项收支均纳入预算管理。</w:t>
      </w:r>
    </w:p>
    <w:p>
      <w:pPr>
        <w:keepNext w:val="0"/>
        <w:keepLines w:val="0"/>
        <w:pageBreakBefore w:val="0"/>
        <w:widowControl w:val="0"/>
        <w:kinsoku/>
        <w:wordWrap/>
        <w:overflowPunct/>
        <w:topLinePunct w:val="0"/>
        <w:autoSpaceDE/>
        <w:autoSpaceDN/>
        <w:bidi w:val="0"/>
        <w:adjustRightInd w:val="0"/>
        <w:snapToGrid w:val="0"/>
        <w:spacing w:afterAutospacing="0" w:line="576" w:lineRule="exact"/>
        <w:ind w:firstLine="720"/>
        <w:jc w:val="left"/>
        <w:textAlignment w:val="auto"/>
        <w:rPr>
          <w:rFonts w:hint="eastAsia" w:ascii="仿宋_GB2312" w:hAnsi="仿宋_GB2312" w:eastAsia="仿宋_GB2312" w:cs="仿宋_GB2312"/>
          <w:color w:val="000000"/>
          <w:kern w:val="0"/>
          <w:sz w:val="32"/>
          <w:szCs w:val="32"/>
          <w:lang w:val="zh-CN"/>
        </w:rPr>
      </w:pPr>
      <w:r>
        <w:rPr>
          <w:rFonts w:hint="eastAsia" w:ascii="楷体_GB2312" w:hAnsi="楷体_GB2312" w:eastAsia="楷体_GB2312" w:cs="楷体_GB2312"/>
          <w:b/>
          <w:bCs/>
          <w:color w:val="000000"/>
          <w:kern w:val="0"/>
          <w:sz w:val="32"/>
          <w:szCs w:val="32"/>
          <w:lang w:val="zh-CN"/>
        </w:rPr>
        <w:t>（二）执行管理情况。</w:t>
      </w:r>
      <w:r>
        <w:rPr>
          <w:rFonts w:hint="eastAsia" w:ascii="仿宋_GB2312" w:hAnsi="仿宋_GB2312" w:eastAsia="仿宋_GB2312" w:cs="仿宋_GB2312"/>
          <w:color w:val="000000"/>
          <w:kern w:val="0"/>
          <w:sz w:val="32"/>
          <w:szCs w:val="32"/>
          <w:lang w:val="zh-CN"/>
        </w:rPr>
        <w:tab/>
      </w:r>
    </w:p>
    <w:p>
      <w:pPr>
        <w:keepNext w:val="0"/>
        <w:keepLines w:val="0"/>
        <w:pageBreakBefore w:val="0"/>
        <w:widowControl w:val="0"/>
        <w:kinsoku/>
        <w:wordWrap/>
        <w:overflowPunct/>
        <w:topLinePunct w:val="0"/>
        <w:autoSpaceDE/>
        <w:autoSpaceDN/>
        <w:bidi w:val="0"/>
        <w:spacing w:afterAutospacing="0" w:line="576" w:lineRule="exact"/>
        <w:ind w:firstLine="640" w:firstLineChars="200"/>
        <w:jc w:val="both"/>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2010350-事业运行</w:t>
      </w:r>
      <w:r>
        <w:rPr>
          <w:rFonts w:hint="eastAsia" w:ascii="仿宋_GB2312" w:hAnsi="仿宋_GB2312" w:eastAsia="仿宋_GB2312" w:cs="仿宋_GB2312"/>
          <w:bCs/>
          <w:sz w:val="32"/>
          <w:szCs w:val="32"/>
          <w:lang w:val="en-US" w:eastAsia="zh-CN"/>
        </w:rPr>
        <w:t>184.04</w:t>
      </w:r>
      <w:r>
        <w:rPr>
          <w:rFonts w:hint="eastAsia" w:ascii="仿宋_GB2312" w:hAnsi="仿宋_GB2312" w:eastAsia="仿宋_GB2312" w:cs="仿宋_GB2312"/>
          <w:bCs/>
          <w:sz w:val="32"/>
          <w:szCs w:val="32"/>
        </w:rPr>
        <w:t>万元，</w:t>
      </w:r>
      <w:r>
        <w:rPr>
          <w:rStyle w:val="20"/>
          <w:rFonts w:hint="eastAsia" w:ascii="仿宋_GB2312" w:hAnsi="仿宋_GB2312" w:eastAsia="仿宋_GB2312" w:cs="仿宋_GB2312"/>
          <w:b w:val="0"/>
          <w:color w:val="000000"/>
          <w:sz w:val="32"/>
          <w:szCs w:val="32"/>
        </w:rPr>
        <w:t>该支出</w:t>
      </w:r>
      <w:r>
        <w:rPr>
          <w:rFonts w:hint="eastAsia" w:ascii="仿宋_GB2312" w:hAnsi="仿宋_GB2312" w:eastAsia="仿宋_GB2312" w:cs="仿宋_GB2312"/>
          <w:bCs/>
          <w:sz w:val="32"/>
          <w:szCs w:val="32"/>
        </w:rPr>
        <w:t>主要用于工资福利支出和商品和服务支出；</w:t>
      </w:r>
    </w:p>
    <w:p>
      <w:pPr>
        <w:pStyle w:val="2"/>
        <w:keepNext w:val="0"/>
        <w:keepLines w:val="0"/>
        <w:pageBreakBefore w:val="0"/>
        <w:widowControl w:val="0"/>
        <w:kinsoku/>
        <w:wordWrap/>
        <w:overflowPunct/>
        <w:topLinePunct w:val="0"/>
        <w:autoSpaceDE/>
        <w:autoSpaceDN/>
        <w:bidi w:val="0"/>
        <w:spacing w:afterAutospacing="0" w:line="576" w:lineRule="exact"/>
        <w:jc w:val="both"/>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rPr>
        <w:t>20103</w:t>
      </w:r>
      <w:r>
        <w:rPr>
          <w:rFonts w:hint="eastAsia" w:ascii="仿宋_GB2312" w:hAnsi="仿宋_GB2312" w:eastAsia="仿宋_GB2312" w:cs="仿宋_GB2312"/>
          <w:bCs/>
          <w:sz w:val="32"/>
          <w:szCs w:val="32"/>
          <w:lang w:val="en-US" w:eastAsia="zh-CN"/>
        </w:rPr>
        <w:t>99</w:t>
      </w:r>
      <w:r>
        <w:rPr>
          <w:rFonts w:hint="eastAsia" w:ascii="仿宋_GB2312" w:hAnsi="仿宋_GB2312" w:eastAsia="仿宋_GB2312" w:cs="仿宋_GB2312"/>
          <w:bCs/>
          <w:sz w:val="32"/>
          <w:szCs w:val="32"/>
        </w:rPr>
        <w:t>-</w:t>
      </w:r>
      <w:r>
        <w:rPr>
          <w:rFonts w:hint="eastAsia" w:ascii="仿宋_GB2312" w:hAnsi="仿宋_GB2312" w:eastAsia="仿宋_GB2312" w:cs="仿宋_GB2312"/>
          <w:bCs/>
          <w:sz w:val="32"/>
          <w:szCs w:val="32"/>
          <w:lang w:eastAsia="zh-CN"/>
        </w:rPr>
        <w:t>其他政府办公厅及相关机构事务支出</w:t>
      </w:r>
      <w:r>
        <w:rPr>
          <w:rFonts w:hint="eastAsia" w:ascii="仿宋_GB2312" w:hAnsi="仿宋_GB2312" w:eastAsia="仿宋_GB2312" w:cs="仿宋_GB2312"/>
          <w:bCs/>
          <w:sz w:val="32"/>
          <w:szCs w:val="32"/>
          <w:lang w:val="en-US" w:eastAsia="zh-CN"/>
        </w:rPr>
        <w:t>179.54万元，该支出主要用于支出公务接待费支出。</w:t>
      </w:r>
    </w:p>
    <w:p>
      <w:pPr>
        <w:pStyle w:val="2"/>
        <w:keepNext w:val="0"/>
        <w:keepLines w:val="0"/>
        <w:pageBreakBefore w:val="0"/>
        <w:widowControl w:val="0"/>
        <w:kinsoku/>
        <w:wordWrap/>
        <w:overflowPunct/>
        <w:topLinePunct w:val="0"/>
        <w:autoSpaceDE/>
        <w:autoSpaceDN/>
        <w:bidi w:val="0"/>
        <w:spacing w:afterAutospacing="0" w:line="576" w:lineRule="exact"/>
        <w:jc w:val="both"/>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2010507-专项普查活动支出14.69万元，该支出主要用于专项普查活动支出；</w:t>
      </w:r>
    </w:p>
    <w:p>
      <w:pPr>
        <w:keepNext w:val="0"/>
        <w:keepLines w:val="0"/>
        <w:pageBreakBefore w:val="0"/>
        <w:widowControl w:val="0"/>
        <w:kinsoku/>
        <w:wordWrap/>
        <w:overflowPunct/>
        <w:topLinePunct w:val="0"/>
        <w:autoSpaceDE/>
        <w:autoSpaceDN/>
        <w:bidi w:val="0"/>
        <w:spacing w:afterAutospacing="0" w:line="576" w:lineRule="exact"/>
        <w:ind w:firstLine="640" w:firstLineChars="200"/>
        <w:jc w:val="both"/>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2101102-</w:t>
      </w:r>
      <w:r>
        <w:rPr>
          <w:rFonts w:hint="eastAsia" w:ascii="仿宋_GB2312" w:hAnsi="仿宋_GB2312" w:eastAsia="仿宋_GB2312" w:cs="仿宋_GB2312"/>
          <w:bCs/>
          <w:sz w:val="32"/>
          <w:szCs w:val="32"/>
          <w:lang w:eastAsia="zh-CN"/>
        </w:rPr>
        <w:t>事业单位医疗支出</w:t>
      </w:r>
      <w:r>
        <w:rPr>
          <w:rFonts w:hint="eastAsia" w:ascii="仿宋_GB2312" w:hAnsi="仿宋_GB2312" w:eastAsia="仿宋_GB2312" w:cs="仿宋_GB2312"/>
          <w:bCs/>
          <w:sz w:val="32"/>
          <w:szCs w:val="32"/>
          <w:lang w:val="en-US" w:eastAsia="zh-CN"/>
        </w:rPr>
        <w:t>7.15</w:t>
      </w:r>
      <w:r>
        <w:rPr>
          <w:rFonts w:hint="eastAsia" w:ascii="仿宋_GB2312" w:hAnsi="仿宋_GB2312" w:eastAsia="仿宋_GB2312" w:cs="仿宋_GB2312"/>
          <w:bCs/>
          <w:sz w:val="32"/>
          <w:szCs w:val="32"/>
        </w:rPr>
        <w:t>万元，</w:t>
      </w:r>
      <w:r>
        <w:rPr>
          <w:rStyle w:val="20"/>
          <w:rFonts w:hint="eastAsia" w:ascii="仿宋_GB2312" w:hAnsi="仿宋_GB2312" w:eastAsia="仿宋_GB2312" w:cs="仿宋_GB2312"/>
          <w:b w:val="0"/>
          <w:color w:val="000000"/>
          <w:sz w:val="32"/>
          <w:szCs w:val="32"/>
        </w:rPr>
        <w:t>该支出</w:t>
      </w:r>
      <w:r>
        <w:rPr>
          <w:rFonts w:hint="eastAsia" w:ascii="仿宋_GB2312" w:hAnsi="仿宋_GB2312" w:eastAsia="仿宋_GB2312" w:cs="仿宋_GB2312"/>
          <w:bCs/>
          <w:sz w:val="32"/>
          <w:szCs w:val="32"/>
        </w:rPr>
        <w:t>主要用于支付事业单位医疗；</w:t>
      </w:r>
    </w:p>
    <w:p>
      <w:pPr>
        <w:keepNext w:val="0"/>
        <w:keepLines w:val="0"/>
        <w:pageBreakBefore w:val="0"/>
        <w:widowControl w:val="0"/>
        <w:kinsoku/>
        <w:wordWrap/>
        <w:overflowPunct/>
        <w:topLinePunct w:val="0"/>
        <w:autoSpaceDE/>
        <w:autoSpaceDN/>
        <w:bidi w:val="0"/>
        <w:spacing w:afterAutospacing="0" w:line="576"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Cs/>
          <w:sz w:val="32"/>
          <w:szCs w:val="32"/>
          <w:lang w:val="en-US" w:eastAsia="zh-CN"/>
        </w:rPr>
        <w:t>2101199-其他行政事业单位医疗支出1.67万元，</w:t>
      </w:r>
      <w:r>
        <w:rPr>
          <w:rStyle w:val="20"/>
          <w:rFonts w:hint="eastAsia" w:ascii="仿宋_GB2312" w:hAnsi="仿宋_GB2312" w:eastAsia="仿宋_GB2312" w:cs="仿宋_GB2312"/>
          <w:b w:val="0"/>
          <w:color w:val="000000"/>
          <w:sz w:val="32"/>
          <w:szCs w:val="32"/>
        </w:rPr>
        <w:t>该支出</w:t>
      </w:r>
      <w:r>
        <w:rPr>
          <w:rFonts w:hint="eastAsia" w:ascii="仿宋_GB2312" w:hAnsi="仿宋_GB2312" w:eastAsia="仿宋_GB2312" w:cs="仿宋_GB2312"/>
          <w:bCs/>
          <w:sz w:val="32"/>
          <w:szCs w:val="32"/>
        </w:rPr>
        <w:t>主要用于支付事业单位医疗；</w:t>
      </w:r>
    </w:p>
    <w:p>
      <w:pPr>
        <w:keepNext w:val="0"/>
        <w:keepLines w:val="0"/>
        <w:pageBreakBefore w:val="0"/>
        <w:widowControl w:val="0"/>
        <w:kinsoku/>
        <w:wordWrap/>
        <w:overflowPunct/>
        <w:topLinePunct w:val="0"/>
        <w:autoSpaceDE/>
        <w:autoSpaceDN/>
        <w:bidi w:val="0"/>
        <w:spacing w:afterAutospacing="0" w:line="576" w:lineRule="exact"/>
        <w:ind w:firstLine="640" w:firstLineChars="200"/>
        <w:jc w:val="both"/>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2080505机关事业单位基本养老保险缴费支</w:t>
      </w:r>
      <w:r>
        <w:rPr>
          <w:rFonts w:hint="eastAsia" w:ascii="仿宋_GB2312" w:hAnsi="仿宋_GB2312" w:eastAsia="仿宋_GB2312" w:cs="仿宋_GB2312"/>
          <w:bCs/>
          <w:sz w:val="32"/>
          <w:szCs w:val="32"/>
          <w:lang w:val="en-US" w:eastAsia="zh-CN"/>
        </w:rPr>
        <w:t>12.97</w:t>
      </w:r>
      <w:r>
        <w:rPr>
          <w:rFonts w:hint="eastAsia" w:ascii="仿宋_GB2312" w:hAnsi="仿宋_GB2312" w:eastAsia="仿宋_GB2312" w:cs="仿宋_GB2312"/>
          <w:sz w:val="32"/>
          <w:szCs w:val="32"/>
        </w:rPr>
        <w:t>万元</w:t>
      </w:r>
      <w:r>
        <w:rPr>
          <w:rFonts w:hint="eastAsia" w:ascii="仿宋_GB2312" w:hAnsi="仿宋_GB2312" w:eastAsia="仿宋_GB2312" w:cs="仿宋_GB2312"/>
          <w:bCs/>
          <w:sz w:val="32"/>
          <w:szCs w:val="32"/>
        </w:rPr>
        <w:t>，</w:t>
      </w:r>
      <w:r>
        <w:rPr>
          <w:rStyle w:val="20"/>
          <w:rFonts w:hint="eastAsia" w:ascii="仿宋_GB2312" w:hAnsi="仿宋_GB2312" w:eastAsia="仿宋_GB2312" w:cs="仿宋_GB2312"/>
          <w:b w:val="0"/>
          <w:color w:val="000000"/>
          <w:sz w:val="32"/>
          <w:szCs w:val="32"/>
        </w:rPr>
        <w:t>该支出</w:t>
      </w:r>
      <w:r>
        <w:rPr>
          <w:rFonts w:hint="eastAsia" w:ascii="仿宋_GB2312" w:hAnsi="仿宋_GB2312" w:eastAsia="仿宋_GB2312" w:cs="仿宋_GB2312"/>
          <w:bCs/>
          <w:sz w:val="32"/>
          <w:szCs w:val="32"/>
        </w:rPr>
        <w:t>主要用于基本养老保险缴费；</w:t>
      </w:r>
    </w:p>
    <w:p>
      <w:pPr>
        <w:keepNext w:val="0"/>
        <w:keepLines w:val="0"/>
        <w:pageBreakBefore w:val="0"/>
        <w:widowControl w:val="0"/>
        <w:kinsoku/>
        <w:wordWrap/>
        <w:overflowPunct/>
        <w:topLinePunct w:val="0"/>
        <w:autoSpaceDE/>
        <w:autoSpaceDN/>
        <w:bidi w:val="0"/>
        <w:spacing w:afterAutospacing="0" w:line="576" w:lineRule="exact"/>
        <w:ind w:firstLine="640" w:firstLineChars="200"/>
        <w:jc w:val="both"/>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2080506-机关事业单位职业年金缴费支出</w:t>
      </w:r>
      <w:r>
        <w:rPr>
          <w:rFonts w:hint="eastAsia" w:ascii="仿宋_GB2312" w:hAnsi="仿宋_GB2312" w:eastAsia="仿宋_GB2312" w:cs="仿宋_GB2312"/>
          <w:bCs/>
          <w:sz w:val="32"/>
          <w:szCs w:val="32"/>
          <w:lang w:val="en-US" w:eastAsia="zh-CN"/>
        </w:rPr>
        <w:t>6.48</w:t>
      </w:r>
      <w:r>
        <w:rPr>
          <w:rFonts w:hint="eastAsia" w:ascii="仿宋_GB2312" w:hAnsi="仿宋_GB2312" w:eastAsia="仿宋_GB2312" w:cs="仿宋_GB2312"/>
          <w:bCs/>
          <w:sz w:val="32"/>
          <w:szCs w:val="32"/>
        </w:rPr>
        <w:t>万元，</w:t>
      </w:r>
      <w:r>
        <w:rPr>
          <w:rStyle w:val="20"/>
          <w:rFonts w:hint="eastAsia" w:ascii="仿宋_GB2312" w:hAnsi="仿宋_GB2312" w:eastAsia="仿宋_GB2312" w:cs="仿宋_GB2312"/>
          <w:b w:val="0"/>
          <w:color w:val="000000"/>
          <w:sz w:val="32"/>
          <w:szCs w:val="32"/>
        </w:rPr>
        <w:t>该支出</w:t>
      </w:r>
      <w:r>
        <w:rPr>
          <w:rFonts w:hint="eastAsia" w:ascii="仿宋_GB2312" w:hAnsi="仿宋_GB2312" w:eastAsia="仿宋_GB2312" w:cs="仿宋_GB2312"/>
          <w:bCs/>
          <w:sz w:val="32"/>
          <w:szCs w:val="32"/>
        </w:rPr>
        <w:t>主要用于职业年金缴费；</w:t>
      </w:r>
    </w:p>
    <w:p>
      <w:pPr>
        <w:keepNext w:val="0"/>
        <w:keepLines w:val="0"/>
        <w:pageBreakBefore w:val="0"/>
        <w:widowControl w:val="0"/>
        <w:kinsoku/>
        <w:wordWrap/>
        <w:overflowPunct/>
        <w:topLinePunct w:val="0"/>
        <w:autoSpaceDE/>
        <w:autoSpaceDN/>
        <w:bidi w:val="0"/>
        <w:spacing w:afterAutospacing="0" w:line="576" w:lineRule="exact"/>
        <w:ind w:firstLine="640" w:firstLineChars="200"/>
        <w:jc w:val="both"/>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2210201-住房公积金支出</w:t>
      </w:r>
      <w:r>
        <w:rPr>
          <w:rFonts w:hint="eastAsia" w:ascii="仿宋_GB2312" w:hAnsi="仿宋_GB2312" w:eastAsia="仿宋_GB2312" w:cs="仿宋_GB2312"/>
          <w:bCs/>
          <w:sz w:val="32"/>
          <w:szCs w:val="32"/>
          <w:lang w:val="en-US" w:eastAsia="zh-CN"/>
        </w:rPr>
        <w:t>12.74</w:t>
      </w:r>
      <w:r>
        <w:rPr>
          <w:rFonts w:hint="eastAsia" w:ascii="仿宋_GB2312" w:hAnsi="仿宋_GB2312" w:eastAsia="仿宋_GB2312" w:cs="仿宋_GB2312"/>
          <w:bCs/>
          <w:sz w:val="32"/>
          <w:szCs w:val="32"/>
        </w:rPr>
        <w:t>万元，</w:t>
      </w:r>
      <w:r>
        <w:rPr>
          <w:rStyle w:val="20"/>
          <w:rFonts w:hint="eastAsia" w:ascii="仿宋_GB2312" w:hAnsi="仿宋_GB2312" w:eastAsia="仿宋_GB2312" w:cs="仿宋_GB2312"/>
          <w:b w:val="0"/>
          <w:color w:val="000000"/>
          <w:sz w:val="32"/>
          <w:szCs w:val="32"/>
        </w:rPr>
        <w:t>该支出</w:t>
      </w:r>
      <w:r>
        <w:rPr>
          <w:rFonts w:hint="eastAsia" w:ascii="仿宋_GB2312" w:hAnsi="仿宋_GB2312" w:eastAsia="仿宋_GB2312" w:cs="仿宋_GB2312"/>
          <w:bCs/>
          <w:sz w:val="32"/>
          <w:szCs w:val="32"/>
        </w:rPr>
        <w:t>主要用于支付职工住房公积金。</w:t>
      </w:r>
    </w:p>
    <w:p>
      <w:pPr>
        <w:pStyle w:val="2"/>
        <w:keepNext w:val="0"/>
        <w:keepLines w:val="0"/>
        <w:pageBreakBefore w:val="0"/>
        <w:widowControl w:val="0"/>
        <w:kinsoku/>
        <w:wordWrap/>
        <w:overflowPunct/>
        <w:topLinePunct w:val="0"/>
        <w:autoSpaceDE/>
        <w:autoSpaceDN/>
        <w:bidi w:val="0"/>
        <w:spacing w:afterAutospacing="0" w:line="576" w:lineRule="exact"/>
        <w:ind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lang w:val="en-US" w:eastAsia="zh-CN"/>
        </w:rPr>
        <w:t>2020</w:t>
      </w:r>
      <w:r>
        <w:rPr>
          <w:rFonts w:hint="eastAsia" w:ascii="仿宋_GB2312" w:hAnsi="仿宋_GB2312" w:eastAsia="仿宋_GB2312" w:cs="仿宋_GB2312"/>
          <w:color w:val="000000"/>
          <w:sz w:val="32"/>
          <w:szCs w:val="32"/>
        </w:rPr>
        <w:t>年度“三公”经费财政拨款支出决算为</w:t>
      </w:r>
      <w:r>
        <w:rPr>
          <w:rFonts w:hint="eastAsia" w:ascii="仿宋_GB2312" w:hAnsi="仿宋_GB2312" w:eastAsia="仿宋_GB2312" w:cs="仿宋_GB2312"/>
          <w:color w:val="000000"/>
          <w:sz w:val="32"/>
          <w:szCs w:val="32"/>
          <w:lang w:val="en-US" w:eastAsia="zh-CN"/>
        </w:rPr>
        <w:t>207.66万</w:t>
      </w:r>
      <w:r>
        <w:rPr>
          <w:rFonts w:hint="eastAsia" w:ascii="仿宋_GB2312" w:hAnsi="仿宋_GB2312" w:eastAsia="仿宋_GB2312" w:cs="仿宋_GB2312"/>
          <w:color w:val="000000"/>
          <w:sz w:val="32"/>
          <w:szCs w:val="32"/>
        </w:rPr>
        <w:t>元，完成预算</w:t>
      </w:r>
      <w:r>
        <w:rPr>
          <w:rFonts w:hint="eastAsia" w:ascii="仿宋_GB2312" w:hAnsi="仿宋_GB2312" w:eastAsia="仿宋_GB2312" w:cs="仿宋_GB2312"/>
          <w:color w:val="000000"/>
          <w:sz w:val="32"/>
          <w:szCs w:val="32"/>
          <w:lang w:val="en-US" w:eastAsia="zh-CN"/>
        </w:rPr>
        <w:t>100</w:t>
      </w:r>
      <w:r>
        <w:rPr>
          <w:rFonts w:hint="eastAsia" w:ascii="仿宋_GB2312" w:hAnsi="仿宋_GB2312" w:eastAsia="仿宋_GB2312" w:cs="仿宋_GB2312"/>
          <w:color w:val="000000"/>
          <w:sz w:val="32"/>
          <w:szCs w:val="32"/>
        </w:rPr>
        <w:t>%，决算数</w:t>
      </w:r>
      <w:r>
        <w:rPr>
          <w:rFonts w:hint="eastAsia" w:ascii="仿宋_GB2312" w:hAnsi="仿宋_GB2312" w:eastAsia="仿宋_GB2312" w:cs="仿宋_GB2312"/>
          <w:color w:val="000000"/>
          <w:sz w:val="32"/>
          <w:szCs w:val="32"/>
          <w:lang w:eastAsia="zh-CN"/>
        </w:rPr>
        <w:t>等</w:t>
      </w:r>
      <w:r>
        <w:rPr>
          <w:rFonts w:hint="eastAsia" w:ascii="仿宋_GB2312" w:hAnsi="仿宋_GB2312" w:eastAsia="仿宋_GB2312" w:cs="仿宋_GB2312"/>
          <w:color w:val="000000"/>
          <w:sz w:val="32"/>
          <w:szCs w:val="32"/>
        </w:rPr>
        <w:t>于预算数</w:t>
      </w:r>
      <w:r>
        <w:rPr>
          <w:rFonts w:hint="eastAsia" w:ascii="仿宋_GB2312" w:hAnsi="仿宋_GB2312" w:eastAsia="仿宋_GB2312" w:cs="仿宋_GB2312"/>
          <w:color w:val="000000"/>
          <w:sz w:val="32"/>
          <w:szCs w:val="32"/>
          <w:lang w:eastAsia="zh-CN"/>
        </w:rPr>
        <w:t>。</w:t>
      </w:r>
    </w:p>
    <w:p>
      <w:pPr>
        <w:keepNext w:val="0"/>
        <w:keepLines w:val="0"/>
        <w:pageBreakBefore w:val="0"/>
        <w:widowControl w:val="0"/>
        <w:kinsoku/>
        <w:wordWrap/>
        <w:overflowPunct/>
        <w:topLinePunct w:val="0"/>
        <w:autoSpaceDE/>
        <w:autoSpaceDN/>
        <w:bidi w:val="0"/>
        <w:adjustRightInd w:val="0"/>
        <w:snapToGrid w:val="0"/>
        <w:spacing w:afterAutospacing="0" w:line="576" w:lineRule="exact"/>
        <w:ind w:firstLine="720"/>
        <w:jc w:val="left"/>
        <w:textAlignment w:val="auto"/>
        <w:rPr>
          <w:rFonts w:hint="eastAsia" w:ascii="楷体_GB2312" w:hAnsi="楷体_GB2312" w:eastAsia="楷体_GB2312" w:cs="楷体_GB2312"/>
          <w:b/>
          <w:bCs/>
          <w:color w:val="000000"/>
          <w:kern w:val="0"/>
          <w:sz w:val="32"/>
          <w:szCs w:val="32"/>
          <w:lang w:val="zh-CN"/>
        </w:rPr>
      </w:pPr>
      <w:r>
        <w:rPr>
          <w:rFonts w:hint="eastAsia" w:ascii="楷体_GB2312" w:hAnsi="楷体_GB2312" w:eastAsia="楷体_GB2312" w:cs="楷体_GB2312"/>
          <w:b/>
          <w:bCs/>
          <w:color w:val="000000"/>
          <w:kern w:val="0"/>
          <w:sz w:val="32"/>
          <w:szCs w:val="32"/>
          <w:lang w:val="zh-CN"/>
        </w:rPr>
        <w:t>（三）综合管理情况。</w:t>
      </w:r>
    </w:p>
    <w:p>
      <w:pPr>
        <w:keepNext w:val="0"/>
        <w:keepLines w:val="0"/>
        <w:pageBreakBefore w:val="0"/>
        <w:widowControl w:val="0"/>
        <w:kinsoku/>
        <w:wordWrap/>
        <w:overflowPunct/>
        <w:topLinePunct w:val="0"/>
        <w:autoSpaceDE/>
        <w:autoSpaceDN/>
        <w:bidi w:val="0"/>
        <w:adjustRightInd w:val="0"/>
        <w:snapToGrid w:val="0"/>
        <w:spacing w:afterAutospacing="0" w:line="576" w:lineRule="exact"/>
        <w:ind w:firstLine="720"/>
        <w:jc w:val="both"/>
        <w:textAlignment w:val="auto"/>
        <w:rPr>
          <w:rFonts w:hint="eastAsia" w:ascii="楷体_GB2312" w:hAnsi="楷体_GB2312" w:eastAsia="楷体_GB2312" w:cs="楷体_GB2312"/>
          <w:b/>
          <w:bCs/>
          <w:color w:val="000000"/>
          <w:kern w:val="0"/>
          <w:sz w:val="32"/>
          <w:szCs w:val="32"/>
          <w:lang w:val="zh-CN"/>
        </w:rPr>
      </w:pPr>
      <w:r>
        <w:rPr>
          <w:rFonts w:hint="eastAsia" w:ascii="仿宋_GB2312" w:hAnsi="仿宋_GB2312" w:eastAsia="仿宋_GB2312" w:cs="仿宋_GB2312"/>
          <w:color w:val="000000"/>
          <w:kern w:val="0"/>
          <w:sz w:val="32"/>
          <w:szCs w:val="32"/>
          <w:lang w:val="zh-CN"/>
        </w:rPr>
        <w:t>包括政府性债务管理、非税收入执收、政策采购实施计划、资产管理、内控制度管理、信息公开、绩效评价及依法接受财政监督情况等。</w:t>
      </w:r>
    </w:p>
    <w:p>
      <w:pPr>
        <w:keepNext w:val="0"/>
        <w:keepLines w:val="0"/>
        <w:pageBreakBefore w:val="0"/>
        <w:widowControl w:val="0"/>
        <w:kinsoku/>
        <w:wordWrap/>
        <w:overflowPunct/>
        <w:topLinePunct w:val="0"/>
        <w:autoSpaceDE/>
        <w:autoSpaceDN/>
        <w:bidi w:val="0"/>
        <w:adjustRightInd w:val="0"/>
        <w:snapToGrid w:val="0"/>
        <w:spacing w:afterAutospacing="0" w:line="576" w:lineRule="exact"/>
        <w:ind w:firstLine="720"/>
        <w:jc w:val="left"/>
        <w:textAlignment w:val="auto"/>
        <w:rPr>
          <w:rFonts w:hint="eastAsia" w:ascii="楷体_GB2312" w:hAnsi="楷体_GB2312" w:eastAsia="楷体_GB2312" w:cs="楷体_GB2312"/>
          <w:b/>
          <w:bCs/>
          <w:color w:val="000000"/>
          <w:kern w:val="0"/>
          <w:sz w:val="32"/>
          <w:szCs w:val="32"/>
          <w:lang w:val="zh-CN"/>
        </w:rPr>
      </w:pPr>
      <w:r>
        <w:rPr>
          <w:rFonts w:hint="eastAsia" w:ascii="楷体_GB2312" w:hAnsi="楷体_GB2312" w:eastAsia="楷体_GB2312" w:cs="楷体_GB2312"/>
          <w:b/>
          <w:bCs/>
          <w:color w:val="000000"/>
          <w:kern w:val="0"/>
          <w:sz w:val="32"/>
          <w:szCs w:val="32"/>
          <w:lang w:val="zh-CN"/>
        </w:rPr>
        <w:t>（四）整体绩效。</w:t>
      </w:r>
    </w:p>
    <w:p>
      <w:pPr>
        <w:keepNext w:val="0"/>
        <w:keepLines w:val="0"/>
        <w:pageBreakBefore w:val="0"/>
        <w:widowControl w:val="0"/>
        <w:kinsoku/>
        <w:wordWrap/>
        <w:overflowPunct/>
        <w:topLinePunct w:val="0"/>
        <w:autoSpaceDE/>
        <w:autoSpaceDN/>
        <w:bidi w:val="0"/>
        <w:adjustRightInd w:val="0"/>
        <w:snapToGrid w:val="0"/>
        <w:spacing w:afterAutospacing="0" w:line="576" w:lineRule="exact"/>
        <w:ind w:firstLine="640" w:firstLineChars="200"/>
        <w:jc w:val="left"/>
        <w:textAlignment w:val="auto"/>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w:t>
      </w:r>
      <w:r>
        <w:rPr>
          <w:rFonts w:hint="eastAsia" w:ascii="仿宋_GB2312" w:hAnsi="仿宋_GB2312" w:eastAsia="仿宋_GB2312" w:cs="仿宋_GB2312"/>
          <w:color w:val="000000"/>
          <w:kern w:val="0"/>
          <w:sz w:val="32"/>
          <w:szCs w:val="32"/>
          <w:lang w:val="en-US" w:eastAsia="zh-CN"/>
        </w:rPr>
        <w:t>1</w:t>
      </w:r>
      <w:r>
        <w:rPr>
          <w:rFonts w:hint="eastAsia" w:ascii="仿宋_GB2312" w:hAnsi="仿宋_GB2312" w:eastAsia="仿宋_GB2312" w:cs="仿宋_GB2312"/>
          <w:color w:val="000000"/>
          <w:kern w:val="0"/>
          <w:sz w:val="32"/>
          <w:szCs w:val="32"/>
          <w:lang w:val="zh-CN"/>
        </w:rPr>
        <w:t>）部门职责履行情况分析</w:t>
      </w:r>
    </w:p>
    <w:p>
      <w:pPr>
        <w:keepNext w:val="0"/>
        <w:keepLines w:val="0"/>
        <w:pageBreakBefore w:val="0"/>
        <w:widowControl w:val="0"/>
        <w:kinsoku/>
        <w:wordWrap/>
        <w:overflowPunct/>
        <w:topLinePunct w:val="0"/>
        <w:autoSpaceDE/>
        <w:autoSpaceDN/>
        <w:bidi w:val="0"/>
        <w:adjustRightInd w:val="0"/>
        <w:snapToGrid w:val="0"/>
        <w:spacing w:afterAutospacing="0" w:line="576" w:lineRule="exact"/>
        <w:ind w:firstLine="640" w:firstLineChars="200"/>
        <w:jc w:val="left"/>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en-US" w:eastAsia="zh-CN"/>
        </w:rPr>
        <w:t>2020</w:t>
      </w:r>
      <w:r>
        <w:rPr>
          <w:rFonts w:hint="eastAsia" w:ascii="仿宋_GB2312" w:hAnsi="仿宋_GB2312" w:eastAsia="仿宋_GB2312" w:cs="仿宋_GB2312"/>
          <w:color w:val="000000"/>
          <w:sz w:val="32"/>
          <w:szCs w:val="32"/>
          <w:lang w:val="zh-CN"/>
        </w:rPr>
        <w:t>年度我单位年初</w:t>
      </w:r>
      <w:r>
        <w:rPr>
          <w:rFonts w:hint="eastAsia" w:ascii="仿宋_GB2312" w:hAnsi="仿宋_GB2312" w:eastAsia="仿宋_GB2312" w:cs="仿宋_GB2312"/>
          <w:color w:val="000000"/>
          <w:sz w:val="32"/>
          <w:szCs w:val="32"/>
        </w:rPr>
        <w:t>根据</w:t>
      </w:r>
      <w:r>
        <w:rPr>
          <w:rFonts w:hint="eastAsia" w:ascii="仿宋_GB2312" w:hAnsi="仿宋_GB2312" w:eastAsia="仿宋_GB2312" w:cs="仿宋_GB2312"/>
          <w:color w:val="000000"/>
          <w:sz w:val="32"/>
          <w:szCs w:val="32"/>
          <w:lang w:val="zh-CN"/>
        </w:rPr>
        <w:t>工作规划和重点工作</w:t>
      </w:r>
      <w:r>
        <w:rPr>
          <w:rFonts w:hint="eastAsia" w:ascii="仿宋_GB2312" w:hAnsi="仿宋_GB2312" w:eastAsia="仿宋_GB2312" w:cs="仿宋_GB2312"/>
          <w:color w:val="000000"/>
          <w:sz w:val="32"/>
          <w:szCs w:val="32"/>
        </w:rPr>
        <w:t>规划</w:t>
      </w:r>
      <w:r>
        <w:rPr>
          <w:rFonts w:hint="eastAsia" w:ascii="仿宋_GB2312" w:hAnsi="仿宋_GB2312" w:eastAsia="仿宋_GB2312" w:cs="仿宋_GB2312"/>
          <w:color w:val="000000"/>
          <w:sz w:val="32"/>
          <w:szCs w:val="32"/>
          <w:lang w:val="zh-CN"/>
        </w:rPr>
        <w:t>，围绕全面建成小康社会的发展蓝图，积极履行职责，强化本单位预算管理，较好地完成了年初工作目标。通过加强预算收支管理，不断建立健全内部管理制度，梳理内部管理流程。部门整体预算支出管理情况得到提升。</w:t>
      </w:r>
    </w:p>
    <w:p>
      <w:pPr>
        <w:keepNext w:val="0"/>
        <w:keepLines w:val="0"/>
        <w:pageBreakBefore w:val="0"/>
        <w:widowControl w:val="0"/>
        <w:kinsoku/>
        <w:wordWrap/>
        <w:overflowPunct/>
        <w:topLinePunct w:val="0"/>
        <w:autoSpaceDE/>
        <w:autoSpaceDN/>
        <w:bidi w:val="0"/>
        <w:adjustRightInd w:val="0"/>
        <w:snapToGrid w:val="0"/>
        <w:spacing w:afterAutospacing="0" w:line="576" w:lineRule="exact"/>
        <w:ind w:firstLine="640" w:firstLineChars="200"/>
        <w:jc w:val="left"/>
        <w:textAlignment w:val="auto"/>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w:t>
      </w:r>
      <w:r>
        <w:rPr>
          <w:rFonts w:hint="eastAsia" w:ascii="仿宋_GB2312" w:hAnsi="仿宋_GB2312" w:eastAsia="仿宋_GB2312" w:cs="仿宋_GB2312"/>
          <w:color w:val="000000"/>
          <w:kern w:val="0"/>
          <w:sz w:val="32"/>
          <w:szCs w:val="32"/>
          <w:lang w:val="en-US" w:eastAsia="zh-CN"/>
        </w:rPr>
        <w:t>2</w:t>
      </w:r>
      <w:r>
        <w:rPr>
          <w:rFonts w:hint="eastAsia" w:ascii="仿宋_GB2312" w:hAnsi="仿宋_GB2312" w:eastAsia="仿宋_GB2312" w:cs="仿宋_GB2312"/>
          <w:color w:val="000000"/>
          <w:kern w:val="0"/>
          <w:sz w:val="32"/>
          <w:szCs w:val="32"/>
          <w:lang w:val="zh-CN"/>
        </w:rPr>
        <w:t>）社会经济效益分析</w:t>
      </w:r>
    </w:p>
    <w:p>
      <w:pPr>
        <w:keepNext w:val="0"/>
        <w:keepLines w:val="0"/>
        <w:pageBreakBefore w:val="0"/>
        <w:widowControl w:val="0"/>
        <w:kinsoku/>
        <w:wordWrap/>
        <w:overflowPunct/>
        <w:topLinePunct w:val="0"/>
        <w:autoSpaceDE/>
        <w:autoSpaceDN/>
        <w:bidi w:val="0"/>
        <w:adjustRightInd w:val="0"/>
        <w:snapToGrid w:val="0"/>
        <w:spacing w:afterAutospacing="0" w:line="576" w:lineRule="exact"/>
        <w:ind w:firstLine="640" w:firstLineChars="200"/>
        <w:jc w:val="left"/>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1、本年预算配置控制较好。财政供养人员控制在预算编制以内，编制内在职人员控制率为100%；“三公经费”控制在年初预算以内。</w:t>
      </w:r>
    </w:p>
    <w:p>
      <w:pPr>
        <w:keepNext w:val="0"/>
        <w:keepLines w:val="0"/>
        <w:pageBreakBefore w:val="0"/>
        <w:widowControl w:val="0"/>
        <w:kinsoku/>
        <w:wordWrap/>
        <w:overflowPunct/>
        <w:topLinePunct w:val="0"/>
        <w:autoSpaceDE/>
        <w:autoSpaceDN/>
        <w:bidi w:val="0"/>
        <w:adjustRightInd w:val="0"/>
        <w:snapToGrid w:val="0"/>
        <w:spacing w:afterAutospacing="0" w:line="576" w:lineRule="exact"/>
        <w:ind w:firstLine="640" w:firstLineChars="200"/>
        <w:jc w:val="left"/>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2、预算执行情况控制较好。支出总额控制在年初预算总额以内，本年部门预算完成率达到了100%，未进行预算相关事项的调整，预算控制良好。</w:t>
      </w:r>
    </w:p>
    <w:p>
      <w:pPr>
        <w:keepNext w:val="0"/>
        <w:keepLines w:val="0"/>
        <w:pageBreakBefore w:val="0"/>
        <w:widowControl w:val="0"/>
        <w:kinsoku/>
        <w:wordWrap/>
        <w:overflowPunct/>
        <w:topLinePunct w:val="0"/>
        <w:autoSpaceDE/>
        <w:autoSpaceDN/>
        <w:bidi w:val="0"/>
        <w:adjustRightInd w:val="0"/>
        <w:snapToGrid w:val="0"/>
        <w:spacing w:afterAutospacing="0" w:line="576" w:lineRule="exact"/>
        <w:ind w:firstLine="640" w:firstLineChars="200"/>
        <w:jc w:val="left"/>
        <w:textAlignment w:val="auto"/>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sz w:val="32"/>
          <w:szCs w:val="32"/>
          <w:lang w:val="zh-CN"/>
        </w:rPr>
        <w:t>3、预算管理较为理想。由于严格执行财政相关法律、法规的规定，我单位的预算管理工作取得了较好的成绩，全年人员经费支出、日常用公用经费支出的控制率均达到了100%</w:t>
      </w:r>
      <w:r>
        <w:rPr>
          <w:rFonts w:hint="eastAsia" w:ascii="仿宋_GB2312" w:hAnsi="仿宋_GB2312" w:eastAsia="仿宋_GB2312" w:cs="仿宋_GB2312"/>
          <w:color w:val="000000"/>
          <w:kern w:val="0"/>
          <w:sz w:val="32"/>
          <w:szCs w:val="32"/>
          <w:lang w:val="zh-CN"/>
        </w:rPr>
        <w:t>。</w:t>
      </w:r>
    </w:p>
    <w:p>
      <w:pPr>
        <w:keepNext w:val="0"/>
        <w:keepLines w:val="0"/>
        <w:pageBreakBefore w:val="0"/>
        <w:widowControl w:val="0"/>
        <w:kinsoku/>
        <w:wordWrap/>
        <w:overflowPunct/>
        <w:topLinePunct w:val="0"/>
        <w:autoSpaceDE/>
        <w:autoSpaceDN/>
        <w:bidi w:val="0"/>
        <w:adjustRightInd w:val="0"/>
        <w:snapToGrid w:val="0"/>
        <w:spacing w:afterAutospacing="0" w:line="576" w:lineRule="exact"/>
        <w:ind w:firstLine="640" w:firstLineChars="200"/>
        <w:jc w:val="left"/>
        <w:textAlignment w:val="auto"/>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w:t>
      </w:r>
      <w:r>
        <w:rPr>
          <w:rFonts w:hint="eastAsia" w:ascii="仿宋_GB2312" w:hAnsi="仿宋_GB2312" w:eastAsia="仿宋_GB2312" w:cs="仿宋_GB2312"/>
          <w:color w:val="000000"/>
          <w:kern w:val="0"/>
          <w:sz w:val="32"/>
          <w:szCs w:val="32"/>
          <w:lang w:val="en-US" w:eastAsia="zh-CN"/>
        </w:rPr>
        <w:t>3</w:t>
      </w:r>
      <w:r>
        <w:rPr>
          <w:rFonts w:hint="eastAsia" w:ascii="仿宋_GB2312" w:hAnsi="仿宋_GB2312" w:eastAsia="仿宋_GB2312" w:cs="仿宋_GB2312"/>
          <w:color w:val="000000"/>
          <w:kern w:val="0"/>
          <w:sz w:val="32"/>
          <w:szCs w:val="32"/>
          <w:lang w:val="zh-CN"/>
        </w:rPr>
        <w:t>）行政效能分析</w:t>
      </w:r>
    </w:p>
    <w:p>
      <w:pPr>
        <w:keepNext w:val="0"/>
        <w:keepLines w:val="0"/>
        <w:pageBreakBefore w:val="0"/>
        <w:widowControl w:val="0"/>
        <w:kinsoku/>
        <w:wordWrap/>
        <w:overflowPunct/>
        <w:topLinePunct w:val="0"/>
        <w:autoSpaceDE/>
        <w:autoSpaceDN/>
        <w:bidi w:val="0"/>
        <w:adjustRightInd w:val="0"/>
        <w:snapToGrid w:val="0"/>
        <w:spacing w:afterAutospacing="0" w:line="576" w:lineRule="exact"/>
        <w:ind w:firstLine="640" w:firstLineChars="200"/>
        <w:jc w:val="left"/>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财政预算按排在很大程度上保障了本单位基本支出及公用经费支出的正常工作运转。预算按排的项目支出也是非常必要的。财政预算按排大大提财政资金的使用效率，财政资金的安全性得到了有效保障，我们在执行预算过程中是严格按照财政各项制度规定来办理，单位在项目资金的使用上也是安全的。</w:t>
      </w:r>
    </w:p>
    <w:bookmarkEnd w:id="45"/>
    <w:p>
      <w:pPr>
        <w:keepNext w:val="0"/>
        <w:keepLines w:val="0"/>
        <w:pageBreakBefore w:val="0"/>
        <w:widowControl w:val="0"/>
        <w:kinsoku/>
        <w:wordWrap/>
        <w:overflowPunct/>
        <w:topLinePunct w:val="0"/>
        <w:autoSpaceDE/>
        <w:autoSpaceDN/>
        <w:bidi w:val="0"/>
        <w:adjustRightInd w:val="0"/>
        <w:snapToGrid w:val="0"/>
        <w:spacing w:afterAutospacing="0" w:line="576" w:lineRule="exact"/>
        <w:ind w:firstLine="720"/>
        <w:jc w:val="left"/>
        <w:textAlignment w:val="auto"/>
        <w:rPr>
          <w:rFonts w:hint="eastAsia" w:ascii="黑体" w:hAnsi="黑体" w:eastAsia="黑体" w:cs="黑体"/>
          <w:b/>
          <w:bCs/>
          <w:color w:val="000000"/>
          <w:kern w:val="0"/>
          <w:sz w:val="32"/>
          <w:szCs w:val="32"/>
          <w:lang w:val="en-US"/>
        </w:rPr>
      </w:pPr>
      <w:r>
        <w:rPr>
          <w:rFonts w:hint="eastAsia" w:ascii="黑体" w:hAnsi="黑体" w:eastAsia="黑体" w:cs="黑体"/>
          <w:b/>
          <w:bCs/>
          <w:color w:val="000000"/>
          <w:kern w:val="0"/>
          <w:sz w:val="32"/>
          <w:szCs w:val="32"/>
          <w:lang w:val="en-US" w:eastAsia="zh-CN"/>
        </w:rPr>
        <w:t>四、评价结论及建议</w:t>
      </w:r>
    </w:p>
    <w:p>
      <w:pPr>
        <w:pStyle w:val="1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576" w:lineRule="exact"/>
        <w:ind w:left="0" w:right="0" w:firstLine="645"/>
        <w:jc w:val="left"/>
        <w:textAlignment w:val="auto"/>
        <w:rPr>
          <w:rFonts w:hint="eastAsia" w:ascii="仿宋_GB2312" w:hAnsi="仿宋_GB2312" w:eastAsia="仿宋_GB2312" w:cs="仿宋_GB2312"/>
          <w:color w:val="000000"/>
          <w:kern w:val="0"/>
          <w:sz w:val="32"/>
          <w:szCs w:val="32"/>
          <w:lang w:val="zh-CN" w:eastAsia="zh-CN" w:bidi="ar-SA"/>
        </w:rPr>
      </w:pPr>
      <w:r>
        <w:rPr>
          <w:rFonts w:hint="eastAsia" w:ascii="仿宋_GB2312" w:hAnsi="仿宋_GB2312" w:eastAsia="仿宋_GB2312" w:cs="仿宋_GB2312"/>
          <w:color w:val="000000"/>
          <w:kern w:val="0"/>
          <w:sz w:val="32"/>
          <w:szCs w:val="32"/>
          <w:lang w:val="zh-CN" w:eastAsia="zh-CN" w:bidi="ar-SA"/>
        </w:rPr>
        <w:t>（一）评价结论。</w:t>
      </w:r>
    </w:p>
    <w:p>
      <w:pPr>
        <w:pStyle w:val="1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576" w:lineRule="exact"/>
        <w:ind w:left="0" w:right="0" w:firstLine="645"/>
        <w:jc w:val="left"/>
        <w:textAlignment w:val="auto"/>
        <w:rPr>
          <w:rFonts w:hint="eastAsia" w:ascii="仿宋_GB2312" w:hAnsi="仿宋_GB2312" w:eastAsia="仿宋_GB2312" w:cs="仿宋_GB2312"/>
          <w:color w:val="000000"/>
          <w:kern w:val="0"/>
          <w:sz w:val="32"/>
          <w:szCs w:val="32"/>
          <w:lang w:val="zh-CN" w:eastAsia="zh-CN" w:bidi="ar-SA"/>
        </w:rPr>
      </w:pPr>
      <w:r>
        <w:rPr>
          <w:rFonts w:hint="eastAsia" w:ascii="仿宋_GB2312" w:hAnsi="仿宋_GB2312" w:eastAsia="仿宋_GB2312" w:cs="仿宋_GB2312"/>
          <w:color w:val="000000"/>
          <w:kern w:val="0"/>
          <w:sz w:val="32"/>
          <w:szCs w:val="32"/>
          <w:lang w:val="zh-CN" w:eastAsia="zh-CN" w:bidi="ar-SA"/>
        </w:rPr>
        <w:t>1. 我单位在预算管理上的力度加强，增强了预算的计划性、科学性，使预算管理的约束控制力得到充分发挥；   </w:t>
      </w:r>
    </w:p>
    <w:p>
      <w:pPr>
        <w:pStyle w:val="1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576" w:lineRule="exact"/>
        <w:ind w:left="0" w:right="0" w:firstLine="645"/>
        <w:jc w:val="left"/>
        <w:textAlignment w:val="auto"/>
        <w:rPr>
          <w:rFonts w:hint="eastAsia" w:ascii="仿宋_GB2312" w:hAnsi="仿宋_GB2312" w:eastAsia="仿宋_GB2312" w:cs="仿宋_GB2312"/>
          <w:color w:val="000000"/>
          <w:kern w:val="0"/>
          <w:sz w:val="32"/>
          <w:szCs w:val="32"/>
          <w:lang w:val="zh-CN" w:eastAsia="zh-CN" w:bidi="ar-SA"/>
        </w:rPr>
      </w:pPr>
      <w:r>
        <w:rPr>
          <w:rFonts w:hint="eastAsia" w:ascii="仿宋_GB2312" w:hAnsi="仿宋_GB2312" w:eastAsia="仿宋_GB2312" w:cs="仿宋_GB2312"/>
          <w:color w:val="000000"/>
          <w:kern w:val="0"/>
          <w:sz w:val="32"/>
          <w:szCs w:val="32"/>
          <w:lang w:val="zh-CN" w:eastAsia="zh-CN" w:bidi="ar-SA"/>
        </w:rPr>
        <w:t>2.在内部控制文化建设方面积极培育符合我单位实际情况的内部控制文化，使内控意识和内控文化渗透到每一位干部职工思想深处，使内控成为每位干部职工的自觉行为。</w:t>
      </w:r>
    </w:p>
    <w:p>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76" w:lineRule="exact"/>
        <w:ind w:left="0" w:right="0" w:firstLine="720"/>
        <w:jc w:val="left"/>
        <w:textAlignment w:val="auto"/>
        <w:rPr>
          <w:rFonts w:hint="eastAsia" w:ascii="仿宋_GB2312" w:hAnsi="仿宋_GB2312" w:eastAsia="仿宋_GB2312" w:cs="仿宋_GB2312"/>
          <w:color w:val="000000"/>
          <w:kern w:val="0"/>
          <w:sz w:val="32"/>
          <w:szCs w:val="32"/>
          <w:lang w:val="zh-CN" w:eastAsia="zh-CN" w:bidi="ar-SA"/>
        </w:rPr>
      </w:pPr>
      <w:r>
        <w:rPr>
          <w:rFonts w:hint="eastAsia" w:ascii="仿宋_GB2312" w:hAnsi="仿宋_GB2312" w:eastAsia="仿宋_GB2312" w:cs="仿宋_GB2312"/>
          <w:color w:val="000000"/>
          <w:kern w:val="0"/>
          <w:sz w:val="32"/>
          <w:szCs w:val="32"/>
          <w:lang w:val="zh-CN" w:eastAsia="zh-CN" w:bidi="ar-SA"/>
        </w:rPr>
        <w:t>（二）存在问题</w:t>
      </w:r>
    </w:p>
    <w:p>
      <w:pPr>
        <w:pStyle w:val="17"/>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spacing w:before="0" w:beforeAutospacing="0" w:after="0" w:afterAutospacing="0" w:line="576" w:lineRule="exact"/>
        <w:ind w:left="0" w:right="0" w:firstLine="645"/>
        <w:jc w:val="left"/>
        <w:textAlignment w:val="auto"/>
        <w:rPr>
          <w:rFonts w:hint="eastAsia" w:ascii="仿宋_GB2312" w:hAnsi="仿宋_GB2312" w:eastAsia="仿宋_GB2312" w:cs="仿宋_GB2312"/>
          <w:color w:val="000000"/>
          <w:kern w:val="0"/>
          <w:sz w:val="32"/>
          <w:szCs w:val="32"/>
          <w:lang w:val="zh-CN" w:eastAsia="zh-CN" w:bidi="ar-SA"/>
        </w:rPr>
      </w:pPr>
      <w:r>
        <w:rPr>
          <w:rFonts w:hint="eastAsia" w:ascii="仿宋_GB2312" w:hAnsi="仿宋_GB2312" w:eastAsia="仿宋_GB2312" w:cs="仿宋_GB2312"/>
          <w:color w:val="000000"/>
          <w:kern w:val="0"/>
          <w:sz w:val="32"/>
          <w:szCs w:val="32"/>
          <w:lang w:val="zh-CN" w:eastAsia="zh-CN" w:bidi="ar-SA"/>
        </w:rPr>
        <w:t>我单位会计股对单位重要事项的决策、实施过程和结果了解较少，进而对业务涉及财务问题时不能事前进行财务分析与指导，导致了控制与监督的不及时。今后要加强业务沟通，做到控制及时、监督有效。</w:t>
      </w:r>
    </w:p>
    <w:p>
      <w:pPr>
        <w:pStyle w:val="17"/>
        <w:keepNext w:val="0"/>
        <w:keepLines w:val="0"/>
        <w:widowControl/>
        <w:suppressLineNumbers w:val="0"/>
        <w:spacing w:before="0" w:beforeAutospacing="0"/>
        <w:ind w:left="0"/>
        <w:jc w:val="left"/>
        <w:rPr>
          <w:rFonts w:hint="eastAsia" w:ascii="宋体" w:hAnsi="宋体" w:eastAsia="宋体" w:cs="宋体"/>
          <w:kern w:val="0"/>
          <w:sz w:val="24"/>
          <w:szCs w:val="24"/>
        </w:rPr>
      </w:pPr>
      <w:r>
        <w:rPr>
          <w:rFonts w:hint="eastAsia" w:ascii="宋体" w:hAnsi="宋体" w:eastAsia="宋体" w:cs="宋体"/>
          <w:kern w:val="0"/>
          <w:sz w:val="24"/>
          <w:szCs w:val="24"/>
          <w:shd w:val="clear" w:fill="FFFFFF"/>
        </w:rPr>
        <w:t xml:space="preserve"> </w:t>
      </w:r>
    </w:p>
    <w:p>
      <w:pPr>
        <w:pStyle w:val="17"/>
        <w:keepNext w:val="0"/>
        <w:keepLines w:val="0"/>
        <w:widowControl/>
        <w:suppressLineNumbers w:val="0"/>
        <w:spacing w:before="0" w:beforeAutospacing="0"/>
        <w:ind w:left="0"/>
        <w:jc w:val="center"/>
        <w:outlineLvl w:val="0"/>
        <w:rPr>
          <w:rFonts w:hint="eastAsia" w:ascii="宋体" w:hAnsi="宋体" w:eastAsia="宋体" w:cs="宋体"/>
          <w:b/>
          <w:bCs/>
          <w:kern w:val="0"/>
          <w:sz w:val="32"/>
          <w:szCs w:val="32"/>
        </w:rPr>
      </w:pPr>
      <w:bookmarkStart w:id="46" w:name="_Toc20091"/>
      <w:bookmarkStart w:id="47" w:name="_Toc4174"/>
      <w:r>
        <w:rPr>
          <w:rFonts w:hint="eastAsia" w:ascii="宋体" w:hAnsi="宋体" w:eastAsia="宋体" w:cs="宋体"/>
          <w:b/>
          <w:bCs/>
          <w:kern w:val="0"/>
          <w:sz w:val="32"/>
          <w:szCs w:val="32"/>
          <w:shd w:val="clear" w:fill="FFFFFF"/>
        </w:rPr>
        <w:t>第五部分 附表</w:t>
      </w:r>
      <w:bookmarkEnd w:id="46"/>
      <w:bookmarkEnd w:id="47"/>
    </w:p>
    <w:p>
      <w:pPr>
        <w:pStyle w:val="5"/>
        <w:keepNext w:val="0"/>
        <w:keepLines w:val="0"/>
        <w:widowControl/>
        <w:suppressLineNumbers w:val="0"/>
        <w:spacing w:before="0" w:beforeAutospacing="0"/>
        <w:ind w:left="0"/>
        <w:jc w:val="left"/>
        <w:rPr>
          <w:rFonts w:hint="eastAsia" w:ascii="宋体" w:hAnsi="宋体" w:eastAsia="宋体" w:cs="宋体"/>
          <w:b/>
          <w:kern w:val="0"/>
          <w:sz w:val="36"/>
          <w:szCs w:val="36"/>
        </w:rPr>
      </w:pPr>
      <w:bookmarkStart w:id="48" w:name="_Toc21678"/>
      <w:bookmarkStart w:id="49" w:name="_Toc9660"/>
      <w:r>
        <w:rPr>
          <w:rFonts w:hint="eastAsia" w:ascii="宋体" w:hAnsi="宋体" w:eastAsia="宋体" w:cs="宋体"/>
          <w:b/>
          <w:kern w:val="0"/>
          <w:sz w:val="24"/>
          <w:szCs w:val="24"/>
          <w:shd w:val="clear" w:fill="FFFFFF"/>
        </w:rPr>
        <w:t>一、收入支出决算总表</w:t>
      </w:r>
      <w:bookmarkEnd w:id="48"/>
      <w:bookmarkEnd w:id="49"/>
    </w:p>
    <w:p>
      <w:pPr>
        <w:pStyle w:val="5"/>
        <w:keepNext w:val="0"/>
        <w:keepLines w:val="0"/>
        <w:widowControl/>
        <w:suppressLineNumbers w:val="0"/>
        <w:spacing w:before="0" w:beforeAutospacing="0"/>
        <w:ind w:left="0"/>
        <w:jc w:val="left"/>
        <w:rPr>
          <w:rFonts w:hint="eastAsia" w:ascii="宋体" w:hAnsi="宋体" w:eastAsia="宋体" w:cs="宋体"/>
          <w:b/>
          <w:kern w:val="0"/>
          <w:sz w:val="36"/>
          <w:szCs w:val="36"/>
        </w:rPr>
      </w:pPr>
      <w:bookmarkStart w:id="50" w:name="_Toc21924"/>
      <w:bookmarkStart w:id="51" w:name="_Toc17456"/>
      <w:r>
        <w:rPr>
          <w:rFonts w:hint="eastAsia" w:ascii="宋体" w:hAnsi="宋体" w:eastAsia="宋体" w:cs="宋体"/>
          <w:b/>
          <w:kern w:val="0"/>
          <w:sz w:val="24"/>
          <w:szCs w:val="24"/>
          <w:shd w:val="clear" w:fill="FFFFFF"/>
        </w:rPr>
        <w:t>二、收入决算表</w:t>
      </w:r>
      <w:bookmarkEnd w:id="50"/>
      <w:bookmarkEnd w:id="51"/>
    </w:p>
    <w:p>
      <w:pPr>
        <w:pStyle w:val="5"/>
        <w:keepNext w:val="0"/>
        <w:keepLines w:val="0"/>
        <w:widowControl/>
        <w:suppressLineNumbers w:val="0"/>
        <w:spacing w:before="0" w:beforeAutospacing="0"/>
        <w:ind w:left="0"/>
        <w:jc w:val="left"/>
        <w:rPr>
          <w:rFonts w:hint="eastAsia" w:ascii="宋体" w:hAnsi="宋体" w:eastAsia="宋体" w:cs="宋体"/>
          <w:b/>
          <w:kern w:val="0"/>
          <w:sz w:val="36"/>
          <w:szCs w:val="36"/>
        </w:rPr>
      </w:pPr>
      <w:bookmarkStart w:id="52" w:name="_Toc11842"/>
      <w:bookmarkStart w:id="53" w:name="_Toc3473"/>
      <w:r>
        <w:rPr>
          <w:rFonts w:hint="eastAsia" w:ascii="宋体" w:hAnsi="宋体" w:eastAsia="宋体" w:cs="宋体"/>
          <w:b/>
          <w:kern w:val="0"/>
          <w:sz w:val="24"/>
          <w:szCs w:val="24"/>
          <w:shd w:val="clear" w:fill="FFFFFF"/>
        </w:rPr>
        <w:t>三、支出决算表</w:t>
      </w:r>
      <w:bookmarkEnd w:id="52"/>
      <w:bookmarkEnd w:id="53"/>
    </w:p>
    <w:p>
      <w:pPr>
        <w:pStyle w:val="5"/>
        <w:keepNext w:val="0"/>
        <w:keepLines w:val="0"/>
        <w:widowControl/>
        <w:suppressLineNumbers w:val="0"/>
        <w:spacing w:before="0" w:beforeAutospacing="0"/>
        <w:ind w:left="0"/>
        <w:jc w:val="left"/>
        <w:rPr>
          <w:rFonts w:hint="eastAsia" w:ascii="宋体" w:hAnsi="宋体" w:eastAsia="宋体" w:cs="宋体"/>
          <w:b/>
          <w:kern w:val="0"/>
          <w:sz w:val="36"/>
          <w:szCs w:val="36"/>
        </w:rPr>
      </w:pPr>
      <w:bookmarkStart w:id="54" w:name="_Toc3927"/>
      <w:bookmarkStart w:id="55" w:name="_Toc16485"/>
      <w:r>
        <w:rPr>
          <w:rFonts w:hint="eastAsia" w:ascii="宋体" w:hAnsi="宋体" w:eastAsia="宋体" w:cs="宋体"/>
          <w:b/>
          <w:kern w:val="0"/>
          <w:sz w:val="24"/>
          <w:szCs w:val="24"/>
          <w:shd w:val="clear" w:fill="FFFFFF"/>
        </w:rPr>
        <w:t>四、财政拨款收入支出决算总表</w:t>
      </w:r>
      <w:bookmarkEnd w:id="54"/>
      <w:bookmarkEnd w:id="55"/>
    </w:p>
    <w:p>
      <w:pPr>
        <w:pStyle w:val="5"/>
        <w:keepNext w:val="0"/>
        <w:keepLines w:val="0"/>
        <w:widowControl/>
        <w:suppressLineNumbers w:val="0"/>
        <w:spacing w:before="0" w:beforeAutospacing="0"/>
        <w:ind w:left="0"/>
        <w:jc w:val="left"/>
        <w:rPr>
          <w:rFonts w:hint="eastAsia" w:ascii="宋体" w:hAnsi="宋体" w:eastAsia="宋体" w:cs="宋体"/>
          <w:b/>
          <w:kern w:val="0"/>
          <w:sz w:val="36"/>
          <w:szCs w:val="36"/>
        </w:rPr>
      </w:pPr>
      <w:bookmarkStart w:id="56" w:name="_Toc29437"/>
      <w:bookmarkStart w:id="57" w:name="_Toc17268"/>
      <w:r>
        <w:rPr>
          <w:rFonts w:hint="eastAsia" w:ascii="宋体" w:hAnsi="宋体" w:eastAsia="宋体" w:cs="宋体"/>
          <w:b/>
          <w:kern w:val="0"/>
          <w:sz w:val="24"/>
          <w:szCs w:val="24"/>
          <w:shd w:val="clear" w:fill="FFFFFF"/>
        </w:rPr>
        <w:t>五、财政拨款支出决算明细表</w:t>
      </w:r>
      <w:bookmarkEnd w:id="56"/>
      <w:bookmarkEnd w:id="57"/>
    </w:p>
    <w:p>
      <w:pPr>
        <w:pStyle w:val="5"/>
        <w:keepNext w:val="0"/>
        <w:keepLines w:val="0"/>
        <w:widowControl/>
        <w:suppressLineNumbers w:val="0"/>
        <w:spacing w:before="0" w:beforeAutospacing="0"/>
        <w:ind w:left="0"/>
        <w:jc w:val="left"/>
        <w:rPr>
          <w:rFonts w:hint="eastAsia" w:ascii="宋体" w:hAnsi="宋体" w:eastAsia="宋体" w:cs="宋体"/>
          <w:b/>
          <w:kern w:val="0"/>
          <w:sz w:val="36"/>
          <w:szCs w:val="36"/>
        </w:rPr>
      </w:pPr>
      <w:bookmarkStart w:id="58" w:name="_Toc7242"/>
      <w:bookmarkStart w:id="59" w:name="_Toc20057"/>
      <w:r>
        <w:rPr>
          <w:rFonts w:hint="eastAsia" w:ascii="宋体" w:hAnsi="宋体" w:eastAsia="宋体" w:cs="宋体"/>
          <w:b/>
          <w:kern w:val="0"/>
          <w:sz w:val="24"/>
          <w:szCs w:val="24"/>
          <w:shd w:val="clear" w:fill="FFFFFF"/>
        </w:rPr>
        <w:t>六、一般公共预算财政拨款支出决算表</w:t>
      </w:r>
      <w:bookmarkEnd w:id="58"/>
      <w:bookmarkEnd w:id="59"/>
    </w:p>
    <w:p>
      <w:pPr>
        <w:pStyle w:val="5"/>
        <w:keepNext w:val="0"/>
        <w:keepLines w:val="0"/>
        <w:widowControl/>
        <w:suppressLineNumbers w:val="0"/>
        <w:spacing w:before="0" w:beforeAutospacing="0"/>
        <w:ind w:left="0"/>
        <w:jc w:val="left"/>
        <w:rPr>
          <w:rFonts w:hint="eastAsia" w:ascii="宋体" w:hAnsi="宋体" w:eastAsia="宋体" w:cs="宋体"/>
          <w:b/>
          <w:kern w:val="0"/>
          <w:sz w:val="36"/>
          <w:szCs w:val="36"/>
        </w:rPr>
      </w:pPr>
      <w:bookmarkStart w:id="60" w:name="_Toc10452"/>
      <w:bookmarkStart w:id="61" w:name="_Toc32099"/>
      <w:r>
        <w:rPr>
          <w:rFonts w:hint="eastAsia" w:ascii="宋体" w:hAnsi="宋体" w:eastAsia="宋体" w:cs="宋体"/>
          <w:b/>
          <w:kern w:val="0"/>
          <w:sz w:val="24"/>
          <w:szCs w:val="24"/>
          <w:shd w:val="clear" w:fill="FFFFFF"/>
        </w:rPr>
        <w:t>七、一般公共预算财政拨款支出决算明细表</w:t>
      </w:r>
      <w:bookmarkEnd w:id="60"/>
      <w:bookmarkEnd w:id="61"/>
    </w:p>
    <w:p>
      <w:pPr>
        <w:pStyle w:val="5"/>
        <w:keepNext w:val="0"/>
        <w:keepLines w:val="0"/>
        <w:widowControl/>
        <w:suppressLineNumbers w:val="0"/>
        <w:spacing w:before="0" w:beforeAutospacing="0"/>
        <w:ind w:left="0"/>
        <w:jc w:val="left"/>
        <w:rPr>
          <w:rFonts w:hint="eastAsia" w:ascii="宋体" w:hAnsi="宋体" w:eastAsia="宋体" w:cs="宋体"/>
          <w:b/>
          <w:kern w:val="0"/>
          <w:sz w:val="36"/>
          <w:szCs w:val="36"/>
        </w:rPr>
      </w:pPr>
      <w:bookmarkStart w:id="62" w:name="_Toc6740"/>
      <w:bookmarkStart w:id="63" w:name="_Toc7497"/>
      <w:r>
        <w:rPr>
          <w:rFonts w:hint="eastAsia" w:ascii="宋体" w:hAnsi="宋体" w:eastAsia="宋体" w:cs="宋体"/>
          <w:b/>
          <w:kern w:val="0"/>
          <w:sz w:val="24"/>
          <w:szCs w:val="24"/>
          <w:shd w:val="clear" w:fill="FFFFFF"/>
        </w:rPr>
        <w:t>八、一般公共预算财政拨款基本支出决算表</w:t>
      </w:r>
      <w:bookmarkEnd w:id="62"/>
      <w:bookmarkEnd w:id="63"/>
    </w:p>
    <w:p>
      <w:pPr>
        <w:pStyle w:val="5"/>
        <w:keepNext w:val="0"/>
        <w:keepLines w:val="0"/>
        <w:widowControl/>
        <w:suppressLineNumbers w:val="0"/>
        <w:spacing w:before="0" w:beforeAutospacing="0"/>
        <w:ind w:left="0"/>
        <w:jc w:val="left"/>
        <w:rPr>
          <w:rFonts w:hint="eastAsia" w:ascii="宋体" w:hAnsi="宋体" w:eastAsia="宋体" w:cs="宋体"/>
          <w:b/>
          <w:kern w:val="0"/>
          <w:sz w:val="36"/>
          <w:szCs w:val="36"/>
        </w:rPr>
      </w:pPr>
      <w:bookmarkStart w:id="64" w:name="_Toc12080"/>
      <w:bookmarkStart w:id="65" w:name="_Toc8697"/>
      <w:r>
        <w:rPr>
          <w:rFonts w:hint="eastAsia" w:ascii="宋体" w:hAnsi="宋体" w:eastAsia="宋体" w:cs="宋体"/>
          <w:b/>
          <w:kern w:val="0"/>
          <w:sz w:val="24"/>
          <w:szCs w:val="24"/>
          <w:shd w:val="clear" w:fill="FFFFFF"/>
        </w:rPr>
        <w:t>九、一般公共预算财政拨款项目支出决算表</w:t>
      </w:r>
      <w:bookmarkEnd w:id="64"/>
      <w:bookmarkEnd w:id="65"/>
    </w:p>
    <w:p>
      <w:pPr>
        <w:pStyle w:val="5"/>
        <w:keepNext w:val="0"/>
        <w:keepLines w:val="0"/>
        <w:widowControl/>
        <w:suppressLineNumbers w:val="0"/>
        <w:spacing w:before="0" w:beforeAutospacing="0"/>
        <w:ind w:left="0"/>
        <w:jc w:val="left"/>
        <w:rPr>
          <w:rFonts w:hint="eastAsia" w:ascii="宋体" w:hAnsi="宋体" w:eastAsia="宋体" w:cs="宋体"/>
          <w:b/>
          <w:kern w:val="0"/>
          <w:sz w:val="36"/>
          <w:szCs w:val="36"/>
        </w:rPr>
      </w:pPr>
      <w:bookmarkStart w:id="66" w:name="_Toc26741"/>
      <w:bookmarkStart w:id="67" w:name="_Toc25710"/>
      <w:r>
        <w:rPr>
          <w:rFonts w:hint="eastAsia" w:ascii="宋体" w:hAnsi="宋体" w:eastAsia="宋体" w:cs="宋体"/>
          <w:b/>
          <w:kern w:val="0"/>
          <w:sz w:val="24"/>
          <w:szCs w:val="24"/>
          <w:shd w:val="clear" w:fill="FFFFFF"/>
        </w:rPr>
        <w:t>十、一般公共预算财政拨款“三公”经费支出决算表</w:t>
      </w:r>
      <w:bookmarkEnd w:id="66"/>
      <w:bookmarkEnd w:id="67"/>
    </w:p>
    <w:p>
      <w:pPr>
        <w:pStyle w:val="5"/>
        <w:keepNext w:val="0"/>
        <w:keepLines w:val="0"/>
        <w:widowControl/>
        <w:suppressLineNumbers w:val="0"/>
        <w:spacing w:before="0" w:beforeAutospacing="0"/>
        <w:ind w:left="0"/>
        <w:jc w:val="left"/>
        <w:rPr>
          <w:rFonts w:hint="eastAsia" w:ascii="宋体" w:hAnsi="宋体" w:eastAsia="宋体" w:cs="宋体"/>
          <w:b/>
          <w:kern w:val="0"/>
          <w:sz w:val="36"/>
          <w:szCs w:val="36"/>
        </w:rPr>
      </w:pPr>
      <w:bookmarkStart w:id="68" w:name="_Toc31044"/>
      <w:bookmarkStart w:id="69" w:name="_Toc29296"/>
      <w:r>
        <w:rPr>
          <w:rFonts w:hint="eastAsia" w:ascii="宋体" w:hAnsi="宋体" w:eastAsia="宋体" w:cs="宋体"/>
          <w:b/>
          <w:kern w:val="0"/>
          <w:sz w:val="24"/>
          <w:szCs w:val="24"/>
          <w:shd w:val="clear" w:fill="FFFFFF"/>
        </w:rPr>
        <w:t>十一、政府性基金预算财政拨款收入支出决算表</w:t>
      </w:r>
      <w:bookmarkEnd w:id="68"/>
      <w:bookmarkEnd w:id="69"/>
    </w:p>
    <w:p>
      <w:pPr>
        <w:pStyle w:val="5"/>
        <w:keepNext w:val="0"/>
        <w:keepLines w:val="0"/>
        <w:widowControl/>
        <w:suppressLineNumbers w:val="0"/>
        <w:spacing w:before="0" w:beforeAutospacing="0"/>
        <w:ind w:left="0"/>
        <w:jc w:val="left"/>
        <w:rPr>
          <w:rFonts w:hint="eastAsia" w:ascii="宋体" w:hAnsi="宋体" w:eastAsia="宋体" w:cs="宋体"/>
          <w:b/>
          <w:kern w:val="0"/>
          <w:sz w:val="36"/>
          <w:szCs w:val="36"/>
        </w:rPr>
      </w:pPr>
      <w:bookmarkStart w:id="70" w:name="_Toc25709"/>
      <w:bookmarkStart w:id="71" w:name="_Toc13174"/>
      <w:r>
        <w:rPr>
          <w:rFonts w:hint="eastAsia" w:ascii="宋体" w:hAnsi="宋体" w:eastAsia="宋体" w:cs="宋体"/>
          <w:b/>
          <w:kern w:val="0"/>
          <w:sz w:val="24"/>
          <w:szCs w:val="24"/>
          <w:shd w:val="clear" w:fill="FFFFFF"/>
        </w:rPr>
        <w:t>十二、政府性基金预算财政拨款“三公”经费支出决算表</w:t>
      </w:r>
      <w:bookmarkEnd w:id="70"/>
      <w:bookmarkEnd w:id="71"/>
    </w:p>
    <w:p>
      <w:pPr>
        <w:pStyle w:val="5"/>
        <w:keepNext w:val="0"/>
        <w:keepLines w:val="0"/>
        <w:widowControl/>
        <w:suppressLineNumbers w:val="0"/>
        <w:spacing w:before="0" w:beforeAutospacing="0"/>
        <w:ind w:left="0"/>
        <w:jc w:val="left"/>
        <w:rPr>
          <w:rFonts w:hint="eastAsia" w:ascii="宋体" w:hAnsi="宋体" w:eastAsia="宋体" w:cs="宋体"/>
          <w:b/>
          <w:kern w:val="0"/>
          <w:sz w:val="36"/>
          <w:szCs w:val="36"/>
        </w:rPr>
      </w:pPr>
      <w:bookmarkStart w:id="72" w:name="_Toc4067"/>
      <w:bookmarkStart w:id="73" w:name="_Toc11694"/>
      <w:r>
        <w:rPr>
          <w:rFonts w:hint="eastAsia" w:ascii="宋体" w:hAnsi="宋体" w:eastAsia="宋体" w:cs="宋体"/>
          <w:b/>
          <w:kern w:val="0"/>
          <w:sz w:val="24"/>
          <w:szCs w:val="24"/>
          <w:shd w:val="clear" w:fill="FFFFFF"/>
        </w:rPr>
        <w:t>十三、国有资本经营预算财政拨款收入支出决算表</w:t>
      </w:r>
      <w:bookmarkEnd w:id="72"/>
      <w:bookmarkEnd w:id="73"/>
    </w:p>
    <w:p>
      <w:pPr>
        <w:pStyle w:val="5"/>
        <w:keepNext w:val="0"/>
        <w:keepLines w:val="0"/>
        <w:widowControl/>
        <w:suppressLineNumbers w:val="0"/>
        <w:spacing w:before="0" w:beforeAutospacing="0"/>
        <w:ind w:left="0"/>
        <w:jc w:val="left"/>
        <w:rPr>
          <w:rFonts w:hint="eastAsia" w:ascii="宋体" w:hAnsi="宋体" w:eastAsia="宋体" w:cs="宋体"/>
          <w:b/>
          <w:kern w:val="0"/>
          <w:sz w:val="36"/>
          <w:szCs w:val="36"/>
        </w:rPr>
      </w:pPr>
      <w:bookmarkStart w:id="74" w:name="_Toc13730"/>
      <w:bookmarkStart w:id="75" w:name="_Toc19420"/>
      <w:r>
        <w:rPr>
          <w:rFonts w:hint="eastAsia" w:ascii="宋体" w:hAnsi="宋体" w:eastAsia="宋体" w:cs="宋体"/>
          <w:b/>
          <w:kern w:val="0"/>
          <w:sz w:val="24"/>
          <w:szCs w:val="24"/>
          <w:shd w:val="clear" w:fill="FFFFFF"/>
        </w:rPr>
        <w:t>十四、国有资本经营预算财政拨款支出决算表</w:t>
      </w:r>
      <w:bookmarkEnd w:id="74"/>
      <w:bookmarkEnd w:id="75"/>
    </w:p>
    <w:sectPr>
      <w:footerReference r:id="rId4" w:type="default"/>
      <w:pgSz w:w="11915" w:h="16851"/>
      <w:pgMar w:top="2098" w:right="1531" w:bottom="1984" w:left="1531"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方正小标宋简体">
    <w:altName w:val="Arial Unicode MS"/>
    <w:panose1 w:val="02010601030101010101"/>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12"/>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7"/>
  <w:displayHorizontalDrawingGridEvery w:val="0"/>
  <w:displayVerticalDrawingGridEvery w:val="2"/>
  <w:noPunctuationKerning w:val="1"/>
  <w:characterSpacingControl w:val="doNotCompress"/>
  <w:footnotePr>
    <w:footnote w:id="0"/>
    <w:footnote w:id="1"/>
  </w:foot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1755BD5"/>
    <w:rsid w:val="16333208"/>
    <w:rsid w:val="242C141E"/>
    <w:rsid w:val="28B57767"/>
    <w:rsid w:val="2D4E7B46"/>
    <w:rsid w:val="31244B45"/>
    <w:rsid w:val="31D40319"/>
    <w:rsid w:val="54BA08D5"/>
    <w:rsid w:val="54FB1FA7"/>
    <w:rsid w:val="57945CD1"/>
    <w:rsid w:val="5F33709B"/>
    <w:rsid w:val="612C2BC9"/>
    <w:rsid w:val="631877B6"/>
    <w:rsid w:val="65EC146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uiPriority="99"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99"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unhideWhenUsed/>
    <w:uiPriority w:val="99"/>
    <w:pPr>
      <w:spacing w:before="0" w:beforeAutospacing="0" w:after="0" w:afterAutospacing="0"/>
      <w:ind w:left="0" w:right="0"/>
      <w:jc w:val="left"/>
    </w:pPr>
    <w:rPr>
      <w:rFonts w:hint="eastAsia" w:ascii="宋体" w:hAnsi="宋体" w:eastAsia="宋体" w:cs="宋体"/>
      <w:kern w:val="0"/>
      <w:sz w:val="24"/>
      <w:szCs w:val="24"/>
      <w:lang w:val="en-US" w:eastAsia="zh-CN" w:bidi="ar"/>
    </w:rPr>
  </w:style>
  <w:style w:type="paragraph" w:styleId="4">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5">
    <w:name w:val="heading 2"/>
    <w:basedOn w:val="1"/>
    <w:next w:val="1"/>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6">
    <w:name w:val="heading 3"/>
    <w:basedOn w:val="1"/>
    <w:next w:val="1"/>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paragraph" w:styleId="7">
    <w:name w:val="heading 4"/>
    <w:basedOn w:val="1"/>
    <w:next w:val="1"/>
    <w:qFormat/>
    <w:uiPriority w:val="0"/>
    <w:pPr>
      <w:spacing w:before="0" w:beforeAutospacing="1" w:after="0" w:afterAutospacing="1"/>
      <w:jc w:val="left"/>
    </w:pPr>
    <w:rPr>
      <w:rFonts w:hint="eastAsia" w:ascii="宋体" w:hAnsi="宋体" w:eastAsia="宋体" w:cs="宋体"/>
      <w:b/>
      <w:kern w:val="0"/>
      <w:sz w:val="24"/>
      <w:szCs w:val="24"/>
      <w:lang w:val="en-US" w:eastAsia="zh-CN" w:bidi="ar"/>
    </w:rPr>
  </w:style>
  <w:style w:type="paragraph" w:styleId="8">
    <w:name w:val="heading 5"/>
    <w:basedOn w:val="1"/>
    <w:next w:val="1"/>
    <w:qFormat/>
    <w:uiPriority w:val="0"/>
    <w:pPr>
      <w:spacing w:before="0" w:beforeAutospacing="1" w:after="0" w:afterAutospacing="1"/>
      <w:jc w:val="left"/>
    </w:pPr>
    <w:rPr>
      <w:rFonts w:hint="eastAsia" w:ascii="宋体" w:hAnsi="宋体" w:eastAsia="宋体" w:cs="宋体"/>
      <w:b/>
      <w:kern w:val="0"/>
      <w:sz w:val="20"/>
      <w:szCs w:val="20"/>
      <w:lang w:val="en-US" w:eastAsia="zh-CN" w:bidi="ar"/>
    </w:rPr>
  </w:style>
  <w:style w:type="paragraph" w:styleId="9">
    <w:name w:val="heading 6"/>
    <w:basedOn w:val="1"/>
    <w:next w:val="1"/>
    <w:qFormat/>
    <w:uiPriority w:val="0"/>
    <w:pPr>
      <w:spacing w:before="0" w:beforeAutospacing="1" w:after="0" w:afterAutospacing="1"/>
      <w:jc w:val="left"/>
    </w:pPr>
    <w:rPr>
      <w:rFonts w:hint="eastAsia" w:ascii="宋体" w:hAnsi="宋体" w:eastAsia="宋体" w:cs="宋体"/>
      <w:b/>
      <w:kern w:val="0"/>
      <w:sz w:val="15"/>
      <w:szCs w:val="15"/>
      <w:lang w:val="en-US" w:eastAsia="zh-CN" w:bidi="ar"/>
    </w:rPr>
  </w:style>
  <w:style w:type="character" w:default="1" w:styleId="19">
    <w:name w:val="Default Paragraph Font"/>
    <w:semiHidden/>
    <w:unhideWhenUsed/>
    <w:qFormat/>
    <w:uiPriority w:val="99"/>
  </w:style>
  <w:style w:type="table" w:default="1" w:styleId="18">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First Indent 2"/>
    <w:basedOn w:val="3"/>
    <w:qFormat/>
    <w:uiPriority w:val="0"/>
    <w:pPr>
      <w:keepNext w:val="0"/>
      <w:keepLines w:val="0"/>
      <w:widowControl w:val="0"/>
      <w:suppressLineNumbers w:val="0"/>
      <w:spacing w:before="0" w:beforeAutospacing="0" w:after="0" w:afterAutospacing="0" w:line="540" w:lineRule="exact"/>
      <w:ind w:left="0" w:right="0" w:firstLine="420" w:firstLineChars="200"/>
      <w:jc w:val="both"/>
    </w:pPr>
    <w:rPr>
      <w:rFonts w:hint="default" w:ascii="Calibri" w:hAnsi="Calibri" w:eastAsia="宋体" w:cs="Times New Roman"/>
      <w:kern w:val="2"/>
      <w:sz w:val="32"/>
      <w:szCs w:val="32"/>
      <w:lang w:val="en-US" w:eastAsia="zh-CN" w:bidi="ar"/>
    </w:rPr>
  </w:style>
  <w:style w:type="paragraph" w:styleId="3">
    <w:name w:val="Body Text Indent"/>
    <w:basedOn w:val="1"/>
    <w:qFormat/>
    <w:uiPriority w:val="0"/>
    <w:pPr>
      <w:keepNext w:val="0"/>
      <w:keepLines w:val="0"/>
      <w:widowControl w:val="0"/>
      <w:suppressLineNumbers w:val="0"/>
      <w:spacing w:before="0" w:beforeAutospacing="0" w:after="0" w:afterAutospacing="0" w:line="540" w:lineRule="exact"/>
      <w:ind w:left="0" w:right="0" w:firstLine="5440" w:firstLineChars="1700"/>
      <w:jc w:val="both"/>
    </w:pPr>
    <w:rPr>
      <w:rFonts w:hint="default" w:ascii="Calibri" w:hAnsi="Calibri" w:eastAsia="宋体" w:cs="Times New Roman"/>
      <w:kern w:val="2"/>
      <w:sz w:val="32"/>
      <w:szCs w:val="32"/>
      <w:lang w:val="en-US" w:eastAsia="zh-CN" w:bidi="ar"/>
    </w:rPr>
  </w:style>
  <w:style w:type="paragraph" w:styleId="10">
    <w:name w:val="Body Text"/>
    <w:basedOn w:val="1"/>
    <w:qFormat/>
    <w:uiPriority w:val="99"/>
    <w:pPr>
      <w:spacing w:beforeLines="30" w:beforeAutospacing="0"/>
      <w:jc w:val="left"/>
    </w:pPr>
    <w:rPr>
      <w:rFonts w:hint="eastAsia" w:ascii="仿宋_GB2312" w:hAnsi="宋体" w:eastAsia="仿宋_GB2312" w:cs="Arial Unicode MS"/>
      <w:kern w:val="0"/>
      <w:sz w:val="24"/>
      <w:szCs w:val="24"/>
      <w:lang w:val="en-US" w:eastAsia="zh-CN" w:bidi="ar"/>
    </w:rPr>
  </w:style>
  <w:style w:type="paragraph" w:styleId="11">
    <w:name w:val="toc 3"/>
    <w:basedOn w:val="1"/>
    <w:next w:val="1"/>
    <w:uiPriority w:val="0"/>
    <w:pPr>
      <w:ind w:left="840" w:leftChars="400"/>
    </w:pPr>
  </w:style>
  <w:style w:type="paragraph" w:styleId="12">
    <w:name w:val="footer"/>
    <w:basedOn w:val="1"/>
    <w:uiPriority w:val="0"/>
    <w:pPr>
      <w:tabs>
        <w:tab w:val="center" w:pos="4153"/>
        <w:tab w:val="right" w:pos="8306"/>
      </w:tabs>
      <w:snapToGrid w:val="0"/>
      <w:jc w:val="left"/>
    </w:pPr>
    <w:rPr>
      <w:sz w:val="18"/>
    </w:rPr>
  </w:style>
  <w:style w:type="paragraph" w:styleId="1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4">
    <w:name w:val="toc 1"/>
    <w:basedOn w:val="1"/>
    <w:next w:val="1"/>
    <w:uiPriority w:val="0"/>
  </w:style>
  <w:style w:type="paragraph" w:styleId="15">
    <w:name w:val="toc 2"/>
    <w:basedOn w:val="1"/>
    <w:next w:val="1"/>
    <w:uiPriority w:val="0"/>
    <w:pPr>
      <w:ind w:left="420" w:leftChars="200"/>
    </w:pPr>
  </w:style>
  <w:style w:type="paragraph" w:styleId="16">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7">
    <w:name w:val="Normal (Web)"/>
    <w:basedOn w:val="1"/>
    <w:qFormat/>
    <w:uiPriority w:val="0"/>
    <w:pPr>
      <w:spacing w:before="0" w:beforeAutospacing="1" w:after="0" w:afterAutospacing="1"/>
      <w:ind w:left="0" w:right="0"/>
      <w:jc w:val="left"/>
    </w:pPr>
    <w:rPr>
      <w:rFonts w:hint="eastAsia" w:ascii="宋体" w:hAnsi="宋体" w:eastAsia="宋体" w:cs="宋体"/>
      <w:kern w:val="0"/>
      <w:sz w:val="24"/>
      <w:szCs w:val="24"/>
      <w:lang w:val="en-US" w:eastAsia="zh-CN" w:bidi="ar"/>
    </w:rPr>
  </w:style>
  <w:style w:type="character" w:styleId="20">
    <w:name w:val="Strong"/>
    <w:basedOn w:val="19"/>
    <w:qFormat/>
    <w:uiPriority w:val="0"/>
    <w:rPr>
      <w:b/>
    </w:rPr>
  </w:style>
  <w:style w:type="paragraph" w:customStyle="1" w:styleId="21">
    <w:name w:val="p Char"/>
    <w:basedOn w:val="1"/>
    <w:qFormat/>
    <w:uiPriority w:val="0"/>
    <w:pPr>
      <w:spacing w:before="0" w:beforeAutospacing="1" w:after="0" w:afterAutospacing="1"/>
      <w:ind w:left="0" w:right="0"/>
      <w:jc w:val="left"/>
    </w:pPr>
    <w:rPr>
      <w:rFonts w:hint="eastAsia" w:ascii="宋体" w:hAnsi="宋体" w:eastAsia="宋体" w:cs="宋体"/>
      <w:kern w:val="0"/>
      <w:sz w:val="24"/>
      <w:szCs w:val="24"/>
      <w:lang w:val="en-US" w:eastAsia="zh-CN" w:bidi="ar"/>
    </w:rPr>
  </w:style>
  <w:style w:type="character" w:customStyle="1" w:styleId="22">
    <w:name w:val="16"/>
    <w:basedOn w:val="19"/>
    <w:qFormat/>
    <w:uiPriority w:val="0"/>
    <w:rPr>
      <w:rFonts w:hint="default" w:ascii="Calibri" w:hAnsi="Calibri" w:eastAsia="宋体" w:cs="Times New Roman"/>
      <w:kern w:val="2"/>
      <w:sz w:val="21"/>
      <w:szCs w:val="21"/>
    </w:rPr>
  </w:style>
  <w:style w:type="paragraph" w:customStyle="1" w:styleId="23">
    <w:name w:val="HTML 预设格式 Char"/>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right="0"/>
      <w:jc w:val="left"/>
    </w:pPr>
    <w:rPr>
      <w:rFonts w:hint="eastAsia" w:ascii="宋体" w:hAnsi="宋体" w:eastAsia="宋体" w:cs="宋体"/>
      <w:kern w:val="0"/>
      <w:sz w:val="24"/>
      <w:szCs w:val="24"/>
      <w:lang w:val="en-US" w:eastAsia="zh-CN" w:bidi="ar"/>
    </w:rPr>
  </w:style>
  <w:style w:type="character" w:customStyle="1" w:styleId="24">
    <w:name w:val="10"/>
    <w:basedOn w:val="19"/>
    <w:qFormat/>
    <w:uiPriority w:val="0"/>
    <w:rPr>
      <w:rFonts w:hint="default" w:ascii="Calibri" w:hAnsi="Calibri" w:cs="Calibri"/>
    </w:rPr>
  </w:style>
  <w:style w:type="character" w:customStyle="1" w:styleId="25">
    <w:name w:val="15"/>
    <w:basedOn w:val="19"/>
    <w:qFormat/>
    <w:uiPriority w:val="0"/>
    <w:rPr>
      <w:rFonts w:hint="default" w:ascii="Calibri" w:hAnsi="Calibri" w:cs="Calibri"/>
      <w:b/>
    </w:rPr>
  </w:style>
  <w:style w:type="paragraph" w:customStyle="1" w:styleId="26">
    <w:name w:val="普通(网站) Char"/>
    <w:basedOn w:val="1"/>
    <w:qFormat/>
    <w:uiPriority w:val="0"/>
    <w:pPr>
      <w:spacing w:before="0" w:beforeAutospacing="1" w:after="0" w:afterAutospacing="1"/>
      <w:ind w:left="0" w:right="0"/>
      <w:jc w:val="left"/>
    </w:pPr>
    <w:rPr>
      <w:rFonts w:hint="eastAsia" w:ascii="宋体" w:hAnsi="宋体" w:eastAsia="宋体" w:cs="宋体"/>
      <w:kern w:val="0"/>
      <w:sz w:val="24"/>
      <w:szCs w:val="24"/>
      <w:lang w:val="en-US" w:eastAsia="zh-CN" w:bidi="ar"/>
    </w:rPr>
  </w:style>
  <w:style w:type="paragraph" w:customStyle="1" w:styleId="27">
    <w:name w:val="WPSOffice手动目录 1"/>
    <w:uiPriority w:val="0"/>
    <w:pPr>
      <w:ind w:leftChars="0"/>
    </w:pPr>
    <w:rPr>
      <w:rFonts w:ascii="Calibri" w:hAnsi="Calibri" w:eastAsia="宋体" w:cs="Times New Roman"/>
      <w:sz w:val="20"/>
      <w:szCs w:val="20"/>
    </w:rPr>
  </w:style>
  <w:style w:type="paragraph" w:customStyle="1" w:styleId="28">
    <w:name w:val="WPSOffice手动目录 2"/>
    <w:uiPriority w:val="0"/>
    <w:pPr>
      <w:ind w:leftChars="200"/>
    </w:pPr>
    <w:rPr>
      <w:rFonts w:ascii="Calibri" w:hAnsi="Calibri" w:eastAsia="宋体" w:cs="Times New Roman"/>
      <w:sz w:val="20"/>
      <w:szCs w:val="20"/>
    </w:rPr>
  </w:style>
  <w:style w:type="paragraph" w:customStyle="1" w:styleId="29">
    <w:name w:val="WPSOffice手动目录 3"/>
    <w:uiPriority w:val="0"/>
    <w:pPr>
      <w:ind w:leftChars="400"/>
    </w:pPr>
    <w:rPr>
      <w:rFonts w:ascii="Calibri" w:hAnsi="Calibri"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a:t>2019</a:t>
            </a:r>
            <a:r>
              <a:rPr altLang="en-US"/>
              <a:t>年</a:t>
            </a:r>
            <a:r>
              <a:rPr lang="en-US" altLang="zh-CN"/>
              <a:t>-2020</a:t>
            </a:r>
            <a:r>
              <a:rPr altLang="en-US"/>
              <a:t>年收入、支出决算总计变动情况图</a:t>
            </a:r>
            <a:endParaRPr altLang="en-US"/>
          </a:p>
        </c:rich>
      </c:tx>
      <c:layout>
        <c:manualLayout>
          <c:xMode val="edge"/>
          <c:yMode val="edge"/>
          <c:x val="0.136625"/>
          <c:y val="0.025"/>
        </c:manualLayout>
      </c:layout>
      <c:overlay val="0"/>
      <c:spPr>
        <a:noFill/>
        <a:ln>
          <a:noFill/>
        </a:ln>
        <a:effectLst/>
      </c:spPr>
    </c:title>
    <c:autoTitleDeleted val="0"/>
    <c:plotArea>
      <c:layout>
        <c:manualLayout>
          <c:layoutTarget val="inner"/>
          <c:xMode val="edge"/>
          <c:yMode val="edge"/>
          <c:x val="0.091075"/>
          <c:y val="0.159666666666667"/>
          <c:w val="0.905175"/>
          <c:h val="0.7164"/>
        </c:manualLayout>
      </c:layout>
      <c:barChart>
        <c:barDir val="col"/>
        <c:grouping val="clustered"/>
        <c:varyColors val="0"/>
        <c:ser>
          <c:idx val="0"/>
          <c:order val="0"/>
          <c:tx>
            <c:strRef>
              <c:f>Sheet1!$B$1</c:f>
              <c:strCache>
                <c:ptCount val="1"/>
                <c:pt idx="0">
                  <c:v>决算收入</c:v>
                </c:pt>
              </c:strCache>
            </c:strRef>
          </c:tx>
          <c:spPr>
            <a:solidFill>
              <a:schemeClr val="accent1"/>
            </a:soli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numRef>
              <c:f>Sheet1!$A$2:$A$4</c:f>
              <c:numCache>
                <c:formatCode>General</c:formatCode>
                <c:ptCount val="3"/>
                <c:pt idx="0">
                  <c:v>2019</c:v>
                </c:pt>
                <c:pt idx="1">
                  <c:v>2020</c:v>
                </c:pt>
              </c:numCache>
            </c:numRef>
          </c:cat>
          <c:val>
            <c:numRef>
              <c:f>Sheet1!$B$2:$B$4</c:f>
              <c:numCache>
                <c:formatCode>General</c:formatCode>
                <c:ptCount val="3"/>
                <c:pt idx="0">
                  <c:v>548.73</c:v>
                </c:pt>
                <c:pt idx="1">
                  <c:v>429.28</c:v>
                </c:pt>
              </c:numCache>
            </c:numRef>
          </c:val>
        </c:ser>
        <c:ser>
          <c:idx val="1"/>
          <c:order val="1"/>
          <c:tx>
            <c:strRef>
              <c:f>Sheet1!$C$1</c:f>
              <c:strCache>
                <c:ptCount val="1"/>
                <c:pt idx="0">
                  <c:v>决算支出</c:v>
                </c:pt>
              </c:strCache>
            </c:strRef>
          </c:tx>
          <c:spPr>
            <a:solidFill>
              <a:schemeClr val="accent2"/>
            </a:soli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numRef>
              <c:f>Sheet1!$A$2:$A$4</c:f>
              <c:numCache>
                <c:formatCode>General</c:formatCode>
                <c:ptCount val="3"/>
                <c:pt idx="0">
                  <c:v>2019</c:v>
                </c:pt>
                <c:pt idx="1">
                  <c:v>2020</c:v>
                </c:pt>
              </c:numCache>
            </c:numRef>
          </c:cat>
          <c:val>
            <c:numRef>
              <c:f>Sheet1!$C$2:$C$4</c:f>
              <c:numCache>
                <c:formatCode>General</c:formatCode>
                <c:ptCount val="3"/>
                <c:pt idx="0">
                  <c:v>548.73</c:v>
                </c:pt>
                <c:pt idx="1">
                  <c:v>429.28</c:v>
                </c:pt>
              </c:numCache>
            </c:numRef>
          </c:val>
        </c:ser>
        <c:ser>
          <c:idx val="2"/>
          <c:order val="2"/>
          <c:tx>
            <c:strRef>
              <c:f>Sheet1!$D$1</c:f>
              <c:strCache>
                <c:ptCount val="1"/>
                <c:pt idx="0">
                  <c:v/>
                </c:pt>
              </c:strCache>
            </c:strRef>
          </c:tx>
          <c:spPr>
            <a:solidFill>
              <a:schemeClr val="accent3"/>
            </a:soli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numRef>
              <c:f>Sheet1!$A$2:$A$4</c:f>
              <c:numCache>
                <c:formatCode>General</c:formatCode>
                <c:ptCount val="3"/>
                <c:pt idx="0">
                  <c:v>2019</c:v>
                </c:pt>
                <c:pt idx="1">
                  <c:v>2020</c:v>
                </c:pt>
              </c:numCache>
            </c:numRef>
          </c:cat>
          <c:val>
            <c:numRef>
              <c:f>Sheet1!$D$2:$D$4</c:f>
              <c:numCache>
                <c:formatCode>General</c:formatCode>
                <c:ptCount val="3"/>
              </c:numCache>
            </c:numRef>
          </c:val>
        </c:ser>
        <c:dLbls>
          <c:showLegendKey val="0"/>
          <c:showVal val="0"/>
          <c:showCatName val="0"/>
          <c:showSerName val="0"/>
          <c:showPercent val="0"/>
          <c:showBubbleSize val="0"/>
        </c:dLbls>
        <c:gapWidth val="75"/>
        <c:overlap val="0"/>
        <c:axId val="816289748"/>
        <c:axId val="670544685"/>
      </c:barChart>
      <c:catAx>
        <c:axId val="816289748"/>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70544685"/>
        <c:crosses val="autoZero"/>
        <c:auto val="1"/>
        <c:lblAlgn val="ctr"/>
        <c:lblOffset val="100"/>
        <c:noMultiLvlLbl val="0"/>
      </c:catAx>
      <c:valAx>
        <c:axId val="670544685"/>
        <c:scaling>
          <c:orientation val="minMax"/>
        </c:scaling>
        <c:delete val="0"/>
        <c:axPos val="l"/>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16289748"/>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a:t>2020</a:t>
            </a:r>
            <a:r>
              <a:rPr altLang="en-US"/>
              <a:t>年收入决算结构图</a:t>
            </a:r>
            <a:endParaRPr altLang="en-US"/>
          </a:p>
        </c:rich>
      </c:tx>
      <c:layout>
        <c:manualLayout>
          <c:xMode val="edge"/>
          <c:yMode val="edge"/>
          <c:x val="0.316776188635485"/>
          <c:y val="0.00634786288616166"/>
        </c:manualLayout>
      </c:layout>
      <c:overlay val="0"/>
      <c:spPr>
        <a:noFill/>
        <a:ln>
          <a:noFill/>
        </a:ln>
        <a:effectLst/>
      </c:spPr>
    </c:title>
    <c:autoTitleDeleted val="0"/>
    <c:plotArea>
      <c:layout/>
      <c:pieChart>
        <c:varyColors val="1"/>
        <c:ser>
          <c:idx val="0"/>
          <c:order val="0"/>
          <c:tx>
            <c:strRef>
              <c:f>Sheet1!$B$1</c:f>
              <c:strCache>
                <c:ptCount val="1"/>
                <c:pt idx="0">
                  <c:v>销售额</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Lbl>
              <c:idx val="0"/>
              <c:layout/>
              <c:dLblPos val="bestFit"/>
              <c:showLegendKey val="0"/>
              <c:showVal val="1"/>
              <c:showCatName val="0"/>
              <c:showSerName val="0"/>
              <c:showPercent val="0"/>
              <c:showBubbleSize val="0"/>
              <c:extLst>
                <c:ext xmlns:c15="http://schemas.microsoft.com/office/drawing/2012/chart" uri="{CE6537A1-D6FC-4f65-9D91-7224C49458BB}"/>
              </c:extLst>
            </c:dLbl>
            <c:dLbl>
              <c:idx val="1"/>
              <c:delete val="1"/>
            </c:dLbl>
            <c:dLbl>
              <c:idx val="2"/>
              <c:delete val="1"/>
            </c:dLbl>
            <c:dLbl>
              <c:idx val="3"/>
              <c:delete val="1"/>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0"/>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一般预算财政拨款收入</c:v>
                </c:pt>
              </c:strCache>
            </c:strRef>
          </c:cat>
          <c:val>
            <c:numRef>
              <c:f>Sheet1!$B$2:$B$5</c:f>
              <c:numCache>
                <c:formatCode>0.00%</c:formatCode>
                <c:ptCount val="4"/>
                <c:pt idx="0">
                  <c:v>1</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t"/>
      <c:legendEntry>
        <c:idx val="1"/>
        <c:delete val="1"/>
      </c:legendEntry>
      <c:legendEntry>
        <c:idx val="2"/>
        <c:delete val="1"/>
      </c:legendEntry>
      <c:legendEntry>
        <c:idx val="3"/>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a:t>2020</a:t>
            </a:r>
            <a:r>
              <a:rPr altLang="en-US"/>
              <a:t>年支出决算结构图</a:t>
            </a:r>
            <a:endParaRPr altLang="en-US"/>
          </a:p>
        </c:rich>
      </c:tx>
      <c:layout>
        <c:manualLayout>
          <c:xMode val="edge"/>
          <c:yMode val="edge"/>
          <c:x val="0.323289198446451"/>
          <c:y val="0.039323932487698"/>
        </c:manualLayout>
      </c:layout>
      <c:overlay val="0"/>
      <c:spPr>
        <a:noFill/>
        <a:ln>
          <a:noFill/>
        </a:ln>
        <a:effectLst/>
      </c:spPr>
    </c:title>
    <c:autoTitleDeleted val="0"/>
    <c:plotArea>
      <c:layout>
        <c:manualLayout>
          <c:layoutTarget val="inner"/>
          <c:xMode val="edge"/>
          <c:yMode val="edge"/>
          <c:x val="0.283247519778978"/>
          <c:y val="0.267172675521822"/>
          <c:w val="0.48122566871782"/>
          <c:h val="0.727134724857685"/>
        </c:manualLayout>
      </c:layout>
      <c:pieChart>
        <c:varyColors val="1"/>
        <c:ser>
          <c:idx val="0"/>
          <c:order val="0"/>
          <c:tx>
            <c:strRef>
              <c:f>Sheet1!$B$1</c:f>
              <c:strCache>
                <c:ptCount val="1"/>
                <c:pt idx="0">
                  <c:v>销售额</c:v>
                </c:pt>
              </c:strCache>
            </c:strRef>
          </c:tx>
          <c:spPr/>
          <c:explosion val="0"/>
          <c:dPt>
            <c:idx val="0"/>
            <c:bubble3D val="0"/>
            <c:explosion val="2"/>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基本支出</c:v>
                </c:pt>
                <c:pt idx="1">
                  <c:v>项目支出</c:v>
                </c:pt>
              </c:strCache>
            </c:strRef>
          </c:cat>
          <c:val>
            <c:numRef>
              <c:f>Sheet1!$B$2:$B$5</c:f>
              <c:numCache>
                <c:formatCode>0.00%</c:formatCode>
                <c:ptCount val="4"/>
                <c:pt idx="0">
                  <c:v>0.5368</c:v>
                </c:pt>
                <c:pt idx="1">
                  <c:v>0.4632</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a:t>2019</a:t>
            </a:r>
            <a:r>
              <a:rPr altLang="en-US"/>
              <a:t>年</a:t>
            </a:r>
            <a:r>
              <a:rPr lang="en-US" altLang="zh-CN"/>
              <a:t>-2020</a:t>
            </a:r>
            <a:r>
              <a:rPr altLang="en-US"/>
              <a:t>年财政拨款收入、支出决算总计变动情况图</a:t>
            </a:r>
            <a:endParaRPr altLang="en-US"/>
          </a:p>
        </c:rich>
      </c:tx>
      <c:layout/>
      <c:overlay val="0"/>
      <c:spPr>
        <a:noFill/>
        <a:ln>
          <a:noFill/>
        </a:ln>
        <a:effectLst/>
      </c:spPr>
    </c:title>
    <c:autoTitleDeleted val="0"/>
    <c:plotArea>
      <c:layout>
        <c:manualLayout>
          <c:layoutTarget val="inner"/>
          <c:xMode val="edge"/>
          <c:yMode val="edge"/>
          <c:x val="0.090655717307453"/>
          <c:y val="0.281465968586387"/>
          <c:w val="0.905611546596989"/>
          <c:h val="0.631916230366492"/>
        </c:manualLayout>
      </c:layout>
      <c:barChart>
        <c:barDir val="col"/>
        <c:grouping val="clustered"/>
        <c:varyColors val="0"/>
        <c:ser>
          <c:idx val="0"/>
          <c:order val="0"/>
          <c:tx>
            <c:strRef>
              <c:f>Sheet1!$B$1</c:f>
              <c:strCache>
                <c:ptCount val="1"/>
                <c:pt idx="0">
                  <c:v>决算收入</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Sheet1!$A$2:$A$5</c:f>
              <c:numCache>
                <c:formatCode>General</c:formatCode>
                <c:ptCount val="4"/>
                <c:pt idx="0">
                  <c:v>2019</c:v>
                </c:pt>
                <c:pt idx="1">
                  <c:v>2020</c:v>
                </c:pt>
              </c:numCache>
            </c:numRef>
          </c:cat>
          <c:val>
            <c:numRef>
              <c:f>Sheet1!$B$2:$B$5</c:f>
              <c:numCache>
                <c:formatCode>General</c:formatCode>
                <c:ptCount val="4"/>
                <c:pt idx="0">
                  <c:v>388.11</c:v>
                </c:pt>
                <c:pt idx="1">
                  <c:v>351.56</c:v>
                </c:pt>
              </c:numCache>
            </c:numRef>
          </c:val>
        </c:ser>
        <c:ser>
          <c:idx val="1"/>
          <c:order val="1"/>
          <c:tx>
            <c:strRef>
              <c:f>Sheet1!$C$1</c:f>
              <c:strCache>
                <c:ptCount val="1"/>
                <c:pt idx="0">
                  <c:v>决算支出</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Sheet1!$A$2:$A$5</c:f>
              <c:numCache>
                <c:formatCode>General</c:formatCode>
                <c:ptCount val="4"/>
                <c:pt idx="0">
                  <c:v>2019</c:v>
                </c:pt>
                <c:pt idx="1">
                  <c:v>2020</c:v>
                </c:pt>
              </c:numCache>
            </c:numRef>
          </c:cat>
          <c:val>
            <c:numRef>
              <c:f>Sheet1!$C$2:$C$5</c:f>
              <c:numCache>
                <c:formatCode>General</c:formatCode>
                <c:ptCount val="4"/>
                <c:pt idx="0">
                  <c:v>548.73</c:v>
                </c:pt>
                <c:pt idx="1">
                  <c:v>419.28</c:v>
                </c:pt>
              </c:numCache>
            </c:numRef>
          </c:val>
        </c:ser>
        <c:ser>
          <c:idx val="2"/>
          <c:order val="2"/>
          <c:tx>
            <c:strRef>
              <c:f>Sheet1!$D$1</c:f>
              <c:strCache>
                <c:ptCount val="1"/>
                <c:pt idx="0">
                  <c:v/>
                </c:pt>
              </c:strCache>
            </c:strRef>
          </c:tx>
          <c:spPr>
            <a:solidFill>
              <a:schemeClr val="accent3"/>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Sheet1!$A$2:$A$5</c:f>
              <c:numCache>
                <c:formatCode>General</c:formatCode>
                <c:ptCount val="4"/>
                <c:pt idx="0">
                  <c:v>2019</c:v>
                </c:pt>
                <c:pt idx="1">
                  <c:v>2020</c:v>
                </c:pt>
              </c:numCache>
            </c:numRef>
          </c:cat>
          <c:val>
            <c:numRef>
              <c:f>Sheet1!$D$2:$D$5</c:f>
              <c:numCache>
                <c:formatCode>General</c:formatCode>
                <c:ptCount val="4"/>
              </c:numCache>
            </c:numRef>
          </c:val>
        </c:ser>
        <c:dLbls>
          <c:showLegendKey val="0"/>
          <c:showVal val="1"/>
          <c:showCatName val="0"/>
          <c:showSerName val="0"/>
          <c:showPercent val="0"/>
          <c:showBubbleSize val="0"/>
        </c:dLbls>
        <c:gapWidth val="75"/>
        <c:overlap val="0"/>
        <c:axId val="482741883"/>
        <c:axId val="958229920"/>
      </c:barChart>
      <c:catAx>
        <c:axId val="482741883"/>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58229920"/>
        <c:crosses val="autoZero"/>
        <c:auto val="1"/>
        <c:lblAlgn val="ctr"/>
        <c:lblOffset val="100"/>
        <c:noMultiLvlLbl val="0"/>
      </c:catAx>
      <c:valAx>
        <c:axId val="958229920"/>
        <c:scaling>
          <c:orientation val="minMax"/>
        </c:scaling>
        <c:delete val="0"/>
        <c:axPos val="l"/>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82741883"/>
        <c:crosses val="autoZero"/>
        <c:crossBetween val="between"/>
      </c:valAx>
      <c:spPr>
        <a:noFill/>
        <a:ln>
          <a:noFill/>
        </a:ln>
        <a:effectLst/>
      </c:spPr>
    </c:plotArea>
    <c:legend>
      <c:legendPos val="b"/>
      <c:layout>
        <c:manualLayout>
          <c:xMode val="edge"/>
          <c:yMode val="edge"/>
          <c:x val="0.51779270872216"/>
          <c:y val="0.923979057591623"/>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a:t>2019</a:t>
            </a:r>
            <a:r>
              <a:rPr altLang="en-US"/>
              <a:t>年</a:t>
            </a:r>
            <a:r>
              <a:rPr lang="en-US" altLang="zh-CN"/>
              <a:t>-2020</a:t>
            </a:r>
            <a:r>
              <a:rPr altLang="en-US"/>
              <a:t>年一般公共预算财政拨款支出决算变动情况图</a:t>
            </a:r>
            <a:endParaRPr altLang="en-US"/>
          </a:p>
        </c:rich>
      </c:tx>
      <c:layout>
        <c:manualLayout>
          <c:xMode val="edge"/>
          <c:yMode val="edge"/>
          <c:x val="0.135725272740745"/>
          <c:y val="0.0163898601398601"/>
        </c:manualLayout>
      </c:layout>
      <c:overlay val="0"/>
      <c:spPr>
        <a:noFill/>
        <a:ln>
          <a:noFill/>
        </a:ln>
        <a:effectLst/>
      </c:spPr>
    </c:title>
    <c:autoTitleDeleted val="0"/>
    <c:plotArea>
      <c:layout>
        <c:manualLayout>
          <c:layoutTarget val="inner"/>
          <c:xMode val="edge"/>
          <c:yMode val="edge"/>
          <c:x val="0.0910863857982248"/>
          <c:y val="0.430830039525692"/>
          <c:w val="0.905163145393174"/>
          <c:h val="0.496640316205534"/>
        </c:manualLayout>
      </c:layout>
      <c:barChart>
        <c:barDir val="col"/>
        <c:grouping val="clustered"/>
        <c:varyColors val="0"/>
        <c:ser>
          <c:idx val="0"/>
          <c:order val="0"/>
          <c:tx>
            <c:strRef>
              <c:f>Sheet1!$B$1</c:f>
              <c:strCache>
                <c:ptCount val="1"/>
                <c:pt idx="0">
                  <c:v>一般公共预算财政拨款支出决算数</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Sheet1!$A$2:$A$5</c:f>
              <c:numCache>
                <c:formatCode>General</c:formatCode>
                <c:ptCount val="4"/>
                <c:pt idx="0">
                  <c:v>2019</c:v>
                </c:pt>
                <c:pt idx="1">
                  <c:v>2020</c:v>
                </c:pt>
              </c:numCache>
            </c:numRef>
          </c:cat>
          <c:val>
            <c:numRef>
              <c:f>Sheet1!$B$2:$B$5</c:f>
              <c:numCache>
                <c:formatCode>General</c:formatCode>
                <c:ptCount val="4"/>
                <c:pt idx="0">
                  <c:v>487.16</c:v>
                </c:pt>
                <c:pt idx="1">
                  <c:v>419.28</c:v>
                </c:pt>
              </c:numCache>
            </c:numRef>
          </c:val>
        </c:ser>
        <c:ser>
          <c:idx val="1"/>
          <c:order val="1"/>
          <c:tx>
            <c:strRef>
              <c:f>Sheet1!$C$1</c:f>
              <c:strCache>
                <c:ptCount val="1"/>
                <c:pt idx="0">
                  <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Sheet1!$A$2:$A$5</c:f>
              <c:numCache>
                <c:formatCode>General</c:formatCode>
                <c:ptCount val="4"/>
                <c:pt idx="0">
                  <c:v>2019</c:v>
                </c:pt>
                <c:pt idx="1">
                  <c:v>2020</c:v>
                </c:pt>
              </c:numCache>
            </c:numRef>
          </c:cat>
          <c:val>
            <c:numRef>
              <c:f>Sheet1!$C$2:$C$5</c:f>
              <c:numCache>
                <c:formatCode>General</c:formatCode>
                <c:ptCount val="4"/>
              </c:numCache>
            </c:numRef>
          </c:val>
        </c:ser>
        <c:ser>
          <c:idx val="2"/>
          <c:order val="2"/>
          <c:tx>
            <c:strRef>
              <c:f>Sheet1!$D$1</c:f>
              <c:strCache>
                <c:ptCount val="1"/>
                <c:pt idx="0">
                  <c:v/>
                </c:pt>
              </c:strCache>
            </c:strRef>
          </c:tx>
          <c:spPr>
            <a:solidFill>
              <a:schemeClr val="accent3"/>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Sheet1!$A$2:$A$5</c:f>
              <c:numCache>
                <c:formatCode>General</c:formatCode>
                <c:ptCount val="4"/>
                <c:pt idx="0">
                  <c:v>2019</c:v>
                </c:pt>
                <c:pt idx="1">
                  <c:v>2020</c:v>
                </c:pt>
              </c:numCache>
            </c:numRef>
          </c:cat>
          <c:val>
            <c:numRef>
              <c:f>Sheet1!$D$2:$D$5</c:f>
              <c:numCache>
                <c:formatCode>General</c:formatCode>
                <c:ptCount val="4"/>
              </c:numCache>
            </c:numRef>
          </c:val>
        </c:ser>
        <c:dLbls>
          <c:showLegendKey val="0"/>
          <c:showVal val="1"/>
          <c:showCatName val="0"/>
          <c:showSerName val="0"/>
          <c:showPercent val="0"/>
          <c:showBubbleSize val="0"/>
        </c:dLbls>
        <c:gapWidth val="75"/>
        <c:overlap val="0"/>
        <c:axId val="107700557"/>
        <c:axId val="355286247"/>
      </c:barChart>
      <c:catAx>
        <c:axId val="107700557"/>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55286247"/>
        <c:crosses val="autoZero"/>
        <c:auto val="1"/>
        <c:lblAlgn val="ctr"/>
        <c:lblOffset val="100"/>
        <c:noMultiLvlLbl val="0"/>
      </c:catAx>
      <c:valAx>
        <c:axId val="355286247"/>
        <c:scaling>
          <c:orientation val="minMax"/>
        </c:scaling>
        <c:delete val="0"/>
        <c:axPos val="l"/>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07700557"/>
        <c:crosses val="autoZero"/>
        <c:crossBetween val="between"/>
      </c:valAx>
      <c:spPr>
        <a:noFill/>
        <a:ln>
          <a:noFill/>
        </a:ln>
        <a:effectLst/>
      </c:spPr>
    </c:plotArea>
    <c:legend>
      <c:legendPos val="b"/>
      <c:layout>
        <c:manualLayout>
          <c:xMode val="edge"/>
          <c:yMode val="edge"/>
          <c:x val="0.54206780572874"/>
          <c:y val="0.920673076923077"/>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a:t>2019</a:t>
            </a:r>
            <a:r>
              <a:rPr altLang="en-US"/>
              <a:t>年一般公共预算财政拨款支出决算结构图</a:t>
            </a:r>
            <a:endParaRPr altLang="en-US"/>
          </a:p>
        </c:rich>
      </c:tx>
      <c:layout>
        <c:manualLayout>
          <c:xMode val="edge"/>
          <c:yMode val="edge"/>
          <c:x val="0.151918510186227"/>
          <c:y val="0.0798175598631699"/>
        </c:manualLayout>
      </c:layout>
      <c:overlay val="0"/>
      <c:spPr>
        <a:noFill/>
        <a:ln>
          <a:noFill/>
        </a:ln>
        <a:effectLst/>
      </c:spPr>
    </c:title>
    <c:autoTitleDeleted val="0"/>
    <c:plotArea>
      <c:layout>
        <c:manualLayout>
          <c:layoutTarget val="inner"/>
          <c:xMode val="edge"/>
          <c:yMode val="edge"/>
          <c:x val="0.286089238845144"/>
          <c:y val="0.171797795515013"/>
          <c:w val="0.490313710786152"/>
          <c:h val="0.745534017483846"/>
        </c:manualLayout>
      </c:layout>
      <c:pieChart>
        <c:varyColors val="1"/>
        <c:ser>
          <c:idx val="0"/>
          <c:order val="0"/>
          <c:tx>
            <c:strRef>
              <c:f>Sheet1!$B$1</c:f>
              <c:strCache>
                <c:ptCount val="1"/>
                <c:pt idx="0">
                  <c:v>销售额</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一般公共服务类支出</c:v>
                </c:pt>
                <c:pt idx="1">
                  <c:v>社会保障和就业支出</c:v>
                </c:pt>
                <c:pt idx="2">
                  <c:v>医疗卫生支出</c:v>
                </c:pt>
                <c:pt idx="3">
                  <c:v>住房保障支出</c:v>
                </c:pt>
              </c:strCache>
            </c:strRef>
          </c:cat>
          <c:val>
            <c:numRef>
              <c:f>Sheet1!$B$2:$B$5</c:f>
              <c:numCache>
                <c:formatCode>0.00%</c:formatCode>
                <c:ptCount val="4"/>
                <c:pt idx="0">
                  <c:v>0.9022</c:v>
                </c:pt>
                <c:pt idx="1">
                  <c:v>0.0464</c:v>
                </c:pt>
                <c:pt idx="2">
                  <c:v>0.021</c:v>
                </c:pt>
                <c:pt idx="3">
                  <c:v>0.0304</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t"/>
      <c:layout>
        <c:manualLayout>
          <c:xMode val="edge"/>
          <c:yMode val="edge"/>
          <c:x val="0.144106986626671"/>
          <c:y val="0.96167853814092"/>
          <c:w val="0.79915010623672"/>
          <c:h val="0.0326202075831392"/>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“三公”经费财政拨款支出结构图</a:t>
            </a:r>
          </a:p>
        </c:rich>
      </c:tx>
      <c:layout/>
      <c:overlay val="0"/>
      <c:spPr>
        <a:noFill/>
        <a:ln>
          <a:noFill/>
        </a:ln>
        <a:effectLst/>
      </c:spPr>
    </c:title>
    <c:autoTitleDeleted val="0"/>
    <c:plotArea>
      <c:layout/>
      <c:pieChart>
        <c:varyColors val="1"/>
        <c:ser>
          <c:idx val="0"/>
          <c:order val="0"/>
          <c:tx>
            <c:strRef>
              <c:f>Sheet1!$B$1</c:f>
              <c:strCache>
                <c:ptCount val="1"/>
                <c:pt idx="0">
                  <c:v>销售额</c:v>
                </c:pt>
              </c:strCache>
            </c:strRef>
          </c:tx>
          <c:spPr/>
          <c:explosion val="0"/>
          <c:dPt>
            <c:idx val="0"/>
            <c:bubble3D val="0"/>
            <c:explosion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公务用车购置及运行维护费支出</c:v>
                </c:pt>
                <c:pt idx="1">
                  <c:v>公务接待费</c:v>
                </c:pt>
              </c:strCache>
            </c:strRef>
          </c:cat>
          <c:val>
            <c:numRef>
              <c:f>Sheet1!$B$2:$B$3</c:f>
              <c:numCache>
                <c:formatCode>0.00%</c:formatCode>
                <c:ptCount val="2"/>
                <c:pt idx="0">
                  <c:v>0.94</c:v>
                </c:pt>
                <c:pt idx="1">
                  <c:v>0.06</c:v>
                </c:pt>
              </c:numCache>
            </c:numRef>
          </c:val>
        </c:ser>
        <c:dLbls>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Pages>
  <Lines>1</Lines>
  <Paragraphs>1</Paragraphs>
  <TotalTime>2</TotalTime>
  <ScaleCrop>false</ScaleCrop>
  <LinksUpToDate>false</LinksUpToDate>
  <Application>WPS Office_11.1.0.11115_F1E327BC-269C-435d-A152-05C5408002CA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2021-11-29T06:33:00Z</dcterms:created>
  <dc:creator>Administrator</dc:creator>
  <cp:lastModifiedBy>一苇以航</cp:lastModifiedBy>
  <cp:lastPrinted>2021-12-01T08:33:00Z</cp:lastPrinted>
  <dcterms:modified xsi:type="dcterms:W3CDTF">2021-12-01T09:10:13Z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DD800B824E0E4C95A78E97E53C5A5EEA</vt:lpwstr>
  </property>
</Properties>
</file>