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outlineLvl w:val="0"/>
        <w:rPr>
          <w:rFonts w:ascii="方正小标宋简体" w:hAnsi="宋体" w:eastAsia="方正小标宋简体"/>
          <w:color w:val="000000"/>
          <w:sz w:val="72"/>
          <w:szCs w:val="72"/>
        </w:rPr>
      </w:pPr>
      <w:bookmarkStart w:id="0" w:name="_Toc15306267"/>
    </w:p>
    <w:p>
      <w:pPr>
        <w:spacing w:line="640" w:lineRule="exact"/>
        <w:jc w:val="center"/>
        <w:outlineLvl w:val="0"/>
        <w:rPr>
          <w:rFonts w:ascii="方正小标宋简体" w:hAnsi="方正小标宋简体" w:eastAsia="方正小标宋简体" w:cs="方正小标宋简体"/>
          <w:color w:val="000000"/>
          <w:sz w:val="72"/>
          <w:szCs w:val="72"/>
        </w:rPr>
      </w:pPr>
    </w:p>
    <w:p>
      <w:pPr>
        <w:spacing w:line="640" w:lineRule="exact"/>
        <w:jc w:val="center"/>
        <w:outlineLvl w:val="0"/>
        <w:rPr>
          <w:rFonts w:ascii="方正小标宋简体" w:hAnsi="方正小标宋简体" w:eastAsia="方正小标宋简体" w:cs="方正小标宋简体"/>
          <w:color w:val="000000"/>
          <w:sz w:val="72"/>
          <w:szCs w:val="72"/>
        </w:rPr>
      </w:pPr>
    </w:p>
    <w:p>
      <w:pPr>
        <w:spacing w:line="640" w:lineRule="exact"/>
        <w:jc w:val="center"/>
        <w:outlineLvl w:val="0"/>
        <w:rPr>
          <w:rFonts w:ascii="方正小标宋简体" w:hAnsi="方正小标宋简体" w:eastAsia="方正小标宋简体" w:cs="方正小标宋简体"/>
          <w:color w:val="000000"/>
          <w:sz w:val="72"/>
          <w:szCs w:val="72"/>
        </w:rPr>
      </w:pPr>
    </w:p>
    <w:p>
      <w:pPr>
        <w:adjustRightInd w:val="0"/>
        <w:snapToGrid w:val="0"/>
        <w:spacing w:line="800" w:lineRule="exact"/>
        <w:jc w:val="center"/>
        <w:outlineLvl w:val="0"/>
        <w:rPr>
          <w:rFonts w:ascii="方正小标宋简体" w:hAnsi="方正小标宋简体" w:eastAsia="方正小标宋简体" w:cs="方正小标宋简体"/>
          <w:color w:val="000000"/>
          <w:sz w:val="72"/>
          <w:szCs w:val="72"/>
        </w:rPr>
      </w:pPr>
      <w:bookmarkStart w:id="1" w:name="_Toc15377193"/>
      <w:bookmarkStart w:id="2" w:name="_Toc15377425"/>
      <w:bookmarkStart w:id="3" w:name="_Toc15396597"/>
      <w:bookmarkStart w:id="4" w:name="_Toc15378441"/>
      <w:bookmarkStart w:id="5" w:name="_Toc15396475"/>
      <w:r>
        <w:rPr>
          <w:rFonts w:hint="eastAsia" w:ascii="方正小标宋简体" w:hAnsi="方正小标宋简体" w:eastAsia="方正小标宋简体" w:cs="方正小标宋简体"/>
          <w:color w:val="000000"/>
          <w:sz w:val="72"/>
          <w:szCs w:val="72"/>
        </w:rPr>
        <w:t>2018年度</w:t>
      </w:r>
      <w:bookmarkEnd w:id="1"/>
      <w:bookmarkEnd w:id="2"/>
      <w:bookmarkEnd w:id="3"/>
      <w:bookmarkEnd w:id="4"/>
      <w:bookmarkEnd w:id="5"/>
    </w:p>
    <w:p>
      <w:pPr>
        <w:adjustRightInd w:val="0"/>
        <w:snapToGrid w:val="0"/>
        <w:spacing w:line="800" w:lineRule="exact"/>
        <w:jc w:val="center"/>
        <w:outlineLvl w:val="0"/>
        <w:rPr>
          <w:rFonts w:ascii="方正小标宋简体" w:hAnsi="方正小标宋简体" w:eastAsia="方正小标宋简体" w:cs="方正小标宋简体"/>
          <w:color w:val="000000"/>
          <w:sz w:val="72"/>
          <w:szCs w:val="72"/>
        </w:rPr>
      </w:pPr>
      <w:bookmarkStart w:id="6" w:name="_Toc15377194"/>
      <w:bookmarkStart w:id="7" w:name="_Toc15378442"/>
      <w:bookmarkStart w:id="8" w:name="_Toc15377426"/>
      <w:bookmarkStart w:id="9" w:name="_Toc15396598"/>
      <w:bookmarkStart w:id="10" w:name="_Toc15396476"/>
      <w:r>
        <w:rPr>
          <w:rFonts w:hint="eastAsia" w:ascii="方正小标宋简体" w:hAnsi="方正小标宋简体" w:eastAsia="方正小标宋简体" w:cs="方正小标宋简体"/>
          <w:color w:val="000000"/>
          <w:sz w:val="72"/>
          <w:szCs w:val="72"/>
        </w:rPr>
        <w:t>四川省</w:t>
      </w:r>
      <w:bookmarkEnd w:id="0"/>
      <w:bookmarkStart w:id="11" w:name="_Toc15306268"/>
      <w:r>
        <w:rPr>
          <w:rFonts w:hint="eastAsia" w:ascii="方正小标宋简体" w:hAnsi="方正小标宋简体" w:eastAsia="方正小标宋简体" w:cs="方正小标宋简体"/>
          <w:color w:val="000000"/>
          <w:sz w:val="72"/>
          <w:szCs w:val="72"/>
        </w:rPr>
        <w:t>红原县机关事务</w:t>
      </w:r>
    </w:p>
    <w:p>
      <w:pPr>
        <w:adjustRightInd w:val="0"/>
        <w:snapToGrid w:val="0"/>
        <w:spacing w:line="800" w:lineRule="exact"/>
        <w:jc w:val="center"/>
        <w:outlineLvl w:val="0"/>
        <w:rPr>
          <w:rFonts w:ascii="方正小标宋简体" w:hAnsi="方正小标宋简体" w:eastAsia="方正小标宋简体" w:cs="方正小标宋简体"/>
          <w:color w:val="000000"/>
          <w:sz w:val="72"/>
          <w:szCs w:val="72"/>
        </w:rPr>
      </w:pPr>
      <w:r>
        <w:rPr>
          <w:rFonts w:hint="eastAsia" w:ascii="方正小标宋简体" w:hAnsi="方正小标宋简体" w:eastAsia="方正小标宋简体" w:cs="方正小标宋简体"/>
          <w:color w:val="000000"/>
          <w:sz w:val="72"/>
          <w:szCs w:val="72"/>
        </w:rPr>
        <w:t>管理局决算</w:t>
      </w:r>
      <w:bookmarkEnd w:id="6"/>
      <w:bookmarkEnd w:id="7"/>
      <w:bookmarkEnd w:id="8"/>
      <w:bookmarkEnd w:id="9"/>
      <w:bookmarkEnd w:id="10"/>
      <w:bookmarkEnd w:id="11"/>
    </w:p>
    <w:p>
      <w:pPr>
        <w:widowControl/>
        <w:spacing w:line="640" w:lineRule="exact"/>
        <w:jc w:val="center"/>
        <w:rPr>
          <w:rFonts w:ascii="黑体" w:hAnsi="黑体" w:eastAsia="黑体"/>
          <w:color w:val="000000"/>
          <w:sz w:val="48"/>
          <w:szCs w:val="48"/>
        </w:rPr>
      </w:pPr>
      <w:r>
        <w:rPr>
          <w:rFonts w:hint="eastAsia" w:ascii="方正小标宋简体" w:hAnsi="方正小标宋简体" w:eastAsia="方正小标宋简体" w:cs="方正小标宋简体"/>
          <w:color w:val="000000"/>
          <w:sz w:val="72"/>
          <w:szCs w:val="72"/>
        </w:rPr>
        <w:br w:type="page"/>
      </w:r>
      <w:r>
        <w:rPr>
          <w:rFonts w:hint="eastAsia" w:ascii="黑体" w:hAnsi="黑体" w:eastAsia="黑体"/>
          <w:color w:val="000000"/>
          <w:sz w:val="48"/>
          <w:szCs w:val="48"/>
        </w:rPr>
        <w:t>目录</w:t>
      </w:r>
    </w:p>
    <w:p>
      <w:pPr>
        <w:widowControl/>
        <w:spacing w:line="560" w:lineRule="exact"/>
        <w:jc w:val="center"/>
        <w:rPr>
          <w:rFonts w:ascii="黑体" w:hAnsi="黑体" w:eastAsia="黑体" w:cstheme="minorBidi"/>
          <w:sz w:val="28"/>
          <w:szCs w:val="28"/>
        </w:rPr>
      </w:pPr>
      <w:r>
        <w:rPr>
          <w:rFonts w:ascii="黑体" w:hAnsi="黑体" w:eastAsia="黑体"/>
          <w:color w:val="000000"/>
          <w:sz w:val="48"/>
          <w:szCs w:val="48"/>
        </w:rPr>
        <w:fldChar w:fldCharType="begin"/>
      </w:r>
      <w:r>
        <w:rPr>
          <w:rFonts w:ascii="黑体" w:hAnsi="黑体" w:eastAsia="黑体"/>
          <w:color w:val="000000"/>
          <w:sz w:val="48"/>
          <w:szCs w:val="48"/>
        </w:rPr>
        <w:instrText xml:space="preserve"> TOC \o "1-2" \h \z \u </w:instrText>
      </w:r>
      <w:r>
        <w:rPr>
          <w:rFonts w:ascii="黑体" w:hAnsi="黑体" w:eastAsia="黑体"/>
          <w:color w:val="000000"/>
          <w:sz w:val="48"/>
          <w:szCs w:val="48"/>
        </w:rPr>
        <w:fldChar w:fldCharType="separate"/>
      </w:r>
    </w:p>
    <w:p>
      <w:pPr>
        <w:spacing w:line="560" w:lineRule="exact"/>
      </w:pPr>
    </w:p>
    <w:p>
      <w:pPr>
        <w:pStyle w:val="12"/>
        <w:spacing w:line="560" w:lineRule="exact"/>
        <w:rPr>
          <w:rFonts w:cstheme="minorBidi"/>
        </w:rPr>
      </w:pPr>
      <w:r>
        <w:fldChar w:fldCharType="begin"/>
      </w:r>
      <w:r>
        <w:instrText xml:space="preserve"> HYPERLINK \l "_Toc15396599" </w:instrText>
      </w:r>
      <w:r>
        <w:fldChar w:fldCharType="separate"/>
      </w:r>
      <w:r>
        <w:rPr>
          <w:rStyle w:val="17"/>
          <w:rFonts w:hint="eastAsia"/>
        </w:rPr>
        <w:t>第一部分</w:t>
      </w:r>
      <w:r>
        <w:rPr>
          <w:rStyle w:val="17"/>
        </w:rPr>
        <w:t xml:space="preserve"> </w:t>
      </w:r>
      <w:r>
        <w:rPr>
          <w:rStyle w:val="17"/>
          <w:rFonts w:hint="eastAsia"/>
        </w:rPr>
        <w:t>部门概况</w:t>
      </w:r>
      <w:r>
        <w:rPr>
          <w:rStyle w:val="17"/>
          <w:rFonts w:hint="eastAsia"/>
        </w:rPr>
        <w:fldChar w:fldCharType="end"/>
      </w:r>
    </w:p>
    <w:p>
      <w:pPr>
        <w:pStyle w:val="13"/>
        <w:spacing w:line="560" w:lineRule="exact"/>
        <w:rPr>
          <w:rFonts w:ascii="仿宋" w:hAnsi="仿宋" w:eastAsia="仿宋" w:cstheme="minorBidi"/>
          <w:sz w:val="28"/>
          <w:szCs w:val="28"/>
        </w:rPr>
      </w:pPr>
      <w:r>
        <w:fldChar w:fldCharType="begin"/>
      </w:r>
      <w:r>
        <w:instrText xml:space="preserve"> HYPERLINK \l "_Toc15396600" </w:instrText>
      </w:r>
      <w:r>
        <w:fldChar w:fldCharType="separate"/>
      </w:r>
      <w:r>
        <w:rPr>
          <w:rStyle w:val="17"/>
          <w:rFonts w:hint="eastAsia" w:ascii="仿宋" w:hAnsi="仿宋" w:eastAsia="仿宋"/>
          <w:sz w:val="28"/>
          <w:szCs w:val="28"/>
        </w:rPr>
        <w:t>一、基本职能及主要工作</w:t>
      </w:r>
      <w:r>
        <w:rPr>
          <w:rStyle w:val="17"/>
          <w:rFonts w:hint="eastAsia" w:ascii="仿宋" w:hAnsi="仿宋" w:eastAsia="仿宋"/>
          <w:sz w:val="28"/>
          <w:szCs w:val="28"/>
        </w:rPr>
        <w:fldChar w:fldCharType="end"/>
      </w:r>
    </w:p>
    <w:p>
      <w:pPr>
        <w:pStyle w:val="13"/>
        <w:spacing w:line="560" w:lineRule="exact"/>
        <w:rPr>
          <w:rFonts w:ascii="仿宋" w:hAnsi="仿宋" w:eastAsia="仿宋" w:cstheme="minorBidi"/>
          <w:sz w:val="28"/>
          <w:szCs w:val="28"/>
        </w:rPr>
      </w:pPr>
      <w:r>
        <w:fldChar w:fldCharType="begin"/>
      </w:r>
      <w:r>
        <w:instrText xml:space="preserve"> HYPERLINK \l "_Toc15396601" </w:instrText>
      </w:r>
      <w:r>
        <w:fldChar w:fldCharType="separate"/>
      </w:r>
      <w:r>
        <w:rPr>
          <w:rStyle w:val="17"/>
          <w:rFonts w:hint="eastAsia" w:ascii="仿宋" w:hAnsi="仿宋" w:eastAsia="仿宋"/>
          <w:sz w:val="28"/>
          <w:szCs w:val="28"/>
        </w:rPr>
        <w:t>二、机构设置</w:t>
      </w:r>
      <w:r>
        <w:rPr>
          <w:rStyle w:val="17"/>
          <w:rFonts w:hint="eastAsia" w:ascii="仿宋" w:hAnsi="仿宋" w:eastAsia="仿宋"/>
          <w:sz w:val="28"/>
          <w:szCs w:val="28"/>
        </w:rPr>
        <w:fldChar w:fldCharType="end"/>
      </w:r>
    </w:p>
    <w:p>
      <w:pPr>
        <w:pStyle w:val="12"/>
        <w:spacing w:line="560" w:lineRule="exact"/>
      </w:pPr>
      <w:r>
        <w:fldChar w:fldCharType="begin"/>
      </w:r>
      <w:r>
        <w:instrText xml:space="preserve"> HYPERLINK \l "_Toc15396602" </w:instrText>
      </w:r>
      <w:r>
        <w:fldChar w:fldCharType="separate"/>
      </w:r>
      <w:r>
        <w:rPr>
          <w:rStyle w:val="17"/>
          <w:rFonts w:hint="eastAsia"/>
        </w:rPr>
        <w:t>第二部分</w:t>
      </w:r>
      <w:r>
        <w:rPr>
          <w:rStyle w:val="17"/>
        </w:rPr>
        <w:t xml:space="preserve"> 2018</w:t>
      </w:r>
      <w:r>
        <w:rPr>
          <w:rStyle w:val="17"/>
          <w:rFonts w:hint="eastAsia"/>
        </w:rPr>
        <w:t>年度部门决算情况说明</w:t>
      </w:r>
      <w:r>
        <w:rPr>
          <w:rStyle w:val="17"/>
          <w:rFonts w:hint="eastAsia"/>
        </w:rPr>
        <w:fldChar w:fldCharType="end"/>
      </w:r>
    </w:p>
    <w:p>
      <w:pPr>
        <w:pStyle w:val="13"/>
        <w:spacing w:line="560" w:lineRule="exact"/>
        <w:rPr>
          <w:rFonts w:ascii="仿宋" w:hAnsi="仿宋" w:eastAsia="仿宋" w:cstheme="minorBidi"/>
          <w:sz w:val="28"/>
          <w:szCs w:val="28"/>
        </w:rPr>
      </w:pPr>
      <w:r>
        <w:fldChar w:fldCharType="begin"/>
      </w:r>
      <w:r>
        <w:instrText xml:space="preserve"> HYPERLINK \l "_Toc15396603" </w:instrText>
      </w:r>
      <w:r>
        <w:fldChar w:fldCharType="separate"/>
      </w:r>
      <w:r>
        <w:rPr>
          <w:rStyle w:val="17"/>
          <w:rFonts w:hint="eastAsia" w:ascii="仿宋" w:hAnsi="仿宋" w:eastAsia="仿宋" w:cstheme="majorBidi"/>
          <w:bCs/>
          <w:sz w:val="28"/>
          <w:szCs w:val="28"/>
        </w:rPr>
        <w:t>一、</w:t>
      </w:r>
      <w:r>
        <w:rPr>
          <w:rStyle w:val="17"/>
          <w:rFonts w:hint="eastAsia" w:ascii="仿宋" w:hAnsi="仿宋" w:eastAsia="仿宋"/>
          <w:sz w:val="28"/>
          <w:szCs w:val="28"/>
        </w:rPr>
        <w:t>收</w:t>
      </w:r>
      <w:r>
        <w:rPr>
          <w:rStyle w:val="17"/>
          <w:rFonts w:hint="eastAsia" w:ascii="仿宋" w:hAnsi="仿宋" w:eastAsia="仿宋" w:cstheme="majorBidi"/>
          <w:bCs/>
          <w:sz w:val="28"/>
          <w:szCs w:val="28"/>
        </w:rPr>
        <w:t>入支出决算总体情况说明</w:t>
      </w:r>
      <w:r>
        <w:rPr>
          <w:rStyle w:val="17"/>
          <w:rFonts w:hint="eastAsia" w:ascii="仿宋" w:hAnsi="仿宋" w:eastAsia="仿宋" w:cstheme="majorBidi"/>
          <w:bCs/>
          <w:sz w:val="28"/>
          <w:szCs w:val="28"/>
        </w:rPr>
        <w:fldChar w:fldCharType="end"/>
      </w:r>
    </w:p>
    <w:p>
      <w:pPr>
        <w:pStyle w:val="13"/>
        <w:spacing w:line="560" w:lineRule="exact"/>
        <w:rPr>
          <w:rFonts w:ascii="仿宋" w:hAnsi="仿宋" w:eastAsia="仿宋" w:cstheme="minorBidi"/>
          <w:sz w:val="28"/>
          <w:szCs w:val="28"/>
        </w:rPr>
      </w:pPr>
      <w:r>
        <w:fldChar w:fldCharType="begin"/>
      </w:r>
      <w:r>
        <w:instrText xml:space="preserve"> HYPERLINK \l "_Toc15396604" </w:instrText>
      </w:r>
      <w:r>
        <w:fldChar w:fldCharType="separate"/>
      </w:r>
      <w:r>
        <w:rPr>
          <w:rStyle w:val="17"/>
          <w:rFonts w:hint="eastAsia" w:ascii="仿宋" w:hAnsi="仿宋" w:eastAsia="仿宋" w:cstheme="majorBidi"/>
          <w:bCs/>
          <w:sz w:val="28"/>
          <w:szCs w:val="28"/>
        </w:rPr>
        <w:t>二、</w:t>
      </w:r>
      <w:r>
        <w:rPr>
          <w:rStyle w:val="17"/>
          <w:rFonts w:hint="eastAsia" w:ascii="仿宋" w:hAnsi="仿宋" w:eastAsia="仿宋"/>
          <w:sz w:val="28"/>
          <w:szCs w:val="28"/>
        </w:rPr>
        <w:t>收</w:t>
      </w:r>
      <w:r>
        <w:rPr>
          <w:rStyle w:val="17"/>
          <w:rFonts w:hint="eastAsia" w:ascii="仿宋" w:hAnsi="仿宋" w:eastAsia="仿宋" w:cstheme="majorBidi"/>
          <w:bCs/>
          <w:sz w:val="28"/>
          <w:szCs w:val="28"/>
        </w:rPr>
        <w:t>入决算情况说明</w:t>
      </w:r>
      <w:r>
        <w:rPr>
          <w:rStyle w:val="17"/>
          <w:rFonts w:hint="eastAsia" w:ascii="仿宋" w:hAnsi="仿宋" w:eastAsia="仿宋" w:cstheme="majorBidi"/>
          <w:bCs/>
          <w:sz w:val="28"/>
          <w:szCs w:val="28"/>
        </w:rPr>
        <w:fldChar w:fldCharType="end"/>
      </w:r>
    </w:p>
    <w:p>
      <w:pPr>
        <w:pStyle w:val="13"/>
        <w:spacing w:line="560" w:lineRule="exact"/>
        <w:rPr>
          <w:rFonts w:ascii="仿宋" w:hAnsi="仿宋" w:eastAsia="仿宋" w:cstheme="minorBidi"/>
          <w:sz w:val="28"/>
          <w:szCs w:val="28"/>
        </w:rPr>
      </w:pPr>
      <w:r>
        <w:fldChar w:fldCharType="begin"/>
      </w:r>
      <w:r>
        <w:instrText xml:space="preserve"> HYPERLINK \l "_Toc15396605" </w:instrText>
      </w:r>
      <w:r>
        <w:fldChar w:fldCharType="separate"/>
      </w:r>
      <w:r>
        <w:rPr>
          <w:rStyle w:val="17"/>
          <w:rFonts w:hint="eastAsia" w:ascii="仿宋" w:hAnsi="仿宋" w:eastAsia="仿宋" w:cstheme="majorBidi"/>
          <w:bCs/>
          <w:sz w:val="28"/>
          <w:szCs w:val="28"/>
        </w:rPr>
        <w:t>三、</w:t>
      </w:r>
      <w:r>
        <w:rPr>
          <w:rStyle w:val="17"/>
          <w:rFonts w:hint="eastAsia" w:ascii="仿宋" w:hAnsi="仿宋" w:eastAsia="仿宋"/>
          <w:sz w:val="28"/>
          <w:szCs w:val="28"/>
        </w:rPr>
        <w:t>支</w:t>
      </w:r>
      <w:r>
        <w:rPr>
          <w:rStyle w:val="17"/>
          <w:rFonts w:hint="eastAsia" w:ascii="仿宋" w:hAnsi="仿宋" w:eastAsia="仿宋" w:cstheme="majorBidi"/>
          <w:bCs/>
          <w:sz w:val="28"/>
          <w:szCs w:val="28"/>
        </w:rPr>
        <w:t>出决算情况说明</w:t>
      </w:r>
      <w:r>
        <w:rPr>
          <w:rStyle w:val="17"/>
          <w:rFonts w:hint="eastAsia" w:ascii="仿宋" w:hAnsi="仿宋" w:eastAsia="仿宋" w:cstheme="majorBidi"/>
          <w:bCs/>
          <w:sz w:val="28"/>
          <w:szCs w:val="28"/>
        </w:rPr>
        <w:fldChar w:fldCharType="end"/>
      </w:r>
    </w:p>
    <w:p>
      <w:pPr>
        <w:pStyle w:val="13"/>
        <w:spacing w:line="560" w:lineRule="exact"/>
        <w:rPr>
          <w:rFonts w:ascii="仿宋" w:hAnsi="仿宋" w:eastAsia="仿宋" w:cstheme="minorBidi"/>
          <w:sz w:val="28"/>
          <w:szCs w:val="28"/>
        </w:rPr>
      </w:pPr>
      <w:r>
        <w:fldChar w:fldCharType="begin"/>
      </w:r>
      <w:r>
        <w:instrText xml:space="preserve"> HYPERLINK \l "_Toc15396606" </w:instrText>
      </w:r>
      <w:r>
        <w:fldChar w:fldCharType="separate"/>
      </w:r>
      <w:r>
        <w:rPr>
          <w:rStyle w:val="17"/>
          <w:rFonts w:hint="eastAsia" w:ascii="仿宋" w:hAnsi="仿宋" w:eastAsia="仿宋"/>
          <w:sz w:val="28"/>
          <w:szCs w:val="28"/>
        </w:rPr>
        <w:t>四、财</w:t>
      </w:r>
      <w:r>
        <w:rPr>
          <w:rStyle w:val="17"/>
          <w:rFonts w:hint="eastAsia" w:ascii="仿宋" w:hAnsi="仿宋" w:eastAsia="仿宋" w:cstheme="majorBidi"/>
          <w:bCs/>
          <w:sz w:val="28"/>
          <w:szCs w:val="28"/>
        </w:rPr>
        <w:t>政拨款收入支出决算总体情况说明</w:t>
      </w:r>
      <w:r>
        <w:rPr>
          <w:rStyle w:val="17"/>
          <w:rFonts w:hint="eastAsia" w:ascii="仿宋" w:hAnsi="仿宋" w:eastAsia="仿宋" w:cstheme="majorBidi"/>
          <w:bCs/>
          <w:sz w:val="28"/>
          <w:szCs w:val="28"/>
        </w:rPr>
        <w:fldChar w:fldCharType="end"/>
      </w:r>
    </w:p>
    <w:p>
      <w:pPr>
        <w:pStyle w:val="13"/>
        <w:spacing w:line="560" w:lineRule="exact"/>
        <w:rPr>
          <w:rFonts w:ascii="仿宋" w:hAnsi="仿宋" w:eastAsia="仿宋" w:cstheme="minorBidi"/>
          <w:sz w:val="28"/>
          <w:szCs w:val="28"/>
        </w:rPr>
      </w:pPr>
      <w:r>
        <w:fldChar w:fldCharType="begin"/>
      </w:r>
      <w:r>
        <w:instrText xml:space="preserve"> HYPERLINK \l "_Toc15396607" </w:instrText>
      </w:r>
      <w:r>
        <w:fldChar w:fldCharType="separate"/>
      </w:r>
      <w:r>
        <w:rPr>
          <w:rStyle w:val="17"/>
          <w:rFonts w:hint="eastAsia" w:ascii="仿宋" w:hAnsi="仿宋" w:eastAsia="仿宋"/>
          <w:sz w:val="28"/>
          <w:szCs w:val="28"/>
        </w:rPr>
        <w:t>五、一</w:t>
      </w:r>
      <w:r>
        <w:rPr>
          <w:rStyle w:val="17"/>
          <w:rFonts w:hint="eastAsia" w:ascii="仿宋" w:hAnsi="仿宋" w:eastAsia="仿宋" w:cstheme="majorBidi"/>
          <w:bCs/>
          <w:sz w:val="28"/>
          <w:szCs w:val="28"/>
        </w:rPr>
        <w:t>般公共预算财政拨款支出决算情况说明</w:t>
      </w:r>
      <w:r>
        <w:rPr>
          <w:rStyle w:val="17"/>
          <w:rFonts w:hint="eastAsia" w:ascii="仿宋" w:hAnsi="仿宋" w:eastAsia="仿宋" w:cstheme="majorBidi"/>
          <w:bCs/>
          <w:sz w:val="28"/>
          <w:szCs w:val="28"/>
        </w:rPr>
        <w:fldChar w:fldCharType="end"/>
      </w:r>
    </w:p>
    <w:p>
      <w:pPr>
        <w:pStyle w:val="13"/>
        <w:spacing w:line="560" w:lineRule="exact"/>
        <w:rPr>
          <w:rFonts w:ascii="仿宋" w:hAnsi="仿宋" w:eastAsia="仿宋" w:cstheme="minorBidi"/>
          <w:sz w:val="28"/>
          <w:szCs w:val="28"/>
        </w:rPr>
      </w:pPr>
      <w:r>
        <w:fldChar w:fldCharType="begin"/>
      </w:r>
      <w:r>
        <w:instrText xml:space="preserve"> HYPERLINK \l "_Toc15396608" </w:instrText>
      </w:r>
      <w:r>
        <w:fldChar w:fldCharType="separate"/>
      </w:r>
      <w:r>
        <w:rPr>
          <w:rStyle w:val="17"/>
          <w:rFonts w:hint="eastAsia" w:ascii="仿宋" w:hAnsi="仿宋" w:eastAsia="仿宋"/>
          <w:sz w:val="28"/>
          <w:szCs w:val="28"/>
        </w:rPr>
        <w:t>六、一</w:t>
      </w:r>
      <w:r>
        <w:rPr>
          <w:rStyle w:val="17"/>
          <w:rFonts w:hint="eastAsia" w:ascii="仿宋" w:hAnsi="仿宋" w:eastAsia="仿宋" w:cstheme="majorBidi"/>
          <w:bCs/>
          <w:sz w:val="28"/>
          <w:szCs w:val="28"/>
        </w:rPr>
        <w:t>般公共预算财政拨款基本支出决算情况说明</w:t>
      </w:r>
      <w:r>
        <w:rPr>
          <w:rStyle w:val="17"/>
          <w:rFonts w:hint="eastAsia" w:ascii="仿宋" w:hAnsi="仿宋" w:eastAsia="仿宋" w:cstheme="majorBidi"/>
          <w:bCs/>
          <w:sz w:val="28"/>
          <w:szCs w:val="28"/>
        </w:rPr>
        <w:fldChar w:fldCharType="end"/>
      </w:r>
    </w:p>
    <w:p>
      <w:pPr>
        <w:pStyle w:val="13"/>
        <w:spacing w:line="560" w:lineRule="exact"/>
        <w:rPr>
          <w:rFonts w:ascii="仿宋" w:hAnsi="仿宋" w:eastAsia="仿宋" w:cstheme="minorBidi"/>
          <w:sz w:val="28"/>
          <w:szCs w:val="28"/>
        </w:rPr>
      </w:pPr>
      <w:r>
        <w:fldChar w:fldCharType="begin"/>
      </w:r>
      <w:r>
        <w:instrText xml:space="preserve"> HYPERLINK \l "_Toc15396609" </w:instrText>
      </w:r>
      <w:r>
        <w:fldChar w:fldCharType="separate"/>
      </w:r>
      <w:r>
        <w:rPr>
          <w:rStyle w:val="17"/>
          <w:rFonts w:hint="eastAsia" w:ascii="仿宋" w:hAnsi="仿宋" w:eastAsia="仿宋"/>
          <w:sz w:val="28"/>
          <w:szCs w:val="28"/>
        </w:rPr>
        <w:t>七、</w:t>
      </w:r>
      <w:r>
        <w:rPr>
          <w:rStyle w:val="17"/>
          <w:rFonts w:ascii="仿宋" w:hAnsi="仿宋" w:eastAsia="仿宋"/>
          <w:sz w:val="28"/>
          <w:szCs w:val="28"/>
        </w:rPr>
        <w:t>“</w:t>
      </w:r>
      <w:r>
        <w:rPr>
          <w:rStyle w:val="17"/>
          <w:rFonts w:hint="eastAsia" w:ascii="仿宋" w:hAnsi="仿宋" w:eastAsia="仿宋" w:cstheme="majorBidi"/>
          <w:bCs/>
          <w:sz w:val="28"/>
          <w:szCs w:val="28"/>
        </w:rPr>
        <w:t>三公”经费财政拨款支出决算情况说明</w:t>
      </w:r>
      <w:r>
        <w:rPr>
          <w:rStyle w:val="17"/>
          <w:rFonts w:hint="eastAsia" w:ascii="仿宋" w:hAnsi="仿宋" w:eastAsia="仿宋" w:cstheme="majorBidi"/>
          <w:bCs/>
          <w:sz w:val="28"/>
          <w:szCs w:val="28"/>
        </w:rPr>
        <w:fldChar w:fldCharType="end"/>
      </w:r>
    </w:p>
    <w:p>
      <w:pPr>
        <w:pStyle w:val="13"/>
        <w:spacing w:line="560" w:lineRule="exact"/>
        <w:rPr>
          <w:rFonts w:ascii="仿宋" w:hAnsi="仿宋" w:eastAsia="仿宋" w:cstheme="minorBidi"/>
          <w:sz w:val="28"/>
          <w:szCs w:val="28"/>
        </w:rPr>
      </w:pPr>
      <w:r>
        <w:fldChar w:fldCharType="begin"/>
      </w:r>
      <w:r>
        <w:instrText xml:space="preserve"> HYPERLINK \l "_Toc15396610" </w:instrText>
      </w:r>
      <w:r>
        <w:fldChar w:fldCharType="separate"/>
      </w:r>
      <w:r>
        <w:rPr>
          <w:rStyle w:val="17"/>
          <w:rFonts w:hint="eastAsia" w:ascii="仿宋" w:hAnsi="仿宋" w:eastAsia="仿宋"/>
          <w:sz w:val="28"/>
          <w:szCs w:val="28"/>
        </w:rPr>
        <w:t>八、</w:t>
      </w:r>
      <w:r>
        <w:rPr>
          <w:rStyle w:val="17"/>
          <w:rFonts w:hint="eastAsia" w:ascii="仿宋" w:hAnsi="仿宋" w:eastAsia="仿宋" w:cstheme="majorBidi"/>
          <w:bCs/>
          <w:sz w:val="28"/>
          <w:szCs w:val="28"/>
        </w:rPr>
        <w:t>政府性基金预算支出决算情况说明</w:t>
      </w:r>
      <w:r>
        <w:rPr>
          <w:rStyle w:val="17"/>
          <w:rFonts w:hint="eastAsia" w:ascii="仿宋" w:hAnsi="仿宋" w:eastAsia="仿宋" w:cstheme="majorBidi"/>
          <w:bCs/>
          <w:sz w:val="28"/>
          <w:szCs w:val="28"/>
        </w:rPr>
        <w:fldChar w:fldCharType="end"/>
      </w:r>
    </w:p>
    <w:p>
      <w:pPr>
        <w:pStyle w:val="13"/>
        <w:spacing w:line="560" w:lineRule="exact"/>
        <w:rPr>
          <w:rFonts w:ascii="仿宋" w:hAnsi="仿宋" w:eastAsia="仿宋" w:cstheme="minorBidi"/>
          <w:sz w:val="28"/>
          <w:szCs w:val="28"/>
        </w:rPr>
      </w:pPr>
      <w:r>
        <w:fldChar w:fldCharType="begin"/>
      </w:r>
      <w:r>
        <w:instrText xml:space="preserve"> HYPERLINK \l "_Toc15396611" </w:instrText>
      </w:r>
      <w:r>
        <w:fldChar w:fldCharType="separate"/>
      </w:r>
      <w:r>
        <w:rPr>
          <w:rStyle w:val="17"/>
          <w:rFonts w:hint="eastAsia" w:ascii="仿宋" w:hAnsi="仿宋" w:eastAsia="仿宋" w:cstheme="majorBidi"/>
          <w:bCs/>
          <w:sz w:val="28"/>
          <w:szCs w:val="28"/>
        </w:rPr>
        <w:t>九、</w:t>
      </w:r>
      <w:r>
        <w:rPr>
          <w:rStyle w:val="17"/>
          <w:rFonts w:hint="eastAsia" w:ascii="仿宋" w:hAnsi="仿宋" w:eastAsia="仿宋"/>
          <w:sz w:val="28"/>
          <w:szCs w:val="28"/>
        </w:rPr>
        <w:t xml:space="preserve"> 国</w:t>
      </w:r>
      <w:r>
        <w:rPr>
          <w:rStyle w:val="17"/>
          <w:rFonts w:hint="eastAsia" w:ascii="仿宋" w:hAnsi="仿宋" w:eastAsia="仿宋" w:cstheme="majorBidi"/>
          <w:bCs/>
          <w:sz w:val="28"/>
          <w:szCs w:val="28"/>
        </w:rPr>
        <w:t>有资本经营预算支出决算情况说明</w:t>
      </w:r>
      <w:r>
        <w:rPr>
          <w:rStyle w:val="17"/>
          <w:rFonts w:hint="eastAsia" w:ascii="仿宋" w:hAnsi="仿宋" w:eastAsia="仿宋" w:cstheme="majorBidi"/>
          <w:bCs/>
          <w:sz w:val="28"/>
          <w:szCs w:val="28"/>
        </w:rPr>
        <w:fldChar w:fldCharType="end"/>
      </w:r>
    </w:p>
    <w:p>
      <w:pPr>
        <w:pStyle w:val="13"/>
        <w:spacing w:line="560" w:lineRule="exact"/>
        <w:rPr>
          <w:rFonts w:ascii="仿宋" w:hAnsi="仿宋" w:eastAsia="仿宋" w:cstheme="minorBidi"/>
          <w:sz w:val="28"/>
          <w:szCs w:val="28"/>
        </w:rPr>
      </w:pPr>
      <w:r>
        <w:fldChar w:fldCharType="begin"/>
      </w:r>
      <w:r>
        <w:instrText xml:space="preserve"> HYPERLINK \l "_Toc15396612" </w:instrText>
      </w:r>
      <w:r>
        <w:fldChar w:fldCharType="separate"/>
      </w:r>
      <w:r>
        <w:rPr>
          <w:rStyle w:val="17"/>
          <w:rFonts w:hint="eastAsia" w:ascii="仿宋" w:hAnsi="仿宋" w:eastAsia="仿宋"/>
          <w:sz w:val="28"/>
          <w:szCs w:val="28"/>
        </w:rPr>
        <w:t>十</w:t>
      </w:r>
      <w:r>
        <w:rPr>
          <w:rStyle w:val="17"/>
          <w:rFonts w:hint="eastAsia" w:ascii="仿宋" w:hAnsi="仿宋" w:eastAsia="仿宋" w:cstheme="majorBidi"/>
          <w:bCs/>
          <w:sz w:val="28"/>
          <w:szCs w:val="28"/>
        </w:rPr>
        <w:t>一、其他重要事项的情况说明</w:t>
      </w:r>
      <w:r>
        <w:rPr>
          <w:rStyle w:val="17"/>
          <w:rFonts w:hint="eastAsia" w:ascii="仿宋" w:hAnsi="仿宋" w:eastAsia="仿宋" w:cstheme="majorBidi"/>
          <w:bCs/>
          <w:sz w:val="28"/>
          <w:szCs w:val="28"/>
        </w:rPr>
        <w:fldChar w:fldCharType="end"/>
      </w:r>
    </w:p>
    <w:p>
      <w:pPr>
        <w:pStyle w:val="12"/>
        <w:spacing w:line="560" w:lineRule="exact"/>
        <w:rPr>
          <w:rFonts w:cstheme="minorBidi"/>
        </w:rPr>
      </w:pPr>
      <w:r>
        <w:fldChar w:fldCharType="begin"/>
      </w:r>
      <w:r>
        <w:instrText xml:space="preserve"> HYPERLINK \l "_Toc15396613" </w:instrText>
      </w:r>
      <w:r>
        <w:fldChar w:fldCharType="separate"/>
      </w:r>
      <w:r>
        <w:rPr>
          <w:rStyle w:val="17"/>
          <w:rFonts w:hint="eastAsia"/>
          <w:bCs/>
          <w:kern w:val="44"/>
        </w:rPr>
        <w:t>第三部分</w:t>
      </w:r>
      <w:r>
        <w:rPr>
          <w:rStyle w:val="17"/>
          <w:rFonts w:hint="eastAsia"/>
        </w:rPr>
        <w:t xml:space="preserve"> 名</w:t>
      </w:r>
      <w:r>
        <w:rPr>
          <w:rStyle w:val="17"/>
          <w:rFonts w:hint="eastAsia"/>
          <w:bCs/>
          <w:kern w:val="44"/>
        </w:rPr>
        <w:t>词解释</w:t>
      </w:r>
      <w:r>
        <w:rPr>
          <w:rStyle w:val="17"/>
          <w:rFonts w:hint="eastAsia"/>
          <w:bCs/>
          <w:kern w:val="44"/>
        </w:rPr>
        <w:fldChar w:fldCharType="end"/>
      </w:r>
    </w:p>
    <w:p>
      <w:pPr>
        <w:pStyle w:val="12"/>
        <w:spacing w:line="560" w:lineRule="exact"/>
        <w:rPr>
          <w:rFonts w:cstheme="minorBidi"/>
        </w:rPr>
      </w:pPr>
      <w:r>
        <w:fldChar w:fldCharType="begin"/>
      </w:r>
      <w:r>
        <w:instrText xml:space="preserve"> HYPERLINK \l "_Toc15396614" </w:instrText>
      </w:r>
      <w:r>
        <w:fldChar w:fldCharType="separate"/>
      </w:r>
      <w:r>
        <w:rPr>
          <w:rStyle w:val="17"/>
          <w:rFonts w:hint="eastAsia"/>
        </w:rPr>
        <w:t>第</w:t>
      </w:r>
      <w:r>
        <w:rPr>
          <w:rStyle w:val="17"/>
          <w:rFonts w:hint="eastAsia"/>
          <w:bCs/>
          <w:kern w:val="44"/>
        </w:rPr>
        <w:t>四部分</w:t>
      </w:r>
      <w:r>
        <w:rPr>
          <w:rStyle w:val="17"/>
          <w:bCs/>
          <w:kern w:val="44"/>
        </w:rPr>
        <w:t xml:space="preserve"> </w:t>
      </w:r>
      <w:r>
        <w:rPr>
          <w:rStyle w:val="17"/>
          <w:rFonts w:hint="eastAsia"/>
          <w:bCs/>
          <w:kern w:val="44"/>
        </w:rPr>
        <w:t>附件</w:t>
      </w:r>
      <w:r>
        <w:rPr>
          <w:rStyle w:val="17"/>
          <w:rFonts w:hint="eastAsia"/>
          <w:bCs/>
          <w:kern w:val="44"/>
        </w:rPr>
        <w:fldChar w:fldCharType="end"/>
      </w:r>
    </w:p>
    <w:p>
      <w:pPr>
        <w:pStyle w:val="13"/>
        <w:spacing w:line="560" w:lineRule="exact"/>
        <w:rPr>
          <w:rFonts w:ascii="仿宋" w:hAnsi="仿宋" w:eastAsia="仿宋" w:cstheme="minorBidi"/>
          <w:sz w:val="28"/>
          <w:szCs w:val="28"/>
        </w:rPr>
      </w:pPr>
      <w:r>
        <w:fldChar w:fldCharType="begin"/>
      </w:r>
      <w:r>
        <w:instrText xml:space="preserve"> HYPERLINK \l "_Toc15396615" </w:instrText>
      </w:r>
      <w:r>
        <w:fldChar w:fldCharType="separate"/>
      </w:r>
      <w:r>
        <w:rPr>
          <w:rStyle w:val="17"/>
          <w:rFonts w:hint="eastAsia" w:ascii="仿宋" w:hAnsi="仿宋" w:eastAsia="仿宋"/>
          <w:kern w:val="44"/>
          <w:sz w:val="28"/>
          <w:szCs w:val="28"/>
        </w:rPr>
        <w:t>附件</w:t>
      </w:r>
      <w:r>
        <w:rPr>
          <w:rStyle w:val="17"/>
          <w:rFonts w:ascii="仿宋" w:hAnsi="仿宋" w:eastAsia="仿宋"/>
          <w:kern w:val="44"/>
          <w:sz w:val="28"/>
          <w:szCs w:val="28"/>
        </w:rPr>
        <w:t>1</w:t>
      </w:r>
      <w:r>
        <w:rPr>
          <w:rStyle w:val="17"/>
          <w:rFonts w:ascii="仿宋" w:hAnsi="仿宋" w:eastAsia="仿宋"/>
          <w:kern w:val="44"/>
          <w:sz w:val="28"/>
          <w:szCs w:val="28"/>
        </w:rPr>
        <w:fldChar w:fldCharType="end"/>
      </w:r>
    </w:p>
    <w:p>
      <w:pPr>
        <w:pStyle w:val="13"/>
        <w:spacing w:line="560" w:lineRule="exact"/>
        <w:rPr>
          <w:rFonts w:ascii="仿宋" w:hAnsi="仿宋" w:eastAsia="仿宋" w:cstheme="minorBidi"/>
          <w:sz w:val="28"/>
          <w:szCs w:val="28"/>
        </w:rPr>
      </w:pPr>
      <w:r>
        <w:fldChar w:fldCharType="begin"/>
      </w:r>
      <w:r>
        <w:instrText xml:space="preserve"> HYPERLINK \l "_Toc15396617" </w:instrText>
      </w:r>
      <w:r>
        <w:fldChar w:fldCharType="separate"/>
      </w:r>
      <w:r>
        <w:rPr>
          <w:rStyle w:val="17"/>
          <w:rFonts w:hint="eastAsia" w:ascii="仿宋" w:hAnsi="仿宋" w:eastAsia="仿宋"/>
          <w:kern w:val="44"/>
          <w:sz w:val="28"/>
          <w:szCs w:val="28"/>
        </w:rPr>
        <w:t>附件</w:t>
      </w:r>
      <w:r>
        <w:rPr>
          <w:rStyle w:val="17"/>
          <w:rFonts w:ascii="仿宋" w:hAnsi="仿宋" w:eastAsia="仿宋"/>
          <w:kern w:val="44"/>
          <w:sz w:val="28"/>
          <w:szCs w:val="28"/>
        </w:rPr>
        <w:t>2</w:t>
      </w:r>
      <w:r>
        <w:rPr>
          <w:rStyle w:val="17"/>
          <w:rFonts w:ascii="仿宋" w:hAnsi="仿宋" w:eastAsia="仿宋"/>
          <w:kern w:val="44"/>
          <w:sz w:val="28"/>
          <w:szCs w:val="28"/>
        </w:rPr>
        <w:fldChar w:fldCharType="end"/>
      </w:r>
    </w:p>
    <w:p>
      <w:pPr>
        <w:pStyle w:val="12"/>
        <w:spacing w:line="560" w:lineRule="exact"/>
        <w:rPr>
          <w:rFonts w:cstheme="minorBidi"/>
        </w:rPr>
      </w:pPr>
      <w:r>
        <w:fldChar w:fldCharType="begin"/>
      </w:r>
      <w:r>
        <w:instrText xml:space="preserve"> HYPERLINK \l "_Toc15396618" </w:instrText>
      </w:r>
      <w:r>
        <w:fldChar w:fldCharType="separate"/>
      </w:r>
      <w:r>
        <w:rPr>
          <w:rStyle w:val="17"/>
          <w:rFonts w:hint="eastAsia"/>
        </w:rPr>
        <w:t>第</w:t>
      </w:r>
      <w:r>
        <w:rPr>
          <w:rStyle w:val="17"/>
          <w:rFonts w:hint="eastAsia"/>
          <w:bCs/>
          <w:kern w:val="44"/>
        </w:rPr>
        <w:t>五部分</w:t>
      </w:r>
      <w:r>
        <w:rPr>
          <w:rStyle w:val="17"/>
          <w:bCs/>
          <w:kern w:val="44"/>
        </w:rPr>
        <w:t xml:space="preserve"> </w:t>
      </w:r>
      <w:r>
        <w:rPr>
          <w:rStyle w:val="17"/>
          <w:rFonts w:hint="eastAsia"/>
          <w:bCs/>
          <w:kern w:val="44"/>
        </w:rPr>
        <w:t>附表</w:t>
      </w:r>
      <w:r>
        <w:rPr>
          <w:rStyle w:val="17"/>
          <w:rFonts w:hint="eastAsia"/>
          <w:bCs/>
          <w:kern w:val="44"/>
        </w:rPr>
        <w:fldChar w:fldCharType="end"/>
      </w:r>
    </w:p>
    <w:p>
      <w:pPr>
        <w:pStyle w:val="13"/>
        <w:spacing w:line="560" w:lineRule="exact"/>
        <w:rPr>
          <w:rFonts w:ascii="仿宋" w:hAnsi="仿宋" w:eastAsia="仿宋" w:cstheme="minorBidi"/>
          <w:sz w:val="28"/>
          <w:szCs w:val="28"/>
        </w:rPr>
      </w:pPr>
      <w:r>
        <w:rPr>
          <w:rFonts w:hint="eastAsia" w:ascii="仿宋" w:hAnsi="仿宋" w:eastAsia="仿宋"/>
          <w:sz w:val="28"/>
          <w:szCs w:val="28"/>
        </w:rPr>
        <w:t>一、</w:t>
      </w:r>
      <w:r>
        <w:fldChar w:fldCharType="begin"/>
      </w:r>
      <w:r>
        <w:instrText xml:space="preserve"> HYPERLINK \l "_Toc15396619" </w:instrText>
      </w:r>
      <w:r>
        <w:fldChar w:fldCharType="separate"/>
      </w:r>
      <w:r>
        <w:rPr>
          <w:rStyle w:val="17"/>
          <w:rFonts w:hint="eastAsia" w:ascii="仿宋" w:hAnsi="仿宋" w:eastAsia="仿宋"/>
          <w:sz w:val="28"/>
          <w:szCs w:val="28"/>
        </w:rPr>
        <w:t>收入支出决算总表</w:t>
      </w:r>
      <w:r>
        <w:rPr>
          <w:rStyle w:val="17"/>
          <w:rFonts w:hint="eastAsia" w:ascii="仿宋" w:hAnsi="仿宋" w:eastAsia="仿宋"/>
          <w:sz w:val="28"/>
          <w:szCs w:val="28"/>
        </w:rPr>
        <w:fldChar w:fldCharType="end"/>
      </w:r>
    </w:p>
    <w:p>
      <w:pPr>
        <w:pStyle w:val="13"/>
        <w:spacing w:line="560" w:lineRule="exact"/>
        <w:rPr>
          <w:rFonts w:ascii="仿宋" w:hAnsi="仿宋" w:eastAsia="仿宋" w:cstheme="minorBidi"/>
          <w:sz w:val="28"/>
          <w:szCs w:val="28"/>
        </w:rPr>
      </w:pPr>
      <w:r>
        <w:rPr>
          <w:rFonts w:hint="eastAsia" w:ascii="仿宋" w:hAnsi="仿宋" w:eastAsia="仿宋"/>
          <w:sz w:val="28"/>
          <w:szCs w:val="28"/>
        </w:rPr>
        <w:t>二、</w:t>
      </w:r>
      <w:r>
        <w:fldChar w:fldCharType="begin"/>
      </w:r>
      <w:r>
        <w:instrText xml:space="preserve"> HYPERLINK \l "_Toc15396620" </w:instrText>
      </w:r>
      <w:r>
        <w:fldChar w:fldCharType="separate"/>
      </w:r>
      <w:r>
        <w:rPr>
          <w:rStyle w:val="17"/>
          <w:rFonts w:hint="eastAsia" w:ascii="仿宋" w:hAnsi="仿宋" w:eastAsia="仿宋"/>
          <w:sz w:val="28"/>
          <w:szCs w:val="28"/>
        </w:rPr>
        <w:t>收入总表</w:t>
      </w:r>
      <w:r>
        <w:rPr>
          <w:rStyle w:val="17"/>
          <w:rFonts w:hint="eastAsia" w:ascii="仿宋" w:hAnsi="仿宋" w:eastAsia="仿宋"/>
          <w:sz w:val="28"/>
          <w:szCs w:val="28"/>
        </w:rPr>
        <w:fldChar w:fldCharType="end"/>
      </w:r>
    </w:p>
    <w:p>
      <w:pPr>
        <w:pStyle w:val="13"/>
        <w:spacing w:line="560" w:lineRule="exact"/>
        <w:rPr>
          <w:rFonts w:ascii="仿宋" w:hAnsi="仿宋" w:eastAsia="仿宋" w:cstheme="minorBidi"/>
          <w:sz w:val="28"/>
          <w:szCs w:val="28"/>
        </w:rPr>
      </w:pPr>
      <w:r>
        <w:rPr>
          <w:rFonts w:hint="eastAsia" w:ascii="仿宋" w:hAnsi="仿宋" w:eastAsia="仿宋"/>
          <w:sz w:val="28"/>
          <w:szCs w:val="28"/>
        </w:rPr>
        <w:t>三、</w:t>
      </w:r>
      <w:r>
        <w:fldChar w:fldCharType="begin"/>
      </w:r>
      <w:r>
        <w:instrText xml:space="preserve"> HYPERLINK \l "_Toc15396621" </w:instrText>
      </w:r>
      <w:r>
        <w:fldChar w:fldCharType="separate"/>
      </w:r>
      <w:r>
        <w:rPr>
          <w:rStyle w:val="17"/>
          <w:rFonts w:hint="eastAsia" w:ascii="仿宋" w:hAnsi="仿宋" w:eastAsia="仿宋"/>
          <w:sz w:val="28"/>
          <w:szCs w:val="28"/>
        </w:rPr>
        <w:t>支出总表</w:t>
      </w:r>
      <w:r>
        <w:rPr>
          <w:rStyle w:val="17"/>
          <w:rFonts w:hint="eastAsia" w:ascii="仿宋" w:hAnsi="仿宋" w:eastAsia="仿宋"/>
          <w:sz w:val="28"/>
          <w:szCs w:val="28"/>
        </w:rPr>
        <w:fldChar w:fldCharType="end"/>
      </w:r>
    </w:p>
    <w:p>
      <w:pPr>
        <w:pStyle w:val="13"/>
        <w:spacing w:line="560" w:lineRule="exact"/>
        <w:rPr>
          <w:rFonts w:ascii="仿宋" w:hAnsi="仿宋" w:eastAsia="仿宋" w:cstheme="minorBidi"/>
          <w:sz w:val="28"/>
          <w:szCs w:val="28"/>
        </w:rPr>
      </w:pPr>
      <w:r>
        <w:rPr>
          <w:rFonts w:hint="eastAsia" w:ascii="仿宋" w:hAnsi="仿宋" w:eastAsia="仿宋"/>
          <w:sz w:val="28"/>
          <w:szCs w:val="28"/>
        </w:rPr>
        <w:t>四、</w:t>
      </w:r>
      <w:r>
        <w:fldChar w:fldCharType="begin"/>
      </w:r>
      <w:r>
        <w:instrText xml:space="preserve"> HYPERLINK \l "_Toc15396622" </w:instrText>
      </w:r>
      <w:r>
        <w:fldChar w:fldCharType="separate"/>
      </w:r>
      <w:r>
        <w:rPr>
          <w:rStyle w:val="17"/>
          <w:rFonts w:hint="eastAsia" w:ascii="仿宋" w:hAnsi="仿宋" w:eastAsia="仿宋"/>
          <w:sz w:val="28"/>
          <w:szCs w:val="28"/>
        </w:rPr>
        <w:t>财政拨款收入支出决算总表</w:t>
      </w:r>
      <w:r>
        <w:rPr>
          <w:rStyle w:val="17"/>
          <w:rFonts w:hint="eastAsia" w:ascii="仿宋" w:hAnsi="仿宋" w:eastAsia="仿宋"/>
          <w:sz w:val="28"/>
          <w:szCs w:val="28"/>
        </w:rPr>
        <w:fldChar w:fldCharType="end"/>
      </w:r>
    </w:p>
    <w:p>
      <w:pPr>
        <w:pStyle w:val="13"/>
        <w:spacing w:line="560" w:lineRule="exact"/>
        <w:rPr>
          <w:rFonts w:ascii="仿宋" w:hAnsi="仿宋" w:eastAsia="仿宋"/>
          <w:sz w:val="28"/>
          <w:szCs w:val="28"/>
        </w:rPr>
      </w:pPr>
      <w:r>
        <w:rPr>
          <w:rFonts w:hint="eastAsia" w:ascii="仿宋" w:hAnsi="仿宋" w:eastAsia="仿宋"/>
          <w:sz w:val="28"/>
          <w:szCs w:val="28"/>
        </w:rPr>
        <w:t>五、</w:t>
      </w:r>
      <w:r>
        <w:fldChar w:fldCharType="begin"/>
      </w:r>
      <w:r>
        <w:instrText xml:space="preserve"> HYPERLINK \l "_Toc15396623" </w:instrText>
      </w:r>
      <w:r>
        <w:fldChar w:fldCharType="separate"/>
      </w:r>
      <w:r>
        <w:rPr>
          <w:rFonts w:hint="eastAsia" w:ascii="仿宋" w:hAnsi="仿宋" w:eastAsia="仿宋"/>
          <w:sz w:val="28"/>
          <w:szCs w:val="28"/>
        </w:rPr>
        <w:t>财政拨款支出决算明细表（政府经济分类科目）</w:t>
      </w:r>
      <w:r>
        <w:rPr>
          <w:rFonts w:hint="eastAsia" w:ascii="仿宋" w:hAnsi="仿宋" w:eastAsia="仿宋"/>
          <w:sz w:val="28"/>
          <w:szCs w:val="28"/>
        </w:rPr>
        <w:fldChar w:fldCharType="end"/>
      </w:r>
    </w:p>
    <w:p>
      <w:pPr>
        <w:pStyle w:val="13"/>
        <w:spacing w:line="560" w:lineRule="exact"/>
        <w:rPr>
          <w:rFonts w:ascii="仿宋" w:hAnsi="仿宋" w:eastAsia="仿宋" w:cstheme="minorBidi"/>
          <w:sz w:val="28"/>
          <w:szCs w:val="28"/>
        </w:rPr>
      </w:pPr>
      <w:r>
        <w:rPr>
          <w:rFonts w:hint="eastAsia" w:ascii="仿宋" w:hAnsi="仿宋" w:eastAsia="仿宋"/>
          <w:sz w:val="28"/>
          <w:szCs w:val="28"/>
        </w:rPr>
        <w:t>六、</w:t>
      </w:r>
      <w:r>
        <w:fldChar w:fldCharType="begin"/>
      </w:r>
      <w:r>
        <w:instrText xml:space="preserve"> HYPERLINK \l "_Toc15396624" </w:instrText>
      </w:r>
      <w:r>
        <w:fldChar w:fldCharType="separate"/>
      </w:r>
      <w:r>
        <w:rPr>
          <w:rStyle w:val="17"/>
          <w:rFonts w:hint="eastAsia" w:ascii="仿宋" w:hAnsi="仿宋" w:eastAsia="仿宋"/>
          <w:sz w:val="28"/>
          <w:szCs w:val="28"/>
        </w:rPr>
        <w:t>一般公共预算财政拨款支出决算表</w:t>
      </w:r>
      <w:r>
        <w:rPr>
          <w:rStyle w:val="17"/>
          <w:rFonts w:hint="eastAsia" w:ascii="仿宋" w:hAnsi="仿宋" w:eastAsia="仿宋"/>
          <w:sz w:val="28"/>
          <w:szCs w:val="28"/>
        </w:rPr>
        <w:fldChar w:fldCharType="end"/>
      </w:r>
    </w:p>
    <w:p>
      <w:pPr>
        <w:pStyle w:val="13"/>
        <w:spacing w:line="560" w:lineRule="exact"/>
        <w:rPr>
          <w:rFonts w:ascii="仿宋" w:hAnsi="仿宋" w:eastAsia="仿宋" w:cstheme="minorBidi"/>
          <w:sz w:val="28"/>
          <w:szCs w:val="28"/>
        </w:rPr>
      </w:pPr>
      <w:r>
        <w:rPr>
          <w:rFonts w:hint="eastAsia" w:ascii="仿宋" w:hAnsi="仿宋" w:eastAsia="仿宋"/>
          <w:sz w:val="28"/>
          <w:szCs w:val="28"/>
        </w:rPr>
        <w:t>七、</w:t>
      </w:r>
      <w:r>
        <w:fldChar w:fldCharType="begin"/>
      </w:r>
      <w:r>
        <w:instrText xml:space="preserve"> HYPERLINK \l "_Toc15396625" </w:instrText>
      </w:r>
      <w:r>
        <w:fldChar w:fldCharType="separate"/>
      </w:r>
      <w:r>
        <w:rPr>
          <w:rStyle w:val="17"/>
          <w:rFonts w:hint="eastAsia" w:ascii="仿宋" w:hAnsi="仿宋" w:eastAsia="仿宋"/>
          <w:sz w:val="28"/>
          <w:szCs w:val="28"/>
        </w:rPr>
        <w:t>一般公共预算财政拨款支出决算明细表</w:t>
      </w:r>
      <w:r>
        <w:rPr>
          <w:rStyle w:val="17"/>
          <w:rFonts w:hint="eastAsia" w:ascii="仿宋" w:hAnsi="仿宋" w:eastAsia="仿宋"/>
          <w:sz w:val="28"/>
          <w:szCs w:val="28"/>
        </w:rPr>
        <w:fldChar w:fldCharType="end"/>
      </w:r>
    </w:p>
    <w:p>
      <w:pPr>
        <w:pStyle w:val="13"/>
        <w:spacing w:line="560" w:lineRule="exact"/>
        <w:rPr>
          <w:rFonts w:ascii="仿宋" w:hAnsi="仿宋" w:eastAsia="仿宋" w:cstheme="minorBidi"/>
          <w:sz w:val="28"/>
          <w:szCs w:val="28"/>
        </w:rPr>
      </w:pPr>
      <w:r>
        <w:rPr>
          <w:rFonts w:hint="eastAsia" w:ascii="仿宋" w:hAnsi="仿宋" w:eastAsia="仿宋"/>
          <w:sz w:val="28"/>
          <w:szCs w:val="28"/>
        </w:rPr>
        <w:t>八、</w:t>
      </w:r>
      <w:r>
        <w:fldChar w:fldCharType="begin"/>
      </w:r>
      <w:r>
        <w:instrText xml:space="preserve"> HYPERLINK \l "_Toc15396626" </w:instrText>
      </w:r>
      <w:r>
        <w:fldChar w:fldCharType="separate"/>
      </w:r>
      <w:r>
        <w:rPr>
          <w:rStyle w:val="17"/>
          <w:rFonts w:hint="eastAsia" w:ascii="仿宋" w:hAnsi="仿宋" w:eastAsia="仿宋"/>
          <w:sz w:val="28"/>
          <w:szCs w:val="28"/>
        </w:rPr>
        <w:t>一般公共预算财政拨款基本支出决算表</w:t>
      </w:r>
      <w:r>
        <w:rPr>
          <w:rStyle w:val="17"/>
          <w:rFonts w:hint="eastAsia" w:ascii="仿宋" w:hAnsi="仿宋" w:eastAsia="仿宋"/>
          <w:sz w:val="28"/>
          <w:szCs w:val="28"/>
        </w:rPr>
        <w:fldChar w:fldCharType="end"/>
      </w:r>
    </w:p>
    <w:p>
      <w:pPr>
        <w:pStyle w:val="13"/>
        <w:spacing w:line="560" w:lineRule="exact"/>
        <w:rPr>
          <w:rFonts w:ascii="仿宋" w:hAnsi="仿宋" w:eastAsia="仿宋" w:cstheme="minorBidi"/>
          <w:sz w:val="28"/>
          <w:szCs w:val="28"/>
        </w:rPr>
      </w:pPr>
      <w:r>
        <w:rPr>
          <w:rFonts w:hint="eastAsia" w:ascii="仿宋" w:hAnsi="仿宋" w:eastAsia="仿宋"/>
          <w:sz w:val="28"/>
          <w:szCs w:val="28"/>
        </w:rPr>
        <w:t>九、</w:t>
      </w:r>
      <w:r>
        <w:fldChar w:fldCharType="begin"/>
      </w:r>
      <w:r>
        <w:instrText xml:space="preserve"> HYPERLINK \l "_Toc15396627" </w:instrText>
      </w:r>
      <w:r>
        <w:fldChar w:fldCharType="separate"/>
      </w:r>
      <w:r>
        <w:rPr>
          <w:rStyle w:val="17"/>
          <w:rFonts w:hint="eastAsia" w:ascii="仿宋" w:hAnsi="仿宋" w:eastAsia="仿宋"/>
          <w:sz w:val="28"/>
          <w:szCs w:val="28"/>
        </w:rPr>
        <w:t>一般公共预算财政拨款项目支出决算表</w:t>
      </w:r>
      <w:r>
        <w:rPr>
          <w:rStyle w:val="17"/>
          <w:rFonts w:hint="eastAsia" w:ascii="仿宋" w:hAnsi="仿宋" w:eastAsia="仿宋"/>
          <w:sz w:val="28"/>
          <w:szCs w:val="28"/>
        </w:rPr>
        <w:fldChar w:fldCharType="end"/>
      </w:r>
    </w:p>
    <w:p>
      <w:pPr>
        <w:pStyle w:val="13"/>
        <w:spacing w:line="560" w:lineRule="exact"/>
        <w:rPr>
          <w:rFonts w:ascii="仿宋" w:hAnsi="仿宋" w:eastAsia="仿宋" w:cstheme="minorBidi"/>
          <w:sz w:val="28"/>
          <w:szCs w:val="28"/>
        </w:rPr>
      </w:pPr>
      <w:r>
        <w:rPr>
          <w:rFonts w:hint="eastAsia" w:ascii="仿宋" w:hAnsi="仿宋" w:eastAsia="仿宋"/>
          <w:sz w:val="28"/>
          <w:szCs w:val="28"/>
        </w:rPr>
        <w:t>十、</w:t>
      </w:r>
      <w:r>
        <w:fldChar w:fldCharType="begin"/>
      </w:r>
      <w:r>
        <w:instrText xml:space="preserve"> HYPERLINK \l "_Toc15396628" </w:instrText>
      </w:r>
      <w:r>
        <w:fldChar w:fldCharType="separate"/>
      </w:r>
      <w:r>
        <w:rPr>
          <w:rStyle w:val="17"/>
          <w:rFonts w:hint="eastAsia" w:ascii="仿宋" w:hAnsi="仿宋" w:eastAsia="仿宋"/>
          <w:sz w:val="28"/>
          <w:szCs w:val="28"/>
        </w:rPr>
        <w:t>一般公共预算财政拨款“三公”经费支出决算表</w:t>
      </w:r>
      <w:r>
        <w:rPr>
          <w:rStyle w:val="17"/>
          <w:rFonts w:hint="eastAsia" w:ascii="仿宋" w:hAnsi="仿宋" w:eastAsia="仿宋"/>
          <w:sz w:val="28"/>
          <w:szCs w:val="28"/>
        </w:rPr>
        <w:fldChar w:fldCharType="end"/>
      </w:r>
    </w:p>
    <w:p>
      <w:pPr>
        <w:pStyle w:val="13"/>
        <w:spacing w:line="560" w:lineRule="exact"/>
        <w:rPr>
          <w:rFonts w:ascii="仿宋" w:hAnsi="仿宋" w:eastAsia="仿宋" w:cstheme="minorBidi"/>
          <w:sz w:val="28"/>
          <w:szCs w:val="28"/>
        </w:rPr>
      </w:pPr>
      <w:r>
        <w:rPr>
          <w:rFonts w:hint="eastAsia" w:ascii="仿宋" w:hAnsi="仿宋" w:eastAsia="仿宋"/>
          <w:sz w:val="28"/>
          <w:szCs w:val="28"/>
        </w:rPr>
        <w:t>十一、</w:t>
      </w:r>
      <w:r>
        <w:fldChar w:fldCharType="begin"/>
      </w:r>
      <w:r>
        <w:instrText xml:space="preserve"> HYPERLINK \l "_Toc15396629" </w:instrText>
      </w:r>
      <w:r>
        <w:fldChar w:fldCharType="separate"/>
      </w:r>
      <w:r>
        <w:rPr>
          <w:rStyle w:val="17"/>
          <w:rFonts w:hint="eastAsia" w:ascii="仿宋" w:hAnsi="仿宋" w:eastAsia="仿宋"/>
          <w:sz w:val="28"/>
          <w:szCs w:val="28"/>
        </w:rPr>
        <w:t>政府性基金预算财政拨款收入支出决算表</w:t>
      </w:r>
      <w:r>
        <w:rPr>
          <w:rStyle w:val="17"/>
          <w:rFonts w:hint="eastAsia" w:ascii="仿宋" w:hAnsi="仿宋" w:eastAsia="仿宋"/>
          <w:sz w:val="28"/>
          <w:szCs w:val="28"/>
        </w:rPr>
        <w:fldChar w:fldCharType="end"/>
      </w:r>
    </w:p>
    <w:p>
      <w:pPr>
        <w:pStyle w:val="13"/>
        <w:spacing w:line="560" w:lineRule="exact"/>
        <w:rPr>
          <w:rFonts w:ascii="仿宋" w:hAnsi="仿宋" w:eastAsia="仿宋" w:cstheme="minorBidi"/>
          <w:sz w:val="28"/>
          <w:szCs w:val="28"/>
        </w:rPr>
      </w:pPr>
      <w:r>
        <w:rPr>
          <w:rFonts w:hint="eastAsia" w:ascii="仿宋" w:hAnsi="仿宋" w:eastAsia="仿宋"/>
          <w:sz w:val="28"/>
          <w:szCs w:val="28"/>
        </w:rPr>
        <w:t>十二、</w:t>
      </w:r>
      <w:r>
        <w:fldChar w:fldCharType="begin"/>
      </w:r>
      <w:r>
        <w:instrText xml:space="preserve"> HYPERLINK \l "_Toc15396630" </w:instrText>
      </w:r>
      <w:r>
        <w:fldChar w:fldCharType="separate"/>
      </w:r>
      <w:r>
        <w:rPr>
          <w:rStyle w:val="17"/>
          <w:rFonts w:hint="eastAsia" w:ascii="仿宋" w:hAnsi="仿宋" w:eastAsia="仿宋"/>
          <w:sz w:val="28"/>
          <w:szCs w:val="28"/>
        </w:rPr>
        <w:t>政府性基金预算财政拨款“三公”经费支出决算表</w:t>
      </w:r>
      <w:r>
        <w:rPr>
          <w:rStyle w:val="17"/>
          <w:rFonts w:hint="eastAsia" w:ascii="仿宋" w:hAnsi="仿宋" w:eastAsia="仿宋"/>
          <w:sz w:val="28"/>
          <w:szCs w:val="28"/>
        </w:rPr>
        <w:fldChar w:fldCharType="end"/>
      </w:r>
    </w:p>
    <w:p>
      <w:pPr>
        <w:pStyle w:val="13"/>
        <w:spacing w:line="560" w:lineRule="exact"/>
        <w:rPr>
          <w:rFonts w:ascii="仿宋" w:hAnsi="仿宋" w:eastAsia="仿宋" w:cstheme="minorBidi"/>
          <w:sz w:val="24"/>
        </w:rPr>
      </w:pPr>
      <w:r>
        <w:rPr>
          <w:rFonts w:hint="eastAsia" w:ascii="仿宋" w:hAnsi="仿宋" w:eastAsia="仿宋"/>
          <w:sz w:val="28"/>
          <w:szCs w:val="28"/>
        </w:rPr>
        <w:t>十三、</w:t>
      </w:r>
      <w:r>
        <w:fldChar w:fldCharType="begin"/>
      </w:r>
      <w:r>
        <w:instrText xml:space="preserve"> HYPERLINK \l "_Toc15396631" </w:instrText>
      </w:r>
      <w:r>
        <w:fldChar w:fldCharType="separate"/>
      </w:r>
      <w:r>
        <w:rPr>
          <w:rStyle w:val="17"/>
          <w:rFonts w:hint="eastAsia" w:ascii="仿宋" w:hAnsi="仿宋" w:eastAsia="仿宋"/>
          <w:sz w:val="28"/>
          <w:szCs w:val="28"/>
        </w:rPr>
        <w:t>国有资本经营预算支出决算表</w:t>
      </w:r>
      <w:r>
        <w:rPr>
          <w:rStyle w:val="17"/>
          <w:rFonts w:hint="eastAsia" w:ascii="仿宋" w:hAnsi="仿宋" w:eastAsia="仿宋"/>
          <w:sz w:val="28"/>
          <w:szCs w:val="28"/>
        </w:rPr>
        <w:fldChar w:fldCharType="end"/>
      </w:r>
    </w:p>
    <w:p>
      <w:pPr>
        <w:widowControl/>
        <w:spacing w:line="560" w:lineRule="exact"/>
        <w:jc w:val="left"/>
        <w:rPr>
          <w:rFonts w:ascii="仿宋" w:hAnsi="仿宋" w:eastAsia="仿宋"/>
          <w:color w:val="000000"/>
          <w:sz w:val="24"/>
        </w:rPr>
      </w:pPr>
      <w:r>
        <w:rPr>
          <w:rFonts w:ascii="仿宋" w:hAnsi="仿宋" w:eastAsia="仿宋"/>
          <w:color w:val="000000"/>
          <w:sz w:val="24"/>
        </w:rPr>
        <w:fldChar w:fldCharType="end"/>
      </w:r>
    </w:p>
    <w:p>
      <w:pPr>
        <w:widowControl/>
        <w:spacing w:line="560" w:lineRule="exact"/>
        <w:jc w:val="left"/>
        <w:rPr>
          <w:rFonts w:ascii="黑体" w:hAnsi="黑体" w:eastAsia="黑体"/>
          <w:bCs/>
          <w:kern w:val="44"/>
          <w:sz w:val="44"/>
          <w:szCs w:val="44"/>
        </w:rPr>
      </w:pPr>
      <w:bookmarkStart w:id="12" w:name="_Toc15396599"/>
      <w:bookmarkStart w:id="13" w:name="_Toc15377196"/>
      <w:r>
        <w:rPr>
          <w:rFonts w:ascii="黑体" w:hAnsi="黑体" w:eastAsia="黑体"/>
          <w:b/>
        </w:rPr>
        <w:br w:type="page"/>
      </w:r>
    </w:p>
    <w:p>
      <w:pPr>
        <w:pStyle w:val="4"/>
        <w:spacing w:line="560" w:lineRule="exact"/>
        <w:jc w:val="center"/>
        <w:rPr>
          <w:rStyle w:val="27"/>
          <w:rFonts w:ascii="黑体" w:hAnsi="黑体" w:eastAsia="黑体"/>
          <w:b/>
          <w:bCs w:val="0"/>
        </w:rPr>
      </w:pPr>
      <w:r>
        <w:rPr>
          <w:rFonts w:hint="eastAsia" w:ascii="黑体" w:hAnsi="黑体" w:eastAsia="黑体"/>
          <w:b w:val="0"/>
        </w:rPr>
        <w:t xml:space="preserve">第一部分 </w:t>
      </w:r>
      <w:r>
        <w:rPr>
          <w:rStyle w:val="27"/>
          <w:rFonts w:hint="eastAsia" w:ascii="黑体" w:hAnsi="黑体" w:eastAsia="黑体"/>
          <w:b w:val="0"/>
          <w:bCs w:val="0"/>
        </w:rPr>
        <w:t>部门概况</w:t>
      </w:r>
      <w:bookmarkEnd w:id="12"/>
      <w:bookmarkEnd w:id="13"/>
    </w:p>
    <w:p>
      <w:pPr>
        <w:widowControl/>
        <w:spacing w:line="560" w:lineRule="exact"/>
        <w:jc w:val="left"/>
        <w:rPr>
          <w:rFonts w:ascii="黑体" w:eastAsia="黑体"/>
          <w:color w:val="000000"/>
          <w:sz w:val="32"/>
          <w:szCs w:val="32"/>
        </w:rPr>
      </w:pPr>
    </w:p>
    <w:p>
      <w:pPr>
        <w:pStyle w:val="5"/>
        <w:spacing w:line="560" w:lineRule="exact"/>
        <w:rPr>
          <w:rStyle w:val="28"/>
          <w:rFonts w:ascii="仿宋" w:hAnsi="仿宋" w:eastAsia="仿宋"/>
          <w:b w:val="0"/>
          <w:bCs w:val="0"/>
        </w:rPr>
      </w:pPr>
      <w:bookmarkStart w:id="14" w:name="_Toc15377197"/>
      <w:bookmarkStart w:id="15" w:name="_Toc15396600"/>
      <w:r>
        <w:rPr>
          <w:rFonts w:hint="eastAsia" w:ascii="黑体" w:hAnsi="黑体" w:eastAsia="黑体"/>
          <w:b w:val="0"/>
          <w:color w:val="000000"/>
        </w:rPr>
        <w:t>一、基</w:t>
      </w:r>
      <w:r>
        <w:rPr>
          <w:rStyle w:val="28"/>
          <w:rFonts w:hint="eastAsia" w:ascii="黑体" w:hAnsi="黑体" w:eastAsia="黑体"/>
          <w:b w:val="0"/>
          <w:bCs w:val="0"/>
        </w:rPr>
        <w:t>本职能及主要工作</w:t>
      </w:r>
      <w:bookmarkEnd w:id="14"/>
      <w:bookmarkEnd w:id="15"/>
    </w:p>
    <w:p>
      <w:pPr>
        <w:spacing w:line="560" w:lineRule="exact"/>
        <w:ind w:firstLine="640"/>
        <w:rPr>
          <w:rFonts w:ascii="仿宋_GB2312" w:hAnsi="仿宋_GB2312" w:eastAsia="仿宋_GB2312" w:cs="仿宋_GB2312"/>
          <w:sz w:val="32"/>
          <w:szCs w:val="32"/>
        </w:rPr>
      </w:pPr>
      <w:bookmarkStart w:id="16" w:name="_Toc15377198"/>
      <w:bookmarkStart w:id="17" w:name="_Toc15378445"/>
      <w:r>
        <w:rPr>
          <w:rFonts w:hint="eastAsia" w:ascii="仿宋_GB2312" w:hAnsi="仿宋_GB2312" w:eastAsia="仿宋_GB2312" w:cs="仿宋_GB2312"/>
          <w:sz w:val="32"/>
          <w:szCs w:val="32"/>
        </w:rPr>
        <w:t>（一）负责党和国家领导人（含曾经担任）、省委、省人大、省政府、省政协副省级以上、州委、州人大、州政府、州政协副厅级领导（含曾经但任）来县的服务保障。</w:t>
      </w:r>
    </w:p>
    <w:p>
      <w:pPr>
        <w:spacing w:line="56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（二）按照有关规定负责和参与党中央、国务院、省委、省政府、州委、州政府巡视、检查、督查（督导、督察）、考察、调研、考核、审计等工作组来县的服务保障。</w:t>
      </w:r>
    </w:p>
    <w:p>
      <w:pPr>
        <w:spacing w:line="56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三）负责外省（州、市、区、县）党委、政府正、副县级领导干部来县的服务保障；会同县级有关部门承担中央和国家机关各部委正、副部级领导干部、省委、省政府正、副省级、州委、州政府领导干部来县的服务保障；参与县人大常委会办公室、县政协办公室牵头对口接待正、副厅级领导干部来县的服务保障。</w:t>
      </w:r>
    </w:p>
    <w:p>
      <w:pPr>
        <w:spacing w:line="56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（四）负责或参与外省（州、市、区、县）党政代表团来县考察的协调联络和服务保障。</w:t>
      </w:r>
    </w:p>
    <w:p>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（五）负责我县党政代表团赴外省（州、市、区、县）考察的协调联络和服务保障。</w:t>
      </w:r>
    </w:p>
    <w:p>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（六）负责县委、县政府交办的由县公务服务中心承担的外事接待和招商引资事项的服务保障。</w:t>
      </w:r>
    </w:p>
    <w:p>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（七）按照中央八项规定和省委、省政府十项规定及其实施细则要求，负责联系协调县级有关部门及关联单位承办州委、州政府重大公务活动的服务工作。</w:t>
      </w:r>
    </w:p>
    <w:p>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（八）会同县级有关部门承担县委、县政府交办的大型会议、活动的接待服务保障工作。</w:t>
      </w:r>
    </w:p>
    <w:p>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（九）指导县级部门的公务活动服务保障工作，参与拟订全县公务服务相关规定。</w:t>
      </w:r>
    </w:p>
    <w:p>
      <w:pPr>
        <w:spacing w:line="56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（十）负责办理中办警卫局、省警卫局安排的有关在县事务。    </w:t>
      </w:r>
    </w:p>
    <w:p>
      <w:pPr>
        <w:spacing w:line="56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（十一）负责县级机关食堂管理工作。</w:t>
      </w:r>
    </w:p>
    <w:p>
      <w:pPr>
        <w:spacing w:line="56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（十二）完成县委、县政府交办的其他任务。</w:t>
      </w:r>
    </w:p>
    <w:p>
      <w:pPr>
        <w:pStyle w:val="7"/>
        <w:adjustRightInd w:val="0"/>
        <w:snapToGrid w:val="0"/>
        <w:spacing w:before="93" w:line="560" w:lineRule="exact"/>
        <w:ind w:firstLine="672" w:firstLineChars="210"/>
        <w:outlineLvl w:val="2"/>
        <w:rPr>
          <w:rFonts w:ascii="仿宋" w:hAnsi="仿宋" w:eastAsia="仿宋"/>
          <w:bCs/>
          <w:color w:val="000000"/>
          <w:sz w:val="32"/>
          <w:szCs w:val="32"/>
        </w:rPr>
      </w:pPr>
      <w:r>
        <w:rPr>
          <w:rFonts w:hint="eastAsia" w:ascii="仿宋" w:hAnsi="仿宋" w:eastAsia="仿宋"/>
          <w:bCs/>
          <w:color w:val="000000"/>
          <w:sz w:val="32"/>
          <w:szCs w:val="32"/>
        </w:rPr>
        <w:t>（职能参照省政府批准的三定方案）</w:t>
      </w:r>
      <w:bookmarkEnd w:id="16"/>
      <w:bookmarkEnd w:id="17"/>
    </w:p>
    <w:p>
      <w:pPr>
        <w:pStyle w:val="5"/>
        <w:spacing w:line="560" w:lineRule="exact"/>
        <w:ind w:firstLine="640" w:firstLineChars="200"/>
        <w:rPr>
          <w:rStyle w:val="28"/>
          <w:b w:val="0"/>
          <w:bCs w:val="0"/>
        </w:rPr>
      </w:pPr>
      <w:bookmarkStart w:id="18" w:name="_Toc15377200"/>
      <w:bookmarkStart w:id="19" w:name="_Toc15396601"/>
      <w:r>
        <w:rPr>
          <w:rFonts w:hint="eastAsia" w:ascii="黑体" w:eastAsia="黑体"/>
          <w:b w:val="0"/>
          <w:color w:val="000000"/>
        </w:rPr>
        <w:t>二、</w:t>
      </w:r>
      <w:r>
        <w:rPr>
          <w:rFonts w:hint="eastAsia" w:ascii="黑体" w:hAnsi="黑体" w:eastAsia="黑体"/>
          <w:b w:val="0"/>
          <w:color w:val="000000"/>
        </w:rPr>
        <w:t>机</w:t>
      </w:r>
      <w:r>
        <w:rPr>
          <w:rStyle w:val="28"/>
          <w:rFonts w:hint="eastAsia" w:ascii="黑体" w:hAnsi="黑体" w:eastAsia="黑体"/>
          <w:b w:val="0"/>
          <w:bCs w:val="0"/>
        </w:rPr>
        <w:t>构设置</w:t>
      </w:r>
      <w:bookmarkEnd w:id="18"/>
      <w:bookmarkEnd w:id="19"/>
    </w:p>
    <w:p>
      <w:pPr>
        <w:pStyle w:val="7"/>
        <w:adjustRightInd w:val="0"/>
        <w:snapToGrid w:val="0"/>
        <w:spacing w:before="93" w:line="560" w:lineRule="exact"/>
        <w:ind w:firstLine="672" w:firstLineChars="210"/>
        <w:rPr>
          <w:rFonts w:ascii="仿宋" w:hAnsi="仿宋" w:eastAsia="仿宋"/>
          <w:color w:val="000000"/>
          <w:sz w:val="32"/>
          <w:szCs w:val="32"/>
        </w:rPr>
      </w:pPr>
      <w:r>
        <w:rPr>
          <w:rFonts w:hint="eastAsia" w:ascii="仿宋" w:hAnsi="仿宋" w:eastAsia="仿宋"/>
          <w:sz w:val="32"/>
          <w:szCs w:val="32"/>
        </w:rPr>
        <w:t>红原县机关事务管理局无下属二级。</w:t>
      </w:r>
      <w:r>
        <w:rPr>
          <w:rFonts w:ascii="仿宋" w:hAnsi="仿宋" w:eastAsia="仿宋"/>
          <w:color w:val="000000"/>
          <w:sz w:val="32"/>
          <w:szCs w:val="32"/>
        </w:rPr>
        <w:br w:type="page"/>
      </w:r>
    </w:p>
    <w:p>
      <w:pPr>
        <w:pStyle w:val="4"/>
        <w:spacing w:line="560" w:lineRule="exact"/>
        <w:ind w:right="440"/>
        <w:jc w:val="right"/>
      </w:pPr>
      <w:bookmarkStart w:id="20" w:name="_Toc15396602"/>
      <w:bookmarkStart w:id="21" w:name="_Toc15377204"/>
      <w:r>
        <w:rPr>
          <w:rFonts w:hint="eastAsia" w:ascii="黑体" w:hAnsi="黑体" w:eastAsia="黑体"/>
          <w:b w:val="0"/>
          <w:color w:val="000000"/>
        </w:rPr>
        <w:t>第二部分</w:t>
      </w:r>
      <w:r>
        <w:rPr>
          <w:rFonts w:hint="eastAsia" w:ascii="黑体" w:hAnsi="黑体" w:eastAsia="黑体"/>
          <w:color w:val="000000"/>
        </w:rPr>
        <w:t xml:space="preserve"> </w:t>
      </w:r>
      <w:r>
        <w:rPr>
          <w:rStyle w:val="27"/>
          <w:rFonts w:hint="eastAsia" w:ascii="黑体" w:hAnsi="黑体" w:eastAsia="黑体"/>
          <w:b w:val="0"/>
          <w:bCs w:val="0"/>
        </w:rPr>
        <w:t>2018年度部门决算情况说明</w:t>
      </w:r>
      <w:bookmarkEnd w:id="20"/>
      <w:bookmarkEnd w:id="21"/>
    </w:p>
    <w:p>
      <w:pPr>
        <w:pStyle w:val="26"/>
        <w:numPr>
          <w:ilvl w:val="0"/>
          <w:numId w:val="1"/>
        </w:numPr>
        <w:spacing w:line="560" w:lineRule="exact"/>
        <w:ind w:firstLineChars="0"/>
        <w:outlineLvl w:val="1"/>
        <w:rPr>
          <w:rStyle w:val="28"/>
          <w:rFonts w:ascii="黑体" w:hAnsi="黑体" w:eastAsia="黑体"/>
          <w:b w:val="0"/>
        </w:rPr>
      </w:pPr>
      <w:bookmarkStart w:id="22" w:name="_Toc15396603"/>
      <w:bookmarkStart w:id="23" w:name="_Toc15377205"/>
      <w:r>
        <w:rPr>
          <w:rFonts w:hint="eastAsia" w:ascii="黑体" w:hAnsi="黑体" w:eastAsia="黑体"/>
          <w:color w:val="000000"/>
          <w:sz w:val="32"/>
          <w:szCs w:val="32"/>
        </w:rPr>
        <w:t>收</w:t>
      </w:r>
      <w:r>
        <w:rPr>
          <w:rStyle w:val="28"/>
          <w:rFonts w:hint="eastAsia" w:ascii="黑体" w:hAnsi="黑体" w:eastAsia="黑体"/>
          <w:b w:val="0"/>
        </w:rPr>
        <w:t>入支出决算总体情况说明</w:t>
      </w:r>
      <w:bookmarkEnd w:id="22"/>
      <w:bookmarkEnd w:id="23"/>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2018年度财政拨款收入总计440.57万元,占总收入100%,与2017年相比增加，同比增加13.28万元，增长3.11%。</w:t>
      </w:r>
    </w:p>
    <w:p>
      <w:pPr>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rPr>
        <w:t>2018年度财政拨款支出总计</w:t>
      </w:r>
      <w:r>
        <w:rPr>
          <w:rFonts w:ascii="仿宋_GB2312" w:hAnsi="仿宋_GB2312" w:eastAsia="仿宋_GB2312" w:cs="仿宋_GB2312"/>
          <w:sz w:val="32"/>
          <w:szCs w:val="32"/>
        </w:rPr>
        <w:t>440.32</w:t>
      </w:r>
      <w:r>
        <w:rPr>
          <w:rFonts w:hint="eastAsia" w:ascii="仿宋_GB2312" w:hAnsi="仿宋_GB2312" w:eastAsia="仿宋_GB2312" w:cs="仿宋_GB2312"/>
          <w:sz w:val="32"/>
          <w:szCs w:val="32"/>
        </w:rPr>
        <w:t>万元</w:t>
      </w:r>
      <w:r>
        <w:rPr>
          <w:rFonts w:hint="eastAsia" w:ascii="仿宋_GB2312" w:hAnsi="仿宋_GB2312" w:eastAsia="仿宋_GB2312" w:cs="仿宋_GB2312"/>
          <w:color w:val="FF0000"/>
          <w:sz w:val="32"/>
          <w:szCs w:val="32"/>
        </w:rPr>
        <w:t>,</w:t>
      </w:r>
      <w:r>
        <w:rPr>
          <w:rFonts w:hint="eastAsia" w:ascii="仿宋_GB2312" w:hAnsi="仿宋_GB2312" w:eastAsia="仿宋_GB2312" w:cs="仿宋_GB2312"/>
          <w:color w:val="000000"/>
          <w:sz w:val="32"/>
          <w:szCs w:val="32"/>
        </w:rPr>
        <w:t>占总支出100%,与2017年相比，同比增加10. 73万元，增长2.50%。</w:t>
      </w:r>
    </w:p>
    <w:p>
      <w:pPr>
        <w:spacing w:line="560" w:lineRule="exact"/>
        <w:ind w:firstLine="640" w:firstLineChars="200"/>
        <w:rPr>
          <w:rFonts w:ascii="仿宋_GB2312" w:eastAsia="仿宋_GB2312"/>
          <w:color w:val="000000"/>
          <w:sz w:val="32"/>
          <w:szCs w:val="32"/>
        </w:rPr>
      </w:pPr>
      <w:r>
        <w:rPr>
          <w:rFonts w:hint="eastAsia" w:ascii="仿宋" w:hAnsi="仿宋" w:eastAsia="仿宋"/>
          <w:color w:val="000000" w:themeColor="text1"/>
          <w:sz w:val="32"/>
          <w:szCs w:val="32"/>
        </w:rPr>
        <w:t>（图</w:t>
      </w:r>
      <w:r>
        <w:rPr>
          <w:rFonts w:ascii="仿宋" w:hAnsi="仿宋" w:eastAsia="仿宋"/>
          <w:color w:val="000000" w:themeColor="text1"/>
          <w:sz w:val="32"/>
          <w:szCs w:val="32"/>
        </w:rPr>
        <w:t>1</w:t>
      </w:r>
      <w:r>
        <w:rPr>
          <w:rFonts w:hint="eastAsia" w:ascii="仿宋" w:hAnsi="仿宋" w:eastAsia="仿宋"/>
          <w:color w:val="000000" w:themeColor="text1"/>
          <w:sz w:val="32"/>
          <w:szCs w:val="32"/>
        </w:rPr>
        <w:t>：收、支决算总计变动情况图）（柱状图）</w:t>
      </w:r>
    </w:p>
    <w:p>
      <w:pPr>
        <w:pStyle w:val="26"/>
        <w:numPr>
          <w:ilvl w:val="0"/>
          <w:numId w:val="1"/>
        </w:numPr>
        <w:spacing w:line="560" w:lineRule="exact"/>
        <w:ind w:firstLineChars="0"/>
        <w:outlineLvl w:val="1"/>
        <w:rPr>
          <w:rStyle w:val="28"/>
          <w:rFonts w:ascii="黑体" w:hAnsi="黑体" w:eastAsia="黑体"/>
          <w:b w:val="0"/>
        </w:rPr>
      </w:pPr>
      <w:bookmarkStart w:id="24" w:name="_Toc15377206"/>
      <w:bookmarkStart w:id="25" w:name="_Toc15396604"/>
      <w:r>
        <w:rPr>
          <w:rFonts w:hint="eastAsia" w:ascii="黑体" w:hAnsi="黑体" w:eastAsia="黑体"/>
          <w:color w:val="000000"/>
          <w:sz w:val="32"/>
          <w:szCs w:val="32"/>
        </w:rPr>
        <w:t>收</w:t>
      </w:r>
      <w:r>
        <w:rPr>
          <w:rStyle w:val="28"/>
          <w:rFonts w:hint="eastAsia" w:ascii="黑体" w:hAnsi="黑体" w:eastAsia="黑体"/>
          <w:b w:val="0"/>
        </w:rPr>
        <w:t>入决算情况说明</w:t>
      </w:r>
      <w:bookmarkEnd w:id="24"/>
      <w:bookmarkEnd w:id="25"/>
    </w:p>
    <w:p>
      <w:pPr>
        <w:spacing w:line="560" w:lineRule="exac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2018年我局本年收入合计440.57万元，其中：一般公共预算财政拨款收入417.59万元，占94.78%，结转：</w:t>
      </w:r>
      <w:r>
        <w:rPr>
          <w:rFonts w:ascii="仿宋_GB2312" w:hAnsi="仿宋_GB2312" w:eastAsia="仿宋_GB2312" w:cs="仿宋_GB2312"/>
          <w:color w:val="000000"/>
          <w:sz w:val="32"/>
          <w:szCs w:val="32"/>
        </w:rPr>
        <w:t>22.98</w:t>
      </w:r>
      <w:r>
        <w:rPr>
          <w:rFonts w:hint="eastAsia" w:ascii="仿宋_GB2312" w:hAnsi="仿宋_GB2312" w:eastAsia="仿宋_GB2312" w:cs="仿宋_GB2312"/>
          <w:color w:val="000000"/>
          <w:sz w:val="32"/>
          <w:szCs w:val="32"/>
        </w:rPr>
        <w:t>万元，占5.22%；</w:t>
      </w:r>
    </w:p>
    <w:p>
      <w:pPr>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2018年我局本年支出合计440.32万元，其中：基本支出440.32万元，占100%；</w:t>
      </w:r>
    </w:p>
    <w:p>
      <w:pPr>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2018年底结转结余合计0.25万元，其中基本支出结转结余0.2万元，占100%。</w:t>
      </w:r>
    </w:p>
    <w:p>
      <w:pPr>
        <w:spacing w:line="560" w:lineRule="exact"/>
        <w:ind w:firstLine="640" w:firstLineChars="200"/>
        <w:rPr>
          <w:rFonts w:ascii="仿宋_GB2312" w:eastAsia="仿宋_GB2312"/>
          <w:color w:val="FF0000"/>
          <w:sz w:val="32"/>
          <w:szCs w:val="32"/>
        </w:rPr>
      </w:pPr>
      <w:r>
        <w:rPr>
          <w:rFonts w:hint="eastAsia" w:ascii="仿宋" w:hAnsi="仿宋" w:eastAsia="仿宋"/>
          <w:color w:val="000000" w:themeColor="text1"/>
          <w:sz w:val="32"/>
          <w:szCs w:val="32"/>
        </w:rPr>
        <w:t>（图2：收入决算结构图）（饼状图）</w:t>
      </w:r>
    </w:p>
    <w:p>
      <w:pPr>
        <w:pStyle w:val="26"/>
        <w:numPr>
          <w:ilvl w:val="0"/>
          <w:numId w:val="1"/>
        </w:numPr>
        <w:spacing w:line="560" w:lineRule="exact"/>
        <w:ind w:firstLineChars="0"/>
        <w:outlineLvl w:val="1"/>
        <w:rPr>
          <w:rStyle w:val="28"/>
          <w:rFonts w:ascii="黑体" w:hAnsi="黑体" w:eastAsia="黑体"/>
          <w:b w:val="0"/>
        </w:rPr>
      </w:pPr>
      <w:bookmarkStart w:id="26" w:name="_Toc15396605"/>
      <w:bookmarkStart w:id="27" w:name="_Toc15377207"/>
      <w:r>
        <w:rPr>
          <w:rFonts w:hint="eastAsia" w:ascii="黑体" w:hAnsi="黑体" w:eastAsia="黑体"/>
          <w:color w:val="000000"/>
          <w:sz w:val="32"/>
          <w:szCs w:val="32"/>
        </w:rPr>
        <w:t>支</w:t>
      </w:r>
      <w:r>
        <w:rPr>
          <w:rStyle w:val="28"/>
          <w:rFonts w:hint="eastAsia" w:ascii="黑体" w:hAnsi="黑体" w:eastAsia="黑体"/>
          <w:b w:val="0"/>
        </w:rPr>
        <w:t>出决算情况说明</w:t>
      </w:r>
      <w:bookmarkEnd w:id="26"/>
      <w:bookmarkEnd w:id="27"/>
    </w:p>
    <w:p>
      <w:pPr>
        <w:spacing w:line="560" w:lineRule="exact"/>
        <w:ind w:firstLine="640"/>
        <w:rPr>
          <w:rFonts w:ascii="仿宋" w:hAnsi="仿宋" w:eastAsia="仿宋"/>
          <w:color w:val="000000"/>
          <w:sz w:val="32"/>
          <w:szCs w:val="32"/>
          <w:shd w:val="pct10" w:color="auto" w:fill="FFFFFF"/>
        </w:rPr>
      </w:pPr>
      <w:r>
        <w:rPr>
          <w:rFonts w:ascii="仿宋" w:hAnsi="仿宋" w:eastAsia="仿宋"/>
          <w:color w:val="000000"/>
          <w:sz w:val="32"/>
          <w:szCs w:val="32"/>
        </w:rPr>
        <w:t>201</w:t>
      </w:r>
      <w:r>
        <w:rPr>
          <w:rFonts w:hint="eastAsia" w:ascii="仿宋" w:hAnsi="仿宋" w:eastAsia="仿宋"/>
          <w:color w:val="000000"/>
          <w:sz w:val="32"/>
          <w:szCs w:val="32"/>
        </w:rPr>
        <w:t>8年本年支出合计</w:t>
      </w:r>
      <w:r>
        <w:rPr>
          <w:rFonts w:hint="eastAsia" w:ascii="仿宋_GB2312" w:hAnsi="仿宋_GB2312" w:eastAsia="仿宋_GB2312" w:cs="仿宋_GB2312"/>
          <w:color w:val="000000"/>
          <w:sz w:val="32"/>
          <w:szCs w:val="32"/>
        </w:rPr>
        <w:t>440.32万元，其中：基本支出440.32万元，占100%；</w:t>
      </w:r>
      <w:r>
        <w:rPr>
          <w:rFonts w:hint="eastAsia" w:ascii="仿宋" w:hAnsi="仿宋" w:eastAsia="仿宋"/>
          <w:color w:val="000000"/>
          <w:sz w:val="32"/>
          <w:szCs w:val="32"/>
        </w:rPr>
        <w:t>万元，项目支出0万元，占0</w:t>
      </w:r>
      <w:r>
        <w:rPr>
          <w:rFonts w:ascii="仿宋" w:hAnsi="仿宋" w:eastAsia="仿宋"/>
          <w:color w:val="000000"/>
          <w:sz w:val="32"/>
          <w:szCs w:val="32"/>
        </w:rPr>
        <w:t>%</w:t>
      </w:r>
      <w:r>
        <w:rPr>
          <w:rFonts w:hint="eastAsia" w:ascii="仿宋" w:hAnsi="仿宋" w:eastAsia="仿宋"/>
          <w:color w:val="000000"/>
          <w:sz w:val="32"/>
          <w:szCs w:val="32"/>
        </w:rPr>
        <w:t>；上缴上级支出0万元，占0</w:t>
      </w:r>
      <w:r>
        <w:rPr>
          <w:rFonts w:ascii="仿宋" w:hAnsi="仿宋" w:eastAsia="仿宋"/>
          <w:color w:val="000000"/>
          <w:sz w:val="32"/>
          <w:szCs w:val="32"/>
        </w:rPr>
        <w:t>%</w:t>
      </w:r>
      <w:r>
        <w:rPr>
          <w:rFonts w:hint="eastAsia" w:ascii="仿宋" w:hAnsi="仿宋" w:eastAsia="仿宋"/>
          <w:color w:val="000000"/>
          <w:sz w:val="32"/>
          <w:szCs w:val="32"/>
        </w:rPr>
        <w:t>；经营支出0万元，占0</w:t>
      </w:r>
      <w:r>
        <w:rPr>
          <w:rFonts w:ascii="仿宋" w:hAnsi="仿宋" w:eastAsia="仿宋"/>
          <w:color w:val="000000"/>
          <w:sz w:val="32"/>
          <w:szCs w:val="32"/>
        </w:rPr>
        <w:t>%</w:t>
      </w:r>
      <w:r>
        <w:rPr>
          <w:rFonts w:hint="eastAsia" w:ascii="仿宋" w:hAnsi="仿宋" w:eastAsia="仿宋"/>
          <w:color w:val="000000"/>
          <w:sz w:val="32"/>
          <w:szCs w:val="32"/>
        </w:rPr>
        <w:t>；对附属单位补助支出0万元，占0</w:t>
      </w:r>
      <w:r>
        <w:rPr>
          <w:rFonts w:ascii="仿宋" w:hAnsi="仿宋" w:eastAsia="仿宋"/>
          <w:color w:val="000000"/>
          <w:sz w:val="32"/>
          <w:szCs w:val="32"/>
        </w:rPr>
        <w:t>%</w:t>
      </w:r>
      <w:r>
        <w:rPr>
          <w:rFonts w:hint="eastAsia" w:ascii="仿宋" w:hAnsi="仿宋" w:eastAsia="仿宋"/>
          <w:color w:val="000000"/>
          <w:sz w:val="32"/>
          <w:szCs w:val="32"/>
        </w:rPr>
        <w:t>。</w:t>
      </w:r>
    </w:p>
    <w:p>
      <w:pPr>
        <w:spacing w:line="560" w:lineRule="exact"/>
        <w:ind w:firstLine="640" w:firstLineChars="200"/>
        <w:rPr>
          <w:rFonts w:ascii="仿宋" w:hAnsi="仿宋" w:eastAsia="仿宋"/>
          <w:color w:val="000000" w:themeColor="text1"/>
          <w:sz w:val="32"/>
          <w:szCs w:val="32"/>
        </w:rPr>
      </w:pPr>
      <w:r>
        <w:rPr>
          <w:rFonts w:hint="eastAsia" w:ascii="仿宋" w:hAnsi="仿宋" w:eastAsia="仿宋"/>
          <w:color w:val="000000" w:themeColor="text1"/>
          <w:sz w:val="32"/>
          <w:szCs w:val="32"/>
        </w:rPr>
        <w:t>（图3：支出决算结构图）（饼状图）</w:t>
      </w:r>
    </w:p>
    <w:p>
      <w:pPr>
        <w:spacing w:line="560" w:lineRule="exact"/>
        <w:ind w:firstLine="640" w:firstLineChars="200"/>
        <w:rPr>
          <w:rFonts w:ascii="仿宋_GB2312" w:eastAsia="仿宋_GB2312"/>
          <w:color w:val="FF0000"/>
          <w:sz w:val="32"/>
          <w:szCs w:val="32"/>
        </w:rPr>
      </w:pPr>
    </w:p>
    <w:p>
      <w:pPr>
        <w:spacing w:line="560" w:lineRule="exact"/>
        <w:ind w:firstLine="640" w:firstLineChars="200"/>
        <w:outlineLvl w:val="1"/>
        <w:rPr>
          <w:rStyle w:val="28"/>
          <w:rFonts w:ascii="黑体" w:hAnsi="黑体" w:eastAsia="黑体"/>
          <w:b w:val="0"/>
        </w:rPr>
      </w:pPr>
      <w:bookmarkStart w:id="28" w:name="_Toc15377208"/>
      <w:bookmarkStart w:id="29" w:name="_Toc15396606"/>
      <w:r>
        <w:rPr>
          <w:rFonts w:hint="eastAsia" w:ascii="黑体" w:hAnsi="黑体" w:eastAsia="黑体"/>
          <w:color w:val="000000"/>
          <w:sz w:val="32"/>
          <w:szCs w:val="32"/>
        </w:rPr>
        <w:t>四、财</w:t>
      </w:r>
      <w:r>
        <w:rPr>
          <w:rStyle w:val="28"/>
          <w:rFonts w:hint="eastAsia" w:ascii="黑体" w:hAnsi="黑体" w:eastAsia="黑体"/>
          <w:b w:val="0"/>
        </w:rPr>
        <w:t>政拨款收入支出决算总体情况说明</w:t>
      </w:r>
      <w:bookmarkEnd w:id="28"/>
      <w:bookmarkEnd w:id="29"/>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2018年度财政拨款收入总计417.59万元，财政拨款收入与2017年相比增加，同比增加10.77万元，增长2.51%。2018年度财政拨款支出总计440.32万元,财政拨款支出，同比增加10.52万元，增长2.45%。</w:t>
      </w:r>
    </w:p>
    <w:p>
      <w:pPr>
        <w:spacing w:line="560" w:lineRule="exact"/>
        <w:ind w:firstLine="640" w:firstLineChars="200"/>
        <w:rPr>
          <w:rFonts w:ascii="仿宋" w:hAnsi="仿宋" w:eastAsia="仿宋"/>
          <w:color w:val="000000" w:themeColor="text1"/>
          <w:sz w:val="32"/>
          <w:szCs w:val="32"/>
        </w:rPr>
      </w:pPr>
      <w:r>
        <w:rPr>
          <w:rFonts w:hint="eastAsia" w:ascii="仿宋" w:hAnsi="仿宋" w:eastAsia="仿宋"/>
          <w:color w:val="000000" w:themeColor="text1"/>
          <w:sz w:val="32"/>
          <w:szCs w:val="32"/>
        </w:rPr>
        <w:t>（图4：财政拨款收、支决算总计变动情况）（柱状图）</w:t>
      </w:r>
    </w:p>
    <w:p>
      <w:pPr>
        <w:spacing w:line="560" w:lineRule="exact"/>
        <w:ind w:firstLine="640" w:firstLineChars="200"/>
        <w:outlineLvl w:val="1"/>
        <w:rPr>
          <w:rStyle w:val="28"/>
          <w:rFonts w:ascii="黑体" w:hAnsi="黑体" w:eastAsia="黑体"/>
          <w:b w:val="0"/>
        </w:rPr>
      </w:pPr>
      <w:bookmarkStart w:id="30" w:name="_Toc15396607"/>
      <w:bookmarkStart w:id="31" w:name="_Toc15377209"/>
      <w:r>
        <w:rPr>
          <w:rFonts w:hint="eastAsia" w:ascii="黑体" w:hAnsi="黑体" w:eastAsia="黑体"/>
          <w:color w:val="000000"/>
          <w:sz w:val="32"/>
          <w:szCs w:val="32"/>
        </w:rPr>
        <w:t>五、</w:t>
      </w:r>
      <w:r>
        <w:rPr>
          <w:rFonts w:hint="eastAsia" w:ascii="黑体" w:hAnsi="黑体" w:eastAsia="黑体"/>
          <w:b/>
          <w:color w:val="000000"/>
          <w:sz w:val="32"/>
          <w:szCs w:val="32"/>
        </w:rPr>
        <w:t>一</w:t>
      </w:r>
      <w:r>
        <w:rPr>
          <w:rStyle w:val="28"/>
          <w:rFonts w:hint="eastAsia" w:ascii="黑体" w:hAnsi="黑体" w:eastAsia="黑体"/>
          <w:b w:val="0"/>
        </w:rPr>
        <w:t>般公共预算财政拨款支出决算情况说明</w:t>
      </w:r>
      <w:bookmarkEnd w:id="30"/>
      <w:bookmarkEnd w:id="31"/>
    </w:p>
    <w:p>
      <w:pPr>
        <w:spacing w:line="560" w:lineRule="exact"/>
        <w:ind w:firstLine="643" w:firstLineChars="200"/>
        <w:outlineLvl w:val="2"/>
        <w:rPr>
          <w:rFonts w:ascii="仿宋" w:hAnsi="仿宋" w:eastAsia="仿宋"/>
          <w:b/>
          <w:color w:val="000000"/>
          <w:sz w:val="32"/>
          <w:szCs w:val="32"/>
        </w:rPr>
      </w:pPr>
      <w:bookmarkStart w:id="32" w:name="_Toc15377210"/>
      <w:r>
        <w:rPr>
          <w:rFonts w:hint="eastAsia" w:ascii="仿宋" w:hAnsi="仿宋" w:eastAsia="仿宋"/>
          <w:b/>
          <w:color w:val="000000"/>
          <w:sz w:val="32"/>
          <w:szCs w:val="32"/>
        </w:rPr>
        <w:t>（一）一般公共预算财政拨款支出决算总体情况</w:t>
      </w:r>
      <w:bookmarkEnd w:id="32"/>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2018年收入：417.59万元，支出440.32万元；2017年收入427.29万元，支出：429.59万元。比上年度增加10.73万元，今年斯柯达产生费用由我局支付。</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2018年年初预算：452.05万元，2018年支出决算：440.32万元，预算多出11.73万元。其中接待费：人员经费预算：182.64万元，决算：183.95万元，预算少：1.31万元；日常公用经费预算：269.40万元，决算：256.39万元，预算多出：13.01万元。</w:t>
      </w:r>
    </w:p>
    <w:p>
      <w:pPr>
        <w:spacing w:line="560" w:lineRule="exact"/>
        <w:ind w:firstLine="640" w:firstLineChars="200"/>
        <w:rPr>
          <w:rFonts w:ascii="仿宋" w:hAnsi="仿宋" w:eastAsia="仿宋"/>
          <w:color w:val="000000" w:themeColor="text1"/>
          <w:sz w:val="32"/>
          <w:szCs w:val="32"/>
        </w:rPr>
      </w:pPr>
      <w:r>
        <w:rPr>
          <w:rFonts w:hint="eastAsia" w:ascii="仿宋" w:hAnsi="仿宋" w:eastAsia="仿宋"/>
          <w:color w:val="000000" w:themeColor="text1"/>
          <w:sz w:val="32"/>
          <w:szCs w:val="32"/>
        </w:rPr>
        <w:t>（图5：一般公共预算财政拨款支出决算变动情况）（柱状图）</w:t>
      </w:r>
    </w:p>
    <w:p>
      <w:pPr>
        <w:spacing w:line="560" w:lineRule="exact"/>
        <w:ind w:firstLine="643" w:firstLineChars="200"/>
        <w:outlineLvl w:val="2"/>
        <w:rPr>
          <w:rFonts w:ascii="仿宋" w:hAnsi="仿宋" w:eastAsia="仿宋"/>
          <w:b/>
          <w:color w:val="000000"/>
          <w:sz w:val="32"/>
          <w:szCs w:val="32"/>
        </w:rPr>
      </w:pPr>
      <w:bookmarkStart w:id="33" w:name="_Toc15377211"/>
      <w:r>
        <w:rPr>
          <w:rFonts w:hint="eastAsia" w:ascii="仿宋" w:hAnsi="仿宋" w:eastAsia="仿宋"/>
          <w:b/>
          <w:color w:val="000000"/>
          <w:sz w:val="32"/>
          <w:szCs w:val="32"/>
        </w:rPr>
        <w:t>（二）一般公共预算财政拨款支出决算结构情况</w:t>
      </w:r>
      <w:bookmarkEnd w:id="33"/>
    </w:p>
    <w:p>
      <w:pPr>
        <w:spacing w:line="560" w:lineRule="exact"/>
        <w:ind w:firstLine="640"/>
        <w:rPr>
          <w:rFonts w:ascii="仿宋" w:hAnsi="仿宋" w:eastAsia="仿宋"/>
          <w:color w:val="000000" w:themeColor="text1"/>
          <w:sz w:val="32"/>
          <w:szCs w:val="32"/>
        </w:rPr>
      </w:pPr>
      <w:r>
        <w:rPr>
          <w:rFonts w:ascii="仿宋" w:hAnsi="仿宋" w:eastAsia="仿宋"/>
          <w:color w:val="000000"/>
          <w:sz w:val="32"/>
          <w:szCs w:val="32"/>
        </w:rPr>
        <w:t>201</w:t>
      </w:r>
      <w:r>
        <w:rPr>
          <w:rFonts w:hint="eastAsia" w:ascii="仿宋" w:hAnsi="仿宋" w:eastAsia="仿宋"/>
          <w:color w:val="000000"/>
          <w:sz w:val="32"/>
          <w:szCs w:val="32"/>
        </w:rPr>
        <w:t>8年一般公共预算财</w:t>
      </w:r>
      <w:r>
        <w:rPr>
          <w:rFonts w:hint="eastAsia" w:ascii="仿宋" w:hAnsi="仿宋" w:eastAsia="仿宋"/>
          <w:color w:val="000000" w:themeColor="text1"/>
          <w:sz w:val="32"/>
          <w:szCs w:val="32"/>
        </w:rPr>
        <w:t>政拨款支出440.32万元，主要用于以下方面</w:t>
      </w:r>
      <w:r>
        <w:rPr>
          <w:rFonts w:ascii="仿宋" w:hAnsi="仿宋" w:eastAsia="仿宋"/>
          <w:color w:val="000000" w:themeColor="text1"/>
          <w:sz w:val="32"/>
          <w:szCs w:val="32"/>
        </w:rPr>
        <w:t>:</w:t>
      </w:r>
      <w:r>
        <w:rPr>
          <w:rFonts w:hint="eastAsia" w:ascii="仿宋" w:hAnsi="仿宋" w:eastAsia="仿宋"/>
          <w:b/>
          <w:color w:val="000000" w:themeColor="text1"/>
          <w:sz w:val="32"/>
          <w:szCs w:val="32"/>
        </w:rPr>
        <w:t>一般公共服务（类）</w:t>
      </w:r>
      <w:r>
        <w:rPr>
          <w:rFonts w:hint="eastAsia" w:ascii="仿宋" w:hAnsi="仿宋" w:eastAsia="仿宋"/>
          <w:color w:val="000000" w:themeColor="text1"/>
          <w:sz w:val="32"/>
          <w:szCs w:val="32"/>
        </w:rPr>
        <w:t>支出440.32万元，占100</w:t>
      </w:r>
      <w:r>
        <w:rPr>
          <w:rFonts w:ascii="仿宋" w:hAnsi="仿宋" w:eastAsia="仿宋"/>
          <w:color w:val="000000" w:themeColor="text1"/>
          <w:sz w:val="32"/>
          <w:szCs w:val="32"/>
        </w:rPr>
        <w:t>%</w:t>
      </w:r>
      <w:r>
        <w:rPr>
          <w:rFonts w:hint="eastAsia" w:ascii="仿宋" w:hAnsi="仿宋" w:eastAsia="仿宋"/>
          <w:color w:val="000000" w:themeColor="text1"/>
          <w:sz w:val="32"/>
          <w:szCs w:val="32"/>
        </w:rPr>
        <w:t>；</w:t>
      </w:r>
      <w:r>
        <w:rPr>
          <w:rFonts w:hint="eastAsia" w:ascii="仿宋" w:hAnsi="仿宋" w:eastAsia="仿宋"/>
          <w:b/>
          <w:color w:val="000000" w:themeColor="text1"/>
          <w:sz w:val="32"/>
          <w:szCs w:val="32"/>
        </w:rPr>
        <w:t>教育支出（类）</w:t>
      </w:r>
      <w:r>
        <w:rPr>
          <w:rFonts w:hint="eastAsia" w:ascii="仿宋" w:hAnsi="仿宋" w:eastAsia="仿宋"/>
          <w:color w:val="000000" w:themeColor="text1"/>
          <w:sz w:val="32"/>
          <w:szCs w:val="32"/>
        </w:rPr>
        <w:t>0万元，占0</w:t>
      </w:r>
      <w:r>
        <w:rPr>
          <w:rFonts w:ascii="仿宋" w:hAnsi="仿宋" w:eastAsia="仿宋"/>
          <w:color w:val="000000" w:themeColor="text1"/>
          <w:sz w:val="32"/>
          <w:szCs w:val="32"/>
        </w:rPr>
        <w:t>%</w:t>
      </w:r>
      <w:r>
        <w:rPr>
          <w:rFonts w:hint="eastAsia" w:ascii="仿宋" w:hAnsi="仿宋" w:eastAsia="仿宋"/>
          <w:color w:val="000000" w:themeColor="text1"/>
          <w:sz w:val="32"/>
          <w:szCs w:val="32"/>
        </w:rPr>
        <w:t>；</w:t>
      </w:r>
      <w:r>
        <w:rPr>
          <w:rFonts w:hint="eastAsia" w:ascii="仿宋" w:hAnsi="仿宋" w:eastAsia="仿宋"/>
          <w:b/>
          <w:color w:val="000000" w:themeColor="text1"/>
          <w:sz w:val="32"/>
          <w:szCs w:val="32"/>
        </w:rPr>
        <w:t>科学技术（类）</w:t>
      </w:r>
      <w:r>
        <w:rPr>
          <w:rFonts w:hint="eastAsia" w:ascii="仿宋" w:hAnsi="仿宋" w:eastAsia="仿宋"/>
          <w:color w:val="000000" w:themeColor="text1"/>
          <w:sz w:val="32"/>
          <w:szCs w:val="32"/>
        </w:rPr>
        <w:t>支出0万元，占0</w:t>
      </w:r>
      <w:r>
        <w:rPr>
          <w:rFonts w:ascii="仿宋" w:hAnsi="仿宋" w:eastAsia="仿宋"/>
          <w:color w:val="000000" w:themeColor="text1"/>
          <w:sz w:val="32"/>
          <w:szCs w:val="32"/>
        </w:rPr>
        <w:t>%</w:t>
      </w:r>
      <w:r>
        <w:rPr>
          <w:rFonts w:hint="eastAsia" w:ascii="仿宋" w:hAnsi="仿宋" w:eastAsia="仿宋"/>
          <w:color w:val="000000" w:themeColor="text1"/>
          <w:sz w:val="32"/>
          <w:szCs w:val="32"/>
        </w:rPr>
        <w:t>；</w:t>
      </w:r>
      <w:r>
        <w:rPr>
          <w:rFonts w:hint="eastAsia" w:ascii="仿宋" w:hAnsi="仿宋" w:eastAsia="仿宋"/>
          <w:b/>
          <w:color w:val="000000" w:themeColor="text1"/>
          <w:sz w:val="32"/>
          <w:szCs w:val="32"/>
        </w:rPr>
        <w:t>社会保障和就业（类）</w:t>
      </w:r>
      <w:r>
        <w:rPr>
          <w:rFonts w:hint="eastAsia" w:ascii="仿宋" w:hAnsi="仿宋" w:eastAsia="仿宋"/>
          <w:color w:val="000000" w:themeColor="text1"/>
          <w:sz w:val="32"/>
          <w:szCs w:val="32"/>
        </w:rPr>
        <w:t>支出0万元，占0</w:t>
      </w:r>
      <w:r>
        <w:rPr>
          <w:rFonts w:ascii="仿宋" w:hAnsi="仿宋" w:eastAsia="仿宋"/>
          <w:color w:val="000000" w:themeColor="text1"/>
          <w:sz w:val="32"/>
          <w:szCs w:val="32"/>
        </w:rPr>
        <w:t>%</w:t>
      </w:r>
      <w:r>
        <w:rPr>
          <w:rFonts w:hint="eastAsia" w:ascii="仿宋" w:hAnsi="仿宋" w:eastAsia="仿宋"/>
          <w:color w:val="000000" w:themeColor="text1"/>
          <w:sz w:val="32"/>
          <w:szCs w:val="32"/>
        </w:rPr>
        <w:t>；医疗卫生支出0万元，占0</w:t>
      </w:r>
      <w:r>
        <w:rPr>
          <w:rFonts w:ascii="仿宋" w:hAnsi="仿宋" w:eastAsia="仿宋"/>
          <w:color w:val="000000" w:themeColor="text1"/>
          <w:sz w:val="32"/>
          <w:szCs w:val="32"/>
        </w:rPr>
        <w:t>%</w:t>
      </w:r>
      <w:r>
        <w:rPr>
          <w:rFonts w:hint="eastAsia" w:ascii="仿宋" w:hAnsi="仿宋" w:eastAsia="仿宋"/>
          <w:color w:val="000000" w:themeColor="text1"/>
          <w:sz w:val="32"/>
          <w:szCs w:val="32"/>
        </w:rPr>
        <w:t>；住房保障支出0万元，占0</w:t>
      </w:r>
      <w:r>
        <w:rPr>
          <w:rFonts w:ascii="仿宋" w:hAnsi="仿宋" w:eastAsia="仿宋"/>
          <w:color w:val="000000" w:themeColor="text1"/>
          <w:sz w:val="32"/>
          <w:szCs w:val="32"/>
        </w:rPr>
        <w:t>%</w:t>
      </w:r>
      <w:r>
        <w:rPr>
          <w:rFonts w:hint="eastAsia" w:ascii="仿宋" w:hAnsi="仿宋" w:eastAsia="仿宋"/>
          <w:color w:val="000000" w:themeColor="text1"/>
          <w:sz w:val="32"/>
          <w:szCs w:val="32"/>
        </w:rPr>
        <w:t>。</w:t>
      </w:r>
    </w:p>
    <w:p>
      <w:pPr>
        <w:spacing w:line="56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（图6：一般公共预算财政拨款支出决算结构）（饼状图）</w:t>
      </w:r>
    </w:p>
    <w:p>
      <w:pPr>
        <w:spacing w:line="560" w:lineRule="exact"/>
        <w:ind w:firstLine="643" w:firstLineChars="200"/>
        <w:outlineLvl w:val="2"/>
        <w:rPr>
          <w:rFonts w:ascii="仿宋" w:hAnsi="仿宋" w:eastAsia="仿宋"/>
          <w:b/>
          <w:color w:val="000000"/>
          <w:sz w:val="32"/>
          <w:szCs w:val="32"/>
        </w:rPr>
      </w:pPr>
      <w:bookmarkStart w:id="34" w:name="_Toc15377212"/>
      <w:r>
        <w:rPr>
          <w:rFonts w:hint="eastAsia" w:ascii="仿宋" w:hAnsi="仿宋" w:eastAsia="仿宋"/>
          <w:b/>
          <w:color w:val="000000"/>
          <w:sz w:val="32"/>
          <w:szCs w:val="32"/>
        </w:rPr>
        <w:t>（三）一般公共预算财政拨款支出决算具体情况</w:t>
      </w:r>
      <w:bookmarkEnd w:id="34"/>
    </w:p>
    <w:p>
      <w:pPr>
        <w:spacing w:line="560" w:lineRule="exact"/>
        <w:ind w:firstLine="643" w:firstLineChars="200"/>
        <w:outlineLvl w:val="2"/>
        <w:rPr>
          <w:rFonts w:ascii="仿宋" w:hAnsi="仿宋" w:eastAsia="仿宋"/>
          <w:color w:val="FF0000"/>
          <w:sz w:val="32"/>
          <w:szCs w:val="32"/>
        </w:rPr>
      </w:pPr>
      <w:bookmarkStart w:id="35" w:name="_Toc15377213"/>
      <w:bookmarkStart w:id="36" w:name="_Toc15377444"/>
      <w:bookmarkStart w:id="37" w:name="_Toc15378460"/>
      <w:r>
        <w:rPr>
          <w:rFonts w:hint="eastAsia" w:ascii="仿宋" w:hAnsi="仿宋" w:eastAsia="仿宋"/>
          <w:b/>
          <w:color w:val="000000" w:themeColor="text1"/>
          <w:sz w:val="32"/>
          <w:szCs w:val="32"/>
        </w:rPr>
        <w:t>2018年般公共预算支出决算数为440.32万元</w:t>
      </w:r>
      <w:r>
        <w:rPr>
          <w:rFonts w:hint="eastAsia" w:ascii="仿宋" w:hAnsi="仿宋" w:eastAsia="仿宋"/>
          <w:color w:val="000000" w:themeColor="text1"/>
          <w:sz w:val="32"/>
          <w:szCs w:val="32"/>
        </w:rPr>
        <w:t>，</w:t>
      </w:r>
      <w:r>
        <w:rPr>
          <w:rStyle w:val="16"/>
          <w:rFonts w:hint="eastAsia" w:ascii="仿宋" w:hAnsi="仿宋" w:eastAsia="仿宋"/>
          <w:bCs/>
          <w:color w:val="000000" w:themeColor="text1"/>
          <w:sz w:val="32"/>
          <w:szCs w:val="32"/>
        </w:rPr>
        <w:t>完成</w:t>
      </w:r>
      <w:r>
        <w:rPr>
          <w:rStyle w:val="16"/>
          <w:rFonts w:hint="eastAsia" w:ascii="仿宋" w:hAnsi="仿宋" w:eastAsia="仿宋"/>
          <w:bCs/>
          <w:color w:val="000000"/>
          <w:sz w:val="32"/>
          <w:szCs w:val="32"/>
        </w:rPr>
        <w:t>预算97</w:t>
      </w:r>
      <w:r>
        <w:rPr>
          <w:rStyle w:val="16"/>
          <w:rFonts w:ascii="仿宋" w:hAnsi="仿宋" w:eastAsia="仿宋"/>
          <w:bCs/>
          <w:color w:val="000000"/>
          <w:sz w:val="32"/>
          <w:szCs w:val="32"/>
        </w:rPr>
        <w:t>%</w:t>
      </w:r>
      <w:r>
        <w:rPr>
          <w:rStyle w:val="16"/>
          <w:rFonts w:hint="eastAsia" w:ascii="仿宋" w:hAnsi="仿宋" w:eastAsia="仿宋"/>
          <w:bCs/>
          <w:color w:val="000000"/>
          <w:sz w:val="32"/>
          <w:szCs w:val="32"/>
        </w:rPr>
        <w:t>。其中：</w:t>
      </w:r>
      <w:bookmarkEnd w:id="35"/>
      <w:bookmarkEnd w:id="36"/>
      <w:bookmarkEnd w:id="37"/>
    </w:p>
    <w:p>
      <w:pPr>
        <w:snapToGrid w:val="0"/>
        <w:spacing w:line="560" w:lineRule="exact"/>
        <w:ind w:firstLine="643" w:firstLineChars="200"/>
        <w:rPr>
          <w:rFonts w:ascii="仿宋_GB2312" w:hAnsi="仿宋_GB2312" w:eastAsia="仿宋_GB2312" w:cs="仿宋_GB2312"/>
          <w:sz w:val="32"/>
          <w:szCs w:val="32"/>
        </w:rPr>
      </w:pPr>
      <w:r>
        <w:rPr>
          <w:rStyle w:val="16"/>
          <w:rFonts w:hint="eastAsia" w:ascii="仿宋" w:hAnsi="仿宋" w:eastAsia="仿宋"/>
          <w:bCs/>
          <w:sz w:val="32"/>
          <w:szCs w:val="32"/>
        </w:rPr>
        <w:t>一般公共服务</w:t>
      </w:r>
      <w:r>
        <w:rPr>
          <w:rStyle w:val="16"/>
          <w:rFonts w:ascii="仿宋" w:hAnsi="仿宋" w:eastAsia="仿宋"/>
          <w:bCs/>
          <w:sz w:val="32"/>
          <w:szCs w:val="32"/>
        </w:rPr>
        <w:t>:</w:t>
      </w:r>
      <w:r>
        <w:rPr>
          <w:rStyle w:val="16"/>
          <w:rFonts w:ascii="仿宋" w:hAnsi="仿宋" w:eastAsia="仿宋"/>
          <w:b w:val="0"/>
          <w:bCs/>
          <w:sz w:val="32"/>
          <w:szCs w:val="32"/>
        </w:rPr>
        <w:t xml:space="preserve"> </w:t>
      </w:r>
      <w:r>
        <w:rPr>
          <w:rFonts w:hint="eastAsia" w:ascii="仿宋_GB2312" w:hAnsi="仿宋_GB2312" w:eastAsia="仿宋_GB2312" w:cs="仿宋_GB2312"/>
          <w:sz w:val="32"/>
          <w:szCs w:val="32"/>
        </w:rPr>
        <w:t>2018年年初预算：452.05万元，2018年支出决算：440.32万元。其中：</w:t>
      </w:r>
    </w:p>
    <w:p>
      <w:pPr>
        <w:spacing w:line="560" w:lineRule="exact"/>
        <w:ind w:firstLine="640" w:firstLineChars="200"/>
        <w:jc w:val="left"/>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2010350-事业运行预算：407.75万元，决算393.27万元，</w:t>
      </w:r>
      <w:r>
        <w:rPr>
          <w:rStyle w:val="16"/>
          <w:rFonts w:hint="eastAsia" w:ascii="仿宋_GB2312" w:hAnsi="仿宋_GB2312" w:eastAsia="仿宋_GB2312" w:cs="仿宋_GB2312"/>
          <w:b w:val="0"/>
          <w:color w:val="000000"/>
          <w:sz w:val="32"/>
          <w:szCs w:val="32"/>
        </w:rPr>
        <w:t>预算多出14.48万元；主要是接待费用没有超出预算。</w:t>
      </w:r>
    </w:p>
    <w:p>
      <w:pPr>
        <w:spacing w:line="560" w:lineRule="exact"/>
        <w:ind w:firstLine="640" w:firstLineChars="200"/>
        <w:jc w:val="left"/>
        <w:rPr>
          <w:rStyle w:val="16"/>
          <w:rFonts w:ascii="仿宋_GB2312" w:hAnsi="仿宋_GB2312" w:eastAsia="仿宋_GB2312" w:cs="仿宋_GB2312"/>
          <w:b w:val="0"/>
          <w:color w:val="000000"/>
          <w:sz w:val="32"/>
          <w:szCs w:val="32"/>
        </w:rPr>
      </w:pPr>
      <w:r>
        <w:rPr>
          <w:rFonts w:hint="eastAsia" w:ascii="仿宋_GB2312" w:hAnsi="仿宋_GB2312" w:eastAsia="仿宋_GB2312" w:cs="仿宋_GB2312"/>
          <w:bCs/>
          <w:sz w:val="32"/>
          <w:szCs w:val="32"/>
        </w:rPr>
        <w:t>2101102-公务员医疗补助预算：8.08万元，决算7.94万元，</w:t>
      </w:r>
    </w:p>
    <w:p>
      <w:pPr>
        <w:pStyle w:val="2"/>
        <w:ind w:firstLine="0" w:firstLineChars="0"/>
      </w:pPr>
      <w:r>
        <w:rPr>
          <w:rFonts w:hint="eastAsia"/>
        </w:rPr>
        <w:t>预算多出：0.14万元；</w:t>
      </w:r>
    </w:p>
    <w:p>
      <w:pPr>
        <w:spacing w:line="560" w:lineRule="exact"/>
        <w:ind w:firstLine="640" w:firstLineChars="200"/>
        <w:jc w:val="left"/>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2080505机关事业单位基本养老保险缴费预算：19.13万元决算：18.88</w:t>
      </w:r>
      <w:r>
        <w:rPr>
          <w:rFonts w:hint="eastAsia" w:ascii="仿宋_GB2312" w:hAnsi="仿宋_GB2312" w:eastAsia="仿宋_GB2312" w:cs="仿宋_GB2312"/>
          <w:sz w:val="32"/>
          <w:szCs w:val="32"/>
        </w:rPr>
        <w:t>万元</w:t>
      </w:r>
      <w:r>
        <w:rPr>
          <w:rFonts w:hint="eastAsia" w:ascii="仿宋_GB2312" w:hAnsi="仿宋_GB2312" w:eastAsia="仿宋_GB2312" w:cs="仿宋_GB2312"/>
          <w:bCs/>
          <w:sz w:val="32"/>
          <w:szCs w:val="32"/>
        </w:rPr>
        <w:t>，预算多出0.25万元；</w:t>
      </w:r>
    </w:p>
    <w:p>
      <w:pPr>
        <w:spacing w:line="560" w:lineRule="exact"/>
        <w:ind w:firstLine="640" w:firstLineChars="200"/>
        <w:jc w:val="left"/>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2080506-机关事业单位职业年金缴费预算：7.95万元，决算：7.94万元。预算多出0.01万元；</w:t>
      </w:r>
    </w:p>
    <w:p>
      <w:pPr>
        <w:spacing w:line="560" w:lineRule="exact"/>
        <w:ind w:firstLine="640" w:firstLineChars="200"/>
        <w:jc w:val="left"/>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2210201-住房公积金预算：12.71万元，决算：12.68万元，</w:t>
      </w:r>
      <w:r>
        <w:rPr>
          <w:rStyle w:val="16"/>
          <w:rFonts w:hint="eastAsia" w:ascii="仿宋_GB2312" w:hAnsi="仿宋_GB2312" w:eastAsia="仿宋_GB2312" w:cs="仿宋_GB2312"/>
          <w:b w:val="0"/>
          <w:color w:val="000000"/>
          <w:sz w:val="32"/>
          <w:szCs w:val="32"/>
        </w:rPr>
        <w:t>预算多出0.03万元</w:t>
      </w:r>
      <w:r>
        <w:rPr>
          <w:rFonts w:hint="eastAsia" w:ascii="仿宋_GB2312" w:hAnsi="仿宋_GB2312" w:eastAsia="仿宋_GB2312" w:cs="仿宋_GB2312"/>
          <w:bCs/>
          <w:sz w:val="32"/>
          <w:szCs w:val="32"/>
        </w:rPr>
        <w:t>。</w:t>
      </w:r>
    </w:p>
    <w:p>
      <w:pPr>
        <w:pStyle w:val="2"/>
        <w:ind w:firstLine="640"/>
      </w:pPr>
    </w:p>
    <w:p>
      <w:pPr>
        <w:tabs>
          <w:tab w:val="right" w:pos="8306"/>
        </w:tabs>
        <w:spacing w:line="560" w:lineRule="exact"/>
        <w:ind w:firstLine="640"/>
        <w:outlineLvl w:val="1"/>
        <w:rPr>
          <w:rStyle w:val="28"/>
        </w:rPr>
      </w:pPr>
      <w:bookmarkStart w:id="38" w:name="_Toc15377214"/>
      <w:bookmarkStart w:id="39" w:name="_Toc15396608"/>
      <w:r>
        <w:rPr>
          <w:rFonts w:hint="eastAsia" w:ascii="黑体" w:eastAsia="黑体"/>
          <w:color w:val="000000"/>
          <w:sz w:val="32"/>
          <w:szCs w:val="32"/>
        </w:rPr>
        <w:t>六</w:t>
      </w:r>
      <w:r>
        <w:rPr>
          <w:rFonts w:hint="eastAsia" w:ascii="黑体" w:eastAsia="黑体"/>
          <w:b/>
          <w:color w:val="000000"/>
          <w:sz w:val="32"/>
          <w:szCs w:val="32"/>
        </w:rPr>
        <w:t>、</w:t>
      </w:r>
      <w:r>
        <w:rPr>
          <w:rFonts w:hint="eastAsia" w:ascii="黑体" w:hAnsi="黑体" w:eastAsia="黑体"/>
          <w:b/>
          <w:color w:val="000000"/>
          <w:sz w:val="32"/>
          <w:szCs w:val="32"/>
        </w:rPr>
        <w:t>一</w:t>
      </w:r>
      <w:r>
        <w:rPr>
          <w:rStyle w:val="28"/>
          <w:rFonts w:hint="eastAsia" w:ascii="黑体" w:hAnsi="黑体" w:eastAsia="黑体"/>
          <w:b w:val="0"/>
        </w:rPr>
        <w:t>般公共预算财政拨款基本支出决算情况说明</w:t>
      </w:r>
      <w:bookmarkEnd w:id="38"/>
      <w:bookmarkEnd w:id="39"/>
      <w:r>
        <w:rPr>
          <w:rStyle w:val="28"/>
          <w:rFonts w:ascii="黑体" w:hAnsi="黑体" w:eastAsia="黑体"/>
          <w:b w:val="0"/>
        </w:rPr>
        <w:tab/>
      </w:r>
    </w:p>
    <w:p>
      <w:pPr>
        <w:spacing w:line="560" w:lineRule="exact"/>
        <w:ind w:firstLine="645"/>
        <w:rPr>
          <w:rFonts w:ascii="仿宋" w:hAnsi="仿宋" w:eastAsia="仿宋"/>
          <w:sz w:val="32"/>
          <w:szCs w:val="32"/>
        </w:rPr>
      </w:pPr>
      <w:r>
        <w:rPr>
          <w:rFonts w:ascii="仿宋" w:hAnsi="仿宋" w:eastAsia="仿宋"/>
          <w:sz w:val="32"/>
          <w:szCs w:val="32"/>
        </w:rPr>
        <w:t>201</w:t>
      </w:r>
      <w:r>
        <w:rPr>
          <w:rFonts w:hint="eastAsia" w:ascii="仿宋" w:hAnsi="仿宋" w:eastAsia="仿宋"/>
          <w:sz w:val="32"/>
          <w:szCs w:val="32"/>
        </w:rPr>
        <w:t>8年一般公共预算财政拨款基本支出440.32万元，其中：</w:t>
      </w:r>
    </w:p>
    <w:p>
      <w:pPr>
        <w:spacing w:line="560" w:lineRule="exact"/>
        <w:ind w:firstLine="645"/>
        <w:rPr>
          <w:rFonts w:ascii="仿宋" w:hAnsi="仿宋" w:eastAsia="仿宋"/>
          <w:sz w:val="32"/>
          <w:szCs w:val="32"/>
        </w:rPr>
      </w:pPr>
      <w:r>
        <w:rPr>
          <w:rFonts w:hint="eastAsia" w:ascii="仿宋" w:hAnsi="仿宋" w:eastAsia="仿宋"/>
          <w:b/>
          <w:sz w:val="32"/>
          <w:szCs w:val="32"/>
        </w:rPr>
        <w:t>人员经费183.95万元，</w:t>
      </w:r>
      <w:r>
        <w:rPr>
          <w:rFonts w:hint="eastAsia" w:ascii="仿宋" w:hAnsi="仿宋" w:eastAsia="仿宋"/>
          <w:sz w:val="32"/>
          <w:szCs w:val="32"/>
        </w:rPr>
        <w:t>主要包括：</w:t>
      </w:r>
    </w:p>
    <w:p>
      <w:pPr>
        <w:spacing w:line="560" w:lineRule="exact"/>
        <w:ind w:firstLine="645"/>
        <w:rPr>
          <w:rFonts w:ascii="仿宋" w:hAnsi="仿宋" w:eastAsia="仿宋"/>
          <w:sz w:val="32"/>
          <w:szCs w:val="32"/>
        </w:rPr>
      </w:pPr>
      <w:r>
        <w:rPr>
          <w:rFonts w:hint="eastAsia" w:ascii="仿宋" w:hAnsi="仿宋" w:eastAsia="仿宋"/>
          <w:sz w:val="32"/>
          <w:szCs w:val="32"/>
        </w:rPr>
        <w:t>基本工资：35.74万元；</w:t>
      </w:r>
    </w:p>
    <w:p>
      <w:pPr>
        <w:spacing w:line="560" w:lineRule="exact"/>
        <w:ind w:firstLine="645"/>
        <w:rPr>
          <w:rFonts w:ascii="仿宋" w:hAnsi="仿宋" w:eastAsia="仿宋"/>
          <w:sz w:val="32"/>
          <w:szCs w:val="32"/>
        </w:rPr>
      </w:pPr>
      <w:r>
        <w:rPr>
          <w:rFonts w:hint="eastAsia" w:ascii="仿宋" w:hAnsi="仿宋" w:eastAsia="仿宋"/>
          <w:sz w:val="32"/>
          <w:szCs w:val="32"/>
        </w:rPr>
        <w:t>津贴补贴：34.58万元；</w:t>
      </w:r>
    </w:p>
    <w:p>
      <w:pPr>
        <w:spacing w:line="560" w:lineRule="exact"/>
        <w:ind w:firstLine="645"/>
        <w:rPr>
          <w:rFonts w:ascii="仿宋" w:hAnsi="仿宋" w:eastAsia="仿宋"/>
          <w:sz w:val="32"/>
          <w:szCs w:val="32"/>
        </w:rPr>
      </w:pPr>
      <w:r>
        <w:rPr>
          <w:rFonts w:hint="eastAsia" w:ascii="仿宋" w:hAnsi="仿宋" w:eastAsia="仿宋"/>
          <w:sz w:val="32"/>
          <w:szCs w:val="32"/>
        </w:rPr>
        <w:t>奖金：27.47万元；</w:t>
      </w:r>
    </w:p>
    <w:p>
      <w:pPr>
        <w:spacing w:line="560" w:lineRule="exact"/>
        <w:ind w:firstLine="645"/>
        <w:rPr>
          <w:rFonts w:ascii="仿宋" w:hAnsi="仿宋" w:eastAsia="仿宋"/>
          <w:sz w:val="32"/>
          <w:szCs w:val="32"/>
        </w:rPr>
      </w:pPr>
      <w:r>
        <w:rPr>
          <w:rFonts w:hint="eastAsia" w:ascii="仿宋" w:hAnsi="仿宋" w:eastAsia="仿宋"/>
          <w:sz w:val="32"/>
          <w:szCs w:val="32"/>
        </w:rPr>
        <w:t>绩效工资：36.04万元；</w:t>
      </w:r>
    </w:p>
    <w:p>
      <w:pPr>
        <w:spacing w:line="560" w:lineRule="exact"/>
        <w:ind w:firstLine="645"/>
        <w:rPr>
          <w:rFonts w:ascii="仿宋" w:hAnsi="仿宋" w:eastAsia="仿宋"/>
          <w:sz w:val="32"/>
          <w:szCs w:val="32"/>
        </w:rPr>
      </w:pPr>
      <w:r>
        <w:rPr>
          <w:rFonts w:hint="eastAsia" w:ascii="仿宋" w:hAnsi="仿宋" w:eastAsia="仿宋"/>
          <w:sz w:val="32"/>
          <w:szCs w:val="32"/>
        </w:rPr>
        <w:t>机关事业单位基本养老保险缴费：18.88万元；</w:t>
      </w:r>
    </w:p>
    <w:p>
      <w:pPr>
        <w:spacing w:line="560" w:lineRule="exact"/>
        <w:ind w:firstLine="645"/>
        <w:rPr>
          <w:rFonts w:ascii="仿宋" w:hAnsi="仿宋" w:eastAsia="仿宋"/>
          <w:sz w:val="32"/>
          <w:szCs w:val="32"/>
        </w:rPr>
      </w:pPr>
      <w:r>
        <w:rPr>
          <w:rFonts w:hint="eastAsia" w:ascii="仿宋" w:hAnsi="仿宋" w:eastAsia="仿宋"/>
          <w:sz w:val="32"/>
          <w:szCs w:val="32"/>
        </w:rPr>
        <w:t>职业年金缴费：7.55万元；</w:t>
      </w:r>
    </w:p>
    <w:p>
      <w:pPr>
        <w:spacing w:line="560" w:lineRule="exact"/>
        <w:ind w:firstLine="645"/>
        <w:rPr>
          <w:rFonts w:ascii="仿宋" w:hAnsi="仿宋" w:eastAsia="仿宋"/>
          <w:sz w:val="32"/>
          <w:szCs w:val="32"/>
        </w:rPr>
      </w:pPr>
      <w:r>
        <w:rPr>
          <w:rFonts w:hint="eastAsia" w:ascii="仿宋" w:hAnsi="仿宋" w:eastAsia="仿宋"/>
          <w:sz w:val="32"/>
          <w:szCs w:val="32"/>
        </w:rPr>
        <w:t>职工基本医疗保险缴费：7.94；</w:t>
      </w:r>
    </w:p>
    <w:p>
      <w:pPr>
        <w:spacing w:line="560" w:lineRule="exact"/>
        <w:ind w:firstLine="645"/>
        <w:rPr>
          <w:rFonts w:ascii="仿宋" w:hAnsi="仿宋" w:eastAsia="仿宋"/>
          <w:sz w:val="32"/>
          <w:szCs w:val="32"/>
        </w:rPr>
      </w:pPr>
      <w:r>
        <w:rPr>
          <w:rFonts w:hint="eastAsia" w:ascii="仿宋" w:hAnsi="仿宋" w:eastAsia="仿宋"/>
          <w:sz w:val="32"/>
          <w:szCs w:val="32"/>
        </w:rPr>
        <w:t>其他社会保障缴费：2.11万元；</w:t>
      </w:r>
    </w:p>
    <w:p>
      <w:pPr>
        <w:spacing w:line="560" w:lineRule="exact"/>
        <w:ind w:firstLine="645"/>
        <w:rPr>
          <w:rFonts w:ascii="仿宋" w:hAnsi="仿宋" w:eastAsia="仿宋"/>
          <w:sz w:val="32"/>
          <w:szCs w:val="32"/>
        </w:rPr>
      </w:pPr>
      <w:r>
        <w:rPr>
          <w:rFonts w:hint="eastAsia" w:ascii="仿宋" w:hAnsi="仿宋" w:eastAsia="仿宋"/>
          <w:sz w:val="32"/>
          <w:szCs w:val="32"/>
        </w:rPr>
        <w:t>医疗费：0.94万元；</w:t>
      </w:r>
    </w:p>
    <w:p>
      <w:pPr>
        <w:spacing w:line="560" w:lineRule="exact"/>
        <w:ind w:firstLine="645"/>
        <w:rPr>
          <w:rFonts w:ascii="仿宋" w:hAnsi="仿宋" w:eastAsia="仿宋"/>
          <w:sz w:val="32"/>
          <w:szCs w:val="32"/>
        </w:rPr>
      </w:pPr>
      <w:r>
        <w:rPr>
          <w:rFonts w:hint="eastAsia" w:ascii="仿宋" w:hAnsi="仿宋" w:eastAsia="仿宋"/>
          <w:sz w:val="32"/>
          <w:szCs w:val="32"/>
        </w:rPr>
        <w:t>住房公积金：12.68万元。</w:t>
      </w:r>
      <w:r>
        <w:rPr>
          <w:rFonts w:ascii="仿宋" w:hAnsi="仿宋" w:eastAsia="仿宋"/>
          <w:sz w:val="32"/>
          <w:szCs w:val="32"/>
        </w:rPr>
        <w:br w:type="textWrapping"/>
      </w:r>
      <w:r>
        <w:rPr>
          <w:rFonts w:hint="eastAsia" w:ascii="仿宋" w:hAnsi="仿宋" w:eastAsia="仿宋"/>
          <w:sz w:val="32"/>
          <w:szCs w:val="32"/>
        </w:rPr>
        <w:t>　　</w:t>
      </w:r>
      <w:r>
        <w:rPr>
          <w:rFonts w:hint="eastAsia" w:ascii="仿宋" w:hAnsi="仿宋" w:eastAsia="仿宋"/>
          <w:b/>
          <w:sz w:val="32"/>
          <w:szCs w:val="32"/>
        </w:rPr>
        <w:t>公用经费</w:t>
      </w:r>
      <w:r>
        <w:rPr>
          <w:rFonts w:hint="eastAsia" w:ascii="仿宋_GB2312" w:hAnsi="仿宋_GB2312" w:eastAsia="仿宋_GB2312" w:cs="仿宋_GB2312"/>
          <w:b/>
          <w:sz w:val="32"/>
          <w:szCs w:val="32"/>
        </w:rPr>
        <w:t>256.37</w:t>
      </w:r>
      <w:r>
        <w:rPr>
          <w:rFonts w:hint="eastAsia" w:ascii="仿宋" w:hAnsi="仿宋" w:eastAsia="仿宋"/>
          <w:b/>
          <w:sz w:val="32"/>
          <w:szCs w:val="32"/>
        </w:rPr>
        <w:t>万元</w:t>
      </w:r>
      <w:r>
        <w:rPr>
          <w:rFonts w:hint="eastAsia" w:ascii="仿宋" w:hAnsi="仿宋" w:eastAsia="仿宋"/>
          <w:sz w:val="32"/>
          <w:szCs w:val="32"/>
        </w:rPr>
        <w:t>，主要包括：</w:t>
      </w:r>
    </w:p>
    <w:p>
      <w:pPr>
        <w:spacing w:line="560" w:lineRule="exact"/>
        <w:ind w:firstLine="645"/>
        <w:rPr>
          <w:rFonts w:ascii="仿宋" w:hAnsi="仿宋" w:eastAsia="仿宋"/>
          <w:sz w:val="32"/>
          <w:szCs w:val="32"/>
        </w:rPr>
      </w:pPr>
      <w:r>
        <w:rPr>
          <w:rFonts w:hint="eastAsia" w:ascii="仿宋" w:hAnsi="仿宋" w:eastAsia="仿宋"/>
          <w:sz w:val="32"/>
          <w:szCs w:val="32"/>
        </w:rPr>
        <w:t>办公费：6.75万元；</w:t>
      </w:r>
    </w:p>
    <w:p>
      <w:pPr>
        <w:spacing w:line="560" w:lineRule="exact"/>
        <w:ind w:firstLine="645"/>
        <w:rPr>
          <w:rFonts w:ascii="仿宋" w:hAnsi="仿宋" w:eastAsia="仿宋"/>
          <w:sz w:val="32"/>
          <w:szCs w:val="32"/>
        </w:rPr>
      </w:pPr>
      <w:r>
        <w:rPr>
          <w:rFonts w:hint="eastAsia" w:ascii="仿宋" w:hAnsi="仿宋" w:eastAsia="仿宋"/>
          <w:sz w:val="32"/>
          <w:szCs w:val="32"/>
        </w:rPr>
        <w:t>手续费：0.01万元；</w:t>
      </w:r>
    </w:p>
    <w:p>
      <w:pPr>
        <w:spacing w:line="560" w:lineRule="exact"/>
        <w:ind w:firstLine="645"/>
        <w:rPr>
          <w:rFonts w:ascii="仿宋" w:hAnsi="仿宋" w:eastAsia="仿宋"/>
          <w:sz w:val="32"/>
          <w:szCs w:val="32"/>
        </w:rPr>
      </w:pPr>
      <w:r>
        <w:rPr>
          <w:rFonts w:hint="eastAsia" w:ascii="仿宋" w:hAnsi="仿宋" w:eastAsia="仿宋"/>
          <w:sz w:val="32"/>
          <w:szCs w:val="32"/>
        </w:rPr>
        <w:t>电费：24.28万元；</w:t>
      </w:r>
    </w:p>
    <w:p>
      <w:pPr>
        <w:spacing w:line="560" w:lineRule="exact"/>
        <w:ind w:firstLine="645"/>
        <w:rPr>
          <w:rFonts w:ascii="仿宋" w:hAnsi="仿宋" w:eastAsia="仿宋"/>
          <w:sz w:val="32"/>
          <w:szCs w:val="32"/>
        </w:rPr>
      </w:pPr>
      <w:r>
        <w:rPr>
          <w:rFonts w:hint="eastAsia" w:ascii="仿宋" w:hAnsi="仿宋" w:eastAsia="仿宋"/>
          <w:sz w:val="32"/>
          <w:szCs w:val="32"/>
        </w:rPr>
        <w:t>邮电费2.41万元；</w:t>
      </w:r>
    </w:p>
    <w:p>
      <w:pPr>
        <w:spacing w:line="560" w:lineRule="exact"/>
        <w:ind w:firstLine="645"/>
        <w:rPr>
          <w:rFonts w:ascii="仿宋" w:hAnsi="仿宋" w:eastAsia="仿宋"/>
          <w:sz w:val="32"/>
          <w:szCs w:val="32"/>
        </w:rPr>
      </w:pPr>
      <w:r>
        <w:rPr>
          <w:rFonts w:hint="eastAsia" w:ascii="仿宋" w:hAnsi="仿宋" w:eastAsia="仿宋"/>
          <w:sz w:val="32"/>
          <w:szCs w:val="32"/>
        </w:rPr>
        <w:t>差旅费：10.57万元；</w:t>
      </w:r>
    </w:p>
    <w:p>
      <w:pPr>
        <w:spacing w:line="560" w:lineRule="exact"/>
        <w:ind w:firstLine="645"/>
        <w:rPr>
          <w:rFonts w:ascii="仿宋" w:hAnsi="仿宋" w:eastAsia="仿宋"/>
          <w:sz w:val="32"/>
          <w:szCs w:val="32"/>
        </w:rPr>
      </w:pPr>
      <w:r>
        <w:rPr>
          <w:rFonts w:hint="eastAsia" w:ascii="仿宋" w:hAnsi="仿宋" w:eastAsia="仿宋"/>
          <w:sz w:val="32"/>
          <w:szCs w:val="32"/>
        </w:rPr>
        <w:t>培训费：0.10万元；</w:t>
      </w:r>
    </w:p>
    <w:p>
      <w:pPr>
        <w:spacing w:line="560" w:lineRule="exact"/>
        <w:ind w:firstLine="645"/>
        <w:rPr>
          <w:rFonts w:ascii="仿宋" w:hAnsi="仿宋" w:eastAsia="仿宋"/>
          <w:sz w:val="32"/>
          <w:szCs w:val="32"/>
        </w:rPr>
      </w:pPr>
      <w:r>
        <w:rPr>
          <w:rFonts w:hint="eastAsia" w:ascii="仿宋" w:hAnsi="仿宋" w:eastAsia="仿宋"/>
          <w:sz w:val="32"/>
          <w:szCs w:val="32"/>
        </w:rPr>
        <w:t>公务接待费：191.26万元；</w:t>
      </w:r>
    </w:p>
    <w:p>
      <w:pPr>
        <w:spacing w:line="560" w:lineRule="exact"/>
        <w:ind w:firstLine="645"/>
        <w:rPr>
          <w:rFonts w:ascii="仿宋" w:hAnsi="仿宋" w:eastAsia="仿宋"/>
          <w:sz w:val="32"/>
          <w:szCs w:val="32"/>
        </w:rPr>
      </w:pPr>
      <w:r>
        <w:rPr>
          <w:rFonts w:hint="eastAsia" w:ascii="仿宋" w:hAnsi="仿宋" w:eastAsia="仿宋"/>
          <w:sz w:val="32"/>
          <w:szCs w:val="32"/>
        </w:rPr>
        <w:t>劳务费：3.57万元；</w:t>
      </w:r>
    </w:p>
    <w:p>
      <w:pPr>
        <w:spacing w:line="560" w:lineRule="exact"/>
        <w:ind w:firstLine="645"/>
        <w:rPr>
          <w:rFonts w:ascii="仿宋" w:hAnsi="仿宋" w:eastAsia="仿宋"/>
          <w:sz w:val="32"/>
          <w:szCs w:val="32"/>
        </w:rPr>
      </w:pPr>
      <w:r>
        <w:rPr>
          <w:rFonts w:hint="eastAsia" w:ascii="仿宋" w:hAnsi="仿宋" w:eastAsia="仿宋"/>
          <w:sz w:val="32"/>
          <w:szCs w:val="32"/>
        </w:rPr>
        <w:t>公务用车运行维护费：17.42万元。</w:t>
      </w:r>
    </w:p>
    <w:p>
      <w:pPr>
        <w:spacing w:line="560" w:lineRule="exact"/>
        <w:ind w:firstLine="640"/>
        <w:rPr>
          <w:rFonts w:ascii="仿宋" w:hAnsi="仿宋" w:eastAsia="仿宋"/>
          <w:b/>
          <w:color w:val="FF0000"/>
          <w:sz w:val="32"/>
          <w:szCs w:val="32"/>
        </w:rPr>
      </w:pPr>
    </w:p>
    <w:p>
      <w:pPr>
        <w:spacing w:line="560" w:lineRule="exact"/>
        <w:ind w:firstLine="640"/>
        <w:outlineLvl w:val="1"/>
        <w:rPr>
          <w:rStyle w:val="28"/>
          <w:rFonts w:ascii="黑体" w:hAnsi="黑体" w:eastAsia="黑体"/>
          <w:b w:val="0"/>
        </w:rPr>
      </w:pPr>
      <w:bookmarkStart w:id="40" w:name="_Toc15396609"/>
      <w:bookmarkStart w:id="41" w:name="_Toc15377215"/>
      <w:r>
        <w:rPr>
          <w:rFonts w:hint="eastAsia" w:ascii="黑体" w:eastAsia="黑体"/>
          <w:color w:val="000000"/>
          <w:sz w:val="32"/>
          <w:szCs w:val="32"/>
        </w:rPr>
        <w:t>七、</w:t>
      </w:r>
      <w:r>
        <w:rPr>
          <w:rStyle w:val="28"/>
          <w:rFonts w:hint="eastAsia" w:ascii="黑体" w:hAnsi="黑体" w:eastAsia="黑体"/>
        </w:rPr>
        <w:t>“</w:t>
      </w:r>
      <w:r>
        <w:rPr>
          <w:rStyle w:val="28"/>
          <w:rFonts w:hint="eastAsia" w:ascii="黑体" w:hAnsi="黑体" w:eastAsia="黑体"/>
          <w:b w:val="0"/>
        </w:rPr>
        <w:t>三公”经费财政拨款支出决算情况说明</w:t>
      </w:r>
      <w:bookmarkEnd w:id="40"/>
      <w:bookmarkEnd w:id="41"/>
    </w:p>
    <w:p>
      <w:pPr>
        <w:spacing w:line="560" w:lineRule="exact"/>
        <w:ind w:firstLine="640"/>
        <w:outlineLvl w:val="2"/>
        <w:rPr>
          <w:rFonts w:ascii="仿宋" w:hAnsi="仿宋" w:eastAsia="仿宋"/>
          <w:b/>
          <w:color w:val="000000"/>
          <w:sz w:val="32"/>
          <w:szCs w:val="32"/>
        </w:rPr>
      </w:pPr>
      <w:bookmarkStart w:id="42" w:name="_Toc15377216"/>
      <w:r>
        <w:rPr>
          <w:rFonts w:hint="eastAsia" w:ascii="仿宋" w:hAnsi="仿宋" w:eastAsia="仿宋"/>
          <w:b/>
          <w:color w:val="000000"/>
          <w:sz w:val="32"/>
          <w:szCs w:val="32"/>
        </w:rPr>
        <w:t>（一）“三公”经费财政拨款支出决算总体情况说明</w:t>
      </w:r>
      <w:bookmarkEnd w:id="42"/>
    </w:p>
    <w:p>
      <w:pPr>
        <w:spacing w:line="56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2018年“三公”经费财政拨款支出决算为208.68万元，完成预算76%，决算数小于预算数的主要原因是是接待费和公车费维修费用下降。</w:t>
      </w:r>
    </w:p>
    <w:p>
      <w:pPr>
        <w:spacing w:line="560" w:lineRule="exact"/>
        <w:ind w:firstLine="640"/>
        <w:outlineLvl w:val="2"/>
        <w:rPr>
          <w:rFonts w:ascii="仿宋" w:hAnsi="仿宋" w:eastAsia="仿宋"/>
          <w:b/>
          <w:color w:val="000000"/>
          <w:sz w:val="32"/>
          <w:szCs w:val="32"/>
        </w:rPr>
      </w:pPr>
      <w:bookmarkStart w:id="43" w:name="_Toc15377217"/>
      <w:r>
        <w:rPr>
          <w:rFonts w:hint="eastAsia" w:ascii="仿宋" w:hAnsi="仿宋" w:eastAsia="仿宋"/>
          <w:b/>
          <w:color w:val="000000"/>
          <w:sz w:val="32"/>
          <w:szCs w:val="32"/>
        </w:rPr>
        <w:t>（二）“三公”经费财政拨款支出决算具体情况说明</w:t>
      </w:r>
      <w:bookmarkEnd w:id="43"/>
    </w:p>
    <w:p>
      <w:pPr>
        <w:spacing w:line="560" w:lineRule="exact"/>
        <w:ind w:firstLine="640"/>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8年“三公”经费财政拨款支出决算中，因公出国（境）费支出决算0万元，占0</w:t>
      </w:r>
      <w:r>
        <w:rPr>
          <w:rFonts w:ascii="仿宋" w:hAnsi="仿宋" w:eastAsia="仿宋"/>
          <w:color w:val="000000"/>
          <w:sz w:val="32"/>
          <w:szCs w:val="32"/>
        </w:rPr>
        <w:t>%</w:t>
      </w:r>
      <w:r>
        <w:rPr>
          <w:rFonts w:hint="eastAsia" w:ascii="仿宋" w:hAnsi="仿宋" w:eastAsia="仿宋"/>
          <w:color w:val="000000"/>
          <w:sz w:val="32"/>
          <w:szCs w:val="32"/>
        </w:rPr>
        <w:t>；公务用车购置及运行维护费支出决算</w:t>
      </w:r>
      <w:r>
        <w:rPr>
          <w:rFonts w:hint="eastAsia" w:ascii="仿宋_GB2312" w:hAnsi="仿宋_GB2312" w:eastAsia="仿宋_GB2312" w:cs="仿宋_GB2312"/>
          <w:color w:val="000000"/>
          <w:sz w:val="32"/>
          <w:szCs w:val="32"/>
        </w:rPr>
        <w:t>17.42</w:t>
      </w:r>
      <w:r>
        <w:rPr>
          <w:rFonts w:hint="eastAsia" w:ascii="仿宋" w:hAnsi="仿宋" w:eastAsia="仿宋"/>
          <w:color w:val="000000"/>
          <w:sz w:val="32"/>
          <w:szCs w:val="32"/>
        </w:rPr>
        <w:t>万元，占8.35</w:t>
      </w:r>
      <w:r>
        <w:rPr>
          <w:rFonts w:ascii="仿宋" w:hAnsi="仿宋" w:eastAsia="仿宋"/>
          <w:color w:val="000000"/>
          <w:sz w:val="32"/>
          <w:szCs w:val="32"/>
        </w:rPr>
        <w:t>%</w:t>
      </w:r>
      <w:r>
        <w:rPr>
          <w:rFonts w:hint="eastAsia" w:ascii="仿宋" w:hAnsi="仿宋" w:eastAsia="仿宋"/>
          <w:color w:val="000000"/>
          <w:sz w:val="32"/>
          <w:szCs w:val="32"/>
        </w:rPr>
        <w:t>；公务接待费支出决算</w:t>
      </w:r>
      <w:r>
        <w:rPr>
          <w:rFonts w:hint="eastAsia" w:ascii="仿宋_GB2312" w:hAnsi="仿宋_GB2312" w:eastAsia="仿宋_GB2312" w:cs="仿宋_GB2312"/>
          <w:color w:val="000000"/>
          <w:sz w:val="32"/>
          <w:szCs w:val="32"/>
        </w:rPr>
        <w:t>191.26</w:t>
      </w:r>
      <w:r>
        <w:rPr>
          <w:rFonts w:hint="eastAsia" w:ascii="仿宋" w:hAnsi="仿宋" w:eastAsia="仿宋"/>
          <w:color w:val="000000"/>
          <w:sz w:val="32"/>
          <w:szCs w:val="32"/>
        </w:rPr>
        <w:t>万元，占</w:t>
      </w:r>
      <w:r>
        <w:rPr>
          <w:rFonts w:hint="eastAsia" w:ascii="仿宋_GB2312" w:hAnsi="仿宋_GB2312" w:eastAsia="仿宋_GB2312" w:cs="仿宋_GB2312"/>
          <w:color w:val="000000"/>
          <w:sz w:val="32"/>
          <w:szCs w:val="32"/>
        </w:rPr>
        <w:t>91.65</w:t>
      </w:r>
      <w:r>
        <w:rPr>
          <w:rFonts w:ascii="仿宋" w:hAnsi="仿宋" w:eastAsia="仿宋"/>
          <w:color w:val="000000"/>
          <w:sz w:val="32"/>
          <w:szCs w:val="32"/>
        </w:rPr>
        <w:t>%</w:t>
      </w:r>
      <w:r>
        <w:rPr>
          <w:rFonts w:hint="eastAsia" w:ascii="仿宋" w:hAnsi="仿宋" w:eastAsia="仿宋"/>
          <w:color w:val="000000"/>
          <w:sz w:val="32"/>
          <w:szCs w:val="32"/>
        </w:rPr>
        <w:t>。具体情况如下：</w:t>
      </w:r>
    </w:p>
    <w:p>
      <w:pPr>
        <w:spacing w:line="560" w:lineRule="exact"/>
        <w:ind w:firstLine="640"/>
        <w:rPr>
          <w:rFonts w:ascii="仿宋" w:hAnsi="仿宋" w:eastAsia="仿宋"/>
          <w:color w:val="000000"/>
          <w:sz w:val="32"/>
          <w:szCs w:val="32"/>
        </w:rPr>
      </w:pPr>
      <w:r>
        <w:rPr>
          <w:rFonts w:hint="eastAsia" w:ascii="仿宋" w:hAnsi="仿宋" w:eastAsia="仿宋"/>
          <w:color w:val="000000"/>
          <w:sz w:val="32"/>
          <w:szCs w:val="32"/>
        </w:rPr>
        <w:t>（图8：“三公”经费财政拨款支出结构）（饼状图）</w:t>
      </w:r>
    </w:p>
    <w:p>
      <w:pPr>
        <w:spacing w:line="560" w:lineRule="exact"/>
        <w:ind w:firstLine="640"/>
        <w:rPr>
          <w:rFonts w:ascii="仿宋_GB2312" w:eastAsia="仿宋_GB2312"/>
          <w:b/>
          <w:color w:val="000000"/>
          <w:sz w:val="32"/>
          <w:szCs w:val="32"/>
        </w:rPr>
      </w:pPr>
      <w:r>
        <w:rPr>
          <w:rFonts w:ascii="仿宋_GB2312" w:eastAsia="仿宋_GB2312"/>
          <w:b/>
          <w:color w:val="000000"/>
          <w:sz w:val="32"/>
          <w:szCs w:val="32"/>
        </w:rPr>
        <w:t>1.</w:t>
      </w:r>
      <w:r>
        <w:rPr>
          <w:rFonts w:hint="eastAsia" w:ascii="仿宋_GB2312" w:eastAsia="仿宋_GB2312"/>
          <w:b/>
          <w:color w:val="000000"/>
          <w:sz w:val="32"/>
          <w:szCs w:val="32"/>
        </w:rPr>
        <w:t>因公出国（境）经费支出</w:t>
      </w:r>
      <w:r>
        <w:rPr>
          <w:rFonts w:hint="eastAsia" w:ascii="仿宋_GB2312" w:eastAsia="仿宋_GB2312"/>
          <w:color w:val="000000"/>
          <w:sz w:val="32"/>
          <w:szCs w:val="32"/>
        </w:rPr>
        <w:t>0万元，</w:t>
      </w:r>
      <w:r>
        <w:rPr>
          <w:rStyle w:val="16"/>
          <w:rFonts w:hint="eastAsia" w:ascii="仿宋" w:hAnsi="仿宋" w:eastAsia="仿宋"/>
          <w:b w:val="0"/>
          <w:bCs/>
          <w:color w:val="000000"/>
          <w:sz w:val="32"/>
          <w:szCs w:val="32"/>
        </w:rPr>
        <w:t>完成预算0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w:t>
      </w:r>
      <w:r>
        <w:rPr>
          <w:rFonts w:hint="eastAsia" w:ascii="仿宋_GB2312" w:eastAsia="仿宋_GB2312"/>
          <w:color w:val="000000"/>
          <w:sz w:val="32"/>
          <w:szCs w:val="32"/>
        </w:rPr>
        <w:t>全年安排因公出国（境）团组0次，出国（境）0人。因公出国（境）支出决算与2017年无变化。</w:t>
      </w:r>
    </w:p>
    <w:p>
      <w:pPr>
        <w:spacing w:line="560" w:lineRule="exact"/>
        <w:ind w:firstLine="640"/>
        <w:rPr>
          <w:rFonts w:ascii="仿宋_GB2312" w:eastAsia="仿宋_GB2312"/>
          <w:b/>
          <w:color w:val="000000"/>
          <w:sz w:val="32"/>
          <w:szCs w:val="32"/>
        </w:rPr>
      </w:pPr>
      <w:r>
        <w:rPr>
          <w:rFonts w:ascii="仿宋_GB2312" w:eastAsia="仿宋_GB2312"/>
          <w:b/>
          <w:color w:val="000000"/>
          <w:sz w:val="32"/>
          <w:szCs w:val="32"/>
        </w:rPr>
        <w:t>2.</w:t>
      </w:r>
      <w:r>
        <w:rPr>
          <w:rFonts w:hint="eastAsia" w:ascii="仿宋_GB2312" w:eastAsia="仿宋_GB2312"/>
          <w:b/>
          <w:color w:val="000000"/>
          <w:sz w:val="32"/>
          <w:szCs w:val="32"/>
        </w:rPr>
        <w:t>公务用车购置及运行维护费支出</w:t>
      </w:r>
      <w:r>
        <w:rPr>
          <w:rFonts w:hint="eastAsia" w:ascii="仿宋_GB2312" w:hAnsi="仿宋_GB2312" w:eastAsia="仿宋_GB2312" w:cs="仿宋_GB2312"/>
          <w:color w:val="000000"/>
          <w:sz w:val="32"/>
          <w:szCs w:val="32"/>
        </w:rPr>
        <w:t>17.42</w:t>
      </w:r>
      <w:r>
        <w:rPr>
          <w:rFonts w:hint="eastAsia" w:ascii="仿宋_GB2312" w:eastAsia="仿宋_GB2312"/>
          <w:color w:val="000000"/>
          <w:sz w:val="32"/>
          <w:szCs w:val="32"/>
        </w:rPr>
        <w:t>万元,</w:t>
      </w:r>
      <w:r>
        <w:rPr>
          <w:rStyle w:val="16"/>
          <w:rFonts w:hint="eastAsia" w:ascii="仿宋" w:hAnsi="仿宋" w:eastAsia="仿宋"/>
          <w:b w:val="0"/>
          <w:bCs/>
          <w:color w:val="000000"/>
          <w:sz w:val="32"/>
          <w:szCs w:val="32"/>
        </w:rPr>
        <w:t>完成预算8.35</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w:t>
      </w:r>
      <w:r>
        <w:rPr>
          <w:rFonts w:hint="eastAsia" w:ascii="仿宋_GB2312" w:eastAsia="仿宋_GB2312"/>
          <w:color w:val="000000"/>
          <w:sz w:val="32"/>
          <w:szCs w:val="32"/>
        </w:rPr>
        <w:t>公务用车购置及运行维护费支出决算比</w:t>
      </w:r>
      <w:r>
        <w:rPr>
          <w:rFonts w:ascii="仿宋_GB2312" w:eastAsia="仿宋_GB2312"/>
          <w:color w:val="000000"/>
          <w:sz w:val="32"/>
          <w:szCs w:val="32"/>
        </w:rPr>
        <w:t>201</w:t>
      </w:r>
      <w:r>
        <w:rPr>
          <w:rFonts w:hint="eastAsia" w:ascii="仿宋_GB2312" w:eastAsia="仿宋_GB2312"/>
          <w:color w:val="000000"/>
          <w:sz w:val="32"/>
          <w:szCs w:val="32"/>
        </w:rPr>
        <w:t>7年增加9.05万元，增长108.09</w:t>
      </w:r>
      <w:r>
        <w:rPr>
          <w:rFonts w:ascii="仿宋_GB2312" w:eastAsia="仿宋_GB2312"/>
          <w:color w:val="000000"/>
          <w:sz w:val="32"/>
          <w:szCs w:val="32"/>
        </w:rPr>
        <w:t>%</w:t>
      </w:r>
      <w:r>
        <w:rPr>
          <w:rFonts w:hint="eastAsia" w:ascii="仿宋_GB2312" w:eastAsia="仿宋_GB2312"/>
          <w:color w:val="000000"/>
          <w:sz w:val="32"/>
          <w:szCs w:val="32"/>
        </w:rPr>
        <w:t>。主要原因是</w:t>
      </w:r>
      <w:r>
        <w:rPr>
          <w:rFonts w:hint="eastAsia" w:ascii="仿宋_GB2312" w:hAnsi="仿宋_GB2312" w:eastAsia="仿宋_GB2312" w:cs="仿宋_GB2312"/>
          <w:color w:val="000000"/>
          <w:sz w:val="32"/>
          <w:szCs w:val="32"/>
        </w:rPr>
        <w:t>18年我局增加1辆接待用车（考斯特）全年的车辆费用</w:t>
      </w:r>
      <w:r>
        <w:rPr>
          <w:rFonts w:hint="eastAsia" w:ascii="仿宋_GB2312" w:eastAsia="仿宋_GB2312"/>
          <w:color w:val="000000"/>
          <w:sz w:val="32"/>
          <w:szCs w:val="32"/>
        </w:rPr>
        <w:t>。</w:t>
      </w:r>
    </w:p>
    <w:p>
      <w:pPr>
        <w:spacing w:line="560" w:lineRule="exact"/>
        <w:ind w:firstLine="640" w:firstLineChars="200"/>
        <w:rPr>
          <w:rFonts w:ascii="仿宋_GB2312" w:eastAsia="仿宋_GB2312"/>
          <w:b/>
          <w:color w:val="000000"/>
          <w:sz w:val="32"/>
          <w:szCs w:val="32"/>
        </w:rPr>
      </w:pPr>
      <w:r>
        <w:rPr>
          <w:rFonts w:hint="eastAsia" w:ascii="仿宋_GB2312" w:eastAsia="仿宋_GB2312"/>
          <w:color w:val="000000"/>
          <w:sz w:val="32"/>
          <w:szCs w:val="32"/>
        </w:rPr>
        <w:t>其中：</w:t>
      </w:r>
      <w:r>
        <w:rPr>
          <w:rFonts w:hint="eastAsia" w:ascii="仿宋_GB2312" w:eastAsia="仿宋_GB2312"/>
          <w:b/>
          <w:color w:val="000000"/>
          <w:sz w:val="32"/>
          <w:szCs w:val="32"/>
        </w:rPr>
        <w:t>公务用车购置支出</w:t>
      </w:r>
      <w:r>
        <w:rPr>
          <w:rFonts w:hint="eastAsia" w:ascii="仿宋_GB2312" w:eastAsia="仿宋_GB2312"/>
          <w:color w:val="000000"/>
          <w:sz w:val="32"/>
          <w:szCs w:val="32"/>
        </w:rPr>
        <w:t>0万元。全年按规定更新购置公务用车1辆，其中：轿车0辆、金额0万元，越野车0辆、金额0万元，载客汽车0辆、金额0万元，主要用于公务服务。截至</w:t>
      </w:r>
      <w:r>
        <w:rPr>
          <w:rFonts w:ascii="仿宋_GB2312" w:eastAsia="仿宋_GB2312"/>
          <w:color w:val="000000"/>
          <w:sz w:val="32"/>
          <w:szCs w:val="32"/>
        </w:rPr>
        <w:t>201</w:t>
      </w:r>
      <w:r>
        <w:rPr>
          <w:rFonts w:hint="eastAsia" w:ascii="仿宋_GB2312" w:eastAsia="仿宋_GB2312"/>
          <w:color w:val="000000"/>
          <w:sz w:val="32"/>
          <w:szCs w:val="32"/>
        </w:rPr>
        <w:t>8年</w:t>
      </w:r>
      <w:r>
        <w:rPr>
          <w:rFonts w:ascii="仿宋_GB2312" w:eastAsia="仿宋_GB2312"/>
          <w:color w:val="000000"/>
          <w:sz w:val="32"/>
          <w:szCs w:val="32"/>
        </w:rPr>
        <w:t>12</w:t>
      </w:r>
      <w:r>
        <w:rPr>
          <w:rFonts w:hint="eastAsia" w:ascii="仿宋_GB2312" w:eastAsia="仿宋_GB2312"/>
          <w:color w:val="000000"/>
          <w:sz w:val="32"/>
          <w:szCs w:val="32"/>
        </w:rPr>
        <w:t>月底，单位共有公务用车1辆，其中：轿车0辆、越野车1辆、载客汽车0辆。</w:t>
      </w:r>
    </w:p>
    <w:p>
      <w:pPr>
        <w:spacing w:line="560" w:lineRule="exact"/>
        <w:ind w:firstLine="640"/>
        <w:rPr>
          <w:rFonts w:ascii="仿宋_GB2312" w:eastAsia="仿宋_GB2312"/>
          <w:color w:val="000000"/>
          <w:sz w:val="32"/>
          <w:szCs w:val="32"/>
        </w:rPr>
      </w:pPr>
      <w:r>
        <w:rPr>
          <w:rFonts w:hint="eastAsia" w:ascii="仿宋_GB2312" w:eastAsia="仿宋_GB2312"/>
          <w:b/>
          <w:color w:val="000000"/>
          <w:sz w:val="32"/>
          <w:szCs w:val="32"/>
        </w:rPr>
        <w:t>公务用车运行维护费支出</w:t>
      </w:r>
      <w:r>
        <w:rPr>
          <w:rFonts w:hint="eastAsia" w:ascii="仿宋_GB2312" w:eastAsia="仿宋_GB2312"/>
          <w:color w:val="000000"/>
          <w:sz w:val="32"/>
          <w:szCs w:val="32"/>
        </w:rPr>
        <w:t>17.42万元。主要用于</w:t>
      </w:r>
      <w:r>
        <w:rPr>
          <w:rFonts w:hint="eastAsia" w:ascii="仿宋_GB2312" w:hAnsi="仿宋_GB2312" w:eastAsia="仿宋_GB2312" w:cs="仿宋_GB2312"/>
          <w:color w:val="000000"/>
          <w:sz w:val="32"/>
          <w:szCs w:val="32"/>
        </w:rPr>
        <w:t>所需的公务用车燃料费、维修费、过路过桥费、保险费等支出。</w:t>
      </w:r>
    </w:p>
    <w:p>
      <w:pPr>
        <w:spacing w:line="560" w:lineRule="exact"/>
        <w:ind w:firstLine="640"/>
        <w:rPr>
          <w:rFonts w:ascii="仿宋_GB2312" w:eastAsia="仿宋_GB2312"/>
          <w:color w:val="000000"/>
          <w:sz w:val="32"/>
          <w:szCs w:val="32"/>
        </w:rPr>
      </w:pPr>
      <w:r>
        <w:rPr>
          <w:rFonts w:ascii="仿宋_GB2312" w:eastAsia="仿宋_GB2312"/>
          <w:b/>
          <w:color w:val="000000"/>
          <w:sz w:val="32"/>
          <w:szCs w:val="32"/>
        </w:rPr>
        <w:t>3.</w:t>
      </w:r>
      <w:r>
        <w:rPr>
          <w:rFonts w:hint="eastAsia" w:ascii="仿宋_GB2312" w:eastAsia="仿宋_GB2312"/>
          <w:b/>
          <w:color w:val="000000"/>
          <w:sz w:val="32"/>
          <w:szCs w:val="32"/>
        </w:rPr>
        <w:t>公务接待费支出</w:t>
      </w:r>
      <w:r>
        <w:rPr>
          <w:rFonts w:hint="eastAsia" w:ascii="仿宋_GB2312" w:eastAsia="仿宋_GB2312"/>
          <w:color w:val="000000"/>
          <w:sz w:val="32"/>
          <w:szCs w:val="32"/>
        </w:rPr>
        <w:t>191.26万元，</w:t>
      </w:r>
      <w:r>
        <w:rPr>
          <w:rStyle w:val="16"/>
          <w:rFonts w:hint="eastAsia" w:ascii="仿宋" w:hAnsi="仿宋" w:eastAsia="仿宋"/>
          <w:b w:val="0"/>
          <w:bCs/>
          <w:color w:val="000000"/>
          <w:sz w:val="32"/>
          <w:szCs w:val="32"/>
        </w:rPr>
        <w:t>完成预算91.65</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w:t>
      </w:r>
      <w:r>
        <w:rPr>
          <w:rFonts w:hint="eastAsia" w:ascii="仿宋_GB2312" w:eastAsia="仿宋_GB2312"/>
          <w:color w:val="000000"/>
          <w:sz w:val="32"/>
          <w:szCs w:val="32"/>
        </w:rPr>
        <w:t>公务接待费支出决算比</w:t>
      </w:r>
      <w:r>
        <w:rPr>
          <w:rFonts w:ascii="仿宋_GB2312" w:eastAsia="仿宋_GB2312"/>
          <w:color w:val="000000"/>
          <w:sz w:val="32"/>
          <w:szCs w:val="32"/>
        </w:rPr>
        <w:t>201</w:t>
      </w:r>
      <w:r>
        <w:rPr>
          <w:rFonts w:hint="eastAsia" w:ascii="仿宋_GB2312" w:eastAsia="仿宋_GB2312"/>
          <w:color w:val="000000"/>
          <w:sz w:val="32"/>
          <w:szCs w:val="32"/>
        </w:rPr>
        <w:t>7年增加27.56万元，增长16.84</w:t>
      </w:r>
      <w:r>
        <w:rPr>
          <w:rFonts w:ascii="仿宋_GB2312" w:eastAsia="仿宋_GB2312"/>
          <w:color w:val="000000"/>
          <w:sz w:val="32"/>
          <w:szCs w:val="32"/>
        </w:rPr>
        <w:t>%</w:t>
      </w:r>
      <w:r>
        <w:rPr>
          <w:rFonts w:hint="eastAsia" w:ascii="仿宋_GB2312" w:eastAsia="仿宋_GB2312"/>
          <w:color w:val="000000"/>
          <w:sz w:val="32"/>
          <w:szCs w:val="32"/>
        </w:rPr>
        <w:t>。主要原因是</w:t>
      </w:r>
      <w:r>
        <w:rPr>
          <w:rFonts w:hint="eastAsia" w:ascii="仿宋_GB2312" w:hAnsi="仿宋_GB2312" w:eastAsia="仿宋_GB2312" w:cs="仿宋_GB2312"/>
          <w:color w:val="000000"/>
          <w:sz w:val="32"/>
          <w:szCs w:val="32"/>
        </w:rPr>
        <w:t>17年年底因接待原因，有几个接待点的接待费费用未支付导致17年下降，而18年增加太多</w:t>
      </w:r>
      <w:r>
        <w:rPr>
          <w:rFonts w:hint="eastAsia" w:ascii="仿宋_GB2312" w:eastAsia="仿宋_GB2312"/>
          <w:color w:val="000000"/>
          <w:sz w:val="32"/>
          <w:szCs w:val="32"/>
        </w:rPr>
        <w:t>。</w:t>
      </w:r>
    </w:p>
    <w:p>
      <w:pPr>
        <w:spacing w:line="56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主要用于执行公务、开展业务活动开支的交通费、住宿费、用餐费等。国内公务接待379批次，7960人次（不包括陪同人员），共计支出191.26万元，具体内容包括：</w:t>
      </w:r>
      <w:r>
        <w:rPr>
          <w:rFonts w:hint="eastAsia" w:ascii="仿宋_GB2312" w:hAnsi="仿宋_GB2312" w:eastAsia="仿宋_GB2312" w:cs="仿宋_GB2312"/>
          <w:color w:val="000000"/>
          <w:sz w:val="32"/>
          <w:szCs w:val="32"/>
        </w:rPr>
        <w:t>政府行为公务接待</w:t>
      </w:r>
      <w:r>
        <w:rPr>
          <w:rFonts w:hint="eastAsia" w:ascii="仿宋_GB2312" w:eastAsia="仿宋_GB2312"/>
          <w:color w:val="000000"/>
          <w:sz w:val="32"/>
          <w:szCs w:val="32"/>
        </w:rPr>
        <w:t>。其中：</w:t>
      </w:r>
    </w:p>
    <w:p>
      <w:pPr>
        <w:spacing w:line="560" w:lineRule="exact"/>
        <w:ind w:firstLine="643" w:firstLineChars="200"/>
        <w:rPr>
          <w:rFonts w:ascii="仿宋_GB2312" w:eastAsia="仿宋_GB2312"/>
          <w:color w:val="000000" w:themeColor="text1"/>
          <w:sz w:val="32"/>
          <w:szCs w:val="32"/>
        </w:rPr>
      </w:pPr>
      <w:r>
        <w:rPr>
          <w:rFonts w:hint="eastAsia" w:ascii="仿宋" w:hAnsi="仿宋" w:eastAsia="仿宋"/>
          <w:b/>
          <w:color w:val="000000"/>
          <w:sz w:val="32"/>
          <w:szCs w:val="32"/>
        </w:rPr>
        <w:t>外事接待支出</w:t>
      </w:r>
      <w:r>
        <w:rPr>
          <w:rFonts w:hint="eastAsia" w:ascii="仿宋" w:hAnsi="仿宋" w:eastAsia="仿宋"/>
          <w:color w:val="000000"/>
          <w:sz w:val="32"/>
          <w:szCs w:val="32"/>
        </w:rPr>
        <w:t>0</w:t>
      </w:r>
      <w:r>
        <w:rPr>
          <w:rFonts w:hint="eastAsia" w:ascii="仿宋_GB2312" w:eastAsia="仿宋_GB2312"/>
          <w:color w:val="000000"/>
          <w:sz w:val="32"/>
          <w:szCs w:val="32"/>
        </w:rPr>
        <w:t>万元</w:t>
      </w:r>
      <w:r>
        <w:rPr>
          <w:rFonts w:hint="eastAsia" w:ascii="仿宋_GB2312" w:eastAsia="仿宋_GB2312"/>
          <w:color w:val="000000" w:themeColor="text1"/>
          <w:sz w:val="32"/>
          <w:szCs w:val="32"/>
        </w:rPr>
        <w:t>，外事接待0批次，0人，共计支出0万元。</w:t>
      </w:r>
    </w:p>
    <w:p>
      <w:pPr>
        <w:spacing w:line="560" w:lineRule="exact"/>
        <w:ind w:firstLine="640"/>
        <w:rPr>
          <w:rFonts w:ascii="黑体" w:eastAsia="仿宋_GB2312"/>
          <w:color w:val="000000"/>
          <w:sz w:val="32"/>
          <w:szCs w:val="32"/>
        </w:rPr>
      </w:pPr>
      <w:r>
        <w:rPr>
          <w:rFonts w:hint="eastAsia" w:ascii="仿宋" w:hAnsi="仿宋" w:eastAsia="仿宋"/>
          <w:b/>
          <w:color w:val="000000"/>
          <w:sz w:val="32"/>
          <w:szCs w:val="32"/>
        </w:rPr>
        <w:t>其他国内公务接待支出</w:t>
      </w:r>
      <w:r>
        <w:rPr>
          <w:rFonts w:hint="eastAsia" w:ascii="仿宋" w:hAnsi="仿宋" w:eastAsia="仿宋"/>
          <w:color w:val="000000"/>
          <w:sz w:val="32"/>
          <w:szCs w:val="32"/>
        </w:rPr>
        <w:t>0</w:t>
      </w:r>
      <w:r>
        <w:rPr>
          <w:rFonts w:hint="eastAsia" w:ascii="仿宋_GB2312" w:eastAsia="仿宋_GB2312"/>
          <w:color w:val="000000"/>
          <w:sz w:val="32"/>
          <w:szCs w:val="32"/>
        </w:rPr>
        <w:t>万元</w:t>
      </w:r>
      <w:bookmarkStart w:id="44" w:name="_Toc15377218"/>
      <w:bookmarkStart w:id="45" w:name="_Toc15396610"/>
      <w:r>
        <w:rPr>
          <w:rFonts w:hint="eastAsia" w:ascii="仿宋_GB2312" w:eastAsia="仿宋_GB2312"/>
          <w:color w:val="000000"/>
          <w:sz w:val="32"/>
          <w:szCs w:val="32"/>
        </w:rPr>
        <w:t>。</w:t>
      </w:r>
    </w:p>
    <w:p>
      <w:pPr>
        <w:spacing w:line="560" w:lineRule="exact"/>
        <w:ind w:firstLine="640"/>
        <w:outlineLvl w:val="1"/>
        <w:rPr>
          <w:rStyle w:val="28"/>
          <w:rFonts w:ascii="黑体" w:hAnsi="黑体" w:eastAsia="黑体"/>
        </w:rPr>
      </w:pPr>
      <w:r>
        <w:rPr>
          <w:rFonts w:hint="eastAsia" w:ascii="黑体" w:eastAsia="黑体"/>
          <w:color w:val="000000"/>
          <w:sz w:val="32"/>
          <w:szCs w:val="32"/>
        </w:rPr>
        <w:t>八、</w:t>
      </w:r>
      <w:r>
        <w:rPr>
          <w:rStyle w:val="28"/>
          <w:rFonts w:hint="eastAsia" w:ascii="黑体" w:hAnsi="黑体" w:eastAsia="黑体"/>
          <w:b w:val="0"/>
        </w:rPr>
        <w:t>政府性基金预算支出决算情况说明</w:t>
      </w:r>
      <w:bookmarkEnd w:id="44"/>
      <w:bookmarkEnd w:id="45"/>
    </w:p>
    <w:p>
      <w:pPr>
        <w:spacing w:line="560" w:lineRule="exact"/>
        <w:ind w:firstLine="640"/>
        <w:rPr>
          <w:rFonts w:ascii="仿宋_GB2312" w:eastAsia="仿宋_GB2312"/>
          <w:color w:val="000000"/>
          <w:sz w:val="32"/>
          <w:szCs w:val="32"/>
        </w:rPr>
      </w:pPr>
      <w:r>
        <w:rPr>
          <w:rFonts w:ascii="仿宋_GB2312" w:eastAsia="仿宋_GB2312"/>
          <w:color w:val="000000"/>
          <w:sz w:val="32"/>
          <w:szCs w:val="32"/>
        </w:rPr>
        <w:t>201</w:t>
      </w:r>
      <w:r>
        <w:rPr>
          <w:rFonts w:hint="eastAsia" w:ascii="仿宋_GB2312" w:eastAsia="仿宋_GB2312"/>
          <w:color w:val="000000"/>
          <w:sz w:val="32"/>
          <w:szCs w:val="32"/>
        </w:rPr>
        <w:t>8年政府性基金预算拨款支出440.32万元。</w:t>
      </w:r>
    </w:p>
    <w:p>
      <w:pPr>
        <w:numPr>
          <w:ilvl w:val="0"/>
          <w:numId w:val="2"/>
        </w:numPr>
        <w:spacing w:line="560" w:lineRule="exact"/>
        <w:ind w:firstLine="640"/>
        <w:outlineLvl w:val="1"/>
        <w:rPr>
          <w:rStyle w:val="28"/>
          <w:rFonts w:ascii="黑体" w:hAnsi="黑体" w:eastAsia="黑体"/>
          <w:b w:val="0"/>
        </w:rPr>
      </w:pPr>
      <w:bookmarkStart w:id="46" w:name="_Toc15377219"/>
      <w:bookmarkStart w:id="47" w:name="_Toc15396611"/>
      <w:r>
        <w:rPr>
          <w:rStyle w:val="28"/>
          <w:rFonts w:hint="eastAsia" w:ascii="黑体" w:hAnsi="黑体" w:eastAsia="黑体"/>
          <w:b w:val="0"/>
        </w:rPr>
        <w:t>国有资本经营预算支出决算情况说明</w:t>
      </w:r>
      <w:bookmarkEnd w:id="46"/>
      <w:bookmarkEnd w:id="47"/>
    </w:p>
    <w:p>
      <w:pPr>
        <w:spacing w:line="560" w:lineRule="exact"/>
        <w:ind w:firstLine="640"/>
        <w:rPr>
          <w:rFonts w:ascii="仿宋_GB2312" w:eastAsia="仿宋_GB2312"/>
          <w:color w:val="000000"/>
          <w:sz w:val="32"/>
          <w:szCs w:val="32"/>
        </w:rPr>
      </w:pPr>
      <w:r>
        <w:rPr>
          <w:rFonts w:ascii="仿宋_GB2312" w:eastAsia="仿宋_GB2312"/>
          <w:color w:val="000000"/>
          <w:sz w:val="32"/>
          <w:szCs w:val="32"/>
        </w:rPr>
        <w:t>201</w:t>
      </w:r>
      <w:r>
        <w:rPr>
          <w:rFonts w:hint="eastAsia" w:ascii="仿宋_GB2312" w:eastAsia="仿宋_GB2312"/>
          <w:color w:val="000000"/>
          <w:sz w:val="32"/>
          <w:szCs w:val="32"/>
        </w:rPr>
        <w:t>8年国有资本经营预算拨款支出0万元。</w:t>
      </w:r>
    </w:p>
    <w:p>
      <w:pPr>
        <w:pStyle w:val="26"/>
        <w:numPr>
          <w:ilvl w:val="0"/>
          <w:numId w:val="3"/>
        </w:numPr>
        <w:spacing w:line="560" w:lineRule="exact"/>
        <w:ind w:firstLineChars="0"/>
        <w:rPr>
          <w:rStyle w:val="28"/>
          <w:rFonts w:ascii="黑体" w:hAnsi="黑体" w:eastAsia="黑体"/>
          <w:b w:val="0"/>
        </w:rPr>
      </w:pPr>
      <w:r>
        <w:rPr>
          <w:rStyle w:val="28"/>
          <w:rFonts w:hint="eastAsia" w:ascii="黑体" w:hAnsi="黑体" w:eastAsia="黑体"/>
          <w:b w:val="0"/>
        </w:rPr>
        <w:t>预算绩效情况说明</w:t>
      </w:r>
    </w:p>
    <w:p>
      <w:pPr>
        <w:numPr>
          <w:ilvl w:val="0"/>
          <w:numId w:val="4"/>
        </w:numPr>
        <w:spacing w:line="560" w:lineRule="exact"/>
        <w:ind w:firstLine="643" w:firstLineChars="200"/>
        <w:rPr>
          <w:rFonts w:ascii="仿宋" w:hAnsi="仿宋" w:eastAsia="仿宋" w:cs="楷体_GB2312"/>
          <w:b/>
          <w:bCs/>
          <w:sz w:val="32"/>
          <w:szCs w:val="32"/>
        </w:rPr>
      </w:pPr>
      <w:r>
        <w:rPr>
          <w:rFonts w:hint="eastAsia" w:ascii="仿宋" w:hAnsi="仿宋" w:eastAsia="仿宋" w:cs="楷体_GB2312"/>
          <w:b/>
          <w:bCs/>
          <w:sz w:val="32"/>
          <w:szCs w:val="32"/>
        </w:rPr>
        <w:t>预算绩效管理工作开展情况。</w:t>
      </w:r>
    </w:p>
    <w:p>
      <w:pPr>
        <w:autoSpaceDE w:val="0"/>
        <w:autoSpaceDN w:val="0"/>
        <w:adjustRightInd w:val="0"/>
        <w:spacing w:line="560" w:lineRule="exact"/>
        <w:ind w:firstLine="640" w:firstLineChars="200"/>
        <w:jc w:val="left"/>
        <w:rPr>
          <w:rFonts w:ascii="仿宋_GB2312" w:hAnsi="仿宋_GB2312" w:eastAsia="仿宋_GB2312" w:cs="仿宋_GB2312"/>
          <w:b/>
          <w:color w:val="000000"/>
          <w:sz w:val="32"/>
          <w:szCs w:val="32"/>
        </w:rPr>
      </w:pPr>
      <w:r>
        <w:rPr>
          <w:rFonts w:hint="eastAsia" w:ascii="仿宋_GB2312" w:hAnsi="仿宋_GB2312" w:eastAsia="仿宋_GB2312" w:cs="仿宋_GB2312"/>
          <w:sz w:val="32"/>
          <w:szCs w:val="32"/>
        </w:rPr>
        <w:t>根据</w:t>
      </w:r>
      <w:r>
        <w:rPr>
          <w:rFonts w:hint="eastAsia" w:ascii="仿宋_GB2312" w:hAnsi="仿宋_GB2312" w:eastAsia="仿宋_GB2312" w:cs="仿宋_GB2312"/>
          <w:b/>
          <w:color w:val="000000"/>
          <w:sz w:val="32"/>
          <w:szCs w:val="32"/>
        </w:rPr>
        <w:t>《</w:t>
      </w:r>
      <w:r>
        <w:rPr>
          <w:rFonts w:hint="eastAsia" w:ascii="仿宋_GB2312" w:hAnsi="仿宋_GB2312" w:eastAsia="仿宋_GB2312" w:cs="仿宋_GB2312"/>
          <w:b/>
          <w:color w:val="000000"/>
          <w:sz w:val="32"/>
          <w:szCs w:val="32"/>
          <w:lang w:val="zh-CN"/>
        </w:rPr>
        <w:t>开展2018年财政支出绩效评价的通知</w:t>
      </w:r>
      <w:r>
        <w:rPr>
          <w:rFonts w:hint="eastAsia" w:ascii="仿宋_GB2312" w:hAnsi="仿宋_GB2312" w:eastAsia="仿宋_GB2312" w:cs="仿宋_GB2312"/>
          <w:b/>
          <w:color w:val="000000"/>
          <w:sz w:val="32"/>
          <w:szCs w:val="32"/>
        </w:rPr>
        <w:t>》（</w:t>
      </w:r>
      <w:r>
        <w:rPr>
          <w:rFonts w:hint="eastAsia" w:ascii="仿宋_GB2312" w:hAnsi="仿宋_GB2312" w:eastAsia="仿宋_GB2312" w:cs="仿宋_GB2312"/>
          <w:b/>
          <w:color w:val="000000"/>
          <w:sz w:val="32"/>
          <w:szCs w:val="32"/>
          <w:lang w:val="zh-CN"/>
        </w:rPr>
        <w:t>红财发〔2018〕143号）实施情况编写）</w:t>
      </w:r>
    </w:p>
    <w:p>
      <w:pPr>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1.无项目。</w:t>
      </w:r>
    </w:p>
    <w:p>
      <w:pPr>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2.部门整体支出绩效自评开展情况。</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color w:val="000000"/>
          <w:sz w:val="32"/>
          <w:szCs w:val="32"/>
        </w:rPr>
        <w:t>按照预算绩效管理要求，本部门对2018年整体支出开展绩效自评，自评得分97分，存在的问题：一是部门特性指标，二是绩效评价结果应用。下一步改进措施：一是进一步细化部门特性指标，二是加强绩效评价结果应用。</w:t>
      </w:r>
    </w:p>
    <w:p>
      <w:pPr>
        <w:spacing w:line="560" w:lineRule="exact"/>
        <w:ind w:firstLine="643" w:firstLineChars="200"/>
        <w:rPr>
          <w:rFonts w:ascii="仿宋_GB2312" w:hAnsi="仿宋_GB2312" w:eastAsia="仿宋_GB2312" w:cs="仿宋_GB2312"/>
          <w:sz w:val="32"/>
          <w:szCs w:val="32"/>
        </w:rPr>
      </w:pPr>
      <w:r>
        <w:rPr>
          <w:rFonts w:hint="eastAsia" w:ascii="仿宋" w:hAnsi="仿宋" w:eastAsia="仿宋" w:cs="楷体_GB2312"/>
          <w:b/>
          <w:bCs/>
          <w:sz w:val="32"/>
          <w:szCs w:val="32"/>
        </w:rPr>
        <w:t>（二）项目绩效目标完成情况。</w:t>
      </w:r>
      <w:r>
        <w:rPr>
          <w:rFonts w:hint="eastAsia" w:ascii="楷体_GB2312" w:hAnsi="楷体_GB2312" w:eastAsia="楷体_GB2312" w:cs="楷体_GB2312"/>
          <w:b/>
          <w:bCs/>
          <w:sz w:val="32"/>
          <w:szCs w:val="32"/>
        </w:rPr>
        <w:br w:type="textWrapping"/>
      </w:r>
      <w:r>
        <w:rPr>
          <w:rFonts w:hint="eastAsia" w:ascii="仿宋_GB2312" w:hAnsi="仿宋_GB2312" w:eastAsia="仿宋_GB2312" w:cs="仿宋_GB2312"/>
          <w:sz w:val="32"/>
          <w:szCs w:val="32"/>
        </w:rPr>
        <w:t xml:space="preserve">    无项目</w:t>
      </w:r>
    </w:p>
    <w:p>
      <w:pPr>
        <w:spacing w:line="560" w:lineRule="exact"/>
        <w:ind w:firstLine="643" w:firstLineChars="200"/>
        <w:rPr>
          <w:rFonts w:ascii="仿宋" w:hAnsi="仿宋" w:eastAsia="仿宋" w:cs="仿宋_GB2312"/>
          <w:b/>
          <w:sz w:val="32"/>
          <w:szCs w:val="32"/>
        </w:rPr>
      </w:pPr>
      <w:r>
        <w:rPr>
          <w:rFonts w:hint="eastAsia" w:ascii="仿宋" w:hAnsi="仿宋" w:eastAsia="仿宋" w:cs="楷体_GB2312"/>
          <w:b/>
          <w:bCs/>
          <w:sz w:val="32"/>
          <w:szCs w:val="32"/>
        </w:rPr>
        <w:t>（三）部门开展绩效评价结果。</w:t>
      </w:r>
    </w:p>
    <w:p>
      <w:pPr>
        <w:spacing w:line="560" w:lineRule="exact"/>
        <w:ind w:firstLine="800" w:firstLineChars="250"/>
        <w:outlineLvl w:val="1"/>
        <w:rPr>
          <w:rFonts w:ascii="仿宋_GB2312" w:hAnsi="仿宋_GB2312" w:eastAsia="仿宋_GB2312" w:cs="仿宋_GB2312"/>
          <w:sz w:val="32"/>
          <w:szCs w:val="32"/>
        </w:rPr>
      </w:pPr>
      <w:bookmarkStart w:id="48" w:name="_Toc15396612"/>
      <w:bookmarkStart w:id="49" w:name="_Toc15377221"/>
      <w:r>
        <w:rPr>
          <w:rFonts w:hint="eastAsia" w:ascii="仿宋_GB2312" w:hAnsi="仿宋_GB2312" w:eastAsia="仿宋_GB2312" w:cs="仿宋_GB2312"/>
          <w:sz w:val="32"/>
          <w:szCs w:val="32"/>
        </w:rPr>
        <w:t>本部门按要求对2018年部门整体支出绩效评价情况开展自评，《红原县</w:t>
      </w:r>
      <w:r>
        <w:rPr>
          <w:rFonts w:hint="eastAsia" w:ascii="仿宋_GB2312" w:hAnsi="仿宋_GB2312" w:eastAsia="仿宋_GB2312" w:cs="仿宋_GB2312"/>
          <w:sz w:val="32"/>
          <w:szCs w:val="32"/>
          <w:lang w:eastAsia="zh-CN"/>
        </w:rPr>
        <w:t>机关事务管理局</w:t>
      </w:r>
      <w:r>
        <w:rPr>
          <w:rFonts w:hint="eastAsia" w:ascii="仿宋_GB2312" w:hAnsi="仿宋_GB2312" w:eastAsia="仿宋_GB2312" w:cs="仿宋_GB2312"/>
          <w:sz w:val="32"/>
          <w:szCs w:val="32"/>
        </w:rPr>
        <w:t>2018年部门整体支出绩效评价报告》见附件</w:t>
      </w:r>
    </w:p>
    <w:p>
      <w:pPr>
        <w:spacing w:line="560" w:lineRule="exact"/>
        <w:ind w:firstLine="800" w:firstLineChars="250"/>
        <w:outlineLvl w:val="1"/>
        <w:rPr>
          <w:rStyle w:val="28"/>
          <w:rFonts w:ascii="黑体" w:hAnsi="黑体" w:eastAsia="黑体"/>
        </w:rPr>
      </w:pPr>
      <w:r>
        <w:rPr>
          <w:rFonts w:hint="eastAsia" w:ascii="黑体" w:hAnsi="黑体" w:eastAsia="黑体"/>
          <w:color w:val="000000"/>
          <w:sz w:val="32"/>
          <w:szCs w:val="32"/>
        </w:rPr>
        <w:t>十</w:t>
      </w:r>
      <w:r>
        <w:rPr>
          <w:rStyle w:val="28"/>
          <w:rFonts w:hint="eastAsia" w:ascii="黑体" w:hAnsi="黑体" w:eastAsia="黑体"/>
        </w:rPr>
        <w:t>一、</w:t>
      </w:r>
      <w:r>
        <w:rPr>
          <w:rStyle w:val="28"/>
          <w:rFonts w:hint="eastAsia" w:ascii="黑体" w:hAnsi="黑体" w:eastAsia="黑体"/>
          <w:b w:val="0"/>
        </w:rPr>
        <w:t>其他重要事项的情况说明</w:t>
      </w:r>
      <w:bookmarkEnd w:id="48"/>
      <w:bookmarkEnd w:id="49"/>
    </w:p>
    <w:p>
      <w:pPr>
        <w:spacing w:line="560" w:lineRule="exact"/>
        <w:ind w:firstLine="643" w:firstLineChars="200"/>
        <w:outlineLvl w:val="2"/>
        <w:rPr>
          <w:rFonts w:ascii="仿宋" w:hAnsi="仿宋" w:eastAsia="仿宋"/>
          <w:color w:val="000000"/>
          <w:sz w:val="32"/>
          <w:szCs w:val="32"/>
        </w:rPr>
      </w:pPr>
      <w:bookmarkStart w:id="50" w:name="_Toc15377222"/>
      <w:r>
        <w:rPr>
          <w:rFonts w:hint="eastAsia" w:ascii="仿宋" w:hAnsi="仿宋" w:eastAsia="仿宋"/>
          <w:b/>
          <w:color w:val="000000"/>
          <w:sz w:val="32"/>
          <w:szCs w:val="32"/>
        </w:rPr>
        <w:t>（一）机关运行经费支出情况</w:t>
      </w:r>
      <w:bookmarkEnd w:id="50"/>
    </w:p>
    <w:p>
      <w:pPr>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2018年度，我局机关运行经费支出183.91元，比2017年增加45.43元，增长32.79%。新增一名工作人员。</w:t>
      </w:r>
    </w:p>
    <w:p>
      <w:pPr>
        <w:autoSpaceDE w:val="0"/>
        <w:autoSpaceDN w:val="0"/>
        <w:adjustRightInd w:val="0"/>
        <w:spacing w:line="560" w:lineRule="exact"/>
        <w:ind w:firstLine="643" w:firstLineChars="200"/>
        <w:jc w:val="left"/>
        <w:outlineLvl w:val="2"/>
        <w:rPr>
          <w:rFonts w:ascii="仿宋" w:hAnsi="仿宋" w:eastAsia="仿宋"/>
          <w:b/>
          <w:color w:val="000000"/>
          <w:sz w:val="32"/>
          <w:szCs w:val="32"/>
        </w:rPr>
      </w:pPr>
      <w:bookmarkStart w:id="51" w:name="_Toc15377223"/>
      <w:r>
        <w:rPr>
          <w:rFonts w:hint="eastAsia" w:ascii="仿宋" w:hAnsi="仿宋" w:eastAsia="仿宋"/>
          <w:b/>
          <w:color w:val="000000"/>
          <w:sz w:val="32"/>
          <w:szCs w:val="32"/>
        </w:rPr>
        <w:t>（二）政府采购支出情况</w:t>
      </w:r>
      <w:bookmarkEnd w:id="51"/>
    </w:p>
    <w:p>
      <w:pPr>
        <w:autoSpaceDE w:val="0"/>
        <w:autoSpaceDN w:val="0"/>
        <w:adjustRightInd w:val="0"/>
        <w:spacing w:line="560" w:lineRule="exact"/>
        <w:ind w:firstLine="640" w:firstLineChars="200"/>
        <w:jc w:val="left"/>
        <w:outlineLvl w:val="2"/>
        <w:rPr>
          <w:rFonts w:ascii="仿宋" w:hAnsi="仿宋" w:eastAsia="仿宋"/>
          <w:b/>
          <w:color w:val="000000"/>
          <w:sz w:val="32"/>
          <w:szCs w:val="32"/>
        </w:rPr>
      </w:pPr>
      <w:r>
        <w:rPr>
          <w:rFonts w:hint="eastAsia" w:ascii="仿宋_GB2312" w:hAnsi="仿宋_GB2312" w:eastAsia="仿宋_GB2312" w:cs="仿宋_GB2312"/>
          <w:color w:val="000000"/>
          <w:sz w:val="32"/>
          <w:szCs w:val="32"/>
        </w:rPr>
        <w:t>2018年度，我局政府采购支出总额0元。</w:t>
      </w:r>
    </w:p>
    <w:p>
      <w:pPr>
        <w:autoSpaceDE w:val="0"/>
        <w:autoSpaceDN w:val="0"/>
        <w:adjustRightInd w:val="0"/>
        <w:spacing w:line="560" w:lineRule="exact"/>
        <w:ind w:firstLine="643" w:firstLineChars="200"/>
        <w:jc w:val="left"/>
        <w:outlineLvl w:val="2"/>
        <w:rPr>
          <w:rFonts w:ascii="仿宋" w:hAnsi="仿宋" w:eastAsia="仿宋"/>
          <w:b/>
          <w:color w:val="000000"/>
          <w:sz w:val="32"/>
          <w:szCs w:val="32"/>
        </w:rPr>
      </w:pPr>
      <w:bookmarkStart w:id="52" w:name="_Toc15377224"/>
      <w:r>
        <w:rPr>
          <w:rFonts w:hint="eastAsia" w:ascii="仿宋" w:hAnsi="仿宋" w:eastAsia="仿宋"/>
          <w:b/>
          <w:color w:val="000000"/>
          <w:sz w:val="32"/>
          <w:szCs w:val="32"/>
        </w:rPr>
        <w:t>（三）国有资产占有使用情况</w:t>
      </w:r>
      <w:bookmarkEnd w:id="52"/>
    </w:p>
    <w:p>
      <w:pPr>
        <w:autoSpaceDE w:val="0"/>
        <w:autoSpaceDN w:val="0"/>
        <w:adjustRightInd w:val="0"/>
        <w:spacing w:line="560" w:lineRule="exact"/>
        <w:ind w:firstLine="576" w:firstLineChars="200"/>
        <w:jc w:val="left"/>
        <w:rPr>
          <w:rFonts w:ascii="仿宋_GB2312" w:eastAsia="仿宋_GB2312"/>
          <w:color w:val="000000"/>
          <w:w w:val="90"/>
          <w:sz w:val="32"/>
          <w:szCs w:val="32"/>
        </w:rPr>
      </w:pPr>
      <w:r>
        <w:rPr>
          <w:rFonts w:hint="eastAsia" w:ascii="仿宋_GB2312" w:eastAsia="仿宋_GB2312"/>
          <w:color w:val="000000"/>
          <w:w w:val="90"/>
          <w:sz w:val="32"/>
          <w:szCs w:val="32"/>
        </w:rPr>
        <w:t>截至</w:t>
      </w:r>
      <w:r>
        <w:rPr>
          <w:rFonts w:ascii="仿宋_GB2312" w:eastAsia="仿宋_GB2312"/>
          <w:color w:val="000000"/>
          <w:w w:val="90"/>
          <w:sz w:val="32"/>
          <w:szCs w:val="32"/>
        </w:rPr>
        <w:t>201</w:t>
      </w:r>
      <w:r>
        <w:rPr>
          <w:rFonts w:hint="eastAsia" w:ascii="仿宋_GB2312" w:eastAsia="仿宋_GB2312"/>
          <w:color w:val="000000"/>
          <w:w w:val="90"/>
          <w:sz w:val="32"/>
          <w:szCs w:val="32"/>
        </w:rPr>
        <w:t>8年</w:t>
      </w:r>
      <w:r>
        <w:rPr>
          <w:rFonts w:ascii="仿宋_GB2312" w:eastAsia="仿宋_GB2312"/>
          <w:color w:val="000000"/>
          <w:w w:val="90"/>
          <w:sz w:val="32"/>
          <w:szCs w:val="32"/>
        </w:rPr>
        <w:t>12</w:t>
      </w:r>
      <w:r>
        <w:rPr>
          <w:rFonts w:hint="eastAsia" w:ascii="仿宋_GB2312" w:eastAsia="仿宋_GB2312"/>
          <w:color w:val="000000"/>
          <w:w w:val="90"/>
          <w:sz w:val="32"/>
          <w:szCs w:val="32"/>
        </w:rPr>
        <w:t>月</w:t>
      </w:r>
      <w:r>
        <w:rPr>
          <w:rFonts w:ascii="仿宋_GB2312" w:eastAsia="仿宋_GB2312"/>
          <w:color w:val="000000"/>
          <w:w w:val="90"/>
          <w:sz w:val="32"/>
          <w:szCs w:val="32"/>
        </w:rPr>
        <w:t>31</w:t>
      </w:r>
      <w:r>
        <w:rPr>
          <w:rFonts w:hint="eastAsia" w:ascii="仿宋_GB2312" w:eastAsia="仿宋_GB2312"/>
          <w:color w:val="000000"/>
          <w:w w:val="90"/>
          <w:sz w:val="32"/>
          <w:szCs w:val="32"/>
        </w:rPr>
        <w:t>日，我局共有车辆1辆，其中：部级领导干部用车0辆、一般公务用车1辆、一般执法执勤用车0辆、特种专业技术用车0辆、其他用车0辆，</w:t>
      </w:r>
      <w:r>
        <w:rPr>
          <w:rFonts w:hint="eastAsia" w:ascii="仿宋_GB2312" w:eastAsia="仿宋_GB2312"/>
          <w:color w:val="000000" w:themeColor="text1"/>
          <w:w w:val="90"/>
          <w:sz w:val="32"/>
          <w:szCs w:val="32"/>
        </w:rPr>
        <w:t>单价</w:t>
      </w:r>
      <w:r>
        <w:rPr>
          <w:rFonts w:ascii="仿宋_GB2312" w:eastAsia="仿宋_GB2312"/>
          <w:color w:val="000000" w:themeColor="text1"/>
          <w:w w:val="90"/>
          <w:sz w:val="32"/>
          <w:szCs w:val="32"/>
        </w:rPr>
        <w:t>50</w:t>
      </w:r>
      <w:r>
        <w:rPr>
          <w:rFonts w:hint="eastAsia" w:ascii="仿宋_GB2312" w:eastAsia="仿宋_GB2312"/>
          <w:color w:val="000000" w:themeColor="text1"/>
          <w:w w:val="90"/>
          <w:sz w:val="32"/>
          <w:szCs w:val="32"/>
        </w:rPr>
        <w:t>万元以上通用设备0台（套），单价</w:t>
      </w:r>
      <w:r>
        <w:rPr>
          <w:rFonts w:ascii="仿宋_GB2312" w:eastAsia="仿宋_GB2312"/>
          <w:color w:val="000000" w:themeColor="text1"/>
          <w:w w:val="90"/>
          <w:sz w:val="32"/>
          <w:szCs w:val="32"/>
        </w:rPr>
        <w:t>100</w:t>
      </w:r>
      <w:r>
        <w:rPr>
          <w:rFonts w:hint="eastAsia" w:ascii="仿宋_GB2312" w:eastAsia="仿宋_GB2312"/>
          <w:color w:val="000000"/>
          <w:w w:val="90"/>
          <w:sz w:val="32"/>
          <w:szCs w:val="32"/>
        </w:rPr>
        <w:t>万元以上专用设备0台（套）。</w:t>
      </w:r>
    </w:p>
    <w:p>
      <w:pPr>
        <w:pStyle w:val="2"/>
        <w:ind w:firstLine="583"/>
        <w:rPr>
          <w:rFonts w:ascii="仿宋" w:hAnsi="仿宋" w:eastAsia="仿宋"/>
          <w:b/>
          <w:color w:val="000000"/>
          <w:w w:val="90"/>
        </w:rPr>
      </w:pPr>
    </w:p>
    <w:p>
      <w:pPr>
        <w:pStyle w:val="2"/>
        <w:ind w:firstLine="583"/>
        <w:rPr>
          <w:rFonts w:ascii="仿宋" w:hAnsi="仿宋" w:eastAsia="仿宋"/>
          <w:b/>
          <w:color w:val="000000"/>
          <w:w w:val="90"/>
        </w:rPr>
      </w:pPr>
    </w:p>
    <w:p>
      <w:pPr>
        <w:pStyle w:val="2"/>
        <w:ind w:firstLine="583"/>
        <w:rPr>
          <w:rFonts w:ascii="仿宋" w:hAnsi="仿宋" w:eastAsia="仿宋"/>
          <w:b/>
          <w:color w:val="000000"/>
          <w:w w:val="90"/>
        </w:rPr>
      </w:pPr>
    </w:p>
    <w:p>
      <w:pPr>
        <w:pStyle w:val="2"/>
        <w:ind w:firstLine="583"/>
        <w:rPr>
          <w:rFonts w:ascii="仿宋" w:hAnsi="仿宋" w:eastAsia="仿宋"/>
          <w:b/>
          <w:color w:val="000000"/>
          <w:w w:val="90"/>
        </w:rPr>
      </w:pPr>
    </w:p>
    <w:p>
      <w:pPr>
        <w:spacing w:line="560" w:lineRule="exact"/>
        <w:ind w:firstLine="643" w:firstLineChars="200"/>
        <w:rPr>
          <w:rFonts w:ascii="仿宋_GB2312" w:eastAsia="仿宋_GB2312"/>
          <w:b/>
          <w:color w:val="000000"/>
          <w:sz w:val="32"/>
          <w:szCs w:val="32"/>
        </w:rPr>
      </w:pPr>
    </w:p>
    <w:p>
      <w:pPr>
        <w:widowControl/>
        <w:spacing w:line="560" w:lineRule="exact"/>
        <w:jc w:val="center"/>
        <w:rPr>
          <w:rStyle w:val="27"/>
          <w:rFonts w:ascii="黑体" w:hAnsi="黑体" w:eastAsia="黑体"/>
          <w:b w:val="0"/>
        </w:rPr>
      </w:pPr>
      <w:bookmarkStart w:id="53" w:name="_Toc15396613"/>
      <w:bookmarkStart w:id="54" w:name="_Toc15377225"/>
      <w:r>
        <w:rPr>
          <w:rFonts w:hint="eastAsia" w:ascii="黑体" w:hAnsi="黑体" w:eastAsia="黑体"/>
          <w:b/>
          <w:color w:val="000000"/>
          <w:sz w:val="44"/>
          <w:szCs w:val="44"/>
        </w:rPr>
        <w:t>第三部分 名</w:t>
      </w:r>
      <w:r>
        <w:rPr>
          <w:rStyle w:val="27"/>
          <w:rFonts w:hint="eastAsia" w:ascii="黑体" w:hAnsi="黑体" w:eastAsia="黑体"/>
          <w:b w:val="0"/>
        </w:rPr>
        <w:t>词解释</w:t>
      </w:r>
      <w:bookmarkEnd w:id="53"/>
      <w:bookmarkEnd w:id="54"/>
    </w:p>
    <w:p>
      <w:pPr>
        <w:spacing w:line="560" w:lineRule="exact"/>
        <w:jc w:val="left"/>
        <w:rPr>
          <w:rFonts w:ascii="宋体"/>
          <w:b/>
          <w:color w:val="000000"/>
          <w:sz w:val="44"/>
          <w:szCs w:val="44"/>
        </w:rPr>
      </w:pPr>
    </w:p>
    <w:p>
      <w:pPr>
        <w:pStyle w:val="25"/>
        <w:spacing w:line="560" w:lineRule="exact"/>
        <w:ind w:firstLine="640" w:firstLineChars="200"/>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财政拨款收入：指单位从同级财政部门取得的财政预算资金。</w:t>
      </w:r>
    </w:p>
    <w:p>
      <w:pPr>
        <w:pStyle w:val="25"/>
        <w:spacing w:line="560" w:lineRule="exact"/>
        <w:ind w:firstLine="640" w:firstLineChars="200"/>
        <w:rPr>
          <w:rFonts w:hint="eastAsia" w:ascii="仿宋_GB2312" w:eastAsia="仿宋_GB2312"/>
          <w:sz w:val="32"/>
          <w:szCs w:val="32"/>
        </w:rPr>
      </w:pPr>
      <w:r>
        <w:rPr>
          <w:rFonts w:ascii="仿宋_GB2312" w:eastAsia="仿宋_GB2312"/>
          <w:sz w:val="32"/>
          <w:szCs w:val="32"/>
        </w:rPr>
        <w:t>2.</w:t>
      </w:r>
      <w:r>
        <w:rPr>
          <w:rFonts w:hint="eastAsia" w:ascii="仿宋_GB2312" w:eastAsia="仿宋_GB2312"/>
          <w:sz w:val="32"/>
          <w:szCs w:val="32"/>
        </w:rPr>
        <w:t>事业收入：指事业单位开展专业业务活动及辅助活动取得的收入。</w:t>
      </w:r>
    </w:p>
    <w:p>
      <w:pPr>
        <w:pStyle w:val="25"/>
        <w:spacing w:line="560" w:lineRule="exact"/>
        <w:ind w:firstLine="640" w:firstLineChars="200"/>
        <w:rPr>
          <w:rFonts w:hint="eastAsia" w:ascii="仿宋_GB2312" w:eastAsia="仿宋_GB2312"/>
          <w:sz w:val="32"/>
          <w:szCs w:val="32"/>
        </w:rPr>
      </w:pPr>
      <w:r>
        <w:rPr>
          <w:rFonts w:ascii="仿宋_GB2312" w:eastAsia="仿宋_GB2312"/>
          <w:sz w:val="32"/>
          <w:szCs w:val="32"/>
        </w:rPr>
        <w:t>3.</w:t>
      </w:r>
      <w:r>
        <w:rPr>
          <w:rFonts w:hint="eastAsia" w:ascii="仿宋_GB2312" w:eastAsia="仿宋_GB2312"/>
          <w:sz w:val="32"/>
          <w:szCs w:val="32"/>
        </w:rPr>
        <w:t>经营收入：指事业单位在专业业务活动及其辅助活动之外开展非独立核算经营活动取得的收入。</w:t>
      </w:r>
    </w:p>
    <w:p>
      <w:pPr>
        <w:pStyle w:val="25"/>
        <w:spacing w:line="560" w:lineRule="exact"/>
        <w:ind w:firstLine="640" w:firstLineChars="200"/>
        <w:rPr>
          <w:rFonts w:ascii="仿宋_GB2312" w:eastAsia="仿宋_GB2312"/>
          <w:sz w:val="32"/>
          <w:szCs w:val="32"/>
        </w:rPr>
      </w:pPr>
      <w:r>
        <w:rPr>
          <w:rFonts w:ascii="仿宋_GB2312" w:eastAsia="仿宋_GB2312"/>
          <w:sz w:val="32"/>
          <w:szCs w:val="32"/>
        </w:rPr>
        <w:t>4.</w:t>
      </w:r>
      <w:r>
        <w:rPr>
          <w:rFonts w:hint="eastAsia" w:ascii="仿宋_GB2312" w:eastAsia="仿宋_GB2312"/>
          <w:sz w:val="32"/>
          <w:szCs w:val="32"/>
        </w:rPr>
        <w:t>其他收入：指单位取得的除上述收入以外的各项收入。主要是</w:t>
      </w:r>
      <w:r>
        <w:rPr>
          <w:rFonts w:hint="eastAsia" w:ascii="仿宋_GB2312" w:eastAsia="仿宋_GB2312"/>
          <w:sz w:val="32"/>
          <w:szCs w:val="32"/>
          <w:lang w:eastAsia="zh-CN"/>
        </w:rPr>
        <w:t>利息收入</w:t>
      </w:r>
      <w:r>
        <w:rPr>
          <w:rFonts w:hint="eastAsia" w:ascii="仿宋_GB2312" w:eastAsia="仿宋_GB2312"/>
          <w:sz w:val="32"/>
          <w:szCs w:val="32"/>
        </w:rPr>
        <w:t>等。</w:t>
      </w:r>
      <w:r>
        <w:rPr>
          <w:rFonts w:ascii="仿宋_GB2312" w:eastAsia="仿宋_GB2312"/>
          <w:sz w:val="32"/>
          <w:szCs w:val="32"/>
        </w:rPr>
        <w:t xml:space="preserve"> </w:t>
      </w:r>
    </w:p>
    <w:p>
      <w:pPr>
        <w:pStyle w:val="25"/>
        <w:spacing w:line="560" w:lineRule="exact"/>
        <w:ind w:firstLine="640" w:firstLineChars="200"/>
        <w:rPr>
          <w:rFonts w:ascii="仿宋_GB2312" w:eastAsia="仿宋_GB2312"/>
          <w:sz w:val="32"/>
          <w:szCs w:val="32"/>
        </w:rPr>
      </w:pPr>
      <w:r>
        <w:rPr>
          <w:rFonts w:ascii="仿宋_GB2312" w:eastAsia="仿宋_GB2312"/>
          <w:sz w:val="32"/>
          <w:szCs w:val="32"/>
        </w:rPr>
        <w:t>5.</w:t>
      </w:r>
      <w:r>
        <w:rPr>
          <w:rFonts w:hint="eastAsia" w:ascii="仿宋_GB2312" w:eastAsia="仿宋_GB2312"/>
          <w:sz w:val="32"/>
          <w:szCs w:val="32"/>
        </w:rPr>
        <w:t>用事业基金弥补收支差额：指事业单位在当年的财政拨款收入、事业收入、经营收入、其他收入不足以安排当年支出的情况下，使用以前年度积累的事业基金（事业单位当年收支相抵后按国家规定提取、用于弥补以后年度收支差额的基金）弥补本年度收支缺口的资金。</w:t>
      </w:r>
      <w:r>
        <w:rPr>
          <w:rFonts w:ascii="仿宋_GB2312" w:eastAsia="仿宋_GB2312"/>
          <w:sz w:val="32"/>
          <w:szCs w:val="32"/>
        </w:rPr>
        <w:t xml:space="preserve"> </w:t>
      </w:r>
    </w:p>
    <w:p>
      <w:pPr>
        <w:pStyle w:val="25"/>
        <w:spacing w:line="560" w:lineRule="exact"/>
        <w:ind w:firstLine="640" w:firstLineChars="200"/>
        <w:rPr>
          <w:rFonts w:ascii="仿宋_GB2312" w:eastAsia="仿宋_GB2312"/>
          <w:sz w:val="32"/>
          <w:szCs w:val="32"/>
        </w:rPr>
      </w:pPr>
      <w:r>
        <w:rPr>
          <w:rFonts w:ascii="仿宋_GB2312" w:eastAsia="仿宋_GB2312"/>
          <w:sz w:val="32"/>
          <w:szCs w:val="32"/>
        </w:rPr>
        <w:t>6.</w:t>
      </w:r>
      <w:r>
        <w:rPr>
          <w:rFonts w:hint="eastAsia" w:ascii="仿宋_GB2312" w:eastAsia="仿宋_GB2312"/>
          <w:sz w:val="32"/>
          <w:szCs w:val="32"/>
        </w:rPr>
        <w:t>年初结转和结余：指以前年度尚未完成、结转到本年按有关规定继续使用的资金。</w:t>
      </w:r>
      <w:r>
        <w:rPr>
          <w:rFonts w:ascii="仿宋_GB2312" w:eastAsia="仿宋_GB2312"/>
          <w:sz w:val="32"/>
          <w:szCs w:val="32"/>
        </w:rPr>
        <w:t xml:space="preserve"> </w:t>
      </w:r>
    </w:p>
    <w:p>
      <w:pPr>
        <w:pStyle w:val="25"/>
        <w:spacing w:line="560" w:lineRule="exact"/>
        <w:ind w:firstLine="640" w:firstLineChars="200"/>
        <w:rPr>
          <w:rFonts w:ascii="仿宋_GB2312" w:eastAsia="仿宋_GB2312"/>
          <w:sz w:val="32"/>
          <w:szCs w:val="32"/>
        </w:rPr>
      </w:pPr>
      <w:r>
        <w:rPr>
          <w:rFonts w:ascii="仿宋_GB2312" w:eastAsia="仿宋_GB2312"/>
          <w:sz w:val="32"/>
          <w:szCs w:val="32"/>
        </w:rPr>
        <w:t>7.</w:t>
      </w:r>
      <w:r>
        <w:rPr>
          <w:rFonts w:hint="eastAsia" w:ascii="仿宋_GB2312" w:eastAsia="仿宋_GB2312"/>
          <w:sz w:val="32"/>
          <w:szCs w:val="32"/>
        </w:rPr>
        <w:t>结余分配：指事业单位按照事业单位会计制度的规定从非财政补助结余中分配的事业基金和职工福利基金等。</w:t>
      </w:r>
    </w:p>
    <w:p>
      <w:pPr>
        <w:pStyle w:val="25"/>
        <w:spacing w:line="560" w:lineRule="exact"/>
        <w:ind w:firstLine="640" w:firstLineChars="200"/>
        <w:rPr>
          <w:rFonts w:hint="default" w:ascii="仿宋_GB2312" w:eastAsia="仿宋_GB2312"/>
          <w:sz w:val="32"/>
          <w:szCs w:val="32"/>
          <w:lang w:val="en-US" w:eastAsia="zh-CN"/>
        </w:rPr>
      </w:pPr>
      <w:r>
        <w:rPr>
          <w:rFonts w:ascii="仿宋_GB2312" w:eastAsia="仿宋_GB2312"/>
          <w:sz w:val="32"/>
          <w:szCs w:val="32"/>
        </w:rPr>
        <w:t>8</w:t>
      </w:r>
      <w:r>
        <w:rPr>
          <w:rFonts w:hint="eastAsia" w:ascii="仿宋_GB2312" w:eastAsia="仿宋_GB2312"/>
          <w:sz w:val="32"/>
          <w:szCs w:val="32"/>
        </w:rPr>
        <w:t>、年末结转和结余：指单位按有关规定结转到下年或以后年度继续使用的资金。</w:t>
      </w:r>
    </w:p>
    <w:p>
      <w:pPr>
        <w:pStyle w:val="14"/>
        <w:widowControl/>
        <w:spacing w:before="0" w:beforeAutospacing="0" w:after="0" w:afterAutospacing="0" w:line="560" w:lineRule="exact"/>
        <w:ind w:firstLine="640" w:firstLineChars="200"/>
        <w:rPr>
          <w:rFonts w:ascii="仿宋_GB2312" w:hAnsi="仿宋_GB2312" w:eastAsia="仿宋_GB2312" w:cs="仿宋_GB2312"/>
          <w:bCs/>
          <w:kern w:val="2"/>
          <w:sz w:val="32"/>
          <w:szCs w:val="32"/>
        </w:rPr>
      </w:pPr>
      <w:r>
        <w:rPr>
          <w:rFonts w:hint="eastAsia" w:ascii="仿宋_GB2312" w:hAnsi="仿宋_GB2312" w:eastAsia="仿宋_GB2312" w:cs="仿宋_GB2312"/>
          <w:bCs/>
          <w:kern w:val="2"/>
          <w:sz w:val="32"/>
          <w:szCs w:val="32"/>
          <w:lang w:val="en-US" w:eastAsia="zh-CN"/>
        </w:rPr>
        <w:t>9</w:t>
      </w:r>
      <w:r>
        <w:rPr>
          <w:rFonts w:hint="eastAsia" w:ascii="仿宋_GB2312" w:hAnsi="仿宋_GB2312" w:eastAsia="仿宋_GB2312" w:cs="仿宋_GB2312"/>
          <w:bCs/>
          <w:kern w:val="2"/>
          <w:sz w:val="32"/>
          <w:szCs w:val="32"/>
        </w:rPr>
        <w:t>.基本支出：指为单位机关正常运转、完成日常工作任务而发生的人员支出和公用支出。</w:t>
      </w:r>
    </w:p>
    <w:p>
      <w:pPr>
        <w:pStyle w:val="14"/>
        <w:widowControl/>
        <w:spacing w:before="0" w:beforeAutospacing="0" w:after="0" w:afterAutospacing="0" w:line="560" w:lineRule="exact"/>
        <w:ind w:firstLine="640" w:firstLineChars="200"/>
        <w:rPr>
          <w:rFonts w:ascii="仿宋_GB2312" w:hAnsi="仿宋_GB2312" w:eastAsia="仿宋_GB2312" w:cs="仿宋_GB2312"/>
          <w:bCs/>
          <w:kern w:val="2"/>
          <w:sz w:val="32"/>
          <w:szCs w:val="32"/>
        </w:rPr>
      </w:pPr>
      <w:r>
        <w:rPr>
          <w:rFonts w:hint="eastAsia" w:ascii="仿宋_GB2312" w:hAnsi="仿宋_GB2312" w:eastAsia="仿宋_GB2312" w:cs="仿宋_GB2312"/>
          <w:bCs/>
          <w:kern w:val="2"/>
          <w:sz w:val="32"/>
          <w:szCs w:val="32"/>
          <w:lang w:val="en-US" w:eastAsia="zh-CN"/>
        </w:rPr>
        <w:t>10</w:t>
      </w:r>
      <w:r>
        <w:rPr>
          <w:rFonts w:hint="eastAsia" w:ascii="仿宋_GB2312" w:hAnsi="仿宋_GB2312" w:eastAsia="仿宋_GB2312" w:cs="仿宋_GB2312"/>
          <w:bCs/>
          <w:kern w:val="2"/>
          <w:sz w:val="32"/>
          <w:szCs w:val="32"/>
        </w:rPr>
        <w:t>.项目支出：指在基本支出之外为完成特定行政任务和事业发展目标所发生的支出。</w:t>
      </w:r>
    </w:p>
    <w:p>
      <w:pPr>
        <w:pStyle w:val="14"/>
        <w:widowControl/>
        <w:spacing w:before="0" w:beforeAutospacing="0" w:after="0" w:afterAutospacing="0" w:line="560" w:lineRule="exact"/>
        <w:ind w:firstLine="640" w:firstLineChars="200"/>
        <w:rPr>
          <w:rFonts w:ascii="仿宋_GB2312" w:hAnsi="仿宋_GB2312" w:eastAsia="仿宋_GB2312" w:cs="仿宋_GB2312"/>
          <w:bCs/>
          <w:kern w:val="2"/>
          <w:sz w:val="32"/>
          <w:szCs w:val="32"/>
        </w:rPr>
      </w:pPr>
      <w:r>
        <w:rPr>
          <w:rFonts w:hint="eastAsia" w:ascii="仿宋_GB2312" w:hAnsi="仿宋_GB2312" w:eastAsia="仿宋_GB2312" w:cs="仿宋_GB2312"/>
          <w:bCs/>
          <w:kern w:val="2"/>
          <w:sz w:val="32"/>
          <w:szCs w:val="32"/>
          <w:lang w:val="en-US" w:eastAsia="zh-CN"/>
        </w:rPr>
        <w:t>11</w:t>
      </w:r>
      <w:r>
        <w:rPr>
          <w:rFonts w:hint="eastAsia" w:ascii="仿宋_GB2312" w:hAnsi="仿宋_GB2312" w:eastAsia="仿宋_GB2312" w:cs="仿宋_GB2312"/>
          <w:bCs/>
          <w:kern w:val="2"/>
          <w:sz w:val="32"/>
          <w:szCs w:val="32"/>
        </w:rPr>
        <w:t>.“三公”经费：纳入县级财政预决算管理的“三公”经费，是指我局用财政拨款安排的公务用车购置及运行费和公务接待费。公务用车购置及运行费反映我局公务用车车辆燃料费、维修费、过路过桥费、保险费、安全奖励费用等支出；公务接待费反映单位按规定开支的各类公务接待支出。</w:t>
      </w:r>
    </w:p>
    <w:p>
      <w:pPr>
        <w:pStyle w:val="14"/>
        <w:widowControl/>
        <w:spacing w:before="0" w:beforeAutospacing="0" w:after="0" w:afterAutospacing="0" w:line="560" w:lineRule="exact"/>
        <w:ind w:firstLine="640" w:firstLineChars="200"/>
        <w:rPr>
          <w:rFonts w:ascii="仿宋_GB2312" w:eastAsia="仿宋_GB2312" w:cs="黑体"/>
          <w:sz w:val="32"/>
          <w:szCs w:val="32"/>
        </w:rPr>
      </w:pPr>
      <w:r>
        <w:rPr>
          <w:rFonts w:hint="eastAsia" w:ascii="仿宋_GB2312" w:hAnsi="仿宋_GB2312" w:eastAsia="仿宋_GB2312" w:cs="仿宋_GB2312"/>
          <w:bCs/>
          <w:kern w:val="2"/>
          <w:sz w:val="32"/>
          <w:szCs w:val="32"/>
          <w:lang w:val="en-US" w:eastAsia="zh-CN"/>
        </w:rPr>
        <w:t>12</w:t>
      </w:r>
      <w:r>
        <w:rPr>
          <w:rFonts w:hint="eastAsia" w:ascii="仿宋_GB2312" w:hAnsi="仿宋_GB2312" w:eastAsia="仿宋_GB2312" w:cs="仿宋_GB2312"/>
          <w:bCs/>
          <w:kern w:val="2"/>
          <w:sz w:val="32"/>
          <w:szCs w:val="32"/>
        </w:rPr>
        <w:t>.机关运行经费：为保障我局机关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spacing w:line="560" w:lineRule="exact"/>
        <w:jc w:val="center"/>
        <w:outlineLvl w:val="0"/>
        <w:rPr>
          <w:rStyle w:val="27"/>
          <w:rFonts w:ascii="黑体" w:hAnsi="黑体" w:eastAsia="黑体"/>
          <w:b w:val="0"/>
        </w:rPr>
      </w:pPr>
      <w:bookmarkStart w:id="55" w:name="_Toc15377226"/>
      <w:r>
        <w:rPr>
          <w:rFonts w:ascii="宋体"/>
          <w:b/>
          <w:color w:val="000000"/>
          <w:sz w:val="44"/>
          <w:szCs w:val="44"/>
        </w:rPr>
        <w:br w:type="page"/>
      </w:r>
      <w:bookmarkStart w:id="56" w:name="_Toc15396614"/>
      <w:r>
        <w:rPr>
          <w:rFonts w:hint="eastAsia" w:ascii="黑体" w:hAnsi="黑体" w:eastAsia="黑体"/>
          <w:color w:val="000000"/>
          <w:sz w:val="44"/>
          <w:szCs w:val="44"/>
        </w:rPr>
        <w:t>第</w:t>
      </w:r>
      <w:r>
        <w:rPr>
          <w:rStyle w:val="27"/>
          <w:rFonts w:hint="eastAsia" w:ascii="黑体" w:hAnsi="黑体" w:eastAsia="黑体"/>
          <w:b w:val="0"/>
        </w:rPr>
        <w:t>四部分 附件</w:t>
      </w:r>
      <w:bookmarkEnd w:id="56"/>
    </w:p>
    <w:p>
      <w:pPr>
        <w:spacing w:line="560" w:lineRule="exact"/>
        <w:jc w:val="center"/>
        <w:outlineLvl w:val="0"/>
        <w:rPr>
          <w:rStyle w:val="27"/>
        </w:rPr>
      </w:pPr>
    </w:p>
    <w:p>
      <w:pPr>
        <w:pStyle w:val="5"/>
        <w:spacing w:line="560" w:lineRule="exact"/>
        <w:rPr>
          <w:rStyle w:val="27"/>
          <w:rFonts w:ascii="仿宋" w:hAnsi="仿宋" w:eastAsia="仿宋"/>
          <w:b w:val="0"/>
          <w:bCs w:val="0"/>
          <w:sz w:val="32"/>
          <w:szCs w:val="32"/>
        </w:rPr>
      </w:pPr>
      <w:bookmarkStart w:id="57" w:name="_Toc15396615"/>
      <w:r>
        <w:rPr>
          <w:rStyle w:val="27"/>
          <w:rFonts w:hint="eastAsia" w:ascii="仿宋" w:hAnsi="仿宋" w:eastAsia="仿宋"/>
          <w:b w:val="0"/>
          <w:bCs w:val="0"/>
          <w:sz w:val="32"/>
          <w:szCs w:val="32"/>
        </w:rPr>
        <w:t>附件1</w:t>
      </w:r>
      <w:bookmarkEnd w:id="57"/>
    </w:p>
    <w:p>
      <w:pPr>
        <w:widowControl/>
        <w:spacing w:line="560" w:lineRule="exact"/>
        <w:jc w:val="center"/>
        <w:rPr>
          <w:rFonts w:ascii="方正小标宋简体" w:hAnsi="宋体" w:eastAsia="方正小标宋简体" w:cs="方正小标宋简体"/>
          <w:sz w:val="44"/>
          <w:szCs w:val="44"/>
        </w:rPr>
      </w:pPr>
      <w:bookmarkStart w:id="58" w:name="_Toc15396617"/>
      <w:r>
        <w:rPr>
          <w:rFonts w:hint="eastAsia" w:ascii="方正小标宋简体" w:hAnsi="宋体" w:eastAsia="方正小标宋简体" w:cs="方正小标宋简体"/>
          <w:sz w:val="44"/>
          <w:szCs w:val="44"/>
        </w:rPr>
        <w:t>红原县</w:t>
      </w:r>
      <w:r>
        <w:rPr>
          <w:rFonts w:hint="eastAsia" w:ascii="方正小标宋简体" w:hAnsi="宋体" w:eastAsia="方正小标宋简体" w:cs="方正小标宋简体"/>
          <w:sz w:val="44"/>
          <w:szCs w:val="44"/>
          <w:lang w:eastAsia="zh-CN"/>
        </w:rPr>
        <w:t>接待办</w:t>
      </w:r>
      <w:bookmarkStart w:id="72" w:name="_GoBack"/>
      <w:bookmarkEnd w:id="72"/>
      <w:r>
        <w:rPr>
          <w:rFonts w:hint="eastAsia" w:ascii="方正小标宋简体" w:hAnsi="宋体" w:eastAsia="方正小标宋简体" w:cs="方正小标宋简体"/>
          <w:sz w:val="44"/>
          <w:szCs w:val="44"/>
        </w:rPr>
        <w:t>整体支出绩效报告</w:t>
      </w:r>
    </w:p>
    <w:p>
      <w:pPr>
        <w:widowControl/>
        <w:adjustRightInd w:val="0"/>
        <w:snapToGrid w:val="0"/>
        <w:spacing w:line="560" w:lineRule="exact"/>
        <w:ind w:firstLine="720"/>
        <w:jc w:val="left"/>
        <w:rPr>
          <w:rFonts w:ascii="黑体" w:hAnsi="宋体" w:eastAsia="黑体" w:cs="宋体"/>
          <w:color w:val="000000"/>
          <w:kern w:val="0"/>
          <w:lang w:val="zh-CN"/>
        </w:rPr>
      </w:pPr>
      <w:r>
        <w:rPr>
          <w:rFonts w:hint="eastAsia" w:ascii="黑体" w:hAnsi="宋体" w:eastAsia="黑体" w:cs="宋体"/>
          <w:color w:val="000000"/>
          <w:kern w:val="0"/>
          <w:sz w:val="32"/>
        </w:rPr>
        <w:t>一、</w:t>
      </w:r>
      <w:r>
        <w:rPr>
          <w:rFonts w:hint="eastAsia" w:ascii="黑体" w:hAnsi="宋体" w:eastAsia="黑体" w:cs="宋体"/>
          <w:color w:val="000000"/>
          <w:kern w:val="0"/>
          <w:sz w:val="32"/>
          <w:lang w:val="zh-CN"/>
        </w:rPr>
        <w:t>部门（单位）概况</w:t>
      </w:r>
    </w:p>
    <w:p>
      <w:pPr>
        <w:widowControl/>
        <w:adjustRightInd w:val="0"/>
        <w:snapToGrid w:val="0"/>
        <w:spacing w:line="560" w:lineRule="exact"/>
        <w:ind w:firstLine="720"/>
        <w:jc w:val="left"/>
        <w:rPr>
          <w:rFonts w:ascii="仿宋_GB2312" w:hAnsi="宋体" w:eastAsia="仿宋_GB2312" w:cs="宋体"/>
          <w:color w:val="000000"/>
          <w:kern w:val="0"/>
          <w:sz w:val="32"/>
          <w:lang w:val="zh-CN"/>
        </w:rPr>
      </w:pPr>
      <w:r>
        <w:rPr>
          <w:rFonts w:hint="eastAsia" w:ascii="仿宋_GB2312" w:hAnsi="宋体" w:eastAsia="仿宋_GB2312" w:cs="宋体"/>
          <w:b/>
          <w:bCs/>
          <w:color w:val="000000"/>
          <w:kern w:val="0"/>
          <w:sz w:val="32"/>
          <w:lang w:val="zh-CN"/>
        </w:rPr>
        <w:t>（一）机构组成。</w:t>
      </w:r>
    </w:p>
    <w:p>
      <w:pPr>
        <w:pStyle w:val="2"/>
        <w:ind w:firstLine="610"/>
        <w:rPr>
          <w:lang w:val="zh-CN"/>
        </w:rPr>
      </w:pPr>
      <w:r>
        <w:rPr>
          <w:rFonts w:hint="eastAsia" w:ascii="仿宋_GB2312" w:hAnsi="仿宋_GB2312" w:eastAsia="仿宋_GB2312" w:cs="仿宋_GB2312"/>
          <w:w w:val="96"/>
        </w:rPr>
        <w:t>为县委直属正科级公益一类事业单位。</w:t>
      </w:r>
    </w:p>
    <w:p>
      <w:pPr>
        <w:widowControl/>
        <w:adjustRightInd w:val="0"/>
        <w:snapToGrid w:val="0"/>
        <w:spacing w:line="560" w:lineRule="exact"/>
        <w:ind w:firstLine="720"/>
        <w:jc w:val="left"/>
        <w:rPr>
          <w:rFonts w:ascii="仿宋_GB2312" w:hAnsi="宋体" w:eastAsia="仿宋_GB2312" w:cs="宋体"/>
          <w:b/>
          <w:bCs/>
          <w:color w:val="000000"/>
          <w:kern w:val="0"/>
          <w:sz w:val="32"/>
          <w:lang w:val="zh-CN"/>
        </w:rPr>
      </w:pPr>
      <w:r>
        <w:rPr>
          <w:rFonts w:hint="eastAsia" w:ascii="仿宋_GB2312" w:hAnsi="宋体" w:eastAsia="仿宋_GB2312" w:cs="宋体"/>
          <w:b/>
          <w:bCs/>
          <w:color w:val="000000"/>
          <w:kern w:val="0"/>
          <w:sz w:val="32"/>
          <w:lang w:val="zh-CN"/>
        </w:rPr>
        <w:t>（二）机构职能。</w:t>
      </w:r>
    </w:p>
    <w:p>
      <w:pPr>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 </w:t>
      </w:r>
      <w:r>
        <w:rPr>
          <w:rFonts w:hint="eastAsia" w:ascii="仿宋_GB2312" w:hAnsi="仿宋_GB2312" w:eastAsia="仿宋_GB2312" w:cs="仿宋_GB2312"/>
          <w:sz w:val="32"/>
          <w:szCs w:val="32"/>
        </w:rPr>
        <w:t>1.贯彻执行国家有关机关事务工作的方针政策，拟订县直机关事务工作的政策、规划和规章制度并组织实施； 负责县直机关事务的管理、保障和服务工作。</w:t>
      </w:r>
    </w:p>
    <w:p>
      <w:pPr>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2.负责公务接待的管理和指导工作，按照规定完成接待任务。</w:t>
      </w:r>
    </w:p>
    <w:p>
      <w:pPr>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3.负责县级行政机关和事业单位公务用车、执勤执法用车的编制、配备、更新、处置的报批及日常管理工作。</w:t>
      </w:r>
    </w:p>
    <w:p>
      <w:pPr>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4.负责制定县直机关统一的机关后勤服务管理制度， 负责指导和监督实施县直机关后勤服务工作。</w:t>
      </w:r>
    </w:p>
    <w:p>
      <w:pPr>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5.负责全县行政事业单位非经营性国有资产的配置标准， 确定资产数量、价格、性能和最低使用年限和处置， 确定相关规章制度和管理办法并组织实施。</w:t>
      </w:r>
    </w:p>
    <w:p>
      <w:pPr>
        <w:rPr>
          <w:lang w:val="zh-CN"/>
        </w:rPr>
      </w:pPr>
      <w:r>
        <w:rPr>
          <w:rFonts w:hint="eastAsia" w:ascii="仿宋_GB2312" w:hAnsi="仿宋_GB2312" w:eastAsia="仿宋_GB2312" w:cs="仿宋_GB2312"/>
          <w:sz w:val="32"/>
          <w:szCs w:val="32"/>
        </w:rPr>
        <w:t xml:space="preserve">    6. 负责县直机关周转房的分配、 管理和日常工作， 负责 县委、人大、政府、政协机关集中办公区域的物业管理与服务工作， 负责指导县直机关集中办公区物业管理与服务工作。</w:t>
      </w:r>
    </w:p>
    <w:p>
      <w:pPr>
        <w:widowControl/>
        <w:adjustRightInd w:val="0"/>
        <w:snapToGrid w:val="0"/>
        <w:spacing w:line="560" w:lineRule="exact"/>
        <w:ind w:firstLine="720"/>
        <w:jc w:val="left"/>
        <w:rPr>
          <w:rFonts w:ascii="仿宋_GB2312" w:hAnsi="宋体" w:eastAsia="仿宋_GB2312" w:cs="宋体"/>
          <w:b/>
          <w:bCs/>
          <w:color w:val="000000"/>
          <w:kern w:val="0"/>
          <w:sz w:val="32"/>
          <w:lang w:val="zh-CN"/>
        </w:rPr>
      </w:pPr>
      <w:r>
        <w:rPr>
          <w:rFonts w:hint="eastAsia" w:ascii="仿宋_GB2312" w:hAnsi="宋体" w:eastAsia="仿宋_GB2312" w:cs="宋体"/>
          <w:b/>
          <w:bCs/>
          <w:color w:val="000000"/>
          <w:kern w:val="0"/>
          <w:sz w:val="32"/>
          <w:lang w:val="zh-CN"/>
        </w:rPr>
        <w:t>（三）人员概况。</w:t>
      </w:r>
    </w:p>
    <w:p>
      <w:pPr>
        <w:ind w:firstLine="640" w:firstLineChars="200"/>
        <w:jc w:val="left"/>
        <w:rPr>
          <w:lang w:val="zh-CN"/>
        </w:rPr>
      </w:pPr>
      <w:r>
        <w:rPr>
          <w:rFonts w:hint="eastAsia" w:ascii="仿宋_GB2312" w:hAnsi="仿宋_GB2312" w:eastAsia="仿宋_GB2312" w:cs="仿宋_GB2312"/>
          <w:bCs/>
          <w:sz w:val="32"/>
          <w:szCs w:val="32"/>
        </w:rPr>
        <w:t>我单位为独立核算全额拨款事业单位，截止2018年底我单位共有编制12个，工勤编制6个，事业编制6个，在职12人，事业编制5人，退休1人，工勤7人。</w:t>
      </w:r>
    </w:p>
    <w:p>
      <w:pPr>
        <w:widowControl/>
        <w:adjustRightInd w:val="0"/>
        <w:snapToGrid w:val="0"/>
        <w:spacing w:line="560" w:lineRule="exact"/>
        <w:ind w:firstLine="720"/>
        <w:jc w:val="left"/>
        <w:rPr>
          <w:rFonts w:ascii="黑体" w:hAnsi="宋体" w:eastAsia="黑体" w:cs="宋体"/>
          <w:color w:val="000000"/>
          <w:kern w:val="0"/>
        </w:rPr>
      </w:pPr>
      <w:r>
        <w:rPr>
          <w:rFonts w:hint="eastAsia" w:ascii="黑体" w:hAnsi="宋体" w:eastAsia="黑体" w:cs="宋体"/>
          <w:color w:val="000000"/>
          <w:kern w:val="0"/>
          <w:sz w:val="32"/>
        </w:rPr>
        <w:t>二、部门财政资金收支情况</w:t>
      </w:r>
    </w:p>
    <w:p>
      <w:pPr>
        <w:widowControl/>
        <w:adjustRightInd w:val="0"/>
        <w:snapToGrid w:val="0"/>
        <w:spacing w:line="560" w:lineRule="exact"/>
        <w:ind w:firstLine="720"/>
        <w:jc w:val="left"/>
        <w:rPr>
          <w:rFonts w:ascii="仿宋_GB2312" w:hAnsi="宋体" w:eastAsia="仿宋_GB2312" w:cs="宋体"/>
          <w:color w:val="000000"/>
          <w:kern w:val="0"/>
          <w:sz w:val="32"/>
          <w:lang w:val="zh-CN"/>
        </w:rPr>
      </w:pPr>
      <w:r>
        <w:rPr>
          <w:rFonts w:hint="eastAsia" w:ascii="仿宋_GB2312" w:hAnsi="宋体" w:eastAsia="仿宋_GB2312" w:cs="宋体"/>
          <w:color w:val="000000"/>
          <w:kern w:val="0"/>
          <w:sz w:val="32"/>
          <w:lang w:val="zh-CN"/>
        </w:rPr>
        <w:t>（一）部门财政资金收入情况。</w:t>
      </w:r>
    </w:p>
    <w:p>
      <w:pPr>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2018年我局本年收入合计440.57万元，其中：一般公共预算财政拨款收入417.59万元，占94.78%，结转：</w:t>
      </w:r>
      <w:r>
        <w:rPr>
          <w:rFonts w:ascii="仿宋_GB2312" w:hAnsi="仿宋_GB2312" w:eastAsia="仿宋_GB2312" w:cs="仿宋_GB2312"/>
          <w:color w:val="000000"/>
          <w:sz w:val="32"/>
          <w:szCs w:val="32"/>
        </w:rPr>
        <w:t>22.98</w:t>
      </w:r>
      <w:r>
        <w:rPr>
          <w:rFonts w:hint="eastAsia" w:ascii="仿宋_GB2312" w:hAnsi="仿宋_GB2312" w:eastAsia="仿宋_GB2312" w:cs="仿宋_GB2312"/>
          <w:color w:val="000000"/>
          <w:sz w:val="32"/>
          <w:szCs w:val="32"/>
        </w:rPr>
        <w:t>万元，占5.22%。</w:t>
      </w:r>
    </w:p>
    <w:p>
      <w:pPr>
        <w:widowControl/>
        <w:adjustRightInd w:val="0"/>
        <w:snapToGrid w:val="0"/>
        <w:spacing w:line="560" w:lineRule="exact"/>
        <w:ind w:firstLine="720"/>
        <w:jc w:val="left"/>
        <w:rPr>
          <w:rFonts w:ascii="仿宋_GB2312" w:hAnsi="宋体" w:eastAsia="仿宋_GB2312" w:cs="宋体"/>
          <w:color w:val="000000"/>
          <w:kern w:val="0"/>
          <w:sz w:val="32"/>
          <w:lang w:val="zh-CN"/>
        </w:rPr>
      </w:pPr>
      <w:r>
        <w:rPr>
          <w:rFonts w:hint="eastAsia" w:ascii="仿宋_GB2312" w:hAnsi="宋体" w:eastAsia="仿宋_GB2312" w:cs="宋体"/>
          <w:color w:val="000000"/>
          <w:kern w:val="0"/>
          <w:sz w:val="32"/>
          <w:lang w:val="zh-CN"/>
        </w:rPr>
        <w:t>（二）部门财政资金支出情况。</w:t>
      </w:r>
    </w:p>
    <w:p>
      <w:pPr>
        <w:spacing w:line="560" w:lineRule="exact"/>
        <w:ind w:firstLine="640" w:firstLineChars="200"/>
        <w:rPr>
          <w:lang w:val="zh-CN"/>
        </w:rPr>
      </w:pPr>
      <w:r>
        <w:rPr>
          <w:rFonts w:hint="eastAsia" w:ascii="仿宋_GB2312" w:hAnsi="仿宋_GB2312" w:eastAsia="仿宋_GB2312" w:cs="仿宋_GB2312"/>
          <w:color w:val="000000"/>
          <w:sz w:val="32"/>
          <w:szCs w:val="32"/>
        </w:rPr>
        <w:t>2018年我局本年支出合计440.32万元，其中：基本支出440.32万元，占100%。</w:t>
      </w:r>
    </w:p>
    <w:p>
      <w:pPr>
        <w:widowControl/>
        <w:adjustRightInd w:val="0"/>
        <w:snapToGrid w:val="0"/>
        <w:spacing w:line="560" w:lineRule="exact"/>
        <w:ind w:firstLine="720"/>
        <w:jc w:val="left"/>
        <w:rPr>
          <w:rFonts w:ascii="黑体" w:hAnsi="宋体" w:eastAsia="黑体" w:cs="宋体"/>
          <w:color w:val="000000"/>
          <w:kern w:val="0"/>
        </w:rPr>
      </w:pPr>
      <w:r>
        <w:rPr>
          <w:rFonts w:hint="eastAsia" w:ascii="黑体" w:hAnsi="宋体" w:eastAsia="黑体" w:cs="宋体"/>
          <w:color w:val="000000"/>
          <w:kern w:val="0"/>
          <w:sz w:val="32"/>
        </w:rPr>
        <w:t>三、部门财政支出管理情况</w:t>
      </w:r>
    </w:p>
    <w:p>
      <w:pPr>
        <w:widowControl/>
        <w:adjustRightInd w:val="0"/>
        <w:snapToGrid w:val="0"/>
        <w:spacing w:line="560" w:lineRule="exact"/>
        <w:ind w:firstLine="720"/>
        <w:jc w:val="left"/>
        <w:rPr>
          <w:rFonts w:ascii="楷体" w:hAnsi="楷体" w:eastAsia="楷体" w:cs="宋体"/>
          <w:color w:val="000000"/>
          <w:kern w:val="0"/>
          <w:lang w:val="zh-CN"/>
        </w:rPr>
      </w:pPr>
      <w:r>
        <w:rPr>
          <w:rFonts w:hint="eastAsia" w:ascii="楷体" w:hAnsi="楷体" w:eastAsia="楷体" w:cs="宋体"/>
          <w:color w:val="000000"/>
          <w:kern w:val="0"/>
          <w:sz w:val="32"/>
          <w:lang w:val="zh-CN"/>
        </w:rPr>
        <w:t>（一）预算编制情况。</w:t>
      </w:r>
    </w:p>
    <w:p>
      <w:pPr>
        <w:snapToGrid w:val="0"/>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2018年年初预算：452.05万元，2018年支出决算：440.32万元，预算多出11.73万元。其中接待费：人员经费预算：182.64万元，决算：183.95万元，预算少：1.31万元；日常公用经费预算：269.40万元，决算：256.39万元，预算多出：13.01万元。</w:t>
      </w:r>
    </w:p>
    <w:p>
      <w:pPr>
        <w:widowControl/>
        <w:adjustRightInd w:val="0"/>
        <w:snapToGrid w:val="0"/>
        <w:spacing w:line="560" w:lineRule="exact"/>
        <w:ind w:firstLine="720"/>
        <w:jc w:val="left"/>
        <w:rPr>
          <w:rFonts w:ascii="仿宋_GB2312" w:hAnsi="宋体" w:eastAsia="仿宋_GB2312" w:cs="宋体"/>
          <w:color w:val="000000"/>
          <w:kern w:val="0"/>
          <w:lang w:val="zh-CN"/>
        </w:rPr>
      </w:pPr>
    </w:p>
    <w:p>
      <w:pPr>
        <w:widowControl/>
        <w:adjustRightInd w:val="0"/>
        <w:snapToGrid w:val="0"/>
        <w:spacing w:line="560" w:lineRule="exact"/>
        <w:ind w:firstLine="720"/>
        <w:jc w:val="left"/>
        <w:rPr>
          <w:rFonts w:ascii="楷体" w:hAnsi="楷体" w:eastAsia="楷体" w:cs="宋体"/>
          <w:color w:val="000000"/>
          <w:kern w:val="0"/>
          <w:lang w:val="zh-CN"/>
        </w:rPr>
      </w:pPr>
      <w:r>
        <w:rPr>
          <w:rFonts w:hint="eastAsia" w:ascii="楷体" w:hAnsi="楷体" w:eastAsia="楷体" w:cs="宋体"/>
          <w:color w:val="000000"/>
          <w:kern w:val="0"/>
          <w:sz w:val="32"/>
          <w:lang w:val="zh-CN"/>
        </w:rPr>
        <w:t>（二）执行管理情况。</w:t>
      </w:r>
      <w:r>
        <w:rPr>
          <w:rFonts w:hint="eastAsia" w:ascii="楷体" w:hAnsi="楷体" w:eastAsia="楷体" w:cs="宋体"/>
          <w:color w:val="000000"/>
          <w:kern w:val="0"/>
          <w:sz w:val="32"/>
          <w:lang w:val="zh-CN"/>
        </w:rPr>
        <w:tab/>
      </w:r>
    </w:p>
    <w:p>
      <w:pPr>
        <w:spacing w:line="560" w:lineRule="exact"/>
        <w:ind w:firstLine="640" w:firstLineChars="200"/>
        <w:jc w:val="left"/>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2010350-事业运行393.27万元，</w:t>
      </w:r>
      <w:r>
        <w:rPr>
          <w:rStyle w:val="16"/>
          <w:rFonts w:hint="eastAsia" w:ascii="仿宋_GB2312" w:hAnsi="仿宋_GB2312" w:eastAsia="仿宋_GB2312" w:cs="仿宋_GB2312"/>
          <w:b w:val="0"/>
          <w:color w:val="000000"/>
          <w:sz w:val="32"/>
          <w:szCs w:val="32"/>
        </w:rPr>
        <w:t>该支出</w:t>
      </w:r>
      <w:r>
        <w:rPr>
          <w:rFonts w:hint="eastAsia" w:ascii="仿宋_GB2312" w:hAnsi="仿宋_GB2312" w:eastAsia="仿宋_GB2312" w:cs="仿宋_GB2312"/>
          <w:bCs/>
          <w:sz w:val="32"/>
          <w:szCs w:val="32"/>
        </w:rPr>
        <w:t>主要用于工资福利支出和商品和服务支出；</w:t>
      </w:r>
    </w:p>
    <w:p>
      <w:pPr>
        <w:spacing w:line="560" w:lineRule="exact"/>
        <w:ind w:firstLine="640" w:firstLineChars="200"/>
        <w:jc w:val="left"/>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2101102-公务员医疗补助支出7.94万元，</w:t>
      </w:r>
      <w:r>
        <w:rPr>
          <w:rStyle w:val="16"/>
          <w:rFonts w:hint="eastAsia" w:ascii="仿宋_GB2312" w:hAnsi="仿宋_GB2312" w:eastAsia="仿宋_GB2312" w:cs="仿宋_GB2312"/>
          <w:b w:val="0"/>
          <w:color w:val="000000"/>
          <w:sz w:val="32"/>
          <w:szCs w:val="32"/>
        </w:rPr>
        <w:t>该支出</w:t>
      </w:r>
      <w:r>
        <w:rPr>
          <w:rFonts w:hint="eastAsia" w:ascii="仿宋_GB2312" w:hAnsi="仿宋_GB2312" w:eastAsia="仿宋_GB2312" w:cs="仿宋_GB2312"/>
          <w:bCs/>
          <w:sz w:val="32"/>
          <w:szCs w:val="32"/>
        </w:rPr>
        <w:t>主要用于支付事业单位医疗；</w:t>
      </w:r>
    </w:p>
    <w:p>
      <w:pPr>
        <w:spacing w:line="560" w:lineRule="exact"/>
        <w:ind w:firstLine="640" w:firstLineChars="200"/>
        <w:jc w:val="left"/>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2080505机关事业单位基本养老保险缴费支18.88</w:t>
      </w:r>
      <w:r>
        <w:rPr>
          <w:rFonts w:hint="eastAsia" w:ascii="仿宋_GB2312" w:hAnsi="仿宋_GB2312" w:eastAsia="仿宋_GB2312" w:cs="仿宋_GB2312"/>
          <w:sz w:val="32"/>
          <w:szCs w:val="32"/>
        </w:rPr>
        <w:t>万元</w:t>
      </w:r>
      <w:r>
        <w:rPr>
          <w:rFonts w:hint="eastAsia" w:ascii="仿宋_GB2312" w:hAnsi="仿宋_GB2312" w:eastAsia="仿宋_GB2312" w:cs="仿宋_GB2312"/>
          <w:bCs/>
          <w:sz w:val="32"/>
          <w:szCs w:val="32"/>
        </w:rPr>
        <w:t>，</w:t>
      </w:r>
      <w:r>
        <w:rPr>
          <w:rStyle w:val="16"/>
          <w:rFonts w:hint="eastAsia" w:ascii="仿宋_GB2312" w:hAnsi="仿宋_GB2312" w:eastAsia="仿宋_GB2312" w:cs="仿宋_GB2312"/>
          <w:b w:val="0"/>
          <w:color w:val="000000"/>
          <w:sz w:val="32"/>
          <w:szCs w:val="32"/>
        </w:rPr>
        <w:t>该支出</w:t>
      </w:r>
      <w:r>
        <w:rPr>
          <w:rFonts w:hint="eastAsia" w:ascii="仿宋_GB2312" w:hAnsi="仿宋_GB2312" w:eastAsia="仿宋_GB2312" w:cs="仿宋_GB2312"/>
          <w:bCs/>
          <w:sz w:val="32"/>
          <w:szCs w:val="32"/>
        </w:rPr>
        <w:t>主要用于基本养老保险缴费；</w:t>
      </w:r>
    </w:p>
    <w:p>
      <w:pPr>
        <w:spacing w:line="560" w:lineRule="exact"/>
        <w:ind w:firstLine="640" w:firstLineChars="200"/>
        <w:jc w:val="left"/>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2080506-机关事业单位职业年金缴费支出7.55万元，</w:t>
      </w:r>
      <w:r>
        <w:rPr>
          <w:rStyle w:val="16"/>
          <w:rFonts w:hint="eastAsia" w:ascii="仿宋_GB2312" w:hAnsi="仿宋_GB2312" w:eastAsia="仿宋_GB2312" w:cs="仿宋_GB2312"/>
          <w:b w:val="0"/>
          <w:color w:val="000000"/>
          <w:sz w:val="32"/>
          <w:szCs w:val="32"/>
        </w:rPr>
        <w:t>该支出</w:t>
      </w:r>
      <w:r>
        <w:rPr>
          <w:rFonts w:hint="eastAsia" w:ascii="仿宋_GB2312" w:hAnsi="仿宋_GB2312" w:eastAsia="仿宋_GB2312" w:cs="仿宋_GB2312"/>
          <w:bCs/>
          <w:sz w:val="32"/>
          <w:szCs w:val="32"/>
        </w:rPr>
        <w:t>主要用于职业年金缴费；</w:t>
      </w:r>
    </w:p>
    <w:p>
      <w:pPr>
        <w:spacing w:line="560" w:lineRule="exact"/>
        <w:ind w:firstLine="640" w:firstLineChars="200"/>
        <w:jc w:val="left"/>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2210201-住房公积金支出12.68万元，</w:t>
      </w:r>
      <w:r>
        <w:rPr>
          <w:rStyle w:val="16"/>
          <w:rFonts w:hint="eastAsia" w:ascii="仿宋_GB2312" w:hAnsi="仿宋_GB2312" w:eastAsia="仿宋_GB2312" w:cs="仿宋_GB2312"/>
          <w:b w:val="0"/>
          <w:color w:val="000000"/>
          <w:sz w:val="32"/>
          <w:szCs w:val="32"/>
        </w:rPr>
        <w:t>该支出</w:t>
      </w:r>
      <w:r>
        <w:rPr>
          <w:rFonts w:hint="eastAsia" w:ascii="仿宋_GB2312" w:hAnsi="仿宋_GB2312" w:eastAsia="仿宋_GB2312" w:cs="仿宋_GB2312"/>
          <w:bCs/>
          <w:sz w:val="32"/>
          <w:szCs w:val="32"/>
        </w:rPr>
        <w:t>主要用于支付职工住房公积金。</w:t>
      </w:r>
    </w:p>
    <w:p>
      <w:pPr>
        <w:pStyle w:val="2"/>
        <w:ind w:firstLine="640"/>
      </w:pPr>
      <w:r>
        <w:rPr>
          <w:rFonts w:hint="eastAsia" w:ascii="仿宋_GB2312" w:hAnsi="仿宋_GB2312" w:eastAsia="仿宋_GB2312" w:cs="仿宋_GB2312"/>
          <w:color w:val="000000"/>
        </w:rPr>
        <w:t>2018年度“三公”经费财政拨款支出决算为208.68元，完成预算95%，决算数小于预算数的主要原因是接待费和公车费维修费用下降。</w:t>
      </w:r>
    </w:p>
    <w:p>
      <w:pPr>
        <w:widowControl/>
        <w:adjustRightInd w:val="0"/>
        <w:snapToGrid w:val="0"/>
        <w:spacing w:line="560" w:lineRule="exact"/>
        <w:ind w:firstLine="720"/>
        <w:jc w:val="left"/>
        <w:rPr>
          <w:rFonts w:ascii="楷体" w:hAnsi="楷体" w:eastAsia="楷体" w:cs="宋体"/>
          <w:color w:val="000000"/>
          <w:kern w:val="0"/>
          <w:lang w:val="zh-CN"/>
        </w:rPr>
      </w:pPr>
      <w:r>
        <w:rPr>
          <w:rFonts w:hint="eastAsia" w:ascii="楷体" w:hAnsi="楷体" w:eastAsia="楷体" w:cs="宋体"/>
          <w:color w:val="000000"/>
          <w:kern w:val="0"/>
          <w:sz w:val="32"/>
          <w:lang w:val="zh-CN"/>
        </w:rPr>
        <w:t>（三）综合管理情况。</w:t>
      </w:r>
    </w:p>
    <w:p>
      <w:pPr>
        <w:widowControl/>
        <w:adjustRightInd w:val="0"/>
        <w:snapToGrid w:val="0"/>
        <w:spacing w:line="560" w:lineRule="exact"/>
        <w:ind w:firstLine="720"/>
        <w:jc w:val="left"/>
        <w:rPr>
          <w:rFonts w:ascii="仿宋_GB2312" w:hAnsi="宋体" w:eastAsia="仿宋_GB2312" w:cs="宋体"/>
          <w:color w:val="000000"/>
          <w:kern w:val="0"/>
          <w:lang w:val="zh-CN"/>
        </w:rPr>
      </w:pPr>
      <w:r>
        <w:rPr>
          <w:rFonts w:hint="eastAsia" w:ascii="仿宋_GB2312" w:hAnsi="宋体" w:eastAsia="仿宋_GB2312" w:cs="宋体"/>
          <w:color w:val="000000"/>
          <w:kern w:val="0"/>
          <w:sz w:val="32"/>
          <w:lang w:val="zh-CN"/>
        </w:rPr>
        <w:t>包括政府性债务管理、非税收入执收、政策采购实施计划、资产管理、内控制度管理、信息公开、绩效评价及依法接受财政监督情况等。</w:t>
      </w:r>
    </w:p>
    <w:p>
      <w:pPr>
        <w:widowControl/>
        <w:adjustRightInd w:val="0"/>
        <w:snapToGrid w:val="0"/>
        <w:spacing w:line="560" w:lineRule="exact"/>
        <w:ind w:firstLine="720"/>
        <w:jc w:val="left"/>
        <w:rPr>
          <w:rFonts w:ascii="楷体" w:hAnsi="楷体" w:eastAsia="楷体" w:cs="宋体"/>
          <w:color w:val="000000"/>
          <w:kern w:val="0"/>
          <w:lang w:val="zh-CN"/>
        </w:rPr>
      </w:pPr>
      <w:r>
        <w:rPr>
          <w:rFonts w:hint="eastAsia" w:ascii="楷体" w:hAnsi="楷体" w:eastAsia="楷体" w:cs="宋体"/>
          <w:color w:val="000000"/>
          <w:kern w:val="0"/>
          <w:sz w:val="32"/>
          <w:lang w:val="zh-CN"/>
        </w:rPr>
        <w:t>（四）整体绩效。</w:t>
      </w:r>
    </w:p>
    <w:p>
      <w:pPr>
        <w:widowControl/>
        <w:adjustRightInd w:val="0"/>
        <w:snapToGrid w:val="0"/>
        <w:spacing w:line="560" w:lineRule="exact"/>
        <w:ind w:firstLine="640" w:firstLineChars="200"/>
        <w:jc w:val="left"/>
        <w:rPr>
          <w:rFonts w:ascii="楷体" w:hAnsi="楷体" w:eastAsia="楷体" w:cs="宋体"/>
          <w:color w:val="000000"/>
          <w:kern w:val="0"/>
          <w:sz w:val="32"/>
          <w:lang w:val="zh-CN"/>
        </w:rPr>
      </w:pPr>
      <w:r>
        <w:rPr>
          <w:rFonts w:hint="eastAsia" w:ascii="楷体" w:hAnsi="楷体" w:eastAsia="楷体" w:cs="宋体"/>
          <w:color w:val="000000"/>
          <w:kern w:val="0"/>
          <w:sz w:val="32"/>
          <w:lang w:val="zh-CN"/>
        </w:rPr>
        <w:t>（一）部门职责履行情况分析</w:t>
      </w:r>
    </w:p>
    <w:p>
      <w:pPr>
        <w:widowControl/>
        <w:adjustRightInd w:val="0"/>
        <w:snapToGrid w:val="0"/>
        <w:spacing w:line="560" w:lineRule="exact"/>
        <w:ind w:firstLine="640" w:firstLineChars="200"/>
        <w:jc w:val="left"/>
        <w:rPr>
          <w:rFonts w:ascii="仿宋_GB2312" w:eastAsia="仿宋_GB2312"/>
          <w:color w:val="000000"/>
          <w:sz w:val="32"/>
          <w:szCs w:val="32"/>
          <w:lang w:val="zh-CN"/>
        </w:rPr>
      </w:pPr>
      <w:r>
        <w:rPr>
          <w:rFonts w:hint="eastAsia" w:ascii="仿宋_GB2312" w:eastAsia="仿宋_GB2312"/>
          <w:color w:val="000000"/>
          <w:sz w:val="32"/>
          <w:szCs w:val="32"/>
          <w:lang w:val="zh-CN"/>
        </w:rPr>
        <w:t>201</w:t>
      </w:r>
      <w:r>
        <w:rPr>
          <w:rFonts w:hint="eastAsia" w:ascii="仿宋_GB2312" w:eastAsia="仿宋_GB2312"/>
          <w:color w:val="000000"/>
          <w:sz w:val="32"/>
          <w:szCs w:val="32"/>
        </w:rPr>
        <w:t>7</w:t>
      </w:r>
      <w:r>
        <w:rPr>
          <w:rFonts w:hint="eastAsia" w:ascii="仿宋_GB2312" w:eastAsia="仿宋_GB2312"/>
          <w:color w:val="000000"/>
          <w:sz w:val="32"/>
          <w:szCs w:val="32"/>
          <w:lang w:val="zh-CN"/>
        </w:rPr>
        <w:t>年度我单位年初</w:t>
      </w:r>
      <w:r>
        <w:rPr>
          <w:rFonts w:hint="eastAsia" w:ascii="仿宋_GB2312" w:eastAsia="仿宋_GB2312"/>
          <w:color w:val="000000"/>
          <w:sz w:val="32"/>
          <w:szCs w:val="32"/>
        </w:rPr>
        <w:t>根据</w:t>
      </w:r>
      <w:r>
        <w:rPr>
          <w:rFonts w:hint="eastAsia" w:ascii="仿宋_GB2312" w:eastAsia="仿宋_GB2312"/>
          <w:color w:val="000000"/>
          <w:sz w:val="32"/>
          <w:szCs w:val="32"/>
          <w:lang w:val="zh-CN"/>
        </w:rPr>
        <w:t>工作规划和重点工作</w:t>
      </w:r>
      <w:r>
        <w:rPr>
          <w:rFonts w:hint="eastAsia" w:ascii="仿宋_GB2312" w:eastAsia="仿宋_GB2312"/>
          <w:color w:val="000000"/>
          <w:sz w:val="32"/>
          <w:szCs w:val="32"/>
        </w:rPr>
        <w:t>规划</w:t>
      </w:r>
      <w:r>
        <w:rPr>
          <w:rFonts w:hint="eastAsia" w:ascii="仿宋_GB2312" w:eastAsia="仿宋_GB2312"/>
          <w:color w:val="000000"/>
          <w:sz w:val="32"/>
          <w:szCs w:val="32"/>
          <w:lang w:val="zh-CN"/>
        </w:rPr>
        <w:t>，围绕全面建成小康社会的发展蓝图，积极履行职责，强化本单位预算管理，较好地完成了年初工作目标。通过加强预算收支管理，不断建立健全内部管理制度，梳理内部管理流程。部门整体预算支出管理情况得到提升。</w:t>
      </w:r>
    </w:p>
    <w:p>
      <w:pPr>
        <w:widowControl/>
        <w:adjustRightInd w:val="0"/>
        <w:snapToGrid w:val="0"/>
        <w:spacing w:line="560" w:lineRule="exact"/>
        <w:ind w:firstLine="640" w:firstLineChars="200"/>
        <w:jc w:val="left"/>
        <w:rPr>
          <w:rFonts w:ascii="楷体" w:hAnsi="楷体" w:eastAsia="楷体" w:cs="宋体"/>
          <w:color w:val="000000"/>
          <w:kern w:val="0"/>
          <w:sz w:val="32"/>
          <w:lang w:val="zh-CN"/>
        </w:rPr>
      </w:pPr>
      <w:r>
        <w:rPr>
          <w:rFonts w:hint="eastAsia" w:ascii="楷体" w:hAnsi="楷体" w:eastAsia="楷体" w:cs="宋体"/>
          <w:color w:val="000000"/>
          <w:kern w:val="0"/>
          <w:sz w:val="32"/>
          <w:lang w:val="zh-CN"/>
        </w:rPr>
        <w:t>（二）社会经济效益分析</w:t>
      </w:r>
    </w:p>
    <w:p>
      <w:pPr>
        <w:widowControl/>
        <w:adjustRightInd w:val="0"/>
        <w:snapToGrid w:val="0"/>
        <w:spacing w:line="560" w:lineRule="exact"/>
        <w:ind w:firstLine="640" w:firstLineChars="200"/>
        <w:jc w:val="left"/>
        <w:rPr>
          <w:rFonts w:ascii="仿宋_GB2312" w:eastAsia="仿宋_GB2312"/>
          <w:color w:val="000000"/>
          <w:sz w:val="32"/>
          <w:szCs w:val="32"/>
          <w:lang w:val="zh-CN"/>
        </w:rPr>
      </w:pPr>
      <w:r>
        <w:rPr>
          <w:rFonts w:hint="eastAsia" w:ascii="仿宋_GB2312" w:eastAsia="仿宋_GB2312"/>
          <w:color w:val="000000"/>
          <w:sz w:val="32"/>
          <w:szCs w:val="32"/>
          <w:lang w:val="zh-CN"/>
        </w:rPr>
        <w:t>1、本年预算配置控制较好。财政供养人员控制在预算编制以内，编制内在职人员控制率为100%；“三公经费”控制在年初预算以内。</w:t>
      </w:r>
    </w:p>
    <w:p>
      <w:pPr>
        <w:widowControl/>
        <w:adjustRightInd w:val="0"/>
        <w:snapToGrid w:val="0"/>
        <w:spacing w:line="560" w:lineRule="exact"/>
        <w:ind w:firstLine="640" w:firstLineChars="200"/>
        <w:jc w:val="left"/>
        <w:rPr>
          <w:rFonts w:ascii="仿宋_GB2312" w:eastAsia="仿宋_GB2312"/>
          <w:color w:val="000000"/>
          <w:sz w:val="32"/>
          <w:szCs w:val="32"/>
          <w:lang w:val="zh-CN"/>
        </w:rPr>
      </w:pPr>
      <w:r>
        <w:rPr>
          <w:rFonts w:hint="eastAsia" w:ascii="仿宋_GB2312" w:eastAsia="仿宋_GB2312"/>
          <w:color w:val="000000"/>
          <w:sz w:val="32"/>
          <w:szCs w:val="32"/>
          <w:lang w:val="zh-CN"/>
        </w:rPr>
        <w:t>2、预算执行情况控制较好。支出总额控制在年初预算总额以内，本年部门预算完成率达到了100%，未进行预算相关事项的调整，预算控制良好。</w:t>
      </w:r>
    </w:p>
    <w:p>
      <w:pPr>
        <w:widowControl/>
        <w:adjustRightInd w:val="0"/>
        <w:snapToGrid w:val="0"/>
        <w:spacing w:line="560" w:lineRule="exact"/>
        <w:ind w:firstLine="640" w:firstLineChars="200"/>
        <w:jc w:val="left"/>
        <w:rPr>
          <w:rFonts w:ascii="楷体" w:hAnsi="楷体" w:eastAsia="楷体" w:cs="宋体"/>
          <w:color w:val="000000"/>
          <w:kern w:val="0"/>
          <w:sz w:val="32"/>
          <w:lang w:val="zh-CN"/>
        </w:rPr>
      </w:pPr>
      <w:r>
        <w:rPr>
          <w:rFonts w:hint="eastAsia" w:ascii="仿宋_GB2312" w:eastAsia="仿宋_GB2312"/>
          <w:color w:val="000000"/>
          <w:sz w:val="32"/>
          <w:szCs w:val="32"/>
          <w:lang w:val="zh-CN"/>
        </w:rPr>
        <w:t>3、预算管理较为理想。由于严格执行财政相关法律、法规的规定，我单位的预算管理工作取得了较好的成绩，全年人员经费支出、日常用公用经费支出的控制率均达到了100%</w:t>
      </w:r>
      <w:r>
        <w:rPr>
          <w:rFonts w:hint="eastAsia" w:ascii="楷体" w:hAnsi="楷体" w:eastAsia="楷体" w:cs="宋体"/>
          <w:color w:val="000000"/>
          <w:kern w:val="0"/>
          <w:sz w:val="32"/>
          <w:lang w:val="zh-CN"/>
        </w:rPr>
        <w:t>。</w:t>
      </w:r>
    </w:p>
    <w:p>
      <w:pPr>
        <w:widowControl/>
        <w:adjustRightInd w:val="0"/>
        <w:snapToGrid w:val="0"/>
        <w:spacing w:line="560" w:lineRule="exact"/>
        <w:ind w:firstLine="640" w:firstLineChars="200"/>
        <w:jc w:val="left"/>
        <w:rPr>
          <w:rFonts w:ascii="楷体" w:hAnsi="楷体" w:eastAsia="楷体" w:cs="宋体"/>
          <w:color w:val="000000"/>
          <w:kern w:val="0"/>
          <w:sz w:val="32"/>
          <w:lang w:val="zh-CN"/>
        </w:rPr>
      </w:pPr>
      <w:r>
        <w:rPr>
          <w:rFonts w:hint="eastAsia" w:ascii="楷体" w:hAnsi="楷体" w:eastAsia="楷体" w:cs="宋体"/>
          <w:color w:val="000000"/>
          <w:kern w:val="0"/>
          <w:sz w:val="32"/>
          <w:lang w:val="zh-CN"/>
        </w:rPr>
        <w:t>（三）行政效能分析</w:t>
      </w:r>
    </w:p>
    <w:p>
      <w:pPr>
        <w:widowControl/>
        <w:adjustRightInd w:val="0"/>
        <w:snapToGrid w:val="0"/>
        <w:spacing w:line="560" w:lineRule="exact"/>
        <w:ind w:firstLine="640" w:firstLineChars="200"/>
        <w:jc w:val="left"/>
        <w:rPr>
          <w:rFonts w:ascii="仿宋_GB2312" w:eastAsia="仿宋_GB2312"/>
          <w:color w:val="000000"/>
          <w:sz w:val="32"/>
          <w:szCs w:val="32"/>
          <w:lang w:val="zh-CN"/>
        </w:rPr>
      </w:pPr>
      <w:r>
        <w:rPr>
          <w:rFonts w:hint="eastAsia" w:ascii="仿宋_GB2312" w:eastAsia="仿宋_GB2312"/>
          <w:color w:val="000000"/>
          <w:sz w:val="32"/>
          <w:szCs w:val="32"/>
          <w:lang w:val="zh-CN"/>
        </w:rPr>
        <w:t>财政预算按排在很大程度上保障了本单位基本支出及公用经费支出的正常工作运转。预算按排的项目支出也是非常必要的。财政预算按排大大提财政资金的使用效率，财政资金的安全性得到了有效保障，我们在执行预算过程中是严格按照财政各项制度规定来办理，单位在项目资金的使用上也是安全的。</w:t>
      </w:r>
    </w:p>
    <w:p>
      <w:pPr>
        <w:widowControl/>
        <w:adjustRightInd w:val="0"/>
        <w:snapToGrid w:val="0"/>
        <w:spacing w:line="560" w:lineRule="exact"/>
        <w:ind w:firstLine="640" w:firstLineChars="200"/>
        <w:jc w:val="left"/>
        <w:rPr>
          <w:rFonts w:ascii="楷体" w:hAnsi="楷体" w:eastAsia="楷体" w:cs="宋体"/>
          <w:color w:val="000000"/>
          <w:kern w:val="0"/>
          <w:sz w:val="32"/>
          <w:lang w:val="zh-CN"/>
        </w:rPr>
      </w:pPr>
      <w:r>
        <w:rPr>
          <w:rFonts w:hint="eastAsia" w:ascii="楷体" w:hAnsi="楷体" w:eastAsia="楷体" w:cs="宋体"/>
          <w:color w:val="000000"/>
          <w:kern w:val="0"/>
          <w:sz w:val="32"/>
          <w:lang w:val="zh-CN"/>
        </w:rPr>
        <w:t>四、其他需要说明的问题</w:t>
      </w:r>
    </w:p>
    <w:p>
      <w:pPr>
        <w:widowControl/>
        <w:adjustRightInd w:val="0"/>
        <w:snapToGrid w:val="0"/>
        <w:spacing w:line="560" w:lineRule="exact"/>
        <w:ind w:firstLine="640" w:firstLineChars="200"/>
        <w:jc w:val="left"/>
        <w:rPr>
          <w:rFonts w:ascii="楷体" w:hAnsi="楷体" w:eastAsia="楷体" w:cs="宋体"/>
          <w:color w:val="000000"/>
          <w:kern w:val="0"/>
          <w:sz w:val="32"/>
          <w:lang w:val="zh-CN"/>
        </w:rPr>
      </w:pPr>
      <w:r>
        <w:rPr>
          <w:rFonts w:hint="eastAsia" w:ascii="楷体" w:hAnsi="楷体" w:eastAsia="楷体" w:cs="宋体"/>
          <w:color w:val="000000"/>
          <w:kern w:val="0"/>
          <w:sz w:val="32"/>
          <w:lang w:val="zh-CN"/>
        </w:rPr>
        <w:t>（一）存在的问题</w:t>
      </w:r>
    </w:p>
    <w:p>
      <w:pPr>
        <w:widowControl/>
        <w:adjustRightInd w:val="0"/>
        <w:snapToGrid w:val="0"/>
        <w:spacing w:line="560" w:lineRule="exact"/>
        <w:ind w:firstLine="640" w:firstLineChars="200"/>
        <w:jc w:val="left"/>
        <w:rPr>
          <w:rFonts w:ascii="仿宋_GB2312" w:eastAsia="仿宋_GB2312"/>
          <w:color w:val="000000"/>
          <w:sz w:val="32"/>
          <w:szCs w:val="32"/>
          <w:lang w:val="zh-CN"/>
        </w:rPr>
      </w:pPr>
      <w:r>
        <w:rPr>
          <w:rFonts w:hint="eastAsia" w:ascii="仿宋_GB2312" w:eastAsia="仿宋_GB2312"/>
          <w:color w:val="000000"/>
          <w:sz w:val="32"/>
          <w:szCs w:val="32"/>
          <w:lang w:val="zh-CN"/>
        </w:rPr>
        <w:t>1、预算编制欠严谨</w:t>
      </w:r>
    </w:p>
    <w:p>
      <w:pPr>
        <w:widowControl/>
        <w:adjustRightInd w:val="0"/>
        <w:snapToGrid w:val="0"/>
        <w:spacing w:line="560" w:lineRule="exact"/>
        <w:ind w:firstLine="640" w:firstLineChars="200"/>
        <w:jc w:val="left"/>
        <w:rPr>
          <w:rFonts w:ascii="仿宋_GB2312" w:eastAsia="仿宋_GB2312"/>
          <w:color w:val="000000"/>
          <w:sz w:val="32"/>
          <w:szCs w:val="32"/>
          <w:lang w:val="zh-CN"/>
        </w:rPr>
      </w:pPr>
      <w:r>
        <w:rPr>
          <w:rFonts w:hint="eastAsia" w:ascii="仿宋_GB2312" w:eastAsia="仿宋_GB2312"/>
          <w:color w:val="000000"/>
          <w:sz w:val="32"/>
          <w:szCs w:val="32"/>
          <w:lang w:val="zh-CN"/>
        </w:rPr>
        <w:t>预算编制欠全面，项目有临时追加不够完整、细化</w:t>
      </w:r>
      <w:r>
        <w:rPr>
          <w:rFonts w:hint="eastAsia" w:ascii="仿宋_GB2312"/>
          <w:color w:val="000000"/>
          <w:sz w:val="32"/>
          <w:szCs w:val="32"/>
          <w:lang w:val="zh-CN"/>
        </w:rPr>
        <w:t>。</w:t>
      </w:r>
    </w:p>
    <w:p>
      <w:pPr>
        <w:widowControl/>
        <w:adjustRightInd w:val="0"/>
        <w:snapToGrid w:val="0"/>
        <w:spacing w:line="560" w:lineRule="exact"/>
        <w:ind w:firstLine="640" w:firstLineChars="200"/>
        <w:jc w:val="left"/>
        <w:rPr>
          <w:rFonts w:ascii="仿宋_GB2312" w:eastAsia="仿宋_GB2312"/>
          <w:color w:val="000000"/>
          <w:sz w:val="32"/>
          <w:szCs w:val="32"/>
          <w:lang w:val="zh-CN"/>
        </w:rPr>
      </w:pPr>
      <w:r>
        <w:rPr>
          <w:rFonts w:hint="eastAsia" w:ascii="仿宋_GB2312" w:eastAsia="仿宋_GB2312"/>
          <w:color w:val="000000"/>
          <w:sz w:val="32"/>
          <w:szCs w:val="32"/>
          <w:lang w:val="zh-CN"/>
        </w:rPr>
        <w:t>2、预算执行存在偏差</w:t>
      </w:r>
    </w:p>
    <w:p>
      <w:pPr>
        <w:widowControl/>
        <w:adjustRightInd w:val="0"/>
        <w:snapToGrid w:val="0"/>
        <w:spacing w:line="560" w:lineRule="exact"/>
        <w:ind w:firstLine="640" w:firstLineChars="200"/>
        <w:jc w:val="left"/>
        <w:rPr>
          <w:rFonts w:ascii="仿宋_GB2312" w:eastAsia="仿宋_GB2312"/>
          <w:color w:val="000000"/>
          <w:sz w:val="32"/>
          <w:szCs w:val="32"/>
          <w:lang w:val="zh-CN"/>
        </w:rPr>
      </w:pPr>
      <w:r>
        <w:rPr>
          <w:rFonts w:hint="eastAsia" w:ascii="仿宋_GB2312" w:eastAsia="仿宋_GB2312"/>
          <w:color w:val="000000"/>
          <w:sz w:val="32"/>
          <w:szCs w:val="32"/>
          <w:lang w:val="zh-CN"/>
        </w:rPr>
        <w:t>在实际经费列支中，未严格按照预算科目进行列支，部分基本支出挤占了项目支出。</w:t>
      </w:r>
    </w:p>
    <w:p>
      <w:pPr>
        <w:widowControl/>
        <w:adjustRightInd w:val="0"/>
        <w:snapToGrid w:val="0"/>
        <w:spacing w:line="560" w:lineRule="exact"/>
        <w:ind w:firstLine="640" w:firstLineChars="200"/>
        <w:jc w:val="left"/>
        <w:rPr>
          <w:rFonts w:ascii="仿宋_GB2312" w:eastAsia="仿宋_GB2312"/>
          <w:color w:val="000000"/>
          <w:sz w:val="32"/>
          <w:szCs w:val="32"/>
          <w:lang w:val="zh-CN"/>
        </w:rPr>
      </w:pPr>
      <w:r>
        <w:rPr>
          <w:rFonts w:hint="eastAsia" w:ascii="仿宋_GB2312" w:eastAsia="仿宋_GB2312"/>
          <w:color w:val="000000"/>
          <w:sz w:val="32"/>
          <w:szCs w:val="32"/>
          <w:lang w:val="zh-CN"/>
        </w:rPr>
        <w:t>3、会计核算欠规范</w:t>
      </w:r>
    </w:p>
    <w:p>
      <w:pPr>
        <w:widowControl/>
        <w:adjustRightInd w:val="0"/>
        <w:snapToGrid w:val="0"/>
        <w:spacing w:line="560" w:lineRule="exact"/>
        <w:ind w:firstLine="640" w:firstLineChars="200"/>
        <w:jc w:val="left"/>
        <w:rPr>
          <w:rFonts w:ascii="仿宋_GB2312" w:eastAsia="仿宋_GB2312"/>
          <w:color w:val="000000"/>
          <w:sz w:val="32"/>
          <w:szCs w:val="32"/>
          <w:lang w:val="zh-CN"/>
        </w:rPr>
      </w:pPr>
      <w:r>
        <w:rPr>
          <w:rFonts w:hint="eastAsia" w:ascii="仿宋_GB2312" w:eastAsia="仿宋_GB2312"/>
          <w:color w:val="000000"/>
          <w:sz w:val="32"/>
          <w:szCs w:val="32"/>
          <w:lang w:val="zh-CN"/>
        </w:rPr>
        <w:t>经费支出核算过程中，部分存在部分大额办公支出无明细、发票内容填写不规范等现象。</w:t>
      </w:r>
    </w:p>
    <w:p>
      <w:pPr>
        <w:widowControl/>
        <w:adjustRightInd w:val="0"/>
        <w:snapToGrid w:val="0"/>
        <w:spacing w:line="560" w:lineRule="exact"/>
        <w:ind w:firstLine="640" w:firstLineChars="200"/>
        <w:jc w:val="left"/>
        <w:rPr>
          <w:rFonts w:ascii="楷体" w:hAnsi="楷体" w:eastAsia="楷体" w:cs="宋体"/>
          <w:color w:val="000000"/>
          <w:kern w:val="0"/>
          <w:sz w:val="32"/>
          <w:lang w:val="zh-CN"/>
        </w:rPr>
      </w:pPr>
      <w:r>
        <w:rPr>
          <w:rFonts w:hint="eastAsia" w:ascii="楷体" w:hAnsi="楷体" w:eastAsia="楷体" w:cs="宋体"/>
          <w:color w:val="000000"/>
          <w:kern w:val="0"/>
          <w:sz w:val="32"/>
          <w:lang w:val="zh-CN"/>
        </w:rPr>
        <w:t>（二）改进措施和有关建议</w:t>
      </w:r>
    </w:p>
    <w:p>
      <w:pPr>
        <w:widowControl/>
        <w:adjustRightInd w:val="0"/>
        <w:snapToGrid w:val="0"/>
        <w:spacing w:line="560" w:lineRule="exact"/>
        <w:ind w:firstLine="640" w:firstLineChars="200"/>
        <w:jc w:val="left"/>
        <w:rPr>
          <w:rFonts w:ascii="仿宋_GB2312" w:eastAsia="仿宋_GB2312"/>
          <w:color w:val="000000"/>
          <w:sz w:val="32"/>
          <w:szCs w:val="32"/>
          <w:lang w:val="zh-CN"/>
        </w:rPr>
      </w:pPr>
      <w:r>
        <w:rPr>
          <w:rFonts w:hint="eastAsia" w:ascii="仿宋_GB2312" w:eastAsia="仿宋_GB2312"/>
          <w:color w:val="000000"/>
          <w:sz w:val="32"/>
          <w:szCs w:val="32"/>
          <w:lang w:val="zh-CN"/>
        </w:rPr>
        <w:t>1、科学合理编制预算，严格执行预算</w:t>
      </w:r>
    </w:p>
    <w:p>
      <w:pPr>
        <w:widowControl/>
        <w:adjustRightInd w:val="0"/>
        <w:snapToGrid w:val="0"/>
        <w:spacing w:line="560" w:lineRule="exact"/>
        <w:ind w:firstLine="640" w:firstLineChars="200"/>
        <w:jc w:val="left"/>
        <w:rPr>
          <w:rFonts w:ascii="仿宋_GB2312" w:eastAsia="仿宋_GB2312"/>
          <w:color w:val="000000"/>
          <w:sz w:val="32"/>
          <w:szCs w:val="32"/>
          <w:lang w:val="zh-CN"/>
        </w:rPr>
      </w:pPr>
      <w:r>
        <w:rPr>
          <w:rFonts w:hint="eastAsia" w:ascii="仿宋_GB2312" w:eastAsia="仿宋_GB2312"/>
          <w:color w:val="000000"/>
          <w:sz w:val="32"/>
          <w:szCs w:val="32"/>
          <w:lang w:val="zh-CN"/>
        </w:rPr>
        <w:t>建议按照《预算法》及其实施条例的相关规定，参考上一年的预算执行情况和年度的收支预测科学编制预算，避免年中大幅追加以及超预算。在预算执行中，严格按照预算科目支出，避免预算科目间的预算资金调剂，确需调剂的，按规定程序报经批准。</w:t>
      </w:r>
    </w:p>
    <w:p>
      <w:pPr>
        <w:widowControl/>
        <w:adjustRightInd w:val="0"/>
        <w:snapToGrid w:val="0"/>
        <w:spacing w:line="560" w:lineRule="exact"/>
        <w:ind w:firstLine="640" w:firstLineChars="200"/>
        <w:jc w:val="left"/>
        <w:rPr>
          <w:rFonts w:ascii="仿宋_GB2312" w:eastAsia="仿宋_GB2312"/>
          <w:color w:val="000000"/>
          <w:sz w:val="32"/>
          <w:szCs w:val="32"/>
          <w:lang w:val="zh-CN"/>
        </w:rPr>
      </w:pPr>
      <w:r>
        <w:rPr>
          <w:rFonts w:hint="eastAsia" w:ascii="仿宋_GB2312" w:eastAsia="仿宋_GB2312"/>
          <w:color w:val="000000"/>
          <w:sz w:val="32"/>
          <w:szCs w:val="32"/>
          <w:lang w:val="zh-CN"/>
        </w:rPr>
        <w:t>2、规范账务处理，提高财务信息质量</w:t>
      </w:r>
    </w:p>
    <w:p>
      <w:pPr>
        <w:widowControl/>
        <w:adjustRightInd w:val="0"/>
        <w:snapToGrid w:val="0"/>
        <w:spacing w:line="560" w:lineRule="exact"/>
        <w:ind w:firstLine="640" w:firstLineChars="200"/>
        <w:jc w:val="left"/>
        <w:rPr>
          <w:rFonts w:ascii="仿宋_GB2312" w:eastAsia="仿宋_GB2312"/>
          <w:color w:val="000000"/>
          <w:sz w:val="32"/>
          <w:szCs w:val="32"/>
          <w:lang w:val="zh-CN"/>
        </w:rPr>
      </w:pPr>
      <w:r>
        <w:rPr>
          <w:rFonts w:hint="eastAsia" w:ascii="仿宋_GB2312" w:eastAsia="仿宋_GB2312"/>
          <w:color w:val="000000"/>
          <w:sz w:val="32"/>
          <w:szCs w:val="32"/>
          <w:lang w:val="zh-CN"/>
        </w:rPr>
        <w:t>严格按照《会计法》、《行政单位会计制度》、《行政单位财务规则》等规定，结合实际情况，科学设置支出科目，规范财务核算，完整披露相关信息。</w:t>
      </w:r>
    </w:p>
    <w:p>
      <w:pPr>
        <w:pStyle w:val="2"/>
        <w:ind w:firstLine="640"/>
        <w:rPr>
          <w:lang w:val="zh-CN"/>
        </w:rPr>
      </w:pPr>
    </w:p>
    <w:bookmarkEnd w:id="58"/>
    <w:p>
      <w:pPr>
        <w:spacing w:line="560" w:lineRule="exact"/>
        <w:outlineLvl w:val="0"/>
        <w:rPr>
          <w:rFonts w:ascii="黑体" w:hAnsi="黑体" w:eastAsia="黑体"/>
          <w:color w:val="000000"/>
          <w:sz w:val="44"/>
          <w:szCs w:val="44"/>
        </w:rPr>
      </w:pPr>
      <w:bookmarkStart w:id="59" w:name="_Toc15396618"/>
    </w:p>
    <w:p>
      <w:pPr>
        <w:pStyle w:val="2"/>
        <w:ind w:firstLine="640"/>
      </w:pPr>
    </w:p>
    <w:p>
      <w:pPr>
        <w:pStyle w:val="2"/>
        <w:ind w:firstLine="640"/>
      </w:pPr>
    </w:p>
    <w:p>
      <w:pPr>
        <w:pStyle w:val="2"/>
        <w:ind w:firstLine="0" w:firstLineChars="0"/>
      </w:pPr>
    </w:p>
    <w:p>
      <w:pPr>
        <w:spacing w:line="560" w:lineRule="exact"/>
        <w:jc w:val="center"/>
        <w:outlineLvl w:val="0"/>
        <w:rPr>
          <w:rStyle w:val="27"/>
          <w:rFonts w:ascii="黑体" w:hAnsi="黑体" w:eastAsia="黑体"/>
          <w:b w:val="0"/>
        </w:rPr>
      </w:pPr>
      <w:r>
        <w:rPr>
          <w:rFonts w:hint="eastAsia" w:ascii="黑体" w:hAnsi="黑体" w:eastAsia="黑体"/>
          <w:color w:val="000000"/>
          <w:sz w:val="44"/>
          <w:szCs w:val="44"/>
        </w:rPr>
        <w:t>第</w:t>
      </w:r>
      <w:r>
        <w:rPr>
          <w:rStyle w:val="27"/>
          <w:rFonts w:hint="eastAsia" w:ascii="黑体" w:hAnsi="黑体" w:eastAsia="黑体"/>
          <w:b w:val="0"/>
        </w:rPr>
        <w:t>五部分 附表</w:t>
      </w:r>
      <w:bookmarkEnd w:id="55"/>
      <w:bookmarkEnd w:id="59"/>
    </w:p>
    <w:p>
      <w:pPr>
        <w:spacing w:line="560" w:lineRule="exact"/>
        <w:jc w:val="center"/>
        <w:outlineLvl w:val="0"/>
        <w:rPr>
          <w:rFonts w:ascii="仿宋" w:hAnsi="仿宋" w:eastAsia="仿宋"/>
          <w:b/>
          <w:color w:val="000000"/>
          <w:sz w:val="44"/>
          <w:szCs w:val="44"/>
        </w:rPr>
      </w:pPr>
    </w:p>
    <w:p>
      <w:pPr>
        <w:pStyle w:val="5"/>
        <w:numPr>
          <w:ilvl w:val="0"/>
          <w:numId w:val="5"/>
        </w:numPr>
        <w:spacing w:line="560" w:lineRule="exact"/>
        <w:rPr>
          <w:rFonts w:ascii="仿宋" w:hAnsi="仿宋" w:eastAsia="仿宋"/>
          <w:b w:val="0"/>
          <w:color w:val="000000"/>
        </w:rPr>
      </w:pPr>
      <w:bookmarkStart w:id="60" w:name="_Toc15396620"/>
      <w:r>
        <w:rPr>
          <w:rFonts w:hint="eastAsia" w:ascii="仿宋" w:hAnsi="仿宋" w:eastAsia="仿宋"/>
          <w:b w:val="0"/>
          <w:color w:val="000000"/>
        </w:rPr>
        <w:t>收入支出决算总表</w:t>
      </w:r>
    </w:p>
    <w:p>
      <w:pPr>
        <w:pStyle w:val="5"/>
        <w:spacing w:line="560" w:lineRule="exact"/>
        <w:rPr>
          <w:rFonts w:ascii="仿宋" w:hAnsi="仿宋" w:eastAsia="仿宋"/>
          <w:color w:val="000000"/>
        </w:rPr>
      </w:pPr>
      <w:r>
        <w:rPr>
          <w:rFonts w:hint="eastAsia" w:ascii="仿宋" w:hAnsi="仿宋" w:eastAsia="仿宋"/>
          <w:b w:val="0"/>
          <w:color w:val="000000"/>
        </w:rPr>
        <w:t>二、收</w:t>
      </w:r>
      <w:r>
        <w:rPr>
          <w:rStyle w:val="28"/>
          <w:rFonts w:hint="eastAsia" w:ascii="仿宋" w:hAnsi="仿宋" w:eastAsia="仿宋"/>
          <w:b w:val="0"/>
          <w:bCs w:val="0"/>
        </w:rPr>
        <w:t>入总表</w:t>
      </w:r>
      <w:bookmarkEnd w:id="60"/>
    </w:p>
    <w:p>
      <w:pPr>
        <w:pStyle w:val="5"/>
        <w:spacing w:line="560" w:lineRule="exact"/>
        <w:rPr>
          <w:rFonts w:ascii="仿宋" w:hAnsi="仿宋" w:eastAsia="仿宋"/>
          <w:color w:val="000000"/>
        </w:rPr>
      </w:pPr>
      <w:bookmarkStart w:id="61" w:name="_Toc15396621"/>
      <w:r>
        <w:rPr>
          <w:rStyle w:val="28"/>
          <w:rFonts w:hint="eastAsia" w:ascii="仿宋" w:hAnsi="仿宋" w:eastAsia="仿宋"/>
          <w:b w:val="0"/>
          <w:bCs w:val="0"/>
        </w:rPr>
        <w:t>三、</w:t>
      </w:r>
      <w:r>
        <w:rPr>
          <w:rFonts w:hint="eastAsia" w:ascii="仿宋" w:hAnsi="仿宋" w:eastAsia="仿宋"/>
          <w:b w:val="0"/>
          <w:color w:val="000000"/>
        </w:rPr>
        <w:t>支</w:t>
      </w:r>
      <w:r>
        <w:rPr>
          <w:rStyle w:val="28"/>
          <w:rFonts w:hint="eastAsia" w:ascii="仿宋" w:hAnsi="仿宋" w:eastAsia="仿宋"/>
          <w:b w:val="0"/>
          <w:bCs w:val="0"/>
        </w:rPr>
        <w:t>出总表</w:t>
      </w:r>
      <w:bookmarkEnd w:id="61"/>
    </w:p>
    <w:p>
      <w:pPr>
        <w:pStyle w:val="5"/>
        <w:spacing w:line="560" w:lineRule="exact"/>
        <w:rPr>
          <w:rFonts w:ascii="仿宋" w:hAnsi="仿宋" w:eastAsia="仿宋"/>
          <w:b w:val="0"/>
          <w:color w:val="000000"/>
        </w:rPr>
      </w:pPr>
      <w:bookmarkStart w:id="62" w:name="_Toc15396622"/>
      <w:r>
        <w:rPr>
          <w:rStyle w:val="28"/>
          <w:rFonts w:hint="eastAsia" w:ascii="仿宋" w:hAnsi="仿宋" w:eastAsia="仿宋"/>
          <w:b w:val="0"/>
          <w:bCs w:val="0"/>
        </w:rPr>
        <w:t>四、</w:t>
      </w:r>
      <w:r>
        <w:rPr>
          <w:rFonts w:hint="eastAsia" w:ascii="仿宋" w:hAnsi="仿宋" w:eastAsia="仿宋"/>
          <w:b w:val="0"/>
          <w:color w:val="000000"/>
        </w:rPr>
        <w:t>财</w:t>
      </w:r>
      <w:r>
        <w:rPr>
          <w:rStyle w:val="28"/>
          <w:rFonts w:hint="eastAsia" w:ascii="仿宋" w:hAnsi="仿宋" w:eastAsia="仿宋"/>
          <w:b w:val="0"/>
          <w:bCs w:val="0"/>
        </w:rPr>
        <w:t>政拨款收入支出决算总表</w:t>
      </w:r>
      <w:bookmarkEnd w:id="62"/>
    </w:p>
    <w:p>
      <w:pPr>
        <w:pStyle w:val="5"/>
        <w:spacing w:line="560" w:lineRule="exact"/>
        <w:rPr>
          <w:rFonts w:ascii="仿宋" w:hAnsi="仿宋" w:eastAsia="仿宋"/>
          <w:color w:val="000000"/>
        </w:rPr>
      </w:pPr>
      <w:bookmarkStart w:id="63" w:name="_Toc15396623"/>
      <w:r>
        <w:rPr>
          <w:rStyle w:val="28"/>
          <w:rFonts w:hint="eastAsia" w:ascii="仿宋" w:hAnsi="仿宋" w:eastAsia="仿宋"/>
          <w:b w:val="0"/>
          <w:bCs w:val="0"/>
        </w:rPr>
        <w:t>五、</w:t>
      </w:r>
      <w:r>
        <w:rPr>
          <w:rFonts w:hint="eastAsia" w:ascii="仿宋" w:hAnsi="仿宋" w:eastAsia="仿宋"/>
          <w:b w:val="0"/>
          <w:color w:val="000000"/>
        </w:rPr>
        <w:t>财</w:t>
      </w:r>
      <w:r>
        <w:rPr>
          <w:rStyle w:val="28"/>
          <w:rFonts w:hint="eastAsia" w:ascii="仿宋" w:hAnsi="仿宋" w:eastAsia="仿宋"/>
          <w:b w:val="0"/>
          <w:bCs w:val="0"/>
        </w:rPr>
        <w:t>政拨款支出决算明细表（政府经济分类科目）</w:t>
      </w:r>
      <w:bookmarkEnd w:id="63"/>
    </w:p>
    <w:p>
      <w:pPr>
        <w:pStyle w:val="5"/>
        <w:spacing w:line="560" w:lineRule="exact"/>
        <w:rPr>
          <w:rFonts w:ascii="仿宋" w:hAnsi="仿宋" w:eastAsia="仿宋"/>
          <w:color w:val="000000"/>
        </w:rPr>
      </w:pPr>
      <w:bookmarkStart w:id="64" w:name="_Toc15396624"/>
      <w:r>
        <w:rPr>
          <w:rStyle w:val="28"/>
          <w:rFonts w:hint="eastAsia" w:ascii="仿宋" w:hAnsi="仿宋" w:eastAsia="仿宋"/>
          <w:b w:val="0"/>
          <w:bCs w:val="0"/>
        </w:rPr>
        <w:t>六、</w:t>
      </w:r>
      <w:r>
        <w:rPr>
          <w:rFonts w:hint="eastAsia" w:ascii="仿宋" w:hAnsi="仿宋" w:eastAsia="仿宋"/>
          <w:b w:val="0"/>
          <w:color w:val="000000"/>
        </w:rPr>
        <w:t>一</w:t>
      </w:r>
      <w:r>
        <w:rPr>
          <w:rStyle w:val="28"/>
          <w:rFonts w:hint="eastAsia" w:ascii="仿宋" w:hAnsi="仿宋" w:eastAsia="仿宋"/>
          <w:b w:val="0"/>
          <w:bCs w:val="0"/>
        </w:rPr>
        <w:t>般公共预算财政拨款支出决算表</w:t>
      </w:r>
      <w:bookmarkEnd w:id="64"/>
    </w:p>
    <w:p>
      <w:pPr>
        <w:pStyle w:val="5"/>
        <w:spacing w:line="560" w:lineRule="exact"/>
        <w:rPr>
          <w:rFonts w:ascii="仿宋" w:hAnsi="仿宋" w:eastAsia="仿宋"/>
          <w:color w:val="000000"/>
        </w:rPr>
      </w:pPr>
      <w:bookmarkStart w:id="65" w:name="_Toc15396625"/>
      <w:r>
        <w:rPr>
          <w:rStyle w:val="28"/>
          <w:rFonts w:hint="eastAsia" w:ascii="仿宋" w:hAnsi="仿宋" w:eastAsia="仿宋"/>
          <w:b w:val="0"/>
          <w:bCs w:val="0"/>
        </w:rPr>
        <w:t>七、</w:t>
      </w:r>
      <w:r>
        <w:rPr>
          <w:rFonts w:hint="eastAsia" w:ascii="仿宋" w:hAnsi="仿宋" w:eastAsia="仿宋"/>
          <w:b w:val="0"/>
          <w:color w:val="000000"/>
        </w:rPr>
        <w:t>一</w:t>
      </w:r>
      <w:r>
        <w:rPr>
          <w:rStyle w:val="28"/>
          <w:rFonts w:hint="eastAsia" w:ascii="仿宋" w:hAnsi="仿宋" w:eastAsia="仿宋"/>
          <w:b w:val="0"/>
          <w:bCs w:val="0"/>
        </w:rPr>
        <w:t>般公共预算财政拨款支出决算明细表</w:t>
      </w:r>
      <w:bookmarkEnd w:id="65"/>
    </w:p>
    <w:p>
      <w:pPr>
        <w:pStyle w:val="5"/>
        <w:spacing w:line="560" w:lineRule="exact"/>
        <w:rPr>
          <w:rFonts w:ascii="仿宋" w:hAnsi="仿宋" w:eastAsia="仿宋"/>
          <w:color w:val="000000"/>
        </w:rPr>
      </w:pPr>
      <w:bookmarkStart w:id="66" w:name="_Toc15396626"/>
      <w:r>
        <w:rPr>
          <w:rStyle w:val="28"/>
          <w:rFonts w:hint="eastAsia" w:ascii="仿宋" w:hAnsi="仿宋" w:eastAsia="仿宋"/>
          <w:b w:val="0"/>
          <w:bCs w:val="0"/>
        </w:rPr>
        <w:t>八、</w:t>
      </w:r>
      <w:r>
        <w:rPr>
          <w:rFonts w:hint="eastAsia" w:ascii="仿宋" w:hAnsi="仿宋" w:eastAsia="仿宋"/>
          <w:b w:val="0"/>
          <w:color w:val="000000"/>
        </w:rPr>
        <w:t>一</w:t>
      </w:r>
      <w:r>
        <w:rPr>
          <w:rStyle w:val="28"/>
          <w:rFonts w:hint="eastAsia" w:ascii="仿宋" w:hAnsi="仿宋" w:eastAsia="仿宋"/>
          <w:b w:val="0"/>
          <w:bCs w:val="0"/>
        </w:rPr>
        <w:t>般公共预算财政拨款基本支出决算表</w:t>
      </w:r>
      <w:bookmarkEnd w:id="66"/>
    </w:p>
    <w:p>
      <w:pPr>
        <w:pStyle w:val="5"/>
        <w:spacing w:line="560" w:lineRule="exact"/>
        <w:rPr>
          <w:rFonts w:ascii="仿宋" w:hAnsi="仿宋" w:eastAsia="仿宋"/>
          <w:color w:val="000000"/>
        </w:rPr>
      </w:pPr>
      <w:bookmarkStart w:id="67" w:name="_Toc15396627"/>
      <w:r>
        <w:rPr>
          <w:rStyle w:val="28"/>
          <w:rFonts w:hint="eastAsia" w:ascii="仿宋" w:hAnsi="仿宋" w:eastAsia="仿宋"/>
          <w:b w:val="0"/>
          <w:bCs w:val="0"/>
        </w:rPr>
        <w:t>九、</w:t>
      </w:r>
      <w:r>
        <w:rPr>
          <w:rFonts w:hint="eastAsia" w:ascii="仿宋" w:hAnsi="仿宋" w:eastAsia="仿宋"/>
          <w:b w:val="0"/>
          <w:color w:val="000000"/>
        </w:rPr>
        <w:t>一</w:t>
      </w:r>
      <w:r>
        <w:rPr>
          <w:rStyle w:val="28"/>
          <w:rFonts w:hint="eastAsia" w:ascii="仿宋" w:hAnsi="仿宋" w:eastAsia="仿宋"/>
          <w:b w:val="0"/>
          <w:bCs w:val="0"/>
        </w:rPr>
        <w:t>般公共预算财政拨款项目支出决算表</w:t>
      </w:r>
      <w:bookmarkEnd w:id="67"/>
    </w:p>
    <w:p>
      <w:pPr>
        <w:pStyle w:val="5"/>
        <w:spacing w:line="560" w:lineRule="exact"/>
        <w:rPr>
          <w:rFonts w:ascii="仿宋" w:hAnsi="仿宋" w:eastAsia="仿宋"/>
          <w:color w:val="000000"/>
        </w:rPr>
      </w:pPr>
      <w:bookmarkStart w:id="68" w:name="_Toc15396628"/>
      <w:r>
        <w:rPr>
          <w:rStyle w:val="28"/>
          <w:rFonts w:hint="eastAsia" w:ascii="仿宋" w:hAnsi="仿宋" w:eastAsia="仿宋"/>
          <w:b w:val="0"/>
          <w:bCs w:val="0"/>
        </w:rPr>
        <w:t>十、</w:t>
      </w:r>
      <w:r>
        <w:rPr>
          <w:rFonts w:hint="eastAsia" w:ascii="仿宋" w:hAnsi="仿宋" w:eastAsia="仿宋"/>
          <w:b w:val="0"/>
          <w:color w:val="000000"/>
        </w:rPr>
        <w:t>一</w:t>
      </w:r>
      <w:r>
        <w:rPr>
          <w:rStyle w:val="28"/>
          <w:rFonts w:hint="eastAsia" w:ascii="仿宋" w:hAnsi="仿宋" w:eastAsia="仿宋"/>
          <w:b w:val="0"/>
          <w:bCs w:val="0"/>
        </w:rPr>
        <w:t>般公共预算财政拨款“三公”经费支出决算表</w:t>
      </w:r>
      <w:bookmarkEnd w:id="68"/>
    </w:p>
    <w:p>
      <w:pPr>
        <w:pStyle w:val="5"/>
        <w:spacing w:line="560" w:lineRule="exact"/>
        <w:rPr>
          <w:rFonts w:ascii="仿宋" w:hAnsi="仿宋" w:eastAsia="仿宋"/>
          <w:color w:val="000000"/>
        </w:rPr>
      </w:pPr>
      <w:bookmarkStart w:id="69" w:name="_Toc15396629"/>
      <w:r>
        <w:rPr>
          <w:rStyle w:val="28"/>
          <w:rFonts w:hint="eastAsia" w:ascii="仿宋" w:hAnsi="仿宋" w:eastAsia="仿宋"/>
          <w:b w:val="0"/>
          <w:bCs w:val="0"/>
        </w:rPr>
        <w:t>十一、</w:t>
      </w:r>
      <w:r>
        <w:rPr>
          <w:rFonts w:hint="eastAsia" w:ascii="仿宋" w:hAnsi="仿宋" w:eastAsia="仿宋"/>
          <w:b w:val="0"/>
          <w:color w:val="000000"/>
        </w:rPr>
        <w:t>政</w:t>
      </w:r>
      <w:r>
        <w:rPr>
          <w:rStyle w:val="28"/>
          <w:rFonts w:hint="eastAsia" w:ascii="仿宋" w:hAnsi="仿宋" w:eastAsia="仿宋"/>
          <w:b w:val="0"/>
          <w:bCs w:val="0"/>
        </w:rPr>
        <w:t>府性基金预算财政拨款收入支出决算表</w:t>
      </w:r>
      <w:bookmarkEnd w:id="69"/>
    </w:p>
    <w:p>
      <w:pPr>
        <w:pStyle w:val="5"/>
        <w:spacing w:line="560" w:lineRule="exact"/>
        <w:rPr>
          <w:rFonts w:ascii="仿宋" w:hAnsi="仿宋" w:eastAsia="仿宋"/>
          <w:color w:val="000000"/>
        </w:rPr>
      </w:pPr>
      <w:bookmarkStart w:id="70" w:name="_Toc15396630"/>
      <w:r>
        <w:rPr>
          <w:rStyle w:val="28"/>
          <w:rFonts w:hint="eastAsia" w:ascii="仿宋" w:hAnsi="仿宋" w:eastAsia="仿宋"/>
          <w:b w:val="0"/>
          <w:bCs w:val="0"/>
        </w:rPr>
        <w:t>十二、</w:t>
      </w:r>
      <w:r>
        <w:rPr>
          <w:rFonts w:hint="eastAsia" w:ascii="仿宋" w:hAnsi="仿宋" w:eastAsia="仿宋"/>
          <w:b w:val="0"/>
          <w:color w:val="000000"/>
        </w:rPr>
        <w:t>政</w:t>
      </w:r>
      <w:r>
        <w:rPr>
          <w:rStyle w:val="28"/>
          <w:rFonts w:hint="eastAsia" w:ascii="仿宋" w:hAnsi="仿宋" w:eastAsia="仿宋"/>
          <w:b w:val="0"/>
          <w:bCs w:val="0"/>
        </w:rPr>
        <w:t>府性基金预算财政拨款“三公”经费支出决算表</w:t>
      </w:r>
      <w:bookmarkEnd w:id="70"/>
    </w:p>
    <w:p>
      <w:pPr>
        <w:pStyle w:val="5"/>
        <w:spacing w:line="560" w:lineRule="exact"/>
        <w:rPr>
          <w:rFonts w:ascii="仿宋" w:hAnsi="仿宋" w:eastAsia="仿宋"/>
          <w:color w:val="000000" w:themeColor="text1"/>
        </w:rPr>
      </w:pPr>
      <w:bookmarkStart w:id="71" w:name="_Toc15396631"/>
      <w:r>
        <w:rPr>
          <w:rStyle w:val="28"/>
          <w:rFonts w:hint="eastAsia" w:ascii="仿宋" w:hAnsi="仿宋" w:eastAsia="仿宋"/>
          <w:b w:val="0"/>
          <w:bCs w:val="0"/>
        </w:rPr>
        <w:t>十三、</w:t>
      </w:r>
      <w:r>
        <w:rPr>
          <w:rFonts w:hint="eastAsia" w:ascii="仿宋" w:hAnsi="仿宋" w:eastAsia="仿宋"/>
          <w:b w:val="0"/>
          <w:color w:val="000000"/>
        </w:rPr>
        <w:t>国</w:t>
      </w:r>
      <w:r>
        <w:rPr>
          <w:rStyle w:val="28"/>
          <w:rFonts w:hint="eastAsia" w:ascii="仿宋" w:hAnsi="仿宋" w:eastAsia="仿宋"/>
          <w:b w:val="0"/>
          <w:bCs w:val="0"/>
        </w:rPr>
        <w:t>有资本经营预算支出决算表</w:t>
      </w:r>
      <w:bookmarkEnd w:id="71"/>
    </w:p>
    <w:sectPr>
      <w:headerReference r:id="rId3" w:type="default"/>
      <w:footerReference r:id="rId4" w:type="default"/>
      <w:pgSz w:w="11906" w:h="16838"/>
      <w:pgMar w:top="2154" w:right="1531" w:bottom="1984" w:left="1531" w:header="851" w:footer="992" w:gutter="0"/>
      <w:pgNumType w:start="1"/>
      <w:cols w:space="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Times New Roman"/>
    <w:panose1 w:val="00000000000000000000"/>
    <w:charset w:val="00"/>
    <w:family w:val="auto"/>
    <w:pitch w:val="default"/>
    <w:sig w:usb0="00000000" w:usb1="00000000" w:usb2="00000000" w:usb3="00000000" w:csb0="00040001" w:csb1="0000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94781956"/>
    </w:sdtPr>
    <w:sdtContent>
      <w:p>
        <w:pPr>
          <w:pStyle w:val="10"/>
          <w:jc w:val="center"/>
        </w:pPr>
        <w:r>
          <w:fldChar w:fldCharType="begin"/>
        </w:r>
        <w:r>
          <w:instrText xml:space="preserve">PAGE   \* MERGEFORMAT</w:instrText>
        </w:r>
        <w:r>
          <w:fldChar w:fldCharType="separate"/>
        </w:r>
        <w:r>
          <w:rPr>
            <w:lang w:val="zh-CN"/>
          </w:rPr>
          <w:t>12</w:t>
        </w:r>
        <w:r>
          <w:fldChar w:fldCharType="end"/>
        </w:r>
      </w:p>
    </w:sdtContent>
  </w:sdt>
  <w:p>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652CEC"/>
    <w:multiLevelType w:val="singleLevel"/>
    <w:tmpl w:val="CF652CEC"/>
    <w:lvl w:ilvl="0" w:tentative="0">
      <w:start w:val="9"/>
      <w:numFmt w:val="chineseCounting"/>
      <w:suff w:val="nothing"/>
      <w:lvlText w:val="%1、"/>
      <w:lvlJc w:val="left"/>
      <w:rPr>
        <w:rFonts w:hint="eastAsia"/>
      </w:rPr>
    </w:lvl>
  </w:abstractNum>
  <w:abstractNum w:abstractNumId="1">
    <w:nsid w:val="EC0BEF30"/>
    <w:multiLevelType w:val="singleLevel"/>
    <w:tmpl w:val="EC0BEF30"/>
    <w:lvl w:ilvl="0" w:tentative="0">
      <w:start w:val="1"/>
      <w:numFmt w:val="chineseCounting"/>
      <w:suff w:val="nothing"/>
      <w:lvlText w:val="（%1）"/>
      <w:lvlJc w:val="left"/>
      <w:rPr>
        <w:rFonts w:hint="eastAsia" w:ascii="楷体_GB2312" w:hAnsi="楷体_GB2312" w:eastAsia="楷体_GB2312" w:cs="楷体_GB2312"/>
        <w:b/>
        <w:bCs/>
        <w:sz w:val="32"/>
        <w:szCs w:val="32"/>
      </w:rPr>
    </w:lvl>
  </w:abstractNum>
  <w:abstractNum w:abstractNumId="2">
    <w:nsid w:val="1272550B"/>
    <w:multiLevelType w:val="multilevel"/>
    <w:tmpl w:val="1272550B"/>
    <w:lvl w:ilvl="0" w:tentative="0">
      <w:start w:val="1"/>
      <w:numFmt w:val="japaneseCounting"/>
      <w:lvlText w:val="%1、"/>
      <w:lvlJc w:val="left"/>
      <w:pPr>
        <w:ind w:left="1360" w:hanging="720"/>
      </w:pPr>
      <w:rPr>
        <w:rFonts w:hint="default"/>
        <w:b w:val="0"/>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3">
    <w:nsid w:val="17F426B7"/>
    <w:multiLevelType w:val="multilevel"/>
    <w:tmpl w:val="17F426B7"/>
    <w:lvl w:ilvl="0" w:tentative="0">
      <w:start w:val="10"/>
      <w:numFmt w:val="japaneseCounting"/>
      <w:lvlText w:val="%1、"/>
      <w:lvlJc w:val="left"/>
      <w:pPr>
        <w:ind w:left="1429" w:hanging="720"/>
      </w:pPr>
      <w:rPr>
        <w:rFonts w:hint="default"/>
      </w:rPr>
    </w:lvl>
    <w:lvl w:ilvl="1" w:tentative="0">
      <w:start w:val="1"/>
      <w:numFmt w:val="lowerLetter"/>
      <w:lvlText w:val="%2)"/>
      <w:lvlJc w:val="left"/>
      <w:pPr>
        <w:ind w:left="1549" w:hanging="420"/>
      </w:pPr>
    </w:lvl>
    <w:lvl w:ilvl="2" w:tentative="0">
      <w:start w:val="1"/>
      <w:numFmt w:val="lowerRoman"/>
      <w:lvlText w:val="%3."/>
      <w:lvlJc w:val="right"/>
      <w:pPr>
        <w:ind w:left="1969" w:hanging="420"/>
      </w:pPr>
    </w:lvl>
    <w:lvl w:ilvl="3" w:tentative="0">
      <w:start w:val="1"/>
      <w:numFmt w:val="decimal"/>
      <w:lvlText w:val="%4."/>
      <w:lvlJc w:val="left"/>
      <w:pPr>
        <w:ind w:left="2389" w:hanging="420"/>
      </w:pPr>
    </w:lvl>
    <w:lvl w:ilvl="4" w:tentative="0">
      <w:start w:val="1"/>
      <w:numFmt w:val="lowerLetter"/>
      <w:lvlText w:val="%5)"/>
      <w:lvlJc w:val="left"/>
      <w:pPr>
        <w:ind w:left="2809" w:hanging="420"/>
      </w:pPr>
    </w:lvl>
    <w:lvl w:ilvl="5" w:tentative="0">
      <w:start w:val="1"/>
      <w:numFmt w:val="lowerRoman"/>
      <w:lvlText w:val="%6."/>
      <w:lvlJc w:val="right"/>
      <w:pPr>
        <w:ind w:left="3229" w:hanging="420"/>
      </w:pPr>
    </w:lvl>
    <w:lvl w:ilvl="6" w:tentative="0">
      <w:start w:val="1"/>
      <w:numFmt w:val="decimal"/>
      <w:lvlText w:val="%7."/>
      <w:lvlJc w:val="left"/>
      <w:pPr>
        <w:ind w:left="3649" w:hanging="420"/>
      </w:pPr>
    </w:lvl>
    <w:lvl w:ilvl="7" w:tentative="0">
      <w:start w:val="1"/>
      <w:numFmt w:val="lowerLetter"/>
      <w:lvlText w:val="%8)"/>
      <w:lvlJc w:val="left"/>
      <w:pPr>
        <w:ind w:left="4069" w:hanging="420"/>
      </w:pPr>
    </w:lvl>
    <w:lvl w:ilvl="8" w:tentative="0">
      <w:start w:val="1"/>
      <w:numFmt w:val="lowerRoman"/>
      <w:lvlText w:val="%9."/>
      <w:lvlJc w:val="right"/>
      <w:pPr>
        <w:ind w:left="4489" w:hanging="420"/>
      </w:pPr>
    </w:lvl>
  </w:abstractNum>
  <w:abstractNum w:abstractNumId="4">
    <w:nsid w:val="5D5382B5"/>
    <w:multiLevelType w:val="singleLevel"/>
    <w:tmpl w:val="5D5382B5"/>
    <w:lvl w:ilvl="0" w:tentative="0">
      <w:start w:val="1"/>
      <w:numFmt w:val="chineseCounting"/>
      <w:suff w:val="nothing"/>
      <w:lvlText w:val="%1、"/>
      <w:lvlJc w:val="left"/>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F1361C"/>
    <w:rsid w:val="000222C6"/>
    <w:rsid w:val="0002549F"/>
    <w:rsid w:val="0006487A"/>
    <w:rsid w:val="00065F8F"/>
    <w:rsid w:val="000768F2"/>
    <w:rsid w:val="0009184B"/>
    <w:rsid w:val="0009593C"/>
    <w:rsid w:val="000B047F"/>
    <w:rsid w:val="000B5923"/>
    <w:rsid w:val="000B5A48"/>
    <w:rsid w:val="000B6FF3"/>
    <w:rsid w:val="000C3467"/>
    <w:rsid w:val="000C3CA6"/>
    <w:rsid w:val="000D1267"/>
    <w:rsid w:val="000D1D50"/>
    <w:rsid w:val="000D5782"/>
    <w:rsid w:val="000E6613"/>
    <w:rsid w:val="000E7119"/>
    <w:rsid w:val="00114E9B"/>
    <w:rsid w:val="0014729F"/>
    <w:rsid w:val="00157BAB"/>
    <w:rsid w:val="001654D1"/>
    <w:rsid w:val="0018106D"/>
    <w:rsid w:val="001877A7"/>
    <w:rsid w:val="00191536"/>
    <w:rsid w:val="00196687"/>
    <w:rsid w:val="001C0962"/>
    <w:rsid w:val="001D7531"/>
    <w:rsid w:val="001E737D"/>
    <w:rsid w:val="001F0592"/>
    <w:rsid w:val="001F7506"/>
    <w:rsid w:val="002006CD"/>
    <w:rsid w:val="00202B36"/>
    <w:rsid w:val="00204B7A"/>
    <w:rsid w:val="0021101A"/>
    <w:rsid w:val="00220536"/>
    <w:rsid w:val="00235629"/>
    <w:rsid w:val="0023592B"/>
    <w:rsid w:val="00260C38"/>
    <w:rsid w:val="002616C0"/>
    <w:rsid w:val="002662AA"/>
    <w:rsid w:val="00280496"/>
    <w:rsid w:val="00295495"/>
    <w:rsid w:val="002B2613"/>
    <w:rsid w:val="002F1818"/>
    <w:rsid w:val="002F567B"/>
    <w:rsid w:val="003216A9"/>
    <w:rsid w:val="0037013F"/>
    <w:rsid w:val="00380C92"/>
    <w:rsid w:val="003A484F"/>
    <w:rsid w:val="003B0BE0"/>
    <w:rsid w:val="003B0C1B"/>
    <w:rsid w:val="003B688C"/>
    <w:rsid w:val="003C0291"/>
    <w:rsid w:val="003C39AE"/>
    <w:rsid w:val="003C7B60"/>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1E9C"/>
    <w:rsid w:val="004E206B"/>
    <w:rsid w:val="004E4389"/>
    <w:rsid w:val="004E6DF7"/>
    <w:rsid w:val="004F0FBD"/>
    <w:rsid w:val="00505A47"/>
    <w:rsid w:val="00512FDA"/>
    <w:rsid w:val="00520DA0"/>
    <w:rsid w:val="005664BB"/>
    <w:rsid w:val="0057481D"/>
    <w:rsid w:val="0058486E"/>
    <w:rsid w:val="005A09B1"/>
    <w:rsid w:val="005D1C8B"/>
    <w:rsid w:val="005D5CED"/>
    <w:rsid w:val="005F1A4C"/>
    <w:rsid w:val="00605688"/>
    <w:rsid w:val="006070AF"/>
    <w:rsid w:val="00607E6C"/>
    <w:rsid w:val="006101B1"/>
    <w:rsid w:val="00614E44"/>
    <w:rsid w:val="0061750F"/>
    <w:rsid w:val="00622830"/>
    <w:rsid w:val="00630AEF"/>
    <w:rsid w:val="006325F8"/>
    <w:rsid w:val="00634C9A"/>
    <w:rsid w:val="006440E4"/>
    <w:rsid w:val="0066343B"/>
    <w:rsid w:val="00664777"/>
    <w:rsid w:val="006748A4"/>
    <w:rsid w:val="00683E73"/>
    <w:rsid w:val="006A3141"/>
    <w:rsid w:val="006A5E34"/>
    <w:rsid w:val="006B2422"/>
    <w:rsid w:val="006B2B9A"/>
    <w:rsid w:val="006C1937"/>
    <w:rsid w:val="006F020C"/>
    <w:rsid w:val="007127B7"/>
    <w:rsid w:val="007416B6"/>
    <w:rsid w:val="00746F48"/>
    <w:rsid w:val="0075404D"/>
    <w:rsid w:val="0076182A"/>
    <w:rsid w:val="00767B7E"/>
    <w:rsid w:val="007770C3"/>
    <w:rsid w:val="00784D24"/>
    <w:rsid w:val="00785FBA"/>
    <w:rsid w:val="00786E4A"/>
    <w:rsid w:val="007875EB"/>
    <w:rsid w:val="0079426B"/>
    <w:rsid w:val="007D312A"/>
    <w:rsid w:val="007D3F19"/>
    <w:rsid w:val="007E23B0"/>
    <w:rsid w:val="007F1991"/>
    <w:rsid w:val="007F2C2F"/>
    <w:rsid w:val="007F55FC"/>
    <w:rsid w:val="007F5665"/>
    <w:rsid w:val="00800112"/>
    <w:rsid w:val="008253BB"/>
    <w:rsid w:val="0083706E"/>
    <w:rsid w:val="008423A5"/>
    <w:rsid w:val="00850625"/>
    <w:rsid w:val="00853718"/>
    <w:rsid w:val="00855221"/>
    <w:rsid w:val="00860645"/>
    <w:rsid w:val="00871F71"/>
    <w:rsid w:val="00885AF4"/>
    <w:rsid w:val="008939CD"/>
    <w:rsid w:val="008B768C"/>
    <w:rsid w:val="008C4DB1"/>
    <w:rsid w:val="008C4EAF"/>
    <w:rsid w:val="008C5176"/>
    <w:rsid w:val="008C7FD0"/>
    <w:rsid w:val="008E1DE7"/>
    <w:rsid w:val="008E707C"/>
    <w:rsid w:val="008F6779"/>
    <w:rsid w:val="00900B08"/>
    <w:rsid w:val="00902155"/>
    <w:rsid w:val="00902FA3"/>
    <w:rsid w:val="00923564"/>
    <w:rsid w:val="0092392E"/>
    <w:rsid w:val="009315F9"/>
    <w:rsid w:val="00946945"/>
    <w:rsid w:val="00951248"/>
    <w:rsid w:val="0095152F"/>
    <w:rsid w:val="00954C49"/>
    <w:rsid w:val="0097099F"/>
    <w:rsid w:val="00971997"/>
    <w:rsid w:val="00971FFC"/>
    <w:rsid w:val="0098660A"/>
    <w:rsid w:val="009931C3"/>
    <w:rsid w:val="009B2C43"/>
    <w:rsid w:val="009B4EAE"/>
    <w:rsid w:val="009B7573"/>
    <w:rsid w:val="009C22F4"/>
    <w:rsid w:val="009C2E98"/>
    <w:rsid w:val="009D3447"/>
    <w:rsid w:val="009D4711"/>
    <w:rsid w:val="009F1185"/>
    <w:rsid w:val="009F18CD"/>
    <w:rsid w:val="009F2A13"/>
    <w:rsid w:val="00A04EB0"/>
    <w:rsid w:val="00A13CC1"/>
    <w:rsid w:val="00A16847"/>
    <w:rsid w:val="00A237D8"/>
    <w:rsid w:val="00A268C4"/>
    <w:rsid w:val="00A307CD"/>
    <w:rsid w:val="00A40A00"/>
    <w:rsid w:val="00A4142F"/>
    <w:rsid w:val="00A56DF2"/>
    <w:rsid w:val="00A67AB5"/>
    <w:rsid w:val="00A91760"/>
    <w:rsid w:val="00A93B00"/>
    <w:rsid w:val="00A93C21"/>
    <w:rsid w:val="00AC3C6A"/>
    <w:rsid w:val="00AD5620"/>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77EA6"/>
    <w:rsid w:val="00B81598"/>
    <w:rsid w:val="00B841F1"/>
    <w:rsid w:val="00B93F8C"/>
    <w:rsid w:val="00B944D6"/>
    <w:rsid w:val="00BB4DF0"/>
    <w:rsid w:val="00BC289F"/>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91CBB"/>
    <w:rsid w:val="00CC09B6"/>
    <w:rsid w:val="00CC666F"/>
    <w:rsid w:val="00CD1E3F"/>
    <w:rsid w:val="00CE44F6"/>
    <w:rsid w:val="00CE49DA"/>
    <w:rsid w:val="00CE7B61"/>
    <w:rsid w:val="00D00095"/>
    <w:rsid w:val="00D20620"/>
    <w:rsid w:val="00D26091"/>
    <w:rsid w:val="00D34E7C"/>
    <w:rsid w:val="00D35489"/>
    <w:rsid w:val="00D51276"/>
    <w:rsid w:val="00D7035F"/>
    <w:rsid w:val="00DA65AC"/>
    <w:rsid w:val="00DB1913"/>
    <w:rsid w:val="00DC410D"/>
    <w:rsid w:val="00DC68CA"/>
    <w:rsid w:val="00DC7CBA"/>
    <w:rsid w:val="00DD73B7"/>
    <w:rsid w:val="00DF28BC"/>
    <w:rsid w:val="00DF34B9"/>
    <w:rsid w:val="00E01053"/>
    <w:rsid w:val="00E07ACF"/>
    <w:rsid w:val="00E331A1"/>
    <w:rsid w:val="00E33202"/>
    <w:rsid w:val="00E336A9"/>
    <w:rsid w:val="00E50624"/>
    <w:rsid w:val="00E568DF"/>
    <w:rsid w:val="00E64269"/>
    <w:rsid w:val="00E82267"/>
    <w:rsid w:val="00E83E68"/>
    <w:rsid w:val="00EA010F"/>
    <w:rsid w:val="00EB5BB4"/>
    <w:rsid w:val="00ED1B63"/>
    <w:rsid w:val="00ED3C1F"/>
    <w:rsid w:val="00ED4085"/>
    <w:rsid w:val="00ED420E"/>
    <w:rsid w:val="00EE2F57"/>
    <w:rsid w:val="00EF4C34"/>
    <w:rsid w:val="00EF77C6"/>
    <w:rsid w:val="00F04E84"/>
    <w:rsid w:val="00F05438"/>
    <w:rsid w:val="00F1361C"/>
    <w:rsid w:val="00F160C7"/>
    <w:rsid w:val="00F36D8F"/>
    <w:rsid w:val="00F417B1"/>
    <w:rsid w:val="00F602DF"/>
    <w:rsid w:val="00F81FD9"/>
    <w:rsid w:val="00F841AA"/>
    <w:rsid w:val="00FA23E8"/>
    <w:rsid w:val="00FA25DB"/>
    <w:rsid w:val="00FD3CC1"/>
    <w:rsid w:val="00FF1E02"/>
    <w:rsid w:val="00FF30B4"/>
    <w:rsid w:val="047D654F"/>
    <w:rsid w:val="06FA2E4D"/>
    <w:rsid w:val="0AAB59D3"/>
    <w:rsid w:val="0B080C2C"/>
    <w:rsid w:val="0BBF0531"/>
    <w:rsid w:val="0C4679D1"/>
    <w:rsid w:val="0ED62A80"/>
    <w:rsid w:val="10C055FF"/>
    <w:rsid w:val="10F529AD"/>
    <w:rsid w:val="128C0123"/>
    <w:rsid w:val="16BB723D"/>
    <w:rsid w:val="1B566077"/>
    <w:rsid w:val="1BC36ABE"/>
    <w:rsid w:val="240371BF"/>
    <w:rsid w:val="25B46BBD"/>
    <w:rsid w:val="29FD04D3"/>
    <w:rsid w:val="2C027791"/>
    <w:rsid w:val="2C747291"/>
    <w:rsid w:val="319F7F4E"/>
    <w:rsid w:val="33F96179"/>
    <w:rsid w:val="366165E2"/>
    <w:rsid w:val="36C22C0B"/>
    <w:rsid w:val="37427548"/>
    <w:rsid w:val="3ABF06FE"/>
    <w:rsid w:val="3EB079F2"/>
    <w:rsid w:val="453E098F"/>
    <w:rsid w:val="4AB214B5"/>
    <w:rsid w:val="524B64EE"/>
    <w:rsid w:val="57204CEA"/>
    <w:rsid w:val="57A649F2"/>
    <w:rsid w:val="57BE57F6"/>
    <w:rsid w:val="5F8A4F9B"/>
    <w:rsid w:val="64DF3EE2"/>
    <w:rsid w:val="6B7F3207"/>
    <w:rsid w:val="70D35E58"/>
    <w:rsid w:val="73907EA3"/>
    <w:rsid w:val="75282356"/>
    <w:rsid w:val="7DB146BC"/>
    <w:rsid w:val="7F902EC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7"/>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28"/>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31"/>
    <w:unhideWhenUsed/>
    <w:qFormat/>
    <w:uiPriority w:val="9"/>
    <w:pPr>
      <w:keepNext/>
      <w:keepLines/>
      <w:spacing w:before="260" w:after="260" w:line="416" w:lineRule="auto"/>
      <w:outlineLvl w:val="2"/>
    </w:pPr>
    <w:rPr>
      <w:b/>
      <w:bCs/>
      <w:sz w:val="32"/>
      <w:szCs w:val="32"/>
    </w:rPr>
  </w:style>
  <w:style w:type="character" w:default="1" w:styleId="15">
    <w:name w:val="Default Paragraph Font"/>
    <w:unhideWhenUsed/>
    <w:qFormat/>
    <w:uiPriority w:val="1"/>
  </w:style>
  <w:style w:type="table" w:default="1" w:styleId="18">
    <w:name w:val="Normal Table"/>
    <w:unhideWhenUsed/>
    <w:qFormat/>
    <w:uiPriority w:val="99"/>
    <w:tblPr>
      <w:tblLayout w:type="fixed"/>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spacing w:line="540" w:lineRule="exact"/>
      <w:ind w:firstLine="5440" w:firstLineChars="1700"/>
    </w:pPr>
    <w:rPr>
      <w:sz w:val="32"/>
      <w:szCs w:val="32"/>
    </w:rPr>
  </w:style>
  <w:style w:type="paragraph" w:styleId="7">
    <w:name w:val="Body Text"/>
    <w:basedOn w:val="1"/>
    <w:link w:val="24"/>
    <w:qFormat/>
    <w:uiPriority w:val="99"/>
    <w:pPr>
      <w:spacing w:beforeLines="30"/>
    </w:pPr>
    <w:rPr>
      <w:rFonts w:ascii="仿宋_GB2312" w:eastAsia="仿宋_GB2312"/>
      <w:kern w:val="0"/>
      <w:sz w:val="30"/>
    </w:r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30"/>
    <w:unhideWhenUsed/>
    <w:qFormat/>
    <w:uiPriority w:val="99"/>
    <w:rPr>
      <w:sz w:val="18"/>
      <w:szCs w:val="18"/>
    </w:rPr>
  </w:style>
  <w:style w:type="paragraph" w:styleId="10">
    <w:name w:val="footer"/>
    <w:basedOn w:val="1"/>
    <w:link w:val="22"/>
    <w:qFormat/>
    <w:uiPriority w:val="99"/>
    <w:pPr>
      <w:tabs>
        <w:tab w:val="center" w:pos="4153"/>
        <w:tab w:val="right" w:pos="8306"/>
      </w:tabs>
      <w:snapToGrid w:val="0"/>
      <w:jc w:val="left"/>
    </w:pPr>
    <w:rPr>
      <w:rFonts w:ascii="Calibri" w:hAnsi="Calibri"/>
      <w:kern w:val="0"/>
      <w:sz w:val="18"/>
      <w:szCs w:val="18"/>
    </w:rPr>
  </w:style>
  <w:style w:type="paragraph" w:styleId="11">
    <w:name w:val="header"/>
    <w:basedOn w:val="1"/>
    <w:link w:val="20"/>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toc 2"/>
    <w:basedOn w:val="1"/>
    <w:next w:val="1"/>
    <w:unhideWhenUsed/>
    <w:qFormat/>
    <w:uiPriority w:val="39"/>
    <w:pPr>
      <w:tabs>
        <w:tab w:val="right" w:leader="dot" w:pos="8296"/>
      </w:tabs>
      <w:ind w:left="420" w:leftChars="200"/>
    </w:pPr>
  </w:style>
  <w:style w:type="paragraph" w:styleId="14">
    <w:name w:val="Normal (Web)"/>
    <w:basedOn w:val="1"/>
    <w:qFormat/>
    <w:uiPriority w:val="0"/>
    <w:pPr>
      <w:spacing w:before="100" w:beforeAutospacing="1" w:after="100" w:afterAutospacing="1"/>
      <w:jc w:val="left"/>
    </w:pPr>
    <w:rPr>
      <w:kern w:val="0"/>
      <w:sz w:val="24"/>
    </w:rPr>
  </w:style>
  <w:style w:type="character" w:styleId="16">
    <w:name w:val="Strong"/>
    <w:basedOn w:val="15"/>
    <w:qFormat/>
    <w:uiPriority w:val="0"/>
    <w:rPr>
      <w:b/>
    </w:rPr>
  </w:style>
  <w:style w:type="character" w:styleId="17">
    <w:name w:val="Hyperlink"/>
    <w:basedOn w:val="15"/>
    <w:unhideWhenUsed/>
    <w:qFormat/>
    <w:uiPriority w:val="99"/>
    <w:rPr>
      <w:color w:val="0000FF" w:themeColor="hyperlink"/>
      <w:u w:val="single"/>
    </w:rPr>
  </w:style>
  <w:style w:type="character" w:customStyle="1" w:styleId="19">
    <w:name w:val="Header Char"/>
    <w:basedOn w:val="15"/>
    <w:semiHidden/>
    <w:qFormat/>
    <w:uiPriority w:val="99"/>
    <w:rPr>
      <w:rFonts w:ascii="Times New Roman" w:hAnsi="Times New Roman"/>
      <w:sz w:val="18"/>
      <w:szCs w:val="18"/>
    </w:rPr>
  </w:style>
  <w:style w:type="character" w:customStyle="1" w:styleId="20">
    <w:name w:val="页眉 Char"/>
    <w:link w:val="11"/>
    <w:semiHidden/>
    <w:qFormat/>
    <w:locked/>
    <w:uiPriority w:val="99"/>
    <w:rPr>
      <w:sz w:val="18"/>
    </w:rPr>
  </w:style>
  <w:style w:type="character" w:customStyle="1" w:styleId="21">
    <w:name w:val="Footer Char"/>
    <w:basedOn w:val="15"/>
    <w:semiHidden/>
    <w:qFormat/>
    <w:uiPriority w:val="99"/>
    <w:rPr>
      <w:rFonts w:ascii="Times New Roman" w:hAnsi="Times New Roman"/>
      <w:sz w:val="18"/>
      <w:szCs w:val="18"/>
    </w:rPr>
  </w:style>
  <w:style w:type="character" w:customStyle="1" w:styleId="22">
    <w:name w:val="页脚 Char"/>
    <w:link w:val="10"/>
    <w:qFormat/>
    <w:locked/>
    <w:uiPriority w:val="99"/>
    <w:rPr>
      <w:sz w:val="18"/>
    </w:rPr>
  </w:style>
  <w:style w:type="character" w:customStyle="1" w:styleId="23">
    <w:name w:val="Body Text Char"/>
    <w:basedOn w:val="15"/>
    <w:semiHidden/>
    <w:qFormat/>
    <w:uiPriority w:val="99"/>
    <w:rPr>
      <w:rFonts w:ascii="Times New Roman" w:hAnsi="Times New Roman"/>
      <w:szCs w:val="24"/>
    </w:rPr>
  </w:style>
  <w:style w:type="character" w:customStyle="1" w:styleId="24">
    <w:name w:val="正文文本 Char"/>
    <w:link w:val="7"/>
    <w:qFormat/>
    <w:locked/>
    <w:uiPriority w:val="99"/>
    <w:rPr>
      <w:rFonts w:ascii="仿宋_GB2312" w:hAnsi="Times New Roman" w:eastAsia="仿宋_GB2312"/>
      <w:sz w:val="24"/>
    </w:rPr>
  </w:style>
  <w:style w:type="paragraph" w:customStyle="1" w:styleId="25">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customStyle="1" w:styleId="26">
    <w:name w:val="列出段落1"/>
    <w:basedOn w:val="1"/>
    <w:qFormat/>
    <w:uiPriority w:val="34"/>
    <w:pPr>
      <w:ind w:firstLine="420" w:firstLineChars="200"/>
    </w:pPr>
  </w:style>
  <w:style w:type="character" w:customStyle="1" w:styleId="27">
    <w:name w:val="标题 1 Char"/>
    <w:basedOn w:val="15"/>
    <w:link w:val="4"/>
    <w:qFormat/>
    <w:uiPriority w:val="9"/>
    <w:rPr>
      <w:rFonts w:ascii="Times New Roman" w:hAnsi="Times New Roman"/>
      <w:b/>
      <w:bCs/>
      <w:kern w:val="44"/>
      <w:sz w:val="44"/>
      <w:szCs w:val="44"/>
    </w:rPr>
  </w:style>
  <w:style w:type="character" w:customStyle="1" w:styleId="28">
    <w:name w:val="标题 2 Char"/>
    <w:basedOn w:val="15"/>
    <w:link w:val="5"/>
    <w:qFormat/>
    <w:uiPriority w:val="9"/>
    <w:rPr>
      <w:rFonts w:asciiTheme="majorHAnsi" w:hAnsiTheme="majorHAnsi" w:eastAsiaTheme="majorEastAsia" w:cstheme="majorBidi"/>
      <w:b/>
      <w:bCs/>
      <w:kern w:val="2"/>
      <w:sz w:val="32"/>
      <w:szCs w:val="32"/>
    </w:rPr>
  </w:style>
  <w:style w:type="paragraph" w:customStyle="1" w:styleId="29">
    <w:name w:val="TOC 标题1"/>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character" w:customStyle="1" w:styleId="30">
    <w:name w:val="批注框文本 Char"/>
    <w:basedOn w:val="15"/>
    <w:link w:val="9"/>
    <w:semiHidden/>
    <w:qFormat/>
    <w:uiPriority w:val="99"/>
    <w:rPr>
      <w:rFonts w:ascii="Times New Roman" w:hAnsi="Times New Roman"/>
      <w:kern w:val="2"/>
      <w:sz w:val="18"/>
      <w:szCs w:val="18"/>
    </w:rPr>
  </w:style>
  <w:style w:type="character" w:customStyle="1" w:styleId="31">
    <w:name w:val="标题 3 Char"/>
    <w:basedOn w:val="15"/>
    <w:link w:val="6"/>
    <w:qFormat/>
    <w:uiPriority w:val="9"/>
    <w:rPr>
      <w:rFonts w:ascii="Times New Roman" w:hAnsi="Times New Roman"/>
      <w:b/>
      <w:bCs/>
      <w:kern w:val="2"/>
      <w:sz w:val="32"/>
      <w:szCs w:val="32"/>
    </w:rPr>
  </w:style>
  <w:style w:type="paragraph" w:customStyle="1" w:styleId="32">
    <w:name w:val="四号正文"/>
    <w:basedOn w:val="1"/>
    <w:qFormat/>
    <w:uiPriority w:val="0"/>
    <w:pPr>
      <w:spacing w:line="360" w:lineRule="auto"/>
    </w:pPr>
    <w:rPr>
      <w:rFonts w:ascii="??" w:hAnsi="??"/>
      <w:color w:val="000000"/>
      <w:kern w:val="0"/>
      <w:sz w:val="28"/>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82B3891-4E0B-4188-A3EC-80A194876377}">
  <ds:schemaRefs/>
</ds:datastoreItem>
</file>

<file path=docProps/app.xml><?xml version="1.0" encoding="utf-8"?>
<Properties xmlns="http://schemas.openxmlformats.org/officeDocument/2006/extended-properties" xmlns:vt="http://schemas.openxmlformats.org/officeDocument/2006/docPropsVTypes">
  <Template>Normal</Template>
  <Company>四川省财政厅</Company>
  <Pages>20</Pages>
  <Words>1316</Words>
  <Characters>7506</Characters>
  <Lines>62</Lines>
  <Paragraphs>17</Paragraphs>
  <ScaleCrop>false</ScaleCrop>
  <LinksUpToDate>false</LinksUpToDate>
  <CharactersWithSpaces>8805</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2019-09-19T03:21:00Z</dcterms:created>
  <dc:creator>张彬茜</dc:creator>
  <cp:lastModifiedBy>LENOVO</cp:lastModifiedBy>
  <cp:lastPrinted>2019-08-01T00:48:00Z</cp:lastPrinted>
  <dcterms:modified xsi:type="dcterms:W3CDTF">2019-09-19T03:46:43Z</dcterms:modified>
  <dc:title>四川省***</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