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jc w:val="center"/>
        <w:textAlignment w:val="auto"/>
        <w:rPr>
          <w:rFonts w:hint="default" w:ascii="Times New Roman" w:hAnsi="Times New Roman" w:eastAsia="方正小标宋_GBK" w:cs="Times New Roman"/>
          <w:bCs/>
          <w:sz w:val="44"/>
          <w:szCs w:val="44"/>
          <w:lang w:val="en-US" w:eastAsia="zh-CN"/>
        </w:rPr>
      </w:pPr>
      <w:r>
        <w:rPr>
          <w:rFonts w:hint="default" w:ascii="Times New Roman" w:hAnsi="Times New Roman" w:eastAsia="方正小标宋_GBK" w:cs="Times New Roman"/>
          <w:bCs/>
          <w:sz w:val="44"/>
          <w:szCs w:val="44"/>
        </w:rPr>
        <w:t>红原县党史研究和地方志编纂</w:t>
      </w:r>
      <w:r>
        <w:rPr>
          <w:rFonts w:hint="default" w:ascii="Times New Roman" w:hAnsi="Times New Roman" w:eastAsia="方正小标宋_GBK" w:cs="Times New Roman"/>
          <w:bCs/>
          <w:sz w:val="44"/>
          <w:szCs w:val="44"/>
          <w:lang w:val="en-US" w:eastAsia="zh-CN"/>
        </w:rPr>
        <w:t>中心</w:t>
      </w:r>
    </w:p>
    <w:p>
      <w:pPr>
        <w:keepNext w:val="0"/>
        <w:keepLines w:val="0"/>
        <w:pageBreakBefore w:val="0"/>
        <w:kinsoku/>
        <w:wordWrap/>
        <w:overflowPunct/>
        <w:topLinePunct w:val="0"/>
        <w:autoSpaceDE/>
        <w:autoSpaceDN/>
        <w:bidi w:val="0"/>
        <w:spacing w:line="560" w:lineRule="exact"/>
        <w:jc w:val="center"/>
        <w:textAlignment w:val="auto"/>
        <w:rPr>
          <w:rFonts w:hint="default" w:ascii="Times New Roman" w:hAnsi="Times New Roman" w:eastAsia="方正小标宋_GBK" w:cs="Times New Roman"/>
          <w:bCs/>
          <w:sz w:val="44"/>
          <w:szCs w:val="44"/>
        </w:rPr>
      </w:pPr>
      <w:r>
        <w:rPr>
          <w:rFonts w:hint="default" w:ascii="Times New Roman" w:hAnsi="Times New Roman" w:eastAsia="方正小标宋_GBK" w:cs="Times New Roman"/>
          <w:bCs/>
          <w:sz w:val="44"/>
          <w:szCs w:val="44"/>
        </w:rPr>
        <w:t>2026年部门预算编制的说明</w:t>
      </w:r>
    </w:p>
    <w:p>
      <w:pPr>
        <w:pStyle w:val="3"/>
        <w:keepNext w:val="0"/>
        <w:keepLines w:val="0"/>
        <w:pageBreakBefore w:val="0"/>
        <w:kinsoku/>
        <w:wordWrap/>
        <w:overflowPunct/>
        <w:topLinePunct w:val="0"/>
        <w:autoSpaceDE/>
        <w:autoSpaceDN/>
        <w:bidi w:val="0"/>
        <w:adjustRightInd w:val="0"/>
        <w:snapToGrid w:val="0"/>
        <w:spacing w:beforeLines="0" w:line="560" w:lineRule="exact"/>
        <w:ind w:firstLine="960" w:firstLineChars="300"/>
        <w:textAlignment w:val="auto"/>
        <w:rPr>
          <w:rFonts w:hint="default" w:ascii="Times New Roman" w:hAnsi="Times New Roman"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pPr>
        <w:pStyle w:val="3"/>
        <w:keepNext w:val="0"/>
        <w:keepLines w:val="0"/>
        <w:pageBreakBefore w:val="0"/>
        <w:kinsoku/>
        <w:wordWrap/>
        <w:overflowPunct/>
        <w:topLinePunct w:val="0"/>
        <w:autoSpaceDE/>
        <w:autoSpaceDN/>
        <w:bidi w:val="0"/>
        <w:adjustRightInd w:val="0"/>
        <w:snapToGrid w:val="0"/>
        <w:spacing w:beforeLines="0" w:line="560" w:lineRule="exact"/>
        <w:ind w:firstLine="643" w:firstLineChars="200"/>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（一）基本职能</w:t>
      </w:r>
    </w:p>
    <w:p>
      <w:pPr>
        <w:pStyle w:val="3"/>
        <w:keepNext w:val="0"/>
        <w:keepLines w:val="0"/>
        <w:pageBreakBefore w:val="0"/>
        <w:kinsoku/>
        <w:wordWrap/>
        <w:overflowPunct/>
        <w:topLinePunct w:val="0"/>
        <w:autoSpaceDE/>
        <w:autoSpaceDN/>
        <w:bidi w:val="0"/>
        <w:adjustRightInd w:val="0"/>
        <w:snapToGrid w:val="0"/>
        <w:spacing w:beforeLines="0" w:line="560" w:lineRule="exact"/>
        <w:ind w:firstLine="640" w:firstLineChars="200"/>
        <w:textAlignment w:val="auto"/>
        <w:rPr>
          <w:rFonts w:hint="default" w:ascii="Times New Roman" w:hAnsi="Times New Roman" w:cs="Times New Roman"/>
          <w:sz w:val="32"/>
          <w:szCs w:val="32"/>
        </w:rPr>
      </w:pPr>
      <w:r>
        <w:rPr>
          <w:rFonts w:hint="default" w:ascii="Times New Roman" w:hAnsi="Times New Roman" w:eastAsia="仿宋" w:cs="Times New Roman"/>
          <w:sz w:val="32"/>
          <w:szCs w:val="32"/>
        </w:rPr>
        <w:t>本单位的主要职责和职能是组织指导各类党史和志书编纂工作,制定我县党史研究和地方志工作方针、政策和法规；负责组织、协调、纂写各类志书；负责乡镇（村）志编纂工作业务指导；负责收集各类地情资料等。</w:t>
      </w:r>
    </w:p>
    <w:p>
      <w:pPr>
        <w:pStyle w:val="3"/>
        <w:keepNext w:val="0"/>
        <w:keepLines w:val="0"/>
        <w:pageBreakBefore w:val="0"/>
        <w:kinsoku/>
        <w:wordWrap/>
        <w:overflowPunct/>
        <w:topLinePunct w:val="0"/>
        <w:autoSpaceDE/>
        <w:autoSpaceDN/>
        <w:bidi w:val="0"/>
        <w:adjustRightInd w:val="0"/>
        <w:snapToGrid w:val="0"/>
        <w:spacing w:beforeLines="0" w:line="560" w:lineRule="exact"/>
        <w:ind w:firstLine="643" w:firstLineChars="200"/>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（二）2026年重点工作任务</w:t>
      </w:r>
    </w:p>
    <w:p>
      <w:pPr>
        <w:pStyle w:val="3"/>
        <w:keepNext w:val="0"/>
        <w:keepLines w:val="0"/>
        <w:pageBreakBefore w:val="0"/>
        <w:kinsoku/>
        <w:wordWrap/>
        <w:overflowPunct/>
        <w:topLinePunct w:val="0"/>
        <w:autoSpaceDE/>
        <w:autoSpaceDN/>
        <w:bidi w:val="0"/>
        <w:adjustRightInd w:val="0"/>
        <w:snapToGrid w:val="0"/>
        <w:spacing w:beforeLines="0" w:line="560" w:lineRule="exact"/>
        <w:ind w:firstLine="643" w:firstLineChars="200"/>
        <w:textAlignment w:val="auto"/>
        <w:rPr>
          <w:rFonts w:hint="default" w:ascii="Times New Roman" w:hAnsi="Times New Roman" w:cs="Times New Roman"/>
          <w:sz w:val="32"/>
          <w:szCs w:val="32"/>
        </w:rPr>
      </w:pPr>
      <w:r>
        <w:rPr>
          <w:rFonts w:hint="default" w:ascii="Times New Roman" w:hAnsi="Times New Roman" w:eastAsia="楷体" w:cs="Times New Roman"/>
          <w:b/>
          <w:bCs/>
          <w:sz w:val="32"/>
          <w:szCs w:val="32"/>
        </w:rPr>
        <w:t xml:space="preserve"> </w:t>
      </w:r>
      <w:r>
        <w:rPr>
          <w:rFonts w:hint="default" w:ascii="Times New Roman" w:hAnsi="Times New Roman" w:eastAsia="仿宋" w:cs="Times New Roman"/>
          <w:sz w:val="32"/>
          <w:szCs w:val="32"/>
        </w:rPr>
        <w:t>全面启动第三轮修志工作，完成《红原年鉴（2025）》编纂出版印刷工作。同步完成《红原县执政实录（2026）》编纂出版印刷工作。深化“互联网+史志”宣传路径，严格落实“红原史志”微信公众号每周两更机制，围绕红色历史、革命故事、本土文化推出视频，持续擦亮红原史志文化品牌。深入挖掘本土红色文化、游牧文化、生态文化资源，推进口述历史纪录片与短视频创作，全方位展示红原独特的民族文化魅力。</w:t>
      </w:r>
    </w:p>
    <w:p>
      <w:pPr>
        <w:keepNext w:val="0"/>
        <w:keepLines w:val="0"/>
        <w:pageBreakBefore w:val="0"/>
        <w:kinsoku/>
        <w:wordWrap/>
        <w:overflowPunct/>
        <w:topLinePunct w:val="0"/>
        <w:autoSpaceDE/>
        <w:autoSpaceDN/>
        <w:bidi w:val="0"/>
        <w:spacing w:line="560" w:lineRule="exac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二、部门预算单位构成</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napToGrid w:val="0"/>
          <w:sz w:val="32"/>
          <w:szCs w:val="32"/>
          <w:shd w:val="clear" w:color="auto" w:fill="FFFFFF"/>
        </w:rPr>
        <w:t>红原县党史研究和地方志编纂中心内设3个股室分别为办公室、档案</w:t>
      </w:r>
      <w:r>
        <w:rPr>
          <w:rFonts w:hint="default" w:ascii="Times New Roman" w:hAnsi="Times New Roman" w:eastAsia="仿宋" w:cs="Times New Roman"/>
          <w:snapToGrid w:val="0"/>
          <w:sz w:val="32"/>
          <w:szCs w:val="32"/>
          <w:shd w:val="clear" w:color="auto" w:fill="FFFFFF"/>
          <w:lang w:val="en-US" w:eastAsia="zh-CN"/>
        </w:rPr>
        <w:t>室</w:t>
      </w:r>
      <w:r>
        <w:rPr>
          <w:rFonts w:hint="default" w:ascii="Times New Roman" w:hAnsi="Times New Roman" w:eastAsia="仿宋" w:cs="Times New Roman"/>
          <w:snapToGrid w:val="0"/>
          <w:sz w:val="32"/>
          <w:szCs w:val="32"/>
          <w:shd w:val="clear" w:color="auto" w:fill="FFFFFF"/>
        </w:rPr>
        <w:t>、业务指导股。下属二级单位0个，其中行政单位0个，参照公务员法管理的事业单位0个，其他事业单位0个。纳入中共阿坝州红原县党史研究和地方志编纂中心</w:t>
      </w:r>
      <w:r>
        <w:rPr>
          <w:rFonts w:hint="default" w:ascii="Times New Roman" w:hAnsi="Times New Roman" w:eastAsia="仿宋" w:cs="Times New Roman"/>
          <w:sz w:val="32"/>
          <w:szCs w:val="32"/>
          <w:shd w:val="clear" w:color="auto" w:fill="FFFFFF"/>
        </w:rPr>
        <w:t>2023</w:t>
      </w:r>
      <w:r>
        <w:rPr>
          <w:rFonts w:hint="default" w:ascii="Times New Roman" w:hAnsi="Times New Roman" w:eastAsia="仿宋" w:cs="Times New Roman"/>
          <w:snapToGrid w:val="0"/>
          <w:sz w:val="32"/>
          <w:szCs w:val="32"/>
          <w:shd w:val="clear" w:color="auto" w:fill="FFFFFF"/>
        </w:rPr>
        <w:t>年度部门决算编制范围的二级预算单位无</w:t>
      </w:r>
      <w:r>
        <w:rPr>
          <w:rFonts w:hint="default" w:ascii="Times New Roman" w:hAnsi="Times New Roman" w:eastAsia="仿宋" w:cs="Times New Roman"/>
          <w:snapToGrid w:val="0"/>
          <w:sz w:val="32"/>
          <w:szCs w:val="32"/>
          <w:shd w:val="clear" w:color="auto" w:fill="FFFFFF"/>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三、收支预算总体情况</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snapToGrid w:val="0"/>
          <w:sz w:val="32"/>
          <w:szCs w:val="32"/>
          <w:shd w:val="clear" w:color="auto" w:fill="FFFFFF"/>
        </w:rPr>
      </w:pPr>
      <w:r>
        <w:rPr>
          <w:rFonts w:hint="default" w:ascii="Times New Roman" w:hAnsi="Times New Roman" w:eastAsia="仿宋" w:cs="Times New Roman"/>
          <w:snapToGrid w:val="0"/>
          <w:sz w:val="32"/>
          <w:szCs w:val="32"/>
          <w:shd w:val="clear" w:color="auto" w:fill="FFFFFF"/>
        </w:rPr>
        <w:t>2026年单位收入预算总额为273.86.万元，其中：当年财政拨款收入273.86万元。相应安排支出预算273.86万元，其中：一般公共服务212.97万元，社会保障和就业31.92.万元，医疗卫生11.74万元，住房保障支出17.23万元,项目支出44.85万元。</w:t>
      </w:r>
    </w:p>
    <w:p>
      <w:pPr>
        <w:keepNext w:val="0"/>
        <w:keepLines w:val="0"/>
        <w:pageBreakBefore w:val="0"/>
        <w:kinsoku/>
        <w:wordWrap/>
        <w:overflowPunct/>
        <w:topLinePunct w:val="0"/>
        <w:autoSpaceDE/>
        <w:autoSpaceDN/>
        <w:bidi w:val="0"/>
        <w:spacing w:line="560" w:lineRule="exact"/>
        <w:ind w:left="420" w:left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四、支出预算安排情况</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snapToGrid w:val="0"/>
          <w:sz w:val="32"/>
          <w:szCs w:val="32"/>
          <w:shd w:val="clear" w:color="auto" w:fill="FFFFFF"/>
        </w:rPr>
      </w:pPr>
      <w:r>
        <w:rPr>
          <w:rFonts w:hint="default" w:ascii="Times New Roman" w:hAnsi="Times New Roman" w:eastAsia="仿宋" w:cs="Times New Roman"/>
          <w:snapToGrid w:val="0"/>
          <w:sz w:val="32"/>
          <w:szCs w:val="32"/>
          <w:shd w:val="clear" w:color="auto" w:fill="FFFFFF"/>
        </w:rPr>
        <w:t xml:space="preserve">单位预算安排支出主要用于保障该部门机构正常运转、完成日常工作任务以及承担事业发展相关工作。  </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snapToGrid w:val="0"/>
          <w:sz w:val="32"/>
          <w:szCs w:val="32"/>
          <w:shd w:val="clear" w:color="auto" w:fill="FFFFFF"/>
        </w:rPr>
      </w:pPr>
      <w:r>
        <w:rPr>
          <w:rFonts w:hint="default" w:ascii="Times New Roman" w:hAnsi="Times New Roman" w:eastAsia="仿宋" w:cs="Times New Roman"/>
          <w:snapToGrid w:val="0"/>
          <w:sz w:val="32"/>
          <w:szCs w:val="32"/>
          <w:shd w:val="clear" w:color="auto" w:fill="FFFFFF"/>
        </w:rPr>
        <w:t>基本支出229.01万元。其中人员经费支出209.45万元，机关运行经费19.56万元，其中：其中：办公费5.33万元，印刷费0.35万元，差旅费2.5万元，工会经费1.6万元，水费0.2万元，公务用车运行维护费2.62万元,邮电费0.44万元，公务接待费0.16万元，取暖费0.35万元，其他商品和服务支出6.02万元。</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snapToGrid w:val="0"/>
          <w:sz w:val="32"/>
          <w:szCs w:val="32"/>
          <w:shd w:val="clear" w:color="auto" w:fill="FFFFFF"/>
        </w:rPr>
      </w:pPr>
      <w:r>
        <w:rPr>
          <w:rFonts w:hint="default" w:ascii="Times New Roman" w:hAnsi="Times New Roman" w:eastAsia="仿宋" w:cs="Times New Roman"/>
          <w:snapToGrid w:val="0"/>
          <w:sz w:val="32"/>
          <w:szCs w:val="32"/>
          <w:shd w:val="clear" w:color="auto" w:fill="FFFFFF"/>
        </w:rPr>
        <w:t>按支出功能分类主要用于以下方面:</w:t>
      </w:r>
    </w:p>
    <w:p>
      <w:pPr>
        <w:keepNext w:val="0"/>
        <w:keepLines w:val="0"/>
        <w:pageBreakBefore w:val="0"/>
        <w:kinsoku/>
        <w:wordWrap/>
        <w:overflowPunct/>
        <w:topLinePunct w:val="0"/>
        <w:autoSpaceDE/>
        <w:autoSpaceDN/>
        <w:bidi w:val="0"/>
        <w:spacing w:line="560" w:lineRule="exact"/>
        <w:ind w:firstLine="643" w:firstLineChars="200"/>
        <w:textAlignment w:val="auto"/>
        <w:rPr>
          <w:rFonts w:hint="default" w:ascii="Times New Roman" w:hAnsi="Times New Roman" w:eastAsia="仿宋" w:cs="Times New Roman"/>
          <w:snapToGrid w:val="0"/>
          <w:sz w:val="32"/>
          <w:szCs w:val="32"/>
          <w:shd w:val="clear" w:color="auto" w:fill="FFFFFF"/>
        </w:rPr>
      </w:pPr>
      <w:r>
        <w:rPr>
          <w:rFonts w:hint="default" w:ascii="Times New Roman" w:hAnsi="Times New Roman" w:eastAsia="仿宋_GB2312" w:cs="Times New Roman"/>
          <w:b/>
          <w:bCs/>
          <w:sz w:val="32"/>
          <w:szCs w:val="32"/>
        </w:rPr>
        <w:t>（一）一般公共服务支出</w:t>
      </w:r>
      <w:r>
        <w:rPr>
          <w:rFonts w:hint="default" w:ascii="Times New Roman" w:hAnsi="Times New Roman" w:eastAsia="仿宋" w:cs="Times New Roman"/>
          <w:snapToGrid w:val="0"/>
          <w:sz w:val="32"/>
          <w:szCs w:val="32"/>
          <w:shd w:val="clear" w:color="auto" w:fill="FFFFFF"/>
        </w:rPr>
        <w:t>212.97万元，主要用于机关及下属事业单位人员工资、日常运转以及为完成特定行政工作任务和事业发展目标而安排的年度项目支出。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60" w:lineRule="exact"/>
        <w:ind w:firstLine="643" w:firstLineChars="200"/>
        <w:textAlignment w:val="auto"/>
        <w:rPr>
          <w:rFonts w:hint="default" w:ascii="Times New Roman" w:hAnsi="Times New Roman" w:eastAsia="仿宋" w:cs="Times New Roman"/>
          <w:snapToGrid w:val="0"/>
          <w:sz w:val="32"/>
          <w:szCs w:val="32"/>
          <w:shd w:val="clear" w:color="auto" w:fill="FFFFFF"/>
        </w:rPr>
      </w:pPr>
      <w:r>
        <w:rPr>
          <w:rFonts w:hint="default" w:ascii="Times New Roman" w:hAnsi="Times New Roman" w:eastAsia="仿宋_GB2312" w:cs="Times New Roman"/>
          <w:b/>
          <w:bCs/>
          <w:sz w:val="32"/>
          <w:szCs w:val="32"/>
        </w:rPr>
        <w:t>（二）机关事业单位基本养老保险支出</w:t>
      </w:r>
      <w:r>
        <w:rPr>
          <w:rFonts w:hint="default" w:ascii="Times New Roman" w:hAnsi="Times New Roman" w:eastAsia="仿宋" w:cs="Times New Roman"/>
          <w:snapToGrid w:val="0"/>
          <w:sz w:val="32"/>
          <w:szCs w:val="32"/>
          <w:shd w:val="clear" w:color="auto" w:fill="FFFFFF"/>
        </w:rPr>
        <w:t>21.28万元，主要用于机关及下属事业单位养老保险缴费。</w:t>
      </w:r>
    </w:p>
    <w:p>
      <w:pPr>
        <w:keepNext w:val="0"/>
        <w:keepLines w:val="0"/>
        <w:pageBreakBefore w:val="0"/>
        <w:kinsoku/>
        <w:wordWrap/>
        <w:overflowPunct/>
        <w:topLinePunct w:val="0"/>
        <w:autoSpaceDE/>
        <w:autoSpaceDN/>
        <w:bidi w:val="0"/>
        <w:spacing w:line="560" w:lineRule="exact"/>
        <w:ind w:firstLine="643" w:firstLineChars="200"/>
        <w:textAlignment w:val="auto"/>
        <w:rPr>
          <w:rFonts w:hint="default" w:ascii="Times New Roman" w:hAnsi="Times New Roman" w:eastAsia="仿宋" w:cs="Times New Roman"/>
          <w:snapToGrid w:val="0"/>
          <w:sz w:val="32"/>
          <w:szCs w:val="32"/>
          <w:shd w:val="clear" w:color="auto" w:fill="FFFFFF"/>
        </w:rPr>
      </w:pPr>
      <w:r>
        <w:rPr>
          <w:rFonts w:hint="default" w:ascii="Times New Roman" w:hAnsi="Times New Roman" w:eastAsia="仿宋_GB2312" w:cs="Times New Roman"/>
          <w:b/>
          <w:bCs/>
          <w:sz w:val="32"/>
          <w:szCs w:val="32"/>
        </w:rPr>
        <w:t>（三）机关事业单位职业年金缴费支出</w:t>
      </w:r>
      <w:r>
        <w:rPr>
          <w:rFonts w:hint="default" w:ascii="Times New Roman" w:hAnsi="Times New Roman" w:eastAsia="仿宋" w:cs="Times New Roman"/>
          <w:snapToGrid w:val="0"/>
          <w:sz w:val="32"/>
          <w:szCs w:val="32"/>
          <w:shd w:val="clear" w:color="auto" w:fill="FFFFFF"/>
        </w:rPr>
        <w:t>10.64万元，主要用于机关及下属事业单位职业年金缴费。</w:t>
      </w:r>
    </w:p>
    <w:p>
      <w:pPr>
        <w:keepNext w:val="0"/>
        <w:keepLines w:val="0"/>
        <w:pageBreakBefore w:val="0"/>
        <w:kinsoku/>
        <w:wordWrap/>
        <w:overflowPunct/>
        <w:topLinePunct w:val="0"/>
        <w:autoSpaceDE/>
        <w:autoSpaceDN/>
        <w:bidi w:val="0"/>
        <w:spacing w:line="560" w:lineRule="exact"/>
        <w:ind w:firstLine="643" w:firstLineChars="200"/>
        <w:textAlignment w:val="auto"/>
        <w:rPr>
          <w:rFonts w:hint="default" w:ascii="Times New Roman" w:hAnsi="Times New Roman" w:eastAsia="仿宋" w:cs="Times New Roman"/>
          <w:snapToGrid w:val="0"/>
          <w:sz w:val="32"/>
          <w:szCs w:val="32"/>
          <w:shd w:val="clear" w:color="auto" w:fill="FFFFFF"/>
        </w:rPr>
      </w:pPr>
      <w:r>
        <w:rPr>
          <w:rFonts w:hint="default" w:ascii="Times New Roman" w:hAnsi="Times New Roman" w:eastAsia="仿宋_GB2312" w:cs="Times New Roman"/>
          <w:b/>
          <w:bCs/>
          <w:sz w:val="32"/>
          <w:szCs w:val="32"/>
        </w:rPr>
        <w:t>（四）行政单位医疗缴费支出</w:t>
      </w:r>
      <w:r>
        <w:rPr>
          <w:rFonts w:hint="default" w:ascii="Times New Roman" w:hAnsi="Times New Roman" w:eastAsia="仿宋" w:cs="Times New Roman"/>
          <w:snapToGrid w:val="0"/>
          <w:sz w:val="32"/>
          <w:szCs w:val="32"/>
          <w:shd w:val="clear" w:color="auto" w:fill="FFFFFF"/>
        </w:rPr>
        <w:t>9.31万元，主要用于机关及下属事业单位按照规定标准为职工缴纳的基本医疗保险支出。</w:t>
      </w:r>
    </w:p>
    <w:p>
      <w:pPr>
        <w:keepNext w:val="0"/>
        <w:keepLines w:val="0"/>
        <w:pageBreakBefore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（五）公务员医疗补助支出</w:t>
      </w:r>
      <w:r>
        <w:rPr>
          <w:rFonts w:hint="default" w:ascii="Times New Roman" w:hAnsi="Times New Roman" w:eastAsia="仿宋" w:cs="Times New Roman"/>
          <w:snapToGrid w:val="0"/>
          <w:sz w:val="32"/>
          <w:szCs w:val="32"/>
          <w:shd w:val="clear" w:color="auto" w:fill="FFFFFF"/>
        </w:rPr>
        <w:t>2.43万，元主要用于机关及下属事业单位按照规定标准为职工缴纳的公务员医疗补助等支出。</w:t>
      </w:r>
    </w:p>
    <w:p>
      <w:pPr>
        <w:keepNext w:val="0"/>
        <w:keepLines w:val="0"/>
        <w:pageBreakBefore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（六）住房保障支出</w:t>
      </w:r>
      <w:r>
        <w:rPr>
          <w:rFonts w:hint="default" w:ascii="Times New Roman" w:hAnsi="Times New Roman" w:eastAsia="仿宋" w:cs="Times New Roman"/>
          <w:snapToGrid w:val="0"/>
          <w:sz w:val="32"/>
          <w:szCs w:val="32"/>
          <w:shd w:val="clear" w:color="auto" w:fill="FFFFFF"/>
        </w:rPr>
        <w:t>17.23万元，用于机关及下属事业单位按照规定标准为职工缴纳住房公积金等支出。</w:t>
      </w:r>
    </w:p>
    <w:p>
      <w:pPr>
        <w:keepNext w:val="0"/>
        <w:keepLines w:val="0"/>
        <w:pageBreakBefore w:val="0"/>
        <w:kinsoku/>
        <w:wordWrap/>
        <w:overflowPunct/>
        <w:topLinePunct w:val="0"/>
        <w:autoSpaceDE/>
        <w:autoSpaceDN/>
        <w:bidi w:val="0"/>
        <w:spacing w:line="560" w:lineRule="exact"/>
        <w:ind w:firstLine="643" w:firstLineChars="200"/>
        <w:textAlignment w:val="auto"/>
        <w:rPr>
          <w:rFonts w:hint="default" w:ascii="Times New Roman" w:hAnsi="Times New Roman" w:eastAsia="仿宋" w:cs="Times New Roman"/>
          <w:snapToGrid w:val="0"/>
          <w:sz w:val="32"/>
          <w:szCs w:val="32"/>
          <w:shd w:val="clear" w:color="auto" w:fill="FFFFFF"/>
        </w:rPr>
      </w:pPr>
      <w:r>
        <w:rPr>
          <w:rFonts w:hint="default" w:ascii="Times New Roman" w:hAnsi="Times New Roman" w:eastAsia="仿宋_GB2312" w:cs="Times New Roman"/>
          <w:b/>
          <w:bCs/>
          <w:sz w:val="32"/>
          <w:szCs w:val="32"/>
        </w:rPr>
        <w:t>（七）一般行政管理事务支出</w:t>
      </w:r>
      <w:r>
        <w:rPr>
          <w:rFonts w:hint="default" w:ascii="Times New Roman" w:hAnsi="Times New Roman" w:eastAsia="仿宋" w:cs="Times New Roman"/>
          <w:snapToGrid w:val="0"/>
          <w:sz w:val="32"/>
          <w:szCs w:val="32"/>
          <w:shd w:val="clear" w:color="auto" w:fill="FFFFFF"/>
        </w:rPr>
        <w:t>44.85万元，用于本单位《红原年鉴》《执政实录》、口述历史短视频的拍摄及“史志七进”、地方志工作培训会等。</w:t>
      </w:r>
    </w:p>
    <w:p>
      <w:pPr>
        <w:keepNext w:val="0"/>
        <w:keepLines w:val="0"/>
        <w:pageBreakBefore w:val="0"/>
        <w:kinsoku/>
        <w:wordWrap/>
        <w:overflowPunct/>
        <w:topLinePunct w:val="0"/>
        <w:autoSpaceDE/>
        <w:autoSpaceDN/>
        <w:bidi w:val="0"/>
        <w:spacing w:line="560" w:lineRule="exact"/>
        <w:ind w:firstLine="643" w:firstLineChars="200"/>
        <w:textAlignment w:val="auto"/>
        <w:rPr>
          <w:rFonts w:hint="default" w:ascii="Times New Roman" w:hAnsi="Times New Roman" w:eastAsia="仿宋" w:cs="Times New Roman"/>
          <w:snapToGrid w:val="0"/>
          <w:sz w:val="32"/>
          <w:szCs w:val="32"/>
          <w:shd w:val="clear" w:color="auto" w:fill="FFFFFF"/>
        </w:rPr>
      </w:pPr>
      <w:r>
        <w:rPr>
          <w:rFonts w:hint="default" w:ascii="Times New Roman" w:hAnsi="Times New Roman" w:eastAsia="仿宋_GB2312" w:cs="Times New Roman"/>
          <w:b/>
          <w:bCs/>
          <w:sz w:val="32"/>
          <w:szCs w:val="32"/>
        </w:rPr>
        <w:t>（八）工会事务支出</w:t>
      </w:r>
      <w:r>
        <w:rPr>
          <w:rFonts w:hint="default" w:ascii="Times New Roman" w:hAnsi="Times New Roman" w:eastAsia="仿宋" w:cs="Times New Roman"/>
          <w:snapToGrid w:val="0"/>
          <w:sz w:val="32"/>
          <w:szCs w:val="32"/>
          <w:shd w:val="clear" w:color="auto" w:fill="FFFFFF"/>
        </w:rPr>
        <w:t>1.6万元主要用于机关及下属事业单位工会缴费支出。</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color w:val="333333"/>
          <w:kern w:val="0"/>
          <w:sz w:val="32"/>
          <w:szCs w:val="32"/>
          <w:shd w:val="clear" w:color="auto" w:fill="FFFFFF"/>
        </w:rPr>
        <w:t>五、较上年度增减变化</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snapToGrid w:val="0"/>
          <w:sz w:val="32"/>
          <w:szCs w:val="32"/>
          <w:shd w:val="clear" w:color="auto" w:fill="FFFFFF"/>
        </w:rPr>
      </w:pPr>
      <w:r>
        <w:rPr>
          <w:rFonts w:hint="default" w:ascii="Times New Roman" w:hAnsi="Times New Roman" w:eastAsia="仿宋" w:cs="Times New Roman"/>
          <w:snapToGrid w:val="0"/>
          <w:sz w:val="32"/>
          <w:szCs w:val="32"/>
          <w:shd w:val="clear" w:color="auto" w:fill="FFFFFF"/>
        </w:rPr>
        <w:t>本年度预算拨款收入273.86万元较上年度预算206.32万元增加了33%，其中基本行政运行经费预算19.56万元，占全部总预算的7.1%，较上年15.08万元增加少了2.9%，原因人员变动；专项业务工作经费预算44.85万元，占总预算的16%，较上年预算38.10万元增加了17%，原因启动第三轮修志。人员经费预算209.45万元，占全部预算的76%，较上年153.14万元减少了36%，主要原因为人员变动人员经费减少。</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黑体" w:cs="Times New Roman"/>
          <w:color w:val="333333"/>
          <w:kern w:val="0"/>
          <w:sz w:val="32"/>
          <w:szCs w:val="32"/>
          <w:shd w:val="clear" w:color="auto" w:fill="FFFFFF"/>
        </w:rPr>
      </w:pPr>
      <w:r>
        <w:rPr>
          <w:rFonts w:hint="default" w:ascii="Times New Roman" w:hAnsi="Times New Roman" w:eastAsia="黑体" w:cs="Times New Roman"/>
          <w:color w:val="333333"/>
          <w:kern w:val="0"/>
          <w:sz w:val="32"/>
          <w:szCs w:val="32"/>
          <w:shd w:val="clear" w:color="auto" w:fill="FFFFFF"/>
        </w:rPr>
        <w:t>六、“三公”经费预算</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snapToGrid w:val="0"/>
          <w:sz w:val="32"/>
          <w:szCs w:val="32"/>
          <w:shd w:val="clear" w:color="auto" w:fill="FFFFFF"/>
        </w:rPr>
      </w:pPr>
      <w:r>
        <w:rPr>
          <w:rFonts w:hint="default" w:ascii="Times New Roman" w:hAnsi="Times New Roman" w:eastAsia="仿宋" w:cs="Times New Roman"/>
          <w:snapToGrid w:val="0"/>
          <w:sz w:val="32"/>
          <w:szCs w:val="32"/>
          <w:shd w:val="clear" w:color="auto" w:fill="FFFFFF"/>
        </w:rPr>
        <w:t>本年度三公经费预算安排支出为2.78万元，其中：出国费0万元，与上年持平，主要原因为未安排因公出国；公车购置费0元，与上年持平；公务用车维护费支出2,62万元，与上年持平原因严格执行“八项规定、六项禁令”；公务接待费0.16万元，比上年度减少0.04万元主要原因人员变动。本年度我们将严格执行“八项规定、六项禁令”，结合本年度工作需要，减少不必要的开支。</w:t>
      </w:r>
    </w:p>
    <w:p>
      <w:pPr>
        <w:keepNext w:val="0"/>
        <w:keepLines w:val="0"/>
        <w:pageBreakBefore w:val="0"/>
        <w:widowControl/>
        <w:shd w:val="clear" w:color="auto" w:fill="FFFFFF"/>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黑体" w:cs="Times New Roman"/>
          <w:color w:val="333333"/>
          <w:kern w:val="0"/>
          <w:sz w:val="32"/>
          <w:szCs w:val="32"/>
          <w:shd w:val="clear" w:color="auto" w:fill="FFFFFF"/>
        </w:rPr>
      </w:pPr>
      <w:r>
        <w:rPr>
          <w:rFonts w:hint="default" w:ascii="Times New Roman" w:hAnsi="Times New Roman" w:eastAsia="黑体" w:cs="Times New Roman"/>
          <w:color w:val="333333"/>
          <w:kern w:val="0"/>
          <w:sz w:val="32"/>
          <w:szCs w:val="32"/>
          <w:shd w:val="clear" w:color="auto" w:fill="FFFFFF"/>
        </w:rPr>
        <w:t>七、政府性基金预算收支情况说明</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snapToGrid w:val="0"/>
          <w:sz w:val="32"/>
          <w:szCs w:val="32"/>
          <w:shd w:val="clear" w:color="auto" w:fill="FFFFFF"/>
        </w:rPr>
      </w:pPr>
      <w:r>
        <w:rPr>
          <w:rFonts w:hint="default" w:ascii="Times New Roman" w:hAnsi="Times New Roman" w:eastAsia="仿宋" w:cs="Times New Roman"/>
          <w:snapToGrid w:val="0"/>
          <w:sz w:val="32"/>
          <w:szCs w:val="32"/>
          <w:shd w:val="clear" w:color="auto" w:fill="FFFFFF"/>
        </w:rPr>
        <w:t>2026年没有使用政府性基金预算拨款安排的支出。</w:t>
      </w:r>
    </w:p>
    <w:p>
      <w:pPr>
        <w:keepNext w:val="0"/>
        <w:keepLines w:val="0"/>
        <w:pageBreakBefore w:val="0"/>
        <w:widowControl/>
        <w:shd w:val="clear" w:color="auto" w:fill="FFFFFF"/>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黑体" w:cs="Times New Roman"/>
          <w:color w:val="333333"/>
          <w:kern w:val="0"/>
          <w:sz w:val="32"/>
          <w:szCs w:val="32"/>
          <w:shd w:val="clear" w:color="auto" w:fill="FFFFFF"/>
        </w:rPr>
      </w:pPr>
      <w:r>
        <w:rPr>
          <w:rFonts w:hint="default" w:ascii="Times New Roman" w:hAnsi="Times New Roman" w:eastAsia="黑体" w:cs="Times New Roman"/>
          <w:color w:val="333333"/>
          <w:kern w:val="0"/>
          <w:sz w:val="32"/>
          <w:szCs w:val="32"/>
          <w:shd w:val="clear" w:color="auto" w:fill="FFFFFF"/>
        </w:rPr>
        <w:t>八、国有资本经营预算收支情况说明</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 w:cs="Times New Roman"/>
          <w:snapToGrid w:val="0"/>
          <w:sz w:val="32"/>
          <w:szCs w:val="32"/>
          <w:shd w:val="clear" w:color="auto" w:fill="FFFFFF"/>
        </w:rPr>
        <w:t>2026年无使用国有资本经营预算拨款安排的支出。</w:t>
      </w:r>
    </w:p>
    <w:p>
      <w:pPr>
        <w:keepNext w:val="0"/>
        <w:keepLines w:val="0"/>
        <w:pageBreakBefore w:val="0"/>
        <w:widowControl/>
        <w:shd w:val="clear" w:color="auto" w:fill="FFFFFF"/>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黑体" w:cs="Times New Roman"/>
          <w:color w:val="333333"/>
          <w:kern w:val="0"/>
          <w:sz w:val="32"/>
          <w:szCs w:val="32"/>
          <w:shd w:val="clear" w:color="auto" w:fill="FFFFFF"/>
        </w:rPr>
      </w:pPr>
      <w:r>
        <w:rPr>
          <w:rFonts w:hint="default" w:ascii="Times New Roman" w:hAnsi="Times New Roman" w:eastAsia="黑体" w:cs="Times New Roman"/>
          <w:color w:val="333333"/>
          <w:kern w:val="0"/>
          <w:sz w:val="32"/>
          <w:szCs w:val="32"/>
          <w:shd w:val="clear" w:color="auto" w:fill="FFFFFF"/>
        </w:rPr>
        <w:t>九、其他重要事项的情况说明</w:t>
      </w:r>
    </w:p>
    <w:p>
      <w:pPr>
        <w:keepNext w:val="0"/>
        <w:keepLines w:val="0"/>
        <w:pageBreakBefore w:val="0"/>
        <w:widowControl/>
        <w:shd w:val="clear" w:color="auto" w:fill="FFFFFF"/>
        <w:kinsoku/>
        <w:wordWrap/>
        <w:overflowPunct/>
        <w:topLinePunct w:val="0"/>
        <w:autoSpaceDE/>
        <w:autoSpaceDN/>
        <w:bidi w:val="0"/>
        <w:spacing w:line="560" w:lineRule="exact"/>
        <w:ind w:firstLine="643" w:firstLineChars="200"/>
        <w:jc w:val="left"/>
        <w:textAlignment w:val="auto"/>
        <w:rPr>
          <w:rFonts w:hint="default" w:ascii="Times New Roman" w:hAnsi="Times New Roman" w:eastAsia="楷体_GB2312" w:cs="Times New Roman"/>
          <w:color w:val="333333"/>
          <w:kern w:val="0"/>
          <w:sz w:val="32"/>
          <w:szCs w:val="32"/>
          <w:shd w:val="clear" w:color="auto" w:fill="FFFFFF"/>
        </w:rPr>
      </w:pPr>
      <w:r>
        <w:rPr>
          <w:rFonts w:hint="default" w:ascii="Times New Roman" w:hAnsi="Times New Roman" w:eastAsia="楷体_GB2312" w:cs="Times New Roman"/>
          <w:b/>
          <w:bCs/>
          <w:color w:val="333333"/>
          <w:kern w:val="0"/>
          <w:sz w:val="32"/>
          <w:szCs w:val="32"/>
          <w:shd w:val="clear" w:color="auto" w:fill="FFFFFF"/>
        </w:rPr>
        <w:t>（一）政府采购预算情况</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snapToGrid w:val="0"/>
          <w:sz w:val="32"/>
          <w:szCs w:val="32"/>
          <w:shd w:val="clear" w:color="auto" w:fill="FFFFFF"/>
        </w:rPr>
      </w:pPr>
      <w:r>
        <w:rPr>
          <w:rFonts w:hint="default" w:ascii="Times New Roman" w:hAnsi="Times New Roman" w:eastAsia="仿宋" w:cs="Times New Roman"/>
          <w:snapToGrid w:val="0"/>
          <w:sz w:val="32"/>
          <w:szCs w:val="32"/>
          <w:shd w:val="clear" w:color="auto" w:fill="FFFFFF"/>
        </w:rPr>
        <w:t>2026年度安排政府采购预算0万元。</w:t>
      </w:r>
    </w:p>
    <w:p>
      <w:pPr>
        <w:keepNext w:val="0"/>
        <w:keepLines w:val="0"/>
        <w:pageBreakBefore w:val="0"/>
        <w:widowControl/>
        <w:shd w:val="clear" w:color="auto" w:fill="FFFFFF"/>
        <w:kinsoku/>
        <w:wordWrap/>
        <w:overflowPunct/>
        <w:topLinePunct w:val="0"/>
        <w:autoSpaceDE/>
        <w:autoSpaceDN/>
        <w:bidi w:val="0"/>
        <w:spacing w:line="560" w:lineRule="exact"/>
        <w:ind w:firstLine="643" w:firstLineChars="200"/>
        <w:jc w:val="left"/>
        <w:textAlignment w:val="auto"/>
        <w:rPr>
          <w:rFonts w:hint="default" w:ascii="Times New Roman" w:hAnsi="Times New Roman" w:eastAsia="楷体_GB2312" w:cs="Times New Roman"/>
          <w:b/>
          <w:bCs/>
          <w:color w:val="333333"/>
          <w:kern w:val="0"/>
          <w:sz w:val="32"/>
          <w:szCs w:val="32"/>
          <w:shd w:val="clear" w:color="auto" w:fill="FFFFFF"/>
        </w:rPr>
      </w:pPr>
      <w:r>
        <w:rPr>
          <w:rFonts w:hint="default" w:ascii="Times New Roman" w:hAnsi="Times New Roman" w:eastAsia="楷体_GB2312" w:cs="Times New Roman"/>
          <w:b/>
          <w:bCs/>
          <w:color w:val="333333"/>
          <w:kern w:val="0"/>
          <w:sz w:val="32"/>
          <w:szCs w:val="32"/>
          <w:shd w:val="clear" w:color="auto" w:fill="FFFFFF"/>
        </w:rPr>
        <w:t>（二）政府财政国有资产占用情况</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b/>
          <w:bCs/>
          <w:color w:val="333333"/>
          <w:kern w:val="0"/>
          <w:sz w:val="32"/>
          <w:szCs w:val="32"/>
          <w:shd w:val="clear" w:color="auto" w:fill="FFFFFF"/>
        </w:rPr>
      </w:pPr>
      <w:r>
        <w:rPr>
          <w:rFonts w:hint="default" w:ascii="Times New Roman" w:hAnsi="Times New Roman" w:eastAsia="仿宋" w:cs="Times New Roman"/>
          <w:snapToGrid w:val="0"/>
          <w:sz w:val="32"/>
          <w:szCs w:val="32"/>
          <w:shd w:val="clear" w:color="auto" w:fill="FFFFFF"/>
        </w:rPr>
        <w:t>截止2026年底，实际共有固定资产价值24.3万元：其中：公务用车9.14万元；通用设备13.2万元；桌椅类2万元。</w:t>
      </w:r>
    </w:p>
    <w:p>
      <w:pPr>
        <w:keepNext w:val="0"/>
        <w:keepLines w:val="0"/>
        <w:pageBreakBefore w:val="0"/>
        <w:widowControl/>
        <w:shd w:val="clear" w:color="auto" w:fill="FFFFFF"/>
        <w:kinsoku/>
        <w:wordWrap/>
        <w:overflowPunct/>
        <w:topLinePunct w:val="0"/>
        <w:autoSpaceDE/>
        <w:autoSpaceDN/>
        <w:bidi w:val="0"/>
        <w:spacing w:line="560" w:lineRule="exact"/>
        <w:jc w:val="left"/>
        <w:textAlignment w:val="auto"/>
        <w:rPr>
          <w:rFonts w:hint="default" w:ascii="Times New Roman" w:hAnsi="Times New Roman" w:eastAsia="仿宋_GB2312" w:cs="Times New Roman"/>
          <w:sz w:val="30"/>
          <w:szCs w:val="30"/>
        </w:rPr>
      </w:pPr>
      <w:r>
        <w:rPr>
          <w:rFonts w:hint="default" w:ascii="Times New Roman" w:hAnsi="Times New Roman" w:eastAsia="黑体" w:cs="Times New Roman"/>
          <w:b/>
          <w:bCs/>
          <w:color w:val="333333"/>
          <w:kern w:val="0"/>
          <w:sz w:val="32"/>
          <w:szCs w:val="32"/>
          <w:shd w:val="clear" w:color="auto" w:fill="FFFFFF"/>
        </w:rPr>
        <w:t>（三）绩效目标设置情况</w:t>
      </w:r>
    </w:p>
    <w:tbl>
      <w:tblPr>
        <w:tblStyle w:val="8"/>
        <w:tblW w:w="9061" w:type="dxa"/>
        <w:tblInd w:w="0" w:type="dxa"/>
        <w:tblLayout w:type="fixed"/>
        <w:tblCellMar>
          <w:top w:w="0" w:type="dxa"/>
          <w:left w:w="108" w:type="dxa"/>
          <w:bottom w:w="0" w:type="dxa"/>
          <w:right w:w="108" w:type="dxa"/>
        </w:tblCellMar>
      </w:tblPr>
      <w:tblGrid>
        <w:gridCol w:w="755"/>
        <w:gridCol w:w="539"/>
        <w:gridCol w:w="216"/>
        <w:gridCol w:w="755"/>
        <w:gridCol w:w="323"/>
        <w:gridCol w:w="431"/>
        <w:gridCol w:w="755"/>
        <w:gridCol w:w="108"/>
        <w:gridCol w:w="647"/>
        <w:gridCol w:w="647"/>
        <w:gridCol w:w="108"/>
        <w:gridCol w:w="755"/>
        <w:gridCol w:w="431"/>
        <w:gridCol w:w="324"/>
        <w:gridCol w:w="755"/>
        <w:gridCol w:w="215"/>
        <w:gridCol w:w="539"/>
        <w:gridCol w:w="758"/>
      </w:tblGrid>
      <w:tr>
        <w:tblPrEx>
          <w:tblLayout w:type="fixed"/>
          <w:tblCellMar>
            <w:top w:w="0" w:type="dxa"/>
            <w:left w:w="108" w:type="dxa"/>
            <w:bottom w:w="0" w:type="dxa"/>
            <w:right w:w="108" w:type="dxa"/>
          </w:tblCellMar>
        </w:tblPrEx>
        <w:trPr>
          <w:trHeight w:val="398" w:hRule="atLeast"/>
        </w:trPr>
        <w:tc>
          <w:tcPr>
            <w:tcW w:w="9061" w:type="dxa"/>
            <w:gridSpan w:val="18"/>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rPr>
                <w:rFonts w:hint="default" w:ascii="Times New Roman" w:hAnsi="Times New Roman" w:cs="Times New Roman"/>
                <w:b/>
                <w:bCs/>
                <w:color w:val="000000"/>
                <w:kern w:val="0"/>
                <w:sz w:val="30"/>
                <w:szCs w:val="30"/>
              </w:rPr>
            </w:pPr>
            <w:r>
              <w:rPr>
                <w:rFonts w:hint="default" w:ascii="Times New Roman" w:hAnsi="Times New Roman" w:cs="Times New Roman"/>
                <w:b/>
                <w:bCs/>
                <w:color w:val="000000"/>
                <w:kern w:val="0"/>
                <w:sz w:val="30"/>
                <w:szCs w:val="30"/>
              </w:rPr>
              <w:t>部门预算项目绩效目标表（2026年度）</w:t>
            </w:r>
          </w:p>
        </w:tc>
      </w:tr>
      <w:tr>
        <w:tblPrEx>
          <w:tblLayout w:type="fixed"/>
          <w:tblCellMar>
            <w:top w:w="0" w:type="dxa"/>
            <w:left w:w="108" w:type="dxa"/>
            <w:bottom w:w="0" w:type="dxa"/>
            <w:right w:w="108" w:type="dxa"/>
          </w:tblCellMar>
        </w:tblPrEx>
        <w:trPr>
          <w:trHeight w:val="342" w:hRule="atLeast"/>
        </w:trPr>
        <w:tc>
          <w:tcPr>
            <w:tcW w:w="1294" w:type="dxa"/>
            <w:gridSpan w:val="2"/>
            <w:tcBorders>
              <w:top w:val="single" w:color="FFFFFF" w:sz="4" w:space="0"/>
              <w:left w:val="single" w:color="FFFFFF" w:sz="4" w:space="0"/>
              <w:bottom w:val="nil"/>
              <w:right w:val="single" w:color="FFFFFF" w:sz="4" w:space="0"/>
            </w:tcBorders>
            <w:shd w:val="clear" w:color="auto" w:fill="auto"/>
            <w:vAlign w:val="center"/>
          </w:tcPr>
          <w:p>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294" w:type="dxa"/>
            <w:gridSpan w:val="3"/>
            <w:tcBorders>
              <w:top w:val="nil"/>
              <w:left w:val="nil"/>
              <w:bottom w:val="nil"/>
              <w:right w:val="single" w:color="FFFFFF" w:sz="4" w:space="0"/>
            </w:tcBorders>
            <w:shd w:val="clear" w:color="auto" w:fill="auto"/>
            <w:vAlign w:val="center"/>
          </w:tcPr>
          <w:p>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294" w:type="dxa"/>
            <w:gridSpan w:val="3"/>
            <w:tcBorders>
              <w:top w:val="nil"/>
              <w:left w:val="nil"/>
              <w:bottom w:val="nil"/>
              <w:right w:val="single" w:color="FFFFFF" w:sz="4" w:space="0"/>
            </w:tcBorders>
            <w:shd w:val="clear" w:color="auto" w:fill="auto"/>
            <w:vAlign w:val="center"/>
          </w:tcPr>
          <w:p>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294" w:type="dxa"/>
            <w:gridSpan w:val="2"/>
            <w:tcBorders>
              <w:top w:val="nil"/>
              <w:left w:val="nil"/>
              <w:bottom w:val="nil"/>
              <w:right w:val="single" w:color="FFFFFF" w:sz="4" w:space="0"/>
            </w:tcBorders>
            <w:shd w:val="clear" w:color="auto" w:fill="auto"/>
            <w:vAlign w:val="center"/>
          </w:tcPr>
          <w:p>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294" w:type="dxa"/>
            <w:gridSpan w:val="3"/>
            <w:tcBorders>
              <w:top w:val="nil"/>
              <w:left w:val="nil"/>
              <w:bottom w:val="nil"/>
              <w:right w:val="single" w:color="FFFFFF" w:sz="4" w:space="0"/>
            </w:tcBorders>
            <w:shd w:val="clear" w:color="auto" w:fill="auto"/>
            <w:vAlign w:val="center"/>
          </w:tcPr>
          <w:p>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294" w:type="dxa"/>
            <w:gridSpan w:val="3"/>
            <w:tcBorders>
              <w:top w:val="nil"/>
              <w:left w:val="nil"/>
              <w:bottom w:val="nil"/>
              <w:right w:val="single" w:color="FFFFFF" w:sz="4" w:space="0"/>
            </w:tcBorders>
            <w:shd w:val="clear" w:color="auto" w:fill="auto"/>
            <w:vAlign w:val="center"/>
          </w:tcPr>
          <w:p>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297" w:type="dxa"/>
            <w:gridSpan w:val="2"/>
            <w:tcBorders>
              <w:top w:val="single" w:color="FFFFFF" w:sz="4" w:space="0"/>
              <w:left w:val="nil"/>
              <w:bottom w:val="nil"/>
              <w:right w:val="single" w:color="FFFFFF" w:sz="4" w:space="0"/>
            </w:tcBorders>
            <w:shd w:val="clear" w:color="auto" w:fill="auto"/>
            <w:vAlign w:val="center"/>
          </w:tcPr>
          <w:p>
            <w:pPr>
              <w:widowControl/>
              <w:jc w:val="righ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金额单位：万元</w:t>
            </w:r>
          </w:p>
        </w:tc>
      </w:tr>
      <w:tr>
        <w:tblPrEx>
          <w:tblLayout w:type="fixed"/>
          <w:tblCellMar>
            <w:top w:w="0" w:type="dxa"/>
            <w:left w:w="108" w:type="dxa"/>
            <w:bottom w:w="0" w:type="dxa"/>
            <w:right w:w="108" w:type="dxa"/>
          </w:tblCellMar>
        </w:tblPrEx>
        <w:trPr>
          <w:trHeight w:val="428" w:hRule="atLeast"/>
        </w:trPr>
        <w:tc>
          <w:tcPr>
            <w:tcW w:w="755"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pPr>
              <w:widowControl/>
              <w:jc w:val="center"/>
              <w:rPr>
                <w:rFonts w:hint="default" w:ascii="Times New Roman" w:hAnsi="Times New Roman" w:cs="Times New Roman"/>
                <w:b/>
                <w:bCs/>
                <w:color w:val="000000"/>
                <w:kern w:val="0"/>
                <w:sz w:val="18"/>
                <w:szCs w:val="18"/>
              </w:rPr>
            </w:pPr>
            <w:r>
              <w:rPr>
                <w:rFonts w:hint="default" w:ascii="Times New Roman" w:hAnsi="Times New Roman" w:cs="Times New Roman"/>
                <w:b/>
                <w:bCs/>
                <w:color w:val="000000"/>
                <w:kern w:val="0"/>
                <w:sz w:val="18"/>
                <w:szCs w:val="18"/>
              </w:rPr>
              <w:t>单位名称</w:t>
            </w:r>
          </w:p>
        </w:tc>
        <w:tc>
          <w:tcPr>
            <w:tcW w:w="755" w:type="dxa"/>
            <w:gridSpan w:val="2"/>
            <w:tcBorders>
              <w:top w:val="single" w:color="000000" w:sz="4" w:space="0"/>
              <w:left w:val="nil"/>
              <w:bottom w:val="single" w:color="000000" w:sz="4" w:space="0"/>
              <w:right w:val="single" w:color="000000" w:sz="4" w:space="0"/>
            </w:tcBorders>
            <w:shd w:val="clear" w:color="EFF2F7" w:fill="EFF2F7"/>
            <w:noWrap/>
            <w:vAlign w:val="center"/>
          </w:tcPr>
          <w:p>
            <w:pPr>
              <w:widowControl/>
              <w:jc w:val="center"/>
              <w:rPr>
                <w:rFonts w:hint="default" w:ascii="Times New Roman" w:hAnsi="Times New Roman" w:cs="Times New Roman"/>
                <w:b/>
                <w:bCs/>
                <w:color w:val="000000"/>
                <w:kern w:val="0"/>
                <w:sz w:val="18"/>
                <w:szCs w:val="18"/>
              </w:rPr>
            </w:pPr>
            <w:r>
              <w:rPr>
                <w:rFonts w:hint="default" w:ascii="Times New Roman" w:hAnsi="Times New Roman" w:cs="Times New Roman"/>
                <w:b/>
                <w:bCs/>
                <w:color w:val="000000"/>
                <w:kern w:val="0"/>
                <w:sz w:val="18"/>
                <w:szCs w:val="18"/>
              </w:rPr>
              <w:t>项目名称</w:t>
            </w:r>
          </w:p>
        </w:tc>
        <w:tc>
          <w:tcPr>
            <w:tcW w:w="755" w:type="dxa"/>
            <w:tcBorders>
              <w:top w:val="single" w:color="000000" w:sz="4" w:space="0"/>
              <w:left w:val="nil"/>
              <w:bottom w:val="single" w:color="000000" w:sz="4" w:space="0"/>
              <w:right w:val="single" w:color="000000" w:sz="4" w:space="0"/>
            </w:tcBorders>
            <w:shd w:val="clear" w:color="EFF2F7" w:fill="EFF2F7"/>
            <w:noWrap/>
            <w:vAlign w:val="center"/>
          </w:tcPr>
          <w:p>
            <w:pPr>
              <w:widowControl/>
              <w:jc w:val="center"/>
              <w:rPr>
                <w:rFonts w:hint="default" w:ascii="Times New Roman" w:hAnsi="Times New Roman" w:cs="Times New Roman"/>
                <w:b/>
                <w:bCs/>
                <w:color w:val="000000"/>
                <w:kern w:val="0"/>
                <w:sz w:val="18"/>
                <w:szCs w:val="18"/>
              </w:rPr>
            </w:pPr>
            <w:r>
              <w:rPr>
                <w:rFonts w:hint="default" w:ascii="Times New Roman" w:hAnsi="Times New Roman" w:cs="Times New Roman"/>
                <w:b/>
                <w:bCs/>
                <w:color w:val="000000"/>
                <w:kern w:val="0"/>
                <w:sz w:val="18"/>
                <w:szCs w:val="18"/>
              </w:rPr>
              <w:t>预算数</w:t>
            </w:r>
          </w:p>
        </w:tc>
        <w:tc>
          <w:tcPr>
            <w:tcW w:w="754" w:type="dxa"/>
            <w:gridSpan w:val="2"/>
            <w:tcBorders>
              <w:top w:val="single" w:color="000000" w:sz="4" w:space="0"/>
              <w:left w:val="nil"/>
              <w:bottom w:val="single" w:color="000000" w:sz="4" w:space="0"/>
              <w:right w:val="single" w:color="000000" w:sz="4" w:space="0"/>
            </w:tcBorders>
            <w:shd w:val="clear" w:color="EFF2F7" w:fill="EFF2F7"/>
            <w:noWrap/>
            <w:vAlign w:val="center"/>
          </w:tcPr>
          <w:p>
            <w:pPr>
              <w:widowControl/>
              <w:jc w:val="center"/>
              <w:rPr>
                <w:rFonts w:hint="default" w:ascii="Times New Roman" w:hAnsi="Times New Roman" w:cs="Times New Roman"/>
                <w:b/>
                <w:bCs/>
                <w:color w:val="000000"/>
                <w:kern w:val="0"/>
                <w:sz w:val="18"/>
                <w:szCs w:val="18"/>
              </w:rPr>
            </w:pPr>
            <w:r>
              <w:rPr>
                <w:rFonts w:hint="default" w:ascii="Times New Roman" w:hAnsi="Times New Roman" w:cs="Times New Roman"/>
                <w:b/>
                <w:bCs/>
                <w:color w:val="000000"/>
                <w:kern w:val="0"/>
                <w:sz w:val="18"/>
                <w:szCs w:val="18"/>
              </w:rPr>
              <w:t>年度目标</w:t>
            </w:r>
          </w:p>
        </w:tc>
        <w:tc>
          <w:tcPr>
            <w:tcW w:w="755" w:type="dxa"/>
            <w:tcBorders>
              <w:top w:val="single" w:color="000000" w:sz="4" w:space="0"/>
              <w:left w:val="nil"/>
              <w:bottom w:val="single" w:color="000000" w:sz="4" w:space="0"/>
              <w:right w:val="single" w:color="000000" w:sz="4" w:space="0"/>
            </w:tcBorders>
            <w:shd w:val="clear" w:color="EFF2F7" w:fill="EFF2F7"/>
            <w:noWrap/>
            <w:vAlign w:val="center"/>
          </w:tcPr>
          <w:p>
            <w:pPr>
              <w:widowControl/>
              <w:jc w:val="center"/>
              <w:rPr>
                <w:rFonts w:hint="default" w:ascii="Times New Roman" w:hAnsi="Times New Roman" w:cs="Times New Roman"/>
                <w:b/>
                <w:bCs/>
                <w:color w:val="000000"/>
                <w:kern w:val="0"/>
                <w:sz w:val="18"/>
                <w:szCs w:val="18"/>
              </w:rPr>
            </w:pPr>
            <w:r>
              <w:rPr>
                <w:rFonts w:hint="default" w:ascii="Times New Roman" w:hAnsi="Times New Roman" w:cs="Times New Roman"/>
                <w:b/>
                <w:bCs/>
                <w:color w:val="000000"/>
                <w:kern w:val="0"/>
                <w:sz w:val="18"/>
                <w:szCs w:val="18"/>
              </w:rPr>
              <w:t>一级指标</w:t>
            </w:r>
          </w:p>
        </w:tc>
        <w:tc>
          <w:tcPr>
            <w:tcW w:w="755" w:type="dxa"/>
            <w:gridSpan w:val="2"/>
            <w:tcBorders>
              <w:top w:val="single" w:color="000000" w:sz="4" w:space="0"/>
              <w:left w:val="nil"/>
              <w:bottom w:val="single" w:color="000000" w:sz="4" w:space="0"/>
              <w:right w:val="single" w:color="000000" w:sz="4" w:space="0"/>
            </w:tcBorders>
            <w:shd w:val="clear" w:color="EFF2F7" w:fill="EFF2F7"/>
            <w:noWrap/>
            <w:vAlign w:val="center"/>
          </w:tcPr>
          <w:p>
            <w:pPr>
              <w:widowControl/>
              <w:jc w:val="center"/>
              <w:rPr>
                <w:rFonts w:hint="default" w:ascii="Times New Roman" w:hAnsi="Times New Roman" w:cs="Times New Roman"/>
                <w:b/>
                <w:bCs/>
                <w:color w:val="000000"/>
                <w:kern w:val="0"/>
                <w:sz w:val="18"/>
                <w:szCs w:val="18"/>
              </w:rPr>
            </w:pPr>
            <w:r>
              <w:rPr>
                <w:rFonts w:hint="default" w:ascii="Times New Roman" w:hAnsi="Times New Roman" w:cs="Times New Roman"/>
                <w:b/>
                <w:bCs/>
                <w:color w:val="000000"/>
                <w:kern w:val="0"/>
                <w:sz w:val="18"/>
                <w:szCs w:val="18"/>
              </w:rPr>
              <w:t>二级指标</w:t>
            </w:r>
          </w:p>
        </w:tc>
        <w:tc>
          <w:tcPr>
            <w:tcW w:w="755" w:type="dxa"/>
            <w:gridSpan w:val="2"/>
            <w:tcBorders>
              <w:top w:val="single" w:color="000000" w:sz="4" w:space="0"/>
              <w:left w:val="nil"/>
              <w:bottom w:val="single" w:color="000000" w:sz="4" w:space="0"/>
              <w:right w:val="single" w:color="000000" w:sz="4" w:space="0"/>
            </w:tcBorders>
            <w:shd w:val="clear" w:color="EFF2F7" w:fill="EFF2F7"/>
            <w:noWrap/>
            <w:vAlign w:val="center"/>
          </w:tcPr>
          <w:p>
            <w:pPr>
              <w:widowControl/>
              <w:jc w:val="center"/>
              <w:rPr>
                <w:rFonts w:hint="default" w:ascii="Times New Roman" w:hAnsi="Times New Roman" w:cs="Times New Roman"/>
                <w:b/>
                <w:bCs/>
                <w:color w:val="000000"/>
                <w:kern w:val="0"/>
                <w:sz w:val="18"/>
                <w:szCs w:val="18"/>
              </w:rPr>
            </w:pPr>
            <w:r>
              <w:rPr>
                <w:rFonts w:hint="default" w:ascii="Times New Roman" w:hAnsi="Times New Roman" w:cs="Times New Roman"/>
                <w:b/>
                <w:bCs/>
                <w:color w:val="000000"/>
                <w:kern w:val="0"/>
                <w:sz w:val="18"/>
                <w:szCs w:val="18"/>
              </w:rPr>
              <w:t>三级指标</w:t>
            </w:r>
          </w:p>
        </w:tc>
        <w:tc>
          <w:tcPr>
            <w:tcW w:w="755" w:type="dxa"/>
            <w:tcBorders>
              <w:top w:val="single" w:color="000000" w:sz="4" w:space="0"/>
              <w:left w:val="nil"/>
              <w:bottom w:val="single" w:color="000000" w:sz="4" w:space="0"/>
              <w:right w:val="single" w:color="000000" w:sz="4" w:space="0"/>
            </w:tcBorders>
            <w:shd w:val="clear" w:color="EFF2F7" w:fill="EFF2F7"/>
            <w:noWrap/>
            <w:vAlign w:val="center"/>
          </w:tcPr>
          <w:p>
            <w:pPr>
              <w:widowControl/>
              <w:jc w:val="center"/>
              <w:rPr>
                <w:rFonts w:hint="default" w:ascii="Times New Roman" w:hAnsi="Times New Roman" w:cs="Times New Roman"/>
                <w:b/>
                <w:bCs/>
                <w:color w:val="000000"/>
                <w:kern w:val="0"/>
                <w:sz w:val="18"/>
                <w:szCs w:val="18"/>
              </w:rPr>
            </w:pPr>
            <w:r>
              <w:rPr>
                <w:rFonts w:hint="default" w:ascii="Times New Roman" w:hAnsi="Times New Roman" w:cs="Times New Roman"/>
                <w:b/>
                <w:bCs/>
                <w:color w:val="000000"/>
                <w:kern w:val="0"/>
                <w:sz w:val="18"/>
                <w:szCs w:val="18"/>
              </w:rPr>
              <w:t>指标性质</w:t>
            </w:r>
          </w:p>
        </w:tc>
        <w:tc>
          <w:tcPr>
            <w:tcW w:w="755" w:type="dxa"/>
            <w:gridSpan w:val="2"/>
            <w:tcBorders>
              <w:top w:val="single" w:color="000000" w:sz="4" w:space="0"/>
              <w:left w:val="nil"/>
              <w:bottom w:val="single" w:color="000000" w:sz="4" w:space="0"/>
              <w:right w:val="single" w:color="000000" w:sz="4" w:space="0"/>
            </w:tcBorders>
            <w:shd w:val="clear" w:color="EFF2F7" w:fill="EFF2F7"/>
            <w:noWrap/>
            <w:vAlign w:val="center"/>
          </w:tcPr>
          <w:p>
            <w:pPr>
              <w:widowControl/>
              <w:jc w:val="center"/>
              <w:rPr>
                <w:rFonts w:hint="default" w:ascii="Times New Roman" w:hAnsi="Times New Roman" w:cs="Times New Roman"/>
                <w:b/>
                <w:bCs/>
                <w:color w:val="000000"/>
                <w:kern w:val="0"/>
                <w:sz w:val="18"/>
                <w:szCs w:val="18"/>
              </w:rPr>
            </w:pPr>
            <w:r>
              <w:rPr>
                <w:rFonts w:hint="default" w:ascii="Times New Roman" w:hAnsi="Times New Roman" w:cs="Times New Roman"/>
                <w:b/>
                <w:bCs/>
                <w:color w:val="000000"/>
                <w:kern w:val="0"/>
                <w:sz w:val="18"/>
                <w:szCs w:val="18"/>
              </w:rPr>
              <w:t>指标值</w:t>
            </w:r>
          </w:p>
        </w:tc>
        <w:tc>
          <w:tcPr>
            <w:tcW w:w="755" w:type="dxa"/>
            <w:tcBorders>
              <w:top w:val="single" w:color="000000" w:sz="4" w:space="0"/>
              <w:left w:val="nil"/>
              <w:bottom w:val="single" w:color="000000" w:sz="4" w:space="0"/>
              <w:right w:val="single" w:color="000000" w:sz="4" w:space="0"/>
            </w:tcBorders>
            <w:shd w:val="clear" w:color="EFF2F7" w:fill="EFF2F7"/>
            <w:noWrap/>
            <w:vAlign w:val="center"/>
          </w:tcPr>
          <w:p>
            <w:pPr>
              <w:widowControl/>
              <w:jc w:val="center"/>
              <w:rPr>
                <w:rFonts w:hint="default" w:ascii="Times New Roman" w:hAnsi="Times New Roman" w:cs="Times New Roman"/>
                <w:b/>
                <w:bCs/>
                <w:color w:val="000000"/>
                <w:kern w:val="0"/>
                <w:sz w:val="18"/>
                <w:szCs w:val="18"/>
              </w:rPr>
            </w:pPr>
            <w:r>
              <w:rPr>
                <w:rFonts w:hint="default" w:ascii="Times New Roman" w:hAnsi="Times New Roman" w:cs="Times New Roman"/>
                <w:b/>
                <w:bCs/>
                <w:color w:val="000000"/>
                <w:kern w:val="0"/>
                <w:sz w:val="18"/>
                <w:szCs w:val="18"/>
              </w:rPr>
              <w:t>度量单位</w:t>
            </w:r>
          </w:p>
        </w:tc>
        <w:tc>
          <w:tcPr>
            <w:tcW w:w="754" w:type="dxa"/>
            <w:gridSpan w:val="2"/>
            <w:tcBorders>
              <w:top w:val="single" w:color="000000" w:sz="4" w:space="0"/>
              <w:left w:val="nil"/>
              <w:bottom w:val="single" w:color="000000" w:sz="4" w:space="0"/>
              <w:right w:val="single" w:color="000000" w:sz="4" w:space="0"/>
            </w:tcBorders>
            <w:shd w:val="clear" w:color="EFF2F7" w:fill="EFF2F7"/>
            <w:noWrap/>
            <w:vAlign w:val="center"/>
          </w:tcPr>
          <w:p>
            <w:pPr>
              <w:widowControl/>
              <w:jc w:val="center"/>
              <w:rPr>
                <w:rFonts w:hint="default" w:ascii="Times New Roman" w:hAnsi="Times New Roman" w:cs="Times New Roman"/>
                <w:b/>
                <w:bCs/>
                <w:color w:val="000000"/>
                <w:kern w:val="0"/>
                <w:sz w:val="18"/>
                <w:szCs w:val="18"/>
              </w:rPr>
            </w:pPr>
            <w:r>
              <w:rPr>
                <w:rFonts w:hint="default" w:ascii="Times New Roman" w:hAnsi="Times New Roman" w:cs="Times New Roman"/>
                <w:b/>
                <w:bCs/>
                <w:color w:val="000000"/>
                <w:kern w:val="0"/>
                <w:sz w:val="18"/>
                <w:szCs w:val="18"/>
              </w:rPr>
              <w:t>权重</w:t>
            </w:r>
          </w:p>
        </w:tc>
        <w:tc>
          <w:tcPr>
            <w:tcW w:w="758" w:type="dxa"/>
            <w:tcBorders>
              <w:top w:val="single" w:color="000000" w:sz="4" w:space="0"/>
              <w:left w:val="nil"/>
              <w:bottom w:val="single" w:color="000000" w:sz="4" w:space="0"/>
              <w:right w:val="single" w:color="000000" w:sz="4" w:space="0"/>
            </w:tcBorders>
            <w:shd w:val="clear" w:color="EFF2F7" w:fill="EFF2F7"/>
            <w:noWrap/>
            <w:vAlign w:val="center"/>
          </w:tcPr>
          <w:p>
            <w:pPr>
              <w:widowControl/>
              <w:jc w:val="center"/>
              <w:rPr>
                <w:rFonts w:hint="default" w:ascii="Times New Roman" w:hAnsi="Times New Roman" w:cs="Times New Roman"/>
                <w:b/>
                <w:bCs/>
                <w:color w:val="000000"/>
                <w:kern w:val="0"/>
                <w:sz w:val="18"/>
                <w:szCs w:val="18"/>
              </w:rPr>
            </w:pPr>
            <w:r>
              <w:rPr>
                <w:rFonts w:hint="default" w:ascii="Times New Roman" w:hAnsi="Times New Roman" w:cs="Times New Roman"/>
                <w:b/>
                <w:bCs/>
                <w:color w:val="000000"/>
                <w:kern w:val="0"/>
                <w:sz w:val="18"/>
                <w:szCs w:val="18"/>
              </w:rPr>
              <w:t>指标方向性</w:t>
            </w:r>
          </w:p>
        </w:tc>
      </w:tr>
      <w:tr>
        <w:tblPrEx>
          <w:tblLayout w:type="fixed"/>
          <w:tblCellMar>
            <w:top w:w="0" w:type="dxa"/>
            <w:left w:w="108" w:type="dxa"/>
            <w:bottom w:w="0" w:type="dxa"/>
            <w:right w:w="108" w:type="dxa"/>
          </w:tblCellMar>
        </w:tblPrEx>
        <w:trPr>
          <w:trHeight w:val="454" w:hRule="atLeast"/>
        </w:trPr>
        <w:tc>
          <w:tcPr>
            <w:tcW w:w="755"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151- 红原县党史研究和地方志编纂中心</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755" w:type="dxa"/>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64.41</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r>
      <w:tr>
        <w:tblPrEx>
          <w:tblLayout w:type="fixed"/>
          <w:tblCellMar>
            <w:top w:w="0" w:type="dxa"/>
            <w:left w:w="108" w:type="dxa"/>
            <w:bottom w:w="0" w:type="dxa"/>
            <w:right w:w="108" w:type="dxa"/>
          </w:tblCellMar>
        </w:tblPrEx>
        <w:trPr>
          <w:trHeight w:val="454" w:hRule="atLeast"/>
        </w:trPr>
        <w:tc>
          <w:tcPr>
            <w:tcW w:w="75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151001-红原县党史研究和地方志编纂中心</w:t>
            </w:r>
          </w:p>
        </w:tc>
        <w:tc>
          <w:tcPr>
            <w:tcW w:w="755"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执政实录</w:t>
            </w:r>
          </w:p>
        </w:tc>
        <w:tc>
          <w:tcPr>
            <w:tcW w:w="75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9.20</w:t>
            </w:r>
          </w:p>
        </w:tc>
        <w:tc>
          <w:tcPr>
            <w:tcW w:w="754"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编纂出版红原县执政实录</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产出指标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质量指标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编纂印刷完成率</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100</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正向指标</w:t>
            </w:r>
          </w:p>
        </w:tc>
      </w:tr>
      <w:tr>
        <w:tblPrEx>
          <w:tblLayout w:type="fixed"/>
          <w:tblCellMar>
            <w:top w:w="0" w:type="dxa"/>
            <w:left w:w="108" w:type="dxa"/>
            <w:bottom w:w="0" w:type="dxa"/>
            <w:right w:w="108" w:type="dxa"/>
          </w:tblCellMar>
        </w:tblPrEx>
        <w:trPr>
          <w:trHeight w:val="454"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社会效益指标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存史</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定性</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完整保存资料</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正向指标</w:t>
            </w:r>
          </w:p>
        </w:tc>
      </w:tr>
      <w:tr>
        <w:tblPrEx>
          <w:tblLayout w:type="fixed"/>
          <w:tblCellMar>
            <w:top w:w="0" w:type="dxa"/>
            <w:left w:w="108" w:type="dxa"/>
            <w:bottom w:w="0" w:type="dxa"/>
            <w:right w:w="108" w:type="dxa"/>
          </w:tblCellMar>
        </w:tblPrEx>
        <w:trPr>
          <w:trHeight w:val="679"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满意度指标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服务对象满意度指标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群众满意度</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90</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正向指标</w:t>
            </w:r>
          </w:p>
        </w:tc>
      </w:tr>
      <w:tr>
        <w:tblPrEx>
          <w:tblLayout w:type="fixed"/>
          <w:tblCellMar>
            <w:top w:w="0" w:type="dxa"/>
            <w:left w:w="108" w:type="dxa"/>
            <w:bottom w:w="0" w:type="dxa"/>
            <w:right w:w="108" w:type="dxa"/>
          </w:tblCellMar>
        </w:tblPrEx>
        <w:trPr>
          <w:trHeight w:val="679"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产出指标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数量指标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编纂出版红原县执政实录</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200</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册</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正向指标</w:t>
            </w:r>
          </w:p>
        </w:tc>
      </w:tr>
      <w:tr>
        <w:tblPrEx>
          <w:tblLayout w:type="fixed"/>
          <w:tblCellMar>
            <w:top w:w="0" w:type="dxa"/>
            <w:left w:w="108" w:type="dxa"/>
            <w:bottom w:w="0" w:type="dxa"/>
            <w:right w:w="108" w:type="dxa"/>
          </w:tblCellMar>
        </w:tblPrEx>
        <w:trPr>
          <w:trHeight w:val="679"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社会效益指标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为政府制定政策制度提供文字资料</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定性</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优</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正向指标</w:t>
            </w:r>
          </w:p>
        </w:tc>
      </w:tr>
      <w:tr>
        <w:tblPrEx>
          <w:tblLayout w:type="fixed"/>
          <w:tblCellMar>
            <w:top w:w="0" w:type="dxa"/>
            <w:left w:w="108" w:type="dxa"/>
            <w:bottom w:w="0" w:type="dxa"/>
            <w:right w:w="108" w:type="dxa"/>
          </w:tblCellMar>
        </w:tblPrEx>
        <w:trPr>
          <w:trHeight w:val="454"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成本指标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经济成本指标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编纂印刷费</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9500</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元</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正向指标</w:t>
            </w:r>
          </w:p>
        </w:tc>
      </w:tr>
      <w:tr>
        <w:tblPrEx>
          <w:tblLayout w:type="fixed"/>
          <w:tblCellMar>
            <w:top w:w="0" w:type="dxa"/>
            <w:left w:w="108" w:type="dxa"/>
            <w:bottom w:w="0" w:type="dxa"/>
            <w:right w:w="108" w:type="dxa"/>
          </w:tblCellMar>
        </w:tblPrEx>
        <w:trPr>
          <w:trHeight w:val="454"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满意度指标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满意度指标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查阅资料满意度</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85</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正向指标</w:t>
            </w:r>
          </w:p>
        </w:tc>
      </w:tr>
      <w:tr>
        <w:tblPrEx>
          <w:tblLayout w:type="fixed"/>
          <w:tblCellMar>
            <w:top w:w="0" w:type="dxa"/>
            <w:left w:w="108" w:type="dxa"/>
            <w:bottom w:w="0" w:type="dxa"/>
            <w:right w:w="108" w:type="dxa"/>
          </w:tblCellMar>
        </w:tblPrEx>
        <w:trPr>
          <w:trHeight w:val="454"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口述历史</w:t>
            </w:r>
          </w:p>
        </w:tc>
        <w:tc>
          <w:tcPr>
            <w:tcW w:w="75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14.95</w:t>
            </w:r>
          </w:p>
        </w:tc>
        <w:tc>
          <w:tcPr>
            <w:tcW w:w="754"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拍摄口述历史　</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社会效益指标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弘扬传统文化</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定性</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优</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正向指标</w:t>
            </w:r>
          </w:p>
        </w:tc>
      </w:tr>
      <w:tr>
        <w:tblPrEx>
          <w:tblLayout w:type="fixed"/>
          <w:tblCellMar>
            <w:top w:w="0" w:type="dxa"/>
            <w:left w:w="108" w:type="dxa"/>
            <w:bottom w:w="0" w:type="dxa"/>
            <w:right w:w="108" w:type="dxa"/>
          </w:tblCellMar>
        </w:tblPrEx>
        <w:trPr>
          <w:trHeight w:val="424"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产出指标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质量指标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拍摄进度</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90</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正向指标</w:t>
            </w:r>
          </w:p>
        </w:tc>
      </w:tr>
      <w:tr>
        <w:tblPrEx>
          <w:tblLayout w:type="fixed"/>
          <w:tblCellMar>
            <w:top w:w="0" w:type="dxa"/>
            <w:left w:w="108" w:type="dxa"/>
            <w:bottom w:w="0" w:type="dxa"/>
            <w:right w:w="108" w:type="dxa"/>
          </w:tblCellMar>
        </w:tblPrEx>
        <w:trPr>
          <w:trHeight w:val="679"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满意度指标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服务对象满意度指标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群众满意度</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95</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正向指标</w:t>
            </w:r>
          </w:p>
        </w:tc>
      </w:tr>
      <w:tr>
        <w:tblPrEx>
          <w:tblLayout w:type="fixed"/>
          <w:tblCellMar>
            <w:top w:w="0" w:type="dxa"/>
            <w:left w:w="108" w:type="dxa"/>
            <w:bottom w:w="0" w:type="dxa"/>
            <w:right w:w="108" w:type="dxa"/>
          </w:tblCellMar>
        </w:tblPrEx>
        <w:trPr>
          <w:trHeight w:val="454"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成本指标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经济成本指标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拍摄经费</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180000</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元</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正向指标</w:t>
            </w:r>
          </w:p>
        </w:tc>
      </w:tr>
      <w:tr>
        <w:tblPrEx>
          <w:tblLayout w:type="fixed"/>
          <w:tblCellMar>
            <w:top w:w="0" w:type="dxa"/>
            <w:left w:w="108" w:type="dxa"/>
            <w:bottom w:w="0" w:type="dxa"/>
            <w:right w:w="108" w:type="dxa"/>
          </w:tblCellMar>
        </w:tblPrEx>
        <w:trPr>
          <w:trHeight w:val="454"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满意度指标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满意度指标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传统文化工作者满意度</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80</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正向指标</w:t>
            </w:r>
          </w:p>
        </w:tc>
      </w:tr>
      <w:tr>
        <w:tblPrEx>
          <w:tblLayout w:type="fixed"/>
          <w:tblCellMar>
            <w:top w:w="0" w:type="dxa"/>
            <w:left w:w="108" w:type="dxa"/>
            <w:bottom w:w="0" w:type="dxa"/>
            <w:right w:w="108" w:type="dxa"/>
          </w:tblCellMar>
        </w:tblPrEx>
        <w:trPr>
          <w:trHeight w:val="454"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产出指标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数量指标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拍摄口述历史1部</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部</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正向指标</w:t>
            </w:r>
          </w:p>
        </w:tc>
      </w:tr>
      <w:tr>
        <w:tblPrEx>
          <w:tblLayout w:type="fixed"/>
          <w:tblCellMar>
            <w:top w:w="0" w:type="dxa"/>
            <w:left w:w="108" w:type="dxa"/>
            <w:bottom w:w="0" w:type="dxa"/>
            <w:right w:w="108" w:type="dxa"/>
          </w:tblCellMar>
        </w:tblPrEx>
        <w:trPr>
          <w:trHeight w:val="454"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产出指标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时效指标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按时完成既定目标</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次/年</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正向指标</w:t>
            </w:r>
          </w:p>
        </w:tc>
      </w:tr>
      <w:tr>
        <w:tblPrEx>
          <w:tblLayout w:type="fixed"/>
          <w:tblCellMar>
            <w:top w:w="0" w:type="dxa"/>
            <w:left w:w="108" w:type="dxa"/>
            <w:bottom w:w="0" w:type="dxa"/>
            <w:right w:w="108" w:type="dxa"/>
          </w:tblCellMar>
        </w:tblPrEx>
        <w:trPr>
          <w:trHeight w:val="454"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社会效益指标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有效完整保存红原文化</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90</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正向指标</w:t>
            </w:r>
          </w:p>
        </w:tc>
      </w:tr>
      <w:tr>
        <w:tblPrEx>
          <w:tblLayout w:type="fixed"/>
          <w:tblCellMar>
            <w:top w:w="0" w:type="dxa"/>
            <w:left w:w="108" w:type="dxa"/>
            <w:bottom w:w="0" w:type="dxa"/>
            <w:right w:w="108" w:type="dxa"/>
          </w:tblCellMar>
        </w:tblPrEx>
        <w:trPr>
          <w:trHeight w:val="454"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红原年鉴</w:t>
            </w:r>
          </w:p>
        </w:tc>
        <w:tc>
          <w:tcPr>
            <w:tcW w:w="75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7.60</w:t>
            </w:r>
          </w:p>
        </w:tc>
        <w:tc>
          <w:tcPr>
            <w:tcW w:w="754"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编纂印刷红原县年鉴</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成本指标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经济成本指标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编纂印刷经费</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150000</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元</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正向指标</w:t>
            </w:r>
          </w:p>
        </w:tc>
      </w:tr>
      <w:tr>
        <w:tblPrEx>
          <w:tblLayout w:type="fixed"/>
          <w:tblCellMar>
            <w:top w:w="0" w:type="dxa"/>
            <w:left w:w="108" w:type="dxa"/>
            <w:bottom w:w="0" w:type="dxa"/>
            <w:right w:w="108" w:type="dxa"/>
          </w:tblCellMar>
        </w:tblPrEx>
        <w:trPr>
          <w:trHeight w:val="454"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满意度指标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满意度指标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资料查阅满意度</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90</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正向指标</w:t>
            </w:r>
          </w:p>
        </w:tc>
      </w:tr>
      <w:tr>
        <w:tblPrEx>
          <w:tblLayout w:type="fixed"/>
          <w:tblCellMar>
            <w:top w:w="0" w:type="dxa"/>
            <w:left w:w="108" w:type="dxa"/>
            <w:bottom w:w="0" w:type="dxa"/>
            <w:right w:w="108" w:type="dxa"/>
          </w:tblCellMar>
        </w:tblPrEx>
        <w:trPr>
          <w:trHeight w:val="679"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满意度指标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服务对象满意度指标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群众满意度</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95</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正向指标</w:t>
            </w:r>
          </w:p>
        </w:tc>
      </w:tr>
      <w:tr>
        <w:tblPrEx>
          <w:tblLayout w:type="fixed"/>
          <w:tblCellMar>
            <w:top w:w="0" w:type="dxa"/>
            <w:left w:w="108" w:type="dxa"/>
            <w:bottom w:w="0" w:type="dxa"/>
            <w:right w:w="108" w:type="dxa"/>
          </w:tblCellMar>
        </w:tblPrEx>
        <w:trPr>
          <w:trHeight w:val="454"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产出指标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数量指标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编纂出版红原县年鉴</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100</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册/期</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正向指标</w:t>
            </w:r>
          </w:p>
        </w:tc>
      </w:tr>
      <w:tr>
        <w:tblPrEx>
          <w:tblLayout w:type="fixed"/>
          <w:tblCellMar>
            <w:top w:w="0" w:type="dxa"/>
            <w:left w:w="108" w:type="dxa"/>
            <w:bottom w:w="0" w:type="dxa"/>
            <w:right w:w="108" w:type="dxa"/>
          </w:tblCellMar>
        </w:tblPrEx>
        <w:trPr>
          <w:trHeight w:val="679"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社会效益指标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为政府制度政策制度提供文字资料</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定性</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优</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正向指标</w:t>
            </w:r>
          </w:p>
        </w:tc>
      </w:tr>
      <w:tr>
        <w:tblPrEx>
          <w:tblLayout w:type="fixed"/>
          <w:tblCellMar>
            <w:top w:w="0" w:type="dxa"/>
            <w:left w:w="108" w:type="dxa"/>
            <w:bottom w:w="0" w:type="dxa"/>
            <w:right w:w="108" w:type="dxa"/>
          </w:tblCellMar>
        </w:tblPrEx>
        <w:trPr>
          <w:trHeight w:val="454"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社会效益指标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存史</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定性</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完整保存资料</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正向指标</w:t>
            </w:r>
          </w:p>
        </w:tc>
      </w:tr>
      <w:tr>
        <w:tblPrEx>
          <w:tblLayout w:type="fixed"/>
          <w:tblCellMar>
            <w:top w:w="0" w:type="dxa"/>
            <w:left w:w="108" w:type="dxa"/>
            <w:bottom w:w="0" w:type="dxa"/>
            <w:right w:w="108" w:type="dxa"/>
          </w:tblCellMar>
        </w:tblPrEx>
        <w:trPr>
          <w:trHeight w:val="454"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产出指标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质量指标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编纂印刷完成率</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100</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正向指标</w:t>
            </w:r>
          </w:p>
        </w:tc>
      </w:tr>
      <w:tr>
        <w:tblPrEx>
          <w:tblLayout w:type="fixed"/>
          <w:tblCellMar>
            <w:top w:w="0" w:type="dxa"/>
            <w:left w:w="108" w:type="dxa"/>
            <w:bottom w:w="0" w:type="dxa"/>
            <w:right w:w="108" w:type="dxa"/>
          </w:tblCellMar>
        </w:tblPrEx>
        <w:trPr>
          <w:trHeight w:val="454"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党建群众工作经费</w:t>
            </w:r>
          </w:p>
        </w:tc>
        <w:tc>
          <w:tcPr>
            <w:tcW w:w="75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1.33</w:t>
            </w:r>
          </w:p>
        </w:tc>
        <w:tc>
          <w:tcPr>
            <w:tcW w:w="754"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提高预算编制质量，严格执行预算，保障单位日常运转。</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产出指标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数量指标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科目调整次数</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次</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反向指标</w:t>
            </w:r>
          </w:p>
        </w:tc>
      </w:tr>
      <w:tr>
        <w:tblPrEx>
          <w:tblLayout w:type="fixed"/>
          <w:tblCellMar>
            <w:top w:w="0" w:type="dxa"/>
            <w:left w:w="108" w:type="dxa"/>
            <w:bottom w:w="0" w:type="dxa"/>
            <w:right w:w="108" w:type="dxa"/>
          </w:tblCellMar>
        </w:tblPrEx>
        <w:trPr>
          <w:trHeight w:val="1808"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经济效益指标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“三公经费”控制率[计算方法为：（三公经费实际支出数/预算安排数]×100%）</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100</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反向指标</w:t>
            </w:r>
          </w:p>
        </w:tc>
      </w:tr>
      <w:tr>
        <w:tblPrEx>
          <w:tblLayout w:type="fixed"/>
          <w:tblCellMar>
            <w:top w:w="0" w:type="dxa"/>
            <w:left w:w="108" w:type="dxa"/>
            <w:bottom w:w="0" w:type="dxa"/>
            <w:right w:w="108" w:type="dxa"/>
          </w:tblCellMar>
        </w:tblPrEx>
        <w:trPr>
          <w:trHeight w:val="454"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社会效益指标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运转保障率</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100</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正向指标</w:t>
            </w:r>
          </w:p>
        </w:tc>
      </w:tr>
      <w:tr>
        <w:tblPrEx>
          <w:tblLayout w:type="fixed"/>
          <w:tblCellMar>
            <w:top w:w="0" w:type="dxa"/>
            <w:left w:w="108" w:type="dxa"/>
            <w:bottom w:w="0" w:type="dxa"/>
            <w:right w:w="108" w:type="dxa"/>
          </w:tblCellMar>
        </w:tblPrEx>
        <w:trPr>
          <w:trHeight w:val="1583"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产出指标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质量指标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预算编制准确率（计算方法为：∣（执行数-预算数）/预算数∣）</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反向指标</w:t>
            </w:r>
          </w:p>
        </w:tc>
      </w:tr>
      <w:tr>
        <w:tblPrEx>
          <w:tblLayout w:type="fixed"/>
          <w:tblCellMar>
            <w:top w:w="0" w:type="dxa"/>
            <w:left w:w="108" w:type="dxa"/>
            <w:bottom w:w="0" w:type="dxa"/>
            <w:right w:w="108" w:type="dxa"/>
          </w:tblCellMar>
        </w:tblPrEx>
        <w:trPr>
          <w:trHeight w:val="454"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”史志七进“”地方志工作培训会“</w:t>
            </w:r>
          </w:p>
        </w:tc>
        <w:tc>
          <w:tcPr>
            <w:tcW w:w="75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4.00</w:t>
            </w:r>
          </w:p>
        </w:tc>
        <w:tc>
          <w:tcPr>
            <w:tcW w:w="754"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1”史志七进“宣传党史进镇、进村、进乡、进社区、进校园等</w:t>
            </w:r>
            <w:r>
              <w:rPr>
                <w:rFonts w:hint="default" w:ascii="Times New Roman" w:hAnsi="Times New Roman" w:cs="Times New Roman"/>
                <w:color w:val="000000"/>
                <w:kern w:val="0"/>
                <w:sz w:val="18"/>
                <w:szCs w:val="18"/>
              </w:rPr>
              <w:br w:type="textWrapping"/>
            </w:r>
            <w:r>
              <w:rPr>
                <w:rFonts w:hint="default" w:ascii="Times New Roman" w:hAnsi="Times New Roman" w:cs="Times New Roman"/>
                <w:color w:val="000000"/>
                <w:kern w:val="0"/>
                <w:sz w:val="18"/>
                <w:szCs w:val="18"/>
              </w:rPr>
              <w:t>2”地方志工作培训会“全县地方志工作培训会</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社会效益指标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提高资料报送质量</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定性</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优</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正向指标</w:t>
            </w:r>
          </w:p>
        </w:tc>
      </w:tr>
      <w:tr>
        <w:tblPrEx>
          <w:tblLayout w:type="fixed"/>
          <w:tblCellMar>
            <w:top w:w="0" w:type="dxa"/>
            <w:left w:w="108" w:type="dxa"/>
            <w:bottom w:w="0" w:type="dxa"/>
            <w:right w:w="108" w:type="dxa"/>
          </w:tblCellMar>
        </w:tblPrEx>
        <w:trPr>
          <w:trHeight w:val="2262"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产出指标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数量指标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1”史志七进“宣传党史进镇、进村、进乡、进社区、进校园等 2”地方志工作培训会“全县地方志工作培训会</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场次</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正向指标</w:t>
            </w:r>
          </w:p>
        </w:tc>
      </w:tr>
      <w:tr>
        <w:tblPrEx>
          <w:tblLayout w:type="fixed"/>
          <w:tblCellMar>
            <w:top w:w="0" w:type="dxa"/>
            <w:left w:w="108" w:type="dxa"/>
            <w:bottom w:w="0" w:type="dxa"/>
            <w:right w:w="108" w:type="dxa"/>
          </w:tblCellMar>
        </w:tblPrEx>
        <w:trPr>
          <w:trHeight w:val="454"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成本指标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经济成本指标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史志七进及培训会经费</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4000</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元</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正向指标</w:t>
            </w:r>
          </w:p>
        </w:tc>
      </w:tr>
      <w:tr>
        <w:tblPrEx>
          <w:tblLayout w:type="fixed"/>
          <w:tblCellMar>
            <w:top w:w="0" w:type="dxa"/>
            <w:left w:w="108" w:type="dxa"/>
            <w:bottom w:w="0" w:type="dxa"/>
            <w:right w:w="108" w:type="dxa"/>
          </w:tblCellMar>
        </w:tblPrEx>
        <w:trPr>
          <w:trHeight w:val="679"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满意度指标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服务对象满意度指标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群众满意度</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80</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正向指标</w:t>
            </w:r>
          </w:p>
        </w:tc>
      </w:tr>
      <w:tr>
        <w:tblPrEx>
          <w:tblLayout w:type="fixed"/>
          <w:tblCellMar>
            <w:top w:w="0" w:type="dxa"/>
            <w:left w:w="108" w:type="dxa"/>
            <w:bottom w:w="0" w:type="dxa"/>
            <w:right w:w="108" w:type="dxa"/>
          </w:tblCellMar>
        </w:tblPrEx>
        <w:trPr>
          <w:trHeight w:val="679"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满意度指标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服务对象满意度指标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培训工作满意度</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90</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正向指标</w:t>
            </w:r>
          </w:p>
        </w:tc>
      </w:tr>
      <w:tr>
        <w:tblPrEx>
          <w:tblLayout w:type="fixed"/>
          <w:tblCellMar>
            <w:top w:w="0" w:type="dxa"/>
            <w:left w:w="108" w:type="dxa"/>
            <w:bottom w:w="0" w:type="dxa"/>
            <w:right w:w="108" w:type="dxa"/>
          </w:tblCellMar>
        </w:tblPrEx>
        <w:trPr>
          <w:trHeight w:val="904"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社会效益指标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弘扬党的光辉历史</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定性</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提高人民群众爱国爱党意识</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正向指标</w:t>
            </w:r>
          </w:p>
        </w:tc>
      </w:tr>
      <w:tr>
        <w:tblPrEx>
          <w:tblLayout w:type="fixed"/>
          <w:tblCellMar>
            <w:top w:w="0" w:type="dxa"/>
            <w:left w:w="108" w:type="dxa"/>
            <w:bottom w:w="0" w:type="dxa"/>
            <w:right w:w="108" w:type="dxa"/>
          </w:tblCellMar>
        </w:tblPrEx>
        <w:trPr>
          <w:trHeight w:val="679"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产出指标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质量指标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史志七进及地方志培训完成率</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95</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正向指标</w:t>
            </w:r>
          </w:p>
        </w:tc>
      </w:tr>
      <w:tr>
        <w:tblPrEx>
          <w:tblLayout w:type="fixed"/>
          <w:tblCellMar>
            <w:top w:w="0" w:type="dxa"/>
            <w:left w:w="108" w:type="dxa"/>
            <w:bottom w:w="0" w:type="dxa"/>
            <w:right w:w="108" w:type="dxa"/>
          </w:tblCellMar>
        </w:tblPrEx>
        <w:trPr>
          <w:trHeight w:val="1808"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单位日常公用经费</w:t>
            </w:r>
          </w:p>
        </w:tc>
        <w:tc>
          <w:tcPr>
            <w:tcW w:w="75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2.62</w:t>
            </w:r>
          </w:p>
        </w:tc>
        <w:tc>
          <w:tcPr>
            <w:tcW w:w="754"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提高预算编制质量，严格执行预算，保障单位日常运转。</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经济效益指标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“三公经费”控制率[计算方法为：（三公经费实际支出数/预算安排数]×100%）</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100</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反向指标</w:t>
            </w:r>
          </w:p>
        </w:tc>
      </w:tr>
      <w:tr>
        <w:tblPrEx>
          <w:tblLayout w:type="fixed"/>
          <w:tblCellMar>
            <w:top w:w="0" w:type="dxa"/>
            <w:left w:w="108" w:type="dxa"/>
            <w:bottom w:w="0" w:type="dxa"/>
            <w:right w:w="108" w:type="dxa"/>
          </w:tblCellMar>
        </w:tblPrEx>
        <w:trPr>
          <w:trHeight w:val="454"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产出指标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数量指标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科目调整次数</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次</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反向指标</w:t>
            </w:r>
          </w:p>
        </w:tc>
      </w:tr>
      <w:tr>
        <w:tblPrEx>
          <w:tblLayout w:type="fixed"/>
          <w:tblCellMar>
            <w:top w:w="0" w:type="dxa"/>
            <w:left w:w="108" w:type="dxa"/>
            <w:bottom w:w="0" w:type="dxa"/>
            <w:right w:w="108" w:type="dxa"/>
          </w:tblCellMar>
        </w:tblPrEx>
        <w:trPr>
          <w:trHeight w:val="1583"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产出指标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质量指标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预算编制准确率（计算方法为：∣（执行数-预算数）/预算数∣）</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反向指标</w:t>
            </w:r>
          </w:p>
        </w:tc>
      </w:tr>
      <w:tr>
        <w:tblPrEx>
          <w:tblLayout w:type="fixed"/>
          <w:tblCellMar>
            <w:top w:w="0" w:type="dxa"/>
            <w:left w:w="108" w:type="dxa"/>
            <w:bottom w:w="0" w:type="dxa"/>
            <w:right w:w="108" w:type="dxa"/>
          </w:tblCellMar>
        </w:tblPrEx>
        <w:trPr>
          <w:trHeight w:val="454"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社会效益指标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运转保障率</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100</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正向指标</w:t>
            </w:r>
          </w:p>
        </w:tc>
      </w:tr>
      <w:tr>
        <w:tblPrEx>
          <w:tblLayout w:type="fixed"/>
          <w:tblCellMar>
            <w:top w:w="0" w:type="dxa"/>
            <w:left w:w="108" w:type="dxa"/>
            <w:bottom w:w="0" w:type="dxa"/>
            <w:right w:w="108" w:type="dxa"/>
          </w:tblCellMar>
        </w:tblPrEx>
        <w:trPr>
          <w:trHeight w:val="454"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单位非定额公用经费</w:t>
            </w:r>
          </w:p>
        </w:tc>
        <w:tc>
          <w:tcPr>
            <w:tcW w:w="75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8.00</w:t>
            </w:r>
          </w:p>
        </w:tc>
        <w:tc>
          <w:tcPr>
            <w:tcW w:w="754"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提高预算编制质量，严格执行预算，保障单位日常运转。</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社会效益指标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运转保障率</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100</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正向指标</w:t>
            </w:r>
          </w:p>
        </w:tc>
      </w:tr>
      <w:tr>
        <w:tblPrEx>
          <w:tblLayout w:type="fixed"/>
          <w:tblCellMar>
            <w:top w:w="0" w:type="dxa"/>
            <w:left w:w="108" w:type="dxa"/>
            <w:bottom w:w="0" w:type="dxa"/>
            <w:right w:w="108" w:type="dxa"/>
          </w:tblCellMar>
        </w:tblPrEx>
        <w:trPr>
          <w:trHeight w:val="454"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产出指标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数量指标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科目调整次数</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次</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反向指标</w:t>
            </w:r>
          </w:p>
        </w:tc>
      </w:tr>
      <w:tr>
        <w:tblPrEx>
          <w:tblLayout w:type="fixed"/>
          <w:tblCellMar>
            <w:top w:w="0" w:type="dxa"/>
            <w:left w:w="108" w:type="dxa"/>
            <w:bottom w:w="0" w:type="dxa"/>
            <w:right w:w="108" w:type="dxa"/>
          </w:tblCellMar>
        </w:tblPrEx>
        <w:trPr>
          <w:trHeight w:val="1583"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产出指标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质量指标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预算编制准确率（计算方法为：∣（执行数-预算数）/预算数∣）</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反向指标</w:t>
            </w:r>
          </w:p>
        </w:tc>
      </w:tr>
      <w:tr>
        <w:tblPrEx>
          <w:tblLayout w:type="fixed"/>
          <w:tblCellMar>
            <w:top w:w="0" w:type="dxa"/>
            <w:left w:w="108" w:type="dxa"/>
            <w:bottom w:w="0" w:type="dxa"/>
            <w:right w:w="108" w:type="dxa"/>
          </w:tblCellMar>
        </w:tblPrEx>
        <w:trPr>
          <w:trHeight w:val="1808"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经济效益指标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“三公经费”控制率[计算方法为：（三公经费实际支出数/预算安排数]×100%）</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100</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反向指标</w:t>
            </w:r>
          </w:p>
        </w:tc>
      </w:tr>
      <w:tr>
        <w:tblPrEx>
          <w:tblLayout w:type="fixed"/>
          <w:tblCellMar>
            <w:top w:w="0" w:type="dxa"/>
            <w:left w:w="108" w:type="dxa"/>
            <w:bottom w:w="0" w:type="dxa"/>
            <w:right w:w="108" w:type="dxa"/>
          </w:tblCellMar>
        </w:tblPrEx>
        <w:trPr>
          <w:trHeight w:val="454"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工会经费</w:t>
            </w:r>
          </w:p>
        </w:tc>
        <w:tc>
          <w:tcPr>
            <w:tcW w:w="75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1.60</w:t>
            </w:r>
          </w:p>
        </w:tc>
        <w:tc>
          <w:tcPr>
            <w:tcW w:w="754"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提高预算编制质量，严格执行预算，保障单位日常运转。</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产出指标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数量指标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科目调整次数</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次</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反向指标</w:t>
            </w:r>
          </w:p>
        </w:tc>
      </w:tr>
      <w:tr>
        <w:tblPrEx>
          <w:tblLayout w:type="fixed"/>
          <w:tblCellMar>
            <w:top w:w="0" w:type="dxa"/>
            <w:left w:w="108" w:type="dxa"/>
            <w:bottom w:w="0" w:type="dxa"/>
            <w:right w:w="108" w:type="dxa"/>
          </w:tblCellMar>
        </w:tblPrEx>
        <w:trPr>
          <w:trHeight w:val="454"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社会效益指标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运转保障率</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100</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正向指标</w:t>
            </w:r>
          </w:p>
        </w:tc>
      </w:tr>
      <w:tr>
        <w:tblPrEx>
          <w:tblLayout w:type="fixed"/>
          <w:tblCellMar>
            <w:top w:w="0" w:type="dxa"/>
            <w:left w:w="108" w:type="dxa"/>
            <w:bottom w:w="0" w:type="dxa"/>
            <w:right w:w="108" w:type="dxa"/>
          </w:tblCellMar>
        </w:tblPrEx>
        <w:trPr>
          <w:trHeight w:val="1808"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经济效益指标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“三公经费”控制率[计算方法为：（三公经费实际支出数/预算安排数]×100%）</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100</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反向指标</w:t>
            </w:r>
          </w:p>
        </w:tc>
      </w:tr>
      <w:tr>
        <w:tblPrEx>
          <w:tblLayout w:type="fixed"/>
          <w:tblCellMar>
            <w:top w:w="0" w:type="dxa"/>
            <w:left w:w="108" w:type="dxa"/>
            <w:bottom w:w="0" w:type="dxa"/>
            <w:right w:w="108" w:type="dxa"/>
          </w:tblCellMar>
        </w:tblPrEx>
        <w:trPr>
          <w:trHeight w:val="1583"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产出指标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质量指标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预算编制准确率（计算方法为：∣（执行数-预算数）/预算数∣）</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反向指标</w:t>
            </w:r>
          </w:p>
        </w:tc>
      </w:tr>
      <w:tr>
        <w:tblPrEx>
          <w:tblLayout w:type="fixed"/>
          <w:tblCellMar>
            <w:top w:w="0" w:type="dxa"/>
            <w:left w:w="108" w:type="dxa"/>
            <w:bottom w:w="0" w:type="dxa"/>
            <w:right w:w="108" w:type="dxa"/>
          </w:tblCellMar>
        </w:tblPrEx>
        <w:trPr>
          <w:trHeight w:val="454"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第三轮修志</w:t>
            </w:r>
          </w:p>
        </w:tc>
        <w:tc>
          <w:tcPr>
            <w:tcW w:w="75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9.10</w:t>
            </w:r>
          </w:p>
        </w:tc>
        <w:tc>
          <w:tcPr>
            <w:tcW w:w="754"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科学编制第三轮修志规划，建立完善第三轮修志的组织管理、运行模式、资料收集、编纂方案、审查验收、出版发行等工作机制。探索建立编纂是据库和相应编纂平台。</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社会效益指标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”存史、育人、资政“</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定性</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良</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正向指标</w:t>
            </w:r>
          </w:p>
        </w:tc>
      </w:tr>
      <w:tr>
        <w:tblPrEx>
          <w:tblLayout w:type="fixed"/>
          <w:tblCellMar>
            <w:top w:w="0" w:type="dxa"/>
            <w:left w:w="108" w:type="dxa"/>
            <w:bottom w:w="0" w:type="dxa"/>
            <w:right w:w="108" w:type="dxa"/>
          </w:tblCellMar>
        </w:tblPrEx>
        <w:trPr>
          <w:trHeight w:val="454"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产出指标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质量指标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第三轮修志完成率</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100</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正向指标</w:t>
            </w:r>
          </w:p>
        </w:tc>
      </w:tr>
      <w:tr>
        <w:tblPrEx>
          <w:tblLayout w:type="fixed"/>
          <w:tblCellMar>
            <w:top w:w="0" w:type="dxa"/>
            <w:left w:w="108" w:type="dxa"/>
            <w:bottom w:w="0" w:type="dxa"/>
            <w:right w:w="108" w:type="dxa"/>
          </w:tblCellMar>
        </w:tblPrEx>
        <w:trPr>
          <w:trHeight w:val="454"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成本指标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经济成本指标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第三轮修志启动经费</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91000</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元</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正向指标</w:t>
            </w:r>
          </w:p>
        </w:tc>
      </w:tr>
      <w:tr>
        <w:tblPrEx>
          <w:tblLayout w:type="fixed"/>
          <w:tblCellMar>
            <w:top w:w="0" w:type="dxa"/>
            <w:left w:w="108" w:type="dxa"/>
            <w:bottom w:w="0" w:type="dxa"/>
            <w:right w:w="108" w:type="dxa"/>
          </w:tblCellMar>
        </w:tblPrEx>
        <w:trPr>
          <w:trHeight w:val="679"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满意度指标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服务对象满意度指标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资政满意度</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90</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反向指标</w:t>
            </w:r>
          </w:p>
        </w:tc>
      </w:tr>
      <w:tr>
        <w:tblPrEx>
          <w:tblLayout w:type="fixed"/>
          <w:tblCellMar>
            <w:top w:w="0" w:type="dxa"/>
            <w:left w:w="108" w:type="dxa"/>
            <w:bottom w:w="0" w:type="dxa"/>
            <w:right w:w="108" w:type="dxa"/>
          </w:tblCellMar>
        </w:tblPrEx>
        <w:trPr>
          <w:trHeight w:val="454"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社会效益指标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保存史志资料</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定性</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优</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正向指标</w:t>
            </w:r>
          </w:p>
        </w:tc>
      </w:tr>
      <w:tr>
        <w:tblPrEx>
          <w:tblLayout w:type="fixed"/>
          <w:tblCellMar>
            <w:top w:w="0" w:type="dxa"/>
            <w:left w:w="108" w:type="dxa"/>
            <w:bottom w:w="0" w:type="dxa"/>
            <w:right w:w="108" w:type="dxa"/>
          </w:tblCellMar>
        </w:tblPrEx>
        <w:trPr>
          <w:trHeight w:val="454"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满意度指标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满意度指标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读者满意度</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80</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反向指标</w:t>
            </w:r>
          </w:p>
        </w:tc>
      </w:tr>
      <w:tr>
        <w:tblPrEx>
          <w:tblLayout w:type="fixed"/>
          <w:tblCellMar>
            <w:top w:w="0" w:type="dxa"/>
            <w:left w:w="108" w:type="dxa"/>
            <w:bottom w:w="0" w:type="dxa"/>
            <w:right w:w="108" w:type="dxa"/>
          </w:tblCellMar>
        </w:tblPrEx>
        <w:trPr>
          <w:trHeight w:val="454"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产出指标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数量指标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启动第三轮修志工作</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年</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反向指标</w:t>
            </w:r>
          </w:p>
        </w:tc>
      </w:tr>
      <w:tr>
        <w:tblPrEx>
          <w:tblLayout w:type="fixed"/>
          <w:tblCellMar>
            <w:top w:w="0" w:type="dxa"/>
            <w:left w:w="108" w:type="dxa"/>
            <w:bottom w:w="0" w:type="dxa"/>
            <w:right w:w="108" w:type="dxa"/>
          </w:tblCellMar>
        </w:tblPrEx>
        <w:trPr>
          <w:trHeight w:val="1808"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福利费</w:t>
            </w:r>
          </w:p>
        </w:tc>
        <w:tc>
          <w:tcPr>
            <w:tcW w:w="75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3.89</w:t>
            </w:r>
          </w:p>
        </w:tc>
        <w:tc>
          <w:tcPr>
            <w:tcW w:w="754"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提高预算编制质量，严格执行预算，保障单位日常运转。</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经济效益指标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“三公经费”控制率[计算方法为：（三公经费实际支出数/预算安排数]×100%）</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100</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反向指标</w:t>
            </w:r>
          </w:p>
        </w:tc>
      </w:tr>
      <w:tr>
        <w:tblPrEx>
          <w:tblLayout w:type="fixed"/>
          <w:tblCellMar>
            <w:top w:w="0" w:type="dxa"/>
            <w:left w:w="108" w:type="dxa"/>
            <w:bottom w:w="0" w:type="dxa"/>
            <w:right w:w="108" w:type="dxa"/>
          </w:tblCellMar>
        </w:tblPrEx>
        <w:trPr>
          <w:trHeight w:val="1583"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产出指标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质量指标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预算编制准确率（计算方法为：∣（执行数-预算数）/预算数∣）</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反向指标</w:t>
            </w:r>
          </w:p>
        </w:tc>
      </w:tr>
      <w:tr>
        <w:tblPrEx>
          <w:tblLayout w:type="fixed"/>
          <w:tblCellMar>
            <w:top w:w="0" w:type="dxa"/>
            <w:left w:w="108" w:type="dxa"/>
            <w:bottom w:w="0" w:type="dxa"/>
            <w:right w:w="108" w:type="dxa"/>
          </w:tblCellMar>
        </w:tblPrEx>
        <w:trPr>
          <w:trHeight w:val="454"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社会效益指标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运转保障率</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100</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正向指标</w:t>
            </w:r>
          </w:p>
        </w:tc>
      </w:tr>
      <w:tr>
        <w:tblPrEx>
          <w:tblLayout w:type="fixed"/>
          <w:tblCellMar>
            <w:top w:w="0" w:type="dxa"/>
            <w:left w:w="108" w:type="dxa"/>
            <w:bottom w:w="0" w:type="dxa"/>
            <w:right w:w="108" w:type="dxa"/>
          </w:tblCellMar>
        </w:tblPrEx>
        <w:trPr>
          <w:trHeight w:val="454"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产出指标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数量指标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科目调整次数</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次</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反向指标</w:t>
            </w:r>
          </w:p>
        </w:tc>
      </w:tr>
      <w:tr>
        <w:tblPrEx>
          <w:tblLayout w:type="fixed"/>
          <w:tblCellMar>
            <w:top w:w="0" w:type="dxa"/>
            <w:left w:w="108" w:type="dxa"/>
            <w:bottom w:w="0" w:type="dxa"/>
            <w:right w:w="108" w:type="dxa"/>
          </w:tblCellMar>
        </w:tblPrEx>
        <w:trPr>
          <w:trHeight w:val="454"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残疾人就业保障金</w:t>
            </w:r>
          </w:p>
        </w:tc>
        <w:tc>
          <w:tcPr>
            <w:tcW w:w="75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2.13</w:t>
            </w:r>
          </w:p>
        </w:tc>
        <w:tc>
          <w:tcPr>
            <w:tcW w:w="754"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提高预算编制质量，严格执行预算，保障单位日常运转。</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社会效益指标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运转保障率</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100</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正向指标</w:t>
            </w:r>
          </w:p>
        </w:tc>
      </w:tr>
      <w:tr>
        <w:tblPrEx>
          <w:tblLayout w:type="fixed"/>
          <w:tblCellMar>
            <w:top w:w="0" w:type="dxa"/>
            <w:left w:w="108" w:type="dxa"/>
            <w:bottom w:w="0" w:type="dxa"/>
            <w:right w:w="108" w:type="dxa"/>
          </w:tblCellMar>
        </w:tblPrEx>
        <w:trPr>
          <w:trHeight w:val="1583"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产出指标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质量指标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预算编制准确率（计算方法为：∣（执行数-预算数）/预算数∣）</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反向指标</w:t>
            </w:r>
          </w:p>
        </w:tc>
      </w:tr>
      <w:tr>
        <w:tblPrEx>
          <w:tblLayout w:type="fixed"/>
          <w:tblCellMar>
            <w:top w:w="0" w:type="dxa"/>
            <w:left w:w="108" w:type="dxa"/>
            <w:bottom w:w="0" w:type="dxa"/>
            <w:right w:w="108" w:type="dxa"/>
          </w:tblCellMar>
        </w:tblPrEx>
        <w:trPr>
          <w:trHeight w:val="1808"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经济效益指标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“三公经费”控制率[计算方法为：（三公经费实际支出数/预算安排数]×100%）</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100</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反向指标</w:t>
            </w:r>
          </w:p>
        </w:tc>
      </w:tr>
      <w:tr>
        <w:tblPrEx>
          <w:tblLayout w:type="fixed"/>
          <w:tblCellMar>
            <w:top w:w="0" w:type="dxa"/>
            <w:left w:w="108" w:type="dxa"/>
            <w:bottom w:w="0" w:type="dxa"/>
            <w:right w:w="108" w:type="dxa"/>
          </w:tblCellMar>
        </w:tblPrEx>
        <w:trPr>
          <w:trHeight w:val="454" w:hRule="atLeast"/>
        </w:trPr>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4"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hint="default" w:ascii="Times New Roman" w:hAnsi="Times New Roman" w:cs="Times New Roman"/>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产出指标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数量指标</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科目调整次数</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w:t>
            </w:r>
          </w:p>
        </w:tc>
        <w:tc>
          <w:tcPr>
            <w:tcW w:w="755"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w:t>
            </w:r>
          </w:p>
        </w:tc>
        <w:tc>
          <w:tcPr>
            <w:tcW w:w="755"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次</w:t>
            </w:r>
          </w:p>
        </w:tc>
        <w:tc>
          <w:tcPr>
            <w:tcW w:w="754" w:type="dxa"/>
            <w:gridSpan w:val="2"/>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w:t>
            </w:r>
          </w:p>
        </w:tc>
        <w:tc>
          <w:tcPr>
            <w:tcW w:w="758" w:type="dxa"/>
            <w:tcBorders>
              <w:top w:val="nil"/>
              <w:left w:val="nil"/>
              <w:bottom w:val="single" w:color="000000" w:sz="4" w:space="0"/>
              <w:right w:val="single" w:color="000000" w:sz="4"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反向指标</w:t>
            </w:r>
          </w:p>
        </w:tc>
      </w:tr>
    </w:tbl>
    <w:p>
      <w:pPr>
        <w:keepNext w:val="0"/>
        <w:keepLines w:val="0"/>
        <w:pageBreakBefore w:val="0"/>
        <w:widowControl w:val="0"/>
        <w:kinsoku/>
        <w:wordWrap/>
        <w:overflowPunct/>
        <w:topLinePunct w:val="0"/>
        <w:autoSpaceDE/>
        <w:autoSpaceDN/>
        <w:bidi w:val="0"/>
        <w:adjustRightInd/>
        <w:snapToGrid/>
        <w:spacing w:line="560" w:lineRule="exact"/>
        <w:ind w:left="640" w:hanging="640" w:hangingChars="200"/>
        <w:textAlignment w:val="auto"/>
        <w:rPr>
          <w:rFonts w:hint="default" w:ascii="Times New Roman" w:hAnsi="Times New Roman" w:eastAsia="仿宋" w:cs="Times New Roman"/>
          <w:sz w:val="32"/>
          <w:szCs w:val="32"/>
        </w:rPr>
      </w:pPr>
      <w:r>
        <w:rPr>
          <w:rFonts w:hint="eastAsia" w:ascii="黑体" w:hAnsi="黑体" w:eastAsia="黑体" w:cs="黑体"/>
          <w:color w:val="333333"/>
          <w:kern w:val="0"/>
          <w:sz w:val="32"/>
          <w:szCs w:val="32"/>
          <w:shd w:val="clear" w:color="auto" w:fill="FFFFFF"/>
          <w:lang w:val="en-US" w:eastAsia="zh-CN"/>
        </w:rPr>
        <w:t>十</w:t>
      </w:r>
      <w:r>
        <w:rPr>
          <w:rFonts w:hint="eastAsia" w:ascii="黑体" w:hAnsi="黑体" w:eastAsia="黑体" w:cs="黑体"/>
          <w:color w:val="333333"/>
          <w:kern w:val="0"/>
          <w:sz w:val="32"/>
          <w:szCs w:val="32"/>
          <w:shd w:val="clear" w:color="auto" w:fill="FFFFFF"/>
        </w:rPr>
        <w:t>、名词解释</w:t>
      </w:r>
      <w:r>
        <w:rPr>
          <w:rFonts w:hint="eastAsia" w:ascii="黑体" w:hAnsi="黑体" w:eastAsia="黑体" w:cs="黑体"/>
          <w:color w:val="333333"/>
          <w:kern w:val="0"/>
          <w:sz w:val="32"/>
          <w:szCs w:val="32"/>
          <w:shd w:val="clear" w:color="auto" w:fill="FFFFFF"/>
        </w:rPr>
        <w:br w:type="textWrapping"/>
      </w:r>
      <w:r>
        <w:rPr>
          <w:rFonts w:hint="default" w:ascii="Times New Roman" w:hAnsi="Times New Roman" w:eastAsia="仿宋" w:cs="Times New Roman"/>
          <w:b/>
          <w:bCs/>
          <w:sz w:val="32"/>
          <w:szCs w:val="32"/>
        </w:rPr>
        <w:t>1.财政拨款收入：</w:t>
      </w:r>
      <w:r>
        <w:rPr>
          <w:rFonts w:hint="default" w:ascii="Times New Roman" w:hAnsi="Times New Roman" w:eastAsia="仿宋" w:cs="Times New Roman"/>
          <w:sz w:val="32"/>
          <w:szCs w:val="32"/>
        </w:rPr>
        <w:t xml:space="preserve">指财政部门核拨给单位的财政预算资金。 </w:t>
      </w:r>
      <w:r>
        <w:rPr>
          <w:rFonts w:hint="default" w:ascii="Times New Roman" w:hAnsi="Times New Roman" w:eastAsia="仿宋" w:cs="Times New Roman"/>
          <w:sz w:val="32"/>
          <w:szCs w:val="32"/>
        </w:rPr>
        <w:br w:type="textWrapping"/>
      </w:r>
      <w:r>
        <w:rPr>
          <w:rFonts w:hint="default" w:ascii="Times New Roman" w:hAnsi="Times New Roman" w:eastAsia="仿宋" w:cs="Times New Roman"/>
          <w:b/>
          <w:bCs/>
          <w:sz w:val="32"/>
          <w:szCs w:val="32"/>
        </w:rPr>
        <w:t>2.其他收入：</w:t>
      </w:r>
      <w:r>
        <w:rPr>
          <w:rFonts w:hint="default" w:ascii="Times New Roman" w:hAnsi="Times New Roman" w:eastAsia="仿宋" w:cs="Times New Roman"/>
          <w:sz w:val="32"/>
          <w:szCs w:val="32"/>
        </w:rPr>
        <w:t>指除上述财政部门拨付单位以外的收入。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3.基本支出：</w:t>
      </w:r>
      <w:r>
        <w:rPr>
          <w:rFonts w:hint="default" w:ascii="Times New Roman" w:hAnsi="Times New Roman" w:eastAsia="仿宋" w:cs="Times New Roman"/>
          <w:sz w:val="32"/>
          <w:szCs w:val="32"/>
        </w:rPr>
        <w:t>指为保障单位机关正常运转、完成日常工作任务而发生的人员支出和公用支出。</w:t>
      </w:r>
      <w:r>
        <w:rPr>
          <w:rFonts w:hint="default" w:ascii="Times New Roman" w:hAnsi="Times New Roman" w:eastAsia="仿宋" w:cs="Times New Roman"/>
          <w:sz w:val="32"/>
          <w:szCs w:val="32"/>
        </w:rPr>
        <w:br w:type="textWrapping"/>
      </w:r>
      <w:r>
        <w:rPr>
          <w:rFonts w:hint="default" w:ascii="Times New Roman" w:hAnsi="Times New Roman" w:eastAsia="仿宋" w:cs="Times New Roman"/>
          <w:sz w:val="32"/>
          <w:szCs w:val="32"/>
        </w:rPr>
        <w:t xml:space="preserve">    </w:t>
      </w:r>
      <w:r>
        <w:rPr>
          <w:rFonts w:hint="default" w:ascii="Times New Roman" w:hAnsi="Times New Roman" w:eastAsia="仿宋" w:cs="Times New Roman"/>
          <w:b/>
          <w:bCs/>
          <w:sz w:val="32"/>
          <w:szCs w:val="32"/>
        </w:rPr>
        <w:t>4.项目支出：</w:t>
      </w:r>
      <w:r>
        <w:rPr>
          <w:rFonts w:hint="default" w:ascii="Times New Roman" w:hAnsi="Times New Roman" w:eastAsia="仿宋" w:cs="Times New Roman"/>
          <w:sz w:val="32"/>
          <w:szCs w:val="32"/>
        </w:rPr>
        <w:t>指在基本支出之外为完成特定行政任务和事业发展目标所发生的支出。</w:t>
      </w:r>
      <w:r>
        <w:rPr>
          <w:rFonts w:hint="default" w:ascii="Times New Roman" w:hAnsi="Times New Roman" w:eastAsia="仿宋" w:cs="Times New Roman"/>
          <w:sz w:val="32"/>
          <w:szCs w:val="32"/>
        </w:rPr>
        <w:br w:type="textWrapping"/>
      </w:r>
      <w:r>
        <w:rPr>
          <w:rFonts w:hint="default" w:ascii="Times New Roman" w:hAnsi="Times New Roman" w:eastAsia="仿宋" w:cs="Times New Roman"/>
          <w:sz w:val="32"/>
          <w:szCs w:val="32"/>
        </w:rPr>
        <w:t xml:space="preserve">    </w:t>
      </w:r>
      <w:r>
        <w:rPr>
          <w:rFonts w:hint="default" w:ascii="Times New Roman" w:hAnsi="Times New Roman" w:eastAsia="仿宋" w:cs="Times New Roman"/>
          <w:b/>
          <w:bCs/>
          <w:sz w:val="32"/>
          <w:szCs w:val="32"/>
        </w:rPr>
        <w:t>5.机关运行经费：</w:t>
      </w:r>
      <w:r>
        <w:rPr>
          <w:rFonts w:hint="default" w:ascii="Times New Roman" w:hAnsi="Times New Roman" w:eastAsia="仿宋" w:cs="Times New Roman"/>
          <w:sz w:val="32"/>
          <w:szCs w:val="32"/>
        </w:rPr>
        <w:t>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表2.部门收入总表</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表3.部门支出总表</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表4.财政拨款收支预算总表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表6.一般公共预算支出预算表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表7.一般公共预算基本支出预算表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表8.一般公共预算项目支出预算表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表10.政府性基金支出预算表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表12.国有资本经营预算支出预算表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表13.部门项目支出绩效目标表（</w:t>
      </w:r>
      <w:bookmarkStart w:id="0" w:name="_GoBack"/>
      <w:bookmarkEnd w:id="0"/>
      <w:r>
        <w:rPr>
          <w:rFonts w:hint="default" w:ascii="Times New Roman" w:hAnsi="Times New Roman" w:eastAsia="仿宋" w:cs="Times New Roman"/>
          <w:sz w:val="32"/>
          <w:szCs w:val="32"/>
        </w:rPr>
        <w:t>2024年度）</w:t>
      </w:r>
    </w:p>
    <w:sectPr>
      <w:footerReference r:id="rId3" w:type="default"/>
      <w:footerReference r:id="rId4" w:type="even"/>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w:pict>
        <v:shape id="_x0000_s3073" o:spid="_x0000_s3073" o:spt="202" type="#_x0000_t202" style="position:absolute;left:0pt;margin-top:0pt;height:144pt;width:144pt;mso-position-horizontal:outside;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5"/>
                  <w:rPr>
                    <w:rFonts w:hint="eastAsia" w:eastAsia="宋体"/>
                    <w:lang w:eastAsia="zh-CN"/>
                  </w:rPr>
                </w:pPr>
                <w:r>
                  <w:rPr>
                    <w:rFonts w:hint="eastAsia"/>
                    <w:lang w:eastAsia="zh-CN"/>
                  </w:rPr>
                  <w:t xml:space="preserve">— </w:t>
                </w:r>
                <w:r>
                  <w:rPr>
                    <w:rFonts w:hint="eastAsia" w:ascii="仿宋" w:hAnsi="仿宋" w:eastAsia="仿宋" w:cs="仿宋"/>
                    <w:sz w:val="32"/>
                    <w:szCs w:val="32"/>
                    <w:lang w:eastAsia="zh-CN"/>
                  </w:rPr>
                  <w:fldChar w:fldCharType="begin"/>
                </w:r>
                <w:r>
                  <w:rPr>
                    <w:rFonts w:hint="eastAsia" w:ascii="仿宋" w:hAnsi="仿宋" w:eastAsia="仿宋" w:cs="仿宋"/>
                    <w:sz w:val="32"/>
                    <w:szCs w:val="32"/>
                    <w:lang w:eastAsia="zh-CN"/>
                  </w:rPr>
                  <w:instrText xml:space="preserve"> PAGE  \* MERGEFORMAT </w:instrText>
                </w:r>
                <w:r>
                  <w:rPr>
                    <w:rFonts w:hint="eastAsia" w:ascii="仿宋" w:hAnsi="仿宋" w:eastAsia="仿宋" w:cs="仿宋"/>
                    <w:sz w:val="32"/>
                    <w:szCs w:val="32"/>
                    <w:lang w:eastAsia="zh-CN"/>
                  </w:rPr>
                  <w:fldChar w:fldCharType="separate"/>
                </w:r>
                <w:r>
                  <w:rPr>
                    <w:rFonts w:hint="eastAsia" w:ascii="仿宋" w:hAnsi="仿宋" w:eastAsia="仿宋" w:cs="仿宋"/>
                    <w:sz w:val="32"/>
                    <w:szCs w:val="32"/>
                    <w:lang w:eastAsia="zh-CN"/>
                  </w:rPr>
                  <w:t>1</w:t>
                </w:r>
                <w:r>
                  <w:rPr>
                    <w:rFonts w:hint="eastAsia" w:ascii="仿宋" w:hAnsi="仿宋" w:eastAsia="仿宋" w:cs="仿宋"/>
                    <w:sz w:val="32"/>
                    <w:szCs w:val="32"/>
                    <w:lang w:eastAsia="zh-CN"/>
                  </w:rPr>
                  <w:fldChar w:fldCharType="end"/>
                </w:r>
                <w:r>
                  <w:rPr>
                    <w:rFonts w:hint="eastAsia"/>
                    <w:lang w:eastAsia="zh-CN"/>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0"/>
      </w:rPr>
    </w:pPr>
    <w:r>
      <w:fldChar w:fldCharType="begin"/>
    </w:r>
    <w:r>
      <w:rPr>
        <w:rStyle w:val="10"/>
      </w:rPr>
      <w:instrText xml:space="preserve">PAGE  </w:instrText>
    </w:r>
    <w: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VerticalSpacing w:val="156"/>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WQwMTg4MjA0Mjc3NWFhNzQwMTRiMjZjZmJlYTZkYmQifQ=="/>
  </w:docVars>
  <w:rsids>
    <w:rsidRoot w:val="00172A27"/>
    <w:rsid w:val="00172A27"/>
    <w:rsid w:val="00DA42E2"/>
    <w:rsid w:val="00DD46FF"/>
    <w:rsid w:val="02D212D8"/>
    <w:rsid w:val="03082365"/>
    <w:rsid w:val="034C72DC"/>
    <w:rsid w:val="043F0BEF"/>
    <w:rsid w:val="04452232"/>
    <w:rsid w:val="062A31D9"/>
    <w:rsid w:val="085B0A02"/>
    <w:rsid w:val="08E6788B"/>
    <w:rsid w:val="0A6E1F7B"/>
    <w:rsid w:val="0B705B32"/>
    <w:rsid w:val="0C8C553E"/>
    <w:rsid w:val="0CEE610B"/>
    <w:rsid w:val="0D6E0DF5"/>
    <w:rsid w:val="0DCD62DE"/>
    <w:rsid w:val="0DF76B88"/>
    <w:rsid w:val="10B92046"/>
    <w:rsid w:val="124332D9"/>
    <w:rsid w:val="14361007"/>
    <w:rsid w:val="144A5D9E"/>
    <w:rsid w:val="151535A6"/>
    <w:rsid w:val="15DB032B"/>
    <w:rsid w:val="168506CE"/>
    <w:rsid w:val="177C13BA"/>
    <w:rsid w:val="18005E60"/>
    <w:rsid w:val="1837794D"/>
    <w:rsid w:val="18870CA9"/>
    <w:rsid w:val="188C6825"/>
    <w:rsid w:val="18DE7327"/>
    <w:rsid w:val="18FF4A98"/>
    <w:rsid w:val="19067AD5"/>
    <w:rsid w:val="19314C43"/>
    <w:rsid w:val="1D491D3F"/>
    <w:rsid w:val="1DD85F79"/>
    <w:rsid w:val="1E731769"/>
    <w:rsid w:val="218C016F"/>
    <w:rsid w:val="21BA145D"/>
    <w:rsid w:val="240E3358"/>
    <w:rsid w:val="244A54D8"/>
    <w:rsid w:val="251E4C45"/>
    <w:rsid w:val="25736E70"/>
    <w:rsid w:val="28CA79FA"/>
    <w:rsid w:val="2C6D683B"/>
    <w:rsid w:val="2D241839"/>
    <w:rsid w:val="2D6055AE"/>
    <w:rsid w:val="2E7479ED"/>
    <w:rsid w:val="2F81450D"/>
    <w:rsid w:val="2FC811E9"/>
    <w:rsid w:val="301F3E28"/>
    <w:rsid w:val="32B9061F"/>
    <w:rsid w:val="38ED4A15"/>
    <w:rsid w:val="3C6F1182"/>
    <w:rsid w:val="3E6C7944"/>
    <w:rsid w:val="3F446ADE"/>
    <w:rsid w:val="3FAE5244"/>
    <w:rsid w:val="40F6147A"/>
    <w:rsid w:val="41C14C68"/>
    <w:rsid w:val="420559F8"/>
    <w:rsid w:val="423023D2"/>
    <w:rsid w:val="42A67168"/>
    <w:rsid w:val="433B01F8"/>
    <w:rsid w:val="45E242B8"/>
    <w:rsid w:val="4714586B"/>
    <w:rsid w:val="48382BBF"/>
    <w:rsid w:val="4A7D7DE9"/>
    <w:rsid w:val="4AAD3489"/>
    <w:rsid w:val="4AFC61D9"/>
    <w:rsid w:val="4B3A2B43"/>
    <w:rsid w:val="4B5315EC"/>
    <w:rsid w:val="4B6B19DD"/>
    <w:rsid w:val="4C5424D5"/>
    <w:rsid w:val="510C7D31"/>
    <w:rsid w:val="516A65EA"/>
    <w:rsid w:val="52D10231"/>
    <w:rsid w:val="532F6840"/>
    <w:rsid w:val="539A183E"/>
    <w:rsid w:val="546703A6"/>
    <w:rsid w:val="550D5715"/>
    <w:rsid w:val="555E53B0"/>
    <w:rsid w:val="56F015BA"/>
    <w:rsid w:val="5717647F"/>
    <w:rsid w:val="574D77C2"/>
    <w:rsid w:val="58063D6C"/>
    <w:rsid w:val="589E5BC9"/>
    <w:rsid w:val="59290FB9"/>
    <w:rsid w:val="5B627971"/>
    <w:rsid w:val="5BD64631"/>
    <w:rsid w:val="5C041FB9"/>
    <w:rsid w:val="5E196064"/>
    <w:rsid w:val="5E313EFE"/>
    <w:rsid w:val="60C5607D"/>
    <w:rsid w:val="60E23ED5"/>
    <w:rsid w:val="636966A0"/>
    <w:rsid w:val="64BF4614"/>
    <w:rsid w:val="65CF619D"/>
    <w:rsid w:val="670175BB"/>
    <w:rsid w:val="69772B35"/>
    <w:rsid w:val="69EC72A7"/>
    <w:rsid w:val="6A7F4532"/>
    <w:rsid w:val="6B445B0F"/>
    <w:rsid w:val="6D0931DE"/>
    <w:rsid w:val="6D5065ED"/>
    <w:rsid w:val="6DB91B96"/>
    <w:rsid w:val="6E711791"/>
    <w:rsid w:val="6F1B62A8"/>
    <w:rsid w:val="6FBF4B32"/>
    <w:rsid w:val="70F00356"/>
    <w:rsid w:val="72D40618"/>
    <w:rsid w:val="748D1B4A"/>
    <w:rsid w:val="75B74C0D"/>
    <w:rsid w:val="77F4039A"/>
    <w:rsid w:val="7A6115EB"/>
    <w:rsid w:val="7B312348"/>
    <w:rsid w:val="7D9F4904"/>
    <w:rsid w:val="7F7D2A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table of figures"/>
    <w:basedOn w:val="1"/>
    <w:next w:val="1"/>
    <w:qFormat/>
    <w:uiPriority w:val="0"/>
    <w:pPr>
      <w:ind w:left="200" w:leftChars="200" w:hanging="200" w:hangingChars="200"/>
    </w:pPr>
  </w:style>
  <w:style w:type="paragraph" w:styleId="3">
    <w:name w:val="Body Text"/>
    <w:basedOn w:val="1"/>
    <w:qFormat/>
    <w:uiPriority w:val="0"/>
    <w:pPr>
      <w:spacing w:beforeLines="30"/>
    </w:pPr>
    <w:rPr>
      <w:rFonts w:ascii="仿宋_GB2312" w:eastAsia="仿宋_GB2312"/>
      <w:sz w:val="30"/>
    </w:rPr>
  </w:style>
  <w:style w:type="paragraph" w:styleId="4">
    <w:name w:val="Body Text Indent"/>
    <w:basedOn w:val="1"/>
    <w:qFormat/>
    <w:uiPriority w:val="0"/>
    <w:pPr>
      <w:spacing w:line="560" w:lineRule="atLeast"/>
      <w:ind w:firstLine="640" w:firstLineChars="200"/>
    </w:pPr>
    <w:rPr>
      <w:rFonts w:ascii="仿宋_GB2312" w:eastAsia="仿宋_GB2312"/>
      <w:sz w:val="32"/>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Body Text First Indent 2"/>
    <w:basedOn w:val="4"/>
    <w:qFormat/>
    <w:uiPriority w:val="0"/>
    <w:pPr>
      <w:ind w:firstLine="420"/>
    </w:pPr>
  </w:style>
  <w:style w:type="character" w:styleId="10">
    <w:name w:val="page number"/>
    <w:basedOn w:val="9"/>
    <w:qFormat/>
    <w:uiPriority w:val="0"/>
  </w:style>
  <w:style w:type="character" w:styleId="11">
    <w:name w:val="line number"/>
    <w:basedOn w:val="9"/>
    <w:qFormat/>
    <w:uiPriority w:val="0"/>
    <w:rPr>
      <w:rFonts w:hint="default"/>
      <w:sz w:val="22"/>
    </w:rPr>
  </w:style>
  <w:style w:type="character" w:styleId="12">
    <w:name w:val="Hyperlink"/>
    <w:qFormat/>
    <w:uiPriority w:val="0"/>
    <w:rPr>
      <w:rFonts w:hint="default"/>
      <w:sz w:val="22"/>
    </w:rPr>
  </w:style>
  <w:style w:type="character" w:customStyle="1" w:styleId="13">
    <w:name w:val="font21"/>
    <w:basedOn w:val="9"/>
    <w:qFormat/>
    <w:uiPriority w:val="0"/>
    <w:rPr>
      <w:rFonts w:hint="eastAsia" w:ascii="仿宋_GB2312" w:eastAsia="仿宋_GB2312" w:cs="仿宋_GB2312"/>
      <w:color w:val="000000"/>
      <w:sz w:val="18"/>
      <w:szCs w:val="18"/>
      <w:u w:val="none"/>
    </w:rPr>
  </w:style>
  <w:style w:type="character" w:customStyle="1" w:styleId="14">
    <w:name w:val="font41"/>
    <w:basedOn w:val="9"/>
    <w:qFormat/>
    <w:uiPriority w:val="0"/>
    <w:rPr>
      <w:rFonts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4501</Words>
  <Characters>1365</Characters>
  <Lines>11</Lines>
  <Paragraphs>11</Paragraphs>
  <TotalTime>104</TotalTime>
  <ScaleCrop>false</ScaleCrop>
  <LinksUpToDate>false</LinksUpToDate>
  <CharactersWithSpaces>5855</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潘腾龙</cp:lastModifiedBy>
  <dcterms:modified xsi:type="dcterms:W3CDTF">2026-02-06T01:52:29Z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8E16FDDC0F90499C937FB7C1ACAD9A88_13</vt:lpwstr>
  </property>
  <property fmtid="{D5CDD505-2E9C-101B-9397-08002B2CF9AE}" pid="4" name="KSOTemplateDocerSaveRecord">
    <vt:lpwstr>eyJoZGlkIjoiOWQwMTg4MjA0Mjc3NWFhNzQwMTRiMjZjZmJlYTZkYmQifQ==</vt:lpwstr>
  </property>
</Properties>
</file>