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05A31">
      <w:pPr>
        <w:spacing w:line="600" w:lineRule="exact"/>
        <w:jc w:val="left"/>
        <w:outlineLvl w:val="0"/>
        <w:rPr>
          <w:rFonts w:ascii="方正小标宋简体" w:hAnsi="宋体" w:eastAsia="方正小标宋简体"/>
          <w:szCs w:val="21"/>
        </w:rPr>
      </w:pPr>
      <w:bookmarkStart w:id="0" w:name="_Toc15306267"/>
    </w:p>
    <w:bookmarkEnd w:id="0"/>
    <w:p w14:paraId="4778B587">
      <w:pPr>
        <w:pStyle w:val="16"/>
        <w:keepNext w:val="0"/>
        <w:keepLines w:val="0"/>
        <w:pageBreakBefore w:val="0"/>
        <w:widowControl/>
        <w:shd w:val="clear" w:fill="FFFFFF"/>
        <w:kinsoku/>
        <w:wordWrap/>
        <w:overflowPunct/>
        <w:topLinePunct w:val="0"/>
        <w:autoSpaceDE/>
        <w:autoSpaceDN/>
        <w:bidi w:val="0"/>
        <w:adjustRightInd/>
        <w:snapToGrid w:val="0"/>
        <w:spacing w:line="576" w:lineRule="exact"/>
        <w:ind w:firstLine="3080" w:firstLineChars="700"/>
        <w:jc w:val="both"/>
        <w:textAlignment w:val="auto"/>
        <w:outlineLvl w:val="0"/>
        <w:rPr>
          <w:rFonts w:hint="eastAsia" w:ascii="方正小标宋_GBK" w:hAnsi="方正小标宋_GBK" w:eastAsia="方正小标宋_GBK" w:cs="方正小标宋_GBK"/>
          <w:sz w:val="44"/>
          <w:szCs w:val="44"/>
          <w:shd w:val="clear" w:fill="FFFFFF"/>
          <w:lang w:eastAsia="zh-CN"/>
        </w:rPr>
      </w:pPr>
      <w:bookmarkStart w:id="1" w:name="_Toc12780"/>
      <w:r>
        <w:rPr>
          <w:rFonts w:hint="eastAsia" w:ascii="方正小标宋_GBK" w:hAnsi="方正小标宋_GBK" w:eastAsia="方正小标宋_GBK" w:cs="方正小标宋_GBK"/>
          <w:sz w:val="44"/>
          <w:szCs w:val="44"/>
          <w:shd w:val="clear" w:fill="FFFFFF"/>
          <w:lang w:val="en-US" w:eastAsia="zh-CN"/>
        </w:rPr>
        <w:t>2024</w:t>
      </w:r>
      <w:r>
        <w:rPr>
          <w:rFonts w:hint="eastAsia" w:ascii="方正小标宋_GBK" w:hAnsi="方正小标宋_GBK" w:eastAsia="方正小标宋_GBK" w:cs="方正小标宋_GBK"/>
          <w:sz w:val="44"/>
          <w:szCs w:val="44"/>
          <w:shd w:val="clear" w:fill="FFFFFF"/>
          <w:lang w:eastAsia="zh-CN"/>
        </w:rPr>
        <w:t>年度</w:t>
      </w:r>
      <w:bookmarkEnd w:id="1"/>
    </w:p>
    <w:p w14:paraId="4769CB21">
      <w:pPr>
        <w:pStyle w:val="16"/>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shd w:val="clear" w:fill="FFFFFF"/>
          <w:lang w:eastAsia="zh-CN"/>
        </w:rPr>
      </w:pPr>
      <w:bookmarkStart w:id="2" w:name="_Toc41"/>
      <w:bookmarkStart w:id="3" w:name="_Toc7086"/>
      <w:r>
        <w:rPr>
          <w:rFonts w:hint="eastAsia" w:ascii="方正小标宋_GBK" w:hAnsi="方正小标宋_GBK" w:eastAsia="方正小标宋_GBK" w:cs="方正小标宋_GBK"/>
          <w:sz w:val="44"/>
          <w:szCs w:val="44"/>
          <w:shd w:val="clear" w:fill="FFFFFF"/>
          <w:lang w:eastAsia="zh-CN"/>
        </w:rPr>
        <w:t>中共阿坝州红原县党史研究和地方志</w:t>
      </w:r>
      <w:bookmarkEnd w:id="2"/>
    </w:p>
    <w:p w14:paraId="451FD679">
      <w:pPr>
        <w:pStyle w:val="16"/>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rPr>
      </w:pPr>
      <w:bookmarkStart w:id="4" w:name="_Toc1175"/>
      <w:r>
        <w:rPr>
          <w:rFonts w:hint="eastAsia" w:ascii="方正小标宋_GBK" w:hAnsi="方正小标宋_GBK" w:eastAsia="方正小标宋_GBK" w:cs="方正小标宋_GBK"/>
          <w:sz w:val="44"/>
          <w:szCs w:val="44"/>
          <w:shd w:val="clear" w:fill="FFFFFF"/>
          <w:lang w:eastAsia="zh-CN"/>
        </w:rPr>
        <w:t>编纂中心部门决算</w:t>
      </w:r>
      <w:bookmarkEnd w:id="3"/>
      <w:bookmarkEnd w:id="4"/>
    </w:p>
    <w:p w14:paraId="06C0FF3F">
      <w:pPr>
        <w:pStyle w:val="16"/>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14:paraId="0E4D2C9B">
      <w:pPr>
        <w:pStyle w:val="16"/>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14:paraId="275C00AB">
      <w:pPr>
        <w:pStyle w:val="16"/>
        <w:widowControl/>
        <w:shd w:val="clear" w:fill="FFFFFF"/>
        <w:snapToGrid w:val="0"/>
        <w:ind w:firstLine="1280" w:firstLineChars="400"/>
        <w:jc w:val="both"/>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已经保密审查、内容审定，同意对外公开</w:t>
      </w:r>
    </w:p>
    <w:p w14:paraId="26409F9D">
      <w:pPr>
        <w:widowControl/>
        <w:jc w:val="center"/>
        <w:rPr>
          <w:rFonts w:hint="eastAsia" w:ascii="仿宋" w:hAnsi="仿宋" w:eastAsia="仿宋" w:cs="仿宋"/>
          <w:sz w:val="30"/>
          <w:szCs w:val="30"/>
        </w:rPr>
      </w:pPr>
    </w:p>
    <w:p w14:paraId="2B2F4916">
      <w:pPr>
        <w:widowControl/>
        <w:jc w:val="center"/>
        <w:rPr>
          <w:rFonts w:hint="eastAsia" w:ascii="仿宋" w:hAnsi="仿宋" w:eastAsia="仿宋" w:cs="仿宋"/>
          <w:sz w:val="30"/>
          <w:szCs w:val="30"/>
        </w:rPr>
      </w:pPr>
    </w:p>
    <w:p w14:paraId="3D7E960F">
      <w:pPr>
        <w:widowControl/>
        <w:jc w:val="center"/>
        <w:rPr>
          <w:rFonts w:hint="eastAsia" w:ascii="仿宋" w:hAnsi="仿宋" w:eastAsia="仿宋" w:cs="仿宋"/>
          <w:sz w:val="30"/>
          <w:szCs w:val="30"/>
        </w:rPr>
      </w:pPr>
    </w:p>
    <w:p w14:paraId="06756DE1">
      <w:pPr>
        <w:pStyle w:val="11"/>
        <w:ind w:firstLine="1800" w:firstLineChars="600"/>
        <w:jc w:val="both"/>
        <w:rPr>
          <w:rFonts w:hint="eastAsia" w:ascii="仿宋" w:hAnsi="仿宋" w:eastAsia="仿宋" w:cs="仿宋"/>
          <w:sz w:val="30"/>
          <w:szCs w:val="30"/>
        </w:rPr>
      </w:pPr>
      <w:r>
        <w:rPr>
          <w:rFonts w:hint="eastAsia" w:ascii="仿宋" w:hAnsi="仿宋" w:eastAsia="仿宋" w:cs="仿宋"/>
          <w:sz w:val="30"/>
          <w:szCs w:val="30"/>
        </w:rPr>
        <w:t>公开时间：202</w:t>
      </w:r>
      <w:r>
        <w:rPr>
          <w:rFonts w:hint="eastAsia" w:cs="仿宋"/>
          <w:sz w:val="30"/>
          <w:szCs w:val="30"/>
          <w:lang w:val="en-US" w:eastAsia="zh-CN"/>
        </w:rPr>
        <w:t>5</w:t>
      </w:r>
      <w:r>
        <w:rPr>
          <w:rFonts w:hint="eastAsia" w:ascii="仿宋" w:hAnsi="仿宋" w:eastAsia="仿宋" w:cs="仿宋"/>
          <w:sz w:val="30"/>
          <w:szCs w:val="30"/>
        </w:rPr>
        <w:t>年</w:t>
      </w:r>
      <w:r>
        <w:rPr>
          <w:rFonts w:hint="eastAsia" w:cs="仿宋"/>
          <w:sz w:val="30"/>
          <w:szCs w:val="30"/>
          <w:lang w:val="en-US" w:eastAsia="zh-CN"/>
        </w:rPr>
        <w:t>9</w:t>
      </w:r>
      <w:r>
        <w:rPr>
          <w:rFonts w:hint="eastAsia" w:ascii="仿宋" w:hAnsi="仿宋" w:eastAsia="仿宋" w:cs="仿宋"/>
          <w:sz w:val="30"/>
          <w:szCs w:val="30"/>
        </w:rPr>
        <w:t>月</w:t>
      </w:r>
      <w:r>
        <w:rPr>
          <w:rFonts w:hint="eastAsia" w:cs="仿宋"/>
          <w:sz w:val="30"/>
          <w:szCs w:val="30"/>
          <w:lang w:val="en-US" w:eastAsia="zh-CN"/>
        </w:rPr>
        <w:t>22</w:t>
      </w:r>
      <w:r>
        <w:rPr>
          <w:rFonts w:hint="eastAsia" w:ascii="仿宋" w:hAnsi="仿宋" w:eastAsia="仿宋" w:cs="仿宋"/>
          <w:sz w:val="30"/>
          <w:szCs w:val="30"/>
        </w:rPr>
        <w:t>日</w:t>
      </w:r>
    </w:p>
    <w:p w14:paraId="4A3E7C08">
      <w:pPr>
        <w:widowControl/>
        <w:jc w:val="center"/>
        <w:rPr>
          <w:rFonts w:hint="eastAsia" w:ascii="黑体" w:hAnsi="黑体" w:eastAsia="黑体" w:cs="黑体"/>
          <w:b/>
          <w:bCs/>
          <w:sz w:val="32"/>
          <w:szCs w:val="32"/>
        </w:rPr>
      </w:pPr>
    </w:p>
    <w:p w14:paraId="4626FD7D">
      <w:pPr>
        <w:widowControl/>
        <w:ind w:firstLine="3855" w:firstLineChars="1200"/>
        <w:jc w:val="both"/>
        <w:rPr>
          <w:rFonts w:hint="eastAsia" w:ascii="黑体" w:hAnsi="黑体" w:eastAsia="黑体" w:cs="黑体"/>
          <w:b/>
          <w:bCs/>
          <w:sz w:val="32"/>
          <w:szCs w:val="32"/>
        </w:rPr>
      </w:pPr>
    </w:p>
    <w:p w14:paraId="3D47FD64">
      <w:pPr>
        <w:widowControl/>
        <w:ind w:firstLine="3855" w:firstLineChars="1200"/>
        <w:jc w:val="both"/>
        <w:rPr>
          <w:rFonts w:hint="eastAsia" w:ascii="黑体" w:hAnsi="黑体" w:eastAsia="黑体" w:cs="黑体"/>
          <w:b/>
          <w:bCs/>
          <w:sz w:val="32"/>
          <w:szCs w:val="32"/>
        </w:rPr>
      </w:pPr>
    </w:p>
    <w:p w14:paraId="50EE09CE">
      <w:pPr>
        <w:widowControl/>
        <w:jc w:val="both"/>
        <w:rPr>
          <w:rFonts w:hint="eastAsia" w:ascii="方正小标宋_GBK" w:hAnsi="方正小标宋_GBK" w:eastAsia="方正小标宋_GBK" w:cs="方正小标宋_GBK"/>
          <w:b/>
          <w:bCs/>
          <w:kern w:val="44"/>
          <w:sz w:val="44"/>
          <w:szCs w:val="32"/>
          <w:lang w:val="en-US" w:eastAsia="zh-CN" w:bidi="ar-SA"/>
        </w:rPr>
      </w:pPr>
    </w:p>
    <w:p w14:paraId="1B74B2F8">
      <w:pPr>
        <w:adjustRightInd w:val="0"/>
        <w:snapToGrid w:val="0"/>
        <w:spacing w:line="360" w:lineRule="auto"/>
        <w:jc w:val="center"/>
        <w:outlineLvl w:val="0"/>
        <w:rPr>
          <w:rFonts w:ascii="方正小标宋简体" w:hAnsi="宋体" w:eastAsia="方正小标宋简体"/>
          <w:sz w:val="52"/>
          <w:szCs w:val="52"/>
        </w:rPr>
      </w:pPr>
    </w:p>
    <w:p w14:paraId="4B96F47C">
      <w:pPr>
        <w:widowControl/>
        <w:jc w:val="both"/>
        <w:rPr>
          <w:rFonts w:ascii="黑体" w:hAnsi="黑体" w:eastAsia="黑体"/>
          <w:sz w:val="48"/>
          <w:szCs w:val="48"/>
        </w:rPr>
      </w:pPr>
      <w:r>
        <w:rPr>
          <w:rFonts w:ascii="方正小标宋简体" w:hAnsi="宋体" w:eastAsia="方正小标宋简体"/>
          <w:sz w:val="36"/>
          <w:szCs w:val="36"/>
        </w:rPr>
        <w:br w:type="page"/>
      </w:r>
    </w:p>
    <w:p w14:paraId="6900A255">
      <w:pPr>
        <w:pStyle w:val="2"/>
        <w:pageBreakBefore w:val="0"/>
        <w:kinsoku/>
        <w:wordWrap/>
        <w:overflowPunct/>
        <w:topLinePunct w:val="0"/>
        <w:autoSpaceDE/>
        <w:autoSpaceDN/>
        <w:bidi w:val="0"/>
        <w:adjustRightInd/>
        <w:snapToGrid/>
        <w:spacing w:line="560" w:lineRule="exact"/>
        <w:ind w:right="440"/>
        <w:jc w:val="center"/>
        <w:textAlignment w:val="auto"/>
        <w:rPr>
          <w:rFonts w:hint="eastAsia" w:ascii="黑体" w:hAnsi="黑体" w:eastAsia="黑体"/>
          <w:b w:val="0"/>
        </w:rPr>
      </w:pPr>
      <w:bookmarkStart w:id="5" w:name="_Toc15396599"/>
      <w:bookmarkStart w:id="6" w:name="_Toc15377196"/>
      <w:r>
        <w:rPr>
          <w:rFonts w:hint="eastAsia" w:ascii="黑体" w:hAnsi="黑体" w:eastAsia="黑体"/>
          <w:b w:val="0"/>
          <w:lang w:val="en-US" w:eastAsia="zh-CN"/>
        </w:rPr>
        <w:t xml:space="preserve"> </w:t>
      </w:r>
      <w:r>
        <w:rPr>
          <w:rFonts w:hint="eastAsia" w:ascii="黑体" w:hAnsi="黑体" w:eastAsia="黑体"/>
          <w:b w:val="0"/>
        </w:rPr>
        <w:t>第一部分 单位概况</w:t>
      </w:r>
      <w:bookmarkEnd w:id="5"/>
      <w:bookmarkEnd w:id="6"/>
    </w:p>
    <w:p w14:paraId="428AA024">
      <w:pPr>
        <w:pStyle w:val="3"/>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pPr>
      <w:bookmarkStart w:id="7" w:name="_Toc15396600"/>
      <w:bookmarkStart w:id="8" w:name="_Toc15377197"/>
      <w:r>
        <w:rPr>
          <w:rStyle w:val="31"/>
          <w:rFonts w:hint="eastAsia" w:ascii="黑体" w:hAnsi="黑体" w:eastAsia="黑体" w:cs="黑体"/>
          <w:b w:val="0"/>
          <w:bCs w:val="0"/>
          <w:lang w:val="en-US" w:eastAsia="zh-CN"/>
        </w:rPr>
        <w:t>一</w:t>
      </w:r>
      <w:r>
        <w:rPr>
          <w:rFonts w:hint="eastAsia" w:ascii="黑体" w:hAnsi="黑体" w:eastAsia="黑体" w:cs="黑体"/>
          <w:b w:val="0"/>
          <w:bCs w:val="0"/>
          <w:color w:val="000000"/>
          <w:sz w:val="32"/>
          <w:szCs w:val="32"/>
          <w:lang w:val="en-US" w:eastAsia="zh-CN"/>
        </w:rPr>
        <w:t>、</w:t>
      </w:r>
      <w:r>
        <w:rPr>
          <w:rStyle w:val="31"/>
          <w:rFonts w:hint="eastAsia" w:ascii="黑体" w:hAnsi="黑体" w:eastAsia="黑体" w:cs="黑体"/>
          <w:b w:val="0"/>
          <w:bCs w:val="0"/>
        </w:rPr>
        <w:t>主要职责</w:t>
      </w:r>
    </w:p>
    <w:p w14:paraId="7A829875">
      <w:pPr>
        <w:pStyle w:val="3"/>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lang w:val="en-US" w:eastAsia="zh-CN"/>
        </w:rPr>
        <w:t>贯彻执行国家和省、州有关党史研究和地方志工作的方针、政策和法规；制定我县党史研究和地方志工作、综合年鉴的具体规划、管理办法，并组织实施。负责收集、整理党的文献、资料和文物，承担《中国共产党执政实录》组稿、总纂、审定、出版等业务。指导乡镇和县直各部门做好党史资料的收集和整理工作。负责编写我县各个历史时期的党史大事记、专题材料和党史人物传等。负责全县党史和地情资料收集、地情咨询服务。负责组织、协调，指导全县地方志和综合年鉴编修和检查、督促工，负责乡镇志业务指导和验收工作等，</w:t>
      </w:r>
      <w:r>
        <w:rPr>
          <w:rFonts w:hint="eastAsia" w:ascii="仿宋_GB2312" w:hAnsi="仿宋_GB2312" w:eastAsia="仿宋_GB2312" w:cs="仿宋_GB2312"/>
          <w:b w:val="0"/>
          <w:bCs w:val="0"/>
          <w:color w:val="000000"/>
          <w:sz w:val="32"/>
          <w:szCs w:val="32"/>
        </w:rPr>
        <w:t>同是完成县委县政府交办的其他工作</w:t>
      </w:r>
      <w:r>
        <w:rPr>
          <w:rFonts w:hint="eastAsia" w:ascii="仿宋_GB2312" w:hAnsi="仿宋_GB2312" w:eastAsia="仿宋_GB2312" w:cs="仿宋_GB2312"/>
          <w:b w:val="0"/>
          <w:bCs w:val="0"/>
          <w:sz w:val="32"/>
          <w:szCs w:val="32"/>
        </w:rPr>
        <w:t>。</w:t>
      </w:r>
    </w:p>
    <w:p w14:paraId="0CBBA91C">
      <w:pPr>
        <w:pStyle w:val="3"/>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rPr>
      </w:pPr>
      <w:r>
        <w:rPr>
          <w:rFonts w:hint="eastAsia" w:ascii="黑体" w:hAnsi="黑体" w:eastAsia="黑体" w:cs="黑体"/>
          <w:b w:val="0"/>
          <w:bCs w:val="0"/>
          <w:sz w:val="32"/>
          <w:szCs w:val="32"/>
          <w:lang w:eastAsia="zh-CN"/>
        </w:rPr>
        <w:t>二、</w:t>
      </w:r>
      <w:r>
        <w:rPr>
          <w:rFonts w:hint="eastAsia" w:ascii="黑体" w:hAnsi="黑体" w:eastAsia="黑体" w:cs="黑体"/>
          <w:b w:val="0"/>
          <w:bCs w:val="0"/>
        </w:rPr>
        <w:t>机构设置</w:t>
      </w:r>
      <w:bookmarkEnd w:id="7"/>
      <w:bookmarkEnd w:id="8"/>
    </w:p>
    <w:p w14:paraId="662F1A7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红原县党史研究和地方志编纂中心下属二级预算单位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个。纳入红原县党史研究和地方志编纂中心2024年度部门决算编制范围的二级预算单位</w:t>
      </w:r>
      <w:r>
        <w:rPr>
          <w:rFonts w:hint="eastAsia" w:ascii="仿宋_GB2312" w:hAnsi="仿宋_GB2312" w:eastAsia="仿宋_GB2312" w:cs="仿宋_GB2312"/>
          <w:sz w:val="32"/>
          <w:szCs w:val="32"/>
          <w:lang w:val="en-US" w:eastAsia="zh-CN"/>
        </w:rPr>
        <w:t>0个</w:t>
      </w:r>
    </w:p>
    <w:p w14:paraId="6C52B5F5">
      <w:pPr>
        <w:pStyle w:val="3"/>
        <w:pageBreakBefore w:val="0"/>
        <w:numPr>
          <w:ilvl w:val="0"/>
          <w:numId w:val="0"/>
        </w:numPr>
        <w:kinsoku/>
        <w:wordWrap/>
        <w:overflowPunct/>
        <w:topLinePunct w:val="0"/>
        <w:autoSpaceDE/>
        <w:autoSpaceDN/>
        <w:bidi w:val="0"/>
        <w:adjustRightInd/>
        <w:snapToGrid/>
        <w:spacing w:before="0" w:after="0" w:line="560" w:lineRule="exact"/>
        <w:ind w:leftChars="0" w:firstLine="640" w:firstLineChars="200"/>
        <w:textAlignment w:val="auto"/>
        <w:rPr>
          <w:rFonts w:hint="eastAsia" w:ascii="黑体" w:hAnsi="黑体" w:eastAsia="黑体" w:cs="黑体"/>
          <w:b w:val="0"/>
          <w:bCs w:val="0"/>
          <w:snapToGrid w:val="0"/>
          <w:sz w:val="32"/>
          <w:szCs w:val="32"/>
          <w:shd w:val="clear" w:fill="FFFFFF"/>
          <w:lang w:eastAsia="zh-CN"/>
        </w:rPr>
      </w:pPr>
      <w:bookmarkStart w:id="9" w:name="_Toc13080"/>
      <w:r>
        <w:rPr>
          <w:rFonts w:hint="eastAsia" w:ascii="黑体" w:hAnsi="黑体" w:eastAsia="黑体" w:cs="黑体"/>
          <w:b w:val="0"/>
          <w:bCs w:val="0"/>
          <w:snapToGrid w:val="0"/>
          <w:sz w:val="32"/>
          <w:szCs w:val="32"/>
          <w:shd w:val="clear" w:fill="FFFFFF"/>
          <w:lang w:val="en-US" w:eastAsia="zh-CN"/>
        </w:rPr>
        <w:t>三、2024</w:t>
      </w:r>
      <w:r>
        <w:rPr>
          <w:rFonts w:hint="eastAsia" w:ascii="黑体" w:hAnsi="黑体" w:eastAsia="黑体" w:cs="黑体"/>
          <w:b w:val="0"/>
          <w:bCs w:val="0"/>
          <w:snapToGrid w:val="0"/>
          <w:sz w:val="32"/>
          <w:szCs w:val="32"/>
          <w:shd w:val="clear" w:fill="FFFFFF"/>
          <w:lang w:eastAsia="zh-CN"/>
        </w:rPr>
        <w:t>年重点工作完成情况</w:t>
      </w:r>
      <w:bookmarkEnd w:id="9"/>
    </w:p>
    <w:p w14:paraId="37D4C7A7">
      <w:pPr>
        <w:keepNext w:val="0"/>
        <w:keepLines w:val="0"/>
        <w:pageBreakBefore w:val="0"/>
        <w:numPr>
          <w:ilvl w:val="0"/>
          <w:numId w:val="0"/>
        </w:numPr>
        <w:kinsoku/>
        <w:wordWrap/>
        <w:overflowPunct/>
        <w:topLinePunct w:val="0"/>
        <w:autoSpaceDE/>
        <w:autoSpaceDN/>
        <w:bidi w:val="0"/>
        <w:adjustRightInd/>
        <w:snapToGrid/>
        <w:spacing w:line="560" w:lineRule="atLeas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完成20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年《党史大事记》的搜集、整理、上报工作</w:t>
      </w:r>
      <w:r>
        <w:rPr>
          <w:rFonts w:hint="eastAsia" w:ascii="仿宋_GB2312" w:hAnsi="仿宋_GB2312" w:eastAsia="仿宋_GB2312" w:cs="仿宋_GB2312"/>
          <w:color w:val="auto"/>
          <w:sz w:val="32"/>
          <w:szCs w:val="32"/>
          <w:lang w:eastAsia="zh-CN"/>
        </w:rPr>
        <w:t>。</w:t>
      </w:r>
    </w:p>
    <w:p w14:paraId="28989C9C">
      <w:pPr>
        <w:keepNext w:val="0"/>
        <w:keepLines w:val="0"/>
        <w:pageBreakBefore w:val="0"/>
        <w:numPr>
          <w:ilvl w:val="0"/>
          <w:numId w:val="0"/>
        </w:numPr>
        <w:kinsoku/>
        <w:wordWrap/>
        <w:overflowPunct/>
        <w:topLinePunct w:val="0"/>
        <w:autoSpaceDE/>
        <w:autoSpaceDN/>
        <w:bidi w:val="0"/>
        <w:adjustRightInd/>
        <w:snapToGrid/>
        <w:spacing w:line="56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拍摄制作</w:t>
      </w:r>
      <w:r>
        <w:rPr>
          <w:rFonts w:hint="eastAsia" w:ascii="仿宋_GB2312" w:hAnsi="仿宋_GB2312" w:eastAsia="仿宋_GB2312" w:cs="仿宋_GB2312"/>
          <w:color w:val="auto"/>
          <w:sz w:val="32"/>
          <w:szCs w:val="32"/>
          <w:lang w:val="en-US" w:eastAsia="zh-CN"/>
        </w:rPr>
        <w:t>党史短视频</w:t>
      </w:r>
      <w:r>
        <w:rPr>
          <w:rFonts w:hint="eastAsia" w:ascii="仿宋_GB2312" w:hAnsi="仿宋_GB2312" w:eastAsia="仿宋_GB2312" w:cs="仿宋_GB2312"/>
          <w:color w:val="auto"/>
          <w:sz w:val="32"/>
          <w:szCs w:val="32"/>
        </w:rPr>
        <w:t>纪录片《</w:t>
      </w:r>
      <w:r>
        <w:rPr>
          <w:rFonts w:hint="eastAsia" w:ascii="仿宋_GB2312" w:hAnsi="仿宋_GB2312" w:eastAsia="仿宋_GB2312" w:cs="仿宋_GB2312"/>
          <w:color w:val="auto"/>
          <w:sz w:val="32"/>
          <w:szCs w:val="32"/>
          <w:lang w:val="en-US" w:eastAsia="zh-CN"/>
        </w:rPr>
        <w:t>红军三过草地长征路线动态短视频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1部</w:t>
      </w:r>
      <w:r>
        <w:rPr>
          <w:rFonts w:hint="eastAsia" w:ascii="仿宋_GB2312" w:hAnsi="仿宋_GB2312" w:eastAsia="仿宋_GB2312" w:cs="仿宋_GB2312"/>
          <w:color w:val="auto"/>
          <w:sz w:val="32"/>
          <w:szCs w:val="32"/>
          <w:lang w:eastAsia="zh-CN"/>
        </w:rPr>
        <w:t>。</w:t>
      </w:r>
    </w:p>
    <w:p w14:paraId="43DE372A">
      <w:pPr>
        <w:keepNext w:val="0"/>
        <w:keepLines w:val="0"/>
        <w:pageBreakBefore w:val="0"/>
        <w:numPr>
          <w:ilvl w:val="0"/>
          <w:numId w:val="0"/>
        </w:numPr>
        <w:kinsoku/>
        <w:wordWrap/>
        <w:overflowPunct/>
        <w:topLinePunct w:val="0"/>
        <w:autoSpaceDE/>
        <w:autoSpaceDN/>
        <w:bidi w:val="0"/>
        <w:adjustRightInd/>
        <w:snapToGrid/>
        <w:spacing w:line="56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继续</w:t>
      </w:r>
      <w:r>
        <w:rPr>
          <w:rFonts w:hint="eastAsia" w:ascii="仿宋_GB2312" w:hAnsi="仿宋_GB2312" w:eastAsia="仿宋_GB2312" w:cs="仿宋_GB2312"/>
          <w:color w:val="auto"/>
          <w:sz w:val="32"/>
          <w:szCs w:val="32"/>
          <w:lang w:eastAsia="zh-CN"/>
        </w:rPr>
        <w:t>加强乡镇、村志编纂指导。</w:t>
      </w:r>
      <w:r>
        <w:rPr>
          <w:rFonts w:hint="eastAsia" w:ascii="仿宋_GB2312" w:hAnsi="仿宋_GB2312" w:eastAsia="仿宋_GB2312" w:cs="仿宋_GB2312"/>
          <w:kern w:val="2"/>
          <w:sz w:val="32"/>
          <w:szCs w:val="32"/>
          <w:lang w:val="en-US" w:eastAsia="zh-CN" w:bidi="ar-SA"/>
        </w:rPr>
        <w:t>按照《阿坝州“十四五”地方志事业发展规划》要求，加强对各乡镇志、村志编纂工作指导，开展乡镇志、村志编纂骨干培训，完成《刷经寺镇志》《安曲镇志》《三家寨村志》《下哈拉玛村志》的出版发行工作任务。</w:t>
      </w:r>
      <w:r>
        <w:rPr>
          <w:rFonts w:hint="eastAsia" w:ascii="仿宋_GB2312" w:hAnsi="仿宋_GB2312" w:eastAsia="仿宋_GB2312" w:cs="仿宋_GB2312"/>
          <w:color w:val="auto"/>
          <w:sz w:val="32"/>
          <w:szCs w:val="32"/>
        </w:rPr>
        <w:t>.</w:t>
      </w:r>
    </w:p>
    <w:p w14:paraId="44826A6F">
      <w:pPr>
        <w:keepNext w:val="0"/>
        <w:keepLines w:val="0"/>
        <w:pageBreakBefore w:val="0"/>
        <w:numPr>
          <w:ilvl w:val="0"/>
          <w:numId w:val="0"/>
        </w:numPr>
        <w:kinsoku/>
        <w:wordWrap/>
        <w:overflowPunct/>
        <w:topLinePunct w:val="0"/>
        <w:autoSpaceDE/>
        <w:autoSpaceDN/>
        <w:bidi w:val="0"/>
        <w:adjustRightInd/>
        <w:snapToGrid/>
        <w:spacing w:line="560" w:lineRule="atLeas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按照年鉴编纂“一年一鉴，公开出版发行”要求，完成20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年《红原年鉴》编辑</w:t>
      </w:r>
      <w:r>
        <w:rPr>
          <w:rFonts w:hint="eastAsia" w:ascii="仿宋_GB2312" w:hAnsi="仿宋_GB2312" w:eastAsia="仿宋_GB2312" w:cs="仿宋_GB2312"/>
          <w:color w:val="auto"/>
          <w:sz w:val="32"/>
          <w:szCs w:val="32"/>
          <w:lang w:eastAsia="zh-CN"/>
        </w:rPr>
        <w:t>。</w:t>
      </w:r>
    </w:p>
    <w:p w14:paraId="0339C15A">
      <w:pPr>
        <w:keepNext w:val="0"/>
        <w:keepLines w:val="0"/>
        <w:pageBreakBefore w:val="0"/>
        <w:numPr>
          <w:ilvl w:val="0"/>
          <w:numId w:val="0"/>
        </w:numPr>
        <w:kinsoku/>
        <w:wordWrap/>
        <w:overflowPunct/>
        <w:topLinePunct w:val="0"/>
        <w:autoSpaceDE/>
        <w:autoSpaceDN/>
        <w:bidi w:val="0"/>
        <w:adjustRightInd/>
        <w:snapToGrid/>
        <w:spacing w:line="560" w:lineRule="atLeas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完成《中国共产党红原执政实录（20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公开出版</w:t>
      </w:r>
      <w:r>
        <w:rPr>
          <w:rFonts w:hint="eastAsia" w:ascii="仿宋_GB2312" w:hAnsi="仿宋_GB2312" w:eastAsia="仿宋_GB2312" w:cs="仿宋_GB2312"/>
          <w:color w:val="auto"/>
          <w:sz w:val="32"/>
          <w:szCs w:val="32"/>
          <w:lang w:eastAsia="zh-CN"/>
        </w:rPr>
        <w:t>。</w:t>
      </w:r>
    </w:p>
    <w:p w14:paraId="248A26DE">
      <w:pPr>
        <w:keepNext w:val="0"/>
        <w:keepLines w:val="0"/>
        <w:pageBreakBefore w:val="0"/>
        <w:numPr>
          <w:ilvl w:val="0"/>
          <w:numId w:val="0"/>
        </w:numPr>
        <w:kinsoku/>
        <w:wordWrap/>
        <w:overflowPunct/>
        <w:topLinePunct w:val="0"/>
        <w:autoSpaceDE/>
        <w:autoSpaceDN/>
        <w:bidi w:val="0"/>
        <w:adjustRightInd/>
        <w:snapToGrid/>
        <w:spacing w:line="560" w:lineRule="atLeas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收集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红原县扶贫志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资料</w:t>
      </w:r>
      <w:r>
        <w:rPr>
          <w:rFonts w:hint="eastAsia" w:ascii="仿宋_GB2312" w:hAnsi="仿宋_GB2312" w:eastAsia="仿宋_GB2312" w:cs="仿宋_GB2312"/>
          <w:sz w:val="32"/>
          <w:szCs w:val="32"/>
          <w:lang w:val="en-US" w:eastAsia="zh-CN"/>
        </w:rPr>
        <w:t>收集</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进入撰写初稿阶段</w:t>
      </w:r>
      <w:r>
        <w:rPr>
          <w:rFonts w:hint="eastAsia" w:ascii="仿宋_GB2312" w:hAnsi="仿宋_GB2312" w:eastAsia="仿宋_GB2312" w:cs="仿宋_GB2312"/>
          <w:sz w:val="32"/>
          <w:szCs w:val="32"/>
        </w:rPr>
        <w:t>。</w:t>
      </w:r>
    </w:p>
    <w:p w14:paraId="7769882E">
      <w:pPr>
        <w:keepNext w:val="0"/>
        <w:keepLines w:val="0"/>
        <w:pageBreakBefore w:val="0"/>
        <w:numPr>
          <w:ilvl w:val="0"/>
          <w:numId w:val="0"/>
        </w:numPr>
        <w:kinsoku/>
        <w:wordWrap/>
        <w:overflowPunct/>
        <w:topLinePunct w:val="0"/>
        <w:autoSpaceDE/>
        <w:autoSpaceDN/>
        <w:bidi w:val="0"/>
        <w:adjustRightInd/>
        <w:snapToGrid/>
        <w:spacing w:line="560" w:lineRule="atLeas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7.深入联系乡镇、学校等开展史志“七进”工作5次。</w:t>
      </w:r>
    </w:p>
    <w:p w14:paraId="1E729BDA">
      <w:pPr>
        <w:keepNext w:val="0"/>
        <w:keepLines w:val="0"/>
        <w:pageBreakBefore w:val="0"/>
        <w:numPr>
          <w:ilvl w:val="0"/>
          <w:numId w:val="0"/>
        </w:numPr>
        <w:kinsoku/>
        <w:wordWrap/>
        <w:overflowPunct/>
        <w:topLinePunct w:val="0"/>
        <w:autoSpaceDE/>
        <w:autoSpaceDN/>
        <w:bidi w:val="0"/>
        <w:adjustRightInd/>
        <w:snapToGrid/>
        <w:spacing w:line="560" w:lineRule="atLeas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8.收集整理十八大以来习近平总书记关怀指导本地区、本部门工作的相关文字资料16篇，图片31张。</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年省、州年鉴红原篇资料的收集、整理、编纂</w:t>
      </w:r>
      <w:r>
        <w:rPr>
          <w:rFonts w:hint="eastAsia" w:ascii="仿宋_GB2312" w:hAnsi="仿宋_GB2312" w:eastAsia="仿宋_GB2312" w:cs="仿宋_GB2312"/>
          <w:sz w:val="32"/>
          <w:szCs w:val="32"/>
          <w:lang w:eastAsia="zh-CN"/>
        </w:rPr>
        <w:t>、上报</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14:paraId="1AC66307">
      <w:pPr>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br w:type="page"/>
      </w:r>
    </w:p>
    <w:p w14:paraId="33FD88D6">
      <w:pPr>
        <w:pStyle w:val="2"/>
        <w:pageBreakBefore w:val="0"/>
        <w:widowControl w:val="0"/>
        <w:kinsoku/>
        <w:wordWrap/>
        <w:overflowPunct/>
        <w:topLinePunct w:val="0"/>
        <w:autoSpaceDE/>
        <w:autoSpaceDN/>
        <w:bidi w:val="0"/>
        <w:adjustRightInd/>
        <w:snapToGrid/>
        <w:spacing w:line="560" w:lineRule="atLeast"/>
        <w:ind w:right="440" w:firstLine="440" w:firstLineChars="100"/>
        <w:jc w:val="center"/>
        <w:textAlignment w:val="auto"/>
        <w:rPr>
          <w:rStyle w:val="30"/>
          <w:rFonts w:ascii="黑体" w:hAnsi="黑体" w:eastAsia="黑体"/>
          <w:b w:val="0"/>
          <w:bCs/>
        </w:rPr>
      </w:pPr>
      <w:bookmarkStart w:id="10" w:name="_Toc15377204"/>
      <w:bookmarkStart w:id="11" w:name="_Toc15396602"/>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0"/>
          <w:rFonts w:hint="eastAsia" w:ascii="黑体" w:hAnsi="黑体" w:eastAsia="黑体"/>
          <w:b w:val="0"/>
          <w:bCs/>
        </w:rPr>
        <w:t>单位决算情况说明</w:t>
      </w:r>
      <w:bookmarkEnd w:id="10"/>
      <w:bookmarkEnd w:id="11"/>
    </w:p>
    <w:p w14:paraId="2027D478">
      <w:pPr>
        <w:pStyle w:val="29"/>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31"/>
          <w:rFonts w:ascii="黑体" w:hAnsi="黑体" w:eastAsia="黑体"/>
          <w:b w:val="0"/>
        </w:rPr>
      </w:pPr>
      <w:bookmarkStart w:id="12" w:name="_Toc15396603"/>
      <w:bookmarkStart w:id="13" w:name="_Toc15377205"/>
      <w:r>
        <w:rPr>
          <w:rFonts w:hint="eastAsia" w:ascii="黑体" w:hAnsi="黑体" w:eastAsia="黑体"/>
          <w:sz w:val="32"/>
          <w:szCs w:val="32"/>
          <w:lang w:val="en-US" w:eastAsia="zh-CN"/>
        </w:rPr>
        <w:t>一、</w:t>
      </w:r>
      <w:r>
        <w:rPr>
          <w:rFonts w:hint="eastAsia" w:ascii="黑体" w:hAnsi="黑体" w:eastAsia="黑体"/>
          <w:sz w:val="32"/>
          <w:szCs w:val="32"/>
        </w:rPr>
        <w:t>收</w:t>
      </w:r>
      <w:r>
        <w:rPr>
          <w:rStyle w:val="31"/>
          <w:rFonts w:hint="eastAsia" w:ascii="黑体" w:hAnsi="黑体" w:eastAsia="黑体"/>
          <w:b w:val="0"/>
        </w:rPr>
        <w:t>入支出决算总体情况说明</w:t>
      </w:r>
      <w:bookmarkEnd w:id="12"/>
      <w:bookmarkEnd w:id="13"/>
    </w:p>
    <w:p w14:paraId="4F2EDA3D">
      <w:pPr>
        <w:pStyle w:val="29"/>
        <w:spacing w:line="600" w:lineRule="exact"/>
        <w:ind w:firstLine="640"/>
        <w:outlineLvl w:val="1"/>
        <w:rPr>
          <w:rFonts w:hint="eastAsia" w:eastAsia="仿宋_GB2312" w:cs="仿宋_GB2312"/>
          <w:sz w:val="32"/>
          <w:szCs w:val="32"/>
          <w:lang w:eastAsia="zh-CN"/>
        </w:rPr>
      </w:pPr>
      <w:r>
        <w:rPr>
          <w:rFonts w:hint="eastAsia" w:ascii="仿宋_GB2312" w:hAnsi="仿宋_GB2312" w:eastAsia="仿宋_GB2312" w:cs="仿宋_GB2312"/>
          <w:sz w:val="32"/>
          <w:szCs w:val="32"/>
        </w:rPr>
        <w:t>2024年度收入、支出总计均为237.71万元。与2023年度相比，收入、支出总计各减少</w:t>
      </w:r>
      <w:r>
        <w:rPr>
          <w:rFonts w:hint="eastAsia" w:ascii="仿宋_GB2312" w:hAnsi="仿宋_GB2312" w:eastAsia="仿宋_GB2312" w:cs="仿宋_GB2312"/>
          <w:sz w:val="32"/>
          <w:szCs w:val="32"/>
          <w:lang w:val="en-US" w:eastAsia="zh-CN"/>
        </w:rPr>
        <w:t>70.43</w:t>
      </w:r>
      <w:r>
        <w:rPr>
          <w:rFonts w:hint="eastAsia" w:eastAsia="仿宋_GB2312" w:cs="仿宋_GB2312"/>
          <w:sz w:val="32"/>
          <w:szCs w:val="32"/>
        </w:rPr>
        <w:t>万元，</w:t>
      </w:r>
      <w:r>
        <w:rPr>
          <w:rFonts w:hint="eastAsia" w:ascii="仿宋_GB2312" w:hAnsi="仿宋_GB2312" w:eastAsia="仿宋_GB2312" w:cs="仿宋_GB2312"/>
          <w:sz w:val="32"/>
          <w:szCs w:val="32"/>
        </w:rPr>
        <w:t>下降</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w:t>
      </w:r>
      <w:r>
        <w:rPr>
          <w:rFonts w:hint="eastAsia" w:eastAsia="仿宋_GB2312" w:cs="仿宋_GB2312"/>
          <w:sz w:val="32"/>
          <w:szCs w:val="32"/>
        </w:rPr>
        <w:t>主要变动原因</w:t>
      </w:r>
      <w:r>
        <w:rPr>
          <w:rFonts w:hint="eastAsia" w:eastAsia="仿宋_GB2312" w:cs="仿宋_GB2312"/>
          <w:sz w:val="32"/>
          <w:szCs w:val="32"/>
          <w:lang w:eastAsia="zh-CN"/>
        </w:rPr>
        <w:t>是人员变动及项目支出减少。</w:t>
      </w:r>
    </w:p>
    <w:p w14:paraId="0AF4EB9C">
      <w:pPr>
        <w:pageBreakBefore w:val="0"/>
        <w:widowControl w:val="0"/>
        <w:kinsoku/>
        <w:wordWrap/>
        <w:overflowPunct/>
        <w:topLinePunct w:val="0"/>
        <w:autoSpaceDE/>
        <w:autoSpaceDN/>
        <w:bidi w:val="0"/>
        <w:adjustRightInd/>
        <w:snapToGrid/>
        <w:spacing w:line="560" w:lineRule="atLeast"/>
        <w:ind w:firstLine="420" w:firstLineChars="200"/>
        <w:textAlignment w:val="auto"/>
        <w:rPr>
          <w:rFonts w:hint="eastAsia" w:eastAsia="仿宋_GB2312" w:cs="仿宋_GB2312"/>
          <w:sz w:val="32"/>
          <w:szCs w:val="32"/>
        </w:rPr>
      </w:pPr>
      <w:r>
        <w:rPr>
          <w:rFonts w:hint="eastAsia" w:eastAsiaTheme="minorEastAsia"/>
          <w:lang w:val="en-US" w:eastAsia="zh-CN"/>
        </w:rPr>
        <w:t xml:space="preserve">   </w:t>
      </w:r>
      <w:r>
        <w:rPr>
          <w:rFonts w:hint="eastAsia" w:eastAsiaTheme="minorEastAsia"/>
          <w:lang w:eastAsia="zh-CN"/>
        </w:rPr>
        <w:drawing>
          <wp:inline distT="0" distB="0" distL="114300" distR="114300">
            <wp:extent cx="4083050" cy="2116455"/>
            <wp:effectExtent l="4445" t="5080" r="8255" b="1206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FCCECB7">
      <w:pPr>
        <w:pageBreakBefore w:val="0"/>
        <w:widowControl w:val="0"/>
        <w:kinsoku/>
        <w:wordWrap/>
        <w:overflowPunct/>
        <w:topLinePunct w:val="0"/>
        <w:autoSpaceDE/>
        <w:autoSpaceDN/>
        <w:bidi w:val="0"/>
        <w:adjustRightInd/>
        <w:snapToGrid/>
        <w:spacing w:line="560" w:lineRule="atLeast"/>
        <w:ind w:firstLine="320" w:firstLineChars="100"/>
        <w:textAlignment w:val="auto"/>
        <w:rPr>
          <w:rFonts w:hint="eastAsia" w:ascii="仿宋" w:hAnsi="仿宋" w:eastAsia="仿宋_GB2312"/>
          <w:sz w:val="32"/>
          <w:szCs w:val="32"/>
          <w:lang w:eastAsia="zh-CN"/>
        </w:rPr>
      </w:pPr>
      <w:r>
        <w:rPr>
          <w:rFonts w:hint="eastAsia" w:ascii="仿宋_GB2312" w:hAnsi="仿宋_GB2312" w:eastAsia="仿宋_GB2312" w:cs="仿宋_GB2312"/>
          <w:sz w:val="32"/>
          <w:szCs w:val="32"/>
        </w:rPr>
        <w:t>（图1：收入、支出决算总计变动情况图）（柱状图</w:t>
      </w:r>
      <w:r>
        <w:rPr>
          <w:rFonts w:hint="eastAsia" w:ascii="仿宋_GB2312" w:hAnsi="仿宋_GB2312" w:eastAsia="仿宋_GB2312" w:cs="仿宋_GB2312"/>
          <w:sz w:val="32"/>
          <w:szCs w:val="32"/>
          <w:lang w:eastAsia="zh-CN"/>
        </w:rPr>
        <w:t>）</w:t>
      </w:r>
    </w:p>
    <w:p w14:paraId="4D5D9836">
      <w:pPr>
        <w:pStyle w:val="2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1"/>
          <w:rFonts w:ascii="黑体" w:hAnsi="黑体" w:eastAsia="黑体"/>
          <w:b w:val="0"/>
        </w:rPr>
      </w:pPr>
      <w:bookmarkStart w:id="14" w:name="_Toc15377206"/>
      <w:bookmarkStart w:id="15" w:name="_Toc15396604"/>
      <w:r>
        <w:rPr>
          <w:rFonts w:hint="eastAsia" w:ascii="黑体" w:hAnsi="黑体" w:eastAsia="黑体"/>
          <w:sz w:val="32"/>
          <w:szCs w:val="32"/>
          <w:lang w:val="en-US" w:eastAsia="zh-CN"/>
        </w:rPr>
        <w:t>二、</w:t>
      </w:r>
      <w:r>
        <w:rPr>
          <w:rFonts w:hint="eastAsia" w:ascii="黑体" w:hAnsi="黑体" w:eastAsia="黑体"/>
          <w:sz w:val="32"/>
          <w:szCs w:val="32"/>
        </w:rPr>
        <w:t>收</w:t>
      </w:r>
      <w:r>
        <w:rPr>
          <w:rStyle w:val="31"/>
          <w:rFonts w:hint="eastAsia" w:ascii="黑体" w:hAnsi="黑体" w:eastAsia="黑体"/>
          <w:b w:val="0"/>
        </w:rPr>
        <w:t>入决算情况说明</w:t>
      </w:r>
      <w:bookmarkEnd w:id="14"/>
      <w:bookmarkEnd w:id="15"/>
    </w:p>
    <w:p w14:paraId="49ABD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ascii="仿宋" w:hAnsi="仿宋" w:eastAsia="仿宋"/>
          <w:sz w:val="32"/>
          <w:szCs w:val="32"/>
        </w:rPr>
      </w:pPr>
      <w:r>
        <w:rPr>
          <w:rFonts w:hint="eastAsia" w:ascii="仿宋_GB2312" w:hAnsi="仿宋_GB2312" w:eastAsia="仿宋_GB2312" w:cs="仿宋_GB2312"/>
          <w:sz w:val="32"/>
          <w:szCs w:val="32"/>
        </w:rPr>
        <w:t>2024年度本年收入合计237.71万元，其中：一般公共预算财政拨款收入237.71万元，占100%；政府性基金预算财政拨款收入0万元，占0%%；国有资本经营预算财政拨款收入0万元，占0%；上级补助收入0万元，占0%；事业收入0万元，占0%；经营收入0万元，占0%；附属单位上缴收入0万元，占0%；其他收入0万元，占0%。</w:t>
      </w:r>
    </w:p>
    <w:p w14:paraId="367D6067">
      <w:pPr>
        <w:pStyle w:val="13"/>
        <w:ind w:left="0" w:leftChars="0" w:firstLine="0" w:firstLineChars="0"/>
        <w:rPr>
          <w:rFonts w:ascii="仿宋" w:hAnsi="仿宋" w:eastAsia="仿宋"/>
          <w:sz w:val="32"/>
          <w:szCs w:val="32"/>
        </w:rPr>
      </w:pPr>
      <w:r>
        <w:rPr>
          <w:rFonts w:hint="eastAsia" w:eastAsiaTheme="minorEastAsia"/>
          <w:lang w:val="en-US" w:eastAsia="zh-CN"/>
        </w:rPr>
        <w:t xml:space="preserve">           </w:t>
      </w:r>
      <w:r>
        <w:rPr>
          <w:rFonts w:hint="eastAsia" w:eastAsiaTheme="minorEastAsia"/>
          <w:lang w:eastAsia="zh-CN"/>
        </w:rPr>
        <w:drawing>
          <wp:inline distT="0" distB="0" distL="114300" distR="114300">
            <wp:extent cx="3952240" cy="2756535"/>
            <wp:effectExtent l="5080" t="4445" r="5080" b="203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C2979A">
      <w:pPr>
        <w:spacing w:line="60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（图2：收入决算结构图）（饼状图）</w:t>
      </w:r>
      <w:bookmarkStart w:id="16" w:name="_Toc15396605"/>
      <w:bookmarkStart w:id="17" w:name="_Toc15377207"/>
    </w:p>
    <w:p w14:paraId="474034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31"/>
          <w:rFonts w:ascii="黑体" w:hAnsi="黑体" w:eastAsia="黑体"/>
          <w:b w:val="0"/>
        </w:rPr>
      </w:pPr>
      <w:r>
        <w:rPr>
          <w:rFonts w:hint="eastAsia" w:ascii="黑体" w:hAnsi="黑体" w:eastAsia="黑体"/>
          <w:sz w:val="32"/>
          <w:szCs w:val="32"/>
          <w:lang w:val="en-US" w:eastAsia="zh-CN"/>
        </w:rPr>
        <w:t>三、</w:t>
      </w:r>
      <w:r>
        <w:rPr>
          <w:rFonts w:hint="eastAsia" w:ascii="黑体" w:hAnsi="黑体" w:eastAsia="黑体"/>
          <w:sz w:val="32"/>
          <w:szCs w:val="32"/>
        </w:rPr>
        <w:t>支</w:t>
      </w:r>
      <w:r>
        <w:rPr>
          <w:rStyle w:val="31"/>
          <w:rFonts w:hint="eastAsia" w:ascii="黑体" w:hAnsi="黑体" w:eastAsia="黑体"/>
          <w:b w:val="0"/>
        </w:rPr>
        <w:t>出决算情况说明</w:t>
      </w:r>
      <w:bookmarkEnd w:id="16"/>
      <w:bookmarkEnd w:id="17"/>
    </w:p>
    <w:p w14:paraId="0331386F">
      <w:pPr>
        <w:pStyle w:val="29"/>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2024年度本年支出合计237.71万元，其中：基本支出185.74万元，占78.13%；项目支出51.96万元，占21.86%；上缴上级支出0万元，占0%；经营支出0万元，占0%；对附属单位补助支出0万元，占0%。</w:t>
      </w:r>
    </w:p>
    <w:p w14:paraId="432009A8">
      <w:pPr>
        <w:pStyle w:val="13"/>
        <w:ind w:left="0" w:leftChars="0" w:firstLine="0" w:firstLineChars="0"/>
        <w:rPr>
          <w:rFonts w:hint="eastAsia" w:ascii="仿宋" w:hAnsi="仿宋" w:eastAsia="仿宋"/>
          <w:b/>
          <w:sz w:val="32"/>
          <w:szCs w:val="32"/>
        </w:rPr>
      </w:pPr>
      <w:r>
        <w:rPr>
          <w:rFonts w:hint="eastAsia" w:eastAsiaTheme="minorEastAsia"/>
          <w:lang w:val="en-US" w:eastAsia="zh-CN"/>
        </w:rPr>
        <w:t xml:space="preserve">          </w:t>
      </w:r>
      <w:r>
        <w:rPr>
          <w:rFonts w:hint="eastAsia" w:eastAsiaTheme="minorEastAsia"/>
          <w:lang w:eastAsia="zh-CN"/>
        </w:rPr>
        <w:drawing>
          <wp:inline distT="0" distB="0" distL="114300" distR="114300">
            <wp:extent cx="3735705" cy="2349500"/>
            <wp:effectExtent l="4445" t="4445" r="12700" b="82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4307E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仿宋" w:hAnsi="仿宋" w:eastAsia="仿宋"/>
          <w:sz w:val="32"/>
          <w:szCs w:val="32"/>
        </w:rPr>
      </w:pPr>
      <w:r>
        <w:rPr>
          <w:rFonts w:hint="eastAsia" w:ascii="仿宋" w:hAnsi="仿宋" w:eastAsia="仿宋"/>
          <w:sz w:val="32"/>
          <w:szCs w:val="32"/>
        </w:rPr>
        <w:t>（图3：支出决算结构图）（饼状图）</w:t>
      </w:r>
    </w:p>
    <w:p w14:paraId="1D338A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1"/>
          <w:rFonts w:ascii="黑体" w:hAnsi="黑体" w:eastAsia="黑体"/>
          <w:b w:val="0"/>
        </w:rPr>
      </w:pPr>
      <w:bookmarkStart w:id="18" w:name="_Toc15396606"/>
      <w:bookmarkStart w:id="19"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18"/>
      <w:bookmarkEnd w:id="19"/>
    </w:p>
    <w:p w14:paraId="367D26A3">
      <w:pPr>
        <w:spacing w:line="600" w:lineRule="exact"/>
        <w:ind w:firstLine="640"/>
        <w:rPr>
          <w:rFonts w:ascii="仿宋" w:hAnsi="仿宋" w:eastAsia="仿宋"/>
          <w:b/>
          <w:sz w:val="32"/>
          <w:szCs w:val="32"/>
        </w:rPr>
      </w:pPr>
      <w:r>
        <w:rPr>
          <w:rFonts w:hint="eastAsia" w:ascii="仿宋_GB2312" w:hAnsi="仿宋_GB2312" w:eastAsia="仿宋_GB2312" w:cs="仿宋_GB2312"/>
          <w:sz w:val="32"/>
          <w:szCs w:val="32"/>
        </w:rPr>
        <w:t>2024年度财政拨款收入、支出总计均为237.71万元。与2023年度相比，财政拨款收入总计、支出总计各减少</w:t>
      </w:r>
      <w:r>
        <w:rPr>
          <w:rFonts w:hint="eastAsia" w:ascii="仿宋_GB2312" w:hAnsi="仿宋_GB2312" w:eastAsia="仿宋_GB2312" w:cs="仿宋_GB2312"/>
          <w:sz w:val="32"/>
          <w:szCs w:val="32"/>
          <w:lang w:val="en-US" w:eastAsia="zh-CN"/>
        </w:rPr>
        <w:t>70.43</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人员变动及项目支出减少。</w:t>
      </w:r>
    </w:p>
    <w:p w14:paraId="39CE66FC">
      <w:pPr>
        <w:pStyle w:val="13"/>
        <w:rPr>
          <w:rFonts w:ascii="仿宋" w:hAnsi="仿宋" w:eastAsia="仿宋"/>
          <w:sz w:val="32"/>
          <w:szCs w:val="32"/>
        </w:rPr>
      </w:pPr>
      <w:r>
        <w:rPr>
          <w:rFonts w:hint="eastAsia" w:eastAsiaTheme="minorEastAsia"/>
          <w:lang w:eastAsia="zh-CN"/>
        </w:rPr>
        <w:drawing>
          <wp:inline distT="0" distB="0" distL="114300" distR="114300">
            <wp:extent cx="4306570" cy="2099945"/>
            <wp:effectExtent l="4445" t="5080" r="13335"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9A00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14:paraId="5621A5D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outlineLvl w:val="1"/>
        <w:rPr>
          <w:rStyle w:val="31"/>
          <w:rFonts w:hint="eastAsia" w:ascii="黑体" w:hAnsi="黑体" w:eastAsia="黑体"/>
          <w:b w:val="0"/>
        </w:rPr>
      </w:pPr>
      <w:bookmarkStart w:id="20" w:name="_Toc15396607"/>
      <w:bookmarkStart w:id="21" w:name="_Toc15377209"/>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0"/>
      <w:bookmarkEnd w:id="21"/>
      <w:bookmarkStart w:id="22" w:name="_Toc15377210"/>
    </w:p>
    <w:p w14:paraId="1453DE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（一）一般公共预算财政拨款支出决算总体情况</w:t>
      </w:r>
      <w:bookmarkEnd w:id="22"/>
    </w:p>
    <w:p w14:paraId="19671E2D">
      <w:pPr>
        <w:spacing w:line="600" w:lineRule="exact"/>
        <w:ind w:firstLine="640"/>
        <w:rPr>
          <w:rFonts w:ascii="仿宋" w:hAnsi="仿宋" w:eastAsia="仿宋"/>
          <w:b/>
          <w:sz w:val="32"/>
          <w:szCs w:val="32"/>
        </w:rPr>
      </w:pPr>
      <w:r>
        <w:rPr>
          <w:rFonts w:hint="eastAsia" w:ascii="仿宋_GB2312" w:hAnsi="仿宋_GB2312" w:eastAsia="仿宋_GB2312" w:cs="仿宋_GB2312"/>
          <w:sz w:val="32"/>
          <w:szCs w:val="32"/>
        </w:rPr>
        <w:t>2024年度一般公共预算财政拨款支出237.71万元，占本年支出合计的100%。与2023年度相比，一般公共预算财政拨款支出减少</w:t>
      </w:r>
      <w:r>
        <w:rPr>
          <w:rFonts w:hint="eastAsia" w:ascii="仿宋_GB2312" w:hAnsi="仿宋_GB2312" w:eastAsia="仿宋_GB2312" w:cs="仿宋_GB2312"/>
          <w:sz w:val="32"/>
          <w:szCs w:val="32"/>
          <w:lang w:val="en-US" w:eastAsia="zh-CN"/>
        </w:rPr>
        <w:t>70.43</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22.86</w:t>
      </w:r>
      <w:r>
        <w:rPr>
          <w:rFonts w:hint="eastAsia" w:ascii="仿宋_GB2312" w:hAnsi="仿宋_GB2312" w:eastAsia="仿宋_GB2312" w:cs="仿宋_GB2312"/>
          <w:sz w:val="32"/>
          <w:szCs w:val="32"/>
        </w:rPr>
        <w:t>%。主要变动原因是原因是</w:t>
      </w:r>
      <w:r>
        <w:rPr>
          <w:rFonts w:hint="eastAsia" w:ascii="仿宋_GB2312" w:hAnsi="仿宋_GB2312" w:eastAsia="仿宋_GB2312" w:cs="仿宋_GB2312"/>
          <w:sz w:val="32"/>
          <w:szCs w:val="32"/>
          <w:lang w:eastAsia="zh-CN"/>
        </w:rPr>
        <w:t>人员变动及项目支出减少。</w:t>
      </w:r>
    </w:p>
    <w:p w14:paraId="7DD58360">
      <w:pPr>
        <w:pStyle w:val="13"/>
        <w:ind w:left="0" w:leftChars="0" w:firstLine="0" w:firstLineChars="0"/>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3919855" cy="2453005"/>
            <wp:effectExtent l="4445" t="4445" r="19050"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3FF2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bookmarkStart w:id="23" w:name="_Toc15377211"/>
    </w:p>
    <w:p w14:paraId="4304FF5B">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ascii="仿宋" w:hAnsi="仿宋" w:eastAsia="仿宋"/>
          <w:b/>
          <w:sz w:val="32"/>
          <w:szCs w:val="32"/>
        </w:rPr>
      </w:pPr>
      <w:r>
        <w:rPr>
          <w:rFonts w:hint="eastAsia" w:ascii="仿宋" w:hAnsi="仿宋" w:eastAsia="仿宋"/>
          <w:b/>
          <w:sz w:val="32"/>
          <w:szCs w:val="32"/>
        </w:rPr>
        <w:t>（二）一般公共预算财政拨款支出决算结构情况</w:t>
      </w:r>
      <w:bookmarkEnd w:id="23"/>
    </w:p>
    <w:p w14:paraId="250634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sz w:val="32"/>
          <w:szCs w:val="32"/>
          <w:lang w:val="en-US" w:eastAsia="zh-CN"/>
        </w:rPr>
        <w:t>237.71万</w:t>
      </w:r>
      <w:r>
        <w:rPr>
          <w:rFonts w:hint="eastAsia" w:ascii="仿宋_GB2312" w:hAnsi="仿宋_GB2312" w:eastAsia="仿宋_GB2312" w:cs="仿宋_GB2312"/>
          <w:sz w:val="32"/>
          <w:szCs w:val="32"/>
        </w:rPr>
        <w:t>元，主要用于以下方面:</w:t>
      </w:r>
      <w:r>
        <w:rPr>
          <w:rFonts w:hint="eastAsia" w:ascii="仿宋_GB2312" w:hAnsi="仿宋_GB2312" w:eastAsia="仿宋_GB2312" w:cs="仿宋_GB2312"/>
          <w:b w:val="0"/>
          <w:bCs/>
          <w:sz w:val="32"/>
          <w:szCs w:val="32"/>
        </w:rPr>
        <w:t>一般公共服务支出</w:t>
      </w:r>
      <w:r>
        <w:rPr>
          <w:rFonts w:hint="eastAsia" w:ascii="仿宋_GB2312" w:hAnsi="仿宋_GB2312" w:eastAsia="仿宋_GB2312" w:cs="仿宋_GB2312"/>
          <w:b w:val="0"/>
          <w:bCs/>
          <w:sz w:val="32"/>
          <w:szCs w:val="32"/>
          <w:lang w:val="en-US" w:eastAsia="zh-CN"/>
        </w:rPr>
        <w:t>188.92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79.47</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rPr>
        <w:t>教育支出</w:t>
      </w:r>
      <w:r>
        <w:rPr>
          <w:rFonts w:hint="eastAsia" w:ascii="仿宋_GB2312" w:hAnsi="仿宋_GB2312" w:eastAsia="仿宋_GB2312" w:cs="仿宋_GB2312"/>
          <w:b/>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rPr>
        <w:t>科学技术支出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rPr>
        <w:t>文化旅游体育与传媒支出</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val="en-US" w:eastAsia="zh-CN"/>
        </w:rPr>
        <w:t>25.20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10.6</w:t>
      </w:r>
      <w:r>
        <w:rPr>
          <w:rFonts w:hint="eastAsia" w:ascii="仿宋_GB2312" w:hAnsi="仿宋_GB2312" w:eastAsia="仿宋_GB2312" w:cs="仿宋_GB2312"/>
          <w:b w:val="0"/>
          <w:bCs w:val="0"/>
          <w:sz w:val="32"/>
          <w:szCs w:val="32"/>
        </w:rPr>
        <w:t>%；卫生健康支出</w:t>
      </w:r>
      <w:r>
        <w:rPr>
          <w:rFonts w:hint="eastAsia" w:ascii="仿宋_GB2312" w:hAnsi="仿宋_GB2312" w:eastAsia="仿宋_GB2312" w:cs="仿宋_GB2312"/>
          <w:b w:val="0"/>
          <w:bCs w:val="0"/>
          <w:sz w:val="32"/>
          <w:szCs w:val="32"/>
          <w:lang w:val="en-US" w:eastAsia="zh-CN"/>
        </w:rPr>
        <w:t>10.07</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4.25</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val="en-US" w:eastAsia="zh-CN"/>
        </w:rPr>
        <w:t>13.51</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5.68</w:t>
      </w:r>
      <w:r>
        <w:rPr>
          <w:rFonts w:hint="eastAsia" w:ascii="仿宋_GB2312" w:hAnsi="仿宋_GB2312" w:eastAsia="仿宋_GB2312" w:cs="仿宋_GB2312"/>
          <w:b w:val="0"/>
          <w:bCs w:val="0"/>
          <w:sz w:val="32"/>
          <w:szCs w:val="32"/>
        </w:rPr>
        <w:t>%。</w:t>
      </w:r>
    </w:p>
    <w:p w14:paraId="60C36A5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b/>
          <w:sz w:val="32"/>
          <w:szCs w:val="32"/>
        </w:rPr>
      </w:pPr>
    </w:p>
    <w:p w14:paraId="6DEE6E00">
      <w:pPr>
        <w:pStyle w:val="13"/>
        <w:ind w:left="0" w:leftChars="0" w:firstLine="0" w:firstLineChars="0"/>
        <w:rPr>
          <w:rFonts w:ascii="仿宋" w:hAnsi="仿宋" w:eastAsia="仿宋"/>
          <w:sz w:val="32"/>
          <w:szCs w:val="32"/>
        </w:rPr>
      </w:pPr>
      <w:r>
        <w:rPr>
          <w:rFonts w:hint="eastAsia"/>
          <w:lang w:val="en-US" w:eastAsia="zh-CN"/>
        </w:rPr>
        <w:t xml:space="preserve">               </w:t>
      </w:r>
      <w:r>
        <w:rPr>
          <w:rFonts w:hint="eastAsia"/>
          <w:lang w:eastAsia="zh-CN"/>
        </w:rPr>
        <w:drawing>
          <wp:inline distT="0" distB="0" distL="114300" distR="114300">
            <wp:extent cx="3367405" cy="2839720"/>
            <wp:effectExtent l="4445" t="5080" r="19050" b="1270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CFB1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（图6：一般公共预算财政拨款支出决算结构）（饼状图）</w:t>
      </w:r>
    </w:p>
    <w:p w14:paraId="3170DB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hAnsi="仿宋" w:eastAsia="仿宋"/>
          <w:b/>
          <w:bCs w:val="0"/>
          <w:sz w:val="32"/>
          <w:szCs w:val="32"/>
        </w:rPr>
      </w:pPr>
      <w:bookmarkStart w:id="24" w:name="_Toc15377212"/>
      <w:r>
        <w:rPr>
          <w:rFonts w:hint="eastAsia" w:ascii="仿宋" w:hAnsi="仿宋" w:eastAsia="仿宋"/>
          <w:b/>
          <w:bCs w:val="0"/>
          <w:sz w:val="32"/>
          <w:szCs w:val="32"/>
        </w:rPr>
        <w:t>（三）一般公共预算财政拨款支出决算具体情况</w:t>
      </w:r>
      <w:bookmarkEnd w:id="24"/>
    </w:p>
    <w:p w14:paraId="23E80E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ascii="仿宋" w:hAnsi="仿宋" w:eastAsia="仿宋"/>
          <w:b w:val="0"/>
          <w:bCs/>
          <w:sz w:val="32"/>
          <w:szCs w:val="32"/>
        </w:rPr>
      </w:pPr>
      <w:bookmarkStart w:id="25" w:name="_Toc15377444"/>
      <w:bookmarkStart w:id="26" w:name="_Toc15377213"/>
      <w:bookmarkStart w:id="27" w:name="_Toc15378460"/>
      <w:r>
        <w:rPr>
          <w:rFonts w:hint="eastAsia" w:ascii="仿宋" w:hAnsi="仿宋" w:eastAsia="仿宋"/>
          <w:b w:val="0"/>
          <w:bCs/>
          <w:sz w:val="32"/>
          <w:szCs w:val="32"/>
        </w:rPr>
        <w:t>202</w:t>
      </w:r>
      <w:r>
        <w:rPr>
          <w:rFonts w:hint="eastAsia" w:ascii="仿宋" w:hAnsi="仿宋" w:eastAsia="仿宋"/>
          <w:b w:val="0"/>
          <w:bCs/>
          <w:sz w:val="32"/>
          <w:szCs w:val="32"/>
          <w:lang w:val="en-US" w:eastAsia="zh-CN"/>
        </w:rPr>
        <w:t>4</w:t>
      </w:r>
      <w:r>
        <w:rPr>
          <w:rFonts w:hint="eastAsia" w:ascii="仿宋" w:hAnsi="仿宋" w:eastAsia="仿宋"/>
          <w:b w:val="0"/>
          <w:bCs/>
          <w:sz w:val="32"/>
          <w:szCs w:val="32"/>
        </w:rPr>
        <w:t>年度一般公共预算支出决算数为</w:t>
      </w:r>
      <w:r>
        <w:rPr>
          <w:rFonts w:hint="eastAsia" w:ascii="仿宋" w:hAnsi="仿宋" w:eastAsia="仿宋"/>
          <w:b w:val="0"/>
          <w:bCs/>
          <w:sz w:val="32"/>
          <w:szCs w:val="32"/>
          <w:lang w:val="en-US" w:eastAsia="zh-CN"/>
        </w:rPr>
        <w:t>237.71万元</w:t>
      </w:r>
      <w:r>
        <w:rPr>
          <w:rFonts w:hint="eastAsia" w:ascii="仿宋" w:hAnsi="仿宋" w:eastAsia="仿宋"/>
          <w:b w:val="0"/>
          <w:bCs/>
          <w:sz w:val="32"/>
          <w:szCs w:val="32"/>
        </w:rPr>
        <w:t>，</w:t>
      </w:r>
      <w:r>
        <w:rPr>
          <w:rStyle w:val="19"/>
          <w:rFonts w:hint="eastAsia" w:ascii="仿宋" w:hAnsi="仿宋" w:eastAsia="仿宋"/>
          <w:b w:val="0"/>
          <w:bCs/>
          <w:sz w:val="32"/>
          <w:szCs w:val="32"/>
        </w:rPr>
        <w:t>完成预算</w:t>
      </w:r>
      <w:r>
        <w:rPr>
          <w:rStyle w:val="19"/>
          <w:rFonts w:ascii="仿宋" w:hAnsi="仿宋" w:eastAsia="仿宋"/>
          <w:b w:val="0"/>
          <w:bCs/>
          <w:sz w:val="32"/>
          <w:szCs w:val="32"/>
        </w:rPr>
        <w:t>%</w:t>
      </w:r>
      <w:r>
        <w:rPr>
          <w:rStyle w:val="19"/>
          <w:rFonts w:hint="eastAsia" w:ascii="仿宋" w:hAnsi="仿宋" w:eastAsia="仿宋"/>
          <w:b w:val="0"/>
          <w:bCs/>
          <w:sz w:val="32"/>
          <w:szCs w:val="32"/>
        </w:rPr>
        <w:t>。其中：</w:t>
      </w:r>
      <w:bookmarkEnd w:id="25"/>
      <w:bookmarkEnd w:id="26"/>
      <w:bookmarkEnd w:id="27"/>
    </w:p>
    <w:p w14:paraId="0A240E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1.</w:t>
      </w:r>
      <w:r>
        <w:rPr>
          <w:rStyle w:val="19"/>
          <w:rFonts w:hint="eastAsia" w:ascii="仿宋" w:hAnsi="仿宋" w:eastAsia="仿宋"/>
          <w:bCs/>
          <w:sz w:val="32"/>
          <w:szCs w:val="32"/>
        </w:rPr>
        <w:t>一般公共服务</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188.92</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94</w:t>
      </w:r>
      <w:r>
        <w:rPr>
          <w:rStyle w:val="19"/>
          <w:rFonts w:ascii="仿宋" w:hAnsi="仿宋" w:eastAsia="仿宋"/>
          <w:b w:val="0"/>
          <w:bCs/>
          <w:sz w:val="32"/>
          <w:szCs w:val="32"/>
        </w:rPr>
        <w:t>%</w:t>
      </w:r>
      <w:r>
        <w:rPr>
          <w:rStyle w:val="19"/>
          <w:rFonts w:hint="eastAsia" w:ascii="仿宋" w:hAnsi="仿宋" w:eastAsia="仿宋"/>
          <w:b w:val="0"/>
          <w:bCs/>
          <w:sz w:val="32"/>
          <w:szCs w:val="32"/>
        </w:rPr>
        <w:t>，决算数</w:t>
      </w:r>
      <w:r>
        <w:rPr>
          <w:rStyle w:val="19"/>
          <w:rFonts w:hint="eastAsia" w:ascii="仿宋" w:hAnsi="仿宋" w:eastAsia="仿宋"/>
          <w:b w:val="0"/>
          <w:bCs/>
          <w:sz w:val="32"/>
          <w:szCs w:val="32"/>
          <w:lang w:eastAsia="zh-CN"/>
        </w:rPr>
        <w:t>小于</w:t>
      </w:r>
      <w:r>
        <w:rPr>
          <w:rStyle w:val="19"/>
          <w:rFonts w:hint="eastAsia" w:ascii="仿宋" w:hAnsi="仿宋" w:eastAsia="仿宋"/>
          <w:b w:val="0"/>
          <w:bCs/>
          <w:sz w:val="32"/>
          <w:szCs w:val="32"/>
        </w:rPr>
        <w:t>预算数的主要原因是</w:t>
      </w:r>
      <w:r>
        <w:rPr>
          <w:rStyle w:val="19"/>
          <w:rFonts w:hint="eastAsia" w:ascii="仿宋" w:hAnsi="仿宋" w:eastAsia="仿宋"/>
          <w:b w:val="0"/>
          <w:bCs/>
          <w:sz w:val="32"/>
          <w:szCs w:val="32"/>
          <w:lang w:eastAsia="zh-CN"/>
        </w:rPr>
        <w:t>项目《红原县扶贫志》尾款未支付</w:t>
      </w:r>
      <w:r>
        <w:rPr>
          <w:rStyle w:val="19"/>
          <w:rFonts w:hint="eastAsia" w:ascii="仿宋" w:hAnsi="仿宋" w:eastAsia="仿宋"/>
          <w:b w:val="0"/>
          <w:bCs/>
          <w:sz w:val="32"/>
          <w:szCs w:val="32"/>
        </w:rPr>
        <w:t>。</w:t>
      </w:r>
    </w:p>
    <w:p w14:paraId="7822A3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2.</w:t>
      </w:r>
      <w:r>
        <w:rPr>
          <w:rStyle w:val="19"/>
          <w:rFonts w:hint="eastAsia" w:ascii="仿宋" w:hAnsi="仿宋" w:eastAsia="仿宋"/>
          <w:bCs/>
          <w:sz w:val="32"/>
          <w:szCs w:val="32"/>
        </w:rPr>
        <w:t>教育</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0</w:t>
      </w:r>
      <w:r>
        <w:rPr>
          <w:rStyle w:val="19"/>
          <w:rFonts w:ascii="仿宋" w:hAnsi="仿宋" w:eastAsia="仿宋"/>
          <w:b w:val="0"/>
          <w:bCs/>
          <w:sz w:val="32"/>
          <w:szCs w:val="32"/>
        </w:rPr>
        <w:t>%</w:t>
      </w:r>
      <w:r>
        <w:rPr>
          <w:rStyle w:val="19"/>
          <w:rFonts w:hint="eastAsia" w:ascii="仿宋" w:hAnsi="仿宋" w:eastAsia="仿宋"/>
          <w:b w:val="0"/>
          <w:bCs/>
          <w:sz w:val="32"/>
          <w:szCs w:val="32"/>
        </w:rPr>
        <w:t>，决算数小于等于预算数。</w:t>
      </w:r>
    </w:p>
    <w:p w14:paraId="5C35C6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3.</w:t>
      </w:r>
      <w:r>
        <w:rPr>
          <w:rStyle w:val="19"/>
          <w:rFonts w:hint="eastAsia" w:ascii="仿宋" w:hAnsi="仿宋" w:eastAsia="仿宋"/>
          <w:bCs/>
          <w:sz w:val="32"/>
          <w:szCs w:val="32"/>
        </w:rPr>
        <w:t>科学技术</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14:paraId="59D8AC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4.</w:t>
      </w:r>
      <w:r>
        <w:rPr>
          <w:rStyle w:val="19"/>
          <w:rFonts w:hint="eastAsia" w:ascii="仿宋" w:hAnsi="仿宋" w:eastAsia="仿宋"/>
          <w:bCs/>
          <w:sz w:val="32"/>
          <w:szCs w:val="32"/>
        </w:rPr>
        <w:t>文化旅游体育与传媒</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0</w:t>
      </w:r>
      <w:r>
        <w:rPr>
          <w:rStyle w:val="19"/>
          <w:rFonts w:ascii="仿宋" w:hAnsi="仿宋" w:eastAsia="仿宋"/>
          <w:b w:val="0"/>
          <w:bCs/>
          <w:sz w:val="32"/>
          <w:szCs w:val="32"/>
        </w:rPr>
        <w:t>%</w:t>
      </w:r>
      <w:r>
        <w:rPr>
          <w:rStyle w:val="19"/>
          <w:rFonts w:hint="eastAsia" w:ascii="仿宋" w:hAnsi="仿宋" w:eastAsia="仿宋"/>
          <w:b w:val="0"/>
          <w:bCs/>
          <w:sz w:val="32"/>
          <w:szCs w:val="32"/>
        </w:rPr>
        <w:t>，等于预算数。</w:t>
      </w:r>
    </w:p>
    <w:p w14:paraId="03B026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5.</w:t>
      </w:r>
      <w:r>
        <w:rPr>
          <w:rStyle w:val="19"/>
          <w:rFonts w:hint="eastAsia" w:ascii="仿宋" w:hAnsi="仿宋" w:eastAsia="仿宋"/>
          <w:bCs/>
          <w:sz w:val="32"/>
          <w:szCs w:val="32"/>
        </w:rPr>
        <w:t>社会保障和就业</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25.20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105</w:t>
      </w:r>
      <w:r>
        <w:rPr>
          <w:rStyle w:val="19"/>
          <w:rFonts w:ascii="仿宋" w:hAnsi="仿宋" w:eastAsia="仿宋"/>
          <w:b w:val="0"/>
          <w:bCs/>
          <w:sz w:val="32"/>
          <w:szCs w:val="32"/>
        </w:rPr>
        <w:t>%</w:t>
      </w:r>
      <w:r>
        <w:rPr>
          <w:rStyle w:val="19"/>
          <w:rFonts w:hint="eastAsia" w:ascii="仿宋" w:hAnsi="仿宋" w:eastAsia="仿宋"/>
          <w:b w:val="0"/>
          <w:bCs/>
          <w:sz w:val="32"/>
          <w:szCs w:val="32"/>
        </w:rPr>
        <w:t>，决算数</w:t>
      </w:r>
      <w:r>
        <w:rPr>
          <w:rStyle w:val="19"/>
          <w:rFonts w:hint="eastAsia" w:ascii="仿宋" w:hAnsi="仿宋" w:eastAsia="仿宋"/>
          <w:b w:val="0"/>
          <w:bCs/>
          <w:sz w:val="32"/>
          <w:szCs w:val="32"/>
          <w:lang w:eastAsia="zh-CN"/>
        </w:rPr>
        <w:t>大于</w:t>
      </w:r>
      <w:r>
        <w:rPr>
          <w:rStyle w:val="19"/>
          <w:rFonts w:hint="eastAsia" w:ascii="仿宋" w:hAnsi="仿宋" w:eastAsia="仿宋"/>
          <w:b w:val="0"/>
          <w:bCs/>
          <w:sz w:val="32"/>
          <w:szCs w:val="32"/>
        </w:rPr>
        <w:t>预算数的主要原因</w:t>
      </w:r>
      <w:r>
        <w:rPr>
          <w:rStyle w:val="19"/>
          <w:rFonts w:hint="eastAsia" w:ascii="仿宋" w:hAnsi="仿宋" w:eastAsia="仿宋"/>
          <w:b w:val="0"/>
          <w:bCs/>
          <w:sz w:val="32"/>
          <w:szCs w:val="32"/>
          <w:lang w:eastAsia="zh-CN"/>
        </w:rPr>
        <w:t>工资福利变动</w:t>
      </w:r>
      <w:r>
        <w:rPr>
          <w:rStyle w:val="19"/>
          <w:rFonts w:hint="eastAsia" w:ascii="仿宋" w:hAnsi="仿宋" w:eastAsia="仿宋"/>
          <w:b w:val="0"/>
          <w:bCs/>
          <w:sz w:val="32"/>
          <w:szCs w:val="32"/>
        </w:rPr>
        <w:t>。</w:t>
      </w:r>
    </w:p>
    <w:p w14:paraId="0DAC44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9"/>
          <w:rFonts w:ascii="仿宋" w:hAnsi="仿宋" w:eastAsia="仿宋"/>
          <w:bCs/>
          <w:sz w:val="32"/>
          <w:szCs w:val="32"/>
        </w:rPr>
        <w:t>6.</w:t>
      </w:r>
      <w:r>
        <w:rPr>
          <w:rFonts w:hint="eastAsia" w:ascii="仿宋" w:hAnsi="仿宋" w:eastAsia="仿宋"/>
          <w:b/>
          <w:bCs/>
          <w:sz w:val="32"/>
          <w:szCs w:val="32"/>
        </w:rPr>
        <w:t>卫生健康</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10.07</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115</w:t>
      </w:r>
      <w:r>
        <w:rPr>
          <w:rStyle w:val="19"/>
          <w:rFonts w:ascii="仿宋" w:hAnsi="仿宋" w:eastAsia="仿宋"/>
          <w:b w:val="0"/>
          <w:bCs/>
          <w:sz w:val="32"/>
          <w:szCs w:val="32"/>
        </w:rPr>
        <w:t>%</w:t>
      </w:r>
      <w:r>
        <w:rPr>
          <w:rStyle w:val="19"/>
          <w:rFonts w:hint="eastAsia" w:ascii="仿宋" w:hAnsi="仿宋" w:eastAsia="仿宋"/>
          <w:b w:val="0"/>
          <w:bCs/>
          <w:sz w:val="32"/>
          <w:szCs w:val="32"/>
        </w:rPr>
        <w:t>，决算数</w:t>
      </w:r>
      <w:r>
        <w:rPr>
          <w:rStyle w:val="19"/>
          <w:rFonts w:hint="eastAsia" w:ascii="仿宋" w:hAnsi="仿宋" w:eastAsia="仿宋"/>
          <w:b w:val="0"/>
          <w:bCs/>
          <w:sz w:val="32"/>
          <w:szCs w:val="32"/>
          <w:lang w:eastAsia="zh-CN"/>
        </w:rPr>
        <w:t>大</w:t>
      </w:r>
      <w:r>
        <w:rPr>
          <w:rStyle w:val="19"/>
          <w:rFonts w:hint="eastAsia" w:ascii="仿宋" w:hAnsi="仿宋" w:eastAsia="仿宋"/>
          <w:b w:val="0"/>
          <w:bCs/>
          <w:sz w:val="32"/>
          <w:szCs w:val="32"/>
        </w:rPr>
        <w:t>于预算数的主要原因</w:t>
      </w:r>
      <w:r>
        <w:rPr>
          <w:rStyle w:val="19"/>
          <w:rFonts w:hint="eastAsia" w:ascii="仿宋" w:hAnsi="仿宋" w:eastAsia="仿宋"/>
          <w:b w:val="0"/>
          <w:bCs/>
          <w:sz w:val="32"/>
          <w:szCs w:val="32"/>
          <w:lang w:eastAsia="zh-CN"/>
        </w:rPr>
        <w:t>工资福利变动</w:t>
      </w:r>
      <w:r>
        <w:rPr>
          <w:rStyle w:val="19"/>
          <w:rFonts w:hint="eastAsia" w:ascii="仿宋" w:hAnsi="仿宋" w:eastAsia="仿宋"/>
          <w:b w:val="0"/>
          <w:bCs/>
          <w:sz w:val="32"/>
          <w:szCs w:val="32"/>
        </w:rPr>
        <w:t>。</w:t>
      </w:r>
    </w:p>
    <w:p w14:paraId="45C0B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b/>
          <w:bCs/>
          <w:sz w:val="32"/>
          <w:szCs w:val="32"/>
          <w:lang w:val="en-US" w:eastAsia="zh-CN"/>
        </w:rPr>
      </w:pPr>
      <w:r>
        <w:rPr>
          <w:rFonts w:hint="eastAsia" w:ascii="仿宋" w:hAnsi="仿宋" w:eastAsia="仿宋"/>
          <w:sz w:val="32"/>
          <w:szCs w:val="32"/>
          <w:lang w:val="en-US" w:eastAsia="zh-CN"/>
        </w:rPr>
        <w:t>7.</w:t>
      </w:r>
      <w:r>
        <w:rPr>
          <w:rFonts w:hint="eastAsia" w:ascii="仿宋" w:hAnsi="仿宋" w:eastAsia="仿宋"/>
          <w:b/>
          <w:bCs/>
          <w:sz w:val="32"/>
          <w:szCs w:val="32"/>
          <w:lang w:val="en-US" w:eastAsia="zh-CN"/>
        </w:rPr>
        <w:t>住房保障支出：</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13.6</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103</w:t>
      </w:r>
      <w:r>
        <w:rPr>
          <w:rStyle w:val="19"/>
          <w:rFonts w:ascii="仿宋" w:hAnsi="仿宋" w:eastAsia="仿宋"/>
          <w:b w:val="0"/>
          <w:bCs/>
          <w:sz w:val="32"/>
          <w:szCs w:val="32"/>
        </w:rPr>
        <w:t>%</w:t>
      </w:r>
      <w:r>
        <w:rPr>
          <w:rStyle w:val="19"/>
          <w:rFonts w:hint="eastAsia" w:ascii="仿宋" w:hAnsi="仿宋" w:eastAsia="仿宋"/>
          <w:b w:val="0"/>
          <w:bCs/>
          <w:sz w:val="32"/>
          <w:szCs w:val="32"/>
        </w:rPr>
        <w:t>，决算数</w:t>
      </w:r>
      <w:r>
        <w:rPr>
          <w:rStyle w:val="19"/>
          <w:rFonts w:hint="eastAsia" w:ascii="仿宋" w:hAnsi="仿宋" w:eastAsia="仿宋"/>
          <w:b w:val="0"/>
          <w:bCs/>
          <w:sz w:val="32"/>
          <w:szCs w:val="32"/>
          <w:lang w:eastAsia="zh-CN"/>
        </w:rPr>
        <w:t>大于</w:t>
      </w:r>
      <w:r>
        <w:rPr>
          <w:rStyle w:val="19"/>
          <w:rFonts w:hint="eastAsia" w:ascii="仿宋" w:hAnsi="仿宋" w:eastAsia="仿宋"/>
          <w:b w:val="0"/>
          <w:bCs/>
          <w:sz w:val="32"/>
          <w:szCs w:val="32"/>
        </w:rPr>
        <w:t>预算数的主要原因</w:t>
      </w:r>
      <w:r>
        <w:rPr>
          <w:rStyle w:val="19"/>
          <w:rFonts w:hint="eastAsia" w:ascii="仿宋" w:hAnsi="仿宋" w:eastAsia="仿宋"/>
          <w:b w:val="0"/>
          <w:bCs/>
          <w:sz w:val="32"/>
          <w:szCs w:val="32"/>
          <w:lang w:eastAsia="zh-CN"/>
        </w:rPr>
        <w:t>工资福利变动</w:t>
      </w:r>
      <w:r>
        <w:rPr>
          <w:rStyle w:val="19"/>
          <w:rFonts w:hint="eastAsia" w:ascii="仿宋" w:hAnsi="仿宋" w:eastAsia="仿宋"/>
          <w:b w:val="0"/>
          <w:bCs/>
          <w:sz w:val="32"/>
          <w:szCs w:val="32"/>
        </w:rPr>
        <w:t>。</w:t>
      </w:r>
    </w:p>
    <w:p w14:paraId="6B2C000F">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firstLineChars="200"/>
        <w:textAlignment w:val="auto"/>
        <w:outlineLvl w:val="1"/>
        <w:rPr>
          <w:rStyle w:val="31"/>
        </w:rPr>
      </w:pPr>
      <w:bookmarkStart w:id="28" w:name="_Toc15377214"/>
      <w:bookmarkStart w:id="29"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28"/>
      <w:bookmarkEnd w:id="29"/>
      <w:r>
        <w:rPr>
          <w:rStyle w:val="31"/>
          <w:rFonts w:ascii="黑体" w:hAnsi="黑体" w:eastAsia="黑体"/>
          <w:b w:val="0"/>
        </w:rPr>
        <w:tab/>
      </w:r>
    </w:p>
    <w:p w14:paraId="4768C49D">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年度一般公共预算财政拨款基本支出</w:t>
      </w:r>
      <w:r>
        <w:rPr>
          <w:rFonts w:hint="eastAsia" w:ascii="仿宋_GB2312" w:hAnsi="仿宋_GB2312" w:eastAsia="仿宋_GB2312" w:cs="仿宋_GB2312"/>
          <w:sz w:val="32"/>
          <w:szCs w:val="32"/>
          <w:lang w:val="en-US" w:eastAsia="zh-CN"/>
        </w:rPr>
        <w:t>185.74</w:t>
      </w:r>
      <w:r>
        <w:rPr>
          <w:rFonts w:hint="eastAsia" w:ascii="仿宋_GB2312" w:hAnsi="仿宋_GB2312" w:eastAsia="仿宋_GB2312" w:cs="仿宋_GB2312"/>
          <w:sz w:val="32"/>
          <w:szCs w:val="32"/>
        </w:rPr>
        <w:t>万元，其中：</w:t>
      </w:r>
    </w:p>
    <w:p w14:paraId="7633CE5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171.59</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31.34万元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50.69万元</w:t>
      </w:r>
      <w:r>
        <w:rPr>
          <w:rFonts w:hint="eastAsia" w:ascii="仿宋_GB2312" w:hAnsi="仿宋_GB2312" w:eastAsia="仿宋_GB2312" w:cs="仿宋_GB2312"/>
          <w:sz w:val="32"/>
          <w:szCs w:val="32"/>
        </w:rPr>
        <w:t>、奖金</w:t>
      </w:r>
      <w:r>
        <w:rPr>
          <w:rFonts w:hint="eastAsia" w:ascii="仿宋_GB2312" w:hAnsi="仿宋_GB2312" w:eastAsia="仿宋_GB2312" w:cs="仿宋_GB2312"/>
          <w:sz w:val="32"/>
          <w:szCs w:val="32"/>
          <w:lang w:val="en-US" w:eastAsia="zh-CN"/>
        </w:rPr>
        <w:t>37.67万元</w:t>
      </w:r>
      <w:r>
        <w:rPr>
          <w:rFonts w:hint="eastAsia" w:ascii="仿宋_GB2312" w:hAnsi="仿宋_GB2312" w:eastAsia="仿宋_GB2312" w:cs="仿宋_GB2312"/>
          <w:sz w:val="32"/>
          <w:szCs w:val="32"/>
        </w:rPr>
        <w:t>、伙食补助费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、绩效工资</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val="en-US" w:eastAsia="zh-CN"/>
        </w:rPr>
        <w:t>16.80万元</w:t>
      </w:r>
      <w:r>
        <w:rPr>
          <w:rFonts w:hint="eastAsia" w:ascii="仿宋_GB2312" w:hAnsi="仿宋_GB2312" w:eastAsia="仿宋_GB2312" w:cs="仿宋_GB2312"/>
          <w:sz w:val="32"/>
          <w:szCs w:val="32"/>
        </w:rPr>
        <w:t>、职业年金缴费</w:t>
      </w:r>
      <w:r>
        <w:rPr>
          <w:rFonts w:hint="eastAsia" w:ascii="仿宋_GB2312" w:hAnsi="仿宋_GB2312" w:eastAsia="仿宋_GB2312" w:cs="仿宋_GB2312"/>
          <w:sz w:val="32"/>
          <w:szCs w:val="32"/>
          <w:lang w:val="en-US" w:eastAsia="zh-CN"/>
        </w:rPr>
        <w:t>8.4万元</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val="en-US" w:eastAsia="zh-CN"/>
        </w:rPr>
        <w:t>2.16万元</w:t>
      </w:r>
      <w:r>
        <w:rPr>
          <w:rFonts w:hint="eastAsia" w:ascii="仿宋_GB2312" w:hAnsi="仿宋_GB2312" w:eastAsia="仿宋_GB2312" w:cs="仿宋_GB2312"/>
          <w:sz w:val="32"/>
          <w:szCs w:val="32"/>
        </w:rPr>
        <w:t>、其他工资福利</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、离休费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、退休费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、抚恤金</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、生活补助</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、医疗费</w:t>
      </w:r>
      <w:r>
        <w:rPr>
          <w:rFonts w:hint="eastAsia" w:ascii="仿宋_GB2312" w:hAnsi="仿宋_GB2312" w:eastAsia="仿宋_GB2312" w:cs="仿宋_GB2312"/>
          <w:sz w:val="32"/>
          <w:szCs w:val="32"/>
          <w:lang w:val="en-US" w:eastAsia="zh-CN"/>
        </w:rPr>
        <w:t>0.95万元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医疗补助</w:t>
      </w:r>
      <w:r>
        <w:rPr>
          <w:rFonts w:hint="eastAsia" w:ascii="仿宋_GB2312" w:hAnsi="仿宋_GB2312" w:eastAsia="仿宋_GB2312" w:cs="仿宋_GB2312"/>
          <w:sz w:val="32"/>
          <w:szCs w:val="32"/>
          <w:lang w:val="en-US" w:eastAsia="zh-CN"/>
        </w:rPr>
        <w:t>0.32万元、</w:t>
      </w:r>
      <w:r>
        <w:rPr>
          <w:rFonts w:hint="eastAsia" w:ascii="仿宋_GB2312" w:hAnsi="仿宋_GB2312" w:eastAsia="仿宋_GB2312" w:cs="仿宋_GB2312"/>
          <w:sz w:val="32"/>
          <w:szCs w:val="32"/>
          <w:lang w:eastAsia="zh-CN"/>
        </w:rPr>
        <w:t>职工基本医疗保险缴费支出</w:t>
      </w:r>
      <w:r>
        <w:rPr>
          <w:rFonts w:hint="eastAsia" w:ascii="仿宋_GB2312" w:hAnsi="仿宋_GB2312" w:eastAsia="仿宋_GB2312" w:cs="仿宋_GB2312"/>
          <w:sz w:val="32"/>
          <w:szCs w:val="32"/>
          <w:lang w:val="en-US" w:eastAsia="zh-CN"/>
        </w:rPr>
        <w:t>8.11万元、公务员医疗补助缴费1.95万元、</w:t>
      </w:r>
      <w:r>
        <w:rPr>
          <w:rFonts w:hint="eastAsia" w:ascii="仿宋_GB2312" w:hAnsi="仿宋_GB2312" w:eastAsia="仿宋_GB2312" w:cs="仿宋_GB2312"/>
          <w:sz w:val="32"/>
          <w:szCs w:val="32"/>
        </w:rPr>
        <w:t>奖励金</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13.51万元等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10.63</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3.13万元</w:t>
      </w:r>
      <w:r>
        <w:rPr>
          <w:rFonts w:hint="eastAsia" w:ascii="仿宋_GB2312" w:hAnsi="仿宋_GB2312" w:eastAsia="仿宋_GB2312" w:cs="仿宋_GB2312"/>
          <w:sz w:val="32"/>
          <w:szCs w:val="32"/>
        </w:rPr>
        <w:t>、印刷费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、咨询费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、手续费</w:t>
      </w:r>
      <w:r>
        <w:rPr>
          <w:rFonts w:hint="eastAsia" w:ascii="仿宋_GB2312" w:hAnsi="仿宋_GB2312" w:eastAsia="仿宋_GB2312" w:cs="仿宋_GB2312"/>
          <w:sz w:val="32"/>
          <w:szCs w:val="32"/>
          <w:lang w:val="en-US" w:eastAsia="zh-CN"/>
        </w:rPr>
        <w:t>0.07万元</w:t>
      </w:r>
      <w:r>
        <w:rPr>
          <w:rFonts w:hint="eastAsia" w:ascii="仿宋_GB2312" w:hAnsi="仿宋_GB2312" w:eastAsia="仿宋_GB2312" w:cs="仿宋_GB2312"/>
          <w:sz w:val="32"/>
          <w:szCs w:val="32"/>
        </w:rPr>
        <w:t>、水费</w:t>
      </w:r>
      <w:r>
        <w:rPr>
          <w:rFonts w:hint="eastAsia" w:ascii="仿宋_GB2312" w:hAnsi="仿宋_GB2312" w:eastAsia="仿宋_GB2312" w:cs="仿宋_GB2312"/>
          <w:sz w:val="32"/>
          <w:szCs w:val="32"/>
          <w:lang w:val="en-US" w:eastAsia="zh-CN"/>
        </w:rPr>
        <w:t>0.07万元</w:t>
      </w:r>
      <w:r>
        <w:rPr>
          <w:rFonts w:hint="eastAsia" w:ascii="仿宋_GB2312" w:hAnsi="仿宋_GB2312" w:eastAsia="仿宋_GB2312" w:cs="仿宋_GB2312"/>
          <w:sz w:val="32"/>
          <w:szCs w:val="32"/>
        </w:rPr>
        <w:t>、电费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val="en-US" w:eastAsia="zh-CN"/>
        </w:rPr>
        <w:t>0.5万元</w:t>
      </w:r>
      <w:r>
        <w:rPr>
          <w:rFonts w:hint="eastAsia" w:ascii="仿宋_GB2312" w:hAnsi="仿宋_GB2312" w:eastAsia="仿宋_GB2312" w:cs="仿宋_GB2312"/>
          <w:sz w:val="32"/>
          <w:szCs w:val="32"/>
        </w:rPr>
        <w:t>、取暖费</w:t>
      </w:r>
      <w:r>
        <w:rPr>
          <w:rFonts w:hint="eastAsia" w:ascii="仿宋_GB2312" w:hAnsi="仿宋_GB2312" w:eastAsia="仿宋_GB2312" w:cs="仿宋_GB2312"/>
          <w:sz w:val="32"/>
          <w:szCs w:val="32"/>
          <w:lang w:val="en-US" w:eastAsia="zh-CN"/>
        </w:rPr>
        <w:t>0.2万元</w:t>
      </w:r>
      <w:r>
        <w:rPr>
          <w:rFonts w:hint="eastAsia" w:ascii="仿宋_GB2312" w:hAnsi="仿宋_GB2312" w:eastAsia="仿宋_GB2312" w:cs="仿宋_GB2312"/>
          <w:sz w:val="32"/>
          <w:szCs w:val="32"/>
        </w:rPr>
        <w:t>、物业管理费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2.47万元</w:t>
      </w:r>
      <w:r>
        <w:rPr>
          <w:rFonts w:hint="eastAsia" w:ascii="仿宋_GB2312" w:hAnsi="仿宋_GB2312" w:eastAsia="仿宋_GB2312" w:cs="仿宋_GB2312"/>
          <w:sz w:val="32"/>
          <w:szCs w:val="32"/>
        </w:rPr>
        <w:t>、因公出国（境）费用</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、维修（护）费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、租赁费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、会议费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、劳务费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、委托业务费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1.21万元</w:t>
      </w:r>
      <w:r>
        <w:rPr>
          <w:rFonts w:hint="eastAsia" w:ascii="仿宋_GB2312" w:hAnsi="仿宋_GB2312" w:eastAsia="仿宋_GB2312" w:cs="仿宋_GB2312"/>
          <w:sz w:val="32"/>
          <w:szCs w:val="32"/>
        </w:rPr>
        <w:t>、福利费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2.61万元</w:t>
      </w:r>
      <w:r>
        <w:rPr>
          <w:rFonts w:hint="eastAsia" w:ascii="仿宋_GB2312" w:hAnsi="仿宋_GB2312" w:eastAsia="仿宋_GB2312" w:cs="仿宋_GB2312"/>
          <w:sz w:val="32"/>
          <w:szCs w:val="32"/>
        </w:rPr>
        <w:t>、其他交通费</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、税金及附加费用</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、其他商品和服务支出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、办公设备购置</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、专用设备购置</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、信息网络及软件购置更新</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、其他资本性支</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出等。</w:t>
      </w:r>
    </w:p>
    <w:p w14:paraId="1E7BC5AD">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Style w:val="31"/>
          <w:rFonts w:ascii="黑体" w:hAnsi="黑体" w:eastAsia="黑体"/>
          <w:b w:val="0"/>
        </w:rPr>
      </w:pPr>
      <w:bookmarkStart w:id="30" w:name="_Toc15377215"/>
      <w:bookmarkStart w:id="31"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0"/>
      <w:bookmarkEnd w:id="31"/>
    </w:p>
    <w:p w14:paraId="1B91F994">
      <w:pPr>
        <w:spacing w:line="600" w:lineRule="exact"/>
        <w:ind w:firstLine="643" w:firstLineChars="200"/>
        <w:outlineLvl w:val="2"/>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（一）“三公”经费财政拨款支出决算总体情况说明</w:t>
      </w:r>
    </w:p>
    <w:p w14:paraId="3B96D187">
      <w:pPr>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2024年度“三公”经费财政拨款支出决算为2.61万元，完成预算99.58%，较上年度增加</w:t>
      </w:r>
      <w:r>
        <w:rPr>
          <w:rFonts w:hint="eastAsia" w:ascii="仿宋_GB2312" w:hAnsi="仿宋_GB2312" w:eastAsia="仿宋_GB2312" w:cs="仿宋_GB2312"/>
          <w:sz w:val="32"/>
          <w:szCs w:val="32"/>
          <w:lang w:val="en-US" w:eastAsia="zh-CN"/>
        </w:rPr>
        <w:t>0.16</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6.35</w:t>
      </w:r>
      <w:r>
        <w:rPr>
          <w:rFonts w:hint="eastAsia" w:ascii="仿宋_GB2312" w:hAnsi="仿宋_GB2312" w:eastAsia="仿宋_GB2312" w:cs="仿宋_GB2312"/>
          <w:sz w:val="32"/>
          <w:szCs w:val="32"/>
        </w:rPr>
        <w:t>%。决算数与预算数持平</w:t>
      </w:r>
      <w:r>
        <w:rPr>
          <w:rFonts w:hint="eastAsia" w:ascii="仿宋_GB2312" w:hAnsi="仿宋_GB2312" w:eastAsia="仿宋_GB2312" w:cs="仿宋_GB2312"/>
          <w:sz w:val="32"/>
          <w:szCs w:val="32"/>
          <w:lang w:eastAsia="zh-CN"/>
        </w:rPr>
        <w:t>。</w:t>
      </w:r>
    </w:p>
    <w:p w14:paraId="4A332FE1">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outlineLvl w:val="2"/>
        <w:rPr>
          <w:rFonts w:hint="eastAsia" w:ascii="仿宋_GB2312" w:hAnsi="仿宋_GB2312" w:eastAsia="仿宋_GB2312" w:cs="仿宋_GB2312"/>
          <w:b/>
          <w:bCs w:val="0"/>
          <w:sz w:val="32"/>
          <w:szCs w:val="32"/>
        </w:rPr>
      </w:pPr>
      <w:bookmarkStart w:id="32" w:name="_Toc15377217"/>
      <w:r>
        <w:rPr>
          <w:rFonts w:hint="eastAsia" w:ascii="仿宋_GB2312" w:hAnsi="仿宋_GB2312" w:eastAsia="仿宋_GB2312" w:cs="仿宋_GB2312"/>
          <w:b/>
          <w:bCs w:val="0"/>
          <w:sz w:val="32"/>
          <w:szCs w:val="32"/>
        </w:rPr>
        <w:t>（二）“三公”经费财政拨款支出决算具体情况说明</w:t>
      </w:r>
      <w:bookmarkEnd w:id="32"/>
    </w:p>
    <w:p w14:paraId="08060C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年度“三公”经费财政拨款支出决算中，因公出国（境）费支出决算</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b/>
          <w:sz w:val="32"/>
          <w:szCs w:val="32"/>
        </w:rPr>
        <w:t>2.</w:t>
      </w:r>
      <w:r>
        <w:rPr>
          <w:rFonts w:hint="eastAsia" w:ascii="仿宋_GB2312" w:hAnsi="仿宋_GB2312" w:eastAsia="仿宋_GB2312" w:cs="仿宋_GB2312"/>
          <w:b/>
          <w:sz w:val="32"/>
          <w:szCs w:val="32"/>
          <w:lang w:val="en-US" w:eastAsia="zh-CN"/>
        </w:rPr>
        <w:t>.61</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%。具体情况如下：</w:t>
      </w:r>
    </w:p>
    <w:p w14:paraId="1917A090">
      <w:pPr>
        <w:pStyle w:val="13"/>
        <w:rPr>
          <w:rFonts w:hint="eastAsia" w:ascii="仿宋" w:hAnsi="仿宋" w:eastAsia="仿宋"/>
          <w:sz w:val="32"/>
          <w:szCs w:val="32"/>
        </w:rPr>
      </w:pPr>
      <w:r>
        <w:rPr>
          <w:rFonts w:hint="eastAsia"/>
          <w:lang w:val="en-US" w:eastAsia="zh-CN"/>
        </w:rPr>
        <w:t xml:space="preserve">      </w:t>
      </w:r>
      <w:r>
        <w:rPr>
          <w:rFonts w:hint="eastAsia"/>
          <w:lang w:eastAsia="zh-CN"/>
        </w:rPr>
        <w:drawing>
          <wp:inline distT="0" distB="0" distL="114300" distR="114300">
            <wp:extent cx="4254500" cy="2552065"/>
            <wp:effectExtent l="4445" t="4445" r="8255" b="1524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C3B680">
      <w:pPr>
        <w:keepNext w:val="0"/>
        <w:keepLines w:val="0"/>
        <w:pageBreakBefore w:val="0"/>
        <w:kinsoku/>
        <w:wordWrap/>
        <w:overflowPunct/>
        <w:topLinePunct w:val="0"/>
        <w:bidi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（图7：“三公”经费财政拨款支出结构）（饼状图）</w:t>
      </w:r>
    </w:p>
    <w:p w14:paraId="265A54BA">
      <w:pPr>
        <w:keepNext w:val="0"/>
        <w:keepLines w:val="0"/>
        <w:pageBreakBefore w:val="0"/>
        <w:kinsoku/>
        <w:wordWrap/>
        <w:overflowPunct/>
        <w:topLinePunct w:val="0"/>
        <w:bidi w:val="0"/>
        <w:spacing w:line="560" w:lineRule="exact"/>
        <w:ind w:firstLine="643" w:firstLineChars="200"/>
        <w:rPr>
          <w:rFonts w:hint="eastAsia" w:ascii="仿宋_GB2312" w:hAnsi="仿宋_GB2312" w:eastAsia="仿宋_GB2312" w:cs="仿宋_GB2312"/>
          <w:b/>
          <w:sz w:val="32"/>
          <w:szCs w:val="32"/>
          <w:lang w:eastAsia="zh-CN"/>
        </w:rPr>
      </w:pPr>
      <w:bookmarkStart w:id="33" w:name="_Toc15377218"/>
      <w:bookmarkStart w:id="34" w:name="_Toc15396610"/>
      <w:r>
        <w:rPr>
          <w:rFonts w:hint="eastAsia" w:ascii="仿宋_GB2312" w:hAnsi="仿宋_GB2312" w:eastAsia="仿宋_GB2312" w:cs="仿宋_GB2312"/>
          <w:b/>
          <w:sz w:val="32"/>
          <w:szCs w:val="32"/>
        </w:rPr>
        <w:t>1.因公出国（境）经费支出0</w:t>
      </w:r>
      <w:r>
        <w:rPr>
          <w:rFonts w:hint="eastAsia" w:ascii="仿宋_GB2312" w:hAnsi="仿宋_GB2312" w:eastAsia="仿宋_GB2312" w:cs="仿宋_GB2312"/>
          <w:sz w:val="32"/>
          <w:szCs w:val="32"/>
        </w:rPr>
        <w:t>万元，</w:t>
      </w:r>
      <w:r>
        <w:rPr>
          <w:rStyle w:val="19"/>
          <w:rFonts w:hint="eastAsia" w:ascii="仿宋_GB2312" w:hAnsi="仿宋_GB2312" w:eastAsia="仿宋_GB2312" w:cs="仿宋_GB2312"/>
          <w:b w:val="0"/>
          <w:bCs/>
          <w:sz w:val="32"/>
          <w:szCs w:val="32"/>
        </w:rPr>
        <w:t>完成预算</w:t>
      </w:r>
      <w:r>
        <w:rPr>
          <w:rStyle w:val="19"/>
          <w:rFonts w:hint="eastAsia" w:ascii="仿宋_GB2312" w:hAnsi="仿宋_GB2312" w:eastAsia="仿宋_GB2312" w:cs="仿宋_GB2312"/>
          <w:bCs/>
          <w:sz w:val="32"/>
          <w:szCs w:val="32"/>
        </w:rPr>
        <w:t>0</w:t>
      </w:r>
      <w:r>
        <w:rPr>
          <w:rStyle w:val="19"/>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人。因公出国（境）支出决算比202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相等</w:t>
      </w:r>
    </w:p>
    <w:p w14:paraId="2B339BDB">
      <w:pPr>
        <w:keepNext w:val="0"/>
        <w:keepLines w:val="0"/>
        <w:pageBreakBefore w:val="0"/>
        <w:kinsoku/>
        <w:wordWrap/>
        <w:overflowPunct/>
        <w:topLinePunct w:val="0"/>
        <w:bidi w:val="0"/>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2.公务用车购置及运行维护费支出2.</w:t>
      </w:r>
      <w:r>
        <w:rPr>
          <w:rFonts w:hint="eastAsia" w:ascii="仿宋_GB2312" w:hAnsi="仿宋_GB2312" w:eastAsia="仿宋_GB2312" w:cs="仿宋_GB2312"/>
          <w:b/>
          <w:sz w:val="32"/>
          <w:szCs w:val="32"/>
          <w:lang w:val="en-US" w:eastAsia="zh-CN"/>
        </w:rPr>
        <w:t>.61</w:t>
      </w:r>
      <w:r>
        <w:rPr>
          <w:rFonts w:hint="eastAsia" w:ascii="仿宋_GB2312" w:hAnsi="仿宋_GB2312" w:eastAsia="仿宋_GB2312" w:cs="仿宋_GB2312"/>
          <w:sz w:val="32"/>
          <w:szCs w:val="32"/>
        </w:rPr>
        <w:t>万元,</w:t>
      </w:r>
      <w:r>
        <w:rPr>
          <w:rStyle w:val="19"/>
          <w:rFonts w:hint="eastAsia" w:ascii="仿宋_GB2312" w:hAnsi="仿宋_GB2312" w:eastAsia="仿宋_GB2312" w:cs="仿宋_GB2312"/>
          <w:b w:val="0"/>
          <w:bCs/>
          <w:sz w:val="32"/>
          <w:szCs w:val="32"/>
        </w:rPr>
        <w:t>完成预算</w:t>
      </w:r>
      <w:r>
        <w:rPr>
          <w:rStyle w:val="19"/>
          <w:rFonts w:hint="eastAsia" w:ascii="仿宋_GB2312" w:hAnsi="仿宋_GB2312" w:eastAsia="仿宋_GB2312" w:cs="仿宋_GB2312"/>
          <w:bCs/>
          <w:sz w:val="32"/>
          <w:szCs w:val="32"/>
        </w:rPr>
        <w:t>100</w:t>
      </w:r>
      <w:r>
        <w:rPr>
          <w:rStyle w:val="19"/>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年度增</w:t>
      </w:r>
      <w:r>
        <w:rPr>
          <w:rFonts w:hint="eastAsia" w:ascii="仿宋_GB2312" w:hAnsi="仿宋_GB2312" w:eastAsia="仿宋_GB2312" w:cs="仿宋_GB2312"/>
          <w:sz w:val="32"/>
          <w:szCs w:val="32"/>
          <w:lang w:eastAsia="zh-CN"/>
        </w:rPr>
        <w:t>加</w:t>
      </w:r>
      <w:r>
        <w:rPr>
          <w:rFonts w:hint="eastAsia" w:ascii="仿宋_GB2312" w:hAnsi="仿宋_GB2312" w:eastAsia="仿宋_GB2312" w:cs="仿宋_GB2312"/>
          <w:sz w:val="32"/>
          <w:szCs w:val="32"/>
          <w:lang w:val="en-US" w:eastAsia="zh-CN"/>
        </w:rPr>
        <w:t>0.16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6.35</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公务用车维修维护</w:t>
      </w:r>
      <w:r>
        <w:rPr>
          <w:rFonts w:hint="eastAsia" w:ascii="仿宋_GB2312" w:hAnsi="仿宋_GB2312" w:eastAsia="仿宋_GB2312" w:cs="仿宋_GB2312"/>
          <w:sz w:val="32"/>
          <w:szCs w:val="32"/>
        </w:rPr>
        <w:t>。</w:t>
      </w:r>
    </w:p>
    <w:p w14:paraId="1014225B">
      <w:pPr>
        <w:keepNext w:val="0"/>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公务用车购置支出0</w:t>
      </w:r>
      <w:r>
        <w:rPr>
          <w:rFonts w:hint="eastAsia" w:ascii="仿宋_GB2312" w:hAnsi="仿宋_GB2312" w:eastAsia="仿宋_GB2312" w:cs="仿宋_GB2312"/>
          <w:sz w:val="32"/>
          <w:szCs w:val="32"/>
        </w:rPr>
        <w:t>万元。全年按规定更新购置公务用</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车辆，其中：轿车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年12月31日，单位共有公务用车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14:paraId="0748B44A">
      <w:pPr>
        <w:keepNext w:val="0"/>
        <w:keepLines w:val="0"/>
        <w:pageBreakBefore w:val="0"/>
        <w:kinsoku/>
        <w:wordWrap/>
        <w:overflowPunct/>
        <w:topLinePunct w:val="0"/>
        <w:bidi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公务用车运行维护费支出2.</w:t>
      </w:r>
      <w:r>
        <w:rPr>
          <w:rFonts w:hint="eastAsia" w:ascii="仿宋_GB2312" w:hAnsi="仿宋_GB2312" w:eastAsia="仿宋_GB2312" w:cs="仿宋_GB2312"/>
          <w:b/>
          <w:sz w:val="32"/>
          <w:szCs w:val="32"/>
          <w:lang w:val="en-US" w:eastAsia="zh-CN"/>
        </w:rPr>
        <w:t>.61</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b w:val="0"/>
          <w:bCs/>
          <w:sz w:val="32"/>
          <w:szCs w:val="32"/>
        </w:rPr>
        <w:t>主</w:t>
      </w:r>
      <w:r>
        <w:rPr>
          <w:rFonts w:hint="eastAsia" w:ascii="仿宋_GB2312" w:hAnsi="仿宋_GB2312" w:eastAsia="仿宋_GB2312" w:cs="仿宋_GB2312"/>
          <w:sz w:val="32"/>
          <w:szCs w:val="32"/>
        </w:rPr>
        <w:t>要用于公务用车燃料费、维修费、过路过桥费、保险费等支出。</w:t>
      </w:r>
    </w:p>
    <w:p w14:paraId="687C661B">
      <w:pPr>
        <w:keepNext w:val="0"/>
        <w:keepLines w:val="0"/>
        <w:pageBreakBefore w:val="0"/>
        <w:kinsoku/>
        <w:wordWrap/>
        <w:overflowPunct/>
        <w:topLinePunct w:val="0"/>
        <w:bidi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3.公务接待费支出0</w:t>
      </w:r>
      <w:r>
        <w:rPr>
          <w:rFonts w:hint="eastAsia" w:ascii="仿宋_GB2312" w:hAnsi="仿宋_GB2312" w:eastAsia="仿宋_GB2312" w:cs="仿宋_GB2312"/>
          <w:sz w:val="32"/>
          <w:szCs w:val="32"/>
        </w:rPr>
        <w:t>万元，</w:t>
      </w:r>
      <w:r>
        <w:rPr>
          <w:rStyle w:val="19"/>
          <w:rFonts w:hint="eastAsia" w:ascii="仿宋_GB2312" w:hAnsi="仿宋_GB2312" w:eastAsia="仿宋_GB2312" w:cs="仿宋_GB2312"/>
          <w:b w:val="0"/>
          <w:bCs/>
          <w:sz w:val="32"/>
          <w:szCs w:val="32"/>
        </w:rPr>
        <w:t>完成预算0%。</w:t>
      </w:r>
      <w:r>
        <w:rPr>
          <w:rFonts w:hint="eastAsia" w:ascii="仿宋_GB2312" w:hAnsi="仿宋_GB2312" w:eastAsia="仿宋_GB2312" w:cs="仿宋_GB2312"/>
          <w:sz w:val="32"/>
          <w:szCs w:val="32"/>
        </w:rPr>
        <w:t>公务接待费支出决算比2022年度</w:t>
      </w:r>
      <w:r>
        <w:rPr>
          <w:rFonts w:hint="eastAsia" w:ascii="仿宋_GB2312" w:hAnsi="仿宋_GB2312" w:eastAsia="仿宋_GB2312" w:cs="仿宋_GB2312"/>
          <w:sz w:val="32"/>
          <w:szCs w:val="32"/>
          <w:lang w:eastAsia="zh-CN"/>
        </w:rPr>
        <w:t>相等</w:t>
      </w:r>
      <w:r>
        <w:rPr>
          <w:rFonts w:hint="eastAsia" w:ascii="仿宋_GB2312" w:hAnsi="仿宋_GB2312" w:eastAsia="仿宋_GB2312" w:cs="仿宋_GB2312"/>
          <w:sz w:val="32"/>
          <w:szCs w:val="32"/>
        </w:rPr>
        <w:t>。</w:t>
      </w:r>
    </w:p>
    <w:p w14:paraId="1ADF94CB">
      <w:pPr>
        <w:keepNext w:val="0"/>
        <w:keepLines w:val="0"/>
        <w:pageBreakBefore w:val="0"/>
        <w:kinsoku/>
        <w:wordWrap/>
        <w:overflowPunct/>
        <w:topLinePunct w:val="0"/>
        <w:bidi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国内公务接待支出0</w:t>
      </w:r>
      <w:r>
        <w:rPr>
          <w:rFonts w:hint="eastAsia" w:ascii="仿宋_GB2312" w:hAnsi="仿宋_GB2312" w:eastAsia="仿宋_GB2312" w:cs="仿宋_GB2312"/>
          <w:sz w:val="32"/>
          <w:szCs w:val="32"/>
        </w:rPr>
        <w:t>万元。国内公务接待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553E369">
      <w:pPr>
        <w:keepNext w:val="0"/>
        <w:keepLines w:val="0"/>
        <w:pageBreakBefore w:val="0"/>
        <w:kinsoku/>
        <w:wordWrap/>
        <w:overflowPunct/>
        <w:topLinePunct w:val="0"/>
        <w:bidi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外事接待支出0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5B0D9114">
      <w:pPr>
        <w:keepNext w:val="0"/>
        <w:keepLines w:val="0"/>
        <w:pageBreakBefore w:val="0"/>
        <w:kinsoku/>
        <w:wordWrap/>
        <w:overflowPunct/>
        <w:topLinePunct w:val="0"/>
        <w:bidi w:val="0"/>
        <w:spacing w:line="560" w:lineRule="exact"/>
        <w:ind w:firstLine="640" w:firstLineChars="20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33"/>
      <w:bookmarkEnd w:id="34"/>
    </w:p>
    <w:p w14:paraId="19649821">
      <w:pPr>
        <w:keepNext w:val="0"/>
        <w:keepLines w:val="0"/>
        <w:pageBreakBefore w:val="0"/>
        <w:kinsoku/>
        <w:wordWrap/>
        <w:overflowPunct/>
        <w:topLinePunct w:val="0"/>
        <w:bidi w:val="0"/>
        <w:spacing w:line="560" w:lineRule="exact"/>
        <w:ind w:firstLine="640"/>
        <w:rPr>
          <w:rFonts w:ascii="仿宋_GB2312"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年度政府性基金预算财政拨款支出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w:t>
      </w:r>
      <w:r>
        <w:rPr>
          <w:rFonts w:hint="eastAsia" w:ascii="仿宋_GB2312" w:eastAsia="仿宋_GB2312"/>
          <w:sz w:val="32"/>
          <w:szCs w:val="32"/>
        </w:rPr>
        <w:t>。</w:t>
      </w:r>
    </w:p>
    <w:p w14:paraId="14E4686E">
      <w:pPr>
        <w:keepNext w:val="0"/>
        <w:keepLines w:val="0"/>
        <w:pageBreakBefore w:val="0"/>
        <w:numPr>
          <w:ilvl w:val="0"/>
          <w:numId w:val="0"/>
        </w:numPr>
        <w:kinsoku/>
        <w:wordWrap/>
        <w:overflowPunct/>
        <w:topLinePunct w:val="0"/>
        <w:bidi w:val="0"/>
        <w:spacing w:line="560" w:lineRule="exact"/>
        <w:ind w:firstLine="640" w:firstLineChars="200"/>
        <w:outlineLvl w:val="1"/>
        <w:rPr>
          <w:rStyle w:val="31"/>
          <w:rFonts w:ascii="黑体" w:hAnsi="黑体" w:eastAsia="黑体"/>
          <w:b w:val="0"/>
        </w:rPr>
      </w:pPr>
      <w:bookmarkStart w:id="35" w:name="_Toc15377219"/>
      <w:bookmarkStart w:id="36" w:name="_Toc15396611"/>
      <w:r>
        <w:rPr>
          <w:rStyle w:val="31"/>
          <w:rFonts w:hint="eastAsia" w:ascii="黑体" w:hAnsi="黑体" w:eastAsia="黑体"/>
          <w:b w:val="0"/>
          <w:lang w:val="en-US" w:eastAsia="zh-CN"/>
        </w:rPr>
        <w:t>九、</w:t>
      </w:r>
      <w:r>
        <w:rPr>
          <w:rStyle w:val="31"/>
          <w:rFonts w:hint="eastAsia" w:ascii="黑体" w:hAnsi="黑体" w:eastAsia="黑体"/>
          <w:b w:val="0"/>
        </w:rPr>
        <w:t>国有资本经营预算支出决算情况说明</w:t>
      </w:r>
      <w:bookmarkEnd w:id="35"/>
      <w:bookmarkEnd w:id="36"/>
    </w:p>
    <w:p w14:paraId="463C33F8">
      <w:pPr>
        <w:keepNext w:val="0"/>
        <w:keepLines w:val="0"/>
        <w:pageBreakBefore w:val="0"/>
        <w:kinsoku/>
        <w:wordWrap/>
        <w:overflowPunct/>
        <w:topLinePunct w:val="0"/>
        <w:bidi w:val="0"/>
        <w:spacing w:line="560" w:lineRule="exact"/>
        <w:ind w:firstLine="64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年度国有资本经营预算财政拨款支出</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w:t>
      </w:r>
    </w:p>
    <w:p w14:paraId="4DD73BF4">
      <w:pPr>
        <w:keepNext w:val="0"/>
        <w:keepLines w:val="0"/>
        <w:pageBreakBefore w:val="0"/>
        <w:numPr>
          <w:ilvl w:val="0"/>
          <w:numId w:val="0"/>
        </w:numPr>
        <w:kinsoku/>
        <w:wordWrap/>
        <w:overflowPunct/>
        <w:topLinePunct w:val="0"/>
        <w:bidi w:val="0"/>
        <w:spacing w:line="560" w:lineRule="exact"/>
        <w:ind w:firstLine="640" w:firstLineChars="200"/>
        <w:outlineLvl w:val="1"/>
        <w:rPr>
          <w:rStyle w:val="31"/>
          <w:rFonts w:ascii="黑体" w:hAnsi="黑体" w:eastAsia="黑体"/>
          <w:b w:val="0"/>
        </w:rPr>
      </w:pPr>
      <w:bookmarkStart w:id="37" w:name="_Toc15396612"/>
      <w:bookmarkStart w:id="38" w:name="_Toc15377221"/>
      <w:r>
        <w:rPr>
          <w:rStyle w:val="31"/>
          <w:rFonts w:hint="eastAsia" w:ascii="黑体" w:hAnsi="黑体" w:eastAsia="黑体"/>
          <w:b w:val="0"/>
          <w:lang w:val="en-US" w:eastAsia="zh-CN"/>
        </w:rPr>
        <w:t>十、</w:t>
      </w:r>
      <w:r>
        <w:rPr>
          <w:rStyle w:val="31"/>
          <w:rFonts w:hint="eastAsia" w:ascii="黑体" w:hAnsi="黑体" w:eastAsia="黑体"/>
          <w:b w:val="0"/>
        </w:rPr>
        <w:t>其他重要事项的情况说明</w:t>
      </w:r>
      <w:bookmarkEnd w:id="37"/>
      <w:bookmarkEnd w:id="38"/>
    </w:p>
    <w:p w14:paraId="0AD1EE46">
      <w:pPr>
        <w:keepNext w:val="0"/>
        <w:keepLines w:val="0"/>
        <w:pageBreakBefore w:val="0"/>
        <w:kinsoku/>
        <w:wordWrap/>
        <w:overflowPunct/>
        <w:topLinePunct w:val="0"/>
        <w:bidi w:val="0"/>
        <w:spacing w:line="560" w:lineRule="exact"/>
        <w:ind w:firstLine="643" w:firstLineChars="200"/>
        <w:outlineLvl w:val="2"/>
        <w:rPr>
          <w:rFonts w:hint="eastAsia" w:ascii="仿宋_GB2312" w:hAnsi="仿宋_GB2312" w:eastAsia="仿宋_GB2312" w:cs="仿宋_GB2312"/>
          <w:sz w:val="32"/>
          <w:szCs w:val="32"/>
        </w:rPr>
      </w:pPr>
      <w:bookmarkStart w:id="39" w:name="_Toc15377222"/>
      <w:r>
        <w:rPr>
          <w:rFonts w:hint="eastAsia" w:ascii="仿宋_GB2312" w:hAnsi="仿宋_GB2312" w:eastAsia="仿宋_GB2312" w:cs="仿宋_GB2312"/>
          <w:b/>
          <w:sz w:val="32"/>
          <w:szCs w:val="32"/>
        </w:rPr>
        <w:t>（一）机关运行经费支出情况</w:t>
      </w:r>
      <w:bookmarkEnd w:id="39"/>
    </w:p>
    <w:p w14:paraId="4C2CC14F">
      <w:pPr>
        <w:keepNext w:val="0"/>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b w:val="0"/>
          <w:bCs/>
          <w:sz w:val="32"/>
          <w:szCs w:val="32"/>
        </w:rPr>
        <w:t>红原县党史研究和地方志编纂中心</w:t>
      </w:r>
      <w:r>
        <w:rPr>
          <w:rFonts w:hint="eastAsia" w:ascii="仿宋_GB2312" w:hAnsi="仿宋_GB2312" w:eastAsia="仿宋_GB2312" w:cs="仿宋_GB2312"/>
          <w:sz w:val="32"/>
          <w:szCs w:val="32"/>
        </w:rPr>
        <w:t>机关运行经费支出</w:t>
      </w: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val="en-US" w:eastAsia="zh-CN"/>
        </w:rPr>
        <w:t>0.63</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13.37</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厉行节约</w:t>
      </w:r>
      <w:r>
        <w:rPr>
          <w:rFonts w:hint="eastAsia" w:ascii="仿宋_GB2312" w:hAnsi="仿宋_GB2312" w:eastAsia="仿宋_GB2312" w:cs="仿宋_GB2312"/>
          <w:sz w:val="32"/>
          <w:szCs w:val="32"/>
        </w:rPr>
        <w:t>。</w:t>
      </w:r>
    </w:p>
    <w:p w14:paraId="10F5DE2A">
      <w:pPr>
        <w:keepNext w:val="0"/>
        <w:keepLines w:val="0"/>
        <w:pageBreakBefore w:val="0"/>
        <w:kinsoku/>
        <w:wordWrap/>
        <w:overflowPunct/>
        <w:topLinePunct w:val="0"/>
        <w:autoSpaceDE w:val="0"/>
        <w:autoSpaceDN w:val="0"/>
        <w:bidi w:val="0"/>
        <w:adjustRightInd w:val="0"/>
        <w:spacing w:line="560" w:lineRule="exact"/>
        <w:jc w:val="left"/>
        <w:outlineLvl w:val="2"/>
        <w:rPr>
          <w:rFonts w:ascii="仿宋" w:hAnsi="仿宋" w:eastAsia="仿宋"/>
          <w:b/>
          <w:sz w:val="32"/>
          <w:szCs w:val="32"/>
        </w:rPr>
      </w:pPr>
      <w:bookmarkStart w:id="40" w:name="_Toc15377223"/>
      <w:r>
        <w:rPr>
          <w:rFonts w:hint="eastAsia" w:ascii="仿宋" w:hAnsi="仿宋" w:eastAsia="仿宋"/>
          <w:b/>
          <w:sz w:val="32"/>
          <w:szCs w:val="32"/>
        </w:rPr>
        <w:t>（二）</w:t>
      </w:r>
      <w:r>
        <w:rPr>
          <w:rFonts w:hint="eastAsia" w:ascii="仿宋" w:hAnsi="仿宋" w:eastAsia="仿宋"/>
          <w:b/>
          <w:bCs w:val="0"/>
          <w:sz w:val="32"/>
          <w:szCs w:val="32"/>
        </w:rPr>
        <w:t>政府采购支</w:t>
      </w:r>
      <w:r>
        <w:rPr>
          <w:rFonts w:hint="eastAsia" w:ascii="仿宋_GB2312" w:hAnsi="仿宋_GB2312" w:eastAsia="仿宋_GB2312" w:cs="仿宋_GB2312"/>
          <w:b/>
          <w:bCs w:val="0"/>
          <w:sz w:val="32"/>
          <w:szCs w:val="32"/>
        </w:rPr>
        <w:t>出情况</w:t>
      </w:r>
      <w:bookmarkEnd w:id="40"/>
    </w:p>
    <w:p w14:paraId="112983BF">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2024年度，红原县党史研究和地方志编纂中心政府采购支出总额15.12万元，其中：政府采购货物支出0万元、政府采购工程支出0万元、政府采购服务支出15.12万元。主要用于</w:t>
      </w:r>
      <w:r>
        <w:rPr>
          <w:rFonts w:hint="eastAsia" w:ascii="仿宋_GB2312" w:hAnsi="仿宋_GB2312" w:eastAsia="仿宋_GB2312" w:cs="仿宋_GB2312"/>
          <w:sz w:val="32"/>
          <w:szCs w:val="32"/>
          <w:lang w:eastAsia="zh-CN"/>
        </w:rPr>
        <w:t>《红原县扶贫志》编纂印刷出版</w:t>
      </w:r>
      <w:r>
        <w:rPr>
          <w:rFonts w:hint="eastAsia" w:ascii="仿宋_GB2312" w:hAnsi="仿宋_GB2312" w:eastAsia="仿宋_GB2312" w:cs="仿宋_GB2312"/>
          <w:sz w:val="32"/>
          <w:szCs w:val="32"/>
        </w:rPr>
        <w:t>。授予中小企业合同金额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15.12</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38C42C3C">
      <w:pPr>
        <w:keepNext w:val="0"/>
        <w:keepLines w:val="0"/>
        <w:pageBreakBefore w:val="0"/>
        <w:kinsoku/>
        <w:wordWrap/>
        <w:overflowPunct/>
        <w:topLinePunct w:val="0"/>
        <w:autoSpaceDE w:val="0"/>
        <w:autoSpaceDN w:val="0"/>
        <w:bidi w:val="0"/>
        <w:adjustRightInd w:val="0"/>
        <w:spacing w:line="560" w:lineRule="exact"/>
        <w:jc w:val="left"/>
        <w:outlineLvl w:val="2"/>
        <w:rPr>
          <w:rFonts w:hint="eastAsia" w:ascii="仿宋_GB2312" w:hAnsi="仿宋_GB2312" w:eastAsia="仿宋_GB2312" w:cs="仿宋_GB2312"/>
          <w:b/>
          <w:bCs w:val="0"/>
          <w:sz w:val="32"/>
          <w:szCs w:val="32"/>
        </w:rPr>
      </w:pPr>
      <w:bookmarkStart w:id="41" w:name="_Toc15377224"/>
      <w:r>
        <w:rPr>
          <w:rFonts w:hint="eastAsia" w:ascii="仿宋_GB2312" w:hAnsi="仿宋_GB2312" w:eastAsia="仿宋_GB2312" w:cs="仿宋_GB2312"/>
          <w:b/>
          <w:bCs w:val="0"/>
          <w:sz w:val="32"/>
          <w:szCs w:val="32"/>
        </w:rPr>
        <w:t>（三）国有资产占有使用情况</w:t>
      </w:r>
      <w:bookmarkEnd w:id="41"/>
    </w:p>
    <w:p w14:paraId="5826445D">
      <w:pPr>
        <w:keepNext w:val="0"/>
        <w:keepLines w:val="0"/>
        <w:pageBreakBefore w:val="0"/>
        <w:kinsoku/>
        <w:wordWrap/>
        <w:overflowPunct/>
        <w:topLinePunct w:val="0"/>
        <w:autoSpaceDE w:val="0"/>
        <w:autoSpaceDN w:val="0"/>
        <w:bidi w:val="0"/>
        <w:adjustRightIn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val="0"/>
          <w:bCs/>
          <w:sz w:val="32"/>
          <w:szCs w:val="32"/>
        </w:rPr>
        <w:t>红原县党史研究和地方志编纂中心</w:t>
      </w:r>
      <w:r>
        <w:rPr>
          <w:rFonts w:hint="eastAsia" w:ascii="仿宋_GB2312" w:eastAsia="仿宋_GB2312"/>
          <w:sz w:val="32"/>
          <w:szCs w:val="32"/>
        </w:rPr>
        <w:t>共有车辆</w:t>
      </w:r>
      <w:r>
        <w:rPr>
          <w:rFonts w:hint="eastAsia" w:ascii="仿宋_GB2312" w:eastAsia="仿宋_GB2312"/>
          <w:b w:val="0"/>
          <w:bCs/>
          <w:sz w:val="32"/>
          <w:szCs w:val="32"/>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w:t>
      </w:r>
      <w:r>
        <w:rPr>
          <w:rFonts w:hint="eastAsia" w:ascii="仿宋_GB2312" w:eastAsia="仿宋_GB2312"/>
          <w:sz w:val="32"/>
          <w:szCs w:val="32"/>
          <w:lang w:val="en-US" w:eastAsia="zh-CN"/>
        </w:rPr>
        <w:t>0辆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w:t>
      </w:r>
      <w:r>
        <w:rPr>
          <w:rFonts w:ascii="仿宋_GB2312" w:eastAsia="仿宋_GB2312"/>
          <w:b/>
          <w:sz w:val="32"/>
          <w:szCs w:val="32"/>
        </w:rPr>
        <w:t>0</w:t>
      </w:r>
      <w:r>
        <w:rPr>
          <w:rFonts w:hint="eastAsia" w:ascii="仿宋_GB2312" w:eastAsia="仿宋_GB2312"/>
          <w:sz w:val="32"/>
          <w:szCs w:val="32"/>
        </w:rPr>
        <w:t>台。</w:t>
      </w:r>
    </w:p>
    <w:p w14:paraId="60D6C2D7">
      <w:pPr>
        <w:keepNext w:val="0"/>
        <w:keepLines w:val="0"/>
        <w:pageBreakBefore w:val="0"/>
        <w:kinsoku/>
        <w:wordWrap/>
        <w:overflowPunct/>
        <w:topLinePunct w:val="0"/>
        <w:autoSpaceDE w:val="0"/>
        <w:autoSpaceDN w:val="0"/>
        <w:bidi w:val="0"/>
        <w:adjustRightInd w:val="0"/>
        <w:spacing w:line="560" w:lineRule="exact"/>
        <w:jc w:val="left"/>
        <w:outlineLvl w:val="2"/>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（四）预算绩效管理情况</w:t>
      </w:r>
    </w:p>
    <w:p w14:paraId="45D4A677">
      <w:pPr>
        <w:keepNext w:val="0"/>
        <w:keepLines w:val="0"/>
        <w:pageBreakBefore w:val="0"/>
        <w:numPr>
          <w:ilvl w:val="0"/>
          <w:numId w:val="0"/>
        </w:numPr>
        <w:kinsoku/>
        <w:wordWrap/>
        <w:overflowPunct/>
        <w:topLinePunct w:val="0"/>
        <w:bidi w:val="0"/>
        <w:spacing w:line="560" w:lineRule="exact"/>
        <w:ind w:firstLine="640" w:firstLineChars="200"/>
        <w:outlineLvl w:val="1"/>
        <w:rPr>
          <w:rStyle w:val="31"/>
          <w:rFonts w:hint="eastAsia" w:ascii="黑体" w:hAnsi="黑体" w:eastAsia="黑体"/>
          <w:b w:val="0"/>
          <w:lang w:val="en-US" w:eastAsia="zh-CN"/>
        </w:rPr>
      </w:pPr>
      <w:bookmarkStart w:id="42" w:name="_Toc15377225"/>
      <w:bookmarkStart w:id="43" w:name="_Toc15396613"/>
      <w:r>
        <w:rPr>
          <w:rStyle w:val="31"/>
          <w:rFonts w:hint="eastAsia" w:ascii="黑体" w:hAnsi="黑体" w:eastAsia="黑体"/>
          <w:b w:val="0"/>
          <w:lang w:val="en-US" w:eastAsia="zh-CN"/>
        </w:rPr>
        <w:t>十一、项目绩效目标</w:t>
      </w:r>
    </w:p>
    <w:p w14:paraId="7C01CF6C">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leftChars="0" w:right="0" w:righ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预期目标完成《红原年鉴》出版印刷</w:t>
      </w:r>
      <w:r>
        <w:rPr>
          <w:rFonts w:hint="eastAsia" w:ascii="仿宋_GB2312" w:hAnsi="仿宋_GB2312" w:eastAsia="仿宋_GB2312" w:cs="仿宋_GB2312"/>
          <w:bCs/>
          <w:sz w:val="32"/>
          <w:szCs w:val="32"/>
          <w:lang w:val="en-US" w:eastAsia="zh-CN"/>
        </w:rPr>
        <w:t>200</w:t>
      </w:r>
      <w:r>
        <w:rPr>
          <w:rFonts w:hint="eastAsia" w:ascii="仿宋_GB2312" w:hAnsi="仿宋_GB2312" w:eastAsia="仿宋_GB2312" w:cs="仿宋_GB2312"/>
          <w:bCs/>
          <w:sz w:val="32"/>
          <w:szCs w:val="32"/>
        </w:rPr>
        <w:t>册，《执政实录》出版印刷</w:t>
      </w:r>
      <w:r>
        <w:rPr>
          <w:rFonts w:hint="eastAsia" w:ascii="仿宋_GB2312" w:hAnsi="仿宋_GB2312" w:eastAsia="仿宋_GB2312" w:cs="仿宋_GB2312"/>
          <w:bCs/>
          <w:sz w:val="32"/>
          <w:szCs w:val="32"/>
          <w:lang w:val="en-US" w:eastAsia="zh-CN"/>
        </w:rPr>
        <w:t>200</w:t>
      </w:r>
      <w:r>
        <w:rPr>
          <w:rFonts w:hint="eastAsia" w:ascii="仿宋_GB2312" w:hAnsi="仿宋_GB2312" w:eastAsia="仿宋_GB2312" w:cs="仿宋_GB2312"/>
          <w:bCs/>
          <w:sz w:val="32"/>
          <w:szCs w:val="32"/>
        </w:rPr>
        <w:t>册</w:t>
      </w:r>
      <w:r>
        <w:rPr>
          <w:rFonts w:hint="eastAsia" w:ascii="仿宋_GB2312" w:hAnsi="仿宋_GB2312" w:eastAsia="仿宋_GB2312" w:cs="仿宋_GB2312"/>
          <w:bCs/>
          <w:sz w:val="32"/>
          <w:szCs w:val="32"/>
          <w:lang w:eastAsia="zh-CN"/>
        </w:rPr>
        <w:t>，完成</w:t>
      </w:r>
      <w:r>
        <w:rPr>
          <w:rFonts w:hint="eastAsia" w:ascii="仿宋_GB2312" w:hAnsi="仿宋_GB2312" w:eastAsia="仿宋_GB2312" w:cs="仿宋_GB2312"/>
          <w:sz w:val="32"/>
          <w:szCs w:val="32"/>
          <w:lang w:val="en-US" w:eastAsia="zh-CN"/>
        </w:rPr>
        <w:t>《红原县扶贫志》资料收集编纂工作。拍摄</w:t>
      </w:r>
      <w:r>
        <w:rPr>
          <w:rFonts w:hint="eastAsia" w:ascii="仿宋_GB2312" w:hAnsi="仿宋_GB2312" w:eastAsia="仿宋_GB2312" w:cs="仿宋_GB2312"/>
          <w:bCs/>
          <w:sz w:val="32"/>
          <w:szCs w:val="32"/>
        </w:rPr>
        <w:t>口述历史纪录片1部</w:t>
      </w:r>
      <w:r>
        <w:rPr>
          <w:rFonts w:hint="eastAsia" w:ascii="仿宋_GB2312" w:hAnsi="仿宋_GB2312" w:eastAsia="仿宋_GB2312" w:cs="仿宋_GB2312"/>
          <w:bCs/>
          <w:sz w:val="32"/>
          <w:szCs w:val="32"/>
          <w:lang w:eastAsia="zh-CN"/>
        </w:rPr>
        <w:t>组织地方志工作培训会一次</w:t>
      </w:r>
      <w:r>
        <w:rPr>
          <w:rFonts w:hint="eastAsia" w:ascii="仿宋_GB2312" w:hAnsi="仿宋_GB2312" w:eastAsia="仿宋_GB2312" w:cs="仿宋_GB2312"/>
          <w:bCs/>
          <w:sz w:val="32"/>
          <w:szCs w:val="32"/>
        </w:rPr>
        <w:t>。截止12月已完成所有预期目标</w:t>
      </w:r>
      <w:bookmarkStart w:id="44" w:name="_Toc4270"/>
      <w:r>
        <w:rPr>
          <w:rFonts w:hint="eastAsia" w:ascii="仿宋_GB2312" w:hAnsi="仿宋_GB2312" w:eastAsia="仿宋_GB2312" w:cs="仿宋_GB2312"/>
          <w:bCs/>
          <w:sz w:val="32"/>
          <w:szCs w:val="32"/>
          <w:lang w:eastAsia="zh-CN"/>
        </w:rPr>
        <w:t>。</w:t>
      </w:r>
    </w:p>
    <w:p w14:paraId="5C8A5110">
      <w:pPr>
        <w:keepNext w:val="0"/>
        <w:keepLines w:val="0"/>
        <w:pageBreakBefore w:val="0"/>
        <w:numPr>
          <w:ilvl w:val="0"/>
          <w:numId w:val="0"/>
        </w:numPr>
        <w:kinsoku/>
        <w:wordWrap/>
        <w:overflowPunct/>
        <w:topLinePunct w:val="0"/>
        <w:bidi w:val="0"/>
        <w:spacing w:line="560" w:lineRule="exact"/>
        <w:ind w:firstLine="640" w:firstLineChars="200"/>
        <w:outlineLvl w:val="1"/>
        <w:rPr>
          <w:rStyle w:val="31"/>
          <w:rFonts w:hint="eastAsia" w:ascii="黑体" w:hAnsi="黑体" w:eastAsia="黑体"/>
          <w:b w:val="0"/>
          <w:lang w:val="zh-CN" w:eastAsia="zh-CN"/>
        </w:rPr>
      </w:pPr>
      <w:r>
        <w:rPr>
          <w:rStyle w:val="31"/>
          <w:rFonts w:hint="eastAsia" w:ascii="黑体" w:hAnsi="黑体" w:eastAsia="黑体"/>
          <w:b w:val="0"/>
          <w:lang w:val="en-US" w:eastAsia="zh-CN"/>
        </w:rPr>
        <w:t>十二、项目自评步骤及方法</w:t>
      </w:r>
      <w:bookmarkEnd w:id="44"/>
    </w:p>
    <w:p w14:paraId="56985309">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leftChars="0" w:right="0" w:rightChars="0" w:firstLine="640" w:firstLineChars="200"/>
        <w:textAlignment w:val="auto"/>
        <w:rPr>
          <w:rFonts w:hint="eastAsia" w:ascii="黑体" w:hAnsi="黑体" w:eastAsia="黑体" w:cs="黑体"/>
          <w:b w:val="0"/>
          <w:bCs w:val="0"/>
          <w:snapToGrid w:val="0"/>
          <w:sz w:val="32"/>
          <w:szCs w:val="32"/>
          <w:shd w:val="clear" w:fill="FFFFFF"/>
          <w:lang w:val="en-US" w:eastAsia="zh-CN"/>
        </w:rPr>
      </w:pPr>
      <w:r>
        <w:rPr>
          <w:rFonts w:hint="eastAsia" w:ascii="仿宋_GB2312" w:hAnsi="仿宋_GB2312" w:eastAsia="仿宋_GB2312" w:cs="仿宋_GB2312"/>
          <w:bCs/>
          <w:sz w:val="32"/>
          <w:szCs w:val="32"/>
          <w:lang w:val="zh-CN"/>
        </w:rPr>
        <w:t>以主要领导为组长，财务室及办公室人员组成评价工作组。由工作组制定工作方案</w:t>
      </w:r>
      <w:r>
        <w:rPr>
          <w:rFonts w:hint="eastAsia" w:ascii="仿宋_GB2312" w:hAnsi="仿宋_GB2312" w:eastAsia="仿宋_GB2312" w:cs="仿宋_GB2312"/>
          <w:sz w:val="32"/>
          <w:szCs w:val="32"/>
        </w:rPr>
        <w:t>，并召开全体会议确定，作为评价具体实施的依据</w:t>
      </w:r>
      <w:bookmarkStart w:id="45" w:name="_Toc25830"/>
      <w:bookmarkStart w:id="46" w:name="_Toc2840"/>
    </w:p>
    <w:p w14:paraId="4D63995F">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r>
        <w:rPr>
          <w:rFonts w:hint="eastAsia" w:ascii="黑体" w:hAnsi="黑体" w:eastAsia="黑体" w:cs="黑体"/>
          <w:b w:val="0"/>
          <w:bCs w:val="0"/>
          <w:snapToGrid w:val="0"/>
          <w:sz w:val="32"/>
          <w:szCs w:val="32"/>
          <w:shd w:val="clear" w:fill="FFFFFF"/>
          <w:lang w:val="en-US" w:eastAsia="zh-CN"/>
        </w:rPr>
        <w:t>十三、</w:t>
      </w:r>
      <w:r>
        <w:rPr>
          <w:rFonts w:hint="eastAsia" w:ascii="黑体" w:hAnsi="黑体" w:eastAsia="黑体" w:cs="黑体"/>
          <w:b w:val="0"/>
          <w:bCs w:val="0"/>
          <w:snapToGrid w:val="0"/>
          <w:sz w:val="32"/>
          <w:szCs w:val="32"/>
          <w:shd w:val="clear" w:fill="FFFFFF"/>
          <w:lang w:eastAsia="zh-CN"/>
        </w:rPr>
        <w:t>项目资金申报及使用情况</w:t>
      </w:r>
      <w:bookmarkEnd w:id="45"/>
      <w:bookmarkEnd w:id="46"/>
      <w:bookmarkStart w:id="47" w:name="_Toc17315"/>
    </w:p>
    <w:p w14:paraId="6BFB0E6C">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9"/>
          <w:rFonts w:hint="eastAsia" w:ascii="仿宋_GB2312" w:hAnsi="仿宋_GB2312" w:eastAsia="仿宋_GB2312" w:cs="仿宋_GB2312"/>
          <w:sz w:val="32"/>
          <w:szCs w:val="32"/>
          <w:shd w:val="clear" w:fill="FFFFFF"/>
          <w:lang w:eastAsia="zh-CN"/>
        </w:rPr>
      </w:pPr>
      <w:bookmarkStart w:id="48" w:name="_Toc19641"/>
      <w:r>
        <w:rPr>
          <w:rStyle w:val="19"/>
          <w:rFonts w:hint="eastAsia" w:ascii="仿宋_GB2312" w:hAnsi="仿宋_GB2312" w:eastAsia="仿宋_GB2312" w:cs="仿宋_GB2312"/>
          <w:sz w:val="32"/>
          <w:szCs w:val="32"/>
          <w:shd w:val="clear" w:fill="FFFFFF"/>
          <w:lang w:eastAsia="zh-CN"/>
        </w:rPr>
        <w:t>（一）项目资金申报及批复情况</w:t>
      </w:r>
      <w:bookmarkEnd w:id="47"/>
      <w:bookmarkEnd w:id="48"/>
    </w:p>
    <w:p w14:paraId="3208861C">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val="en-US" w:eastAsia="zh-CN"/>
        </w:rPr>
      </w:pPr>
      <w:bookmarkStart w:id="49" w:name="_Toc215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年申报项目资金</w:t>
      </w:r>
      <w:r>
        <w:rPr>
          <w:rFonts w:hint="eastAsia" w:ascii="仿宋_GB2312" w:hAnsi="仿宋_GB2312" w:eastAsia="仿宋_GB2312" w:cs="仿宋_GB2312"/>
          <w:sz w:val="32"/>
          <w:szCs w:val="32"/>
          <w:lang w:val="en-US" w:eastAsia="zh-CN"/>
        </w:rPr>
        <w:t>76.4</w:t>
      </w:r>
      <w:r>
        <w:rPr>
          <w:rFonts w:hint="eastAsia" w:ascii="仿宋_GB2312" w:hAnsi="仿宋_GB2312" w:eastAsia="仿宋_GB2312" w:cs="仿宋_GB2312"/>
          <w:sz w:val="32"/>
          <w:szCs w:val="32"/>
        </w:rPr>
        <w:t>万元财政</w:t>
      </w:r>
      <w:r>
        <w:rPr>
          <w:rFonts w:hint="eastAsia" w:ascii="仿宋_GB2312" w:hAnsi="仿宋_GB2312" w:eastAsia="仿宋_GB2312" w:cs="仿宋_GB2312"/>
          <w:sz w:val="32"/>
          <w:szCs w:val="32"/>
          <w:lang w:eastAsia="zh-CN"/>
        </w:rPr>
        <w:t>批复</w:t>
      </w:r>
      <w:r>
        <w:rPr>
          <w:rFonts w:hint="eastAsia" w:ascii="仿宋_GB2312" w:hAnsi="仿宋_GB2312" w:eastAsia="仿宋_GB2312" w:cs="仿宋_GB2312"/>
          <w:sz w:val="32"/>
          <w:szCs w:val="32"/>
        </w:rPr>
        <w:t>项目资金</w:t>
      </w:r>
      <w:r>
        <w:rPr>
          <w:rFonts w:hint="eastAsia" w:ascii="仿宋_GB2312" w:hAnsi="仿宋_GB2312" w:eastAsia="仿宋_GB2312" w:cs="仿宋_GB2312"/>
          <w:sz w:val="32"/>
          <w:szCs w:val="32"/>
          <w:lang w:val="en-US" w:eastAsia="zh-CN"/>
        </w:rPr>
        <w:t>76.4万元。</w:t>
      </w:r>
      <w:bookmarkEnd w:id="49"/>
    </w:p>
    <w:p w14:paraId="073F5610">
      <w:pPr>
        <w:pStyle w:val="16"/>
        <w:keepNext w:val="0"/>
        <w:keepLines w:val="0"/>
        <w:pageBreakBefore w:val="0"/>
        <w:widowControl/>
        <w:numPr>
          <w:ilvl w:val="0"/>
          <w:numId w:val="2"/>
        </w:numPr>
        <w:shd w:val="clear" w:fill="FFFFFF"/>
        <w:kinsoku/>
        <w:wordWrap/>
        <w:overflowPunct/>
        <w:topLinePunct w:val="0"/>
        <w:autoSpaceDE/>
        <w:autoSpaceDN/>
        <w:bidi w:val="0"/>
        <w:adjustRightInd/>
        <w:snapToGrid w:val="0"/>
        <w:spacing w:beforeAutospacing="0" w:afterAutospacing="0" w:line="560" w:lineRule="exact"/>
        <w:ind w:firstLine="643" w:firstLineChars="200"/>
        <w:jc w:val="left"/>
        <w:textAlignment w:val="auto"/>
        <w:outlineLvl w:val="1"/>
        <w:rPr>
          <w:rStyle w:val="19"/>
          <w:rFonts w:hint="eastAsia" w:ascii="仿宋_GB2312" w:hAnsi="仿宋_GB2312" w:eastAsia="仿宋_GB2312" w:cs="仿宋_GB2312"/>
          <w:sz w:val="32"/>
          <w:szCs w:val="32"/>
          <w:shd w:val="clear" w:fill="FFFFFF"/>
          <w:lang w:eastAsia="zh-CN"/>
        </w:rPr>
      </w:pPr>
      <w:bookmarkStart w:id="50" w:name="_Toc7868"/>
      <w:r>
        <w:rPr>
          <w:rStyle w:val="19"/>
          <w:rFonts w:hint="eastAsia" w:ascii="仿宋_GB2312" w:hAnsi="仿宋_GB2312" w:eastAsia="仿宋_GB2312" w:cs="仿宋_GB2312"/>
          <w:sz w:val="32"/>
          <w:szCs w:val="32"/>
          <w:shd w:val="clear" w:fill="FFFFFF"/>
          <w:lang w:eastAsia="zh-CN"/>
        </w:rPr>
        <w:t>资金计划、到位及使用情况。</w:t>
      </w:r>
      <w:bookmarkEnd w:id="50"/>
      <w:r>
        <w:rPr>
          <w:rStyle w:val="19"/>
          <w:rFonts w:hint="eastAsia" w:ascii="仿宋_GB2312" w:hAnsi="仿宋_GB2312" w:eastAsia="仿宋_GB2312" w:cs="仿宋_GB2312"/>
          <w:sz w:val="32"/>
          <w:szCs w:val="32"/>
          <w:shd w:val="clear" w:fill="FFFFFF"/>
          <w:lang w:val="en-US" w:eastAsia="zh-CN"/>
        </w:rPr>
        <w:t xml:space="preserve">  </w:t>
      </w:r>
    </w:p>
    <w:tbl>
      <w:tblPr>
        <w:tblStyle w:val="17"/>
        <w:tblpPr w:leftFromText="180" w:rightFromText="180" w:vertAnchor="text" w:horzAnchor="page" w:tblpX="1699" w:tblpY="243"/>
        <w:tblOverlap w:val="never"/>
        <w:tblW w:w="8622" w:type="dxa"/>
        <w:jc w:val="center"/>
        <w:tblLayout w:type="fixed"/>
        <w:tblCellMar>
          <w:top w:w="0" w:type="dxa"/>
          <w:left w:w="0" w:type="dxa"/>
          <w:bottom w:w="0" w:type="dxa"/>
          <w:right w:w="0" w:type="dxa"/>
        </w:tblCellMar>
      </w:tblPr>
      <w:tblGrid>
        <w:gridCol w:w="2575"/>
        <w:gridCol w:w="1671"/>
        <w:gridCol w:w="2419"/>
        <w:gridCol w:w="1957"/>
      </w:tblGrid>
      <w:tr w14:paraId="3377124D">
        <w:tblPrEx>
          <w:tblCellMar>
            <w:top w:w="0" w:type="dxa"/>
            <w:left w:w="0" w:type="dxa"/>
            <w:bottom w:w="0" w:type="dxa"/>
            <w:right w:w="0" w:type="dxa"/>
          </w:tblCellMar>
        </w:tblPrEx>
        <w:trPr>
          <w:trHeight w:val="454" w:hRule="atLeast"/>
          <w:jc w:val="center"/>
        </w:trPr>
        <w:tc>
          <w:tcPr>
            <w:tcW w:w="2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DECEE">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预算数:</w:t>
            </w:r>
          </w:p>
        </w:tc>
        <w:tc>
          <w:tcPr>
            <w:tcW w:w="16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E51C0">
            <w:pPr>
              <w:keepNext w:val="0"/>
              <w:keepLines w:val="0"/>
              <w:pageBreakBefore w:val="0"/>
              <w:widowControl/>
              <w:kinsoku/>
              <w:wordWrap/>
              <w:overflowPunct/>
              <w:topLinePunct w:val="0"/>
              <w:bidi w:val="0"/>
              <w:spacing w:line="560" w:lineRule="exact"/>
              <w:jc w:val="left"/>
              <w:textAlignment w:val="cente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76.4万元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CF084">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执行数:</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7E038F">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51.96万元</w:t>
            </w:r>
          </w:p>
        </w:tc>
      </w:tr>
      <w:tr w14:paraId="4EC69C86">
        <w:tblPrEx>
          <w:tblCellMar>
            <w:top w:w="0" w:type="dxa"/>
            <w:left w:w="0" w:type="dxa"/>
            <w:bottom w:w="0" w:type="dxa"/>
            <w:right w:w="0" w:type="dxa"/>
          </w:tblCellMar>
        </w:tblPrEx>
        <w:trPr>
          <w:trHeight w:val="491" w:hRule="atLeast"/>
          <w:jc w:val="center"/>
        </w:trPr>
        <w:tc>
          <w:tcPr>
            <w:tcW w:w="2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9F987">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其中-财政拨款:</w:t>
            </w:r>
          </w:p>
        </w:tc>
        <w:tc>
          <w:tcPr>
            <w:tcW w:w="16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E23BC">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76.4万元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907BD3">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其中-财政拨款:</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A69D6">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51.96</w:t>
            </w:r>
            <w:r>
              <w:rPr>
                <w:rFonts w:hint="eastAsia" w:ascii="仿宋_GB2312" w:hAnsi="仿宋_GB2312" w:eastAsia="仿宋_GB2312" w:cs="仿宋_GB2312"/>
                <w:color w:val="000000"/>
                <w:sz w:val="32"/>
                <w:szCs w:val="32"/>
              </w:rPr>
              <w:t>万元</w:t>
            </w:r>
          </w:p>
        </w:tc>
      </w:tr>
      <w:tr w14:paraId="2B0212D2">
        <w:tblPrEx>
          <w:tblCellMar>
            <w:top w:w="0" w:type="dxa"/>
            <w:left w:w="0" w:type="dxa"/>
            <w:bottom w:w="0" w:type="dxa"/>
            <w:right w:w="0" w:type="dxa"/>
          </w:tblCellMar>
        </w:tblPrEx>
        <w:trPr>
          <w:trHeight w:val="418" w:hRule="atLeast"/>
          <w:jc w:val="center"/>
        </w:trPr>
        <w:tc>
          <w:tcPr>
            <w:tcW w:w="25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8D67A">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其它资金:</w:t>
            </w:r>
          </w:p>
        </w:tc>
        <w:tc>
          <w:tcPr>
            <w:tcW w:w="16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83CDC">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0</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72AD4">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其它资金:</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D7B70">
            <w:pPr>
              <w:keepNext w:val="0"/>
              <w:keepLines w:val="0"/>
              <w:pageBreakBefore w:val="0"/>
              <w:kinsoku/>
              <w:wordWrap/>
              <w:overflowPunct/>
              <w:topLinePunct w:val="0"/>
              <w:bidi w:val="0"/>
              <w:spacing w:line="56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0</w:t>
            </w:r>
          </w:p>
        </w:tc>
      </w:tr>
    </w:tbl>
    <w:p w14:paraId="55CEDD3F">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jc w:val="left"/>
        <w:textAlignment w:val="auto"/>
        <w:outlineLvl w:val="1"/>
        <w:rPr>
          <w:rStyle w:val="19"/>
          <w:rFonts w:hint="eastAsia" w:ascii="仿宋_GB2312" w:hAnsi="仿宋_GB2312" w:eastAsia="仿宋_GB2312" w:cs="仿宋_GB2312"/>
          <w:sz w:val="32"/>
          <w:szCs w:val="32"/>
          <w:shd w:val="clear" w:fill="FFFFFF"/>
          <w:lang w:eastAsia="zh-CN"/>
        </w:rPr>
      </w:pPr>
      <w:bookmarkStart w:id="51" w:name="_Toc22426"/>
      <w:r>
        <w:rPr>
          <w:rStyle w:val="19"/>
          <w:rFonts w:hint="eastAsia" w:ascii="仿宋_GB2312" w:hAnsi="仿宋_GB2312" w:eastAsia="仿宋_GB2312" w:cs="仿宋_GB2312"/>
          <w:sz w:val="32"/>
          <w:szCs w:val="32"/>
          <w:shd w:val="clear" w:fill="FFFFFF"/>
          <w:lang w:eastAsia="zh-CN"/>
        </w:rPr>
        <w:t>（</w:t>
      </w:r>
      <w:r>
        <w:rPr>
          <w:rStyle w:val="19"/>
          <w:rFonts w:hint="eastAsia" w:ascii="仿宋_GB2312" w:hAnsi="仿宋_GB2312" w:eastAsia="仿宋_GB2312" w:cs="仿宋_GB2312"/>
          <w:sz w:val="32"/>
          <w:szCs w:val="32"/>
          <w:shd w:val="clear" w:fill="FFFFFF"/>
          <w:lang w:val="en-US" w:eastAsia="zh-CN"/>
        </w:rPr>
        <w:t>三</w:t>
      </w:r>
      <w:r>
        <w:rPr>
          <w:rStyle w:val="19"/>
          <w:rFonts w:hint="eastAsia" w:ascii="仿宋_GB2312" w:hAnsi="仿宋_GB2312" w:eastAsia="仿宋_GB2312" w:cs="仿宋_GB2312"/>
          <w:sz w:val="32"/>
          <w:szCs w:val="32"/>
          <w:shd w:val="clear" w:fill="FFFFFF"/>
          <w:lang w:eastAsia="zh-CN"/>
        </w:rPr>
        <w:t>）项目财务管理情况</w:t>
      </w:r>
      <w:bookmarkEnd w:id="51"/>
    </w:p>
    <w:p w14:paraId="235301C4">
      <w:pPr>
        <w:pStyle w:val="16"/>
        <w:keepNext w:val="0"/>
        <w:keepLines w:val="0"/>
        <w:pageBreakBefore w:val="0"/>
        <w:widowControl/>
        <w:shd w:val="clear" w:fill="FFFFFF"/>
        <w:kinsoku/>
        <w:wordWrap/>
        <w:overflowPunct/>
        <w:topLinePunct w:val="0"/>
        <w:autoSpaceDE/>
        <w:autoSpaceDN/>
        <w:bidi w:val="0"/>
        <w:snapToGrid w:val="0"/>
        <w:spacing w:beforeAutospacing="0" w:afterAutospacing="0" w:line="560" w:lineRule="exact"/>
        <w:ind w:firstLine="640" w:firstLineChars="20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提高单位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14:paraId="5179CB79">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bookmarkStart w:id="52" w:name="_Toc1057"/>
      <w:bookmarkStart w:id="53" w:name="_Toc22204"/>
      <w:r>
        <w:rPr>
          <w:rFonts w:hint="eastAsia" w:ascii="黑体" w:hAnsi="黑体" w:eastAsia="黑体" w:cs="黑体"/>
          <w:b w:val="0"/>
          <w:bCs w:val="0"/>
          <w:snapToGrid w:val="0"/>
          <w:sz w:val="32"/>
          <w:szCs w:val="32"/>
          <w:shd w:val="clear" w:fill="FFFFFF"/>
          <w:lang w:val="en-US" w:eastAsia="zh-CN"/>
        </w:rPr>
        <w:t>十四、</w:t>
      </w:r>
      <w:r>
        <w:rPr>
          <w:rFonts w:hint="eastAsia" w:ascii="黑体" w:hAnsi="黑体" w:eastAsia="黑体" w:cs="黑体"/>
          <w:b w:val="0"/>
          <w:bCs w:val="0"/>
          <w:snapToGrid w:val="0"/>
          <w:sz w:val="32"/>
          <w:szCs w:val="32"/>
          <w:shd w:val="clear" w:fill="FFFFFF"/>
          <w:lang w:eastAsia="zh-CN"/>
        </w:rPr>
        <w:t>项目实施及管理情况</w:t>
      </w:r>
      <w:bookmarkEnd w:id="52"/>
      <w:bookmarkEnd w:id="53"/>
      <w:bookmarkStart w:id="54" w:name="_Toc8631"/>
    </w:p>
    <w:p w14:paraId="7E39D55B">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9"/>
          <w:rFonts w:hint="eastAsia" w:ascii="仿宋_GB2312" w:hAnsi="仿宋_GB2312" w:eastAsia="仿宋_GB2312" w:cs="仿宋_GB2312"/>
          <w:sz w:val="32"/>
          <w:szCs w:val="32"/>
          <w:shd w:val="clear" w:fill="FFFFFF"/>
          <w:lang w:eastAsia="zh-CN"/>
        </w:rPr>
      </w:pPr>
      <w:bookmarkStart w:id="55" w:name="_Toc30825"/>
      <w:r>
        <w:rPr>
          <w:rStyle w:val="19"/>
          <w:rFonts w:hint="eastAsia" w:ascii="仿宋_GB2312" w:hAnsi="仿宋_GB2312" w:eastAsia="仿宋_GB2312" w:cs="仿宋_GB2312"/>
          <w:sz w:val="32"/>
          <w:szCs w:val="32"/>
          <w:shd w:val="clear" w:fill="FFFFFF"/>
          <w:lang w:eastAsia="zh-CN"/>
        </w:rPr>
        <w:t>（</w:t>
      </w:r>
      <w:r>
        <w:rPr>
          <w:rStyle w:val="19"/>
          <w:rFonts w:hint="eastAsia" w:ascii="仿宋_GB2312" w:hAnsi="仿宋_GB2312" w:eastAsia="仿宋_GB2312" w:cs="仿宋_GB2312"/>
          <w:sz w:val="32"/>
          <w:szCs w:val="32"/>
          <w:shd w:val="clear" w:fill="FFFFFF"/>
          <w:lang w:val="en-US" w:eastAsia="zh-CN"/>
        </w:rPr>
        <w:t>一）</w:t>
      </w:r>
      <w:r>
        <w:rPr>
          <w:rStyle w:val="19"/>
          <w:rFonts w:hint="eastAsia" w:ascii="仿宋_GB2312" w:hAnsi="仿宋_GB2312" w:eastAsia="仿宋_GB2312" w:cs="仿宋_GB2312"/>
          <w:sz w:val="32"/>
          <w:szCs w:val="32"/>
          <w:shd w:val="clear" w:fill="FFFFFF"/>
          <w:lang w:eastAsia="zh-CN"/>
        </w:rPr>
        <w:t>项目组织架构及实施流程</w:t>
      </w:r>
      <w:bookmarkEnd w:id="54"/>
      <w:bookmarkEnd w:id="55"/>
    </w:p>
    <w:p w14:paraId="179A3087">
      <w:pPr>
        <w:pStyle w:val="16"/>
        <w:keepNext w:val="0"/>
        <w:keepLines w:val="0"/>
        <w:pageBreakBefore w:val="0"/>
        <w:widowControl/>
        <w:numPr>
          <w:ilvl w:val="0"/>
          <w:numId w:val="0"/>
        </w:numPr>
        <w:shd w:val="clear" w:fill="FFFFFF"/>
        <w:kinsoku/>
        <w:wordWrap/>
        <w:overflowPunct/>
        <w:topLinePunct w:val="0"/>
        <w:autoSpaceDE/>
        <w:autoSpaceDN/>
        <w:bidi w:val="0"/>
        <w:snapToGrid w:val="0"/>
        <w:spacing w:beforeAutospacing="0" w:afterAutospacing="0" w:line="560" w:lineRule="exact"/>
        <w:ind w:right="0" w:rightChars="0" w:firstLine="640" w:firstLineChars="200"/>
        <w:textAlignment w:val="auto"/>
        <w:rPr>
          <w:rStyle w:val="19"/>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14:paraId="1B2BD63B">
      <w:pPr>
        <w:pStyle w:val="16"/>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9"/>
          <w:rFonts w:hint="eastAsia" w:ascii="仿宋_GB2312" w:hAnsi="仿宋_GB2312" w:eastAsia="仿宋_GB2312" w:cs="仿宋_GB2312"/>
          <w:sz w:val="32"/>
          <w:szCs w:val="32"/>
          <w:shd w:val="clear" w:fill="FFFFFF"/>
          <w:lang w:eastAsia="zh-CN"/>
        </w:rPr>
      </w:pPr>
      <w:bookmarkStart w:id="56" w:name="_Toc2597"/>
      <w:r>
        <w:rPr>
          <w:rStyle w:val="19"/>
          <w:rFonts w:hint="eastAsia" w:ascii="仿宋_GB2312" w:hAnsi="仿宋_GB2312" w:eastAsia="仿宋_GB2312" w:cs="仿宋_GB2312"/>
          <w:sz w:val="32"/>
          <w:szCs w:val="32"/>
          <w:shd w:val="clear" w:fill="FFFFFF"/>
          <w:lang w:eastAsia="zh-CN"/>
        </w:rPr>
        <w:t>（二）项目管理情况</w:t>
      </w:r>
      <w:bookmarkEnd w:id="56"/>
    </w:p>
    <w:p w14:paraId="567E5568">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加强落实计划安排，按计划步骤逐一落实。</w:t>
      </w:r>
    </w:p>
    <w:p w14:paraId="4792FDCC">
      <w:pPr>
        <w:pStyle w:val="16"/>
        <w:keepNext w:val="0"/>
        <w:keepLines w:val="0"/>
        <w:pageBreakBefore w:val="0"/>
        <w:widowControl/>
        <w:numPr>
          <w:ilvl w:val="0"/>
          <w:numId w:val="2"/>
        </w:numPr>
        <w:shd w:val="clear" w:fill="FFFFFF"/>
        <w:kinsoku/>
        <w:wordWrap/>
        <w:overflowPunct/>
        <w:topLinePunct w:val="0"/>
        <w:autoSpaceDE/>
        <w:autoSpaceDN/>
        <w:bidi w:val="0"/>
        <w:adjustRightInd/>
        <w:snapToGrid w:val="0"/>
        <w:spacing w:beforeAutospacing="0" w:afterAutospacing="0" w:line="560" w:lineRule="exact"/>
        <w:ind w:left="0" w:leftChars="0" w:firstLine="643" w:firstLineChars="200"/>
        <w:textAlignment w:val="auto"/>
        <w:outlineLvl w:val="1"/>
        <w:rPr>
          <w:rStyle w:val="19"/>
          <w:rFonts w:hint="eastAsia" w:ascii="仿宋_GB2312" w:hAnsi="仿宋_GB2312" w:eastAsia="仿宋_GB2312" w:cs="仿宋_GB2312"/>
          <w:sz w:val="32"/>
          <w:szCs w:val="32"/>
          <w:shd w:val="clear" w:fill="FFFFFF"/>
          <w:lang w:eastAsia="zh-CN"/>
        </w:rPr>
      </w:pPr>
      <w:bookmarkStart w:id="57" w:name="_Toc19773"/>
      <w:r>
        <w:rPr>
          <w:rStyle w:val="19"/>
          <w:rFonts w:hint="eastAsia" w:ascii="仿宋_GB2312" w:hAnsi="仿宋_GB2312" w:eastAsia="仿宋_GB2312" w:cs="仿宋_GB2312"/>
          <w:sz w:val="32"/>
          <w:szCs w:val="32"/>
          <w:shd w:val="clear" w:fill="FFFFFF"/>
          <w:lang w:eastAsia="zh-CN"/>
        </w:rPr>
        <w:t>项目监管情况</w:t>
      </w:r>
      <w:bookmarkEnd w:id="57"/>
    </w:p>
    <w:p w14:paraId="3819380B">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w:t>
      </w:r>
    </w:p>
    <w:p w14:paraId="60BAD3D5">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2E83F375">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766ED711">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34D3E3D3">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698D59CB">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54F7B326">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42055876">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p>
    <w:p w14:paraId="4AAE4971">
      <w:pPr>
        <w:pStyle w:val="16"/>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eastAsia="zh-CN"/>
        </w:rPr>
      </w:pPr>
      <w:bookmarkStart w:id="75" w:name="_GoBack"/>
      <w:bookmarkEnd w:id="75"/>
    </w:p>
    <w:p w14:paraId="4F1AAFB3">
      <w:pPr>
        <w:keepNext w:val="0"/>
        <w:keepLines w:val="0"/>
        <w:pageBreakBefore w:val="0"/>
        <w:numPr>
          <w:ilvl w:val="0"/>
          <w:numId w:val="3"/>
        </w:numPr>
        <w:kinsoku/>
        <w:wordWrap/>
        <w:overflowPunct/>
        <w:topLinePunct w:val="0"/>
        <w:bidi w:val="0"/>
        <w:spacing w:line="560" w:lineRule="exact"/>
        <w:ind w:firstLine="660" w:firstLineChars="150"/>
        <w:jc w:val="center"/>
        <w:outlineLvl w:val="0"/>
        <w:rPr>
          <w:rStyle w:val="30"/>
          <w:rFonts w:ascii="黑体" w:hAnsi="黑体" w:eastAsia="黑体"/>
          <w:b w:val="0"/>
        </w:rPr>
      </w:pPr>
      <w:r>
        <w:rPr>
          <w:rFonts w:hint="eastAsia" w:ascii="黑体" w:hAnsi="黑体" w:eastAsia="黑体"/>
          <w:sz w:val="44"/>
          <w:szCs w:val="44"/>
        </w:rPr>
        <w:t>名</w:t>
      </w:r>
      <w:r>
        <w:rPr>
          <w:rStyle w:val="30"/>
          <w:rFonts w:hint="eastAsia" w:ascii="黑体" w:hAnsi="黑体" w:eastAsia="黑体"/>
          <w:b w:val="0"/>
        </w:rPr>
        <w:t>词解释</w:t>
      </w:r>
      <w:bookmarkEnd w:id="42"/>
      <w:bookmarkEnd w:id="43"/>
    </w:p>
    <w:p w14:paraId="1F9F392E">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p>
    <w:p w14:paraId="464935BD">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15DA54DF">
      <w:pPr>
        <w:pStyle w:val="28"/>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.一般公共服务行政运行：指用于机关及下属事业单位人员工资、日常运转以及为完成特定行政工作任务和事业发展目标而安排的年度项目支出。</w:t>
      </w:r>
    </w:p>
    <w:p w14:paraId="7DD1F7F8">
      <w:pPr>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.机关事业单位养老保险缴费：指</w:t>
      </w:r>
      <w:r>
        <w:rPr>
          <w:rFonts w:hint="eastAsia" w:ascii="仿宋_GB2312" w:hAnsi="仿宋_GB2312" w:eastAsia="仿宋_GB2312" w:cs="仿宋_GB2312"/>
          <w:sz w:val="32"/>
          <w:szCs w:val="32"/>
        </w:rPr>
        <w:t>用于机关及下属单位按照规定标准为职工缴纳养老保险等支出。</w:t>
      </w:r>
    </w:p>
    <w:p w14:paraId="5523AD09">
      <w:pPr>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.机关事业单位职业年金缴费</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sz w:val="32"/>
          <w:szCs w:val="32"/>
        </w:rPr>
        <w:t>用于机关及下属单位按照规定标准为职工缴纳职业年金等支出。</w:t>
      </w:r>
    </w:p>
    <w:p w14:paraId="62D5FB5D">
      <w:pPr>
        <w:pStyle w:val="28"/>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.行政单位医疗：指用于机关及下属事业单位按照规定标准为职工缴纳的基本医疗保险及公务员医疗补助等支出</w:t>
      </w:r>
    </w:p>
    <w:p w14:paraId="010D36CD">
      <w:pPr>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.住房公积金：指</w:t>
      </w:r>
      <w:r>
        <w:rPr>
          <w:rFonts w:hint="eastAsia" w:ascii="仿宋_GB2312" w:hAnsi="仿宋_GB2312" w:eastAsia="仿宋_GB2312" w:cs="仿宋_GB2312"/>
          <w:sz w:val="32"/>
          <w:szCs w:val="32"/>
        </w:rPr>
        <w:t>用于机关及下属事业单位按照规定标准为职工缴纳住房公积金等支出</w:t>
      </w:r>
      <w:r>
        <w:rPr>
          <w:rFonts w:hint="eastAsia" w:ascii="仿宋_GB2312" w:hAnsi="仿宋_GB2312" w:eastAsia="仿宋_GB2312" w:cs="仿宋_GB2312"/>
          <w:sz w:val="32"/>
          <w:szCs w:val="32"/>
          <w:lang w:eastAsia="zh-CN"/>
        </w:rPr>
        <w:t>。</w:t>
      </w:r>
    </w:p>
    <w:p w14:paraId="3CEF4D54">
      <w:pPr>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1526B876">
      <w:pPr>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14:paraId="79D18AF9">
      <w:pPr>
        <w:pStyle w:val="28"/>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98EE3F3">
      <w:pPr>
        <w:pStyle w:val="28"/>
        <w:keepNext w:val="0"/>
        <w:keepLines w:val="0"/>
        <w:pageBreakBefore w:val="0"/>
        <w:widowControl w:val="0"/>
        <w:kinsoku/>
        <w:wordWrap/>
        <w:overflowPunct/>
        <w:topLinePunct w:val="0"/>
        <w:bidi w:val="0"/>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A17BCA">
      <w:pPr>
        <w:pStyle w:val="28"/>
        <w:keepNext w:val="0"/>
        <w:keepLines w:val="0"/>
        <w:pageBreakBefore w:val="0"/>
        <w:widowControl w:val="0"/>
        <w:kinsoku/>
        <w:wordWrap/>
        <w:overflowPunct/>
        <w:topLinePunct w:val="0"/>
        <w:bidi w:val="0"/>
        <w:snapToGrid/>
        <w:spacing w:line="560" w:lineRule="exact"/>
        <w:ind w:leftChars="0" w:firstLine="643" w:firstLineChars="200"/>
        <w:textAlignment w:val="auto"/>
        <w:rPr>
          <w:rFonts w:ascii="仿宋" w:hAnsi="仿宋" w:eastAsia="仿宋"/>
          <w:b/>
          <w:sz w:val="32"/>
          <w:szCs w:val="32"/>
        </w:rPr>
      </w:pPr>
    </w:p>
    <w:p w14:paraId="2FD38767">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cs="Times New Roman"/>
          <w:sz w:val="44"/>
          <w:szCs w:val="44"/>
          <w:highlight w:val="none"/>
          <w:shd w:val="clear" w:color="auto" w:fill="FFFFFF"/>
        </w:rPr>
      </w:pPr>
      <w:bookmarkStart w:id="58" w:name="_Toc15377226"/>
      <w:r>
        <w:rPr>
          <w:rFonts w:ascii="宋体"/>
          <w:b/>
          <w:sz w:val="44"/>
          <w:szCs w:val="44"/>
        </w:rPr>
        <w:br w:type="page"/>
      </w:r>
      <w:bookmarkStart w:id="59" w:name="_Toc15396618"/>
      <w:r>
        <w:rPr>
          <w:rFonts w:hint="eastAsia" w:ascii="宋体"/>
          <w:b/>
          <w:sz w:val="44"/>
          <w:szCs w:val="44"/>
          <w:lang w:val="en-US" w:eastAsia="zh-CN"/>
        </w:rPr>
        <w:t xml:space="preserve">           </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55D2DB12">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单位基本情况</w:t>
      </w:r>
    </w:p>
    <w:p w14:paraId="3E2FF923">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firstLine="643" w:firstLineChars="200"/>
        <w:jc w:val="left"/>
        <w:textAlignment w:val="auto"/>
        <w:outlineLvl w:val="1"/>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（一）机构组成。</w:t>
      </w:r>
    </w:p>
    <w:p w14:paraId="547A8041">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firstLine="640" w:firstLineChars="20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本单位为独立核算全额拨款行政单位，内设办公室，档案股及业务指导股三个股室。</w:t>
      </w:r>
    </w:p>
    <w:p w14:paraId="501E8A2F">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Autospacing="0" w:afterAutospacing="0" w:line="576" w:lineRule="exact"/>
        <w:ind w:left="0" w:right="0" w:firstLine="643" w:firstLineChars="200"/>
        <w:jc w:val="left"/>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机构职能。</w:t>
      </w:r>
    </w:p>
    <w:p w14:paraId="533E31F7">
      <w:pPr>
        <w:pStyle w:val="3"/>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lang w:val="en-US" w:eastAsia="zh-CN"/>
        </w:rPr>
        <w:t>贯彻执行国家和省、州有关党史研究和地方志工作的方针、政策和法规；制定我县党史研究和地方志工作、综合年鉴的具体规划、管理办法，并组织实施。负责收集、整理党的文献、资料和文物，承担《中国共产党执政实录》组稿、总纂、审定、出版等业务。指导乡镇和县直各部门做好党史资料的收集和整理工作。负责编写我县各个历史时期的党史大事记、专题材料和党史人物传等。负责全县党史和地情资料收集、地情咨询服务。负责组织、协调，指导全县地方志和综合年鉴编修和检查、督促工，负责乡镇志业务指导和验收工作等，</w:t>
      </w:r>
      <w:r>
        <w:rPr>
          <w:rFonts w:hint="eastAsia" w:ascii="仿宋_GB2312" w:hAnsi="仿宋_GB2312" w:eastAsia="仿宋_GB2312" w:cs="仿宋_GB2312"/>
          <w:b w:val="0"/>
          <w:bCs w:val="0"/>
          <w:color w:val="000000"/>
          <w:sz w:val="32"/>
          <w:szCs w:val="32"/>
        </w:rPr>
        <w:t>同是完成县委县政府交办的其他工作</w:t>
      </w:r>
      <w:r>
        <w:rPr>
          <w:rFonts w:hint="eastAsia" w:ascii="仿宋_GB2312" w:hAnsi="仿宋_GB2312" w:eastAsia="仿宋_GB2312" w:cs="仿宋_GB2312"/>
          <w:b w:val="0"/>
          <w:bCs w:val="0"/>
          <w:sz w:val="32"/>
          <w:szCs w:val="32"/>
        </w:rPr>
        <w:t>。</w:t>
      </w:r>
    </w:p>
    <w:p w14:paraId="295C0282">
      <w:pPr>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576" w:lineRule="exact"/>
        <w:ind w:left="0" w:leftChars="0" w:firstLine="643" w:firstLineChars="200"/>
        <w:contextualSpacing/>
        <w:jc w:val="left"/>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人员概况。</w:t>
      </w:r>
    </w:p>
    <w:p w14:paraId="27D8BF0B">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76"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本单位本年度年末实有人数为</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人；年末实有离退休人数为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p>
    <w:p w14:paraId="2FBBE1C0">
      <w:pPr>
        <w:keepNext w:val="0"/>
        <w:keepLines w:val="0"/>
        <w:pageBreakBefore w:val="0"/>
        <w:widowControl/>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451B2CE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（一）收入情况。</w:t>
      </w:r>
    </w:p>
    <w:p w14:paraId="7E1F60D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单位收入总额为</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247.77</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237.71</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val="en-US" w:eastAsia="zh-CN"/>
        </w:rPr>
        <w:t>201.77</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val="en-US" w:eastAsia="zh-CN"/>
        </w:rPr>
        <w:t>24.10</w:t>
      </w:r>
      <w:r>
        <w:rPr>
          <w:rFonts w:hint="eastAsia" w:ascii="仿宋_GB2312" w:hAnsi="仿宋_GB2312" w:eastAsia="仿宋_GB2312" w:cs="仿宋_GB2312"/>
          <w:sz w:val="32"/>
          <w:szCs w:val="32"/>
        </w:rPr>
        <w:t>万元，医疗卫生</w:t>
      </w:r>
      <w:r>
        <w:rPr>
          <w:rFonts w:hint="eastAsia" w:ascii="仿宋_GB2312" w:hAnsi="仿宋_GB2312" w:eastAsia="仿宋_GB2312" w:cs="仿宋_GB2312"/>
          <w:sz w:val="32"/>
          <w:szCs w:val="32"/>
          <w:lang w:val="en-US" w:eastAsia="zh-CN"/>
        </w:rPr>
        <w:t>8.76</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13.14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,项目支出51.96万元</w:t>
      </w:r>
      <w:r>
        <w:rPr>
          <w:rFonts w:hint="eastAsia" w:ascii="仿宋_GB2312" w:hAnsi="仿宋_GB2312" w:eastAsia="仿宋_GB2312" w:cs="仿宋_GB2312"/>
          <w:sz w:val="32"/>
          <w:szCs w:val="32"/>
        </w:rPr>
        <w:t>。</w:t>
      </w:r>
    </w:p>
    <w:p w14:paraId="1D6E488E">
      <w:pPr>
        <w:keepNext w:val="0"/>
        <w:keepLines w:val="0"/>
        <w:pageBreakBefore w:val="0"/>
        <w:numPr>
          <w:ilvl w:val="0"/>
          <w:numId w:val="6"/>
        </w:numPr>
        <w:kinsoku/>
        <w:wordWrap/>
        <w:overflowPunct/>
        <w:topLinePunct w:val="0"/>
        <w:autoSpaceDE/>
        <w:autoSpaceDN/>
        <w:bidi w:val="0"/>
        <w:spacing w:line="576" w:lineRule="exact"/>
        <w:ind w:left="0" w:leftChars="0" w:right="0" w:rightChars="0" w:firstLine="643" w:firstLineChars="200"/>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支出情况</w:t>
      </w:r>
    </w:p>
    <w:p w14:paraId="1FBE269A">
      <w:pPr>
        <w:keepNext w:val="0"/>
        <w:keepLines w:val="0"/>
        <w:pageBreakBefore w:val="0"/>
        <w:numPr>
          <w:ilvl w:val="0"/>
          <w:numId w:val="0"/>
        </w:numPr>
        <w:kinsoku/>
        <w:wordWrap/>
        <w:overflowPunct/>
        <w:topLinePunct w:val="0"/>
        <w:autoSpaceDE/>
        <w:autoSpaceDN/>
        <w:bidi w:val="0"/>
        <w:spacing w:line="576"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171.37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160.54万元，机关运行经费10.83万元，其中：</w:t>
      </w:r>
      <w:r>
        <w:rPr>
          <w:rFonts w:hint="eastAsia" w:ascii="仿宋_GB2312" w:hAnsi="仿宋_GB2312" w:eastAsia="仿宋_GB2312" w:cs="仿宋_GB2312"/>
          <w:sz w:val="32"/>
          <w:szCs w:val="32"/>
        </w:rPr>
        <w:t>其中：办公费</w:t>
      </w:r>
      <w:r>
        <w:rPr>
          <w:rFonts w:hint="eastAsia" w:ascii="仿宋_GB2312" w:hAnsi="仿宋_GB2312" w:eastAsia="仿宋_GB2312" w:cs="仿宋_GB2312"/>
          <w:sz w:val="32"/>
          <w:szCs w:val="32"/>
          <w:lang w:val="en-US" w:eastAsia="zh-CN"/>
        </w:rPr>
        <w:t>4.11</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1.5万元，工会经费1.21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水费</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万元，公务用车运行维护费2.6</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0.87万</w:t>
      </w:r>
      <w:r>
        <w:rPr>
          <w:rFonts w:hint="eastAsia" w:ascii="仿宋_GB2312" w:hAnsi="仿宋_GB2312" w:eastAsia="仿宋_GB2312" w:cs="仿宋_GB2312"/>
          <w:sz w:val="32"/>
          <w:szCs w:val="32"/>
        </w:rPr>
        <w:t>元，公务接待费0.1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，取暖费</w:t>
      </w:r>
      <w:r>
        <w:rPr>
          <w:rFonts w:hint="eastAsia" w:ascii="仿宋_GB2312" w:hAnsi="仿宋_GB2312" w:eastAsia="仿宋_GB2312" w:cs="仿宋_GB2312"/>
          <w:sz w:val="32"/>
          <w:szCs w:val="32"/>
          <w:lang w:val="en-US" w:eastAsia="zh-CN"/>
        </w:rPr>
        <w:t>0.21万元。</w:t>
      </w:r>
    </w:p>
    <w:p w14:paraId="7FFD4F0E">
      <w:pPr>
        <w:keepNext w:val="0"/>
        <w:keepLines w:val="0"/>
        <w:pageBreakBefore w:val="0"/>
        <w:kinsoku/>
        <w:wordWrap/>
        <w:overflowPunct/>
        <w:topLinePunct w:val="0"/>
        <w:autoSpaceDE/>
        <w:autoSpaceDN/>
        <w:bidi w:val="0"/>
        <w:spacing w:line="576" w:lineRule="exact"/>
        <w:ind w:left="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按支出功能分类主要用于以下方面:</w:t>
      </w:r>
    </w:p>
    <w:p w14:paraId="7E6F7D1D">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（一）一般公共服务</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201.77</w:t>
      </w:r>
      <w:r>
        <w:rPr>
          <w:rFonts w:hint="eastAsia" w:ascii="仿宋_GB2312" w:hAnsi="仿宋_GB2312" w:eastAsia="仿宋_GB2312" w:cs="仿宋_GB2312"/>
          <w:sz w:val="32"/>
          <w:szCs w:val="32"/>
        </w:rPr>
        <w:t>万元，主要用于机关及下属事业单位人员工资、日常运转以及为完成特定行政工作任务和事业发展目标而安排的年度项目支出。</w:t>
      </w:r>
    </w:p>
    <w:p w14:paraId="52424EC2">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（二）机关事业单位基本养老保险支出</w:t>
      </w:r>
      <w:r>
        <w:rPr>
          <w:rFonts w:hint="eastAsia" w:ascii="仿宋_GB2312" w:hAnsi="仿宋_GB2312" w:eastAsia="仿宋_GB2312" w:cs="仿宋_GB2312"/>
          <w:sz w:val="32"/>
          <w:szCs w:val="32"/>
          <w:lang w:val="en-US" w:eastAsia="zh-CN"/>
        </w:rPr>
        <w:t>16.07</w:t>
      </w:r>
      <w:r>
        <w:rPr>
          <w:rFonts w:hint="eastAsia" w:ascii="仿宋_GB2312" w:hAnsi="仿宋_GB2312" w:eastAsia="仿宋_GB2312" w:cs="仿宋_GB2312"/>
          <w:sz w:val="32"/>
          <w:szCs w:val="32"/>
        </w:rPr>
        <w:t>万元，主要用于机关及下属事业单位养老保险缴费。</w:t>
      </w:r>
    </w:p>
    <w:p w14:paraId="4A596449">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（三）机关事业单位职业年金缴费支出</w:t>
      </w:r>
      <w:r>
        <w:rPr>
          <w:rFonts w:hint="eastAsia" w:ascii="仿宋_GB2312" w:hAnsi="仿宋_GB2312" w:eastAsia="仿宋_GB2312" w:cs="仿宋_GB2312"/>
          <w:sz w:val="32"/>
          <w:szCs w:val="32"/>
          <w:lang w:val="en-US" w:eastAsia="zh-CN"/>
        </w:rPr>
        <w:t>8.03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主要用于机关及下属事业单位职业年金缴费。</w:t>
      </w:r>
    </w:p>
    <w:p w14:paraId="2AF5EA3E">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（四）行政单位医疗缴费支出</w:t>
      </w:r>
      <w:r>
        <w:rPr>
          <w:rFonts w:hint="eastAsia" w:ascii="仿宋_GB2312" w:hAnsi="仿宋_GB2312" w:eastAsia="仿宋_GB2312" w:cs="仿宋_GB2312"/>
          <w:sz w:val="32"/>
          <w:szCs w:val="32"/>
          <w:lang w:val="en-US" w:eastAsia="zh-CN"/>
        </w:rPr>
        <w:t>7.03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主要用于机关及下属事业单位按照规定标准为职工缴纳的基本医疗保险支出。</w:t>
      </w:r>
    </w:p>
    <w:p w14:paraId="548FF5A1">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（五）公务员医疗补助支出</w:t>
      </w:r>
      <w:r>
        <w:rPr>
          <w:rFonts w:hint="eastAsia" w:ascii="仿宋_GB2312" w:hAnsi="仿宋_GB2312" w:eastAsia="仿宋_GB2312" w:cs="仿宋_GB2312"/>
          <w:sz w:val="32"/>
          <w:szCs w:val="32"/>
          <w:lang w:val="en-US" w:eastAsia="zh-CN"/>
        </w:rPr>
        <w:t>1.73</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元主要用于机关及下属事业单位按照规定标准为职工缴纳的公务员医疗补助等支出。</w:t>
      </w:r>
    </w:p>
    <w:p w14:paraId="1D57F6F7">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（六）住房保障支出</w:t>
      </w:r>
      <w:r>
        <w:rPr>
          <w:rFonts w:hint="eastAsia" w:ascii="仿宋_GB2312" w:hAnsi="仿宋_GB2312" w:eastAsia="仿宋_GB2312" w:cs="仿宋_GB2312"/>
          <w:sz w:val="32"/>
          <w:szCs w:val="32"/>
          <w:lang w:val="en-US" w:eastAsia="zh-CN"/>
        </w:rPr>
        <w:t>13.14</w:t>
      </w:r>
      <w:r>
        <w:rPr>
          <w:rFonts w:hint="eastAsia" w:ascii="仿宋_GB2312" w:hAnsi="仿宋_GB2312" w:eastAsia="仿宋_GB2312" w:cs="仿宋_GB2312"/>
          <w:sz w:val="32"/>
          <w:szCs w:val="32"/>
        </w:rPr>
        <w:t>万元，用于机关及下属事业单位按照规定标准为职工缴纳住房公积金等支出。</w:t>
      </w:r>
    </w:p>
    <w:p w14:paraId="36271516">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（七）一般行政管理事务支出</w:t>
      </w:r>
      <w:r>
        <w:rPr>
          <w:rFonts w:hint="eastAsia" w:ascii="仿宋_GB2312" w:hAnsi="仿宋_GB2312" w:eastAsia="仿宋_GB2312" w:cs="仿宋_GB2312"/>
          <w:sz w:val="32"/>
          <w:szCs w:val="32"/>
        </w:rPr>
        <w:t>万元，用于本单位《红原年鉴》《执政实录》</w:t>
      </w:r>
      <w:r>
        <w:rPr>
          <w:rFonts w:hint="eastAsia" w:ascii="仿宋_GB2312" w:hAnsi="仿宋_GB2312" w:eastAsia="仿宋_GB2312" w:cs="仿宋_GB2312"/>
          <w:sz w:val="32"/>
          <w:szCs w:val="32"/>
          <w:lang w:eastAsia="zh-CN"/>
        </w:rPr>
        <w:t>《红原县扶贫志》的出版印刷、《口述历史》纪录片</w:t>
      </w:r>
      <w:r>
        <w:rPr>
          <w:rFonts w:hint="eastAsia" w:ascii="仿宋_GB2312" w:hAnsi="仿宋_GB2312" w:eastAsia="仿宋_GB2312" w:cs="仿宋_GB2312"/>
          <w:sz w:val="32"/>
          <w:szCs w:val="32"/>
        </w:rPr>
        <w:t>的拍摄</w:t>
      </w:r>
      <w:r>
        <w:rPr>
          <w:rFonts w:hint="eastAsia" w:ascii="仿宋_GB2312" w:hAnsi="仿宋_GB2312" w:eastAsia="仿宋_GB2312" w:cs="仿宋_GB2312"/>
          <w:sz w:val="32"/>
          <w:szCs w:val="32"/>
          <w:lang w:eastAsia="zh-CN"/>
        </w:rPr>
        <w:t>及“史志七进”、地方志工作培训会等。</w:t>
      </w:r>
    </w:p>
    <w:p w14:paraId="3B61B05B">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（八）工会事务支出</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万元主要用于机关及下属事业单位工会缴费支出。</w:t>
      </w:r>
    </w:p>
    <w:p w14:paraId="075BF64C">
      <w:pPr>
        <w:keepNext w:val="0"/>
        <w:keepLines w:val="0"/>
        <w:pageBreakBefore w:val="0"/>
        <w:widowControl/>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eastAsia" w:ascii="黑体" w:hAnsi="黑体" w:eastAsia="黑体" w:cs="黑体"/>
          <w:b w:val="0"/>
          <w:bCs w:val="0"/>
          <w:color w:val="000000"/>
          <w:kern w:val="0"/>
          <w:sz w:val="32"/>
          <w:szCs w:val="32"/>
          <w:highlight w:val="none"/>
          <w:shd w:val="clear" w:color="auto" w:fill="FFFFFF"/>
          <w:lang w:val="zh-CN"/>
        </w:rPr>
      </w:pPr>
    </w:p>
    <w:p w14:paraId="6D33754D">
      <w:pPr>
        <w:keepNext w:val="0"/>
        <w:keepLines w:val="0"/>
        <w:pageBreakBefore w:val="0"/>
        <w:widowControl/>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eastAsia" w:ascii="黑体" w:hAnsi="黑体" w:eastAsia="黑体" w:cs="黑体"/>
          <w:b/>
          <w:sz w:val="32"/>
          <w:szCs w:val="32"/>
          <w:lang w:eastAsia="zh-CN"/>
        </w:rPr>
      </w:pPr>
      <w:r>
        <w:rPr>
          <w:rFonts w:hint="eastAsia" w:ascii="黑体" w:hAnsi="黑体" w:eastAsia="黑体" w:cs="黑体"/>
          <w:b w:val="0"/>
          <w:bCs w:val="0"/>
          <w:color w:val="000000"/>
          <w:kern w:val="0"/>
          <w:sz w:val="32"/>
          <w:szCs w:val="32"/>
          <w:highlight w:val="none"/>
          <w:shd w:val="clear" w:color="auto" w:fill="FFFFFF"/>
          <w:lang w:val="zh-CN"/>
        </w:rPr>
        <w:t>三、</w:t>
      </w:r>
      <w:r>
        <w:rPr>
          <w:rFonts w:hint="eastAsia" w:ascii="黑体" w:hAnsi="黑体" w:eastAsia="黑体" w:cs="黑体"/>
          <w:b w:val="0"/>
          <w:bCs w:val="0"/>
          <w:sz w:val="32"/>
          <w:szCs w:val="32"/>
        </w:rPr>
        <w:t>结余分配和结转结余情况</w:t>
      </w:r>
      <w:r>
        <w:rPr>
          <w:rFonts w:hint="eastAsia" w:ascii="黑体" w:hAnsi="黑体" w:eastAsia="黑体" w:cs="黑体"/>
          <w:b w:val="0"/>
          <w:bCs w:val="0"/>
          <w:sz w:val="32"/>
          <w:szCs w:val="32"/>
          <w:lang w:eastAsia="zh-CN"/>
        </w:rPr>
        <w:t>。</w:t>
      </w:r>
    </w:p>
    <w:p w14:paraId="595056D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sz w:val="32"/>
          <w:szCs w:val="32"/>
          <w:lang w:val="en-US" w:eastAsia="zh-CN"/>
        </w:rPr>
        <w:t>2024年决算无</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结转结余情况。</w:t>
      </w:r>
    </w:p>
    <w:p w14:paraId="5B0A3A11">
      <w:pPr>
        <w:keepNext w:val="0"/>
        <w:keepLines w:val="0"/>
        <w:pageBreakBefore w:val="0"/>
        <w:widowControl/>
        <w:kinsoku/>
        <w:wordWrap/>
        <w:overflowPunct/>
        <w:topLinePunct w:val="0"/>
        <w:autoSpaceDE/>
        <w:autoSpaceDN/>
        <w:bidi w:val="0"/>
        <w:adjustRightInd w:val="0"/>
        <w:snapToGrid w:val="0"/>
        <w:spacing w:line="578" w:lineRule="exact"/>
        <w:ind w:firstLine="320" w:firstLineChars="1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eastAsia"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6004D4B0">
      <w:pPr>
        <w:keepNext w:val="0"/>
        <w:keepLines w:val="0"/>
        <w:pageBreakBefore w:val="0"/>
        <w:widowControl w:val="0"/>
        <w:kinsoku/>
        <w:wordWrap/>
        <w:overflowPunct/>
        <w:topLinePunct w:val="0"/>
        <w:autoSpaceDE/>
        <w:autoSpaceDN/>
        <w:bidi w:val="0"/>
        <w:spacing w:beforeAutospacing="0" w:afterAutospacing="0" w:line="576" w:lineRule="exact"/>
        <w:ind w:firstLine="643"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kern w:val="0"/>
          <w:sz w:val="32"/>
          <w:szCs w:val="32"/>
          <w:highlight w:val="none"/>
          <w:shd w:val="clear" w:color="auto" w:fill="FFFFFF"/>
          <w:lang w:val="zh-CN"/>
        </w:rPr>
        <w:t>（一）部门预算总体绩效分析。</w:t>
      </w:r>
    </w:p>
    <w:p w14:paraId="5C8F6924">
      <w:pPr>
        <w:keepNext w:val="0"/>
        <w:keepLines w:val="0"/>
        <w:pageBreakBefore w:val="0"/>
        <w:kinsoku/>
        <w:wordWrap/>
        <w:overflowPunct/>
        <w:topLinePunct w:val="0"/>
        <w:autoSpaceDE/>
        <w:autoSpaceDN/>
        <w:bidi w:val="0"/>
        <w:spacing w:beforeAutospacing="0" w:afterAutospacing="0" w:line="576"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中心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在资金使用的过程中，严格按照国家的相关规定合理使用资金，严格按照资金的用途、项目、地区使用资金，严格执行财政部门规定的各项经费开支范围和标准。</w:t>
      </w:r>
    </w:p>
    <w:p w14:paraId="03EB9F3D">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sz w:val="32"/>
          <w:szCs w:val="32"/>
          <w:highlight w:val="none"/>
        </w:rPr>
        <w:t>在财务报销的过程中严格贯彻执行国家颁布的相关财务</w:t>
      </w:r>
      <w:r>
        <w:rPr>
          <w:rFonts w:hint="eastAsia" w:ascii="仿宋_GB2312" w:hAnsi="仿宋_GB2312" w:eastAsia="仿宋_GB2312" w:cs="仿宋_GB2312"/>
          <w:color w:val="000000"/>
          <w:sz w:val="32"/>
          <w:szCs w:val="32"/>
          <w:highlight w:val="none"/>
          <w:lang w:val="en-US" w:eastAsia="zh-CN"/>
        </w:rPr>
        <w:t>法</w:t>
      </w:r>
      <w:r>
        <w:rPr>
          <w:rFonts w:hint="eastAsia" w:ascii="仿宋_GB2312" w:hAnsi="仿宋_GB2312" w:eastAsia="仿宋_GB2312" w:cs="仿宋_GB2312"/>
          <w:color w:val="000000"/>
          <w:sz w:val="32"/>
          <w:szCs w:val="32"/>
          <w:highlight w:val="none"/>
        </w:rPr>
        <w:t>规，严格按照法律规定以完整、合法、经济内容真实有效的原始凭证作为记账依据。严格按照标准的财务报销流程以及完备的财务报销手续进行报账。严格按照规定对原始凭证等会计资料进行归档保存。及时填报各项年度统计报表；在财务管理系统里做到会计核算与财政支出一致，有效的</w:t>
      </w:r>
      <w:r>
        <w:rPr>
          <w:rFonts w:hint="eastAsia" w:ascii="仿宋_GB2312" w:hAnsi="仿宋_GB2312" w:eastAsia="仿宋_GB2312" w:cs="仿宋_GB2312"/>
          <w:color w:val="000000"/>
          <w:sz w:val="32"/>
          <w:szCs w:val="32"/>
        </w:rPr>
        <w:t>使用了会计电算化软件。在使用采购资金时手续齐备，采购的固定资产做到了及时登记和入账；严格落实《党政机关厉行节约反对浪费条例》的相关规定，进一步规范了“三公经费”的管理并严格控制了“三公经费”的支出</w:t>
      </w:r>
      <w:r>
        <w:rPr>
          <w:rFonts w:hint="eastAsia" w:ascii="仿宋_GB2312" w:hAnsi="仿宋_GB2312" w:eastAsia="仿宋_GB2312" w:cs="仿宋_GB2312"/>
          <w:color w:val="000000"/>
          <w:sz w:val="32"/>
          <w:szCs w:val="32"/>
          <w:lang w:eastAsia="zh-CN"/>
        </w:rPr>
        <w:t>。</w:t>
      </w:r>
    </w:p>
    <w:p w14:paraId="7770769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p>
    <w:p w14:paraId="79E3021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常年项目绩效分析。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4</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36.84</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90 </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0  </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14:paraId="4AAEE5E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r>
        <w:rPr>
          <w:rFonts w:hint="eastAsia" w:ascii="仿宋_GB2312" w:hAnsi="仿宋_GB2312" w:eastAsia="仿宋_GB2312" w:cs="仿宋_GB2312"/>
          <w:color w:val="000000"/>
          <w:kern w:val="0"/>
          <w:sz w:val="32"/>
          <w:szCs w:val="32"/>
          <w:highlight w:val="none"/>
          <w:shd w:val="clear" w:color="auto" w:fill="FFFFFF"/>
          <w:lang w:val="en-US" w:eastAsia="zh-CN"/>
        </w:rPr>
        <w:t>阶段（一次性）项目绩效分析。</w:t>
      </w:r>
      <w:r>
        <w:rPr>
          <w:rFonts w:hint="eastAsia" w:ascii="仿宋_GB2312" w:hAnsi="仿宋_GB2312" w:eastAsia="仿宋_GB2312" w:cs="仿宋_GB2312"/>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1</w:t>
      </w:r>
      <w:r>
        <w:rPr>
          <w:rFonts w:hint="eastAsia" w:ascii="仿宋_GB2312" w:hAnsi="仿宋_GB2312" w:eastAsia="仿宋_GB2312" w:cs="仿宋_GB2312"/>
          <w:color w:val="000000"/>
          <w:kern w:val="0"/>
          <w:sz w:val="32"/>
          <w:szCs w:val="32"/>
          <w:highlight w:val="none"/>
          <w:shd w:val="clear" w:color="auto" w:fill="FFFFFF"/>
          <w:lang w:val="zh-CN" w:eastAsia="zh-CN"/>
        </w:rPr>
        <w:t>个，涉及预算总金额</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15.12 </w:t>
      </w:r>
      <w:r>
        <w:rPr>
          <w:rFonts w:hint="eastAsia" w:ascii="仿宋_GB2312" w:hAnsi="仿宋_GB2312" w:eastAsia="仿宋_GB2312" w:cs="仿宋_GB2312"/>
          <w:color w:val="000000"/>
          <w:kern w:val="0"/>
          <w:sz w:val="32"/>
          <w:szCs w:val="32"/>
          <w:highlight w:val="none"/>
          <w:shd w:val="clear" w:color="auto" w:fill="FFFFFF"/>
          <w:lang w:val="zh-CN" w:eastAsia="zh-CN"/>
        </w:rPr>
        <w:t>万元，</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zh-CN" w:eastAsia="zh-CN"/>
        </w:rPr>
        <w:t>—</w:t>
      </w:r>
      <w:r>
        <w:rPr>
          <w:rFonts w:hint="eastAsia" w:ascii="仿宋_GB2312" w:hAnsi="仿宋_GB2312" w:eastAsia="仿宋_GB2312" w:cs="仿宋_GB2312"/>
          <w:color w:val="000000"/>
          <w:kern w:val="0"/>
          <w:sz w:val="32"/>
          <w:szCs w:val="32"/>
          <w:highlight w:val="none"/>
          <w:shd w:val="clear" w:color="auto" w:fill="FFFFFF"/>
          <w:lang w:val="zh-CN"/>
        </w:rPr>
        <w:t>1</w:t>
      </w:r>
      <w:r>
        <w:rPr>
          <w:rFonts w:hint="eastAsia" w:ascii="仿宋_GB2312" w:hAnsi="仿宋_GB2312" w:eastAsia="仿宋_GB2312" w:cs="仿宋_GB2312"/>
          <w:color w:val="000000"/>
          <w:kern w:val="0"/>
          <w:sz w:val="32"/>
          <w:szCs w:val="32"/>
          <w:highlight w:val="none"/>
          <w:shd w:val="clear" w:color="auto" w:fill="FFFFFF"/>
          <w:lang w:val="en-US" w:eastAsia="zh-CN"/>
        </w:rPr>
        <w:t>2</w:t>
      </w:r>
      <w:r>
        <w:rPr>
          <w:rFonts w:hint="eastAsia" w:ascii="仿宋_GB2312" w:hAnsi="仿宋_GB2312" w:eastAsia="仿宋_GB2312" w:cs="仿宋_GB2312"/>
          <w:color w:val="000000"/>
          <w:kern w:val="0"/>
          <w:sz w:val="32"/>
          <w:szCs w:val="32"/>
          <w:highlight w:val="none"/>
          <w:shd w:val="clear" w:color="auto" w:fill="FFFFFF"/>
          <w:lang w:val="zh-CN"/>
        </w:rPr>
        <w:t>月预算执行总体进度为</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  40 </w:t>
      </w:r>
      <w:r>
        <w:rPr>
          <w:rFonts w:hint="eastAsia" w:ascii="仿宋_GB2312" w:hAnsi="仿宋_GB2312" w:eastAsia="仿宋_GB2312" w:cs="仿宋_GB2312"/>
          <w:color w:val="000000"/>
          <w:kern w:val="0"/>
          <w:sz w:val="32"/>
          <w:szCs w:val="32"/>
          <w:highlight w:val="none"/>
          <w:shd w:val="clear" w:color="auto" w:fill="FFFFFF"/>
          <w:lang w:val="zh-CN"/>
        </w:rPr>
        <w:t>%，其中：</w:t>
      </w:r>
      <w:r>
        <w:rPr>
          <w:rFonts w:hint="eastAsia" w:ascii="仿宋_GB2312" w:hAnsi="仿宋_GB2312" w:eastAsia="仿宋_GB2312" w:cs="仿宋_GB2312"/>
          <w:color w:val="000000"/>
          <w:kern w:val="0"/>
          <w:sz w:val="32"/>
          <w:szCs w:val="32"/>
          <w:highlight w:val="none"/>
          <w:shd w:val="clear" w:color="auto" w:fill="FFFFFF"/>
          <w:lang w:val="zh-CN" w:eastAsia="zh-CN"/>
        </w:rPr>
        <w:t>预算结余率大于</w:t>
      </w:r>
      <w:r>
        <w:rPr>
          <w:rFonts w:hint="eastAsia" w:ascii="仿宋_GB2312" w:hAnsi="仿宋_GB2312" w:eastAsia="仿宋_GB2312" w:cs="仿宋_GB2312"/>
          <w:color w:val="000000"/>
          <w:kern w:val="0"/>
          <w:sz w:val="32"/>
          <w:szCs w:val="32"/>
          <w:highlight w:val="none"/>
          <w:shd w:val="clear" w:color="auto" w:fill="FFFFFF"/>
          <w:lang w:val="en-US" w:eastAsia="zh-CN"/>
        </w:rPr>
        <w:t>10%</w:t>
      </w:r>
      <w:r>
        <w:rPr>
          <w:rFonts w:hint="eastAsia" w:ascii="仿宋_GB2312" w:hAnsi="仿宋_GB2312" w:eastAsia="仿宋_GB2312" w:cs="仿宋_GB2312"/>
          <w:color w:val="000000"/>
          <w:kern w:val="0"/>
          <w:sz w:val="32"/>
          <w:szCs w:val="32"/>
          <w:highlight w:val="none"/>
          <w:shd w:val="clear" w:color="auto" w:fill="FFFFFF"/>
          <w:lang w:val="zh-CN" w:eastAsia="zh-CN"/>
        </w:rPr>
        <w:t>的项目共计</w:t>
      </w:r>
      <w:r>
        <w:rPr>
          <w:rFonts w:hint="eastAsia" w:ascii="仿宋_GB2312" w:hAnsi="仿宋_GB2312" w:eastAsia="仿宋_GB2312" w:cs="仿宋_GB2312"/>
          <w:color w:val="000000"/>
          <w:kern w:val="0"/>
          <w:sz w:val="32"/>
          <w:szCs w:val="32"/>
          <w:highlight w:val="none"/>
          <w:shd w:val="clear" w:color="auto" w:fill="FFFFFF"/>
          <w:lang w:val="en-US" w:eastAsia="zh-CN"/>
        </w:rPr>
        <w:t xml:space="preserve">0 </w:t>
      </w:r>
      <w:r>
        <w:rPr>
          <w:rFonts w:hint="eastAsia" w:ascii="仿宋_GB2312" w:hAnsi="仿宋_GB2312" w:eastAsia="仿宋_GB2312" w:cs="仿宋_GB2312"/>
          <w:color w:val="000000"/>
          <w:kern w:val="0"/>
          <w:sz w:val="32"/>
          <w:szCs w:val="32"/>
          <w:highlight w:val="none"/>
          <w:shd w:val="clear" w:color="auto" w:fill="FFFFFF"/>
          <w:lang w:val="zh-CN" w:eastAsia="zh-CN"/>
        </w:rPr>
        <w:t>个。</w:t>
      </w:r>
    </w:p>
    <w:p w14:paraId="4E6B6B4A">
      <w:pPr>
        <w:pStyle w:val="16"/>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76" w:lineRule="exact"/>
        <w:ind w:firstLine="321" w:firstLineChars="100"/>
        <w:textAlignment w:val="auto"/>
        <w:outlineLvl w:val="1"/>
        <w:rPr>
          <w:rStyle w:val="19"/>
          <w:rFonts w:hint="eastAsia" w:ascii="仿宋_GB2312" w:hAnsi="仿宋_GB2312" w:eastAsia="仿宋_GB2312" w:cs="仿宋_GB2312"/>
          <w:sz w:val="32"/>
          <w:szCs w:val="32"/>
          <w:shd w:val="clear" w:color="auto" w:fill="FFFFFF"/>
          <w:lang w:eastAsia="zh-CN"/>
        </w:rPr>
      </w:pPr>
      <w:bookmarkStart w:id="60" w:name="_Toc30307"/>
      <w:r>
        <w:rPr>
          <w:rStyle w:val="19"/>
          <w:rFonts w:hint="eastAsia" w:ascii="仿宋_GB2312" w:hAnsi="仿宋_GB2312" w:eastAsia="仿宋_GB2312" w:cs="仿宋_GB2312"/>
          <w:sz w:val="32"/>
          <w:szCs w:val="32"/>
          <w:shd w:val="clear" w:color="auto" w:fill="FFFFFF"/>
          <w:lang w:eastAsia="zh-CN"/>
        </w:rPr>
        <w:t>（三</w:t>
      </w:r>
      <w:r>
        <w:rPr>
          <w:rStyle w:val="19"/>
          <w:rFonts w:hint="eastAsia" w:ascii="仿宋_GB2312" w:hAnsi="仿宋_GB2312" w:eastAsia="仿宋_GB2312" w:cs="仿宋_GB2312"/>
          <w:sz w:val="32"/>
          <w:szCs w:val="32"/>
          <w:shd w:val="clear" w:color="auto" w:fill="FFFFFF"/>
          <w:lang w:val="en-US" w:eastAsia="zh-CN"/>
        </w:rPr>
        <w:t>）</w:t>
      </w:r>
      <w:r>
        <w:rPr>
          <w:rStyle w:val="19"/>
          <w:rFonts w:hint="eastAsia" w:ascii="仿宋_GB2312" w:hAnsi="仿宋_GB2312" w:eastAsia="仿宋_GB2312" w:cs="仿宋_GB2312"/>
          <w:sz w:val="32"/>
          <w:szCs w:val="32"/>
          <w:shd w:val="clear" w:color="auto" w:fill="FFFFFF"/>
          <w:lang w:eastAsia="zh-CN"/>
        </w:rPr>
        <w:t>项目绩效目标</w:t>
      </w:r>
      <w:bookmarkEnd w:id="60"/>
    </w:p>
    <w:p w14:paraId="7D16F9F2">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Autospacing="0" w:afterAutospacing="0" w:line="576" w:lineRule="exact"/>
        <w:ind w:leftChars="0" w:right="0" w:righ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预期目标完成《红原年鉴》出版印刷</w:t>
      </w:r>
      <w:r>
        <w:rPr>
          <w:rFonts w:hint="eastAsia" w:ascii="仿宋_GB2312" w:hAnsi="仿宋_GB2312" w:eastAsia="仿宋_GB2312" w:cs="仿宋_GB2312"/>
          <w:bCs/>
          <w:sz w:val="32"/>
          <w:szCs w:val="32"/>
          <w:lang w:val="en-US" w:eastAsia="zh-CN"/>
        </w:rPr>
        <w:t>200</w:t>
      </w:r>
      <w:r>
        <w:rPr>
          <w:rFonts w:hint="eastAsia" w:ascii="仿宋_GB2312" w:hAnsi="仿宋_GB2312" w:eastAsia="仿宋_GB2312" w:cs="仿宋_GB2312"/>
          <w:bCs/>
          <w:sz w:val="32"/>
          <w:szCs w:val="32"/>
        </w:rPr>
        <w:t>册，《执政实录》出版印刷</w:t>
      </w:r>
      <w:r>
        <w:rPr>
          <w:rFonts w:hint="eastAsia" w:ascii="仿宋_GB2312" w:hAnsi="仿宋_GB2312" w:eastAsia="仿宋_GB2312" w:cs="仿宋_GB2312"/>
          <w:bCs/>
          <w:sz w:val="32"/>
          <w:szCs w:val="32"/>
          <w:lang w:val="en-US" w:eastAsia="zh-CN"/>
        </w:rPr>
        <w:t>200</w:t>
      </w:r>
      <w:r>
        <w:rPr>
          <w:rFonts w:hint="eastAsia" w:ascii="仿宋_GB2312" w:hAnsi="仿宋_GB2312" w:eastAsia="仿宋_GB2312" w:cs="仿宋_GB2312"/>
          <w:bCs/>
          <w:sz w:val="32"/>
          <w:szCs w:val="32"/>
        </w:rPr>
        <w:t>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拍摄</w:t>
      </w:r>
      <w:r>
        <w:rPr>
          <w:rFonts w:hint="eastAsia" w:ascii="仿宋_GB2312" w:hAnsi="仿宋_GB2312" w:eastAsia="仿宋_GB2312" w:cs="仿宋_GB2312"/>
          <w:bCs/>
          <w:sz w:val="32"/>
          <w:szCs w:val="32"/>
        </w:rPr>
        <w:t>口述历史纪录片1部</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截止12月已完成所有预期目标</w:t>
      </w:r>
      <w:r>
        <w:rPr>
          <w:rFonts w:hint="eastAsia" w:ascii="仿宋_GB2312" w:hAnsi="仿宋_GB2312" w:eastAsia="仿宋_GB2312" w:cs="仿宋_GB2312"/>
          <w:bCs/>
          <w:sz w:val="32"/>
          <w:szCs w:val="32"/>
          <w:lang w:eastAsia="zh-CN"/>
        </w:rPr>
        <w:t>。</w:t>
      </w:r>
    </w:p>
    <w:p w14:paraId="771D7740">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Autospacing="0" w:afterAutospacing="0" w:line="576" w:lineRule="exact"/>
        <w:ind w:right="0" w:rightChars="0" w:firstLine="321" w:firstLineChars="100"/>
        <w:textAlignment w:val="auto"/>
        <w:rPr>
          <w:rStyle w:val="19"/>
          <w:rFonts w:hint="eastAsia" w:ascii="仿宋_GB2312" w:hAnsi="仿宋_GB2312" w:eastAsia="仿宋_GB2312" w:cs="仿宋_GB2312"/>
          <w:sz w:val="32"/>
          <w:szCs w:val="32"/>
          <w:shd w:val="clear" w:color="auto" w:fill="FFFFFF"/>
          <w:lang w:eastAsia="zh-CN"/>
        </w:rPr>
      </w:pPr>
      <w:r>
        <w:rPr>
          <w:rStyle w:val="19"/>
          <w:rFonts w:hint="eastAsia" w:ascii="仿宋_GB2312" w:hAnsi="仿宋_GB2312" w:eastAsia="仿宋_GB2312" w:cs="仿宋_GB2312"/>
          <w:sz w:val="32"/>
          <w:szCs w:val="32"/>
          <w:shd w:val="clear" w:color="auto" w:fill="FFFFFF"/>
          <w:lang w:val="en-US" w:eastAsia="zh-CN"/>
        </w:rPr>
        <w:t>(四)</w:t>
      </w:r>
      <w:r>
        <w:rPr>
          <w:rStyle w:val="19"/>
          <w:rFonts w:hint="eastAsia" w:ascii="仿宋_GB2312" w:hAnsi="仿宋_GB2312" w:eastAsia="仿宋_GB2312" w:cs="仿宋_GB2312"/>
          <w:sz w:val="32"/>
          <w:szCs w:val="32"/>
          <w:shd w:val="clear" w:color="auto" w:fill="FFFFFF"/>
          <w:lang w:eastAsia="zh-CN"/>
        </w:rPr>
        <w:t>资金计划、到位及使用情况</w:t>
      </w:r>
    </w:p>
    <w:p w14:paraId="22550660">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Autospacing="0" w:afterAutospacing="0" w:line="576" w:lineRule="exact"/>
        <w:ind w:right="0" w:rightChars="0" w:firstLine="320" w:firstLineChars="100"/>
        <w:textAlignment w:val="auto"/>
        <w:rPr>
          <w:rStyle w:val="19"/>
          <w:rFonts w:hint="eastAsia" w:ascii="仿宋_GB2312" w:hAnsi="仿宋_GB2312" w:eastAsia="仿宋_GB2312" w:cs="仿宋_GB2312"/>
          <w:b w:val="0"/>
          <w:bCs/>
          <w:sz w:val="32"/>
          <w:szCs w:val="32"/>
          <w:shd w:val="clear" w:color="auto" w:fill="FFFFFF"/>
          <w:lang w:val="en-US" w:eastAsia="zh-CN"/>
        </w:rPr>
      </w:pPr>
      <w:r>
        <w:rPr>
          <w:rStyle w:val="19"/>
          <w:rFonts w:hint="eastAsia" w:ascii="仿宋_GB2312" w:hAnsi="仿宋_GB2312" w:eastAsia="仿宋_GB2312" w:cs="仿宋_GB2312"/>
          <w:b w:val="0"/>
          <w:bCs/>
          <w:sz w:val="32"/>
          <w:szCs w:val="32"/>
          <w:shd w:val="clear" w:color="auto" w:fill="FFFFFF"/>
          <w:lang w:eastAsia="zh-CN"/>
        </w:rPr>
        <w:t>项目预算数</w:t>
      </w:r>
      <w:r>
        <w:rPr>
          <w:rStyle w:val="19"/>
          <w:rFonts w:hint="eastAsia" w:ascii="仿宋_GB2312" w:hAnsi="仿宋_GB2312" w:eastAsia="仿宋_GB2312" w:cs="仿宋_GB2312"/>
          <w:b w:val="0"/>
          <w:bCs/>
          <w:sz w:val="32"/>
          <w:szCs w:val="32"/>
          <w:shd w:val="clear" w:color="auto" w:fill="FFFFFF"/>
          <w:lang w:val="en-US" w:eastAsia="zh-CN"/>
        </w:rPr>
        <w:t>76.4万元，执行数51.96万元其中;《红原县扶贫志》预算数38万元2024年执行预算数的40%15.12万元</w:t>
      </w:r>
    </w:p>
    <w:p w14:paraId="16916F4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eastAsia="zh-CN"/>
        </w:rPr>
        <w:t>（五）</w:t>
      </w:r>
      <w:r>
        <w:rPr>
          <w:rFonts w:hint="eastAsia" w:ascii="仿宋_GB2312" w:hAnsi="仿宋_GB2312" w:eastAsia="仿宋_GB2312" w:cs="仿宋_GB2312"/>
          <w:b/>
          <w:bCs/>
          <w:color w:val="000000"/>
          <w:kern w:val="0"/>
          <w:sz w:val="32"/>
          <w:szCs w:val="32"/>
          <w:highlight w:val="none"/>
          <w:shd w:val="clear" w:color="auto" w:fill="FFFFFF"/>
          <w:lang w:val="zh-CN" w:eastAsia="zh-CN"/>
        </w:rPr>
        <w:t>重点领域</w:t>
      </w:r>
      <w:r>
        <w:rPr>
          <w:rFonts w:hint="eastAsia" w:ascii="仿宋_GB2312" w:hAnsi="仿宋_GB2312" w:eastAsia="仿宋_GB2312" w:cs="仿宋_GB2312"/>
          <w:b/>
          <w:bCs/>
          <w:color w:val="000000"/>
          <w:kern w:val="0"/>
          <w:sz w:val="32"/>
          <w:szCs w:val="32"/>
          <w:highlight w:val="none"/>
          <w:shd w:val="clear" w:color="auto" w:fill="FFFFFF"/>
          <w:lang w:val="zh-CN"/>
        </w:rPr>
        <w:t>绩效分析</w:t>
      </w:r>
      <w:r>
        <w:rPr>
          <w:rFonts w:hint="eastAsia" w:ascii="仿宋_GB2312" w:hAnsi="仿宋_GB2312" w:eastAsia="仿宋_GB2312" w:cs="仿宋_GB2312"/>
          <w:b/>
          <w:bCs/>
          <w:color w:val="000000"/>
          <w:kern w:val="0"/>
          <w:sz w:val="32"/>
          <w:szCs w:val="32"/>
          <w:highlight w:val="none"/>
          <w:shd w:val="clear" w:color="auto" w:fill="FFFFFF"/>
          <w:lang w:val="zh-CN" w:eastAsia="zh-CN"/>
        </w:rPr>
        <w:t>。</w:t>
      </w:r>
    </w:p>
    <w:p w14:paraId="279B75C3">
      <w:pPr>
        <w:pStyle w:val="13"/>
        <w:numPr>
          <w:ilvl w:val="0"/>
          <w:numId w:val="0"/>
        </w:numPr>
        <w:ind w:leftChars="20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5E39B2BE">
      <w:pPr>
        <w:pStyle w:val="13"/>
        <w:numPr>
          <w:ilvl w:val="0"/>
          <w:numId w:val="0"/>
        </w:numPr>
        <w:ind w:firstLine="320" w:firstLineChars="100"/>
        <w:rPr>
          <w:rFonts w:hint="eastAsia" w:ascii="黑体" w:hAnsi="黑体" w:eastAsia="黑体" w:cs="黑体"/>
          <w:b w:val="0"/>
          <w:bCs w:val="0"/>
          <w:color w:val="000000"/>
          <w:kern w:val="0"/>
          <w:sz w:val="32"/>
          <w:szCs w:val="32"/>
          <w:highlight w:val="none"/>
          <w:shd w:val="clear" w:color="auto" w:fill="FFFFFF"/>
          <w:lang w:eastAsia="zh-CN"/>
        </w:rPr>
      </w:pPr>
    </w:p>
    <w:p w14:paraId="1566F7B6">
      <w:pPr>
        <w:pStyle w:val="13"/>
        <w:numPr>
          <w:ilvl w:val="0"/>
          <w:numId w:val="0"/>
        </w:numPr>
        <w:ind w:firstLine="320" w:firstLineChars="100"/>
        <w:rPr>
          <w:rFonts w:hint="eastAsia" w:ascii="黑体" w:hAnsi="黑体" w:eastAsia="黑体" w:cs="黑体"/>
          <w:b w:val="0"/>
          <w:bCs w:val="0"/>
          <w:color w:val="000000"/>
          <w:kern w:val="0"/>
          <w:sz w:val="32"/>
          <w:szCs w:val="32"/>
          <w:highlight w:val="none"/>
          <w:shd w:val="clear" w:color="auto" w:fill="FFFFFF"/>
          <w:lang w:eastAsia="zh-CN"/>
        </w:rPr>
      </w:pPr>
    </w:p>
    <w:p w14:paraId="112DDEA6">
      <w:pPr>
        <w:pStyle w:val="13"/>
        <w:numPr>
          <w:ilvl w:val="0"/>
          <w:numId w:val="0"/>
        </w:numPr>
        <w:ind w:firstLine="320" w:firstLineChars="100"/>
        <w:rPr>
          <w:rFonts w:hint="eastAsia" w:ascii="黑体" w:hAnsi="黑体" w:eastAsia="黑体" w:cs="黑体"/>
          <w:b w:val="0"/>
          <w:bCs w:val="0"/>
          <w:color w:val="000000"/>
          <w:kern w:val="0"/>
          <w:sz w:val="32"/>
          <w:szCs w:val="32"/>
          <w:highlight w:val="none"/>
          <w:shd w:val="clear" w:color="auto" w:fill="FFFFFF"/>
        </w:rPr>
      </w:pPr>
      <w:r>
        <w:rPr>
          <w:rFonts w:hint="eastAsia" w:ascii="黑体" w:hAnsi="黑体" w:eastAsia="黑体" w:cs="黑体"/>
          <w:b w:val="0"/>
          <w:bCs w:val="0"/>
          <w:color w:val="000000"/>
          <w:kern w:val="0"/>
          <w:sz w:val="32"/>
          <w:szCs w:val="32"/>
          <w:highlight w:val="none"/>
          <w:shd w:val="clear" w:color="auto" w:fill="FFFFFF"/>
          <w:lang w:eastAsia="zh-CN"/>
        </w:rPr>
        <w:t>五、</w:t>
      </w:r>
      <w:r>
        <w:rPr>
          <w:rFonts w:hint="eastAsia" w:ascii="黑体" w:hAnsi="黑体" w:eastAsia="黑体" w:cs="黑体"/>
          <w:b w:val="0"/>
          <w:bCs w:val="0"/>
          <w:color w:val="000000"/>
          <w:kern w:val="0"/>
          <w:sz w:val="32"/>
          <w:szCs w:val="32"/>
          <w:highlight w:val="none"/>
          <w:shd w:val="clear" w:color="auto" w:fill="FFFFFF"/>
        </w:rPr>
        <w:t>评价结论及建议</w:t>
      </w:r>
    </w:p>
    <w:p w14:paraId="316EA4CD">
      <w:pPr>
        <w:pStyle w:val="13"/>
        <w:numPr>
          <w:ilvl w:val="0"/>
          <w:numId w:val="0"/>
        </w:numPr>
        <w:ind w:firstLine="321" w:firstLineChars="10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hAnsi="仿宋_GB2312" w:eastAsia="仿宋_GB2312" w:cs="仿宋_GB2312"/>
          <w:b/>
          <w:bCs/>
          <w:color w:val="000000"/>
          <w:kern w:val="0"/>
          <w:sz w:val="32"/>
          <w:szCs w:val="32"/>
          <w:highlight w:val="none"/>
          <w:shd w:val="clear" w:color="auto" w:fill="FFFFFF"/>
          <w:lang w:val="en-US" w:eastAsia="zh-CN"/>
        </w:rPr>
        <w:t>(一)</w:t>
      </w:r>
      <w:r>
        <w:rPr>
          <w:rFonts w:hint="eastAsia" w:ascii="仿宋_GB2312" w:hAnsi="仿宋_GB2312" w:eastAsia="仿宋_GB2312" w:cs="仿宋_GB2312"/>
          <w:b/>
          <w:bCs/>
          <w:color w:val="000000"/>
          <w:kern w:val="0"/>
          <w:sz w:val="32"/>
          <w:szCs w:val="32"/>
          <w:highlight w:val="none"/>
          <w:shd w:val="clear" w:color="auto" w:fill="FFFFFF"/>
          <w:lang w:val="zh-CN"/>
        </w:rPr>
        <w:t>评价结论。</w:t>
      </w:r>
    </w:p>
    <w:p w14:paraId="038A42E9">
      <w:pPr>
        <w:pStyle w:val="13"/>
        <w:numPr>
          <w:ilvl w:val="0"/>
          <w:numId w:val="0"/>
        </w:numPr>
        <w:ind w:firstLine="320" w:firstLineChars="1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根据《202</w:t>
      </w: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年红原县部门支出绩效评价指标体系》评分得分</w:t>
      </w:r>
      <w:r>
        <w:rPr>
          <w:rFonts w:hint="eastAsia" w:ascii="仿宋_GB2312" w:hAnsi="仿宋_GB2312" w:eastAsia="仿宋_GB2312" w:cs="仿宋_GB2312"/>
          <w:color w:val="000000"/>
          <w:kern w:val="0"/>
          <w:sz w:val="32"/>
          <w:szCs w:val="32"/>
          <w:lang w:val="en-US" w:eastAsia="zh-CN"/>
        </w:rPr>
        <w:t>93.5</w:t>
      </w:r>
      <w:r>
        <w:rPr>
          <w:rFonts w:hint="eastAsia" w:ascii="仿宋_GB2312" w:hAnsi="仿宋_GB2312" w:eastAsia="仿宋_GB2312" w:cs="仿宋_GB2312"/>
          <w:color w:val="000000"/>
          <w:kern w:val="0"/>
          <w:sz w:val="32"/>
          <w:szCs w:val="32"/>
          <w:lang w:val="zh-CN"/>
        </w:rPr>
        <w:t>分，部门整体支出绩效为“好”。</w:t>
      </w:r>
    </w:p>
    <w:p w14:paraId="29D61BB0">
      <w:pPr>
        <w:pStyle w:val="13"/>
        <w:numPr>
          <w:ilvl w:val="0"/>
          <w:numId w:val="0"/>
        </w:numPr>
        <w:ind w:firstLine="321" w:firstLineChars="100"/>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hAnsi="仿宋_GB2312" w:eastAsia="仿宋_GB2312" w:cs="仿宋_GB2312"/>
          <w:b/>
          <w:bCs/>
          <w:color w:val="000000"/>
          <w:kern w:val="0"/>
          <w:sz w:val="32"/>
          <w:szCs w:val="32"/>
          <w:highlight w:val="none"/>
          <w:shd w:val="clear" w:color="auto" w:fill="FFFFFF"/>
          <w:lang w:val="zh-CN"/>
        </w:rPr>
        <w:t>（二）</w:t>
      </w:r>
      <w:r>
        <w:rPr>
          <w:rFonts w:hint="eastAsia" w:ascii="仿宋_GB2312" w:hAnsi="仿宋_GB2312" w:eastAsia="仿宋_GB2312" w:cs="仿宋_GB2312"/>
          <w:b/>
          <w:bCs/>
          <w:color w:val="000000"/>
          <w:kern w:val="0"/>
          <w:sz w:val="32"/>
          <w:szCs w:val="32"/>
          <w:highlight w:val="none"/>
          <w:shd w:val="clear" w:color="auto" w:fill="FFFFFF"/>
          <w:lang w:val="zh-CN"/>
        </w:rPr>
        <w:t>存在问题。</w:t>
      </w:r>
    </w:p>
    <w:p w14:paraId="4E4F4F58">
      <w:pPr>
        <w:pStyle w:val="13"/>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14:paraId="2132E4DD">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eastAsia="zh-CN"/>
        </w:rPr>
        <w:t>（三）改进建议。</w:t>
      </w:r>
      <w:bookmarkStart w:id="61" w:name="_Hlk110546638"/>
    </w:p>
    <w:bookmarkEnd w:id="61"/>
    <w:p w14:paraId="17D11438">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firstLine="640" w:firstLineChars="200"/>
        <w:jc w:val="left"/>
        <w:textAlignment w:val="auto"/>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加强会计工作的事前、事中、事后的监督，以确保会计的延续性，建立可持续机制，提高工作人员对支出的合理、合法使用意识，做到每笔支出有据可查、有法可依。</w:t>
      </w:r>
    </w:p>
    <w:p w14:paraId="59E5476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p>
    <w:p w14:paraId="4FCAF3CC">
      <w:pPr>
        <w:keepNext w:val="0"/>
        <w:keepLines w:val="0"/>
        <w:pageBreakBefore w:val="0"/>
        <w:kinsoku/>
        <w:wordWrap/>
        <w:overflowPunct/>
        <w:topLinePunct w:val="0"/>
        <w:autoSpaceDE/>
        <w:autoSpaceDN/>
        <w:bidi w:val="0"/>
        <w:spacing w:line="578" w:lineRule="exact"/>
        <w:contextualSpacing/>
        <w:textAlignment w:val="auto"/>
        <w:outlineLvl w:val="9"/>
        <w:rPr>
          <w:rFonts w:hint="eastAsia" w:ascii="仿宋_GB2312" w:hAnsi="仿宋_GB2312" w:eastAsia="仿宋_GB2312" w:cs="仿宋_GB2312"/>
          <w:sz w:val="32"/>
          <w:szCs w:val="32"/>
          <w:highlight w:val="none"/>
          <w:lang w:val="en-US" w:eastAsia="zh-CN"/>
        </w:rPr>
      </w:pPr>
    </w:p>
    <w:p w14:paraId="1D4B123E">
      <w:pPr>
        <w:spacing w:line="600" w:lineRule="exact"/>
        <w:ind w:firstLine="2640" w:firstLineChars="600"/>
        <w:jc w:val="both"/>
        <w:outlineLvl w:val="0"/>
        <w:rPr>
          <w:rFonts w:hint="eastAsia" w:ascii="黑体" w:hAnsi="黑体" w:eastAsia="黑体"/>
          <w:sz w:val="44"/>
          <w:szCs w:val="44"/>
        </w:rPr>
      </w:pPr>
    </w:p>
    <w:p w14:paraId="5A2B7673">
      <w:pPr>
        <w:spacing w:line="600" w:lineRule="exact"/>
        <w:ind w:firstLine="2640" w:firstLineChars="600"/>
        <w:jc w:val="both"/>
        <w:outlineLvl w:val="0"/>
        <w:rPr>
          <w:rFonts w:hint="eastAsia" w:ascii="黑体" w:hAnsi="黑体" w:eastAsia="黑体"/>
          <w:sz w:val="44"/>
          <w:szCs w:val="44"/>
        </w:rPr>
      </w:pPr>
    </w:p>
    <w:p w14:paraId="07D8EE72">
      <w:pPr>
        <w:spacing w:line="600" w:lineRule="exact"/>
        <w:ind w:firstLine="2640" w:firstLineChars="600"/>
        <w:jc w:val="both"/>
        <w:outlineLvl w:val="0"/>
        <w:rPr>
          <w:rFonts w:hint="eastAsia" w:ascii="黑体" w:hAnsi="黑体" w:eastAsia="黑体"/>
          <w:sz w:val="44"/>
          <w:szCs w:val="44"/>
        </w:rPr>
      </w:pPr>
    </w:p>
    <w:p w14:paraId="50F7B9CB">
      <w:pPr>
        <w:spacing w:line="600" w:lineRule="exact"/>
        <w:ind w:firstLine="2640" w:firstLineChars="600"/>
        <w:jc w:val="both"/>
        <w:outlineLvl w:val="0"/>
        <w:rPr>
          <w:rFonts w:hint="eastAsia" w:ascii="黑体" w:hAnsi="黑体" w:eastAsia="黑体"/>
          <w:sz w:val="44"/>
          <w:szCs w:val="44"/>
        </w:rPr>
      </w:pPr>
    </w:p>
    <w:p w14:paraId="4E229DB0">
      <w:pPr>
        <w:spacing w:line="600" w:lineRule="exact"/>
        <w:ind w:firstLine="3080" w:firstLineChars="700"/>
        <w:jc w:val="both"/>
        <w:outlineLvl w:val="0"/>
        <w:rPr>
          <w:rFonts w:ascii="仿宋" w:hAnsi="仿宋" w:eastAsia="仿宋"/>
        </w:rPr>
      </w:pPr>
      <w:r>
        <w:rPr>
          <w:rFonts w:hint="eastAsia" w:ascii="黑体" w:hAnsi="黑体" w:eastAsia="黑体"/>
          <w:sz w:val="44"/>
          <w:szCs w:val="44"/>
        </w:rPr>
        <w:t>第</w:t>
      </w:r>
      <w:r>
        <w:rPr>
          <w:rStyle w:val="30"/>
          <w:rFonts w:hint="eastAsia" w:ascii="黑体" w:hAnsi="黑体" w:eastAsia="黑体"/>
          <w:b w:val="0"/>
        </w:rPr>
        <w:t>五部分 附表</w:t>
      </w:r>
      <w:bookmarkEnd w:id="58"/>
      <w:bookmarkEnd w:id="59"/>
      <w:bookmarkStart w:id="62" w:name="_Toc15396619"/>
    </w:p>
    <w:p w14:paraId="37C28A4D">
      <w:pPr>
        <w:pStyle w:val="3"/>
        <w:rPr>
          <w:rFonts w:hint="eastAsia" w:ascii="仿宋_GB2312" w:hAnsi="仿宋_GB2312" w:eastAsia="仿宋_GB2312" w:cs="仿宋_GB2312"/>
        </w:rPr>
      </w:pPr>
      <w:r>
        <w:rPr>
          <w:rFonts w:hint="eastAsia" w:ascii="仿宋_GB2312" w:hAnsi="仿宋_GB2312" w:eastAsia="仿宋_GB2312" w:cs="仿宋_GB2312"/>
          <w:b w:val="0"/>
        </w:rPr>
        <w:t>一、收</w:t>
      </w:r>
      <w:r>
        <w:rPr>
          <w:rStyle w:val="31"/>
          <w:rFonts w:hint="eastAsia" w:ascii="仿宋_GB2312" w:hAnsi="仿宋_GB2312" w:eastAsia="仿宋_GB2312" w:cs="仿宋_GB2312"/>
          <w:b w:val="0"/>
          <w:bCs w:val="0"/>
        </w:rPr>
        <w:t>入支出决算总表</w:t>
      </w:r>
      <w:bookmarkEnd w:id="62"/>
    </w:p>
    <w:p w14:paraId="16F8A7C8">
      <w:pPr>
        <w:pStyle w:val="3"/>
        <w:rPr>
          <w:rFonts w:hint="eastAsia" w:ascii="仿宋_GB2312" w:hAnsi="仿宋_GB2312" w:eastAsia="仿宋_GB2312" w:cs="仿宋_GB2312"/>
        </w:rPr>
      </w:pPr>
      <w:bookmarkStart w:id="63" w:name="_Toc15396620"/>
      <w:r>
        <w:rPr>
          <w:rFonts w:hint="eastAsia" w:ascii="仿宋_GB2312" w:hAnsi="仿宋_GB2312" w:eastAsia="仿宋_GB2312" w:cs="仿宋_GB2312"/>
          <w:b w:val="0"/>
        </w:rPr>
        <w:t>二、收</w:t>
      </w:r>
      <w:r>
        <w:rPr>
          <w:rStyle w:val="31"/>
          <w:rFonts w:hint="eastAsia" w:ascii="仿宋_GB2312" w:hAnsi="仿宋_GB2312" w:eastAsia="仿宋_GB2312" w:cs="仿宋_GB2312"/>
          <w:b w:val="0"/>
          <w:bCs w:val="0"/>
        </w:rPr>
        <w:t>入决算表</w:t>
      </w:r>
      <w:bookmarkEnd w:id="63"/>
    </w:p>
    <w:p w14:paraId="51857653">
      <w:pPr>
        <w:pStyle w:val="3"/>
        <w:rPr>
          <w:rFonts w:hint="eastAsia" w:ascii="仿宋_GB2312" w:hAnsi="仿宋_GB2312" w:eastAsia="仿宋_GB2312" w:cs="仿宋_GB2312"/>
        </w:rPr>
      </w:pPr>
      <w:bookmarkStart w:id="64" w:name="_Toc15396621"/>
      <w:r>
        <w:rPr>
          <w:rStyle w:val="31"/>
          <w:rFonts w:hint="eastAsia" w:ascii="仿宋_GB2312" w:hAnsi="仿宋_GB2312" w:eastAsia="仿宋_GB2312" w:cs="仿宋_GB2312"/>
          <w:b w:val="0"/>
          <w:bCs w:val="0"/>
        </w:rPr>
        <w:t>三、</w:t>
      </w:r>
      <w:r>
        <w:rPr>
          <w:rFonts w:hint="eastAsia" w:ascii="仿宋_GB2312" w:hAnsi="仿宋_GB2312" w:eastAsia="仿宋_GB2312" w:cs="仿宋_GB2312"/>
          <w:b w:val="0"/>
        </w:rPr>
        <w:t>支</w:t>
      </w:r>
      <w:r>
        <w:rPr>
          <w:rStyle w:val="31"/>
          <w:rFonts w:hint="eastAsia" w:ascii="仿宋_GB2312" w:hAnsi="仿宋_GB2312" w:eastAsia="仿宋_GB2312" w:cs="仿宋_GB2312"/>
          <w:b w:val="0"/>
          <w:bCs w:val="0"/>
        </w:rPr>
        <w:t>出决算表</w:t>
      </w:r>
      <w:bookmarkEnd w:id="64"/>
    </w:p>
    <w:p w14:paraId="537986B0">
      <w:pPr>
        <w:pStyle w:val="3"/>
        <w:rPr>
          <w:rFonts w:hint="eastAsia" w:ascii="仿宋_GB2312" w:hAnsi="仿宋_GB2312" w:eastAsia="仿宋_GB2312" w:cs="仿宋_GB2312"/>
          <w:b w:val="0"/>
        </w:rPr>
      </w:pPr>
      <w:bookmarkStart w:id="65" w:name="_Toc15396622"/>
      <w:r>
        <w:rPr>
          <w:rStyle w:val="31"/>
          <w:rFonts w:hint="eastAsia" w:ascii="仿宋_GB2312" w:hAnsi="仿宋_GB2312" w:eastAsia="仿宋_GB2312" w:cs="仿宋_GB2312"/>
          <w:b w:val="0"/>
          <w:bCs w:val="0"/>
        </w:rPr>
        <w:t>四、</w:t>
      </w:r>
      <w:r>
        <w:rPr>
          <w:rFonts w:hint="eastAsia" w:ascii="仿宋_GB2312" w:hAnsi="仿宋_GB2312" w:eastAsia="仿宋_GB2312" w:cs="仿宋_GB2312"/>
          <w:b w:val="0"/>
        </w:rPr>
        <w:t>财</w:t>
      </w:r>
      <w:r>
        <w:rPr>
          <w:rStyle w:val="31"/>
          <w:rFonts w:hint="eastAsia" w:ascii="仿宋_GB2312" w:hAnsi="仿宋_GB2312" w:eastAsia="仿宋_GB2312" w:cs="仿宋_GB2312"/>
          <w:b w:val="0"/>
          <w:bCs w:val="0"/>
        </w:rPr>
        <w:t>政拨款收入支出决算总表</w:t>
      </w:r>
      <w:bookmarkEnd w:id="65"/>
    </w:p>
    <w:p w14:paraId="66A9CE1D">
      <w:pPr>
        <w:pStyle w:val="3"/>
        <w:rPr>
          <w:rStyle w:val="31"/>
          <w:rFonts w:hint="eastAsia" w:ascii="仿宋_GB2312" w:hAnsi="仿宋_GB2312" w:eastAsia="仿宋_GB2312" w:cs="仿宋_GB2312"/>
          <w:b w:val="0"/>
          <w:bCs w:val="0"/>
        </w:rPr>
      </w:pPr>
      <w:bookmarkStart w:id="66" w:name="_Toc15396623"/>
      <w:r>
        <w:rPr>
          <w:rStyle w:val="31"/>
          <w:rFonts w:hint="eastAsia" w:ascii="仿宋_GB2312" w:hAnsi="仿宋_GB2312" w:eastAsia="仿宋_GB2312" w:cs="仿宋_GB2312"/>
          <w:b w:val="0"/>
          <w:bCs w:val="0"/>
        </w:rPr>
        <w:t>五、</w:t>
      </w:r>
      <w:r>
        <w:rPr>
          <w:rFonts w:hint="eastAsia" w:ascii="仿宋_GB2312" w:hAnsi="仿宋_GB2312" w:eastAsia="仿宋_GB2312" w:cs="仿宋_GB2312"/>
          <w:b w:val="0"/>
        </w:rPr>
        <w:t>财</w:t>
      </w:r>
      <w:r>
        <w:rPr>
          <w:rStyle w:val="31"/>
          <w:rFonts w:hint="eastAsia" w:ascii="仿宋_GB2312" w:hAnsi="仿宋_GB2312" w:eastAsia="仿宋_GB2312" w:cs="仿宋_GB2312"/>
          <w:b w:val="0"/>
          <w:bCs w:val="0"/>
        </w:rPr>
        <w:t>政拨款支出决算明细表</w:t>
      </w:r>
      <w:bookmarkEnd w:id="66"/>
      <w:bookmarkStart w:id="67" w:name="_Toc15396624"/>
    </w:p>
    <w:p w14:paraId="7202508E">
      <w:pPr>
        <w:pStyle w:val="3"/>
        <w:rPr>
          <w:rFonts w:hint="eastAsia" w:ascii="仿宋_GB2312" w:hAnsi="仿宋_GB2312" w:eastAsia="仿宋_GB2312" w:cs="仿宋_GB2312"/>
        </w:rPr>
      </w:pPr>
      <w:r>
        <w:rPr>
          <w:rStyle w:val="31"/>
          <w:rFonts w:hint="eastAsia" w:ascii="仿宋_GB2312" w:hAnsi="仿宋_GB2312" w:eastAsia="仿宋_GB2312" w:cs="仿宋_GB2312"/>
          <w:b w:val="0"/>
          <w:bCs w:val="0"/>
        </w:rPr>
        <w:t>六、</w:t>
      </w:r>
      <w:r>
        <w:rPr>
          <w:rFonts w:hint="eastAsia" w:ascii="仿宋_GB2312" w:hAnsi="仿宋_GB2312" w:eastAsia="仿宋_GB2312" w:cs="仿宋_GB2312"/>
          <w:b w:val="0"/>
        </w:rPr>
        <w:t>一</w:t>
      </w:r>
      <w:r>
        <w:rPr>
          <w:rStyle w:val="31"/>
          <w:rFonts w:hint="eastAsia" w:ascii="仿宋_GB2312" w:hAnsi="仿宋_GB2312" w:eastAsia="仿宋_GB2312" w:cs="仿宋_GB2312"/>
          <w:b w:val="0"/>
          <w:bCs w:val="0"/>
        </w:rPr>
        <w:t>般公共预算财政拨款支出决算表</w:t>
      </w:r>
      <w:bookmarkEnd w:id="67"/>
    </w:p>
    <w:p w14:paraId="20F4F37F">
      <w:pPr>
        <w:pStyle w:val="3"/>
        <w:rPr>
          <w:rFonts w:hint="eastAsia" w:ascii="仿宋_GB2312" w:hAnsi="仿宋_GB2312" w:eastAsia="仿宋_GB2312" w:cs="仿宋_GB2312"/>
        </w:rPr>
      </w:pPr>
      <w:bookmarkStart w:id="68" w:name="_Toc15396625"/>
      <w:r>
        <w:rPr>
          <w:rStyle w:val="31"/>
          <w:rFonts w:hint="eastAsia" w:ascii="仿宋_GB2312" w:hAnsi="仿宋_GB2312" w:eastAsia="仿宋_GB2312" w:cs="仿宋_GB2312"/>
          <w:b w:val="0"/>
          <w:bCs w:val="0"/>
        </w:rPr>
        <w:t>七、</w:t>
      </w:r>
      <w:r>
        <w:rPr>
          <w:rFonts w:hint="eastAsia" w:ascii="仿宋_GB2312" w:hAnsi="仿宋_GB2312" w:eastAsia="仿宋_GB2312" w:cs="仿宋_GB2312"/>
          <w:b w:val="0"/>
        </w:rPr>
        <w:t>一</w:t>
      </w:r>
      <w:r>
        <w:rPr>
          <w:rStyle w:val="31"/>
          <w:rFonts w:hint="eastAsia" w:ascii="仿宋_GB2312" w:hAnsi="仿宋_GB2312" w:eastAsia="仿宋_GB2312" w:cs="仿宋_GB2312"/>
          <w:b w:val="0"/>
          <w:bCs w:val="0"/>
        </w:rPr>
        <w:t>般公共预算财政拨款支出决算明细表</w:t>
      </w:r>
      <w:bookmarkEnd w:id="68"/>
    </w:p>
    <w:p w14:paraId="0C413493">
      <w:pPr>
        <w:pStyle w:val="3"/>
        <w:rPr>
          <w:rFonts w:hint="eastAsia" w:ascii="仿宋_GB2312" w:hAnsi="仿宋_GB2312" w:eastAsia="仿宋_GB2312" w:cs="仿宋_GB2312"/>
        </w:rPr>
      </w:pPr>
      <w:bookmarkStart w:id="69" w:name="_Toc15396626"/>
      <w:r>
        <w:rPr>
          <w:rStyle w:val="31"/>
          <w:rFonts w:hint="eastAsia" w:ascii="仿宋_GB2312" w:hAnsi="仿宋_GB2312" w:eastAsia="仿宋_GB2312" w:cs="仿宋_GB2312"/>
          <w:b w:val="0"/>
          <w:bCs w:val="0"/>
        </w:rPr>
        <w:t>八、</w:t>
      </w:r>
      <w:r>
        <w:rPr>
          <w:rFonts w:hint="eastAsia" w:ascii="仿宋_GB2312" w:hAnsi="仿宋_GB2312" w:eastAsia="仿宋_GB2312" w:cs="仿宋_GB2312"/>
          <w:b w:val="0"/>
        </w:rPr>
        <w:t>一</w:t>
      </w:r>
      <w:r>
        <w:rPr>
          <w:rStyle w:val="31"/>
          <w:rFonts w:hint="eastAsia" w:ascii="仿宋_GB2312" w:hAnsi="仿宋_GB2312" w:eastAsia="仿宋_GB2312" w:cs="仿宋_GB2312"/>
          <w:b w:val="0"/>
          <w:bCs w:val="0"/>
        </w:rPr>
        <w:t>般公共预算财政拨款基本支出决算表</w:t>
      </w:r>
      <w:bookmarkEnd w:id="69"/>
    </w:p>
    <w:p w14:paraId="70C659B5">
      <w:pPr>
        <w:pStyle w:val="3"/>
        <w:rPr>
          <w:rFonts w:hint="eastAsia" w:ascii="仿宋_GB2312" w:hAnsi="仿宋_GB2312" w:eastAsia="仿宋_GB2312" w:cs="仿宋_GB2312"/>
        </w:rPr>
      </w:pPr>
      <w:bookmarkStart w:id="70" w:name="_Toc15396627"/>
      <w:r>
        <w:rPr>
          <w:rStyle w:val="31"/>
          <w:rFonts w:hint="eastAsia" w:ascii="仿宋_GB2312" w:hAnsi="仿宋_GB2312" w:eastAsia="仿宋_GB2312" w:cs="仿宋_GB2312"/>
          <w:b w:val="0"/>
          <w:bCs w:val="0"/>
        </w:rPr>
        <w:t>九、</w:t>
      </w:r>
      <w:r>
        <w:rPr>
          <w:rFonts w:hint="eastAsia" w:ascii="仿宋_GB2312" w:hAnsi="仿宋_GB2312" w:eastAsia="仿宋_GB2312" w:cs="仿宋_GB2312"/>
          <w:b w:val="0"/>
        </w:rPr>
        <w:t>一</w:t>
      </w:r>
      <w:r>
        <w:rPr>
          <w:rStyle w:val="31"/>
          <w:rFonts w:hint="eastAsia" w:ascii="仿宋_GB2312" w:hAnsi="仿宋_GB2312" w:eastAsia="仿宋_GB2312" w:cs="仿宋_GB2312"/>
          <w:b w:val="0"/>
          <w:bCs w:val="0"/>
        </w:rPr>
        <w:t>般公共预算财政拨款项目支出决算表</w:t>
      </w:r>
      <w:bookmarkEnd w:id="70"/>
    </w:p>
    <w:p w14:paraId="56EB9BAA">
      <w:pPr>
        <w:pStyle w:val="3"/>
        <w:rPr>
          <w:rFonts w:hint="eastAsia" w:ascii="仿宋_GB2312" w:hAnsi="仿宋_GB2312" w:eastAsia="仿宋_GB2312" w:cs="仿宋_GB2312"/>
        </w:rPr>
      </w:pPr>
      <w:bookmarkStart w:id="71" w:name="_Toc15396628"/>
      <w:r>
        <w:rPr>
          <w:rStyle w:val="31"/>
          <w:rFonts w:hint="eastAsia" w:ascii="仿宋_GB2312" w:hAnsi="仿宋_GB2312" w:eastAsia="仿宋_GB2312" w:cs="仿宋_GB2312"/>
          <w:b w:val="0"/>
          <w:bCs w:val="0"/>
        </w:rPr>
        <w:t>十、</w:t>
      </w:r>
      <w:bookmarkEnd w:id="71"/>
      <w:r>
        <w:rPr>
          <w:rFonts w:hint="eastAsia" w:ascii="仿宋_GB2312" w:hAnsi="仿宋_GB2312" w:eastAsia="仿宋_GB2312" w:cs="仿宋_GB2312"/>
          <w:b w:val="0"/>
        </w:rPr>
        <w:t>政</w:t>
      </w:r>
      <w:r>
        <w:rPr>
          <w:rStyle w:val="31"/>
          <w:rFonts w:hint="eastAsia" w:ascii="仿宋_GB2312" w:hAnsi="仿宋_GB2312" w:eastAsia="仿宋_GB2312" w:cs="仿宋_GB2312"/>
          <w:b w:val="0"/>
          <w:bCs w:val="0"/>
        </w:rPr>
        <w:t>府性基金预算财政拨款收入支出决算表</w:t>
      </w:r>
    </w:p>
    <w:p w14:paraId="44FB8B80">
      <w:pPr>
        <w:pStyle w:val="3"/>
        <w:rPr>
          <w:rFonts w:hint="eastAsia" w:ascii="仿宋_GB2312" w:hAnsi="仿宋_GB2312" w:eastAsia="仿宋_GB2312" w:cs="仿宋_GB2312"/>
        </w:rPr>
      </w:pPr>
      <w:bookmarkStart w:id="72" w:name="_Toc15396629"/>
      <w:r>
        <w:rPr>
          <w:rStyle w:val="31"/>
          <w:rFonts w:hint="eastAsia" w:ascii="仿宋_GB2312" w:hAnsi="仿宋_GB2312" w:eastAsia="仿宋_GB2312" w:cs="仿宋_GB2312"/>
          <w:b w:val="0"/>
          <w:bCs w:val="0"/>
        </w:rPr>
        <w:t>十一、</w:t>
      </w:r>
      <w:bookmarkEnd w:id="72"/>
      <w:r>
        <w:rPr>
          <w:rFonts w:hint="eastAsia" w:ascii="仿宋_GB2312" w:hAnsi="仿宋_GB2312" w:eastAsia="仿宋_GB2312" w:cs="仿宋_GB2312"/>
          <w:b w:val="0"/>
        </w:rPr>
        <w:t>国</w:t>
      </w:r>
      <w:r>
        <w:rPr>
          <w:rStyle w:val="31"/>
          <w:rFonts w:hint="eastAsia" w:ascii="仿宋_GB2312" w:hAnsi="仿宋_GB2312" w:eastAsia="仿宋_GB2312" w:cs="仿宋_GB2312"/>
          <w:b w:val="0"/>
          <w:bCs w:val="0"/>
        </w:rPr>
        <w:t>有资本经营预算财政拨款收入支出决算表</w:t>
      </w:r>
    </w:p>
    <w:p w14:paraId="325F0654">
      <w:pPr>
        <w:pStyle w:val="3"/>
        <w:rPr>
          <w:rFonts w:hint="eastAsia" w:ascii="仿宋_GB2312" w:hAnsi="仿宋_GB2312" w:eastAsia="仿宋_GB2312" w:cs="仿宋_GB2312"/>
        </w:rPr>
      </w:pPr>
      <w:bookmarkStart w:id="73" w:name="_Toc15396630"/>
      <w:r>
        <w:rPr>
          <w:rStyle w:val="31"/>
          <w:rFonts w:hint="eastAsia" w:ascii="仿宋_GB2312" w:hAnsi="仿宋_GB2312" w:eastAsia="仿宋_GB2312" w:cs="仿宋_GB2312"/>
          <w:b w:val="0"/>
          <w:bCs w:val="0"/>
        </w:rPr>
        <w:t>十二、</w:t>
      </w:r>
      <w:bookmarkEnd w:id="73"/>
      <w:r>
        <w:rPr>
          <w:rStyle w:val="31"/>
          <w:rFonts w:hint="eastAsia" w:ascii="仿宋_GB2312" w:hAnsi="仿宋_GB2312" w:eastAsia="仿宋_GB2312" w:cs="仿宋_GB2312"/>
          <w:b w:val="0"/>
          <w:bCs w:val="0"/>
        </w:rPr>
        <w:t>国有资本经营预算财政拨款支出决算表</w:t>
      </w:r>
    </w:p>
    <w:p w14:paraId="73962C30">
      <w:pPr>
        <w:pStyle w:val="3"/>
        <w:rPr>
          <w:rFonts w:hint="eastAsia" w:ascii="仿宋_GB2312" w:hAnsi="仿宋_GB2312" w:eastAsia="仿宋_GB2312" w:cs="仿宋_GB2312"/>
        </w:rPr>
      </w:pPr>
      <w:bookmarkStart w:id="74" w:name="_Toc15396631"/>
      <w:r>
        <w:rPr>
          <w:rStyle w:val="31"/>
          <w:rFonts w:hint="eastAsia" w:ascii="仿宋_GB2312" w:hAnsi="仿宋_GB2312" w:eastAsia="仿宋_GB2312" w:cs="仿宋_GB2312"/>
          <w:b w:val="0"/>
          <w:bCs w:val="0"/>
        </w:rPr>
        <w:t>十三、</w:t>
      </w:r>
      <w:bookmarkEnd w:id="74"/>
      <w:r>
        <w:rPr>
          <w:rStyle w:val="31"/>
          <w:rFonts w:hint="eastAsia" w:ascii="仿宋_GB2312" w:hAnsi="仿宋_GB2312" w:eastAsia="仿宋_GB2312" w:cs="仿宋_GB2312"/>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AAEBC36">
        <w:pPr>
          <w:pStyle w:val="9"/>
          <w:jc w:val="center"/>
        </w:pPr>
        <w:r>
          <w:fldChar w:fldCharType="begin"/>
        </w:r>
        <w:r>
          <w:instrText xml:space="preserve">PAGE   \* MERGEFORMAT</w:instrText>
        </w:r>
        <w:r>
          <w:fldChar w:fldCharType="separate"/>
        </w:r>
        <w:r>
          <w:rPr>
            <w:lang w:val="zh-CN"/>
          </w:rPr>
          <w:t>7</w:t>
        </w:r>
        <w:r>
          <w:fldChar w:fldCharType="end"/>
        </w:r>
      </w:p>
    </w:sdtContent>
  </w:sdt>
  <w:p w14:paraId="61B2673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AC2C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8284B"/>
    <w:multiLevelType w:val="singleLevel"/>
    <w:tmpl w:val="9188284B"/>
    <w:lvl w:ilvl="0" w:tentative="0">
      <w:start w:val="2"/>
      <w:numFmt w:val="chineseCounting"/>
      <w:suff w:val="nothing"/>
      <w:lvlText w:val="（%1）"/>
      <w:lvlJc w:val="left"/>
      <w:rPr>
        <w:rFonts w:hint="eastAsia"/>
      </w:rPr>
    </w:lvl>
  </w:abstractNum>
  <w:abstractNum w:abstractNumId="1">
    <w:nsid w:val="A9DDD41D"/>
    <w:multiLevelType w:val="singleLevel"/>
    <w:tmpl w:val="A9DDD41D"/>
    <w:lvl w:ilvl="0" w:tentative="0">
      <w:start w:val="5"/>
      <w:numFmt w:val="chineseCounting"/>
      <w:suff w:val="nothing"/>
      <w:lvlText w:val="%1、"/>
      <w:lvlJc w:val="left"/>
      <w:rPr>
        <w:rFonts w:hint="eastAsia"/>
      </w:rPr>
    </w:lvl>
  </w:abstractNum>
  <w:abstractNum w:abstractNumId="2">
    <w:nsid w:val="BEE7F043"/>
    <w:multiLevelType w:val="singleLevel"/>
    <w:tmpl w:val="BEE7F043"/>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4">
    <w:nsid w:val="06E95922"/>
    <w:multiLevelType w:val="singleLevel"/>
    <w:tmpl w:val="06E95922"/>
    <w:lvl w:ilvl="0" w:tentative="0">
      <w:start w:val="1"/>
      <w:numFmt w:val="chineseCounting"/>
      <w:suff w:val="nothing"/>
      <w:lvlText w:val="%1、"/>
      <w:lvlJc w:val="left"/>
      <w:rPr>
        <w:rFonts w:hint="eastAsia"/>
      </w:rPr>
    </w:lvl>
  </w:abstractNum>
  <w:abstractNum w:abstractNumId="5">
    <w:nsid w:val="4DD03587"/>
    <w:multiLevelType w:val="singleLevel"/>
    <w:tmpl w:val="4DD03587"/>
    <w:lvl w:ilvl="0" w:tentative="0">
      <w:start w:val="2"/>
      <w:numFmt w:val="chineseCounting"/>
      <w:suff w:val="nothing"/>
      <w:lvlText w:val="（%1）"/>
      <w:lvlJc w:val="left"/>
      <w:rPr>
        <w:rFonts w:hint="eastAsia"/>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2763"/>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A3FA3"/>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9209C"/>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D54924"/>
    <w:rsid w:val="03DC2831"/>
    <w:rsid w:val="04E8320B"/>
    <w:rsid w:val="06A86A79"/>
    <w:rsid w:val="06C70A28"/>
    <w:rsid w:val="073D6280"/>
    <w:rsid w:val="075307D2"/>
    <w:rsid w:val="081B5E94"/>
    <w:rsid w:val="08E25FED"/>
    <w:rsid w:val="0A2032A3"/>
    <w:rsid w:val="0AFC6145"/>
    <w:rsid w:val="0B8A37D8"/>
    <w:rsid w:val="0C5C598A"/>
    <w:rsid w:val="0C996031"/>
    <w:rsid w:val="0EC75D9A"/>
    <w:rsid w:val="0F2D1414"/>
    <w:rsid w:val="0F5FFB2F"/>
    <w:rsid w:val="0FFFCF60"/>
    <w:rsid w:val="10C055FF"/>
    <w:rsid w:val="118107EC"/>
    <w:rsid w:val="11DD6519"/>
    <w:rsid w:val="128D7CA5"/>
    <w:rsid w:val="145D477D"/>
    <w:rsid w:val="16BB723D"/>
    <w:rsid w:val="18015F3F"/>
    <w:rsid w:val="1BE8440E"/>
    <w:rsid w:val="1D155CEE"/>
    <w:rsid w:val="1D5514E6"/>
    <w:rsid w:val="1E333F83"/>
    <w:rsid w:val="1EB47AF8"/>
    <w:rsid w:val="1FDBBF84"/>
    <w:rsid w:val="20932A1B"/>
    <w:rsid w:val="20EC6C1F"/>
    <w:rsid w:val="20F57F95"/>
    <w:rsid w:val="234343FC"/>
    <w:rsid w:val="234465B5"/>
    <w:rsid w:val="23E85D60"/>
    <w:rsid w:val="240371BF"/>
    <w:rsid w:val="25711CC6"/>
    <w:rsid w:val="25C741E6"/>
    <w:rsid w:val="272B5D2C"/>
    <w:rsid w:val="276F80C0"/>
    <w:rsid w:val="27842671"/>
    <w:rsid w:val="27FF2A40"/>
    <w:rsid w:val="281D6B99"/>
    <w:rsid w:val="28681975"/>
    <w:rsid w:val="29FD04D3"/>
    <w:rsid w:val="2A5F56E1"/>
    <w:rsid w:val="2ABE7A3E"/>
    <w:rsid w:val="2AFF09B6"/>
    <w:rsid w:val="2CA234A8"/>
    <w:rsid w:val="2DD1348F"/>
    <w:rsid w:val="2EFA178C"/>
    <w:rsid w:val="2EFDF86C"/>
    <w:rsid w:val="2F040D46"/>
    <w:rsid w:val="2F9D17E1"/>
    <w:rsid w:val="2FDB2CCA"/>
    <w:rsid w:val="305249E7"/>
    <w:rsid w:val="30B46D73"/>
    <w:rsid w:val="319F7F4E"/>
    <w:rsid w:val="3327712D"/>
    <w:rsid w:val="344F1332"/>
    <w:rsid w:val="34EF605C"/>
    <w:rsid w:val="356A28F1"/>
    <w:rsid w:val="357C035A"/>
    <w:rsid w:val="368E000D"/>
    <w:rsid w:val="383D272C"/>
    <w:rsid w:val="38571843"/>
    <w:rsid w:val="39AE70AB"/>
    <w:rsid w:val="3A345DF9"/>
    <w:rsid w:val="3A4DCE41"/>
    <w:rsid w:val="3BCB56FA"/>
    <w:rsid w:val="3C0C0783"/>
    <w:rsid w:val="3D3E5D33"/>
    <w:rsid w:val="3D8C7E70"/>
    <w:rsid w:val="3EE7C2F4"/>
    <w:rsid w:val="3F371B56"/>
    <w:rsid w:val="3F792ED8"/>
    <w:rsid w:val="3F9C4446"/>
    <w:rsid w:val="3F9F3A96"/>
    <w:rsid w:val="3FD9743A"/>
    <w:rsid w:val="3FECA4B2"/>
    <w:rsid w:val="3FF58C48"/>
    <w:rsid w:val="40A93D31"/>
    <w:rsid w:val="41195A38"/>
    <w:rsid w:val="42FF6694"/>
    <w:rsid w:val="44BA6EFA"/>
    <w:rsid w:val="47057FD4"/>
    <w:rsid w:val="48BF60AB"/>
    <w:rsid w:val="493C27E9"/>
    <w:rsid w:val="496F39ED"/>
    <w:rsid w:val="49ED1B20"/>
    <w:rsid w:val="49FF41D3"/>
    <w:rsid w:val="4AC0123D"/>
    <w:rsid w:val="4BE068DB"/>
    <w:rsid w:val="4BF6002B"/>
    <w:rsid w:val="4BFFC6BE"/>
    <w:rsid w:val="4ECE2238"/>
    <w:rsid w:val="4FE162E5"/>
    <w:rsid w:val="51DB4B86"/>
    <w:rsid w:val="51F64DB0"/>
    <w:rsid w:val="524F31FA"/>
    <w:rsid w:val="54B4377A"/>
    <w:rsid w:val="55333C3E"/>
    <w:rsid w:val="557A0CB9"/>
    <w:rsid w:val="58950E80"/>
    <w:rsid w:val="58B0790A"/>
    <w:rsid w:val="594159E5"/>
    <w:rsid w:val="5B5E63DA"/>
    <w:rsid w:val="5B6257EE"/>
    <w:rsid w:val="5C810AAA"/>
    <w:rsid w:val="5D3879E2"/>
    <w:rsid w:val="5D3E6C45"/>
    <w:rsid w:val="5D50654D"/>
    <w:rsid w:val="5F67802D"/>
    <w:rsid w:val="5F7DC4F2"/>
    <w:rsid w:val="5FB36814"/>
    <w:rsid w:val="5FBB8E56"/>
    <w:rsid w:val="5FFB5535"/>
    <w:rsid w:val="601B4E0F"/>
    <w:rsid w:val="60D9653A"/>
    <w:rsid w:val="614826F2"/>
    <w:rsid w:val="6309209F"/>
    <w:rsid w:val="638C4391"/>
    <w:rsid w:val="63924A9C"/>
    <w:rsid w:val="64A27440"/>
    <w:rsid w:val="64CA39A1"/>
    <w:rsid w:val="64DD7F96"/>
    <w:rsid w:val="658334A5"/>
    <w:rsid w:val="69630ADE"/>
    <w:rsid w:val="6965127B"/>
    <w:rsid w:val="69BD5F13"/>
    <w:rsid w:val="69BD6A64"/>
    <w:rsid w:val="69FB0B4B"/>
    <w:rsid w:val="6BFFE1FB"/>
    <w:rsid w:val="6C4A05C8"/>
    <w:rsid w:val="6D3B1A89"/>
    <w:rsid w:val="6DB7D8A3"/>
    <w:rsid w:val="6EC78701"/>
    <w:rsid w:val="6EED1CED"/>
    <w:rsid w:val="6F7A5481"/>
    <w:rsid w:val="6F8C3B0D"/>
    <w:rsid w:val="6FFE07A9"/>
    <w:rsid w:val="70C22E4A"/>
    <w:rsid w:val="71BF4EC2"/>
    <w:rsid w:val="723269BB"/>
    <w:rsid w:val="724C4D86"/>
    <w:rsid w:val="72734D90"/>
    <w:rsid w:val="73312E34"/>
    <w:rsid w:val="73950D2D"/>
    <w:rsid w:val="73E75B71"/>
    <w:rsid w:val="7412278C"/>
    <w:rsid w:val="75DDCDA9"/>
    <w:rsid w:val="75FF44B1"/>
    <w:rsid w:val="77670518"/>
    <w:rsid w:val="777FA627"/>
    <w:rsid w:val="77DF1B5F"/>
    <w:rsid w:val="77EF2D9D"/>
    <w:rsid w:val="79E7B28D"/>
    <w:rsid w:val="7A501C30"/>
    <w:rsid w:val="7AC027B5"/>
    <w:rsid w:val="7AC80FFB"/>
    <w:rsid w:val="7ACFF0C2"/>
    <w:rsid w:val="7AFB9108"/>
    <w:rsid w:val="7B3FB379"/>
    <w:rsid w:val="7BD5340C"/>
    <w:rsid w:val="7BFB19D2"/>
    <w:rsid w:val="7BFD1750"/>
    <w:rsid w:val="7BFDAA1B"/>
    <w:rsid w:val="7CDF9A82"/>
    <w:rsid w:val="7CFFA1BD"/>
    <w:rsid w:val="7D2E3F7A"/>
    <w:rsid w:val="7D7A766D"/>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3"/>
    <w:semiHidden/>
    <w:unhideWhenUsed/>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footnote text"/>
    <w:basedOn w:val="1"/>
    <w:next w:val="13"/>
    <w:semiHidden/>
    <w:qFormat/>
    <w:uiPriority w:val="0"/>
    <w:pPr>
      <w:snapToGrid w:val="0"/>
      <w:jc w:val="left"/>
    </w:pPr>
    <w:rPr>
      <w:sz w:val="18"/>
      <w:szCs w:val="18"/>
    </w:rPr>
  </w:style>
  <w:style w:type="paragraph" w:styleId="13">
    <w:name w:val="Body Text First Indent 2"/>
    <w:basedOn w:val="6"/>
    <w:unhideWhenUsed/>
    <w:qFormat/>
    <w:uiPriority w:val="99"/>
    <w:pPr>
      <w:ind w:firstLine="420" w:firstLineChars="200"/>
    </w:pPr>
  </w:style>
  <w:style w:type="paragraph" w:styleId="14">
    <w:name w:val="table of figures"/>
    <w:basedOn w:val="1"/>
    <w:next w:val="1"/>
    <w:qFormat/>
    <w:uiPriority w:val="0"/>
    <w:pPr>
      <w:ind w:left="2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0"/>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9"/>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5"/>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2"/>
    <w:qFormat/>
    <w:uiPriority w:val="9"/>
    <w:rPr>
      <w:rFonts w:ascii="Times New Roman" w:hAnsi="Times New Roman"/>
      <w:b/>
      <w:bCs/>
      <w:kern w:val="44"/>
      <w:sz w:val="44"/>
      <w:szCs w:val="44"/>
    </w:rPr>
  </w:style>
  <w:style w:type="character" w:customStyle="1" w:styleId="31">
    <w:name w:val="标题 2 Char"/>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8"/>
    <w:semiHidden/>
    <w:qFormat/>
    <w:uiPriority w:val="99"/>
    <w:rPr>
      <w:rFonts w:ascii="Times New Roman" w:hAnsi="Times New Roman"/>
      <w:kern w:val="2"/>
      <w:sz w:val="18"/>
      <w:szCs w:val="18"/>
    </w:rPr>
  </w:style>
  <w:style w:type="character" w:customStyle="1" w:styleId="34">
    <w:name w:val="标题 3 Char"/>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manualLayout>
          <c:xMode val="edge"/>
          <c:yMode val="edge"/>
          <c:x val="0.271228061673695"/>
          <c:y val="0.00942507068803016"/>
        </c:manualLayout>
      </c:layout>
      <c:overlay val="0"/>
      <c:spPr>
        <a:noFill/>
        <a:ln>
          <a:noFill/>
        </a:ln>
        <a:effectLst/>
      </c:spPr>
    </c:title>
    <c:autoTitleDeleted val="0"/>
    <c:plotArea>
      <c:layout>
        <c:manualLayout>
          <c:layoutTarget val="inner"/>
          <c:xMode val="edge"/>
          <c:yMode val="edge"/>
          <c:x val="0.0566078762986229"/>
          <c:y val="0.153421164470888"/>
          <c:w val="0.930345494080696"/>
          <c:h val="0.638631534211645"/>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308.14</c:v>
                </c:pt>
                <c:pt idx="1">
                  <c:v>308.14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237.71</c:v>
                </c:pt>
                <c:pt idx="1">
                  <c:v>237.71</c:v>
                </c:pt>
              </c:numCache>
            </c:numRef>
          </c:val>
        </c:ser>
        <c:dLbls>
          <c:showLegendKey val="0"/>
          <c:showVal val="1"/>
          <c:showCatName val="0"/>
          <c:showSerName val="0"/>
          <c:showPercent val="0"/>
          <c:showBubbleSize val="0"/>
        </c:dLbls>
        <c:gapWidth val="246"/>
        <c:overlap val="-28"/>
        <c:axId val="278443243"/>
        <c:axId val="599774074"/>
      </c:barChart>
      <c:catAx>
        <c:axId val="27844324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9774074"/>
        <c:crosses val="autoZero"/>
        <c:auto val="1"/>
        <c:lblAlgn val="ctr"/>
        <c:lblOffset val="100"/>
        <c:noMultiLvlLbl val="0"/>
      </c:catAx>
      <c:valAx>
        <c:axId val="599774074"/>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84432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9732b1-381f-440f-a5be-3b731983672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237.71</c:v>
                </c:pt>
                <c:pt idx="1">
                  <c:v>0</c:v>
                </c:pt>
                <c:pt idx="2">
                  <c:v>0</c:v>
                </c:pt>
                <c:pt idx="3">
                  <c:v>0</c:v>
                </c:pt>
                <c:pt idx="4">
                  <c:v>0</c:v>
                </c:pt>
                <c:pt idx="5">
                  <c:v>0</c:v>
                </c:pt>
                <c:pt idx="6">
                  <c:v>0</c:v>
                </c:pt>
                <c:pt idx="7">
                  <c:v>0</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f5ed29-f6c0-4742-97c9-d9cd33fa360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c:v>
                </c:pt>
              </c:strCache>
            </c:strRef>
          </c:cat>
          <c:val>
            <c:numRef>
              <c:f>Sheet1!$B$2:$B$6</c:f>
              <c:numCache>
                <c:formatCode>General</c:formatCode>
                <c:ptCount val="5"/>
                <c:pt idx="0">
                  <c:v>185.74</c:v>
                </c:pt>
                <c:pt idx="1">
                  <c:v>51.96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1a99d63-d409-4916-bf8a-2d3c8f68e12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charset="-122"/>
                <a:ea typeface="仿宋_GB2312" panose="02010609030101010101" charset="-122"/>
              </a:rPr>
              <a:t>财政拨款收、支决算总计变动情况图</a:t>
            </a:r>
            <a:endParaRPr>
              <a:latin typeface="仿宋_GB2312" panose="02010609030101010101" charset="-122"/>
              <a:ea typeface="仿宋_GB2312" panose="02010609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 </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308.14</c:v>
                </c:pt>
                <c:pt idx="1">
                  <c:v>308.14</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237.71</c:v>
                </c:pt>
                <c:pt idx="1">
                  <c:v>237.71</c:v>
                </c:pt>
              </c:numCache>
            </c:numRef>
          </c:val>
        </c:ser>
        <c:dLbls>
          <c:showLegendKey val="0"/>
          <c:showVal val="0"/>
          <c:showCatName val="0"/>
          <c:showSerName val="0"/>
          <c:showPercent val="0"/>
          <c:showBubbleSize val="0"/>
        </c:dLbls>
        <c:gapWidth val="150"/>
        <c:overlap val="0"/>
        <c:axId val="497439630"/>
        <c:axId val="843961743"/>
      </c:barChart>
      <c:catAx>
        <c:axId val="49743963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961743"/>
        <c:crosses val="autoZero"/>
        <c:auto val="1"/>
        <c:lblAlgn val="ctr"/>
        <c:lblOffset val="100"/>
        <c:noMultiLvlLbl val="0"/>
      </c:catAx>
      <c:valAx>
        <c:axId val="843961743"/>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43963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8241f7f8-e8cd-42b4-8de8-3de901716a5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一般公共预算财政拨款支出变动情况图</a:t>
            </a:r>
            <a:endParaRPr lang="en-US" altLang="zh-CN"/>
          </a:p>
        </c:rich>
      </c:tx>
      <c:layout>
        <c:manualLayout>
          <c:xMode val="edge"/>
          <c:yMode val="edge"/>
          <c:x val="0.148217483314342"/>
          <c:y val="0.0263620386643234"/>
        </c:manualLayout>
      </c:layout>
      <c:overlay val="0"/>
      <c:spPr>
        <a:noFill/>
        <a:ln>
          <a:noFill/>
        </a:ln>
        <a:effectLst/>
      </c:spPr>
    </c:title>
    <c:autoTitleDeleted val="0"/>
    <c:plotArea>
      <c:layout>
        <c:manualLayout>
          <c:layoutTarget val="inner"/>
          <c:xMode val="edge"/>
          <c:yMode val="edge"/>
          <c:x val="0.183190148911798"/>
          <c:y val="0.172961768770152"/>
          <c:w val="0.783734249713631"/>
          <c:h val="0.518378627360663"/>
        </c:manualLayout>
      </c:layout>
      <c:barChart>
        <c:barDir val="col"/>
        <c:grouping val="clustered"/>
        <c:varyColors val="0"/>
        <c:ser>
          <c:idx val="0"/>
          <c:order val="0"/>
          <c:tx>
            <c:strRef>
              <c:f>Sheet1!$B$1</c:f>
              <c:strCache>
                <c:ptCount val="1"/>
                <c:pt idx="0">
                  <c:v>总支出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308.14</c:v>
                </c:pt>
                <c:pt idx="1">
                  <c:v>237.71</c:v>
                </c:pt>
              </c:numCache>
            </c:numRef>
          </c:val>
        </c:ser>
        <c:ser>
          <c:idx val="1"/>
          <c:order val="1"/>
          <c:tx>
            <c:strRef>
              <c:f>Sheet1!$C$1</c:f>
              <c:strCache>
                <c:ptCount val="1"/>
                <c:pt idx="0">
                  <c:v>基本支出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212.3</c:v>
                </c:pt>
                <c:pt idx="1">
                  <c:v>185.74</c:v>
                </c:pt>
              </c:numCache>
            </c:numRef>
          </c:val>
        </c:ser>
        <c:ser>
          <c:idx val="2"/>
          <c:order val="2"/>
          <c:tx>
            <c:strRef>
              <c:f>Sheet1!$D$1</c:f>
              <c:strCache>
                <c:ptCount val="1"/>
                <c:pt idx="0">
                  <c:v>项目支出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Sheet1!$D$2:$D$3</c:f>
              <c:numCache>
                <c:formatCode>General</c:formatCode>
                <c:ptCount val="2"/>
                <c:pt idx="0">
                  <c:v>95.84</c:v>
                </c:pt>
                <c:pt idx="1">
                  <c:v>51.96</c:v>
                </c:pt>
              </c:numCache>
            </c:numRef>
          </c:val>
        </c:ser>
        <c:dLbls>
          <c:showLegendKey val="0"/>
          <c:showVal val="1"/>
          <c:showCatName val="0"/>
          <c:showSerName val="0"/>
          <c:showPercent val="0"/>
          <c:showBubbleSize val="0"/>
        </c:dLbls>
        <c:gapWidth val="246"/>
        <c:overlap val="-28"/>
        <c:axId val="814798773"/>
        <c:axId val="307667175"/>
      </c:barChart>
      <c:catAx>
        <c:axId val="8147987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667175"/>
        <c:crosses val="autoZero"/>
        <c:auto val="1"/>
        <c:lblAlgn val="ctr"/>
        <c:lblOffset val="100"/>
        <c:noMultiLvlLbl val="0"/>
      </c:catAx>
      <c:valAx>
        <c:axId val="30766717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479877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3166d389-0159-4a19-a729-8ee5aebb154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188.92</c:v>
                </c:pt>
                <c:pt idx="1">
                  <c:v>25.2</c:v>
                </c:pt>
                <c:pt idx="2">
                  <c:v>10.07</c:v>
                </c:pt>
                <c:pt idx="3">
                  <c:v>13.51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8cd3109-47e5-4cc2-b408-bfa4558a854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2.61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83a727-1ad9-4436-9123-bc7183a6e0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7142</Words>
  <Characters>7767</Characters>
  <Lines>42</Lines>
  <Paragraphs>11</Paragraphs>
  <TotalTime>12</TotalTime>
  <ScaleCrop>false</ScaleCrop>
  <LinksUpToDate>false</LinksUpToDate>
  <CharactersWithSpaces>7861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2024-11-06T09:41:00Z</dcterms:created>
  <dc:creator>曹颖</dc:creator>
  <cp:lastModifiedBy>Administrator</cp:lastModifiedBy>
  <cp:lastPrinted>2024-11-19T02:13:00Z</cp:lastPrinted>
  <dcterms:modified xsi:type="dcterms:W3CDTF">2025-09-23T03:23:54Z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FD1266531E5B4161AEFBC86A84BEA42E_13</vt:lpwstr>
  </property>
  <property fmtid="{D5CDD505-2E9C-101B-9397-08002B2CF9AE}" pid="4" name="KSOTemplateDocerSaveRecord">
    <vt:lpwstr>eyJoZGlkIjoiOWQwMTg4MjA0Mjc3NWFhNzQwMTRiMjZjZmJlYTZkYmQifQ==</vt:lpwstr>
  </property>
</Properties>
</file>