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left"/>
        <w:outlineLvl w:val="0"/>
        <w:rPr>
          <w:rFonts w:ascii="方正小标宋简体" w:hAnsi="宋体" w:eastAsia="方正小标宋简体"/>
          <w:szCs w:val="21"/>
        </w:rPr>
      </w:pPr>
      <w:bookmarkStart w:id="75" w:name="_GoBack"/>
      <w:bookmarkEnd w:id="75"/>
      <w:bookmarkStart w:id="0" w:name="_Toc15306267"/>
    </w:p>
    <w:bookmarkEnd w:id="0"/>
    <w:p>
      <w:pPr>
        <w:pStyle w:val="14"/>
        <w:keepNext w:val="0"/>
        <w:keepLines w:val="0"/>
        <w:pageBreakBefore w:val="0"/>
        <w:widowControl/>
        <w:shd w:val="clear" w:fill="FFFFFF"/>
        <w:kinsoku/>
        <w:wordWrap/>
        <w:overflowPunct/>
        <w:topLinePunct w:val="0"/>
        <w:autoSpaceDE/>
        <w:autoSpaceDN/>
        <w:bidi w:val="0"/>
        <w:adjustRightInd/>
        <w:snapToGrid w:val="0"/>
        <w:spacing w:line="576" w:lineRule="exact"/>
        <w:ind w:firstLine="3080" w:firstLineChars="700"/>
        <w:jc w:val="both"/>
        <w:textAlignment w:val="auto"/>
        <w:outlineLvl w:val="0"/>
        <w:rPr>
          <w:rFonts w:hint="eastAsia" w:ascii="方正小标宋_GBK" w:hAnsi="方正小标宋_GBK" w:eastAsia="方正小标宋_GBK" w:cs="方正小标宋_GBK"/>
          <w:sz w:val="44"/>
          <w:szCs w:val="44"/>
          <w:shd w:val="clear" w:fill="FFFFFF"/>
          <w:lang w:eastAsia="zh-CN"/>
        </w:rPr>
      </w:pPr>
      <w:bookmarkStart w:id="1" w:name="_Toc12780"/>
      <w:r>
        <w:rPr>
          <w:rFonts w:hint="eastAsia" w:ascii="方正小标宋_GBK" w:hAnsi="方正小标宋_GBK" w:eastAsia="方正小标宋_GBK" w:cs="方正小标宋_GBK"/>
          <w:sz w:val="44"/>
          <w:szCs w:val="44"/>
          <w:shd w:val="clear" w:fill="FFFFFF"/>
          <w:lang w:val="en-US" w:eastAsia="zh-CN"/>
        </w:rPr>
        <w:t>2023</w:t>
      </w:r>
      <w:r>
        <w:rPr>
          <w:rFonts w:hint="eastAsia" w:ascii="方正小标宋_GBK" w:hAnsi="方正小标宋_GBK" w:eastAsia="方正小标宋_GBK" w:cs="方正小标宋_GBK"/>
          <w:sz w:val="44"/>
          <w:szCs w:val="44"/>
          <w:shd w:val="clear" w:fill="FFFFFF"/>
          <w:lang w:eastAsia="zh-CN"/>
        </w:rPr>
        <w:t>年度</w:t>
      </w:r>
      <w:bookmarkEnd w:id="1"/>
    </w:p>
    <w:p>
      <w:pPr>
        <w:pStyle w:val="14"/>
        <w:keepNext w:val="0"/>
        <w:keepLines w:val="0"/>
        <w:pageBreakBefore w:val="0"/>
        <w:widowControl/>
        <w:shd w:val="clear" w:fill="FFFFFF"/>
        <w:kinsoku/>
        <w:wordWrap/>
        <w:overflowPunct/>
        <w:topLinePunct w:val="0"/>
        <w:autoSpaceDE/>
        <w:autoSpaceDN/>
        <w:bidi w:val="0"/>
        <w:adjustRightInd/>
        <w:snapToGrid w:val="0"/>
        <w:spacing w:line="576" w:lineRule="exact"/>
        <w:jc w:val="center"/>
        <w:textAlignment w:val="auto"/>
        <w:outlineLvl w:val="0"/>
        <w:rPr>
          <w:rFonts w:hint="eastAsia" w:ascii="方正小标宋_GBK" w:hAnsi="方正小标宋_GBK" w:eastAsia="方正小标宋_GBK" w:cs="方正小标宋_GBK"/>
          <w:sz w:val="44"/>
          <w:szCs w:val="44"/>
          <w:shd w:val="clear" w:fill="FFFFFF"/>
          <w:lang w:eastAsia="zh-CN"/>
        </w:rPr>
      </w:pPr>
      <w:bookmarkStart w:id="2" w:name="_Toc41"/>
      <w:bookmarkStart w:id="3" w:name="_Toc7086"/>
      <w:r>
        <w:rPr>
          <w:rFonts w:hint="eastAsia" w:ascii="方正小标宋_GBK" w:hAnsi="方正小标宋_GBK" w:eastAsia="方正小标宋_GBK" w:cs="方正小标宋_GBK"/>
          <w:sz w:val="44"/>
          <w:szCs w:val="44"/>
          <w:shd w:val="clear" w:fill="FFFFFF"/>
          <w:lang w:eastAsia="zh-CN"/>
        </w:rPr>
        <w:t>中共阿坝州红原县党史研究和地方志</w:t>
      </w:r>
      <w:bookmarkEnd w:id="2"/>
    </w:p>
    <w:p>
      <w:pPr>
        <w:pStyle w:val="14"/>
        <w:keepNext w:val="0"/>
        <w:keepLines w:val="0"/>
        <w:pageBreakBefore w:val="0"/>
        <w:widowControl/>
        <w:shd w:val="clear" w:fill="FFFFFF"/>
        <w:kinsoku/>
        <w:wordWrap/>
        <w:overflowPunct/>
        <w:topLinePunct w:val="0"/>
        <w:autoSpaceDE/>
        <w:autoSpaceDN/>
        <w:bidi w:val="0"/>
        <w:adjustRightInd/>
        <w:snapToGrid w:val="0"/>
        <w:spacing w:line="576" w:lineRule="exact"/>
        <w:jc w:val="center"/>
        <w:textAlignment w:val="auto"/>
        <w:outlineLvl w:val="0"/>
        <w:rPr>
          <w:rFonts w:hint="eastAsia" w:ascii="方正小标宋_GBK" w:hAnsi="方正小标宋_GBK" w:eastAsia="方正小标宋_GBK" w:cs="方正小标宋_GBK"/>
          <w:sz w:val="44"/>
          <w:szCs w:val="44"/>
        </w:rPr>
      </w:pPr>
      <w:bookmarkStart w:id="4" w:name="_Toc1175"/>
      <w:r>
        <w:rPr>
          <w:rFonts w:hint="eastAsia" w:ascii="方正小标宋_GBK" w:hAnsi="方正小标宋_GBK" w:eastAsia="方正小标宋_GBK" w:cs="方正小标宋_GBK"/>
          <w:sz w:val="44"/>
          <w:szCs w:val="44"/>
          <w:shd w:val="clear" w:fill="FFFFFF"/>
          <w:lang w:eastAsia="zh-CN"/>
        </w:rPr>
        <w:t>编纂中心部门决算</w:t>
      </w:r>
      <w:bookmarkEnd w:id="3"/>
      <w:bookmarkEnd w:id="4"/>
    </w:p>
    <w:p>
      <w:pPr>
        <w:pStyle w:val="14"/>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14"/>
        <w:widowControl/>
        <w:shd w:val="clear" w:fill="FFFFFF"/>
        <w:snapToGrid w:val="0"/>
        <w:ind w:firstLine="900" w:firstLineChars="300"/>
        <w:jc w:val="both"/>
        <w:rPr>
          <w:rFonts w:hint="eastAsia" w:ascii="仿宋_GB2312" w:hAnsi="仿宋_GB2312" w:eastAsia="仿宋_GB2312" w:cs="仿宋_GB2312"/>
          <w:snapToGrid w:val="0"/>
          <w:sz w:val="30"/>
          <w:szCs w:val="30"/>
          <w:shd w:val="clear" w:fill="FFFFFF"/>
          <w:lang w:eastAsia="zh-CN"/>
        </w:rPr>
      </w:pPr>
    </w:p>
    <w:p>
      <w:pPr>
        <w:pStyle w:val="14"/>
        <w:widowControl/>
        <w:shd w:val="clear" w:fill="FFFFFF"/>
        <w:snapToGrid w:val="0"/>
        <w:ind w:firstLine="1200" w:firstLineChars="400"/>
        <w:jc w:val="both"/>
        <w:rPr>
          <w:rFonts w:hint="eastAsia" w:ascii="仿宋" w:hAnsi="仿宋" w:eastAsia="仿宋" w:cs="仿宋"/>
          <w:sz w:val="30"/>
          <w:szCs w:val="30"/>
        </w:rPr>
      </w:pPr>
      <w:r>
        <w:rPr>
          <w:rFonts w:hint="eastAsia" w:ascii="仿宋" w:hAnsi="仿宋" w:eastAsia="仿宋" w:cs="仿宋"/>
          <w:snapToGrid w:val="0"/>
          <w:sz w:val="30"/>
          <w:szCs w:val="30"/>
          <w:shd w:val="clear" w:fill="FFFFFF"/>
          <w:lang w:eastAsia="zh-CN"/>
        </w:rPr>
        <w:t>已经保密审查、内容审定，同意对外公开</w:t>
      </w:r>
    </w:p>
    <w:p>
      <w:pPr>
        <w:widowControl/>
        <w:jc w:val="center"/>
        <w:rPr>
          <w:rFonts w:hint="eastAsia" w:ascii="仿宋" w:hAnsi="仿宋" w:eastAsia="仿宋" w:cs="仿宋"/>
          <w:sz w:val="30"/>
          <w:szCs w:val="30"/>
        </w:rPr>
      </w:pPr>
    </w:p>
    <w:p>
      <w:pPr>
        <w:widowControl/>
        <w:jc w:val="center"/>
        <w:rPr>
          <w:rFonts w:hint="eastAsia" w:ascii="仿宋" w:hAnsi="仿宋" w:eastAsia="仿宋" w:cs="仿宋"/>
          <w:sz w:val="30"/>
          <w:szCs w:val="30"/>
        </w:rPr>
      </w:pPr>
    </w:p>
    <w:p>
      <w:pPr>
        <w:widowControl/>
        <w:jc w:val="center"/>
        <w:rPr>
          <w:rFonts w:hint="eastAsia" w:ascii="仿宋" w:hAnsi="仿宋" w:eastAsia="仿宋" w:cs="仿宋"/>
          <w:sz w:val="30"/>
          <w:szCs w:val="30"/>
        </w:rPr>
      </w:pPr>
    </w:p>
    <w:p>
      <w:pPr>
        <w:pStyle w:val="12"/>
        <w:ind w:firstLine="1800" w:firstLineChars="600"/>
        <w:jc w:val="both"/>
        <w:rPr>
          <w:rFonts w:hint="eastAsia" w:ascii="仿宋" w:hAnsi="仿宋" w:eastAsia="仿宋" w:cs="仿宋"/>
          <w:sz w:val="30"/>
          <w:szCs w:val="30"/>
        </w:rPr>
      </w:pPr>
      <w:r>
        <w:rPr>
          <w:rFonts w:hint="eastAsia" w:ascii="仿宋" w:hAnsi="仿宋" w:eastAsia="仿宋" w:cs="仿宋"/>
          <w:sz w:val="30"/>
          <w:szCs w:val="30"/>
        </w:rPr>
        <w:t>公开时间：202</w:t>
      </w:r>
      <w:r>
        <w:rPr>
          <w:rFonts w:hint="eastAsia" w:ascii="仿宋" w:hAnsi="仿宋" w:eastAsia="仿宋" w:cs="仿宋"/>
          <w:sz w:val="30"/>
          <w:szCs w:val="30"/>
          <w:lang w:val="en-US" w:eastAsia="zh-CN"/>
        </w:rPr>
        <w:t>4</w:t>
      </w:r>
      <w:r>
        <w:rPr>
          <w:rFonts w:hint="eastAsia" w:ascii="仿宋" w:hAnsi="仿宋" w:eastAsia="仿宋" w:cs="仿宋"/>
          <w:sz w:val="30"/>
          <w:szCs w:val="30"/>
        </w:rPr>
        <w:t>年</w:t>
      </w:r>
      <w:r>
        <w:rPr>
          <w:rFonts w:hint="eastAsia" w:ascii="仿宋" w:hAnsi="仿宋" w:eastAsia="仿宋" w:cs="仿宋"/>
          <w:sz w:val="30"/>
          <w:szCs w:val="30"/>
          <w:lang w:val="en-US" w:eastAsia="zh-CN"/>
        </w:rPr>
        <w:t>11</w:t>
      </w:r>
      <w:r>
        <w:rPr>
          <w:rFonts w:hint="eastAsia" w:ascii="仿宋" w:hAnsi="仿宋" w:eastAsia="仿宋" w:cs="仿宋"/>
          <w:sz w:val="30"/>
          <w:szCs w:val="30"/>
        </w:rPr>
        <w:t>月</w:t>
      </w:r>
      <w:r>
        <w:rPr>
          <w:rFonts w:hint="eastAsia" w:ascii="仿宋" w:hAnsi="仿宋" w:eastAsia="仿宋" w:cs="仿宋"/>
          <w:sz w:val="30"/>
          <w:szCs w:val="30"/>
          <w:lang w:val="en-US" w:eastAsia="zh-CN"/>
        </w:rPr>
        <w:t>19</w:t>
      </w:r>
      <w:r>
        <w:rPr>
          <w:rFonts w:hint="eastAsia" w:ascii="仿宋" w:hAnsi="仿宋" w:eastAsia="仿宋" w:cs="仿宋"/>
          <w:sz w:val="30"/>
          <w:szCs w:val="30"/>
        </w:rPr>
        <w:t>日</w:t>
      </w:r>
    </w:p>
    <w:p>
      <w:pPr>
        <w:widowControl/>
        <w:jc w:val="center"/>
        <w:rPr>
          <w:rFonts w:hint="eastAsia" w:ascii="黑体" w:hAnsi="黑体" w:eastAsia="黑体" w:cs="黑体"/>
          <w:b/>
          <w:bCs/>
          <w:sz w:val="32"/>
          <w:szCs w:val="32"/>
        </w:rPr>
      </w:pPr>
    </w:p>
    <w:p>
      <w:pPr>
        <w:widowControl/>
        <w:ind w:firstLine="3855" w:firstLineChars="1200"/>
        <w:jc w:val="both"/>
        <w:rPr>
          <w:rFonts w:hint="eastAsia" w:ascii="黑体" w:hAnsi="黑体" w:eastAsia="黑体" w:cs="黑体"/>
          <w:b/>
          <w:bCs/>
          <w:sz w:val="32"/>
          <w:szCs w:val="32"/>
        </w:rPr>
      </w:pPr>
    </w:p>
    <w:p>
      <w:pPr>
        <w:widowControl/>
        <w:ind w:firstLine="3855" w:firstLineChars="1200"/>
        <w:jc w:val="both"/>
        <w:rPr>
          <w:rFonts w:hint="eastAsia" w:ascii="黑体" w:hAnsi="黑体" w:eastAsia="黑体" w:cs="黑体"/>
          <w:b/>
          <w:bCs/>
          <w:sz w:val="32"/>
          <w:szCs w:val="32"/>
        </w:rPr>
      </w:pPr>
    </w:p>
    <w:p>
      <w:pPr>
        <w:widowControl/>
        <w:jc w:val="both"/>
        <w:rPr>
          <w:rFonts w:hint="eastAsia" w:ascii="方正小标宋_GBK" w:hAnsi="方正小标宋_GBK" w:eastAsia="方正小标宋_GBK" w:cs="方正小标宋_GBK"/>
          <w:b/>
          <w:bCs/>
          <w:kern w:val="44"/>
          <w:sz w:val="44"/>
          <w:szCs w:val="32"/>
          <w:lang w:val="en-US" w:eastAsia="zh-CN" w:bidi="ar-SA"/>
        </w:rPr>
      </w:pPr>
    </w:p>
    <w:p>
      <w:pPr>
        <w:adjustRightInd w:val="0"/>
        <w:snapToGrid w:val="0"/>
        <w:spacing w:line="360" w:lineRule="auto"/>
        <w:jc w:val="center"/>
        <w:outlineLvl w:val="0"/>
        <w:rPr>
          <w:rFonts w:ascii="方正小标宋简体" w:hAnsi="宋体" w:eastAsia="方正小标宋简体"/>
          <w:sz w:val="52"/>
          <w:szCs w:val="52"/>
        </w:rPr>
      </w:pPr>
    </w:p>
    <w:p>
      <w:pPr>
        <w:widowControl/>
        <w:jc w:val="both"/>
        <w:rPr>
          <w:rFonts w:ascii="黑体" w:hAnsi="黑体" w:eastAsia="黑体"/>
          <w:sz w:val="48"/>
          <w:szCs w:val="48"/>
        </w:rPr>
      </w:pPr>
      <w:r>
        <w:rPr>
          <w:rFonts w:ascii="方正小标宋简体" w:hAnsi="宋体" w:eastAsia="方正小标宋简体"/>
          <w:sz w:val="36"/>
          <w:szCs w:val="36"/>
        </w:rPr>
        <w:br w:type="page"/>
      </w:r>
    </w:p>
    <w:p>
      <w:pPr>
        <w:pStyle w:val="4"/>
        <w:pageBreakBefore w:val="0"/>
        <w:kinsoku/>
        <w:wordWrap/>
        <w:overflowPunct/>
        <w:topLinePunct w:val="0"/>
        <w:autoSpaceDE/>
        <w:autoSpaceDN/>
        <w:bidi w:val="0"/>
        <w:adjustRightInd/>
        <w:snapToGrid/>
        <w:spacing w:line="560" w:lineRule="exact"/>
        <w:ind w:right="440"/>
        <w:jc w:val="center"/>
        <w:textAlignment w:val="auto"/>
        <w:rPr>
          <w:rFonts w:hint="eastAsia" w:ascii="黑体" w:hAnsi="黑体" w:eastAsia="黑体"/>
          <w:b w:val="0"/>
        </w:rPr>
      </w:pPr>
      <w:bookmarkStart w:id="5" w:name="_Toc15377196"/>
      <w:bookmarkStart w:id="6" w:name="_Toc15396599"/>
      <w:r>
        <w:rPr>
          <w:rFonts w:hint="eastAsia" w:ascii="黑体" w:hAnsi="黑体" w:eastAsia="黑体"/>
          <w:b w:val="0"/>
          <w:lang w:val="en-US" w:eastAsia="zh-CN"/>
        </w:rPr>
        <w:t xml:space="preserve"> </w:t>
      </w:r>
      <w:r>
        <w:rPr>
          <w:rFonts w:hint="eastAsia" w:ascii="黑体" w:hAnsi="黑体" w:eastAsia="黑体"/>
          <w:b w:val="0"/>
        </w:rPr>
        <w:t>第一部分 单位概况</w:t>
      </w:r>
      <w:bookmarkEnd w:id="5"/>
      <w:bookmarkEnd w:id="6"/>
    </w:p>
    <w:p>
      <w:pPr>
        <w:pStyle w:val="5"/>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pPr>
      <w:bookmarkStart w:id="7" w:name="_Toc15396600"/>
      <w:bookmarkStart w:id="8" w:name="_Toc15377197"/>
      <w:r>
        <w:rPr>
          <w:rStyle w:val="29"/>
          <w:rFonts w:hint="eastAsia" w:ascii="黑体" w:hAnsi="黑体" w:eastAsia="黑体"/>
          <w:b w:val="0"/>
          <w:bCs w:val="0"/>
          <w:lang w:val="en-US" w:eastAsia="zh-CN"/>
        </w:rPr>
        <w:t>一</w:t>
      </w:r>
      <w:r>
        <w:rPr>
          <w:rFonts w:hint="eastAsia" w:ascii="仿宋_GB2312" w:hAnsi="仿宋_GB2312" w:eastAsia="仿宋_GB2312" w:cs="仿宋_GB2312"/>
          <w:b w:val="0"/>
          <w:bCs w:val="0"/>
          <w:color w:val="000000"/>
          <w:sz w:val="32"/>
          <w:szCs w:val="32"/>
          <w:lang w:val="en-US" w:eastAsia="zh-CN"/>
        </w:rPr>
        <w:t>、</w:t>
      </w:r>
      <w:r>
        <w:rPr>
          <w:rStyle w:val="29"/>
          <w:rFonts w:hint="eastAsia" w:ascii="黑体" w:hAnsi="黑体" w:eastAsia="黑体"/>
          <w:b w:val="0"/>
          <w:bCs w:val="0"/>
        </w:rPr>
        <w:t>主要职责</w:t>
      </w:r>
    </w:p>
    <w:p>
      <w:pPr>
        <w:pStyle w:val="5"/>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color w:val="000000"/>
          <w:sz w:val="32"/>
          <w:szCs w:val="32"/>
          <w:lang w:val="en-US" w:eastAsia="zh-CN"/>
        </w:rPr>
        <w:t>贯彻执行国家和省、州有关党史研究和地方志工作的方针、政策和法规；制定我县党史研究和地方志工作、综合年鉴的具体规划、管理办法，并组织实施。负责收集、整理党的文献、资料和文物，承担《中国共产党执政实录》组稿、总纂、审定、出版等业务。指导乡镇和县直各部门做好党史资料的收集和整理工作。负责编写我县各个历史时期的党史大事记、专题材料和党史人物传等。负责全县党史和地情资料收集、地情咨询服务。负责组织、协调，指导全县地方志和综合年鉴编修和检查、督促工，负责乡镇志业务指导和验收工作等，</w:t>
      </w:r>
      <w:r>
        <w:rPr>
          <w:rFonts w:hint="eastAsia" w:ascii="仿宋_GB2312" w:hAnsi="仿宋_GB2312" w:eastAsia="仿宋_GB2312" w:cs="仿宋_GB2312"/>
          <w:b w:val="0"/>
          <w:bCs w:val="0"/>
          <w:color w:val="000000"/>
          <w:sz w:val="32"/>
          <w:szCs w:val="32"/>
        </w:rPr>
        <w:t>同是完成县委县政府交办的其他工作</w:t>
      </w:r>
      <w:r>
        <w:rPr>
          <w:rFonts w:hint="eastAsia" w:ascii="仿宋_GB2312" w:hAnsi="仿宋_GB2312" w:eastAsia="仿宋_GB2312" w:cs="仿宋_GB2312"/>
          <w:b w:val="0"/>
          <w:bCs w:val="0"/>
          <w:sz w:val="32"/>
          <w:szCs w:val="32"/>
        </w:rPr>
        <w:t>。</w:t>
      </w:r>
    </w:p>
    <w:p>
      <w:pPr>
        <w:pStyle w:val="5"/>
        <w:pageBreakBefore w:val="0"/>
        <w:numPr>
          <w:ilvl w:val="0"/>
          <w:numId w:val="0"/>
        </w:numPr>
        <w:kinsoku/>
        <w:wordWrap/>
        <w:overflowPunct/>
        <w:topLinePunct w:val="0"/>
        <w:autoSpaceDE/>
        <w:autoSpaceDN/>
        <w:bidi w:val="0"/>
        <w:adjustRightInd/>
        <w:snapToGrid/>
        <w:spacing w:before="0" w:after="0" w:line="560" w:lineRule="exact"/>
        <w:ind w:firstLine="640" w:firstLineChars="200"/>
        <w:textAlignment w:val="auto"/>
        <w:rPr>
          <w:rFonts w:hint="eastAsia" w:ascii="黑体" w:hAnsi="黑体" w:eastAsia="黑体" w:cs="黑体"/>
          <w:b w:val="0"/>
          <w:bCs w:val="0"/>
        </w:rPr>
      </w:pPr>
      <w:r>
        <w:rPr>
          <w:rFonts w:hint="eastAsia" w:ascii="黑体" w:hAnsi="黑体" w:eastAsia="黑体" w:cs="黑体"/>
          <w:b w:val="0"/>
          <w:bCs w:val="0"/>
          <w:sz w:val="32"/>
          <w:szCs w:val="32"/>
          <w:lang w:eastAsia="zh-CN"/>
        </w:rPr>
        <w:t>二、</w:t>
      </w:r>
      <w:r>
        <w:rPr>
          <w:rFonts w:hint="eastAsia" w:ascii="黑体" w:hAnsi="黑体" w:eastAsia="黑体" w:cs="黑体"/>
          <w:b w:val="0"/>
          <w:bCs w:val="0"/>
        </w:rPr>
        <w:t>机构设置</w:t>
      </w:r>
      <w:bookmarkEnd w:id="7"/>
      <w:bookmarkEnd w:id="8"/>
    </w:p>
    <w:p>
      <w:pPr>
        <w:pStyle w:val="5"/>
        <w:pageBreakBefore w:val="0"/>
        <w:numPr>
          <w:ilvl w:val="0"/>
          <w:numId w:val="0"/>
        </w:numPr>
        <w:kinsoku/>
        <w:wordWrap/>
        <w:overflowPunct/>
        <w:topLinePunct w:val="0"/>
        <w:autoSpaceDE/>
        <w:autoSpaceDN/>
        <w:bidi w:val="0"/>
        <w:adjustRightInd/>
        <w:snapToGrid/>
        <w:spacing w:before="0" w:after="0" w:line="560" w:lineRule="exact"/>
        <w:ind w:leftChars="0" w:firstLine="640" w:firstLineChars="200"/>
        <w:textAlignment w:val="auto"/>
        <w:rPr>
          <w:rFonts w:hint="eastAsia" w:ascii="仿宋_GB2312" w:hAnsi="仿宋_GB2312" w:eastAsia="仿宋_GB2312" w:cs="仿宋_GB2312"/>
          <w:b w:val="0"/>
          <w:bCs w:val="0"/>
          <w:snapToGrid w:val="0"/>
          <w:color w:val="FF0000"/>
          <w:sz w:val="32"/>
          <w:szCs w:val="32"/>
          <w:highlight w:val="none"/>
          <w:shd w:val="clear" w:fill="FFFFFF"/>
          <w:lang w:val="en-US" w:eastAsia="zh-CN"/>
        </w:rPr>
      </w:pPr>
      <w:r>
        <w:rPr>
          <w:rFonts w:hint="eastAsia" w:ascii="仿宋_GB2312" w:hAnsi="仿宋_GB2312" w:eastAsia="仿宋_GB2312" w:cs="仿宋_GB2312"/>
          <w:b w:val="0"/>
          <w:bCs w:val="0"/>
          <w:color w:val="000000"/>
          <w:kern w:val="0"/>
          <w:sz w:val="32"/>
          <w:szCs w:val="32"/>
          <w:lang w:val="zh-CN"/>
        </w:rPr>
        <w:t>本单位为独立核算全额参公单位，内设办公室，档案股及业务指导股三个股室。</w:t>
      </w:r>
    </w:p>
    <w:p>
      <w:pPr>
        <w:pStyle w:val="4"/>
        <w:pageBreakBefore w:val="0"/>
        <w:kinsoku/>
        <w:wordWrap/>
        <w:overflowPunct/>
        <w:topLinePunct w:val="0"/>
        <w:autoSpaceDE/>
        <w:autoSpaceDN/>
        <w:bidi w:val="0"/>
        <w:spacing w:before="0" w:after="0" w:line="576" w:lineRule="exact"/>
        <w:ind w:firstLine="640" w:firstLineChars="200"/>
        <w:jc w:val="both"/>
        <w:textAlignment w:val="auto"/>
        <w:rPr>
          <w:rFonts w:hint="eastAsia" w:ascii="黑体" w:hAnsi="黑体" w:eastAsia="黑体" w:cs="黑体"/>
          <w:b w:val="0"/>
          <w:bCs w:val="0"/>
          <w:snapToGrid w:val="0"/>
          <w:sz w:val="32"/>
          <w:szCs w:val="32"/>
          <w:shd w:val="clear" w:fill="FFFFFF"/>
          <w:lang w:eastAsia="zh-CN"/>
        </w:rPr>
      </w:pPr>
      <w:bookmarkStart w:id="9" w:name="_Toc13080"/>
      <w:r>
        <w:rPr>
          <w:rFonts w:hint="eastAsia" w:ascii="黑体" w:hAnsi="黑体" w:eastAsia="黑体" w:cs="黑体"/>
          <w:b w:val="0"/>
          <w:bCs w:val="0"/>
          <w:snapToGrid w:val="0"/>
          <w:sz w:val="32"/>
          <w:szCs w:val="32"/>
          <w:shd w:val="clear" w:fill="FFFFFF"/>
          <w:lang w:val="en-US" w:eastAsia="zh-CN"/>
        </w:rPr>
        <w:t>三、2023</w:t>
      </w:r>
      <w:r>
        <w:rPr>
          <w:rFonts w:hint="eastAsia" w:ascii="黑体" w:hAnsi="黑体" w:eastAsia="黑体" w:cs="黑体"/>
          <w:b w:val="0"/>
          <w:bCs w:val="0"/>
          <w:snapToGrid w:val="0"/>
          <w:sz w:val="32"/>
          <w:szCs w:val="32"/>
          <w:shd w:val="clear" w:fill="FFFFFF"/>
          <w:lang w:eastAsia="zh-CN"/>
        </w:rPr>
        <w:t>年重点工作完成情况</w:t>
      </w:r>
      <w:bookmarkEnd w:id="9"/>
    </w:p>
    <w:p>
      <w:pPr>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ascii="仿宋" w:hAnsi="仿宋" w:eastAsia="仿宋"/>
          <w:kern w:val="0"/>
          <w:sz w:val="32"/>
          <w:szCs w:val="32"/>
        </w:rPr>
      </w:pPr>
      <w:r>
        <w:rPr>
          <w:rFonts w:hint="eastAsia" w:ascii="仿宋_GB2312" w:hAnsi="仿宋_GB2312" w:eastAsia="仿宋_GB2312" w:cs="仿宋_GB2312"/>
          <w:kern w:val="2"/>
          <w:sz w:val="32"/>
          <w:szCs w:val="32"/>
          <w:lang w:val="en-US" w:eastAsia="zh-CN" w:bidi="ar-SA"/>
        </w:rPr>
        <w:t>2023年完成了藏文版《红原县乡村文化志（文史丛书第三辑）编纂出版工</w:t>
      </w:r>
      <w:r>
        <w:rPr>
          <w:rFonts w:hint="eastAsia" w:ascii="仿宋_GB2312" w:hAnsi="仿宋_GB2312" w:eastAsia="仿宋_GB2312" w:cs="仿宋_GB2312"/>
          <w:color w:val="auto"/>
          <w:kern w:val="2"/>
          <w:sz w:val="32"/>
          <w:szCs w:val="32"/>
          <w:lang w:val="en-US" w:eastAsia="zh-CN" w:bidi="ar-SA"/>
        </w:rPr>
        <w:t>，协同相关乡镇编纂出版《邛溪镇镇志》《龙日镇镇志》《瓦切镇镇志》《麻萨村村志》《龙日坝村村志》《日干村村志》《德香村村志》，完成年初既定目标和任务。完成《红原年鉴2022》《中国共产党2022执政实录》资料收集、整理、编辑和汇编工作，</w:t>
      </w:r>
      <w:r>
        <w:rPr>
          <w:rFonts w:hint="eastAsia" w:ascii="仿宋_GB2312" w:hAnsi="仿宋_GB2312" w:eastAsia="仿宋_GB2312" w:cs="仿宋_GB2312"/>
          <w:kern w:val="2"/>
          <w:sz w:val="32"/>
          <w:szCs w:val="32"/>
          <w:lang w:val="en-US" w:eastAsia="zh-CN" w:bidi="ar-SA"/>
        </w:rPr>
        <w:t>2023年选定以《奔腾的草原》为主题开展拍摄,</w:t>
      </w:r>
      <w:r>
        <w:rPr>
          <w:rFonts w:hint="eastAsia" w:ascii="仿宋_GB2312" w:hAnsi="仿宋_GB2312" w:eastAsia="仿宋_GB2312" w:cs="仿宋_GB2312"/>
          <w:sz w:val="32"/>
          <w:szCs w:val="32"/>
          <w:lang w:val="en-US" w:eastAsia="zh-CN"/>
        </w:rPr>
        <w:t>现已完成前期选题、脚本编辑，中期视频拍摄、专家评书和后期视频剪辑等环节，12月于观众见面。并向新设立的史志阅览室赠送《红军走过的大草原--红原》《红原年鉴》《红原革命老区发展史》等具有地方特色凸显、文化底蕴深厚，可读性较强、教育意义较大的史志书籍300余册，截至目前史志阅览室乡镇覆盖面达60%。</w:t>
      </w:r>
      <w:r>
        <w:rPr>
          <w:rFonts w:ascii="仿宋" w:hAnsi="仿宋" w:eastAsia="仿宋"/>
          <w:sz w:val="32"/>
          <w:szCs w:val="32"/>
        </w:rPr>
        <w:br w:type="page"/>
      </w:r>
    </w:p>
    <w:p>
      <w:pPr>
        <w:pStyle w:val="4"/>
        <w:pageBreakBefore w:val="0"/>
        <w:widowControl w:val="0"/>
        <w:kinsoku/>
        <w:wordWrap/>
        <w:overflowPunct/>
        <w:topLinePunct w:val="0"/>
        <w:autoSpaceDE/>
        <w:autoSpaceDN/>
        <w:bidi w:val="0"/>
        <w:adjustRightInd/>
        <w:snapToGrid/>
        <w:spacing w:line="560" w:lineRule="atLeast"/>
        <w:ind w:right="440" w:firstLine="440" w:firstLineChars="100"/>
        <w:jc w:val="center"/>
        <w:textAlignment w:val="auto"/>
        <w:rPr>
          <w:rStyle w:val="28"/>
          <w:rFonts w:ascii="黑体" w:hAnsi="黑体" w:eastAsia="黑体"/>
          <w:b w:val="0"/>
          <w:bCs/>
        </w:rPr>
      </w:pPr>
      <w:bookmarkStart w:id="10" w:name="_Toc15377204"/>
      <w:bookmarkStart w:id="11" w:name="_Toc15396602"/>
      <w:r>
        <w:rPr>
          <w:rFonts w:hint="eastAsia" w:ascii="黑体" w:hAnsi="黑体" w:eastAsia="黑体"/>
          <w:b w:val="0"/>
        </w:rPr>
        <w:t>第二部分 2023年度</w:t>
      </w:r>
      <w:r>
        <w:rPr>
          <w:rStyle w:val="28"/>
          <w:rFonts w:hint="eastAsia" w:ascii="黑体" w:hAnsi="黑体" w:eastAsia="黑体"/>
          <w:b w:val="0"/>
          <w:bCs/>
        </w:rPr>
        <w:t>单位决算情况说明</w:t>
      </w:r>
      <w:bookmarkEnd w:id="10"/>
      <w:bookmarkEnd w:id="11"/>
    </w:p>
    <w:p>
      <w:pPr>
        <w:pageBreakBefore w:val="0"/>
        <w:widowControl w:val="0"/>
        <w:kinsoku/>
        <w:wordWrap/>
        <w:overflowPunct/>
        <w:topLinePunct w:val="0"/>
        <w:autoSpaceDE/>
        <w:autoSpaceDN/>
        <w:bidi w:val="0"/>
        <w:adjustRightInd/>
        <w:snapToGrid/>
        <w:spacing w:line="560" w:lineRule="atLeast"/>
        <w:textAlignment w:val="auto"/>
      </w:pPr>
    </w:p>
    <w:p>
      <w:pPr>
        <w:pStyle w:val="27"/>
        <w:pageBreakBefore w:val="0"/>
        <w:widowControl w:val="0"/>
        <w:numPr>
          <w:ilvl w:val="0"/>
          <w:numId w:val="0"/>
        </w:numPr>
        <w:kinsoku/>
        <w:wordWrap/>
        <w:overflowPunct/>
        <w:topLinePunct w:val="0"/>
        <w:autoSpaceDE/>
        <w:autoSpaceDN/>
        <w:bidi w:val="0"/>
        <w:adjustRightInd/>
        <w:snapToGrid/>
        <w:spacing w:line="560" w:lineRule="atLeast"/>
        <w:ind w:firstLine="640" w:firstLineChars="200"/>
        <w:textAlignment w:val="auto"/>
        <w:outlineLvl w:val="1"/>
        <w:rPr>
          <w:rStyle w:val="29"/>
          <w:rFonts w:ascii="黑体" w:hAnsi="黑体" w:eastAsia="黑体"/>
          <w:b w:val="0"/>
        </w:rPr>
      </w:pPr>
      <w:bookmarkStart w:id="12" w:name="_Toc15396603"/>
      <w:bookmarkStart w:id="13" w:name="_Toc15377205"/>
      <w:r>
        <w:rPr>
          <w:rFonts w:hint="eastAsia" w:ascii="黑体" w:hAnsi="黑体" w:eastAsia="黑体"/>
          <w:sz w:val="32"/>
          <w:szCs w:val="32"/>
          <w:lang w:val="en-US" w:eastAsia="zh-CN"/>
        </w:rPr>
        <w:t>一、</w:t>
      </w:r>
      <w:r>
        <w:rPr>
          <w:rFonts w:hint="eastAsia" w:ascii="黑体" w:hAnsi="黑体" w:eastAsia="黑体"/>
          <w:sz w:val="32"/>
          <w:szCs w:val="32"/>
        </w:rPr>
        <w:t>收</w:t>
      </w:r>
      <w:r>
        <w:rPr>
          <w:rStyle w:val="29"/>
          <w:rFonts w:hint="eastAsia" w:ascii="黑体" w:hAnsi="黑体" w:eastAsia="黑体"/>
          <w:b w:val="0"/>
        </w:rPr>
        <w:t>入支出决算总体情况说明</w:t>
      </w:r>
      <w:bookmarkEnd w:id="12"/>
      <w:bookmarkEnd w:id="13"/>
    </w:p>
    <w:p>
      <w:pPr>
        <w:pageBreakBefore w:val="0"/>
        <w:widowControl w:val="0"/>
        <w:kinsoku/>
        <w:wordWrap/>
        <w:overflowPunct/>
        <w:topLinePunct w:val="0"/>
        <w:autoSpaceDE/>
        <w:autoSpaceDN/>
        <w:bidi w:val="0"/>
        <w:adjustRightInd/>
        <w:snapToGrid/>
        <w:spacing w:line="560" w:lineRule="atLeast"/>
        <w:ind w:firstLine="640" w:firstLineChars="200"/>
        <w:textAlignment w:val="auto"/>
        <w:rPr>
          <w:rFonts w:hint="eastAsia" w:ascii="仿宋" w:hAnsi="仿宋" w:eastAsia="仿宋"/>
          <w:sz w:val="32"/>
          <w:szCs w:val="32"/>
        </w:rPr>
      </w:pPr>
      <w:r>
        <w:rPr>
          <w:rFonts w:hint="eastAsia" w:ascii="仿宋" w:hAnsi="仿宋" w:eastAsia="仿宋"/>
          <w:sz w:val="32"/>
          <w:szCs w:val="32"/>
        </w:rPr>
        <w:t>2023年度收、支总计均为</w:t>
      </w:r>
      <w:r>
        <w:rPr>
          <w:rFonts w:hint="eastAsia" w:ascii="仿宋" w:hAnsi="仿宋" w:eastAsia="仿宋"/>
          <w:b/>
          <w:sz w:val="32"/>
          <w:szCs w:val="32"/>
        </w:rPr>
        <w:t>308.14</w:t>
      </w:r>
      <w:r>
        <w:rPr>
          <w:rFonts w:hint="eastAsia" w:ascii="仿宋" w:hAnsi="仿宋" w:eastAsia="仿宋"/>
          <w:sz w:val="32"/>
          <w:szCs w:val="32"/>
        </w:rPr>
        <w:t>万元。与2022年度相比，收、支</w:t>
      </w:r>
      <w:r>
        <w:rPr>
          <w:rFonts w:hint="eastAsia" w:ascii="仿宋" w:hAnsi="仿宋" w:eastAsia="仿宋"/>
          <w:sz w:val="32"/>
          <w:szCs w:val="32"/>
          <w:lang w:eastAsia="zh-CN"/>
        </w:rPr>
        <w:t>增加</w:t>
      </w:r>
      <w:r>
        <w:rPr>
          <w:rFonts w:hint="eastAsia" w:ascii="仿宋" w:hAnsi="仿宋" w:eastAsia="仿宋"/>
          <w:sz w:val="32"/>
          <w:szCs w:val="32"/>
          <w:lang w:val="en-US" w:eastAsia="zh-CN"/>
        </w:rPr>
        <w:t>86.6</w:t>
      </w:r>
      <w:r>
        <w:rPr>
          <w:rFonts w:hint="eastAsia" w:ascii="仿宋" w:hAnsi="仿宋" w:eastAsia="仿宋"/>
          <w:sz w:val="32"/>
          <w:szCs w:val="32"/>
        </w:rPr>
        <w:t>万元，增长</w:t>
      </w:r>
      <w:r>
        <w:rPr>
          <w:rFonts w:hint="eastAsia" w:ascii="仿宋" w:hAnsi="仿宋" w:eastAsia="仿宋"/>
          <w:sz w:val="32"/>
          <w:szCs w:val="32"/>
          <w:lang w:val="en-US" w:eastAsia="zh-CN"/>
        </w:rPr>
        <w:t>39</w:t>
      </w:r>
      <w:r>
        <w:rPr>
          <w:rFonts w:ascii="仿宋" w:hAnsi="仿宋" w:eastAsia="仿宋"/>
          <w:sz w:val="32"/>
          <w:szCs w:val="32"/>
        </w:rPr>
        <w:t>%</w:t>
      </w:r>
      <w:r>
        <w:rPr>
          <w:rFonts w:hint="eastAsia" w:ascii="仿宋" w:hAnsi="仿宋" w:eastAsia="仿宋"/>
          <w:sz w:val="32"/>
          <w:szCs w:val="32"/>
        </w:rPr>
        <w:t>。主要变动原因</w:t>
      </w:r>
      <w:r>
        <w:rPr>
          <w:rFonts w:hint="eastAsia" w:ascii="仿宋" w:hAnsi="仿宋" w:eastAsia="仿宋"/>
          <w:sz w:val="32"/>
          <w:szCs w:val="32"/>
          <w:lang w:eastAsia="zh-CN"/>
        </w:rPr>
        <w:t>项目增加</w:t>
      </w:r>
      <w:r>
        <w:rPr>
          <w:rFonts w:hint="eastAsia" w:ascii="仿宋" w:hAnsi="仿宋" w:eastAsia="仿宋"/>
          <w:sz w:val="32"/>
          <w:szCs w:val="32"/>
        </w:rPr>
        <w:t>。</w:t>
      </w:r>
    </w:p>
    <w:p>
      <w:pPr>
        <w:pStyle w:val="2"/>
        <w:rPr>
          <w:rFonts w:hint="eastAsia" w:ascii="仿宋" w:hAnsi="仿宋" w:eastAsia="仿宋"/>
          <w:sz w:val="32"/>
          <w:szCs w:val="32"/>
        </w:rPr>
      </w:pPr>
      <w:r>
        <w:rPr>
          <w:rFonts w:hint="eastAsia" w:eastAsiaTheme="minorEastAsia"/>
          <w:lang w:eastAsia="zh-CN"/>
        </w:rPr>
        <w:drawing>
          <wp:inline distT="0" distB="0" distL="114300" distR="114300">
            <wp:extent cx="3841750" cy="2294255"/>
            <wp:effectExtent l="4445" t="5080" r="20955" b="5715"/>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320" w:firstLineChars="100"/>
        <w:textAlignment w:val="auto"/>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pStyle w:val="27"/>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outlineLvl w:val="1"/>
        <w:rPr>
          <w:rStyle w:val="29"/>
          <w:rFonts w:ascii="黑体" w:hAnsi="黑体" w:eastAsia="黑体"/>
          <w:b w:val="0"/>
        </w:rPr>
      </w:pPr>
      <w:bookmarkStart w:id="14" w:name="_Toc15377206"/>
      <w:bookmarkStart w:id="15" w:name="_Toc15396604"/>
      <w:r>
        <w:rPr>
          <w:rFonts w:hint="eastAsia" w:ascii="黑体" w:hAnsi="黑体" w:eastAsia="黑体"/>
          <w:sz w:val="32"/>
          <w:szCs w:val="32"/>
          <w:lang w:val="en-US" w:eastAsia="zh-CN"/>
        </w:rPr>
        <w:t>二、</w:t>
      </w:r>
      <w:r>
        <w:rPr>
          <w:rFonts w:hint="eastAsia" w:ascii="黑体" w:hAnsi="黑体" w:eastAsia="黑体"/>
          <w:sz w:val="32"/>
          <w:szCs w:val="32"/>
        </w:rPr>
        <w:t>收</w:t>
      </w:r>
      <w:r>
        <w:rPr>
          <w:rStyle w:val="29"/>
          <w:rFonts w:hint="eastAsia" w:ascii="黑体" w:hAnsi="黑体" w:eastAsia="黑体"/>
          <w:b w:val="0"/>
        </w:rPr>
        <w:t>入决算情况说明</w:t>
      </w:r>
      <w:bookmarkEnd w:id="14"/>
      <w:bookmarkEnd w:id="1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ascii="仿宋" w:hAnsi="仿宋" w:eastAsia="仿宋"/>
          <w:sz w:val="32"/>
          <w:szCs w:val="32"/>
        </w:rPr>
      </w:pPr>
      <w:r>
        <w:rPr>
          <w:rFonts w:hint="eastAsia" w:ascii="仿宋" w:hAnsi="仿宋" w:eastAsia="仿宋"/>
          <w:sz w:val="32"/>
          <w:szCs w:val="32"/>
        </w:rPr>
        <w:t>2023年度本年收入合计</w:t>
      </w:r>
      <w:r>
        <w:rPr>
          <w:rFonts w:ascii="仿宋" w:hAnsi="仿宋" w:eastAsia="仿宋"/>
          <w:b/>
          <w:sz w:val="32"/>
          <w:szCs w:val="32"/>
        </w:rPr>
        <w:t>308.14</w:t>
      </w:r>
      <w:r>
        <w:rPr>
          <w:rFonts w:hint="eastAsia" w:ascii="仿宋" w:hAnsi="仿宋" w:eastAsia="仿宋"/>
          <w:sz w:val="32"/>
          <w:szCs w:val="32"/>
        </w:rPr>
        <w:t>万元，其中：一般公共预算财政拨款收入</w:t>
      </w:r>
      <w:r>
        <w:rPr>
          <w:rFonts w:ascii="仿宋" w:hAnsi="仿宋" w:eastAsia="仿宋"/>
          <w:b/>
          <w:sz w:val="32"/>
          <w:szCs w:val="32"/>
        </w:rPr>
        <w:t>308.14</w:t>
      </w:r>
      <w:r>
        <w:rPr>
          <w:rFonts w:hint="eastAsia" w:ascii="仿宋" w:hAnsi="仿宋" w:eastAsia="仿宋"/>
          <w:sz w:val="32"/>
          <w:szCs w:val="32"/>
        </w:rPr>
        <w:t>万元，占</w:t>
      </w:r>
      <w:r>
        <w:rPr>
          <w:rFonts w:ascii="仿宋" w:hAnsi="仿宋" w:eastAsia="仿宋"/>
          <w:b/>
          <w:sz w:val="32"/>
          <w:szCs w:val="32"/>
        </w:rPr>
        <w:t>100%</w:t>
      </w:r>
      <w:r>
        <w:rPr>
          <w:rFonts w:hint="eastAsia" w:ascii="仿宋" w:hAnsi="仿宋" w:eastAsia="仿宋"/>
          <w:sz w:val="32"/>
          <w:szCs w:val="32"/>
        </w:rPr>
        <w:t>；政府性基金预算财政拨款收入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；上级补助收入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sz w:val="32"/>
          <w:szCs w:val="32"/>
        </w:rPr>
        <w:t>0%</w:t>
      </w:r>
      <w:r>
        <w:rPr>
          <w:rFonts w:hint="eastAsia" w:ascii="仿宋" w:hAnsi="仿宋" w:eastAsia="仿宋"/>
          <w:sz w:val="32"/>
          <w:szCs w:val="32"/>
        </w:rPr>
        <w:t>；事业收入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；附属单位上缴收入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；其他收入</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ascii="仿宋" w:hAnsi="仿宋" w:eastAsia="仿宋"/>
          <w:sz w:val="32"/>
          <w:szCs w:val="32"/>
        </w:rPr>
      </w:pPr>
      <w:r>
        <w:rPr>
          <w:rFonts w:hint="eastAsia" w:ascii="仿宋" w:hAnsi="仿宋" w:eastAsia="仿宋"/>
          <w:b/>
          <w:sz w:val="32"/>
          <w:szCs w:val="32"/>
        </w:rPr>
        <w:t>（注：数据来源于财决</w:t>
      </w:r>
      <w:r>
        <w:rPr>
          <w:rFonts w:ascii="仿宋" w:hAnsi="仿宋" w:eastAsia="仿宋"/>
          <w:b/>
          <w:sz w:val="32"/>
          <w:szCs w:val="32"/>
        </w:rPr>
        <w:t>01表</w:t>
      </w:r>
      <w:r>
        <w:rPr>
          <w:rFonts w:hint="eastAsia" w:ascii="仿宋" w:hAnsi="仿宋" w:eastAsia="仿宋"/>
          <w:b/>
          <w:sz w:val="32"/>
          <w:szCs w:val="32"/>
        </w:rPr>
        <w:t>，仅罗列本单位涉及的收入。</w:t>
      </w:r>
      <w:r>
        <w:rPr>
          <w:rFonts w:ascii="仿宋" w:hAnsi="仿宋" w:eastAsia="仿宋"/>
          <w:b/>
          <w:sz w:val="32"/>
          <w:szCs w:val="32"/>
        </w:rPr>
        <w:t>）</w:t>
      </w:r>
    </w:p>
    <w:p>
      <w:pPr>
        <w:pStyle w:val="2"/>
        <w:rPr>
          <w:rFonts w:ascii="仿宋" w:hAnsi="仿宋" w:eastAsia="仿宋"/>
          <w:sz w:val="32"/>
          <w:szCs w:val="32"/>
        </w:rPr>
      </w:pPr>
      <w:r>
        <w:rPr>
          <w:rFonts w:hint="eastAsia" w:eastAsiaTheme="minorEastAsia"/>
          <w:lang w:eastAsia="zh-CN"/>
        </w:rPr>
        <w:drawing>
          <wp:inline distT="0" distB="0" distL="114300" distR="114300">
            <wp:extent cx="3972560" cy="1987550"/>
            <wp:effectExtent l="4445" t="4445" r="23495" b="825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600" w:lineRule="exact"/>
        <w:ind w:firstLine="1280" w:firstLineChars="400"/>
        <w:rPr>
          <w:rFonts w:hint="eastAsia" w:ascii="仿宋" w:hAnsi="仿宋" w:eastAsia="仿宋"/>
          <w:sz w:val="32"/>
          <w:szCs w:val="32"/>
        </w:rPr>
      </w:pPr>
      <w:r>
        <w:rPr>
          <w:rFonts w:hint="eastAsia" w:ascii="仿宋" w:hAnsi="仿宋" w:eastAsia="仿宋"/>
          <w:sz w:val="32"/>
          <w:szCs w:val="32"/>
        </w:rPr>
        <w:t>（图2：收入决算结构图）（饼状图）</w:t>
      </w:r>
      <w:bookmarkStart w:id="16" w:name="_Toc15377207"/>
      <w:bookmarkStart w:id="17" w:name="_Toc1539660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Style w:val="29"/>
          <w:rFonts w:ascii="黑体" w:hAnsi="黑体" w:eastAsia="黑体"/>
          <w:b w:val="0"/>
        </w:rPr>
      </w:pPr>
      <w:r>
        <w:rPr>
          <w:rFonts w:hint="eastAsia" w:ascii="黑体" w:hAnsi="黑体" w:eastAsia="黑体"/>
          <w:sz w:val="32"/>
          <w:szCs w:val="32"/>
          <w:lang w:val="en-US" w:eastAsia="zh-CN"/>
        </w:rPr>
        <w:t>三、</w:t>
      </w:r>
      <w:r>
        <w:rPr>
          <w:rFonts w:hint="eastAsia" w:ascii="黑体" w:hAnsi="黑体" w:eastAsia="黑体"/>
          <w:sz w:val="32"/>
          <w:szCs w:val="32"/>
        </w:rPr>
        <w:t>支</w:t>
      </w:r>
      <w:r>
        <w:rPr>
          <w:rStyle w:val="29"/>
          <w:rFonts w:hint="eastAsia" w:ascii="黑体" w:hAnsi="黑体" w:eastAsia="黑体"/>
          <w:b w:val="0"/>
        </w:rPr>
        <w:t>出决算情况说明</w:t>
      </w:r>
      <w:bookmarkEnd w:id="16"/>
      <w:bookmarkEnd w:id="1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Fonts w:ascii="仿宋" w:hAnsi="仿宋" w:eastAsia="仿宋"/>
          <w:sz w:val="32"/>
          <w:szCs w:val="32"/>
        </w:rPr>
      </w:pPr>
      <w:r>
        <w:rPr>
          <w:rFonts w:hint="eastAsia" w:ascii="仿宋" w:hAnsi="仿宋" w:eastAsia="仿宋"/>
          <w:sz w:val="32"/>
          <w:szCs w:val="32"/>
        </w:rPr>
        <w:t>2023年度本年支出合计</w:t>
      </w:r>
      <w:r>
        <w:rPr>
          <w:rFonts w:ascii="仿宋" w:hAnsi="仿宋" w:eastAsia="仿宋"/>
          <w:b/>
          <w:sz w:val="32"/>
          <w:szCs w:val="32"/>
        </w:rPr>
        <w:t>308.14</w:t>
      </w:r>
      <w:r>
        <w:rPr>
          <w:rFonts w:hint="eastAsia" w:ascii="仿宋" w:hAnsi="仿宋" w:eastAsia="仿宋"/>
          <w:sz w:val="32"/>
          <w:szCs w:val="32"/>
        </w:rPr>
        <w:t>万元，其中：基本支出</w:t>
      </w:r>
      <w:r>
        <w:rPr>
          <w:rFonts w:ascii="仿宋" w:hAnsi="仿宋" w:eastAsia="仿宋"/>
          <w:b/>
          <w:sz w:val="32"/>
          <w:szCs w:val="32"/>
        </w:rPr>
        <w:t>212.3</w:t>
      </w:r>
      <w:r>
        <w:rPr>
          <w:rFonts w:hint="eastAsia" w:ascii="仿宋" w:hAnsi="仿宋" w:eastAsia="仿宋"/>
          <w:sz w:val="32"/>
          <w:szCs w:val="32"/>
        </w:rPr>
        <w:t>万元，占</w:t>
      </w:r>
      <w:r>
        <w:rPr>
          <w:rFonts w:ascii="仿宋" w:hAnsi="仿宋" w:eastAsia="仿宋"/>
          <w:b/>
          <w:sz w:val="32"/>
          <w:szCs w:val="32"/>
        </w:rPr>
        <w:t>68.89</w:t>
      </w:r>
      <w:r>
        <w:rPr>
          <w:rFonts w:ascii="仿宋" w:hAnsi="仿宋" w:eastAsia="仿宋"/>
          <w:sz w:val="32"/>
          <w:szCs w:val="32"/>
        </w:rPr>
        <w:t>%</w:t>
      </w:r>
      <w:r>
        <w:rPr>
          <w:rFonts w:hint="eastAsia" w:ascii="仿宋" w:hAnsi="仿宋" w:eastAsia="仿宋"/>
          <w:sz w:val="32"/>
          <w:szCs w:val="32"/>
        </w:rPr>
        <w:t>；项目支出</w:t>
      </w:r>
      <w:r>
        <w:rPr>
          <w:rFonts w:ascii="仿宋" w:hAnsi="仿宋" w:eastAsia="仿宋"/>
          <w:b/>
          <w:sz w:val="32"/>
          <w:szCs w:val="32"/>
        </w:rPr>
        <w:t>95.84</w:t>
      </w:r>
      <w:r>
        <w:rPr>
          <w:rFonts w:hint="eastAsia" w:ascii="仿宋" w:hAnsi="仿宋" w:eastAsia="仿宋"/>
          <w:sz w:val="32"/>
          <w:szCs w:val="32"/>
        </w:rPr>
        <w:t>万元，占</w:t>
      </w:r>
      <w:r>
        <w:rPr>
          <w:rFonts w:ascii="仿宋" w:hAnsi="仿宋" w:eastAsia="仿宋"/>
          <w:b/>
          <w:sz w:val="32"/>
          <w:szCs w:val="32"/>
        </w:rPr>
        <w:t>31.1</w:t>
      </w:r>
      <w:r>
        <w:rPr>
          <w:rFonts w:ascii="仿宋" w:hAnsi="仿宋" w:eastAsia="仿宋"/>
          <w:sz w:val="32"/>
          <w:szCs w:val="32"/>
        </w:rPr>
        <w:t>%</w:t>
      </w:r>
      <w:r>
        <w:rPr>
          <w:rFonts w:hint="eastAsia" w:ascii="仿宋" w:hAnsi="仿宋" w:eastAsia="仿宋"/>
          <w:sz w:val="32"/>
          <w:szCs w:val="32"/>
        </w:rPr>
        <w:t>；上缴上级支出</w:t>
      </w:r>
      <w:r>
        <w:rPr>
          <w:rFonts w:ascii="仿宋" w:hAnsi="仿宋" w:eastAsia="仿宋"/>
          <w:b/>
          <w:sz w:val="32"/>
          <w:szCs w:val="32"/>
        </w:rPr>
        <w:t>0</w:t>
      </w:r>
      <w:r>
        <w:rPr>
          <w:rFonts w:hint="eastAsia" w:ascii="仿宋" w:hAnsi="仿宋" w:eastAsia="仿宋"/>
          <w:sz w:val="32"/>
          <w:szCs w:val="32"/>
        </w:rPr>
        <w:t>万元，占</w:t>
      </w:r>
      <w:r>
        <w:rPr>
          <w:rFonts w:hint="eastAsia"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；经营支出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；对附属单位补助支出</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1"/>
        <w:rPr>
          <w:rFonts w:hint="eastAsia"/>
        </w:rPr>
      </w:pPr>
      <w:r>
        <w:rPr>
          <w:rFonts w:hint="eastAsia" w:ascii="仿宋" w:hAnsi="仿宋" w:eastAsia="仿宋"/>
          <w:b/>
          <w:sz w:val="32"/>
          <w:szCs w:val="32"/>
        </w:rPr>
        <w:t>（注：数据来源于财决</w:t>
      </w:r>
      <w:r>
        <w:rPr>
          <w:rFonts w:ascii="仿宋" w:hAnsi="仿宋" w:eastAsia="仿宋"/>
          <w:b/>
          <w:sz w:val="32"/>
          <w:szCs w:val="32"/>
        </w:rPr>
        <w:t>04</w:t>
      </w:r>
      <w:r>
        <w:rPr>
          <w:rFonts w:hint="eastAsia" w:ascii="仿宋" w:hAnsi="仿宋" w:eastAsia="仿宋"/>
          <w:b/>
          <w:sz w:val="32"/>
          <w:szCs w:val="32"/>
        </w:rPr>
        <w:t>表，仅罗列本单位涉及的支出。）</w:t>
      </w:r>
    </w:p>
    <w:p>
      <w:pPr>
        <w:pStyle w:val="2"/>
        <w:ind w:left="0" w:leftChars="0" w:firstLine="0" w:firstLineChars="0"/>
        <w:rPr>
          <w:rFonts w:hint="eastAsia" w:ascii="仿宋" w:hAnsi="仿宋" w:eastAsia="仿宋"/>
          <w:b/>
          <w:sz w:val="32"/>
          <w:szCs w:val="32"/>
        </w:rPr>
      </w:pPr>
      <w:r>
        <w:rPr>
          <w:rFonts w:hint="eastAsia" w:eastAsiaTheme="minorEastAsia"/>
          <w:lang w:val="en-US" w:eastAsia="zh-CN"/>
        </w:rPr>
        <w:t xml:space="preserve">       </w:t>
      </w:r>
      <w:r>
        <w:rPr>
          <w:rFonts w:hint="eastAsia" w:eastAsiaTheme="minorEastAsia"/>
          <w:lang w:eastAsia="zh-CN"/>
        </w:rPr>
        <w:drawing>
          <wp:inline distT="0" distB="0" distL="114300" distR="114300">
            <wp:extent cx="3735705" cy="2349500"/>
            <wp:effectExtent l="4445" t="4445" r="12700" b="825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ascii="仿宋" w:hAnsi="仿宋" w:eastAsia="仿宋"/>
          <w:sz w:val="32"/>
          <w:szCs w:val="32"/>
        </w:rPr>
      </w:pPr>
      <w:r>
        <w:rPr>
          <w:rFonts w:hint="eastAsia" w:ascii="仿宋" w:hAnsi="仿宋" w:eastAsia="仿宋"/>
          <w:sz w:val="32"/>
          <w:szCs w:val="32"/>
        </w:rPr>
        <w:t>（图3：支出决算结构图）（饼状图）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9"/>
          <w:rFonts w:ascii="黑体" w:hAnsi="黑体" w:eastAsia="黑体"/>
          <w:b w:val="0"/>
        </w:rPr>
      </w:pPr>
      <w:bookmarkStart w:id="18" w:name="_Toc15377208"/>
      <w:bookmarkStart w:id="19" w:name="_Toc15396606"/>
      <w:r>
        <w:rPr>
          <w:rFonts w:hint="eastAsia" w:ascii="黑体" w:hAnsi="黑体" w:eastAsia="黑体"/>
          <w:sz w:val="32"/>
          <w:szCs w:val="32"/>
        </w:rPr>
        <w:t>四、财</w:t>
      </w:r>
      <w:r>
        <w:rPr>
          <w:rStyle w:val="29"/>
          <w:rFonts w:hint="eastAsia" w:ascii="黑体" w:hAnsi="黑体" w:eastAsia="黑体"/>
          <w:b w:val="0"/>
        </w:rPr>
        <w:t>政拨款收入支出决算总体情况说明</w:t>
      </w:r>
      <w:bookmarkEnd w:id="18"/>
      <w:bookmarkEnd w:id="19"/>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sz w:val="32"/>
          <w:szCs w:val="32"/>
          <w:lang w:val="en-US" w:eastAsia="zh-CN"/>
        </w:rPr>
      </w:pPr>
      <w:r>
        <w:rPr>
          <w:rFonts w:hint="eastAsia" w:ascii="仿宋" w:hAnsi="仿宋" w:eastAsia="仿宋"/>
          <w:sz w:val="32"/>
          <w:szCs w:val="32"/>
        </w:rPr>
        <w:t>2023年度财政拨款收、支总计均为</w:t>
      </w:r>
      <w:r>
        <w:rPr>
          <w:rFonts w:ascii="仿宋" w:hAnsi="仿宋" w:eastAsia="仿宋"/>
          <w:b/>
          <w:sz w:val="32"/>
          <w:szCs w:val="32"/>
        </w:rPr>
        <w:t>308.14</w:t>
      </w:r>
      <w:r>
        <w:rPr>
          <w:rFonts w:hint="eastAsia" w:ascii="仿宋" w:hAnsi="仿宋" w:eastAsia="仿宋"/>
          <w:sz w:val="32"/>
          <w:szCs w:val="32"/>
        </w:rPr>
        <w:t>万元。与2022年度</w:t>
      </w:r>
      <w:r>
        <w:rPr>
          <w:rFonts w:hint="eastAsia" w:ascii="仿宋" w:hAnsi="仿宋" w:eastAsia="仿宋"/>
          <w:sz w:val="32"/>
          <w:szCs w:val="32"/>
          <w:lang w:val="en-US" w:eastAsia="zh-CN"/>
        </w:rPr>
        <w:t>221.54</w:t>
      </w:r>
      <w:r>
        <w:rPr>
          <w:rFonts w:hint="eastAsia" w:ascii="仿宋" w:hAnsi="仿宋" w:eastAsia="仿宋"/>
          <w:sz w:val="32"/>
          <w:szCs w:val="32"/>
        </w:rPr>
        <w:t>相比，财政拨款收、支总计各增加</w:t>
      </w:r>
      <w:r>
        <w:rPr>
          <w:rFonts w:hint="eastAsia" w:ascii="仿宋" w:hAnsi="仿宋" w:eastAsia="仿宋"/>
          <w:sz w:val="32"/>
          <w:szCs w:val="32"/>
          <w:lang w:val="en-US" w:eastAsia="zh-CN"/>
        </w:rPr>
        <w:t>86.6</w:t>
      </w:r>
      <w:r>
        <w:rPr>
          <w:rFonts w:hint="eastAsia" w:ascii="仿宋" w:hAnsi="仿宋" w:eastAsia="仿宋"/>
          <w:sz w:val="32"/>
          <w:szCs w:val="32"/>
        </w:rPr>
        <w:t>万元，增长</w:t>
      </w:r>
      <w:r>
        <w:rPr>
          <w:rFonts w:hint="eastAsia" w:ascii="仿宋" w:hAnsi="仿宋" w:eastAsia="仿宋"/>
          <w:sz w:val="32"/>
          <w:szCs w:val="32"/>
          <w:lang w:val="en-US" w:eastAsia="zh-CN"/>
        </w:rPr>
        <w:t>39</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eastAsia="zh-CN"/>
        </w:rPr>
        <w:t>项目支出增加</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01-1</w:t>
      </w:r>
      <w:r>
        <w:rPr>
          <w:rFonts w:hint="eastAsia" w:ascii="仿宋" w:hAnsi="仿宋" w:eastAsia="仿宋"/>
          <w:b/>
          <w:sz w:val="32"/>
          <w:szCs w:val="32"/>
        </w:rPr>
        <w:t>表</w:t>
      </w:r>
      <w:r>
        <w:rPr>
          <w:rFonts w:ascii="仿宋" w:hAnsi="仿宋" w:eastAsia="仿宋"/>
          <w:b/>
          <w:sz w:val="32"/>
          <w:szCs w:val="32"/>
        </w:rPr>
        <w:t>）</w:t>
      </w:r>
    </w:p>
    <w:p>
      <w:pPr>
        <w:pStyle w:val="2"/>
        <w:rPr>
          <w:rFonts w:ascii="仿宋" w:hAnsi="仿宋" w:eastAsia="仿宋"/>
          <w:sz w:val="32"/>
          <w:szCs w:val="32"/>
        </w:rPr>
      </w:pPr>
      <w:r>
        <w:rPr>
          <w:rFonts w:hint="eastAsia" w:eastAsiaTheme="minorEastAsia"/>
          <w:lang w:eastAsia="zh-CN"/>
        </w:rPr>
        <w:drawing>
          <wp:inline distT="0" distB="0" distL="114300" distR="114300">
            <wp:extent cx="3841750" cy="2294255"/>
            <wp:effectExtent l="4445" t="5080" r="20955" b="5715"/>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（图4：财政拨款收、支决算总计变动情况）（柱状图）</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3" w:firstLineChars="200"/>
        <w:textAlignment w:val="auto"/>
        <w:outlineLvl w:val="1"/>
        <w:rPr>
          <w:rStyle w:val="29"/>
          <w:rFonts w:hint="eastAsia" w:ascii="黑体" w:hAnsi="黑体" w:eastAsia="黑体"/>
          <w:b w:val="0"/>
        </w:rPr>
      </w:pPr>
      <w:bookmarkStart w:id="20" w:name="_Toc15377209"/>
      <w:bookmarkStart w:id="21" w:name="_Toc15396607"/>
      <w:r>
        <w:rPr>
          <w:rFonts w:hint="eastAsia" w:ascii="黑体" w:hAnsi="黑体" w:eastAsia="黑体"/>
          <w:b/>
          <w:sz w:val="32"/>
          <w:szCs w:val="32"/>
        </w:rPr>
        <w:t>一</w:t>
      </w:r>
      <w:r>
        <w:rPr>
          <w:rStyle w:val="29"/>
          <w:rFonts w:hint="eastAsia" w:ascii="黑体" w:hAnsi="黑体" w:eastAsia="黑体"/>
          <w:b w:val="0"/>
        </w:rPr>
        <w:t>般公共预算财政拨款支出决算情况说明</w:t>
      </w:r>
      <w:bookmarkEnd w:id="20"/>
      <w:bookmarkEnd w:id="21"/>
      <w:bookmarkStart w:id="22" w:name="_Toc1537721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outlineLvl w:val="1"/>
        <w:rPr>
          <w:rFonts w:ascii="仿宋" w:hAnsi="仿宋" w:eastAsia="仿宋"/>
          <w:b/>
          <w:sz w:val="32"/>
          <w:szCs w:val="32"/>
        </w:rPr>
      </w:pPr>
      <w:r>
        <w:rPr>
          <w:rFonts w:hint="eastAsia" w:ascii="仿宋" w:hAnsi="仿宋" w:eastAsia="仿宋"/>
          <w:b/>
          <w:sz w:val="32"/>
          <w:szCs w:val="32"/>
        </w:rPr>
        <w:t>（一）一般公共预算财政拨款支出决算总体情况</w:t>
      </w:r>
      <w:bookmarkEnd w:id="2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sz w:val="32"/>
          <w:szCs w:val="32"/>
          <w:lang w:eastAsia="zh-CN"/>
        </w:rPr>
      </w:pPr>
      <w:r>
        <w:rPr>
          <w:rFonts w:hint="eastAsia" w:ascii="仿宋" w:hAnsi="仿宋" w:eastAsia="仿宋"/>
          <w:sz w:val="32"/>
          <w:szCs w:val="32"/>
        </w:rPr>
        <w:t>2023年度一般公共预算财政拨款支出</w:t>
      </w:r>
      <w:r>
        <w:rPr>
          <w:rFonts w:ascii="仿宋" w:hAnsi="仿宋" w:eastAsia="仿宋"/>
          <w:b/>
          <w:sz w:val="32"/>
          <w:szCs w:val="32"/>
        </w:rPr>
        <w:t>308.14</w:t>
      </w:r>
      <w:r>
        <w:rPr>
          <w:rFonts w:hint="eastAsia" w:ascii="仿宋" w:hAnsi="仿宋" w:eastAsia="仿宋"/>
          <w:sz w:val="32"/>
          <w:szCs w:val="32"/>
        </w:rPr>
        <w:t>万元，占本年支出合计的</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。与2022年度相比，一般公共预算财政拨款支出增加</w:t>
      </w:r>
      <w:r>
        <w:rPr>
          <w:rFonts w:hint="eastAsia" w:ascii="仿宋" w:hAnsi="仿宋" w:eastAsia="仿宋"/>
          <w:sz w:val="32"/>
          <w:szCs w:val="32"/>
          <w:lang w:val="en-US" w:eastAsia="zh-CN"/>
        </w:rPr>
        <w:t>86.6</w:t>
      </w:r>
      <w:r>
        <w:rPr>
          <w:rFonts w:hint="eastAsia" w:ascii="仿宋" w:hAnsi="仿宋" w:eastAsia="仿宋"/>
          <w:sz w:val="32"/>
          <w:szCs w:val="32"/>
        </w:rPr>
        <w:t>万元，增长</w:t>
      </w:r>
      <w:r>
        <w:rPr>
          <w:rFonts w:hint="eastAsia" w:ascii="仿宋" w:hAnsi="仿宋" w:eastAsia="仿宋"/>
          <w:sz w:val="32"/>
          <w:szCs w:val="32"/>
          <w:lang w:val="en-US" w:eastAsia="zh-CN"/>
        </w:rPr>
        <w:t>39</w:t>
      </w:r>
      <w:r>
        <w:rPr>
          <w:rFonts w:ascii="仿宋" w:hAnsi="仿宋" w:eastAsia="仿宋"/>
          <w:sz w:val="32"/>
          <w:szCs w:val="32"/>
        </w:rPr>
        <w:t>%</w:t>
      </w:r>
      <w:r>
        <w:rPr>
          <w:rFonts w:hint="eastAsia" w:ascii="仿宋" w:hAnsi="仿宋" w:eastAsia="仿宋"/>
          <w:sz w:val="32"/>
          <w:szCs w:val="32"/>
        </w:rPr>
        <w:t>。主要变动原因</w:t>
      </w:r>
      <w:r>
        <w:rPr>
          <w:rFonts w:hint="eastAsia" w:ascii="仿宋" w:hAnsi="仿宋" w:eastAsia="仿宋"/>
          <w:sz w:val="32"/>
          <w:szCs w:val="32"/>
          <w:lang w:eastAsia="zh-CN"/>
        </w:rPr>
        <w:t>是项目支出增加</w:t>
      </w:r>
    </w:p>
    <w:p>
      <w:pPr>
        <w:pStyle w:val="2"/>
        <w:ind w:left="0" w:leftChars="0" w:firstLine="0" w:firstLineChars="0"/>
        <w:rPr>
          <w:rFonts w:hint="eastAsia" w:ascii="仿宋" w:hAnsi="仿宋" w:eastAsia="仿宋"/>
          <w:sz w:val="32"/>
          <w:szCs w:val="32"/>
          <w:lang w:eastAsia="zh-CN"/>
        </w:rPr>
      </w:pP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drawing>
          <wp:inline distT="0" distB="0" distL="114300" distR="114300">
            <wp:extent cx="3900805" cy="2167890"/>
            <wp:effectExtent l="4445" t="4445" r="19050" b="1841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bookmarkStart w:id="23" w:name="_Toc1537721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Fonts w:hint="eastAsia" w:ascii="仿宋" w:hAnsi="仿宋" w:eastAsia="仿宋"/>
          <w:b/>
          <w:sz w:val="32"/>
          <w:szCs w:val="32"/>
        </w:rPr>
        <w:t>（二）一般公共预算财政拨款支出决算结构情况</w:t>
      </w:r>
      <w:bookmarkEnd w:id="2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hAnsi="仿宋" w:eastAsia="仿宋"/>
          <w:b/>
          <w:sz w:val="32"/>
          <w:szCs w:val="32"/>
        </w:rPr>
      </w:pPr>
      <w:r>
        <w:rPr>
          <w:rFonts w:hint="eastAsia" w:ascii="仿宋" w:hAnsi="仿宋" w:eastAsia="仿宋"/>
          <w:sz w:val="32"/>
          <w:szCs w:val="32"/>
        </w:rPr>
        <w:t>2023年度一般公共预算财政拨款支出</w:t>
      </w:r>
      <w:r>
        <w:rPr>
          <w:rFonts w:ascii="仿宋" w:hAnsi="仿宋" w:eastAsia="仿宋"/>
          <w:b/>
          <w:sz w:val="32"/>
          <w:szCs w:val="32"/>
        </w:rPr>
        <w:t>308.14</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w:t>
      </w:r>
      <w:r>
        <w:rPr>
          <w:rFonts w:hint="eastAsia" w:ascii="仿宋" w:hAnsi="仿宋" w:eastAsia="仿宋"/>
          <w:b/>
          <w:bCs/>
          <w:sz w:val="32"/>
          <w:szCs w:val="32"/>
        </w:rPr>
        <w:t>支出</w:t>
      </w:r>
      <w:r>
        <w:rPr>
          <w:rFonts w:hint="eastAsia" w:ascii="仿宋" w:hAnsi="仿宋" w:eastAsia="仿宋"/>
          <w:b/>
          <w:bCs/>
          <w:sz w:val="32"/>
          <w:szCs w:val="32"/>
          <w:lang w:val="en-US" w:eastAsia="zh-CN"/>
        </w:rPr>
        <w:t>254.95</w:t>
      </w:r>
      <w:r>
        <w:rPr>
          <w:rFonts w:hint="eastAsia" w:ascii="仿宋" w:hAnsi="仿宋" w:eastAsia="仿宋"/>
          <w:sz w:val="32"/>
          <w:szCs w:val="32"/>
        </w:rPr>
        <w:t>万元，占</w:t>
      </w:r>
      <w:r>
        <w:rPr>
          <w:rFonts w:hint="eastAsia" w:ascii="仿宋" w:hAnsi="仿宋" w:eastAsia="仿宋"/>
          <w:sz w:val="32"/>
          <w:szCs w:val="32"/>
          <w:lang w:val="en-US" w:eastAsia="zh-CN"/>
        </w:rPr>
        <w:t>83</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教育支出</w:t>
      </w:r>
      <w:r>
        <w:rPr>
          <w:rFonts w:hint="eastAsia" w:ascii="仿宋" w:hAnsi="仿宋" w:eastAsia="仿宋"/>
          <w:b/>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科学技术</w:t>
      </w:r>
      <w:r>
        <w:rPr>
          <w:rFonts w:hint="eastAsia" w:ascii="仿宋" w:hAnsi="仿宋" w:eastAsia="仿宋"/>
          <w:b/>
          <w:bCs/>
          <w:sz w:val="32"/>
          <w:szCs w:val="32"/>
        </w:rPr>
        <w:t>支出</w:t>
      </w:r>
      <w:r>
        <w:rPr>
          <w:rFonts w:hint="eastAsia" w:ascii="仿宋" w:hAnsi="仿宋" w:eastAsia="仿宋"/>
          <w:b/>
          <w:bCs/>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文化旅游体育与传媒支出</w:t>
      </w:r>
      <w:r>
        <w:rPr>
          <w:rFonts w:hint="eastAsia" w:ascii="仿宋" w:hAnsi="仿宋" w:eastAsia="仿宋"/>
          <w:b/>
          <w:bCs/>
          <w:sz w:val="32"/>
          <w:szCs w:val="32"/>
          <w:lang w:val="en-US" w:eastAsia="zh-CN"/>
        </w:rPr>
        <w:t>0</w:t>
      </w:r>
      <w:r>
        <w:rPr>
          <w:rFonts w:hint="eastAsia" w:ascii="仿宋" w:hAnsi="仿宋" w:eastAsia="仿宋"/>
          <w:b/>
          <w:bCs/>
          <w:sz w:val="32"/>
          <w:szCs w:val="32"/>
        </w:rPr>
        <w:t>万元，占</w:t>
      </w:r>
      <w:r>
        <w:rPr>
          <w:rFonts w:hint="eastAsia" w:ascii="仿宋" w:hAnsi="仿宋" w:eastAsia="仿宋"/>
          <w:b/>
          <w:bCs/>
          <w:sz w:val="32"/>
          <w:szCs w:val="32"/>
          <w:lang w:val="en-US" w:eastAsia="zh-CN"/>
        </w:rPr>
        <w:t>0</w:t>
      </w:r>
      <w:r>
        <w:rPr>
          <w:rFonts w:ascii="仿宋" w:hAnsi="仿宋" w:eastAsia="仿宋"/>
          <w:b/>
          <w:bCs/>
          <w:sz w:val="32"/>
          <w:szCs w:val="32"/>
        </w:rPr>
        <w:t>%</w:t>
      </w:r>
      <w:r>
        <w:rPr>
          <w:rFonts w:hint="eastAsia" w:ascii="仿宋" w:hAnsi="仿宋" w:eastAsia="仿宋"/>
          <w:sz w:val="32"/>
          <w:szCs w:val="32"/>
        </w:rPr>
        <w:t>；</w:t>
      </w:r>
      <w:r>
        <w:rPr>
          <w:rFonts w:hint="eastAsia" w:ascii="仿宋" w:hAnsi="仿宋" w:eastAsia="仿宋"/>
          <w:b/>
          <w:sz w:val="32"/>
          <w:szCs w:val="32"/>
        </w:rPr>
        <w:t>社会保障和就业</w:t>
      </w:r>
      <w:r>
        <w:rPr>
          <w:rFonts w:hint="eastAsia" w:ascii="仿宋" w:hAnsi="仿宋" w:eastAsia="仿宋"/>
          <w:b/>
          <w:bCs/>
          <w:sz w:val="32"/>
          <w:szCs w:val="32"/>
        </w:rPr>
        <w:t>支出</w:t>
      </w:r>
      <w:r>
        <w:rPr>
          <w:rFonts w:hint="eastAsia" w:ascii="仿宋" w:hAnsi="仿宋" w:eastAsia="仿宋"/>
          <w:b/>
          <w:bCs/>
          <w:sz w:val="32"/>
          <w:szCs w:val="32"/>
          <w:lang w:val="en-US" w:eastAsia="zh-CN"/>
        </w:rPr>
        <w:t>27.79</w:t>
      </w:r>
      <w:r>
        <w:rPr>
          <w:rFonts w:hint="eastAsia" w:ascii="仿宋" w:hAnsi="仿宋" w:eastAsia="仿宋"/>
          <w:sz w:val="32"/>
          <w:szCs w:val="32"/>
        </w:rPr>
        <w:t>万元，占</w:t>
      </w:r>
      <w:r>
        <w:rPr>
          <w:rFonts w:hint="eastAsia" w:ascii="仿宋" w:hAnsi="仿宋" w:eastAsia="仿宋"/>
          <w:sz w:val="32"/>
          <w:szCs w:val="32"/>
          <w:lang w:val="en-US" w:eastAsia="zh-CN"/>
        </w:rPr>
        <w:t>9</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b/>
          <w:bCs/>
          <w:sz w:val="32"/>
          <w:szCs w:val="32"/>
          <w:lang w:val="en-US" w:eastAsia="zh-CN"/>
        </w:rPr>
        <w:t>11.8</w:t>
      </w:r>
      <w:r>
        <w:rPr>
          <w:rFonts w:hint="eastAsia" w:ascii="仿宋" w:hAnsi="仿宋" w:eastAsia="仿宋"/>
          <w:sz w:val="32"/>
          <w:szCs w:val="32"/>
        </w:rPr>
        <w:t>万元，占</w:t>
      </w:r>
      <w:r>
        <w:rPr>
          <w:rFonts w:hint="eastAsia" w:ascii="仿宋" w:hAnsi="仿宋" w:eastAsia="仿宋"/>
          <w:sz w:val="32"/>
          <w:szCs w:val="32"/>
          <w:lang w:val="en-US" w:eastAsia="zh-CN"/>
        </w:rPr>
        <w:t>4</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住房保障支出</w:t>
      </w:r>
      <w:r>
        <w:rPr>
          <w:rFonts w:hint="eastAsia" w:ascii="仿宋" w:hAnsi="仿宋" w:eastAsia="仿宋"/>
          <w:b/>
          <w:bCs/>
          <w:sz w:val="32"/>
          <w:szCs w:val="32"/>
          <w:lang w:val="en-US" w:eastAsia="zh-CN"/>
        </w:rPr>
        <w:t>13.6</w:t>
      </w:r>
      <w:r>
        <w:rPr>
          <w:rFonts w:hint="eastAsia" w:ascii="仿宋" w:hAnsi="仿宋" w:eastAsia="仿宋"/>
          <w:sz w:val="32"/>
          <w:szCs w:val="32"/>
        </w:rPr>
        <w:t>万元，占</w:t>
      </w:r>
      <w:r>
        <w:rPr>
          <w:rFonts w:hint="eastAsia" w:ascii="仿宋" w:hAnsi="仿宋" w:eastAsia="仿宋"/>
          <w:sz w:val="32"/>
          <w:szCs w:val="32"/>
          <w:lang w:val="en-US" w:eastAsia="zh-CN"/>
        </w:rPr>
        <w:t>4</w:t>
      </w:r>
      <w:r>
        <w:rPr>
          <w:rFonts w:ascii="仿宋" w:hAnsi="仿宋" w:eastAsia="仿宋"/>
          <w:sz w:val="32"/>
          <w:szCs w:val="32"/>
        </w:rPr>
        <w:t>%</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b/>
          <w:sz w:val="32"/>
          <w:szCs w:val="32"/>
        </w:rPr>
      </w:pPr>
      <w:r>
        <w:rPr>
          <w:rFonts w:hint="eastAsia" w:ascii="仿宋" w:hAnsi="仿宋" w:eastAsia="仿宋"/>
          <w:b/>
          <w:sz w:val="32"/>
          <w:szCs w:val="32"/>
        </w:rPr>
        <w:t>（注：数据来源于财决01-1表，仅罗列本单位涉及的全部功能分类科目，至类级。）</w:t>
      </w:r>
    </w:p>
    <w:p>
      <w:pPr>
        <w:pStyle w:val="2"/>
        <w:rPr>
          <w:rFonts w:ascii="仿宋" w:hAnsi="仿宋" w:eastAsia="仿宋"/>
          <w:sz w:val="32"/>
          <w:szCs w:val="32"/>
        </w:rPr>
      </w:pPr>
      <w:r>
        <w:rPr>
          <w:rFonts w:hint="eastAsia"/>
          <w:lang w:eastAsia="zh-CN"/>
        </w:rPr>
        <w:drawing>
          <wp:inline distT="0" distB="0" distL="114300" distR="114300">
            <wp:extent cx="4204335" cy="2733040"/>
            <wp:effectExtent l="4445" t="4445" r="20320" b="571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 w:hAnsi="仿宋" w:eastAsia="仿宋"/>
          <w:sz w:val="32"/>
          <w:szCs w:val="32"/>
        </w:rPr>
      </w:pPr>
      <w:r>
        <w:rPr>
          <w:rFonts w:hint="eastAsia" w:ascii="仿宋" w:hAnsi="仿宋" w:eastAsia="仿宋"/>
          <w:sz w:val="32"/>
          <w:szCs w:val="32"/>
        </w:rPr>
        <w:t>（图6：一般公共预算财政拨款支出决算结构）（饼状图）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hAnsi="仿宋" w:eastAsia="仿宋"/>
          <w:b/>
          <w:sz w:val="32"/>
          <w:szCs w:val="32"/>
        </w:rPr>
      </w:pPr>
      <w:bookmarkStart w:id="24" w:name="_Toc15377212"/>
      <w:r>
        <w:rPr>
          <w:rFonts w:hint="eastAsia" w:ascii="仿宋" w:hAnsi="仿宋" w:eastAsia="仿宋"/>
          <w:b/>
          <w:sz w:val="32"/>
          <w:szCs w:val="32"/>
        </w:rPr>
        <w:t>（三）一般公共预算财政拨款支出决算具体情况</w:t>
      </w:r>
      <w:bookmarkEnd w:id="24"/>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hAnsi="仿宋" w:eastAsia="仿宋"/>
          <w:sz w:val="32"/>
          <w:szCs w:val="32"/>
        </w:rPr>
      </w:pPr>
      <w:bookmarkStart w:id="25" w:name="_Toc15377213"/>
      <w:bookmarkStart w:id="26" w:name="_Toc15378460"/>
      <w:bookmarkStart w:id="27" w:name="_Toc15377444"/>
      <w:r>
        <w:rPr>
          <w:rFonts w:hint="eastAsia" w:ascii="仿宋" w:hAnsi="仿宋" w:eastAsia="仿宋"/>
          <w:b/>
          <w:sz w:val="32"/>
          <w:szCs w:val="32"/>
        </w:rPr>
        <w:t>2023年度一般公共预算支出决算数为</w:t>
      </w:r>
      <w:r>
        <w:rPr>
          <w:rFonts w:ascii="仿宋" w:hAnsi="仿宋" w:eastAsia="仿宋"/>
          <w:b/>
          <w:sz w:val="32"/>
          <w:szCs w:val="32"/>
        </w:rPr>
        <w:t>308.14</w:t>
      </w:r>
      <w:r>
        <w:rPr>
          <w:rFonts w:hint="eastAsia" w:ascii="仿宋" w:hAnsi="仿宋" w:eastAsia="仿宋"/>
          <w:sz w:val="32"/>
          <w:szCs w:val="32"/>
        </w:rPr>
        <w:t>，</w:t>
      </w:r>
      <w:r>
        <w:rPr>
          <w:rStyle w:val="17"/>
          <w:rFonts w:hint="eastAsia" w:ascii="仿宋" w:hAnsi="仿宋" w:eastAsia="仿宋"/>
          <w:bCs/>
          <w:sz w:val="32"/>
          <w:szCs w:val="32"/>
        </w:rPr>
        <w:t>完成预算</w:t>
      </w:r>
      <w:r>
        <w:rPr>
          <w:rStyle w:val="17"/>
          <w:rFonts w:hint="eastAsia" w:ascii="仿宋" w:hAnsi="仿宋" w:eastAsia="仿宋"/>
          <w:bCs/>
          <w:sz w:val="32"/>
          <w:szCs w:val="32"/>
          <w:lang w:val="en-US" w:eastAsia="zh-CN"/>
        </w:rPr>
        <w:t>130</w:t>
      </w:r>
      <w:r>
        <w:rPr>
          <w:rStyle w:val="17"/>
          <w:rFonts w:ascii="仿宋" w:hAnsi="仿宋" w:eastAsia="仿宋"/>
          <w:bCs/>
          <w:sz w:val="32"/>
          <w:szCs w:val="32"/>
        </w:rPr>
        <w:t>%</w:t>
      </w:r>
      <w:r>
        <w:rPr>
          <w:rStyle w:val="17"/>
          <w:rFonts w:hint="eastAsia" w:ascii="仿宋" w:hAnsi="仿宋" w:eastAsia="仿宋"/>
          <w:bCs/>
          <w:sz w:val="32"/>
          <w:szCs w:val="32"/>
        </w:rPr>
        <w:t>。其中：</w:t>
      </w:r>
      <w:bookmarkEnd w:id="25"/>
      <w:bookmarkEnd w:id="26"/>
      <w:bookmarkEnd w:id="27"/>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7"/>
          <w:rFonts w:ascii="仿宋" w:hAnsi="仿宋" w:eastAsia="仿宋"/>
          <w:bCs/>
          <w:sz w:val="32"/>
          <w:szCs w:val="32"/>
        </w:rPr>
        <w:t>1.</w:t>
      </w:r>
      <w:r>
        <w:rPr>
          <w:rStyle w:val="17"/>
          <w:rFonts w:hint="eastAsia" w:ascii="仿宋" w:hAnsi="仿宋" w:eastAsia="仿宋"/>
          <w:bCs/>
          <w:sz w:val="32"/>
          <w:szCs w:val="32"/>
        </w:rPr>
        <w:t>一般公共服务</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254.95</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139</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eastAsia="zh-CN"/>
        </w:rPr>
        <w:t>大</w:t>
      </w:r>
      <w:r>
        <w:rPr>
          <w:rStyle w:val="17"/>
          <w:rFonts w:hint="eastAsia" w:ascii="仿宋" w:hAnsi="仿宋" w:eastAsia="仿宋"/>
          <w:b w:val="0"/>
          <w:bCs/>
          <w:sz w:val="32"/>
          <w:szCs w:val="32"/>
        </w:rPr>
        <w:t>于预算数的主要原因是</w:t>
      </w:r>
      <w:r>
        <w:rPr>
          <w:rStyle w:val="17"/>
          <w:rFonts w:hint="eastAsia" w:ascii="仿宋" w:hAnsi="仿宋" w:eastAsia="仿宋"/>
          <w:b w:val="0"/>
          <w:bCs/>
          <w:sz w:val="32"/>
          <w:szCs w:val="32"/>
          <w:lang w:eastAsia="zh-CN"/>
        </w:rPr>
        <w:t>项目支出增加</w:t>
      </w:r>
      <w:r>
        <w:rPr>
          <w:rStyle w:val="17"/>
          <w:rFonts w:hint="eastAsia" w:ascii="仿宋" w:hAnsi="仿宋" w:eastAsia="仿宋"/>
          <w:b w:val="0"/>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7"/>
          <w:rFonts w:ascii="仿宋" w:hAnsi="仿宋" w:eastAsia="仿宋"/>
          <w:bCs/>
          <w:sz w:val="32"/>
          <w:szCs w:val="32"/>
        </w:rPr>
        <w:t>2.</w:t>
      </w:r>
      <w:r>
        <w:rPr>
          <w:rStyle w:val="17"/>
          <w:rFonts w:hint="eastAsia" w:ascii="仿宋" w:hAnsi="仿宋" w:eastAsia="仿宋"/>
          <w:bCs/>
          <w:sz w:val="32"/>
          <w:szCs w:val="32"/>
        </w:rPr>
        <w:t>教育</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0</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0</w:t>
      </w:r>
      <w:r>
        <w:rPr>
          <w:rStyle w:val="17"/>
          <w:rFonts w:ascii="仿宋" w:hAnsi="仿宋" w:eastAsia="仿宋"/>
          <w:b w:val="0"/>
          <w:bCs/>
          <w:sz w:val="32"/>
          <w:szCs w:val="32"/>
        </w:rPr>
        <w:t>%</w:t>
      </w:r>
      <w:r>
        <w:rPr>
          <w:rStyle w:val="17"/>
          <w:rFonts w:hint="eastAsia" w:ascii="仿宋" w:hAnsi="仿宋" w:eastAsia="仿宋"/>
          <w:b w:val="0"/>
          <w:bCs/>
          <w:sz w:val="32"/>
          <w:szCs w:val="32"/>
        </w:rPr>
        <w:t>，决算数小于等于预算数。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7"/>
          <w:rFonts w:ascii="仿宋" w:hAnsi="仿宋" w:eastAsia="仿宋"/>
          <w:bCs/>
          <w:sz w:val="32"/>
          <w:szCs w:val="32"/>
        </w:rPr>
        <w:t>3.</w:t>
      </w:r>
      <w:r>
        <w:rPr>
          <w:rStyle w:val="17"/>
          <w:rFonts w:hint="eastAsia" w:ascii="仿宋" w:hAnsi="仿宋" w:eastAsia="仿宋"/>
          <w:bCs/>
          <w:sz w:val="32"/>
          <w:szCs w:val="32"/>
        </w:rPr>
        <w:t>科学技术</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0</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0</w:t>
      </w:r>
      <w:r>
        <w:rPr>
          <w:rStyle w:val="17"/>
          <w:rFonts w:ascii="仿宋" w:hAnsi="仿宋" w:eastAsia="仿宋"/>
          <w:b w:val="0"/>
          <w:bCs/>
          <w:sz w:val="32"/>
          <w:szCs w:val="32"/>
        </w:rPr>
        <w:t>%</w:t>
      </w:r>
      <w:r>
        <w:rPr>
          <w:rStyle w:val="17"/>
          <w:rFonts w:hint="eastAsia" w:ascii="仿宋" w:hAnsi="仿宋" w:eastAsia="仿宋"/>
          <w:b w:val="0"/>
          <w:bCs/>
          <w:sz w:val="32"/>
          <w:szCs w:val="32"/>
        </w:rPr>
        <w:t>，决算数等于预算数。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7"/>
          <w:rFonts w:ascii="仿宋" w:hAnsi="仿宋" w:eastAsia="仿宋"/>
          <w:bCs/>
          <w:sz w:val="32"/>
          <w:szCs w:val="32"/>
        </w:rPr>
        <w:t>4.</w:t>
      </w:r>
      <w:r>
        <w:rPr>
          <w:rStyle w:val="17"/>
          <w:rFonts w:hint="eastAsia" w:ascii="仿宋" w:hAnsi="仿宋" w:eastAsia="仿宋"/>
          <w:bCs/>
          <w:sz w:val="32"/>
          <w:szCs w:val="32"/>
        </w:rPr>
        <w:t>文化旅游体育与传媒</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0</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0</w:t>
      </w:r>
      <w:r>
        <w:rPr>
          <w:rStyle w:val="17"/>
          <w:rFonts w:ascii="仿宋" w:hAnsi="仿宋" w:eastAsia="仿宋"/>
          <w:b w:val="0"/>
          <w:bCs/>
          <w:sz w:val="32"/>
          <w:szCs w:val="32"/>
        </w:rPr>
        <w:t>%</w:t>
      </w:r>
      <w:r>
        <w:rPr>
          <w:rStyle w:val="17"/>
          <w:rFonts w:hint="eastAsia" w:ascii="仿宋" w:hAnsi="仿宋" w:eastAsia="仿宋"/>
          <w:b w:val="0"/>
          <w:bCs/>
          <w:sz w:val="32"/>
          <w:szCs w:val="32"/>
        </w:rPr>
        <w:t>，等于预算数。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7"/>
          <w:rFonts w:ascii="仿宋" w:hAnsi="仿宋" w:eastAsia="仿宋"/>
          <w:bCs/>
          <w:sz w:val="32"/>
          <w:szCs w:val="32"/>
        </w:rPr>
        <w:t>5.</w:t>
      </w:r>
      <w:r>
        <w:rPr>
          <w:rStyle w:val="17"/>
          <w:rFonts w:hint="eastAsia" w:ascii="仿宋" w:hAnsi="仿宋" w:eastAsia="仿宋"/>
          <w:bCs/>
          <w:sz w:val="32"/>
          <w:szCs w:val="32"/>
        </w:rPr>
        <w:t>社会保障和就业</w:t>
      </w:r>
      <w:r>
        <w:rPr>
          <w:rStyle w:val="17"/>
          <w:rFonts w:ascii="仿宋" w:hAnsi="仿宋" w:eastAsia="仿宋"/>
          <w:bCs/>
          <w:sz w:val="32"/>
          <w:szCs w:val="32"/>
        </w:rPr>
        <w:t>:</w:t>
      </w:r>
      <w:r>
        <w:rPr>
          <w:rStyle w:val="17"/>
          <w:rFonts w:ascii="仿宋" w:hAnsi="仿宋" w:eastAsia="仿宋"/>
          <w:b w:val="0"/>
          <w:bCs/>
          <w:sz w:val="32"/>
          <w:szCs w:val="32"/>
        </w:rPr>
        <w:t xml:space="preserve"> </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27.79</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96</w:t>
      </w:r>
      <w:r>
        <w:rPr>
          <w:rStyle w:val="17"/>
          <w:rFonts w:ascii="仿宋" w:hAnsi="仿宋" w:eastAsia="仿宋"/>
          <w:b w:val="0"/>
          <w:bCs/>
          <w:sz w:val="32"/>
          <w:szCs w:val="32"/>
        </w:rPr>
        <w:t>%</w:t>
      </w:r>
      <w:r>
        <w:rPr>
          <w:rStyle w:val="17"/>
          <w:rFonts w:hint="eastAsia" w:ascii="仿宋" w:hAnsi="仿宋" w:eastAsia="仿宋"/>
          <w:b w:val="0"/>
          <w:bCs/>
          <w:sz w:val="32"/>
          <w:szCs w:val="32"/>
        </w:rPr>
        <w:t>，决算数小于预算数的主要原因</w:t>
      </w:r>
      <w:r>
        <w:rPr>
          <w:rStyle w:val="17"/>
          <w:rFonts w:hint="eastAsia" w:ascii="仿宋" w:hAnsi="仿宋" w:eastAsia="仿宋"/>
          <w:b w:val="0"/>
          <w:bCs/>
          <w:sz w:val="32"/>
          <w:szCs w:val="32"/>
          <w:lang w:val="en-US" w:eastAsia="zh-CN"/>
        </w:rPr>
        <w:t>人员减少</w:t>
      </w:r>
      <w:r>
        <w:rPr>
          <w:rStyle w:val="17"/>
          <w:rFonts w:hint="eastAsia" w:ascii="仿宋" w:hAnsi="仿宋" w:eastAsia="仿宋"/>
          <w:b w:val="0"/>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Style w:val="17"/>
          <w:rFonts w:ascii="仿宋" w:hAnsi="仿宋" w:eastAsia="仿宋"/>
          <w:bCs/>
          <w:sz w:val="32"/>
          <w:szCs w:val="32"/>
        </w:rPr>
        <w:t>6.</w:t>
      </w:r>
      <w:r>
        <w:rPr>
          <w:rFonts w:hint="eastAsia" w:ascii="仿宋" w:hAnsi="仿宋" w:eastAsia="仿宋"/>
          <w:b/>
          <w:bCs/>
          <w:sz w:val="32"/>
          <w:szCs w:val="32"/>
        </w:rPr>
        <w:t>卫生健康</w:t>
      </w:r>
      <w:r>
        <w:rPr>
          <w:rStyle w:val="17"/>
          <w:rFonts w:ascii="仿宋" w:hAnsi="仿宋" w:eastAsia="仿宋"/>
          <w:bCs/>
          <w:sz w:val="32"/>
          <w:szCs w:val="32"/>
        </w:rPr>
        <w:t>:</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11.80</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115</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eastAsia="zh-CN"/>
        </w:rPr>
        <w:t>大</w:t>
      </w:r>
      <w:r>
        <w:rPr>
          <w:rStyle w:val="17"/>
          <w:rFonts w:hint="eastAsia" w:ascii="仿宋" w:hAnsi="仿宋" w:eastAsia="仿宋"/>
          <w:b w:val="0"/>
          <w:bCs/>
          <w:sz w:val="32"/>
          <w:szCs w:val="32"/>
        </w:rPr>
        <w:t>于预算数的主要原因</w:t>
      </w:r>
      <w:r>
        <w:rPr>
          <w:rStyle w:val="17"/>
          <w:rFonts w:hint="eastAsia" w:ascii="仿宋" w:hAnsi="仿宋" w:eastAsia="仿宋"/>
          <w:b w:val="0"/>
          <w:bCs/>
          <w:sz w:val="32"/>
          <w:szCs w:val="32"/>
          <w:lang w:eastAsia="zh-CN"/>
        </w:rPr>
        <w:t>工资福利变动</w:t>
      </w:r>
      <w:r>
        <w:rPr>
          <w:rStyle w:val="17"/>
          <w:rFonts w:hint="eastAsia" w:ascii="仿宋" w:hAnsi="仿宋" w:eastAsia="仿宋"/>
          <w:b w:val="0"/>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 w:hAnsi="仿宋" w:eastAsia="仿宋"/>
          <w:b/>
          <w:bCs/>
          <w:sz w:val="32"/>
          <w:szCs w:val="32"/>
          <w:lang w:val="en-US" w:eastAsia="zh-CN"/>
        </w:rPr>
      </w:pPr>
      <w:r>
        <w:rPr>
          <w:rFonts w:hint="eastAsia" w:ascii="仿宋" w:hAnsi="仿宋" w:eastAsia="仿宋"/>
          <w:sz w:val="32"/>
          <w:szCs w:val="32"/>
          <w:lang w:val="en-US" w:eastAsia="zh-CN"/>
        </w:rPr>
        <w:t>7.</w:t>
      </w:r>
      <w:r>
        <w:rPr>
          <w:rFonts w:hint="eastAsia" w:ascii="仿宋" w:hAnsi="仿宋" w:eastAsia="仿宋"/>
          <w:b/>
          <w:bCs/>
          <w:sz w:val="32"/>
          <w:szCs w:val="32"/>
          <w:lang w:val="en-US" w:eastAsia="zh-CN"/>
        </w:rPr>
        <w:t>住房保障支出：</w:t>
      </w:r>
      <w:r>
        <w:rPr>
          <w:rStyle w:val="17"/>
          <w:rFonts w:hint="eastAsia" w:ascii="仿宋" w:hAnsi="仿宋" w:eastAsia="仿宋"/>
          <w:b w:val="0"/>
          <w:bCs/>
          <w:sz w:val="32"/>
          <w:szCs w:val="32"/>
        </w:rPr>
        <w:t>支出决算为</w:t>
      </w:r>
      <w:r>
        <w:rPr>
          <w:rStyle w:val="17"/>
          <w:rFonts w:hint="eastAsia" w:ascii="仿宋" w:hAnsi="仿宋" w:eastAsia="仿宋"/>
          <w:b w:val="0"/>
          <w:bCs/>
          <w:sz w:val="32"/>
          <w:szCs w:val="32"/>
          <w:lang w:val="en-US" w:eastAsia="zh-CN"/>
        </w:rPr>
        <w:t>13.6</w:t>
      </w:r>
      <w:r>
        <w:rPr>
          <w:rStyle w:val="17"/>
          <w:rFonts w:hint="eastAsia" w:ascii="仿宋" w:hAnsi="仿宋" w:eastAsia="仿宋"/>
          <w:b w:val="0"/>
          <w:bCs/>
          <w:sz w:val="32"/>
          <w:szCs w:val="32"/>
        </w:rPr>
        <w:t>万元，完成预算</w:t>
      </w:r>
      <w:r>
        <w:rPr>
          <w:rStyle w:val="17"/>
          <w:rFonts w:hint="eastAsia" w:ascii="仿宋" w:hAnsi="仿宋" w:eastAsia="仿宋"/>
          <w:b w:val="0"/>
          <w:bCs/>
          <w:sz w:val="32"/>
          <w:szCs w:val="32"/>
          <w:lang w:val="en-US" w:eastAsia="zh-CN"/>
        </w:rPr>
        <w:t>85</w:t>
      </w:r>
      <w:r>
        <w:rPr>
          <w:rStyle w:val="17"/>
          <w:rFonts w:ascii="仿宋" w:hAnsi="仿宋" w:eastAsia="仿宋"/>
          <w:b w:val="0"/>
          <w:bCs/>
          <w:sz w:val="32"/>
          <w:szCs w:val="32"/>
        </w:rPr>
        <w:t>%</w:t>
      </w:r>
      <w:r>
        <w:rPr>
          <w:rStyle w:val="17"/>
          <w:rFonts w:hint="eastAsia" w:ascii="仿宋" w:hAnsi="仿宋" w:eastAsia="仿宋"/>
          <w:b w:val="0"/>
          <w:bCs/>
          <w:sz w:val="32"/>
          <w:szCs w:val="32"/>
        </w:rPr>
        <w:t>，决算数</w:t>
      </w:r>
      <w:r>
        <w:rPr>
          <w:rStyle w:val="17"/>
          <w:rFonts w:hint="eastAsia" w:ascii="仿宋" w:hAnsi="仿宋" w:eastAsia="仿宋"/>
          <w:b w:val="0"/>
          <w:bCs/>
          <w:sz w:val="32"/>
          <w:szCs w:val="32"/>
          <w:lang w:eastAsia="zh-CN"/>
        </w:rPr>
        <w:t>小于</w:t>
      </w:r>
      <w:r>
        <w:rPr>
          <w:rStyle w:val="17"/>
          <w:rFonts w:hint="eastAsia" w:ascii="仿宋" w:hAnsi="仿宋" w:eastAsia="仿宋"/>
          <w:b w:val="0"/>
          <w:bCs/>
          <w:sz w:val="32"/>
          <w:szCs w:val="32"/>
        </w:rPr>
        <w:t>预算数的主要原因</w:t>
      </w:r>
      <w:r>
        <w:rPr>
          <w:rStyle w:val="17"/>
          <w:rFonts w:hint="eastAsia" w:ascii="仿宋" w:hAnsi="仿宋" w:eastAsia="仿宋"/>
          <w:b w:val="0"/>
          <w:bCs/>
          <w:sz w:val="32"/>
          <w:szCs w:val="32"/>
          <w:lang w:val="en-US" w:eastAsia="zh-CN"/>
        </w:rPr>
        <w:t>人员减少</w:t>
      </w:r>
      <w:r>
        <w:rPr>
          <w:rStyle w:val="17"/>
          <w:rFonts w:hint="eastAsia" w:ascii="仿宋" w:hAnsi="仿宋" w:eastAsia="仿宋"/>
          <w:b w:val="0"/>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1-1表和财决08表，仅罗列本单位涉及的全部功能分类科目，至项级。上述“预算”口径为全年预算数。增减变动原因为决算数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和全年预算数</w:t>
      </w:r>
      <w:r>
        <w:rPr>
          <w:rFonts w:ascii="仿宋" w:hAnsi="仿宋" w:eastAsia="仿宋"/>
          <w:b/>
          <w:sz w:val="32"/>
          <w:szCs w:val="32"/>
        </w:rPr>
        <w:t>&lt;</w:t>
      </w:r>
      <w:r>
        <w:rPr>
          <w:rFonts w:hint="eastAsia" w:ascii="仿宋" w:hAnsi="仿宋" w:eastAsia="仿宋"/>
          <w:b/>
          <w:sz w:val="32"/>
          <w:szCs w:val="32"/>
        </w:rPr>
        <w:t>项级</w:t>
      </w:r>
      <w:r>
        <w:rPr>
          <w:rFonts w:ascii="仿宋" w:hAnsi="仿宋" w:eastAsia="仿宋"/>
          <w:b/>
          <w:sz w:val="32"/>
          <w:szCs w:val="32"/>
        </w:rPr>
        <w:t>&gt;</w:t>
      </w:r>
      <w:r>
        <w:rPr>
          <w:rFonts w:hint="eastAsia" w:ascii="仿宋" w:hAnsi="仿宋" w:eastAsia="仿宋"/>
          <w:b/>
          <w:sz w:val="32"/>
          <w:szCs w:val="32"/>
        </w:rPr>
        <w:t>比较，与预算数持平可以不写原因。）</w:t>
      </w:r>
    </w:p>
    <w:p>
      <w:pPr>
        <w:keepNext w:val="0"/>
        <w:keepLines w:val="0"/>
        <w:pageBreakBefore w:val="0"/>
        <w:widowControl w:val="0"/>
        <w:tabs>
          <w:tab w:val="right" w:pos="8306"/>
        </w:tabs>
        <w:kinsoku/>
        <w:wordWrap/>
        <w:overflowPunct/>
        <w:topLinePunct w:val="0"/>
        <w:autoSpaceDE/>
        <w:autoSpaceDN/>
        <w:bidi w:val="0"/>
        <w:adjustRightInd/>
        <w:snapToGrid/>
        <w:spacing w:line="560" w:lineRule="exact"/>
        <w:ind w:firstLine="640" w:firstLineChars="200"/>
        <w:textAlignment w:val="auto"/>
        <w:outlineLvl w:val="1"/>
        <w:rPr>
          <w:rStyle w:val="29"/>
        </w:rPr>
      </w:pPr>
      <w:bookmarkStart w:id="28" w:name="_Toc15377214"/>
      <w:bookmarkStart w:id="29" w:name="_Toc15396608"/>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9"/>
          <w:rFonts w:hint="eastAsia" w:ascii="黑体" w:hAnsi="黑体" w:eastAsia="黑体"/>
          <w:b w:val="0"/>
        </w:rPr>
        <w:t>般公共预算财政拨款基本支出决算情况说明</w:t>
      </w:r>
      <w:bookmarkEnd w:id="28"/>
      <w:bookmarkEnd w:id="29"/>
      <w:r>
        <w:rPr>
          <w:rStyle w:val="29"/>
          <w:rFonts w:ascii="黑体" w:hAnsi="黑体" w:eastAsia="黑体"/>
          <w:b w:val="0"/>
        </w:rPr>
        <w:tab/>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sz w:val="32"/>
          <w:szCs w:val="32"/>
        </w:rPr>
      </w:pPr>
      <w:r>
        <w:rPr>
          <w:rFonts w:hint="eastAsia" w:ascii="仿宋" w:hAnsi="仿宋" w:eastAsia="仿宋"/>
          <w:sz w:val="32"/>
          <w:szCs w:val="32"/>
        </w:rPr>
        <w:t>2023年度一般公共预算财政拨款基本支出</w:t>
      </w:r>
      <w:r>
        <w:rPr>
          <w:rFonts w:hint="eastAsia" w:ascii="仿宋" w:hAnsi="仿宋" w:eastAsia="仿宋"/>
          <w:sz w:val="32"/>
          <w:szCs w:val="32"/>
          <w:lang w:val="en-US" w:eastAsia="zh-CN"/>
        </w:rPr>
        <w:t>212.3</w:t>
      </w:r>
      <w:r>
        <w:rPr>
          <w:rFonts w:hint="eastAsia" w:ascii="仿宋" w:hAnsi="仿宋" w:eastAsia="仿宋"/>
          <w:sz w:val="32"/>
          <w:szCs w:val="32"/>
        </w:rPr>
        <w:t>万元，其中：</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sz w:val="32"/>
          <w:szCs w:val="32"/>
        </w:rPr>
      </w:pPr>
      <w:r>
        <w:rPr>
          <w:rFonts w:hint="eastAsia" w:ascii="仿宋" w:hAnsi="仿宋" w:eastAsia="仿宋"/>
          <w:sz w:val="32"/>
          <w:szCs w:val="32"/>
        </w:rPr>
        <w:t>人员经费</w:t>
      </w:r>
      <w:r>
        <w:rPr>
          <w:rFonts w:hint="eastAsia" w:ascii="仿宋" w:hAnsi="仿宋" w:eastAsia="仿宋"/>
          <w:sz w:val="32"/>
          <w:szCs w:val="32"/>
          <w:lang w:val="en-US" w:eastAsia="zh-CN"/>
        </w:rPr>
        <w:t>200.03</w:t>
      </w:r>
      <w:r>
        <w:rPr>
          <w:rFonts w:hint="eastAsia" w:ascii="仿宋" w:hAnsi="仿宋" w:eastAsia="仿宋"/>
          <w:sz w:val="32"/>
          <w:szCs w:val="32"/>
        </w:rPr>
        <w:t>万元，主要包括：基本工资</w:t>
      </w:r>
      <w:r>
        <w:rPr>
          <w:rFonts w:hint="eastAsia" w:ascii="仿宋" w:hAnsi="仿宋" w:eastAsia="仿宋"/>
          <w:sz w:val="32"/>
          <w:szCs w:val="32"/>
          <w:lang w:val="en-US" w:eastAsia="zh-CN"/>
        </w:rPr>
        <w:t>35.33万元</w:t>
      </w:r>
      <w:r>
        <w:rPr>
          <w:rFonts w:hint="eastAsia" w:ascii="仿宋" w:hAnsi="仿宋" w:eastAsia="仿宋"/>
          <w:sz w:val="32"/>
          <w:szCs w:val="32"/>
        </w:rPr>
        <w:t>、津贴补贴</w:t>
      </w:r>
      <w:r>
        <w:rPr>
          <w:rFonts w:hint="eastAsia" w:ascii="仿宋" w:hAnsi="仿宋" w:eastAsia="仿宋"/>
          <w:sz w:val="32"/>
          <w:szCs w:val="32"/>
          <w:lang w:val="en-US" w:eastAsia="zh-CN"/>
        </w:rPr>
        <w:t>60.28万元</w:t>
      </w:r>
      <w:r>
        <w:rPr>
          <w:rFonts w:hint="eastAsia" w:ascii="仿宋" w:hAnsi="仿宋" w:eastAsia="仿宋"/>
          <w:sz w:val="32"/>
          <w:szCs w:val="32"/>
        </w:rPr>
        <w:t>、奖金</w:t>
      </w:r>
      <w:r>
        <w:rPr>
          <w:rFonts w:hint="eastAsia" w:ascii="仿宋" w:hAnsi="仿宋" w:eastAsia="仿宋"/>
          <w:sz w:val="32"/>
          <w:szCs w:val="32"/>
          <w:lang w:val="en-US" w:eastAsia="zh-CN"/>
        </w:rPr>
        <w:t>47.01万元</w:t>
      </w:r>
      <w:r>
        <w:rPr>
          <w:rFonts w:hint="eastAsia" w:ascii="仿宋" w:hAnsi="仿宋" w:eastAsia="仿宋"/>
          <w:sz w:val="32"/>
          <w:szCs w:val="32"/>
        </w:rPr>
        <w:t>、伙食补助费</w:t>
      </w:r>
      <w:r>
        <w:rPr>
          <w:rFonts w:hint="eastAsia" w:ascii="仿宋" w:hAnsi="仿宋" w:eastAsia="仿宋"/>
          <w:sz w:val="32"/>
          <w:szCs w:val="32"/>
          <w:lang w:val="en-US" w:eastAsia="zh-CN"/>
        </w:rPr>
        <w:t>0万元</w:t>
      </w:r>
      <w:r>
        <w:rPr>
          <w:rFonts w:hint="eastAsia" w:ascii="仿宋" w:hAnsi="仿宋" w:eastAsia="仿宋"/>
          <w:sz w:val="32"/>
          <w:szCs w:val="32"/>
        </w:rPr>
        <w:t>、绩效工资</w:t>
      </w:r>
      <w:r>
        <w:rPr>
          <w:rFonts w:hint="eastAsia" w:ascii="仿宋" w:hAnsi="仿宋" w:eastAsia="仿宋"/>
          <w:sz w:val="32"/>
          <w:szCs w:val="32"/>
          <w:lang w:val="en-US" w:eastAsia="zh-CN"/>
        </w:rPr>
        <w:t>0万元</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18.53万元</w:t>
      </w:r>
      <w:r>
        <w:rPr>
          <w:rFonts w:hint="eastAsia" w:ascii="仿宋" w:hAnsi="仿宋" w:eastAsia="仿宋"/>
          <w:sz w:val="32"/>
          <w:szCs w:val="32"/>
        </w:rPr>
        <w:t>、职业年金缴费</w:t>
      </w:r>
      <w:r>
        <w:rPr>
          <w:rFonts w:hint="eastAsia" w:ascii="仿宋" w:hAnsi="仿宋" w:eastAsia="仿宋"/>
          <w:sz w:val="32"/>
          <w:szCs w:val="32"/>
          <w:lang w:val="en-US" w:eastAsia="zh-CN"/>
        </w:rPr>
        <w:t>9.26万元</w:t>
      </w:r>
      <w:r>
        <w:rPr>
          <w:rFonts w:hint="eastAsia" w:ascii="仿宋" w:hAnsi="仿宋" w:eastAsia="仿宋"/>
          <w:sz w:val="32"/>
          <w:szCs w:val="32"/>
        </w:rPr>
        <w:t>、其他社会保障缴费</w:t>
      </w:r>
      <w:r>
        <w:rPr>
          <w:rFonts w:hint="eastAsia" w:ascii="仿宋" w:hAnsi="仿宋" w:eastAsia="仿宋"/>
          <w:sz w:val="32"/>
          <w:szCs w:val="32"/>
          <w:lang w:val="en-US" w:eastAsia="zh-CN"/>
        </w:rPr>
        <w:t>1.99万元</w:t>
      </w:r>
      <w:r>
        <w:rPr>
          <w:rFonts w:hint="eastAsia" w:ascii="仿宋" w:hAnsi="仿宋" w:eastAsia="仿宋"/>
          <w:sz w:val="32"/>
          <w:szCs w:val="32"/>
        </w:rPr>
        <w:t>、其他工资福利</w:t>
      </w:r>
      <w:r>
        <w:rPr>
          <w:rFonts w:hint="eastAsia" w:ascii="仿宋" w:hAnsi="仿宋" w:eastAsia="仿宋"/>
          <w:sz w:val="32"/>
          <w:szCs w:val="32"/>
          <w:lang w:val="en-US" w:eastAsia="zh-CN"/>
        </w:rPr>
        <w:t>0万元</w:t>
      </w:r>
      <w:r>
        <w:rPr>
          <w:rFonts w:hint="eastAsia" w:ascii="仿宋" w:hAnsi="仿宋" w:eastAsia="仿宋"/>
          <w:sz w:val="32"/>
          <w:szCs w:val="32"/>
        </w:rPr>
        <w:t>、离休费</w:t>
      </w:r>
      <w:r>
        <w:rPr>
          <w:rFonts w:hint="eastAsia" w:ascii="仿宋" w:hAnsi="仿宋" w:eastAsia="仿宋"/>
          <w:sz w:val="32"/>
          <w:szCs w:val="32"/>
          <w:lang w:val="en-US" w:eastAsia="zh-CN"/>
        </w:rPr>
        <w:t>0万元</w:t>
      </w:r>
      <w:r>
        <w:rPr>
          <w:rFonts w:hint="eastAsia" w:ascii="仿宋" w:hAnsi="仿宋" w:eastAsia="仿宋"/>
          <w:sz w:val="32"/>
          <w:szCs w:val="32"/>
        </w:rPr>
        <w:t>、退休费</w:t>
      </w:r>
      <w:r>
        <w:rPr>
          <w:rFonts w:hint="eastAsia" w:ascii="仿宋" w:hAnsi="仿宋" w:eastAsia="仿宋"/>
          <w:sz w:val="32"/>
          <w:szCs w:val="32"/>
          <w:lang w:val="en-US" w:eastAsia="zh-CN"/>
        </w:rPr>
        <w:t>0万元</w:t>
      </w:r>
      <w:r>
        <w:rPr>
          <w:rFonts w:hint="eastAsia" w:ascii="仿宋" w:hAnsi="仿宋" w:eastAsia="仿宋"/>
          <w:sz w:val="32"/>
          <w:szCs w:val="32"/>
        </w:rPr>
        <w:t>、抚恤金</w:t>
      </w:r>
      <w:r>
        <w:rPr>
          <w:rFonts w:hint="eastAsia" w:ascii="仿宋" w:hAnsi="仿宋" w:eastAsia="仿宋"/>
          <w:sz w:val="32"/>
          <w:szCs w:val="32"/>
          <w:lang w:val="en-US" w:eastAsia="zh-CN"/>
        </w:rPr>
        <w:t>0万元</w:t>
      </w:r>
      <w:r>
        <w:rPr>
          <w:rFonts w:hint="eastAsia" w:ascii="仿宋" w:hAnsi="仿宋" w:eastAsia="仿宋"/>
          <w:sz w:val="32"/>
          <w:szCs w:val="32"/>
        </w:rPr>
        <w:t>、生活补助</w:t>
      </w:r>
      <w:r>
        <w:rPr>
          <w:rFonts w:hint="eastAsia" w:ascii="仿宋" w:hAnsi="仿宋" w:eastAsia="仿宋"/>
          <w:sz w:val="32"/>
          <w:szCs w:val="32"/>
          <w:lang w:val="en-US" w:eastAsia="zh-CN"/>
        </w:rPr>
        <w:t>0万元</w:t>
      </w:r>
      <w:r>
        <w:rPr>
          <w:rFonts w:hint="eastAsia" w:ascii="仿宋" w:hAnsi="仿宋" w:eastAsia="仿宋"/>
          <w:sz w:val="32"/>
          <w:szCs w:val="32"/>
        </w:rPr>
        <w:t>、医疗费</w:t>
      </w:r>
      <w:r>
        <w:rPr>
          <w:rFonts w:hint="eastAsia" w:ascii="仿宋" w:hAnsi="仿宋" w:eastAsia="仿宋"/>
          <w:sz w:val="32"/>
          <w:szCs w:val="32"/>
          <w:lang w:val="en-US" w:eastAsia="zh-CN"/>
        </w:rPr>
        <w:t>1.2万元</w:t>
      </w:r>
      <w:r>
        <w:rPr>
          <w:rFonts w:hint="eastAsia" w:ascii="仿宋" w:hAnsi="仿宋" w:eastAsia="仿宋"/>
          <w:sz w:val="32"/>
          <w:szCs w:val="32"/>
        </w:rPr>
        <w:t>、</w:t>
      </w:r>
      <w:r>
        <w:rPr>
          <w:rFonts w:hint="eastAsia" w:ascii="仿宋" w:hAnsi="仿宋" w:eastAsia="仿宋"/>
          <w:sz w:val="32"/>
          <w:szCs w:val="32"/>
          <w:lang w:eastAsia="zh-CN"/>
        </w:rPr>
        <w:t>医疗补助</w:t>
      </w:r>
      <w:r>
        <w:rPr>
          <w:rFonts w:hint="eastAsia" w:ascii="仿宋" w:hAnsi="仿宋" w:eastAsia="仿宋"/>
          <w:sz w:val="32"/>
          <w:szCs w:val="32"/>
          <w:lang w:val="en-US" w:eastAsia="zh-CN"/>
        </w:rPr>
        <w:t>1.04万元、</w:t>
      </w:r>
      <w:r>
        <w:rPr>
          <w:rFonts w:hint="eastAsia" w:ascii="仿宋" w:hAnsi="仿宋" w:eastAsia="仿宋"/>
          <w:sz w:val="32"/>
          <w:szCs w:val="32"/>
          <w:lang w:eastAsia="zh-CN"/>
        </w:rPr>
        <w:t>职工基本医疗保险缴费支出</w:t>
      </w:r>
      <w:r>
        <w:rPr>
          <w:rFonts w:hint="eastAsia" w:ascii="仿宋" w:hAnsi="仿宋" w:eastAsia="仿宋"/>
          <w:sz w:val="32"/>
          <w:szCs w:val="32"/>
          <w:lang w:val="en-US" w:eastAsia="zh-CN"/>
        </w:rPr>
        <w:t>9.67万元、公务员医疗补助缴费2.13万元、</w:t>
      </w:r>
      <w:r>
        <w:rPr>
          <w:rFonts w:hint="eastAsia" w:ascii="仿宋" w:hAnsi="仿宋" w:eastAsia="仿宋"/>
          <w:sz w:val="32"/>
          <w:szCs w:val="32"/>
        </w:rPr>
        <w:t>奖励金</w:t>
      </w:r>
      <w:r>
        <w:rPr>
          <w:rFonts w:hint="eastAsia" w:ascii="仿宋" w:hAnsi="仿宋" w:eastAsia="仿宋"/>
          <w:sz w:val="32"/>
          <w:szCs w:val="32"/>
          <w:lang w:val="en-US" w:eastAsia="zh-CN"/>
        </w:rPr>
        <w:t>0万元</w:t>
      </w:r>
      <w:r>
        <w:rPr>
          <w:rFonts w:hint="eastAsia" w:ascii="仿宋" w:hAnsi="仿宋" w:eastAsia="仿宋"/>
          <w:sz w:val="32"/>
          <w:szCs w:val="32"/>
        </w:rPr>
        <w:t>、住房公积金</w:t>
      </w:r>
      <w:r>
        <w:rPr>
          <w:rFonts w:hint="eastAsia" w:ascii="仿宋" w:hAnsi="仿宋" w:eastAsia="仿宋"/>
          <w:sz w:val="32"/>
          <w:szCs w:val="32"/>
          <w:lang w:val="en-US" w:eastAsia="zh-CN"/>
        </w:rPr>
        <w:t>13.6万元等</w:t>
      </w:r>
      <w:r>
        <w:rPr>
          <w:rFonts w:hint="eastAsia" w:ascii="仿宋" w:hAnsi="仿宋" w:eastAsia="仿宋"/>
          <w:sz w:val="32"/>
          <w:szCs w:val="32"/>
        </w:rPr>
        <w:t>。</w:t>
      </w:r>
      <w:r>
        <w:rPr>
          <w:rFonts w:ascii="仿宋" w:hAnsi="仿宋" w:eastAsia="仿宋"/>
          <w:sz w:val="32"/>
          <w:szCs w:val="32"/>
        </w:rPr>
        <w:br w:type="textWrapping"/>
      </w:r>
      <w:r>
        <w:rPr>
          <w:rFonts w:hint="eastAsia" w:ascii="仿宋" w:hAnsi="仿宋" w:eastAsia="仿宋"/>
          <w:sz w:val="32"/>
          <w:szCs w:val="32"/>
        </w:rPr>
        <w:t>　　公用经费</w:t>
      </w:r>
      <w:r>
        <w:rPr>
          <w:rFonts w:ascii="仿宋" w:hAnsi="仿宋" w:eastAsia="仿宋"/>
          <w:b/>
          <w:sz w:val="32"/>
          <w:szCs w:val="32"/>
        </w:rPr>
        <w:t>12.27</w:t>
      </w:r>
      <w:r>
        <w:rPr>
          <w:rFonts w:hint="eastAsia" w:ascii="仿宋" w:hAnsi="仿宋" w:eastAsia="仿宋"/>
          <w:sz w:val="32"/>
          <w:szCs w:val="32"/>
        </w:rPr>
        <w:t>万元，主要包括：办公费</w:t>
      </w:r>
      <w:r>
        <w:rPr>
          <w:rFonts w:hint="eastAsia" w:ascii="仿宋" w:hAnsi="仿宋" w:eastAsia="仿宋"/>
          <w:sz w:val="32"/>
          <w:szCs w:val="32"/>
          <w:lang w:val="en-US" w:eastAsia="zh-CN"/>
        </w:rPr>
        <w:t>4.88万元</w:t>
      </w:r>
      <w:r>
        <w:rPr>
          <w:rFonts w:hint="eastAsia" w:ascii="仿宋" w:hAnsi="仿宋" w:eastAsia="仿宋"/>
          <w:sz w:val="32"/>
          <w:szCs w:val="32"/>
        </w:rPr>
        <w:t>、印刷费</w:t>
      </w:r>
      <w:r>
        <w:rPr>
          <w:rFonts w:hint="eastAsia" w:ascii="仿宋" w:hAnsi="仿宋" w:eastAsia="仿宋"/>
          <w:sz w:val="32"/>
          <w:szCs w:val="32"/>
          <w:lang w:val="en-US" w:eastAsia="zh-CN"/>
        </w:rPr>
        <w:t>0万元</w:t>
      </w:r>
      <w:r>
        <w:rPr>
          <w:rFonts w:hint="eastAsia" w:ascii="仿宋" w:hAnsi="仿宋" w:eastAsia="仿宋"/>
          <w:sz w:val="32"/>
          <w:szCs w:val="32"/>
        </w:rPr>
        <w:t>、咨询费</w:t>
      </w:r>
      <w:r>
        <w:rPr>
          <w:rFonts w:hint="eastAsia" w:ascii="仿宋" w:hAnsi="仿宋" w:eastAsia="仿宋"/>
          <w:sz w:val="32"/>
          <w:szCs w:val="32"/>
          <w:lang w:val="en-US" w:eastAsia="zh-CN"/>
        </w:rPr>
        <w:t>0万元</w:t>
      </w:r>
      <w:r>
        <w:rPr>
          <w:rFonts w:hint="eastAsia" w:ascii="仿宋" w:hAnsi="仿宋" w:eastAsia="仿宋"/>
          <w:sz w:val="32"/>
          <w:szCs w:val="32"/>
        </w:rPr>
        <w:t>、手续费</w:t>
      </w:r>
      <w:r>
        <w:rPr>
          <w:rFonts w:hint="eastAsia" w:ascii="仿宋" w:hAnsi="仿宋" w:eastAsia="仿宋"/>
          <w:sz w:val="32"/>
          <w:szCs w:val="32"/>
          <w:lang w:val="en-US" w:eastAsia="zh-CN"/>
        </w:rPr>
        <w:t>0万元</w:t>
      </w:r>
      <w:r>
        <w:rPr>
          <w:rFonts w:hint="eastAsia" w:ascii="仿宋" w:hAnsi="仿宋" w:eastAsia="仿宋"/>
          <w:sz w:val="32"/>
          <w:szCs w:val="32"/>
        </w:rPr>
        <w:t>、水费</w:t>
      </w:r>
      <w:r>
        <w:rPr>
          <w:rFonts w:hint="eastAsia" w:ascii="仿宋" w:hAnsi="仿宋" w:eastAsia="仿宋"/>
          <w:sz w:val="32"/>
          <w:szCs w:val="32"/>
          <w:lang w:val="en-US" w:eastAsia="zh-CN"/>
        </w:rPr>
        <w:t>0.07万元</w:t>
      </w:r>
      <w:r>
        <w:rPr>
          <w:rFonts w:hint="eastAsia" w:ascii="仿宋" w:hAnsi="仿宋" w:eastAsia="仿宋"/>
          <w:sz w:val="32"/>
          <w:szCs w:val="32"/>
        </w:rPr>
        <w:t>、电费</w:t>
      </w:r>
      <w:r>
        <w:rPr>
          <w:rFonts w:hint="eastAsia" w:ascii="仿宋" w:hAnsi="仿宋" w:eastAsia="仿宋"/>
          <w:sz w:val="32"/>
          <w:szCs w:val="32"/>
          <w:lang w:val="en-US" w:eastAsia="zh-CN"/>
        </w:rPr>
        <w:t>0.06万元</w:t>
      </w:r>
      <w:r>
        <w:rPr>
          <w:rFonts w:hint="eastAsia" w:ascii="仿宋" w:hAnsi="仿宋" w:eastAsia="仿宋"/>
          <w:sz w:val="32"/>
          <w:szCs w:val="32"/>
        </w:rPr>
        <w:t>、邮电费</w:t>
      </w:r>
      <w:r>
        <w:rPr>
          <w:rFonts w:hint="eastAsia" w:ascii="仿宋" w:hAnsi="仿宋" w:eastAsia="仿宋"/>
          <w:sz w:val="32"/>
          <w:szCs w:val="32"/>
          <w:lang w:val="en-US" w:eastAsia="zh-CN"/>
        </w:rPr>
        <w:t>0.44万元</w:t>
      </w:r>
      <w:r>
        <w:rPr>
          <w:rFonts w:hint="eastAsia" w:ascii="仿宋" w:hAnsi="仿宋" w:eastAsia="仿宋"/>
          <w:sz w:val="32"/>
          <w:szCs w:val="32"/>
        </w:rPr>
        <w:t>、取暖费</w:t>
      </w:r>
      <w:r>
        <w:rPr>
          <w:rFonts w:hint="eastAsia" w:ascii="仿宋" w:hAnsi="仿宋" w:eastAsia="仿宋"/>
          <w:sz w:val="32"/>
          <w:szCs w:val="32"/>
          <w:lang w:val="en-US" w:eastAsia="zh-CN"/>
        </w:rPr>
        <w:t>0.21万元</w:t>
      </w:r>
      <w:r>
        <w:rPr>
          <w:rFonts w:hint="eastAsia" w:ascii="仿宋" w:hAnsi="仿宋" w:eastAsia="仿宋"/>
          <w:sz w:val="32"/>
          <w:szCs w:val="32"/>
        </w:rPr>
        <w:t>、物业管理费</w:t>
      </w:r>
      <w:r>
        <w:rPr>
          <w:rFonts w:hint="eastAsia" w:ascii="仿宋" w:hAnsi="仿宋" w:eastAsia="仿宋"/>
          <w:sz w:val="32"/>
          <w:szCs w:val="32"/>
          <w:lang w:val="en-US" w:eastAsia="zh-CN"/>
        </w:rPr>
        <w:t>0万元</w:t>
      </w:r>
      <w:r>
        <w:rPr>
          <w:rFonts w:hint="eastAsia" w:ascii="仿宋" w:hAnsi="仿宋" w:eastAsia="仿宋"/>
          <w:sz w:val="32"/>
          <w:szCs w:val="32"/>
        </w:rPr>
        <w:t>、差旅费</w:t>
      </w:r>
      <w:r>
        <w:rPr>
          <w:rFonts w:hint="eastAsia" w:ascii="仿宋" w:hAnsi="仿宋" w:eastAsia="仿宋"/>
          <w:sz w:val="32"/>
          <w:szCs w:val="32"/>
          <w:lang w:val="en-US" w:eastAsia="zh-CN"/>
        </w:rPr>
        <w:t>3.07万元</w:t>
      </w:r>
      <w:r>
        <w:rPr>
          <w:rFonts w:hint="eastAsia" w:ascii="仿宋" w:hAnsi="仿宋" w:eastAsia="仿宋"/>
          <w:sz w:val="32"/>
          <w:szCs w:val="32"/>
        </w:rPr>
        <w:t>、因公出国（境）费用</w:t>
      </w:r>
      <w:r>
        <w:rPr>
          <w:rFonts w:hint="eastAsia" w:ascii="仿宋" w:hAnsi="仿宋" w:eastAsia="仿宋"/>
          <w:sz w:val="32"/>
          <w:szCs w:val="32"/>
          <w:lang w:val="en-US" w:eastAsia="zh-CN"/>
        </w:rPr>
        <w:t>0万元</w:t>
      </w:r>
      <w:r>
        <w:rPr>
          <w:rFonts w:hint="eastAsia" w:ascii="仿宋" w:hAnsi="仿宋" w:eastAsia="仿宋"/>
          <w:sz w:val="32"/>
          <w:szCs w:val="32"/>
        </w:rPr>
        <w:t>、维修（护）费</w:t>
      </w:r>
      <w:r>
        <w:rPr>
          <w:rFonts w:hint="eastAsia" w:ascii="仿宋" w:hAnsi="仿宋" w:eastAsia="仿宋"/>
          <w:sz w:val="32"/>
          <w:szCs w:val="32"/>
          <w:lang w:val="en-US" w:eastAsia="zh-CN"/>
        </w:rPr>
        <w:t>0万元</w:t>
      </w:r>
      <w:r>
        <w:rPr>
          <w:rFonts w:hint="eastAsia" w:ascii="仿宋" w:hAnsi="仿宋" w:eastAsia="仿宋"/>
          <w:sz w:val="32"/>
          <w:szCs w:val="32"/>
        </w:rPr>
        <w:t>、租赁费</w:t>
      </w:r>
      <w:r>
        <w:rPr>
          <w:rFonts w:hint="eastAsia" w:ascii="仿宋" w:hAnsi="仿宋" w:eastAsia="仿宋"/>
          <w:sz w:val="32"/>
          <w:szCs w:val="32"/>
          <w:lang w:val="en-US" w:eastAsia="zh-CN"/>
        </w:rPr>
        <w:t>0万元</w:t>
      </w:r>
      <w:r>
        <w:rPr>
          <w:rFonts w:hint="eastAsia" w:ascii="仿宋" w:hAnsi="仿宋" w:eastAsia="仿宋"/>
          <w:sz w:val="32"/>
          <w:szCs w:val="32"/>
        </w:rPr>
        <w:t>、会议费</w:t>
      </w:r>
      <w:r>
        <w:rPr>
          <w:rFonts w:hint="eastAsia" w:ascii="仿宋" w:hAnsi="仿宋" w:eastAsia="仿宋"/>
          <w:sz w:val="32"/>
          <w:szCs w:val="32"/>
          <w:lang w:val="en-US" w:eastAsia="zh-CN"/>
        </w:rPr>
        <w:t>0万元</w:t>
      </w:r>
      <w:r>
        <w:rPr>
          <w:rFonts w:hint="eastAsia" w:ascii="仿宋" w:hAnsi="仿宋" w:eastAsia="仿宋"/>
          <w:sz w:val="32"/>
          <w:szCs w:val="32"/>
        </w:rPr>
        <w:t>、培训费</w:t>
      </w:r>
      <w:r>
        <w:rPr>
          <w:rFonts w:hint="eastAsia" w:ascii="仿宋" w:hAnsi="仿宋" w:eastAsia="仿宋"/>
          <w:sz w:val="32"/>
          <w:szCs w:val="32"/>
          <w:lang w:val="en-US" w:eastAsia="zh-CN"/>
        </w:rPr>
        <w:t>0万元</w:t>
      </w:r>
      <w:r>
        <w:rPr>
          <w:rFonts w:hint="eastAsia" w:ascii="仿宋" w:hAnsi="仿宋" w:eastAsia="仿宋"/>
          <w:sz w:val="32"/>
          <w:szCs w:val="32"/>
        </w:rPr>
        <w:t>、公务接待费</w:t>
      </w:r>
      <w:r>
        <w:rPr>
          <w:rFonts w:hint="eastAsia" w:ascii="仿宋" w:hAnsi="仿宋" w:eastAsia="仿宋"/>
          <w:sz w:val="32"/>
          <w:szCs w:val="32"/>
          <w:lang w:val="en-US" w:eastAsia="zh-CN"/>
        </w:rPr>
        <w:t>0万元</w:t>
      </w:r>
      <w:r>
        <w:rPr>
          <w:rFonts w:hint="eastAsia" w:ascii="仿宋" w:hAnsi="仿宋" w:eastAsia="仿宋"/>
          <w:sz w:val="32"/>
          <w:szCs w:val="32"/>
        </w:rPr>
        <w:t>、劳务费</w:t>
      </w:r>
      <w:r>
        <w:rPr>
          <w:rFonts w:hint="eastAsia" w:ascii="仿宋" w:hAnsi="仿宋" w:eastAsia="仿宋"/>
          <w:sz w:val="32"/>
          <w:szCs w:val="32"/>
          <w:lang w:val="en-US" w:eastAsia="zh-CN"/>
        </w:rPr>
        <w:t>0万元</w:t>
      </w:r>
      <w:r>
        <w:rPr>
          <w:rFonts w:hint="eastAsia" w:ascii="仿宋" w:hAnsi="仿宋" w:eastAsia="仿宋"/>
          <w:sz w:val="32"/>
          <w:szCs w:val="32"/>
        </w:rPr>
        <w:t>、委托业务费</w:t>
      </w:r>
      <w:r>
        <w:rPr>
          <w:rFonts w:hint="eastAsia" w:ascii="仿宋" w:hAnsi="仿宋" w:eastAsia="仿宋"/>
          <w:sz w:val="32"/>
          <w:szCs w:val="32"/>
          <w:lang w:val="en-US" w:eastAsia="zh-CN"/>
        </w:rPr>
        <w:t>0万元</w:t>
      </w:r>
      <w:r>
        <w:rPr>
          <w:rFonts w:hint="eastAsia" w:ascii="仿宋" w:hAnsi="仿宋" w:eastAsia="仿宋"/>
          <w:sz w:val="32"/>
          <w:szCs w:val="32"/>
        </w:rPr>
        <w:t>、工会经费</w:t>
      </w:r>
      <w:r>
        <w:rPr>
          <w:rFonts w:hint="eastAsia" w:ascii="仿宋" w:hAnsi="仿宋" w:eastAsia="仿宋"/>
          <w:sz w:val="32"/>
          <w:szCs w:val="32"/>
          <w:lang w:val="en-US" w:eastAsia="zh-CN"/>
        </w:rPr>
        <w:t>1.44万元</w:t>
      </w:r>
      <w:r>
        <w:rPr>
          <w:rFonts w:hint="eastAsia" w:ascii="仿宋" w:hAnsi="仿宋" w:eastAsia="仿宋"/>
          <w:sz w:val="32"/>
          <w:szCs w:val="32"/>
        </w:rPr>
        <w:t>、福利费</w:t>
      </w:r>
      <w:r>
        <w:rPr>
          <w:rFonts w:hint="eastAsia" w:ascii="仿宋" w:hAnsi="仿宋" w:eastAsia="仿宋"/>
          <w:sz w:val="32"/>
          <w:szCs w:val="32"/>
          <w:lang w:val="en-US" w:eastAsia="zh-CN"/>
        </w:rPr>
        <w:t>0万元</w:t>
      </w:r>
      <w:r>
        <w:rPr>
          <w:rFonts w:hint="eastAsia" w:ascii="仿宋" w:hAnsi="仿宋" w:eastAsia="仿宋"/>
          <w:sz w:val="32"/>
          <w:szCs w:val="32"/>
        </w:rPr>
        <w:t>、公务用车运行维护费</w:t>
      </w:r>
      <w:r>
        <w:rPr>
          <w:rFonts w:hint="eastAsia" w:ascii="仿宋" w:hAnsi="仿宋" w:eastAsia="仿宋"/>
          <w:sz w:val="32"/>
          <w:szCs w:val="32"/>
          <w:lang w:val="en-US" w:eastAsia="zh-CN"/>
        </w:rPr>
        <w:t>2.1万元</w:t>
      </w:r>
      <w:r>
        <w:rPr>
          <w:rFonts w:hint="eastAsia" w:ascii="仿宋" w:hAnsi="仿宋" w:eastAsia="仿宋"/>
          <w:sz w:val="32"/>
          <w:szCs w:val="32"/>
        </w:rPr>
        <w:t>、其他交通费</w:t>
      </w:r>
      <w:r>
        <w:rPr>
          <w:rFonts w:hint="eastAsia" w:ascii="仿宋" w:hAnsi="仿宋" w:eastAsia="仿宋"/>
          <w:sz w:val="32"/>
          <w:szCs w:val="32"/>
          <w:lang w:val="en-US" w:eastAsia="zh-CN"/>
        </w:rPr>
        <w:t>0万元</w:t>
      </w:r>
      <w:r>
        <w:rPr>
          <w:rFonts w:hint="eastAsia" w:ascii="仿宋" w:hAnsi="仿宋" w:eastAsia="仿宋"/>
          <w:sz w:val="32"/>
          <w:szCs w:val="32"/>
        </w:rPr>
        <w:t>、税金及附加费用</w:t>
      </w:r>
      <w:r>
        <w:rPr>
          <w:rFonts w:hint="eastAsia" w:ascii="仿宋" w:hAnsi="仿宋" w:eastAsia="仿宋"/>
          <w:sz w:val="32"/>
          <w:szCs w:val="32"/>
          <w:lang w:val="en-US" w:eastAsia="zh-CN"/>
        </w:rPr>
        <w:t>0万元</w:t>
      </w:r>
      <w:r>
        <w:rPr>
          <w:rFonts w:hint="eastAsia" w:ascii="仿宋" w:hAnsi="仿宋" w:eastAsia="仿宋"/>
          <w:sz w:val="32"/>
          <w:szCs w:val="32"/>
        </w:rPr>
        <w:t>、其他商品和服务支出</w:t>
      </w:r>
      <w:r>
        <w:rPr>
          <w:rFonts w:hint="eastAsia" w:ascii="仿宋" w:hAnsi="仿宋" w:eastAsia="仿宋"/>
          <w:sz w:val="32"/>
          <w:szCs w:val="32"/>
          <w:lang w:val="en-US" w:eastAsia="zh-CN"/>
        </w:rPr>
        <w:t>0万元</w:t>
      </w:r>
      <w:r>
        <w:rPr>
          <w:rFonts w:hint="eastAsia" w:ascii="仿宋" w:hAnsi="仿宋" w:eastAsia="仿宋"/>
          <w:sz w:val="32"/>
          <w:szCs w:val="32"/>
        </w:rPr>
        <w:t>、办公设备购置</w:t>
      </w:r>
      <w:r>
        <w:rPr>
          <w:rFonts w:hint="eastAsia" w:ascii="仿宋" w:hAnsi="仿宋" w:eastAsia="仿宋"/>
          <w:sz w:val="32"/>
          <w:szCs w:val="32"/>
          <w:lang w:val="en-US" w:eastAsia="zh-CN"/>
        </w:rPr>
        <w:t>0万元</w:t>
      </w:r>
      <w:r>
        <w:rPr>
          <w:rFonts w:hint="eastAsia" w:ascii="仿宋" w:hAnsi="仿宋" w:eastAsia="仿宋"/>
          <w:sz w:val="32"/>
          <w:szCs w:val="32"/>
        </w:rPr>
        <w:t>、专用设备购置</w:t>
      </w:r>
      <w:r>
        <w:rPr>
          <w:rFonts w:hint="eastAsia" w:ascii="仿宋" w:hAnsi="仿宋" w:eastAsia="仿宋"/>
          <w:sz w:val="32"/>
          <w:szCs w:val="32"/>
          <w:lang w:val="en-US" w:eastAsia="zh-CN"/>
        </w:rPr>
        <w:t>0万元</w:t>
      </w:r>
      <w:r>
        <w:rPr>
          <w:rFonts w:hint="eastAsia" w:ascii="仿宋" w:hAnsi="仿宋" w:eastAsia="仿宋"/>
          <w:sz w:val="32"/>
          <w:szCs w:val="32"/>
        </w:rPr>
        <w:t>、信息网络及软件购置更新</w:t>
      </w:r>
      <w:r>
        <w:rPr>
          <w:rFonts w:hint="eastAsia" w:ascii="仿宋" w:hAnsi="仿宋" w:eastAsia="仿宋"/>
          <w:sz w:val="32"/>
          <w:szCs w:val="32"/>
          <w:lang w:val="en-US" w:eastAsia="zh-CN"/>
        </w:rPr>
        <w:t>0万元</w:t>
      </w:r>
      <w:r>
        <w:rPr>
          <w:rFonts w:hint="eastAsia" w:ascii="仿宋" w:hAnsi="仿宋" w:eastAsia="仿宋"/>
          <w:sz w:val="32"/>
          <w:szCs w:val="32"/>
        </w:rPr>
        <w:t>、其他资本性支</w:t>
      </w:r>
      <w:r>
        <w:rPr>
          <w:rFonts w:hint="eastAsia" w:ascii="仿宋" w:hAnsi="仿宋" w:eastAsia="仿宋"/>
          <w:sz w:val="32"/>
          <w:szCs w:val="32"/>
          <w:lang w:val="en-US" w:eastAsia="zh-CN"/>
        </w:rPr>
        <w:t>0万元</w:t>
      </w:r>
      <w:r>
        <w:rPr>
          <w:rFonts w:hint="eastAsia" w:ascii="仿宋" w:hAnsi="仿宋" w:eastAsia="仿宋"/>
          <w:sz w:val="32"/>
          <w:szCs w:val="32"/>
        </w:rPr>
        <w:t>出等。</w:t>
      </w:r>
    </w:p>
    <w:p>
      <w:pPr>
        <w:keepNext w:val="0"/>
        <w:keepLines w:val="0"/>
        <w:pageBreakBefore w:val="0"/>
        <w:widowControl w:val="0"/>
        <w:kinsoku/>
        <w:wordWrap/>
        <w:overflowPunct/>
        <w:topLinePunct w:val="0"/>
        <w:autoSpaceDE/>
        <w:autoSpaceDN/>
        <w:bidi w:val="0"/>
        <w:adjustRightInd/>
        <w:snapToGrid/>
        <w:spacing w:line="560" w:lineRule="exact"/>
        <w:ind w:firstLine="645"/>
        <w:textAlignment w:val="auto"/>
        <w:rPr>
          <w:rFonts w:ascii="仿宋" w:hAnsi="仿宋" w:eastAsia="仿宋"/>
          <w:b/>
          <w:sz w:val="32"/>
          <w:szCs w:val="32"/>
        </w:rPr>
      </w:pPr>
      <w:r>
        <w:rPr>
          <w:rFonts w:hint="eastAsia" w:ascii="仿宋" w:hAnsi="仿宋" w:eastAsia="仿宋"/>
          <w:b/>
          <w:sz w:val="32"/>
          <w:szCs w:val="32"/>
        </w:rPr>
        <w:t>（注：数据来源于财决</w:t>
      </w:r>
      <w:r>
        <w:rPr>
          <w:rFonts w:ascii="仿宋" w:hAnsi="仿宋" w:eastAsia="仿宋"/>
          <w:b/>
          <w:sz w:val="32"/>
          <w:szCs w:val="32"/>
        </w:rPr>
        <w:t>0</w:t>
      </w:r>
      <w:r>
        <w:rPr>
          <w:rFonts w:hint="eastAsia" w:ascii="仿宋" w:hAnsi="仿宋" w:eastAsia="仿宋"/>
          <w:b/>
          <w:sz w:val="32"/>
          <w:szCs w:val="32"/>
        </w:rPr>
        <w:t>7表和财决08-1表，仅罗列本单位实际支出涉及的经济分类科目。）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1"/>
        <w:rPr>
          <w:rStyle w:val="29"/>
          <w:rFonts w:ascii="黑体" w:hAnsi="黑体" w:eastAsia="黑体"/>
          <w:b w:val="0"/>
        </w:rPr>
      </w:pPr>
      <w:bookmarkStart w:id="30" w:name="_Toc15377215"/>
      <w:bookmarkStart w:id="31" w:name="_Toc15396609"/>
      <w:r>
        <w:rPr>
          <w:rFonts w:hint="eastAsia" w:ascii="黑体" w:eastAsia="黑体"/>
          <w:sz w:val="32"/>
          <w:szCs w:val="32"/>
        </w:rPr>
        <w:t>七、</w:t>
      </w:r>
      <w:r>
        <w:rPr>
          <w:rStyle w:val="29"/>
          <w:rFonts w:hint="eastAsia" w:ascii="黑体" w:hAnsi="黑体" w:eastAsia="黑体"/>
          <w:b w:val="0"/>
        </w:rPr>
        <w:t>财政拨款</w:t>
      </w:r>
      <w:r>
        <w:rPr>
          <w:rStyle w:val="29"/>
          <w:rFonts w:hint="eastAsia" w:ascii="黑体" w:hAnsi="黑体" w:eastAsia="黑体"/>
        </w:rPr>
        <w:t>“</w:t>
      </w:r>
      <w:r>
        <w:rPr>
          <w:rStyle w:val="29"/>
          <w:rFonts w:hint="eastAsia" w:ascii="黑体" w:hAnsi="黑体" w:eastAsia="黑体"/>
          <w:b w:val="0"/>
        </w:rPr>
        <w:t>三公”经费支出决算情况说明</w:t>
      </w:r>
      <w:bookmarkEnd w:id="30"/>
      <w:bookmarkEnd w:id="3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outlineLvl w:val="2"/>
        <w:rPr>
          <w:rFonts w:ascii="仿宋" w:hAnsi="仿宋" w:eastAsia="仿宋"/>
          <w:b/>
          <w:sz w:val="32"/>
          <w:szCs w:val="32"/>
        </w:rPr>
      </w:pPr>
      <w:bookmarkStart w:id="32" w:name="_Toc15377216"/>
      <w:r>
        <w:rPr>
          <w:rFonts w:hint="eastAsia" w:ascii="仿宋" w:hAnsi="仿宋" w:eastAsia="仿宋"/>
          <w:b/>
          <w:sz w:val="32"/>
          <w:szCs w:val="32"/>
        </w:rPr>
        <w:t>（一）“三公”经费财政拨款支出决算总体情况说明</w:t>
      </w:r>
      <w:bookmarkEnd w:id="32"/>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ascii="仿宋" w:hAnsi="仿宋" w:eastAsia="仿宋"/>
          <w:sz w:val="32"/>
          <w:szCs w:val="32"/>
        </w:rPr>
      </w:pPr>
      <w:r>
        <w:rPr>
          <w:rFonts w:hint="eastAsia" w:ascii="仿宋" w:hAnsi="仿宋" w:eastAsia="仿宋"/>
          <w:sz w:val="32"/>
          <w:szCs w:val="32"/>
        </w:rPr>
        <w:t>2023年度“三公”经费财政拨款支出决算为</w:t>
      </w:r>
      <w:r>
        <w:rPr>
          <w:rFonts w:ascii="仿宋" w:hAnsi="仿宋" w:eastAsia="仿宋"/>
          <w:b/>
          <w:sz w:val="32"/>
          <w:szCs w:val="32"/>
        </w:rPr>
        <w:t>2.45</w:t>
      </w:r>
      <w:r>
        <w:rPr>
          <w:rFonts w:hint="eastAsia" w:ascii="仿宋" w:hAnsi="仿宋" w:eastAsia="仿宋"/>
          <w:sz w:val="32"/>
          <w:szCs w:val="32"/>
        </w:rPr>
        <w:t>万元，完成预算</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，较上年度减少</w:t>
      </w:r>
      <w:r>
        <w:rPr>
          <w:rFonts w:hint="eastAsia" w:ascii="仿宋" w:hAnsi="仿宋" w:eastAsia="仿宋"/>
          <w:sz w:val="32"/>
          <w:szCs w:val="32"/>
          <w:lang w:val="en-US" w:eastAsia="zh-CN"/>
        </w:rPr>
        <w:t>0.17</w:t>
      </w:r>
      <w:r>
        <w:rPr>
          <w:rFonts w:hint="eastAsia" w:ascii="仿宋" w:hAnsi="仿宋" w:eastAsia="仿宋"/>
          <w:sz w:val="32"/>
          <w:szCs w:val="32"/>
        </w:rPr>
        <w:t>万元，下降</w:t>
      </w:r>
      <w:r>
        <w:rPr>
          <w:rFonts w:hint="eastAsia" w:ascii="仿宋" w:hAnsi="仿宋" w:eastAsia="仿宋"/>
          <w:sz w:val="32"/>
          <w:szCs w:val="32"/>
          <w:lang w:val="en-US" w:eastAsia="zh-CN"/>
        </w:rPr>
        <w:t>64</w:t>
      </w:r>
      <w:r>
        <w:rPr>
          <w:rFonts w:hint="eastAsia" w:ascii="仿宋" w:hAnsi="仿宋" w:eastAsia="仿宋"/>
          <w:sz w:val="32"/>
          <w:szCs w:val="32"/>
        </w:rPr>
        <w:t>%。决算数小于预算数的主要原因</w:t>
      </w:r>
      <w:r>
        <w:rPr>
          <w:rFonts w:hint="eastAsia" w:ascii="仿宋" w:hAnsi="仿宋" w:eastAsia="仿宋"/>
          <w:sz w:val="32"/>
          <w:szCs w:val="32"/>
          <w:lang w:eastAsia="zh-CN"/>
        </w:rPr>
        <w:t>厉行节约</w:t>
      </w:r>
      <w:r>
        <w:rPr>
          <w:rFonts w:hint="eastAsia" w:ascii="仿宋" w:hAnsi="仿宋" w:eastAsia="仿宋"/>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321" w:firstLineChars="100"/>
        <w:textAlignment w:val="auto"/>
        <w:rPr>
          <w:rFonts w:ascii="仿宋" w:hAnsi="仿宋" w:eastAsia="仿宋"/>
          <w:b/>
          <w:sz w:val="32"/>
          <w:szCs w:val="32"/>
        </w:rPr>
      </w:pPr>
      <w:r>
        <w:rPr>
          <w:rFonts w:hint="eastAsia" w:ascii="仿宋" w:hAnsi="仿宋" w:eastAsia="仿宋"/>
          <w:b/>
          <w:sz w:val="32"/>
          <w:szCs w:val="32"/>
        </w:rPr>
        <w:t>（注：上述“预算”口径为全年预算数，包括一般公共预算和政府性基金预算财政拨款支出决算情况。）</w:t>
      </w:r>
    </w:p>
    <w:p>
      <w:pPr>
        <w:keepNext w:val="0"/>
        <w:keepLines w:val="0"/>
        <w:pageBreakBefore w:val="0"/>
        <w:widowControl w:val="0"/>
        <w:kinsoku/>
        <w:wordWrap/>
        <w:overflowPunct/>
        <w:topLinePunct w:val="0"/>
        <w:autoSpaceDE/>
        <w:autoSpaceDN/>
        <w:bidi w:val="0"/>
        <w:adjustRightInd/>
        <w:snapToGrid/>
        <w:spacing w:line="560" w:lineRule="exact"/>
        <w:ind w:firstLine="321" w:firstLineChars="100"/>
        <w:textAlignment w:val="auto"/>
        <w:outlineLvl w:val="2"/>
        <w:rPr>
          <w:rFonts w:ascii="仿宋" w:hAnsi="仿宋" w:eastAsia="仿宋"/>
          <w:b/>
          <w:sz w:val="32"/>
          <w:szCs w:val="32"/>
        </w:rPr>
      </w:pPr>
      <w:bookmarkStart w:id="33" w:name="_Toc15377217"/>
      <w:r>
        <w:rPr>
          <w:rFonts w:hint="eastAsia" w:ascii="仿宋" w:hAnsi="仿宋" w:eastAsia="仿宋"/>
          <w:b/>
          <w:sz w:val="32"/>
          <w:szCs w:val="32"/>
        </w:rPr>
        <w:t>（二）“三公”经费财政拨款支出决算具体情况说明</w:t>
      </w:r>
      <w:bookmarkEnd w:id="33"/>
    </w:p>
    <w:p>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sz w:val="32"/>
          <w:szCs w:val="32"/>
        </w:rPr>
      </w:pPr>
      <w:r>
        <w:rPr>
          <w:rFonts w:hint="eastAsia" w:ascii="仿宋" w:hAnsi="仿宋" w:eastAsia="仿宋"/>
          <w:sz w:val="32"/>
          <w:szCs w:val="32"/>
        </w:rPr>
        <w:t>2023年度“三公”经费财政拨款支出决算中，因公出国（境）费支出决算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ascii="仿宋" w:hAnsi="仿宋" w:eastAsia="仿宋"/>
          <w:b/>
          <w:sz w:val="32"/>
          <w:szCs w:val="32"/>
        </w:rPr>
        <w:t>2.45</w:t>
      </w:r>
      <w:r>
        <w:rPr>
          <w:rFonts w:hint="eastAsia" w:ascii="仿宋" w:hAnsi="仿宋" w:eastAsia="仿宋"/>
          <w:sz w:val="32"/>
          <w:szCs w:val="32"/>
        </w:rPr>
        <w:t>万元，占</w:t>
      </w:r>
      <w:r>
        <w:rPr>
          <w:rFonts w:ascii="仿宋" w:hAnsi="仿宋" w:eastAsia="仿宋"/>
          <w:b/>
          <w:sz w:val="32"/>
          <w:szCs w:val="32"/>
        </w:rPr>
        <w:t>100</w:t>
      </w:r>
      <w:r>
        <w:rPr>
          <w:rFonts w:ascii="仿宋" w:hAnsi="仿宋" w:eastAsia="仿宋"/>
          <w:sz w:val="32"/>
          <w:szCs w:val="32"/>
        </w:rPr>
        <w:t>%</w:t>
      </w:r>
      <w:r>
        <w:rPr>
          <w:rFonts w:hint="eastAsia" w:ascii="仿宋" w:hAnsi="仿宋" w:eastAsia="仿宋"/>
          <w:sz w:val="32"/>
          <w:szCs w:val="32"/>
        </w:rPr>
        <w:t>；公务接待费支出决算</w:t>
      </w:r>
      <w:r>
        <w:rPr>
          <w:rFonts w:ascii="仿宋" w:hAnsi="仿宋" w:eastAsia="仿宋"/>
          <w:b/>
          <w:sz w:val="32"/>
          <w:szCs w:val="32"/>
        </w:rPr>
        <w:t>0</w:t>
      </w:r>
      <w:r>
        <w:rPr>
          <w:rFonts w:hint="eastAsia" w:ascii="仿宋" w:hAnsi="仿宋" w:eastAsia="仿宋"/>
          <w:sz w:val="32"/>
          <w:szCs w:val="32"/>
        </w:rPr>
        <w:t>万元，占</w:t>
      </w:r>
      <w:r>
        <w:rPr>
          <w:rFonts w:ascii="仿宋" w:hAnsi="仿宋" w:eastAsia="仿宋"/>
          <w:b/>
          <w:sz w:val="32"/>
          <w:szCs w:val="32"/>
        </w:rPr>
        <w:t>0</w:t>
      </w:r>
      <w:r>
        <w:rPr>
          <w:rFonts w:ascii="仿宋" w:hAnsi="仿宋" w:eastAsia="仿宋"/>
          <w:sz w:val="32"/>
          <w:szCs w:val="32"/>
        </w:rPr>
        <w:t>%</w:t>
      </w:r>
      <w:r>
        <w:rPr>
          <w:rFonts w:hint="eastAsia" w:ascii="仿宋" w:hAnsi="仿宋" w:eastAsia="仿宋"/>
          <w:sz w:val="32"/>
          <w:szCs w:val="32"/>
        </w:rPr>
        <w:t>。具体情况如下：</w:t>
      </w:r>
    </w:p>
    <w:p>
      <w:pPr>
        <w:pStyle w:val="2"/>
        <w:rPr>
          <w:rFonts w:hint="eastAsia" w:ascii="仿宋" w:hAnsi="仿宋" w:eastAsia="仿宋"/>
          <w:sz w:val="32"/>
          <w:szCs w:val="32"/>
        </w:rPr>
      </w:pPr>
      <w:r>
        <w:rPr>
          <w:rFonts w:hint="eastAsia"/>
          <w:lang w:eastAsia="zh-CN"/>
        </w:rPr>
        <w:drawing>
          <wp:inline distT="0" distB="0" distL="114300" distR="114300">
            <wp:extent cx="4311650" cy="2660015"/>
            <wp:effectExtent l="4445" t="4445" r="8255" b="2159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keepNext w:val="0"/>
        <w:keepLines w:val="0"/>
        <w:pageBreakBefore w:val="0"/>
        <w:kinsoku/>
        <w:wordWrap/>
        <w:overflowPunct/>
        <w:topLinePunct w:val="0"/>
        <w:bidi w:val="0"/>
        <w:spacing w:line="560" w:lineRule="exact"/>
        <w:ind w:firstLine="640"/>
        <w:rPr>
          <w:rFonts w:ascii="仿宋" w:hAnsi="仿宋" w:eastAsia="仿宋"/>
          <w:sz w:val="32"/>
          <w:szCs w:val="32"/>
        </w:rPr>
      </w:pPr>
      <w:r>
        <w:rPr>
          <w:rFonts w:hint="eastAsia" w:ascii="仿宋" w:hAnsi="仿宋" w:eastAsia="仿宋"/>
          <w:sz w:val="32"/>
          <w:szCs w:val="32"/>
        </w:rPr>
        <w:t>（图7：“三公”经费财政拨款支出结构）（饼状图）</w:t>
      </w:r>
    </w:p>
    <w:p>
      <w:pPr>
        <w:keepNext w:val="0"/>
        <w:keepLines w:val="0"/>
        <w:pageBreakBefore w:val="0"/>
        <w:kinsoku/>
        <w:wordWrap/>
        <w:overflowPunct/>
        <w:topLinePunct w:val="0"/>
        <w:bidi w:val="0"/>
        <w:spacing w:line="560" w:lineRule="exact"/>
        <w:ind w:firstLine="643" w:firstLineChars="200"/>
        <w:rPr>
          <w:rFonts w:hint="eastAsia" w:ascii="仿宋_GB2312" w:eastAsia="仿宋_GB2312"/>
          <w:b/>
          <w:sz w:val="32"/>
          <w:szCs w:val="32"/>
          <w:lang w:eastAsia="zh-CN"/>
        </w:rPr>
      </w:pPr>
      <w:bookmarkStart w:id="34" w:name="_Toc15377218"/>
      <w:bookmarkStart w:id="35" w:name="_Toc15396610"/>
      <w:r>
        <w:rPr>
          <w:rFonts w:ascii="仿宋_GB2312" w:eastAsia="仿宋_GB2312"/>
          <w:b/>
          <w:sz w:val="32"/>
          <w:szCs w:val="32"/>
        </w:rPr>
        <w:t>1.</w:t>
      </w:r>
      <w:r>
        <w:rPr>
          <w:rFonts w:hint="eastAsia" w:ascii="仿宋_GB2312" w:eastAsia="仿宋_GB2312"/>
          <w:b/>
          <w:sz w:val="32"/>
          <w:szCs w:val="32"/>
        </w:rPr>
        <w:t>因公出国（境）经费支出</w:t>
      </w:r>
      <w:r>
        <w:rPr>
          <w:rFonts w:ascii="仿宋" w:hAnsi="仿宋" w:eastAsia="仿宋"/>
          <w:b/>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Cs/>
          <w:sz w:val="32"/>
          <w:szCs w:val="32"/>
        </w:rPr>
        <w:t>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全年安排因公出国（境）团组</w:t>
      </w:r>
      <w:r>
        <w:rPr>
          <w:rFonts w:ascii="仿宋_GB2312" w:eastAsia="仿宋_GB2312"/>
          <w:b/>
          <w:sz w:val="32"/>
          <w:szCs w:val="32"/>
        </w:rPr>
        <w:t>0</w:t>
      </w:r>
      <w:r>
        <w:rPr>
          <w:rFonts w:hint="eastAsia" w:ascii="仿宋_GB2312" w:eastAsia="仿宋_GB2312"/>
          <w:sz w:val="32"/>
          <w:szCs w:val="32"/>
        </w:rPr>
        <w:t>次，出国（境）</w:t>
      </w:r>
      <w:r>
        <w:rPr>
          <w:rFonts w:ascii="仿宋_GB2312" w:eastAsia="仿宋_GB2312"/>
          <w:b/>
          <w:sz w:val="32"/>
          <w:szCs w:val="32"/>
        </w:rPr>
        <w:t>0</w:t>
      </w:r>
      <w:r>
        <w:rPr>
          <w:rFonts w:hint="eastAsia" w:ascii="仿宋_GB2312" w:eastAsia="仿宋_GB2312"/>
          <w:sz w:val="32"/>
          <w:szCs w:val="32"/>
        </w:rPr>
        <w:t>人。因公出国（境）支出决算比2022年</w:t>
      </w:r>
      <w:r>
        <w:rPr>
          <w:rFonts w:hint="eastAsia" w:ascii="仿宋_GB2312" w:eastAsia="仿宋_GB2312"/>
          <w:sz w:val="32"/>
          <w:szCs w:val="32"/>
          <w:lang w:eastAsia="zh-CN"/>
        </w:rPr>
        <w:t>相等</w:t>
      </w:r>
    </w:p>
    <w:p>
      <w:pPr>
        <w:keepNext w:val="0"/>
        <w:keepLines w:val="0"/>
        <w:pageBreakBefore w:val="0"/>
        <w:kinsoku/>
        <w:wordWrap/>
        <w:overflowPunct/>
        <w:topLinePunct w:val="0"/>
        <w:bidi w:val="0"/>
        <w:spacing w:line="560" w:lineRule="exact"/>
        <w:ind w:firstLine="643" w:firstLineChars="20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ascii="仿宋" w:hAnsi="仿宋" w:eastAsia="仿宋"/>
          <w:b/>
          <w:sz w:val="32"/>
          <w:szCs w:val="32"/>
        </w:rPr>
        <w:t>2.45</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Cs/>
          <w:sz w:val="32"/>
          <w:szCs w:val="32"/>
        </w:rPr>
        <w:t>100</w:t>
      </w:r>
      <w:r>
        <w:rPr>
          <w:rStyle w:val="17"/>
          <w:rFonts w:ascii="仿宋" w:hAnsi="仿宋" w:eastAsia="仿宋"/>
          <w:b w:val="0"/>
          <w:bCs/>
          <w:sz w:val="32"/>
          <w:szCs w:val="32"/>
        </w:rPr>
        <w:t>%</w:t>
      </w:r>
      <w:r>
        <w:rPr>
          <w:rStyle w:val="17"/>
          <w:rFonts w:hint="eastAsia" w:ascii="仿宋" w:hAnsi="仿宋" w:eastAsia="仿宋"/>
          <w:b w:val="0"/>
          <w:bCs/>
          <w:sz w:val="32"/>
          <w:szCs w:val="32"/>
        </w:rPr>
        <w:t>。</w:t>
      </w:r>
      <w:r>
        <w:rPr>
          <w:rFonts w:hint="eastAsia" w:ascii="仿宋_GB2312" w:eastAsia="仿宋_GB2312"/>
          <w:sz w:val="32"/>
          <w:szCs w:val="32"/>
        </w:rPr>
        <w:t>公务用车购置及运行维护费支出决算比2022年度增减少</w:t>
      </w:r>
      <w:r>
        <w:rPr>
          <w:rFonts w:hint="eastAsia" w:ascii="仿宋_GB2312" w:eastAsia="仿宋_GB2312"/>
          <w:sz w:val="32"/>
          <w:szCs w:val="32"/>
          <w:lang w:val="en-US" w:eastAsia="zh-CN"/>
        </w:rPr>
        <w:t>0.17</w:t>
      </w:r>
      <w:r>
        <w:rPr>
          <w:rFonts w:hint="eastAsia" w:ascii="仿宋_GB2312" w:eastAsia="仿宋_GB2312"/>
          <w:sz w:val="32"/>
          <w:szCs w:val="32"/>
        </w:rPr>
        <w:t>万元，下降</w:t>
      </w:r>
      <w:r>
        <w:rPr>
          <w:rFonts w:hint="eastAsia" w:ascii="仿宋_GB2312" w:eastAsia="仿宋_GB2312"/>
          <w:sz w:val="32"/>
          <w:szCs w:val="32"/>
          <w:lang w:val="en-US" w:eastAsia="zh-CN"/>
        </w:rPr>
        <w:t>64</w:t>
      </w:r>
      <w:r>
        <w:rPr>
          <w:rFonts w:ascii="仿宋_GB2312" w:eastAsia="仿宋_GB2312"/>
          <w:sz w:val="32"/>
          <w:szCs w:val="32"/>
        </w:rPr>
        <w:t>%</w:t>
      </w:r>
      <w:r>
        <w:rPr>
          <w:rFonts w:hint="eastAsia" w:ascii="仿宋_GB2312" w:eastAsia="仿宋_GB2312"/>
          <w:sz w:val="32"/>
          <w:szCs w:val="32"/>
        </w:rPr>
        <w:t>。主要原因</w:t>
      </w:r>
      <w:r>
        <w:rPr>
          <w:rFonts w:hint="eastAsia" w:ascii="仿宋_GB2312" w:eastAsia="仿宋_GB2312"/>
          <w:sz w:val="32"/>
          <w:szCs w:val="32"/>
          <w:lang w:eastAsia="zh-CN"/>
        </w:rPr>
        <w:t>厉行节约</w:t>
      </w:r>
      <w:r>
        <w:rPr>
          <w:rFonts w:hint="eastAsia" w:ascii="仿宋_GB2312" w:eastAsia="仿宋_GB2312"/>
          <w:sz w:val="32"/>
          <w:szCs w:val="32"/>
        </w:rPr>
        <w:t>。</w:t>
      </w:r>
    </w:p>
    <w:p>
      <w:pPr>
        <w:keepNext w:val="0"/>
        <w:keepLines w:val="0"/>
        <w:pageBreakBefore w:val="0"/>
        <w:kinsoku/>
        <w:wordWrap/>
        <w:overflowPunct/>
        <w:topLinePunct w:val="0"/>
        <w:bidi w:val="0"/>
        <w:spacing w:line="56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ascii="仿宋" w:hAnsi="仿宋" w:eastAsia="仿宋"/>
          <w:b/>
          <w:sz w:val="32"/>
          <w:szCs w:val="32"/>
        </w:rPr>
        <w:t>0</w:t>
      </w:r>
      <w:r>
        <w:rPr>
          <w:rFonts w:hint="eastAsia" w:ascii="仿宋_GB2312" w:eastAsia="仿宋_GB2312"/>
          <w:sz w:val="32"/>
          <w:szCs w:val="32"/>
        </w:rPr>
        <w:t>万元。全年按规定更新购置公务用</w:t>
      </w:r>
      <w:r>
        <w:rPr>
          <w:rFonts w:hint="eastAsia" w:ascii="仿宋_GB2312" w:eastAsia="仿宋_GB2312"/>
          <w:sz w:val="32"/>
          <w:szCs w:val="32"/>
          <w:lang w:val="en-US" w:eastAsia="zh-CN"/>
        </w:rPr>
        <w:t>0</w:t>
      </w:r>
      <w:r>
        <w:rPr>
          <w:rFonts w:hint="eastAsia" w:ascii="仿宋_GB2312" w:eastAsia="仿宋_GB2312"/>
          <w:sz w:val="32"/>
          <w:szCs w:val="32"/>
        </w:rPr>
        <w:t>车辆，其中：轿车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万元。截至2023年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1</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keepNext w:val="0"/>
        <w:keepLines w:val="0"/>
        <w:pageBreakBefore w:val="0"/>
        <w:kinsoku/>
        <w:wordWrap/>
        <w:overflowPunct/>
        <w:topLinePunct w:val="0"/>
        <w:bidi w:val="0"/>
        <w:spacing w:line="56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rFonts w:ascii="仿宋" w:hAnsi="仿宋" w:eastAsia="仿宋"/>
          <w:b/>
          <w:sz w:val="32"/>
          <w:szCs w:val="32"/>
        </w:rPr>
        <w:t>2.45</w:t>
      </w:r>
      <w:r>
        <w:rPr>
          <w:rFonts w:hint="eastAsia" w:ascii="仿宋_GB2312" w:eastAsia="仿宋_GB2312"/>
          <w:sz w:val="32"/>
          <w:szCs w:val="32"/>
        </w:rPr>
        <w:t>万元。主要用于</w:t>
      </w:r>
      <w:r>
        <w:rPr>
          <w:rFonts w:hint="eastAsia" w:ascii="仿宋_GB2312" w:hAnsi="仿宋_GB2312" w:eastAsia="仿宋_GB2312" w:cs="仿宋_GB2312"/>
          <w:b w:val="0"/>
          <w:bCs/>
          <w:sz w:val="32"/>
          <w:szCs w:val="32"/>
        </w:rPr>
        <w:t>主</w:t>
      </w:r>
      <w:r>
        <w:rPr>
          <w:rFonts w:hint="eastAsia" w:ascii="仿宋_GB2312" w:hAnsi="仿宋_GB2312" w:eastAsia="仿宋_GB2312" w:cs="仿宋_GB2312"/>
          <w:sz w:val="32"/>
          <w:szCs w:val="32"/>
        </w:rPr>
        <w:t>要用于公务用车燃料费、维修费、过路过桥费、保险费等支出。</w:t>
      </w:r>
    </w:p>
    <w:p>
      <w:pPr>
        <w:keepNext w:val="0"/>
        <w:keepLines w:val="0"/>
        <w:pageBreakBefore w:val="0"/>
        <w:kinsoku/>
        <w:wordWrap/>
        <w:overflowPunct/>
        <w:topLinePunct w:val="0"/>
        <w:bidi w:val="0"/>
        <w:spacing w:line="56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ascii="仿宋" w:hAnsi="仿宋" w:eastAsia="仿宋"/>
          <w:b/>
          <w:sz w:val="32"/>
          <w:szCs w:val="32"/>
        </w:rPr>
        <w:t>0</w:t>
      </w:r>
      <w:r>
        <w:rPr>
          <w:rFonts w:hint="eastAsia" w:ascii="仿宋_GB2312" w:eastAsia="仿宋_GB2312"/>
          <w:sz w:val="32"/>
          <w:szCs w:val="32"/>
        </w:rPr>
        <w:t>万元，</w:t>
      </w:r>
      <w:r>
        <w:rPr>
          <w:rStyle w:val="17"/>
          <w:rFonts w:hint="eastAsia" w:ascii="仿宋" w:hAnsi="仿宋" w:eastAsia="仿宋"/>
          <w:b w:val="0"/>
          <w:bCs/>
          <w:sz w:val="32"/>
          <w:szCs w:val="32"/>
        </w:rPr>
        <w:t>完成预算</w:t>
      </w:r>
      <w:r>
        <w:rPr>
          <w:rStyle w:val="17"/>
          <w:rFonts w:ascii="仿宋" w:hAnsi="仿宋" w:eastAsia="仿宋"/>
          <w:b w:val="0"/>
          <w:bCs/>
          <w:sz w:val="32"/>
          <w:szCs w:val="32"/>
        </w:rPr>
        <w:t>0%</w:t>
      </w:r>
      <w:r>
        <w:rPr>
          <w:rStyle w:val="17"/>
          <w:rFonts w:hint="eastAsia" w:ascii="仿宋" w:hAnsi="仿宋" w:eastAsia="仿宋"/>
          <w:b w:val="0"/>
          <w:bCs/>
          <w:sz w:val="32"/>
          <w:szCs w:val="32"/>
        </w:rPr>
        <w:t>。</w:t>
      </w:r>
      <w:r>
        <w:rPr>
          <w:rFonts w:hint="eastAsia" w:ascii="仿宋_GB2312" w:eastAsia="仿宋_GB2312"/>
          <w:sz w:val="32"/>
          <w:szCs w:val="32"/>
        </w:rPr>
        <w:t>公务接待费支出决算比2022年度</w:t>
      </w:r>
      <w:r>
        <w:rPr>
          <w:rFonts w:hint="eastAsia" w:ascii="仿宋_GB2312" w:eastAsia="仿宋_GB2312"/>
          <w:sz w:val="32"/>
          <w:szCs w:val="32"/>
          <w:lang w:eastAsia="zh-CN"/>
        </w:rPr>
        <w:t>相等</w:t>
      </w:r>
      <w:r>
        <w:rPr>
          <w:rFonts w:hint="eastAsia" w:ascii="仿宋_GB2312" w:eastAsia="仿宋_GB2312"/>
          <w:sz w:val="32"/>
          <w:szCs w:val="32"/>
        </w:rPr>
        <w:t>。</w:t>
      </w:r>
    </w:p>
    <w:p>
      <w:pPr>
        <w:keepNext w:val="0"/>
        <w:keepLines w:val="0"/>
        <w:pageBreakBefore w:val="0"/>
        <w:kinsoku/>
        <w:wordWrap/>
        <w:overflowPunct/>
        <w:topLinePunct w:val="0"/>
        <w:bidi w:val="0"/>
        <w:spacing w:line="560" w:lineRule="exact"/>
        <w:ind w:firstLine="640"/>
        <w:rPr>
          <w:rFonts w:ascii="仿宋_GB2312" w:eastAsia="仿宋_GB2312"/>
          <w:sz w:val="32"/>
          <w:szCs w:val="32"/>
        </w:rPr>
      </w:pPr>
      <w:r>
        <w:rPr>
          <w:rFonts w:hint="eastAsia" w:ascii="仿宋" w:hAnsi="仿宋" w:eastAsia="仿宋"/>
          <w:b/>
          <w:sz w:val="32"/>
          <w:szCs w:val="32"/>
        </w:rPr>
        <w:t>国内公务接待支出</w:t>
      </w:r>
      <w:r>
        <w:rPr>
          <w:rFonts w:ascii="仿宋" w:hAnsi="仿宋" w:eastAsia="仿宋"/>
          <w:b/>
          <w:sz w:val="32"/>
          <w:szCs w:val="32"/>
        </w:rPr>
        <w:t>0</w:t>
      </w:r>
      <w:r>
        <w:rPr>
          <w:rFonts w:hint="eastAsia" w:ascii="仿宋_GB2312" w:eastAsia="仿宋_GB2312"/>
          <w:sz w:val="32"/>
          <w:szCs w:val="32"/>
        </w:rPr>
        <w:t>万元。国内公务接待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kinsoku/>
        <w:wordWrap/>
        <w:overflowPunct/>
        <w:topLinePunct w:val="0"/>
        <w:bidi w:val="0"/>
        <w:spacing w:line="560" w:lineRule="exact"/>
        <w:ind w:firstLine="643" w:firstLineChars="200"/>
        <w:rPr>
          <w:rFonts w:ascii="仿宋_GB2312" w:eastAsia="仿宋_GB2312"/>
          <w:sz w:val="32"/>
          <w:szCs w:val="32"/>
        </w:rPr>
      </w:pPr>
      <w:r>
        <w:rPr>
          <w:rFonts w:hint="eastAsia" w:ascii="仿宋" w:hAnsi="仿宋" w:eastAsia="仿宋"/>
          <w:b/>
          <w:sz w:val="32"/>
          <w:szCs w:val="32"/>
        </w:rPr>
        <w:t>外事接待支出</w:t>
      </w:r>
      <w:r>
        <w:rPr>
          <w:rFonts w:ascii="仿宋" w:hAnsi="仿宋" w:eastAsia="仿宋"/>
          <w:b/>
          <w:sz w:val="32"/>
          <w:szCs w:val="32"/>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keepNext w:val="0"/>
        <w:keepLines w:val="0"/>
        <w:pageBreakBefore w:val="0"/>
        <w:kinsoku/>
        <w:wordWrap/>
        <w:overflowPunct/>
        <w:topLinePunct w:val="0"/>
        <w:bidi w:val="0"/>
        <w:spacing w:line="560" w:lineRule="exact"/>
        <w:ind w:firstLine="640" w:firstLineChars="200"/>
        <w:outlineLvl w:val="1"/>
        <w:rPr>
          <w:rStyle w:val="29"/>
          <w:rFonts w:ascii="黑体" w:hAnsi="黑体" w:eastAsia="黑体"/>
        </w:rPr>
      </w:pPr>
      <w:r>
        <w:rPr>
          <w:rFonts w:hint="eastAsia" w:ascii="黑体" w:eastAsia="黑体"/>
          <w:sz w:val="32"/>
          <w:szCs w:val="32"/>
        </w:rPr>
        <w:t>八、</w:t>
      </w:r>
      <w:r>
        <w:rPr>
          <w:rStyle w:val="29"/>
          <w:rFonts w:hint="eastAsia" w:ascii="黑体" w:hAnsi="黑体" w:eastAsia="黑体"/>
          <w:b w:val="0"/>
        </w:rPr>
        <w:t>政府性基金预算支出决算情况说明</w:t>
      </w:r>
      <w:bookmarkEnd w:id="34"/>
      <w:bookmarkEnd w:id="35"/>
    </w:p>
    <w:p>
      <w:pPr>
        <w:keepNext w:val="0"/>
        <w:keepLines w:val="0"/>
        <w:pageBreakBefore w:val="0"/>
        <w:kinsoku/>
        <w:wordWrap/>
        <w:overflowPunct/>
        <w:topLinePunct w:val="0"/>
        <w:bidi w:val="0"/>
        <w:spacing w:line="560" w:lineRule="exact"/>
        <w:ind w:firstLine="640"/>
        <w:rPr>
          <w:rFonts w:ascii="仿宋_GB2312" w:eastAsia="仿宋_GB2312"/>
          <w:sz w:val="32"/>
          <w:szCs w:val="32"/>
        </w:rPr>
      </w:pPr>
      <w:r>
        <w:rPr>
          <w:rFonts w:hint="eastAsia" w:ascii="仿宋_GB2312" w:eastAsia="仿宋_GB2312"/>
          <w:sz w:val="32"/>
          <w:szCs w:val="32"/>
        </w:rPr>
        <w:t>2023年度政府性基金预算财政拨款支出</w:t>
      </w:r>
      <w:r>
        <w:rPr>
          <w:rFonts w:ascii="仿宋" w:hAnsi="仿宋" w:eastAsia="仿宋"/>
          <w:b/>
          <w:sz w:val="32"/>
          <w:szCs w:val="32"/>
        </w:rPr>
        <w:t>0</w:t>
      </w:r>
      <w:r>
        <w:rPr>
          <w:rFonts w:hint="eastAsia" w:ascii="仿宋_GB2312" w:eastAsia="仿宋_GB2312"/>
          <w:sz w:val="32"/>
          <w:szCs w:val="32"/>
        </w:rPr>
        <w:t>万元。</w:t>
      </w:r>
    </w:p>
    <w:p>
      <w:pPr>
        <w:keepNext w:val="0"/>
        <w:keepLines w:val="0"/>
        <w:pageBreakBefore w:val="0"/>
        <w:numPr>
          <w:ilvl w:val="0"/>
          <w:numId w:val="0"/>
        </w:numPr>
        <w:kinsoku/>
        <w:wordWrap/>
        <w:overflowPunct/>
        <w:topLinePunct w:val="0"/>
        <w:bidi w:val="0"/>
        <w:spacing w:line="560" w:lineRule="exact"/>
        <w:ind w:firstLine="640" w:firstLineChars="200"/>
        <w:outlineLvl w:val="1"/>
        <w:rPr>
          <w:rStyle w:val="29"/>
          <w:rFonts w:ascii="黑体" w:hAnsi="黑体" w:eastAsia="黑体"/>
          <w:b w:val="0"/>
        </w:rPr>
      </w:pPr>
      <w:bookmarkStart w:id="36" w:name="_Toc15396611"/>
      <w:bookmarkStart w:id="37" w:name="_Toc15377219"/>
      <w:r>
        <w:rPr>
          <w:rStyle w:val="29"/>
          <w:rFonts w:hint="eastAsia" w:ascii="黑体" w:hAnsi="黑体" w:eastAsia="黑体"/>
          <w:b w:val="0"/>
          <w:lang w:val="en-US" w:eastAsia="zh-CN"/>
        </w:rPr>
        <w:t>九、</w:t>
      </w:r>
      <w:r>
        <w:rPr>
          <w:rStyle w:val="29"/>
          <w:rFonts w:hint="eastAsia" w:ascii="黑体" w:hAnsi="黑体" w:eastAsia="黑体"/>
          <w:b w:val="0"/>
        </w:rPr>
        <w:t>国有资本经营预算支出决算情况说明</w:t>
      </w:r>
      <w:bookmarkEnd w:id="36"/>
      <w:bookmarkEnd w:id="37"/>
    </w:p>
    <w:p>
      <w:pPr>
        <w:keepNext w:val="0"/>
        <w:keepLines w:val="0"/>
        <w:pageBreakBefore w:val="0"/>
        <w:kinsoku/>
        <w:wordWrap/>
        <w:overflowPunct/>
        <w:topLinePunct w:val="0"/>
        <w:bidi w:val="0"/>
        <w:spacing w:line="56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2023年度国有资本经营预算财政拨款支出</w:t>
      </w:r>
      <w:r>
        <w:rPr>
          <w:rFonts w:ascii="仿宋" w:hAnsi="仿宋" w:eastAsia="仿宋"/>
          <w:b/>
          <w:sz w:val="32"/>
          <w:szCs w:val="32"/>
        </w:rPr>
        <w:t>0</w:t>
      </w:r>
      <w:r>
        <w:rPr>
          <w:rFonts w:hint="eastAsia" w:ascii="仿宋_GB2312" w:eastAsia="仿宋_GB2312"/>
          <w:sz w:val="32"/>
          <w:szCs w:val="32"/>
        </w:rPr>
        <w:t>万元。</w:t>
      </w:r>
    </w:p>
    <w:p>
      <w:pPr>
        <w:keepNext w:val="0"/>
        <w:keepLines w:val="0"/>
        <w:pageBreakBefore w:val="0"/>
        <w:numPr>
          <w:ilvl w:val="0"/>
          <w:numId w:val="0"/>
        </w:numPr>
        <w:kinsoku/>
        <w:wordWrap/>
        <w:overflowPunct/>
        <w:topLinePunct w:val="0"/>
        <w:bidi w:val="0"/>
        <w:spacing w:line="560" w:lineRule="exact"/>
        <w:ind w:firstLine="640" w:firstLineChars="200"/>
        <w:outlineLvl w:val="1"/>
        <w:rPr>
          <w:rStyle w:val="29"/>
          <w:rFonts w:ascii="黑体" w:hAnsi="黑体" w:eastAsia="黑体"/>
          <w:b w:val="0"/>
        </w:rPr>
      </w:pPr>
      <w:bookmarkStart w:id="38" w:name="_Toc15396612"/>
      <w:bookmarkStart w:id="39" w:name="_Toc15377221"/>
      <w:r>
        <w:rPr>
          <w:rStyle w:val="29"/>
          <w:rFonts w:hint="eastAsia" w:ascii="黑体" w:hAnsi="黑体" w:eastAsia="黑体"/>
          <w:b w:val="0"/>
          <w:lang w:val="en-US" w:eastAsia="zh-CN"/>
        </w:rPr>
        <w:t>十、</w:t>
      </w:r>
      <w:r>
        <w:rPr>
          <w:rStyle w:val="29"/>
          <w:rFonts w:hint="eastAsia" w:ascii="黑体" w:hAnsi="黑体" w:eastAsia="黑体"/>
          <w:b w:val="0"/>
        </w:rPr>
        <w:t>其他重要事项的情况说明</w:t>
      </w:r>
      <w:bookmarkEnd w:id="38"/>
      <w:bookmarkEnd w:id="39"/>
    </w:p>
    <w:p>
      <w:pPr>
        <w:keepNext w:val="0"/>
        <w:keepLines w:val="0"/>
        <w:pageBreakBefore w:val="0"/>
        <w:kinsoku/>
        <w:wordWrap/>
        <w:overflowPunct/>
        <w:topLinePunct w:val="0"/>
        <w:bidi w:val="0"/>
        <w:spacing w:line="560" w:lineRule="exact"/>
        <w:ind w:firstLine="643" w:firstLineChars="200"/>
        <w:outlineLvl w:val="2"/>
        <w:rPr>
          <w:rFonts w:ascii="仿宋" w:hAnsi="仿宋" w:eastAsia="仿宋"/>
          <w:sz w:val="32"/>
          <w:szCs w:val="32"/>
        </w:rPr>
      </w:pPr>
      <w:bookmarkStart w:id="40" w:name="_Toc15377222"/>
      <w:r>
        <w:rPr>
          <w:rFonts w:hint="eastAsia" w:ascii="仿宋" w:hAnsi="仿宋" w:eastAsia="仿宋"/>
          <w:b/>
          <w:sz w:val="32"/>
          <w:szCs w:val="32"/>
        </w:rPr>
        <w:t>（一）机关运行经费支出情况</w:t>
      </w:r>
      <w:bookmarkEnd w:id="40"/>
    </w:p>
    <w:p>
      <w:pPr>
        <w:keepNext w:val="0"/>
        <w:keepLines w:val="0"/>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val="0"/>
          <w:bCs/>
          <w:sz w:val="32"/>
          <w:szCs w:val="32"/>
        </w:rPr>
        <w:t>红原县党史研究和地方志编纂中心</w:t>
      </w:r>
      <w:r>
        <w:rPr>
          <w:rFonts w:hint="eastAsia" w:ascii="仿宋_GB2312" w:eastAsia="仿宋_GB2312"/>
          <w:sz w:val="32"/>
          <w:szCs w:val="32"/>
        </w:rPr>
        <w:t>机关运行经费支出</w:t>
      </w:r>
      <w:r>
        <w:rPr>
          <w:rFonts w:ascii="仿宋" w:hAnsi="仿宋" w:eastAsia="仿宋"/>
          <w:b/>
          <w:sz w:val="32"/>
          <w:szCs w:val="32"/>
        </w:rPr>
        <w:t>12.27</w:t>
      </w:r>
      <w:r>
        <w:rPr>
          <w:rFonts w:hint="eastAsia" w:ascii="仿宋_GB2312" w:eastAsia="仿宋_GB2312"/>
          <w:sz w:val="32"/>
          <w:szCs w:val="32"/>
        </w:rPr>
        <w:t>万元，比2022年度增加</w:t>
      </w:r>
      <w:r>
        <w:rPr>
          <w:rFonts w:hint="eastAsia" w:ascii="仿宋_GB2312" w:eastAsia="仿宋_GB2312"/>
          <w:sz w:val="32"/>
          <w:szCs w:val="32"/>
          <w:lang w:val="en-US" w:eastAsia="zh-CN"/>
        </w:rPr>
        <w:t>1.23</w:t>
      </w:r>
      <w:r>
        <w:rPr>
          <w:rFonts w:hint="eastAsia" w:ascii="仿宋_GB2312" w:eastAsia="仿宋_GB2312"/>
          <w:sz w:val="32"/>
          <w:szCs w:val="32"/>
        </w:rPr>
        <w:t>万元，增长</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项目增加出差几率提高</w:t>
      </w:r>
      <w:r>
        <w:rPr>
          <w:rFonts w:hint="eastAsia" w:ascii="仿宋_GB2312" w:eastAsia="仿宋_GB2312"/>
          <w:sz w:val="32"/>
          <w:szCs w:val="32"/>
        </w:rPr>
        <w:t>。</w:t>
      </w:r>
    </w:p>
    <w:p>
      <w:pPr>
        <w:keepNext w:val="0"/>
        <w:keepLines w:val="0"/>
        <w:pageBreakBefore w:val="0"/>
        <w:kinsoku/>
        <w:wordWrap/>
        <w:overflowPunct/>
        <w:topLinePunct w:val="0"/>
        <w:bidi w:val="0"/>
        <w:spacing w:line="56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keepNext w:val="0"/>
        <w:keepLines w:val="0"/>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sz w:val="32"/>
          <w:szCs w:val="32"/>
        </w:rPr>
      </w:pPr>
      <w:bookmarkStart w:id="41" w:name="_Toc15377223"/>
      <w:r>
        <w:rPr>
          <w:rFonts w:hint="eastAsia" w:ascii="仿宋" w:hAnsi="仿宋" w:eastAsia="仿宋"/>
          <w:b/>
          <w:sz w:val="32"/>
          <w:szCs w:val="32"/>
        </w:rPr>
        <w:t>（二）政府采购支出情况</w:t>
      </w:r>
      <w:bookmarkEnd w:id="41"/>
    </w:p>
    <w:p>
      <w:pPr>
        <w:keepNext w:val="0"/>
        <w:keepLines w:val="0"/>
        <w:pageBreakBefore w:val="0"/>
        <w:kinsoku/>
        <w:wordWrap/>
        <w:overflowPunct/>
        <w:topLinePunct w:val="0"/>
        <w:bidi w:val="0"/>
        <w:spacing w:line="560" w:lineRule="exact"/>
        <w:ind w:firstLine="640" w:firstLineChars="200"/>
        <w:rPr>
          <w:rFonts w:ascii="仿宋_GB2312" w:eastAsia="仿宋_GB2312"/>
          <w:sz w:val="32"/>
          <w:szCs w:val="32"/>
        </w:rPr>
      </w:pPr>
      <w:r>
        <w:rPr>
          <w:rFonts w:hint="eastAsia" w:ascii="仿宋_GB2312" w:eastAsia="仿宋_GB2312"/>
          <w:sz w:val="32"/>
          <w:szCs w:val="32"/>
        </w:rPr>
        <w:t>2023年度，</w:t>
      </w:r>
      <w:r>
        <w:rPr>
          <w:rFonts w:ascii="仿宋_GB2312" w:eastAsia="仿宋_GB2312"/>
          <w:b w:val="0"/>
          <w:bCs/>
          <w:sz w:val="32"/>
          <w:szCs w:val="32"/>
        </w:rPr>
        <w:t>红原县党史研究和地方志编纂中心</w:t>
      </w:r>
      <w:r>
        <w:rPr>
          <w:rFonts w:hint="eastAsia" w:ascii="仿宋_GB2312" w:eastAsia="仿宋_GB2312"/>
          <w:sz w:val="32"/>
          <w:szCs w:val="32"/>
        </w:rPr>
        <w:t>政府采购支出总额</w:t>
      </w:r>
      <w:r>
        <w:rPr>
          <w:rFonts w:ascii="仿宋" w:hAnsi="仿宋" w:eastAsia="仿宋"/>
          <w:b/>
          <w:sz w:val="32"/>
          <w:szCs w:val="32"/>
        </w:rPr>
        <w:t>56.16</w:t>
      </w:r>
      <w:r>
        <w:rPr>
          <w:rFonts w:hint="eastAsia" w:ascii="仿宋_GB2312" w:eastAsia="仿宋_GB2312"/>
          <w:sz w:val="32"/>
          <w:szCs w:val="32"/>
        </w:rPr>
        <w:t>万元，其中：政府采购货物支出</w:t>
      </w:r>
      <w:r>
        <w:rPr>
          <w:rFonts w:ascii="仿宋" w:hAnsi="仿宋" w:eastAsia="仿宋"/>
          <w:b/>
          <w:sz w:val="32"/>
          <w:szCs w:val="32"/>
        </w:rPr>
        <w:t>0</w:t>
      </w:r>
      <w:r>
        <w:rPr>
          <w:rFonts w:hint="eastAsia" w:ascii="仿宋_GB2312" w:eastAsia="仿宋_GB2312"/>
          <w:sz w:val="32"/>
          <w:szCs w:val="32"/>
        </w:rPr>
        <w:t>万元、政府采购工程支出</w:t>
      </w:r>
      <w:r>
        <w:rPr>
          <w:rFonts w:ascii="仿宋" w:hAnsi="仿宋" w:eastAsia="仿宋"/>
          <w:b/>
          <w:sz w:val="32"/>
          <w:szCs w:val="32"/>
        </w:rPr>
        <w:t>0</w:t>
      </w:r>
      <w:r>
        <w:rPr>
          <w:rFonts w:hint="eastAsia" w:ascii="仿宋_GB2312" w:eastAsia="仿宋_GB2312"/>
          <w:sz w:val="32"/>
          <w:szCs w:val="32"/>
        </w:rPr>
        <w:t>万元、政府采购服务支出</w:t>
      </w:r>
      <w:r>
        <w:rPr>
          <w:rFonts w:ascii="仿宋" w:hAnsi="仿宋" w:eastAsia="仿宋"/>
          <w:b/>
          <w:sz w:val="32"/>
          <w:szCs w:val="32"/>
        </w:rPr>
        <w:t>56.16</w:t>
      </w:r>
      <w:r>
        <w:rPr>
          <w:rFonts w:hint="eastAsia" w:ascii="仿宋_GB2312" w:eastAsia="仿宋_GB2312"/>
          <w:sz w:val="32"/>
          <w:szCs w:val="32"/>
        </w:rPr>
        <w:t>万元。主要用</w:t>
      </w:r>
      <w:r>
        <w:rPr>
          <w:rFonts w:hint="eastAsia" w:ascii="仿宋_GB2312" w:eastAsia="仿宋_GB2312"/>
          <w:sz w:val="32"/>
          <w:szCs w:val="32"/>
          <w:lang w:eastAsia="zh-CN"/>
        </w:rPr>
        <w:t>于采购《》</w:t>
      </w:r>
      <w:r>
        <w:rPr>
          <w:rFonts w:hint="eastAsia" w:ascii="仿宋_GB2312" w:eastAsia="仿宋_GB2312"/>
          <w:sz w:val="32"/>
          <w:szCs w:val="32"/>
        </w:rPr>
        <w:t>）。授予中小企业合同金额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sz w:val="32"/>
          <w:szCs w:val="32"/>
        </w:rPr>
        <w:t>0%</w:t>
      </w:r>
      <w:r>
        <w:rPr>
          <w:rFonts w:hint="eastAsia" w:ascii="仿宋_GB2312" w:eastAsia="仿宋_GB2312"/>
          <w:sz w:val="32"/>
          <w:szCs w:val="32"/>
        </w:rPr>
        <w:t>，其中：授予小微企业合同金额</w:t>
      </w:r>
      <w:r>
        <w:rPr>
          <w:rFonts w:ascii="仿宋" w:hAnsi="仿宋" w:eastAsia="仿宋"/>
          <w:b/>
          <w:sz w:val="32"/>
          <w:szCs w:val="32"/>
        </w:rPr>
        <w:t>0</w:t>
      </w:r>
      <w:r>
        <w:rPr>
          <w:rFonts w:hint="eastAsia" w:ascii="仿宋_GB2312" w:eastAsia="仿宋_GB2312"/>
          <w:sz w:val="32"/>
          <w:szCs w:val="32"/>
        </w:rPr>
        <w:t>万元，占政府采购支出总额的</w:t>
      </w:r>
      <w:r>
        <w:rPr>
          <w:rFonts w:ascii="仿宋_GB2312" w:eastAsia="仿宋_GB2312"/>
          <w:b/>
          <w:sz w:val="32"/>
          <w:szCs w:val="32"/>
        </w:rPr>
        <w:t>0</w:t>
      </w:r>
      <w:r>
        <w:rPr>
          <w:rFonts w:ascii="仿宋_GB2312" w:eastAsia="仿宋_GB2312"/>
          <w:sz w:val="32"/>
          <w:szCs w:val="32"/>
        </w:rPr>
        <w:t>%</w:t>
      </w:r>
      <w:r>
        <w:rPr>
          <w:rFonts w:hint="eastAsia" w:ascii="仿宋_GB2312" w:eastAsia="仿宋_GB2312"/>
          <w:sz w:val="32"/>
          <w:szCs w:val="32"/>
        </w:rPr>
        <w:t>。</w:t>
      </w:r>
    </w:p>
    <w:p>
      <w:pPr>
        <w:keepNext w:val="0"/>
        <w:keepLines w:val="0"/>
        <w:pageBreakBefore w:val="0"/>
        <w:kinsoku/>
        <w:wordWrap/>
        <w:overflowPunct/>
        <w:topLinePunct w:val="0"/>
        <w:bidi w:val="0"/>
        <w:spacing w:line="560" w:lineRule="exact"/>
        <w:ind w:firstLine="643" w:firstLineChars="200"/>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w:t>
      </w:r>
    </w:p>
    <w:p>
      <w:pPr>
        <w:keepNext w:val="0"/>
        <w:keepLines w:val="0"/>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sz w:val="32"/>
          <w:szCs w:val="32"/>
        </w:rPr>
      </w:pPr>
      <w:bookmarkStart w:id="42" w:name="_Toc15377224"/>
      <w:r>
        <w:rPr>
          <w:rFonts w:hint="eastAsia" w:ascii="仿宋" w:hAnsi="仿宋" w:eastAsia="仿宋"/>
          <w:b/>
          <w:sz w:val="32"/>
          <w:szCs w:val="32"/>
        </w:rPr>
        <w:t>（三）国有资产占有使用情况</w:t>
      </w:r>
      <w:bookmarkEnd w:id="42"/>
    </w:p>
    <w:p>
      <w:pPr>
        <w:keepNext w:val="0"/>
        <w:keepLines w:val="0"/>
        <w:pageBreakBefore w:val="0"/>
        <w:kinsoku/>
        <w:wordWrap/>
        <w:overflowPunct/>
        <w:topLinePunct w:val="0"/>
        <w:autoSpaceDE w:val="0"/>
        <w:autoSpaceDN w:val="0"/>
        <w:bidi w:val="0"/>
        <w:adjustRightInd w:val="0"/>
        <w:spacing w:line="560" w:lineRule="exact"/>
        <w:ind w:firstLine="640" w:firstLineChars="200"/>
        <w:jc w:val="left"/>
        <w:rPr>
          <w:rFonts w:ascii="仿宋_GB2312" w:eastAsia="仿宋_GB2312"/>
          <w:sz w:val="32"/>
          <w:szCs w:val="32"/>
        </w:rPr>
      </w:pPr>
      <w:r>
        <w:rPr>
          <w:rFonts w:hint="eastAsia" w:ascii="仿宋_GB2312" w:eastAsia="仿宋_GB2312"/>
          <w:sz w:val="32"/>
          <w:szCs w:val="32"/>
        </w:rPr>
        <w:t>截至2023年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ascii="仿宋_GB2312" w:eastAsia="仿宋_GB2312"/>
          <w:b/>
          <w:sz w:val="32"/>
          <w:szCs w:val="32"/>
        </w:rPr>
        <w:t>红原县党史研究和地方志编纂中心</w:t>
      </w:r>
      <w:r>
        <w:rPr>
          <w:rFonts w:hint="eastAsia" w:ascii="仿宋_GB2312" w:eastAsia="仿宋_GB2312"/>
          <w:sz w:val="32"/>
          <w:szCs w:val="32"/>
        </w:rPr>
        <w:t>共有车辆</w:t>
      </w:r>
      <w:r>
        <w:rPr>
          <w:rFonts w:hint="eastAsia" w:ascii="仿宋_GB2312" w:eastAsia="仿宋_GB2312"/>
          <w:b/>
          <w:sz w:val="32"/>
          <w:szCs w:val="32"/>
        </w:rPr>
        <w:t>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辆，其他用车主</w:t>
      </w:r>
      <w:r>
        <w:rPr>
          <w:rFonts w:hint="eastAsia" w:ascii="仿宋_GB2312" w:eastAsia="仿宋_GB2312"/>
          <w:sz w:val="32"/>
          <w:szCs w:val="32"/>
          <w:lang w:val="en-US" w:eastAsia="zh-CN"/>
        </w:rPr>
        <w:t>0辆</w:t>
      </w:r>
      <w:r>
        <w:rPr>
          <w:rFonts w:hint="eastAsia" w:ascii="仿宋_GB2312" w:eastAsia="仿宋_GB2312"/>
          <w:sz w:val="32"/>
          <w:szCs w:val="32"/>
        </w:rPr>
        <w:t>。单价</w:t>
      </w:r>
      <w:r>
        <w:rPr>
          <w:rFonts w:ascii="仿宋_GB2312" w:eastAsia="仿宋_GB2312"/>
          <w:sz w:val="32"/>
          <w:szCs w:val="32"/>
        </w:rPr>
        <w:t>100</w:t>
      </w:r>
      <w:r>
        <w:rPr>
          <w:rFonts w:hint="eastAsia" w:ascii="仿宋_GB2312" w:eastAsia="仿宋_GB2312"/>
          <w:sz w:val="32"/>
          <w:szCs w:val="32"/>
        </w:rPr>
        <w:t>万元以上设备</w:t>
      </w:r>
      <w:r>
        <w:rPr>
          <w:rFonts w:ascii="仿宋_GB2312" w:eastAsia="仿宋_GB2312"/>
          <w:b/>
          <w:sz w:val="32"/>
          <w:szCs w:val="32"/>
        </w:rPr>
        <w:t>0</w:t>
      </w:r>
      <w:r>
        <w:rPr>
          <w:rFonts w:hint="eastAsia" w:ascii="仿宋_GB2312" w:eastAsia="仿宋_GB2312"/>
          <w:sz w:val="32"/>
          <w:szCs w:val="32"/>
        </w:rPr>
        <w:t>台。</w:t>
      </w:r>
    </w:p>
    <w:p>
      <w:pPr>
        <w:keepNext w:val="0"/>
        <w:keepLines w:val="0"/>
        <w:pageBreakBefore w:val="0"/>
        <w:kinsoku/>
        <w:wordWrap/>
        <w:overflowPunct/>
        <w:topLinePunct w:val="0"/>
        <w:autoSpaceDE w:val="0"/>
        <w:autoSpaceDN w:val="0"/>
        <w:bidi w:val="0"/>
        <w:adjustRightInd w:val="0"/>
        <w:spacing w:line="560" w:lineRule="exact"/>
        <w:ind w:firstLine="643" w:firstLineChars="200"/>
        <w:jc w:val="left"/>
        <w:rPr>
          <w:rFonts w:ascii="仿宋" w:hAnsi="仿宋" w:eastAsia="仿宋"/>
          <w:b/>
          <w:sz w:val="32"/>
          <w:szCs w:val="32"/>
        </w:rPr>
      </w:pPr>
      <w:r>
        <w:rPr>
          <w:rFonts w:hint="eastAsia" w:ascii="仿宋" w:hAnsi="仿宋" w:eastAsia="仿宋"/>
          <w:b/>
          <w:sz w:val="32"/>
          <w:szCs w:val="32"/>
        </w:rPr>
        <w:t>（注：数据来源于财决附</w:t>
      </w:r>
      <w:r>
        <w:rPr>
          <w:rFonts w:ascii="仿宋" w:hAnsi="仿宋" w:eastAsia="仿宋"/>
          <w:b/>
          <w:sz w:val="32"/>
          <w:szCs w:val="32"/>
        </w:rPr>
        <w:t>03</w:t>
      </w:r>
      <w:r>
        <w:rPr>
          <w:rFonts w:hint="eastAsia" w:ascii="仿宋" w:hAnsi="仿宋" w:eastAsia="仿宋"/>
          <w:b/>
          <w:sz w:val="32"/>
          <w:szCs w:val="32"/>
        </w:rPr>
        <w:t>表，按单位决算报表填报数据罗列车辆情况。）</w:t>
      </w:r>
    </w:p>
    <w:p>
      <w:pPr>
        <w:keepNext w:val="0"/>
        <w:keepLines w:val="0"/>
        <w:pageBreakBefore w:val="0"/>
        <w:kinsoku/>
        <w:wordWrap/>
        <w:overflowPunct/>
        <w:topLinePunct w:val="0"/>
        <w:autoSpaceDE w:val="0"/>
        <w:autoSpaceDN w:val="0"/>
        <w:bidi w:val="0"/>
        <w:adjustRightInd w:val="0"/>
        <w:spacing w:line="56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keepNext w:val="0"/>
        <w:keepLines w:val="0"/>
        <w:pageBreakBefore w:val="0"/>
        <w:numPr>
          <w:ilvl w:val="0"/>
          <w:numId w:val="0"/>
        </w:numPr>
        <w:kinsoku/>
        <w:wordWrap/>
        <w:overflowPunct/>
        <w:topLinePunct w:val="0"/>
        <w:bidi w:val="0"/>
        <w:spacing w:line="560" w:lineRule="exact"/>
        <w:ind w:firstLine="640" w:firstLineChars="200"/>
        <w:outlineLvl w:val="1"/>
        <w:rPr>
          <w:rStyle w:val="29"/>
          <w:rFonts w:hint="eastAsia" w:ascii="黑体" w:hAnsi="黑体" w:eastAsia="黑体"/>
          <w:b w:val="0"/>
          <w:lang w:val="en-US" w:eastAsia="zh-CN"/>
        </w:rPr>
      </w:pPr>
      <w:bookmarkStart w:id="43" w:name="_Toc15377225"/>
      <w:bookmarkStart w:id="44" w:name="_Toc15396613"/>
      <w:r>
        <w:rPr>
          <w:rStyle w:val="29"/>
          <w:rFonts w:hint="eastAsia" w:ascii="黑体" w:hAnsi="黑体" w:eastAsia="黑体"/>
          <w:b w:val="0"/>
          <w:lang w:val="en-US" w:eastAsia="zh-CN"/>
        </w:rPr>
        <w:t>十一、项目绩效目标</w:t>
      </w:r>
    </w:p>
    <w:p>
      <w:pPr>
        <w:pStyle w:val="14"/>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leftChars="0" w:right="0" w:rightChars="0"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预期目标完成《红原年鉴》出版印刷</w:t>
      </w:r>
      <w:r>
        <w:rPr>
          <w:rFonts w:hint="eastAsia" w:ascii="仿宋_GB2312" w:hAnsi="仿宋_GB2312" w:eastAsia="仿宋_GB2312" w:cs="仿宋_GB2312"/>
          <w:bCs/>
          <w:sz w:val="32"/>
          <w:szCs w:val="32"/>
          <w:lang w:val="en-US" w:eastAsia="zh-CN"/>
        </w:rPr>
        <w:t>200</w:t>
      </w:r>
      <w:r>
        <w:rPr>
          <w:rFonts w:hint="eastAsia" w:ascii="仿宋_GB2312" w:hAnsi="仿宋_GB2312" w:eastAsia="仿宋_GB2312" w:cs="仿宋_GB2312"/>
          <w:bCs/>
          <w:sz w:val="32"/>
          <w:szCs w:val="32"/>
        </w:rPr>
        <w:t>册，《执政实录》出版印刷册</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sz w:val="32"/>
          <w:szCs w:val="32"/>
          <w:lang w:val="en-US" w:eastAsia="zh-CN"/>
        </w:rPr>
        <w:t>《红原县乡村文化志》印刷500册拍摄</w:t>
      </w:r>
      <w:r>
        <w:rPr>
          <w:rFonts w:hint="eastAsia" w:ascii="仿宋_GB2312" w:hAnsi="仿宋_GB2312" w:eastAsia="仿宋_GB2312" w:cs="仿宋_GB2312"/>
          <w:bCs/>
          <w:sz w:val="32"/>
          <w:szCs w:val="32"/>
        </w:rPr>
        <w:t>口述历史纪录片1部</w:t>
      </w:r>
      <w:r>
        <w:rPr>
          <w:rFonts w:hint="eastAsia" w:ascii="仿宋_GB2312" w:hAnsi="仿宋_GB2312" w:eastAsia="仿宋_GB2312" w:cs="仿宋_GB2312"/>
          <w:bCs/>
          <w:sz w:val="32"/>
          <w:szCs w:val="32"/>
          <w:lang w:eastAsia="zh-CN"/>
        </w:rPr>
        <w:t>组织地方志工作培训会一次</w:t>
      </w:r>
      <w:r>
        <w:rPr>
          <w:rFonts w:hint="eastAsia" w:ascii="仿宋_GB2312" w:hAnsi="仿宋_GB2312" w:eastAsia="仿宋_GB2312" w:cs="仿宋_GB2312"/>
          <w:bCs/>
          <w:sz w:val="32"/>
          <w:szCs w:val="32"/>
        </w:rPr>
        <w:t>。截止12月已完成所有预期目标</w:t>
      </w:r>
      <w:bookmarkStart w:id="45" w:name="_Toc4270"/>
      <w:r>
        <w:rPr>
          <w:rFonts w:hint="eastAsia" w:ascii="仿宋_GB2312" w:hAnsi="仿宋_GB2312" w:eastAsia="仿宋_GB2312" w:cs="仿宋_GB2312"/>
          <w:bCs/>
          <w:sz w:val="32"/>
          <w:szCs w:val="32"/>
          <w:lang w:eastAsia="zh-CN"/>
        </w:rPr>
        <w:t>。</w:t>
      </w:r>
    </w:p>
    <w:p>
      <w:pPr>
        <w:keepNext w:val="0"/>
        <w:keepLines w:val="0"/>
        <w:pageBreakBefore w:val="0"/>
        <w:numPr>
          <w:ilvl w:val="0"/>
          <w:numId w:val="0"/>
        </w:numPr>
        <w:kinsoku/>
        <w:wordWrap/>
        <w:overflowPunct/>
        <w:topLinePunct w:val="0"/>
        <w:bidi w:val="0"/>
        <w:spacing w:line="560" w:lineRule="exact"/>
        <w:ind w:firstLine="640" w:firstLineChars="200"/>
        <w:outlineLvl w:val="1"/>
        <w:rPr>
          <w:rStyle w:val="29"/>
          <w:rFonts w:hint="eastAsia" w:ascii="黑体" w:hAnsi="黑体" w:eastAsia="黑体"/>
          <w:b w:val="0"/>
          <w:lang w:val="zh-CN" w:eastAsia="zh-CN"/>
        </w:rPr>
      </w:pPr>
      <w:r>
        <w:rPr>
          <w:rStyle w:val="29"/>
          <w:rFonts w:hint="eastAsia" w:ascii="黑体" w:hAnsi="黑体" w:eastAsia="黑体"/>
          <w:b w:val="0"/>
          <w:lang w:val="en-US" w:eastAsia="zh-CN"/>
        </w:rPr>
        <w:t>十二、项目自评步骤及方法</w:t>
      </w:r>
      <w:bookmarkEnd w:id="45"/>
    </w:p>
    <w:p>
      <w:pPr>
        <w:pStyle w:val="14"/>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leftChars="0" w:right="0" w:rightChars="0" w:firstLine="640" w:firstLineChars="200"/>
        <w:textAlignment w:val="auto"/>
        <w:rPr>
          <w:rFonts w:hint="eastAsia" w:ascii="黑体" w:hAnsi="黑体" w:eastAsia="黑体" w:cs="黑体"/>
          <w:b w:val="0"/>
          <w:bCs w:val="0"/>
          <w:snapToGrid w:val="0"/>
          <w:sz w:val="32"/>
          <w:szCs w:val="32"/>
          <w:shd w:val="clear" w:fill="FFFFFF"/>
          <w:lang w:val="en-US" w:eastAsia="zh-CN"/>
        </w:rPr>
      </w:pPr>
      <w:r>
        <w:rPr>
          <w:rFonts w:hint="eastAsia" w:ascii="仿宋_GB2312" w:hAnsi="仿宋_GB2312" w:eastAsia="仿宋_GB2312" w:cs="仿宋_GB2312"/>
          <w:bCs/>
          <w:sz w:val="32"/>
          <w:szCs w:val="32"/>
          <w:lang w:val="zh-CN"/>
        </w:rPr>
        <w:t>以主要领导为组长，财务室及办公室人员组成评价工作组。由工作组制定工作方案</w:t>
      </w:r>
      <w:r>
        <w:rPr>
          <w:rFonts w:hint="eastAsia" w:ascii="仿宋_GB2312" w:hAnsi="仿宋_GB2312" w:eastAsia="仿宋_GB2312" w:cs="仿宋_GB2312"/>
          <w:sz w:val="32"/>
          <w:szCs w:val="32"/>
        </w:rPr>
        <w:t>，并召开全体会议确定，作为评价具体实施的依据</w:t>
      </w:r>
      <w:bookmarkStart w:id="46" w:name="_Toc2840"/>
      <w:bookmarkStart w:id="47" w:name="_Toc25830"/>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0" w:firstLineChars="200"/>
        <w:textAlignment w:val="auto"/>
        <w:outlineLvl w:val="1"/>
        <w:rPr>
          <w:rFonts w:hint="eastAsia" w:ascii="黑体" w:hAnsi="黑体" w:eastAsia="黑体" w:cs="黑体"/>
          <w:b w:val="0"/>
          <w:bCs w:val="0"/>
          <w:snapToGrid w:val="0"/>
          <w:sz w:val="32"/>
          <w:szCs w:val="32"/>
          <w:shd w:val="clear" w:fill="FFFFFF"/>
          <w:lang w:eastAsia="zh-CN"/>
        </w:rPr>
      </w:pPr>
      <w:r>
        <w:rPr>
          <w:rFonts w:hint="eastAsia" w:ascii="黑体" w:hAnsi="黑体" w:eastAsia="黑体" w:cs="黑体"/>
          <w:b w:val="0"/>
          <w:bCs w:val="0"/>
          <w:snapToGrid w:val="0"/>
          <w:sz w:val="32"/>
          <w:szCs w:val="32"/>
          <w:shd w:val="clear" w:fill="FFFFFF"/>
          <w:lang w:val="en-US" w:eastAsia="zh-CN"/>
        </w:rPr>
        <w:t>十三、</w:t>
      </w:r>
      <w:r>
        <w:rPr>
          <w:rFonts w:hint="eastAsia" w:ascii="黑体" w:hAnsi="黑体" w:eastAsia="黑体" w:cs="黑体"/>
          <w:b w:val="0"/>
          <w:bCs w:val="0"/>
          <w:snapToGrid w:val="0"/>
          <w:sz w:val="32"/>
          <w:szCs w:val="32"/>
          <w:shd w:val="clear" w:fill="FFFFFF"/>
          <w:lang w:eastAsia="zh-CN"/>
        </w:rPr>
        <w:t>项目资金申报及使用情况</w:t>
      </w:r>
      <w:bookmarkEnd w:id="46"/>
      <w:bookmarkEnd w:id="47"/>
      <w:bookmarkStart w:id="48" w:name="_Toc17315"/>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49" w:name="_Toc19641"/>
      <w:r>
        <w:rPr>
          <w:rStyle w:val="17"/>
          <w:rFonts w:hint="eastAsia" w:ascii="楷体_GB2312" w:hAnsi="楷体_GB2312" w:eastAsia="楷体_GB2312" w:cs="楷体_GB2312"/>
          <w:sz w:val="32"/>
          <w:szCs w:val="32"/>
          <w:shd w:val="clear" w:fill="FFFFFF"/>
          <w:lang w:eastAsia="zh-CN"/>
        </w:rPr>
        <w:t>（一）项目资金申报及批复情况</w:t>
      </w:r>
      <w:bookmarkEnd w:id="48"/>
      <w:bookmarkEnd w:id="49"/>
    </w:p>
    <w:p>
      <w:pPr>
        <w:pStyle w:val="14"/>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sz w:val="32"/>
          <w:szCs w:val="32"/>
          <w:lang w:val="en-US" w:eastAsia="zh-CN"/>
        </w:rPr>
      </w:pPr>
      <w:bookmarkStart w:id="50" w:name="_Toc2157"/>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23</w:t>
      </w:r>
      <w:r>
        <w:rPr>
          <w:rFonts w:hint="eastAsia" w:ascii="仿宋_GB2312" w:hAnsi="仿宋_GB2312" w:eastAsia="仿宋_GB2312" w:cs="仿宋_GB2312"/>
          <w:sz w:val="32"/>
          <w:szCs w:val="32"/>
        </w:rPr>
        <w:t>年申报项目资金</w:t>
      </w:r>
      <w:r>
        <w:rPr>
          <w:rFonts w:hint="eastAsia" w:ascii="仿宋_GB2312" w:hAnsi="仿宋_GB2312" w:eastAsia="仿宋_GB2312" w:cs="仿宋_GB2312"/>
          <w:sz w:val="32"/>
          <w:szCs w:val="32"/>
          <w:lang w:val="en-US" w:eastAsia="zh-CN"/>
        </w:rPr>
        <w:t>95.84</w:t>
      </w:r>
      <w:r>
        <w:rPr>
          <w:rFonts w:hint="eastAsia" w:ascii="仿宋_GB2312" w:hAnsi="仿宋_GB2312" w:eastAsia="仿宋_GB2312" w:cs="仿宋_GB2312"/>
          <w:sz w:val="32"/>
          <w:szCs w:val="32"/>
        </w:rPr>
        <w:t>万元财政</w:t>
      </w:r>
      <w:r>
        <w:rPr>
          <w:rFonts w:hint="eastAsia" w:ascii="仿宋_GB2312" w:hAnsi="仿宋_GB2312" w:eastAsia="仿宋_GB2312" w:cs="仿宋_GB2312"/>
          <w:sz w:val="32"/>
          <w:szCs w:val="32"/>
          <w:lang w:eastAsia="zh-CN"/>
        </w:rPr>
        <w:t>批复</w:t>
      </w:r>
      <w:r>
        <w:rPr>
          <w:rFonts w:hint="eastAsia" w:ascii="仿宋_GB2312" w:hAnsi="仿宋_GB2312" w:eastAsia="仿宋_GB2312" w:cs="仿宋_GB2312"/>
          <w:sz w:val="32"/>
          <w:szCs w:val="32"/>
        </w:rPr>
        <w:t>项目资金</w:t>
      </w:r>
      <w:r>
        <w:rPr>
          <w:rFonts w:hint="eastAsia" w:ascii="仿宋_GB2312" w:hAnsi="仿宋_GB2312" w:eastAsia="仿宋_GB2312" w:cs="仿宋_GB2312"/>
          <w:sz w:val="32"/>
          <w:szCs w:val="32"/>
          <w:lang w:val="en-US" w:eastAsia="zh-CN"/>
        </w:rPr>
        <w:t>95.84万元。</w:t>
      </w:r>
      <w:bookmarkEnd w:id="50"/>
    </w:p>
    <w:p>
      <w:pPr>
        <w:pStyle w:val="14"/>
        <w:keepNext w:val="0"/>
        <w:keepLines w:val="0"/>
        <w:pageBreakBefore w:val="0"/>
        <w:widowControl/>
        <w:numPr>
          <w:ilvl w:val="0"/>
          <w:numId w:val="2"/>
        </w:numPr>
        <w:shd w:val="clear" w:fill="FFFFFF"/>
        <w:kinsoku/>
        <w:wordWrap/>
        <w:overflowPunct/>
        <w:topLinePunct w:val="0"/>
        <w:autoSpaceDE/>
        <w:autoSpaceDN/>
        <w:bidi w:val="0"/>
        <w:adjustRightInd/>
        <w:snapToGrid w:val="0"/>
        <w:spacing w:beforeAutospacing="0" w:afterAutospacing="0" w:line="560" w:lineRule="exact"/>
        <w:ind w:firstLine="643" w:firstLineChars="200"/>
        <w:jc w:val="left"/>
        <w:textAlignment w:val="auto"/>
        <w:outlineLvl w:val="1"/>
        <w:rPr>
          <w:rStyle w:val="17"/>
          <w:rFonts w:hint="eastAsia" w:ascii="楷体_GB2312" w:hAnsi="楷体_GB2312" w:eastAsia="楷体_GB2312" w:cs="楷体_GB2312"/>
          <w:sz w:val="32"/>
          <w:szCs w:val="32"/>
          <w:shd w:val="clear" w:fill="FFFFFF"/>
          <w:lang w:eastAsia="zh-CN"/>
        </w:rPr>
      </w:pPr>
      <w:bookmarkStart w:id="51" w:name="_Toc7868"/>
      <w:r>
        <w:rPr>
          <w:rStyle w:val="17"/>
          <w:rFonts w:hint="eastAsia" w:ascii="楷体_GB2312" w:hAnsi="楷体_GB2312" w:eastAsia="楷体_GB2312" w:cs="楷体_GB2312"/>
          <w:sz w:val="32"/>
          <w:szCs w:val="32"/>
          <w:shd w:val="clear" w:fill="FFFFFF"/>
          <w:lang w:eastAsia="zh-CN"/>
        </w:rPr>
        <w:t>资金计划、到位及使用情况。</w:t>
      </w:r>
      <w:bookmarkEnd w:id="51"/>
    </w:p>
    <w:tbl>
      <w:tblPr>
        <w:tblStyle w:val="15"/>
        <w:tblpPr w:leftFromText="180" w:rightFromText="180" w:vertAnchor="text" w:horzAnchor="page" w:tblpX="1699" w:tblpY="243"/>
        <w:tblOverlap w:val="never"/>
        <w:tblW w:w="8622" w:type="dxa"/>
        <w:jc w:val="center"/>
        <w:tblLayout w:type="fixed"/>
        <w:tblCellMar>
          <w:top w:w="0" w:type="dxa"/>
          <w:left w:w="0" w:type="dxa"/>
          <w:bottom w:w="0" w:type="dxa"/>
          <w:right w:w="0" w:type="dxa"/>
        </w:tblCellMar>
      </w:tblPr>
      <w:tblGrid>
        <w:gridCol w:w="2213"/>
        <w:gridCol w:w="2033"/>
        <w:gridCol w:w="2419"/>
        <w:gridCol w:w="1957"/>
      </w:tblGrid>
      <w:tr>
        <w:tblPrEx>
          <w:tblCellMar>
            <w:top w:w="0" w:type="dxa"/>
            <w:left w:w="0" w:type="dxa"/>
            <w:bottom w:w="0" w:type="dxa"/>
            <w:right w:w="0" w:type="dxa"/>
          </w:tblCellMar>
        </w:tblPrEx>
        <w:trPr>
          <w:trHeight w:val="454" w:hRule="atLeast"/>
          <w:jc w:val="center"/>
        </w:trPr>
        <w:tc>
          <w:tcPr>
            <w:tcW w:w="22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预算数:</w:t>
            </w:r>
          </w:p>
        </w:tc>
        <w:tc>
          <w:tcPr>
            <w:tcW w:w="2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95.84</w:t>
            </w:r>
            <w:r>
              <w:rPr>
                <w:rFonts w:hint="eastAsia" w:ascii="仿宋_GB2312" w:hAnsi="仿宋_GB2312" w:eastAsia="仿宋_GB2312" w:cs="仿宋_GB2312"/>
                <w:color w:val="000000"/>
                <w:sz w:val="30"/>
                <w:szCs w:val="30"/>
              </w:rPr>
              <w:t>万元</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执行数:</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95.84万元</w:t>
            </w:r>
          </w:p>
        </w:tc>
      </w:tr>
      <w:tr>
        <w:tblPrEx>
          <w:tblCellMar>
            <w:top w:w="0" w:type="dxa"/>
            <w:left w:w="0" w:type="dxa"/>
            <w:bottom w:w="0" w:type="dxa"/>
            <w:right w:w="0" w:type="dxa"/>
          </w:tblCellMar>
        </w:tblPrEx>
        <w:trPr>
          <w:trHeight w:val="491" w:hRule="atLeast"/>
          <w:jc w:val="center"/>
        </w:trPr>
        <w:tc>
          <w:tcPr>
            <w:tcW w:w="22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其中-财政拨款:</w:t>
            </w:r>
          </w:p>
        </w:tc>
        <w:tc>
          <w:tcPr>
            <w:tcW w:w="2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95.84万元</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其中-财政拨款:</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95.84</w:t>
            </w:r>
            <w:r>
              <w:rPr>
                <w:rFonts w:hint="eastAsia" w:ascii="仿宋_GB2312" w:hAnsi="仿宋_GB2312" w:eastAsia="仿宋_GB2312" w:cs="仿宋_GB2312"/>
                <w:color w:val="000000"/>
                <w:sz w:val="30"/>
                <w:szCs w:val="30"/>
              </w:rPr>
              <w:t>万元</w:t>
            </w:r>
          </w:p>
        </w:tc>
      </w:tr>
      <w:tr>
        <w:tblPrEx>
          <w:tblCellMar>
            <w:top w:w="0" w:type="dxa"/>
            <w:left w:w="0" w:type="dxa"/>
            <w:bottom w:w="0" w:type="dxa"/>
            <w:right w:w="0" w:type="dxa"/>
          </w:tblCellMar>
        </w:tblPrEx>
        <w:trPr>
          <w:trHeight w:val="418" w:hRule="atLeast"/>
          <w:jc w:val="center"/>
        </w:trPr>
        <w:tc>
          <w:tcPr>
            <w:tcW w:w="221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其它资金:</w:t>
            </w:r>
          </w:p>
        </w:tc>
        <w:tc>
          <w:tcPr>
            <w:tcW w:w="203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c>
          <w:tcPr>
            <w:tcW w:w="2419"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widowControl/>
              <w:kinsoku/>
              <w:wordWrap/>
              <w:overflowPunct/>
              <w:topLinePunct w:val="0"/>
              <w:bidi w:val="0"/>
              <w:spacing w:line="560" w:lineRule="exact"/>
              <w:jc w:val="left"/>
              <w:textAlignment w:val="center"/>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kern w:val="0"/>
                <w:sz w:val="30"/>
                <w:szCs w:val="30"/>
              </w:rPr>
              <w:t>其它资金:</w:t>
            </w:r>
          </w:p>
        </w:tc>
        <w:tc>
          <w:tcPr>
            <w:tcW w:w="1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pageBreakBefore w:val="0"/>
              <w:kinsoku/>
              <w:wordWrap/>
              <w:overflowPunct/>
              <w:topLinePunct w:val="0"/>
              <w:bidi w:val="0"/>
              <w:spacing w:line="560" w:lineRule="exact"/>
              <w:jc w:val="left"/>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0</w:t>
            </w:r>
          </w:p>
        </w:tc>
      </w:tr>
    </w:tbl>
    <w:p>
      <w:pPr>
        <w:keepNext w:val="0"/>
        <w:keepLines w:val="0"/>
        <w:pageBreakBefore w:val="0"/>
        <w:kinsoku/>
        <w:wordWrap/>
        <w:overflowPunct/>
        <w:topLinePunct w:val="0"/>
        <w:bidi w:val="0"/>
        <w:spacing w:line="560" w:lineRule="exact"/>
        <w:rPr>
          <w:rFonts w:hint="eastAsia"/>
          <w:lang w:eastAsia="zh-CN"/>
        </w:rPr>
      </w:pPr>
      <w:bookmarkStart w:id="52" w:name="_Toc22426"/>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3" w:firstLineChars="200"/>
        <w:jc w:val="left"/>
        <w:textAlignment w:val="auto"/>
        <w:outlineLvl w:val="1"/>
        <w:rPr>
          <w:rStyle w:val="17"/>
          <w:rFonts w:hint="eastAsia" w:ascii="楷体_GB2312" w:hAnsi="楷体_GB2312" w:eastAsia="楷体_GB2312" w:cs="楷体_GB2312"/>
          <w:sz w:val="32"/>
          <w:szCs w:val="32"/>
          <w:shd w:val="clear" w:fill="FFFFFF"/>
          <w:lang w:eastAsia="zh-CN"/>
        </w:rPr>
      </w:pPr>
      <w:r>
        <w:rPr>
          <w:rStyle w:val="17"/>
          <w:rFonts w:hint="eastAsia" w:ascii="楷体_GB2312" w:hAnsi="楷体_GB2312" w:eastAsia="楷体_GB2312" w:cs="楷体_GB2312"/>
          <w:sz w:val="32"/>
          <w:szCs w:val="32"/>
          <w:shd w:val="clear" w:fill="FFFFFF"/>
          <w:lang w:eastAsia="zh-CN"/>
        </w:rPr>
        <w:t>（</w:t>
      </w:r>
      <w:r>
        <w:rPr>
          <w:rStyle w:val="17"/>
          <w:rFonts w:hint="eastAsia" w:ascii="楷体_GB2312" w:hAnsi="楷体_GB2312" w:eastAsia="楷体_GB2312" w:cs="楷体_GB2312"/>
          <w:sz w:val="32"/>
          <w:szCs w:val="32"/>
          <w:shd w:val="clear" w:fill="FFFFFF"/>
          <w:lang w:val="en-US" w:eastAsia="zh-CN"/>
        </w:rPr>
        <w:t>三</w:t>
      </w:r>
      <w:r>
        <w:rPr>
          <w:rStyle w:val="17"/>
          <w:rFonts w:hint="eastAsia" w:ascii="楷体_GB2312" w:hAnsi="楷体_GB2312" w:eastAsia="楷体_GB2312" w:cs="楷体_GB2312"/>
          <w:sz w:val="32"/>
          <w:szCs w:val="32"/>
          <w:shd w:val="clear" w:fill="FFFFFF"/>
          <w:lang w:eastAsia="zh-CN"/>
        </w:rPr>
        <w:t>）项目财务管理情况</w:t>
      </w:r>
      <w:bookmarkEnd w:id="52"/>
    </w:p>
    <w:p>
      <w:pPr>
        <w:pStyle w:val="14"/>
        <w:keepNext w:val="0"/>
        <w:keepLines w:val="0"/>
        <w:pageBreakBefore w:val="0"/>
        <w:widowControl/>
        <w:shd w:val="clear" w:fill="FFFFFF"/>
        <w:kinsoku/>
        <w:wordWrap/>
        <w:overflowPunct/>
        <w:topLinePunct w:val="0"/>
        <w:autoSpaceDE/>
        <w:autoSpaceDN/>
        <w:bidi w:val="0"/>
        <w:snapToGrid w:val="0"/>
        <w:spacing w:beforeAutospacing="0" w:afterAutospacing="0" w:line="560" w:lineRule="exact"/>
        <w:ind w:firstLine="640" w:firstLineChars="200"/>
        <w:textAlignment w:val="auto"/>
        <w:outlineLvl w:val="2"/>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一步提高单位预算绩效管理认识，强化以“绩效为中心对支出结果负责、对社会公众负责”的理念，在绩效目标编制方面，针对绩效目标设置指向不清、预算和目标匹配不足，数量目标和质量目标量化不细，效益目标编制不完整等方面加以了改善。加强预算绩效动态监控管理，及时跟踪项目进度，对项目实施中存在的具体问题采取纠偏措施。加强相关专业技术人员的业务培训，进一步提高预算绩效评价质量。</w:t>
      </w:r>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0" w:firstLineChars="200"/>
        <w:textAlignment w:val="auto"/>
        <w:outlineLvl w:val="1"/>
        <w:rPr>
          <w:rFonts w:hint="eastAsia" w:ascii="黑体" w:hAnsi="黑体" w:eastAsia="黑体" w:cs="黑体"/>
          <w:b w:val="0"/>
          <w:bCs w:val="0"/>
          <w:snapToGrid w:val="0"/>
          <w:sz w:val="32"/>
          <w:szCs w:val="32"/>
          <w:shd w:val="clear" w:fill="FFFFFF"/>
          <w:lang w:eastAsia="zh-CN"/>
        </w:rPr>
      </w:pPr>
      <w:bookmarkStart w:id="53" w:name="_Toc22204"/>
      <w:bookmarkStart w:id="54" w:name="_Toc1057"/>
      <w:r>
        <w:rPr>
          <w:rFonts w:hint="eastAsia" w:ascii="黑体" w:hAnsi="黑体" w:eastAsia="黑体" w:cs="黑体"/>
          <w:b w:val="0"/>
          <w:bCs w:val="0"/>
          <w:snapToGrid w:val="0"/>
          <w:sz w:val="32"/>
          <w:szCs w:val="32"/>
          <w:shd w:val="clear" w:fill="FFFFFF"/>
          <w:lang w:val="en-US" w:eastAsia="zh-CN"/>
        </w:rPr>
        <w:t>十四、</w:t>
      </w:r>
      <w:r>
        <w:rPr>
          <w:rFonts w:hint="eastAsia" w:ascii="黑体" w:hAnsi="黑体" w:eastAsia="黑体" w:cs="黑体"/>
          <w:b w:val="0"/>
          <w:bCs w:val="0"/>
          <w:snapToGrid w:val="0"/>
          <w:sz w:val="32"/>
          <w:szCs w:val="32"/>
          <w:shd w:val="clear" w:fill="FFFFFF"/>
          <w:lang w:eastAsia="zh-CN"/>
        </w:rPr>
        <w:t>项目实施及管理情况</w:t>
      </w:r>
      <w:bookmarkEnd w:id="53"/>
      <w:bookmarkEnd w:id="54"/>
      <w:bookmarkStart w:id="55" w:name="_Toc8631"/>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56" w:name="_Toc30825"/>
      <w:r>
        <w:rPr>
          <w:rStyle w:val="17"/>
          <w:rFonts w:hint="eastAsia" w:ascii="楷体_GB2312" w:hAnsi="楷体_GB2312" w:eastAsia="楷体_GB2312" w:cs="楷体_GB2312"/>
          <w:sz w:val="32"/>
          <w:szCs w:val="32"/>
          <w:shd w:val="clear" w:fill="FFFFFF"/>
          <w:lang w:eastAsia="zh-CN"/>
        </w:rPr>
        <w:t>（</w:t>
      </w:r>
      <w:r>
        <w:rPr>
          <w:rStyle w:val="17"/>
          <w:rFonts w:hint="eastAsia" w:ascii="楷体_GB2312" w:hAnsi="楷体_GB2312" w:eastAsia="楷体_GB2312" w:cs="楷体_GB2312"/>
          <w:sz w:val="32"/>
          <w:szCs w:val="32"/>
          <w:shd w:val="clear" w:fill="FFFFFF"/>
          <w:lang w:val="en-US" w:eastAsia="zh-CN"/>
        </w:rPr>
        <w:t>一）</w:t>
      </w:r>
      <w:r>
        <w:rPr>
          <w:rStyle w:val="17"/>
          <w:rFonts w:hint="eastAsia" w:ascii="楷体_GB2312" w:hAnsi="楷体_GB2312" w:eastAsia="楷体_GB2312" w:cs="楷体_GB2312"/>
          <w:sz w:val="32"/>
          <w:szCs w:val="32"/>
          <w:shd w:val="clear" w:fill="FFFFFF"/>
          <w:lang w:eastAsia="zh-CN"/>
        </w:rPr>
        <w:t>项目组织架构及实施流程</w:t>
      </w:r>
      <w:bookmarkEnd w:id="55"/>
      <w:bookmarkEnd w:id="56"/>
    </w:p>
    <w:p>
      <w:pPr>
        <w:pStyle w:val="14"/>
        <w:keepNext w:val="0"/>
        <w:keepLines w:val="0"/>
        <w:pageBreakBefore w:val="0"/>
        <w:widowControl/>
        <w:numPr>
          <w:ilvl w:val="0"/>
          <w:numId w:val="0"/>
        </w:numPr>
        <w:shd w:val="clear" w:fill="FFFFFF"/>
        <w:kinsoku/>
        <w:wordWrap/>
        <w:overflowPunct/>
        <w:topLinePunct w:val="0"/>
        <w:autoSpaceDE/>
        <w:autoSpaceDN/>
        <w:bidi w:val="0"/>
        <w:snapToGrid w:val="0"/>
        <w:spacing w:beforeAutospacing="0" w:afterAutospacing="0" w:line="560" w:lineRule="exact"/>
        <w:ind w:right="0" w:rightChars="0" w:firstLine="640" w:firstLineChars="200"/>
        <w:textAlignment w:val="auto"/>
        <w:rPr>
          <w:rStyle w:val="17"/>
          <w:rFonts w:hint="eastAsia" w:ascii="仿宋_GB2312" w:hAnsi="仿宋_GB2312" w:eastAsia="仿宋_GB2312" w:cs="仿宋_GB2312"/>
          <w:sz w:val="32"/>
          <w:szCs w:val="32"/>
          <w:shd w:val="clear" w:fill="FFFFFF"/>
          <w:lang w:eastAsia="zh-CN"/>
        </w:rPr>
      </w:pPr>
      <w:r>
        <w:rPr>
          <w:rFonts w:hint="eastAsia" w:ascii="仿宋_GB2312" w:hAnsi="仿宋_GB2312" w:eastAsia="仿宋_GB2312" w:cs="仿宋_GB2312"/>
          <w:sz w:val="32"/>
          <w:szCs w:val="32"/>
        </w:rPr>
        <w:t>及时跟踪项目进度，对项目实施中存在的具体问题采取纠偏措施。加强相关专业技术人员的业务培训，进一步提高预算绩效评价质量。目前单位绩效评价结果还停留在反映情况、找问题、提建议层面，评价结果和预算安排有机结合的机制尚未真正建立</w:t>
      </w:r>
    </w:p>
    <w:p>
      <w:pPr>
        <w:pStyle w:val="14"/>
        <w:keepNext w:val="0"/>
        <w:keepLines w:val="0"/>
        <w:pageBreakBefore w:val="0"/>
        <w:widowControl/>
        <w:shd w:val="clear" w:fill="FFFFFF"/>
        <w:kinsoku/>
        <w:wordWrap/>
        <w:overflowPunct/>
        <w:topLinePunct w:val="0"/>
        <w:autoSpaceDE/>
        <w:autoSpaceDN/>
        <w:bidi w:val="0"/>
        <w:adjustRightInd/>
        <w:snapToGrid w:val="0"/>
        <w:spacing w:beforeAutospacing="0" w:afterAutospacing="0" w:line="560" w:lineRule="exact"/>
        <w:ind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57" w:name="_Toc2597"/>
      <w:r>
        <w:rPr>
          <w:rStyle w:val="17"/>
          <w:rFonts w:hint="eastAsia" w:ascii="楷体_GB2312" w:hAnsi="楷体_GB2312" w:eastAsia="楷体_GB2312" w:cs="楷体_GB2312"/>
          <w:sz w:val="32"/>
          <w:szCs w:val="32"/>
          <w:shd w:val="clear" w:fill="FFFFFF"/>
          <w:lang w:eastAsia="zh-CN"/>
        </w:rPr>
        <w:t>（二）项目管理情况</w:t>
      </w:r>
      <w:bookmarkEnd w:id="57"/>
    </w:p>
    <w:p>
      <w:pPr>
        <w:keepNext w:val="0"/>
        <w:keepLines w:val="0"/>
        <w:pageBreakBefore w:val="0"/>
        <w:kinsoku/>
        <w:wordWrap/>
        <w:overflowPunct/>
        <w:topLinePunct w:val="0"/>
        <w:autoSpaceDE/>
        <w:autoSpaceDN/>
        <w:bidi w:val="0"/>
        <w:adjustRightInd w:val="0"/>
        <w:snapToGrid w:val="0"/>
        <w:spacing w:beforeAutospacing="0" w:afterAutospacing="0" w:line="560"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加强落实计划安排，按计划步骤逐一落实。</w:t>
      </w:r>
    </w:p>
    <w:p>
      <w:pPr>
        <w:pStyle w:val="14"/>
        <w:keepNext w:val="0"/>
        <w:keepLines w:val="0"/>
        <w:pageBreakBefore w:val="0"/>
        <w:widowControl/>
        <w:numPr>
          <w:ilvl w:val="0"/>
          <w:numId w:val="2"/>
        </w:numPr>
        <w:shd w:val="clear" w:fill="FFFFFF"/>
        <w:kinsoku/>
        <w:wordWrap/>
        <w:overflowPunct/>
        <w:topLinePunct w:val="0"/>
        <w:autoSpaceDE/>
        <w:autoSpaceDN/>
        <w:bidi w:val="0"/>
        <w:adjustRightInd/>
        <w:snapToGrid w:val="0"/>
        <w:spacing w:beforeAutospacing="0" w:afterAutospacing="0" w:line="560" w:lineRule="exact"/>
        <w:ind w:left="0" w:leftChars="0" w:firstLine="643" w:firstLineChars="200"/>
        <w:textAlignment w:val="auto"/>
        <w:outlineLvl w:val="1"/>
        <w:rPr>
          <w:rStyle w:val="17"/>
          <w:rFonts w:hint="eastAsia" w:ascii="楷体_GB2312" w:hAnsi="楷体_GB2312" w:eastAsia="楷体_GB2312" w:cs="楷体_GB2312"/>
          <w:sz w:val="32"/>
          <w:szCs w:val="32"/>
          <w:shd w:val="clear" w:fill="FFFFFF"/>
          <w:lang w:eastAsia="zh-CN"/>
        </w:rPr>
      </w:pPr>
      <w:bookmarkStart w:id="58" w:name="_Toc19773"/>
      <w:r>
        <w:rPr>
          <w:rStyle w:val="17"/>
          <w:rFonts w:hint="eastAsia" w:ascii="楷体_GB2312" w:hAnsi="楷体_GB2312" w:eastAsia="楷体_GB2312" w:cs="楷体_GB2312"/>
          <w:sz w:val="32"/>
          <w:szCs w:val="32"/>
          <w:shd w:val="clear" w:fill="FFFFFF"/>
          <w:lang w:eastAsia="zh-CN"/>
        </w:rPr>
        <w:t>项目监管情况</w:t>
      </w:r>
      <w:bookmarkEnd w:id="58"/>
    </w:p>
    <w:p>
      <w:pPr>
        <w:pStyle w:val="14"/>
        <w:keepNext w:val="0"/>
        <w:keepLines w:val="0"/>
        <w:pageBreakBefore w:val="0"/>
        <w:widowControl/>
        <w:numPr>
          <w:ilvl w:val="0"/>
          <w:numId w:val="0"/>
        </w:numPr>
        <w:shd w:val="clear" w:fill="FFFFFF"/>
        <w:kinsoku/>
        <w:wordWrap/>
        <w:overflowPunct/>
        <w:topLinePunct w:val="0"/>
        <w:autoSpaceDE/>
        <w:autoSpaceDN/>
        <w:bidi w:val="0"/>
        <w:adjustRightInd/>
        <w:snapToGrid w:val="0"/>
        <w:spacing w:beforeAutospacing="0" w:afterAutospacing="0" w:line="560" w:lineRule="exact"/>
        <w:ind w:right="0" w:rightChars="0" w:firstLine="640" w:firstLineChars="200"/>
        <w:textAlignment w:val="auto"/>
        <w:outlineLvl w:val="1"/>
        <w:rPr>
          <w:rFonts w:hint="eastAsia" w:ascii="仿宋_GB2312" w:hAnsi="仿宋_GB2312" w:eastAsia="仿宋_GB2312" w:cs="仿宋_GB2312"/>
          <w:bCs/>
          <w:color w:val="000000"/>
          <w:kern w:val="0"/>
          <w:sz w:val="30"/>
          <w:szCs w:val="30"/>
          <w:lang w:eastAsia="zh-CN"/>
        </w:rPr>
      </w:pPr>
      <w:r>
        <w:rPr>
          <w:rFonts w:hint="eastAsia" w:ascii="仿宋_GB2312" w:hAnsi="仿宋_GB2312" w:eastAsia="仿宋_GB2312" w:cs="仿宋_GB2312"/>
          <w:sz w:val="32"/>
          <w:szCs w:val="32"/>
        </w:rPr>
        <w:t>及时跟踪项目进度，对项目实施中存在的具体问题采取纠偏措施。加强相关专业技术人员的业务培训，进一步提高预算绩效评价质量。</w:t>
      </w:r>
    </w:p>
    <w:p>
      <w:pPr>
        <w:keepNext w:val="0"/>
        <w:keepLines w:val="0"/>
        <w:pageBreakBefore w:val="0"/>
        <w:numPr>
          <w:ilvl w:val="0"/>
          <w:numId w:val="3"/>
        </w:numPr>
        <w:kinsoku/>
        <w:wordWrap/>
        <w:overflowPunct/>
        <w:topLinePunct w:val="0"/>
        <w:bidi w:val="0"/>
        <w:spacing w:line="560" w:lineRule="exact"/>
        <w:ind w:firstLine="660" w:firstLineChars="150"/>
        <w:jc w:val="center"/>
        <w:outlineLvl w:val="0"/>
        <w:rPr>
          <w:rStyle w:val="28"/>
          <w:rFonts w:ascii="黑体" w:hAnsi="黑体" w:eastAsia="黑体"/>
          <w:b w:val="0"/>
        </w:rPr>
      </w:pPr>
      <w:r>
        <w:rPr>
          <w:rFonts w:hint="eastAsia" w:ascii="黑体" w:hAnsi="黑体" w:eastAsia="黑体"/>
          <w:sz w:val="44"/>
          <w:szCs w:val="44"/>
        </w:rPr>
        <w:t>名</w:t>
      </w:r>
      <w:r>
        <w:rPr>
          <w:rStyle w:val="28"/>
          <w:rFonts w:hint="eastAsia" w:ascii="黑体" w:hAnsi="黑体" w:eastAsia="黑体"/>
          <w:b w:val="0"/>
        </w:rPr>
        <w:t>词解释</w:t>
      </w:r>
      <w:bookmarkEnd w:id="43"/>
      <w:bookmarkEnd w:id="44"/>
    </w:p>
    <w:p>
      <w:pPr>
        <w:keepNext w:val="0"/>
        <w:keepLines w:val="0"/>
        <w:pageBreakBefore w:val="0"/>
        <w:widowControl w:val="0"/>
        <w:kinsoku/>
        <w:wordWrap/>
        <w:overflowPunct/>
        <w:topLinePunct w:val="0"/>
        <w:bidi w:val="0"/>
        <w:snapToGrid/>
        <w:spacing w:line="560" w:lineRule="exact"/>
        <w:ind w:leftChars="0"/>
        <w:jc w:val="left"/>
        <w:textAlignment w:val="auto"/>
        <w:rPr>
          <w:rFonts w:ascii="宋体"/>
          <w:b/>
          <w:sz w:val="44"/>
          <w:szCs w:val="44"/>
        </w:rPr>
      </w:pPr>
    </w:p>
    <w:p>
      <w:pPr>
        <w:pStyle w:val="26"/>
        <w:keepNext w:val="0"/>
        <w:keepLines w:val="0"/>
        <w:pageBreakBefore w:val="0"/>
        <w:widowControl w:val="0"/>
        <w:kinsoku/>
        <w:wordWrap/>
        <w:overflowPunct/>
        <w:topLinePunct w:val="0"/>
        <w:bidi w:val="0"/>
        <w:snapToGrid/>
        <w:spacing w:line="560" w:lineRule="exact"/>
        <w:ind w:leftChars="0" w:firstLine="640" w:firstLineChars="200"/>
        <w:textAlignment w:val="auto"/>
        <w:rPr>
          <w:rFonts w:ascii="仿宋_GB2312" w:eastAsia="仿宋_GB2312"/>
          <w:color w:val="auto"/>
          <w:sz w:val="32"/>
          <w:szCs w:val="32"/>
        </w:rPr>
      </w:pPr>
      <w:r>
        <w:rPr>
          <w:rFonts w:ascii="仿宋_GB2312" w:eastAsia="仿宋_GB2312"/>
          <w:color w:val="auto"/>
          <w:sz w:val="32"/>
          <w:szCs w:val="32"/>
        </w:rPr>
        <w:t>1.</w:t>
      </w:r>
      <w:r>
        <w:rPr>
          <w:rFonts w:hint="eastAsia" w:ascii="仿宋_GB2312" w:eastAsia="仿宋_GB2312"/>
          <w:color w:val="auto"/>
          <w:sz w:val="32"/>
          <w:szCs w:val="32"/>
        </w:rPr>
        <w:t>财政拨款收入：指单位从同级财政部门取得的财政预算资金。</w:t>
      </w:r>
    </w:p>
    <w:p>
      <w:pPr>
        <w:pStyle w:val="26"/>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.一般公共服务行政运行：指用于机关及下属事业单位人员工资、日常运转以及为完成特定行政工作任务和事业发展目标而安排的年度项目支出。</w:t>
      </w:r>
    </w:p>
    <w:p>
      <w:pPr>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lang w:val="en-US" w:eastAsia="zh-CN"/>
        </w:rPr>
        <w:t>2</w:t>
      </w:r>
      <w:r>
        <w:rPr>
          <w:rFonts w:hint="eastAsia" w:ascii="仿宋_GB2312" w:hAnsi="仿宋_GB2312" w:eastAsia="仿宋_GB2312" w:cs="仿宋_GB2312"/>
          <w:color w:val="000000"/>
          <w:sz w:val="30"/>
          <w:szCs w:val="30"/>
        </w:rPr>
        <w:t>.机关事业单位养老保险缴费：指</w:t>
      </w:r>
      <w:r>
        <w:rPr>
          <w:rFonts w:hint="eastAsia" w:ascii="仿宋_GB2312" w:hAnsi="仿宋_GB2312" w:eastAsia="仿宋_GB2312" w:cs="仿宋_GB2312"/>
          <w:sz w:val="30"/>
          <w:szCs w:val="30"/>
        </w:rPr>
        <w:t>用于机关及下属单位按照规定标准为职工缴纳养老保险等支出。</w:t>
      </w:r>
    </w:p>
    <w:p>
      <w:pPr>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color w:val="000000"/>
          <w:sz w:val="30"/>
          <w:szCs w:val="30"/>
          <w:lang w:val="en-US" w:eastAsia="zh-CN"/>
        </w:rPr>
        <w:t>3</w:t>
      </w:r>
      <w:r>
        <w:rPr>
          <w:rFonts w:hint="eastAsia" w:ascii="仿宋_GB2312" w:hAnsi="仿宋_GB2312" w:eastAsia="仿宋_GB2312" w:cs="仿宋_GB2312"/>
          <w:color w:val="000000"/>
          <w:sz w:val="30"/>
          <w:szCs w:val="30"/>
        </w:rPr>
        <w:t>.机关事业单位职业年金缴费</w:t>
      </w:r>
      <w:r>
        <w:rPr>
          <w:rStyle w:val="17"/>
          <w:rFonts w:hint="eastAsia" w:ascii="仿宋_GB2312" w:hAnsi="仿宋_GB2312" w:eastAsia="仿宋_GB2312" w:cs="仿宋_GB2312"/>
          <w:bCs/>
          <w:color w:val="000000"/>
          <w:sz w:val="30"/>
          <w:szCs w:val="30"/>
        </w:rPr>
        <w:t>:</w:t>
      </w:r>
      <w:r>
        <w:rPr>
          <w:rFonts w:hint="eastAsia" w:ascii="仿宋_GB2312" w:hAnsi="仿宋_GB2312" w:eastAsia="仿宋_GB2312" w:cs="仿宋_GB2312"/>
          <w:color w:val="000000"/>
          <w:sz w:val="30"/>
          <w:szCs w:val="30"/>
        </w:rPr>
        <w:t>指</w:t>
      </w:r>
      <w:r>
        <w:rPr>
          <w:rFonts w:hint="eastAsia" w:ascii="仿宋_GB2312" w:hAnsi="仿宋_GB2312" w:eastAsia="仿宋_GB2312" w:cs="仿宋_GB2312"/>
          <w:sz w:val="30"/>
          <w:szCs w:val="30"/>
        </w:rPr>
        <w:t>用于机关及下属单位按照规定标准为职工缴纳职业年金等支出。</w:t>
      </w:r>
    </w:p>
    <w:p>
      <w:pPr>
        <w:pStyle w:val="26"/>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.行政单位医疗：指用于机关及下属事业单位按照规定标准为职工缴纳的基本医疗保险及公务员医疗补助等支出</w:t>
      </w:r>
    </w:p>
    <w:p>
      <w:pPr>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color w:val="000000"/>
          <w:sz w:val="30"/>
          <w:szCs w:val="30"/>
          <w:lang w:eastAsia="zh-CN"/>
        </w:rPr>
      </w:pPr>
      <w:r>
        <w:rPr>
          <w:rFonts w:hint="eastAsia" w:ascii="仿宋_GB2312" w:hAnsi="仿宋_GB2312" w:eastAsia="仿宋_GB2312" w:cs="仿宋_GB2312"/>
          <w:color w:val="000000"/>
          <w:sz w:val="30"/>
          <w:szCs w:val="30"/>
          <w:lang w:val="en-US" w:eastAsia="zh-CN"/>
        </w:rPr>
        <w:t>5</w:t>
      </w:r>
      <w:r>
        <w:rPr>
          <w:rFonts w:hint="eastAsia" w:ascii="仿宋_GB2312" w:hAnsi="仿宋_GB2312" w:eastAsia="仿宋_GB2312" w:cs="仿宋_GB2312"/>
          <w:color w:val="000000"/>
          <w:sz w:val="30"/>
          <w:szCs w:val="30"/>
        </w:rPr>
        <w:t>.住房公积金：指</w:t>
      </w:r>
      <w:r>
        <w:rPr>
          <w:rFonts w:hint="eastAsia" w:ascii="仿宋_GB2312" w:hAnsi="仿宋_GB2312" w:eastAsia="仿宋_GB2312" w:cs="仿宋_GB2312"/>
          <w:sz w:val="30"/>
          <w:szCs w:val="30"/>
        </w:rPr>
        <w:t>用于机关及下属事业单位按照规定标准为职工缴纳住房公积金等支出</w:t>
      </w:r>
      <w:r>
        <w:rPr>
          <w:rFonts w:hint="eastAsia" w:ascii="仿宋_GB2312" w:hAnsi="仿宋_GB2312" w:eastAsia="仿宋_GB2312" w:cs="仿宋_GB2312"/>
          <w:sz w:val="30"/>
          <w:szCs w:val="30"/>
          <w:lang w:eastAsia="zh-CN"/>
        </w:rPr>
        <w:t>。</w:t>
      </w:r>
    </w:p>
    <w:p>
      <w:pPr>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6</w:t>
      </w:r>
      <w:r>
        <w:rPr>
          <w:rFonts w:hint="eastAsia" w:ascii="仿宋_GB2312" w:hAnsi="仿宋_GB2312" w:eastAsia="仿宋_GB2312" w:cs="仿宋_GB2312"/>
          <w:color w:val="000000"/>
          <w:sz w:val="30"/>
          <w:szCs w:val="30"/>
        </w:rPr>
        <w:t>.基本支出：指为保障机构正常运转、完成日常工作任务而发生的人员支出和公用支出。</w:t>
      </w:r>
    </w:p>
    <w:p>
      <w:pPr>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lang w:val="en-US" w:eastAsia="zh-CN"/>
        </w:rPr>
        <w:t>7</w:t>
      </w:r>
      <w:r>
        <w:rPr>
          <w:rFonts w:hint="eastAsia" w:ascii="仿宋_GB2312" w:hAnsi="仿宋_GB2312" w:eastAsia="仿宋_GB2312" w:cs="仿宋_GB2312"/>
          <w:color w:val="000000"/>
          <w:sz w:val="30"/>
          <w:szCs w:val="30"/>
        </w:rPr>
        <w:t>.项目支出：指在基本支出之外为完成特定行政任务和事业发展目标所发生的支出。</w:t>
      </w:r>
    </w:p>
    <w:p>
      <w:pPr>
        <w:pStyle w:val="26"/>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keepNext w:val="0"/>
        <w:keepLines w:val="0"/>
        <w:pageBreakBefore w:val="0"/>
        <w:widowControl w:val="0"/>
        <w:kinsoku/>
        <w:wordWrap/>
        <w:overflowPunct/>
        <w:topLinePunct w:val="0"/>
        <w:bidi w:val="0"/>
        <w:snapToGrid/>
        <w:spacing w:line="560" w:lineRule="exact"/>
        <w:ind w:leftChars="0"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Style w:val="26"/>
        <w:keepNext w:val="0"/>
        <w:keepLines w:val="0"/>
        <w:pageBreakBefore w:val="0"/>
        <w:widowControl w:val="0"/>
        <w:kinsoku/>
        <w:wordWrap/>
        <w:overflowPunct/>
        <w:topLinePunct w:val="0"/>
        <w:bidi w:val="0"/>
        <w:snapToGrid/>
        <w:spacing w:line="560" w:lineRule="exact"/>
        <w:ind w:leftChars="0" w:firstLine="643" w:firstLineChars="200"/>
        <w:textAlignment w:val="auto"/>
        <w:rPr>
          <w:rFonts w:ascii="仿宋" w:hAnsi="仿宋" w:eastAsia="仿宋"/>
          <w:b/>
          <w:sz w:val="32"/>
          <w:szCs w:val="32"/>
        </w:rPr>
      </w:pPr>
      <w:r>
        <w:rPr>
          <w:rFonts w:hint="eastAsia" w:ascii="仿宋" w:hAnsi="仿宋" w:eastAsia="仿宋"/>
          <w:b/>
          <w:sz w:val="32"/>
          <w:szCs w:val="32"/>
        </w:rPr>
        <w:t>（名词解释部分请根据各单位实际列支情况罗列，并根据本单位职责职能增减名词解释内容。）</w:t>
      </w:r>
    </w:p>
    <w:p>
      <w:pPr>
        <w:keepNext w:val="0"/>
        <w:keepLines w:val="0"/>
        <w:pageBreakBefore w:val="0"/>
        <w:kinsoku/>
        <w:wordWrap/>
        <w:overflowPunct/>
        <w:topLinePunct w:val="0"/>
        <w:bidi w:val="0"/>
        <w:spacing w:line="560" w:lineRule="exact"/>
        <w:jc w:val="center"/>
        <w:outlineLvl w:val="0"/>
        <w:rPr>
          <w:rStyle w:val="28"/>
          <w:rFonts w:ascii="黑体" w:hAnsi="黑体" w:eastAsia="黑体"/>
          <w:b w:val="0"/>
        </w:rPr>
      </w:pPr>
      <w:bookmarkStart w:id="59" w:name="_Toc15377226"/>
      <w:r>
        <w:rPr>
          <w:rFonts w:ascii="宋体"/>
          <w:b/>
          <w:sz w:val="44"/>
          <w:szCs w:val="44"/>
        </w:rPr>
        <w:br w:type="page"/>
      </w:r>
      <w:bookmarkStart w:id="60" w:name="_Toc15396614"/>
      <w:r>
        <w:rPr>
          <w:rFonts w:hint="eastAsia" w:ascii="宋体"/>
          <w:b/>
          <w:sz w:val="44"/>
          <w:szCs w:val="44"/>
          <w:lang w:val="en-US" w:eastAsia="zh-CN"/>
        </w:rPr>
        <w:t xml:space="preserve">  </w:t>
      </w:r>
      <w:r>
        <w:rPr>
          <w:rFonts w:hint="eastAsia" w:ascii="黑体" w:hAnsi="黑体" w:eastAsia="黑体"/>
          <w:sz w:val="44"/>
          <w:szCs w:val="44"/>
        </w:rPr>
        <w:t>第</w:t>
      </w:r>
      <w:r>
        <w:rPr>
          <w:rStyle w:val="28"/>
          <w:rFonts w:hint="eastAsia" w:ascii="黑体" w:hAnsi="黑体" w:eastAsia="黑体"/>
          <w:b w:val="0"/>
        </w:rPr>
        <w:t>四部分 附件</w:t>
      </w:r>
      <w:bookmarkEnd w:id="60"/>
    </w:p>
    <w:p>
      <w:pPr>
        <w:spacing w:line="572" w:lineRule="exact"/>
        <w:jc w:val="left"/>
        <w:outlineLvl w:val="0"/>
        <w:rPr>
          <w:rFonts w:ascii="仿宋_GB2312" w:hAnsi="仿宋_GB2312" w:eastAsia="仿宋_GB2312" w:cs="仿宋_GB2312"/>
          <w:sz w:val="32"/>
          <w:szCs w:val="32"/>
        </w:rPr>
      </w:pPr>
    </w:p>
    <w:p>
      <w:pPr>
        <w:spacing w:line="600" w:lineRule="exact"/>
        <w:jc w:val="center"/>
        <w:outlineLvl w:val="0"/>
        <w:rPr>
          <w:rFonts w:ascii="黑体" w:hAnsi="黑体" w:eastAsia="黑体"/>
          <w:color w:val="FF0000"/>
          <w:sz w:val="44"/>
          <w:szCs w:val="44"/>
        </w:rPr>
      </w:pPr>
      <w:bookmarkStart w:id="61" w:name="_Toc15396618"/>
      <w:r>
        <w:rPr>
          <w:rFonts w:hint="eastAsia"/>
          <w:sz w:val="32"/>
          <w:szCs w:val="32"/>
          <w:lang w:val="en-US" w:eastAsia="zh-CN"/>
        </w:rPr>
        <w:t xml:space="preserve"> </w:t>
      </w:r>
      <w:r>
        <w:rPr>
          <w:rFonts w:hint="eastAsia"/>
          <w:sz w:val="32"/>
          <w:szCs w:val="32"/>
        </w:rPr>
        <w:t>部门预算项目支出绩效自评表（2023年度）</w:t>
      </w:r>
    </w:p>
    <w:tbl>
      <w:tblPr>
        <w:tblStyle w:val="15"/>
        <w:tblpPr w:leftFromText="180" w:rightFromText="180" w:vertAnchor="text" w:horzAnchor="page" w:tblpX="902" w:tblpY="538"/>
        <w:tblOverlap w:val="never"/>
        <w:tblW w:w="1042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74"/>
        <w:gridCol w:w="1013"/>
        <w:gridCol w:w="568"/>
        <w:gridCol w:w="1061"/>
        <w:gridCol w:w="696"/>
        <w:gridCol w:w="504"/>
        <w:gridCol w:w="611"/>
        <w:gridCol w:w="760"/>
        <w:gridCol w:w="782"/>
        <w:gridCol w:w="729"/>
        <w:gridCol w:w="654"/>
        <w:gridCol w:w="207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9" w:hRule="atLeast"/>
        </w:trPr>
        <w:tc>
          <w:tcPr>
            <w:tcW w:w="10425" w:type="dxa"/>
            <w:gridSpan w:val="12"/>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黑体" w:eastAsia="黑体" w:cs="黑体"/>
                <w:b/>
                <w:bCs/>
                <w:i w:val="0"/>
                <w:iCs w:val="0"/>
                <w:color w:val="000000"/>
                <w:sz w:val="30"/>
                <w:szCs w:val="30"/>
                <w:u w:val="none"/>
              </w:rPr>
            </w:pPr>
            <w:r>
              <w:rPr>
                <w:rFonts w:hint="eastAsia" w:ascii="黑体" w:hAnsi="黑体" w:eastAsia="黑体" w:cs="黑体"/>
                <w:b/>
                <w:bCs/>
                <w:i w:val="0"/>
                <w:iCs w:val="0"/>
                <w:color w:val="000000"/>
                <w:kern w:val="0"/>
                <w:sz w:val="30"/>
                <w:szCs w:val="30"/>
                <w:u w:val="none"/>
                <w:lang w:val="en-US" w:eastAsia="zh-CN" w:bidi="ar"/>
              </w:rPr>
              <w:t>部门项目支出绩效目标表（2023年度）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6" w:hRule="atLeast"/>
        </w:trPr>
        <w:tc>
          <w:tcPr>
            <w:tcW w:w="97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013"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568"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106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96"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50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11"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760"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782"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729"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654" w:type="dxa"/>
            <w:tcBorders>
              <w:top w:val="nil"/>
              <w:left w:val="nil"/>
              <w:bottom w:val="nil"/>
              <w:right w:val="nil"/>
            </w:tcBorders>
            <w:shd w:val="clear" w:color="auto" w:fill="auto"/>
            <w:noWrap/>
            <w:vAlign w:val="center"/>
          </w:tcPr>
          <w:p>
            <w:pPr>
              <w:rPr>
                <w:rFonts w:hint="eastAsia" w:ascii="宋体" w:hAnsi="宋体" w:eastAsia="宋体" w:cs="宋体"/>
                <w:i w:val="0"/>
                <w:iCs w:val="0"/>
                <w:color w:val="000000"/>
                <w:sz w:val="22"/>
                <w:szCs w:val="22"/>
                <w:u w:val="none"/>
              </w:rPr>
            </w:pPr>
          </w:p>
        </w:tc>
        <w:tc>
          <w:tcPr>
            <w:tcW w:w="2073" w:type="dxa"/>
            <w:tcBorders>
              <w:top w:val="nil"/>
              <w:left w:val="nil"/>
              <w:bottom w:val="nil"/>
              <w:right w:val="nil"/>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iCs w:val="0"/>
                <w:color w:val="000000"/>
                <w:sz w:val="14"/>
                <w:szCs w:val="14"/>
                <w:u w:val="none"/>
              </w:rPr>
            </w:pPr>
            <w:r>
              <w:rPr>
                <w:rFonts w:hint="eastAsia" w:ascii="宋体" w:hAnsi="宋体" w:eastAsia="宋体" w:cs="宋体"/>
                <w:i w:val="0"/>
                <w:iCs w:val="0"/>
                <w:color w:val="000000"/>
                <w:kern w:val="0"/>
                <w:sz w:val="14"/>
                <w:szCs w:val="14"/>
                <w:u w:val="none"/>
                <w:lang w:val="en-US" w:eastAsia="zh-CN" w:bidi="ar"/>
              </w:rPr>
              <w:t>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9" w:hRule="atLeast"/>
        </w:trPr>
        <w:tc>
          <w:tcPr>
            <w:tcW w:w="97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单位名称</w:t>
            </w:r>
          </w:p>
        </w:tc>
        <w:tc>
          <w:tcPr>
            <w:tcW w:w="101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项目名称</w:t>
            </w:r>
          </w:p>
        </w:tc>
        <w:tc>
          <w:tcPr>
            <w:tcW w:w="56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预算数</w:t>
            </w:r>
          </w:p>
        </w:tc>
        <w:tc>
          <w:tcPr>
            <w:tcW w:w="106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年度目标</w:t>
            </w:r>
          </w:p>
        </w:tc>
        <w:tc>
          <w:tcPr>
            <w:tcW w:w="69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一级指标</w:t>
            </w:r>
          </w:p>
        </w:tc>
        <w:tc>
          <w:tcPr>
            <w:tcW w:w="50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二级指标</w:t>
            </w:r>
          </w:p>
        </w:tc>
        <w:tc>
          <w:tcPr>
            <w:tcW w:w="61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三级指标</w:t>
            </w:r>
          </w:p>
        </w:tc>
        <w:tc>
          <w:tcPr>
            <w:tcW w:w="76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指标性质</w:t>
            </w:r>
          </w:p>
        </w:tc>
        <w:tc>
          <w:tcPr>
            <w:tcW w:w="78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指标值</w:t>
            </w:r>
          </w:p>
        </w:tc>
        <w:tc>
          <w:tcPr>
            <w:tcW w:w="72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度量单位</w:t>
            </w:r>
          </w:p>
        </w:tc>
        <w:tc>
          <w:tcPr>
            <w:tcW w:w="65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权重</w:t>
            </w:r>
          </w:p>
        </w:tc>
        <w:tc>
          <w:tcPr>
            <w:tcW w:w="207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center"/>
              <w:textAlignment w:val="center"/>
              <w:rPr>
                <w:rFonts w:ascii="宋体" w:hAnsi="宋体" w:eastAsia="宋体" w:cs="宋体"/>
                <w:b/>
                <w:bCs/>
                <w:i w:val="0"/>
                <w:iCs w:val="0"/>
                <w:color w:val="000000"/>
                <w:sz w:val="18"/>
                <w:szCs w:val="18"/>
                <w:u w:val="none"/>
              </w:rPr>
            </w:pPr>
            <w:r>
              <w:rPr>
                <w:rFonts w:ascii="宋体" w:hAnsi="宋体" w:eastAsia="宋体" w:cs="宋体"/>
                <w:b/>
                <w:bCs/>
                <w:i w:val="0"/>
                <w:iCs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97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  红原县党史研究和地方志编纂中心</w:t>
            </w:r>
          </w:p>
        </w:tc>
        <w:tc>
          <w:tcPr>
            <w:tcW w:w="101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568"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319.26</w:t>
            </w:r>
          </w:p>
        </w:tc>
        <w:tc>
          <w:tcPr>
            <w:tcW w:w="106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760"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782"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729"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c>
          <w:tcPr>
            <w:tcW w:w="2073" w:type="dxa"/>
            <w:tcBorders>
              <w:top w:val="single" w:color="000000" w:sz="4" w:space="0"/>
              <w:left w:val="single" w:color="000000" w:sz="4" w:space="0"/>
              <w:bottom w:val="single" w:color="000000" w:sz="4" w:space="0"/>
              <w:right w:val="single" w:color="000000" w:sz="4" w:space="0"/>
            </w:tcBorders>
            <w:shd w:val="clear" w:color="F7F7F7" w:fill="F7F7F7"/>
            <w:vAlign w:val="center"/>
          </w:tcPr>
          <w:p>
            <w:pPr>
              <w:rPr>
                <w:rFonts w:hint="eastAsia" w:ascii="黑体" w:hAnsi="黑体" w:eastAsia="黑体" w:cs="黑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151001-红原县党史研究和地方志编纂中心</w:t>
            </w: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51323322R000000309921-住房公积金</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w:t>
            </w:r>
            <w:r>
              <w:rPr>
                <w:rFonts w:ascii="宋体" w:hAnsi="宋体" w:eastAsia="宋体" w:cs="宋体"/>
                <w:i w:val="0"/>
                <w:iCs w:val="0"/>
                <w:color w:val="000000"/>
                <w:kern w:val="0"/>
                <w:sz w:val="18"/>
                <w:szCs w:val="18"/>
                <w:u w:val="none"/>
                <w:lang w:val="en-US" w:eastAsia="zh-CN" w:bidi="ar"/>
              </w:rPr>
              <w:t>15</w:t>
            </w:r>
            <w:r>
              <w:rPr>
                <w:rFonts w:hint="eastAsia" w:ascii="宋体" w:hAnsi="宋体" w:eastAsia="宋体" w:cs="宋体"/>
                <w:i w:val="0"/>
                <w:iCs w:val="0"/>
                <w:color w:val="000000"/>
                <w:kern w:val="0"/>
                <w:sz w:val="18"/>
                <w:szCs w:val="18"/>
                <w:u w:val="none"/>
                <w:lang w:val="en-US" w:eastAsia="zh-CN" w:bidi="ar"/>
              </w:rPr>
              <w:t>.</w:t>
            </w:r>
            <w:r>
              <w:rPr>
                <w:rFonts w:ascii="宋体" w:hAnsi="宋体" w:eastAsia="宋体" w:cs="宋体"/>
                <w:i w:val="0"/>
                <w:iCs w:val="0"/>
                <w:color w:val="000000"/>
                <w:kern w:val="0"/>
                <w:sz w:val="18"/>
                <w:szCs w:val="18"/>
                <w:u w:val="none"/>
                <w:lang w:val="en-US" w:eastAsia="zh-CN" w:bidi="ar"/>
              </w:rPr>
              <w:t>88</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51000021R000000019956-离退休费支出</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0.24</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51323321T000000113763-红原年鉴</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编纂出版红原县年鉴</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编纂出版红原县年鉴</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册/期</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为政府制度政策制度提供文字资料</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三率指标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51323322Y000000274175-党建群众工作经费</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1.20</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51323321T000000113616-执政实录</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　编纂出版红原县执政实录</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编纂出版红原县执政实录</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册/期</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为政府制定政策制度提供文字资料</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三率指标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51323322R000000309917-社会保障缴费（职工基本医疗保险缴费行政）</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9.83</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134.15</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51000021Y000000011490-日常公用经费</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4.06</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51323322R000000309923-社会保障缴费（其他社保缴费）</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51323322T000000419601-地方志工作培训会</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4.00</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全县地方志工作培训会</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全县地方志工作培训会</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场次</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9"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提高全县执政实录和年鉴的编纂水平</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三率指标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51323322R000000309915-社会保障缴费（职业年金缴费）</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9.60</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51323322R000000309920-社会保障缴费（公务员医疗补助缴费）</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2.16</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51323322Y000000304723-公用经费（非定额）</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8.00</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9"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8"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51323323T000008053591-红原县乡村文化志</w:t>
            </w:r>
          </w:p>
        </w:tc>
        <w:tc>
          <w:tcPr>
            <w:tcW w:w="5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59.16</w:t>
            </w:r>
          </w:p>
        </w:tc>
        <w:tc>
          <w:tcPr>
            <w:tcW w:w="106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51323321T000000113664-口述历史</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18.00</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拍摄口述历史　</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拍摄口述历史1部</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部</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存史</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三率指标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51323322R000000309914-社会保障缴费（机关事业单位基本养老保险缴费）</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19.20</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51323323R000008370415-年度考核奖</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14.29</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51323322R000000309926-体检费</w:t>
            </w:r>
          </w:p>
        </w:tc>
        <w:tc>
          <w:tcPr>
            <w:tcW w:w="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1.32</w:t>
            </w:r>
          </w:p>
        </w:tc>
        <w:tc>
          <w:tcPr>
            <w:tcW w:w="10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9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10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iCs w:val="0"/>
                <w:color w:val="000000"/>
                <w:sz w:val="18"/>
                <w:szCs w:val="18"/>
                <w:u w:val="none"/>
              </w:rPr>
            </w:pPr>
          </w:p>
        </w:tc>
        <w:tc>
          <w:tcPr>
            <w:tcW w:w="10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5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7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7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65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20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正向指标</w:t>
            </w:r>
          </w:p>
        </w:tc>
      </w:tr>
    </w:tbl>
    <w:p>
      <w:pPr>
        <w:pStyle w:val="2"/>
        <w:spacing w:line="560" w:lineRule="exact"/>
        <w:ind w:left="0" w:leftChars="0" w:firstLine="640"/>
        <w:rPr>
          <w:sz w:val="32"/>
        </w:rPr>
      </w:pPr>
    </w:p>
    <w:p>
      <w:pPr>
        <w:spacing w:line="600" w:lineRule="exact"/>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ind w:firstLine="2640" w:firstLineChars="600"/>
        <w:jc w:val="both"/>
        <w:outlineLvl w:val="0"/>
        <w:rPr>
          <w:rFonts w:hint="eastAsia" w:ascii="黑体" w:hAnsi="黑体" w:eastAsia="黑体"/>
          <w:sz w:val="44"/>
          <w:szCs w:val="44"/>
        </w:rPr>
      </w:pPr>
    </w:p>
    <w:p>
      <w:pPr>
        <w:spacing w:line="600" w:lineRule="exact"/>
        <w:jc w:val="both"/>
        <w:outlineLvl w:val="0"/>
        <w:rPr>
          <w:rFonts w:hint="eastAsia" w:ascii="黑体" w:hAnsi="黑体" w:eastAsia="黑体"/>
          <w:sz w:val="44"/>
          <w:szCs w:val="44"/>
        </w:rPr>
      </w:pPr>
    </w:p>
    <w:p>
      <w:pPr>
        <w:spacing w:line="600" w:lineRule="exact"/>
        <w:ind w:firstLine="2640" w:firstLineChars="600"/>
        <w:jc w:val="both"/>
        <w:outlineLvl w:val="0"/>
        <w:rPr>
          <w:rFonts w:ascii="仿宋" w:hAnsi="仿宋" w:eastAsia="仿宋"/>
        </w:rPr>
      </w:pPr>
      <w:r>
        <w:rPr>
          <w:rFonts w:hint="eastAsia" w:ascii="黑体" w:hAnsi="黑体" w:eastAsia="黑体"/>
          <w:sz w:val="44"/>
          <w:szCs w:val="44"/>
        </w:rPr>
        <w:t>第</w:t>
      </w:r>
      <w:r>
        <w:rPr>
          <w:rStyle w:val="28"/>
          <w:rFonts w:hint="eastAsia" w:ascii="黑体" w:hAnsi="黑体" w:eastAsia="黑体"/>
          <w:b w:val="0"/>
        </w:rPr>
        <w:t>五部分 附表</w:t>
      </w:r>
      <w:bookmarkEnd w:id="59"/>
      <w:bookmarkEnd w:id="61"/>
      <w:bookmarkStart w:id="62" w:name="_Toc15396619"/>
    </w:p>
    <w:p>
      <w:pPr>
        <w:pStyle w:val="5"/>
        <w:rPr>
          <w:rFonts w:ascii="仿宋" w:hAnsi="仿宋" w:eastAsia="仿宋"/>
        </w:rPr>
      </w:pPr>
      <w:r>
        <w:rPr>
          <w:rFonts w:hint="eastAsia" w:ascii="仿宋" w:hAnsi="仿宋" w:eastAsia="仿宋"/>
          <w:b w:val="0"/>
        </w:rPr>
        <w:t>一、收</w:t>
      </w:r>
      <w:r>
        <w:rPr>
          <w:rStyle w:val="29"/>
          <w:rFonts w:hint="eastAsia" w:ascii="仿宋" w:hAnsi="仿宋" w:eastAsia="仿宋"/>
          <w:b w:val="0"/>
          <w:bCs w:val="0"/>
        </w:rPr>
        <w:t>入支出决算总表</w:t>
      </w:r>
      <w:bookmarkEnd w:id="62"/>
    </w:p>
    <w:p>
      <w:pPr>
        <w:pStyle w:val="5"/>
        <w:rPr>
          <w:rFonts w:ascii="仿宋" w:hAnsi="仿宋" w:eastAsia="仿宋"/>
        </w:rPr>
      </w:pPr>
      <w:bookmarkStart w:id="63" w:name="_Toc15396620"/>
      <w:r>
        <w:rPr>
          <w:rFonts w:hint="eastAsia" w:ascii="仿宋" w:hAnsi="仿宋" w:eastAsia="仿宋"/>
          <w:b w:val="0"/>
        </w:rPr>
        <w:t>二、收</w:t>
      </w:r>
      <w:r>
        <w:rPr>
          <w:rStyle w:val="29"/>
          <w:rFonts w:hint="eastAsia" w:ascii="仿宋" w:hAnsi="仿宋" w:eastAsia="仿宋"/>
          <w:b w:val="0"/>
          <w:bCs w:val="0"/>
        </w:rPr>
        <w:t>入决算表</w:t>
      </w:r>
      <w:bookmarkEnd w:id="63"/>
    </w:p>
    <w:p>
      <w:pPr>
        <w:pStyle w:val="5"/>
        <w:rPr>
          <w:rFonts w:ascii="仿宋" w:hAnsi="仿宋" w:eastAsia="仿宋"/>
        </w:rPr>
      </w:pPr>
      <w:bookmarkStart w:id="64" w:name="_Toc15396621"/>
      <w:r>
        <w:rPr>
          <w:rStyle w:val="29"/>
          <w:rFonts w:hint="eastAsia" w:ascii="仿宋" w:hAnsi="仿宋" w:eastAsia="仿宋"/>
          <w:b w:val="0"/>
          <w:bCs w:val="0"/>
        </w:rPr>
        <w:t>三、</w:t>
      </w:r>
      <w:r>
        <w:rPr>
          <w:rFonts w:hint="eastAsia" w:ascii="仿宋" w:hAnsi="仿宋" w:eastAsia="仿宋"/>
          <w:b w:val="0"/>
        </w:rPr>
        <w:t>支</w:t>
      </w:r>
      <w:r>
        <w:rPr>
          <w:rStyle w:val="29"/>
          <w:rFonts w:hint="eastAsia" w:ascii="仿宋" w:hAnsi="仿宋" w:eastAsia="仿宋"/>
          <w:b w:val="0"/>
          <w:bCs w:val="0"/>
        </w:rPr>
        <w:t>出决算表</w:t>
      </w:r>
      <w:bookmarkEnd w:id="64"/>
    </w:p>
    <w:p>
      <w:pPr>
        <w:pStyle w:val="5"/>
        <w:rPr>
          <w:rFonts w:ascii="仿宋" w:hAnsi="仿宋" w:eastAsia="仿宋"/>
          <w:b w:val="0"/>
        </w:rPr>
      </w:pPr>
      <w:bookmarkStart w:id="65" w:name="_Toc15396622"/>
      <w:r>
        <w:rPr>
          <w:rStyle w:val="29"/>
          <w:rFonts w:hint="eastAsia" w:ascii="仿宋" w:hAnsi="仿宋" w:eastAsia="仿宋"/>
          <w:b w:val="0"/>
          <w:bCs w:val="0"/>
        </w:rPr>
        <w:t>四、</w:t>
      </w:r>
      <w:r>
        <w:rPr>
          <w:rFonts w:hint="eastAsia" w:ascii="仿宋" w:hAnsi="仿宋" w:eastAsia="仿宋"/>
          <w:b w:val="0"/>
        </w:rPr>
        <w:t>财</w:t>
      </w:r>
      <w:r>
        <w:rPr>
          <w:rStyle w:val="29"/>
          <w:rFonts w:hint="eastAsia" w:ascii="仿宋" w:hAnsi="仿宋" w:eastAsia="仿宋"/>
          <w:b w:val="0"/>
          <w:bCs w:val="0"/>
        </w:rPr>
        <w:t>政拨款收入支出决算总表</w:t>
      </w:r>
      <w:bookmarkEnd w:id="65"/>
    </w:p>
    <w:p>
      <w:pPr>
        <w:pStyle w:val="5"/>
        <w:rPr>
          <w:rStyle w:val="29"/>
          <w:rFonts w:ascii="仿宋" w:hAnsi="仿宋" w:eastAsia="仿宋"/>
          <w:b w:val="0"/>
          <w:bCs w:val="0"/>
        </w:rPr>
      </w:pPr>
      <w:bookmarkStart w:id="66" w:name="_Toc15396623"/>
      <w:r>
        <w:rPr>
          <w:rStyle w:val="29"/>
          <w:rFonts w:hint="eastAsia" w:ascii="仿宋" w:hAnsi="仿宋" w:eastAsia="仿宋"/>
          <w:b w:val="0"/>
          <w:bCs w:val="0"/>
        </w:rPr>
        <w:t>五、</w:t>
      </w:r>
      <w:r>
        <w:rPr>
          <w:rFonts w:hint="eastAsia" w:ascii="仿宋" w:hAnsi="仿宋" w:eastAsia="仿宋"/>
          <w:b w:val="0"/>
        </w:rPr>
        <w:t>财</w:t>
      </w:r>
      <w:r>
        <w:rPr>
          <w:rStyle w:val="29"/>
          <w:rFonts w:hint="eastAsia" w:ascii="仿宋" w:hAnsi="仿宋" w:eastAsia="仿宋"/>
          <w:b w:val="0"/>
          <w:bCs w:val="0"/>
        </w:rPr>
        <w:t>政拨款支出决算明细表</w:t>
      </w:r>
      <w:bookmarkEnd w:id="66"/>
      <w:bookmarkStart w:id="67" w:name="_Toc15396624"/>
    </w:p>
    <w:p>
      <w:pPr>
        <w:pStyle w:val="5"/>
        <w:rPr>
          <w:rFonts w:ascii="仿宋" w:hAnsi="仿宋" w:eastAsia="仿宋"/>
        </w:rPr>
      </w:pPr>
      <w:r>
        <w:rPr>
          <w:rStyle w:val="29"/>
          <w:rFonts w:hint="eastAsia" w:ascii="仿宋" w:hAnsi="仿宋" w:eastAsia="仿宋"/>
          <w:b w:val="0"/>
          <w:bCs w:val="0"/>
        </w:rPr>
        <w:t>六、</w:t>
      </w:r>
      <w:r>
        <w:rPr>
          <w:rFonts w:hint="eastAsia" w:ascii="仿宋" w:hAnsi="仿宋" w:eastAsia="仿宋"/>
          <w:b w:val="0"/>
        </w:rPr>
        <w:t>一</w:t>
      </w:r>
      <w:r>
        <w:rPr>
          <w:rStyle w:val="29"/>
          <w:rFonts w:hint="eastAsia" w:ascii="仿宋" w:hAnsi="仿宋" w:eastAsia="仿宋"/>
          <w:b w:val="0"/>
          <w:bCs w:val="0"/>
        </w:rPr>
        <w:t>般公共预算财政拨款支出决算表</w:t>
      </w:r>
      <w:bookmarkEnd w:id="67"/>
    </w:p>
    <w:p>
      <w:pPr>
        <w:pStyle w:val="5"/>
        <w:rPr>
          <w:rFonts w:ascii="仿宋" w:hAnsi="仿宋" w:eastAsia="仿宋"/>
        </w:rPr>
      </w:pPr>
      <w:bookmarkStart w:id="68" w:name="_Toc15396625"/>
      <w:r>
        <w:rPr>
          <w:rStyle w:val="29"/>
          <w:rFonts w:hint="eastAsia" w:ascii="仿宋" w:hAnsi="仿宋" w:eastAsia="仿宋"/>
          <w:b w:val="0"/>
          <w:bCs w:val="0"/>
        </w:rPr>
        <w:t>七、</w:t>
      </w:r>
      <w:r>
        <w:rPr>
          <w:rFonts w:hint="eastAsia" w:ascii="仿宋" w:hAnsi="仿宋" w:eastAsia="仿宋"/>
          <w:b w:val="0"/>
        </w:rPr>
        <w:t>一</w:t>
      </w:r>
      <w:r>
        <w:rPr>
          <w:rStyle w:val="29"/>
          <w:rFonts w:hint="eastAsia" w:ascii="仿宋" w:hAnsi="仿宋" w:eastAsia="仿宋"/>
          <w:b w:val="0"/>
          <w:bCs w:val="0"/>
        </w:rPr>
        <w:t>般公共预算财政拨款支出决算明细表</w:t>
      </w:r>
      <w:bookmarkEnd w:id="68"/>
    </w:p>
    <w:p>
      <w:pPr>
        <w:pStyle w:val="5"/>
        <w:rPr>
          <w:rFonts w:ascii="仿宋" w:hAnsi="仿宋" w:eastAsia="仿宋"/>
        </w:rPr>
      </w:pPr>
      <w:bookmarkStart w:id="69" w:name="_Toc15396626"/>
      <w:r>
        <w:rPr>
          <w:rStyle w:val="29"/>
          <w:rFonts w:hint="eastAsia" w:ascii="仿宋" w:hAnsi="仿宋" w:eastAsia="仿宋"/>
          <w:b w:val="0"/>
          <w:bCs w:val="0"/>
        </w:rPr>
        <w:t>八、</w:t>
      </w:r>
      <w:r>
        <w:rPr>
          <w:rFonts w:hint="eastAsia" w:ascii="仿宋" w:hAnsi="仿宋" w:eastAsia="仿宋"/>
          <w:b w:val="0"/>
        </w:rPr>
        <w:t>一</w:t>
      </w:r>
      <w:r>
        <w:rPr>
          <w:rStyle w:val="29"/>
          <w:rFonts w:hint="eastAsia" w:ascii="仿宋" w:hAnsi="仿宋" w:eastAsia="仿宋"/>
          <w:b w:val="0"/>
          <w:bCs w:val="0"/>
        </w:rPr>
        <w:t>般公共预算财政拨款基本支出决算表</w:t>
      </w:r>
      <w:bookmarkEnd w:id="69"/>
    </w:p>
    <w:p>
      <w:pPr>
        <w:pStyle w:val="5"/>
        <w:rPr>
          <w:rFonts w:ascii="仿宋" w:hAnsi="仿宋" w:eastAsia="仿宋"/>
        </w:rPr>
      </w:pPr>
      <w:bookmarkStart w:id="70" w:name="_Toc15396627"/>
      <w:r>
        <w:rPr>
          <w:rStyle w:val="29"/>
          <w:rFonts w:hint="eastAsia" w:ascii="仿宋" w:hAnsi="仿宋" w:eastAsia="仿宋"/>
          <w:b w:val="0"/>
          <w:bCs w:val="0"/>
        </w:rPr>
        <w:t>九、</w:t>
      </w:r>
      <w:r>
        <w:rPr>
          <w:rFonts w:hint="eastAsia" w:ascii="仿宋" w:hAnsi="仿宋" w:eastAsia="仿宋"/>
          <w:b w:val="0"/>
        </w:rPr>
        <w:t>一</w:t>
      </w:r>
      <w:r>
        <w:rPr>
          <w:rStyle w:val="29"/>
          <w:rFonts w:hint="eastAsia" w:ascii="仿宋" w:hAnsi="仿宋" w:eastAsia="仿宋"/>
          <w:b w:val="0"/>
          <w:bCs w:val="0"/>
        </w:rPr>
        <w:t>般公共预算财政拨款项目支出决算表</w:t>
      </w:r>
      <w:bookmarkEnd w:id="70"/>
    </w:p>
    <w:p>
      <w:pPr>
        <w:pStyle w:val="5"/>
        <w:rPr>
          <w:rFonts w:ascii="仿宋" w:hAnsi="仿宋" w:eastAsia="仿宋"/>
        </w:rPr>
      </w:pPr>
      <w:bookmarkStart w:id="71" w:name="_Toc15396628"/>
      <w:r>
        <w:rPr>
          <w:rStyle w:val="29"/>
          <w:rFonts w:hint="eastAsia" w:ascii="仿宋" w:hAnsi="仿宋" w:eastAsia="仿宋"/>
          <w:b w:val="0"/>
          <w:bCs w:val="0"/>
        </w:rPr>
        <w:t>十、</w:t>
      </w:r>
      <w:bookmarkEnd w:id="71"/>
      <w:r>
        <w:rPr>
          <w:rFonts w:hint="eastAsia" w:ascii="仿宋" w:hAnsi="仿宋" w:eastAsia="仿宋"/>
          <w:b w:val="0"/>
        </w:rPr>
        <w:t>政</w:t>
      </w:r>
      <w:r>
        <w:rPr>
          <w:rStyle w:val="29"/>
          <w:rFonts w:hint="eastAsia" w:ascii="仿宋" w:hAnsi="仿宋" w:eastAsia="仿宋"/>
          <w:b w:val="0"/>
          <w:bCs w:val="0"/>
        </w:rPr>
        <w:t>府性基金预算财政拨款收入支出决算表</w:t>
      </w:r>
    </w:p>
    <w:p>
      <w:pPr>
        <w:pStyle w:val="5"/>
        <w:rPr>
          <w:rFonts w:ascii="仿宋" w:hAnsi="仿宋" w:eastAsia="仿宋"/>
        </w:rPr>
      </w:pPr>
      <w:bookmarkStart w:id="72" w:name="_Toc15396629"/>
      <w:r>
        <w:rPr>
          <w:rStyle w:val="29"/>
          <w:rFonts w:hint="eastAsia" w:ascii="仿宋" w:hAnsi="仿宋" w:eastAsia="仿宋"/>
          <w:b w:val="0"/>
          <w:bCs w:val="0"/>
        </w:rPr>
        <w:t>十一、</w:t>
      </w:r>
      <w:bookmarkEnd w:id="72"/>
      <w:r>
        <w:rPr>
          <w:rFonts w:hint="eastAsia" w:ascii="仿宋" w:hAnsi="仿宋" w:eastAsia="仿宋"/>
          <w:b w:val="0"/>
        </w:rPr>
        <w:t>国</w:t>
      </w:r>
      <w:r>
        <w:rPr>
          <w:rStyle w:val="29"/>
          <w:rFonts w:hint="eastAsia" w:ascii="仿宋" w:hAnsi="仿宋" w:eastAsia="仿宋"/>
          <w:b w:val="0"/>
          <w:bCs w:val="0"/>
        </w:rPr>
        <w:t>有资本经营预算财政拨款收入支出决算表</w:t>
      </w:r>
    </w:p>
    <w:p>
      <w:pPr>
        <w:pStyle w:val="5"/>
        <w:rPr>
          <w:rFonts w:ascii="仿宋" w:hAnsi="仿宋" w:eastAsia="仿宋"/>
        </w:rPr>
      </w:pPr>
      <w:bookmarkStart w:id="73" w:name="_Toc15396630"/>
      <w:r>
        <w:rPr>
          <w:rStyle w:val="29"/>
          <w:rFonts w:hint="eastAsia" w:ascii="仿宋" w:hAnsi="仿宋" w:eastAsia="仿宋"/>
          <w:b w:val="0"/>
          <w:bCs w:val="0"/>
        </w:rPr>
        <w:t>十二、</w:t>
      </w:r>
      <w:bookmarkEnd w:id="73"/>
      <w:r>
        <w:rPr>
          <w:rStyle w:val="29"/>
          <w:rFonts w:hint="eastAsia" w:ascii="仿宋" w:hAnsi="仿宋" w:eastAsia="仿宋"/>
          <w:b w:val="0"/>
          <w:bCs w:val="0"/>
        </w:rPr>
        <w:t>国有资本经营预算财政拨款支出决算表</w:t>
      </w:r>
    </w:p>
    <w:p>
      <w:pPr>
        <w:pStyle w:val="5"/>
        <w:rPr>
          <w:rFonts w:eastAsia="仿宋"/>
        </w:rPr>
      </w:pPr>
      <w:bookmarkStart w:id="74" w:name="_Toc15396631"/>
      <w:r>
        <w:rPr>
          <w:rStyle w:val="29"/>
          <w:rFonts w:hint="eastAsia" w:ascii="仿宋" w:hAnsi="仿宋" w:eastAsia="仿宋"/>
          <w:b w:val="0"/>
          <w:bCs w:val="0"/>
        </w:rPr>
        <w:t>十三、</w:t>
      </w:r>
      <w:bookmarkEnd w:id="74"/>
      <w:r>
        <w:rPr>
          <w:rStyle w:val="29"/>
          <w:rFonts w:hint="eastAsia" w:ascii="仿宋" w:hAnsi="仿宋" w:eastAsia="仿宋"/>
          <w:b w:val="0"/>
          <w:bCs w:val="0"/>
        </w:rPr>
        <w:t>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font>
  <w:font w:name="楷体_GB2312">
    <w:panose1 w:val="02010609030101010101"/>
    <w:charset w:val="86"/>
    <w:family w:val="auto"/>
    <w:pitch w:val="default"/>
    <w:sig w:usb0="00000001" w:usb1="080E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Content>
      <w:p>
        <w:pPr>
          <w:pStyle w:val="10"/>
          <w:jc w:val="center"/>
        </w:pPr>
        <w:r>
          <w:fldChar w:fldCharType="begin"/>
        </w:r>
        <w:r>
          <w:instrText xml:space="preserve">PAGE   \* MERGEFORMAT</w:instrText>
        </w:r>
        <w:r>
          <w:fldChar w:fldCharType="separate"/>
        </w:r>
        <w:r>
          <w:rPr>
            <w:lang w:val="zh-CN"/>
          </w:rPr>
          <w:t>7</w:t>
        </w:r>
        <w: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DDD41D"/>
    <w:multiLevelType w:val="singleLevel"/>
    <w:tmpl w:val="A9DDD41D"/>
    <w:lvl w:ilvl="0" w:tentative="0">
      <w:start w:val="5"/>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ascii="黑体" w:hAnsi="黑体" w:eastAsia="黑体" w:cs="黑体"/>
        <w:sz w:val="44"/>
        <w:szCs w:val="44"/>
      </w:rPr>
    </w:lvl>
  </w:abstractNum>
  <w:abstractNum w:abstractNumId="2">
    <w:nsid w:val="4DD03587"/>
    <w:multiLevelType w:val="singleLevel"/>
    <w:tmpl w:val="4DD03587"/>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QwMTg4MjA0Mjc3NWFhNzQwMTRiMjZjZmJlYTZkYmQ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A1DAD"/>
    <w:rsid w:val="001C0962"/>
    <w:rsid w:val="001D7531"/>
    <w:rsid w:val="001E2763"/>
    <w:rsid w:val="001E737D"/>
    <w:rsid w:val="001F0592"/>
    <w:rsid w:val="001F7506"/>
    <w:rsid w:val="002006CD"/>
    <w:rsid w:val="00202B36"/>
    <w:rsid w:val="00204B7A"/>
    <w:rsid w:val="00204CDE"/>
    <w:rsid w:val="00206907"/>
    <w:rsid w:val="0021101A"/>
    <w:rsid w:val="00212B4A"/>
    <w:rsid w:val="00220536"/>
    <w:rsid w:val="00235629"/>
    <w:rsid w:val="00260C38"/>
    <w:rsid w:val="002616C0"/>
    <w:rsid w:val="00265372"/>
    <w:rsid w:val="002662AA"/>
    <w:rsid w:val="00280496"/>
    <w:rsid w:val="00294DC9"/>
    <w:rsid w:val="00295495"/>
    <w:rsid w:val="002A31DE"/>
    <w:rsid w:val="002B2613"/>
    <w:rsid w:val="002C5004"/>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25C50"/>
    <w:rsid w:val="0043177C"/>
    <w:rsid w:val="00434489"/>
    <w:rsid w:val="00437085"/>
    <w:rsid w:val="00443880"/>
    <w:rsid w:val="004464F4"/>
    <w:rsid w:val="0046049C"/>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533CF"/>
    <w:rsid w:val="005664BB"/>
    <w:rsid w:val="00566FFA"/>
    <w:rsid w:val="0057481D"/>
    <w:rsid w:val="0058486E"/>
    <w:rsid w:val="00585B33"/>
    <w:rsid w:val="0059014D"/>
    <w:rsid w:val="005A3FA3"/>
    <w:rsid w:val="005B5C64"/>
    <w:rsid w:val="005B6E8A"/>
    <w:rsid w:val="005C5337"/>
    <w:rsid w:val="005C6BD0"/>
    <w:rsid w:val="005D1C8B"/>
    <w:rsid w:val="005D468D"/>
    <w:rsid w:val="005D5CED"/>
    <w:rsid w:val="005F10BC"/>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55FC5"/>
    <w:rsid w:val="0066343B"/>
    <w:rsid w:val="00664777"/>
    <w:rsid w:val="006748A4"/>
    <w:rsid w:val="00681A31"/>
    <w:rsid w:val="00683E73"/>
    <w:rsid w:val="006A3141"/>
    <w:rsid w:val="006A5E34"/>
    <w:rsid w:val="006B2422"/>
    <w:rsid w:val="006B2B9A"/>
    <w:rsid w:val="006C1937"/>
    <w:rsid w:val="006F020C"/>
    <w:rsid w:val="0071021A"/>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10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C7FD8"/>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1E6F"/>
    <w:rsid w:val="00D34E7C"/>
    <w:rsid w:val="00D35489"/>
    <w:rsid w:val="00D36AFE"/>
    <w:rsid w:val="00D51276"/>
    <w:rsid w:val="00D7035F"/>
    <w:rsid w:val="00D9209C"/>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3DC2831"/>
    <w:rsid w:val="06A86A79"/>
    <w:rsid w:val="06C70A28"/>
    <w:rsid w:val="073D6280"/>
    <w:rsid w:val="075307D2"/>
    <w:rsid w:val="081B5E94"/>
    <w:rsid w:val="08E25FED"/>
    <w:rsid w:val="0A2032A3"/>
    <w:rsid w:val="0B8A37D8"/>
    <w:rsid w:val="0C5C598A"/>
    <w:rsid w:val="0F2D1414"/>
    <w:rsid w:val="0F5FFB2F"/>
    <w:rsid w:val="0FFFCF60"/>
    <w:rsid w:val="10C055FF"/>
    <w:rsid w:val="118107EC"/>
    <w:rsid w:val="11DD6519"/>
    <w:rsid w:val="128D7CA5"/>
    <w:rsid w:val="145D477D"/>
    <w:rsid w:val="16BB723D"/>
    <w:rsid w:val="18015F3F"/>
    <w:rsid w:val="1BE8440E"/>
    <w:rsid w:val="1D155CEE"/>
    <w:rsid w:val="1D5514E6"/>
    <w:rsid w:val="1FDBBF84"/>
    <w:rsid w:val="20932A1B"/>
    <w:rsid w:val="20EC6C1F"/>
    <w:rsid w:val="20F57F95"/>
    <w:rsid w:val="234343FC"/>
    <w:rsid w:val="23E85D60"/>
    <w:rsid w:val="240371BF"/>
    <w:rsid w:val="25711CC6"/>
    <w:rsid w:val="25C741E6"/>
    <w:rsid w:val="272B5D2C"/>
    <w:rsid w:val="276F80C0"/>
    <w:rsid w:val="27842671"/>
    <w:rsid w:val="27FF2A40"/>
    <w:rsid w:val="281D6B99"/>
    <w:rsid w:val="28681975"/>
    <w:rsid w:val="29FD04D3"/>
    <w:rsid w:val="2ABE7A3E"/>
    <w:rsid w:val="2AFF09B6"/>
    <w:rsid w:val="2CA234A8"/>
    <w:rsid w:val="2DD1348F"/>
    <w:rsid w:val="2EFA178C"/>
    <w:rsid w:val="2EFDF86C"/>
    <w:rsid w:val="2F9D17E1"/>
    <w:rsid w:val="305249E7"/>
    <w:rsid w:val="30B46D73"/>
    <w:rsid w:val="319F7F4E"/>
    <w:rsid w:val="344F1332"/>
    <w:rsid w:val="356A28F1"/>
    <w:rsid w:val="357C035A"/>
    <w:rsid w:val="368E000D"/>
    <w:rsid w:val="383D272C"/>
    <w:rsid w:val="38571843"/>
    <w:rsid w:val="39AE70AB"/>
    <w:rsid w:val="3A4DCE41"/>
    <w:rsid w:val="3BCB56FA"/>
    <w:rsid w:val="3C0C0783"/>
    <w:rsid w:val="3D3E5D33"/>
    <w:rsid w:val="3D8C7E70"/>
    <w:rsid w:val="3EE7C2F4"/>
    <w:rsid w:val="3F371B56"/>
    <w:rsid w:val="3F792ED8"/>
    <w:rsid w:val="3F9C4446"/>
    <w:rsid w:val="3F9F3A96"/>
    <w:rsid w:val="3FD9743A"/>
    <w:rsid w:val="3FECA4B2"/>
    <w:rsid w:val="3FF58C48"/>
    <w:rsid w:val="41195A38"/>
    <w:rsid w:val="42FF6694"/>
    <w:rsid w:val="47057FD4"/>
    <w:rsid w:val="48BF60AB"/>
    <w:rsid w:val="493C27E9"/>
    <w:rsid w:val="496F39ED"/>
    <w:rsid w:val="49ED1B20"/>
    <w:rsid w:val="49FF41D3"/>
    <w:rsid w:val="4BE068DB"/>
    <w:rsid w:val="4BF6002B"/>
    <w:rsid w:val="4BFFC6BE"/>
    <w:rsid w:val="4ECE2238"/>
    <w:rsid w:val="51DB4B86"/>
    <w:rsid w:val="51F64DB0"/>
    <w:rsid w:val="524F31FA"/>
    <w:rsid w:val="54B4377A"/>
    <w:rsid w:val="55333C3E"/>
    <w:rsid w:val="557A0CB9"/>
    <w:rsid w:val="58950E80"/>
    <w:rsid w:val="594159E5"/>
    <w:rsid w:val="5B6257EE"/>
    <w:rsid w:val="5C810AAA"/>
    <w:rsid w:val="5D3879E2"/>
    <w:rsid w:val="5D3E6C45"/>
    <w:rsid w:val="5D50654D"/>
    <w:rsid w:val="5F67802D"/>
    <w:rsid w:val="5F7DC4F2"/>
    <w:rsid w:val="5FB36814"/>
    <w:rsid w:val="5FBB8E56"/>
    <w:rsid w:val="5FFB5535"/>
    <w:rsid w:val="60D9653A"/>
    <w:rsid w:val="614826F2"/>
    <w:rsid w:val="63924A9C"/>
    <w:rsid w:val="64CA39A1"/>
    <w:rsid w:val="64DD7F96"/>
    <w:rsid w:val="658334A5"/>
    <w:rsid w:val="69630ADE"/>
    <w:rsid w:val="6965127B"/>
    <w:rsid w:val="69BD5F13"/>
    <w:rsid w:val="69FB0B4B"/>
    <w:rsid w:val="6BFFE1FB"/>
    <w:rsid w:val="6C4A05C8"/>
    <w:rsid w:val="6D3B1A89"/>
    <w:rsid w:val="6DB7D8A3"/>
    <w:rsid w:val="6EC78701"/>
    <w:rsid w:val="6EED1CED"/>
    <w:rsid w:val="6F7A5481"/>
    <w:rsid w:val="6FFE07A9"/>
    <w:rsid w:val="70C22E4A"/>
    <w:rsid w:val="71BF4EC2"/>
    <w:rsid w:val="723269BB"/>
    <w:rsid w:val="72734D90"/>
    <w:rsid w:val="73312E34"/>
    <w:rsid w:val="73950D2D"/>
    <w:rsid w:val="73E75B71"/>
    <w:rsid w:val="7412278C"/>
    <w:rsid w:val="75DDCDA9"/>
    <w:rsid w:val="75FF44B1"/>
    <w:rsid w:val="77670518"/>
    <w:rsid w:val="777FA627"/>
    <w:rsid w:val="77DF1B5F"/>
    <w:rsid w:val="77EF2D9D"/>
    <w:rsid w:val="79E7B28D"/>
    <w:rsid w:val="7AC027B5"/>
    <w:rsid w:val="7ACFF0C2"/>
    <w:rsid w:val="7AFB9108"/>
    <w:rsid w:val="7B3FB379"/>
    <w:rsid w:val="7BD5340C"/>
    <w:rsid w:val="7BFB19D2"/>
    <w:rsid w:val="7BFD1750"/>
    <w:rsid w:val="7BFDAA1B"/>
    <w:rsid w:val="7CDF9A82"/>
    <w:rsid w:val="7CFFA1BD"/>
    <w:rsid w:val="7D2E3F7A"/>
    <w:rsid w:val="7DED9490"/>
    <w:rsid w:val="7DFF4872"/>
    <w:rsid w:val="7E7487E6"/>
    <w:rsid w:val="7E7C2A54"/>
    <w:rsid w:val="7EEEFD72"/>
    <w:rsid w:val="7F1D517C"/>
    <w:rsid w:val="7F5DA057"/>
    <w:rsid w:val="7F6C2237"/>
    <w:rsid w:val="7F7F319B"/>
    <w:rsid w:val="7F9F20EE"/>
    <w:rsid w:val="7FBBE890"/>
    <w:rsid w:val="7FBC2ABD"/>
    <w:rsid w:val="7FBF5D48"/>
    <w:rsid w:val="7FCCFC01"/>
    <w:rsid w:val="7FDD1748"/>
    <w:rsid w:val="7FE769C6"/>
    <w:rsid w:val="7FFD083E"/>
    <w:rsid w:val="7FFF9372"/>
    <w:rsid w:val="84BF1F3B"/>
    <w:rsid w:val="8F55B106"/>
    <w:rsid w:val="95DF317D"/>
    <w:rsid w:val="97E77C70"/>
    <w:rsid w:val="9E3A10E2"/>
    <w:rsid w:val="9FB91FBD"/>
    <w:rsid w:val="9FD54998"/>
    <w:rsid w:val="A671883B"/>
    <w:rsid w:val="A7EFD17F"/>
    <w:rsid w:val="A7FFE43F"/>
    <w:rsid w:val="BDFEA317"/>
    <w:rsid w:val="CD9BBABB"/>
    <w:rsid w:val="CF99F292"/>
    <w:rsid w:val="D5DA60B3"/>
    <w:rsid w:val="D7C6F579"/>
    <w:rsid w:val="D8FECA92"/>
    <w:rsid w:val="DAFFBE66"/>
    <w:rsid w:val="DD2C0BFE"/>
    <w:rsid w:val="DE3F332B"/>
    <w:rsid w:val="DE6F4A3D"/>
    <w:rsid w:val="DF69F8B0"/>
    <w:rsid w:val="DFC71555"/>
    <w:rsid w:val="DFFC559C"/>
    <w:rsid w:val="DFFEDFAE"/>
    <w:rsid w:val="DFFFB5EB"/>
    <w:rsid w:val="E4B33E57"/>
    <w:rsid w:val="E5BF946A"/>
    <w:rsid w:val="EB39BD45"/>
    <w:rsid w:val="EBCF1FC2"/>
    <w:rsid w:val="EBD18F66"/>
    <w:rsid w:val="ED17392C"/>
    <w:rsid w:val="ED9FFD9A"/>
    <w:rsid w:val="EDB7968B"/>
    <w:rsid w:val="EE9E779D"/>
    <w:rsid w:val="EEF73F60"/>
    <w:rsid w:val="EFED9E42"/>
    <w:rsid w:val="EFFFB194"/>
    <w:rsid w:val="F2E1F9D4"/>
    <w:rsid w:val="F5FF7449"/>
    <w:rsid w:val="F7880819"/>
    <w:rsid w:val="F7AF180D"/>
    <w:rsid w:val="F7BDBFA7"/>
    <w:rsid w:val="F7FAD68F"/>
    <w:rsid w:val="F7FB14CF"/>
    <w:rsid w:val="FB3FC69C"/>
    <w:rsid w:val="FBDFF225"/>
    <w:rsid w:val="FBF7AB63"/>
    <w:rsid w:val="FC2F3373"/>
    <w:rsid w:val="FCF51535"/>
    <w:rsid w:val="FD77F6B8"/>
    <w:rsid w:val="FDD69328"/>
    <w:rsid w:val="FDDFEC0E"/>
    <w:rsid w:val="FDE58BDD"/>
    <w:rsid w:val="FDEC7001"/>
    <w:rsid w:val="FEDFE87F"/>
    <w:rsid w:val="FEF1D25B"/>
    <w:rsid w:val="FF3EF90F"/>
    <w:rsid w:val="FFAF6081"/>
    <w:rsid w:val="FFECCD8C"/>
    <w:rsid w:val="FFED60BD"/>
    <w:rsid w:val="FFEE08F0"/>
    <w:rsid w:val="FFEE7F9F"/>
    <w:rsid w:val="FFFF319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qFormat/>
    <w:uiPriority w:val="0"/>
    <w:pPr>
      <w:spacing w:after="120"/>
      <w:ind w:left="200" w:leftChars="200"/>
    </w:pPr>
    <w:rPr>
      <w:rFonts w:ascii="仿宋_GB2312"/>
      <w:szCs w:val="32"/>
    </w:rPr>
  </w:style>
  <w:style w:type="paragraph" w:styleId="7">
    <w:name w:val="Body Text"/>
    <w:basedOn w:val="1"/>
    <w:link w:val="25"/>
    <w:qFormat/>
    <w:uiPriority w:val="99"/>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keepNext w:val="0"/>
      <w:keepLines w:val="0"/>
      <w:widowControl/>
      <w:suppressLineNumbers w:val="0"/>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styleId="17">
    <w:name w:val="Strong"/>
    <w:basedOn w:val="16"/>
    <w:qFormat/>
    <w:uiPriority w:val="99"/>
    <w:rPr>
      <w:b/>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99"/>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paragraph" w:customStyle="1" w:styleId="33">
    <w:name w:val="TOC 标题2"/>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WPSOffice手动目录 1"/>
    <w:qFormat/>
    <w:uiPriority w:val="0"/>
    <w:pPr>
      <w:ind w:leftChars="0"/>
    </w:pPr>
    <w:rPr>
      <w:rFonts w:ascii="Times New Roman" w:hAnsi="Times New Roman" w:eastAsia="宋体" w:cs="Times New Roman"/>
      <w:sz w:val="20"/>
      <w:szCs w:val="20"/>
    </w:rPr>
  </w:style>
  <w:style w:type="paragraph" w:customStyle="1" w:styleId="35">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7.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仿宋_GB2312" panose="02010609030101010101" charset="-122"/>
                <a:ea typeface="仿宋_GB2312" panose="02010609030101010101" charset="-122"/>
              </a:rPr>
              <a:t>收、支决算总计变动情况图</a:t>
            </a:r>
            <a:endParaRPr>
              <a:latin typeface="仿宋_GB2312" panose="02010609030101010101" charset="-122"/>
              <a:ea typeface="仿宋_GB2312" panose="02010609030101010101" charset="-122"/>
            </a:endParaRPr>
          </a:p>
        </c:rich>
      </c:tx>
      <c:layout>
        <c:manualLayout>
          <c:xMode val="edge"/>
          <c:yMode val="edge"/>
          <c:x val="0.270904178954872"/>
          <c:y val="0.0451881451372241"/>
        </c:manualLayout>
      </c:layout>
      <c:overlay val="0"/>
      <c:spPr>
        <a:noFill/>
        <a:ln>
          <a:noFill/>
        </a:ln>
        <a:effectLst/>
      </c:spPr>
    </c:title>
    <c:autoTitleDeleted val="0"/>
    <c:plotArea>
      <c:layout>
        <c:manualLayout>
          <c:layoutTarget val="inner"/>
          <c:xMode val="edge"/>
          <c:yMode val="edge"/>
          <c:x val="0.0904083111862769"/>
          <c:y val="0.211219719507012"/>
          <c:w val="0.86102923411452"/>
          <c:h val="0.563280917977051"/>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Sheet1!$A$2:$A$3</c:f>
              <c:strCache>
                <c:ptCount val="2"/>
                <c:pt idx="0">
                  <c:v>2022年</c:v>
                </c:pt>
                <c:pt idx="1">
                  <c:v>2023年</c:v>
                </c:pt>
              </c:strCache>
            </c:strRef>
          </c:cat>
          <c:val>
            <c:numRef>
              <c:f>Sheet1!$B$2:$B$3</c:f>
              <c:numCache>
                <c:formatCode>General</c:formatCode>
                <c:ptCount val="2"/>
                <c:pt idx="0">
                  <c:v>221.54</c:v>
                </c:pt>
                <c:pt idx="1">
                  <c:v>308.14</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Sheet1!$C$2:$C$3</c:f>
              <c:numCache>
                <c:formatCode>General</c:formatCode>
                <c:ptCount val="2"/>
                <c:pt idx="0">
                  <c:v>221.54</c:v>
                </c:pt>
                <c:pt idx="1">
                  <c:v>308.14</c:v>
                </c:pt>
              </c:numCache>
            </c:numRef>
          </c:val>
        </c:ser>
        <c:dLbls>
          <c:showLegendKey val="0"/>
          <c:showVal val="1"/>
          <c:showCatName val="0"/>
          <c:showSerName val="0"/>
          <c:showPercent val="0"/>
          <c:showBubbleSize val="0"/>
        </c:dLbls>
        <c:gapWidth val="246"/>
        <c:overlap val="-28"/>
        <c:axId val="497439630"/>
        <c:axId val="843961743"/>
      </c:barChart>
      <c:catAx>
        <c:axId val="497439630"/>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3961743"/>
        <c:crosses val="autoZero"/>
        <c:auto val="1"/>
        <c:lblAlgn val="ctr"/>
        <c:lblOffset val="100"/>
        <c:noMultiLvlLbl val="0"/>
      </c:catAx>
      <c:valAx>
        <c:axId val="843961743"/>
        <c:scaling>
          <c:orientation val="minMax"/>
        </c:scaling>
        <c:delete val="1"/>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743963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收入决算结构图</a:t>
            </a:r>
            <a:endParaRPr lang="en-US" altLang="zh-CN"/>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Pt>
            <c:idx val="5"/>
            <c:bubble3D val="0"/>
            <c:spPr>
              <a:solidFill>
                <a:schemeClr val="accent6"/>
              </a:solidFill>
              <a:ln>
                <a:solidFill>
                  <a:schemeClr val="bg1"/>
                </a:solidFill>
              </a:ln>
              <a:effectLst/>
            </c:spPr>
          </c:dPt>
          <c:dPt>
            <c:idx val="6"/>
            <c:bubble3D val="0"/>
            <c:spPr>
              <a:solidFill>
                <a:schemeClr val="accent1">
                  <a:lumMod val="60000"/>
                </a:schemeClr>
              </a:solidFill>
              <a:ln>
                <a:solidFill>
                  <a:schemeClr val="bg1"/>
                </a:solidFill>
              </a:ln>
              <a:effectLst/>
            </c:spPr>
          </c:dPt>
          <c:dPt>
            <c:idx val="7"/>
            <c:bubble3D val="0"/>
            <c:spPr>
              <a:solidFill>
                <a:schemeClr val="accent2">
                  <a:lumMod val="60000"/>
                </a:schemeClr>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一般公共预算财政拨款收入</c:v>
                </c:pt>
                <c:pt idx="1">
                  <c:v>政府性基金预算财政拨款收入</c:v>
                </c:pt>
                <c:pt idx="2">
                  <c:v>国有资本经营预算财政拨款收入</c:v>
                </c:pt>
                <c:pt idx="3">
                  <c:v>上级补助收入</c:v>
                </c:pt>
                <c:pt idx="4">
                  <c:v>事业收入</c:v>
                </c:pt>
                <c:pt idx="5">
                  <c:v>经营收入</c:v>
                </c:pt>
                <c:pt idx="6">
                  <c:v>附属单位上缴收入</c:v>
                </c:pt>
                <c:pt idx="7">
                  <c:v>其他收入</c:v>
                </c:pt>
              </c:strCache>
            </c:strRef>
          </c:cat>
          <c:val>
            <c:numRef>
              <c:f>Sheet1!$B$2:$B$9</c:f>
              <c:numCache>
                <c:formatCode>General</c:formatCode>
                <c:ptCount val="8"/>
                <c:pt idx="0">
                  <c:v>308.14</c:v>
                </c:pt>
                <c:pt idx="1">
                  <c:v>0</c:v>
                </c:pt>
                <c:pt idx="2">
                  <c:v>0</c:v>
                </c:pt>
                <c:pt idx="3">
                  <c:v>0</c:v>
                </c:pt>
                <c:pt idx="4">
                  <c:v>0</c:v>
                </c:pt>
                <c:pt idx="5">
                  <c:v>0</c:v>
                </c:pt>
                <c:pt idx="6">
                  <c:v>0</c:v>
                </c:pt>
                <c:pt idx="7">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7538363171355"/>
          <c:y val="0.15766773162939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支出决算结构图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Pt>
            <c:idx val="4"/>
            <c:bubble3D val="0"/>
            <c:spPr>
              <a:solidFill>
                <a:schemeClr val="accent5"/>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c:v>
                </c:pt>
              </c:strCache>
            </c:strRef>
          </c:cat>
          <c:val>
            <c:numRef>
              <c:f>Sheet1!$B$2:$B$6</c:f>
              <c:numCache>
                <c:formatCode>General</c:formatCode>
                <c:ptCount val="5"/>
                <c:pt idx="0">
                  <c:v>212.3</c:v>
                </c:pt>
                <c:pt idx="1">
                  <c:v>95.84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a:latin typeface="仿宋_GB2312" panose="02010609030101010101" charset="-122"/>
                <a:ea typeface="仿宋_GB2312" panose="02010609030101010101" charset="-122"/>
              </a:rPr>
              <a:t>收、支决算总计变动情况图</a:t>
            </a:r>
            <a:endParaRPr>
              <a:latin typeface="仿宋_GB2312" panose="02010609030101010101" charset="-122"/>
              <a:ea typeface="仿宋_GB2312" panose="02010609030101010101" charset="-122"/>
            </a:endParaRPr>
          </a:p>
        </c:rich>
      </c:tx>
      <c:layout>
        <c:manualLayout>
          <c:xMode val="edge"/>
          <c:yMode val="edge"/>
          <c:x val="0.270904178954872"/>
          <c:y val="0.0451881451372241"/>
        </c:manualLayout>
      </c:layout>
      <c:overlay val="0"/>
      <c:spPr>
        <a:noFill/>
        <a:ln>
          <a:noFill/>
        </a:ln>
        <a:effectLst/>
      </c:spPr>
    </c:title>
    <c:autoTitleDeleted val="0"/>
    <c:plotArea>
      <c:layout>
        <c:manualLayout>
          <c:layoutTarget val="inner"/>
          <c:xMode val="edge"/>
          <c:yMode val="edge"/>
          <c:x val="0.0904083111862769"/>
          <c:y val="0.211219719507012"/>
          <c:w val="0.86102923411452"/>
          <c:h val="0.563280917977051"/>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prstDash val="sysDot"/>
              </a:ln>
              <a:effectLst/>
            </c:spPr>
            <c:trendlineType val="linear"/>
            <c:dispRSqr val="0"/>
            <c:dispEq val="0"/>
          </c:trendline>
          <c:cat>
            <c:strRef>
              <c:f>Sheet1!$A$2:$A$3</c:f>
              <c:strCache>
                <c:ptCount val="2"/>
                <c:pt idx="0">
                  <c:v>2022年</c:v>
                </c:pt>
                <c:pt idx="1">
                  <c:v>2023年</c:v>
                </c:pt>
              </c:strCache>
            </c:strRef>
          </c:cat>
          <c:val>
            <c:numRef>
              <c:f>Sheet1!$B$2:$B$3</c:f>
              <c:numCache>
                <c:formatCode>General</c:formatCode>
                <c:ptCount val="2"/>
                <c:pt idx="0">
                  <c:v>221.54</c:v>
                </c:pt>
                <c:pt idx="1">
                  <c:v>308.14</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Sheet1!$C$2:$C$3</c:f>
              <c:numCache>
                <c:formatCode>General</c:formatCode>
                <c:ptCount val="2"/>
                <c:pt idx="0">
                  <c:v>221.54</c:v>
                </c:pt>
                <c:pt idx="1">
                  <c:v>308.14</c:v>
                </c:pt>
              </c:numCache>
            </c:numRef>
          </c:val>
        </c:ser>
        <c:dLbls>
          <c:showLegendKey val="0"/>
          <c:showVal val="1"/>
          <c:showCatName val="0"/>
          <c:showSerName val="0"/>
          <c:showPercent val="0"/>
          <c:showBubbleSize val="0"/>
        </c:dLbls>
        <c:gapWidth val="246"/>
        <c:overlap val="-28"/>
        <c:axId val="497439630"/>
        <c:axId val="843961743"/>
      </c:barChart>
      <c:catAx>
        <c:axId val="497439630"/>
        <c:scaling>
          <c:orientation val="minMax"/>
        </c:scaling>
        <c:delete val="1"/>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43961743"/>
        <c:crosses val="autoZero"/>
        <c:auto val="1"/>
        <c:lblAlgn val="ctr"/>
        <c:lblOffset val="100"/>
        <c:noMultiLvlLbl val="0"/>
      </c:catAx>
      <c:valAx>
        <c:axId val="843961743"/>
        <c:scaling>
          <c:orientation val="minMax"/>
        </c:scaling>
        <c:delete val="1"/>
        <c:axPos val="l"/>
        <c:majorGridlines>
          <c:spPr>
            <a:ln w="9525" cap="flat" cmpd="sng" algn="ctr">
              <a:solidFill>
                <a:schemeClr val="lt1">
                  <a:lumMod val="90200"/>
                </a:schemeClr>
              </a:solidFill>
              <a:round/>
            </a:ln>
            <a:effectLst/>
          </c:spPr>
        </c:majorGridlines>
        <c:numFmt formatCode="General"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9743963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一般公共预算财政拨款支出变动图</a:t>
            </a:r>
            <a:endParaRPr lang="en-US" altLang="zh-CN"/>
          </a:p>
        </c:rich>
      </c:tx>
      <c:layout/>
      <c:overlay val="0"/>
      <c:spPr>
        <a:noFill/>
        <a:ln>
          <a:noFill/>
        </a:ln>
        <a:effectLst/>
      </c:spPr>
    </c:title>
    <c:autoTitleDeleted val="0"/>
    <c:plotArea>
      <c:layout>
        <c:manualLayout>
          <c:layoutTarget val="inner"/>
          <c:xMode val="edge"/>
          <c:yMode val="edge"/>
          <c:x val="0.183190148911798"/>
          <c:y val="0.172961768770152"/>
          <c:w val="0.783734249713631"/>
          <c:h val="0.518378627360663"/>
        </c:manualLayout>
      </c:layout>
      <c:barChart>
        <c:barDir val="col"/>
        <c:grouping val="clustered"/>
        <c:varyColors val="0"/>
        <c:ser>
          <c:idx val="0"/>
          <c:order val="0"/>
          <c:tx>
            <c:strRef>
              <c:f>Sheet1!$B$1</c:f>
              <c:strCache>
                <c:ptCount val="1"/>
                <c:pt idx="0">
                  <c:v>总支出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221.54</c:v>
                </c:pt>
                <c:pt idx="1">
                  <c:v>308.14</c:v>
                </c:pt>
              </c:numCache>
            </c:numRef>
          </c:val>
        </c:ser>
        <c:ser>
          <c:idx val="1"/>
          <c:order val="1"/>
          <c:tx>
            <c:strRef>
              <c:f>Sheet1!$C$1</c:f>
              <c:strCache>
                <c:ptCount val="1"/>
                <c:pt idx="0">
                  <c:v>基本支出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Sheet1!$C$2:$C$3</c:f>
              <c:numCache>
                <c:formatCode>General</c:formatCode>
                <c:ptCount val="2"/>
                <c:pt idx="0">
                  <c:v>190.14</c:v>
                </c:pt>
                <c:pt idx="1">
                  <c:v>212.3</c:v>
                </c:pt>
              </c:numCache>
            </c:numRef>
          </c:val>
        </c:ser>
        <c:ser>
          <c:idx val="2"/>
          <c:order val="2"/>
          <c:tx>
            <c:strRef>
              <c:f>Sheet1!$D$1</c:f>
              <c:strCache>
                <c:ptCount val="1"/>
                <c:pt idx="0">
                  <c:v>项目支出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Sheet1!$D$2:$D$3</c:f>
              <c:numCache>
                <c:formatCode>General</c:formatCode>
                <c:ptCount val="2"/>
                <c:pt idx="0">
                  <c:v>31.4</c:v>
                </c:pt>
                <c:pt idx="1">
                  <c:v>95.84</c:v>
                </c:pt>
              </c:numCache>
            </c:numRef>
          </c:val>
        </c:ser>
        <c:dLbls>
          <c:showLegendKey val="0"/>
          <c:showVal val="1"/>
          <c:showCatName val="0"/>
          <c:showSerName val="0"/>
          <c:showPercent val="0"/>
          <c:showBubbleSize val="0"/>
        </c:dLbls>
        <c:gapWidth val="246"/>
        <c:overlap val="-28"/>
        <c:axId val="814798773"/>
        <c:axId val="307667175"/>
      </c:barChart>
      <c:catAx>
        <c:axId val="81479877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07667175"/>
        <c:crosses val="autoZero"/>
        <c:auto val="1"/>
        <c:lblAlgn val="ctr"/>
        <c:lblOffset val="100"/>
        <c:noMultiLvlLbl val="0"/>
      </c:catAx>
      <c:valAx>
        <c:axId val="307667175"/>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14798773"/>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一般公共预算财政拨款支出结构图</a:t>
            </a:r>
            <a:endParaRPr lang="en-US" altLang="zh-CN"/>
          </a:p>
        </c:rich>
      </c:tx>
      <c:layout>
        <c:manualLayout>
          <c:xMode val="edge"/>
          <c:yMode val="edge"/>
          <c:x val="0.243272898202475"/>
          <c:y val="0.0185439081416004"/>
        </c:manualLayout>
      </c:layout>
      <c:overlay val="0"/>
      <c:spPr>
        <a:noFill/>
        <a:ln>
          <a:noFill/>
        </a:ln>
        <a:effectLst/>
      </c:spPr>
    </c:title>
    <c:autoTitleDeleted val="0"/>
    <c:plotArea>
      <c:layout>
        <c:manualLayout>
          <c:layoutTarget val="inner"/>
          <c:xMode val="edge"/>
          <c:yMode val="edge"/>
          <c:x val="0.155659155659156"/>
          <c:y val="0.170182338219521"/>
          <c:w val="0.597254597254597"/>
          <c:h val="0.82445477297104"/>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Pt>
            <c:idx val="3"/>
            <c:bubble3D val="0"/>
            <c:spPr>
              <a:solidFill>
                <a:schemeClr val="accent4"/>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254.95</c:v>
                </c:pt>
                <c:pt idx="1">
                  <c:v>27.79</c:v>
                </c:pt>
                <c:pt idx="2">
                  <c:v>11.8</c:v>
                </c:pt>
                <c:pt idx="3">
                  <c:v>13.6</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rPr lang="en-US" altLang="zh-CN"/>
              <a:t>“</a:t>
            </a:r>
            <a:r>
              <a:rPr altLang="en-US"/>
              <a:t>三公</a:t>
            </a:r>
            <a:r>
              <a:rPr lang="en-US" altLang="zh-CN"/>
              <a:t>”</a:t>
            </a:r>
            <a:r>
              <a:rPr altLang="en-US"/>
              <a:t>经费财政拨款支出结构图</a:t>
            </a:r>
            <a:endParaRPr altLang="en-US"/>
          </a:p>
        </c:rich>
      </c:tx>
      <c:layout>
        <c:manualLayout>
          <c:xMode val="edge"/>
          <c:yMode val="edge"/>
          <c:x val="0.206932970909328"/>
          <c:y val="0.0255250297993797"/>
        </c:manualLayout>
      </c:layout>
      <c:overlay val="0"/>
      <c:spPr>
        <a:noFill/>
        <a:ln>
          <a:noFill/>
        </a:ln>
        <a:effectLst/>
      </c:spPr>
    </c:title>
    <c:autoTitleDeleted val="0"/>
    <c:plotArea>
      <c:layout>
        <c:manualLayout>
          <c:layoutTarget val="inner"/>
          <c:xMode val="edge"/>
          <c:yMode val="edge"/>
          <c:x val="0.202193223798976"/>
          <c:y val="0.12989156921864"/>
          <c:w val="0.504711282918579"/>
          <c:h val="0.887802804929877"/>
        </c:manualLayout>
      </c:layout>
      <c:pieChart>
        <c:varyColors val="1"/>
        <c:ser>
          <c:idx val="0"/>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Pt>
            <c:idx val="2"/>
            <c:bubble3D val="0"/>
            <c:spPr>
              <a:solidFill>
                <a:schemeClr val="accent3"/>
              </a:solidFill>
              <a:ln>
                <a:solidFill>
                  <a:schemeClr val="bg1"/>
                </a:solidFill>
              </a:ln>
              <a:effectLst/>
            </c:spPr>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Sheet1!$A$2:$A$4</c:f>
              <c:strCache>
                <c:ptCount val="3"/>
                <c:pt idx="0">
                  <c:v>因公出国（境）费</c:v>
                </c:pt>
                <c:pt idx="1">
                  <c:v>公务用车购置及运行维护费</c:v>
                </c:pt>
                <c:pt idx="2">
                  <c:v>公务接待费</c:v>
                </c:pt>
              </c:strCache>
            </c:strRef>
          </c:cat>
          <c:val>
            <c:numRef>
              <c:f>Sheet1!$B$2:$B$4</c:f>
              <c:numCache>
                <c:formatCode>General</c:formatCode>
                <c:ptCount val="3"/>
                <c:pt idx="0">
                  <c:v>0</c:v>
                </c:pt>
                <c:pt idx="1">
                  <c:v>2.45</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四川省财政厅</Company>
  <Pages>25</Pages>
  <Words>7429</Words>
  <Characters>8461</Characters>
  <Lines>42</Lines>
  <Paragraphs>11</Paragraphs>
  <TotalTime>14</TotalTime>
  <ScaleCrop>false</ScaleCrop>
  <LinksUpToDate>false</LinksUpToDate>
  <CharactersWithSpaces>8492</CharactersWithSpaces>
  <Application>WPS Office_11.8.2.1121_F1E327BC-269C-435d-A152-05C5408002CA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2024-11-06T17:41:00Z</dcterms:created>
  <dc:creator>曹颖</dc:creator>
  <cp:lastModifiedBy>ruijie</cp:lastModifiedBy>
  <cp:lastPrinted>2024-11-19T10:13:00Z</cp:lastPrinted>
  <dcterms:modified xsi:type="dcterms:W3CDTF">2025-04-10T15:59:23Z</dcterms:modified>
  <dc:title>四川省***</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2052-11.8.2.1121</vt:lpwstr>
  </property>
  <property fmtid="{D5CDD505-2E9C-101B-9397-08002B2CF9AE}" pid="3" name="ICV">
    <vt:lpwstr>2A3A2E4E6ED847DFA509DBD7795F77D7_13</vt:lpwstr>
  </property>
</Properties>
</file>