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76" w:lineRule="exact"/>
        <w:ind w:left="0" w:leftChars="0" w:right="0" w:rightChars="0" w:firstLine="880" w:firstLineChars="200"/>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红原县党史研究和地方志编纂</w:t>
      </w:r>
    </w:p>
    <w:p>
      <w:pPr>
        <w:keepNext w:val="0"/>
        <w:keepLines w:val="0"/>
        <w:pageBreakBefore w:val="0"/>
        <w:kinsoku/>
        <w:wordWrap/>
        <w:overflowPunct/>
        <w:topLinePunct w:val="0"/>
        <w:autoSpaceDE/>
        <w:autoSpaceDN/>
        <w:bidi w:val="0"/>
        <w:spacing w:line="576" w:lineRule="exact"/>
        <w:ind w:left="0" w:leftChars="0" w:right="0" w:rightChars="0" w:firstLine="880" w:firstLineChars="200"/>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eastAsia="zh-CN"/>
        </w:rPr>
        <w:t>2024年</w:t>
      </w:r>
      <w:r>
        <w:rPr>
          <w:rFonts w:hint="eastAsia" w:ascii="方正小标宋_GBK" w:hAnsi="方正小标宋_GBK" w:eastAsia="方正小标宋_GBK" w:cs="方正小标宋_GBK"/>
          <w:b w:val="0"/>
          <w:bCs/>
          <w:sz w:val="44"/>
          <w:szCs w:val="44"/>
        </w:rPr>
        <w:t>部门预算编制的说明</w:t>
      </w:r>
    </w:p>
    <w:p>
      <w:pPr>
        <w:pStyle w:val="4"/>
        <w:keepNext w:val="0"/>
        <w:keepLines w:val="0"/>
        <w:pageBreakBefore w:val="0"/>
        <w:kinsoku/>
        <w:wordWrap/>
        <w:overflowPunct/>
        <w:topLinePunct w:val="0"/>
        <w:autoSpaceDE/>
        <w:autoSpaceDN/>
        <w:bidi w:val="0"/>
        <w:adjustRightInd w:val="0"/>
        <w:snapToGrid w:val="0"/>
        <w:spacing w:before="0" w:beforeLines="0" w:line="576" w:lineRule="exact"/>
        <w:ind w:left="0" w:leftChars="0" w:right="0" w:rightChars="0" w:firstLine="640" w:firstLineChars="200"/>
        <w:textAlignment w:val="auto"/>
        <w:rPr>
          <w:rFonts w:hint="eastAsia" w:ascii="仿宋_GB2312" w:hAnsi="仿宋_GB2312" w:eastAsia="仿宋_GB2312" w:cs="仿宋_GB2312"/>
          <w:sz w:val="32"/>
          <w:szCs w:val="32"/>
        </w:rPr>
      </w:pPr>
    </w:p>
    <w:p>
      <w:pPr>
        <w:pStyle w:val="4"/>
        <w:keepNext w:val="0"/>
        <w:keepLines w:val="0"/>
        <w:pageBreakBefore w:val="0"/>
        <w:kinsoku/>
        <w:wordWrap/>
        <w:overflowPunct/>
        <w:topLinePunct w:val="0"/>
        <w:autoSpaceDE/>
        <w:autoSpaceDN/>
        <w:bidi w:val="0"/>
        <w:adjustRightInd w:val="0"/>
        <w:snapToGrid w:val="0"/>
        <w:spacing w:before="0" w:beforeLines="0" w:line="576" w:lineRule="exact"/>
        <w:ind w:left="0" w:leftChars="0" w:right="0" w:rightChars="0"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pPr>
        <w:pStyle w:val="4"/>
        <w:keepNext w:val="0"/>
        <w:keepLines w:val="0"/>
        <w:pageBreakBefore w:val="0"/>
        <w:kinsoku/>
        <w:wordWrap/>
        <w:overflowPunct/>
        <w:topLinePunct w:val="0"/>
        <w:autoSpaceDE/>
        <w:autoSpaceDN/>
        <w:bidi w:val="0"/>
        <w:adjustRightInd w:val="0"/>
        <w:snapToGrid w:val="0"/>
        <w:spacing w:before="0" w:beforeLines="0" w:line="576" w:lineRule="exact"/>
        <w:ind w:left="0" w:leftChars="0" w:right="0" w:rightChars="0" w:firstLine="643" w:firstLineChars="20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4"/>
        <w:keepNext w:val="0"/>
        <w:keepLines w:val="0"/>
        <w:pageBreakBefore w:val="0"/>
        <w:kinsoku/>
        <w:wordWrap/>
        <w:overflowPunct/>
        <w:topLinePunct w:val="0"/>
        <w:autoSpaceDE/>
        <w:autoSpaceDN/>
        <w:bidi w:val="0"/>
        <w:adjustRightInd w:val="0"/>
        <w:snapToGrid w:val="0"/>
        <w:spacing w:before="0" w:beforeLines="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本单位的主要职责和职能是组织指导各类党史和志书编纂工作</w:t>
      </w:r>
      <w:r>
        <w:rPr>
          <w:rFonts w:hint="eastAsia" w:hAnsi="仿宋_GB2312" w:cs="仿宋_GB2312"/>
          <w:sz w:val="32"/>
          <w:szCs w:val="32"/>
          <w:lang w:val="en-US" w:eastAsia="zh-CN"/>
        </w:rPr>
        <w:t>,</w:t>
      </w:r>
      <w:r>
        <w:rPr>
          <w:rFonts w:hint="eastAsia" w:hAnsi="仿宋_GB2312" w:cs="仿宋_GB2312"/>
          <w:sz w:val="32"/>
          <w:szCs w:val="32"/>
          <w:lang w:eastAsia="zh-CN"/>
        </w:rPr>
        <w:t>制定我县</w:t>
      </w:r>
      <w:r>
        <w:rPr>
          <w:rFonts w:hint="eastAsia" w:ascii="仿宋_GB2312" w:hAnsi="仿宋_GB2312" w:eastAsia="仿宋_GB2312" w:cs="仿宋_GB2312"/>
          <w:sz w:val="32"/>
          <w:szCs w:val="32"/>
        </w:rPr>
        <w:t>党史</w:t>
      </w:r>
      <w:r>
        <w:rPr>
          <w:rFonts w:hint="eastAsia" w:hAnsi="仿宋_GB2312" w:cs="仿宋_GB2312"/>
          <w:sz w:val="32"/>
          <w:szCs w:val="32"/>
          <w:lang w:eastAsia="zh-CN"/>
        </w:rPr>
        <w:t>研究</w:t>
      </w:r>
      <w:r>
        <w:rPr>
          <w:rFonts w:hint="eastAsia" w:ascii="仿宋_GB2312" w:hAnsi="仿宋_GB2312" w:eastAsia="仿宋_GB2312" w:cs="仿宋_GB2312"/>
          <w:sz w:val="32"/>
          <w:szCs w:val="32"/>
        </w:rPr>
        <w:t>和</w:t>
      </w:r>
      <w:r>
        <w:rPr>
          <w:rFonts w:hint="eastAsia" w:hAnsi="仿宋_GB2312" w:cs="仿宋_GB2312"/>
          <w:sz w:val="32"/>
          <w:szCs w:val="32"/>
          <w:lang w:eastAsia="zh-CN"/>
        </w:rPr>
        <w:t>地方志工作方针、政策和法规；负责组织、协调、</w:t>
      </w:r>
      <w:r>
        <w:rPr>
          <w:rFonts w:hint="eastAsia" w:ascii="仿宋_GB2312" w:hAnsi="仿宋_GB2312" w:eastAsia="仿宋_GB2312" w:cs="仿宋_GB2312"/>
          <w:sz w:val="32"/>
          <w:szCs w:val="32"/>
        </w:rPr>
        <w:t>纂写</w:t>
      </w:r>
      <w:r>
        <w:rPr>
          <w:rFonts w:hint="eastAsia" w:hAnsi="仿宋_GB2312" w:cs="仿宋_GB2312"/>
          <w:sz w:val="32"/>
          <w:szCs w:val="32"/>
          <w:lang w:eastAsia="zh-CN"/>
        </w:rPr>
        <w:t>各类志书；</w:t>
      </w:r>
      <w:r>
        <w:rPr>
          <w:rFonts w:hint="eastAsia" w:ascii="仿宋_GB2312" w:hAnsi="仿宋_GB2312" w:eastAsia="仿宋_GB2312" w:cs="仿宋_GB2312"/>
          <w:sz w:val="32"/>
          <w:szCs w:val="32"/>
        </w:rPr>
        <w:t>负责</w:t>
      </w:r>
      <w:r>
        <w:rPr>
          <w:rFonts w:hint="eastAsia" w:hAnsi="仿宋_GB2312" w:cs="仿宋_GB2312"/>
          <w:sz w:val="32"/>
          <w:szCs w:val="32"/>
          <w:lang w:eastAsia="zh-CN"/>
        </w:rPr>
        <w:t>乡镇（村）</w:t>
      </w:r>
      <w:r>
        <w:rPr>
          <w:rFonts w:hint="eastAsia" w:ascii="仿宋_GB2312" w:hAnsi="仿宋_GB2312" w:eastAsia="仿宋_GB2312" w:cs="仿宋_GB2312"/>
          <w:sz w:val="32"/>
          <w:szCs w:val="32"/>
        </w:rPr>
        <w:t>志编纂工作业务指导</w:t>
      </w:r>
      <w:r>
        <w:rPr>
          <w:rFonts w:hint="eastAsia" w:hAnsi="仿宋_GB2312" w:cs="仿宋_GB2312"/>
          <w:sz w:val="32"/>
          <w:szCs w:val="32"/>
          <w:lang w:eastAsia="zh-CN"/>
        </w:rPr>
        <w:t>；负责收集</w:t>
      </w:r>
      <w:r>
        <w:rPr>
          <w:rFonts w:hint="eastAsia" w:ascii="仿宋_GB2312" w:hAnsi="仿宋_GB2312" w:eastAsia="仿宋_GB2312" w:cs="仿宋_GB2312"/>
          <w:sz w:val="32"/>
          <w:szCs w:val="32"/>
        </w:rPr>
        <w:t>各类地情资料</w:t>
      </w:r>
      <w:r>
        <w:rPr>
          <w:rFonts w:hint="eastAsia" w:hAnsi="仿宋_GB2312" w:cs="仿宋_GB2312"/>
          <w:sz w:val="32"/>
          <w:szCs w:val="32"/>
          <w:lang w:eastAsia="zh-CN"/>
        </w:rPr>
        <w:t>等</w:t>
      </w:r>
      <w:r>
        <w:rPr>
          <w:rFonts w:hint="eastAsia" w:ascii="仿宋_GB2312" w:hAnsi="仿宋_GB2312" w:eastAsia="仿宋_GB2312" w:cs="仿宋_GB2312"/>
          <w:sz w:val="32"/>
          <w:szCs w:val="32"/>
        </w:rPr>
        <w:t>。</w:t>
      </w:r>
    </w:p>
    <w:p>
      <w:pPr>
        <w:pStyle w:val="4"/>
        <w:keepNext w:val="0"/>
        <w:keepLines w:val="0"/>
        <w:pageBreakBefore w:val="0"/>
        <w:kinsoku/>
        <w:wordWrap/>
        <w:overflowPunct/>
        <w:topLinePunct w:val="0"/>
        <w:autoSpaceDE/>
        <w:autoSpaceDN/>
        <w:bidi w:val="0"/>
        <w:adjustRightInd w:val="0"/>
        <w:snapToGrid w:val="0"/>
        <w:spacing w:before="0" w:beforeLines="0" w:line="576" w:lineRule="exact"/>
        <w:ind w:left="0" w:leftChars="0" w:right="0" w:rightChars="0" w:firstLine="643" w:firstLineChars="20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（二）2024年重点工作任务</w:t>
      </w:r>
    </w:p>
    <w:p>
      <w:pPr>
        <w:keepNext w:val="0"/>
        <w:keepLines w:val="0"/>
        <w:pageBreakBefore w:val="0"/>
        <w:kinsoku/>
        <w:wordWrap/>
        <w:overflowPunct/>
        <w:topLinePunct w:val="0"/>
        <w:autoSpaceDE/>
        <w:autoSpaceDN/>
        <w:bidi w:val="0"/>
        <w:spacing w:line="576" w:lineRule="exact"/>
        <w:ind w:left="0" w:leftChars="0" w:right="0" w:rightChars="0" w:firstLine="643"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val="en-US" w:eastAsia="zh-CN"/>
        </w:rPr>
        <w:t>1.</w:t>
      </w:r>
      <w:r>
        <w:rPr>
          <w:rFonts w:hint="eastAsia" w:ascii="仿宋_GB2312" w:hAnsi="仿宋_GB2312" w:eastAsia="仿宋_GB2312" w:cs="仿宋_GB2312"/>
          <w:b/>
          <w:bCs w:val="0"/>
          <w:sz w:val="32"/>
          <w:szCs w:val="32"/>
          <w:lang w:eastAsia="zh-CN"/>
        </w:rPr>
        <w:t>加强史志文化宣传力度。</w:t>
      </w:r>
      <w:r>
        <w:rPr>
          <w:rFonts w:hint="eastAsia" w:ascii="仿宋_GB2312" w:hAnsi="仿宋_GB2312" w:eastAsia="仿宋_GB2312" w:cs="仿宋_GB2312"/>
          <w:bCs/>
          <w:sz w:val="32"/>
          <w:szCs w:val="32"/>
          <w:lang w:eastAsia="zh-CN"/>
        </w:rPr>
        <w:t>一是扎实推进实体宣传载体建设，用好用活党史馆、文献馆，讲好红原党史故事传承红色基因。二是坚持“四聚焦”聚焦质量抓信息、聚焦中心抓信息、聚焦亮点抓信息、聚焦热点抓信息加强信息报送工作，全年有效供稿不少于10篇。三是持续推进全县乡镇、村史志阅览室建设力度和督导工作，持续深化拓展党史“七进”进机关、进学校、进社区、进农村、进企业、进军营、进网络等工作，充分发挥“以史鉴今、资政育人”。四是积极宣传《阿坝党史》杂志并做好投稿工作。</w:t>
      </w:r>
    </w:p>
    <w:p>
      <w:pPr>
        <w:keepNext w:val="0"/>
        <w:keepLines w:val="0"/>
        <w:pageBreakBefore w:val="0"/>
        <w:kinsoku/>
        <w:wordWrap/>
        <w:overflowPunct/>
        <w:topLinePunct w:val="0"/>
        <w:autoSpaceDE/>
        <w:autoSpaceDN/>
        <w:bidi w:val="0"/>
        <w:spacing w:line="576" w:lineRule="exact"/>
        <w:ind w:left="0" w:leftChars="0" w:right="0" w:rightChars="0" w:firstLine="643"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val="en-US" w:eastAsia="zh-CN"/>
        </w:rPr>
        <w:t>2.加强专题志书编纂。</w:t>
      </w:r>
      <w:r>
        <w:rPr>
          <w:rFonts w:hint="eastAsia" w:ascii="仿宋_GB2312" w:hAnsi="仿宋_GB2312" w:eastAsia="仿宋_GB2312" w:cs="仿宋_GB2312"/>
          <w:bCs/>
          <w:sz w:val="32"/>
          <w:szCs w:val="32"/>
          <w:lang w:eastAsia="zh-CN"/>
        </w:rPr>
        <w:t>一是加强乡镇志、村志编纂工作指导，组织开展乡镇志、村志编纂骨干培训，完成《邛溪镇镇志》《龙日镇镇志》《瓦切镇镇志》《麻萨村村志》《龙日坝村村志》《日干村村志》《德香村村志》的出版发行工作任务。启动刷经寺、色地、安曲3个镇的镇志及村志编纂。二是按照中国地方志指导小组《关于实施中国扶贫志编纂工程和中国全面小康志编纂工程的若干意见》《四川扶贫志编纂工作方案》等相关文件要求，启动我县扶贫志丛书编纂工作。三是编写《中国共产党红原党史》（1953—2022）并出版发行。四是推进第三轮修志准备工作。</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深化地情开发利用。积极开发利用红原县地情资料，为资政决策、宣传推介、招商引资、传承地方文化和促进旅游发展等方面发挥作用。</w:t>
      </w:r>
    </w:p>
    <w:p>
      <w:pPr>
        <w:keepNext w:val="0"/>
        <w:keepLines w:val="0"/>
        <w:pageBreakBefore w:val="0"/>
        <w:kinsoku/>
        <w:wordWrap/>
        <w:overflowPunct/>
        <w:topLinePunct w:val="0"/>
        <w:autoSpaceDE/>
        <w:autoSpaceDN/>
        <w:bidi w:val="0"/>
        <w:spacing w:line="576" w:lineRule="exact"/>
        <w:ind w:left="0" w:leftChars="0" w:right="0" w:rightChars="0" w:firstLine="643"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val="en-US" w:eastAsia="zh-CN"/>
        </w:rPr>
        <w:t>4.</w:t>
      </w:r>
      <w:r>
        <w:rPr>
          <w:rFonts w:hint="eastAsia" w:ascii="仿宋_GB2312" w:hAnsi="仿宋_GB2312" w:eastAsia="仿宋_GB2312" w:cs="仿宋_GB2312"/>
          <w:b/>
          <w:bCs w:val="0"/>
          <w:sz w:val="32"/>
          <w:szCs w:val="32"/>
          <w:lang w:eastAsia="zh-CN"/>
        </w:rPr>
        <w:t>持续常态完成目标任务。</w:t>
      </w:r>
      <w:r>
        <w:rPr>
          <w:rFonts w:hint="eastAsia" w:ascii="仿宋_GB2312" w:hAnsi="仿宋_GB2312" w:eastAsia="仿宋_GB2312" w:cs="仿宋_GB2312"/>
          <w:bCs/>
          <w:sz w:val="32"/>
          <w:szCs w:val="32"/>
          <w:lang w:eastAsia="zh-CN"/>
        </w:rPr>
        <w:t>按照《红原年鉴2023》《中国共产党2023年执政实录》组稿方案，完成省、州和县《2023年鉴》《中国共产党2023年执政实录》资料搜集、整理、编纂、出版、发行等任务，积极争创省级精品年鉴。</w:t>
      </w:r>
    </w:p>
    <w:p>
      <w:pPr>
        <w:keepNext w:val="0"/>
        <w:keepLines w:val="0"/>
        <w:pageBreakBefore w:val="0"/>
        <w:kinsoku/>
        <w:wordWrap/>
        <w:overflowPunct/>
        <w:topLinePunct w:val="0"/>
        <w:autoSpaceDE/>
        <w:autoSpaceDN/>
        <w:bidi w:val="0"/>
        <w:spacing w:line="576" w:lineRule="exact"/>
        <w:ind w:left="0" w:leftChars="0" w:right="0" w:rightChars="0" w:firstLine="643"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val="en-US" w:eastAsia="zh-CN"/>
        </w:rPr>
        <w:t>5.开展具有史志特色的群众工作。</w:t>
      </w:r>
      <w:r>
        <w:rPr>
          <w:rFonts w:hint="eastAsia" w:ascii="仿宋_GB2312" w:hAnsi="仿宋_GB2312" w:eastAsia="仿宋_GB2312" w:cs="仿宋_GB2312"/>
          <w:bCs/>
          <w:sz w:val="32"/>
          <w:szCs w:val="32"/>
          <w:lang w:eastAsia="zh-CN"/>
        </w:rPr>
        <w:t>深化拓展“我为群众办实事”实践活动，在“两联一进”群众工作全覆盖中找准落脚点，结合史志“七进”发挥史志育人功用，助力乡村文化振兴。</w:t>
      </w:r>
    </w:p>
    <w:p>
      <w:pPr>
        <w:keepNext w:val="0"/>
        <w:keepLines w:val="0"/>
        <w:pageBreakBefore w:val="0"/>
        <w:kinsoku/>
        <w:wordWrap/>
        <w:overflowPunct/>
        <w:topLinePunct w:val="0"/>
        <w:autoSpaceDE/>
        <w:autoSpaceDN/>
        <w:bidi w:val="0"/>
        <w:spacing w:line="576" w:lineRule="exact"/>
        <w:ind w:left="0" w:leftChars="0" w:right="0" w:rightChars="0" w:firstLine="643"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val="en-US" w:eastAsia="zh-CN"/>
        </w:rPr>
        <w:t>6.抓好口述历史纪录片拍摄制作。</w:t>
      </w:r>
      <w:r>
        <w:rPr>
          <w:rFonts w:hint="eastAsia" w:ascii="仿宋_GB2312" w:hAnsi="仿宋_GB2312" w:eastAsia="仿宋_GB2312" w:cs="仿宋_GB2312"/>
          <w:bCs/>
          <w:sz w:val="32"/>
          <w:szCs w:val="32"/>
          <w:lang w:eastAsia="zh-CN"/>
        </w:rPr>
        <w:t>持续开展地情资料影像化工程，深入挖掘历史文化资源，突出红原特色文化品牌，统筹整合力量，拍摄制作具有文化特色、民族特色、地方特色的历史纪录片。加强对口述历史活动开展的宣传报道，营造良好的舆论氛围。</w:t>
      </w:r>
    </w:p>
    <w:p>
      <w:pPr>
        <w:keepNext w:val="0"/>
        <w:keepLines w:val="0"/>
        <w:pageBreakBefore w:val="0"/>
        <w:kinsoku/>
        <w:wordWrap/>
        <w:overflowPunct/>
        <w:topLinePunct w:val="0"/>
        <w:autoSpaceDE/>
        <w:autoSpaceDN/>
        <w:bidi w:val="0"/>
        <w:spacing w:line="576" w:lineRule="exact"/>
        <w:ind w:left="0" w:leftChars="0" w:right="0" w:rightChars="0" w:firstLine="643"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val="en-US" w:eastAsia="zh-CN"/>
        </w:rPr>
        <w:t>7.办好邓小平同志诞辰120周年活动。</w:t>
      </w:r>
      <w:r>
        <w:rPr>
          <w:rFonts w:hint="eastAsia" w:ascii="仿宋_GB2312" w:hAnsi="仿宋_GB2312" w:eastAsia="仿宋_GB2312" w:cs="仿宋_GB2312"/>
          <w:bCs/>
          <w:sz w:val="32"/>
          <w:szCs w:val="32"/>
          <w:lang w:eastAsia="zh-CN"/>
        </w:rPr>
        <w:t>结合主题党日活动和“三会一课”等活动举办邓小平诞辰活动和宣传文化活动，弘扬改革开放精神，传承红色思想缅怀伟人，广泛营造邓小平同志诞辰120周年的浓厚氛围。</w:t>
      </w:r>
    </w:p>
    <w:p>
      <w:pPr>
        <w:keepNext w:val="0"/>
        <w:keepLines w:val="0"/>
        <w:pageBreakBefore w:val="0"/>
        <w:kinsoku/>
        <w:wordWrap/>
        <w:overflowPunct/>
        <w:topLinePunct w:val="0"/>
        <w:autoSpaceDE/>
        <w:autoSpaceDN/>
        <w:bidi w:val="0"/>
        <w:spacing w:line="576" w:lineRule="exact"/>
        <w:ind w:left="0" w:leftChars="0" w:right="0" w:rightChars="0" w:firstLine="643"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val="en-US" w:eastAsia="zh-CN"/>
        </w:rPr>
        <w:t>8.夯实党史专题研究。</w:t>
      </w:r>
      <w:r>
        <w:rPr>
          <w:rFonts w:hint="eastAsia" w:ascii="仿宋_GB2312" w:hAnsi="仿宋_GB2312" w:eastAsia="仿宋_GB2312" w:cs="仿宋_GB2312"/>
          <w:bCs/>
          <w:sz w:val="32"/>
          <w:szCs w:val="32"/>
          <w:lang w:eastAsia="zh-CN"/>
        </w:rPr>
        <w:t>深入开展学习贯彻习近平新时代中国特色社会主义思想主题教育，结合“七张名片”，深入挖掘红军精神、脱贫攻坚精神等。</w:t>
      </w:r>
    </w:p>
    <w:p>
      <w:pPr>
        <w:keepNext w:val="0"/>
        <w:keepLines w:val="0"/>
        <w:pageBreakBefore w:val="0"/>
        <w:kinsoku/>
        <w:wordWrap/>
        <w:overflowPunct/>
        <w:topLinePunct w:val="0"/>
        <w:autoSpaceDE/>
        <w:autoSpaceDN/>
        <w:bidi w:val="0"/>
        <w:spacing w:line="576" w:lineRule="exact"/>
        <w:ind w:left="0" w:leftChars="0" w:right="0" w:rightChars="0" w:firstLine="643"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val="en-US" w:eastAsia="zh-CN"/>
        </w:rPr>
        <w:t>9.完成县委政府和上级部门交办的其他任务。</w:t>
      </w:r>
      <w:r>
        <w:rPr>
          <w:rFonts w:hint="eastAsia" w:ascii="仿宋_GB2312" w:hAnsi="仿宋_GB2312" w:eastAsia="仿宋_GB2312" w:cs="仿宋_GB2312"/>
          <w:bCs/>
          <w:sz w:val="32"/>
          <w:szCs w:val="32"/>
          <w:lang w:eastAsia="zh-CN"/>
        </w:rPr>
        <w:t>在完成县委县政府和上级主管部门交办的工作任务同时对各相关部门和乡镇、村工作完成进度进行跟踪督导，把工作完成情况纳入年末目标考核，还将不定期对各项工作的落实、进展情况进行分析和研判，及时协调工作中遇到的重点难点问题。</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w:t>
      </w:r>
      <w:r>
        <w:rPr>
          <w:rFonts w:hint="eastAsia" w:ascii="黑体" w:hAnsi="黑体" w:eastAsia="黑体" w:cs="黑体"/>
          <w:sz w:val="32"/>
          <w:szCs w:val="32"/>
          <w:lang w:eastAsia="zh-CN"/>
        </w:rPr>
        <w:t>预算单位构成</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红原县党史研究和地方志编纂中心内设</w:t>
      </w:r>
      <w:r>
        <w:rPr>
          <w:rFonts w:hint="eastAsia" w:ascii="仿宋_GB2312" w:hAnsi="仿宋_GB2312" w:eastAsia="仿宋_GB2312" w:cs="仿宋_GB2312"/>
          <w:snapToGrid w:val="0"/>
          <w:sz w:val="32"/>
          <w:szCs w:val="32"/>
          <w:shd w:val="clear" w:fill="FFFFFF"/>
          <w:lang w:val="en-US" w:eastAsia="zh-CN"/>
        </w:rPr>
        <w:t>3个股室分别为办公室、档案股、业务指导股。</w:t>
      </w:r>
      <w:r>
        <w:rPr>
          <w:rFonts w:hint="eastAsia" w:ascii="仿宋_GB2312" w:hAnsi="仿宋_GB2312" w:eastAsia="仿宋_GB2312" w:cs="仿宋_GB2312"/>
          <w:snapToGrid w:val="0"/>
          <w:sz w:val="32"/>
          <w:szCs w:val="32"/>
          <w:shd w:val="clear" w:fill="FFFFFF"/>
          <w:lang w:eastAsia="zh-CN"/>
        </w:rPr>
        <w:t>下属二级单位</w:t>
      </w:r>
      <w:r>
        <w:rPr>
          <w:rFonts w:hint="eastAsia" w:ascii="仿宋_GB2312" w:hAnsi="仿宋_GB2312" w:eastAsia="仿宋_GB2312" w:cs="仿宋_GB2312"/>
          <w:snapToGrid w:val="0"/>
          <w:sz w:val="32"/>
          <w:szCs w:val="32"/>
          <w:shd w:val="clear" w:fill="FFFFFF"/>
          <w:lang w:val="en-US" w:eastAsia="zh-CN"/>
        </w:rPr>
        <w:t>0</w:t>
      </w:r>
      <w:r>
        <w:rPr>
          <w:rFonts w:hint="eastAsia" w:ascii="仿宋_GB2312" w:hAnsi="仿宋_GB2312" w:eastAsia="仿宋_GB2312" w:cs="仿宋_GB2312"/>
          <w:snapToGrid w:val="0"/>
          <w:sz w:val="32"/>
          <w:szCs w:val="32"/>
          <w:shd w:val="clear" w:fill="FFFFFF"/>
          <w:lang w:eastAsia="zh-CN"/>
        </w:rPr>
        <w:t>个，其中行政单位</w:t>
      </w:r>
      <w:r>
        <w:rPr>
          <w:rFonts w:hint="eastAsia" w:ascii="仿宋_GB2312" w:hAnsi="仿宋_GB2312" w:eastAsia="仿宋_GB2312" w:cs="仿宋_GB2312"/>
          <w:snapToGrid w:val="0"/>
          <w:sz w:val="32"/>
          <w:szCs w:val="32"/>
          <w:shd w:val="clear" w:fill="FFFFFF"/>
          <w:lang w:val="en-US" w:eastAsia="zh-CN"/>
        </w:rPr>
        <w:t>0</w:t>
      </w:r>
      <w:r>
        <w:rPr>
          <w:rFonts w:hint="eastAsia" w:ascii="仿宋_GB2312" w:hAnsi="仿宋_GB2312" w:eastAsia="仿宋_GB2312" w:cs="仿宋_GB2312"/>
          <w:snapToGrid w:val="0"/>
          <w:sz w:val="32"/>
          <w:szCs w:val="32"/>
          <w:shd w:val="clear" w:fill="FFFFFF"/>
          <w:lang w:eastAsia="zh-CN"/>
        </w:rPr>
        <w:t>个，参照公务员法管理的事业单位</w:t>
      </w:r>
      <w:r>
        <w:rPr>
          <w:rFonts w:hint="eastAsia" w:ascii="仿宋_GB2312" w:hAnsi="仿宋_GB2312" w:eastAsia="仿宋_GB2312" w:cs="仿宋_GB2312"/>
          <w:snapToGrid w:val="0"/>
          <w:sz w:val="32"/>
          <w:szCs w:val="32"/>
          <w:shd w:val="clear" w:fill="FFFFFF"/>
          <w:lang w:val="en-US" w:eastAsia="zh-CN"/>
        </w:rPr>
        <w:t>0</w:t>
      </w:r>
      <w:r>
        <w:rPr>
          <w:rFonts w:hint="eastAsia" w:ascii="仿宋_GB2312" w:hAnsi="仿宋_GB2312" w:eastAsia="仿宋_GB2312" w:cs="仿宋_GB2312"/>
          <w:snapToGrid w:val="0"/>
          <w:sz w:val="32"/>
          <w:szCs w:val="32"/>
          <w:shd w:val="clear" w:fill="FFFFFF"/>
          <w:lang w:eastAsia="zh-CN"/>
        </w:rPr>
        <w:t>个，其他事业单位</w:t>
      </w:r>
      <w:r>
        <w:rPr>
          <w:rFonts w:hint="eastAsia" w:ascii="仿宋_GB2312" w:hAnsi="仿宋_GB2312" w:eastAsia="仿宋_GB2312" w:cs="仿宋_GB2312"/>
          <w:snapToGrid w:val="0"/>
          <w:sz w:val="32"/>
          <w:szCs w:val="32"/>
          <w:shd w:val="clear" w:fill="FFFFFF"/>
          <w:lang w:val="en-US" w:eastAsia="zh-CN"/>
        </w:rPr>
        <w:t>0</w:t>
      </w:r>
      <w:r>
        <w:rPr>
          <w:rFonts w:hint="eastAsia" w:ascii="仿宋_GB2312" w:hAnsi="仿宋_GB2312" w:eastAsia="仿宋_GB2312" w:cs="仿宋_GB2312"/>
          <w:snapToGrid w:val="0"/>
          <w:sz w:val="32"/>
          <w:szCs w:val="32"/>
          <w:shd w:val="clear" w:fill="FFFFFF"/>
          <w:lang w:eastAsia="zh-CN"/>
        </w:rPr>
        <w:t>个。纳入中共阿坝州红原县党史研究和地方志编纂中心</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napToGrid w:val="0"/>
          <w:sz w:val="32"/>
          <w:szCs w:val="32"/>
          <w:shd w:val="clear" w:fill="FFFFFF"/>
          <w:lang w:eastAsia="zh-CN"/>
        </w:rPr>
        <w:t>年度部门决算编制范围的二级预算单位无</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三、收支预算总体情况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单位收入预算总额为</w:t>
      </w:r>
      <w:r>
        <w:rPr>
          <w:rFonts w:hint="eastAsia" w:ascii="仿宋_GB2312" w:hAnsi="仿宋_GB2312" w:eastAsia="仿宋_GB2312" w:cs="仿宋_GB2312"/>
          <w:sz w:val="32"/>
          <w:szCs w:val="32"/>
          <w:lang w:val="en-US" w:eastAsia="zh-CN"/>
        </w:rPr>
        <w:t>247.77</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247.77</w:t>
      </w:r>
      <w:r>
        <w:rPr>
          <w:rFonts w:hint="eastAsia" w:ascii="仿宋_GB2312" w:hAnsi="仿宋_GB2312" w:eastAsia="仿宋_GB2312" w:cs="仿宋_GB2312"/>
          <w:sz w:val="32"/>
          <w:szCs w:val="32"/>
        </w:rPr>
        <w:t>万元。相应安排支出预算</w:t>
      </w:r>
      <w:r>
        <w:rPr>
          <w:rFonts w:hint="eastAsia" w:ascii="仿宋_GB2312" w:hAnsi="仿宋_GB2312" w:eastAsia="仿宋_GB2312" w:cs="仿宋_GB2312"/>
          <w:sz w:val="32"/>
          <w:szCs w:val="32"/>
          <w:lang w:val="en-US" w:eastAsia="zh-CN"/>
        </w:rPr>
        <w:t>247.77</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val="en-US" w:eastAsia="zh-CN"/>
        </w:rPr>
        <w:t>201.77</w:t>
      </w:r>
      <w:r>
        <w:rPr>
          <w:rFonts w:hint="eastAsia" w:ascii="仿宋_GB2312" w:hAnsi="仿宋_GB2312" w:eastAsia="仿宋_GB2312" w:cs="仿宋_GB2312"/>
          <w:sz w:val="32"/>
          <w:szCs w:val="32"/>
        </w:rPr>
        <w:t>万元，社会保障和就业</w:t>
      </w:r>
      <w:r>
        <w:rPr>
          <w:rFonts w:hint="eastAsia" w:ascii="仿宋_GB2312" w:hAnsi="仿宋_GB2312" w:eastAsia="仿宋_GB2312" w:cs="仿宋_GB2312"/>
          <w:sz w:val="32"/>
          <w:szCs w:val="32"/>
          <w:lang w:val="en-US" w:eastAsia="zh-CN"/>
        </w:rPr>
        <w:t>24.10</w:t>
      </w:r>
      <w:r>
        <w:rPr>
          <w:rFonts w:hint="eastAsia" w:ascii="仿宋_GB2312" w:hAnsi="仿宋_GB2312" w:eastAsia="仿宋_GB2312" w:cs="仿宋_GB2312"/>
          <w:sz w:val="32"/>
          <w:szCs w:val="32"/>
        </w:rPr>
        <w:t>万元，医疗卫生</w:t>
      </w:r>
      <w:r>
        <w:rPr>
          <w:rFonts w:hint="eastAsia" w:ascii="仿宋_GB2312" w:hAnsi="仿宋_GB2312" w:eastAsia="仿宋_GB2312" w:cs="仿宋_GB2312"/>
          <w:sz w:val="32"/>
          <w:szCs w:val="32"/>
          <w:lang w:val="en-US" w:eastAsia="zh-CN"/>
        </w:rPr>
        <w:t>8.76</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13.14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,项目支出76.4万元</w:t>
      </w:r>
      <w:r>
        <w:rPr>
          <w:rFonts w:hint="eastAsia" w:ascii="仿宋_GB2312" w:hAnsi="仿宋_GB2312" w:eastAsia="仿宋_GB2312" w:cs="仿宋_GB2312"/>
          <w:sz w:val="32"/>
          <w:szCs w:val="32"/>
        </w:rPr>
        <w:t>。</w:t>
      </w:r>
    </w:p>
    <w:p>
      <w:pPr>
        <w:keepNext w:val="0"/>
        <w:keepLines w:val="0"/>
        <w:pageBreakBefore w:val="0"/>
        <w:numPr>
          <w:ilvl w:val="0"/>
          <w:numId w:val="1"/>
        </w:numPr>
        <w:kinsoku/>
        <w:wordWrap/>
        <w:overflowPunct/>
        <w:topLinePunct w:val="0"/>
        <w:autoSpaceDE/>
        <w:autoSpaceDN/>
        <w:bidi w:val="0"/>
        <w:spacing w:line="576" w:lineRule="exact"/>
        <w:ind w:left="0" w:leftChars="0"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单位预算安排支出主要用于保障该部门机构正常运转、完成日常工作任务以及承担事业发展相关工作。  </w:t>
      </w:r>
    </w:p>
    <w:p>
      <w:pPr>
        <w:keepNext w:val="0"/>
        <w:keepLines w:val="0"/>
        <w:pageBreakBefore w:val="0"/>
        <w:kinsoku/>
        <w:wordWrap/>
        <w:overflowPunct/>
        <w:topLinePunct w:val="0"/>
        <w:autoSpaceDE/>
        <w:autoSpaceDN/>
        <w:bidi w:val="0"/>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171.37</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其中人员经费支出</w:t>
      </w:r>
      <w:r>
        <w:rPr>
          <w:rFonts w:hint="eastAsia" w:ascii="仿宋_GB2312" w:hAnsi="仿宋_GB2312" w:eastAsia="仿宋_GB2312" w:cs="仿宋_GB2312"/>
          <w:sz w:val="32"/>
          <w:szCs w:val="32"/>
          <w:lang w:val="en-US" w:eastAsia="zh-CN"/>
        </w:rPr>
        <w:t>160.54万元，机关运行经费10.83万元，其中：</w:t>
      </w:r>
      <w:r>
        <w:rPr>
          <w:rFonts w:hint="eastAsia" w:ascii="仿宋_GB2312" w:hAnsi="仿宋_GB2312" w:eastAsia="仿宋_GB2312" w:cs="仿宋_GB2312"/>
          <w:sz w:val="32"/>
          <w:szCs w:val="32"/>
        </w:rPr>
        <w:t>其中：办公费</w:t>
      </w:r>
      <w:r>
        <w:rPr>
          <w:rFonts w:hint="eastAsia" w:ascii="仿宋_GB2312" w:hAnsi="仿宋_GB2312" w:eastAsia="仿宋_GB2312" w:cs="仿宋_GB2312"/>
          <w:sz w:val="32"/>
          <w:szCs w:val="32"/>
          <w:lang w:val="en-US" w:eastAsia="zh-CN"/>
        </w:rPr>
        <w:t>4.11</w:t>
      </w:r>
      <w:r>
        <w:rPr>
          <w:rFonts w:hint="eastAsia" w:ascii="仿宋_GB2312" w:hAnsi="仿宋_GB2312" w:eastAsia="仿宋_GB2312" w:cs="仿宋_GB2312"/>
          <w:sz w:val="32"/>
          <w:szCs w:val="32"/>
        </w:rPr>
        <w:t>万元，差旅费</w:t>
      </w:r>
      <w:r>
        <w:rPr>
          <w:rFonts w:hint="eastAsia" w:ascii="仿宋_GB2312" w:hAnsi="仿宋_GB2312" w:eastAsia="仿宋_GB2312" w:cs="仿宋_GB2312"/>
          <w:sz w:val="32"/>
          <w:szCs w:val="32"/>
          <w:lang w:val="en-US" w:eastAsia="zh-CN"/>
        </w:rPr>
        <w:t>1.5万元，工会经费1.21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水费</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万元，公务用车运行维护费2.62万元,邮电费</w:t>
      </w:r>
      <w:r>
        <w:rPr>
          <w:rFonts w:hint="eastAsia" w:ascii="仿宋_GB2312" w:hAnsi="仿宋_GB2312" w:eastAsia="仿宋_GB2312" w:cs="仿宋_GB2312"/>
          <w:sz w:val="32"/>
          <w:szCs w:val="32"/>
          <w:lang w:val="en-US" w:eastAsia="zh-CN"/>
        </w:rPr>
        <w:t>0.87万</w:t>
      </w:r>
      <w:r>
        <w:rPr>
          <w:rFonts w:hint="eastAsia" w:ascii="仿宋_GB2312" w:hAnsi="仿宋_GB2312" w:eastAsia="仿宋_GB2312" w:cs="仿宋_GB2312"/>
          <w:sz w:val="32"/>
          <w:szCs w:val="32"/>
        </w:rPr>
        <w:t>元，公务接待费0.1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，取暖费</w:t>
      </w:r>
      <w:r>
        <w:rPr>
          <w:rFonts w:hint="eastAsia" w:ascii="仿宋_GB2312" w:hAnsi="仿宋_GB2312" w:eastAsia="仿宋_GB2312" w:cs="仿宋_GB2312"/>
          <w:sz w:val="32"/>
          <w:szCs w:val="32"/>
          <w:lang w:val="en-US" w:eastAsia="zh-CN"/>
        </w:rPr>
        <w:t>0.21万元。</w:t>
      </w:r>
    </w:p>
    <w:p>
      <w:pPr>
        <w:keepNext w:val="0"/>
        <w:keepLines w:val="0"/>
        <w:pageBreakBefore w:val="0"/>
        <w:kinsoku/>
        <w:wordWrap/>
        <w:overflowPunct/>
        <w:topLinePunct w:val="0"/>
        <w:autoSpaceDE/>
        <w:autoSpaceDN/>
        <w:bidi w:val="0"/>
        <w:spacing w:line="576" w:lineRule="exact"/>
        <w:ind w:left="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按支出功能分类主要用于以下方面:</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（一）一般公共服务</w:t>
      </w:r>
      <w:r>
        <w:rPr>
          <w:rFonts w:hint="eastAsia" w:ascii="仿宋_GB2312" w:hAnsi="仿宋_GB2312" w:eastAsia="仿宋_GB2312" w:cs="仿宋_GB2312"/>
          <w:b/>
          <w:bCs/>
          <w:sz w:val="32"/>
          <w:szCs w:val="32"/>
          <w:lang w:eastAsia="zh-CN"/>
        </w:rPr>
        <w:t>支出</w:t>
      </w:r>
      <w:r>
        <w:rPr>
          <w:rFonts w:hint="eastAsia" w:ascii="仿宋_GB2312" w:hAnsi="仿宋_GB2312" w:eastAsia="仿宋_GB2312" w:cs="仿宋_GB2312"/>
          <w:sz w:val="32"/>
          <w:szCs w:val="32"/>
          <w:lang w:val="en-US" w:eastAsia="zh-CN"/>
        </w:rPr>
        <w:t>201.77</w:t>
      </w:r>
      <w:r>
        <w:rPr>
          <w:rFonts w:hint="eastAsia" w:ascii="仿宋_GB2312" w:hAnsi="仿宋_GB2312" w:eastAsia="仿宋_GB2312" w:cs="仿宋_GB2312"/>
          <w:sz w:val="32"/>
          <w:szCs w:val="32"/>
        </w:rPr>
        <w:t>万元，主要用于机关及下属事业单位人员工资、日常运转以及为完成特定行政工作任务和事业发展目标而安排的年度项目支出。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（二）机关事业单位基本养老保险支出</w:t>
      </w:r>
      <w:r>
        <w:rPr>
          <w:rFonts w:hint="eastAsia" w:ascii="仿宋_GB2312" w:hAnsi="仿宋_GB2312" w:eastAsia="仿宋_GB2312" w:cs="仿宋_GB2312"/>
          <w:sz w:val="32"/>
          <w:szCs w:val="32"/>
          <w:lang w:val="en-US" w:eastAsia="zh-CN"/>
        </w:rPr>
        <w:t>16.07</w:t>
      </w:r>
      <w:r>
        <w:rPr>
          <w:rFonts w:hint="eastAsia" w:ascii="仿宋_GB2312" w:hAnsi="仿宋_GB2312" w:eastAsia="仿宋_GB2312" w:cs="仿宋_GB2312"/>
          <w:sz w:val="32"/>
          <w:szCs w:val="32"/>
        </w:rPr>
        <w:t>万元，主要用于机关及下属事业单位养老保险缴费。</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（三）机关事业单位职业年金缴费支出</w:t>
      </w:r>
      <w:r>
        <w:rPr>
          <w:rFonts w:hint="eastAsia" w:ascii="仿宋_GB2312" w:hAnsi="仿宋_GB2312" w:eastAsia="仿宋_GB2312" w:cs="仿宋_GB2312"/>
          <w:sz w:val="32"/>
          <w:szCs w:val="32"/>
          <w:lang w:val="en-US" w:eastAsia="zh-CN"/>
        </w:rPr>
        <w:t>8.03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主要用于机关及下属事业单位职业年金缴费。</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（四）行政单位医疗缴费支出</w:t>
      </w:r>
      <w:r>
        <w:rPr>
          <w:rFonts w:hint="eastAsia" w:ascii="仿宋_GB2312" w:hAnsi="仿宋_GB2312" w:eastAsia="仿宋_GB2312" w:cs="仿宋_GB2312"/>
          <w:sz w:val="32"/>
          <w:szCs w:val="32"/>
          <w:lang w:val="en-US" w:eastAsia="zh-CN"/>
        </w:rPr>
        <w:t>7.03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主要用于机关及下属事业单位按照规定标准为职工缴纳的基本医疗保险支出。</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（五）公务员医疗补助支出</w:t>
      </w:r>
      <w:r>
        <w:rPr>
          <w:rFonts w:hint="eastAsia" w:ascii="仿宋_GB2312" w:hAnsi="仿宋_GB2312" w:eastAsia="仿宋_GB2312" w:cs="仿宋_GB2312"/>
          <w:sz w:val="32"/>
          <w:szCs w:val="32"/>
          <w:lang w:val="en-US" w:eastAsia="zh-CN"/>
        </w:rPr>
        <w:t>1.73</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元主要用于机关及下属事业单位按照规定标准为职工缴纳的公务员医疗补助等支出。</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（六）住房保障支出</w:t>
      </w:r>
      <w:r>
        <w:rPr>
          <w:rFonts w:hint="eastAsia" w:ascii="仿宋_GB2312" w:hAnsi="仿宋_GB2312" w:eastAsia="仿宋_GB2312" w:cs="仿宋_GB2312"/>
          <w:sz w:val="32"/>
          <w:szCs w:val="32"/>
          <w:lang w:val="en-US" w:eastAsia="zh-CN"/>
        </w:rPr>
        <w:t>13.14</w:t>
      </w:r>
      <w:r>
        <w:rPr>
          <w:rFonts w:hint="eastAsia" w:ascii="仿宋_GB2312" w:hAnsi="仿宋_GB2312" w:eastAsia="仿宋_GB2312" w:cs="仿宋_GB2312"/>
          <w:sz w:val="32"/>
          <w:szCs w:val="32"/>
        </w:rPr>
        <w:t>万元，用于机关及下属事业单位按照规定标准为职工缴纳住房公积金等支出。</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（七）一般行政管理事务支出</w:t>
      </w:r>
      <w:r>
        <w:rPr>
          <w:rFonts w:hint="eastAsia" w:ascii="仿宋_GB2312" w:hAnsi="仿宋_GB2312" w:eastAsia="仿宋_GB2312" w:cs="仿宋_GB2312"/>
          <w:sz w:val="32"/>
          <w:szCs w:val="32"/>
          <w:lang w:val="en-US" w:eastAsia="zh-CN"/>
        </w:rPr>
        <w:t>76.4</w:t>
      </w:r>
      <w:r>
        <w:rPr>
          <w:rFonts w:hint="eastAsia" w:ascii="仿宋_GB2312" w:hAnsi="仿宋_GB2312" w:eastAsia="仿宋_GB2312" w:cs="仿宋_GB2312"/>
          <w:sz w:val="32"/>
          <w:szCs w:val="32"/>
        </w:rPr>
        <w:t>万元，用于本单位《红原年鉴》《执政实录》</w:t>
      </w:r>
      <w:r>
        <w:rPr>
          <w:rFonts w:hint="eastAsia" w:ascii="仿宋_GB2312" w:hAnsi="仿宋_GB2312" w:eastAsia="仿宋_GB2312" w:cs="仿宋_GB2312"/>
          <w:sz w:val="32"/>
          <w:szCs w:val="32"/>
          <w:lang w:eastAsia="zh-CN"/>
        </w:rPr>
        <w:t>《红原县扶贫志》的出版印刷、《口述历史》纪录片</w:t>
      </w:r>
      <w:r>
        <w:rPr>
          <w:rFonts w:hint="eastAsia" w:ascii="仿宋_GB2312" w:hAnsi="仿宋_GB2312" w:eastAsia="仿宋_GB2312" w:cs="仿宋_GB2312"/>
          <w:sz w:val="32"/>
          <w:szCs w:val="32"/>
        </w:rPr>
        <w:t>的拍摄</w:t>
      </w:r>
      <w:r>
        <w:rPr>
          <w:rFonts w:hint="eastAsia" w:ascii="仿宋_GB2312" w:hAnsi="仿宋_GB2312" w:eastAsia="仿宋_GB2312" w:cs="仿宋_GB2312"/>
          <w:sz w:val="32"/>
          <w:szCs w:val="32"/>
          <w:lang w:eastAsia="zh-CN"/>
        </w:rPr>
        <w:t>及“史志七进”、地方志工作培训会等。</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（八）工会事务支出</w:t>
      </w:r>
      <w:r>
        <w:rPr>
          <w:rFonts w:hint="eastAsia" w:ascii="仿宋_GB2312" w:hAnsi="仿宋_GB2312" w:eastAsia="仿宋_GB2312" w:cs="仿宋_GB2312"/>
          <w:sz w:val="32"/>
          <w:szCs w:val="32"/>
          <w:lang w:val="en-US" w:eastAsia="zh-CN"/>
        </w:rPr>
        <w:t>1.21</w:t>
      </w:r>
      <w:r>
        <w:rPr>
          <w:rFonts w:hint="eastAsia" w:ascii="仿宋_GB2312" w:hAnsi="仿宋_GB2312" w:eastAsia="仿宋_GB2312" w:cs="仿宋_GB2312"/>
          <w:sz w:val="32"/>
          <w:szCs w:val="32"/>
        </w:rPr>
        <w:t>万元主要用于机关及下属事业单位工会缴费支出。</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本年度预算拨款收入</w:t>
      </w:r>
      <w:r>
        <w:rPr>
          <w:rFonts w:hint="eastAsia" w:ascii="仿宋_GB2312" w:hAnsi="仿宋_GB2312" w:eastAsia="仿宋_GB2312" w:cs="仿宋_GB2312"/>
          <w:sz w:val="32"/>
          <w:szCs w:val="32"/>
          <w:lang w:val="en-US" w:eastAsia="zh-CN"/>
        </w:rPr>
        <w:t>247.77</w:t>
      </w:r>
      <w:r>
        <w:rPr>
          <w:rFonts w:hint="eastAsia" w:ascii="仿宋_GB2312" w:hAnsi="仿宋_GB2312" w:eastAsia="仿宋_GB2312" w:cs="仿宋_GB2312"/>
          <w:sz w:val="32"/>
          <w:szCs w:val="32"/>
        </w:rPr>
        <w:t>万元较上年度预算</w:t>
      </w:r>
      <w:r>
        <w:rPr>
          <w:rFonts w:hint="eastAsia" w:ascii="仿宋_GB2312" w:hAnsi="仿宋_GB2312" w:eastAsia="仿宋_GB2312" w:cs="仿宋_GB2312"/>
          <w:sz w:val="32"/>
          <w:szCs w:val="32"/>
          <w:lang w:val="en-US" w:eastAsia="zh-CN"/>
        </w:rPr>
        <w:t>237.76</w:t>
      </w:r>
      <w:r>
        <w:rPr>
          <w:rFonts w:hint="eastAsia" w:ascii="仿宋_GB2312" w:hAnsi="仿宋_GB2312" w:eastAsia="仿宋_GB2312" w:cs="仿宋_GB2312"/>
          <w:sz w:val="32"/>
          <w:szCs w:val="32"/>
        </w:rPr>
        <w:t>万元增加了</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%，其中基本行政运行经费预算</w:t>
      </w:r>
      <w:r>
        <w:rPr>
          <w:rFonts w:hint="eastAsia" w:ascii="仿宋_GB2312" w:hAnsi="仿宋_GB2312" w:eastAsia="仿宋_GB2312" w:cs="仿宋_GB2312"/>
          <w:sz w:val="32"/>
          <w:szCs w:val="32"/>
          <w:lang w:val="en-US" w:eastAsia="zh-CN"/>
        </w:rPr>
        <w:t>10.83</w:t>
      </w:r>
      <w:r>
        <w:rPr>
          <w:rFonts w:hint="eastAsia" w:ascii="仿宋_GB2312" w:hAnsi="仿宋_GB2312" w:eastAsia="仿宋_GB2312" w:cs="仿宋_GB2312"/>
          <w:sz w:val="32"/>
          <w:szCs w:val="32"/>
        </w:rPr>
        <w:t>万元，占全部总预算的</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%，较上年</w:t>
      </w:r>
      <w:r>
        <w:rPr>
          <w:rFonts w:hint="eastAsia" w:ascii="仿宋_GB2312" w:hAnsi="仿宋_GB2312" w:eastAsia="仿宋_GB2312" w:cs="仿宋_GB2312"/>
          <w:sz w:val="32"/>
          <w:szCs w:val="32"/>
          <w:lang w:val="en-US" w:eastAsia="zh-CN"/>
        </w:rPr>
        <w:t>13.26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%，原因</w:t>
      </w:r>
      <w:r>
        <w:rPr>
          <w:rFonts w:hint="eastAsia" w:ascii="仿宋_GB2312" w:hAnsi="仿宋_GB2312" w:eastAsia="仿宋_GB2312" w:cs="仿宋_GB2312"/>
          <w:sz w:val="32"/>
          <w:szCs w:val="32"/>
          <w:lang w:eastAsia="zh-CN"/>
        </w:rPr>
        <w:t>人员变动公用经费减少</w:t>
      </w:r>
      <w:r>
        <w:rPr>
          <w:rFonts w:hint="eastAsia" w:ascii="仿宋_GB2312" w:hAnsi="仿宋_GB2312" w:eastAsia="仿宋_GB2312" w:cs="仿宋_GB2312"/>
          <w:sz w:val="32"/>
          <w:szCs w:val="32"/>
        </w:rPr>
        <w:t>；专项业务工作经费预算</w:t>
      </w:r>
      <w:r>
        <w:rPr>
          <w:rFonts w:hint="eastAsia" w:ascii="仿宋_GB2312" w:hAnsi="仿宋_GB2312" w:eastAsia="仿宋_GB2312" w:cs="仿宋_GB2312"/>
          <w:sz w:val="32"/>
          <w:szCs w:val="32"/>
          <w:lang w:val="en-US" w:eastAsia="zh-CN"/>
        </w:rPr>
        <w:t>76.4</w:t>
      </w:r>
      <w:r>
        <w:rPr>
          <w:rFonts w:hint="eastAsia" w:ascii="仿宋_GB2312" w:hAnsi="仿宋_GB2312" w:eastAsia="仿宋_GB2312" w:cs="仿宋_GB2312"/>
          <w:sz w:val="32"/>
          <w:szCs w:val="32"/>
        </w:rPr>
        <w:t>万元，占总预算的</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%，较上年预算</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新增项目《红原县扶贫志》。</w:t>
      </w:r>
      <w:r>
        <w:rPr>
          <w:rFonts w:hint="eastAsia" w:ascii="仿宋_GB2312" w:hAnsi="仿宋_GB2312" w:eastAsia="仿宋_GB2312" w:cs="仿宋_GB2312"/>
          <w:sz w:val="32"/>
          <w:szCs w:val="32"/>
        </w:rPr>
        <w:t>人员经费预算</w:t>
      </w:r>
      <w:r>
        <w:rPr>
          <w:rFonts w:hint="eastAsia" w:ascii="仿宋_GB2312" w:hAnsi="仿宋_GB2312" w:eastAsia="仿宋_GB2312" w:cs="仿宋_GB2312"/>
          <w:sz w:val="32"/>
          <w:szCs w:val="32"/>
          <w:lang w:val="en-US" w:eastAsia="zh-CN"/>
        </w:rPr>
        <w:t>160.54</w:t>
      </w:r>
      <w:r>
        <w:rPr>
          <w:rFonts w:hint="eastAsia" w:ascii="仿宋_GB2312" w:hAnsi="仿宋_GB2312" w:eastAsia="仿宋_GB2312" w:cs="仿宋_GB2312"/>
          <w:sz w:val="32"/>
          <w:szCs w:val="32"/>
        </w:rPr>
        <w:t>万元，占全部预算的</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%，较上年</w:t>
      </w:r>
      <w:r>
        <w:rPr>
          <w:rFonts w:hint="eastAsia" w:ascii="仿宋_GB2312" w:hAnsi="仿宋_GB2312" w:eastAsia="仿宋_GB2312" w:cs="仿宋_GB2312"/>
          <w:color w:val="333333"/>
          <w:kern w:val="0"/>
          <w:sz w:val="32"/>
          <w:szCs w:val="32"/>
          <w:shd w:val="clear" w:color="auto" w:fill="FFFFFF"/>
          <w:lang w:val="en-US" w:eastAsia="zh-CN"/>
        </w:rPr>
        <w:t>192.5</w:t>
      </w:r>
      <w:r>
        <w:rPr>
          <w:rFonts w:hint="eastAsia" w:ascii="仿宋_GB2312" w:hAnsi="仿宋_GB2312" w:eastAsia="仿宋_GB2312" w:cs="仿宋_GB2312"/>
          <w:color w:val="333333"/>
          <w:kern w:val="0"/>
          <w:sz w:val="32"/>
          <w:szCs w:val="32"/>
          <w:shd w:val="clear" w:color="auto" w:fill="FFFFFF"/>
        </w:rPr>
        <w:t>万元</w:t>
      </w:r>
      <w:r>
        <w:rPr>
          <w:rFonts w:hint="eastAsia" w:ascii="仿宋_GB2312" w:hAnsi="仿宋_GB2312" w:eastAsia="仿宋_GB2312" w:cs="仿宋_GB2312"/>
          <w:color w:val="333333"/>
          <w:kern w:val="0"/>
          <w:sz w:val="32"/>
          <w:szCs w:val="32"/>
          <w:shd w:val="clear" w:color="auto" w:fill="FFFFFF"/>
          <w:lang w:eastAsia="zh-CN"/>
        </w:rPr>
        <w:t>减少</w:t>
      </w:r>
      <w:r>
        <w:rPr>
          <w:rFonts w:hint="eastAsia" w:ascii="仿宋_GB2312" w:hAnsi="仿宋_GB2312" w:eastAsia="仿宋_GB2312" w:cs="仿宋_GB2312"/>
          <w:color w:val="333333"/>
          <w:kern w:val="0"/>
          <w:sz w:val="32"/>
          <w:szCs w:val="32"/>
          <w:shd w:val="clear" w:color="auto" w:fill="FFFFFF"/>
        </w:rPr>
        <w:t>了</w:t>
      </w:r>
      <w:r>
        <w:rPr>
          <w:rFonts w:hint="eastAsia" w:ascii="仿宋_GB2312" w:hAnsi="仿宋_GB2312" w:eastAsia="仿宋_GB2312" w:cs="仿宋_GB2312"/>
          <w:color w:val="333333"/>
          <w:kern w:val="0"/>
          <w:sz w:val="32"/>
          <w:szCs w:val="32"/>
          <w:shd w:val="clear" w:color="auto" w:fill="FFFFFF"/>
          <w:lang w:val="en-US" w:eastAsia="zh-CN"/>
        </w:rPr>
        <w:t>16</w:t>
      </w:r>
      <w:r>
        <w:rPr>
          <w:rFonts w:hint="eastAsia" w:ascii="仿宋_GB2312" w:hAnsi="仿宋_GB2312" w:eastAsia="仿宋_GB2312" w:cs="仿宋_GB2312"/>
          <w:color w:val="333333"/>
          <w:kern w:val="0"/>
          <w:sz w:val="32"/>
          <w:szCs w:val="32"/>
          <w:shd w:val="clear" w:color="auto" w:fill="FFFFFF"/>
        </w:rPr>
        <w:t>%</w:t>
      </w:r>
      <w:r>
        <w:rPr>
          <w:rFonts w:hint="eastAsia" w:ascii="仿宋_GB2312" w:hAnsi="仿宋_GB2312" w:eastAsia="仿宋_GB2312" w:cs="仿宋_GB2312"/>
          <w:sz w:val="32"/>
          <w:szCs w:val="32"/>
        </w:rPr>
        <w:t>，主要原因为人员</w:t>
      </w:r>
      <w:r>
        <w:rPr>
          <w:rFonts w:hint="eastAsia" w:ascii="仿宋_GB2312" w:hAnsi="仿宋_GB2312" w:eastAsia="仿宋_GB2312" w:cs="仿宋_GB2312"/>
          <w:sz w:val="32"/>
          <w:szCs w:val="32"/>
          <w:lang w:eastAsia="zh-CN"/>
        </w:rPr>
        <w:t>变动人员经费减少</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pacing w:line="576" w:lineRule="exact"/>
        <w:ind w:left="0" w:right="0" w:rightChars="0" w:firstLine="640" w:firstLineChars="200"/>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本年度三公经费预算安排支出为2.</w:t>
      </w:r>
      <w:r>
        <w:rPr>
          <w:rFonts w:hint="eastAsia" w:ascii="仿宋_GB2312" w:hAnsi="仿宋_GB2312" w:eastAsia="仿宋_GB2312" w:cs="仿宋_GB2312"/>
          <w:sz w:val="32"/>
          <w:szCs w:val="32"/>
          <w:lang w:val="en-US" w:eastAsia="zh-CN"/>
        </w:rPr>
        <w:t>74</w:t>
      </w:r>
      <w:r>
        <w:rPr>
          <w:rFonts w:hint="eastAsia" w:ascii="仿宋_GB2312" w:hAnsi="仿宋_GB2312" w:eastAsia="仿宋_GB2312" w:cs="仿宋_GB2312"/>
          <w:sz w:val="32"/>
          <w:szCs w:val="32"/>
        </w:rPr>
        <w:t>万元，其中：出国费0万元，与上年持平，主要原因为未安排因公出国；公车购置费0元，与上年持平；公务用车维护费支出2,62万元，与上年持平原因严格执行“八项规定、六项禁令”；公务接待费0.1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万元，比上年度</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0.04万元主要原因厉行节约。</w:t>
      </w:r>
      <w:r>
        <w:rPr>
          <w:rFonts w:hint="eastAsia" w:ascii="仿宋_GB2312" w:hAnsi="仿宋_GB2312" w:eastAsia="仿宋_GB2312" w:cs="仿宋_GB2312"/>
          <w:sz w:val="32"/>
          <w:szCs w:val="32"/>
        </w:rPr>
        <w:t>本年度我们将严格执行“八项规定、六项禁令”，结合本年度工作需要，减少不必要的开支。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exact"/>
        <w:ind w:left="0" w:right="0" w:rightChars="0" w:firstLine="640"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年没有使用政府性基金预算拨款安排的支出。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exact"/>
        <w:ind w:left="0" w:right="0" w:rightChars="0" w:firstLine="640"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2024年无使用国有资本经营预算拨款安排的支出。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exact"/>
        <w:ind w:left="0" w:right="0" w:rightChars="0" w:firstLine="640"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exact"/>
        <w:ind w:left="0" w:leftChars="0" w:right="0" w:rightChars="0" w:firstLine="643" w:firstLineChars="200"/>
        <w:jc w:val="left"/>
        <w:textAlignment w:val="auto"/>
        <w:rPr>
          <w:rFonts w:hint="eastAsia" w:ascii="楷体_GB2312" w:hAnsi="楷体_GB2312" w:eastAsia="楷体_GB2312" w:cs="楷体_GB2312"/>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2024年度安排政府采购预算0万元。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exact"/>
        <w:ind w:left="0" w:leftChars="0" w:right="0" w:rightChars="0" w:firstLine="643" w:firstLineChars="20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截止2023年底，</w:t>
      </w:r>
      <w:r>
        <w:rPr>
          <w:rFonts w:hint="eastAsia" w:ascii="仿宋_GB2312" w:hAnsi="仿宋_GB2312" w:eastAsia="仿宋_GB2312" w:cs="仿宋_GB2312"/>
          <w:sz w:val="32"/>
          <w:szCs w:val="32"/>
        </w:rPr>
        <w:t>实际共有固定资产价值</w:t>
      </w:r>
      <w:r>
        <w:rPr>
          <w:rFonts w:hint="eastAsia" w:ascii="仿宋_GB2312" w:hAnsi="仿宋_GB2312" w:eastAsia="仿宋_GB2312" w:cs="仿宋_GB2312"/>
          <w:sz w:val="32"/>
          <w:szCs w:val="32"/>
          <w:lang w:val="en-US" w:eastAsia="zh-CN"/>
        </w:rPr>
        <w:t>24.3</w:t>
      </w:r>
      <w:r>
        <w:rPr>
          <w:rFonts w:hint="eastAsia" w:ascii="仿宋_GB2312" w:hAnsi="仿宋_GB2312" w:eastAsia="仿宋_GB2312" w:cs="仿宋_GB2312"/>
          <w:sz w:val="32"/>
          <w:szCs w:val="32"/>
        </w:rPr>
        <w:t>万元：其中：公务用车9.14万元；通用设备</w:t>
      </w:r>
      <w:r>
        <w:rPr>
          <w:rFonts w:hint="eastAsia" w:ascii="仿宋_GB2312" w:hAnsi="仿宋_GB2312" w:eastAsia="仿宋_GB2312" w:cs="仿宋_GB2312"/>
          <w:sz w:val="32"/>
          <w:szCs w:val="32"/>
          <w:lang w:val="en-US" w:eastAsia="zh-CN"/>
        </w:rPr>
        <w:t>13.2</w:t>
      </w:r>
      <w:r>
        <w:rPr>
          <w:rFonts w:hint="eastAsia" w:ascii="仿宋_GB2312" w:hAnsi="仿宋_GB2312" w:eastAsia="仿宋_GB2312" w:cs="仿宋_GB2312"/>
          <w:sz w:val="32"/>
          <w:szCs w:val="32"/>
        </w:rPr>
        <w:t>万元；桌椅类</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exact"/>
        <w:ind w:left="0" w:leftChars="0" w:right="0" w:rightChars="0" w:firstLine="643" w:firstLineChars="200"/>
        <w:jc w:val="left"/>
        <w:textAlignment w:val="auto"/>
        <w:rPr>
          <w:rFonts w:hint="eastAsia" w:ascii="仿宋_GB2312" w:hAnsi="仿宋_GB2312" w:eastAsia="仿宋_GB2312" w:cs="仿宋_GB2312"/>
          <w:b/>
          <w:bCs/>
          <w:color w:val="333333"/>
          <w:kern w:val="0"/>
          <w:sz w:val="32"/>
          <w:szCs w:val="32"/>
          <w:shd w:val="clear" w:color="auto"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exact"/>
        <w:ind w:left="0" w:leftChars="0" w:right="0" w:rightChars="0" w:firstLine="643" w:firstLineChars="200"/>
        <w:jc w:val="left"/>
        <w:textAlignment w:val="auto"/>
        <w:rPr>
          <w:rFonts w:hint="eastAsia" w:ascii="仿宋_GB2312" w:hAnsi="仿宋_GB2312" w:eastAsia="仿宋_GB2312" w:cs="仿宋_GB2312"/>
          <w:b/>
          <w:bCs/>
          <w:color w:val="333333"/>
          <w:kern w:val="0"/>
          <w:sz w:val="32"/>
          <w:szCs w:val="32"/>
          <w:shd w:val="clear" w:color="auto"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hAnsi="仿宋_GB2312" w:eastAsia="仿宋_GB2312" w:cs="仿宋_GB2312"/>
          <w:b/>
          <w:bCs/>
          <w:color w:val="333333"/>
          <w:kern w:val="0"/>
          <w:sz w:val="32"/>
          <w:szCs w:val="32"/>
          <w:shd w:val="clear" w:color="auto"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hAnsi="仿宋_GB2312" w:eastAsia="仿宋_GB2312" w:cs="仿宋_GB2312"/>
          <w:b/>
          <w:bCs/>
          <w:color w:val="333333"/>
          <w:kern w:val="0"/>
          <w:sz w:val="32"/>
          <w:szCs w:val="32"/>
          <w:shd w:val="clear" w:color="auto"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hAnsi="仿宋_GB2312" w:eastAsia="仿宋_GB2312" w:cs="仿宋_GB2312"/>
          <w:b/>
          <w:bCs/>
          <w:color w:val="333333"/>
          <w:kern w:val="0"/>
          <w:sz w:val="32"/>
          <w:szCs w:val="32"/>
          <w:shd w:val="clear" w:color="auto"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jc w:val="left"/>
        <w:textAlignment w:val="auto"/>
        <w:rPr>
          <w:rFonts w:hint="eastAsia" w:ascii="仿宋_GB2312" w:hAnsi="仿宋_GB2312" w:eastAsia="仿宋_GB2312" w:cs="仿宋_GB2312"/>
          <w:b/>
          <w:bCs/>
          <w:color w:val="333333"/>
          <w:kern w:val="0"/>
          <w:sz w:val="32"/>
          <w:szCs w:val="32"/>
          <w:shd w:val="clear" w:color="auto"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jc w:val="left"/>
        <w:textAlignment w:val="auto"/>
        <w:rPr>
          <w:rFonts w:hint="eastAsia" w:ascii="仿宋_GB2312" w:hAnsi="仿宋_GB2312" w:eastAsia="仿宋_GB2312" w:cs="仿宋_GB2312"/>
          <w:b/>
          <w:bCs/>
          <w:color w:val="333333"/>
          <w:kern w:val="0"/>
          <w:sz w:val="32"/>
          <w:szCs w:val="32"/>
          <w:shd w:val="clear" w:color="auto"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jc w:val="left"/>
        <w:textAlignment w:val="auto"/>
        <w:rPr>
          <w:rFonts w:hint="eastAsia" w:ascii="仿宋_GB2312" w:hAnsi="仿宋_GB2312" w:eastAsia="仿宋_GB2312" w:cs="仿宋_GB2312"/>
          <w:b/>
          <w:bCs/>
          <w:color w:val="333333"/>
          <w:kern w:val="0"/>
          <w:sz w:val="32"/>
          <w:szCs w:val="32"/>
          <w:shd w:val="clear" w:color="auto" w:fill="FFFFFF"/>
          <w:lang w:val="en-US" w:eastAsia="zh-CN" w:bidi="ar"/>
        </w:rPr>
      </w:pPr>
    </w:p>
    <w:p>
      <w:pPr>
        <w:pStyle w:val="2"/>
        <w:rPr>
          <w:rFonts w:hint="eastAsia"/>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jc w:val="left"/>
        <w:textAlignment w:val="auto"/>
        <w:rPr>
          <w:rFonts w:hint="eastAsia" w:ascii="黑体" w:hAnsi="黑体" w:eastAsia="黑体" w:cs="黑体"/>
          <w:b/>
          <w:bCs/>
          <w:color w:val="333333"/>
          <w:kern w:val="0"/>
          <w:sz w:val="32"/>
          <w:szCs w:val="32"/>
          <w:shd w:val="clear" w:color="auto" w:fill="FFFFFF"/>
          <w:lang w:val="en-US" w:eastAsia="zh-CN" w:bidi="ar"/>
        </w:rPr>
      </w:pPr>
      <w:r>
        <w:rPr>
          <w:rFonts w:hint="eastAsia" w:ascii="黑体" w:hAnsi="黑体" w:eastAsia="黑体" w:cs="黑体"/>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lang w:val="en-US" w:eastAsia="zh-CN"/>
        </w:rPr>
      </w:pPr>
    </w:p>
    <w:tbl>
      <w:tblPr>
        <w:tblStyle w:val="7"/>
        <w:tblW w:w="13023" w:type="dxa"/>
        <w:tblInd w:w="-3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3"/>
        <w:gridCol w:w="1028"/>
        <w:gridCol w:w="2172"/>
        <w:gridCol w:w="964"/>
        <w:gridCol w:w="1150"/>
        <w:gridCol w:w="4676"/>
        <w:gridCol w:w="885"/>
        <w:gridCol w:w="10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114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项目名称</w:t>
            </w:r>
          </w:p>
        </w:tc>
        <w:tc>
          <w:tcPr>
            <w:tcW w:w="102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预算数</w:t>
            </w:r>
          </w:p>
        </w:tc>
        <w:tc>
          <w:tcPr>
            <w:tcW w:w="2172"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年度目标</w:t>
            </w:r>
          </w:p>
        </w:tc>
        <w:tc>
          <w:tcPr>
            <w:tcW w:w="96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一级指标</w:t>
            </w:r>
          </w:p>
        </w:tc>
        <w:tc>
          <w:tcPr>
            <w:tcW w:w="115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二级指标</w:t>
            </w:r>
          </w:p>
        </w:tc>
        <w:tc>
          <w:tcPr>
            <w:tcW w:w="467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三级指标</w:t>
            </w:r>
          </w:p>
        </w:tc>
        <w:tc>
          <w:tcPr>
            <w:tcW w:w="88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指标性质</w:t>
            </w:r>
          </w:p>
        </w:tc>
        <w:tc>
          <w:tcPr>
            <w:tcW w:w="100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14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仿宋_GB2312" w:hAnsi="宋体" w:eastAsia="仿宋_GB2312" w:cs="仿宋_GB2312"/>
                <w:i w:val="0"/>
                <w:iCs w:val="0"/>
                <w:color w:val="000000"/>
                <w:sz w:val="18"/>
                <w:szCs w:val="18"/>
                <w:u w:val="none"/>
              </w:rPr>
            </w:pPr>
          </w:p>
        </w:tc>
        <w:tc>
          <w:tcPr>
            <w:tcW w:w="102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247.77</w:t>
            </w:r>
          </w:p>
        </w:tc>
        <w:tc>
          <w:tcPr>
            <w:tcW w:w="2172"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仿宋_GB2312" w:hAnsi="宋体" w:eastAsia="仿宋_GB2312" w:cs="仿宋_GB2312"/>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仿宋_GB2312" w:hAnsi="宋体" w:eastAsia="仿宋_GB2312" w:cs="仿宋_GB2312"/>
                <w:i w:val="0"/>
                <w:iCs w:val="0"/>
                <w:color w:val="000000"/>
                <w:sz w:val="18"/>
                <w:szCs w:val="18"/>
                <w:u w:val="none"/>
              </w:rPr>
            </w:pPr>
          </w:p>
        </w:tc>
        <w:tc>
          <w:tcPr>
            <w:tcW w:w="467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仿宋_GB2312" w:hAnsi="宋体" w:eastAsia="仿宋_GB2312" w:cs="仿宋_GB2312"/>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仿宋_GB2312" w:hAnsi="宋体" w:eastAsia="仿宋_GB2312" w:cs="仿宋_GB2312"/>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执政实录</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9.50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　编纂出版红原县执政实录300册</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编纂出版执政实录300册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存史、育人、资政、服务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定性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满意度指标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服务对象满意度指标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读者满意度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口述历史</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17.00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拍摄口述历史纪录片1部　</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拍摄口述历史1部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继承发扬厚重传统文化</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定性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进一步发扬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满意度指标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服务对象满意度指标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观众满意度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红原年鉴</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7.90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　编纂出版红原县年鉴300册</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编纂出版红原县年鉴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存史、育人、资政、服务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定性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满意度指标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服务对象满意度指标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读者满意度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党建群众工作经费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提高预算编制质量，严格执行预算，保障单位日常运转。</w:t>
            </w:r>
          </w:p>
        </w:tc>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科目调整次数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质量指标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预算编制准确率（计算方法为：</w:t>
            </w:r>
            <w:r>
              <w:rPr>
                <w:rFonts w:ascii="宋体" w:hAnsi="宋体" w:eastAsia="宋体" w:cs="宋体"/>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（执行数-预算数）/预算数</w:t>
            </w:r>
            <w:r>
              <w:rPr>
                <w:rFonts w:ascii="宋体" w:hAnsi="宋体" w:eastAsia="宋体" w:cs="宋体"/>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经济效益指标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“三公经费”控制率[计算方法为：（三公经费实际支出数/预算安排数]×100%）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运转保障率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年度考核奖</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11.04</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工资支出</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28.87</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社会保障缴费—机关事业单位基本养老保险缴费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16.07</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社会保障缴费—职业年金缴费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8.03</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社会保障缴费—职工基本医疗保险缴费行政</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7.03</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社会保障缴费—公务员医疗补助缴费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1.73</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住房公积金缴费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13.14</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社会保障缴费—其他社保缴费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1.81</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在职人员体检费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0.94</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退休人员经费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0.32</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年终一次性奖金（新设）</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2.41</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公务员规范津贴补贴（新设）</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20.74</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公务员基础绩效奖（新设）</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25.16</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艰苦边远地区津贴（新设）</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19.70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高海拔地区折算工龄补贴（新设）</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3.05</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其他津贴（新设）</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0.50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《红原县扶贫志》</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38.00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编纂出版《红原县扶贫志》400册</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编纂出版《红原县扶贫志》400册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存史、育人、资政服务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定性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满意度指标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服务对象满意度指标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读者满意度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0”史志七进“”地方志工作培训会</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组织开展史志七进“宣传党史进镇、进村、进乡、进社区、进校园”</w:t>
            </w:r>
          </w:p>
        </w:tc>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组织开展史志"七进“</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地方志工作培训会“</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育人服务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定性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满意度指标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服务对象满意度指标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培训人员满意度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单位日常公用经费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2.62</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提高预算编制质量，严格执行预算，保障单位日常运转。</w:t>
            </w:r>
          </w:p>
        </w:tc>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科目调整次数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质量指标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预算编制准确率（计算方法为：</w:t>
            </w:r>
            <w:r>
              <w:rPr>
                <w:rFonts w:ascii="宋体" w:hAnsi="宋体" w:eastAsia="宋体" w:cs="宋体"/>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（执行数-预算数）/预算数</w:t>
            </w:r>
            <w:r>
              <w:rPr>
                <w:rFonts w:ascii="宋体" w:hAnsi="宋体" w:eastAsia="宋体" w:cs="宋体"/>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经济效益指标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“三公经费”控制率[计算方法为：（三公经费实际支出数/预算安排数]×100%）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运转保障率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单位非定额公用经费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6.00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提高预算编制质量，严格执行预算，保障单位日常运转。</w:t>
            </w:r>
          </w:p>
        </w:tc>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科目调整次数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质量指标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预算编制准确率（计算方法为：</w:t>
            </w:r>
            <w:r>
              <w:rPr>
                <w:rFonts w:ascii="宋体" w:hAnsi="宋体" w:eastAsia="宋体" w:cs="宋体"/>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（执行数-预算数）/预算数</w:t>
            </w:r>
            <w:r>
              <w:rPr>
                <w:rFonts w:ascii="宋体" w:hAnsi="宋体" w:eastAsia="宋体" w:cs="宋体"/>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经济效益指标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“三公经费”控制率[计算方法为：（三公经费实际支出数/预算安排数]×100%）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运转保障率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工会经费</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1.21</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提高预算编制质量，严格执行预算，</w:t>
            </w:r>
            <w:bookmarkStart w:id="0" w:name="_GoBack"/>
            <w:bookmarkEnd w:id="0"/>
            <w:r>
              <w:rPr>
                <w:rFonts w:hint="eastAsia" w:ascii="仿宋_GB2312" w:hAnsi="宋体" w:eastAsia="仿宋_GB2312" w:cs="仿宋_GB2312"/>
                <w:i w:val="0"/>
                <w:iCs w:val="0"/>
                <w:color w:val="000000"/>
                <w:kern w:val="0"/>
                <w:sz w:val="18"/>
                <w:szCs w:val="18"/>
                <w:u w:val="none"/>
                <w:lang w:val="en-US" w:eastAsia="zh-CN" w:bidi="ar"/>
              </w:rPr>
              <w:t>保障单位日常运转。</w:t>
            </w:r>
          </w:p>
        </w:tc>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科目调整次数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质量指标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预算编制准确率（计算方法为：</w:t>
            </w:r>
            <w:r>
              <w:rPr>
                <w:rFonts w:ascii="宋体" w:hAnsi="宋体" w:eastAsia="宋体" w:cs="宋体"/>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（执行数-预算数）/预算数</w:t>
            </w:r>
            <w:r>
              <w:rPr>
                <w:rFonts w:ascii="宋体" w:hAnsi="宋体" w:eastAsia="宋体" w:cs="宋体"/>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经济效益指标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“三公经费”控制率[计算方法为：（三公经费实际支出数/预算安排数]×100%）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宋体" w:eastAsia="仿宋_GB2312" w:cs="仿宋_GB2312"/>
                <w:i w:val="0"/>
                <w:iCs w:val="0"/>
                <w:color w:val="000000"/>
                <w:sz w:val="18"/>
                <w:szCs w:val="18"/>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社会效益指标</w:t>
            </w:r>
          </w:p>
        </w:tc>
        <w:tc>
          <w:tcPr>
            <w:tcW w:w="4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运转保障率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r>
    </w:tbl>
    <w:p>
      <w:pPr>
        <w:pStyle w:val="2"/>
        <w:rPr>
          <w:rFonts w:hint="eastAsia" w:ascii="仿宋_GB2312" w:hAnsi="仿宋_GB2312" w:eastAsia="仿宋_GB2312" w:cs="仿宋_GB2312"/>
          <w:sz w:val="30"/>
          <w:szCs w:val="30"/>
          <w:lang w:val="en-US" w:eastAsia="zh-CN"/>
        </w:rPr>
      </w:pPr>
    </w:p>
    <w:p>
      <w:pPr>
        <w:pStyle w:val="2"/>
        <w:rPr>
          <w:rFonts w:hint="eastAsia" w:ascii="仿宋_GB2312" w:hAnsi="仿宋_GB2312" w:eastAsia="仿宋_GB2312" w:cs="仿宋_GB2312"/>
          <w:sz w:val="30"/>
          <w:szCs w:val="30"/>
          <w:lang w:val="en-US" w:eastAsia="zh-CN"/>
        </w:rPr>
      </w:pPr>
    </w:p>
    <w:p>
      <w:pPr>
        <w:pStyle w:val="2"/>
        <w:rPr>
          <w:rFonts w:hint="eastAsia" w:ascii="仿宋_GB2312" w:hAnsi="仿宋_GB2312" w:eastAsia="仿宋_GB2312" w:cs="仿宋_GB2312"/>
          <w:sz w:val="30"/>
          <w:szCs w:val="30"/>
          <w:lang w:val="en-US" w:eastAsia="zh-CN"/>
        </w:rPr>
      </w:pPr>
    </w:p>
    <w:p>
      <w:pPr>
        <w:pStyle w:val="2"/>
        <w:rPr>
          <w:rFonts w:hint="eastAsia" w:ascii="仿宋_GB2312" w:hAnsi="仿宋_GB2312" w:eastAsia="仿宋_GB2312" w:cs="仿宋_GB2312"/>
          <w:sz w:val="30"/>
          <w:szCs w:val="30"/>
          <w:lang w:val="en-US" w:eastAsia="zh-CN"/>
        </w:rPr>
      </w:pPr>
    </w:p>
    <w:p>
      <w:pPr>
        <w:pStyle w:val="2"/>
        <w:rPr>
          <w:rFonts w:hint="eastAsia" w:ascii="仿宋_GB2312" w:hAnsi="仿宋_GB2312" w:eastAsia="仿宋_GB2312" w:cs="仿宋_GB2312"/>
          <w:sz w:val="30"/>
          <w:szCs w:val="30"/>
          <w:lang w:val="en-US" w:eastAsia="zh-CN"/>
        </w:rPr>
      </w:pPr>
    </w:p>
    <w:p>
      <w:pPr>
        <w:pStyle w:val="2"/>
        <w:rPr>
          <w:rFonts w:hint="eastAsia" w:ascii="仿宋_GB2312" w:hAnsi="仿宋_GB2312" w:eastAsia="仿宋_GB2312" w:cs="仿宋_GB2312"/>
          <w:sz w:val="30"/>
          <w:szCs w:val="30"/>
          <w:lang w:val="en-US" w:eastAsia="zh-CN"/>
        </w:rPr>
      </w:pPr>
    </w:p>
    <w:p>
      <w:pPr>
        <w:pStyle w:val="2"/>
        <w:rPr>
          <w:rFonts w:hint="eastAsia" w:ascii="仿宋_GB2312" w:hAnsi="仿宋_GB2312" w:eastAsia="仿宋_GB2312" w:cs="仿宋_GB2312"/>
          <w:sz w:val="30"/>
          <w:szCs w:val="30"/>
          <w:lang w:val="en-US" w:eastAsia="zh-CN"/>
        </w:rPr>
      </w:pPr>
    </w:p>
    <w:p>
      <w:pPr>
        <w:pStyle w:val="2"/>
        <w:rPr>
          <w:rFonts w:hint="eastAsia" w:ascii="仿宋_GB2312" w:hAnsi="仿宋_GB2312" w:eastAsia="仿宋_GB2312" w:cs="仿宋_GB2312"/>
          <w:sz w:val="30"/>
          <w:szCs w:val="30"/>
          <w:lang w:val="en-US" w:eastAsia="zh-CN"/>
        </w:rPr>
      </w:pPr>
    </w:p>
    <w:p>
      <w:pPr>
        <w:keepNext w:val="0"/>
        <w:keepLines w:val="0"/>
        <w:pageBreakBefore w:val="0"/>
        <w:kinsoku/>
        <w:wordWrap/>
        <w:overflowPunct/>
        <w:topLinePunct w:val="0"/>
        <w:autoSpaceDE/>
        <w:autoSpaceDN/>
        <w:bidi w:val="0"/>
        <w:spacing w:line="560" w:lineRule="exact"/>
        <w:ind w:left="600" w:leftChars="0" w:right="0" w:rightChars="0" w:hanging="600" w:hangingChars="200"/>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color w:val="333333"/>
          <w:kern w:val="0"/>
          <w:sz w:val="30"/>
          <w:szCs w:val="30"/>
          <w:shd w:val="clear" w:color="auto" w:fill="FFFFFF"/>
          <w:lang w:val="en-US" w:eastAsia="zh-CN" w:bidi="ar"/>
        </w:rPr>
        <w:t xml:space="preserve">   </w:t>
      </w:r>
      <w:r>
        <w:rPr>
          <w:rFonts w:hint="eastAsia" w:ascii="仿宋_GB2312" w:hAnsi="仿宋_GB2312" w:eastAsia="仿宋_GB2312" w:cs="仿宋_GB2312"/>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hAnsi="仿宋_GB2312" w:eastAsia="仿宋_GB2312" w:cs="仿宋_GB2312"/>
          <w:color w:val="333333"/>
          <w:kern w:val="0"/>
          <w:sz w:val="32"/>
          <w:szCs w:val="32"/>
          <w:shd w:val="clear" w:color="auto" w:fill="FFFFFF"/>
          <w:lang w:val="en-US" w:eastAsia="zh-CN" w:bidi="ar"/>
        </w:rPr>
      </w:pP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hAnsi="仿宋_GB2312" w:eastAsia="仿宋_GB2312" w:cs="仿宋_GB2312"/>
          <w:color w:val="333333"/>
          <w:kern w:val="0"/>
          <w:sz w:val="32"/>
          <w:szCs w:val="32"/>
          <w:shd w:val="clear" w:color="auto" w:fill="FFFFFF"/>
          <w:lang w:val="en-US" w:eastAsia="zh-CN" w:bidi="ar"/>
        </w:rPr>
      </w:pP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hAnsi="仿宋_GB2312" w:eastAsia="仿宋_GB2312" w:cs="仿宋_GB2312"/>
          <w:color w:val="333333"/>
          <w:kern w:val="0"/>
          <w:sz w:val="32"/>
          <w:szCs w:val="32"/>
          <w:shd w:val="clear" w:color="auto" w:fill="FFFFFF"/>
          <w:lang w:val="en-US" w:eastAsia="zh-CN" w:bidi="ar"/>
        </w:rPr>
      </w:pP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hAnsi="仿宋_GB2312" w:eastAsia="仿宋_GB2312" w:cs="仿宋_GB2312"/>
          <w:color w:val="333333"/>
          <w:kern w:val="0"/>
          <w:sz w:val="32"/>
          <w:szCs w:val="32"/>
          <w:shd w:val="clear" w:color="auto" w:fill="FFFFFF"/>
          <w:lang w:val="en-US" w:eastAsia="zh-CN" w:bidi="ar"/>
        </w:rPr>
      </w:pP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hAnsi="仿宋_GB2312" w:eastAsia="仿宋_GB2312" w:cs="仿宋_GB2312"/>
          <w:color w:val="333333"/>
          <w:kern w:val="0"/>
          <w:sz w:val="32"/>
          <w:szCs w:val="32"/>
          <w:shd w:val="clear" w:color="auto" w:fill="FFFFFF"/>
          <w:lang w:val="en-US" w:eastAsia="zh-CN" w:bidi="ar"/>
        </w:rPr>
      </w:pP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hAnsi="仿宋_GB2312" w:eastAsia="仿宋_GB2312" w:cs="仿宋_GB2312"/>
          <w:color w:val="333333"/>
          <w:kern w:val="0"/>
          <w:sz w:val="32"/>
          <w:szCs w:val="32"/>
          <w:shd w:val="clear" w:color="auto" w:fill="FFFFFF"/>
          <w:lang w:val="en-US" w:eastAsia="zh-CN" w:bidi="ar"/>
        </w:rPr>
      </w:pP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hAnsi="仿宋_GB2312" w:eastAsia="仿宋_GB2312" w:cs="仿宋_GB2312"/>
          <w:color w:val="333333"/>
          <w:kern w:val="0"/>
          <w:sz w:val="32"/>
          <w:szCs w:val="32"/>
          <w:shd w:val="clear" w:color="auto" w:fill="FFFFFF"/>
          <w:lang w:val="en-US" w:eastAsia="zh-CN" w:bidi="ar"/>
        </w:rPr>
      </w:pPr>
    </w:p>
    <w:p>
      <w:pPr>
        <w:pStyle w:val="2"/>
        <w:rPr>
          <w:rFonts w:hint="eastAsia" w:ascii="仿宋_GB2312" w:hAnsi="仿宋_GB2312" w:eastAsia="仿宋_GB2312" w:cs="仿宋_GB2312"/>
          <w:color w:val="333333"/>
          <w:kern w:val="0"/>
          <w:sz w:val="32"/>
          <w:szCs w:val="32"/>
          <w:shd w:val="clear" w:color="auto" w:fill="FFFFFF"/>
          <w:lang w:val="en-US" w:eastAsia="zh-CN" w:bidi="ar"/>
        </w:rPr>
      </w:pPr>
    </w:p>
    <w:p>
      <w:pPr>
        <w:pStyle w:val="2"/>
        <w:rPr>
          <w:rFonts w:hint="eastAsia" w:ascii="仿宋_GB2312" w:hAnsi="仿宋_GB2312" w:eastAsia="仿宋_GB2312" w:cs="仿宋_GB2312"/>
          <w:color w:val="333333"/>
          <w:kern w:val="0"/>
          <w:sz w:val="32"/>
          <w:szCs w:val="32"/>
          <w:shd w:val="clear" w:color="auto" w:fill="FFFFFF"/>
          <w:lang w:val="en-US" w:eastAsia="zh-CN" w:bidi="ar"/>
        </w:rPr>
      </w:pP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333333"/>
          <w:kern w:val="0"/>
          <w:sz w:val="32"/>
          <w:szCs w:val="32"/>
          <w:shd w:val="clear" w:color="auto" w:fill="FFFFFF"/>
          <w:lang w:val="en-US" w:eastAsia="zh-CN" w:bidi="ar"/>
        </w:rPr>
        <w:t>十、名词解释</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1.财政拨款收入：指财政部门核拨给单位的财政预算资金。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3.基本支出：指为保障单位机关正常运转、完成日常工作任务而发生的人员支出和公用支出。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4.项目支出：指在基本支出之外为完成特定行政任务和事业发展目标所发生的支出。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wMTg4MjA0Mjc3NWFhNzQwMTRiMjZjZmJlYTZkYmQifQ=="/>
  </w:docVars>
  <w:rsids>
    <w:rsidRoot w:val="00172A27"/>
    <w:rsid w:val="02D212D8"/>
    <w:rsid w:val="03082365"/>
    <w:rsid w:val="034C72DC"/>
    <w:rsid w:val="043F0BEF"/>
    <w:rsid w:val="062A31D9"/>
    <w:rsid w:val="085B0A02"/>
    <w:rsid w:val="08E6788B"/>
    <w:rsid w:val="0A6E1F7B"/>
    <w:rsid w:val="0B705B32"/>
    <w:rsid w:val="0C8C553E"/>
    <w:rsid w:val="0CEE610B"/>
    <w:rsid w:val="0D6E0DF5"/>
    <w:rsid w:val="0DCD62DE"/>
    <w:rsid w:val="0DF76B88"/>
    <w:rsid w:val="10B92046"/>
    <w:rsid w:val="124332D9"/>
    <w:rsid w:val="14361007"/>
    <w:rsid w:val="144A5D9E"/>
    <w:rsid w:val="15DB032B"/>
    <w:rsid w:val="168506CE"/>
    <w:rsid w:val="177C13BA"/>
    <w:rsid w:val="18005E60"/>
    <w:rsid w:val="1837794D"/>
    <w:rsid w:val="18870CA9"/>
    <w:rsid w:val="18DE7327"/>
    <w:rsid w:val="18FF4A98"/>
    <w:rsid w:val="19067AD5"/>
    <w:rsid w:val="19314C43"/>
    <w:rsid w:val="1D491D3F"/>
    <w:rsid w:val="1DD85F79"/>
    <w:rsid w:val="1E731769"/>
    <w:rsid w:val="218C016F"/>
    <w:rsid w:val="21BA145D"/>
    <w:rsid w:val="240E3358"/>
    <w:rsid w:val="251E4C45"/>
    <w:rsid w:val="25736E70"/>
    <w:rsid w:val="28CA79FA"/>
    <w:rsid w:val="2C6D683B"/>
    <w:rsid w:val="2D241839"/>
    <w:rsid w:val="2D6055AE"/>
    <w:rsid w:val="2E7479ED"/>
    <w:rsid w:val="2F81450D"/>
    <w:rsid w:val="2FC811E9"/>
    <w:rsid w:val="301F3E28"/>
    <w:rsid w:val="32B9061F"/>
    <w:rsid w:val="3C6F1182"/>
    <w:rsid w:val="3E6C7944"/>
    <w:rsid w:val="3F446ADE"/>
    <w:rsid w:val="41C14C68"/>
    <w:rsid w:val="420559F8"/>
    <w:rsid w:val="42A67168"/>
    <w:rsid w:val="433B01F8"/>
    <w:rsid w:val="4714586B"/>
    <w:rsid w:val="48382BBF"/>
    <w:rsid w:val="4A7D7DE9"/>
    <w:rsid w:val="4B3A2B43"/>
    <w:rsid w:val="4B5315EC"/>
    <w:rsid w:val="4B6B19DD"/>
    <w:rsid w:val="4C5424D5"/>
    <w:rsid w:val="510C7D31"/>
    <w:rsid w:val="52D10231"/>
    <w:rsid w:val="532F6840"/>
    <w:rsid w:val="546703A6"/>
    <w:rsid w:val="550D5715"/>
    <w:rsid w:val="555E53B0"/>
    <w:rsid w:val="56F015BA"/>
    <w:rsid w:val="5717647F"/>
    <w:rsid w:val="574D77C2"/>
    <w:rsid w:val="58063D6C"/>
    <w:rsid w:val="589E5BC9"/>
    <w:rsid w:val="5B627971"/>
    <w:rsid w:val="5BD64631"/>
    <w:rsid w:val="5E196064"/>
    <w:rsid w:val="60C5607D"/>
    <w:rsid w:val="636966A0"/>
    <w:rsid w:val="64BF4614"/>
    <w:rsid w:val="65CF619D"/>
    <w:rsid w:val="670175BB"/>
    <w:rsid w:val="69772B35"/>
    <w:rsid w:val="69EC72A7"/>
    <w:rsid w:val="6A7F4532"/>
    <w:rsid w:val="6B445B0F"/>
    <w:rsid w:val="6D0931DE"/>
    <w:rsid w:val="6D5065ED"/>
    <w:rsid w:val="6DB91B96"/>
    <w:rsid w:val="6E711791"/>
    <w:rsid w:val="6F1B62A8"/>
    <w:rsid w:val="6FBF4B32"/>
    <w:rsid w:val="70F00356"/>
    <w:rsid w:val="72D40618"/>
    <w:rsid w:val="748D1B4A"/>
    <w:rsid w:val="75B74C0D"/>
    <w:rsid w:val="77F4039A"/>
    <w:rsid w:val="7A6115EB"/>
    <w:rsid w:val="7B312348"/>
    <w:rsid w:val="7D9F4904"/>
    <w:rsid w:val="7F7D2A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line="560" w:lineRule="atLeast"/>
      <w:ind w:firstLine="640" w:firstLineChars="200"/>
    </w:pPr>
    <w:rPr>
      <w:rFonts w:ascii="仿宋_GB2312" w:eastAsia="仿宋_GB2312"/>
      <w:sz w:val="32"/>
    </w:rPr>
  </w:style>
  <w:style w:type="paragraph" w:styleId="4">
    <w:name w:val="Body Text"/>
    <w:basedOn w:val="1"/>
    <w:autoRedefine/>
    <w:qFormat/>
    <w:uiPriority w:val="0"/>
    <w:pPr>
      <w:spacing w:before="93" w:beforeLines="30"/>
    </w:pPr>
    <w:rPr>
      <w:rFonts w:ascii="仿宋_GB2312" w:eastAsia="仿宋_GB2312"/>
      <w:sz w:val="30"/>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basedOn w:val="8"/>
    <w:autoRedefine/>
    <w:qFormat/>
    <w:uiPriority w:val="0"/>
  </w:style>
  <w:style w:type="character" w:styleId="10">
    <w:name w:val="line number"/>
    <w:basedOn w:val="8"/>
    <w:autoRedefine/>
    <w:qFormat/>
    <w:uiPriority w:val="0"/>
    <w:rPr>
      <w:rFonts w:hint="default"/>
      <w:sz w:val="22"/>
    </w:rPr>
  </w:style>
  <w:style w:type="character" w:styleId="11">
    <w:name w:val="Hyperlink"/>
    <w:autoRedefine/>
    <w:qFormat/>
    <w:uiPriority w:val="0"/>
    <w:rPr>
      <w:rFonts w:hint="default"/>
      <w:sz w:val="22"/>
    </w:rPr>
  </w:style>
  <w:style w:type="character" w:customStyle="1" w:styleId="12">
    <w:name w:val="font21"/>
    <w:basedOn w:val="8"/>
    <w:autoRedefine/>
    <w:qFormat/>
    <w:uiPriority w:val="0"/>
    <w:rPr>
      <w:rFonts w:hint="eastAsia" w:ascii="仿宋_GB2312" w:eastAsia="仿宋_GB2312" w:cs="仿宋_GB2312"/>
      <w:color w:val="000000"/>
      <w:sz w:val="18"/>
      <w:szCs w:val="18"/>
      <w:u w:val="none"/>
    </w:rPr>
  </w:style>
  <w:style w:type="character" w:customStyle="1" w:styleId="13">
    <w:name w:val="font41"/>
    <w:basedOn w:val="8"/>
    <w:autoRedefine/>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18</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2024-04-15T09:07:15Z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9D2027DEE75D4779BEC0BECD8D65F52B_13</vt:lpwstr>
  </property>
</Properties>
</file>