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425"/>
      <w:bookmarkStart w:id="1" w:name="_Toc15378441"/>
      <w:bookmarkStart w:id="2" w:name="_Toc15306267"/>
      <w:bookmarkStart w:id="3" w:name="_Toc15377193"/>
      <w:bookmarkStart w:id="4" w:name="_Toc15396597"/>
      <w:bookmarkStart w:id="5" w:name="_Toc15396475"/>
    </w:p>
    <w:p>
      <w:pPr>
        <w:spacing w:line="600" w:lineRule="exact"/>
        <w:jc w:val="center"/>
        <w:outlineLvl w:val="9"/>
        <w:rPr>
          <w:rFonts w:ascii="方正小标宋简体" w:eastAsia="方正小标宋简体"/>
          <w:sz w:val="72"/>
          <w:szCs w:val="72"/>
        </w:rPr>
      </w:pPr>
    </w:p>
    <w:bookmarkEnd w:id="0"/>
    <w:bookmarkEnd w:id="1"/>
    <w:bookmarkEnd w:id="2"/>
    <w:bookmarkEnd w:id="3"/>
    <w:bookmarkEnd w:id="4"/>
    <w:bookmarkEnd w:id="5"/>
    <w:p>
      <w:pPr>
        <w:pStyle w:val="14"/>
        <w:widowControl/>
        <w:shd w:val="clear" w:fill="FFFFFF"/>
        <w:snapToGrid w:val="0"/>
        <w:jc w:val="center"/>
        <w:rPr>
          <w:rFonts w:hint="eastAsia" w:ascii="方正小标宋_GBK" w:hAnsi="方正小标宋_GBK" w:eastAsia="方正小标宋_GBK" w:cs="方正小标宋_GBK"/>
          <w:sz w:val="32"/>
          <w:szCs w:val="32"/>
          <w:shd w:val="clear" w:fill="FFFFFF"/>
          <w:lang w:val="en-US"/>
        </w:rPr>
      </w:pPr>
    </w:p>
    <w:p>
      <w:pPr>
        <w:pStyle w:val="14"/>
        <w:widowControl/>
        <w:shd w:val="clear" w:fill="FFFFFF"/>
        <w:snapToGrid w:val="0"/>
        <w:jc w:val="center"/>
        <w:rPr>
          <w:rFonts w:hint="eastAsia" w:ascii="方正小标宋_GBK" w:hAnsi="方正小标宋_GBK" w:eastAsia="方正小标宋_GBK" w:cs="方正小标宋_GBK"/>
          <w:sz w:val="32"/>
          <w:szCs w:val="32"/>
          <w:shd w:val="clear" w:fill="FFFFFF"/>
          <w:lang w:val="en-US"/>
        </w:rPr>
      </w:pPr>
    </w:p>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shd w:val="clear" w:fill="FFFFFF"/>
          <w:lang w:eastAsia="zh-CN"/>
        </w:rPr>
      </w:pPr>
      <w:bookmarkStart w:id="6" w:name="_Toc12780"/>
      <w:r>
        <w:rPr>
          <w:rFonts w:hint="eastAsia" w:ascii="方正小标宋_GBK" w:hAnsi="方正小标宋_GBK" w:eastAsia="方正小标宋_GBK" w:cs="方正小标宋_GBK"/>
          <w:sz w:val="44"/>
          <w:szCs w:val="44"/>
          <w:shd w:val="clear" w:fill="FFFFFF"/>
          <w:lang w:val="en-US" w:eastAsia="zh-CN"/>
        </w:rPr>
        <w:t>2022</w:t>
      </w:r>
      <w:r>
        <w:rPr>
          <w:rFonts w:hint="eastAsia" w:ascii="方正小标宋_GBK" w:hAnsi="方正小标宋_GBK" w:eastAsia="方正小标宋_GBK" w:cs="方正小标宋_GBK"/>
          <w:sz w:val="44"/>
          <w:szCs w:val="44"/>
          <w:shd w:val="clear" w:fill="FFFFFF"/>
          <w:lang w:eastAsia="zh-CN"/>
        </w:rPr>
        <w:t>年度</w:t>
      </w:r>
      <w:bookmarkEnd w:id="6"/>
    </w:p>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shd w:val="clear" w:fill="FFFFFF"/>
          <w:lang w:eastAsia="zh-CN"/>
        </w:rPr>
      </w:pPr>
      <w:bookmarkStart w:id="7" w:name="_Toc41"/>
      <w:bookmarkStart w:id="8" w:name="_Toc7086"/>
      <w:r>
        <w:rPr>
          <w:rFonts w:hint="eastAsia" w:ascii="方正小标宋_GBK" w:hAnsi="方正小标宋_GBK" w:eastAsia="方正小标宋_GBK" w:cs="方正小标宋_GBK"/>
          <w:sz w:val="44"/>
          <w:szCs w:val="44"/>
          <w:shd w:val="clear" w:fill="FFFFFF"/>
          <w:lang w:eastAsia="zh-CN"/>
        </w:rPr>
        <w:t>中共阿坝州红原县党史研究和地方志</w:t>
      </w:r>
      <w:bookmarkEnd w:id="7"/>
    </w:p>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rPr>
      </w:pPr>
      <w:bookmarkStart w:id="9" w:name="_Toc1175"/>
      <w:r>
        <w:rPr>
          <w:rFonts w:hint="eastAsia" w:ascii="方正小标宋_GBK" w:hAnsi="方正小标宋_GBK" w:eastAsia="方正小标宋_GBK" w:cs="方正小标宋_GBK"/>
          <w:sz w:val="44"/>
          <w:szCs w:val="44"/>
          <w:shd w:val="clear" w:fill="FFFFFF"/>
          <w:lang w:eastAsia="zh-CN"/>
        </w:rPr>
        <w:t>编纂中心部门决算</w:t>
      </w:r>
      <w:bookmarkEnd w:id="8"/>
      <w:bookmarkEnd w:id="9"/>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1200" w:firstLineChars="400"/>
        <w:jc w:val="both"/>
        <w:rPr>
          <w:rFonts w:hint="eastAsia" w:ascii="仿宋_GB2312" w:hAnsi="仿宋_GB2312" w:eastAsia="仿宋_GB2312" w:cs="仿宋_GB2312"/>
          <w:sz w:val="30"/>
          <w:szCs w:val="30"/>
        </w:rPr>
      </w:pPr>
      <w:r>
        <w:rPr>
          <w:rFonts w:hint="eastAsia" w:ascii="仿宋_GB2312" w:hAnsi="仿宋_GB2312" w:eastAsia="仿宋_GB2312" w:cs="仿宋_GB2312"/>
          <w:snapToGrid w:val="0"/>
          <w:sz w:val="30"/>
          <w:szCs w:val="30"/>
          <w:shd w:val="clear" w:fill="FFFFFF"/>
          <w:lang w:eastAsia="zh-CN"/>
        </w:rPr>
        <w:t>已经保密审查、内容审定，同意对外公开</w:t>
      </w:r>
    </w:p>
    <w:p>
      <w:pPr>
        <w:widowControl/>
        <w:jc w:val="center"/>
        <w:rPr>
          <w:rFonts w:hint="eastAsia" w:ascii="仿宋_GB2312" w:hAnsi="仿宋_GB2312" w:eastAsia="仿宋_GB2312" w:cs="仿宋_GB2312"/>
          <w:sz w:val="30"/>
          <w:szCs w:val="30"/>
        </w:rPr>
      </w:pPr>
    </w:p>
    <w:p>
      <w:pPr>
        <w:widowControl/>
        <w:jc w:val="center"/>
        <w:rPr>
          <w:rFonts w:hint="eastAsia" w:ascii="仿宋_GB2312" w:hAnsi="仿宋_GB2312" w:eastAsia="仿宋_GB2312" w:cs="仿宋_GB2312"/>
          <w:sz w:val="30"/>
          <w:szCs w:val="30"/>
        </w:rPr>
      </w:pPr>
    </w:p>
    <w:p>
      <w:pPr>
        <w:widowControl/>
        <w:jc w:val="center"/>
        <w:rPr>
          <w:rFonts w:hint="eastAsia" w:ascii="仿宋_GB2312" w:hAnsi="仿宋_GB2312" w:eastAsia="仿宋_GB2312" w:cs="仿宋_GB2312"/>
          <w:sz w:val="30"/>
          <w:szCs w:val="30"/>
        </w:rPr>
      </w:pPr>
    </w:p>
    <w:p>
      <w:pPr>
        <w:widowControl/>
        <w:jc w:val="center"/>
        <w:rPr>
          <w:rFonts w:hint="eastAsia" w:ascii="仿宋_GB2312" w:hAnsi="仿宋_GB2312" w:eastAsia="仿宋_GB2312" w:cs="仿宋_GB2312"/>
          <w:sz w:val="30"/>
          <w:szCs w:val="30"/>
        </w:rPr>
      </w:pPr>
    </w:p>
    <w:p>
      <w:pPr>
        <w:pStyle w:val="12"/>
        <w:ind w:firstLine="2100" w:firstLineChars="7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公开时间：2023年</w:t>
      </w:r>
      <w:r>
        <w:rPr>
          <w:rFonts w:hint="eastAsia" w:ascii="仿宋_GB2312" w:hAnsi="仿宋_GB2312" w:eastAsia="仿宋_GB2312" w:cs="仿宋_GB2312"/>
          <w:sz w:val="30"/>
          <w:szCs w:val="30"/>
          <w:lang w:val="en-US" w:eastAsia="zh-CN"/>
        </w:rPr>
        <w:t>11</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日</w:t>
      </w:r>
    </w:p>
    <w:p>
      <w:pPr>
        <w:widowControl/>
        <w:jc w:val="center"/>
        <w:rPr>
          <w:rFonts w:hint="eastAsia" w:ascii="黑体" w:hAnsi="黑体" w:eastAsia="黑体" w:cs="黑体"/>
          <w:b/>
          <w:bCs/>
          <w:sz w:val="32"/>
          <w:szCs w:val="32"/>
        </w:rPr>
      </w:pPr>
      <w:r>
        <w:rPr>
          <w:rFonts w:hint="eastAsia" w:ascii="黑体" w:hAnsi="黑体" w:eastAsia="黑体" w:cs="黑体"/>
          <w:b/>
          <w:bCs/>
          <w:sz w:val="32"/>
          <w:szCs w:val="32"/>
        </w:rPr>
        <w:t>目</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录</w:t>
      </w:r>
    </w:p>
    <w:sdt>
      <w:sdtPr>
        <w:rPr>
          <w:rFonts w:ascii="宋体" w:hAnsi="宋体" w:eastAsia="宋体" w:cs="Times New Roman"/>
          <w:kern w:val="2"/>
          <w:sz w:val="21"/>
          <w:szCs w:val="24"/>
          <w:lang w:val="en-US" w:eastAsia="zh-CN" w:bidi="ar-SA"/>
        </w:rPr>
        <w:id w:val="147460317"/>
        <w15:color w:val="DBDBDB"/>
        <w:docPartObj>
          <w:docPartGallery w:val="Table of Contents"/>
          <w:docPartUnique/>
        </w:docPartObj>
      </w:sdtPr>
      <w:sdtEndPr>
        <w:rPr>
          <w:rFonts w:hint="eastAsia" w:ascii="方正小标宋_GBK" w:hAnsi="方正小标宋_GBK" w:eastAsia="方正小标宋_GBK" w:cs="方正小标宋_GBK"/>
          <w:b/>
          <w:bCs/>
          <w:kern w:val="44"/>
          <w:sz w:val="44"/>
          <w:szCs w:val="32"/>
          <w:lang w:val="en-US" w:eastAsia="zh-CN" w:bidi="ar-SA"/>
        </w:rPr>
      </w:sdtEndPr>
      <w:sdtContent>
        <w:p>
          <w:pPr>
            <w:spacing w:before="0" w:beforeLines="0" w:after="0" w:afterLines="0" w:line="240" w:lineRule="auto"/>
            <w:ind w:left="0" w:leftChars="0" w:right="0" w:rightChars="0" w:firstLine="0" w:firstLineChars="0"/>
            <w:jc w:val="center"/>
          </w:pP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rPr>
              <w:b/>
            </w:rPr>
          </w:pPr>
          <w:r>
            <w:rPr>
              <w:rFonts w:hint="eastAsia" w:ascii="方正小标宋_GBK" w:hAnsi="方正小标宋_GBK" w:eastAsia="方正小标宋_GBK" w:cs="方正小标宋_GBK"/>
              <w:b w:val="0"/>
              <w:sz w:val="32"/>
              <w:szCs w:val="32"/>
            </w:rPr>
            <w:fldChar w:fldCharType="begin"/>
          </w:r>
          <w:r>
            <w:rPr>
              <w:rFonts w:hint="eastAsia" w:ascii="方正小标宋_GBK" w:hAnsi="方正小标宋_GBK" w:eastAsia="方正小标宋_GBK" w:cs="方正小标宋_GBK"/>
              <w:b w:val="0"/>
              <w:sz w:val="32"/>
              <w:szCs w:val="32"/>
            </w:rPr>
            <w:instrText xml:space="preserve">TOC \o "1-2" \h \u </w:instrText>
          </w:r>
          <w:r>
            <w:rPr>
              <w:rFonts w:hint="eastAsia" w:ascii="方正小标宋_GBK" w:hAnsi="方正小标宋_GBK" w:eastAsia="方正小标宋_GBK" w:cs="方正小标宋_GBK"/>
              <w:b w:val="0"/>
              <w:sz w:val="32"/>
              <w:szCs w:val="32"/>
            </w:rPr>
            <w:fldChar w:fldCharType="separate"/>
          </w:r>
          <w:r>
            <w:rPr>
              <w:rFonts w:hint="eastAsia" w:ascii="方正小标宋_GBK" w:hAnsi="方正小标宋_GBK" w:eastAsia="方正小标宋_GBK" w:cs="方正小标宋_GBK"/>
              <w:b/>
              <w:szCs w:val="32"/>
            </w:rPr>
            <w:fldChar w:fldCharType="begin"/>
          </w:r>
          <w:r>
            <w:rPr>
              <w:rFonts w:hint="eastAsia" w:ascii="方正小标宋_GBK" w:hAnsi="方正小标宋_GBK" w:eastAsia="方正小标宋_GBK" w:cs="方正小标宋_GBK"/>
              <w:b/>
              <w:szCs w:val="32"/>
            </w:rPr>
            <w:instrText xml:space="preserve"> HYPERLINK \l _Toc13514 </w:instrText>
          </w:r>
          <w:r>
            <w:rPr>
              <w:rFonts w:hint="eastAsia" w:ascii="方正小标宋_GBK" w:hAnsi="方正小标宋_GBK" w:eastAsia="方正小标宋_GBK" w:cs="方正小标宋_GBK"/>
              <w:b/>
              <w:szCs w:val="32"/>
            </w:rPr>
            <w:fldChar w:fldCharType="separate"/>
          </w:r>
          <w:r>
            <w:rPr>
              <w:rFonts w:hint="eastAsia" w:ascii="方正小标宋_GBK" w:hAnsi="方正小标宋_GBK" w:eastAsia="方正小标宋_GBK" w:cs="方正小标宋_GBK"/>
              <w:b/>
              <w:szCs w:val="32"/>
            </w:rPr>
            <w:t xml:space="preserve">第一部分 </w:t>
          </w:r>
          <w:r>
            <w:rPr>
              <w:rFonts w:hint="eastAsia" w:ascii="方正小标宋_GBK" w:hAnsi="方正小标宋_GBK" w:eastAsia="方正小标宋_GBK" w:cs="方正小标宋_GBK"/>
              <w:b/>
              <w:bCs w:val="0"/>
              <w:szCs w:val="32"/>
            </w:rPr>
            <w:t>部门概况</w:t>
          </w:r>
          <w:r>
            <w:rPr>
              <w:b/>
            </w:rPr>
            <w:tab/>
          </w:r>
          <w:r>
            <w:rPr>
              <w:b/>
            </w:rPr>
            <w:fldChar w:fldCharType="begin"/>
          </w:r>
          <w:r>
            <w:rPr>
              <w:b/>
            </w:rPr>
            <w:instrText xml:space="preserve"> PAGEREF _Toc13514 \h </w:instrText>
          </w:r>
          <w:r>
            <w:rPr>
              <w:b/>
            </w:rPr>
            <w:fldChar w:fldCharType="separate"/>
          </w:r>
          <w:r>
            <w:rPr>
              <w:b/>
            </w:rPr>
            <w:t>1</w:t>
          </w:r>
          <w:r>
            <w:rPr>
              <w:b/>
            </w:rPr>
            <w:fldChar w:fldCharType="end"/>
          </w:r>
          <w:r>
            <w:rPr>
              <w:rFonts w:hint="eastAsia" w:ascii="方正小标宋_GBK" w:hAnsi="方正小标宋_GBK" w:eastAsia="方正小标宋_GBK" w:cs="方正小标宋_GBK"/>
              <w:b/>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_Toc2791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一、</w:t>
          </w:r>
          <w:r>
            <w:rPr>
              <w:rFonts w:hint="eastAsia" w:ascii="黑体" w:hAnsi="黑体" w:eastAsia="黑体" w:cs="黑体"/>
              <w:bCs/>
              <w:snapToGrid w:val="0"/>
              <w:szCs w:val="30"/>
              <w:shd w:val="clear" w:fill="FFFFFF"/>
              <w:lang w:eastAsia="zh-CN"/>
            </w:rPr>
            <w:t>基本职能及主要工作</w:t>
          </w:r>
          <w:r>
            <w:tab/>
          </w:r>
          <w:r>
            <w:fldChar w:fldCharType="begin"/>
          </w:r>
          <w:r>
            <w:instrText xml:space="preserve"> PAGEREF _Toc2791 \h </w:instrText>
          </w:r>
          <w:r>
            <w:fldChar w:fldCharType="separate"/>
          </w:r>
          <w:r>
            <w:t>1</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_Toc16570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kern w:val="2"/>
              <w:szCs w:val="30"/>
              <w:shd w:val="clear" w:fill="FFFFFF"/>
              <w:lang w:val="en-US" w:eastAsia="zh-CN" w:bidi="ar-SA"/>
            </w:rPr>
            <w:t>二、机构设置</w:t>
          </w:r>
          <w:r>
            <w:tab/>
          </w:r>
          <w:r>
            <w:fldChar w:fldCharType="begin"/>
          </w:r>
          <w:r>
            <w:instrText xml:space="preserve"> PAGEREF _Toc16570 \h </w:instrText>
          </w:r>
          <w:r>
            <w:fldChar w:fldCharType="separate"/>
          </w:r>
          <w:r>
            <w:t>1</w:t>
          </w:r>
          <w:r>
            <w:fldChar w:fldCharType="end"/>
          </w:r>
          <w:r>
            <w:rPr>
              <w:rFonts w:hint="eastAsia" w:ascii="方正小标宋_GBK" w:hAnsi="方正小标宋_GBK" w:eastAsia="方正小标宋_GBK" w:cs="方正小标宋_GBK"/>
              <w:szCs w:val="32"/>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rPr>
              <w:b/>
            </w:rPr>
          </w:pPr>
          <w:r>
            <w:rPr>
              <w:rFonts w:hint="eastAsia" w:ascii="方正小标宋_GBK" w:hAnsi="方正小标宋_GBK" w:eastAsia="方正小标宋_GBK" w:cs="方正小标宋_GBK"/>
              <w:b/>
              <w:szCs w:val="32"/>
            </w:rPr>
            <w:fldChar w:fldCharType="begin"/>
          </w:r>
          <w:r>
            <w:rPr>
              <w:rFonts w:hint="eastAsia" w:ascii="方正小标宋_GBK" w:hAnsi="方正小标宋_GBK" w:eastAsia="方正小标宋_GBK" w:cs="方正小标宋_GBK"/>
              <w:b/>
              <w:szCs w:val="32"/>
            </w:rPr>
            <w:instrText xml:space="preserve"> HYPERLINK \l _Toc28621 </w:instrText>
          </w:r>
          <w:r>
            <w:rPr>
              <w:rFonts w:hint="eastAsia" w:ascii="方正小标宋_GBK" w:hAnsi="方正小标宋_GBK" w:eastAsia="方正小标宋_GBK" w:cs="方正小标宋_GBK"/>
              <w:b/>
              <w:szCs w:val="32"/>
            </w:rPr>
            <w:fldChar w:fldCharType="separate"/>
          </w:r>
          <w:r>
            <w:rPr>
              <w:rFonts w:hint="eastAsia" w:ascii="方正小标宋_GBK" w:hAnsi="方正小标宋_GBK" w:eastAsia="方正小标宋_GBK" w:cs="方正小标宋_GBK"/>
              <w:b/>
              <w:bCs w:val="0"/>
              <w:szCs w:val="32"/>
            </w:rPr>
            <w:t>第二部分 2022年度部门决算情况说明</w:t>
          </w:r>
          <w:r>
            <w:rPr>
              <w:b/>
            </w:rPr>
            <w:tab/>
          </w:r>
          <w:r>
            <w:rPr>
              <w:b/>
            </w:rPr>
            <w:fldChar w:fldCharType="begin"/>
          </w:r>
          <w:r>
            <w:rPr>
              <w:b/>
            </w:rPr>
            <w:instrText xml:space="preserve"> PAGEREF _Toc28621 \h </w:instrText>
          </w:r>
          <w:r>
            <w:rPr>
              <w:b/>
            </w:rPr>
            <w:fldChar w:fldCharType="separate"/>
          </w:r>
          <w:r>
            <w:rPr>
              <w:b/>
            </w:rPr>
            <w:t>2</w:t>
          </w:r>
          <w:r>
            <w:rPr>
              <w:b/>
            </w:rPr>
            <w:fldChar w:fldCharType="end"/>
          </w:r>
          <w:r>
            <w:rPr>
              <w:rFonts w:hint="eastAsia" w:ascii="方正小标宋_GBK" w:hAnsi="方正小标宋_GBK" w:eastAsia="方正小标宋_GBK" w:cs="方正小标宋_GBK"/>
              <w:b/>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_Toc23263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一、收入支出决算总体情况说明</w:t>
          </w:r>
          <w:r>
            <w:tab/>
          </w:r>
          <w:r>
            <w:fldChar w:fldCharType="begin"/>
          </w:r>
          <w:r>
            <w:instrText xml:space="preserve"> PAGEREF _Toc23263 \h </w:instrText>
          </w:r>
          <w:r>
            <w:fldChar w:fldCharType="separate"/>
          </w:r>
          <w:r>
            <w:t>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_Toc22074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二、收入决算情况说明</w:t>
          </w:r>
          <w:r>
            <w:tab/>
          </w:r>
          <w:r>
            <w:fldChar w:fldCharType="begin"/>
          </w:r>
          <w:r>
            <w:instrText xml:space="preserve"> PAGEREF _Toc22074 \h </w:instrText>
          </w:r>
          <w:r>
            <w:fldChar w:fldCharType="separate"/>
          </w:r>
          <w:r>
            <w:t>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_Toc2383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三、支出决算情况说明</w:t>
          </w:r>
          <w:r>
            <w:tab/>
          </w:r>
          <w:r>
            <w:fldChar w:fldCharType="begin"/>
          </w:r>
          <w:r>
            <w:instrText xml:space="preserve"> PAGEREF _Toc2383 \h </w:instrText>
          </w:r>
          <w:r>
            <w:fldChar w:fldCharType="separate"/>
          </w:r>
          <w:r>
            <w:t>3</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_Toc20194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kern w:val="2"/>
              <w:szCs w:val="30"/>
              <w:shd w:val="clear" w:fill="FFFFFF"/>
              <w:lang w:val="en-US" w:eastAsia="zh-CN" w:bidi="ar-SA"/>
            </w:rPr>
            <w:t>四、财政拨款收入支出决算总体情况说明</w:t>
          </w:r>
          <w:r>
            <w:tab/>
          </w:r>
          <w:r>
            <w:fldChar w:fldCharType="begin"/>
          </w:r>
          <w:r>
            <w:instrText xml:space="preserve"> PAGEREF _Toc20194 \h </w:instrText>
          </w:r>
          <w:r>
            <w:fldChar w:fldCharType="separate"/>
          </w:r>
          <w:r>
            <w:t>4</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_Toc31600 </w:instrText>
          </w:r>
          <w:r>
            <w:rPr>
              <w:rFonts w:hint="eastAsia" w:ascii="方正小标宋_GBK" w:hAnsi="方正小标宋_GBK" w:eastAsia="方正小标宋_GBK" w:cs="方正小标宋_GBK"/>
              <w:szCs w:val="32"/>
            </w:rP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_Toc31600 \h </w:instrText>
          </w:r>
          <w:r>
            <w:fldChar w:fldCharType="separate"/>
          </w:r>
          <w:r>
            <w:t>4</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_Toc7187 </w:instrText>
          </w:r>
          <w:r>
            <w:rPr>
              <w:rFonts w:hint="eastAsia" w:ascii="方正小标宋_GBK" w:hAnsi="方正小标宋_GBK" w:eastAsia="方正小标宋_GBK" w:cs="方正小标宋_GBK"/>
              <w:szCs w:val="32"/>
            </w:rPr>
            <w:fldChar w:fldCharType="separate"/>
          </w:r>
          <w:r>
            <w:rPr>
              <w:rFonts w:hint="eastAsia" w:ascii="黑体" w:eastAsia="黑体"/>
            </w:rPr>
            <w:t xml:space="preserve">六、 </w:t>
          </w:r>
          <w:r>
            <w:rPr>
              <w:rFonts w:hint="eastAsia" w:ascii="黑体" w:eastAsia="黑体"/>
              <w:szCs w:val="32"/>
            </w:rPr>
            <w:t>一</w:t>
          </w:r>
          <w:r>
            <w:rPr>
              <w:rFonts w:hint="eastAsia" w:ascii="黑体" w:eastAsia="黑体"/>
            </w:rPr>
            <w:t>般公共预算财政拨款基本支出决算情况说明</w:t>
          </w:r>
          <w:r>
            <w:tab/>
          </w:r>
          <w:r>
            <w:fldChar w:fldCharType="begin"/>
          </w:r>
          <w:r>
            <w:instrText xml:space="preserve"> PAGEREF _Toc7187 \h </w:instrText>
          </w:r>
          <w:r>
            <w:fldChar w:fldCharType="separate"/>
          </w:r>
          <w:r>
            <w:t>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_Toc18987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szCs w:val="32"/>
            </w:rPr>
            <w:t>七、</w:t>
          </w:r>
          <w:r>
            <w:rPr>
              <w:rFonts w:hint="eastAsia" w:ascii="黑体" w:hAnsi="黑体" w:eastAsia="黑体" w:cs="黑体"/>
            </w:rPr>
            <w:t>财政拨款“三公”经费支出决算情况说明</w:t>
          </w:r>
          <w:r>
            <w:tab/>
          </w:r>
          <w:r>
            <w:fldChar w:fldCharType="begin"/>
          </w:r>
          <w:r>
            <w:instrText xml:space="preserve"> PAGEREF _Toc18987 \h </w:instrText>
          </w:r>
          <w:r>
            <w:fldChar w:fldCharType="separate"/>
          </w:r>
          <w:r>
            <w:t>7</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_Toc31277 </w:instrText>
          </w:r>
          <w:r>
            <w:rPr>
              <w:rFonts w:hint="eastAsia" w:ascii="方正小标宋_GBK" w:hAnsi="方正小标宋_GBK" w:eastAsia="方正小标宋_GBK" w:cs="方正小标宋_GBK"/>
              <w:szCs w:val="32"/>
            </w:rP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_Toc31277 \h </w:instrText>
          </w:r>
          <w:r>
            <w:fldChar w:fldCharType="separate"/>
          </w:r>
          <w:r>
            <w:t>8</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_Toc4668 </w:instrText>
          </w:r>
          <w:r>
            <w:rPr>
              <w:rFonts w:hint="eastAsia" w:ascii="方正小标宋_GBK" w:hAnsi="方正小标宋_GBK" w:eastAsia="方正小标宋_GBK" w:cs="方正小标宋_GBK"/>
              <w:szCs w:val="32"/>
            </w:rPr>
            <w:fldChar w:fldCharType="separate"/>
          </w:r>
          <w:r>
            <w:rPr>
              <w:rFonts w:hint="eastAsia" w:ascii="黑体" w:eastAsia="黑体"/>
            </w:rPr>
            <w:t>九、 国有资本经营预算支出决算情况说明</w:t>
          </w:r>
          <w:r>
            <w:tab/>
          </w:r>
          <w:r>
            <w:fldChar w:fldCharType="begin"/>
          </w:r>
          <w:r>
            <w:instrText xml:space="preserve"> PAGEREF _Toc4668 \h </w:instrText>
          </w:r>
          <w:r>
            <w:fldChar w:fldCharType="separate"/>
          </w:r>
          <w:r>
            <w:t>8</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_Toc3328 </w:instrText>
          </w:r>
          <w:r>
            <w:rPr>
              <w:rFonts w:hint="eastAsia" w:ascii="方正小标宋_GBK" w:hAnsi="方正小标宋_GBK" w:eastAsia="方正小标宋_GBK" w:cs="方正小标宋_GBK"/>
              <w:szCs w:val="32"/>
            </w:rPr>
            <w:fldChar w:fldCharType="separate"/>
          </w:r>
          <w:r>
            <w:rPr>
              <w:rFonts w:hint="eastAsia" w:ascii="黑体" w:eastAsia="黑体"/>
            </w:rPr>
            <w:t>十、 其他重要事项的情况说明</w:t>
          </w:r>
          <w:r>
            <w:tab/>
          </w:r>
          <w:r>
            <w:fldChar w:fldCharType="begin"/>
          </w:r>
          <w:r>
            <w:instrText xml:space="preserve"> PAGEREF _Toc3328 \h </w:instrText>
          </w:r>
          <w:r>
            <w:fldChar w:fldCharType="separate"/>
          </w:r>
          <w:r>
            <w:t>8</w:t>
          </w:r>
          <w:r>
            <w:fldChar w:fldCharType="end"/>
          </w:r>
          <w:r>
            <w:rPr>
              <w:rFonts w:hint="eastAsia" w:ascii="方正小标宋_GBK" w:hAnsi="方正小标宋_GBK" w:eastAsia="方正小标宋_GBK" w:cs="方正小标宋_GBK"/>
              <w:szCs w:val="32"/>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rPr>
              <w:b/>
            </w:rPr>
          </w:pPr>
          <w:r>
            <w:rPr>
              <w:rFonts w:hint="eastAsia" w:ascii="方正小标宋_GBK" w:hAnsi="方正小标宋_GBK" w:eastAsia="方正小标宋_GBK" w:cs="方正小标宋_GBK"/>
              <w:b/>
              <w:szCs w:val="32"/>
            </w:rPr>
            <w:fldChar w:fldCharType="begin"/>
          </w:r>
          <w:r>
            <w:rPr>
              <w:rFonts w:hint="eastAsia" w:ascii="方正小标宋_GBK" w:hAnsi="方正小标宋_GBK" w:eastAsia="方正小标宋_GBK" w:cs="方正小标宋_GBK"/>
              <w:b/>
              <w:szCs w:val="32"/>
            </w:rPr>
            <w:instrText xml:space="preserve"> HYPERLINK \l _Toc25169 </w:instrText>
          </w:r>
          <w:r>
            <w:rPr>
              <w:rFonts w:hint="eastAsia" w:ascii="方正小标宋_GBK" w:hAnsi="方正小标宋_GBK" w:eastAsia="方正小标宋_GBK" w:cs="方正小标宋_GBK"/>
              <w:b/>
              <w:szCs w:val="32"/>
            </w:rPr>
            <w:fldChar w:fldCharType="separate"/>
          </w:r>
          <w:r>
            <w:rPr>
              <w:rFonts w:hint="eastAsia" w:ascii="黑体" w:eastAsia="黑体"/>
              <w:b/>
              <w:szCs w:val="44"/>
              <w:lang w:val="en-US" w:eastAsia="zh-CN"/>
            </w:rPr>
            <w:t xml:space="preserve">第三部分 </w:t>
          </w:r>
          <w:r>
            <w:rPr>
              <w:rFonts w:hint="eastAsia" w:ascii="黑体" w:eastAsia="黑体"/>
              <w:b/>
              <w:szCs w:val="44"/>
            </w:rPr>
            <w:t>名</w:t>
          </w:r>
          <w:r>
            <w:rPr>
              <w:rFonts w:hint="eastAsia" w:ascii="黑体" w:eastAsia="黑体"/>
              <w:b/>
            </w:rPr>
            <w:t>词解释</w:t>
          </w:r>
          <w:r>
            <w:rPr>
              <w:b/>
            </w:rPr>
            <w:tab/>
          </w:r>
          <w:r>
            <w:rPr>
              <w:b/>
            </w:rPr>
            <w:fldChar w:fldCharType="begin"/>
          </w:r>
          <w:r>
            <w:rPr>
              <w:b/>
            </w:rPr>
            <w:instrText xml:space="preserve"> PAGEREF _Toc25169 \h </w:instrText>
          </w:r>
          <w:r>
            <w:rPr>
              <w:b/>
            </w:rPr>
            <w:fldChar w:fldCharType="separate"/>
          </w:r>
          <w:r>
            <w:rPr>
              <w:b/>
            </w:rPr>
            <w:t>10</w:t>
          </w:r>
          <w:r>
            <w:rPr>
              <w:b/>
            </w:rPr>
            <w:fldChar w:fldCharType="end"/>
          </w:r>
          <w:r>
            <w:rPr>
              <w:rFonts w:hint="eastAsia" w:ascii="方正小标宋_GBK" w:hAnsi="方正小标宋_GBK" w:eastAsia="方正小标宋_GBK" w:cs="方正小标宋_GBK"/>
              <w:b/>
              <w:szCs w:val="32"/>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rPr>
              <w:b/>
            </w:rPr>
          </w:pPr>
          <w:r>
            <w:rPr>
              <w:rFonts w:hint="eastAsia" w:ascii="方正小标宋_GBK" w:hAnsi="方正小标宋_GBK" w:eastAsia="方正小标宋_GBK" w:cs="方正小标宋_GBK"/>
              <w:b/>
              <w:szCs w:val="32"/>
            </w:rPr>
            <w:fldChar w:fldCharType="begin"/>
          </w:r>
          <w:r>
            <w:rPr>
              <w:rFonts w:hint="eastAsia" w:ascii="方正小标宋_GBK" w:hAnsi="方正小标宋_GBK" w:eastAsia="方正小标宋_GBK" w:cs="方正小标宋_GBK"/>
              <w:b/>
              <w:szCs w:val="32"/>
            </w:rPr>
            <w:instrText xml:space="preserve"> HYPERLINK \l _Toc9781 </w:instrText>
          </w:r>
          <w:r>
            <w:rPr>
              <w:rFonts w:hint="eastAsia" w:ascii="方正小标宋_GBK" w:hAnsi="方正小标宋_GBK" w:eastAsia="方正小标宋_GBK" w:cs="方正小标宋_GBK"/>
              <w:b/>
              <w:szCs w:val="32"/>
            </w:rPr>
            <w:fldChar w:fldCharType="separate"/>
          </w:r>
          <w:r>
            <w:rPr>
              <w:rFonts w:hint="eastAsia" w:ascii="黑体" w:eastAsia="黑体"/>
              <w:b/>
              <w:szCs w:val="44"/>
            </w:rPr>
            <w:t>第</w:t>
          </w:r>
          <w:r>
            <w:rPr>
              <w:rFonts w:hint="eastAsia" w:ascii="黑体" w:eastAsia="黑体"/>
              <w:b/>
            </w:rPr>
            <w:t>四部分 附件</w:t>
          </w:r>
          <w:r>
            <w:rPr>
              <w:b/>
            </w:rPr>
            <w:tab/>
          </w:r>
          <w:r>
            <w:rPr>
              <w:b/>
            </w:rPr>
            <w:fldChar w:fldCharType="begin"/>
          </w:r>
          <w:r>
            <w:rPr>
              <w:b/>
            </w:rPr>
            <w:instrText xml:space="preserve"> PAGEREF _Toc9781 \h </w:instrText>
          </w:r>
          <w:r>
            <w:rPr>
              <w:b/>
            </w:rPr>
            <w:fldChar w:fldCharType="separate"/>
          </w:r>
          <w:r>
            <w:rPr>
              <w:b/>
            </w:rPr>
            <w:t>12</w:t>
          </w:r>
          <w:r>
            <w:rPr>
              <w:b/>
            </w:rPr>
            <w:fldChar w:fldCharType="end"/>
          </w:r>
          <w:r>
            <w:rPr>
              <w:rFonts w:hint="eastAsia" w:ascii="方正小标宋_GBK" w:hAnsi="方正小标宋_GBK" w:eastAsia="方正小标宋_GBK" w:cs="方正小标宋_GBK"/>
              <w:b/>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ind w:firstLine="200" w:firstLineChars="100"/>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_Toc4338 </w:instrText>
          </w:r>
          <w:r>
            <w:rPr>
              <w:rFonts w:hint="eastAsia" w:ascii="方正小标宋_GBK" w:hAnsi="方正小标宋_GBK" w:eastAsia="方正小标宋_GBK" w:cs="方正小标宋_GBK"/>
              <w:szCs w:val="32"/>
            </w:rPr>
            <w:fldChar w:fldCharType="separate"/>
          </w:r>
          <w:r>
            <w:rPr>
              <w:rFonts w:hint="eastAsia" w:ascii="黑体" w:eastAsia="黑体" w:cs="黑体"/>
              <w:szCs w:val="32"/>
            </w:rPr>
            <w:t>附件</w:t>
          </w:r>
          <w:r>
            <w:rPr>
              <w:rFonts w:hint="eastAsia" w:ascii="黑体" w:eastAsia="黑体" w:cs="黑体"/>
              <w:szCs w:val="32"/>
              <w:lang w:val="en-US" w:eastAsia="zh-CN"/>
            </w:rPr>
            <w:t>1</w:t>
          </w:r>
          <w:r>
            <w:tab/>
          </w:r>
          <w:r>
            <w:fldChar w:fldCharType="begin"/>
          </w:r>
          <w:r>
            <w:instrText xml:space="preserve"> PAGEREF _Toc4338 \h </w:instrText>
          </w:r>
          <w:r>
            <w:fldChar w:fldCharType="separate"/>
          </w:r>
          <w:r>
            <w:t>12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_Toc26545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val="0"/>
              <w:kern w:val="0"/>
              <w:szCs w:val="32"/>
              <w:shd w:val="clear" w:color="auto" w:fill="FFFFFF"/>
            </w:rPr>
            <w:t>一、</w:t>
          </w:r>
          <w:r>
            <w:rPr>
              <w:rFonts w:hint="eastAsia" w:ascii="黑体" w:hAnsi="黑体" w:eastAsia="黑体" w:cs="黑体"/>
              <w:bCs w:val="0"/>
              <w:kern w:val="0"/>
              <w:szCs w:val="32"/>
              <w:shd w:val="clear" w:color="auto" w:fill="FFFFFF"/>
              <w:lang w:val="zh-CN"/>
            </w:rPr>
            <w:t>部门概况</w:t>
          </w:r>
          <w:r>
            <w:tab/>
          </w:r>
          <w:r>
            <w:fldChar w:fldCharType="begin"/>
          </w:r>
          <w:r>
            <w:instrText xml:space="preserve"> PAGEREF _Toc26545 \h </w:instrText>
          </w:r>
          <w:r>
            <w:fldChar w:fldCharType="separate"/>
          </w:r>
          <w:r>
            <w:t>12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_Toc16583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bCs/>
              <w:kern w:val="0"/>
              <w:szCs w:val="32"/>
              <w:shd w:val="clear" w:color="auto" w:fill="FFFFFF"/>
              <w:lang w:val="en-US" w:eastAsia="zh-CN"/>
            </w:rPr>
            <w:t>二</w:t>
          </w:r>
          <w:r>
            <w:rPr>
              <w:rFonts w:hint="eastAsia" w:ascii="仿宋_GB2312" w:hAnsi="仿宋_GB2312" w:eastAsia="仿宋_GB2312" w:cs="仿宋_GB2312"/>
              <w:bCs/>
              <w:kern w:val="0"/>
              <w:szCs w:val="32"/>
              <w:shd w:val="clear" w:color="auto" w:fill="FFFFFF"/>
            </w:rPr>
            <w:t>、部门整体预算绩效管理情况</w:t>
          </w:r>
          <w:r>
            <w:tab/>
          </w:r>
          <w:r>
            <w:fldChar w:fldCharType="begin"/>
          </w:r>
          <w:r>
            <w:instrText xml:space="preserve"> PAGEREF _Toc16583 \h </w:instrText>
          </w:r>
          <w:r>
            <w:fldChar w:fldCharType="separate"/>
          </w:r>
          <w:r>
            <w:t>14</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_Toc24098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bCs/>
              <w:kern w:val="0"/>
              <w:szCs w:val="32"/>
              <w:shd w:val="clear" w:color="auto" w:fill="FFFFFF"/>
              <w:lang w:val="en-US" w:eastAsia="zh-CN"/>
            </w:rPr>
            <w:t>三、</w:t>
          </w:r>
          <w:r>
            <w:rPr>
              <w:rFonts w:hint="eastAsia" w:ascii="仿宋_GB2312" w:hAnsi="仿宋_GB2312" w:eastAsia="仿宋_GB2312" w:cs="仿宋_GB2312"/>
              <w:bCs/>
              <w:kern w:val="0"/>
              <w:szCs w:val="32"/>
              <w:shd w:val="clear" w:color="auto" w:fill="FFFFFF"/>
            </w:rPr>
            <w:t>评价结论及建议</w:t>
          </w:r>
          <w:r>
            <w:tab/>
          </w:r>
          <w:r>
            <w:fldChar w:fldCharType="begin"/>
          </w:r>
          <w:r>
            <w:instrText xml:space="preserve"> PAGEREF _Toc24098 \h </w:instrText>
          </w:r>
          <w:r>
            <w:fldChar w:fldCharType="separate"/>
          </w:r>
          <w:r>
            <w:t>15</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_Toc20764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bCs/>
              <w:szCs w:val="30"/>
              <w:lang w:val="en-US" w:eastAsia="zh-CN"/>
            </w:rPr>
            <w:t>附件2</w:t>
          </w:r>
          <w:r>
            <w:tab/>
          </w:r>
          <w:r>
            <w:fldChar w:fldCharType="begin"/>
          </w:r>
          <w:r>
            <w:instrText xml:space="preserve"> PAGEREF _Toc20764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_Toc18872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eastAsia="zh-CN"/>
            </w:rPr>
            <w:t>一、项目概况</w:t>
          </w:r>
          <w:r>
            <w:tab/>
          </w:r>
          <w:r>
            <w:fldChar w:fldCharType="begin"/>
          </w:r>
          <w:r>
            <w:instrText xml:space="preserve"> PAGEREF _Toc18872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_Toc4922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szCs w:val="30"/>
              <w:shd w:val="clear" w:fill="FFFFFF"/>
              <w:lang w:eastAsia="zh-CN"/>
            </w:rPr>
            <w:t>（一）项目基本情况。</w:t>
          </w:r>
          <w:r>
            <w:tab/>
          </w:r>
          <w:r>
            <w:fldChar w:fldCharType="begin"/>
          </w:r>
          <w:r>
            <w:instrText xml:space="preserve"> PAGEREF _Toc4922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_Toc25830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二、</w:t>
          </w:r>
          <w:r>
            <w:rPr>
              <w:rFonts w:hint="eastAsia" w:ascii="黑体" w:hAnsi="黑体" w:eastAsia="黑体" w:cs="黑体"/>
              <w:bCs/>
              <w:snapToGrid w:val="0"/>
              <w:szCs w:val="30"/>
              <w:shd w:val="clear" w:fill="FFFFFF"/>
              <w:lang w:eastAsia="zh-CN"/>
            </w:rPr>
            <w:t>项目资金申报及使用情况</w:t>
          </w:r>
          <w:r>
            <w:tab/>
          </w:r>
          <w:r>
            <w:fldChar w:fldCharType="begin"/>
          </w:r>
          <w:r>
            <w:instrText xml:space="preserve"> PAGEREF _Toc25830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_Toc19641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szCs w:val="30"/>
              <w:shd w:val="clear" w:fill="FFFFFF"/>
              <w:lang w:eastAsia="zh-CN"/>
            </w:rPr>
            <w:t>（一）项目资金申报及批复情况。</w:t>
          </w:r>
          <w:r>
            <w:tab/>
          </w:r>
          <w:r>
            <w:fldChar w:fldCharType="begin"/>
          </w:r>
          <w:r>
            <w:instrText xml:space="preserve"> PAGEREF _Toc19641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_Toc7868 </w:instrText>
          </w:r>
          <w:r>
            <w:rPr>
              <w:rFonts w:hint="eastAsia" w:ascii="方正小标宋_GBK" w:hAnsi="方正小标宋_GBK" w:eastAsia="方正小标宋_GBK" w:cs="方正小标宋_GBK"/>
              <w:szCs w:val="32"/>
            </w:rPr>
            <w:fldChar w:fldCharType="separate"/>
          </w:r>
          <w:r>
            <w:rPr>
              <w:rFonts w:hint="eastAsia" w:ascii="仿宋_GB2312" w:hAnsi="仿宋_GB2312" w:eastAsia="仿宋_GB2312" w:cs="仿宋_GB2312"/>
              <w:szCs w:val="30"/>
              <w:shd w:val="clear" w:fill="FFFFFF"/>
              <w:lang w:eastAsia="zh-CN"/>
            </w:rPr>
            <w:t>（</w:t>
          </w:r>
          <w:r>
            <w:rPr>
              <w:rFonts w:hint="eastAsia" w:ascii="仿宋_GB2312" w:hAnsi="仿宋_GB2312" w:eastAsia="仿宋_GB2312" w:cs="仿宋_GB2312"/>
              <w:szCs w:val="30"/>
              <w:shd w:val="clear" w:fill="FFFFFF"/>
              <w:lang w:val="en-US" w:eastAsia="zh-CN"/>
            </w:rPr>
            <w:t>二</w:t>
          </w:r>
          <w:r>
            <w:rPr>
              <w:rFonts w:hint="eastAsia" w:ascii="仿宋_GB2312" w:hAnsi="仿宋_GB2312" w:eastAsia="仿宋_GB2312" w:cs="仿宋_GB2312"/>
              <w:szCs w:val="30"/>
              <w:shd w:val="clear" w:fill="FFFFFF"/>
              <w:lang w:eastAsia="zh-CN"/>
            </w:rPr>
            <w:t>）资金计划、到位及使用情况。</w:t>
          </w:r>
          <w:r>
            <w:tab/>
          </w:r>
          <w:r>
            <w:fldChar w:fldCharType="begin"/>
          </w:r>
          <w:r>
            <w:instrText xml:space="preserve"> PAGEREF _Toc7868 \h </w:instrText>
          </w:r>
          <w:r>
            <w:fldChar w:fldCharType="separate"/>
          </w:r>
          <w:r>
            <w:t>16</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_Toc22204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三、</w:t>
          </w:r>
          <w:r>
            <w:rPr>
              <w:rFonts w:hint="eastAsia" w:ascii="黑体" w:hAnsi="黑体" w:eastAsia="黑体" w:cs="黑体"/>
              <w:bCs/>
              <w:snapToGrid w:val="0"/>
              <w:szCs w:val="30"/>
              <w:shd w:val="clear" w:fill="FFFFFF"/>
              <w:lang w:eastAsia="zh-CN"/>
            </w:rPr>
            <w:t>项目实施及管理情况</w:t>
          </w:r>
          <w:r>
            <w:tab/>
          </w:r>
          <w:r>
            <w:fldChar w:fldCharType="begin"/>
          </w:r>
          <w:r>
            <w:instrText xml:space="preserve"> PAGEREF _Toc22204 \h </w:instrText>
          </w:r>
          <w:r>
            <w:fldChar w:fldCharType="separate"/>
          </w:r>
          <w:r>
            <w:t>17</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_Toc18188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四、项目绩效情况</w:t>
          </w:r>
          <w:r>
            <w:tab/>
          </w:r>
          <w:r>
            <w:fldChar w:fldCharType="begin"/>
          </w:r>
          <w:r>
            <w:instrText xml:space="preserve"> PAGEREF _Toc18188 \h </w:instrText>
          </w:r>
          <w:r>
            <w:fldChar w:fldCharType="separate"/>
          </w:r>
          <w:r>
            <w:t>17</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_Toc19985 </w:instrText>
          </w:r>
          <w:r>
            <w:rPr>
              <w:rFonts w:hint="eastAsia" w:ascii="方正小标宋_GBK" w:hAnsi="方正小标宋_GBK" w:eastAsia="方正小标宋_GBK" w:cs="方正小标宋_GBK"/>
              <w:szCs w:val="32"/>
            </w:rPr>
            <w:fldChar w:fldCharType="separate"/>
          </w:r>
          <w:r>
            <w:rPr>
              <w:rFonts w:hint="eastAsia" w:ascii="黑体" w:hAnsi="黑体" w:eastAsia="黑体" w:cs="黑体"/>
              <w:bCs/>
              <w:snapToGrid w:val="0"/>
              <w:szCs w:val="30"/>
              <w:shd w:val="clear" w:fill="FFFFFF"/>
              <w:lang w:val="en-US" w:eastAsia="zh-CN"/>
            </w:rPr>
            <w:t>五、评价结论及建议</w:t>
          </w:r>
          <w:r>
            <w:tab/>
          </w:r>
          <w:r>
            <w:fldChar w:fldCharType="begin"/>
          </w:r>
          <w:r>
            <w:instrText xml:space="preserve"> PAGEREF _Toc19985 \h </w:instrText>
          </w:r>
          <w:r>
            <w:fldChar w:fldCharType="separate"/>
          </w:r>
          <w:r>
            <w:t>18</w:t>
          </w:r>
          <w:r>
            <w:fldChar w:fldCharType="end"/>
          </w:r>
          <w:r>
            <w:rPr>
              <w:rFonts w:hint="eastAsia" w:ascii="方正小标宋_GBK" w:hAnsi="方正小标宋_GBK" w:eastAsia="方正小标宋_GBK" w:cs="方正小标宋_GBK"/>
              <w:szCs w:val="32"/>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rPr>
              <w:b/>
            </w:rPr>
          </w:pPr>
          <w:r>
            <w:rPr>
              <w:rFonts w:hint="eastAsia" w:ascii="方正小标宋_GBK" w:hAnsi="方正小标宋_GBK" w:eastAsia="方正小标宋_GBK" w:cs="方正小标宋_GBK"/>
              <w:b/>
              <w:szCs w:val="32"/>
            </w:rPr>
            <w:fldChar w:fldCharType="begin"/>
          </w:r>
          <w:r>
            <w:rPr>
              <w:rFonts w:hint="eastAsia" w:ascii="方正小标宋_GBK" w:hAnsi="方正小标宋_GBK" w:eastAsia="方正小标宋_GBK" w:cs="方正小标宋_GBK"/>
              <w:b/>
              <w:szCs w:val="32"/>
            </w:rPr>
            <w:instrText xml:space="preserve"> HYPERLINK \l _Toc30306 </w:instrText>
          </w:r>
          <w:r>
            <w:rPr>
              <w:rFonts w:hint="eastAsia" w:ascii="方正小标宋_GBK" w:hAnsi="方正小标宋_GBK" w:eastAsia="方正小标宋_GBK" w:cs="方正小标宋_GBK"/>
              <w:b/>
              <w:szCs w:val="32"/>
            </w:rPr>
            <w:fldChar w:fldCharType="separate"/>
          </w:r>
          <w:r>
            <w:rPr>
              <w:rFonts w:hint="eastAsia" w:ascii="黑体" w:eastAsia="黑体"/>
              <w:b/>
              <w:szCs w:val="44"/>
            </w:rPr>
            <w:t>第</w:t>
          </w:r>
          <w:r>
            <w:rPr>
              <w:rFonts w:hint="eastAsia" w:ascii="黑体" w:eastAsia="黑体"/>
              <w:b/>
            </w:rPr>
            <w:t>五部分 附表</w:t>
          </w:r>
          <w:r>
            <w:rPr>
              <w:b/>
            </w:rPr>
            <w:tab/>
          </w:r>
          <w:r>
            <w:rPr>
              <w:b/>
            </w:rPr>
            <w:fldChar w:fldCharType="begin"/>
          </w:r>
          <w:r>
            <w:rPr>
              <w:b/>
            </w:rPr>
            <w:instrText xml:space="preserve"> PAGEREF _Toc30306 \h </w:instrText>
          </w:r>
          <w:r>
            <w:rPr>
              <w:b/>
            </w:rPr>
            <w:fldChar w:fldCharType="separate"/>
          </w:r>
          <w:r>
            <w:rPr>
              <w:b/>
            </w:rPr>
            <w:t>22</w:t>
          </w:r>
          <w:r>
            <w:rPr>
              <w:b/>
            </w:rPr>
            <w:fldChar w:fldCharType="end"/>
          </w:r>
          <w:r>
            <w:rPr>
              <w:rFonts w:hint="eastAsia" w:ascii="方正小标宋_GBK" w:hAnsi="方正小标宋_GBK" w:eastAsia="方正小标宋_GBK" w:cs="方正小标宋_GBK"/>
              <w:b/>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_Toc17086 </w:instrText>
          </w:r>
          <w:r>
            <w:rPr>
              <w:rFonts w:hint="eastAsia" w:ascii="方正小标宋_GBK" w:hAnsi="方正小标宋_GBK" w:eastAsia="方正小标宋_GBK" w:cs="方正小标宋_GBK"/>
              <w:szCs w:val="32"/>
            </w:rP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_Toc17086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_Toc21872 </w:instrText>
          </w:r>
          <w:r>
            <w:rPr>
              <w:rFonts w:hint="eastAsia" w:ascii="方正小标宋_GBK" w:hAnsi="方正小标宋_GBK" w:eastAsia="方正小标宋_GBK" w:cs="方正小标宋_GBK"/>
              <w:szCs w:val="32"/>
            </w:rP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_Toc21872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_Toc7930 </w:instrText>
          </w:r>
          <w:r>
            <w:rPr>
              <w:rFonts w:hint="eastAsia" w:ascii="方正小标宋_GBK" w:hAnsi="方正小标宋_GBK" w:eastAsia="方正小标宋_GBK" w:cs="方正小标宋_GBK"/>
              <w:szCs w:val="32"/>
            </w:rP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_Toc7930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_Toc17070 </w:instrText>
          </w:r>
          <w:r>
            <w:rPr>
              <w:rFonts w:hint="eastAsia" w:ascii="方正小标宋_GBK" w:hAnsi="方正小标宋_GBK" w:eastAsia="方正小标宋_GBK" w:cs="方正小标宋_GBK"/>
              <w:szCs w:val="32"/>
            </w:rP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_Toc17070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_Toc1806 </w:instrText>
          </w:r>
          <w:r>
            <w:rPr>
              <w:rFonts w:hint="eastAsia" w:ascii="方正小标宋_GBK" w:hAnsi="方正小标宋_GBK" w:eastAsia="方正小标宋_GBK" w:cs="方正小标宋_GBK"/>
              <w:szCs w:val="32"/>
            </w:rP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_Toc1806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_Toc23082 </w:instrText>
          </w:r>
          <w:r>
            <w:rPr>
              <w:rFonts w:hint="eastAsia" w:ascii="方正小标宋_GBK" w:hAnsi="方正小标宋_GBK" w:eastAsia="方正小标宋_GBK" w:cs="方正小标宋_GBK"/>
              <w:szCs w:val="32"/>
            </w:rP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_Toc23082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_Toc13329 </w:instrText>
          </w:r>
          <w:r>
            <w:rPr>
              <w:rFonts w:hint="eastAsia" w:ascii="方正小标宋_GBK" w:hAnsi="方正小标宋_GBK" w:eastAsia="方正小标宋_GBK" w:cs="方正小标宋_GBK"/>
              <w:szCs w:val="32"/>
            </w:rP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_Toc13329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_Toc20698 </w:instrText>
          </w:r>
          <w:r>
            <w:rPr>
              <w:rFonts w:hint="eastAsia" w:ascii="方正小标宋_GBK" w:hAnsi="方正小标宋_GBK" w:eastAsia="方正小标宋_GBK" w:cs="方正小标宋_GBK"/>
              <w:szCs w:val="32"/>
            </w:rP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_Toc20698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_Toc20084 </w:instrText>
          </w:r>
          <w:r>
            <w:rPr>
              <w:rFonts w:hint="eastAsia" w:ascii="方正小标宋_GBK" w:hAnsi="方正小标宋_GBK" w:eastAsia="方正小标宋_GBK" w:cs="方正小标宋_GBK"/>
              <w:szCs w:val="32"/>
            </w:rP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_Toc20084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_Toc8053 </w:instrText>
          </w:r>
          <w:r>
            <w:rPr>
              <w:rFonts w:hint="eastAsia" w:ascii="方正小标宋_GBK" w:hAnsi="方正小标宋_GBK" w:eastAsia="方正小标宋_GBK" w:cs="方正小标宋_GBK"/>
              <w:szCs w:val="32"/>
            </w:rPr>
            <w:fldChar w:fldCharType="separate"/>
          </w:r>
          <w:r>
            <w:rPr>
              <w:rFonts w:hint="eastAsia" w:ascii="仿宋" w:eastAsia="仿宋"/>
              <w:bCs w:val="0"/>
            </w:rPr>
            <w:t>十、</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_Toc8053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_Toc15860 </w:instrText>
          </w:r>
          <w:r>
            <w:rPr>
              <w:rFonts w:hint="eastAsia" w:ascii="方正小标宋_GBK" w:hAnsi="方正小标宋_GBK" w:eastAsia="方正小标宋_GBK" w:cs="方正小标宋_GBK"/>
              <w:szCs w:val="32"/>
            </w:rPr>
            <w:fldChar w:fldCharType="separate"/>
          </w:r>
          <w:r>
            <w:rPr>
              <w:rFonts w:hint="eastAsia" w:ascii="仿宋" w:eastAsia="仿宋"/>
              <w:bCs w:val="0"/>
            </w:rPr>
            <w:t>十一、</w:t>
          </w:r>
          <w:r>
            <w:rPr>
              <w:rFonts w:hint="eastAsia" w:ascii="仿宋" w:eastAsia="仿宋"/>
            </w:rPr>
            <w:t>国</w:t>
          </w:r>
          <w:r>
            <w:rPr>
              <w:rFonts w:hint="eastAsia" w:ascii="仿宋" w:eastAsia="仿宋"/>
              <w:bCs w:val="0"/>
            </w:rPr>
            <w:t>有资本经营预算财政拨款收入支出决算表</w:t>
          </w:r>
          <w:r>
            <w:tab/>
          </w:r>
          <w:r>
            <w:fldChar w:fldCharType="begin"/>
          </w:r>
          <w:r>
            <w:instrText xml:space="preserve"> PAGEREF _Toc15860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_Toc8480 </w:instrText>
          </w:r>
          <w:r>
            <w:rPr>
              <w:rFonts w:hint="eastAsia" w:ascii="方正小标宋_GBK" w:hAnsi="方正小标宋_GBK" w:eastAsia="方正小标宋_GBK" w:cs="方正小标宋_GBK"/>
              <w:szCs w:val="32"/>
            </w:rPr>
            <w:fldChar w:fldCharType="separate"/>
          </w:r>
          <w:r>
            <w:rPr>
              <w:rFonts w:hint="eastAsia" w:ascii="仿宋" w:eastAsia="仿宋"/>
              <w:bCs w:val="0"/>
            </w:rPr>
            <w:t>十二、国有资本经营预算财政拨款支出决算表</w:t>
          </w:r>
          <w:r>
            <w:tab/>
          </w:r>
          <w:r>
            <w:fldChar w:fldCharType="begin"/>
          </w:r>
          <w:r>
            <w:instrText xml:space="preserve"> PAGEREF _Toc8480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32"/>
            <w:keepNext w:val="0"/>
            <w:keepLines w:val="0"/>
            <w:pageBreakBefore w:val="0"/>
            <w:widowControl/>
            <w:tabs>
              <w:tab w:val="right" w:leader="dot" w:pos="8306"/>
            </w:tabs>
            <w:kinsoku/>
            <w:wordWrap/>
            <w:overflowPunct/>
            <w:topLinePunct w:val="0"/>
            <w:autoSpaceDE/>
            <w:autoSpaceDN/>
            <w:bidi w:val="0"/>
            <w:adjustRightInd/>
            <w:snapToGrid/>
            <w:spacing w:line="450" w:lineRule="exact"/>
            <w:textAlignment w:val="auto"/>
          </w:pPr>
          <w:r>
            <w:rPr>
              <w:rFonts w:hint="eastAsia" w:ascii="方正小标宋_GBK" w:hAnsi="方正小标宋_GBK" w:eastAsia="方正小标宋_GBK" w:cs="方正小标宋_GBK"/>
              <w:szCs w:val="32"/>
            </w:rPr>
            <w:fldChar w:fldCharType="begin"/>
          </w:r>
          <w:r>
            <w:rPr>
              <w:rFonts w:hint="eastAsia" w:ascii="方正小标宋_GBK" w:hAnsi="方正小标宋_GBK" w:eastAsia="方正小标宋_GBK" w:cs="方正小标宋_GBK"/>
              <w:szCs w:val="32"/>
            </w:rPr>
            <w:instrText xml:space="preserve"> HYPERLINK \l _Toc8728 </w:instrText>
          </w:r>
          <w:r>
            <w:rPr>
              <w:rFonts w:hint="eastAsia" w:ascii="方正小标宋_GBK" w:hAnsi="方正小标宋_GBK" w:eastAsia="方正小标宋_GBK" w:cs="方正小标宋_GBK"/>
              <w:szCs w:val="32"/>
            </w:rPr>
            <w:fldChar w:fldCharType="separate"/>
          </w:r>
          <w:r>
            <w:rPr>
              <w:rFonts w:hint="eastAsia" w:ascii="仿宋" w:eastAsia="仿宋"/>
              <w:bCs w:val="0"/>
            </w:rPr>
            <w:t>十三、财政拨款“三公”经费支出决算表</w:t>
          </w:r>
          <w:r>
            <w:tab/>
          </w:r>
          <w:r>
            <w:fldChar w:fldCharType="begin"/>
          </w:r>
          <w:r>
            <w:instrText xml:space="preserve"> PAGEREF _Toc8728 \h </w:instrText>
          </w:r>
          <w:r>
            <w:fldChar w:fldCharType="separate"/>
          </w:r>
          <w:r>
            <w:t>22</w:t>
          </w:r>
          <w:r>
            <w:fldChar w:fldCharType="end"/>
          </w:r>
          <w:r>
            <w:rPr>
              <w:rFonts w:hint="eastAsia" w:ascii="方正小标宋_GBK" w:hAnsi="方正小标宋_GBK" w:eastAsia="方正小标宋_GBK" w:cs="方正小标宋_GBK"/>
              <w:szCs w:val="32"/>
            </w:rPr>
            <w:fldChar w:fldCharType="end"/>
          </w:r>
        </w:p>
        <w:p>
          <w:pPr>
            <w:pStyle w:val="4"/>
            <w:jc w:val="center"/>
            <w:outlineLvl w:val="9"/>
            <w:rPr>
              <w:rFonts w:hint="eastAsia" w:ascii="方正小标宋_GBK" w:hAnsi="方正小标宋_GBK" w:eastAsia="方正小标宋_GBK" w:cs="方正小标宋_GBK"/>
              <w:b w:val="0"/>
              <w:sz w:val="32"/>
              <w:szCs w:val="32"/>
            </w:rPr>
          </w:pPr>
          <w:r>
            <w:rPr>
              <w:rFonts w:hint="eastAsia" w:ascii="方正小标宋_GBK" w:hAnsi="方正小标宋_GBK" w:eastAsia="方正小标宋_GBK" w:cs="方正小标宋_GBK"/>
              <w:b/>
              <w:szCs w:val="32"/>
            </w:rPr>
            <w:fldChar w:fldCharType="end"/>
          </w:r>
        </w:p>
      </w:sdtContent>
    </w:sdt>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pPr>
    </w:p>
    <w:p>
      <w:pPr>
        <w:pStyle w:val="4"/>
        <w:jc w:val="center"/>
        <w:outlineLvl w:val="9"/>
        <w:rPr>
          <w:rFonts w:hint="eastAsia" w:ascii="方正小标宋_GBK" w:hAnsi="方正小标宋_GBK" w:eastAsia="方正小标宋_GBK" w:cs="方正小标宋_GBK"/>
          <w:b w:val="0"/>
          <w:sz w:val="32"/>
          <w:szCs w:val="32"/>
        </w:rPr>
        <w:sectPr>
          <w:headerReference r:id="rId3" w:type="default"/>
          <w:pgSz w:w="11906" w:h="16838"/>
          <w:pgMar w:top="1440" w:right="1800" w:bottom="1440" w:left="1800" w:header="851" w:footer="992" w:gutter="0"/>
          <w:pgNumType w:start="1"/>
          <w:cols w:space="720" w:num="1"/>
          <w:titlePg/>
          <w:docGrid w:type="lines" w:linePitch="312" w:charSpace="0"/>
        </w:sectPr>
      </w:pPr>
    </w:p>
    <w:p>
      <w:pPr>
        <w:pStyle w:val="4"/>
        <w:numPr>
          <w:ilvl w:val="0"/>
          <w:numId w:val="0"/>
        </w:numPr>
        <w:ind w:right="440" w:rightChars="0"/>
        <w:jc w:val="center"/>
        <w:rPr>
          <w:rFonts w:hint="eastAsia" w:ascii="方正小标宋_GBK" w:hAnsi="方正小标宋_GBK" w:eastAsia="方正小标宋_GBK" w:cs="方正小标宋_GBK"/>
          <w:b/>
          <w:bCs w:val="0"/>
          <w:sz w:val="32"/>
          <w:szCs w:val="32"/>
        </w:rPr>
      </w:pPr>
      <w:bookmarkStart w:id="10" w:name="_Toc13514"/>
      <w:r>
        <w:rPr>
          <w:rFonts w:hint="eastAsia" w:ascii="方正小标宋_GBK" w:hAnsi="方正小标宋_GBK" w:eastAsia="方正小标宋_GBK" w:cs="方正小标宋_GBK"/>
          <w:b/>
          <w:bCs w:val="0"/>
          <w:sz w:val="32"/>
          <w:szCs w:val="32"/>
        </w:rPr>
        <w:t>第一部分 部门概况</w:t>
      </w:r>
      <w:bookmarkEnd w:id="10"/>
      <w:bookmarkStart w:id="11" w:name="_Toc2791"/>
      <w:bookmarkStart w:id="12" w:name="_Toc2256"/>
    </w:p>
    <w:p>
      <w:pPr>
        <w:pStyle w:val="4"/>
        <w:pageBreakBefore w:val="0"/>
        <w:kinsoku/>
        <w:wordWrap/>
        <w:overflowPunct/>
        <w:topLinePunct w:val="0"/>
        <w:autoSpaceDE/>
        <w:autoSpaceDN/>
        <w:bidi w:val="0"/>
        <w:spacing w:before="0" w:after="0" w:line="576" w:lineRule="exact"/>
        <w:ind w:firstLine="640" w:firstLineChars="200"/>
        <w:jc w:val="both"/>
        <w:textAlignment w:val="auto"/>
        <w:rPr>
          <w:rFonts w:hint="eastAsia" w:ascii="黑体" w:hAnsi="黑体" w:eastAsia="黑体" w:cs="黑体"/>
          <w:b w:val="0"/>
          <w:bCs w:val="0"/>
          <w:snapToGrid w:val="0"/>
          <w:sz w:val="32"/>
          <w:szCs w:val="32"/>
          <w:shd w:val="clear" w:fill="FFFFFF"/>
          <w:lang w:eastAsia="zh-CN"/>
        </w:rPr>
      </w:pPr>
      <w:r>
        <w:rPr>
          <w:rFonts w:hint="eastAsia" w:ascii="黑体" w:hAnsi="黑体" w:eastAsia="黑体" w:cs="黑体"/>
          <w:b w:val="0"/>
          <w:bCs w:val="0"/>
          <w:snapToGrid w:val="0"/>
          <w:sz w:val="32"/>
          <w:szCs w:val="32"/>
          <w:shd w:val="clear" w:fill="FFFFFF"/>
          <w:lang w:val="en-US" w:eastAsia="zh-CN"/>
        </w:rPr>
        <w:t>一、</w:t>
      </w:r>
      <w:r>
        <w:rPr>
          <w:rFonts w:hint="eastAsia" w:ascii="黑体" w:hAnsi="黑体" w:eastAsia="黑体" w:cs="黑体"/>
          <w:b w:val="0"/>
          <w:bCs w:val="0"/>
          <w:snapToGrid w:val="0"/>
          <w:sz w:val="32"/>
          <w:szCs w:val="32"/>
          <w:shd w:val="clear" w:fill="FFFFFF"/>
          <w:lang w:eastAsia="zh-CN"/>
        </w:rPr>
        <w:t>基本职能及主要工作</w:t>
      </w:r>
      <w:bookmarkEnd w:id="11"/>
      <w:bookmarkEnd w:id="12"/>
      <w:bookmarkStart w:id="13" w:name="_Toc14048"/>
      <w:bookmarkStart w:id="14" w:name="_Toc31541"/>
    </w:p>
    <w:p>
      <w:pPr>
        <w:pStyle w:val="4"/>
        <w:pageBreakBefore w:val="0"/>
        <w:kinsoku/>
        <w:wordWrap/>
        <w:overflowPunct/>
        <w:topLinePunct w:val="0"/>
        <w:autoSpaceDE/>
        <w:autoSpaceDN/>
        <w:bidi w:val="0"/>
        <w:spacing w:before="0" w:after="0" w:line="576" w:lineRule="exact"/>
        <w:ind w:firstLine="643" w:firstLineChars="200"/>
        <w:jc w:val="both"/>
        <w:textAlignment w:val="auto"/>
        <w:rPr>
          <w:rFonts w:hint="eastAsia" w:ascii="楷体_GB2312" w:hAnsi="楷体_GB2312" w:eastAsia="楷体_GB2312" w:cs="楷体_GB2312"/>
          <w:b/>
          <w:bCs/>
          <w:snapToGrid w:val="0"/>
          <w:sz w:val="32"/>
          <w:szCs w:val="32"/>
          <w:shd w:val="clear" w:fill="FFFFFF"/>
          <w:lang w:eastAsia="zh-CN"/>
        </w:rPr>
      </w:pPr>
      <w:r>
        <w:rPr>
          <w:rFonts w:hint="eastAsia" w:ascii="楷体_GB2312" w:hAnsi="楷体_GB2312" w:eastAsia="楷体_GB2312" w:cs="楷体_GB2312"/>
          <w:b/>
          <w:bCs/>
          <w:snapToGrid w:val="0"/>
          <w:sz w:val="32"/>
          <w:szCs w:val="32"/>
          <w:shd w:val="clear" w:fill="FFFFFF"/>
          <w:lang w:eastAsia="zh-CN"/>
        </w:rPr>
        <w:t>（</w:t>
      </w:r>
      <w:r>
        <w:rPr>
          <w:rFonts w:hint="eastAsia" w:ascii="楷体_GB2312" w:hAnsi="楷体_GB2312" w:eastAsia="楷体_GB2312" w:cs="楷体_GB2312"/>
          <w:b/>
          <w:bCs/>
          <w:snapToGrid w:val="0"/>
          <w:sz w:val="32"/>
          <w:szCs w:val="32"/>
          <w:shd w:val="clear" w:fill="FFFFFF"/>
          <w:lang w:val="en-US" w:eastAsia="zh-CN"/>
        </w:rPr>
        <w:t>一</w:t>
      </w:r>
      <w:r>
        <w:rPr>
          <w:rFonts w:hint="eastAsia" w:ascii="楷体_GB2312" w:hAnsi="楷体_GB2312" w:eastAsia="楷体_GB2312" w:cs="楷体_GB2312"/>
          <w:b/>
          <w:bCs/>
          <w:snapToGrid w:val="0"/>
          <w:sz w:val="32"/>
          <w:szCs w:val="32"/>
          <w:shd w:val="clear" w:fill="FFFFFF"/>
          <w:lang w:eastAsia="zh-CN"/>
        </w:rPr>
        <w:t>）主要职能</w:t>
      </w:r>
      <w:bookmarkEnd w:id="13"/>
      <w:bookmarkEnd w:id="14"/>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left"/>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贯彻执行国家和省、州有关党史研究和地方志工作的方针、政策和法规；制定我县党史研究和地方志工作、综合年鉴的具体规划、管理办法，并组织实施。负责收集、整理党的文献、资料和文物，承担《中国共产党执政实录》组稿、总纂、审定、出版等业务。指导乡镇和县直各部门做好党史资料的收集和整理工作。</w:t>
      </w:r>
      <w:r>
        <w:rPr>
          <w:rFonts w:hint="eastAsia" w:eastAsia="仿宋_GB2312" w:cs="仿宋_GB2312"/>
          <w:bCs/>
          <w:color w:val="000000"/>
          <w:sz w:val="32"/>
          <w:szCs w:val="32"/>
          <w:lang w:val="en-US" w:eastAsia="zh-CN"/>
        </w:rPr>
        <w:t>负责编写我县各个历史时期的党史大事记、专题材料和党史人物传等。负责全县党史和地情资料收集、地情咨询服务。负责组织、协调，指导全县地方志和综合年鉴编修和检查、督促工，负责乡镇志业务指导和验收工作等，</w:t>
      </w:r>
      <w:r>
        <w:rPr>
          <w:rFonts w:hint="eastAsia" w:ascii="仿宋_GB2312" w:hAnsi="仿宋_GB2312" w:eastAsia="仿宋_GB2312" w:cs="仿宋_GB2312"/>
          <w:bCs/>
          <w:color w:val="000000"/>
          <w:sz w:val="32"/>
          <w:szCs w:val="32"/>
        </w:rPr>
        <w:t>同是完成县委县政府交办的其他工作</w:t>
      </w:r>
      <w:r>
        <w:rPr>
          <w:rFonts w:hint="eastAsia" w:ascii="仿宋_GB2312" w:hAnsi="仿宋_GB2312" w:eastAsia="仿宋_GB2312" w:cs="仿宋_GB2312"/>
          <w:sz w:val="32"/>
          <w:szCs w:val="32"/>
        </w:rPr>
        <w:t>。</w:t>
      </w:r>
    </w:p>
    <w:p>
      <w:pPr>
        <w:pStyle w:val="4"/>
        <w:pageBreakBefore w:val="0"/>
        <w:kinsoku/>
        <w:wordWrap/>
        <w:overflowPunct/>
        <w:topLinePunct w:val="0"/>
        <w:autoSpaceDE/>
        <w:autoSpaceDN/>
        <w:bidi w:val="0"/>
        <w:spacing w:before="0" w:after="0" w:line="576" w:lineRule="exact"/>
        <w:ind w:firstLine="643" w:firstLineChars="200"/>
        <w:jc w:val="both"/>
        <w:textAlignment w:val="auto"/>
        <w:rPr>
          <w:rFonts w:hint="eastAsia" w:ascii="楷体_GB2312" w:hAnsi="楷体_GB2312" w:eastAsia="楷体_GB2312" w:cs="楷体_GB2312"/>
          <w:b/>
          <w:bCs/>
          <w:snapToGrid w:val="0"/>
          <w:sz w:val="32"/>
          <w:szCs w:val="32"/>
          <w:shd w:val="clear" w:fill="FFFFFF"/>
          <w:lang w:eastAsia="zh-CN"/>
        </w:rPr>
      </w:pPr>
      <w:bookmarkStart w:id="15" w:name="_Toc13080"/>
      <w:r>
        <w:rPr>
          <w:rFonts w:hint="eastAsia" w:ascii="楷体_GB2312" w:hAnsi="楷体_GB2312" w:eastAsia="楷体_GB2312" w:cs="楷体_GB2312"/>
          <w:b/>
          <w:bCs/>
          <w:snapToGrid w:val="0"/>
          <w:sz w:val="32"/>
          <w:szCs w:val="32"/>
          <w:shd w:val="clear" w:fill="FFFFFF"/>
          <w:lang w:eastAsia="zh-CN"/>
        </w:rPr>
        <w:t>（二）</w:t>
      </w:r>
      <w:r>
        <w:rPr>
          <w:rFonts w:hint="eastAsia" w:ascii="楷体_GB2312" w:hAnsi="楷体_GB2312" w:eastAsia="楷体_GB2312" w:cs="楷体_GB2312"/>
          <w:b/>
          <w:bCs/>
          <w:snapToGrid w:val="0"/>
          <w:sz w:val="32"/>
          <w:szCs w:val="32"/>
          <w:shd w:val="clear" w:fill="FFFFFF"/>
          <w:lang w:val="en-US" w:eastAsia="zh-CN"/>
        </w:rPr>
        <w:t>2022</w:t>
      </w:r>
      <w:r>
        <w:rPr>
          <w:rFonts w:hint="eastAsia" w:ascii="楷体_GB2312" w:hAnsi="楷体_GB2312" w:eastAsia="楷体_GB2312" w:cs="楷体_GB2312"/>
          <w:b/>
          <w:bCs/>
          <w:snapToGrid w:val="0"/>
          <w:sz w:val="32"/>
          <w:szCs w:val="32"/>
          <w:shd w:val="clear" w:fill="FFFFFF"/>
          <w:lang w:eastAsia="zh-CN"/>
        </w:rPr>
        <w:t>年重点工作完成情况</w:t>
      </w:r>
      <w:bookmarkEnd w:id="15"/>
    </w:p>
    <w:p>
      <w:pPr>
        <w:pageBreakBefore w:val="0"/>
        <w:widowControl/>
        <w:kinsoku/>
        <w:wordWrap/>
        <w:overflowPunct/>
        <w:topLinePunct w:val="0"/>
        <w:autoSpaceDE/>
        <w:autoSpaceDN/>
        <w:bidi w:val="0"/>
        <w:adjustRightInd w:val="0"/>
        <w:snapToGrid w:val="0"/>
        <w:spacing w:beforeAutospacing="0" w:afterAutospacing="0" w:line="576" w:lineRule="exact"/>
        <w:ind w:firstLine="640" w:firstLineChars="200"/>
        <w:contextualSpacing/>
        <w:jc w:val="left"/>
        <w:textAlignment w:val="auto"/>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eastAsia="zh-CN"/>
        </w:rPr>
        <w:t>一是启动《红原县乡镇、村志》编撰出版试点工作，完成邛溪镇志、玛萨村志初稿编纂。二是</w:t>
      </w:r>
      <w:r>
        <w:rPr>
          <w:rFonts w:hint="eastAsia" w:ascii="仿宋_GB2312" w:hAnsi="仿宋_GB2312" w:eastAsia="仿宋_GB2312" w:cs="仿宋_GB2312"/>
          <w:bCs/>
          <w:color w:val="000000"/>
          <w:sz w:val="32"/>
          <w:szCs w:val="32"/>
          <w:lang w:val="en-US" w:eastAsia="zh-CN"/>
        </w:rPr>
        <w:t>收集整理《红原县长征文献资料汇编》。三是修定重印党史教材《红军长征走过的大草原--红原》。四是拍摄口述历史纪录片《红原民歌》。五是完成《红原县乡村文化志》（文史丛书第三辑）收集整理资料，并按照规定体例及篇目完成整理编辑，形成初稿。六是完成</w:t>
      </w:r>
      <w:r>
        <w:rPr>
          <w:rFonts w:hint="eastAsia" w:ascii="仿宋_GB2312" w:hAnsi="仿宋_GB2312" w:eastAsia="仿宋_GB2312" w:cs="仿宋_GB2312"/>
          <w:bCs/>
          <w:color w:val="000000"/>
          <w:sz w:val="32"/>
          <w:szCs w:val="32"/>
          <w:lang w:eastAsia="zh-CN"/>
        </w:rPr>
        <w:t>《红原年鉴》及《红原执政实录》（</w:t>
      </w:r>
      <w:r>
        <w:rPr>
          <w:rFonts w:hint="eastAsia" w:ascii="仿宋_GB2312" w:hAnsi="仿宋_GB2312" w:eastAsia="仿宋_GB2312" w:cs="仿宋_GB2312"/>
          <w:bCs/>
          <w:color w:val="000000"/>
          <w:sz w:val="32"/>
          <w:szCs w:val="32"/>
          <w:lang w:val="en-US" w:eastAsia="zh-CN"/>
        </w:rPr>
        <w:t>2021</w:t>
      </w:r>
      <w:r>
        <w:rPr>
          <w:rFonts w:hint="eastAsia" w:ascii="仿宋_GB2312" w:hAnsi="仿宋_GB2312" w:eastAsia="仿宋_GB2312" w:cs="仿宋_GB2312"/>
          <w:bCs/>
          <w:color w:val="000000"/>
          <w:sz w:val="32"/>
          <w:szCs w:val="32"/>
          <w:lang w:eastAsia="zh-CN"/>
        </w:rPr>
        <w:t>）收集、编纂、印刷工作。</w:t>
      </w:r>
      <w:bookmarkStart w:id="16" w:name="_Toc15377200"/>
      <w:bookmarkStart w:id="17" w:name="_Toc11758"/>
      <w:bookmarkStart w:id="18" w:name="_Toc15396601"/>
    </w:p>
    <w:p>
      <w:pPr>
        <w:pStyle w:val="2"/>
        <w:rPr>
          <w:rFonts w:hint="eastAsia"/>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50" w:lineRule="exact"/>
        <w:ind w:firstLine="640" w:firstLineChars="200"/>
        <w:jc w:val="both"/>
        <w:textAlignment w:val="auto"/>
        <w:outlineLvl w:val="1"/>
        <w:rPr>
          <w:rFonts w:hint="eastAsia" w:ascii="黑体" w:hAnsi="黑体" w:eastAsia="黑体" w:cs="黑体"/>
          <w:b w:val="0"/>
          <w:bCs w:val="0"/>
          <w:snapToGrid w:val="0"/>
          <w:kern w:val="2"/>
          <w:sz w:val="32"/>
          <w:szCs w:val="32"/>
          <w:shd w:val="clear" w:fill="FFFFFF"/>
          <w:lang w:val="en-US" w:eastAsia="zh-CN" w:bidi="ar-SA"/>
        </w:rPr>
      </w:pPr>
      <w:bookmarkStart w:id="19" w:name="_Toc16570"/>
      <w:r>
        <w:rPr>
          <w:rFonts w:hint="eastAsia" w:ascii="黑体" w:hAnsi="黑体" w:eastAsia="黑体" w:cs="黑体"/>
          <w:b w:val="0"/>
          <w:bCs w:val="0"/>
          <w:snapToGrid w:val="0"/>
          <w:kern w:val="2"/>
          <w:sz w:val="32"/>
          <w:szCs w:val="32"/>
          <w:shd w:val="clear" w:fill="FFFFFF"/>
          <w:lang w:val="en-US" w:eastAsia="zh-CN" w:bidi="ar-SA"/>
        </w:rPr>
        <w:t>机构设置</w:t>
      </w:r>
      <w:bookmarkEnd w:id="16"/>
      <w:bookmarkEnd w:id="17"/>
      <w:bookmarkEnd w:id="18"/>
      <w:bookmarkEnd w:id="19"/>
      <w:bookmarkStart w:id="20" w:name="_Toc15378448"/>
      <w:bookmarkStart w:id="21" w:name="_Toc15306275"/>
      <w:bookmarkStart w:id="22" w:name="_Toc15377432"/>
      <w:bookmarkStart w:id="23" w:name="_Toc15377201"/>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0" w:lineRule="exact"/>
        <w:ind w:firstLine="640" w:firstLineChars="200"/>
        <w:jc w:val="both"/>
        <w:textAlignment w:val="auto"/>
        <w:outlineLvl w:val="1"/>
        <w:rPr>
          <w:rFonts w:hint="default" w:ascii="仿宋_GB2312" w:hAnsi="仿宋_GB2312" w:eastAsia="仿宋_GB2312" w:cs="仿宋_GB2312"/>
          <w:snapToGrid w:val="0"/>
          <w:color w:val="FF0000"/>
          <w:sz w:val="30"/>
          <w:szCs w:val="30"/>
          <w:highlight w:val="none"/>
          <w:shd w:val="clear" w:fill="FFFFFF"/>
          <w:lang w:val="en-US" w:eastAsia="zh-CN"/>
        </w:rPr>
      </w:pPr>
      <w:r>
        <w:rPr>
          <w:rFonts w:hint="eastAsia" w:ascii="仿宋_GB2312" w:hAnsi="仿宋_GB2312" w:eastAsia="仿宋_GB2312" w:cs="仿宋_GB2312"/>
          <w:color w:val="000000"/>
          <w:kern w:val="0"/>
          <w:sz w:val="32"/>
          <w:szCs w:val="32"/>
          <w:lang w:val="zh-CN"/>
        </w:rPr>
        <w:t>本单位为独立核算全额参公单位，内设办公室，档案股及业务指导股三个股室。</w:t>
      </w:r>
    </w:p>
    <w:bookmarkEnd w:id="20"/>
    <w:bookmarkEnd w:id="21"/>
    <w:bookmarkEnd w:id="22"/>
    <w:bookmarkEnd w:id="23"/>
    <w:p>
      <w:pPr>
        <w:pStyle w:val="7"/>
        <w:pageBreakBefore w:val="0"/>
        <w:numPr>
          <w:ilvl w:val="0"/>
          <w:numId w:val="0"/>
        </w:numPr>
        <w:kinsoku/>
        <w:wordWrap/>
        <w:overflowPunct/>
        <w:topLinePunct w:val="0"/>
        <w:autoSpaceDE/>
        <w:autoSpaceDN/>
        <w:bidi w:val="0"/>
        <w:adjustRightInd w:val="0"/>
        <w:snapToGrid w:val="0"/>
        <w:spacing w:beforeLines="0" w:beforeAutospacing="0" w:afterAutospacing="0" w:line="550" w:lineRule="exact"/>
        <w:textAlignment w:val="auto"/>
        <w:outlineLvl w:val="9"/>
        <w:rPr>
          <w:rFonts w:ascii="仿宋" w:eastAsia="仿宋"/>
          <w:color w:val="FF0000"/>
          <w:sz w:val="30"/>
          <w:szCs w:val="30"/>
          <w:highlight w:val="none"/>
        </w:rPr>
      </w:pPr>
    </w:p>
    <w:p>
      <w:pPr>
        <w:pageBreakBefore w:val="0"/>
        <w:widowControl/>
        <w:kinsoku/>
        <w:wordWrap/>
        <w:overflowPunct/>
        <w:topLinePunct w:val="0"/>
        <w:autoSpaceDE/>
        <w:autoSpaceDN/>
        <w:bidi w:val="0"/>
        <w:spacing w:beforeAutospacing="0" w:afterAutospacing="0" w:line="510" w:lineRule="exact"/>
        <w:jc w:val="left"/>
        <w:textAlignment w:val="auto"/>
        <w:rPr>
          <w:rFonts w:ascii="仿宋" w:eastAsia="仿宋"/>
          <w:kern w:val="0"/>
          <w:sz w:val="32"/>
          <w:szCs w:val="32"/>
        </w:rPr>
      </w:pPr>
      <w:r>
        <w:rPr>
          <w:rFonts w:ascii="仿宋" w:eastAsia="仿宋"/>
          <w:sz w:val="32"/>
          <w:szCs w:val="32"/>
        </w:rPr>
        <w:br w:type="page"/>
      </w:r>
    </w:p>
    <w:p>
      <w:pPr>
        <w:pStyle w:val="4"/>
        <w:numPr>
          <w:ilvl w:val="0"/>
          <w:numId w:val="2"/>
        </w:numPr>
        <w:ind w:right="440"/>
        <w:jc w:val="center"/>
        <w:rPr>
          <w:rStyle w:val="19"/>
          <w:rFonts w:hint="eastAsia" w:ascii="方正小标宋_GBK" w:hAnsi="方正小标宋_GBK" w:eastAsia="方正小标宋_GBK" w:cs="方正小标宋_GBK"/>
          <w:b/>
          <w:bCs w:val="0"/>
          <w:sz w:val="32"/>
          <w:szCs w:val="32"/>
        </w:rPr>
      </w:pPr>
      <w:bookmarkStart w:id="24" w:name="_Toc15396602"/>
      <w:bookmarkStart w:id="25" w:name="_Toc15377204"/>
      <w:bookmarkStart w:id="26" w:name="_Toc9950"/>
      <w:bookmarkStart w:id="27" w:name="_Toc28621"/>
      <w:r>
        <w:rPr>
          <w:rFonts w:hint="eastAsia" w:ascii="方正小标宋_GBK" w:hAnsi="方正小标宋_GBK" w:eastAsia="方正小标宋_GBK" w:cs="方正小标宋_GBK"/>
          <w:b/>
          <w:bCs w:val="0"/>
          <w:sz w:val="32"/>
          <w:szCs w:val="32"/>
        </w:rPr>
        <w:t>2022年度</w:t>
      </w:r>
      <w:r>
        <w:rPr>
          <w:rStyle w:val="19"/>
          <w:rFonts w:hint="eastAsia" w:ascii="方正小标宋_GBK" w:hAnsi="方正小标宋_GBK" w:eastAsia="方正小标宋_GBK" w:cs="方正小标宋_GBK"/>
          <w:b/>
          <w:bCs w:val="0"/>
          <w:sz w:val="32"/>
          <w:szCs w:val="32"/>
        </w:rPr>
        <w:t>部门决算情况说明</w:t>
      </w:r>
      <w:bookmarkEnd w:id="24"/>
      <w:bookmarkEnd w:id="25"/>
      <w:bookmarkEnd w:id="26"/>
      <w:bookmarkEnd w:id="27"/>
      <w:bookmarkStart w:id="28" w:name="_Toc15377205"/>
      <w:bookmarkStart w:id="29" w:name="_Toc19688"/>
      <w:bookmarkStart w:id="30" w:name="_Toc15396603"/>
      <w:bookmarkStart w:id="31" w:name="_Toc23263"/>
    </w:p>
    <w:p>
      <w:pPr>
        <w:pStyle w:val="4"/>
        <w:pageBreakBefore w:val="0"/>
        <w:widowControl w:val="0"/>
        <w:numPr>
          <w:ilvl w:val="0"/>
          <w:numId w:val="0"/>
        </w:numPr>
        <w:kinsoku/>
        <w:wordWrap/>
        <w:overflowPunct/>
        <w:topLinePunct w:val="0"/>
        <w:autoSpaceDE/>
        <w:autoSpaceDN/>
        <w:bidi w:val="0"/>
        <w:adjustRightInd/>
        <w:snapToGrid/>
        <w:spacing w:before="0" w:after="0" w:line="576" w:lineRule="exact"/>
        <w:ind w:right="0" w:rightChars="0" w:firstLine="640" w:firstLineChars="200"/>
        <w:jc w:val="both"/>
        <w:textAlignment w:val="auto"/>
        <w:rPr>
          <w:rFonts w:hint="eastAsia" w:ascii="黑体" w:hAnsi="黑体" w:eastAsia="黑体" w:cs="黑体"/>
          <w:b w:val="0"/>
          <w:bCs w:val="0"/>
          <w:snapToGrid w:val="0"/>
          <w:sz w:val="32"/>
          <w:szCs w:val="32"/>
          <w:shd w:val="clear" w:fill="FFFFFF"/>
          <w:lang w:val="en-US" w:eastAsia="zh-CN"/>
        </w:rPr>
      </w:pPr>
      <w:r>
        <w:rPr>
          <w:rFonts w:hint="eastAsia" w:ascii="黑体" w:hAnsi="黑体" w:eastAsia="黑体" w:cs="黑体"/>
          <w:b w:val="0"/>
          <w:bCs w:val="0"/>
          <w:snapToGrid w:val="0"/>
          <w:sz w:val="32"/>
          <w:szCs w:val="32"/>
          <w:shd w:val="clear" w:fill="FFFFFF"/>
          <w:lang w:val="en-US" w:eastAsia="zh-CN"/>
        </w:rPr>
        <w:t>一、收入支出决算总体情况说明</w:t>
      </w:r>
      <w:bookmarkEnd w:id="28"/>
      <w:bookmarkEnd w:id="29"/>
      <w:bookmarkEnd w:id="30"/>
      <w:bookmarkEnd w:id="31"/>
    </w:p>
    <w:p>
      <w:pPr>
        <w:pageBreakBefore w:val="0"/>
        <w:widowControl w:val="0"/>
        <w:kinsoku/>
        <w:wordWrap/>
        <w:overflowPunct/>
        <w:topLinePunct w:val="0"/>
        <w:autoSpaceDE/>
        <w:autoSpaceDN/>
        <w:bidi w:val="0"/>
        <w:adjustRightInd/>
        <w:snapToGrid/>
        <w:spacing w:line="576"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2022年度收、支总计</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万元。与2021年相比，收、支总计各减少</w:t>
      </w:r>
      <w:r>
        <w:rPr>
          <w:rFonts w:hint="eastAsia" w:ascii="仿宋_GB2312" w:hAnsi="仿宋_GB2312" w:eastAsia="仿宋_GB2312" w:cs="仿宋_GB2312"/>
          <w:sz w:val="32"/>
          <w:szCs w:val="32"/>
          <w:lang w:val="en-US" w:eastAsia="zh-CN"/>
        </w:rPr>
        <w:t>3.4</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项目支出减少</w:t>
      </w:r>
      <w:r>
        <w:rPr>
          <w:rFonts w:hint="eastAsia" w:ascii="仿宋_GB2312" w:hAnsi="仿宋_GB2312" w:eastAsia="仿宋_GB2312" w:cs="仿宋_GB2312"/>
          <w:sz w:val="32"/>
          <w:szCs w:val="32"/>
        </w:rPr>
        <w:t>。</w:t>
      </w:r>
    </w:p>
    <w:p>
      <w:pPr>
        <w:pStyle w:val="2"/>
        <w:rPr>
          <w:rFonts w:hint="eastAsia" w:ascii="仿宋" w:eastAsia="仿宋"/>
          <w:sz w:val="32"/>
          <w:szCs w:val="32"/>
        </w:rPr>
      </w:pPr>
      <w:r>
        <w:drawing>
          <wp:inline distT="0" distB="0" distL="114300" distR="114300">
            <wp:extent cx="4062095" cy="2000885"/>
            <wp:effectExtent l="4445" t="4445" r="10160" b="1397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rPr>
          <w:rFonts w:hint="eastAsia" w:ascii="仿宋" w:eastAsia="仿宋"/>
          <w:sz w:val="30"/>
          <w:szCs w:val="30"/>
        </w:rPr>
      </w:pPr>
      <w:r>
        <w:rPr>
          <w:rFonts w:hint="eastAsia" w:ascii="仿宋" w:eastAsia="仿宋"/>
          <w:sz w:val="30"/>
          <w:szCs w:val="30"/>
        </w:rPr>
        <w:t>（图</w:t>
      </w:r>
      <w:r>
        <w:rPr>
          <w:rFonts w:ascii="仿宋" w:eastAsia="仿宋"/>
          <w:sz w:val="30"/>
          <w:szCs w:val="30"/>
        </w:rPr>
        <w:t>1</w:t>
      </w:r>
      <w:r>
        <w:rPr>
          <w:rFonts w:hint="eastAsia" w:ascii="仿宋" w:eastAsia="仿宋"/>
          <w:sz w:val="30"/>
          <w:szCs w:val="30"/>
        </w:rPr>
        <w:t>：收、支决算总计变动情况图）（柱状图）</w:t>
      </w:r>
      <w:bookmarkStart w:id="32" w:name="_Toc15377206"/>
      <w:bookmarkStart w:id="33" w:name="_Toc168"/>
      <w:bookmarkStart w:id="34" w:name="_Toc15396604"/>
      <w:bookmarkStart w:id="35" w:name="_Toc22074"/>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bCs/>
          <w:snapToGrid w:val="0"/>
          <w:sz w:val="32"/>
          <w:szCs w:val="32"/>
          <w:shd w:val="clear" w:fill="FFFFFF"/>
          <w:lang w:val="en-US" w:eastAsia="zh-CN"/>
        </w:rPr>
      </w:pPr>
      <w:r>
        <w:rPr>
          <w:rFonts w:hint="eastAsia" w:ascii="黑体" w:hAnsi="黑体" w:eastAsia="黑体" w:cs="黑体"/>
          <w:b/>
          <w:bCs/>
          <w:snapToGrid w:val="0"/>
          <w:sz w:val="32"/>
          <w:szCs w:val="32"/>
          <w:shd w:val="clear" w:fill="FFFFFF"/>
          <w:lang w:val="en-US" w:eastAsia="zh-CN"/>
        </w:rPr>
        <w:t>二、收入决算情况说明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sz w:val="32"/>
          <w:szCs w:val="32"/>
        </w:rPr>
      </w:pPr>
      <w:bookmarkStart w:id="36" w:name="_Toc32296"/>
      <w:bookmarkStart w:id="37" w:name="_Toc10879"/>
      <w:r>
        <w:rPr>
          <w:rFonts w:hint="eastAsia" w:ascii="仿宋_GB2312" w:hAnsi="仿宋_GB2312" w:eastAsia="仿宋_GB2312" w:cs="仿宋_GB2312"/>
          <w:sz w:val="32"/>
          <w:szCs w:val="32"/>
        </w:rPr>
        <w:t>2022年本年收入合计</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%；政府性基金预算财政拨款收入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%；国有资本经营预算财政拨款收</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%；上级补助收入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%；事业收入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%；附属单位上缴收入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bookmarkEnd w:id="36"/>
      <w:bookmarkEnd w:id="37"/>
    </w:p>
    <w:p>
      <w:pPr>
        <w:spacing w:line="600" w:lineRule="exact"/>
        <w:outlineLvl w:val="9"/>
        <w:rPr>
          <w:rFonts w:ascii="仿宋" w:eastAsia="仿宋"/>
          <w:b/>
          <w:sz w:val="32"/>
          <w:szCs w:val="32"/>
        </w:rPr>
      </w:pPr>
    </w:p>
    <w:p>
      <w:pPr>
        <w:spacing w:line="600" w:lineRule="exact"/>
        <w:ind w:firstLine="640" w:firstLineChars="200"/>
        <w:outlineLvl w:val="9"/>
        <w:rPr>
          <w:rFonts w:ascii="仿宋" w:eastAsia="仿宋"/>
          <w:sz w:val="32"/>
          <w:szCs w:val="32"/>
        </w:rPr>
      </w:pPr>
    </w:p>
    <w:p>
      <w:pPr>
        <w:pStyle w:val="2"/>
        <w:rPr>
          <w:rFonts w:ascii="仿宋" w:eastAsia="仿宋"/>
          <w:sz w:val="32"/>
          <w:szCs w:val="32"/>
        </w:rPr>
      </w:pPr>
    </w:p>
    <w:p>
      <w:pPr>
        <w:pStyle w:val="2"/>
        <w:ind w:left="0" w:leftChars="0" w:firstLine="0" w:firstLineChars="0"/>
        <w:rPr>
          <w:rFonts w:hint="eastAsia"/>
          <w:sz w:val="30"/>
          <w:szCs w:val="30"/>
          <w:lang w:val="en-US" w:eastAsia="zh-CN"/>
        </w:rPr>
      </w:pPr>
      <w:r>
        <w:rPr>
          <w:rFonts w:hint="eastAsia"/>
          <w:lang w:val="en-US" w:eastAsia="zh-CN"/>
        </w:rPr>
        <w:t xml:space="preserve">           </w:t>
      </w:r>
      <w:r>
        <w:rPr>
          <w:rFonts w:hint="eastAsia"/>
          <w:lang w:val="en-US" w:eastAsia="zh-CN"/>
        </w:rPr>
        <w:drawing>
          <wp:inline distT="0" distB="0" distL="114300" distR="114300">
            <wp:extent cx="3052445" cy="1803400"/>
            <wp:effectExtent l="4445" t="4445" r="10160" b="2095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hint="eastAsia"/>
          <w:lang w:val="en-US" w:eastAsia="zh-CN"/>
        </w:rPr>
        <w:t xml:space="preserve">   </w:t>
      </w:r>
    </w:p>
    <w:p>
      <w:pPr>
        <w:spacing w:line="60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图2：收入决算结构图）（饼状图）</w:t>
      </w:r>
      <w:bookmarkStart w:id="38" w:name="_Toc2383"/>
      <w:bookmarkStart w:id="39" w:name="_Toc31141"/>
      <w:bookmarkStart w:id="40" w:name="_Toc15396605"/>
      <w:bookmarkStart w:id="41" w:name="_Toc15377207"/>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napToGrid w:val="0"/>
          <w:sz w:val="32"/>
          <w:szCs w:val="32"/>
          <w:shd w:val="clear" w:fill="FFFFFF"/>
          <w:lang w:val="en-US" w:eastAsia="zh-CN"/>
        </w:rPr>
      </w:pPr>
      <w:r>
        <w:rPr>
          <w:rFonts w:hint="eastAsia" w:ascii="黑体" w:hAnsi="黑体" w:eastAsia="黑体" w:cs="黑体"/>
          <w:b w:val="0"/>
          <w:bCs w:val="0"/>
          <w:snapToGrid w:val="0"/>
          <w:sz w:val="32"/>
          <w:szCs w:val="32"/>
          <w:shd w:val="clear" w:fill="FFFFFF"/>
          <w:lang w:val="en-US" w:eastAsia="zh-CN"/>
        </w:rPr>
        <w:t>三、支出决算情况说明</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hAnsi="仿宋_GB2312" w:eastAsia="仿宋_GB2312" w:cs="仿宋_GB2312"/>
          <w:sz w:val="32"/>
          <w:szCs w:val="32"/>
        </w:rPr>
      </w:pPr>
      <w:bookmarkStart w:id="42" w:name="_Toc11317"/>
      <w:bookmarkStart w:id="43" w:name="_Toc4700"/>
      <w:r>
        <w:rPr>
          <w:rFonts w:hint="eastAsia" w:ascii="仿宋_GB2312" w:hAnsi="仿宋_GB2312" w:eastAsia="仿宋_GB2312" w:cs="仿宋_GB2312"/>
          <w:sz w:val="32"/>
          <w:szCs w:val="32"/>
        </w:rPr>
        <w:t>2022年本年支出合计</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190.15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85.83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14.17</w:t>
      </w:r>
      <w:r>
        <w:rPr>
          <w:rFonts w:hint="eastAsia" w:ascii="仿宋_GB2312" w:hAnsi="仿宋_GB2312" w:eastAsia="仿宋_GB2312" w:cs="仿宋_GB2312"/>
          <w:sz w:val="32"/>
          <w:szCs w:val="32"/>
        </w:rPr>
        <w:t>%；上缴上级支出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%；经营支出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%；对附属单位补助支出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bookmarkEnd w:id="42"/>
      <w:bookmarkEnd w:id="43"/>
    </w:p>
    <w:p>
      <w:pPr>
        <w:spacing w:line="600" w:lineRule="exact"/>
        <w:ind w:firstLine="640" w:firstLineChars="200"/>
        <w:outlineLvl w:val="9"/>
        <w:rPr>
          <w:rFonts w:ascii="仿宋" w:eastAsia="仿宋"/>
          <w:sz w:val="32"/>
          <w:szCs w:val="32"/>
          <w:shd w:val="pct10" w:color="auto" w:fill="FFFFFF"/>
        </w:rPr>
      </w:pPr>
    </w:p>
    <w:p>
      <w:pPr>
        <w:pStyle w:val="2"/>
        <w:rPr>
          <w:rFonts w:ascii="仿宋" w:eastAsia="仿宋"/>
          <w:sz w:val="32"/>
          <w:szCs w:val="32"/>
          <w:shd w:val="pct10" w:color="auto" w:fill="FFFFFF"/>
        </w:rPr>
      </w:pPr>
      <w:r>
        <w:rPr>
          <w:rFonts w:hint="eastAsia"/>
          <w:lang w:val="en-US" w:eastAsia="zh-CN"/>
        </w:rPr>
        <w:t xml:space="preserve">              </w:t>
      </w:r>
      <w:r>
        <w:rPr>
          <w:rFonts w:hint="eastAsia"/>
          <w:lang w:val="en-US" w:eastAsia="zh-CN"/>
        </w:rPr>
        <w:drawing>
          <wp:inline distT="0" distB="0" distL="114300" distR="114300">
            <wp:extent cx="2544445" cy="2030095"/>
            <wp:effectExtent l="4445" t="4445" r="22860" b="228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rPr>
          <w:rFonts w:ascii="仿宋" w:eastAsia="仿宋"/>
          <w:sz w:val="32"/>
          <w:szCs w:val="32"/>
          <w:shd w:val="pct10" w:color="auto" w:fill="FFFFFF"/>
        </w:rPr>
      </w:pPr>
    </w:p>
    <w:p>
      <w:pPr>
        <w:spacing w:line="600" w:lineRule="exact"/>
        <w:rPr>
          <w:rFonts w:ascii="仿宋" w:eastAsia="仿宋"/>
          <w:sz w:val="30"/>
          <w:szCs w:val="30"/>
        </w:rPr>
      </w:pPr>
      <w:r>
        <w:rPr>
          <w:rFonts w:hint="eastAsia" w:ascii="仿宋" w:eastAsia="仿宋"/>
          <w:sz w:val="30"/>
          <w:szCs w:val="30"/>
        </w:rPr>
        <w:t>（图3：支出决算结构图）（饼状图）</w:t>
      </w:r>
    </w:p>
    <w:p>
      <w:pPr>
        <w:spacing w:line="600" w:lineRule="exact"/>
        <w:ind w:firstLine="640" w:firstLineChars="200"/>
        <w:outlineLvl w:val="1"/>
        <w:rPr>
          <w:rFonts w:hint="eastAsia" w:ascii="黑体" w:hAnsi="黑体" w:eastAsia="黑体" w:cs="黑体"/>
          <w:b w:val="0"/>
          <w:bCs w:val="0"/>
          <w:snapToGrid w:val="0"/>
          <w:kern w:val="2"/>
          <w:sz w:val="32"/>
          <w:szCs w:val="32"/>
          <w:shd w:val="clear" w:fill="FFFFFF"/>
          <w:lang w:val="en-US" w:eastAsia="zh-CN" w:bidi="ar-SA"/>
        </w:rPr>
      </w:pPr>
      <w:bookmarkStart w:id="44" w:name="_Toc12592"/>
      <w:bookmarkStart w:id="45" w:name="_Toc20194"/>
      <w:bookmarkStart w:id="46" w:name="_Toc15396606"/>
      <w:bookmarkStart w:id="47" w:name="_Toc15377208"/>
      <w:r>
        <w:rPr>
          <w:rFonts w:hint="eastAsia" w:ascii="黑体" w:hAnsi="黑体" w:eastAsia="黑体" w:cs="黑体"/>
          <w:b w:val="0"/>
          <w:bCs w:val="0"/>
          <w:snapToGrid w:val="0"/>
          <w:kern w:val="2"/>
          <w:sz w:val="32"/>
          <w:szCs w:val="32"/>
          <w:shd w:val="clear" w:fill="FFFFFF"/>
          <w:lang w:val="en-US" w:eastAsia="zh-CN" w:bidi="ar-SA"/>
        </w:rPr>
        <w:t>四、财政拨款收入支出决算总体情况说明</w:t>
      </w:r>
      <w:bookmarkEnd w:id="44"/>
      <w:bookmarkEnd w:id="45"/>
      <w:bookmarkEnd w:id="46"/>
      <w:bookmarkEnd w:id="47"/>
    </w:p>
    <w:p>
      <w:pPr>
        <w:spacing w:line="600" w:lineRule="exact"/>
        <w:ind w:firstLine="64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2022年财政拨款收、支总计</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万元。与2021年相比，财政拨款收、支总计各减少</w:t>
      </w:r>
      <w:r>
        <w:rPr>
          <w:rFonts w:hint="eastAsia" w:ascii="仿宋_GB2312" w:hAnsi="仿宋_GB2312" w:eastAsia="仿宋_GB2312" w:cs="仿宋_GB2312"/>
          <w:sz w:val="32"/>
          <w:szCs w:val="32"/>
          <w:lang w:val="en-US" w:eastAsia="zh-CN"/>
        </w:rPr>
        <w:t>3.40</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eastAsia="zh-CN"/>
        </w:rPr>
        <w:t>是项目支出减少。</w:t>
      </w:r>
    </w:p>
    <w:p>
      <w:pPr>
        <w:spacing w:line="600" w:lineRule="exact"/>
        <w:rPr>
          <w:rFonts w:ascii="仿宋" w:eastAsia="仿宋"/>
          <w:sz w:val="32"/>
          <w:szCs w:val="32"/>
        </w:rPr>
      </w:pPr>
    </w:p>
    <w:p>
      <w:pPr>
        <w:pStyle w:val="2"/>
        <w:rPr>
          <w:rFonts w:ascii="仿宋" w:eastAsia="仿宋"/>
          <w:sz w:val="32"/>
          <w:szCs w:val="32"/>
        </w:rPr>
      </w:pPr>
      <w:r>
        <w:rPr>
          <w:rFonts w:hint="eastAsia"/>
          <w:lang w:val="en-US" w:eastAsia="zh-CN"/>
        </w:rPr>
        <w:t xml:space="preserve">          </w:t>
      </w:r>
      <w:r>
        <w:drawing>
          <wp:inline distT="0" distB="0" distL="114300" distR="114300">
            <wp:extent cx="3166745" cy="1734820"/>
            <wp:effectExtent l="4445" t="4445" r="10160" b="13335"/>
            <wp:docPr id="10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00" w:firstLineChars="200"/>
        <w:rPr>
          <w:rFonts w:ascii="仿宋" w:eastAsia="仿宋"/>
          <w:sz w:val="30"/>
          <w:szCs w:val="30"/>
        </w:rPr>
      </w:pPr>
      <w:r>
        <w:rPr>
          <w:rFonts w:hint="eastAsia" w:ascii="仿宋" w:eastAsia="仿宋"/>
          <w:sz w:val="30"/>
          <w:szCs w:val="30"/>
        </w:rPr>
        <w:t>（图4：财政拨款收、支决算总计变动情况）（柱状图）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0"/>
          <w:rFonts w:ascii="黑体" w:eastAsia="黑体"/>
          <w:b w:val="0"/>
        </w:rPr>
      </w:pPr>
      <w:bookmarkStart w:id="48" w:name="_Toc31600"/>
      <w:bookmarkStart w:id="49" w:name="_Toc26493"/>
      <w:bookmarkStart w:id="50" w:name="_Toc15396607"/>
      <w:bookmarkStart w:id="51" w:name="_Toc15377209"/>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_GB2312" w:hAnsi="楷体_GB2312" w:eastAsia="楷体_GB2312" w:cs="楷体_GB2312"/>
          <w:b/>
          <w:sz w:val="32"/>
          <w:szCs w:val="32"/>
        </w:rPr>
      </w:pPr>
      <w:bookmarkStart w:id="52" w:name="_Toc15377210"/>
      <w:bookmarkStart w:id="53" w:name="_Toc25385"/>
      <w:r>
        <w:rPr>
          <w:rFonts w:hint="eastAsia" w:ascii="楷体_GB2312" w:hAnsi="楷体_GB2312" w:eastAsia="楷体_GB2312" w:cs="楷体_GB2312"/>
          <w:b/>
          <w:sz w:val="32"/>
          <w:szCs w:val="32"/>
        </w:rPr>
        <w:t>（一）一般公共预算财政拨款支出决算总体情况</w:t>
      </w:r>
      <w:bookmarkEnd w:id="52"/>
      <w:bookmarkEnd w:id="5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2022年一般公共预算财政拨款支出</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%。与2021年相比，一般公共预算财政拨款支出减少</w:t>
      </w:r>
      <w:r>
        <w:rPr>
          <w:rFonts w:hint="eastAsia" w:ascii="仿宋_GB2312" w:hAnsi="仿宋_GB2312" w:eastAsia="仿宋_GB2312" w:cs="仿宋_GB2312"/>
          <w:sz w:val="32"/>
          <w:szCs w:val="32"/>
          <w:lang w:val="en-US" w:eastAsia="zh-CN"/>
        </w:rPr>
        <w:t>3.40</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%。主要变动原因</w:t>
      </w:r>
      <w:r>
        <w:rPr>
          <w:rFonts w:hint="eastAsia" w:ascii="仿宋_GB2312" w:hAnsi="仿宋_GB2312" w:eastAsia="仿宋_GB2312" w:cs="仿宋_GB2312"/>
          <w:sz w:val="32"/>
          <w:szCs w:val="32"/>
          <w:lang w:eastAsia="zh-CN"/>
        </w:rPr>
        <w:t>是项目支出减少</w:t>
      </w:r>
    </w:p>
    <w:p>
      <w:pPr>
        <w:pStyle w:val="2"/>
        <w:rPr>
          <w:rFonts w:hint="eastAsia" w:ascii="仿宋" w:eastAsia="仿宋"/>
          <w:sz w:val="32"/>
          <w:szCs w:val="32"/>
          <w:lang w:eastAsia="zh-CN"/>
        </w:rPr>
      </w:pPr>
      <w:r>
        <w:rPr>
          <w:rFonts w:hint="eastAsia"/>
          <w:lang w:val="en-US" w:eastAsia="zh-CN"/>
        </w:rPr>
        <w:t xml:space="preserve">              </w:t>
      </w:r>
      <w:r>
        <w:drawing>
          <wp:inline distT="0" distB="0" distL="114300" distR="114300">
            <wp:extent cx="2722245" cy="1388110"/>
            <wp:effectExtent l="4445" t="4445" r="16510" b="17145"/>
            <wp:docPr id="103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eastAsia="仿宋"/>
          <w:spacing w:val="-6"/>
          <w:sz w:val="30"/>
          <w:szCs w:val="30"/>
        </w:rPr>
      </w:pPr>
      <w:r>
        <w:rPr>
          <w:rFonts w:hint="eastAsia" w:ascii="仿宋" w:eastAsia="仿宋"/>
          <w:spacing w:val="-6"/>
          <w:sz w:val="30"/>
          <w:szCs w:val="30"/>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_GB2312" w:hAnsi="楷体_GB2312" w:eastAsia="楷体_GB2312" w:cs="楷体_GB2312"/>
          <w:b/>
          <w:sz w:val="32"/>
          <w:szCs w:val="32"/>
        </w:rPr>
      </w:pPr>
      <w:bookmarkStart w:id="54" w:name="_Toc20374"/>
      <w:bookmarkStart w:id="55" w:name="_Toc15377211"/>
      <w:r>
        <w:rPr>
          <w:rFonts w:hint="eastAsia" w:ascii="楷体_GB2312" w:hAnsi="楷体_GB2312" w:eastAsia="楷体_GB2312" w:cs="楷体_GB2312"/>
          <w:b/>
          <w:sz w:val="32"/>
          <w:szCs w:val="32"/>
        </w:rPr>
        <w:t>（二）一般公共预算财政拨款支出决算结构情况</w:t>
      </w:r>
      <w:bookmarkEnd w:id="54"/>
      <w:bookmarkEnd w:id="5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2022年一般公共预算财政拨款支出</w:t>
      </w:r>
      <w:r>
        <w:rPr>
          <w:rFonts w:hint="eastAsia" w:ascii="仿宋_GB2312" w:hAnsi="仿宋_GB2312" w:eastAsia="仿宋_GB2312" w:cs="仿宋_GB2312"/>
          <w:sz w:val="32"/>
          <w:szCs w:val="32"/>
          <w:lang w:val="en-US" w:eastAsia="zh-CN"/>
        </w:rPr>
        <w:t>221.54</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sz w:val="32"/>
          <w:szCs w:val="32"/>
        </w:rPr>
        <w:t>一般公共服务</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val="0"/>
          <w:bCs w:val="0"/>
          <w:sz w:val="32"/>
          <w:szCs w:val="32"/>
          <w:lang w:val="en-US" w:eastAsia="zh-CN"/>
        </w:rPr>
        <w:t>174.03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78.55</w:t>
      </w: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rPr>
        <w:t>教育支出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rPr>
        <w:t>万</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b/>
          <w:bCs w:val="0"/>
          <w:sz w:val="32"/>
          <w:szCs w:val="32"/>
        </w:rPr>
        <w:t>科学技术支出</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文化旅游体育与传媒支出</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sz w:val="32"/>
          <w:szCs w:val="32"/>
        </w:rPr>
        <w:t>社会保障和就业</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val="0"/>
          <w:bCs w:val="0"/>
          <w:sz w:val="32"/>
          <w:szCs w:val="32"/>
          <w:lang w:val="en-US" w:eastAsia="zh-CN"/>
        </w:rPr>
        <w:t>24.40</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11.01</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b w:val="0"/>
          <w:bCs w:val="0"/>
          <w:sz w:val="32"/>
          <w:szCs w:val="32"/>
          <w:lang w:val="en-US" w:eastAsia="zh-CN"/>
        </w:rPr>
        <w:t>10.41</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4.7</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val="0"/>
          <w:bCs w:val="0"/>
          <w:sz w:val="32"/>
          <w:szCs w:val="32"/>
          <w:lang w:val="en-US" w:eastAsia="zh-CN"/>
        </w:rPr>
        <w:t>12.7</w:t>
      </w:r>
      <w:r>
        <w:rPr>
          <w:rFonts w:hint="eastAsia" w:ascii="仿宋_GB2312" w:hAnsi="仿宋_GB2312" w:eastAsia="仿宋_GB2312" w:cs="仿宋_GB2312"/>
          <w:b w:val="0"/>
          <w:bCs w:val="0"/>
          <w:sz w:val="32"/>
          <w:szCs w:val="32"/>
        </w:rPr>
        <w:t>万元，占</w:t>
      </w:r>
      <w:r>
        <w:rPr>
          <w:rFonts w:hint="eastAsia" w:ascii="仿宋_GB2312" w:hAnsi="仿宋_GB2312" w:eastAsia="仿宋_GB2312" w:cs="仿宋_GB2312"/>
          <w:b w:val="0"/>
          <w:bCs w:val="0"/>
          <w:sz w:val="32"/>
          <w:szCs w:val="32"/>
          <w:lang w:val="en-US" w:eastAsia="zh-CN"/>
        </w:rPr>
        <w:t>5.74</w:t>
      </w:r>
      <w:r>
        <w:rPr>
          <w:rFonts w:hint="eastAsia" w:ascii="仿宋_GB2312" w:hAnsi="仿宋_GB2312" w:eastAsia="仿宋_GB2312" w:cs="仿宋_GB2312"/>
          <w:b w:val="0"/>
          <w:bCs w:val="0"/>
          <w:sz w:val="32"/>
          <w:szCs w:val="32"/>
        </w:rPr>
        <w:t>%。</w:t>
      </w:r>
    </w:p>
    <w:p>
      <w:pPr>
        <w:spacing w:line="600" w:lineRule="exact"/>
        <w:rPr>
          <w:rFonts w:hint="eastAsia" w:ascii="仿宋" w:eastAsia="仿宋"/>
          <w:b/>
          <w:sz w:val="32"/>
          <w:szCs w:val="32"/>
        </w:rPr>
      </w:pPr>
    </w:p>
    <w:p>
      <w:pPr>
        <w:pStyle w:val="2"/>
        <w:rPr>
          <w:rFonts w:hint="eastAsia" w:ascii="仿宋" w:eastAsia="仿宋"/>
          <w:b/>
          <w:sz w:val="32"/>
          <w:szCs w:val="32"/>
        </w:rPr>
      </w:pPr>
      <w:r>
        <w:rPr>
          <w:rFonts w:hint="eastAsia"/>
          <w:lang w:val="en-US" w:eastAsia="zh-CN"/>
        </w:rPr>
        <w:t xml:space="preserve">           </w:t>
      </w:r>
      <w:r>
        <w:rPr>
          <w:rFonts w:hint="eastAsia"/>
          <w:lang w:val="en-US" w:eastAsia="zh-CN"/>
        </w:rPr>
        <w:drawing>
          <wp:inline distT="0" distB="0" distL="114300" distR="114300">
            <wp:extent cx="2829560" cy="2794000"/>
            <wp:effectExtent l="4445" t="4445" r="23495" b="2095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00" w:firstLineChars="200"/>
        <w:rPr>
          <w:rFonts w:hint="eastAsia" w:ascii="仿宋" w:eastAsia="仿宋"/>
          <w:b/>
          <w:sz w:val="32"/>
          <w:szCs w:val="32"/>
        </w:rPr>
      </w:pPr>
      <w:r>
        <w:rPr>
          <w:rFonts w:hint="eastAsia" w:ascii="仿宋" w:eastAsia="仿宋"/>
          <w:sz w:val="30"/>
          <w:szCs w:val="30"/>
        </w:rPr>
        <w:t>（图6：一般公共预算财政拨款支出决算结构）（饼状图）</w:t>
      </w:r>
      <w:bookmarkStart w:id="56" w:name="_Toc15377212"/>
      <w:bookmarkStart w:id="57" w:name="_Toc31341"/>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（三）一般公共预算财政拨款支出决算具体情况</w:t>
      </w:r>
      <w:bookmarkEnd w:id="56"/>
      <w:bookmarkEnd w:id="57"/>
    </w:p>
    <w:p>
      <w:pPr>
        <w:spacing w:line="600" w:lineRule="exact"/>
        <w:ind w:firstLine="643" w:firstLineChars="200"/>
        <w:outlineLvl w:val="1"/>
        <w:rPr>
          <w:rFonts w:hint="eastAsia" w:ascii="仿宋_GB2312" w:hAnsi="仿宋_GB2312" w:eastAsia="仿宋_GB2312" w:cs="仿宋_GB2312"/>
          <w:sz w:val="32"/>
          <w:szCs w:val="32"/>
        </w:rPr>
      </w:pPr>
      <w:bookmarkStart w:id="58" w:name="_Toc15935"/>
      <w:bookmarkStart w:id="59" w:name="_Toc21491"/>
      <w:bookmarkStart w:id="60" w:name="_Toc15377213"/>
      <w:bookmarkStart w:id="61" w:name="_Toc15378460"/>
      <w:bookmarkStart w:id="62" w:name="_Toc15377444"/>
      <w:r>
        <w:rPr>
          <w:rFonts w:hint="eastAsia" w:ascii="仿宋_GB2312" w:hAnsi="仿宋_GB2312" w:eastAsia="仿宋_GB2312" w:cs="仿宋_GB2312"/>
          <w:b/>
          <w:sz w:val="32"/>
          <w:szCs w:val="32"/>
        </w:rPr>
        <w:t>2022年一般公共预算支出决算数为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221.54</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7"/>
          <w:rFonts w:hint="eastAsia" w:ascii="仿宋_GB2312" w:hAnsi="仿宋_GB2312" w:eastAsia="仿宋_GB2312" w:cs="仿宋_GB2312"/>
          <w:bCs/>
          <w:sz w:val="32"/>
          <w:szCs w:val="32"/>
        </w:rPr>
        <w:t>完成预算</w:t>
      </w:r>
      <w:r>
        <w:rPr>
          <w:rStyle w:val="17"/>
          <w:rFonts w:hint="eastAsia" w:ascii="仿宋_GB2312" w:hAnsi="仿宋_GB2312" w:eastAsia="仿宋_GB2312" w:cs="仿宋_GB2312"/>
          <w:bCs/>
          <w:sz w:val="32"/>
          <w:szCs w:val="32"/>
          <w:lang w:val="en-US" w:eastAsia="zh-CN"/>
        </w:rPr>
        <w:t>100</w:t>
      </w:r>
      <w:r>
        <w:rPr>
          <w:rStyle w:val="17"/>
          <w:rFonts w:hint="eastAsia" w:ascii="仿宋_GB2312" w:hAnsi="仿宋_GB2312" w:eastAsia="仿宋_GB2312" w:cs="仿宋_GB2312"/>
          <w:bCs/>
          <w:sz w:val="32"/>
          <w:szCs w:val="32"/>
        </w:rPr>
        <w:t>%。其中：</w:t>
      </w:r>
      <w:bookmarkEnd w:id="58"/>
      <w:bookmarkEnd w:id="59"/>
      <w:bookmarkEnd w:id="60"/>
      <w:bookmarkEnd w:id="61"/>
      <w:bookmarkEnd w:id="6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2013601一般公共服务支出行政运行</w:t>
      </w:r>
      <w:r>
        <w:rPr>
          <w:rFonts w:hint="eastAsia" w:ascii="仿宋_GB2312" w:hAnsi="仿宋_GB2312" w:eastAsia="仿宋_GB2312" w:cs="仿宋_GB2312"/>
          <w:color w:val="auto"/>
          <w:sz w:val="32"/>
          <w:szCs w:val="32"/>
          <w:lang w:val="en-US" w:eastAsia="zh-CN"/>
        </w:rPr>
        <w:t>142.63</w:t>
      </w:r>
      <w:r>
        <w:rPr>
          <w:rFonts w:hint="eastAsia" w:ascii="仿宋_GB2312" w:hAnsi="仿宋_GB2312" w:eastAsia="仿宋_GB2312" w:cs="仿宋_GB2312"/>
          <w:color w:val="auto"/>
          <w:sz w:val="32"/>
          <w:szCs w:val="32"/>
        </w:rPr>
        <w:t>万元主要用于机关事业单位人员工资、日常运转</w:t>
      </w:r>
      <w:r>
        <w:rPr>
          <w:rFonts w:hint="eastAsia" w:ascii="仿宋_GB2312" w:hAnsi="仿宋_GB2312" w:eastAsia="仿宋_GB2312" w:cs="仿宋_GB2312"/>
          <w:color w:val="auto"/>
          <w:sz w:val="32"/>
          <w:szCs w:val="32"/>
          <w:lang w:eastAsia="zh-CN"/>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2080505基本养老保险支出</w:t>
      </w:r>
      <w:r>
        <w:rPr>
          <w:rFonts w:hint="eastAsia" w:ascii="仿宋_GB2312" w:hAnsi="仿宋_GB2312" w:eastAsia="仿宋_GB2312" w:cs="仿宋_GB2312"/>
          <w:color w:val="auto"/>
          <w:sz w:val="32"/>
          <w:szCs w:val="32"/>
          <w:lang w:val="en-US" w:eastAsia="zh-CN"/>
        </w:rPr>
        <w:t>16.27</w:t>
      </w:r>
      <w:r>
        <w:rPr>
          <w:rFonts w:hint="eastAsia" w:ascii="仿宋_GB2312" w:hAnsi="仿宋_GB2312" w:eastAsia="仿宋_GB2312" w:cs="仿宋_GB2312"/>
          <w:color w:val="auto"/>
          <w:sz w:val="32"/>
          <w:szCs w:val="32"/>
        </w:rPr>
        <w:t>万元，用于机关单位按照规定标准为职工缴纳养老保险等支出</w:t>
      </w:r>
      <w:r>
        <w:rPr>
          <w:rFonts w:hint="eastAsia" w:ascii="仿宋_GB2312" w:hAnsi="仿宋_GB2312" w:eastAsia="仿宋_GB2312" w:cs="仿宋_GB2312"/>
          <w:color w:val="auto"/>
          <w:sz w:val="32"/>
          <w:szCs w:val="32"/>
          <w:lang w:eastAsia="zh-CN"/>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2080506职业年金支出</w:t>
      </w:r>
      <w:r>
        <w:rPr>
          <w:rFonts w:hint="eastAsia" w:ascii="仿宋_GB2312" w:hAnsi="仿宋_GB2312" w:eastAsia="仿宋_GB2312" w:cs="仿宋_GB2312"/>
          <w:color w:val="auto"/>
          <w:sz w:val="32"/>
          <w:szCs w:val="32"/>
          <w:lang w:val="en-US" w:eastAsia="zh-CN"/>
        </w:rPr>
        <w:t>8.13</w:t>
      </w:r>
      <w:r>
        <w:rPr>
          <w:rFonts w:hint="eastAsia" w:ascii="仿宋_GB2312" w:hAnsi="仿宋_GB2312" w:eastAsia="仿宋_GB2312" w:cs="仿宋_GB2312"/>
          <w:color w:val="auto"/>
          <w:sz w:val="32"/>
          <w:szCs w:val="32"/>
        </w:rPr>
        <w:t>万元，用于机关单位按照规定标准为职工缴纳职业年金等支出</w:t>
      </w:r>
      <w:r>
        <w:rPr>
          <w:rFonts w:hint="eastAsia" w:ascii="仿宋_GB2312" w:hAnsi="仿宋_GB2312" w:eastAsia="仿宋_GB2312" w:cs="仿宋_GB2312"/>
          <w:color w:val="auto"/>
          <w:sz w:val="32"/>
          <w:szCs w:val="32"/>
          <w:lang w:eastAsia="zh-CN"/>
        </w:rPr>
        <w:t>完成预算</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2101101行政单位医疗</w:t>
      </w:r>
      <w:r>
        <w:rPr>
          <w:rFonts w:hint="eastAsia" w:ascii="仿宋_GB2312" w:hAnsi="仿宋_GB2312" w:eastAsia="仿宋_GB2312" w:cs="仿宋_GB2312"/>
          <w:sz w:val="32"/>
          <w:szCs w:val="32"/>
          <w:lang w:val="en-US" w:eastAsia="zh-CN"/>
        </w:rPr>
        <w:t>8.61</w:t>
      </w:r>
      <w:r>
        <w:rPr>
          <w:rFonts w:hint="eastAsia" w:ascii="仿宋_GB2312" w:hAnsi="仿宋_GB2312" w:eastAsia="仿宋_GB2312" w:cs="仿宋_GB2312"/>
          <w:sz w:val="32"/>
          <w:szCs w:val="32"/>
        </w:rPr>
        <w:t>万元主要用于机关事业单位按照规定标准为职工缴纳的基本医疗保险及公务员医疗补助等支出</w:t>
      </w:r>
      <w:r>
        <w:rPr>
          <w:rFonts w:hint="eastAsia" w:ascii="仿宋_GB2312" w:hAnsi="仿宋_GB2312" w:eastAsia="仿宋_GB2312" w:cs="仿宋_GB2312"/>
          <w:sz w:val="32"/>
          <w:szCs w:val="32"/>
          <w:lang w:eastAsia="zh-CN"/>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210110</w:t>
      </w:r>
      <w:r>
        <w:rPr>
          <w:rFonts w:hint="eastAsia" w:ascii="仿宋_GB2312" w:hAnsi="仿宋_GB2312" w:eastAsia="仿宋_GB2312" w:cs="仿宋_GB2312"/>
          <w:sz w:val="32"/>
          <w:szCs w:val="32"/>
          <w:lang w:val="en-US" w:eastAsia="zh-CN"/>
        </w:rPr>
        <w:t>3公务员</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万元主要用于机关事业单位按照规定标准为职工缴纳的基本医疗保险及公务员医疗补助等支出</w:t>
      </w:r>
      <w:r>
        <w:rPr>
          <w:rFonts w:hint="eastAsia" w:ascii="仿宋_GB2312" w:hAnsi="仿宋_GB2312" w:eastAsia="仿宋_GB2312" w:cs="仿宋_GB2312"/>
          <w:sz w:val="32"/>
          <w:szCs w:val="32"/>
          <w:lang w:eastAsia="zh-CN"/>
        </w:rPr>
        <w:t>完成预算</w:t>
      </w:r>
      <w:r>
        <w:rPr>
          <w:rFonts w:hint="eastAsia" w:ascii="仿宋_GB2312" w:hAnsi="仿宋_GB2312" w:eastAsia="仿宋_GB2312" w:cs="仿宋_GB2312"/>
          <w:sz w:val="32"/>
          <w:szCs w:val="32"/>
          <w:lang w:val="en-US" w:eastAsia="zh-CN"/>
        </w:rPr>
        <w:t>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2210201住房公积金支出</w:t>
      </w:r>
      <w:r>
        <w:rPr>
          <w:rFonts w:hint="eastAsia" w:ascii="仿宋_GB2312" w:hAnsi="仿宋_GB2312" w:eastAsia="仿宋_GB2312" w:cs="仿宋_GB2312"/>
          <w:sz w:val="32"/>
          <w:szCs w:val="32"/>
          <w:lang w:val="en-US" w:eastAsia="zh-CN"/>
        </w:rPr>
        <w:t>12.70</w:t>
      </w:r>
      <w:r>
        <w:rPr>
          <w:rFonts w:hint="eastAsia" w:ascii="仿宋_GB2312" w:hAnsi="仿宋_GB2312" w:eastAsia="仿宋_GB2312" w:cs="仿宋_GB2312"/>
          <w:sz w:val="32"/>
          <w:szCs w:val="32"/>
        </w:rPr>
        <w:t>万元，用于机关事业单位按照规定标准为职工缴纳住房公积金等支出</w:t>
      </w:r>
      <w:r>
        <w:rPr>
          <w:rFonts w:hint="eastAsia" w:ascii="仿宋_GB2312" w:hAnsi="仿宋_GB2312" w:eastAsia="仿宋_GB2312" w:cs="仿宋_GB2312"/>
          <w:sz w:val="32"/>
          <w:szCs w:val="32"/>
          <w:lang w:eastAsia="zh-CN"/>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2013602一般行政管理事务</w:t>
      </w:r>
      <w:r>
        <w:rPr>
          <w:rFonts w:hint="eastAsia" w:ascii="仿宋_GB2312" w:hAnsi="仿宋_GB2312" w:eastAsia="仿宋_GB2312" w:cs="仿宋_GB2312"/>
          <w:sz w:val="32"/>
          <w:szCs w:val="32"/>
          <w:lang w:val="en-US" w:eastAsia="zh-CN"/>
        </w:rPr>
        <w:t>31.40</w:t>
      </w:r>
      <w:r>
        <w:rPr>
          <w:rFonts w:hint="eastAsia" w:ascii="仿宋_GB2312" w:hAnsi="仿宋_GB2312" w:eastAsia="仿宋_GB2312" w:cs="仿宋_GB2312"/>
          <w:sz w:val="32"/>
          <w:szCs w:val="32"/>
        </w:rPr>
        <w:t>万元，用于本单位事业发展目标而安排的年度项目支出</w:t>
      </w:r>
      <w:r>
        <w:rPr>
          <w:rFonts w:hint="eastAsia" w:ascii="仿宋_GB2312" w:hAnsi="仿宋_GB2312" w:eastAsia="仿宋_GB2312" w:cs="仿宋_GB2312"/>
          <w:sz w:val="32"/>
          <w:szCs w:val="32"/>
          <w:lang w:eastAsia="zh-CN"/>
        </w:rPr>
        <w:t>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bookmarkStart w:id="63" w:name="_Toc15377214"/>
      <w:bookmarkStart w:id="64" w:name="_Toc10163"/>
      <w:bookmarkStart w:id="65" w:name="_Toc15396608"/>
    </w:p>
    <w:p>
      <w:pPr>
        <w:numPr>
          <w:ilvl w:val="0"/>
          <w:numId w:val="3"/>
        </w:numPr>
        <w:spacing w:line="560" w:lineRule="exact"/>
        <w:ind w:firstLine="643" w:firstLineChars="200"/>
        <w:outlineLvl w:val="1"/>
        <w:rPr>
          <w:rStyle w:val="20"/>
          <w:rFonts w:ascii="黑体" w:eastAsia="黑体"/>
          <w:b w:val="0"/>
        </w:rPr>
      </w:pPr>
      <w:bookmarkStart w:id="66" w:name="_Toc7187"/>
      <w:r>
        <w:rPr>
          <w:rFonts w:hint="eastAsia" w:ascii="黑体" w:eastAsia="黑体"/>
          <w:b/>
          <w:sz w:val="32"/>
          <w:szCs w:val="32"/>
        </w:rPr>
        <w:t>一</w:t>
      </w:r>
      <w:r>
        <w:rPr>
          <w:rStyle w:val="20"/>
          <w:rFonts w:hint="eastAsia" w:ascii="黑体" w:eastAsia="黑体"/>
          <w:b w:val="0"/>
        </w:rPr>
        <w:t>般公共预算财政拨款基本支出决算情况说明</w:t>
      </w:r>
      <w:bookmarkEnd w:id="63"/>
      <w:bookmarkEnd w:id="64"/>
      <w:bookmarkEnd w:id="65"/>
      <w:bookmarkEnd w:id="66"/>
      <w:r>
        <w:rPr>
          <w:rStyle w:val="20"/>
          <w:rFonts w:ascii="黑体" w:eastAsia="黑体"/>
          <w:b w:val="0"/>
        </w:rPr>
        <w:tab/>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w:t>
      </w:r>
      <w:r>
        <w:rPr>
          <w:rFonts w:hint="eastAsia" w:ascii="仿宋_GB2312" w:hAnsi="仿宋_GB2312" w:eastAsia="仿宋_GB2312" w:cs="仿宋_GB2312"/>
          <w:sz w:val="32"/>
          <w:szCs w:val="32"/>
          <w:lang w:val="en-US" w:eastAsia="zh-CN"/>
        </w:rPr>
        <w:t>190.15</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179.11</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35.82</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90.91</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2.95</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16.27</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8.13</w:t>
      </w:r>
      <w:r>
        <w:rPr>
          <w:rFonts w:hint="eastAsia" w:ascii="仿宋_GB2312" w:hAnsi="仿宋_GB2312" w:eastAsia="仿宋_GB2312" w:cs="仿宋_GB2312"/>
          <w:sz w:val="32"/>
          <w:szCs w:val="32"/>
        </w:rPr>
        <w:t>、其他社会保障缴费</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万元、医疗费补助</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公务员医疗补助</w:t>
      </w:r>
      <w:r>
        <w:rPr>
          <w:rFonts w:hint="eastAsia" w:ascii="仿宋_GB2312" w:hAnsi="仿宋_GB2312" w:eastAsia="仿宋_GB2312" w:cs="仿宋_GB2312"/>
          <w:sz w:val="32"/>
          <w:szCs w:val="32"/>
          <w:lang w:val="en-US" w:eastAsia="zh-CN"/>
        </w:rPr>
        <w:t>1.81万元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基本医疗保险</w:t>
      </w:r>
      <w:r>
        <w:rPr>
          <w:rFonts w:hint="eastAsia" w:ascii="仿宋_GB2312" w:hAnsi="仿宋_GB2312" w:eastAsia="仿宋_GB2312" w:cs="仿宋_GB2312"/>
          <w:sz w:val="32"/>
          <w:szCs w:val="32"/>
          <w:lang w:val="en-US" w:eastAsia="zh-CN"/>
        </w:rPr>
        <w:t>8.61万元、医疗费0.10万元、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12.70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11.04</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4.76</w:t>
      </w:r>
      <w:r>
        <w:rPr>
          <w:rFonts w:hint="eastAsia" w:ascii="仿宋_GB2312" w:hAnsi="仿宋_GB2312" w:eastAsia="仿宋_GB2312" w:cs="仿宋_GB2312"/>
          <w:sz w:val="32"/>
          <w:szCs w:val="32"/>
        </w:rPr>
        <w:t>万元、水费</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万元、电费</w:t>
      </w:r>
      <w:r>
        <w:rPr>
          <w:rFonts w:hint="eastAsia" w:ascii="仿宋_GB2312" w:hAnsi="仿宋_GB2312" w:eastAsia="仿宋_GB2312" w:cs="仿宋_GB2312"/>
          <w:sz w:val="32"/>
          <w:szCs w:val="32"/>
          <w:lang w:val="en-US" w:eastAsia="zh-CN"/>
        </w:rPr>
        <w:t>0.26</w:t>
      </w:r>
      <w:r>
        <w:rPr>
          <w:rFonts w:hint="eastAsia" w:ascii="仿宋_GB2312" w:hAnsi="仿宋_GB2312" w:eastAsia="仿宋_GB2312" w:cs="仿宋_GB2312"/>
          <w:sz w:val="32"/>
          <w:szCs w:val="32"/>
        </w:rPr>
        <w:t>万元、邮电费</w:t>
      </w:r>
      <w:r>
        <w:rPr>
          <w:rFonts w:hint="eastAsia" w:ascii="仿宋_GB2312" w:hAnsi="仿宋_GB2312" w:eastAsia="仿宋_GB2312" w:cs="仿宋_GB2312"/>
          <w:sz w:val="32"/>
          <w:szCs w:val="32"/>
          <w:lang w:val="en-US" w:eastAsia="zh-CN"/>
        </w:rPr>
        <w:t>0.90</w:t>
      </w:r>
      <w:r>
        <w:rPr>
          <w:rFonts w:hint="eastAsia" w:ascii="仿宋_GB2312" w:hAnsi="仿宋_GB2312" w:eastAsia="仿宋_GB2312" w:cs="仿宋_GB2312"/>
          <w:sz w:val="32"/>
          <w:szCs w:val="32"/>
        </w:rPr>
        <w:t>万元、取暖费</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1.16</w:t>
      </w:r>
      <w:r>
        <w:rPr>
          <w:rFonts w:hint="eastAsia" w:ascii="仿宋_GB2312" w:hAnsi="仿宋_GB2312" w:eastAsia="仿宋_GB2312" w:cs="仿宋_GB2312"/>
          <w:sz w:val="32"/>
          <w:szCs w:val="32"/>
        </w:rPr>
        <w:t>万元、工会经费</w:t>
      </w: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万元、福公务用车运行维护费</w:t>
      </w:r>
      <w:r>
        <w:rPr>
          <w:rFonts w:hint="eastAsia" w:ascii="仿宋_GB2312" w:hAnsi="仿宋_GB2312" w:eastAsia="仿宋_GB2312" w:cs="仿宋_GB2312"/>
          <w:sz w:val="32"/>
          <w:szCs w:val="32"/>
          <w:lang w:val="en-US" w:eastAsia="zh-CN"/>
        </w:rPr>
        <w:t>2.62</w:t>
      </w:r>
      <w:r>
        <w:rPr>
          <w:rFonts w:hint="eastAsia" w:ascii="仿宋_GB2312" w:hAnsi="仿宋_GB2312" w:eastAsia="仿宋_GB2312" w:cs="仿宋_GB2312"/>
          <w:sz w:val="32"/>
          <w:szCs w:val="32"/>
        </w:rPr>
        <w:t>万元。</w:t>
      </w:r>
    </w:p>
    <w:p>
      <w:pPr>
        <w:spacing w:line="600" w:lineRule="exact"/>
        <w:ind w:firstLine="640" w:firstLineChars="200"/>
        <w:outlineLvl w:val="1"/>
        <w:rPr>
          <w:rStyle w:val="20"/>
          <w:rFonts w:hint="eastAsia" w:ascii="黑体" w:hAnsi="黑体" w:eastAsia="黑体" w:cs="黑体"/>
          <w:b w:val="0"/>
        </w:rPr>
      </w:pPr>
      <w:bookmarkStart w:id="67" w:name="_Toc15396609"/>
      <w:bookmarkStart w:id="68" w:name="_Toc1741"/>
      <w:bookmarkStart w:id="69" w:name="_Toc15377215"/>
      <w:bookmarkStart w:id="70" w:name="_Toc18987"/>
      <w:r>
        <w:rPr>
          <w:rFonts w:hint="eastAsia" w:ascii="黑体" w:hAnsi="黑体" w:eastAsia="黑体" w:cs="黑体"/>
          <w:sz w:val="32"/>
          <w:szCs w:val="32"/>
        </w:rPr>
        <w:t>七、</w:t>
      </w:r>
      <w:r>
        <w:rPr>
          <w:rStyle w:val="20"/>
          <w:rFonts w:hint="eastAsia" w:ascii="黑体" w:hAnsi="黑体" w:eastAsia="黑体" w:cs="黑体"/>
          <w:b w:val="0"/>
        </w:rPr>
        <w:t>财政拨款</w:t>
      </w:r>
      <w:r>
        <w:rPr>
          <w:rStyle w:val="20"/>
          <w:rFonts w:hint="eastAsia" w:ascii="黑体" w:hAnsi="黑体" w:eastAsia="黑体" w:cs="黑体"/>
        </w:rPr>
        <w:t>“</w:t>
      </w:r>
      <w:r>
        <w:rPr>
          <w:rStyle w:val="20"/>
          <w:rFonts w:hint="eastAsia" w:ascii="黑体" w:hAnsi="黑体" w:eastAsia="黑体" w:cs="黑体"/>
          <w:b w:val="0"/>
        </w:rPr>
        <w:t>三公”经费支出决算情况说明</w:t>
      </w:r>
      <w:bookmarkEnd w:id="67"/>
      <w:bookmarkEnd w:id="68"/>
      <w:bookmarkEnd w:id="69"/>
      <w:bookmarkEnd w:id="70"/>
    </w:p>
    <w:p>
      <w:pPr>
        <w:spacing w:line="600" w:lineRule="exact"/>
        <w:ind w:firstLine="643" w:firstLineChars="200"/>
        <w:outlineLvl w:val="2"/>
        <w:rPr>
          <w:rFonts w:hint="eastAsia" w:ascii="楷体_GB2312" w:hAnsi="楷体_GB2312" w:eastAsia="楷体_GB2312" w:cs="楷体_GB2312"/>
          <w:b/>
          <w:sz w:val="32"/>
          <w:szCs w:val="32"/>
        </w:rPr>
      </w:pPr>
      <w:bookmarkStart w:id="71" w:name="_Toc15377216"/>
      <w:bookmarkStart w:id="72" w:name="_Toc10382"/>
      <w:r>
        <w:rPr>
          <w:rFonts w:hint="eastAsia" w:ascii="楷体_GB2312" w:hAnsi="楷体_GB2312" w:eastAsia="楷体_GB2312" w:cs="楷体_GB2312"/>
          <w:b/>
          <w:sz w:val="32"/>
          <w:szCs w:val="32"/>
        </w:rPr>
        <w:t>（一）“三公”经费财政拨款支出决算总体情况说明</w:t>
      </w:r>
      <w:bookmarkEnd w:id="71"/>
      <w:bookmarkEnd w:id="72"/>
    </w:p>
    <w:p>
      <w:pPr>
        <w:spacing w:line="60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2022年“三公”经费财政拨款支出决算为</w:t>
      </w:r>
      <w:r>
        <w:rPr>
          <w:rFonts w:hint="eastAsia" w:ascii="仿宋_GB2312" w:hAnsi="仿宋_GB2312" w:eastAsia="仿宋_GB2312" w:cs="仿宋_GB2312"/>
          <w:sz w:val="32"/>
          <w:szCs w:val="32"/>
          <w:lang w:val="en-US" w:eastAsia="zh-CN"/>
        </w:rPr>
        <w:t>2.62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%，较上年增加</w:t>
      </w:r>
      <w:r>
        <w:rPr>
          <w:rFonts w:hint="eastAsia" w:ascii="仿宋_GB2312" w:hAnsi="仿宋_GB2312" w:eastAsia="仿宋_GB2312" w:cs="仿宋_GB2312"/>
          <w:sz w:val="32"/>
          <w:szCs w:val="32"/>
          <w:lang w:val="en-US" w:eastAsia="zh-CN"/>
        </w:rPr>
        <w:t>0.72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27.45</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的主要原因是</w:t>
      </w:r>
      <w:r>
        <w:rPr>
          <w:rFonts w:hint="eastAsia" w:ascii="仿宋_GB2312" w:hAnsi="仿宋_GB2312" w:eastAsia="仿宋_GB2312" w:cs="仿宋_GB2312"/>
          <w:sz w:val="32"/>
          <w:szCs w:val="32"/>
          <w:lang w:eastAsia="zh-CN"/>
        </w:rPr>
        <w:t>公务用车维修</w:t>
      </w:r>
      <w:r>
        <w:rPr>
          <w:rFonts w:hint="eastAsia" w:ascii="仿宋_GB2312" w:hAnsi="仿宋_GB2312" w:eastAsia="仿宋_GB2312" w:cs="仿宋_GB2312"/>
          <w:sz w:val="32"/>
          <w:szCs w:val="32"/>
        </w:rPr>
        <w:t>。</w:t>
      </w:r>
    </w:p>
    <w:p>
      <w:pPr>
        <w:spacing w:line="600" w:lineRule="exact"/>
        <w:ind w:firstLine="643" w:firstLineChars="200"/>
        <w:outlineLvl w:val="2"/>
        <w:rPr>
          <w:rFonts w:hint="eastAsia" w:ascii="楷体_GB2312" w:hAnsi="楷体_GB2312" w:eastAsia="楷体_GB2312" w:cs="楷体_GB2312"/>
          <w:b/>
          <w:sz w:val="32"/>
          <w:szCs w:val="32"/>
        </w:rPr>
      </w:pPr>
      <w:bookmarkStart w:id="73" w:name="_Toc15377217"/>
      <w:bookmarkStart w:id="74" w:name="_Toc4559"/>
      <w:r>
        <w:rPr>
          <w:rFonts w:hint="eastAsia" w:ascii="楷体_GB2312" w:hAnsi="楷体_GB2312" w:eastAsia="楷体_GB2312" w:cs="楷体_GB2312"/>
          <w:b/>
          <w:sz w:val="32"/>
          <w:szCs w:val="32"/>
        </w:rPr>
        <w:t>（二）“三公”经费财政拨款支出决算具体情况说明</w:t>
      </w:r>
      <w:bookmarkEnd w:id="73"/>
      <w:bookmarkEnd w:id="74"/>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%；公务用车运行维护费支出决算</w:t>
      </w:r>
      <w:r>
        <w:rPr>
          <w:rFonts w:hint="eastAsia" w:ascii="仿宋_GB2312" w:hAnsi="仿宋_GB2312" w:eastAsia="仿宋_GB2312" w:cs="仿宋_GB2312"/>
          <w:sz w:val="32"/>
          <w:szCs w:val="32"/>
          <w:lang w:val="en-US" w:eastAsia="zh-CN"/>
        </w:rPr>
        <w:t>2.62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pStyle w:val="2"/>
        <w:rPr>
          <w:rFonts w:hint="eastAsia" w:ascii="仿宋" w:eastAsia="仿宋"/>
          <w:sz w:val="32"/>
          <w:szCs w:val="32"/>
        </w:rPr>
      </w:pPr>
      <w:r>
        <w:rPr>
          <w:rFonts w:hint="eastAsia" w:eastAsiaTheme="minorEastAsia"/>
          <w:lang w:val="en-US" w:eastAsia="zh-CN"/>
        </w:rPr>
        <w:t xml:space="preserve">        </w:t>
      </w:r>
      <w:r>
        <w:rPr>
          <w:rFonts w:hint="eastAsia" w:eastAsiaTheme="minorEastAsia"/>
          <w:lang w:eastAsia="zh-CN"/>
        </w:rPr>
        <w:drawing>
          <wp:inline distT="0" distB="0" distL="114300" distR="114300">
            <wp:extent cx="2595880" cy="2119630"/>
            <wp:effectExtent l="4445" t="4445" r="9525"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ascii="仿宋" w:eastAsia="仿宋"/>
          <w:sz w:val="32"/>
          <w:szCs w:val="32"/>
        </w:rPr>
      </w:pPr>
      <w:r>
        <w:rPr>
          <w:rFonts w:hint="eastAsia" w:ascii="仿宋" w:eastAsia="仿宋"/>
          <w:sz w:val="30"/>
          <w:szCs w:val="30"/>
        </w:rPr>
        <w:t>（图7：“三公”经费财政拨款支出结构）（饼状图）</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rPr>
        <w:t>万元</w:t>
      </w:r>
      <w:r>
        <w:rPr>
          <w:rFonts w:hint="eastAsia" w:ascii="仿宋_GB2312" w:hAnsi="仿宋_GB2312" w:eastAsia="仿宋_GB2312" w:cs="仿宋_GB2312"/>
          <w:sz w:val="32"/>
          <w:szCs w:val="32"/>
        </w:rPr>
        <w:t>，</w:t>
      </w:r>
      <w:r>
        <w:rPr>
          <w:rStyle w:val="17"/>
          <w:rFonts w:hint="eastAsia" w:ascii="仿宋_GB2312" w:hAnsi="仿宋_GB2312" w:eastAsia="仿宋_GB2312" w:cs="仿宋_GB2312"/>
          <w:b w:val="0"/>
          <w:bCs/>
          <w:sz w:val="32"/>
          <w:szCs w:val="32"/>
        </w:rPr>
        <w:t>完成预算</w:t>
      </w:r>
      <w:r>
        <w:rPr>
          <w:rStyle w:val="17"/>
          <w:rFonts w:hint="eastAsia" w:ascii="仿宋_GB2312" w:hAnsi="仿宋_GB2312" w:eastAsia="仿宋_GB2312" w:cs="仿宋_GB2312"/>
          <w:b w:val="0"/>
          <w:bCs/>
          <w:sz w:val="32"/>
          <w:szCs w:val="32"/>
          <w:lang w:val="en-US" w:eastAsia="zh-CN"/>
        </w:rPr>
        <w:t>0</w:t>
      </w:r>
      <w:r>
        <w:rPr>
          <w:rStyle w:val="17"/>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人。因公出国（境）支出决算比2021年</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b w:val="0"/>
          <w:bCs/>
          <w:sz w:val="32"/>
          <w:szCs w:val="32"/>
          <w:lang w:val="en-US" w:eastAsia="zh-CN"/>
        </w:rPr>
        <w:t>2.62</w:t>
      </w:r>
      <w:r>
        <w:rPr>
          <w:rFonts w:hint="eastAsia" w:ascii="仿宋_GB2312" w:hAnsi="仿宋_GB2312" w:eastAsia="仿宋_GB2312" w:cs="仿宋_GB2312"/>
          <w:b w:val="0"/>
          <w:bCs/>
          <w:sz w:val="32"/>
          <w:szCs w:val="32"/>
        </w:rPr>
        <w:t>万元,</w:t>
      </w:r>
      <w:r>
        <w:rPr>
          <w:rStyle w:val="17"/>
          <w:rFonts w:hint="eastAsia" w:ascii="仿宋_GB2312" w:hAnsi="仿宋_GB2312" w:eastAsia="仿宋_GB2312" w:cs="仿宋_GB2312"/>
          <w:b w:val="0"/>
          <w:bCs/>
          <w:sz w:val="32"/>
          <w:szCs w:val="32"/>
        </w:rPr>
        <w:t>完成预算</w:t>
      </w:r>
      <w:r>
        <w:rPr>
          <w:rStyle w:val="17"/>
          <w:rFonts w:hint="eastAsia" w:ascii="仿宋_GB2312" w:hAnsi="仿宋_GB2312" w:eastAsia="仿宋_GB2312" w:cs="仿宋_GB2312"/>
          <w:b w:val="0"/>
          <w:bCs/>
          <w:sz w:val="32"/>
          <w:szCs w:val="32"/>
          <w:lang w:val="en-US" w:eastAsia="zh-CN"/>
        </w:rPr>
        <w:t>100</w:t>
      </w:r>
      <w:r>
        <w:rPr>
          <w:rStyle w:val="17"/>
          <w:rFonts w:hint="eastAsia" w:ascii="仿宋_GB2312" w:hAnsi="仿宋_GB2312" w:eastAsia="仿宋_GB2312" w:cs="仿宋_GB2312"/>
          <w:b w:val="0"/>
          <w:bCs/>
          <w:sz w:val="32"/>
          <w:szCs w:val="32"/>
        </w:rPr>
        <w:t>%</w:t>
      </w:r>
      <w:r>
        <w:rPr>
          <w:rStyle w:val="17"/>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sz w:val="32"/>
          <w:szCs w:val="32"/>
        </w:rPr>
        <w:t>公务用车购置及运行维护费支出决算比2021年增加</w:t>
      </w:r>
      <w:r>
        <w:rPr>
          <w:rFonts w:hint="eastAsia" w:ascii="仿宋_GB2312" w:hAnsi="仿宋_GB2312" w:eastAsia="仿宋_GB2312" w:cs="仿宋_GB2312"/>
          <w:sz w:val="32"/>
          <w:szCs w:val="32"/>
          <w:lang w:val="en-US" w:eastAsia="zh-CN"/>
        </w:rPr>
        <w:t>0.72</w:t>
      </w:r>
      <w:r>
        <w:rPr>
          <w:rFonts w:hint="eastAsia" w:ascii="仿宋_GB2312" w:hAnsi="仿宋_GB2312" w:eastAsia="仿宋_GB2312" w:cs="仿宋_GB2312"/>
          <w:sz w:val="32"/>
          <w:szCs w:val="32"/>
        </w:rPr>
        <w:t>万元，增长</w:t>
      </w:r>
      <w:r>
        <w:rPr>
          <w:rFonts w:hint="eastAsia" w:ascii="仿宋_GB2312" w:hAnsi="仿宋_GB2312" w:eastAsia="仿宋_GB2312" w:cs="仿宋_GB2312"/>
          <w:sz w:val="32"/>
          <w:szCs w:val="32"/>
          <w:lang w:val="en-US" w:eastAsia="zh-CN"/>
        </w:rPr>
        <w:t>27.45</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eastAsia="zh-CN"/>
        </w:rPr>
        <w:t>是公务用车维修</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其中：</w:t>
      </w:r>
      <w:r>
        <w:rPr>
          <w:rFonts w:hint="eastAsia" w:ascii="仿宋_GB2312" w:hAnsi="仿宋_GB2312" w:eastAsia="仿宋_GB2312" w:cs="仿宋_GB2312"/>
          <w:b/>
          <w:sz w:val="32"/>
          <w:szCs w:val="32"/>
        </w:rPr>
        <w:t>公务用车购置支出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rPr>
        <w:t>万元</w:t>
      </w:r>
      <w:r>
        <w:rPr>
          <w:rFonts w:hint="eastAsia" w:ascii="仿宋_GB2312" w:hAnsi="仿宋_GB2312" w:eastAsia="仿宋_GB2312" w:cs="仿宋_GB2312"/>
          <w:sz w:val="32"/>
          <w:szCs w:val="32"/>
        </w:rPr>
        <w:t>。全年按规定更新购置公务用车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万元。截至2022年12月底，单位共有公务用车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辆，其中：轿车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辆、越野车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辆、载客汽车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b w:val="0"/>
          <w:bCs/>
          <w:sz w:val="32"/>
          <w:szCs w:val="32"/>
          <w:lang w:val="en-US" w:eastAsia="zh-CN"/>
        </w:rPr>
        <w:t>2.62</w:t>
      </w:r>
      <w:r>
        <w:rPr>
          <w:rFonts w:hint="eastAsia" w:ascii="仿宋_GB2312" w:hAnsi="仿宋_GB2312" w:eastAsia="仿宋_GB2312" w:cs="仿宋_GB2312"/>
          <w:b w:val="0"/>
          <w:bCs/>
          <w:sz w:val="32"/>
          <w:szCs w:val="32"/>
        </w:rPr>
        <w:t>万元。主</w:t>
      </w:r>
      <w:r>
        <w:rPr>
          <w:rFonts w:hint="eastAsia" w:ascii="仿宋_GB2312" w:hAnsi="仿宋_GB2312" w:eastAsia="仿宋_GB2312" w:cs="仿宋_GB2312"/>
          <w:sz w:val="32"/>
          <w:szCs w:val="32"/>
        </w:rPr>
        <w:t>要用于公务用车燃料费、维修费、过路过桥费、保险费等支出。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公务接待费支出决算2021年</w:t>
      </w:r>
      <w:r>
        <w:rPr>
          <w:rFonts w:hint="eastAsia" w:ascii="仿宋_GB2312" w:hAnsi="仿宋_GB2312" w:eastAsia="仿宋_GB2312" w:cs="仿宋_GB2312"/>
          <w:sz w:val="32"/>
          <w:szCs w:val="32"/>
          <w:lang w:eastAsia="zh-CN"/>
        </w:rPr>
        <w:t>持平</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国内公务接待支出</w:t>
      </w:r>
      <w:r>
        <w:rPr>
          <w:rFonts w:hint="eastAsia" w:ascii="仿宋_GB2312" w:hAnsi="仿宋_GB2312" w:eastAsia="仿宋_GB2312" w:cs="仿宋_GB2312"/>
          <w:b w:val="0"/>
          <w:bCs/>
          <w:sz w:val="32"/>
          <w:szCs w:val="32"/>
          <w:lang w:val="en-US" w:eastAsia="zh-CN"/>
        </w:rPr>
        <w:t>0</w:t>
      </w:r>
      <w:r>
        <w:rPr>
          <w:rFonts w:hint="eastAsia" w:ascii="仿宋_GB2312" w:hAnsi="仿宋_GB2312" w:eastAsia="仿宋_GB2312" w:cs="仿宋_GB2312"/>
          <w:b w:val="0"/>
          <w:bCs/>
          <w:sz w:val="32"/>
          <w:szCs w:val="32"/>
        </w:rPr>
        <w:t>万元</w:t>
      </w:r>
      <w:r>
        <w:rPr>
          <w:rFonts w:hint="eastAsia" w:ascii="仿宋_GB2312" w:hAnsi="仿宋_GB2312" w:eastAsia="仿宋_GB2312" w:cs="仿宋_GB2312"/>
          <w:sz w:val="32"/>
          <w:szCs w:val="32"/>
        </w:rPr>
        <w:t>。国内公务接待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eastAsia="仿宋_GB2312"/>
          <w:sz w:val="32"/>
          <w:szCs w:val="32"/>
        </w:rPr>
      </w:pPr>
      <w:r>
        <w:rPr>
          <w:rFonts w:hint="eastAsia" w:ascii="仿宋_GB2312" w:hAnsi="仿宋_GB2312" w:eastAsia="仿宋_GB2312" w:cs="仿宋_GB2312"/>
          <w:b/>
          <w:sz w:val="32"/>
          <w:szCs w:val="32"/>
        </w:rPr>
        <w:t>外事接待支出</w:t>
      </w:r>
      <w:r>
        <w:rPr>
          <w:rFonts w:hint="eastAsia" w:ascii="仿宋_GB2312" w:hAnsi="仿宋_GB2312" w:eastAsia="仿宋_GB2312" w:cs="仿宋_GB2312"/>
          <w:b/>
          <w:sz w:val="32"/>
          <w:szCs w:val="32"/>
          <w:lang w:val="en-US" w:eastAsia="zh-CN"/>
        </w:rPr>
        <w:t>0</w:t>
      </w:r>
      <w:r>
        <w:rPr>
          <w:rFonts w:hint="eastAsia" w:ascii="仿宋_GB2312" w:hAnsi="仿宋_GB2312" w:eastAsia="仿宋_GB2312" w:cs="仿宋_GB2312"/>
          <w:sz w:val="32"/>
          <w:szCs w:val="32"/>
        </w:rPr>
        <w:t>万元。外事接待</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批次，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人次，共计支出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kinsoku/>
        <w:wordWrap/>
        <w:overflowPunct/>
        <w:topLinePunct w:val="0"/>
        <w:bidi w:val="0"/>
        <w:snapToGrid/>
        <w:spacing w:line="576" w:lineRule="exact"/>
        <w:ind w:firstLine="640" w:firstLineChars="200"/>
        <w:textAlignment w:val="auto"/>
        <w:outlineLvl w:val="1"/>
        <w:rPr>
          <w:rStyle w:val="20"/>
          <w:rFonts w:ascii="黑体" w:eastAsia="黑体"/>
          <w:sz w:val="32"/>
          <w:szCs w:val="32"/>
        </w:rPr>
      </w:pPr>
      <w:bookmarkStart w:id="75" w:name="_Toc31277"/>
      <w:bookmarkStart w:id="76" w:name="_Toc15377218"/>
      <w:bookmarkStart w:id="77" w:name="_Toc15396610"/>
      <w:bookmarkStart w:id="78" w:name="_Toc1908"/>
      <w:r>
        <w:rPr>
          <w:rFonts w:hint="eastAsia" w:ascii="黑体" w:eastAsia="黑体"/>
          <w:sz w:val="32"/>
          <w:szCs w:val="32"/>
        </w:rPr>
        <w:t>八、</w:t>
      </w:r>
      <w:r>
        <w:rPr>
          <w:rStyle w:val="20"/>
          <w:rFonts w:hint="eastAsia" w:ascii="黑体" w:eastAsia="黑体"/>
          <w:b w:val="0"/>
          <w:sz w:val="32"/>
          <w:szCs w:val="32"/>
        </w:rPr>
        <w:t>政府性基金预算支出决算情况说明</w:t>
      </w:r>
      <w:bookmarkEnd w:id="75"/>
      <w:bookmarkEnd w:id="76"/>
      <w:bookmarkEnd w:id="77"/>
      <w:bookmarkEnd w:id="78"/>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numPr>
          <w:ilvl w:val="0"/>
          <w:numId w:val="4"/>
        </w:numPr>
        <w:kinsoku/>
        <w:wordWrap/>
        <w:overflowPunct/>
        <w:topLinePunct w:val="0"/>
        <w:bidi w:val="0"/>
        <w:snapToGrid/>
        <w:spacing w:line="576" w:lineRule="exact"/>
        <w:ind w:firstLine="640" w:firstLineChars="200"/>
        <w:textAlignment w:val="auto"/>
        <w:outlineLvl w:val="1"/>
        <w:rPr>
          <w:rStyle w:val="20"/>
          <w:rFonts w:ascii="黑体" w:eastAsia="黑体"/>
          <w:b w:val="0"/>
          <w:sz w:val="32"/>
          <w:szCs w:val="32"/>
        </w:rPr>
      </w:pPr>
      <w:bookmarkStart w:id="79" w:name="_Toc15377219"/>
      <w:bookmarkStart w:id="80" w:name="_Toc31612"/>
      <w:bookmarkStart w:id="81" w:name="_Toc4668"/>
      <w:bookmarkStart w:id="82" w:name="_Toc15396611"/>
      <w:r>
        <w:rPr>
          <w:rStyle w:val="20"/>
          <w:rFonts w:hint="eastAsia" w:ascii="黑体" w:eastAsia="黑体"/>
          <w:b w:val="0"/>
          <w:sz w:val="32"/>
          <w:szCs w:val="32"/>
        </w:rPr>
        <w:t>国有资本经营预算支出决算情况说明</w:t>
      </w:r>
      <w:bookmarkEnd w:id="79"/>
      <w:bookmarkEnd w:id="80"/>
      <w:bookmarkEnd w:id="81"/>
      <w:bookmarkEnd w:id="82"/>
    </w:p>
    <w:p>
      <w:pPr>
        <w:keepNext w:val="0"/>
        <w:keepLines w:val="0"/>
        <w:pageBreakBefore w:val="0"/>
        <w:kinsoku/>
        <w:wordWrap/>
        <w:overflowPunct/>
        <w:topLinePunct w:val="0"/>
        <w:bidi w:val="0"/>
        <w:snapToGrid/>
        <w:spacing w:line="576" w:lineRule="exact"/>
        <w:ind w:firstLine="640" w:firstLineChars="200"/>
        <w:textAlignment w:val="auto"/>
        <w:rPr>
          <w:rFonts w:ascii="方正小标宋简体" w:eastAsia="方正小标宋简体" w:cs="方正小标宋简体"/>
          <w:sz w:val="32"/>
          <w:szCs w:val="32"/>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numPr>
          <w:ilvl w:val="0"/>
          <w:numId w:val="4"/>
        </w:numPr>
        <w:kinsoku/>
        <w:wordWrap/>
        <w:overflowPunct/>
        <w:topLinePunct w:val="0"/>
        <w:bidi w:val="0"/>
        <w:snapToGrid/>
        <w:spacing w:line="576" w:lineRule="exact"/>
        <w:ind w:firstLine="640" w:firstLineChars="200"/>
        <w:textAlignment w:val="auto"/>
        <w:outlineLvl w:val="1"/>
        <w:rPr>
          <w:rStyle w:val="20"/>
          <w:rFonts w:ascii="黑体" w:eastAsia="黑体"/>
          <w:b w:val="0"/>
          <w:sz w:val="32"/>
          <w:szCs w:val="32"/>
        </w:rPr>
      </w:pPr>
      <w:bookmarkStart w:id="83" w:name="_Toc9456"/>
      <w:bookmarkStart w:id="84" w:name="_Toc15377221"/>
      <w:bookmarkStart w:id="85" w:name="_Toc3328"/>
      <w:bookmarkStart w:id="86" w:name="_Toc15396612"/>
      <w:r>
        <w:rPr>
          <w:rStyle w:val="20"/>
          <w:rFonts w:hint="eastAsia" w:ascii="黑体" w:eastAsia="黑体"/>
          <w:b w:val="0"/>
          <w:sz w:val="32"/>
          <w:szCs w:val="32"/>
        </w:rPr>
        <w:t>其他重要事项的情况说明</w:t>
      </w:r>
      <w:bookmarkEnd w:id="83"/>
      <w:bookmarkEnd w:id="84"/>
      <w:bookmarkEnd w:id="85"/>
      <w:bookmarkEnd w:id="86"/>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bCs w:val="0"/>
          <w:sz w:val="32"/>
          <w:szCs w:val="32"/>
        </w:rPr>
      </w:pPr>
      <w:bookmarkStart w:id="87" w:name="_Toc15377222"/>
      <w:bookmarkStart w:id="88" w:name="_Toc19101"/>
      <w:r>
        <w:rPr>
          <w:rFonts w:hint="eastAsia" w:ascii="楷体_GB2312" w:hAnsi="楷体_GB2312" w:eastAsia="楷体_GB2312" w:cs="楷体_GB2312"/>
          <w:b/>
          <w:bCs w:val="0"/>
          <w:sz w:val="32"/>
          <w:szCs w:val="32"/>
        </w:rPr>
        <w:t>（一）机关运行经费支出情况</w:t>
      </w:r>
      <w:bookmarkEnd w:id="87"/>
      <w:bookmarkEnd w:id="88"/>
    </w:p>
    <w:p>
      <w:pPr>
        <w:keepNext w:val="0"/>
        <w:keepLines w:val="0"/>
        <w:pageBreakBefore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22年，机关运行经费支出</w:t>
      </w:r>
      <w:r>
        <w:rPr>
          <w:rFonts w:hint="eastAsia" w:ascii="仿宋_GB2312" w:eastAsia="仿宋_GB2312"/>
          <w:sz w:val="32"/>
          <w:szCs w:val="32"/>
          <w:lang w:val="en-US" w:eastAsia="zh-CN"/>
        </w:rPr>
        <w:t>11.04</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21年增加</w:t>
      </w:r>
      <w:r>
        <w:rPr>
          <w:rFonts w:hint="eastAsia" w:ascii="仿宋_GB2312" w:eastAsia="仿宋_GB2312"/>
          <w:sz w:val="32"/>
          <w:szCs w:val="32"/>
          <w:lang w:val="en-US" w:eastAsia="zh-CN"/>
        </w:rPr>
        <w:t>1.02</w:t>
      </w:r>
      <w:r>
        <w:rPr>
          <w:rFonts w:hint="eastAsia" w:ascii="仿宋_GB2312" w:eastAsia="仿宋_GB2312"/>
          <w:sz w:val="32"/>
          <w:szCs w:val="32"/>
        </w:rPr>
        <w:t>万元，增长</w:t>
      </w:r>
      <w:r>
        <w:rPr>
          <w:rFonts w:hint="eastAsia" w:ascii="仿宋_GB2312" w:eastAsia="仿宋_GB2312"/>
          <w:sz w:val="32"/>
          <w:szCs w:val="32"/>
          <w:lang w:val="en-US" w:eastAsia="zh-CN"/>
        </w:rPr>
        <w:t>9.23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人员变动</w:t>
      </w:r>
      <w:r>
        <w:rPr>
          <w:rFonts w:hint="eastAsia" w:ascii="仿宋_GB2312" w:eastAsia="仿宋_GB2312"/>
          <w:sz w:val="32"/>
          <w:szCs w:val="32"/>
        </w:rPr>
        <w:t>。</w:t>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bCs w:val="0"/>
          <w:sz w:val="32"/>
          <w:szCs w:val="32"/>
        </w:rPr>
      </w:pPr>
      <w:bookmarkStart w:id="89" w:name="_Toc7018"/>
      <w:bookmarkStart w:id="90" w:name="_Toc15377223"/>
      <w:r>
        <w:rPr>
          <w:rFonts w:hint="eastAsia" w:ascii="楷体_GB2312" w:hAnsi="楷体_GB2312" w:eastAsia="楷体_GB2312" w:cs="楷体_GB2312"/>
          <w:b/>
          <w:bCs w:val="0"/>
          <w:sz w:val="32"/>
          <w:szCs w:val="32"/>
        </w:rPr>
        <w:t>（二）政府采购支出情况</w:t>
      </w:r>
      <w:bookmarkEnd w:id="89"/>
      <w:bookmarkEnd w:id="90"/>
    </w:p>
    <w:p>
      <w:pPr>
        <w:keepNext w:val="0"/>
        <w:keepLines w:val="0"/>
        <w:pageBreakBefore w:val="0"/>
        <w:kinsoku/>
        <w:wordWrap/>
        <w:overflowPunct/>
        <w:topLinePunct w:val="0"/>
        <w:bidi w:val="0"/>
        <w:snapToGrid/>
        <w:spacing w:line="576" w:lineRule="exact"/>
        <w:ind w:firstLine="640" w:firstLineChars="200"/>
        <w:textAlignment w:val="auto"/>
        <w:rPr>
          <w:rFonts w:ascii="仿宋" w:eastAsia="仿宋"/>
          <w:b/>
          <w:sz w:val="32"/>
          <w:szCs w:val="32"/>
        </w:rPr>
      </w:pPr>
      <w:r>
        <w:rPr>
          <w:rFonts w:ascii="仿宋_GB2312" w:eastAsia="仿宋_GB2312"/>
          <w:sz w:val="32"/>
          <w:szCs w:val="32"/>
        </w:rPr>
        <w:t>20</w:t>
      </w:r>
      <w:r>
        <w:rPr>
          <w:rFonts w:hint="eastAsia" w:ascii="仿宋_GB2312" w:eastAsia="仿宋_GB2312"/>
          <w:sz w:val="32"/>
          <w:szCs w:val="32"/>
        </w:rPr>
        <w:t>22年，政府采购支出总额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0</w:t>
      </w:r>
      <w:r>
        <w:rPr>
          <w:rFonts w:hint="eastAsia" w:ascii="仿宋_GB2312" w:eastAsia="仿宋_GB2312"/>
          <w:sz w:val="32"/>
          <w:szCs w:val="32"/>
        </w:rPr>
        <w:t>万元、政府采购工程支出</w:t>
      </w:r>
      <w:r>
        <w:rPr>
          <w:rFonts w:hint="eastAsia" w:ascii="仿宋_GB2312" w:eastAsia="仿宋_GB2312"/>
          <w:sz w:val="32"/>
          <w:szCs w:val="32"/>
          <w:lang w:val="en-US" w:eastAsia="zh-CN"/>
        </w:rPr>
        <w:t>0</w:t>
      </w:r>
      <w:r>
        <w:rPr>
          <w:rFonts w:hint="eastAsia" w:ascii="仿宋_GB2312" w:eastAsia="仿宋_GB2312"/>
          <w:sz w:val="32"/>
          <w:szCs w:val="32"/>
        </w:rPr>
        <w:t>万元、政府采购服务支出</w:t>
      </w:r>
      <w:r>
        <w:rPr>
          <w:rFonts w:hint="eastAsia" w:ascii="仿宋_GB2312" w:eastAsia="仿宋_GB2312"/>
          <w:sz w:val="32"/>
          <w:szCs w:val="32"/>
          <w:lang w:val="en-US" w:eastAsia="zh-CN"/>
        </w:rPr>
        <w:t>0</w:t>
      </w:r>
      <w:r>
        <w:rPr>
          <w:rFonts w:hint="eastAsia" w:ascii="仿宋_GB2312" w:eastAsia="仿宋_GB2312"/>
          <w:sz w:val="32"/>
          <w:szCs w:val="32"/>
        </w:rPr>
        <w:t>万元。授予中小企业合同金额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0.00</w:t>
      </w:r>
      <w:r>
        <w:rPr>
          <w:rFonts w:ascii="仿宋_GB2312" w:eastAsia="仿宋_GB2312"/>
          <w:sz w:val="32"/>
          <w:szCs w:val="32"/>
        </w:rPr>
        <w:t>%</w:t>
      </w:r>
      <w:r>
        <w:rPr>
          <w:rFonts w:hint="eastAsia" w:ascii="仿宋_GB2312" w:eastAsia="仿宋_GB2312"/>
          <w:sz w:val="32"/>
          <w:szCs w:val="32"/>
        </w:rPr>
        <w:t>。</w:t>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bCs w:val="0"/>
          <w:sz w:val="32"/>
          <w:szCs w:val="32"/>
        </w:rPr>
      </w:pPr>
      <w:bookmarkStart w:id="91" w:name="_Toc15377224"/>
      <w:bookmarkStart w:id="92" w:name="_Toc11189"/>
      <w:r>
        <w:rPr>
          <w:rFonts w:hint="eastAsia" w:ascii="楷体_GB2312" w:hAnsi="楷体_GB2312" w:eastAsia="楷体_GB2312" w:cs="楷体_GB2312"/>
          <w:b/>
          <w:bCs w:val="0"/>
          <w:sz w:val="32"/>
          <w:szCs w:val="32"/>
        </w:rPr>
        <w:t>（三）国有资产占有使用情况</w:t>
      </w:r>
      <w:bookmarkEnd w:id="91"/>
      <w:bookmarkEnd w:id="92"/>
    </w:p>
    <w:p>
      <w:pPr>
        <w:keepNext w:val="0"/>
        <w:keepLines w:val="0"/>
        <w:pageBreakBefore w:val="0"/>
        <w:kinsoku/>
        <w:wordWrap/>
        <w:overflowPunct/>
        <w:topLinePunct w:val="0"/>
        <w:autoSpaceDE w:val="0"/>
        <w:autoSpaceDN w:val="0"/>
        <w:bidi w:val="0"/>
        <w:adjustRightInd w:val="0"/>
        <w:snapToGrid/>
        <w:spacing w:line="576"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日，共有车辆</w:t>
      </w:r>
      <w:r>
        <w:rPr>
          <w:rFonts w:hint="eastAsia" w:ascii="仿宋_GB2312" w:eastAsia="仿宋_GB2312"/>
          <w:sz w:val="32"/>
          <w:szCs w:val="32"/>
          <w:lang w:val="en-US" w:eastAsia="zh-CN"/>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color w:val="auto"/>
          <w:sz w:val="32"/>
          <w:szCs w:val="32"/>
        </w:rPr>
        <w:t>应急保障用车</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辆、其他</w:t>
      </w:r>
      <w:r>
        <w:rPr>
          <w:rFonts w:hint="eastAsia" w:ascii="仿宋_GB2312" w:eastAsia="仿宋_GB2312"/>
          <w:sz w:val="32"/>
          <w:szCs w:val="32"/>
        </w:rPr>
        <w:t>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w:t>
      </w:r>
      <w:r>
        <w:rPr>
          <w:rFonts w:hint="eastAsia" w:ascii="仿宋_GB2312" w:eastAsia="仿宋_GB2312"/>
          <w:sz w:val="32"/>
          <w:szCs w:val="32"/>
          <w:lang w:val="en-US" w:eastAsia="zh-CN"/>
        </w:rPr>
        <w:t>0辆</w:t>
      </w:r>
      <w:r>
        <w:rPr>
          <w:rFonts w:hint="eastAsia" w:ascii="仿宋_GB2312" w:eastAsia="仿宋_GB2312"/>
          <w:sz w:val="32"/>
          <w:szCs w:val="32"/>
        </w:rPr>
        <w:t>。</w:t>
      </w:r>
    </w:p>
    <w:p>
      <w:pPr>
        <w:keepNext w:val="0"/>
        <w:keepLines w:val="0"/>
        <w:pageBreakBefore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bCs w:val="0"/>
          <w:sz w:val="32"/>
          <w:szCs w:val="32"/>
        </w:rPr>
      </w:pPr>
      <w:bookmarkStart w:id="93" w:name="_Toc23084"/>
      <w:r>
        <w:rPr>
          <w:rFonts w:hint="eastAsia" w:ascii="楷体_GB2312" w:hAnsi="楷体_GB2312" w:eastAsia="楷体_GB2312" w:cs="楷体_GB2312"/>
          <w:b/>
          <w:bCs w:val="0"/>
          <w:sz w:val="32"/>
          <w:szCs w:val="32"/>
        </w:rPr>
        <w:t>（四）预算绩效管理情况</w:t>
      </w:r>
      <w:bookmarkEnd w:id="93"/>
    </w:p>
    <w:p>
      <w:pPr>
        <w:keepNext w:val="0"/>
        <w:keepLines w:val="0"/>
        <w:pageBreakBefore w:val="0"/>
        <w:widowControl/>
        <w:kinsoku/>
        <w:wordWrap/>
        <w:overflowPunct/>
        <w:topLinePunct w:val="0"/>
        <w:bidi w:val="0"/>
        <w:snapToGrid/>
        <w:spacing w:line="576" w:lineRule="exact"/>
        <w:ind w:firstLine="640" w:firstLineChars="200"/>
        <w:jc w:val="left"/>
        <w:textAlignment w:val="auto"/>
        <w:rPr>
          <w:rFonts w:ascii="仿宋_GB2312" w:eastAsia="仿宋_GB2312" w:cs="仿宋_GB2312"/>
          <w:sz w:val="32"/>
          <w:szCs w:val="32"/>
        </w:rPr>
      </w:pPr>
      <w:r>
        <w:rPr>
          <w:rFonts w:hint="eastAsia" w:ascii="仿宋_GB2312" w:hAnsi="仿宋_GB2312" w:eastAsia="仿宋_GB2312" w:cs="仿宋_GB2312"/>
          <w:snapToGrid w:val="0"/>
          <w:sz w:val="32"/>
          <w:szCs w:val="32"/>
          <w:shd w:val="clear" w:fill="FFFFFF"/>
          <w:lang w:eastAsia="zh-CN"/>
        </w:rPr>
        <w:t>根据预算绩效管理要求，本部门在</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年度预算编制阶段，组织对项目《红原年鉴》《执政实录》《口述历史》</w:t>
      </w:r>
      <w:r>
        <w:rPr>
          <w:rFonts w:hint="eastAsia" w:ascii="仿宋_GB2312" w:hAnsi="仿宋_GB2312" w:eastAsia="仿宋_GB2312" w:cs="仿宋_GB2312"/>
          <w:sz w:val="32"/>
          <w:szCs w:val="32"/>
          <w:shd w:val="clear" w:fill="FFFFFF"/>
          <w:lang w:val="en-US" w:eastAsia="zh-CN"/>
        </w:rPr>
        <w:t>3个</w:t>
      </w:r>
      <w:r>
        <w:rPr>
          <w:rFonts w:hint="eastAsia" w:ascii="仿宋_GB2312" w:hAnsi="仿宋_GB2312" w:eastAsia="仿宋_GB2312" w:cs="仿宋_GB2312"/>
          <w:snapToGrid w:val="0"/>
          <w:sz w:val="32"/>
          <w:szCs w:val="32"/>
          <w:shd w:val="clear" w:fill="FFFFFF"/>
          <w:lang w:eastAsia="zh-CN"/>
        </w:rPr>
        <w:t>项目开展了预算事前绩效评估，对</w:t>
      </w:r>
      <w:r>
        <w:rPr>
          <w:rFonts w:hint="eastAsia" w:ascii="仿宋_GB2312" w:hAnsi="仿宋_GB2312" w:eastAsia="仿宋_GB2312" w:cs="仿宋_GB2312"/>
          <w:snapToGrid w:val="0"/>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个项目编制了绩效目标，预算执行过程中，选取</w:t>
      </w:r>
      <w:r>
        <w:rPr>
          <w:rFonts w:hint="eastAsia" w:ascii="仿宋_GB2312" w:hAnsi="仿宋_GB2312" w:eastAsia="仿宋_GB2312" w:cs="仿宋_GB2312"/>
          <w:snapToGrid w:val="0"/>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个项目开展绩效监控，年终执行完毕后，对</w:t>
      </w:r>
      <w:r>
        <w:rPr>
          <w:rFonts w:hint="eastAsia" w:ascii="仿宋_GB2312" w:hAnsi="仿宋_GB2312" w:eastAsia="仿宋_GB2312" w:cs="仿宋_GB2312"/>
          <w:snapToGrid w:val="0"/>
          <w:sz w:val="32"/>
          <w:szCs w:val="32"/>
          <w:shd w:val="clear" w:fill="FFFFFF"/>
          <w:lang w:val="en-US" w:eastAsia="zh-CN"/>
        </w:rPr>
        <w:t>3</w:t>
      </w:r>
      <w:r>
        <w:rPr>
          <w:rFonts w:hint="eastAsia" w:ascii="仿宋_GB2312" w:hAnsi="仿宋_GB2312" w:eastAsia="仿宋_GB2312" w:cs="仿宋_GB2312"/>
          <w:snapToGrid w:val="0"/>
          <w:sz w:val="32"/>
          <w:szCs w:val="32"/>
          <w:shd w:val="clear" w:fill="FFFFFF"/>
          <w:lang w:eastAsia="zh-CN"/>
        </w:rPr>
        <w:t>个项目开展了绩效自评。同时，本部门对</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年部门整体开展绩效自评，《</w:t>
      </w:r>
      <w:r>
        <w:rPr>
          <w:rFonts w:hint="eastAsia" w:ascii="仿宋_GB2312" w:hAnsi="仿宋_GB2312" w:eastAsia="仿宋_GB2312" w:cs="仿宋_GB2312"/>
          <w:sz w:val="32"/>
          <w:szCs w:val="32"/>
          <w:shd w:val="clear" w:fill="FFFFFF"/>
          <w:lang w:val="en-US"/>
        </w:rPr>
        <w:t>202</w:t>
      </w:r>
      <w:r>
        <w:rPr>
          <w:rFonts w:hint="eastAsia" w:ascii="仿宋_GB2312" w:hAnsi="仿宋_GB2312" w:eastAsia="仿宋_GB2312" w:cs="仿宋_GB2312"/>
          <w:sz w:val="32"/>
          <w:szCs w:val="32"/>
          <w:shd w:val="clear" w:fill="FFFFFF"/>
          <w:lang w:val="en-US" w:eastAsia="zh-CN"/>
        </w:rPr>
        <w:t>2</w:t>
      </w:r>
      <w:r>
        <w:rPr>
          <w:rFonts w:hint="eastAsia" w:ascii="仿宋_GB2312" w:hAnsi="仿宋_GB2312" w:eastAsia="仿宋_GB2312" w:cs="仿宋_GB2312"/>
          <w:snapToGrid w:val="0"/>
          <w:sz w:val="32"/>
          <w:szCs w:val="32"/>
          <w:shd w:val="clear" w:fill="FFFFFF"/>
          <w:lang w:eastAsia="zh-CN"/>
        </w:rPr>
        <w:t>年红原县党史研究和地方志编纂中心整体绩效评价报告》见附件（第四部分）</w:t>
      </w:r>
    </w:p>
    <w:p>
      <w:pPr>
        <w:numPr>
          <w:ilvl w:val="0"/>
          <w:numId w:val="0"/>
        </w:numPr>
        <w:spacing w:line="600" w:lineRule="exact"/>
        <w:ind w:leftChars="150"/>
        <w:jc w:val="center"/>
        <w:outlineLvl w:val="0"/>
        <w:rPr>
          <w:rFonts w:hint="eastAsia" w:ascii="黑体" w:eastAsia="黑体"/>
          <w:sz w:val="44"/>
          <w:szCs w:val="44"/>
          <w:lang w:val="en-US" w:eastAsia="zh-CN"/>
        </w:rPr>
      </w:pPr>
      <w:bookmarkStart w:id="94" w:name="_Toc15377225"/>
      <w:bookmarkStart w:id="95" w:name="_Toc25169"/>
      <w:bookmarkStart w:id="96" w:name="_Toc14964"/>
      <w:bookmarkStart w:id="97" w:name="_Toc15396613"/>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Fonts w:hint="eastAsia" w:ascii="黑体" w:eastAsia="黑体"/>
          <w:sz w:val="44"/>
          <w:szCs w:val="44"/>
          <w:lang w:val="en-US" w:eastAsia="zh-CN"/>
        </w:rPr>
      </w:pPr>
    </w:p>
    <w:p>
      <w:pPr>
        <w:keepNext w:val="0"/>
        <w:keepLines w:val="0"/>
        <w:pageBreakBefore w:val="0"/>
        <w:widowControl w:val="0"/>
        <w:numPr>
          <w:ilvl w:val="0"/>
          <w:numId w:val="0"/>
        </w:numPr>
        <w:kinsoku/>
        <w:wordWrap/>
        <w:overflowPunct/>
        <w:topLinePunct w:val="0"/>
        <w:bidi w:val="0"/>
        <w:snapToGrid/>
        <w:spacing w:line="576" w:lineRule="exact"/>
        <w:ind w:leftChars="0"/>
        <w:jc w:val="center"/>
        <w:textAlignment w:val="auto"/>
        <w:outlineLvl w:val="0"/>
        <w:rPr>
          <w:rStyle w:val="19"/>
          <w:rFonts w:ascii="黑体" w:eastAsia="黑体"/>
          <w:b w:val="0"/>
        </w:rPr>
      </w:pPr>
      <w:r>
        <w:rPr>
          <w:rFonts w:hint="eastAsia" w:ascii="黑体" w:eastAsia="黑体"/>
          <w:sz w:val="44"/>
          <w:szCs w:val="44"/>
          <w:lang w:val="en-US" w:eastAsia="zh-CN"/>
        </w:rPr>
        <w:t xml:space="preserve">第三部分 </w:t>
      </w:r>
      <w:r>
        <w:rPr>
          <w:rFonts w:hint="eastAsia" w:ascii="黑体" w:eastAsia="黑体"/>
          <w:sz w:val="44"/>
          <w:szCs w:val="44"/>
        </w:rPr>
        <w:t>名</w:t>
      </w:r>
      <w:r>
        <w:rPr>
          <w:rStyle w:val="19"/>
          <w:rFonts w:hint="eastAsia" w:ascii="黑体" w:eastAsia="黑体"/>
          <w:b w:val="0"/>
        </w:rPr>
        <w:t>词解释</w:t>
      </w:r>
      <w:bookmarkEnd w:id="94"/>
      <w:bookmarkEnd w:id="95"/>
      <w:bookmarkEnd w:id="96"/>
      <w:bookmarkEnd w:id="97"/>
    </w:p>
    <w:p>
      <w:pPr>
        <w:keepNext w:val="0"/>
        <w:keepLines w:val="0"/>
        <w:pageBreakBefore w:val="0"/>
        <w:widowControl w:val="0"/>
        <w:kinsoku/>
        <w:wordWrap/>
        <w:overflowPunct/>
        <w:topLinePunct w:val="0"/>
        <w:bidi w:val="0"/>
        <w:snapToGrid/>
        <w:spacing w:line="576" w:lineRule="exact"/>
        <w:ind w:leftChars="0"/>
        <w:jc w:val="left"/>
        <w:textAlignment w:val="auto"/>
        <w:rPr>
          <w:rFonts w:ascii="宋体"/>
          <w:b/>
          <w:sz w:val="44"/>
          <w:szCs w:val="44"/>
        </w:rPr>
      </w:pPr>
    </w:p>
    <w:p>
      <w:pPr>
        <w:pStyle w:val="25"/>
        <w:keepNext w:val="0"/>
        <w:keepLines w:val="0"/>
        <w:pageBreakBefore w:val="0"/>
        <w:widowControl w:val="0"/>
        <w:kinsoku/>
        <w:wordWrap/>
        <w:overflowPunct/>
        <w:topLinePunct w:val="0"/>
        <w:bidi w:val="0"/>
        <w:snapToGrid/>
        <w:spacing w:line="576" w:lineRule="exact"/>
        <w:ind w:leftChars="0"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5"/>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.一般公共服务行政运行：指用于机关及下属事业单位人员工资、日常运转以及为完成特定行政工作任务和事业发展目标而安排的年度项目支出。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.机关事业单位养老保险缴费：指</w:t>
      </w:r>
      <w:r>
        <w:rPr>
          <w:rFonts w:hint="eastAsia" w:ascii="仿宋_GB2312" w:hAnsi="仿宋_GB2312" w:eastAsia="仿宋_GB2312" w:cs="仿宋_GB2312"/>
          <w:sz w:val="30"/>
          <w:szCs w:val="30"/>
        </w:rPr>
        <w:t>用于机关及下属单位按照规定标准为职工缴纳养老保险等支出。</w:t>
      </w:r>
    </w:p>
    <w:p>
      <w:pPr>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rPr>
        <w:t>3</w:t>
      </w:r>
      <w:r>
        <w:rPr>
          <w:rFonts w:hint="eastAsia" w:ascii="仿宋_GB2312" w:hAnsi="仿宋_GB2312" w:eastAsia="仿宋_GB2312" w:cs="仿宋_GB2312"/>
          <w:color w:val="000000"/>
          <w:sz w:val="30"/>
          <w:szCs w:val="30"/>
        </w:rPr>
        <w:t>.机关事业单位职业年金缴费</w:t>
      </w:r>
      <w:r>
        <w:rPr>
          <w:rStyle w:val="17"/>
          <w:rFonts w:hint="eastAsia" w:ascii="仿宋_GB2312" w:hAnsi="仿宋_GB2312" w:eastAsia="仿宋_GB2312" w:cs="仿宋_GB2312"/>
          <w:bCs/>
          <w:color w:val="000000"/>
          <w:sz w:val="30"/>
          <w:szCs w:val="30"/>
        </w:rPr>
        <w:t>:</w:t>
      </w:r>
      <w:r>
        <w:rPr>
          <w:rFonts w:hint="eastAsia" w:ascii="仿宋_GB2312" w:hAnsi="仿宋_GB2312" w:eastAsia="仿宋_GB2312" w:cs="仿宋_GB2312"/>
          <w:color w:val="000000"/>
          <w:sz w:val="30"/>
          <w:szCs w:val="30"/>
        </w:rPr>
        <w:t>指</w:t>
      </w:r>
      <w:r>
        <w:rPr>
          <w:rFonts w:hint="eastAsia" w:ascii="仿宋_GB2312" w:hAnsi="仿宋_GB2312" w:eastAsia="仿宋_GB2312" w:cs="仿宋_GB2312"/>
          <w:sz w:val="30"/>
          <w:szCs w:val="30"/>
        </w:rPr>
        <w:t>用于机关及下属单位按照规定标准为职工缴纳职业年金等支出。</w:t>
      </w:r>
    </w:p>
    <w:p>
      <w:pPr>
        <w:pStyle w:val="25"/>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.行政单位医疗：指用于机关及下属事业单位按照规定标准为职工缴纳的基本医疗保险及公务员医疗补助等支出</w:t>
      </w:r>
    </w:p>
    <w:p>
      <w:pPr>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5</w:t>
      </w:r>
      <w:r>
        <w:rPr>
          <w:rFonts w:hint="eastAsia" w:ascii="仿宋_GB2312" w:hAnsi="仿宋_GB2312" w:eastAsia="仿宋_GB2312" w:cs="仿宋_GB2312"/>
          <w:color w:val="000000"/>
          <w:sz w:val="30"/>
          <w:szCs w:val="30"/>
        </w:rPr>
        <w:t>.住房公积金：指</w:t>
      </w:r>
      <w:r>
        <w:rPr>
          <w:rFonts w:hint="eastAsia" w:ascii="仿宋_GB2312" w:hAnsi="仿宋_GB2312" w:eastAsia="仿宋_GB2312" w:cs="仿宋_GB2312"/>
          <w:sz w:val="30"/>
          <w:szCs w:val="30"/>
        </w:rPr>
        <w:t>用于机关及下属事业单位按照规定标准为职工缴纳住房公积金等支出</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6</w:t>
      </w:r>
      <w:r>
        <w:rPr>
          <w:rFonts w:hint="eastAsia" w:ascii="仿宋_GB2312" w:hAnsi="仿宋_GB2312" w:eastAsia="仿宋_GB2312" w:cs="仿宋_GB2312"/>
          <w:color w:val="000000"/>
          <w:sz w:val="30"/>
          <w:szCs w:val="30"/>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7</w:t>
      </w:r>
      <w:r>
        <w:rPr>
          <w:rFonts w:hint="eastAsia" w:ascii="仿宋_GB2312" w:hAnsi="仿宋_GB2312" w:eastAsia="仿宋_GB2312" w:cs="仿宋_GB2312"/>
          <w:color w:val="000000"/>
          <w:sz w:val="30"/>
          <w:szCs w:val="30"/>
        </w:rPr>
        <w:t>.项目支出：指在基本支出之外为完成特定行政任务和事业发展目标所发生的支出。</w:t>
      </w:r>
    </w:p>
    <w:p>
      <w:pPr>
        <w:pStyle w:val="25"/>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keepNext w:val="0"/>
        <w:keepLines w:val="0"/>
        <w:pageBreakBefore w:val="0"/>
        <w:widowControl w:val="0"/>
        <w:kinsoku/>
        <w:wordWrap/>
        <w:overflowPunct/>
        <w:topLinePunct w:val="0"/>
        <w:bidi w:val="0"/>
        <w:snapToGrid/>
        <w:spacing w:line="576"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00" w:firstLineChars="200"/>
        <w:rPr>
          <w:rFonts w:hint="eastAsia" w:ascii="仿宋_GB2312" w:hAnsi="仿宋_GB2312" w:eastAsia="仿宋_GB2312" w:cs="仿宋_GB2312"/>
          <w:sz w:val="30"/>
          <w:szCs w:val="30"/>
        </w:rPr>
      </w:pPr>
    </w:p>
    <w:p>
      <w:pPr>
        <w:pStyle w:val="25"/>
        <w:spacing w:line="560" w:lineRule="exact"/>
        <w:ind w:firstLine="600" w:firstLineChars="200"/>
        <w:rPr>
          <w:rFonts w:ascii="仿宋" w:eastAsia="仿宋"/>
          <w:b/>
          <w:sz w:val="32"/>
          <w:szCs w:val="32"/>
        </w:rPr>
      </w:pPr>
      <w:r>
        <w:rPr>
          <w:rFonts w:hint="eastAsia" w:ascii="仿宋_GB2312" w:hAnsi="仿宋_GB2312" w:eastAsia="仿宋_GB2312" w:cs="仿宋_GB2312"/>
          <w:sz w:val="30"/>
          <w:szCs w:val="30"/>
          <w:lang w:val="en-US" w:eastAsia="zh-CN"/>
        </w:rPr>
        <w:t xml:space="preserve">         </w:t>
      </w:r>
    </w:p>
    <w:p>
      <w:pPr>
        <w:spacing w:line="600" w:lineRule="exact"/>
        <w:jc w:val="center"/>
        <w:outlineLvl w:val="0"/>
        <w:rPr>
          <w:rFonts w:hint="eastAsia" w:ascii="黑体" w:eastAsia="黑体" w:cs="黑体"/>
          <w:sz w:val="32"/>
          <w:szCs w:val="32"/>
        </w:rPr>
      </w:pPr>
      <w:bookmarkStart w:id="98" w:name="_Toc15377226"/>
      <w:r>
        <w:rPr>
          <w:rFonts w:ascii="宋体"/>
          <w:b/>
          <w:sz w:val="44"/>
          <w:szCs w:val="44"/>
        </w:rPr>
        <w:br w:type="page"/>
      </w:r>
      <w:bookmarkStart w:id="99" w:name="_Toc31112"/>
      <w:bookmarkStart w:id="100" w:name="_Toc15396614"/>
      <w:bookmarkStart w:id="101" w:name="_Toc9781"/>
      <w:r>
        <w:rPr>
          <w:rFonts w:hint="eastAsia" w:ascii="黑体" w:eastAsia="黑体"/>
          <w:sz w:val="44"/>
          <w:szCs w:val="44"/>
        </w:rPr>
        <w:t>第</w:t>
      </w:r>
      <w:r>
        <w:rPr>
          <w:rStyle w:val="19"/>
          <w:rFonts w:hint="eastAsia" w:ascii="黑体" w:eastAsia="黑体"/>
          <w:b w:val="0"/>
        </w:rPr>
        <w:t xml:space="preserve">四部分 </w:t>
      </w:r>
      <w:r>
        <w:rPr>
          <w:rStyle w:val="19"/>
          <w:rFonts w:hint="eastAsia" w:ascii="黑体" w:eastAsia="黑体"/>
          <w:b w:val="0"/>
          <w:lang w:val="en-US"/>
        </w:rPr>
        <w:t xml:space="preserve"> </w:t>
      </w:r>
      <w:r>
        <w:rPr>
          <w:rStyle w:val="19"/>
          <w:rFonts w:hint="eastAsia" w:ascii="黑体" w:eastAsia="黑体"/>
          <w:b w:val="0"/>
        </w:rPr>
        <w:t>附件</w:t>
      </w:r>
      <w:bookmarkEnd w:id="99"/>
      <w:bookmarkEnd w:id="100"/>
      <w:bookmarkEnd w:id="101"/>
      <w:bookmarkStart w:id="102" w:name="_Toc29624"/>
    </w:p>
    <w:p>
      <w:pPr>
        <w:spacing w:line="572" w:lineRule="exact"/>
        <w:jc w:val="left"/>
        <w:outlineLvl w:val="1"/>
        <w:rPr>
          <w:rFonts w:hint="eastAsia" w:ascii="方正小标宋简体" w:eastAsia="黑体" w:cs="方正小标宋简体"/>
          <w:sz w:val="32"/>
          <w:szCs w:val="32"/>
          <w:lang w:val="en-US" w:eastAsia="zh-CN"/>
        </w:rPr>
      </w:pPr>
      <w:bookmarkStart w:id="103" w:name="_Toc4338"/>
      <w:r>
        <w:rPr>
          <w:rFonts w:hint="eastAsia" w:ascii="黑体" w:eastAsia="黑体" w:cs="黑体"/>
          <w:sz w:val="32"/>
          <w:szCs w:val="32"/>
        </w:rPr>
        <w:t>附件</w:t>
      </w:r>
      <w:r>
        <w:rPr>
          <w:rFonts w:hint="eastAsia" w:ascii="黑体" w:eastAsia="黑体" w:cs="黑体"/>
          <w:sz w:val="32"/>
          <w:szCs w:val="32"/>
          <w:lang w:val="en-US" w:eastAsia="zh-CN"/>
        </w:rPr>
        <w:t>1</w:t>
      </w:r>
      <w:bookmarkEnd w:id="102"/>
      <w:bookmarkEnd w:id="103"/>
      <w:r>
        <w:rPr>
          <w:rFonts w:hint="eastAsia" w:ascii="黑体" w:eastAsia="黑体" w:cs="黑体"/>
          <w:sz w:val="32"/>
          <w:szCs w:val="32"/>
          <w:lang w:val="en-US" w:eastAsia="zh-CN"/>
        </w:rPr>
        <w:t>：</w:t>
      </w: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eastAsia="zh-CN"/>
        </w:rPr>
      </w:pPr>
    </w:p>
    <w:p>
      <w:pPr>
        <w:widowControl/>
        <w:spacing w:line="560" w:lineRule="exact"/>
        <w:contextualSpacing/>
        <w:jc w:val="center"/>
        <w:rPr>
          <w:rFonts w:hint="eastAsia" w:ascii="方正小标宋_GBK" w:hAnsi="方正小标宋_GBK" w:eastAsia="方正小标宋_GBK" w:cs="方正小标宋_GBK"/>
          <w:b w:val="0"/>
          <w:bCs/>
          <w:sz w:val="44"/>
          <w:szCs w:val="44"/>
          <w:shd w:val="clear" w:color="auto" w:fill="FFFFFF"/>
          <w:lang w:val="en-US" w:eastAsia="zh-CN"/>
        </w:rPr>
      </w:pPr>
      <w:r>
        <w:rPr>
          <w:rFonts w:hint="eastAsia" w:ascii="方正小标宋_GBK" w:hAnsi="方正小标宋_GBK" w:eastAsia="方正小标宋_GBK" w:cs="方正小标宋_GBK"/>
          <w:b w:val="0"/>
          <w:bCs/>
          <w:sz w:val="44"/>
          <w:szCs w:val="44"/>
          <w:shd w:val="clear" w:color="auto" w:fill="FFFFFF"/>
          <w:lang w:eastAsia="zh-CN"/>
        </w:rPr>
        <w:t>红原县党史研究和地方志编纂中心</w:t>
      </w:r>
    </w:p>
    <w:p>
      <w:pPr>
        <w:widowControl/>
        <w:spacing w:line="560" w:lineRule="exact"/>
        <w:contextualSpacing/>
        <w:jc w:val="center"/>
        <w:rPr>
          <w:rFonts w:hint="eastAsia" w:ascii="方正小标宋_GBK" w:hAnsi="方正小标宋_GBK" w:eastAsia="方正小标宋_GBK" w:cs="方正小标宋_GBK"/>
          <w:color w:val="000000"/>
          <w:kern w:val="0"/>
          <w:sz w:val="44"/>
          <w:szCs w:val="44"/>
          <w:shd w:val="clear" w:color="auto" w:fill="FFFFFF"/>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022</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pPr>
        <w:widowControl/>
        <w:adjustRightInd w:val="0"/>
        <w:snapToGrid w:val="0"/>
        <w:spacing w:line="560" w:lineRule="exact"/>
        <w:ind w:firstLine="320" w:firstLineChars="100"/>
        <w:contextualSpacing/>
        <w:jc w:val="left"/>
        <w:rPr>
          <w:rFonts w:hint="eastAsia" w:ascii="方正小标宋_GBK" w:hAnsi="方正小标宋_GBK" w:eastAsia="方正小标宋_GBK" w:cs="方正小标宋_GBK"/>
          <w:color w:val="000000"/>
          <w:kern w:val="0"/>
          <w:sz w:val="32"/>
          <w:szCs w:val="32"/>
          <w:shd w:val="clear" w:color="auto" w:fill="FFFFFF"/>
        </w:rPr>
      </w:pP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eastAsia" w:ascii="黑体" w:hAnsi="黑体" w:eastAsia="黑体" w:cs="黑体"/>
          <w:b w:val="0"/>
          <w:bCs w:val="0"/>
          <w:color w:val="000000"/>
          <w:kern w:val="0"/>
          <w:sz w:val="32"/>
          <w:szCs w:val="32"/>
          <w:shd w:val="clear" w:color="auto" w:fill="FFFFFF"/>
          <w:lang w:val="zh-CN"/>
        </w:rPr>
      </w:pPr>
      <w:bookmarkStart w:id="104" w:name="_Toc6483"/>
      <w:bookmarkStart w:id="105" w:name="_Toc26545"/>
      <w:r>
        <w:rPr>
          <w:rFonts w:hint="eastAsia" w:ascii="黑体" w:hAnsi="黑体" w:eastAsia="黑体" w:cs="黑体"/>
          <w:b w:val="0"/>
          <w:bCs w:val="0"/>
          <w:color w:val="000000"/>
          <w:kern w:val="0"/>
          <w:sz w:val="32"/>
          <w:szCs w:val="32"/>
          <w:shd w:val="clear" w:color="auto" w:fill="FFFFFF"/>
        </w:rPr>
        <w:t>一、</w:t>
      </w:r>
      <w:r>
        <w:rPr>
          <w:rFonts w:hint="eastAsia" w:ascii="黑体" w:hAnsi="黑体" w:eastAsia="黑体" w:cs="黑体"/>
          <w:b w:val="0"/>
          <w:bCs w:val="0"/>
          <w:color w:val="000000"/>
          <w:kern w:val="0"/>
          <w:sz w:val="32"/>
          <w:szCs w:val="32"/>
          <w:shd w:val="clear" w:color="auto" w:fill="FFFFFF"/>
          <w:lang w:val="zh-CN"/>
        </w:rPr>
        <w:t>部门概况</w:t>
      </w:r>
      <w:bookmarkEnd w:id="104"/>
      <w:bookmarkEnd w:id="105"/>
      <w:bookmarkStart w:id="106" w:name="_Toc31916"/>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rPr>
      </w:pPr>
      <w:bookmarkStart w:id="107" w:name="_Toc12290"/>
      <w:r>
        <w:rPr>
          <w:rFonts w:hint="eastAsia" w:ascii="楷体_GB2312" w:hAnsi="楷体_GB2312" w:eastAsia="楷体_GB2312" w:cs="楷体_GB2312"/>
          <w:b/>
          <w:bCs/>
          <w:color w:val="000000"/>
          <w:kern w:val="0"/>
          <w:sz w:val="32"/>
          <w:szCs w:val="32"/>
          <w:shd w:val="clear" w:color="auto" w:fill="FFFFFF"/>
          <w:lang w:val="zh-CN"/>
        </w:rPr>
        <w:t>（一）机构组成</w:t>
      </w:r>
      <w:bookmarkEnd w:id="106"/>
      <w:bookmarkEnd w:id="107"/>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color w:val="000000"/>
          <w:kern w:val="0"/>
          <w:sz w:val="32"/>
          <w:szCs w:val="32"/>
          <w:lang w:val="zh-CN"/>
        </w:rPr>
      </w:pPr>
      <w:bookmarkStart w:id="108" w:name="_Toc32019"/>
      <w:bookmarkStart w:id="109" w:name="_Toc25617"/>
      <w:r>
        <w:rPr>
          <w:rFonts w:hint="eastAsia" w:ascii="仿宋_GB2312" w:hAnsi="仿宋_GB2312" w:eastAsia="仿宋_GB2312" w:cs="仿宋_GB2312"/>
          <w:color w:val="000000"/>
          <w:kern w:val="0"/>
          <w:sz w:val="32"/>
          <w:szCs w:val="32"/>
          <w:lang w:val="zh-CN"/>
        </w:rPr>
        <w:t>本单位为独立核算全额拨款行政单位，内设办公室，档案股及业务指导股</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个股室。</w:t>
      </w:r>
      <w:bookmarkEnd w:id="108"/>
      <w:bookmarkEnd w:id="109"/>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rPr>
      </w:pPr>
      <w:bookmarkStart w:id="110" w:name="_Toc4036"/>
      <w:r>
        <w:rPr>
          <w:rFonts w:hint="eastAsia" w:ascii="楷体_GB2312" w:hAnsi="楷体_GB2312" w:eastAsia="楷体_GB2312" w:cs="楷体_GB2312"/>
          <w:b/>
          <w:bCs/>
          <w:color w:val="000000"/>
          <w:kern w:val="0"/>
          <w:sz w:val="32"/>
          <w:szCs w:val="32"/>
          <w:shd w:val="clear" w:color="auto" w:fill="FFFFFF"/>
          <w:lang w:val="zh-CN"/>
        </w:rPr>
        <w:t>（二）机构职能</w:t>
      </w:r>
      <w:bookmarkEnd w:id="110"/>
    </w:p>
    <w:p>
      <w:pPr>
        <w:keepNext w:val="0"/>
        <w:keepLines w:val="0"/>
        <w:pageBreakBefore w:val="0"/>
        <w:widowControl/>
        <w:kinsoku/>
        <w:wordWrap/>
        <w:overflowPunct/>
        <w:topLinePunct w:val="0"/>
        <w:autoSpaceDE/>
        <w:autoSpaceDN/>
        <w:bidi w:val="0"/>
        <w:adjustRightInd w:val="0"/>
        <w:snapToGrid w:val="0"/>
        <w:spacing w:beforeAutospacing="0" w:afterAutospacing="0" w:line="576" w:lineRule="exact"/>
        <w:ind w:left="0" w:leftChars="0" w:firstLine="640" w:firstLineChars="200"/>
        <w:contextualSpacing/>
        <w:jc w:val="left"/>
        <w:textAlignment w:val="auto"/>
        <w:rPr>
          <w:rFonts w:hint="eastAsia" w:ascii="仿宋_GB2312" w:hAnsi="仿宋_GB2312" w:eastAsia="仿宋_GB2312" w:cs="仿宋_GB2312"/>
          <w:bCs/>
          <w:color w:val="000000"/>
          <w:sz w:val="32"/>
          <w:szCs w:val="32"/>
        </w:rPr>
      </w:pPr>
      <w:bookmarkStart w:id="111" w:name="_Toc25720"/>
      <w:r>
        <w:rPr>
          <w:rFonts w:hint="eastAsia" w:ascii="仿宋_GB2312" w:hAnsi="仿宋_GB2312" w:eastAsia="仿宋_GB2312" w:cs="仿宋_GB2312"/>
          <w:bCs/>
          <w:color w:val="000000"/>
          <w:sz w:val="32"/>
          <w:szCs w:val="32"/>
          <w:lang w:val="en-US" w:eastAsia="zh-CN"/>
        </w:rPr>
        <w:t>贯彻执行国家和省、州有关党史研究和地方志工作的方针、政策和法规；制定我县党史研究和地方志工作、综合年鉴的具体规划、管理办法，并组织实施。负责收集、整理党的文献、资料和文物，承担《中国共产党执政实录》组稿、总纂、审定、出版等业务。指导乡镇和县直各部门做好党史资料的收集和整理工作。</w:t>
      </w:r>
      <w:r>
        <w:rPr>
          <w:rFonts w:hint="eastAsia" w:eastAsia="仿宋_GB2312" w:cs="仿宋_GB2312"/>
          <w:bCs/>
          <w:color w:val="000000"/>
          <w:sz w:val="32"/>
          <w:szCs w:val="32"/>
          <w:lang w:val="en-US" w:eastAsia="zh-CN"/>
        </w:rPr>
        <w:t>负责编写我县各个历史时期的党史大事记、专题材料和党史人物传等。负责全县党史和地情资料收集、地情咨询服务。负责组织、协调，指导全县地方志和综合年鉴编修和检查、督促工，负责乡镇志业务指导和验收工作等，</w:t>
      </w:r>
      <w:r>
        <w:rPr>
          <w:rFonts w:hint="eastAsia" w:ascii="仿宋_GB2312" w:hAnsi="仿宋_GB2312" w:eastAsia="仿宋_GB2312" w:cs="仿宋_GB2312"/>
          <w:bCs/>
          <w:color w:val="000000"/>
          <w:sz w:val="32"/>
          <w:szCs w:val="32"/>
        </w:rPr>
        <w:t>同是完成县委县政府交办的其他工作</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eastAsia="zh-CN"/>
        </w:rPr>
        <w:t>（三）</w:t>
      </w:r>
      <w:r>
        <w:rPr>
          <w:rFonts w:hint="eastAsia" w:ascii="楷体_GB2312" w:hAnsi="楷体_GB2312" w:eastAsia="楷体_GB2312" w:cs="楷体_GB2312"/>
          <w:b/>
          <w:bCs/>
          <w:color w:val="000000"/>
          <w:kern w:val="0"/>
          <w:sz w:val="32"/>
          <w:szCs w:val="32"/>
          <w:shd w:val="clear" w:color="auto" w:fill="FFFFFF"/>
          <w:lang w:val="zh-CN"/>
        </w:rPr>
        <w:t>人员概况</w:t>
      </w:r>
      <w:bookmarkEnd w:id="111"/>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sz w:val="32"/>
          <w:szCs w:val="32"/>
        </w:rPr>
        <w:t>本单位本年度年末实有人数为8人，比上年增加0人；年末实有离退休人数为2人</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eastAsia="zh-CN"/>
        </w:rPr>
      </w:pPr>
      <w:bookmarkStart w:id="112" w:name="_Toc9890"/>
      <w:r>
        <w:rPr>
          <w:rFonts w:hint="eastAsia" w:ascii="楷体_GB2312" w:hAnsi="楷体_GB2312" w:eastAsia="楷体_GB2312" w:cs="楷体_GB2312"/>
          <w:b/>
          <w:bCs/>
          <w:color w:val="000000"/>
          <w:kern w:val="0"/>
          <w:sz w:val="32"/>
          <w:szCs w:val="32"/>
          <w:shd w:val="clear" w:color="auto" w:fill="FFFFFF"/>
          <w:lang w:val="zh-CN" w:eastAsia="zh-CN"/>
        </w:rPr>
        <w:t>（</w:t>
      </w:r>
      <w:r>
        <w:rPr>
          <w:rFonts w:hint="eastAsia" w:ascii="楷体_GB2312" w:hAnsi="楷体_GB2312" w:eastAsia="楷体_GB2312" w:cs="楷体_GB2312"/>
          <w:b/>
          <w:bCs/>
          <w:color w:val="000000"/>
          <w:kern w:val="0"/>
          <w:sz w:val="32"/>
          <w:szCs w:val="32"/>
          <w:shd w:val="clear" w:color="auto" w:fill="FFFFFF"/>
          <w:lang w:val="en-US" w:eastAsia="zh-CN"/>
        </w:rPr>
        <w:t>四）</w:t>
      </w:r>
      <w:r>
        <w:rPr>
          <w:rFonts w:hint="eastAsia" w:ascii="楷体_GB2312" w:hAnsi="楷体_GB2312" w:eastAsia="楷体_GB2312" w:cs="楷体_GB2312"/>
          <w:b/>
          <w:bCs/>
          <w:color w:val="000000"/>
          <w:kern w:val="0"/>
          <w:sz w:val="32"/>
          <w:szCs w:val="32"/>
          <w:shd w:val="clear" w:color="auto" w:fill="FFFFFF"/>
          <w:lang w:val="zh-CN" w:eastAsia="zh-CN"/>
        </w:rPr>
        <w:t>部门财政资金收入情况</w:t>
      </w:r>
      <w:bookmarkEnd w:id="112"/>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单位本年度总收入为221.54万元。其中：一般公共预算财政拨款收入为221.54万元，占比100.00%；政府性基金预算财政拨款收入为0.00万元，占比0.00%；国有资本经营预算财政拨款收入为0.00)万元，占比0.00%；上级补助收入为0.00万元，占比0.00%；事业收入为0.00万元，占比0.00%；经营收入为0.00万元，占比0.00%；附属单位上缴收入为0.00万元，占比0.00%；其他收入为0.00万元，占比0.00%。</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eastAsia="zh-CN"/>
        </w:rPr>
      </w:pPr>
      <w:bookmarkStart w:id="113" w:name="_Toc2117"/>
      <w:r>
        <w:rPr>
          <w:rFonts w:hint="eastAsia" w:ascii="楷体_GB2312" w:hAnsi="楷体_GB2312" w:eastAsia="楷体_GB2312" w:cs="楷体_GB2312"/>
          <w:b/>
          <w:bCs/>
          <w:color w:val="000000"/>
          <w:kern w:val="0"/>
          <w:sz w:val="32"/>
          <w:szCs w:val="32"/>
          <w:shd w:val="clear" w:color="auto" w:fill="FFFFFF"/>
          <w:lang w:val="zh-CN" w:eastAsia="zh-CN"/>
        </w:rPr>
        <w:t>（</w:t>
      </w:r>
      <w:r>
        <w:rPr>
          <w:rFonts w:hint="eastAsia" w:ascii="楷体_GB2312" w:hAnsi="楷体_GB2312" w:eastAsia="楷体_GB2312" w:cs="楷体_GB2312"/>
          <w:b/>
          <w:bCs/>
          <w:color w:val="000000"/>
          <w:kern w:val="0"/>
          <w:sz w:val="32"/>
          <w:szCs w:val="32"/>
          <w:shd w:val="clear" w:color="auto" w:fill="FFFFFF"/>
          <w:lang w:val="en-US" w:eastAsia="zh-CN"/>
        </w:rPr>
        <w:t>五</w:t>
      </w:r>
      <w:r>
        <w:rPr>
          <w:rFonts w:hint="eastAsia" w:ascii="楷体_GB2312" w:hAnsi="楷体_GB2312" w:eastAsia="楷体_GB2312" w:cs="楷体_GB2312"/>
          <w:b/>
          <w:bCs/>
          <w:color w:val="000000"/>
          <w:kern w:val="0"/>
          <w:sz w:val="32"/>
          <w:szCs w:val="32"/>
          <w:shd w:val="clear" w:color="auto" w:fill="FFFFFF"/>
          <w:lang w:val="zh-CN" w:eastAsia="zh-CN"/>
        </w:rPr>
        <w:t>）部门财政资金支出情况</w:t>
      </w:r>
      <w:bookmarkEnd w:id="113"/>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本年度总支出为221.54万元。其中：一般公共服务支出为174.03万元，占比78.55%；社会保障和就业支出24.40万元，占比11.01%；卫生健康支出为10.41万元，占比4.70%；住房保障支出为12.70万元，占比5.7</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具体支出情况如下</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2013601一般公共服务支出行政运行</w:t>
      </w:r>
      <w:r>
        <w:rPr>
          <w:rFonts w:hint="eastAsia" w:ascii="仿宋_GB2312" w:hAnsi="仿宋_GB2312" w:eastAsia="仿宋_GB2312" w:cs="仿宋_GB2312"/>
          <w:color w:val="000000"/>
          <w:sz w:val="32"/>
          <w:szCs w:val="32"/>
          <w:lang w:eastAsia="zh-CN"/>
        </w:rPr>
        <w:t>预算数</w:t>
      </w:r>
      <w:r>
        <w:rPr>
          <w:rFonts w:hint="eastAsia" w:ascii="仿宋_GB2312" w:hAnsi="仿宋_GB2312" w:eastAsia="仿宋_GB2312" w:cs="仿宋_GB2312"/>
          <w:color w:val="000000"/>
          <w:sz w:val="32"/>
          <w:szCs w:val="32"/>
          <w:lang w:val="en-US" w:eastAsia="zh-CN"/>
        </w:rPr>
        <w:t>142.63</w:t>
      </w:r>
      <w:r>
        <w:rPr>
          <w:rFonts w:hint="eastAsia" w:ascii="仿宋_GB2312" w:hAnsi="仿宋_GB2312" w:eastAsia="仿宋_GB2312" w:cs="仿宋_GB2312"/>
          <w:color w:val="000000"/>
          <w:sz w:val="32"/>
          <w:szCs w:val="32"/>
        </w:rPr>
        <w:t>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主要用于机关单位人员工资、日常运转以及为完成特定行政工作任务和事业发展目标而安排的年度项目支出。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2080506职业年金</w:t>
      </w:r>
      <w:r>
        <w:rPr>
          <w:rFonts w:hint="eastAsia" w:ascii="仿宋_GB2312" w:hAnsi="仿宋_GB2312" w:eastAsia="仿宋_GB2312" w:cs="仿宋_GB2312"/>
          <w:sz w:val="32"/>
          <w:szCs w:val="32"/>
          <w:lang w:eastAsia="zh-CN"/>
        </w:rPr>
        <w:t>预算数</w:t>
      </w:r>
      <w:r>
        <w:rPr>
          <w:rFonts w:hint="eastAsia" w:ascii="仿宋_GB2312" w:hAnsi="仿宋_GB2312" w:eastAsia="仿宋_GB2312" w:cs="仿宋_GB2312"/>
          <w:sz w:val="32"/>
          <w:szCs w:val="32"/>
          <w:lang w:val="en-US" w:eastAsia="zh-CN"/>
        </w:rPr>
        <w:t>8.13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用于机关单位按照规定标准为职工缴纳职业年金等支出。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2101101行政单位医疗</w:t>
      </w:r>
      <w:r>
        <w:rPr>
          <w:rFonts w:hint="eastAsia" w:ascii="仿宋_GB2312" w:hAnsi="仿宋_GB2312" w:eastAsia="仿宋_GB2312" w:cs="仿宋_GB2312"/>
          <w:sz w:val="32"/>
          <w:szCs w:val="32"/>
          <w:lang w:eastAsia="zh-CN"/>
        </w:rPr>
        <w:t>预算数</w:t>
      </w:r>
      <w:r>
        <w:rPr>
          <w:rFonts w:hint="eastAsia" w:ascii="仿宋_GB2312" w:hAnsi="仿宋_GB2312" w:eastAsia="仿宋_GB2312" w:cs="仿宋_GB2312"/>
          <w:sz w:val="32"/>
          <w:szCs w:val="32"/>
          <w:lang w:val="en-US" w:eastAsia="zh-CN"/>
        </w:rPr>
        <w:t>8.61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主要用于机关事业单位按照规定标准为职工缴纳的基本医疗保险及公务员医疗补助等支出。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210110</w:t>
      </w:r>
      <w:r>
        <w:rPr>
          <w:rFonts w:hint="eastAsia" w:ascii="仿宋_GB2312" w:hAnsi="仿宋_GB2312" w:eastAsia="仿宋_GB2312" w:cs="仿宋_GB2312"/>
          <w:sz w:val="32"/>
          <w:szCs w:val="32"/>
          <w:lang w:val="en-US" w:eastAsia="zh-CN"/>
        </w:rPr>
        <w:t>3公务员</w:t>
      </w:r>
      <w:r>
        <w:rPr>
          <w:rFonts w:hint="eastAsia" w:ascii="仿宋_GB2312" w:hAnsi="仿宋_GB2312" w:eastAsia="仿宋_GB2312" w:cs="仿宋_GB2312"/>
          <w:sz w:val="32"/>
          <w:szCs w:val="32"/>
        </w:rPr>
        <w:t>医疗</w:t>
      </w:r>
      <w:r>
        <w:rPr>
          <w:rFonts w:hint="eastAsia" w:ascii="仿宋_GB2312" w:hAnsi="仿宋_GB2312" w:eastAsia="仿宋_GB2312" w:cs="仿宋_GB2312"/>
          <w:sz w:val="32"/>
          <w:szCs w:val="32"/>
          <w:lang w:eastAsia="zh-CN"/>
        </w:rPr>
        <w:t>预算数</w:t>
      </w:r>
      <w:r>
        <w:rPr>
          <w:rFonts w:hint="eastAsia" w:ascii="仿宋_GB2312" w:hAnsi="仿宋_GB2312" w:eastAsia="仿宋_GB2312" w:cs="仿宋_GB2312"/>
          <w:sz w:val="32"/>
          <w:szCs w:val="32"/>
          <w:lang w:val="en-US" w:eastAsia="zh-CN"/>
        </w:rPr>
        <w:t>1.8</w:t>
      </w:r>
      <w:r>
        <w:rPr>
          <w:rFonts w:hint="eastAsia" w:eastAsia="仿宋_GB2312" w:cs="仿宋_GB2312"/>
          <w:sz w:val="32"/>
          <w:szCs w:val="32"/>
          <w:lang w:val="en-US" w:eastAsia="zh-CN"/>
        </w:rPr>
        <w:t>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主要用于机关事业单位按照规定标准为职工缴纳的基本医疗保险及公务员医疗补助等支出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2210201住房公积金支出</w:t>
      </w:r>
      <w:r>
        <w:rPr>
          <w:rFonts w:hint="eastAsia" w:ascii="仿宋_GB2312" w:hAnsi="仿宋_GB2312" w:eastAsia="仿宋_GB2312" w:cs="仿宋_GB2312"/>
          <w:sz w:val="32"/>
          <w:szCs w:val="32"/>
          <w:lang w:eastAsia="zh-CN"/>
        </w:rPr>
        <w:t>预算数</w:t>
      </w:r>
      <w:r>
        <w:rPr>
          <w:rFonts w:hint="eastAsia" w:ascii="仿宋_GB2312" w:hAnsi="仿宋_GB2312" w:eastAsia="仿宋_GB2312" w:cs="仿宋_GB2312"/>
          <w:sz w:val="32"/>
          <w:szCs w:val="32"/>
          <w:lang w:val="en-US" w:eastAsia="zh-CN"/>
        </w:rPr>
        <w:t>12.70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主要</w:t>
      </w:r>
      <w:r>
        <w:rPr>
          <w:rFonts w:hint="eastAsia" w:ascii="仿宋_GB2312" w:hAnsi="仿宋_GB2312" w:eastAsia="仿宋_GB2312" w:cs="仿宋_GB2312"/>
          <w:sz w:val="32"/>
          <w:szCs w:val="32"/>
        </w:rPr>
        <w:t>用于机关及下属事业单位按照规定标准为职工缴纳住房公积金等支出。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2013602一般行政管理事务</w:t>
      </w:r>
      <w:r>
        <w:rPr>
          <w:rFonts w:hint="eastAsia" w:ascii="仿宋_GB2312" w:hAnsi="仿宋_GB2312" w:eastAsia="仿宋_GB2312" w:cs="仿宋_GB2312"/>
          <w:sz w:val="32"/>
          <w:szCs w:val="32"/>
          <w:lang w:eastAsia="zh-CN"/>
        </w:rPr>
        <w:t>预算数</w:t>
      </w:r>
      <w:r>
        <w:rPr>
          <w:rFonts w:hint="eastAsia" w:ascii="仿宋_GB2312" w:hAnsi="仿宋_GB2312" w:eastAsia="仿宋_GB2312" w:cs="仿宋_GB2312"/>
          <w:sz w:val="32"/>
          <w:szCs w:val="32"/>
          <w:lang w:val="en-US" w:eastAsia="zh-CN"/>
        </w:rPr>
        <w:t>31.40万元，</w:t>
      </w:r>
      <w:r>
        <w:rPr>
          <w:rFonts w:hint="eastAsia" w:ascii="仿宋_GB2312" w:hAnsi="仿宋_GB2312" w:eastAsia="仿宋_GB2312" w:cs="仿宋_GB2312"/>
          <w:sz w:val="32"/>
          <w:szCs w:val="32"/>
        </w:rPr>
        <w:t>用于本单位的项目支出。</w:t>
      </w:r>
      <w:bookmarkStart w:id="114" w:name="_Toc28717"/>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eastAsia" w:ascii="黑体" w:hAnsi="黑体" w:eastAsia="黑体" w:cs="黑体"/>
          <w:b w:val="0"/>
          <w:bCs w:val="0"/>
          <w:color w:val="000000"/>
          <w:kern w:val="0"/>
          <w:sz w:val="32"/>
          <w:szCs w:val="32"/>
          <w:shd w:val="clear" w:color="auto" w:fill="FFFFFF"/>
        </w:rPr>
      </w:pPr>
      <w:bookmarkStart w:id="115" w:name="_Toc16583"/>
      <w:r>
        <w:rPr>
          <w:rFonts w:hint="eastAsia" w:ascii="黑体" w:hAnsi="黑体" w:eastAsia="黑体" w:cs="黑体"/>
          <w:b w:val="0"/>
          <w:bCs w:val="0"/>
          <w:color w:val="000000"/>
          <w:kern w:val="0"/>
          <w:sz w:val="32"/>
          <w:szCs w:val="32"/>
          <w:shd w:val="clear" w:color="auto" w:fill="FFFFFF"/>
          <w:lang w:val="en-US" w:eastAsia="zh-CN"/>
        </w:rPr>
        <w:t>二</w:t>
      </w:r>
      <w:r>
        <w:rPr>
          <w:rFonts w:hint="eastAsia" w:ascii="黑体" w:hAnsi="黑体" w:eastAsia="黑体" w:cs="黑体"/>
          <w:b w:val="0"/>
          <w:bCs w:val="0"/>
          <w:color w:val="000000"/>
          <w:kern w:val="0"/>
          <w:sz w:val="32"/>
          <w:szCs w:val="32"/>
          <w:shd w:val="clear" w:color="auto" w:fill="FFFFFF"/>
        </w:rPr>
        <w:t>、部门整体预算绩效管理情况</w:t>
      </w:r>
      <w:bookmarkEnd w:id="114"/>
      <w:bookmarkEnd w:id="115"/>
      <w:bookmarkStart w:id="116" w:name="_Toc17007"/>
    </w:p>
    <w:bookmarkEnd w:id="116"/>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中心</w:t>
      </w:r>
      <w:r>
        <w:rPr>
          <w:rFonts w:hint="eastAsia" w:ascii="仿宋_GB2312" w:hAnsi="仿宋_GB2312" w:eastAsia="仿宋_GB2312" w:cs="仿宋_GB2312"/>
          <w:color w:val="000000"/>
          <w:sz w:val="32"/>
          <w:szCs w:val="32"/>
        </w:rPr>
        <w:t>预算分配严格按照财政局相关规定执行，部门预算执行进度如期完成，并且严格按照预算管理进行支付，严格把控水电费以做到节能降耗</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“三公”经费严格按照年初预算执行，并做到有效缩减“三公”经费支出情况</w:t>
      </w:r>
      <w:r>
        <w:rPr>
          <w:rFonts w:hint="eastAsia" w:ascii="仿宋_GB2312" w:hAnsi="仿宋_GB2312" w:eastAsia="仿宋_GB2312" w:cs="仿宋_GB2312"/>
          <w:color w:val="000000"/>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心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在资金使用的过程中，严格按照国家的相关规定合理使用资金，严格按照资金的用途、项目、地区使用资金，严格执行财政部门规定的各项经费开支范围和标准。在财务报销的过程中严格贯彻执行国家颁布的相关财务</w:t>
      </w:r>
      <w:r>
        <w:rPr>
          <w:rFonts w:hint="eastAsia" w:ascii="仿宋_GB2312" w:hAnsi="仿宋_GB2312" w:eastAsia="仿宋_GB2312" w:cs="仿宋_GB2312"/>
          <w:color w:val="000000"/>
          <w:sz w:val="32"/>
          <w:szCs w:val="32"/>
          <w:lang w:val="en-US" w:eastAsia="zh-CN"/>
        </w:rPr>
        <w:t>法</w:t>
      </w:r>
      <w:r>
        <w:rPr>
          <w:rFonts w:hint="eastAsia" w:ascii="仿宋_GB2312" w:hAnsi="仿宋_GB2312" w:eastAsia="仿宋_GB2312" w:cs="仿宋_GB2312"/>
          <w:color w:val="000000"/>
          <w:sz w:val="32"/>
          <w:szCs w:val="32"/>
        </w:rPr>
        <w:t>规，严格按照法律规定以完整、合法、经济内容真实有效的原始凭证作为记账依据。严格按照标准的财务报销流程以及完备的财务报销手续进行报账。严格按照规定对原始凭证等会计资料进行归档保存。及时填报各项年度统计报表；在财务管理系统里做到会计核算与财政支出一致，有效的使用了会计电算化软件。在使用采购资金时手续齐备，采购的固定资产做到了及时登记和入账；严格落实《党政机关厉行节约反对浪费条例》的相关规定，进一步规范了</w:t>
      </w:r>
      <w:bookmarkStart w:id="196" w:name="_GoBack"/>
      <w:bookmarkEnd w:id="196"/>
      <w:r>
        <w:rPr>
          <w:rFonts w:hint="eastAsia" w:ascii="仿宋_GB2312" w:hAnsi="仿宋_GB2312" w:eastAsia="仿宋_GB2312" w:cs="仿宋_GB2312"/>
          <w:color w:val="000000"/>
          <w:sz w:val="32"/>
          <w:szCs w:val="32"/>
          <w:lang w:eastAsia="zh-CN"/>
        </w:rPr>
        <w:t>“三公”经费</w:t>
      </w:r>
      <w:r>
        <w:rPr>
          <w:rFonts w:hint="eastAsia" w:ascii="仿宋_GB2312" w:hAnsi="仿宋_GB2312" w:eastAsia="仿宋_GB2312" w:cs="仿宋_GB2312"/>
          <w:color w:val="000000"/>
          <w:sz w:val="32"/>
          <w:szCs w:val="32"/>
        </w:rPr>
        <w:t>的管理并严格控制了</w:t>
      </w:r>
      <w:r>
        <w:rPr>
          <w:rFonts w:hint="eastAsia" w:ascii="仿宋_GB2312" w:hAnsi="仿宋_GB2312" w:eastAsia="仿宋_GB2312" w:cs="仿宋_GB2312"/>
          <w:color w:val="000000"/>
          <w:sz w:val="32"/>
          <w:szCs w:val="32"/>
          <w:lang w:eastAsia="zh-CN"/>
        </w:rPr>
        <w:t>“三公”经费</w:t>
      </w:r>
      <w:r>
        <w:rPr>
          <w:rFonts w:hint="eastAsia" w:ascii="仿宋_GB2312" w:hAnsi="仿宋_GB2312" w:eastAsia="仿宋_GB2312" w:cs="仿宋_GB2312"/>
          <w:color w:val="000000"/>
          <w:sz w:val="32"/>
          <w:szCs w:val="32"/>
        </w:rPr>
        <w:t>的支出</w:t>
      </w:r>
      <w:bookmarkStart w:id="117" w:name="_Toc23653"/>
    </w:p>
    <w:bookmarkEnd w:id="117"/>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eastAsia" w:ascii="仿宋_GB2312" w:hAnsi="仿宋_GB2312" w:eastAsia="仿宋_GB2312" w:cs="仿宋_GB2312"/>
          <w:color w:val="FF0000"/>
          <w:kern w:val="0"/>
          <w:sz w:val="32"/>
          <w:szCs w:val="32"/>
          <w:shd w:val="clear" w:color="auto" w:fill="FFFFFF"/>
          <w:lang w:val="zh-CN"/>
        </w:rPr>
      </w:pPr>
      <w:bookmarkStart w:id="118" w:name="_Toc4159"/>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1"/>
        <w:rPr>
          <w:rFonts w:hint="eastAsia" w:ascii="黑体" w:hAnsi="黑体" w:eastAsia="黑体" w:cs="黑体"/>
          <w:b w:val="0"/>
          <w:bCs w:val="0"/>
          <w:color w:val="000000"/>
          <w:kern w:val="0"/>
          <w:sz w:val="32"/>
          <w:szCs w:val="32"/>
          <w:shd w:val="clear" w:color="auto" w:fill="FFFFFF"/>
          <w:lang w:val="en-US" w:eastAsia="zh-CN"/>
        </w:rPr>
      </w:pPr>
      <w:bookmarkStart w:id="119" w:name="_Toc24098"/>
      <w:r>
        <w:rPr>
          <w:rFonts w:hint="eastAsia" w:ascii="黑体" w:hAnsi="黑体" w:eastAsia="黑体" w:cs="黑体"/>
          <w:b w:val="0"/>
          <w:bCs w:val="0"/>
          <w:color w:val="000000"/>
          <w:kern w:val="0"/>
          <w:sz w:val="32"/>
          <w:szCs w:val="32"/>
          <w:shd w:val="clear" w:color="auto" w:fill="FFFFFF"/>
          <w:lang w:val="en-US" w:eastAsia="zh-CN"/>
        </w:rPr>
        <w:t>三、</w:t>
      </w:r>
      <w:r>
        <w:rPr>
          <w:rFonts w:hint="eastAsia" w:ascii="黑体" w:hAnsi="黑体" w:eastAsia="黑体" w:cs="黑体"/>
          <w:b w:val="0"/>
          <w:bCs w:val="0"/>
          <w:color w:val="000000"/>
          <w:kern w:val="0"/>
          <w:sz w:val="32"/>
          <w:szCs w:val="32"/>
          <w:shd w:val="clear" w:color="auto" w:fill="FFFFFF"/>
        </w:rPr>
        <w:t>评价结论及建议</w:t>
      </w:r>
      <w:bookmarkEnd w:id="118"/>
      <w:bookmarkEnd w:id="119"/>
      <w:r>
        <w:rPr>
          <w:rFonts w:hint="eastAsia" w:ascii="黑体" w:hAnsi="黑体" w:eastAsia="黑体" w:cs="黑体"/>
          <w:b w:val="0"/>
          <w:bCs w:val="0"/>
          <w:color w:val="000000"/>
          <w:kern w:val="0"/>
          <w:sz w:val="32"/>
          <w:szCs w:val="32"/>
          <w:shd w:val="clear" w:color="auto" w:fill="FFFFFF"/>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eastAsia="zh-CN"/>
        </w:rPr>
      </w:pPr>
      <w:bookmarkStart w:id="120" w:name="_Toc5039"/>
      <w:r>
        <w:rPr>
          <w:rFonts w:hint="eastAsia" w:ascii="楷体_GB2312" w:hAnsi="楷体_GB2312" w:eastAsia="楷体_GB2312" w:cs="楷体_GB2312"/>
          <w:b/>
          <w:bCs/>
          <w:color w:val="000000"/>
          <w:kern w:val="0"/>
          <w:sz w:val="32"/>
          <w:szCs w:val="32"/>
          <w:shd w:val="clear" w:color="auto" w:fill="FFFFFF"/>
          <w:lang w:val="zh-CN" w:eastAsia="zh-CN"/>
        </w:rPr>
        <w:t>（一）评价结论</w:t>
      </w:r>
      <w:bookmarkEnd w:id="120"/>
    </w:p>
    <w:p>
      <w:pPr>
        <w:pStyle w:val="2"/>
        <w:keepNext w:val="0"/>
        <w:keepLines w:val="0"/>
        <w:pageBreakBefore w:val="0"/>
        <w:kinsoku/>
        <w:wordWrap/>
        <w:overflowPunct/>
        <w:topLinePunct w:val="0"/>
        <w:autoSpaceDE/>
        <w:autoSpaceDN/>
        <w:bidi w:val="0"/>
        <w:spacing w:after="0" w:line="576" w:lineRule="exact"/>
        <w:ind w:left="0" w:leftChars="0"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根据《202</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年红原县部门支出绩效评价指标体系》评分得分</w:t>
      </w:r>
      <w:r>
        <w:rPr>
          <w:rFonts w:hint="eastAsia" w:ascii="仿宋_GB2312" w:hAnsi="仿宋_GB2312" w:eastAsia="仿宋_GB2312" w:cs="仿宋_GB2312"/>
          <w:color w:val="000000"/>
          <w:kern w:val="0"/>
          <w:sz w:val="32"/>
          <w:szCs w:val="32"/>
          <w:lang w:val="en-US" w:eastAsia="zh-CN"/>
        </w:rPr>
        <w:t>89.5</w:t>
      </w:r>
      <w:r>
        <w:rPr>
          <w:rFonts w:hint="eastAsia" w:ascii="仿宋_GB2312" w:hAnsi="仿宋_GB2312" w:eastAsia="仿宋_GB2312" w:cs="仿宋_GB2312"/>
          <w:color w:val="000000"/>
          <w:kern w:val="0"/>
          <w:sz w:val="32"/>
          <w:szCs w:val="32"/>
          <w:lang w:val="zh-CN"/>
        </w:rPr>
        <w:t>分，部门整体支出绩效为“好”。</w:t>
      </w:r>
      <w:bookmarkStart w:id="121" w:name="_Toc32725"/>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w:t>
      </w:r>
      <w:r>
        <w:rPr>
          <w:rFonts w:hint="eastAsia" w:ascii="楷体_GB2312" w:hAnsi="楷体_GB2312" w:eastAsia="楷体_GB2312" w:cs="楷体_GB2312"/>
          <w:b/>
          <w:bCs/>
          <w:color w:val="000000"/>
          <w:kern w:val="0"/>
          <w:sz w:val="32"/>
          <w:szCs w:val="32"/>
          <w:shd w:val="clear" w:color="auto" w:fill="FFFFFF"/>
          <w:lang w:val="en-US" w:eastAsia="zh-CN"/>
        </w:rPr>
        <w:t>二）</w:t>
      </w:r>
      <w:r>
        <w:rPr>
          <w:rFonts w:hint="eastAsia" w:ascii="楷体_GB2312" w:hAnsi="楷体_GB2312" w:eastAsia="楷体_GB2312" w:cs="楷体_GB2312"/>
          <w:b/>
          <w:bCs/>
          <w:color w:val="000000"/>
          <w:kern w:val="0"/>
          <w:sz w:val="32"/>
          <w:szCs w:val="32"/>
          <w:shd w:val="clear" w:color="auto" w:fill="FFFFFF"/>
          <w:lang w:val="zh-CN" w:eastAsia="zh-CN"/>
        </w:rPr>
        <w:t>存在问题</w:t>
      </w:r>
      <w:bookmarkEnd w:id="121"/>
      <w:bookmarkStart w:id="122" w:name="_Toc7602"/>
    </w:p>
    <w:p>
      <w:pPr>
        <w:pStyle w:val="2"/>
        <w:keepNext w:val="0"/>
        <w:keepLines w:val="0"/>
        <w:pageBreakBefore w:val="0"/>
        <w:kinsoku/>
        <w:wordWrap/>
        <w:overflowPunct/>
        <w:topLinePunct w:val="0"/>
        <w:autoSpaceDE/>
        <w:autoSpaceDN/>
        <w:bidi w:val="0"/>
        <w:spacing w:after="0" w:line="576" w:lineRule="exact"/>
        <w:ind w:left="0" w:leftChars="0" w:firstLine="640" w:firstLineChars="200"/>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没有完善的系统流程，对绩效评价工作认识不够效率有待提高。</w:t>
      </w:r>
      <w:bookmarkEnd w:id="122"/>
      <w:bookmarkStart w:id="123" w:name="_Toc3102"/>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1"/>
        <w:rPr>
          <w:rFonts w:hint="eastAsia" w:ascii="楷体_GB2312" w:hAnsi="楷体_GB2312" w:eastAsia="楷体_GB2312" w:cs="楷体_GB2312"/>
          <w:b/>
          <w:bCs/>
          <w:color w:val="000000"/>
          <w:kern w:val="0"/>
          <w:sz w:val="32"/>
          <w:szCs w:val="32"/>
          <w:shd w:val="clear" w:color="auto" w:fill="FFFFFF"/>
          <w:lang w:val="zh-CN" w:eastAsia="zh-CN"/>
        </w:rPr>
      </w:pPr>
      <w:r>
        <w:rPr>
          <w:rFonts w:hint="eastAsia" w:ascii="楷体_GB2312" w:hAnsi="楷体_GB2312" w:eastAsia="楷体_GB2312" w:cs="楷体_GB2312"/>
          <w:b/>
          <w:bCs/>
          <w:color w:val="000000"/>
          <w:kern w:val="0"/>
          <w:sz w:val="32"/>
          <w:szCs w:val="32"/>
          <w:shd w:val="clear" w:color="auto" w:fill="FFFFFF"/>
          <w:lang w:val="zh-CN" w:eastAsia="zh-CN"/>
        </w:rPr>
        <w:t>（</w:t>
      </w:r>
      <w:r>
        <w:rPr>
          <w:rFonts w:hint="eastAsia" w:ascii="楷体_GB2312" w:hAnsi="楷体_GB2312" w:eastAsia="楷体_GB2312" w:cs="楷体_GB2312"/>
          <w:b/>
          <w:bCs/>
          <w:color w:val="000000"/>
          <w:kern w:val="0"/>
          <w:sz w:val="32"/>
          <w:szCs w:val="32"/>
          <w:shd w:val="clear" w:color="auto" w:fill="FFFFFF"/>
          <w:lang w:val="en-US" w:eastAsia="zh-CN"/>
        </w:rPr>
        <w:t>三）</w:t>
      </w:r>
      <w:r>
        <w:rPr>
          <w:rFonts w:hint="eastAsia" w:ascii="楷体_GB2312" w:hAnsi="楷体_GB2312" w:eastAsia="楷体_GB2312" w:cs="楷体_GB2312"/>
          <w:b/>
          <w:bCs/>
          <w:color w:val="000000"/>
          <w:kern w:val="0"/>
          <w:sz w:val="32"/>
          <w:szCs w:val="32"/>
          <w:shd w:val="clear" w:color="auto" w:fill="FFFFFF"/>
          <w:lang w:val="zh-CN" w:eastAsia="zh-CN"/>
        </w:rPr>
        <w:t>改进建议</w:t>
      </w:r>
      <w:bookmarkEnd w:id="123"/>
    </w:p>
    <w:p>
      <w:pPr>
        <w:pStyle w:val="2"/>
        <w:keepNext w:val="0"/>
        <w:keepLines w:val="0"/>
        <w:pageBreakBefore w:val="0"/>
        <w:numPr>
          <w:ilvl w:val="0"/>
          <w:numId w:val="0"/>
        </w:numPr>
        <w:kinsoku/>
        <w:wordWrap/>
        <w:overflowPunct/>
        <w:topLinePunct w:val="0"/>
        <w:autoSpaceDE/>
        <w:autoSpaceDN/>
        <w:bidi w:val="0"/>
        <w:spacing w:after="0" w:line="576" w:lineRule="exact"/>
        <w:ind w:leftChars="0" w:firstLine="640" w:firstLineChars="200"/>
        <w:textAlignment w:val="auto"/>
        <w:rPr>
          <w:rFonts w:hint="eastAsia"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加强会计核算和会计监督的准确性和有效性，加强财务人员的专业意识，提高对预算编制的执行与认识，为绩效评价工作开展创造更好的条件</w:t>
      </w:r>
      <w:r>
        <w:rPr>
          <w:rFonts w:hint="eastAsia" w:eastAsia="仿宋_GB2312" w:cs="仿宋_GB2312"/>
          <w:color w:val="000000"/>
          <w:kern w:val="0"/>
          <w:sz w:val="32"/>
          <w:szCs w:val="32"/>
          <w:lang w:val="zh-CN"/>
        </w:rPr>
        <w:t>。</w:t>
      </w:r>
      <w:bookmarkStart w:id="124" w:name="_Toc20764"/>
      <w:bookmarkStart w:id="125" w:name="_Toc23554"/>
    </w:p>
    <w:p>
      <w:pPr>
        <w:pStyle w:val="2"/>
        <w:keepNext w:val="0"/>
        <w:keepLines w:val="0"/>
        <w:pageBreakBefore w:val="0"/>
        <w:numPr>
          <w:ilvl w:val="0"/>
          <w:numId w:val="0"/>
        </w:numPr>
        <w:kinsoku/>
        <w:wordWrap/>
        <w:overflowPunct/>
        <w:topLinePunct w:val="0"/>
        <w:autoSpaceDE/>
        <w:autoSpaceDN/>
        <w:bidi w:val="0"/>
        <w:spacing w:after="0" w:line="576" w:lineRule="exact"/>
        <w:ind w:leftChars="0" w:firstLine="640" w:firstLineChars="200"/>
        <w:textAlignment w:val="auto"/>
        <w:rPr>
          <w:rFonts w:hint="eastAsia" w:eastAsia="仿宋_GB2312" w:cs="仿宋_GB2312"/>
          <w:color w:val="000000"/>
          <w:kern w:val="0"/>
          <w:sz w:val="32"/>
          <w:szCs w:val="32"/>
          <w:lang w:val="zh-CN"/>
        </w:rPr>
      </w:pPr>
    </w:p>
    <w:p>
      <w:pPr>
        <w:pStyle w:val="2"/>
        <w:keepNext w:val="0"/>
        <w:keepLines w:val="0"/>
        <w:pageBreakBefore w:val="0"/>
        <w:numPr>
          <w:ilvl w:val="0"/>
          <w:numId w:val="0"/>
        </w:numPr>
        <w:kinsoku/>
        <w:wordWrap/>
        <w:overflowPunct/>
        <w:topLinePunct w:val="0"/>
        <w:autoSpaceDE/>
        <w:autoSpaceDN/>
        <w:bidi w:val="0"/>
        <w:spacing w:after="0" w:line="576" w:lineRule="exact"/>
        <w:ind w:leftChars="0" w:firstLine="640" w:firstLineChars="200"/>
        <w:textAlignment w:val="auto"/>
        <w:rPr>
          <w:rFonts w:hint="eastAsia" w:eastAsia="仿宋_GB2312" w:cs="仿宋_GB2312"/>
          <w:color w:val="000000"/>
          <w:kern w:val="0"/>
          <w:sz w:val="32"/>
          <w:szCs w:val="32"/>
          <w:lang w:val="zh-CN"/>
        </w:rPr>
      </w:pPr>
    </w:p>
    <w:p>
      <w:pPr>
        <w:pStyle w:val="2"/>
        <w:keepNext w:val="0"/>
        <w:keepLines w:val="0"/>
        <w:pageBreakBefore w:val="0"/>
        <w:numPr>
          <w:ilvl w:val="0"/>
          <w:numId w:val="0"/>
        </w:numPr>
        <w:kinsoku/>
        <w:wordWrap/>
        <w:overflowPunct/>
        <w:topLinePunct w:val="0"/>
        <w:autoSpaceDE/>
        <w:autoSpaceDN/>
        <w:bidi w:val="0"/>
        <w:spacing w:after="0" w:line="576" w:lineRule="exact"/>
        <w:ind w:leftChars="0" w:firstLine="640" w:firstLineChars="200"/>
        <w:textAlignment w:val="auto"/>
        <w:rPr>
          <w:rFonts w:hint="eastAsia" w:eastAsia="仿宋_GB2312" w:cs="仿宋_GB2312"/>
          <w:color w:val="000000"/>
          <w:kern w:val="0"/>
          <w:sz w:val="32"/>
          <w:szCs w:val="32"/>
          <w:lang w:val="zh-CN"/>
        </w:rPr>
      </w:pPr>
    </w:p>
    <w:p>
      <w:pPr>
        <w:pStyle w:val="2"/>
        <w:keepNext w:val="0"/>
        <w:keepLines w:val="0"/>
        <w:pageBreakBefore w:val="0"/>
        <w:numPr>
          <w:ilvl w:val="0"/>
          <w:numId w:val="0"/>
        </w:numPr>
        <w:kinsoku/>
        <w:wordWrap/>
        <w:overflowPunct/>
        <w:topLinePunct w:val="0"/>
        <w:autoSpaceDE/>
        <w:autoSpaceDN/>
        <w:bidi w:val="0"/>
        <w:spacing w:after="0" w:line="576" w:lineRule="exact"/>
        <w:ind w:leftChars="0" w:firstLine="602" w:firstLineChars="200"/>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附件2</w:t>
      </w:r>
      <w:bookmarkEnd w:id="124"/>
      <w:bookmarkEnd w:id="125"/>
      <w:r>
        <w:rPr>
          <w:rFonts w:hint="eastAsia" w:eastAsia="仿宋_GB2312" w:cs="仿宋_GB2312"/>
          <w:b/>
          <w:bCs/>
          <w:sz w:val="30"/>
          <w:szCs w:val="30"/>
          <w:lang w:val="en-US" w:eastAsia="zh-CN"/>
        </w:rPr>
        <w:t>：</w:t>
      </w:r>
      <w:r>
        <w:rPr>
          <w:rFonts w:hint="eastAsia" w:ascii="仿宋_GB2312" w:hAnsi="仿宋_GB2312" w:eastAsia="仿宋_GB2312" w:cs="仿宋_GB2312"/>
          <w:b/>
          <w:bCs/>
          <w:sz w:val="30"/>
          <w:szCs w:val="30"/>
          <w:lang w:val="en-US" w:eastAsia="zh-CN"/>
        </w:rPr>
        <w:t xml:space="preserve"> </w:t>
      </w:r>
    </w:p>
    <w:p>
      <w:pPr>
        <w:pStyle w:val="14"/>
        <w:widowControl/>
        <w:shd w:val="clear" w:fill="FFFFFF"/>
        <w:snapToGrid w:val="0"/>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b/>
          <w:bCs/>
          <w:color w:val="auto"/>
          <w:sz w:val="44"/>
          <w:szCs w:val="44"/>
          <w:shd w:val="clear" w:fill="FFFFFF"/>
          <w:lang w:val="en-US"/>
        </w:rPr>
        <w:t>202</w:t>
      </w:r>
      <w:r>
        <w:rPr>
          <w:rFonts w:hint="eastAsia" w:ascii="方正小标宋_GBK" w:hAnsi="方正小标宋_GBK" w:eastAsia="方正小标宋_GBK" w:cs="方正小标宋_GBK"/>
          <w:b/>
          <w:bCs/>
          <w:color w:val="auto"/>
          <w:sz w:val="44"/>
          <w:szCs w:val="44"/>
          <w:shd w:val="clear" w:fill="FFFFFF"/>
          <w:lang w:val="en-US" w:eastAsia="zh-CN"/>
        </w:rPr>
        <w:t>2</w:t>
      </w:r>
      <w:r>
        <w:rPr>
          <w:rFonts w:hint="eastAsia" w:ascii="方正小标宋_GBK" w:hAnsi="方正小标宋_GBK" w:eastAsia="方正小标宋_GBK" w:cs="方正小标宋_GBK"/>
          <w:b/>
          <w:bCs/>
          <w:color w:val="auto"/>
          <w:sz w:val="44"/>
          <w:szCs w:val="44"/>
          <w:shd w:val="clear" w:fill="FFFFFF"/>
          <w:lang w:eastAsia="zh-CN"/>
        </w:rPr>
        <w:t>年专项预算项目支出绩效自评报告</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bookmarkStart w:id="126" w:name="_Toc336"/>
      <w:bookmarkStart w:id="127" w:name="_Toc18872"/>
      <w:r>
        <w:rPr>
          <w:rFonts w:hint="eastAsia" w:ascii="黑体" w:hAnsi="黑体" w:eastAsia="黑体" w:cs="黑体"/>
          <w:b w:val="0"/>
          <w:bCs w:val="0"/>
          <w:snapToGrid w:val="0"/>
          <w:sz w:val="32"/>
          <w:szCs w:val="32"/>
          <w:shd w:val="clear" w:fill="FFFFFF"/>
          <w:lang w:eastAsia="zh-CN"/>
        </w:rPr>
        <w:t>一、项目概况</w:t>
      </w:r>
      <w:bookmarkEnd w:id="126"/>
      <w:bookmarkEnd w:id="127"/>
      <w:bookmarkStart w:id="128" w:name="_Toc24355"/>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29" w:name="_Toc4922"/>
      <w:r>
        <w:rPr>
          <w:rStyle w:val="17"/>
          <w:rFonts w:hint="eastAsia" w:ascii="楷体_GB2312" w:hAnsi="楷体_GB2312" w:eastAsia="楷体_GB2312" w:cs="楷体_GB2312"/>
          <w:sz w:val="32"/>
          <w:szCs w:val="32"/>
          <w:shd w:val="clear" w:fill="FFFFFF"/>
          <w:lang w:eastAsia="zh-CN"/>
        </w:rPr>
        <w:t>（一）项目基本情况</w:t>
      </w:r>
      <w:bookmarkEnd w:id="128"/>
      <w:bookmarkEnd w:id="129"/>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预期目标完成《红原</w:t>
      </w:r>
      <w:r>
        <w:rPr>
          <w:rFonts w:hint="eastAsia" w:ascii="仿宋_GB2312" w:hAnsi="仿宋_GB2312" w:eastAsia="仿宋_GB2312" w:cs="仿宋_GB2312"/>
          <w:bCs/>
          <w:sz w:val="32"/>
          <w:szCs w:val="32"/>
          <w:lang w:eastAsia="zh-CN"/>
        </w:rPr>
        <w:t>年鉴</w:t>
      </w:r>
      <w:r>
        <w:rPr>
          <w:rFonts w:hint="eastAsia" w:ascii="仿宋_GB2312" w:hAnsi="仿宋_GB2312" w:eastAsia="仿宋_GB2312" w:cs="仿宋_GB2312"/>
          <w:bCs/>
          <w:sz w:val="32"/>
          <w:szCs w:val="32"/>
        </w:rPr>
        <w:t>》出版印刷500册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《执政实录》出版印刷</w:t>
      </w:r>
      <w:r>
        <w:rPr>
          <w:rFonts w:hint="eastAsia" w:ascii="仿宋_GB2312" w:hAnsi="仿宋_GB2312" w:eastAsia="仿宋_GB2312" w:cs="仿宋_GB2312"/>
          <w:bCs/>
          <w:sz w:val="32"/>
          <w:szCs w:val="32"/>
          <w:lang w:val="en-US" w:eastAsia="zh-CN"/>
        </w:rPr>
        <w:t>500</w:t>
      </w:r>
      <w:r>
        <w:rPr>
          <w:rFonts w:hint="eastAsia" w:ascii="仿宋_GB2312" w:hAnsi="仿宋_GB2312" w:eastAsia="仿宋_GB2312" w:cs="仿宋_GB2312"/>
          <w:bCs/>
          <w:sz w:val="32"/>
          <w:szCs w:val="32"/>
        </w:rPr>
        <w:t>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《红军走过的大草原》</w:t>
      </w:r>
      <w:r>
        <w:rPr>
          <w:rFonts w:hint="eastAsia" w:ascii="仿宋_GB2312" w:hAnsi="仿宋_GB2312" w:eastAsia="仿宋_GB2312" w:cs="仿宋_GB2312"/>
          <w:bCs/>
          <w:sz w:val="32"/>
          <w:szCs w:val="32"/>
        </w:rPr>
        <w:t>印刷500册</w:t>
      </w:r>
      <w:r>
        <w:rPr>
          <w:rFonts w:hint="eastAsia" w:ascii="仿宋_GB2312" w:hAnsi="仿宋_GB2312" w:eastAsia="仿宋_GB2312" w:cs="仿宋_GB2312"/>
          <w:bCs/>
          <w:sz w:val="32"/>
          <w:szCs w:val="32"/>
          <w:lang w:eastAsia="zh-CN"/>
        </w:rPr>
        <w:t>、拍摄</w:t>
      </w:r>
      <w:r>
        <w:rPr>
          <w:rFonts w:hint="eastAsia" w:ascii="仿宋_GB2312" w:hAnsi="仿宋_GB2312" w:eastAsia="仿宋_GB2312" w:cs="仿宋_GB2312"/>
          <w:bCs/>
          <w:sz w:val="32"/>
          <w:szCs w:val="32"/>
        </w:rPr>
        <w:t>口述历史纪录片1部</w:t>
      </w:r>
      <w:r>
        <w:rPr>
          <w:rFonts w:hint="eastAsia" w:ascii="仿宋_GB2312" w:hAnsi="仿宋_GB2312" w:eastAsia="仿宋_GB2312" w:cs="仿宋_GB2312"/>
          <w:bCs/>
          <w:sz w:val="32"/>
          <w:szCs w:val="32"/>
          <w:lang w:eastAsia="zh-CN"/>
        </w:rPr>
        <w:t>、组织全县各乡镇参加乡镇村志培训会。</w:t>
      </w:r>
      <w:bookmarkStart w:id="130" w:name="_Toc30307"/>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二）</w:t>
      </w:r>
      <w:r>
        <w:rPr>
          <w:rStyle w:val="17"/>
          <w:rFonts w:hint="eastAsia" w:ascii="楷体_GB2312" w:hAnsi="楷体_GB2312" w:eastAsia="楷体_GB2312" w:cs="楷体_GB2312"/>
          <w:sz w:val="32"/>
          <w:szCs w:val="32"/>
          <w:shd w:val="clear" w:fill="FFFFFF"/>
          <w:lang w:eastAsia="zh-CN"/>
        </w:rPr>
        <w:t>项目绩效目标</w:t>
      </w:r>
      <w:bookmarkEnd w:id="130"/>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76" w:lineRule="exact"/>
        <w:ind w:leftChars="0" w:right="0" w:rightChars="0"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预期目标完成《红原年鉴》出版印刷500册，《执政实录》出版印刷</w:t>
      </w:r>
      <w:r>
        <w:rPr>
          <w:rFonts w:hint="eastAsia" w:ascii="仿宋_GB2312" w:hAnsi="仿宋_GB2312" w:eastAsia="仿宋_GB2312" w:cs="仿宋_GB2312"/>
          <w:bCs/>
          <w:sz w:val="32"/>
          <w:szCs w:val="32"/>
          <w:lang w:val="en-US" w:eastAsia="zh-CN"/>
        </w:rPr>
        <w:t>500</w:t>
      </w:r>
      <w:r>
        <w:rPr>
          <w:rFonts w:hint="eastAsia" w:ascii="仿宋_GB2312" w:hAnsi="仿宋_GB2312" w:eastAsia="仿宋_GB2312" w:cs="仿宋_GB2312"/>
          <w:bCs/>
          <w:sz w:val="32"/>
          <w:szCs w:val="32"/>
        </w:rPr>
        <w:t>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《红军走过的大草原》印刷500册拍摄</w:t>
      </w:r>
      <w:r>
        <w:rPr>
          <w:rFonts w:hint="eastAsia" w:ascii="仿宋_GB2312" w:hAnsi="仿宋_GB2312" w:eastAsia="仿宋_GB2312" w:cs="仿宋_GB2312"/>
          <w:bCs/>
          <w:sz w:val="32"/>
          <w:szCs w:val="32"/>
        </w:rPr>
        <w:t>口述历史纪录片1部。截止12月已完成所有预期目标</w:t>
      </w:r>
      <w:bookmarkStart w:id="131" w:name="_Toc4270"/>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val="zh-CN" w:eastAsia="zh-CN"/>
        </w:rPr>
      </w:pPr>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三</w:t>
      </w:r>
      <w:r>
        <w:rPr>
          <w:rStyle w:val="17"/>
          <w:rFonts w:hint="eastAsia" w:ascii="楷体_GB2312" w:hAnsi="楷体_GB2312" w:eastAsia="楷体_GB2312" w:cs="楷体_GB2312"/>
          <w:sz w:val="32"/>
          <w:szCs w:val="32"/>
          <w:shd w:val="clear" w:fill="FFFFFF"/>
          <w:lang w:eastAsia="zh-CN"/>
        </w:rPr>
        <w:t>）项目自评步骤及方法</w:t>
      </w:r>
      <w:bookmarkEnd w:id="131"/>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76" w:lineRule="exact"/>
        <w:ind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val="zh-CN"/>
        </w:rPr>
        <w:t>以主要领导为组长，财务室及办公室人员组成评价工作组。由工作组制定工作方案</w:t>
      </w:r>
      <w:r>
        <w:rPr>
          <w:rFonts w:hint="eastAsia" w:ascii="仿宋_GB2312" w:hAnsi="仿宋_GB2312" w:eastAsia="仿宋_GB2312" w:cs="仿宋_GB2312"/>
          <w:sz w:val="32"/>
          <w:szCs w:val="32"/>
        </w:rPr>
        <w:t>，并召开全体会议确定，作为评价具体实施的依据</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bookmarkStart w:id="132" w:name="_Toc25830"/>
      <w:bookmarkStart w:id="133" w:name="_Toc2840"/>
      <w:r>
        <w:rPr>
          <w:rFonts w:hint="eastAsia" w:ascii="黑体" w:hAnsi="黑体" w:eastAsia="黑体" w:cs="黑体"/>
          <w:b w:val="0"/>
          <w:bCs w:val="0"/>
          <w:snapToGrid w:val="0"/>
          <w:sz w:val="32"/>
          <w:szCs w:val="32"/>
          <w:shd w:val="clear" w:fill="FFFFFF"/>
          <w:lang w:val="en-US" w:eastAsia="zh-CN"/>
        </w:rPr>
        <w:t>二、</w:t>
      </w:r>
      <w:r>
        <w:rPr>
          <w:rFonts w:hint="eastAsia" w:ascii="黑体" w:hAnsi="黑体" w:eastAsia="黑体" w:cs="黑体"/>
          <w:b w:val="0"/>
          <w:bCs w:val="0"/>
          <w:snapToGrid w:val="0"/>
          <w:sz w:val="32"/>
          <w:szCs w:val="32"/>
          <w:shd w:val="clear" w:fill="FFFFFF"/>
          <w:lang w:eastAsia="zh-CN"/>
        </w:rPr>
        <w:t>项目资金申报及使用情况</w:t>
      </w:r>
      <w:bookmarkEnd w:id="132"/>
      <w:bookmarkEnd w:id="133"/>
      <w:bookmarkStart w:id="134" w:name="_Toc17315"/>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35" w:name="_Toc19641"/>
      <w:r>
        <w:rPr>
          <w:rStyle w:val="17"/>
          <w:rFonts w:hint="eastAsia" w:ascii="楷体_GB2312" w:hAnsi="楷体_GB2312" w:eastAsia="楷体_GB2312" w:cs="楷体_GB2312"/>
          <w:sz w:val="32"/>
          <w:szCs w:val="32"/>
          <w:shd w:val="clear" w:fill="FFFFFF"/>
          <w:lang w:eastAsia="zh-CN"/>
        </w:rPr>
        <w:t>（一）项目资金申报及批复情况</w:t>
      </w:r>
      <w:bookmarkEnd w:id="134"/>
      <w:bookmarkEnd w:id="135"/>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76" w:lineRule="exact"/>
        <w:ind w:right="0" w:rightChars="0" w:firstLine="640" w:firstLineChars="200"/>
        <w:textAlignment w:val="auto"/>
        <w:outlineLvl w:val="1"/>
        <w:rPr>
          <w:rFonts w:hint="eastAsia" w:ascii="仿宋_GB2312" w:hAnsi="仿宋_GB2312" w:eastAsia="仿宋_GB2312" w:cs="仿宋_GB2312"/>
          <w:sz w:val="32"/>
          <w:szCs w:val="32"/>
          <w:lang w:val="en-US" w:eastAsia="zh-CN"/>
        </w:rPr>
      </w:pPr>
      <w:bookmarkStart w:id="136" w:name="_Toc215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年申报项目资金</w:t>
      </w:r>
      <w:r>
        <w:rPr>
          <w:rFonts w:hint="eastAsia" w:ascii="仿宋_GB2312" w:hAnsi="仿宋_GB2312" w:eastAsia="仿宋_GB2312" w:cs="仿宋_GB2312"/>
          <w:sz w:val="32"/>
          <w:szCs w:val="32"/>
          <w:lang w:val="en-US" w:eastAsia="zh-CN"/>
        </w:rPr>
        <w:t>31.40</w:t>
      </w:r>
      <w:r>
        <w:rPr>
          <w:rFonts w:hint="eastAsia" w:ascii="仿宋_GB2312" w:hAnsi="仿宋_GB2312" w:eastAsia="仿宋_GB2312" w:cs="仿宋_GB2312"/>
          <w:sz w:val="32"/>
          <w:szCs w:val="32"/>
        </w:rPr>
        <w:t>万元财政批复项目资金</w:t>
      </w:r>
      <w:r>
        <w:rPr>
          <w:rFonts w:hint="eastAsia" w:ascii="仿宋_GB2312" w:hAnsi="仿宋_GB2312" w:eastAsia="仿宋_GB2312" w:cs="仿宋_GB2312"/>
          <w:sz w:val="32"/>
          <w:szCs w:val="32"/>
          <w:lang w:val="en-US" w:eastAsia="zh-CN"/>
        </w:rPr>
        <w:t>31.40万元。</w:t>
      </w:r>
      <w:bookmarkEnd w:id="136"/>
    </w:p>
    <w:p>
      <w:pPr>
        <w:pStyle w:val="14"/>
        <w:keepNext w:val="0"/>
        <w:keepLines w:val="0"/>
        <w:pageBreakBefore w:val="0"/>
        <w:widowControl/>
        <w:numPr>
          <w:ilvl w:val="0"/>
          <w:numId w:val="5"/>
        </w:numPr>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37" w:name="_Toc7868"/>
      <w:r>
        <w:rPr>
          <w:rStyle w:val="17"/>
          <w:rFonts w:hint="eastAsia" w:ascii="楷体_GB2312" w:hAnsi="楷体_GB2312" w:eastAsia="楷体_GB2312" w:cs="楷体_GB2312"/>
          <w:sz w:val="32"/>
          <w:szCs w:val="32"/>
          <w:shd w:val="clear" w:fill="FFFFFF"/>
          <w:lang w:eastAsia="zh-CN"/>
        </w:rPr>
        <w:t>资金计划、到位及使用情况。</w:t>
      </w:r>
      <w:bookmarkEnd w:id="137"/>
    </w:p>
    <w:tbl>
      <w:tblPr>
        <w:tblStyle w:val="15"/>
        <w:tblpPr w:leftFromText="180" w:rightFromText="180" w:vertAnchor="text" w:horzAnchor="page" w:tblpX="1413" w:tblpY="1509"/>
        <w:tblOverlap w:val="never"/>
        <w:tblW w:w="8622" w:type="dxa"/>
        <w:jc w:val="center"/>
        <w:tblLayout w:type="fixed"/>
        <w:tblCellMar>
          <w:top w:w="0" w:type="dxa"/>
          <w:left w:w="0" w:type="dxa"/>
          <w:bottom w:w="0" w:type="dxa"/>
          <w:right w:w="0" w:type="dxa"/>
        </w:tblCellMar>
      </w:tblPr>
      <w:tblGrid>
        <w:gridCol w:w="2213"/>
        <w:gridCol w:w="2033"/>
        <w:gridCol w:w="2419"/>
        <w:gridCol w:w="1957"/>
      </w:tblGrid>
      <w:tr>
        <w:tblPrEx>
          <w:tblCellMar>
            <w:top w:w="0" w:type="dxa"/>
            <w:left w:w="0" w:type="dxa"/>
            <w:bottom w:w="0" w:type="dxa"/>
            <w:right w:w="0" w:type="dxa"/>
          </w:tblCellMar>
        </w:tblPrEx>
        <w:trPr>
          <w:trHeight w:val="454"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预算数:</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31.40</w:t>
            </w:r>
            <w:r>
              <w:rPr>
                <w:rFonts w:hint="eastAsia" w:ascii="仿宋_GB2312" w:hAnsi="仿宋_GB2312" w:eastAsia="仿宋_GB2312" w:cs="仿宋_GB2312"/>
                <w:color w:val="000000"/>
                <w:sz w:val="30"/>
                <w:szCs w:val="30"/>
              </w:rPr>
              <w:t>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执行数:</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31.40万元</w:t>
            </w:r>
          </w:p>
        </w:tc>
      </w:tr>
      <w:tr>
        <w:tblPrEx>
          <w:tblCellMar>
            <w:top w:w="0" w:type="dxa"/>
            <w:left w:w="0" w:type="dxa"/>
            <w:bottom w:w="0" w:type="dxa"/>
            <w:right w:w="0" w:type="dxa"/>
          </w:tblCellMar>
        </w:tblPrEx>
        <w:trPr>
          <w:trHeight w:val="491"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31.40万元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31.40</w:t>
            </w:r>
            <w:r>
              <w:rPr>
                <w:rFonts w:hint="eastAsia" w:ascii="仿宋_GB2312" w:hAnsi="仿宋_GB2312" w:eastAsia="仿宋_GB2312" w:cs="仿宋_GB2312"/>
                <w:color w:val="000000"/>
                <w:sz w:val="30"/>
                <w:szCs w:val="30"/>
              </w:rPr>
              <w:t>万元</w:t>
            </w:r>
          </w:p>
        </w:tc>
      </w:tr>
      <w:tr>
        <w:tblPrEx>
          <w:tblCellMar>
            <w:top w:w="0" w:type="dxa"/>
            <w:left w:w="0" w:type="dxa"/>
            <w:bottom w:w="0" w:type="dxa"/>
            <w:right w:w="0" w:type="dxa"/>
          </w:tblCellMar>
        </w:tblPrEx>
        <w:trPr>
          <w:trHeight w:val="418"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r>
    </w:tbl>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38" w:name="_Toc22426"/>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三</w:t>
      </w:r>
      <w:r>
        <w:rPr>
          <w:rStyle w:val="17"/>
          <w:rFonts w:hint="eastAsia" w:ascii="楷体_GB2312" w:hAnsi="楷体_GB2312" w:eastAsia="楷体_GB2312" w:cs="楷体_GB2312"/>
          <w:sz w:val="32"/>
          <w:szCs w:val="32"/>
          <w:shd w:val="clear" w:fill="FFFFFF"/>
          <w:lang w:eastAsia="zh-CN"/>
        </w:rPr>
        <w:t>）项目财务管理情况</w:t>
      </w:r>
      <w:bookmarkEnd w:id="138"/>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0" w:firstLineChars="20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提高单位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bookmarkStart w:id="139" w:name="_Toc1057"/>
      <w:bookmarkStart w:id="140" w:name="_Toc22204"/>
      <w:r>
        <w:rPr>
          <w:rFonts w:hint="eastAsia" w:ascii="黑体" w:hAnsi="黑体" w:eastAsia="黑体" w:cs="黑体"/>
          <w:b w:val="0"/>
          <w:bCs w:val="0"/>
          <w:snapToGrid w:val="0"/>
          <w:sz w:val="32"/>
          <w:szCs w:val="32"/>
          <w:shd w:val="clear" w:fill="FFFFFF"/>
          <w:lang w:val="en-US" w:eastAsia="zh-CN"/>
        </w:rPr>
        <w:t>三、</w:t>
      </w:r>
      <w:r>
        <w:rPr>
          <w:rFonts w:hint="eastAsia" w:ascii="黑体" w:hAnsi="黑体" w:eastAsia="黑体" w:cs="黑体"/>
          <w:b w:val="0"/>
          <w:bCs w:val="0"/>
          <w:snapToGrid w:val="0"/>
          <w:sz w:val="32"/>
          <w:szCs w:val="32"/>
          <w:shd w:val="clear" w:fill="FFFFFF"/>
          <w:lang w:eastAsia="zh-CN"/>
        </w:rPr>
        <w:t>项目实施及管理情况</w:t>
      </w:r>
      <w:bookmarkEnd w:id="139"/>
      <w:bookmarkEnd w:id="140"/>
      <w:bookmarkStart w:id="141" w:name="_Toc8631"/>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42" w:name="_Toc30825"/>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一）</w:t>
      </w:r>
      <w:r>
        <w:rPr>
          <w:rStyle w:val="17"/>
          <w:rFonts w:hint="eastAsia" w:ascii="楷体_GB2312" w:hAnsi="楷体_GB2312" w:eastAsia="楷体_GB2312" w:cs="楷体_GB2312"/>
          <w:sz w:val="32"/>
          <w:szCs w:val="32"/>
          <w:shd w:val="clear" w:fill="FFFFFF"/>
          <w:lang w:eastAsia="zh-CN"/>
        </w:rPr>
        <w:t>项目组织架构及实施流程</w:t>
      </w:r>
      <w:bookmarkEnd w:id="141"/>
      <w:bookmarkEnd w:id="142"/>
    </w:p>
    <w:p>
      <w:pPr>
        <w:pStyle w:val="14"/>
        <w:keepNext w:val="0"/>
        <w:keepLines w:val="0"/>
        <w:pageBreakBefore w:val="0"/>
        <w:widowControl/>
        <w:numPr>
          <w:ilvl w:val="0"/>
          <w:numId w:val="0"/>
        </w:numPr>
        <w:shd w:val="clear" w:fill="FFFFFF"/>
        <w:kinsoku/>
        <w:wordWrap/>
        <w:overflowPunct/>
        <w:topLinePunct w:val="0"/>
        <w:autoSpaceDE/>
        <w:autoSpaceDN/>
        <w:bidi w:val="0"/>
        <w:snapToGrid w:val="0"/>
        <w:spacing w:beforeAutospacing="0" w:afterAutospacing="0" w:line="576" w:lineRule="exact"/>
        <w:ind w:right="0" w:rightChars="0" w:firstLine="640" w:firstLineChars="200"/>
        <w:textAlignment w:val="auto"/>
        <w:rPr>
          <w:rStyle w:val="17"/>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43" w:name="_Toc2597"/>
      <w:r>
        <w:rPr>
          <w:rStyle w:val="17"/>
          <w:rFonts w:hint="eastAsia" w:ascii="楷体_GB2312" w:hAnsi="楷体_GB2312" w:eastAsia="楷体_GB2312" w:cs="楷体_GB2312"/>
          <w:sz w:val="32"/>
          <w:szCs w:val="32"/>
          <w:shd w:val="clear" w:fill="FFFFFF"/>
          <w:lang w:eastAsia="zh-CN"/>
        </w:rPr>
        <w:t>（二）项目管理情况</w:t>
      </w:r>
      <w:bookmarkEnd w:id="143"/>
    </w:p>
    <w:p>
      <w:pPr>
        <w:keepNext w:val="0"/>
        <w:keepLines w:val="0"/>
        <w:pageBreakBefore w:val="0"/>
        <w:kinsoku/>
        <w:wordWrap/>
        <w:overflowPunct/>
        <w:topLinePunct w:val="0"/>
        <w:autoSpaceDE/>
        <w:autoSpaceDN/>
        <w:bidi w:val="0"/>
        <w:adjustRightInd w:val="0"/>
        <w:snapToGrid w:val="0"/>
        <w:spacing w:beforeAutospacing="0" w:afterAutospacing="0"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加强落实计划安排，按计划步骤逐一落实。</w:t>
      </w:r>
    </w:p>
    <w:p>
      <w:pPr>
        <w:pStyle w:val="14"/>
        <w:keepNext w:val="0"/>
        <w:keepLines w:val="0"/>
        <w:pageBreakBefore w:val="0"/>
        <w:widowControl/>
        <w:numPr>
          <w:ilvl w:val="0"/>
          <w:numId w:val="5"/>
        </w:numPr>
        <w:shd w:val="clear" w:fill="FFFFFF"/>
        <w:kinsoku/>
        <w:wordWrap/>
        <w:overflowPunct/>
        <w:topLinePunct w:val="0"/>
        <w:autoSpaceDE/>
        <w:autoSpaceDN/>
        <w:bidi w:val="0"/>
        <w:adjustRightInd/>
        <w:snapToGrid w:val="0"/>
        <w:spacing w:beforeAutospacing="0" w:afterAutospacing="0" w:line="576" w:lineRule="exact"/>
        <w:ind w:left="0" w:leftChars="0"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144" w:name="_Toc19773"/>
      <w:r>
        <w:rPr>
          <w:rStyle w:val="17"/>
          <w:rFonts w:hint="eastAsia" w:ascii="楷体_GB2312" w:hAnsi="楷体_GB2312" w:eastAsia="楷体_GB2312" w:cs="楷体_GB2312"/>
          <w:sz w:val="32"/>
          <w:szCs w:val="32"/>
          <w:shd w:val="clear" w:fill="FFFFFF"/>
          <w:lang w:eastAsia="zh-CN"/>
        </w:rPr>
        <w:t>项目监管情况</w:t>
      </w:r>
      <w:bookmarkEnd w:id="144"/>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76" w:lineRule="exact"/>
        <w:ind w:right="0" w:rightChars="0"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w:t>
      </w:r>
      <w:bookmarkStart w:id="145" w:name="_Toc3839"/>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0" w:firstLineChars="200"/>
        <w:textAlignment w:val="auto"/>
        <w:outlineLvl w:val="1"/>
        <w:rPr>
          <w:rFonts w:hint="eastAsia" w:ascii="黑体" w:hAnsi="黑体" w:eastAsia="黑体" w:cs="黑体"/>
          <w:b w:val="0"/>
          <w:bCs w:val="0"/>
          <w:snapToGrid w:val="0"/>
          <w:sz w:val="32"/>
          <w:szCs w:val="32"/>
          <w:shd w:val="clear" w:fill="FFFFFF"/>
          <w:lang w:val="en-US" w:eastAsia="zh-CN"/>
        </w:rPr>
      </w:pPr>
      <w:bookmarkStart w:id="146" w:name="_Toc18188"/>
      <w:r>
        <w:rPr>
          <w:rFonts w:hint="eastAsia" w:ascii="黑体" w:hAnsi="黑体" w:eastAsia="黑体" w:cs="黑体"/>
          <w:b w:val="0"/>
          <w:bCs w:val="0"/>
          <w:snapToGrid w:val="0"/>
          <w:sz w:val="32"/>
          <w:szCs w:val="32"/>
          <w:shd w:val="clear" w:fill="FFFFFF"/>
          <w:lang w:val="en-US" w:eastAsia="zh-CN"/>
        </w:rPr>
        <w:t>四、项目绩效情况</w:t>
      </w:r>
      <w:bookmarkEnd w:id="145"/>
      <w:bookmarkEnd w:id="146"/>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3" w:firstLineChars="200"/>
        <w:textAlignment w:val="auto"/>
        <w:outlineLvl w:val="2"/>
        <w:rPr>
          <w:rFonts w:hint="eastAsia" w:ascii="楷体_GB2312" w:hAnsi="楷体_GB2312" w:eastAsia="楷体_GB2312" w:cs="楷体_GB2312"/>
          <w:b/>
          <w:bCs w:val="0"/>
          <w:sz w:val="32"/>
          <w:szCs w:val="32"/>
        </w:rPr>
      </w:pPr>
      <w:bookmarkStart w:id="147" w:name="_Toc26637"/>
      <w:r>
        <w:rPr>
          <w:rStyle w:val="17"/>
          <w:rFonts w:hint="eastAsia" w:ascii="楷体_GB2312" w:hAnsi="楷体_GB2312" w:eastAsia="楷体_GB2312" w:cs="楷体_GB2312"/>
          <w:b/>
          <w:bCs w:val="0"/>
          <w:sz w:val="32"/>
          <w:szCs w:val="32"/>
          <w:shd w:val="clear" w:fill="FFFFFF"/>
          <w:lang w:eastAsia="zh-CN"/>
        </w:rPr>
        <w:t>（一）项目完成情况</w:t>
      </w:r>
      <w:bookmarkEnd w:id="147"/>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完成《红原</w:t>
      </w:r>
      <w:r>
        <w:rPr>
          <w:rFonts w:hint="eastAsia" w:ascii="仿宋_GB2312" w:hAnsi="仿宋_GB2312" w:eastAsia="仿宋_GB2312" w:cs="仿宋_GB2312"/>
          <w:bCs/>
          <w:sz w:val="32"/>
          <w:szCs w:val="32"/>
          <w:lang w:eastAsia="zh-CN"/>
        </w:rPr>
        <w:t>年鉴</w:t>
      </w:r>
      <w:r>
        <w:rPr>
          <w:rFonts w:hint="eastAsia" w:ascii="仿宋_GB2312" w:hAnsi="仿宋_GB2312" w:eastAsia="仿宋_GB2312" w:cs="仿宋_GB2312"/>
          <w:bCs/>
          <w:sz w:val="32"/>
          <w:szCs w:val="32"/>
        </w:rPr>
        <w:t>》出版印刷500册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《执政实录》出版印刷</w:t>
      </w:r>
      <w:r>
        <w:rPr>
          <w:rFonts w:hint="eastAsia" w:ascii="仿宋_GB2312" w:hAnsi="仿宋_GB2312" w:eastAsia="仿宋_GB2312" w:cs="仿宋_GB2312"/>
          <w:bCs/>
          <w:sz w:val="32"/>
          <w:szCs w:val="32"/>
          <w:lang w:val="en-US" w:eastAsia="zh-CN"/>
        </w:rPr>
        <w:t>500</w:t>
      </w:r>
      <w:r>
        <w:rPr>
          <w:rFonts w:hint="eastAsia" w:ascii="仿宋_GB2312" w:hAnsi="仿宋_GB2312" w:eastAsia="仿宋_GB2312" w:cs="仿宋_GB2312"/>
          <w:bCs/>
          <w:sz w:val="32"/>
          <w:szCs w:val="32"/>
        </w:rPr>
        <w:t>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《红军走过的大草原》</w:t>
      </w:r>
      <w:r>
        <w:rPr>
          <w:rFonts w:hint="eastAsia" w:ascii="仿宋_GB2312" w:hAnsi="仿宋_GB2312" w:eastAsia="仿宋_GB2312" w:cs="仿宋_GB2312"/>
          <w:bCs/>
          <w:sz w:val="32"/>
          <w:szCs w:val="32"/>
        </w:rPr>
        <w:t>印刷500册</w:t>
      </w:r>
      <w:r>
        <w:rPr>
          <w:rFonts w:hint="eastAsia" w:ascii="仿宋_GB2312" w:hAnsi="仿宋_GB2312" w:eastAsia="仿宋_GB2312" w:cs="仿宋_GB2312"/>
          <w:bCs/>
          <w:sz w:val="32"/>
          <w:szCs w:val="32"/>
          <w:lang w:eastAsia="zh-CN"/>
        </w:rPr>
        <w:t>、拍摄</w:t>
      </w:r>
      <w:r>
        <w:rPr>
          <w:rFonts w:hint="eastAsia" w:ascii="仿宋_GB2312" w:hAnsi="仿宋_GB2312" w:eastAsia="仿宋_GB2312" w:cs="仿宋_GB2312"/>
          <w:bCs/>
          <w:sz w:val="32"/>
          <w:szCs w:val="32"/>
        </w:rPr>
        <w:t>口述历史纪录片1部</w:t>
      </w:r>
      <w:r>
        <w:rPr>
          <w:rFonts w:hint="eastAsia" w:ascii="仿宋_GB2312" w:hAnsi="仿宋_GB2312" w:eastAsia="仿宋_GB2312" w:cs="仿宋_GB2312"/>
          <w:bCs/>
          <w:sz w:val="32"/>
          <w:szCs w:val="32"/>
          <w:lang w:eastAsia="zh-CN"/>
        </w:rPr>
        <w:t>、组织全县各乡镇参加乡镇村志培训会。</w:t>
      </w: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3" w:firstLineChars="200"/>
        <w:textAlignment w:val="auto"/>
        <w:outlineLvl w:val="2"/>
        <w:rPr>
          <w:rStyle w:val="17"/>
          <w:rFonts w:hint="eastAsia" w:ascii="楷体_GB2312" w:hAnsi="楷体_GB2312" w:eastAsia="楷体_GB2312" w:cs="楷体_GB2312"/>
          <w:b/>
          <w:bCs w:val="0"/>
          <w:sz w:val="32"/>
          <w:szCs w:val="32"/>
          <w:shd w:val="clear" w:fill="FFFFFF"/>
          <w:lang w:eastAsia="zh-CN"/>
        </w:rPr>
      </w:pPr>
      <w:bookmarkStart w:id="148" w:name="_Toc918"/>
      <w:r>
        <w:rPr>
          <w:rStyle w:val="17"/>
          <w:rFonts w:hint="eastAsia" w:ascii="楷体_GB2312" w:hAnsi="楷体_GB2312" w:eastAsia="楷体_GB2312" w:cs="楷体_GB2312"/>
          <w:b/>
          <w:bCs w:val="0"/>
          <w:sz w:val="32"/>
          <w:szCs w:val="32"/>
          <w:shd w:val="clear" w:fill="FFFFFF"/>
          <w:lang w:val="en-US" w:eastAsia="zh-CN"/>
        </w:rPr>
        <w:t>（二）</w:t>
      </w:r>
      <w:r>
        <w:rPr>
          <w:rStyle w:val="17"/>
          <w:rFonts w:hint="eastAsia" w:ascii="楷体_GB2312" w:hAnsi="楷体_GB2312" w:eastAsia="楷体_GB2312" w:cs="楷体_GB2312"/>
          <w:b/>
          <w:bCs w:val="0"/>
          <w:sz w:val="32"/>
          <w:szCs w:val="32"/>
          <w:shd w:val="clear" w:fill="FFFFFF"/>
          <w:lang w:eastAsia="zh-CN"/>
        </w:rPr>
        <w:t>项目效益情况</w:t>
      </w:r>
      <w:bookmarkEnd w:id="148"/>
    </w:p>
    <w:p>
      <w:pPr>
        <w:pStyle w:val="14"/>
        <w:keepNext w:val="0"/>
        <w:keepLines w:val="0"/>
        <w:pageBreakBefore w:val="0"/>
        <w:widowControl/>
        <w:numPr>
          <w:ilvl w:val="0"/>
          <w:numId w:val="0"/>
        </w:numPr>
        <w:shd w:val="clear" w:fill="FFFFFF"/>
        <w:kinsoku/>
        <w:wordWrap/>
        <w:overflowPunct/>
        <w:topLinePunct w:val="0"/>
        <w:autoSpaceDE/>
        <w:autoSpaceDN/>
        <w:bidi w:val="0"/>
        <w:snapToGrid w:val="0"/>
        <w:spacing w:beforeAutospacing="0" w:afterAutospacing="0" w:line="576"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我单位202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年项目为非基建项目，</w:t>
      </w:r>
      <w:r>
        <w:rPr>
          <w:rFonts w:hint="eastAsia" w:ascii="仿宋_GB2312" w:hAnsi="仿宋_GB2312" w:eastAsia="仿宋_GB2312" w:cs="仿宋_GB2312"/>
          <w:sz w:val="32"/>
          <w:szCs w:val="32"/>
          <w:lang w:eastAsia="zh-CN"/>
        </w:rPr>
        <w:t>短期内无实质性效益。</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76" w:lineRule="exact"/>
        <w:ind w:firstLine="643" w:firstLineChars="200"/>
        <w:textAlignment w:val="auto"/>
        <w:outlineLvl w:val="1"/>
        <w:rPr>
          <w:rFonts w:hint="eastAsia" w:ascii="黑体" w:hAnsi="黑体" w:eastAsia="黑体" w:cs="黑体"/>
          <w:b/>
          <w:bCs/>
          <w:snapToGrid w:val="0"/>
          <w:sz w:val="32"/>
          <w:szCs w:val="32"/>
          <w:shd w:val="clear" w:fill="FFFFFF"/>
          <w:lang w:val="en-US" w:eastAsia="zh-CN"/>
        </w:rPr>
      </w:pPr>
      <w:bookmarkStart w:id="149" w:name="_Toc19985"/>
      <w:bookmarkStart w:id="150" w:name="_Toc30677"/>
      <w:r>
        <w:rPr>
          <w:rFonts w:hint="eastAsia" w:ascii="黑体" w:hAnsi="黑体" w:eastAsia="黑体" w:cs="黑体"/>
          <w:b/>
          <w:bCs/>
          <w:snapToGrid w:val="0"/>
          <w:sz w:val="32"/>
          <w:szCs w:val="32"/>
          <w:shd w:val="clear" w:fill="FFFFFF"/>
          <w:lang w:val="en-US" w:eastAsia="zh-CN"/>
        </w:rPr>
        <w:t>五、评价结论及建议</w:t>
      </w:r>
      <w:bookmarkEnd w:id="149"/>
      <w:bookmarkEnd w:id="150"/>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3" w:firstLineChars="200"/>
        <w:textAlignment w:val="auto"/>
        <w:outlineLvl w:val="2"/>
        <w:rPr>
          <w:rStyle w:val="17"/>
          <w:rFonts w:hint="eastAsia" w:ascii="楷体_GB2312" w:hAnsi="楷体_GB2312" w:eastAsia="楷体_GB2312" w:cs="楷体_GB2312"/>
          <w:b/>
          <w:bCs w:val="0"/>
          <w:sz w:val="32"/>
          <w:szCs w:val="32"/>
          <w:shd w:val="clear" w:fill="FFFFFF"/>
          <w:lang w:val="en-US" w:eastAsia="zh-CN"/>
        </w:rPr>
      </w:pPr>
      <w:bookmarkStart w:id="151" w:name="_Toc21945"/>
      <w:r>
        <w:rPr>
          <w:rStyle w:val="17"/>
          <w:rFonts w:hint="eastAsia" w:ascii="楷体_GB2312" w:hAnsi="楷体_GB2312" w:eastAsia="楷体_GB2312" w:cs="楷体_GB2312"/>
          <w:b/>
          <w:bCs w:val="0"/>
          <w:sz w:val="32"/>
          <w:szCs w:val="32"/>
          <w:shd w:val="clear" w:fill="FFFFFF"/>
          <w:lang w:val="en-US" w:eastAsia="zh-CN"/>
        </w:rPr>
        <w:t>（一）评价结论</w:t>
      </w:r>
      <w:bookmarkEnd w:id="151"/>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年部门整体支出绩效评价情况开展自评，《红原县党史研究和地方志编纂中心部门20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年部门整体支出绩效评价报告》见附件（附件1）。</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自行组织对《红原县年鉴》《执政实录》</w:t>
      </w:r>
      <w:r>
        <w:rPr>
          <w:rFonts w:hint="eastAsia" w:ascii="仿宋_GB2312" w:hAnsi="仿宋_GB2312" w:eastAsia="仿宋_GB2312" w:cs="仿宋_GB2312"/>
          <w:sz w:val="32"/>
          <w:szCs w:val="32"/>
          <w:lang w:val="en-US" w:eastAsia="zh-CN"/>
        </w:rPr>
        <w:t>《红军走过的大草原》</w:t>
      </w:r>
      <w:r>
        <w:rPr>
          <w:rFonts w:hint="eastAsia" w:ascii="仿宋_GB2312" w:hAnsi="仿宋_GB2312" w:eastAsia="仿宋_GB2312" w:cs="仿宋_GB2312"/>
          <w:sz w:val="32"/>
          <w:szCs w:val="32"/>
        </w:rPr>
        <w:t>口述历史项目开展了绩效评价，《红原县党史研究和地方志编纂中心项目2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年绩效评价报告》见附件（附件2）。</w:t>
      </w: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3" w:firstLineChars="200"/>
        <w:textAlignment w:val="auto"/>
        <w:outlineLvl w:val="2"/>
        <w:rPr>
          <w:rStyle w:val="17"/>
          <w:rFonts w:hint="eastAsia" w:ascii="楷体_GB2312" w:hAnsi="楷体_GB2312" w:eastAsia="楷体_GB2312" w:cs="楷体_GB2312"/>
          <w:b/>
          <w:bCs w:val="0"/>
          <w:sz w:val="32"/>
          <w:szCs w:val="32"/>
          <w:shd w:val="clear" w:fill="FFFFFF"/>
          <w:lang w:val="en-US" w:eastAsia="zh-CN"/>
        </w:rPr>
      </w:pPr>
      <w:bookmarkStart w:id="152" w:name="_Toc7830"/>
      <w:r>
        <w:rPr>
          <w:rStyle w:val="17"/>
          <w:rFonts w:hint="eastAsia" w:ascii="楷体_GB2312" w:hAnsi="楷体_GB2312" w:eastAsia="楷体_GB2312" w:cs="楷体_GB2312"/>
          <w:b/>
          <w:bCs w:val="0"/>
          <w:sz w:val="32"/>
          <w:szCs w:val="32"/>
          <w:shd w:val="clear" w:fill="FFFFFF"/>
          <w:lang w:val="en-US" w:eastAsia="zh-CN"/>
        </w:rPr>
        <w:t>（二）存在的问题</w:t>
      </w:r>
      <w:bookmarkEnd w:id="152"/>
      <w:r>
        <w:rPr>
          <w:rStyle w:val="17"/>
          <w:rFonts w:hint="eastAsia" w:ascii="楷体_GB2312" w:hAnsi="楷体_GB2312" w:eastAsia="楷体_GB2312" w:cs="楷体_GB2312"/>
          <w:b/>
          <w:bCs w:val="0"/>
          <w:sz w:val="32"/>
          <w:szCs w:val="32"/>
          <w:shd w:val="clear" w:fill="FFFFFF"/>
          <w:lang w:val="en-US" w:eastAsia="zh-CN"/>
        </w:rPr>
        <w:t xml:space="preserve"> </w:t>
      </w: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3" w:firstLineChars="200"/>
        <w:textAlignment w:val="auto"/>
        <w:outlineLvl w:val="2"/>
        <w:rPr>
          <w:rFonts w:hint="eastAsia" w:ascii="楷体_GB2312" w:hAnsi="楷体_GB2312" w:eastAsia="楷体_GB2312" w:cs="楷体_GB2312"/>
          <w:b/>
          <w:bCs w:val="0"/>
          <w:sz w:val="32"/>
          <w:szCs w:val="32"/>
        </w:rPr>
      </w:pPr>
      <w:bookmarkStart w:id="153" w:name="_Toc9487"/>
      <w:r>
        <w:rPr>
          <w:rStyle w:val="17"/>
          <w:rFonts w:hint="eastAsia" w:ascii="楷体_GB2312" w:hAnsi="楷体_GB2312" w:eastAsia="楷体_GB2312" w:cs="楷体_GB2312"/>
          <w:b/>
          <w:bCs w:val="0"/>
          <w:sz w:val="32"/>
          <w:szCs w:val="32"/>
          <w:shd w:val="clear" w:fill="FFFFFF"/>
          <w:lang w:eastAsia="zh-CN"/>
        </w:rPr>
        <w:t>（三）相关建议。</w:t>
      </w:r>
      <w:bookmarkEnd w:id="153"/>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76" w:lineRule="exact"/>
        <w:ind w:firstLine="640" w:firstLineChars="200"/>
        <w:textAlignment w:val="auto"/>
        <w:rPr>
          <w:rFonts w:hint="eastAsia" w:ascii="仿宋_GB2312" w:hAnsi="仿宋_GB2312" w:eastAsia="仿宋_GB2312" w:cs="仿宋_GB2312"/>
          <w:bCs/>
          <w:color w:val="000000"/>
          <w:kern w:val="0"/>
          <w:sz w:val="32"/>
          <w:szCs w:val="32"/>
          <w:lang w:eastAsia="zh-CN"/>
        </w:rPr>
      </w:pPr>
      <w:r>
        <w:rPr>
          <w:rFonts w:hint="eastAsia" w:ascii="仿宋_GB2312" w:hAnsi="仿宋_GB2312" w:eastAsia="仿宋_GB2312" w:cs="仿宋_GB2312"/>
          <w:bCs/>
          <w:color w:val="000000"/>
          <w:kern w:val="0"/>
          <w:sz w:val="32"/>
          <w:szCs w:val="32"/>
        </w:rPr>
        <w:t>提高项目人员的专业水平。强化专业学习，提高预算编制人员素质。强化项目绩效管理理念，通过沟通交流，向其他部门学习，充分认识项目绩效管理在预算执行中的</w:t>
      </w:r>
      <w:r>
        <w:rPr>
          <w:rFonts w:hint="eastAsia" w:ascii="仿宋_GB2312" w:hAnsi="仿宋_GB2312" w:eastAsia="仿宋_GB2312" w:cs="仿宋_GB2312"/>
          <w:bCs/>
          <w:color w:val="000000"/>
          <w:kern w:val="0"/>
          <w:sz w:val="32"/>
          <w:szCs w:val="32"/>
          <w:lang w:eastAsia="zh-CN"/>
        </w:rPr>
        <w:t>重要。</w:t>
      </w: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10" w:lineRule="exact"/>
        <w:ind w:firstLine="600" w:firstLineChars="200"/>
        <w:rPr>
          <w:rFonts w:hint="eastAsia" w:ascii="仿宋_GB2312" w:hAnsi="仿宋_GB2312" w:eastAsia="仿宋_GB2312" w:cs="仿宋_GB2312"/>
          <w:bCs/>
          <w:color w:val="000000"/>
          <w:kern w:val="0"/>
          <w:sz w:val="30"/>
          <w:szCs w:val="30"/>
          <w:lang w:eastAsia="zh-CN"/>
        </w:rPr>
      </w:pPr>
    </w:p>
    <w:p>
      <w:pPr>
        <w:spacing w:line="600" w:lineRule="exact"/>
        <w:jc w:val="center"/>
        <w:outlineLvl w:val="9"/>
        <w:rPr>
          <w:rFonts w:hint="eastAsia" w:ascii="黑体" w:eastAsia="黑体"/>
          <w:sz w:val="44"/>
          <w:szCs w:val="44"/>
        </w:rPr>
      </w:pPr>
      <w:bookmarkStart w:id="154" w:name="_Toc15396618"/>
    </w:p>
    <w:p>
      <w:pPr>
        <w:spacing w:line="600" w:lineRule="exact"/>
        <w:jc w:val="center"/>
        <w:outlineLvl w:val="9"/>
        <w:rPr>
          <w:rFonts w:hint="eastAsia" w:ascii="黑体" w:eastAsia="黑体"/>
          <w:sz w:val="44"/>
          <w:szCs w:val="44"/>
        </w:rPr>
      </w:pPr>
    </w:p>
    <w:p>
      <w:pPr>
        <w:spacing w:line="600" w:lineRule="exact"/>
        <w:jc w:val="center"/>
        <w:outlineLvl w:val="9"/>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pStyle w:val="2"/>
        <w:rPr>
          <w:rFonts w:hint="eastAsia" w:ascii="黑体" w:eastAsia="黑体"/>
          <w:sz w:val="44"/>
          <w:szCs w:val="44"/>
        </w:rPr>
      </w:pPr>
    </w:p>
    <w:p>
      <w:pPr>
        <w:spacing w:line="600" w:lineRule="exact"/>
        <w:jc w:val="center"/>
        <w:outlineLvl w:val="0"/>
        <w:rPr>
          <w:rFonts w:ascii="仿宋" w:eastAsia="仿宋"/>
        </w:rPr>
      </w:pPr>
      <w:bookmarkStart w:id="155" w:name="_Toc30306"/>
      <w:bookmarkStart w:id="156" w:name="_Toc5218"/>
      <w:r>
        <w:rPr>
          <w:rFonts w:hint="eastAsia" w:ascii="黑体" w:eastAsia="黑体"/>
          <w:sz w:val="44"/>
          <w:szCs w:val="44"/>
        </w:rPr>
        <w:t>第</w:t>
      </w:r>
      <w:r>
        <w:rPr>
          <w:rStyle w:val="19"/>
          <w:rFonts w:hint="eastAsia" w:ascii="黑体" w:eastAsia="黑体"/>
          <w:b w:val="0"/>
        </w:rPr>
        <w:t>五部分 附表</w:t>
      </w:r>
      <w:bookmarkEnd w:id="98"/>
      <w:bookmarkEnd w:id="154"/>
      <w:bookmarkEnd w:id="155"/>
      <w:bookmarkEnd w:id="156"/>
      <w:bookmarkStart w:id="157" w:name="_Toc15396619"/>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outlineLvl w:val="9"/>
        <w:rPr>
          <w:rFonts w:hint="eastAsia" w:ascii="仿宋" w:eastAsia="仿宋"/>
          <w:b w:val="0"/>
        </w:rPr>
      </w:pPr>
      <w:bookmarkStart w:id="158" w:name="_Toc3169"/>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59" w:name="_Toc17086"/>
      <w:r>
        <w:rPr>
          <w:rFonts w:hint="eastAsia" w:ascii="仿宋" w:eastAsia="仿宋"/>
          <w:b w:val="0"/>
        </w:rPr>
        <w:t>一、收</w:t>
      </w:r>
      <w:r>
        <w:rPr>
          <w:rStyle w:val="20"/>
          <w:rFonts w:hint="eastAsia" w:ascii="仿宋" w:eastAsia="仿宋"/>
          <w:b w:val="0"/>
          <w:bCs w:val="0"/>
        </w:rPr>
        <w:t>入支出决算总表</w:t>
      </w:r>
      <w:bookmarkEnd w:id="157"/>
      <w:bookmarkEnd w:id="158"/>
      <w:bookmarkEnd w:id="159"/>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60" w:name="_Toc10224"/>
      <w:bookmarkStart w:id="161" w:name="_Toc21872"/>
      <w:bookmarkStart w:id="162" w:name="_Toc15396620"/>
      <w:r>
        <w:rPr>
          <w:rFonts w:hint="eastAsia" w:ascii="仿宋" w:eastAsia="仿宋"/>
          <w:b w:val="0"/>
        </w:rPr>
        <w:t>二、收</w:t>
      </w:r>
      <w:r>
        <w:rPr>
          <w:rStyle w:val="20"/>
          <w:rFonts w:hint="eastAsia" w:ascii="仿宋" w:eastAsia="仿宋"/>
          <w:b w:val="0"/>
          <w:bCs w:val="0"/>
        </w:rPr>
        <w:t>入决算表</w:t>
      </w:r>
      <w:bookmarkEnd w:id="160"/>
      <w:bookmarkEnd w:id="161"/>
      <w:bookmarkEnd w:id="162"/>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63" w:name="_Toc7930"/>
      <w:bookmarkStart w:id="164" w:name="_Toc15396621"/>
      <w:bookmarkStart w:id="165" w:name="_Toc2640"/>
      <w:r>
        <w:rPr>
          <w:rStyle w:val="20"/>
          <w:rFonts w:hint="eastAsia" w:ascii="仿宋" w:eastAsia="仿宋"/>
          <w:b w:val="0"/>
          <w:bCs w:val="0"/>
        </w:rPr>
        <w:t>三、</w:t>
      </w:r>
      <w:r>
        <w:rPr>
          <w:rFonts w:hint="eastAsia" w:ascii="仿宋" w:eastAsia="仿宋"/>
          <w:b w:val="0"/>
        </w:rPr>
        <w:t>支</w:t>
      </w:r>
      <w:r>
        <w:rPr>
          <w:rStyle w:val="20"/>
          <w:rFonts w:hint="eastAsia" w:ascii="仿宋" w:eastAsia="仿宋"/>
          <w:b w:val="0"/>
          <w:bCs w:val="0"/>
        </w:rPr>
        <w:t>出决算表</w:t>
      </w:r>
      <w:bookmarkEnd w:id="163"/>
      <w:bookmarkEnd w:id="164"/>
      <w:bookmarkEnd w:id="165"/>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b w:val="0"/>
        </w:rPr>
      </w:pPr>
      <w:bookmarkStart w:id="166" w:name="_Toc15396622"/>
      <w:bookmarkStart w:id="167" w:name="_Toc17661"/>
      <w:bookmarkStart w:id="168" w:name="_Toc17070"/>
      <w:r>
        <w:rPr>
          <w:rStyle w:val="20"/>
          <w:rFonts w:hint="eastAsia" w:ascii="仿宋" w:eastAsia="仿宋"/>
          <w:b w:val="0"/>
          <w:bCs w:val="0"/>
        </w:rPr>
        <w:t>四、</w:t>
      </w:r>
      <w:r>
        <w:rPr>
          <w:rFonts w:hint="eastAsia" w:ascii="仿宋" w:eastAsia="仿宋"/>
          <w:b w:val="0"/>
        </w:rPr>
        <w:t>财</w:t>
      </w:r>
      <w:r>
        <w:rPr>
          <w:rStyle w:val="20"/>
          <w:rFonts w:hint="eastAsia" w:ascii="仿宋" w:eastAsia="仿宋"/>
          <w:b w:val="0"/>
          <w:bCs w:val="0"/>
        </w:rPr>
        <w:t>政拨款收入支出决算总表</w:t>
      </w:r>
      <w:bookmarkEnd w:id="166"/>
      <w:bookmarkEnd w:id="167"/>
      <w:bookmarkEnd w:id="168"/>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Style w:val="20"/>
          <w:rFonts w:ascii="仿宋" w:eastAsia="仿宋"/>
          <w:b w:val="0"/>
          <w:bCs w:val="0"/>
        </w:rPr>
      </w:pPr>
      <w:bookmarkStart w:id="169" w:name="_Toc11453"/>
      <w:bookmarkStart w:id="170" w:name="_Toc15396623"/>
      <w:bookmarkStart w:id="171" w:name="_Toc1806"/>
      <w:r>
        <w:rPr>
          <w:rStyle w:val="20"/>
          <w:rFonts w:hint="eastAsia" w:ascii="仿宋" w:eastAsia="仿宋"/>
          <w:b w:val="0"/>
          <w:bCs w:val="0"/>
        </w:rPr>
        <w:t>五、</w:t>
      </w:r>
      <w:r>
        <w:rPr>
          <w:rFonts w:hint="eastAsia" w:ascii="仿宋" w:eastAsia="仿宋"/>
          <w:b w:val="0"/>
        </w:rPr>
        <w:t>财</w:t>
      </w:r>
      <w:r>
        <w:rPr>
          <w:rStyle w:val="20"/>
          <w:rFonts w:hint="eastAsia" w:ascii="仿宋" w:eastAsia="仿宋"/>
          <w:b w:val="0"/>
          <w:bCs w:val="0"/>
        </w:rPr>
        <w:t>政拨款支出决算明细表</w:t>
      </w:r>
      <w:bookmarkEnd w:id="169"/>
      <w:bookmarkEnd w:id="170"/>
      <w:bookmarkEnd w:id="171"/>
      <w:bookmarkStart w:id="172" w:name="_Toc15396624"/>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73" w:name="_Toc13975"/>
      <w:bookmarkStart w:id="174" w:name="_Toc23082"/>
      <w:r>
        <w:rPr>
          <w:rStyle w:val="20"/>
          <w:rFonts w:hint="eastAsia" w:ascii="仿宋" w:eastAsia="仿宋"/>
          <w:b w:val="0"/>
          <w:bCs w:val="0"/>
        </w:rPr>
        <w:t>六、</w:t>
      </w:r>
      <w:r>
        <w:rPr>
          <w:rFonts w:hint="eastAsia" w:ascii="仿宋" w:eastAsia="仿宋"/>
          <w:b w:val="0"/>
        </w:rPr>
        <w:t>一</w:t>
      </w:r>
      <w:r>
        <w:rPr>
          <w:rStyle w:val="20"/>
          <w:rFonts w:hint="eastAsia" w:ascii="仿宋" w:eastAsia="仿宋"/>
          <w:b w:val="0"/>
          <w:bCs w:val="0"/>
        </w:rPr>
        <w:t>般公共预算财政拨款支出决算表</w:t>
      </w:r>
      <w:bookmarkEnd w:id="172"/>
      <w:bookmarkEnd w:id="173"/>
      <w:bookmarkEnd w:id="174"/>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75" w:name="_Toc13329"/>
      <w:bookmarkStart w:id="176" w:name="_Toc15396625"/>
      <w:bookmarkStart w:id="177" w:name="_Toc31850"/>
      <w:r>
        <w:rPr>
          <w:rStyle w:val="20"/>
          <w:rFonts w:hint="eastAsia" w:ascii="仿宋" w:eastAsia="仿宋"/>
          <w:b w:val="0"/>
          <w:bCs w:val="0"/>
        </w:rPr>
        <w:t>七、</w:t>
      </w:r>
      <w:r>
        <w:rPr>
          <w:rFonts w:hint="eastAsia" w:ascii="仿宋" w:eastAsia="仿宋"/>
          <w:b w:val="0"/>
        </w:rPr>
        <w:t>一</w:t>
      </w:r>
      <w:r>
        <w:rPr>
          <w:rStyle w:val="20"/>
          <w:rFonts w:hint="eastAsia" w:ascii="仿宋" w:eastAsia="仿宋"/>
          <w:b w:val="0"/>
          <w:bCs w:val="0"/>
        </w:rPr>
        <w:t>般公共预算财政拨款支出决算明细表</w:t>
      </w:r>
      <w:bookmarkEnd w:id="175"/>
      <w:bookmarkEnd w:id="176"/>
      <w:bookmarkEnd w:id="177"/>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78" w:name="_Toc15396626"/>
      <w:bookmarkStart w:id="179" w:name="_Toc20698"/>
      <w:bookmarkStart w:id="180" w:name="_Toc19644"/>
      <w:r>
        <w:rPr>
          <w:rStyle w:val="20"/>
          <w:rFonts w:hint="eastAsia" w:ascii="仿宋" w:eastAsia="仿宋"/>
          <w:b w:val="0"/>
          <w:bCs w:val="0"/>
        </w:rPr>
        <w:t>八、</w:t>
      </w:r>
      <w:r>
        <w:rPr>
          <w:rFonts w:hint="eastAsia" w:ascii="仿宋" w:eastAsia="仿宋"/>
          <w:b w:val="0"/>
        </w:rPr>
        <w:t>一</w:t>
      </w:r>
      <w:r>
        <w:rPr>
          <w:rStyle w:val="20"/>
          <w:rFonts w:hint="eastAsia" w:ascii="仿宋" w:eastAsia="仿宋"/>
          <w:b w:val="0"/>
          <w:bCs w:val="0"/>
        </w:rPr>
        <w:t>般公共预算财政拨款基本支出决算表</w:t>
      </w:r>
      <w:bookmarkEnd w:id="178"/>
      <w:bookmarkEnd w:id="179"/>
      <w:bookmarkEnd w:id="180"/>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81" w:name="_Toc21146"/>
      <w:bookmarkStart w:id="182" w:name="_Toc20084"/>
      <w:bookmarkStart w:id="183" w:name="_Toc15396627"/>
      <w:r>
        <w:rPr>
          <w:rStyle w:val="20"/>
          <w:rFonts w:hint="eastAsia" w:ascii="仿宋" w:eastAsia="仿宋"/>
          <w:b w:val="0"/>
          <w:bCs w:val="0"/>
        </w:rPr>
        <w:t>九、</w:t>
      </w:r>
      <w:r>
        <w:rPr>
          <w:rFonts w:hint="eastAsia" w:ascii="仿宋" w:eastAsia="仿宋"/>
          <w:b w:val="0"/>
        </w:rPr>
        <w:t>一</w:t>
      </w:r>
      <w:r>
        <w:rPr>
          <w:rStyle w:val="20"/>
          <w:rFonts w:hint="eastAsia" w:ascii="仿宋" w:eastAsia="仿宋"/>
          <w:b w:val="0"/>
          <w:bCs w:val="0"/>
        </w:rPr>
        <w:t>般公共预算财政拨款项目支出决算表</w:t>
      </w:r>
      <w:bookmarkEnd w:id="181"/>
      <w:bookmarkEnd w:id="182"/>
      <w:bookmarkEnd w:id="183"/>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84" w:name="_Toc15396628"/>
      <w:bookmarkStart w:id="185" w:name="_Toc2036"/>
      <w:bookmarkStart w:id="186" w:name="_Toc8053"/>
      <w:r>
        <w:rPr>
          <w:rStyle w:val="20"/>
          <w:rFonts w:hint="eastAsia" w:ascii="仿宋" w:eastAsia="仿宋"/>
          <w:b w:val="0"/>
          <w:bCs w:val="0"/>
        </w:rPr>
        <w:t>十、</w:t>
      </w:r>
      <w:bookmarkEnd w:id="184"/>
      <w:r>
        <w:rPr>
          <w:rFonts w:hint="eastAsia" w:ascii="仿宋" w:eastAsia="仿宋"/>
          <w:b w:val="0"/>
        </w:rPr>
        <w:t>政</w:t>
      </w:r>
      <w:r>
        <w:rPr>
          <w:rStyle w:val="20"/>
          <w:rFonts w:hint="eastAsia" w:ascii="仿宋" w:eastAsia="仿宋"/>
          <w:b w:val="0"/>
          <w:bCs w:val="0"/>
        </w:rPr>
        <w:t>府性基金预算财政拨款收入支出决算表</w:t>
      </w:r>
      <w:bookmarkEnd w:id="185"/>
      <w:bookmarkEnd w:id="186"/>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87" w:name="_Toc15396629"/>
      <w:bookmarkStart w:id="188" w:name="_Toc20667"/>
      <w:bookmarkStart w:id="189" w:name="_Toc15860"/>
      <w:r>
        <w:rPr>
          <w:rStyle w:val="20"/>
          <w:rFonts w:hint="eastAsia" w:ascii="仿宋" w:eastAsia="仿宋"/>
          <w:b w:val="0"/>
          <w:bCs w:val="0"/>
        </w:rPr>
        <w:t>十一、</w:t>
      </w:r>
      <w:bookmarkEnd w:id="187"/>
      <w:r>
        <w:rPr>
          <w:rFonts w:hint="eastAsia" w:ascii="仿宋" w:eastAsia="仿宋"/>
          <w:b w:val="0"/>
        </w:rPr>
        <w:t>国</w:t>
      </w:r>
      <w:r>
        <w:rPr>
          <w:rStyle w:val="20"/>
          <w:rFonts w:hint="eastAsia" w:ascii="仿宋" w:eastAsia="仿宋"/>
          <w:b w:val="0"/>
          <w:bCs w:val="0"/>
        </w:rPr>
        <w:t>有资本经营预算财政拨款收入支出决算表</w:t>
      </w:r>
      <w:bookmarkEnd w:id="188"/>
      <w:bookmarkEnd w:id="189"/>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ascii="仿宋" w:eastAsia="仿宋"/>
        </w:rPr>
      </w:pPr>
      <w:bookmarkStart w:id="190" w:name="_Toc15396630"/>
      <w:bookmarkStart w:id="191" w:name="_Toc17110"/>
      <w:bookmarkStart w:id="192" w:name="_Toc8480"/>
      <w:r>
        <w:rPr>
          <w:rStyle w:val="20"/>
          <w:rFonts w:hint="eastAsia" w:ascii="仿宋" w:eastAsia="仿宋"/>
          <w:b w:val="0"/>
          <w:bCs w:val="0"/>
        </w:rPr>
        <w:t>十二、</w:t>
      </w:r>
      <w:bookmarkEnd w:id="190"/>
      <w:r>
        <w:rPr>
          <w:rStyle w:val="20"/>
          <w:rFonts w:hint="eastAsia" w:ascii="仿宋" w:eastAsia="仿宋"/>
          <w:b w:val="0"/>
          <w:bCs w:val="0"/>
        </w:rPr>
        <w:t>国有资本经营预算财政拨款支出决算表</w:t>
      </w:r>
      <w:bookmarkEnd w:id="191"/>
      <w:bookmarkEnd w:id="192"/>
    </w:p>
    <w:p>
      <w:pPr>
        <w:pStyle w:val="5"/>
        <w:keepNext/>
        <w:keepLines/>
        <w:pageBreakBefore w:val="0"/>
        <w:widowControl w:val="0"/>
        <w:kinsoku/>
        <w:wordWrap/>
        <w:overflowPunct/>
        <w:topLinePunct w:val="0"/>
        <w:autoSpaceDE/>
        <w:autoSpaceDN/>
        <w:bidi w:val="0"/>
        <w:adjustRightInd/>
        <w:snapToGrid/>
        <w:spacing w:before="0" w:after="0" w:line="610" w:lineRule="exact"/>
        <w:textAlignment w:val="auto"/>
        <w:rPr>
          <w:rFonts w:eastAsia="仿宋"/>
        </w:rPr>
      </w:pPr>
      <w:bookmarkStart w:id="193" w:name="_Toc15396631"/>
      <w:bookmarkStart w:id="194" w:name="_Toc8728"/>
      <w:bookmarkStart w:id="195" w:name="_Toc12898"/>
      <w:r>
        <w:rPr>
          <w:rStyle w:val="20"/>
          <w:rFonts w:hint="eastAsia" w:ascii="仿宋" w:eastAsia="仿宋"/>
          <w:b w:val="0"/>
          <w:bCs w:val="0"/>
        </w:rPr>
        <w:t>十三、</w:t>
      </w:r>
      <w:bookmarkEnd w:id="193"/>
      <w:r>
        <w:rPr>
          <w:rStyle w:val="20"/>
          <w:rFonts w:hint="eastAsia" w:ascii="仿宋" w:eastAsia="仿宋"/>
          <w:b w:val="0"/>
          <w:bCs w:val="0"/>
        </w:rPr>
        <w:t>财政拨款“三公”经费支出决算表</w:t>
      </w:r>
      <w:bookmarkEnd w:id="194"/>
      <w:bookmarkEnd w:id="195"/>
    </w:p>
    <w:sectPr>
      <w:footerReference r:id="rId5" w:type="first"/>
      <w:footerReference r:id="rId4"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81"/>
    <w:family w:val="roma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t xml:space="preserve">— </w:t>
                          </w:r>
                          <w:r>
                            <w:fldChar w:fldCharType="begin"/>
                          </w:r>
                          <w:r>
                            <w:instrText xml:space="preserve"> PAGE  \* MERGEFORMAT </w:instrText>
                          </w:r>
                          <w:r>
                            <w:fldChar w:fldCharType="separate"/>
                          </w:r>
                          <w:r>
                            <w:t>2</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OqXm5zwAAAAUBAAAPAAAAAAAAAAEAIAAAADgAAABkcnMvZG93bnJldi54bWxQSwEC&#10;FAAUAAAACACHTuJAelUAUecBAADHAwAADgAAAAAAAAABACAAAAA0AQAAZHJzL2Uyb0RvYy54bWxQ&#10;SwUGAAAAAAYABgBZAQAAjQUAAAAA&#10;">
              <v:fill on="f" focussize="0,0"/>
              <v:stroke on="f"/>
              <v:imagedata o:title=""/>
              <o:lock v:ext="edit" aspectratio="f"/>
              <v:textbox inset="0mm,0mm,0mm,0mm" style="mso-fit-shape-to-text:t;">
                <w:txbxContent>
                  <w:p>
                    <w:pPr>
                      <w:pStyle w:val="10"/>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  \* MERGEFORMAT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rPr>
                            <w:fldChar w:fldCharType="end"/>
                          </w:r>
                          <w:r>
                            <w:rPr>
                              <w:rFonts w:hint="default" w:ascii="Times New Roman" w:hAnsi="Times New Roman" w:cs="Times New Roman" w:eastAsiaTheme="minorEastAsia"/>
                              <w:sz w:val="24"/>
                              <w:szCs w:val="24"/>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DOqXm5zwAAAAUBAAAPAAAAAAAAAAEAIAAAADgAAABkcnMvZG93bnJldi54bWxQSwEC&#10;FAAUAAAACACHTuJAz3WTY+cBAADHAwAADgAAAAAAAAABACAAAAA0AQAAZHJzL2Uyb0RvYy54bWxQ&#10;SwUGAAAAAAYABgBZAQAAjQUAAAAA&#10;">
              <v:fill on="f" focussize="0,0"/>
              <v:stroke on="f"/>
              <v:imagedata o:title=""/>
              <o:lock v:ext="edit" aspectratio="f"/>
              <v:textbox inset="0mm,0mm,0mm,0mm" style="mso-fit-shape-to-text:t;">
                <w:txbxContent>
                  <w:p>
                    <w:pPr>
                      <w:pStyle w:val="1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 xml:space="preserve">— </w:t>
                    </w:r>
                    <w:r>
                      <w:rPr>
                        <w:rFonts w:hint="default" w:ascii="Times New Roman" w:hAnsi="Times New Roman" w:cs="Times New Roman" w:eastAsiaTheme="minorEastAsia"/>
                        <w:sz w:val="24"/>
                        <w:szCs w:val="24"/>
                      </w:rPr>
                      <w:fldChar w:fldCharType="begin"/>
                    </w:r>
                    <w:r>
                      <w:rPr>
                        <w:rFonts w:hint="default" w:ascii="Times New Roman" w:hAnsi="Times New Roman" w:cs="Times New Roman" w:eastAsiaTheme="minorEastAsia"/>
                        <w:sz w:val="24"/>
                        <w:szCs w:val="24"/>
                      </w:rPr>
                      <w:instrText xml:space="preserve"> PAGE  \* MERGEFORMAT </w:instrText>
                    </w:r>
                    <w:r>
                      <w:rPr>
                        <w:rFonts w:hint="default" w:ascii="Times New Roman" w:hAnsi="Times New Roman" w:cs="Times New Roman" w:eastAsiaTheme="minorEastAsia"/>
                        <w:sz w:val="24"/>
                        <w:szCs w:val="24"/>
                      </w:rPr>
                      <w:fldChar w:fldCharType="separate"/>
                    </w: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rPr>
                      <w:fldChar w:fldCharType="end"/>
                    </w:r>
                    <w:r>
                      <w:rPr>
                        <w:rFonts w:hint="default" w:ascii="Times New Roman" w:hAnsi="Times New Roman" w:cs="Times New Roman" w:eastAsiaTheme="minorEastAsia"/>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0CC26"/>
    <w:multiLevelType w:val="singleLevel"/>
    <w:tmpl w:val="BB40CC26"/>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2116654C"/>
    <w:multiLevelType w:val="singleLevel"/>
    <w:tmpl w:val="2116654C"/>
    <w:lvl w:ilvl="0" w:tentative="0">
      <w:start w:val="6"/>
      <w:numFmt w:val="chineseCounting"/>
      <w:suff w:val="nothing"/>
      <w:lvlText w:val="%1、"/>
      <w:lvlJc w:val="left"/>
      <w:rPr>
        <w:rFonts w:hint="eastAsia"/>
      </w:rPr>
    </w:lvl>
  </w:abstractNum>
  <w:abstractNum w:abstractNumId="3">
    <w:nsid w:val="28ECCBAC"/>
    <w:multiLevelType w:val="singleLevel"/>
    <w:tmpl w:val="28ECCBAC"/>
    <w:lvl w:ilvl="0" w:tentative="0">
      <w:start w:val="2"/>
      <w:numFmt w:val="chineseCounting"/>
      <w:suff w:val="space"/>
      <w:lvlText w:val="第%1部分"/>
      <w:lvlJc w:val="left"/>
      <w:rPr>
        <w:rFonts w:hint="eastAsia"/>
      </w:rPr>
    </w:lvl>
  </w:abstractNum>
  <w:abstractNum w:abstractNumId="4">
    <w:nsid w:val="4DD03587"/>
    <w:multiLevelType w:val="singleLevel"/>
    <w:tmpl w:val="4DD03587"/>
    <w:lvl w:ilvl="0" w:tentative="0">
      <w:start w:val="2"/>
      <w:numFmt w:val="chineseCounting"/>
      <w:suff w:val="nothing"/>
      <w:lvlText w:val="（%1）"/>
      <w:lvlJc w:val="left"/>
      <w:rPr>
        <w:rFonts w:hint="eastAsia"/>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5346C9"/>
    <w:rsid w:val="002C1B69"/>
    <w:rsid w:val="00497A04"/>
    <w:rsid w:val="005346C9"/>
    <w:rsid w:val="007C6D18"/>
    <w:rsid w:val="00D10E3A"/>
    <w:rsid w:val="011E0236"/>
    <w:rsid w:val="01637D30"/>
    <w:rsid w:val="01E55EBE"/>
    <w:rsid w:val="02191E9F"/>
    <w:rsid w:val="02DF23B3"/>
    <w:rsid w:val="031570BC"/>
    <w:rsid w:val="03595555"/>
    <w:rsid w:val="03716D43"/>
    <w:rsid w:val="053578FC"/>
    <w:rsid w:val="057123DC"/>
    <w:rsid w:val="05BD4957"/>
    <w:rsid w:val="064C4DA7"/>
    <w:rsid w:val="068648B3"/>
    <w:rsid w:val="06A764EC"/>
    <w:rsid w:val="06C54CB0"/>
    <w:rsid w:val="08B73BDA"/>
    <w:rsid w:val="08C64132"/>
    <w:rsid w:val="09472082"/>
    <w:rsid w:val="09995076"/>
    <w:rsid w:val="09D77D7E"/>
    <w:rsid w:val="09D9119E"/>
    <w:rsid w:val="0A2A11AD"/>
    <w:rsid w:val="0AA3084A"/>
    <w:rsid w:val="0ADC27FC"/>
    <w:rsid w:val="0AE37FA3"/>
    <w:rsid w:val="0B837635"/>
    <w:rsid w:val="0EB03DE2"/>
    <w:rsid w:val="103A43F9"/>
    <w:rsid w:val="10D254AD"/>
    <w:rsid w:val="111C6C50"/>
    <w:rsid w:val="115A68FB"/>
    <w:rsid w:val="11B11DE5"/>
    <w:rsid w:val="1272218F"/>
    <w:rsid w:val="128D34EA"/>
    <w:rsid w:val="13041F12"/>
    <w:rsid w:val="141C2D20"/>
    <w:rsid w:val="14CE3B89"/>
    <w:rsid w:val="15FA088E"/>
    <w:rsid w:val="1674297A"/>
    <w:rsid w:val="16842E90"/>
    <w:rsid w:val="16D915FA"/>
    <w:rsid w:val="18E124B9"/>
    <w:rsid w:val="197B401F"/>
    <w:rsid w:val="19EC4FBE"/>
    <w:rsid w:val="1A206FD7"/>
    <w:rsid w:val="1A3D3E6B"/>
    <w:rsid w:val="1A8C55EC"/>
    <w:rsid w:val="1AE3657B"/>
    <w:rsid w:val="1B4D6C7B"/>
    <w:rsid w:val="1B817C0A"/>
    <w:rsid w:val="1BC9607B"/>
    <w:rsid w:val="1C2E319B"/>
    <w:rsid w:val="1ED878EA"/>
    <w:rsid w:val="1F325180"/>
    <w:rsid w:val="206A26F8"/>
    <w:rsid w:val="214010DC"/>
    <w:rsid w:val="21CF5A0E"/>
    <w:rsid w:val="229071C8"/>
    <w:rsid w:val="237F470C"/>
    <w:rsid w:val="249647E8"/>
    <w:rsid w:val="24E0742D"/>
    <w:rsid w:val="26141C75"/>
    <w:rsid w:val="262C78E7"/>
    <w:rsid w:val="270907F7"/>
    <w:rsid w:val="27774707"/>
    <w:rsid w:val="279D44C4"/>
    <w:rsid w:val="27C351B9"/>
    <w:rsid w:val="28110FEC"/>
    <w:rsid w:val="289251B5"/>
    <w:rsid w:val="293403CF"/>
    <w:rsid w:val="2A8817A9"/>
    <w:rsid w:val="2AC410BE"/>
    <w:rsid w:val="2ACD1A9F"/>
    <w:rsid w:val="2B147E30"/>
    <w:rsid w:val="2BA6192D"/>
    <w:rsid w:val="2C26606D"/>
    <w:rsid w:val="2C9E37D8"/>
    <w:rsid w:val="2CAD2283"/>
    <w:rsid w:val="2ECD21CF"/>
    <w:rsid w:val="2ED2428A"/>
    <w:rsid w:val="309D6705"/>
    <w:rsid w:val="3293788C"/>
    <w:rsid w:val="32B12408"/>
    <w:rsid w:val="32BD6FFF"/>
    <w:rsid w:val="32DA0069"/>
    <w:rsid w:val="351C20FF"/>
    <w:rsid w:val="35FE5964"/>
    <w:rsid w:val="3660405D"/>
    <w:rsid w:val="37A857A3"/>
    <w:rsid w:val="37AC3038"/>
    <w:rsid w:val="37E52634"/>
    <w:rsid w:val="38020CF1"/>
    <w:rsid w:val="380B6117"/>
    <w:rsid w:val="38AF73EA"/>
    <w:rsid w:val="38BF4B8D"/>
    <w:rsid w:val="38D0558F"/>
    <w:rsid w:val="395459CC"/>
    <w:rsid w:val="39D27337"/>
    <w:rsid w:val="3A695377"/>
    <w:rsid w:val="3A6D4031"/>
    <w:rsid w:val="3ACE1D17"/>
    <w:rsid w:val="3C1E75BC"/>
    <w:rsid w:val="3C37004E"/>
    <w:rsid w:val="3D99792A"/>
    <w:rsid w:val="3DD516A1"/>
    <w:rsid w:val="3EB1096F"/>
    <w:rsid w:val="3F8C2BFA"/>
    <w:rsid w:val="402D0AC2"/>
    <w:rsid w:val="40DA589D"/>
    <w:rsid w:val="415F69DE"/>
    <w:rsid w:val="41AB024C"/>
    <w:rsid w:val="42082B23"/>
    <w:rsid w:val="42AE0648"/>
    <w:rsid w:val="43DF6F62"/>
    <w:rsid w:val="44362975"/>
    <w:rsid w:val="44DE2EA1"/>
    <w:rsid w:val="45F33A0F"/>
    <w:rsid w:val="46081EE8"/>
    <w:rsid w:val="471A69C9"/>
    <w:rsid w:val="4815212B"/>
    <w:rsid w:val="48B742F0"/>
    <w:rsid w:val="4929082D"/>
    <w:rsid w:val="4A3635D8"/>
    <w:rsid w:val="4A58343D"/>
    <w:rsid w:val="4ACB4874"/>
    <w:rsid w:val="4B5725DE"/>
    <w:rsid w:val="4C6E1FFB"/>
    <w:rsid w:val="4DA03ACE"/>
    <w:rsid w:val="4EC05A55"/>
    <w:rsid w:val="545D78A2"/>
    <w:rsid w:val="54B90F7D"/>
    <w:rsid w:val="54D52C22"/>
    <w:rsid w:val="552F6C70"/>
    <w:rsid w:val="56C67981"/>
    <w:rsid w:val="57282336"/>
    <w:rsid w:val="58CC66BF"/>
    <w:rsid w:val="58D7728D"/>
    <w:rsid w:val="58EA204C"/>
    <w:rsid w:val="5973794E"/>
    <w:rsid w:val="59846BF5"/>
    <w:rsid w:val="598B6C60"/>
    <w:rsid w:val="59CD7278"/>
    <w:rsid w:val="5AFC7E15"/>
    <w:rsid w:val="5BB478E2"/>
    <w:rsid w:val="5BFC52AC"/>
    <w:rsid w:val="5BFC633D"/>
    <w:rsid w:val="5C211AAB"/>
    <w:rsid w:val="5CDC7EFE"/>
    <w:rsid w:val="5D3521BC"/>
    <w:rsid w:val="5F4830C1"/>
    <w:rsid w:val="5F714411"/>
    <w:rsid w:val="5FED2422"/>
    <w:rsid w:val="60FC358D"/>
    <w:rsid w:val="61B52BB6"/>
    <w:rsid w:val="628F5A13"/>
    <w:rsid w:val="632058D7"/>
    <w:rsid w:val="63DD630A"/>
    <w:rsid w:val="64260398"/>
    <w:rsid w:val="66E211F3"/>
    <w:rsid w:val="671B5AC7"/>
    <w:rsid w:val="68C225DE"/>
    <w:rsid w:val="693634DB"/>
    <w:rsid w:val="697B8E2E"/>
    <w:rsid w:val="69FD7706"/>
    <w:rsid w:val="6B11317C"/>
    <w:rsid w:val="6C7C7BAF"/>
    <w:rsid w:val="6CDC3602"/>
    <w:rsid w:val="6ECE1577"/>
    <w:rsid w:val="701F79CE"/>
    <w:rsid w:val="708404D0"/>
    <w:rsid w:val="713224E7"/>
    <w:rsid w:val="718A39A6"/>
    <w:rsid w:val="71924BD7"/>
    <w:rsid w:val="71D40D4C"/>
    <w:rsid w:val="72F1121E"/>
    <w:rsid w:val="737D19C6"/>
    <w:rsid w:val="7386251A"/>
    <w:rsid w:val="73AA6208"/>
    <w:rsid w:val="75A91B22"/>
    <w:rsid w:val="763E6ADC"/>
    <w:rsid w:val="77304EBB"/>
    <w:rsid w:val="77352A49"/>
    <w:rsid w:val="7789082B"/>
    <w:rsid w:val="780A1873"/>
    <w:rsid w:val="785D752B"/>
    <w:rsid w:val="78681BA9"/>
    <w:rsid w:val="78AA2805"/>
    <w:rsid w:val="79D833A4"/>
    <w:rsid w:val="79E9735F"/>
    <w:rsid w:val="7A0F05A7"/>
    <w:rsid w:val="7A460C55"/>
    <w:rsid w:val="7A6C5172"/>
    <w:rsid w:val="7BB63F4D"/>
    <w:rsid w:val="7D9407C2"/>
    <w:rsid w:val="7F8A5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0"/>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spacing w:before="260" w:after="260" w:line="415"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spacing w:after="120"/>
      <w:ind w:left="200" w:leftChars="200"/>
    </w:pPr>
    <w:rPr>
      <w:rFonts w:ascii="仿宋_GB2312" w:hAnsi="仿宋_GB2312"/>
      <w:szCs w:val="32"/>
    </w:rPr>
  </w:style>
  <w:style w:type="paragraph" w:styleId="7">
    <w:name w:val="Body Text"/>
    <w:basedOn w:val="1"/>
    <w:qFormat/>
    <w:uiPriority w:val="0"/>
    <w:pPr>
      <w:spacing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Char"/>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Char"/>
    <w:basedOn w:val="16"/>
    <w:link w:val="5"/>
    <w:qFormat/>
    <w:uiPriority w:val="0"/>
    <w:rPr>
      <w:rFonts w:ascii="Cambria" w:hAnsi="Cambria" w:eastAsia="宋体" w:cs="Times New Roman"/>
      <w:b/>
      <w:bCs/>
      <w:kern w:val="2"/>
      <w:sz w:val="32"/>
      <w:szCs w:val="32"/>
      <w:lang w:val="en-US" w:eastAsia="zh-CN" w:bidi="ar-SA"/>
    </w:rPr>
  </w:style>
  <w:style w:type="paragraph" w:customStyle="1" w:styleId="21">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9">
    <w:name w:val="四号正文"/>
    <w:basedOn w:val="1"/>
    <w:qFormat/>
    <w:uiPriority w:val="0"/>
    <w:pPr>
      <w:spacing w:line="360" w:lineRule="auto"/>
    </w:pPr>
    <w:rPr>
      <w:rFonts w:ascii="??" w:hAnsi="??"/>
      <w:color w:val="000000"/>
      <w:kern w:val="0"/>
      <w:sz w:val="28"/>
      <w:szCs w:val="21"/>
      <w:lang w:val="zh-CN"/>
    </w:rPr>
  </w:style>
  <w:style w:type="character" w:customStyle="1" w:styleId="30">
    <w:name w:val="font41"/>
    <w:basedOn w:val="16"/>
    <w:qFormat/>
    <w:uiPriority w:val="0"/>
    <w:rPr>
      <w:rFonts w:hint="eastAsia" w:ascii="宋体" w:hAnsi="宋体" w:eastAsia="宋体" w:cs="宋体"/>
      <w:color w:val="000000"/>
      <w:sz w:val="18"/>
      <w:szCs w:val="18"/>
      <w:u w:val="none"/>
    </w:rPr>
  </w:style>
  <w:style w:type="paragraph" w:customStyle="1" w:styleId="31">
    <w:name w:val="WPSOffice手动目录 1"/>
    <w:qFormat/>
    <w:uiPriority w:val="0"/>
    <w:pPr>
      <w:ind w:leftChars="0"/>
    </w:pPr>
    <w:rPr>
      <w:rFonts w:ascii="Times New Roman" w:hAnsi="Times New Roman" w:eastAsia="宋体" w:cs="Times New Roman"/>
      <w:sz w:val="20"/>
      <w:szCs w:val="20"/>
    </w:rPr>
  </w:style>
  <w:style w:type="paragraph" w:customStyle="1" w:styleId="32">
    <w:name w:val="WPSOffice手动目录 2"/>
    <w:qFormat/>
    <w:uiPriority w:val="0"/>
    <w:pPr>
      <w:ind w:leftChars="200"/>
    </w:pPr>
    <w:rPr>
      <w:rFonts w:ascii="Times New Roman" w:hAnsi="Times New Roman" w:eastAsia="宋体" w:cs="Times New Roman"/>
      <w:sz w:val="20"/>
      <w:szCs w:val="20"/>
    </w:rPr>
  </w:style>
  <w:style w:type="paragraph" w:customStyle="1" w:styleId="33">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4920;%20&#22312;%20&#26032;&#24314;%20DOC%20&#25991;&#26723;.doc"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24037;&#20316;&#34920;%20&#22312;%20&#26032;&#24314;%20DOC%20&#25991;&#26723;.doc"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2270;&#34920;%20&#22312;%20&#26032;&#24314;%20DOC%20&#25991;&#26723;.doc"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sz="900" b="1" i="0" u="none" strike="noStrike" baseline="0">
                <a:solidFill>
                  <a:srgbClr val="333333"/>
                </a:solidFill>
                <a:latin typeface="黑体" panose="02010609060101010101" charset="-122"/>
                <a:ea typeface="黑体" panose="02010609060101010101" charset="-122"/>
                <a:cs typeface="黑体" panose="02010609060101010101" charset="-122"/>
              </a:rPr>
              <a:t>  2021</a:t>
            </a:r>
            <a:r>
              <a:rPr altLang="en-US" sz="900" b="1" i="0" u="none" strike="noStrike" baseline="0">
                <a:solidFill>
                  <a:srgbClr val="333333"/>
                </a:solidFill>
                <a:latin typeface="黑体" panose="02010609060101010101" charset="-122"/>
                <a:ea typeface="黑体" panose="02010609060101010101" charset="-122"/>
                <a:cs typeface="黑体" panose="02010609060101010101" charset="-122"/>
              </a:rPr>
              <a:t>、</a:t>
            </a:r>
            <a:r>
              <a:rPr lang="en-US" altLang="zh-CN" sz="900" b="1" i="0" u="none" strike="noStrike" baseline="0">
                <a:solidFill>
                  <a:srgbClr val="333333"/>
                </a:solidFill>
                <a:latin typeface="黑体" panose="02010609060101010101" charset="-122"/>
                <a:ea typeface="黑体" panose="02010609060101010101" charset="-122"/>
                <a:cs typeface="黑体" panose="02010609060101010101" charset="-122"/>
              </a:rPr>
              <a:t>2022</a:t>
            </a:r>
            <a:r>
              <a:rPr altLang="en-US" sz="900" b="1" i="0" u="none" strike="noStrike" baseline="0">
                <a:solidFill>
                  <a:srgbClr val="333333"/>
                </a:solidFill>
                <a:latin typeface="黑体" panose="02010609060101010101" charset="-122"/>
                <a:ea typeface="黑体" panose="02010609060101010101" charset="-122"/>
                <a:cs typeface="黑体" panose="02010609060101010101" charset="-122"/>
              </a:rPr>
              <a:t>财政拨款收支变动情况图</a:t>
            </a:r>
            <a:endParaRPr altLang="en-US" sz="900" b="1" i="0" u="none" strike="noStrike" baseline="0">
              <a:solidFill>
                <a:srgbClr val="333333"/>
              </a:solidFill>
              <a:latin typeface="黑体" panose="02010609060101010101" charset="-122"/>
              <a:ea typeface="黑体" panose="02010609060101010101" charset="-122"/>
              <a:cs typeface="黑体" panose="02010609060101010101" charset="-122"/>
            </a:endParaRPr>
          </a:p>
        </c:rich>
      </c:tx>
      <c:layout>
        <c:manualLayout>
          <c:xMode val="edge"/>
          <c:yMode val="edge"/>
          <c:x val="0.223231848781355"/>
          <c:y val="0.0391712611740633"/>
        </c:manualLayout>
      </c:layout>
      <c:overlay val="0"/>
      <c:spPr>
        <a:noFill/>
        <a:ln>
          <a:noFill/>
        </a:ln>
        <a:effectLst/>
      </c:spPr>
    </c:title>
    <c:autoTitleDeleted val="0"/>
    <c:plotArea>
      <c:layout>
        <c:manualLayout>
          <c:layoutTarget val="inner"/>
          <c:xMode val="edge"/>
          <c:yMode val="edge"/>
          <c:x val="0.152302684169057"/>
          <c:y val="0.165781083953241"/>
          <c:w val="0.838782167451975"/>
          <c:h val="0.457768331562168"/>
        </c:manualLayout>
      </c:layout>
      <c:barChart>
        <c:barDir val="col"/>
        <c:grouping val="clustered"/>
        <c:varyColors val="0"/>
        <c:ser>
          <c:idx val="0"/>
          <c:order val="0"/>
          <c:tx>
            <c:strRef>
              <c:f>'[工作表 在 新建 DOC 文档.doc]Sheet1'!$B$1</c:f>
              <c:strCache>
                <c:ptCount val="1"/>
                <c:pt idx="0">
                  <c:v>2021年</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[0155574a1]Sheet1!$A$2:$A$3</c:f>
              <c:strCache>
                <c:ptCount val="2"/>
                <c:pt idx="0">
                  <c:v>收入</c:v>
                </c:pt>
                <c:pt idx="1">
                  <c:v>支出</c:v>
                </c:pt>
              </c:strCache>
            </c:strRef>
          </c:cat>
          <c:val>
            <c:numRef>
              <c:f>[0155574a1]Sheet1!$B$2:$B$3</c:f>
              <c:numCache>
                <c:formatCode>General</c:formatCode>
                <c:ptCount val="2"/>
                <c:pt idx="0">
                  <c:v>224.94</c:v>
                </c:pt>
                <c:pt idx="1">
                  <c:v>224.94</c:v>
                </c:pt>
              </c:numCache>
            </c:numRef>
          </c:val>
        </c:ser>
        <c:ser>
          <c:idx val="1"/>
          <c:order val="1"/>
          <c:tx>
            <c:strRef>
              <c:f>'[工作表 在 新建 DOC 文档.doc]Sheet1'!$C$1</c:f>
              <c:strCache>
                <c:ptCount val="1"/>
                <c:pt idx="0">
                  <c:v>2022年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[0155574a1]Sheet1!$A$2:$A$3</c:f>
              <c:strCache>
                <c:ptCount val="2"/>
                <c:pt idx="0">
                  <c:v>收入</c:v>
                </c:pt>
                <c:pt idx="1">
                  <c:v>支出</c:v>
                </c:pt>
              </c:strCache>
            </c:strRef>
          </c:cat>
          <c:val>
            <c:numRef>
              <c:f>[0155574a1]Sheet1!$C$2:$C$3</c:f>
              <c:numCache>
                <c:formatCode>General</c:formatCode>
                <c:ptCount val="2"/>
                <c:pt idx="0">
                  <c:v>221.54</c:v>
                </c:pt>
                <c:pt idx="1">
                  <c:v>221.54</c:v>
                </c:pt>
              </c:numCache>
            </c:numRef>
          </c:val>
        </c:ser>
        <c:ser>
          <c:idx val="2"/>
          <c:order val="2"/>
          <c:tx>
            <c:strRef>
              <c:f>'[工作表 在 新建 DOC 文档.doc]Sheet1'!$D$1</c:f>
              <c:strCache>
                <c:ptCount val="1"/>
                <c:pt idx="0">
                  <c:v>变动</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[0155574a1]Sheet1!$A$2:$A$3</c:f>
              <c:strCache>
                <c:ptCount val="2"/>
                <c:pt idx="0">
                  <c:v>收入</c:v>
                </c:pt>
                <c:pt idx="1">
                  <c:v>支出</c:v>
                </c:pt>
              </c:strCache>
            </c:strRef>
          </c:cat>
          <c:val>
            <c:numRef>
              <c:f>[0155574a1]Sheet1!$D$2:$D$3</c:f>
              <c:numCache>
                <c:formatCode>General</c:formatCode>
                <c:ptCount val="2"/>
                <c:pt idx="0">
                  <c:v>3.4</c:v>
                </c:pt>
                <c:pt idx="1">
                  <c:v>3.4</c:v>
                </c:pt>
              </c:numCache>
            </c:numRef>
          </c:val>
        </c:ser>
        <c:dLbls>
          <c:showLegendKey val="0"/>
          <c:showVal val="0"/>
          <c:showCatName val="0"/>
          <c:showSerName val="0"/>
          <c:showPercent val="0"/>
          <c:showBubbleSize val="0"/>
        </c:dLbls>
        <c:gapWidth val="246"/>
        <c:overlap val="-28"/>
        <c:axId val="697247234"/>
        <c:axId val="412822264"/>
      </c:barChart>
      <c:catAx>
        <c:axId val="697247234"/>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822264"/>
        <c:crosses val="autoZero"/>
        <c:auto val="1"/>
        <c:lblAlgn val="ctr"/>
        <c:lblOffset val="100"/>
        <c:noMultiLvlLbl val="0"/>
      </c:catAx>
      <c:valAx>
        <c:axId val="412822264"/>
        <c:scaling>
          <c:orientation val="minMax"/>
        </c:scaling>
        <c:delete val="0"/>
        <c:axPos val="l"/>
        <c:majorGridlines>
          <c:spPr>
            <a:ln w="9525" cap="flat" cmpd="sng" algn="ctr">
              <a:solidFill>
                <a:schemeClr val="bg1">
                  <a:lumMod val="902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7247234"/>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sz="1050">
                <a:latin typeface="黑体" panose="02010609060101010101" charset="-122"/>
                <a:ea typeface="黑体" panose="02010609060101010101" charset="-122"/>
                <a:cs typeface="黑体" panose="02010609060101010101" charset="-122"/>
              </a:rPr>
              <a:t>2022财政拨款收入决算图</a:t>
            </a:r>
            <a:endParaRPr sz="1050">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pieChart>
        <c:varyColors val="1"/>
        <c:ser>
          <c:idx val="0"/>
          <c:order val="0"/>
          <c:tx>
            <c:strRef>
              <c:f>Sheet1!$B$1</c:f>
              <c:strCache>
                <c:ptCount val="1"/>
                <c:pt idx="0">
                  <c:v>2022财政拨款收入决算图</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一般公共预算收入221.54</c:v>
                </c:pt>
              </c:strCache>
            </c:strRef>
          </c:cat>
          <c:val>
            <c:numRef>
              <c:f>Sheet1!$B$2</c:f>
              <c:numCache>
                <c:formatCode>General</c:formatCode>
                <c:ptCount val="1"/>
                <c:pt idx="0">
                  <c:v>221.54</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sz="1050">
                <a:latin typeface="黑体" panose="02010609060101010101" charset="-122"/>
                <a:ea typeface="黑体" panose="02010609060101010101" charset="-122"/>
                <a:cs typeface="黑体" panose="02010609060101010101" charset="-122"/>
              </a:rPr>
              <a:t>2022</a:t>
            </a:r>
            <a:r>
              <a:rPr altLang="en-US" sz="1050">
                <a:latin typeface="黑体" panose="02010609060101010101" charset="-122"/>
                <a:ea typeface="黑体" panose="02010609060101010101" charset="-122"/>
                <a:cs typeface="黑体" panose="02010609060101010101" charset="-122"/>
              </a:rPr>
              <a:t>年支出决算结构图</a:t>
            </a:r>
            <a:endParaRPr altLang="en-US" sz="1050">
              <a:latin typeface="黑体" panose="02010609060101010101" charset="-122"/>
              <a:ea typeface="黑体" panose="02010609060101010101" charset="-122"/>
              <a:cs typeface="黑体" panose="02010609060101010101" charset="-122"/>
            </a:endParaRPr>
          </a:p>
        </c:rich>
      </c:tx>
      <c:layout>
        <c:manualLayout>
          <c:xMode val="edge"/>
          <c:yMode val="edge"/>
          <c:x val="0.222485650112303"/>
          <c:y val="0.039724741945574"/>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190.15</c:v>
                </c:pt>
                <c:pt idx="1">
                  <c:v>31.4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sz="900" b="1" i="0" u="none" strike="noStrike" baseline="0">
                <a:solidFill>
                  <a:srgbClr val="333333"/>
                </a:solidFill>
                <a:latin typeface="黑体" panose="02010609060101010101" charset="-122"/>
                <a:ea typeface="黑体" panose="02010609060101010101" charset="-122"/>
                <a:cs typeface="黑体" panose="02010609060101010101" charset="-122"/>
              </a:rPr>
              <a:t>  2021</a:t>
            </a:r>
            <a:r>
              <a:rPr altLang="en-US" sz="900" b="1" i="0" u="none" strike="noStrike" baseline="0">
                <a:solidFill>
                  <a:srgbClr val="333333"/>
                </a:solidFill>
                <a:latin typeface="黑体" panose="02010609060101010101" charset="-122"/>
                <a:ea typeface="黑体" panose="02010609060101010101" charset="-122"/>
                <a:cs typeface="黑体" panose="02010609060101010101" charset="-122"/>
              </a:rPr>
              <a:t>、</a:t>
            </a:r>
            <a:r>
              <a:rPr lang="en-US" altLang="zh-CN" sz="900" b="1" i="0" u="none" strike="noStrike" baseline="0">
                <a:solidFill>
                  <a:srgbClr val="333333"/>
                </a:solidFill>
                <a:latin typeface="黑体" panose="02010609060101010101" charset="-122"/>
                <a:ea typeface="黑体" panose="02010609060101010101" charset="-122"/>
                <a:cs typeface="黑体" panose="02010609060101010101" charset="-122"/>
              </a:rPr>
              <a:t>2022</a:t>
            </a:r>
            <a:r>
              <a:rPr altLang="en-US" sz="900" b="1" i="0" u="none" strike="noStrike" baseline="0">
                <a:solidFill>
                  <a:srgbClr val="333333"/>
                </a:solidFill>
                <a:latin typeface="黑体" panose="02010609060101010101" charset="-122"/>
                <a:ea typeface="黑体" panose="02010609060101010101" charset="-122"/>
                <a:cs typeface="黑体" panose="02010609060101010101" charset="-122"/>
              </a:rPr>
              <a:t>财政拨款收支变动情况图</a:t>
            </a:r>
            <a:endParaRPr altLang="en-US" sz="900" b="1" i="0" u="none" strike="noStrike" baseline="0">
              <a:solidFill>
                <a:srgbClr val="333333"/>
              </a:solidFill>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barChart>
        <c:barDir val="col"/>
        <c:grouping val="clustered"/>
        <c:varyColors val="0"/>
        <c:ser>
          <c:idx val="0"/>
          <c:order val="0"/>
          <c:tx>
            <c:strRef>
              <c:f>'[工作表 在 新建 DOC 文档.doc]Sheet1'!$B$1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[0155574a1]Sheet1!$A$2:$A$3</c:f>
              <c:strCache>
                <c:ptCount val="2"/>
                <c:pt idx="0">
                  <c:v>收入</c:v>
                </c:pt>
                <c:pt idx="1">
                  <c:v>支出</c:v>
                </c:pt>
              </c:strCache>
            </c:strRef>
          </c:cat>
          <c:val>
            <c:numRef>
              <c:f>[0155574a1]Sheet1!$B$2:$B$3</c:f>
              <c:numCache>
                <c:formatCode>General</c:formatCode>
                <c:ptCount val="2"/>
                <c:pt idx="0">
                  <c:v>224.94</c:v>
                </c:pt>
                <c:pt idx="1">
                  <c:v>224.94</c:v>
                </c:pt>
              </c:numCache>
            </c:numRef>
          </c:val>
        </c:ser>
        <c:ser>
          <c:idx val="1"/>
          <c:order val="1"/>
          <c:tx>
            <c:strRef>
              <c:f>'[工作表 在 新建 DOC 文档.doc]Sheet1'!$C$1</c:f>
              <c:strCache>
                <c:ptCount val="1"/>
                <c:pt idx="0">
                  <c:v>2022年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[0155574a1]Sheet1!$A$2:$A$3</c:f>
              <c:strCache>
                <c:ptCount val="2"/>
                <c:pt idx="0">
                  <c:v>收入</c:v>
                </c:pt>
                <c:pt idx="1">
                  <c:v>支出</c:v>
                </c:pt>
              </c:strCache>
            </c:strRef>
          </c:cat>
          <c:val>
            <c:numRef>
              <c:f>[0155574a1]Sheet1!$C$2:$C$3</c:f>
              <c:numCache>
                <c:formatCode>General</c:formatCode>
                <c:ptCount val="2"/>
                <c:pt idx="0">
                  <c:v>221.54</c:v>
                </c:pt>
                <c:pt idx="1">
                  <c:v>221.54</c:v>
                </c:pt>
              </c:numCache>
            </c:numRef>
          </c:val>
        </c:ser>
        <c:ser>
          <c:idx val="2"/>
          <c:order val="2"/>
          <c:tx>
            <c:strRef>
              <c:f>'[工作表 在 新建 DOC 文档.doc]Sheet1'!$D$1</c:f>
              <c:strCache>
                <c:ptCount val="1"/>
                <c:pt idx="0">
                  <c:v>变动</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[0155574a1]Sheet1!$A$2:$A$3</c:f>
              <c:strCache>
                <c:ptCount val="2"/>
                <c:pt idx="0">
                  <c:v>收入</c:v>
                </c:pt>
                <c:pt idx="1">
                  <c:v>支出</c:v>
                </c:pt>
              </c:strCache>
            </c:strRef>
          </c:cat>
          <c:val>
            <c:numRef>
              <c:f>[0155574a1]Sheet1!$D$2:$D$3</c:f>
              <c:numCache>
                <c:formatCode>General</c:formatCode>
                <c:ptCount val="2"/>
                <c:pt idx="0">
                  <c:v>3.4</c:v>
                </c:pt>
                <c:pt idx="1">
                  <c:v>3.4</c:v>
                </c:pt>
              </c:numCache>
            </c:numRef>
          </c:val>
        </c:ser>
        <c:dLbls>
          <c:showLegendKey val="0"/>
          <c:showVal val="1"/>
          <c:showCatName val="0"/>
          <c:showSerName val="0"/>
          <c:showPercent val="0"/>
          <c:showBubbleSize val="0"/>
        </c:dLbls>
        <c:gapWidth val="150"/>
        <c:overlap val="0"/>
        <c:axId val="697247234"/>
        <c:axId val="412822264"/>
      </c:barChart>
      <c:catAx>
        <c:axId val="697247234"/>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2822264"/>
        <c:crosses val="autoZero"/>
        <c:auto val="1"/>
        <c:lblAlgn val="ctr"/>
        <c:lblOffset val="100"/>
        <c:noMultiLvlLbl val="0"/>
      </c:catAx>
      <c:valAx>
        <c:axId val="412822264"/>
        <c:scaling>
          <c:orientation val="minMax"/>
        </c:scaling>
        <c:delete val="1"/>
        <c:axPos val="l"/>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7247234"/>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lang="en-US" altLang="zh-CN" sz="1050">
                <a:latin typeface="黑体" panose="02010609060101010101" charset="-122"/>
                <a:ea typeface="黑体" panose="02010609060101010101" charset="-122"/>
                <a:cs typeface="黑体" panose="02010609060101010101" charset="-122"/>
              </a:rPr>
              <a:t>2021</a:t>
            </a:r>
            <a:r>
              <a:rPr altLang="en-US" sz="1050">
                <a:latin typeface="黑体" panose="02010609060101010101" charset="-122"/>
                <a:ea typeface="黑体" panose="02010609060101010101" charset="-122"/>
                <a:cs typeface="黑体" panose="02010609060101010101" charset="-122"/>
              </a:rPr>
              <a:t>、</a:t>
            </a:r>
            <a:r>
              <a:rPr lang="en-US" altLang="zh-CN" sz="1050">
                <a:latin typeface="黑体" panose="02010609060101010101" charset="-122"/>
                <a:ea typeface="黑体" panose="02010609060101010101" charset="-122"/>
                <a:cs typeface="黑体" panose="02010609060101010101" charset="-122"/>
              </a:rPr>
              <a:t>2022</a:t>
            </a:r>
            <a:r>
              <a:rPr sz="1050">
                <a:latin typeface="黑体" panose="02010609060101010101" charset="-122"/>
                <a:ea typeface="黑体" panose="02010609060101010101" charset="-122"/>
                <a:cs typeface="黑体" panose="02010609060101010101" charset="-122"/>
              </a:rPr>
              <a:t>支出决算结构图</a:t>
            </a:r>
            <a:endParaRPr sz="1050">
              <a:latin typeface="黑体" panose="02010609060101010101" charset="-122"/>
              <a:ea typeface="黑体" panose="02010609060101010101" charset="-122"/>
              <a:cs typeface="黑体" panose="02010609060101010101" charset="-122"/>
            </a:endParaRPr>
          </a:p>
        </c:rich>
      </c:tx>
      <c:layout/>
      <c:overlay val="0"/>
    </c:title>
    <c:autoTitleDeleted val="0"/>
    <c:plotArea>
      <c:layout/>
      <c:barChart>
        <c:barDir val="col"/>
        <c:grouping val="clustered"/>
        <c:varyColors val="0"/>
        <c:ser>
          <c:idx val="0"/>
          <c:order val="0"/>
          <c:tx>
            <c:strRef>
              <c:f>'[图表 在 新建 DOC 文档.doc]Sheet1'!$B$3</c:f>
              <c:strCache>
                <c:ptCount val="1"/>
                <c:pt idx="0">
                  <c:v>支出</c:v>
                </c:pt>
              </c:strCache>
            </c:strRef>
          </c:tx>
          <c:spPr>
            <a:solidFill>
              <a:schemeClr val="accent1">
                <a:alpha val="100000"/>
              </a:scheme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新建 DOC 文档.doc]Sheet1'!$C$2:$D$2</c:f>
              <c:strCache>
                <c:ptCount val="2"/>
                <c:pt idx="0">
                  <c:v>2021年</c:v>
                </c:pt>
                <c:pt idx="1">
                  <c:v>2022年</c:v>
                </c:pt>
              </c:strCache>
            </c:strRef>
          </c:cat>
          <c:val>
            <c:numRef>
              <c:f>'[图表 在 新建 DOC 文档.doc]Sheet1'!$C$3:$D$3</c:f>
              <c:numCache>
                <c:formatCode>General</c:formatCode>
                <c:ptCount val="2"/>
                <c:pt idx="0">
                  <c:v>224.94</c:v>
                </c:pt>
                <c:pt idx="1">
                  <c:v>221.54</c:v>
                </c:pt>
              </c:numCache>
            </c:numRef>
          </c:val>
        </c:ser>
        <c:dLbls>
          <c:showLegendKey val="0"/>
          <c:showVal val="1"/>
          <c:showCatName val="0"/>
          <c:showSerName val="0"/>
          <c:showPercent val="0"/>
          <c:showBubbleSize val="0"/>
        </c:dLbls>
        <c:gapWidth val="75"/>
        <c:overlap val="0"/>
        <c:axId val="66968199"/>
        <c:axId val="504209077"/>
      </c:barChart>
      <c:catAx>
        <c:axId val="66968199"/>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4209077"/>
        <c:crosses val="autoZero"/>
        <c:auto val="1"/>
        <c:lblAlgn val="ctr"/>
        <c:lblOffset val="100"/>
        <c:noMultiLvlLbl val="0"/>
      </c:catAx>
      <c:valAx>
        <c:axId val="504209077"/>
        <c:scaling>
          <c:orientation val="minMax"/>
        </c:scaling>
        <c:delete val="1"/>
        <c:axPos val="l"/>
        <c:numFmt formatCode="General" sourceLinked="1"/>
        <c:majorTickMark val="out"/>
        <c:minorTickMark val="none"/>
        <c:tickLblPos val="nextTo"/>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968199"/>
        <c:crosses val="autoZero"/>
        <c:crossBetween val="between"/>
      </c:valAx>
      <c:spPr>
        <a:noFill/>
        <a:ln w="3175">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sz="1050">
                <a:latin typeface="黑体" panose="02010609060101010101" charset="-122"/>
                <a:ea typeface="黑体" panose="02010609060101010101" charset="-122"/>
                <a:cs typeface="黑体" panose="02010609060101010101" charset="-122"/>
              </a:rPr>
              <a:t>2022</a:t>
            </a:r>
            <a:r>
              <a:rPr sz="1050">
                <a:latin typeface="黑体" panose="02010609060101010101" charset="-122"/>
                <a:ea typeface="黑体" panose="02010609060101010101" charset="-122"/>
                <a:cs typeface="黑体" panose="02010609060101010101" charset="-122"/>
              </a:rPr>
              <a:t>一般公共预算财政拨款支出结构图</a:t>
            </a:r>
            <a:endParaRPr sz="1050">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174.03</c:v>
                </c:pt>
                <c:pt idx="1">
                  <c:v>24.4</c:v>
                </c:pt>
                <c:pt idx="2">
                  <c:v>10.41</c:v>
                </c:pt>
                <c:pt idx="3">
                  <c:v>12.7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rPr lang="en-US" altLang="zh-CN" sz="1050">
                <a:latin typeface="黑体" panose="02010609060101010101" charset="-122"/>
                <a:ea typeface="黑体" panose="02010609060101010101" charset="-122"/>
                <a:cs typeface="黑体" panose="02010609060101010101" charset="-122"/>
              </a:rPr>
              <a:t>2022“</a:t>
            </a:r>
            <a:r>
              <a:rPr altLang="en-US" sz="1050">
                <a:latin typeface="黑体" panose="02010609060101010101" charset="-122"/>
                <a:ea typeface="黑体" panose="02010609060101010101" charset="-122"/>
                <a:cs typeface="黑体" panose="02010609060101010101" charset="-122"/>
              </a:rPr>
              <a:t>三公</a:t>
            </a:r>
            <a:r>
              <a:rPr lang="en-US" altLang="zh-CN" sz="1050">
                <a:latin typeface="黑体" panose="02010609060101010101" charset="-122"/>
                <a:ea typeface="黑体" panose="02010609060101010101" charset="-122"/>
                <a:cs typeface="黑体" panose="02010609060101010101" charset="-122"/>
              </a:rPr>
              <a:t>”</a:t>
            </a:r>
            <a:r>
              <a:rPr altLang="en-US" sz="1050">
                <a:latin typeface="黑体" panose="02010609060101010101" charset="-122"/>
                <a:ea typeface="黑体" panose="02010609060101010101" charset="-122"/>
                <a:cs typeface="黑体" panose="02010609060101010101" charset="-122"/>
              </a:rPr>
              <a:t>经费财政拨款支出结构图</a:t>
            </a:r>
            <a:endParaRPr altLang="en-US" sz="1050">
              <a:latin typeface="黑体" panose="02010609060101010101" charset="-122"/>
              <a:ea typeface="黑体" panose="02010609060101010101" charset="-122"/>
              <a:cs typeface="黑体" panose="02010609060101010101" charset="-122"/>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公务用车运行维护费</c:v>
                </c:pt>
              </c:strCache>
            </c:strRef>
          </c:cat>
          <c:val>
            <c:numRef>
              <c:f>Sheet1!$B$2</c:f>
              <c:numCache>
                <c:formatCode>General</c:formatCode>
                <c:ptCount val="1"/>
                <c:pt idx="0">
                  <c:v>2.62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9764</Words>
  <Characters>10631</Characters>
  <Lines>58</Lines>
  <Paragraphs>16</Paragraphs>
  <TotalTime>6</TotalTime>
  <ScaleCrop>false</ScaleCrop>
  <LinksUpToDate>false</LinksUpToDate>
  <CharactersWithSpaces>10870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2023-10-17T11:05:00Z</dcterms:created>
  <dc:creator>曹颖</dc:creator>
  <cp:lastModifiedBy>ruijie</cp:lastModifiedBy>
  <cp:lastPrinted>2023-07-31T10:35:00Z</cp:lastPrinted>
  <dcterms:modified xsi:type="dcterms:W3CDTF">2025-04-10T16:19:36Z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8DBCAB8FF4774230B8C1509083828954_13</vt:lpwstr>
  </property>
</Properties>
</file>