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hint="eastAsia" w:ascii="黑体" w:hAnsi="黑体" w:eastAsia="黑体" w:cs="Times New Roman"/>
          <w:color w:val="000000"/>
          <w:sz w:val="72"/>
          <w:szCs w:val="72"/>
        </w:rPr>
      </w:pPr>
      <w:bookmarkStart w:id="1" w:name="_Toc15377193"/>
      <w:bookmarkStart w:id="2" w:name="_Toc15377425"/>
      <w:bookmarkStart w:id="3" w:name="_Toc15396475"/>
      <w:bookmarkStart w:id="4" w:name="_Toc15396597"/>
      <w:bookmarkStart w:id="5" w:name="_Toc15378441"/>
      <w:bookmarkStart w:id="6" w:name="_Toc23671"/>
      <w:bookmarkStart w:id="7" w:name="_Toc17614"/>
      <w:r>
        <w:rPr>
          <w:rFonts w:hint="eastAsia" w:ascii="黑体" w:hAnsi="黑体" w:eastAsia="黑体" w:cs="Times New Roman"/>
          <w:color w:val="000000"/>
          <w:sz w:val="72"/>
          <w:szCs w:val="72"/>
        </w:rPr>
        <w:t>2019年度</w:t>
      </w:r>
      <w:bookmarkEnd w:id="1"/>
      <w:bookmarkEnd w:id="2"/>
      <w:bookmarkEnd w:id="3"/>
      <w:bookmarkEnd w:id="4"/>
      <w:bookmarkEnd w:id="5"/>
      <w:bookmarkStart w:id="8" w:name="_Toc15377426"/>
      <w:bookmarkStart w:id="9" w:name="_Toc15378442"/>
      <w:bookmarkStart w:id="10" w:name="_Toc15377194"/>
      <w:bookmarkStart w:id="11" w:name="_Toc15396598"/>
      <w:bookmarkStart w:id="12" w:name="_Toc15396476"/>
      <w:r>
        <w:rPr>
          <w:rFonts w:hint="eastAsia" w:ascii="黑体" w:hAnsi="黑体" w:eastAsia="黑体" w:cs="Times New Roman"/>
          <w:color w:val="000000"/>
          <w:sz w:val="72"/>
          <w:szCs w:val="72"/>
        </w:rPr>
        <w:t>四川省阿坝州</w:t>
      </w:r>
      <w:r>
        <w:rPr>
          <w:rFonts w:hint="eastAsia" w:ascii="黑体" w:hAnsi="黑体" w:eastAsia="黑体" w:cs="Times New Roman"/>
          <w:color w:val="000000"/>
          <w:sz w:val="72"/>
          <w:szCs w:val="72"/>
          <w:lang w:eastAsia="zh-CN"/>
        </w:rPr>
        <w:t>红原县</w:t>
      </w:r>
      <w:bookmarkStart w:id="13" w:name="_Toc15306268"/>
      <w:r>
        <w:rPr>
          <w:rFonts w:hint="eastAsia" w:ascii="黑体" w:hAnsi="黑体" w:eastAsia="黑体" w:cs="Times New Roman"/>
          <w:color w:val="000000"/>
          <w:sz w:val="72"/>
          <w:szCs w:val="72"/>
          <w:lang w:eastAsia="zh-CN"/>
        </w:rPr>
        <w:t>党史研究和地方志编纂中心</w:t>
      </w:r>
      <w:r>
        <w:rPr>
          <w:rFonts w:hint="eastAsia" w:ascii="黑体" w:hAnsi="黑体" w:eastAsia="黑体" w:cs="Times New Roman"/>
          <w:color w:val="000000"/>
          <w:sz w:val="72"/>
          <w:szCs w:val="72"/>
        </w:rPr>
        <w:t>决算</w:t>
      </w:r>
      <w:bookmarkEnd w:id="6"/>
      <w:bookmarkEnd w:id="7"/>
      <w:bookmarkEnd w:id="8"/>
      <w:bookmarkEnd w:id="9"/>
      <w:bookmarkEnd w:id="10"/>
      <w:bookmarkEnd w:id="11"/>
      <w:bookmarkEnd w:id="12"/>
      <w:bookmarkEnd w:id="13"/>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bookmarkStart w:id="128" w:name="_GoBack"/>
      <w:bookmarkEnd w:id="128"/>
    </w:p>
    <w:p>
      <w:pPr>
        <w:widowControl/>
        <w:jc w:val="center"/>
        <w:rPr>
          <w:rFonts w:ascii="黑体" w:hAnsi="黑体" w:eastAsia="黑体" w:cstheme="minorBidi"/>
          <w:sz w:val="28"/>
          <w:szCs w:val="2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0"/>
      </w:pPr>
    </w:p>
    <w:p>
      <w:pPr>
        <w:pStyle w:val="10"/>
        <w:tabs>
          <w:tab w:val="right" w:leader="dot" w:pos="8306"/>
          <w:tab w:val="clear" w:pos="8296"/>
        </w:tabs>
      </w:pPr>
      <w:bookmarkStart w:id="14" w:name="_Toc15396599"/>
      <w:bookmarkStart w:id="15" w:name="_Toc15377196"/>
      <w:r>
        <w:fldChar w:fldCharType="begin"/>
      </w:r>
      <w:r>
        <w:instrText xml:space="preserve">TOC \o "1-3" \h \u </w:instrText>
      </w:r>
      <w:r>
        <w:fldChar w:fldCharType="separate"/>
      </w:r>
      <w:r>
        <w:fldChar w:fldCharType="begin"/>
      </w:r>
      <w:r>
        <w:instrText xml:space="preserve"> HYPERLINK \l _Toc32333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_Toc32333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_Toc4876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_Toc4876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_Toc15609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_Toc15609 </w:instrText>
      </w:r>
      <w:r>
        <w:fldChar w:fldCharType="separate"/>
      </w:r>
      <w:r>
        <w:t>5</w:t>
      </w:r>
      <w:r>
        <w:fldChar w:fldCharType="end"/>
      </w:r>
      <w:r>
        <w:fldChar w:fldCharType="end"/>
      </w:r>
    </w:p>
    <w:p>
      <w:pPr>
        <w:pStyle w:val="10"/>
        <w:tabs>
          <w:tab w:val="right" w:leader="dot" w:pos="8306"/>
          <w:tab w:val="clear" w:pos="8296"/>
        </w:tabs>
      </w:pPr>
      <w:r>
        <w:fldChar w:fldCharType="begin"/>
      </w:r>
      <w:r>
        <w:instrText xml:space="preserve"> HYPERLINK \l _Toc19117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_Toc19117 </w:instrText>
      </w:r>
      <w:r>
        <w:fldChar w:fldCharType="separate"/>
      </w:r>
      <w:r>
        <w:t>6</w:t>
      </w:r>
      <w:r>
        <w:fldChar w:fldCharType="end"/>
      </w:r>
      <w:r>
        <w:fldChar w:fldCharType="end"/>
      </w:r>
    </w:p>
    <w:p>
      <w:pPr>
        <w:pStyle w:val="11"/>
        <w:tabs>
          <w:tab w:val="right" w:leader="dot" w:pos="8306"/>
          <w:tab w:val="clear" w:pos="8296"/>
        </w:tabs>
      </w:pPr>
      <w:r>
        <w:fldChar w:fldCharType="begin"/>
      </w:r>
      <w:r>
        <w:instrText xml:space="preserve"> HYPERLINK \l _Toc13988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_Toc13988 </w:instrText>
      </w:r>
      <w:r>
        <w:fldChar w:fldCharType="separate"/>
      </w:r>
      <w:r>
        <w:t>6</w:t>
      </w:r>
      <w:r>
        <w:fldChar w:fldCharType="end"/>
      </w:r>
      <w:r>
        <w:fldChar w:fldCharType="end"/>
      </w:r>
    </w:p>
    <w:p>
      <w:pPr>
        <w:pStyle w:val="11"/>
        <w:tabs>
          <w:tab w:val="right" w:leader="dot" w:pos="8306"/>
          <w:tab w:val="clear" w:pos="8296"/>
        </w:tabs>
      </w:pPr>
      <w:r>
        <w:fldChar w:fldCharType="begin"/>
      </w:r>
      <w:r>
        <w:instrText xml:space="preserve"> HYPERLINK \l _Toc30481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_Toc30481 </w:instrText>
      </w:r>
      <w:r>
        <w:fldChar w:fldCharType="separate"/>
      </w:r>
      <w:r>
        <w:t>6</w:t>
      </w:r>
      <w:r>
        <w:fldChar w:fldCharType="end"/>
      </w:r>
      <w:r>
        <w:fldChar w:fldCharType="end"/>
      </w:r>
    </w:p>
    <w:p>
      <w:pPr>
        <w:pStyle w:val="11"/>
        <w:tabs>
          <w:tab w:val="right" w:leader="dot" w:pos="8306"/>
          <w:tab w:val="clear" w:pos="8296"/>
        </w:tabs>
      </w:pPr>
      <w:r>
        <w:fldChar w:fldCharType="begin"/>
      </w:r>
      <w:r>
        <w:instrText xml:space="preserve"> HYPERLINK \l _Toc8210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_Toc8210 </w:instrText>
      </w:r>
      <w:r>
        <w:fldChar w:fldCharType="separate"/>
      </w:r>
      <w:r>
        <w:t>7</w:t>
      </w:r>
      <w:r>
        <w:fldChar w:fldCharType="end"/>
      </w:r>
      <w:r>
        <w:fldChar w:fldCharType="end"/>
      </w:r>
    </w:p>
    <w:p>
      <w:pPr>
        <w:pStyle w:val="11"/>
        <w:tabs>
          <w:tab w:val="right" w:leader="dot" w:pos="8306"/>
          <w:tab w:val="clear" w:pos="8296"/>
        </w:tabs>
      </w:pPr>
      <w:r>
        <w:fldChar w:fldCharType="begin"/>
      </w:r>
      <w:r>
        <w:instrText xml:space="preserve"> HYPERLINK \l _Toc6033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_Toc6033 </w:instrText>
      </w:r>
      <w:r>
        <w:fldChar w:fldCharType="separate"/>
      </w:r>
      <w:r>
        <w:t>8</w:t>
      </w:r>
      <w:r>
        <w:fldChar w:fldCharType="end"/>
      </w:r>
      <w:r>
        <w:fldChar w:fldCharType="end"/>
      </w:r>
    </w:p>
    <w:p>
      <w:pPr>
        <w:pStyle w:val="11"/>
        <w:tabs>
          <w:tab w:val="right" w:leader="dot" w:pos="8306"/>
          <w:tab w:val="clear" w:pos="8296"/>
        </w:tabs>
      </w:pPr>
      <w:r>
        <w:fldChar w:fldCharType="begin"/>
      </w:r>
      <w:r>
        <w:instrText xml:space="preserve"> HYPERLINK \l _Toc7114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_Toc7114 </w:instrText>
      </w:r>
      <w:r>
        <w:fldChar w:fldCharType="separate"/>
      </w:r>
      <w:r>
        <w:t>8</w:t>
      </w:r>
      <w:r>
        <w:fldChar w:fldCharType="end"/>
      </w:r>
      <w:r>
        <w:fldChar w:fldCharType="end"/>
      </w:r>
    </w:p>
    <w:p>
      <w:pPr>
        <w:pStyle w:val="6"/>
        <w:tabs>
          <w:tab w:val="right" w:leader="dot" w:pos="8306"/>
          <w:tab w:val="clear" w:pos="8296"/>
        </w:tabs>
      </w:pPr>
      <w:r>
        <w:fldChar w:fldCharType="begin"/>
      </w:r>
      <w:r>
        <w:instrText xml:space="preserve"> HYPERLINK \l _Toc403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_Toc403 </w:instrText>
      </w:r>
      <w:r>
        <w:fldChar w:fldCharType="separate"/>
      </w:r>
      <w:r>
        <w:t>8</w:t>
      </w:r>
      <w:r>
        <w:fldChar w:fldCharType="end"/>
      </w:r>
      <w:r>
        <w:fldChar w:fldCharType="end"/>
      </w:r>
    </w:p>
    <w:p>
      <w:pPr>
        <w:pStyle w:val="6"/>
        <w:tabs>
          <w:tab w:val="right" w:leader="dot" w:pos="8306"/>
          <w:tab w:val="clear" w:pos="8296"/>
        </w:tabs>
      </w:pPr>
      <w:r>
        <w:fldChar w:fldCharType="begin"/>
      </w:r>
      <w:r>
        <w:instrText xml:space="preserve"> HYPERLINK \l _Toc28039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_Toc28039 </w:instrText>
      </w:r>
      <w:r>
        <w:fldChar w:fldCharType="separate"/>
      </w:r>
      <w:r>
        <w:t>9</w:t>
      </w:r>
      <w:r>
        <w:fldChar w:fldCharType="end"/>
      </w:r>
      <w:r>
        <w:fldChar w:fldCharType="end"/>
      </w:r>
    </w:p>
    <w:p>
      <w:pPr>
        <w:pStyle w:val="6"/>
        <w:tabs>
          <w:tab w:val="right" w:leader="dot" w:pos="8306"/>
          <w:tab w:val="clear" w:pos="8296"/>
        </w:tabs>
      </w:pPr>
      <w:r>
        <w:fldChar w:fldCharType="begin"/>
      </w:r>
      <w:r>
        <w:instrText xml:space="preserve"> HYPERLINK \l _Toc13228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_Toc13228 </w:instrText>
      </w:r>
      <w:r>
        <w:fldChar w:fldCharType="separate"/>
      </w:r>
      <w:r>
        <w:t>9</w:t>
      </w:r>
      <w:r>
        <w:fldChar w:fldCharType="end"/>
      </w:r>
      <w:r>
        <w:fldChar w:fldCharType="end"/>
      </w:r>
    </w:p>
    <w:p>
      <w:pPr>
        <w:pStyle w:val="11"/>
        <w:tabs>
          <w:tab w:val="right" w:leader="dot" w:pos="8306"/>
          <w:tab w:val="clear" w:pos="8296"/>
        </w:tabs>
      </w:pPr>
      <w:r>
        <w:fldChar w:fldCharType="begin"/>
      </w:r>
      <w:r>
        <w:instrText xml:space="preserve"> HYPERLINK \l _Toc23828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_Toc23828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_Toc21271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_Toc21271 </w:instrText>
      </w:r>
      <w:r>
        <w:fldChar w:fldCharType="separate"/>
      </w:r>
      <w:r>
        <w:t>11</w:t>
      </w:r>
      <w:r>
        <w:fldChar w:fldCharType="end"/>
      </w:r>
      <w:r>
        <w:fldChar w:fldCharType="end"/>
      </w:r>
    </w:p>
    <w:p>
      <w:pPr>
        <w:pStyle w:val="6"/>
        <w:tabs>
          <w:tab w:val="right" w:leader="dot" w:pos="8306"/>
          <w:tab w:val="clear" w:pos="8296"/>
        </w:tabs>
      </w:pPr>
      <w:r>
        <w:fldChar w:fldCharType="begin"/>
      </w:r>
      <w:r>
        <w:instrText xml:space="preserve"> HYPERLINK \l _Toc3853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_Toc3853 </w:instrText>
      </w:r>
      <w:r>
        <w:fldChar w:fldCharType="separate"/>
      </w:r>
      <w:r>
        <w:t>11</w:t>
      </w:r>
      <w:r>
        <w:fldChar w:fldCharType="end"/>
      </w:r>
      <w:r>
        <w:fldChar w:fldCharType="end"/>
      </w:r>
    </w:p>
    <w:p>
      <w:pPr>
        <w:pStyle w:val="6"/>
        <w:tabs>
          <w:tab w:val="right" w:leader="dot" w:pos="8306"/>
          <w:tab w:val="clear" w:pos="8296"/>
        </w:tabs>
      </w:pPr>
      <w:r>
        <w:fldChar w:fldCharType="begin"/>
      </w:r>
      <w:r>
        <w:instrText xml:space="preserve"> HYPERLINK \l _Toc19034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_Toc19034 </w:instrText>
      </w:r>
      <w:r>
        <w:fldChar w:fldCharType="separate"/>
      </w:r>
      <w:r>
        <w:t>11</w:t>
      </w:r>
      <w:r>
        <w:fldChar w:fldCharType="end"/>
      </w:r>
      <w:r>
        <w:fldChar w:fldCharType="end"/>
      </w:r>
    </w:p>
    <w:p>
      <w:pPr>
        <w:pStyle w:val="11"/>
        <w:tabs>
          <w:tab w:val="right" w:leader="dot" w:pos="8306"/>
          <w:tab w:val="clear" w:pos="8296"/>
        </w:tabs>
      </w:pPr>
      <w:r>
        <w:fldChar w:fldCharType="begin"/>
      </w:r>
      <w:r>
        <w:instrText xml:space="preserve"> HYPERLINK \l _Toc12120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_Toc12120 </w:instrText>
      </w:r>
      <w:r>
        <w:fldChar w:fldCharType="separate"/>
      </w:r>
      <w:r>
        <w:t>12</w:t>
      </w:r>
      <w:r>
        <w:fldChar w:fldCharType="end"/>
      </w:r>
      <w:r>
        <w:fldChar w:fldCharType="end"/>
      </w:r>
    </w:p>
    <w:p>
      <w:pPr>
        <w:pStyle w:val="11"/>
        <w:tabs>
          <w:tab w:val="right" w:leader="dot" w:pos="8306"/>
          <w:tab w:val="clear" w:pos="8296"/>
        </w:tabs>
      </w:pPr>
      <w:r>
        <w:fldChar w:fldCharType="begin"/>
      </w:r>
      <w:r>
        <w:instrText xml:space="preserve"> HYPERLINK \l _Toc20062 </w:instrText>
      </w:r>
      <w:r>
        <w:fldChar w:fldCharType="separate"/>
      </w:r>
      <w:r>
        <w:rPr>
          <w:rFonts w:hint="eastAsia" w:ascii="黑体" w:hAnsi="黑体" w:eastAsia="黑体"/>
        </w:rPr>
        <w:t>九、 国有资本经营预算支出决算情况说明</w:t>
      </w:r>
      <w:r>
        <w:tab/>
      </w:r>
      <w:r>
        <w:fldChar w:fldCharType="begin"/>
      </w:r>
      <w:r>
        <w:instrText xml:space="preserve"> PAGEREF _Toc20062 </w:instrText>
      </w:r>
      <w:r>
        <w:fldChar w:fldCharType="separate"/>
      </w:r>
      <w:r>
        <w:t>13</w:t>
      </w:r>
      <w:r>
        <w:fldChar w:fldCharType="end"/>
      </w:r>
      <w:r>
        <w:fldChar w:fldCharType="end"/>
      </w:r>
    </w:p>
    <w:p>
      <w:pPr>
        <w:pStyle w:val="11"/>
        <w:tabs>
          <w:tab w:val="right" w:leader="dot" w:pos="8306"/>
          <w:tab w:val="clear" w:pos="8296"/>
        </w:tabs>
      </w:pPr>
      <w:r>
        <w:fldChar w:fldCharType="begin"/>
      </w:r>
      <w:r>
        <w:instrText xml:space="preserve"> HYPERLINK \l _Toc3899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_Toc3899 </w:instrText>
      </w:r>
      <w:r>
        <w:fldChar w:fldCharType="separate"/>
      </w:r>
      <w:r>
        <w:t>13</w:t>
      </w:r>
      <w:r>
        <w:fldChar w:fldCharType="end"/>
      </w:r>
      <w:r>
        <w:fldChar w:fldCharType="end"/>
      </w:r>
    </w:p>
    <w:p>
      <w:pPr>
        <w:pStyle w:val="6"/>
        <w:tabs>
          <w:tab w:val="right" w:leader="dot" w:pos="8306"/>
          <w:tab w:val="clear" w:pos="8296"/>
        </w:tabs>
      </w:pPr>
      <w:r>
        <w:fldChar w:fldCharType="begin"/>
      </w:r>
      <w:r>
        <w:instrText xml:space="preserve"> HYPERLINK \l _Toc6927 </w:instrText>
      </w:r>
      <w:r>
        <w:fldChar w:fldCharType="separate"/>
      </w:r>
      <w:r>
        <w:rPr>
          <w:rFonts w:hint="eastAsia" w:ascii="仿宋" w:hAnsi="仿宋" w:eastAsia="仿宋"/>
          <w:szCs w:val="32"/>
        </w:rPr>
        <w:t>（一）机关运行经费支出情况</w:t>
      </w:r>
      <w:r>
        <w:tab/>
      </w:r>
      <w:r>
        <w:fldChar w:fldCharType="begin"/>
      </w:r>
      <w:r>
        <w:instrText xml:space="preserve"> PAGEREF _Toc6927 </w:instrText>
      </w:r>
      <w:r>
        <w:fldChar w:fldCharType="separate"/>
      </w:r>
      <w:r>
        <w:t>13</w:t>
      </w:r>
      <w:r>
        <w:fldChar w:fldCharType="end"/>
      </w:r>
      <w:r>
        <w:fldChar w:fldCharType="end"/>
      </w:r>
    </w:p>
    <w:p>
      <w:pPr>
        <w:pStyle w:val="6"/>
        <w:tabs>
          <w:tab w:val="right" w:leader="dot" w:pos="8306"/>
          <w:tab w:val="clear" w:pos="8296"/>
        </w:tabs>
      </w:pPr>
      <w:r>
        <w:fldChar w:fldCharType="begin"/>
      </w:r>
      <w:r>
        <w:instrText xml:space="preserve"> HYPERLINK \l _Toc21441 </w:instrText>
      </w:r>
      <w:r>
        <w:fldChar w:fldCharType="separate"/>
      </w:r>
      <w:r>
        <w:rPr>
          <w:rFonts w:hint="eastAsia" w:ascii="仿宋" w:hAnsi="仿宋" w:eastAsia="仿宋"/>
          <w:szCs w:val="32"/>
        </w:rPr>
        <w:t>（二）政府采购支出情况</w:t>
      </w:r>
      <w:r>
        <w:tab/>
      </w:r>
      <w:r>
        <w:fldChar w:fldCharType="begin"/>
      </w:r>
      <w:r>
        <w:instrText xml:space="preserve"> PAGEREF _Toc21441 </w:instrText>
      </w:r>
      <w:r>
        <w:fldChar w:fldCharType="separate"/>
      </w:r>
      <w:r>
        <w:t>13</w:t>
      </w:r>
      <w:r>
        <w:fldChar w:fldCharType="end"/>
      </w:r>
      <w:r>
        <w:fldChar w:fldCharType="end"/>
      </w:r>
    </w:p>
    <w:p>
      <w:pPr>
        <w:pStyle w:val="6"/>
        <w:tabs>
          <w:tab w:val="right" w:leader="dot" w:pos="8306"/>
          <w:tab w:val="clear" w:pos="8296"/>
        </w:tabs>
      </w:pPr>
      <w:r>
        <w:fldChar w:fldCharType="begin"/>
      </w:r>
      <w:r>
        <w:instrText xml:space="preserve"> HYPERLINK \l _Toc301 </w:instrText>
      </w:r>
      <w:r>
        <w:fldChar w:fldCharType="separate"/>
      </w:r>
      <w:r>
        <w:rPr>
          <w:rFonts w:hint="eastAsia" w:ascii="仿宋" w:hAnsi="仿宋" w:eastAsia="仿宋"/>
          <w:szCs w:val="32"/>
        </w:rPr>
        <w:t>（三）国有资产占有使用情况</w:t>
      </w:r>
      <w:r>
        <w:tab/>
      </w:r>
      <w:r>
        <w:fldChar w:fldCharType="begin"/>
      </w:r>
      <w:r>
        <w:instrText xml:space="preserve"> PAGEREF _Toc301 </w:instrText>
      </w:r>
      <w:r>
        <w:fldChar w:fldCharType="separate"/>
      </w:r>
      <w:r>
        <w:t>13</w:t>
      </w:r>
      <w:r>
        <w:fldChar w:fldCharType="end"/>
      </w:r>
      <w:r>
        <w:fldChar w:fldCharType="end"/>
      </w:r>
    </w:p>
    <w:p>
      <w:pPr>
        <w:pStyle w:val="6"/>
        <w:tabs>
          <w:tab w:val="right" w:leader="dot" w:pos="8306"/>
          <w:tab w:val="clear" w:pos="8296"/>
        </w:tabs>
      </w:pPr>
      <w:r>
        <w:fldChar w:fldCharType="begin"/>
      </w:r>
      <w:r>
        <w:instrText xml:space="preserve"> HYPERLINK \l _Toc9906 </w:instrText>
      </w:r>
      <w:r>
        <w:fldChar w:fldCharType="separate"/>
      </w:r>
      <w:r>
        <w:rPr>
          <w:rFonts w:hint="eastAsia" w:ascii="仿宋" w:hAnsi="仿宋" w:eastAsia="仿宋"/>
          <w:szCs w:val="32"/>
        </w:rPr>
        <w:t>（四）预算绩效管理情况。</w:t>
      </w:r>
      <w:r>
        <w:tab/>
      </w:r>
      <w:r>
        <w:fldChar w:fldCharType="begin"/>
      </w:r>
      <w:r>
        <w:instrText xml:space="preserve"> PAGEREF _Toc9906 </w:instrText>
      </w:r>
      <w:r>
        <w:fldChar w:fldCharType="separate"/>
      </w:r>
      <w:r>
        <w:t>13</w:t>
      </w:r>
      <w:r>
        <w:fldChar w:fldCharType="end"/>
      </w:r>
      <w:r>
        <w:fldChar w:fldCharType="end"/>
      </w:r>
    </w:p>
    <w:p>
      <w:pPr>
        <w:pStyle w:val="10"/>
        <w:tabs>
          <w:tab w:val="right" w:leader="dot" w:pos="8306"/>
          <w:tab w:val="clear" w:pos="8296"/>
        </w:tabs>
      </w:pPr>
      <w:r>
        <w:fldChar w:fldCharType="begin"/>
      </w:r>
      <w:r>
        <w:instrText xml:space="preserve"> HYPERLINK \l _Toc19112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_Toc19112 </w:instrText>
      </w:r>
      <w:r>
        <w:fldChar w:fldCharType="separate"/>
      </w:r>
      <w:r>
        <w:t>17</w:t>
      </w:r>
      <w:r>
        <w:fldChar w:fldCharType="end"/>
      </w:r>
      <w:r>
        <w:fldChar w:fldCharType="end"/>
      </w:r>
    </w:p>
    <w:p>
      <w:pPr>
        <w:pStyle w:val="10"/>
        <w:tabs>
          <w:tab w:val="right" w:leader="dot" w:pos="8306"/>
          <w:tab w:val="clear" w:pos="8296"/>
        </w:tabs>
      </w:pPr>
      <w:r>
        <w:fldChar w:fldCharType="begin"/>
      </w:r>
      <w:r>
        <w:instrText xml:space="preserve"> HYPERLINK \l _Toc4583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_Toc4583 </w:instrText>
      </w:r>
      <w:r>
        <w:fldChar w:fldCharType="separate"/>
      </w:r>
      <w:r>
        <w:t>19</w:t>
      </w:r>
      <w:r>
        <w:fldChar w:fldCharType="end"/>
      </w:r>
      <w:r>
        <w:fldChar w:fldCharType="end"/>
      </w:r>
    </w:p>
    <w:p>
      <w:pPr>
        <w:pStyle w:val="10"/>
        <w:tabs>
          <w:tab w:val="right" w:leader="dot" w:pos="8306"/>
          <w:tab w:val="clear" w:pos="8296"/>
        </w:tabs>
      </w:pPr>
      <w:r>
        <w:fldChar w:fldCharType="begin"/>
      </w:r>
      <w:r>
        <w:instrText xml:space="preserve"> HYPERLINK \l _Toc3306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_Toc3306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_Toc3047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_Toc3047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_Toc23470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_Toc23470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_Toc20240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_Toc20240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_Toc12789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_Toc12789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_Toc25243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_Toc25243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_Toc21340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_Toc21340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_Toc3307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_Toc3307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_Toc16628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_Toc16628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_Toc13864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_Toc13864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_Toc18516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_Toc18516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_Toc2921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_Toc2921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_Toc10377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_Toc10377 </w:instrText>
      </w:r>
      <w:r>
        <w:fldChar w:fldCharType="separate"/>
      </w:r>
      <w:r>
        <w:t>25</w:t>
      </w:r>
      <w:r>
        <w:fldChar w:fldCharType="end"/>
      </w:r>
      <w:r>
        <w:fldChar w:fldCharType="end"/>
      </w:r>
    </w:p>
    <w:p>
      <w:pPr>
        <w:pStyle w:val="11"/>
        <w:tabs>
          <w:tab w:val="right" w:leader="dot" w:pos="8306"/>
          <w:tab w:val="clear" w:pos="8296"/>
        </w:tabs>
      </w:pPr>
      <w:r>
        <w:fldChar w:fldCharType="begin"/>
      </w:r>
      <w:r>
        <w:instrText xml:space="preserve"> HYPERLINK \l _Toc25725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_Toc25725 </w:instrText>
      </w:r>
      <w:r>
        <w:fldChar w:fldCharType="separate"/>
      </w:r>
      <w:r>
        <w:t>25</w:t>
      </w:r>
      <w:r>
        <w:fldChar w:fldCharType="end"/>
      </w:r>
      <w:r>
        <w:fldChar w:fldCharType="end"/>
      </w:r>
    </w:p>
    <w:p>
      <w:pPr>
        <w:pageBreakBefore w:val="0"/>
        <w:kinsoku/>
        <w:wordWrap/>
        <w:overflowPunct/>
        <w:topLinePunct w:val="0"/>
        <w:bidi w:val="0"/>
        <w:spacing w:line="560" w:lineRule="exact"/>
      </w:pPr>
      <w:r>
        <w:fldChar w:fldCharType="end"/>
      </w: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ageBreakBefore w:val="0"/>
        <w:kinsoku/>
        <w:wordWrap/>
        <w:overflowPunct/>
        <w:topLinePunct w:val="0"/>
        <w:bidi w:val="0"/>
        <w:spacing w:line="560" w:lineRule="exact"/>
      </w:pPr>
    </w:p>
    <w:p>
      <w:pPr>
        <w:pStyle w:val="2"/>
        <w:jc w:val="center"/>
        <w:rPr>
          <w:rFonts w:ascii="黑体" w:eastAsia="黑体"/>
          <w:color w:val="000000"/>
          <w:sz w:val="32"/>
          <w:szCs w:val="32"/>
        </w:rPr>
      </w:pPr>
      <w:bookmarkStart w:id="16" w:name="_Toc32333"/>
      <w:r>
        <w:rPr>
          <w:rFonts w:hint="eastAsia" w:ascii="黑体" w:hAnsi="黑体" w:eastAsia="黑体"/>
          <w:b w:val="0"/>
        </w:rPr>
        <w:t xml:space="preserve">第一部分 </w:t>
      </w:r>
      <w:r>
        <w:rPr>
          <w:rStyle w:val="24"/>
          <w:rFonts w:hint="eastAsia" w:ascii="黑体" w:hAnsi="黑体" w:eastAsia="黑体"/>
          <w:b w:val="0"/>
          <w:bCs w:val="0"/>
        </w:rPr>
        <w:t>部门概况</w:t>
      </w:r>
      <w:bookmarkEnd w:id="14"/>
      <w:bookmarkEnd w:id="15"/>
      <w:bookmarkEnd w:id="16"/>
    </w:p>
    <w:p>
      <w:pPr>
        <w:pStyle w:val="3"/>
        <w:rPr>
          <w:rStyle w:val="25"/>
          <w:rFonts w:ascii="仿宋" w:hAnsi="仿宋" w:eastAsia="仿宋"/>
          <w:b w:val="0"/>
          <w:bCs w:val="0"/>
        </w:rPr>
      </w:pPr>
      <w:bookmarkStart w:id="17" w:name="_Toc15396600"/>
      <w:bookmarkStart w:id="18" w:name="_Toc15377197"/>
      <w:bookmarkStart w:id="19" w:name="_Toc4876"/>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15378445"/>
      <w:bookmarkStart w:id="21" w:name="_Toc15377198"/>
      <w:bookmarkStart w:id="22" w:name="_Toc26377"/>
      <w:r>
        <w:rPr>
          <w:rFonts w:hint="eastAsia" w:ascii="仿宋" w:hAnsi="仿宋" w:eastAsia="仿宋"/>
          <w:bCs/>
          <w:color w:val="000000"/>
          <w:sz w:val="32"/>
          <w:szCs w:val="32"/>
        </w:rPr>
        <w:t>（一）主要职能。</w:t>
      </w:r>
      <w:bookmarkEnd w:id="20"/>
      <w:bookmarkEnd w:id="21"/>
      <w:bookmarkEnd w:id="22"/>
    </w:p>
    <w:p>
      <w:pPr>
        <w:pStyle w:val="5"/>
        <w:keepNext w:val="0"/>
        <w:keepLines w:val="0"/>
        <w:pageBreakBefore w:val="0"/>
        <w:kinsoku/>
        <w:wordWrap/>
        <w:overflowPunct/>
        <w:topLinePunct w:val="0"/>
        <w:autoSpaceDE/>
        <w:bidi w:val="0"/>
        <w:adjustRightInd w:val="0"/>
        <w:snapToGrid w:val="0"/>
        <w:spacing w:before="93" w:beforeAutospacing="0" w:afterAutospacing="0" w:line="560" w:lineRule="exact"/>
        <w:ind w:firstLine="640" w:firstLineChars="200"/>
        <w:jc w:val="both"/>
        <w:rPr>
          <w:rFonts w:hint="eastAsia" w:ascii="仿宋" w:hAnsi="仿宋" w:eastAsia="仿宋"/>
          <w:bCs/>
          <w:color w:val="000000"/>
          <w:sz w:val="32"/>
          <w:szCs w:val="32"/>
        </w:rPr>
      </w:pPr>
      <w:bookmarkStart w:id="23" w:name="_Toc15378446"/>
      <w:bookmarkStart w:id="24" w:name="_Toc15377199"/>
      <w:r>
        <w:rPr>
          <w:rFonts w:hint="eastAsia" w:ascii="仿宋" w:hAnsi="仿宋" w:eastAsia="仿宋" w:cs="仿宋"/>
          <w:b w:val="0"/>
          <w:bCs/>
          <w:color w:val="000000"/>
          <w:sz w:val="32"/>
          <w:szCs w:val="32"/>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5" w:name="_Toc29332"/>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3"/>
      <w:bookmarkEnd w:id="24"/>
      <w:bookmarkEnd w:id="2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6" w:name="_Toc16093"/>
      <w:r>
        <w:rPr>
          <w:rFonts w:hint="eastAsia" w:ascii="仿宋" w:hAnsi="仿宋" w:eastAsia="仿宋" w:cs="仿宋"/>
          <w:sz w:val="32"/>
          <w:szCs w:val="32"/>
          <w:lang w:val="en-US" w:eastAsia="zh-CN"/>
        </w:rPr>
        <w:t>完成中国共产党阿坝州执政实录县级资料上报工作；完成</w:t>
      </w:r>
      <w:r>
        <w:rPr>
          <w:rFonts w:hint="eastAsia" w:ascii="仿宋" w:hAnsi="仿宋" w:eastAsia="仿宋" w:cs="仿宋"/>
          <w:sz w:val="32"/>
          <w:szCs w:val="32"/>
        </w:rPr>
        <w:t>《中国共产党红原执政实录（201</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eastAsia="zh-CN"/>
        </w:rPr>
        <w:t>资料征集和编纂出版；</w:t>
      </w:r>
      <w:r>
        <w:rPr>
          <w:rFonts w:hint="eastAsia" w:ascii="仿宋" w:hAnsi="仿宋" w:eastAsia="仿宋" w:cs="仿宋"/>
          <w:sz w:val="32"/>
          <w:szCs w:val="32"/>
          <w:lang w:val="en-US" w:eastAsia="zh-CN"/>
        </w:rPr>
        <w:t>完成</w:t>
      </w:r>
      <w:r>
        <w:rPr>
          <w:rFonts w:hint="eastAsia" w:ascii="仿宋" w:hAnsi="仿宋" w:eastAsia="仿宋" w:cs="仿宋"/>
          <w:sz w:val="32"/>
          <w:szCs w:val="32"/>
        </w:rPr>
        <w:t>口述历史</w:t>
      </w:r>
      <w:r>
        <w:rPr>
          <w:rFonts w:hint="eastAsia" w:ascii="仿宋" w:hAnsi="仿宋" w:eastAsia="仿宋" w:cs="仿宋"/>
          <w:sz w:val="32"/>
          <w:szCs w:val="32"/>
          <w:lang w:eastAsia="zh-CN"/>
        </w:rPr>
        <w:t>纪录片《因为信仰，所以纯真</w:t>
      </w:r>
      <w:r>
        <w:rPr>
          <w:rFonts w:hint="eastAsia" w:ascii="仿宋" w:hAnsi="仿宋" w:eastAsia="仿宋" w:cs="仿宋"/>
          <w:sz w:val="32"/>
          <w:szCs w:val="32"/>
          <w:lang w:val="en-US" w:eastAsia="zh-CN"/>
        </w:rPr>
        <w:t>-红原牦牛乳业</w:t>
      </w:r>
      <w:r>
        <w:rPr>
          <w:rFonts w:hint="eastAsia" w:ascii="仿宋" w:hAnsi="仿宋" w:eastAsia="仿宋" w:cs="仿宋"/>
          <w:sz w:val="32"/>
          <w:szCs w:val="32"/>
          <w:lang w:eastAsia="zh-CN"/>
        </w:rPr>
        <w:t>》</w:t>
      </w:r>
      <w:r>
        <w:rPr>
          <w:rFonts w:hint="eastAsia" w:ascii="仿宋" w:hAnsi="仿宋" w:eastAsia="仿宋" w:cs="仿宋"/>
          <w:sz w:val="32"/>
          <w:szCs w:val="32"/>
        </w:rPr>
        <w:t>拍摄</w:t>
      </w:r>
      <w:r>
        <w:rPr>
          <w:rFonts w:hint="eastAsia" w:ascii="仿宋" w:hAnsi="仿宋" w:eastAsia="仿宋" w:cs="仿宋"/>
          <w:sz w:val="32"/>
          <w:szCs w:val="32"/>
          <w:lang w:eastAsia="zh-CN"/>
        </w:rPr>
        <w:t>制作</w:t>
      </w:r>
      <w:r>
        <w:rPr>
          <w:rFonts w:hint="eastAsia" w:ascii="仿宋" w:hAnsi="仿宋" w:eastAsia="仿宋" w:cs="仿宋"/>
          <w:sz w:val="32"/>
          <w:szCs w:val="32"/>
          <w:lang w:val="en-US" w:eastAsia="zh-CN"/>
        </w:rPr>
        <w:t>；完成资政报告《夏季雅克音乐季民俗文化集成》；深入开展口述历史“七进”活动，在“不忘初心、牢记使命”主题教育中，组织观看《红色印记》《藏族老红军-天宝》《红色草原》《英雄扎江》等6部口述历史片，为教育系统提供《历史的记忆和谐的家园（2017-2018）》口述历史片12套，在全县中小学校播放我州年度优秀口述历史片，在政府信息网站、红原电视台展播口述片《牧琴弦歌》。2019年度口述历史片《因为信仰所以纯真-红原牦牛乳业》围绕我县红原牦牛乳业的创立、技术改造、品牌树立等故事，通过口述方式,真实再现了在党委政府大力支持下，红原乳品企业把鲜牛奶资源转变成为名优商品，帮助牧民脱贫致富的艰辛发展历程。</w:t>
      </w:r>
      <w:bookmarkEnd w:id="26"/>
    </w:p>
    <w:p>
      <w:pPr>
        <w:pStyle w:val="3"/>
        <w:rPr>
          <w:rStyle w:val="25"/>
          <w:b w:val="0"/>
          <w:bCs w:val="0"/>
        </w:rPr>
      </w:pPr>
      <w:bookmarkStart w:id="27" w:name="_Toc15396601"/>
      <w:bookmarkStart w:id="28" w:name="_Toc15377200"/>
      <w:bookmarkStart w:id="29" w:name="_Toc15609"/>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7"/>
      <w:bookmarkEnd w:id="28"/>
      <w:bookmarkEnd w:id="29"/>
    </w:p>
    <w:p>
      <w:pPr>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本单位是一级预算单位。实行独立的预算制度下设有3个机构。编制8人在职</w:t>
      </w:r>
      <w:r>
        <w:rPr>
          <w:rFonts w:hint="eastAsia" w:ascii="仿宋" w:hAnsi="仿宋" w:eastAsia="仿宋" w:cs="仿宋"/>
          <w:sz w:val="32"/>
          <w:szCs w:val="32"/>
          <w:lang w:val="en-US" w:eastAsia="zh-CN"/>
        </w:rPr>
        <w:t>6</w:t>
      </w:r>
      <w:r>
        <w:rPr>
          <w:rFonts w:hint="eastAsia" w:ascii="仿宋" w:hAnsi="仿宋" w:eastAsia="仿宋" w:cs="仿宋"/>
          <w:sz w:val="32"/>
          <w:szCs w:val="32"/>
        </w:rPr>
        <w:t>人，退休2人</w:t>
      </w:r>
      <w:r>
        <w:rPr>
          <w:rFonts w:hint="eastAsia" w:ascii="仿宋" w:hAnsi="仿宋" w:eastAsia="仿宋" w:cs="仿宋"/>
          <w:sz w:val="32"/>
          <w:szCs w:val="32"/>
          <w:lang w:val="en-US" w:eastAsia="zh-CN"/>
        </w:rPr>
        <w:t>。2018年在职8人2019年调出2人。</w:t>
      </w: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2"/>
        <w:ind w:right="440"/>
        <w:jc w:val="right"/>
      </w:pPr>
      <w:bookmarkStart w:id="30" w:name="_Toc15396602"/>
      <w:bookmarkStart w:id="31" w:name="_Toc15377204"/>
      <w:bookmarkStart w:id="32" w:name="_Toc19117"/>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30"/>
      <w:bookmarkEnd w:id="31"/>
      <w:bookmarkEnd w:id="32"/>
    </w:p>
    <w:p>
      <w:pPr>
        <w:pStyle w:val="23"/>
        <w:numPr>
          <w:ilvl w:val="0"/>
          <w:numId w:val="1"/>
        </w:numPr>
        <w:spacing w:line="600" w:lineRule="exact"/>
        <w:ind w:firstLineChars="0"/>
        <w:outlineLvl w:val="1"/>
        <w:rPr>
          <w:rStyle w:val="25"/>
          <w:rFonts w:ascii="黑体" w:hAnsi="黑体" w:eastAsia="黑体"/>
          <w:b w:val="0"/>
        </w:rPr>
      </w:pPr>
      <w:bookmarkStart w:id="33" w:name="_Toc13988"/>
      <w:bookmarkStart w:id="34" w:name="_Toc15396603"/>
      <w:bookmarkStart w:id="3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3"/>
      <w:bookmarkEnd w:id="34"/>
      <w:bookmarkEnd w:id="35"/>
    </w:p>
    <w:p>
      <w:pPr>
        <w:pStyle w:val="2"/>
        <w:keepNext/>
        <w:keepLines/>
        <w:pageBreakBefore w:val="0"/>
        <w:widowControl w:val="0"/>
        <w:numPr>
          <w:ilvl w:val="0"/>
          <w:numId w:val="0"/>
        </w:numPr>
        <w:kinsoku/>
        <w:wordWrap/>
        <w:overflowPunct/>
        <w:topLinePunct w:val="0"/>
        <w:autoSpaceDE/>
        <w:autoSpaceDN/>
        <w:bidi w:val="0"/>
        <w:adjustRightInd/>
        <w:snapToGrid/>
        <w:spacing w:line="560" w:lineRule="exact"/>
        <w:ind w:right="442" w:rightChars="0" w:firstLine="723" w:firstLineChars="200"/>
        <w:jc w:val="both"/>
        <w:textAlignment w:val="auto"/>
        <w:rPr>
          <w:rFonts w:hint="eastAsia" w:ascii="仿宋" w:hAnsi="仿宋" w:eastAsia="仿宋" w:cs="仿宋"/>
          <w:b w:val="0"/>
          <w:bCs w:val="0"/>
          <w:color w:val="000000"/>
          <w:sz w:val="32"/>
          <w:szCs w:val="32"/>
          <w:lang w:val="en-US" w:eastAsia="zh-CN"/>
        </w:rPr>
      </w:pPr>
      <w:bookmarkStart w:id="36" w:name="_Toc16135"/>
      <w:bookmarkStart w:id="37" w:name="_Toc10498"/>
      <w:bookmarkStart w:id="38" w:name="_Toc27637"/>
      <w:r>
        <w:rPr>
          <w:rFonts w:hint="eastAsia" w:asciiTheme="minorEastAsia" w:hAnsiTheme="minorEastAsia" w:eastAsiaTheme="minorEastAsia" w:cstheme="minorEastAsia"/>
          <w:color w:val="000000"/>
          <w:sz w:val="36"/>
          <w:szCs w:val="36"/>
          <w:lang w:eastAsia="zh-CN"/>
        </w:rPr>
        <w:drawing>
          <wp:anchor distT="0" distB="0" distL="114300" distR="114300" simplePos="0" relativeHeight="251687936" behindDoc="0" locked="0" layoutInCell="1" allowOverlap="1">
            <wp:simplePos x="0" y="0"/>
            <wp:positionH relativeFrom="column">
              <wp:posOffset>937895</wp:posOffset>
            </wp:positionH>
            <wp:positionV relativeFrom="paragraph">
              <wp:posOffset>2383155</wp:posOffset>
            </wp:positionV>
            <wp:extent cx="3173095" cy="2651760"/>
            <wp:effectExtent l="0" t="0" r="8255" b="15240"/>
            <wp:wrapTopAndBottom/>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6"/>
                    <a:stretch>
                      <a:fillRect/>
                    </a:stretch>
                  </pic:blipFill>
                  <pic:spPr>
                    <a:xfrm>
                      <a:off x="0" y="0"/>
                      <a:ext cx="3173095" cy="2651760"/>
                    </a:xfrm>
                    <a:prstGeom prst="rect">
                      <a:avLst/>
                    </a:prstGeom>
                  </pic:spPr>
                </pic:pic>
              </a:graphicData>
            </a:graphic>
          </wp:anchor>
        </w:drawing>
      </w:r>
      <w:r>
        <w:rPr>
          <w:rFonts w:hint="eastAsia" w:ascii="仿宋" w:hAnsi="仿宋" w:eastAsia="仿宋" w:cs="仿宋"/>
          <w:b w:val="0"/>
          <w:bCs w:val="0"/>
          <w:color w:val="000000"/>
          <w:sz w:val="32"/>
          <w:szCs w:val="32"/>
        </w:rPr>
        <w:t>2019年度</w:t>
      </w:r>
      <w:r>
        <w:rPr>
          <w:rFonts w:hint="eastAsia" w:ascii="仿宋" w:hAnsi="仿宋" w:eastAsia="仿宋" w:cs="仿宋"/>
          <w:b w:val="0"/>
          <w:bCs w:val="0"/>
          <w:color w:val="000000"/>
          <w:sz w:val="32"/>
          <w:szCs w:val="32"/>
          <w:lang w:eastAsia="zh-CN"/>
        </w:rPr>
        <w:t>财政拨款收入总计</w:t>
      </w:r>
      <w:r>
        <w:rPr>
          <w:rFonts w:hint="eastAsia" w:ascii="仿宋" w:hAnsi="仿宋" w:eastAsia="仿宋" w:cs="仿宋"/>
          <w:b w:val="0"/>
          <w:bCs w:val="0"/>
          <w:color w:val="000000"/>
          <w:sz w:val="32"/>
          <w:szCs w:val="32"/>
          <w:lang w:val="en-US" w:eastAsia="zh-CN"/>
        </w:rPr>
        <w:t>154.12万元</w:t>
      </w:r>
      <w:r>
        <w:rPr>
          <w:rFonts w:hint="eastAsia" w:ascii="仿宋" w:hAnsi="仿宋" w:eastAsia="仿宋" w:cs="仿宋"/>
          <w:b w:val="0"/>
          <w:bCs w:val="0"/>
          <w:color w:val="000000"/>
          <w:sz w:val="32"/>
          <w:szCs w:val="32"/>
        </w:rPr>
        <w:t>、支</w:t>
      </w:r>
      <w:r>
        <w:rPr>
          <w:rFonts w:hint="eastAsia" w:ascii="仿宋" w:hAnsi="仿宋" w:eastAsia="仿宋" w:cs="仿宋"/>
          <w:b w:val="0"/>
          <w:bCs w:val="0"/>
          <w:color w:val="000000"/>
          <w:sz w:val="32"/>
          <w:szCs w:val="32"/>
          <w:lang w:eastAsia="zh-CN"/>
        </w:rPr>
        <w:t>出</w:t>
      </w:r>
      <w:r>
        <w:rPr>
          <w:rFonts w:hint="eastAsia" w:ascii="仿宋" w:hAnsi="仿宋" w:eastAsia="仿宋" w:cs="仿宋"/>
          <w:b w:val="0"/>
          <w:bCs w:val="0"/>
          <w:color w:val="000000"/>
          <w:sz w:val="32"/>
          <w:szCs w:val="32"/>
        </w:rPr>
        <w:t>总计</w:t>
      </w:r>
      <w:r>
        <w:rPr>
          <w:rFonts w:hint="eastAsia" w:ascii="仿宋" w:hAnsi="仿宋" w:eastAsia="仿宋" w:cs="仿宋"/>
          <w:b w:val="0"/>
          <w:bCs w:val="0"/>
          <w:color w:val="000000"/>
          <w:sz w:val="32"/>
          <w:szCs w:val="32"/>
          <w:lang w:val="en-US" w:eastAsia="zh-CN"/>
        </w:rPr>
        <w:t>155.87</w:t>
      </w:r>
      <w:r>
        <w:rPr>
          <w:rFonts w:hint="eastAsia" w:ascii="仿宋" w:hAnsi="仿宋" w:eastAsia="仿宋" w:cs="仿宋"/>
          <w:b w:val="0"/>
          <w:bCs w:val="0"/>
          <w:color w:val="000000"/>
          <w:sz w:val="32"/>
          <w:szCs w:val="32"/>
        </w:rPr>
        <w:t>万元。与2018年相比，收</w:t>
      </w:r>
      <w:r>
        <w:rPr>
          <w:rFonts w:hint="eastAsia" w:ascii="仿宋" w:hAnsi="仿宋" w:eastAsia="仿宋" w:cs="仿宋"/>
          <w:b w:val="0"/>
          <w:bCs w:val="0"/>
          <w:color w:val="000000"/>
          <w:sz w:val="32"/>
          <w:szCs w:val="32"/>
          <w:lang w:eastAsia="zh-CN"/>
        </w:rPr>
        <w:t>入增加</w:t>
      </w:r>
      <w:r>
        <w:rPr>
          <w:rFonts w:hint="eastAsia" w:ascii="仿宋" w:hAnsi="仿宋" w:eastAsia="仿宋" w:cs="仿宋"/>
          <w:b w:val="0"/>
          <w:bCs w:val="0"/>
          <w:color w:val="000000"/>
          <w:sz w:val="32"/>
          <w:szCs w:val="32"/>
          <w:lang w:val="en-US" w:eastAsia="zh-CN"/>
        </w:rPr>
        <w:t>0.3万元</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主要变动原因是工资福利增加、</w:t>
      </w:r>
      <w:r>
        <w:rPr>
          <w:rFonts w:hint="eastAsia" w:ascii="仿宋" w:hAnsi="仿宋" w:eastAsia="仿宋" w:cs="仿宋"/>
          <w:b w:val="0"/>
          <w:bCs w:val="0"/>
          <w:color w:val="000000"/>
          <w:sz w:val="32"/>
          <w:szCs w:val="32"/>
        </w:rPr>
        <w:t>支</w:t>
      </w:r>
      <w:r>
        <w:rPr>
          <w:rFonts w:hint="eastAsia" w:ascii="仿宋" w:hAnsi="仿宋" w:eastAsia="仿宋" w:cs="仿宋"/>
          <w:b w:val="0"/>
          <w:bCs w:val="0"/>
          <w:color w:val="000000"/>
          <w:sz w:val="32"/>
          <w:szCs w:val="32"/>
          <w:lang w:eastAsia="zh-CN"/>
        </w:rPr>
        <w:t>出减少</w:t>
      </w:r>
      <w:r>
        <w:rPr>
          <w:rFonts w:hint="eastAsia" w:ascii="仿宋" w:hAnsi="仿宋" w:eastAsia="仿宋" w:cs="仿宋"/>
          <w:b w:val="0"/>
          <w:bCs w:val="0"/>
          <w:color w:val="000000"/>
          <w:sz w:val="32"/>
          <w:szCs w:val="32"/>
          <w:lang w:val="en-US" w:eastAsia="zh-CN"/>
        </w:rPr>
        <w:t>48.39万</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收入</w:t>
      </w:r>
      <w:r>
        <w:rPr>
          <w:rFonts w:hint="eastAsia" w:ascii="仿宋" w:hAnsi="仿宋" w:eastAsia="仿宋" w:cs="仿宋"/>
          <w:b w:val="0"/>
          <w:bCs w:val="0"/>
          <w:color w:val="000000"/>
          <w:sz w:val="32"/>
          <w:szCs w:val="32"/>
        </w:rPr>
        <w:t>增长</w:t>
      </w:r>
      <w:r>
        <w:rPr>
          <w:rFonts w:hint="eastAsia" w:ascii="仿宋" w:hAnsi="仿宋" w:eastAsia="仿宋" w:cs="仿宋"/>
          <w:b w:val="0"/>
          <w:bCs w:val="0"/>
          <w:color w:val="000000"/>
          <w:sz w:val="32"/>
          <w:szCs w:val="32"/>
          <w:lang w:val="en-US" w:eastAsia="zh-CN"/>
        </w:rPr>
        <w:t>0.20%。支出</w:t>
      </w:r>
      <w:r>
        <w:rPr>
          <w:rFonts w:hint="eastAsia" w:ascii="仿宋" w:hAnsi="仿宋" w:eastAsia="仿宋" w:cs="仿宋"/>
          <w:b w:val="0"/>
          <w:bCs w:val="0"/>
          <w:color w:val="000000"/>
          <w:sz w:val="32"/>
          <w:szCs w:val="32"/>
        </w:rPr>
        <w:t>下降</w:t>
      </w:r>
      <w:r>
        <w:rPr>
          <w:rFonts w:hint="eastAsia" w:ascii="仿宋" w:hAnsi="仿宋" w:eastAsia="仿宋" w:cs="仿宋"/>
          <w:b w:val="0"/>
          <w:bCs w:val="0"/>
          <w:color w:val="000000"/>
          <w:sz w:val="32"/>
          <w:szCs w:val="32"/>
          <w:lang w:val="en-US" w:eastAsia="zh-CN"/>
        </w:rPr>
        <w:t>24</w:t>
      </w:r>
      <w:r>
        <w:rPr>
          <w:rFonts w:hint="eastAsia" w:ascii="仿宋" w:hAnsi="仿宋" w:eastAsia="仿宋" w:cs="仿宋"/>
          <w:b w:val="0"/>
          <w:bCs w:val="0"/>
          <w:color w:val="000000"/>
          <w:sz w:val="32"/>
          <w:szCs w:val="32"/>
        </w:rPr>
        <w:t>%。主要变动原因</w:t>
      </w:r>
      <w:r>
        <w:rPr>
          <w:rFonts w:hint="eastAsia" w:ascii="仿宋" w:hAnsi="仿宋" w:eastAsia="仿宋" w:cs="仿宋"/>
          <w:b w:val="0"/>
          <w:bCs w:val="0"/>
          <w:color w:val="000000"/>
          <w:sz w:val="32"/>
          <w:szCs w:val="32"/>
          <w:lang w:eastAsia="zh-CN"/>
        </w:rPr>
        <w:t>是</w:t>
      </w:r>
      <w:r>
        <w:rPr>
          <w:rFonts w:hint="eastAsia" w:ascii="仿宋" w:hAnsi="仿宋" w:eastAsia="仿宋" w:cs="仿宋"/>
          <w:b w:val="0"/>
          <w:bCs w:val="0"/>
          <w:color w:val="000000"/>
          <w:sz w:val="32"/>
          <w:szCs w:val="32"/>
          <w:lang w:val="en-US" w:eastAsia="zh-CN"/>
        </w:rPr>
        <w:t>2018年项目支出增加了《红原县志》藏文版出版经费</w:t>
      </w:r>
      <w:bookmarkEnd w:id="36"/>
      <w:bookmarkEnd w:id="37"/>
      <w:bookmarkEnd w:id="38"/>
    </w:p>
    <w:p>
      <w:pPr>
        <w:pageBreakBefore w:val="0"/>
        <w:kinsoku/>
        <w:wordWrap/>
        <w:overflowPunct/>
        <w:topLinePunct w:val="0"/>
        <w:bidi w:val="0"/>
        <w:spacing w:line="560" w:lineRule="exact"/>
        <w:ind w:firstLine="640" w:firstLineChars="200"/>
        <w:jc w:val="left"/>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3"/>
        <w:numPr>
          <w:ilvl w:val="0"/>
          <w:numId w:val="1"/>
        </w:numPr>
        <w:spacing w:line="600" w:lineRule="exact"/>
        <w:ind w:firstLineChars="0"/>
        <w:outlineLvl w:val="1"/>
        <w:rPr>
          <w:rStyle w:val="25"/>
          <w:rFonts w:ascii="黑体" w:hAnsi="黑体" w:eastAsia="黑体"/>
          <w:b w:val="0"/>
        </w:rPr>
      </w:pPr>
      <w:bookmarkStart w:id="39" w:name="_Toc15396604"/>
      <w:bookmarkStart w:id="40" w:name="_Toc15377206"/>
      <w:bookmarkStart w:id="41" w:name="_Toc30481"/>
      <w:r>
        <w:rPr>
          <w:rFonts w:hint="eastAsia" w:ascii="黑体" w:hAnsi="黑体" w:eastAsia="黑体"/>
          <w:color w:val="000000"/>
          <w:sz w:val="32"/>
          <w:szCs w:val="32"/>
        </w:rPr>
        <w:t>收</w:t>
      </w:r>
      <w:r>
        <w:rPr>
          <w:rStyle w:val="25"/>
          <w:rFonts w:hint="eastAsia" w:ascii="黑体" w:hAnsi="黑体" w:eastAsia="黑体"/>
          <w:b w:val="0"/>
        </w:rPr>
        <w:t>入决算情况说明</w:t>
      </w:r>
      <w:bookmarkEnd w:id="39"/>
      <w:bookmarkEnd w:id="40"/>
      <w:bookmarkEnd w:id="41"/>
    </w:p>
    <w:p>
      <w:pPr>
        <w:pStyle w:val="2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25"/>
          <w:rFonts w:hint="eastAsia" w:ascii="仿宋" w:hAnsi="仿宋" w:eastAsia="仿宋" w:cs="仿宋"/>
          <w:b w:val="0"/>
          <w:sz w:val="32"/>
          <w:szCs w:val="32"/>
        </w:rPr>
      </w:pPr>
      <w:bookmarkStart w:id="42" w:name="_Toc9691"/>
      <w:bookmarkStart w:id="43" w:name="_Toc20609"/>
      <w:r>
        <w:rPr>
          <w:rFonts w:hint="eastAsia" w:ascii="仿宋" w:hAnsi="仿宋" w:eastAsia="仿宋" w:cs="仿宋"/>
          <w:color w:val="000000"/>
          <w:sz w:val="32"/>
          <w:szCs w:val="32"/>
        </w:rPr>
        <w:t>2019年本年收入合计</w:t>
      </w:r>
      <w:r>
        <w:rPr>
          <w:rFonts w:hint="eastAsia" w:ascii="仿宋" w:hAnsi="仿宋" w:eastAsia="仿宋" w:cs="仿宋"/>
          <w:color w:val="000000"/>
          <w:sz w:val="32"/>
          <w:szCs w:val="32"/>
          <w:lang w:val="en-US" w:eastAsia="zh-CN"/>
        </w:rPr>
        <w:t>154.12</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154.12</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w:t>
      </w:r>
      <w:r>
        <w:rPr>
          <w:rFonts w:hint="eastAsia" w:ascii="仿宋" w:hAnsi="仿宋" w:eastAsia="仿宋" w:cs="仿宋"/>
          <w:color w:val="000000" w:themeColor="text1"/>
          <w:sz w:val="32"/>
          <w:szCs w:val="32"/>
          <w14:textFill>
            <w14:solidFill>
              <w14:schemeClr w14:val="tx1"/>
            </w14:solidFill>
          </w14:textFill>
        </w:rPr>
        <w:t>上级补助收入</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%；事业收入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%；经营收入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%；附属单位上缴收入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%；其他收入</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w:t>
      </w:r>
      <w:bookmarkEnd w:id="42"/>
      <w:bookmarkEnd w:id="43"/>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93056" behindDoc="0" locked="0" layoutInCell="1" allowOverlap="1">
            <wp:simplePos x="0" y="0"/>
            <wp:positionH relativeFrom="column">
              <wp:posOffset>1205230</wp:posOffset>
            </wp:positionH>
            <wp:positionV relativeFrom="paragraph">
              <wp:posOffset>79375</wp:posOffset>
            </wp:positionV>
            <wp:extent cx="2668905" cy="2000885"/>
            <wp:effectExtent l="0" t="0" r="17145" b="18415"/>
            <wp:wrapSquare wrapText="bothSides"/>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7"/>
                    <a:stretch>
                      <a:fillRect/>
                    </a:stretch>
                  </pic:blipFill>
                  <pic:spPr>
                    <a:xfrm>
                      <a:off x="0" y="0"/>
                      <a:ext cx="2668905" cy="2000885"/>
                    </a:xfrm>
                    <a:prstGeom prst="rect">
                      <a:avLst/>
                    </a:prstGeom>
                  </pic:spPr>
                </pic:pic>
              </a:graphicData>
            </a:graphic>
          </wp:anchor>
        </w:drawing>
      </w: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spacing w:line="600" w:lineRule="exact"/>
        <w:ind w:firstLine="640" w:firstLineChars="200"/>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44" w:name="_Toc8210"/>
      <w:bookmarkStart w:id="45" w:name="_Toc15396605"/>
      <w:bookmarkStart w:id="46"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p>
    <w:p>
      <w:pPr>
        <w:pageBreakBefore w:val="0"/>
        <w:kinsoku/>
        <w:wordWrap/>
        <w:overflowPunct/>
        <w:topLinePunct w:val="0"/>
        <w:bidi w:val="0"/>
        <w:spacing w:line="560" w:lineRule="exact"/>
        <w:ind w:firstLine="640" w:firstLineChars="200"/>
        <w:outlineLvl w:val="1"/>
        <w:rPr>
          <w:rFonts w:hint="eastAsia" w:asciiTheme="minorEastAsia" w:hAnsiTheme="minorEastAsia" w:eastAsiaTheme="minorEastAsia" w:cstheme="minorEastAsia"/>
          <w:color w:val="000000"/>
          <w:sz w:val="36"/>
          <w:szCs w:val="36"/>
        </w:rPr>
      </w:pPr>
      <w:bookmarkStart w:id="47" w:name="_Toc3150"/>
      <w:bookmarkStart w:id="48" w:name="_Toc31024"/>
      <w:r>
        <w:rPr>
          <w:rFonts w:hint="eastAsia" w:ascii="仿宋" w:hAnsi="仿宋" w:eastAsia="仿宋" w:cs="仿宋"/>
          <w:color w:val="000000"/>
          <w:sz w:val="32"/>
          <w:szCs w:val="32"/>
        </w:rPr>
        <w:t>2019年本年支出合计</w:t>
      </w:r>
      <w:r>
        <w:rPr>
          <w:rFonts w:hint="eastAsia" w:ascii="仿宋" w:hAnsi="仿宋" w:eastAsia="仿宋" w:cs="仿宋"/>
          <w:color w:val="000000"/>
          <w:sz w:val="32"/>
          <w:szCs w:val="32"/>
          <w:lang w:val="en-US" w:eastAsia="zh-CN"/>
        </w:rPr>
        <w:t>155.87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其中：基本支出</w:t>
      </w:r>
      <w:r>
        <w:rPr>
          <w:rFonts w:hint="eastAsia" w:ascii="仿宋" w:hAnsi="仿宋" w:eastAsia="仿宋" w:cs="仿宋"/>
          <w:color w:val="000000"/>
          <w:sz w:val="32"/>
          <w:szCs w:val="32"/>
          <w:lang w:val="en-US" w:eastAsia="zh-CN"/>
        </w:rPr>
        <w:t>133.32</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86</w:t>
      </w:r>
      <w:r>
        <w:rPr>
          <w:rFonts w:hint="eastAsia" w:ascii="仿宋" w:hAnsi="仿宋" w:eastAsia="仿宋" w:cs="仿宋"/>
          <w:color w:val="000000"/>
          <w:sz w:val="32"/>
          <w:szCs w:val="32"/>
        </w:rPr>
        <w:t>%；项目支出</w:t>
      </w:r>
      <w:r>
        <w:rPr>
          <w:rFonts w:hint="eastAsia" w:ascii="仿宋" w:hAnsi="仿宋" w:eastAsia="仿宋" w:cs="仿宋"/>
          <w:color w:val="000000"/>
          <w:sz w:val="32"/>
          <w:szCs w:val="32"/>
          <w:lang w:val="en-US" w:eastAsia="zh-CN"/>
        </w:rPr>
        <w:t>22.55</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14</w:t>
      </w:r>
      <w:r>
        <w:rPr>
          <w:rFonts w:hint="eastAsia" w:ascii="仿宋" w:hAnsi="仿宋" w:eastAsia="仿宋" w:cs="仿宋"/>
          <w:color w:val="000000"/>
          <w:sz w:val="32"/>
          <w:szCs w:val="32"/>
        </w:rPr>
        <w:t>%；上缴上级支出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%；经营支出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%；对附属单位补助支出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w:t>
      </w:r>
      <w:r>
        <w:rPr>
          <w:rFonts w:hint="eastAsia" w:asciiTheme="minorEastAsia" w:hAnsiTheme="minorEastAsia" w:eastAsiaTheme="minorEastAsia" w:cstheme="minorEastAsia"/>
          <w:color w:val="000000"/>
          <w:sz w:val="36"/>
          <w:szCs w:val="36"/>
        </w:rPr>
        <w:t>。</w:t>
      </w:r>
      <w:bookmarkEnd w:id="47"/>
      <w:bookmarkEnd w:id="48"/>
    </w:p>
    <w:p>
      <w:pPr>
        <w:pageBreakBefore w:val="0"/>
        <w:kinsoku/>
        <w:wordWrap/>
        <w:overflowPunct/>
        <w:topLinePunct w:val="0"/>
        <w:bidi w:val="0"/>
        <w:spacing w:line="560" w:lineRule="exact"/>
        <w:ind w:firstLine="640" w:firstLineChars="200"/>
        <w:outlineLvl w:val="1"/>
        <w:rPr>
          <w:rFonts w:hint="eastAsia" w:asciiTheme="minorEastAsia" w:hAnsiTheme="minorEastAsia" w:eastAsiaTheme="minorEastAsia" w:cstheme="minorEastAsia"/>
          <w:color w:val="000000"/>
          <w:sz w:val="36"/>
          <w:szCs w:val="36"/>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702272" behindDoc="0" locked="0" layoutInCell="1" allowOverlap="1">
            <wp:simplePos x="0" y="0"/>
            <wp:positionH relativeFrom="column">
              <wp:posOffset>1263015</wp:posOffset>
            </wp:positionH>
            <wp:positionV relativeFrom="paragraph">
              <wp:posOffset>267970</wp:posOffset>
            </wp:positionV>
            <wp:extent cx="2898140" cy="2172335"/>
            <wp:effectExtent l="0" t="0" r="16510" b="18415"/>
            <wp:wrapTopAndBottom/>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2898140" cy="2172335"/>
                    </a:xfrm>
                    <a:prstGeom prst="rect">
                      <a:avLst/>
                    </a:prstGeom>
                  </pic:spPr>
                </pic:pic>
              </a:graphicData>
            </a:graphic>
          </wp:anchor>
        </w:drawing>
      </w:r>
    </w:p>
    <w:p>
      <w:pPr>
        <w:spacing w:line="600" w:lineRule="exact"/>
        <w:ind w:firstLine="640" w:firstLineChars="200"/>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9" w:name="_Toc15396606"/>
      <w:bookmarkStart w:id="50" w:name="_Toc15377208"/>
      <w:bookmarkStart w:id="51" w:name="_Toc603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9"/>
      <w:bookmarkEnd w:id="50"/>
      <w:bookmarkEnd w:id="51"/>
    </w:p>
    <w:p>
      <w:pPr>
        <w:pageBreakBefore w:val="0"/>
        <w:numPr>
          <w:ilvl w:val="0"/>
          <w:numId w:val="0"/>
        </w:numPr>
        <w:kinsoku/>
        <w:wordWrap/>
        <w:overflowPunct/>
        <w:topLinePunct w:val="0"/>
        <w:bidi w:val="0"/>
        <w:spacing w:line="56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712512" behindDoc="0" locked="0" layoutInCell="1" allowOverlap="1">
            <wp:simplePos x="0" y="0"/>
            <wp:positionH relativeFrom="column">
              <wp:posOffset>1024890</wp:posOffset>
            </wp:positionH>
            <wp:positionV relativeFrom="paragraph">
              <wp:posOffset>1463040</wp:posOffset>
            </wp:positionV>
            <wp:extent cx="3041650" cy="1968500"/>
            <wp:effectExtent l="0" t="0" r="6350" b="12700"/>
            <wp:wrapTopAndBottom/>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9"/>
                    <a:stretch>
                      <a:fillRect/>
                    </a:stretch>
                  </pic:blipFill>
                  <pic:spPr>
                    <a:xfrm>
                      <a:off x="0" y="0"/>
                      <a:ext cx="3041650" cy="1968500"/>
                    </a:xfrm>
                    <a:prstGeom prst="rect">
                      <a:avLst/>
                    </a:prstGeom>
                  </pic:spPr>
                </pic:pic>
              </a:graphicData>
            </a:graphic>
          </wp:anchor>
        </w:drawing>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019年度</w:t>
      </w:r>
      <w:r>
        <w:rPr>
          <w:rFonts w:hint="eastAsia" w:ascii="仿宋" w:hAnsi="仿宋" w:eastAsia="仿宋" w:cs="仿宋"/>
          <w:color w:val="000000"/>
          <w:sz w:val="32"/>
          <w:szCs w:val="32"/>
          <w:lang w:eastAsia="zh-CN"/>
        </w:rPr>
        <w:t>财政拨款收入总计</w:t>
      </w:r>
      <w:r>
        <w:rPr>
          <w:rFonts w:hint="eastAsia" w:ascii="仿宋" w:hAnsi="仿宋" w:eastAsia="仿宋" w:cs="仿宋"/>
          <w:color w:val="000000"/>
          <w:sz w:val="32"/>
          <w:szCs w:val="32"/>
          <w:lang w:val="en-US" w:eastAsia="zh-CN"/>
        </w:rPr>
        <w:t>154.12万元</w:t>
      </w:r>
      <w:r>
        <w:rPr>
          <w:rFonts w:hint="eastAsia" w:ascii="仿宋" w:hAnsi="仿宋" w:eastAsia="仿宋" w:cs="仿宋"/>
          <w:color w:val="000000"/>
          <w:sz w:val="32"/>
          <w:szCs w:val="32"/>
        </w:rPr>
        <w:t>、支</w:t>
      </w:r>
      <w:r>
        <w:rPr>
          <w:rFonts w:hint="eastAsia" w:ascii="仿宋" w:hAnsi="仿宋" w:eastAsia="仿宋" w:cs="仿宋"/>
          <w:color w:val="000000"/>
          <w:sz w:val="32"/>
          <w:szCs w:val="32"/>
          <w:lang w:eastAsia="zh-CN"/>
        </w:rPr>
        <w:t>出</w:t>
      </w:r>
      <w:r>
        <w:rPr>
          <w:rFonts w:hint="eastAsia" w:ascii="仿宋" w:hAnsi="仿宋" w:eastAsia="仿宋" w:cs="仿宋"/>
          <w:color w:val="000000"/>
          <w:sz w:val="32"/>
          <w:szCs w:val="32"/>
        </w:rPr>
        <w:t>总计</w:t>
      </w:r>
      <w:r>
        <w:rPr>
          <w:rFonts w:hint="eastAsia" w:ascii="仿宋" w:hAnsi="仿宋" w:eastAsia="仿宋" w:cs="仿宋"/>
          <w:color w:val="000000"/>
          <w:sz w:val="32"/>
          <w:szCs w:val="32"/>
          <w:lang w:val="en-US" w:eastAsia="zh-CN"/>
        </w:rPr>
        <w:t>155.87</w:t>
      </w:r>
      <w:r>
        <w:rPr>
          <w:rFonts w:hint="eastAsia" w:ascii="仿宋" w:hAnsi="仿宋" w:eastAsia="仿宋" w:cs="仿宋"/>
          <w:color w:val="000000"/>
          <w:sz w:val="32"/>
          <w:szCs w:val="32"/>
        </w:rPr>
        <w:t>万元。与2018年相比，收</w:t>
      </w:r>
      <w:r>
        <w:rPr>
          <w:rFonts w:hint="eastAsia" w:ascii="仿宋" w:hAnsi="仿宋" w:eastAsia="仿宋" w:cs="仿宋"/>
          <w:color w:val="000000"/>
          <w:sz w:val="32"/>
          <w:szCs w:val="32"/>
          <w:lang w:eastAsia="zh-CN"/>
        </w:rPr>
        <w:t>入增加</w:t>
      </w:r>
      <w:r>
        <w:rPr>
          <w:rFonts w:hint="eastAsia" w:ascii="仿宋" w:hAnsi="仿宋" w:eastAsia="仿宋" w:cs="仿宋"/>
          <w:color w:val="000000"/>
          <w:sz w:val="32"/>
          <w:szCs w:val="32"/>
          <w:lang w:val="en-US" w:eastAsia="zh-CN"/>
        </w:rPr>
        <w:t>0.3万元</w:t>
      </w:r>
      <w:r>
        <w:rPr>
          <w:rFonts w:hint="eastAsia" w:ascii="仿宋" w:hAnsi="仿宋" w:eastAsia="仿宋" w:cs="仿宋"/>
          <w:b w:val="0"/>
          <w:bCs w:val="0"/>
          <w:color w:val="000000"/>
          <w:sz w:val="32"/>
          <w:szCs w:val="32"/>
          <w:lang w:eastAsia="zh-CN"/>
        </w:rPr>
        <w:t>主要变动原因是工资福利增加</w:t>
      </w:r>
      <w:r>
        <w:rPr>
          <w:rFonts w:hint="eastAsia" w:ascii="仿宋" w:hAnsi="仿宋" w:eastAsia="仿宋" w:cs="仿宋"/>
          <w:color w:val="000000"/>
          <w:sz w:val="32"/>
          <w:szCs w:val="32"/>
        </w:rPr>
        <w:t>、支</w:t>
      </w:r>
      <w:r>
        <w:rPr>
          <w:rFonts w:hint="eastAsia" w:ascii="仿宋" w:hAnsi="仿宋" w:eastAsia="仿宋" w:cs="仿宋"/>
          <w:color w:val="000000"/>
          <w:sz w:val="32"/>
          <w:szCs w:val="32"/>
          <w:lang w:eastAsia="zh-CN"/>
        </w:rPr>
        <w:t>出减少</w:t>
      </w:r>
      <w:r>
        <w:rPr>
          <w:rFonts w:hint="eastAsia" w:ascii="仿宋" w:hAnsi="仿宋" w:eastAsia="仿宋" w:cs="仿宋"/>
          <w:color w:val="000000"/>
          <w:sz w:val="32"/>
          <w:szCs w:val="32"/>
          <w:lang w:val="en-US" w:eastAsia="zh-CN"/>
        </w:rPr>
        <w:t>48.39万</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收入</w:t>
      </w:r>
      <w:r>
        <w:rPr>
          <w:rFonts w:hint="eastAsia" w:ascii="仿宋" w:hAnsi="仿宋" w:eastAsia="仿宋" w:cs="仿宋"/>
          <w:color w:val="000000"/>
          <w:sz w:val="32"/>
          <w:szCs w:val="32"/>
        </w:rPr>
        <w:t>增长</w:t>
      </w:r>
      <w:r>
        <w:rPr>
          <w:rFonts w:hint="eastAsia" w:ascii="仿宋" w:hAnsi="仿宋" w:eastAsia="仿宋" w:cs="仿宋"/>
          <w:color w:val="000000"/>
          <w:sz w:val="32"/>
          <w:szCs w:val="32"/>
          <w:lang w:val="en-US" w:eastAsia="zh-CN"/>
        </w:rPr>
        <w:t>0.20%。支出</w:t>
      </w:r>
      <w:r>
        <w:rPr>
          <w:rFonts w:hint="eastAsia" w:ascii="仿宋" w:hAnsi="仿宋" w:eastAsia="仿宋" w:cs="仿宋"/>
          <w:color w:val="000000"/>
          <w:sz w:val="32"/>
          <w:szCs w:val="32"/>
        </w:rPr>
        <w:t>下降</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是</w:t>
      </w:r>
      <w:r>
        <w:rPr>
          <w:rFonts w:hint="eastAsia" w:ascii="仿宋" w:hAnsi="仿宋" w:eastAsia="仿宋" w:cs="仿宋"/>
          <w:color w:val="000000"/>
          <w:sz w:val="32"/>
          <w:szCs w:val="32"/>
          <w:lang w:val="en-US" w:eastAsia="zh-CN"/>
        </w:rPr>
        <w:t>2018年项目支出增加了《红原县志》藏文版出版经费</w:t>
      </w:r>
    </w:p>
    <w:p>
      <w:pPr>
        <w:pageBreakBefore w:val="0"/>
        <w:kinsoku/>
        <w:wordWrap/>
        <w:overflowPunct/>
        <w:topLinePunct w:val="0"/>
        <w:bidi w:val="0"/>
        <w:spacing w:line="560" w:lineRule="exact"/>
        <w:jc w:val="center"/>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5"/>
          <w:rFonts w:ascii="黑体" w:hAnsi="黑体" w:eastAsia="黑体"/>
          <w:b w:val="0"/>
        </w:rPr>
      </w:pPr>
      <w:bookmarkStart w:id="52" w:name="_Toc7114"/>
      <w:bookmarkStart w:id="53" w:name="_Toc15377209"/>
      <w:bookmarkStart w:id="5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p>
    <w:p>
      <w:pPr>
        <w:spacing w:line="600" w:lineRule="exact"/>
        <w:ind w:firstLine="643" w:firstLineChars="200"/>
        <w:outlineLvl w:val="2"/>
        <w:rPr>
          <w:rFonts w:hint="eastAsia" w:ascii="仿宋" w:hAnsi="仿宋" w:eastAsia="仿宋" w:cs="仿宋"/>
          <w:color w:val="000000"/>
          <w:sz w:val="32"/>
          <w:szCs w:val="32"/>
        </w:rPr>
      </w:pPr>
      <w:bookmarkStart w:id="55" w:name="_Toc15377210"/>
      <w:bookmarkStart w:id="56" w:name="_Toc403"/>
      <w:r>
        <w:rPr>
          <w:rFonts w:hint="eastAsia" w:ascii="仿宋" w:hAnsi="仿宋" w:eastAsia="仿宋"/>
          <w:b/>
          <w:color w:val="000000"/>
          <w:sz w:val="32"/>
          <w:szCs w:val="32"/>
        </w:rPr>
        <w:t>（一）一般公共预算财政拨款支出决算总体情况</w:t>
      </w:r>
      <w:bookmarkEnd w:id="55"/>
      <w:bookmarkEnd w:id="56"/>
    </w:p>
    <w:p>
      <w:pPr>
        <w:pageBreakBefore w:val="0"/>
        <w:numPr>
          <w:ilvl w:val="0"/>
          <w:numId w:val="0"/>
        </w:numPr>
        <w:kinsoku/>
        <w:wordWrap/>
        <w:overflowPunct/>
        <w:topLinePunct w:val="0"/>
        <w:bidi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727872" behindDoc="0" locked="0" layoutInCell="1" allowOverlap="1">
            <wp:simplePos x="0" y="0"/>
            <wp:positionH relativeFrom="column">
              <wp:posOffset>1105535</wp:posOffset>
            </wp:positionH>
            <wp:positionV relativeFrom="paragraph">
              <wp:posOffset>1440180</wp:posOffset>
            </wp:positionV>
            <wp:extent cx="2879090" cy="2158365"/>
            <wp:effectExtent l="0" t="0" r="16510" b="13335"/>
            <wp:wrapTopAndBottom/>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10"/>
                    <a:stretch>
                      <a:fillRect/>
                    </a:stretch>
                  </pic:blipFill>
                  <pic:spPr>
                    <a:xfrm>
                      <a:off x="0" y="0"/>
                      <a:ext cx="2879090" cy="2158365"/>
                    </a:xfrm>
                    <a:prstGeom prst="rect">
                      <a:avLst/>
                    </a:prstGeom>
                  </pic:spPr>
                </pic:pic>
              </a:graphicData>
            </a:graphic>
          </wp:anchor>
        </w:drawing>
      </w:r>
      <w:r>
        <w:rPr>
          <w:rFonts w:hint="eastAsia" w:ascii="仿宋" w:hAnsi="仿宋" w:eastAsia="仿宋" w:cs="仿宋"/>
          <w:color w:val="000000"/>
          <w:sz w:val="32"/>
          <w:szCs w:val="32"/>
        </w:rPr>
        <w:t>2019年一般公共预算财政拨款支出</w:t>
      </w:r>
      <w:r>
        <w:rPr>
          <w:rFonts w:hint="eastAsia" w:ascii="仿宋" w:hAnsi="仿宋" w:eastAsia="仿宋" w:cs="仿宋"/>
          <w:color w:val="000000"/>
          <w:sz w:val="32"/>
          <w:szCs w:val="32"/>
          <w:lang w:val="en-US" w:eastAsia="zh-CN"/>
        </w:rPr>
        <w:t>155.87</w:t>
      </w:r>
      <w:r>
        <w:rPr>
          <w:rFonts w:hint="eastAsia" w:ascii="仿宋" w:hAnsi="仿宋" w:eastAsia="仿宋" w:cs="仿宋"/>
          <w:color w:val="000000"/>
          <w:sz w:val="32"/>
          <w:szCs w:val="32"/>
        </w:rPr>
        <w:t>万元，占本年支出合计的</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%。与2018年相比，一般公共预算财政拨款</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rPr>
        <w:t>减少</w:t>
      </w:r>
      <w:r>
        <w:rPr>
          <w:rFonts w:hint="eastAsia" w:ascii="仿宋" w:hAnsi="仿宋" w:eastAsia="仿宋" w:cs="仿宋"/>
          <w:color w:val="000000"/>
          <w:sz w:val="32"/>
          <w:szCs w:val="32"/>
          <w:lang w:val="en-US" w:eastAsia="zh-CN"/>
        </w:rPr>
        <w:t>48.39</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是</w:t>
      </w:r>
      <w:r>
        <w:rPr>
          <w:rFonts w:hint="eastAsia" w:ascii="仿宋" w:hAnsi="仿宋" w:eastAsia="仿宋" w:cs="仿宋"/>
          <w:color w:val="000000"/>
          <w:sz w:val="32"/>
          <w:szCs w:val="32"/>
          <w:lang w:val="en-US" w:eastAsia="zh-CN"/>
        </w:rPr>
        <w:t>2018年项目支出增加了《红原县志》藏文版出版经费。</w:t>
      </w:r>
    </w:p>
    <w:p>
      <w:pPr>
        <w:pageBreakBefore w:val="0"/>
        <w:numPr>
          <w:ilvl w:val="0"/>
          <w:numId w:val="0"/>
        </w:numPr>
        <w:kinsoku/>
        <w:wordWrap/>
        <w:overflowPunct/>
        <w:topLinePunct w:val="0"/>
        <w:bidi w:val="0"/>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7" w:name="_Toc15377211"/>
      <w:bookmarkStart w:id="58" w:name="_Toc28039"/>
      <w:r>
        <w:rPr>
          <w:rFonts w:hint="eastAsia" w:ascii="仿宋" w:hAnsi="仿宋" w:eastAsia="仿宋"/>
          <w:b/>
          <w:color w:val="000000"/>
          <w:sz w:val="32"/>
          <w:szCs w:val="32"/>
        </w:rPr>
        <w:t>（二）一般公共预算财政拨款支出决算结构情况</w:t>
      </w:r>
      <w:bookmarkEnd w:id="57"/>
      <w:bookmarkEnd w:id="5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color w:val="000000" w:themeColor="text1"/>
          <w:sz w:val="32"/>
          <w:szCs w:val="32"/>
          <w:lang w:val="en-US"/>
          <w14:textFill>
            <w14:solidFill>
              <w14:schemeClr w14:val="tx1"/>
            </w14:solidFill>
          </w14:textFill>
        </w:rPr>
      </w:pPr>
      <w:r>
        <w:rPr>
          <w:rFonts w:hint="eastAsia" w:ascii="仿宋" w:hAnsi="仿宋" w:eastAsia="仿宋" w:cs="仿宋"/>
          <w:color w:val="000000"/>
          <w:sz w:val="32"/>
          <w:szCs w:val="32"/>
        </w:rPr>
        <w:t>2019年一般公共预算财</w:t>
      </w:r>
      <w:r>
        <w:rPr>
          <w:rFonts w:hint="eastAsia" w:ascii="仿宋" w:hAnsi="仿宋" w:eastAsia="仿宋" w:cs="仿宋"/>
          <w:color w:val="000000" w:themeColor="text1"/>
          <w:sz w:val="32"/>
          <w:szCs w:val="32"/>
          <w14:textFill>
            <w14:solidFill>
              <w14:schemeClr w14:val="tx1"/>
            </w14:solidFill>
          </w14:textFill>
        </w:rPr>
        <w:t>政拨款支出</w:t>
      </w:r>
      <w:r>
        <w:rPr>
          <w:rFonts w:hint="eastAsia" w:ascii="仿宋" w:hAnsi="仿宋" w:eastAsia="仿宋" w:cs="仿宋"/>
          <w:color w:val="000000" w:themeColor="text1"/>
          <w:sz w:val="32"/>
          <w:szCs w:val="32"/>
          <w:lang w:val="en-US" w:eastAsia="zh-CN"/>
          <w14:textFill>
            <w14:solidFill>
              <w14:schemeClr w14:val="tx1"/>
            </w14:solidFill>
          </w14:textFill>
        </w:rPr>
        <w:t>155.87</w:t>
      </w:r>
      <w:r>
        <w:rPr>
          <w:rFonts w:hint="eastAsia" w:ascii="仿宋" w:hAnsi="仿宋" w:eastAsia="仿宋" w:cs="仿宋"/>
          <w:color w:val="000000" w:themeColor="text1"/>
          <w:sz w:val="32"/>
          <w:szCs w:val="32"/>
          <w14:textFill>
            <w14:solidFill>
              <w14:schemeClr w14:val="tx1"/>
            </w14:solidFill>
          </w14:textFill>
        </w:rPr>
        <w:t>万元，主要用于以下方面</w:t>
      </w:r>
      <w:r>
        <w:rPr>
          <w:rFonts w:hint="eastAsia" w:ascii="仿宋" w:hAnsi="仿宋" w:eastAsia="仿宋" w:cs="仿宋"/>
          <w:b w:val="0"/>
          <w:bCs w:val="0"/>
          <w:color w:val="000000" w:themeColor="text1"/>
          <w:sz w:val="32"/>
          <w:szCs w:val="32"/>
          <w14:textFill>
            <w14:solidFill>
              <w14:schemeClr w14:val="tx1"/>
            </w14:solidFill>
          </w14:textFill>
        </w:rPr>
        <w:t>:一般公共服务（类）支出</w:t>
      </w:r>
      <w:r>
        <w:rPr>
          <w:rFonts w:hint="eastAsia" w:ascii="仿宋" w:hAnsi="仿宋" w:eastAsia="仿宋" w:cs="仿宋"/>
          <w:color w:val="000000" w:themeColor="text1"/>
          <w:sz w:val="32"/>
          <w:szCs w:val="32"/>
          <w:lang w:val="en-US" w:eastAsia="zh-CN"/>
          <w14:textFill>
            <w14:solidFill>
              <w14:schemeClr w14:val="tx1"/>
            </w14:solidFill>
          </w14:textFill>
        </w:rPr>
        <w:t>98.88</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63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val="0"/>
          <w:bCs/>
          <w:color w:val="000000" w:themeColor="text1"/>
          <w:sz w:val="32"/>
          <w:szCs w:val="32"/>
          <w14:textFill>
            <w14:solidFill>
              <w14:schemeClr w14:val="tx1"/>
            </w14:solidFill>
          </w14:textFill>
        </w:rPr>
        <w:t>教育支出（类）</w:t>
      </w:r>
      <w:r>
        <w:rPr>
          <w:rFonts w:hint="eastAsia" w:ascii="仿宋" w:hAnsi="仿宋" w:eastAsia="仿宋" w:cs="仿宋"/>
          <w:b w:val="0"/>
          <w:bCs/>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val="0"/>
          <w:bCs/>
          <w:color w:val="000000" w:themeColor="text1"/>
          <w:sz w:val="32"/>
          <w:szCs w:val="32"/>
          <w14:textFill>
            <w14:solidFill>
              <w14:schemeClr w14:val="tx1"/>
            </w14:solidFill>
          </w14:textFill>
        </w:rPr>
        <w:t>科学技术（类）支出</w:t>
      </w:r>
      <w:r>
        <w:rPr>
          <w:rFonts w:hint="eastAsia" w:ascii="仿宋" w:hAnsi="仿宋" w:eastAsia="仿宋" w:cs="仿宋"/>
          <w:b w:val="0"/>
          <w:bCs/>
          <w:color w:val="000000" w:themeColor="text1"/>
          <w:sz w:val="32"/>
          <w:szCs w:val="32"/>
          <w:lang w:val="en-US" w:eastAsia="zh-CN"/>
          <w14:textFill>
            <w14:solidFill>
              <w14:schemeClr w14:val="tx1"/>
            </w14:solidFill>
          </w14:textFill>
        </w:rPr>
        <w:t>0</w:t>
      </w:r>
      <w:r>
        <w:rPr>
          <w:rFonts w:hint="eastAsia" w:ascii="仿宋" w:hAnsi="仿宋" w:eastAsia="仿宋" w:cs="仿宋"/>
          <w:b w:val="0"/>
          <w:bCs/>
          <w:color w:val="000000" w:themeColor="text1"/>
          <w:sz w:val="32"/>
          <w:szCs w:val="32"/>
          <w14:textFill>
            <w14:solidFill>
              <w14:schemeClr w14:val="tx1"/>
            </w14:solidFill>
          </w14:textFill>
        </w:rPr>
        <w:t>万元，占</w:t>
      </w:r>
      <w:r>
        <w:rPr>
          <w:rFonts w:hint="eastAsia" w:ascii="仿宋" w:hAnsi="仿宋" w:eastAsia="仿宋" w:cs="仿宋"/>
          <w:b w:val="0"/>
          <w:bCs/>
          <w:color w:val="000000" w:themeColor="text1"/>
          <w:sz w:val="32"/>
          <w:szCs w:val="32"/>
          <w:lang w:val="en-US" w:eastAsia="zh-CN"/>
          <w14:textFill>
            <w14:solidFill>
              <w14:schemeClr w14:val="tx1"/>
            </w14:solidFill>
          </w14:textFill>
        </w:rPr>
        <w:t>0</w:t>
      </w:r>
      <w:r>
        <w:rPr>
          <w:rFonts w:hint="eastAsia" w:ascii="仿宋" w:hAnsi="仿宋" w:eastAsia="仿宋" w:cs="仿宋"/>
          <w:b w:val="0"/>
          <w:bCs/>
          <w:color w:val="000000" w:themeColor="text1"/>
          <w:sz w:val="32"/>
          <w:szCs w:val="32"/>
          <w14:textFill>
            <w14:solidFill>
              <w14:schemeClr w14:val="tx1"/>
            </w14:solidFill>
          </w14:textFill>
        </w:rPr>
        <w:t>%；文化旅游体育与传媒（类）</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0</w:t>
      </w:r>
      <w:r>
        <w:rPr>
          <w:rFonts w:hint="eastAsia" w:ascii="仿宋" w:hAnsi="仿宋" w:eastAsia="仿宋" w:cs="仿宋"/>
          <w:b w:val="0"/>
          <w:bCs w:val="0"/>
          <w:color w:val="000000" w:themeColor="text1"/>
          <w:sz w:val="32"/>
          <w:szCs w:val="32"/>
          <w14:textFill>
            <w14:solidFill>
              <w14:schemeClr w14:val="tx1"/>
            </w14:solidFill>
          </w14:textFill>
        </w:rPr>
        <w:t>万元，占</w:t>
      </w:r>
      <w:r>
        <w:rPr>
          <w:rFonts w:hint="eastAsia" w:ascii="仿宋" w:hAnsi="仿宋" w:eastAsia="仿宋" w:cs="仿宋"/>
          <w:b w:val="0"/>
          <w:bCs w:val="0"/>
          <w:color w:val="000000" w:themeColor="text1"/>
          <w:sz w:val="32"/>
          <w:szCs w:val="32"/>
          <w:lang w:val="en-US" w:eastAsia="zh-CN"/>
          <w14:textFill>
            <w14:solidFill>
              <w14:schemeClr w14:val="tx1"/>
            </w14:solidFill>
          </w14:textFill>
        </w:rPr>
        <w:t>0</w:t>
      </w:r>
      <w:r>
        <w:rPr>
          <w:rFonts w:hint="eastAsia" w:ascii="仿宋" w:hAnsi="仿宋" w:eastAsia="仿宋" w:cs="仿宋"/>
          <w:b w:val="0"/>
          <w:bCs w:val="0"/>
          <w:color w:val="000000" w:themeColor="text1"/>
          <w:sz w:val="32"/>
          <w:szCs w:val="32"/>
          <w14:textFill>
            <w14:solidFill>
              <w14:schemeClr w14:val="tx1"/>
            </w14:solidFill>
          </w14:textFill>
        </w:rPr>
        <w:t>%；社会保障和就业（类</w:t>
      </w:r>
      <w:r>
        <w:rPr>
          <w:rFonts w:hint="eastAsia" w:ascii="仿宋" w:hAnsi="仿宋" w:eastAsia="仿宋" w:cs="仿宋"/>
          <w:b/>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支出</w:t>
      </w:r>
      <w:r>
        <w:rPr>
          <w:rFonts w:hint="eastAsia" w:ascii="仿宋" w:hAnsi="仿宋" w:eastAsia="仿宋" w:cs="仿宋"/>
          <w:color w:val="000000" w:themeColor="text1"/>
          <w:sz w:val="32"/>
          <w:szCs w:val="32"/>
          <w:lang w:val="en-US" w:eastAsia="zh-CN"/>
          <w14:textFill>
            <w14:solidFill>
              <w14:schemeClr w14:val="tx1"/>
            </w14:solidFill>
          </w14:textFill>
        </w:rPr>
        <w:t>17.46</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卫生健康支出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7.09</w:t>
      </w:r>
      <w:r>
        <w:rPr>
          <w:rFonts w:hint="eastAsia" w:ascii="仿宋" w:hAnsi="仿宋" w:eastAsia="仿宋" w:cs="仿宋"/>
          <w:b w:val="0"/>
          <w:bCs w:val="0"/>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，占</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%；住房保障支出</w:t>
      </w:r>
      <w:r>
        <w:rPr>
          <w:rFonts w:hint="eastAsia" w:ascii="仿宋" w:hAnsi="仿宋" w:eastAsia="仿宋" w:cs="仿宋"/>
          <w:color w:val="000000" w:themeColor="text1"/>
          <w:sz w:val="32"/>
          <w:szCs w:val="32"/>
          <w:lang w:val="en-US" w:eastAsia="zh-CN"/>
          <w14:textFill>
            <w14:solidFill>
              <w14:schemeClr w14:val="tx1"/>
            </w14:solidFill>
          </w14:textFill>
        </w:rPr>
        <w:t>9.89</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6.3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项目支出</w:t>
      </w:r>
      <w:r>
        <w:rPr>
          <w:rFonts w:hint="eastAsia" w:ascii="仿宋" w:hAnsi="仿宋" w:eastAsia="仿宋" w:cs="仿宋"/>
          <w:color w:val="000000" w:themeColor="text1"/>
          <w:sz w:val="32"/>
          <w:szCs w:val="32"/>
          <w:lang w:val="en-US" w:eastAsia="zh-CN"/>
          <w14:textFill>
            <w14:solidFill>
              <w14:schemeClr w14:val="tx1"/>
            </w14:solidFill>
          </w14:textFill>
        </w:rPr>
        <w:t>22.55万元，占15%</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drawing>
          <wp:anchor distT="0" distB="0" distL="114300" distR="114300" simplePos="0" relativeHeight="251749376" behindDoc="0" locked="0" layoutInCell="1" allowOverlap="1">
            <wp:simplePos x="0" y="0"/>
            <wp:positionH relativeFrom="column">
              <wp:posOffset>1141730</wp:posOffset>
            </wp:positionH>
            <wp:positionV relativeFrom="paragraph">
              <wp:posOffset>28575</wp:posOffset>
            </wp:positionV>
            <wp:extent cx="3074670" cy="2305050"/>
            <wp:effectExtent l="0" t="0" r="11430" b="0"/>
            <wp:wrapTopAndBottom/>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1"/>
                    <a:stretch>
                      <a:fillRect/>
                    </a:stretch>
                  </pic:blipFill>
                  <pic:spPr>
                    <a:xfrm>
                      <a:off x="0" y="0"/>
                      <a:ext cx="3074670" cy="2305050"/>
                    </a:xfrm>
                    <a:prstGeom prst="rect">
                      <a:avLst/>
                    </a:prstGeom>
                  </pic:spPr>
                </pic:pic>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3228"/>
      <w:bookmarkStart w:id="60" w:name="_Toc15377212"/>
      <w:r>
        <w:rPr>
          <w:rFonts w:hint="eastAsia" w:ascii="仿宋" w:hAnsi="仿宋" w:eastAsia="仿宋"/>
          <w:b/>
          <w:color w:val="000000"/>
          <w:sz w:val="32"/>
          <w:szCs w:val="32"/>
        </w:rPr>
        <w:t>（三）一般公共预算财政拨款支出决算具体情况</w:t>
      </w:r>
      <w:bookmarkEnd w:id="59"/>
      <w:bookmarkEnd w:id="60"/>
    </w:p>
    <w:p>
      <w:pPr>
        <w:spacing w:line="600" w:lineRule="exact"/>
        <w:ind w:firstLine="643" w:firstLineChars="200"/>
        <w:outlineLvl w:val="2"/>
        <w:rPr>
          <w:rFonts w:ascii="仿宋" w:hAnsi="仿宋" w:eastAsia="仿宋"/>
          <w:color w:val="FF0000"/>
          <w:sz w:val="32"/>
          <w:szCs w:val="32"/>
        </w:rPr>
      </w:pPr>
      <w:bookmarkStart w:id="61" w:name="_Toc15378460"/>
      <w:bookmarkStart w:id="62" w:name="_Toc15377213"/>
      <w:bookmarkStart w:id="63" w:name="_Toc15377444"/>
      <w:bookmarkStart w:id="64" w:name="_Toc23916"/>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155.87万元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61"/>
      <w:bookmarkEnd w:id="62"/>
      <w:bookmarkEnd w:id="63"/>
      <w:bookmarkEnd w:id="64"/>
    </w:p>
    <w:p>
      <w:pPr>
        <w:pageBreakBefore w:val="0"/>
        <w:kinsoku/>
        <w:wordWrap/>
        <w:overflowPunct/>
        <w:topLinePunct w:val="0"/>
        <w:bidi w:val="0"/>
        <w:spacing w:line="560" w:lineRule="exact"/>
        <w:ind w:firstLine="720" w:firstLineChars="200"/>
        <w:rPr>
          <w:rFonts w:hint="eastAsia" w:ascii="仿宋" w:hAnsi="仿宋" w:eastAsia="仿宋" w:cs="仿宋"/>
          <w:sz w:val="32"/>
          <w:szCs w:val="32"/>
        </w:rPr>
      </w:pPr>
      <w:r>
        <w:rPr>
          <w:rFonts w:hint="eastAsia" w:asciiTheme="minorEastAsia" w:hAnsiTheme="minorEastAsia" w:eastAsiaTheme="minorEastAsia" w:cstheme="minorEastAsia"/>
          <w:color w:val="000000" w:themeColor="text1"/>
          <w:sz w:val="36"/>
          <w:szCs w:val="36"/>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一）2013601一般公共服务支出行政运行98.88万元</w:t>
      </w:r>
      <w:r>
        <w:rPr>
          <w:rFonts w:hint="eastAsia" w:ascii="仿宋" w:hAnsi="仿宋" w:eastAsia="仿宋" w:cs="仿宋"/>
          <w:sz w:val="32"/>
          <w:szCs w:val="32"/>
        </w:rPr>
        <w:t>主要用于机关及下属事业单位人员工资、日常运转以及为完成特定行政工作任务和事业发展目标而安排的年度项目支出。</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w:t>
      </w:r>
      <w:r>
        <w:rPr>
          <w:rFonts w:hint="eastAsia" w:ascii="仿宋" w:hAnsi="仿宋" w:eastAsia="仿宋" w:cs="仿宋"/>
          <w:sz w:val="32"/>
          <w:szCs w:val="32"/>
          <w:lang w:val="en-US" w:eastAsia="zh-CN"/>
        </w:rPr>
        <w:t>2080505</w:t>
      </w:r>
      <w:r>
        <w:rPr>
          <w:rFonts w:hint="eastAsia" w:ascii="仿宋" w:hAnsi="仿宋" w:eastAsia="仿宋" w:cs="仿宋"/>
          <w:sz w:val="32"/>
          <w:szCs w:val="32"/>
        </w:rPr>
        <w:t>基本养老保险支出</w:t>
      </w:r>
      <w:r>
        <w:rPr>
          <w:rFonts w:hint="eastAsia" w:ascii="仿宋" w:hAnsi="仿宋" w:eastAsia="仿宋" w:cs="仿宋"/>
          <w:sz w:val="32"/>
          <w:szCs w:val="32"/>
          <w:lang w:val="en-US" w:eastAsia="zh-CN"/>
        </w:rPr>
        <w:t>11.98</w:t>
      </w:r>
      <w:r>
        <w:rPr>
          <w:rFonts w:hint="eastAsia" w:ascii="仿宋" w:hAnsi="仿宋" w:eastAsia="仿宋" w:cs="仿宋"/>
          <w:sz w:val="32"/>
          <w:szCs w:val="32"/>
        </w:rPr>
        <w:t>万元，用于机关及下属单位按照规定标准为职工缴纳养老保险等支出。</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w:t>
      </w:r>
      <w:r>
        <w:rPr>
          <w:rFonts w:hint="eastAsia" w:ascii="仿宋" w:hAnsi="仿宋" w:eastAsia="仿宋" w:cs="仿宋"/>
          <w:sz w:val="32"/>
          <w:szCs w:val="32"/>
          <w:lang w:val="en-US" w:eastAsia="zh-CN"/>
        </w:rPr>
        <w:t>2080506</w:t>
      </w:r>
      <w:r>
        <w:rPr>
          <w:rFonts w:hint="eastAsia" w:ascii="仿宋" w:hAnsi="仿宋" w:eastAsia="仿宋" w:cs="仿宋"/>
          <w:sz w:val="32"/>
          <w:szCs w:val="32"/>
        </w:rPr>
        <w:t>职业年金支出</w:t>
      </w:r>
      <w:r>
        <w:rPr>
          <w:rFonts w:hint="eastAsia" w:ascii="仿宋" w:hAnsi="仿宋" w:eastAsia="仿宋" w:cs="仿宋"/>
          <w:sz w:val="32"/>
          <w:szCs w:val="32"/>
          <w:lang w:val="en-US" w:eastAsia="zh-CN"/>
        </w:rPr>
        <w:t>5.49</w:t>
      </w:r>
      <w:r>
        <w:rPr>
          <w:rFonts w:hint="eastAsia" w:ascii="仿宋" w:hAnsi="仿宋" w:eastAsia="仿宋" w:cs="仿宋"/>
          <w:sz w:val="32"/>
          <w:szCs w:val="32"/>
        </w:rPr>
        <w:t>万元，，用于机关及下属单位按照规定标准为职工缴纳职业年金等支出。</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lang w:val="en-US" w:eastAsia="zh-CN"/>
        </w:rPr>
        <w:t>2101101行政单位医疗7.09万元</w:t>
      </w:r>
      <w:r>
        <w:rPr>
          <w:rFonts w:hint="eastAsia" w:ascii="仿宋" w:hAnsi="仿宋" w:eastAsia="仿宋" w:cs="仿宋"/>
          <w:sz w:val="32"/>
          <w:szCs w:val="32"/>
        </w:rPr>
        <w:t>主要用于机关及下属事业单位按照规定标准为职工缴纳的基本医疗保险及公务员医疗补助等支出。</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五</w:t>
      </w:r>
      <w:r>
        <w:rPr>
          <w:rFonts w:hint="eastAsia" w:ascii="仿宋" w:hAnsi="仿宋" w:eastAsia="仿宋" w:cs="仿宋"/>
          <w:sz w:val="32"/>
          <w:szCs w:val="32"/>
        </w:rPr>
        <w:t>）</w:t>
      </w:r>
      <w:r>
        <w:rPr>
          <w:rFonts w:hint="eastAsia" w:ascii="仿宋" w:hAnsi="仿宋" w:eastAsia="仿宋" w:cs="仿宋"/>
          <w:sz w:val="32"/>
          <w:szCs w:val="32"/>
          <w:lang w:val="en-US" w:eastAsia="zh-CN"/>
        </w:rPr>
        <w:t>2210201</w:t>
      </w:r>
      <w:r>
        <w:rPr>
          <w:rFonts w:hint="eastAsia" w:ascii="仿宋" w:hAnsi="仿宋" w:eastAsia="仿宋" w:cs="仿宋"/>
          <w:sz w:val="32"/>
          <w:szCs w:val="32"/>
        </w:rPr>
        <w:t>住房</w:t>
      </w:r>
      <w:r>
        <w:rPr>
          <w:rFonts w:hint="eastAsia" w:ascii="仿宋" w:hAnsi="仿宋" w:eastAsia="仿宋" w:cs="仿宋"/>
          <w:sz w:val="32"/>
          <w:szCs w:val="32"/>
          <w:lang w:eastAsia="zh-CN"/>
        </w:rPr>
        <w:t>公积金支</w:t>
      </w:r>
      <w:r>
        <w:rPr>
          <w:rFonts w:hint="eastAsia" w:ascii="仿宋" w:hAnsi="仿宋" w:eastAsia="仿宋" w:cs="仿宋"/>
          <w:sz w:val="32"/>
          <w:szCs w:val="32"/>
        </w:rPr>
        <w:t>出</w:t>
      </w:r>
      <w:r>
        <w:rPr>
          <w:rFonts w:hint="eastAsia" w:ascii="仿宋" w:hAnsi="仿宋" w:eastAsia="仿宋" w:cs="仿宋"/>
          <w:sz w:val="32"/>
          <w:szCs w:val="32"/>
          <w:lang w:val="en-US" w:eastAsia="zh-CN"/>
        </w:rPr>
        <w:t>9.89</w:t>
      </w:r>
      <w:r>
        <w:rPr>
          <w:rFonts w:hint="eastAsia" w:ascii="仿宋" w:hAnsi="仿宋" w:eastAsia="仿宋" w:cs="仿宋"/>
          <w:sz w:val="32"/>
          <w:szCs w:val="32"/>
        </w:rPr>
        <w:t>万元，用于机关及下属事业单位按照规定标准为职工缴纳住房公积金等支出。</w:t>
      </w:r>
    </w:p>
    <w:p>
      <w:pPr>
        <w:pageBreakBefore w:val="0"/>
        <w:kinsoku/>
        <w:wordWrap/>
        <w:overflowPunct/>
        <w:topLinePunct w:val="0"/>
        <w:bidi w:val="0"/>
        <w:spacing w:line="560" w:lineRule="exact"/>
        <w:ind w:firstLine="640" w:firstLineChars="200"/>
        <w:rPr>
          <w:rFonts w:ascii="仿宋" w:hAnsi="仿宋" w:eastAsia="仿宋"/>
          <w:b/>
          <w:color w:val="000000"/>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lang w:val="en-US" w:eastAsia="zh-CN"/>
        </w:rPr>
        <w:t>2013602一般行政管理事务22.55万元，用于本单位的项目支出。</w:t>
      </w:r>
    </w:p>
    <w:p>
      <w:pPr>
        <w:tabs>
          <w:tab w:val="right" w:pos="8306"/>
        </w:tabs>
        <w:spacing w:line="600" w:lineRule="exact"/>
        <w:ind w:firstLine="640"/>
        <w:outlineLvl w:val="1"/>
        <w:rPr>
          <w:rStyle w:val="25"/>
        </w:rPr>
      </w:pPr>
      <w:bookmarkStart w:id="65" w:name="_Toc15377214"/>
      <w:bookmarkStart w:id="66" w:name="_Toc15396608"/>
      <w:bookmarkStart w:id="67" w:name="_Toc2382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5"/>
      <w:bookmarkEnd w:id="66"/>
      <w:bookmarkEnd w:id="67"/>
      <w:r>
        <w:rPr>
          <w:rStyle w:val="25"/>
          <w:rFonts w:ascii="黑体" w:hAnsi="黑体" w:eastAsia="黑体"/>
          <w:b w:val="0"/>
        </w:rPr>
        <w:tab/>
      </w:r>
    </w:p>
    <w:p>
      <w:pPr>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bookmarkStart w:id="68" w:name="_Toc15396609"/>
      <w:bookmarkStart w:id="69" w:name="_Toc15377215"/>
      <w:r>
        <w:rPr>
          <w:rFonts w:hint="eastAsia" w:ascii="仿宋" w:hAnsi="仿宋" w:eastAsia="仿宋" w:cs="仿宋"/>
          <w:color w:val="000000"/>
          <w:sz w:val="32"/>
          <w:szCs w:val="32"/>
        </w:rPr>
        <w:t>2019年一般公共预算财政拨款基本支出</w:t>
      </w:r>
      <w:r>
        <w:rPr>
          <w:rFonts w:hint="eastAsia" w:ascii="仿宋" w:hAnsi="仿宋" w:eastAsia="仿宋" w:cs="仿宋"/>
          <w:color w:val="000000"/>
          <w:sz w:val="32"/>
          <w:szCs w:val="32"/>
          <w:lang w:val="en-US" w:eastAsia="zh-CN"/>
        </w:rPr>
        <w:t>133.32</w:t>
      </w:r>
      <w:r>
        <w:rPr>
          <w:rFonts w:hint="eastAsia" w:ascii="仿宋" w:hAnsi="仿宋" w:eastAsia="仿宋" w:cs="仿宋"/>
          <w:color w:val="000000"/>
          <w:sz w:val="32"/>
          <w:szCs w:val="32"/>
        </w:rPr>
        <w:t>万元，其中：</w:t>
      </w:r>
    </w:p>
    <w:p>
      <w:pPr>
        <w:pageBreakBefore w:val="0"/>
        <w:kinsoku/>
        <w:wordWrap/>
        <w:overflowPunct/>
        <w:topLinePunct w:val="0"/>
        <w:bidi w:val="0"/>
        <w:spacing w:line="560" w:lineRule="exact"/>
        <w:ind w:firstLine="645"/>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人员经费</w:t>
      </w:r>
      <w:r>
        <w:rPr>
          <w:rFonts w:hint="eastAsia" w:ascii="仿宋" w:hAnsi="仿宋" w:eastAsia="仿宋" w:cs="仿宋"/>
          <w:color w:val="000000"/>
          <w:sz w:val="32"/>
          <w:szCs w:val="32"/>
          <w:lang w:val="en-US" w:eastAsia="zh-CN"/>
        </w:rPr>
        <w:t>122.06</w:t>
      </w:r>
      <w:r>
        <w:rPr>
          <w:rFonts w:hint="eastAsia" w:ascii="仿宋" w:hAnsi="仿宋" w:eastAsia="仿宋" w:cs="仿宋"/>
          <w:color w:val="000000"/>
          <w:sz w:val="32"/>
          <w:szCs w:val="32"/>
        </w:rPr>
        <w:t>万元，主要包括：基本工资26.68万元、津贴补贴42.86万元。</w:t>
      </w:r>
      <w:r>
        <w:rPr>
          <w:rFonts w:hint="eastAsia" w:ascii="仿宋" w:hAnsi="仿宋" w:eastAsia="仿宋" w:cs="仿宋"/>
          <w:color w:val="000000"/>
          <w:sz w:val="32"/>
          <w:szCs w:val="32"/>
          <w:lang w:eastAsia="zh-CN"/>
        </w:rPr>
        <w:t>奖金</w:t>
      </w:r>
      <w:r>
        <w:rPr>
          <w:rFonts w:hint="eastAsia" w:ascii="仿宋" w:hAnsi="仿宋" w:eastAsia="仿宋" w:cs="仿宋"/>
          <w:color w:val="000000"/>
          <w:sz w:val="32"/>
          <w:szCs w:val="32"/>
          <w:lang w:val="en-US" w:eastAsia="zh-CN"/>
        </w:rPr>
        <w:t>16.47万元、养老保险11.98万元、职业年金万元5.49万元、 基本医疗保险5.78万元、公务员医疗保险1.31万元、 房公积金9.89万元 、医疗费0.16 万元、 其他社会保障缴费1.24万元 、医疗补助0.20万元 、奖励金0.01万元。</w:t>
      </w:r>
    </w:p>
    <w:p>
      <w:pPr>
        <w:pageBreakBefore w:val="0"/>
        <w:kinsoku/>
        <w:wordWrap/>
        <w:overflowPunct/>
        <w:topLinePunct w:val="0"/>
        <w:bidi w:val="0"/>
        <w:spacing w:line="56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日常公用经费</w:t>
      </w:r>
      <w:r>
        <w:rPr>
          <w:rFonts w:hint="eastAsia" w:ascii="仿宋" w:hAnsi="仿宋" w:eastAsia="仿宋" w:cs="仿宋"/>
          <w:color w:val="000000"/>
          <w:sz w:val="32"/>
          <w:szCs w:val="32"/>
          <w:lang w:val="en-US" w:eastAsia="zh-CN"/>
        </w:rPr>
        <w:t>11.27</w:t>
      </w:r>
      <w:r>
        <w:rPr>
          <w:rFonts w:hint="eastAsia" w:ascii="仿宋" w:hAnsi="仿宋" w:eastAsia="仿宋" w:cs="仿宋"/>
          <w:color w:val="000000"/>
          <w:sz w:val="32"/>
          <w:szCs w:val="32"/>
        </w:rPr>
        <w:t>万元，主要包括：办公费</w:t>
      </w:r>
      <w:r>
        <w:rPr>
          <w:rFonts w:hint="eastAsia" w:ascii="仿宋" w:hAnsi="仿宋" w:eastAsia="仿宋" w:cs="仿宋"/>
          <w:color w:val="000000"/>
          <w:sz w:val="32"/>
          <w:szCs w:val="32"/>
          <w:lang w:val="en-US" w:eastAsia="zh-CN"/>
        </w:rPr>
        <w:t>2.98万元</w:t>
      </w:r>
      <w:r>
        <w:rPr>
          <w:rFonts w:hint="eastAsia" w:ascii="仿宋" w:hAnsi="仿宋" w:eastAsia="仿宋" w:cs="仿宋"/>
          <w:color w:val="000000"/>
          <w:sz w:val="32"/>
          <w:szCs w:val="32"/>
        </w:rPr>
        <w:t>、印刷费</w:t>
      </w:r>
      <w:r>
        <w:rPr>
          <w:rFonts w:hint="eastAsia" w:ascii="仿宋" w:hAnsi="仿宋" w:eastAsia="仿宋" w:cs="仿宋"/>
          <w:color w:val="000000"/>
          <w:sz w:val="32"/>
          <w:szCs w:val="32"/>
          <w:lang w:val="en-US" w:eastAsia="zh-CN"/>
        </w:rPr>
        <w:t>1.46万元</w:t>
      </w:r>
      <w:r>
        <w:rPr>
          <w:rFonts w:hint="eastAsia" w:ascii="仿宋" w:hAnsi="仿宋" w:eastAsia="仿宋" w:cs="仿宋"/>
          <w:color w:val="000000"/>
          <w:sz w:val="32"/>
          <w:szCs w:val="32"/>
        </w:rPr>
        <w:t>、邮电费</w:t>
      </w:r>
      <w:r>
        <w:rPr>
          <w:rFonts w:hint="eastAsia" w:ascii="仿宋" w:hAnsi="仿宋" w:eastAsia="仿宋" w:cs="仿宋"/>
          <w:color w:val="000000"/>
          <w:sz w:val="32"/>
          <w:szCs w:val="32"/>
          <w:lang w:val="en-US" w:eastAsia="zh-CN"/>
        </w:rPr>
        <w:t>1.02万元</w:t>
      </w:r>
      <w:r>
        <w:rPr>
          <w:rFonts w:hint="eastAsia" w:ascii="仿宋" w:hAnsi="仿宋" w:eastAsia="仿宋" w:cs="仿宋"/>
          <w:color w:val="000000"/>
          <w:sz w:val="32"/>
          <w:szCs w:val="32"/>
        </w:rPr>
        <w:t>、取暖费</w:t>
      </w:r>
      <w:r>
        <w:rPr>
          <w:rFonts w:hint="eastAsia" w:ascii="仿宋" w:hAnsi="仿宋" w:eastAsia="仿宋" w:cs="仿宋"/>
          <w:color w:val="000000"/>
          <w:sz w:val="32"/>
          <w:szCs w:val="32"/>
          <w:lang w:val="en-US" w:eastAsia="zh-CN"/>
        </w:rPr>
        <w:t>0.20万元</w:t>
      </w:r>
      <w:r>
        <w:rPr>
          <w:rFonts w:hint="eastAsia" w:ascii="仿宋" w:hAnsi="仿宋" w:eastAsia="仿宋" w:cs="仿宋"/>
          <w:color w:val="000000"/>
          <w:sz w:val="32"/>
          <w:szCs w:val="32"/>
        </w:rPr>
        <w:t>、差旅费</w:t>
      </w:r>
      <w:r>
        <w:rPr>
          <w:rFonts w:hint="eastAsia" w:ascii="仿宋" w:hAnsi="仿宋" w:eastAsia="仿宋" w:cs="仿宋"/>
          <w:color w:val="000000"/>
          <w:sz w:val="32"/>
          <w:szCs w:val="32"/>
          <w:lang w:val="en-US" w:eastAsia="zh-CN"/>
        </w:rPr>
        <w:t>0.89万元</w:t>
      </w:r>
      <w:r>
        <w:rPr>
          <w:rFonts w:hint="eastAsia" w:ascii="仿宋" w:hAnsi="仿宋" w:eastAsia="仿宋" w:cs="仿宋"/>
          <w:color w:val="000000"/>
          <w:sz w:val="32"/>
          <w:szCs w:val="32"/>
        </w:rPr>
        <w:t>、维修（护）费</w:t>
      </w:r>
      <w:r>
        <w:rPr>
          <w:rFonts w:hint="eastAsia" w:ascii="仿宋" w:hAnsi="仿宋" w:eastAsia="仿宋" w:cs="仿宋"/>
          <w:color w:val="000000"/>
          <w:sz w:val="32"/>
          <w:szCs w:val="32"/>
          <w:lang w:val="en-US" w:eastAsia="zh-CN"/>
        </w:rPr>
        <w:t>0.86万元</w:t>
      </w:r>
      <w:r>
        <w:rPr>
          <w:rFonts w:hint="eastAsia" w:ascii="仿宋" w:hAnsi="仿宋" w:eastAsia="仿宋" w:cs="仿宋"/>
          <w:color w:val="000000"/>
          <w:sz w:val="32"/>
          <w:szCs w:val="32"/>
        </w:rPr>
        <w:t>、培训费</w:t>
      </w:r>
      <w:r>
        <w:rPr>
          <w:rFonts w:hint="eastAsia" w:ascii="仿宋" w:hAnsi="仿宋" w:eastAsia="仿宋" w:cs="仿宋"/>
          <w:color w:val="000000"/>
          <w:sz w:val="32"/>
          <w:szCs w:val="32"/>
          <w:lang w:val="en-US" w:eastAsia="zh-CN"/>
        </w:rPr>
        <w:t>0.17万元</w:t>
      </w:r>
      <w:r>
        <w:rPr>
          <w:rFonts w:hint="eastAsia" w:ascii="仿宋" w:hAnsi="仿宋" w:eastAsia="仿宋" w:cs="仿宋"/>
          <w:color w:val="000000"/>
          <w:sz w:val="32"/>
          <w:szCs w:val="32"/>
        </w:rPr>
        <w:t>、公务接待费</w:t>
      </w:r>
      <w:r>
        <w:rPr>
          <w:rFonts w:hint="eastAsia" w:ascii="仿宋" w:hAnsi="仿宋" w:eastAsia="仿宋" w:cs="仿宋"/>
          <w:color w:val="000000"/>
          <w:sz w:val="32"/>
          <w:szCs w:val="32"/>
          <w:lang w:val="en-US" w:eastAsia="zh-CN"/>
        </w:rPr>
        <w:t>0.02万元</w:t>
      </w:r>
      <w:r>
        <w:rPr>
          <w:rFonts w:hint="eastAsia" w:ascii="仿宋" w:hAnsi="仿宋" w:eastAsia="仿宋" w:cs="仿宋"/>
          <w:color w:val="000000"/>
          <w:sz w:val="32"/>
          <w:szCs w:val="32"/>
        </w:rPr>
        <w:t>、公务用车运行维护费</w:t>
      </w:r>
      <w:r>
        <w:rPr>
          <w:rFonts w:hint="eastAsia" w:ascii="仿宋" w:hAnsi="仿宋" w:eastAsia="仿宋" w:cs="仿宋"/>
          <w:color w:val="000000"/>
          <w:sz w:val="32"/>
          <w:szCs w:val="32"/>
          <w:lang w:val="en-US" w:eastAsia="zh-CN"/>
        </w:rPr>
        <w:t>3.67万元。</w:t>
      </w:r>
    </w:p>
    <w:p>
      <w:pPr>
        <w:spacing w:line="600" w:lineRule="exact"/>
        <w:ind w:firstLine="640"/>
        <w:outlineLvl w:val="1"/>
        <w:rPr>
          <w:rStyle w:val="25"/>
          <w:rFonts w:ascii="黑体" w:hAnsi="黑体" w:eastAsia="黑体"/>
          <w:b w:val="0"/>
        </w:rPr>
      </w:pPr>
      <w:bookmarkStart w:id="70" w:name="_Toc21271"/>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8"/>
      <w:bookmarkEnd w:id="69"/>
      <w:bookmarkEnd w:id="70"/>
    </w:p>
    <w:p>
      <w:pPr>
        <w:spacing w:line="600" w:lineRule="exact"/>
        <w:ind w:firstLine="640"/>
        <w:outlineLvl w:val="2"/>
        <w:rPr>
          <w:rFonts w:ascii="仿宋" w:hAnsi="仿宋" w:eastAsia="仿宋"/>
          <w:b/>
          <w:color w:val="000000"/>
          <w:sz w:val="32"/>
          <w:szCs w:val="32"/>
        </w:rPr>
      </w:pPr>
      <w:bookmarkStart w:id="71" w:name="_Toc15377216"/>
      <w:bookmarkStart w:id="72" w:name="_Toc3853"/>
      <w:r>
        <w:rPr>
          <w:rFonts w:hint="eastAsia" w:ascii="仿宋" w:hAnsi="仿宋" w:eastAsia="仿宋"/>
          <w:b/>
          <w:color w:val="000000"/>
          <w:sz w:val="32"/>
          <w:szCs w:val="32"/>
        </w:rPr>
        <w:t>（一）“三公”经费财政拨款支出决算总体情况说明</w:t>
      </w:r>
      <w:bookmarkEnd w:id="71"/>
      <w:bookmarkEnd w:id="72"/>
    </w:p>
    <w:p>
      <w:pPr>
        <w:spacing w:line="600" w:lineRule="exact"/>
        <w:ind w:firstLine="640"/>
        <w:rPr>
          <w:rFonts w:hint="eastAsia" w:ascii="仿宋" w:hAnsi="仿宋" w:eastAsia="仿宋"/>
          <w:b/>
          <w:color w:val="FF0000"/>
          <w:sz w:val="32"/>
          <w:szCs w:val="32"/>
          <w:lang w:eastAsia="zh-CN"/>
        </w:rPr>
      </w:pPr>
      <w:r>
        <w:rPr>
          <w:rFonts w:hint="eastAsia" w:ascii="仿宋" w:hAnsi="仿宋" w:eastAsia="仿宋" w:cs="仿宋"/>
          <w:color w:val="000000"/>
          <w:sz w:val="32"/>
          <w:szCs w:val="32"/>
        </w:rPr>
        <w:t>2019年“三公”经费财政拨款支出决算为</w:t>
      </w:r>
      <w:r>
        <w:rPr>
          <w:rFonts w:hint="eastAsia" w:ascii="仿宋" w:hAnsi="仿宋" w:eastAsia="仿宋" w:cs="仿宋"/>
          <w:color w:val="000000"/>
          <w:sz w:val="32"/>
          <w:szCs w:val="32"/>
          <w:lang w:val="en-US" w:eastAsia="zh-CN"/>
        </w:rPr>
        <w:t>3.69</w:t>
      </w:r>
      <w:r>
        <w:rPr>
          <w:rFonts w:hint="eastAsia" w:ascii="仿宋" w:hAnsi="仿宋" w:eastAsia="仿宋" w:cs="仿宋"/>
          <w:color w:val="000000"/>
          <w:sz w:val="32"/>
          <w:szCs w:val="32"/>
        </w:rPr>
        <w:t>万元，完成预算</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%，决算数与预算数持平</w:t>
      </w:r>
      <w:r>
        <w:rPr>
          <w:rFonts w:hint="eastAsia" w:ascii="仿宋" w:hAnsi="仿宋" w:eastAsia="仿宋" w:cs="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73" w:name="_Toc15377217"/>
      <w:bookmarkStart w:id="74" w:name="_Toc19034"/>
      <w:r>
        <w:rPr>
          <w:rFonts w:hint="eastAsia" w:ascii="仿宋" w:hAnsi="仿宋" w:eastAsia="仿宋"/>
          <w:b/>
          <w:color w:val="000000"/>
          <w:sz w:val="32"/>
          <w:szCs w:val="32"/>
        </w:rPr>
        <w:t>（二）“三公”经费财政拨款支出决算具体情况说明</w:t>
      </w:r>
      <w:bookmarkEnd w:id="73"/>
      <w:bookmarkEnd w:id="74"/>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 w:hAnsi="仿宋" w:eastAsia="仿宋" w:cs="仿宋"/>
          <w:color w:val="000000"/>
          <w:sz w:val="32"/>
          <w:szCs w:val="32"/>
        </w:rPr>
      </w:pPr>
      <w:r>
        <w:rPr>
          <w:rFonts w:hint="eastAsia" w:asciiTheme="minorEastAsia" w:hAnsiTheme="minorEastAsia" w:eastAsiaTheme="minorEastAsia" w:cstheme="minorEastAsia"/>
          <w:color w:val="000000"/>
          <w:sz w:val="36"/>
          <w:szCs w:val="36"/>
          <w:lang w:eastAsia="zh-CN"/>
        </w:rPr>
        <w:drawing>
          <wp:anchor distT="0" distB="0" distL="114300" distR="114300" simplePos="0" relativeHeight="251778048" behindDoc="0" locked="0" layoutInCell="1" allowOverlap="1">
            <wp:simplePos x="0" y="0"/>
            <wp:positionH relativeFrom="column">
              <wp:posOffset>1115695</wp:posOffset>
            </wp:positionH>
            <wp:positionV relativeFrom="paragraph">
              <wp:posOffset>1720215</wp:posOffset>
            </wp:positionV>
            <wp:extent cx="3114040" cy="2334260"/>
            <wp:effectExtent l="0" t="0" r="10160" b="8890"/>
            <wp:wrapTopAndBottom/>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12"/>
                    <a:stretch>
                      <a:fillRect/>
                    </a:stretch>
                  </pic:blipFill>
                  <pic:spPr>
                    <a:xfrm>
                      <a:off x="0" y="0"/>
                      <a:ext cx="3114040" cy="2334260"/>
                    </a:xfrm>
                    <a:prstGeom prst="rect">
                      <a:avLst/>
                    </a:prstGeom>
                  </pic:spPr>
                </pic:pic>
              </a:graphicData>
            </a:graphic>
          </wp:anchor>
        </w:drawing>
      </w:r>
      <w:r>
        <w:rPr>
          <w:rFonts w:hint="eastAsia" w:ascii="仿宋" w:hAnsi="仿宋" w:eastAsia="仿宋" w:cs="仿宋"/>
          <w:color w:val="000000"/>
          <w:sz w:val="32"/>
          <w:szCs w:val="32"/>
        </w:rPr>
        <w:t>2019年“三公”经费财政拨款支出决算中，因公出国（境）费支出决算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%；公务用车购置及运行维护费支出决算</w:t>
      </w:r>
      <w:r>
        <w:rPr>
          <w:rFonts w:hint="eastAsia" w:ascii="仿宋" w:hAnsi="仿宋" w:eastAsia="仿宋" w:cs="仿宋"/>
          <w:color w:val="000000"/>
          <w:sz w:val="32"/>
          <w:szCs w:val="32"/>
          <w:lang w:val="en-US" w:eastAsia="zh-CN"/>
        </w:rPr>
        <w:t>3.67</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rPr>
        <w:t>%；公务接待费支出决算</w:t>
      </w:r>
      <w:r>
        <w:rPr>
          <w:rFonts w:hint="eastAsia" w:ascii="仿宋" w:hAnsi="仿宋" w:eastAsia="仿宋" w:cs="仿宋"/>
          <w:color w:val="000000"/>
          <w:sz w:val="32"/>
          <w:szCs w:val="32"/>
          <w:lang w:val="en-US" w:eastAsia="zh-CN"/>
        </w:rPr>
        <w:t>0.02</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%。具体情况如下：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kinsoku/>
        <w:wordWrap/>
        <w:overflowPunct/>
        <w:topLinePunct w:val="0"/>
        <w:bidi w:val="0"/>
        <w:spacing w:line="56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1.因公出国（境）经费支出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w:t>
      </w:r>
      <w:r>
        <w:rPr>
          <w:rStyle w:val="14"/>
          <w:rFonts w:hint="eastAsia" w:ascii="仿宋" w:hAnsi="仿宋" w:eastAsia="仿宋" w:cs="仿宋"/>
          <w:b w:val="0"/>
          <w:bCs/>
          <w:color w:val="000000"/>
          <w:sz w:val="32"/>
          <w:szCs w:val="32"/>
        </w:rPr>
        <w:t>完成预算</w:t>
      </w:r>
      <w:r>
        <w:rPr>
          <w:rStyle w:val="14"/>
          <w:rFonts w:hint="eastAsia" w:ascii="仿宋" w:hAnsi="仿宋" w:eastAsia="仿宋" w:cs="仿宋"/>
          <w:b w:val="0"/>
          <w:bCs/>
          <w:color w:val="000000"/>
          <w:sz w:val="32"/>
          <w:szCs w:val="32"/>
          <w:lang w:val="en-US" w:eastAsia="zh-CN"/>
        </w:rPr>
        <w:t>0</w:t>
      </w:r>
      <w:r>
        <w:rPr>
          <w:rStyle w:val="14"/>
          <w:rFonts w:hint="eastAsia" w:ascii="仿宋" w:hAnsi="仿宋" w:eastAsia="仿宋" w:cs="仿宋"/>
          <w:b w:val="0"/>
          <w:bCs/>
          <w:color w:val="000000"/>
          <w:sz w:val="32"/>
          <w:szCs w:val="32"/>
        </w:rPr>
        <w:t>%。</w:t>
      </w:r>
      <w:r>
        <w:rPr>
          <w:rFonts w:hint="eastAsia" w:ascii="仿宋" w:hAnsi="仿宋" w:eastAsia="仿宋" w:cs="仿宋"/>
          <w:color w:val="000000"/>
          <w:sz w:val="32"/>
          <w:szCs w:val="32"/>
        </w:rPr>
        <w:t>全年安排因公出国（境）团组</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次，出国（境）</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w:t>
      </w:r>
    </w:p>
    <w:p>
      <w:pPr>
        <w:pageBreakBefore w:val="0"/>
        <w:kinsoku/>
        <w:wordWrap/>
        <w:overflowPunct/>
        <w:topLinePunct w:val="0"/>
        <w:bidi w:val="0"/>
        <w:spacing w:line="560" w:lineRule="exact"/>
        <w:ind w:firstLine="640"/>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rPr>
        <w:t>2.公务用车购置及运行维护费支出</w:t>
      </w:r>
      <w:r>
        <w:rPr>
          <w:rFonts w:hint="eastAsia" w:ascii="仿宋" w:hAnsi="仿宋" w:eastAsia="仿宋" w:cs="仿宋"/>
          <w:color w:val="000000"/>
          <w:sz w:val="32"/>
          <w:szCs w:val="32"/>
          <w:lang w:val="en-US" w:eastAsia="zh-CN"/>
        </w:rPr>
        <w:t>3.67万元</w:t>
      </w:r>
      <w:r>
        <w:rPr>
          <w:rFonts w:hint="eastAsia" w:ascii="仿宋" w:hAnsi="仿宋" w:eastAsia="仿宋" w:cs="仿宋"/>
          <w:color w:val="000000"/>
          <w:sz w:val="32"/>
          <w:szCs w:val="32"/>
        </w:rPr>
        <w:t>,</w:t>
      </w:r>
      <w:r>
        <w:rPr>
          <w:rStyle w:val="14"/>
          <w:rFonts w:hint="eastAsia" w:ascii="仿宋" w:hAnsi="仿宋" w:eastAsia="仿宋" w:cs="仿宋"/>
          <w:b w:val="0"/>
          <w:bCs/>
          <w:color w:val="000000"/>
          <w:sz w:val="32"/>
          <w:szCs w:val="32"/>
        </w:rPr>
        <w:t>完成预算</w:t>
      </w:r>
      <w:r>
        <w:rPr>
          <w:rStyle w:val="14"/>
          <w:rFonts w:hint="eastAsia" w:ascii="仿宋" w:hAnsi="仿宋" w:eastAsia="仿宋" w:cs="仿宋"/>
          <w:b w:val="0"/>
          <w:bCs/>
          <w:color w:val="000000"/>
          <w:sz w:val="32"/>
          <w:szCs w:val="32"/>
          <w:lang w:val="en-US" w:eastAsia="zh-CN"/>
        </w:rPr>
        <w:t>140</w:t>
      </w:r>
      <w:r>
        <w:rPr>
          <w:rStyle w:val="14"/>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公务用车购置及运行维护费支出决算比2018年增加</w:t>
      </w:r>
      <w:r>
        <w:rPr>
          <w:rFonts w:hint="eastAsia" w:ascii="仿宋" w:hAnsi="仿宋" w:eastAsia="仿宋" w:cs="仿宋"/>
          <w:color w:val="000000"/>
          <w:sz w:val="32"/>
          <w:szCs w:val="32"/>
          <w:lang w:val="en-US" w:eastAsia="zh-CN"/>
        </w:rPr>
        <w:t>1.89</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51</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val="en-US" w:eastAsia="zh-CN"/>
        </w:rPr>
        <w:t>2019年公车大型维修</w:t>
      </w:r>
    </w:p>
    <w:p>
      <w:pPr>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val="0"/>
          <w:bCs/>
          <w:color w:val="000000"/>
          <w:sz w:val="32"/>
          <w:szCs w:val="32"/>
        </w:rPr>
        <w:t>公务用车购置支出</w:t>
      </w:r>
      <w:r>
        <w:rPr>
          <w:rFonts w:hint="eastAsia" w:ascii="仿宋" w:hAnsi="仿宋" w:eastAsia="仿宋" w:cs="仿宋"/>
          <w:b w:val="0"/>
          <w:bCs/>
          <w:color w:val="000000"/>
          <w:sz w:val="32"/>
          <w:szCs w:val="32"/>
          <w:lang w:val="en-US" w:eastAsia="zh-CN"/>
        </w:rPr>
        <w:t>0</w:t>
      </w:r>
      <w:r>
        <w:rPr>
          <w:rFonts w:hint="eastAsia" w:ascii="仿宋" w:hAnsi="仿宋" w:eastAsia="仿宋" w:cs="仿宋"/>
          <w:color w:val="000000"/>
          <w:sz w:val="32"/>
          <w:szCs w:val="32"/>
        </w:rPr>
        <w:t>万元。全年按规定更新购置公务用车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辆，金额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元。截至2019年12月底，单位共有公务用车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辆，其中：主要领导干部用车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辆、机要通信用车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辆、应急保障用车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 执法执勤用车</w:t>
      </w:r>
      <w:r>
        <w:rPr>
          <w:rFonts w:hint="eastAsia" w:ascii="仿宋" w:hAnsi="仿宋" w:eastAsia="仿宋" w:cs="仿宋"/>
          <w:color w:val="000000"/>
          <w:sz w:val="32"/>
          <w:szCs w:val="32"/>
          <w:lang w:val="en-US" w:eastAsia="zh-CN"/>
        </w:rPr>
        <w:t>0辆</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一般公务用车</w:t>
      </w:r>
      <w:r>
        <w:rPr>
          <w:rFonts w:hint="eastAsia" w:ascii="仿宋" w:hAnsi="仿宋" w:eastAsia="仿宋" w:cs="仿宋"/>
          <w:color w:val="000000"/>
          <w:sz w:val="32"/>
          <w:szCs w:val="32"/>
          <w:lang w:val="en-US" w:eastAsia="zh-CN"/>
        </w:rPr>
        <w:t>1辆</w:t>
      </w:r>
    </w:p>
    <w:p>
      <w:pPr>
        <w:pageBreakBefore w:val="0"/>
        <w:kinsoku/>
        <w:wordWrap/>
        <w:overflowPunct/>
        <w:topLinePunct w:val="0"/>
        <w:bidi w:val="0"/>
        <w:spacing w:line="56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公务用车运行维护费支出</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3.67万元</w:t>
      </w:r>
      <w:r>
        <w:rPr>
          <w:rFonts w:hint="eastAsia" w:ascii="仿宋" w:hAnsi="仿宋" w:eastAsia="仿宋" w:cs="仿宋"/>
          <w:color w:val="000000"/>
          <w:sz w:val="32"/>
          <w:szCs w:val="32"/>
        </w:rPr>
        <w:t>。主要用于</w:t>
      </w:r>
      <w:r>
        <w:rPr>
          <w:rFonts w:hint="eastAsia" w:ascii="仿宋" w:hAnsi="仿宋" w:eastAsia="仿宋" w:cs="仿宋"/>
          <w:color w:val="000000"/>
          <w:sz w:val="32"/>
          <w:szCs w:val="32"/>
          <w:lang w:eastAsia="zh-CN"/>
        </w:rPr>
        <w:t>出差及下乡</w:t>
      </w:r>
      <w:r>
        <w:rPr>
          <w:rFonts w:hint="eastAsia" w:ascii="仿宋" w:hAnsi="仿宋" w:eastAsia="仿宋" w:cs="仿宋"/>
          <w:color w:val="000000"/>
          <w:sz w:val="32"/>
          <w:szCs w:val="32"/>
        </w:rPr>
        <w:t>工作等</w:t>
      </w:r>
      <w:r>
        <w:rPr>
          <w:rFonts w:hint="eastAsia" w:ascii="仿宋" w:hAnsi="仿宋" w:eastAsia="仿宋" w:cs="仿宋"/>
          <w:color w:val="000000"/>
          <w:sz w:val="32"/>
          <w:szCs w:val="32"/>
          <w:lang w:eastAsia="zh-CN"/>
        </w:rPr>
        <w:t>工作</w:t>
      </w:r>
      <w:r>
        <w:rPr>
          <w:rFonts w:hint="eastAsia" w:ascii="仿宋" w:hAnsi="仿宋" w:eastAsia="仿宋" w:cs="仿宋"/>
          <w:color w:val="000000"/>
          <w:sz w:val="32"/>
          <w:szCs w:val="32"/>
        </w:rPr>
        <w:t>所需的公务用车燃料费、维修费、过路过桥费、保险费等支出。</w:t>
      </w:r>
    </w:p>
    <w:p>
      <w:pPr>
        <w:pageBreakBefore w:val="0"/>
        <w:kinsoku/>
        <w:wordWrap/>
        <w:overflowPunct/>
        <w:topLinePunct w:val="0"/>
        <w:bidi w:val="0"/>
        <w:spacing w:line="560" w:lineRule="exact"/>
        <w:ind w:firstLine="321" w:firstLineChars="100"/>
        <w:rPr>
          <w:rFonts w:hint="eastAsia" w:ascii="仿宋" w:hAnsi="仿宋" w:eastAsia="仿宋" w:cs="仿宋"/>
          <w:color w:val="000000"/>
          <w:sz w:val="32"/>
          <w:szCs w:val="32"/>
          <w:lang w:val="en-US" w:eastAsia="zh-CN"/>
        </w:rPr>
      </w:pPr>
      <w:r>
        <w:rPr>
          <w:rFonts w:hint="eastAsia" w:ascii="仿宋" w:hAnsi="仿宋" w:eastAsia="仿宋" w:cs="仿宋"/>
          <w:b/>
          <w:color w:val="000000"/>
          <w:sz w:val="32"/>
          <w:szCs w:val="32"/>
        </w:rPr>
        <w:t>3.公务接待费支出</w:t>
      </w:r>
      <w:r>
        <w:rPr>
          <w:rFonts w:hint="eastAsia" w:ascii="仿宋" w:hAnsi="仿宋" w:eastAsia="仿宋" w:cs="仿宋"/>
          <w:color w:val="000000"/>
          <w:sz w:val="32"/>
          <w:szCs w:val="32"/>
          <w:lang w:val="en-US" w:eastAsia="zh-CN"/>
        </w:rPr>
        <w:t>0.02</w:t>
      </w:r>
      <w:r>
        <w:rPr>
          <w:rFonts w:hint="eastAsia" w:ascii="仿宋" w:hAnsi="仿宋" w:eastAsia="仿宋" w:cs="仿宋"/>
          <w:color w:val="000000"/>
          <w:sz w:val="32"/>
          <w:szCs w:val="32"/>
        </w:rPr>
        <w:t>万元，</w:t>
      </w:r>
      <w:r>
        <w:rPr>
          <w:rStyle w:val="14"/>
          <w:rFonts w:hint="eastAsia" w:ascii="仿宋" w:hAnsi="仿宋" w:eastAsia="仿宋" w:cs="仿宋"/>
          <w:b w:val="0"/>
          <w:bCs/>
          <w:color w:val="000000"/>
          <w:sz w:val="32"/>
          <w:szCs w:val="32"/>
        </w:rPr>
        <w:t>完成预算</w:t>
      </w:r>
      <w:r>
        <w:rPr>
          <w:rStyle w:val="14"/>
          <w:rFonts w:hint="eastAsia" w:ascii="仿宋" w:hAnsi="仿宋" w:eastAsia="仿宋" w:cs="仿宋"/>
          <w:b w:val="0"/>
          <w:bCs/>
          <w:color w:val="000000"/>
          <w:sz w:val="32"/>
          <w:szCs w:val="32"/>
          <w:lang w:val="en-US" w:eastAsia="zh-CN"/>
        </w:rPr>
        <w:t>14</w:t>
      </w:r>
      <w:r>
        <w:rPr>
          <w:rStyle w:val="14"/>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公务接待费支出决算比2018年减少</w:t>
      </w:r>
      <w:r>
        <w:rPr>
          <w:rFonts w:hint="eastAsia" w:ascii="仿宋" w:hAnsi="仿宋" w:eastAsia="仿宋" w:cs="仿宋"/>
          <w:color w:val="000000"/>
          <w:sz w:val="32"/>
          <w:szCs w:val="32"/>
          <w:lang w:val="en-US" w:eastAsia="zh-CN"/>
        </w:rPr>
        <w:t>0.05</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71</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eastAsia="zh-CN"/>
        </w:rPr>
        <w:t>厉行节约</w:t>
      </w:r>
    </w:p>
    <w:p>
      <w:pPr>
        <w:pageBreakBefore w:val="0"/>
        <w:kinsoku/>
        <w:wordWrap/>
        <w:overflowPunct/>
        <w:topLinePunct w:val="0"/>
        <w:bidi w:val="0"/>
        <w:spacing w:line="560" w:lineRule="exact"/>
        <w:ind w:firstLine="643" w:firstLineChars="200"/>
        <w:rPr>
          <w:rFonts w:hint="eastAsia" w:ascii="仿宋" w:hAnsi="仿宋" w:eastAsia="仿宋" w:cs="仿宋"/>
          <w:color w:val="000000"/>
          <w:sz w:val="32"/>
          <w:szCs w:val="32"/>
          <w:lang w:eastAsia="zh-CN"/>
        </w:rPr>
      </w:pPr>
      <w:r>
        <w:rPr>
          <w:rFonts w:hint="eastAsia" w:ascii="仿宋" w:hAnsi="仿宋" w:eastAsia="仿宋" w:cs="仿宋"/>
          <w:b/>
          <w:color w:val="000000"/>
          <w:sz w:val="32"/>
          <w:szCs w:val="32"/>
        </w:rPr>
        <w:t>国内公务接待支出</w:t>
      </w:r>
      <w:r>
        <w:rPr>
          <w:rFonts w:hint="eastAsia" w:ascii="仿宋" w:hAnsi="仿宋" w:eastAsia="仿宋" w:cs="仿宋"/>
          <w:color w:val="000000"/>
          <w:sz w:val="32"/>
          <w:szCs w:val="32"/>
          <w:lang w:val="en-US" w:eastAsia="zh-CN"/>
        </w:rPr>
        <w:t>0.02万元</w:t>
      </w:r>
      <w:r>
        <w:rPr>
          <w:rFonts w:hint="eastAsia" w:ascii="仿宋" w:hAnsi="仿宋" w:eastAsia="仿宋" w:cs="仿宋"/>
          <w:color w:val="000000"/>
          <w:sz w:val="32"/>
          <w:szCs w:val="32"/>
        </w:rPr>
        <w:t>，主要用于执行公务、开展业务活动开支的交通费、住宿费、用餐费等。国内公务接待</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批次，</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人次（不包括陪同人员），共计支出</w:t>
      </w:r>
      <w:r>
        <w:rPr>
          <w:rFonts w:hint="eastAsia" w:ascii="仿宋" w:hAnsi="仿宋" w:eastAsia="仿宋" w:cs="仿宋"/>
          <w:color w:val="000000"/>
          <w:sz w:val="32"/>
          <w:szCs w:val="32"/>
          <w:lang w:val="en-US" w:eastAsia="zh-CN"/>
        </w:rPr>
        <w:t>0.02</w:t>
      </w:r>
      <w:r>
        <w:rPr>
          <w:rFonts w:hint="eastAsia" w:ascii="仿宋" w:hAnsi="仿宋" w:eastAsia="仿宋" w:cs="仿宋"/>
          <w:color w:val="000000"/>
          <w:sz w:val="32"/>
          <w:szCs w:val="32"/>
        </w:rPr>
        <w:t>万元，具体内容包括：接待具体项目、金额）。其中：</w:t>
      </w:r>
      <w:r>
        <w:rPr>
          <w:rFonts w:hint="eastAsia" w:ascii="仿宋" w:hAnsi="仿宋" w:eastAsia="仿宋" w:cs="仿宋"/>
          <w:color w:val="000000"/>
          <w:sz w:val="32"/>
          <w:szCs w:val="32"/>
          <w:lang w:eastAsia="zh-CN"/>
        </w:rPr>
        <w:t>用于接待口述历史拍摄人员</w:t>
      </w:r>
    </w:p>
    <w:p>
      <w:pPr>
        <w:pageBreakBefore w:val="0"/>
        <w:kinsoku/>
        <w:wordWrap/>
        <w:overflowPunct/>
        <w:topLinePunct w:val="0"/>
        <w:bidi w:val="0"/>
        <w:spacing w:line="560" w:lineRule="exact"/>
        <w:ind w:firstLine="643" w:firstLineChars="200"/>
        <w:rPr>
          <w:rFonts w:ascii="黑体" w:eastAsia="黑体"/>
          <w:color w:val="000000"/>
          <w:sz w:val="32"/>
          <w:szCs w:val="32"/>
        </w:rPr>
      </w:pPr>
      <w:r>
        <w:rPr>
          <w:rFonts w:hint="eastAsia" w:ascii="仿宋" w:hAnsi="仿宋" w:eastAsia="仿宋" w:cs="仿宋"/>
          <w:b/>
          <w:color w:val="000000"/>
          <w:sz w:val="32"/>
          <w:szCs w:val="32"/>
        </w:rPr>
        <w:t>外事接待支出</w:t>
      </w:r>
      <w:r>
        <w:rPr>
          <w:rFonts w:hint="eastAsia" w:ascii="仿宋" w:hAnsi="仿宋" w:eastAsia="仿宋" w:cs="仿宋"/>
          <w:b/>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themeColor="text1"/>
          <w:sz w:val="32"/>
          <w:szCs w:val="32"/>
          <w14:textFill>
            <w14:solidFill>
              <w14:schemeClr w14:val="tx1"/>
            </w14:solidFill>
          </w14:textFill>
        </w:rPr>
        <w:t>，外事接待</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批次，</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人，共计支出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bookmarkStart w:id="75" w:name="_Toc15396610"/>
      <w:bookmarkStart w:id="76" w:name="_Toc15377218"/>
    </w:p>
    <w:p>
      <w:pPr>
        <w:spacing w:line="600" w:lineRule="exact"/>
        <w:ind w:firstLine="640"/>
        <w:outlineLvl w:val="1"/>
        <w:rPr>
          <w:rStyle w:val="25"/>
          <w:rFonts w:ascii="黑体" w:hAnsi="黑体" w:eastAsia="黑体"/>
        </w:rPr>
      </w:pPr>
      <w:bookmarkStart w:id="77" w:name="_Toc1212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5"/>
      <w:bookmarkEnd w:id="76"/>
      <w:bookmarkEnd w:id="7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78" w:name="_Toc15377219"/>
      <w:bookmarkStart w:id="79" w:name="_Toc15396611"/>
      <w:bookmarkStart w:id="80" w:name="_Toc20062"/>
      <w:r>
        <w:rPr>
          <w:rStyle w:val="25"/>
          <w:rFonts w:hint="eastAsia" w:ascii="黑体" w:hAnsi="黑体" w:eastAsia="黑体"/>
          <w:b w:val="0"/>
        </w:rPr>
        <w:t>国有资本经营预算支出决算情况说明</w:t>
      </w:r>
      <w:bookmarkEnd w:id="78"/>
      <w:bookmarkEnd w:id="79"/>
      <w:bookmarkEnd w:id="8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81" w:name="_Toc15396612"/>
      <w:bookmarkStart w:id="82" w:name="_Toc15377221"/>
      <w:bookmarkStart w:id="83" w:name="_Toc3899"/>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1"/>
      <w:bookmarkEnd w:id="82"/>
      <w:bookmarkEnd w:id="83"/>
    </w:p>
    <w:p>
      <w:pPr>
        <w:spacing w:line="600" w:lineRule="exact"/>
        <w:ind w:firstLine="643" w:firstLineChars="200"/>
        <w:outlineLvl w:val="2"/>
        <w:rPr>
          <w:rFonts w:ascii="仿宋" w:hAnsi="仿宋" w:eastAsia="仿宋"/>
          <w:color w:val="000000"/>
          <w:sz w:val="32"/>
          <w:szCs w:val="32"/>
        </w:rPr>
      </w:pPr>
      <w:bookmarkStart w:id="84" w:name="_Toc15377222"/>
      <w:bookmarkStart w:id="85" w:name="_Toc6927"/>
      <w:r>
        <w:rPr>
          <w:rFonts w:hint="eastAsia" w:ascii="仿宋" w:hAnsi="仿宋" w:eastAsia="仿宋"/>
          <w:b/>
          <w:color w:val="000000"/>
          <w:sz w:val="32"/>
          <w:szCs w:val="32"/>
        </w:rPr>
        <w:t>（一）机关运行经费支出情况</w:t>
      </w:r>
      <w:bookmarkEnd w:id="84"/>
      <w:bookmarkEnd w:id="85"/>
    </w:p>
    <w:p>
      <w:pPr>
        <w:pageBreakBefore w:val="0"/>
        <w:kinsoku/>
        <w:wordWrap/>
        <w:overflowPunct/>
        <w:topLinePunct w:val="0"/>
        <w:bidi w:val="0"/>
        <w:spacing w:line="560" w:lineRule="exact"/>
        <w:ind w:firstLine="640" w:firstLineChars="200"/>
        <w:rPr>
          <w:rFonts w:ascii="仿宋" w:hAnsi="仿宋" w:eastAsia="仿宋"/>
          <w:b/>
          <w:color w:val="FF0000"/>
          <w:sz w:val="32"/>
          <w:szCs w:val="32"/>
        </w:rPr>
      </w:pPr>
      <w:r>
        <w:rPr>
          <w:rFonts w:hint="eastAsia" w:ascii="仿宋" w:hAnsi="仿宋" w:eastAsia="仿宋" w:cs="仿宋"/>
          <w:color w:val="000000"/>
          <w:sz w:val="32"/>
          <w:szCs w:val="32"/>
        </w:rPr>
        <w:t>2019年机关运行经费支出</w:t>
      </w:r>
      <w:r>
        <w:rPr>
          <w:rFonts w:hint="eastAsia" w:ascii="仿宋" w:hAnsi="仿宋" w:eastAsia="仿宋" w:cs="仿宋"/>
          <w:color w:val="000000"/>
          <w:sz w:val="32"/>
          <w:szCs w:val="32"/>
          <w:lang w:val="en-US" w:eastAsia="zh-CN"/>
        </w:rPr>
        <w:t>11.27</w:t>
      </w:r>
      <w:r>
        <w:rPr>
          <w:rFonts w:hint="eastAsia" w:ascii="仿宋" w:hAnsi="仿宋" w:eastAsia="仿宋" w:cs="仿宋"/>
          <w:color w:val="000000"/>
          <w:sz w:val="32"/>
          <w:szCs w:val="32"/>
        </w:rPr>
        <w:t>万元，比2018年减少</w:t>
      </w:r>
      <w:r>
        <w:rPr>
          <w:rFonts w:hint="eastAsia" w:ascii="仿宋" w:hAnsi="仿宋" w:eastAsia="仿宋" w:cs="仿宋"/>
          <w:color w:val="000000"/>
          <w:sz w:val="32"/>
          <w:szCs w:val="32"/>
          <w:lang w:val="en-US" w:eastAsia="zh-CN"/>
        </w:rPr>
        <w:t>3.64</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w:t>
      </w:r>
      <w:r>
        <w:rPr>
          <w:rFonts w:hint="eastAsia" w:ascii="仿宋" w:hAnsi="仿宋" w:eastAsia="仿宋" w:cs="仿宋"/>
          <w:color w:val="000000" w:themeColor="text1"/>
          <w:sz w:val="32"/>
          <w:szCs w:val="32"/>
          <w14:textFill>
            <w14:solidFill>
              <w14:schemeClr w14:val="tx1"/>
            </w14:solidFill>
          </w14:textFill>
        </w:rPr>
        <w:t>主要原因</w:t>
      </w:r>
      <w:r>
        <w:rPr>
          <w:rFonts w:hint="eastAsia" w:ascii="仿宋" w:hAnsi="仿宋" w:eastAsia="仿宋" w:cs="仿宋"/>
          <w:color w:val="000000" w:themeColor="text1"/>
          <w:sz w:val="32"/>
          <w:szCs w:val="32"/>
          <w:lang w:val="en-US" w:eastAsia="zh-CN"/>
          <w14:textFill>
            <w14:solidFill>
              <w14:schemeClr w14:val="tx1"/>
            </w14:solidFill>
          </w14:textFill>
        </w:rPr>
        <w:t>是厉行节约。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15377223"/>
      <w:bookmarkStart w:id="87" w:name="_Toc21441"/>
      <w:r>
        <w:rPr>
          <w:rFonts w:hint="eastAsia" w:ascii="仿宋" w:hAnsi="仿宋" w:eastAsia="仿宋"/>
          <w:b/>
          <w:color w:val="000000"/>
          <w:sz w:val="32"/>
          <w:szCs w:val="32"/>
        </w:rPr>
        <w:t>（二）政府采购支出情况</w:t>
      </w:r>
      <w:bookmarkEnd w:id="86"/>
      <w:bookmarkEnd w:id="87"/>
    </w:p>
    <w:p>
      <w:pPr>
        <w:pageBreakBefore w:val="0"/>
        <w:kinsoku/>
        <w:wordWrap/>
        <w:overflowPunct/>
        <w:topLinePunct w:val="0"/>
        <w:autoSpaceDE w:val="0"/>
        <w:autoSpaceDN w:val="0"/>
        <w:bidi w:val="0"/>
        <w:adjustRightInd w:val="0"/>
        <w:spacing w:line="560" w:lineRule="exact"/>
        <w:ind w:firstLine="640" w:firstLineChars="200"/>
        <w:jc w:val="left"/>
        <w:outlineLvl w:val="2"/>
        <w:rPr>
          <w:rFonts w:ascii="仿宋" w:hAnsi="仿宋" w:eastAsia="仿宋"/>
          <w:b/>
          <w:color w:val="FF0000"/>
          <w:sz w:val="32"/>
          <w:szCs w:val="32"/>
        </w:rPr>
      </w:pPr>
      <w:bookmarkStart w:id="88" w:name="_Toc12231"/>
      <w:bookmarkStart w:id="89" w:name="_Toc32461"/>
      <w:r>
        <w:rPr>
          <w:rFonts w:hint="eastAsia" w:ascii="仿宋" w:hAnsi="仿宋" w:eastAsia="仿宋" w:cs="仿宋"/>
          <w:color w:val="000000"/>
          <w:sz w:val="32"/>
          <w:szCs w:val="32"/>
        </w:rPr>
        <w:t>2019年，政府采购支出总额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万元，其中：政府采购货物支出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万元、政府采购工程支出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万元、政府采购服务支出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bookmarkEnd w:id="88"/>
      <w:bookmarkEnd w:id="89"/>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0" w:name="_Toc15377224"/>
      <w:bookmarkStart w:id="91" w:name="_Toc301"/>
      <w:r>
        <w:rPr>
          <w:rFonts w:hint="eastAsia" w:ascii="仿宋" w:hAnsi="仿宋" w:eastAsia="仿宋"/>
          <w:b/>
          <w:color w:val="000000"/>
          <w:sz w:val="32"/>
          <w:szCs w:val="32"/>
        </w:rPr>
        <w:t>（三）国有资产占有使用情况</w:t>
      </w:r>
      <w:bookmarkEnd w:id="90"/>
      <w:bookmarkEnd w:id="91"/>
    </w:p>
    <w:p>
      <w:pPr>
        <w:pageBreakBefore w:val="0"/>
        <w:kinsoku/>
        <w:wordWrap/>
        <w:overflowPunct/>
        <w:topLinePunct w:val="0"/>
        <w:autoSpaceDE w:val="0"/>
        <w:autoSpaceDN w:val="0"/>
        <w:bidi w:val="0"/>
        <w:adjustRightInd w:val="0"/>
        <w:spacing w:line="560" w:lineRule="exact"/>
        <w:ind w:firstLine="640" w:firstLineChars="200"/>
        <w:jc w:val="left"/>
        <w:rPr>
          <w:rFonts w:ascii="仿宋" w:hAnsi="仿宋" w:eastAsia="仿宋"/>
          <w:b/>
          <w:color w:val="FF0000"/>
          <w:sz w:val="32"/>
          <w:szCs w:val="32"/>
        </w:rPr>
      </w:pPr>
      <w:r>
        <w:rPr>
          <w:rFonts w:hint="eastAsia" w:ascii="仿宋" w:hAnsi="仿宋" w:eastAsia="仿宋" w:cs="仿宋"/>
          <w:color w:val="000000"/>
          <w:sz w:val="32"/>
          <w:szCs w:val="32"/>
        </w:rPr>
        <w:t>截至2019年12月31日，</w:t>
      </w:r>
      <w:r>
        <w:rPr>
          <w:rFonts w:hint="eastAsia" w:ascii="仿宋" w:hAnsi="仿宋" w:eastAsia="仿宋" w:cs="仿宋"/>
          <w:color w:val="000000"/>
          <w:sz w:val="32"/>
          <w:szCs w:val="32"/>
          <w:lang w:eastAsia="zh-CN"/>
        </w:rPr>
        <w:t>本单位</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辆，其中：主要领导干部用车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辆、机要通信用车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辆、应急保障用车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辆、其他用车</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辆</w:t>
      </w:r>
      <w:r>
        <w:rPr>
          <w:rFonts w:hint="eastAsia" w:ascii="仿宋" w:hAnsi="仿宋" w:eastAsia="仿宋" w:cs="仿宋"/>
          <w:color w:val="000000"/>
          <w:sz w:val="32"/>
          <w:szCs w:val="32"/>
          <w:lang w:eastAsia="zh-CN"/>
        </w:rPr>
        <w:t>，</w:t>
      </w:r>
      <w:r>
        <w:rPr>
          <w:rFonts w:hint="eastAsia" w:ascii="仿宋" w:hAnsi="仿宋" w:eastAsia="仿宋" w:cs="仿宋"/>
          <w:color w:val="000000" w:themeColor="text1"/>
          <w:sz w:val="32"/>
          <w:szCs w:val="32"/>
          <w14:textFill>
            <w14:solidFill>
              <w14:schemeClr w14:val="tx1"/>
            </w14:solidFill>
          </w14:textFill>
        </w:rPr>
        <w:t>其他用车主要是用于</w:t>
      </w:r>
      <w:r>
        <w:rPr>
          <w:rFonts w:hint="eastAsia" w:ascii="仿宋" w:hAnsi="仿宋" w:eastAsia="仿宋" w:cs="仿宋"/>
          <w:color w:val="000000"/>
          <w:sz w:val="32"/>
          <w:szCs w:val="32"/>
        </w:rPr>
        <w:t>主要用于</w:t>
      </w:r>
      <w:r>
        <w:rPr>
          <w:rFonts w:hint="eastAsia" w:ascii="仿宋" w:hAnsi="仿宋" w:eastAsia="仿宋" w:cs="仿宋"/>
          <w:color w:val="000000"/>
          <w:sz w:val="32"/>
          <w:szCs w:val="32"/>
          <w:lang w:eastAsia="zh-CN"/>
        </w:rPr>
        <w:t>出差及下乡</w:t>
      </w:r>
      <w:r>
        <w:rPr>
          <w:rFonts w:hint="eastAsia" w:ascii="仿宋" w:hAnsi="仿宋" w:eastAsia="仿宋" w:cs="仿宋"/>
          <w:color w:val="000000"/>
          <w:sz w:val="32"/>
          <w:szCs w:val="32"/>
        </w:rPr>
        <w:t>工作等</w:t>
      </w:r>
      <w:r>
        <w:rPr>
          <w:rFonts w:hint="eastAsia" w:ascii="仿宋" w:hAnsi="仿宋" w:eastAsia="仿宋" w:cs="仿宋"/>
          <w:color w:val="000000"/>
          <w:sz w:val="32"/>
          <w:szCs w:val="32"/>
          <w:lang w:eastAsia="zh-CN"/>
        </w:rPr>
        <w:t>工作</w:t>
      </w:r>
      <w:r>
        <w:rPr>
          <w:rFonts w:hint="eastAsia" w:ascii="仿宋" w:hAnsi="仿宋" w:eastAsia="仿宋" w:cs="仿宋"/>
          <w:color w:val="000000"/>
          <w:sz w:val="32"/>
          <w:szCs w:val="32"/>
        </w:rPr>
        <w:t>所需</w:t>
      </w:r>
      <w:r>
        <w:rPr>
          <w:rFonts w:hint="eastAsia" w:ascii="仿宋" w:hAnsi="仿宋" w:eastAsia="仿宋" w:cs="仿宋"/>
          <w:color w:val="000000"/>
          <w:sz w:val="32"/>
          <w:szCs w:val="32"/>
          <w:lang w:eastAsia="zh-CN"/>
        </w:rPr>
        <w:t>。</w:t>
      </w:r>
      <w:r>
        <w:rPr>
          <w:rFonts w:hint="eastAsia" w:ascii="仿宋" w:hAnsi="仿宋" w:eastAsia="仿宋" w:cs="仿宋"/>
          <w:color w:val="000000" w:themeColor="text1"/>
          <w:sz w:val="32"/>
          <w:szCs w:val="32"/>
          <w14:textFill>
            <w14:solidFill>
              <w14:schemeClr w14:val="tx1"/>
            </w14:solidFill>
          </w14:textFill>
        </w:rPr>
        <w:t>单价50万元以上通用设备</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台（套），单价100</w:t>
      </w:r>
      <w:r>
        <w:rPr>
          <w:rFonts w:hint="eastAsia" w:ascii="仿宋" w:hAnsi="仿宋" w:eastAsia="仿宋" w:cs="仿宋"/>
          <w:color w:val="000000"/>
          <w:sz w:val="32"/>
          <w:szCs w:val="32"/>
        </w:rPr>
        <w:t>万元以上专用设备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w:t>
      </w:r>
      <w:r>
        <w:rPr>
          <w:rFonts w:hint="eastAsia" w:asciiTheme="minorEastAsia" w:hAnsiTheme="minorEastAsia" w:eastAsiaTheme="minorEastAsia" w:cstheme="minorEastAsia"/>
          <w:color w:val="000000"/>
          <w:sz w:val="36"/>
          <w:szCs w:val="36"/>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9906"/>
      <w:r>
        <w:rPr>
          <w:rFonts w:hint="eastAsia" w:ascii="仿宋" w:hAnsi="仿宋" w:eastAsia="仿宋"/>
          <w:b/>
          <w:color w:val="000000"/>
          <w:sz w:val="32"/>
          <w:szCs w:val="32"/>
        </w:rPr>
        <w:t>（四）预算绩效管理情况。</w:t>
      </w:r>
      <w:bookmarkEnd w:id="92"/>
    </w:p>
    <w:p>
      <w:pPr>
        <w:pageBreakBefore w:val="0"/>
        <w:numPr>
          <w:ilvl w:val="0"/>
          <w:numId w:val="0"/>
        </w:numPr>
        <w:kinsoku/>
        <w:wordWrap/>
        <w:overflowPunct/>
        <w:topLinePunct w:val="0"/>
        <w:bidi w:val="0"/>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r>
        <w:rPr>
          <w:rFonts w:hint="eastAsia" w:ascii="仿宋" w:hAnsi="仿宋" w:eastAsia="仿宋" w:cs="仿宋"/>
          <w:sz w:val="32"/>
          <w:szCs w:val="32"/>
          <w:lang w:eastAsia="zh-CN"/>
        </w:rPr>
        <w:t>。</w:t>
      </w:r>
    </w:p>
    <w:p>
      <w:pPr>
        <w:pageBreakBefore w:val="0"/>
        <w:numPr>
          <w:ilvl w:val="0"/>
          <w:numId w:val="3"/>
        </w:numPr>
        <w:kinsoku/>
        <w:wordWrap/>
        <w:overflowPunct/>
        <w:topLinePunct w:val="0"/>
        <w:bidi w:val="0"/>
        <w:spacing w:line="560" w:lineRule="exac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项目绩效目标完成情况。</w:t>
      </w:r>
    </w:p>
    <w:p>
      <w:pPr>
        <w:pageBreakBefore w:val="0"/>
        <w:numPr>
          <w:ilvl w:val="0"/>
          <w:numId w:val="0"/>
        </w:numPr>
        <w:kinsoku/>
        <w:wordWrap/>
        <w:overflowPunct/>
        <w:topLinePunct w:val="0"/>
        <w:bidi w:val="0"/>
        <w:spacing w:line="560" w:lineRule="exact"/>
        <w:ind w:firstLine="640" w:firstLineChars="200"/>
        <w:rPr>
          <w:rFonts w:hint="eastAsia" w:ascii="仿宋" w:hAnsi="仿宋" w:eastAsia="仿宋" w:cs="仿宋"/>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lang w:val="en-US" w:eastAsia="zh-CN"/>
        </w:rPr>
        <w:t>完成</w:t>
      </w:r>
      <w:r>
        <w:rPr>
          <w:rFonts w:hint="eastAsia" w:ascii="仿宋" w:hAnsi="仿宋" w:eastAsia="仿宋" w:cs="仿宋"/>
          <w:sz w:val="32"/>
          <w:szCs w:val="32"/>
        </w:rPr>
        <w:t>《中国共产党红原执政实录（201</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eastAsia="zh-CN"/>
        </w:rPr>
        <w:t>资料收集整理、初纂、内部出版；</w:t>
      </w:r>
    </w:p>
    <w:p>
      <w:pPr>
        <w:pageBreakBefore w:val="0"/>
        <w:numPr>
          <w:ilvl w:val="0"/>
          <w:numId w:val="0"/>
        </w:numPr>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（2）完成</w:t>
      </w:r>
      <w:r>
        <w:rPr>
          <w:rFonts w:hint="eastAsia" w:ascii="仿宋" w:hAnsi="仿宋" w:eastAsia="仿宋" w:cs="仿宋"/>
          <w:sz w:val="32"/>
          <w:szCs w:val="32"/>
        </w:rPr>
        <w:t>红原县口述历史</w:t>
      </w:r>
      <w:r>
        <w:rPr>
          <w:rFonts w:hint="eastAsia" w:ascii="仿宋" w:hAnsi="仿宋" w:eastAsia="仿宋" w:cs="仿宋"/>
          <w:sz w:val="32"/>
          <w:szCs w:val="32"/>
          <w:lang w:eastAsia="zh-CN"/>
        </w:rPr>
        <w:t>纪录片《因为信仰，所以纯真</w:t>
      </w:r>
      <w:r>
        <w:rPr>
          <w:rFonts w:hint="eastAsia" w:ascii="仿宋" w:hAnsi="仿宋" w:eastAsia="仿宋" w:cs="仿宋"/>
          <w:sz w:val="32"/>
          <w:szCs w:val="32"/>
          <w:lang w:val="en-US" w:eastAsia="zh-CN"/>
        </w:rPr>
        <w:t>-红原牦牛乳业</w:t>
      </w:r>
      <w:r>
        <w:rPr>
          <w:rFonts w:hint="eastAsia" w:ascii="仿宋" w:hAnsi="仿宋" w:eastAsia="仿宋" w:cs="仿宋"/>
          <w:sz w:val="32"/>
          <w:szCs w:val="32"/>
          <w:lang w:eastAsia="zh-CN"/>
        </w:rPr>
        <w:t>》</w:t>
      </w:r>
      <w:r>
        <w:rPr>
          <w:rFonts w:hint="eastAsia" w:ascii="仿宋" w:hAnsi="仿宋" w:eastAsia="仿宋" w:cs="仿宋"/>
          <w:sz w:val="32"/>
          <w:szCs w:val="32"/>
        </w:rPr>
        <w:t>拍摄</w:t>
      </w:r>
      <w:r>
        <w:rPr>
          <w:rFonts w:hint="eastAsia" w:ascii="仿宋" w:hAnsi="仿宋" w:eastAsia="仿宋" w:cs="仿宋"/>
          <w:sz w:val="32"/>
          <w:szCs w:val="32"/>
          <w:lang w:eastAsia="zh-CN"/>
        </w:rPr>
        <w:t>、审核</w:t>
      </w:r>
      <w:r>
        <w:rPr>
          <w:rFonts w:hint="eastAsia" w:ascii="仿宋" w:hAnsi="仿宋" w:eastAsia="仿宋" w:cs="仿宋"/>
          <w:sz w:val="32"/>
          <w:szCs w:val="32"/>
        </w:rPr>
        <w:t>；</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lang w:val="en-US" w:eastAsia="zh-CN"/>
        </w:rPr>
        <w:t>（3）县财政落实年鉴专项经费8万元。完成</w:t>
      </w:r>
      <w:r>
        <w:rPr>
          <w:rFonts w:hint="eastAsia" w:ascii="仿宋" w:hAnsi="仿宋" w:eastAsia="仿宋" w:cs="仿宋"/>
          <w:sz w:val="32"/>
          <w:szCs w:val="32"/>
        </w:rPr>
        <w:t>《红原年鉴》（201</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eastAsia="zh-CN"/>
        </w:rPr>
        <w:t>终审稿编纂工作，出版号：</w:t>
      </w:r>
      <w:r>
        <w:rPr>
          <w:rFonts w:hint="eastAsia" w:ascii="仿宋" w:hAnsi="仿宋" w:eastAsia="仿宋" w:cs="仿宋"/>
          <w:sz w:val="32"/>
          <w:szCs w:val="32"/>
          <w:lang w:val="en-US" w:eastAsia="zh-CN"/>
        </w:rPr>
        <w:t>ISBN978-7-5131-5579-3。</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《执政实录》《红原年鉴》及口述历史</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红原县党史研究和地方志编纂中心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22.55万元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22.55万元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22.55万元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22.55万元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eastAsia="zh-CN"/>
              </w:rPr>
              <w:t>《执政实录》》《红原年鉴》各出版</w:t>
            </w:r>
            <w:r>
              <w:rPr>
                <w:rFonts w:hint="eastAsia" w:asciiTheme="minorEastAsia" w:hAnsiTheme="minorEastAsia" w:eastAsiaTheme="minorEastAsia" w:cstheme="minorEastAsia"/>
                <w:color w:val="000000"/>
                <w:sz w:val="24"/>
                <w:szCs w:val="24"/>
                <w:lang w:val="en-US" w:eastAsia="zh-CN"/>
              </w:rPr>
              <w:t>200册</w:t>
            </w:r>
          </w:p>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val="en-US" w:eastAsia="zh-CN"/>
              </w:rPr>
              <w:t>拍摄口述历史记录片1部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已全部完成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《执政实录》出版印刷</w:t>
            </w:r>
            <w:r>
              <w:rPr>
                <w:rFonts w:hint="eastAsia" w:asciiTheme="minorEastAsia" w:hAnsiTheme="minorEastAsia" w:eastAsiaTheme="minorEastAsia" w:cstheme="minorEastAsia"/>
                <w:color w:val="000000"/>
                <w:sz w:val="24"/>
                <w:szCs w:val="24"/>
                <w:lang w:val="en-US" w:eastAsia="zh-CN"/>
              </w:rPr>
              <w:t>200册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完成印刷出版</w:t>
            </w:r>
            <w:r>
              <w:rPr>
                <w:rFonts w:hint="eastAsia" w:asciiTheme="minorEastAsia" w:hAnsiTheme="minorEastAsia" w:eastAsiaTheme="minorEastAsia" w:cstheme="minorEastAsia"/>
                <w:color w:val="000000"/>
                <w:sz w:val="24"/>
                <w:szCs w:val="24"/>
                <w:lang w:val="en-US" w:eastAsia="zh-CN"/>
              </w:rPr>
              <w:t>200册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完成印刷出版</w:t>
            </w:r>
            <w:r>
              <w:rPr>
                <w:rFonts w:hint="eastAsia" w:asciiTheme="minorEastAsia" w:hAnsiTheme="minorEastAsia" w:eastAsiaTheme="minorEastAsia" w:cstheme="minorEastAsia"/>
                <w:color w:val="000000"/>
                <w:sz w:val="24"/>
                <w:szCs w:val="24"/>
                <w:lang w:val="en-US" w:eastAsia="zh-CN"/>
              </w:rPr>
              <w:t>200册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《红原年鉴》出版印刷</w:t>
            </w:r>
            <w:r>
              <w:rPr>
                <w:rFonts w:hint="eastAsia" w:asciiTheme="minorEastAsia" w:hAnsiTheme="minorEastAsia" w:eastAsiaTheme="minorEastAsia" w:cstheme="minorEastAsia"/>
                <w:color w:val="000000"/>
                <w:sz w:val="24"/>
                <w:szCs w:val="24"/>
                <w:lang w:val="en-US" w:eastAsia="zh-CN"/>
              </w:rPr>
              <w:t>500册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完成印刷出版</w:t>
            </w:r>
            <w:r>
              <w:rPr>
                <w:rFonts w:hint="eastAsia" w:asciiTheme="minorEastAsia" w:hAnsiTheme="minorEastAsia" w:eastAsiaTheme="minorEastAsia" w:cstheme="minorEastAsia"/>
                <w:color w:val="000000"/>
                <w:sz w:val="24"/>
                <w:szCs w:val="24"/>
                <w:lang w:val="en-US" w:eastAsia="zh-CN"/>
              </w:rPr>
              <w:t>500册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完成印刷出版</w:t>
            </w:r>
            <w:r>
              <w:rPr>
                <w:rFonts w:hint="eastAsia" w:asciiTheme="minorEastAsia" w:hAnsiTheme="minorEastAsia" w:eastAsiaTheme="minorEastAsia" w:cstheme="minorEastAsia"/>
                <w:color w:val="000000"/>
                <w:sz w:val="24"/>
                <w:szCs w:val="24"/>
                <w:lang w:val="en-US" w:eastAsia="zh-CN"/>
              </w:rPr>
              <w:t>500册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拍摄制作口述历史纪录片</w:t>
            </w:r>
            <w:r>
              <w:rPr>
                <w:rFonts w:hint="eastAsia" w:asciiTheme="minorEastAsia" w:hAnsiTheme="minorEastAsia" w:eastAsiaTheme="minorEastAsia" w:cstheme="minorEastAsia"/>
                <w:color w:val="000000"/>
                <w:sz w:val="24"/>
                <w:szCs w:val="24"/>
                <w:lang w:val="en-US" w:eastAsia="zh-CN"/>
              </w:rPr>
              <w:t>1部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kern w:val="2"/>
                <w:sz w:val="24"/>
                <w:szCs w:val="24"/>
                <w:lang w:val="en-US" w:eastAsia="zh-CN" w:bidi="ar-SA"/>
              </w:rPr>
              <w:t>完成拍摄1部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kern w:val="2"/>
                <w:sz w:val="24"/>
                <w:szCs w:val="24"/>
                <w:lang w:val="en-US" w:eastAsia="zh-CN" w:bidi="ar-SA"/>
              </w:rPr>
              <w:t>完成拍摄1部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both"/>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both"/>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both"/>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不忘历史牢记使命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Theme="minorEastAsia" w:hAnsiTheme="minorEastAsia" w:eastAsiaTheme="minorEastAsia" w:cstheme="minorEastAsia"/>
                <w:color w:val="000000"/>
                <w:sz w:val="24"/>
                <w:szCs w:val="24"/>
                <w:lang w:eastAsia="zh-CN"/>
              </w:rPr>
              <w:t>不忘历史牢记使命</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r>
    </w:tbl>
    <w:p>
      <w:pPr>
        <w:spacing w:line="580" w:lineRule="exact"/>
        <w:ind w:left="630"/>
        <w:rPr>
          <w:rFonts w:ascii="仿宋_GB2312" w:hAnsi="仿宋_GB2312" w:eastAsia="仿宋_GB2312" w:cs="仿宋_GB2312"/>
          <w:sz w:val="32"/>
          <w:szCs w:val="32"/>
        </w:rPr>
      </w:pPr>
    </w:p>
    <w:p>
      <w:pPr>
        <w:pageBreakBefore w:val="0"/>
        <w:numPr>
          <w:ilvl w:val="0"/>
          <w:numId w:val="3"/>
        </w:numPr>
        <w:kinsoku/>
        <w:wordWrap/>
        <w:overflowPunct/>
        <w:topLinePunct w:val="0"/>
        <w:bidi w:val="0"/>
        <w:spacing w:line="560" w:lineRule="exact"/>
        <w:rPr>
          <w:rFonts w:hint="eastAsia" w:ascii="楷体_GB2312" w:hAnsi="楷体_GB2312" w:eastAsia="楷体_GB2312" w:cs="楷体_GB2312"/>
          <w:sz w:val="32"/>
          <w:szCs w:val="32"/>
        </w:rPr>
      </w:pPr>
      <w:bookmarkStart w:id="93" w:name="_Toc15396613"/>
      <w:bookmarkStart w:id="94" w:name="_Toc15377225"/>
      <w:r>
        <w:rPr>
          <w:rFonts w:hint="eastAsia" w:ascii="楷体_GB2312" w:hAnsi="楷体_GB2312" w:eastAsia="楷体_GB2312" w:cs="楷体_GB2312"/>
          <w:sz w:val="32"/>
          <w:szCs w:val="32"/>
        </w:rPr>
        <w:t>部门绩效评价结果。</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红原县党史研究和地方志编纂中心</w:t>
      </w:r>
      <w:r>
        <w:rPr>
          <w:rFonts w:hint="eastAsia" w:ascii="仿宋_GB2312" w:hAnsi="仿宋_GB2312" w:eastAsia="仿宋_GB2312" w:cs="仿宋_GB2312"/>
          <w:sz w:val="32"/>
          <w:szCs w:val="32"/>
        </w:rPr>
        <w:t>部门2019年部门整体支出绩效评价报告》见附件（附件1）。</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《红原县年鉴》《执政实录》</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口述历史</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红原县党史研究和地方志编纂中心</w:t>
      </w:r>
      <w:r>
        <w:rPr>
          <w:rFonts w:hint="eastAsia" w:ascii="仿宋_GB2312" w:hAnsi="仿宋_GB2312" w:eastAsia="仿宋_GB2312" w:cs="仿宋_GB2312"/>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4"/>
          <w:rFonts w:ascii="黑体" w:hAnsi="黑体" w:eastAsia="黑体"/>
          <w:b w:val="0"/>
        </w:rPr>
      </w:pPr>
      <w:bookmarkStart w:id="95" w:name="_Toc19112"/>
      <w:r>
        <w:rPr>
          <w:rFonts w:hint="eastAsia" w:ascii="黑体" w:hAnsi="黑体" w:eastAsia="黑体"/>
          <w:color w:val="000000"/>
          <w:sz w:val="44"/>
          <w:szCs w:val="44"/>
        </w:rPr>
        <w:t>名</w:t>
      </w:r>
      <w:r>
        <w:rPr>
          <w:rStyle w:val="24"/>
          <w:rFonts w:hint="eastAsia" w:ascii="黑体" w:hAnsi="黑体" w:eastAsia="黑体"/>
          <w:b w:val="0"/>
        </w:rPr>
        <w:t>词解释</w:t>
      </w:r>
      <w:bookmarkEnd w:id="93"/>
      <w:bookmarkEnd w:id="94"/>
      <w:bookmarkEnd w:id="95"/>
    </w:p>
    <w:p>
      <w:pPr>
        <w:spacing w:line="600" w:lineRule="exact"/>
        <w:jc w:val="left"/>
        <w:rPr>
          <w:rFonts w:ascii="宋体"/>
          <w:b/>
          <w:color w:val="000000"/>
          <w:sz w:val="44"/>
          <w:szCs w:val="44"/>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bookmarkStart w:id="96" w:name="_Toc15396614"/>
      <w:bookmarkStart w:id="97" w:name="_Toc15377226"/>
      <w:r>
        <w:rPr>
          <w:rFonts w:hint="eastAsia" w:ascii="仿宋" w:hAnsi="仿宋" w:eastAsia="仿宋" w:cs="仿宋"/>
          <w:sz w:val="32"/>
          <w:szCs w:val="32"/>
        </w:rPr>
        <w:t>1.财政拨款收入：指单位从同级财政部门取得的财政预算资金。</w:t>
      </w: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.其他收入：指单位取得的除上述收入以外的各项收入。 </w:t>
      </w: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3</w:t>
      </w:r>
      <w:r>
        <w:rPr>
          <w:rFonts w:hint="eastAsia" w:ascii="仿宋" w:hAnsi="仿宋" w:eastAsia="仿宋" w:cs="仿宋"/>
          <w:sz w:val="32"/>
          <w:szCs w:val="32"/>
        </w:rPr>
        <w:t xml:space="preserve">.年初结转和结余：指以前年度尚未完成、结转到本年按有关规定继续使用的资金。 </w:t>
      </w: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年末结转和结余：指单位按有关规定结转到下年或以后年度继续使用的资金。</w:t>
      </w:r>
    </w:p>
    <w:p>
      <w:pPr>
        <w:pStyle w:val="22"/>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2013601</w:t>
      </w:r>
      <w:r>
        <w:rPr>
          <w:rFonts w:hint="eastAsia" w:ascii="仿宋" w:hAnsi="仿宋" w:eastAsia="仿宋" w:cs="仿宋"/>
          <w:color w:val="000000"/>
          <w:sz w:val="32"/>
          <w:szCs w:val="32"/>
        </w:rPr>
        <w:t>一般公共服务</w:t>
      </w:r>
      <w:r>
        <w:rPr>
          <w:rFonts w:hint="eastAsia" w:ascii="仿宋" w:hAnsi="仿宋" w:eastAsia="仿宋" w:cs="仿宋"/>
          <w:color w:val="000000"/>
          <w:sz w:val="32"/>
          <w:szCs w:val="32"/>
          <w:lang w:val="en-US" w:eastAsia="zh-CN"/>
        </w:rPr>
        <w:t>行政运行</w:t>
      </w:r>
      <w:r>
        <w:rPr>
          <w:rFonts w:hint="eastAsia" w:ascii="仿宋" w:hAnsi="仿宋" w:eastAsia="仿宋" w:cs="仿宋"/>
          <w:color w:val="000000"/>
          <w:sz w:val="32"/>
          <w:szCs w:val="32"/>
        </w:rPr>
        <w:t>：指</w:t>
      </w:r>
      <w:r>
        <w:rPr>
          <w:rFonts w:hint="eastAsia" w:ascii="仿宋" w:hAnsi="仿宋" w:eastAsia="仿宋" w:cs="仿宋"/>
          <w:sz w:val="32"/>
          <w:szCs w:val="32"/>
        </w:rPr>
        <w:t>用于机关及下属事业单位人员工资、日常运转以及为完成特定行政工作任务和事业发展目标而安排的年度项目支出。</w:t>
      </w:r>
      <w:r>
        <w:rPr>
          <w:rFonts w:hint="eastAsia" w:ascii="仿宋" w:hAnsi="仿宋" w:eastAsia="仿宋" w:cs="仿宋"/>
          <w:color w:val="000000"/>
          <w:sz w:val="32"/>
          <w:szCs w:val="32"/>
        </w:rPr>
        <w:t>。</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2080505机关事业单位养老保险缴费</w:t>
      </w:r>
      <w:r>
        <w:rPr>
          <w:rFonts w:hint="eastAsia" w:ascii="仿宋" w:hAnsi="仿宋" w:eastAsia="仿宋" w:cs="仿宋"/>
          <w:color w:val="000000"/>
          <w:sz w:val="32"/>
          <w:szCs w:val="32"/>
        </w:rPr>
        <w:t>：指</w:t>
      </w:r>
      <w:r>
        <w:rPr>
          <w:rFonts w:hint="eastAsia" w:ascii="仿宋" w:hAnsi="仿宋" w:eastAsia="仿宋" w:cs="仿宋"/>
          <w:sz w:val="32"/>
          <w:szCs w:val="32"/>
        </w:rPr>
        <w:t>用于机关及下属单位按照规定标准为职工缴纳养老保险等支出。</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lang w:val="en-US" w:eastAsia="zh-CN"/>
        </w:rPr>
        <w:t>7.52080506机关事业单位职业年金缴费</w:t>
      </w:r>
      <w:r>
        <w:rPr>
          <w:rStyle w:val="14"/>
          <w:rFonts w:hint="eastAsia" w:ascii="仿宋" w:hAnsi="仿宋" w:eastAsia="仿宋" w:cs="仿宋"/>
          <w:bCs/>
          <w:color w:val="000000"/>
          <w:sz w:val="32"/>
          <w:szCs w:val="32"/>
        </w:rPr>
        <w:t>:</w:t>
      </w:r>
      <w:r>
        <w:rPr>
          <w:rFonts w:hint="eastAsia" w:ascii="仿宋" w:hAnsi="仿宋" w:eastAsia="仿宋" w:cs="仿宋"/>
          <w:color w:val="000000"/>
          <w:sz w:val="32"/>
          <w:szCs w:val="32"/>
        </w:rPr>
        <w:t>指</w:t>
      </w:r>
      <w:r>
        <w:rPr>
          <w:rFonts w:hint="eastAsia" w:ascii="仿宋" w:hAnsi="仿宋" w:eastAsia="仿宋" w:cs="仿宋"/>
          <w:sz w:val="32"/>
          <w:szCs w:val="32"/>
        </w:rPr>
        <w:t>用于机关及下属单位按照规定标准为职工缴纳职业年金等支出。</w:t>
      </w:r>
    </w:p>
    <w:p>
      <w:pPr>
        <w:pStyle w:val="22"/>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sz w:val="32"/>
          <w:szCs w:val="32"/>
          <w:lang w:val="en-US" w:eastAsia="zh-CN"/>
        </w:rPr>
        <w:t>2101101行政单位医疗：</w:t>
      </w:r>
      <w:r>
        <w:rPr>
          <w:rFonts w:hint="eastAsia" w:ascii="仿宋" w:hAnsi="仿宋" w:eastAsia="仿宋" w:cs="仿宋"/>
          <w:color w:val="000000"/>
          <w:sz w:val="32"/>
          <w:szCs w:val="32"/>
        </w:rPr>
        <w:t>指</w:t>
      </w:r>
      <w:r>
        <w:rPr>
          <w:rFonts w:hint="eastAsia" w:ascii="仿宋" w:hAnsi="仿宋" w:eastAsia="仿宋" w:cs="仿宋"/>
          <w:sz w:val="32"/>
          <w:szCs w:val="32"/>
        </w:rPr>
        <w:t>用于机关及下属事业单位按照规定标准为职工缴纳的基本医疗保险及公务员医疗补助等支出</w:t>
      </w:r>
    </w:p>
    <w:p>
      <w:pPr>
        <w:pageBreakBefore w:val="0"/>
        <w:kinsoku/>
        <w:wordWrap/>
        <w:overflowPunct/>
        <w:topLinePunct w:val="0"/>
        <w:bidi w:val="0"/>
        <w:spacing w:line="560" w:lineRule="exact"/>
        <w:ind w:firstLine="640" w:firstLineChars="200"/>
        <w:rPr>
          <w:rFonts w:hint="eastAsia" w:asciiTheme="minorEastAsia" w:hAnsiTheme="minorEastAsia" w:eastAsiaTheme="minorEastAsia" w:cstheme="minorEastAsia"/>
          <w:color w:val="000000"/>
          <w:sz w:val="36"/>
          <w:szCs w:val="36"/>
        </w:rPr>
      </w:pP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2210201住房公积金</w:t>
      </w:r>
      <w:r>
        <w:rPr>
          <w:rFonts w:hint="eastAsia" w:ascii="仿宋" w:hAnsi="仿宋" w:eastAsia="仿宋" w:cs="仿宋"/>
          <w:color w:val="000000"/>
          <w:sz w:val="32"/>
          <w:szCs w:val="32"/>
        </w:rPr>
        <w:t>：指</w:t>
      </w:r>
      <w:r>
        <w:rPr>
          <w:rFonts w:hint="eastAsia" w:ascii="仿宋" w:hAnsi="仿宋" w:eastAsia="仿宋" w:cs="仿宋"/>
          <w:sz w:val="32"/>
          <w:szCs w:val="32"/>
        </w:rPr>
        <w:t>用于机关及下属事业单位按照规定标准为职工缴纳住房公积金等支出</w:t>
      </w:r>
    </w:p>
    <w:p>
      <w:pPr>
        <w:pageBreakBefore w:val="0"/>
        <w:kinsoku/>
        <w:wordWrap/>
        <w:overflowPunct/>
        <w:topLinePunct w:val="0"/>
        <w:bidi w:val="0"/>
        <w:spacing w:line="560" w:lineRule="exact"/>
        <w:ind w:firstLine="720" w:firstLineChars="200"/>
        <w:rPr>
          <w:rFonts w:hint="eastAsia" w:asciiTheme="minorEastAsia" w:hAnsiTheme="minorEastAsia" w:eastAsiaTheme="minorEastAsia" w:cstheme="minorEastAsia"/>
          <w:color w:val="000000"/>
          <w:sz w:val="36"/>
          <w:szCs w:val="36"/>
        </w:rPr>
      </w:pPr>
    </w:p>
    <w:p>
      <w:pPr>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.基本支出：指为保障机构正常运转、完成日常工作任务而发生的人员支出和公用支出。</w:t>
      </w:r>
    </w:p>
    <w:p>
      <w:pPr>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 xml:space="preserve">.项目支出：指在基本支出之外为完成特定行政任务和事业发展目标所发生的支出。 </w:t>
      </w: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hAnsi="仿宋" w:cs="仿宋"/>
          <w:sz w:val="32"/>
          <w:szCs w:val="32"/>
          <w:lang w:val="en-US" w:eastAsia="zh-CN"/>
        </w:rPr>
        <w:t>2</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hAnsi="仿宋" w:cs="仿宋"/>
          <w:sz w:val="32"/>
          <w:szCs w:val="32"/>
          <w:lang w:val="en-US" w:eastAsia="zh-CN"/>
        </w:rPr>
        <w:t>3</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pStyle w:val="22"/>
        <w:pageBreakBefore w:val="0"/>
        <w:kinsoku/>
        <w:wordWrap/>
        <w:overflowPunct/>
        <w:topLinePunct w:val="0"/>
        <w:bidi w:val="0"/>
        <w:spacing w:line="560" w:lineRule="exact"/>
        <w:ind w:firstLine="640" w:firstLineChars="200"/>
        <w:rPr>
          <w:rFonts w:hint="eastAsia" w:ascii="仿宋" w:hAnsi="仿宋" w:eastAsia="仿宋" w:cs="仿宋"/>
          <w:sz w:val="32"/>
          <w:szCs w:val="32"/>
        </w:rPr>
      </w:pPr>
    </w:p>
    <w:p>
      <w:pPr>
        <w:spacing w:line="600" w:lineRule="exact"/>
        <w:jc w:val="center"/>
        <w:outlineLvl w:val="0"/>
        <w:rPr>
          <w:rStyle w:val="24"/>
          <w:rFonts w:ascii="黑体" w:hAnsi="黑体" w:eastAsia="黑体"/>
          <w:b w:val="0"/>
        </w:rPr>
      </w:pPr>
      <w:bookmarkStart w:id="98" w:name="_Toc4583"/>
      <w:r>
        <w:rPr>
          <w:rFonts w:hint="eastAsia" w:ascii="黑体" w:hAnsi="黑体" w:eastAsia="黑体"/>
          <w:color w:val="000000"/>
          <w:sz w:val="44"/>
          <w:szCs w:val="44"/>
        </w:rPr>
        <w:t>第</w:t>
      </w:r>
      <w:r>
        <w:rPr>
          <w:rStyle w:val="24"/>
          <w:rFonts w:hint="eastAsia" w:ascii="黑体" w:hAnsi="黑体" w:eastAsia="黑体"/>
          <w:b w:val="0"/>
        </w:rPr>
        <w:t>四部分 附件</w:t>
      </w:r>
      <w:bookmarkEnd w:id="96"/>
      <w:bookmarkEnd w:id="98"/>
    </w:p>
    <w:p>
      <w:pPr>
        <w:spacing w:line="600" w:lineRule="exact"/>
        <w:jc w:val="left"/>
        <w:outlineLvl w:val="0"/>
        <w:rPr>
          <w:rFonts w:ascii="方正小标宋简体" w:hAnsi="方正小标宋简体" w:eastAsia="方正小标宋简体" w:cs="方正小标宋简体"/>
          <w:sz w:val="32"/>
          <w:szCs w:val="32"/>
        </w:rPr>
      </w:pPr>
      <w:bookmarkStart w:id="99" w:name="_Toc4274"/>
      <w:r>
        <w:rPr>
          <w:rFonts w:hint="eastAsia" w:ascii="黑体" w:hAnsi="黑体" w:eastAsia="黑体" w:cs="黑体"/>
          <w:sz w:val="32"/>
          <w:szCs w:val="32"/>
        </w:rPr>
        <w:t>附件1</w:t>
      </w:r>
      <w:bookmarkEnd w:id="99"/>
    </w:p>
    <w:p>
      <w:pPr>
        <w:spacing w:line="580" w:lineRule="exact"/>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56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val="zh-CN"/>
        </w:rPr>
        <w:t>红原县党史研究和地方志编纂中心部门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ageBreakBefore w:val="0"/>
        <w:kinsoku/>
        <w:wordWrap/>
        <w:overflowPunct/>
        <w:topLinePunct w:val="0"/>
        <w:bidi w:val="0"/>
        <w:spacing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rPr>
        <w:t>本单位是一级预算单位。实行独立的预算制度下设有3个机构。编制8人在职</w:t>
      </w:r>
      <w:r>
        <w:rPr>
          <w:rFonts w:hint="eastAsia" w:ascii="仿宋" w:hAnsi="仿宋" w:eastAsia="仿宋" w:cs="仿宋"/>
          <w:sz w:val="32"/>
          <w:szCs w:val="32"/>
          <w:lang w:val="en-US" w:eastAsia="zh-CN"/>
        </w:rPr>
        <w:t>6</w:t>
      </w:r>
      <w:r>
        <w:rPr>
          <w:rFonts w:hint="eastAsia" w:ascii="仿宋" w:hAnsi="仿宋" w:eastAsia="仿宋" w:cs="仿宋"/>
          <w:sz w:val="32"/>
          <w:szCs w:val="32"/>
        </w:rPr>
        <w:t>人，退休2人</w:t>
      </w:r>
      <w:r>
        <w:rPr>
          <w:rFonts w:hint="eastAsia" w:ascii="仿宋" w:hAnsi="仿宋" w:eastAsia="仿宋" w:cs="仿宋"/>
          <w:sz w:val="32"/>
          <w:szCs w:val="32"/>
          <w:lang w:val="en-US" w:eastAsia="zh-CN"/>
        </w:rPr>
        <w:t>。2018年在职8人2019年调出2人。</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5"/>
        <w:keepNext w:val="0"/>
        <w:keepLines w:val="0"/>
        <w:pageBreakBefore w:val="0"/>
        <w:numPr>
          <w:ilvl w:val="0"/>
          <w:numId w:val="0"/>
        </w:numPr>
        <w:kinsoku/>
        <w:wordWrap/>
        <w:overflowPunct/>
        <w:topLinePunct w:val="0"/>
        <w:autoSpaceDE/>
        <w:bidi w:val="0"/>
        <w:adjustRightInd w:val="0"/>
        <w:snapToGrid w:val="0"/>
        <w:spacing w:before="93" w:beforeAutospacing="0" w:afterAutospacing="0" w:line="560" w:lineRule="exact"/>
        <w:ind w:firstLine="640" w:firstLineChars="200"/>
        <w:jc w:val="both"/>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color w:val="000000"/>
          <w:sz w:val="32"/>
          <w:szCs w:val="32"/>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widowControl/>
        <w:numPr>
          <w:ilvl w:val="0"/>
          <w:numId w:val="5"/>
        </w:numPr>
        <w:adjustRightInd w:val="0"/>
        <w:snapToGrid w:val="0"/>
        <w:spacing w:line="580" w:lineRule="exact"/>
        <w:ind w:left="0" w:leftChars="0" w:firstLine="640" w:firstLineChars="200"/>
        <w:contextualSpacing/>
        <w:jc w:val="left"/>
        <w:rPr>
          <w:rFonts w:hint="eastAsia" w:ascii="仿宋" w:hAnsi="仿宋" w:eastAsia="仿宋" w:cs="仿宋"/>
          <w:sz w:val="32"/>
          <w:szCs w:val="32"/>
          <w:lang w:val="en-US" w:eastAsia="zh-CN"/>
        </w:rPr>
      </w:pPr>
      <w:r>
        <w:rPr>
          <w:rFonts w:hint="eastAsia" w:ascii="仿宋_GB2312" w:hAnsi="宋体" w:eastAsia="仿宋_GB2312" w:cs="宋体"/>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rPr>
        <w:t>编制8人在职</w:t>
      </w:r>
      <w:r>
        <w:rPr>
          <w:rFonts w:hint="eastAsia" w:ascii="仿宋" w:hAnsi="仿宋" w:eastAsia="仿宋" w:cs="仿宋"/>
          <w:sz w:val="32"/>
          <w:szCs w:val="32"/>
          <w:lang w:val="en-US" w:eastAsia="zh-CN"/>
        </w:rPr>
        <w:t>6</w:t>
      </w:r>
      <w:r>
        <w:rPr>
          <w:rFonts w:hint="eastAsia" w:ascii="仿宋" w:hAnsi="仿宋" w:eastAsia="仿宋" w:cs="仿宋"/>
          <w:sz w:val="32"/>
          <w:szCs w:val="32"/>
        </w:rPr>
        <w:t>人，退休2人</w:t>
      </w:r>
      <w:r>
        <w:rPr>
          <w:rFonts w:hint="eastAsia" w:ascii="仿宋" w:hAnsi="仿宋" w:eastAsia="仿宋" w:cs="仿宋"/>
          <w:sz w:val="32"/>
          <w:szCs w:val="32"/>
          <w:lang w:val="en-US" w:eastAsia="zh-CN"/>
        </w:rPr>
        <w:t>。2018年在职8人2019年调出2人。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019年度</w:t>
      </w:r>
      <w:r>
        <w:rPr>
          <w:rFonts w:hint="eastAsia" w:ascii="仿宋" w:hAnsi="仿宋" w:eastAsia="仿宋" w:cs="仿宋"/>
          <w:color w:val="000000"/>
          <w:sz w:val="32"/>
          <w:szCs w:val="32"/>
          <w:lang w:eastAsia="zh-CN"/>
        </w:rPr>
        <w:t>财政拨款收入总计</w:t>
      </w:r>
      <w:r>
        <w:rPr>
          <w:rFonts w:hint="eastAsia" w:ascii="仿宋" w:hAnsi="仿宋" w:eastAsia="仿宋" w:cs="仿宋"/>
          <w:color w:val="000000"/>
          <w:sz w:val="32"/>
          <w:szCs w:val="32"/>
          <w:lang w:val="en-US" w:eastAsia="zh-CN"/>
        </w:rPr>
        <w:t>154.12万元</w:t>
      </w:r>
      <w:r>
        <w:rPr>
          <w:rFonts w:hint="eastAsia" w:ascii="仿宋" w:hAnsi="仿宋" w:eastAsia="仿宋" w:cs="仿宋"/>
          <w:color w:val="000000"/>
          <w:sz w:val="32"/>
          <w:szCs w:val="32"/>
        </w:rPr>
        <w:t>、与2018年相比，收</w:t>
      </w:r>
      <w:r>
        <w:rPr>
          <w:rFonts w:hint="eastAsia" w:ascii="仿宋" w:hAnsi="仿宋" w:eastAsia="仿宋" w:cs="仿宋"/>
          <w:color w:val="000000"/>
          <w:sz w:val="32"/>
          <w:szCs w:val="32"/>
          <w:lang w:eastAsia="zh-CN"/>
        </w:rPr>
        <w:t>入增加</w:t>
      </w:r>
      <w:r>
        <w:rPr>
          <w:rFonts w:hint="eastAsia" w:ascii="仿宋" w:hAnsi="仿宋" w:eastAsia="仿宋" w:cs="仿宋"/>
          <w:color w:val="000000"/>
          <w:sz w:val="32"/>
          <w:szCs w:val="32"/>
          <w:lang w:val="en-US" w:eastAsia="zh-CN"/>
        </w:rPr>
        <w:t>0.3万元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收入</w:t>
      </w:r>
      <w:r>
        <w:rPr>
          <w:rFonts w:hint="eastAsia" w:ascii="仿宋" w:hAnsi="仿宋" w:eastAsia="仿宋" w:cs="仿宋"/>
          <w:color w:val="000000"/>
          <w:sz w:val="32"/>
          <w:szCs w:val="32"/>
        </w:rPr>
        <w:t>增长</w:t>
      </w:r>
      <w:r>
        <w:rPr>
          <w:rFonts w:hint="eastAsia" w:ascii="仿宋" w:hAnsi="仿宋" w:eastAsia="仿宋" w:cs="仿宋"/>
          <w:color w:val="000000"/>
          <w:sz w:val="32"/>
          <w:szCs w:val="32"/>
          <w:lang w:val="en-US" w:eastAsia="zh-CN"/>
        </w:rPr>
        <w:t>0.20%。</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sz w:val="32"/>
          <w:szCs w:val="32"/>
        </w:rPr>
        <w:t>2019年一般公共预算财政拨款支出</w:t>
      </w:r>
      <w:r>
        <w:rPr>
          <w:rFonts w:hint="eastAsia" w:ascii="仿宋" w:hAnsi="仿宋" w:eastAsia="仿宋" w:cs="仿宋"/>
          <w:color w:val="000000"/>
          <w:sz w:val="32"/>
          <w:szCs w:val="32"/>
          <w:lang w:val="en-US" w:eastAsia="zh-CN"/>
        </w:rPr>
        <w:t>155.87</w:t>
      </w:r>
      <w:r>
        <w:rPr>
          <w:rFonts w:hint="eastAsia" w:ascii="仿宋" w:hAnsi="仿宋" w:eastAsia="仿宋" w:cs="仿宋"/>
          <w:color w:val="000000"/>
          <w:sz w:val="32"/>
          <w:szCs w:val="32"/>
        </w:rPr>
        <w:t>万元，占本年支出合计的</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%。与2018年相比，一般公共预算财政拨款</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rPr>
        <w:t>减少</w:t>
      </w:r>
      <w:r>
        <w:rPr>
          <w:rFonts w:hint="eastAsia" w:ascii="仿宋" w:hAnsi="仿宋" w:eastAsia="仿宋" w:cs="仿宋"/>
          <w:color w:val="000000"/>
          <w:sz w:val="32"/>
          <w:szCs w:val="32"/>
          <w:lang w:val="en-US" w:eastAsia="zh-CN"/>
        </w:rPr>
        <w:t>48.39</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pageBreakBefore w:val="0"/>
        <w:widowControl/>
        <w:kinsoku/>
        <w:wordWrap/>
        <w:overflowPunct/>
        <w:topLinePunct w:val="0"/>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pageBreakBefore w:val="0"/>
        <w:kinsoku/>
        <w:wordWrap/>
        <w:overflowPunct/>
        <w:topLinePunct w:val="0"/>
        <w:bidi w:val="0"/>
        <w:spacing w:line="560" w:lineRule="exact"/>
        <w:rPr>
          <w:rFonts w:hint="eastAsia" w:ascii="仿宋" w:hAnsi="仿宋" w:eastAsia="仿宋" w:cs="仿宋"/>
          <w:sz w:val="32"/>
          <w:szCs w:val="32"/>
          <w:lang w:eastAsia="zh-CN"/>
        </w:rPr>
      </w:pPr>
      <w:r>
        <w:rPr>
          <w:rFonts w:hint="eastAsia" w:ascii="仿宋" w:hAnsi="仿宋" w:eastAsia="仿宋" w:cs="仿宋"/>
          <w:color w:val="000000"/>
          <w:kern w:val="0"/>
          <w:sz w:val="32"/>
          <w:szCs w:val="32"/>
          <w:lang w:val="zh-CN" w:eastAsia="zh-CN" w:bidi="ar"/>
        </w:rPr>
        <w:tab/>
      </w:r>
      <w:r>
        <w:rPr>
          <w:rFonts w:hint="eastAsia" w:ascii="仿宋" w:hAnsi="仿宋" w:eastAsia="仿宋" w:cs="仿宋"/>
          <w:color w:val="000000"/>
          <w:kern w:val="0"/>
          <w:sz w:val="32"/>
          <w:szCs w:val="32"/>
          <w:lang w:val="en-US" w:eastAsia="zh-CN" w:bidi="ar"/>
        </w:rPr>
        <w:t xml:space="preserve"> </w:t>
      </w:r>
      <w:r>
        <w:rPr>
          <w:rFonts w:hint="eastAsia" w:ascii="仿宋" w:hAnsi="仿宋" w:eastAsia="仿宋" w:cs="仿宋"/>
          <w:sz w:val="32"/>
          <w:szCs w:val="32"/>
        </w:rPr>
        <w:t>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r>
        <w:rPr>
          <w:rFonts w:hint="eastAsia" w:ascii="仿宋" w:hAnsi="仿宋" w:eastAsia="仿宋" w:cs="仿宋"/>
          <w:sz w:val="32"/>
          <w:szCs w:val="32"/>
          <w:lang w:eastAsia="zh-CN"/>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keepNext w:val="0"/>
        <w:keepLines w:val="0"/>
        <w:pageBreakBefore w:val="0"/>
        <w:numPr>
          <w:ilvl w:val="0"/>
          <w:numId w:val="0"/>
        </w:numPr>
        <w:kinsoku/>
        <w:wordWrap/>
        <w:overflowPunct/>
        <w:topLinePunct w:val="0"/>
        <w:autoSpaceDE/>
        <w:bidi w:val="0"/>
        <w:snapToGrid w:val="0"/>
        <w:spacing w:beforeAutospacing="0" w:afterAutospacing="0" w:line="560" w:lineRule="exact"/>
        <w:ind w:firstLine="640" w:firstLineChars="200"/>
        <w:rPr>
          <w:rFonts w:hint="eastAsia" w:ascii="仿宋" w:hAnsi="仿宋" w:eastAsia="仿宋" w:cs="仿宋"/>
          <w:bCs/>
          <w:color w:val="000000"/>
          <w:kern w:val="0"/>
          <w:sz w:val="32"/>
          <w:szCs w:val="32"/>
          <w:lang w:val="en-US" w:eastAsia="zh-CN" w:bidi="ar-SA"/>
        </w:rPr>
      </w:pPr>
      <w:r>
        <w:rPr>
          <w:rFonts w:hint="eastAsia" w:ascii="仿宋" w:hAnsi="仿宋" w:eastAsia="仿宋" w:cs="仿宋"/>
          <w:bCs/>
          <w:color w:val="000000"/>
          <w:kern w:val="0"/>
          <w:sz w:val="32"/>
          <w:szCs w:val="32"/>
          <w:lang w:val="en-US" w:eastAsia="zh-CN" w:bidi="ar-SA"/>
        </w:rPr>
        <w:t>“轻预算，重核算”忽视预算编制和预算绩效管理工作。预算项目经费编制名称标准不一，在预算执行中难度加大。预算编制人员缺乏专业知识部门编制预算工作水平和工作效率难以提高。对预算绩效管理认识不足，不了解预算绩效管理的概念及意义，忽视了预算绩效管理问题。</w:t>
      </w:r>
    </w:p>
    <w:p>
      <w:pPr>
        <w:pageBreakBefore w:val="0"/>
        <w:kinsoku/>
        <w:wordWrap/>
        <w:overflowPunct/>
        <w:topLinePunct w:val="0"/>
        <w:bidi w:val="0"/>
        <w:snapToGrid w:val="0"/>
        <w:spacing w:line="560" w:lineRule="exact"/>
        <w:ind w:firstLine="640" w:firstLineChars="200"/>
        <w:rPr>
          <w:rFonts w:hint="eastAsia" w:ascii="仿宋" w:hAnsi="仿宋" w:eastAsia="仿宋" w:cs="仿宋"/>
          <w:b/>
          <w:sz w:val="32"/>
          <w:szCs w:val="32"/>
        </w:rPr>
      </w:pPr>
      <w:r>
        <w:rPr>
          <w:rFonts w:hint="eastAsia" w:ascii="仿宋" w:hAnsi="仿宋" w:eastAsia="仿宋" w:cs="仿宋"/>
          <w:bCs/>
          <w:color w:val="000000"/>
          <w:kern w:val="0"/>
          <w:sz w:val="32"/>
          <w:szCs w:val="32"/>
          <w:lang w:val="en-US" w:eastAsia="zh-CN" w:bidi="ar-SA"/>
        </w:rPr>
        <w:t>提高预算编制人员的专业水平。强化专业学习，提高预算编制人员素质。强化预算绩效管理理念，通过沟通交流，向其他部门学习，充分认识预算绩效管理在预算执行中的重要性</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ageBreakBefore w:val="0"/>
        <w:kinsoku/>
        <w:wordWrap/>
        <w:overflowPunct/>
        <w:topLinePunct w:val="0"/>
        <w:bidi w:val="0"/>
        <w:snapToGrid w:val="0"/>
        <w:spacing w:line="560" w:lineRule="exact"/>
        <w:ind w:firstLine="640" w:firstLineChars="200"/>
        <w:rPr>
          <w:rFonts w:hint="eastAsia" w:ascii="仿宋" w:hAnsi="仿宋" w:eastAsia="仿宋" w:cs="仿宋"/>
          <w:b/>
          <w:sz w:val="32"/>
          <w:szCs w:val="32"/>
        </w:rPr>
      </w:pPr>
      <w:r>
        <w:rPr>
          <w:rFonts w:hint="eastAsia" w:ascii="仿宋" w:hAnsi="仿宋" w:eastAsia="仿宋" w:cs="仿宋"/>
          <w:bCs/>
          <w:color w:val="000000"/>
          <w:kern w:val="0"/>
          <w:sz w:val="32"/>
          <w:szCs w:val="32"/>
          <w:lang w:val="en-US" w:eastAsia="zh-CN" w:bidi="ar-SA"/>
        </w:rPr>
        <w:t>提高预算编制人员的专业水平。强化专业学习，提高预算编制人员素质。强化预算绩效管理理念，通过沟通交流，向其他部门学习，充分认识预算绩效管理在预算执行中的重要性</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560" w:lineRule="exact"/>
        <w:jc w:val="center"/>
        <w:rPr>
          <w:rFonts w:ascii="宋体" w:hAnsi="宋体"/>
          <w:sz w:val="32"/>
          <w:szCs w:val="32"/>
          <w:lang w:val="zh-CN"/>
        </w:rPr>
      </w:pPr>
      <w:r>
        <w:rPr>
          <w:rFonts w:hint="eastAsia" w:ascii="方正小标宋简体" w:hAnsi="宋体" w:eastAsia="方正小标宋简体"/>
          <w:color w:val="000000"/>
          <w:kern w:val="0"/>
          <w:sz w:val="44"/>
          <w:szCs w:val="44"/>
          <w:lang w:val="zh-CN"/>
        </w:rPr>
        <w:t>红原县党史研究和地方志编纂中心项目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kinsoku/>
        <w:wordWrap/>
        <w:overflowPunct/>
        <w:topLinePunct w:val="0"/>
        <w:bidi w:val="0"/>
        <w:adjustRightInd w:val="0"/>
        <w:snapToGrid w:val="0"/>
        <w:spacing w:line="560" w:lineRule="exact"/>
        <w:ind w:firstLine="640" w:firstLineChars="200"/>
        <w:rPr>
          <w:rFonts w:ascii="仿宋_GB2312" w:hAnsi="宋体" w:eastAsia="仿宋_GB2312"/>
          <w:sz w:val="32"/>
          <w:szCs w:val="32"/>
          <w:lang w:val="zh-CN"/>
        </w:rPr>
      </w:pPr>
      <w:r>
        <w:rPr>
          <w:rFonts w:hint="eastAsia" w:ascii="仿宋" w:hAnsi="仿宋" w:eastAsia="仿宋" w:cs="仿宋"/>
          <w:sz w:val="32"/>
          <w:szCs w:val="32"/>
          <w:lang w:val="en-US" w:eastAsia="zh-CN"/>
        </w:rPr>
        <w:t>本单位项目为非基建类长期性的项目，包括《红原年鉴》《执政实录》的印刷出版和口述历史记录片的摄制拍摄。项目资金为财政拨款收入。</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ageBreakBefore w:val="0"/>
        <w:kinsoku/>
        <w:wordWrap/>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仿宋" w:hAnsi="仿宋" w:eastAsia="仿宋" w:cs="仿宋"/>
          <w:b w:val="0"/>
          <w:bCs/>
          <w:sz w:val="32"/>
          <w:szCs w:val="32"/>
          <w:lang w:val="en-US" w:eastAsia="zh-CN"/>
        </w:rPr>
        <w:t>预期目标完成《红原年鉴》出版印刷500册，《执政实录》出版印刷200册及口述历史纪录片1部。截止12月已完成所有预期目标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仿宋" w:hAnsi="仿宋" w:eastAsia="仿宋" w:cs="仿宋"/>
          <w:b w:val="0"/>
          <w:bCs/>
          <w:sz w:val="32"/>
          <w:szCs w:val="32"/>
          <w:lang w:val="zh-CN"/>
        </w:rPr>
        <w:t>以主要领导为组长，财务部门及办公室人员组成评价工作组。由工作组制定工作方案</w:t>
      </w:r>
      <w:r>
        <w:rPr>
          <w:rFonts w:hint="eastAsia" w:ascii="仿宋" w:hAnsi="仿宋" w:eastAsia="仿宋" w:cs="仿宋"/>
          <w:sz w:val="32"/>
          <w:szCs w:val="32"/>
          <w:lang w:val="en-US" w:eastAsia="zh-CN"/>
        </w:rPr>
        <w:t>，并召开全体会议确定，作为评价具体实施的依据</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ageBreakBefore w:val="0"/>
        <w:kinsoku/>
        <w:wordWrap/>
        <w:overflowPunct/>
        <w:topLinePunct w:val="0"/>
        <w:bidi w:val="0"/>
        <w:adjustRightInd w:val="0"/>
        <w:snapToGrid w:val="0"/>
        <w:spacing w:line="560" w:lineRule="exact"/>
        <w:ind w:firstLine="640" w:firstLineChars="200"/>
        <w:rPr>
          <w:rFonts w:hint="eastAsia" w:ascii="楷体_GB2312" w:hAnsi="宋体" w:eastAsia="楷体_GB2312"/>
          <w:b/>
          <w:sz w:val="32"/>
          <w:szCs w:val="32"/>
          <w:lang w:val="zh-CN"/>
        </w:rPr>
      </w:pPr>
      <w:r>
        <w:rPr>
          <w:rFonts w:hint="eastAsia" w:ascii="仿宋" w:hAnsi="仿宋" w:eastAsia="仿宋" w:cs="仿宋"/>
          <w:sz w:val="32"/>
          <w:szCs w:val="32"/>
          <w:lang w:val="en-US" w:eastAsia="zh-CN"/>
        </w:rPr>
        <w:t>2019年申报项目资金23万元，财政批复项目资金22.55</w:t>
      </w:r>
    </w:p>
    <w:p>
      <w:pPr>
        <w:adjustRightInd w:val="0"/>
        <w:snapToGrid w:val="0"/>
        <w:spacing w:line="600" w:lineRule="exact"/>
        <w:ind w:firstLine="720"/>
        <w:rPr>
          <w:rFonts w:hint="eastAsia" w:ascii="楷体_GB2312" w:hAnsi="宋体" w:eastAsia="楷体_GB2312"/>
          <w:b/>
          <w:sz w:val="32"/>
          <w:szCs w:val="32"/>
          <w:lang w:val="zh-CN"/>
        </w:rPr>
      </w:pPr>
    </w:p>
    <w:p>
      <w:pPr>
        <w:adjustRightInd w:val="0"/>
        <w:snapToGrid w:val="0"/>
        <w:spacing w:line="600" w:lineRule="exact"/>
        <w:ind w:firstLine="720"/>
        <w:rPr>
          <w:rFonts w:hint="eastAsia" w:ascii="楷体_GB2312" w:hAnsi="宋体" w:eastAsia="楷体_GB2312"/>
          <w:b/>
          <w:sz w:val="32"/>
          <w:szCs w:val="32"/>
          <w:lang w:val="zh-CN"/>
        </w:rPr>
      </w:pPr>
    </w:p>
    <w:p>
      <w:pPr>
        <w:adjustRightInd w:val="0"/>
        <w:snapToGrid w:val="0"/>
        <w:spacing w:line="600" w:lineRule="exact"/>
        <w:ind w:firstLine="720"/>
        <w:rPr>
          <w:rFonts w:hint="eastAsia" w:ascii="楷体_GB2312" w:hAnsi="宋体" w:eastAsia="楷体_GB2312"/>
          <w:b/>
          <w:sz w:val="32"/>
          <w:szCs w:val="32"/>
          <w:lang w:val="zh-CN"/>
        </w:rPr>
      </w:pPr>
    </w:p>
    <w:p>
      <w:pPr>
        <w:adjustRightInd w:val="0"/>
        <w:snapToGrid w:val="0"/>
        <w:spacing w:line="600" w:lineRule="exact"/>
        <w:ind w:firstLine="720"/>
        <w:rPr>
          <w:rFonts w:hint="eastAsia" w:ascii="楷体_GB2312" w:hAnsi="宋体" w:eastAsia="楷体_GB2312"/>
          <w:b/>
          <w:sz w:val="32"/>
          <w:szCs w:val="32"/>
          <w:lang w:val="zh-CN"/>
        </w:rPr>
      </w:pPr>
    </w:p>
    <w:p>
      <w:pPr>
        <w:adjustRightInd w:val="0"/>
        <w:snapToGrid w:val="0"/>
        <w:spacing w:line="600" w:lineRule="exact"/>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tbl>
      <w:tblPr>
        <w:tblStyle w:val="12"/>
        <w:tblpPr w:leftFromText="180" w:rightFromText="180" w:vertAnchor="text" w:horzAnchor="page" w:tblpX="1408" w:tblpY="357"/>
        <w:tblOverlap w:val="never"/>
        <w:tblW w:w="9570" w:type="dxa"/>
        <w:jc w:val="center"/>
        <w:tblLayout w:type="fixed"/>
        <w:tblCellMar>
          <w:top w:w="0" w:type="dxa"/>
          <w:left w:w="0" w:type="dxa"/>
          <w:bottom w:w="0" w:type="dxa"/>
          <w:right w:w="0" w:type="dxa"/>
        </w:tblCellMar>
      </w:tblPr>
      <w:tblGrid>
        <w:gridCol w:w="2392"/>
        <w:gridCol w:w="2392"/>
        <w:gridCol w:w="2394"/>
        <w:gridCol w:w="2392"/>
      </w:tblGrid>
      <w:tr>
        <w:tblPrEx>
          <w:tblCellMar>
            <w:top w:w="0" w:type="dxa"/>
            <w:left w:w="0" w:type="dxa"/>
            <w:bottom w:w="0" w:type="dxa"/>
            <w:right w:w="0" w:type="dxa"/>
          </w:tblCellMar>
        </w:tblPrEx>
        <w:trPr>
          <w:trHeight w:val="276"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22.55万元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22.55万元</w:t>
            </w:r>
          </w:p>
        </w:tc>
      </w:tr>
      <w:tr>
        <w:tblPrEx>
          <w:tblCellMar>
            <w:top w:w="0" w:type="dxa"/>
            <w:left w:w="0" w:type="dxa"/>
            <w:bottom w:w="0" w:type="dxa"/>
            <w:right w:w="0" w:type="dxa"/>
          </w:tblCellMar>
        </w:tblPrEx>
        <w:trPr>
          <w:trHeight w:val="276"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22.55万元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22.55万元</w:t>
            </w:r>
          </w:p>
        </w:tc>
      </w:tr>
      <w:tr>
        <w:tblPrEx>
          <w:tblCellMar>
            <w:top w:w="0" w:type="dxa"/>
            <w:left w:w="0" w:type="dxa"/>
            <w:bottom w:w="0" w:type="dxa"/>
            <w:right w:w="0" w:type="dxa"/>
          </w:tblCellMar>
        </w:tblPrEx>
        <w:trPr>
          <w:trHeight w:val="1511"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bl>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numPr>
          <w:ilvl w:val="0"/>
          <w:numId w:val="0"/>
        </w:numPr>
        <w:kinsoku/>
        <w:wordWrap/>
        <w:overflowPunct/>
        <w:topLinePunct w:val="0"/>
        <w:bidi w:val="0"/>
        <w:adjustRightInd w:val="0"/>
        <w:snapToGrid w:val="0"/>
        <w:spacing w:line="560" w:lineRule="exact"/>
        <w:ind w:firstLine="640" w:firstLineChars="200"/>
        <w:rPr>
          <w:rFonts w:hint="eastAsia" w:ascii="仿宋" w:hAnsi="仿宋" w:eastAsia="仿宋" w:cs="仿宋"/>
          <w:b/>
          <w:sz w:val="32"/>
          <w:szCs w:val="32"/>
          <w:lang w:val="zh-CN"/>
        </w:rPr>
      </w:pPr>
      <w:r>
        <w:rPr>
          <w:rFonts w:hint="eastAsia" w:ascii="仿宋" w:hAnsi="仿宋" w:eastAsia="仿宋" w:cs="仿宋"/>
          <w:sz w:val="32"/>
          <w:szCs w:val="32"/>
        </w:rPr>
        <w:t>单位进一步提高预算绩效管理认识，强化“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adjustRightInd w:val="0"/>
        <w:snapToGrid w:val="0"/>
        <w:spacing w:line="600" w:lineRule="exact"/>
        <w:ind w:firstLine="640" w:firstLineChars="200"/>
        <w:rPr>
          <w:rFonts w:ascii="楷体_GB2312" w:hAnsi="宋体" w:eastAsia="楷体_GB2312"/>
          <w:b/>
          <w:sz w:val="32"/>
          <w:szCs w:val="32"/>
          <w:lang w:val="zh-CN"/>
        </w:rPr>
      </w:pPr>
      <w:r>
        <w:rPr>
          <w:rFonts w:hint="eastAsia" w:ascii="黑体" w:hAnsi="宋体" w:eastAsia="黑体"/>
          <w:sz w:val="32"/>
          <w:szCs w:val="32"/>
        </w:rPr>
        <w:t>三、项目实施及管理情况</w:t>
      </w:r>
    </w:p>
    <w:p>
      <w:pPr>
        <w:pageBreakBefore w:val="0"/>
        <w:numPr>
          <w:ilvl w:val="0"/>
          <w:numId w:val="7"/>
        </w:numPr>
        <w:kinsoku/>
        <w:wordWrap/>
        <w:overflowPunct/>
        <w:topLinePunct w:val="0"/>
        <w:bidi w:val="0"/>
        <w:adjustRightInd w:val="0"/>
        <w:snapToGrid w:val="0"/>
        <w:spacing w:line="560" w:lineRule="exact"/>
        <w:ind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pageBreakBefore w:val="0"/>
        <w:numPr>
          <w:ilvl w:val="0"/>
          <w:numId w:val="0"/>
        </w:numPr>
        <w:kinsoku/>
        <w:wordWrap/>
        <w:overflowPunct/>
        <w:topLinePunct w:val="0"/>
        <w:bidi w:val="0"/>
        <w:adjustRightInd w:val="0"/>
        <w:snapToGrid w:val="0"/>
        <w:spacing w:line="56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把项目管理的内容文档化，使项目人员更有效的在项目质量、进度、成本上进行项目的整体把控。项目结束之后项目文档能够作为财务检查的有效依</w:t>
      </w:r>
    </w:p>
    <w:p>
      <w:pPr>
        <w:pageBreakBefore w:val="0"/>
        <w:numPr>
          <w:ilvl w:val="0"/>
          <w:numId w:val="7"/>
        </w:numPr>
        <w:kinsoku/>
        <w:wordWrap/>
        <w:overflowPunct/>
        <w:topLinePunct w:val="0"/>
        <w:bidi w:val="0"/>
        <w:adjustRightInd w:val="0"/>
        <w:snapToGrid w:val="0"/>
        <w:spacing w:line="560" w:lineRule="exact"/>
        <w:ind w:left="0" w:leftChars="0"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pageBreakBefore w:val="0"/>
        <w:numPr>
          <w:ilvl w:val="0"/>
          <w:numId w:val="0"/>
        </w:numPr>
        <w:kinsoku/>
        <w:wordWrap/>
        <w:overflowPunct/>
        <w:topLinePunct w:val="0"/>
        <w:bidi w:val="0"/>
        <w:adjustRightInd w:val="0"/>
        <w:snapToGrid w:val="0"/>
        <w:spacing w:line="560" w:lineRule="exact"/>
        <w:ind w:leftChars="100" w:firstLine="320" w:firstLineChars="100"/>
        <w:rPr>
          <w:rFonts w:hint="eastAsia" w:ascii="仿宋" w:hAnsi="仿宋" w:eastAsia="仿宋" w:cs="仿宋"/>
          <w:sz w:val="32"/>
          <w:szCs w:val="32"/>
          <w:lang w:val="zh-CN"/>
        </w:rPr>
      </w:pPr>
      <w:r>
        <w:rPr>
          <w:rFonts w:hint="eastAsia" w:ascii="仿宋" w:hAnsi="仿宋" w:eastAsia="仿宋" w:cs="仿宋"/>
          <w:sz w:val="32"/>
          <w:szCs w:val="32"/>
          <w:lang w:val="zh-CN"/>
        </w:rPr>
        <w:t>项目从招标到资金的拨付都有纪委和支持部门严格把控</w:t>
      </w:r>
    </w:p>
    <w:p>
      <w:pPr>
        <w:adjustRightInd w:val="0"/>
        <w:snapToGrid w:val="0"/>
        <w:spacing w:line="600" w:lineRule="exact"/>
        <w:ind w:firstLine="720"/>
        <w:rPr>
          <w:rFonts w:hint="eastAsia" w:ascii="黑体" w:hAnsi="宋体" w:eastAsia="黑体"/>
          <w:sz w:val="32"/>
          <w:szCs w:val="32"/>
        </w:rPr>
      </w:pP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line="560" w:lineRule="exact"/>
        <w:ind w:firstLine="72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zh-CN"/>
        </w:rPr>
        <w:t>截止</w:t>
      </w:r>
      <w:r>
        <w:rPr>
          <w:rFonts w:hint="eastAsia" w:ascii="仿宋" w:hAnsi="仿宋" w:eastAsia="仿宋" w:cs="仿宋"/>
          <w:b w:val="0"/>
          <w:bCs/>
          <w:sz w:val="32"/>
          <w:szCs w:val="32"/>
          <w:lang w:val="en-US" w:eastAsia="zh-CN"/>
        </w:rPr>
        <w:t>2019年12月底已完成《红原年鉴》》《执政实录》及口述历史的出版印刷及拍摄工作。</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ageBreakBefore w:val="0"/>
        <w:numPr>
          <w:ilvl w:val="0"/>
          <w:numId w:val="0"/>
        </w:numPr>
        <w:kinsoku/>
        <w:wordWrap/>
        <w:overflowPunct/>
        <w:topLinePunct w:val="0"/>
        <w:bidi w:val="0"/>
        <w:adjustRightInd w:val="0"/>
        <w:snapToGrid w:val="0"/>
        <w:spacing w:line="560" w:lineRule="exact"/>
        <w:ind w:firstLine="960" w:firstLineChars="300"/>
        <w:rPr>
          <w:rFonts w:hint="eastAsia" w:ascii="仿宋" w:hAnsi="仿宋" w:eastAsia="仿宋" w:cs="仿宋"/>
          <w:sz w:val="32"/>
          <w:szCs w:val="32"/>
          <w:lang w:val="zh-CN"/>
        </w:rPr>
      </w:pPr>
      <w:r>
        <w:rPr>
          <w:rFonts w:hint="eastAsia" w:ascii="仿宋" w:hAnsi="仿宋" w:eastAsia="仿宋" w:cs="仿宋"/>
          <w:b w:val="0"/>
          <w:bCs/>
          <w:sz w:val="32"/>
          <w:szCs w:val="32"/>
          <w:lang w:val="en-US" w:eastAsia="zh-CN"/>
        </w:rPr>
        <w:t>预期目标完成《红原年鉴》出版印刷500册，《执政实录》出版印刷200册及口述历史纪录片1部。截止12月已完成所有预期目标。预算资金22.55万元实际支付项目资金22.55万元。资金使用率100%长期为存史、资政，提供资料社会效益明显。</w:t>
      </w:r>
    </w:p>
    <w:p>
      <w:pPr>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五、评价结论及建议</w:t>
      </w:r>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bCs/>
          <w:color w:val="000000"/>
          <w:kern w:val="0"/>
          <w:sz w:val="32"/>
          <w:szCs w:val="32"/>
          <w:lang w:val="en-US" w:eastAsia="zh-CN" w:bidi="ar-SA"/>
        </w:rPr>
        <w:t>提高项目人员的专业水平。强化专业学习，提高预算编制人员素质。强化项目绩效管理理念，通过沟通交流，向其他部门学习，充分认识项目绩效管理在预算执行中的重要性</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4"/>
          <w:rFonts w:ascii="黑体" w:hAnsi="黑体" w:eastAsia="黑体"/>
          <w:b w:val="0"/>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00" w:name="_Toc15396618"/>
      <w:bookmarkStart w:id="101" w:name="_Toc3306"/>
      <w:r>
        <w:rPr>
          <w:rFonts w:hint="eastAsia" w:ascii="黑体" w:hAnsi="黑体" w:eastAsia="黑体"/>
          <w:color w:val="000000"/>
          <w:sz w:val="44"/>
          <w:szCs w:val="44"/>
        </w:rPr>
        <w:t>第</w:t>
      </w:r>
      <w:r>
        <w:rPr>
          <w:rStyle w:val="24"/>
          <w:rFonts w:hint="eastAsia" w:ascii="黑体" w:hAnsi="黑体" w:eastAsia="黑体"/>
          <w:b w:val="0"/>
        </w:rPr>
        <w:t>五部分 附表</w:t>
      </w:r>
      <w:bookmarkEnd w:id="97"/>
      <w:bookmarkEnd w:id="100"/>
      <w:bookmarkEnd w:id="101"/>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102" w:name="_Toc15396619"/>
      <w:bookmarkStart w:id="103" w:name="_Toc3047"/>
      <w:r>
        <w:rPr>
          <w:rFonts w:hint="eastAsia" w:ascii="仿宋" w:hAnsi="仿宋" w:eastAsia="仿宋"/>
          <w:b w:val="0"/>
          <w:color w:val="000000"/>
        </w:rPr>
        <w:t>一、收</w:t>
      </w:r>
      <w:r>
        <w:rPr>
          <w:rStyle w:val="25"/>
          <w:rFonts w:hint="eastAsia" w:ascii="仿宋" w:hAnsi="仿宋" w:eastAsia="仿宋"/>
          <w:b w:val="0"/>
          <w:bCs w:val="0"/>
        </w:rPr>
        <w:t>入支出决算总表</w:t>
      </w:r>
      <w:bookmarkEnd w:id="102"/>
      <w:bookmarkEnd w:id="103"/>
    </w:p>
    <w:p>
      <w:pPr>
        <w:pStyle w:val="3"/>
        <w:rPr>
          <w:rFonts w:ascii="仿宋" w:hAnsi="仿宋" w:eastAsia="仿宋"/>
          <w:color w:val="000000"/>
        </w:rPr>
      </w:pPr>
      <w:bookmarkStart w:id="104" w:name="_Toc15396620"/>
      <w:bookmarkStart w:id="105" w:name="_Toc23470"/>
      <w:r>
        <w:rPr>
          <w:rFonts w:hint="eastAsia" w:ascii="仿宋" w:hAnsi="仿宋" w:eastAsia="仿宋"/>
          <w:b w:val="0"/>
          <w:color w:val="000000"/>
        </w:rPr>
        <w:t>二、收</w:t>
      </w:r>
      <w:r>
        <w:rPr>
          <w:rStyle w:val="25"/>
          <w:rFonts w:hint="eastAsia" w:ascii="仿宋" w:hAnsi="仿宋" w:eastAsia="仿宋"/>
          <w:b w:val="0"/>
          <w:bCs w:val="0"/>
        </w:rPr>
        <w:t>入决算表</w:t>
      </w:r>
      <w:bookmarkEnd w:id="104"/>
      <w:bookmarkEnd w:id="105"/>
    </w:p>
    <w:p>
      <w:pPr>
        <w:pStyle w:val="3"/>
        <w:rPr>
          <w:rFonts w:ascii="仿宋" w:hAnsi="仿宋" w:eastAsia="仿宋"/>
          <w:color w:val="000000"/>
        </w:rPr>
      </w:pPr>
      <w:bookmarkStart w:id="106" w:name="_Toc15396621"/>
      <w:bookmarkStart w:id="107" w:name="_Toc20240"/>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06"/>
      <w:bookmarkEnd w:id="107"/>
    </w:p>
    <w:p>
      <w:pPr>
        <w:pStyle w:val="3"/>
        <w:rPr>
          <w:rFonts w:ascii="仿宋" w:hAnsi="仿宋" w:eastAsia="仿宋"/>
          <w:b w:val="0"/>
          <w:color w:val="000000"/>
        </w:rPr>
      </w:pPr>
      <w:bookmarkStart w:id="108" w:name="_Toc15396622"/>
      <w:bookmarkStart w:id="109" w:name="_Toc1278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08"/>
      <w:bookmarkEnd w:id="109"/>
    </w:p>
    <w:p>
      <w:pPr>
        <w:pStyle w:val="3"/>
        <w:rPr>
          <w:rStyle w:val="25"/>
          <w:rFonts w:ascii="仿宋" w:hAnsi="仿宋" w:eastAsia="仿宋"/>
          <w:b w:val="0"/>
          <w:bCs w:val="0"/>
        </w:rPr>
      </w:pPr>
      <w:bookmarkStart w:id="110" w:name="_Toc15396623"/>
      <w:bookmarkStart w:id="111" w:name="_Toc2524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10"/>
      <w:bookmarkEnd w:id="111"/>
      <w:bookmarkStart w:id="112" w:name="_Toc15396624"/>
    </w:p>
    <w:p>
      <w:pPr>
        <w:pStyle w:val="3"/>
        <w:rPr>
          <w:rFonts w:ascii="仿宋" w:hAnsi="仿宋" w:eastAsia="仿宋"/>
          <w:color w:val="000000"/>
        </w:rPr>
      </w:pPr>
      <w:bookmarkStart w:id="113" w:name="_Toc21340"/>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12"/>
      <w:bookmarkEnd w:id="113"/>
    </w:p>
    <w:p>
      <w:pPr>
        <w:pStyle w:val="3"/>
        <w:rPr>
          <w:rFonts w:ascii="仿宋" w:hAnsi="仿宋" w:eastAsia="仿宋"/>
          <w:color w:val="000000"/>
        </w:rPr>
      </w:pPr>
      <w:bookmarkStart w:id="114" w:name="_Toc15396625"/>
      <w:bookmarkStart w:id="115" w:name="_Toc3307"/>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14"/>
      <w:bookmarkEnd w:id="115"/>
    </w:p>
    <w:p>
      <w:pPr>
        <w:pStyle w:val="3"/>
        <w:rPr>
          <w:rFonts w:ascii="仿宋" w:hAnsi="仿宋" w:eastAsia="仿宋"/>
          <w:color w:val="000000"/>
        </w:rPr>
      </w:pPr>
      <w:bookmarkStart w:id="116" w:name="_Toc15396626"/>
      <w:bookmarkStart w:id="117" w:name="_Toc16628"/>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16"/>
      <w:bookmarkEnd w:id="117"/>
    </w:p>
    <w:p>
      <w:pPr>
        <w:pStyle w:val="3"/>
        <w:rPr>
          <w:rFonts w:ascii="仿宋" w:hAnsi="仿宋" w:eastAsia="仿宋"/>
          <w:color w:val="000000"/>
        </w:rPr>
      </w:pPr>
      <w:bookmarkStart w:id="118" w:name="_Toc15396627"/>
      <w:bookmarkStart w:id="119" w:name="_Toc1386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18"/>
      <w:bookmarkEnd w:id="119"/>
    </w:p>
    <w:p>
      <w:pPr>
        <w:pStyle w:val="3"/>
        <w:rPr>
          <w:rFonts w:ascii="仿宋" w:hAnsi="仿宋" w:eastAsia="仿宋"/>
          <w:color w:val="000000"/>
        </w:rPr>
      </w:pPr>
      <w:bookmarkStart w:id="120" w:name="_Toc15396628"/>
      <w:bookmarkStart w:id="121" w:name="_Toc18516"/>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20"/>
      <w:bookmarkEnd w:id="121"/>
    </w:p>
    <w:p>
      <w:pPr>
        <w:pStyle w:val="3"/>
        <w:rPr>
          <w:rFonts w:ascii="仿宋" w:hAnsi="仿宋" w:eastAsia="仿宋"/>
          <w:color w:val="000000"/>
        </w:rPr>
      </w:pPr>
      <w:bookmarkStart w:id="122" w:name="_Toc15396629"/>
      <w:bookmarkStart w:id="123" w:name="_Toc2921"/>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22"/>
      <w:bookmarkEnd w:id="123"/>
    </w:p>
    <w:p>
      <w:pPr>
        <w:pStyle w:val="3"/>
        <w:rPr>
          <w:rFonts w:ascii="仿宋" w:hAnsi="仿宋" w:eastAsia="仿宋"/>
          <w:color w:val="000000"/>
        </w:rPr>
      </w:pPr>
      <w:bookmarkStart w:id="124" w:name="_Toc15396630"/>
      <w:bookmarkStart w:id="125" w:name="_Toc1037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24"/>
      <w:bookmarkEnd w:id="125"/>
    </w:p>
    <w:p>
      <w:pPr>
        <w:pStyle w:val="3"/>
        <w:rPr>
          <w:rFonts w:ascii="仿宋" w:hAnsi="仿宋" w:eastAsia="仿宋"/>
          <w:color w:val="000000" w:themeColor="text1"/>
          <w14:textFill>
            <w14:solidFill>
              <w14:schemeClr w14:val="tx1"/>
            </w14:solidFill>
          </w14:textFill>
        </w:rPr>
      </w:pPr>
      <w:bookmarkStart w:id="126" w:name="_Toc15396631"/>
      <w:bookmarkStart w:id="127" w:name="_Toc25725"/>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26"/>
      <w:bookmarkEnd w:id="12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E1318"/>
    <w:multiLevelType w:val="singleLevel"/>
    <w:tmpl w:val="9C3E1318"/>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2783C79"/>
    <w:multiLevelType w:val="singleLevel"/>
    <w:tmpl w:val="D2783C79"/>
    <w:lvl w:ilvl="0" w:tentative="0">
      <w:start w:val="2"/>
      <w:numFmt w:val="chineseCounting"/>
      <w:suff w:val="nothing"/>
      <w:lvlText w:val="（%1）"/>
      <w:lvlJc w:val="left"/>
      <w:rPr>
        <w:rFonts w:hint="eastAsia"/>
      </w:rPr>
    </w:lvl>
  </w:abstractNum>
  <w:abstractNum w:abstractNumId="3">
    <w:nsid w:val="DF47F509"/>
    <w:multiLevelType w:val="singleLevel"/>
    <w:tmpl w:val="DF47F509"/>
    <w:lvl w:ilvl="0" w:tentative="0">
      <w:start w:val="2"/>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61E10A15"/>
    <w:multiLevelType w:val="singleLevel"/>
    <w:tmpl w:val="61E10A15"/>
    <w:lvl w:ilvl="0" w:tentative="0">
      <w:start w:val="1"/>
      <w:numFmt w:val="chineseCounting"/>
      <w:suff w:val="nothing"/>
      <w:lvlText w:val="（%1）"/>
      <w:lvlJc w:val="left"/>
      <w:rPr>
        <w:rFonts w:hint="eastAsia"/>
      </w:rPr>
    </w:lvl>
  </w:abstractNum>
  <w:num w:numId="1">
    <w:abstractNumId w:val="5"/>
  </w:num>
  <w:num w:numId="2">
    <w:abstractNumId w:val="1"/>
  </w:num>
  <w:num w:numId="3">
    <w:abstractNumId w:val="0"/>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FF1531"/>
    <w:rsid w:val="059B22E4"/>
    <w:rsid w:val="0E966B2D"/>
    <w:rsid w:val="10C055FF"/>
    <w:rsid w:val="16BB723D"/>
    <w:rsid w:val="17351549"/>
    <w:rsid w:val="1AC90B47"/>
    <w:rsid w:val="1D5556A0"/>
    <w:rsid w:val="240371BF"/>
    <w:rsid w:val="242B5704"/>
    <w:rsid w:val="29FD04D3"/>
    <w:rsid w:val="319F7F4E"/>
    <w:rsid w:val="3A8A084C"/>
    <w:rsid w:val="3E193F4C"/>
    <w:rsid w:val="49FF73A1"/>
    <w:rsid w:val="4B1931D8"/>
    <w:rsid w:val="4B32523B"/>
    <w:rsid w:val="4ECE2238"/>
    <w:rsid w:val="4FDC338A"/>
    <w:rsid w:val="516A101C"/>
    <w:rsid w:val="52847703"/>
    <w:rsid w:val="57A70DE1"/>
    <w:rsid w:val="58A747B3"/>
    <w:rsid w:val="596D3177"/>
    <w:rsid w:val="5F48106E"/>
    <w:rsid w:val="72734D90"/>
    <w:rsid w:val="73AC506B"/>
    <w:rsid w:val="7A276B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2020-11-06T02:31:34Z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