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96475"/>
      <w:bookmarkStart w:id="4" w:name="_Toc15377193"/>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194"/>
      <w:bookmarkStart w:id="7" w:name="_Toc15377426"/>
      <w:bookmarkStart w:id="8" w:name="_Toc15378442"/>
      <w:bookmarkStart w:id="9" w:name="_Toc15396476"/>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红原县党史县志办</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公开时间：2019年8月</w:t>
      </w:r>
      <w:r>
        <w:rPr>
          <w:rFonts w:hint="eastAsia"/>
          <w:lang w:val="en-US" w:eastAsia="zh-CN"/>
        </w:rPr>
        <w:t>25</w:t>
      </w:r>
      <w:r>
        <w:rPr>
          <w:rFonts w:hint="eastAsia"/>
        </w:rPr>
        <w:t>日</w:t>
      </w:r>
    </w:p>
    <w:p/>
    <w:p>
      <w:pPr>
        <w:pStyle w:val="10"/>
        <w:rPr>
          <w:rFonts w:cstheme="minorBidi"/>
        </w:rPr>
      </w:pPr>
      <w:r>
        <w:fldChar w:fldCharType="begin"/>
      </w:r>
      <w:r>
        <w:instrText xml:space="preserve"> HYPERLINK \l "_Toc15396599" </w:instrText>
      </w:r>
      <w:r>
        <w:fldChar w:fldCharType="separate"/>
      </w:r>
      <w:r>
        <w:rPr>
          <w:rStyle w:val="14"/>
          <w:rFonts w:hint="eastAsia"/>
        </w:rPr>
        <w:t>第一部分</w:t>
      </w:r>
      <w:r>
        <w:rPr>
          <w:rStyle w:val="14"/>
        </w:rPr>
        <w:t xml:space="preserve"> </w:t>
      </w:r>
      <w:r>
        <w:rPr>
          <w:rStyle w:val="14"/>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Fonts w:ascii="仿宋" w:hAnsi="仿宋" w:eastAsia="仿宋"/>
          <w:sz w:val="28"/>
          <w:szCs w:val="28"/>
        </w:rPr>
        <w:fldChar w:fldCharType="end"/>
      </w:r>
    </w:p>
    <w:p>
      <w:pPr>
        <w:pStyle w:val="10"/>
      </w:pPr>
      <w:r>
        <w:rPr>
          <w:rFonts w:hint="eastAsia"/>
          <w:lang w:val="en-US" w:eastAsia="zh-CN"/>
        </w:rPr>
        <w:t xml:space="preserve">  </w:t>
      </w:r>
      <w:r>
        <w:fldChar w:fldCharType="begin"/>
      </w:r>
      <w:r>
        <w:instrText xml:space="preserve"> HYPERLINK \l "_Toc15396602" </w:instrText>
      </w:r>
      <w:r>
        <w:fldChar w:fldCharType="separate"/>
      </w:r>
      <w:r>
        <w:rPr>
          <w:rStyle w:val="14"/>
          <w:rFonts w:hint="eastAsia"/>
        </w:rPr>
        <w:t>第二部分</w:t>
      </w:r>
      <w:r>
        <w:rPr>
          <w:rStyle w:val="14"/>
        </w:rPr>
        <w:t xml:space="preserve"> 2018</w:t>
      </w:r>
      <w:r>
        <w:rPr>
          <w:rStyle w:val="14"/>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4"/>
          <w:rFonts w:hint="eastAsia" w:ascii="仿宋" w:hAnsi="仿宋" w:eastAsia="仿宋" w:cstheme="majorBidi"/>
          <w:bCs/>
          <w:sz w:val="28"/>
          <w:szCs w:val="28"/>
        </w:rPr>
        <w:t>一、</w:t>
      </w:r>
      <w:r>
        <w:rPr>
          <w:rStyle w:val="14"/>
          <w:rFonts w:hint="eastAsia" w:ascii="仿宋" w:hAnsi="仿宋" w:eastAsia="仿宋"/>
          <w:sz w:val="28"/>
          <w:szCs w:val="28"/>
        </w:rPr>
        <w:t>收</w:t>
      </w:r>
      <w:r>
        <w:rPr>
          <w:rStyle w:val="14"/>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4"/>
          <w:rFonts w:hint="eastAsia" w:ascii="仿宋" w:hAnsi="仿宋" w:eastAsia="仿宋" w:cstheme="majorBidi"/>
          <w:bCs/>
          <w:sz w:val="28"/>
          <w:szCs w:val="28"/>
        </w:rPr>
        <w:t>二、</w:t>
      </w:r>
      <w:r>
        <w:rPr>
          <w:rStyle w:val="14"/>
          <w:rFonts w:hint="eastAsia" w:ascii="仿宋" w:hAnsi="仿宋" w:eastAsia="仿宋"/>
          <w:sz w:val="28"/>
          <w:szCs w:val="28"/>
        </w:rPr>
        <w:t>收</w:t>
      </w:r>
      <w:r>
        <w:rPr>
          <w:rStyle w:val="14"/>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4"/>
          <w:rFonts w:hint="eastAsia" w:ascii="仿宋" w:hAnsi="仿宋" w:eastAsia="仿宋" w:cstheme="majorBidi"/>
          <w:bCs/>
          <w:sz w:val="28"/>
          <w:szCs w:val="28"/>
        </w:rPr>
        <w:t>三、</w:t>
      </w:r>
      <w:r>
        <w:rPr>
          <w:rStyle w:val="14"/>
          <w:rFonts w:hint="eastAsia" w:ascii="仿宋" w:hAnsi="仿宋" w:eastAsia="仿宋"/>
          <w:sz w:val="28"/>
          <w:szCs w:val="28"/>
        </w:rPr>
        <w:t>支</w:t>
      </w:r>
      <w:r>
        <w:rPr>
          <w:rStyle w:val="14"/>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ascii="仿宋" w:hAnsi="仿宋" w:eastAsia="仿宋"/>
          <w:sz w:val="28"/>
          <w:szCs w:val="28"/>
        </w:rPr>
        <w:t>“</w:t>
      </w:r>
      <w:r>
        <w:rPr>
          <w:rStyle w:val="14"/>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4"/>
          <w:rFonts w:hint="eastAsia" w:ascii="仿宋" w:hAnsi="仿宋" w:eastAsia="仿宋" w:cstheme="majorBidi"/>
          <w:bCs/>
          <w:sz w:val="28"/>
          <w:szCs w:val="28"/>
        </w:rPr>
        <w:t>九、</w:t>
      </w:r>
      <w:r>
        <w:rPr>
          <w:rStyle w:val="14"/>
          <w:rFonts w:hint="eastAsia" w:ascii="仿宋" w:hAnsi="仿宋" w:eastAsia="仿宋"/>
          <w:sz w:val="28"/>
          <w:szCs w:val="28"/>
        </w:rPr>
        <w:t xml:space="preserve"> 国</w:t>
      </w:r>
      <w:r>
        <w:rPr>
          <w:rStyle w:val="14"/>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4"/>
          <w:rFonts w:hint="eastAsia" w:ascii="仿宋" w:hAnsi="仿宋" w:eastAsia="仿宋"/>
          <w:sz w:val="28"/>
          <w:szCs w:val="28"/>
        </w:rPr>
        <w:t>十</w:t>
      </w:r>
      <w:r>
        <w:rPr>
          <w:rStyle w:val="14"/>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4"/>
          <w:rFonts w:hint="eastAsia"/>
          <w:bCs/>
          <w:kern w:val="44"/>
        </w:rPr>
        <w:t>第三部分</w:t>
      </w:r>
      <w:r>
        <w:rPr>
          <w:rStyle w:val="14"/>
          <w:rFonts w:hint="eastAsia"/>
        </w:rPr>
        <w:t xml:space="preserve"> 名</w:t>
      </w:r>
      <w:r>
        <w:rPr>
          <w:rStyle w:val="14"/>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w:t>
      </w:r>
      <w:r>
        <w:rPr>
          <w:rStyle w:val="14"/>
          <w:bCs/>
          <w:kern w:val="44"/>
        </w:rPr>
        <w:t xml:space="preserve"> </w:t>
      </w:r>
      <w:r>
        <w:rPr>
          <w:rStyle w:val="14"/>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w:t>
      </w:r>
      <w:r>
        <w:rPr>
          <w:rStyle w:val="14"/>
          <w:bCs/>
          <w:kern w:val="44"/>
        </w:rPr>
        <w:t xml:space="preserve"> </w:t>
      </w:r>
      <w:r>
        <w:rPr>
          <w:rStyle w:val="14"/>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4"/>
        <w:ind w:firstLine="960" w:firstLineChars="300"/>
        <w:jc w:val="left"/>
        <w:rPr>
          <w:rFonts w:hint="eastAsia" w:ascii="仿宋" w:hAnsi="仿宋" w:eastAsia="仿宋"/>
          <w:b w:val="0"/>
          <w:bCs w:val="0"/>
          <w:color w:val="000000"/>
          <w:sz w:val="32"/>
          <w:szCs w:val="32"/>
        </w:rPr>
      </w:pPr>
      <w:bookmarkStart w:id="16" w:name="_Toc15377198"/>
      <w:bookmarkStart w:id="17" w:name="_Toc15378445"/>
      <w:r>
        <w:rPr>
          <w:rFonts w:hint="eastAsia" w:ascii="仿宋" w:hAnsi="仿宋" w:eastAsia="仿宋"/>
          <w:b w:val="0"/>
          <w:bCs w:val="0"/>
          <w:color w:val="000000"/>
          <w:sz w:val="32"/>
          <w:szCs w:val="32"/>
        </w:rPr>
        <w:t>（一）主要职能。</w:t>
      </w:r>
      <w:bookmarkEnd w:id="16"/>
      <w:bookmarkEnd w:id="17"/>
    </w:p>
    <w:p>
      <w:pPr>
        <w:pStyle w:val="4"/>
        <w:ind w:firstLine="960" w:firstLineChars="300"/>
        <w:jc w:val="left"/>
        <w:rPr>
          <w:rFonts w:ascii="仿宋" w:hAnsi="仿宋" w:eastAsia="仿宋"/>
          <w:bCs/>
          <w:color w:val="000000"/>
          <w:sz w:val="32"/>
          <w:szCs w:val="32"/>
        </w:rPr>
      </w:pPr>
      <w:r>
        <w:rPr>
          <w:rFonts w:hint="eastAsia" w:ascii="仿宋" w:hAnsi="仿宋" w:eastAsia="仿宋" w:cs="仿宋"/>
          <w:b w:val="0"/>
          <w:bCs w:val="0"/>
          <w:color w:val="000000"/>
          <w:sz w:val="32"/>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spacing w:line="560" w:lineRule="exact"/>
        <w:ind w:firstLine="800" w:firstLineChars="250"/>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60" w:lineRule="exact"/>
        <w:ind w:firstLine="800" w:firstLineChars="250"/>
        <w:rPr>
          <w:rFonts w:ascii="仿宋" w:hAnsi="仿宋" w:eastAsia="仿宋"/>
          <w:bCs/>
          <w:color w:val="000000"/>
          <w:sz w:val="32"/>
          <w:szCs w:val="32"/>
        </w:rPr>
      </w:pPr>
      <w:r>
        <w:rPr>
          <w:rFonts w:hint="eastAsia" w:ascii="仿宋" w:hAnsi="仿宋" w:eastAsia="仿宋" w:cs="仿宋"/>
          <w:bCs/>
          <w:color w:val="000000"/>
          <w:sz w:val="32"/>
          <w:szCs w:val="32"/>
        </w:rPr>
        <w:t>2018年拍摄完成了口述历史纪录片《牧琴弦歌》。完成了2017年《红原年鉴》出版及2018年《红原年鉴》的编纂工作，完成了2017《执政实录》的出版及2018年的编纂工作。同时完成了《青藏高原环境与山水文化志》红原篇等。《青藏高原环境与山水文化志》（红原篇）已高质量完成藏汉双语文稿，并通过州级终审验收，汉文版作为范本被州民宗局发藏区三县借鉴学习。其中，《青藏高原环境与山水文化志》（红原篇）藏文版字数68.2万字，汉文版52.9万字。《红原县藏传佛教寺庙志》完成编纂工作量的90%，藏文字数140万。《红原县传统游牧部落文化志》完成编纂工作量的65%，藏文字数54万。《红原史话》完成编纂工作量的60%，字数7.2万。</w:t>
      </w:r>
    </w:p>
    <w:p>
      <w:pPr>
        <w:pStyle w:val="3"/>
        <w:numPr>
          <w:ilvl w:val="0"/>
          <w:numId w:val="1"/>
        </w:numPr>
        <w:rPr>
          <w:rStyle w:val="25"/>
          <w:rFonts w:hint="eastAsia" w:ascii="黑体" w:hAnsi="黑体" w:eastAsia="黑体"/>
          <w:b w:val="0"/>
          <w:bCs w:val="0"/>
        </w:rPr>
      </w:pPr>
      <w:bookmarkStart w:id="20" w:name="_Toc15377200"/>
      <w:bookmarkStart w:id="21" w:name="_Toc15396601"/>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pStyle w:val="4"/>
        <w:numPr>
          <w:ilvl w:val="0"/>
          <w:numId w:val="0"/>
        </w:numPr>
        <w:ind w:firstLine="640" w:firstLineChars="200"/>
        <w:jc w:val="left"/>
        <w:rPr>
          <w:rFonts w:ascii="仿宋_GB2312" w:eastAsia="仿宋_GB2312"/>
          <w:b w:val="0"/>
          <w:bCs w:val="0"/>
          <w:szCs w:val="30"/>
        </w:rPr>
      </w:pPr>
      <w:r>
        <w:rPr>
          <w:rFonts w:hint="eastAsia" w:ascii="仿宋" w:hAnsi="仿宋" w:eastAsia="仿宋" w:cs="仿宋"/>
          <w:b w:val="0"/>
          <w:bCs w:val="0"/>
          <w:sz w:val="32"/>
        </w:rPr>
        <w:t>本单位是一级预算</w:t>
      </w:r>
      <w:r>
        <w:rPr>
          <w:rFonts w:hint="eastAsia" w:ascii="仿宋" w:hAnsi="仿宋" w:eastAsia="仿宋" w:cs="仿宋"/>
          <w:b w:val="0"/>
          <w:bCs w:val="0"/>
          <w:sz w:val="32"/>
          <w:lang w:eastAsia="zh-CN"/>
        </w:rPr>
        <w:t>的参公</w:t>
      </w:r>
      <w:r>
        <w:rPr>
          <w:rFonts w:hint="eastAsia" w:ascii="仿宋" w:hAnsi="仿宋" w:eastAsia="仿宋" w:cs="仿宋"/>
          <w:b w:val="0"/>
          <w:bCs w:val="0"/>
          <w:sz w:val="32"/>
        </w:rPr>
        <w:t>单位。实行独立的预算制度下设有3个机构</w:t>
      </w:r>
      <w:r>
        <w:rPr>
          <w:rFonts w:hint="eastAsia" w:ascii="仿宋" w:hAnsi="仿宋" w:eastAsia="仿宋" w:cs="仿宋"/>
          <w:b w:val="0"/>
          <w:bCs w:val="0"/>
          <w:sz w:val="32"/>
          <w:lang w:eastAsia="zh-CN"/>
        </w:rPr>
        <w:t>，办公室，业务指导及档案股</w:t>
      </w:r>
      <w:r>
        <w:rPr>
          <w:rFonts w:hint="eastAsia" w:ascii="仿宋" w:hAnsi="仿宋" w:eastAsia="仿宋" w:cs="仿宋"/>
          <w:b w:val="0"/>
          <w:bCs w:val="0"/>
          <w:sz w:val="32"/>
        </w:rPr>
        <w:t>。编制8人在职8人</w:t>
      </w:r>
      <w:r>
        <w:rPr>
          <w:rFonts w:hint="eastAsia" w:ascii="仿宋" w:hAnsi="仿宋" w:eastAsia="仿宋" w:cs="仿宋"/>
          <w:b w:val="0"/>
          <w:bCs w:val="0"/>
          <w:sz w:val="32"/>
          <w:lang w:eastAsia="zh-CN"/>
        </w:rPr>
        <w:t>。</w:t>
      </w:r>
    </w:p>
    <w:p>
      <w:pPr>
        <w:rPr>
          <w:rFonts w:ascii="仿宋" w:hAnsi="仿宋" w:eastAsia="仿宋"/>
          <w:color w:val="00000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2"/>
      <w:bookmarkEnd w:id="23"/>
    </w:p>
    <w:p/>
    <w:p>
      <w:pPr>
        <w:pStyle w:val="23"/>
        <w:numPr>
          <w:ilvl w:val="0"/>
          <w:numId w:val="2"/>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153.82万元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出总计</w:t>
      </w:r>
      <w:r>
        <w:rPr>
          <w:rFonts w:hint="eastAsia" w:ascii="仿宋" w:hAnsi="仿宋" w:eastAsia="仿宋"/>
          <w:color w:val="000000"/>
          <w:sz w:val="32"/>
          <w:szCs w:val="32"/>
          <w:lang w:val="en-US" w:eastAsia="zh-CN"/>
        </w:rPr>
        <w:t>204.26</w:t>
      </w:r>
      <w:r>
        <w:rPr>
          <w:rFonts w:hint="eastAsia" w:ascii="仿宋" w:hAnsi="仿宋" w:eastAsia="仿宋"/>
          <w:color w:val="000000"/>
          <w:sz w:val="32"/>
          <w:szCs w:val="32"/>
        </w:rPr>
        <w:t>万元。与2017年相比，收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22.18万元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64.09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支出增长</w:t>
      </w:r>
      <w:r>
        <w:rPr>
          <w:rFonts w:hint="eastAsia" w:ascii="仿宋" w:hAnsi="仿宋" w:eastAsia="仿宋"/>
          <w:color w:val="000000"/>
          <w:sz w:val="32"/>
          <w:szCs w:val="32"/>
          <w:lang w:val="en-US" w:eastAsia="zh-CN"/>
        </w:rPr>
        <w:t>46%。</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是新增人员和工资变动</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62336" behindDoc="1" locked="0" layoutInCell="1" allowOverlap="1">
            <wp:simplePos x="0" y="0"/>
            <wp:positionH relativeFrom="column">
              <wp:posOffset>155575</wp:posOffset>
            </wp:positionH>
            <wp:positionV relativeFrom="paragraph">
              <wp:posOffset>166370</wp:posOffset>
            </wp:positionV>
            <wp:extent cx="5080000" cy="3810000"/>
            <wp:effectExtent l="4445" t="4445" r="20955" b="1460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pStyle w:val="23"/>
        <w:numPr>
          <w:ilvl w:val="0"/>
          <w:numId w:val="2"/>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153.82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151.79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2.03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1" locked="0" layoutInCell="1" allowOverlap="1">
            <wp:simplePos x="0" y="0"/>
            <wp:positionH relativeFrom="column">
              <wp:posOffset>77470</wp:posOffset>
            </wp:positionH>
            <wp:positionV relativeFrom="paragraph">
              <wp:posOffset>142875</wp:posOffset>
            </wp:positionV>
            <wp:extent cx="5080000" cy="3731895"/>
            <wp:effectExtent l="4445" t="4445" r="20955" b="1651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pStyle w:val="23"/>
        <w:numPr>
          <w:ilvl w:val="0"/>
          <w:numId w:val="2"/>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204.26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148.82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55.44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155575</wp:posOffset>
            </wp:positionH>
            <wp:positionV relativeFrom="paragraph">
              <wp:posOffset>243840</wp:posOffset>
            </wp:positionV>
            <wp:extent cx="5080000" cy="3810000"/>
            <wp:effectExtent l="4445" t="4445" r="20955" b="1460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77208"/>
      <w:bookmarkStart w:id="31" w:name="_Toc15396606"/>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151.79万元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202.23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20.15万元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15%</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62.06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44</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是新增人员和工资变动。</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1312" behindDoc="1" locked="0" layoutInCell="1" allowOverlap="1">
            <wp:simplePos x="0" y="0"/>
            <wp:positionH relativeFrom="column">
              <wp:posOffset>1062990</wp:posOffset>
            </wp:positionH>
            <wp:positionV relativeFrom="paragraph">
              <wp:posOffset>64135</wp:posOffset>
            </wp:positionV>
            <wp:extent cx="2874010" cy="2286635"/>
            <wp:effectExtent l="4445" t="4445" r="17145" b="1397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outlineLvl w:val="1"/>
        <w:rPr>
          <w:rStyle w:val="25"/>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121</w:t>
      </w:r>
      <w:r>
        <w:rPr>
          <w:rFonts w:hint="eastAsia" w:ascii="仿宋" w:hAnsi="仿宋" w:eastAsia="仿宋"/>
          <w:color w:val="000000"/>
          <w:sz w:val="32"/>
          <w:szCs w:val="32"/>
        </w:rPr>
        <w:t>万元，占本年支出合计</w:t>
      </w:r>
      <w:r>
        <w:rPr>
          <w:rFonts w:hint="eastAsia" w:ascii="仿宋" w:hAnsi="仿宋" w:eastAsia="仿宋"/>
          <w:color w:val="000000"/>
          <w:sz w:val="32"/>
          <w:szCs w:val="32"/>
          <w:lang w:val="en-US" w:eastAsia="zh-CN"/>
        </w:rPr>
        <w:t>69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0.4万</w:t>
      </w:r>
      <w:r>
        <w:rPr>
          <w:rFonts w:hint="eastAsia" w:ascii="仿宋" w:hAnsi="仿宋" w:eastAsia="仿宋"/>
          <w:color w:val="000000"/>
          <w:sz w:val="32"/>
          <w:szCs w:val="32"/>
        </w:rPr>
        <w:t>元，下降</w:t>
      </w:r>
      <w:r>
        <w:rPr>
          <w:rFonts w:hint="eastAsia" w:ascii="仿宋" w:hAnsi="仿宋" w:eastAsia="仿宋"/>
          <w:color w:val="000000"/>
          <w:sz w:val="32"/>
          <w:szCs w:val="32"/>
          <w:lang w:val="en-US" w:eastAsia="zh-CN"/>
        </w:rPr>
        <w:t>0.3</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w:t>
      </w:r>
      <w:r>
        <w:rPr>
          <w:rFonts w:hint="eastAsia" w:ascii="仿宋" w:hAnsi="仿宋" w:eastAsia="仿宋"/>
          <w:color w:val="000000"/>
          <w:sz w:val="32"/>
          <w:szCs w:val="32"/>
          <w:lang w:val="en-US" w:eastAsia="zh-CN"/>
        </w:rPr>
        <w:t>2016年人员减少。</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121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90.2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17.4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5.72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7.69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560" w:lineRule="exact"/>
        <w:ind w:firstLine="640" w:firstLineChars="200"/>
        <w:rPr>
          <w:rFonts w:hint="eastAsia" w:ascii="仿宋_GB2312" w:eastAsia="仿宋_GB2312"/>
          <w:sz w:val="32"/>
          <w:szCs w:val="32"/>
        </w:rPr>
      </w:pPr>
      <w:r>
        <w:rPr>
          <w:rFonts w:hint="eastAsia" w:ascii="仿宋" w:hAnsi="仿宋" w:eastAsia="仿宋"/>
          <w:color w:val="000000" w:themeColor="text1"/>
          <w:sz w:val="32"/>
          <w:szCs w:val="32"/>
          <w:lang w:val="en-US" w:eastAsia="zh-CN"/>
          <w14:textFill>
            <w14:solidFill>
              <w14:schemeClr w14:val="tx1"/>
            </w14:solidFill>
          </w14:textFill>
        </w:rPr>
        <w:t>(一）2013101一般公共服务支出行政运行90.2万元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sz w:val="32"/>
          <w:szCs w:val="32"/>
          <w:lang w:val="en-US" w:eastAsia="zh-CN"/>
        </w:rPr>
        <w:t>2080505</w:t>
      </w:r>
      <w:r>
        <w:rPr>
          <w:rFonts w:hint="eastAsia" w:ascii="仿宋_GB2312" w:eastAsia="仿宋_GB2312"/>
          <w:sz w:val="32"/>
          <w:szCs w:val="32"/>
        </w:rPr>
        <w:t>基本养老保险支出12.43万元，用于机关及下属单位按照规定标准为职工缴纳养老保险等支出。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w:t>
      </w:r>
      <w:r>
        <w:rPr>
          <w:rFonts w:hint="eastAsia" w:ascii="仿宋_GB2312" w:eastAsia="仿宋_GB2312"/>
          <w:sz w:val="32"/>
          <w:szCs w:val="32"/>
          <w:lang w:val="en-US" w:eastAsia="zh-CN"/>
        </w:rPr>
        <w:t>2080506</w:t>
      </w:r>
      <w:r>
        <w:rPr>
          <w:rFonts w:hint="eastAsia" w:ascii="仿宋_GB2312" w:eastAsia="仿宋_GB2312"/>
          <w:sz w:val="32"/>
          <w:szCs w:val="32"/>
        </w:rPr>
        <w:t>职业年金支出4.97万元，，用于机关及下属单位按照规定标准为职工缴纳职业年金等支出。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lang w:val="en-US" w:eastAsia="zh-CN"/>
        </w:rPr>
        <w:t>2101101行政单位医疗5.72万元</w:t>
      </w:r>
      <w:r>
        <w:rPr>
          <w:rFonts w:hint="eastAsia" w:ascii="仿宋_GB2312" w:eastAsia="仿宋_GB2312"/>
          <w:sz w:val="32"/>
          <w:szCs w:val="32"/>
        </w:rPr>
        <w:t>主要用于机关及下属事业单位按照规定标准为职工缴纳的基本医疗保险及公务员医疗补助等支出。</w:t>
      </w:r>
    </w:p>
    <w:p>
      <w:pPr>
        <w:spacing w:line="600" w:lineRule="exact"/>
        <w:ind w:firstLine="320" w:firstLineChars="1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w:t>
      </w:r>
      <w:r>
        <w:rPr>
          <w:rFonts w:hint="eastAsia" w:ascii="仿宋_GB2312" w:eastAsia="仿宋_GB2312"/>
          <w:sz w:val="32"/>
          <w:szCs w:val="32"/>
          <w:lang w:val="en-US" w:eastAsia="zh-CN"/>
        </w:rPr>
        <w:t>2210201</w:t>
      </w:r>
      <w:r>
        <w:rPr>
          <w:rFonts w:hint="eastAsia" w:ascii="仿宋_GB2312" w:eastAsia="仿宋_GB2312"/>
          <w:sz w:val="32"/>
          <w:szCs w:val="32"/>
        </w:rPr>
        <w:t>住房</w:t>
      </w:r>
      <w:r>
        <w:rPr>
          <w:rFonts w:hint="eastAsia" w:ascii="仿宋_GB2312" w:eastAsia="仿宋_GB2312"/>
          <w:sz w:val="32"/>
          <w:szCs w:val="32"/>
          <w:lang w:eastAsia="zh-CN"/>
        </w:rPr>
        <w:t>公积金</w:t>
      </w:r>
      <w:r>
        <w:rPr>
          <w:rFonts w:hint="eastAsia" w:ascii="仿宋_GB2312" w:eastAsia="仿宋_GB2312"/>
          <w:sz w:val="32"/>
          <w:szCs w:val="32"/>
        </w:rPr>
        <w:t>出7.69万元，用于机关及下属事业单位按照规定标准为职工缴纳住房公积金等支出。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93980</wp:posOffset>
            </wp:positionH>
            <wp:positionV relativeFrom="paragraph">
              <wp:posOffset>158750</wp:posOffset>
            </wp:positionV>
            <wp:extent cx="5080000" cy="3810000"/>
            <wp:effectExtent l="4445" t="4445" r="20955" b="1460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202.23万元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167</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37"/>
      <w:bookmarkEnd w:id="38"/>
      <w:bookmarkEnd w:id="39"/>
    </w:p>
    <w:p>
      <w:pPr>
        <w:spacing w:line="600" w:lineRule="exact"/>
        <w:ind w:firstLine="640" w:firstLineChars="200"/>
        <w:rPr>
          <w:rFonts w:ascii="仿宋" w:hAnsi="仿宋" w:eastAsia="仿宋"/>
          <w:b/>
          <w:color w:val="000000"/>
          <w:sz w:val="32"/>
          <w:szCs w:val="32"/>
        </w:rPr>
      </w:pPr>
      <w:r>
        <w:rPr>
          <w:rStyle w:val="13"/>
          <w:rFonts w:ascii="仿宋" w:hAnsi="仿宋" w:eastAsia="仿宋"/>
          <w:b w:val="0"/>
          <w:bCs w:val="0"/>
          <w:color w:val="auto"/>
          <w:sz w:val="32"/>
          <w:szCs w:val="32"/>
        </w:rPr>
        <w:t>1.</w:t>
      </w:r>
      <w:r>
        <w:rPr>
          <w:rStyle w:val="13"/>
          <w:rFonts w:hint="eastAsia" w:ascii="仿宋" w:hAnsi="仿宋" w:eastAsia="仿宋"/>
          <w:b w:val="0"/>
          <w:bCs w:val="0"/>
          <w:color w:val="auto"/>
          <w:sz w:val="32"/>
          <w:szCs w:val="32"/>
          <w:lang w:val="en-US" w:eastAsia="zh-CN"/>
        </w:rPr>
        <w:t>2013101行政运行</w:t>
      </w:r>
      <w:r>
        <w:rPr>
          <w:rStyle w:val="13"/>
          <w:rFonts w:hint="eastAsia" w:ascii="仿宋" w:hAnsi="仿宋" w:eastAsia="仿宋"/>
          <w:b w:val="0"/>
          <w:bCs w:val="0"/>
          <w:color w:val="auto"/>
          <w:sz w:val="32"/>
          <w:szCs w:val="32"/>
        </w:rPr>
        <w:t>一般公共服务</w:t>
      </w:r>
      <w:r>
        <w:rPr>
          <w:rStyle w:val="13"/>
          <w:rFonts w:ascii="仿宋" w:hAnsi="仿宋" w:eastAsia="仿宋"/>
          <w:b w:val="0"/>
          <w:bCs w:val="0"/>
          <w:color w:val="auto"/>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112.64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124</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w:t>
      </w:r>
      <w:r>
        <w:rPr>
          <w:rStyle w:val="13"/>
          <w:rFonts w:hint="eastAsia" w:ascii="仿宋" w:hAnsi="仿宋" w:eastAsia="仿宋"/>
          <w:b w:val="0"/>
          <w:bCs/>
          <w:color w:val="000000"/>
          <w:sz w:val="32"/>
          <w:szCs w:val="32"/>
          <w:lang w:eastAsia="zh-CN"/>
        </w:rPr>
        <w:t>大于</w:t>
      </w:r>
      <w:r>
        <w:rPr>
          <w:rStyle w:val="13"/>
          <w:rFonts w:hint="eastAsia" w:ascii="仿宋" w:hAnsi="仿宋" w:eastAsia="仿宋"/>
          <w:b w:val="0"/>
          <w:bCs/>
          <w:color w:val="000000"/>
          <w:sz w:val="32"/>
          <w:szCs w:val="32"/>
        </w:rPr>
        <w:t>预算数的主要原因</w:t>
      </w:r>
      <w:r>
        <w:rPr>
          <w:rStyle w:val="13"/>
          <w:rFonts w:hint="eastAsia" w:ascii="仿宋" w:hAnsi="仿宋" w:eastAsia="仿宋"/>
          <w:b w:val="0"/>
          <w:bCs/>
          <w:color w:val="000000"/>
          <w:sz w:val="32"/>
          <w:szCs w:val="32"/>
          <w:lang w:eastAsia="zh-CN"/>
        </w:rPr>
        <w:t>是新增人员和工资变动</w:t>
      </w:r>
      <w:r>
        <w:rPr>
          <w:rStyle w:val="13"/>
          <w:rFonts w:hint="eastAsia" w:ascii="仿宋" w:hAnsi="仿宋" w:eastAsia="仿宋"/>
          <w:b w:val="0"/>
          <w:bCs/>
          <w:color w:val="000000"/>
          <w:sz w:val="32"/>
          <w:szCs w:val="32"/>
        </w:rPr>
        <w:t>。</w:t>
      </w:r>
    </w:p>
    <w:p>
      <w:pPr>
        <w:spacing w:line="600" w:lineRule="exact"/>
        <w:ind w:firstLine="640" w:firstLineChars="200"/>
        <w:rPr>
          <w:rStyle w:val="13"/>
          <w:rFonts w:hint="eastAsia" w:ascii="仿宋" w:hAnsi="仿宋" w:eastAsia="仿宋"/>
          <w:b w:val="0"/>
          <w:bCs/>
          <w:color w:val="000000"/>
          <w:sz w:val="32"/>
          <w:szCs w:val="32"/>
        </w:rPr>
      </w:pPr>
      <w:r>
        <w:rPr>
          <w:rStyle w:val="13"/>
          <w:rFonts w:hint="eastAsia" w:ascii="仿宋" w:hAnsi="仿宋" w:eastAsia="仿宋"/>
          <w:b w:val="0"/>
          <w:bCs w:val="0"/>
          <w:color w:val="000000"/>
          <w:sz w:val="32"/>
          <w:szCs w:val="32"/>
          <w:lang w:val="en-US" w:eastAsia="zh-CN"/>
        </w:rPr>
        <w:t>2</w:t>
      </w:r>
      <w:r>
        <w:rPr>
          <w:rStyle w:val="13"/>
          <w:rFonts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2080505机关事业单位基本养老保险缴费及</w:t>
      </w:r>
      <w:r>
        <w:rPr>
          <w:rStyle w:val="13"/>
          <w:rFonts w:ascii="仿宋" w:hAnsi="仿宋" w:eastAsia="仿宋"/>
          <w:b w:val="0"/>
          <w:bCs w:val="0"/>
          <w:color w:val="000000"/>
          <w:sz w:val="32"/>
          <w:szCs w:val="32"/>
        </w:rPr>
        <w:t xml:space="preserve">: </w:t>
      </w:r>
      <w:r>
        <w:rPr>
          <w:rStyle w:val="13"/>
          <w:rFonts w:hint="eastAsia" w:ascii="仿宋" w:hAnsi="仿宋" w:eastAsia="仿宋"/>
          <w:b w:val="0"/>
          <w:bCs w:val="0"/>
          <w:color w:val="000000"/>
          <w:sz w:val="32"/>
          <w:szCs w:val="32"/>
        </w:rPr>
        <w:t>支出决算为</w:t>
      </w:r>
      <w:r>
        <w:rPr>
          <w:rStyle w:val="13"/>
          <w:rFonts w:hint="eastAsia" w:ascii="仿宋" w:hAnsi="仿宋" w:eastAsia="仿宋"/>
          <w:b w:val="0"/>
          <w:bCs/>
          <w:color w:val="000000"/>
          <w:sz w:val="32"/>
          <w:szCs w:val="32"/>
          <w:lang w:val="en-US" w:eastAsia="zh-CN"/>
        </w:rPr>
        <w:t>14.05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113</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w:t>
      </w:r>
      <w:r>
        <w:rPr>
          <w:rStyle w:val="13"/>
          <w:rFonts w:hint="eastAsia" w:ascii="仿宋" w:hAnsi="仿宋" w:eastAsia="仿宋"/>
          <w:b w:val="0"/>
          <w:bCs/>
          <w:color w:val="000000"/>
          <w:sz w:val="32"/>
          <w:szCs w:val="32"/>
          <w:lang w:eastAsia="zh-CN"/>
        </w:rPr>
        <w:t>大于</w:t>
      </w:r>
      <w:r>
        <w:rPr>
          <w:rStyle w:val="13"/>
          <w:rFonts w:hint="eastAsia" w:ascii="仿宋" w:hAnsi="仿宋" w:eastAsia="仿宋"/>
          <w:b w:val="0"/>
          <w:bCs/>
          <w:color w:val="000000"/>
          <w:sz w:val="32"/>
          <w:szCs w:val="32"/>
        </w:rPr>
        <w:t>等于预算数的主要原因</w:t>
      </w:r>
      <w:r>
        <w:rPr>
          <w:rStyle w:val="13"/>
          <w:rFonts w:hint="eastAsia" w:ascii="仿宋" w:hAnsi="仿宋" w:eastAsia="仿宋"/>
          <w:b w:val="0"/>
          <w:bCs/>
          <w:color w:val="000000"/>
          <w:sz w:val="32"/>
          <w:szCs w:val="32"/>
          <w:lang w:eastAsia="zh-CN"/>
        </w:rPr>
        <w:t>是新增人员和工资变动</w:t>
      </w:r>
      <w:r>
        <w:rPr>
          <w:rStyle w:val="13"/>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3"/>
          <w:rFonts w:hint="eastAsia" w:ascii="仿宋" w:hAnsi="仿宋" w:eastAsia="仿宋"/>
          <w:b w:val="0"/>
          <w:bCs w:val="0"/>
          <w:color w:val="000000"/>
          <w:sz w:val="32"/>
          <w:szCs w:val="32"/>
          <w:lang w:val="en-US" w:eastAsia="zh-CN"/>
        </w:rPr>
        <w:t>3.2080506机关事业单位职业年金缴费</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5.62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113</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w:t>
      </w:r>
      <w:r>
        <w:rPr>
          <w:rStyle w:val="13"/>
          <w:rFonts w:hint="eastAsia" w:ascii="仿宋" w:hAnsi="仿宋" w:eastAsia="仿宋"/>
          <w:b w:val="0"/>
          <w:bCs/>
          <w:color w:val="000000"/>
          <w:sz w:val="32"/>
          <w:szCs w:val="32"/>
          <w:lang w:eastAsia="zh-CN"/>
        </w:rPr>
        <w:t>大于</w:t>
      </w:r>
      <w:r>
        <w:rPr>
          <w:rStyle w:val="13"/>
          <w:rFonts w:hint="eastAsia" w:ascii="仿宋" w:hAnsi="仿宋" w:eastAsia="仿宋"/>
          <w:b w:val="0"/>
          <w:bCs/>
          <w:color w:val="000000"/>
          <w:sz w:val="32"/>
          <w:szCs w:val="32"/>
        </w:rPr>
        <w:t>等于预算数的主要原因</w:t>
      </w:r>
      <w:r>
        <w:rPr>
          <w:rStyle w:val="13"/>
          <w:rFonts w:hint="eastAsia" w:ascii="仿宋" w:hAnsi="仿宋" w:eastAsia="仿宋"/>
          <w:b w:val="0"/>
          <w:bCs/>
          <w:color w:val="000000"/>
          <w:sz w:val="32"/>
          <w:szCs w:val="32"/>
          <w:lang w:eastAsia="zh-CN"/>
        </w:rPr>
        <w:t>是新增人员和工资变动</w:t>
      </w:r>
      <w:r>
        <w:rPr>
          <w:rStyle w:val="13"/>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b w:val="0"/>
          <w:bCs/>
          <w:color w:val="000000"/>
          <w:sz w:val="32"/>
          <w:szCs w:val="32"/>
          <w:lang w:val="en-US" w:eastAsia="zh-CN"/>
        </w:rPr>
        <w:t>4.2101101行政事业单位医疗缴费</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5.58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97</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，决算数小于预算数的主要原因</w:t>
      </w:r>
      <w:r>
        <w:rPr>
          <w:rStyle w:val="13"/>
          <w:rFonts w:hint="eastAsia" w:ascii="仿宋" w:hAnsi="仿宋" w:eastAsia="仿宋"/>
          <w:b w:val="0"/>
          <w:bCs/>
          <w:color w:val="000000"/>
          <w:sz w:val="32"/>
          <w:szCs w:val="32"/>
          <w:lang w:eastAsia="zh-CN"/>
        </w:rPr>
        <w:t>是有人因个人原因未能参加体检</w:t>
      </w:r>
      <w:r>
        <w:rPr>
          <w:rStyle w:val="13"/>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3"/>
          <w:rFonts w:hint="eastAsia" w:ascii="仿宋" w:hAnsi="仿宋" w:eastAsia="仿宋"/>
          <w:b w:val="0"/>
          <w:bCs w:val="0"/>
          <w:color w:val="000000"/>
          <w:sz w:val="32"/>
          <w:szCs w:val="32"/>
          <w:lang w:val="en-US" w:eastAsia="zh-CN"/>
        </w:rPr>
        <w:t>5.2210201住房公积金</w:t>
      </w:r>
      <w:r>
        <w:rPr>
          <w:rStyle w:val="13"/>
          <w:rFonts w:ascii="仿宋" w:hAnsi="仿宋" w:eastAsia="仿宋"/>
          <w:b w:val="0"/>
          <w:bCs w:val="0"/>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8.91</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115</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w:t>
      </w:r>
      <w:r>
        <w:rPr>
          <w:rStyle w:val="13"/>
          <w:rFonts w:hint="eastAsia" w:ascii="仿宋" w:hAnsi="仿宋" w:eastAsia="仿宋"/>
          <w:b w:val="0"/>
          <w:bCs/>
          <w:color w:val="000000"/>
          <w:sz w:val="32"/>
          <w:szCs w:val="32"/>
          <w:lang w:eastAsia="zh-CN"/>
        </w:rPr>
        <w:t>大</w:t>
      </w:r>
      <w:r>
        <w:rPr>
          <w:rStyle w:val="13"/>
          <w:rFonts w:hint="eastAsia" w:ascii="仿宋" w:hAnsi="仿宋" w:eastAsia="仿宋"/>
          <w:b w:val="0"/>
          <w:bCs/>
          <w:color w:val="000000"/>
          <w:sz w:val="32"/>
          <w:szCs w:val="32"/>
        </w:rPr>
        <w:t>于预算数的主要原因</w:t>
      </w:r>
      <w:r>
        <w:rPr>
          <w:rStyle w:val="13"/>
          <w:rFonts w:hint="eastAsia" w:ascii="仿宋" w:hAnsi="仿宋" w:eastAsia="仿宋"/>
          <w:b w:val="0"/>
          <w:bCs/>
          <w:color w:val="000000"/>
          <w:sz w:val="32"/>
          <w:szCs w:val="32"/>
          <w:lang w:eastAsia="zh-CN"/>
        </w:rPr>
        <w:t>是新增一人</w:t>
      </w:r>
      <w:r>
        <w:rPr>
          <w:rStyle w:val="13"/>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3"/>
          <w:rFonts w:hint="eastAsia" w:ascii="仿宋" w:hAnsi="仿宋" w:eastAsia="仿宋"/>
          <w:b w:val="0"/>
          <w:bCs w:val="0"/>
          <w:color w:val="000000"/>
          <w:sz w:val="32"/>
          <w:szCs w:val="32"/>
          <w:lang w:val="en-US" w:eastAsia="zh-CN"/>
        </w:rPr>
        <w:t>6.2013102一般行政管理事务</w:t>
      </w:r>
      <w:r>
        <w:rPr>
          <w:rStyle w:val="13"/>
          <w:rFonts w:hint="eastAsia" w:ascii="仿宋" w:hAnsi="仿宋" w:eastAsia="仿宋"/>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55.44</w:t>
      </w:r>
      <w:r>
        <w:rPr>
          <w:rStyle w:val="13"/>
          <w:rFonts w:hint="eastAsia" w:ascii="仿宋" w:hAnsi="仿宋" w:eastAsia="仿宋"/>
          <w:b w:val="0"/>
          <w:bCs/>
          <w:color w:val="000000"/>
          <w:sz w:val="32"/>
          <w:szCs w:val="32"/>
        </w:rPr>
        <w:t>万元，</w:t>
      </w:r>
      <w:r>
        <w:rPr>
          <w:rStyle w:val="13"/>
          <w:rFonts w:hint="eastAsia" w:ascii="仿宋" w:hAnsi="仿宋" w:eastAsia="仿宋"/>
          <w:b w:val="0"/>
          <w:bCs/>
          <w:color w:val="000000"/>
          <w:sz w:val="32"/>
          <w:szCs w:val="32"/>
          <w:lang w:eastAsia="zh-CN"/>
        </w:rPr>
        <w:t>财政安排存量资金用于《红原县志》藏文版的出版</w:t>
      </w:r>
    </w:p>
    <w:p>
      <w:pPr>
        <w:tabs>
          <w:tab w:val="right" w:pos="8306"/>
        </w:tabs>
        <w:spacing w:line="600" w:lineRule="exact"/>
        <w:ind w:firstLine="640"/>
        <w:outlineLvl w:val="1"/>
        <w:rPr>
          <w:rStyle w:val="25"/>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146.79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auto"/>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131.87</w:t>
      </w:r>
      <w:r>
        <w:rPr>
          <w:rFonts w:hint="eastAsia" w:ascii="仿宋" w:hAnsi="仿宋" w:eastAsia="仿宋"/>
          <w:color w:val="000000"/>
          <w:sz w:val="32"/>
          <w:szCs w:val="32"/>
        </w:rPr>
        <w:t>万元，主要包括：</w:t>
      </w:r>
      <w:r>
        <w:rPr>
          <w:rFonts w:hint="eastAsia" w:ascii="仿宋" w:hAnsi="仿宋" w:eastAsia="仿宋"/>
          <w:color w:val="auto"/>
          <w:sz w:val="32"/>
          <w:szCs w:val="32"/>
        </w:rPr>
        <w:t>基本工资</w:t>
      </w:r>
      <w:r>
        <w:rPr>
          <w:rFonts w:hint="eastAsia" w:ascii="仿宋" w:hAnsi="仿宋" w:eastAsia="仿宋"/>
          <w:color w:val="auto"/>
          <w:sz w:val="32"/>
          <w:szCs w:val="32"/>
          <w:lang w:val="en-US" w:eastAsia="zh-CN"/>
        </w:rPr>
        <w:t xml:space="preserve"> 26 .23万元 </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49.99万元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17.78万元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14.05万元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5.62万元</w:t>
      </w:r>
      <w:r>
        <w:rPr>
          <w:rFonts w:hint="eastAsia" w:ascii="仿宋" w:hAnsi="仿宋" w:eastAsia="仿宋"/>
          <w:color w:val="auto"/>
          <w:sz w:val="32"/>
          <w:szCs w:val="32"/>
        </w:rPr>
        <w:t>、</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lang w:val="en-US" w:eastAsia="zh-CN"/>
        </w:rPr>
        <w:t>4.62万元，公务员医疗补助缴费0.96万元，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2.99万元</w:t>
      </w:r>
      <w:r>
        <w:rPr>
          <w:rFonts w:hint="eastAsia" w:ascii="仿宋" w:hAnsi="仿宋" w:eastAsia="仿宋"/>
          <w:color w:val="auto"/>
          <w:sz w:val="32"/>
          <w:szCs w:val="32"/>
        </w:rPr>
        <w:t>、其他工资福利支出、医疗费</w:t>
      </w:r>
      <w:r>
        <w:rPr>
          <w:rFonts w:hint="eastAsia" w:ascii="仿宋" w:hAnsi="仿宋" w:eastAsia="仿宋"/>
          <w:color w:val="auto"/>
          <w:sz w:val="32"/>
          <w:szCs w:val="32"/>
          <w:lang w:val="en-US" w:eastAsia="zh-CN"/>
        </w:rPr>
        <w:t>0.72万元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0.01万元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8.91万元</w:t>
      </w:r>
      <w:r>
        <w:rPr>
          <w:rFonts w:hint="eastAsia" w:ascii="仿宋" w:hAnsi="仿宋" w:eastAsia="仿宋"/>
          <w:color w:val="auto"/>
          <w:sz w:val="32"/>
          <w:szCs w:val="32"/>
        </w:rPr>
        <w:t>。</w:t>
      </w:r>
      <w:r>
        <w:rPr>
          <w:rFonts w:ascii="仿宋" w:hAnsi="仿宋" w:eastAsia="仿宋"/>
          <w:color w:val="auto"/>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14.92</w:t>
      </w:r>
      <w:r>
        <w:rPr>
          <w:rFonts w:hint="eastAsia" w:ascii="仿宋" w:hAnsi="仿宋" w:eastAsia="仿宋"/>
          <w:color w:val="000000"/>
          <w:sz w:val="32"/>
          <w:szCs w:val="32"/>
        </w:rPr>
        <w:t>万元，主要包括：</w:t>
      </w:r>
      <w:r>
        <w:rPr>
          <w:rFonts w:hint="eastAsia" w:ascii="仿宋" w:hAnsi="仿宋" w:eastAsia="仿宋"/>
          <w:color w:val="auto"/>
          <w:sz w:val="32"/>
          <w:szCs w:val="32"/>
        </w:rPr>
        <w:t>办公费</w:t>
      </w:r>
      <w:r>
        <w:rPr>
          <w:rFonts w:hint="eastAsia" w:ascii="仿宋" w:hAnsi="仿宋" w:eastAsia="仿宋"/>
          <w:color w:val="auto"/>
          <w:sz w:val="32"/>
          <w:szCs w:val="32"/>
          <w:lang w:val="en-US" w:eastAsia="zh-CN"/>
        </w:rPr>
        <w:t>2.73万元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4.16万元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0.23万元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0.20万元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1.39万元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2.13万元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0.07万元，劳务费2.30万元</w:t>
      </w:r>
      <w:r>
        <w:rPr>
          <w:rFonts w:hint="eastAsia" w:ascii="仿宋" w:hAnsi="仿宋" w:eastAsia="仿宋"/>
          <w:color w:val="0000FF"/>
          <w:sz w:val="32"/>
          <w:szCs w:val="32"/>
        </w:rPr>
        <w:t>、</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1.71</w:t>
      </w:r>
      <w:r>
        <w:rPr>
          <w:rFonts w:hint="eastAsia" w:ascii="仿宋" w:hAnsi="仿宋" w:eastAsia="仿宋"/>
          <w:color w:val="auto"/>
          <w:sz w:val="32"/>
          <w:szCs w:val="32"/>
        </w:rPr>
        <w:t>。</w:t>
      </w:r>
    </w:p>
    <w:p>
      <w:pPr>
        <w:spacing w:line="600" w:lineRule="exact"/>
        <w:ind w:firstLine="320" w:firstLineChars="10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1.78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64</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小于</w:t>
      </w:r>
      <w:r>
        <w:rPr>
          <w:rFonts w:hint="eastAsia" w:ascii="仿宋" w:hAnsi="仿宋" w:eastAsia="仿宋"/>
          <w:color w:val="000000"/>
          <w:sz w:val="32"/>
          <w:szCs w:val="32"/>
        </w:rPr>
        <w:t>预算数的主要原因是</w:t>
      </w:r>
      <w:r>
        <w:rPr>
          <w:rFonts w:hint="eastAsia" w:ascii="仿宋" w:hAnsi="仿宋" w:eastAsia="仿宋"/>
          <w:color w:val="000000"/>
          <w:sz w:val="32"/>
          <w:szCs w:val="32"/>
          <w:lang w:eastAsia="zh-CN"/>
        </w:rPr>
        <w:t>厉行节约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与上年持平，</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无出国经费支出</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1.71</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65</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7年增加减少</w:t>
      </w:r>
      <w:r>
        <w:rPr>
          <w:rFonts w:hint="eastAsia" w:ascii="仿宋_GB2312" w:eastAsia="仿宋_GB2312"/>
          <w:color w:val="000000"/>
          <w:sz w:val="32"/>
          <w:szCs w:val="32"/>
          <w:lang w:val="en-US" w:eastAsia="zh-CN"/>
        </w:rPr>
        <w:t>0.91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是减少公车出行</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1.71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出差及下乡</w:t>
      </w:r>
      <w:r>
        <w:rPr>
          <w:rFonts w:hint="eastAsia" w:ascii="仿宋_GB2312" w:eastAsia="仿宋_GB2312"/>
          <w:color w:val="000000"/>
          <w:sz w:val="32"/>
          <w:szCs w:val="32"/>
        </w:rPr>
        <w:t>工作等</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0.07</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5</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万元，具体内容包括：接待具体项目、金额）。其中：</w:t>
      </w:r>
      <w:r>
        <w:rPr>
          <w:rFonts w:hint="eastAsia" w:ascii="仿宋_GB2312" w:eastAsia="仿宋_GB2312"/>
          <w:color w:val="000000"/>
          <w:sz w:val="32"/>
          <w:szCs w:val="32"/>
          <w:lang w:eastAsia="zh-CN"/>
        </w:rPr>
        <w:t>用于接待口述历史拍摄人员</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4"/>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spacing w:line="560" w:lineRule="exact"/>
        <w:ind w:firstLine="643" w:firstLineChars="200"/>
        <w:rPr>
          <w:rFonts w:hint="eastAsia" w:ascii="仿宋" w:hAnsi="仿宋" w:eastAsia="仿宋" w:cs="楷体_GB2312"/>
          <w:b/>
          <w:bCs/>
          <w:sz w:val="32"/>
          <w:szCs w:val="32"/>
        </w:rPr>
      </w:pPr>
      <w:r>
        <w:rPr>
          <w:rFonts w:hint="eastAsia" w:ascii="仿宋" w:hAnsi="仿宋" w:eastAsia="仿宋" w:cs="楷体_GB2312"/>
          <w:b/>
          <w:bCs/>
          <w:sz w:val="32"/>
          <w:szCs w:val="32"/>
          <w:lang w:eastAsia="zh-CN"/>
        </w:rPr>
        <w:t>（一）</w:t>
      </w:r>
      <w:r>
        <w:rPr>
          <w:rFonts w:hint="eastAsia" w:ascii="仿宋" w:hAnsi="仿宋" w:eastAsia="仿宋" w:cs="楷体_GB2312"/>
          <w:b/>
          <w:bCs/>
          <w:sz w:val="32"/>
          <w:szCs w:val="32"/>
        </w:rPr>
        <w:t>预算绩效管理工作开展情况。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widowControl w:val="0"/>
        <w:ind w:firstLine="321" w:firstLineChars="100"/>
        <w:rPr>
          <w:rFonts w:hint="eastAsia" w:ascii="仿宋" w:hAnsi="仿宋" w:eastAsia="仿宋" w:cs="楷体_GB2312"/>
          <w:b/>
          <w:bCs/>
          <w:sz w:val="32"/>
          <w:szCs w:val="32"/>
        </w:rPr>
      </w:pPr>
      <w:r>
        <w:rPr>
          <w:rFonts w:hint="eastAsia" w:ascii="仿宋" w:hAnsi="仿宋" w:eastAsia="仿宋" w:cs="楷体_GB2312"/>
          <w:b/>
          <w:bCs/>
          <w:sz w:val="32"/>
          <w:szCs w:val="32"/>
          <w:lang w:eastAsia="zh-CN"/>
        </w:rPr>
        <w:t>（二）</w:t>
      </w:r>
      <w:r>
        <w:rPr>
          <w:rFonts w:hint="eastAsia" w:ascii="仿宋" w:hAnsi="仿宋" w:eastAsia="仿宋" w:cs="楷体_GB2312"/>
          <w:b/>
          <w:bCs/>
          <w:sz w:val="32"/>
          <w:szCs w:val="32"/>
        </w:rPr>
        <w:t>项目绩效目标完成情况。</w:t>
      </w:r>
    </w:p>
    <w:p>
      <w:pPr>
        <w:widowControl w:val="0"/>
        <w:ind w:firstLine="600" w:firstLineChars="200"/>
        <w:rPr>
          <w:rFonts w:ascii="仿宋_GB2312" w:eastAsia="仿宋_GB2312"/>
          <w:sz w:val="30"/>
          <w:szCs w:val="30"/>
        </w:rPr>
      </w:pPr>
      <w:r>
        <w:rPr>
          <w:rFonts w:hint="eastAsia" w:ascii="仿宋_GB2312" w:eastAsia="仿宋_GB2312"/>
          <w:sz w:val="30"/>
          <w:szCs w:val="30"/>
        </w:rPr>
        <w:t xml:space="preserve"> </w:t>
      </w:r>
      <w:r>
        <w:rPr>
          <w:rFonts w:hint="eastAsia" w:ascii="楷体" w:hAnsi="楷体" w:eastAsia="楷体"/>
          <w:b/>
          <w:bCs/>
          <w:sz w:val="32"/>
          <w:szCs w:val="32"/>
        </w:rPr>
        <w:t>1.党史工作</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（1）完成《红原县党史大事记》（2018年）的整理。按照大事记记述要求，本着工作从细、不乱记、不漏记，手勤、腿勤、嘴勤，整理了2017年红原县党史大事记。</w:t>
      </w:r>
    </w:p>
    <w:p>
      <w:pPr>
        <w:ind w:firstLine="640" w:firstLineChars="200"/>
        <w:rPr>
          <w:rFonts w:ascii="Calibri" w:hAnsi="Calibri" w:eastAsia="仿宋_GB2312"/>
          <w:sz w:val="30"/>
          <w:szCs w:val="30"/>
        </w:rPr>
      </w:pPr>
      <w:r>
        <w:rPr>
          <w:rFonts w:hint="eastAsia" w:ascii="仿宋" w:hAnsi="仿宋" w:eastAsia="仿宋" w:cs="仿宋"/>
          <w:bCs/>
          <w:color w:val="000000"/>
          <w:sz w:val="32"/>
          <w:szCs w:val="32"/>
        </w:rPr>
        <w:t>（2）完成《中国共产党阿坝执政实录》（2018年）红原篇资料上报工作。完成《中国共产党阿坝执政实录》（2017年）的初纂工作；出版《执政实录（2016年）》，其展现了县委、县政府2016年在经济发展、民生工程、社会事业等</w:t>
      </w:r>
    </w:p>
    <w:p>
      <w:pPr>
        <w:snapToGrid w:val="0"/>
        <w:spacing w:line="560" w:lineRule="exact"/>
        <w:rPr>
          <w:rFonts w:ascii="仿宋" w:hAnsi="仿宋" w:eastAsia="仿宋" w:cs="仿宋"/>
          <w:bCs/>
          <w:color w:val="000000"/>
          <w:sz w:val="32"/>
          <w:szCs w:val="32"/>
        </w:rPr>
      </w:pPr>
      <w:r>
        <w:rPr>
          <w:rFonts w:hint="eastAsia" w:ascii="仿宋" w:hAnsi="仿宋" w:eastAsia="仿宋" w:cs="仿宋"/>
          <w:bCs/>
          <w:color w:val="000000"/>
          <w:sz w:val="32"/>
          <w:szCs w:val="32"/>
        </w:rPr>
        <w:t>方面取得的成就，采用大事记方式记述了省、州、县主要领导的重要活动；收集了县内领导干部有关执政经验的论述文章和相关的图片资料，按要求及时报送州委党史研究室，对解读红原、宣传红原、总结历史都有着重要的现实意义。</w:t>
      </w:r>
    </w:p>
    <w:p>
      <w:pPr>
        <w:spacing w:line="560" w:lineRule="exact"/>
        <w:rPr>
          <w:rFonts w:ascii="仿宋_GB2312" w:eastAsia="仿宋_GB2312"/>
          <w:sz w:val="30"/>
          <w:szCs w:val="30"/>
        </w:rPr>
      </w:pPr>
      <w:r>
        <w:rPr>
          <w:rFonts w:hint="eastAsia" w:ascii="仿宋" w:hAnsi="仿宋" w:eastAsia="仿宋" w:cs="仿宋"/>
          <w:bCs/>
          <w:color w:val="000000"/>
          <w:sz w:val="32"/>
          <w:szCs w:val="32"/>
        </w:rPr>
        <w:t>（3）完成红原县2018年口述历史纪录片拍摄等工作。根据阿坝州口述历史工作领导小组办公室要求，2012年启动“历史的记忆，和谐的家园”口述历史活动，设立红原县口述历史工作领导小组办公室于党史地方志办公室。2018年红原县口述历史纪录片《牧琴弦歌》已通过州口述历史领导小组初审，将于本月底与观众见面。</w:t>
      </w:r>
    </w:p>
    <w:p>
      <w:pPr>
        <w:autoSpaceDN w:val="0"/>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2.地方志工作</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1)《红原县志》（藏文版）。2015年3月被确立为阿坝州唯一一个开展双语出版志书的试点县，自确立以来，我办高度重视、精心组织缩编。目前已完成《红原县志》（藏文版）缩编、翻译、校对、州级审核、出版社校审。该书将于本月底公开出版发行。</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2)《青藏高原环境与山水文化志》红原篇等。《青藏高原环境与山水文化志》（红原篇）已高质量完成藏汉双语文稿，并通过州级终审验收，汉文版作为范本被州民宗局发藏区三县借鉴学习。其中，《青藏高原环境与山水文化志》（红原篇）藏文版字数68.2万字，汉文版52.9万字。《红原县藏传佛教寺庙志》完成编纂工作量的90%，藏文字数140万。</w:t>
      </w:r>
      <w:r>
        <w:rPr>
          <w:rFonts w:hint="eastAsia" w:ascii="仿宋" w:hAnsi="仿宋" w:eastAsia="仿宋" w:cs="仿宋"/>
          <w:bCs/>
          <w:color w:val="000000"/>
          <w:sz w:val="36"/>
          <w:szCs w:val="36"/>
        </w:rPr>
        <w:t>《红原县传统游牧部落文化志》完成编纂工作量的65%，藏</w:t>
      </w:r>
      <w:r>
        <w:rPr>
          <w:rFonts w:hint="eastAsia" w:ascii="仿宋" w:hAnsi="仿宋" w:eastAsia="仿宋" w:cs="仿宋"/>
          <w:bCs/>
          <w:color w:val="000000"/>
          <w:sz w:val="32"/>
          <w:szCs w:val="32"/>
        </w:rPr>
        <w:t>文字数54万。《红原史话》完成编纂工作量的60%，字数7.2万。</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（3）完成《红原年鉴》（2017）的编纂、发行、出版，并发送各单位、乡镇。</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（4）完成2018年省、州年鉴红原篇资料的收集、整理、编纂、上报。</w:t>
      </w:r>
    </w:p>
    <w:p>
      <w:pPr>
        <w:spacing w:line="560" w:lineRule="exact"/>
        <w:rPr>
          <w:rFonts w:ascii="仿宋_GB2312" w:eastAsia="仿宋_GB2312"/>
          <w:sz w:val="30"/>
          <w:szCs w:val="30"/>
        </w:rPr>
      </w:pP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hint="eastAsia" w:ascii="仿宋_GB2312" w:hAnsi="仿宋_GB2312" w:eastAsia="仿宋_GB2312" w:cs="仿宋_GB2312"/>
          <w:sz w:val="32"/>
          <w:szCs w:val="32"/>
          <w:lang w:eastAsia="zh-CN"/>
        </w:rPr>
      </w:pPr>
    </w:p>
    <w:p>
      <w:pPr>
        <w:numPr>
          <w:ilvl w:val="0"/>
          <w:numId w:val="0"/>
        </w:numPr>
        <w:spacing w:line="580" w:lineRule="exact"/>
        <w:rPr>
          <w:rFonts w:ascii="仿宋_GB2312" w:hAnsi="仿宋_GB2312" w:eastAsia="仿宋_GB2312" w:cs="仿宋_GB2312"/>
          <w:sz w:val="32"/>
          <w:szCs w:val="32"/>
        </w:rPr>
      </w:pPr>
    </w:p>
    <w:p>
      <w:pPr>
        <w:numPr>
          <w:ilvl w:val="0"/>
          <w:numId w:val="0"/>
        </w:numPr>
        <w:spacing w:line="58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本单位无项目支出绩效</w:t>
      </w:r>
    </w:p>
    <w:p>
      <w:pPr>
        <w:numPr>
          <w:ilvl w:val="0"/>
          <w:numId w:val="0"/>
        </w:numPr>
        <w:spacing w:line="580" w:lineRule="exact"/>
        <w:rPr>
          <w:rFonts w:ascii="仿宋_GB2312" w:hAnsi="仿宋_GB2312" w:eastAsia="仿宋_GB2312" w:cs="仿宋_GB2312"/>
          <w:sz w:val="32"/>
          <w:szCs w:val="32"/>
        </w:rPr>
      </w:pPr>
    </w:p>
    <w:tbl>
      <w:tblPr>
        <w:tblStyle w:val="15"/>
        <w:tblW w:w="10588" w:type="dxa"/>
        <w:tblInd w:w="127" w:type="dxa"/>
        <w:shd w:val="clear" w:color="auto" w:fill="auto"/>
        <w:tblLayout w:type="fixed"/>
        <w:tblCellMar>
          <w:top w:w="0" w:type="dxa"/>
          <w:left w:w="0" w:type="dxa"/>
          <w:bottom w:w="0" w:type="dxa"/>
          <w:right w:w="0" w:type="dxa"/>
        </w:tblCellMar>
      </w:tblPr>
      <w:tblGrid>
        <w:gridCol w:w="617"/>
        <w:gridCol w:w="539"/>
        <w:gridCol w:w="1041"/>
        <w:gridCol w:w="746"/>
        <w:gridCol w:w="1176"/>
        <w:gridCol w:w="1741"/>
        <w:gridCol w:w="1623"/>
        <w:gridCol w:w="1915"/>
        <w:gridCol w:w="1190"/>
      </w:tblGrid>
      <w:tr>
        <w:tblPrEx>
          <w:shd w:val="clear" w:color="auto" w:fill="auto"/>
          <w:tblLayout w:type="fixed"/>
          <w:tblCellMar>
            <w:top w:w="0" w:type="dxa"/>
            <w:left w:w="0" w:type="dxa"/>
            <w:bottom w:w="0" w:type="dxa"/>
            <w:right w:w="0" w:type="dxa"/>
          </w:tblCellMar>
        </w:tblPrEx>
        <w:trPr>
          <w:gridAfter w:val="1"/>
          <w:wAfter w:w="1190" w:type="dxa"/>
          <w:trHeight w:val="555" w:hRule="atLeast"/>
        </w:trPr>
        <w:tc>
          <w:tcPr>
            <w:tcW w:w="9398"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Layout w:type="fixed"/>
          <w:tblCellMar>
            <w:top w:w="0" w:type="dxa"/>
            <w:left w:w="0" w:type="dxa"/>
            <w:bottom w:w="0" w:type="dxa"/>
            <w:right w:w="0" w:type="dxa"/>
          </w:tblCellMar>
        </w:tblPrEx>
        <w:trPr>
          <w:gridAfter w:val="1"/>
          <w:wAfter w:w="1190" w:type="dxa"/>
          <w:trHeight w:val="555" w:hRule="atLeast"/>
        </w:trPr>
        <w:tc>
          <w:tcPr>
            <w:tcW w:w="9398"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gridAfter w:val="1"/>
          <w:wAfter w:w="1190" w:type="dxa"/>
          <w:trHeight w:val="555" w:hRule="atLeast"/>
        </w:trPr>
        <w:tc>
          <w:tcPr>
            <w:tcW w:w="21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8"/>
                <w:szCs w:val="28"/>
                <w:u w:val="none"/>
                <w:lang w:val="en-US" w:eastAsia="zh-CN" w:bidi="ar"/>
              </w:rPr>
              <w:t>项目名称</w:t>
            </w:r>
          </w:p>
        </w:tc>
        <w:tc>
          <w:tcPr>
            <w:tcW w:w="72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《红原县志》藏文版的出版发行</w:t>
            </w:r>
          </w:p>
        </w:tc>
      </w:tr>
      <w:tr>
        <w:tblPrEx>
          <w:tblLayout w:type="fixed"/>
          <w:tblCellMar>
            <w:top w:w="0" w:type="dxa"/>
            <w:left w:w="0" w:type="dxa"/>
            <w:bottom w:w="0" w:type="dxa"/>
            <w:right w:w="0" w:type="dxa"/>
          </w:tblCellMar>
        </w:tblPrEx>
        <w:trPr>
          <w:gridAfter w:val="1"/>
          <w:wAfter w:w="1190" w:type="dxa"/>
          <w:trHeight w:val="555" w:hRule="atLeast"/>
        </w:trPr>
        <w:tc>
          <w:tcPr>
            <w:tcW w:w="21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预算单位</w:t>
            </w:r>
          </w:p>
        </w:tc>
        <w:tc>
          <w:tcPr>
            <w:tcW w:w="72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lang w:eastAsia="zh-CN"/>
              </w:rPr>
            </w:pPr>
            <w:r>
              <w:rPr>
                <w:rFonts w:hint="eastAsia" w:ascii="宋体" w:hAnsi="宋体" w:cs="宋体"/>
                <w:b/>
                <w:i w:val="0"/>
                <w:color w:val="000000"/>
                <w:sz w:val="28"/>
                <w:szCs w:val="28"/>
                <w:u w:val="none"/>
                <w:lang w:eastAsia="zh-CN"/>
              </w:rPr>
              <w:t>红原县党史地方志办公室</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预算执行情况(万元</w:t>
            </w:r>
          </w:p>
        </w:tc>
        <w:tc>
          <w:tcPr>
            <w:tcW w:w="15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54万元</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执行数:</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50.4万元</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5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54万万</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ind w:firstLine="1124" w:firstLineChars="400"/>
              <w:jc w:val="center"/>
              <w:outlineLvl w:val="9"/>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50.4万元</w:t>
            </w:r>
          </w:p>
        </w:tc>
      </w:tr>
      <w:tr>
        <w:tblPrEx>
          <w:tblLayout w:type="fixed"/>
          <w:tblCellMar>
            <w:top w:w="0" w:type="dxa"/>
            <w:left w:w="0" w:type="dxa"/>
            <w:bottom w:w="0" w:type="dxa"/>
            <w:right w:w="0" w:type="dxa"/>
          </w:tblCellMar>
        </w:tblPrEx>
        <w:trPr>
          <w:gridAfter w:val="1"/>
          <w:wAfter w:w="1190" w:type="dxa"/>
          <w:trHeight w:val="954"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5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0</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其它资金:</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0</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年度目标完成情况</w:t>
            </w: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预期目标</w:t>
            </w: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实际完成目标</w:t>
            </w:r>
          </w:p>
        </w:tc>
      </w:tr>
      <w:tr>
        <w:tblPrEx>
          <w:tblLayout w:type="fixed"/>
          <w:tblCellMar>
            <w:top w:w="0" w:type="dxa"/>
            <w:left w:w="0" w:type="dxa"/>
            <w:bottom w:w="0" w:type="dxa"/>
            <w:right w:w="0" w:type="dxa"/>
          </w:tblCellMar>
        </w:tblPrEx>
        <w:trPr>
          <w:gridAfter w:val="1"/>
          <w:wAfter w:w="1190" w:type="dxa"/>
          <w:trHeight w:val="1263"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232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eastAsia="zh-CN"/>
              </w:rPr>
              <w:t>出版</w:t>
            </w:r>
            <w:r>
              <w:rPr>
                <w:rFonts w:hint="eastAsia" w:ascii="宋体" w:hAnsi="宋体" w:cs="宋体"/>
                <w:b/>
                <w:i w:val="0"/>
                <w:color w:val="000000"/>
                <w:sz w:val="28"/>
                <w:szCs w:val="28"/>
                <w:u w:val="none"/>
                <w:lang w:val="en-US" w:eastAsia="zh-CN"/>
              </w:rPr>
              <w:t>1000</w:t>
            </w:r>
            <w:r>
              <w:rPr>
                <w:rFonts w:hint="eastAsia" w:ascii="宋体" w:hAnsi="宋体" w:eastAsia="宋体" w:cs="宋体"/>
                <w:b/>
                <w:i w:val="0"/>
                <w:color w:val="000000"/>
                <w:sz w:val="28"/>
                <w:szCs w:val="28"/>
                <w:u w:val="none"/>
                <w:lang w:val="en-US" w:eastAsia="zh-CN"/>
              </w:rPr>
              <w:t>套</w:t>
            </w: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出版1000套</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绩效指标完成情况</w:t>
            </w:r>
          </w:p>
        </w:tc>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 name="直接连接符_8"/>
                  <wp:cNvGraphicFramePr/>
                  <a:graphic xmlns:a="http://schemas.openxmlformats.org/drawingml/2006/main">
                    <a:graphicData uri="http://schemas.openxmlformats.org/drawingml/2006/picture">
                      <pic:pic xmlns:pic="http://schemas.openxmlformats.org/drawingml/2006/picture">
                        <pic:nvPicPr>
                          <pic:cNvPr id="7" name="直接连接符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7"/>
                  <wp:cNvGraphicFramePr/>
                  <a:graphic xmlns:a="http://schemas.openxmlformats.org/drawingml/2006/main">
                    <a:graphicData uri="http://schemas.openxmlformats.org/drawingml/2006/picture">
                      <pic:pic xmlns:pic="http://schemas.openxmlformats.org/drawingml/2006/picture">
                        <pic:nvPicPr>
                          <pic:cNvPr id="9" name="直接连接符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000000"/>
                <w:kern w:val="0"/>
                <w:sz w:val="28"/>
                <w:szCs w:val="28"/>
                <w:u w:val="none"/>
                <w:lang w:val="en-US" w:eastAsia="zh-CN" w:bidi="ar"/>
              </w:rPr>
              <w:t>一级指标</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三级指标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指标评价内容</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预期指标值(包含数字及文字描述)</w:t>
            </w:r>
          </w:p>
        </w:tc>
        <w:tc>
          <w:tcPr>
            <w:tcW w:w="1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实际完成指标值(包含数字及文字描述)</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937"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c>
          <w:tcPr>
            <w:tcW w:w="1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b/>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9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项目决策</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目标内容</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kern w:val="0"/>
                <w:sz w:val="28"/>
                <w:szCs w:val="2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项目预期提供的产品、服务、效益或其他目标明确,即绩效目标实际明确个数/应当明确个数×100%</w:t>
            </w: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kern w:val="0"/>
                <w:sz w:val="28"/>
                <w:szCs w:val="28"/>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出版发行1000套</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实际出版1000套</w:t>
            </w:r>
          </w:p>
        </w:tc>
      </w:tr>
      <w:tr>
        <w:tblPrEx>
          <w:tblLayout w:type="fixed"/>
          <w:tblCellMar>
            <w:top w:w="0" w:type="dxa"/>
            <w:left w:w="0" w:type="dxa"/>
            <w:bottom w:w="0" w:type="dxa"/>
            <w:right w:w="0" w:type="dxa"/>
          </w:tblCellMar>
        </w:tblPrEx>
        <w:trPr>
          <w:gridAfter w:val="1"/>
          <w:wAfter w:w="1190" w:type="dxa"/>
          <w:trHeight w:val="64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进度计划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项目计划实施进度明确</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项目计划进度明确</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实际按照项目计划完成</w:t>
            </w:r>
          </w:p>
        </w:tc>
      </w:tr>
      <w:tr>
        <w:tblPrEx>
          <w:tblLayout w:type="fixed"/>
          <w:tblCellMar>
            <w:top w:w="0" w:type="dxa"/>
            <w:left w:w="0" w:type="dxa"/>
            <w:bottom w:w="0" w:type="dxa"/>
            <w:right w:w="0" w:type="dxa"/>
          </w:tblCellMar>
        </w:tblPrEx>
        <w:trPr>
          <w:gridAfter w:val="1"/>
          <w:wAfter w:w="1190" w:type="dxa"/>
          <w:trHeight w:val="69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目标匹配</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绩效目标设定符合实际需求的抽样项目点个数/抽样项目点总数×100%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预期需求的抽样项目数为</w:t>
            </w:r>
            <w:r>
              <w:rPr>
                <w:rFonts w:hint="eastAsia" w:ascii="宋体" w:hAnsi="宋体" w:cs="宋体"/>
                <w:i w:val="0"/>
                <w:color w:val="000000"/>
                <w:sz w:val="28"/>
                <w:szCs w:val="28"/>
                <w:u w:val="none"/>
                <w:lang w:val="en-US" w:eastAsia="zh-CN"/>
              </w:rPr>
              <w:t>3</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实际需求的项目抽样数为</w:t>
            </w:r>
            <w:r>
              <w:rPr>
                <w:rFonts w:hint="eastAsia" w:ascii="宋体" w:hAnsi="宋体" w:cs="宋体"/>
                <w:i w:val="0"/>
                <w:color w:val="000000"/>
                <w:sz w:val="28"/>
                <w:szCs w:val="28"/>
                <w:u w:val="none"/>
                <w:lang w:val="en-US" w:eastAsia="zh-CN"/>
              </w:rPr>
              <w:t>1</w:t>
            </w:r>
          </w:p>
        </w:tc>
      </w:tr>
      <w:tr>
        <w:tblPrEx>
          <w:tblLayout w:type="fixed"/>
          <w:tblCellMar>
            <w:top w:w="0" w:type="dxa"/>
            <w:left w:w="0" w:type="dxa"/>
            <w:bottom w:w="0" w:type="dxa"/>
            <w:right w:w="0" w:type="dxa"/>
          </w:tblCellMar>
        </w:tblPrEx>
        <w:trPr>
          <w:gridAfter w:val="1"/>
          <w:wAfter w:w="1190" w:type="dxa"/>
          <w:trHeight w:val="2067"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政策依据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项目符合党中央、国务院和省委、省政府决策部署；符合当前经济社会发展需要</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both"/>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项目付符合决策部署；符合当前经社会发展需要</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r>
              <w:rPr>
                <w:rFonts w:hint="eastAsia" w:ascii="宋体" w:hAnsi="宋体" w:cs="宋体"/>
                <w:i w:val="0"/>
                <w:color w:val="000000"/>
                <w:sz w:val="28"/>
                <w:szCs w:val="28"/>
                <w:u w:val="none"/>
                <w:lang w:val="en-US" w:eastAsia="zh-CN"/>
              </w:rPr>
              <w:t>项目付符合决策部署；符合当前经济展需要</w:t>
            </w:r>
          </w:p>
        </w:tc>
      </w:tr>
      <w:tr>
        <w:tblPrEx>
          <w:tblLayout w:type="fixed"/>
          <w:tblCellMar>
            <w:top w:w="0" w:type="dxa"/>
            <w:left w:w="0" w:type="dxa"/>
            <w:bottom w:w="0" w:type="dxa"/>
            <w:right w:w="0" w:type="dxa"/>
          </w:tblCellMar>
        </w:tblPrEx>
        <w:trPr>
          <w:gridAfter w:val="1"/>
          <w:wAfter w:w="1190" w:type="dxa"/>
          <w:trHeight w:val="106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实施规划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连续性项目根据需要制定中长期实施规划</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制定了中长期实施规划</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实际为短期项目</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实施规划符合实际，并根据情况变化适时调整</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规划符合实际</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规划符合实际但在实际操作过程中根据情况进行了适当的调整。</w:t>
            </w:r>
          </w:p>
        </w:tc>
      </w:tr>
      <w:tr>
        <w:tblPrEx>
          <w:tblLayout w:type="fixed"/>
          <w:tblCellMar>
            <w:top w:w="0" w:type="dxa"/>
            <w:left w:w="0" w:type="dxa"/>
            <w:bottom w:w="0" w:type="dxa"/>
            <w:right w:w="0" w:type="dxa"/>
          </w:tblCellMar>
        </w:tblPrEx>
        <w:trPr>
          <w:gridAfter w:val="1"/>
          <w:wAfter w:w="1190" w:type="dxa"/>
          <w:trHeight w:val="1099"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管理制度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制定项目资金管理办法</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严格按预算管理办法</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严格控制在预算范围内</w:t>
            </w:r>
          </w:p>
        </w:tc>
      </w:tr>
      <w:tr>
        <w:tblPrEx>
          <w:tblLayout w:type="fixed"/>
          <w:tblCellMar>
            <w:top w:w="0" w:type="dxa"/>
            <w:left w:w="0" w:type="dxa"/>
            <w:bottom w:w="0" w:type="dxa"/>
            <w:right w:w="0" w:type="dxa"/>
          </w:tblCellMar>
        </w:tblPrEx>
        <w:trPr>
          <w:gridAfter w:val="1"/>
          <w:wAfter w:w="1190" w:type="dxa"/>
          <w:trHeight w:val="75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项目资金分配决策程序明确</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程序明确</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程序明确</w:t>
            </w:r>
          </w:p>
        </w:tc>
      </w:tr>
      <w:tr>
        <w:tblPrEx>
          <w:tblLayout w:type="fixed"/>
          <w:tblCellMar>
            <w:top w:w="0" w:type="dxa"/>
            <w:left w:w="0" w:type="dxa"/>
            <w:bottom w:w="0" w:type="dxa"/>
            <w:right w:w="0" w:type="dxa"/>
          </w:tblCellMar>
        </w:tblPrEx>
        <w:trPr>
          <w:gridAfter w:val="1"/>
          <w:wAfter w:w="1190" w:type="dxa"/>
          <w:trHeight w:val="82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分配方法</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资金分配方法是否科学合理</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科学合理</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科学合理</w:t>
            </w:r>
          </w:p>
        </w:tc>
      </w:tr>
      <w:tr>
        <w:tblPrEx>
          <w:tblLayout w:type="fixed"/>
          <w:tblCellMar>
            <w:top w:w="0" w:type="dxa"/>
            <w:left w:w="0" w:type="dxa"/>
            <w:bottom w:w="0" w:type="dxa"/>
            <w:right w:w="0" w:type="dxa"/>
          </w:tblCellMar>
        </w:tblPrEx>
        <w:trPr>
          <w:gridAfter w:val="1"/>
          <w:wAfter w:w="1190" w:type="dxa"/>
          <w:trHeight w:val="1197"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分配过程</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分配过程符合相关规定</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符合相关规定</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符合相关规定</w:t>
            </w:r>
          </w:p>
        </w:tc>
      </w:tr>
      <w:tr>
        <w:tblPrEx>
          <w:tblLayout w:type="fixed"/>
          <w:tblCellMar>
            <w:top w:w="0" w:type="dxa"/>
            <w:left w:w="0" w:type="dxa"/>
            <w:bottom w:w="0" w:type="dxa"/>
            <w:right w:w="0" w:type="dxa"/>
          </w:tblCellMar>
        </w:tblPrEx>
        <w:trPr>
          <w:gridAfter w:val="1"/>
          <w:wAfter w:w="1190" w:type="dxa"/>
          <w:trHeight w:val="76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审核把关</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符合申报条件的抽样项目点个数/抽样项目点总数×100%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符合申报条件的项目数</w:t>
            </w:r>
            <w:r>
              <w:rPr>
                <w:rFonts w:hint="eastAsia" w:ascii="宋体" w:hAnsi="宋体" w:cs="宋体"/>
                <w:i w:val="0"/>
                <w:color w:val="000000"/>
                <w:sz w:val="28"/>
                <w:szCs w:val="28"/>
                <w:u w:val="none"/>
                <w:lang w:val="en-US" w:eastAsia="zh-CN"/>
              </w:rPr>
              <w:t>100%</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符合申报条件的项目数</w:t>
            </w:r>
            <w:r>
              <w:rPr>
                <w:rFonts w:hint="eastAsia" w:ascii="宋体" w:hAnsi="宋体" w:cs="宋体"/>
                <w:i w:val="0"/>
                <w:color w:val="000000"/>
                <w:sz w:val="28"/>
                <w:szCs w:val="28"/>
                <w:u w:val="none"/>
                <w:lang w:val="en-US" w:eastAsia="zh-CN"/>
              </w:rPr>
              <w:t>100%</w:t>
            </w:r>
          </w:p>
        </w:tc>
      </w:tr>
      <w:tr>
        <w:tblPrEx>
          <w:tblLayout w:type="fixed"/>
          <w:tblCellMar>
            <w:top w:w="0" w:type="dxa"/>
            <w:left w:w="0" w:type="dxa"/>
            <w:bottom w:w="0" w:type="dxa"/>
            <w:right w:w="0" w:type="dxa"/>
          </w:tblCellMar>
        </w:tblPrEx>
        <w:trPr>
          <w:trHeight w:val="52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集中</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财政资金占项目资金总额比重较小项目个数/项目总数×100%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财政资金占项目资金总额的</w:t>
            </w:r>
            <w:r>
              <w:rPr>
                <w:rFonts w:hint="eastAsia" w:ascii="宋体" w:hAnsi="宋体" w:cs="宋体"/>
                <w:i w:val="0"/>
                <w:color w:val="000000"/>
                <w:sz w:val="28"/>
                <w:szCs w:val="28"/>
                <w:u w:val="none"/>
                <w:lang w:val="en-US" w:eastAsia="zh-CN"/>
              </w:rPr>
              <w:t>100%</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r>
              <w:rPr>
                <w:rFonts w:hint="eastAsia" w:ascii="宋体" w:hAnsi="宋体" w:cs="宋体"/>
                <w:i w:val="0"/>
                <w:color w:val="000000"/>
                <w:sz w:val="28"/>
                <w:szCs w:val="28"/>
                <w:u w:val="none"/>
                <w:lang w:eastAsia="zh-CN"/>
              </w:rPr>
              <w:t>财政资金占项目资金总额的</w:t>
            </w:r>
            <w:r>
              <w:rPr>
                <w:rFonts w:hint="eastAsia" w:ascii="宋体" w:hAnsi="宋体" w:cs="宋体"/>
                <w:i w:val="0"/>
                <w:color w:val="000000"/>
                <w:sz w:val="28"/>
                <w:szCs w:val="28"/>
                <w:u w:val="none"/>
                <w:lang w:val="en-US" w:eastAsia="zh-CN"/>
              </w:rPr>
              <w:t>100%</w:t>
            </w:r>
          </w:p>
        </w:tc>
        <w:tc>
          <w:tcPr>
            <w:tcW w:w="1190"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outlineLvl w:val="9"/>
            </w:pPr>
          </w:p>
        </w:tc>
      </w:tr>
      <w:tr>
        <w:tblPrEx>
          <w:tblLayout w:type="fixed"/>
          <w:tblCellMar>
            <w:top w:w="0" w:type="dxa"/>
            <w:left w:w="0" w:type="dxa"/>
            <w:bottom w:w="0" w:type="dxa"/>
            <w:right w:w="0" w:type="dxa"/>
          </w:tblCellMar>
        </w:tblPrEx>
        <w:trPr>
          <w:gridAfter w:val="1"/>
          <w:wAfter w:w="1190" w:type="dxa"/>
          <w:trHeight w:val="73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均衡</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按实际分配结果选择客观因素测算验证资金分配方法制定、分配要素设定、基础数据应用、测算依据选取等是否科学合理（2分）</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科学合理</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科学合理</w:t>
            </w:r>
          </w:p>
        </w:tc>
      </w:tr>
      <w:tr>
        <w:tblPrEx>
          <w:tblLayout w:type="fixed"/>
          <w:tblCellMar>
            <w:top w:w="0" w:type="dxa"/>
            <w:left w:w="0" w:type="dxa"/>
            <w:bottom w:w="0" w:type="dxa"/>
            <w:right w:w="0" w:type="dxa"/>
          </w:tblCellMar>
        </w:tblPrEx>
        <w:trPr>
          <w:gridAfter w:val="1"/>
          <w:wAfter w:w="1190" w:type="dxa"/>
          <w:trHeight w:val="1559"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项目管理</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分配时效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县级主管部门按规定及时分配资金</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县级主管部门及时分配了资金</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r>
              <w:rPr>
                <w:rFonts w:hint="eastAsia" w:ascii="宋体" w:hAnsi="宋体" w:cs="宋体"/>
                <w:i w:val="0"/>
                <w:color w:val="000000"/>
                <w:sz w:val="28"/>
                <w:szCs w:val="28"/>
                <w:u w:val="none"/>
                <w:lang w:eastAsia="zh-CN"/>
              </w:rPr>
              <w:t>县级主管部门及时分配了资金</w:t>
            </w:r>
          </w:p>
        </w:tc>
      </w:tr>
      <w:tr>
        <w:tblPrEx>
          <w:tblLayout w:type="fixed"/>
          <w:tblCellMar>
            <w:top w:w="0" w:type="dxa"/>
            <w:left w:w="0" w:type="dxa"/>
            <w:bottom w:w="0" w:type="dxa"/>
            <w:right w:w="0" w:type="dxa"/>
          </w:tblCellMar>
        </w:tblPrEx>
        <w:trPr>
          <w:gridAfter w:val="1"/>
          <w:wAfter w:w="1190" w:type="dxa"/>
          <w:trHeight w:val="11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资金拨付</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按规定及时拨付资金</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及时拨付了资金</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及时拨付了资金</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使用范围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资金使用是否合规</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合规</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合规</w:t>
            </w:r>
          </w:p>
        </w:tc>
      </w:tr>
      <w:tr>
        <w:tblPrEx>
          <w:tblLayout w:type="fixed"/>
          <w:tblCellMar>
            <w:top w:w="0" w:type="dxa"/>
            <w:left w:w="0" w:type="dxa"/>
            <w:bottom w:w="0" w:type="dxa"/>
            <w:right w:w="0" w:type="dxa"/>
          </w:tblCellMar>
        </w:tblPrEx>
        <w:trPr>
          <w:gridAfter w:val="1"/>
          <w:wAfter w:w="1190" w:type="dxa"/>
          <w:trHeight w:val="167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支付依据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资金支付依据符合规定，即支付依旧合规资金量/资金总量×100%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资金支付符合规定</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资金支付符合规定</w:t>
            </w:r>
          </w:p>
        </w:tc>
      </w:tr>
      <w:tr>
        <w:tblPrEx>
          <w:tblLayout w:type="fixed"/>
          <w:tblCellMar>
            <w:top w:w="0" w:type="dxa"/>
            <w:left w:w="0" w:type="dxa"/>
            <w:bottom w:w="0" w:type="dxa"/>
            <w:right w:w="0" w:type="dxa"/>
          </w:tblCellMar>
        </w:tblPrEx>
        <w:trPr>
          <w:gridAfter w:val="1"/>
          <w:wAfter w:w="1190" w:type="dxa"/>
          <w:trHeight w:val="1676"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开支标准</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资金开支标准符合规定，即开支标准合规资金量/资金总量×100%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资金开支标准符合规定</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资金开支符合规定</w:t>
            </w:r>
          </w:p>
        </w:tc>
      </w:tr>
      <w:tr>
        <w:tblPrEx>
          <w:tblLayout w:type="fixed"/>
          <w:tblCellMar>
            <w:top w:w="0" w:type="dxa"/>
            <w:left w:w="0" w:type="dxa"/>
            <w:bottom w:w="0" w:type="dxa"/>
            <w:right w:w="0" w:type="dxa"/>
          </w:tblCellMar>
        </w:tblPrEx>
        <w:trPr>
          <w:gridAfter w:val="1"/>
          <w:wAfter w:w="1190" w:type="dxa"/>
          <w:trHeight w:val="108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财务制度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财务制度健全，管理规范</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合理，规范</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合理，规范</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会计核算</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会计核算规范</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规范</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规范</w:t>
            </w:r>
          </w:p>
        </w:tc>
      </w:tr>
      <w:tr>
        <w:tblPrEx>
          <w:tblLayout w:type="fixed"/>
          <w:tblCellMar>
            <w:top w:w="0" w:type="dxa"/>
            <w:left w:w="0" w:type="dxa"/>
            <w:bottom w:w="0" w:type="dxa"/>
            <w:right w:w="0" w:type="dxa"/>
          </w:tblCellMar>
        </w:tblPrEx>
        <w:trPr>
          <w:gridAfter w:val="1"/>
          <w:wAfter w:w="1190" w:type="dxa"/>
          <w:trHeight w:val="110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项目调整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项目调整严格履行相关手续</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履行了相关手续</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履行了相关手续</w:t>
            </w:r>
          </w:p>
        </w:tc>
      </w:tr>
      <w:tr>
        <w:tblPrEx>
          <w:tblLayout w:type="fixed"/>
          <w:tblCellMar>
            <w:top w:w="0" w:type="dxa"/>
            <w:left w:w="0" w:type="dxa"/>
            <w:bottom w:w="0" w:type="dxa"/>
            <w:right w:w="0" w:type="dxa"/>
          </w:tblCellMar>
        </w:tblPrEx>
        <w:trPr>
          <w:gridAfter w:val="1"/>
          <w:wAfter w:w="1190" w:type="dxa"/>
          <w:trHeight w:val="8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投资变更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项目投资变更额/项目总投入×100%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76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制度执行</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严格执行项目有关制度规定</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执行了相关制度规定</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执行了相关的制度规定</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1" name="直接连接符_6"/>
                  <wp:cNvGraphicFramePr/>
                  <a:graphic xmlns:a="http://schemas.openxmlformats.org/drawingml/2006/main">
                    <a:graphicData uri="http://schemas.openxmlformats.org/drawingml/2006/picture">
                      <pic:pic xmlns:pic="http://schemas.openxmlformats.org/drawingml/2006/picture">
                        <pic:nvPicPr>
                          <pic:cNvPr id="11" name="直接连接符_6"/>
                          <pic:cNvPicPr/>
                        </pic:nvPicPr>
                        <pic:blipFill>
                          <a:blip r:embed="rId12"/>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28"/>
                <w:szCs w:val="28"/>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 name="直接连接符_5"/>
                  <wp:cNvGraphicFramePr/>
                  <a:graphic xmlns:a="http://schemas.openxmlformats.org/drawingml/2006/main">
                    <a:graphicData uri="http://schemas.openxmlformats.org/drawingml/2006/picture">
                      <pic:pic xmlns:pic="http://schemas.openxmlformats.org/drawingml/2006/picture">
                        <pic:nvPicPr>
                          <pic:cNvPr id="2" name="直接连接符_5"/>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000000"/>
                <w:kern w:val="0"/>
                <w:sz w:val="28"/>
                <w:szCs w:val="28"/>
                <w:u w:val="none"/>
                <w:lang w:val="en-US" w:eastAsia="zh-CN" w:bidi="ar"/>
              </w:rPr>
              <w:t>项目绩效</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完成数量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实际完成任务量/绩效目标设定任务量×100%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完成任务</w:t>
            </w:r>
            <w:r>
              <w:rPr>
                <w:rFonts w:hint="eastAsia" w:ascii="宋体" w:hAnsi="宋体" w:cs="宋体"/>
                <w:i w:val="0"/>
                <w:color w:val="000000"/>
                <w:sz w:val="28"/>
                <w:szCs w:val="28"/>
                <w:u w:val="none"/>
                <w:lang w:val="en-US" w:eastAsia="zh-CN"/>
              </w:rPr>
              <w:t>100%</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eastAsia="zh-CN"/>
              </w:rPr>
              <w:t>实际完成任务</w:t>
            </w:r>
            <w:r>
              <w:rPr>
                <w:rFonts w:hint="eastAsia" w:ascii="宋体" w:hAnsi="宋体" w:cs="宋体"/>
                <w:i w:val="0"/>
                <w:color w:val="000000"/>
                <w:sz w:val="28"/>
                <w:szCs w:val="28"/>
                <w:u w:val="none"/>
                <w:lang w:val="en-US" w:eastAsia="zh-CN"/>
              </w:rPr>
              <w:t>100%</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完成质量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符合绩效目标设定的验收标准，达到行业基准水平</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达到行业基准水平</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达到行业基准水平</w:t>
            </w:r>
          </w:p>
        </w:tc>
      </w:tr>
      <w:tr>
        <w:tblPrEx>
          <w:tblLayout w:type="fixed"/>
          <w:tblCellMar>
            <w:top w:w="0" w:type="dxa"/>
            <w:left w:w="0" w:type="dxa"/>
            <w:bottom w:w="0" w:type="dxa"/>
            <w:right w:w="0" w:type="dxa"/>
          </w:tblCellMar>
        </w:tblPrEx>
        <w:trPr>
          <w:gridAfter w:val="1"/>
          <w:wAfter w:w="1190" w:type="dxa"/>
          <w:trHeight w:val="80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完成时效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（实际完成时间-绩效目标设定完成时间）/绩效目标设定完成时间×100%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100%</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85%</w:t>
            </w:r>
          </w:p>
        </w:tc>
      </w:tr>
      <w:tr>
        <w:tblPrEx>
          <w:tblLayout w:type="fixed"/>
          <w:tblCellMar>
            <w:top w:w="0" w:type="dxa"/>
            <w:left w:w="0" w:type="dxa"/>
            <w:bottom w:w="0" w:type="dxa"/>
            <w:right w:w="0" w:type="dxa"/>
          </w:tblCellMar>
        </w:tblPrEx>
        <w:trPr>
          <w:gridAfter w:val="1"/>
          <w:wAfter w:w="1190" w:type="dxa"/>
          <w:trHeight w:val="555"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完成成本</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（实际完成成本-预计完成成本）/预计完成成本×100%</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100%</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85%</w:t>
            </w:r>
          </w:p>
        </w:tc>
      </w:tr>
      <w:tr>
        <w:tblPrEx>
          <w:tblLayout w:type="fixed"/>
          <w:tblCellMar>
            <w:top w:w="0" w:type="dxa"/>
            <w:left w:w="0" w:type="dxa"/>
            <w:bottom w:w="0" w:type="dxa"/>
            <w:right w:w="0" w:type="dxa"/>
          </w:tblCellMar>
        </w:tblPrEx>
        <w:trPr>
          <w:gridAfter w:val="1"/>
          <w:wAfter w:w="1190" w:type="dxa"/>
          <w:trHeight w:val="72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经济效益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反映相关产出对经济社会发展带来的影响和效果，根据项目实际细化具体指标。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74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社会效益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反映相关产出对社会发展带来的影响和效果，根据项目实际细化具体指标。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val="en-US" w:eastAsia="zh-CN"/>
              </w:rPr>
            </w:pPr>
            <w:r>
              <w:rPr>
                <w:rFonts w:hint="eastAsia" w:ascii="宋体" w:hAnsi="宋体" w:cs="宋体"/>
                <w:i w:val="0"/>
                <w:color w:val="000000"/>
                <w:sz w:val="28"/>
                <w:szCs w:val="28"/>
                <w:u w:val="none"/>
                <w:lang w:val="en-US" w:eastAsia="zh-CN"/>
              </w:rPr>
              <w:t>长期效益</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r>
              <w:rPr>
                <w:rFonts w:hint="eastAsia" w:ascii="宋体" w:hAnsi="宋体" w:cs="宋体"/>
                <w:i w:val="0"/>
                <w:color w:val="000000"/>
                <w:sz w:val="28"/>
                <w:szCs w:val="28"/>
                <w:u w:val="none"/>
                <w:lang w:eastAsia="zh-CN"/>
              </w:rPr>
              <w:t>长期效益</w:t>
            </w:r>
          </w:p>
        </w:tc>
      </w:tr>
      <w:tr>
        <w:tblPrEx>
          <w:tblLayout w:type="fixed"/>
          <w:tblCellMar>
            <w:top w:w="0" w:type="dxa"/>
            <w:left w:w="0" w:type="dxa"/>
            <w:bottom w:w="0" w:type="dxa"/>
            <w:right w:w="0" w:type="dxa"/>
          </w:tblCellMar>
        </w:tblPrEx>
        <w:trPr>
          <w:gridAfter w:val="1"/>
          <w:wAfter w:w="1190" w:type="dxa"/>
          <w:trHeight w:val="72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生态效益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反映相关产出对自然环境带来的影响和效果，根据项目实际细化具体指标。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76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可持续效益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outlineLvl w:val="9"/>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反映相关产出带来影响的可持续期限，根据项目实际细化具体指标。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lang w:eastAsia="zh-CN"/>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宋体" w:hAnsi="宋体" w:eastAsia="宋体" w:cs="宋体"/>
                <w:i w:val="0"/>
                <w:color w:val="000000"/>
                <w:sz w:val="28"/>
                <w:szCs w:val="28"/>
                <w:u w:val="none"/>
              </w:rPr>
            </w:pPr>
          </w:p>
        </w:tc>
      </w:tr>
      <w:tr>
        <w:tblPrEx>
          <w:tblLayout w:type="fixed"/>
          <w:tblCellMar>
            <w:top w:w="0" w:type="dxa"/>
            <w:left w:w="0" w:type="dxa"/>
            <w:bottom w:w="0" w:type="dxa"/>
            <w:right w:w="0" w:type="dxa"/>
          </w:tblCellMar>
        </w:tblPrEx>
        <w:trPr>
          <w:gridAfter w:val="1"/>
          <w:wAfter w:w="1190" w:type="dxa"/>
          <w:trHeight w:val="1080" w:hRule="atLeast"/>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default" w:ascii="仿宋_GB2312" w:hAnsi="宋体" w:eastAsia="仿宋_GB2312" w:cs="仿宋_GB2312"/>
                <w:i w:val="0"/>
                <w:color w:val="000000"/>
                <w:sz w:val="28"/>
                <w:szCs w:val="2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sz w:val="28"/>
                <w:szCs w:val="28"/>
                <w:u w:val="none"/>
                <w:lang w:val="en-US" w:eastAsia="zh-CN"/>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sz w:val="28"/>
                <w:szCs w:val="28"/>
                <w:u w:val="none"/>
                <w:lang w:val="en-US" w:eastAsia="zh-CN"/>
              </w:rPr>
              <w:t>服务对象满意度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sz w:val="28"/>
                <w:szCs w:val="28"/>
                <w:u w:val="none"/>
                <w:lang w:val="en-US" w:eastAsia="zh-CN"/>
              </w:rPr>
              <w:t>反映服务对象或项目受益人对相关产出及其影响的认可程度，根据项目实际细化具体指标。</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lang w:eastAsia="zh-CN"/>
              </w:rPr>
            </w:pPr>
            <w:r>
              <w:rPr>
                <w:rFonts w:hint="eastAsia" w:ascii="仿宋_GB2312" w:hAnsi="宋体" w:eastAsia="仿宋_GB2312" w:cs="仿宋_GB2312"/>
                <w:i w:val="0"/>
                <w:color w:val="000000"/>
                <w:sz w:val="28"/>
                <w:szCs w:val="28"/>
                <w:u w:val="none"/>
                <w:lang w:eastAsia="zh-CN"/>
              </w:rPr>
              <w:t>非常满意</w:t>
            </w:r>
          </w:p>
        </w:tc>
        <w:tc>
          <w:tcPr>
            <w:tcW w:w="1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宋体" w:eastAsia="仿宋_GB2312" w:cs="仿宋_GB2312"/>
                <w:i w:val="0"/>
                <w:color w:val="000000"/>
                <w:sz w:val="28"/>
                <w:szCs w:val="28"/>
                <w:u w:val="none"/>
                <w:lang w:eastAsia="zh-CN"/>
              </w:rPr>
            </w:pPr>
            <w:r>
              <w:rPr>
                <w:rFonts w:hint="eastAsia" w:ascii="仿宋_GB2312" w:hAnsi="宋体" w:eastAsia="仿宋_GB2312" w:cs="仿宋_GB2312"/>
                <w:i w:val="0"/>
                <w:color w:val="000000"/>
                <w:sz w:val="28"/>
                <w:szCs w:val="28"/>
                <w:u w:val="none"/>
                <w:lang w:eastAsia="zh-CN"/>
              </w:rPr>
              <w:t>满意</w:t>
            </w:r>
          </w:p>
        </w:tc>
      </w:tr>
    </w:tbl>
    <w:p>
      <w:pPr>
        <w:spacing w:line="580" w:lineRule="exact"/>
        <w:rPr>
          <w:rFonts w:ascii="仿宋_GB2312" w:hAnsi="仿宋_GB2312" w:eastAsia="仿宋_GB2312" w:cs="仿宋_GB2312"/>
          <w:sz w:val="28"/>
          <w:szCs w:val="28"/>
        </w:rPr>
      </w:pPr>
    </w:p>
    <w:p>
      <w:pPr>
        <w:numPr>
          <w:ilvl w:val="0"/>
          <w:numId w:val="5"/>
        </w:numPr>
        <w:spacing w:line="580" w:lineRule="exact"/>
        <w:ind w:firstLine="562" w:firstLineChars="200"/>
        <w:rPr>
          <w:rFonts w:ascii="仿宋" w:hAnsi="仿宋" w:eastAsia="仿宋" w:cs="仿宋_GB2312"/>
          <w:sz w:val="32"/>
          <w:szCs w:val="32"/>
        </w:rPr>
      </w:pPr>
      <w:r>
        <w:rPr>
          <w:rFonts w:hint="eastAsia" w:ascii="仿宋" w:hAnsi="仿宋" w:eastAsia="仿宋" w:cs="楷体_GB2312"/>
          <w:b/>
          <w:bCs/>
          <w:sz w:val="28"/>
          <w:szCs w:val="28"/>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红原县党史地方志办公室</w:t>
      </w:r>
      <w:r>
        <w:rPr>
          <w:rFonts w:hint="eastAsia" w:ascii="仿宋_GB2312" w:hAnsi="仿宋_GB2312" w:eastAsia="仿宋_GB2312" w:cs="仿宋_GB2312"/>
          <w:sz w:val="32"/>
          <w:szCs w:val="32"/>
        </w:rPr>
        <w:t>2018年部门整体支出绩效评价报告》见附件。</w:t>
      </w:r>
    </w:p>
    <w:p>
      <w:p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单位无项目支出绩效</w:t>
      </w:r>
    </w:p>
    <w:p>
      <w:pPr>
        <w:spacing w:line="600" w:lineRule="exact"/>
        <w:ind w:firstLine="640" w:firstLineChars="20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8年，机关运行经费支出</w:t>
      </w:r>
      <w:r>
        <w:rPr>
          <w:rFonts w:hint="eastAsia" w:ascii="仿宋_GB2312" w:eastAsia="仿宋_GB2312"/>
          <w:color w:val="000000"/>
          <w:sz w:val="32"/>
          <w:szCs w:val="32"/>
          <w:lang w:val="en-US" w:eastAsia="zh-CN"/>
        </w:rPr>
        <w:t>14.92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7年增减少</w:t>
      </w:r>
      <w:r>
        <w:rPr>
          <w:rFonts w:hint="eastAsia" w:ascii="仿宋_GB2312" w:eastAsia="仿宋_GB2312"/>
          <w:color w:val="000000"/>
          <w:sz w:val="32"/>
          <w:szCs w:val="32"/>
          <w:lang w:val="en-US" w:eastAsia="zh-CN"/>
        </w:rPr>
        <w:t>0.98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w:t>
      </w:r>
      <w:r>
        <w:rPr>
          <w:rFonts w:hint="eastAsia" w:ascii="仿宋_GB2312" w:eastAsia="仿宋_GB2312"/>
          <w:color w:val="000000" w:themeColor="text1"/>
          <w:sz w:val="32"/>
          <w:szCs w:val="32"/>
          <w:lang w:eastAsia="zh-CN"/>
          <w14:textFill>
            <w14:solidFill>
              <w14:schemeClr w14:val="tx1"/>
            </w14:solidFill>
          </w14:textFill>
        </w:rPr>
        <w:t>是厉行节约减少三公经费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w:t>
      </w:r>
      <w:r>
        <w:rPr>
          <w:rFonts w:hint="eastAsia" w:ascii="仿宋_GB2312" w:eastAsia="仿宋_GB2312"/>
          <w:color w:val="000000" w:themeColor="text1"/>
          <w:sz w:val="32"/>
          <w:szCs w:val="32"/>
          <w:lang w:val="en-US" w:eastAsia="zh-CN"/>
          <w14:textFill>
            <w14:solidFill>
              <w14:schemeClr w14:val="tx1"/>
            </w14:solidFill>
          </w14:textFill>
        </w:rPr>
        <w:t>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numPr>
          <w:ilvl w:val="0"/>
          <w:numId w:val="6"/>
        </w:numPr>
        <w:spacing w:line="600" w:lineRule="exact"/>
        <w:ind w:firstLine="663"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上级补助</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lang w:val="en-US" w:eastAsia="zh-CN"/>
        </w:rPr>
        <w:t>20131101</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：指</w:t>
      </w:r>
      <w:r>
        <w:rPr>
          <w:rFonts w:hint="eastAsia" w:ascii="仿宋_GB2312" w:eastAsia="仿宋_GB2312"/>
          <w:sz w:val="32"/>
          <w:szCs w:val="32"/>
        </w:rPr>
        <w:t>用于机关及下属事业单位人员工资、日常运转以及为完成特定行政工作任务和事业发展目标而安排的年度项目支出。</w:t>
      </w:r>
      <w:r>
        <w:rPr>
          <w:rFonts w:hint="eastAsia" w:ascii="仿宋_GB2312" w:eastAsia="仿宋_GB2312"/>
          <w:color w:val="000000"/>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lang w:val="en-US" w:eastAsia="zh-CN"/>
        </w:rPr>
        <w:t>2080505机关事业单位养老保险缴费</w:t>
      </w:r>
      <w:r>
        <w:rPr>
          <w:rFonts w:hint="eastAsia" w:ascii="仿宋_GB2312" w:eastAsia="仿宋_GB2312"/>
          <w:color w:val="000000"/>
          <w:sz w:val="32"/>
          <w:szCs w:val="32"/>
        </w:rPr>
        <w:t>：指</w:t>
      </w:r>
      <w:r>
        <w:rPr>
          <w:rFonts w:hint="eastAsia" w:ascii="仿宋_GB2312" w:eastAsia="仿宋_GB2312"/>
          <w:sz w:val="32"/>
          <w:szCs w:val="32"/>
        </w:rPr>
        <w:t>用于机关及下属单位按照规定标准为职工缴纳养老保险等支出。</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5.52080506机关事业单位职业年金缴费</w:t>
      </w:r>
      <w:r>
        <w:rPr>
          <w:rStyle w:val="13"/>
          <w:rFonts w:ascii="仿宋" w:hAnsi="仿宋" w:eastAsia="仿宋"/>
          <w:bCs/>
          <w:color w:val="000000"/>
          <w:sz w:val="32"/>
          <w:szCs w:val="32"/>
        </w:rPr>
        <w:t>:</w:t>
      </w:r>
      <w:r>
        <w:rPr>
          <w:rFonts w:hint="eastAsia" w:ascii="仿宋_GB2312" w:eastAsia="仿宋_GB2312"/>
          <w:color w:val="000000"/>
          <w:sz w:val="32"/>
          <w:szCs w:val="32"/>
        </w:rPr>
        <w:t>指</w:t>
      </w:r>
      <w:r>
        <w:rPr>
          <w:rFonts w:hint="eastAsia" w:ascii="仿宋_GB2312" w:eastAsia="仿宋_GB2312"/>
          <w:sz w:val="32"/>
          <w:szCs w:val="32"/>
        </w:rPr>
        <w:t>用于机关及下属单位按照规定标准为职工缴纳职业年金等支出。</w:t>
      </w:r>
    </w:p>
    <w:p>
      <w:pPr>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6.</w:t>
      </w:r>
      <w:r>
        <w:rPr>
          <w:rFonts w:hint="eastAsia" w:ascii="仿宋_GB2312" w:eastAsia="仿宋_GB2312"/>
          <w:sz w:val="32"/>
          <w:szCs w:val="32"/>
          <w:lang w:val="en-US" w:eastAsia="zh-CN"/>
        </w:rPr>
        <w:t>2101101行政单位医疗：</w:t>
      </w:r>
      <w:r>
        <w:rPr>
          <w:rFonts w:hint="eastAsia" w:ascii="仿宋_GB2312" w:eastAsia="仿宋_GB2312"/>
          <w:color w:val="000000"/>
          <w:sz w:val="32"/>
          <w:szCs w:val="32"/>
        </w:rPr>
        <w:t>指</w:t>
      </w:r>
      <w:r>
        <w:rPr>
          <w:rFonts w:hint="eastAsia" w:ascii="仿宋_GB2312" w:eastAsia="仿宋_GB2312"/>
          <w:sz w:val="32"/>
          <w:szCs w:val="32"/>
        </w:rPr>
        <w:t>用于机关及下属事业单位按照规定标准为职工缴纳的基本医疗保险及公务员医疗补助等支出。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val="en-US" w:eastAsia="zh-CN"/>
        </w:rPr>
        <w:t>2210201住房公积金</w:t>
      </w:r>
      <w:r>
        <w:rPr>
          <w:rFonts w:hint="eastAsia" w:ascii="仿宋_GB2312" w:eastAsia="仿宋_GB2312"/>
          <w:color w:val="000000"/>
          <w:sz w:val="32"/>
          <w:szCs w:val="32"/>
        </w:rPr>
        <w:t>：指</w:t>
      </w:r>
      <w:r>
        <w:rPr>
          <w:rFonts w:hint="eastAsia" w:ascii="仿宋_GB2312" w:eastAsia="仿宋_GB2312"/>
          <w:sz w:val="32"/>
          <w:szCs w:val="32"/>
        </w:rPr>
        <w:t>用于机关及下属事业单位按照规定标准为职工缴纳住房公积金等支出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项目支出：指在</w:t>
      </w:r>
      <w:bookmarkStart w:id="74" w:name="_GoBack"/>
      <w:bookmarkEnd w:id="74"/>
      <w:r>
        <w:rPr>
          <w:rFonts w:hint="eastAsia" w:ascii="仿宋_GB2312" w:eastAsia="仿宋_GB2312"/>
          <w:color w:val="000000"/>
          <w:sz w:val="32"/>
          <w:szCs w:val="32"/>
        </w:rPr>
        <w:t>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三公”经费：指部门用财政拨款安排的、公务用车购置及运行费和公务接待费。其中，公务用车购置及运行费反映单位公务用车车辆购置支出（含车辆购置税）、燃料费、维修费、过路过桥费、保险费等支出；公务接待费反映单位按规定开支的各类公务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600" w:lineRule="exact"/>
        <w:jc w:val="center"/>
        <w:outlineLvl w:val="0"/>
        <w:rPr>
          <w:rStyle w:val="24"/>
        </w:rPr>
      </w:pPr>
    </w:p>
    <w:p>
      <w:pPr>
        <w:pStyle w:val="3"/>
        <w:rPr>
          <w:rStyle w:val="24"/>
          <w:rFonts w:ascii="仿宋" w:hAnsi="仿宋" w:eastAsia="仿宋"/>
          <w:b w:val="0"/>
          <w:bCs w:val="0"/>
          <w:sz w:val="32"/>
          <w:szCs w:val="32"/>
        </w:rPr>
      </w:pPr>
      <w:bookmarkStart w:id="59" w:name="_Toc15396615"/>
      <w:r>
        <w:rPr>
          <w:rStyle w:val="24"/>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pStyle w:val="4"/>
        <w:numPr>
          <w:ilvl w:val="0"/>
          <w:numId w:val="0"/>
        </w:numPr>
        <w:ind w:firstLine="960" w:firstLineChars="300"/>
        <w:jc w:val="left"/>
        <w:rPr>
          <w:rFonts w:hint="eastAsia" w:ascii="仿宋_GB2312" w:hAnsi="宋体" w:eastAsia="仿宋_GB2312" w:cs="宋体"/>
          <w:color w:val="000000"/>
          <w:kern w:val="0"/>
          <w:lang w:val="zh-CN" w:eastAsia="zh-CN"/>
        </w:rPr>
      </w:pPr>
      <w:r>
        <w:rPr>
          <w:rFonts w:hint="eastAsia" w:ascii="仿宋" w:hAnsi="仿宋" w:eastAsia="仿宋" w:cs="仿宋"/>
          <w:b w:val="0"/>
          <w:bCs w:val="0"/>
          <w:color w:val="000000"/>
          <w:sz w:val="32"/>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r>
        <w:rPr>
          <w:rFonts w:hint="eastAsia" w:ascii="仿宋" w:hAnsi="仿宋" w:eastAsia="仿宋" w:cs="仿宋"/>
          <w:b w:val="0"/>
          <w:bCs w:val="0"/>
          <w:sz w:val="32"/>
        </w:rPr>
        <w:t>本单位是一级预算</w:t>
      </w:r>
      <w:r>
        <w:rPr>
          <w:rFonts w:hint="eastAsia" w:ascii="仿宋" w:hAnsi="仿宋" w:eastAsia="仿宋" w:cs="仿宋"/>
          <w:b w:val="0"/>
          <w:bCs w:val="0"/>
          <w:sz w:val="32"/>
          <w:lang w:eastAsia="zh-CN"/>
        </w:rPr>
        <w:t>的参公</w:t>
      </w:r>
      <w:r>
        <w:rPr>
          <w:rFonts w:hint="eastAsia" w:ascii="仿宋" w:hAnsi="仿宋" w:eastAsia="仿宋" w:cs="仿宋"/>
          <w:b w:val="0"/>
          <w:bCs w:val="0"/>
          <w:sz w:val="32"/>
        </w:rPr>
        <w:t>单位。实行独立的预算制度下设有3个机构</w:t>
      </w:r>
      <w:r>
        <w:rPr>
          <w:rFonts w:hint="eastAsia" w:ascii="仿宋" w:hAnsi="仿宋" w:eastAsia="仿宋" w:cs="仿宋"/>
          <w:b w:val="0"/>
          <w:bCs w:val="0"/>
          <w:sz w:val="32"/>
          <w:lang w:eastAsia="zh-CN"/>
        </w:rPr>
        <w:t>办公室，业务指导及档案股</w:t>
      </w:r>
      <w:r>
        <w:rPr>
          <w:rFonts w:hint="eastAsia" w:ascii="仿宋" w:hAnsi="仿宋" w:eastAsia="仿宋" w:cs="仿宋"/>
          <w:b w:val="0"/>
          <w:bCs w:val="0"/>
          <w:sz w:val="32"/>
        </w:rPr>
        <w:t>。编制8人在职8人退休</w:t>
      </w:r>
      <w:r>
        <w:rPr>
          <w:rFonts w:hint="eastAsia" w:ascii="仿宋" w:hAnsi="仿宋" w:eastAsia="仿宋" w:cs="仿宋"/>
          <w:b w:val="0"/>
          <w:bCs w:val="0"/>
          <w:sz w:val="32"/>
          <w:lang w:val="en-US" w:eastAsia="zh-CN"/>
        </w:rPr>
        <w:t>2</w:t>
      </w:r>
      <w:r>
        <w:rPr>
          <w:rFonts w:hint="eastAsia" w:ascii="仿宋" w:hAnsi="仿宋" w:eastAsia="仿宋" w:cs="仿宋"/>
          <w:b w:val="0"/>
          <w:bCs w:val="0"/>
          <w:sz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2018财政资金收入151.79万元，其中一般公共服务支117.64万元，社会保障和就业19.67万元，医疗卫生与计划生育5.58，住房保障8.91万元</w:t>
      </w: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640" w:firstLineChars="2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2018年财政资金支出202.23万元，其中一般公共服务支出168.07万元，社会保障和就业支出19.66万元，医疗卫生与计划生育支出5.58万元，住房保障支出8.91</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spacing w:line="560" w:lineRule="exact"/>
        <w:rPr>
          <w:rFonts w:hint="eastAsia" w:ascii="楷体" w:hAnsi="楷体" w:eastAsia="楷体"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（一）预算编制情况。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right="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pStyle w:val="4"/>
        <w:spacing w:line="560" w:lineRule="exact"/>
        <w:ind w:firstLine="640" w:firstLineChars="200"/>
        <w:jc w:val="left"/>
        <w:rPr>
          <w:rFonts w:ascii="仿宋_GB2312" w:hAnsi="仿宋_GB2312" w:eastAsia="仿宋_GB2312" w:cs="仿宋_GB2312"/>
          <w:b w:val="0"/>
          <w:bCs w:val="0"/>
          <w:sz w:val="32"/>
        </w:rPr>
      </w:pPr>
      <w:r>
        <w:rPr>
          <w:rFonts w:hint="eastAsia" w:ascii="仿宋_GB2312" w:hAnsi="仿宋_GB2312" w:eastAsia="仿宋_GB2312" w:cs="仿宋_GB2312"/>
          <w:b w:val="0"/>
          <w:bCs w:val="0"/>
          <w:sz w:val="32"/>
        </w:rPr>
        <w:t>严格财务预算收支管理，厉行节约，努力提高资金使用效益，合理编制财务报告，及时、准确反映预算执行情况，进行财务活动分析；建立健全财务管理制度，对财务活动进行监督；加强单位内部控制，合理保证单位经济活动合法合规、资产安全和使用有效、财务信息真实完整，有效防范舞弊和预防腐败，提高公共服务的效率和效果；加强资产管理，防止资产流失。</w:t>
      </w:r>
    </w:p>
    <w:p>
      <w:pPr>
        <w:pStyle w:val="4"/>
        <w:spacing w:line="560" w:lineRule="exact"/>
        <w:ind w:firstLine="0" w:firstLineChars="0"/>
        <w:jc w:val="left"/>
        <w:rPr>
          <w:rFonts w:ascii="仿宋_GB2312" w:hAnsi="仿宋_GB2312" w:eastAsia="仿宋_GB2312" w:cs="仿宋_GB2312"/>
          <w:sz w:val="32"/>
        </w:rPr>
      </w:pPr>
      <w:r>
        <w:rPr>
          <w:rFonts w:hint="eastAsia" w:ascii="仿宋_GB2312" w:hAnsi="仿宋_GB2312" w:eastAsia="仿宋_GB2312" w:cs="仿宋_GB2312"/>
          <w:sz w:val="32"/>
        </w:rPr>
        <w:t>1、预算管理</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2、内控管理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公开等内部控制基本方法，加强对单位层面和业务层面的内部控制，实现内部控制体系全面、有效实施。建立单位内控监督约束机制，让单位纪检、审计、业务部门参与到资金使用监督环节，确保资金安全、合理、有效使用，最大限度发挥财政资金使用效益</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3、资产管理</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是加强会计核算工作。严格执行现行固定资产管理制度，对购入的固定资产、收到的捐赠资产等及时入账，并按照数量、金额登记明细账，编制固定资产卡片，确保账面上能真实、完整的反映单位的固定资产情况，并结合本单位的实际情况，完善固定资产管理制度。二是加强程序管理。对纳入政府采购目录范围内的资产采购，必须报政府采购中心进行政府采购；未纳入政府采购目录范围内的资产采购，采用其他形式采购。未纳入预算的固定资产，不得随意采购，确需急用，必须经相关部门批准。三是加强内部监督。定期或不定期的对固定资产进行抽查。检查固定资产的购置、领用、处置等程序是否合规，账实是否相符等，防止国有资产的流失。</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widowControl w:val="0"/>
        <w:numPr>
          <w:ilvl w:val="0"/>
          <w:numId w:val="5"/>
        </w:numPr>
        <w:ind w:left="0" w:leftChars="0" w:firstLine="640" w:firstLineChars="200"/>
        <w:rPr>
          <w:rFonts w:hint="eastAsia" w:ascii="仿宋_GB2312" w:eastAsia="仿宋_GB2312"/>
          <w:sz w:val="30"/>
          <w:szCs w:val="30"/>
        </w:rPr>
      </w:pPr>
      <w:r>
        <w:rPr>
          <w:rFonts w:hint="eastAsia" w:ascii="楷体" w:hAnsi="楷体" w:eastAsia="楷体" w:cs="宋体"/>
          <w:color w:val="000000"/>
          <w:kern w:val="0"/>
          <w:sz w:val="32"/>
          <w:szCs w:val="24"/>
          <w:lang w:val="zh-CN" w:eastAsia="zh-CN" w:bidi="ar"/>
        </w:rPr>
        <w:t>整体绩效。</w:t>
      </w:r>
      <w:r>
        <w:rPr>
          <w:rFonts w:hint="eastAsia" w:ascii="仿宋_GB2312" w:eastAsia="仿宋_GB2312"/>
          <w:sz w:val="30"/>
          <w:szCs w:val="30"/>
        </w:rPr>
        <w:t xml:space="preserve"> </w:t>
      </w:r>
    </w:p>
    <w:p>
      <w:pPr>
        <w:widowControl w:val="0"/>
        <w:numPr>
          <w:ilvl w:val="0"/>
          <w:numId w:val="0"/>
        </w:numPr>
        <w:ind w:leftChars="200" w:firstLine="643" w:firstLineChars="200"/>
        <w:rPr>
          <w:rFonts w:ascii="仿宋_GB2312" w:eastAsia="仿宋_GB2312"/>
          <w:sz w:val="30"/>
          <w:szCs w:val="30"/>
        </w:rPr>
      </w:pPr>
      <w:r>
        <w:rPr>
          <w:rFonts w:hint="eastAsia" w:ascii="楷体" w:hAnsi="楷体" w:eastAsia="楷体"/>
          <w:b/>
          <w:bCs/>
          <w:sz w:val="32"/>
          <w:szCs w:val="32"/>
        </w:rPr>
        <w:t>1.党史工作</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（1）完成《红原县党史大事记》（2018年）的整理。按照大事记记述要求，本着工作从细、不乱记、不漏记，手勤、腿勤、嘴勤，整理了2017年红原县党史大事记。</w:t>
      </w:r>
    </w:p>
    <w:p>
      <w:pPr>
        <w:ind w:firstLine="640" w:firstLineChars="200"/>
        <w:rPr>
          <w:rFonts w:ascii="Calibri" w:hAnsi="Calibri" w:eastAsia="仿宋_GB2312"/>
          <w:sz w:val="30"/>
          <w:szCs w:val="30"/>
        </w:rPr>
      </w:pPr>
      <w:r>
        <w:rPr>
          <w:rFonts w:hint="eastAsia" w:ascii="仿宋" w:hAnsi="仿宋" w:eastAsia="仿宋" w:cs="仿宋"/>
          <w:bCs/>
          <w:color w:val="000000"/>
          <w:sz w:val="32"/>
          <w:szCs w:val="32"/>
        </w:rPr>
        <w:t>（2）完成《中国共产党阿坝执政实录》（2018年）红原篇资料上报工作。完成《中国共产党阿坝执政实录》（2017年）的初纂工作；出版《执政实录（2016年）》，其展现了县委、县政府2016年在经济发展、民生工程、社会事业等</w:t>
      </w:r>
    </w:p>
    <w:p>
      <w:pPr>
        <w:snapToGrid w:val="0"/>
        <w:spacing w:line="560" w:lineRule="exact"/>
        <w:rPr>
          <w:rFonts w:ascii="仿宋" w:hAnsi="仿宋" w:eastAsia="仿宋" w:cs="仿宋"/>
          <w:bCs/>
          <w:color w:val="000000"/>
          <w:sz w:val="32"/>
          <w:szCs w:val="32"/>
        </w:rPr>
      </w:pPr>
      <w:r>
        <w:rPr>
          <w:rFonts w:hint="eastAsia" w:ascii="仿宋" w:hAnsi="仿宋" w:eastAsia="仿宋" w:cs="仿宋"/>
          <w:bCs/>
          <w:color w:val="000000"/>
          <w:sz w:val="32"/>
          <w:szCs w:val="32"/>
        </w:rPr>
        <w:t>方面取得的成就，采用大事记方式记述了省、州、县主要领导的重要活动；收集了县内领导干部有关执政经验的论述文章和相关的图片资料，按要求及时报送州委党史研究室，对解读红原、宣传红原、总结历史都有着重要的现实意义。</w:t>
      </w:r>
    </w:p>
    <w:p>
      <w:pPr>
        <w:spacing w:line="560" w:lineRule="exact"/>
        <w:rPr>
          <w:rFonts w:ascii="仿宋_GB2312" w:eastAsia="仿宋_GB2312"/>
          <w:sz w:val="30"/>
          <w:szCs w:val="30"/>
        </w:rPr>
      </w:pPr>
      <w:r>
        <w:rPr>
          <w:rFonts w:hint="eastAsia" w:ascii="仿宋" w:hAnsi="仿宋" w:eastAsia="仿宋" w:cs="仿宋"/>
          <w:bCs/>
          <w:color w:val="000000"/>
          <w:sz w:val="32"/>
          <w:szCs w:val="32"/>
        </w:rPr>
        <w:t>（3）完成红原县2018年口述历史纪录片拍摄等工作。根据阿坝州口述历史工作领导小组办公室要求，2012年启动“历史的记忆，和谐的家园”口述历史活动，设立红原县口述历史工作领导小组办公室于党史地方志办公室。2018年红原县口述历史纪录片《牧琴弦歌》已通过州口述历史领导小组初审，将于本月底与观众见面。</w:t>
      </w:r>
    </w:p>
    <w:p>
      <w:pPr>
        <w:autoSpaceDN w:val="0"/>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2.地方志工作</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1)《红原县志》（藏文版）。2015年3月被确立为阿坝州唯一一个开展双语出版志书的试点县，自确立以来，我办高度重视、精心组织缩编。目前已完成《红原县志》（藏文版）缩编、翻译、校对、州级审核、出版社校审。该书将于本月底公开出版发行。</w:t>
      </w:r>
    </w:p>
    <w:p>
      <w:pPr>
        <w:snapToGrid w:val="0"/>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2)《青藏高原环境与山水文化志》红原篇等。《青藏高原环境与山水文化志》（红原篇）已高质量完成藏汉双语文稿，并通过州级终审验收，汉文版作为范本被州民宗局发藏区三县借鉴学习。其中，《青藏高原环境与山水文化志》（红原篇）藏文版字数68.2万字，汉文版52.9万字。《红原县藏传佛教寺庙志》完成编纂工作量的90%，藏文字数140万。《红原县传统游牧部落文化志》完成编纂工作量的65%，藏文字数54万。《红原史话》完成编纂工作量的60%，字数7.2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仿宋" w:hAnsi="仿宋" w:eastAsia="仿宋" w:cs="仿宋"/>
          <w:bCs/>
          <w:color w:val="000000"/>
          <w:sz w:val="32"/>
          <w:szCs w:val="32"/>
        </w:rPr>
        <w:t>（3）完成《红原年鉴》（2017）的编纂、发行</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right="0" w:firstLine="1600" w:firstLineChars="5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评价在指标设定上存在偏离的现象，绩效考核的指标设定要从单位实际出发，按照科学，合理公正的标准进行设定方案。在当前绩效考核指标设定上，德能勤绩这种传统的固化思维模式依旧存在，不能紧紧围绕工作重点偏离实际现象依旧凸显。</w:t>
      </w:r>
    </w:p>
    <w:p>
      <w:pPr>
        <w:pStyle w:val="3"/>
        <w:rPr>
          <w:rStyle w:val="24"/>
          <w:rFonts w:hint="eastAsia" w:ascii="仿宋" w:hAnsi="仿宋" w:eastAsia="仿宋"/>
          <w:b w:val="0"/>
          <w:bCs w:val="0"/>
          <w:sz w:val="32"/>
          <w:szCs w:val="32"/>
        </w:rPr>
      </w:pPr>
    </w:p>
    <w:p>
      <w:pPr>
        <w:pStyle w:val="3"/>
        <w:rPr>
          <w:rStyle w:val="24"/>
          <w:rFonts w:hint="eastAsia" w:ascii="仿宋" w:hAnsi="仿宋" w:eastAsia="仿宋"/>
          <w:b w:val="0"/>
          <w:bCs w:val="0"/>
          <w:sz w:val="32"/>
          <w:szCs w:val="32"/>
        </w:rPr>
      </w:pPr>
    </w:p>
    <w:p>
      <w:pPr>
        <w:pStyle w:val="3"/>
        <w:rPr>
          <w:rStyle w:val="24"/>
          <w:rFonts w:hint="eastAsia" w:ascii="仿宋" w:hAnsi="仿宋" w:eastAsia="仿宋"/>
          <w:b w:val="0"/>
          <w:bCs w:val="0"/>
          <w:sz w:val="32"/>
          <w:szCs w:val="32"/>
        </w:rPr>
      </w:pPr>
    </w:p>
    <w:p>
      <w:pPr>
        <w:pStyle w:val="3"/>
        <w:rPr>
          <w:rStyle w:val="24"/>
          <w:rFonts w:hint="eastAsia" w:ascii="仿宋" w:hAnsi="仿宋" w:eastAsia="仿宋"/>
          <w:b w:val="0"/>
          <w:bCs w:val="0"/>
          <w:sz w:val="32"/>
          <w:szCs w:val="32"/>
        </w:rPr>
      </w:pPr>
    </w:p>
    <w:p>
      <w:pPr>
        <w:pStyle w:val="3"/>
        <w:rPr>
          <w:rStyle w:val="24"/>
          <w:rFonts w:hint="eastAsia" w:ascii="仿宋" w:hAnsi="仿宋" w:eastAsia="仿宋"/>
          <w:b w:val="0"/>
          <w:bCs w:val="0"/>
          <w:sz w:val="32"/>
          <w:szCs w:val="32"/>
        </w:rPr>
      </w:pPr>
    </w:p>
    <w:p>
      <w:pPr>
        <w:rPr>
          <w:rStyle w:val="24"/>
          <w:rFonts w:hint="eastAsia" w:ascii="仿宋" w:hAnsi="仿宋" w:eastAsia="仿宋"/>
          <w:b w:val="0"/>
          <w:bCs w:val="0"/>
          <w:sz w:val="32"/>
          <w:szCs w:val="32"/>
        </w:rPr>
      </w:pPr>
    </w:p>
    <w:p>
      <w:pPr>
        <w:rPr>
          <w:rStyle w:val="24"/>
          <w:rFonts w:hint="eastAsia" w:ascii="仿宋" w:hAnsi="仿宋" w:eastAsia="仿宋"/>
          <w:b w:val="0"/>
          <w:bCs w:val="0"/>
          <w:sz w:val="32"/>
          <w:szCs w:val="32"/>
        </w:rPr>
      </w:pPr>
    </w:p>
    <w:bookmarkEnd w:id="60"/>
    <w:p>
      <w:pPr>
        <w:spacing w:line="600" w:lineRule="exact"/>
        <w:jc w:val="both"/>
        <w:outlineLvl w:val="0"/>
        <w:rPr>
          <w:rFonts w:hint="eastAsia" w:ascii="黑体" w:hAnsi="黑体" w:eastAsia="黑体"/>
          <w:color w:val="000000"/>
          <w:sz w:val="44"/>
          <w:szCs w:val="44"/>
        </w:rPr>
      </w:pPr>
      <w:bookmarkStart w:id="61" w:name="_Toc15396618"/>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7"/>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5"/>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14:textFill>
            <w14:solidFill>
              <w14:schemeClr w14:val="tx1"/>
            </w14:solidFill>
          </w14:textFill>
        </w:rPr>
      </w:pPr>
      <w:bookmarkStart w:id="73"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52684E"/>
    <w:multiLevelType w:val="singleLevel"/>
    <w:tmpl w:val="C252684E"/>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D5382B5"/>
    <w:multiLevelType w:val="singleLevel"/>
    <w:tmpl w:val="5D5382B5"/>
    <w:lvl w:ilvl="0" w:tentative="0">
      <w:start w:val="1"/>
      <w:numFmt w:val="chineseCounting"/>
      <w:suff w:val="nothing"/>
      <w:lvlText w:val="%1、"/>
      <w:lvlJc w:val="left"/>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4E11"/>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3127FB9"/>
    <w:rsid w:val="03EE6679"/>
    <w:rsid w:val="088F5114"/>
    <w:rsid w:val="0C852C16"/>
    <w:rsid w:val="0CBF32A8"/>
    <w:rsid w:val="0ED62A80"/>
    <w:rsid w:val="10C055FF"/>
    <w:rsid w:val="10E47887"/>
    <w:rsid w:val="10F529AD"/>
    <w:rsid w:val="11036F86"/>
    <w:rsid w:val="114707FB"/>
    <w:rsid w:val="138E6679"/>
    <w:rsid w:val="13CC625F"/>
    <w:rsid w:val="1699284D"/>
    <w:rsid w:val="16BB723D"/>
    <w:rsid w:val="16E871FF"/>
    <w:rsid w:val="180D1BD9"/>
    <w:rsid w:val="18D41F8E"/>
    <w:rsid w:val="1A321C08"/>
    <w:rsid w:val="1F1D3014"/>
    <w:rsid w:val="1F40039B"/>
    <w:rsid w:val="21DE111F"/>
    <w:rsid w:val="227634AF"/>
    <w:rsid w:val="229367EC"/>
    <w:rsid w:val="23F13CD1"/>
    <w:rsid w:val="240371BF"/>
    <w:rsid w:val="25B46BBD"/>
    <w:rsid w:val="29FD04D3"/>
    <w:rsid w:val="2A1159F3"/>
    <w:rsid w:val="2B201F47"/>
    <w:rsid w:val="2CC57D02"/>
    <w:rsid w:val="2D9E4E9D"/>
    <w:rsid w:val="2FD53718"/>
    <w:rsid w:val="319F7F4E"/>
    <w:rsid w:val="34890F4D"/>
    <w:rsid w:val="39B57BBF"/>
    <w:rsid w:val="39D875DD"/>
    <w:rsid w:val="3A791F6E"/>
    <w:rsid w:val="3CD94CEF"/>
    <w:rsid w:val="40FA05FA"/>
    <w:rsid w:val="453E098F"/>
    <w:rsid w:val="485D2FE2"/>
    <w:rsid w:val="4A2D21A4"/>
    <w:rsid w:val="4CED50D7"/>
    <w:rsid w:val="4DEE44BC"/>
    <w:rsid w:val="55B82314"/>
    <w:rsid w:val="56601C34"/>
    <w:rsid w:val="575404A6"/>
    <w:rsid w:val="5A0C50F4"/>
    <w:rsid w:val="5ABF6ECF"/>
    <w:rsid w:val="5BD679AE"/>
    <w:rsid w:val="5EE552DF"/>
    <w:rsid w:val="63C340D4"/>
    <w:rsid w:val="64E521CE"/>
    <w:rsid w:val="68574D27"/>
    <w:rsid w:val="69267EE5"/>
    <w:rsid w:val="6B6E46C8"/>
    <w:rsid w:val="6B7F3207"/>
    <w:rsid w:val="6F65520C"/>
    <w:rsid w:val="70D63314"/>
    <w:rsid w:val="71700BE7"/>
    <w:rsid w:val="75282356"/>
    <w:rsid w:val="766A51E3"/>
    <w:rsid w:val="76F37BDA"/>
    <w:rsid w:val="7734399A"/>
    <w:rsid w:val="7A7B5F94"/>
    <w:rsid w:val="7C1B5277"/>
    <w:rsid w:val="7DB146BC"/>
    <w:rsid w:val="7DDD71C0"/>
    <w:rsid w:val="7E68782F"/>
    <w:rsid w:val="7F570E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6">
    <w:name w:val="Header Char"/>
    <w:basedOn w:val="12"/>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2"/>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2"/>
    <w:link w:val="2"/>
    <w:qFormat/>
    <w:uiPriority w:val="9"/>
    <w:rPr>
      <w:rFonts w:ascii="Times New Roman" w:hAnsi="Times New Roman"/>
      <w:b/>
      <w:bCs/>
      <w:kern w:val="44"/>
      <w:sz w:val="44"/>
      <w:szCs w:val="44"/>
    </w:rPr>
  </w:style>
  <w:style w:type="character" w:customStyle="1" w:styleId="25">
    <w:name w:val="标题 2 Char"/>
    <w:basedOn w:val="12"/>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2"/>
    <w:link w:val="7"/>
    <w:semiHidden/>
    <w:qFormat/>
    <w:uiPriority w:val="99"/>
    <w:rPr>
      <w:rFonts w:ascii="Times New Roman" w:hAnsi="Times New Roman"/>
      <w:kern w:val="2"/>
      <w:sz w:val="18"/>
      <w:szCs w:val="18"/>
    </w:rPr>
  </w:style>
  <w:style w:type="character" w:customStyle="1" w:styleId="28">
    <w:name w:val="标题 3 Char"/>
    <w:basedOn w:val="12"/>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2017年</c:v>
                </c:pt>
                <c:pt idx="1">
                  <c:v>2018年</c:v>
                </c:pt>
              </c:strCache>
            </c:strRef>
          </c:cat>
          <c:val>
            <c:numRef>
              <c:f>Sheet1!$B$2:$B$5</c:f>
              <c:numCache>
                <c:formatCode>General</c:formatCode>
                <c:ptCount val="4"/>
                <c:pt idx="0">
                  <c:v>131.64</c:v>
                </c:pt>
                <c:pt idx="1">
                  <c:v>153.82</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2017年</c:v>
                </c:pt>
                <c:pt idx="1">
                  <c:v>2018年</c:v>
                </c:pt>
              </c:strCache>
            </c:strRef>
          </c:cat>
          <c:val>
            <c:numRef>
              <c:f>Sheet1!$C$2:$C$5</c:f>
              <c:numCache>
                <c:formatCode>General</c:formatCode>
                <c:ptCount val="4"/>
                <c:pt idx="0">
                  <c:v>140.17</c:v>
                </c:pt>
                <c:pt idx="1">
                  <c:v>204.26</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2017年</c:v>
                </c:pt>
                <c:pt idx="1">
                  <c:v>2018年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79"/>
        <c:overlap val="100"/>
        <c:axId val="271181252"/>
        <c:axId val="771745223"/>
      </c:barChart>
      <c:catAx>
        <c:axId val="271181252"/>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771745223"/>
        <c:crosses val="autoZero"/>
        <c:auto val="1"/>
        <c:lblAlgn val="ctr"/>
        <c:lblOffset val="100"/>
        <c:noMultiLvlLbl val="0"/>
      </c:catAx>
      <c:valAx>
        <c:axId val="771745223"/>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1181252"/>
        <c:crosses val="autoZero"/>
        <c:crossBetween val="between"/>
      </c:valAx>
      <c:spPr>
        <a:noFill/>
        <a:ln>
          <a:noFill/>
        </a:ln>
        <a:effectLst/>
      </c:spPr>
    </c:plotArea>
    <c:legend>
      <c:legendPos val="t"/>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一般公共预算财政拨款收入</c:v>
                </c:pt>
                <c:pt idx="1">
                  <c:v>其他收入</c:v>
                </c:pt>
              </c:strCache>
            </c:strRef>
          </c:cat>
          <c:val>
            <c:numRef>
              <c:f>Sheet1!$B$2:$B$3</c:f>
              <c:numCache>
                <c:formatCode>0%</c:formatCode>
                <c:ptCount val="2"/>
                <c:pt idx="0">
                  <c:v>0.99</c:v>
                </c:pt>
                <c:pt idx="1">
                  <c:v>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675"/>
          <c:y val="0.401480347115875"/>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0%</c:formatCode>
                <c:ptCount val="2"/>
                <c:pt idx="0">
                  <c:v>0.73</c:v>
                </c:pt>
                <c:pt idx="1">
                  <c:v>0.27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2017年</c:v>
                </c:pt>
                <c:pt idx="1">
                  <c:v>2018年</c:v>
                </c:pt>
              </c:strCache>
            </c:strRef>
          </c:cat>
          <c:val>
            <c:numRef>
              <c:f>Sheet1!$B$2:$B$3</c:f>
              <c:numCache>
                <c:formatCode>General</c:formatCode>
                <c:ptCount val="2"/>
                <c:pt idx="0">
                  <c:v>131.64</c:v>
                </c:pt>
                <c:pt idx="1">
                  <c:v>151.79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2017年</c:v>
                </c:pt>
                <c:pt idx="1">
                  <c:v>2018年</c:v>
                </c:pt>
              </c:strCache>
            </c:strRef>
          </c:cat>
          <c:val>
            <c:numRef>
              <c:f>Sheet1!$C$2:$C$3</c:f>
              <c:numCache>
                <c:formatCode>General</c:formatCode>
                <c:ptCount val="2"/>
                <c:pt idx="0">
                  <c:v>140.17</c:v>
                </c:pt>
                <c:pt idx="1">
                  <c:v>202.23</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2017年</c:v>
                </c:pt>
                <c:pt idx="1">
                  <c:v>2018年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79"/>
        <c:overlap val="100"/>
        <c:axId val="951704093"/>
        <c:axId val="272573871"/>
      </c:barChart>
      <c:catAx>
        <c:axId val="951704093"/>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272573871"/>
        <c:crosses val="autoZero"/>
        <c:auto val="1"/>
        <c:lblAlgn val="ctr"/>
        <c:lblOffset val="100"/>
        <c:noMultiLvlLbl val="0"/>
      </c:catAx>
      <c:valAx>
        <c:axId val="27257387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1704093"/>
        <c:crosses val="autoZero"/>
        <c:crossBetween val="between"/>
      </c:valAx>
      <c:spPr>
        <a:noFill/>
        <a:ln>
          <a:noFill/>
        </a:ln>
        <a:effectLst/>
      </c:spPr>
    </c:plotArea>
    <c:legend>
      <c:legendPos val="t"/>
      <c:legendEntry>
        <c:idx val="2"/>
        <c:delete val="1"/>
      </c:legendEntry>
      <c:layout>
        <c:manualLayout>
          <c:xMode val="edge"/>
          <c:yMode val="edge"/>
          <c:x val="0.361798497569598"/>
          <c:y val="0.03665648430991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Sheet1!$A$2:$A$7</c:f>
              <c:strCache>
                <c:ptCount val="6"/>
                <c:pt idx="0">
                  <c:v>一般公共服务支出</c:v>
                </c:pt>
                <c:pt idx="1">
                  <c:v>养老保险支出</c:v>
                </c:pt>
                <c:pt idx="2">
                  <c:v>职业年金</c:v>
                </c:pt>
                <c:pt idx="3">
                  <c:v>医疗保险支出</c:v>
                </c:pt>
                <c:pt idx="4">
                  <c:v>住房公积金</c:v>
                </c:pt>
                <c:pt idx="5">
                  <c:v>一般行政管理事务</c:v>
                </c:pt>
              </c:strCache>
            </c:strRef>
          </c:cat>
          <c:val>
            <c:numRef>
              <c:f>Sheet1!$B$2:$B$7</c:f>
              <c:numCache>
                <c:formatCode>General</c:formatCode>
                <c:ptCount val="6"/>
                <c:pt idx="0">
                  <c:v>112.64</c:v>
                </c:pt>
                <c:pt idx="1">
                  <c:v>14.05</c:v>
                </c:pt>
                <c:pt idx="2">
                  <c:v>5.62</c:v>
                </c:pt>
                <c:pt idx="3">
                  <c:v>5.58</c:v>
                </c:pt>
                <c:pt idx="4">
                  <c:v>8.91</c:v>
                </c:pt>
                <c:pt idx="5">
                  <c:v>55.44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13</TotalTime>
  <ScaleCrop>false</ScaleCrop>
  <LinksUpToDate>false</LinksUpToDate>
  <CharactersWithSpaces>9641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2019-08-16T07:54:04Z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