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A566A">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中共红原县委机构编制委员会办公室</w:t>
      </w:r>
    </w:p>
    <w:p w14:paraId="71535C8D">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76A7A943">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6F9E9AEE">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36CCFB3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4F0ED3BE">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73FEF621">
      <w:pPr>
        <w:pStyle w:val="9"/>
        <w:widowControl/>
        <w:autoSpaceDE w:val="0"/>
        <w:autoSpaceDN/>
        <w:spacing w:before="0" w:beforeAutospacing="0" w:line="576" w:lineRule="exact"/>
        <w:ind w:left="0" w:firstLine="640" w:firstLineChars="200"/>
        <w:rPr>
          <w:rFonts w:hint="eastAsia" w:ascii="仿宋_GB2312" w:hAnsi="仿宋_GB2312" w:eastAsia="仿宋_GB2312" w:cs="仿宋_GB2312"/>
          <w:sz w:val="32"/>
          <w:szCs w:val="32"/>
        </w:rPr>
      </w:pPr>
      <w:r>
        <w:rPr>
          <w:rStyle w:val="10"/>
          <w:rFonts w:hint="eastAsia" w:ascii="仿宋_GB2312" w:eastAsia="仿宋_GB2312" w:cs="仿宋_GB2312"/>
          <w:b w:val="0"/>
          <w:bCs/>
          <w:sz w:val="32"/>
          <w:szCs w:val="32"/>
          <w:shd w:val="clear" w:fill="FFFFFF"/>
          <w:lang w:eastAsia="zh-CN"/>
        </w:rPr>
        <w:t>主要负责全县人员编制、内设机构的实名制管理工作，及时对人员变动、机构更名、机构增减、编制增减进行登记管理。</w:t>
      </w:r>
    </w:p>
    <w:p w14:paraId="2CEAFBE9">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14:paraId="1D7183C6">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一是深化改革成果巩固提升。</w:t>
      </w:r>
      <w:r>
        <w:rPr>
          <w:rFonts w:hint="default" w:ascii="Times New Roman" w:hAnsi="Times New Roman" w:eastAsia="方正仿宋_GBK" w:cs="Times New Roman"/>
          <w:sz w:val="32"/>
          <w:szCs w:val="32"/>
        </w:rPr>
        <w:t>持续跟踪重点领域改革落实情况，及时发现并解决职能运行、权责衔接中的突出问题，进一步优化部门职能配置和运行机制，释放改革红利。</w:t>
      </w:r>
    </w:p>
    <w:p w14:paraId="39C5C76C">
      <w:pPr>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二是创新编制管理方式方法。</w:t>
      </w:r>
      <w:r>
        <w:rPr>
          <w:rFonts w:hint="default" w:ascii="Times New Roman" w:hAnsi="Times New Roman" w:eastAsia="方正仿宋_GBK" w:cs="Times New Roman"/>
          <w:sz w:val="32"/>
          <w:szCs w:val="32"/>
        </w:rPr>
        <w:t>探索建立“编制周转池”动态调整机制，统筹盘活编制资源，精准调配至急需领域，提高编制使用灵活性和效益，保障重点工作开展。</w:t>
      </w:r>
    </w:p>
    <w:p w14:paraId="4BC90918">
      <w:pPr>
        <w:ind w:firstLine="643" w:firstLineChars="20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rPr>
        <w:t>三是加强政策法规宣传教育。</w:t>
      </w:r>
      <w:r>
        <w:rPr>
          <w:rFonts w:hint="default" w:ascii="Times New Roman" w:hAnsi="Times New Roman" w:eastAsia="方正仿宋_GBK" w:cs="Times New Roman"/>
          <w:sz w:val="32"/>
          <w:szCs w:val="32"/>
        </w:rPr>
        <w:t>将机构编制政策法规纳入县级学法计划及各类干部培训内容，通过专题宣讲、案例解读等方式扩大宣传覆盖面，提升各级干部依法管编用编意识</w:t>
      </w:r>
      <w:r>
        <w:rPr>
          <w:rFonts w:hint="eastAsia" w:ascii="Times New Roman" w:hAnsi="Times New Roman" w:eastAsia="方正仿宋_GBK" w:cs="Times New Roman"/>
          <w:sz w:val="32"/>
          <w:szCs w:val="32"/>
          <w:lang w:eastAsia="zh-CN"/>
        </w:rPr>
        <w:t>。</w:t>
      </w:r>
    </w:p>
    <w:p w14:paraId="7017A3A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7D594859">
      <w:pPr>
        <w:pStyle w:val="6"/>
        <w:keepNext w:val="0"/>
        <w:keepLines w:val="0"/>
        <w:widowControl/>
        <w:suppressLineNumbers w:val="0"/>
        <w:ind w:firstLine="640" w:firstLineChars="200"/>
        <w:rPr>
          <w:rFonts w:hint="eastAsia" w:ascii="仿宋_GB2312" w:eastAsia="仿宋_GB2312" w:cs="仿宋_GB2312"/>
          <w:i w:val="0"/>
          <w:caps w:val="0"/>
          <w:color w:val="000000"/>
          <w:spacing w:val="0"/>
          <w:sz w:val="30"/>
          <w:szCs w:val="30"/>
        </w:rPr>
      </w:pPr>
      <w:r>
        <w:rPr>
          <w:rFonts w:hint="eastAsia" w:ascii="仿宋_GB2312" w:eastAsia="仿宋_GB2312" w:cs="仿宋_GB2312"/>
          <w:i w:val="0"/>
          <w:caps w:val="0"/>
          <w:color w:val="000000"/>
          <w:spacing w:val="0"/>
          <w:sz w:val="32"/>
          <w:szCs w:val="32"/>
          <w:lang w:eastAsia="zh-CN"/>
        </w:rPr>
        <w:t>本部门</w:t>
      </w:r>
      <w:r>
        <w:rPr>
          <w:rFonts w:hint="eastAsia" w:ascii="仿宋_GB2312" w:eastAsia="仿宋_GB2312" w:cs="仿宋_GB2312"/>
          <w:i w:val="0"/>
          <w:caps w:val="0"/>
          <w:color w:val="000000"/>
          <w:spacing w:val="0"/>
          <w:sz w:val="32"/>
          <w:szCs w:val="32"/>
        </w:rPr>
        <w:t>下设单位</w:t>
      </w:r>
      <w:r>
        <w:rPr>
          <w:rFonts w:hint="eastAsia" w:ascii="仿宋_GB2312" w:eastAsia="仿宋_GB2312" w:cs="仿宋_GB2312"/>
          <w:i w:val="0"/>
          <w:caps w:val="0"/>
          <w:color w:val="000000"/>
          <w:spacing w:val="0"/>
          <w:sz w:val="32"/>
          <w:szCs w:val="32"/>
          <w:lang w:val="en-US" w:eastAsia="zh-CN"/>
        </w:rPr>
        <w:t>2</w:t>
      </w:r>
      <w:r>
        <w:rPr>
          <w:rFonts w:hint="eastAsia" w:ascii="仿宋_GB2312" w:eastAsia="仿宋_GB2312" w:cs="仿宋_GB2312"/>
          <w:i w:val="0"/>
          <w:caps w:val="0"/>
          <w:color w:val="000000"/>
          <w:spacing w:val="0"/>
          <w:sz w:val="32"/>
          <w:szCs w:val="32"/>
        </w:rPr>
        <w:t>个，参照公务员法管理的事业单位</w:t>
      </w:r>
      <w:r>
        <w:rPr>
          <w:rFonts w:hint="eastAsia" w:ascii="仿宋_GB2312" w:eastAsia="仿宋_GB2312" w:cs="仿宋_GB2312"/>
          <w:i w:val="0"/>
          <w:caps w:val="0"/>
          <w:color w:val="000000"/>
          <w:spacing w:val="0"/>
          <w:sz w:val="32"/>
          <w:szCs w:val="32"/>
          <w:lang w:val="en-US" w:eastAsia="zh-CN"/>
        </w:rPr>
        <w:t>1</w:t>
      </w:r>
      <w:r>
        <w:rPr>
          <w:rFonts w:hint="eastAsia" w:ascii="仿宋_GB2312" w:eastAsia="仿宋_GB2312" w:cs="仿宋_GB2312"/>
          <w:i w:val="0"/>
          <w:caps w:val="0"/>
          <w:color w:val="000000"/>
          <w:spacing w:val="0"/>
          <w:sz w:val="32"/>
          <w:szCs w:val="32"/>
        </w:rPr>
        <w:t>个，其他事业单位</w:t>
      </w:r>
      <w:r>
        <w:rPr>
          <w:rFonts w:hint="eastAsia" w:ascii="仿宋_GB2312" w:eastAsia="仿宋_GB2312" w:cs="仿宋_GB2312"/>
          <w:i w:val="0"/>
          <w:caps w:val="0"/>
          <w:color w:val="000000"/>
          <w:spacing w:val="0"/>
          <w:sz w:val="32"/>
          <w:szCs w:val="32"/>
          <w:lang w:val="en-US" w:eastAsia="zh-CN"/>
        </w:rPr>
        <w:t>1</w:t>
      </w:r>
      <w:r>
        <w:rPr>
          <w:rFonts w:hint="eastAsia" w:ascii="仿宋_GB2312" w:eastAsia="仿宋_GB2312" w:cs="仿宋_GB2312"/>
          <w:i w:val="0"/>
          <w:caps w:val="0"/>
          <w:color w:val="000000"/>
          <w:spacing w:val="0"/>
          <w:sz w:val="32"/>
          <w:szCs w:val="32"/>
        </w:rPr>
        <w:t>个。分别是：</w:t>
      </w:r>
      <w:r>
        <w:rPr>
          <w:rFonts w:hint="eastAsia" w:ascii="仿宋_GB2312" w:eastAsia="仿宋_GB2312" w:cs="仿宋_GB2312"/>
          <w:i w:val="0"/>
          <w:caps w:val="0"/>
          <w:color w:val="000000"/>
          <w:spacing w:val="0"/>
          <w:sz w:val="32"/>
          <w:szCs w:val="32"/>
          <w:lang w:eastAsia="zh-CN"/>
        </w:rPr>
        <w:t>红原县事业单位登记服务中心（参公），红原县机构编制实名制中心（事业）</w:t>
      </w:r>
      <w:r>
        <w:rPr>
          <w:rFonts w:hint="eastAsia" w:ascii="仿宋_GB2312" w:eastAsia="仿宋_GB2312" w:cs="仿宋_GB2312"/>
          <w:i w:val="0"/>
          <w:caps w:val="0"/>
          <w:color w:val="000000"/>
          <w:spacing w:val="0"/>
          <w:sz w:val="32"/>
          <w:szCs w:val="32"/>
        </w:rPr>
        <w:t>。</w:t>
      </w:r>
    </w:p>
    <w:p w14:paraId="115FA70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4083045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bookmarkStart w:id="0" w:name="_GoBack"/>
      <w:bookmarkEnd w:id="0"/>
      <w:r>
        <w:rPr>
          <w:rFonts w:hint="eastAsia" w:ascii="仿宋_GB2312" w:eastAsia="仿宋_GB2312"/>
          <w:sz w:val="32"/>
          <w:szCs w:val="32"/>
          <w:lang w:eastAsia="zh-CN"/>
        </w:rPr>
        <w:t>年本单位</w:t>
      </w:r>
      <w:r>
        <w:rPr>
          <w:rFonts w:hint="eastAsia" w:ascii="仿宋_GB2312" w:eastAsia="仿宋_GB2312"/>
          <w:sz w:val="32"/>
          <w:szCs w:val="32"/>
        </w:rPr>
        <w:t>收入预算总额为</w:t>
      </w:r>
      <w:r>
        <w:rPr>
          <w:rFonts w:hint="eastAsia" w:ascii="仿宋_GB2312" w:eastAsia="仿宋_GB2312"/>
          <w:sz w:val="32"/>
          <w:szCs w:val="32"/>
          <w:lang w:val="en-US" w:eastAsia="zh-CN"/>
        </w:rPr>
        <w:t>413.04</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413.04</w:t>
      </w:r>
      <w:r>
        <w:rPr>
          <w:rFonts w:hint="eastAsia" w:ascii="仿宋_GB2312" w:eastAsia="仿宋_GB2312"/>
          <w:sz w:val="32"/>
          <w:szCs w:val="32"/>
        </w:rPr>
        <w:t>万元。相应安排支出预算</w:t>
      </w:r>
      <w:r>
        <w:rPr>
          <w:rFonts w:hint="eastAsia" w:ascii="仿宋_GB2312" w:eastAsia="仿宋_GB2312"/>
          <w:sz w:val="32"/>
          <w:szCs w:val="32"/>
          <w:lang w:val="en-US" w:eastAsia="zh-CN"/>
        </w:rPr>
        <w:t>413.04</w:t>
      </w:r>
      <w:r>
        <w:rPr>
          <w:rFonts w:hint="eastAsia" w:ascii="仿宋_GB2312" w:eastAsia="仿宋_GB2312"/>
          <w:sz w:val="32"/>
          <w:szCs w:val="32"/>
        </w:rPr>
        <w:t>万元，其中：一般公共服务</w:t>
      </w:r>
      <w:r>
        <w:rPr>
          <w:rFonts w:hint="eastAsia" w:ascii="仿宋_GB2312" w:eastAsia="仿宋_GB2312"/>
          <w:sz w:val="32"/>
          <w:szCs w:val="32"/>
          <w:lang w:val="en-US" w:eastAsia="zh-CN"/>
        </w:rPr>
        <w:t>304.92</w:t>
      </w:r>
      <w:r>
        <w:rPr>
          <w:rFonts w:hint="eastAsia" w:ascii="仿宋_GB2312" w:eastAsia="仿宋_GB2312"/>
          <w:sz w:val="32"/>
          <w:szCs w:val="32"/>
        </w:rPr>
        <w:t>万元，社会保障和就业</w:t>
      </w:r>
      <w:r>
        <w:rPr>
          <w:rFonts w:hint="eastAsia" w:ascii="仿宋_GB2312" w:eastAsia="仿宋_GB2312"/>
          <w:sz w:val="32"/>
          <w:szCs w:val="32"/>
          <w:lang w:val="en-US" w:eastAsia="zh-CN"/>
        </w:rPr>
        <w:t>56.29</w:t>
      </w:r>
      <w:r>
        <w:rPr>
          <w:rFonts w:hint="eastAsia" w:ascii="仿宋_GB2312" w:eastAsia="仿宋_GB2312"/>
          <w:sz w:val="32"/>
          <w:szCs w:val="32"/>
        </w:rPr>
        <w:t>万元，医疗卫生</w:t>
      </w:r>
      <w:r>
        <w:rPr>
          <w:rFonts w:hint="eastAsia" w:ascii="仿宋_GB2312" w:eastAsia="仿宋_GB2312"/>
          <w:sz w:val="32"/>
          <w:szCs w:val="32"/>
          <w:lang w:val="en-US" w:eastAsia="zh-CN"/>
        </w:rPr>
        <w:t>21.06</w:t>
      </w:r>
      <w:r>
        <w:rPr>
          <w:rFonts w:hint="eastAsia" w:ascii="仿宋_GB2312" w:eastAsia="仿宋_GB2312"/>
          <w:sz w:val="32"/>
          <w:szCs w:val="32"/>
        </w:rPr>
        <w:t>万元，住房保障支出</w:t>
      </w:r>
      <w:r>
        <w:rPr>
          <w:rFonts w:hint="eastAsia" w:ascii="仿宋_GB2312" w:eastAsia="仿宋_GB2312"/>
          <w:sz w:val="32"/>
          <w:szCs w:val="32"/>
          <w:lang w:val="en-US" w:eastAsia="zh-CN"/>
        </w:rPr>
        <w:t>30.77</w:t>
      </w:r>
      <w:r>
        <w:rPr>
          <w:rFonts w:hint="eastAsia" w:ascii="仿宋_GB2312" w:eastAsia="仿宋_GB2312"/>
          <w:sz w:val="32"/>
          <w:szCs w:val="32"/>
        </w:rPr>
        <w:t>万元。</w:t>
      </w:r>
    </w:p>
    <w:p w14:paraId="640D7D97">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6962A0A4">
      <w:pPr>
        <w:keepNext w:val="0"/>
        <w:keepLines w:val="0"/>
        <w:widowControl/>
        <w:suppressLineNumbers w:val="0"/>
        <w:wordWrap/>
        <w:bidi w:val="0"/>
        <w:spacing w:before="0" w:beforeAutospacing="0" w:after="0" w:afterAutospacing="0" w:line="560" w:lineRule="atLeast"/>
        <w:ind w:left="0" w:right="0" w:firstLine="0"/>
        <w:jc w:val="both"/>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hAnsi="Calibri" w:eastAsia="仿宋_GB2312" w:cs="仿宋_GB2312"/>
          <w:i w:val="0"/>
          <w:caps w:val="0"/>
          <w:color w:val="000000"/>
          <w:spacing w:val="0"/>
          <w:kern w:val="0"/>
          <w:sz w:val="32"/>
          <w:szCs w:val="32"/>
          <w:lang w:val="en-US" w:eastAsia="zh-CN" w:bidi="ar"/>
        </w:rPr>
        <w:t>本单位预算安排支出主要用于保障该部门机构正常运转、完成日常工作任务以及承担机构编制事业发展相关工作。 </w:t>
      </w:r>
    </w:p>
    <w:p w14:paraId="06395159">
      <w:pPr>
        <w:keepNext w:val="0"/>
        <w:keepLines w:val="0"/>
        <w:widowControl/>
        <w:suppressLineNumbers w:val="0"/>
        <w:wordWrap/>
        <w:bidi w:val="0"/>
        <w:spacing w:before="0" w:beforeAutospacing="0" w:after="0" w:afterAutospacing="0" w:line="560" w:lineRule="atLeast"/>
        <w:ind w:left="0" w:right="0" w:firstLine="640"/>
        <w:jc w:val="left"/>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408.04</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374.65万元，机关运行经费33.40万元，项目支出5.00万元。其中：</w:t>
      </w:r>
      <w:r>
        <w:rPr>
          <w:rFonts w:hint="eastAsia" w:ascii="仿宋_GB2312" w:hAnsi="Calibri" w:eastAsia="仿宋_GB2312" w:cs="仿宋_GB2312"/>
          <w:i w:val="0"/>
          <w:caps w:val="0"/>
          <w:color w:val="000000"/>
          <w:spacing w:val="0"/>
          <w:kern w:val="0"/>
          <w:sz w:val="32"/>
          <w:szCs w:val="32"/>
          <w:lang w:val="en-US" w:eastAsia="zh-CN" w:bidi="ar"/>
        </w:rPr>
        <w:t>办公费8.35万元，差旅费4.00万元，工会经费2.82万元，公务用车运行维护费2.62万元，印刷费0.80万元，水费1.00万元，电费2.5万元，公务接待费0.20万元，邮电费0.5万元，其他商品和服务支出10.61万元；事业单位登记、管理、督查等经费3.00万元，机关事业单位干部职工人员流动编卡变动2.00万元。</w:t>
      </w:r>
    </w:p>
    <w:p w14:paraId="7F66803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262D7B5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304.92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1722E42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56.29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594C948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21.06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553A463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30.77</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260889F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14:paraId="46E62CE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p>
    <w:p w14:paraId="25343E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05E6EF4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413.04万元较上年度预算402.30万元增加了2.67%，其中基本行政运行经费预算408.04万元，占全部总预算的98.79%，较上年397.30万元减少了2.70%，原因为人员增加；专项业务工作经费预算5.00万元，占总预算的1.24%，较上年预算5万元遇上年预算持平。</w:t>
      </w:r>
    </w:p>
    <w:p w14:paraId="7CDA2CB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752151A6">
      <w:pPr>
        <w:keepNext w:val="0"/>
        <w:keepLines w:val="0"/>
        <w:widowControl/>
        <w:suppressLineNumbers w:val="0"/>
        <w:wordWrap/>
        <w:bidi w:val="0"/>
        <w:spacing w:before="0" w:beforeAutospacing="0" w:after="0" w:afterAutospacing="0" w:line="560" w:lineRule="atLeast"/>
        <w:ind w:left="0" w:right="0" w:firstLine="640"/>
        <w:jc w:val="both"/>
        <w:rPr>
          <w:rFonts w:hint="default" w:ascii="仿宋_GB2312" w:hAnsi="Calibri" w:eastAsia="仿宋_GB2312" w:cs="仿宋_GB2312"/>
          <w:i w:val="0"/>
          <w:caps w:val="0"/>
          <w:color w:val="000000"/>
          <w:spacing w:val="0"/>
          <w:kern w:val="0"/>
          <w:sz w:val="32"/>
          <w:szCs w:val="32"/>
          <w:lang w:val="en-US" w:eastAsia="zh-CN" w:bidi="ar"/>
        </w:rPr>
      </w:pPr>
      <w:r>
        <w:rPr>
          <w:rFonts w:hint="default" w:ascii="仿宋_GB2312" w:hAnsi="Calibri" w:eastAsia="仿宋_GB2312" w:cs="仿宋_GB2312"/>
          <w:i w:val="0"/>
          <w:caps w:val="0"/>
          <w:color w:val="000000"/>
          <w:spacing w:val="0"/>
          <w:kern w:val="0"/>
          <w:sz w:val="32"/>
          <w:szCs w:val="32"/>
          <w:lang w:val="en-US" w:eastAsia="zh-CN" w:bidi="ar"/>
        </w:rPr>
        <w:t>本年度三公经费预算安排支出为2.82万元，其中：出国费0万元，与上年持平，主要原因为未安排因公出国；公车购置费0元，与上年持平；公务用车维护费支出2.62万元，较上年度预算2.62万元持平；二是将有关股室的工作有机地结合起来，减少不必要的资源浪费。公务接待费0.2万元，与上年持平，本年度我们将严格执行“八项规定、六项禁令”，结合本年度工作需要，减少不必要的开支。</w:t>
      </w:r>
    </w:p>
    <w:p w14:paraId="23EC33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30A6530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hAnsi="Calibri" w:eastAsia="仿宋_GB2312" w:cs="仿宋_GB2312"/>
          <w:i w:val="0"/>
          <w:caps w:val="0"/>
          <w:color w:val="000000"/>
          <w:spacing w:val="0"/>
          <w:kern w:val="0"/>
          <w:sz w:val="32"/>
          <w:szCs w:val="32"/>
          <w:lang w:val="en-US" w:eastAsia="zh-CN" w:bidi="ar"/>
        </w:rPr>
        <w:t>2026年没有使用政府性基金预算拨款安排的支出</w:t>
      </w:r>
      <w:r>
        <w:rPr>
          <w:rFonts w:hint="eastAsia" w:ascii="仿宋_GB2312" w:eastAsia="仿宋_GB2312"/>
          <w:sz w:val="32"/>
          <w:szCs w:val="32"/>
        </w:rPr>
        <w:t>。</w:t>
      </w:r>
    </w:p>
    <w:p w14:paraId="6CFC73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2A6E869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hAnsi="Calibri" w:eastAsia="仿宋_GB2312" w:cs="仿宋_GB2312"/>
          <w:i w:val="0"/>
          <w:caps w:val="0"/>
          <w:color w:val="000000"/>
          <w:spacing w:val="0"/>
          <w:kern w:val="0"/>
          <w:sz w:val="32"/>
          <w:szCs w:val="32"/>
          <w:lang w:val="en-US" w:eastAsia="zh-CN" w:bidi="ar"/>
        </w:rPr>
        <w:t>2026年没有使用国有资本经营预算拨款安排的支出</w:t>
      </w:r>
      <w:r>
        <w:rPr>
          <w:rFonts w:hint="eastAsia" w:ascii="仿宋_GB2312" w:eastAsia="仿宋_GB2312"/>
          <w:sz w:val="32"/>
          <w:szCs w:val="32"/>
          <w:lang w:val="en-US" w:eastAsia="zh-CN"/>
        </w:rPr>
        <w:t>。</w:t>
      </w:r>
    </w:p>
    <w:p w14:paraId="0C39FF1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6DD1ED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02AB996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14:paraId="42545C8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21982ED2">
      <w:pPr>
        <w:keepNext w:val="0"/>
        <w:keepLines w:val="0"/>
        <w:widowControl/>
        <w:suppressLineNumbers w:val="0"/>
        <w:wordWrap/>
        <w:bidi w:val="0"/>
        <w:spacing w:before="0" w:beforeAutospacing="0" w:after="0" w:afterAutospacing="0" w:line="560" w:lineRule="atLeast"/>
        <w:ind w:left="0" w:right="0" w:firstLine="640"/>
        <w:jc w:val="both"/>
        <w:rPr>
          <w:rFonts w:hint="default" w:ascii="仿宋_GB2312" w:hAnsi="Calibri" w:eastAsia="仿宋_GB2312" w:cs="仿宋_GB2312"/>
          <w:i w:val="0"/>
          <w:caps w:val="0"/>
          <w:color w:val="000000"/>
          <w:spacing w:val="0"/>
          <w:kern w:val="0"/>
          <w:sz w:val="32"/>
          <w:szCs w:val="32"/>
          <w:lang w:val="en-US" w:eastAsia="zh-CN" w:bidi="ar"/>
        </w:rPr>
      </w:pPr>
      <w:r>
        <w:rPr>
          <w:rFonts w:hint="default" w:ascii="仿宋_GB2312" w:hAnsi="Calibri" w:eastAsia="仿宋_GB2312" w:cs="仿宋_GB2312"/>
          <w:i w:val="0"/>
          <w:caps w:val="0"/>
          <w:color w:val="000000"/>
          <w:spacing w:val="0"/>
          <w:kern w:val="0"/>
          <w:sz w:val="32"/>
          <w:szCs w:val="32"/>
          <w:lang w:val="en-US" w:eastAsia="zh-CN" w:bidi="ar"/>
        </w:rPr>
        <w:t>截止202</w:t>
      </w:r>
      <w:r>
        <w:rPr>
          <w:rFonts w:hint="eastAsia" w:ascii="仿宋_GB2312" w:hAnsi="Calibri" w:eastAsia="仿宋_GB2312" w:cs="仿宋_GB2312"/>
          <w:i w:val="0"/>
          <w:caps w:val="0"/>
          <w:color w:val="000000"/>
          <w:spacing w:val="0"/>
          <w:kern w:val="0"/>
          <w:sz w:val="32"/>
          <w:szCs w:val="32"/>
          <w:lang w:val="en-US" w:eastAsia="zh-CN" w:bidi="ar"/>
        </w:rPr>
        <w:t>5</w:t>
      </w:r>
      <w:r>
        <w:rPr>
          <w:rFonts w:hint="default" w:ascii="仿宋_GB2312" w:hAnsi="Calibri" w:eastAsia="仿宋_GB2312" w:cs="仿宋_GB2312"/>
          <w:i w:val="0"/>
          <w:caps w:val="0"/>
          <w:color w:val="000000"/>
          <w:spacing w:val="0"/>
          <w:kern w:val="0"/>
          <w:sz w:val="32"/>
          <w:szCs w:val="32"/>
          <w:lang w:val="en-US" w:eastAsia="zh-CN" w:bidi="ar"/>
        </w:rPr>
        <w:t>年底，实际共有固定资产</w:t>
      </w:r>
      <w:r>
        <w:rPr>
          <w:rFonts w:hint="eastAsia" w:ascii="仿宋_GB2312" w:hAnsi="Calibri" w:eastAsia="仿宋_GB2312" w:cs="仿宋_GB2312"/>
          <w:i w:val="0"/>
          <w:caps w:val="0"/>
          <w:color w:val="000000"/>
          <w:spacing w:val="0"/>
          <w:kern w:val="0"/>
          <w:sz w:val="32"/>
          <w:szCs w:val="32"/>
          <w:lang w:val="en-US" w:eastAsia="zh-CN" w:bidi="ar"/>
        </w:rPr>
        <w:t>原</w:t>
      </w:r>
      <w:r>
        <w:rPr>
          <w:rFonts w:hint="default" w:ascii="仿宋_GB2312" w:hAnsi="Calibri" w:eastAsia="仿宋_GB2312" w:cs="仿宋_GB2312"/>
          <w:i w:val="0"/>
          <w:caps w:val="0"/>
          <w:color w:val="000000"/>
          <w:spacing w:val="0"/>
          <w:kern w:val="0"/>
          <w:sz w:val="32"/>
          <w:szCs w:val="32"/>
          <w:lang w:val="en-US" w:eastAsia="zh-CN" w:bidi="ar"/>
        </w:rPr>
        <w:t>值</w:t>
      </w:r>
      <w:r>
        <w:rPr>
          <w:rFonts w:hint="eastAsia" w:ascii="仿宋_GB2312" w:hAnsi="Calibri" w:eastAsia="仿宋_GB2312" w:cs="仿宋_GB2312"/>
          <w:i w:val="0"/>
          <w:caps w:val="0"/>
          <w:color w:val="000000"/>
          <w:spacing w:val="0"/>
          <w:kern w:val="0"/>
          <w:sz w:val="32"/>
          <w:szCs w:val="32"/>
          <w:lang w:val="en-US" w:eastAsia="zh-CN" w:bidi="ar"/>
        </w:rPr>
        <w:t>29.35</w:t>
      </w:r>
      <w:r>
        <w:rPr>
          <w:rFonts w:hint="default" w:ascii="仿宋_GB2312" w:hAnsi="Calibri" w:eastAsia="仿宋_GB2312" w:cs="仿宋_GB2312"/>
          <w:i w:val="0"/>
          <w:caps w:val="0"/>
          <w:color w:val="000000"/>
          <w:spacing w:val="0"/>
          <w:kern w:val="0"/>
          <w:sz w:val="32"/>
          <w:szCs w:val="32"/>
          <w:lang w:val="en-US" w:eastAsia="zh-CN" w:bidi="ar"/>
        </w:rPr>
        <w:t>万元：其中：公务用车6.68万元；电脑及其他办公设备</w:t>
      </w:r>
      <w:r>
        <w:rPr>
          <w:rFonts w:hint="eastAsia" w:ascii="仿宋_GB2312" w:hAnsi="Calibri" w:eastAsia="仿宋_GB2312" w:cs="仿宋_GB2312"/>
          <w:i w:val="0"/>
          <w:caps w:val="0"/>
          <w:color w:val="000000"/>
          <w:spacing w:val="0"/>
          <w:kern w:val="0"/>
          <w:sz w:val="32"/>
          <w:szCs w:val="32"/>
          <w:lang w:val="en-US" w:eastAsia="zh-CN" w:bidi="ar"/>
        </w:rPr>
        <w:t>22.67</w:t>
      </w:r>
      <w:r>
        <w:rPr>
          <w:rFonts w:hint="default" w:ascii="仿宋_GB2312" w:hAnsi="Calibri" w:eastAsia="仿宋_GB2312" w:cs="仿宋_GB2312"/>
          <w:i w:val="0"/>
          <w:caps w:val="0"/>
          <w:color w:val="000000"/>
          <w:spacing w:val="0"/>
          <w:kern w:val="0"/>
          <w:sz w:val="32"/>
          <w:szCs w:val="32"/>
          <w:lang w:val="en-US" w:eastAsia="zh-CN" w:bidi="ar"/>
        </w:rPr>
        <w:t>万元。</w:t>
      </w:r>
    </w:p>
    <w:p w14:paraId="0A5353A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3943AA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14:paraId="7DF70137">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70EC902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440EAF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1AE0E97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3B8B662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32A4E74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4C5D318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0720D93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18DF33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2C19216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035E550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3FD798D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1EAF3C1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1065354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300377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03D8A6D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14:paraId="0B6932C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D7037FD"/>
    <w:rsid w:val="153002F5"/>
    <w:rsid w:val="194B2BBE"/>
    <w:rsid w:val="19C1402F"/>
    <w:rsid w:val="1B850E0D"/>
    <w:rsid w:val="1D9E0CBF"/>
    <w:rsid w:val="1FBF3AA9"/>
    <w:rsid w:val="21D46671"/>
    <w:rsid w:val="24D7626E"/>
    <w:rsid w:val="2DCC64A9"/>
    <w:rsid w:val="2E55003F"/>
    <w:rsid w:val="33272C00"/>
    <w:rsid w:val="39094892"/>
    <w:rsid w:val="3B0A5326"/>
    <w:rsid w:val="3F5BE4A1"/>
    <w:rsid w:val="3F9BFE9C"/>
    <w:rsid w:val="4EFB199F"/>
    <w:rsid w:val="59CF4EA6"/>
    <w:rsid w:val="5F78432A"/>
    <w:rsid w:val="61FB5F19"/>
    <w:rsid w:val="62D33F71"/>
    <w:rsid w:val="630F6E3C"/>
    <w:rsid w:val="6FB68CAC"/>
    <w:rsid w:val="6FFA9E76"/>
    <w:rsid w:val="7B6F3C18"/>
    <w:rsid w:val="7EFFDB49"/>
    <w:rsid w:val="7FBF8473"/>
    <w:rsid w:val="B3A76F6A"/>
    <w:rsid w:val="BEADEBCA"/>
    <w:rsid w:val="BFFD8E11"/>
    <w:rsid w:val="DEEEA3A1"/>
    <w:rsid w:val="EAD6AC91"/>
    <w:rsid w:val="EFFF4212"/>
    <w:rsid w:val="F2F7FD1B"/>
    <w:rsid w:val="F57FCBBB"/>
    <w:rsid w:val="FEFD9768"/>
    <w:rsid w:val="FF7EA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Body Text Indent"/>
    <w:basedOn w:val="1"/>
    <w:next w:val="4"/>
    <w:qFormat/>
    <w:uiPriority w:val="0"/>
    <w:pPr>
      <w:spacing w:line="560" w:lineRule="atLeast"/>
      <w:ind w:firstLine="640" w:firstLineChars="200"/>
    </w:pPr>
    <w:rPr>
      <w:rFonts w:ascii="仿宋_GB2312" w:eastAsia="仿宋_GB2312"/>
      <w:sz w:val="32"/>
    </w:rPr>
  </w:style>
  <w:style w:type="paragraph" w:styleId="4">
    <w:name w:val="Body Text First Indent 2"/>
    <w:basedOn w:val="3"/>
    <w:qFormat/>
    <w:uiPriority w:val="0"/>
    <w:pPr>
      <w:ind w:firstLine="420"/>
    </w:pPr>
  </w:style>
  <w:style w:type="paragraph" w:styleId="5">
    <w:name w:val="table of figures"/>
    <w:basedOn w:val="1"/>
    <w:next w:val="1"/>
    <w:unhideWhenUsed/>
    <w:qFormat/>
    <w:uiPriority w:val="99"/>
    <w:pPr>
      <w:ind w:leftChars="200" w:hanging="200" w:hanging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普通(网站) Char"/>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0">
    <w:name w:val="15"/>
    <w:basedOn w:val="8"/>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2025-05-28T13:07:00Z</dcterms:created>
  <dc:creator>投资股-李仕昂</dc:creator>
  <cp:lastModifiedBy>user</cp:lastModifiedBy>
  <dcterms:modified xsi:type="dcterms:W3CDTF">2026-02-06T16:10:30Z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5D2F04EA08ABBD94909C856941BBCD2E_43</vt:lpwstr>
  </property>
</Properties>
</file>