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中共红原县委机构编制委员会办公室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9"/>
        <w:widowControl/>
        <w:autoSpaceDE w:val="0"/>
        <w:autoSpaceDN/>
        <w:spacing w:before="0" w:beforeAutospacing="0" w:line="576" w:lineRule="exact"/>
        <w:ind w:left="0" w:firstLine="640" w:firstLineChars="200"/>
        <w:rPr>
          <w:rFonts w:hint="eastAsia" w:ascii="仿宋_GB2312" w:hAnsi="仿宋_GB2312" w:eastAsia="仿宋_GB2312" w:cs="仿宋_GB2312"/>
          <w:sz w:val="32"/>
          <w:szCs w:val="32"/>
        </w:rPr>
      </w:pPr>
      <w:r>
        <w:rPr>
          <w:rStyle w:val="10"/>
          <w:rFonts w:hint="eastAsia" w:ascii="仿宋_GB2312" w:eastAsia="仿宋_GB2312" w:cs="仿宋_GB2312"/>
          <w:b w:val="0"/>
          <w:bCs/>
          <w:sz w:val="32"/>
          <w:szCs w:val="32"/>
          <w:shd w:val="clear" w:fill="FFFFFF"/>
          <w:lang w:eastAsia="zh-CN"/>
        </w:rPr>
        <w:t>主要负责全县人员编制、内设机构的实名制管理工作，及时对人员变动、机构更名、机构增减、编制增减进行登记管理。</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spacing w:before="0" w:beforeAutospacing="0" w:after="0" w:afterAutospacing="0" w:line="540" w:lineRule="exact"/>
        <w:ind w:left="0" w:leftChars="0" w:right="0" w:rightChars="0" w:firstLine="643" w:firstLineChars="200"/>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1、强化政治引领，筑牢思想根基。</w:t>
      </w:r>
      <w:r>
        <w:rPr>
          <w:rFonts w:hint="eastAsia" w:ascii="仿宋_GB2312" w:hAnsi="仿宋_GB2312" w:eastAsia="仿宋_GB2312" w:cs="仿宋_GB2312"/>
          <w:color w:val="000000"/>
          <w:kern w:val="2"/>
          <w:sz w:val="32"/>
          <w:szCs w:val="32"/>
          <w:lang w:val="en-US" w:eastAsia="zh-CN" w:bidi="ar-SA"/>
        </w:rPr>
        <w:t>时刻把讲政治放在首位，围绕中心大局，强化履职尽责，以实际行动争做政治强、业务精、作风优的新时代机构编制干部。认真学习习近平总书记系列重要讲话和指示批示精神，把对党忠诚作为做好机构编制工作的首要政治原则、首要政治本色、首要政治品格，做到政治上绝对可靠、对党绝对忠诚，不断提高政治判断力、政治领悟力、政治执行力。</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textAlignment w:val="baseline"/>
        <w:outlineLvl w:val="9"/>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2、优化资源配置，服务中心大局。</w:t>
      </w:r>
      <w:r>
        <w:rPr>
          <w:rFonts w:hint="eastAsia" w:ascii="仿宋_GB2312" w:hAnsi="仿宋_GB2312" w:eastAsia="仿宋_GB2312" w:cs="仿宋_GB2312"/>
          <w:color w:val="000000"/>
          <w:kern w:val="2"/>
          <w:sz w:val="32"/>
          <w:szCs w:val="32"/>
          <w:lang w:val="en-US" w:eastAsia="zh-CN" w:bidi="ar-SA"/>
        </w:rPr>
        <w:t>紧扣县委奋力建设高原牧区高质量发展红原典范“169”工作目标，以服务全局为核心统筹资源，坚持把机构编制管理寓于服务之中，自觉围绕中心、服务大局、主动跟进、超前谋划，推动编制资源向重点工作倾斜，以创新挖潜为关键盘活资源，不断创新编制使用方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val="0"/>
        <w:spacing w:beforeAutospacing="0" w:afterAutospacing="0" w:line="540" w:lineRule="exact"/>
        <w:ind w:left="0" w:leftChars="0" w:right="0" w:rightChars="0" w:firstLine="643" w:firstLineChars="200"/>
        <w:jc w:val="left"/>
        <w:textAlignment w:val="top"/>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3、强化监督检查，推进法制化建设。</w:t>
      </w:r>
      <w:r>
        <w:rPr>
          <w:rFonts w:hint="eastAsia" w:ascii="仿宋_GB2312" w:hAnsi="仿宋_GB2312" w:eastAsia="仿宋_GB2312" w:cs="仿宋_GB2312"/>
          <w:color w:val="000000"/>
          <w:kern w:val="2"/>
          <w:sz w:val="32"/>
          <w:szCs w:val="32"/>
          <w:lang w:val="en-US" w:eastAsia="zh-CN" w:bidi="ar-SA"/>
        </w:rPr>
        <w:t>以宣传教育为先导，加强机构编制政策法规宣传工作，坚持将机构编制政策法规知识纳入县委编委会学习内容，切实增强机构编制意识和依法行政意识，建立健全机构编制“常态检查”制度，创新监督检查方式方法，严肃查处违规违纪行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textAlignment w:val="baseline"/>
        <w:outlineLvl w:val="9"/>
        <w:rPr>
          <w:rFonts w:hint="default"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sz w:val="32"/>
          <w:szCs w:val="32"/>
          <w:lang w:val="en-US" w:eastAsia="zh-CN"/>
        </w:rPr>
        <w:t>4、聚焦阶段要求，推进重点工作任务。</w:t>
      </w:r>
      <w:r>
        <w:rPr>
          <w:rFonts w:hint="eastAsia" w:ascii="仿宋_GB2312" w:hAnsi="仿宋_GB2312" w:eastAsia="仿宋_GB2312" w:cs="仿宋_GB2312"/>
          <w:color w:val="000000"/>
          <w:kern w:val="2"/>
          <w:sz w:val="32"/>
          <w:szCs w:val="32"/>
          <w:lang w:val="en-US" w:eastAsia="zh-CN" w:bidi="ar-SA"/>
        </w:rPr>
        <w:t>认真领会省州要求，严格执行机构编制相关规定，平稳有序推进公安机构改革工作；坚持因地制宜、精准施策，准确把握“三上三下”等环节，科学编制“三张清单”，稳妥有序推进乡镇建立履职事项清单工作；加强卫生健康人才队伍建设，积极推进紧密型县域医共体建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rPr>
          <w:rFonts w:hint="default" w:ascii="Times New Roman" w:hAnsi="Times New Roman" w:cs="Times New Roman"/>
          <w:lang w:val="en-US" w:eastAsia="zh-CN"/>
        </w:rPr>
      </w:pPr>
      <w:r>
        <w:rPr>
          <w:rFonts w:hint="eastAsia" w:ascii="楷体_GB2312" w:hAnsi="楷体_GB2312" w:eastAsia="楷体_GB2312" w:cs="楷体_GB2312"/>
          <w:b/>
          <w:bCs/>
          <w:sz w:val="32"/>
          <w:szCs w:val="32"/>
          <w:lang w:val="en-US" w:eastAsia="zh-CN"/>
        </w:rPr>
        <w:t>5、加强自身建设，锻造过硬队伍。</w:t>
      </w:r>
      <w:r>
        <w:rPr>
          <w:rFonts w:hint="default" w:ascii="仿宋_GB2312" w:hAnsi="仿宋_GB2312" w:eastAsia="仿宋_GB2312" w:cs="仿宋_GB2312"/>
          <w:color w:val="000000"/>
          <w:kern w:val="2"/>
          <w:sz w:val="32"/>
          <w:szCs w:val="32"/>
          <w:lang w:val="en-US" w:eastAsia="zh-CN" w:bidi="ar-SA"/>
        </w:rPr>
        <w:t>建立</w:t>
      </w:r>
      <w:r>
        <w:rPr>
          <w:rFonts w:hint="eastAsia" w:ascii="仿宋_GB2312" w:hAnsi="仿宋_GB2312" w:eastAsia="仿宋_GB2312" w:cs="仿宋_GB2312"/>
          <w:color w:val="000000"/>
          <w:kern w:val="2"/>
          <w:sz w:val="32"/>
          <w:szCs w:val="32"/>
          <w:lang w:val="en-US" w:eastAsia="zh-CN" w:bidi="ar-SA"/>
        </w:rPr>
        <w:t>办</w:t>
      </w:r>
      <w:r>
        <w:rPr>
          <w:rFonts w:hint="default" w:ascii="仿宋_GB2312" w:hAnsi="仿宋_GB2312" w:eastAsia="仿宋_GB2312" w:cs="仿宋_GB2312"/>
          <w:color w:val="000000"/>
          <w:kern w:val="2"/>
          <w:sz w:val="32"/>
          <w:szCs w:val="32"/>
          <w:lang w:val="en-US" w:eastAsia="zh-CN" w:bidi="ar-SA"/>
        </w:rPr>
        <w:t>机关学习制度，坚持</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五个一</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常态化学习</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办好</w:t>
      </w:r>
      <w:r>
        <w:rPr>
          <w:rFonts w:hint="eastAsia" w:ascii="仿宋_GB2312" w:hAnsi="仿宋_GB2312" w:eastAsia="仿宋_GB2312" w:cs="仿宋_GB2312"/>
          <w:color w:val="000000"/>
          <w:kern w:val="2"/>
          <w:sz w:val="32"/>
          <w:szCs w:val="32"/>
          <w:lang w:val="en-US" w:eastAsia="zh-CN" w:bidi="ar-SA"/>
        </w:rPr>
        <w:t>办实“编办微课堂”</w:t>
      </w:r>
      <w:r>
        <w:rPr>
          <w:rFonts w:hint="default"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color w:val="000000"/>
          <w:kern w:val="2"/>
          <w:sz w:val="32"/>
          <w:szCs w:val="32"/>
          <w:lang w:val="en-US" w:eastAsia="zh-CN" w:bidi="ar-SA"/>
        </w:rPr>
        <w:t>为干部搭建充电提能平台；</w:t>
      </w:r>
      <w:r>
        <w:rPr>
          <w:rFonts w:hint="default" w:ascii="仿宋_GB2312" w:hAnsi="仿宋_GB2312" w:eastAsia="仿宋_GB2312" w:cs="仿宋_GB2312"/>
          <w:color w:val="000000"/>
          <w:kern w:val="2"/>
          <w:sz w:val="32"/>
          <w:szCs w:val="32"/>
          <w:lang w:val="en-US" w:eastAsia="zh-CN" w:bidi="ar-SA"/>
        </w:rPr>
        <w:t>对股（室）以下干部进行</w:t>
      </w:r>
      <w:r>
        <w:rPr>
          <w:rFonts w:hint="eastAsia" w:ascii="仿宋_GB2312" w:hAnsi="仿宋_GB2312" w:eastAsia="仿宋_GB2312" w:cs="仿宋_GB2312"/>
          <w:color w:val="000000"/>
          <w:kern w:val="2"/>
          <w:sz w:val="32"/>
          <w:szCs w:val="32"/>
          <w:lang w:val="en-US" w:eastAsia="zh-CN" w:bidi="ar-SA"/>
        </w:rPr>
        <w:t>适当</w:t>
      </w:r>
      <w:r>
        <w:rPr>
          <w:rFonts w:hint="default" w:ascii="仿宋_GB2312" w:hAnsi="仿宋_GB2312" w:eastAsia="仿宋_GB2312" w:cs="仿宋_GB2312"/>
          <w:color w:val="000000"/>
          <w:kern w:val="2"/>
          <w:sz w:val="32"/>
          <w:szCs w:val="32"/>
          <w:lang w:val="en-US" w:eastAsia="zh-CN" w:bidi="ar-SA"/>
        </w:rPr>
        <w:t>轮岗交流</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全面梳理组织工作政策文件，</w:t>
      </w:r>
      <w:r>
        <w:rPr>
          <w:rFonts w:hint="eastAsia" w:ascii="仿宋_GB2312" w:hAnsi="仿宋_GB2312" w:eastAsia="仿宋_GB2312" w:cs="仿宋_GB2312"/>
          <w:color w:val="000000"/>
          <w:kern w:val="2"/>
          <w:sz w:val="32"/>
          <w:szCs w:val="32"/>
          <w:lang w:val="en-US" w:eastAsia="zh-CN" w:bidi="ar-SA"/>
        </w:rPr>
        <w:t>不断</w:t>
      </w:r>
      <w:r>
        <w:rPr>
          <w:rFonts w:hint="default" w:ascii="仿宋_GB2312" w:hAnsi="仿宋_GB2312" w:eastAsia="仿宋_GB2312" w:cs="仿宋_GB2312"/>
          <w:color w:val="000000"/>
          <w:kern w:val="2"/>
          <w:sz w:val="32"/>
          <w:szCs w:val="32"/>
          <w:lang w:val="en-US" w:eastAsia="zh-CN" w:bidi="ar-SA"/>
        </w:rPr>
        <w:t>规范工作流程</w:t>
      </w:r>
      <w:r>
        <w:rPr>
          <w:rFonts w:hint="eastAsia" w:ascii="仿宋_GB2312" w:hAnsi="仿宋_GB2312" w:eastAsia="仿宋_GB2312" w:cs="仿宋_GB2312"/>
          <w:color w:val="000000"/>
          <w:kern w:val="2"/>
          <w:sz w:val="32"/>
          <w:szCs w:val="32"/>
          <w:lang w:val="en-US" w:eastAsia="zh-CN" w:bidi="ar-SA"/>
        </w:rPr>
        <w:t>；加强作风建设，</w:t>
      </w:r>
      <w:r>
        <w:rPr>
          <w:rFonts w:hint="default" w:ascii="仿宋_GB2312" w:hAnsi="仿宋_GB2312" w:eastAsia="仿宋_GB2312" w:cs="仿宋_GB2312"/>
          <w:color w:val="000000"/>
          <w:kern w:val="2"/>
          <w:sz w:val="32"/>
          <w:szCs w:val="32"/>
          <w:lang w:val="en-US" w:eastAsia="zh-CN" w:bidi="ar-SA"/>
        </w:rPr>
        <w:t>抓实干部精细化管理</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加强</w:t>
      </w:r>
      <w:r>
        <w:rPr>
          <w:rFonts w:hint="eastAsia" w:ascii="仿宋_GB2312" w:hAnsi="仿宋_GB2312" w:eastAsia="仿宋_GB2312" w:cs="仿宋_GB2312"/>
          <w:color w:val="000000"/>
          <w:kern w:val="2"/>
          <w:sz w:val="32"/>
          <w:szCs w:val="32"/>
          <w:lang w:val="en-US" w:eastAsia="zh-CN" w:bidi="ar-SA"/>
        </w:rPr>
        <w:t>办</w:t>
      </w:r>
      <w:r>
        <w:rPr>
          <w:rFonts w:hint="default" w:ascii="仿宋_GB2312" w:hAnsi="仿宋_GB2312" w:eastAsia="仿宋_GB2312" w:cs="仿宋_GB2312"/>
          <w:color w:val="000000"/>
          <w:kern w:val="2"/>
          <w:sz w:val="32"/>
          <w:szCs w:val="32"/>
          <w:lang w:val="en-US" w:eastAsia="zh-CN" w:bidi="ar-SA"/>
        </w:rPr>
        <w:t>机关支部建设，严肃党内政治生活，定期开展红色教育和思想政治体检</w:t>
      </w:r>
      <w:r>
        <w:rPr>
          <w:rFonts w:hint="eastAsia" w:ascii="仿宋_GB2312" w:hAnsi="仿宋_GB2312" w:eastAsia="仿宋_GB2312" w:cs="仿宋_GB2312"/>
          <w:color w:val="000000"/>
          <w:kern w:val="2"/>
          <w:sz w:val="32"/>
          <w:szCs w:val="32"/>
          <w:lang w:val="en-US" w:eastAsia="zh-CN" w:bidi="ar-SA"/>
        </w:rPr>
        <w:t>；建立</w:t>
      </w:r>
      <w:r>
        <w:rPr>
          <w:rFonts w:hint="default" w:ascii="仿宋_GB2312" w:hAnsi="仿宋_GB2312" w:eastAsia="仿宋_GB2312" w:cs="仿宋_GB2312"/>
          <w:color w:val="000000"/>
          <w:kern w:val="2"/>
          <w:sz w:val="32"/>
          <w:szCs w:val="32"/>
          <w:lang w:val="en-US" w:eastAsia="zh-CN" w:bidi="ar-SA"/>
        </w:rPr>
        <w:t>年度重点工作</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项目化</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管理，明确股室时间进度和责任人，实行</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月小结、季度考核、半年总结、年终考评</w:t>
      </w:r>
      <w:r>
        <w:rPr>
          <w:rFonts w:hint="eastAsia" w:ascii="仿宋_GB2312" w:hAnsi="仿宋_GB2312" w:eastAsia="仿宋_GB2312" w:cs="仿宋_GB2312"/>
          <w:color w:val="000000"/>
          <w:kern w:val="2"/>
          <w:sz w:val="32"/>
          <w:szCs w:val="32"/>
          <w:lang w:val="en-US" w:eastAsia="zh-CN" w:bidi="ar-SA"/>
        </w:rPr>
        <w:t>”</w:t>
      </w:r>
      <w:r>
        <w:rPr>
          <w:rFonts w:hint="default" w:ascii="仿宋_GB2312" w:hAnsi="仿宋_GB2312" w:eastAsia="仿宋_GB2312" w:cs="仿宋_GB2312"/>
          <w:color w:val="000000"/>
          <w:kern w:val="2"/>
          <w:sz w:val="32"/>
          <w:szCs w:val="32"/>
          <w:lang w:val="en-US" w:eastAsia="zh-CN" w:bidi="ar-SA"/>
        </w:rPr>
        <w:t>，提升工作效能。加强纪律教育、政德教育、家风教育，常态化开展谈心谈话和警示教育。</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6"/>
        <w:keepNext w:val="0"/>
        <w:keepLines w:val="0"/>
        <w:widowControl/>
        <w:suppressLineNumbers w:val="0"/>
        <w:ind w:firstLine="640" w:firstLineChars="200"/>
        <w:rPr>
          <w:rFonts w:hint="eastAsia" w:ascii="仿宋_GB2312" w:eastAsia="仿宋_GB2312" w:cs="仿宋_GB2312"/>
          <w:i w:val="0"/>
          <w:caps w:val="0"/>
          <w:color w:val="000000"/>
          <w:spacing w:val="0"/>
          <w:sz w:val="30"/>
          <w:szCs w:val="30"/>
        </w:rPr>
      </w:pPr>
      <w:r>
        <w:rPr>
          <w:rFonts w:hint="eastAsia" w:ascii="仿宋_GB2312" w:eastAsia="仿宋_GB2312" w:cs="仿宋_GB2312"/>
          <w:i w:val="0"/>
          <w:caps w:val="0"/>
          <w:color w:val="000000"/>
          <w:spacing w:val="0"/>
          <w:sz w:val="32"/>
          <w:szCs w:val="32"/>
          <w:lang w:eastAsia="zh-CN"/>
        </w:rPr>
        <w:t>本部门</w:t>
      </w:r>
      <w:r>
        <w:rPr>
          <w:rFonts w:hint="eastAsia" w:ascii="仿宋_GB2312" w:eastAsia="仿宋_GB2312" w:cs="仿宋_GB2312"/>
          <w:i w:val="0"/>
          <w:caps w:val="0"/>
          <w:color w:val="000000"/>
          <w:spacing w:val="0"/>
          <w:sz w:val="32"/>
          <w:szCs w:val="32"/>
        </w:rPr>
        <w:t>下设单位</w:t>
      </w:r>
      <w:r>
        <w:rPr>
          <w:rFonts w:hint="eastAsia" w:ascii="仿宋_GB2312" w:eastAsia="仿宋_GB2312" w:cs="仿宋_GB2312"/>
          <w:i w:val="0"/>
          <w:caps w:val="0"/>
          <w:color w:val="000000"/>
          <w:spacing w:val="0"/>
          <w:sz w:val="32"/>
          <w:szCs w:val="32"/>
          <w:lang w:val="en-US" w:eastAsia="zh-CN"/>
        </w:rPr>
        <w:t>2</w:t>
      </w:r>
      <w:r>
        <w:rPr>
          <w:rFonts w:hint="eastAsia" w:ascii="仿宋_GB2312" w:eastAsia="仿宋_GB2312" w:cs="仿宋_GB2312"/>
          <w:i w:val="0"/>
          <w:caps w:val="0"/>
          <w:color w:val="000000"/>
          <w:spacing w:val="0"/>
          <w:sz w:val="32"/>
          <w:szCs w:val="32"/>
        </w:rPr>
        <w:t>个，参照公务员法管理的事业单位</w:t>
      </w:r>
      <w:r>
        <w:rPr>
          <w:rFonts w:hint="eastAsia" w:ascii="仿宋_GB2312" w:eastAsia="仿宋_GB2312" w:cs="仿宋_GB2312"/>
          <w:i w:val="0"/>
          <w:caps w:val="0"/>
          <w:color w:val="000000"/>
          <w:spacing w:val="0"/>
          <w:sz w:val="32"/>
          <w:szCs w:val="32"/>
          <w:lang w:val="en-US" w:eastAsia="zh-CN"/>
        </w:rPr>
        <w:t>1</w:t>
      </w:r>
      <w:r>
        <w:rPr>
          <w:rFonts w:hint="eastAsia" w:ascii="仿宋_GB2312" w:eastAsia="仿宋_GB2312" w:cs="仿宋_GB2312"/>
          <w:i w:val="0"/>
          <w:caps w:val="0"/>
          <w:color w:val="000000"/>
          <w:spacing w:val="0"/>
          <w:sz w:val="32"/>
          <w:szCs w:val="32"/>
        </w:rPr>
        <w:t>个，其他事业单位</w:t>
      </w:r>
      <w:r>
        <w:rPr>
          <w:rFonts w:hint="eastAsia" w:ascii="仿宋_GB2312" w:eastAsia="仿宋_GB2312" w:cs="仿宋_GB2312"/>
          <w:i w:val="0"/>
          <w:caps w:val="0"/>
          <w:color w:val="000000"/>
          <w:spacing w:val="0"/>
          <w:sz w:val="32"/>
          <w:szCs w:val="32"/>
          <w:lang w:val="en-US" w:eastAsia="zh-CN"/>
        </w:rPr>
        <w:t>1</w:t>
      </w:r>
      <w:r>
        <w:rPr>
          <w:rFonts w:hint="eastAsia" w:ascii="仿宋_GB2312" w:eastAsia="仿宋_GB2312" w:cs="仿宋_GB2312"/>
          <w:i w:val="0"/>
          <w:caps w:val="0"/>
          <w:color w:val="000000"/>
          <w:spacing w:val="0"/>
          <w:sz w:val="32"/>
          <w:szCs w:val="32"/>
        </w:rPr>
        <w:t>个。分别是：</w:t>
      </w:r>
      <w:r>
        <w:rPr>
          <w:rFonts w:hint="eastAsia" w:ascii="仿宋_GB2312" w:eastAsia="仿宋_GB2312" w:cs="仿宋_GB2312"/>
          <w:i w:val="0"/>
          <w:caps w:val="0"/>
          <w:color w:val="000000"/>
          <w:spacing w:val="0"/>
          <w:sz w:val="32"/>
          <w:szCs w:val="32"/>
          <w:lang w:eastAsia="zh-CN"/>
        </w:rPr>
        <w:t>红原县事业单位登记服务中心（参公），红原县机构编制实名制中心（事业）</w:t>
      </w:r>
      <w:r>
        <w:rPr>
          <w:rFonts w:hint="eastAsia" w:ascii="仿宋_GB2312" w:eastAsia="仿宋_GB2312" w:cs="仿宋_GB2312"/>
          <w:i w:val="0"/>
          <w:caps w:val="0"/>
          <w:color w:val="000000"/>
          <w:spacing w:val="0"/>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年本单位</w:t>
      </w:r>
      <w:r>
        <w:rPr>
          <w:rFonts w:hint="eastAsia" w:ascii="仿宋_GB2312" w:eastAsia="仿宋_GB2312"/>
          <w:sz w:val="32"/>
          <w:szCs w:val="32"/>
        </w:rPr>
        <w:t>收入预算总额为</w:t>
      </w:r>
      <w:r>
        <w:rPr>
          <w:rFonts w:hint="eastAsia" w:ascii="仿宋_GB2312" w:eastAsia="仿宋_GB2312"/>
          <w:sz w:val="32"/>
          <w:szCs w:val="32"/>
          <w:lang w:val="en-US" w:eastAsia="zh-CN"/>
        </w:rPr>
        <w:t>402.30</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402.30</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402.30</w:t>
      </w:r>
      <w:r>
        <w:rPr>
          <w:rFonts w:hint="eastAsia" w:ascii="仿宋_GB2312" w:eastAsia="仿宋_GB2312"/>
          <w:sz w:val="32"/>
          <w:szCs w:val="32"/>
        </w:rPr>
        <w:t>万元，其中：一般公共服务</w:t>
      </w:r>
      <w:r>
        <w:rPr>
          <w:rFonts w:hint="eastAsia" w:ascii="仿宋_GB2312" w:eastAsia="仿宋_GB2312"/>
          <w:sz w:val="32"/>
          <w:szCs w:val="32"/>
          <w:lang w:val="en-US" w:eastAsia="zh-CN"/>
        </w:rPr>
        <w:t>297.25</w:t>
      </w:r>
      <w:r>
        <w:rPr>
          <w:rFonts w:hint="eastAsia" w:ascii="仿宋_GB2312" w:eastAsia="仿宋_GB2312"/>
          <w:sz w:val="32"/>
          <w:szCs w:val="32"/>
        </w:rPr>
        <w:t>万元，社会保障和就业</w:t>
      </w:r>
      <w:r>
        <w:rPr>
          <w:rFonts w:hint="eastAsia" w:ascii="仿宋_GB2312" w:eastAsia="仿宋_GB2312"/>
          <w:sz w:val="32"/>
          <w:szCs w:val="32"/>
          <w:lang w:val="en-US" w:eastAsia="zh-CN"/>
        </w:rPr>
        <w:t>54.59</w:t>
      </w:r>
      <w:r>
        <w:rPr>
          <w:rFonts w:hint="eastAsia" w:ascii="仿宋_GB2312" w:eastAsia="仿宋_GB2312"/>
          <w:sz w:val="32"/>
          <w:szCs w:val="32"/>
        </w:rPr>
        <w:t>万元，医疗卫生</w:t>
      </w:r>
      <w:r>
        <w:rPr>
          <w:rFonts w:hint="eastAsia" w:ascii="仿宋_GB2312" w:eastAsia="仿宋_GB2312"/>
          <w:sz w:val="32"/>
          <w:szCs w:val="32"/>
          <w:lang w:val="en-US" w:eastAsia="zh-CN"/>
        </w:rPr>
        <w:t>20.57</w:t>
      </w:r>
      <w:r>
        <w:rPr>
          <w:rFonts w:hint="eastAsia" w:ascii="仿宋_GB2312" w:eastAsia="仿宋_GB2312"/>
          <w:sz w:val="32"/>
          <w:szCs w:val="32"/>
        </w:rPr>
        <w:t>万元，住房保障支出</w:t>
      </w:r>
      <w:r>
        <w:rPr>
          <w:rFonts w:hint="eastAsia" w:ascii="仿宋_GB2312" w:eastAsia="仿宋_GB2312"/>
          <w:sz w:val="32"/>
          <w:szCs w:val="32"/>
          <w:lang w:val="en-US" w:eastAsia="zh-CN"/>
        </w:rPr>
        <w:t>29.90</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widowControl/>
        <w:suppressLineNumbers w:val="0"/>
        <w:wordWrap/>
        <w:bidi w:val="0"/>
        <w:spacing w:before="0" w:beforeAutospacing="0" w:after="0" w:afterAutospacing="0" w:line="560" w:lineRule="atLeast"/>
        <w:ind w:left="0" w:right="0" w:firstLine="0"/>
        <w:jc w:val="both"/>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hAnsi="Calibri" w:eastAsia="仿宋_GB2312" w:cs="仿宋_GB2312"/>
          <w:i w:val="0"/>
          <w:caps w:val="0"/>
          <w:color w:val="000000"/>
          <w:spacing w:val="0"/>
          <w:kern w:val="0"/>
          <w:sz w:val="32"/>
          <w:szCs w:val="32"/>
          <w:lang w:val="en-US" w:eastAsia="zh-CN" w:bidi="ar"/>
        </w:rPr>
        <w:t>本单位预算安排支出主要用于保障该部门机构正常运转、完成日常工作任务以及承担机构编制事业发展相关工作。 </w:t>
      </w:r>
      <w:bookmarkStart w:id="0" w:name="_GoBack"/>
      <w:bookmarkEnd w:id="0"/>
    </w:p>
    <w:p>
      <w:pPr>
        <w:keepNext w:val="0"/>
        <w:keepLines w:val="0"/>
        <w:widowControl/>
        <w:suppressLineNumbers w:val="0"/>
        <w:wordWrap/>
        <w:bidi w:val="0"/>
        <w:spacing w:before="0" w:beforeAutospacing="0" w:after="0" w:afterAutospacing="0" w:line="560" w:lineRule="atLeast"/>
        <w:ind w:left="0" w:right="0" w:firstLine="640"/>
        <w:jc w:val="left"/>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402.30</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359.37万元，机关运行经费42.93万元，其中：</w:t>
      </w:r>
      <w:r>
        <w:rPr>
          <w:rFonts w:hint="eastAsia" w:ascii="仿宋_GB2312" w:hAnsi="Calibri" w:eastAsia="仿宋_GB2312" w:cs="仿宋_GB2312"/>
          <w:i w:val="0"/>
          <w:caps w:val="0"/>
          <w:color w:val="000000"/>
          <w:spacing w:val="0"/>
          <w:kern w:val="0"/>
          <w:sz w:val="32"/>
          <w:szCs w:val="32"/>
          <w:lang w:val="en-US" w:eastAsia="zh-CN" w:bidi="ar"/>
        </w:rPr>
        <w:t>办公费13.48万元，差旅费4.30万元，工会经费2.72万元，公务用车运行维护费2.62万元，印刷费1.00万元，水费1.00万元，电费2.30万元，公务接待费0.2万元，福利费6.67万元，其他商品和服务支出3.64万元，事业单位登记、管理、督查等经费3.00万元，机关事业单位干部职工人员流动编卡变动2.00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297.25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54.59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20.57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29.90</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402.30万元较上年度预算402.27万元减少了0.007%，其中基本行政运行经费预算397.3万元，占全部总预算的98.76%，较上年397.27万元减少了0.007%，原因为与上年预算持平；专项业务工作经费预算5.00万元，占总预算的1.24%，较上年预算5万元遇上年预算持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widowControl/>
        <w:suppressLineNumbers w:val="0"/>
        <w:wordWrap/>
        <w:bidi w:val="0"/>
        <w:spacing w:before="0" w:beforeAutospacing="0" w:after="0" w:afterAutospacing="0" w:line="560" w:lineRule="atLeast"/>
        <w:ind w:left="0" w:right="0" w:firstLine="640"/>
        <w:jc w:val="both"/>
        <w:rPr>
          <w:rFonts w:hint="default" w:ascii="仿宋_GB2312" w:hAnsi="Calibri" w:eastAsia="仿宋_GB2312" w:cs="仿宋_GB2312"/>
          <w:i w:val="0"/>
          <w:caps w:val="0"/>
          <w:color w:val="000000"/>
          <w:spacing w:val="0"/>
          <w:kern w:val="0"/>
          <w:sz w:val="32"/>
          <w:szCs w:val="32"/>
          <w:lang w:val="en-US" w:eastAsia="zh-CN" w:bidi="ar"/>
        </w:rPr>
      </w:pPr>
      <w:r>
        <w:rPr>
          <w:rFonts w:hint="default" w:ascii="仿宋_GB2312" w:hAnsi="Calibri" w:eastAsia="仿宋_GB2312" w:cs="仿宋_GB2312"/>
          <w:i w:val="0"/>
          <w:caps w:val="0"/>
          <w:color w:val="000000"/>
          <w:spacing w:val="0"/>
          <w:kern w:val="0"/>
          <w:sz w:val="32"/>
          <w:szCs w:val="32"/>
          <w:lang w:val="en-US" w:eastAsia="zh-CN" w:bidi="ar"/>
        </w:rPr>
        <w:t>本年度三公经费预算安排支出为2.82万元，其中：出国费0万元，与上年持平，主要原因为未安排因公出国；公车购置费0元，与上年持平；公务用车维护费支出2.62万元，较上年度预算2.62万元持平；二是将有关股室的工作有机地结合起来，减少不必要的资源浪费。公务接待费0.2万元，与上年持平，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hAnsi="Calibri" w:eastAsia="仿宋_GB2312" w:cs="仿宋_GB2312"/>
          <w:i w:val="0"/>
          <w:caps w:val="0"/>
          <w:color w:val="000000"/>
          <w:spacing w:val="0"/>
          <w:kern w:val="0"/>
          <w:sz w:val="32"/>
          <w:szCs w:val="32"/>
          <w:lang w:val="en-US" w:eastAsia="zh-CN" w:bidi="ar"/>
        </w:rPr>
        <w:t>2025年没有使用政府性基金预算拨款安排的支出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hAnsi="Calibri" w:eastAsia="仿宋_GB2312" w:cs="仿宋_GB2312"/>
          <w:i w:val="0"/>
          <w:caps w:val="0"/>
          <w:color w:val="000000"/>
          <w:spacing w:val="0"/>
          <w:kern w:val="0"/>
          <w:sz w:val="32"/>
          <w:szCs w:val="32"/>
          <w:lang w:val="en-US" w:eastAsia="zh-CN" w:bidi="ar"/>
        </w:rPr>
        <w:t>2025年没有使用国有资本经营预算拨款安排的支出</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widowControl/>
        <w:suppressLineNumbers w:val="0"/>
        <w:wordWrap/>
        <w:bidi w:val="0"/>
        <w:spacing w:before="0" w:beforeAutospacing="0" w:after="0" w:afterAutospacing="0" w:line="560" w:lineRule="atLeast"/>
        <w:ind w:left="0" w:right="0" w:firstLine="640"/>
        <w:jc w:val="both"/>
        <w:rPr>
          <w:rFonts w:hint="default" w:ascii="仿宋_GB2312" w:hAnsi="Calibri" w:eastAsia="仿宋_GB2312" w:cs="仿宋_GB2312"/>
          <w:i w:val="0"/>
          <w:caps w:val="0"/>
          <w:color w:val="000000"/>
          <w:spacing w:val="0"/>
          <w:kern w:val="0"/>
          <w:sz w:val="32"/>
          <w:szCs w:val="32"/>
          <w:lang w:val="en-US" w:eastAsia="zh-CN" w:bidi="ar"/>
        </w:rPr>
      </w:pPr>
      <w:r>
        <w:rPr>
          <w:rFonts w:hint="default" w:ascii="仿宋_GB2312" w:hAnsi="Calibri" w:eastAsia="仿宋_GB2312" w:cs="仿宋_GB2312"/>
          <w:i w:val="0"/>
          <w:caps w:val="0"/>
          <w:color w:val="000000"/>
          <w:spacing w:val="0"/>
          <w:kern w:val="0"/>
          <w:sz w:val="32"/>
          <w:szCs w:val="32"/>
          <w:lang w:val="en-US" w:eastAsia="zh-CN" w:bidi="ar"/>
        </w:rPr>
        <w:t>截止202</w:t>
      </w:r>
      <w:r>
        <w:rPr>
          <w:rFonts w:hint="eastAsia" w:ascii="仿宋_GB2312" w:hAnsi="Calibri" w:eastAsia="仿宋_GB2312" w:cs="仿宋_GB2312"/>
          <w:i w:val="0"/>
          <w:caps w:val="0"/>
          <w:color w:val="000000"/>
          <w:spacing w:val="0"/>
          <w:kern w:val="0"/>
          <w:sz w:val="32"/>
          <w:szCs w:val="32"/>
          <w:lang w:val="en-US" w:eastAsia="zh-CN" w:bidi="ar"/>
        </w:rPr>
        <w:t>4</w:t>
      </w:r>
      <w:r>
        <w:rPr>
          <w:rFonts w:hint="default" w:ascii="仿宋_GB2312" w:hAnsi="Calibri" w:eastAsia="仿宋_GB2312" w:cs="仿宋_GB2312"/>
          <w:i w:val="0"/>
          <w:caps w:val="0"/>
          <w:color w:val="000000"/>
          <w:spacing w:val="0"/>
          <w:kern w:val="0"/>
          <w:sz w:val="32"/>
          <w:szCs w:val="32"/>
          <w:lang w:val="en-US" w:eastAsia="zh-CN" w:bidi="ar"/>
        </w:rPr>
        <w:t>年底，实际共有固定资产</w:t>
      </w:r>
      <w:r>
        <w:rPr>
          <w:rFonts w:hint="eastAsia" w:ascii="仿宋_GB2312" w:hAnsi="Calibri" w:eastAsia="仿宋_GB2312" w:cs="仿宋_GB2312"/>
          <w:i w:val="0"/>
          <w:caps w:val="0"/>
          <w:color w:val="000000"/>
          <w:spacing w:val="0"/>
          <w:kern w:val="0"/>
          <w:sz w:val="32"/>
          <w:szCs w:val="32"/>
          <w:lang w:val="en-US" w:eastAsia="zh-CN" w:bidi="ar"/>
        </w:rPr>
        <w:t>原</w:t>
      </w:r>
      <w:r>
        <w:rPr>
          <w:rFonts w:hint="default" w:ascii="仿宋_GB2312" w:hAnsi="Calibri" w:eastAsia="仿宋_GB2312" w:cs="仿宋_GB2312"/>
          <w:i w:val="0"/>
          <w:caps w:val="0"/>
          <w:color w:val="000000"/>
          <w:spacing w:val="0"/>
          <w:kern w:val="0"/>
          <w:sz w:val="32"/>
          <w:szCs w:val="32"/>
          <w:lang w:val="en-US" w:eastAsia="zh-CN" w:bidi="ar"/>
        </w:rPr>
        <w:t>值</w:t>
      </w:r>
      <w:r>
        <w:rPr>
          <w:rFonts w:hint="eastAsia" w:ascii="仿宋_GB2312" w:hAnsi="Calibri" w:eastAsia="仿宋_GB2312" w:cs="仿宋_GB2312"/>
          <w:i w:val="0"/>
          <w:caps w:val="0"/>
          <w:color w:val="000000"/>
          <w:spacing w:val="0"/>
          <w:kern w:val="0"/>
          <w:sz w:val="32"/>
          <w:szCs w:val="32"/>
          <w:lang w:val="en-US" w:eastAsia="zh-CN" w:bidi="ar"/>
        </w:rPr>
        <w:t>25.45</w:t>
      </w:r>
      <w:r>
        <w:rPr>
          <w:rFonts w:hint="default" w:ascii="仿宋_GB2312" w:hAnsi="Calibri" w:eastAsia="仿宋_GB2312" w:cs="仿宋_GB2312"/>
          <w:i w:val="0"/>
          <w:caps w:val="0"/>
          <w:color w:val="000000"/>
          <w:spacing w:val="0"/>
          <w:kern w:val="0"/>
          <w:sz w:val="32"/>
          <w:szCs w:val="32"/>
          <w:lang w:val="en-US" w:eastAsia="zh-CN" w:bidi="ar"/>
        </w:rPr>
        <w:t>万元：其中：公务用车6.68万元；电脑及其他办公设备</w:t>
      </w:r>
      <w:r>
        <w:rPr>
          <w:rFonts w:hint="eastAsia" w:ascii="仿宋_GB2312" w:hAnsi="Calibri" w:eastAsia="仿宋_GB2312" w:cs="仿宋_GB2312"/>
          <w:i w:val="0"/>
          <w:caps w:val="0"/>
          <w:color w:val="000000"/>
          <w:spacing w:val="0"/>
          <w:kern w:val="0"/>
          <w:sz w:val="32"/>
          <w:szCs w:val="32"/>
          <w:lang w:val="en-US" w:eastAsia="zh-CN" w:bidi="ar"/>
        </w:rPr>
        <w:t>18.77</w:t>
      </w:r>
      <w:r>
        <w:rPr>
          <w:rFonts w:hint="default" w:ascii="仿宋_GB2312" w:hAnsi="Calibri" w:eastAsia="仿宋_GB2312" w:cs="仿宋_GB2312"/>
          <w:i w:val="0"/>
          <w:caps w:val="0"/>
          <w:color w:val="000000"/>
          <w:spacing w:val="0"/>
          <w:kern w:val="0"/>
          <w:sz w:val="32"/>
          <w:szCs w:val="32"/>
          <w:lang w:val="en-US" w:eastAsia="zh-CN" w:bidi="ar"/>
        </w:rPr>
        <w:t>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D7037FD"/>
    <w:rsid w:val="153002F5"/>
    <w:rsid w:val="194B2BBE"/>
    <w:rsid w:val="19C1402F"/>
    <w:rsid w:val="1B850E0D"/>
    <w:rsid w:val="1D9E0CBF"/>
    <w:rsid w:val="21D46671"/>
    <w:rsid w:val="24D7626E"/>
    <w:rsid w:val="2DCC64A9"/>
    <w:rsid w:val="2E55003F"/>
    <w:rsid w:val="33272C00"/>
    <w:rsid w:val="39094892"/>
    <w:rsid w:val="3B0A5326"/>
    <w:rsid w:val="59CF4EA6"/>
    <w:rsid w:val="5F78432A"/>
    <w:rsid w:val="61FB5F19"/>
    <w:rsid w:val="62D33F71"/>
    <w:rsid w:val="FEFD9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99"/>
    <w:pPr>
      <w:ind w:leftChars="200" w:hanging="200" w:hangingChars="200"/>
    </w:pPr>
  </w:style>
  <w:style w:type="paragraph" w:styleId="3">
    <w:name w:val="Body Text"/>
    <w:basedOn w:val="1"/>
    <w:qFormat/>
    <w:uiPriority w:val="0"/>
    <w:pPr>
      <w:spacing w:before="93" w:beforeLines="30"/>
    </w:pPr>
    <w:rPr>
      <w:rFonts w:ascii="仿宋_GB2312" w:eastAsia="仿宋_GB2312"/>
      <w:sz w:val="30"/>
    </w:rPr>
  </w:style>
  <w:style w:type="paragraph" w:styleId="4">
    <w:name w:val="Body Text Indent"/>
    <w:basedOn w:val="1"/>
    <w:next w:val="5"/>
    <w:qFormat/>
    <w:uiPriority w:val="0"/>
    <w:pPr>
      <w:spacing w:line="560" w:lineRule="atLeast"/>
      <w:ind w:firstLine="640" w:firstLineChars="200"/>
    </w:pPr>
    <w:rPr>
      <w:rFonts w:ascii="仿宋_GB2312" w:eastAsia="仿宋_GB2312"/>
      <w:sz w:val="32"/>
    </w:rPr>
  </w:style>
  <w:style w:type="paragraph" w:styleId="5">
    <w:name w:val="Body Text First Indent 2"/>
    <w:basedOn w:val="4"/>
    <w:qFormat/>
    <w:uiPriority w:val="0"/>
    <w:pPr>
      <w:ind w:firstLine="42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0">
    <w:name w:val="15"/>
    <w:basedOn w:val="8"/>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1009</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2025-05-27T13:07:00Z</dcterms:created>
  <dc:creator>投资股-李仕昂</dc:creator>
  <cp:lastModifiedBy>user</cp:lastModifiedBy>
  <dcterms:modified xsi:type="dcterms:W3CDTF">2025-05-29T01:59:50Z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E26F66E7FF412C9B7770366812E67484</vt:lpwstr>
  </property>
</Properties>
</file>