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val="0"/>
        <w:keepLines w:val="0"/>
        <w:widowControl/>
        <w:suppressLineNumbers w:val="0"/>
        <w:ind w:left="0" w:right="75"/>
        <w:jc w:val="center"/>
        <w:rPr>
          <w:rFonts w:hint="eastAsia" w:ascii="方正小标宋简体" w:hAnsi="方正小标宋简体" w:eastAsia="方正小标宋简体" w:cs="方正小标宋简体"/>
          <w:sz w:val="44"/>
          <w:szCs w:val="44"/>
        </w:rPr>
      </w:pPr>
      <w:r>
        <w:rPr>
          <w:rStyle w:val="14"/>
          <w:rFonts w:hint="eastAsia" w:ascii="方正小标宋简体" w:hAnsi="方正小标宋简体" w:eastAsia="方正小标宋简体" w:cs="方正小标宋简体"/>
          <w:sz w:val="44"/>
          <w:szCs w:val="44"/>
          <w:shd w:val="clear" w:color="auto" w:fill="FFFFFF"/>
        </w:rPr>
        <w:t>202</w:t>
      </w:r>
      <w:r>
        <w:rPr>
          <w:rStyle w:val="14"/>
          <w:rFonts w:hint="eastAsia" w:ascii="方正小标宋简体" w:hAnsi="方正小标宋简体" w:eastAsia="方正小标宋简体" w:cs="方正小标宋简体"/>
          <w:sz w:val="44"/>
          <w:szCs w:val="44"/>
          <w:shd w:val="clear" w:color="auto" w:fill="FFFFFF"/>
          <w:lang w:val="en-US" w:eastAsia="zh-CN"/>
        </w:rPr>
        <w:t>3</w:t>
      </w:r>
      <w:r>
        <w:rPr>
          <w:rStyle w:val="14"/>
          <w:rFonts w:hint="eastAsia" w:ascii="方正小标宋简体" w:hAnsi="方正小标宋简体" w:eastAsia="方正小标宋简体" w:cs="方正小标宋简体"/>
          <w:sz w:val="44"/>
          <w:szCs w:val="44"/>
          <w:shd w:val="clear" w:color="auto" w:fill="FFFFFF"/>
        </w:rPr>
        <w:t>年度</w:t>
      </w:r>
    </w:p>
    <w:p>
      <w:pPr>
        <w:pStyle w:val="11"/>
        <w:keepNext w:val="0"/>
        <w:keepLines w:val="0"/>
        <w:widowControl/>
        <w:suppressLineNumbers w:val="0"/>
        <w:ind w:left="0" w:right="75"/>
        <w:jc w:val="center"/>
        <w:rPr>
          <w:rFonts w:hint="eastAsia" w:ascii="方正小标宋简体" w:hAnsi="方正小标宋简体" w:eastAsia="方正小标宋简体" w:cs="方正小标宋简体"/>
          <w:sz w:val="44"/>
          <w:szCs w:val="44"/>
          <w:lang w:eastAsia="zh-CN"/>
        </w:rPr>
      </w:pPr>
      <w:r>
        <w:rPr>
          <w:rStyle w:val="14"/>
          <w:rFonts w:hint="eastAsia" w:ascii="方正小标宋简体" w:hAnsi="方正小标宋简体" w:eastAsia="方正小标宋简体" w:cs="方正小标宋简体"/>
          <w:sz w:val="44"/>
          <w:szCs w:val="44"/>
          <w:shd w:val="clear" w:color="auto" w:fill="FFFFFF"/>
          <w:lang w:eastAsia="zh-CN"/>
        </w:rPr>
        <w:t>中共红原县委机构编制委员会办公室</w:t>
      </w:r>
      <w:r>
        <w:rPr>
          <w:rStyle w:val="14"/>
          <w:rFonts w:hint="eastAsia" w:ascii="方正小标宋简体" w:hAnsi="方正小标宋简体" w:eastAsia="方正小标宋简体" w:cs="方正小标宋简体"/>
          <w:sz w:val="44"/>
          <w:szCs w:val="44"/>
          <w:shd w:val="clear" w:color="auto" w:fill="FFFFFF"/>
        </w:rPr>
        <w:t>部门决算</w:t>
      </w:r>
      <w:r>
        <w:rPr>
          <w:rStyle w:val="14"/>
          <w:rFonts w:hint="eastAsia" w:ascii="方正小标宋简体" w:hAnsi="方正小标宋简体" w:eastAsia="方正小标宋简体" w:cs="方正小标宋简体"/>
          <w:sz w:val="44"/>
          <w:szCs w:val="44"/>
          <w:shd w:val="clear" w:color="auto" w:fill="FFFFFF"/>
          <w:lang w:eastAsia="zh-CN"/>
        </w:rPr>
        <w:t>公开编制说明</w:t>
      </w: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pPr>
      <w:r>
        <w:rPr>
          <w:sz w:val="24"/>
          <w:szCs w:val="24"/>
          <w:shd w:val="clear" w:color="auto" w:fill="FFFFFF"/>
        </w:rPr>
        <w:t>保密审查情况：已审查，内容审定</w:t>
      </w:r>
    </w:p>
    <w:p>
      <w:pPr>
        <w:pStyle w:val="11"/>
        <w:keepNext w:val="0"/>
        <w:keepLines w:val="0"/>
        <w:widowControl/>
        <w:suppressLineNumbers w:val="0"/>
        <w:ind w:left="0" w:right="75"/>
        <w:jc w:val="left"/>
      </w:pPr>
      <w:r>
        <w:rPr>
          <w:sz w:val="24"/>
          <w:szCs w:val="24"/>
          <w:shd w:val="clear" w:color="auto" w:fill="FFFFFF"/>
        </w:rPr>
        <w:t>部门主要负责人审签情况：已审签，同意对外公开</w:t>
      </w:r>
    </w:p>
    <w:p>
      <w:pPr>
        <w:pStyle w:val="11"/>
        <w:keepNext w:val="0"/>
        <w:keepLines w:val="0"/>
        <w:widowControl/>
        <w:suppressLineNumbers w:val="0"/>
        <w:ind w:left="0" w:right="75"/>
        <w:jc w:val="both"/>
        <w:rPr>
          <w:rStyle w:val="14"/>
          <w:sz w:val="30"/>
          <w:szCs w:val="30"/>
          <w:shd w:val="clear" w:color="auto" w:fill="FFFFFF"/>
        </w:rPr>
        <w:sectPr>
          <w:footerReference r:id="rId3" w:type="default"/>
          <w:pgSz w:w="11906" w:h="16838"/>
          <w:pgMar w:top="1440" w:right="1800" w:bottom="1440" w:left="1800" w:header="851" w:footer="992" w:gutter="0"/>
          <w:cols w:space="720" w:num="1"/>
          <w:docGrid w:type="lines" w:linePitch="312" w:charSpace="0"/>
        </w:sectPr>
      </w:pPr>
    </w:p>
    <w:p>
      <w:pPr>
        <w:pStyle w:val="11"/>
        <w:keepNext w:val="0"/>
        <w:keepLines w:val="0"/>
        <w:widowControl/>
        <w:suppressLineNumbers w:val="0"/>
        <w:ind w:left="0" w:right="75"/>
        <w:jc w:val="center"/>
      </w:pPr>
      <w:r>
        <w:rPr>
          <w:rStyle w:val="14"/>
          <w:sz w:val="30"/>
          <w:szCs w:val="30"/>
          <w:shd w:val="clear" w:color="auto" w:fill="FFFFFF"/>
        </w:rPr>
        <w:t>目 录</w:t>
      </w:r>
    </w:p>
    <w:p>
      <w:pPr>
        <w:pStyle w:val="11"/>
        <w:keepNext w:val="0"/>
        <w:keepLines w:val="0"/>
        <w:widowControl/>
        <w:suppressLineNumbers w:val="0"/>
        <w:ind w:left="0" w:right="75"/>
        <w:jc w:val="center"/>
        <w:rPr>
          <w:rFonts w:hint="eastAsia"/>
        </w:rPr>
      </w:pPr>
      <w:r>
        <w:rPr>
          <w:sz w:val="24"/>
          <w:szCs w:val="24"/>
          <w:shd w:val="clear" w:color="auto" w:fill="FFFFFF"/>
        </w:rPr>
        <w:t>公开时间：202</w:t>
      </w:r>
      <w:r>
        <w:rPr>
          <w:rFonts w:hint="eastAsia"/>
          <w:sz w:val="24"/>
          <w:szCs w:val="24"/>
          <w:shd w:val="clear" w:color="auto" w:fill="FFFFFF"/>
          <w:lang w:val="en-US" w:eastAsia="zh-CN"/>
        </w:rPr>
        <w:t>3</w:t>
      </w:r>
      <w:r>
        <w:rPr>
          <w:sz w:val="24"/>
          <w:szCs w:val="24"/>
          <w:shd w:val="clear" w:color="auto" w:fill="FFFFFF"/>
        </w:rPr>
        <w:t xml:space="preserve">年 </w:t>
      </w:r>
      <w:r>
        <w:rPr>
          <w:rFonts w:hint="eastAsia"/>
          <w:sz w:val="24"/>
          <w:szCs w:val="24"/>
          <w:shd w:val="clear" w:color="auto" w:fill="FFFFFF"/>
          <w:lang w:val="en-US" w:eastAsia="zh-CN"/>
        </w:rPr>
        <w:t>11</w:t>
      </w:r>
      <w:r>
        <w:rPr>
          <w:sz w:val="24"/>
          <w:szCs w:val="24"/>
          <w:shd w:val="clear" w:color="auto" w:fill="FFFFFF"/>
        </w:rPr>
        <w:t>月</w:t>
      </w:r>
      <w:r>
        <w:rPr>
          <w:rFonts w:hint="eastAsia"/>
          <w:sz w:val="24"/>
          <w:szCs w:val="24"/>
          <w:shd w:val="clear" w:color="auto" w:fill="FFFFFF"/>
          <w:lang w:val="en-US" w:eastAsia="zh-CN"/>
        </w:rPr>
        <w:t>6</w:t>
      </w:r>
      <w:r>
        <w:rPr>
          <w:sz w:val="24"/>
          <w:szCs w:val="24"/>
          <w:shd w:val="clear" w:color="auto" w:fill="FFFFFF"/>
        </w:rPr>
        <w:t>日</w:t>
      </w:r>
    </w:p>
    <w:sdt>
      <w:sdtPr>
        <w:rPr>
          <w:rFonts w:ascii="宋体" w:hAnsi="宋体" w:eastAsia="宋体" w:cs="Times New Roman"/>
          <w:kern w:val="2"/>
          <w:sz w:val="21"/>
          <w:szCs w:val="24"/>
          <w:lang w:val="en-US" w:eastAsia="zh-CN" w:bidi="ar-SA"/>
        </w:rPr>
        <w:id w:val="147458493"/>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p>
        <w:p>
          <w:pPr>
            <w:pStyle w:val="8"/>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TOC \o "1-3" \h \u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_Toc27360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第一部分 部门概况</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p>
        <w:p>
          <w:pPr>
            <w:pStyle w:val="10"/>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_Toc14224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一、基本职能及主要工作</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p>
        <w:p>
          <w:pPr>
            <w:pStyle w:val="10"/>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_Toc10295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二、机构设置</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fldChar w:fldCharType="end"/>
          </w:r>
        </w:p>
        <w:p>
          <w:pPr>
            <w:pStyle w:val="8"/>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_Toc6796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第二部分 202</w:t>
          </w:r>
          <w:r>
            <w:rPr>
              <w:rFonts w:hint="eastAsia" w:ascii="仿宋_GB2312" w:hAnsi="仿宋_GB2312" w:eastAsia="仿宋_GB2312" w:cs="仿宋_GB2312"/>
              <w:sz w:val="30"/>
              <w:szCs w:val="30"/>
              <w:shd w:val="clear" w:color="auto" w:fill="FFFFFF"/>
              <w:lang w:val="en-US" w:eastAsia="zh-CN"/>
            </w:rPr>
            <w:t>2</w:t>
          </w:r>
          <w:r>
            <w:rPr>
              <w:rFonts w:hint="eastAsia" w:ascii="仿宋_GB2312" w:hAnsi="仿宋_GB2312" w:eastAsia="仿宋_GB2312" w:cs="仿宋_GB2312"/>
              <w:sz w:val="30"/>
              <w:szCs w:val="30"/>
              <w:shd w:val="clear" w:color="auto" w:fill="FFFFFF"/>
            </w:rPr>
            <w:t>年度部门决算情况说明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fldChar w:fldCharType="end"/>
          </w:r>
        </w:p>
        <w:p>
          <w:pPr>
            <w:pStyle w:val="10"/>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_Toc23902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一、 收入支出决算总体情况说明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fldChar w:fldCharType="end"/>
          </w:r>
        </w:p>
        <w:p>
          <w:pPr>
            <w:pStyle w:val="10"/>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_Toc21346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lang w:eastAsia="zh-CN"/>
            </w:rPr>
            <w:t xml:space="preserve">二、 </w:t>
          </w:r>
          <w:r>
            <w:rPr>
              <w:rFonts w:hint="eastAsia" w:ascii="仿宋_GB2312" w:hAnsi="仿宋_GB2312" w:eastAsia="仿宋_GB2312" w:cs="仿宋_GB2312"/>
              <w:sz w:val="30"/>
              <w:szCs w:val="30"/>
              <w:shd w:val="clear" w:color="auto" w:fill="FFFFFF"/>
            </w:rPr>
            <w:t>收入决算情况说明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fldChar w:fldCharType="end"/>
          </w:r>
        </w:p>
        <w:p>
          <w:pPr>
            <w:pStyle w:val="10"/>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_Toc21019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三、 </w:t>
          </w:r>
          <w:r>
            <w:rPr>
              <w:rFonts w:hint="eastAsia" w:ascii="仿宋_GB2312" w:hAnsi="仿宋_GB2312" w:eastAsia="仿宋_GB2312" w:cs="仿宋_GB2312"/>
              <w:sz w:val="30"/>
              <w:szCs w:val="30"/>
              <w:shd w:val="clear" w:color="auto" w:fill="FFFFFF"/>
            </w:rPr>
            <w:t>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rPr>
            <w:fldChar w:fldCharType="end"/>
          </w:r>
        </w:p>
        <w:p>
          <w:pPr>
            <w:pStyle w:val="10"/>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_Toc7956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四、 </w:t>
          </w:r>
          <w:r>
            <w:rPr>
              <w:rFonts w:hint="eastAsia" w:ascii="仿宋_GB2312" w:hAnsi="仿宋_GB2312" w:eastAsia="仿宋_GB2312" w:cs="仿宋_GB2312"/>
              <w:sz w:val="30"/>
              <w:szCs w:val="30"/>
              <w:shd w:val="clear" w:color="auto" w:fill="FFFFFF"/>
            </w:rPr>
            <w:t>财政拨款收入支出决算总体情况说明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rPr>
            <w:fldChar w:fldCharType="end"/>
          </w:r>
        </w:p>
        <w:p>
          <w:pPr>
            <w:pStyle w:val="10"/>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_Toc23149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五、一般公共预算财政拨款支出决算情况说明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9</w:t>
          </w:r>
          <w:r>
            <w:rPr>
              <w:rFonts w:hint="eastAsia" w:ascii="仿宋_GB2312" w:hAnsi="仿宋_GB2312" w:eastAsia="仿宋_GB2312" w:cs="仿宋_GB2312"/>
              <w:sz w:val="30"/>
              <w:szCs w:val="30"/>
            </w:rPr>
            <w:fldChar w:fldCharType="end"/>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_Toc2180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lang w:eastAsia="zh-CN"/>
            </w:rPr>
            <w:t>六、</w:t>
          </w:r>
          <w:r>
            <w:rPr>
              <w:rFonts w:hint="eastAsia" w:ascii="仿宋_GB2312" w:hAnsi="仿宋_GB2312" w:eastAsia="仿宋_GB2312" w:cs="仿宋_GB2312"/>
              <w:sz w:val="30"/>
              <w:szCs w:val="30"/>
              <w:shd w:val="clear" w:color="auto" w:fill="FFFFFF"/>
            </w:rPr>
            <w:t>一般公共预算财政拨款基本支出决算情况说明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1</w:t>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_Toc18699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七、“三公”经费财政拨款支出决算情况说明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2</w:t>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_Toc9599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八、 </w:t>
          </w:r>
          <w:r>
            <w:rPr>
              <w:rFonts w:hint="eastAsia" w:ascii="仿宋_GB2312" w:hAnsi="仿宋_GB2312" w:eastAsia="仿宋_GB2312" w:cs="仿宋_GB2312"/>
              <w:sz w:val="30"/>
              <w:szCs w:val="30"/>
              <w:shd w:val="clear" w:color="auto" w:fill="FFFFFF"/>
            </w:rPr>
            <w:t>政府性基金预算支出决算情况说明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4</w:t>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_Toc31416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九、 </w:t>
          </w:r>
          <w:r>
            <w:rPr>
              <w:rFonts w:hint="eastAsia" w:ascii="仿宋_GB2312" w:hAnsi="仿宋_GB2312" w:eastAsia="仿宋_GB2312" w:cs="仿宋_GB2312"/>
              <w:sz w:val="30"/>
              <w:szCs w:val="30"/>
              <w:shd w:val="clear" w:color="auto" w:fill="FFFFFF"/>
            </w:rPr>
            <w:t>国有资本经营预算支出决算情况说明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4</w:t>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_Toc11587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十、其他重要事项的情况说明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4</w:t>
          </w:r>
        </w:p>
        <w:p>
          <w:pPr>
            <w:pStyle w:val="8"/>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_Toc26931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第三部分 </w:t>
          </w:r>
          <w:r>
            <w:rPr>
              <w:rFonts w:hint="eastAsia" w:ascii="仿宋_GB2312" w:hAnsi="仿宋_GB2312" w:eastAsia="仿宋_GB2312" w:cs="仿宋_GB2312"/>
              <w:sz w:val="30"/>
              <w:szCs w:val="30"/>
              <w:shd w:val="clear" w:color="auto" w:fill="FFFFFF"/>
            </w:rPr>
            <w:t>名词解释</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2</w:t>
          </w:r>
        </w:p>
        <w:p>
          <w:pPr>
            <w:pStyle w:val="8"/>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_Toc15389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第四部分 附件</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4</w:t>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_Toc27357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附件</w:t>
          </w:r>
          <w:r>
            <w:rPr>
              <w:rFonts w:hint="eastAsia" w:ascii="仿宋_GB2312" w:hAnsi="仿宋_GB2312" w:eastAsia="仿宋_GB2312" w:cs="仿宋_GB2312"/>
              <w:sz w:val="30"/>
              <w:szCs w:val="30"/>
              <w:shd w:val="clear" w:color="auto" w:fill="FFFFFF"/>
              <w:lang w:val="en-US" w:eastAsia="zh-CN"/>
            </w:rPr>
            <w:t>1</w:t>
          </w:r>
          <w:r>
            <w:rPr>
              <w:rFonts w:hint="eastAsia" w:ascii="仿宋_GB2312" w:hAnsi="仿宋_GB2312" w:eastAsia="仿宋_GB2312" w:cs="仿宋_GB2312"/>
              <w:sz w:val="30"/>
              <w:szCs w:val="30"/>
              <w:shd w:val="clear" w:color="auto" w:fill="FFFFFF"/>
              <w:lang w:eastAsia="zh-CN"/>
            </w:rPr>
            <w:t>：县委编办202</w:t>
          </w:r>
          <w:r>
            <w:rPr>
              <w:rFonts w:hint="eastAsia" w:ascii="仿宋_GB2312" w:hAnsi="仿宋_GB2312" w:eastAsia="仿宋_GB2312" w:cs="仿宋_GB2312"/>
              <w:sz w:val="30"/>
              <w:szCs w:val="30"/>
              <w:shd w:val="clear" w:color="auto" w:fill="FFFFFF"/>
              <w:lang w:val="en-US" w:eastAsia="zh-CN"/>
            </w:rPr>
            <w:t>2</w:t>
          </w:r>
          <w:r>
            <w:rPr>
              <w:rFonts w:hint="eastAsia" w:ascii="仿宋_GB2312" w:hAnsi="仿宋_GB2312" w:eastAsia="仿宋_GB2312" w:cs="仿宋_GB2312"/>
              <w:sz w:val="30"/>
              <w:szCs w:val="30"/>
              <w:shd w:val="clear" w:color="auto" w:fill="FFFFFF"/>
              <w:lang w:eastAsia="zh-CN"/>
            </w:rPr>
            <w:t>年部门整体支出绩效评价报告</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4</w:t>
          </w:r>
        </w:p>
        <w:p>
          <w:pPr>
            <w:pStyle w:val="8"/>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_Toc29972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第五部分 附表</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0</w:t>
          </w:r>
        </w:p>
        <w:p>
          <w:pPr>
            <w:rPr>
              <w:rFonts w:ascii="宋体" w:hAnsi="宋体" w:eastAsia="宋体" w:cs="Times New Roman"/>
              <w:kern w:val="2"/>
              <w:sz w:val="21"/>
              <w:szCs w:val="24"/>
              <w:lang w:val="en-US" w:eastAsia="zh-CN" w:bidi="ar-SA"/>
            </w:rPr>
          </w:pPr>
          <w:r>
            <w:rPr>
              <w:rFonts w:hint="eastAsia" w:ascii="仿宋_GB2312" w:hAnsi="仿宋_GB2312" w:eastAsia="仿宋_GB2312" w:cs="仿宋_GB2312"/>
              <w:sz w:val="30"/>
              <w:szCs w:val="30"/>
            </w:rPr>
            <w:fldChar w:fldCharType="end"/>
          </w:r>
        </w:p>
      </w:sdtContent>
    </w:sdt>
    <w:sdt>
      <w:sdtPr>
        <w:rPr>
          <w:rFonts w:ascii="宋体" w:hAnsi="宋体" w:eastAsia="宋体" w:cs="Times New Roman"/>
          <w:kern w:val="2"/>
          <w:sz w:val="21"/>
          <w:szCs w:val="24"/>
          <w:lang w:val="en-US" w:eastAsia="zh-CN" w:bidi="ar-SA"/>
        </w:rPr>
        <w:id w:val="147458493"/>
        <w:showingPlcHdr/>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pPr>
            <w:rPr>
              <w:rFonts w:ascii="宋体" w:hAnsi="宋体" w:eastAsia="宋体" w:cs="Times New Roman"/>
              <w:kern w:val="2"/>
              <w:sz w:val="21"/>
              <w:szCs w:val="24"/>
              <w:lang w:val="en-US" w:eastAsia="zh-CN" w:bidi="ar-SA"/>
            </w:rPr>
          </w:pPr>
        </w:p>
      </w:sdtContent>
    </w:sdt>
    <w:p>
      <w:pPr>
        <w:rPr>
          <w:rFonts w:ascii="宋体" w:hAnsi="宋体" w:eastAsia="宋体" w:cs="Times New Roman"/>
          <w:kern w:val="2"/>
          <w:sz w:val="21"/>
          <w:szCs w:val="24"/>
          <w:lang w:val="en-US" w:eastAsia="zh-CN" w:bidi="ar-SA"/>
        </w:rPr>
        <w:sectPr>
          <w:footerReference r:id="rId4" w:type="default"/>
          <w:pgSz w:w="11906" w:h="16838"/>
          <w:pgMar w:top="1440" w:right="1800" w:bottom="1440" w:left="1800" w:header="851" w:footer="992" w:gutter="0"/>
          <w:pgNumType w:fmt="decimal" w:start="1"/>
          <w:cols w:space="720" w:num="1"/>
          <w:docGrid w:type="lines" w:linePitch="312" w:charSpace="0"/>
        </w:sectPr>
      </w:pPr>
    </w:p>
    <w:sdt>
      <w:sdtPr>
        <w:rPr>
          <w:rFonts w:ascii="宋体" w:hAnsi="宋体" w:eastAsia="宋体" w:cs="Times New Roman"/>
          <w:kern w:val="2"/>
          <w:sz w:val="21"/>
          <w:szCs w:val="24"/>
          <w:lang w:val="en-US" w:eastAsia="zh-CN" w:bidi="ar-SA"/>
        </w:rPr>
        <w:id w:val="147458493"/>
        <w:showingPlcHdr/>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sdtContent>
    </w:sdt>
    <w:p>
      <w:pPr>
        <w:pStyle w:val="11"/>
        <w:keepNext w:val="0"/>
        <w:keepLines w:val="0"/>
        <w:widowControl/>
        <w:suppressLineNumbers w:val="0"/>
        <w:ind w:left="0" w:right="75"/>
        <w:jc w:val="center"/>
        <w:outlineLvl w:val="0"/>
        <w:rPr>
          <w:rFonts w:hint="eastAsia" w:ascii="黑体" w:hAnsi="黑体" w:eastAsia="黑体" w:cs="黑体"/>
          <w:sz w:val="44"/>
          <w:szCs w:val="44"/>
          <w:shd w:val="clear" w:color="auto" w:fill="FFFFFF"/>
        </w:rPr>
        <w:sectPr>
          <w:footerReference r:id="rId5" w:type="default"/>
          <w:pgSz w:w="11906" w:h="16838"/>
          <w:pgMar w:top="1440" w:right="1800" w:bottom="1440" w:left="1800" w:header="851" w:footer="992" w:gutter="0"/>
          <w:pgNumType w:fmt="decimal" w:start="1"/>
          <w:cols w:space="720" w:num="1"/>
          <w:docGrid w:type="lines" w:linePitch="312" w:charSpace="0"/>
        </w:sectPr>
      </w:pPr>
      <w:bookmarkStart w:id="0" w:name="_Toc27360"/>
    </w:p>
    <w:p>
      <w:pPr>
        <w:pStyle w:val="11"/>
        <w:keepNext w:val="0"/>
        <w:keepLines w:val="0"/>
        <w:widowControl/>
        <w:suppressLineNumbers w:val="0"/>
        <w:ind w:left="0" w:right="75"/>
        <w:jc w:val="center"/>
        <w:outlineLvl w:val="0"/>
        <w:rPr>
          <w:rFonts w:hint="eastAsia" w:ascii="黑体" w:hAnsi="黑体" w:eastAsia="黑体" w:cs="黑体"/>
          <w:sz w:val="44"/>
          <w:szCs w:val="44"/>
        </w:rPr>
      </w:pPr>
      <w:r>
        <w:rPr>
          <w:rFonts w:hint="eastAsia" w:ascii="黑体" w:hAnsi="黑体" w:eastAsia="黑体" w:cs="黑体"/>
          <w:sz w:val="44"/>
          <w:szCs w:val="44"/>
          <w:shd w:val="clear" w:color="auto" w:fill="FFFFFF"/>
        </w:rPr>
        <w:t>第一部分 部门概况</w:t>
      </w:r>
      <w:bookmarkEnd w:id="0"/>
    </w:p>
    <w:p>
      <w:pPr>
        <w:pStyle w:val="11"/>
        <w:keepNext w:val="0"/>
        <w:keepLines w:val="0"/>
        <w:widowControl/>
        <w:suppressLineNumbers w:val="0"/>
        <w:ind w:left="0" w:right="75"/>
        <w:outlineLvl w:val="1"/>
        <w:rPr>
          <w:rFonts w:hint="eastAsia" w:ascii="黑体" w:hAnsi="黑体" w:eastAsia="黑体" w:cs="黑体"/>
          <w:sz w:val="32"/>
          <w:szCs w:val="32"/>
        </w:rPr>
      </w:pPr>
      <w:bookmarkStart w:id="1" w:name="_Toc14224"/>
      <w:r>
        <w:rPr>
          <w:rFonts w:hint="eastAsia" w:ascii="黑体" w:hAnsi="黑体" w:eastAsia="黑体" w:cs="黑体"/>
          <w:sz w:val="32"/>
          <w:szCs w:val="32"/>
          <w:shd w:val="clear" w:color="auto" w:fill="FFFFFF"/>
        </w:rPr>
        <w:t>一、基本职能及主要工作</w:t>
      </w:r>
      <w:bookmarkEnd w:id="1"/>
    </w:p>
    <w:p>
      <w:pPr>
        <w:pStyle w:val="11"/>
        <w:keepNext w:val="0"/>
        <w:keepLines w:val="0"/>
        <w:widowControl/>
        <w:suppressLineNumbers w:val="0"/>
        <w:ind w:left="0" w:right="75"/>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（一）主要职能。</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1、</w:t>
      </w:r>
      <w:r>
        <w:rPr>
          <w:rFonts w:hint="eastAsia" w:ascii="仿宋" w:hAnsi="仿宋" w:eastAsia="仿宋" w:cs="仿宋"/>
          <w:snapToGrid w:val="0"/>
          <w:color w:val="000000"/>
          <w:kern w:val="56"/>
          <w:sz w:val="32"/>
          <w:szCs w:val="32"/>
          <w:shd w:val="clear" w:color="auto" w:fill="FFFFFF"/>
        </w:rPr>
        <w:t>贯彻执行中央、省、州关于行政管理体制改革和机构改革、事业单位改革及机构编制管理的方针政策、法律法规，研究拟定本县的政策规定、管理办法和实施细则。</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2、</w:t>
      </w:r>
      <w:r>
        <w:rPr>
          <w:rFonts w:hint="eastAsia" w:ascii="仿宋" w:hAnsi="仿宋" w:eastAsia="仿宋" w:cs="仿宋"/>
          <w:snapToGrid w:val="0"/>
          <w:color w:val="000000"/>
          <w:kern w:val="56"/>
          <w:sz w:val="32"/>
          <w:szCs w:val="32"/>
          <w:shd w:val="clear" w:color="auto" w:fill="FFFFFF"/>
        </w:rPr>
        <w:t>研究拟定全县行政管理体制改革和机构改革方案，审核县直各部门“三定”规定和县直各部门、乡镇机构改革方案，指导县直各部门、乡镇行政管理体制改革和机构改革，评估改革方案。参与行政审批制度改革和行政区划调整的有关工作。</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3、</w:t>
      </w:r>
      <w:r>
        <w:rPr>
          <w:rFonts w:hint="eastAsia" w:ascii="仿宋" w:hAnsi="仿宋" w:eastAsia="仿宋" w:cs="仿宋"/>
          <w:snapToGrid w:val="0"/>
          <w:color w:val="000000"/>
          <w:kern w:val="56"/>
          <w:sz w:val="32"/>
          <w:szCs w:val="32"/>
          <w:shd w:val="clear" w:color="auto" w:fill="FFFFFF"/>
        </w:rPr>
        <w:t>拟定全县各级行政编制、政法专项编制总额分配方案，审核跨层级调整行政编制事项。负责全县行政事业编制总量控制、结构调整和机关事业单位机构编制实名制管理工作。对县直机关和县属事业单位使用空缺编制补充人员以及进入县级财政供养范围的人员（工勤人员除外）进行核批。</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4、</w:t>
      </w:r>
      <w:r>
        <w:rPr>
          <w:rFonts w:hint="eastAsia" w:ascii="仿宋" w:hAnsi="仿宋" w:eastAsia="仿宋" w:cs="仿宋"/>
          <w:snapToGrid w:val="0"/>
          <w:color w:val="000000"/>
          <w:kern w:val="56"/>
          <w:sz w:val="32"/>
          <w:szCs w:val="32"/>
          <w:shd w:val="clear" w:color="auto" w:fill="FFFFFF"/>
        </w:rPr>
        <w:t>负责县委、县政府各部门，县人大、县政协机关，县法院、县检察院机关及县人民团体机关的机构编制管理工作。协调县直各部门之间的职能划分。</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5、</w:t>
      </w:r>
      <w:r>
        <w:rPr>
          <w:rFonts w:hint="eastAsia" w:ascii="仿宋" w:hAnsi="仿宋" w:eastAsia="仿宋" w:cs="仿宋"/>
          <w:snapToGrid w:val="0"/>
          <w:color w:val="000000"/>
          <w:kern w:val="56"/>
          <w:sz w:val="32"/>
          <w:szCs w:val="32"/>
          <w:shd w:val="clear" w:color="auto" w:fill="FFFFFF"/>
        </w:rPr>
        <w:t>审核股级规格管理机构的设置、调整，按程序向州委编委请示县内副科级或按照副科级及以上规格管理机构的设置、调整。</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lang w:eastAsia="zh-CN"/>
        </w:rPr>
      </w:pPr>
      <w:r>
        <w:rPr>
          <w:rFonts w:hint="eastAsia" w:ascii="仿宋" w:hAnsi="仿宋" w:eastAsia="仿宋" w:cs="仿宋"/>
          <w:snapToGrid w:val="0"/>
          <w:color w:val="000000"/>
          <w:kern w:val="56"/>
          <w:sz w:val="32"/>
          <w:szCs w:val="32"/>
          <w:shd w:val="clear" w:color="auto" w:fill="FFFFFF"/>
          <w:lang w:val="en-US" w:eastAsia="zh-CN"/>
        </w:rPr>
        <w:t>6、</w:t>
      </w:r>
      <w:r>
        <w:rPr>
          <w:rFonts w:hint="eastAsia" w:ascii="仿宋" w:hAnsi="仿宋" w:eastAsia="仿宋" w:cs="仿宋"/>
          <w:snapToGrid w:val="0"/>
          <w:color w:val="000000"/>
          <w:kern w:val="56"/>
          <w:sz w:val="32"/>
          <w:szCs w:val="32"/>
          <w:shd w:val="clear" w:color="auto" w:fill="FFFFFF"/>
        </w:rPr>
        <w:t>研究拟定全县事业单位改革方案及其实施意见，负责县属事业单位机构编制管理，审核县属事业单位的机构编制方案，负责拟参照公务员法管理事业单位的职责审核工作，指导并协调县、乡镇事业单位改革和机构编制管理工作。</w:t>
      </w:r>
      <w:r>
        <w:rPr>
          <w:rFonts w:hint="eastAsia" w:ascii="仿宋" w:hAnsi="仿宋" w:eastAsia="仿宋" w:cs="仿宋"/>
          <w:snapToGrid w:val="0"/>
          <w:color w:val="000000"/>
          <w:kern w:val="56"/>
          <w:sz w:val="32"/>
          <w:szCs w:val="32"/>
          <w:shd w:val="clear" w:color="auto" w:fill="FFFFFF"/>
        </w:rPr>
        <w:br w:type="textWrapping"/>
      </w:r>
      <w:r>
        <w:rPr>
          <w:rFonts w:hint="eastAsia" w:ascii="仿宋" w:hAnsi="仿宋" w:eastAsia="仿宋" w:cs="仿宋"/>
          <w:snapToGrid w:val="0"/>
          <w:color w:val="000000"/>
          <w:kern w:val="56"/>
          <w:sz w:val="32"/>
          <w:szCs w:val="32"/>
          <w:shd w:val="clear" w:color="auto" w:fill="FFFFFF"/>
        </w:rPr>
        <w:t xml:space="preserve">   </w:t>
      </w:r>
      <w:r>
        <w:rPr>
          <w:rFonts w:hint="eastAsia" w:ascii="仿宋" w:hAnsi="仿宋" w:eastAsia="仿宋" w:cs="仿宋"/>
          <w:snapToGrid w:val="0"/>
          <w:color w:val="000000"/>
          <w:kern w:val="56"/>
          <w:sz w:val="32"/>
          <w:szCs w:val="32"/>
          <w:shd w:val="clear" w:color="auto" w:fill="FFFFFF"/>
          <w:lang w:val="en-US" w:eastAsia="zh-CN"/>
        </w:rPr>
        <w:t>7、</w:t>
      </w:r>
      <w:r>
        <w:rPr>
          <w:rFonts w:hint="eastAsia" w:ascii="仿宋" w:hAnsi="仿宋" w:eastAsia="仿宋" w:cs="仿宋"/>
          <w:snapToGrid w:val="0"/>
          <w:color w:val="000000"/>
          <w:kern w:val="56"/>
          <w:sz w:val="32"/>
          <w:szCs w:val="32"/>
          <w:shd w:val="clear" w:color="auto" w:fill="FFFFFF"/>
        </w:rPr>
        <w:t>监督检查全县行政管理体制改革和机构改革方案及机构编制规定执行情况，建立机构编制工作考核评估制度，会同有关部门查处机构编制违法违纪行为。</w:t>
      </w:r>
      <w:r>
        <w:rPr>
          <w:rFonts w:hint="eastAsia" w:ascii="仿宋" w:hAnsi="仿宋" w:eastAsia="仿宋" w:cs="仿宋"/>
          <w:snapToGrid w:val="0"/>
          <w:color w:val="000000"/>
          <w:kern w:val="56"/>
          <w:sz w:val="32"/>
          <w:szCs w:val="32"/>
          <w:shd w:val="clear" w:color="auto" w:fill="FFFFFF"/>
        </w:rPr>
        <w:br w:type="textWrapping"/>
      </w:r>
      <w:r>
        <w:rPr>
          <w:rFonts w:hint="eastAsia" w:ascii="仿宋" w:hAnsi="仿宋" w:eastAsia="仿宋" w:cs="仿宋"/>
          <w:snapToGrid w:val="0"/>
          <w:color w:val="000000"/>
          <w:kern w:val="56"/>
          <w:sz w:val="32"/>
          <w:szCs w:val="32"/>
          <w:shd w:val="clear" w:color="auto" w:fill="FFFFFF"/>
        </w:rPr>
        <w:t xml:space="preserve"> </w:t>
      </w:r>
      <w:r>
        <w:rPr>
          <w:rFonts w:hint="eastAsia" w:ascii="仿宋" w:hAnsi="仿宋" w:eastAsia="仿宋" w:cs="仿宋"/>
          <w:snapToGrid w:val="0"/>
          <w:color w:val="000000"/>
          <w:kern w:val="56"/>
          <w:sz w:val="32"/>
          <w:szCs w:val="32"/>
          <w:shd w:val="clear" w:color="auto" w:fill="FFFFFF"/>
          <w:lang w:val="en-US" w:eastAsia="zh-CN"/>
        </w:rPr>
        <w:t xml:space="preserve">  8、</w:t>
      </w:r>
      <w:r>
        <w:rPr>
          <w:rFonts w:hint="eastAsia" w:ascii="仿宋" w:hAnsi="仿宋" w:eastAsia="仿宋" w:cs="仿宋"/>
          <w:snapToGrid w:val="0"/>
          <w:color w:val="000000"/>
          <w:kern w:val="56"/>
          <w:sz w:val="32"/>
          <w:szCs w:val="32"/>
          <w:shd w:val="clear" w:color="auto" w:fill="FFFFFF"/>
        </w:rPr>
        <w:t>负责全县事业单位登记管理工作，组织实施县属事业单位登记和年检工作</w:t>
      </w:r>
      <w:r>
        <w:rPr>
          <w:rFonts w:hint="eastAsia" w:ascii="仿宋" w:hAnsi="仿宋" w:eastAsia="仿宋" w:cs="仿宋"/>
          <w:snapToGrid w:val="0"/>
          <w:color w:val="000000"/>
          <w:kern w:val="56"/>
          <w:sz w:val="32"/>
          <w:szCs w:val="32"/>
          <w:shd w:val="clear" w:color="auto" w:fill="FFFFFF"/>
          <w:lang w:eastAsia="zh-CN"/>
        </w:rPr>
        <w:t>。</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left="0" w:leftChars="0" w:firstLine="419" w:firstLineChars="131"/>
        <w:textAlignment w:val="auto"/>
        <w:rPr>
          <w:rFonts w:hint="eastAsia" w:ascii="仿宋" w:hAnsi="仿宋" w:eastAsia="仿宋" w:cs="仿宋"/>
          <w:snapToGrid w:val="0"/>
          <w:color w:val="000000"/>
          <w:kern w:val="56"/>
          <w:sz w:val="32"/>
          <w:szCs w:val="32"/>
          <w:shd w:val="clear" w:color="auto" w:fill="FFFFFF"/>
          <w:lang w:val="en-US" w:eastAsia="zh-CN"/>
        </w:rPr>
      </w:pPr>
      <w:r>
        <w:rPr>
          <w:rFonts w:hint="eastAsia" w:ascii="仿宋" w:hAnsi="仿宋" w:eastAsia="仿宋" w:cs="仿宋"/>
          <w:snapToGrid w:val="0"/>
          <w:color w:val="000000"/>
          <w:kern w:val="56"/>
          <w:sz w:val="32"/>
          <w:szCs w:val="32"/>
          <w:shd w:val="clear" w:color="auto" w:fill="FFFFFF"/>
          <w:lang w:val="en-US" w:eastAsia="zh-CN"/>
        </w:rPr>
        <w:t>9、</w:t>
      </w:r>
      <w:r>
        <w:rPr>
          <w:rFonts w:hint="eastAsia" w:ascii="仿宋" w:hAnsi="仿宋" w:eastAsia="仿宋" w:cs="仿宋"/>
          <w:snapToGrid w:val="0"/>
          <w:color w:val="000000"/>
          <w:kern w:val="56"/>
          <w:sz w:val="32"/>
          <w:szCs w:val="32"/>
          <w:shd w:val="clear" w:color="auto" w:fill="FFFFFF"/>
        </w:rPr>
        <w:t>承办县委、县政府和县委编委交办的其他工作。</w:t>
      </w:r>
      <w:r>
        <w:rPr>
          <w:rFonts w:hint="eastAsia" w:ascii="仿宋" w:hAnsi="仿宋" w:eastAsia="仿宋" w:cs="仿宋"/>
          <w:snapToGrid w:val="0"/>
          <w:color w:val="000000"/>
          <w:kern w:val="56"/>
          <w:sz w:val="32"/>
          <w:szCs w:val="32"/>
          <w:shd w:val="clear" w:color="auto" w:fill="FFFFFF"/>
          <w:lang w:val="en-US" w:eastAsia="zh-CN"/>
        </w:rPr>
        <w:t xml:space="preserve"> </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321" w:firstLineChars="100"/>
        <w:textAlignment w:val="auto"/>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（二）202</w:t>
      </w:r>
      <w:r>
        <w:rPr>
          <w:rFonts w:hint="eastAsia" w:ascii="楷体_GB2312" w:hAnsi="楷体_GB2312" w:eastAsia="楷体_GB2312" w:cs="楷体_GB2312"/>
          <w:b/>
          <w:bCs/>
          <w:sz w:val="32"/>
          <w:szCs w:val="32"/>
          <w:shd w:val="clear" w:color="auto" w:fill="FFFFFF"/>
          <w:lang w:val="en-US" w:eastAsia="zh-CN"/>
        </w:rPr>
        <w:t>3</w:t>
      </w:r>
      <w:r>
        <w:rPr>
          <w:rFonts w:hint="eastAsia" w:ascii="楷体_GB2312" w:hAnsi="楷体_GB2312" w:eastAsia="楷体_GB2312" w:cs="楷体_GB2312"/>
          <w:b/>
          <w:bCs/>
          <w:sz w:val="32"/>
          <w:szCs w:val="32"/>
          <w:shd w:val="clear" w:color="auto" w:fill="FFFFFF"/>
        </w:rPr>
        <w:t>年重点工作完成情况。</w:t>
      </w:r>
      <w:bookmarkStart w:id="2" w:name="_Toc10295"/>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textAlignment w:val="baseline"/>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lang w:val="en-US" w:eastAsia="zh-CN"/>
        </w:rPr>
        <w:t>以来</w:t>
      </w:r>
      <w:r>
        <w:rPr>
          <w:rFonts w:hint="default" w:ascii="Times New Roman" w:hAnsi="Times New Roman" w:eastAsia="仿宋_GB2312" w:cs="Times New Roman"/>
          <w:color w:val="000000"/>
          <w:sz w:val="32"/>
          <w:szCs w:val="32"/>
        </w:rPr>
        <w:t>在县委、县政府</w:t>
      </w:r>
      <w:r>
        <w:rPr>
          <w:rFonts w:hint="eastAsia" w:ascii="Times New Roman" w:hAnsi="Times New Roman" w:eastAsia="仿宋_GB2312" w:cs="Times New Roman"/>
          <w:color w:val="000000"/>
          <w:sz w:val="32"/>
          <w:szCs w:val="32"/>
          <w:lang w:eastAsia="zh-CN"/>
        </w:rPr>
        <w:t>坚强</w:t>
      </w:r>
      <w:r>
        <w:rPr>
          <w:rFonts w:hint="default" w:ascii="Times New Roman" w:hAnsi="Times New Roman" w:eastAsia="仿宋_GB2312" w:cs="Times New Roman"/>
          <w:color w:val="000000"/>
          <w:sz w:val="32"/>
          <w:szCs w:val="32"/>
        </w:rPr>
        <w:t>领导下，县委编办积极履行机构编制管理职能，</w:t>
      </w:r>
      <w:r>
        <w:rPr>
          <w:rFonts w:hint="eastAsia" w:ascii="Times New Roman" w:hAnsi="Times New Roman" w:eastAsia="仿宋_GB2312" w:cs="Times New Roman"/>
          <w:color w:val="000000"/>
          <w:sz w:val="32"/>
          <w:szCs w:val="32"/>
          <w:lang w:eastAsia="zh-CN"/>
        </w:rPr>
        <w:t>逐步</w:t>
      </w:r>
      <w:r>
        <w:rPr>
          <w:rFonts w:hint="default" w:ascii="Times New Roman" w:hAnsi="Times New Roman" w:eastAsia="仿宋_GB2312" w:cs="Times New Roman"/>
          <w:color w:val="000000"/>
          <w:sz w:val="32"/>
          <w:szCs w:val="32"/>
        </w:rPr>
        <w:t>健全机构编制管理体系</w:t>
      </w:r>
      <w:r>
        <w:rPr>
          <w:rFonts w:hint="eastAsia" w:ascii="Times New Roman" w:hAnsi="Times New Roman" w:eastAsia="仿宋_GB2312" w:cs="Times New Roman"/>
          <w:color w:val="000000"/>
          <w:sz w:val="32"/>
          <w:szCs w:val="32"/>
          <w:lang w:eastAsia="zh-CN"/>
        </w:rPr>
        <w:t>建设</w:t>
      </w:r>
      <w:r>
        <w:rPr>
          <w:rFonts w:hint="default"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不断</w:t>
      </w:r>
      <w:r>
        <w:rPr>
          <w:rFonts w:hint="default" w:ascii="Times New Roman" w:hAnsi="Times New Roman" w:eastAsia="仿宋_GB2312" w:cs="Times New Roman"/>
          <w:color w:val="000000"/>
          <w:sz w:val="32"/>
          <w:szCs w:val="32"/>
        </w:rPr>
        <w:t>强化</w:t>
      </w:r>
      <w:r>
        <w:rPr>
          <w:rFonts w:hint="eastAsia" w:ascii="Times New Roman" w:hAnsi="Times New Roman" w:eastAsia="仿宋_GB2312" w:cs="Times New Roman"/>
          <w:color w:val="000000"/>
          <w:sz w:val="32"/>
          <w:szCs w:val="32"/>
          <w:lang w:eastAsia="zh-CN"/>
        </w:rPr>
        <w:t>机构编制</w:t>
      </w:r>
      <w:r>
        <w:rPr>
          <w:rFonts w:hint="default" w:ascii="Times New Roman" w:hAnsi="Times New Roman" w:eastAsia="仿宋_GB2312" w:cs="Times New Roman"/>
          <w:color w:val="000000"/>
          <w:sz w:val="32"/>
          <w:szCs w:val="32"/>
        </w:rPr>
        <w:t>服务保障</w:t>
      </w:r>
      <w:r>
        <w:rPr>
          <w:rFonts w:hint="eastAsia" w:ascii="Times New Roman" w:hAnsi="Times New Roman" w:eastAsia="仿宋_GB2312" w:cs="Times New Roman"/>
          <w:color w:val="000000"/>
          <w:sz w:val="32"/>
          <w:szCs w:val="32"/>
          <w:lang w:eastAsia="zh-CN"/>
        </w:rPr>
        <w:t>能力提升</w:t>
      </w:r>
      <w:r>
        <w:rPr>
          <w:rFonts w:hint="default"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持续</w:t>
      </w:r>
      <w:r>
        <w:rPr>
          <w:rFonts w:hint="default" w:ascii="Times New Roman" w:hAnsi="Times New Roman" w:eastAsia="仿宋_GB2312" w:cs="Times New Roman"/>
          <w:color w:val="000000"/>
          <w:sz w:val="32"/>
          <w:szCs w:val="32"/>
          <w:lang w:val="en-US" w:eastAsia="zh-CN"/>
        </w:rPr>
        <w:t>推动机构编制工作科学化、规范化和制度化建设，</w:t>
      </w:r>
      <w:r>
        <w:rPr>
          <w:rFonts w:hint="default" w:ascii="Times New Roman" w:hAnsi="Times New Roman" w:eastAsia="仿宋_GB2312" w:cs="Times New Roman"/>
          <w:color w:val="000000"/>
          <w:sz w:val="32"/>
          <w:szCs w:val="32"/>
        </w:rPr>
        <w:t>较好地完成各项工作任务。</w:t>
      </w:r>
      <w:r>
        <w:rPr>
          <w:rFonts w:hint="eastAsia" w:ascii="Times New Roman" w:hAnsi="Times New Roman" w:eastAsia="仿宋_GB2312" w:cs="Times New Roman"/>
          <w:color w:val="000000"/>
          <w:sz w:val="32"/>
          <w:szCs w:val="32"/>
          <w:lang w:eastAsia="zh-CN"/>
        </w:rPr>
        <w:t>现将工作总结如下：</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rPr>
          <w:rFonts w:hint="default" w:ascii="Times New Roman" w:hAnsi="Times New Roman" w:eastAsia="黑体" w:cs="Times New Roman"/>
          <w:b w:val="0"/>
          <w:bCs w:val="0"/>
          <w:sz w:val="32"/>
          <w:szCs w:val="32"/>
          <w:lang w:val="en-US" w:eastAsia="zh-CN"/>
        </w:rPr>
      </w:pPr>
      <w:r>
        <w:rPr>
          <w:rFonts w:hint="eastAsia" w:ascii="Times New Roman" w:hAnsi="Times New Roman" w:eastAsia="黑体" w:cs="Times New Roman"/>
          <w:b w:val="0"/>
          <w:bCs w:val="0"/>
          <w:sz w:val="32"/>
          <w:szCs w:val="32"/>
          <w:lang w:val="en-US" w:eastAsia="zh-CN"/>
        </w:rPr>
        <w:t>1</w:t>
      </w:r>
      <w:r>
        <w:rPr>
          <w:rFonts w:hint="default" w:ascii="Times New Roman" w:hAnsi="Times New Roman" w:eastAsia="黑体" w:cs="Times New Roman"/>
          <w:b w:val="0"/>
          <w:bCs w:val="0"/>
          <w:sz w:val="32"/>
          <w:szCs w:val="32"/>
          <w:lang w:eastAsia="zh-CN"/>
        </w:rPr>
        <w:t>、</w:t>
      </w:r>
      <w:r>
        <w:rPr>
          <w:rFonts w:hint="default" w:ascii="Times New Roman" w:hAnsi="Times New Roman" w:eastAsia="黑体" w:cs="Times New Roman"/>
          <w:b w:val="0"/>
          <w:bCs w:val="0"/>
          <w:sz w:val="32"/>
          <w:szCs w:val="32"/>
          <w:lang w:val="en-US" w:eastAsia="zh-CN"/>
        </w:rPr>
        <w:t>工作开展情况</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firstLineChars="200"/>
        <w:textAlignment w:val="baseline"/>
        <w:outlineLvl w:val="9"/>
        <w:rPr>
          <w:rFonts w:hint="eastAsia" w:ascii="Times New Roman" w:hAnsi="Times New Roman" w:eastAsia="仿宋_GB2312" w:cs="Times New Roman"/>
          <w:color w:val="000000"/>
          <w:sz w:val="32"/>
          <w:szCs w:val="32"/>
          <w:lang w:val="en-US" w:eastAsia="zh-CN"/>
        </w:rPr>
      </w:pPr>
      <w:r>
        <w:rPr>
          <w:rFonts w:hint="default" w:ascii="Times New Roman" w:hAnsi="Times New Roman" w:eastAsia="楷体_GB2312" w:cs="Times New Roman"/>
          <w:b/>
          <w:bCs/>
          <w:sz w:val="32"/>
          <w:szCs w:val="32"/>
          <w:lang w:eastAsia="zh-CN"/>
        </w:rPr>
        <w:t>（</w:t>
      </w:r>
      <w:r>
        <w:rPr>
          <w:rFonts w:hint="eastAsia" w:ascii="Times New Roman" w:hAnsi="Times New Roman" w:eastAsia="楷体_GB2312" w:cs="Times New Roman"/>
          <w:b/>
          <w:bCs/>
          <w:sz w:val="32"/>
          <w:szCs w:val="32"/>
          <w:lang w:val="en-US" w:eastAsia="zh-CN"/>
        </w:rPr>
        <w:t>1</w:t>
      </w:r>
      <w:r>
        <w:rPr>
          <w:rFonts w:hint="default" w:ascii="Times New Roman" w:hAnsi="Times New Roman" w:eastAsia="楷体_GB2312" w:cs="Times New Roman"/>
          <w:b/>
          <w:bCs/>
          <w:sz w:val="32"/>
          <w:szCs w:val="32"/>
          <w:lang w:eastAsia="zh-CN"/>
        </w:rPr>
        <w:t>）</w:t>
      </w:r>
      <w:r>
        <w:rPr>
          <w:rFonts w:hint="eastAsia" w:ascii="Times New Roman" w:hAnsi="Times New Roman" w:eastAsia="楷体_GB2312" w:cs="Times New Roman"/>
          <w:b/>
          <w:bCs/>
          <w:sz w:val="32"/>
          <w:szCs w:val="32"/>
          <w:lang w:eastAsia="zh-CN"/>
        </w:rPr>
        <w:t>积极开展</w:t>
      </w:r>
      <w:r>
        <w:rPr>
          <w:rFonts w:hint="eastAsia" w:ascii="楷体_GB2312" w:hAnsi="楷体_GB2312" w:eastAsia="楷体_GB2312" w:cs="楷体_GB2312"/>
          <w:b/>
          <w:bCs/>
          <w:sz w:val="32"/>
          <w:szCs w:val="32"/>
          <w:lang w:val="en-US" w:eastAsia="zh-CN"/>
        </w:rPr>
        <w:t>学习贯彻习近平新时代中国特色社会主义思想主题教育。</w:t>
      </w:r>
      <w:r>
        <w:rPr>
          <w:rFonts w:hint="eastAsia" w:ascii="Times New Roman" w:hAnsi="Times New Roman" w:eastAsia="仿宋_GB2312" w:cs="Times New Roman"/>
          <w:color w:val="000000"/>
          <w:sz w:val="32"/>
          <w:szCs w:val="32"/>
          <w:lang w:val="en-US" w:eastAsia="zh-CN"/>
        </w:rPr>
        <w:t>县委编办按计划，有序开展主题教育工作。计划组织开</w:t>
      </w:r>
      <w:r>
        <w:rPr>
          <w:rFonts w:hint="eastAsia" w:ascii="Times New Roman" w:hAnsi="Times New Roman" w:eastAsia="仿宋_GB2312" w:cs="Times New Roman"/>
          <w:color w:val="auto"/>
          <w:sz w:val="32"/>
          <w:szCs w:val="32"/>
          <w:lang w:val="en-US" w:eastAsia="zh-CN"/>
        </w:rPr>
        <w:t>展18次集中学习。通过支委会、干部大会</w:t>
      </w:r>
      <w:r>
        <w:rPr>
          <w:rFonts w:hint="eastAsia" w:ascii="Times New Roman" w:hAnsi="Times New Roman" w:eastAsia="仿宋_GB2312" w:cs="Times New Roman"/>
          <w:color w:val="000000"/>
          <w:sz w:val="32"/>
          <w:szCs w:val="32"/>
          <w:lang w:val="en-US" w:eastAsia="zh-CN"/>
        </w:rPr>
        <w:t>、专题学习会积极传达学习贯彻习近平新时代中国特色社会主义思想主题教育系列会议精神、习近平总书记重要讲话精神和党中央部署要求，精心谋划主题教育工作措施，落实主题教育任务要求。目前我办主题教育专项工作开展的正确有力、扎实有效。</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firstLineChars="200"/>
        <w:textAlignment w:val="baseline"/>
        <w:outlineLvl w:val="9"/>
        <w:rPr>
          <w:rFonts w:hint="eastAsia" w:ascii="Times New Roman" w:hAnsi="Times New Roman" w:eastAsia="仿宋_GB2312" w:cs="Times New Roman"/>
          <w:color w:val="000000"/>
          <w:sz w:val="32"/>
          <w:szCs w:val="32"/>
          <w:lang w:val="en-US" w:eastAsia="zh-CN"/>
        </w:rPr>
      </w:pPr>
      <w:r>
        <w:rPr>
          <w:rFonts w:hint="default" w:ascii="Times New Roman" w:hAnsi="Times New Roman" w:eastAsia="楷体_GB2312" w:cs="Times New Roman"/>
          <w:b/>
          <w:bCs/>
          <w:sz w:val="32"/>
          <w:szCs w:val="32"/>
          <w:lang w:val="en-US" w:eastAsia="zh-CN"/>
        </w:rPr>
        <w:t>（</w:t>
      </w:r>
      <w:r>
        <w:rPr>
          <w:rFonts w:hint="eastAsia" w:ascii="Times New Roman" w:hAnsi="Times New Roman" w:eastAsia="楷体_GB2312" w:cs="Times New Roman"/>
          <w:b/>
          <w:bCs/>
          <w:sz w:val="32"/>
          <w:szCs w:val="32"/>
          <w:lang w:val="en-US" w:eastAsia="zh-CN"/>
        </w:rPr>
        <w:t>2</w:t>
      </w:r>
      <w:r>
        <w:rPr>
          <w:rFonts w:hint="default" w:ascii="Times New Roman" w:hAnsi="Times New Roman" w:eastAsia="楷体_GB2312" w:cs="Times New Roman"/>
          <w:b/>
          <w:bCs/>
          <w:sz w:val="32"/>
          <w:szCs w:val="32"/>
          <w:lang w:val="en-US" w:eastAsia="zh-CN"/>
        </w:rPr>
        <w:t>）</w:t>
      </w:r>
      <w:r>
        <w:rPr>
          <w:rFonts w:hint="eastAsia" w:ascii="楷体_GB2312" w:hAnsi="楷体_GB2312" w:eastAsia="楷体_GB2312" w:cs="楷体_GB2312"/>
          <w:b/>
          <w:bCs/>
          <w:sz w:val="32"/>
          <w:szCs w:val="32"/>
          <w:lang w:val="en-US" w:eastAsia="zh-CN"/>
        </w:rPr>
        <w:t>机构改革前期准备工作。</w:t>
      </w:r>
      <w:r>
        <w:rPr>
          <w:rFonts w:hint="eastAsia" w:ascii="Times New Roman" w:hAnsi="Times New Roman" w:eastAsia="仿宋_GB2312" w:cs="Times New Roman"/>
          <w:b/>
          <w:bCs/>
          <w:color w:val="000000"/>
          <w:sz w:val="32"/>
          <w:szCs w:val="32"/>
          <w:lang w:val="en-US" w:eastAsia="zh-CN"/>
        </w:rPr>
        <w:t>一是</w:t>
      </w:r>
      <w:r>
        <w:rPr>
          <w:rFonts w:hint="eastAsia" w:ascii="Times New Roman" w:hAnsi="Times New Roman" w:eastAsia="仿宋_GB2312" w:cs="Times New Roman"/>
          <w:color w:val="000000"/>
          <w:sz w:val="32"/>
          <w:szCs w:val="32"/>
          <w:lang w:val="en-US" w:eastAsia="zh-CN"/>
        </w:rPr>
        <w:t>深入学习《党和国家机构改革方案》、《“三定”规定制定和实施办法》和《中国共产党机构编制工作条例》等法律法规，在县委编委会和编办</w:t>
      </w:r>
      <w:r>
        <w:rPr>
          <w:rFonts w:hint="eastAsia" w:ascii="Times New Roman" w:hAnsi="Times New Roman" w:eastAsia="仿宋_GB2312" w:cs="Times New Roman"/>
          <w:b w:val="0"/>
          <w:bCs w:val="0"/>
          <w:color w:val="000000"/>
          <w:sz w:val="32"/>
          <w:szCs w:val="32"/>
          <w:lang w:val="en-US" w:eastAsia="zh-CN"/>
        </w:rPr>
        <w:t>室务会上传达学</w:t>
      </w:r>
      <w:r>
        <w:rPr>
          <w:rFonts w:hint="eastAsia" w:ascii="Times New Roman" w:hAnsi="Times New Roman" w:eastAsia="仿宋_GB2312" w:cs="Times New Roman"/>
          <w:color w:val="000000"/>
          <w:sz w:val="32"/>
          <w:szCs w:val="32"/>
          <w:lang w:val="en-US" w:eastAsia="zh-CN"/>
        </w:rPr>
        <w:t>习机构改革新政策、新要求、新动态，深刻领会改革意义，结合我县机构编制实际，为推进红原县机构改革工作提供充分的政策储备。</w:t>
      </w:r>
      <w:r>
        <w:rPr>
          <w:rFonts w:hint="eastAsia" w:ascii="Times New Roman" w:hAnsi="Times New Roman" w:eastAsia="仿宋_GB2312" w:cs="Times New Roman"/>
          <w:b/>
          <w:bCs/>
          <w:color w:val="000000"/>
          <w:sz w:val="32"/>
          <w:szCs w:val="32"/>
          <w:lang w:val="en-US" w:eastAsia="zh-CN"/>
        </w:rPr>
        <w:t>二是</w:t>
      </w:r>
      <w:r>
        <w:rPr>
          <w:rFonts w:hint="eastAsia" w:ascii="Times New Roman" w:hAnsi="Times New Roman" w:eastAsia="仿宋_GB2312" w:cs="Times New Roman"/>
          <w:color w:val="000000"/>
          <w:sz w:val="32"/>
          <w:szCs w:val="32"/>
          <w:lang w:val="en-US" w:eastAsia="zh-CN"/>
        </w:rPr>
        <w:t>加强机构改革前期调研工作，围绕《党和国家机构改革方案》和《机构编制管理评估办法》制定调研计划，深入调研全县党政机关事业单位运行情况，</w:t>
      </w:r>
      <w:r>
        <w:rPr>
          <w:rFonts w:hint="eastAsia" w:ascii="仿宋_GB2312" w:eastAsia="仿宋_GB2312"/>
          <w:sz w:val="32"/>
          <w:szCs w:val="32"/>
        </w:rPr>
        <w:t>完成机构改革前期调研工作6次。分别为：红原县机构编制违规违纪问题调研、深化权责清单运用调研、供销系统体系建设情况调研、乡（镇）农村农村服务中心运行情况调研、生态环境系统体系建设情况调研、党建引领机构编制部门发展的调研。</w:t>
      </w:r>
      <w:r>
        <w:rPr>
          <w:rFonts w:hint="eastAsia" w:ascii="Times New Roman" w:hAnsi="Times New Roman" w:eastAsia="仿宋_GB2312" w:cs="Times New Roman"/>
          <w:color w:val="000000"/>
          <w:sz w:val="32"/>
          <w:szCs w:val="32"/>
          <w:lang w:val="en-US" w:eastAsia="zh-CN"/>
        </w:rPr>
        <w:t>理顺机构编制总体脉络、做好机构改革前期铺垫工作，为县委决策部署提供客观、真实依据。</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firstLineChars="200"/>
        <w:textAlignment w:val="baseline"/>
        <w:outlineLvl w:val="9"/>
        <w:rPr>
          <w:rFonts w:hint="default" w:ascii="Times New Roman" w:hAnsi="Times New Roman" w:eastAsia="仿宋_GB2312" w:cs="Times New Roman"/>
          <w:color w:val="000000"/>
          <w:sz w:val="32"/>
          <w:szCs w:val="32"/>
          <w:lang w:val="en-US"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3</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认真落实编委会审议制度。</w:t>
      </w:r>
      <w:r>
        <w:rPr>
          <w:rFonts w:hint="eastAsia" w:ascii="Times New Roman" w:hAnsi="Times New Roman" w:eastAsia="仿宋_GB2312" w:cs="Times New Roman"/>
          <w:color w:val="000000"/>
          <w:sz w:val="32"/>
          <w:szCs w:val="32"/>
          <w:lang w:val="en-US" w:eastAsia="zh-CN"/>
        </w:rPr>
        <w:t>本年度中共红原县委机构编制委员会召开第十三届第二次会议，将《机构编制报告制度实施办法（试行）》纳入会议集中学习，传达州委编办批复2项，审阅《红原县2022年度机构编制统计分析报告》1份，审议机构编制事项13项。完成机构挂牌1个，在红原县卫生健康局加挂“红原县疾病预防控制局”牌子。</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3" w:firstLineChars="200"/>
        <w:textAlignment w:val="baseline"/>
        <w:outlineLvl w:val="9"/>
        <w:rPr>
          <w:rFonts w:hint="default" w:ascii="Times New Roman" w:hAnsi="Times New Roman" w:eastAsia="楷体_GB2312" w:cs="Times New Roman"/>
          <w:b w:val="0"/>
          <w:bCs w:val="0"/>
          <w:sz w:val="32"/>
          <w:szCs w:val="32"/>
          <w:lang w:val="en-US" w:eastAsia="zh-CN"/>
        </w:rPr>
      </w:pPr>
      <w:r>
        <w:rPr>
          <w:rFonts w:hint="eastAsia" w:ascii="Times New Roman" w:hAnsi="Times New Roman" w:eastAsia="楷体_GB2312" w:cs="Times New Roman"/>
          <w:b/>
          <w:bCs/>
          <w:sz w:val="32"/>
          <w:szCs w:val="32"/>
          <w:lang w:val="en-US" w:eastAsia="zh-CN"/>
        </w:rPr>
        <w:t>（4）严格执行人员编制审核工作。</w:t>
      </w:r>
      <w:r>
        <w:rPr>
          <w:rFonts w:hint="eastAsia" w:ascii="Times New Roman" w:hAnsi="Times New Roman" w:eastAsia="仿宋_GB2312" w:cs="Times New Roman"/>
          <w:color w:val="000000"/>
          <w:sz w:val="32"/>
          <w:szCs w:val="32"/>
          <w:lang w:val="en-US" w:eastAsia="zh-CN"/>
        </w:rPr>
        <w:t>根据《州委组织部、州人社局、州委编办关于印发&lt;阿坝州事业单位工作人员流（调）懂实施细则（试行）&gt;的通知》和《县委办关于印发&lt;红原县公务员转任实施办法（试行）&gt;的通知》要求，积极配合县委组织部、县人社局做好全县党政机关事业单位人员留调动用编审核，本年度共审核县</w:t>
      </w:r>
      <w:r>
        <w:rPr>
          <w:rFonts w:hint="eastAsia" w:ascii="Times New Roman" w:hAnsi="Times New Roman" w:eastAsia="仿宋_GB2312" w:cs="Times New Roman"/>
          <w:color w:val="auto"/>
          <w:sz w:val="32"/>
          <w:szCs w:val="32"/>
          <w:lang w:val="en-US" w:eastAsia="zh-CN"/>
        </w:rPr>
        <w:t>内用编94名（包含县教育、卫生系</w:t>
      </w:r>
      <w:r>
        <w:rPr>
          <w:rFonts w:hint="eastAsia" w:ascii="Times New Roman" w:hAnsi="Times New Roman" w:eastAsia="仿宋_GB2312" w:cs="Times New Roman"/>
          <w:color w:val="000000"/>
          <w:sz w:val="32"/>
          <w:szCs w:val="32"/>
          <w:lang w:val="en-US" w:eastAsia="zh-CN"/>
        </w:rPr>
        <w:t>统编制调整），</w:t>
      </w:r>
      <w:r>
        <w:rPr>
          <w:rFonts w:hint="eastAsia" w:ascii="Times New Roman" w:hAnsi="Times New Roman" w:eastAsia="仿宋_GB2312" w:cs="Times New Roman"/>
          <w:b w:val="0"/>
          <w:bCs w:val="0"/>
          <w:color w:val="000000"/>
          <w:sz w:val="32"/>
          <w:szCs w:val="32"/>
          <w:lang w:val="en-US" w:eastAsia="zh-CN"/>
        </w:rPr>
        <w:t>为县委组织部和县人社局在人事调配上提供了用编依据。</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3" w:firstLineChars="200"/>
        <w:jc w:val="both"/>
        <w:rPr>
          <w:rFonts w:hint="default" w:ascii="Times New Roman" w:hAnsi="Times New Roman" w:eastAsia="仿宋_GB2312" w:cs="Times New Roman"/>
          <w:b w:val="0"/>
          <w:bCs w:val="0"/>
          <w:color w:val="000000"/>
          <w:sz w:val="32"/>
          <w:szCs w:val="32"/>
          <w:lang w:val="en-US" w:eastAsia="zh-CN"/>
        </w:rPr>
      </w:pPr>
      <w:r>
        <w:rPr>
          <w:rFonts w:hint="default" w:ascii="Times New Roman" w:hAnsi="Times New Roman" w:eastAsia="楷体_GB2312" w:cs="Times New Roman"/>
          <w:b/>
          <w:bCs/>
          <w:sz w:val="32"/>
          <w:szCs w:val="32"/>
          <w:lang w:eastAsia="zh-CN"/>
        </w:rPr>
        <w:t>（</w:t>
      </w:r>
      <w:r>
        <w:rPr>
          <w:rFonts w:hint="eastAsia" w:ascii="Times New Roman" w:hAnsi="Times New Roman" w:eastAsia="楷体_GB2312" w:cs="Times New Roman"/>
          <w:b/>
          <w:bCs/>
          <w:sz w:val="32"/>
          <w:szCs w:val="32"/>
          <w:lang w:val="en-US" w:eastAsia="zh-CN"/>
        </w:rPr>
        <w:t>5</w:t>
      </w:r>
      <w:r>
        <w:rPr>
          <w:rFonts w:hint="default" w:ascii="Times New Roman" w:hAnsi="Times New Roman" w:eastAsia="楷体_GB2312" w:cs="Times New Roman"/>
          <w:b/>
          <w:bCs/>
          <w:sz w:val="32"/>
          <w:szCs w:val="32"/>
          <w:lang w:eastAsia="zh-CN"/>
        </w:rPr>
        <w:t>）推进事业单位登记管理工作。</w:t>
      </w:r>
      <w:r>
        <w:rPr>
          <w:rFonts w:hint="eastAsia" w:ascii="仿宋_GB2312" w:hAnsi="仿宋_GB2312" w:eastAsia="仿宋_GB2312" w:cs="仿宋_GB2312"/>
          <w:b/>
          <w:bCs/>
          <w:sz w:val="32"/>
          <w:szCs w:val="32"/>
          <w:lang w:eastAsia="zh-CN"/>
        </w:rPr>
        <w:t>一是</w:t>
      </w:r>
      <w:r>
        <w:rPr>
          <w:rFonts w:hint="default" w:ascii="Times New Roman" w:hAnsi="Times New Roman" w:eastAsia="仿宋_GB2312" w:cs="Times New Roman"/>
          <w:b w:val="0"/>
          <w:bCs w:val="0"/>
          <w:sz w:val="32"/>
          <w:szCs w:val="32"/>
          <w:lang w:eastAsia="zh-CN"/>
        </w:rPr>
        <w:t>高效完成法人年度报告公示。我办</w:t>
      </w:r>
      <w:r>
        <w:rPr>
          <w:rFonts w:hint="eastAsia" w:ascii="Times New Roman" w:hAnsi="Times New Roman" w:eastAsia="仿宋_GB2312" w:cs="Times New Roman"/>
          <w:b w:val="0"/>
          <w:bCs w:val="0"/>
          <w:sz w:val="32"/>
          <w:szCs w:val="32"/>
          <w:lang w:val="en-US" w:eastAsia="zh-CN"/>
        </w:rPr>
        <w:t>根据年初工作安排</w:t>
      </w:r>
      <w:r>
        <w:rPr>
          <w:rFonts w:hint="default" w:ascii="Times New Roman" w:hAnsi="Times New Roman" w:eastAsia="仿宋_GB2312" w:cs="Times New Roman"/>
          <w:b w:val="0"/>
          <w:bCs w:val="0"/>
          <w:sz w:val="32"/>
          <w:szCs w:val="32"/>
          <w:lang w:eastAsia="zh-CN"/>
        </w:rPr>
        <w:t>采取下发文件、建立事业单位年度报告公示工作微信群，通过文件精神传达、网络演示操作方法、微信及时解答疑问等方式方法，使我县事业单位年报工作和法人证书相关信息变更工作一并部署、一起推进的工作方法</w:t>
      </w:r>
      <w:r>
        <w:rPr>
          <w:rFonts w:hint="default" w:ascii="Times New Roman" w:hAnsi="Times New Roman" w:eastAsia="仿宋_GB2312" w:cs="Times New Roman"/>
          <w:b w:val="0"/>
          <w:bCs w:val="0"/>
          <w:color w:val="auto"/>
          <w:sz w:val="32"/>
          <w:szCs w:val="32"/>
          <w:lang w:eastAsia="zh-CN"/>
        </w:rPr>
        <w:t>。截止目前，全县共登记事业单位</w:t>
      </w:r>
      <w:r>
        <w:rPr>
          <w:rFonts w:hint="eastAsia" w:ascii="Times New Roman" w:hAnsi="Times New Roman" w:eastAsia="仿宋_GB2312" w:cs="Times New Roman"/>
          <w:b w:val="0"/>
          <w:bCs w:val="0"/>
          <w:color w:val="auto"/>
          <w:sz w:val="32"/>
          <w:szCs w:val="32"/>
          <w:lang w:val="en-US" w:eastAsia="zh-CN"/>
        </w:rPr>
        <w:t>83</w:t>
      </w:r>
      <w:r>
        <w:rPr>
          <w:rFonts w:hint="default" w:ascii="Times New Roman" w:hAnsi="Times New Roman" w:eastAsia="仿宋_GB2312" w:cs="Times New Roman"/>
          <w:b w:val="0"/>
          <w:bCs w:val="0"/>
          <w:color w:val="auto"/>
          <w:sz w:val="32"/>
          <w:szCs w:val="32"/>
          <w:lang w:eastAsia="zh-CN"/>
        </w:rPr>
        <w:t>个，全面完成82个事业单位年度报告公示工作（</w:t>
      </w:r>
      <w:r>
        <w:rPr>
          <w:rFonts w:hint="eastAsia" w:ascii="Times New Roman" w:hAnsi="Times New Roman" w:eastAsia="仿宋_GB2312" w:cs="Times New Roman"/>
          <w:b w:val="0"/>
          <w:bCs w:val="0"/>
          <w:color w:val="auto"/>
          <w:sz w:val="32"/>
          <w:szCs w:val="32"/>
          <w:lang w:val="en-US" w:eastAsia="zh-CN"/>
        </w:rPr>
        <w:t>1</w:t>
      </w:r>
      <w:r>
        <w:rPr>
          <w:rFonts w:hint="default" w:ascii="Times New Roman" w:hAnsi="Times New Roman" w:eastAsia="仿宋_GB2312" w:cs="Times New Roman"/>
          <w:b w:val="0"/>
          <w:bCs w:val="0"/>
          <w:color w:val="auto"/>
          <w:sz w:val="32"/>
          <w:szCs w:val="32"/>
          <w:lang w:eastAsia="zh-CN"/>
        </w:rPr>
        <w:t>个新设立登记事业单位免于年度报告公示），年度报告公示率达100%。全年我办办理事业单位变更登记</w:t>
      </w:r>
      <w:r>
        <w:rPr>
          <w:rFonts w:hint="eastAsia" w:ascii="Times New Roman" w:hAnsi="Times New Roman" w:eastAsia="仿宋_GB2312" w:cs="Times New Roman"/>
          <w:b w:val="0"/>
          <w:bCs w:val="0"/>
          <w:color w:val="auto"/>
          <w:sz w:val="32"/>
          <w:szCs w:val="32"/>
          <w:lang w:eastAsia="zh-CN"/>
        </w:rPr>
        <w:t>事项</w:t>
      </w:r>
      <w:r>
        <w:rPr>
          <w:rFonts w:hint="eastAsia" w:ascii="Times New Roman" w:hAnsi="Times New Roman" w:eastAsia="仿宋_GB2312" w:cs="Times New Roman"/>
          <w:b w:val="0"/>
          <w:bCs w:val="0"/>
          <w:color w:val="auto"/>
          <w:sz w:val="32"/>
          <w:szCs w:val="32"/>
          <w:lang w:val="en-US" w:eastAsia="zh-CN"/>
        </w:rPr>
        <w:t>17项</w:t>
      </w:r>
      <w:r>
        <w:rPr>
          <w:rFonts w:hint="default" w:ascii="Times New Roman" w:hAnsi="Times New Roman" w:eastAsia="仿宋_GB2312" w:cs="Times New Roman"/>
          <w:b w:val="0"/>
          <w:bCs w:val="0"/>
          <w:color w:val="auto"/>
          <w:sz w:val="32"/>
          <w:szCs w:val="32"/>
          <w:lang w:eastAsia="zh-CN"/>
        </w:rPr>
        <w:t>，其中：办理法人变更登记</w:t>
      </w:r>
      <w:r>
        <w:rPr>
          <w:rFonts w:hint="eastAsia" w:ascii="Times New Roman" w:hAnsi="Times New Roman" w:eastAsia="仿宋_GB2312" w:cs="Times New Roman"/>
          <w:b w:val="0"/>
          <w:bCs w:val="0"/>
          <w:color w:val="auto"/>
          <w:sz w:val="32"/>
          <w:szCs w:val="32"/>
          <w:lang w:val="en-US" w:eastAsia="zh-CN"/>
        </w:rPr>
        <w:t>12</w:t>
      </w:r>
      <w:r>
        <w:rPr>
          <w:rFonts w:hint="default" w:ascii="Times New Roman" w:hAnsi="Times New Roman" w:eastAsia="仿宋_GB2312" w:cs="Times New Roman"/>
          <w:b w:val="0"/>
          <w:bCs w:val="0"/>
          <w:color w:val="auto"/>
          <w:sz w:val="32"/>
          <w:szCs w:val="32"/>
          <w:lang w:eastAsia="zh-CN"/>
        </w:rPr>
        <w:t>个、</w:t>
      </w:r>
      <w:r>
        <w:rPr>
          <w:rFonts w:hint="eastAsia" w:ascii="Times New Roman" w:hAnsi="Times New Roman" w:eastAsia="仿宋_GB2312" w:cs="Times New Roman"/>
          <w:b w:val="0"/>
          <w:bCs w:val="0"/>
          <w:color w:val="auto"/>
          <w:sz w:val="32"/>
          <w:szCs w:val="32"/>
          <w:lang w:val="en-US" w:eastAsia="zh-CN"/>
        </w:rPr>
        <w:t>终止</w:t>
      </w:r>
      <w:r>
        <w:rPr>
          <w:rFonts w:hint="default" w:ascii="Times New Roman" w:hAnsi="Times New Roman" w:eastAsia="仿宋_GB2312" w:cs="Times New Roman"/>
          <w:b w:val="0"/>
          <w:bCs w:val="0"/>
          <w:color w:val="auto"/>
          <w:sz w:val="32"/>
          <w:szCs w:val="32"/>
          <w:lang w:eastAsia="zh-CN"/>
        </w:rPr>
        <w:t>和业务范围变更登记</w:t>
      </w:r>
      <w:r>
        <w:rPr>
          <w:rFonts w:hint="eastAsia" w:ascii="Times New Roman" w:hAnsi="Times New Roman" w:eastAsia="仿宋_GB2312" w:cs="Times New Roman"/>
          <w:b w:val="0"/>
          <w:bCs w:val="0"/>
          <w:color w:val="auto"/>
          <w:sz w:val="32"/>
          <w:szCs w:val="32"/>
          <w:lang w:val="en-US" w:eastAsia="zh-CN"/>
        </w:rPr>
        <w:t>1</w:t>
      </w:r>
      <w:r>
        <w:rPr>
          <w:rFonts w:hint="default" w:ascii="Times New Roman" w:hAnsi="Times New Roman" w:eastAsia="仿宋_GB2312" w:cs="Times New Roman"/>
          <w:b w:val="0"/>
          <w:bCs w:val="0"/>
          <w:color w:val="auto"/>
          <w:sz w:val="32"/>
          <w:szCs w:val="32"/>
          <w:lang w:eastAsia="zh-CN"/>
        </w:rPr>
        <w:t>个、事业单位名称变更登记4个。全年办理事业单位法人证书延期</w:t>
      </w:r>
      <w:r>
        <w:rPr>
          <w:rFonts w:hint="eastAsia" w:ascii="Times New Roman" w:hAnsi="Times New Roman" w:eastAsia="仿宋_GB2312" w:cs="Times New Roman"/>
          <w:b w:val="0"/>
          <w:bCs w:val="0"/>
          <w:color w:val="auto"/>
          <w:sz w:val="32"/>
          <w:szCs w:val="32"/>
          <w:lang w:val="en-US" w:eastAsia="zh-CN"/>
        </w:rPr>
        <w:t>19</w:t>
      </w:r>
      <w:r>
        <w:rPr>
          <w:rFonts w:hint="default" w:ascii="Times New Roman" w:hAnsi="Times New Roman" w:eastAsia="仿宋_GB2312" w:cs="Times New Roman"/>
          <w:b w:val="0"/>
          <w:bCs w:val="0"/>
          <w:color w:val="auto"/>
          <w:sz w:val="32"/>
          <w:szCs w:val="32"/>
          <w:lang w:eastAsia="zh-CN"/>
        </w:rPr>
        <w:t>个单位</w:t>
      </w:r>
      <w:r>
        <w:rPr>
          <w:rFonts w:hint="eastAsia" w:ascii="Times New Roman" w:hAnsi="Times New Roman" w:eastAsia="仿宋_GB2312" w:cs="Times New Roman"/>
          <w:b w:val="0"/>
          <w:bCs w:val="0"/>
          <w:color w:val="auto"/>
          <w:sz w:val="32"/>
          <w:szCs w:val="32"/>
          <w:lang w:eastAsia="zh-CN"/>
        </w:rPr>
        <w:t>，补领证书</w:t>
      </w:r>
      <w:r>
        <w:rPr>
          <w:rFonts w:hint="eastAsia" w:ascii="Times New Roman" w:hAnsi="Times New Roman" w:eastAsia="仿宋_GB2312" w:cs="Times New Roman"/>
          <w:b w:val="0"/>
          <w:bCs w:val="0"/>
          <w:color w:val="auto"/>
          <w:sz w:val="32"/>
          <w:szCs w:val="32"/>
          <w:lang w:val="en-US" w:eastAsia="zh-CN"/>
        </w:rPr>
        <w:t>3个单位</w:t>
      </w:r>
      <w:r>
        <w:rPr>
          <w:rFonts w:hint="default" w:ascii="Times New Roman" w:hAnsi="Times New Roman" w:eastAsia="仿宋_GB2312" w:cs="Times New Roman"/>
          <w:b w:val="0"/>
          <w:bCs w:val="0"/>
          <w:color w:val="auto"/>
          <w:sz w:val="32"/>
          <w:szCs w:val="32"/>
          <w:lang w:eastAsia="zh-CN"/>
        </w:rPr>
        <w:t>。</w:t>
      </w:r>
      <w:r>
        <w:rPr>
          <w:rFonts w:hint="eastAsia" w:ascii="Times New Roman" w:hAnsi="Times New Roman" w:eastAsia="仿宋_GB2312" w:cs="Times New Roman"/>
          <w:b/>
          <w:bCs/>
          <w:color w:val="auto"/>
          <w:sz w:val="32"/>
          <w:szCs w:val="32"/>
          <w:lang w:eastAsia="zh-CN"/>
        </w:rPr>
        <w:t>二是</w:t>
      </w:r>
      <w:r>
        <w:rPr>
          <w:rFonts w:hint="default" w:ascii="Times New Roman" w:hAnsi="Times New Roman" w:eastAsia="仿宋_GB2312" w:cs="Times New Roman"/>
          <w:b w:val="0"/>
          <w:bCs w:val="0"/>
          <w:sz w:val="32"/>
          <w:szCs w:val="32"/>
          <w:lang w:eastAsia="zh-CN"/>
        </w:rPr>
        <w:t>服务好统一信用代码证书换证工作。</w:t>
      </w:r>
      <w:r>
        <w:rPr>
          <w:rFonts w:hint="eastAsia" w:ascii="Times New Roman" w:hAnsi="Times New Roman" w:eastAsia="仿宋_GB2312" w:cs="Times New Roman"/>
          <w:color w:val="000000"/>
          <w:sz w:val="32"/>
          <w:szCs w:val="32"/>
          <w:lang w:val="en-US" w:eastAsia="zh-CN"/>
        </w:rPr>
        <w:t>新登记行政机构1家（县烟草专卖局）并颁发法人证书；完成1家行政单位变更登记工作（县消防救援大队）。</w:t>
      </w:r>
      <w:r>
        <w:rPr>
          <w:rFonts w:hint="eastAsia" w:ascii="Times New Roman" w:hAnsi="Times New Roman" w:eastAsia="仿宋_GB2312" w:cs="Times New Roman"/>
          <w:b/>
          <w:bCs/>
          <w:color w:val="000000"/>
          <w:sz w:val="32"/>
          <w:szCs w:val="32"/>
          <w:lang w:val="en-US" w:eastAsia="zh-CN"/>
        </w:rPr>
        <w:t>三是</w:t>
      </w:r>
      <w:r>
        <w:rPr>
          <w:rFonts w:hint="default" w:ascii="Times New Roman" w:hAnsi="Times New Roman" w:eastAsia="仿宋_GB2312" w:cs="Times New Roman"/>
          <w:b w:val="0"/>
          <w:bCs w:val="0"/>
          <w:sz w:val="32"/>
          <w:szCs w:val="32"/>
          <w:lang w:eastAsia="zh-CN"/>
        </w:rPr>
        <w:t>常态化开展督查抽检工作。</w:t>
      </w:r>
      <w:r>
        <w:rPr>
          <w:rFonts w:hint="eastAsia" w:ascii="Times New Roman" w:hAnsi="Times New Roman" w:eastAsia="仿宋_GB2312" w:cs="Times New Roman"/>
          <w:b w:val="0"/>
          <w:bCs w:val="0"/>
          <w:sz w:val="32"/>
          <w:szCs w:val="32"/>
          <w:lang w:eastAsia="zh-CN"/>
        </w:rPr>
        <w:t>为</w:t>
      </w:r>
      <w:r>
        <w:rPr>
          <w:rFonts w:hint="default" w:ascii="Times New Roman" w:hAnsi="Times New Roman" w:eastAsia="仿宋_GB2312" w:cs="Times New Roman"/>
          <w:b w:val="0"/>
          <w:bCs w:val="0"/>
          <w:sz w:val="32"/>
          <w:szCs w:val="32"/>
          <w:lang w:eastAsia="zh-CN"/>
        </w:rPr>
        <w:t>切实做</w:t>
      </w:r>
      <w:r>
        <w:rPr>
          <w:rFonts w:hint="eastAsia" w:ascii="Times New Roman" w:hAnsi="Times New Roman" w:eastAsia="仿宋_GB2312" w:cs="Times New Roman"/>
          <w:b w:val="0"/>
          <w:bCs w:val="0"/>
          <w:sz w:val="32"/>
          <w:szCs w:val="32"/>
          <w:lang w:eastAsia="zh-CN"/>
        </w:rPr>
        <w:t>好</w:t>
      </w:r>
      <w:r>
        <w:rPr>
          <w:rFonts w:hint="default" w:ascii="Times New Roman" w:hAnsi="Times New Roman" w:eastAsia="仿宋_GB2312" w:cs="Times New Roman"/>
          <w:b w:val="0"/>
          <w:bCs w:val="0"/>
          <w:sz w:val="32"/>
          <w:szCs w:val="32"/>
          <w:lang w:eastAsia="zh-CN"/>
        </w:rPr>
        <w:t>事前监督与事后监管并重的双重管理</w:t>
      </w:r>
      <w:r>
        <w:rPr>
          <w:rFonts w:hint="eastAsia" w:ascii="Times New Roman" w:hAnsi="Times New Roman" w:eastAsia="仿宋_GB2312" w:cs="Times New Roman"/>
          <w:b w:val="0"/>
          <w:bCs w:val="0"/>
          <w:sz w:val="32"/>
          <w:szCs w:val="32"/>
          <w:lang w:eastAsia="zh-CN"/>
        </w:rPr>
        <w:t>工作，</w:t>
      </w:r>
      <w:r>
        <w:rPr>
          <w:rFonts w:hint="default" w:ascii="Times New Roman" w:hAnsi="Times New Roman" w:eastAsia="仿宋_GB2312" w:cs="Times New Roman"/>
          <w:b w:val="0"/>
          <w:bCs w:val="0"/>
          <w:sz w:val="32"/>
          <w:szCs w:val="32"/>
          <w:lang w:eastAsia="zh-CN"/>
        </w:rPr>
        <w:t>按照上级编制部门的要求，我办按照5%的比例</w:t>
      </w:r>
      <w:r>
        <w:rPr>
          <w:rFonts w:hint="eastAsia" w:ascii="Times New Roman" w:hAnsi="Times New Roman" w:eastAsia="仿宋_GB2312" w:cs="Times New Roman"/>
          <w:b w:val="0"/>
          <w:bCs w:val="0"/>
          <w:sz w:val="32"/>
          <w:szCs w:val="32"/>
          <w:lang w:eastAsia="zh-CN"/>
        </w:rPr>
        <w:t>对</w:t>
      </w:r>
      <w:r>
        <w:rPr>
          <w:rFonts w:hint="default" w:ascii="Times New Roman" w:hAnsi="Times New Roman" w:eastAsia="仿宋_GB2312" w:cs="Times New Roman"/>
          <w:b w:val="0"/>
          <w:bCs w:val="0"/>
          <w:sz w:val="32"/>
          <w:szCs w:val="32"/>
          <w:lang w:eastAsia="zh-CN"/>
        </w:rPr>
        <w:t>全县已登记的事业单位，采取随机抽检的方式常态开展抽检工作，</w:t>
      </w:r>
      <w:r>
        <w:rPr>
          <w:rFonts w:hint="eastAsia" w:ascii="Times New Roman" w:hAnsi="Times New Roman" w:eastAsia="仿宋_GB2312" w:cs="Times New Roman"/>
          <w:b w:val="0"/>
          <w:bCs w:val="0"/>
          <w:sz w:val="32"/>
          <w:szCs w:val="32"/>
          <w:lang w:eastAsia="zh-CN"/>
        </w:rPr>
        <w:t>共抽检</w:t>
      </w:r>
      <w:r>
        <w:rPr>
          <w:rFonts w:hint="eastAsia" w:ascii="Times New Roman" w:hAnsi="Times New Roman" w:eastAsia="仿宋_GB2312" w:cs="Times New Roman"/>
          <w:b w:val="0"/>
          <w:bCs w:val="0"/>
          <w:sz w:val="32"/>
          <w:szCs w:val="32"/>
          <w:lang w:val="en-US" w:eastAsia="zh-CN"/>
        </w:rPr>
        <w:t>4家事业单位，暂未发现违反《事业单位登记管理暂行条例》风险问题。</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rPr>
          <w:rFonts w:hint="eastAsia" w:ascii="Times New Roman" w:hAnsi="Times New Roman" w:eastAsia="仿宋_GB2312" w:cs="Times New Roman"/>
          <w:b w:val="0"/>
          <w:bCs w:val="0"/>
          <w:sz w:val="32"/>
          <w:szCs w:val="32"/>
          <w:lang w:val="en-US" w:eastAsia="zh-CN"/>
        </w:rPr>
      </w:pPr>
      <w:r>
        <w:rPr>
          <w:rFonts w:hint="default" w:ascii="Times New Roman" w:hAnsi="Times New Roman" w:eastAsia="楷体_GB2312" w:cs="Times New Roman"/>
          <w:b/>
          <w:bCs/>
          <w:sz w:val="32"/>
          <w:szCs w:val="32"/>
          <w:lang w:eastAsia="zh-CN"/>
        </w:rPr>
        <w:t>（</w:t>
      </w:r>
      <w:r>
        <w:rPr>
          <w:rFonts w:hint="eastAsia" w:ascii="Times New Roman" w:hAnsi="Times New Roman" w:eastAsia="楷体_GB2312" w:cs="Times New Roman"/>
          <w:b/>
          <w:bCs/>
          <w:sz w:val="32"/>
          <w:szCs w:val="32"/>
          <w:lang w:val="en-US" w:eastAsia="zh-CN"/>
        </w:rPr>
        <w:t>6</w:t>
      </w:r>
      <w:r>
        <w:rPr>
          <w:rFonts w:hint="default" w:ascii="Times New Roman" w:hAnsi="Times New Roman" w:eastAsia="楷体_GB2312" w:cs="Times New Roman"/>
          <w:b/>
          <w:bCs/>
          <w:sz w:val="32"/>
          <w:szCs w:val="32"/>
          <w:lang w:eastAsia="zh-CN"/>
        </w:rPr>
        <w:t>）</w:t>
      </w:r>
      <w:r>
        <w:rPr>
          <w:rFonts w:hint="eastAsia" w:ascii="楷体_GB2312" w:hAnsi="楷体_GB2312" w:eastAsia="楷体_GB2312" w:cs="楷体_GB2312"/>
          <w:b/>
          <w:bCs/>
          <w:sz w:val="32"/>
          <w:szCs w:val="32"/>
          <w:lang w:val="en-US" w:eastAsia="zh-CN"/>
        </w:rPr>
        <w:t>精准完成机构编制实名制管理</w:t>
      </w:r>
      <w:r>
        <w:rPr>
          <w:rFonts w:hint="default" w:ascii="Times New Roman" w:hAnsi="Times New Roman" w:eastAsia="楷体_GB2312" w:cs="Times New Roman"/>
          <w:b/>
          <w:bCs/>
          <w:sz w:val="32"/>
          <w:szCs w:val="32"/>
          <w:lang w:eastAsia="zh-CN"/>
        </w:rPr>
        <w:t>。</w:t>
      </w:r>
      <w:r>
        <w:rPr>
          <w:rFonts w:hint="eastAsia" w:ascii="仿宋_GB2312" w:hAnsi="仿宋_GB2312" w:eastAsia="仿宋_GB2312" w:cs="仿宋_GB2312"/>
          <w:b/>
          <w:bCs/>
          <w:sz w:val="32"/>
          <w:szCs w:val="32"/>
          <w:lang w:eastAsia="zh-CN"/>
        </w:rPr>
        <w:t>一是</w:t>
      </w:r>
      <w:r>
        <w:rPr>
          <w:rFonts w:hint="eastAsia" w:ascii="Times New Roman" w:hAnsi="Times New Roman" w:eastAsia="仿宋_GB2312" w:cs="Times New Roman"/>
          <w:b w:val="0"/>
          <w:bCs w:val="0"/>
          <w:sz w:val="32"/>
          <w:szCs w:val="32"/>
          <w:lang w:val="en-US" w:eastAsia="zh-CN"/>
        </w:rPr>
        <w:t>严格规范出入编管理。与组织、人事、财政等部门建立协调配合机制，加强沟通协作，共同把关，在机关事业单位工作人员调配时，一律先进行编制审核，未经审核的不予办理调配手续，形成齐抓共管的良好局面，为推动机构编制管理工作提质增效。</w:t>
      </w:r>
      <w:r>
        <w:rPr>
          <w:rFonts w:hint="eastAsia" w:ascii="Times New Roman" w:hAnsi="Times New Roman" w:eastAsia="仿宋_GB2312" w:cs="Times New Roman"/>
          <w:b/>
          <w:bCs/>
          <w:sz w:val="32"/>
          <w:szCs w:val="32"/>
          <w:lang w:val="en-US" w:eastAsia="zh-CN"/>
        </w:rPr>
        <w:t>二是</w:t>
      </w:r>
      <w:r>
        <w:rPr>
          <w:rFonts w:hint="eastAsia" w:ascii="Times New Roman" w:hAnsi="Times New Roman" w:eastAsia="仿宋_GB2312" w:cs="Times New Roman"/>
          <w:b w:val="0"/>
          <w:bCs w:val="0"/>
          <w:sz w:val="32"/>
          <w:szCs w:val="32"/>
          <w:lang w:val="en-US" w:eastAsia="zh-CN"/>
        </w:rPr>
        <w:t>建立健全工作台账。结合工作实际，建立了新参加工作、调进调出、县内调动、调入、辞职、死亡、退休、开除等工作台账，实现了系统数据与纸质文件相符，做到人员可追溯、可查询，全面掌握人员基本情况。截止目前，共办理新入编人员手续274人、县内调动133人、调出县外44人、调入县内23人、死亡5人、辞职8人、开除3人、退休56人。</w:t>
      </w:r>
      <w:r>
        <w:rPr>
          <w:rFonts w:hint="eastAsia" w:ascii="Times New Roman" w:hAnsi="Times New Roman" w:eastAsia="仿宋_GB2312" w:cs="Times New Roman"/>
          <w:b/>
          <w:bCs/>
          <w:sz w:val="32"/>
          <w:szCs w:val="32"/>
          <w:lang w:val="en-US" w:eastAsia="zh-CN"/>
        </w:rPr>
        <w:t>三是</w:t>
      </w:r>
      <w:r>
        <w:rPr>
          <w:rFonts w:hint="eastAsia" w:ascii="Times New Roman" w:hAnsi="Times New Roman" w:eastAsia="仿宋_GB2312" w:cs="Times New Roman"/>
          <w:b w:val="0"/>
          <w:bCs w:val="0"/>
          <w:sz w:val="32"/>
          <w:szCs w:val="32"/>
          <w:lang w:val="en-US" w:eastAsia="zh-CN"/>
        </w:rPr>
        <w:t>实时更新实名制人员信息。结合机构编制统计指标填报要求，对今年新增主要职责、岗位类别、岗位等级进行补充完善。定期对实名制系统数据进行校验比对，对人员信息进行查漏补缺。积极与组织、人社、财政等部门对接沟通，逐一对干部信息，厘清行政人员、事业人员调整情况。今年以来，因机构编制变动、单位名称变更、人员划转、职务职级调整等办理机构编制事项300余项，完善人员信息3000余条，全面提升了实名制系统数据的真实性、准确性、有效性。</w:t>
      </w:r>
    </w:p>
    <w:p>
      <w:pPr>
        <w:pStyle w:val="2"/>
        <w:rPr>
          <w:rFonts w:hint="eastAsia" w:ascii="仿宋_GB2312" w:hAnsi="仿宋" w:eastAsia="仿宋_GB2312"/>
          <w:sz w:val="32"/>
          <w:szCs w:val="32"/>
        </w:rPr>
      </w:pPr>
      <w:r>
        <w:rPr>
          <w:rFonts w:hint="eastAsia" w:ascii="楷体_GB2312" w:hAnsi="楷体_GB2312" w:eastAsia="楷体_GB2312" w:cs="楷体_GB2312"/>
          <w:b/>
          <w:bCs/>
          <w:sz w:val="32"/>
          <w:szCs w:val="32"/>
          <w:lang w:val="en-US" w:eastAsia="zh-CN"/>
        </w:rPr>
        <w:t>（7</w:t>
      </w:r>
      <w:bookmarkStart w:id="21" w:name="_GoBack"/>
      <w:bookmarkEnd w:id="21"/>
      <w:r>
        <w:rPr>
          <w:rFonts w:hint="eastAsia" w:ascii="楷体_GB2312" w:hAnsi="楷体_GB2312" w:eastAsia="楷体_GB2312" w:cs="楷体_GB2312"/>
          <w:b/>
          <w:bCs/>
          <w:sz w:val="32"/>
          <w:szCs w:val="32"/>
          <w:lang w:val="en-US" w:eastAsia="zh-CN"/>
        </w:rPr>
        <w:t>）全面严格完成县委、政府交办的工作任务。</w:t>
      </w:r>
      <w:r>
        <w:rPr>
          <w:rFonts w:hint="eastAsia" w:ascii="Times New Roman" w:hAnsi="Times New Roman" w:cs="Times New Roman"/>
          <w:b/>
          <w:bCs/>
          <w:sz w:val="32"/>
          <w:szCs w:val="32"/>
          <w:lang w:val="en-US" w:eastAsia="zh-CN"/>
        </w:rPr>
        <w:t>一是</w:t>
      </w:r>
      <w:r>
        <w:rPr>
          <w:rFonts w:hint="eastAsia" w:ascii="Times New Roman" w:hAnsi="Times New Roman" w:cs="Times New Roman"/>
          <w:b w:val="0"/>
          <w:bCs w:val="0"/>
          <w:sz w:val="32"/>
          <w:szCs w:val="32"/>
          <w:lang w:val="en-US" w:eastAsia="zh-CN"/>
        </w:rPr>
        <w:t>全力筑牢党的建设，本年度共组织“三会一课”12次、党建活动2次，不断强化支部党建工作；</w:t>
      </w:r>
      <w:r>
        <w:rPr>
          <w:rFonts w:hint="eastAsia" w:ascii="Times New Roman" w:hAnsi="Times New Roman" w:cs="Times New Roman"/>
          <w:b/>
          <w:bCs/>
          <w:sz w:val="32"/>
          <w:szCs w:val="32"/>
          <w:lang w:val="en-US" w:eastAsia="zh-CN"/>
        </w:rPr>
        <w:t>二是</w:t>
      </w:r>
      <w:r>
        <w:rPr>
          <w:rFonts w:hint="eastAsia" w:ascii="Times New Roman" w:hAnsi="Times New Roman" w:cs="Times New Roman"/>
          <w:b w:val="0"/>
          <w:bCs w:val="0"/>
          <w:sz w:val="32"/>
          <w:szCs w:val="32"/>
          <w:lang w:val="en-US" w:eastAsia="zh-CN"/>
        </w:rPr>
        <w:t>召开主题教育专题会议4次，集中学习18次，积极开展主题教育工作，将习近平新时代中国特色社会主义思想融入到机构编制工作中；</w:t>
      </w:r>
      <w:r>
        <w:rPr>
          <w:rFonts w:hint="eastAsia" w:ascii="Times New Roman" w:hAnsi="Times New Roman" w:cs="Times New Roman"/>
          <w:b/>
          <w:bCs/>
          <w:sz w:val="32"/>
          <w:szCs w:val="32"/>
          <w:lang w:val="en-US" w:eastAsia="zh-CN"/>
        </w:rPr>
        <w:t>三是</w:t>
      </w:r>
      <w:r>
        <w:rPr>
          <w:rFonts w:hint="eastAsia" w:ascii="Times New Roman" w:hAnsi="Times New Roman" w:cs="Times New Roman"/>
          <w:b w:val="0"/>
          <w:bCs w:val="0"/>
          <w:sz w:val="32"/>
          <w:szCs w:val="32"/>
          <w:lang w:val="en-US" w:eastAsia="zh-CN"/>
        </w:rPr>
        <w:t>全面贯彻党风廉政工作要求，召开党风廉政工作专题会议4次，将党风廉政工作、警示教育等纳入日常会议学内容，切实筑牢“不想腐、不敢腐、不能腐”的思想红线。</w:t>
      </w:r>
      <w:r>
        <w:rPr>
          <w:rFonts w:hint="eastAsia" w:ascii="Times New Roman" w:hAnsi="Times New Roman" w:cs="Times New Roman"/>
          <w:b/>
          <w:bCs/>
          <w:sz w:val="32"/>
          <w:szCs w:val="32"/>
          <w:lang w:val="en-US" w:eastAsia="zh-CN"/>
        </w:rPr>
        <w:t>四是</w:t>
      </w:r>
      <w:r>
        <w:rPr>
          <w:rFonts w:hint="eastAsia" w:ascii="Times New Roman" w:hAnsi="Times New Roman" w:cs="Times New Roman"/>
          <w:b w:val="0"/>
          <w:bCs w:val="0"/>
          <w:sz w:val="32"/>
          <w:szCs w:val="32"/>
          <w:lang w:val="en-US" w:eastAsia="zh-CN"/>
        </w:rPr>
        <w:t>配合县级部门完成超编问题整改共计</w:t>
      </w:r>
      <w:r>
        <w:rPr>
          <w:rFonts w:hint="eastAsia" w:ascii="仿宋_GB2312" w:hAnsi="仿宋_GB2312" w:cs="仿宋_GB2312"/>
          <w:lang w:val="en-US" w:eastAsia="zh-CN"/>
        </w:rPr>
        <w:t>30条、55人次</w:t>
      </w:r>
      <w:r>
        <w:rPr>
          <w:rFonts w:hint="eastAsia" w:hAnsi="仿宋_GB2312" w:cs="仿宋_GB2312"/>
          <w:lang w:val="en-US" w:eastAsia="zh-CN"/>
        </w:rPr>
        <w:t>，结合司法局法治宣传工作，共同开展法治宣传4次；</w:t>
      </w:r>
      <w:r>
        <w:rPr>
          <w:rFonts w:hint="eastAsia" w:hAnsi="仿宋_GB2312" w:cs="仿宋_GB2312"/>
          <w:b/>
          <w:bCs/>
          <w:lang w:val="en-US" w:eastAsia="zh-CN"/>
        </w:rPr>
        <w:t>五是</w:t>
      </w:r>
      <w:r>
        <w:rPr>
          <w:rFonts w:hint="eastAsia" w:hAnsi="仿宋_GB2312" w:cs="仿宋_GB2312"/>
          <w:lang w:val="en-US" w:eastAsia="zh-CN"/>
        </w:rPr>
        <w:t>积极开展“两联一进”工作，本年度县委编办班子及成员开展结对联系50余次；</w:t>
      </w:r>
      <w:r>
        <w:rPr>
          <w:rFonts w:hint="eastAsia" w:hAnsi="仿宋_GB2312" w:cs="仿宋_GB2312"/>
          <w:b/>
          <w:bCs/>
          <w:lang w:val="en-US" w:eastAsia="zh-CN"/>
        </w:rPr>
        <w:t>六是</w:t>
      </w:r>
      <w:r>
        <w:rPr>
          <w:rFonts w:hint="eastAsia" w:hAnsi="仿宋_GB2312" w:cs="仿宋_GB2312"/>
          <w:lang w:val="en-US" w:eastAsia="zh-CN"/>
        </w:rPr>
        <w:t>完成年初军令状工作，两项七点</w:t>
      </w:r>
      <w:r>
        <w:rPr>
          <w:rFonts w:hint="eastAsia" w:ascii="仿宋_GB2312" w:hAnsi="仿宋" w:eastAsia="仿宋_GB2312"/>
          <w:sz w:val="32"/>
          <w:szCs w:val="32"/>
        </w:rPr>
        <w:t>。</w:t>
      </w:r>
    </w:p>
    <w:p>
      <w:pPr>
        <w:pStyle w:val="2"/>
        <w:rPr>
          <w:rFonts w:hint="eastAsia" w:ascii="黑体" w:hAnsi="黑体" w:eastAsia="黑体" w:cs="黑体"/>
          <w:sz w:val="32"/>
          <w:szCs w:val="32"/>
        </w:rPr>
      </w:pPr>
      <w:r>
        <w:rPr>
          <w:rFonts w:hint="eastAsia" w:ascii="黑体" w:hAnsi="黑体" w:eastAsia="黑体" w:cs="黑体"/>
          <w:sz w:val="32"/>
          <w:szCs w:val="32"/>
          <w:shd w:val="clear" w:color="auto" w:fill="FFFFFF"/>
        </w:rPr>
        <w:t>二、机构设置</w:t>
      </w:r>
      <w:bookmarkEnd w:id="2"/>
    </w:p>
    <w:p>
      <w:pPr>
        <w:snapToGrid w:val="0"/>
        <w:spacing w:line="520" w:lineRule="exact"/>
        <w:ind w:firstLine="640" w:firstLineChars="200"/>
        <w:rPr>
          <w:rFonts w:hint="eastAsia" w:ascii="仿宋_GB2312" w:eastAsia="仿宋_GB2312" w:cs="仿宋_GB2312"/>
          <w:kern w:val="0"/>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为独立核算全额拨款行政单位。</w:t>
      </w:r>
      <w:r>
        <w:rPr>
          <w:rFonts w:hint="eastAsia" w:ascii="仿宋_GB2312" w:hAnsi="仿宋_GB2312" w:eastAsia="仿宋_GB2312" w:cs="仿宋_GB2312"/>
          <w:sz w:val="32"/>
          <w:szCs w:val="32"/>
          <w:lang w:eastAsia="zh-CN"/>
        </w:rPr>
        <w:t>中共红原县委机构编制委员会办公室</w:t>
      </w:r>
      <w:r>
        <w:rPr>
          <w:rFonts w:hint="eastAsia" w:ascii="仿宋_GB2312" w:hAnsi="仿宋_GB2312" w:eastAsia="仿宋_GB2312" w:cs="仿宋_GB2312"/>
          <w:sz w:val="32"/>
          <w:szCs w:val="32"/>
        </w:rPr>
        <w:t>内设</w:t>
      </w:r>
      <w:r>
        <w:rPr>
          <w:rFonts w:hint="eastAsia" w:ascii="仿宋_GB2312" w:hAnsi="仿宋_GB2312" w:eastAsia="仿宋_GB2312" w:cs="仿宋_GB2312"/>
          <w:sz w:val="32"/>
          <w:szCs w:val="32"/>
          <w:lang w:eastAsia="zh-CN"/>
        </w:rPr>
        <w:t>综合股、机构编制股、机构编制督查股，下设红原县事业单位登记管理局（参公）、红原县机构编制实名制中心（事业）</w:t>
      </w:r>
      <w:r>
        <w:rPr>
          <w:rFonts w:hint="eastAsia" w:ascii="仿宋_GB2312" w:hAnsi="仿宋_GB2312" w:eastAsia="仿宋_GB2312" w:cs="仿宋_GB2312"/>
          <w:sz w:val="32"/>
          <w:szCs w:val="32"/>
        </w:rPr>
        <w:t>。</w:t>
      </w:r>
    </w:p>
    <w:p>
      <w:pPr>
        <w:pStyle w:val="19"/>
        <w:keepNext w:val="0"/>
        <w:keepLines w:val="0"/>
        <w:widowControl/>
        <w:suppressLineNumbers w:val="0"/>
        <w:autoSpaceDE w:val="0"/>
        <w:autoSpaceDN/>
        <w:spacing w:before="0" w:beforeAutospacing="0" w:line="576" w:lineRule="exact"/>
        <w:ind w:left="0" w:firstLine="640" w:firstLineChars="200"/>
        <w:jc w:val="left"/>
        <w:rPr>
          <w:rFonts w:hint="eastAsia" w:ascii="仿宋_GB2312" w:eastAsia="仿宋_GB2312" w:cs="仿宋_GB2312"/>
          <w:kern w:val="0"/>
          <w:sz w:val="32"/>
          <w:szCs w:val="32"/>
        </w:rPr>
      </w:pPr>
      <w:bookmarkStart w:id="3" w:name="_Toc6796"/>
      <w:r>
        <w:rPr>
          <w:rFonts w:hint="eastAsia" w:ascii="仿宋_GB2312" w:hAnsi="仿宋_GB2312" w:eastAsia="仿宋_GB2312" w:cs="仿宋_GB2312"/>
          <w:bCs/>
          <w:sz w:val="32"/>
          <w:szCs w:val="32"/>
        </w:rPr>
        <w:t>截止</w:t>
      </w:r>
      <w:r>
        <w:rPr>
          <w:rFonts w:hint="eastAsia" w:ascii="仿宋_GB2312" w:hAnsi="仿宋_GB2312" w:eastAsia="仿宋_GB2312" w:cs="仿宋_GB2312"/>
          <w:bCs/>
          <w:sz w:val="32"/>
          <w:szCs w:val="32"/>
          <w:lang w:val="en-US" w:eastAsia="zh-CN"/>
        </w:rPr>
        <w:t>2023</w:t>
      </w:r>
      <w:r>
        <w:rPr>
          <w:rFonts w:hint="eastAsia" w:ascii="仿宋_GB2312" w:hAnsi="仿宋_GB2312" w:eastAsia="仿宋_GB2312" w:cs="仿宋_GB2312"/>
          <w:bCs/>
          <w:sz w:val="32"/>
          <w:szCs w:val="32"/>
        </w:rPr>
        <w:t>年底我单位共有编制</w:t>
      </w:r>
      <w:r>
        <w:rPr>
          <w:rFonts w:hint="eastAsia" w:ascii="仿宋_GB2312" w:eastAsia="仿宋_GB2312" w:cs="仿宋_GB2312"/>
          <w:kern w:val="0"/>
          <w:sz w:val="32"/>
          <w:szCs w:val="32"/>
          <w:shd w:val="clear" w:fill="FFFFFF"/>
        </w:rPr>
        <w:t>1</w:t>
      </w:r>
      <w:r>
        <w:rPr>
          <w:rFonts w:hint="eastAsia" w:ascii="仿宋_GB2312" w:eastAsia="仿宋_GB2312" w:cs="仿宋_GB2312"/>
          <w:kern w:val="0"/>
          <w:sz w:val="32"/>
          <w:szCs w:val="32"/>
          <w:shd w:val="clear" w:fill="FFFFFF"/>
          <w:lang w:val="en-US" w:eastAsia="zh-CN"/>
        </w:rPr>
        <w:t>8</w:t>
      </w:r>
      <w:r>
        <w:rPr>
          <w:rFonts w:hint="eastAsia" w:ascii="仿宋_GB2312" w:eastAsia="仿宋_GB2312" w:cs="仿宋_GB2312"/>
          <w:kern w:val="0"/>
          <w:sz w:val="32"/>
          <w:szCs w:val="32"/>
          <w:shd w:val="clear" w:fill="FFFFFF"/>
          <w:lang w:eastAsia="zh-CN"/>
        </w:rPr>
        <w:t>个</w:t>
      </w:r>
      <w:r>
        <w:rPr>
          <w:rFonts w:hint="eastAsia" w:ascii="仿宋_GB2312" w:eastAsia="仿宋_GB2312" w:cs="仿宋_GB2312"/>
          <w:kern w:val="0"/>
          <w:sz w:val="32"/>
          <w:szCs w:val="32"/>
          <w:shd w:val="clear" w:fill="FFFFFF"/>
        </w:rPr>
        <w:t>，</w:t>
      </w:r>
      <w:r>
        <w:rPr>
          <w:rFonts w:hint="eastAsia" w:ascii="仿宋_GB2312" w:eastAsia="仿宋_GB2312" w:cs="仿宋_GB2312"/>
          <w:kern w:val="0"/>
          <w:sz w:val="32"/>
          <w:szCs w:val="32"/>
          <w:shd w:val="clear" w:fill="FFFFFF"/>
          <w:lang w:eastAsia="zh-CN"/>
        </w:rPr>
        <w:t>其中公务员编制</w:t>
      </w:r>
      <w:r>
        <w:rPr>
          <w:rFonts w:hint="eastAsia" w:ascii="仿宋_GB2312" w:eastAsia="仿宋_GB2312" w:cs="仿宋_GB2312"/>
          <w:kern w:val="0"/>
          <w:sz w:val="32"/>
          <w:szCs w:val="32"/>
          <w:shd w:val="clear" w:fill="FFFFFF"/>
          <w:lang w:val="en-US" w:eastAsia="zh-CN"/>
        </w:rPr>
        <w:t>6</w:t>
      </w:r>
      <w:r>
        <w:rPr>
          <w:rFonts w:hint="eastAsia" w:ascii="仿宋_GB2312" w:eastAsia="仿宋_GB2312" w:cs="仿宋_GB2312"/>
          <w:kern w:val="0"/>
          <w:sz w:val="32"/>
          <w:szCs w:val="32"/>
          <w:shd w:val="clear" w:fill="FFFFFF"/>
          <w:lang w:eastAsia="zh-CN"/>
        </w:rPr>
        <w:t>个，</w:t>
      </w:r>
      <w:r>
        <w:rPr>
          <w:rFonts w:hint="eastAsia" w:ascii="仿宋_GB2312" w:hAnsi="仿宋_GB2312" w:eastAsia="仿宋_GB2312" w:cs="仿宋_GB2312"/>
          <w:bCs/>
          <w:sz w:val="32"/>
          <w:szCs w:val="32"/>
          <w:lang w:eastAsia="zh-CN"/>
        </w:rPr>
        <w:t>机关</w:t>
      </w:r>
      <w:r>
        <w:rPr>
          <w:rFonts w:hint="eastAsia" w:ascii="仿宋_GB2312" w:hAnsi="仿宋_GB2312" w:eastAsia="仿宋_GB2312" w:cs="仿宋_GB2312"/>
          <w:bCs/>
          <w:sz w:val="32"/>
          <w:szCs w:val="32"/>
        </w:rPr>
        <w:t>工勤编制</w:t>
      </w:r>
      <w:r>
        <w:rPr>
          <w:rFonts w:hint="eastAsia" w:ascii="仿宋_GB2312" w:hAnsi="仿宋_GB2312" w:eastAsia="仿宋_GB2312" w:cs="仿宋_GB2312"/>
          <w:bCs/>
          <w:sz w:val="32"/>
          <w:szCs w:val="32"/>
          <w:lang w:val="en-US" w:eastAsia="zh-CN"/>
        </w:rPr>
        <w:t>1个,参公编制7个，事业编制4个，</w:t>
      </w:r>
      <w:r>
        <w:rPr>
          <w:rFonts w:hint="eastAsia" w:ascii="仿宋_GB2312" w:hAnsi="仿宋_GB2312" w:eastAsia="仿宋_GB2312" w:cs="仿宋_GB2312"/>
          <w:bCs/>
          <w:sz w:val="32"/>
          <w:szCs w:val="32"/>
          <w:lang w:eastAsia="zh-CN"/>
        </w:rPr>
        <w:t>年底</w:t>
      </w:r>
      <w:r>
        <w:rPr>
          <w:rFonts w:hint="eastAsia" w:ascii="仿宋_GB2312" w:hAnsi="仿宋_GB2312" w:eastAsia="仿宋_GB2312" w:cs="仿宋_GB2312"/>
          <w:sz w:val="32"/>
          <w:szCs w:val="32"/>
        </w:rPr>
        <w:t>在职</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人，其中公务员</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人，行政工勤</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，参公</w:t>
      </w:r>
      <w:r>
        <w:rPr>
          <w:rFonts w:hint="eastAsia" w:ascii="仿宋_GB2312" w:hAnsi="仿宋_GB2312" w:eastAsia="仿宋_GB2312" w:cs="仿宋_GB2312"/>
          <w:sz w:val="32"/>
          <w:szCs w:val="32"/>
          <w:lang w:val="en-US" w:eastAsia="zh-CN"/>
        </w:rPr>
        <w:t>7人，事业4人。</w:t>
      </w:r>
    </w:p>
    <w:p>
      <w:pPr>
        <w:pStyle w:val="11"/>
        <w:keepNext w:val="0"/>
        <w:keepLines w:val="0"/>
        <w:widowControl/>
        <w:suppressLineNumbers w:val="0"/>
        <w:ind w:right="75"/>
        <w:jc w:val="center"/>
        <w:outlineLvl w:val="0"/>
        <w:rPr>
          <w:rFonts w:hint="eastAsia" w:ascii="黑体" w:hAnsi="黑体" w:eastAsia="黑体" w:cs="黑体"/>
          <w:sz w:val="44"/>
          <w:szCs w:val="44"/>
        </w:rPr>
      </w:pPr>
      <w:r>
        <w:rPr>
          <w:rFonts w:hint="eastAsia" w:ascii="黑体" w:hAnsi="黑体" w:eastAsia="黑体" w:cs="黑体"/>
          <w:sz w:val="44"/>
          <w:szCs w:val="44"/>
          <w:shd w:val="clear" w:color="auto" w:fill="FFFFFF"/>
        </w:rPr>
        <w:t>第二部分 202</w:t>
      </w:r>
      <w:r>
        <w:rPr>
          <w:rFonts w:hint="eastAsia" w:ascii="黑体" w:hAnsi="黑体" w:eastAsia="黑体" w:cs="黑体"/>
          <w:sz w:val="44"/>
          <w:szCs w:val="44"/>
          <w:shd w:val="clear" w:color="auto" w:fill="FFFFFF"/>
          <w:lang w:val="en-US" w:eastAsia="zh-CN"/>
        </w:rPr>
        <w:t>3</w:t>
      </w:r>
      <w:r>
        <w:rPr>
          <w:rFonts w:hint="eastAsia" w:ascii="黑体" w:hAnsi="黑体" w:eastAsia="黑体" w:cs="黑体"/>
          <w:sz w:val="44"/>
          <w:szCs w:val="44"/>
          <w:shd w:val="clear" w:color="auto" w:fill="FFFFFF"/>
        </w:rPr>
        <w:t>年度部门决算情况说明</w:t>
      </w:r>
      <w:bookmarkEnd w:id="3"/>
    </w:p>
    <w:p>
      <w:pPr>
        <w:pStyle w:val="11"/>
        <w:keepNext w:val="0"/>
        <w:keepLines w:val="0"/>
        <w:widowControl/>
        <w:suppressLineNumbers w:val="0"/>
        <w:ind w:left="0" w:right="75"/>
        <w:outlineLvl w:val="1"/>
        <w:rPr>
          <w:rFonts w:hint="eastAsia" w:ascii="黑体" w:hAnsi="黑体" w:eastAsia="黑体" w:cs="黑体"/>
          <w:sz w:val="32"/>
          <w:szCs w:val="32"/>
          <w:shd w:val="clear" w:color="auto" w:fill="FFFFFF"/>
        </w:rPr>
      </w:pPr>
      <w:bookmarkStart w:id="4" w:name="_Toc23902"/>
      <w:r>
        <w:rPr>
          <w:rFonts w:hint="eastAsia" w:ascii="黑体" w:hAnsi="黑体" w:eastAsia="黑体" w:cs="黑体"/>
          <w:sz w:val="32"/>
          <w:szCs w:val="32"/>
          <w:shd w:val="clear" w:color="auto" w:fill="FFFFFF"/>
        </w:rPr>
        <w:t>一、 收入支出决算总体情况说明</w:t>
      </w:r>
      <w:bookmarkEnd w:id="4"/>
    </w:p>
    <w:p>
      <w:pPr>
        <w:pStyle w:val="19"/>
        <w:keepNext w:val="0"/>
        <w:keepLines w:val="0"/>
        <w:widowControl/>
        <w:suppressLineNumbers w:val="0"/>
        <w:autoSpaceDE w:val="0"/>
        <w:autoSpaceDN/>
        <w:spacing w:before="0" w:beforeAutospacing="0" w:line="576" w:lineRule="exact"/>
        <w:ind w:left="0" w:firstLine="640" w:firstLineChars="200"/>
        <w:jc w:val="left"/>
        <w:rPr>
          <w:rFonts w:hint="eastAsia" w:ascii="仿宋" w:hAnsi="仿宋" w:eastAsia="仿宋"/>
          <w:color w:val="000000"/>
          <w:sz w:val="32"/>
          <w:szCs w:val="32"/>
        </w:rPr>
      </w:pPr>
      <w:r>
        <w:rPr>
          <w:rFonts w:hint="eastAsia" w:ascii="黑体" w:hAnsi="黑体" w:eastAsia="黑体" w:cs="黑体"/>
          <w:sz w:val="32"/>
          <w:szCs w:val="32"/>
          <w:shd w:val="clear" w:color="auto" w:fill="FFFFFF"/>
          <w:lang w:val="en-US" w:eastAsia="zh-CN"/>
        </w:rPr>
        <w:t xml:space="preserve"> </w:t>
      </w:r>
      <w:r>
        <w:rPr>
          <w:rFonts w:hint="eastAsia" w:ascii="仿宋_GB2312" w:eastAsia="仿宋_GB2312" w:cs="仿宋_GB2312"/>
          <w:kern w:val="0"/>
          <w:sz w:val="32"/>
          <w:szCs w:val="32"/>
          <w:shd w:val="clear" w:fill="FFFFFF"/>
          <w:lang w:val="en-US" w:eastAsia="zh-CN"/>
        </w:rPr>
        <w:t>2023年度收入379.83</w:t>
      </w:r>
      <w:r>
        <w:rPr>
          <w:rFonts w:hint="eastAsia" w:ascii="仿宋_GB2312" w:eastAsia="仿宋_GB2312" w:cs="仿宋_GB2312"/>
          <w:kern w:val="0"/>
          <w:sz w:val="32"/>
          <w:szCs w:val="32"/>
          <w:shd w:val="clear" w:fill="FFFFFF"/>
        </w:rPr>
        <w:t>万元，</w:t>
      </w:r>
      <w:r>
        <w:rPr>
          <w:rFonts w:hint="eastAsia" w:ascii="仿宋_GB2312" w:eastAsia="仿宋_GB2312" w:cs="仿宋_GB2312"/>
          <w:kern w:val="0"/>
          <w:sz w:val="32"/>
          <w:szCs w:val="32"/>
          <w:shd w:val="clear" w:fill="FFFFFF"/>
          <w:lang w:eastAsia="zh-CN"/>
        </w:rPr>
        <w:t>支出</w:t>
      </w:r>
      <w:r>
        <w:rPr>
          <w:rFonts w:hint="eastAsia" w:ascii="仿宋_GB2312" w:eastAsia="仿宋_GB2312" w:cs="仿宋_GB2312"/>
          <w:kern w:val="0"/>
          <w:sz w:val="32"/>
          <w:szCs w:val="32"/>
          <w:shd w:val="clear" w:fill="FFFFFF"/>
          <w:lang w:val="en-US" w:eastAsia="zh-CN"/>
        </w:rPr>
        <w:t>379.83万元</w:t>
      </w:r>
      <w:r>
        <w:rPr>
          <w:rFonts w:hint="eastAsia" w:ascii="仿宋_GB2312" w:eastAsia="仿宋_GB2312" w:cs="仿宋_GB2312"/>
          <w:kern w:val="0"/>
          <w:sz w:val="32"/>
          <w:szCs w:val="32"/>
          <w:shd w:val="clear" w:fill="FFFFFF"/>
          <w:lang w:eastAsia="zh-CN"/>
        </w:rPr>
        <w:t>。资金与</w:t>
      </w:r>
      <w:r>
        <w:rPr>
          <w:rFonts w:hint="eastAsia" w:ascii="仿宋_GB2312" w:eastAsia="仿宋_GB2312" w:cs="仿宋_GB2312"/>
          <w:kern w:val="0"/>
          <w:sz w:val="32"/>
          <w:szCs w:val="32"/>
          <w:shd w:val="clear" w:fill="FFFFFF"/>
          <w:lang w:val="en-US" w:eastAsia="zh-CN"/>
        </w:rPr>
        <w:t>2022年相比，收入增加了43.67万元，上升了12.99%，支出增加了43.67万元，上升了12.99%，</w:t>
      </w:r>
      <w:r>
        <w:rPr>
          <w:rStyle w:val="14"/>
          <w:rFonts w:hint="eastAsia" w:ascii="仿宋_GB2312" w:hAnsi="仿宋_GB2312" w:eastAsia="仿宋_GB2312" w:cs="仿宋_GB2312"/>
          <w:sz w:val="32"/>
          <w:szCs w:val="32"/>
        </w:rPr>
        <w:t>主要原因为</w:t>
      </w:r>
      <w:r>
        <w:rPr>
          <w:rStyle w:val="14"/>
          <w:rFonts w:hint="eastAsia" w:ascii="仿宋_GB2312" w:hAnsi="宋体" w:eastAsia="仿宋_GB2312" w:cs="宋体"/>
          <w:sz w:val="32"/>
          <w:szCs w:val="32"/>
          <w:lang w:eastAsia="zh-CN"/>
        </w:rPr>
        <w:t>人员变动、厉行节约、经费调整</w:t>
      </w:r>
      <w:r>
        <w:rPr>
          <w:rFonts w:hint="eastAsia" w:ascii="仿宋_GB2312" w:hAnsi="仿宋_GB2312" w:eastAsia="仿宋_GB2312" w:cs="仿宋_GB2312"/>
          <w:sz w:val="32"/>
          <w:szCs w:val="32"/>
        </w:rPr>
        <w:t>。</w:t>
      </w:r>
    </w:p>
    <w:p>
      <w:pPr>
        <w:spacing w:line="600" w:lineRule="exact"/>
        <w:ind w:firstLine="640" w:firstLineChars="200"/>
        <w:jc w:val="center"/>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：收、支决算变动情况图）（柱状图）</w:t>
      </w:r>
    </w:p>
    <w:p>
      <w:pPr>
        <w:pStyle w:val="2"/>
        <w:rPr>
          <w:rFonts w:hint="default" w:ascii="仿宋" w:hAnsi="仿宋" w:eastAsia="仿宋"/>
          <w:color w:val="000000"/>
          <w:sz w:val="32"/>
          <w:szCs w:val="32"/>
          <w:lang w:val="en-US" w:eastAsia="zh-CN"/>
        </w:rPr>
      </w:pPr>
      <w:r>
        <w:rPr>
          <w:rFonts w:hint="default" w:ascii="仿宋" w:hAnsi="仿宋" w:eastAsia="仿宋"/>
          <w:color w:val="000000"/>
          <w:sz w:val="32"/>
          <w:szCs w:val="32"/>
          <w:lang w:val="en-US" w:eastAsia="zh-CN"/>
        </w:rPr>
        <w:drawing>
          <wp:inline distT="0" distB="0" distL="114300" distR="114300">
            <wp:extent cx="5080000" cy="3070225"/>
            <wp:effectExtent l="4445" t="4445" r="20955" b="1143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11"/>
        <w:keepNext w:val="0"/>
        <w:keepLines w:val="0"/>
        <w:widowControl/>
        <w:numPr>
          <w:ilvl w:val="0"/>
          <w:numId w:val="1"/>
        </w:numPr>
        <w:suppressLineNumbers w:val="0"/>
        <w:shd w:val="clear" w:color="auto" w:fill="auto"/>
        <w:ind w:left="0" w:right="75"/>
        <w:jc w:val="left"/>
        <w:outlineLvl w:val="1"/>
        <w:rPr>
          <w:rFonts w:hint="eastAsia" w:ascii="仿宋" w:hAnsi="仿宋" w:eastAsia="仿宋"/>
          <w:color w:val="000000"/>
          <w:sz w:val="32"/>
          <w:szCs w:val="32"/>
          <w:lang w:eastAsia="zh-CN"/>
        </w:rPr>
      </w:pPr>
      <w:bookmarkStart w:id="5" w:name="_Toc21346"/>
      <w:r>
        <w:rPr>
          <w:rFonts w:hint="eastAsia" w:ascii="黑体" w:hAnsi="黑体" w:eastAsia="黑体" w:cs="黑体"/>
          <w:sz w:val="32"/>
          <w:szCs w:val="32"/>
          <w:shd w:val="clear" w:color="auto" w:fill="FFFFFF"/>
        </w:rPr>
        <w:t>收入决算情况说明</w:t>
      </w:r>
      <w:bookmarkEnd w:id="5"/>
    </w:p>
    <w:p>
      <w:pPr>
        <w:pStyle w:val="11"/>
        <w:keepNext w:val="0"/>
        <w:keepLines w:val="0"/>
        <w:widowControl/>
        <w:numPr>
          <w:ilvl w:val="0"/>
          <w:numId w:val="0"/>
        </w:numPr>
        <w:suppressLineNumbers w:val="0"/>
        <w:shd w:val="clear" w:color="auto" w:fill="auto"/>
        <w:ind w:right="75" w:rightChars="0" w:firstLine="640" w:firstLineChars="200"/>
        <w:jc w:val="left"/>
        <w:rPr>
          <w:rFonts w:hint="eastAsia" w:ascii="仿宋" w:hAnsi="仿宋" w:eastAsia="仿宋"/>
          <w:color w:val="000000"/>
          <w:sz w:val="32"/>
          <w:szCs w:val="32"/>
          <w:lang w:eastAsia="zh-CN"/>
        </w:rPr>
      </w:pPr>
      <w:r>
        <w:rPr>
          <w:rFonts w:ascii="仿宋" w:hAnsi="仿宋" w:eastAsia="仿宋"/>
          <w:color w:val="000000"/>
          <w:sz w:val="32"/>
          <w:szCs w:val="32"/>
        </w:rPr>
        <w:t>20</w:t>
      </w:r>
      <w:r>
        <w:rPr>
          <w:rFonts w:hint="eastAsia" w:ascii="仿宋" w:hAnsi="仿宋" w:eastAsia="仿宋"/>
          <w:color w:val="000000"/>
          <w:sz w:val="32"/>
          <w:szCs w:val="32"/>
          <w:lang w:val="en-US" w:eastAsia="zh-CN"/>
        </w:rPr>
        <w:t>23</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379.83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其中一般公共财政拨款收入</w:t>
      </w:r>
      <w:r>
        <w:rPr>
          <w:rFonts w:hint="eastAsia" w:ascii="仿宋" w:hAnsi="仿宋" w:eastAsia="仿宋"/>
          <w:color w:val="000000"/>
          <w:sz w:val="32"/>
          <w:szCs w:val="32"/>
          <w:lang w:val="en-US" w:eastAsia="zh-CN"/>
        </w:rPr>
        <w:t>379.83万元</w:t>
      </w:r>
      <w:r>
        <w:rPr>
          <w:rFonts w:hint="eastAsia" w:ascii="仿宋" w:hAnsi="仿宋" w:eastAsia="仿宋"/>
          <w:color w:val="000000"/>
          <w:sz w:val="32"/>
          <w:szCs w:val="32"/>
          <w:lang w:eastAsia="zh-CN"/>
        </w:rPr>
        <w:t>。</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11"/>
        <w:keepNext w:val="0"/>
        <w:keepLines w:val="0"/>
        <w:widowControl/>
        <w:numPr>
          <w:ilvl w:val="0"/>
          <w:numId w:val="0"/>
        </w:numPr>
        <w:suppressLineNumbers w:val="0"/>
        <w:shd w:val="clear" w:color="auto" w:fill="auto"/>
        <w:ind w:right="75" w:rightChars="0" w:firstLine="640" w:firstLineChars="200"/>
        <w:jc w:val="left"/>
        <w:rPr>
          <w:rFonts w:hint="eastAsia" w:ascii="黑体" w:hAnsi="黑体" w:eastAsia="黑体" w:cs="黑体"/>
          <w:sz w:val="32"/>
          <w:szCs w:val="32"/>
          <w:shd w:val="clear" w:color="auto" w:fill="FFFFFF"/>
        </w:rPr>
      </w:pPr>
      <w:r>
        <w:rPr>
          <w:rFonts w:hint="eastAsia" w:ascii="仿宋" w:hAnsi="仿宋" w:eastAsia="仿宋"/>
          <w:color w:val="000000"/>
          <w:sz w:val="32"/>
          <w:szCs w:val="32"/>
          <w:lang w:eastAsia="zh-CN"/>
        </w:rPr>
        <w:object>
          <v:shape id="_x0000_i1025" o:spt="75" type="#_x0000_t75" style="height:0.05pt;width:0.05pt;" o:ole="t" filled="f" stroked="f" coordsize="21600,21600">
            <v:path/>
            <v:fill on="f" focussize="0,0"/>
            <v:stroke on="f"/>
            <v:imagedata o:title=""/>
            <o:lock v:ext="edit" aspectratio="t"/>
            <w10:wrap type="none"/>
            <w10:anchorlock/>
          </v:shape>
          <o:OLEObject Type="Embed" ProgID="Excel.Chart.8" ShapeID="_x0000_i1025" DrawAspect="Content" ObjectID="_1468075725" r:id="rId9">
            <o:LockedField>false</o:LockedField>
          </o:OLEObject>
        </w:object>
      </w:r>
      <w:r>
        <w:rPr>
          <w:rFonts w:hint="eastAsia" w:ascii="仿宋" w:hAnsi="仿宋" w:eastAsia="仿宋"/>
          <w:color w:val="000000"/>
          <w:sz w:val="32"/>
          <w:szCs w:val="32"/>
          <w:lang w:eastAsia="zh-CN"/>
        </w:rPr>
        <w:object>
          <v:shape id="_x0000_i1026" o:spt="75" type="#_x0000_t75" style="height:0.05pt;width:0.05pt;" o:ole="t" filled="f" stroked="f" coordsize="21600,21600">
            <v:path/>
            <v:fill on="f" focussize="0,0"/>
            <v:stroke on="f"/>
            <v:imagedata o:title=""/>
            <o:lock v:ext="edit" aspectratio="t"/>
            <w10:wrap type="none"/>
            <w10:anchorlock/>
          </v:shape>
          <o:OLEObject Type="Embed" ProgID="Excel.Chart.8" ShapeID="_x0000_i1026" DrawAspect="Content" ObjectID="_1468075726" r:id="rId10">
            <o:LockedField>false</o:LockedField>
          </o:OLEObject>
        </w:object>
      </w:r>
      <w:r>
        <w:rPr>
          <w:rFonts w:hint="eastAsia" w:ascii="仿宋" w:hAnsi="仿宋" w:eastAsia="仿宋"/>
          <w:color w:val="000000"/>
          <w:sz w:val="32"/>
          <w:szCs w:val="32"/>
          <w:lang w:eastAsia="zh-CN"/>
        </w:rPr>
        <w:drawing>
          <wp:inline distT="0" distB="0" distL="114300" distR="114300">
            <wp:extent cx="4670425" cy="2008505"/>
            <wp:effectExtent l="4445" t="4445" r="11430" b="635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11"/>
        <w:keepNext w:val="0"/>
        <w:keepLines w:val="0"/>
        <w:widowControl/>
        <w:numPr>
          <w:ilvl w:val="0"/>
          <w:numId w:val="1"/>
        </w:numPr>
        <w:suppressLineNumbers w:val="0"/>
        <w:shd w:val="clear" w:color="auto" w:fill="auto"/>
        <w:ind w:left="0" w:leftChars="0" w:right="75" w:firstLine="0" w:firstLineChars="0"/>
        <w:jc w:val="left"/>
        <w:outlineLvl w:val="1"/>
        <w:rPr>
          <w:rFonts w:hint="eastAsia" w:ascii="黑体" w:hAnsi="黑体" w:eastAsia="黑体" w:cs="黑体"/>
          <w:sz w:val="32"/>
          <w:szCs w:val="32"/>
          <w:shd w:val="clear" w:color="auto" w:fill="FFFFFF"/>
        </w:rPr>
      </w:pPr>
      <w:bookmarkStart w:id="6" w:name="_Toc21019"/>
      <w:r>
        <w:rPr>
          <w:rFonts w:hint="eastAsia" w:ascii="黑体" w:hAnsi="黑体" w:eastAsia="黑体" w:cs="黑体"/>
          <w:sz w:val="32"/>
          <w:szCs w:val="32"/>
          <w:shd w:val="clear" w:color="auto" w:fill="FFFFFF"/>
        </w:rPr>
        <w:t>支出决算情况说明</w:t>
      </w:r>
      <w:bookmarkEnd w:id="6"/>
    </w:p>
    <w:p>
      <w:pPr>
        <w:pStyle w:val="11"/>
        <w:keepNext w:val="0"/>
        <w:keepLines w:val="0"/>
        <w:widowControl/>
        <w:suppressLineNumbers w:val="0"/>
        <w:shd w:val="clear" w:color="auto" w:fill="auto"/>
        <w:ind w:left="0" w:right="75" w:firstLine="640" w:firstLineChars="200"/>
        <w:rPr>
          <w:rFonts w:hint="eastAsia" w:ascii="仿宋" w:hAnsi="仿宋" w:eastAsia="仿宋"/>
          <w:color w:val="000000"/>
          <w:sz w:val="32"/>
          <w:szCs w:val="32"/>
        </w:rPr>
      </w:pPr>
      <w:r>
        <w:rPr>
          <w:rFonts w:hint="eastAsia"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379.83</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379.83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0.00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0.00</w:t>
      </w:r>
      <w:r>
        <w:rPr>
          <w:rFonts w:hint="eastAsia" w:ascii="仿宋" w:hAnsi="仿宋" w:eastAsia="仿宋"/>
          <w:color w:val="000000"/>
          <w:sz w:val="32"/>
          <w:szCs w:val="32"/>
        </w:rPr>
        <w:t>%；上缴上级支出0.00万元，占0.00%；经营支出0.00万元，占经营支出0.00万元，占 0.00%；对附属单位补助支出0.00万元，占0.00%</w:t>
      </w:r>
    </w:p>
    <w:p>
      <w:pPr>
        <w:pStyle w:val="11"/>
        <w:keepNext w:val="0"/>
        <w:keepLines w:val="0"/>
        <w:widowControl/>
        <w:suppressLineNumbers w:val="0"/>
        <w:shd w:val="clear" w:color="auto" w:fill="auto"/>
        <w:ind w:left="0" w:right="75" w:firstLine="640" w:firstLineChars="200"/>
        <w:rPr>
          <w:rFonts w:hint="eastAsia" w:ascii="仿宋" w:hAnsi="仿宋" w:eastAsia="仿宋"/>
          <w:color w:val="000000"/>
          <w:sz w:val="32"/>
          <w:szCs w:val="32"/>
        </w:rPr>
      </w:pPr>
      <w:r>
        <w:rPr>
          <w:rFonts w:hint="eastAsia" w:ascii="仿宋" w:hAnsi="仿宋" w:eastAsia="仿宋"/>
          <w:color w:val="000000"/>
          <w:sz w:val="32"/>
          <w:szCs w:val="32"/>
        </w:rPr>
        <w:t>（图3：支出决算结构图）（饼状图）</w:t>
      </w:r>
    </w:p>
    <w:p>
      <w:pPr>
        <w:pStyle w:val="11"/>
        <w:keepNext w:val="0"/>
        <w:keepLines w:val="0"/>
        <w:widowControl/>
        <w:suppressLineNumbers w:val="0"/>
        <w:shd w:val="clear" w:color="auto" w:fill="auto"/>
        <w:ind w:left="0" w:right="75"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drawing>
          <wp:inline distT="0" distB="0" distL="114300" distR="114300">
            <wp:extent cx="5080000" cy="2918460"/>
            <wp:effectExtent l="4445" t="4445" r="20955" b="1079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11"/>
        <w:keepNext w:val="0"/>
        <w:keepLines w:val="0"/>
        <w:widowControl/>
        <w:numPr>
          <w:ilvl w:val="0"/>
          <w:numId w:val="1"/>
        </w:numPr>
        <w:suppressLineNumbers w:val="0"/>
        <w:shd w:val="clear" w:color="auto" w:fill="auto"/>
        <w:ind w:left="0" w:leftChars="0" w:right="75" w:firstLine="0" w:firstLineChars="0"/>
        <w:jc w:val="left"/>
        <w:outlineLvl w:val="1"/>
        <w:rPr>
          <w:rFonts w:hint="eastAsia" w:ascii="黑体" w:hAnsi="黑体" w:eastAsia="黑体" w:cs="黑体"/>
          <w:sz w:val="32"/>
          <w:szCs w:val="32"/>
          <w:shd w:val="clear" w:color="auto" w:fill="FFFFFF"/>
        </w:rPr>
      </w:pPr>
      <w:bookmarkStart w:id="7" w:name="_Toc7956"/>
      <w:r>
        <w:rPr>
          <w:rFonts w:hint="eastAsia" w:ascii="黑体" w:hAnsi="黑体" w:eastAsia="黑体" w:cs="黑体"/>
          <w:sz w:val="32"/>
          <w:szCs w:val="32"/>
          <w:shd w:val="clear" w:color="auto" w:fill="FFFFFF"/>
        </w:rPr>
        <w:t>财政拨款收入支出决算总体情况说明</w:t>
      </w:r>
      <w:bookmarkEnd w:id="7"/>
    </w:p>
    <w:p>
      <w:pPr>
        <w:pStyle w:val="19"/>
        <w:keepNext w:val="0"/>
        <w:keepLines w:val="0"/>
        <w:widowControl/>
        <w:suppressLineNumbers w:val="0"/>
        <w:autoSpaceDE w:val="0"/>
        <w:autoSpaceDN/>
        <w:spacing w:before="0" w:beforeAutospacing="0" w:line="576" w:lineRule="exact"/>
        <w:ind w:left="0" w:firstLine="640" w:firstLineChars="200"/>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lang w:val="en-US" w:eastAsia="zh-CN"/>
        </w:rPr>
        <w:t>2023</w:t>
      </w:r>
      <w:r>
        <w:rPr>
          <w:rFonts w:hint="eastAsia" w:ascii="仿宋" w:hAnsi="仿宋" w:eastAsia="仿宋"/>
          <w:color w:val="000000"/>
          <w:sz w:val="32"/>
          <w:szCs w:val="32"/>
        </w:rPr>
        <w:t>年度收入</w:t>
      </w:r>
      <w:r>
        <w:rPr>
          <w:rFonts w:hint="eastAsia" w:ascii="仿宋" w:hAnsi="仿宋" w:eastAsia="仿宋"/>
          <w:color w:val="000000"/>
          <w:sz w:val="32"/>
          <w:szCs w:val="32"/>
          <w:lang w:val="en-US" w:eastAsia="zh-CN"/>
        </w:rPr>
        <w:t>379.83</w:t>
      </w:r>
      <w:r>
        <w:rPr>
          <w:rFonts w:hint="eastAsia" w:ascii="仿宋" w:hAnsi="仿宋" w:eastAsia="仿宋"/>
          <w:color w:val="000000"/>
          <w:sz w:val="32"/>
          <w:szCs w:val="32"/>
        </w:rPr>
        <w:t>万元，支出</w:t>
      </w:r>
      <w:r>
        <w:rPr>
          <w:rFonts w:hint="eastAsia" w:ascii="仿宋" w:hAnsi="仿宋" w:eastAsia="仿宋"/>
          <w:color w:val="000000"/>
          <w:sz w:val="32"/>
          <w:szCs w:val="32"/>
          <w:lang w:val="en-US" w:eastAsia="zh-CN"/>
        </w:rPr>
        <w:t>379.83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与2</w:t>
      </w:r>
      <w:r>
        <w:rPr>
          <w:rFonts w:hint="eastAsia" w:ascii="仿宋" w:hAnsi="仿宋" w:eastAsia="仿宋"/>
          <w:color w:val="000000"/>
          <w:sz w:val="32"/>
          <w:szCs w:val="32"/>
          <w:lang w:val="en-US" w:eastAsia="zh-CN"/>
        </w:rPr>
        <w:t>022</w:t>
      </w:r>
      <w:r>
        <w:rPr>
          <w:rFonts w:hint="eastAsia" w:ascii="仿宋" w:hAnsi="仿宋" w:eastAsia="仿宋"/>
          <w:color w:val="000000"/>
          <w:sz w:val="32"/>
          <w:szCs w:val="32"/>
        </w:rPr>
        <w:t>年相比，</w:t>
      </w:r>
      <w:r>
        <w:rPr>
          <w:rFonts w:hint="eastAsia" w:ascii="仿宋" w:hAnsi="仿宋" w:eastAsia="仿宋"/>
          <w:color w:val="000000"/>
          <w:sz w:val="32"/>
          <w:szCs w:val="32"/>
          <w:lang w:eastAsia="zh-CN"/>
        </w:rPr>
        <w:t>收入增加了</w:t>
      </w:r>
      <w:r>
        <w:rPr>
          <w:rFonts w:hint="eastAsia" w:ascii="仿宋" w:hAnsi="仿宋" w:eastAsia="仿宋"/>
          <w:color w:val="000000"/>
          <w:sz w:val="32"/>
          <w:szCs w:val="32"/>
          <w:lang w:val="en-US" w:eastAsia="zh-CN"/>
        </w:rPr>
        <w:t>43.67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上升了</w:t>
      </w:r>
      <w:r>
        <w:rPr>
          <w:rFonts w:hint="eastAsia" w:ascii="仿宋" w:hAnsi="仿宋" w:eastAsia="仿宋"/>
          <w:color w:val="000000"/>
          <w:sz w:val="32"/>
          <w:szCs w:val="32"/>
          <w:lang w:val="en-US" w:eastAsia="zh-CN"/>
        </w:rPr>
        <w:t>12.99</w:t>
      </w:r>
      <w:r>
        <w:rPr>
          <w:rFonts w:hint="eastAsia" w:ascii="仿宋" w:hAnsi="仿宋" w:eastAsia="仿宋"/>
          <w:color w:val="000000"/>
          <w:sz w:val="32"/>
          <w:szCs w:val="32"/>
        </w:rPr>
        <w:t>%。</w:t>
      </w:r>
      <w:r>
        <w:rPr>
          <w:rFonts w:hint="eastAsia" w:ascii="仿宋" w:hAnsi="仿宋" w:eastAsia="仿宋"/>
          <w:color w:val="000000"/>
          <w:sz w:val="32"/>
          <w:szCs w:val="32"/>
          <w:lang w:eastAsia="zh-CN"/>
        </w:rPr>
        <w:t>支出增加</w:t>
      </w:r>
      <w:r>
        <w:rPr>
          <w:rFonts w:hint="eastAsia" w:ascii="仿宋" w:hAnsi="仿宋" w:eastAsia="仿宋"/>
          <w:color w:val="000000"/>
          <w:sz w:val="32"/>
          <w:szCs w:val="32"/>
          <w:lang w:val="en-US" w:eastAsia="zh-CN"/>
        </w:rPr>
        <w:t>43.67万元，</w:t>
      </w:r>
      <w:r>
        <w:rPr>
          <w:rFonts w:hint="eastAsia" w:ascii="仿宋" w:hAnsi="仿宋" w:eastAsia="仿宋"/>
          <w:color w:val="000000"/>
          <w:sz w:val="32"/>
          <w:szCs w:val="32"/>
          <w:lang w:eastAsia="zh-CN"/>
        </w:rPr>
        <w:t>上升了</w:t>
      </w:r>
      <w:r>
        <w:rPr>
          <w:rFonts w:hint="eastAsia" w:ascii="仿宋" w:hAnsi="仿宋" w:eastAsia="仿宋"/>
          <w:color w:val="000000"/>
          <w:sz w:val="32"/>
          <w:szCs w:val="32"/>
          <w:lang w:val="en-US" w:eastAsia="zh-CN"/>
        </w:rPr>
        <w:t>12.99</w:t>
      </w:r>
      <w:r>
        <w:rPr>
          <w:rFonts w:hint="eastAsia" w:ascii="仿宋" w:hAnsi="仿宋" w:eastAsia="仿宋"/>
          <w:color w:val="000000"/>
          <w:sz w:val="32"/>
          <w:szCs w:val="32"/>
        </w:rPr>
        <w:t>%</w:t>
      </w:r>
      <w:r>
        <w:rPr>
          <w:rFonts w:hint="eastAsia" w:ascii="仿宋" w:hAnsi="仿宋" w:eastAsia="仿宋"/>
          <w:color w:val="000000"/>
          <w:sz w:val="32"/>
          <w:szCs w:val="32"/>
          <w:lang w:eastAsia="zh-CN"/>
        </w:rPr>
        <w:t>，收入支出均增加主要原因：</w:t>
      </w:r>
      <w:r>
        <w:rPr>
          <w:rStyle w:val="14"/>
          <w:rFonts w:hint="eastAsia" w:ascii="仿宋_GB2312" w:hAnsi="仿宋_GB2312" w:eastAsia="仿宋_GB2312" w:cs="仿宋_GB2312"/>
          <w:sz w:val="32"/>
          <w:szCs w:val="32"/>
        </w:rPr>
        <w:t>主要原因为</w:t>
      </w:r>
      <w:r>
        <w:rPr>
          <w:rStyle w:val="14"/>
          <w:rFonts w:hint="eastAsia" w:ascii="仿宋_GB2312" w:hAnsi="宋体" w:eastAsia="仿宋_GB2312" w:cs="宋体"/>
          <w:sz w:val="32"/>
          <w:szCs w:val="32"/>
          <w:lang w:eastAsia="zh-CN"/>
        </w:rPr>
        <w:t>人员变动、厉行节约、经费调整</w:t>
      </w:r>
      <w:r>
        <w:rPr>
          <w:rFonts w:hint="eastAsia" w:ascii="仿宋_GB2312" w:hAnsi="仿宋_GB2312" w:eastAsia="仿宋_GB2312" w:cs="仿宋_GB2312"/>
          <w:sz w:val="32"/>
          <w:szCs w:val="32"/>
        </w:rPr>
        <w:t>。</w:t>
      </w:r>
    </w:p>
    <w:p>
      <w:pPr>
        <w:pStyle w:val="19"/>
        <w:keepNext w:val="0"/>
        <w:keepLines w:val="0"/>
        <w:widowControl/>
        <w:suppressLineNumbers w:val="0"/>
        <w:autoSpaceDE w:val="0"/>
        <w:autoSpaceDN/>
        <w:spacing w:before="0" w:beforeAutospacing="0" w:line="576" w:lineRule="exact"/>
        <w:ind w:left="0" w:firstLine="640" w:firstLineChars="200"/>
        <w:jc w:val="left"/>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pStyle w:val="11"/>
        <w:keepNext w:val="0"/>
        <w:keepLines w:val="0"/>
        <w:widowControl/>
        <w:numPr>
          <w:ilvl w:val="0"/>
          <w:numId w:val="0"/>
        </w:numPr>
        <w:suppressLineNumbers w:val="0"/>
        <w:shd w:val="clear" w:color="auto" w:fill="auto"/>
        <w:ind w:leftChars="0" w:right="75" w:rightChars="0"/>
        <w:jc w:val="left"/>
        <w:rPr>
          <w:rFonts w:hint="eastAsia" w:ascii="黑体" w:hAnsi="黑体" w:eastAsia="黑体" w:cs="黑体"/>
          <w:sz w:val="32"/>
          <w:szCs w:val="32"/>
          <w:shd w:val="clear" w:color="auto" w:fill="FFFFFF"/>
          <w:lang w:eastAsia="zh-CN"/>
        </w:rPr>
      </w:pPr>
      <w:r>
        <w:rPr>
          <w:rFonts w:hint="eastAsia" w:ascii="黑体" w:hAnsi="黑体" w:eastAsia="黑体" w:cs="黑体"/>
          <w:sz w:val="32"/>
          <w:szCs w:val="32"/>
          <w:shd w:val="clear" w:color="auto" w:fill="FFFFFF"/>
          <w:lang w:eastAsia="zh-CN"/>
        </w:rPr>
        <w:drawing>
          <wp:inline distT="0" distB="0" distL="114300" distR="114300">
            <wp:extent cx="5080000" cy="2628900"/>
            <wp:effectExtent l="4445" t="4445" r="2095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Style w:val="11"/>
        <w:keepNext w:val="0"/>
        <w:keepLines w:val="0"/>
        <w:widowControl/>
        <w:suppressLineNumbers w:val="0"/>
        <w:shd w:val="clear" w:color="auto" w:fill="auto"/>
        <w:ind w:left="0" w:right="75"/>
        <w:jc w:val="left"/>
        <w:outlineLvl w:val="1"/>
        <w:rPr>
          <w:rFonts w:hint="eastAsia" w:ascii="黑体" w:hAnsi="黑体" w:eastAsia="黑体" w:cs="黑体"/>
          <w:sz w:val="32"/>
          <w:szCs w:val="32"/>
          <w:shd w:val="clear" w:color="auto" w:fill="FFFFFF"/>
        </w:rPr>
      </w:pPr>
      <w:bookmarkStart w:id="8" w:name="_Toc23149"/>
      <w:r>
        <w:rPr>
          <w:rFonts w:hint="eastAsia" w:ascii="黑体" w:hAnsi="黑体" w:eastAsia="黑体" w:cs="黑体"/>
          <w:sz w:val="32"/>
          <w:szCs w:val="32"/>
          <w:shd w:val="clear" w:color="auto" w:fill="FFFFFF"/>
        </w:rPr>
        <w:t>五、一般公共预算财政拨款支出决算情况说明</w:t>
      </w:r>
      <w:bookmarkEnd w:id="8"/>
    </w:p>
    <w:p>
      <w:pPr>
        <w:pStyle w:val="11"/>
        <w:keepNext w:val="0"/>
        <w:keepLines w:val="0"/>
        <w:widowControl/>
        <w:suppressLineNumbers w:val="0"/>
        <w:ind w:left="0" w:right="75"/>
        <w:rPr>
          <w:rStyle w:val="14"/>
          <w:rFonts w:hint="eastAsia" w:ascii="仿宋_GB2312" w:hAnsi="仿宋_GB2312" w:eastAsia="仿宋_GB2312" w:cs="仿宋_GB2312"/>
          <w:sz w:val="32"/>
          <w:szCs w:val="32"/>
          <w:shd w:val="clear" w:color="auto" w:fill="FFFFFF"/>
        </w:rPr>
      </w:pPr>
      <w:r>
        <w:rPr>
          <w:rStyle w:val="14"/>
          <w:rFonts w:hint="eastAsia" w:ascii="仿宋_GB2312" w:hAnsi="仿宋_GB2312" w:eastAsia="仿宋_GB2312" w:cs="仿宋_GB2312"/>
          <w:sz w:val="32"/>
          <w:szCs w:val="32"/>
          <w:shd w:val="clear" w:color="auto" w:fill="FFFFFF"/>
        </w:rPr>
        <w:t>（一）一般公共预算财政拨款支出决算总体情况</w:t>
      </w:r>
    </w:p>
    <w:p>
      <w:pPr>
        <w:pStyle w:val="19"/>
        <w:keepNext w:val="0"/>
        <w:keepLines w:val="0"/>
        <w:widowControl/>
        <w:suppressLineNumbers w:val="0"/>
        <w:autoSpaceDE w:val="0"/>
        <w:autoSpaceDN/>
        <w:spacing w:before="0" w:beforeAutospacing="0" w:line="576" w:lineRule="exact"/>
        <w:ind w:left="0" w:firstLine="640" w:firstLineChars="200"/>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lang w:val="en-US" w:eastAsia="zh-CN"/>
        </w:rPr>
        <w:t>2023</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379.83</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。与2</w:t>
      </w:r>
      <w:r>
        <w:rPr>
          <w:rFonts w:hint="eastAsia" w:ascii="仿宋" w:hAnsi="仿宋" w:eastAsia="仿宋"/>
          <w:color w:val="000000"/>
          <w:sz w:val="32"/>
          <w:szCs w:val="32"/>
          <w:lang w:val="en-US" w:eastAsia="zh-CN"/>
        </w:rPr>
        <w:t>022</w:t>
      </w:r>
      <w:r>
        <w:rPr>
          <w:rFonts w:hint="eastAsia" w:ascii="仿宋" w:hAnsi="仿宋" w:eastAsia="仿宋"/>
          <w:color w:val="000000"/>
          <w:sz w:val="32"/>
          <w:szCs w:val="32"/>
        </w:rPr>
        <w:t>年相比，</w:t>
      </w:r>
      <w:r>
        <w:rPr>
          <w:rFonts w:hint="eastAsia" w:ascii="仿宋" w:hAnsi="仿宋" w:eastAsia="仿宋"/>
          <w:color w:val="000000"/>
          <w:sz w:val="32"/>
          <w:szCs w:val="32"/>
          <w:lang w:eastAsia="zh-CN"/>
        </w:rPr>
        <w:t>收入增加了</w:t>
      </w:r>
      <w:r>
        <w:rPr>
          <w:rFonts w:hint="eastAsia" w:ascii="仿宋" w:hAnsi="仿宋" w:eastAsia="仿宋"/>
          <w:color w:val="000000"/>
          <w:sz w:val="32"/>
          <w:szCs w:val="32"/>
          <w:lang w:val="en-US" w:eastAsia="zh-CN"/>
        </w:rPr>
        <w:t>43.67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上升了</w:t>
      </w:r>
      <w:r>
        <w:rPr>
          <w:rFonts w:hint="eastAsia" w:ascii="仿宋" w:hAnsi="仿宋" w:eastAsia="仿宋"/>
          <w:color w:val="000000"/>
          <w:sz w:val="32"/>
          <w:szCs w:val="32"/>
          <w:lang w:val="en-US" w:eastAsia="zh-CN"/>
        </w:rPr>
        <w:t>12.99</w:t>
      </w:r>
      <w:r>
        <w:rPr>
          <w:rFonts w:hint="eastAsia" w:ascii="仿宋" w:hAnsi="仿宋" w:eastAsia="仿宋"/>
          <w:color w:val="000000"/>
          <w:sz w:val="32"/>
          <w:szCs w:val="32"/>
        </w:rPr>
        <w:t>%。</w:t>
      </w:r>
      <w:r>
        <w:rPr>
          <w:rFonts w:hint="eastAsia" w:ascii="仿宋" w:hAnsi="仿宋" w:eastAsia="仿宋"/>
          <w:color w:val="000000"/>
          <w:sz w:val="32"/>
          <w:szCs w:val="32"/>
          <w:lang w:eastAsia="zh-CN"/>
        </w:rPr>
        <w:t>增加主要原因：</w:t>
      </w:r>
      <w:r>
        <w:rPr>
          <w:rStyle w:val="14"/>
          <w:rFonts w:hint="eastAsia" w:ascii="仿宋_GB2312" w:hAnsi="仿宋_GB2312" w:eastAsia="仿宋_GB2312" w:cs="仿宋_GB2312"/>
          <w:sz w:val="32"/>
          <w:szCs w:val="32"/>
        </w:rPr>
        <w:t>主要原因为</w:t>
      </w:r>
      <w:r>
        <w:rPr>
          <w:rStyle w:val="14"/>
          <w:rFonts w:hint="eastAsia" w:ascii="仿宋_GB2312" w:hAnsi="宋体" w:eastAsia="仿宋_GB2312" w:cs="宋体"/>
          <w:sz w:val="32"/>
          <w:szCs w:val="32"/>
          <w:lang w:eastAsia="zh-CN"/>
        </w:rPr>
        <w:t>人员变动、厉行节约、经费调整</w:t>
      </w:r>
      <w:r>
        <w:rPr>
          <w:rFonts w:hint="eastAsia" w:ascii="仿宋_GB2312" w:hAnsi="仿宋_GB2312" w:eastAsia="仿宋_GB2312" w:cs="仿宋_GB2312"/>
          <w:sz w:val="32"/>
          <w:szCs w:val="32"/>
        </w:rPr>
        <w:t>。</w:t>
      </w:r>
    </w:p>
    <w:p>
      <w:pPr>
        <w:spacing w:line="600" w:lineRule="exact"/>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w:t>
      </w:r>
      <w:r>
        <w:rPr>
          <w:rFonts w:hint="eastAsia" w:ascii="仿宋" w:hAnsi="仿宋" w:eastAsia="仿宋"/>
          <w:color w:val="000000" w:themeColor="text1"/>
          <w:sz w:val="32"/>
          <w:szCs w:val="32"/>
          <w:lang w:eastAsia="zh-CN"/>
          <w14:textFill>
            <w14:solidFill>
              <w14:schemeClr w14:val="tx1"/>
            </w14:solidFill>
          </w14:textFill>
        </w:rPr>
        <w:t>图）</w:t>
      </w:r>
    </w:p>
    <w:p>
      <w:pPr>
        <w:pStyle w:val="2"/>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5080000" cy="2581275"/>
            <wp:effectExtent l="4445" t="4445" r="20955" b="508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Style w:val="11"/>
        <w:keepNext w:val="0"/>
        <w:keepLines w:val="0"/>
        <w:widowControl/>
        <w:numPr>
          <w:ilvl w:val="0"/>
          <w:numId w:val="2"/>
        </w:numPr>
        <w:suppressLineNumbers w:val="0"/>
        <w:ind w:left="0" w:right="75"/>
        <w:rPr>
          <w:rStyle w:val="14"/>
          <w:rFonts w:hint="eastAsia" w:ascii="仿宋_GB2312" w:hAnsi="仿宋_GB2312" w:eastAsia="仿宋_GB2312" w:cs="仿宋_GB2312"/>
          <w:sz w:val="32"/>
          <w:szCs w:val="32"/>
          <w:shd w:val="clear" w:color="auto" w:fill="FFFFFF"/>
        </w:rPr>
      </w:pPr>
      <w:r>
        <w:rPr>
          <w:rStyle w:val="14"/>
          <w:rFonts w:hint="eastAsia" w:ascii="仿宋_GB2312" w:hAnsi="仿宋_GB2312" w:eastAsia="仿宋_GB2312" w:cs="仿宋_GB2312"/>
          <w:sz w:val="32"/>
          <w:szCs w:val="32"/>
          <w:shd w:val="clear" w:color="auto" w:fill="FFFFFF"/>
        </w:rPr>
        <w:t>一般公共预算财政拨款支出决算结构情况</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ind w:left="0" w:right="76" w:firstLine="640" w:firstLineChars="200"/>
        <w:jc w:val="left"/>
        <w:rPr>
          <w:rStyle w:val="14"/>
          <w:rFonts w:hint="default" w:ascii="仿宋" w:hAnsi="仿宋" w:eastAsia="仿宋" w:cs="Times New Roman"/>
          <w:b w:val="0"/>
          <w:bCs/>
          <w:color w:val="000000"/>
          <w:kern w:val="2"/>
          <w:sz w:val="32"/>
          <w:szCs w:val="32"/>
          <w:shd w:val="clear"/>
          <w:lang w:val="en-US" w:eastAsia="zh-CN" w:bidi="ar-SA"/>
        </w:rPr>
      </w:pPr>
      <w:r>
        <w:rPr>
          <w:rStyle w:val="14"/>
          <w:rFonts w:hint="default" w:ascii="仿宋" w:hAnsi="仿宋" w:eastAsia="仿宋" w:cs="Times New Roman"/>
          <w:b w:val="0"/>
          <w:bCs/>
          <w:color w:val="000000"/>
          <w:kern w:val="2"/>
          <w:sz w:val="32"/>
          <w:szCs w:val="32"/>
          <w:shd w:val="clear"/>
          <w:lang w:val="en-US" w:eastAsia="zh-CN" w:bidi="ar-SA"/>
        </w:rPr>
        <w:t>202</w:t>
      </w:r>
      <w:r>
        <w:rPr>
          <w:rStyle w:val="14"/>
          <w:rFonts w:hint="eastAsia" w:ascii="仿宋" w:hAnsi="仿宋" w:eastAsia="仿宋" w:cs="Times New Roman"/>
          <w:b w:val="0"/>
          <w:bCs/>
          <w:color w:val="000000"/>
          <w:kern w:val="2"/>
          <w:sz w:val="32"/>
          <w:szCs w:val="32"/>
          <w:shd w:val="clear"/>
          <w:lang w:val="en-US" w:eastAsia="zh-CN" w:bidi="ar-SA"/>
        </w:rPr>
        <w:t>3</w:t>
      </w:r>
      <w:r>
        <w:rPr>
          <w:rStyle w:val="14"/>
          <w:rFonts w:hint="default" w:ascii="仿宋" w:hAnsi="仿宋" w:eastAsia="仿宋" w:cs="Times New Roman"/>
          <w:b w:val="0"/>
          <w:bCs/>
          <w:color w:val="000000"/>
          <w:kern w:val="2"/>
          <w:sz w:val="32"/>
          <w:szCs w:val="32"/>
          <w:shd w:val="clear"/>
          <w:lang w:val="en-US" w:eastAsia="zh-CN" w:bidi="ar-SA"/>
        </w:rPr>
        <w:t>年一般公共预算财政拨款支出</w:t>
      </w:r>
      <w:r>
        <w:rPr>
          <w:rStyle w:val="14"/>
          <w:rFonts w:hint="eastAsia" w:ascii="仿宋" w:hAnsi="仿宋" w:eastAsia="仿宋" w:cs="Times New Roman"/>
          <w:b w:val="0"/>
          <w:bCs/>
          <w:color w:val="000000"/>
          <w:kern w:val="2"/>
          <w:sz w:val="32"/>
          <w:szCs w:val="32"/>
          <w:shd w:val="clear"/>
          <w:lang w:val="en-US" w:eastAsia="zh-CN" w:bidi="ar-SA"/>
        </w:rPr>
        <w:t>379.83</w:t>
      </w:r>
      <w:r>
        <w:rPr>
          <w:rStyle w:val="14"/>
          <w:rFonts w:hint="default" w:ascii="仿宋" w:hAnsi="仿宋" w:eastAsia="仿宋" w:cs="Times New Roman"/>
          <w:b w:val="0"/>
          <w:bCs/>
          <w:color w:val="000000"/>
          <w:kern w:val="2"/>
          <w:sz w:val="32"/>
          <w:szCs w:val="32"/>
          <w:shd w:val="clear"/>
          <w:lang w:val="en-US" w:eastAsia="zh-CN" w:bidi="ar-SA"/>
        </w:rPr>
        <w:t>万元，主要用于以下方面:一般公共服务（类）支出</w:t>
      </w:r>
      <w:r>
        <w:rPr>
          <w:rStyle w:val="14"/>
          <w:rFonts w:hint="eastAsia" w:ascii="仿宋" w:hAnsi="仿宋" w:eastAsia="仿宋" w:cs="Times New Roman"/>
          <w:b w:val="0"/>
          <w:bCs/>
          <w:color w:val="000000"/>
          <w:kern w:val="2"/>
          <w:sz w:val="32"/>
          <w:szCs w:val="32"/>
          <w:shd w:val="clear"/>
          <w:lang w:val="en-US" w:eastAsia="zh-CN" w:bidi="ar-SA"/>
        </w:rPr>
        <w:t>286.93</w:t>
      </w:r>
      <w:r>
        <w:rPr>
          <w:rStyle w:val="14"/>
          <w:rFonts w:hint="default" w:ascii="仿宋" w:hAnsi="仿宋" w:eastAsia="仿宋" w:cs="Times New Roman"/>
          <w:b w:val="0"/>
          <w:bCs/>
          <w:color w:val="000000"/>
          <w:kern w:val="2"/>
          <w:sz w:val="32"/>
          <w:szCs w:val="32"/>
          <w:shd w:val="clear"/>
          <w:lang w:val="en-US" w:eastAsia="zh-CN" w:bidi="ar-SA"/>
        </w:rPr>
        <w:t>万元，占</w:t>
      </w:r>
      <w:r>
        <w:rPr>
          <w:rStyle w:val="14"/>
          <w:rFonts w:hint="eastAsia" w:ascii="仿宋" w:hAnsi="仿宋" w:eastAsia="仿宋" w:cs="Times New Roman"/>
          <w:b w:val="0"/>
          <w:bCs/>
          <w:color w:val="000000"/>
          <w:kern w:val="2"/>
          <w:sz w:val="32"/>
          <w:szCs w:val="32"/>
          <w:shd w:val="clear"/>
          <w:lang w:val="en-US" w:eastAsia="zh-CN" w:bidi="ar-SA"/>
        </w:rPr>
        <w:t>75.54</w:t>
      </w:r>
      <w:r>
        <w:rPr>
          <w:rStyle w:val="14"/>
          <w:rFonts w:hint="default" w:ascii="仿宋" w:hAnsi="仿宋" w:eastAsia="仿宋" w:cs="Times New Roman"/>
          <w:b w:val="0"/>
          <w:bCs/>
          <w:color w:val="000000"/>
          <w:kern w:val="2"/>
          <w:sz w:val="32"/>
          <w:szCs w:val="32"/>
          <w:shd w:val="clear"/>
          <w:lang w:val="en-US" w:eastAsia="zh-CN" w:bidi="ar-SA"/>
        </w:rPr>
        <w:t>%；社会保障和就业（类）支出</w:t>
      </w:r>
      <w:r>
        <w:rPr>
          <w:rStyle w:val="14"/>
          <w:rFonts w:hint="eastAsia" w:ascii="仿宋" w:hAnsi="仿宋" w:eastAsia="仿宋" w:cs="Times New Roman"/>
          <w:b w:val="0"/>
          <w:bCs/>
          <w:color w:val="000000"/>
          <w:kern w:val="2"/>
          <w:sz w:val="32"/>
          <w:szCs w:val="32"/>
          <w:shd w:val="clear"/>
          <w:lang w:val="en-US" w:eastAsia="zh-CN" w:bidi="ar-SA"/>
        </w:rPr>
        <w:t>49.24</w:t>
      </w:r>
      <w:r>
        <w:rPr>
          <w:rStyle w:val="14"/>
          <w:rFonts w:hint="default" w:ascii="仿宋" w:hAnsi="仿宋" w:eastAsia="仿宋" w:cs="Times New Roman"/>
          <w:b w:val="0"/>
          <w:bCs/>
          <w:color w:val="000000"/>
          <w:kern w:val="2"/>
          <w:sz w:val="32"/>
          <w:szCs w:val="32"/>
          <w:shd w:val="clear"/>
          <w:lang w:val="en-US" w:eastAsia="zh-CN" w:bidi="ar-SA"/>
        </w:rPr>
        <w:t>万元，占</w:t>
      </w:r>
      <w:r>
        <w:rPr>
          <w:rStyle w:val="14"/>
          <w:rFonts w:hint="eastAsia" w:ascii="仿宋" w:hAnsi="仿宋" w:eastAsia="仿宋" w:cs="Times New Roman"/>
          <w:b w:val="0"/>
          <w:bCs/>
          <w:color w:val="000000"/>
          <w:kern w:val="2"/>
          <w:sz w:val="32"/>
          <w:szCs w:val="32"/>
          <w:shd w:val="clear"/>
          <w:lang w:val="en-US" w:eastAsia="zh-CN" w:bidi="ar-SA"/>
        </w:rPr>
        <w:t>12.96</w:t>
      </w:r>
      <w:r>
        <w:rPr>
          <w:rStyle w:val="14"/>
          <w:rFonts w:hint="default" w:ascii="仿宋" w:hAnsi="仿宋" w:eastAsia="仿宋" w:cs="Times New Roman"/>
          <w:b w:val="0"/>
          <w:bCs/>
          <w:color w:val="000000"/>
          <w:kern w:val="2"/>
          <w:sz w:val="32"/>
          <w:szCs w:val="32"/>
          <w:shd w:val="clear"/>
          <w:lang w:val="en-US" w:eastAsia="zh-CN" w:bidi="ar-SA"/>
        </w:rPr>
        <w:t>%；卫生健康支出</w:t>
      </w:r>
      <w:r>
        <w:rPr>
          <w:rStyle w:val="14"/>
          <w:rFonts w:hint="eastAsia" w:ascii="仿宋" w:hAnsi="仿宋" w:eastAsia="仿宋" w:cs="Times New Roman"/>
          <w:b w:val="0"/>
          <w:bCs/>
          <w:color w:val="000000"/>
          <w:kern w:val="2"/>
          <w:sz w:val="32"/>
          <w:szCs w:val="32"/>
          <w:shd w:val="clear"/>
          <w:lang w:val="en-US" w:eastAsia="zh-CN" w:bidi="ar-SA"/>
        </w:rPr>
        <w:t>19.67</w:t>
      </w:r>
      <w:r>
        <w:rPr>
          <w:rStyle w:val="14"/>
          <w:rFonts w:hint="default" w:ascii="仿宋" w:hAnsi="仿宋" w:eastAsia="仿宋" w:cs="Times New Roman"/>
          <w:b w:val="0"/>
          <w:bCs/>
          <w:color w:val="000000"/>
          <w:kern w:val="2"/>
          <w:sz w:val="32"/>
          <w:szCs w:val="32"/>
          <w:shd w:val="clear"/>
          <w:lang w:val="en-US" w:eastAsia="zh-CN" w:bidi="ar-SA"/>
        </w:rPr>
        <w:t>万元，占</w:t>
      </w:r>
      <w:r>
        <w:rPr>
          <w:rStyle w:val="14"/>
          <w:rFonts w:hint="eastAsia" w:ascii="仿宋" w:hAnsi="仿宋" w:eastAsia="仿宋" w:cs="Times New Roman"/>
          <w:b w:val="0"/>
          <w:bCs/>
          <w:color w:val="000000"/>
          <w:kern w:val="2"/>
          <w:sz w:val="32"/>
          <w:szCs w:val="32"/>
          <w:shd w:val="clear"/>
          <w:lang w:val="en-US" w:eastAsia="zh-CN" w:bidi="ar-SA"/>
        </w:rPr>
        <w:t>5.17</w:t>
      </w:r>
      <w:r>
        <w:rPr>
          <w:rStyle w:val="14"/>
          <w:rFonts w:hint="default" w:ascii="仿宋" w:hAnsi="仿宋" w:eastAsia="仿宋" w:cs="Times New Roman"/>
          <w:b w:val="0"/>
          <w:bCs/>
          <w:color w:val="000000"/>
          <w:kern w:val="2"/>
          <w:sz w:val="32"/>
          <w:szCs w:val="32"/>
          <w:shd w:val="clear"/>
          <w:lang w:val="en-US" w:eastAsia="zh-CN" w:bidi="ar-SA"/>
        </w:rPr>
        <w:t>%；住房保障支出</w:t>
      </w:r>
      <w:r>
        <w:rPr>
          <w:rStyle w:val="14"/>
          <w:rFonts w:hint="eastAsia" w:ascii="仿宋" w:hAnsi="仿宋" w:eastAsia="仿宋" w:cs="Times New Roman"/>
          <w:b w:val="0"/>
          <w:bCs/>
          <w:color w:val="000000"/>
          <w:kern w:val="2"/>
          <w:sz w:val="32"/>
          <w:szCs w:val="32"/>
          <w:shd w:val="clear"/>
          <w:lang w:val="en-US" w:eastAsia="zh-CN" w:bidi="ar-SA"/>
        </w:rPr>
        <w:t>24</w:t>
      </w:r>
      <w:r>
        <w:rPr>
          <w:rStyle w:val="14"/>
          <w:rFonts w:hint="default" w:ascii="仿宋" w:hAnsi="仿宋" w:eastAsia="仿宋" w:cs="Times New Roman"/>
          <w:b w:val="0"/>
          <w:bCs/>
          <w:color w:val="000000"/>
          <w:kern w:val="2"/>
          <w:sz w:val="32"/>
          <w:szCs w:val="32"/>
          <w:shd w:val="clear"/>
          <w:lang w:val="en-US" w:eastAsia="zh-CN" w:bidi="ar-SA"/>
        </w:rPr>
        <w:t>万元，占</w:t>
      </w:r>
      <w:r>
        <w:rPr>
          <w:rStyle w:val="14"/>
          <w:rFonts w:hint="eastAsia" w:ascii="仿宋" w:hAnsi="仿宋" w:eastAsia="仿宋" w:cs="Times New Roman"/>
          <w:b w:val="0"/>
          <w:bCs/>
          <w:color w:val="000000"/>
          <w:kern w:val="2"/>
          <w:sz w:val="32"/>
          <w:szCs w:val="32"/>
          <w:shd w:val="clear"/>
          <w:lang w:val="en-US" w:eastAsia="zh-CN" w:bidi="ar-SA"/>
        </w:rPr>
        <w:t>6.33</w:t>
      </w:r>
      <w:r>
        <w:rPr>
          <w:rStyle w:val="14"/>
          <w:rFonts w:hint="default" w:ascii="仿宋" w:hAnsi="仿宋" w:eastAsia="仿宋" w:cs="Times New Roman"/>
          <w:b w:val="0"/>
          <w:bCs/>
          <w:color w:val="000000"/>
          <w:kern w:val="2"/>
          <w:sz w:val="32"/>
          <w:szCs w:val="32"/>
          <w:shd w:val="clear"/>
          <w:lang w:val="en-US" w:eastAsia="zh-CN" w:bidi="ar-SA"/>
        </w:rPr>
        <w:t>%。</w:t>
      </w:r>
    </w:p>
    <w:p>
      <w:pPr>
        <w:pStyle w:val="11"/>
        <w:keepNext w:val="0"/>
        <w:keepLines w:val="0"/>
        <w:widowControl/>
        <w:numPr>
          <w:ilvl w:val="0"/>
          <w:numId w:val="0"/>
        </w:numPr>
        <w:suppressLineNumbers w:val="0"/>
        <w:ind w:right="75" w:rightChars="0"/>
        <w:rPr>
          <w:rStyle w:val="14"/>
          <w:rFonts w:hint="eastAsia" w:ascii="仿宋_GB2312" w:hAnsi="仿宋_GB2312" w:eastAsia="仿宋" w:cs="仿宋_GB2312"/>
          <w:sz w:val="28"/>
          <w:szCs w:val="28"/>
          <w:shd w:val="clear" w:color="auto" w:fill="FFFFFF"/>
          <w:lang w:eastAsia="zh-CN"/>
        </w:rPr>
      </w:pPr>
      <w:r>
        <w:rPr>
          <w:rFonts w:hint="eastAsia" w:ascii="仿宋" w:hAnsi="仿宋" w:eastAsia="仿宋"/>
          <w:color w:val="000000"/>
          <w:sz w:val="28"/>
          <w:szCs w:val="28"/>
          <w:lang w:eastAsia="zh-CN"/>
        </w:rPr>
        <w:drawing>
          <wp:anchor distT="0" distB="0" distL="114300" distR="114300" simplePos="0" relativeHeight="251660288" behindDoc="1" locked="0" layoutInCell="1" allowOverlap="1">
            <wp:simplePos x="0" y="0"/>
            <wp:positionH relativeFrom="column">
              <wp:posOffset>339725</wp:posOffset>
            </wp:positionH>
            <wp:positionV relativeFrom="paragraph">
              <wp:posOffset>627380</wp:posOffset>
            </wp:positionV>
            <wp:extent cx="4765040" cy="2182495"/>
            <wp:effectExtent l="4445" t="4445" r="12065" b="22860"/>
            <wp:wrapTight wrapText="bothSides">
              <wp:wrapPolygon>
                <wp:start x="-20" y="-44"/>
                <wp:lineTo x="-20" y="21449"/>
                <wp:lineTo x="21568" y="21449"/>
                <wp:lineTo x="21568" y="-44"/>
                <wp:lineTo x="-20" y="-44"/>
              </wp:wrapPolygon>
            </wp:wrapTight>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hint="eastAsia" w:ascii="仿宋" w:hAnsi="仿宋" w:eastAsia="仿宋"/>
          <w:color w:val="000000"/>
          <w:sz w:val="28"/>
          <w:szCs w:val="28"/>
        </w:rPr>
        <w:t>（图6：一般公共预算财政拨款支出决算结构</w:t>
      </w:r>
      <w:r>
        <w:rPr>
          <w:rFonts w:hint="eastAsia" w:ascii="仿宋" w:hAnsi="仿宋" w:eastAsia="仿宋"/>
          <w:color w:val="000000"/>
          <w:sz w:val="28"/>
          <w:szCs w:val="28"/>
          <w:lang w:eastAsia="zh-CN"/>
        </w:rPr>
        <w:t>图</w:t>
      </w:r>
      <w:r>
        <w:rPr>
          <w:rFonts w:hint="eastAsia" w:ascii="仿宋" w:hAnsi="仿宋" w:eastAsia="仿宋"/>
          <w:color w:val="000000"/>
          <w:sz w:val="28"/>
          <w:szCs w:val="28"/>
        </w:rPr>
        <w:t>（饼状</w:t>
      </w:r>
      <w:r>
        <w:rPr>
          <w:rFonts w:hint="eastAsia" w:ascii="仿宋" w:hAnsi="仿宋" w:eastAsia="仿宋"/>
          <w:color w:val="000000"/>
          <w:sz w:val="28"/>
          <w:szCs w:val="28"/>
          <w:lang w:eastAsia="zh-CN"/>
        </w:rPr>
        <w:t>图）</w:t>
      </w:r>
    </w:p>
    <w:p>
      <w:pPr>
        <w:pStyle w:val="11"/>
        <w:keepNext w:val="0"/>
        <w:keepLines w:val="0"/>
        <w:widowControl/>
        <w:numPr>
          <w:ilvl w:val="0"/>
          <w:numId w:val="2"/>
        </w:numPr>
        <w:suppressLineNumbers w:val="0"/>
        <w:ind w:left="0" w:leftChars="0" w:right="75" w:firstLine="0" w:firstLineChars="0"/>
        <w:rPr>
          <w:rStyle w:val="14"/>
          <w:rFonts w:hint="eastAsia" w:ascii="仿宋_GB2312" w:hAnsi="仿宋_GB2312" w:eastAsia="仿宋_GB2312" w:cs="仿宋_GB2312"/>
          <w:sz w:val="32"/>
          <w:szCs w:val="32"/>
          <w:shd w:val="clear" w:color="auto" w:fill="FFFFFF"/>
        </w:rPr>
      </w:pPr>
      <w:r>
        <w:rPr>
          <w:rStyle w:val="14"/>
          <w:rFonts w:hint="eastAsia" w:ascii="仿宋_GB2312" w:hAnsi="仿宋_GB2312" w:eastAsia="仿宋_GB2312" w:cs="仿宋_GB2312"/>
          <w:sz w:val="32"/>
          <w:szCs w:val="32"/>
          <w:shd w:val="clear" w:color="auto" w:fill="FFFFFF"/>
        </w:rPr>
        <w:t>一般公共预算财政拨款支出决算具体情况</w:t>
      </w:r>
    </w:p>
    <w:p>
      <w:pPr>
        <w:spacing w:line="600" w:lineRule="exact"/>
        <w:ind w:firstLine="643" w:firstLineChars="200"/>
        <w:outlineLvl w:val="9"/>
        <w:rPr>
          <w:rFonts w:ascii="仿宋" w:hAnsi="仿宋" w:eastAsia="仿宋"/>
          <w:color w:val="FF0000"/>
          <w:sz w:val="32"/>
          <w:szCs w:val="32"/>
        </w:rPr>
      </w:pPr>
      <w:bookmarkStart w:id="9" w:name="_Toc15377444"/>
      <w:bookmarkStart w:id="10" w:name="_Toc15377213"/>
      <w:bookmarkStart w:id="11" w:name="_Toc15378460"/>
      <w:r>
        <w:rPr>
          <w:rFonts w:hint="eastAsia" w:ascii="仿宋" w:hAnsi="仿宋" w:eastAsia="仿宋"/>
          <w:b/>
          <w:color w:val="000000" w:themeColor="text1"/>
          <w:sz w:val="32"/>
          <w:szCs w:val="32"/>
          <w14:textFill>
            <w14:solidFill>
              <w14:schemeClr w14:val="tx1"/>
            </w14:solidFill>
          </w14:textFill>
        </w:rPr>
        <w:t>20</w:t>
      </w:r>
      <w:r>
        <w:rPr>
          <w:rFonts w:hint="eastAsia" w:ascii="仿宋" w:hAnsi="仿宋" w:eastAsia="仿宋"/>
          <w:b/>
          <w:color w:val="000000" w:themeColor="text1"/>
          <w:sz w:val="32"/>
          <w:szCs w:val="32"/>
          <w:lang w:val="en-US" w:eastAsia="zh-CN"/>
          <w14:textFill>
            <w14:solidFill>
              <w14:schemeClr w14:val="tx1"/>
            </w14:solidFill>
          </w14:textFill>
        </w:rPr>
        <w:t>22</w:t>
      </w:r>
      <w:r>
        <w:rPr>
          <w:rFonts w:hint="eastAsia" w:ascii="仿宋" w:hAnsi="仿宋" w:eastAsia="仿宋"/>
          <w:b/>
          <w:color w:val="000000" w:themeColor="text1"/>
          <w:sz w:val="32"/>
          <w:szCs w:val="32"/>
          <w14:textFill>
            <w14:solidFill>
              <w14:schemeClr w14:val="tx1"/>
            </w14:solidFill>
          </w14:textFill>
        </w:rPr>
        <w:t>年</w:t>
      </w:r>
      <w:r>
        <w:rPr>
          <w:rFonts w:hint="eastAsia" w:ascii="仿宋" w:hAnsi="仿宋" w:eastAsia="仿宋"/>
          <w:b/>
          <w:color w:val="000000" w:themeColor="text1"/>
          <w:sz w:val="32"/>
          <w:szCs w:val="32"/>
          <w:lang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379.83</w:t>
      </w:r>
      <w:r>
        <w:rPr>
          <w:rFonts w:hint="eastAsia" w:ascii="仿宋" w:hAnsi="仿宋" w:eastAsia="仿宋"/>
          <w:b/>
          <w:color w:val="000000" w:themeColor="text1"/>
          <w:sz w:val="32"/>
          <w:szCs w:val="32"/>
          <w:lang w:eastAsia="zh-CN"/>
          <w14:textFill>
            <w14:solidFill>
              <w14:schemeClr w14:val="tx1"/>
            </w14:solidFill>
          </w14:textFill>
        </w:rPr>
        <w:t>万元</w:t>
      </w:r>
      <w:r>
        <w:rPr>
          <w:rFonts w:hint="eastAsia" w:ascii="仿宋" w:hAnsi="仿宋" w:eastAsia="仿宋"/>
          <w:color w:val="000000" w:themeColor="text1"/>
          <w:sz w:val="32"/>
          <w:szCs w:val="32"/>
          <w14:textFill>
            <w14:solidFill>
              <w14:schemeClr w14:val="tx1"/>
            </w14:solidFill>
          </w14:textFill>
        </w:rPr>
        <w:t>，</w:t>
      </w:r>
      <w:r>
        <w:rPr>
          <w:rStyle w:val="14"/>
          <w:rFonts w:hint="eastAsia" w:ascii="仿宋" w:hAnsi="仿宋" w:eastAsia="仿宋"/>
          <w:bCs/>
          <w:color w:val="000000" w:themeColor="text1"/>
          <w:sz w:val="32"/>
          <w:szCs w:val="32"/>
          <w14:textFill>
            <w14:solidFill>
              <w14:schemeClr w14:val="tx1"/>
            </w14:solidFill>
          </w14:textFill>
        </w:rPr>
        <w:t>完成</w:t>
      </w:r>
      <w:r>
        <w:rPr>
          <w:rStyle w:val="14"/>
          <w:rFonts w:hint="eastAsia" w:ascii="仿宋" w:hAnsi="仿宋" w:eastAsia="仿宋"/>
          <w:bCs/>
          <w:color w:val="000000"/>
          <w:sz w:val="32"/>
          <w:szCs w:val="32"/>
        </w:rPr>
        <w:t>预算</w:t>
      </w:r>
      <w:r>
        <w:rPr>
          <w:rStyle w:val="14"/>
          <w:rFonts w:hint="eastAsia" w:ascii="仿宋" w:hAnsi="仿宋" w:eastAsia="仿宋"/>
          <w:bCs/>
          <w:color w:val="000000"/>
          <w:sz w:val="32"/>
          <w:szCs w:val="32"/>
          <w:lang w:val="en-US" w:eastAsia="zh-CN"/>
        </w:rPr>
        <w:t>100</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9"/>
      <w:bookmarkEnd w:id="10"/>
      <w:bookmarkEnd w:id="11"/>
    </w:p>
    <w:p>
      <w:pPr>
        <w:numPr>
          <w:ilvl w:val="0"/>
          <w:numId w:val="3"/>
        </w:numPr>
        <w:spacing w:line="600" w:lineRule="exact"/>
        <w:ind w:left="0" w:leftChars="0" w:firstLine="643" w:firstLineChars="200"/>
        <w:rPr>
          <w:rFonts w:ascii="仿宋" w:hAnsi="仿宋" w:eastAsia="仿宋"/>
          <w:b/>
          <w:color w:val="000000"/>
          <w:sz w:val="32"/>
          <w:szCs w:val="32"/>
        </w:rPr>
      </w:pPr>
      <w:r>
        <w:rPr>
          <w:rStyle w:val="14"/>
          <w:rFonts w:hint="eastAsia" w:ascii="仿宋" w:hAnsi="仿宋" w:eastAsia="仿宋"/>
          <w:bCs/>
          <w:color w:val="000000"/>
          <w:sz w:val="32"/>
          <w:szCs w:val="32"/>
        </w:rPr>
        <w:t>一般公共服务</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lang w:val="en-US" w:eastAsia="zh-CN"/>
        </w:rPr>
        <w:t>2013101-</w:t>
      </w:r>
      <w:r>
        <w:rPr>
          <w:rStyle w:val="14"/>
          <w:rFonts w:hint="eastAsia" w:ascii="仿宋" w:hAnsi="仿宋" w:eastAsia="仿宋"/>
          <w:b w:val="0"/>
          <w:bCs/>
          <w:color w:val="000000"/>
          <w:sz w:val="32"/>
          <w:szCs w:val="32"/>
        </w:rPr>
        <w:t>行政运行支出决算为</w:t>
      </w:r>
      <w:r>
        <w:rPr>
          <w:rStyle w:val="14"/>
          <w:rFonts w:hint="eastAsia" w:ascii="仿宋" w:hAnsi="仿宋" w:eastAsia="仿宋"/>
          <w:b w:val="0"/>
          <w:bCs/>
          <w:color w:val="000000"/>
          <w:sz w:val="32"/>
          <w:szCs w:val="32"/>
          <w:lang w:val="en-US" w:eastAsia="zh-CN"/>
        </w:rPr>
        <w:t>286.93</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，主要用于开支日常公用经费及人员经费；</w:t>
      </w:r>
      <w:r>
        <w:rPr>
          <w:rStyle w:val="14"/>
          <w:rFonts w:hint="eastAsia" w:ascii="仿宋" w:hAnsi="仿宋" w:eastAsia="仿宋"/>
          <w:b w:val="0"/>
          <w:bCs/>
          <w:color w:val="000000"/>
          <w:sz w:val="32"/>
          <w:szCs w:val="32"/>
          <w:lang w:val="en-US" w:eastAsia="zh-CN"/>
        </w:rPr>
        <w:t>2011302-</w:t>
      </w:r>
      <w:r>
        <w:rPr>
          <w:rStyle w:val="14"/>
          <w:rFonts w:hint="eastAsia" w:ascii="仿宋" w:hAnsi="仿宋" w:eastAsia="仿宋"/>
          <w:b w:val="0"/>
          <w:bCs/>
          <w:color w:val="000000"/>
          <w:sz w:val="32"/>
          <w:szCs w:val="32"/>
          <w:lang w:eastAsia="zh-CN"/>
        </w:rPr>
        <w:t>一般行政管理事务</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5.00</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，主要用于专项公用经费；</w:t>
      </w:r>
      <w:r>
        <w:rPr>
          <w:rStyle w:val="14"/>
          <w:rFonts w:hint="eastAsia" w:ascii="仿宋" w:hAnsi="仿宋" w:eastAsia="仿宋"/>
          <w:b w:val="0"/>
          <w:bCs/>
          <w:color w:val="000000"/>
          <w:sz w:val="32"/>
          <w:szCs w:val="32"/>
          <w:lang w:val="en-US" w:eastAsia="zh-CN"/>
        </w:rPr>
        <w:t>2013150</w:t>
      </w:r>
      <w:r>
        <w:rPr>
          <w:rStyle w:val="14"/>
          <w:rFonts w:hint="eastAsia" w:ascii="仿宋" w:hAnsi="仿宋" w:eastAsia="仿宋"/>
          <w:b w:val="0"/>
          <w:bCs/>
          <w:color w:val="000000"/>
          <w:sz w:val="32"/>
          <w:szCs w:val="32"/>
          <w:lang w:eastAsia="zh-CN"/>
        </w:rPr>
        <w:tab/>
      </w:r>
      <w:r>
        <w:rPr>
          <w:rStyle w:val="14"/>
          <w:rFonts w:hint="eastAsia" w:ascii="仿宋" w:hAnsi="仿宋" w:eastAsia="仿宋"/>
          <w:b w:val="0"/>
          <w:bCs/>
          <w:color w:val="000000"/>
          <w:sz w:val="32"/>
          <w:szCs w:val="32"/>
          <w:lang w:val="en-US" w:eastAsia="zh-CN"/>
        </w:rPr>
        <w:t>-</w:t>
      </w:r>
      <w:r>
        <w:rPr>
          <w:rStyle w:val="14"/>
          <w:rFonts w:hint="eastAsia" w:ascii="仿宋" w:hAnsi="仿宋" w:eastAsia="仿宋"/>
          <w:b w:val="0"/>
          <w:bCs/>
          <w:color w:val="000000"/>
          <w:sz w:val="32"/>
          <w:szCs w:val="32"/>
          <w:lang w:eastAsia="zh-CN"/>
        </w:rPr>
        <w:t>事业运行</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59.85</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，主要用于主要用于事业开支日常公用经费及人员经费；</w:t>
      </w:r>
    </w:p>
    <w:p>
      <w:pPr>
        <w:numPr>
          <w:ilvl w:val="0"/>
          <w:numId w:val="3"/>
        </w:numPr>
        <w:spacing w:line="600" w:lineRule="exact"/>
        <w:ind w:left="0" w:leftChars="0" w:firstLine="643" w:firstLineChars="200"/>
        <w:rPr>
          <w:rFonts w:ascii="仿宋" w:hAnsi="仿宋" w:eastAsia="仿宋"/>
          <w:b/>
          <w:color w:val="000000"/>
          <w:sz w:val="32"/>
          <w:szCs w:val="32"/>
        </w:rPr>
      </w:pPr>
      <w:r>
        <w:rPr>
          <w:rStyle w:val="14"/>
          <w:rFonts w:hint="eastAsia" w:ascii="仿宋" w:hAnsi="仿宋" w:eastAsia="仿宋"/>
          <w:bCs/>
          <w:color w:val="000000"/>
          <w:sz w:val="32"/>
          <w:szCs w:val="32"/>
        </w:rPr>
        <w:t>社会保障和就业</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2080505</w:t>
      </w:r>
      <w:r>
        <w:rPr>
          <w:rStyle w:val="14"/>
          <w:rFonts w:hint="eastAsia" w:ascii="仿宋" w:hAnsi="仿宋" w:eastAsia="仿宋"/>
          <w:b w:val="0"/>
          <w:bCs/>
          <w:color w:val="000000"/>
          <w:sz w:val="32"/>
          <w:szCs w:val="32"/>
          <w:lang w:val="en-US" w:eastAsia="zh-CN"/>
        </w:rPr>
        <w:t>-</w:t>
      </w:r>
      <w:r>
        <w:rPr>
          <w:rStyle w:val="14"/>
          <w:rFonts w:hint="eastAsia" w:ascii="仿宋" w:hAnsi="仿宋" w:eastAsia="仿宋"/>
          <w:b w:val="0"/>
          <w:bCs/>
          <w:color w:val="000000"/>
          <w:sz w:val="32"/>
          <w:szCs w:val="32"/>
        </w:rPr>
        <w:t>机关事业单位基本养老保险缴费支出决算为</w:t>
      </w:r>
      <w:r>
        <w:rPr>
          <w:rStyle w:val="14"/>
          <w:rFonts w:hint="eastAsia" w:ascii="仿宋" w:hAnsi="仿宋" w:eastAsia="仿宋"/>
          <w:b w:val="0"/>
          <w:bCs/>
          <w:color w:val="000000"/>
          <w:sz w:val="32"/>
          <w:szCs w:val="32"/>
          <w:lang w:val="en-US" w:eastAsia="zh-CN"/>
        </w:rPr>
        <w:t>32.82</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全部用于职工缴纳养老保险单位部分；2080506</w:t>
      </w:r>
      <w:r>
        <w:rPr>
          <w:rStyle w:val="14"/>
          <w:rFonts w:hint="eastAsia" w:ascii="仿宋" w:hAnsi="仿宋" w:eastAsia="仿宋"/>
          <w:b w:val="0"/>
          <w:bCs/>
          <w:color w:val="000000"/>
          <w:sz w:val="32"/>
          <w:szCs w:val="32"/>
          <w:lang w:val="en-US" w:eastAsia="zh-CN"/>
        </w:rPr>
        <w:t>-</w:t>
      </w:r>
      <w:r>
        <w:rPr>
          <w:rStyle w:val="14"/>
          <w:rFonts w:hint="eastAsia" w:ascii="仿宋" w:hAnsi="仿宋" w:eastAsia="仿宋"/>
          <w:b w:val="0"/>
          <w:bCs/>
          <w:color w:val="000000"/>
          <w:sz w:val="32"/>
          <w:szCs w:val="32"/>
          <w:lang w:eastAsia="zh-CN"/>
        </w:rPr>
        <w:t>机关事业单位职业年金缴费支出</w:t>
      </w:r>
      <w:r>
        <w:rPr>
          <w:rStyle w:val="14"/>
          <w:rFonts w:hint="eastAsia" w:ascii="仿宋" w:hAnsi="仿宋" w:eastAsia="仿宋"/>
          <w:b w:val="0"/>
          <w:bCs/>
          <w:color w:val="000000"/>
          <w:sz w:val="32"/>
          <w:szCs w:val="32"/>
        </w:rPr>
        <w:t>决算为</w:t>
      </w:r>
      <w:r>
        <w:rPr>
          <w:rStyle w:val="14"/>
          <w:rFonts w:hint="eastAsia" w:ascii="仿宋" w:hAnsi="仿宋" w:eastAsia="仿宋"/>
          <w:b w:val="0"/>
          <w:bCs/>
          <w:color w:val="000000"/>
          <w:sz w:val="32"/>
          <w:szCs w:val="32"/>
          <w:lang w:val="en-US" w:eastAsia="zh-CN"/>
        </w:rPr>
        <w:t>16.41</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全部用于职工缴纳职业年金单位部分。</w:t>
      </w:r>
    </w:p>
    <w:p>
      <w:pPr>
        <w:numPr>
          <w:ilvl w:val="0"/>
          <w:numId w:val="3"/>
        </w:numPr>
        <w:spacing w:line="600" w:lineRule="exact"/>
        <w:ind w:left="0" w:leftChars="0" w:firstLine="643" w:firstLineChars="200"/>
        <w:rPr>
          <w:rFonts w:ascii="仿宋" w:hAnsi="仿宋" w:eastAsia="仿宋"/>
          <w:b/>
          <w:color w:val="000000"/>
          <w:sz w:val="32"/>
          <w:szCs w:val="32"/>
        </w:rPr>
      </w:pPr>
      <w:r>
        <w:rPr>
          <w:rFonts w:hint="eastAsia" w:ascii="仿宋" w:hAnsi="仿宋" w:eastAsia="仿宋"/>
          <w:b/>
          <w:bCs/>
          <w:color w:val="000000" w:themeColor="text1"/>
          <w:sz w:val="32"/>
          <w:szCs w:val="32"/>
          <w14:textFill>
            <w14:solidFill>
              <w14:schemeClr w14:val="tx1"/>
            </w14:solidFill>
          </w14:textFill>
        </w:rPr>
        <w:t>卫生健康</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lang w:eastAsia="zh-CN"/>
        </w:rPr>
        <w:t>2101101</w:t>
      </w:r>
      <w:r>
        <w:rPr>
          <w:rStyle w:val="14"/>
          <w:rFonts w:hint="eastAsia" w:ascii="仿宋" w:hAnsi="仿宋" w:eastAsia="仿宋"/>
          <w:b w:val="0"/>
          <w:bCs/>
          <w:color w:val="000000"/>
          <w:sz w:val="32"/>
          <w:szCs w:val="32"/>
          <w:lang w:val="en-US" w:eastAsia="zh-CN"/>
        </w:rPr>
        <w:t>-</w:t>
      </w:r>
      <w:r>
        <w:rPr>
          <w:rStyle w:val="14"/>
          <w:rFonts w:hint="eastAsia" w:ascii="仿宋" w:hAnsi="仿宋" w:eastAsia="仿宋"/>
          <w:b w:val="0"/>
          <w:bCs/>
          <w:color w:val="000000"/>
          <w:sz w:val="32"/>
          <w:szCs w:val="32"/>
          <w:lang w:eastAsia="zh-CN"/>
        </w:rPr>
        <w:t>行政单位医疗支出</w:t>
      </w:r>
      <w:r>
        <w:rPr>
          <w:rStyle w:val="14"/>
          <w:rFonts w:hint="eastAsia" w:ascii="仿宋" w:hAnsi="仿宋" w:eastAsia="仿宋"/>
          <w:b w:val="0"/>
          <w:bCs/>
          <w:color w:val="000000"/>
          <w:sz w:val="32"/>
          <w:szCs w:val="32"/>
        </w:rPr>
        <w:t>决算为</w:t>
      </w:r>
      <w:r>
        <w:rPr>
          <w:rStyle w:val="14"/>
          <w:rFonts w:hint="eastAsia" w:ascii="仿宋" w:hAnsi="仿宋" w:eastAsia="仿宋"/>
          <w:b w:val="0"/>
          <w:bCs/>
          <w:color w:val="000000"/>
          <w:sz w:val="32"/>
          <w:szCs w:val="32"/>
          <w:lang w:val="en-US" w:eastAsia="zh-CN"/>
        </w:rPr>
        <w:t>15.58</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，全部用于职工缴纳医疗保险单位部分；2101103</w:t>
      </w:r>
      <w:r>
        <w:rPr>
          <w:rStyle w:val="14"/>
          <w:rFonts w:hint="eastAsia" w:ascii="仿宋" w:hAnsi="仿宋" w:eastAsia="仿宋"/>
          <w:b w:val="0"/>
          <w:bCs/>
          <w:color w:val="000000"/>
          <w:sz w:val="32"/>
          <w:szCs w:val="32"/>
          <w:lang w:eastAsia="zh-CN"/>
        </w:rPr>
        <w:tab/>
      </w:r>
      <w:r>
        <w:rPr>
          <w:rStyle w:val="14"/>
          <w:rFonts w:hint="eastAsia" w:ascii="仿宋" w:hAnsi="仿宋" w:eastAsia="仿宋"/>
          <w:b w:val="0"/>
          <w:bCs/>
          <w:color w:val="000000"/>
          <w:sz w:val="32"/>
          <w:szCs w:val="32"/>
          <w:lang w:val="en-US" w:eastAsia="zh-CN"/>
        </w:rPr>
        <w:t>-</w:t>
      </w:r>
      <w:r>
        <w:rPr>
          <w:rStyle w:val="14"/>
          <w:rFonts w:hint="eastAsia" w:ascii="仿宋" w:hAnsi="仿宋" w:eastAsia="仿宋"/>
          <w:b w:val="0"/>
          <w:bCs/>
          <w:color w:val="000000"/>
          <w:sz w:val="32"/>
          <w:szCs w:val="32"/>
          <w:lang w:eastAsia="zh-CN"/>
        </w:rPr>
        <w:t>公务员医疗补助支出</w:t>
      </w:r>
      <w:r>
        <w:rPr>
          <w:rStyle w:val="14"/>
          <w:rFonts w:hint="eastAsia" w:ascii="仿宋" w:hAnsi="仿宋" w:eastAsia="仿宋"/>
          <w:b w:val="0"/>
          <w:bCs/>
          <w:color w:val="000000"/>
          <w:sz w:val="32"/>
          <w:szCs w:val="32"/>
        </w:rPr>
        <w:t>决算为</w:t>
      </w:r>
      <w:r>
        <w:rPr>
          <w:rStyle w:val="14"/>
          <w:rFonts w:hint="eastAsia" w:ascii="仿宋" w:hAnsi="仿宋" w:eastAsia="仿宋"/>
          <w:b w:val="0"/>
          <w:bCs/>
          <w:color w:val="000000"/>
          <w:sz w:val="32"/>
          <w:szCs w:val="32"/>
          <w:lang w:val="en-US" w:eastAsia="zh-CN"/>
        </w:rPr>
        <w:t>,4.09</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，全部用于职工公务员补充医保。</w:t>
      </w:r>
    </w:p>
    <w:p>
      <w:pPr>
        <w:numPr>
          <w:ilvl w:val="0"/>
          <w:numId w:val="3"/>
        </w:numPr>
        <w:tabs>
          <w:tab w:val="clear" w:pos="312"/>
        </w:tabs>
        <w:spacing w:line="600" w:lineRule="exact"/>
        <w:ind w:left="0" w:leftChars="0" w:firstLine="643" w:firstLineChars="200"/>
        <w:rPr>
          <w:rStyle w:val="14"/>
          <w:rFonts w:hint="eastAsia" w:ascii="仿宋_GB2312" w:hAnsi="仿宋_GB2312" w:eastAsia="仿宋_GB2312" w:cs="仿宋_GB2312"/>
          <w:sz w:val="32"/>
          <w:szCs w:val="32"/>
          <w:shd w:val="clear" w:color="auto" w:fill="FFFFFF"/>
        </w:rPr>
      </w:pPr>
      <w:r>
        <w:rPr>
          <w:rFonts w:hint="eastAsia" w:ascii="仿宋" w:hAnsi="仿宋" w:eastAsia="仿宋"/>
          <w:b/>
          <w:color w:val="000000"/>
          <w:sz w:val="32"/>
          <w:szCs w:val="32"/>
          <w:lang w:val="en-US" w:eastAsia="zh-CN"/>
        </w:rPr>
        <w:t>住房保障支出：</w:t>
      </w:r>
      <w:r>
        <w:rPr>
          <w:rStyle w:val="14"/>
          <w:rFonts w:hint="eastAsia" w:ascii="仿宋" w:hAnsi="仿宋" w:eastAsia="仿宋"/>
          <w:b w:val="0"/>
          <w:bCs/>
          <w:color w:val="000000"/>
          <w:sz w:val="32"/>
          <w:szCs w:val="32"/>
          <w:lang w:val="en-US" w:eastAsia="zh-CN"/>
        </w:rPr>
        <w:t>2210201-住房公积金</w:t>
      </w:r>
      <w:r>
        <w:rPr>
          <w:rStyle w:val="14"/>
          <w:rFonts w:hint="eastAsia" w:ascii="仿宋" w:hAnsi="仿宋" w:eastAsia="仿宋"/>
          <w:b w:val="0"/>
          <w:bCs/>
          <w:color w:val="000000"/>
          <w:sz w:val="32"/>
          <w:szCs w:val="32"/>
          <w:lang w:eastAsia="zh-CN"/>
        </w:rPr>
        <w:t>支出决</w:t>
      </w:r>
      <w:r>
        <w:rPr>
          <w:rStyle w:val="14"/>
          <w:rFonts w:hint="eastAsia" w:ascii="仿宋" w:hAnsi="仿宋" w:eastAsia="仿宋"/>
          <w:b w:val="0"/>
          <w:bCs/>
          <w:color w:val="000000"/>
          <w:sz w:val="32"/>
          <w:szCs w:val="32"/>
        </w:rPr>
        <w:t>算为</w:t>
      </w:r>
      <w:r>
        <w:rPr>
          <w:rStyle w:val="14"/>
          <w:rFonts w:hint="eastAsia" w:ascii="仿宋" w:hAnsi="仿宋" w:eastAsia="仿宋"/>
          <w:b w:val="0"/>
          <w:bCs/>
          <w:color w:val="000000"/>
          <w:sz w:val="32"/>
          <w:szCs w:val="32"/>
          <w:lang w:val="en-US" w:eastAsia="zh-CN"/>
        </w:rPr>
        <w:t>24</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，全部用于职工缴纳住房公积金单位部分。</w:t>
      </w:r>
    </w:p>
    <w:p>
      <w:pPr>
        <w:pStyle w:val="11"/>
        <w:keepNext w:val="0"/>
        <w:keepLines w:val="0"/>
        <w:widowControl/>
        <w:numPr>
          <w:ilvl w:val="0"/>
          <w:numId w:val="0"/>
        </w:numPr>
        <w:suppressLineNumbers w:val="0"/>
        <w:shd w:val="clear" w:color="auto" w:fill="auto"/>
        <w:ind w:leftChars="0" w:right="75" w:rightChars="0"/>
        <w:jc w:val="left"/>
        <w:outlineLvl w:val="1"/>
        <w:rPr>
          <w:rFonts w:hint="eastAsia" w:ascii="黑体" w:hAnsi="黑体" w:eastAsia="黑体" w:cs="黑体"/>
          <w:sz w:val="32"/>
          <w:szCs w:val="32"/>
          <w:shd w:val="clear" w:color="auto" w:fill="FFFFFF"/>
        </w:rPr>
      </w:pPr>
      <w:bookmarkStart w:id="12" w:name="_Toc2180"/>
      <w:r>
        <w:rPr>
          <w:rFonts w:hint="eastAsia" w:ascii="黑体" w:hAnsi="黑体" w:eastAsia="黑体" w:cs="黑体"/>
          <w:sz w:val="32"/>
          <w:szCs w:val="32"/>
          <w:shd w:val="clear" w:color="auto" w:fill="FFFFFF"/>
          <w:lang w:eastAsia="zh-CN"/>
        </w:rPr>
        <w:t>六、</w:t>
      </w:r>
      <w:r>
        <w:rPr>
          <w:rFonts w:hint="eastAsia" w:ascii="黑体" w:hAnsi="黑体" w:eastAsia="黑体" w:cs="黑体"/>
          <w:sz w:val="32"/>
          <w:szCs w:val="32"/>
          <w:shd w:val="clear" w:color="auto" w:fill="FFFFFF"/>
        </w:rPr>
        <w:t>一般公共预算财政拨款基本支出决算情况说明</w:t>
      </w:r>
      <w:bookmarkEnd w:id="12"/>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lang w:val="en-US" w:eastAsia="zh-CN"/>
        </w:rPr>
        <w:t>2022</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379.83</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348.16</w:t>
      </w:r>
      <w:r>
        <w:rPr>
          <w:rFonts w:hint="eastAsia" w:ascii="仿宋" w:hAnsi="仿宋" w:eastAsia="仿宋"/>
          <w:color w:val="000000"/>
          <w:sz w:val="32"/>
          <w:szCs w:val="32"/>
        </w:rPr>
        <w:t>万元，包括：基本工资</w:t>
      </w:r>
      <w:r>
        <w:rPr>
          <w:rFonts w:hint="eastAsia" w:ascii="仿宋" w:hAnsi="仿宋" w:eastAsia="仿宋"/>
          <w:color w:val="000000"/>
          <w:sz w:val="32"/>
          <w:szCs w:val="32"/>
          <w:lang w:val="en-US" w:eastAsia="zh-CN"/>
        </w:rPr>
        <w:t>61.69</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100.25</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80</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绩效工资</w:t>
      </w:r>
      <w:r>
        <w:rPr>
          <w:rFonts w:hint="eastAsia" w:ascii="仿宋" w:hAnsi="仿宋" w:eastAsia="仿宋"/>
          <w:color w:val="000000"/>
          <w:sz w:val="32"/>
          <w:szCs w:val="32"/>
          <w:lang w:val="en-US" w:eastAsia="zh-CN"/>
        </w:rPr>
        <w:t>7.85万元、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32.82</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16.41</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3.66</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、职工基本医疗保险缴费</w:t>
      </w:r>
      <w:r>
        <w:rPr>
          <w:rFonts w:hint="eastAsia" w:ascii="仿宋" w:hAnsi="仿宋" w:eastAsia="仿宋"/>
          <w:color w:val="000000"/>
          <w:sz w:val="32"/>
          <w:szCs w:val="32"/>
          <w:lang w:val="en-US" w:eastAsia="zh-CN"/>
        </w:rPr>
        <w:t>15.58</w:t>
      </w:r>
      <w:r>
        <w:rPr>
          <w:rFonts w:hint="eastAsia" w:ascii="仿宋" w:hAnsi="仿宋" w:eastAsia="仿宋"/>
          <w:color w:val="000000"/>
          <w:sz w:val="32"/>
          <w:szCs w:val="32"/>
          <w:lang w:eastAsia="zh-CN"/>
        </w:rPr>
        <w:t>万元、公务员医疗补助缴费</w:t>
      </w:r>
      <w:r>
        <w:rPr>
          <w:rFonts w:hint="eastAsia" w:ascii="仿宋" w:hAnsi="仿宋" w:eastAsia="仿宋"/>
          <w:color w:val="000000"/>
          <w:sz w:val="32"/>
          <w:szCs w:val="32"/>
          <w:lang w:val="en-US" w:eastAsia="zh-CN"/>
        </w:rPr>
        <w:t>4.09</w:t>
      </w:r>
      <w:r>
        <w:rPr>
          <w:rFonts w:hint="eastAsia" w:ascii="仿宋" w:hAnsi="仿宋" w:eastAsia="仿宋"/>
          <w:color w:val="000000"/>
          <w:sz w:val="32"/>
          <w:szCs w:val="32"/>
          <w:lang w:eastAsia="zh-CN"/>
        </w:rPr>
        <w:t>万元、住房公积金</w:t>
      </w:r>
      <w:r>
        <w:rPr>
          <w:rFonts w:hint="eastAsia" w:ascii="仿宋" w:hAnsi="仿宋" w:eastAsia="仿宋"/>
          <w:color w:val="000000"/>
          <w:sz w:val="32"/>
          <w:szCs w:val="32"/>
          <w:lang w:val="en-US" w:eastAsia="zh-CN"/>
        </w:rPr>
        <w:t>24</w:t>
      </w:r>
      <w:r>
        <w:rPr>
          <w:rFonts w:hint="eastAsia" w:ascii="仿宋" w:hAnsi="仿宋" w:eastAsia="仿宋"/>
          <w:color w:val="000000"/>
          <w:sz w:val="32"/>
          <w:szCs w:val="32"/>
          <w:lang w:eastAsia="zh-CN"/>
        </w:rPr>
        <w:t>万元</w:t>
      </w:r>
      <w:r>
        <w:rPr>
          <w:rFonts w:hint="eastAsia" w:ascii="仿宋" w:hAnsi="仿宋" w:eastAsia="仿宋"/>
          <w:color w:val="000000"/>
          <w:sz w:val="32"/>
          <w:szCs w:val="32"/>
          <w:lang w:val="en-US" w:eastAsia="zh-CN"/>
        </w:rPr>
        <w:t>。</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27.98</w:t>
      </w:r>
      <w:r>
        <w:rPr>
          <w:rFonts w:hint="eastAsia" w:ascii="仿宋" w:hAnsi="仿宋" w:eastAsia="仿宋"/>
          <w:color w:val="000000"/>
          <w:sz w:val="32"/>
          <w:szCs w:val="32"/>
        </w:rPr>
        <w:t>万元，包括：办公费</w:t>
      </w:r>
      <w:r>
        <w:rPr>
          <w:rFonts w:hint="eastAsia" w:ascii="仿宋" w:hAnsi="仿宋" w:eastAsia="仿宋"/>
          <w:color w:val="000000"/>
          <w:sz w:val="32"/>
          <w:szCs w:val="32"/>
          <w:lang w:val="en-US" w:eastAsia="zh-CN"/>
        </w:rPr>
        <w:t>11.78</w:t>
      </w:r>
      <w:r>
        <w:rPr>
          <w:rFonts w:hint="eastAsia" w:ascii="仿宋" w:hAnsi="仿宋" w:eastAsia="仿宋"/>
          <w:color w:val="000000"/>
          <w:sz w:val="32"/>
          <w:szCs w:val="32"/>
          <w:lang w:eastAsia="zh-CN"/>
        </w:rPr>
        <w:t>万元、水费</w:t>
      </w:r>
      <w:r>
        <w:rPr>
          <w:rFonts w:hint="eastAsia" w:ascii="仿宋" w:hAnsi="仿宋" w:eastAsia="仿宋"/>
          <w:color w:val="000000"/>
          <w:sz w:val="32"/>
          <w:szCs w:val="32"/>
          <w:lang w:val="en-US" w:eastAsia="zh-CN"/>
        </w:rPr>
        <w:t>0.64万元，电费2.50万元，</w:t>
      </w:r>
      <w:r>
        <w:rPr>
          <w:rFonts w:hint="eastAsia" w:ascii="仿宋" w:hAnsi="仿宋" w:eastAsia="仿宋"/>
          <w:color w:val="000000"/>
          <w:sz w:val="32"/>
          <w:szCs w:val="32"/>
          <w:lang w:eastAsia="zh-CN"/>
        </w:rPr>
        <w:t>邮电费</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lang w:eastAsia="zh-CN"/>
        </w:rPr>
        <w:t>万元，差旅费</w:t>
      </w:r>
      <w:r>
        <w:rPr>
          <w:rFonts w:hint="eastAsia" w:ascii="仿宋" w:hAnsi="仿宋" w:eastAsia="仿宋"/>
          <w:color w:val="000000"/>
          <w:sz w:val="32"/>
          <w:szCs w:val="32"/>
          <w:lang w:val="en-US" w:eastAsia="zh-CN"/>
        </w:rPr>
        <w:t>2.43</w:t>
      </w:r>
      <w:r>
        <w:rPr>
          <w:rFonts w:hint="eastAsia" w:ascii="仿宋" w:hAnsi="仿宋" w:eastAsia="仿宋"/>
          <w:color w:val="000000"/>
          <w:sz w:val="32"/>
          <w:szCs w:val="32"/>
          <w:lang w:eastAsia="zh-CN"/>
        </w:rPr>
        <w:t>万元，委托业务费</w:t>
      </w:r>
      <w:r>
        <w:rPr>
          <w:rFonts w:hint="eastAsia" w:ascii="仿宋" w:hAnsi="仿宋" w:eastAsia="仿宋"/>
          <w:color w:val="000000"/>
          <w:sz w:val="32"/>
          <w:szCs w:val="32"/>
          <w:lang w:val="en-US" w:eastAsia="zh-CN"/>
        </w:rPr>
        <w:t>4.53万元，工会经费2.53万元，</w:t>
      </w:r>
      <w:r>
        <w:rPr>
          <w:rFonts w:hint="eastAsia" w:ascii="仿宋" w:hAnsi="仿宋" w:eastAsia="仿宋"/>
          <w:color w:val="000000"/>
          <w:sz w:val="32"/>
          <w:szCs w:val="32"/>
          <w:lang w:eastAsia="zh-CN"/>
        </w:rPr>
        <w:t>公务用车运行维护费</w:t>
      </w:r>
      <w:r>
        <w:rPr>
          <w:rFonts w:hint="eastAsia" w:ascii="仿宋" w:hAnsi="仿宋" w:eastAsia="仿宋"/>
          <w:color w:val="000000"/>
          <w:sz w:val="32"/>
          <w:szCs w:val="32"/>
          <w:lang w:val="en-US" w:eastAsia="zh-CN"/>
        </w:rPr>
        <w:t>2.57</w:t>
      </w:r>
      <w:r>
        <w:rPr>
          <w:rFonts w:hint="eastAsia" w:ascii="仿宋" w:hAnsi="仿宋" w:eastAsia="仿宋"/>
          <w:color w:val="000000"/>
          <w:sz w:val="32"/>
          <w:szCs w:val="32"/>
          <w:lang w:eastAsia="zh-CN"/>
        </w:rPr>
        <w:t>万元。</w:t>
      </w:r>
    </w:p>
    <w:p>
      <w:pPr>
        <w:pStyle w:val="9"/>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 xml:space="preserve"> 项目支出5.00万元，包括专项公用经费办公费2.00万</w:t>
      </w:r>
    </w:p>
    <w:p>
      <w:pPr>
        <w:pStyle w:val="9"/>
        <w:ind w:left="0" w:leftChars="0" w:firstLine="0" w:firstLineChars="0"/>
        <w:rPr>
          <w:rFonts w:hint="default"/>
          <w:lang w:val="en-US"/>
        </w:rPr>
      </w:pPr>
      <w:r>
        <w:rPr>
          <w:rFonts w:hint="eastAsia" w:ascii="仿宋" w:hAnsi="仿宋" w:eastAsia="仿宋"/>
          <w:color w:val="000000"/>
          <w:sz w:val="32"/>
          <w:szCs w:val="32"/>
          <w:lang w:val="en-US" w:eastAsia="zh-CN"/>
        </w:rPr>
        <w:t xml:space="preserve">元，委托业务费3.00万元。   </w:t>
      </w:r>
    </w:p>
    <w:p>
      <w:pPr>
        <w:pStyle w:val="11"/>
        <w:keepNext w:val="0"/>
        <w:keepLines w:val="0"/>
        <w:widowControl/>
        <w:suppressLineNumbers w:val="0"/>
        <w:shd w:val="clear" w:color="auto" w:fill="auto"/>
        <w:ind w:left="0" w:right="75"/>
        <w:jc w:val="left"/>
        <w:outlineLvl w:val="1"/>
        <w:rPr>
          <w:rFonts w:hint="eastAsia" w:ascii="黑体" w:hAnsi="黑体" w:eastAsia="黑体" w:cs="黑体"/>
          <w:color w:val="auto"/>
          <w:sz w:val="32"/>
          <w:szCs w:val="32"/>
          <w:shd w:val="clear" w:color="auto" w:fill="FFFFFF"/>
        </w:rPr>
      </w:pPr>
      <w:bookmarkStart w:id="13" w:name="_Toc18699"/>
      <w:r>
        <w:rPr>
          <w:rFonts w:hint="eastAsia" w:ascii="黑体" w:hAnsi="黑体" w:eastAsia="黑体" w:cs="黑体"/>
          <w:color w:val="auto"/>
          <w:sz w:val="32"/>
          <w:szCs w:val="32"/>
          <w:shd w:val="clear" w:color="auto" w:fill="FFFFFF"/>
        </w:rPr>
        <w:t>七、“三公”经费财政拨款支出决算情况说明</w:t>
      </w:r>
      <w:bookmarkEnd w:id="13"/>
    </w:p>
    <w:p>
      <w:pPr>
        <w:pStyle w:val="11"/>
        <w:keepNext w:val="0"/>
        <w:keepLines w:val="0"/>
        <w:widowControl/>
        <w:suppressLineNumbers w:val="0"/>
        <w:ind w:left="0" w:right="75"/>
        <w:rPr>
          <w:rStyle w:val="14"/>
          <w:rFonts w:hint="eastAsia" w:ascii="仿宋_GB2312" w:hAnsi="仿宋_GB2312" w:eastAsia="仿宋_GB2312" w:cs="仿宋_GB2312"/>
          <w:sz w:val="32"/>
          <w:szCs w:val="32"/>
          <w:shd w:val="clear" w:color="auto" w:fill="FFFFFF"/>
        </w:rPr>
      </w:pPr>
      <w:r>
        <w:rPr>
          <w:rStyle w:val="14"/>
          <w:rFonts w:hint="eastAsia" w:ascii="仿宋_GB2312" w:hAnsi="仿宋_GB2312" w:eastAsia="仿宋_GB2312" w:cs="仿宋_GB2312"/>
          <w:sz w:val="32"/>
          <w:szCs w:val="32"/>
          <w:shd w:val="clear" w:color="auto" w:fill="FFFFFF"/>
        </w:rPr>
        <w:t>（一）“三公”经费财政拨款支出决算总体情况说明</w:t>
      </w:r>
    </w:p>
    <w:p>
      <w:pPr>
        <w:spacing w:line="600" w:lineRule="exact"/>
        <w:ind w:firstLine="640"/>
        <w:rPr>
          <w:rStyle w:val="14"/>
          <w:rFonts w:hint="eastAsia" w:ascii="仿宋_GB2312" w:hAnsi="仿宋_GB2312" w:eastAsia="仿宋_GB2312" w:cs="仿宋_GB2312"/>
          <w:sz w:val="32"/>
          <w:szCs w:val="32"/>
          <w:shd w:val="clear" w:color="auto" w:fill="FFFFFF"/>
        </w:rPr>
      </w:pPr>
      <w:r>
        <w:rPr>
          <w:rFonts w:hint="eastAsia" w:ascii="仿宋" w:hAnsi="仿宋" w:eastAsia="仿宋"/>
          <w:color w:val="000000"/>
          <w:sz w:val="32"/>
          <w:szCs w:val="32"/>
          <w:lang w:val="en-US" w:eastAsia="zh-CN"/>
        </w:rPr>
        <w:t>2023</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2.57</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98.09</w:t>
      </w:r>
      <w:r>
        <w:rPr>
          <w:rFonts w:ascii="仿宋" w:hAnsi="仿宋" w:eastAsia="仿宋"/>
          <w:color w:val="000000"/>
          <w:sz w:val="32"/>
          <w:szCs w:val="32"/>
        </w:rPr>
        <w:t>%</w:t>
      </w:r>
      <w:r>
        <w:rPr>
          <w:rFonts w:hint="eastAsia" w:ascii="仿宋" w:hAnsi="仿宋" w:eastAsia="仿宋"/>
          <w:color w:val="000000"/>
          <w:sz w:val="32"/>
          <w:szCs w:val="32"/>
        </w:rPr>
        <w:t>。</w:t>
      </w:r>
    </w:p>
    <w:p>
      <w:pPr>
        <w:pStyle w:val="11"/>
        <w:keepNext w:val="0"/>
        <w:keepLines w:val="0"/>
        <w:widowControl/>
        <w:numPr>
          <w:ilvl w:val="0"/>
          <w:numId w:val="4"/>
        </w:numPr>
        <w:suppressLineNumbers w:val="0"/>
        <w:ind w:left="0" w:right="75"/>
        <w:rPr>
          <w:rStyle w:val="14"/>
          <w:rFonts w:hint="eastAsia" w:ascii="仿宋_GB2312" w:hAnsi="仿宋_GB2312" w:eastAsia="仿宋_GB2312" w:cs="仿宋_GB2312"/>
          <w:sz w:val="32"/>
          <w:szCs w:val="32"/>
          <w:shd w:val="clear" w:color="auto" w:fill="FFFFFF"/>
        </w:rPr>
      </w:pPr>
      <w:r>
        <w:rPr>
          <w:rStyle w:val="14"/>
          <w:rFonts w:hint="eastAsia" w:ascii="仿宋_GB2312" w:hAnsi="仿宋_GB2312" w:eastAsia="仿宋_GB2312" w:cs="仿宋_GB2312"/>
          <w:sz w:val="32"/>
          <w:szCs w:val="32"/>
          <w:shd w:val="clear" w:color="auto" w:fill="FFFFFF"/>
        </w:rPr>
        <w:t>“三公”经费财政拨款支出决算具体情况说明</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lang w:val="en-US" w:eastAsia="zh-CN"/>
        </w:rPr>
        <w:t>022</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2.57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98.09</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0.00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0.00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pStyle w:val="11"/>
        <w:keepNext w:val="0"/>
        <w:keepLines w:val="0"/>
        <w:widowControl/>
        <w:numPr>
          <w:ilvl w:val="0"/>
          <w:numId w:val="0"/>
        </w:numPr>
        <w:suppressLineNumbers w:val="0"/>
        <w:ind w:right="75" w:rightChars="0"/>
        <w:rPr>
          <w:rStyle w:val="14"/>
          <w:rFonts w:hint="eastAsia" w:ascii="仿宋_GB2312" w:hAnsi="仿宋_GB2312" w:eastAsia="仿宋_GB2312" w:cs="仿宋_GB2312"/>
          <w:sz w:val="32"/>
          <w:szCs w:val="32"/>
          <w:shd w:val="clear" w:color="auto" w:fill="FFFFFF"/>
          <w:lang w:eastAsia="zh-CN"/>
        </w:rPr>
      </w:pPr>
      <w:r>
        <w:rPr>
          <w:rStyle w:val="14"/>
          <w:rFonts w:hint="eastAsia" w:ascii="仿宋_GB2312" w:hAnsi="仿宋_GB2312" w:eastAsia="仿宋_GB2312" w:cs="仿宋_GB2312"/>
          <w:sz w:val="32"/>
          <w:szCs w:val="32"/>
          <w:shd w:val="clear" w:color="auto" w:fill="FFFFFF"/>
          <w:lang w:eastAsia="zh-CN"/>
        </w:rPr>
        <w:drawing>
          <wp:inline distT="0" distB="0" distL="114300" distR="114300">
            <wp:extent cx="5080000" cy="2305050"/>
            <wp:effectExtent l="4445" t="4445" r="20955" b="146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numPr>
          <w:ilvl w:val="0"/>
          <w:numId w:val="0"/>
        </w:numPr>
        <w:spacing w:line="600" w:lineRule="exact"/>
        <w:ind w:firstLine="643" w:firstLineChars="200"/>
        <w:rPr>
          <w:rFonts w:hint="eastAsia" w:ascii="仿宋_GB2312" w:hAnsi="仿宋_GB2312" w:eastAsia="仿宋_GB2312" w:cs="仿宋_GB2312"/>
          <w:color w:val="000000"/>
          <w:sz w:val="32"/>
          <w:szCs w:val="32"/>
          <w:lang w:eastAsia="zh-CN"/>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w:t>
      </w:r>
      <w:r>
        <w:rPr>
          <w:rFonts w:hint="eastAsia" w:ascii="仿宋_GB2312" w:hAnsi="仿宋_GB2312" w:eastAsia="仿宋_GB2312" w:cs="仿宋_GB2312"/>
          <w:color w:val="000000"/>
          <w:sz w:val="32"/>
          <w:szCs w:val="32"/>
        </w:rPr>
        <w:t>国（境）团组</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次，出国（境）</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人。因公出国（境）支出决算</w:t>
      </w:r>
      <w:r>
        <w:rPr>
          <w:rFonts w:hint="eastAsia" w:ascii="仿宋_GB2312" w:hAnsi="仿宋_GB2312" w:eastAsia="仿宋_GB2312" w:cs="仿宋_GB2312"/>
          <w:color w:val="000000"/>
          <w:sz w:val="32"/>
          <w:szCs w:val="32"/>
          <w:lang w:eastAsia="zh-CN"/>
        </w:rPr>
        <w:t>与</w:t>
      </w: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持平。</w:t>
      </w:r>
    </w:p>
    <w:p>
      <w:pPr>
        <w:numPr>
          <w:ilvl w:val="0"/>
          <w:numId w:val="0"/>
        </w:numPr>
        <w:spacing w:line="600" w:lineRule="exact"/>
        <w:ind w:firstLine="643" w:firstLineChars="200"/>
        <w:rPr>
          <w:rFonts w:hint="default" w:ascii="仿宋_GB2312" w:hAnsi="仿宋_GB2312" w:eastAsia="仿宋_GB2312" w:cs="仿宋_GB2312"/>
          <w:b/>
          <w:color w:val="000000"/>
          <w:sz w:val="32"/>
          <w:szCs w:val="32"/>
          <w:lang w:val="en-US" w:eastAsia="zh-CN"/>
        </w:rPr>
      </w:pPr>
      <w:r>
        <w:rPr>
          <w:rFonts w:hint="eastAsia" w:ascii="仿宋_GB2312" w:hAnsi="仿宋_GB2312" w:eastAsia="仿宋_GB2312" w:cs="仿宋_GB2312"/>
          <w:b/>
          <w:color w:val="000000"/>
          <w:sz w:val="32"/>
          <w:szCs w:val="32"/>
          <w:lang w:val="en-US" w:eastAsia="zh-CN"/>
        </w:rPr>
        <w:t>2.</w:t>
      </w:r>
      <w:r>
        <w:rPr>
          <w:rFonts w:hint="eastAsia" w:ascii="仿宋_GB2312" w:hAnsi="仿宋_GB2312" w:eastAsia="仿宋_GB2312" w:cs="仿宋_GB2312"/>
          <w:b/>
          <w:color w:val="000000"/>
          <w:sz w:val="32"/>
          <w:szCs w:val="32"/>
        </w:rPr>
        <w:t>公务用车购置及运行维护费支出</w:t>
      </w:r>
      <w:r>
        <w:rPr>
          <w:rFonts w:hint="eastAsia" w:ascii="仿宋_GB2312" w:hAnsi="仿宋_GB2312" w:eastAsia="仿宋_GB2312" w:cs="仿宋_GB2312"/>
          <w:b/>
          <w:color w:val="000000"/>
          <w:sz w:val="32"/>
          <w:szCs w:val="32"/>
          <w:lang w:val="en-US" w:eastAsia="zh-CN"/>
        </w:rPr>
        <w:t>2.62</w:t>
      </w:r>
      <w:r>
        <w:rPr>
          <w:rFonts w:hint="eastAsia" w:ascii="仿宋_GB2312" w:hAnsi="仿宋_GB2312" w:eastAsia="仿宋_GB2312" w:cs="仿宋_GB2312"/>
          <w:color w:val="000000"/>
          <w:sz w:val="32"/>
          <w:szCs w:val="32"/>
        </w:rPr>
        <w:t>万元,</w:t>
      </w:r>
      <w:r>
        <w:rPr>
          <w:rStyle w:val="14"/>
          <w:rFonts w:hint="eastAsia" w:ascii="仿宋_GB2312" w:hAnsi="仿宋_GB2312" w:eastAsia="仿宋_GB2312" w:cs="仿宋_GB2312"/>
          <w:b w:val="0"/>
          <w:bCs/>
          <w:color w:val="000000"/>
          <w:sz w:val="32"/>
          <w:szCs w:val="32"/>
        </w:rPr>
        <w:t>完成预算</w:t>
      </w:r>
      <w:r>
        <w:rPr>
          <w:rStyle w:val="14"/>
          <w:rFonts w:hint="eastAsia" w:ascii="仿宋_GB2312" w:hAnsi="仿宋_GB2312" w:eastAsia="仿宋_GB2312" w:cs="仿宋_GB2312"/>
          <w:b w:val="0"/>
          <w:bCs/>
          <w:color w:val="000000"/>
          <w:sz w:val="32"/>
          <w:szCs w:val="32"/>
          <w:lang w:val="en-US" w:eastAsia="zh-CN"/>
        </w:rPr>
        <w:t>98.09</w:t>
      </w:r>
      <w:r>
        <w:rPr>
          <w:rStyle w:val="14"/>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公务用车购置及运行维护费支出决算</w:t>
      </w:r>
      <w:r>
        <w:rPr>
          <w:rFonts w:hint="eastAsia" w:ascii="仿宋_GB2312" w:hAnsi="仿宋_GB2312" w:eastAsia="仿宋_GB2312" w:cs="仿宋_GB2312"/>
          <w:color w:val="000000"/>
          <w:sz w:val="32"/>
          <w:szCs w:val="32"/>
          <w:lang w:eastAsia="zh-CN"/>
        </w:rPr>
        <w:t>与</w:t>
      </w:r>
      <w:r>
        <w:rPr>
          <w:rFonts w:hint="eastAsia" w:ascii="仿宋_GB2312" w:hAnsi="仿宋_GB2312" w:eastAsia="仿宋_GB2312" w:cs="仿宋_GB2312"/>
          <w:color w:val="000000"/>
          <w:sz w:val="32"/>
          <w:szCs w:val="32"/>
          <w:lang w:val="en-US" w:eastAsia="zh-CN"/>
        </w:rPr>
        <w:t>2022年持平。</w:t>
      </w:r>
    </w:p>
    <w:p>
      <w:pPr>
        <w:spacing w:line="60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公务用车运行维护费支出</w:t>
      </w:r>
      <w:r>
        <w:rPr>
          <w:rFonts w:hint="eastAsia" w:ascii="仿宋_GB2312" w:hAnsi="仿宋_GB2312" w:eastAsia="仿宋_GB2312" w:cs="仿宋_GB2312"/>
          <w:color w:val="000000"/>
          <w:sz w:val="32"/>
          <w:szCs w:val="32"/>
          <w:lang w:val="en-US" w:eastAsia="zh-CN"/>
        </w:rPr>
        <w:t>2.62</w:t>
      </w:r>
      <w:r>
        <w:rPr>
          <w:rFonts w:hint="eastAsia" w:ascii="仿宋_GB2312" w:hAnsi="仿宋_GB2312" w:eastAsia="仿宋_GB2312" w:cs="仿宋_GB2312"/>
          <w:color w:val="000000"/>
          <w:sz w:val="32"/>
          <w:szCs w:val="32"/>
          <w:lang w:eastAsia="zh-CN"/>
        </w:rPr>
        <w:t>万元，与</w:t>
      </w:r>
      <w:r>
        <w:rPr>
          <w:rFonts w:hint="eastAsia" w:ascii="仿宋_GB2312" w:hAnsi="仿宋_GB2312" w:eastAsia="仿宋_GB2312" w:cs="仿宋_GB2312"/>
          <w:color w:val="000000"/>
          <w:sz w:val="32"/>
          <w:szCs w:val="32"/>
          <w:lang w:val="en-US" w:eastAsia="zh-CN"/>
        </w:rPr>
        <w:t>2022年持平。</w:t>
      </w:r>
      <w:r>
        <w:rPr>
          <w:rFonts w:hint="eastAsia" w:ascii="仿宋_GB2312" w:hAnsi="仿宋_GB2312" w:eastAsia="仿宋_GB2312" w:cs="仿宋_GB2312"/>
          <w:color w:val="000000"/>
          <w:sz w:val="32"/>
          <w:szCs w:val="32"/>
          <w:lang w:eastAsia="zh-CN"/>
        </w:rPr>
        <w:t>主要用于编办工作出差、开展脱贫攻坚、两联一进、联寺联僧工作下乡等所需的公务用车燃料费、维修费、过路过桥费、保险费等支出。</w:t>
      </w:r>
    </w:p>
    <w:p>
      <w:pPr>
        <w:spacing w:line="600" w:lineRule="exact"/>
        <w:ind w:firstLine="643" w:firstLineChars="200"/>
        <w:rPr>
          <w:rStyle w:val="14"/>
          <w:rFonts w:hint="eastAsia" w:ascii="仿宋_GB2312" w:hAnsi="仿宋_GB2312" w:eastAsia="仿宋_GB2312" w:cs="仿宋_GB2312"/>
          <w:sz w:val="32"/>
          <w:szCs w:val="32"/>
          <w:shd w:val="clear" w:color="auto" w:fill="FFFFFF"/>
          <w:lang w:eastAsia="zh-CN"/>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公务接待费支出</w:t>
      </w:r>
      <w:r>
        <w:rPr>
          <w:rFonts w:hint="eastAsia" w:ascii="仿宋_GB2312" w:hAnsi="仿宋_GB2312" w:eastAsia="仿宋_GB2312" w:cs="仿宋_GB2312"/>
          <w:color w:val="000000"/>
          <w:sz w:val="32"/>
          <w:szCs w:val="32"/>
          <w:lang w:val="en-US" w:eastAsia="zh-CN"/>
        </w:rPr>
        <w:t>0.00</w:t>
      </w:r>
      <w:r>
        <w:rPr>
          <w:rFonts w:hint="eastAsia" w:ascii="仿宋_GB2312" w:hAnsi="仿宋_GB2312" w:eastAsia="仿宋_GB2312" w:cs="仿宋_GB2312"/>
          <w:color w:val="000000"/>
          <w:sz w:val="32"/>
          <w:szCs w:val="32"/>
        </w:rPr>
        <w:t>万元，</w:t>
      </w:r>
      <w:r>
        <w:rPr>
          <w:rStyle w:val="14"/>
          <w:rFonts w:hint="eastAsia" w:ascii="仿宋_GB2312" w:hAnsi="仿宋_GB2312" w:eastAsia="仿宋_GB2312" w:cs="仿宋_GB2312"/>
          <w:b w:val="0"/>
          <w:bCs/>
          <w:color w:val="000000"/>
          <w:sz w:val="32"/>
          <w:szCs w:val="32"/>
        </w:rPr>
        <w:t>完成预算</w:t>
      </w:r>
      <w:r>
        <w:rPr>
          <w:rStyle w:val="14"/>
          <w:rFonts w:hint="eastAsia" w:ascii="仿宋_GB2312" w:hAnsi="仿宋_GB2312" w:eastAsia="仿宋_GB2312" w:cs="仿宋_GB2312"/>
          <w:b w:val="0"/>
          <w:bCs/>
          <w:color w:val="000000"/>
          <w:sz w:val="32"/>
          <w:szCs w:val="32"/>
          <w:lang w:val="en-US" w:eastAsia="zh-CN"/>
        </w:rPr>
        <w:t>0.00</w:t>
      </w:r>
      <w:r>
        <w:rPr>
          <w:rStyle w:val="14"/>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公务接待费支出决算</w:t>
      </w:r>
      <w:r>
        <w:rPr>
          <w:rFonts w:hint="eastAsia" w:ascii="仿宋_GB2312" w:hAnsi="仿宋_GB2312" w:eastAsia="仿宋_GB2312" w:cs="仿宋_GB2312"/>
          <w:color w:val="000000"/>
          <w:sz w:val="32"/>
          <w:szCs w:val="32"/>
          <w:lang w:eastAsia="zh-CN"/>
        </w:rPr>
        <w:t>与</w:t>
      </w:r>
      <w:r>
        <w:rPr>
          <w:rFonts w:hint="eastAsia" w:ascii="仿宋_GB2312" w:hAnsi="仿宋_GB2312" w:eastAsia="仿宋_GB2312" w:cs="仿宋_GB2312"/>
          <w:color w:val="000000"/>
          <w:sz w:val="32"/>
          <w:szCs w:val="32"/>
          <w:lang w:val="en-US" w:eastAsia="zh-CN"/>
        </w:rPr>
        <w:t>2021年持平。</w:t>
      </w:r>
    </w:p>
    <w:p>
      <w:pPr>
        <w:pStyle w:val="11"/>
        <w:keepNext w:val="0"/>
        <w:keepLines w:val="0"/>
        <w:widowControl/>
        <w:numPr>
          <w:ilvl w:val="0"/>
          <w:numId w:val="5"/>
        </w:numPr>
        <w:suppressLineNumbers w:val="0"/>
        <w:shd w:val="clear" w:color="auto" w:fill="auto"/>
        <w:ind w:left="0" w:right="75"/>
        <w:jc w:val="left"/>
        <w:outlineLvl w:val="1"/>
        <w:rPr>
          <w:rFonts w:hint="eastAsia" w:ascii="黑体" w:hAnsi="黑体" w:eastAsia="黑体" w:cs="黑体"/>
          <w:sz w:val="32"/>
          <w:szCs w:val="32"/>
          <w:shd w:val="clear" w:color="auto" w:fill="FFFFFF"/>
        </w:rPr>
      </w:pPr>
      <w:bookmarkStart w:id="14" w:name="_Toc9599"/>
      <w:r>
        <w:rPr>
          <w:rFonts w:hint="eastAsia" w:ascii="黑体" w:hAnsi="黑体" w:eastAsia="黑体" w:cs="黑体"/>
          <w:sz w:val="32"/>
          <w:szCs w:val="32"/>
          <w:shd w:val="clear" w:color="auto" w:fill="FFFFFF"/>
        </w:rPr>
        <w:t>政府性基金预算支出决算情况说明</w:t>
      </w:r>
      <w:bookmarkEnd w:id="14"/>
    </w:p>
    <w:p>
      <w:pPr>
        <w:spacing w:line="600" w:lineRule="exact"/>
        <w:ind w:firstLine="640" w:firstLineChars="200"/>
        <w:rPr>
          <w:rFonts w:hint="eastAsia" w:ascii="黑体" w:hAnsi="黑体" w:eastAsia="仿宋_GB2312" w:cs="黑体"/>
          <w:sz w:val="32"/>
          <w:szCs w:val="32"/>
          <w:shd w:val="clear" w:color="auto" w:fill="FFFFFF"/>
          <w:lang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pStyle w:val="11"/>
        <w:keepNext w:val="0"/>
        <w:keepLines w:val="0"/>
        <w:widowControl/>
        <w:numPr>
          <w:ilvl w:val="0"/>
          <w:numId w:val="5"/>
        </w:numPr>
        <w:suppressLineNumbers w:val="0"/>
        <w:shd w:val="clear" w:color="auto" w:fill="auto"/>
        <w:ind w:left="0" w:leftChars="0" w:right="75" w:firstLine="0" w:firstLineChars="0"/>
        <w:jc w:val="left"/>
        <w:outlineLvl w:val="1"/>
        <w:rPr>
          <w:rFonts w:hint="eastAsia" w:ascii="黑体" w:hAnsi="黑体" w:eastAsia="黑体" w:cs="黑体"/>
          <w:sz w:val="32"/>
          <w:szCs w:val="32"/>
          <w:shd w:val="clear" w:color="auto" w:fill="FFFFFF"/>
        </w:rPr>
      </w:pPr>
      <w:bookmarkStart w:id="15" w:name="_Toc31416"/>
      <w:r>
        <w:rPr>
          <w:rFonts w:hint="eastAsia" w:ascii="黑体" w:hAnsi="黑体" w:eastAsia="黑体" w:cs="黑体"/>
          <w:sz w:val="32"/>
          <w:szCs w:val="32"/>
          <w:shd w:val="clear" w:color="auto" w:fill="FFFFFF"/>
        </w:rPr>
        <w:t>国有资本经营预算支出决算情况说明</w:t>
      </w:r>
      <w:bookmarkEnd w:id="15"/>
    </w:p>
    <w:p>
      <w:pPr>
        <w:spacing w:line="600" w:lineRule="exact"/>
        <w:ind w:firstLine="640"/>
        <w:rPr>
          <w:rFonts w:hint="eastAsia" w:ascii="黑体" w:hAnsi="黑体" w:eastAsia="黑体" w:cs="黑体"/>
          <w:sz w:val="32"/>
          <w:szCs w:val="32"/>
          <w:shd w:val="clear" w:color="auto" w:fill="FFFFFF"/>
        </w:rPr>
      </w:pPr>
      <w:r>
        <w:rPr>
          <w:rFonts w:ascii="仿宋_GB2312" w:eastAsia="仿宋_GB2312"/>
          <w:color w:val="000000"/>
          <w:sz w:val="32"/>
          <w:szCs w:val="32"/>
        </w:rPr>
        <w:t>20</w:t>
      </w: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pStyle w:val="11"/>
        <w:keepNext w:val="0"/>
        <w:keepLines w:val="0"/>
        <w:widowControl/>
        <w:suppressLineNumbers w:val="0"/>
        <w:shd w:val="clear" w:color="auto" w:fill="auto"/>
        <w:ind w:left="0" w:right="75"/>
        <w:jc w:val="left"/>
        <w:outlineLvl w:val="1"/>
        <w:rPr>
          <w:rFonts w:hint="eastAsia" w:ascii="黑体" w:hAnsi="黑体" w:eastAsia="黑体" w:cs="黑体"/>
          <w:sz w:val="32"/>
          <w:szCs w:val="32"/>
          <w:shd w:val="clear" w:color="auto" w:fill="FFFFFF"/>
        </w:rPr>
      </w:pPr>
      <w:bookmarkStart w:id="16" w:name="_Toc11587"/>
      <w:r>
        <w:rPr>
          <w:rFonts w:hint="eastAsia" w:ascii="黑体" w:hAnsi="黑体" w:eastAsia="黑体" w:cs="黑体"/>
          <w:sz w:val="32"/>
          <w:szCs w:val="32"/>
          <w:shd w:val="clear" w:color="auto" w:fill="FFFFFF"/>
        </w:rPr>
        <w:t>十、其他重要事项的情况说明</w:t>
      </w:r>
      <w:bookmarkEnd w:id="16"/>
    </w:p>
    <w:p>
      <w:pPr>
        <w:pStyle w:val="11"/>
        <w:keepNext w:val="0"/>
        <w:keepLines w:val="0"/>
        <w:widowControl/>
        <w:suppressLineNumbers w:val="0"/>
        <w:ind w:left="0" w:right="75"/>
        <w:rPr>
          <w:rStyle w:val="14"/>
          <w:rFonts w:hint="eastAsia" w:ascii="仿宋_GB2312" w:hAnsi="仿宋_GB2312" w:eastAsia="仿宋_GB2312" w:cs="仿宋_GB2312"/>
          <w:sz w:val="32"/>
          <w:szCs w:val="32"/>
          <w:shd w:val="clear" w:color="auto" w:fill="FFFFFF"/>
        </w:rPr>
      </w:pPr>
      <w:r>
        <w:rPr>
          <w:rStyle w:val="14"/>
          <w:rFonts w:hint="eastAsia" w:ascii="仿宋_GB2312" w:hAnsi="仿宋_GB2312" w:eastAsia="仿宋_GB2312" w:cs="仿宋_GB2312"/>
          <w:sz w:val="32"/>
          <w:szCs w:val="32"/>
          <w:shd w:val="clear" w:color="auto" w:fill="FFFFFF"/>
        </w:rPr>
        <w:t>（一）机关运行经费支出情况</w:t>
      </w:r>
    </w:p>
    <w:p>
      <w:pPr>
        <w:pStyle w:val="11"/>
        <w:keepNext w:val="0"/>
        <w:keepLines w:val="0"/>
        <w:widowControl/>
        <w:suppressLineNumbers w:val="0"/>
        <w:ind w:left="0" w:right="75" w:firstLine="640" w:firstLineChars="200"/>
        <w:rPr>
          <w:rStyle w:val="14"/>
          <w:rFonts w:hint="default" w:ascii="仿宋_GB2312" w:hAnsi="仿宋_GB2312" w:eastAsia="仿宋_GB2312" w:cs="仿宋_GB2312"/>
          <w:b/>
          <w:bCs/>
          <w:sz w:val="32"/>
          <w:szCs w:val="32"/>
          <w:shd w:val="clear" w:color="auto" w:fill="FFFFFF"/>
          <w:lang w:val="en-US"/>
        </w:rPr>
      </w:pPr>
      <w:r>
        <w:rPr>
          <w:rFonts w:ascii="仿宋_GB2312" w:eastAsia="仿宋_GB2312"/>
          <w:color w:val="000000"/>
          <w:sz w:val="32"/>
          <w:szCs w:val="32"/>
        </w:rPr>
        <w:t>20</w:t>
      </w: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县委编办</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27.98</w:t>
      </w:r>
      <w:r>
        <w:rPr>
          <w:rFonts w:hint="eastAsia" w:ascii="仿宋_GB2312" w:eastAsia="仿宋_GB2312"/>
          <w:color w:val="000000"/>
          <w:sz w:val="32"/>
          <w:szCs w:val="32"/>
        </w:rPr>
        <w:t>万元，比</w:t>
      </w:r>
      <w:r>
        <w:rPr>
          <w:rFonts w:hint="eastAsia" w:ascii="仿宋_GB2312" w:eastAsia="仿宋_GB2312"/>
          <w:color w:val="000000"/>
          <w:sz w:val="32"/>
          <w:szCs w:val="32"/>
          <w:lang w:val="en-US" w:eastAsia="zh-CN"/>
        </w:rPr>
        <w:t>2022</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4.61</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上升</w:t>
      </w:r>
      <w:r>
        <w:rPr>
          <w:rFonts w:hint="eastAsia" w:ascii="仿宋_GB2312" w:eastAsia="仿宋_GB2312"/>
          <w:color w:val="000000"/>
          <w:sz w:val="32"/>
          <w:szCs w:val="32"/>
          <w:lang w:val="en-US" w:eastAsia="zh-CN"/>
        </w:rPr>
        <w:t>19.73</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b/>
          <w:bCs/>
          <w:color w:val="000000"/>
          <w:sz w:val="32"/>
          <w:szCs w:val="32"/>
          <w:lang w:eastAsia="zh-CN"/>
        </w:rPr>
        <w:t>主要原因费用增加</w:t>
      </w:r>
      <w:r>
        <w:rPr>
          <w:rFonts w:hint="eastAsia" w:ascii="仿宋_GB2312" w:hAnsi="仿宋_GB2312" w:eastAsia="仿宋_GB2312" w:cs="仿宋_GB2312"/>
          <w:b/>
          <w:bCs/>
          <w:color w:val="000000"/>
          <w:sz w:val="32"/>
          <w:szCs w:val="32"/>
          <w:lang w:val="en-US" w:eastAsia="zh-CN"/>
        </w:rPr>
        <w:t>。</w:t>
      </w:r>
    </w:p>
    <w:p>
      <w:pPr>
        <w:pStyle w:val="11"/>
        <w:keepNext w:val="0"/>
        <w:keepLines w:val="0"/>
        <w:widowControl/>
        <w:numPr>
          <w:ilvl w:val="0"/>
          <w:numId w:val="0"/>
        </w:numPr>
        <w:suppressLineNumbers w:val="0"/>
        <w:ind w:leftChars="0" w:right="75" w:rightChars="0"/>
        <w:rPr>
          <w:rStyle w:val="14"/>
          <w:rFonts w:hint="eastAsia" w:ascii="仿宋_GB2312" w:hAnsi="仿宋_GB2312" w:eastAsia="仿宋_GB2312" w:cs="仿宋_GB2312"/>
          <w:sz w:val="32"/>
          <w:szCs w:val="32"/>
          <w:shd w:val="clear" w:color="auto" w:fill="FFFFFF"/>
        </w:rPr>
      </w:pPr>
      <w:r>
        <w:rPr>
          <w:rStyle w:val="14"/>
          <w:rFonts w:hint="eastAsia" w:ascii="仿宋_GB2312" w:hAnsi="仿宋_GB2312" w:eastAsia="仿宋_GB2312" w:cs="仿宋_GB2312"/>
          <w:sz w:val="32"/>
          <w:szCs w:val="32"/>
          <w:shd w:val="clear" w:color="auto" w:fill="FFFFFF"/>
          <w:lang w:eastAsia="zh-CN"/>
        </w:rPr>
        <w:t>（二）</w:t>
      </w:r>
      <w:r>
        <w:rPr>
          <w:rStyle w:val="14"/>
          <w:rFonts w:hint="eastAsia" w:ascii="仿宋_GB2312" w:hAnsi="仿宋_GB2312" w:eastAsia="仿宋_GB2312" w:cs="仿宋_GB2312"/>
          <w:sz w:val="32"/>
          <w:szCs w:val="32"/>
          <w:shd w:val="clear" w:color="auto" w:fill="FFFFFF"/>
        </w:rPr>
        <w:t>政府采购支出情况</w:t>
      </w:r>
    </w:p>
    <w:p>
      <w:pPr>
        <w:spacing w:line="600" w:lineRule="exact"/>
        <w:ind w:firstLine="640"/>
        <w:rPr>
          <w:rStyle w:val="14"/>
          <w:rFonts w:hint="eastAsia" w:ascii="仿宋_GB2312" w:hAnsi="仿宋_GB2312" w:eastAsia="仿宋_GB2312" w:cs="仿宋_GB2312"/>
          <w:sz w:val="32"/>
          <w:szCs w:val="32"/>
          <w:shd w:val="clear" w:color="auto" w:fill="FFFFFF"/>
          <w:lang w:eastAsia="zh-CN"/>
        </w:rPr>
      </w:pPr>
      <w:r>
        <w:rPr>
          <w:rFonts w:hint="eastAsia" w:ascii="仿宋_GB2312" w:eastAsia="仿宋_GB2312"/>
          <w:color w:val="000000"/>
          <w:sz w:val="32"/>
          <w:szCs w:val="32"/>
          <w:lang w:val="en-US" w:eastAsia="zh-CN"/>
        </w:rPr>
        <w:t>2023</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政府采购</w:t>
      </w:r>
      <w:r>
        <w:rPr>
          <w:rFonts w:hint="eastAsia" w:ascii="仿宋_GB2312" w:eastAsia="仿宋_GB2312"/>
          <w:color w:val="000000"/>
          <w:sz w:val="32"/>
          <w:szCs w:val="32"/>
        </w:rPr>
        <w:t>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pStyle w:val="11"/>
        <w:keepNext w:val="0"/>
        <w:keepLines w:val="0"/>
        <w:widowControl/>
        <w:numPr>
          <w:ilvl w:val="0"/>
          <w:numId w:val="4"/>
        </w:numPr>
        <w:suppressLineNumbers w:val="0"/>
        <w:ind w:left="0" w:leftChars="0" w:right="75" w:firstLine="0" w:firstLineChars="0"/>
        <w:rPr>
          <w:rStyle w:val="14"/>
          <w:rFonts w:hint="eastAsia" w:ascii="仿宋_GB2312" w:hAnsi="仿宋_GB2312" w:eastAsia="仿宋_GB2312" w:cs="仿宋_GB2312"/>
          <w:sz w:val="32"/>
          <w:szCs w:val="32"/>
          <w:shd w:val="clear" w:color="auto" w:fill="FFFFFF"/>
        </w:rPr>
      </w:pPr>
      <w:r>
        <w:rPr>
          <w:rStyle w:val="14"/>
          <w:rFonts w:hint="eastAsia" w:ascii="仿宋_GB2312" w:hAnsi="仿宋_GB2312" w:eastAsia="仿宋_GB2312" w:cs="仿宋_GB2312"/>
          <w:sz w:val="32"/>
          <w:szCs w:val="32"/>
          <w:shd w:val="clear" w:color="auto" w:fill="FFFFFF"/>
        </w:rPr>
        <w:t>国有资产占有使用情况</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截至20</w:t>
      </w: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年12月31日，</w:t>
      </w:r>
      <w:r>
        <w:rPr>
          <w:rFonts w:hint="eastAsia" w:ascii="仿宋_GB2312" w:eastAsia="仿宋_GB2312"/>
          <w:color w:val="000000"/>
          <w:sz w:val="32"/>
          <w:szCs w:val="32"/>
          <w:lang w:eastAsia="zh-CN"/>
        </w:rPr>
        <w:t>红原县委编办</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单价50万元以上通用设备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台（套），单价100万元以上专用设备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年度，我单位配置固定资产</w:t>
      </w:r>
      <w:r>
        <w:rPr>
          <w:rFonts w:hint="eastAsia" w:ascii="仿宋_GB2312" w:eastAsia="仿宋_GB2312"/>
          <w:color w:val="000000"/>
          <w:sz w:val="32"/>
          <w:szCs w:val="32"/>
          <w:lang w:val="en-US" w:eastAsia="zh-CN"/>
        </w:rPr>
        <w:t>,25.28</w:t>
      </w:r>
      <w:r>
        <w:rPr>
          <w:rFonts w:hint="eastAsia" w:ascii="仿宋_GB2312" w:eastAsia="仿宋_GB2312"/>
          <w:color w:val="000000"/>
          <w:sz w:val="32"/>
          <w:szCs w:val="32"/>
        </w:rPr>
        <w:t>万元（账面原值，下同）。从资产类别分析，配置土地、房屋及构筑物</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 配置通用设备</w:t>
      </w:r>
      <w:r>
        <w:rPr>
          <w:rFonts w:hint="eastAsia" w:ascii="仿宋_GB2312" w:eastAsia="仿宋_GB2312"/>
          <w:color w:val="000000"/>
          <w:sz w:val="32"/>
          <w:szCs w:val="32"/>
          <w:lang w:val="en-US" w:eastAsia="zh-CN"/>
        </w:rPr>
        <w:t>22.42</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88.69</w:t>
      </w:r>
      <w:r>
        <w:rPr>
          <w:rFonts w:hint="eastAsia" w:ascii="仿宋_GB2312" w:eastAsia="仿宋_GB2312"/>
          <w:color w:val="000000"/>
          <w:sz w:val="32"/>
          <w:szCs w:val="32"/>
        </w:rPr>
        <w:t>% ； 配置家具、用具、装具及动植物</w:t>
      </w:r>
      <w:r>
        <w:rPr>
          <w:rFonts w:hint="eastAsia" w:ascii="仿宋_GB2312" w:eastAsia="仿宋_GB2312"/>
          <w:color w:val="000000"/>
          <w:sz w:val="32"/>
          <w:szCs w:val="32"/>
          <w:lang w:val="en-US" w:eastAsia="zh-CN"/>
        </w:rPr>
        <w:t>2.86</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11.31</w:t>
      </w:r>
      <w:r>
        <w:rPr>
          <w:rFonts w:hint="eastAsia" w:ascii="仿宋_GB2312" w:eastAsia="仿宋_GB2312"/>
          <w:color w:val="000000"/>
          <w:sz w:val="32"/>
          <w:szCs w:val="32"/>
        </w:rPr>
        <w:t>% 。</w:t>
      </w:r>
    </w:p>
    <w:p>
      <w:pPr>
        <w:pStyle w:val="11"/>
        <w:keepNext w:val="0"/>
        <w:keepLines w:val="0"/>
        <w:widowControl/>
        <w:numPr>
          <w:ilvl w:val="0"/>
          <w:numId w:val="4"/>
        </w:numPr>
        <w:suppressLineNumbers w:val="0"/>
        <w:shd w:val="clear" w:color="auto" w:fill="auto"/>
        <w:ind w:left="0" w:leftChars="0" w:right="75" w:firstLine="0" w:firstLineChars="0"/>
        <w:rPr>
          <w:rStyle w:val="14"/>
          <w:rFonts w:hint="eastAsia" w:ascii="仿宋_GB2312" w:hAnsi="仿宋_GB2312" w:eastAsia="仿宋_GB2312" w:cs="仿宋_GB2312"/>
          <w:sz w:val="32"/>
          <w:szCs w:val="32"/>
          <w:shd w:val="clear" w:color="auto" w:fill="FFFFFF"/>
          <w:lang w:val="en-US" w:eastAsia="zh-CN"/>
        </w:rPr>
      </w:pPr>
      <w:r>
        <w:rPr>
          <w:rStyle w:val="14"/>
          <w:rFonts w:hint="eastAsia" w:ascii="仿宋_GB2312" w:hAnsi="仿宋_GB2312" w:eastAsia="仿宋_GB2312" w:cs="仿宋_GB2312"/>
          <w:sz w:val="32"/>
          <w:szCs w:val="32"/>
          <w:shd w:val="clear" w:color="auto" w:fill="FFFFFF"/>
          <w:lang w:val="en-US" w:eastAsia="zh-CN"/>
        </w:rPr>
        <w:t>由养老保险机构发放养老金的退休人员</w:t>
      </w:r>
    </w:p>
    <w:p>
      <w:pPr>
        <w:pStyle w:val="2"/>
        <w:numPr>
          <w:ilvl w:val="0"/>
          <w:numId w:val="0"/>
        </w:numPr>
        <w:ind w:firstLine="640" w:firstLineChars="200"/>
        <w:rPr>
          <w:rFonts w:hint="eastAsia"/>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本单位由养老保险机构发放养老金的退休人员5人，比上年增加2人。</w:t>
      </w:r>
    </w:p>
    <w:p>
      <w:pPr>
        <w:pStyle w:val="11"/>
        <w:keepNext w:val="0"/>
        <w:keepLines w:val="0"/>
        <w:widowControl/>
        <w:numPr>
          <w:ilvl w:val="0"/>
          <w:numId w:val="4"/>
        </w:numPr>
        <w:suppressLineNumbers w:val="0"/>
        <w:ind w:left="0" w:leftChars="0" w:right="75" w:firstLine="0" w:firstLineChars="0"/>
        <w:rPr>
          <w:rStyle w:val="14"/>
          <w:rFonts w:hint="eastAsia" w:ascii="仿宋_GB2312" w:hAnsi="仿宋_GB2312" w:eastAsia="仿宋_GB2312" w:cs="仿宋_GB2312"/>
          <w:sz w:val="32"/>
          <w:szCs w:val="32"/>
          <w:shd w:val="clear" w:color="auto" w:fill="FFFFFF"/>
        </w:rPr>
      </w:pPr>
      <w:r>
        <w:rPr>
          <w:rStyle w:val="14"/>
          <w:rFonts w:hint="eastAsia" w:ascii="仿宋_GB2312" w:hAnsi="仿宋_GB2312" w:eastAsia="仿宋_GB2312" w:cs="仿宋_GB2312"/>
          <w:sz w:val="32"/>
          <w:szCs w:val="32"/>
          <w:shd w:val="clear" w:color="auto" w:fill="FFFFFF"/>
        </w:rPr>
        <w:t>预算绩效管理情况。</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本部门按要求对2</w:t>
      </w:r>
      <w:r>
        <w:rPr>
          <w:rFonts w:hint="eastAsia" w:ascii="仿宋_GB2312" w:hAnsi="仿宋_GB2312" w:eastAsia="仿宋_GB2312" w:cs="仿宋_GB2312"/>
          <w:sz w:val="32"/>
          <w:szCs w:val="32"/>
          <w:lang w:val="en-US" w:eastAsia="zh-CN"/>
        </w:rPr>
        <w:t>023</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eastAsia="zh-CN"/>
        </w:rPr>
        <w:t>本单位</w:t>
      </w:r>
      <w:r>
        <w:rPr>
          <w:rFonts w:hint="eastAsia" w:ascii="仿宋_GB2312" w:hAnsi="仿宋_GB2312" w:eastAsia="仿宋_GB2312" w:cs="仿宋_GB2312"/>
          <w:sz w:val="32"/>
          <w:szCs w:val="32"/>
          <w:lang w:val="en-US" w:eastAsia="zh-CN"/>
        </w:rPr>
        <w:t>2个项目完成情况良好，严格按照本单位制定的目标绩效管理制度来开展绩效管理工作，项目资金为专项经费的，全部用于专项工作。整体工作开展良好经费全部按照相关管理办法使用。2022年</w:t>
      </w:r>
      <w:r>
        <w:rPr>
          <w:rFonts w:hint="eastAsia" w:ascii="仿宋_GB2312" w:hAnsi="仿宋_GB2312" w:eastAsia="仿宋_GB2312" w:cs="仿宋_GB2312"/>
          <w:sz w:val="32"/>
          <w:szCs w:val="32"/>
          <w:shd w:val="clear" w:color="auto" w:fill="FFFFFF"/>
        </w:rPr>
        <w:t>本部门未组织开展项目支出</w:t>
      </w:r>
      <w:r>
        <w:rPr>
          <w:rFonts w:hint="eastAsia" w:ascii="仿宋_GB2312" w:hAnsi="仿宋_GB2312" w:eastAsia="仿宋_GB2312" w:cs="仿宋_GB2312"/>
          <w:sz w:val="32"/>
          <w:szCs w:val="32"/>
          <w:shd w:val="clear" w:color="auto" w:fill="FFFFFF"/>
          <w:lang w:eastAsia="zh-CN"/>
        </w:rPr>
        <w:t>事后</w:t>
      </w:r>
      <w:r>
        <w:rPr>
          <w:rFonts w:hint="eastAsia" w:ascii="仿宋_GB2312" w:hAnsi="仿宋_GB2312" w:eastAsia="仿宋_GB2312" w:cs="仿宋_GB2312"/>
          <w:sz w:val="32"/>
          <w:szCs w:val="32"/>
          <w:shd w:val="clear" w:color="auto" w:fill="FFFFFF"/>
        </w:rPr>
        <w:t>绩效评价</w:t>
      </w:r>
      <w:r>
        <w:rPr>
          <w:rFonts w:hint="eastAsia" w:ascii="仿宋_GB2312" w:hAnsi="仿宋_GB2312" w:eastAsia="仿宋_GB2312" w:cs="仿宋_GB2312"/>
          <w:sz w:val="32"/>
          <w:szCs w:val="32"/>
          <w:shd w:val="clear" w:color="auto" w:fill="FFFFFF"/>
          <w:lang w:eastAsia="zh-CN"/>
        </w:rPr>
        <w:t>。</w:t>
      </w:r>
    </w:p>
    <w:p>
      <w:pPr>
        <w:numPr>
          <w:ilvl w:val="0"/>
          <w:numId w:val="6"/>
        </w:numPr>
        <w:spacing w:line="58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一般行政管理事务”2</w:t>
      </w:r>
      <w:r>
        <w:rPr>
          <w:rFonts w:hint="eastAsia" w:ascii="仿宋_GB2312" w:hAnsi="仿宋_GB2312" w:eastAsia="仿宋_GB2312" w:cs="仿宋_GB2312"/>
          <w:sz w:val="32"/>
          <w:szCs w:val="32"/>
        </w:rPr>
        <w:t>个项目绩效目标实际完成情况。</w:t>
      </w:r>
    </w:p>
    <w:p>
      <w:pPr>
        <w:numPr>
          <w:ilvl w:val="0"/>
          <w:numId w:val="7"/>
        </w:num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编办中文网络域名管理</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保障</w:t>
      </w:r>
      <w:r>
        <w:rPr>
          <w:rFonts w:hint="eastAsia" w:ascii="仿宋_GB2312" w:hAnsi="仿宋_GB2312" w:eastAsia="仿宋_GB2312" w:cs="仿宋_GB2312"/>
          <w:sz w:val="32"/>
          <w:szCs w:val="32"/>
          <w:lang w:val="en-US" w:eastAsia="zh-CN"/>
        </w:rPr>
        <w:t>事业单位法人年检，法人证书登记或更换，实名制网络管理等事务所需支出，深入推进政府职能转变。</w:t>
      </w:r>
    </w:p>
    <w:p>
      <w:pPr>
        <w:numPr>
          <w:ilvl w:val="0"/>
          <w:numId w:val="7"/>
        </w:numPr>
        <w:spacing w:line="580" w:lineRule="exact"/>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机关事业单位干部职工人员流动编卡变动项目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对全县机关事业单位干部职工的人员编制卡的制作及更换工作，精准掌握全县干部职工的编制情况。</w:t>
      </w:r>
    </w:p>
    <w:p>
      <w:pPr>
        <w:pStyle w:val="9"/>
        <w:rPr>
          <w:rFonts w:hint="eastAsia" w:ascii="仿宋_GB2312" w:hAnsi="仿宋_GB2312" w:eastAsia="仿宋_GB2312" w:cs="仿宋_GB2312"/>
          <w:sz w:val="32"/>
          <w:szCs w:val="32"/>
          <w:lang w:eastAsia="zh-CN"/>
        </w:rPr>
      </w:pPr>
    </w:p>
    <w:p>
      <w:pPr>
        <w:rPr>
          <w:rFonts w:hint="eastAsia"/>
          <w:lang w:eastAsia="zh-CN"/>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825"/>
        <w:gridCol w:w="765"/>
        <w:gridCol w:w="825"/>
        <w:gridCol w:w="1800"/>
        <w:gridCol w:w="1935"/>
        <w:gridCol w:w="2415"/>
      </w:tblGrid>
      <w:tr>
        <w:tblPrEx>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pStyle w:val="16"/>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w:t>
            </w:r>
            <w:r>
              <w:rPr>
                <w:rFonts w:hint="eastAsia" w:ascii="宋体" w:hAnsi="宋体" w:cs="宋体"/>
                <w:color w:val="000000"/>
                <w:kern w:val="0"/>
                <w:sz w:val="36"/>
                <w:szCs w:val="36"/>
                <w:lang w:val="en-US" w:eastAsia="zh-CN" w:bidi="ar"/>
              </w:rPr>
              <w:t>23</w:t>
            </w:r>
            <w:r>
              <w:rPr>
                <w:rFonts w:hint="eastAsia" w:ascii="宋体" w:hAnsi="宋体" w:cs="宋体"/>
                <w:color w:val="000000"/>
                <w:kern w:val="0"/>
                <w:sz w:val="36"/>
                <w:szCs w:val="36"/>
                <w:lang w:bidi="ar"/>
              </w:rPr>
              <w:t>年度)</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仿宋_GB2312" w:hAnsi="仿宋_GB2312" w:eastAsia="仿宋_GB2312" w:cs="仿宋_GB2312"/>
                <w:sz w:val="32"/>
                <w:szCs w:val="32"/>
                <w:lang w:eastAsia="zh-CN"/>
              </w:rPr>
              <w:t>编办中文网络域名管理</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中共红原县委机构编制委员会办公室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2万元</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2万元</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25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69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事业单位法人年检，法人证书登记或更换，实名制网络管理等事务所需支出，深入推进政府职能转变</w:t>
            </w:r>
          </w:p>
        </w:tc>
        <w:tc>
          <w:tcPr>
            <w:tcW w:w="69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default" w:ascii="宋体" w:hAnsi="宋体" w:eastAsia="宋体" w:cs="宋体"/>
                <w:color w:val="000000"/>
                <w:sz w:val="24"/>
                <w:lang w:val="en-US" w:eastAsia="zh-CN"/>
              </w:rPr>
              <w:t>全县共登记事业单位84个（原有88个登记的事业单位，按照局队合一的原则办理注销登记4个），全面完成82个事业单位年度报告公示工作（2个新设立登记事业单位免于年度报告公示），年度报告公示率达100%。全年我办办理事业单位变更登记25个，其中：办理法人变更登记19个、地址变更登记2个、事业单位名称变更登记4个。全年办理事业单位法人证书延期12个单位。</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62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绩效目标</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目标内容</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auto"/>
                <w:sz w:val="20"/>
                <w:szCs w:val="20"/>
                <w:lang w:eastAsia="zh-CN"/>
              </w:rPr>
            </w:pPr>
            <w:r>
              <w:rPr>
                <w:rFonts w:hint="eastAsia" w:ascii="宋体" w:hAnsi="宋体" w:cs="宋体"/>
                <w:color w:val="auto"/>
                <w:sz w:val="20"/>
                <w:szCs w:val="20"/>
                <w:lang w:eastAsia="zh-CN"/>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auto"/>
                <w:sz w:val="20"/>
                <w:szCs w:val="20"/>
                <w:lang w:val="en-US" w:eastAsia="zh-CN"/>
              </w:rPr>
            </w:pPr>
            <w:r>
              <w:rPr>
                <w:rFonts w:hint="eastAsia" w:ascii="宋体" w:hAnsi="宋体" w:cs="宋体"/>
                <w:color w:val="auto"/>
                <w:sz w:val="20"/>
                <w:szCs w:val="20"/>
                <w:lang w:eastAsia="zh-CN"/>
              </w:rPr>
              <w:t>完成</w:t>
            </w:r>
            <w:r>
              <w:rPr>
                <w:rFonts w:hint="eastAsia" w:ascii="宋体" w:hAnsi="宋体" w:cs="宋体"/>
                <w:color w:val="auto"/>
                <w:sz w:val="20"/>
                <w:szCs w:val="20"/>
                <w:lang w:val="en-US" w:eastAsia="zh-CN"/>
              </w:rPr>
              <w:t>本年度</w:t>
            </w:r>
            <w:r>
              <w:rPr>
                <w:rFonts w:hint="eastAsia" w:ascii="宋体" w:eastAsia="宋体" w:cs="Arial"/>
                <w:sz w:val="21"/>
                <w:szCs w:val="21"/>
                <w:lang w:val="en-US" w:eastAsia="zh-CN"/>
              </w:rPr>
              <w:t>事业单位法人年检，法人证书登记或更换，实名制网络管理等事务所需支出，深入推进政府职能转变</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eastAsia="宋体" w:cs="Arial"/>
                <w:sz w:val="21"/>
                <w:szCs w:val="21"/>
                <w:lang w:val="en-US" w:eastAsia="zh-CN"/>
              </w:rPr>
            </w:pPr>
            <w:r>
              <w:rPr>
                <w:rFonts w:hint="default" w:ascii="宋体" w:eastAsia="宋体" w:cs="Arial"/>
                <w:sz w:val="21"/>
                <w:szCs w:val="21"/>
                <w:lang w:val="en-US" w:eastAsia="zh-CN"/>
              </w:rPr>
              <w:t>全县共登记事业单位84个（原有88个登记的事业单位，按照局队合一的原则办理注销登记4个），全面完成82个事业单位年度报告公示工作（2个新设立登记事业单位免于年度报告公示），年度报告公示率达100%。全年我办办理事业单位变更登记25个，其中：办理法人变更登记19个、地址变更登记2个、事业单位名称变更登记4个。全年办理事业单位法人证书延期12个单位。</w:t>
            </w:r>
          </w:p>
          <w:p>
            <w:pPr>
              <w:widowControl/>
              <w:jc w:val="center"/>
              <w:textAlignment w:val="center"/>
              <w:rPr>
                <w:rFonts w:hint="default" w:ascii="宋体" w:hAnsi="宋体" w:eastAsia="宋体" w:cs="宋体"/>
                <w:color w:val="auto"/>
                <w:sz w:val="20"/>
                <w:szCs w:val="20"/>
                <w:lang w:val="en-US" w:eastAsia="zh-CN"/>
              </w:rPr>
            </w:pPr>
          </w:p>
        </w:tc>
      </w:tr>
      <w:tr>
        <w:tblPrEx>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进度计划</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按计划完成</w:t>
            </w:r>
          </w:p>
        </w:tc>
      </w:tr>
      <w:tr>
        <w:tblPrEx>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目标匹配</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r>
      <w:tr>
        <w:tblPrEx>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决策依据</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政策依据</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r>
      <w:tr>
        <w:tblPrEx>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实施规划</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管理制度</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已制定按照相关文件执行</w:t>
            </w:r>
          </w:p>
        </w:tc>
      </w:tr>
      <w:tr>
        <w:tblPrEx>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资金分配</w:t>
            </w:r>
          </w:p>
        </w:tc>
        <w:tc>
          <w:tcPr>
            <w:tcW w:w="76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分配方法</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分配过程</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分配结果</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审核把关</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r>
      <w:tr>
        <w:tblPrEx>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资金集中</w:t>
            </w:r>
          </w:p>
        </w:tc>
        <w:tc>
          <w:tcPr>
            <w:tcW w:w="82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（均衡）</w:t>
            </w:r>
          </w:p>
        </w:tc>
        <w:tc>
          <w:tcPr>
            <w:tcW w:w="82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资金到位</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分配时效</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资金拨付</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半年拨付</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both"/>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半年拨付</w:t>
            </w:r>
          </w:p>
        </w:tc>
      </w:tr>
      <w:tr>
        <w:tblPrEx>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资金管理</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使用范围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支付依据</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开支标准</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财务管理</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财务制度</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会计核算</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组织实施</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项目调整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投资变更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制度执行</w:t>
            </w:r>
          </w:p>
        </w:tc>
        <w:tc>
          <w:tcPr>
            <w:tcW w:w="262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项目完成</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62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bl>
    <w:p>
      <w:pPr>
        <w:rPr>
          <w:rFonts w:ascii="Calibri" w:hAnsi="Calibri"/>
        </w:rPr>
      </w:pPr>
    </w:p>
    <w:p>
      <w:pPr>
        <w:pStyle w:val="9"/>
        <w:rPr>
          <w:rFonts w:ascii="Calibri" w:hAnsi="Calibri"/>
        </w:rPr>
      </w:pPr>
    </w:p>
    <w:p>
      <w:pPr>
        <w:rPr>
          <w:rFonts w:ascii="Calibri" w:hAnsi="Calibri"/>
        </w:rPr>
      </w:pPr>
    </w:p>
    <w:p>
      <w:pPr>
        <w:pStyle w:val="9"/>
        <w:rPr>
          <w:rFonts w:ascii="Calibri" w:hAnsi="Calibri"/>
        </w:rPr>
      </w:pPr>
    </w:p>
    <w:p>
      <w:pPr>
        <w:rPr>
          <w:rFonts w:ascii="Calibri" w:hAnsi="Calibri"/>
        </w:rPr>
      </w:pPr>
    </w:p>
    <w:p>
      <w:pPr>
        <w:pStyle w:val="9"/>
        <w:rPr>
          <w:rFonts w:ascii="Calibri" w:hAnsi="Calibri"/>
        </w:rPr>
      </w:pPr>
    </w:p>
    <w:p>
      <w:pPr>
        <w:rPr>
          <w:rFonts w:ascii="Calibri" w:hAnsi="Calibri"/>
        </w:rPr>
      </w:pPr>
    </w:p>
    <w:p>
      <w:pPr>
        <w:pStyle w:val="9"/>
        <w:rPr>
          <w:rFonts w:ascii="Calibri" w:hAnsi="Calibri"/>
        </w:rPr>
      </w:pPr>
    </w:p>
    <w:p>
      <w:pPr>
        <w:rPr>
          <w:rFonts w:ascii="Calibri" w:hAnsi="Calibri"/>
        </w:rPr>
      </w:pPr>
    </w:p>
    <w:p>
      <w:pPr>
        <w:pStyle w:val="9"/>
        <w:rPr>
          <w:rFonts w:ascii="Calibri" w:hAnsi="Calibri"/>
        </w:rPr>
      </w:pPr>
    </w:p>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825"/>
        <w:gridCol w:w="705"/>
        <w:gridCol w:w="885"/>
        <w:gridCol w:w="1800"/>
        <w:gridCol w:w="1935"/>
        <w:gridCol w:w="2415"/>
      </w:tblGrid>
      <w:tr>
        <w:tblPrEx>
          <w:tblCellMar>
            <w:top w:w="0" w:type="dxa"/>
            <w:left w:w="0" w:type="dxa"/>
            <w:bottom w:w="0" w:type="dxa"/>
            <w:right w:w="0" w:type="dxa"/>
          </w:tblCellMar>
        </w:tblPrEx>
        <w:trPr>
          <w:trHeight w:val="1034" w:hRule="atLeast"/>
        </w:trPr>
        <w:tc>
          <w:tcPr>
            <w:tcW w:w="9960" w:type="dxa"/>
            <w:gridSpan w:val="8"/>
            <w:tcMar>
              <w:top w:w="15" w:type="dxa"/>
              <w:left w:w="15" w:type="dxa"/>
              <w:bottom w:w="0" w:type="dxa"/>
              <w:right w:w="15" w:type="dxa"/>
            </w:tcMar>
            <w:vAlign w:val="center"/>
          </w:tcPr>
          <w:p>
            <w:pPr>
              <w:pStyle w:val="16"/>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w:t>
            </w:r>
            <w:r>
              <w:rPr>
                <w:rFonts w:hint="eastAsia" w:ascii="宋体" w:hAnsi="宋体" w:cs="宋体"/>
                <w:color w:val="000000"/>
                <w:kern w:val="0"/>
                <w:sz w:val="36"/>
                <w:szCs w:val="36"/>
                <w:lang w:val="en-US" w:eastAsia="zh-CN" w:bidi="ar"/>
              </w:rPr>
              <w:t>23</w:t>
            </w:r>
            <w:r>
              <w:rPr>
                <w:rFonts w:hint="eastAsia" w:ascii="宋体" w:hAnsi="宋体" w:cs="宋体"/>
                <w:color w:val="000000"/>
                <w:kern w:val="0"/>
                <w:sz w:val="36"/>
                <w:szCs w:val="36"/>
                <w:lang w:bidi="ar"/>
              </w:rPr>
              <w:t>年度)</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eastAsia="宋体" w:cs="Arial"/>
                <w:sz w:val="21"/>
                <w:szCs w:val="21"/>
                <w:lang w:eastAsia="zh-CN"/>
              </w:rPr>
              <w:t>机关事业单位干部职工人员流动编卡变动</w:t>
            </w:r>
          </w:p>
        </w:tc>
      </w:tr>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中共红原县委机构编制委员会办公室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2万元</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46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3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24"/>
                <w:szCs w:val="24"/>
                <w:lang w:val="en-US" w:eastAsia="zh-CN"/>
              </w:rPr>
              <w:t>为切实加强实名制录入库信息和数据更新工作，实行编制卡片和实名制系统“双重”管理，确保数据及时更新。对每个在编人员实行卡片式动态管理，建立了《人员编制卡》，编制到人，卡随人动，有力杜绝了人员的漏统，树立了机构编制工作的权威性。</w:t>
            </w:r>
          </w:p>
          <w:p>
            <w:pPr>
              <w:widowControl/>
              <w:jc w:val="both"/>
              <w:textAlignment w:val="center"/>
              <w:rPr>
                <w:rFonts w:hint="eastAsia" w:ascii="宋体" w:hAnsi="宋体" w:eastAsia="宋体" w:cs="宋体"/>
                <w:color w:val="000000"/>
                <w:sz w:val="24"/>
                <w:lang w:val="en-US" w:eastAsia="zh-CN"/>
              </w:rPr>
            </w:pPr>
          </w:p>
        </w:tc>
        <w:tc>
          <w:tcPr>
            <w:tcW w:w="703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default" w:ascii="仿宋_GB2312" w:hAnsi="仿宋_GB2312" w:eastAsia="仿宋_GB2312" w:cs="仿宋_GB2312"/>
                <w:sz w:val="24"/>
                <w:szCs w:val="24"/>
                <w:lang w:val="en-US" w:eastAsia="zh-CN"/>
              </w:rPr>
              <w:t>202</w:t>
            </w:r>
            <w:r>
              <w:rPr>
                <w:rFonts w:hint="eastAsia" w:ascii="仿宋_GB2312" w:hAnsi="仿宋_GB2312" w:eastAsia="仿宋_GB2312" w:cs="仿宋_GB2312"/>
                <w:sz w:val="24"/>
                <w:szCs w:val="24"/>
                <w:lang w:val="en-US" w:eastAsia="zh-CN"/>
              </w:rPr>
              <w:t>3</w:t>
            </w:r>
            <w:r>
              <w:rPr>
                <w:rFonts w:hint="default" w:ascii="仿宋_GB2312" w:hAnsi="仿宋_GB2312" w:eastAsia="仿宋_GB2312" w:cs="仿宋_GB2312"/>
                <w:sz w:val="24"/>
                <w:szCs w:val="24"/>
                <w:lang w:val="en-US" w:eastAsia="zh-CN"/>
              </w:rPr>
              <w:t>年人员信息新录入</w:t>
            </w:r>
            <w:r>
              <w:rPr>
                <w:rFonts w:hint="eastAsia" w:ascii="仿宋_GB2312" w:hAnsi="仿宋_GB2312" w:eastAsia="仿宋_GB2312" w:cs="仿宋_GB2312"/>
                <w:sz w:val="24"/>
                <w:szCs w:val="24"/>
                <w:lang w:val="en-US" w:eastAsia="zh-CN"/>
              </w:rPr>
              <w:t>275</w:t>
            </w:r>
            <w:r>
              <w:rPr>
                <w:rFonts w:hint="default" w:ascii="仿宋_GB2312" w:hAnsi="仿宋_GB2312" w:eastAsia="仿宋_GB2312" w:cs="仿宋_GB2312"/>
                <w:sz w:val="24"/>
                <w:szCs w:val="24"/>
                <w:lang w:val="en-US" w:eastAsia="zh-CN"/>
              </w:rPr>
              <w:t>名、外县人员信息划入</w:t>
            </w:r>
            <w:r>
              <w:rPr>
                <w:rFonts w:hint="eastAsia" w:ascii="仿宋_GB2312" w:hAnsi="仿宋_GB2312" w:eastAsia="仿宋_GB2312" w:cs="仿宋_GB2312"/>
                <w:sz w:val="24"/>
                <w:szCs w:val="24"/>
                <w:lang w:val="en-US" w:eastAsia="zh-CN"/>
              </w:rPr>
              <w:t>27</w:t>
            </w:r>
            <w:r>
              <w:rPr>
                <w:rFonts w:hint="default" w:ascii="仿宋_GB2312" w:hAnsi="仿宋_GB2312" w:eastAsia="仿宋_GB2312" w:cs="仿宋_GB2312"/>
                <w:sz w:val="24"/>
                <w:szCs w:val="24"/>
                <w:lang w:val="en-US" w:eastAsia="zh-CN"/>
              </w:rPr>
              <w:t>名、人员信息划出37名、县内人员信息调整</w:t>
            </w:r>
            <w:r>
              <w:rPr>
                <w:rFonts w:hint="eastAsia" w:ascii="仿宋_GB2312" w:hAnsi="仿宋_GB2312" w:eastAsia="仿宋_GB2312" w:cs="仿宋_GB2312"/>
                <w:sz w:val="24"/>
                <w:szCs w:val="24"/>
                <w:lang w:val="en-US" w:eastAsia="zh-CN"/>
              </w:rPr>
              <w:t>267</w:t>
            </w:r>
            <w:r>
              <w:rPr>
                <w:rFonts w:hint="default" w:ascii="仿宋_GB2312" w:hAnsi="仿宋_GB2312" w:eastAsia="仿宋_GB2312" w:cs="仿宋_GB2312"/>
                <w:sz w:val="24"/>
                <w:szCs w:val="24"/>
                <w:lang w:val="en-US" w:eastAsia="zh-CN"/>
              </w:rPr>
              <w:t>名、实名制人员信息注销65名，其中退休</w:t>
            </w:r>
            <w:r>
              <w:rPr>
                <w:rFonts w:hint="eastAsia" w:ascii="仿宋_GB2312" w:hAnsi="仿宋_GB2312" w:eastAsia="仿宋_GB2312" w:cs="仿宋_GB2312"/>
                <w:sz w:val="24"/>
                <w:szCs w:val="24"/>
                <w:lang w:val="en-US" w:eastAsia="zh-CN"/>
              </w:rPr>
              <w:t>57</w:t>
            </w:r>
            <w:r>
              <w:rPr>
                <w:rFonts w:hint="default" w:ascii="仿宋_GB2312" w:hAnsi="仿宋_GB2312" w:eastAsia="仿宋_GB2312" w:cs="仿宋_GB2312"/>
                <w:sz w:val="24"/>
                <w:szCs w:val="24"/>
                <w:lang w:val="en-US" w:eastAsia="zh-CN"/>
              </w:rPr>
              <w:t>名、在职死亡</w:t>
            </w:r>
            <w:r>
              <w:rPr>
                <w:rFonts w:hint="eastAsia" w:ascii="仿宋_GB2312" w:hAnsi="仿宋_GB2312" w:eastAsia="仿宋_GB2312" w:cs="仿宋_GB2312"/>
                <w:sz w:val="24"/>
                <w:szCs w:val="24"/>
                <w:lang w:val="en-US" w:eastAsia="zh-CN"/>
              </w:rPr>
              <w:t>2</w:t>
            </w:r>
            <w:r>
              <w:rPr>
                <w:rFonts w:hint="default" w:ascii="仿宋_GB2312" w:hAnsi="仿宋_GB2312" w:eastAsia="仿宋_GB2312" w:cs="仿宋_GB2312"/>
                <w:sz w:val="24"/>
                <w:szCs w:val="24"/>
                <w:lang w:val="en-US" w:eastAsia="zh-CN"/>
              </w:rPr>
              <w:t>名，辞职</w:t>
            </w:r>
            <w:r>
              <w:rPr>
                <w:rFonts w:hint="eastAsia" w:ascii="仿宋_GB2312" w:hAnsi="仿宋_GB2312" w:eastAsia="仿宋_GB2312" w:cs="仿宋_GB2312"/>
                <w:sz w:val="24"/>
                <w:szCs w:val="24"/>
                <w:lang w:val="en-US" w:eastAsia="zh-CN"/>
              </w:rPr>
              <w:t>2</w:t>
            </w:r>
            <w:r>
              <w:rPr>
                <w:rFonts w:hint="default" w:ascii="仿宋_GB2312" w:hAnsi="仿宋_GB2312" w:eastAsia="仿宋_GB2312" w:cs="仿宋_GB2312"/>
                <w:sz w:val="24"/>
                <w:szCs w:val="24"/>
                <w:lang w:val="en-US" w:eastAsia="zh-CN"/>
              </w:rPr>
              <w:t>名。根据以上人员变动情况，我办立即办理编制变动手续，调整实名制信息，及时的更新数据，以维护编制的严肃性和时效性，为组织、人社部门人员调任、招录等提供有效数据。</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7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68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绩效目标</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目标内容</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0"/>
                <w:szCs w:val="20"/>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为切实加强实名制录入库信息和数据更新工作，实行编制卡片和实名制系统“双重”管理，确保数据及时更新。对每个在编人员实行卡片式动态管理，建立了《人员编制卡》，编制到人，卡随人动，有力杜绝了人员的漏统，树立了机构编制工作的权威性。</w:t>
            </w:r>
          </w:p>
          <w:p>
            <w:pPr>
              <w:widowControl/>
              <w:jc w:val="center"/>
              <w:textAlignment w:val="center"/>
              <w:rPr>
                <w:rFonts w:hint="default" w:ascii="宋体" w:hAnsi="宋体" w:eastAsia="宋体" w:cs="宋体"/>
                <w:color w:val="000000"/>
                <w:sz w:val="20"/>
                <w:szCs w:val="20"/>
                <w:lang w:val="en-US" w:eastAsia="zh-CN"/>
              </w:rPr>
            </w:pP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default" w:ascii="仿宋_GB2312" w:hAnsi="仿宋_GB2312" w:eastAsia="仿宋_GB2312" w:cs="仿宋_GB2312"/>
                <w:sz w:val="24"/>
                <w:szCs w:val="24"/>
                <w:lang w:val="en-US" w:eastAsia="zh-CN"/>
              </w:rPr>
              <w:t>202</w:t>
            </w:r>
            <w:r>
              <w:rPr>
                <w:rFonts w:hint="eastAsia" w:ascii="仿宋_GB2312" w:hAnsi="仿宋_GB2312" w:eastAsia="仿宋_GB2312" w:cs="仿宋_GB2312"/>
                <w:sz w:val="24"/>
                <w:szCs w:val="24"/>
                <w:lang w:val="en-US" w:eastAsia="zh-CN"/>
              </w:rPr>
              <w:t>3</w:t>
            </w:r>
            <w:r>
              <w:rPr>
                <w:rFonts w:hint="default" w:ascii="仿宋_GB2312" w:hAnsi="仿宋_GB2312" w:eastAsia="仿宋_GB2312" w:cs="仿宋_GB2312"/>
                <w:sz w:val="24"/>
                <w:szCs w:val="24"/>
                <w:lang w:val="en-US" w:eastAsia="zh-CN"/>
              </w:rPr>
              <w:t>年人员信息新录入</w:t>
            </w:r>
            <w:r>
              <w:rPr>
                <w:rFonts w:hint="eastAsia" w:ascii="仿宋_GB2312" w:hAnsi="仿宋_GB2312" w:eastAsia="仿宋_GB2312" w:cs="仿宋_GB2312"/>
                <w:sz w:val="24"/>
                <w:szCs w:val="24"/>
                <w:lang w:val="en-US" w:eastAsia="zh-CN"/>
              </w:rPr>
              <w:t>275</w:t>
            </w:r>
            <w:r>
              <w:rPr>
                <w:rFonts w:hint="default" w:ascii="仿宋_GB2312" w:hAnsi="仿宋_GB2312" w:eastAsia="仿宋_GB2312" w:cs="仿宋_GB2312"/>
                <w:sz w:val="24"/>
                <w:szCs w:val="24"/>
                <w:lang w:val="en-US" w:eastAsia="zh-CN"/>
              </w:rPr>
              <w:t>名、外县人员信息划入</w:t>
            </w:r>
            <w:r>
              <w:rPr>
                <w:rFonts w:hint="eastAsia" w:ascii="仿宋_GB2312" w:hAnsi="仿宋_GB2312" w:eastAsia="仿宋_GB2312" w:cs="仿宋_GB2312"/>
                <w:sz w:val="24"/>
                <w:szCs w:val="24"/>
                <w:lang w:val="en-US" w:eastAsia="zh-CN"/>
              </w:rPr>
              <w:t>27</w:t>
            </w:r>
            <w:r>
              <w:rPr>
                <w:rFonts w:hint="default" w:ascii="仿宋_GB2312" w:hAnsi="仿宋_GB2312" w:eastAsia="仿宋_GB2312" w:cs="仿宋_GB2312"/>
                <w:sz w:val="24"/>
                <w:szCs w:val="24"/>
                <w:lang w:val="en-US" w:eastAsia="zh-CN"/>
              </w:rPr>
              <w:t>名、人员信息划出37名、县内人员信息调整</w:t>
            </w:r>
            <w:r>
              <w:rPr>
                <w:rFonts w:hint="eastAsia" w:ascii="仿宋_GB2312" w:hAnsi="仿宋_GB2312" w:eastAsia="仿宋_GB2312" w:cs="仿宋_GB2312"/>
                <w:sz w:val="24"/>
                <w:szCs w:val="24"/>
                <w:lang w:val="en-US" w:eastAsia="zh-CN"/>
              </w:rPr>
              <w:t>267</w:t>
            </w:r>
            <w:r>
              <w:rPr>
                <w:rFonts w:hint="default" w:ascii="仿宋_GB2312" w:hAnsi="仿宋_GB2312" w:eastAsia="仿宋_GB2312" w:cs="仿宋_GB2312"/>
                <w:sz w:val="24"/>
                <w:szCs w:val="24"/>
                <w:lang w:val="en-US" w:eastAsia="zh-CN"/>
              </w:rPr>
              <w:t>名、实名制人员信息注销65名，其中退休</w:t>
            </w:r>
            <w:r>
              <w:rPr>
                <w:rFonts w:hint="eastAsia" w:ascii="仿宋_GB2312" w:hAnsi="仿宋_GB2312" w:eastAsia="仿宋_GB2312" w:cs="仿宋_GB2312"/>
                <w:sz w:val="24"/>
                <w:szCs w:val="24"/>
                <w:lang w:val="en-US" w:eastAsia="zh-CN"/>
              </w:rPr>
              <w:t>57</w:t>
            </w:r>
            <w:r>
              <w:rPr>
                <w:rFonts w:hint="default" w:ascii="仿宋_GB2312" w:hAnsi="仿宋_GB2312" w:eastAsia="仿宋_GB2312" w:cs="仿宋_GB2312"/>
                <w:sz w:val="24"/>
                <w:szCs w:val="24"/>
                <w:lang w:val="en-US" w:eastAsia="zh-CN"/>
              </w:rPr>
              <w:t>名、在职死亡</w:t>
            </w:r>
            <w:r>
              <w:rPr>
                <w:rFonts w:hint="eastAsia" w:ascii="仿宋_GB2312" w:hAnsi="仿宋_GB2312" w:eastAsia="仿宋_GB2312" w:cs="仿宋_GB2312"/>
                <w:sz w:val="24"/>
                <w:szCs w:val="24"/>
                <w:lang w:val="en-US" w:eastAsia="zh-CN"/>
              </w:rPr>
              <w:t>2</w:t>
            </w:r>
            <w:r>
              <w:rPr>
                <w:rFonts w:hint="default" w:ascii="仿宋_GB2312" w:hAnsi="仿宋_GB2312" w:eastAsia="仿宋_GB2312" w:cs="仿宋_GB2312"/>
                <w:sz w:val="24"/>
                <w:szCs w:val="24"/>
                <w:lang w:val="en-US" w:eastAsia="zh-CN"/>
              </w:rPr>
              <w:t>名，辞职</w:t>
            </w:r>
            <w:r>
              <w:rPr>
                <w:rFonts w:hint="eastAsia" w:ascii="仿宋_GB2312" w:hAnsi="仿宋_GB2312" w:eastAsia="仿宋_GB2312" w:cs="仿宋_GB2312"/>
                <w:sz w:val="24"/>
                <w:szCs w:val="24"/>
                <w:lang w:val="en-US" w:eastAsia="zh-CN"/>
              </w:rPr>
              <w:t>2</w:t>
            </w:r>
            <w:r>
              <w:rPr>
                <w:rFonts w:hint="default" w:ascii="仿宋_GB2312" w:hAnsi="仿宋_GB2312" w:eastAsia="仿宋_GB2312" w:cs="仿宋_GB2312"/>
                <w:sz w:val="24"/>
                <w:szCs w:val="24"/>
                <w:lang w:val="en-US" w:eastAsia="zh-CN"/>
              </w:rPr>
              <w:t>名。根据以上人员变动情况，我办立即办理编制变动手续，调整实名制信息，及时的更新数据，以维护编制的严肃性和时效性，为组织、人社部门人员调任、招录等提供有效数据。。</w:t>
            </w:r>
          </w:p>
        </w:tc>
      </w:tr>
      <w:tr>
        <w:tblPrEx>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进度计划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一年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按计划完成</w:t>
            </w:r>
          </w:p>
        </w:tc>
      </w:tr>
      <w:tr>
        <w:tblPrEx>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目标匹配</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w:t>
            </w:r>
          </w:p>
        </w:tc>
      </w:tr>
      <w:tr>
        <w:tblPrEx>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决策依据</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政策依据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符合</w:t>
            </w:r>
          </w:p>
        </w:tc>
      </w:tr>
      <w:tr>
        <w:tblPrEx>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实施规划</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管理制度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已制定</w:t>
            </w:r>
          </w:p>
        </w:tc>
      </w:tr>
      <w:tr>
        <w:tblPrEx>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资金分配</w:t>
            </w: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分配方法</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分配过程</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分配结果</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审核把关</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1个</w:t>
            </w:r>
          </w:p>
        </w:tc>
      </w:tr>
      <w:tr>
        <w:tblPrEx>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资金集中</w:t>
            </w:r>
          </w:p>
        </w:tc>
        <w:tc>
          <w:tcPr>
            <w:tcW w:w="88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（均衡）</w:t>
            </w:r>
          </w:p>
        </w:tc>
        <w:tc>
          <w:tcPr>
            <w:tcW w:w="88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eastAsiaTheme="minorEastAsia"/>
                <w:color w:val="000000"/>
                <w:kern w:val="0"/>
                <w:sz w:val="20"/>
                <w:szCs w:val="20"/>
                <w:lang w:eastAsia="zh-CN"/>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lang w:val="en-US" w:eastAsia="zh-CN"/>
              </w:rPr>
            </w:pPr>
            <w:r>
              <w:rPr>
                <w:rFonts w:hint="eastAsia" w:ascii="宋体" w:hAnsi="宋体" w:cs="宋体"/>
                <w:color w:val="000000"/>
                <w:sz w:val="20"/>
                <w:szCs w:val="20"/>
                <w:lang w:val="en-US" w:eastAsia="zh-CN"/>
              </w:rPr>
              <w:t>是</w:t>
            </w:r>
          </w:p>
        </w:tc>
      </w:tr>
      <w:tr>
        <w:tblPrEx>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资金到位</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分配时效</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资金拨付</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半年拨付</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both"/>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半年拨付</w:t>
            </w:r>
          </w:p>
        </w:tc>
      </w:tr>
      <w:tr>
        <w:tblPrEx>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资金管理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使用范围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支付依据</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开支标准</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财务管理</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财务制度</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会计核算</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组织实施</w:t>
            </w: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项目调整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投资变更</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未调整</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制度执行</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是</w:t>
            </w:r>
          </w:p>
        </w:tc>
      </w:tr>
      <w:tr>
        <w:tblPrEx>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eastAsia="zh-CN" w:bidi="ar"/>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项目完成</w:t>
            </w:r>
          </w:p>
        </w:tc>
        <w:tc>
          <w:tcPr>
            <w:tcW w:w="70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完成数量</w:t>
            </w:r>
          </w:p>
        </w:tc>
        <w:tc>
          <w:tcPr>
            <w:tcW w:w="268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完成质量</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完成时效</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0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完成成本</w:t>
            </w:r>
          </w:p>
        </w:tc>
        <w:tc>
          <w:tcPr>
            <w:tcW w:w="268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 w:val="24"/>
                <w:lang w:eastAsia="zh-CN" w:bidi="ar"/>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70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服务对象满意度</w:t>
            </w:r>
          </w:p>
        </w:tc>
        <w:tc>
          <w:tcPr>
            <w:tcW w:w="268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bl>
    <w:p>
      <w:pPr>
        <w:spacing w:line="580" w:lineRule="exact"/>
        <w:ind w:left="630"/>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整体支出情况良好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2023年度部门整体支出绩效报告</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详</w:t>
      </w:r>
      <w:r>
        <w:rPr>
          <w:rFonts w:hint="eastAsia" w:ascii="仿宋_GB2312" w:hAnsi="仿宋_GB2312" w:eastAsia="仿宋_GB2312" w:cs="仿宋_GB2312"/>
          <w:sz w:val="32"/>
          <w:szCs w:val="32"/>
        </w:rPr>
        <w:t>见附件。</w:t>
      </w:r>
    </w:p>
    <w:p>
      <w:pPr>
        <w:pStyle w:val="2"/>
        <w:rPr>
          <w:rFonts w:hint="eastAsia" w:ascii="仿宋_GB2312" w:hAnsi="仿宋_GB2312" w:eastAsia="仿宋_GB2312" w:cs="仿宋_GB2312"/>
          <w:sz w:val="32"/>
          <w:szCs w:val="32"/>
        </w:rPr>
      </w:pPr>
    </w:p>
    <w:p>
      <w:pPr>
        <w:pStyle w:val="11"/>
        <w:keepNext w:val="0"/>
        <w:keepLines w:val="0"/>
        <w:widowControl/>
        <w:numPr>
          <w:ilvl w:val="0"/>
          <w:numId w:val="0"/>
        </w:numPr>
        <w:suppressLineNumbers w:val="0"/>
        <w:ind w:right="75" w:rightChars="0"/>
        <w:jc w:val="center"/>
        <w:outlineLvl w:val="0"/>
        <w:rPr>
          <w:rFonts w:hint="eastAsia" w:ascii="黑体" w:hAnsi="黑体" w:eastAsia="黑体" w:cs="黑体"/>
          <w:sz w:val="44"/>
          <w:szCs w:val="44"/>
          <w:shd w:val="clear" w:color="auto" w:fill="FFFFFF"/>
        </w:rPr>
      </w:pPr>
      <w:bookmarkStart w:id="17" w:name="_Toc26931"/>
      <w:r>
        <w:rPr>
          <w:rFonts w:hint="eastAsia" w:ascii="黑体" w:hAnsi="黑体" w:eastAsia="黑体" w:cs="黑体"/>
          <w:sz w:val="44"/>
          <w:szCs w:val="44"/>
          <w:shd w:val="clear" w:color="auto" w:fill="FFFFFF"/>
          <w:lang w:eastAsia="zh-CN"/>
        </w:rPr>
        <w:t>第三部分</w:t>
      </w:r>
      <w:r>
        <w:rPr>
          <w:rFonts w:hint="eastAsia" w:ascii="黑体" w:hAnsi="黑体" w:eastAsia="黑体" w:cs="黑体"/>
          <w:sz w:val="44"/>
          <w:szCs w:val="44"/>
          <w:shd w:val="clear" w:color="auto" w:fill="FFFFFF"/>
          <w:lang w:val="en-US" w:eastAsia="zh-CN"/>
        </w:rPr>
        <w:t xml:space="preserve">  </w:t>
      </w:r>
      <w:r>
        <w:rPr>
          <w:rFonts w:hint="eastAsia" w:ascii="黑体" w:hAnsi="黑体" w:eastAsia="黑体" w:cs="黑体"/>
          <w:sz w:val="44"/>
          <w:szCs w:val="44"/>
          <w:shd w:val="clear" w:color="auto" w:fill="FFFFFF"/>
        </w:rPr>
        <w:t>名词解释</w:t>
      </w:r>
      <w:bookmarkEnd w:id="17"/>
    </w:p>
    <w:p>
      <w:pPr>
        <w:pStyle w:val="17"/>
        <w:keepNext w:val="0"/>
        <w:keepLines w:val="0"/>
        <w:pageBreakBefore w:val="0"/>
        <w:kinsoku/>
        <w:wordWrap/>
        <w:overflowPunct/>
        <w:topLinePunct w:val="0"/>
        <w:bidi w:val="0"/>
        <w:snapToGrid/>
        <w:spacing w:beforeAutospacing="0" w:afterAutospacing="0" w:line="560" w:lineRule="exact"/>
        <w:ind w:firstLine="640" w:firstLineChars="20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17"/>
        <w:keepNext w:val="0"/>
        <w:keepLines w:val="0"/>
        <w:pageBreakBefore w:val="0"/>
        <w:kinsoku/>
        <w:wordWrap/>
        <w:overflowPunct/>
        <w:topLinePunct w:val="0"/>
        <w:bidi w:val="0"/>
        <w:snapToGrid/>
        <w:spacing w:beforeAutospacing="0" w:afterAutospacing="0"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17"/>
        <w:keepNext w:val="0"/>
        <w:keepLines w:val="0"/>
        <w:pageBreakBefore w:val="0"/>
        <w:kinsoku/>
        <w:wordWrap/>
        <w:overflowPunct/>
        <w:topLinePunct w:val="0"/>
        <w:bidi w:val="0"/>
        <w:snapToGrid/>
        <w:spacing w:beforeAutospacing="0" w:afterAutospacing="0"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17"/>
        <w:keepNext w:val="0"/>
        <w:keepLines w:val="0"/>
        <w:pageBreakBefore w:val="0"/>
        <w:kinsoku/>
        <w:wordWrap/>
        <w:overflowPunct/>
        <w:topLinePunct w:val="0"/>
        <w:bidi w:val="0"/>
        <w:snapToGrid/>
        <w:spacing w:beforeAutospacing="0" w:afterAutospacing="0"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、年末结转和结余：指单位按有关规定结转到下年或以后年度继续使用的资金。</w:t>
      </w:r>
    </w:p>
    <w:p>
      <w:pPr>
        <w:keepNext w:val="0"/>
        <w:keepLines w:val="0"/>
        <w:pageBreakBefore w:val="0"/>
        <w:kinsoku/>
        <w:wordWrap/>
        <w:overflowPunct/>
        <w:topLinePunct w:val="0"/>
        <w:bidi w:val="0"/>
        <w:snapToGrid/>
        <w:spacing w:beforeAutospacing="0" w:afterAutospacing="0"/>
        <w:ind w:firstLine="640" w:firstLineChars="200"/>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2013101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党委厅（室）及相关事务机构行政运行，反映人员经费与日常公用经费的支出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2013102指一般行政管理事务，反映县委编办专项办公费的支出。2013150指</w:t>
      </w:r>
      <w:r>
        <w:rPr>
          <w:rFonts w:hint="eastAsia" w:ascii="仿宋_GB2312" w:eastAsia="仿宋_GB2312"/>
          <w:color w:val="000000"/>
          <w:sz w:val="32"/>
          <w:szCs w:val="32"/>
          <w:lang w:eastAsia="zh-CN"/>
        </w:rPr>
        <w:t>党委厅（室）及相关事务机构事业运行</w:t>
      </w:r>
      <w:r>
        <w:rPr>
          <w:rFonts w:hint="eastAsia" w:ascii="仿宋_GB2312" w:eastAsia="仿宋_GB2312"/>
          <w:color w:val="000000"/>
          <w:sz w:val="32"/>
          <w:szCs w:val="32"/>
          <w:lang w:val="en-US" w:eastAsia="zh-CN"/>
        </w:rPr>
        <w:t>，反映事业</w:t>
      </w:r>
      <w:r>
        <w:rPr>
          <w:rFonts w:hint="eastAsia" w:ascii="仿宋_GB2312" w:eastAsia="仿宋_GB2312"/>
          <w:color w:val="000000"/>
          <w:sz w:val="32"/>
          <w:szCs w:val="32"/>
          <w:lang w:eastAsia="zh-CN"/>
        </w:rPr>
        <w:t>人员经费与日常公用经费的支出</w:t>
      </w:r>
      <w:r>
        <w:rPr>
          <w:rFonts w:hint="eastAsia" w:ascii="仿宋_GB2312" w:eastAsia="仿宋_GB2312"/>
          <w:color w:val="000000"/>
          <w:sz w:val="32"/>
          <w:szCs w:val="32"/>
          <w:lang w:val="en-US" w:eastAsia="zh-CN"/>
        </w:rPr>
        <w:t>。</w:t>
      </w:r>
    </w:p>
    <w:p>
      <w:pPr>
        <w:keepNext w:val="0"/>
        <w:keepLines w:val="0"/>
        <w:pageBreakBefore w:val="0"/>
        <w:numPr>
          <w:ilvl w:val="0"/>
          <w:numId w:val="0"/>
        </w:numPr>
        <w:kinsoku/>
        <w:wordWrap/>
        <w:overflowPunct/>
        <w:topLinePunct w:val="0"/>
        <w:bidi w:val="0"/>
        <w:snapToGrid/>
        <w:spacing w:beforeAutospacing="0" w:afterAutospacing="0"/>
        <w:ind w:firstLine="640" w:firstLineChars="200"/>
        <w:textAlignment w:val="auto"/>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社会保障和就业</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2080505</w:t>
      </w:r>
      <w:r>
        <w:rPr>
          <w:rFonts w:hint="eastAsia" w:ascii="仿宋_GB2312" w:eastAsia="仿宋_GB2312"/>
          <w:color w:val="000000"/>
          <w:sz w:val="32"/>
          <w:szCs w:val="32"/>
        </w:rPr>
        <w:t>指</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2080506指机关事业单位职业年金缴费支出。</w:t>
      </w:r>
    </w:p>
    <w:p>
      <w:pPr>
        <w:keepNext w:val="0"/>
        <w:keepLines w:val="0"/>
        <w:pageBreakBefore w:val="0"/>
        <w:numPr>
          <w:ilvl w:val="0"/>
          <w:numId w:val="0"/>
        </w:numPr>
        <w:kinsoku/>
        <w:wordWrap/>
        <w:overflowPunct/>
        <w:topLinePunct w:val="0"/>
        <w:bidi w:val="0"/>
        <w:snapToGrid/>
        <w:spacing w:beforeAutospacing="0" w:afterAutospacing="0"/>
        <w:ind w:firstLine="640" w:firstLineChars="200"/>
        <w:textAlignment w:val="auto"/>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val="en-US" w:eastAsia="zh-CN"/>
        </w:rPr>
        <w:t>2101101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行政单位医疗支出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2101103指公务员医疗补助。</w:t>
      </w:r>
    </w:p>
    <w:p>
      <w:pPr>
        <w:keepNext w:val="0"/>
        <w:keepLines w:val="0"/>
        <w:pageBreakBefore w:val="0"/>
        <w:kinsoku/>
        <w:wordWrap/>
        <w:overflowPunct/>
        <w:topLinePunct w:val="0"/>
        <w:bidi w:val="0"/>
        <w:snapToGrid/>
        <w:spacing w:beforeAutospacing="0" w:afterAutospacing="0"/>
        <w:ind w:firstLine="640" w:firstLineChars="200"/>
        <w:textAlignment w:val="auto"/>
        <w:rPr>
          <w:rFonts w:ascii="仿宋" w:hAnsi="仿宋" w:eastAsia="仿宋"/>
          <w:b/>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住房保障</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2210201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w:t>
      </w:r>
    </w:p>
    <w:p>
      <w:pPr>
        <w:keepNext w:val="0"/>
        <w:keepLines w:val="0"/>
        <w:pageBreakBefore w:val="0"/>
        <w:kinsoku/>
        <w:wordWrap/>
        <w:overflowPunct/>
        <w:topLinePunct w:val="0"/>
        <w:bidi w:val="0"/>
        <w:snapToGrid/>
        <w:spacing w:beforeAutospacing="0" w:afterAutospacing="0"/>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基本支出：指为保障机构正常运转、完成日常工作任务而发生的人员支出和公用支出。</w:t>
      </w:r>
    </w:p>
    <w:p>
      <w:pPr>
        <w:keepNext w:val="0"/>
        <w:keepLines w:val="0"/>
        <w:pageBreakBefore w:val="0"/>
        <w:kinsoku/>
        <w:wordWrap/>
        <w:overflowPunct/>
        <w:topLinePunct w:val="0"/>
        <w:bidi w:val="0"/>
        <w:snapToGrid/>
        <w:spacing w:beforeAutospacing="0" w:afterAutospacing="0"/>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17"/>
        <w:keepNext w:val="0"/>
        <w:keepLines w:val="0"/>
        <w:pageBreakBefore w:val="0"/>
        <w:kinsoku/>
        <w:wordWrap/>
        <w:overflowPunct/>
        <w:topLinePunct w:val="0"/>
        <w:bidi w:val="0"/>
        <w:snapToGrid/>
        <w:spacing w:beforeAutospacing="0" w:afterAutospacing="0"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11.</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1"/>
        <w:keepNext w:val="0"/>
        <w:keepLines w:val="0"/>
        <w:pageBreakBefore w:val="0"/>
        <w:widowControl/>
        <w:numPr>
          <w:ilvl w:val="0"/>
          <w:numId w:val="0"/>
        </w:numPr>
        <w:suppressLineNumbers w:val="0"/>
        <w:shd w:val="clear" w:color="auto" w:fill="auto"/>
        <w:kinsoku/>
        <w:wordWrap/>
        <w:overflowPunct/>
        <w:topLinePunct w:val="0"/>
        <w:bidi w:val="0"/>
        <w:snapToGrid/>
        <w:spacing w:before="0" w:beforeAutospacing="0" w:after="0" w:afterAutospacing="0"/>
        <w:ind w:right="75" w:rightChars="0" w:firstLine="640" w:firstLineChars="200"/>
        <w:jc w:val="both"/>
        <w:textAlignment w:val="auto"/>
        <w:rPr>
          <w:rFonts w:hint="eastAsia" w:ascii="黑体" w:hAnsi="黑体" w:eastAsia="黑体" w:cs="黑体"/>
          <w:sz w:val="44"/>
          <w:szCs w:val="44"/>
          <w:shd w:val="clear" w:color="auto" w:fill="FFFFFF"/>
        </w:rPr>
      </w:pPr>
      <w:r>
        <w:rPr>
          <w:rFonts w:hint="eastAsia" w:ascii="仿宋_GB2312" w:eastAsia="仿宋_GB2312"/>
          <w:sz w:val="32"/>
          <w:szCs w:val="32"/>
          <w:lang w:val="en-US" w:eastAsia="zh-CN"/>
        </w:rPr>
        <w:t>12.</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宋体"/>
          <w:b/>
          <w:color w:val="000000"/>
          <w:sz w:val="44"/>
          <w:szCs w:val="44"/>
        </w:rPr>
        <w:br w:type="page"/>
      </w:r>
    </w:p>
    <w:p>
      <w:pPr>
        <w:pStyle w:val="11"/>
        <w:keepNext w:val="0"/>
        <w:keepLines w:val="0"/>
        <w:widowControl/>
        <w:suppressLineNumbers w:val="0"/>
        <w:ind w:left="0" w:right="75"/>
        <w:jc w:val="center"/>
        <w:outlineLvl w:val="0"/>
        <w:rPr>
          <w:rFonts w:hint="eastAsia" w:ascii="黑体" w:hAnsi="黑体" w:eastAsia="黑体" w:cs="黑体"/>
          <w:sz w:val="44"/>
          <w:szCs w:val="44"/>
        </w:rPr>
      </w:pPr>
      <w:bookmarkStart w:id="18" w:name="_Toc15389"/>
      <w:r>
        <w:rPr>
          <w:rFonts w:hint="eastAsia" w:ascii="黑体" w:hAnsi="黑体" w:eastAsia="黑体" w:cs="黑体"/>
          <w:sz w:val="44"/>
          <w:szCs w:val="44"/>
          <w:shd w:val="clear" w:color="auto" w:fill="FFFFFF"/>
        </w:rPr>
        <w:t>第四部分 附件</w:t>
      </w:r>
      <w:bookmarkEnd w:id="18"/>
    </w:p>
    <w:p>
      <w:pPr>
        <w:pStyle w:val="11"/>
        <w:keepNext w:val="0"/>
        <w:keepLines w:val="0"/>
        <w:widowControl/>
        <w:suppressLineNumbers w:val="0"/>
        <w:ind w:left="0" w:right="75"/>
        <w:outlineLvl w:val="1"/>
        <w:rPr>
          <w:rFonts w:hint="default"/>
          <w:lang w:val="en-US" w:eastAsia="zh-CN"/>
        </w:rPr>
      </w:pPr>
      <w:bookmarkStart w:id="19" w:name="_Toc27357"/>
      <w:r>
        <w:rPr>
          <w:rFonts w:hint="eastAsia" w:ascii="仿宋_GB2312" w:hAnsi="仿宋_GB2312" w:eastAsia="仿宋_GB2312" w:cs="仿宋_GB2312"/>
          <w:sz w:val="32"/>
          <w:szCs w:val="32"/>
          <w:shd w:val="clear" w:color="auto" w:fill="FFFFFF"/>
        </w:rPr>
        <w:t>附件</w:t>
      </w:r>
      <w:r>
        <w:rPr>
          <w:rFonts w:hint="eastAsia" w:ascii="仿宋_GB2312" w:hAnsi="仿宋_GB2312" w:eastAsia="仿宋_GB2312" w:cs="仿宋_GB2312"/>
          <w:sz w:val="32"/>
          <w:szCs w:val="32"/>
          <w:shd w:val="clear" w:color="auto" w:fill="FFFFFF"/>
          <w:lang w:val="en-US" w:eastAsia="zh-CN"/>
        </w:rPr>
        <w:t>1</w:t>
      </w:r>
      <w:r>
        <w:rPr>
          <w:rFonts w:hint="eastAsia" w:ascii="仿宋_GB2312" w:hAnsi="仿宋_GB2312" w:eastAsia="仿宋_GB2312" w:cs="仿宋_GB2312"/>
          <w:sz w:val="32"/>
          <w:szCs w:val="32"/>
          <w:shd w:val="clear" w:color="auto" w:fill="FFFFFF"/>
          <w:lang w:eastAsia="zh-CN"/>
        </w:rPr>
        <w:t>：</w:t>
      </w:r>
      <w:bookmarkEnd w:id="19"/>
      <w:r>
        <w:rPr>
          <w:rFonts w:hint="eastAsia" w:ascii="仿宋_GB2312" w:hAnsi="仿宋_GB2312" w:eastAsia="仿宋_GB2312" w:cs="仿宋_GB2312"/>
          <w:sz w:val="32"/>
          <w:szCs w:val="32"/>
          <w:shd w:val="clear" w:color="auto" w:fill="FFFFFF"/>
          <w:lang w:eastAsia="zh-CN"/>
        </w:rPr>
        <w:t>县委编办</w:t>
      </w:r>
      <w:r>
        <w:rPr>
          <w:rFonts w:hint="eastAsia" w:ascii="仿宋_GB2312" w:hAnsi="仿宋_GB2312" w:eastAsia="仿宋_GB2312" w:cs="仿宋_GB2312"/>
          <w:sz w:val="32"/>
          <w:szCs w:val="32"/>
          <w:lang w:val="en-US" w:eastAsia="zh-CN"/>
        </w:rPr>
        <w:t>2023年度部门整体支出绩效报告</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jc w:val="center"/>
        <w:textAlignment w:val="auto"/>
        <w:outlineLvl w:val="9"/>
        <w:rPr>
          <w:rFonts w:hint="eastAsia" w:ascii="方正小标宋简体" w:hAnsi="方正小标宋简体" w:eastAsia="方正小标宋简体" w:cs="方正小标宋简体"/>
          <w:b w:val="0"/>
          <w:bCs w:val="0"/>
          <w:color w:val="000000"/>
          <w:sz w:val="32"/>
          <w:szCs w:val="32"/>
          <w:lang w:val="en-US" w:eastAsia="zh-CN"/>
        </w:rPr>
      </w:pPr>
      <w:r>
        <w:rPr>
          <w:rFonts w:hint="eastAsia" w:ascii="方正小标宋简体" w:hAnsi="方正小标宋简体" w:eastAsia="方正小标宋简体" w:cs="方正小标宋简体"/>
          <w:b w:val="0"/>
          <w:bCs w:val="0"/>
          <w:color w:val="000000"/>
          <w:sz w:val="32"/>
          <w:szCs w:val="32"/>
          <w:lang w:val="en-US" w:eastAsia="zh-CN"/>
        </w:rPr>
        <w:t>中共红原县委机构编制委员会办公室2023年部门整体支出绩效报告</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jc w:val="center"/>
        <w:textAlignment w:val="auto"/>
        <w:outlineLvl w:val="9"/>
        <w:rPr>
          <w:rFonts w:hint="eastAsia" w:ascii="仿宋_GB2312" w:hAnsi="仿宋_GB2312" w:eastAsia="仿宋_GB2312" w:cs="仿宋_GB2312"/>
          <w:b w:val="0"/>
          <w:bCs w:val="0"/>
          <w:color w:val="00000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en-US" w:eastAsia="zh-CN"/>
        </w:rPr>
        <w:t>一、</w:t>
      </w:r>
      <w:r>
        <w:rPr>
          <w:rFonts w:hint="eastAsia" w:ascii="仿宋_GB2312" w:hAnsi="仿宋_GB2312" w:eastAsia="仿宋_GB2312" w:cs="仿宋_GB2312"/>
          <w:b/>
          <w:bCs/>
          <w:color w:val="000000"/>
          <w:sz w:val="32"/>
          <w:szCs w:val="32"/>
          <w:lang w:val="zh-CN" w:eastAsia="zh-CN"/>
        </w:rPr>
        <w:t>部门（单位）概况</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（一）机构组成。</w:t>
      </w:r>
    </w:p>
    <w:p>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000000"/>
          <w:sz w:val="32"/>
          <w:szCs w:val="32"/>
          <w:lang w:val="en-US" w:eastAsia="zh-CN"/>
        </w:rPr>
        <w:t>县委编办为独立核算全额拨款行政单位，</w:t>
      </w:r>
      <w:r>
        <w:rPr>
          <w:rFonts w:hint="eastAsia" w:ascii="仿宋_GB2312" w:hAnsi="仿宋_GB2312" w:eastAsia="仿宋_GB2312" w:cs="仿宋_GB2312"/>
          <w:sz w:val="32"/>
          <w:szCs w:val="32"/>
        </w:rPr>
        <w:t>内设</w:t>
      </w:r>
      <w:r>
        <w:rPr>
          <w:rFonts w:hint="eastAsia" w:ascii="仿宋_GB2312" w:hAnsi="仿宋_GB2312" w:eastAsia="仿宋_GB2312" w:cs="仿宋_GB2312"/>
          <w:sz w:val="32"/>
          <w:szCs w:val="32"/>
          <w:lang w:eastAsia="zh-CN"/>
        </w:rPr>
        <w:t>综合股、机构编制股、机构编制督查股，下设红原县事业单位登记管理局（参公）、红原县机构编制实名制中心（事业）</w:t>
      </w:r>
      <w:r>
        <w:rPr>
          <w:rFonts w:hint="eastAsia" w:ascii="仿宋_GB2312" w:hAnsi="仿宋_GB2312" w:eastAsia="仿宋_GB2312" w:cs="仿宋_GB2312"/>
          <w:sz w:val="32"/>
          <w:szCs w:val="32"/>
        </w:rPr>
        <w:t>。</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（二）主要职能。</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1、</w:t>
      </w:r>
      <w:r>
        <w:rPr>
          <w:rFonts w:hint="eastAsia" w:ascii="仿宋" w:hAnsi="仿宋" w:eastAsia="仿宋" w:cs="仿宋"/>
          <w:snapToGrid w:val="0"/>
          <w:color w:val="000000"/>
          <w:kern w:val="56"/>
          <w:sz w:val="32"/>
          <w:szCs w:val="32"/>
          <w:shd w:val="clear" w:color="auto" w:fill="FFFFFF"/>
        </w:rPr>
        <w:t>贯彻执行中央、省、州关于行政管理体制改革和机构改革、事业单位改革及机构编制管理的方针政策、法律法规，研究拟定本县的政策规定、管理办法和实施细则。</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2、</w:t>
      </w:r>
      <w:r>
        <w:rPr>
          <w:rFonts w:hint="eastAsia" w:ascii="仿宋" w:hAnsi="仿宋" w:eastAsia="仿宋" w:cs="仿宋"/>
          <w:snapToGrid w:val="0"/>
          <w:color w:val="000000"/>
          <w:kern w:val="56"/>
          <w:sz w:val="32"/>
          <w:szCs w:val="32"/>
          <w:shd w:val="clear" w:color="auto" w:fill="FFFFFF"/>
        </w:rPr>
        <w:t>研究拟定全县行政管理体制改革和机构改革方案，审核县直各部门“三定”规定和县直各部门、乡镇机构改革方案，指导县直各部门、乡镇行政管理体制改革和机构改革，评估改革方案。参与行政审批制度改革和行政区划调整的有关工作。</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3、</w:t>
      </w:r>
      <w:r>
        <w:rPr>
          <w:rFonts w:hint="eastAsia" w:ascii="仿宋" w:hAnsi="仿宋" w:eastAsia="仿宋" w:cs="仿宋"/>
          <w:snapToGrid w:val="0"/>
          <w:color w:val="000000"/>
          <w:kern w:val="56"/>
          <w:sz w:val="32"/>
          <w:szCs w:val="32"/>
          <w:shd w:val="clear" w:color="auto" w:fill="FFFFFF"/>
        </w:rPr>
        <w:t>拟定全县各级行政编制、政法专项编制总额分配方案，审核跨层级调整行政编制事项。负责全县行政事业编制总量控制、结构调整和机关事业单位机构编制实名制管理工作。对县直机关和县属事业单位使用空缺编制补充人员以及进入县级财政供养范围的人员（工勤人员除外）进行核批。</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4、</w:t>
      </w:r>
      <w:r>
        <w:rPr>
          <w:rFonts w:hint="eastAsia" w:ascii="仿宋" w:hAnsi="仿宋" w:eastAsia="仿宋" w:cs="仿宋"/>
          <w:snapToGrid w:val="0"/>
          <w:color w:val="000000"/>
          <w:kern w:val="56"/>
          <w:sz w:val="32"/>
          <w:szCs w:val="32"/>
          <w:shd w:val="clear" w:color="auto" w:fill="FFFFFF"/>
        </w:rPr>
        <w:t>负责县委、县政府各部门，县人大、县政协机关，县法院、县检察院机关及县人民团体机关的机构编制管理工作。协调县直各部门之间的职能划分。</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rPr>
      </w:pPr>
      <w:r>
        <w:rPr>
          <w:rFonts w:hint="eastAsia" w:ascii="仿宋" w:hAnsi="仿宋" w:eastAsia="仿宋" w:cs="仿宋"/>
          <w:snapToGrid w:val="0"/>
          <w:color w:val="000000"/>
          <w:kern w:val="56"/>
          <w:sz w:val="32"/>
          <w:szCs w:val="32"/>
          <w:shd w:val="clear" w:color="auto" w:fill="FFFFFF"/>
          <w:lang w:val="en-US" w:eastAsia="zh-CN"/>
        </w:rPr>
        <w:t>5、</w:t>
      </w:r>
      <w:r>
        <w:rPr>
          <w:rFonts w:hint="eastAsia" w:ascii="仿宋" w:hAnsi="仿宋" w:eastAsia="仿宋" w:cs="仿宋"/>
          <w:snapToGrid w:val="0"/>
          <w:color w:val="000000"/>
          <w:kern w:val="56"/>
          <w:sz w:val="32"/>
          <w:szCs w:val="32"/>
          <w:shd w:val="clear" w:color="auto" w:fill="FFFFFF"/>
        </w:rPr>
        <w:t>审核股级规格管理机构的设置、调整，按程序向州委编委请示县内副科级或按照副科级及以上规格管理机构的设置、调整。</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napToGrid w:val="0"/>
          <w:color w:val="000000"/>
          <w:kern w:val="56"/>
          <w:sz w:val="32"/>
          <w:szCs w:val="32"/>
          <w:shd w:val="clear" w:color="auto" w:fill="FFFFFF"/>
          <w:lang w:eastAsia="zh-CN"/>
        </w:rPr>
      </w:pPr>
      <w:r>
        <w:rPr>
          <w:rFonts w:hint="eastAsia" w:ascii="仿宋" w:hAnsi="仿宋" w:eastAsia="仿宋" w:cs="仿宋"/>
          <w:snapToGrid w:val="0"/>
          <w:color w:val="000000"/>
          <w:kern w:val="56"/>
          <w:sz w:val="32"/>
          <w:szCs w:val="32"/>
          <w:shd w:val="clear" w:color="auto" w:fill="FFFFFF"/>
          <w:lang w:val="en-US" w:eastAsia="zh-CN"/>
        </w:rPr>
        <w:t>6、</w:t>
      </w:r>
      <w:r>
        <w:rPr>
          <w:rFonts w:hint="eastAsia" w:ascii="仿宋" w:hAnsi="仿宋" w:eastAsia="仿宋" w:cs="仿宋"/>
          <w:snapToGrid w:val="0"/>
          <w:color w:val="000000"/>
          <w:kern w:val="56"/>
          <w:sz w:val="32"/>
          <w:szCs w:val="32"/>
          <w:shd w:val="clear" w:color="auto" w:fill="FFFFFF"/>
        </w:rPr>
        <w:t>研究拟定全县事业单位改革方案及其实施意见，负责县属事业单位机构编制管理，审核县属事业单位的机构编制方案，负责拟参照公务员法管理事业单位的职责审核工作，指导并协调县、乡镇事业单位改革和机构编制管理工作。</w:t>
      </w:r>
      <w:r>
        <w:rPr>
          <w:rFonts w:hint="eastAsia" w:ascii="仿宋" w:hAnsi="仿宋" w:eastAsia="仿宋" w:cs="仿宋"/>
          <w:snapToGrid w:val="0"/>
          <w:color w:val="000000"/>
          <w:kern w:val="56"/>
          <w:sz w:val="32"/>
          <w:szCs w:val="32"/>
          <w:shd w:val="clear" w:color="auto" w:fill="FFFFFF"/>
        </w:rPr>
        <w:br w:type="textWrapping"/>
      </w:r>
      <w:r>
        <w:rPr>
          <w:rFonts w:hint="eastAsia" w:ascii="仿宋" w:hAnsi="仿宋" w:eastAsia="仿宋" w:cs="仿宋"/>
          <w:snapToGrid w:val="0"/>
          <w:color w:val="000000"/>
          <w:kern w:val="56"/>
          <w:sz w:val="32"/>
          <w:szCs w:val="32"/>
          <w:shd w:val="clear" w:color="auto" w:fill="FFFFFF"/>
        </w:rPr>
        <w:t xml:space="preserve">   </w:t>
      </w:r>
      <w:r>
        <w:rPr>
          <w:rFonts w:hint="eastAsia" w:ascii="仿宋" w:hAnsi="仿宋" w:eastAsia="仿宋" w:cs="仿宋"/>
          <w:snapToGrid w:val="0"/>
          <w:color w:val="000000"/>
          <w:kern w:val="56"/>
          <w:sz w:val="32"/>
          <w:szCs w:val="32"/>
          <w:shd w:val="clear" w:color="auto" w:fill="FFFFFF"/>
          <w:lang w:val="en-US" w:eastAsia="zh-CN"/>
        </w:rPr>
        <w:t>7、</w:t>
      </w:r>
      <w:r>
        <w:rPr>
          <w:rFonts w:hint="eastAsia" w:ascii="仿宋" w:hAnsi="仿宋" w:eastAsia="仿宋" w:cs="仿宋"/>
          <w:snapToGrid w:val="0"/>
          <w:color w:val="000000"/>
          <w:kern w:val="56"/>
          <w:sz w:val="32"/>
          <w:szCs w:val="32"/>
          <w:shd w:val="clear" w:color="auto" w:fill="FFFFFF"/>
        </w:rPr>
        <w:t>监督检查全县行政管理体制改革和机构改革方案及机构编制规定执行情况，建立机构编制工作考核评估制度，会同有关部门查处机构编制违法违纪行为。</w:t>
      </w:r>
      <w:r>
        <w:rPr>
          <w:rFonts w:hint="eastAsia" w:ascii="仿宋" w:hAnsi="仿宋" w:eastAsia="仿宋" w:cs="仿宋"/>
          <w:snapToGrid w:val="0"/>
          <w:color w:val="000000"/>
          <w:kern w:val="56"/>
          <w:sz w:val="32"/>
          <w:szCs w:val="32"/>
          <w:shd w:val="clear" w:color="auto" w:fill="FFFFFF"/>
        </w:rPr>
        <w:br w:type="textWrapping"/>
      </w:r>
      <w:r>
        <w:rPr>
          <w:rFonts w:hint="eastAsia" w:ascii="仿宋" w:hAnsi="仿宋" w:eastAsia="仿宋" w:cs="仿宋"/>
          <w:snapToGrid w:val="0"/>
          <w:color w:val="000000"/>
          <w:kern w:val="56"/>
          <w:sz w:val="32"/>
          <w:szCs w:val="32"/>
          <w:shd w:val="clear" w:color="auto" w:fill="FFFFFF"/>
        </w:rPr>
        <w:t xml:space="preserve"> </w:t>
      </w:r>
      <w:r>
        <w:rPr>
          <w:rFonts w:hint="eastAsia" w:ascii="仿宋" w:hAnsi="仿宋" w:eastAsia="仿宋" w:cs="仿宋"/>
          <w:snapToGrid w:val="0"/>
          <w:color w:val="000000"/>
          <w:kern w:val="56"/>
          <w:sz w:val="32"/>
          <w:szCs w:val="32"/>
          <w:shd w:val="clear" w:color="auto" w:fill="FFFFFF"/>
          <w:lang w:val="en-US" w:eastAsia="zh-CN"/>
        </w:rPr>
        <w:t xml:space="preserve">  8、</w:t>
      </w:r>
      <w:r>
        <w:rPr>
          <w:rFonts w:hint="eastAsia" w:ascii="仿宋" w:hAnsi="仿宋" w:eastAsia="仿宋" w:cs="仿宋"/>
          <w:snapToGrid w:val="0"/>
          <w:color w:val="000000"/>
          <w:kern w:val="56"/>
          <w:sz w:val="32"/>
          <w:szCs w:val="32"/>
          <w:shd w:val="clear" w:color="auto" w:fill="FFFFFF"/>
        </w:rPr>
        <w:t>负责全县事业单位登记管理工作，组织实施县属事业单位登记和年检工作</w:t>
      </w:r>
      <w:r>
        <w:rPr>
          <w:rFonts w:hint="eastAsia" w:ascii="仿宋" w:hAnsi="仿宋" w:eastAsia="仿宋" w:cs="仿宋"/>
          <w:snapToGrid w:val="0"/>
          <w:color w:val="000000"/>
          <w:kern w:val="56"/>
          <w:sz w:val="32"/>
          <w:szCs w:val="32"/>
          <w:shd w:val="clear" w:color="auto" w:fill="FFFFFF"/>
          <w:lang w:eastAsia="zh-CN"/>
        </w:rPr>
        <w:t>。</w:t>
      </w:r>
    </w:p>
    <w:p>
      <w:pPr>
        <w:keepNext w:val="0"/>
        <w:keepLines w:val="0"/>
        <w:pageBreakBefore w:val="0"/>
        <w:widowControl w:val="0"/>
        <w:pBdr>
          <w:bottom w:val="single" w:color="FFFFFF" w:sz="4" w:space="29"/>
        </w:pBdr>
        <w:kinsoku/>
        <w:wordWrap/>
        <w:overflowPunct/>
        <w:topLinePunct w:val="0"/>
        <w:autoSpaceDE/>
        <w:autoSpaceDN/>
        <w:bidi w:val="0"/>
        <w:adjustRightInd w:val="0"/>
        <w:snapToGrid w:val="0"/>
        <w:spacing w:line="560" w:lineRule="exact"/>
        <w:ind w:firstLine="320" w:firstLineChars="100"/>
        <w:textAlignment w:val="auto"/>
        <w:rPr>
          <w:rFonts w:hint="eastAsia" w:ascii="仿宋" w:hAnsi="仿宋" w:eastAsia="仿宋" w:cs="仿宋"/>
          <w:snapToGrid w:val="0"/>
          <w:color w:val="000000"/>
          <w:kern w:val="56"/>
          <w:sz w:val="32"/>
          <w:szCs w:val="32"/>
          <w:shd w:val="clear" w:color="auto" w:fill="FFFFFF"/>
          <w:lang w:val="en-US" w:eastAsia="zh-CN"/>
        </w:rPr>
      </w:pPr>
      <w:r>
        <w:rPr>
          <w:rFonts w:hint="eastAsia" w:ascii="仿宋" w:hAnsi="仿宋" w:eastAsia="仿宋" w:cs="仿宋"/>
          <w:snapToGrid w:val="0"/>
          <w:color w:val="000000"/>
          <w:kern w:val="56"/>
          <w:sz w:val="32"/>
          <w:szCs w:val="32"/>
          <w:shd w:val="clear" w:color="auto" w:fill="FFFFFF"/>
          <w:lang w:val="en-US" w:eastAsia="zh-CN"/>
        </w:rPr>
        <w:t>9、</w:t>
      </w:r>
      <w:r>
        <w:rPr>
          <w:rFonts w:hint="eastAsia" w:ascii="仿宋" w:hAnsi="仿宋" w:eastAsia="仿宋" w:cs="仿宋"/>
          <w:snapToGrid w:val="0"/>
          <w:color w:val="000000"/>
          <w:kern w:val="56"/>
          <w:sz w:val="32"/>
          <w:szCs w:val="32"/>
          <w:shd w:val="clear" w:color="auto" w:fill="FFFFFF"/>
        </w:rPr>
        <w:t>承办县委、县政府和县委编委交办的其他工作。</w:t>
      </w:r>
      <w:r>
        <w:rPr>
          <w:rFonts w:hint="eastAsia" w:ascii="仿宋" w:hAnsi="仿宋" w:eastAsia="仿宋" w:cs="仿宋"/>
          <w:snapToGrid w:val="0"/>
          <w:color w:val="000000"/>
          <w:kern w:val="56"/>
          <w:sz w:val="32"/>
          <w:szCs w:val="32"/>
          <w:shd w:val="clear" w:color="auto" w:fill="FFFFFF"/>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（三）人员概况。</w:t>
      </w:r>
    </w:p>
    <w:p>
      <w:pPr>
        <w:pStyle w:val="19"/>
        <w:keepNext w:val="0"/>
        <w:keepLines w:val="0"/>
        <w:widowControl/>
        <w:suppressLineNumbers w:val="0"/>
        <w:autoSpaceDE w:val="0"/>
        <w:autoSpaceDN/>
        <w:spacing w:before="0" w:beforeAutospacing="0" w:line="576" w:lineRule="exact"/>
        <w:ind w:left="0" w:firstLine="640" w:firstLineChars="200"/>
        <w:jc w:val="left"/>
        <w:rPr>
          <w:rFonts w:hint="eastAsia" w:ascii="仿宋_GB2312" w:eastAsia="仿宋_GB2312" w:cs="仿宋_GB2312"/>
          <w:kern w:val="0"/>
          <w:sz w:val="32"/>
          <w:szCs w:val="32"/>
        </w:rPr>
      </w:pPr>
      <w:r>
        <w:rPr>
          <w:rFonts w:hint="eastAsia" w:ascii="仿宋_GB2312" w:hAnsi="仿宋_GB2312" w:eastAsia="仿宋_GB2312" w:cs="仿宋_GB2312"/>
          <w:bCs/>
          <w:sz w:val="32"/>
          <w:szCs w:val="32"/>
        </w:rPr>
        <w:t>截止</w:t>
      </w:r>
      <w:r>
        <w:rPr>
          <w:rFonts w:hint="eastAsia" w:ascii="仿宋_GB2312" w:hAnsi="仿宋_GB2312" w:eastAsia="仿宋_GB2312" w:cs="仿宋_GB2312"/>
          <w:bCs/>
          <w:sz w:val="32"/>
          <w:szCs w:val="32"/>
          <w:lang w:val="en-US" w:eastAsia="zh-CN"/>
        </w:rPr>
        <w:t>2023</w:t>
      </w:r>
      <w:r>
        <w:rPr>
          <w:rFonts w:hint="eastAsia" w:ascii="仿宋_GB2312" w:hAnsi="仿宋_GB2312" w:eastAsia="仿宋_GB2312" w:cs="仿宋_GB2312"/>
          <w:bCs/>
          <w:sz w:val="32"/>
          <w:szCs w:val="32"/>
          <w:lang w:eastAsia="zh-CN"/>
        </w:rPr>
        <w:t>年底</w:t>
      </w:r>
      <w:r>
        <w:rPr>
          <w:rFonts w:hint="eastAsia" w:ascii="仿宋_GB2312" w:hAnsi="仿宋_GB2312" w:eastAsia="仿宋_GB2312" w:cs="仿宋_GB2312"/>
          <w:sz w:val="32"/>
          <w:szCs w:val="32"/>
        </w:rPr>
        <w:t>在职</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人，其中公务员</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人，行政工勤</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，参公</w:t>
      </w:r>
      <w:r>
        <w:rPr>
          <w:rFonts w:hint="eastAsia" w:ascii="仿宋_GB2312" w:hAnsi="仿宋_GB2312" w:eastAsia="仿宋_GB2312" w:cs="仿宋_GB2312"/>
          <w:sz w:val="32"/>
          <w:szCs w:val="32"/>
          <w:lang w:val="en-US" w:eastAsia="zh-CN"/>
        </w:rPr>
        <w:t>7人，事业4人。</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二、部门财政资金收支情况</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（一）部门财政资金收入情况。</w:t>
      </w:r>
    </w:p>
    <w:p>
      <w:pPr>
        <w:pStyle w:val="19"/>
        <w:keepNext w:val="0"/>
        <w:keepLines w:val="0"/>
        <w:widowControl/>
        <w:suppressLineNumbers w:val="0"/>
        <w:autoSpaceDE w:val="0"/>
        <w:autoSpaceDN/>
        <w:spacing w:before="0" w:beforeAutospacing="0" w:line="576" w:lineRule="exact"/>
        <w:ind w:left="0" w:firstLine="640" w:firstLineChars="200"/>
        <w:jc w:val="left"/>
        <w:rPr>
          <w:rFonts w:hint="eastAsia" w:ascii="仿宋" w:hAnsi="仿宋" w:eastAsia="仿宋"/>
          <w:color w:val="000000"/>
          <w:sz w:val="32"/>
          <w:szCs w:val="32"/>
        </w:rPr>
      </w:pPr>
      <w:r>
        <w:rPr>
          <w:rFonts w:hint="eastAsia" w:ascii="仿宋_GB2312" w:hAnsi="仿宋_GB2312" w:eastAsia="仿宋_GB2312" w:cs="仿宋_GB2312"/>
          <w:b w:val="0"/>
          <w:bCs w:val="0"/>
          <w:color w:val="000000"/>
          <w:sz w:val="32"/>
          <w:szCs w:val="32"/>
          <w:lang w:val="en-US" w:eastAsia="zh-CN"/>
        </w:rPr>
        <w:t>2023年度财政拨款收入总计379.83万元（其中：一般公共服务支出286.93万元，主要为人员工资、体检费、工伤失业保险、会议费、差旅费、印刷费、培训费、公务用车运行维护费等；社会保障和就业支出49.24万元，主要为各项保险；医疗卫生与计划生育支出19.67万元，全部为医疗保险、公务员医疗补助；住房保障支出24万元，全部为住房公积金）。与2022年相比，收入增加了43.67万元，上升了12.99%，</w:t>
      </w:r>
      <w:r>
        <w:rPr>
          <w:rStyle w:val="14"/>
          <w:rFonts w:hint="eastAsia" w:ascii="仿宋_GB2312" w:hAnsi="仿宋_GB2312" w:eastAsia="仿宋_GB2312" w:cs="仿宋_GB2312"/>
          <w:sz w:val="32"/>
          <w:szCs w:val="32"/>
        </w:rPr>
        <w:t>主要原因为</w:t>
      </w:r>
      <w:r>
        <w:rPr>
          <w:rStyle w:val="14"/>
          <w:rFonts w:hint="eastAsia" w:ascii="仿宋_GB2312" w:hAnsi="宋体" w:eastAsia="仿宋_GB2312" w:cs="宋体"/>
          <w:sz w:val="32"/>
          <w:szCs w:val="32"/>
          <w:lang w:eastAsia="zh-CN"/>
        </w:rPr>
        <w:t>人员变动、厉行节约、经费调整</w:t>
      </w:r>
      <w:r>
        <w:rPr>
          <w:rFonts w:hint="eastAsia" w:ascii="仿宋_GB2312" w:hAnsi="仿宋_GB2312" w:eastAsia="仿宋_GB2312" w:cs="仿宋_GB2312"/>
          <w:sz w:val="32"/>
          <w:szCs w:val="32"/>
        </w:rPr>
        <w:t>。</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zh-CN" w:eastAsia="zh-CN"/>
        </w:rPr>
        <w:t>（二）部门财政资金支出情况。</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2023年度财政拨款支出379.83万元，其中：一般公共服务支出286.93万元，主要为人员工资、体检费、工伤失业保险、会议费、差旅费、印刷费、培训费、公务用车运行维护费等；社会保障和就业支出49.24万元，主要为各项保险；医疗卫生与计划生育支出19.67万元，全部为医疗保险、公务员医疗补助；住房保障支出24万元，全部为住房公积金。与2022年相比，收入增加了43.67万元，上升了12.99%，</w:t>
      </w:r>
      <w:r>
        <w:rPr>
          <w:rStyle w:val="14"/>
          <w:rFonts w:hint="eastAsia" w:ascii="仿宋_GB2312" w:hAnsi="仿宋_GB2312" w:eastAsia="仿宋_GB2312" w:cs="仿宋_GB2312"/>
          <w:sz w:val="32"/>
          <w:szCs w:val="32"/>
        </w:rPr>
        <w:t>主要原因为</w:t>
      </w:r>
      <w:r>
        <w:rPr>
          <w:rStyle w:val="14"/>
          <w:rFonts w:hint="eastAsia" w:ascii="仿宋_GB2312" w:hAnsi="宋体" w:eastAsia="仿宋_GB2312" w:cs="宋体"/>
          <w:sz w:val="32"/>
          <w:szCs w:val="32"/>
          <w:lang w:eastAsia="zh-CN"/>
        </w:rPr>
        <w:t>人员变动、厉行节约、经费调整</w:t>
      </w:r>
      <w:r>
        <w:rPr>
          <w:rFonts w:hint="eastAsia" w:ascii="仿宋_GB2312" w:hAnsi="仿宋_GB2312" w:eastAsia="仿宋_GB2312" w:cs="仿宋_GB2312"/>
          <w:sz w:val="32"/>
          <w:szCs w:val="32"/>
        </w:rPr>
        <w:t>。</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三、部门财政支出管理情况</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（一）预算编制情况。</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中共红原县委机构编制委员会办公室预算编制严格按照《预算法》相关规定，结合全县预算编制口径，结合我单位实际情况，主要用于保障该机构正常运转、完成日常工作任务以及县委编办事务发展相关工作而编制。</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基本支出，是用于保障县委编办正常运转的日常支出，包括基本工资、津贴补贴等人员经费以及办公费、印刷费、水电费及专项办公经费等日常公用经费。</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2023年绩效目标执行率96%以上完成度较好，2023年我单位及时公开部门预算，决算绩效报告等，对预算编制进一步细化。</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（二）执行管理情况。</w:t>
      </w:r>
      <w:r>
        <w:rPr>
          <w:rFonts w:hint="eastAsia" w:ascii="仿宋_GB2312" w:hAnsi="仿宋_GB2312" w:eastAsia="仿宋_GB2312" w:cs="仿宋_GB2312"/>
          <w:b/>
          <w:bCs/>
          <w:color w:val="000000"/>
          <w:sz w:val="32"/>
          <w:szCs w:val="32"/>
          <w:lang w:val="zh-CN" w:eastAsia="zh-CN"/>
        </w:rPr>
        <w:tab/>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1.因公出国(境)经费</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2023年因公出国(境)费0.00元，因公出国(境) 0人，与上年持平。</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2.公务接待费</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2023年公务接待费0.00万元。公务接待费支出决算比2021年持平。</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3.公务用车购置及运行维护费</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2023年公务用车购置及运行维护费2.62万元。其中：</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公务用车运行维护费支出2.57万元。主要用于县委编办因公出差、下乡调研等所需的公务用车燃料费、维修费、过路过桥费、保险费等支出。</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公务用车购置及运行维护费支出2.57万元,完成预算98.09%。公务用车购置及运行维护费支出决算比2022年持平。</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bCs/>
          <w:color w:val="000000"/>
          <w:sz w:val="32"/>
          <w:szCs w:val="32"/>
          <w:lang w:val="zh-CN" w:eastAsia="zh-CN"/>
        </w:rPr>
        <w:t>（三）综合管理情况</w:t>
      </w:r>
      <w:r>
        <w:rPr>
          <w:rFonts w:hint="eastAsia" w:ascii="仿宋_GB2312" w:hAnsi="仿宋_GB2312" w:eastAsia="仿宋_GB2312" w:cs="仿宋_GB2312"/>
          <w:b w:val="0"/>
          <w:bCs w:val="0"/>
          <w:color w:val="000000"/>
          <w:sz w:val="32"/>
          <w:szCs w:val="32"/>
          <w:lang w:val="zh-CN" w:eastAsia="zh-CN"/>
        </w:rPr>
        <w:t>。</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en-US" w:eastAsia="zh-CN"/>
        </w:rPr>
        <w:t>根据《会计法》《预算法》、《行政单位会计制》等法律和财政部及其省财政厅有关财务规章的规定，明确了单位经费审批权限及程序，经费预算、核算管理、资产购置与处置、财务监督等相关规定。按规定对本单位财务信息依法进行公开。</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1.资产管理</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 xml:space="preserve">由于现在的日常工作已逐步普及办公自动化，加快了办公设备淘汰更新，这就需要对固定资产进行年年清查盘点，使固定资产清查工作经常化、常态化，更好的从源头上对单位固定资产进行监控和管理。 </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2.单位内控管理</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在财务管理过程中逐步建立健全财务管理制度、财务核算制度、财务报销制度等，严格按照《行政单位会计制度》和《行政单位财务规则》的规定设置会计科目，建立了科学有效的会计核算方式，各项经济活动均真实、合法、准确、及时的反应在会计账目上，建立健全内部控制制度，积极配合财政部门开展预算、决算考评工作。</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3.部门预算管理</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 xml:space="preserve">严格按照综合预算原则。统一编制、统一管理、统筹安排资金，将单位所有安排的各项支出纳入综合预算，确保预算全面、真实反映单位实际的收支情况，使所有收支活动纳入预算管理与监督的范围。    </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4.</w:t>
      </w:r>
      <w:r>
        <w:rPr>
          <w:rFonts w:hint="eastAsia" w:ascii="仿宋_GB2312" w:hAnsi="仿宋_GB2312" w:eastAsia="仿宋_GB2312" w:cs="仿宋_GB2312"/>
          <w:b/>
          <w:bCs/>
          <w:color w:val="000000"/>
          <w:sz w:val="32"/>
          <w:szCs w:val="32"/>
          <w:lang w:val="zh-CN" w:eastAsia="zh-CN"/>
        </w:rPr>
        <w:t>绩效管理</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en-US" w:eastAsia="zh-CN"/>
        </w:rPr>
        <w:t>我单位领导高度重视绩效评价工作，成立了绩效评价工作领导小组，采取座谈等方式听取相关情况，检查基本支出、专项办公费、会议费等支出有关账目，收集整理相关资料，并对资料进行分析，形成评价结论。</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（1）部门预算严格按照上级部门预算编制通知和有关要求，结合单位具体工作及县级相关规定编制，按时完成基础、项目报送工作，单位预算按时在红原县门户网站公开。</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（2）严格执行支出预算，“三公经费”本着节约、高效的原则严格控制支出。</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3）认真开展部门绩效评价工作，绩效评价规章制度逐渐健全;严格按照相关法律、法规进行会计核算，严格资金管理，专款专用，资金拨付严格按相关程序报批后支付。认真开展部门整体绩效评价工作，绩效评价工作正逐步完善。    </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（四）整体绩效。</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zh-CN" w:eastAsia="zh-CN"/>
        </w:rPr>
        <w:t>通过整体绩效自评，反映本部门能按照县委编办相关职责要求有效履行职责，圆满完成了县委编办各项工作任务，绩效评价结果为优，相关部门等对县委编办的各项工作满意度较高。</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（五）结果应用情况</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en-US" w:eastAsia="zh-CN"/>
        </w:rPr>
        <w:t>2023年我单位从收支执行，三公经费管理，预算管理，绩效管理等方面进行了详尽</w:t>
      </w:r>
      <w:r>
        <w:rPr>
          <w:rFonts w:hint="eastAsia" w:ascii="仿宋_GB2312" w:hAnsi="仿宋_GB2312" w:eastAsia="仿宋_GB2312" w:cs="仿宋_GB2312"/>
          <w:b w:val="0"/>
          <w:bCs w:val="0"/>
          <w:color w:val="000000"/>
          <w:sz w:val="32"/>
          <w:szCs w:val="32"/>
          <w:lang w:val="zh-CN" w:eastAsia="zh-CN"/>
        </w:rPr>
        <w:t>部门自评、</w:t>
      </w:r>
      <w:r>
        <w:rPr>
          <w:rFonts w:hint="eastAsia" w:ascii="仿宋_GB2312" w:hAnsi="仿宋_GB2312" w:eastAsia="仿宋_GB2312" w:cs="仿宋_GB2312"/>
          <w:b w:val="0"/>
          <w:bCs w:val="0"/>
          <w:color w:val="000000"/>
          <w:sz w:val="32"/>
          <w:szCs w:val="32"/>
          <w:lang w:val="en-US" w:eastAsia="zh-CN"/>
        </w:rPr>
        <w:t>23年预算绩效目标，项目预算绩效目标等均进行了公开，评价结果较好，对部门预算编制不够精准细化的问题将在后续工作中逐步改进。</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3" w:firstLineChars="200"/>
        <w:textAlignment w:val="auto"/>
        <w:outlineLvl w:val="9"/>
        <w:rPr>
          <w:rFonts w:hint="eastAsia" w:ascii="仿宋_GB2312" w:hAnsi="仿宋_GB2312" w:eastAsia="仿宋_GB2312" w:cs="仿宋_GB2312"/>
          <w:b/>
          <w:bCs/>
          <w:color w:val="000000"/>
          <w:sz w:val="32"/>
          <w:szCs w:val="32"/>
          <w:lang w:val="zh-CN" w:eastAsia="zh-CN"/>
        </w:rPr>
      </w:pPr>
      <w:r>
        <w:rPr>
          <w:rFonts w:hint="eastAsia" w:ascii="仿宋_GB2312" w:hAnsi="仿宋_GB2312" w:eastAsia="仿宋_GB2312" w:cs="仿宋_GB2312"/>
          <w:b/>
          <w:bCs/>
          <w:color w:val="000000"/>
          <w:sz w:val="32"/>
          <w:szCs w:val="32"/>
          <w:lang w:val="zh-CN" w:eastAsia="zh-CN"/>
        </w:rPr>
        <w:t>四、评价结论及建议</w:t>
      </w:r>
    </w:p>
    <w:p>
      <w:pPr>
        <w:keepNext w:val="0"/>
        <w:keepLines w:val="0"/>
        <w:pageBreakBefore w:val="0"/>
        <w:widowControl/>
        <w:kinsoku/>
        <w:wordWrap/>
        <w:overflowPunct/>
        <w:topLinePunct w:val="0"/>
        <w:autoSpaceDE/>
        <w:autoSpaceDN/>
        <w:bidi w:val="0"/>
        <w:adjustRightInd w:val="0"/>
        <w:snapToGrid w:val="0"/>
        <w:spacing w:line="500" w:lineRule="exact"/>
        <w:ind w:firstLine="72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（一）评价结论。</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en-US" w:eastAsia="zh-CN"/>
        </w:rPr>
        <w:t>根据《红原县部门支出绩效评价指标体系》自查的分96分，总体评价较好。</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left="720" w:leftChars="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（二）存在问题。</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zh-CN" w:eastAsia="zh-CN"/>
        </w:rPr>
      </w:pPr>
      <w:r>
        <w:rPr>
          <w:rFonts w:hint="eastAsia" w:ascii="仿宋_GB2312" w:hAnsi="仿宋_GB2312" w:eastAsia="仿宋_GB2312" w:cs="仿宋_GB2312"/>
          <w:b w:val="0"/>
          <w:bCs w:val="0"/>
          <w:color w:val="000000"/>
          <w:sz w:val="32"/>
          <w:szCs w:val="32"/>
          <w:lang w:val="en-US" w:eastAsia="zh-CN"/>
        </w:rPr>
        <w:t>由于财政支出的多样性和复杂性，绩效评价指标体系设置难度大，即使可以量化，但实际操作中很多项目间缺乏可比性且指标本身也在逐步变化，需要逐步完善。</w:t>
      </w:r>
      <w:r>
        <w:rPr>
          <w:rFonts w:hint="eastAsia" w:ascii="仿宋_GB2312" w:hAnsi="仿宋_GB2312" w:eastAsia="仿宋_GB2312" w:cs="仿宋_GB2312"/>
          <w:b w:val="0"/>
          <w:bCs w:val="0"/>
          <w:color w:val="000000"/>
          <w:sz w:val="32"/>
          <w:szCs w:val="32"/>
          <w:lang w:val="en-US" w:eastAsia="zh-CN"/>
        </w:rPr>
        <w:br w:type="textWrapping"/>
      </w:r>
      <w:r>
        <w:rPr>
          <w:rFonts w:hint="eastAsia" w:ascii="仿宋_GB2312" w:hAnsi="仿宋_GB2312" w:eastAsia="仿宋_GB2312" w:cs="仿宋_GB2312"/>
          <w:b w:val="0"/>
          <w:bCs w:val="0"/>
          <w:color w:val="000000"/>
          <w:sz w:val="32"/>
          <w:szCs w:val="32"/>
          <w:lang w:val="en-US" w:eastAsia="zh-CN"/>
        </w:rPr>
        <w:t xml:space="preserve">   存在的问题:在平时工作推进过程中，缺乏技术人员进行专业指导及培训，工作推进存在一定困难，预算编制还需更加精准。</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left="720" w:leftChars="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（三）改进建议。</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1.通过各种途径加强绩效管理学习，科学合理编制预算，严格执行预算。</w:t>
      </w:r>
    </w:p>
    <w:p>
      <w:pPr>
        <w:keepNext w:val="0"/>
        <w:keepLines w:val="0"/>
        <w:pageBreakBefore w:val="0"/>
        <w:widowControl w:val="0"/>
        <w:numPr>
          <w:ilvl w:val="0"/>
          <w:numId w:val="0"/>
        </w:numPr>
        <w:kinsoku/>
        <w:wordWrap/>
        <w:overflowPunct/>
        <w:topLinePunct w:val="0"/>
        <w:autoSpaceDE/>
        <w:autoSpaceDN/>
        <w:bidi w:val="0"/>
        <w:spacing w:line="500" w:lineRule="exact"/>
        <w:ind w:right="0" w:rightChars="0" w:firstLine="640" w:firstLineChars="200"/>
        <w:textAlignment w:val="auto"/>
        <w:outlineLvl w:val="9"/>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2.规范账务处理，提高财务信息质量。</w:t>
      </w:r>
    </w:p>
    <w:p>
      <w:pPr>
        <w:pStyle w:val="11"/>
        <w:keepNext w:val="0"/>
        <w:keepLines w:val="0"/>
        <w:widowControl/>
        <w:suppressLineNumbers w:val="0"/>
        <w:ind w:left="0" w:right="75"/>
        <w:jc w:val="center"/>
        <w:rPr>
          <w:rFonts w:hint="eastAsia" w:ascii="黑体" w:hAnsi="黑体" w:eastAsia="黑体" w:cs="黑体"/>
          <w:sz w:val="44"/>
          <w:szCs w:val="44"/>
          <w:shd w:val="clear" w:color="auto" w:fill="FFFFFF"/>
        </w:rPr>
      </w:pPr>
    </w:p>
    <w:p>
      <w:pPr>
        <w:pStyle w:val="11"/>
        <w:keepNext w:val="0"/>
        <w:keepLines w:val="0"/>
        <w:widowControl/>
        <w:suppressLineNumbers w:val="0"/>
        <w:ind w:left="0" w:right="75"/>
        <w:jc w:val="center"/>
        <w:outlineLvl w:val="0"/>
        <w:rPr>
          <w:rFonts w:hint="eastAsia" w:ascii="黑体" w:hAnsi="黑体" w:eastAsia="黑体" w:cs="黑体"/>
          <w:sz w:val="44"/>
          <w:szCs w:val="44"/>
          <w:shd w:val="clear" w:color="auto" w:fill="FFFFFF"/>
        </w:rPr>
      </w:pPr>
      <w:bookmarkStart w:id="20" w:name="_Toc29972"/>
    </w:p>
    <w:p>
      <w:pPr>
        <w:pStyle w:val="11"/>
        <w:keepNext w:val="0"/>
        <w:keepLines w:val="0"/>
        <w:widowControl/>
        <w:suppressLineNumbers w:val="0"/>
        <w:ind w:left="0" w:right="75"/>
        <w:jc w:val="center"/>
        <w:outlineLvl w:val="0"/>
        <w:rPr>
          <w:rFonts w:hint="eastAsia" w:ascii="黑体" w:hAnsi="黑体" w:eastAsia="黑体" w:cs="黑体"/>
          <w:sz w:val="44"/>
          <w:szCs w:val="44"/>
        </w:rPr>
      </w:pPr>
      <w:r>
        <w:rPr>
          <w:rFonts w:hint="eastAsia" w:ascii="黑体" w:hAnsi="黑体" w:eastAsia="黑体" w:cs="黑体"/>
          <w:sz w:val="44"/>
          <w:szCs w:val="44"/>
          <w:shd w:val="clear" w:color="auto" w:fill="FFFFFF"/>
        </w:rPr>
        <w:t>第五部分 附表</w:t>
      </w:r>
      <w:bookmarkEnd w:id="20"/>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一、</w:t>
      </w:r>
      <w:r>
        <w:rPr>
          <w:rFonts w:hint="eastAsia" w:ascii="仿宋_GB2312" w:hAnsi="仿宋_GB2312" w:eastAsia="仿宋_GB2312" w:cs="仿宋_GB2312"/>
          <w:sz w:val="32"/>
          <w:szCs w:val="32"/>
          <w:shd w:val="clear" w:color="auto" w:fill="FFFFFF"/>
          <w:lang w:eastAsia="zh-CN"/>
        </w:rPr>
        <w:t>部门</w:t>
      </w:r>
      <w:r>
        <w:rPr>
          <w:rFonts w:hint="eastAsia" w:ascii="仿宋_GB2312" w:hAnsi="仿宋_GB2312" w:eastAsia="仿宋_GB2312" w:cs="仿宋_GB2312"/>
          <w:sz w:val="32"/>
          <w:szCs w:val="32"/>
          <w:shd w:val="clear" w:color="auto" w:fill="FFFFFF"/>
        </w:rPr>
        <w:t>收入支出决算总表</w:t>
      </w:r>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二、收入决算表</w:t>
      </w:r>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三、支出决算表</w:t>
      </w:r>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四、财政拨款收入支出决算总表</w:t>
      </w:r>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五、财政拨款支出决算明细表</w:t>
      </w:r>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六、一般公共预算财政拨款支出决算表</w:t>
      </w:r>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七、一般公共预算财政拨款支出决算明细表</w:t>
      </w:r>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八、一般公共预算财政拨款基本支出决算</w:t>
      </w:r>
      <w:r>
        <w:rPr>
          <w:rFonts w:hint="eastAsia" w:ascii="仿宋_GB2312" w:hAnsi="仿宋_GB2312" w:eastAsia="仿宋_GB2312" w:cs="仿宋_GB2312"/>
          <w:sz w:val="32"/>
          <w:szCs w:val="32"/>
          <w:shd w:val="clear" w:color="auto" w:fill="FFFFFF"/>
          <w:lang w:eastAsia="zh-CN"/>
        </w:rPr>
        <w:t>明细</w:t>
      </w:r>
      <w:r>
        <w:rPr>
          <w:rFonts w:hint="eastAsia" w:ascii="仿宋_GB2312" w:hAnsi="仿宋_GB2312" w:eastAsia="仿宋_GB2312" w:cs="仿宋_GB2312"/>
          <w:sz w:val="32"/>
          <w:szCs w:val="32"/>
          <w:shd w:val="clear" w:color="auto" w:fill="FFFFFF"/>
        </w:rPr>
        <w:t>表</w:t>
      </w:r>
    </w:p>
    <w:p>
      <w:pPr>
        <w:pStyle w:val="11"/>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九、一般公共预算财政拨款项目支出决算表</w:t>
      </w:r>
    </w:p>
    <w:p>
      <w:pPr>
        <w:pStyle w:val="11"/>
        <w:keepNext w:val="0"/>
        <w:keepLines w:val="0"/>
        <w:widowControl/>
        <w:suppressLineNumbers w:val="0"/>
        <w:ind w:left="0" w:right="75"/>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shd w:val="clear" w:color="auto" w:fill="FFFFFF"/>
        </w:rPr>
        <w:t>十、</w:t>
      </w:r>
      <w:r>
        <w:rPr>
          <w:rFonts w:hint="eastAsia" w:ascii="仿宋_GB2312" w:hAnsi="仿宋_GB2312" w:eastAsia="仿宋_GB2312" w:cs="仿宋_GB2312"/>
          <w:sz w:val="32"/>
          <w:szCs w:val="32"/>
          <w:shd w:val="clear" w:color="auto" w:fill="FFFFFF"/>
          <w:lang w:eastAsia="zh-CN"/>
        </w:rPr>
        <w:t>政府性基金预算财政拨款收入支出决算表</w:t>
      </w:r>
    </w:p>
    <w:p>
      <w:pPr>
        <w:pStyle w:val="11"/>
        <w:keepNext w:val="0"/>
        <w:keepLines w:val="0"/>
        <w:widowControl/>
        <w:suppressLineNumbers w:val="0"/>
        <w:ind w:left="0" w:right="75"/>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shd w:val="clear" w:color="auto" w:fill="FFFFFF"/>
        </w:rPr>
        <w:t>十一、</w:t>
      </w:r>
      <w:r>
        <w:rPr>
          <w:rFonts w:hint="eastAsia" w:ascii="仿宋_GB2312" w:hAnsi="仿宋_GB2312" w:eastAsia="仿宋_GB2312" w:cs="仿宋_GB2312"/>
          <w:sz w:val="32"/>
          <w:szCs w:val="32"/>
          <w:shd w:val="clear" w:color="auto" w:fill="FFFFFF"/>
          <w:lang w:eastAsia="zh-CN"/>
        </w:rPr>
        <w:t>国有资本经营预算财政拨款收入支出决算表</w:t>
      </w:r>
    </w:p>
    <w:p>
      <w:pPr>
        <w:pStyle w:val="11"/>
        <w:keepNext w:val="0"/>
        <w:keepLines w:val="0"/>
        <w:widowControl/>
        <w:suppressLineNumbers w:val="0"/>
        <w:ind w:left="0" w:right="75"/>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shd w:val="clear" w:color="auto" w:fill="FFFFFF"/>
        </w:rPr>
        <w:t>十二、</w:t>
      </w:r>
      <w:r>
        <w:rPr>
          <w:rFonts w:hint="eastAsia" w:ascii="仿宋_GB2312" w:hAnsi="仿宋_GB2312" w:eastAsia="仿宋_GB2312" w:cs="仿宋_GB2312"/>
          <w:sz w:val="32"/>
          <w:szCs w:val="32"/>
          <w:shd w:val="clear" w:color="auto" w:fill="FFFFFF"/>
          <w:lang w:eastAsia="zh-CN"/>
        </w:rPr>
        <w:t>国有资本经营预算财政拨款支出决算表</w:t>
      </w:r>
    </w:p>
    <w:p>
      <w:pPr>
        <w:pStyle w:val="11"/>
        <w:keepNext w:val="0"/>
        <w:keepLines w:val="0"/>
        <w:widowControl/>
        <w:suppressLineNumbers w:val="0"/>
        <w:ind w:left="0" w:right="75"/>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shd w:val="clear" w:color="auto" w:fill="FFFFFF"/>
        </w:rPr>
        <w:t>十三、</w:t>
      </w:r>
      <w:r>
        <w:rPr>
          <w:rFonts w:hint="eastAsia" w:ascii="仿宋_GB2312" w:hAnsi="仿宋_GB2312" w:eastAsia="仿宋_GB2312" w:cs="仿宋_GB2312"/>
          <w:sz w:val="32"/>
          <w:szCs w:val="32"/>
          <w:shd w:val="clear" w:color="auto" w:fill="FFFFFF"/>
          <w:lang w:eastAsia="zh-CN"/>
        </w:rPr>
        <w:t>财政拨款“三公经费”支出决算表</w:t>
      </w:r>
    </w:p>
    <w:p/>
    <w:sectPr>
      <w:footerReference r:id="rId6" w:type="default"/>
      <w:pgSz w:w="11906" w:h="16838"/>
      <w:pgMar w:top="1440" w:right="1800" w:bottom="1440" w:left="180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LNJWO7QAAAABQEAAA8AAAAAAAAAAQAg&#10;AAAAIgAAAGRycy9kb3ducmV2LnhtbFBLAQIUABQAAAAIAIdO4kCGY0c6wQIAANYFAAAOAAAAAAAA&#10;AAEAIAAAAB8BAABkcnMvZTJvRG9jLnhtbFBLBQYAAAAABgAGAFkBAABSBgAAAAA=&#10;">
              <v:fill on="f" focussize="0,0"/>
              <v:stroke on="f" weight="0.5pt"/>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F45UV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3F45UVAgAAFQQAAA4AAAAAAAAA&#10;AQAgAAAAHwEAAGRycy9lMm9Eb2MueG1sUEsFBgAAAAAGAAYAWQEAAKYFAAAAAA==&#10;">
              <v:fill on="f" focussize="0,0"/>
              <v:stroke on="f" weight="0.5pt"/>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848E9"/>
    <w:multiLevelType w:val="singleLevel"/>
    <w:tmpl w:val="020848E9"/>
    <w:lvl w:ilvl="0" w:tentative="0">
      <w:start w:val="1"/>
      <w:numFmt w:val="decimal"/>
      <w:suff w:val="nothing"/>
      <w:lvlText w:val="（%1）"/>
      <w:lvlJc w:val="left"/>
    </w:lvl>
  </w:abstractNum>
  <w:abstractNum w:abstractNumId="1">
    <w:nsid w:val="1A9BF496"/>
    <w:multiLevelType w:val="singleLevel"/>
    <w:tmpl w:val="1A9BF496"/>
    <w:lvl w:ilvl="0" w:tentative="0">
      <w:start w:val="2"/>
      <w:numFmt w:val="chineseCounting"/>
      <w:suff w:val="space"/>
      <w:lvlText w:val="%1、"/>
      <w:lvlJc w:val="left"/>
      <w:rPr>
        <w:rFonts w:hint="eastAsia"/>
      </w:rPr>
    </w:lvl>
  </w:abstractNum>
  <w:abstractNum w:abstractNumId="2">
    <w:nsid w:val="3F606127"/>
    <w:multiLevelType w:val="singleLevel"/>
    <w:tmpl w:val="3F606127"/>
    <w:lvl w:ilvl="0" w:tentative="0">
      <w:start w:val="8"/>
      <w:numFmt w:val="chineseCounting"/>
      <w:suff w:val="nothing"/>
      <w:lvlText w:val="%1、"/>
      <w:lvlJc w:val="left"/>
      <w:rPr>
        <w:rFonts w:hint="eastAsia"/>
      </w:rPr>
    </w:lvl>
  </w:abstractNum>
  <w:abstractNum w:abstractNumId="3">
    <w:nsid w:val="5708D7AD"/>
    <w:multiLevelType w:val="singleLevel"/>
    <w:tmpl w:val="5708D7AD"/>
    <w:lvl w:ilvl="0" w:tentative="0">
      <w:start w:val="2"/>
      <w:numFmt w:val="chineseCounting"/>
      <w:suff w:val="nothing"/>
      <w:lvlText w:val="（%1）"/>
      <w:lvlJc w:val="left"/>
      <w:rPr>
        <w:rFonts w:hint="eastAsia"/>
      </w:rPr>
    </w:lvl>
  </w:abstractNum>
  <w:abstractNum w:abstractNumId="4">
    <w:nsid w:val="5F819D8E"/>
    <w:multiLevelType w:val="singleLevel"/>
    <w:tmpl w:val="5F819D8E"/>
    <w:lvl w:ilvl="0" w:tentative="0">
      <w:start w:val="1"/>
      <w:numFmt w:val="decimal"/>
      <w:lvlText w:val="%1."/>
      <w:lvlJc w:val="left"/>
      <w:pPr>
        <w:tabs>
          <w:tab w:val="left" w:pos="312"/>
        </w:tabs>
      </w:pPr>
    </w:lvl>
  </w:abstractNum>
  <w:abstractNum w:abstractNumId="5">
    <w:nsid w:val="5F81B4ED"/>
    <w:multiLevelType w:val="singleLevel"/>
    <w:tmpl w:val="5F81B4ED"/>
    <w:lvl w:ilvl="0" w:tentative="0">
      <w:start w:val="1"/>
      <w:numFmt w:val="decimal"/>
      <w:lvlText w:val="%1."/>
      <w:lvlJc w:val="left"/>
      <w:pPr>
        <w:tabs>
          <w:tab w:val="left" w:pos="312"/>
        </w:tabs>
      </w:pPr>
    </w:lvl>
  </w:abstractNum>
  <w:abstractNum w:abstractNumId="6">
    <w:nsid w:val="7AAC1CBD"/>
    <w:multiLevelType w:val="singleLevel"/>
    <w:tmpl w:val="7AAC1CBD"/>
    <w:lvl w:ilvl="0" w:tentative="0">
      <w:start w:val="2"/>
      <w:numFmt w:val="chineseCounting"/>
      <w:suff w:val="nothing"/>
      <w:lvlText w:val="（%1）"/>
      <w:lvlJc w:val="left"/>
      <w:rPr>
        <w:rFonts w:hint="eastAsia"/>
      </w:rPr>
    </w:lvl>
  </w:abstractNum>
  <w:num w:numId="1">
    <w:abstractNumId w:val="1"/>
  </w:num>
  <w:num w:numId="2">
    <w:abstractNumId w:val="6"/>
  </w:num>
  <w:num w:numId="3">
    <w:abstractNumId w:val="4"/>
  </w:num>
  <w:num w:numId="4">
    <w:abstractNumId w:val="3"/>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A3593"/>
    <w:rsid w:val="00882313"/>
    <w:rsid w:val="00BF0852"/>
    <w:rsid w:val="01AB3A4C"/>
    <w:rsid w:val="01D82154"/>
    <w:rsid w:val="020502B8"/>
    <w:rsid w:val="02346274"/>
    <w:rsid w:val="02537415"/>
    <w:rsid w:val="02571CE1"/>
    <w:rsid w:val="025C51DD"/>
    <w:rsid w:val="028316E6"/>
    <w:rsid w:val="033E4D03"/>
    <w:rsid w:val="03B10B2C"/>
    <w:rsid w:val="03E52A27"/>
    <w:rsid w:val="040F4900"/>
    <w:rsid w:val="043D1C16"/>
    <w:rsid w:val="051E63A0"/>
    <w:rsid w:val="05253159"/>
    <w:rsid w:val="0536478E"/>
    <w:rsid w:val="05C6221A"/>
    <w:rsid w:val="05CA37E6"/>
    <w:rsid w:val="05DB0495"/>
    <w:rsid w:val="05DE2065"/>
    <w:rsid w:val="060415DA"/>
    <w:rsid w:val="061D2498"/>
    <w:rsid w:val="062705AF"/>
    <w:rsid w:val="0648585F"/>
    <w:rsid w:val="06533BA7"/>
    <w:rsid w:val="067611B1"/>
    <w:rsid w:val="06A51A29"/>
    <w:rsid w:val="06DF2C3C"/>
    <w:rsid w:val="073716F3"/>
    <w:rsid w:val="077C0152"/>
    <w:rsid w:val="07A66CD3"/>
    <w:rsid w:val="07AB12F0"/>
    <w:rsid w:val="07CC79AF"/>
    <w:rsid w:val="07DA33DC"/>
    <w:rsid w:val="07E05898"/>
    <w:rsid w:val="08165380"/>
    <w:rsid w:val="08D266EA"/>
    <w:rsid w:val="08E5531C"/>
    <w:rsid w:val="09201BFE"/>
    <w:rsid w:val="094712F2"/>
    <w:rsid w:val="0958647E"/>
    <w:rsid w:val="0963660A"/>
    <w:rsid w:val="09A4358F"/>
    <w:rsid w:val="09BF4822"/>
    <w:rsid w:val="09DA3F82"/>
    <w:rsid w:val="0A0B0C2D"/>
    <w:rsid w:val="0A1A2BF9"/>
    <w:rsid w:val="0A656E3D"/>
    <w:rsid w:val="0A836BDE"/>
    <w:rsid w:val="0B6775DA"/>
    <w:rsid w:val="0BDA0174"/>
    <w:rsid w:val="0BE72A8C"/>
    <w:rsid w:val="0C1C28F1"/>
    <w:rsid w:val="0C5533EE"/>
    <w:rsid w:val="0C7557E1"/>
    <w:rsid w:val="0C9B09AC"/>
    <w:rsid w:val="0CB70344"/>
    <w:rsid w:val="0CE63DEF"/>
    <w:rsid w:val="0D5709C4"/>
    <w:rsid w:val="0DA32FF9"/>
    <w:rsid w:val="0DC02F70"/>
    <w:rsid w:val="0E016246"/>
    <w:rsid w:val="0E347E7A"/>
    <w:rsid w:val="0EEF2024"/>
    <w:rsid w:val="0F396866"/>
    <w:rsid w:val="0F547819"/>
    <w:rsid w:val="0F763753"/>
    <w:rsid w:val="0FBD1976"/>
    <w:rsid w:val="0FC84B33"/>
    <w:rsid w:val="0FCB555C"/>
    <w:rsid w:val="0FF22613"/>
    <w:rsid w:val="104D4387"/>
    <w:rsid w:val="10C63719"/>
    <w:rsid w:val="110E5233"/>
    <w:rsid w:val="11142387"/>
    <w:rsid w:val="112A1720"/>
    <w:rsid w:val="112E1415"/>
    <w:rsid w:val="118E4E05"/>
    <w:rsid w:val="119A0988"/>
    <w:rsid w:val="11C84FEC"/>
    <w:rsid w:val="120F176F"/>
    <w:rsid w:val="12474DC8"/>
    <w:rsid w:val="12DF625F"/>
    <w:rsid w:val="134D5D4F"/>
    <w:rsid w:val="137E4D53"/>
    <w:rsid w:val="13F47D19"/>
    <w:rsid w:val="1444516F"/>
    <w:rsid w:val="14886F81"/>
    <w:rsid w:val="14B70C97"/>
    <w:rsid w:val="14B82E87"/>
    <w:rsid w:val="14C217F5"/>
    <w:rsid w:val="14E24DF8"/>
    <w:rsid w:val="15922051"/>
    <w:rsid w:val="159F292E"/>
    <w:rsid w:val="16103683"/>
    <w:rsid w:val="16316871"/>
    <w:rsid w:val="16344EDC"/>
    <w:rsid w:val="168B7E06"/>
    <w:rsid w:val="177E08EB"/>
    <w:rsid w:val="178664AD"/>
    <w:rsid w:val="178819C8"/>
    <w:rsid w:val="179E22FC"/>
    <w:rsid w:val="17A25E76"/>
    <w:rsid w:val="17AE4B25"/>
    <w:rsid w:val="18132AD7"/>
    <w:rsid w:val="18212609"/>
    <w:rsid w:val="183068D9"/>
    <w:rsid w:val="18BA318F"/>
    <w:rsid w:val="18D93743"/>
    <w:rsid w:val="19E524F1"/>
    <w:rsid w:val="19F3214F"/>
    <w:rsid w:val="19F76004"/>
    <w:rsid w:val="1A1664F5"/>
    <w:rsid w:val="1A4E5F71"/>
    <w:rsid w:val="1A785541"/>
    <w:rsid w:val="1AA22996"/>
    <w:rsid w:val="1B3E1A8A"/>
    <w:rsid w:val="1BE12072"/>
    <w:rsid w:val="1BEB2F32"/>
    <w:rsid w:val="1BEF4D2F"/>
    <w:rsid w:val="1C48338F"/>
    <w:rsid w:val="1D207523"/>
    <w:rsid w:val="1D5303AD"/>
    <w:rsid w:val="1D5D797F"/>
    <w:rsid w:val="1D8F2651"/>
    <w:rsid w:val="1D9143E9"/>
    <w:rsid w:val="1DA21552"/>
    <w:rsid w:val="1EE82024"/>
    <w:rsid w:val="1FB1003C"/>
    <w:rsid w:val="1FE7137A"/>
    <w:rsid w:val="1FF54367"/>
    <w:rsid w:val="2054534B"/>
    <w:rsid w:val="20583D8E"/>
    <w:rsid w:val="20726215"/>
    <w:rsid w:val="20C1152C"/>
    <w:rsid w:val="210A7163"/>
    <w:rsid w:val="211C0ADF"/>
    <w:rsid w:val="21792825"/>
    <w:rsid w:val="222B40B1"/>
    <w:rsid w:val="224A43EF"/>
    <w:rsid w:val="22A849F4"/>
    <w:rsid w:val="22AC0362"/>
    <w:rsid w:val="233B7821"/>
    <w:rsid w:val="24007643"/>
    <w:rsid w:val="241755C0"/>
    <w:rsid w:val="243E3248"/>
    <w:rsid w:val="246837AC"/>
    <w:rsid w:val="2475494B"/>
    <w:rsid w:val="24EB4C10"/>
    <w:rsid w:val="24ED6993"/>
    <w:rsid w:val="2519214E"/>
    <w:rsid w:val="258520EB"/>
    <w:rsid w:val="258B34CC"/>
    <w:rsid w:val="25913412"/>
    <w:rsid w:val="25DE3EBC"/>
    <w:rsid w:val="25FA1985"/>
    <w:rsid w:val="262E222F"/>
    <w:rsid w:val="2637183E"/>
    <w:rsid w:val="26451A73"/>
    <w:rsid w:val="26710BB7"/>
    <w:rsid w:val="268152A7"/>
    <w:rsid w:val="26BE5A0B"/>
    <w:rsid w:val="26BF635F"/>
    <w:rsid w:val="26C575ED"/>
    <w:rsid w:val="26E518CB"/>
    <w:rsid w:val="27307856"/>
    <w:rsid w:val="27307A6E"/>
    <w:rsid w:val="275E4B3D"/>
    <w:rsid w:val="2790625B"/>
    <w:rsid w:val="280E4D8F"/>
    <w:rsid w:val="282C4404"/>
    <w:rsid w:val="28716A14"/>
    <w:rsid w:val="28C55AD9"/>
    <w:rsid w:val="28D241CA"/>
    <w:rsid w:val="296D1C1C"/>
    <w:rsid w:val="297A12B6"/>
    <w:rsid w:val="29873C75"/>
    <w:rsid w:val="298F3450"/>
    <w:rsid w:val="29DE6E95"/>
    <w:rsid w:val="29E8073E"/>
    <w:rsid w:val="2A4B0CBE"/>
    <w:rsid w:val="2A742DBD"/>
    <w:rsid w:val="2AD0333C"/>
    <w:rsid w:val="2B4D0B0B"/>
    <w:rsid w:val="2BDD0703"/>
    <w:rsid w:val="2C255858"/>
    <w:rsid w:val="2C3C0AA3"/>
    <w:rsid w:val="2C515C43"/>
    <w:rsid w:val="2C625793"/>
    <w:rsid w:val="2C685E12"/>
    <w:rsid w:val="2C687D7E"/>
    <w:rsid w:val="2C962229"/>
    <w:rsid w:val="2CA8390F"/>
    <w:rsid w:val="2CFC623A"/>
    <w:rsid w:val="2D1202A0"/>
    <w:rsid w:val="2D7660A9"/>
    <w:rsid w:val="2D8475B7"/>
    <w:rsid w:val="2D966C65"/>
    <w:rsid w:val="2DA26FD8"/>
    <w:rsid w:val="2DBB4CD6"/>
    <w:rsid w:val="2DF35DE3"/>
    <w:rsid w:val="2E216696"/>
    <w:rsid w:val="2ED35FEE"/>
    <w:rsid w:val="300155EC"/>
    <w:rsid w:val="30B32B6A"/>
    <w:rsid w:val="311C73A5"/>
    <w:rsid w:val="31340AEA"/>
    <w:rsid w:val="31BF2947"/>
    <w:rsid w:val="32310A70"/>
    <w:rsid w:val="340D57A7"/>
    <w:rsid w:val="34666631"/>
    <w:rsid w:val="34D825DC"/>
    <w:rsid w:val="35897E51"/>
    <w:rsid w:val="359840AF"/>
    <w:rsid w:val="35B725AC"/>
    <w:rsid w:val="36093CBF"/>
    <w:rsid w:val="36974F61"/>
    <w:rsid w:val="36A326E6"/>
    <w:rsid w:val="36EE35C7"/>
    <w:rsid w:val="370A6D37"/>
    <w:rsid w:val="372A5155"/>
    <w:rsid w:val="37B620D9"/>
    <w:rsid w:val="380B19D2"/>
    <w:rsid w:val="38A3735B"/>
    <w:rsid w:val="38BA0F7B"/>
    <w:rsid w:val="38EF74E5"/>
    <w:rsid w:val="39236D35"/>
    <w:rsid w:val="3A2D0421"/>
    <w:rsid w:val="3A6D6A8B"/>
    <w:rsid w:val="3BB04D60"/>
    <w:rsid w:val="3BED2C50"/>
    <w:rsid w:val="3BFC3FDB"/>
    <w:rsid w:val="3C013AEF"/>
    <w:rsid w:val="3CCA6242"/>
    <w:rsid w:val="3D317CFB"/>
    <w:rsid w:val="3D333223"/>
    <w:rsid w:val="3E6C046F"/>
    <w:rsid w:val="3E8B7104"/>
    <w:rsid w:val="3ED0469E"/>
    <w:rsid w:val="3F0F0DE1"/>
    <w:rsid w:val="3F2B07ED"/>
    <w:rsid w:val="3F392D26"/>
    <w:rsid w:val="3FF62A34"/>
    <w:rsid w:val="3FFC5AEC"/>
    <w:rsid w:val="40207691"/>
    <w:rsid w:val="40670939"/>
    <w:rsid w:val="40B94C7A"/>
    <w:rsid w:val="40C946F8"/>
    <w:rsid w:val="413D21FB"/>
    <w:rsid w:val="41CF3D80"/>
    <w:rsid w:val="420E53DF"/>
    <w:rsid w:val="425759EC"/>
    <w:rsid w:val="426129D8"/>
    <w:rsid w:val="429066C1"/>
    <w:rsid w:val="42FE1BA9"/>
    <w:rsid w:val="43476B48"/>
    <w:rsid w:val="43573315"/>
    <w:rsid w:val="435B36FE"/>
    <w:rsid w:val="43907DB5"/>
    <w:rsid w:val="4392081E"/>
    <w:rsid w:val="439D249C"/>
    <w:rsid w:val="43C52E54"/>
    <w:rsid w:val="441735B8"/>
    <w:rsid w:val="442268FD"/>
    <w:rsid w:val="445F11C3"/>
    <w:rsid w:val="445F5F22"/>
    <w:rsid w:val="44D01669"/>
    <w:rsid w:val="44F2368F"/>
    <w:rsid w:val="458601C6"/>
    <w:rsid w:val="45CE4A1B"/>
    <w:rsid w:val="45E246F4"/>
    <w:rsid w:val="461B7925"/>
    <w:rsid w:val="461D0212"/>
    <w:rsid w:val="463C07F3"/>
    <w:rsid w:val="464756DB"/>
    <w:rsid w:val="466504C2"/>
    <w:rsid w:val="4692052E"/>
    <w:rsid w:val="46C0506A"/>
    <w:rsid w:val="470B61AF"/>
    <w:rsid w:val="470C3F16"/>
    <w:rsid w:val="471A7CA7"/>
    <w:rsid w:val="47621D3C"/>
    <w:rsid w:val="476E1465"/>
    <w:rsid w:val="47777BC1"/>
    <w:rsid w:val="479122C3"/>
    <w:rsid w:val="480559E6"/>
    <w:rsid w:val="481F5071"/>
    <w:rsid w:val="483B44C3"/>
    <w:rsid w:val="48C53338"/>
    <w:rsid w:val="4910453A"/>
    <w:rsid w:val="491D45E4"/>
    <w:rsid w:val="4986261E"/>
    <w:rsid w:val="49FA5C62"/>
    <w:rsid w:val="4A374A77"/>
    <w:rsid w:val="4B925DB4"/>
    <w:rsid w:val="4B964B58"/>
    <w:rsid w:val="4B971E89"/>
    <w:rsid w:val="4C791821"/>
    <w:rsid w:val="4D901930"/>
    <w:rsid w:val="4D9C1311"/>
    <w:rsid w:val="4DA13EFC"/>
    <w:rsid w:val="4DAA0ACB"/>
    <w:rsid w:val="4DC17B58"/>
    <w:rsid w:val="4DCD369E"/>
    <w:rsid w:val="4E207F77"/>
    <w:rsid w:val="4E405E86"/>
    <w:rsid w:val="4F1C2BA7"/>
    <w:rsid w:val="4F717B9B"/>
    <w:rsid w:val="4F7E44A1"/>
    <w:rsid w:val="4FBD66D2"/>
    <w:rsid w:val="4FDE0035"/>
    <w:rsid w:val="500D1959"/>
    <w:rsid w:val="503043E2"/>
    <w:rsid w:val="5050382B"/>
    <w:rsid w:val="506D097D"/>
    <w:rsid w:val="51DE596C"/>
    <w:rsid w:val="51ED678A"/>
    <w:rsid w:val="520668F0"/>
    <w:rsid w:val="52AE51FA"/>
    <w:rsid w:val="52CC2690"/>
    <w:rsid w:val="53143CF9"/>
    <w:rsid w:val="531F0D11"/>
    <w:rsid w:val="53322DCA"/>
    <w:rsid w:val="542F1EBF"/>
    <w:rsid w:val="543C4E80"/>
    <w:rsid w:val="545F1FF7"/>
    <w:rsid w:val="54657E0D"/>
    <w:rsid w:val="547E70F1"/>
    <w:rsid w:val="54D10F28"/>
    <w:rsid w:val="54D53C9C"/>
    <w:rsid w:val="550305C3"/>
    <w:rsid w:val="55D83CEB"/>
    <w:rsid w:val="564872E2"/>
    <w:rsid w:val="56CC5979"/>
    <w:rsid w:val="57034B85"/>
    <w:rsid w:val="57472184"/>
    <w:rsid w:val="58982A58"/>
    <w:rsid w:val="589E16F5"/>
    <w:rsid w:val="589F63B4"/>
    <w:rsid w:val="58A26C33"/>
    <w:rsid w:val="58AD4FD4"/>
    <w:rsid w:val="58CB7268"/>
    <w:rsid w:val="59905774"/>
    <w:rsid w:val="599E59E1"/>
    <w:rsid w:val="59C82306"/>
    <w:rsid w:val="59E1598B"/>
    <w:rsid w:val="5A07397F"/>
    <w:rsid w:val="5AE561D2"/>
    <w:rsid w:val="5B0315D4"/>
    <w:rsid w:val="5B093A34"/>
    <w:rsid w:val="5B0E5F58"/>
    <w:rsid w:val="5B180F7F"/>
    <w:rsid w:val="5B755373"/>
    <w:rsid w:val="5C510837"/>
    <w:rsid w:val="5D8B09FB"/>
    <w:rsid w:val="5D91560D"/>
    <w:rsid w:val="5E9263C2"/>
    <w:rsid w:val="5E9B4D4C"/>
    <w:rsid w:val="5EE14150"/>
    <w:rsid w:val="5F0C08CE"/>
    <w:rsid w:val="5F584AF9"/>
    <w:rsid w:val="5F592FD8"/>
    <w:rsid w:val="601D7135"/>
    <w:rsid w:val="60594271"/>
    <w:rsid w:val="60FD6A51"/>
    <w:rsid w:val="61174547"/>
    <w:rsid w:val="61417FA3"/>
    <w:rsid w:val="61A84D55"/>
    <w:rsid w:val="621F016F"/>
    <w:rsid w:val="62373246"/>
    <w:rsid w:val="62641897"/>
    <w:rsid w:val="63143D27"/>
    <w:rsid w:val="6363707C"/>
    <w:rsid w:val="639D589A"/>
    <w:rsid w:val="63A25134"/>
    <w:rsid w:val="63E45B69"/>
    <w:rsid w:val="63F41951"/>
    <w:rsid w:val="64BF65EF"/>
    <w:rsid w:val="64DD2406"/>
    <w:rsid w:val="650E7916"/>
    <w:rsid w:val="65565234"/>
    <w:rsid w:val="66360F04"/>
    <w:rsid w:val="663E3F8E"/>
    <w:rsid w:val="66534FCB"/>
    <w:rsid w:val="67224A18"/>
    <w:rsid w:val="67E64DE1"/>
    <w:rsid w:val="681158B8"/>
    <w:rsid w:val="681E547B"/>
    <w:rsid w:val="6826003B"/>
    <w:rsid w:val="684A0535"/>
    <w:rsid w:val="685D50B9"/>
    <w:rsid w:val="68604028"/>
    <w:rsid w:val="6877527C"/>
    <w:rsid w:val="687C5B03"/>
    <w:rsid w:val="68BA38D2"/>
    <w:rsid w:val="68F84508"/>
    <w:rsid w:val="691A3E13"/>
    <w:rsid w:val="69400176"/>
    <w:rsid w:val="69597AAC"/>
    <w:rsid w:val="69B25200"/>
    <w:rsid w:val="69C21C8E"/>
    <w:rsid w:val="69F651A9"/>
    <w:rsid w:val="6A400F1A"/>
    <w:rsid w:val="6A557958"/>
    <w:rsid w:val="6A6A5E6B"/>
    <w:rsid w:val="6A7B3046"/>
    <w:rsid w:val="6A8D6A74"/>
    <w:rsid w:val="6AA1155F"/>
    <w:rsid w:val="6AF16947"/>
    <w:rsid w:val="6B174BCF"/>
    <w:rsid w:val="6B2973E9"/>
    <w:rsid w:val="6BB460E2"/>
    <w:rsid w:val="6BEB4471"/>
    <w:rsid w:val="6C164FA6"/>
    <w:rsid w:val="6C311483"/>
    <w:rsid w:val="6C4130FD"/>
    <w:rsid w:val="6C4B028D"/>
    <w:rsid w:val="6C95291B"/>
    <w:rsid w:val="6C9B7DB3"/>
    <w:rsid w:val="6CAB2D78"/>
    <w:rsid w:val="6D7844DE"/>
    <w:rsid w:val="6DAA7E7A"/>
    <w:rsid w:val="6E750E3C"/>
    <w:rsid w:val="6E7F5F1F"/>
    <w:rsid w:val="6E915828"/>
    <w:rsid w:val="6F1A5A2C"/>
    <w:rsid w:val="6F3C54D1"/>
    <w:rsid w:val="6FBC358D"/>
    <w:rsid w:val="7037710B"/>
    <w:rsid w:val="70743667"/>
    <w:rsid w:val="707849CA"/>
    <w:rsid w:val="70A54C4E"/>
    <w:rsid w:val="70A76EDF"/>
    <w:rsid w:val="70AD3EBF"/>
    <w:rsid w:val="70C43920"/>
    <w:rsid w:val="70F53323"/>
    <w:rsid w:val="70F66CB4"/>
    <w:rsid w:val="71785460"/>
    <w:rsid w:val="71D33F8D"/>
    <w:rsid w:val="71ED3EDE"/>
    <w:rsid w:val="72133397"/>
    <w:rsid w:val="72273DF3"/>
    <w:rsid w:val="725B06D5"/>
    <w:rsid w:val="73133219"/>
    <w:rsid w:val="73572DC2"/>
    <w:rsid w:val="73AB6FCB"/>
    <w:rsid w:val="73B63B41"/>
    <w:rsid w:val="73BC27AF"/>
    <w:rsid w:val="73FD0A4F"/>
    <w:rsid w:val="74F37794"/>
    <w:rsid w:val="755D4229"/>
    <w:rsid w:val="756E6B34"/>
    <w:rsid w:val="75F82DC6"/>
    <w:rsid w:val="76A5521A"/>
    <w:rsid w:val="76E23986"/>
    <w:rsid w:val="770A5A76"/>
    <w:rsid w:val="775E62AF"/>
    <w:rsid w:val="779A2B2D"/>
    <w:rsid w:val="77D906E2"/>
    <w:rsid w:val="77DF6BBA"/>
    <w:rsid w:val="782920CD"/>
    <w:rsid w:val="78415904"/>
    <w:rsid w:val="784B3700"/>
    <w:rsid w:val="78B20FFE"/>
    <w:rsid w:val="78C5681C"/>
    <w:rsid w:val="799034D8"/>
    <w:rsid w:val="79997DD2"/>
    <w:rsid w:val="79A807A2"/>
    <w:rsid w:val="79C95DCF"/>
    <w:rsid w:val="79D00547"/>
    <w:rsid w:val="79FA0E27"/>
    <w:rsid w:val="79FA5671"/>
    <w:rsid w:val="79FD5E30"/>
    <w:rsid w:val="7A320CF1"/>
    <w:rsid w:val="7ADB7982"/>
    <w:rsid w:val="7B772498"/>
    <w:rsid w:val="7BAB5164"/>
    <w:rsid w:val="7BAD01C9"/>
    <w:rsid w:val="7BC66859"/>
    <w:rsid w:val="7BE81934"/>
    <w:rsid w:val="7C08172E"/>
    <w:rsid w:val="7C3B6AD3"/>
    <w:rsid w:val="7C3D2061"/>
    <w:rsid w:val="7C3E4691"/>
    <w:rsid w:val="7C7846C0"/>
    <w:rsid w:val="7C801797"/>
    <w:rsid w:val="7C956391"/>
    <w:rsid w:val="7CE65B62"/>
    <w:rsid w:val="7D4B4B42"/>
    <w:rsid w:val="7D4E6070"/>
    <w:rsid w:val="7D6C38B7"/>
    <w:rsid w:val="7D747F20"/>
    <w:rsid w:val="7DAA0228"/>
    <w:rsid w:val="7DE85E17"/>
    <w:rsid w:val="7E044AA8"/>
    <w:rsid w:val="7E3B1311"/>
    <w:rsid w:val="7ED12811"/>
    <w:rsid w:val="7EDD18F9"/>
    <w:rsid w:val="7EE07871"/>
    <w:rsid w:val="7F3E33CB"/>
    <w:rsid w:val="7F6D495A"/>
    <w:rsid w:val="7F814722"/>
    <w:rsid w:val="7F9D0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6"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2"/>
    <w:basedOn w:val="1"/>
    <w:next w:val="1"/>
    <w:unhideWhenUsed/>
    <w:qFormat/>
    <w:uiPriority w:val="0"/>
    <w:pPr>
      <w:shd w:val="clear" w:color="auto" w:fill="auto"/>
      <w:spacing w:before="100" w:beforeAutospacing="1" w:after="100" w:afterAutospacing="1"/>
      <w:jc w:val="left"/>
    </w:pPr>
    <w:rPr>
      <w:rFonts w:hint="eastAsia" w:ascii="宋体" w:hAnsi="宋体" w:eastAsia="宋体" w:cs="宋体"/>
      <w:b/>
      <w:kern w:val="0"/>
      <w:sz w:val="36"/>
      <w:szCs w:val="36"/>
      <w:shd w:val="clear" w:color="auto" w:fill="auto"/>
      <w:lang w:val="en-US" w:eastAsia="zh-CN" w:bidi="ar"/>
    </w:rPr>
  </w:style>
  <w:style w:type="character" w:default="1" w:styleId="13">
    <w:name w:val="Default Paragraph Font"/>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2"/>
    <w:qFormat/>
    <w:uiPriority w:val="6"/>
    <w:pPr>
      <w:ind w:firstLine="567"/>
      <w:jc w:val="both"/>
    </w:pPr>
    <w:rPr>
      <w:kern w:val="1"/>
      <w:sz w:val="28"/>
    </w:rPr>
  </w:style>
  <w:style w:type="paragraph" w:styleId="4">
    <w:name w:val="Plain Text"/>
    <w:basedOn w:val="1"/>
    <w:unhideWhenUsed/>
    <w:qFormat/>
    <w:uiPriority w:val="99"/>
    <w:rPr>
      <w:rFonts w:ascii="宋体" w:hAnsi="Courier New"/>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9">
    <w:name w:val="table of figures"/>
    <w:basedOn w:val="1"/>
    <w:next w:val="1"/>
    <w:qFormat/>
    <w:uiPriority w:val="99"/>
    <w:pPr>
      <w:ind w:leftChars="200" w:hanging="200" w:hangingChars="200"/>
      <w:jc w:val="left"/>
    </w:pPr>
    <w:rPr>
      <w:rFonts w:hint="eastAsia" w:ascii="宋体" w:hAnsi="宋体" w:eastAsia="宋体" w:cs="宋体"/>
      <w:kern w:val="0"/>
      <w:sz w:val="24"/>
      <w:szCs w:val="24"/>
      <w:lang w:val="en-US" w:eastAsia="zh-CN" w:bidi="ar"/>
    </w:rPr>
  </w:style>
  <w:style w:type="paragraph" w:styleId="10">
    <w:name w:val="toc 2"/>
    <w:basedOn w:val="1"/>
    <w:next w:val="1"/>
    <w:unhideWhenUsed/>
    <w:qFormat/>
    <w:uiPriority w:val="39"/>
    <w:pPr>
      <w:tabs>
        <w:tab w:val="right" w:leader="dot" w:pos="8296"/>
      </w:tabs>
      <w:ind w:left="420" w:leftChars="200"/>
    </w:pPr>
  </w:style>
  <w:style w:type="paragraph" w:styleId="11">
    <w:name w:val="Normal (Web)"/>
    <w:basedOn w:val="1"/>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character" w:styleId="14">
    <w:name w:val="Strong"/>
    <w:basedOn w:val="13"/>
    <w:qFormat/>
    <w:uiPriority w:val="0"/>
    <w:rPr>
      <w:b/>
    </w:rPr>
  </w:style>
  <w:style w:type="character" w:styleId="15">
    <w:name w:val="Hyperlink"/>
    <w:basedOn w:val="13"/>
    <w:qFormat/>
    <w:uiPriority w:val="0"/>
    <w:rPr>
      <w:color w:val="0000FF"/>
      <w:u w:val="none"/>
    </w:rPr>
  </w:style>
  <w:style w:type="paragraph" w:styleId="16">
    <w:name w:val="List Paragraph"/>
    <w:basedOn w:val="1"/>
    <w:qFormat/>
    <w:uiPriority w:val="34"/>
    <w:pPr>
      <w:ind w:firstLine="420" w:firstLineChars="200"/>
    </w:pPr>
  </w:style>
  <w:style w:type="paragraph" w:customStyle="1" w:styleId="1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8">
    <w:name w:val="No Spacing"/>
    <w:qFormat/>
    <w:uiPriority w:val="0"/>
    <w:pPr>
      <w:ind w:firstLine="200" w:firstLineChars="200"/>
    </w:pPr>
    <w:rPr>
      <w:rFonts w:ascii="Times New Roman" w:hAnsi="Times New Roman" w:eastAsia="仿宋_GB2312" w:cs="Times New Roman"/>
      <w:sz w:val="30"/>
      <w:szCs w:val="22"/>
      <w:lang w:val="en-US" w:eastAsia="zh-CN" w:bidi="ar-SA"/>
    </w:rPr>
  </w:style>
  <w:style w:type="paragraph" w:customStyle="1" w:styleId="19">
    <w:name w:val="普通(网站) Char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20">
    <w:name w:val="15"/>
    <w:basedOn w:val="13"/>
    <w:qFormat/>
    <w:uiPriority w:val="0"/>
    <w:rPr>
      <w:rFonts w:hint="default" w:ascii="Times New Roman" w:hAnsi="Times New Roman" w:cs="Times New Roman"/>
      <w:b/>
    </w:rPr>
  </w:style>
  <w:style w:type="character" w:customStyle="1" w:styleId="21">
    <w:name w:val="16"/>
    <w:basedOn w:val="13"/>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oleObject" Target="embeddings/oleObject2.bin"/><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收入支出上下年对比图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elete val="1"/>
          </c:dLbls>
          <c:cat>
            <c:strRef>
              <c:f>Sheet1!$A$2:$A$3</c:f>
              <c:strCache>
                <c:ptCount val="2"/>
                <c:pt idx="0">
                  <c:v>2022年</c:v>
                </c:pt>
                <c:pt idx="1">
                  <c:v>2023年</c:v>
                </c:pt>
              </c:strCache>
            </c:strRef>
          </c:cat>
          <c:val>
            <c:numRef>
              <c:f>Sheet1!$B$2:$B$3</c:f>
              <c:numCache>
                <c:formatCode>General</c:formatCode>
                <c:ptCount val="2"/>
                <c:pt idx="0">
                  <c:v>336.16</c:v>
                </c:pt>
                <c:pt idx="1">
                  <c:v>379.83</c:v>
                </c:pt>
              </c:numCache>
            </c:numRef>
          </c:val>
        </c:ser>
        <c:ser>
          <c:idx val="1"/>
          <c:order val="1"/>
          <c:tx>
            <c:strRef>
              <c:f>Sheet1!$C$1</c:f>
              <c:strCache>
                <c:ptCount val="1"/>
                <c:pt idx="0">
                  <c:v>支出</c:v>
                </c:pt>
              </c:strCache>
            </c:strRef>
          </c:tx>
          <c:spPr>
            <a:solidFill>
              <a:schemeClr val="accent2"/>
            </a:solidFill>
            <a:ln>
              <a:noFill/>
            </a:ln>
            <a:effectLst/>
          </c:spPr>
          <c:invertIfNegative val="0"/>
          <c:dLbls>
            <c:delete val="1"/>
          </c:dLbls>
          <c:cat>
            <c:strRef>
              <c:f>Sheet1!$A$2:$A$3</c:f>
              <c:strCache>
                <c:ptCount val="2"/>
                <c:pt idx="0">
                  <c:v>2022年</c:v>
                </c:pt>
                <c:pt idx="1">
                  <c:v>2023年</c:v>
                </c:pt>
              </c:strCache>
            </c:strRef>
          </c:cat>
          <c:val>
            <c:numRef>
              <c:f>Sheet1!$C$2:$C$3</c:f>
              <c:numCache>
                <c:formatCode>General</c:formatCode>
                <c:ptCount val="2"/>
                <c:pt idx="0">
                  <c:v>336.16</c:v>
                </c:pt>
                <c:pt idx="1">
                  <c:v>379.83</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2022年</c:v>
                </c:pt>
                <c:pt idx="1">
                  <c:v>2023年</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571021406"/>
        <c:axId val="744813058"/>
      </c:barChart>
      <c:catAx>
        <c:axId val="57102140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44813058"/>
        <c:crosses val="autoZero"/>
        <c:auto val="1"/>
        <c:lblAlgn val="ctr"/>
        <c:lblOffset val="100"/>
        <c:noMultiLvlLbl val="0"/>
      </c:catAx>
      <c:valAx>
        <c:axId val="74481305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102140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收入组成结构图</c:v>
                </c:pt>
              </c:strCache>
            </c:strRef>
          </c:tx>
          <c:spPr/>
          <c:explosion val="0"/>
          <c:dPt>
            <c:idx val="0"/>
            <c:bubble3D val="0"/>
            <c:spPr>
              <a:solidFill>
                <a:schemeClr val="accent1"/>
              </a:solidFill>
              <a:ln w="19050">
                <a:solidFill>
                  <a:schemeClr val="lt1"/>
                </a:solidFill>
              </a:ln>
              <a:effectLst/>
            </c:spPr>
          </c:dPt>
          <c:dLbls>
            <c:delete val="1"/>
          </c:dLbls>
          <c:cat>
            <c:strRef>
              <c:f>Sheet1!$A$2</c:f>
              <c:strCache>
                <c:ptCount val="1"/>
                <c:pt idx="0">
                  <c:v>一般公共财政拨款</c:v>
                </c:pt>
              </c:strCache>
            </c:strRef>
          </c:cat>
          <c:val>
            <c:numRef>
              <c:f>Sheet1!$B$2</c:f>
              <c:numCache>
                <c:formatCode>General</c:formatCode>
                <c:ptCount val="1"/>
                <c:pt idx="0">
                  <c:v>379.83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支出构成</c:v>
                </c:pt>
              </c:strCache>
            </c:strRef>
          </c:tx>
          <c:spPr/>
          <c:explosion val="0"/>
          <c:dPt>
            <c:idx val="0"/>
            <c:bubble3D val="0"/>
            <c:spPr>
              <a:solidFill>
                <a:schemeClr val="accent1"/>
              </a:solidFill>
              <a:ln w="19050">
                <a:solidFill>
                  <a:schemeClr val="lt1"/>
                </a:solidFill>
              </a:ln>
              <a:effectLst/>
            </c:spPr>
          </c:dPt>
          <c:dLbls>
            <c:delete val="1"/>
          </c:dLbls>
          <c:cat>
            <c:strRef>
              <c:f>Sheet1!$A$2</c:f>
              <c:strCache>
                <c:ptCount val="1"/>
                <c:pt idx="0">
                  <c:v>基本支出</c:v>
                </c:pt>
              </c:strCache>
            </c:strRef>
          </c:cat>
          <c:val>
            <c:numRef>
              <c:f>Sheet1!$B$2</c:f>
              <c:numCache>
                <c:formatCode>General</c:formatCode>
                <c:ptCount val="1"/>
                <c:pt idx="0">
                  <c:v>379.83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财政拨款收支上下年变化图</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delete val="1"/>
          </c:dLbls>
          <c:cat>
            <c:strRef>
              <c:f>Sheet1!$A$2:$A$3</c:f>
              <c:strCache>
                <c:ptCount val="2"/>
                <c:pt idx="0">
                  <c:v>财政拨款收入</c:v>
                </c:pt>
                <c:pt idx="1">
                  <c:v>财政拨款支出</c:v>
                </c:pt>
              </c:strCache>
            </c:strRef>
          </c:cat>
          <c:val>
            <c:numRef>
              <c:f>Sheet1!$B$2:$B$3</c:f>
              <c:numCache>
                <c:formatCode>General</c:formatCode>
                <c:ptCount val="2"/>
                <c:pt idx="0">
                  <c:v>379.83</c:v>
                </c:pt>
                <c:pt idx="1">
                  <c:v>379.83</c:v>
                </c:pt>
              </c:numCache>
            </c:numRef>
          </c:val>
        </c:ser>
        <c:ser>
          <c:idx val="1"/>
          <c:order val="1"/>
          <c:tx>
            <c:strRef>
              <c:f>Sheet1!$C$1</c:f>
              <c:strCache>
                <c:ptCount val="1"/>
                <c:pt idx="0">
                  <c:v>2022年</c:v>
                </c:pt>
              </c:strCache>
            </c:strRef>
          </c:tx>
          <c:spPr>
            <a:solidFill>
              <a:schemeClr val="accent2"/>
            </a:solidFill>
            <a:ln>
              <a:noFill/>
            </a:ln>
            <a:effectLst/>
          </c:spPr>
          <c:invertIfNegative val="0"/>
          <c:dLbls>
            <c:delete val="1"/>
          </c:dLbls>
          <c:cat>
            <c:strRef>
              <c:f>Sheet1!$A$2:$A$3</c:f>
              <c:strCache>
                <c:ptCount val="2"/>
                <c:pt idx="0">
                  <c:v>财政拨款收入</c:v>
                </c:pt>
                <c:pt idx="1">
                  <c:v>财政拨款支出</c:v>
                </c:pt>
              </c:strCache>
            </c:strRef>
          </c:cat>
          <c:val>
            <c:numRef>
              <c:f>Sheet1!$C$2:$C$3</c:f>
              <c:numCache>
                <c:formatCode>General</c:formatCode>
                <c:ptCount val="2"/>
                <c:pt idx="0">
                  <c:v>336.16</c:v>
                </c:pt>
                <c:pt idx="1">
                  <c:v>336.16</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财政拨款收入</c:v>
                </c:pt>
                <c:pt idx="1">
                  <c:v>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615094216"/>
        <c:axId val="912299255"/>
      </c:barChart>
      <c:catAx>
        <c:axId val="6150942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2299255"/>
        <c:crosses val="autoZero"/>
        <c:auto val="1"/>
        <c:lblAlgn val="ctr"/>
        <c:lblOffset val="100"/>
        <c:noMultiLvlLbl val="0"/>
      </c:catAx>
      <c:valAx>
        <c:axId val="9122992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509421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一般公共财政拨款支出决算上下年变动图</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delete val="1"/>
          </c:dLbls>
          <c:cat>
            <c:strRef>
              <c:f>Sheet1!$A$2</c:f>
              <c:strCache>
                <c:ptCount val="1"/>
                <c:pt idx="0">
                  <c:v>一般公共财政拨款支出</c:v>
                </c:pt>
              </c:strCache>
            </c:strRef>
          </c:cat>
          <c:val>
            <c:numRef>
              <c:f>Sheet1!$B$2</c:f>
              <c:numCache>
                <c:formatCode>General</c:formatCode>
                <c:ptCount val="1"/>
                <c:pt idx="0">
                  <c:v>379.83</c:v>
                </c:pt>
              </c:numCache>
            </c:numRef>
          </c:val>
        </c:ser>
        <c:ser>
          <c:idx val="1"/>
          <c:order val="1"/>
          <c:tx>
            <c:strRef>
              <c:f>Sheet1!$C$1</c:f>
              <c:strCache>
                <c:ptCount val="1"/>
                <c:pt idx="0">
                  <c:v>2022年</c:v>
                </c:pt>
              </c:strCache>
            </c:strRef>
          </c:tx>
          <c:spPr>
            <a:solidFill>
              <a:schemeClr val="accent2"/>
            </a:solidFill>
            <a:ln>
              <a:noFill/>
            </a:ln>
            <a:effectLst/>
          </c:spPr>
          <c:invertIfNegative val="0"/>
          <c:dLbls>
            <c:delete val="1"/>
          </c:dLbls>
          <c:cat>
            <c:strRef>
              <c:f>Sheet1!$A$2</c:f>
              <c:strCache>
                <c:ptCount val="1"/>
                <c:pt idx="0">
                  <c:v>一般公共财政拨款支出</c:v>
                </c:pt>
              </c:strCache>
            </c:strRef>
          </c:cat>
          <c:val>
            <c:numRef>
              <c:f>Sheet1!$C$2</c:f>
              <c:numCache>
                <c:formatCode>General</c:formatCode>
                <c:ptCount val="1"/>
                <c:pt idx="0">
                  <c:v>336.16</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一般公共财政拨款支出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685493246"/>
        <c:axId val="342343358"/>
      </c:barChart>
      <c:catAx>
        <c:axId val="68549324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2343358"/>
        <c:crosses val="autoZero"/>
        <c:auto val="1"/>
        <c:lblAlgn val="ctr"/>
        <c:lblOffset val="100"/>
        <c:noMultiLvlLbl val="0"/>
      </c:catAx>
      <c:valAx>
        <c:axId val="34234335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549324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46002132196162"/>
          <c:y val="0.0698283386674425"/>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一般公共财政拨款支出结构图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一般公共服务支出</c:v>
                </c:pt>
                <c:pt idx="1">
                  <c:v>社会保障和就业支出</c:v>
                </c:pt>
                <c:pt idx="2">
                  <c:v>住房保障支出</c:v>
                </c:pt>
                <c:pt idx="3">
                  <c:v>卫生健康支出</c:v>
                </c:pt>
              </c:strCache>
            </c:strRef>
          </c:cat>
          <c:val>
            <c:numRef>
              <c:f>Sheet1!$B$2:$B$5</c:f>
              <c:numCache>
                <c:formatCode>General</c:formatCode>
                <c:ptCount val="4"/>
                <c:pt idx="0">
                  <c:v>286.93</c:v>
                </c:pt>
                <c:pt idx="1">
                  <c:v>49.24</c:v>
                </c:pt>
                <c:pt idx="2">
                  <c:v>24</c:v>
                </c:pt>
                <c:pt idx="3">
                  <c:v>19.67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因公出国</c:v>
                </c:pt>
                <c:pt idx="1">
                  <c:v>公务用车运行维护费</c:v>
                </c:pt>
                <c:pt idx="2">
                  <c:v>公务接待费</c:v>
                </c:pt>
              </c:strCache>
            </c:strRef>
          </c:cat>
          <c:val>
            <c:numRef>
              <c:f>Sheet1!$B$2:$B$4</c:f>
              <c:numCache>
                <c:formatCode>General</c:formatCode>
                <c:ptCount val="3"/>
                <c:pt idx="0">
                  <c:v>0</c:v>
                </c:pt>
                <c:pt idx="1">
                  <c:v>2.57</c:v>
                </c:pt>
                <c:pt idx="2">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user</cp:lastModifiedBy>
  <dcterms:modified xsi:type="dcterms:W3CDTF">2024-11-06T06:44:18Z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ICV">
    <vt:lpwstr>BD2BD8E52C4247A38740A508D7F092DB_13</vt:lpwstr>
  </property>
</Properties>
</file>