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4"/>
          <w:rFonts w:hint="eastAsia" w:ascii="方正小标宋简体" w:hAnsi="方正小标宋简体" w:eastAsia="方正小标宋简体" w:cs="方正小标宋简体"/>
          <w:sz w:val="44"/>
          <w:szCs w:val="44"/>
          <w:shd w:val="clear" w:color="auto" w:fill="FFFFFF"/>
        </w:rPr>
        <w:t>202</w:t>
      </w:r>
      <w:r>
        <w:rPr>
          <w:rStyle w:val="14"/>
          <w:rFonts w:hint="eastAsia" w:ascii="方正小标宋简体" w:hAnsi="方正小标宋简体" w:eastAsia="方正小标宋简体" w:cs="方正小标宋简体"/>
          <w:sz w:val="44"/>
          <w:szCs w:val="44"/>
          <w:shd w:val="clear" w:color="auto" w:fill="FFFFFF"/>
          <w:lang w:val="en-US" w:eastAsia="zh-CN"/>
        </w:rPr>
        <w:t>2</w:t>
      </w:r>
      <w:r>
        <w:rPr>
          <w:rStyle w:val="14"/>
          <w:rFonts w:hint="eastAsia" w:ascii="方正小标宋简体" w:hAnsi="方正小标宋简体" w:eastAsia="方正小标宋简体" w:cs="方正小标宋简体"/>
          <w:sz w:val="44"/>
          <w:szCs w:val="44"/>
          <w:shd w:val="clear" w:color="auto" w:fill="FFFFFF"/>
        </w:rPr>
        <w:t>年度</w:t>
      </w:r>
    </w:p>
    <w:p>
      <w:pPr>
        <w:pStyle w:val="11"/>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4"/>
          <w:rFonts w:hint="eastAsia" w:ascii="方正小标宋简体" w:hAnsi="方正小标宋简体" w:eastAsia="方正小标宋简体" w:cs="方正小标宋简体"/>
          <w:sz w:val="44"/>
          <w:szCs w:val="44"/>
          <w:shd w:val="clear" w:color="auto" w:fill="FFFFFF"/>
          <w:lang w:eastAsia="zh-CN"/>
        </w:rPr>
        <w:t>中共红原县委机构编制委员会办公室</w:t>
      </w:r>
      <w:r>
        <w:rPr>
          <w:rStyle w:val="14"/>
          <w:rFonts w:hint="eastAsia" w:ascii="方正小标宋简体" w:hAnsi="方正小标宋简体" w:eastAsia="方正小标宋简体" w:cs="方正小标宋简体"/>
          <w:sz w:val="44"/>
          <w:szCs w:val="44"/>
          <w:shd w:val="clear" w:color="auto" w:fill="FFFFFF"/>
        </w:rPr>
        <w:t>部门决算</w:t>
      </w:r>
      <w:r>
        <w:rPr>
          <w:rStyle w:val="14"/>
          <w:rFonts w:hint="eastAsia" w:ascii="方正小标宋简体" w:hAnsi="方正小标宋简体" w:eastAsia="方正小标宋简体" w:cs="方正小标宋简体"/>
          <w:sz w:val="44"/>
          <w:szCs w:val="44"/>
          <w:shd w:val="clear" w:color="auto" w:fill="FFFFFF"/>
          <w:lang w:eastAsia="zh-CN"/>
        </w:rPr>
        <w:t>公开编制说明</w:t>
      </w: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pPr>
      <w:r>
        <w:rPr>
          <w:sz w:val="24"/>
          <w:szCs w:val="24"/>
          <w:shd w:val="clear" w:color="auto" w:fill="FFFFFF"/>
        </w:rPr>
        <w:t>保密审查情况：已审查，内容审定</w:t>
      </w:r>
    </w:p>
    <w:p>
      <w:pPr>
        <w:pStyle w:val="11"/>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1"/>
        <w:keepNext w:val="0"/>
        <w:keepLines w:val="0"/>
        <w:widowControl/>
        <w:suppressLineNumbers w:val="0"/>
        <w:ind w:left="0" w:right="75"/>
        <w:jc w:val="both"/>
        <w:rPr>
          <w:rStyle w:val="14"/>
          <w:sz w:val="30"/>
          <w:szCs w:val="30"/>
          <w:shd w:val="clear" w:color="auto" w:fill="FFFFFF"/>
        </w:rPr>
        <w:sectPr>
          <w:pgSz w:w="11906" w:h="16838"/>
          <w:pgMar w:top="1440" w:right="1800" w:bottom="1440" w:left="1800" w:header="851" w:footer="992" w:gutter="0"/>
          <w:cols w:space="720" w:num="1"/>
          <w:docGrid w:type="lines" w:linePitch="312" w:charSpace="0"/>
        </w:sectPr>
      </w:pPr>
    </w:p>
    <w:p>
      <w:pPr>
        <w:pStyle w:val="11"/>
        <w:keepNext w:val="0"/>
        <w:keepLines w:val="0"/>
        <w:widowControl/>
        <w:suppressLineNumbers w:val="0"/>
        <w:ind w:left="0" w:right="75"/>
        <w:jc w:val="center"/>
      </w:pPr>
      <w:r>
        <w:rPr>
          <w:rStyle w:val="14"/>
          <w:sz w:val="30"/>
          <w:szCs w:val="30"/>
          <w:shd w:val="clear" w:color="auto" w:fill="FFFFFF"/>
        </w:rPr>
        <w:t>目 录</w:t>
      </w:r>
    </w:p>
    <w:p>
      <w:pPr>
        <w:pStyle w:val="11"/>
        <w:keepNext w:val="0"/>
        <w:keepLines w:val="0"/>
        <w:widowControl/>
        <w:suppressLineNumbers w:val="0"/>
        <w:ind w:left="0" w:right="75"/>
        <w:jc w:val="center"/>
        <w:rPr>
          <w:rFonts w:hint="eastAsia"/>
        </w:rPr>
      </w:pPr>
      <w:r>
        <w:rPr>
          <w:sz w:val="24"/>
          <w:szCs w:val="24"/>
          <w:shd w:val="clear" w:color="auto" w:fill="FFFFFF"/>
        </w:rPr>
        <w:t>公开时间：202</w:t>
      </w:r>
      <w:r>
        <w:rPr>
          <w:rFonts w:hint="eastAsia"/>
          <w:sz w:val="24"/>
          <w:szCs w:val="24"/>
          <w:shd w:val="clear" w:color="auto" w:fill="FFFFFF"/>
          <w:lang w:val="en-US" w:eastAsia="zh-CN"/>
        </w:rPr>
        <w:t>2</w:t>
      </w:r>
      <w:r>
        <w:rPr>
          <w:sz w:val="24"/>
          <w:szCs w:val="24"/>
          <w:shd w:val="clear" w:color="auto" w:fill="FFFFFF"/>
        </w:rPr>
        <w:t xml:space="preserve">年 </w:t>
      </w:r>
      <w:r>
        <w:rPr>
          <w:rFonts w:hint="eastAsia"/>
          <w:sz w:val="24"/>
          <w:szCs w:val="24"/>
          <w:shd w:val="clear" w:color="auto" w:fill="FFFFFF"/>
          <w:lang w:val="en-US" w:eastAsia="zh-CN"/>
        </w:rPr>
        <w:t>10</w:t>
      </w:r>
      <w:r>
        <w:rPr>
          <w:sz w:val="24"/>
          <w:szCs w:val="24"/>
          <w:shd w:val="clear" w:color="auto" w:fill="FFFFFF"/>
        </w:rPr>
        <w:t>月</w:t>
      </w:r>
      <w:r>
        <w:rPr>
          <w:rFonts w:hint="eastAsia"/>
          <w:sz w:val="24"/>
          <w:szCs w:val="24"/>
          <w:shd w:val="clear" w:color="auto" w:fill="FFFFFF"/>
          <w:lang w:val="en-US" w:eastAsia="zh-CN"/>
        </w:rPr>
        <w:t>30</w:t>
      </w:r>
      <w:r>
        <w:rPr>
          <w:sz w:val="24"/>
          <w:szCs w:val="24"/>
          <w:shd w:val="clear" w:color="auto" w:fill="FFFFFF"/>
        </w:rPr>
        <w:t>日</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第二部分 202</w:t>
          </w:r>
          <w:r>
            <w:rPr>
              <w:rFonts w:hint="eastAsia" w:ascii="仿宋_GB2312" w:hAnsi="仿宋_GB2312" w:eastAsia="仿宋_GB2312" w:cs="仿宋_GB2312"/>
              <w:sz w:val="30"/>
              <w:szCs w:val="30"/>
              <w:shd w:val="clear" w:color="auto" w:fill="FFFFFF"/>
              <w:lang w:val="en-US" w:eastAsia="zh-CN"/>
            </w:rPr>
            <w:t>2</w:t>
          </w:r>
          <w:r>
            <w:rPr>
              <w:rFonts w:hint="eastAsia" w:ascii="仿宋_GB2312" w:hAnsi="仿宋_GB2312" w:eastAsia="仿宋_GB2312" w:cs="仿宋_GB2312"/>
              <w:sz w:val="30"/>
              <w:szCs w:val="30"/>
              <w:shd w:val="clear" w:color="auto" w:fill="FFFFFF"/>
            </w:rPr>
            <w:t>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rPr>
            <w:t>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rPr>
            <w:t>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八、 </w:t>
          </w:r>
          <w:r>
            <w:rPr>
              <w:rFonts w:hint="eastAsia" w:ascii="仿宋_GB2312" w:hAnsi="仿宋_GB2312" w:eastAsia="仿宋_GB2312" w:cs="仿宋_GB2312"/>
              <w:sz w:val="30"/>
              <w:szCs w:val="30"/>
              <w:shd w:val="clear" w:color="auto" w:fill="FFFFFF"/>
            </w:rPr>
            <w:t>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九、 </w:t>
          </w:r>
          <w:r>
            <w:rPr>
              <w:rFonts w:hint="eastAsia" w:ascii="仿宋_GB2312" w:hAnsi="仿宋_GB2312" w:eastAsia="仿宋_GB2312" w:cs="仿宋_GB2312"/>
              <w:sz w:val="30"/>
              <w:szCs w:val="30"/>
              <w:shd w:val="clear" w:color="auto" w:fill="FFFFFF"/>
            </w:rPr>
            <w:t>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9"/>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9"/>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附件</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lang w:eastAsia="zh-CN"/>
            </w:rPr>
            <w:t>：县委编办202</w:t>
          </w:r>
          <w:r>
            <w:rPr>
              <w:rFonts w:hint="eastAsia" w:ascii="仿宋_GB2312" w:hAnsi="仿宋_GB2312" w:eastAsia="仿宋_GB2312" w:cs="仿宋_GB2312"/>
              <w:sz w:val="30"/>
              <w:szCs w:val="30"/>
              <w:shd w:val="clear" w:color="auto" w:fill="FFFFFF"/>
              <w:lang w:val="en-US" w:eastAsia="zh-CN"/>
            </w:rPr>
            <w:t>2</w:t>
          </w:r>
          <w:r>
            <w:rPr>
              <w:rFonts w:hint="eastAsia" w:ascii="仿宋_GB2312" w:hAnsi="仿宋_GB2312" w:eastAsia="仿宋_GB2312" w:cs="仿宋_GB2312"/>
              <w:sz w:val="30"/>
              <w:szCs w:val="30"/>
              <w:shd w:val="clear" w:color="auto" w:fill="FFFFFF"/>
              <w:lang w:eastAsia="zh-CN"/>
            </w:rPr>
            <w:t>年部门整体支出绩效评价报告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9"/>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0</w:t>
          </w:r>
        </w:p>
        <w:p>
          <w:pPr>
            <w:rPr>
              <w:rFonts w:ascii="宋体" w:hAnsi="宋体" w:eastAsia="宋体" w:cs="Times New Roman"/>
              <w:kern w:val="2"/>
              <w:sz w:val="21"/>
              <w:szCs w:val="24"/>
              <w:lang w:val="en-US" w:eastAsia="zh-CN" w:bidi="ar-SA"/>
            </w:rPr>
          </w:pPr>
          <w:r>
            <w:rPr>
              <w:rFonts w:hint="eastAsia" w:ascii="仿宋_GB2312" w:hAnsi="仿宋_GB2312" w:eastAsia="仿宋_GB2312" w:cs="仿宋_GB2312"/>
              <w:sz w:val="30"/>
              <w:szCs w:val="30"/>
            </w:rPr>
            <w:fldChar w:fldCharType="end"/>
          </w:r>
        </w:p>
      </w:sdtContent>
    </w:sdt>
    <w:sdt>
      <w:sdtPr>
        <w:rPr>
          <w:rFonts w:ascii="宋体" w:hAnsi="宋体" w:eastAsia="宋体" w:cs="Times New Roman"/>
          <w:kern w:val="2"/>
          <w:sz w:val="21"/>
          <w:szCs w:val="24"/>
          <w:lang w:val="en-US" w:eastAsia="zh-CN" w:bidi="ar-SA"/>
        </w:rPr>
        <w:id w:val="147458493"/>
        <w:showingPlcHdr/>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sdtContent>
    </w:sdt>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sectPr>
          <w:footerReference r:id="rId3" w:type="default"/>
          <w:pgSz w:w="11906" w:h="16838"/>
          <w:pgMar w:top="1440" w:right="1800" w:bottom="1440" w:left="1800" w:header="851" w:footer="992" w:gutter="0"/>
          <w:pgNumType w:fmt="decimal" w:start="1"/>
          <w:cols w:space="720" w:num="1"/>
          <w:docGrid w:type="lines" w:linePitch="312" w:charSpace="0"/>
        </w:sectPr>
      </w:pPr>
      <w:bookmarkStart w:id="0" w:name="_Toc27360"/>
    </w:p>
    <w:p>
      <w:pPr>
        <w:pStyle w:val="11"/>
        <w:keepNext w:val="0"/>
        <w:keepLines w:val="0"/>
        <w:widowControl/>
        <w:suppressLineNumbers w:val="0"/>
        <w:ind w:left="0"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第一部分 部门概况</w:t>
      </w:r>
      <w:bookmarkEnd w:id="0"/>
    </w:p>
    <w:p>
      <w:pPr>
        <w:pStyle w:val="11"/>
        <w:keepNext w:val="0"/>
        <w:keepLines w:val="0"/>
        <w:widowControl/>
        <w:suppressLineNumbers w:val="0"/>
        <w:ind w:left="0" w:right="75"/>
        <w:outlineLvl w:val="1"/>
        <w:rPr>
          <w:rFonts w:hint="eastAsia" w:ascii="黑体" w:hAnsi="黑体" w:eastAsia="黑体" w:cs="黑体"/>
          <w:sz w:val="32"/>
          <w:szCs w:val="32"/>
        </w:rPr>
      </w:pPr>
      <w:bookmarkStart w:id="1" w:name="_Toc14224"/>
      <w:r>
        <w:rPr>
          <w:rFonts w:hint="eastAsia" w:ascii="黑体" w:hAnsi="黑体" w:eastAsia="黑体" w:cs="黑体"/>
          <w:sz w:val="32"/>
          <w:szCs w:val="32"/>
          <w:shd w:val="clear" w:color="auto" w:fill="FFFFFF"/>
        </w:rPr>
        <w:t>一、基本职能及主要工作</w:t>
      </w:r>
      <w:bookmarkEnd w:id="1"/>
    </w:p>
    <w:p>
      <w:pPr>
        <w:pStyle w:val="11"/>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（一）主要职能。</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1、</w:t>
      </w:r>
      <w:r>
        <w:rPr>
          <w:rFonts w:hint="eastAsia" w:ascii="仿宋" w:hAnsi="仿宋" w:eastAsia="仿宋" w:cs="仿宋"/>
          <w:snapToGrid w:val="0"/>
          <w:color w:val="000000"/>
          <w:kern w:val="56"/>
          <w:sz w:val="32"/>
          <w:szCs w:val="32"/>
          <w:shd w:val="clear" w:color="auto" w:fill="FFFFFF"/>
        </w:rPr>
        <w:t>贯彻执行中央、省、州关于行政管理体制改革和机构改革、事业单位改革及机构编制管理的方针政策、法律法规，研究拟定本县的政策规定、管理办法和实施细则。</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2、</w:t>
      </w:r>
      <w:r>
        <w:rPr>
          <w:rFonts w:hint="eastAsia" w:ascii="仿宋" w:hAnsi="仿宋" w:eastAsia="仿宋" w:cs="仿宋"/>
          <w:snapToGrid w:val="0"/>
          <w:color w:val="000000"/>
          <w:kern w:val="56"/>
          <w:sz w:val="32"/>
          <w:szCs w:val="32"/>
          <w:shd w:val="clear" w:color="auto" w:fill="FFFFFF"/>
        </w:rPr>
        <w:t>研究拟定全县行政管理体制改革和机构改革方案，审核县直各部门“三定”规定和县直各部门、乡镇机构改革方案，指导县直各部门、乡镇行政管理体制改革和机构改革，评估改革方案。参与行政审批制度改革和行政区划调整的有关工作。</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3、</w:t>
      </w:r>
      <w:r>
        <w:rPr>
          <w:rFonts w:hint="eastAsia" w:ascii="仿宋" w:hAnsi="仿宋" w:eastAsia="仿宋" w:cs="仿宋"/>
          <w:snapToGrid w:val="0"/>
          <w:color w:val="000000"/>
          <w:kern w:val="56"/>
          <w:sz w:val="32"/>
          <w:szCs w:val="32"/>
          <w:shd w:val="clear" w:color="auto" w:fill="FFFFFF"/>
        </w:rPr>
        <w:t>拟定全县各级行政编制、政法专项编制总额分配方案，审核跨层级调整行政编制事项。负责全县行政事业编制总量控制、结构调整和机关事业单位机构编制实名制管理工作。对县直机关和县属事业单位使用空缺编制补充人员以及进入县级财政供养范围的人员（工勤人员除外）进行核批。</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4、</w:t>
      </w:r>
      <w:r>
        <w:rPr>
          <w:rFonts w:hint="eastAsia" w:ascii="仿宋" w:hAnsi="仿宋" w:eastAsia="仿宋" w:cs="仿宋"/>
          <w:snapToGrid w:val="0"/>
          <w:color w:val="000000"/>
          <w:kern w:val="56"/>
          <w:sz w:val="32"/>
          <w:szCs w:val="32"/>
          <w:shd w:val="clear" w:color="auto" w:fill="FFFFFF"/>
        </w:rPr>
        <w:t>负责县委、县政府各部门，县人大、县政协机关，县法院、县检察院机关及县人民团体机关的机构编制管理工作。协调县直各部门之间的职能划分。</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5、</w:t>
      </w:r>
      <w:r>
        <w:rPr>
          <w:rFonts w:hint="eastAsia" w:ascii="仿宋" w:hAnsi="仿宋" w:eastAsia="仿宋" w:cs="仿宋"/>
          <w:snapToGrid w:val="0"/>
          <w:color w:val="000000"/>
          <w:kern w:val="56"/>
          <w:sz w:val="32"/>
          <w:szCs w:val="32"/>
          <w:shd w:val="clear" w:color="auto" w:fill="FFFFFF"/>
        </w:rPr>
        <w:t>审核股级规格管理机构的设置、调整，按程序向州委编委请示县内副科级或按照副科级及以上规格管理机构的设置、调整。</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lang w:eastAsia="zh-CN"/>
        </w:rPr>
      </w:pPr>
      <w:r>
        <w:rPr>
          <w:rFonts w:hint="eastAsia" w:ascii="仿宋" w:hAnsi="仿宋" w:eastAsia="仿宋" w:cs="仿宋"/>
          <w:snapToGrid w:val="0"/>
          <w:color w:val="000000"/>
          <w:kern w:val="56"/>
          <w:sz w:val="32"/>
          <w:szCs w:val="32"/>
          <w:shd w:val="clear" w:color="auto" w:fill="FFFFFF"/>
          <w:lang w:val="en-US" w:eastAsia="zh-CN"/>
        </w:rPr>
        <w:t>6、</w:t>
      </w:r>
      <w:r>
        <w:rPr>
          <w:rFonts w:hint="eastAsia" w:ascii="仿宋" w:hAnsi="仿宋" w:eastAsia="仿宋" w:cs="仿宋"/>
          <w:snapToGrid w:val="0"/>
          <w:color w:val="000000"/>
          <w:kern w:val="56"/>
          <w:sz w:val="32"/>
          <w:szCs w:val="32"/>
          <w:shd w:val="clear" w:color="auto" w:fill="FFFFFF"/>
        </w:rPr>
        <w:t>研究拟定全县事业单位改革方案及其实施意见，负责县属事业单位机构编制管理，审核县属事业单位的机构编制方案，负责拟参照公务员法管理事业单位的职责审核工作，指导并协调县、乡镇事业单位改革和机构编制管理工作。</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7、</w:t>
      </w:r>
      <w:r>
        <w:rPr>
          <w:rFonts w:hint="eastAsia" w:ascii="仿宋" w:hAnsi="仿宋" w:eastAsia="仿宋" w:cs="仿宋"/>
          <w:snapToGrid w:val="0"/>
          <w:color w:val="000000"/>
          <w:kern w:val="56"/>
          <w:sz w:val="32"/>
          <w:szCs w:val="32"/>
          <w:shd w:val="clear" w:color="auto" w:fill="FFFFFF"/>
        </w:rPr>
        <w:t>监督检查全县行政管理体制改革和机构改革方案及机构编制规定执行情况，建立机构编制工作考核评估制度，会同有关部门查处机构编制违法违纪行为。</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 xml:space="preserve">  8、</w:t>
      </w:r>
      <w:r>
        <w:rPr>
          <w:rFonts w:hint="eastAsia" w:ascii="仿宋" w:hAnsi="仿宋" w:eastAsia="仿宋" w:cs="仿宋"/>
          <w:snapToGrid w:val="0"/>
          <w:color w:val="000000"/>
          <w:kern w:val="56"/>
          <w:sz w:val="32"/>
          <w:szCs w:val="32"/>
          <w:shd w:val="clear" w:color="auto" w:fill="FFFFFF"/>
        </w:rPr>
        <w:t>负责全县事业单位登记管理工作，组织实施县属事业单位登记和年检工作</w:t>
      </w:r>
      <w:r>
        <w:rPr>
          <w:rFonts w:hint="eastAsia" w:ascii="仿宋" w:hAnsi="仿宋" w:eastAsia="仿宋" w:cs="仿宋"/>
          <w:snapToGrid w:val="0"/>
          <w:color w:val="000000"/>
          <w:kern w:val="56"/>
          <w:sz w:val="32"/>
          <w:szCs w:val="32"/>
          <w:shd w:val="clear" w:color="auto" w:fill="FFFFFF"/>
          <w:lang w:eastAsia="zh-CN"/>
        </w:rPr>
        <w:t>。</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left="0" w:leftChars="0" w:firstLine="419" w:firstLineChars="131"/>
        <w:textAlignment w:val="auto"/>
        <w:rPr>
          <w:rFonts w:hint="eastAsia" w:ascii="仿宋" w:hAnsi="仿宋" w:eastAsia="仿宋" w:cs="仿宋"/>
          <w:snapToGrid w:val="0"/>
          <w:color w:val="000000"/>
          <w:kern w:val="56"/>
          <w:sz w:val="32"/>
          <w:szCs w:val="32"/>
          <w:shd w:val="clear" w:color="auto" w:fill="FFFFFF"/>
          <w:lang w:val="en-US" w:eastAsia="zh-CN"/>
        </w:rPr>
      </w:pPr>
      <w:r>
        <w:rPr>
          <w:rFonts w:hint="eastAsia" w:ascii="仿宋" w:hAnsi="仿宋" w:eastAsia="仿宋" w:cs="仿宋"/>
          <w:snapToGrid w:val="0"/>
          <w:color w:val="000000"/>
          <w:kern w:val="56"/>
          <w:sz w:val="32"/>
          <w:szCs w:val="32"/>
          <w:shd w:val="clear" w:color="auto" w:fill="FFFFFF"/>
          <w:lang w:val="en-US" w:eastAsia="zh-CN"/>
        </w:rPr>
        <w:t>9、</w:t>
      </w:r>
      <w:r>
        <w:rPr>
          <w:rFonts w:hint="eastAsia" w:ascii="仿宋" w:hAnsi="仿宋" w:eastAsia="仿宋" w:cs="仿宋"/>
          <w:snapToGrid w:val="0"/>
          <w:color w:val="000000"/>
          <w:kern w:val="56"/>
          <w:sz w:val="32"/>
          <w:szCs w:val="32"/>
          <w:shd w:val="clear" w:color="auto" w:fill="FFFFFF"/>
        </w:rPr>
        <w:t>承办县委、县政府和县委编委交办的其他工作。</w:t>
      </w:r>
      <w:r>
        <w:rPr>
          <w:rFonts w:hint="eastAsia" w:ascii="仿宋" w:hAnsi="仿宋" w:eastAsia="仿宋" w:cs="仿宋"/>
          <w:snapToGrid w:val="0"/>
          <w:color w:val="000000"/>
          <w:kern w:val="56"/>
          <w:sz w:val="32"/>
          <w:szCs w:val="32"/>
          <w:shd w:val="clear" w:color="auto" w:fill="FFFFFF"/>
          <w:lang w:val="en-US" w:eastAsia="zh-CN"/>
        </w:rPr>
        <w:t xml:space="preserve"> </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321" w:firstLineChars="10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2</w:t>
      </w:r>
      <w:r>
        <w:rPr>
          <w:rFonts w:hint="eastAsia" w:ascii="楷体_GB2312" w:hAnsi="楷体_GB2312" w:eastAsia="楷体_GB2312" w:cs="楷体_GB2312"/>
          <w:b/>
          <w:bCs/>
          <w:sz w:val="32"/>
          <w:szCs w:val="32"/>
          <w:shd w:val="clear" w:color="auto" w:fill="FFFFFF"/>
        </w:rPr>
        <w:t>年重点工作完成情况。</w:t>
      </w:r>
      <w:bookmarkStart w:id="2" w:name="_Toc10295"/>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321" w:firstLineChars="100"/>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b/>
          <w:bCs/>
          <w:sz w:val="32"/>
          <w:szCs w:val="32"/>
          <w:lang w:val="en-US" w:eastAsia="zh-CN"/>
        </w:rPr>
        <w:t>1、</w:t>
      </w:r>
      <w:r>
        <w:rPr>
          <w:rFonts w:hint="default" w:ascii="Times New Roman" w:hAnsi="Times New Roman" w:eastAsia="楷体_GB2312" w:cs="Times New Roman"/>
          <w:b/>
          <w:bCs/>
          <w:sz w:val="32"/>
          <w:szCs w:val="32"/>
          <w:lang w:val="en-US" w:eastAsia="zh-CN"/>
        </w:rPr>
        <w:t>持续加强机构编制管理工作。</w:t>
      </w:r>
      <w:r>
        <w:rPr>
          <w:rFonts w:hint="default" w:ascii="Times New Roman" w:hAnsi="Times New Roman" w:eastAsia="仿宋_GB2312" w:cs="Times New Roman"/>
          <w:b w:val="0"/>
          <w:bCs w:val="0"/>
          <w:sz w:val="32"/>
          <w:szCs w:val="32"/>
          <w:lang w:val="en-US" w:eastAsia="zh-CN"/>
        </w:rPr>
        <w:t>换届后，县委编办及时上报编委组成的人员名单，经县委领导审核后，通过县委、县政府下发。组成由县委书记任主任；县委副书记、县长任第一副主任；县委副书记，县委常委、常务副县长，县委常委、组织部部长，县委常委、县委办主任任副主任；县政府办公室主任，县委组织部常务副部长、老干部局局长，县委组织部副部长、县人社局局长，县委组织部副部长、县委编办主任，县财政局局长，县委编办副主任任成员的中共红原县委机构编制委员会。</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b/>
          <w:bCs/>
          <w:sz w:val="32"/>
          <w:szCs w:val="32"/>
          <w:lang w:val="en-US" w:eastAsia="zh-CN"/>
        </w:rPr>
        <w:t>2、</w:t>
      </w:r>
      <w:r>
        <w:rPr>
          <w:rFonts w:hint="default" w:ascii="Times New Roman" w:hAnsi="Times New Roman" w:eastAsia="楷体_GB2312" w:cs="Times New Roman"/>
          <w:b/>
          <w:bCs/>
          <w:sz w:val="32"/>
          <w:szCs w:val="32"/>
          <w:lang w:val="en-US" w:eastAsia="zh-CN"/>
        </w:rPr>
        <w:t>不断强化机构编制工作制度。</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持续推进“编制就是法”的落实，将《中国共产党机构编制工作条例》（以下简称《条例》）纳入县委编委会年度学习计划。</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促进机构编制法规深入人心。对《红原县机构编制工作规则》、《中共红原县委机构编制委员会工作细则》进行完善，严格按照规定对“三定”规定进行制定、修改，对我县各部门“三定”执行整理、报审、印发等工作。</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严格落实《条例》、《地方各级人民政府机构设置和编制管理条例》、《事业单位登记管理暂行条例》等规定的同时，执行机构编制“三个一”和“五不准”制度。同时针对“条条干预”等情况坚决说不。</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rPr>
          <w:rFonts w:hint="default"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b/>
          <w:bCs/>
          <w:sz w:val="32"/>
          <w:szCs w:val="32"/>
          <w:lang w:val="en-US" w:eastAsia="zh-CN"/>
        </w:rPr>
        <w:t>3、</w:t>
      </w:r>
      <w:r>
        <w:rPr>
          <w:rFonts w:hint="default" w:ascii="Times New Roman" w:hAnsi="Times New Roman" w:eastAsia="楷体_GB2312" w:cs="Times New Roman"/>
          <w:b/>
          <w:bCs/>
          <w:sz w:val="32"/>
          <w:szCs w:val="32"/>
          <w:lang w:val="en-US" w:eastAsia="zh-CN"/>
        </w:rPr>
        <w:t>严格落实编委会议事制度。</w:t>
      </w:r>
      <w:r>
        <w:rPr>
          <w:rFonts w:hint="default" w:ascii="Times New Roman" w:hAnsi="Times New Roman" w:eastAsia="仿宋_GB2312" w:cs="Times New Roman"/>
          <w:b w:val="0"/>
          <w:bCs w:val="0"/>
          <w:sz w:val="32"/>
          <w:szCs w:val="32"/>
          <w:lang w:eastAsia="zh-CN"/>
        </w:rPr>
        <w:t>截止目前，</w:t>
      </w:r>
      <w:r>
        <w:rPr>
          <w:rFonts w:hint="default" w:ascii="Times New Roman" w:hAnsi="Times New Roman" w:eastAsia="仿宋_GB2312" w:cs="Times New Roman"/>
          <w:b w:val="0"/>
          <w:bCs w:val="0"/>
          <w:sz w:val="32"/>
          <w:szCs w:val="32"/>
          <w:lang w:val="en-US" w:eastAsia="zh-CN"/>
        </w:rPr>
        <w:t>经县委编委会审议后，</w:t>
      </w:r>
      <w:r>
        <w:rPr>
          <w:rFonts w:hint="default" w:ascii="Times New Roman" w:hAnsi="Times New Roman" w:eastAsia="仿宋_GB2312" w:cs="Times New Roman"/>
          <w:b/>
          <w:bCs/>
          <w:sz w:val="32"/>
          <w:szCs w:val="32"/>
          <w:lang w:val="en-US" w:eastAsia="zh-CN"/>
        </w:rPr>
        <w:t>调整机构编制事项10项</w:t>
      </w:r>
      <w:r>
        <w:rPr>
          <w:rFonts w:hint="default" w:ascii="Times New Roman" w:hAnsi="Times New Roman" w:eastAsia="仿宋_GB2312" w:cs="Times New Roman"/>
          <w:b w:val="0"/>
          <w:bCs w:val="0"/>
          <w:sz w:val="32"/>
          <w:szCs w:val="32"/>
          <w:lang w:val="en-US" w:eastAsia="zh-CN"/>
        </w:rPr>
        <w:t>主要为：撤销壤口派出所、康玛尔寺派出所、茸塔寺派出所，核销3个公安派出所的领导职数；</w:t>
      </w:r>
      <w:r>
        <w:rPr>
          <w:rFonts w:hint="default" w:ascii="Times New Roman" w:hAnsi="Times New Roman" w:eastAsia="仿宋_GB2312" w:cs="Times New Roman"/>
          <w:bCs/>
          <w:sz w:val="32"/>
          <w:szCs w:val="32"/>
          <w:lang w:val="en-US" w:eastAsia="zh-CN"/>
        </w:rPr>
        <w:t>将原壤口乡11名行政编制分配到10个乡镇；为县委办党政网络管理中心、县委组织部党员教育中心、县应急管理局应急管理保障中心、县财政局国库集中支付中心、县计划生育协会、县粮食和物资储备中心增核参公事业编制共7名；</w:t>
      </w:r>
      <w:r>
        <w:rPr>
          <w:rFonts w:hint="default" w:ascii="Times New Roman" w:hAnsi="Times New Roman" w:eastAsia="仿宋_GB2312" w:cs="Times New Roman"/>
          <w:b w:val="0"/>
          <w:bCs w:val="0"/>
          <w:color w:val="auto"/>
          <w:sz w:val="32"/>
          <w:lang w:val="en-US" w:eastAsia="zh-CN"/>
        </w:rPr>
        <w:t>将县公安局指挥中心挂牌“科技通信大队”更名为“警务勤指部”；在县司法局“社区矫正执法大队”加挂“红原县社区矫正管理局”牌子；在县司法局增设行政复议与应诉股；</w:t>
      </w:r>
      <w:r>
        <w:rPr>
          <w:rFonts w:hint="default" w:ascii="Times New Roman" w:hAnsi="Times New Roman" w:eastAsia="仿宋_GB2312" w:cs="Times New Roman"/>
          <w:b w:val="0"/>
          <w:bCs/>
          <w:sz w:val="32"/>
          <w:szCs w:val="32"/>
          <w:lang w:val="en-US" w:eastAsia="zh-CN"/>
        </w:rPr>
        <w:t>红原县局文化馆加挂“红原红军长征过草地陈列馆”牌子；</w:t>
      </w:r>
      <w:r>
        <w:rPr>
          <w:rFonts w:hint="default" w:ascii="Times New Roman" w:hAnsi="Times New Roman" w:eastAsia="仿宋_GB2312" w:cs="Times New Roman"/>
          <w:b w:val="0"/>
          <w:bCs w:val="0"/>
          <w:color w:val="auto"/>
          <w:sz w:val="32"/>
          <w:lang w:val="en-US" w:eastAsia="zh-CN"/>
        </w:rPr>
        <w:t>在县委党校加挂“红原县行政学校”牌子</w:t>
      </w:r>
      <w:r>
        <w:rPr>
          <w:rFonts w:hint="default" w:ascii="Times New Roman" w:hAnsi="Times New Roman" w:eastAsia="仿宋_GB2312" w:cs="Times New Roman"/>
          <w:b w:val="0"/>
          <w:bCs w:val="0"/>
          <w:sz w:val="32"/>
          <w:szCs w:val="32"/>
          <w:lang w:val="en-US" w:eastAsia="zh-CN"/>
        </w:rPr>
        <w:t>审定</w:t>
      </w:r>
      <w:r>
        <w:rPr>
          <w:rFonts w:hint="default" w:ascii="Times New Roman" w:hAnsi="Times New Roman" w:eastAsia="仿宋_GB2312" w:cs="Times New Roman"/>
          <w:b w:val="0"/>
          <w:bCs w:val="0"/>
          <w:color w:val="auto"/>
          <w:sz w:val="32"/>
          <w:lang w:val="en-US" w:eastAsia="zh-CN"/>
        </w:rPr>
        <w:t>红原县机构编制实名制中心机构编制事项等10项</w:t>
      </w:r>
      <w:r>
        <w:rPr>
          <w:rFonts w:hint="default" w:ascii="Times New Roman" w:hAnsi="Times New Roman" w:eastAsia="仿宋_GB2312" w:cs="Times New Roman"/>
          <w:b w:val="0"/>
          <w:bCs w:val="0"/>
          <w:sz w:val="32"/>
          <w:szCs w:val="32"/>
          <w:lang w:val="en-US" w:eastAsia="zh-CN"/>
        </w:rPr>
        <w:t>。完成人事调配工作，因工作需要和干部职工照顾家庭等因素，2022年委编委会同意</w:t>
      </w:r>
      <w:r>
        <w:rPr>
          <w:rFonts w:hint="default" w:ascii="Times New Roman" w:hAnsi="Times New Roman" w:eastAsia="仿宋_GB2312" w:cs="Times New Roman"/>
          <w:color w:val="000000"/>
          <w:sz w:val="32"/>
          <w:szCs w:val="32"/>
        </w:rPr>
        <w:t>申请调动人员</w:t>
      </w:r>
      <w:r>
        <w:rPr>
          <w:rFonts w:hint="default" w:ascii="Times New Roman" w:hAnsi="Times New Roman" w:eastAsia="仿宋_GB2312" w:cs="Times New Roman"/>
          <w:b w:val="0"/>
          <w:bCs w:val="0"/>
          <w:color w:val="auto"/>
          <w:sz w:val="32"/>
          <w:lang w:val="en-US" w:eastAsia="zh-CN"/>
        </w:rPr>
        <w:t>104名，其中：县内调动60名、调出县外33名、调入县内11名。</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楷体_GB2312" w:cs="Times New Roman"/>
          <w:b/>
          <w:bCs/>
          <w:sz w:val="32"/>
          <w:szCs w:val="32"/>
          <w:lang w:val="en-US" w:eastAsia="zh-CN"/>
        </w:rPr>
        <w:t>4、</w:t>
      </w:r>
      <w:r>
        <w:rPr>
          <w:rFonts w:hint="default" w:ascii="Times New Roman" w:hAnsi="Times New Roman" w:eastAsia="楷体_GB2312" w:cs="Times New Roman"/>
          <w:b/>
          <w:bCs/>
          <w:sz w:val="32"/>
          <w:szCs w:val="32"/>
          <w:lang w:eastAsia="zh-CN"/>
        </w:rPr>
        <w:t>推进机构改革做好两项改革“后半篇”文章工作。</w:t>
      </w:r>
      <w:r>
        <w:rPr>
          <w:rFonts w:hint="default" w:ascii="Times New Roman" w:hAnsi="Times New Roman" w:eastAsia="仿宋_GB2312" w:cs="Times New Roman"/>
          <w:color w:val="000000"/>
          <w:sz w:val="32"/>
          <w:szCs w:val="32"/>
          <w:lang w:val="en-US" w:eastAsia="zh-CN"/>
        </w:rPr>
        <w:t>根据县委、县政府关于教育机构布局调整的要求，我办拟定上报《关于撤销红原县龙日坝小学的请示》、《关于撤销红原县壤口小学的请示》，经县委编委研究同意后，并印发了《关于撤销红原县壤口小学的批复》、《关于撤销红原县龙日坝小学的批复》。完成我县教育机构布局优化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jc w:val="both"/>
        <w:rPr>
          <w:rFonts w:hint="default" w:ascii="Times New Roman" w:hAnsi="Times New Roman" w:eastAsia="楷体_GB2312" w:cs="Times New Roman"/>
          <w:b/>
          <w:bCs/>
          <w:sz w:val="32"/>
          <w:szCs w:val="32"/>
          <w:lang w:eastAsia="zh-CN"/>
        </w:rPr>
      </w:pPr>
      <w:r>
        <w:rPr>
          <w:rFonts w:hint="eastAsia" w:ascii="Times New Roman" w:hAnsi="Times New Roman" w:eastAsia="楷体_GB2312" w:cs="Times New Roman"/>
          <w:b/>
          <w:bCs/>
          <w:sz w:val="32"/>
          <w:szCs w:val="32"/>
          <w:lang w:val="en-US" w:eastAsia="zh-CN"/>
        </w:rPr>
        <w:t>5、</w:t>
      </w:r>
      <w:r>
        <w:rPr>
          <w:rFonts w:hint="default" w:ascii="Times New Roman" w:hAnsi="Times New Roman" w:eastAsia="楷体_GB2312" w:cs="Times New Roman"/>
          <w:b/>
          <w:bCs/>
          <w:sz w:val="32"/>
          <w:szCs w:val="32"/>
          <w:lang w:eastAsia="zh-CN"/>
        </w:rPr>
        <w:t>推进事业单位登记管理工作。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jc w:val="both"/>
        <w:rPr>
          <w:rFonts w:hint="default"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高效完成法人年度报告公示。</w:t>
      </w:r>
      <w:r>
        <w:rPr>
          <w:rFonts w:hint="default" w:ascii="Times New Roman" w:hAnsi="Times New Roman" w:eastAsia="仿宋_GB2312" w:cs="Times New Roman"/>
          <w:b w:val="0"/>
          <w:bCs w:val="0"/>
          <w:sz w:val="32"/>
          <w:szCs w:val="32"/>
          <w:lang w:eastAsia="zh-CN"/>
        </w:rPr>
        <w:t>我办采取下发文件通知、建立事业单位年度报告公示工作微信群，通过文件精神传达、网络演示操作方法、微信及时解答疑问等方式方法，使我县事业单位年报工作和法人证书相关信息变更工作一并部署、一起推进的工作方法。截止目前，全县共登记事业单位84个（原有88个登记的事业单位，按照局队合一的原则办理注销登记4个），全面完成82个事业单位年度报告公示工作（2个新设立登记事业单位免于年度报告公示），年度报告公示率达100%。全年我办办理事业单位变更登记25个，其中：办理法人变更登记19个、地址变更登记2个、事业单位名称变更登记4个。全年办理事业单位法人证书延期12个单位。</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jc w:val="both"/>
        <w:rPr>
          <w:rFonts w:hint="default"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服务好统一信用代码证书换证工作。</w:t>
      </w:r>
      <w:r>
        <w:rPr>
          <w:rFonts w:hint="default" w:ascii="Times New Roman" w:hAnsi="Times New Roman" w:eastAsia="仿宋_GB2312" w:cs="Times New Roman"/>
          <w:b w:val="0"/>
          <w:bCs w:val="0"/>
          <w:sz w:val="32"/>
          <w:szCs w:val="32"/>
          <w:lang w:eastAsia="zh-CN"/>
        </w:rPr>
        <w:t>为进一步保障涉改单位正常运转，我办主动作为、认真梳理，摸清底数。准确把握全县机关、群团负责人任免等情况，扎实推进涉改党政机关统一社会信用代码赋码换证工作。根据实际情况，实行“容缺办理”，允许事后补齐手续，不耽误单位工作开展，为换证部门提供便利。全年共办理36家机关、群团统一信用代码证书换证工作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jc w:val="both"/>
        <w:rPr>
          <w:rFonts w:hint="default" w:ascii="Times New Roman" w:hAnsi="Times New Roman" w:eastAsia="仿宋_GB2312" w:cs="Times New Roman"/>
          <w:b w:val="0"/>
          <w:bCs w:val="0"/>
          <w:color w:val="000000"/>
          <w:sz w:val="32"/>
          <w:szCs w:val="32"/>
          <w:lang w:val="en-US" w:eastAsia="zh-CN"/>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eastAsia="zh-CN"/>
        </w:rPr>
        <w:t>常态化开展督查抽检工作。</w:t>
      </w:r>
      <w:r>
        <w:rPr>
          <w:rFonts w:hint="default" w:ascii="Times New Roman" w:hAnsi="Times New Roman" w:eastAsia="仿宋_GB2312" w:cs="Times New Roman"/>
          <w:b w:val="0"/>
          <w:bCs w:val="0"/>
          <w:sz w:val="32"/>
          <w:szCs w:val="32"/>
          <w:lang w:eastAsia="zh-CN"/>
        </w:rPr>
        <w:t>按照上级编制部门的要求，我办事按照全县已登记的事业单位5%的比例，采取随机抽检的方式常态开展抽检工作，切实做到事前监督与事后监管并重的双重管理。</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rPr>
          <w:rFonts w:hint="default" w:ascii="Times New Roman" w:hAnsi="Times New Roman" w:eastAsia="楷体_GB2312" w:cs="Times New Roman"/>
          <w:b/>
          <w:bCs/>
          <w:sz w:val="32"/>
          <w:szCs w:val="32"/>
          <w:lang w:eastAsia="zh-CN"/>
        </w:rPr>
      </w:pPr>
      <w:r>
        <w:rPr>
          <w:rFonts w:hint="eastAsia" w:ascii="Times New Roman" w:hAnsi="Times New Roman" w:eastAsia="楷体_GB2312" w:cs="Times New Roman"/>
          <w:b/>
          <w:bCs/>
          <w:sz w:val="32"/>
          <w:szCs w:val="32"/>
          <w:lang w:val="en-US" w:eastAsia="zh-CN"/>
        </w:rPr>
        <w:t>6、</w:t>
      </w:r>
      <w:r>
        <w:rPr>
          <w:rFonts w:hint="default" w:ascii="Times New Roman" w:hAnsi="Times New Roman" w:eastAsia="楷体_GB2312" w:cs="Times New Roman"/>
          <w:b/>
          <w:bCs/>
          <w:sz w:val="32"/>
          <w:szCs w:val="32"/>
          <w:lang w:val="en-US" w:eastAsia="zh-CN"/>
        </w:rPr>
        <w:t>强化</w:t>
      </w:r>
      <w:r>
        <w:rPr>
          <w:rFonts w:hint="default" w:ascii="Times New Roman" w:hAnsi="Times New Roman" w:eastAsia="楷体_GB2312" w:cs="Times New Roman"/>
          <w:b/>
          <w:bCs/>
          <w:sz w:val="32"/>
          <w:szCs w:val="32"/>
          <w:lang w:eastAsia="zh-CN"/>
        </w:rPr>
        <w:t>机构编制实名制动态调整工作。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rPr>
          <w:rFonts w:hint="default"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b/>
          <w:bCs/>
          <w:sz w:val="32"/>
          <w:szCs w:val="32"/>
          <w:lang w:val="en-US" w:eastAsia="zh-CN"/>
        </w:rPr>
        <w:t>（1）</w:t>
      </w:r>
      <w:r>
        <w:rPr>
          <w:rFonts w:hint="default" w:ascii="Times New Roman" w:hAnsi="Times New Roman" w:eastAsia="楷体_GB2312" w:cs="Times New Roman"/>
          <w:b/>
          <w:bCs/>
          <w:sz w:val="32"/>
          <w:szCs w:val="32"/>
          <w:lang w:val="en-US" w:eastAsia="zh-CN"/>
        </w:rPr>
        <w:t>精准落实</w:t>
      </w:r>
      <w:r>
        <w:rPr>
          <w:rFonts w:hint="default" w:ascii="Times New Roman" w:hAnsi="Times New Roman" w:eastAsia="仿宋_GB2312" w:cs="Times New Roman"/>
          <w:b/>
          <w:bCs/>
          <w:sz w:val="32"/>
          <w:szCs w:val="32"/>
          <w:lang w:eastAsia="zh-CN"/>
        </w:rPr>
        <w:t>编制变动情况。</w:t>
      </w:r>
      <w:r>
        <w:rPr>
          <w:rFonts w:hint="default" w:ascii="Times New Roman" w:hAnsi="Times New Roman" w:eastAsia="仿宋_GB2312" w:cs="Times New Roman"/>
          <w:b w:val="0"/>
          <w:bCs w:val="0"/>
          <w:sz w:val="32"/>
          <w:szCs w:val="32"/>
          <w:lang w:eastAsia="zh-CN"/>
        </w:rPr>
        <w:t>根据《省委编办</w:t>
      </w:r>
      <w:r>
        <w:rPr>
          <w:rFonts w:hint="default" w:ascii="Times New Roman" w:hAnsi="Times New Roman" w:eastAsia="仿宋_GB2312" w:cs="Times New Roman"/>
          <w:b w:val="0"/>
          <w:bCs w:val="0"/>
          <w:sz w:val="32"/>
          <w:szCs w:val="32"/>
          <w:lang w:val="en-US" w:eastAsia="zh-CN"/>
        </w:rPr>
        <w:t xml:space="preserve"> 教育厅 财政厅 人力资源社会保障局关于做好全省中小学教职工编制动态调整和挖潜创新加强管理工作的通知（川编发〔2021〕157号） </w:t>
      </w:r>
      <w:r>
        <w:rPr>
          <w:rFonts w:hint="default" w:ascii="Times New Roman" w:hAnsi="Times New Roman" w:eastAsia="仿宋_GB2312" w:cs="Times New Roman"/>
          <w:b w:val="0"/>
          <w:bCs w:val="0"/>
          <w:sz w:val="32"/>
          <w:szCs w:val="32"/>
          <w:lang w:eastAsia="zh-CN"/>
        </w:rPr>
        <w:t>》和《中共阿坝州委机构编制委员会关于调整中小学教职工编制的通知（阿编发</w:t>
      </w:r>
      <w:r>
        <w:rPr>
          <w:rFonts w:hint="default" w:ascii="Times New Roman" w:hAnsi="Times New Roman" w:eastAsia="仿宋_GB2312" w:cs="Times New Roman"/>
          <w:b w:val="0"/>
          <w:bCs w:val="0"/>
          <w:sz w:val="32"/>
          <w:szCs w:val="32"/>
          <w:lang w:val="en-US" w:eastAsia="zh-CN"/>
        </w:rPr>
        <w:t>〔2022〕152号</w:t>
      </w:r>
      <w:r>
        <w:rPr>
          <w:rFonts w:hint="default" w:ascii="Times New Roman" w:hAnsi="Times New Roman" w:eastAsia="仿宋_GB2312" w:cs="Times New Roman"/>
          <w:b w:val="0"/>
          <w:bCs w:val="0"/>
          <w:sz w:val="32"/>
          <w:szCs w:val="32"/>
          <w:lang w:eastAsia="zh-CN"/>
        </w:rPr>
        <w:t>）》文件要求，州委编委为我县下达中小学教职工编制</w:t>
      </w:r>
      <w:r>
        <w:rPr>
          <w:rFonts w:hint="default" w:ascii="Times New Roman" w:hAnsi="Times New Roman" w:eastAsia="仿宋_GB2312" w:cs="Times New Roman"/>
          <w:b w:val="0"/>
          <w:bCs w:val="0"/>
          <w:sz w:val="32"/>
          <w:szCs w:val="32"/>
          <w:lang w:val="en-US" w:eastAsia="zh-CN"/>
        </w:rPr>
        <w:t>210名，</w:t>
      </w:r>
      <w:r>
        <w:rPr>
          <w:rFonts w:hint="default" w:ascii="Times New Roman" w:hAnsi="Times New Roman" w:eastAsia="仿宋_GB2312" w:cs="Times New Roman"/>
          <w:b w:val="0"/>
          <w:bCs w:val="0"/>
          <w:sz w:val="32"/>
          <w:szCs w:val="32"/>
          <w:lang w:eastAsia="zh-CN"/>
        </w:rPr>
        <w:t>经我县编委会研究同意，在中小学教职工编制总量内，积极稳妥组织实施全县中小学教职工编制动态调整，充分考虑学生流向，并结合两项改革“后半篇”文章工作，统筹调整、减多补缺、优化配置，进一步提高编制使用效益。</w:t>
      </w:r>
      <w:r>
        <w:rPr>
          <w:rFonts w:hint="default" w:ascii="Times New Roman" w:hAnsi="Times New Roman" w:eastAsia="仿宋_GB2312" w:cs="Times New Roman"/>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val="en-US" w:eastAsia="zh-CN"/>
        </w:rPr>
        <w:t>严格执行</w:t>
      </w:r>
      <w:r>
        <w:rPr>
          <w:rFonts w:hint="default" w:ascii="Times New Roman" w:hAnsi="Times New Roman" w:eastAsia="仿宋_GB2312" w:cs="Times New Roman"/>
          <w:b/>
          <w:bCs/>
          <w:sz w:val="32"/>
          <w:szCs w:val="32"/>
          <w:lang w:eastAsia="zh-CN"/>
        </w:rPr>
        <w:t>人员</w:t>
      </w:r>
      <w:r>
        <w:rPr>
          <w:rFonts w:hint="default" w:ascii="Times New Roman" w:hAnsi="Times New Roman" w:eastAsia="仿宋_GB2312" w:cs="Times New Roman"/>
          <w:b/>
          <w:bCs/>
          <w:sz w:val="32"/>
          <w:szCs w:val="32"/>
          <w:lang w:val="en-US" w:eastAsia="zh-CN"/>
        </w:rPr>
        <w:t>动态调整</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color w:val="000000"/>
          <w:sz w:val="32"/>
          <w:szCs w:val="32"/>
          <w:lang w:val="en-US" w:eastAsia="zh-CN"/>
        </w:rPr>
        <w:t>2022年人员信息新录入57名、外县人员信息划入22名、人员信息划出37名、县内人员信息调整197名、实名制人员信息注销65名，其中退休56名、在职死亡2名，辞职7名。根据以上人员变动情况，我办立即</w:t>
      </w:r>
      <w:r>
        <w:rPr>
          <w:rFonts w:hint="default" w:ascii="Times New Roman" w:hAnsi="Times New Roman" w:eastAsia="仿宋_GB2312" w:cs="Times New Roman"/>
          <w:sz w:val="32"/>
          <w:szCs w:val="32"/>
          <w:lang w:eastAsia="zh-CN"/>
        </w:rPr>
        <w:t>办理编制变动手续，</w:t>
      </w:r>
      <w:r>
        <w:rPr>
          <w:rFonts w:hint="default" w:ascii="Times New Roman" w:hAnsi="Times New Roman" w:eastAsia="仿宋_GB2312" w:cs="Times New Roman"/>
          <w:color w:val="000000"/>
          <w:sz w:val="32"/>
          <w:szCs w:val="32"/>
          <w:lang w:val="en-US" w:eastAsia="zh-CN"/>
        </w:rPr>
        <w:t>调整实名制信息，及时的更新数据，</w:t>
      </w:r>
      <w:r>
        <w:rPr>
          <w:rFonts w:hint="default" w:ascii="Times New Roman" w:hAnsi="Times New Roman" w:eastAsia="仿宋_GB2312" w:cs="Times New Roman"/>
          <w:sz w:val="32"/>
          <w:szCs w:val="32"/>
          <w:lang w:eastAsia="zh-CN"/>
        </w:rPr>
        <w:t>以维护编制的严肃性和时效性，</w:t>
      </w:r>
      <w:r>
        <w:rPr>
          <w:rFonts w:hint="default" w:ascii="Times New Roman" w:hAnsi="Times New Roman" w:eastAsia="仿宋_GB2312" w:cs="Times New Roman"/>
          <w:color w:val="000000"/>
          <w:sz w:val="32"/>
          <w:szCs w:val="32"/>
          <w:lang w:val="en-US" w:eastAsia="zh-CN"/>
        </w:rPr>
        <w:t>为组织、人社部门人员调任、招录等提供有效数据。</w:t>
      </w:r>
      <w:r>
        <w:rPr>
          <w:rFonts w:hint="default" w:ascii="Times New Roman" w:hAnsi="Times New Roman" w:eastAsia="仿宋_GB2312" w:cs="Times New Roman"/>
          <w:sz w:val="32"/>
          <w:szCs w:val="32"/>
          <w:lang w:eastAsia="zh-CN"/>
        </w:rPr>
        <w:t>按时统计、上报20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lang w:eastAsia="zh-CN"/>
        </w:rPr>
        <w:t>年机构编制统计年报。</w:t>
      </w:r>
    </w:p>
    <w:p>
      <w:pPr>
        <w:pStyle w:val="5"/>
        <w:keepNext w:val="0"/>
        <w:keepLines w:val="0"/>
        <w:widowControl/>
        <w:suppressLineNumbers w:val="0"/>
        <w:rPr>
          <w:rFonts w:hint="eastAsia" w:ascii="仿宋_GB2312" w:hAnsi="宋体" w:eastAsia="仿宋_GB2312" w:cs="宋体"/>
          <w:kern w:val="0"/>
          <w:sz w:val="32"/>
          <w:szCs w:val="32"/>
        </w:rPr>
      </w:pPr>
    </w:p>
    <w:p>
      <w:pPr>
        <w:pStyle w:val="11"/>
        <w:keepNext w:val="0"/>
        <w:keepLines w:val="0"/>
        <w:widowControl/>
        <w:suppressLineNumbers w:val="0"/>
        <w:ind w:left="0" w:right="75"/>
        <w:outlineLvl w:val="1"/>
        <w:rPr>
          <w:rFonts w:hint="eastAsia" w:ascii="黑体" w:hAnsi="黑体" w:eastAsia="黑体" w:cs="黑体"/>
          <w:sz w:val="32"/>
          <w:szCs w:val="32"/>
        </w:rPr>
      </w:pPr>
      <w:r>
        <w:rPr>
          <w:rFonts w:hint="eastAsia" w:ascii="黑体" w:hAnsi="黑体" w:eastAsia="黑体" w:cs="黑体"/>
          <w:sz w:val="32"/>
          <w:szCs w:val="32"/>
          <w:shd w:val="clear" w:color="auto" w:fill="FFFFFF"/>
        </w:rPr>
        <w:t>二、机构设置</w:t>
      </w:r>
      <w:bookmarkEnd w:id="2"/>
    </w:p>
    <w:p>
      <w:pPr>
        <w:snapToGrid w:val="0"/>
        <w:spacing w:line="520" w:lineRule="exact"/>
        <w:ind w:firstLine="640" w:firstLineChars="200"/>
        <w:rPr>
          <w:rFonts w:hint="eastAsia" w:ascii="仿宋_GB2312" w:eastAsia="仿宋_GB2312" w:cs="仿宋_GB2312"/>
          <w:kern w:val="0"/>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为独立核算全额拨款行政单位。</w:t>
      </w:r>
      <w:r>
        <w:rPr>
          <w:rFonts w:hint="eastAsia" w:ascii="仿宋_GB2312" w:hAnsi="仿宋_GB2312" w:eastAsia="仿宋_GB2312" w:cs="仿宋_GB2312"/>
          <w:sz w:val="32"/>
          <w:szCs w:val="32"/>
          <w:lang w:eastAsia="zh-CN"/>
        </w:rPr>
        <w:t>中共红原县委机构编制委员会办公室</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eastAsia="zh-CN"/>
        </w:rPr>
        <w:t>综合股、机构编制股、机构编制督查股，下设红原县事业单位登记管理局（参公）、红原县机构编制实名制中心（事业）</w:t>
      </w:r>
      <w:r>
        <w:rPr>
          <w:rFonts w:hint="eastAsia" w:ascii="仿宋_GB2312" w:hAnsi="仿宋_GB2312" w:eastAsia="仿宋_GB2312" w:cs="仿宋_GB2312"/>
          <w:sz w:val="32"/>
          <w:szCs w:val="32"/>
        </w:rPr>
        <w:t>。</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_GB2312" w:eastAsia="仿宋_GB2312" w:cs="仿宋_GB2312"/>
          <w:kern w:val="0"/>
          <w:sz w:val="32"/>
          <w:szCs w:val="32"/>
        </w:rPr>
      </w:pPr>
      <w:bookmarkStart w:id="3" w:name="_Toc6796"/>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rPr>
        <w:t>年底我单位共有编制</w:t>
      </w:r>
      <w:r>
        <w:rPr>
          <w:rFonts w:hint="eastAsia" w:ascii="仿宋_GB2312" w:eastAsia="仿宋_GB2312" w:cs="仿宋_GB2312"/>
          <w:kern w:val="0"/>
          <w:sz w:val="32"/>
          <w:szCs w:val="32"/>
          <w:shd w:val="clear" w:fill="FFFFFF"/>
        </w:rPr>
        <w:t>1</w:t>
      </w:r>
      <w:r>
        <w:rPr>
          <w:rFonts w:hint="eastAsia" w:ascii="仿宋_GB2312" w:eastAsia="仿宋_GB2312" w:cs="仿宋_GB2312"/>
          <w:kern w:val="0"/>
          <w:sz w:val="32"/>
          <w:szCs w:val="32"/>
          <w:shd w:val="clear" w:fill="FFFFFF"/>
          <w:lang w:val="en-US" w:eastAsia="zh-CN"/>
        </w:rPr>
        <w:t>8</w:t>
      </w:r>
      <w:r>
        <w:rPr>
          <w:rFonts w:hint="eastAsia" w:ascii="仿宋_GB2312" w:eastAsia="仿宋_GB2312" w:cs="仿宋_GB2312"/>
          <w:kern w:val="0"/>
          <w:sz w:val="32"/>
          <w:szCs w:val="32"/>
          <w:shd w:val="clear" w:fill="FFFFFF"/>
          <w:lang w:eastAsia="zh-CN"/>
        </w:rPr>
        <w:t>个</w:t>
      </w:r>
      <w:r>
        <w:rPr>
          <w:rFonts w:hint="eastAsia" w:ascii="仿宋_GB2312" w:eastAsia="仿宋_GB2312" w:cs="仿宋_GB2312"/>
          <w:kern w:val="0"/>
          <w:sz w:val="32"/>
          <w:szCs w:val="32"/>
          <w:shd w:val="clear" w:fill="FFFFFF"/>
        </w:rPr>
        <w:t>，</w:t>
      </w:r>
      <w:r>
        <w:rPr>
          <w:rFonts w:hint="eastAsia" w:ascii="仿宋_GB2312" w:eastAsia="仿宋_GB2312" w:cs="仿宋_GB2312"/>
          <w:kern w:val="0"/>
          <w:sz w:val="32"/>
          <w:szCs w:val="32"/>
          <w:shd w:val="clear" w:fill="FFFFFF"/>
          <w:lang w:eastAsia="zh-CN"/>
        </w:rPr>
        <w:t>其中公务员编制</w:t>
      </w:r>
      <w:r>
        <w:rPr>
          <w:rFonts w:hint="eastAsia" w:ascii="仿宋_GB2312" w:eastAsia="仿宋_GB2312" w:cs="仿宋_GB2312"/>
          <w:kern w:val="0"/>
          <w:sz w:val="32"/>
          <w:szCs w:val="32"/>
          <w:shd w:val="clear" w:fill="FFFFFF"/>
          <w:lang w:val="en-US" w:eastAsia="zh-CN"/>
        </w:rPr>
        <w:t>6</w:t>
      </w:r>
      <w:r>
        <w:rPr>
          <w:rFonts w:hint="eastAsia" w:ascii="仿宋_GB2312" w:eastAsia="仿宋_GB2312" w:cs="仿宋_GB2312"/>
          <w:kern w:val="0"/>
          <w:sz w:val="32"/>
          <w:szCs w:val="32"/>
          <w:shd w:val="clear" w:fill="FFFFFF"/>
          <w:lang w:eastAsia="zh-CN"/>
        </w:rPr>
        <w:t>个，</w:t>
      </w:r>
      <w:r>
        <w:rPr>
          <w:rFonts w:hint="eastAsia" w:ascii="仿宋_GB2312" w:hAnsi="仿宋_GB2312" w:eastAsia="仿宋_GB2312" w:cs="仿宋_GB2312"/>
          <w:bCs/>
          <w:sz w:val="32"/>
          <w:szCs w:val="32"/>
          <w:lang w:eastAsia="zh-CN"/>
        </w:rPr>
        <w:t>机关</w:t>
      </w:r>
      <w:r>
        <w:rPr>
          <w:rFonts w:hint="eastAsia" w:ascii="仿宋_GB2312" w:hAnsi="仿宋_GB2312" w:eastAsia="仿宋_GB2312" w:cs="仿宋_GB2312"/>
          <w:bCs/>
          <w:sz w:val="32"/>
          <w:szCs w:val="32"/>
        </w:rPr>
        <w:t>工勤编制</w:t>
      </w:r>
      <w:r>
        <w:rPr>
          <w:rFonts w:hint="eastAsia" w:ascii="仿宋_GB2312" w:hAnsi="仿宋_GB2312" w:eastAsia="仿宋_GB2312" w:cs="仿宋_GB2312"/>
          <w:bCs/>
          <w:sz w:val="32"/>
          <w:szCs w:val="32"/>
          <w:lang w:val="en-US" w:eastAsia="zh-CN"/>
        </w:rPr>
        <w:t>1个,参公编制7个，事业编制4个，</w:t>
      </w:r>
      <w:r>
        <w:rPr>
          <w:rFonts w:hint="eastAsia" w:ascii="仿宋_GB2312" w:hAnsi="仿宋_GB2312" w:eastAsia="仿宋_GB2312" w:cs="仿宋_GB2312"/>
          <w:bCs/>
          <w:sz w:val="32"/>
          <w:szCs w:val="32"/>
          <w:lang w:eastAsia="zh-CN"/>
        </w:rPr>
        <w:t>年底</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，参公</w:t>
      </w:r>
      <w:r>
        <w:rPr>
          <w:rFonts w:hint="eastAsia" w:ascii="仿宋_GB2312" w:hAnsi="仿宋_GB2312" w:eastAsia="仿宋_GB2312" w:cs="仿宋_GB2312"/>
          <w:sz w:val="32"/>
          <w:szCs w:val="32"/>
          <w:lang w:val="en-US" w:eastAsia="zh-CN"/>
        </w:rPr>
        <w:t>5人，事业3人。</w:t>
      </w:r>
    </w:p>
    <w:p>
      <w:pPr>
        <w:pStyle w:val="11"/>
        <w:keepNext w:val="0"/>
        <w:keepLines w:val="0"/>
        <w:widowControl/>
        <w:suppressLineNumbers w:val="0"/>
        <w:ind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第二部分 202</w:t>
      </w:r>
      <w:r>
        <w:rPr>
          <w:rFonts w:hint="eastAsia" w:ascii="黑体" w:hAnsi="黑体" w:eastAsia="黑体" w:cs="黑体"/>
          <w:sz w:val="44"/>
          <w:szCs w:val="44"/>
          <w:shd w:val="clear" w:color="auto" w:fill="FFFFFF"/>
          <w:lang w:val="en-US" w:eastAsia="zh-CN"/>
        </w:rPr>
        <w:t>1</w:t>
      </w:r>
      <w:r>
        <w:rPr>
          <w:rFonts w:hint="eastAsia" w:ascii="黑体" w:hAnsi="黑体" w:eastAsia="黑体" w:cs="黑体"/>
          <w:sz w:val="44"/>
          <w:szCs w:val="44"/>
          <w:shd w:val="clear" w:color="auto" w:fill="FFFFFF"/>
        </w:rPr>
        <w:t>年度部门决算情况说明</w:t>
      </w:r>
      <w:bookmarkEnd w:id="3"/>
    </w:p>
    <w:p>
      <w:pPr>
        <w:pStyle w:val="11"/>
        <w:keepNext w:val="0"/>
        <w:keepLines w:val="0"/>
        <w:widowControl/>
        <w:suppressLineNumbers w:val="0"/>
        <w:ind w:left="0" w:right="75"/>
        <w:outlineLvl w:val="1"/>
        <w:rPr>
          <w:rFonts w:hint="eastAsia" w:ascii="黑体" w:hAnsi="黑体" w:eastAsia="黑体" w:cs="黑体"/>
          <w:sz w:val="32"/>
          <w:szCs w:val="32"/>
          <w:shd w:val="clear" w:color="auto" w:fill="FFFFFF"/>
        </w:rPr>
      </w:pPr>
      <w:bookmarkStart w:id="4" w:name="_Toc23902"/>
      <w:r>
        <w:rPr>
          <w:rFonts w:hint="eastAsia" w:ascii="黑体" w:hAnsi="黑体" w:eastAsia="黑体" w:cs="黑体"/>
          <w:sz w:val="32"/>
          <w:szCs w:val="32"/>
          <w:shd w:val="clear" w:color="auto" w:fill="FFFFFF"/>
        </w:rPr>
        <w:t>一、 收入支出决算总体情况说明</w:t>
      </w:r>
      <w:bookmarkEnd w:id="4"/>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sz w:val="32"/>
          <w:szCs w:val="32"/>
        </w:rPr>
      </w:pPr>
      <w:r>
        <w:rPr>
          <w:rFonts w:hint="eastAsia" w:ascii="黑体" w:hAnsi="黑体" w:eastAsia="黑体" w:cs="黑体"/>
          <w:sz w:val="32"/>
          <w:szCs w:val="32"/>
          <w:shd w:val="clear" w:color="auto" w:fill="FFFFFF"/>
          <w:lang w:val="en-US" w:eastAsia="zh-CN"/>
        </w:rPr>
        <w:t xml:space="preserve"> </w:t>
      </w:r>
      <w:r>
        <w:rPr>
          <w:rFonts w:hint="eastAsia" w:ascii="仿宋_GB2312" w:eastAsia="仿宋_GB2312" w:cs="仿宋_GB2312"/>
          <w:kern w:val="0"/>
          <w:sz w:val="32"/>
          <w:szCs w:val="32"/>
          <w:shd w:val="clear" w:fill="FFFFFF"/>
          <w:lang w:val="en-US" w:eastAsia="zh-CN"/>
        </w:rPr>
        <w:t>2022年度收入336.16</w:t>
      </w:r>
      <w:r>
        <w:rPr>
          <w:rFonts w:hint="eastAsia" w:ascii="仿宋_GB2312" w:eastAsia="仿宋_GB2312" w:cs="仿宋_GB2312"/>
          <w:kern w:val="0"/>
          <w:sz w:val="32"/>
          <w:szCs w:val="32"/>
          <w:shd w:val="clear" w:fill="FFFFFF"/>
        </w:rPr>
        <w:t>万元，</w:t>
      </w:r>
      <w:r>
        <w:rPr>
          <w:rFonts w:hint="eastAsia" w:ascii="仿宋_GB2312" w:eastAsia="仿宋_GB2312" w:cs="仿宋_GB2312"/>
          <w:kern w:val="0"/>
          <w:sz w:val="32"/>
          <w:szCs w:val="32"/>
          <w:shd w:val="clear" w:fill="FFFFFF"/>
          <w:lang w:eastAsia="zh-CN"/>
        </w:rPr>
        <w:t>支出</w:t>
      </w:r>
      <w:r>
        <w:rPr>
          <w:rFonts w:hint="eastAsia" w:ascii="仿宋_GB2312" w:eastAsia="仿宋_GB2312" w:cs="仿宋_GB2312"/>
          <w:kern w:val="0"/>
          <w:sz w:val="32"/>
          <w:szCs w:val="32"/>
          <w:shd w:val="clear" w:fill="FFFFFF"/>
          <w:lang w:val="en-US" w:eastAsia="zh-CN"/>
        </w:rPr>
        <w:t>336.16万元</w:t>
      </w:r>
      <w:r>
        <w:rPr>
          <w:rFonts w:hint="eastAsia" w:ascii="仿宋_GB2312" w:eastAsia="仿宋_GB2312" w:cs="仿宋_GB2312"/>
          <w:kern w:val="0"/>
          <w:sz w:val="32"/>
          <w:szCs w:val="32"/>
          <w:shd w:val="clear" w:fill="FFFFFF"/>
          <w:lang w:eastAsia="zh-CN"/>
        </w:rPr>
        <w:t>。资金与</w:t>
      </w:r>
      <w:r>
        <w:rPr>
          <w:rFonts w:hint="eastAsia" w:ascii="仿宋_GB2312" w:eastAsia="仿宋_GB2312" w:cs="仿宋_GB2312"/>
          <w:kern w:val="0"/>
          <w:sz w:val="32"/>
          <w:szCs w:val="32"/>
          <w:shd w:val="clear" w:fill="FFFFFF"/>
          <w:lang w:val="en-US" w:eastAsia="zh-CN"/>
        </w:rPr>
        <w:t>2021年相比，收入增加了56.95万元，上升了20.40%，支出增加了48.50万元，上升了20.40%，</w:t>
      </w:r>
      <w:r>
        <w:rPr>
          <w:rStyle w:val="14"/>
          <w:rFonts w:hint="eastAsia" w:ascii="仿宋_GB2312" w:hAnsi="仿宋_GB2312" w:eastAsia="仿宋_GB2312" w:cs="仿宋_GB2312"/>
          <w:sz w:val="32"/>
          <w:szCs w:val="32"/>
        </w:rPr>
        <w:t>主要原因为</w:t>
      </w:r>
      <w:r>
        <w:rPr>
          <w:rStyle w:val="14"/>
          <w:rFonts w:hint="eastAsia" w:ascii="仿宋_GB2312" w:hAnsi="宋体" w:eastAsia="仿宋_GB2312" w:cs="宋体"/>
          <w:sz w:val="32"/>
          <w:szCs w:val="32"/>
          <w:lang w:eastAsia="zh-CN"/>
        </w:rPr>
        <w:t>人员变动</w:t>
      </w:r>
      <w:r>
        <w:rPr>
          <w:rStyle w:val="14"/>
          <w:rFonts w:hint="eastAsia" w:ascii="仿宋_GB2312" w:eastAsia="仿宋_GB2312" w:cs="宋体"/>
          <w:sz w:val="32"/>
          <w:szCs w:val="32"/>
          <w:lang w:eastAsia="zh-CN"/>
        </w:rPr>
        <w:t>（人员增加及激励性绩效进入工资）</w:t>
      </w:r>
      <w:r>
        <w:rPr>
          <w:rStyle w:val="14"/>
          <w:rFonts w:hint="eastAsia" w:ascii="仿宋_GB2312" w:hAnsi="宋体" w:eastAsia="仿宋_GB2312" w:cs="宋体"/>
          <w:sz w:val="32"/>
          <w:szCs w:val="32"/>
          <w:lang w:eastAsia="zh-CN"/>
        </w:rPr>
        <w:t>、厉行节约、经费调整</w:t>
      </w:r>
      <w:r>
        <w:rPr>
          <w:rFonts w:hint="eastAsia" w:ascii="仿宋_GB2312" w:hAnsi="仿宋_GB2312" w:eastAsia="仿宋_GB2312" w:cs="仿宋_GB2312"/>
          <w:sz w:val="32"/>
          <w:szCs w:val="32"/>
        </w:rPr>
        <w:t>。</w:t>
      </w:r>
    </w:p>
    <w:p>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：收、支决算变动情况图）（柱状图）</w:t>
      </w:r>
    </w:p>
    <w:p>
      <w:pPr>
        <w:pStyle w:val="5"/>
        <w:rPr>
          <w:rFonts w:hint="default" w:ascii="仿宋" w:hAnsi="仿宋" w:eastAsia="仿宋"/>
          <w:color w:val="000000"/>
          <w:sz w:val="32"/>
          <w:szCs w:val="32"/>
          <w:lang w:val="en-US" w:eastAsia="zh-CN"/>
        </w:rPr>
      </w:pPr>
      <w:r>
        <w:rPr>
          <w:rFonts w:hint="default" w:ascii="仿宋" w:hAnsi="仿宋" w:eastAsia="仿宋"/>
          <w:color w:val="000000"/>
          <w:sz w:val="32"/>
          <w:szCs w:val="32"/>
          <w:lang w:val="en-US" w:eastAsia="zh-CN"/>
        </w:rPr>
        <w:drawing>
          <wp:inline distT="0" distB="0" distL="114300" distR="114300">
            <wp:extent cx="5080000" cy="3070225"/>
            <wp:effectExtent l="4445" t="4445" r="20955" b="1143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11"/>
        <w:keepNext w:val="0"/>
        <w:keepLines w:val="0"/>
        <w:widowControl/>
        <w:numPr>
          <w:ilvl w:val="0"/>
          <w:numId w:val="1"/>
        </w:numPr>
        <w:suppressLineNumbers w:val="0"/>
        <w:shd w:val="clear" w:color="auto" w:fill="auto"/>
        <w:ind w:left="0" w:right="75"/>
        <w:jc w:val="left"/>
        <w:outlineLvl w:val="1"/>
        <w:rPr>
          <w:rFonts w:hint="eastAsia" w:ascii="仿宋" w:hAnsi="仿宋" w:eastAsia="仿宋"/>
          <w:color w:val="000000"/>
          <w:sz w:val="32"/>
          <w:szCs w:val="32"/>
          <w:lang w:eastAsia="zh-CN"/>
        </w:rPr>
      </w:pPr>
      <w:bookmarkStart w:id="5" w:name="_Toc21346"/>
      <w:r>
        <w:rPr>
          <w:rFonts w:hint="eastAsia" w:ascii="黑体" w:hAnsi="黑体" w:eastAsia="黑体" w:cs="黑体"/>
          <w:sz w:val="32"/>
          <w:szCs w:val="32"/>
          <w:shd w:val="clear" w:color="auto" w:fill="FFFFFF"/>
        </w:rPr>
        <w:t>收入决算情况说明</w:t>
      </w:r>
      <w:bookmarkEnd w:id="5"/>
    </w:p>
    <w:p>
      <w:pPr>
        <w:pStyle w:val="11"/>
        <w:keepNext w:val="0"/>
        <w:keepLines w:val="0"/>
        <w:widowControl/>
        <w:numPr>
          <w:ilvl w:val="0"/>
          <w:numId w:val="0"/>
        </w:numPr>
        <w:suppressLineNumbers w:val="0"/>
        <w:shd w:val="clear" w:color="auto" w:fill="auto"/>
        <w:ind w:right="75" w:rightChars="0" w:firstLine="640" w:firstLineChars="200"/>
        <w:jc w:val="left"/>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336.16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其中一般公共财政拨款收入</w:t>
      </w:r>
      <w:r>
        <w:rPr>
          <w:rFonts w:hint="eastAsia" w:ascii="仿宋" w:hAnsi="仿宋" w:eastAsia="仿宋"/>
          <w:color w:val="000000"/>
          <w:sz w:val="32"/>
          <w:szCs w:val="32"/>
          <w:lang w:val="en-US" w:eastAsia="zh-CN"/>
        </w:rPr>
        <w:t>336.16万元</w:t>
      </w:r>
      <w:r>
        <w:rPr>
          <w:rFonts w:hint="eastAsia" w:ascii="仿宋" w:hAnsi="仿宋" w:eastAsia="仿宋"/>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1"/>
        <w:keepNext w:val="0"/>
        <w:keepLines w:val="0"/>
        <w:widowControl/>
        <w:numPr>
          <w:ilvl w:val="0"/>
          <w:numId w:val="0"/>
        </w:numPr>
        <w:suppressLineNumbers w:val="0"/>
        <w:shd w:val="clear" w:color="auto" w:fill="auto"/>
        <w:ind w:right="75" w:rightChars="0" w:firstLine="640" w:firstLineChars="200"/>
        <w:jc w:val="left"/>
        <w:rPr>
          <w:rFonts w:hint="eastAsia" w:ascii="黑体" w:hAnsi="黑体" w:eastAsia="黑体" w:cs="黑体"/>
          <w:sz w:val="32"/>
          <w:szCs w:val="32"/>
          <w:shd w:val="clear" w:color="auto" w:fill="FFFFFF"/>
        </w:rPr>
      </w:pPr>
      <w:r>
        <w:rPr>
          <w:rFonts w:hint="eastAsia" w:ascii="仿宋" w:hAnsi="仿宋" w:eastAsia="仿宋"/>
          <w:color w:val="000000"/>
          <w:sz w:val="32"/>
          <w:szCs w:val="32"/>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7">
            <o:LockedField>false</o:LockedField>
          </o:OLEObject>
        </w:object>
      </w:r>
      <w:r>
        <w:rPr>
          <w:rFonts w:hint="eastAsia" w:ascii="仿宋" w:hAnsi="仿宋" w:eastAsia="仿宋"/>
          <w:color w:val="000000"/>
          <w:sz w:val="32"/>
          <w:szCs w:val="32"/>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8">
            <o:LockedField>false</o:LockedField>
          </o:OLEObject>
        </w:object>
      </w:r>
      <w:r>
        <w:rPr>
          <w:rFonts w:hint="eastAsia" w:ascii="仿宋" w:hAnsi="仿宋" w:eastAsia="仿宋"/>
          <w:color w:val="000000"/>
          <w:sz w:val="32"/>
          <w:szCs w:val="32"/>
          <w:lang w:eastAsia="zh-CN"/>
        </w:rPr>
        <w:drawing>
          <wp:inline distT="0" distB="0" distL="114300" distR="114300">
            <wp:extent cx="4670425" cy="2008505"/>
            <wp:effectExtent l="4445" t="4445" r="11430" b="63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1"/>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6" w:name="_Toc21019"/>
      <w:r>
        <w:rPr>
          <w:rFonts w:hint="eastAsia" w:ascii="黑体" w:hAnsi="黑体" w:eastAsia="黑体" w:cs="黑体"/>
          <w:sz w:val="32"/>
          <w:szCs w:val="32"/>
          <w:shd w:val="clear" w:color="auto" w:fill="FFFFFF"/>
        </w:rPr>
        <w:t>支出决算情况说明</w:t>
      </w:r>
      <w:bookmarkEnd w:id="6"/>
    </w:p>
    <w:p>
      <w:pPr>
        <w:pStyle w:val="11"/>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336.16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336.16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%；上缴上级支出0.00万元，占0.00%；经营支出0.00万元，占经营支出0.00万元，占 0.00%；对附属单位补助支出0.00万元，占0.00%</w:t>
      </w:r>
    </w:p>
    <w:p>
      <w:pPr>
        <w:pStyle w:val="11"/>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rPr>
        <w:t>（图3：支出决算结构图）（饼状图）</w:t>
      </w:r>
    </w:p>
    <w:p>
      <w:pPr>
        <w:pStyle w:val="11"/>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80000" cy="2918460"/>
            <wp:effectExtent l="4445" t="4445" r="20955"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1"/>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7" w:name="_Toc7956"/>
      <w:r>
        <w:rPr>
          <w:rFonts w:hint="eastAsia" w:ascii="黑体" w:hAnsi="黑体" w:eastAsia="黑体" w:cs="黑体"/>
          <w:sz w:val="32"/>
          <w:szCs w:val="32"/>
          <w:shd w:val="clear" w:color="auto" w:fill="FFFFFF"/>
        </w:rPr>
        <w:t>财政拨款收入支出决算总体情况说明</w:t>
      </w:r>
      <w:bookmarkEnd w:id="7"/>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年度收入</w:t>
      </w:r>
      <w:r>
        <w:rPr>
          <w:rFonts w:hint="eastAsia" w:ascii="仿宋" w:hAnsi="仿宋" w:eastAsia="仿宋"/>
          <w:color w:val="000000"/>
          <w:sz w:val="32"/>
          <w:szCs w:val="32"/>
          <w:lang w:val="en-US" w:eastAsia="zh-CN"/>
        </w:rPr>
        <w:t>336.16</w:t>
      </w:r>
      <w:r>
        <w:rPr>
          <w:rFonts w:hint="eastAsia" w:ascii="仿宋" w:hAnsi="仿宋" w:eastAsia="仿宋"/>
          <w:color w:val="000000"/>
          <w:sz w:val="32"/>
          <w:szCs w:val="32"/>
        </w:rPr>
        <w:t>万元，支出</w:t>
      </w:r>
      <w:r>
        <w:rPr>
          <w:rFonts w:hint="eastAsia" w:ascii="仿宋" w:hAnsi="仿宋" w:eastAsia="仿宋"/>
          <w:color w:val="000000"/>
          <w:sz w:val="32"/>
          <w:szCs w:val="32"/>
          <w:lang w:val="en-US" w:eastAsia="zh-CN"/>
        </w:rPr>
        <w:t>336.16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021</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56.95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20.40</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56.95万元，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20.40</w:t>
      </w:r>
      <w:r>
        <w:rPr>
          <w:rFonts w:hint="eastAsia" w:ascii="仿宋" w:hAnsi="仿宋" w:eastAsia="仿宋"/>
          <w:color w:val="000000"/>
          <w:sz w:val="32"/>
          <w:szCs w:val="32"/>
        </w:rPr>
        <w:t>%</w:t>
      </w:r>
      <w:r>
        <w:rPr>
          <w:rFonts w:hint="eastAsia" w:ascii="仿宋" w:hAnsi="仿宋" w:eastAsia="仿宋"/>
          <w:color w:val="000000"/>
          <w:sz w:val="32"/>
          <w:szCs w:val="32"/>
          <w:lang w:eastAsia="zh-CN"/>
        </w:rPr>
        <w:t>，收入支出均增加主要原因：</w:t>
      </w:r>
      <w:r>
        <w:rPr>
          <w:rStyle w:val="14"/>
          <w:rFonts w:hint="eastAsia" w:ascii="仿宋_GB2312" w:hAnsi="仿宋_GB2312" w:eastAsia="仿宋_GB2312" w:cs="仿宋_GB2312"/>
          <w:sz w:val="32"/>
          <w:szCs w:val="32"/>
        </w:rPr>
        <w:t>主要原因为</w:t>
      </w:r>
      <w:r>
        <w:rPr>
          <w:rStyle w:val="14"/>
          <w:rFonts w:hint="eastAsia" w:ascii="仿宋_GB2312" w:hAnsi="宋体" w:eastAsia="仿宋_GB2312" w:cs="宋体"/>
          <w:sz w:val="32"/>
          <w:szCs w:val="32"/>
          <w:lang w:eastAsia="zh-CN"/>
        </w:rPr>
        <w:t>人员变动</w:t>
      </w:r>
      <w:r>
        <w:rPr>
          <w:rStyle w:val="14"/>
          <w:rFonts w:hint="eastAsia" w:ascii="仿宋_GB2312" w:eastAsia="仿宋_GB2312" w:cs="宋体"/>
          <w:sz w:val="32"/>
          <w:szCs w:val="32"/>
          <w:lang w:eastAsia="zh-CN"/>
        </w:rPr>
        <w:t>（人员增加及激励性绩效进入工资）</w:t>
      </w:r>
      <w:r>
        <w:rPr>
          <w:rStyle w:val="14"/>
          <w:rFonts w:hint="eastAsia" w:ascii="仿宋_GB2312" w:hAnsi="宋体" w:eastAsia="仿宋_GB2312" w:cs="宋体"/>
          <w:sz w:val="32"/>
          <w:szCs w:val="32"/>
          <w:lang w:eastAsia="zh-CN"/>
        </w:rPr>
        <w:t>、厉行节约、经费调整</w:t>
      </w:r>
      <w:r>
        <w:rPr>
          <w:rFonts w:hint="eastAsia" w:ascii="仿宋_GB2312" w:hAnsi="仿宋_GB2312" w:eastAsia="仿宋_GB2312" w:cs="仿宋_GB2312"/>
          <w:sz w:val="32"/>
          <w:szCs w:val="32"/>
        </w:rPr>
        <w:t>。</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11"/>
        <w:keepNext w:val="0"/>
        <w:keepLines w:val="0"/>
        <w:widowControl/>
        <w:numPr>
          <w:ilvl w:val="0"/>
          <w:numId w:val="0"/>
        </w:numPr>
        <w:suppressLineNumbers w:val="0"/>
        <w:shd w:val="clear" w:color="auto" w:fill="auto"/>
        <w:ind w:leftChars="0" w:right="75" w:rightChars="0"/>
        <w:jc w:val="left"/>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drawing>
          <wp:inline distT="0" distB="0" distL="114300" distR="114300">
            <wp:extent cx="5080000" cy="26289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1"/>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8" w:name="_Toc23149"/>
      <w:r>
        <w:rPr>
          <w:rFonts w:hint="eastAsia" w:ascii="黑体" w:hAnsi="黑体" w:eastAsia="黑体" w:cs="黑体"/>
          <w:sz w:val="32"/>
          <w:szCs w:val="32"/>
          <w:shd w:val="clear" w:color="auto" w:fill="FFFFFF"/>
        </w:rPr>
        <w:t>五、一般公共预算财政拨款支出决算情况说明</w:t>
      </w:r>
      <w:bookmarkEnd w:id="8"/>
    </w:p>
    <w:p>
      <w:pPr>
        <w:pStyle w:val="11"/>
        <w:keepNext w:val="0"/>
        <w:keepLines w:val="0"/>
        <w:widowControl/>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（一）一般公共预算财政拨款支出决算总体情况</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336.16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021</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56.95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20.40</w:t>
      </w:r>
      <w:r>
        <w:rPr>
          <w:rFonts w:hint="eastAsia" w:ascii="仿宋" w:hAnsi="仿宋" w:eastAsia="仿宋"/>
          <w:color w:val="000000"/>
          <w:sz w:val="32"/>
          <w:szCs w:val="32"/>
        </w:rPr>
        <w:t>%。</w:t>
      </w:r>
      <w:r>
        <w:rPr>
          <w:rFonts w:hint="eastAsia" w:ascii="仿宋" w:hAnsi="仿宋" w:eastAsia="仿宋"/>
          <w:color w:val="000000"/>
          <w:sz w:val="32"/>
          <w:szCs w:val="32"/>
          <w:lang w:eastAsia="zh-CN"/>
        </w:rPr>
        <w:t>增加主要原因：</w:t>
      </w:r>
      <w:r>
        <w:rPr>
          <w:rStyle w:val="14"/>
          <w:rFonts w:hint="eastAsia" w:ascii="仿宋_GB2312" w:hAnsi="仿宋_GB2312" w:eastAsia="仿宋_GB2312" w:cs="仿宋_GB2312"/>
          <w:sz w:val="32"/>
          <w:szCs w:val="32"/>
        </w:rPr>
        <w:t>主要原因为</w:t>
      </w:r>
      <w:r>
        <w:rPr>
          <w:rStyle w:val="14"/>
          <w:rFonts w:hint="eastAsia" w:ascii="仿宋_GB2312" w:hAnsi="宋体" w:eastAsia="仿宋_GB2312" w:cs="宋体"/>
          <w:sz w:val="32"/>
          <w:szCs w:val="32"/>
          <w:lang w:eastAsia="zh-CN"/>
        </w:rPr>
        <w:t>人员变动</w:t>
      </w:r>
      <w:r>
        <w:rPr>
          <w:rStyle w:val="14"/>
          <w:rFonts w:hint="eastAsia" w:ascii="仿宋_GB2312" w:eastAsia="仿宋_GB2312" w:cs="宋体"/>
          <w:sz w:val="32"/>
          <w:szCs w:val="32"/>
          <w:lang w:eastAsia="zh-CN"/>
        </w:rPr>
        <w:t>（人员增加及激励性绩效进入工资）</w:t>
      </w:r>
      <w:r>
        <w:rPr>
          <w:rStyle w:val="14"/>
          <w:rFonts w:hint="eastAsia" w:ascii="仿宋_GB2312" w:hAnsi="宋体" w:eastAsia="仿宋_GB2312" w:cs="宋体"/>
          <w:sz w:val="32"/>
          <w:szCs w:val="32"/>
          <w:lang w:eastAsia="zh-CN"/>
        </w:rPr>
        <w:t>、厉行节约、经费调整</w:t>
      </w:r>
      <w:r>
        <w:rPr>
          <w:rFonts w:hint="eastAsia" w:ascii="仿宋_GB2312" w:hAnsi="仿宋_GB2312" w:eastAsia="仿宋_GB2312" w:cs="仿宋_GB2312"/>
          <w:sz w:val="32"/>
          <w:szCs w:val="32"/>
        </w:rPr>
        <w:t>。</w:t>
      </w: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w:t>
      </w:r>
      <w:r>
        <w:rPr>
          <w:rFonts w:hint="eastAsia" w:ascii="仿宋" w:hAnsi="仿宋" w:eastAsia="仿宋"/>
          <w:color w:val="000000" w:themeColor="text1"/>
          <w:sz w:val="32"/>
          <w:szCs w:val="32"/>
          <w:lang w:eastAsia="zh-CN"/>
          <w14:textFill>
            <w14:solidFill>
              <w14:schemeClr w14:val="tx1"/>
            </w14:solidFill>
          </w14:textFill>
        </w:rPr>
        <w:t>图）</w:t>
      </w:r>
    </w:p>
    <w:p>
      <w:pPr>
        <w:pStyle w:val="5"/>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11"/>
        <w:keepNext w:val="0"/>
        <w:keepLines w:val="0"/>
        <w:widowControl/>
        <w:numPr>
          <w:ilvl w:val="0"/>
          <w:numId w:val="2"/>
        </w:numPr>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一般公共预算财政拨款支出决算结构情况</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0" w:right="76" w:firstLine="640" w:firstLineChars="200"/>
        <w:jc w:val="left"/>
        <w:rPr>
          <w:rStyle w:val="14"/>
          <w:rFonts w:hint="default" w:ascii="仿宋" w:hAnsi="仿宋" w:eastAsia="仿宋" w:cs="Times New Roman"/>
          <w:b w:val="0"/>
          <w:bCs/>
          <w:color w:val="000000"/>
          <w:kern w:val="2"/>
          <w:sz w:val="32"/>
          <w:szCs w:val="32"/>
          <w:shd w:val="clear"/>
          <w:lang w:val="en-US" w:eastAsia="zh-CN" w:bidi="ar-SA"/>
        </w:rPr>
      </w:pPr>
      <w:r>
        <w:rPr>
          <w:rStyle w:val="14"/>
          <w:rFonts w:hint="default" w:ascii="仿宋" w:hAnsi="仿宋" w:eastAsia="仿宋" w:cs="Times New Roman"/>
          <w:b w:val="0"/>
          <w:bCs/>
          <w:color w:val="000000"/>
          <w:kern w:val="2"/>
          <w:sz w:val="32"/>
          <w:szCs w:val="32"/>
          <w:shd w:val="clear"/>
          <w:lang w:val="en-US" w:eastAsia="zh-CN" w:bidi="ar-SA"/>
        </w:rPr>
        <w:t>202</w:t>
      </w:r>
      <w:r>
        <w:rPr>
          <w:rStyle w:val="14"/>
          <w:rFonts w:hint="eastAsia" w:ascii="仿宋" w:hAnsi="仿宋" w:eastAsia="仿宋" w:cs="Times New Roman"/>
          <w:b w:val="0"/>
          <w:bCs/>
          <w:color w:val="000000"/>
          <w:kern w:val="2"/>
          <w:sz w:val="32"/>
          <w:szCs w:val="32"/>
          <w:shd w:val="clear"/>
          <w:lang w:val="en-US" w:eastAsia="zh-CN" w:bidi="ar-SA"/>
        </w:rPr>
        <w:t>2</w:t>
      </w:r>
      <w:r>
        <w:rPr>
          <w:rStyle w:val="14"/>
          <w:rFonts w:hint="default" w:ascii="仿宋" w:hAnsi="仿宋" w:eastAsia="仿宋" w:cs="Times New Roman"/>
          <w:b w:val="0"/>
          <w:bCs/>
          <w:color w:val="000000"/>
          <w:kern w:val="2"/>
          <w:sz w:val="32"/>
          <w:szCs w:val="32"/>
          <w:shd w:val="clear"/>
          <w:lang w:val="en-US" w:eastAsia="zh-CN" w:bidi="ar-SA"/>
        </w:rPr>
        <w:t>年一般公共预算财政拨款支出</w:t>
      </w:r>
      <w:r>
        <w:rPr>
          <w:rStyle w:val="14"/>
          <w:rFonts w:hint="eastAsia" w:ascii="仿宋" w:hAnsi="仿宋" w:eastAsia="仿宋" w:cs="Times New Roman"/>
          <w:b w:val="0"/>
          <w:bCs/>
          <w:color w:val="000000"/>
          <w:kern w:val="2"/>
          <w:sz w:val="32"/>
          <w:szCs w:val="32"/>
          <w:shd w:val="clear"/>
          <w:lang w:val="en-US" w:eastAsia="zh-CN" w:bidi="ar-SA"/>
        </w:rPr>
        <w:t>336.16</w:t>
      </w:r>
      <w:r>
        <w:rPr>
          <w:rStyle w:val="14"/>
          <w:rFonts w:hint="default" w:ascii="仿宋" w:hAnsi="仿宋" w:eastAsia="仿宋" w:cs="Times New Roman"/>
          <w:b w:val="0"/>
          <w:bCs/>
          <w:color w:val="000000"/>
          <w:kern w:val="2"/>
          <w:sz w:val="32"/>
          <w:szCs w:val="32"/>
          <w:shd w:val="clear"/>
          <w:lang w:val="en-US" w:eastAsia="zh-CN" w:bidi="ar-SA"/>
        </w:rPr>
        <w:t>万元，主要用于以下方面:一般公共服务（类）支出</w:t>
      </w:r>
      <w:r>
        <w:rPr>
          <w:rStyle w:val="14"/>
          <w:rFonts w:hint="eastAsia" w:ascii="仿宋" w:hAnsi="仿宋" w:eastAsia="仿宋" w:cs="Times New Roman"/>
          <w:b w:val="0"/>
          <w:bCs/>
          <w:color w:val="000000"/>
          <w:kern w:val="2"/>
          <w:sz w:val="32"/>
          <w:szCs w:val="32"/>
          <w:shd w:val="clear"/>
          <w:lang w:val="en-US" w:eastAsia="zh-CN" w:bidi="ar-SA"/>
        </w:rPr>
        <w:t>254.31</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75.65</w:t>
      </w:r>
      <w:r>
        <w:rPr>
          <w:rStyle w:val="14"/>
          <w:rFonts w:hint="default" w:ascii="仿宋" w:hAnsi="仿宋" w:eastAsia="仿宋" w:cs="Times New Roman"/>
          <w:b w:val="0"/>
          <w:bCs/>
          <w:color w:val="000000"/>
          <w:kern w:val="2"/>
          <w:sz w:val="32"/>
          <w:szCs w:val="32"/>
          <w:shd w:val="clear"/>
          <w:lang w:val="en-US" w:eastAsia="zh-CN" w:bidi="ar-SA"/>
        </w:rPr>
        <w:t>%；社会保障和就业（类）支出</w:t>
      </w:r>
      <w:r>
        <w:rPr>
          <w:rStyle w:val="14"/>
          <w:rFonts w:hint="eastAsia" w:ascii="仿宋" w:hAnsi="仿宋" w:eastAsia="仿宋" w:cs="Times New Roman"/>
          <w:b w:val="0"/>
          <w:bCs/>
          <w:color w:val="000000"/>
          <w:kern w:val="2"/>
          <w:sz w:val="32"/>
          <w:szCs w:val="32"/>
          <w:shd w:val="clear"/>
          <w:lang w:val="en-US" w:eastAsia="zh-CN" w:bidi="ar-SA"/>
        </w:rPr>
        <w:t>42.29</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12.58</w:t>
      </w:r>
      <w:r>
        <w:rPr>
          <w:rStyle w:val="14"/>
          <w:rFonts w:hint="default" w:ascii="仿宋" w:hAnsi="仿宋" w:eastAsia="仿宋" w:cs="Times New Roman"/>
          <w:b w:val="0"/>
          <w:bCs/>
          <w:color w:val="000000"/>
          <w:kern w:val="2"/>
          <w:sz w:val="32"/>
          <w:szCs w:val="32"/>
          <w:shd w:val="clear"/>
          <w:lang w:val="en-US" w:eastAsia="zh-CN" w:bidi="ar-SA"/>
        </w:rPr>
        <w:t>%；卫生健康支出</w:t>
      </w:r>
      <w:r>
        <w:rPr>
          <w:rStyle w:val="14"/>
          <w:rFonts w:hint="eastAsia" w:ascii="仿宋" w:hAnsi="仿宋" w:eastAsia="仿宋" w:cs="Times New Roman"/>
          <w:b w:val="0"/>
          <w:bCs/>
          <w:color w:val="000000"/>
          <w:kern w:val="2"/>
          <w:sz w:val="32"/>
          <w:szCs w:val="32"/>
          <w:shd w:val="clear"/>
          <w:lang w:val="en-US" w:eastAsia="zh-CN" w:bidi="ar-SA"/>
        </w:rPr>
        <w:t>17.37</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5.17</w:t>
      </w:r>
      <w:r>
        <w:rPr>
          <w:rStyle w:val="14"/>
          <w:rFonts w:hint="default" w:ascii="仿宋" w:hAnsi="仿宋" w:eastAsia="仿宋" w:cs="Times New Roman"/>
          <w:b w:val="0"/>
          <w:bCs/>
          <w:color w:val="000000"/>
          <w:kern w:val="2"/>
          <w:sz w:val="32"/>
          <w:szCs w:val="32"/>
          <w:shd w:val="clear"/>
          <w:lang w:val="en-US" w:eastAsia="zh-CN" w:bidi="ar-SA"/>
        </w:rPr>
        <w:t>%；住房保障支出</w:t>
      </w:r>
      <w:r>
        <w:rPr>
          <w:rStyle w:val="14"/>
          <w:rFonts w:hint="eastAsia" w:ascii="仿宋" w:hAnsi="仿宋" w:eastAsia="仿宋" w:cs="Times New Roman"/>
          <w:b w:val="0"/>
          <w:bCs/>
          <w:color w:val="000000"/>
          <w:kern w:val="2"/>
          <w:sz w:val="32"/>
          <w:szCs w:val="32"/>
          <w:shd w:val="clear"/>
          <w:lang w:val="en-US" w:eastAsia="zh-CN" w:bidi="ar-SA"/>
        </w:rPr>
        <w:t>22.19</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6.60</w:t>
      </w:r>
      <w:r>
        <w:rPr>
          <w:rStyle w:val="14"/>
          <w:rFonts w:hint="default" w:ascii="仿宋" w:hAnsi="仿宋" w:eastAsia="仿宋" w:cs="Times New Roman"/>
          <w:b w:val="0"/>
          <w:bCs/>
          <w:color w:val="000000"/>
          <w:kern w:val="2"/>
          <w:sz w:val="32"/>
          <w:szCs w:val="32"/>
          <w:shd w:val="clear"/>
          <w:lang w:val="en-US" w:eastAsia="zh-CN" w:bidi="ar-SA"/>
        </w:rPr>
        <w:t>%。</w:t>
      </w:r>
    </w:p>
    <w:p>
      <w:pPr>
        <w:pStyle w:val="11"/>
        <w:keepNext w:val="0"/>
        <w:keepLines w:val="0"/>
        <w:widowControl/>
        <w:numPr>
          <w:ilvl w:val="0"/>
          <w:numId w:val="0"/>
        </w:numPr>
        <w:suppressLineNumbers w:val="0"/>
        <w:ind w:right="75" w:rightChars="0"/>
        <w:rPr>
          <w:rStyle w:val="14"/>
          <w:rFonts w:hint="eastAsia" w:ascii="仿宋_GB2312" w:hAnsi="仿宋_GB2312" w:eastAsia="仿宋" w:cs="仿宋_GB2312"/>
          <w:sz w:val="28"/>
          <w:szCs w:val="28"/>
          <w:shd w:val="clear" w:color="auto" w:fill="FFFFFF"/>
          <w:lang w:eastAsia="zh-CN"/>
        </w:rPr>
      </w:pPr>
      <w:r>
        <w:rPr>
          <w:rFonts w:hint="eastAsia" w:ascii="仿宋" w:hAnsi="仿宋" w:eastAsia="仿宋"/>
          <w:color w:val="000000"/>
          <w:sz w:val="28"/>
          <w:szCs w:val="28"/>
          <w:lang w:eastAsia="zh-CN"/>
        </w:rPr>
        <w:drawing>
          <wp:anchor distT="0" distB="0" distL="114300" distR="114300" simplePos="0" relativeHeight="251660288" behindDoc="1" locked="0" layoutInCell="1" allowOverlap="1">
            <wp:simplePos x="0" y="0"/>
            <wp:positionH relativeFrom="column">
              <wp:posOffset>339725</wp:posOffset>
            </wp:positionH>
            <wp:positionV relativeFrom="paragraph">
              <wp:posOffset>627380</wp:posOffset>
            </wp:positionV>
            <wp:extent cx="4765040" cy="2182495"/>
            <wp:effectExtent l="4445" t="4445" r="12065" b="228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 w:hAnsi="仿宋" w:eastAsia="仿宋"/>
          <w:color w:val="000000"/>
          <w:sz w:val="28"/>
          <w:szCs w:val="28"/>
        </w:rPr>
        <w:t>（图6：一般公共预算财政拨款支出决算结构</w:t>
      </w:r>
      <w:r>
        <w:rPr>
          <w:rFonts w:hint="eastAsia" w:ascii="仿宋" w:hAnsi="仿宋" w:eastAsia="仿宋"/>
          <w:color w:val="000000"/>
          <w:sz w:val="28"/>
          <w:szCs w:val="28"/>
          <w:lang w:eastAsia="zh-CN"/>
        </w:rPr>
        <w:t>图</w:t>
      </w:r>
      <w:r>
        <w:rPr>
          <w:rFonts w:hint="eastAsia" w:ascii="仿宋" w:hAnsi="仿宋" w:eastAsia="仿宋"/>
          <w:color w:val="000000"/>
          <w:sz w:val="28"/>
          <w:szCs w:val="28"/>
        </w:rPr>
        <w:t>（饼状</w:t>
      </w:r>
      <w:r>
        <w:rPr>
          <w:rFonts w:hint="eastAsia" w:ascii="仿宋" w:hAnsi="仿宋" w:eastAsia="仿宋"/>
          <w:color w:val="000000"/>
          <w:sz w:val="28"/>
          <w:szCs w:val="28"/>
          <w:lang w:eastAsia="zh-CN"/>
        </w:rPr>
        <w:t>图）</w:t>
      </w:r>
    </w:p>
    <w:p>
      <w:pPr>
        <w:pStyle w:val="11"/>
        <w:keepNext w:val="0"/>
        <w:keepLines w:val="0"/>
        <w:widowControl/>
        <w:numPr>
          <w:ilvl w:val="0"/>
          <w:numId w:val="2"/>
        </w:numPr>
        <w:suppressLineNumbers w:val="0"/>
        <w:ind w:left="0" w:leftChars="0" w:right="75" w:firstLine="0" w:firstLine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一般公共预算财政拨款支出决算具体情况</w:t>
      </w:r>
    </w:p>
    <w:p>
      <w:pPr>
        <w:spacing w:line="600" w:lineRule="exact"/>
        <w:ind w:firstLine="643" w:firstLineChars="200"/>
        <w:outlineLvl w:val="9"/>
        <w:rPr>
          <w:rFonts w:ascii="仿宋" w:hAnsi="仿宋" w:eastAsia="仿宋"/>
          <w:color w:val="FF0000"/>
          <w:sz w:val="32"/>
          <w:szCs w:val="32"/>
        </w:rPr>
      </w:pPr>
      <w:bookmarkStart w:id="9" w:name="_Toc15377444"/>
      <w:bookmarkStart w:id="10" w:name="_Toc15377213"/>
      <w:bookmarkStart w:id="11" w:name="_Toc15378460"/>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22</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336.16</w:t>
      </w:r>
      <w:r>
        <w:rPr>
          <w:rFonts w:hint="eastAsia" w:ascii="仿宋" w:hAnsi="仿宋" w:eastAsia="仿宋"/>
          <w:b/>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9"/>
      <w:bookmarkEnd w:id="10"/>
      <w:bookmarkEnd w:id="11"/>
    </w:p>
    <w:p>
      <w:pPr>
        <w:numPr>
          <w:ilvl w:val="0"/>
          <w:numId w:val="3"/>
        </w:numPr>
        <w:spacing w:line="600" w:lineRule="exact"/>
        <w:ind w:left="0" w:leftChars="0"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一般公共服务</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lang w:val="en-US" w:eastAsia="zh-CN"/>
        </w:rPr>
        <w:t>2013101-</w:t>
      </w:r>
      <w:r>
        <w:rPr>
          <w:rStyle w:val="14"/>
          <w:rFonts w:hint="eastAsia" w:ascii="仿宋" w:hAnsi="仿宋" w:eastAsia="仿宋"/>
          <w:b w:val="0"/>
          <w:bCs/>
          <w:color w:val="000000"/>
          <w:sz w:val="32"/>
          <w:szCs w:val="32"/>
        </w:rPr>
        <w:t>行政运行支出决算为</w:t>
      </w:r>
      <w:r>
        <w:rPr>
          <w:rStyle w:val="14"/>
          <w:rFonts w:hint="eastAsia" w:ascii="仿宋" w:hAnsi="仿宋" w:eastAsia="仿宋"/>
          <w:b w:val="0"/>
          <w:bCs/>
          <w:color w:val="000000"/>
          <w:sz w:val="32"/>
          <w:szCs w:val="32"/>
          <w:lang w:val="en-US" w:eastAsia="zh-CN"/>
        </w:rPr>
        <w:t>214.12</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，主要用于开支日常公用经费及人员经费；</w:t>
      </w:r>
      <w:r>
        <w:rPr>
          <w:rStyle w:val="14"/>
          <w:rFonts w:hint="eastAsia" w:ascii="仿宋" w:hAnsi="仿宋" w:eastAsia="仿宋"/>
          <w:b w:val="0"/>
          <w:bCs/>
          <w:color w:val="000000"/>
          <w:sz w:val="32"/>
          <w:szCs w:val="32"/>
          <w:lang w:val="en-US" w:eastAsia="zh-CN"/>
        </w:rPr>
        <w:t>2011302-</w:t>
      </w:r>
      <w:r>
        <w:rPr>
          <w:rStyle w:val="14"/>
          <w:rFonts w:hint="eastAsia" w:ascii="仿宋" w:hAnsi="仿宋" w:eastAsia="仿宋"/>
          <w:b w:val="0"/>
          <w:bCs/>
          <w:color w:val="000000"/>
          <w:sz w:val="32"/>
          <w:szCs w:val="32"/>
          <w:lang w:eastAsia="zh-CN"/>
        </w:rPr>
        <w:t>一般行政管理事务</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4.00</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，主要用于专项公用经费；</w:t>
      </w:r>
      <w:r>
        <w:rPr>
          <w:rStyle w:val="14"/>
          <w:rFonts w:hint="eastAsia" w:ascii="仿宋" w:hAnsi="仿宋" w:eastAsia="仿宋"/>
          <w:b w:val="0"/>
          <w:bCs/>
          <w:color w:val="000000"/>
          <w:sz w:val="32"/>
          <w:szCs w:val="32"/>
          <w:lang w:val="en-US" w:eastAsia="zh-CN"/>
        </w:rPr>
        <w:t>2013150</w:t>
      </w:r>
      <w:r>
        <w:rPr>
          <w:rStyle w:val="14"/>
          <w:rFonts w:hint="eastAsia" w:ascii="仿宋" w:hAnsi="仿宋" w:eastAsia="仿宋"/>
          <w:b w:val="0"/>
          <w:bCs/>
          <w:color w:val="000000"/>
          <w:sz w:val="32"/>
          <w:szCs w:val="32"/>
          <w:lang w:eastAsia="zh-CN"/>
        </w:rPr>
        <w:tab/>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事业运行</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36.19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，主要用于主要用于事业开支日常公用经费及人员经费；</w:t>
      </w:r>
    </w:p>
    <w:p>
      <w:pPr>
        <w:numPr>
          <w:ilvl w:val="0"/>
          <w:numId w:val="3"/>
        </w:numPr>
        <w:spacing w:line="600" w:lineRule="exact"/>
        <w:ind w:left="0" w:leftChars="0"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社会保障和就业</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2080505</w:t>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rPr>
        <w:t>机关事业单位基本养老保险缴费支出决算为</w:t>
      </w:r>
      <w:r>
        <w:rPr>
          <w:rStyle w:val="14"/>
          <w:rFonts w:hint="eastAsia" w:ascii="仿宋" w:hAnsi="仿宋" w:eastAsia="仿宋"/>
          <w:b w:val="0"/>
          <w:bCs/>
          <w:color w:val="000000"/>
          <w:sz w:val="32"/>
          <w:szCs w:val="32"/>
          <w:lang w:val="en-US" w:eastAsia="zh-CN"/>
        </w:rPr>
        <w:t>28.20</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全部用于职工缴纳养老保险单位部分；2080506</w:t>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机关事业单位职业年金缴费支出</w:t>
      </w:r>
      <w:r>
        <w:rPr>
          <w:rStyle w:val="14"/>
          <w:rFonts w:hint="eastAsia" w:ascii="仿宋" w:hAnsi="仿宋" w:eastAsia="仿宋"/>
          <w:b w:val="0"/>
          <w:bCs/>
          <w:color w:val="000000"/>
          <w:sz w:val="32"/>
          <w:szCs w:val="32"/>
        </w:rPr>
        <w:t>决算为</w:t>
      </w:r>
      <w:r>
        <w:rPr>
          <w:rStyle w:val="14"/>
          <w:rFonts w:hint="eastAsia" w:ascii="仿宋" w:hAnsi="仿宋" w:eastAsia="仿宋"/>
          <w:b w:val="0"/>
          <w:bCs/>
          <w:color w:val="000000"/>
          <w:sz w:val="32"/>
          <w:szCs w:val="32"/>
          <w:lang w:val="en-US" w:eastAsia="zh-CN"/>
        </w:rPr>
        <w:t>14.10</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全部用于职工缴纳职业年金单位部分。</w:t>
      </w:r>
    </w:p>
    <w:p>
      <w:pPr>
        <w:numPr>
          <w:ilvl w:val="0"/>
          <w:numId w:val="3"/>
        </w:numPr>
        <w:spacing w:line="600" w:lineRule="exact"/>
        <w:ind w:left="0" w:leftChars="0" w:firstLine="643" w:firstLineChars="200"/>
        <w:rPr>
          <w:rFonts w:ascii="仿宋" w:hAnsi="仿宋" w:eastAsia="仿宋"/>
          <w:b/>
          <w:color w:val="000000"/>
          <w:sz w:val="32"/>
          <w:szCs w:val="32"/>
        </w:rPr>
      </w:pPr>
      <w:r>
        <w:rPr>
          <w:rFonts w:hint="eastAsia" w:ascii="仿宋" w:hAnsi="仿宋" w:eastAsia="仿宋"/>
          <w:b/>
          <w:bCs/>
          <w:color w:val="000000" w:themeColor="text1"/>
          <w:sz w:val="32"/>
          <w:szCs w:val="32"/>
          <w14:textFill>
            <w14:solidFill>
              <w14:schemeClr w14:val="tx1"/>
            </w14:solidFill>
          </w14:textFill>
        </w:rPr>
        <w:t>卫生健康</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lang w:eastAsia="zh-CN"/>
        </w:rPr>
        <w:t>2101101</w:t>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行政单位医疗支出</w:t>
      </w:r>
      <w:r>
        <w:rPr>
          <w:rStyle w:val="14"/>
          <w:rFonts w:hint="eastAsia" w:ascii="仿宋" w:hAnsi="仿宋" w:eastAsia="仿宋"/>
          <w:b w:val="0"/>
          <w:bCs/>
          <w:color w:val="000000"/>
          <w:sz w:val="32"/>
          <w:szCs w:val="32"/>
        </w:rPr>
        <w:t>决算为</w:t>
      </w:r>
      <w:r>
        <w:rPr>
          <w:rStyle w:val="14"/>
          <w:rFonts w:hint="eastAsia" w:ascii="仿宋" w:hAnsi="仿宋" w:eastAsia="仿宋"/>
          <w:b w:val="0"/>
          <w:bCs/>
          <w:color w:val="000000"/>
          <w:sz w:val="32"/>
          <w:szCs w:val="32"/>
          <w:lang w:val="en-US" w:eastAsia="zh-CN"/>
        </w:rPr>
        <w:t>12.21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，全部用于职工缴纳医疗保险单位部分；210110</w:t>
      </w:r>
      <w:r>
        <w:rPr>
          <w:rStyle w:val="14"/>
          <w:rFonts w:hint="eastAsia" w:ascii="仿宋" w:hAnsi="仿宋" w:eastAsia="仿宋"/>
          <w:b w:val="0"/>
          <w:bCs/>
          <w:color w:val="000000"/>
          <w:sz w:val="32"/>
          <w:szCs w:val="32"/>
          <w:lang w:val="en-US" w:eastAsia="zh-CN"/>
        </w:rPr>
        <w:t>2</w:t>
      </w:r>
      <w:r>
        <w:rPr>
          <w:rStyle w:val="14"/>
          <w:rFonts w:hint="eastAsia" w:ascii="仿宋" w:hAnsi="仿宋" w:eastAsia="仿宋"/>
          <w:b w:val="0"/>
          <w:bCs/>
          <w:color w:val="000000"/>
          <w:sz w:val="32"/>
          <w:szCs w:val="32"/>
          <w:lang w:eastAsia="zh-CN"/>
        </w:rPr>
        <w:tab/>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事业单位医疗支出</w:t>
      </w:r>
      <w:r>
        <w:rPr>
          <w:rStyle w:val="14"/>
          <w:rFonts w:hint="eastAsia" w:ascii="仿宋" w:hAnsi="仿宋" w:eastAsia="仿宋"/>
          <w:b w:val="0"/>
          <w:bCs/>
          <w:color w:val="000000"/>
          <w:sz w:val="32"/>
          <w:szCs w:val="32"/>
        </w:rPr>
        <w:t>决算为</w:t>
      </w:r>
      <w:r>
        <w:rPr>
          <w:rStyle w:val="14"/>
          <w:rFonts w:hint="eastAsia" w:ascii="仿宋" w:hAnsi="仿宋" w:eastAsia="仿宋"/>
          <w:b w:val="0"/>
          <w:bCs/>
          <w:color w:val="000000"/>
          <w:sz w:val="32"/>
          <w:szCs w:val="32"/>
          <w:lang w:val="en-US" w:eastAsia="zh-CN"/>
        </w:rPr>
        <w:t>2.16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，全部用于事业职工缴纳医疗保险单位部分，2101103</w:t>
      </w:r>
      <w:r>
        <w:rPr>
          <w:rStyle w:val="14"/>
          <w:rFonts w:hint="eastAsia" w:ascii="仿宋" w:hAnsi="仿宋" w:eastAsia="仿宋"/>
          <w:b w:val="0"/>
          <w:bCs/>
          <w:color w:val="000000"/>
          <w:sz w:val="32"/>
          <w:szCs w:val="32"/>
          <w:lang w:eastAsia="zh-CN"/>
        </w:rPr>
        <w:tab/>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公务员医疗补助支出</w:t>
      </w:r>
      <w:r>
        <w:rPr>
          <w:rStyle w:val="14"/>
          <w:rFonts w:hint="eastAsia" w:ascii="仿宋" w:hAnsi="仿宋" w:eastAsia="仿宋"/>
          <w:b w:val="0"/>
          <w:bCs/>
          <w:color w:val="000000"/>
          <w:sz w:val="32"/>
          <w:szCs w:val="32"/>
        </w:rPr>
        <w:t>决算为</w:t>
      </w:r>
      <w:r>
        <w:rPr>
          <w:rStyle w:val="14"/>
          <w:rFonts w:hint="eastAsia" w:ascii="仿宋" w:hAnsi="仿宋" w:eastAsia="仿宋"/>
          <w:b w:val="0"/>
          <w:bCs/>
          <w:color w:val="000000"/>
          <w:sz w:val="32"/>
          <w:szCs w:val="32"/>
          <w:lang w:val="en-US" w:eastAsia="zh-CN"/>
        </w:rPr>
        <w:t>,2.57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，全部用于职工公务员补充医保</w:t>
      </w:r>
      <w:r>
        <w:rPr>
          <w:rStyle w:val="14"/>
          <w:rFonts w:hint="eastAsia" w:ascii="仿宋" w:hAnsi="仿宋" w:eastAsia="仿宋"/>
          <w:b w:val="0"/>
          <w:bCs/>
          <w:color w:val="000000"/>
          <w:sz w:val="32"/>
          <w:szCs w:val="32"/>
          <w:lang w:val="en-US" w:eastAsia="zh-CN"/>
        </w:rPr>
        <w:t>,2101199-其他选择事业单位医疗支出决算数为0.43万元，完成预算100%，全部用于行政事业单位医疗方面的支出</w:t>
      </w:r>
      <w:r>
        <w:rPr>
          <w:rStyle w:val="14"/>
          <w:rFonts w:hint="eastAsia" w:ascii="仿宋" w:hAnsi="仿宋" w:eastAsia="仿宋"/>
          <w:b w:val="0"/>
          <w:bCs/>
          <w:color w:val="000000"/>
          <w:sz w:val="32"/>
          <w:szCs w:val="32"/>
          <w:lang w:eastAsia="zh-CN"/>
        </w:rPr>
        <w:t>。</w:t>
      </w:r>
    </w:p>
    <w:p>
      <w:pPr>
        <w:numPr>
          <w:ilvl w:val="0"/>
          <w:numId w:val="3"/>
        </w:numPr>
        <w:tabs>
          <w:tab w:val="clear" w:pos="312"/>
        </w:tabs>
        <w:spacing w:line="600" w:lineRule="exact"/>
        <w:ind w:left="0" w:leftChars="0" w:firstLine="643" w:firstLineChars="200"/>
        <w:rPr>
          <w:rStyle w:val="14"/>
          <w:rFonts w:hint="eastAsia" w:ascii="仿宋_GB2312" w:hAnsi="仿宋_GB2312" w:eastAsia="仿宋_GB2312" w:cs="仿宋_GB2312"/>
          <w:sz w:val="32"/>
          <w:szCs w:val="32"/>
          <w:shd w:val="clear" w:color="auto" w:fill="FFFFFF"/>
        </w:rPr>
      </w:pPr>
      <w:r>
        <w:rPr>
          <w:rFonts w:hint="eastAsia" w:ascii="仿宋" w:hAnsi="仿宋" w:eastAsia="仿宋"/>
          <w:b/>
          <w:color w:val="000000"/>
          <w:sz w:val="32"/>
          <w:szCs w:val="32"/>
          <w:lang w:val="en-US" w:eastAsia="zh-CN"/>
        </w:rPr>
        <w:t>住房保障支出：</w:t>
      </w:r>
      <w:r>
        <w:rPr>
          <w:rStyle w:val="14"/>
          <w:rFonts w:hint="eastAsia" w:ascii="仿宋" w:hAnsi="仿宋" w:eastAsia="仿宋"/>
          <w:b w:val="0"/>
          <w:bCs/>
          <w:color w:val="000000"/>
          <w:sz w:val="32"/>
          <w:szCs w:val="32"/>
          <w:lang w:val="en-US" w:eastAsia="zh-CN"/>
        </w:rPr>
        <w:t>2210201-住房公积金</w:t>
      </w:r>
      <w:r>
        <w:rPr>
          <w:rStyle w:val="14"/>
          <w:rFonts w:hint="eastAsia" w:ascii="仿宋" w:hAnsi="仿宋" w:eastAsia="仿宋"/>
          <w:b w:val="0"/>
          <w:bCs/>
          <w:color w:val="000000"/>
          <w:sz w:val="32"/>
          <w:szCs w:val="32"/>
          <w:lang w:eastAsia="zh-CN"/>
        </w:rPr>
        <w:t>支出决</w:t>
      </w:r>
      <w:r>
        <w:rPr>
          <w:rStyle w:val="14"/>
          <w:rFonts w:hint="eastAsia" w:ascii="仿宋" w:hAnsi="仿宋" w:eastAsia="仿宋"/>
          <w:b w:val="0"/>
          <w:bCs/>
          <w:color w:val="000000"/>
          <w:sz w:val="32"/>
          <w:szCs w:val="32"/>
        </w:rPr>
        <w:t>算为</w:t>
      </w:r>
      <w:r>
        <w:rPr>
          <w:rStyle w:val="14"/>
          <w:rFonts w:hint="eastAsia" w:ascii="仿宋" w:hAnsi="仿宋" w:eastAsia="仿宋"/>
          <w:b w:val="0"/>
          <w:bCs/>
          <w:color w:val="000000"/>
          <w:sz w:val="32"/>
          <w:szCs w:val="32"/>
          <w:lang w:val="en-US" w:eastAsia="zh-CN"/>
        </w:rPr>
        <w:t>22.19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，全部用于职工缴纳住房公积金单位部分。</w:t>
      </w:r>
    </w:p>
    <w:p>
      <w:pPr>
        <w:pStyle w:val="11"/>
        <w:keepNext w:val="0"/>
        <w:keepLines w:val="0"/>
        <w:widowControl/>
        <w:numPr>
          <w:ilvl w:val="0"/>
          <w:numId w:val="0"/>
        </w:numPr>
        <w:suppressLineNumbers w:val="0"/>
        <w:shd w:val="clear" w:color="auto" w:fill="auto"/>
        <w:ind w:leftChars="0" w:right="75" w:rightChars="0"/>
        <w:jc w:val="left"/>
        <w:outlineLvl w:val="1"/>
        <w:rPr>
          <w:rFonts w:hint="eastAsia" w:ascii="黑体" w:hAnsi="黑体" w:eastAsia="黑体" w:cs="黑体"/>
          <w:sz w:val="32"/>
          <w:szCs w:val="32"/>
          <w:shd w:val="clear" w:color="auto" w:fill="FFFFFF"/>
        </w:rPr>
      </w:pPr>
      <w:bookmarkStart w:id="12" w:name="_Toc2180"/>
      <w:r>
        <w:rPr>
          <w:rFonts w:hint="eastAsia" w:ascii="黑体" w:hAnsi="黑体" w:eastAsia="黑体" w:cs="黑体"/>
          <w:sz w:val="32"/>
          <w:szCs w:val="32"/>
          <w:shd w:val="clear" w:color="auto" w:fill="FFFFFF"/>
          <w:lang w:eastAsia="zh-CN"/>
        </w:rPr>
        <w:t>六、</w:t>
      </w:r>
      <w:r>
        <w:rPr>
          <w:rFonts w:hint="eastAsia" w:ascii="黑体" w:hAnsi="黑体" w:eastAsia="黑体" w:cs="黑体"/>
          <w:sz w:val="32"/>
          <w:szCs w:val="32"/>
          <w:shd w:val="clear" w:color="auto" w:fill="FFFFFF"/>
        </w:rPr>
        <w:t>一般公共预算财政拨款基本支出决算情况说明</w:t>
      </w:r>
      <w:bookmarkEnd w:id="12"/>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336.16</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312.79</w:t>
      </w:r>
      <w:r>
        <w:rPr>
          <w:rFonts w:hint="eastAsia" w:ascii="仿宋" w:hAnsi="仿宋" w:eastAsia="仿宋"/>
          <w:color w:val="000000"/>
          <w:sz w:val="32"/>
          <w:szCs w:val="32"/>
        </w:rPr>
        <w:t>万元，包括：基本工资</w:t>
      </w:r>
      <w:r>
        <w:rPr>
          <w:rFonts w:hint="eastAsia" w:ascii="仿宋" w:hAnsi="仿宋" w:eastAsia="仿宋"/>
          <w:color w:val="000000"/>
          <w:sz w:val="32"/>
          <w:szCs w:val="32"/>
          <w:lang w:val="en-US" w:eastAsia="zh-CN"/>
        </w:rPr>
        <w:t>61.83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147.68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3.94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绩效工资</w:t>
      </w:r>
      <w:r>
        <w:rPr>
          <w:rFonts w:hint="eastAsia" w:ascii="仿宋" w:hAnsi="仿宋" w:eastAsia="仿宋"/>
          <w:color w:val="000000"/>
          <w:sz w:val="32"/>
          <w:szCs w:val="32"/>
          <w:lang w:val="en-US" w:eastAsia="zh-CN"/>
        </w:rPr>
        <w:t>8.88万元、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28.20</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14.10</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2.97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14.38</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3.00</w:t>
      </w:r>
      <w:r>
        <w:rPr>
          <w:rFonts w:hint="eastAsia" w:ascii="仿宋" w:hAnsi="仿宋" w:eastAsia="仿宋"/>
          <w:color w:val="000000"/>
          <w:sz w:val="32"/>
          <w:szCs w:val="32"/>
          <w:lang w:eastAsia="zh-CN"/>
        </w:rPr>
        <w:t>万元、住房公积金</w:t>
      </w:r>
      <w:r>
        <w:rPr>
          <w:rFonts w:hint="eastAsia" w:ascii="仿宋" w:hAnsi="仿宋" w:eastAsia="仿宋"/>
          <w:color w:val="000000"/>
          <w:sz w:val="32"/>
          <w:szCs w:val="32"/>
          <w:lang w:val="en-US" w:eastAsia="zh-CN"/>
        </w:rPr>
        <w:t>22.19</w:t>
      </w:r>
      <w:r>
        <w:rPr>
          <w:rFonts w:hint="eastAsia" w:ascii="仿宋" w:hAnsi="仿宋" w:eastAsia="仿宋"/>
          <w:color w:val="000000"/>
          <w:sz w:val="32"/>
          <w:szCs w:val="32"/>
          <w:lang w:eastAsia="zh-CN"/>
        </w:rPr>
        <w:t>万元、医疗费</w:t>
      </w:r>
      <w:r>
        <w:rPr>
          <w:rFonts w:hint="eastAsia" w:ascii="仿宋" w:hAnsi="仿宋" w:eastAsia="仿宋"/>
          <w:color w:val="000000"/>
          <w:sz w:val="32"/>
          <w:szCs w:val="32"/>
          <w:lang w:val="en-US" w:eastAsia="zh-CN"/>
        </w:rPr>
        <w:t>1.32</w:t>
      </w:r>
      <w:r>
        <w:rPr>
          <w:rFonts w:hint="eastAsia" w:ascii="仿宋" w:hAnsi="仿宋" w:eastAsia="仿宋"/>
          <w:color w:val="000000"/>
          <w:sz w:val="32"/>
          <w:szCs w:val="32"/>
          <w:lang w:eastAsia="zh-CN"/>
        </w:rPr>
        <w:t>万元、奖励金</w:t>
      </w:r>
      <w:r>
        <w:rPr>
          <w:rFonts w:hint="eastAsia" w:ascii="仿宋" w:hAnsi="仿宋" w:eastAsia="仿宋"/>
          <w:color w:val="000000"/>
          <w:sz w:val="32"/>
          <w:szCs w:val="32"/>
          <w:lang w:val="en-US" w:eastAsia="zh-CN"/>
        </w:rPr>
        <w:t>0.03</w:t>
      </w:r>
      <w:r>
        <w:rPr>
          <w:rFonts w:hint="eastAsia" w:ascii="仿宋" w:hAnsi="仿宋" w:eastAsia="仿宋"/>
          <w:color w:val="000000"/>
          <w:sz w:val="32"/>
          <w:szCs w:val="32"/>
          <w:lang w:eastAsia="zh-CN"/>
        </w:rPr>
        <w:t>万元，</w:t>
      </w:r>
      <w:r>
        <w:rPr>
          <w:rFonts w:hint="eastAsia" w:ascii="仿宋" w:hAnsi="仿宋" w:eastAsia="仿宋"/>
          <w:color w:val="000000"/>
          <w:sz w:val="32"/>
          <w:szCs w:val="32"/>
          <w:lang w:val="en-US" w:eastAsia="zh-CN"/>
        </w:rPr>
        <w:t>生活补助4.03万元，医疗费补助0.24万元。</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19.37</w:t>
      </w:r>
      <w:r>
        <w:rPr>
          <w:rFonts w:hint="eastAsia" w:ascii="仿宋" w:hAnsi="仿宋" w:eastAsia="仿宋"/>
          <w:color w:val="000000"/>
          <w:sz w:val="32"/>
          <w:szCs w:val="32"/>
        </w:rPr>
        <w:t>万元，包括：办公费</w:t>
      </w:r>
      <w:r>
        <w:rPr>
          <w:rFonts w:hint="eastAsia" w:ascii="仿宋" w:hAnsi="仿宋" w:eastAsia="仿宋"/>
          <w:color w:val="000000"/>
          <w:sz w:val="32"/>
          <w:szCs w:val="32"/>
          <w:lang w:val="en-US" w:eastAsia="zh-CN"/>
        </w:rPr>
        <w:t>9.14</w:t>
      </w:r>
      <w:r>
        <w:rPr>
          <w:rFonts w:hint="eastAsia" w:ascii="仿宋" w:hAnsi="仿宋" w:eastAsia="仿宋"/>
          <w:color w:val="000000"/>
          <w:sz w:val="32"/>
          <w:szCs w:val="32"/>
          <w:lang w:eastAsia="zh-CN"/>
        </w:rPr>
        <w:t>万元、印刷费</w:t>
      </w:r>
      <w:r>
        <w:rPr>
          <w:rFonts w:hint="eastAsia" w:ascii="仿宋" w:hAnsi="仿宋" w:eastAsia="仿宋"/>
          <w:color w:val="000000"/>
          <w:sz w:val="32"/>
          <w:szCs w:val="32"/>
          <w:lang w:val="en-US" w:eastAsia="zh-CN"/>
        </w:rPr>
        <w:t>0.70万元，</w:t>
      </w:r>
      <w:r>
        <w:rPr>
          <w:rFonts w:hint="eastAsia" w:ascii="仿宋" w:hAnsi="仿宋" w:eastAsia="仿宋"/>
          <w:color w:val="000000"/>
          <w:sz w:val="32"/>
          <w:szCs w:val="32"/>
          <w:lang w:eastAsia="zh-CN"/>
        </w:rPr>
        <w:t>水费</w:t>
      </w:r>
      <w:r>
        <w:rPr>
          <w:rFonts w:hint="eastAsia" w:ascii="仿宋" w:hAnsi="仿宋" w:eastAsia="仿宋"/>
          <w:color w:val="000000"/>
          <w:sz w:val="32"/>
          <w:szCs w:val="32"/>
          <w:lang w:val="en-US" w:eastAsia="zh-CN"/>
        </w:rPr>
        <w:t>0.50万元，电费1.00万元，</w:t>
      </w:r>
      <w:r>
        <w:rPr>
          <w:rFonts w:hint="eastAsia" w:ascii="仿宋" w:hAnsi="仿宋" w:eastAsia="仿宋"/>
          <w:color w:val="000000"/>
          <w:sz w:val="32"/>
          <w:szCs w:val="32"/>
          <w:lang w:eastAsia="zh-CN"/>
        </w:rPr>
        <w:t>邮电费</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lang w:eastAsia="zh-CN"/>
        </w:rPr>
        <w:t>万元，差旅费</w:t>
      </w:r>
      <w:r>
        <w:rPr>
          <w:rFonts w:hint="eastAsia" w:ascii="仿宋" w:hAnsi="仿宋" w:eastAsia="仿宋"/>
          <w:color w:val="000000"/>
          <w:sz w:val="32"/>
          <w:szCs w:val="32"/>
          <w:lang w:val="en-US" w:eastAsia="zh-CN"/>
        </w:rPr>
        <w:t>1.50</w:t>
      </w:r>
      <w:r>
        <w:rPr>
          <w:rFonts w:hint="eastAsia" w:ascii="仿宋" w:hAnsi="仿宋" w:eastAsia="仿宋"/>
          <w:color w:val="000000"/>
          <w:sz w:val="32"/>
          <w:szCs w:val="32"/>
          <w:lang w:eastAsia="zh-CN"/>
        </w:rPr>
        <w:t>万元，培训费</w:t>
      </w:r>
      <w:r>
        <w:rPr>
          <w:rFonts w:hint="eastAsia" w:ascii="仿宋" w:hAnsi="仿宋" w:eastAsia="仿宋"/>
          <w:color w:val="000000"/>
          <w:sz w:val="32"/>
          <w:szCs w:val="32"/>
          <w:lang w:val="en-US" w:eastAsia="zh-CN"/>
        </w:rPr>
        <w:t>1.30万元，工会经费1.61万元，</w:t>
      </w:r>
      <w:r>
        <w:rPr>
          <w:rFonts w:hint="eastAsia" w:ascii="仿宋" w:hAnsi="仿宋" w:eastAsia="仿宋"/>
          <w:color w:val="000000"/>
          <w:sz w:val="32"/>
          <w:szCs w:val="32"/>
          <w:lang w:eastAsia="zh-CN"/>
        </w:rPr>
        <w:t>公务用车运行维护费</w:t>
      </w:r>
      <w:r>
        <w:rPr>
          <w:rFonts w:hint="eastAsia" w:ascii="仿宋" w:hAnsi="仿宋" w:eastAsia="仿宋"/>
          <w:color w:val="000000"/>
          <w:sz w:val="32"/>
          <w:szCs w:val="32"/>
          <w:lang w:val="en-US" w:eastAsia="zh-CN"/>
        </w:rPr>
        <w:t>2.62</w:t>
      </w:r>
      <w:r>
        <w:rPr>
          <w:rFonts w:hint="eastAsia" w:ascii="仿宋" w:hAnsi="仿宋" w:eastAsia="仿宋"/>
          <w:color w:val="000000"/>
          <w:sz w:val="32"/>
          <w:szCs w:val="32"/>
          <w:lang w:eastAsia="zh-CN"/>
        </w:rPr>
        <w:t>万元。</w:t>
      </w:r>
    </w:p>
    <w:p>
      <w:pPr>
        <w:pStyle w:val="2"/>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项目支出4.00万元，包括专项公用经费办公费2.00万</w:t>
      </w:r>
    </w:p>
    <w:p>
      <w:pPr>
        <w:pStyle w:val="2"/>
        <w:ind w:left="0" w:leftChars="0" w:firstLine="0" w:firstLineChars="0"/>
        <w:rPr>
          <w:rFonts w:hint="default"/>
          <w:lang w:val="en-US"/>
        </w:rPr>
      </w:pPr>
      <w:r>
        <w:rPr>
          <w:rFonts w:hint="eastAsia" w:ascii="仿宋" w:hAnsi="仿宋" w:eastAsia="仿宋"/>
          <w:color w:val="000000"/>
          <w:sz w:val="32"/>
          <w:szCs w:val="32"/>
          <w:lang w:val="en-US" w:eastAsia="zh-CN"/>
        </w:rPr>
        <w:t xml:space="preserve">元，委托业务费2.00万元。   </w:t>
      </w:r>
    </w:p>
    <w:p>
      <w:pPr>
        <w:pStyle w:val="11"/>
        <w:keepNext w:val="0"/>
        <w:keepLines w:val="0"/>
        <w:widowControl/>
        <w:suppressLineNumbers w:val="0"/>
        <w:shd w:val="clear" w:color="auto" w:fill="auto"/>
        <w:ind w:left="0" w:right="75"/>
        <w:jc w:val="left"/>
        <w:outlineLvl w:val="1"/>
        <w:rPr>
          <w:rFonts w:hint="eastAsia" w:ascii="黑体" w:hAnsi="黑体" w:eastAsia="黑体" w:cs="黑体"/>
          <w:color w:val="auto"/>
          <w:sz w:val="32"/>
          <w:szCs w:val="32"/>
          <w:shd w:val="clear" w:color="auto" w:fill="FFFFFF"/>
        </w:rPr>
      </w:pPr>
      <w:bookmarkStart w:id="13" w:name="_Toc18699"/>
      <w:r>
        <w:rPr>
          <w:rFonts w:hint="eastAsia" w:ascii="黑体" w:hAnsi="黑体" w:eastAsia="黑体" w:cs="黑体"/>
          <w:color w:val="auto"/>
          <w:sz w:val="32"/>
          <w:szCs w:val="32"/>
          <w:shd w:val="clear" w:color="auto" w:fill="FFFFFF"/>
        </w:rPr>
        <w:t>七、“三公”经费财政拨款支出决算情况说明</w:t>
      </w:r>
      <w:bookmarkEnd w:id="13"/>
    </w:p>
    <w:p>
      <w:pPr>
        <w:pStyle w:val="11"/>
        <w:keepNext w:val="0"/>
        <w:keepLines w:val="0"/>
        <w:widowControl/>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（一）“三公”经费财政拨款支出决算总体情况说明</w:t>
      </w:r>
    </w:p>
    <w:p>
      <w:pPr>
        <w:spacing w:line="600" w:lineRule="exact"/>
        <w:ind w:firstLine="640"/>
        <w:rPr>
          <w:rStyle w:val="14"/>
          <w:rFonts w:hint="eastAsia" w:ascii="仿宋_GB2312" w:hAnsi="仿宋_GB2312" w:eastAsia="仿宋_GB2312" w:cs="仿宋_GB2312"/>
          <w:sz w:val="32"/>
          <w:szCs w:val="32"/>
          <w:shd w:val="clear" w:color="auto" w:fill="FFFFFF"/>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2.62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92.91</w:t>
      </w:r>
      <w:r>
        <w:rPr>
          <w:rFonts w:ascii="仿宋" w:hAnsi="仿宋" w:eastAsia="仿宋"/>
          <w:color w:val="000000"/>
          <w:sz w:val="32"/>
          <w:szCs w:val="32"/>
        </w:rPr>
        <w:t>%</w:t>
      </w:r>
      <w:r>
        <w:rPr>
          <w:rFonts w:hint="eastAsia" w:ascii="仿宋" w:hAnsi="仿宋" w:eastAsia="仿宋"/>
          <w:color w:val="000000"/>
          <w:sz w:val="32"/>
          <w:szCs w:val="32"/>
        </w:rPr>
        <w:t>。</w:t>
      </w:r>
    </w:p>
    <w:p>
      <w:pPr>
        <w:pStyle w:val="11"/>
        <w:keepNext w:val="0"/>
        <w:keepLines w:val="0"/>
        <w:widowControl/>
        <w:numPr>
          <w:ilvl w:val="0"/>
          <w:numId w:val="4"/>
        </w:numPr>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lang w:val="en-US" w:eastAsia="zh-CN"/>
        </w:rPr>
        <w:t>022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92.91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1"/>
        <w:keepNext w:val="0"/>
        <w:keepLines w:val="0"/>
        <w:widowControl/>
        <w:numPr>
          <w:ilvl w:val="0"/>
          <w:numId w:val="0"/>
        </w:numPr>
        <w:suppressLineNumbers w:val="0"/>
        <w:ind w:right="75" w:rightChars="0"/>
        <w:rPr>
          <w:rStyle w:val="14"/>
          <w:rFonts w:hint="eastAsia" w:ascii="仿宋_GB2312" w:hAnsi="仿宋_GB2312" w:eastAsia="仿宋_GB2312" w:cs="仿宋_GB2312"/>
          <w:sz w:val="32"/>
          <w:szCs w:val="32"/>
          <w:shd w:val="clear" w:color="auto" w:fill="FFFFFF"/>
          <w:lang w:eastAsia="zh-CN"/>
        </w:rPr>
      </w:pPr>
      <w:r>
        <w:rPr>
          <w:rStyle w:val="14"/>
          <w:rFonts w:hint="eastAsia" w:ascii="仿宋_GB2312" w:hAnsi="仿宋_GB2312" w:eastAsia="仿宋_GB2312" w:cs="仿宋_GB2312"/>
          <w:sz w:val="32"/>
          <w:szCs w:val="32"/>
          <w:shd w:val="clear" w:color="auto" w:fill="FFFFFF"/>
          <w:lang w:eastAsia="zh-CN"/>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numPr>
          <w:ilvl w:val="0"/>
          <w:numId w:val="0"/>
        </w:numPr>
        <w:spacing w:line="600" w:lineRule="exact"/>
        <w:ind w:firstLine="643" w:firstLineChars="200"/>
        <w:rPr>
          <w:rFonts w:hint="eastAsia" w:ascii="仿宋_GB2312" w:hAnsi="仿宋_GB2312" w:eastAsia="仿宋_GB2312" w:cs="仿宋_GB2312"/>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w:t>
      </w:r>
      <w:r>
        <w:rPr>
          <w:rFonts w:hint="eastAsia" w:ascii="仿宋_GB2312" w:hAnsi="仿宋_GB2312" w:eastAsia="仿宋_GB2312" w:cs="仿宋_GB2312"/>
          <w:color w:val="000000"/>
          <w:sz w:val="32"/>
          <w:szCs w:val="32"/>
        </w:rPr>
        <w:t>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2021</w:t>
      </w:r>
      <w:bookmarkStart w:id="21" w:name="_GoBack"/>
      <w:bookmarkEnd w:id="21"/>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pPr>
        <w:numPr>
          <w:ilvl w:val="0"/>
          <w:numId w:val="0"/>
        </w:numPr>
        <w:spacing w:line="600" w:lineRule="exact"/>
        <w:ind w:firstLine="643" w:firstLineChars="200"/>
        <w:rPr>
          <w:rFonts w:hint="default"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b/>
          <w:color w:val="000000"/>
          <w:sz w:val="32"/>
          <w:szCs w:val="32"/>
          <w:lang w:val="en-US" w:eastAsia="zh-CN"/>
        </w:rPr>
        <w:t>2.62</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2021年持平。</w:t>
      </w:r>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2.62</w:t>
      </w:r>
      <w:r>
        <w:rPr>
          <w:rFonts w:hint="eastAsia" w:ascii="仿宋_GB2312" w:hAnsi="仿宋_GB2312" w:eastAsia="仿宋_GB2312" w:cs="仿宋_GB2312"/>
          <w:color w:val="000000"/>
          <w:sz w:val="32"/>
          <w:szCs w:val="32"/>
          <w:lang w:eastAsia="zh-CN"/>
        </w:rPr>
        <w:t>万元，与</w:t>
      </w:r>
      <w:r>
        <w:rPr>
          <w:rFonts w:hint="eastAsia" w:ascii="仿宋_GB2312" w:hAnsi="仿宋_GB2312" w:eastAsia="仿宋_GB2312" w:cs="仿宋_GB2312"/>
          <w:color w:val="000000"/>
          <w:sz w:val="32"/>
          <w:szCs w:val="32"/>
          <w:lang w:val="en-US" w:eastAsia="zh-CN"/>
        </w:rPr>
        <w:t>2021年持平。</w:t>
      </w:r>
      <w:r>
        <w:rPr>
          <w:rFonts w:hint="eastAsia" w:ascii="仿宋_GB2312" w:hAnsi="仿宋_GB2312" w:eastAsia="仿宋_GB2312" w:cs="仿宋_GB2312"/>
          <w:color w:val="000000"/>
          <w:sz w:val="32"/>
          <w:szCs w:val="32"/>
          <w:lang w:eastAsia="zh-CN"/>
        </w:rPr>
        <w:t>主要用于编办工作出差、开展脱贫攻坚工作下乡等所需的公务用车燃料费、维修费、过路过桥费、保险费等支出。</w:t>
      </w:r>
    </w:p>
    <w:p>
      <w:pPr>
        <w:spacing w:line="600" w:lineRule="exact"/>
        <w:ind w:firstLine="643" w:firstLineChars="200"/>
        <w:rPr>
          <w:rStyle w:val="14"/>
          <w:rFonts w:hint="eastAsia" w:ascii="仿宋_GB2312" w:hAnsi="仿宋_GB2312" w:eastAsia="仿宋_GB2312" w:cs="仿宋_GB2312"/>
          <w:sz w:val="32"/>
          <w:szCs w:val="32"/>
          <w:shd w:val="clear" w:color="auto" w:fill="FFFFFF"/>
          <w:lang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hAnsi="仿宋_GB2312" w:eastAsia="仿宋_GB2312" w:cs="仿宋_GB2312"/>
          <w:color w:val="000000"/>
          <w:sz w:val="32"/>
          <w:szCs w:val="32"/>
          <w:lang w:val="en-US" w:eastAsia="zh-CN"/>
        </w:rPr>
        <w:t>0.00</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0.00</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2021年持平。</w:t>
      </w:r>
    </w:p>
    <w:p>
      <w:pPr>
        <w:pStyle w:val="11"/>
        <w:keepNext w:val="0"/>
        <w:keepLines w:val="0"/>
        <w:widowControl/>
        <w:numPr>
          <w:ilvl w:val="0"/>
          <w:numId w:val="5"/>
        </w:numPr>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4" w:name="_Toc9599"/>
      <w:r>
        <w:rPr>
          <w:rFonts w:hint="eastAsia" w:ascii="黑体" w:hAnsi="黑体" w:eastAsia="黑体" w:cs="黑体"/>
          <w:sz w:val="32"/>
          <w:szCs w:val="32"/>
          <w:shd w:val="clear" w:color="auto" w:fill="FFFFFF"/>
        </w:rPr>
        <w:t>政府性基金预算支出决算情况说明</w:t>
      </w:r>
      <w:bookmarkEnd w:id="14"/>
    </w:p>
    <w:p>
      <w:pPr>
        <w:spacing w:line="600" w:lineRule="exact"/>
        <w:ind w:firstLine="640" w:firstLineChars="200"/>
        <w:rPr>
          <w:rFonts w:hint="eastAsia" w:ascii="黑体" w:hAnsi="黑体" w:eastAsia="仿宋_GB2312" w:cs="黑体"/>
          <w:sz w:val="32"/>
          <w:szCs w:val="32"/>
          <w:shd w:val="clear" w:color="auto" w:fill="FFFFFF"/>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1"/>
        <w:keepNext w:val="0"/>
        <w:keepLines w:val="0"/>
        <w:widowControl/>
        <w:numPr>
          <w:ilvl w:val="0"/>
          <w:numId w:val="5"/>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15" w:name="_Toc31416"/>
      <w:r>
        <w:rPr>
          <w:rFonts w:hint="eastAsia" w:ascii="黑体" w:hAnsi="黑体" w:eastAsia="黑体" w:cs="黑体"/>
          <w:sz w:val="32"/>
          <w:szCs w:val="32"/>
          <w:shd w:val="clear" w:color="auto" w:fill="FFFFFF"/>
        </w:rPr>
        <w:t>国有资本经营预算支出决算情况说明</w:t>
      </w:r>
      <w:bookmarkEnd w:id="15"/>
    </w:p>
    <w:p>
      <w:pPr>
        <w:spacing w:line="600" w:lineRule="exact"/>
        <w:ind w:firstLine="640"/>
        <w:rPr>
          <w:rFonts w:hint="eastAsia" w:ascii="黑体" w:hAnsi="黑体" w:eastAsia="黑体" w:cs="黑体"/>
          <w:sz w:val="32"/>
          <w:szCs w:val="32"/>
          <w:shd w:val="clear" w:color="auto" w:fill="FFFFFF"/>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1"/>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6" w:name="_Toc11587"/>
      <w:r>
        <w:rPr>
          <w:rFonts w:hint="eastAsia" w:ascii="黑体" w:hAnsi="黑体" w:eastAsia="黑体" w:cs="黑体"/>
          <w:sz w:val="32"/>
          <w:szCs w:val="32"/>
          <w:shd w:val="clear" w:color="auto" w:fill="FFFFFF"/>
        </w:rPr>
        <w:t>十、其他重要事项的情况说明</w:t>
      </w:r>
      <w:bookmarkEnd w:id="16"/>
    </w:p>
    <w:p>
      <w:pPr>
        <w:pStyle w:val="11"/>
        <w:keepNext w:val="0"/>
        <w:keepLines w:val="0"/>
        <w:widowControl/>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（一）机关运行经费支出情况</w:t>
      </w:r>
    </w:p>
    <w:p>
      <w:pPr>
        <w:pStyle w:val="11"/>
        <w:keepNext w:val="0"/>
        <w:keepLines w:val="0"/>
        <w:widowControl/>
        <w:suppressLineNumbers w:val="0"/>
        <w:ind w:left="0" w:right="75" w:firstLine="640" w:firstLineChars="200"/>
        <w:rPr>
          <w:rStyle w:val="14"/>
          <w:rFonts w:hint="default" w:ascii="仿宋_GB2312" w:hAnsi="仿宋_GB2312" w:eastAsia="仿宋_GB2312" w:cs="仿宋_GB2312"/>
          <w:b/>
          <w:bCs/>
          <w:sz w:val="32"/>
          <w:szCs w:val="32"/>
          <w:shd w:val="clear" w:color="auto" w:fill="FFFFFF"/>
          <w:lang w:val="en-US"/>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县委编办</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23.37</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4.45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16.00</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b/>
          <w:bCs/>
          <w:color w:val="000000"/>
          <w:sz w:val="32"/>
          <w:szCs w:val="32"/>
          <w:lang w:eastAsia="zh-CN"/>
        </w:rPr>
        <w:t>主要原因厉行节约</w:t>
      </w:r>
      <w:r>
        <w:rPr>
          <w:rFonts w:hint="eastAsia" w:ascii="仿宋_GB2312" w:hAnsi="仿宋_GB2312" w:eastAsia="仿宋_GB2312" w:cs="仿宋_GB2312"/>
          <w:b/>
          <w:bCs/>
          <w:color w:val="000000"/>
          <w:sz w:val="32"/>
          <w:szCs w:val="32"/>
          <w:lang w:val="en-US" w:eastAsia="zh-CN"/>
        </w:rPr>
        <w:t>。</w:t>
      </w:r>
    </w:p>
    <w:p>
      <w:pPr>
        <w:pStyle w:val="11"/>
        <w:keepNext w:val="0"/>
        <w:keepLines w:val="0"/>
        <w:widowControl/>
        <w:numPr>
          <w:ilvl w:val="0"/>
          <w:numId w:val="0"/>
        </w:numPr>
        <w:suppressLineNumbers w:val="0"/>
        <w:ind w:leftChars="0" w:right="75" w:right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lang w:eastAsia="zh-CN"/>
        </w:rPr>
        <w:t>（二）</w:t>
      </w:r>
      <w:r>
        <w:rPr>
          <w:rStyle w:val="14"/>
          <w:rFonts w:hint="eastAsia" w:ascii="仿宋_GB2312" w:hAnsi="仿宋_GB2312" w:eastAsia="仿宋_GB2312" w:cs="仿宋_GB2312"/>
          <w:sz w:val="32"/>
          <w:szCs w:val="32"/>
          <w:shd w:val="clear" w:color="auto" w:fill="FFFFFF"/>
        </w:rPr>
        <w:t>政府采购支出情况</w:t>
      </w:r>
    </w:p>
    <w:p>
      <w:pPr>
        <w:spacing w:line="600" w:lineRule="exact"/>
        <w:ind w:firstLine="640"/>
        <w:rPr>
          <w:rStyle w:val="14"/>
          <w:rFonts w:hint="eastAsia" w:ascii="仿宋_GB2312" w:hAnsi="仿宋_GB2312" w:eastAsia="仿宋_GB2312" w:cs="仿宋_GB2312"/>
          <w:sz w:val="32"/>
          <w:szCs w:val="32"/>
          <w:shd w:val="clear" w:color="auto" w:fill="FFFFFF"/>
          <w:lang w:eastAsia="zh-CN"/>
        </w:rPr>
      </w:pPr>
      <w:r>
        <w:rPr>
          <w:rFonts w:hint="eastAsia" w:ascii="仿宋_GB2312" w:eastAsia="仿宋_GB2312"/>
          <w:color w:val="000000"/>
          <w:sz w:val="32"/>
          <w:szCs w:val="32"/>
          <w:lang w:val="en-US" w:eastAsia="zh-CN"/>
        </w:rPr>
        <w:t>2022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政府采购</w:t>
      </w:r>
      <w:r>
        <w:rPr>
          <w:rFonts w:hint="eastAsia" w:ascii="仿宋_GB2312" w:eastAsia="仿宋_GB2312"/>
          <w:color w:val="000000"/>
          <w:sz w:val="32"/>
          <w:szCs w:val="32"/>
        </w:rPr>
        <w:t>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1"/>
        <w:keepNext w:val="0"/>
        <w:keepLines w:val="0"/>
        <w:widowControl/>
        <w:numPr>
          <w:ilvl w:val="0"/>
          <w:numId w:val="4"/>
        </w:numPr>
        <w:suppressLineNumbers w:val="0"/>
        <w:ind w:left="0" w:leftChars="0" w:right="75" w:firstLine="0" w:firstLine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国有资产占有使用情况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红原县委编办</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年度，我单位配置固定资产</w:t>
      </w:r>
      <w:r>
        <w:rPr>
          <w:rFonts w:hint="eastAsia" w:ascii="仿宋_GB2312" w:eastAsia="仿宋_GB2312"/>
          <w:color w:val="000000"/>
          <w:sz w:val="32"/>
          <w:szCs w:val="32"/>
          <w:lang w:val="en-US" w:eastAsia="zh-CN"/>
        </w:rPr>
        <w:t>,25.28</w:t>
      </w:r>
      <w:r>
        <w:rPr>
          <w:rFonts w:hint="eastAsia" w:ascii="仿宋_GB2312" w:eastAsia="仿宋_GB2312"/>
          <w:color w:val="000000"/>
          <w:sz w:val="32"/>
          <w:szCs w:val="32"/>
        </w:rPr>
        <w:t>万元（账面原值，下同）。从资产类别分析，配置土地、房屋及构筑物</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 配置通用设备</w:t>
      </w:r>
      <w:r>
        <w:rPr>
          <w:rFonts w:hint="eastAsia" w:ascii="仿宋_GB2312" w:eastAsia="仿宋_GB2312"/>
          <w:color w:val="000000"/>
          <w:sz w:val="32"/>
          <w:szCs w:val="32"/>
          <w:lang w:val="en-US" w:eastAsia="zh-CN"/>
        </w:rPr>
        <w:t>22.42</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88.69</w:t>
      </w:r>
      <w:r>
        <w:rPr>
          <w:rFonts w:hint="eastAsia" w:ascii="仿宋_GB2312" w:eastAsia="仿宋_GB2312"/>
          <w:color w:val="000000"/>
          <w:sz w:val="32"/>
          <w:szCs w:val="32"/>
        </w:rPr>
        <w:t>% ； 配置家具、用具、装具及动植物</w:t>
      </w:r>
      <w:r>
        <w:rPr>
          <w:rFonts w:hint="eastAsia" w:ascii="仿宋_GB2312" w:eastAsia="仿宋_GB2312"/>
          <w:color w:val="000000"/>
          <w:sz w:val="32"/>
          <w:szCs w:val="32"/>
          <w:lang w:val="en-US" w:eastAsia="zh-CN"/>
        </w:rPr>
        <w:t>2.86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11.31</w:t>
      </w:r>
      <w:r>
        <w:rPr>
          <w:rFonts w:hint="eastAsia" w:ascii="仿宋_GB2312" w:eastAsia="仿宋_GB2312"/>
          <w:color w:val="000000"/>
          <w:sz w:val="32"/>
          <w:szCs w:val="32"/>
        </w:rPr>
        <w:t>% 。</w:t>
      </w:r>
    </w:p>
    <w:p>
      <w:pPr>
        <w:pStyle w:val="11"/>
        <w:keepNext w:val="0"/>
        <w:keepLines w:val="0"/>
        <w:widowControl/>
        <w:numPr>
          <w:ilvl w:val="0"/>
          <w:numId w:val="4"/>
        </w:numPr>
        <w:suppressLineNumbers w:val="0"/>
        <w:shd w:val="clear" w:color="auto" w:fill="auto"/>
        <w:ind w:left="0" w:leftChars="0" w:right="75" w:firstLine="0" w:firstLineChars="0"/>
        <w:rPr>
          <w:rStyle w:val="14"/>
          <w:rFonts w:hint="eastAsia" w:ascii="仿宋_GB2312" w:hAnsi="仿宋_GB2312" w:eastAsia="仿宋_GB2312" w:cs="仿宋_GB2312"/>
          <w:sz w:val="32"/>
          <w:szCs w:val="32"/>
          <w:shd w:val="clear" w:color="auto" w:fill="FFFFFF"/>
          <w:lang w:val="en-US" w:eastAsia="zh-CN"/>
        </w:rPr>
      </w:pPr>
      <w:r>
        <w:rPr>
          <w:rStyle w:val="14"/>
          <w:rFonts w:hint="eastAsia" w:ascii="仿宋_GB2312" w:hAnsi="仿宋_GB2312" w:eastAsia="仿宋_GB2312" w:cs="仿宋_GB2312"/>
          <w:sz w:val="32"/>
          <w:szCs w:val="32"/>
          <w:shd w:val="clear" w:color="auto" w:fill="FFFFFF"/>
          <w:lang w:val="en-US" w:eastAsia="zh-CN"/>
        </w:rPr>
        <w:t>由养老保险机构发放养老金的退休人员</w:t>
      </w:r>
    </w:p>
    <w:p>
      <w:pPr>
        <w:pStyle w:val="5"/>
        <w:numPr>
          <w:ilvl w:val="0"/>
          <w:numId w:val="0"/>
        </w:numPr>
        <w:ind w:firstLine="640" w:firstLineChars="200"/>
        <w:rPr>
          <w:rFonts w:hint="eastAsia"/>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本单位由养老保险机构发放养老金的退休人员2人，与上年持平。</w:t>
      </w:r>
    </w:p>
    <w:p>
      <w:pPr>
        <w:pStyle w:val="11"/>
        <w:keepNext w:val="0"/>
        <w:keepLines w:val="0"/>
        <w:widowControl/>
        <w:numPr>
          <w:ilvl w:val="0"/>
          <w:numId w:val="4"/>
        </w:numPr>
        <w:suppressLineNumbers w:val="0"/>
        <w:ind w:left="0" w:leftChars="0" w:right="75" w:firstLine="0" w:firstLine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预算绩效管理情况。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022</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2个项目完成情况良好，严格按照本单位制定的目标绩效管理制度来开展绩效管理工作，项目资金为专项经费的，全部用于专项工作。整体工作开展良好经费全部按照相关管理办法使用。2022年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6"/>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一般行政管理事务”2</w:t>
      </w:r>
      <w:r>
        <w:rPr>
          <w:rFonts w:hint="eastAsia" w:ascii="仿宋_GB2312" w:hAnsi="仿宋_GB2312" w:eastAsia="仿宋_GB2312" w:cs="仿宋_GB2312"/>
          <w:sz w:val="32"/>
          <w:szCs w:val="32"/>
        </w:rPr>
        <w:t>个项目绩效目标实际完成情况。</w:t>
      </w:r>
    </w:p>
    <w:p>
      <w:pPr>
        <w:numPr>
          <w:ilvl w:val="0"/>
          <w:numId w:val="7"/>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编办中文网络域名管理</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保障</w:t>
      </w:r>
      <w:r>
        <w:rPr>
          <w:rFonts w:hint="eastAsia" w:ascii="仿宋_GB2312" w:hAnsi="仿宋_GB2312" w:eastAsia="仿宋_GB2312" w:cs="仿宋_GB2312"/>
          <w:sz w:val="32"/>
          <w:szCs w:val="32"/>
          <w:lang w:val="en-US" w:eastAsia="zh-CN"/>
        </w:rPr>
        <w:t>事业单位法人年检，法人证书登记或更换，实名制网络管理等事务所需支出，深入推进政府职能转变。</w:t>
      </w:r>
    </w:p>
    <w:p>
      <w:pPr>
        <w:numPr>
          <w:ilvl w:val="0"/>
          <w:numId w:val="7"/>
        </w:numPr>
        <w:spacing w:line="58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机关事业单位干部职工人员流动编卡变动项目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对全县机关事业单位干部职工的人员编制卡的制作及更换工作，精准掌握全县干部职工的编制情况。</w:t>
      </w:r>
    </w:p>
    <w:p>
      <w:pPr>
        <w:pStyle w:val="2"/>
        <w:rPr>
          <w:rFonts w:hint="eastAsia" w:ascii="仿宋_GB2312" w:hAnsi="仿宋_GB2312" w:eastAsia="仿宋_GB2312" w:cs="仿宋_GB2312"/>
          <w:sz w:val="32"/>
          <w:szCs w:val="32"/>
          <w:lang w:eastAsia="zh-CN"/>
        </w:rPr>
      </w:pPr>
    </w:p>
    <w:p>
      <w:pPr>
        <w:rPr>
          <w:rFonts w:hint="eastAsia"/>
          <w:lang w:eastAsia="zh-CN"/>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22</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仿宋_GB2312" w:hAnsi="仿宋_GB2312" w:eastAsia="仿宋_GB2312" w:cs="仿宋_GB2312"/>
                <w:sz w:val="32"/>
                <w:szCs w:val="32"/>
                <w:lang w:eastAsia="zh-CN"/>
              </w:rPr>
              <w:t>编办中文网络域名管理</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中共红原县委机构编制委员会办公室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事业单位法人年检，法人证书登记或更换，实名制网络管理等事务所需支出，深入推进政府职能转变</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default" w:ascii="宋体" w:hAnsi="宋体" w:eastAsia="宋体" w:cs="宋体"/>
                <w:color w:val="000000"/>
                <w:sz w:val="24"/>
                <w:lang w:val="en-US" w:eastAsia="zh-CN"/>
              </w:rPr>
              <w:t>全县共登记事业单位84个（原有88个登记的事业单位，按照局队合一的原则办理注销登记4个），全面完成82个事业单位年度报告公示工作（2个新设立登记事业单位免于年度报告公示），年度报告公示率达100%。全年我办办理事业单位变更登记25个，其中：办理法人变更登记19个、地址变更登记2个、事业单位名称变更登记4个。全年办理事业单位法人证书延期12个单位。</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auto"/>
                <w:sz w:val="20"/>
                <w:szCs w:val="20"/>
                <w:lang w:eastAsia="zh-CN"/>
              </w:rPr>
            </w:pPr>
            <w:r>
              <w:rPr>
                <w:rFonts w:hint="eastAsia" w:ascii="宋体" w:hAnsi="宋体" w:cs="宋体"/>
                <w:color w:val="auto"/>
                <w:sz w:val="20"/>
                <w:szCs w:val="20"/>
                <w:lang w:eastAsia="zh-CN"/>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auto"/>
                <w:sz w:val="20"/>
                <w:szCs w:val="20"/>
                <w:lang w:val="en-US" w:eastAsia="zh-CN"/>
              </w:rPr>
            </w:pPr>
            <w:r>
              <w:rPr>
                <w:rFonts w:hint="eastAsia" w:ascii="宋体" w:hAnsi="宋体" w:cs="宋体"/>
                <w:color w:val="auto"/>
                <w:sz w:val="20"/>
                <w:szCs w:val="20"/>
                <w:lang w:eastAsia="zh-CN"/>
              </w:rPr>
              <w:t>完成</w:t>
            </w:r>
            <w:r>
              <w:rPr>
                <w:rFonts w:hint="eastAsia" w:ascii="宋体" w:hAnsi="宋体" w:cs="宋体"/>
                <w:color w:val="auto"/>
                <w:sz w:val="20"/>
                <w:szCs w:val="20"/>
                <w:lang w:val="en-US" w:eastAsia="zh-CN"/>
              </w:rPr>
              <w:t>本年度</w:t>
            </w:r>
            <w:r>
              <w:rPr>
                <w:rFonts w:hint="eastAsia" w:ascii="宋体" w:eastAsia="宋体" w:cs="Arial"/>
                <w:sz w:val="21"/>
                <w:szCs w:val="21"/>
                <w:lang w:val="en-US" w:eastAsia="zh-CN"/>
              </w:rPr>
              <w:t>事业单位法人年检，法人证书登记或更换，实名制网络管理等事务所需支出，深入推进政府职能转变</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eastAsia="宋体" w:cs="Arial"/>
                <w:sz w:val="21"/>
                <w:szCs w:val="21"/>
                <w:lang w:val="en-US" w:eastAsia="zh-CN"/>
              </w:rPr>
            </w:pPr>
            <w:r>
              <w:rPr>
                <w:rFonts w:hint="default" w:ascii="宋体" w:eastAsia="宋体" w:cs="Arial"/>
                <w:sz w:val="21"/>
                <w:szCs w:val="21"/>
                <w:lang w:val="en-US" w:eastAsia="zh-CN"/>
              </w:rPr>
              <w:t>全县共登记事业单位84个（原有88个登记的事业单位，按照局队合一的原则办理注销登记4个），全面完成82个事业单位年度报告公示工作（2个新设立登记事业单位免于年度报告公示），年度报告公示率达100%。全年我办办理事业单位变更登记25个，其中：办理法人变更登记19个、地址变更登记2个、事业单位名称变更登记4个。全年办理事业单位法人证书延期12个单位。</w:t>
            </w:r>
          </w:p>
          <w:p>
            <w:pPr>
              <w:widowControl/>
              <w:jc w:val="center"/>
              <w:textAlignment w:val="center"/>
              <w:rPr>
                <w:rFonts w:hint="default" w:ascii="宋体" w:hAnsi="宋体" w:eastAsia="宋体" w:cs="宋体"/>
                <w:color w:val="auto"/>
                <w:sz w:val="20"/>
                <w:szCs w:val="20"/>
                <w:lang w:val="en-US" w:eastAsia="zh-CN"/>
              </w:rPr>
            </w:pP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rPr>
          <w:rFonts w:ascii="Calibri" w:hAnsi="Calibri"/>
        </w:rPr>
      </w:pPr>
    </w:p>
    <w:p>
      <w:pPr>
        <w:pStyle w:val="2"/>
        <w:rPr>
          <w:rFonts w:ascii="Calibri" w:hAnsi="Calibri"/>
        </w:rPr>
      </w:pPr>
    </w:p>
    <w:p>
      <w:pPr>
        <w:rPr>
          <w:rFonts w:ascii="Calibri" w:hAnsi="Calibri"/>
        </w:rPr>
      </w:pPr>
    </w:p>
    <w:p>
      <w:pPr>
        <w:pStyle w:val="2"/>
        <w:rPr>
          <w:rFonts w:ascii="Calibri" w:hAnsi="Calibri"/>
        </w:rPr>
      </w:pPr>
    </w:p>
    <w:p>
      <w:pPr>
        <w:rPr>
          <w:rFonts w:ascii="Calibri" w:hAnsi="Calibri"/>
        </w:rPr>
      </w:pPr>
    </w:p>
    <w:p>
      <w:pPr>
        <w:pStyle w:val="2"/>
        <w:rPr>
          <w:rFonts w:ascii="Calibri" w:hAnsi="Calibri"/>
        </w:rPr>
      </w:pPr>
    </w:p>
    <w:p>
      <w:pPr>
        <w:rPr>
          <w:rFonts w:ascii="Calibri" w:hAnsi="Calibri"/>
        </w:rPr>
      </w:pPr>
    </w:p>
    <w:p>
      <w:pPr>
        <w:pStyle w:val="2"/>
        <w:rPr>
          <w:rFonts w:ascii="Calibri" w:hAnsi="Calibri"/>
        </w:rPr>
      </w:pPr>
    </w:p>
    <w:p>
      <w:pPr>
        <w:rPr>
          <w:rFonts w:ascii="Calibri" w:hAnsi="Calibri"/>
        </w:rPr>
      </w:pPr>
    </w:p>
    <w:p>
      <w:pPr>
        <w:pStyle w:val="2"/>
        <w:rPr>
          <w:rFonts w:ascii="Calibri" w:hAnsi="Calibri"/>
        </w:rPr>
      </w:pPr>
    </w:p>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22</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eastAsia="宋体" w:cs="Arial"/>
                <w:sz w:val="21"/>
                <w:szCs w:val="21"/>
                <w:lang w:eastAsia="zh-CN"/>
              </w:rPr>
              <w:t>机关事业单位干部职工人员流动编卡变动</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中共红原县委机构编制委员会办公室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4"/>
                <w:szCs w:val="24"/>
                <w:lang w:val="en-US" w:eastAsia="zh-CN"/>
              </w:rPr>
              <w:t>为切实加强实名制录入库信息和数据更新工作，实行编制卡片和实名制系统“双重”管理，确保数据及时更新。对每个在编人员实行卡片式动态管理，建立了《人员编制卡》，编制到人，卡随人动，有力杜绝了人员的漏统，树立了机构编制工作的权威性。</w:t>
            </w:r>
          </w:p>
          <w:p>
            <w:pPr>
              <w:widowControl/>
              <w:jc w:val="both"/>
              <w:textAlignment w:val="center"/>
              <w:rPr>
                <w:rFonts w:hint="eastAsia" w:ascii="宋体" w:hAnsi="宋体" w:eastAsia="宋体" w:cs="宋体"/>
                <w:color w:val="000000"/>
                <w:sz w:val="24"/>
                <w:lang w:val="en-US" w:eastAsia="zh-CN"/>
              </w:rPr>
            </w:pP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default" w:ascii="仿宋_GB2312" w:hAnsi="仿宋_GB2312" w:eastAsia="仿宋_GB2312" w:cs="仿宋_GB2312"/>
                <w:sz w:val="24"/>
                <w:szCs w:val="24"/>
                <w:lang w:val="en-US" w:eastAsia="zh-CN"/>
              </w:rPr>
              <w:t>2022年人员信息新录入57名、外县人员信息划入22名、人员信息划出37名、县内人员信息调整197名、实名制人员信息注销65名，其中退休56名、在职死亡2名，辞职7名。根据以上人员变动情况，我办立即办理编制变动手续，调整实名制信息，及时的更新数据，以维护编制的严肃性和时效性，为组织、人社部门人员调任、招录等提供有效数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为切实加强实名制录入库信息和数据更新工作，实行编制卡片和实名制系统“双重”管理，确保数据及时更新。对每个在编人员实行卡片式动态管理，建立了《人员编制卡》，编制到人，卡随人动，有力杜绝了人员的漏统，树立了机构编制工作的权威性。</w:t>
            </w:r>
          </w:p>
          <w:p>
            <w:pPr>
              <w:widowControl/>
              <w:jc w:val="center"/>
              <w:textAlignment w:val="center"/>
              <w:rPr>
                <w:rFonts w:hint="default" w:ascii="宋体" w:hAnsi="宋体" w:eastAsia="宋体" w:cs="宋体"/>
                <w:color w:val="000000"/>
                <w:sz w:val="20"/>
                <w:szCs w:val="20"/>
                <w:lang w:val="en-US" w:eastAsia="zh-CN"/>
              </w:rPr>
            </w:pP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仿宋_GB2312" w:hAnsi="仿宋_GB2312" w:eastAsia="仿宋_GB2312" w:cs="仿宋_GB2312"/>
                <w:sz w:val="24"/>
                <w:szCs w:val="24"/>
                <w:lang w:val="en-US" w:eastAsia="zh-CN"/>
              </w:rPr>
              <w:t>2</w:t>
            </w:r>
            <w:r>
              <w:rPr>
                <w:rFonts w:hint="default" w:ascii="仿宋_GB2312" w:hAnsi="仿宋_GB2312" w:eastAsia="仿宋_GB2312" w:cs="仿宋_GB2312"/>
                <w:sz w:val="24"/>
                <w:szCs w:val="24"/>
                <w:lang w:val="en-US" w:eastAsia="zh-CN"/>
              </w:rPr>
              <w:t>022年人员信息新录入57名、外县人员信息划入22名、人员信息划出37名、县内人员信息调整197名、实名制人员信息注销65名，其中退休56名、在职死亡2名，辞职7名。根据以上人员变动情况，我办立即办理编制变动手续，调整实名制信息，及时的更新数据，以维护编制的严肃性和时效性，为组织、人社部门人员调任、招录等提供有效数据。</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left="63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2022年度部门整体支出绩效报告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pPr>
        <w:pStyle w:val="5"/>
        <w:rPr>
          <w:rFonts w:hint="eastAsia" w:ascii="仿宋_GB2312" w:hAnsi="仿宋_GB2312" w:eastAsia="仿宋_GB2312" w:cs="仿宋_GB2312"/>
          <w:sz w:val="32"/>
          <w:szCs w:val="32"/>
        </w:rPr>
      </w:pPr>
    </w:p>
    <w:p>
      <w:pPr>
        <w:pStyle w:val="11"/>
        <w:keepNext w:val="0"/>
        <w:keepLines w:val="0"/>
        <w:widowControl/>
        <w:numPr>
          <w:ilvl w:val="0"/>
          <w:numId w:val="0"/>
        </w:numPr>
        <w:suppressLineNumbers w:val="0"/>
        <w:ind w:right="75" w:rightChars="0"/>
        <w:jc w:val="center"/>
        <w:outlineLvl w:val="0"/>
        <w:rPr>
          <w:rFonts w:hint="eastAsia" w:ascii="黑体" w:hAnsi="黑体" w:eastAsia="黑体" w:cs="黑体"/>
          <w:sz w:val="44"/>
          <w:szCs w:val="44"/>
          <w:shd w:val="clear" w:color="auto" w:fill="FFFFFF"/>
        </w:rPr>
      </w:pPr>
      <w:bookmarkStart w:id="17" w:name="_Toc26931"/>
      <w:r>
        <w:rPr>
          <w:rFonts w:hint="eastAsia" w:ascii="黑体" w:hAnsi="黑体" w:eastAsia="黑体" w:cs="黑体"/>
          <w:sz w:val="44"/>
          <w:szCs w:val="44"/>
          <w:shd w:val="clear" w:color="auto" w:fill="FFFFFF"/>
          <w:lang w:eastAsia="zh-CN"/>
        </w:rPr>
        <w:t>第三部分</w:t>
      </w:r>
      <w:r>
        <w:rPr>
          <w:rFonts w:hint="eastAsia" w:ascii="黑体" w:hAnsi="黑体" w:eastAsia="黑体" w:cs="黑体"/>
          <w:sz w:val="44"/>
          <w:szCs w:val="44"/>
          <w:shd w:val="clear" w:color="auto" w:fill="FFFFFF"/>
          <w:lang w:val="en-US" w:eastAsia="zh-CN"/>
        </w:rPr>
        <w:t xml:space="preserve">  </w:t>
      </w:r>
      <w:r>
        <w:rPr>
          <w:rFonts w:hint="eastAsia" w:ascii="黑体" w:hAnsi="黑体" w:eastAsia="黑体" w:cs="黑体"/>
          <w:sz w:val="44"/>
          <w:szCs w:val="44"/>
          <w:shd w:val="clear" w:color="auto" w:fill="FFFFFF"/>
        </w:rPr>
        <w:t>名词解释</w:t>
      </w:r>
      <w:bookmarkEnd w:id="17"/>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kinsoku/>
        <w:wordWrap/>
        <w:overflowPunct/>
        <w:topLinePunct w:val="0"/>
        <w:bidi w:val="0"/>
        <w:snapToGrid/>
        <w:spacing w:beforeAutospacing="0" w:afterAutospacing="0"/>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2013101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党委厅（室）及相关事务机构行政运行，反映人员经费与日常公用经费的支出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2013102指一般行政管理事务，反映县委编办专项办公费的支出。2013150指</w:t>
      </w:r>
      <w:r>
        <w:rPr>
          <w:rFonts w:hint="eastAsia" w:ascii="仿宋_GB2312" w:eastAsia="仿宋_GB2312"/>
          <w:color w:val="000000"/>
          <w:sz w:val="32"/>
          <w:szCs w:val="32"/>
          <w:lang w:eastAsia="zh-CN"/>
        </w:rPr>
        <w:t>党委厅（室）及相关事务机构事业运行</w:t>
      </w:r>
      <w:r>
        <w:rPr>
          <w:rFonts w:hint="eastAsia" w:ascii="仿宋_GB2312" w:eastAsia="仿宋_GB2312"/>
          <w:color w:val="000000"/>
          <w:sz w:val="32"/>
          <w:szCs w:val="32"/>
          <w:lang w:val="en-US" w:eastAsia="zh-CN"/>
        </w:rPr>
        <w:t>，反映事业</w:t>
      </w:r>
      <w:r>
        <w:rPr>
          <w:rFonts w:hint="eastAsia" w:ascii="仿宋_GB2312" w:eastAsia="仿宋_GB2312"/>
          <w:color w:val="000000"/>
          <w:sz w:val="32"/>
          <w:szCs w:val="32"/>
          <w:lang w:eastAsia="zh-CN"/>
        </w:rPr>
        <w:t>人员经费与日常公用经费的支出</w:t>
      </w:r>
      <w:r>
        <w:rPr>
          <w:rFonts w:hint="eastAsia" w:ascii="仿宋_GB2312" w:eastAsia="仿宋_GB2312"/>
          <w:color w:val="000000"/>
          <w:sz w:val="32"/>
          <w:szCs w:val="32"/>
          <w:lang w:val="en-US" w:eastAsia="zh-CN"/>
        </w:rPr>
        <w:t>。</w:t>
      </w:r>
    </w:p>
    <w:p>
      <w:pPr>
        <w:keepNext w:val="0"/>
        <w:keepLines w:val="0"/>
        <w:pageBreakBefore w:val="0"/>
        <w:numPr>
          <w:ilvl w:val="0"/>
          <w:numId w:val="0"/>
        </w:numPr>
        <w:kinsoku/>
        <w:wordWrap/>
        <w:overflowPunct/>
        <w:topLinePunct w:val="0"/>
        <w:bidi w:val="0"/>
        <w:snapToGrid/>
        <w:spacing w:beforeAutospacing="0" w:afterAutospacing="0"/>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keepNext w:val="0"/>
        <w:keepLines w:val="0"/>
        <w:pageBreakBefore w:val="0"/>
        <w:numPr>
          <w:ilvl w:val="0"/>
          <w:numId w:val="0"/>
        </w:numPr>
        <w:kinsoku/>
        <w:wordWrap/>
        <w:overflowPunct/>
        <w:topLinePunct w:val="0"/>
        <w:bidi w:val="0"/>
        <w:snapToGrid/>
        <w:spacing w:beforeAutospacing="0" w:afterAutospacing="0"/>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1"/>
        <w:keepNext w:val="0"/>
        <w:keepLines w:val="0"/>
        <w:pageBreakBefore w:val="0"/>
        <w:widowControl/>
        <w:numPr>
          <w:ilvl w:val="0"/>
          <w:numId w:val="0"/>
        </w:numPr>
        <w:suppressLineNumbers w:val="0"/>
        <w:shd w:val="clear" w:color="auto" w:fill="auto"/>
        <w:kinsoku/>
        <w:wordWrap/>
        <w:overflowPunct/>
        <w:topLinePunct w:val="0"/>
        <w:bidi w:val="0"/>
        <w:snapToGrid/>
        <w:spacing w:before="0" w:beforeAutospacing="0" w:after="0" w:afterAutospacing="0"/>
        <w:ind w:right="75" w:rightChars="0" w:firstLine="640" w:firstLineChars="200"/>
        <w:jc w:val="both"/>
        <w:textAlignment w:val="auto"/>
        <w:rPr>
          <w:rFonts w:hint="eastAsia" w:ascii="黑体" w:hAnsi="黑体" w:eastAsia="黑体" w:cs="黑体"/>
          <w:sz w:val="44"/>
          <w:szCs w:val="44"/>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pPr>
        <w:pStyle w:val="11"/>
        <w:keepNext w:val="0"/>
        <w:keepLines w:val="0"/>
        <w:widowControl/>
        <w:suppressLineNumbers w:val="0"/>
        <w:ind w:left="0" w:right="75"/>
        <w:jc w:val="center"/>
        <w:outlineLvl w:val="0"/>
        <w:rPr>
          <w:rFonts w:hint="eastAsia" w:ascii="黑体" w:hAnsi="黑体" w:eastAsia="黑体" w:cs="黑体"/>
          <w:sz w:val="44"/>
          <w:szCs w:val="44"/>
        </w:rPr>
      </w:pPr>
      <w:bookmarkStart w:id="18" w:name="_Toc15389"/>
      <w:r>
        <w:rPr>
          <w:rFonts w:hint="eastAsia" w:ascii="黑体" w:hAnsi="黑体" w:eastAsia="黑体" w:cs="黑体"/>
          <w:sz w:val="44"/>
          <w:szCs w:val="44"/>
          <w:shd w:val="clear" w:color="auto" w:fill="FFFFFF"/>
        </w:rPr>
        <w:t>第四部分 附件</w:t>
      </w:r>
      <w:bookmarkEnd w:id="18"/>
    </w:p>
    <w:p>
      <w:pPr>
        <w:pStyle w:val="11"/>
        <w:keepNext w:val="0"/>
        <w:keepLines w:val="0"/>
        <w:widowControl/>
        <w:suppressLineNumbers w:val="0"/>
        <w:ind w:left="0" w:right="75"/>
        <w:outlineLvl w:val="1"/>
        <w:rPr>
          <w:rFonts w:hint="default"/>
          <w:lang w:val="en-US" w:eastAsia="zh-CN"/>
        </w:rPr>
      </w:pPr>
      <w:bookmarkStart w:id="19" w:name="_Toc27357"/>
      <w:r>
        <w:rPr>
          <w:rFonts w:hint="eastAsia" w:ascii="仿宋_GB2312" w:hAnsi="仿宋_GB2312" w:eastAsia="仿宋_GB2312" w:cs="仿宋_GB2312"/>
          <w:sz w:val="32"/>
          <w:szCs w:val="32"/>
          <w:shd w:val="clear" w:color="auto" w:fill="FFFFFF"/>
        </w:rPr>
        <w:t>附件</w:t>
      </w: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lang w:eastAsia="zh-CN"/>
        </w:rPr>
        <w:t>：</w:t>
      </w:r>
      <w:bookmarkEnd w:id="19"/>
      <w:r>
        <w:rPr>
          <w:rFonts w:hint="eastAsia" w:ascii="仿宋_GB2312" w:hAnsi="仿宋_GB2312" w:eastAsia="仿宋_GB2312" w:cs="仿宋_GB2312"/>
          <w:sz w:val="32"/>
          <w:szCs w:val="32"/>
          <w:shd w:val="clear" w:color="auto" w:fill="FFFFFF"/>
          <w:lang w:eastAsia="zh-CN"/>
        </w:rPr>
        <w:t>县委编办</w:t>
      </w:r>
      <w:r>
        <w:rPr>
          <w:rFonts w:hint="eastAsia" w:ascii="仿宋_GB2312" w:hAnsi="仿宋_GB2312" w:eastAsia="仿宋_GB2312" w:cs="仿宋_GB2312"/>
          <w:sz w:val="32"/>
          <w:szCs w:val="32"/>
          <w:lang w:val="en-US" w:eastAsia="zh-CN"/>
        </w:rPr>
        <w:t>2022年度部门整体支出绩效报告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jc w:val="center"/>
        <w:textAlignment w:val="auto"/>
        <w:outlineLvl w:val="9"/>
        <w:rPr>
          <w:rFonts w:hint="eastAsia" w:ascii="方正小标宋简体" w:hAnsi="方正小标宋简体" w:eastAsia="方正小标宋简体" w:cs="方正小标宋简体"/>
          <w:b w:val="0"/>
          <w:bCs w:val="0"/>
          <w:color w:val="000000"/>
          <w:sz w:val="32"/>
          <w:szCs w:val="32"/>
          <w:lang w:val="en-US" w:eastAsia="zh-CN"/>
        </w:rPr>
      </w:pPr>
      <w:r>
        <w:rPr>
          <w:rFonts w:hint="eastAsia" w:ascii="方正小标宋简体" w:hAnsi="方正小标宋简体" w:eastAsia="方正小标宋简体" w:cs="方正小标宋简体"/>
          <w:b w:val="0"/>
          <w:bCs w:val="0"/>
          <w:color w:val="000000"/>
          <w:sz w:val="32"/>
          <w:szCs w:val="32"/>
          <w:lang w:val="en-US" w:eastAsia="zh-CN"/>
        </w:rPr>
        <w:t>中共红原县委机构编制委员会办公室2022年部门整体支出绩效报告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jc w:val="center"/>
        <w:textAlignment w:val="auto"/>
        <w:outlineLvl w:val="9"/>
        <w:rPr>
          <w:rFonts w:hint="eastAsia" w:ascii="仿宋_GB2312" w:hAnsi="仿宋_GB2312" w:eastAsia="仿宋_GB2312" w:cs="仿宋_GB2312"/>
          <w:b w:val="0"/>
          <w:bCs w:val="0"/>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en-US" w:eastAsia="zh-CN"/>
        </w:rPr>
        <w:t>一、</w:t>
      </w:r>
      <w:r>
        <w:rPr>
          <w:rFonts w:hint="eastAsia" w:ascii="仿宋_GB2312" w:hAnsi="仿宋_GB2312" w:eastAsia="仿宋_GB2312" w:cs="仿宋_GB2312"/>
          <w:b/>
          <w:bCs/>
          <w:color w:val="000000"/>
          <w:sz w:val="32"/>
          <w:szCs w:val="32"/>
          <w:lang w:val="zh-CN" w:eastAsia="zh-CN"/>
        </w:rPr>
        <w:t>部门（单位）概况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（一）机构组成。</w:t>
      </w:r>
    </w:p>
    <w:p>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lang w:val="en-US" w:eastAsia="zh-CN"/>
        </w:rPr>
        <w:t>县委编办为独立核算全额拨款行政单位，</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eastAsia="zh-CN"/>
        </w:rPr>
        <w:t>综合股、机构编制股、机构编制督查股，下设红原县事业单位登记管理局（参公）、红原县机构编制实名制中心（事业）</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（二）主要职能。</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1、</w:t>
      </w:r>
      <w:r>
        <w:rPr>
          <w:rFonts w:hint="eastAsia" w:ascii="仿宋" w:hAnsi="仿宋" w:eastAsia="仿宋" w:cs="仿宋"/>
          <w:snapToGrid w:val="0"/>
          <w:color w:val="000000"/>
          <w:kern w:val="56"/>
          <w:sz w:val="32"/>
          <w:szCs w:val="32"/>
          <w:shd w:val="clear" w:color="auto" w:fill="FFFFFF"/>
        </w:rPr>
        <w:t>贯彻执行中央、省、州关于行政管理体制改革和机构改革、事业单位改革及机构编制管理的方针政策、法律法规，研究拟定本县的政策规定、管理办法和实施细则。</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2、</w:t>
      </w:r>
      <w:r>
        <w:rPr>
          <w:rFonts w:hint="eastAsia" w:ascii="仿宋" w:hAnsi="仿宋" w:eastAsia="仿宋" w:cs="仿宋"/>
          <w:snapToGrid w:val="0"/>
          <w:color w:val="000000"/>
          <w:kern w:val="56"/>
          <w:sz w:val="32"/>
          <w:szCs w:val="32"/>
          <w:shd w:val="clear" w:color="auto" w:fill="FFFFFF"/>
        </w:rPr>
        <w:t>研究拟定全县行政管理体制改革和机构改革方案，审核县直各部门“三定”规定和县直各部门、乡镇机构改革方案，指导县直各部门、乡镇行政管理体制改革和机构改革，评估改革方案。参与行政审批制度改革和行政区划调整的有关工作。</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3、</w:t>
      </w:r>
      <w:r>
        <w:rPr>
          <w:rFonts w:hint="eastAsia" w:ascii="仿宋" w:hAnsi="仿宋" w:eastAsia="仿宋" w:cs="仿宋"/>
          <w:snapToGrid w:val="0"/>
          <w:color w:val="000000"/>
          <w:kern w:val="56"/>
          <w:sz w:val="32"/>
          <w:szCs w:val="32"/>
          <w:shd w:val="clear" w:color="auto" w:fill="FFFFFF"/>
        </w:rPr>
        <w:t>拟定全县各级行政编制、政法专项编制总额分配方案，审核跨层级调整行政编制事项。负责全县行政事业编制总量控制、结构调整和机关事业单位机构编制实名制管理工作。对县直机关和县属事业单位使用空缺编制补充人员以及进入县级财政供养范围的人员（工勤人员除外）进行核批。</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4、</w:t>
      </w:r>
      <w:r>
        <w:rPr>
          <w:rFonts w:hint="eastAsia" w:ascii="仿宋" w:hAnsi="仿宋" w:eastAsia="仿宋" w:cs="仿宋"/>
          <w:snapToGrid w:val="0"/>
          <w:color w:val="000000"/>
          <w:kern w:val="56"/>
          <w:sz w:val="32"/>
          <w:szCs w:val="32"/>
          <w:shd w:val="clear" w:color="auto" w:fill="FFFFFF"/>
        </w:rPr>
        <w:t>负责县委、县政府各部门，县人大、县政协机关，县法院、县检察院机关及县人民团体机关的机构编制管理工作。协调县直各部门之间的职能划分。</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5、</w:t>
      </w:r>
      <w:r>
        <w:rPr>
          <w:rFonts w:hint="eastAsia" w:ascii="仿宋" w:hAnsi="仿宋" w:eastAsia="仿宋" w:cs="仿宋"/>
          <w:snapToGrid w:val="0"/>
          <w:color w:val="000000"/>
          <w:kern w:val="56"/>
          <w:sz w:val="32"/>
          <w:szCs w:val="32"/>
          <w:shd w:val="clear" w:color="auto" w:fill="FFFFFF"/>
        </w:rPr>
        <w:t>审核股级规格管理机构的设置、调整，按程序向州委编委请示县内副科级或按照副科级及以上规格管理机构的设置、调整。</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lang w:eastAsia="zh-CN"/>
        </w:rPr>
      </w:pPr>
      <w:r>
        <w:rPr>
          <w:rFonts w:hint="eastAsia" w:ascii="仿宋" w:hAnsi="仿宋" w:eastAsia="仿宋" w:cs="仿宋"/>
          <w:snapToGrid w:val="0"/>
          <w:color w:val="000000"/>
          <w:kern w:val="56"/>
          <w:sz w:val="32"/>
          <w:szCs w:val="32"/>
          <w:shd w:val="clear" w:color="auto" w:fill="FFFFFF"/>
          <w:lang w:val="en-US" w:eastAsia="zh-CN"/>
        </w:rPr>
        <w:t>6、</w:t>
      </w:r>
      <w:r>
        <w:rPr>
          <w:rFonts w:hint="eastAsia" w:ascii="仿宋" w:hAnsi="仿宋" w:eastAsia="仿宋" w:cs="仿宋"/>
          <w:snapToGrid w:val="0"/>
          <w:color w:val="000000"/>
          <w:kern w:val="56"/>
          <w:sz w:val="32"/>
          <w:szCs w:val="32"/>
          <w:shd w:val="clear" w:color="auto" w:fill="FFFFFF"/>
        </w:rPr>
        <w:t>研究拟定全县事业单位改革方案及其实施意见，负责县属事业单位机构编制管理，审核县属事业单位的机构编制方案，负责拟参照公务员法管理事业单位的职责审核工作，指导并协调县、乡镇事业单位改革和机构编制管理工作。</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7、</w:t>
      </w:r>
      <w:r>
        <w:rPr>
          <w:rFonts w:hint="eastAsia" w:ascii="仿宋" w:hAnsi="仿宋" w:eastAsia="仿宋" w:cs="仿宋"/>
          <w:snapToGrid w:val="0"/>
          <w:color w:val="000000"/>
          <w:kern w:val="56"/>
          <w:sz w:val="32"/>
          <w:szCs w:val="32"/>
          <w:shd w:val="clear" w:color="auto" w:fill="FFFFFF"/>
        </w:rPr>
        <w:t>监督检查全县行政管理体制改革和机构改革方案及机构编制规定执行情况，建立机构编制工作考核评估制度，会同有关部门查处机构编制违法违纪行为。</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 xml:space="preserve">  8、</w:t>
      </w:r>
      <w:r>
        <w:rPr>
          <w:rFonts w:hint="eastAsia" w:ascii="仿宋" w:hAnsi="仿宋" w:eastAsia="仿宋" w:cs="仿宋"/>
          <w:snapToGrid w:val="0"/>
          <w:color w:val="000000"/>
          <w:kern w:val="56"/>
          <w:sz w:val="32"/>
          <w:szCs w:val="32"/>
          <w:shd w:val="clear" w:color="auto" w:fill="FFFFFF"/>
        </w:rPr>
        <w:t>负责全县事业单位登记管理工作，组织实施县属事业单位登记和年检工作</w:t>
      </w:r>
      <w:r>
        <w:rPr>
          <w:rFonts w:hint="eastAsia" w:ascii="仿宋" w:hAnsi="仿宋" w:eastAsia="仿宋" w:cs="仿宋"/>
          <w:snapToGrid w:val="0"/>
          <w:color w:val="000000"/>
          <w:kern w:val="56"/>
          <w:sz w:val="32"/>
          <w:szCs w:val="32"/>
          <w:shd w:val="clear" w:color="auto" w:fill="FFFFFF"/>
          <w:lang w:eastAsia="zh-CN"/>
        </w:rPr>
        <w:t>。</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320" w:firstLineChars="100"/>
        <w:textAlignment w:val="auto"/>
        <w:rPr>
          <w:rFonts w:hint="eastAsia" w:ascii="仿宋" w:hAnsi="仿宋" w:eastAsia="仿宋" w:cs="仿宋"/>
          <w:snapToGrid w:val="0"/>
          <w:color w:val="000000"/>
          <w:kern w:val="56"/>
          <w:sz w:val="32"/>
          <w:szCs w:val="32"/>
          <w:shd w:val="clear" w:color="auto" w:fill="FFFFFF"/>
          <w:lang w:val="en-US" w:eastAsia="zh-CN"/>
        </w:rPr>
      </w:pPr>
      <w:r>
        <w:rPr>
          <w:rFonts w:hint="eastAsia" w:ascii="仿宋" w:hAnsi="仿宋" w:eastAsia="仿宋" w:cs="仿宋"/>
          <w:snapToGrid w:val="0"/>
          <w:color w:val="000000"/>
          <w:kern w:val="56"/>
          <w:sz w:val="32"/>
          <w:szCs w:val="32"/>
          <w:shd w:val="clear" w:color="auto" w:fill="FFFFFF"/>
          <w:lang w:val="en-US" w:eastAsia="zh-CN"/>
        </w:rPr>
        <w:t>9、</w:t>
      </w:r>
      <w:r>
        <w:rPr>
          <w:rFonts w:hint="eastAsia" w:ascii="仿宋" w:hAnsi="仿宋" w:eastAsia="仿宋" w:cs="仿宋"/>
          <w:snapToGrid w:val="0"/>
          <w:color w:val="000000"/>
          <w:kern w:val="56"/>
          <w:sz w:val="32"/>
          <w:szCs w:val="32"/>
          <w:shd w:val="clear" w:color="auto" w:fill="FFFFFF"/>
        </w:rPr>
        <w:t>承办县委、县政府和县委编委交办的其他工作。</w:t>
      </w:r>
      <w:r>
        <w:rPr>
          <w:rFonts w:hint="eastAsia" w:ascii="仿宋" w:hAnsi="仿宋" w:eastAsia="仿宋" w:cs="仿宋"/>
          <w:snapToGrid w:val="0"/>
          <w:color w:val="000000"/>
          <w:kern w:val="56"/>
          <w:sz w:val="32"/>
          <w:szCs w:val="32"/>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（三）人员概况。</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_GB2312" w:eastAsia="仿宋_GB2312" w:cs="仿宋_GB2312"/>
          <w:kern w:val="0"/>
          <w:sz w:val="32"/>
          <w:szCs w:val="32"/>
        </w:rPr>
      </w:pP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lang w:eastAsia="zh-CN"/>
        </w:rPr>
        <w:t>年底</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，参公</w:t>
      </w:r>
      <w:r>
        <w:rPr>
          <w:rFonts w:hint="eastAsia" w:ascii="仿宋_GB2312" w:hAnsi="仿宋_GB2312" w:eastAsia="仿宋_GB2312" w:cs="仿宋_GB2312"/>
          <w:sz w:val="32"/>
          <w:szCs w:val="32"/>
          <w:lang w:val="en-US" w:eastAsia="zh-CN"/>
        </w:rPr>
        <w:t>5人，事业3人。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二、部门财政资金收支情况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（一）部门财政资金收入情况。</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sz w:val="32"/>
          <w:szCs w:val="32"/>
        </w:rPr>
      </w:pPr>
      <w:r>
        <w:rPr>
          <w:rFonts w:hint="eastAsia" w:ascii="仿宋_GB2312" w:hAnsi="仿宋_GB2312" w:eastAsia="仿宋_GB2312" w:cs="仿宋_GB2312"/>
          <w:b w:val="0"/>
          <w:bCs w:val="0"/>
          <w:color w:val="000000"/>
          <w:sz w:val="32"/>
          <w:szCs w:val="32"/>
          <w:lang w:val="en-US" w:eastAsia="zh-CN"/>
        </w:rPr>
        <w:t>2022年度财政拨款收入总计336.16万元（其中：一般公共服务支出254.31万元，主要为人员工资、体检费、工伤失业保险、会议费、差旅费、印刷费、培训费、公务用车运行维护费等；社会保障和就业支出42.29万元，主要为各项保险；医疗卫生与计划生育支出17.37万元，全部为医疗保险、公务员医疗补助；住房保障支出22.19万元，全部为住房公积金）。与2021年相比，收入增加了56.95万元，上升了20.40%，</w:t>
      </w:r>
      <w:r>
        <w:rPr>
          <w:rStyle w:val="14"/>
          <w:rFonts w:hint="eastAsia" w:ascii="仿宋_GB2312" w:hAnsi="仿宋_GB2312" w:eastAsia="仿宋_GB2312" w:cs="仿宋_GB2312"/>
          <w:sz w:val="32"/>
          <w:szCs w:val="32"/>
        </w:rPr>
        <w:t>主要原因为</w:t>
      </w:r>
      <w:r>
        <w:rPr>
          <w:rStyle w:val="14"/>
          <w:rFonts w:hint="eastAsia" w:ascii="仿宋_GB2312" w:hAnsi="宋体" w:eastAsia="仿宋_GB2312" w:cs="宋体"/>
          <w:sz w:val="32"/>
          <w:szCs w:val="32"/>
          <w:lang w:eastAsia="zh-CN"/>
        </w:rPr>
        <w:t>人员变动</w:t>
      </w:r>
      <w:r>
        <w:rPr>
          <w:rStyle w:val="14"/>
          <w:rFonts w:hint="eastAsia" w:ascii="仿宋_GB2312" w:eastAsia="仿宋_GB2312" w:cs="宋体"/>
          <w:sz w:val="32"/>
          <w:szCs w:val="32"/>
          <w:lang w:eastAsia="zh-CN"/>
        </w:rPr>
        <w:t>（人员增加及激励性绩效进入工资）</w:t>
      </w:r>
      <w:r>
        <w:rPr>
          <w:rStyle w:val="14"/>
          <w:rFonts w:hint="eastAsia" w:ascii="仿宋_GB2312" w:hAnsi="宋体" w:eastAsia="仿宋_GB2312" w:cs="宋体"/>
          <w:sz w:val="32"/>
          <w:szCs w:val="32"/>
          <w:lang w:eastAsia="zh-CN"/>
        </w:rPr>
        <w:t>、厉行节约、经费调整</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zh-CN" w:eastAsia="zh-CN"/>
        </w:rPr>
        <w:t>（二）部门财政资金支出情况。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2022年度财政拨款支出336.16万元，其中：一般公共服务支出254.31万元，主要为人员工资、体检费、工伤失业保险、会议费、差旅费、印刷费、培训费、公务用车运行维护费等；社会保障和就业支出42.29万元，主要为各项保险；医疗卫生与计划生育支出17.37万元，全部为医疗保险、公务员医疗补助；住房保障支出22.19万元，全部为住房公积金。与2021年相比，收入增加了56.95万元，上升了20.40%，</w:t>
      </w:r>
      <w:r>
        <w:rPr>
          <w:rStyle w:val="14"/>
          <w:rFonts w:hint="eastAsia" w:ascii="仿宋_GB2312" w:hAnsi="仿宋_GB2312" w:eastAsia="仿宋_GB2312" w:cs="仿宋_GB2312"/>
          <w:sz w:val="32"/>
          <w:szCs w:val="32"/>
        </w:rPr>
        <w:t>主要原因为</w:t>
      </w:r>
      <w:r>
        <w:rPr>
          <w:rStyle w:val="14"/>
          <w:rFonts w:hint="eastAsia" w:ascii="仿宋_GB2312" w:hAnsi="宋体" w:eastAsia="仿宋_GB2312" w:cs="宋体"/>
          <w:sz w:val="32"/>
          <w:szCs w:val="32"/>
          <w:lang w:eastAsia="zh-CN"/>
        </w:rPr>
        <w:t>人员变动</w:t>
      </w:r>
      <w:r>
        <w:rPr>
          <w:rStyle w:val="14"/>
          <w:rFonts w:hint="eastAsia" w:ascii="仿宋_GB2312" w:eastAsia="仿宋_GB2312" w:cs="宋体"/>
          <w:sz w:val="32"/>
          <w:szCs w:val="32"/>
          <w:lang w:eastAsia="zh-CN"/>
        </w:rPr>
        <w:t>（人员增加及激励性绩效进入工资）</w:t>
      </w:r>
      <w:r>
        <w:rPr>
          <w:rStyle w:val="14"/>
          <w:rFonts w:hint="eastAsia" w:ascii="仿宋_GB2312" w:hAnsi="宋体" w:eastAsia="仿宋_GB2312" w:cs="宋体"/>
          <w:sz w:val="32"/>
          <w:szCs w:val="32"/>
          <w:lang w:eastAsia="zh-CN"/>
        </w:rPr>
        <w:t>、厉行节约、经费调整</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三、部门财政支出管理情况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（一）预算编制情况。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中共红原县委机构编制委员会办公室预算编制严格按照《预算法》相关规定，结合全县预算编制口径，结合我单位实际情况，主要用于保障该机构正常运转、完成日常工作任务以及县委编办事务发展相关工作而编制。</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基本支出，是用于保障县委编办正常运转的日常支出，包括基本工资、津贴补贴等人员经费以及办公费、印刷费、水电费及专项办公经费等日常公用经费。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2022年绩效目标执行率96%以上完成度较好，2022年我单位及时公开部门预算，决算绩效报告等，对预算编制进一步细化。</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（二）执行管理情况。</w:t>
      </w:r>
      <w:r>
        <w:rPr>
          <w:rFonts w:hint="eastAsia" w:ascii="仿宋_GB2312" w:hAnsi="仿宋_GB2312" w:eastAsia="仿宋_GB2312" w:cs="仿宋_GB2312"/>
          <w:b/>
          <w:bCs/>
          <w:color w:val="000000"/>
          <w:sz w:val="32"/>
          <w:szCs w:val="32"/>
          <w:lang w:val="zh-CN" w:eastAsia="zh-CN"/>
        </w:rPr>
        <w:tab/>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1.因公出国(境)经费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2022年因公出国(境)费0.00元，因公出国(境) 0人，与上年持平。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2.公务接待费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2022年公务接待费0.00万元。公务接待费支出决算比2021年持平。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3.公务用车购置及运行维护费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2022年公务用车购置及运行维护费2.62万元。其中：</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公务用车运行维护费支出2.62万元。主要用于县委编办因公出差、下乡调研等所需的公务用车燃料费、维修费、过路过桥费、保险费等支出。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公务用车购置及运行维护费支出2.62万元,完成预算100%。公务用车购置及运行维护费支出决算比2021年持平。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（三）综合管理情况</w:t>
      </w:r>
      <w:r>
        <w:rPr>
          <w:rFonts w:hint="eastAsia" w:ascii="仿宋_GB2312" w:hAnsi="仿宋_GB2312" w:eastAsia="仿宋_GB2312" w:cs="仿宋_GB2312"/>
          <w:b w:val="0"/>
          <w:bCs w:val="0"/>
          <w:color w:val="000000"/>
          <w:sz w:val="32"/>
          <w:szCs w:val="32"/>
          <w:lang w:val="zh-CN" w:eastAsia="zh-CN"/>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1.资产管理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2.单位内控管理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3.部门预算管理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4.</w:t>
      </w:r>
      <w:r>
        <w:rPr>
          <w:rFonts w:hint="eastAsia" w:ascii="仿宋_GB2312" w:hAnsi="仿宋_GB2312" w:eastAsia="仿宋_GB2312" w:cs="仿宋_GB2312"/>
          <w:b/>
          <w:bCs/>
          <w:color w:val="000000"/>
          <w:sz w:val="32"/>
          <w:szCs w:val="32"/>
          <w:lang w:val="zh-CN" w:eastAsia="zh-CN"/>
        </w:rPr>
        <w:t>绩效管理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我单位领导高度重视绩效评价工作，成立了绩效评价工作领导小组，采取座谈等方式听取相关情况，检查基本支出、专项办公费、会议费等支出有关账目，收集整理相关资料，并对资料进行分析，形成评价结论。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（1）部门预算严格按照上级部门预算编制通知和有关要求，结合单位具体工作及县级相关规定编制，按时完成基础、项目报送工作，单位预算按时在红原县门户网站公开。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（2）严格执行支出预算，“三公经费”本着节约、高效的原则严格控制支出。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（四）整体绩效。</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通过整体绩效自评，反映本部门能按照县委编办相关职责要求有效履行职责，圆满完成了县委编办各项工作任务，绩效评价结果为优，相关部门等对县委编办的各项工作满意度较高。</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（五）结果应用情况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2022年我单位从收支执行，三公经费管理，预算管理，绩效管理等方面进行了详尽</w:t>
      </w:r>
      <w:r>
        <w:rPr>
          <w:rFonts w:hint="eastAsia" w:ascii="仿宋_GB2312" w:hAnsi="仿宋_GB2312" w:eastAsia="仿宋_GB2312" w:cs="仿宋_GB2312"/>
          <w:b w:val="0"/>
          <w:bCs w:val="0"/>
          <w:color w:val="000000"/>
          <w:sz w:val="32"/>
          <w:szCs w:val="32"/>
          <w:lang w:val="zh-CN" w:eastAsia="zh-CN"/>
        </w:rPr>
        <w:t>部门自评、</w:t>
      </w:r>
      <w:r>
        <w:rPr>
          <w:rFonts w:hint="eastAsia" w:ascii="仿宋_GB2312" w:hAnsi="仿宋_GB2312" w:eastAsia="仿宋_GB2312" w:cs="仿宋_GB2312"/>
          <w:b w:val="0"/>
          <w:bCs w:val="0"/>
          <w:color w:val="000000"/>
          <w:sz w:val="32"/>
          <w:szCs w:val="32"/>
          <w:lang w:val="en-US" w:eastAsia="zh-CN"/>
        </w:rPr>
        <w:t>22年预算绩效目标，项目预算绩效目标等均进行了公开，评价结果较好，对部门预算编制不够精准细化的问题将在后续工作中逐步改进。</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ascii="黑体" w:hAnsi="宋体" w:eastAsia="黑体" w:cs="宋体"/>
          <w:color w:val="000000"/>
          <w:kern w:val="0"/>
        </w:rPr>
      </w:pPr>
      <w:r>
        <w:rPr>
          <w:rFonts w:hint="eastAsia" w:ascii="黑体" w:hAnsi="宋体" w:eastAsia="黑体" w:cs="宋体"/>
          <w:color w:val="000000"/>
          <w:kern w:val="0"/>
        </w:rPr>
        <w:t>四、评价结论及建议</w:t>
      </w:r>
    </w:p>
    <w:p>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（一）评价结论。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根据《红原县部门支出绩效评价指标体系》自查的分96分，总体评价较好。</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720" w:leftChars="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（二）存在问题。</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存在的问题:在平时工作推进过程中，缺乏技术人员进行专业指导及培训，工作推进存在一定困难，预算编制还需更加精准。</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720" w:leftChars="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（三）改进建议。</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1.通过各种途径加强绩效管理学习，科学合理编制预算，严格执行预算。</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pStyle w:val="11"/>
        <w:keepNext w:val="0"/>
        <w:keepLines w:val="0"/>
        <w:widowControl/>
        <w:suppressLineNumbers w:val="0"/>
        <w:ind w:left="0" w:right="75"/>
        <w:jc w:val="center"/>
        <w:rPr>
          <w:rFonts w:hint="eastAsia" w:ascii="黑体" w:hAnsi="黑体" w:eastAsia="黑体" w:cs="黑体"/>
          <w:sz w:val="44"/>
          <w:szCs w:val="44"/>
          <w:shd w:val="clear" w:color="auto" w:fill="FFFFFF"/>
        </w:rPr>
      </w:pPr>
    </w:p>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bookmarkStart w:id="20" w:name="_Toc29972"/>
    </w:p>
    <w:p>
      <w:pPr>
        <w:pStyle w:val="11"/>
        <w:keepNext w:val="0"/>
        <w:keepLines w:val="0"/>
        <w:widowControl/>
        <w:suppressLineNumbers w:val="0"/>
        <w:ind w:left="0"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第五部分 附表</w:t>
      </w:r>
      <w:bookmarkEnd w:id="20"/>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一、收入支出决算总表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二、收入决算表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四、财政拨款收入支出决算总表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五、财政拨款支出决算明细表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六、一般公共预算财政拨款支出决算表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七、一般公共预算财政拨款支出决算明细表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八、一般公共预算财政拨款基本支出决算表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九、一般公共预算财政拨款项目支出决算表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十、一般公共预算财政拨款“三公”经费支出决算表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十一、政府性基金预算财政拨款收入支出决算表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十二、政府性基金预算财政拨款“三公”经费支出决算表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十三、国有资本经营预算财政拨款收入支出决算表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十四、国有资本经营预算财政拨款支出决算表</w:t>
      </w:r>
    </w:p>
    <w:p/>
    <w:sectPr>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variable"/>
    <w:sig w:usb0="80000287" w:usb1="280F3C52" w:usb2="00000016" w:usb3="00000000" w:csb0="0004001F" w:csb1="00000000"/>
  </w:font>
  <w:font w:name="Calibri Light">
    <w:altName w:val="Calibri"/>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48E9"/>
    <w:multiLevelType w:val="singleLevel"/>
    <w:tmpl w:val="020848E9"/>
    <w:lvl w:ilvl="0" w:tentative="0">
      <w:start w:val="1"/>
      <w:numFmt w:val="decimal"/>
      <w:suff w:val="nothing"/>
      <w:lvlText w:val="（%1）"/>
      <w:lvlJc w:val="left"/>
    </w:lvl>
  </w:abstractNum>
  <w:abstractNum w:abstractNumId="1">
    <w:nsid w:val="1A9BF496"/>
    <w:multiLevelType w:val="singleLevel"/>
    <w:tmpl w:val="1A9BF496"/>
    <w:lvl w:ilvl="0" w:tentative="0">
      <w:start w:val="2"/>
      <w:numFmt w:val="chineseCounting"/>
      <w:suff w:val="space"/>
      <w:lvlText w:val="%1、"/>
      <w:lvlJc w:val="left"/>
      <w:rPr>
        <w:rFonts w:hint="eastAsia"/>
      </w:rPr>
    </w:lvl>
  </w:abstractNum>
  <w:abstractNum w:abstractNumId="2">
    <w:nsid w:val="3F606127"/>
    <w:multiLevelType w:val="singleLevel"/>
    <w:tmpl w:val="3F606127"/>
    <w:lvl w:ilvl="0" w:tentative="0">
      <w:start w:val="8"/>
      <w:numFmt w:val="chineseCounting"/>
      <w:suff w:val="nothing"/>
      <w:lvlText w:val="%1、"/>
      <w:lvlJc w:val="left"/>
      <w:rPr>
        <w:rFonts w:hint="eastAsia"/>
      </w:rPr>
    </w:lvl>
  </w:abstractNum>
  <w:abstractNum w:abstractNumId="3">
    <w:nsid w:val="5708D7AD"/>
    <w:multiLevelType w:val="singleLevel"/>
    <w:tmpl w:val="5708D7AD"/>
    <w:lvl w:ilvl="0" w:tentative="0">
      <w:start w:val="2"/>
      <w:numFmt w:val="chineseCounting"/>
      <w:suff w:val="nothing"/>
      <w:lvlText w:val="（%1）"/>
      <w:lvlJc w:val="left"/>
      <w:rPr>
        <w:rFonts w:hint="eastAsia"/>
      </w:rPr>
    </w:lvl>
  </w:abstractNum>
  <w:abstractNum w:abstractNumId="4">
    <w:nsid w:val="5F819D8E"/>
    <w:multiLevelType w:val="singleLevel"/>
    <w:tmpl w:val="5F819D8E"/>
    <w:lvl w:ilvl="0" w:tentative="0">
      <w:start w:val="1"/>
      <w:numFmt w:val="decimal"/>
      <w:lvlText w:val="%1."/>
      <w:lvlJc w:val="left"/>
      <w:pPr>
        <w:tabs>
          <w:tab w:val="left" w:pos="312"/>
        </w:tabs>
      </w:pPr>
    </w:lvl>
  </w:abstractNum>
  <w:abstractNum w:abstractNumId="5">
    <w:nsid w:val="5F81B4ED"/>
    <w:multiLevelType w:val="singleLevel"/>
    <w:tmpl w:val="5F81B4ED"/>
    <w:lvl w:ilvl="0" w:tentative="0">
      <w:start w:val="1"/>
      <w:numFmt w:val="decimal"/>
      <w:lvlText w:val="%1."/>
      <w:lvlJc w:val="left"/>
      <w:pPr>
        <w:tabs>
          <w:tab w:val="left" w:pos="312"/>
        </w:tabs>
      </w:pPr>
    </w:lvl>
  </w:abstractNum>
  <w:abstractNum w:abstractNumId="6">
    <w:nsid w:val="7AAC1CBD"/>
    <w:multiLevelType w:val="singleLevel"/>
    <w:tmpl w:val="7AAC1CBD"/>
    <w:lvl w:ilvl="0" w:tentative="0">
      <w:start w:val="2"/>
      <w:numFmt w:val="chineseCounting"/>
      <w:suff w:val="nothing"/>
      <w:lvlText w:val="（%1）"/>
      <w:lvlJc w:val="left"/>
      <w:rPr>
        <w:rFonts w:hint="eastAsia"/>
      </w:rPr>
    </w:lvl>
  </w:abstractNum>
  <w:num w:numId="1">
    <w:abstractNumId w:val="1"/>
  </w:num>
  <w:num w:numId="2">
    <w:abstractNumId w:val="6"/>
  </w:num>
  <w:num w:numId="3">
    <w:abstractNumId w:val="4"/>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A3593"/>
    <w:rsid w:val="00882313"/>
    <w:rsid w:val="00BF0852"/>
    <w:rsid w:val="01AB3A4C"/>
    <w:rsid w:val="01D82154"/>
    <w:rsid w:val="020502B8"/>
    <w:rsid w:val="02346274"/>
    <w:rsid w:val="02537415"/>
    <w:rsid w:val="02571CE1"/>
    <w:rsid w:val="028316E6"/>
    <w:rsid w:val="033E4D03"/>
    <w:rsid w:val="03B10B2C"/>
    <w:rsid w:val="03E52A27"/>
    <w:rsid w:val="040F4900"/>
    <w:rsid w:val="043D1C16"/>
    <w:rsid w:val="051E63A0"/>
    <w:rsid w:val="05253159"/>
    <w:rsid w:val="0536478E"/>
    <w:rsid w:val="05C6221A"/>
    <w:rsid w:val="05CA37E6"/>
    <w:rsid w:val="05DB0495"/>
    <w:rsid w:val="05DE2065"/>
    <w:rsid w:val="060415DA"/>
    <w:rsid w:val="061D2498"/>
    <w:rsid w:val="062705AF"/>
    <w:rsid w:val="0648585F"/>
    <w:rsid w:val="067611B1"/>
    <w:rsid w:val="06A51A29"/>
    <w:rsid w:val="06DF2C3C"/>
    <w:rsid w:val="073716F3"/>
    <w:rsid w:val="077C0152"/>
    <w:rsid w:val="07A66CD3"/>
    <w:rsid w:val="07AB12F0"/>
    <w:rsid w:val="07CC79AF"/>
    <w:rsid w:val="07E05898"/>
    <w:rsid w:val="08165380"/>
    <w:rsid w:val="08D266EA"/>
    <w:rsid w:val="08E5531C"/>
    <w:rsid w:val="09201BFE"/>
    <w:rsid w:val="094712F2"/>
    <w:rsid w:val="0958647E"/>
    <w:rsid w:val="0963660A"/>
    <w:rsid w:val="09A4358F"/>
    <w:rsid w:val="09BF4822"/>
    <w:rsid w:val="09DA3F82"/>
    <w:rsid w:val="0A0B0C2D"/>
    <w:rsid w:val="0A1A2BF9"/>
    <w:rsid w:val="0A836BDE"/>
    <w:rsid w:val="0B6775DA"/>
    <w:rsid w:val="0BE72A8C"/>
    <w:rsid w:val="0C1C28F1"/>
    <w:rsid w:val="0C5533EE"/>
    <w:rsid w:val="0C7557E1"/>
    <w:rsid w:val="0C9B09AC"/>
    <w:rsid w:val="0CB70344"/>
    <w:rsid w:val="0CE63DEF"/>
    <w:rsid w:val="0D5709C4"/>
    <w:rsid w:val="0DA32FF9"/>
    <w:rsid w:val="0DC02F70"/>
    <w:rsid w:val="0E016246"/>
    <w:rsid w:val="0EEF2024"/>
    <w:rsid w:val="0F396866"/>
    <w:rsid w:val="0F547819"/>
    <w:rsid w:val="0F763753"/>
    <w:rsid w:val="0FBD1976"/>
    <w:rsid w:val="0FC84B33"/>
    <w:rsid w:val="0FF22613"/>
    <w:rsid w:val="104D4387"/>
    <w:rsid w:val="10C63719"/>
    <w:rsid w:val="110E5233"/>
    <w:rsid w:val="11142387"/>
    <w:rsid w:val="112A1720"/>
    <w:rsid w:val="112E1415"/>
    <w:rsid w:val="118E4E05"/>
    <w:rsid w:val="119A0988"/>
    <w:rsid w:val="11C84FEC"/>
    <w:rsid w:val="120F176F"/>
    <w:rsid w:val="12474DC8"/>
    <w:rsid w:val="12DF625F"/>
    <w:rsid w:val="134D5D4F"/>
    <w:rsid w:val="137E4D53"/>
    <w:rsid w:val="13F47D19"/>
    <w:rsid w:val="1444516F"/>
    <w:rsid w:val="14886F81"/>
    <w:rsid w:val="14B70C97"/>
    <w:rsid w:val="14B82E87"/>
    <w:rsid w:val="14C217F5"/>
    <w:rsid w:val="14E24DF8"/>
    <w:rsid w:val="15922051"/>
    <w:rsid w:val="159F292E"/>
    <w:rsid w:val="16103683"/>
    <w:rsid w:val="16316871"/>
    <w:rsid w:val="16344EDC"/>
    <w:rsid w:val="168B7E06"/>
    <w:rsid w:val="177E08EB"/>
    <w:rsid w:val="178664AD"/>
    <w:rsid w:val="178819C8"/>
    <w:rsid w:val="179E22FC"/>
    <w:rsid w:val="17A25E76"/>
    <w:rsid w:val="17AE4B25"/>
    <w:rsid w:val="18212609"/>
    <w:rsid w:val="183068D9"/>
    <w:rsid w:val="18BA318F"/>
    <w:rsid w:val="18D93743"/>
    <w:rsid w:val="19E524F1"/>
    <w:rsid w:val="19F3214F"/>
    <w:rsid w:val="19F76004"/>
    <w:rsid w:val="1A1664F5"/>
    <w:rsid w:val="1A4E5F71"/>
    <w:rsid w:val="1AA22996"/>
    <w:rsid w:val="1B3E1A8A"/>
    <w:rsid w:val="1BE12072"/>
    <w:rsid w:val="1BEB2F32"/>
    <w:rsid w:val="1BEF4D2F"/>
    <w:rsid w:val="1C48338F"/>
    <w:rsid w:val="1D207523"/>
    <w:rsid w:val="1D5303AD"/>
    <w:rsid w:val="1D5D797F"/>
    <w:rsid w:val="1D8F2651"/>
    <w:rsid w:val="1DA21552"/>
    <w:rsid w:val="1EE82024"/>
    <w:rsid w:val="1FB1003C"/>
    <w:rsid w:val="1FE7137A"/>
    <w:rsid w:val="1FF54367"/>
    <w:rsid w:val="2054534B"/>
    <w:rsid w:val="20583D8E"/>
    <w:rsid w:val="20726215"/>
    <w:rsid w:val="20C1152C"/>
    <w:rsid w:val="210A7163"/>
    <w:rsid w:val="211C0ADF"/>
    <w:rsid w:val="21792825"/>
    <w:rsid w:val="222B40B1"/>
    <w:rsid w:val="224A43EF"/>
    <w:rsid w:val="22AC0362"/>
    <w:rsid w:val="233B7821"/>
    <w:rsid w:val="24007643"/>
    <w:rsid w:val="241755C0"/>
    <w:rsid w:val="243E3248"/>
    <w:rsid w:val="246837AC"/>
    <w:rsid w:val="24EB4C10"/>
    <w:rsid w:val="2519214E"/>
    <w:rsid w:val="258520EB"/>
    <w:rsid w:val="258B34CC"/>
    <w:rsid w:val="25913412"/>
    <w:rsid w:val="25DE3EBC"/>
    <w:rsid w:val="25FA1985"/>
    <w:rsid w:val="262E222F"/>
    <w:rsid w:val="2637183E"/>
    <w:rsid w:val="26451A73"/>
    <w:rsid w:val="26710BB7"/>
    <w:rsid w:val="26BE5A0B"/>
    <w:rsid w:val="26BF635F"/>
    <w:rsid w:val="26C575ED"/>
    <w:rsid w:val="26E518CB"/>
    <w:rsid w:val="27307856"/>
    <w:rsid w:val="275E4B3D"/>
    <w:rsid w:val="2790625B"/>
    <w:rsid w:val="280E4D8F"/>
    <w:rsid w:val="282C4404"/>
    <w:rsid w:val="28716A14"/>
    <w:rsid w:val="28C55AD9"/>
    <w:rsid w:val="28D241CA"/>
    <w:rsid w:val="296D1C1C"/>
    <w:rsid w:val="297A12B6"/>
    <w:rsid w:val="29DE6E95"/>
    <w:rsid w:val="29E8073E"/>
    <w:rsid w:val="2A4B0CBE"/>
    <w:rsid w:val="2A742DBD"/>
    <w:rsid w:val="2AD0333C"/>
    <w:rsid w:val="2B4D0B0B"/>
    <w:rsid w:val="2BDD0703"/>
    <w:rsid w:val="2C255858"/>
    <w:rsid w:val="2C3C0AA3"/>
    <w:rsid w:val="2C515C43"/>
    <w:rsid w:val="2C625793"/>
    <w:rsid w:val="2C685E12"/>
    <w:rsid w:val="2C687D7E"/>
    <w:rsid w:val="2C962229"/>
    <w:rsid w:val="2CA8390F"/>
    <w:rsid w:val="2CFC623A"/>
    <w:rsid w:val="2D1202A0"/>
    <w:rsid w:val="2D7660A9"/>
    <w:rsid w:val="2D966C65"/>
    <w:rsid w:val="2DBB4CD6"/>
    <w:rsid w:val="2DF35DE3"/>
    <w:rsid w:val="2E216696"/>
    <w:rsid w:val="2ED35FEE"/>
    <w:rsid w:val="300155EC"/>
    <w:rsid w:val="30B32B6A"/>
    <w:rsid w:val="311C73A5"/>
    <w:rsid w:val="31BF2947"/>
    <w:rsid w:val="32310A70"/>
    <w:rsid w:val="340D57A7"/>
    <w:rsid w:val="34666631"/>
    <w:rsid w:val="34D825DC"/>
    <w:rsid w:val="35897E51"/>
    <w:rsid w:val="359840AF"/>
    <w:rsid w:val="35B725AC"/>
    <w:rsid w:val="36093CBF"/>
    <w:rsid w:val="36974F61"/>
    <w:rsid w:val="36A326E6"/>
    <w:rsid w:val="36EE35C7"/>
    <w:rsid w:val="370A6D37"/>
    <w:rsid w:val="372A5155"/>
    <w:rsid w:val="37B620D9"/>
    <w:rsid w:val="380B19D2"/>
    <w:rsid w:val="38A3735B"/>
    <w:rsid w:val="38BA0F7B"/>
    <w:rsid w:val="38EF74E5"/>
    <w:rsid w:val="39236D35"/>
    <w:rsid w:val="3A2D0421"/>
    <w:rsid w:val="3A6D6A8B"/>
    <w:rsid w:val="3BB04D60"/>
    <w:rsid w:val="3BED2C50"/>
    <w:rsid w:val="3BFC3FDB"/>
    <w:rsid w:val="3C013AEF"/>
    <w:rsid w:val="3CCA6242"/>
    <w:rsid w:val="3D317CFB"/>
    <w:rsid w:val="3D333223"/>
    <w:rsid w:val="3E6C046F"/>
    <w:rsid w:val="3E8B7104"/>
    <w:rsid w:val="3ED0469E"/>
    <w:rsid w:val="3F0F0DE1"/>
    <w:rsid w:val="3F2B07ED"/>
    <w:rsid w:val="3F392D26"/>
    <w:rsid w:val="3FFC5AEC"/>
    <w:rsid w:val="40207691"/>
    <w:rsid w:val="40670939"/>
    <w:rsid w:val="40B94C7A"/>
    <w:rsid w:val="40C946F8"/>
    <w:rsid w:val="413D21FB"/>
    <w:rsid w:val="41CF3D80"/>
    <w:rsid w:val="420E53DF"/>
    <w:rsid w:val="425759EC"/>
    <w:rsid w:val="426129D8"/>
    <w:rsid w:val="429066C1"/>
    <w:rsid w:val="42FE1BA9"/>
    <w:rsid w:val="43476B48"/>
    <w:rsid w:val="43573315"/>
    <w:rsid w:val="435B36FE"/>
    <w:rsid w:val="43907DB5"/>
    <w:rsid w:val="4392081E"/>
    <w:rsid w:val="439D249C"/>
    <w:rsid w:val="43C52E54"/>
    <w:rsid w:val="441735B8"/>
    <w:rsid w:val="442268FD"/>
    <w:rsid w:val="445F11C3"/>
    <w:rsid w:val="445F5F22"/>
    <w:rsid w:val="44D01669"/>
    <w:rsid w:val="44F2368F"/>
    <w:rsid w:val="458601C6"/>
    <w:rsid w:val="45CE4A1B"/>
    <w:rsid w:val="45E246F4"/>
    <w:rsid w:val="461B7925"/>
    <w:rsid w:val="461D0212"/>
    <w:rsid w:val="463C07F3"/>
    <w:rsid w:val="464756DB"/>
    <w:rsid w:val="466504C2"/>
    <w:rsid w:val="4692052E"/>
    <w:rsid w:val="46C0506A"/>
    <w:rsid w:val="470B61AF"/>
    <w:rsid w:val="470C3F16"/>
    <w:rsid w:val="471A7CA7"/>
    <w:rsid w:val="47621D3C"/>
    <w:rsid w:val="476E1465"/>
    <w:rsid w:val="47777BC1"/>
    <w:rsid w:val="479122C3"/>
    <w:rsid w:val="480559E6"/>
    <w:rsid w:val="481F5071"/>
    <w:rsid w:val="483B44C3"/>
    <w:rsid w:val="48C53338"/>
    <w:rsid w:val="4910453A"/>
    <w:rsid w:val="491D45E4"/>
    <w:rsid w:val="4986261E"/>
    <w:rsid w:val="49FA5C62"/>
    <w:rsid w:val="4A374A77"/>
    <w:rsid w:val="4B925DB4"/>
    <w:rsid w:val="4B964B58"/>
    <w:rsid w:val="4C791821"/>
    <w:rsid w:val="4D901930"/>
    <w:rsid w:val="4D9C1311"/>
    <w:rsid w:val="4DA13EFC"/>
    <w:rsid w:val="4DAA0ACB"/>
    <w:rsid w:val="4DC17B58"/>
    <w:rsid w:val="4DCD369E"/>
    <w:rsid w:val="4E207F77"/>
    <w:rsid w:val="4E405E86"/>
    <w:rsid w:val="4F1C2BA7"/>
    <w:rsid w:val="4F717B9B"/>
    <w:rsid w:val="4F7E44A1"/>
    <w:rsid w:val="4FBD66D2"/>
    <w:rsid w:val="4FDE0035"/>
    <w:rsid w:val="500D1959"/>
    <w:rsid w:val="503043E2"/>
    <w:rsid w:val="5050382B"/>
    <w:rsid w:val="506D097D"/>
    <w:rsid w:val="51DE596C"/>
    <w:rsid w:val="51ED678A"/>
    <w:rsid w:val="520668F0"/>
    <w:rsid w:val="52AE51FA"/>
    <w:rsid w:val="52CC2690"/>
    <w:rsid w:val="53143CF9"/>
    <w:rsid w:val="531F0D11"/>
    <w:rsid w:val="53322DCA"/>
    <w:rsid w:val="542F1EBF"/>
    <w:rsid w:val="543C4E80"/>
    <w:rsid w:val="545F1FF7"/>
    <w:rsid w:val="54657E0D"/>
    <w:rsid w:val="547E70F1"/>
    <w:rsid w:val="54D10F28"/>
    <w:rsid w:val="54D53C9C"/>
    <w:rsid w:val="550305C3"/>
    <w:rsid w:val="55D83CEB"/>
    <w:rsid w:val="564872E2"/>
    <w:rsid w:val="56CC5979"/>
    <w:rsid w:val="57034B85"/>
    <w:rsid w:val="57472184"/>
    <w:rsid w:val="589E16F5"/>
    <w:rsid w:val="589F63B4"/>
    <w:rsid w:val="58A26C33"/>
    <w:rsid w:val="58AD4FD4"/>
    <w:rsid w:val="59905774"/>
    <w:rsid w:val="599E59E1"/>
    <w:rsid w:val="59C82306"/>
    <w:rsid w:val="59E1598B"/>
    <w:rsid w:val="5A07397F"/>
    <w:rsid w:val="5AE561D2"/>
    <w:rsid w:val="5B0315D4"/>
    <w:rsid w:val="5B093A34"/>
    <w:rsid w:val="5B0E5F58"/>
    <w:rsid w:val="5B180F7F"/>
    <w:rsid w:val="5C510837"/>
    <w:rsid w:val="5D8B09FB"/>
    <w:rsid w:val="5D91560D"/>
    <w:rsid w:val="5E9B4D4C"/>
    <w:rsid w:val="5EE14150"/>
    <w:rsid w:val="5F0C08CE"/>
    <w:rsid w:val="5F584AF9"/>
    <w:rsid w:val="5F592FD8"/>
    <w:rsid w:val="601D7135"/>
    <w:rsid w:val="60594271"/>
    <w:rsid w:val="60FD6A51"/>
    <w:rsid w:val="61A84D55"/>
    <w:rsid w:val="621F016F"/>
    <w:rsid w:val="62641897"/>
    <w:rsid w:val="63143D27"/>
    <w:rsid w:val="6363707C"/>
    <w:rsid w:val="639D589A"/>
    <w:rsid w:val="63A25134"/>
    <w:rsid w:val="63E45B69"/>
    <w:rsid w:val="63F41951"/>
    <w:rsid w:val="64BF65EF"/>
    <w:rsid w:val="64DD2406"/>
    <w:rsid w:val="65565234"/>
    <w:rsid w:val="66360F04"/>
    <w:rsid w:val="663E3F8E"/>
    <w:rsid w:val="66534FCB"/>
    <w:rsid w:val="67224A18"/>
    <w:rsid w:val="67E64DE1"/>
    <w:rsid w:val="681158B8"/>
    <w:rsid w:val="681E547B"/>
    <w:rsid w:val="6826003B"/>
    <w:rsid w:val="684A0535"/>
    <w:rsid w:val="685D50B9"/>
    <w:rsid w:val="68604028"/>
    <w:rsid w:val="6877527C"/>
    <w:rsid w:val="687C5B03"/>
    <w:rsid w:val="68BA38D2"/>
    <w:rsid w:val="68F84508"/>
    <w:rsid w:val="691A3E13"/>
    <w:rsid w:val="69400176"/>
    <w:rsid w:val="69597AAC"/>
    <w:rsid w:val="69B25200"/>
    <w:rsid w:val="69C21C8E"/>
    <w:rsid w:val="69F651A9"/>
    <w:rsid w:val="6A400F1A"/>
    <w:rsid w:val="6A557958"/>
    <w:rsid w:val="6A6A5E6B"/>
    <w:rsid w:val="6A7B3046"/>
    <w:rsid w:val="6A8D6A74"/>
    <w:rsid w:val="6AA1155F"/>
    <w:rsid w:val="6AF16947"/>
    <w:rsid w:val="6B2973E9"/>
    <w:rsid w:val="6BB460E2"/>
    <w:rsid w:val="6BEB4471"/>
    <w:rsid w:val="6C164FA6"/>
    <w:rsid w:val="6C311483"/>
    <w:rsid w:val="6C4130FD"/>
    <w:rsid w:val="6C4B028D"/>
    <w:rsid w:val="6C95291B"/>
    <w:rsid w:val="6C9B7DB3"/>
    <w:rsid w:val="6CAB2D78"/>
    <w:rsid w:val="6DAA7E7A"/>
    <w:rsid w:val="6E750E3C"/>
    <w:rsid w:val="6E7F5F1F"/>
    <w:rsid w:val="6E915828"/>
    <w:rsid w:val="6F1A5A2C"/>
    <w:rsid w:val="6F3C54D1"/>
    <w:rsid w:val="6FBC358D"/>
    <w:rsid w:val="7037710B"/>
    <w:rsid w:val="70743667"/>
    <w:rsid w:val="707849CA"/>
    <w:rsid w:val="70A54C4E"/>
    <w:rsid w:val="70A76EDF"/>
    <w:rsid w:val="70AD3EBF"/>
    <w:rsid w:val="70C43920"/>
    <w:rsid w:val="70F53323"/>
    <w:rsid w:val="70F66CB4"/>
    <w:rsid w:val="71785460"/>
    <w:rsid w:val="71D33F8D"/>
    <w:rsid w:val="71ED3EDE"/>
    <w:rsid w:val="72133397"/>
    <w:rsid w:val="725B06D5"/>
    <w:rsid w:val="73133219"/>
    <w:rsid w:val="73572DC2"/>
    <w:rsid w:val="73AB6FCB"/>
    <w:rsid w:val="73B63B41"/>
    <w:rsid w:val="73BC27AF"/>
    <w:rsid w:val="73FD0A4F"/>
    <w:rsid w:val="74F37794"/>
    <w:rsid w:val="755D4229"/>
    <w:rsid w:val="756E6B34"/>
    <w:rsid w:val="75F82DC6"/>
    <w:rsid w:val="76A5521A"/>
    <w:rsid w:val="76E23986"/>
    <w:rsid w:val="770A5A76"/>
    <w:rsid w:val="775E62AF"/>
    <w:rsid w:val="779A2B2D"/>
    <w:rsid w:val="77D906E2"/>
    <w:rsid w:val="77DF6BBA"/>
    <w:rsid w:val="782920CD"/>
    <w:rsid w:val="78415904"/>
    <w:rsid w:val="784B3700"/>
    <w:rsid w:val="78B20FFE"/>
    <w:rsid w:val="78C5681C"/>
    <w:rsid w:val="799034D8"/>
    <w:rsid w:val="79997DD2"/>
    <w:rsid w:val="79A807A2"/>
    <w:rsid w:val="79C95DCF"/>
    <w:rsid w:val="79D00547"/>
    <w:rsid w:val="79FA0E27"/>
    <w:rsid w:val="79FA5671"/>
    <w:rsid w:val="79FD5E30"/>
    <w:rsid w:val="7A320CF1"/>
    <w:rsid w:val="7B772498"/>
    <w:rsid w:val="7BAB5164"/>
    <w:rsid w:val="7BAD01C9"/>
    <w:rsid w:val="7BC66859"/>
    <w:rsid w:val="7BE81934"/>
    <w:rsid w:val="7C08172E"/>
    <w:rsid w:val="7C3B6AD3"/>
    <w:rsid w:val="7C3D2061"/>
    <w:rsid w:val="7C3E4691"/>
    <w:rsid w:val="7C7846C0"/>
    <w:rsid w:val="7C956391"/>
    <w:rsid w:val="7CE65B62"/>
    <w:rsid w:val="7D4B4B42"/>
    <w:rsid w:val="7D4E6070"/>
    <w:rsid w:val="7D6C38B7"/>
    <w:rsid w:val="7D747F20"/>
    <w:rsid w:val="7DAA0228"/>
    <w:rsid w:val="7DE85E17"/>
    <w:rsid w:val="7E044AA8"/>
    <w:rsid w:val="7E3B1311"/>
    <w:rsid w:val="7ED12811"/>
    <w:rsid w:val="7EDD18F9"/>
    <w:rsid w:val="7EE07871"/>
    <w:rsid w:val="7F6D495A"/>
    <w:rsid w:val="7F814722"/>
    <w:rsid w:val="7F9D0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table of figures"/>
    <w:basedOn w:val="1"/>
    <w:next w:val="1"/>
    <w:qFormat/>
    <w:uiPriority w:val="99"/>
    <w:pPr>
      <w:ind w:leftChars="200" w:hanging="200" w:hangingChars="200"/>
      <w:jc w:val="left"/>
    </w:pPr>
    <w:rPr>
      <w:rFonts w:hint="eastAsia" w:ascii="宋体" w:hAnsi="宋体" w:eastAsia="宋体" w:cs="宋体"/>
      <w:kern w:val="0"/>
      <w:sz w:val="24"/>
      <w:szCs w:val="24"/>
      <w:lang w:val="en-US" w:eastAsia="zh-CN" w:bidi="ar"/>
    </w:rPr>
  </w:style>
  <w:style w:type="paragraph" w:styleId="4">
    <w:name w:val="Body Text Indent"/>
    <w:basedOn w:val="1"/>
    <w:next w:val="5"/>
    <w:qFormat/>
    <w:uiPriority w:val="6"/>
    <w:pPr>
      <w:ind w:firstLine="567"/>
      <w:jc w:val="both"/>
    </w:pPr>
    <w:rPr>
      <w:kern w:val="1"/>
      <w:sz w:val="28"/>
    </w:rPr>
  </w:style>
  <w:style w:type="paragraph" w:styleId="5">
    <w:name w:val="Body Text First Indent 2"/>
    <w:basedOn w:val="4"/>
    <w:next w:val="6"/>
    <w:qFormat/>
    <w:uiPriority w:val="0"/>
    <w:pPr>
      <w:ind w:firstLine="420" w:firstLineChars="200"/>
    </w:pPr>
  </w:style>
  <w:style w:type="paragraph" w:styleId="6">
    <w:name w:val="Plain Text"/>
    <w:basedOn w:val="1"/>
    <w:unhideWhenUsed/>
    <w:qFormat/>
    <w:uiPriority w:val="99"/>
    <w:rPr>
      <w:rFonts w:ascii="宋体" w:hAnsi="Courier New"/>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toc 2"/>
    <w:basedOn w:val="1"/>
    <w:next w:val="1"/>
    <w:unhideWhenUsed/>
    <w:qFormat/>
    <w:uiPriority w:val="39"/>
    <w:pPr>
      <w:tabs>
        <w:tab w:val="right" w:leader="dot" w:pos="8296"/>
      </w:tabs>
      <w:ind w:left="420" w:leftChars="200"/>
    </w:pPr>
  </w:style>
  <w:style w:type="paragraph" w:styleId="11">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4">
    <w:name w:val="Strong"/>
    <w:basedOn w:val="13"/>
    <w:qFormat/>
    <w:uiPriority w:val="0"/>
    <w:rPr>
      <w:b/>
    </w:rPr>
  </w:style>
  <w:style w:type="character" w:styleId="15">
    <w:name w:val="Hyperlink"/>
    <w:basedOn w:val="13"/>
    <w:qFormat/>
    <w:uiPriority w:val="0"/>
    <w:rPr>
      <w:color w:val="0000FF"/>
      <w:u w:val="none"/>
    </w:rPr>
  </w:style>
  <w:style w:type="paragraph" w:styleId="16">
    <w:name w:val="List Paragraph"/>
    <w:basedOn w:val="1"/>
    <w:qFormat/>
    <w:uiPriority w:val="34"/>
    <w:pPr>
      <w:ind w:firstLine="420" w:firstLineChars="200"/>
    </w:p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19">
    <w:name w:val="普通(网站)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0">
    <w:name w:val="15"/>
    <w:basedOn w:val="13"/>
    <w:qFormat/>
    <w:uiPriority w:val="0"/>
    <w:rPr>
      <w:rFonts w:hint="default" w:ascii="Times New Roman" w:hAnsi="Times New Roman" w:cs="Times New Roman"/>
      <w:b/>
    </w:rPr>
  </w:style>
  <w:style w:type="character" w:customStyle="1" w:styleId="21">
    <w:name w:val="16"/>
    <w:basedOn w:val="13"/>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oleObject" Target="embeddings/oleObject2.bin"/><Relationship Id="rId7" Type="http://schemas.openxmlformats.org/officeDocument/2006/relationships/oleObject" Target="embeddings/oleObject1.bin"/><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收入支出上下年对比图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2022年</c:v>
                </c:pt>
                <c:pt idx="1">
                  <c:v>2021年</c:v>
                </c:pt>
              </c:strCache>
            </c:strRef>
          </c:cat>
          <c:val>
            <c:numRef>
              <c:f>Sheet1!$B$2:$B$3</c:f>
              <c:numCache>
                <c:formatCode>General</c:formatCode>
                <c:ptCount val="2"/>
                <c:pt idx="0">
                  <c:v>336.16</c:v>
                </c:pt>
                <c:pt idx="1">
                  <c:v>279.21</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2022年</c:v>
                </c:pt>
                <c:pt idx="1">
                  <c:v>2021年</c:v>
                </c:pt>
              </c:strCache>
            </c:strRef>
          </c:cat>
          <c:val>
            <c:numRef>
              <c:f>Sheet1!$C$2:$C$3</c:f>
              <c:numCache>
                <c:formatCode>General</c:formatCode>
                <c:ptCount val="2"/>
                <c:pt idx="0">
                  <c:v>336.16</c:v>
                </c:pt>
                <c:pt idx="1">
                  <c:v>279.21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2021年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71021406"/>
        <c:axId val="744813058"/>
      </c:barChart>
      <c:catAx>
        <c:axId val="5710214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4813058"/>
        <c:crosses val="autoZero"/>
        <c:auto val="1"/>
        <c:lblAlgn val="ctr"/>
        <c:lblOffset val="100"/>
        <c:noMultiLvlLbl val="0"/>
      </c:catAx>
      <c:valAx>
        <c:axId val="7448130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102140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收入组成结构图</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一般公共财政拨款</c:v>
                </c:pt>
              </c:strCache>
            </c:strRef>
          </c:cat>
          <c:val>
            <c:numRef>
              <c:f>Sheet1!$B$2</c:f>
              <c:numCache>
                <c:formatCode>General</c:formatCode>
                <c:ptCount val="1"/>
                <c:pt idx="0">
                  <c:v>336.16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支出构成</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基本支出</c:v>
                </c:pt>
              </c:strCache>
            </c:strRef>
          </c:cat>
          <c:val>
            <c:numRef>
              <c:f>Sheet1!$B$2</c:f>
              <c:numCache>
                <c:formatCode>General</c:formatCode>
                <c:ptCount val="1"/>
                <c:pt idx="0">
                  <c:v>336.16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279.31</c:v>
                </c:pt>
                <c:pt idx="1">
                  <c:v>279.31</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336.16</c:v>
                </c:pt>
                <c:pt idx="1">
                  <c:v>336.16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c:f>
              <c:strCache>
                <c:ptCount val="1"/>
                <c:pt idx="0">
                  <c:v>一般公共财政拨款支出</c:v>
                </c:pt>
              </c:strCache>
            </c:strRef>
          </c:cat>
          <c:val>
            <c:numRef>
              <c:f>Sheet1!$B$2</c:f>
              <c:numCache>
                <c:formatCode>General</c:formatCode>
                <c:ptCount val="1"/>
                <c:pt idx="0">
                  <c:v>279.21</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c:f>
              <c:strCache>
                <c:ptCount val="1"/>
                <c:pt idx="0">
                  <c:v>一般公共财政拨款支出</c:v>
                </c:pt>
              </c:strCache>
            </c:strRef>
          </c:cat>
          <c:val>
            <c:numRef>
              <c:f>Sheet1!$C$2</c:f>
              <c:numCache>
                <c:formatCode>General</c:formatCode>
                <c:ptCount val="1"/>
                <c:pt idx="0">
                  <c:v>336.16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85493246"/>
        <c:axId val="342343358"/>
      </c:barChart>
      <c:catAx>
        <c:axId val="6854932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2343358"/>
        <c:crosses val="autoZero"/>
        <c:auto val="1"/>
        <c:lblAlgn val="ctr"/>
        <c:lblOffset val="100"/>
        <c:noMultiLvlLbl val="0"/>
      </c:catAx>
      <c:valAx>
        <c:axId val="3423433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49324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254.31</c:v>
                </c:pt>
                <c:pt idx="1">
                  <c:v>42.29</c:v>
                </c:pt>
                <c:pt idx="2">
                  <c:v>17.37</c:v>
                </c:pt>
                <c:pt idx="3">
                  <c:v>22.19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2.62</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user</cp:lastModifiedBy>
  <dcterms:modified xsi:type="dcterms:W3CDTF">2023-10-30T03:05:03Z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BD2BD8E52C4247A38740A508D7F092DB_13</vt:lpwstr>
  </property>
</Properties>
</file>