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4"/>
          <w:rFonts w:hint="eastAsia" w:ascii="方正小标宋简体" w:hAnsi="方正小标宋简体" w:eastAsia="方正小标宋简体" w:cs="方正小标宋简体"/>
          <w:sz w:val="44"/>
          <w:szCs w:val="44"/>
          <w:shd w:val="clear" w:color="auto" w:fill="FFFFFF"/>
        </w:rPr>
        <w:t>202</w:t>
      </w:r>
      <w:r>
        <w:rPr>
          <w:rStyle w:val="14"/>
          <w:rFonts w:hint="eastAsia" w:ascii="方正小标宋简体" w:hAnsi="方正小标宋简体" w:eastAsia="方正小标宋简体" w:cs="方正小标宋简体"/>
          <w:sz w:val="44"/>
          <w:szCs w:val="44"/>
          <w:shd w:val="clear" w:color="auto" w:fill="FFFFFF"/>
          <w:lang w:val="en-US" w:eastAsia="zh-CN"/>
        </w:rPr>
        <w:t>1</w:t>
      </w:r>
      <w:r>
        <w:rPr>
          <w:rStyle w:val="14"/>
          <w:rFonts w:hint="eastAsia" w:ascii="方正小标宋简体" w:hAnsi="方正小标宋简体" w:eastAsia="方正小标宋简体" w:cs="方正小标宋简体"/>
          <w:sz w:val="44"/>
          <w:szCs w:val="44"/>
          <w:shd w:val="clear" w:color="auto" w:fill="FFFFFF"/>
        </w:rPr>
        <w:t>年度</w:t>
      </w:r>
    </w:p>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4"/>
          <w:rFonts w:hint="eastAsia" w:ascii="方正小标宋简体" w:hAnsi="方正小标宋简体" w:eastAsia="方正小标宋简体" w:cs="方正小标宋简体"/>
          <w:sz w:val="44"/>
          <w:szCs w:val="44"/>
          <w:shd w:val="clear" w:color="auto" w:fill="FFFFFF"/>
          <w:lang w:eastAsia="zh-CN"/>
        </w:rPr>
        <w:t>中共红原县委机构编制委员会办公室</w:t>
      </w:r>
      <w:r>
        <w:rPr>
          <w:rStyle w:val="14"/>
          <w:rFonts w:hint="eastAsia" w:ascii="方正小标宋简体" w:hAnsi="方正小标宋简体" w:eastAsia="方正小标宋简体" w:cs="方正小标宋简体"/>
          <w:sz w:val="44"/>
          <w:szCs w:val="44"/>
          <w:shd w:val="clear" w:color="auto" w:fill="FFFFFF"/>
        </w:rPr>
        <w:t>部门决算</w:t>
      </w:r>
      <w:r>
        <w:rPr>
          <w:rStyle w:val="14"/>
          <w:rFonts w:hint="eastAsia" w:ascii="方正小标宋简体" w:hAnsi="方正小标宋简体" w:eastAsia="方正小标宋简体" w:cs="方正小标宋简体"/>
          <w:sz w:val="44"/>
          <w:szCs w:val="44"/>
          <w:shd w:val="clear" w:color="auto" w:fill="FFFFFF"/>
          <w:lang w:eastAsia="zh-CN"/>
        </w:rPr>
        <w:t>公开编制说明</w:t>
      </w: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pPr>
      <w:r>
        <w:rPr>
          <w:sz w:val="24"/>
          <w:szCs w:val="24"/>
          <w:shd w:val="clear" w:color="auto" w:fill="FFFFFF"/>
        </w:rPr>
        <w:t>保密审查情况：已审查，内容审定</w:t>
      </w:r>
    </w:p>
    <w:p>
      <w:pPr>
        <w:pStyle w:val="11"/>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1"/>
        <w:keepNext w:val="0"/>
        <w:keepLines w:val="0"/>
        <w:widowControl/>
        <w:suppressLineNumbers w:val="0"/>
        <w:ind w:left="0" w:right="75"/>
        <w:jc w:val="both"/>
        <w:rPr>
          <w:rStyle w:val="14"/>
          <w:sz w:val="30"/>
          <w:szCs w:val="30"/>
          <w:shd w:val="clear" w:color="auto" w:fill="FFFFFF"/>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pStyle w:val="11"/>
        <w:keepNext w:val="0"/>
        <w:keepLines w:val="0"/>
        <w:widowControl/>
        <w:suppressLineNumbers w:val="0"/>
        <w:ind w:left="0" w:right="75"/>
        <w:jc w:val="center"/>
      </w:pPr>
      <w:r>
        <w:rPr>
          <w:rStyle w:val="14"/>
          <w:sz w:val="30"/>
          <w:szCs w:val="30"/>
          <w:shd w:val="clear" w:color="auto" w:fill="FFFFFF"/>
        </w:rPr>
        <w:t>目 录</w:t>
      </w:r>
    </w:p>
    <w:p>
      <w:pPr>
        <w:pStyle w:val="11"/>
        <w:keepNext w:val="0"/>
        <w:keepLines w:val="0"/>
        <w:widowControl/>
        <w:suppressLineNumbers w:val="0"/>
        <w:ind w:left="0" w:right="75"/>
        <w:jc w:val="center"/>
        <w:rPr>
          <w:rFonts w:hint="eastAsia"/>
        </w:rPr>
      </w:pPr>
      <w:r>
        <w:rPr>
          <w:sz w:val="24"/>
          <w:szCs w:val="24"/>
          <w:shd w:val="clear" w:color="auto" w:fill="FFFFFF"/>
        </w:rPr>
        <w:t xml:space="preserve">公开时间：2021年 </w:t>
      </w:r>
      <w:r>
        <w:rPr>
          <w:rFonts w:hint="eastAsia"/>
          <w:sz w:val="24"/>
          <w:szCs w:val="24"/>
          <w:shd w:val="clear" w:color="auto" w:fill="FFFFFF"/>
          <w:lang w:val="en-US" w:eastAsia="zh-CN"/>
        </w:rPr>
        <w:t>12</w:t>
      </w:r>
      <w:r>
        <w:rPr>
          <w:sz w:val="24"/>
          <w:szCs w:val="24"/>
          <w:shd w:val="clear" w:color="auto" w:fill="FFFFFF"/>
        </w:rPr>
        <w:t>月</w:t>
      </w:r>
      <w:r>
        <w:rPr>
          <w:rFonts w:hint="eastAsia"/>
          <w:sz w:val="24"/>
          <w:szCs w:val="24"/>
          <w:shd w:val="clear" w:color="auto" w:fill="FFFFFF"/>
          <w:lang w:val="en-US" w:eastAsia="zh-CN"/>
        </w:rPr>
        <w:t>7</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：红原县人大办202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r>
            <w:rPr>
              <w:rFonts w:hint="eastAsia" w:ascii="仿宋_GB2312" w:hAnsi="仿宋_GB2312" w:eastAsia="仿宋_GB2312" w:cs="仿宋_GB2312"/>
              <w:sz w:val="30"/>
              <w:szCs w:val="30"/>
            </w:rPr>
            <w:fldChar w:fldCharType="end"/>
          </w:r>
        </w:p>
      </w:sdtContent>
    </w:sdt>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sectPr>
          <w:footerReference r:id="rId5" w:type="default"/>
          <w:pgSz w:w="11906" w:h="16838"/>
          <w:pgMar w:top="1440" w:right="1800" w:bottom="1440" w:left="1800" w:header="851" w:footer="992" w:gutter="0"/>
          <w:pgNumType w:fmt="decimal" w:start="1"/>
          <w:cols w:space="720" w:num="1"/>
          <w:docGrid w:type="lines" w:linePitch="312" w:charSpace="0"/>
        </w:sectPr>
      </w:pPr>
      <w:bookmarkStart w:id="0" w:name="_Toc27360"/>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11"/>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1"/>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0" w:firstLineChars="100"/>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1" w:firstLineChars="10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1</w:t>
      </w:r>
      <w:r>
        <w:rPr>
          <w:rFonts w:hint="eastAsia" w:ascii="楷体_GB2312" w:hAnsi="楷体_GB2312" w:eastAsia="楷体_GB2312" w:cs="楷体_GB2312"/>
          <w:b/>
          <w:bCs/>
          <w:sz w:val="32"/>
          <w:szCs w:val="32"/>
          <w:shd w:val="clear" w:color="auto" w:fill="FFFFFF"/>
        </w:rPr>
        <w:t>年重点工作完成情况。</w:t>
      </w:r>
    </w:p>
    <w:p>
      <w:pPr>
        <w:keepNext w:val="0"/>
        <w:keepLines w:val="0"/>
        <w:widowControl w:val="0"/>
        <w:suppressLineNumbers w:val="0"/>
        <w:autoSpaceDE w:val="0"/>
        <w:autoSpaceDN/>
        <w:spacing w:line="576" w:lineRule="exact"/>
        <w:ind w:left="0" w:firstLine="643" w:firstLineChars="200"/>
        <w:rPr>
          <w:rFonts w:hint="eastAsia" w:ascii="仿宋_GB2312" w:eastAsia="仿宋_GB2312" w:cs="仿宋_GB2312"/>
          <w:b w:val="0"/>
          <w:kern w:val="0"/>
          <w:sz w:val="32"/>
          <w:szCs w:val="32"/>
        </w:rPr>
      </w:pPr>
      <w:bookmarkStart w:id="2" w:name="_Toc10295"/>
      <w:r>
        <w:rPr>
          <w:rFonts w:hint="eastAsia" w:ascii="楷体_GB2312" w:eastAsia="楷体_GB2312" w:cs="楷体_GB2312"/>
          <w:b/>
          <w:color w:val="000000"/>
          <w:kern w:val="0"/>
          <w:sz w:val="32"/>
          <w:szCs w:val="32"/>
        </w:rPr>
        <w:t>1.充分发挥机构编制“总闸门”作用。</w:t>
      </w:r>
      <w:r>
        <w:rPr>
          <w:rFonts w:hint="eastAsia" w:ascii="仿宋_GB2312" w:eastAsia="仿宋_GB2312" w:cs="仿宋_GB2312"/>
          <w:kern w:val="0"/>
          <w:sz w:val="32"/>
          <w:szCs w:val="32"/>
        </w:rPr>
        <w:t>县委编办严格执行《红原县机关事业单位人员调动管理办法》，严禁超编进人，在严管“进口”的同时监督“出口”。组织、人社部门严格依据机构编制部门批准的机构编制事项和核定编制数，按照有关规定在编制和职数限额内提拔、录用、招考、安置人员，不得超编进人，不得超职数配备领导干部。</w:t>
      </w:r>
    </w:p>
    <w:p>
      <w:pPr>
        <w:keepNext w:val="0"/>
        <w:keepLines w:val="0"/>
        <w:widowControl w:val="0"/>
        <w:suppressLineNumbers w:val="0"/>
        <w:autoSpaceDE/>
        <w:autoSpaceDN w:val="0"/>
        <w:spacing w:line="576" w:lineRule="exact"/>
        <w:ind w:left="0" w:firstLine="643" w:firstLineChars="200"/>
        <w:rPr>
          <w:rFonts w:hint="eastAsia" w:ascii="仿宋_GB2312" w:eastAsia="仿宋_GB2312" w:cs="仿宋_GB2312"/>
          <w:kern w:val="0"/>
          <w:sz w:val="32"/>
          <w:szCs w:val="32"/>
        </w:rPr>
      </w:pPr>
      <w:r>
        <w:rPr>
          <w:rFonts w:hint="eastAsia" w:ascii="楷体_GB2312" w:eastAsia="楷体_GB2312" w:cs="楷体_GB2312"/>
          <w:b/>
          <w:kern w:val="0"/>
          <w:sz w:val="32"/>
          <w:szCs w:val="32"/>
        </w:rPr>
        <w:t>2.实行实名制维护工作“双重”管理。</w:t>
      </w:r>
      <w:r>
        <w:rPr>
          <w:rFonts w:hint="eastAsia" w:ascii="仿宋_GB2312" w:hAnsi="华文中宋" w:eastAsia="仿宋_GB2312" w:cs="仿宋_GB2312"/>
          <w:color w:val="000000"/>
          <w:kern w:val="0"/>
          <w:sz w:val="32"/>
          <w:szCs w:val="32"/>
        </w:rPr>
        <w:t>为</w:t>
      </w:r>
      <w:r>
        <w:rPr>
          <w:rFonts w:hint="eastAsia" w:ascii="仿宋_GB2312" w:hAnsi="宋体" w:eastAsia="仿宋_GB2312" w:cs="仿宋_GB2312"/>
          <w:kern w:val="0"/>
          <w:sz w:val="32"/>
          <w:szCs w:val="32"/>
        </w:rPr>
        <w:t>切实加强实名制录入库信息</w:t>
      </w:r>
      <w:r>
        <w:rPr>
          <w:rFonts w:hint="eastAsia" w:ascii="仿宋_GB2312" w:hAnsi="华文中宋" w:eastAsia="仿宋_GB2312" w:cs="仿宋_GB2312"/>
          <w:color w:val="000000"/>
          <w:kern w:val="0"/>
          <w:sz w:val="32"/>
          <w:szCs w:val="32"/>
        </w:rPr>
        <w:t>和数据更新工作，我办实行编制卡片和实名制系统</w:t>
      </w:r>
      <w:r>
        <w:rPr>
          <w:rFonts w:hint="eastAsia" w:ascii="仿宋_GB2312" w:hAnsi="华文中宋" w:eastAsia="仿宋_GB2312" w:cs="宋体"/>
          <w:color w:val="000000"/>
          <w:kern w:val="0"/>
          <w:sz w:val="32"/>
          <w:szCs w:val="32"/>
        </w:rPr>
        <w:t>“双重”管理，确</w:t>
      </w:r>
      <w:r>
        <w:rPr>
          <w:rFonts w:hint="eastAsia" w:ascii="仿宋_GB2312" w:eastAsia="仿宋_GB2312" w:cs="仿宋_GB2312"/>
          <w:color w:val="000000"/>
          <w:kern w:val="0"/>
          <w:sz w:val="32"/>
          <w:szCs w:val="32"/>
        </w:rPr>
        <w:t>保数据及时更新。</w:t>
      </w:r>
      <w:r>
        <w:rPr>
          <w:rFonts w:hint="eastAsia" w:ascii="仿宋_GB2312" w:eastAsia="仿宋_GB2312" w:cs="仿宋_GB2312"/>
          <w:kern w:val="0"/>
          <w:sz w:val="32"/>
          <w:szCs w:val="32"/>
        </w:rPr>
        <w:t>对每个在编人员实行卡片式动态管理，建立了《人员编制卡》，编制到人，卡随人动，有力杜绝了人员的漏统，树立了机构编制工作的权威性。</w:t>
      </w:r>
    </w:p>
    <w:p>
      <w:pPr>
        <w:pStyle w:val="2"/>
        <w:keepNext w:val="0"/>
        <w:keepLines w:val="0"/>
        <w:widowControl/>
        <w:suppressLineNumbers w:val="0"/>
        <w:rPr>
          <w:rFonts w:hint="eastAsia" w:ascii="仿宋_GB2312" w:hAnsi="宋体" w:eastAsia="仿宋_GB2312" w:cs="宋体"/>
          <w:kern w:val="0"/>
          <w:sz w:val="32"/>
          <w:szCs w:val="32"/>
        </w:rPr>
      </w:pPr>
      <w:r>
        <w:rPr>
          <w:rFonts w:hint="eastAsia" w:ascii="楷体_GB2312" w:eastAsia="楷体_GB2312" w:cs="楷体_GB2312"/>
          <w:b/>
          <w:kern w:val="2"/>
          <w:sz w:val="32"/>
          <w:szCs w:val="32"/>
        </w:rPr>
        <w:t>3.顺利完成了乡镇换届机构保障工作。</w:t>
      </w:r>
      <w:r>
        <w:rPr>
          <w:rFonts w:hint="eastAsia" w:ascii="仿宋_GB2312" w:eastAsia="仿宋_GB2312" w:cs="仿宋_GB2312"/>
          <w:kern w:val="0"/>
          <w:sz w:val="32"/>
          <w:szCs w:val="32"/>
        </w:rPr>
        <w:t>根据县乡换届工作方案，结合实际，根据各乡镇的区划大小进行领导职数的核定，合理完成了11职和10职的配备。</w:t>
      </w:r>
    </w:p>
    <w:p>
      <w:pPr>
        <w:pStyle w:val="11"/>
        <w:keepNext w:val="0"/>
        <w:keepLines w:val="0"/>
        <w:widowControl/>
        <w:suppressLineNumbers w:val="0"/>
        <w:ind w:left="0" w:right="75"/>
        <w:outlineLvl w:val="1"/>
        <w:rPr>
          <w:rFonts w:hint="eastAsia" w:ascii="黑体" w:hAnsi="黑体" w:eastAsia="黑体" w:cs="黑体"/>
          <w:sz w:val="32"/>
          <w:szCs w:val="32"/>
        </w:rPr>
      </w:pPr>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eastAsia="仿宋_GB2312" w:cs="仿宋_GB2312"/>
          <w:kern w:val="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eastAsia="zh-CN"/>
        </w:rPr>
        <w:t>中共红原县委机构编制委员会办公室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bookmarkStart w:id="3" w:name="_Toc6796"/>
      <w:r>
        <w:rPr>
          <w:rFonts w:hint="eastAsia" w:ascii="仿宋_GB2312" w:eastAsia="仿宋_GB2312" w:cs="仿宋_GB2312"/>
          <w:kern w:val="0"/>
          <w:sz w:val="32"/>
          <w:szCs w:val="32"/>
          <w:shd w:val="clear" w:fill="FFFFFF"/>
        </w:rPr>
        <w:t xml:space="preserve"> </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rPr>
        <w:t>年底我单位共有编制</w:t>
      </w:r>
      <w:r>
        <w:rPr>
          <w:rFonts w:hint="eastAsia" w:ascii="仿宋_GB2312" w:eastAsia="仿宋_GB2312" w:cs="仿宋_GB2312"/>
          <w:kern w:val="0"/>
          <w:sz w:val="32"/>
          <w:szCs w:val="32"/>
          <w:shd w:val="clear" w:fill="FFFFFF"/>
        </w:rPr>
        <w:t>1</w:t>
      </w:r>
      <w:r>
        <w:rPr>
          <w:rFonts w:hint="eastAsia" w:ascii="仿宋_GB2312" w:eastAsia="仿宋_GB2312" w:cs="仿宋_GB2312"/>
          <w:kern w:val="0"/>
          <w:sz w:val="32"/>
          <w:szCs w:val="32"/>
          <w:shd w:val="clear" w:fill="FFFFFF"/>
          <w:lang w:val="en-US" w:eastAsia="zh-CN"/>
        </w:rPr>
        <w:t>8</w:t>
      </w:r>
      <w:r>
        <w:rPr>
          <w:rFonts w:hint="eastAsia" w:ascii="仿宋_GB2312" w:eastAsia="仿宋_GB2312" w:cs="仿宋_GB2312"/>
          <w:kern w:val="0"/>
          <w:sz w:val="32"/>
          <w:szCs w:val="32"/>
          <w:shd w:val="clear" w:fill="FFFFFF"/>
          <w:lang w:eastAsia="zh-CN"/>
        </w:rPr>
        <w:t>个</w:t>
      </w:r>
      <w:r>
        <w:rPr>
          <w:rFonts w:hint="eastAsia" w:ascii="仿宋_GB2312" w:eastAsia="仿宋_GB2312" w:cs="仿宋_GB2312"/>
          <w:kern w:val="0"/>
          <w:sz w:val="32"/>
          <w:szCs w:val="32"/>
          <w:shd w:val="clear" w:fill="FFFFFF"/>
        </w:rPr>
        <w:t>，</w:t>
      </w:r>
      <w:r>
        <w:rPr>
          <w:rFonts w:hint="eastAsia" w:ascii="仿宋_GB2312" w:eastAsia="仿宋_GB2312" w:cs="仿宋_GB2312"/>
          <w:kern w:val="0"/>
          <w:sz w:val="32"/>
          <w:szCs w:val="32"/>
          <w:shd w:val="clear" w:fill="FFFFFF"/>
          <w:lang w:eastAsia="zh-CN"/>
        </w:rPr>
        <w:t>其中公务员编制</w:t>
      </w:r>
      <w:r>
        <w:rPr>
          <w:rFonts w:hint="eastAsia" w:ascii="仿宋_GB2312" w:eastAsia="仿宋_GB2312" w:cs="仿宋_GB2312"/>
          <w:kern w:val="0"/>
          <w:sz w:val="32"/>
          <w:szCs w:val="32"/>
          <w:shd w:val="clear" w:fill="FFFFFF"/>
          <w:lang w:val="en-US" w:eastAsia="zh-CN"/>
        </w:rPr>
        <w:t>6</w:t>
      </w:r>
      <w:r>
        <w:rPr>
          <w:rFonts w:hint="eastAsia" w:ascii="仿宋_GB2312" w:eastAsia="仿宋_GB2312" w:cs="仿宋_GB2312"/>
          <w:kern w:val="0"/>
          <w:sz w:val="32"/>
          <w:szCs w:val="32"/>
          <w:shd w:val="clear" w:fill="FFFFFF"/>
          <w:lang w:eastAsia="zh-CN"/>
        </w:rPr>
        <w:t>个，</w:t>
      </w:r>
      <w:r>
        <w:rPr>
          <w:rFonts w:hint="eastAsia" w:ascii="仿宋_GB2312" w:hAnsi="仿宋_GB2312" w:eastAsia="仿宋_GB2312" w:cs="仿宋_GB2312"/>
          <w:bCs/>
          <w:sz w:val="32"/>
          <w:szCs w:val="32"/>
          <w:lang w:eastAsia="zh-CN"/>
        </w:rPr>
        <w:t>机关</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1个,参公编制7个，事业编制4个，</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4人，事业2人。</w:t>
      </w:r>
    </w:p>
    <w:p>
      <w:pPr>
        <w:pStyle w:val="11"/>
        <w:keepNext w:val="0"/>
        <w:keepLines w:val="0"/>
        <w:widowControl/>
        <w:suppressLineNumbers w:val="0"/>
        <w:ind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1</w:t>
      </w:r>
      <w:r>
        <w:rPr>
          <w:rFonts w:hint="eastAsia" w:ascii="黑体" w:hAnsi="黑体" w:eastAsia="黑体" w:cs="黑体"/>
          <w:sz w:val="44"/>
          <w:szCs w:val="44"/>
          <w:shd w:val="clear" w:color="auto" w:fill="FFFFFF"/>
        </w:rPr>
        <w:t>年度部门决算情况说明</w:t>
      </w:r>
      <w:bookmarkEnd w:id="3"/>
    </w:p>
    <w:p>
      <w:pPr>
        <w:pStyle w:val="11"/>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_GB2312" w:eastAsia="仿宋_GB2312" w:cs="仿宋_GB2312"/>
          <w:kern w:val="0"/>
          <w:sz w:val="32"/>
          <w:szCs w:val="32"/>
          <w:shd w:val="clear" w:fill="FFFFFF"/>
          <w:lang w:val="en-US" w:eastAsia="zh-CN"/>
        </w:rPr>
        <w:t>2021年度收入279.21</w:t>
      </w:r>
      <w:r>
        <w:rPr>
          <w:rFonts w:hint="eastAsia" w:ascii="仿宋_GB2312" w:eastAsia="仿宋_GB2312" w:cs="仿宋_GB2312"/>
          <w:kern w:val="0"/>
          <w:sz w:val="32"/>
          <w:szCs w:val="32"/>
          <w:shd w:val="clear" w:fill="FFFFFF"/>
        </w:rPr>
        <w:t>万元，</w:t>
      </w:r>
      <w:r>
        <w:rPr>
          <w:rFonts w:hint="eastAsia" w:ascii="仿宋_GB2312" w:eastAsia="仿宋_GB2312" w:cs="仿宋_GB2312"/>
          <w:kern w:val="0"/>
          <w:sz w:val="32"/>
          <w:szCs w:val="32"/>
          <w:shd w:val="clear" w:fill="FFFFFF"/>
          <w:lang w:eastAsia="zh-CN"/>
        </w:rPr>
        <w:t>支出</w:t>
      </w:r>
      <w:r>
        <w:rPr>
          <w:rFonts w:hint="eastAsia" w:ascii="仿宋_GB2312" w:eastAsia="仿宋_GB2312" w:cs="仿宋_GB2312"/>
          <w:kern w:val="0"/>
          <w:sz w:val="32"/>
          <w:szCs w:val="32"/>
          <w:shd w:val="clear" w:fill="FFFFFF"/>
          <w:lang w:val="en-US" w:eastAsia="zh-CN"/>
        </w:rPr>
        <w:t>279.21万元</w:t>
      </w:r>
      <w:r>
        <w:rPr>
          <w:rFonts w:hint="eastAsia" w:ascii="仿宋_GB2312" w:eastAsia="仿宋_GB2312" w:cs="仿宋_GB2312"/>
          <w:kern w:val="0"/>
          <w:sz w:val="32"/>
          <w:szCs w:val="32"/>
          <w:shd w:val="clear" w:fill="FFFFFF"/>
          <w:lang w:eastAsia="zh-CN"/>
        </w:rPr>
        <w:t>。资金与</w:t>
      </w:r>
      <w:r>
        <w:rPr>
          <w:rFonts w:hint="eastAsia" w:ascii="仿宋_GB2312" w:eastAsia="仿宋_GB2312" w:cs="仿宋_GB2312"/>
          <w:kern w:val="0"/>
          <w:sz w:val="32"/>
          <w:szCs w:val="32"/>
          <w:shd w:val="clear" w:fill="FFFFFF"/>
          <w:lang w:val="en-US" w:eastAsia="zh-CN"/>
        </w:rPr>
        <w:t>2020年相比，收入增加了48.50万元，上升了21.02%，支出增加了48.50万元，上升了21.02%，</w:t>
      </w:r>
      <w:r>
        <w:rPr>
          <w:rStyle w:val="20"/>
          <w:rFonts w:hint="eastAsia" w:ascii="仿宋_GB2312" w:eastAsia="仿宋_GB2312" w:cs="仿宋_GB2312"/>
          <w:b/>
          <w:sz w:val="32"/>
          <w:szCs w:val="32"/>
          <w:shd w:val="clear" w:fill="FFFFFF"/>
        </w:rPr>
        <w:t>主要原因为</w:t>
      </w:r>
      <w:r>
        <w:rPr>
          <w:rStyle w:val="21"/>
          <w:rFonts w:hint="eastAsia" w:ascii="仿宋_GB2312" w:hAnsi="Times New Roman" w:eastAsia="仿宋_GB2312" w:cs="仿宋_GB2312"/>
          <w:b/>
          <w:sz w:val="32"/>
          <w:szCs w:val="32"/>
          <w:shd w:val="clear" w:fill="FFFFFF"/>
        </w:rPr>
        <w:t>本年度新增参公人员一名和新增办公用房维修项目</w:t>
      </w:r>
      <w:r>
        <w:rPr>
          <w:rFonts w:hint="eastAsia" w:ascii="仿宋_GB2312" w:eastAsia="仿宋_GB2312" w:cs="仿宋_GB2312"/>
          <w:kern w:val="0"/>
          <w:sz w:val="32"/>
          <w:szCs w:val="32"/>
          <w:shd w:val="clear" w:fill="FFFFFF"/>
        </w:rPr>
        <w:t>。</w:t>
      </w:r>
    </w:p>
    <w:p>
      <w:pPr>
        <w:spacing w:line="600" w:lineRule="exact"/>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2"/>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1"/>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279.21万元</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9">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10">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2021年本年支出合计</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%；上缴上级支出0.00万元，占0.00%；经营支出0.00万元，占经营支出0.00万元，占 0.00%；对附属单位补助支出0.00万元，占0.00%</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1"/>
        <w:keepNext w:val="0"/>
        <w:keepLines w:val="0"/>
        <w:widowControl/>
        <w:suppressLineNumbers w:val="0"/>
        <w:ind w:left="0" w:right="75"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48.50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21.02</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48.50万元，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21.02</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Style w:val="20"/>
          <w:rFonts w:hint="eastAsia" w:ascii="仿宋_GB2312" w:eastAsia="仿宋_GB2312" w:cs="仿宋_GB2312"/>
          <w:b/>
          <w:sz w:val="32"/>
          <w:szCs w:val="32"/>
          <w:shd w:val="clear" w:fill="FFFFFF"/>
        </w:rPr>
        <w:t>主要原因为</w:t>
      </w:r>
      <w:r>
        <w:rPr>
          <w:rStyle w:val="21"/>
          <w:rFonts w:hint="eastAsia" w:ascii="仿宋_GB2312" w:hAnsi="Times New Roman" w:eastAsia="仿宋_GB2312" w:cs="仿宋_GB2312"/>
          <w:b/>
          <w:sz w:val="32"/>
          <w:szCs w:val="32"/>
          <w:shd w:val="clear" w:fill="FFFFFF"/>
        </w:rPr>
        <w:t>本年度新增参公人员一名和新增办公用房维修项目</w:t>
      </w:r>
      <w:r>
        <w:rPr>
          <w:rFonts w:hint="eastAsia" w:ascii="仿宋_GB2312" w:eastAsia="仿宋_GB2312" w:cs="仿宋_GB2312"/>
          <w:kern w:val="0"/>
          <w:sz w:val="32"/>
          <w:szCs w:val="32"/>
          <w:shd w:val="clear" w:fill="FFFFFF"/>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1"/>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（一）一般公共预算财政拨款支出决算总体情况</w:t>
      </w:r>
    </w:p>
    <w:p>
      <w:pPr>
        <w:pStyle w:val="11"/>
        <w:keepNext w:val="0"/>
        <w:keepLines w:val="0"/>
        <w:widowControl/>
        <w:suppressLineNumbers w:val="0"/>
        <w:ind w:left="0" w:right="75"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48.50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21.02</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Style w:val="20"/>
          <w:rFonts w:hint="eastAsia" w:ascii="仿宋_GB2312" w:eastAsia="仿宋_GB2312" w:cs="仿宋_GB2312"/>
          <w:b/>
          <w:sz w:val="32"/>
          <w:szCs w:val="32"/>
          <w:shd w:val="clear" w:fill="FFFFFF"/>
        </w:rPr>
        <w:t>主要原因为</w:t>
      </w:r>
      <w:r>
        <w:rPr>
          <w:rStyle w:val="21"/>
          <w:rFonts w:hint="eastAsia" w:ascii="仿宋_GB2312" w:hAnsi="Times New Roman" w:eastAsia="仿宋_GB2312" w:cs="仿宋_GB2312"/>
          <w:b/>
          <w:sz w:val="32"/>
          <w:szCs w:val="32"/>
          <w:shd w:val="clear" w:fill="FFFFFF"/>
        </w:rPr>
        <w:t>本年度新增参公人员一名和新增办公用房维修项目</w:t>
      </w:r>
      <w:r>
        <w:rPr>
          <w:rFonts w:hint="eastAsia" w:ascii="仿宋_GB2312" w:eastAsia="仿宋_GB2312" w:cs="仿宋_GB2312"/>
          <w:kern w:val="0"/>
          <w:sz w:val="32"/>
          <w:szCs w:val="32"/>
          <w:shd w:val="clear" w:fill="FFFFFF"/>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11"/>
        <w:keepNext w:val="0"/>
        <w:keepLines w:val="0"/>
        <w:widowControl/>
        <w:numPr>
          <w:ilvl w:val="0"/>
          <w:numId w:val="2"/>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一般公共预算财政拨款支出决算结构情况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4"/>
          <w:rFonts w:hint="default" w:ascii="仿宋" w:hAnsi="仿宋" w:eastAsia="仿宋" w:cs="Times New Roman"/>
          <w:b w:val="0"/>
          <w:bCs/>
          <w:color w:val="000000"/>
          <w:kern w:val="2"/>
          <w:sz w:val="32"/>
          <w:szCs w:val="32"/>
          <w:shd w:val="clear"/>
          <w:lang w:val="en-US" w:eastAsia="zh-CN" w:bidi="ar-SA"/>
        </w:rPr>
      </w:pPr>
      <w:r>
        <w:rPr>
          <w:rStyle w:val="14"/>
          <w:rFonts w:hint="default" w:ascii="仿宋" w:hAnsi="仿宋" w:eastAsia="仿宋" w:cs="Times New Roman"/>
          <w:b w:val="0"/>
          <w:bCs/>
          <w:color w:val="000000"/>
          <w:kern w:val="2"/>
          <w:sz w:val="32"/>
          <w:szCs w:val="32"/>
          <w:shd w:val="clear"/>
          <w:lang w:val="en-US" w:eastAsia="zh-CN" w:bidi="ar-SA"/>
        </w:rPr>
        <w:t>2021年一般公共预算财政拨款支出</w:t>
      </w:r>
      <w:r>
        <w:rPr>
          <w:rStyle w:val="14"/>
          <w:rFonts w:hint="eastAsia" w:ascii="仿宋" w:hAnsi="仿宋" w:eastAsia="仿宋" w:cs="Times New Roman"/>
          <w:b w:val="0"/>
          <w:bCs/>
          <w:color w:val="000000"/>
          <w:kern w:val="2"/>
          <w:sz w:val="32"/>
          <w:szCs w:val="32"/>
          <w:shd w:val="clear"/>
          <w:lang w:val="en-US" w:eastAsia="zh-CN" w:bidi="ar-SA"/>
        </w:rPr>
        <w:t>279.21</w:t>
      </w:r>
      <w:r>
        <w:rPr>
          <w:rStyle w:val="14"/>
          <w:rFonts w:hint="default" w:ascii="仿宋" w:hAnsi="仿宋" w:eastAsia="仿宋" w:cs="Times New Roman"/>
          <w:b w:val="0"/>
          <w:bCs/>
          <w:color w:val="000000"/>
          <w:kern w:val="2"/>
          <w:sz w:val="32"/>
          <w:szCs w:val="32"/>
          <w:shd w:val="clear"/>
          <w:lang w:val="en-US" w:eastAsia="zh-CN" w:bidi="ar-SA"/>
        </w:rPr>
        <w:t>万元，主要用于以下方面:一般公共服务（类）支出</w:t>
      </w:r>
      <w:r>
        <w:rPr>
          <w:rStyle w:val="14"/>
          <w:rFonts w:hint="eastAsia" w:ascii="仿宋" w:hAnsi="仿宋" w:eastAsia="仿宋" w:cs="Times New Roman"/>
          <w:b w:val="0"/>
          <w:bCs/>
          <w:color w:val="000000"/>
          <w:kern w:val="2"/>
          <w:sz w:val="32"/>
          <w:szCs w:val="32"/>
          <w:shd w:val="clear"/>
          <w:lang w:val="en-US" w:eastAsia="zh-CN" w:bidi="ar-SA"/>
        </w:rPr>
        <w:t>214.97</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76.99</w:t>
      </w:r>
      <w:r>
        <w:rPr>
          <w:rStyle w:val="14"/>
          <w:rFonts w:hint="default" w:ascii="仿宋" w:hAnsi="仿宋" w:eastAsia="仿宋" w:cs="Times New Roman"/>
          <w:b w:val="0"/>
          <w:bCs/>
          <w:color w:val="000000"/>
          <w:kern w:val="2"/>
          <w:sz w:val="32"/>
          <w:szCs w:val="32"/>
          <w:shd w:val="clear"/>
          <w:lang w:val="en-US" w:eastAsia="zh-CN" w:bidi="ar-SA"/>
        </w:rPr>
        <w:t>%；社会保障和就业（类）支出</w:t>
      </w:r>
      <w:r>
        <w:rPr>
          <w:rStyle w:val="14"/>
          <w:rFonts w:hint="eastAsia" w:ascii="仿宋" w:hAnsi="仿宋" w:eastAsia="仿宋" w:cs="Times New Roman"/>
          <w:b w:val="0"/>
          <w:bCs/>
          <w:color w:val="000000"/>
          <w:kern w:val="2"/>
          <w:sz w:val="32"/>
          <w:szCs w:val="32"/>
          <w:shd w:val="clear"/>
          <w:lang w:val="en-US" w:eastAsia="zh-CN" w:bidi="ar-SA"/>
        </w:rPr>
        <w:t>31.62</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11.32</w:t>
      </w:r>
      <w:r>
        <w:rPr>
          <w:rStyle w:val="14"/>
          <w:rFonts w:hint="default" w:ascii="仿宋" w:hAnsi="仿宋" w:eastAsia="仿宋" w:cs="Times New Roman"/>
          <w:b w:val="0"/>
          <w:bCs/>
          <w:color w:val="000000"/>
          <w:kern w:val="2"/>
          <w:sz w:val="32"/>
          <w:szCs w:val="32"/>
          <w:shd w:val="clear"/>
          <w:lang w:val="en-US" w:eastAsia="zh-CN" w:bidi="ar-SA"/>
        </w:rPr>
        <w:t>%；卫生健康支出</w:t>
      </w:r>
      <w:r>
        <w:rPr>
          <w:rStyle w:val="14"/>
          <w:rFonts w:hint="eastAsia" w:ascii="仿宋" w:hAnsi="仿宋" w:eastAsia="仿宋" w:cs="Times New Roman"/>
          <w:b w:val="0"/>
          <w:bCs/>
          <w:color w:val="000000"/>
          <w:kern w:val="2"/>
          <w:sz w:val="32"/>
          <w:szCs w:val="32"/>
          <w:shd w:val="clear"/>
          <w:lang w:val="en-US" w:eastAsia="zh-CN" w:bidi="ar-SA"/>
        </w:rPr>
        <w:t>12.71</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4.55</w:t>
      </w:r>
      <w:r>
        <w:rPr>
          <w:rStyle w:val="14"/>
          <w:rFonts w:hint="default" w:ascii="仿宋" w:hAnsi="仿宋" w:eastAsia="仿宋" w:cs="Times New Roman"/>
          <w:b w:val="0"/>
          <w:bCs/>
          <w:color w:val="000000"/>
          <w:kern w:val="2"/>
          <w:sz w:val="32"/>
          <w:szCs w:val="32"/>
          <w:shd w:val="clear"/>
          <w:lang w:val="en-US" w:eastAsia="zh-CN" w:bidi="ar-SA"/>
        </w:rPr>
        <w:t>%；住房保障支出</w:t>
      </w:r>
      <w:r>
        <w:rPr>
          <w:rStyle w:val="14"/>
          <w:rFonts w:hint="eastAsia" w:ascii="仿宋" w:hAnsi="仿宋" w:eastAsia="仿宋" w:cs="Times New Roman"/>
          <w:b w:val="0"/>
          <w:bCs/>
          <w:color w:val="000000"/>
          <w:kern w:val="2"/>
          <w:sz w:val="32"/>
          <w:szCs w:val="32"/>
          <w:shd w:val="clear"/>
          <w:lang w:val="en-US" w:eastAsia="zh-CN" w:bidi="ar-SA"/>
        </w:rPr>
        <w:t>19.91</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7.14</w:t>
      </w:r>
      <w:r>
        <w:rPr>
          <w:rStyle w:val="14"/>
          <w:rFonts w:hint="default" w:ascii="仿宋" w:hAnsi="仿宋" w:eastAsia="仿宋" w:cs="Times New Roman"/>
          <w:b w:val="0"/>
          <w:bCs/>
          <w:color w:val="000000"/>
          <w:kern w:val="2"/>
          <w:sz w:val="32"/>
          <w:szCs w:val="32"/>
          <w:shd w:val="clear"/>
          <w:lang w:val="en-US" w:eastAsia="zh-CN" w:bidi="ar-SA"/>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4"/>
          <w:rFonts w:hint="default" w:ascii="仿宋" w:hAnsi="仿宋" w:eastAsia="仿宋" w:cs="Times New Roman"/>
          <w:b w:val="0"/>
          <w:bCs/>
          <w:color w:val="000000"/>
          <w:kern w:val="2"/>
          <w:sz w:val="32"/>
          <w:szCs w:val="32"/>
          <w:shd w:val="clear"/>
          <w:lang w:val="en-US" w:eastAsia="zh-CN" w:bidi="ar-SA"/>
        </w:rPr>
      </w:pPr>
    </w:p>
    <w:p>
      <w:pPr>
        <w:pStyle w:val="11"/>
        <w:keepNext w:val="0"/>
        <w:keepLines w:val="0"/>
        <w:widowControl/>
        <w:numPr>
          <w:ilvl w:val="0"/>
          <w:numId w:val="0"/>
        </w:numPr>
        <w:suppressLineNumbers w:val="0"/>
        <w:ind w:right="75" w:rightChars="0"/>
        <w:rPr>
          <w:rStyle w:val="14"/>
          <w:rFonts w:hint="eastAsia" w:ascii="仿宋_GB2312" w:hAnsi="仿宋_GB2312" w:eastAsia="仿宋" w:cs="仿宋_GB2312"/>
          <w:sz w:val="32"/>
          <w:szCs w:val="32"/>
          <w:shd w:val="clear" w:color="auto" w:fill="FFFFFF"/>
          <w:lang w:eastAsia="zh-CN"/>
        </w:rPr>
      </w:pPr>
      <w:r>
        <w:rPr>
          <w:rFonts w:hint="eastAsia" w:ascii="仿宋" w:hAnsi="仿宋" w:eastAsia="仿宋"/>
          <w:color w:val="000000"/>
          <w:sz w:val="32"/>
          <w:szCs w:val="32"/>
          <w:lang w:eastAsia="zh-CN"/>
        </w:rPr>
        <w:drawing>
          <wp:anchor distT="0" distB="0" distL="114300" distR="114300" simplePos="0" relativeHeight="251660288"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图</w:t>
      </w:r>
      <w:r>
        <w:rPr>
          <w:rFonts w:hint="eastAsia" w:ascii="仿宋" w:hAnsi="仿宋" w:eastAsia="仿宋"/>
          <w:color w:val="000000"/>
          <w:sz w:val="32"/>
          <w:szCs w:val="32"/>
        </w:rPr>
        <w:t>（饼状</w:t>
      </w:r>
      <w:r>
        <w:rPr>
          <w:rFonts w:hint="eastAsia" w:ascii="仿宋" w:hAnsi="仿宋" w:eastAsia="仿宋"/>
          <w:color w:val="000000"/>
          <w:sz w:val="32"/>
          <w:szCs w:val="32"/>
          <w:lang w:eastAsia="zh-CN"/>
        </w:rPr>
        <w:t>图）</w:t>
      </w:r>
    </w:p>
    <w:p>
      <w:pPr>
        <w:pStyle w:val="11"/>
        <w:keepNext w:val="0"/>
        <w:keepLines w:val="0"/>
        <w:widowControl/>
        <w:numPr>
          <w:ilvl w:val="0"/>
          <w:numId w:val="2"/>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444"/>
      <w:bookmarkStart w:id="10" w:name="_Toc15377213"/>
      <w:bookmarkStart w:id="11" w:name="_Toc15378460"/>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279.21</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一般公共服务</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2013101-</w:t>
      </w:r>
      <w:r>
        <w:rPr>
          <w:rStyle w:val="14"/>
          <w:rFonts w:hint="eastAsia" w:ascii="仿宋" w:hAnsi="仿宋" w:eastAsia="仿宋"/>
          <w:b w:val="0"/>
          <w:bCs/>
          <w:color w:val="000000"/>
          <w:sz w:val="32"/>
          <w:szCs w:val="32"/>
        </w:rPr>
        <w:t>行政运行支出决算为</w:t>
      </w:r>
      <w:r>
        <w:rPr>
          <w:rStyle w:val="14"/>
          <w:rFonts w:hint="eastAsia" w:ascii="仿宋" w:hAnsi="仿宋" w:eastAsia="仿宋"/>
          <w:b w:val="0"/>
          <w:bCs/>
          <w:color w:val="000000"/>
          <w:sz w:val="32"/>
          <w:szCs w:val="32"/>
          <w:lang w:val="en-US" w:eastAsia="zh-CN"/>
        </w:rPr>
        <w:t>165.10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，主要用于开支日常公用经费及人员经费；</w:t>
      </w:r>
      <w:r>
        <w:rPr>
          <w:rStyle w:val="14"/>
          <w:rFonts w:hint="eastAsia" w:ascii="仿宋" w:hAnsi="仿宋" w:eastAsia="仿宋"/>
          <w:b w:val="0"/>
          <w:bCs/>
          <w:color w:val="000000"/>
          <w:sz w:val="32"/>
          <w:szCs w:val="32"/>
          <w:lang w:val="en-US" w:eastAsia="zh-CN"/>
        </w:rPr>
        <w:t>2011302-</w:t>
      </w:r>
      <w:r>
        <w:rPr>
          <w:rStyle w:val="14"/>
          <w:rFonts w:hint="eastAsia" w:ascii="仿宋" w:hAnsi="仿宋" w:eastAsia="仿宋"/>
          <w:b w:val="0"/>
          <w:bCs/>
          <w:color w:val="000000"/>
          <w:sz w:val="32"/>
          <w:szCs w:val="32"/>
          <w:lang w:eastAsia="zh-CN"/>
        </w:rPr>
        <w:t>一般行政管理事务</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13.42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，主要用于专项公用经费；</w:t>
      </w:r>
      <w:r>
        <w:rPr>
          <w:rStyle w:val="14"/>
          <w:rFonts w:hint="eastAsia" w:ascii="仿宋" w:hAnsi="仿宋" w:eastAsia="仿宋"/>
          <w:b w:val="0"/>
          <w:bCs/>
          <w:color w:val="000000"/>
          <w:sz w:val="32"/>
          <w:szCs w:val="32"/>
          <w:lang w:val="en-US" w:eastAsia="zh-CN"/>
        </w:rPr>
        <w:t>2013150</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事业运行</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36.45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，主要用于主要事业用于开支日常公用经费及人员经费；</w:t>
      </w:r>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社会保障和就业</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2080505</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rPr>
        <w:t>机关事业单位基本养老保险缴费支出决算为</w:t>
      </w:r>
      <w:r>
        <w:rPr>
          <w:rStyle w:val="14"/>
          <w:rFonts w:hint="eastAsia" w:ascii="仿宋" w:hAnsi="仿宋" w:eastAsia="仿宋"/>
          <w:b w:val="0"/>
          <w:bCs/>
          <w:color w:val="000000"/>
          <w:sz w:val="32"/>
          <w:szCs w:val="32"/>
          <w:lang w:val="en-US" w:eastAsia="zh-CN"/>
        </w:rPr>
        <w:t>21.08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全部用于职工缴纳养老保险单位部分；2080506</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机关事业单位职业年金缴费支出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10.54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eastAsia="zh-CN"/>
        </w:rPr>
        <w:t>2101101</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行政单位医疗支出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7.99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，全部用于职工缴纳医疗保险单位部分；210110</w:t>
      </w:r>
      <w:r>
        <w:rPr>
          <w:rStyle w:val="14"/>
          <w:rFonts w:hint="eastAsia" w:ascii="仿宋" w:hAnsi="仿宋" w:eastAsia="仿宋"/>
          <w:b w:val="0"/>
          <w:bCs/>
          <w:color w:val="000000"/>
          <w:sz w:val="32"/>
          <w:szCs w:val="32"/>
          <w:lang w:val="en-US" w:eastAsia="zh-CN"/>
        </w:rPr>
        <w:t>2</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事业单位医疗支出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2.01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，全部用于职工缴纳医疗保险单位部分，2101103</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公务员医疗补助支出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,2.24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，全部用于职工公务员补充医保</w:t>
      </w:r>
      <w:r>
        <w:rPr>
          <w:rStyle w:val="14"/>
          <w:rFonts w:hint="eastAsia" w:ascii="仿宋" w:hAnsi="仿宋" w:eastAsia="仿宋"/>
          <w:b w:val="0"/>
          <w:bCs/>
          <w:color w:val="000000"/>
          <w:sz w:val="32"/>
          <w:szCs w:val="32"/>
          <w:lang w:val="en-US" w:eastAsia="zh-CN"/>
        </w:rPr>
        <w:t>,2101199-其他选择事业单位医疗支出决算数为0.47万元，完成预算100%，全部用于行政事业单位医疗方面的支出</w:t>
      </w:r>
      <w:r>
        <w:rPr>
          <w:rStyle w:val="14"/>
          <w:rFonts w:hint="eastAsia" w:ascii="仿宋" w:hAnsi="仿宋" w:eastAsia="仿宋"/>
          <w:b w:val="0"/>
          <w:bCs/>
          <w:color w:val="000000"/>
          <w:sz w:val="32"/>
          <w:szCs w:val="32"/>
          <w:lang w:eastAsia="zh-CN"/>
        </w:rPr>
        <w:t>。</w:t>
      </w:r>
    </w:p>
    <w:p>
      <w:pPr>
        <w:numPr>
          <w:ilvl w:val="0"/>
          <w:numId w:val="3"/>
        </w:numPr>
        <w:tabs>
          <w:tab w:val="clear" w:pos="312"/>
        </w:tabs>
        <w:spacing w:line="600" w:lineRule="exact"/>
        <w:ind w:left="0" w:leftChars="0" w:firstLine="643" w:firstLineChars="200"/>
        <w:rPr>
          <w:rStyle w:val="14"/>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4"/>
          <w:rFonts w:hint="eastAsia" w:ascii="仿宋" w:hAnsi="仿宋" w:eastAsia="仿宋"/>
          <w:b w:val="0"/>
          <w:bCs/>
          <w:color w:val="000000"/>
          <w:sz w:val="32"/>
          <w:szCs w:val="32"/>
          <w:lang w:val="en-US" w:eastAsia="zh-CN"/>
        </w:rPr>
        <w:t>2210201-住房公积金</w:t>
      </w:r>
      <w:r>
        <w:rPr>
          <w:rStyle w:val="14"/>
          <w:rFonts w:hint="eastAsia" w:ascii="仿宋" w:hAnsi="仿宋" w:eastAsia="仿宋"/>
          <w:b w:val="0"/>
          <w:bCs/>
          <w:color w:val="000000"/>
          <w:sz w:val="32"/>
          <w:szCs w:val="32"/>
          <w:lang w:eastAsia="zh-CN"/>
        </w:rPr>
        <w:t>支出决</w:t>
      </w:r>
      <w:r>
        <w:rPr>
          <w:rStyle w:val="14"/>
          <w:rFonts w:hint="eastAsia" w:ascii="仿宋" w:hAnsi="仿宋" w:eastAsia="仿宋"/>
          <w:b w:val="0"/>
          <w:bCs/>
          <w:color w:val="000000"/>
          <w:sz w:val="32"/>
          <w:szCs w:val="32"/>
        </w:rPr>
        <w:t>算为</w:t>
      </w:r>
      <w:r>
        <w:rPr>
          <w:rStyle w:val="14"/>
          <w:rFonts w:hint="eastAsia" w:ascii="仿宋" w:hAnsi="仿宋" w:eastAsia="仿宋"/>
          <w:b w:val="0"/>
          <w:bCs/>
          <w:color w:val="000000"/>
          <w:sz w:val="32"/>
          <w:szCs w:val="32"/>
          <w:lang w:val="en-US" w:eastAsia="zh-CN"/>
        </w:rPr>
        <w:t>19.91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，全部用于职工缴纳住房公积金单位部分。</w:t>
      </w:r>
    </w:p>
    <w:p>
      <w:pPr>
        <w:pStyle w:val="11"/>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279.21</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251.39</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50.17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115.64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3.52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绩效工资</w:t>
      </w:r>
      <w:r>
        <w:rPr>
          <w:rFonts w:hint="eastAsia" w:ascii="仿宋" w:hAnsi="仿宋" w:eastAsia="仿宋"/>
          <w:color w:val="000000"/>
          <w:sz w:val="32"/>
          <w:szCs w:val="32"/>
          <w:lang w:val="en-US" w:eastAsia="zh-CN"/>
        </w:rPr>
        <w:t>6.54万元、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21.08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10.54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2.25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10.00</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2.71</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19.91</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lang w:eastAsia="zh-CN"/>
        </w:rPr>
        <w:t>万元、奖励金</w:t>
      </w:r>
      <w:r>
        <w:rPr>
          <w:rFonts w:hint="eastAsia" w:ascii="仿宋" w:hAnsi="仿宋" w:eastAsia="仿宋"/>
          <w:color w:val="000000"/>
          <w:sz w:val="32"/>
          <w:szCs w:val="32"/>
          <w:lang w:val="en-US" w:eastAsia="zh-CN"/>
        </w:rPr>
        <w:t>0.03</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生活补助7.84万元，医疗费补助0.16万元。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14.40</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5.12</w:t>
      </w:r>
      <w:r>
        <w:rPr>
          <w:rFonts w:hint="eastAsia" w:ascii="仿宋" w:hAnsi="仿宋" w:eastAsia="仿宋"/>
          <w:color w:val="000000"/>
          <w:sz w:val="32"/>
          <w:szCs w:val="32"/>
          <w:lang w:eastAsia="zh-CN"/>
        </w:rPr>
        <w:t>万元、印刷费</w:t>
      </w:r>
      <w:r>
        <w:rPr>
          <w:rFonts w:hint="eastAsia" w:ascii="仿宋" w:hAnsi="仿宋" w:eastAsia="仿宋"/>
          <w:color w:val="000000"/>
          <w:sz w:val="32"/>
          <w:szCs w:val="32"/>
          <w:lang w:val="en-US" w:eastAsia="zh-CN"/>
        </w:rPr>
        <w:t>0.50万元，</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0.50万元，电费0.76万元，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0.50</w:t>
      </w:r>
      <w:r>
        <w:rPr>
          <w:rFonts w:hint="eastAsia" w:ascii="仿宋" w:hAnsi="仿宋" w:eastAsia="仿宋"/>
          <w:color w:val="000000"/>
          <w:sz w:val="32"/>
          <w:szCs w:val="32"/>
          <w:lang w:eastAsia="zh-CN"/>
        </w:rPr>
        <w:t>万元，差旅费</w:t>
      </w:r>
      <w:r>
        <w:rPr>
          <w:rFonts w:hint="eastAsia" w:ascii="仿宋" w:hAnsi="仿宋" w:eastAsia="仿宋"/>
          <w:color w:val="000000"/>
          <w:sz w:val="32"/>
          <w:szCs w:val="32"/>
          <w:lang w:val="en-US" w:eastAsia="zh-CN"/>
        </w:rPr>
        <w:t>3.00</w:t>
      </w:r>
      <w:r>
        <w:rPr>
          <w:rFonts w:hint="eastAsia" w:ascii="仿宋" w:hAnsi="仿宋" w:eastAsia="仿宋"/>
          <w:color w:val="000000"/>
          <w:sz w:val="32"/>
          <w:szCs w:val="32"/>
          <w:lang w:eastAsia="zh-CN"/>
        </w:rPr>
        <w:t>万元，维修（护）</w:t>
      </w:r>
      <w:r>
        <w:rPr>
          <w:rFonts w:hint="eastAsia" w:ascii="仿宋" w:hAnsi="仿宋" w:eastAsia="仿宋"/>
          <w:color w:val="000000"/>
          <w:sz w:val="32"/>
          <w:szCs w:val="32"/>
          <w:lang w:val="en-US" w:eastAsia="zh-CN"/>
        </w:rPr>
        <w:t>0.41</w:t>
      </w:r>
      <w:r>
        <w:rPr>
          <w:rFonts w:hint="eastAsia" w:ascii="仿宋" w:hAnsi="仿宋" w:eastAsia="仿宋"/>
          <w:color w:val="000000"/>
          <w:sz w:val="32"/>
          <w:szCs w:val="32"/>
          <w:lang w:eastAsia="zh-CN"/>
        </w:rPr>
        <w:t>万元，培训费</w:t>
      </w:r>
      <w:r>
        <w:rPr>
          <w:rFonts w:hint="eastAsia" w:ascii="仿宋" w:hAnsi="仿宋" w:eastAsia="仿宋"/>
          <w:color w:val="000000"/>
          <w:sz w:val="32"/>
          <w:szCs w:val="32"/>
          <w:lang w:val="en-US" w:eastAsia="zh-CN"/>
        </w:rPr>
        <w:t>1.00万元，</w:t>
      </w:r>
      <w:r>
        <w:rPr>
          <w:rFonts w:hint="eastAsia" w:ascii="仿宋" w:hAnsi="仿宋" w:eastAsia="仿宋"/>
          <w:color w:val="000000"/>
          <w:sz w:val="32"/>
          <w:szCs w:val="32"/>
          <w:lang w:eastAsia="zh-CN"/>
        </w:rPr>
        <w:t>公务用车运行维护费</w:t>
      </w:r>
      <w:r>
        <w:rPr>
          <w:rFonts w:hint="eastAsia" w:ascii="仿宋" w:hAnsi="仿宋" w:eastAsia="仿宋"/>
          <w:color w:val="000000"/>
          <w:sz w:val="32"/>
          <w:szCs w:val="32"/>
          <w:lang w:val="en-US" w:eastAsia="zh-CN"/>
        </w:rPr>
        <w:t>2.61</w:t>
      </w:r>
      <w:r>
        <w:rPr>
          <w:rFonts w:hint="eastAsia" w:ascii="仿宋" w:hAnsi="仿宋" w:eastAsia="仿宋"/>
          <w:color w:val="000000"/>
          <w:sz w:val="32"/>
          <w:szCs w:val="32"/>
          <w:lang w:eastAsia="zh-CN"/>
        </w:rPr>
        <w:t>万元。</w:t>
      </w:r>
    </w:p>
    <w:p>
      <w:pPr>
        <w:pStyle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项目支出4.99万元，包括专项公用经费办公费4.99万</w:t>
      </w:r>
    </w:p>
    <w:p>
      <w:pPr>
        <w:pStyle w:val="9"/>
        <w:ind w:left="0" w:leftChars="0" w:firstLine="0" w:firstLineChars="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元。</w:t>
      </w:r>
    </w:p>
    <w:p>
      <w:pPr>
        <w:rPr>
          <w:rFonts w:hint="default"/>
          <w:lang w:val="en-US"/>
        </w:rPr>
      </w:pPr>
      <w:r>
        <w:rPr>
          <w:rFonts w:hint="eastAsia" w:ascii="仿宋" w:hAnsi="仿宋" w:eastAsia="仿宋"/>
          <w:color w:val="000000"/>
          <w:sz w:val="32"/>
          <w:szCs w:val="32"/>
          <w:lang w:val="en-US" w:eastAsia="zh-CN"/>
        </w:rPr>
        <w:t xml:space="preserve">    资本性支出8.43万元，包括大型修缮8.43万元（办公用房维修）。</w:t>
      </w:r>
    </w:p>
    <w:p>
      <w:pPr>
        <w:pStyle w:val="11"/>
        <w:keepNext w:val="0"/>
        <w:keepLines w:val="0"/>
        <w:widowControl/>
        <w:suppressLineNumbers w:val="0"/>
        <w:shd w:val="clear" w:color="auto" w:fill="auto"/>
        <w:ind w:left="0" w:right="75"/>
        <w:jc w:val="left"/>
        <w:outlineLvl w:val="1"/>
        <w:rPr>
          <w:rFonts w:hint="eastAsia" w:ascii="黑体" w:hAnsi="黑体" w:eastAsia="黑体" w:cs="黑体"/>
          <w:color w:val="auto"/>
          <w:sz w:val="32"/>
          <w:szCs w:val="32"/>
          <w:shd w:val="clear" w:color="auto" w:fill="FFFFFF"/>
        </w:rPr>
      </w:pPr>
      <w:bookmarkStart w:id="13" w:name="_Toc18699"/>
      <w:r>
        <w:rPr>
          <w:rFonts w:hint="eastAsia" w:ascii="黑体" w:hAnsi="黑体" w:eastAsia="黑体" w:cs="黑体"/>
          <w:color w:val="auto"/>
          <w:sz w:val="32"/>
          <w:szCs w:val="32"/>
          <w:shd w:val="clear" w:color="auto" w:fill="FFFFFF"/>
        </w:rPr>
        <w:t>七、“三公”经费财政拨款支出决算情况说明</w:t>
      </w:r>
      <w:bookmarkEnd w:id="13"/>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92.91</w:t>
      </w:r>
      <w:r>
        <w:rPr>
          <w:rFonts w:ascii="仿宋" w:hAnsi="仿宋" w:eastAsia="仿宋"/>
          <w:color w:val="000000"/>
          <w:sz w:val="32"/>
          <w:szCs w:val="32"/>
        </w:rPr>
        <w:t>%</w:t>
      </w:r>
      <w:r>
        <w:rPr>
          <w:rFonts w:hint="eastAsia" w:ascii="仿宋" w:hAnsi="仿宋" w:eastAsia="仿宋"/>
          <w:color w:val="000000"/>
          <w:sz w:val="32"/>
          <w:szCs w:val="32"/>
        </w:rPr>
        <w:t>。</w:t>
      </w:r>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p>
    <w:p>
      <w:pPr>
        <w:pStyle w:val="11"/>
        <w:keepNext w:val="0"/>
        <w:keepLines w:val="0"/>
        <w:widowControl/>
        <w:numPr>
          <w:ilvl w:val="0"/>
          <w:numId w:val="4"/>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92.91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1"/>
        <w:keepNext w:val="0"/>
        <w:keepLines w:val="0"/>
        <w:widowControl/>
        <w:numPr>
          <w:ilvl w:val="0"/>
          <w:numId w:val="0"/>
        </w:numPr>
        <w:suppressLineNumbers w:val="0"/>
        <w:ind w:right="75" w:rightChars="0"/>
        <w:rPr>
          <w:rStyle w:val="14"/>
          <w:rFonts w:hint="eastAsia" w:ascii="仿宋_GB2312" w:hAnsi="仿宋_GB2312" w:eastAsia="仿宋_GB2312" w:cs="仿宋_GB2312"/>
          <w:sz w:val="32"/>
          <w:szCs w:val="32"/>
          <w:shd w:val="clear" w:color="auto" w:fill="FFFFFF"/>
          <w:lang w:eastAsia="zh-CN"/>
        </w:rPr>
      </w:pPr>
      <w:r>
        <w:rPr>
          <w:rStyle w:val="14"/>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2.62</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2020年持平。</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2.62</w:t>
      </w:r>
      <w:r>
        <w:rPr>
          <w:rFonts w:hint="eastAsia" w:ascii="仿宋_GB2312" w:hAnsi="仿宋_GB2312" w:eastAsia="仿宋_GB2312" w:cs="仿宋_GB2312"/>
          <w:color w:val="000000"/>
          <w:sz w:val="32"/>
          <w:szCs w:val="32"/>
          <w:lang w:eastAsia="zh-CN"/>
        </w:rPr>
        <w:t>万元，与</w:t>
      </w:r>
      <w:r>
        <w:rPr>
          <w:rFonts w:hint="eastAsia" w:ascii="仿宋_GB2312" w:hAnsi="仿宋_GB2312" w:eastAsia="仿宋_GB2312" w:cs="仿宋_GB2312"/>
          <w:color w:val="000000"/>
          <w:sz w:val="32"/>
          <w:szCs w:val="32"/>
          <w:lang w:val="en-US" w:eastAsia="zh-CN"/>
        </w:rPr>
        <w:t>2020年持平。</w:t>
      </w:r>
      <w:r>
        <w:rPr>
          <w:rFonts w:hint="eastAsia" w:ascii="仿宋_GB2312" w:hAnsi="仿宋_GB2312" w:eastAsia="仿宋_GB2312" w:cs="仿宋_GB2312"/>
          <w:color w:val="000000"/>
          <w:sz w:val="32"/>
          <w:szCs w:val="32"/>
          <w:lang w:eastAsia="zh-CN"/>
        </w:rPr>
        <w:t>主要用于编办工作出差、开展脱贫攻坚工作下乡等所需的公务用车燃料费、维修费、过路过桥费、保险费等支出。</w:t>
      </w:r>
    </w:p>
    <w:p>
      <w:pPr>
        <w:spacing w:line="600" w:lineRule="exact"/>
        <w:ind w:firstLine="643" w:firstLineChars="20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0.00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2020年持平。</w:t>
      </w:r>
    </w:p>
    <w:p>
      <w:pPr>
        <w:pStyle w:val="11"/>
        <w:keepNext w:val="0"/>
        <w:keepLines w:val="0"/>
        <w:widowControl/>
        <w:numPr>
          <w:ilvl w:val="0"/>
          <w:numId w:val="5"/>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5"/>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（一）机关运行经费支出情况</w:t>
      </w:r>
    </w:p>
    <w:p>
      <w:pPr>
        <w:pStyle w:val="11"/>
        <w:keepNext w:val="0"/>
        <w:keepLines w:val="0"/>
        <w:widowControl/>
        <w:suppressLineNumbers w:val="0"/>
        <w:ind w:left="0" w:right="75" w:firstLine="640" w:firstLineChars="200"/>
        <w:rPr>
          <w:rStyle w:val="14"/>
          <w:rFonts w:hint="default" w:ascii="仿宋_GB2312" w:hAnsi="仿宋_GB2312" w:eastAsia="仿宋_GB2312" w:cs="仿宋_GB2312"/>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65.2</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0.62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0.96</w:t>
      </w:r>
      <w:r>
        <w:rPr>
          <w:rFonts w:ascii="仿宋_GB2312" w:eastAsia="仿宋_GB2312"/>
          <w:color w:val="000000"/>
          <w:sz w:val="32"/>
          <w:szCs w:val="32"/>
        </w:rPr>
        <w:t>%</w:t>
      </w:r>
      <w:r>
        <w:rPr>
          <w:rFonts w:hint="eastAsia" w:ascii="仿宋_GB2312" w:eastAsia="仿宋_GB2312"/>
          <w:color w:val="000000"/>
          <w:sz w:val="32"/>
          <w:szCs w:val="32"/>
          <w:lang w:eastAsia="zh-CN"/>
        </w:rPr>
        <w:t>，与上年基本持平</w:t>
      </w:r>
      <w:r>
        <w:rPr>
          <w:rFonts w:hint="eastAsia" w:ascii="仿宋_GB2312" w:hAnsi="仿宋_GB2312" w:eastAsia="仿宋_GB2312" w:cs="仿宋_GB2312"/>
          <w:b w:val="0"/>
          <w:bCs w:val="0"/>
          <w:color w:val="000000"/>
          <w:sz w:val="32"/>
          <w:szCs w:val="32"/>
          <w:lang w:val="en-US" w:eastAsia="zh-CN"/>
        </w:rPr>
        <w:t>。</w:t>
      </w:r>
    </w:p>
    <w:p>
      <w:pPr>
        <w:pStyle w:val="11"/>
        <w:keepNext w:val="0"/>
        <w:keepLines w:val="0"/>
        <w:widowControl/>
        <w:numPr>
          <w:ilvl w:val="0"/>
          <w:numId w:val="0"/>
        </w:numPr>
        <w:suppressLineNumbers w:val="0"/>
        <w:ind w:leftChars="0" w:right="75" w:right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lang w:eastAsia="zh-CN"/>
        </w:rPr>
        <w:t>（二）</w:t>
      </w:r>
      <w:r>
        <w:rPr>
          <w:rStyle w:val="14"/>
          <w:rFonts w:hint="eastAsia" w:ascii="仿宋_GB2312" w:hAnsi="仿宋_GB2312" w:eastAsia="仿宋_GB2312" w:cs="仿宋_GB2312"/>
          <w:sz w:val="32"/>
          <w:szCs w:val="32"/>
          <w:shd w:val="clear" w:color="auto" w:fill="FFFFFF"/>
        </w:rPr>
        <w:t>政府采购支出情况</w:t>
      </w:r>
    </w:p>
    <w:p>
      <w:pPr>
        <w:spacing w:line="600" w:lineRule="exact"/>
        <w:ind w:firstLine="64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政府采购</w:t>
      </w:r>
      <w:r>
        <w:rPr>
          <w:rFonts w:hint="eastAsia" w:ascii="仿宋_GB2312" w:eastAsia="仿宋_GB2312"/>
          <w:color w:val="000000"/>
          <w:sz w:val="32"/>
          <w:szCs w:val="32"/>
        </w:rPr>
        <w:t>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红原县委编办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,25.28</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22.42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88.69</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11.31</w:t>
      </w:r>
      <w:r>
        <w:rPr>
          <w:rFonts w:hint="eastAsia" w:ascii="仿宋_GB2312" w:eastAsia="仿宋_GB2312"/>
          <w:color w:val="000000"/>
          <w:sz w:val="32"/>
          <w:szCs w:val="32"/>
        </w:rPr>
        <w:t>% 。</w:t>
      </w:r>
    </w:p>
    <w:p>
      <w:pPr>
        <w:pStyle w:val="11"/>
        <w:keepNext w:val="0"/>
        <w:keepLines w:val="0"/>
        <w:widowControl/>
        <w:numPr>
          <w:ilvl w:val="0"/>
          <w:numId w:val="4"/>
        </w:numPr>
        <w:suppressLineNumbers w:val="0"/>
        <w:shd w:val="clear" w:color="auto" w:fill="auto"/>
        <w:ind w:left="0" w:leftChars="0" w:right="75" w:firstLine="0" w:firstLineChars="0"/>
        <w:rPr>
          <w:rStyle w:val="14"/>
          <w:rFonts w:hint="eastAsia" w:ascii="仿宋_GB2312" w:hAnsi="仿宋_GB2312" w:eastAsia="仿宋_GB2312" w:cs="仿宋_GB2312"/>
          <w:sz w:val="32"/>
          <w:szCs w:val="32"/>
          <w:shd w:val="clear" w:color="auto" w:fill="FFFFFF"/>
          <w:lang w:val="en-US" w:eastAsia="zh-CN"/>
        </w:rPr>
      </w:pPr>
      <w:r>
        <w:rPr>
          <w:rStyle w:val="14"/>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本单位由养老保险机构发放养老金的退休人员2人，与上年持平。</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2个项目完成情况良好，严格按照本单位制定的目标绩效管理制度来开展绩效管理工作，项目资金为专项经费的，全部用于专项工作。整体工作开展良好经费全部按照相关管理办法使用。2021年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一般行政管理事务”2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编办中文网络域名管理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lang w:val="en-US" w:eastAsia="zh-CN"/>
        </w:rPr>
        <w:t>事业单位法人年检，法人证书登记或更换，实名制网络管理等事务所需支出，深入推进政府职能转变。</w:t>
      </w:r>
    </w:p>
    <w:p>
      <w:pPr>
        <w:numPr>
          <w:ilvl w:val="0"/>
          <w:numId w:val="7"/>
        </w:numPr>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机关事业单位干部职工人员流动编卡变动项目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对全县机关事业单位干部职工的人员编制卡的制作及更换工作，精准掌握全县干部职工的编制情况。</w:t>
      </w:r>
    </w:p>
    <w:p>
      <w:pPr>
        <w:pStyle w:val="9"/>
        <w:rPr>
          <w:rFonts w:hint="eastAsia" w:ascii="仿宋_GB2312" w:hAnsi="仿宋_GB2312" w:eastAsia="仿宋_GB2312" w:cs="仿宋_GB2312"/>
          <w:sz w:val="32"/>
          <w:szCs w:val="32"/>
          <w:lang w:eastAsia="zh-CN"/>
        </w:rPr>
      </w:pPr>
    </w:p>
    <w:p>
      <w:pPr>
        <w:rPr>
          <w:rFonts w:hint="eastAsia"/>
          <w:lang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21</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32"/>
                <w:szCs w:val="32"/>
                <w:lang w:eastAsia="zh-CN"/>
              </w:rPr>
              <w:t>编办中文网络域名管理</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事业单位法人年检，法人证书登记或更换，实名制网络管理等事务所需支出，深入推进政府职能转变</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全县共登记的事业单位87个，其中退役军人事务管理局是2020年12月新成立的事业单位，为免检单位，待注销登记事业单位3个，注销登记事业单位1个；全县共有82个事业单位进行了年度报告公示，并同时在“事业单位在线”门户网站进行公示，在公示中对18个事业单位进行变更登记，其中：5个法人变更、4个地址变更、4个业务范围变更、5个名称变更，相关档案资料已装订成册。2020年度报告公示率达100%。</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本年度</w:t>
            </w:r>
            <w:r>
              <w:rPr>
                <w:rFonts w:hint="eastAsia" w:ascii="宋体" w:eastAsia="宋体" w:cs="Arial"/>
                <w:sz w:val="21"/>
                <w:szCs w:val="21"/>
                <w:lang w:val="en-US" w:eastAsia="zh-CN"/>
              </w:rPr>
              <w:t>事业单位法人年检，法人证书登记或更换，实名制网络管理等事务所需支出，深入推进政府职能转变</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000000"/>
                <w:sz w:val="20"/>
                <w:szCs w:val="20"/>
                <w:lang w:val="en-US" w:eastAsia="zh-CN"/>
              </w:rPr>
              <w:t>全县共登记的事业单位87个，其中退役军人事务管理局是2020年12月新成立的事业单位，为免检单位，待注销登记事业单位3个，注销登记事业单位1个；全县共有82个事业单位进行了年度报告公示，并同时在“事业单位在线”门户网站进行公示，在公示中对18个事业单位进行变更登记，其中：5个法人变更、4个地址变更、4个业务范围变更、5个名称变更，相关档案资料已装订成册。2020年度报告公示率达100%。</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21</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eastAsia="宋体" w:cs="Arial"/>
                <w:sz w:val="21"/>
                <w:szCs w:val="21"/>
                <w:lang w:eastAsia="zh-CN"/>
              </w:rPr>
              <w:t>机关事业单位干部职工人员流动编卡变动</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both"/>
              <w:textAlignment w:val="center"/>
              <w:rPr>
                <w:rFonts w:hint="eastAsia" w:ascii="宋体" w:hAnsi="宋体" w:eastAsia="宋体" w:cs="宋体"/>
                <w:color w:val="000000"/>
                <w:sz w:val="24"/>
                <w:lang w:val="en-US" w:eastAsia="zh-CN"/>
              </w:rPr>
            </w:pP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val="en-US" w:eastAsia="zh-CN"/>
              </w:rPr>
              <w:t>2021年全年人员信息新录入81名、外县人员信息划入12名、外县人员信息划出32名、县内人员信息调整149名、实名制人员信息注销44名，其中退休39名、在职死亡3名，开除公职2名，辞职2名。根据以上人员变动情况，我办立即调整实名制信息，及时的更新数据，为组织、人社部门人员调任、招录等提供有效数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center"/>
              <w:textAlignment w:val="center"/>
              <w:rPr>
                <w:rFonts w:hint="default" w:ascii="宋体" w:hAnsi="宋体" w:eastAsia="宋体" w:cs="宋体"/>
                <w:color w:val="000000"/>
                <w:sz w:val="20"/>
                <w:szCs w:val="20"/>
                <w:lang w:val="en-US" w:eastAsia="zh-CN"/>
              </w:rPr>
            </w:pP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仿宋_GB2312" w:hAnsi="仿宋_GB2312" w:eastAsia="仿宋_GB2312" w:cs="仿宋_GB2312"/>
                <w:sz w:val="28"/>
                <w:szCs w:val="28"/>
                <w:lang w:val="en-US" w:eastAsia="zh-CN"/>
              </w:rPr>
              <w:t>2021年全年人员信息新录入81名、外县人员信息划入12名、外县人员信息划出32名、县内人员信息调整149名、实名制人员信息注销44名，其中退休39名、在职死亡3名，开除公职2名，辞职2名。根据以上人员变动情况，我办立即调整实名制信息，及时的更新数据，为组织、人社部门人员调任、招录等提供有效数据。</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2021年度部门整体支出绩效报告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2"/>
        <w:rPr>
          <w:rFonts w:hint="eastAsia" w:ascii="仿宋_GB2312" w:hAnsi="仿宋_GB2312" w:eastAsia="仿宋_GB2312" w:cs="仿宋_GB2312"/>
          <w:sz w:val="32"/>
          <w:szCs w:val="32"/>
        </w:rPr>
      </w:pPr>
    </w:p>
    <w:p>
      <w:pPr>
        <w:pStyle w:val="11"/>
        <w:keepNext w:val="0"/>
        <w:keepLines w:val="0"/>
        <w:widowControl/>
        <w:numPr>
          <w:ilvl w:val="0"/>
          <w:numId w:val="0"/>
        </w:numPr>
        <w:suppressLineNumbers w:val="0"/>
        <w:ind w:right="75" w:rightChars="0"/>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lang w:eastAsia="zh-CN"/>
        </w:rPr>
        <w:t>第三部分</w:t>
      </w:r>
      <w:r>
        <w:rPr>
          <w:rFonts w:hint="eastAsia" w:ascii="黑体" w:hAnsi="黑体" w:eastAsia="黑体" w:cs="黑体"/>
          <w:sz w:val="44"/>
          <w:szCs w:val="44"/>
          <w:shd w:val="clear" w:color="auto" w:fill="FFFFFF"/>
          <w:lang w:val="en-US" w:eastAsia="zh-CN"/>
        </w:rPr>
        <w:t xml:space="preserve">  </w:t>
      </w:r>
      <w:r>
        <w:rPr>
          <w:rFonts w:hint="eastAsia" w:ascii="黑体" w:hAnsi="黑体" w:eastAsia="黑体" w:cs="黑体"/>
          <w:sz w:val="44"/>
          <w:szCs w:val="44"/>
          <w:shd w:val="clear" w:color="auto" w:fill="FFFFFF"/>
        </w:rPr>
        <w:t>名词解释</w:t>
      </w:r>
      <w:bookmarkEnd w:id="17"/>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kinsoku/>
        <w:wordWrap/>
        <w:overflowPunct/>
        <w:topLinePunct w:val="0"/>
        <w:bidi w:val="0"/>
        <w:snapToGrid/>
        <w:spacing w:beforeAutospacing="0" w:afterAutospacing="0"/>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党委厅（室）及相关事务机构行政运行，反映人员经费与日常公用经费的支出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2013102指一般行政管理事务，反映县委编办专项办公费的支出。2013150指</w:t>
      </w:r>
      <w:r>
        <w:rPr>
          <w:rFonts w:hint="eastAsia" w:ascii="仿宋_GB2312" w:eastAsia="仿宋_GB2312"/>
          <w:color w:val="000000"/>
          <w:sz w:val="32"/>
          <w:szCs w:val="32"/>
          <w:lang w:eastAsia="zh-CN"/>
        </w:rPr>
        <w:t>党委厅（室）及相关事务机构事业运行</w:t>
      </w:r>
      <w:r>
        <w:rPr>
          <w:rFonts w:hint="eastAsia" w:ascii="仿宋_GB2312" w:eastAsia="仿宋_GB2312"/>
          <w:color w:val="000000"/>
          <w:sz w:val="32"/>
          <w:szCs w:val="32"/>
          <w:lang w:val="en-US" w:eastAsia="zh-CN"/>
        </w:rPr>
        <w:t>，反映事业</w:t>
      </w:r>
      <w:r>
        <w:rPr>
          <w:rFonts w:hint="eastAsia" w:ascii="仿宋_GB2312" w:eastAsia="仿宋_GB2312"/>
          <w:color w:val="000000"/>
          <w:sz w:val="32"/>
          <w:szCs w:val="32"/>
          <w:lang w:eastAsia="zh-CN"/>
        </w:rPr>
        <w:t>人员经费与日常公用经费的支出</w:t>
      </w:r>
      <w:r>
        <w:rPr>
          <w:rFonts w:hint="eastAsia" w:ascii="仿宋_GB2312" w:eastAsia="仿宋_GB2312"/>
          <w:color w:val="000000"/>
          <w:sz w:val="32"/>
          <w:szCs w:val="32"/>
          <w:lang w:val="en-US" w:eastAsia="zh-CN"/>
        </w:rPr>
        <w:t>。</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keepNext w:val="0"/>
        <w:keepLines w:val="0"/>
        <w:pageBreakBefore w:val="0"/>
        <w:widowControl/>
        <w:numPr>
          <w:ilvl w:val="0"/>
          <w:numId w:val="0"/>
        </w:numPr>
        <w:suppressLineNumbers w:val="0"/>
        <w:shd w:val="clear" w:color="auto" w:fill="auto"/>
        <w:kinsoku/>
        <w:wordWrap/>
        <w:overflowPunct/>
        <w:topLinePunct w:val="0"/>
        <w:bidi w:val="0"/>
        <w:snapToGrid/>
        <w:spacing w:before="0" w:beforeAutospacing="0" w:after="0" w:afterAutospacing="0"/>
        <w:ind w:right="75" w:rightChars="0" w:firstLine="640" w:firstLineChars="200"/>
        <w:jc w:val="both"/>
        <w:textAlignment w:val="auto"/>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1"/>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1"/>
        <w:keepNext w:val="0"/>
        <w:keepLines w:val="0"/>
        <w:widowControl/>
        <w:suppressLineNumbers w:val="0"/>
        <w:ind w:left="0" w:right="75"/>
        <w:outlineLvl w:val="1"/>
        <w:rPr>
          <w:rFonts w:hint="default"/>
          <w:lang w:val="en-US"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w:t>
      </w:r>
      <w:bookmarkEnd w:id="19"/>
      <w:r>
        <w:rPr>
          <w:rFonts w:hint="eastAsia" w:ascii="仿宋_GB2312" w:hAnsi="仿宋_GB2312" w:eastAsia="仿宋_GB2312" w:cs="仿宋_GB2312"/>
          <w:sz w:val="32"/>
          <w:szCs w:val="32"/>
          <w:shd w:val="clear" w:color="auto" w:fill="FFFFFF"/>
          <w:lang w:eastAsia="zh-CN"/>
        </w:rPr>
        <w:t>县委编办</w:t>
      </w:r>
      <w:r>
        <w:rPr>
          <w:rFonts w:hint="eastAsia" w:ascii="仿宋_GB2312" w:hAnsi="仿宋_GB2312" w:eastAsia="仿宋_GB2312" w:cs="仿宋_GB2312"/>
          <w:sz w:val="32"/>
          <w:szCs w:val="32"/>
          <w:lang w:val="en-US" w:eastAsia="zh-CN"/>
        </w:rPr>
        <w:t>2021年度部门整体支出绩效报告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方正小标宋简体" w:hAnsi="方正小标宋简体" w:eastAsia="方正小标宋简体" w:cs="方正小标宋简体"/>
          <w:b w:val="0"/>
          <w:bCs w:val="0"/>
          <w:color w:val="000000"/>
          <w:sz w:val="32"/>
          <w:szCs w:val="32"/>
          <w:lang w:val="en-US" w:eastAsia="zh-CN"/>
        </w:rPr>
      </w:pPr>
      <w:r>
        <w:rPr>
          <w:rFonts w:hint="eastAsia" w:ascii="方正小标宋简体" w:hAnsi="方正小标宋简体" w:eastAsia="方正小标宋简体" w:cs="方正小标宋简体"/>
          <w:b w:val="0"/>
          <w:bCs w:val="0"/>
          <w:color w:val="000000"/>
          <w:sz w:val="32"/>
          <w:szCs w:val="32"/>
          <w:lang w:val="en-US" w:eastAsia="zh-CN"/>
        </w:rPr>
        <w:t>中共红原县委机构编制委员会办公室2021年部门整体支出绩效报告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en-US" w:eastAsia="zh-CN"/>
        </w:rPr>
        <w:t>一、</w:t>
      </w:r>
      <w:r>
        <w:rPr>
          <w:rFonts w:hint="eastAsia" w:ascii="仿宋_GB2312" w:hAnsi="仿宋_GB2312" w:eastAsia="仿宋_GB2312" w:cs="仿宋_GB2312"/>
          <w:b/>
          <w:bCs/>
          <w:color w:val="000000"/>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（一）机构组成。</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lang w:val="en-US" w:eastAsia="zh-CN"/>
        </w:rPr>
        <w:t>县委编办为独立核算全额拨款行政单位，</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0" w:firstLineChars="100"/>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（三）人员概况。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4人，事业2人。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（一）部门财政资金收入情况。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eastAsia="仿宋_GB2312" w:cs="仿宋_GB2312"/>
          <w:color w:val="auto"/>
          <w:kern w:val="0"/>
          <w:sz w:val="32"/>
          <w:szCs w:val="32"/>
          <w:shd w:val="clear" w:fill="FFFFFF"/>
        </w:rPr>
      </w:pPr>
      <w:r>
        <w:rPr>
          <w:rFonts w:hint="eastAsia" w:ascii="仿宋_GB2312" w:hAnsi="仿宋_GB2312" w:eastAsia="仿宋_GB2312" w:cs="仿宋_GB2312"/>
          <w:b w:val="0"/>
          <w:bCs w:val="0"/>
          <w:color w:val="000000"/>
          <w:sz w:val="32"/>
          <w:szCs w:val="32"/>
          <w:lang w:val="en-US" w:eastAsia="zh-CN"/>
        </w:rPr>
        <w:t>2021年度财政拨款收入总计279.21万元（其中：一般公共服务支出214.97万元，主要为人员工资、体检费、工伤失业保险、会议费、差旅费、印刷费、培训费、公务用车运行维护费等；社会保障和就业支出31.62万元，主要为各项保险；医疗卫生与计划生育支出12.71万元，全部为医疗保险、公务员医疗补助；住房保障支出19.91万元，全部为住房公积金）。与2020年相比，收入增加了48.50万元，上升了21.02%，</w:t>
      </w:r>
      <w:r>
        <w:rPr>
          <w:rStyle w:val="20"/>
          <w:rFonts w:hint="eastAsia" w:ascii="仿宋_GB2312" w:eastAsia="仿宋_GB2312" w:cs="仿宋_GB2312"/>
          <w:b/>
          <w:color w:val="auto"/>
          <w:sz w:val="32"/>
          <w:szCs w:val="32"/>
          <w:shd w:val="clear" w:fill="FFFFFF"/>
        </w:rPr>
        <w:t>主要原因为</w:t>
      </w:r>
      <w:r>
        <w:rPr>
          <w:rStyle w:val="21"/>
          <w:rFonts w:hint="eastAsia" w:ascii="仿宋_GB2312" w:hAnsi="Times New Roman" w:eastAsia="仿宋_GB2312" w:cs="仿宋_GB2312"/>
          <w:b/>
          <w:color w:val="auto"/>
          <w:sz w:val="32"/>
          <w:szCs w:val="32"/>
          <w:shd w:val="clear" w:fill="FFFFFF"/>
        </w:rPr>
        <w:t>本年度新增参公人员一名和新增办公用房维修项目</w:t>
      </w:r>
      <w:r>
        <w:rPr>
          <w:rFonts w:hint="eastAsia" w:ascii="仿宋_GB2312" w:eastAsia="仿宋_GB2312" w:cs="仿宋_GB2312"/>
          <w:color w:val="auto"/>
          <w:kern w:val="0"/>
          <w:sz w:val="32"/>
          <w:szCs w:val="32"/>
          <w:shd w:val="clear" w:fill="FFFFFF"/>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部门财政资金支出情况。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度财政拨款支出279.21万元，其中：一般公共服务支出214.97万元，主要为人员工资、体检费、工伤失业保险、会议费、差旅费、印刷费、培训费、公务用车运行维护费等；社会保障和就业支出31.62万元，主要为各项保险；医疗卫生与计划生育支出12.71万元，全部为医疗保险、公务员医疗补助；住房保障支出19.91万元，全部为住房公积金。与2020年相比，收入增加了48.50万元，上升了21.02%，</w:t>
      </w:r>
      <w:r>
        <w:rPr>
          <w:rStyle w:val="20"/>
          <w:rFonts w:hint="eastAsia" w:ascii="仿宋_GB2312" w:eastAsia="仿宋_GB2312" w:cs="仿宋_GB2312"/>
          <w:b/>
          <w:color w:val="auto"/>
          <w:sz w:val="32"/>
          <w:szCs w:val="32"/>
          <w:shd w:val="clear" w:fill="FFFFFF"/>
        </w:rPr>
        <w:t>主要原因为</w:t>
      </w:r>
      <w:r>
        <w:rPr>
          <w:rStyle w:val="21"/>
          <w:rFonts w:hint="eastAsia" w:ascii="仿宋_GB2312" w:hAnsi="Times New Roman" w:eastAsia="仿宋_GB2312" w:cs="仿宋_GB2312"/>
          <w:b/>
          <w:color w:val="auto"/>
          <w:sz w:val="32"/>
          <w:szCs w:val="32"/>
          <w:shd w:val="clear" w:fill="FFFFFF"/>
        </w:rPr>
        <w:t>本年度新增参公人员一名和新增办公用房维修项目</w:t>
      </w:r>
      <w:r>
        <w:rPr>
          <w:rFonts w:hint="eastAsia" w:ascii="仿宋_GB2312" w:eastAsia="仿宋_GB2312" w:cs="仿宋_GB2312"/>
          <w:color w:val="auto"/>
          <w:kern w:val="0"/>
          <w:sz w:val="32"/>
          <w:szCs w:val="32"/>
          <w:shd w:val="clear" w:fill="FFFFFF"/>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三、部门财政支出管理情况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（一）预算编制情况。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中共红原县委机构编制委员会办公室预算编制严格按照《预算法》相关规定，结合全县预算编制口径，结合我单位实际情况，主要用于保障该机构正常运转、完成日常工作任务以及县委编办事务发展相关工作而编制。</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基本支出，是用于保障县委编办正常运转的日常支出，包括基本工资、津贴补贴等人员经费以及办公费、印刷费、水电费及专项办公经费等日常公用经费。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2021年绩效目标执行率96%以上完成度较好，2021年我单位及时公开部门预算，决算绩效报告等，对预算编制进一步细化。</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（二）执行管理情况。</w:t>
      </w:r>
      <w:r>
        <w:rPr>
          <w:rFonts w:hint="eastAsia" w:ascii="仿宋_GB2312" w:hAnsi="仿宋_GB2312" w:eastAsia="仿宋_GB2312" w:cs="仿宋_GB2312"/>
          <w:b/>
          <w:bCs/>
          <w:color w:val="000000"/>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1.因公出国(境)经费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2021年因公出国(境)费0.00元，因公出国(境) 0人，与上年持平。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2.公务接待费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2021年公务接待费0.00万元。公务接待费支出决算比2020年持平。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3.公务用车购置及运行维护费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2021年公务用车购置及运行维护费2.62万元。其中：</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公务用车运行维护费支出2.62万元。主要用于县委编办因公出差、下乡调研等所需的公务用车燃料费、维修费、过路过桥费、保险费等支出。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公务用车购置及运行维护费支出2.62万元,完成预算100%。公务用车购置及运行维护费支出决算比2020年持平。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（三）综合管理情况</w:t>
      </w:r>
      <w:r>
        <w:rPr>
          <w:rFonts w:hint="eastAsia" w:ascii="仿宋_GB2312" w:hAnsi="仿宋_GB2312" w:eastAsia="仿宋_GB2312" w:cs="仿宋_GB2312"/>
          <w:b w:val="0"/>
          <w:bCs w:val="0"/>
          <w:color w:val="000000"/>
          <w:sz w:val="32"/>
          <w:szCs w:val="32"/>
          <w:lang w:val="zh-CN" w:eastAsia="zh-CN"/>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1.资产管理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2.单位内控管理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3.部门预算管理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lang w:val="zh-CN" w:eastAsia="zh-CN"/>
        </w:rPr>
        <w:t>绩效管理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（四）整体绩效。</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通过整体绩效自评，反映本部门能按照县委编办相关职责要求有效履行职责，圆满完成了县委编办各项工作任务，绩效评价结果为优，相关部门等对县委编办的各项工作满意度较高。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（五）结果应用情况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2021年我单位从收支执行，三公经费管理，预算管理，绩效管理等方面进行了详尽</w:t>
      </w:r>
      <w:r>
        <w:rPr>
          <w:rFonts w:hint="eastAsia" w:ascii="仿宋_GB2312" w:hAnsi="仿宋_GB2312" w:eastAsia="仿宋_GB2312" w:cs="仿宋_GB2312"/>
          <w:b w:val="0"/>
          <w:bCs w:val="0"/>
          <w:color w:val="000000"/>
          <w:sz w:val="32"/>
          <w:szCs w:val="32"/>
          <w:lang w:val="zh-CN" w:eastAsia="zh-CN"/>
        </w:rPr>
        <w:t>部门自评、</w:t>
      </w:r>
      <w:r>
        <w:rPr>
          <w:rFonts w:hint="eastAsia" w:ascii="仿宋_GB2312" w:hAnsi="仿宋_GB2312" w:eastAsia="仿宋_GB2312" w:cs="仿宋_GB2312"/>
          <w:b w:val="0"/>
          <w:bCs w:val="0"/>
          <w:color w:val="000000"/>
          <w:sz w:val="32"/>
          <w:szCs w:val="32"/>
          <w:lang w:val="en-US" w:eastAsia="zh-CN"/>
        </w:rPr>
        <w:t>21年预算绩效目标，项目预算绩效目标等均进行了公开，评价结果较好，对部门预算编制不够精准细化的问题将在后续工作中逐步改进。</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ascii="黑体" w:hAnsi="宋体" w:eastAsia="黑体" w:cs="宋体"/>
          <w:color w:val="000000"/>
          <w:kern w:val="0"/>
        </w:rPr>
      </w:pPr>
      <w:r>
        <w:rPr>
          <w:rFonts w:hint="eastAsia" w:ascii="黑体" w:hAnsi="宋体" w:eastAsia="黑体" w:cs="宋体"/>
          <w:color w:val="000000"/>
          <w:kern w:val="0"/>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1"/>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20" w:name="_Toc29972"/>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第五部分 附表</w:t>
      </w:r>
      <w:bookmarkEnd w:id="20"/>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十一、政府性基金预算财政拨款收入支出决算表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十二、政府性基金预算财政拨款“三公”经费支出决算表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十三、国有资本经营预算财政拨款收入支出决算表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sectPr>
      <w:footerReference r:id="rId6"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bookmarkStart w:id="21" w:name="_GoBack"/>
    <w:bookmarkEnd w:id="2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48E9"/>
    <w:multiLevelType w:val="singleLevel"/>
    <w:tmpl w:val="020848E9"/>
    <w:lvl w:ilvl="0" w:tentative="0">
      <w:start w:val="1"/>
      <w:numFmt w:val="decimal"/>
      <w:suff w:val="nothing"/>
      <w:lvlText w:val="（%1）"/>
      <w:lvlJc w:val="left"/>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2313"/>
    <w:rsid w:val="00BF0852"/>
    <w:rsid w:val="01AB3A4C"/>
    <w:rsid w:val="01D82154"/>
    <w:rsid w:val="020502B8"/>
    <w:rsid w:val="02346274"/>
    <w:rsid w:val="02537415"/>
    <w:rsid w:val="028316E6"/>
    <w:rsid w:val="03B10B2C"/>
    <w:rsid w:val="03E52A27"/>
    <w:rsid w:val="040F4900"/>
    <w:rsid w:val="043D1C16"/>
    <w:rsid w:val="051E63A0"/>
    <w:rsid w:val="05253159"/>
    <w:rsid w:val="0536478E"/>
    <w:rsid w:val="05C6221A"/>
    <w:rsid w:val="05CA37E6"/>
    <w:rsid w:val="05DB0495"/>
    <w:rsid w:val="05DE2065"/>
    <w:rsid w:val="060415DA"/>
    <w:rsid w:val="061D2498"/>
    <w:rsid w:val="062705AF"/>
    <w:rsid w:val="0648585F"/>
    <w:rsid w:val="067611B1"/>
    <w:rsid w:val="06A51A29"/>
    <w:rsid w:val="06DF2C3C"/>
    <w:rsid w:val="073716F3"/>
    <w:rsid w:val="077C0152"/>
    <w:rsid w:val="07A66CD3"/>
    <w:rsid w:val="07AB12F0"/>
    <w:rsid w:val="07CC79AF"/>
    <w:rsid w:val="07E05898"/>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9B09AC"/>
    <w:rsid w:val="0CB70344"/>
    <w:rsid w:val="0CE63DEF"/>
    <w:rsid w:val="0D5709C4"/>
    <w:rsid w:val="0DA32FF9"/>
    <w:rsid w:val="0DC02F70"/>
    <w:rsid w:val="0E016246"/>
    <w:rsid w:val="0EEF2024"/>
    <w:rsid w:val="0F396866"/>
    <w:rsid w:val="0F547819"/>
    <w:rsid w:val="0F763753"/>
    <w:rsid w:val="0FBD1976"/>
    <w:rsid w:val="0FC84B33"/>
    <w:rsid w:val="0FF22613"/>
    <w:rsid w:val="10C63719"/>
    <w:rsid w:val="110E5233"/>
    <w:rsid w:val="11142387"/>
    <w:rsid w:val="112A1720"/>
    <w:rsid w:val="118E4E05"/>
    <w:rsid w:val="119A0988"/>
    <w:rsid w:val="12474DC8"/>
    <w:rsid w:val="134D5D4F"/>
    <w:rsid w:val="137E4D53"/>
    <w:rsid w:val="13F47D19"/>
    <w:rsid w:val="1444516F"/>
    <w:rsid w:val="14886F81"/>
    <w:rsid w:val="14A2523D"/>
    <w:rsid w:val="14B70C97"/>
    <w:rsid w:val="14B82E87"/>
    <w:rsid w:val="14C217F5"/>
    <w:rsid w:val="14E24DF8"/>
    <w:rsid w:val="15922051"/>
    <w:rsid w:val="16103683"/>
    <w:rsid w:val="16316871"/>
    <w:rsid w:val="16344EDC"/>
    <w:rsid w:val="168B7E06"/>
    <w:rsid w:val="177E08EB"/>
    <w:rsid w:val="178664AD"/>
    <w:rsid w:val="178819C8"/>
    <w:rsid w:val="179E22FC"/>
    <w:rsid w:val="17A25E76"/>
    <w:rsid w:val="17AE4B25"/>
    <w:rsid w:val="18212609"/>
    <w:rsid w:val="183068D9"/>
    <w:rsid w:val="18D93743"/>
    <w:rsid w:val="19E524F1"/>
    <w:rsid w:val="19F3214F"/>
    <w:rsid w:val="19F76004"/>
    <w:rsid w:val="1A1664F5"/>
    <w:rsid w:val="1A3E1434"/>
    <w:rsid w:val="1A4E5F71"/>
    <w:rsid w:val="1AA22996"/>
    <w:rsid w:val="1B3E1A8A"/>
    <w:rsid w:val="1BEB2F32"/>
    <w:rsid w:val="1BEF4D2F"/>
    <w:rsid w:val="1C48338F"/>
    <w:rsid w:val="1D207523"/>
    <w:rsid w:val="1D5303AD"/>
    <w:rsid w:val="1D5D797F"/>
    <w:rsid w:val="1D8F2651"/>
    <w:rsid w:val="1DA21552"/>
    <w:rsid w:val="1EE82024"/>
    <w:rsid w:val="1FB1003C"/>
    <w:rsid w:val="1FE7137A"/>
    <w:rsid w:val="1FF54367"/>
    <w:rsid w:val="2054534B"/>
    <w:rsid w:val="20583D8E"/>
    <w:rsid w:val="20726215"/>
    <w:rsid w:val="20C1152C"/>
    <w:rsid w:val="210A7163"/>
    <w:rsid w:val="211C0ADF"/>
    <w:rsid w:val="21792825"/>
    <w:rsid w:val="222B40B1"/>
    <w:rsid w:val="224A43EF"/>
    <w:rsid w:val="22AC0362"/>
    <w:rsid w:val="233B7821"/>
    <w:rsid w:val="24007643"/>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307856"/>
    <w:rsid w:val="275E4B3D"/>
    <w:rsid w:val="2790625B"/>
    <w:rsid w:val="280E4D8F"/>
    <w:rsid w:val="282C4404"/>
    <w:rsid w:val="28716A14"/>
    <w:rsid w:val="28C55AD9"/>
    <w:rsid w:val="28D241CA"/>
    <w:rsid w:val="296D1C1C"/>
    <w:rsid w:val="297A12B6"/>
    <w:rsid w:val="29DE6E95"/>
    <w:rsid w:val="29E8073E"/>
    <w:rsid w:val="2A4B0CB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11C73A5"/>
    <w:rsid w:val="31BF2947"/>
    <w:rsid w:val="32310A70"/>
    <w:rsid w:val="340D57A7"/>
    <w:rsid w:val="34666631"/>
    <w:rsid w:val="34D825DC"/>
    <w:rsid w:val="35897E51"/>
    <w:rsid w:val="359840AF"/>
    <w:rsid w:val="35B725AC"/>
    <w:rsid w:val="36093CBF"/>
    <w:rsid w:val="36974F61"/>
    <w:rsid w:val="36EE35C7"/>
    <w:rsid w:val="370A6D37"/>
    <w:rsid w:val="372A5155"/>
    <w:rsid w:val="37B620D9"/>
    <w:rsid w:val="380B19D2"/>
    <w:rsid w:val="38A3735B"/>
    <w:rsid w:val="38BA0F7B"/>
    <w:rsid w:val="38EF74E5"/>
    <w:rsid w:val="39236D35"/>
    <w:rsid w:val="3A2D0421"/>
    <w:rsid w:val="3A6D6A8B"/>
    <w:rsid w:val="3BB04D60"/>
    <w:rsid w:val="3BED2C50"/>
    <w:rsid w:val="3BFC3FDB"/>
    <w:rsid w:val="3C013AEF"/>
    <w:rsid w:val="3CCA6242"/>
    <w:rsid w:val="3D317CFB"/>
    <w:rsid w:val="3D333223"/>
    <w:rsid w:val="3E6C046F"/>
    <w:rsid w:val="3E8B7104"/>
    <w:rsid w:val="3ED0469E"/>
    <w:rsid w:val="3F0F0DE1"/>
    <w:rsid w:val="3F2B07ED"/>
    <w:rsid w:val="3FFC5AEC"/>
    <w:rsid w:val="40207691"/>
    <w:rsid w:val="40670939"/>
    <w:rsid w:val="40B94C7A"/>
    <w:rsid w:val="40C946F8"/>
    <w:rsid w:val="413D21FB"/>
    <w:rsid w:val="41CF3D80"/>
    <w:rsid w:val="420E53DF"/>
    <w:rsid w:val="425759EC"/>
    <w:rsid w:val="426129D8"/>
    <w:rsid w:val="429066C1"/>
    <w:rsid w:val="42FE1BA9"/>
    <w:rsid w:val="43476B48"/>
    <w:rsid w:val="43573315"/>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92052E"/>
    <w:rsid w:val="46C0506A"/>
    <w:rsid w:val="470B61AF"/>
    <w:rsid w:val="470C3F16"/>
    <w:rsid w:val="471A7CA7"/>
    <w:rsid w:val="47621D3C"/>
    <w:rsid w:val="476E1465"/>
    <w:rsid w:val="47777BC1"/>
    <w:rsid w:val="479122C3"/>
    <w:rsid w:val="481F5071"/>
    <w:rsid w:val="483B44C3"/>
    <w:rsid w:val="48C53338"/>
    <w:rsid w:val="4910453A"/>
    <w:rsid w:val="491D45E4"/>
    <w:rsid w:val="49FA5C62"/>
    <w:rsid w:val="4A374A77"/>
    <w:rsid w:val="4B964B58"/>
    <w:rsid w:val="4BCF14FA"/>
    <w:rsid w:val="4C791821"/>
    <w:rsid w:val="4D901930"/>
    <w:rsid w:val="4D9C1311"/>
    <w:rsid w:val="4DA13EFC"/>
    <w:rsid w:val="4DAA0ACB"/>
    <w:rsid w:val="4DCD369E"/>
    <w:rsid w:val="4E207F77"/>
    <w:rsid w:val="4E405E86"/>
    <w:rsid w:val="4F1C2BA7"/>
    <w:rsid w:val="4F717B9B"/>
    <w:rsid w:val="4F7E44A1"/>
    <w:rsid w:val="4FBD66D2"/>
    <w:rsid w:val="4FDE0035"/>
    <w:rsid w:val="500D1959"/>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D83CEB"/>
    <w:rsid w:val="564872E2"/>
    <w:rsid w:val="56CC5979"/>
    <w:rsid w:val="57034B85"/>
    <w:rsid w:val="57472184"/>
    <w:rsid w:val="589E16F5"/>
    <w:rsid w:val="589F63B4"/>
    <w:rsid w:val="58A26C33"/>
    <w:rsid w:val="58AD4FD4"/>
    <w:rsid w:val="59905774"/>
    <w:rsid w:val="599E59E1"/>
    <w:rsid w:val="59C82306"/>
    <w:rsid w:val="59E1598B"/>
    <w:rsid w:val="5A07397F"/>
    <w:rsid w:val="5AE561D2"/>
    <w:rsid w:val="5B0315D4"/>
    <w:rsid w:val="5B0E5F58"/>
    <w:rsid w:val="5B180F7F"/>
    <w:rsid w:val="5C510837"/>
    <w:rsid w:val="5D8B09FB"/>
    <w:rsid w:val="5D91560D"/>
    <w:rsid w:val="5E9B4D4C"/>
    <w:rsid w:val="5EE14150"/>
    <w:rsid w:val="5F0C08CE"/>
    <w:rsid w:val="5F584AF9"/>
    <w:rsid w:val="5F592FD8"/>
    <w:rsid w:val="601D7135"/>
    <w:rsid w:val="60594271"/>
    <w:rsid w:val="60FD6A51"/>
    <w:rsid w:val="621F016F"/>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F16947"/>
    <w:rsid w:val="6B2973E9"/>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7037710B"/>
    <w:rsid w:val="70743667"/>
    <w:rsid w:val="707849CA"/>
    <w:rsid w:val="70A54C4E"/>
    <w:rsid w:val="70A76EDF"/>
    <w:rsid w:val="70AD3EBF"/>
    <w:rsid w:val="70C43920"/>
    <w:rsid w:val="70F53323"/>
    <w:rsid w:val="70F66CB4"/>
    <w:rsid w:val="71785460"/>
    <w:rsid w:val="71D33F8D"/>
    <w:rsid w:val="71ED3EDE"/>
    <w:rsid w:val="72133397"/>
    <w:rsid w:val="725B06D5"/>
    <w:rsid w:val="73133219"/>
    <w:rsid w:val="73AB6FCB"/>
    <w:rsid w:val="73B63B41"/>
    <w:rsid w:val="73BC27AF"/>
    <w:rsid w:val="73FD0A4F"/>
    <w:rsid w:val="74F37794"/>
    <w:rsid w:val="756E6B34"/>
    <w:rsid w:val="75F82DC6"/>
    <w:rsid w:val="76A5521A"/>
    <w:rsid w:val="76E23986"/>
    <w:rsid w:val="770A5A76"/>
    <w:rsid w:val="775E62AF"/>
    <w:rsid w:val="779A2B2D"/>
    <w:rsid w:val="77D906E2"/>
    <w:rsid w:val="77DF6BBA"/>
    <w:rsid w:val="782920CD"/>
    <w:rsid w:val="78415904"/>
    <w:rsid w:val="784B3700"/>
    <w:rsid w:val="78B20FFE"/>
    <w:rsid w:val="78C5681C"/>
    <w:rsid w:val="799034D8"/>
    <w:rsid w:val="79997DD2"/>
    <w:rsid w:val="79A807A2"/>
    <w:rsid w:val="79C95DCF"/>
    <w:rsid w:val="79D00547"/>
    <w:rsid w:val="79FA0E27"/>
    <w:rsid w:val="79FA5671"/>
    <w:rsid w:val="79FD5E30"/>
    <w:rsid w:val="7A320CF1"/>
    <w:rsid w:val="7B772498"/>
    <w:rsid w:val="7BAB5164"/>
    <w:rsid w:val="7BAD01C9"/>
    <w:rsid w:val="7BC66859"/>
    <w:rsid w:val="7BE81934"/>
    <w:rsid w:val="7C08172E"/>
    <w:rsid w:val="7C3B6AD3"/>
    <w:rsid w:val="7C3D2061"/>
    <w:rsid w:val="7C3E4691"/>
    <w:rsid w:val="7C7846C0"/>
    <w:rsid w:val="7C956391"/>
    <w:rsid w:val="7D4B4B42"/>
    <w:rsid w:val="7D4E6070"/>
    <w:rsid w:val="7D6C38B7"/>
    <w:rsid w:val="7D747F20"/>
    <w:rsid w:val="7DAA0228"/>
    <w:rsid w:val="7DE85E17"/>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able of figures"/>
    <w:basedOn w:val="1"/>
    <w:next w:val="1"/>
    <w:qFormat/>
    <w:uiPriority w:val="99"/>
    <w:pPr>
      <w:ind w:leftChars="200" w:hanging="200" w:hangingChars="200"/>
      <w:jc w:val="left"/>
    </w:pPr>
    <w:rPr>
      <w:rFonts w:hint="eastAsia" w:ascii="宋体" w:hAnsi="宋体" w:eastAsia="宋体" w:cs="宋体"/>
      <w:kern w:val="0"/>
      <w:sz w:val="24"/>
      <w:szCs w:val="24"/>
      <w:lang w:val="en-US" w:eastAsia="zh-CN" w:bidi="ar"/>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none"/>
    </w:rPr>
  </w:style>
  <w:style w:type="paragraph" w:styleId="16">
    <w:name w:val="List Paragraph"/>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19">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0">
    <w:name w:val="15"/>
    <w:basedOn w:val="13"/>
    <w:qFormat/>
    <w:uiPriority w:val="0"/>
    <w:rPr>
      <w:rFonts w:hint="default" w:ascii="Times New Roman" w:hAnsi="Times New Roman" w:cs="Times New Roman"/>
      <w:b/>
    </w:rPr>
  </w:style>
  <w:style w:type="character" w:customStyle="1" w:styleId="21">
    <w:name w:val="16"/>
    <w:basedOn w:val="13"/>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2021年</c:v>
                </c:pt>
                <c:pt idx="1">
                  <c:v>2020年</c:v>
                </c:pt>
              </c:strCache>
            </c:strRef>
          </c:cat>
          <c:val>
            <c:numRef>
              <c:f>Sheet1!$B$2:$B$3</c:f>
              <c:numCache>
                <c:formatCode>General</c:formatCode>
                <c:ptCount val="2"/>
                <c:pt idx="0">
                  <c:v>279.21</c:v>
                </c:pt>
                <c:pt idx="1">
                  <c:v>230.71</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2021年</c:v>
                </c:pt>
                <c:pt idx="1">
                  <c:v>2020年</c:v>
                </c:pt>
              </c:strCache>
            </c:strRef>
          </c:cat>
          <c:val>
            <c:numRef>
              <c:f>Sheet1!$C$2:$C$3</c:f>
              <c:numCache>
                <c:formatCode>General</c:formatCode>
                <c:ptCount val="2"/>
                <c:pt idx="0">
                  <c:v>279.21</c:v>
                </c:pt>
                <c:pt idx="1">
                  <c:v>230.71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1021406"/>
        <c:axId val="744813058"/>
      </c:barChart>
      <c:catAx>
        <c:axId val="5710214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4813058"/>
        <c:crosses val="autoZero"/>
        <c:auto val="1"/>
        <c:lblAlgn val="ctr"/>
        <c:lblOffset val="100"/>
        <c:noMultiLvlLbl val="0"/>
      </c:catAx>
      <c:valAx>
        <c:axId val="7448130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0214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一般公共财政拨款</c:v>
                </c:pt>
              </c:strCache>
            </c:strRef>
          </c:cat>
          <c:val>
            <c:numRef>
              <c:f>Sheet1!$B$2</c:f>
              <c:numCache>
                <c:formatCode>General</c:formatCode>
                <c:ptCount val="1"/>
                <c:pt idx="0">
                  <c:v>279.21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基本支出</c:v>
                </c:pt>
              </c:strCache>
            </c:strRef>
          </c:cat>
          <c:val>
            <c:numRef>
              <c:f>Sheet1!$B$2</c:f>
              <c:numCache>
                <c:formatCode>General</c:formatCode>
                <c:ptCount val="1"/>
                <c:pt idx="0">
                  <c:v>279.21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230.71</c:v>
                </c:pt>
                <c:pt idx="1">
                  <c:v>230.71</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279.31</c:v>
                </c:pt>
                <c:pt idx="1">
                  <c:v>279.31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230.71</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279.21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214.97</c:v>
                </c:pt>
                <c:pt idx="1">
                  <c:v>31.62</c:v>
                </c:pt>
                <c:pt idx="2">
                  <c:v>19.914</c:v>
                </c:pt>
                <c:pt idx="3">
                  <c:v>12.71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2.62</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user</cp:lastModifiedBy>
  <dcterms:modified xsi:type="dcterms:W3CDTF">2023-10-25T03:13:17Z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BD2BD8E52C4247A38740A508D7F092DB_13</vt:lpwstr>
  </property>
</Properties>
</file>