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spacing w:line="600" w:lineRule="exact"/>
        <w:jc w:val="center"/>
        <w:outlineLvl w:val="0"/>
        <w:rPr>
          <w:rFonts w:ascii="方正小标宋简体" w:hAnsi="宋体" w:eastAsia="方正小标宋简体"/>
          <w:color w:val="000000"/>
          <w:sz w:val="72"/>
          <w:szCs w:val="72"/>
        </w:rPr>
      </w:pPr>
    </w:p>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96597"/>
      <w:bookmarkStart w:id="3" w:name="_Toc15396475"/>
      <w:bookmarkStart w:id="4" w:name="_Toc6600"/>
      <w:bookmarkStart w:id="5" w:name="_Toc15377193"/>
      <w:bookmarkStart w:id="6" w:name="_Toc15378441"/>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bookmarkEnd w:id="6"/>
    </w:p>
    <w:p>
      <w:pPr>
        <w:adjustRightInd w:val="0"/>
        <w:snapToGrid w:val="0"/>
        <w:spacing w:line="360" w:lineRule="auto"/>
        <w:jc w:val="center"/>
        <w:outlineLvl w:val="0"/>
        <w:rPr>
          <w:rFonts w:ascii="方正小标宋简体" w:hAnsi="宋体" w:eastAsia="方正小标宋简体"/>
          <w:color w:val="000000"/>
          <w:sz w:val="72"/>
          <w:szCs w:val="72"/>
        </w:rPr>
      </w:pPr>
      <w:bookmarkStart w:id="7" w:name="_Toc15378442"/>
      <w:bookmarkStart w:id="8" w:name="_Toc15377194"/>
      <w:bookmarkStart w:id="9" w:name="_Toc7821"/>
      <w:bookmarkStart w:id="10" w:name="_Toc15396476"/>
      <w:bookmarkStart w:id="11" w:name="_Toc15377426"/>
      <w:bookmarkStart w:id="12" w:name="_Toc15396598"/>
      <w:r>
        <w:rPr>
          <w:rFonts w:hint="eastAsia" w:ascii="方正小标宋简体" w:hAnsi="宋体" w:eastAsia="方正小标宋简体"/>
          <w:color w:val="000000"/>
          <w:sz w:val="72"/>
          <w:szCs w:val="72"/>
        </w:rPr>
        <w:t>四川省阿坝州</w:t>
      </w:r>
      <w:r>
        <w:rPr>
          <w:rFonts w:hint="eastAsia" w:ascii="方正小标宋简体" w:hAnsi="宋体" w:eastAsia="方正小标宋简体"/>
          <w:color w:val="000000"/>
          <w:sz w:val="72"/>
          <w:szCs w:val="72"/>
          <w:lang w:eastAsia="zh-CN"/>
        </w:rPr>
        <w:t>红原县</w:t>
      </w:r>
      <w:bookmarkEnd w:id="0"/>
      <w:bookmarkStart w:id="13" w:name="_Toc15306268"/>
      <w:r>
        <w:rPr>
          <w:rFonts w:hint="eastAsia" w:ascii="方正小标宋简体" w:hAnsi="宋体" w:eastAsia="方正小标宋简体"/>
          <w:color w:val="000000"/>
          <w:sz w:val="72"/>
          <w:szCs w:val="72"/>
          <w:lang w:eastAsia="zh-CN"/>
        </w:rPr>
        <w:t>委编办</w:t>
      </w:r>
      <w:r>
        <w:rPr>
          <w:rFonts w:hint="eastAsia" w:ascii="方正小标宋简体" w:hAnsi="宋体" w:eastAsia="方正小标宋简体"/>
          <w:color w:val="000000"/>
          <w:sz w:val="72"/>
          <w:szCs w:val="72"/>
        </w:rPr>
        <w:t>部门决算</w:t>
      </w:r>
      <w:bookmarkEnd w:id="7"/>
      <w:bookmarkEnd w:id="8"/>
      <w:bookmarkEnd w:id="9"/>
      <w:bookmarkEnd w:id="10"/>
      <w:bookmarkEnd w:id="11"/>
      <w:bookmarkEnd w:id="12"/>
      <w:bookmarkEnd w:id="13"/>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widowControl/>
        <w:jc w:val="center"/>
        <w:rPr>
          <w:rFonts w:ascii="方正小标宋简体" w:hAnsi="宋体" w:eastAsia="方正小标宋简体"/>
          <w:sz w:val="36"/>
          <w:szCs w:val="36"/>
        </w:rPr>
      </w:pPr>
    </w:p>
    <w:p>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pPr>
        <w:widowControl/>
        <w:jc w:val="center"/>
        <w:rPr>
          <w:rFonts w:hint="eastAsia" w:ascii="仿宋_GB2312" w:hAnsi="仿宋_GB2312" w:eastAsia="仿宋_GB2312" w:cs="仿宋_GB2312"/>
          <w:sz w:val="28"/>
          <w:szCs w:val="28"/>
          <w:lang w:val="en-US" w:eastAsia="zh-CN"/>
        </w:rPr>
      </w:pPr>
      <w:bookmarkStart w:id="132" w:name="_GoBack"/>
      <w:bookmarkEnd w:id="132"/>
    </w:p>
    <w:p>
      <w:pPr>
        <w:pStyle w:val="11"/>
        <w:tabs>
          <w:tab w:val="right" w:leader="dot" w:pos="8306"/>
          <w:tab w:val="clear" w:pos="8296"/>
        </w:tabs>
      </w:pPr>
      <w:r>
        <w:fldChar w:fldCharType="begin"/>
      </w:r>
      <w:r>
        <w:instrText xml:space="preserve">TOC \o "1-3" \h \u </w:instrText>
      </w:r>
      <w:r>
        <w:fldChar w:fldCharType="separate"/>
      </w:r>
      <w:r>
        <w:fldChar w:fldCharType="begin"/>
      </w:r>
      <w:r>
        <w:instrText xml:space="preserve"> HYPERLINK \l _Toc17986 </w:instrText>
      </w:r>
      <w:r>
        <w:fldChar w:fldCharType="separate"/>
      </w:r>
      <w:r>
        <w:rPr>
          <w:rFonts w:hint="eastAsia" w:ascii="黑体" w:hAnsi="黑体" w:eastAsia="黑体"/>
        </w:rPr>
        <w:t xml:space="preserve">第一部分 </w:t>
      </w:r>
      <w:r>
        <w:rPr>
          <w:rFonts w:hint="eastAsia" w:ascii="黑体" w:hAnsi="黑体" w:eastAsia="黑体"/>
          <w:bCs w:val="0"/>
        </w:rPr>
        <w:t>部门概况</w:t>
      </w:r>
      <w:r>
        <w:tab/>
      </w:r>
      <w:r>
        <w:fldChar w:fldCharType="begin"/>
      </w:r>
      <w:r>
        <w:instrText xml:space="preserve"> PAGEREF _Toc17986 </w:instrText>
      </w:r>
      <w:r>
        <w:fldChar w:fldCharType="separate"/>
      </w:r>
      <w:r>
        <w:t>4</w:t>
      </w:r>
      <w:r>
        <w:fldChar w:fldCharType="end"/>
      </w:r>
      <w:r>
        <w:fldChar w:fldCharType="end"/>
      </w:r>
    </w:p>
    <w:p>
      <w:pPr>
        <w:pStyle w:val="12"/>
        <w:tabs>
          <w:tab w:val="right" w:leader="dot" w:pos="8306"/>
          <w:tab w:val="clear" w:pos="8296"/>
        </w:tabs>
      </w:pPr>
      <w:r>
        <w:fldChar w:fldCharType="begin"/>
      </w:r>
      <w:r>
        <w:instrText xml:space="preserve"> HYPERLINK \l _Toc15626 </w:instrText>
      </w:r>
      <w:r>
        <w:fldChar w:fldCharType="separate"/>
      </w:r>
      <w:r>
        <w:rPr>
          <w:rFonts w:hint="eastAsia" w:ascii="黑体" w:hAnsi="黑体" w:eastAsia="黑体"/>
        </w:rPr>
        <w:t>一、基</w:t>
      </w:r>
      <w:r>
        <w:rPr>
          <w:rFonts w:hint="eastAsia" w:ascii="黑体" w:hAnsi="黑体" w:eastAsia="黑体"/>
          <w:bCs w:val="0"/>
        </w:rPr>
        <w:t>本职能及主要工作</w:t>
      </w:r>
      <w:r>
        <w:tab/>
      </w:r>
      <w:r>
        <w:fldChar w:fldCharType="begin"/>
      </w:r>
      <w:r>
        <w:instrText xml:space="preserve"> PAGEREF _Toc15626 </w:instrText>
      </w:r>
      <w:r>
        <w:fldChar w:fldCharType="separate"/>
      </w:r>
      <w:r>
        <w:t>4</w:t>
      </w:r>
      <w:r>
        <w:fldChar w:fldCharType="end"/>
      </w:r>
      <w:r>
        <w:fldChar w:fldCharType="end"/>
      </w:r>
    </w:p>
    <w:p>
      <w:pPr>
        <w:pStyle w:val="7"/>
        <w:tabs>
          <w:tab w:val="right" w:leader="dot" w:pos="8306"/>
          <w:tab w:val="clear" w:pos="8296"/>
        </w:tabs>
      </w:pPr>
      <w:r>
        <w:fldChar w:fldCharType="begin"/>
      </w:r>
      <w:r>
        <w:instrText xml:space="preserve"> HYPERLINK \l _Toc7983 </w:instrText>
      </w:r>
      <w:r>
        <w:fldChar w:fldCharType="separate"/>
      </w:r>
      <w:r>
        <w:rPr>
          <w:rFonts w:hint="eastAsia" w:ascii="仿宋" w:hAnsi="仿宋" w:eastAsia="仿宋"/>
          <w:bCs/>
          <w:szCs w:val="32"/>
        </w:rPr>
        <w:t>（一）主要职能。</w:t>
      </w:r>
      <w:r>
        <w:tab/>
      </w:r>
      <w:r>
        <w:fldChar w:fldCharType="begin"/>
      </w:r>
      <w:r>
        <w:instrText xml:space="preserve"> PAGEREF _Toc7983 </w:instrText>
      </w:r>
      <w:r>
        <w:fldChar w:fldCharType="separate"/>
      </w:r>
      <w:r>
        <w:t>4</w:t>
      </w:r>
      <w:r>
        <w:fldChar w:fldCharType="end"/>
      </w:r>
      <w:r>
        <w:fldChar w:fldCharType="end"/>
      </w:r>
    </w:p>
    <w:p>
      <w:pPr>
        <w:pStyle w:val="7"/>
        <w:tabs>
          <w:tab w:val="right" w:leader="dot" w:pos="8306"/>
          <w:tab w:val="clear" w:pos="8296"/>
        </w:tabs>
      </w:pPr>
      <w:r>
        <w:fldChar w:fldCharType="begin"/>
      </w:r>
      <w:r>
        <w:instrText xml:space="preserve"> HYPERLINK \l _Toc20964 </w:instrText>
      </w:r>
      <w:r>
        <w:fldChar w:fldCharType="separate"/>
      </w:r>
      <w:r>
        <w:rPr>
          <w:rFonts w:hint="eastAsia" w:ascii="仿宋" w:hAnsi="仿宋" w:eastAsia="仿宋"/>
          <w:bCs/>
          <w:szCs w:val="32"/>
        </w:rPr>
        <w:t>（二）</w:t>
      </w:r>
      <w:r>
        <w:rPr>
          <w:rFonts w:ascii="仿宋" w:hAnsi="仿宋" w:eastAsia="仿宋"/>
          <w:bCs/>
          <w:szCs w:val="32"/>
        </w:rPr>
        <w:t>201</w:t>
      </w:r>
      <w:r>
        <w:rPr>
          <w:rFonts w:hint="eastAsia" w:ascii="仿宋" w:hAnsi="仿宋" w:eastAsia="仿宋"/>
          <w:bCs/>
          <w:szCs w:val="32"/>
        </w:rPr>
        <w:t>9年重点工作完成情况。</w:t>
      </w:r>
      <w:r>
        <w:tab/>
      </w:r>
      <w:r>
        <w:fldChar w:fldCharType="begin"/>
      </w:r>
      <w:r>
        <w:instrText xml:space="preserve"> PAGEREF _Toc20964 </w:instrText>
      </w:r>
      <w:r>
        <w:fldChar w:fldCharType="separate"/>
      </w:r>
      <w:r>
        <w:t>4</w:t>
      </w:r>
      <w:r>
        <w:fldChar w:fldCharType="end"/>
      </w:r>
      <w:r>
        <w:fldChar w:fldCharType="end"/>
      </w:r>
    </w:p>
    <w:p>
      <w:pPr>
        <w:pStyle w:val="12"/>
        <w:tabs>
          <w:tab w:val="right" w:leader="dot" w:pos="8306"/>
          <w:tab w:val="clear" w:pos="8296"/>
        </w:tabs>
      </w:pPr>
      <w:r>
        <w:fldChar w:fldCharType="begin"/>
      </w:r>
      <w:r>
        <w:instrText xml:space="preserve"> HYPERLINK \l _Toc27644 </w:instrText>
      </w:r>
      <w:r>
        <w:fldChar w:fldCharType="separate"/>
      </w:r>
      <w:r>
        <w:rPr>
          <w:rFonts w:hint="eastAsia" w:ascii="黑体" w:eastAsia="黑体"/>
        </w:rPr>
        <w:t>二、</w:t>
      </w:r>
      <w:r>
        <w:rPr>
          <w:rFonts w:hint="eastAsia" w:ascii="黑体" w:hAnsi="黑体" w:eastAsia="黑体"/>
        </w:rPr>
        <w:t>机</w:t>
      </w:r>
      <w:r>
        <w:rPr>
          <w:rFonts w:hint="eastAsia" w:ascii="黑体" w:hAnsi="黑体" w:eastAsia="黑体"/>
          <w:bCs w:val="0"/>
        </w:rPr>
        <w:t>构设置</w:t>
      </w:r>
      <w:r>
        <w:tab/>
      </w:r>
      <w:r>
        <w:fldChar w:fldCharType="begin"/>
      </w:r>
      <w:r>
        <w:instrText xml:space="preserve"> PAGEREF _Toc27644 </w:instrText>
      </w:r>
      <w:r>
        <w:fldChar w:fldCharType="separate"/>
      </w:r>
      <w:r>
        <w:t>5</w:t>
      </w:r>
      <w:r>
        <w:fldChar w:fldCharType="end"/>
      </w:r>
      <w:r>
        <w:fldChar w:fldCharType="end"/>
      </w:r>
    </w:p>
    <w:p>
      <w:pPr>
        <w:pStyle w:val="11"/>
        <w:tabs>
          <w:tab w:val="right" w:leader="dot" w:pos="8306"/>
          <w:tab w:val="clear" w:pos="8296"/>
        </w:tabs>
      </w:pPr>
      <w:r>
        <w:fldChar w:fldCharType="begin"/>
      </w:r>
      <w:r>
        <w:instrText xml:space="preserve"> HYPERLINK \l _Toc22511 </w:instrText>
      </w:r>
      <w:r>
        <w:fldChar w:fldCharType="separate"/>
      </w:r>
      <w:r>
        <w:rPr>
          <w:rFonts w:hint="eastAsia" w:ascii="黑体" w:hAnsi="黑体" w:eastAsia="黑体"/>
        </w:rPr>
        <w:t xml:space="preserve">第二部分 </w:t>
      </w:r>
      <w:r>
        <w:rPr>
          <w:rFonts w:hint="eastAsia" w:ascii="黑体" w:hAnsi="黑体" w:eastAsia="黑体"/>
          <w:bCs w:val="0"/>
        </w:rPr>
        <w:t>2019年度部门决算情况说明</w:t>
      </w:r>
      <w:r>
        <w:tab/>
      </w:r>
      <w:r>
        <w:fldChar w:fldCharType="begin"/>
      </w:r>
      <w:r>
        <w:instrText xml:space="preserve"> PAGEREF _Toc22511 </w:instrText>
      </w:r>
      <w:r>
        <w:fldChar w:fldCharType="separate"/>
      </w:r>
      <w:r>
        <w:t>6</w:t>
      </w:r>
      <w:r>
        <w:fldChar w:fldCharType="end"/>
      </w:r>
      <w:r>
        <w:fldChar w:fldCharType="end"/>
      </w:r>
    </w:p>
    <w:p>
      <w:pPr>
        <w:pStyle w:val="12"/>
        <w:tabs>
          <w:tab w:val="right" w:leader="dot" w:pos="8306"/>
          <w:tab w:val="clear" w:pos="8296"/>
        </w:tabs>
      </w:pPr>
      <w:r>
        <w:fldChar w:fldCharType="begin"/>
      </w:r>
      <w:r>
        <w:instrText xml:space="preserve"> HYPERLINK \l _Toc199 </w:instrText>
      </w:r>
      <w:r>
        <w:fldChar w:fldCharType="separate"/>
      </w:r>
      <w:r>
        <w:rPr>
          <w:rFonts w:hint="default" w:ascii="黑体" w:hAnsi="黑体" w:eastAsia="黑体"/>
        </w:rPr>
        <w:t xml:space="preserve">一、 </w:t>
      </w:r>
      <w:r>
        <w:rPr>
          <w:rFonts w:hint="eastAsia" w:ascii="黑体" w:hAnsi="黑体" w:eastAsia="黑体"/>
          <w:szCs w:val="32"/>
        </w:rPr>
        <w:t>收</w:t>
      </w:r>
      <w:r>
        <w:rPr>
          <w:rFonts w:hint="eastAsia" w:ascii="黑体" w:hAnsi="黑体" w:eastAsia="黑体"/>
        </w:rPr>
        <w:t>入支出决算总体情况说明</w:t>
      </w:r>
      <w:r>
        <w:tab/>
      </w:r>
      <w:r>
        <w:fldChar w:fldCharType="begin"/>
      </w:r>
      <w:r>
        <w:instrText xml:space="preserve"> PAGEREF _Toc199 </w:instrText>
      </w:r>
      <w:r>
        <w:fldChar w:fldCharType="separate"/>
      </w:r>
      <w:r>
        <w:t>6</w:t>
      </w:r>
      <w:r>
        <w:fldChar w:fldCharType="end"/>
      </w:r>
      <w:r>
        <w:fldChar w:fldCharType="end"/>
      </w:r>
    </w:p>
    <w:p>
      <w:pPr>
        <w:pStyle w:val="12"/>
        <w:tabs>
          <w:tab w:val="right" w:leader="dot" w:pos="8306"/>
          <w:tab w:val="clear" w:pos="8296"/>
        </w:tabs>
      </w:pPr>
      <w:r>
        <w:fldChar w:fldCharType="begin"/>
      </w:r>
      <w:r>
        <w:instrText xml:space="preserve"> HYPERLINK \l _Toc1066 </w:instrText>
      </w:r>
      <w:r>
        <w:fldChar w:fldCharType="separate"/>
      </w:r>
      <w:r>
        <w:rPr>
          <w:rFonts w:hint="default" w:ascii="黑体" w:hAnsi="黑体" w:eastAsia="黑体"/>
        </w:rPr>
        <w:t xml:space="preserve">二、 </w:t>
      </w:r>
      <w:r>
        <w:rPr>
          <w:rFonts w:hint="eastAsia" w:ascii="黑体" w:hAnsi="黑体" w:eastAsia="黑体"/>
          <w:szCs w:val="32"/>
        </w:rPr>
        <w:t>收</w:t>
      </w:r>
      <w:r>
        <w:rPr>
          <w:rFonts w:hint="eastAsia" w:ascii="黑体" w:hAnsi="黑体" w:eastAsia="黑体"/>
        </w:rPr>
        <w:t>入决算情况说明</w:t>
      </w:r>
      <w:r>
        <w:tab/>
      </w:r>
      <w:r>
        <w:fldChar w:fldCharType="begin"/>
      </w:r>
      <w:r>
        <w:instrText xml:space="preserve"> PAGEREF _Toc1066 </w:instrText>
      </w:r>
      <w:r>
        <w:fldChar w:fldCharType="separate"/>
      </w:r>
      <w:r>
        <w:t>6</w:t>
      </w:r>
      <w:r>
        <w:fldChar w:fldCharType="end"/>
      </w:r>
      <w:r>
        <w:fldChar w:fldCharType="end"/>
      </w:r>
    </w:p>
    <w:p>
      <w:pPr>
        <w:pStyle w:val="12"/>
        <w:tabs>
          <w:tab w:val="right" w:leader="dot" w:pos="8306"/>
          <w:tab w:val="clear" w:pos="8296"/>
        </w:tabs>
      </w:pPr>
      <w:r>
        <w:fldChar w:fldCharType="begin"/>
      </w:r>
      <w:r>
        <w:instrText xml:space="preserve"> HYPERLINK \l _Toc3515 </w:instrText>
      </w:r>
      <w:r>
        <w:fldChar w:fldCharType="separate"/>
      </w:r>
      <w:r>
        <w:rPr>
          <w:rFonts w:hint="default" w:ascii="黑体" w:hAnsi="黑体" w:eastAsia="黑体"/>
        </w:rPr>
        <w:t xml:space="preserve">三、 </w:t>
      </w:r>
      <w:r>
        <w:rPr>
          <w:rFonts w:hint="eastAsia" w:ascii="黑体" w:hAnsi="黑体" w:eastAsia="黑体"/>
          <w:szCs w:val="32"/>
        </w:rPr>
        <w:t>支</w:t>
      </w:r>
      <w:r>
        <w:rPr>
          <w:rFonts w:hint="eastAsia" w:ascii="黑体" w:hAnsi="黑体" w:eastAsia="黑体"/>
        </w:rPr>
        <w:t>出决算情况说明</w:t>
      </w:r>
      <w:r>
        <w:tab/>
      </w:r>
      <w:r>
        <w:fldChar w:fldCharType="begin"/>
      </w:r>
      <w:r>
        <w:instrText xml:space="preserve"> PAGEREF _Toc3515 </w:instrText>
      </w:r>
      <w:r>
        <w:fldChar w:fldCharType="separate"/>
      </w:r>
      <w:r>
        <w:t>7</w:t>
      </w:r>
      <w:r>
        <w:fldChar w:fldCharType="end"/>
      </w:r>
      <w:r>
        <w:fldChar w:fldCharType="end"/>
      </w:r>
    </w:p>
    <w:p>
      <w:pPr>
        <w:pStyle w:val="12"/>
        <w:tabs>
          <w:tab w:val="right" w:leader="dot" w:pos="8306"/>
          <w:tab w:val="clear" w:pos="8296"/>
        </w:tabs>
      </w:pPr>
      <w:r>
        <w:fldChar w:fldCharType="begin"/>
      </w:r>
      <w:r>
        <w:instrText xml:space="preserve"> HYPERLINK \l _Toc3827 </w:instrText>
      </w:r>
      <w:r>
        <w:fldChar w:fldCharType="separate"/>
      </w:r>
      <w:r>
        <w:rPr>
          <w:rFonts w:hint="eastAsia" w:ascii="黑体" w:hAnsi="黑体" w:eastAsia="黑体"/>
          <w:szCs w:val="32"/>
        </w:rPr>
        <w:t>四、财</w:t>
      </w:r>
      <w:r>
        <w:rPr>
          <w:rFonts w:hint="eastAsia" w:ascii="黑体" w:hAnsi="黑体" w:eastAsia="黑体"/>
        </w:rPr>
        <w:t>政拨款收入支出决算总体情况说明</w:t>
      </w:r>
      <w:r>
        <w:tab/>
      </w:r>
      <w:r>
        <w:fldChar w:fldCharType="begin"/>
      </w:r>
      <w:r>
        <w:instrText xml:space="preserve"> PAGEREF _Toc3827 </w:instrText>
      </w:r>
      <w:r>
        <w:fldChar w:fldCharType="separate"/>
      </w:r>
      <w:r>
        <w:t>8</w:t>
      </w:r>
      <w:r>
        <w:fldChar w:fldCharType="end"/>
      </w:r>
      <w:r>
        <w:fldChar w:fldCharType="end"/>
      </w:r>
    </w:p>
    <w:p>
      <w:pPr>
        <w:pStyle w:val="12"/>
        <w:tabs>
          <w:tab w:val="right" w:leader="dot" w:pos="8306"/>
          <w:tab w:val="clear" w:pos="8296"/>
        </w:tabs>
      </w:pPr>
      <w:r>
        <w:fldChar w:fldCharType="begin"/>
      </w:r>
      <w:r>
        <w:instrText xml:space="preserve"> HYPERLINK \l _Toc5815 </w:instrText>
      </w:r>
      <w:r>
        <w:fldChar w:fldCharType="separate"/>
      </w:r>
      <w:r>
        <w:rPr>
          <w:rFonts w:hint="eastAsia" w:ascii="黑体" w:hAnsi="黑体" w:eastAsia="黑体"/>
          <w:szCs w:val="32"/>
        </w:rPr>
        <w:t>五、一</w:t>
      </w:r>
      <w:r>
        <w:rPr>
          <w:rFonts w:hint="eastAsia" w:ascii="黑体" w:hAnsi="黑体" w:eastAsia="黑体"/>
        </w:rPr>
        <w:t>般公共预算财政拨款支出决算情况说明</w:t>
      </w:r>
      <w:r>
        <w:tab/>
      </w:r>
      <w:r>
        <w:fldChar w:fldCharType="begin"/>
      </w:r>
      <w:r>
        <w:instrText xml:space="preserve"> PAGEREF _Toc5815 </w:instrText>
      </w:r>
      <w:r>
        <w:fldChar w:fldCharType="separate"/>
      </w:r>
      <w:r>
        <w:t>8</w:t>
      </w:r>
      <w:r>
        <w:fldChar w:fldCharType="end"/>
      </w:r>
      <w:r>
        <w:fldChar w:fldCharType="end"/>
      </w:r>
    </w:p>
    <w:p>
      <w:pPr>
        <w:pStyle w:val="7"/>
        <w:tabs>
          <w:tab w:val="right" w:leader="dot" w:pos="8306"/>
          <w:tab w:val="clear" w:pos="8296"/>
        </w:tabs>
      </w:pPr>
      <w:r>
        <w:fldChar w:fldCharType="begin"/>
      </w:r>
      <w:r>
        <w:instrText xml:space="preserve"> HYPERLINK \l _Toc20407 </w:instrText>
      </w:r>
      <w:r>
        <w:fldChar w:fldCharType="separate"/>
      </w:r>
      <w:r>
        <w:rPr>
          <w:rFonts w:hint="eastAsia" w:ascii="仿宋" w:hAnsi="仿宋" w:eastAsia="仿宋"/>
          <w:szCs w:val="32"/>
        </w:rPr>
        <w:t>（一）一般公共预算财政拨款支出决算总体情况</w:t>
      </w:r>
      <w:r>
        <w:tab/>
      </w:r>
      <w:r>
        <w:fldChar w:fldCharType="begin"/>
      </w:r>
      <w:r>
        <w:instrText xml:space="preserve"> PAGEREF _Toc20407 </w:instrText>
      </w:r>
      <w:r>
        <w:fldChar w:fldCharType="separate"/>
      </w:r>
      <w:r>
        <w:t>8</w:t>
      </w:r>
      <w:r>
        <w:fldChar w:fldCharType="end"/>
      </w:r>
      <w:r>
        <w:fldChar w:fldCharType="end"/>
      </w:r>
    </w:p>
    <w:p>
      <w:pPr>
        <w:pStyle w:val="7"/>
        <w:tabs>
          <w:tab w:val="right" w:leader="dot" w:pos="8306"/>
          <w:tab w:val="clear" w:pos="8296"/>
        </w:tabs>
      </w:pPr>
      <w:r>
        <w:fldChar w:fldCharType="begin"/>
      </w:r>
      <w:r>
        <w:instrText xml:space="preserve"> HYPERLINK \l _Toc8190 </w:instrText>
      </w:r>
      <w:r>
        <w:fldChar w:fldCharType="separate"/>
      </w:r>
      <w:r>
        <w:rPr>
          <w:rFonts w:hint="eastAsia" w:ascii="仿宋" w:hAnsi="仿宋" w:eastAsia="仿宋"/>
          <w:szCs w:val="32"/>
        </w:rPr>
        <w:t>（二）一般公共预算财政拨款支出决算结构情况</w:t>
      </w:r>
      <w:r>
        <w:tab/>
      </w:r>
      <w:r>
        <w:fldChar w:fldCharType="begin"/>
      </w:r>
      <w:r>
        <w:instrText xml:space="preserve"> PAGEREF _Toc8190 </w:instrText>
      </w:r>
      <w:r>
        <w:fldChar w:fldCharType="separate"/>
      </w:r>
      <w:r>
        <w:t>9</w:t>
      </w:r>
      <w:r>
        <w:fldChar w:fldCharType="end"/>
      </w:r>
      <w:r>
        <w:fldChar w:fldCharType="end"/>
      </w:r>
    </w:p>
    <w:p>
      <w:pPr>
        <w:pStyle w:val="7"/>
        <w:tabs>
          <w:tab w:val="right" w:leader="dot" w:pos="8306"/>
          <w:tab w:val="clear" w:pos="8296"/>
        </w:tabs>
      </w:pPr>
      <w:r>
        <w:fldChar w:fldCharType="begin"/>
      </w:r>
      <w:r>
        <w:instrText xml:space="preserve"> HYPERLINK \l _Toc14530 </w:instrText>
      </w:r>
      <w:r>
        <w:fldChar w:fldCharType="separate"/>
      </w:r>
      <w:r>
        <w:rPr>
          <w:rFonts w:hint="eastAsia" w:ascii="仿宋" w:hAnsi="仿宋" w:eastAsia="仿宋"/>
          <w:szCs w:val="32"/>
        </w:rPr>
        <w:t>（三）一般公共预算财政拨款支出决算具体情况</w:t>
      </w:r>
      <w:r>
        <w:tab/>
      </w:r>
      <w:r>
        <w:fldChar w:fldCharType="begin"/>
      </w:r>
      <w:r>
        <w:instrText xml:space="preserve"> PAGEREF _Toc14530 </w:instrText>
      </w:r>
      <w:r>
        <w:fldChar w:fldCharType="separate"/>
      </w:r>
      <w:r>
        <w:t>10</w:t>
      </w:r>
      <w:r>
        <w:fldChar w:fldCharType="end"/>
      </w:r>
      <w:r>
        <w:fldChar w:fldCharType="end"/>
      </w:r>
    </w:p>
    <w:p>
      <w:pPr>
        <w:pStyle w:val="12"/>
        <w:tabs>
          <w:tab w:val="right" w:leader="dot" w:pos="8306"/>
          <w:tab w:val="clear" w:pos="8296"/>
        </w:tabs>
      </w:pPr>
      <w:r>
        <w:fldChar w:fldCharType="begin"/>
      </w:r>
      <w:r>
        <w:instrText xml:space="preserve"> HYPERLINK \l _Toc12226 </w:instrText>
      </w:r>
      <w:r>
        <w:fldChar w:fldCharType="separate"/>
      </w:r>
      <w:r>
        <w:rPr>
          <w:rFonts w:hint="eastAsia" w:ascii="黑体" w:eastAsia="黑体"/>
          <w:szCs w:val="32"/>
        </w:rPr>
        <w:t>六、</w:t>
      </w:r>
      <w:r>
        <w:rPr>
          <w:rFonts w:hint="eastAsia" w:ascii="黑体" w:hAnsi="黑体" w:eastAsia="黑体"/>
          <w:szCs w:val="32"/>
        </w:rPr>
        <w:t>一</w:t>
      </w:r>
      <w:r>
        <w:rPr>
          <w:rFonts w:hint="eastAsia" w:ascii="黑体" w:hAnsi="黑体" w:eastAsia="黑体"/>
        </w:rPr>
        <w:t>般公共预算财政拨款基本支出决算情况说明</w:t>
      </w:r>
      <w:r>
        <w:tab/>
      </w:r>
      <w:r>
        <w:fldChar w:fldCharType="begin"/>
      </w:r>
      <w:r>
        <w:instrText xml:space="preserve"> PAGEREF _Toc12226 </w:instrText>
      </w:r>
      <w:r>
        <w:fldChar w:fldCharType="separate"/>
      </w:r>
      <w:r>
        <w:t>11</w:t>
      </w:r>
      <w:r>
        <w:fldChar w:fldCharType="end"/>
      </w:r>
      <w:r>
        <w:fldChar w:fldCharType="end"/>
      </w:r>
    </w:p>
    <w:p>
      <w:pPr>
        <w:pStyle w:val="12"/>
        <w:tabs>
          <w:tab w:val="right" w:leader="dot" w:pos="8306"/>
          <w:tab w:val="clear" w:pos="8296"/>
        </w:tabs>
      </w:pPr>
      <w:r>
        <w:fldChar w:fldCharType="begin"/>
      </w:r>
      <w:r>
        <w:instrText xml:space="preserve"> HYPERLINK \l _Toc27939 </w:instrText>
      </w:r>
      <w:r>
        <w:fldChar w:fldCharType="separate"/>
      </w:r>
      <w:r>
        <w:rPr>
          <w:rFonts w:hint="eastAsia" w:ascii="黑体" w:eastAsia="黑体"/>
          <w:szCs w:val="32"/>
        </w:rPr>
        <w:t>七、</w:t>
      </w:r>
      <w:r>
        <w:rPr>
          <w:rFonts w:hint="eastAsia" w:ascii="黑体" w:hAnsi="黑体" w:eastAsia="黑体"/>
        </w:rPr>
        <w:t>“三公”经费财政拨款支出决算情况说明</w:t>
      </w:r>
      <w:r>
        <w:tab/>
      </w:r>
      <w:r>
        <w:fldChar w:fldCharType="begin"/>
      </w:r>
      <w:r>
        <w:instrText xml:space="preserve"> PAGEREF _Toc27939 </w:instrText>
      </w:r>
      <w:r>
        <w:fldChar w:fldCharType="separate"/>
      </w:r>
      <w:r>
        <w:t>11</w:t>
      </w:r>
      <w:r>
        <w:fldChar w:fldCharType="end"/>
      </w:r>
      <w:r>
        <w:fldChar w:fldCharType="end"/>
      </w:r>
    </w:p>
    <w:p>
      <w:pPr>
        <w:pStyle w:val="7"/>
        <w:tabs>
          <w:tab w:val="right" w:leader="dot" w:pos="8306"/>
          <w:tab w:val="clear" w:pos="8296"/>
        </w:tabs>
      </w:pPr>
      <w:r>
        <w:fldChar w:fldCharType="begin"/>
      </w:r>
      <w:r>
        <w:instrText xml:space="preserve"> HYPERLINK \l _Toc30654 </w:instrText>
      </w:r>
      <w:r>
        <w:fldChar w:fldCharType="separate"/>
      </w:r>
      <w:r>
        <w:rPr>
          <w:rFonts w:hint="eastAsia" w:ascii="仿宋" w:hAnsi="仿宋" w:eastAsia="仿宋"/>
          <w:szCs w:val="32"/>
        </w:rPr>
        <w:t>（一）“三公”经费财政拨款支出决算总体情况说明</w:t>
      </w:r>
      <w:r>
        <w:tab/>
      </w:r>
      <w:r>
        <w:fldChar w:fldCharType="begin"/>
      </w:r>
      <w:r>
        <w:instrText xml:space="preserve"> PAGEREF _Toc30654 </w:instrText>
      </w:r>
      <w:r>
        <w:fldChar w:fldCharType="separate"/>
      </w:r>
      <w:r>
        <w:t>11</w:t>
      </w:r>
      <w:r>
        <w:fldChar w:fldCharType="end"/>
      </w:r>
      <w:r>
        <w:fldChar w:fldCharType="end"/>
      </w:r>
    </w:p>
    <w:p>
      <w:pPr>
        <w:pStyle w:val="7"/>
        <w:tabs>
          <w:tab w:val="right" w:leader="dot" w:pos="8306"/>
          <w:tab w:val="clear" w:pos="8296"/>
        </w:tabs>
      </w:pPr>
      <w:r>
        <w:fldChar w:fldCharType="begin"/>
      </w:r>
      <w:r>
        <w:instrText xml:space="preserve"> HYPERLINK \l _Toc9317 </w:instrText>
      </w:r>
      <w:r>
        <w:fldChar w:fldCharType="separate"/>
      </w:r>
      <w:r>
        <w:rPr>
          <w:rFonts w:hint="eastAsia" w:ascii="仿宋" w:hAnsi="仿宋" w:eastAsia="仿宋"/>
          <w:szCs w:val="32"/>
        </w:rPr>
        <w:t>（二）“三公”经费财政拨款支出决算具体情况说明</w:t>
      </w:r>
      <w:r>
        <w:tab/>
      </w:r>
      <w:r>
        <w:fldChar w:fldCharType="begin"/>
      </w:r>
      <w:r>
        <w:instrText xml:space="preserve"> PAGEREF _Toc9317 </w:instrText>
      </w:r>
      <w:r>
        <w:fldChar w:fldCharType="separate"/>
      </w:r>
      <w:r>
        <w:t>11</w:t>
      </w:r>
      <w:r>
        <w:fldChar w:fldCharType="end"/>
      </w:r>
      <w:r>
        <w:fldChar w:fldCharType="end"/>
      </w:r>
    </w:p>
    <w:p>
      <w:pPr>
        <w:pStyle w:val="12"/>
        <w:tabs>
          <w:tab w:val="right" w:leader="dot" w:pos="8306"/>
          <w:tab w:val="clear" w:pos="8296"/>
        </w:tabs>
      </w:pPr>
      <w:r>
        <w:fldChar w:fldCharType="begin"/>
      </w:r>
      <w:r>
        <w:instrText xml:space="preserve"> HYPERLINK \l _Toc15097 </w:instrText>
      </w:r>
      <w:r>
        <w:fldChar w:fldCharType="separate"/>
      </w:r>
      <w:r>
        <w:rPr>
          <w:rFonts w:hint="eastAsia" w:ascii="黑体" w:eastAsia="黑体"/>
          <w:szCs w:val="32"/>
        </w:rPr>
        <w:t>八、</w:t>
      </w:r>
      <w:r>
        <w:rPr>
          <w:rFonts w:hint="eastAsia" w:ascii="黑体" w:hAnsi="黑体" w:eastAsia="黑体"/>
        </w:rPr>
        <w:t>政府性基金预算支出决算情况说明</w:t>
      </w:r>
      <w:r>
        <w:tab/>
      </w:r>
      <w:r>
        <w:fldChar w:fldCharType="begin"/>
      </w:r>
      <w:r>
        <w:instrText xml:space="preserve"> PAGEREF _Toc15097 </w:instrText>
      </w:r>
      <w:r>
        <w:fldChar w:fldCharType="separate"/>
      </w:r>
      <w:r>
        <w:t>13</w:t>
      </w:r>
      <w:r>
        <w:fldChar w:fldCharType="end"/>
      </w:r>
      <w:r>
        <w:fldChar w:fldCharType="end"/>
      </w:r>
    </w:p>
    <w:p>
      <w:pPr>
        <w:pStyle w:val="12"/>
        <w:tabs>
          <w:tab w:val="right" w:leader="dot" w:pos="8306"/>
          <w:tab w:val="clear" w:pos="8296"/>
        </w:tabs>
      </w:pPr>
      <w:r>
        <w:fldChar w:fldCharType="begin"/>
      </w:r>
      <w:r>
        <w:instrText xml:space="preserve"> HYPERLINK \l _Toc23508 </w:instrText>
      </w:r>
      <w:r>
        <w:fldChar w:fldCharType="separate"/>
      </w:r>
      <w:r>
        <w:rPr>
          <w:rFonts w:hint="eastAsia" w:ascii="黑体" w:hAnsi="黑体" w:eastAsia="黑体"/>
        </w:rPr>
        <w:t>九、 国有资本经营预算支出决算情况说明</w:t>
      </w:r>
      <w:r>
        <w:tab/>
      </w:r>
      <w:r>
        <w:fldChar w:fldCharType="begin"/>
      </w:r>
      <w:r>
        <w:instrText xml:space="preserve"> PAGEREF _Toc23508 </w:instrText>
      </w:r>
      <w:r>
        <w:fldChar w:fldCharType="separate"/>
      </w:r>
      <w:r>
        <w:t>13</w:t>
      </w:r>
      <w:r>
        <w:fldChar w:fldCharType="end"/>
      </w:r>
      <w:r>
        <w:fldChar w:fldCharType="end"/>
      </w:r>
    </w:p>
    <w:p>
      <w:pPr>
        <w:pStyle w:val="12"/>
        <w:tabs>
          <w:tab w:val="right" w:leader="dot" w:pos="8306"/>
          <w:tab w:val="clear" w:pos="8296"/>
        </w:tabs>
      </w:pPr>
      <w:r>
        <w:fldChar w:fldCharType="begin"/>
      </w:r>
      <w:r>
        <w:instrText xml:space="preserve"> HYPERLINK \l _Toc23794 </w:instrText>
      </w:r>
      <w:r>
        <w:fldChar w:fldCharType="separate"/>
      </w:r>
      <w:r>
        <w:rPr>
          <w:rFonts w:hint="eastAsia" w:ascii="黑体" w:hAnsi="黑体" w:eastAsia="黑体"/>
          <w:szCs w:val="32"/>
        </w:rPr>
        <w:t>十</w:t>
      </w:r>
      <w:r>
        <w:rPr>
          <w:rFonts w:hint="eastAsia" w:ascii="黑体" w:hAnsi="黑体" w:eastAsia="黑体"/>
        </w:rPr>
        <w:t>、其他重要事项的情况说明</w:t>
      </w:r>
      <w:r>
        <w:tab/>
      </w:r>
      <w:r>
        <w:fldChar w:fldCharType="begin"/>
      </w:r>
      <w:r>
        <w:instrText xml:space="preserve"> PAGEREF _Toc23794 </w:instrText>
      </w:r>
      <w:r>
        <w:fldChar w:fldCharType="separate"/>
      </w:r>
      <w:r>
        <w:t>13</w:t>
      </w:r>
      <w:r>
        <w:fldChar w:fldCharType="end"/>
      </w:r>
      <w:r>
        <w:fldChar w:fldCharType="end"/>
      </w:r>
    </w:p>
    <w:p>
      <w:pPr>
        <w:pStyle w:val="7"/>
        <w:tabs>
          <w:tab w:val="right" w:leader="dot" w:pos="8306"/>
          <w:tab w:val="clear" w:pos="8296"/>
        </w:tabs>
      </w:pPr>
      <w:r>
        <w:fldChar w:fldCharType="begin"/>
      </w:r>
      <w:r>
        <w:instrText xml:space="preserve"> HYPERLINK \l _Toc14905 </w:instrText>
      </w:r>
      <w:r>
        <w:fldChar w:fldCharType="separate"/>
      </w:r>
      <w:r>
        <w:rPr>
          <w:rFonts w:hint="eastAsia" w:ascii="仿宋" w:hAnsi="仿宋" w:eastAsia="仿宋"/>
          <w:szCs w:val="32"/>
        </w:rPr>
        <w:t>（一）机关运行经费支出情况</w:t>
      </w:r>
      <w:r>
        <w:tab/>
      </w:r>
      <w:r>
        <w:fldChar w:fldCharType="begin"/>
      </w:r>
      <w:r>
        <w:instrText xml:space="preserve"> PAGEREF _Toc14905 </w:instrText>
      </w:r>
      <w:r>
        <w:fldChar w:fldCharType="separate"/>
      </w:r>
      <w:r>
        <w:t>13</w:t>
      </w:r>
      <w:r>
        <w:fldChar w:fldCharType="end"/>
      </w:r>
      <w:r>
        <w:fldChar w:fldCharType="end"/>
      </w:r>
    </w:p>
    <w:p>
      <w:pPr>
        <w:pStyle w:val="7"/>
        <w:tabs>
          <w:tab w:val="right" w:leader="dot" w:pos="8306"/>
          <w:tab w:val="clear" w:pos="8296"/>
        </w:tabs>
      </w:pPr>
      <w:r>
        <w:fldChar w:fldCharType="begin"/>
      </w:r>
      <w:r>
        <w:instrText xml:space="preserve"> HYPERLINK \l _Toc7532 </w:instrText>
      </w:r>
      <w:r>
        <w:fldChar w:fldCharType="separate"/>
      </w:r>
      <w:r>
        <w:rPr>
          <w:rFonts w:hint="eastAsia" w:ascii="仿宋" w:hAnsi="仿宋" w:eastAsia="仿宋"/>
          <w:szCs w:val="32"/>
        </w:rPr>
        <w:t>（二）政府采购支出情况</w:t>
      </w:r>
      <w:r>
        <w:tab/>
      </w:r>
      <w:r>
        <w:fldChar w:fldCharType="begin"/>
      </w:r>
      <w:r>
        <w:instrText xml:space="preserve"> PAGEREF _Toc7532 </w:instrText>
      </w:r>
      <w:r>
        <w:fldChar w:fldCharType="separate"/>
      </w:r>
      <w:r>
        <w:t>13</w:t>
      </w:r>
      <w:r>
        <w:fldChar w:fldCharType="end"/>
      </w:r>
      <w:r>
        <w:fldChar w:fldCharType="end"/>
      </w:r>
    </w:p>
    <w:p>
      <w:pPr>
        <w:pStyle w:val="7"/>
        <w:tabs>
          <w:tab w:val="right" w:leader="dot" w:pos="8306"/>
          <w:tab w:val="clear" w:pos="8296"/>
        </w:tabs>
      </w:pPr>
      <w:r>
        <w:fldChar w:fldCharType="begin"/>
      </w:r>
      <w:r>
        <w:instrText xml:space="preserve"> HYPERLINK \l _Toc27626 </w:instrText>
      </w:r>
      <w:r>
        <w:fldChar w:fldCharType="separate"/>
      </w:r>
      <w:r>
        <w:rPr>
          <w:rFonts w:hint="eastAsia" w:ascii="仿宋" w:hAnsi="仿宋" w:eastAsia="仿宋"/>
          <w:szCs w:val="32"/>
        </w:rPr>
        <w:t>（三）国有资产占有使用情况</w:t>
      </w:r>
      <w:r>
        <w:tab/>
      </w:r>
      <w:r>
        <w:fldChar w:fldCharType="begin"/>
      </w:r>
      <w:r>
        <w:instrText xml:space="preserve"> PAGEREF _Toc27626 </w:instrText>
      </w:r>
      <w:r>
        <w:fldChar w:fldCharType="separate"/>
      </w:r>
      <w:r>
        <w:t>13</w:t>
      </w:r>
      <w:r>
        <w:fldChar w:fldCharType="end"/>
      </w:r>
      <w:r>
        <w:fldChar w:fldCharType="end"/>
      </w:r>
    </w:p>
    <w:p>
      <w:pPr>
        <w:pStyle w:val="7"/>
        <w:tabs>
          <w:tab w:val="right" w:leader="dot" w:pos="8306"/>
          <w:tab w:val="clear" w:pos="8296"/>
        </w:tabs>
      </w:pPr>
      <w:r>
        <w:fldChar w:fldCharType="begin"/>
      </w:r>
      <w:r>
        <w:instrText xml:space="preserve"> HYPERLINK \l _Toc7326 </w:instrText>
      </w:r>
      <w:r>
        <w:fldChar w:fldCharType="separate"/>
      </w:r>
      <w:r>
        <w:rPr>
          <w:rFonts w:hint="eastAsia" w:ascii="仿宋" w:hAnsi="仿宋" w:eastAsia="仿宋"/>
          <w:szCs w:val="32"/>
        </w:rPr>
        <w:t>（四）预算绩效管理情况。</w:t>
      </w:r>
      <w:r>
        <w:tab/>
      </w:r>
      <w:r>
        <w:fldChar w:fldCharType="begin"/>
      </w:r>
      <w:r>
        <w:instrText xml:space="preserve"> PAGEREF _Toc7326 </w:instrText>
      </w:r>
      <w:r>
        <w:fldChar w:fldCharType="separate"/>
      </w:r>
      <w:r>
        <w:t>14</w:t>
      </w:r>
      <w:r>
        <w:fldChar w:fldCharType="end"/>
      </w:r>
      <w:r>
        <w:fldChar w:fldCharType="end"/>
      </w:r>
    </w:p>
    <w:p>
      <w:pPr>
        <w:pStyle w:val="11"/>
        <w:tabs>
          <w:tab w:val="right" w:leader="dot" w:pos="8306"/>
          <w:tab w:val="clear" w:pos="8296"/>
        </w:tabs>
      </w:pPr>
      <w:r>
        <w:fldChar w:fldCharType="begin"/>
      </w:r>
      <w:r>
        <w:instrText xml:space="preserve"> HYPERLINK \l _Toc26794 </w:instrText>
      </w:r>
      <w:r>
        <w:fldChar w:fldCharType="separate"/>
      </w:r>
      <w:r>
        <w:rPr>
          <w:rFonts w:hint="eastAsia" w:ascii="黑体" w:hAnsi="黑体" w:eastAsia="黑体"/>
        </w:rPr>
        <w:t xml:space="preserve">第三部分 </w:t>
      </w:r>
      <w:r>
        <w:rPr>
          <w:rFonts w:hint="eastAsia" w:ascii="黑体" w:hAnsi="黑体" w:eastAsia="黑体"/>
          <w:szCs w:val="44"/>
        </w:rPr>
        <w:t>名</w:t>
      </w:r>
      <w:r>
        <w:rPr>
          <w:rFonts w:hint="eastAsia" w:ascii="黑体" w:hAnsi="黑体" w:eastAsia="黑体"/>
        </w:rPr>
        <w:t>词解释</w:t>
      </w:r>
      <w:r>
        <w:tab/>
      </w:r>
      <w:r>
        <w:fldChar w:fldCharType="begin"/>
      </w:r>
      <w:r>
        <w:instrText xml:space="preserve"> PAGEREF _Toc26794 </w:instrText>
      </w:r>
      <w:r>
        <w:fldChar w:fldCharType="separate"/>
      </w:r>
      <w:r>
        <w:t>21</w:t>
      </w:r>
      <w:r>
        <w:fldChar w:fldCharType="end"/>
      </w:r>
      <w:r>
        <w:fldChar w:fldCharType="end"/>
      </w:r>
    </w:p>
    <w:p>
      <w:pPr>
        <w:pStyle w:val="11"/>
        <w:tabs>
          <w:tab w:val="right" w:leader="dot" w:pos="8306"/>
          <w:tab w:val="clear" w:pos="8296"/>
        </w:tabs>
      </w:pPr>
      <w:r>
        <w:fldChar w:fldCharType="begin"/>
      </w:r>
      <w:r>
        <w:instrText xml:space="preserve"> HYPERLINK \l _Toc4604 </w:instrText>
      </w:r>
      <w:r>
        <w:fldChar w:fldCharType="separate"/>
      </w:r>
      <w:r>
        <w:rPr>
          <w:rFonts w:hint="eastAsia" w:ascii="黑体" w:hAnsi="黑体" w:eastAsia="黑体"/>
          <w:szCs w:val="44"/>
        </w:rPr>
        <w:t>第</w:t>
      </w:r>
      <w:r>
        <w:rPr>
          <w:rFonts w:hint="eastAsia" w:ascii="黑体" w:hAnsi="黑体" w:eastAsia="黑体"/>
        </w:rPr>
        <w:t>四部分 附件</w:t>
      </w:r>
      <w:r>
        <w:tab/>
      </w:r>
      <w:r>
        <w:fldChar w:fldCharType="begin"/>
      </w:r>
      <w:r>
        <w:instrText xml:space="preserve"> PAGEREF _Toc4604 </w:instrText>
      </w:r>
      <w:r>
        <w:fldChar w:fldCharType="separate"/>
      </w:r>
      <w:r>
        <w:t>23</w:t>
      </w:r>
      <w:r>
        <w:fldChar w:fldCharType="end"/>
      </w:r>
      <w:r>
        <w:fldChar w:fldCharType="end"/>
      </w:r>
    </w:p>
    <w:p>
      <w:pPr>
        <w:pStyle w:val="11"/>
        <w:tabs>
          <w:tab w:val="right" w:leader="dot" w:pos="8306"/>
          <w:tab w:val="clear" w:pos="8296"/>
        </w:tabs>
      </w:pPr>
      <w:r>
        <w:fldChar w:fldCharType="begin"/>
      </w:r>
      <w:r>
        <w:instrText xml:space="preserve"> HYPERLINK \l _Toc17847 </w:instrText>
      </w:r>
      <w:r>
        <w:fldChar w:fldCharType="separate"/>
      </w:r>
      <w:r>
        <w:rPr>
          <w:rFonts w:hint="eastAsia" w:ascii="黑体" w:hAnsi="黑体" w:eastAsia="黑体"/>
          <w:szCs w:val="44"/>
        </w:rPr>
        <w:t>第</w:t>
      </w:r>
      <w:r>
        <w:rPr>
          <w:rFonts w:hint="eastAsia" w:ascii="黑体" w:hAnsi="黑体" w:eastAsia="黑体"/>
        </w:rPr>
        <w:t>五部分 附表</w:t>
      </w:r>
      <w:r>
        <w:tab/>
      </w:r>
      <w:r>
        <w:fldChar w:fldCharType="begin"/>
      </w:r>
      <w:r>
        <w:instrText xml:space="preserve"> PAGEREF _Toc17847 </w:instrText>
      </w:r>
      <w:r>
        <w:fldChar w:fldCharType="separate"/>
      </w:r>
      <w:r>
        <w:t>30</w:t>
      </w:r>
      <w:r>
        <w:fldChar w:fldCharType="end"/>
      </w:r>
      <w:r>
        <w:fldChar w:fldCharType="end"/>
      </w:r>
    </w:p>
    <w:p>
      <w:pPr>
        <w:pStyle w:val="12"/>
        <w:tabs>
          <w:tab w:val="right" w:leader="dot" w:pos="8306"/>
          <w:tab w:val="clear" w:pos="8296"/>
        </w:tabs>
      </w:pPr>
      <w:r>
        <w:fldChar w:fldCharType="begin"/>
      </w:r>
      <w:r>
        <w:instrText xml:space="preserve"> HYPERLINK \l _Toc920 </w:instrText>
      </w:r>
      <w:r>
        <w:fldChar w:fldCharType="separate"/>
      </w:r>
      <w:r>
        <w:rPr>
          <w:rFonts w:hint="eastAsia" w:ascii="仿宋" w:hAnsi="仿宋" w:eastAsia="仿宋"/>
        </w:rPr>
        <w:t>一、收</w:t>
      </w:r>
      <w:r>
        <w:rPr>
          <w:rFonts w:hint="eastAsia" w:ascii="仿宋" w:hAnsi="仿宋" w:eastAsia="仿宋"/>
          <w:bCs w:val="0"/>
        </w:rPr>
        <w:t>入支出决算总表</w:t>
      </w:r>
      <w:r>
        <w:tab/>
      </w:r>
      <w:r>
        <w:fldChar w:fldCharType="begin"/>
      </w:r>
      <w:r>
        <w:instrText xml:space="preserve"> PAGEREF _Toc920 </w:instrText>
      </w:r>
      <w:r>
        <w:fldChar w:fldCharType="separate"/>
      </w:r>
      <w:r>
        <w:t>30</w:t>
      </w:r>
      <w:r>
        <w:fldChar w:fldCharType="end"/>
      </w:r>
      <w:r>
        <w:fldChar w:fldCharType="end"/>
      </w:r>
    </w:p>
    <w:p>
      <w:pPr>
        <w:pStyle w:val="12"/>
        <w:tabs>
          <w:tab w:val="right" w:leader="dot" w:pos="8306"/>
          <w:tab w:val="clear" w:pos="8296"/>
        </w:tabs>
      </w:pPr>
      <w:r>
        <w:fldChar w:fldCharType="begin"/>
      </w:r>
      <w:r>
        <w:instrText xml:space="preserve"> HYPERLINK \l _Toc2822 </w:instrText>
      </w:r>
      <w:r>
        <w:fldChar w:fldCharType="separate"/>
      </w:r>
      <w:r>
        <w:rPr>
          <w:rFonts w:hint="eastAsia" w:ascii="仿宋" w:hAnsi="仿宋" w:eastAsia="仿宋"/>
        </w:rPr>
        <w:t>二、收</w:t>
      </w:r>
      <w:r>
        <w:rPr>
          <w:rFonts w:hint="eastAsia" w:ascii="仿宋" w:hAnsi="仿宋" w:eastAsia="仿宋"/>
          <w:bCs w:val="0"/>
        </w:rPr>
        <w:t>入决算表</w:t>
      </w:r>
      <w:r>
        <w:tab/>
      </w:r>
      <w:r>
        <w:fldChar w:fldCharType="begin"/>
      </w:r>
      <w:r>
        <w:instrText xml:space="preserve"> PAGEREF _Toc2822 </w:instrText>
      </w:r>
      <w:r>
        <w:fldChar w:fldCharType="separate"/>
      </w:r>
      <w:r>
        <w:t>30</w:t>
      </w:r>
      <w:r>
        <w:fldChar w:fldCharType="end"/>
      </w:r>
      <w:r>
        <w:fldChar w:fldCharType="end"/>
      </w:r>
    </w:p>
    <w:p>
      <w:pPr>
        <w:pStyle w:val="12"/>
        <w:tabs>
          <w:tab w:val="right" w:leader="dot" w:pos="8306"/>
          <w:tab w:val="clear" w:pos="8296"/>
        </w:tabs>
      </w:pPr>
      <w:r>
        <w:fldChar w:fldCharType="begin"/>
      </w:r>
      <w:r>
        <w:instrText xml:space="preserve"> HYPERLINK \l _Toc18364 </w:instrText>
      </w:r>
      <w:r>
        <w:fldChar w:fldCharType="separate"/>
      </w:r>
      <w:r>
        <w:rPr>
          <w:rFonts w:hint="eastAsia" w:ascii="仿宋" w:hAnsi="仿宋" w:eastAsia="仿宋"/>
          <w:bCs w:val="0"/>
        </w:rPr>
        <w:t>三、</w:t>
      </w:r>
      <w:r>
        <w:rPr>
          <w:rFonts w:hint="eastAsia" w:ascii="仿宋" w:hAnsi="仿宋" w:eastAsia="仿宋"/>
        </w:rPr>
        <w:t>支</w:t>
      </w:r>
      <w:r>
        <w:rPr>
          <w:rFonts w:hint="eastAsia" w:ascii="仿宋" w:hAnsi="仿宋" w:eastAsia="仿宋"/>
          <w:bCs w:val="0"/>
        </w:rPr>
        <w:t>出决算表</w:t>
      </w:r>
      <w:r>
        <w:tab/>
      </w:r>
      <w:r>
        <w:fldChar w:fldCharType="begin"/>
      </w:r>
      <w:r>
        <w:instrText xml:space="preserve"> PAGEREF _Toc18364 </w:instrText>
      </w:r>
      <w:r>
        <w:fldChar w:fldCharType="separate"/>
      </w:r>
      <w:r>
        <w:t>30</w:t>
      </w:r>
      <w:r>
        <w:fldChar w:fldCharType="end"/>
      </w:r>
      <w:r>
        <w:fldChar w:fldCharType="end"/>
      </w:r>
    </w:p>
    <w:p>
      <w:pPr>
        <w:pStyle w:val="12"/>
        <w:tabs>
          <w:tab w:val="right" w:leader="dot" w:pos="8306"/>
          <w:tab w:val="clear" w:pos="8296"/>
        </w:tabs>
      </w:pPr>
      <w:r>
        <w:fldChar w:fldCharType="begin"/>
      </w:r>
      <w:r>
        <w:instrText xml:space="preserve"> HYPERLINK \l _Toc5640 </w:instrText>
      </w:r>
      <w:r>
        <w:fldChar w:fldCharType="separate"/>
      </w:r>
      <w:r>
        <w:rPr>
          <w:rFonts w:hint="eastAsia" w:ascii="仿宋" w:hAnsi="仿宋" w:eastAsia="仿宋"/>
          <w:bCs w:val="0"/>
        </w:rPr>
        <w:t>四、</w:t>
      </w:r>
      <w:r>
        <w:rPr>
          <w:rFonts w:hint="eastAsia" w:ascii="仿宋" w:hAnsi="仿宋" w:eastAsia="仿宋"/>
        </w:rPr>
        <w:t>财</w:t>
      </w:r>
      <w:r>
        <w:rPr>
          <w:rFonts w:hint="eastAsia" w:ascii="仿宋" w:hAnsi="仿宋" w:eastAsia="仿宋"/>
          <w:bCs w:val="0"/>
        </w:rPr>
        <w:t>政拨款收入支出决算总表</w:t>
      </w:r>
      <w:r>
        <w:tab/>
      </w:r>
      <w:r>
        <w:fldChar w:fldCharType="begin"/>
      </w:r>
      <w:r>
        <w:instrText xml:space="preserve"> PAGEREF _Toc5640 </w:instrText>
      </w:r>
      <w:r>
        <w:fldChar w:fldCharType="separate"/>
      </w:r>
      <w:r>
        <w:t>30</w:t>
      </w:r>
      <w:r>
        <w:fldChar w:fldCharType="end"/>
      </w:r>
      <w:r>
        <w:fldChar w:fldCharType="end"/>
      </w:r>
    </w:p>
    <w:p>
      <w:pPr>
        <w:pStyle w:val="12"/>
        <w:tabs>
          <w:tab w:val="right" w:leader="dot" w:pos="8306"/>
          <w:tab w:val="clear" w:pos="8296"/>
        </w:tabs>
      </w:pPr>
      <w:r>
        <w:fldChar w:fldCharType="begin"/>
      </w:r>
      <w:r>
        <w:instrText xml:space="preserve"> HYPERLINK \l _Toc25994 </w:instrText>
      </w:r>
      <w:r>
        <w:fldChar w:fldCharType="separate"/>
      </w:r>
      <w:r>
        <w:rPr>
          <w:rFonts w:hint="eastAsia" w:ascii="仿宋" w:hAnsi="仿宋" w:eastAsia="仿宋"/>
          <w:bCs w:val="0"/>
        </w:rPr>
        <w:t>五、</w:t>
      </w:r>
      <w:r>
        <w:rPr>
          <w:rFonts w:hint="eastAsia" w:ascii="仿宋" w:hAnsi="仿宋" w:eastAsia="仿宋"/>
        </w:rPr>
        <w:t>财</w:t>
      </w:r>
      <w:r>
        <w:rPr>
          <w:rFonts w:hint="eastAsia" w:ascii="仿宋" w:hAnsi="仿宋" w:eastAsia="仿宋"/>
          <w:bCs w:val="0"/>
        </w:rPr>
        <w:t>政拨款支出决算明细表</w:t>
      </w:r>
      <w:r>
        <w:tab/>
      </w:r>
      <w:r>
        <w:fldChar w:fldCharType="begin"/>
      </w:r>
      <w:r>
        <w:instrText xml:space="preserve"> PAGEREF _Toc25994 </w:instrText>
      </w:r>
      <w:r>
        <w:fldChar w:fldCharType="separate"/>
      </w:r>
      <w:r>
        <w:t>30</w:t>
      </w:r>
      <w:r>
        <w:fldChar w:fldCharType="end"/>
      </w:r>
      <w:r>
        <w:fldChar w:fldCharType="end"/>
      </w:r>
    </w:p>
    <w:p>
      <w:pPr>
        <w:pStyle w:val="12"/>
        <w:tabs>
          <w:tab w:val="right" w:leader="dot" w:pos="8306"/>
          <w:tab w:val="clear" w:pos="8296"/>
        </w:tabs>
      </w:pPr>
      <w:r>
        <w:fldChar w:fldCharType="begin"/>
      </w:r>
      <w:r>
        <w:instrText xml:space="preserve"> HYPERLINK \l _Toc12485 </w:instrText>
      </w:r>
      <w:r>
        <w:fldChar w:fldCharType="separate"/>
      </w:r>
      <w:r>
        <w:rPr>
          <w:rFonts w:hint="eastAsia" w:ascii="仿宋" w:hAnsi="仿宋" w:eastAsia="仿宋"/>
          <w:bCs w:val="0"/>
        </w:rPr>
        <w:t>六、</w:t>
      </w:r>
      <w:r>
        <w:rPr>
          <w:rFonts w:hint="eastAsia" w:ascii="仿宋" w:hAnsi="仿宋" w:eastAsia="仿宋"/>
        </w:rPr>
        <w:t>一</w:t>
      </w:r>
      <w:r>
        <w:rPr>
          <w:rFonts w:hint="eastAsia" w:ascii="仿宋" w:hAnsi="仿宋" w:eastAsia="仿宋"/>
          <w:bCs w:val="0"/>
        </w:rPr>
        <w:t>般公共预算财政拨款支出决算表</w:t>
      </w:r>
      <w:r>
        <w:tab/>
      </w:r>
      <w:r>
        <w:fldChar w:fldCharType="begin"/>
      </w:r>
      <w:r>
        <w:instrText xml:space="preserve"> PAGEREF _Toc12485 </w:instrText>
      </w:r>
      <w:r>
        <w:fldChar w:fldCharType="separate"/>
      </w:r>
      <w:r>
        <w:t>30</w:t>
      </w:r>
      <w:r>
        <w:fldChar w:fldCharType="end"/>
      </w:r>
      <w:r>
        <w:fldChar w:fldCharType="end"/>
      </w:r>
    </w:p>
    <w:p>
      <w:pPr>
        <w:pStyle w:val="12"/>
        <w:tabs>
          <w:tab w:val="right" w:leader="dot" w:pos="8306"/>
          <w:tab w:val="clear" w:pos="8296"/>
        </w:tabs>
      </w:pPr>
      <w:r>
        <w:fldChar w:fldCharType="begin"/>
      </w:r>
      <w:r>
        <w:instrText xml:space="preserve"> HYPERLINK \l _Toc9989 </w:instrText>
      </w:r>
      <w:r>
        <w:fldChar w:fldCharType="separate"/>
      </w:r>
      <w:r>
        <w:rPr>
          <w:rFonts w:hint="eastAsia" w:ascii="仿宋" w:hAnsi="仿宋" w:eastAsia="仿宋"/>
          <w:bCs w:val="0"/>
        </w:rPr>
        <w:t>七、</w:t>
      </w:r>
      <w:r>
        <w:rPr>
          <w:rFonts w:hint="eastAsia" w:ascii="仿宋" w:hAnsi="仿宋" w:eastAsia="仿宋"/>
        </w:rPr>
        <w:t>一</w:t>
      </w:r>
      <w:r>
        <w:rPr>
          <w:rFonts w:hint="eastAsia" w:ascii="仿宋" w:hAnsi="仿宋" w:eastAsia="仿宋"/>
          <w:bCs w:val="0"/>
        </w:rPr>
        <w:t>般公共预算财政拨款支出决算明细表</w:t>
      </w:r>
      <w:r>
        <w:tab/>
      </w:r>
      <w:r>
        <w:fldChar w:fldCharType="begin"/>
      </w:r>
      <w:r>
        <w:instrText xml:space="preserve"> PAGEREF _Toc9989 </w:instrText>
      </w:r>
      <w:r>
        <w:fldChar w:fldCharType="separate"/>
      </w:r>
      <w:r>
        <w:t>30</w:t>
      </w:r>
      <w:r>
        <w:fldChar w:fldCharType="end"/>
      </w:r>
      <w:r>
        <w:fldChar w:fldCharType="end"/>
      </w:r>
    </w:p>
    <w:p>
      <w:pPr>
        <w:pStyle w:val="12"/>
        <w:tabs>
          <w:tab w:val="right" w:leader="dot" w:pos="8306"/>
          <w:tab w:val="clear" w:pos="8296"/>
        </w:tabs>
      </w:pPr>
      <w:r>
        <w:fldChar w:fldCharType="begin"/>
      </w:r>
      <w:r>
        <w:instrText xml:space="preserve"> HYPERLINK \l _Toc27873 </w:instrText>
      </w:r>
      <w:r>
        <w:fldChar w:fldCharType="separate"/>
      </w:r>
      <w:r>
        <w:rPr>
          <w:rFonts w:hint="eastAsia" w:ascii="仿宋" w:hAnsi="仿宋" w:eastAsia="仿宋"/>
          <w:bCs w:val="0"/>
        </w:rPr>
        <w:t>八、</w:t>
      </w:r>
      <w:r>
        <w:rPr>
          <w:rFonts w:hint="eastAsia" w:ascii="仿宋" w:hAnsi="仿宋" w:eastAsia="仿宋"/>
        </w:rPr>
        <w:t>一</w:t>
      </w:r>
      <w:r>
        <w:rPr>
          <w:rFonts w:hint="eastAsia" w:ascii="仿宋" w:hAnsi="仿宋" w:eastAsia="仿宋"/>
          <w:bCs w:val="0"/>
        </w:rPr>
        <w:t>般公共预算财政拨款基本支出决算表</w:t>
      </w:r>
      <w:r>
        <w:tab/>
      </w:r>
      <w:r>
        <w:fldChar w:fldCharType="begin"/>
      </w:r>
      <w:r>
        <w:instrText xml:space="preserve"> PAGEREF _Toc27873 </w:instrText>
      </w:r>
      <w:r>
        <w:fldChar w:fldCharType="separate"/>
      </w:r>
      <w:r>
        <w:t>30</w:t>
      </w:r>
      <w:r>
        <w:fldChar w:fldCharType="end"/>
      </w:r>
      <w:r>
        <w:fldChar w:fldCharType="end"/>
      </w:r>
    </w:p>
    <w:p>
      <w:pPr>
        <w:pStyle w:val="12"/>
        <w:tabs>
          <w:tab w:val="right" w:leader="dot" w:pos="8306"/>
          <w:tab w:val="clear" w:pos="8296"/>
        </w:tabs>
      </w:pPr>
      <w:r>
        <w:fldChar w:fldCharType="begin"/>
      </w:r>
      <w:r>
        <w:instrText xml:space="preserve"> HYPERLINK \l _Toc20519 </w:instrText>
      </w:r>
      <w:r>
        <w:fldChar w:fldCharType="separate"/>
      </w:r>
      <w:r>
        <w:rPr>
          <w:rFonts w:hint="eastAsia" w:ascii="仿宋" w:hAnsi="仿宋" w:eastAsia="仿宋"/>
          <w:bCs w:val="0"/>
        </w:rPr>
        <w:t>九、</w:t>
      </w:r>
      <w:r>
        <w:rPr>
          <w:rFonts w:hint="eastAsia" w:ascii="仿宋" w:hAnsi="仿宋" w:eastAsia="仿宋"/>
        </w:rPr>
        <w:t>一</w:t>
      </w:r>
      <w:r>
        <w:rPr>
          <w:rFonts w:hint="eastAsia" w:ascii="仿宋" w:hAnsi="仿宋" w:eastAsia="仿宋"/>
          <w:bCs w:val="0"/>
        </w:rPr>
        <w:t>般公共预算财政拨款项目支出决算表</w:t>
      </w:r>
      <w:r>
        <w:tab/>
      </w:r>
      <w:r>
        <w:fldChar w:fldCharType="begin"/>
      </w:r>
      <w:r>
        <w:instrText xml:space="preserve"> PAGEREF _Toc20519 </w:instrText>
      </w:r>
      <w:r>
        <w:fldChar w:fldCharType="separate"/>
      </w:r>
      <w:r>
        <w:t>30</w:t>
      </w:r>
      <w:r>
        <w:fldChar w:fldCharType="end"/>
      </w:r>
      <w:r>
        <w:fldChar w:fldCharType="end"/>
      </w:r>
    </w:p>
    <w:p>
      <w:pPr>
        <w:pStyle w:val="12"/>
        <w:tabs>
          <w:tab w:val="right" w:leader="dot" w:pos="8306"/>
          <w:tab w:val="clear" w:pos="8296"/>
        </w:tabs>
      </w:pPr>
      <w:r>
        <w:fldChar w:fldCharType="begin"/>
      </w:r>
      <w:r>
        <w:instrText xml:space="preserve"> HYPERLINK \l _Toc15280 </w:instrText>
      </w:r>
      <w:r>
        <w:fldChar w:fldCharType="separate"/>
      </w:r>
      <w:r>
        <w:rPr>
          <w:rFonts w:hint="eastAsia" w:ascii="仿宋" w:hAnsi="仿宋" w:eastAsia="仿宋"/>
          <w:bCs w:val="0"/>
        </w:rPr>
        <w:t>十、</w:t>
      </w:r>
      <w:r>
        <w:rPr>
          <w:rFonts w:hint="eastAsia" w:ascii="仿宋" w:hAnsi="仿宋" w:eastAsia="仿宋"/>
        </w:rPr>
        <w:t>一</w:t>
      </w:r>
      <w:r>
        <w:rPr>
          <w:rFonts w:hint="eastAsia" w:ascii="仿宋" w:hAnsi="仿宋" w:eastAsia="仿宋"/>
          <w:bCs w:val="0"/>
        </w:rPr>
        <w:t>般公共预算财政拨款“三公”经费支出决算表</w:t>
      </w:r>
      <w:r>
        <w:tab/>
      </w:r>
      <w:r>
        <w:fldChar w:fldCharType="begin"/>
      </w:r>
      <w:r>
        <w:instrText xml:space="preserve"> PAGEREF _Toc15280 </w:instrText>
      </w:r>
      <w:r>
        <w:fldChar w:fldCharType="separate"/>
      </w:r>
      <w:r>
        <w:t>30</w:t>
      </w:r>
      <w:r>
        <w:fldChar w:fldCharType="end"/>
      </w:r>
      <w:r>
        <w:fldChar w:fldCharType="end"/>
      </w:r>
    </w:p>
    <w:p>
      <w:pPr>
        <w:pStyle w:val="12"/>
        <w:tabs>
          <w:tab w:val="right" w:leader="dot" w:pos="8306"/>
          <w:tab w:val="clear" w:pos="8296"/>
        </w:tabs>
      </w:pPr>
      <w:r>
        <w:fldChar w:fldCharType="begin"/>
      </w:r>
      <w:r>
        <w:instrText xml:space="preserve"> HYPERLINK \l _Toc23860 </w:instrText>
      </w:r>
      <w:r>
        <w:fldChar w:fldCharType="separate"/>
      </w:r>
      <w:r>
        <w:rPr>
          <w:rFonts w:hint="eastAsia" w:ascii="仿宋" w:hAnsi="仿宋" w:eastAsia="仿宋"/>
          <w:bCs w:val="0"/>
        </w:rPr>
        <w:t>十一、</w:t>
      </w:r>
      <w:r>
        <w:rPr>
          <w:rFonts w:hint="eastAsia" w:ascii="仿宋" w:hAnsi="仿宋" w:eastAsia="仿宋"/>
        </w:rPr>
        <w:t>政</w:t>
      </w:r>
      <w:r>
        <w:rPr>
          <w:rFonts w:hint="eastAsia" w:ascii="仿宋" w:hAnsi="仿宋" w:eastAsia="仿宋"/>
          <w:bCs w:val="0"/>
        </w:rPr>
        <w:t>府性基金预算财政拨款收入支出决算表</w:t>
      </w:r>
      <w:r>
        <w:tab/>
      </w:r>
      <w:r>
        <w:fldChar w:fldCharType="begin"/>
      </w:r>
      <w:r>
        <w:instrText xml:space="preserve"> PAGEREF _Toc23860 </w:instrText>
      </w:r>
      <w:r>
        <w:fldChar w:fldCharType="separate"/>
      </w:r>
      <w:r>
        <w:t>30</w:t>
      </w:r>
      <w:r>
        <w:fldChar w:fldCharType="end"/>
      </w:r>
      <w:r>
        <w:fldChar w:fldCharType="end"/>
      </w:r>
    </w:p>
    <w:p>
      <w:pPr>
        <w:pStyle w:val="12"/>
        <w:tabs>
          <w:tab w:val="right" w:leader="dot" w:pos="8306"/>
          <w:tab w:val="clear" w:pos="8296"/>
        </w:tabs>
      </w:pPr>
      <w:r>
        <w:fldChar w:fldCharType="begin"/>
      </w:r>
      <w:r>
        <w:instrText xml:space="preserve"> HYPERLINK \l _Toc8127 </w:instrText>
      </w:r>
      <w:r>
        <w:fldChar w:fldCharType="separate"/>
      </w:r>
      <w:r>
        <w:rPr>
          <w:rFonts w:hint="eastAsia" w:ascii="仿宋" w:hAnsi="仿宋" w:eastAsia="仿宋"/>
          <w:bCs w:val="0"/>
        </w:rPr>
        <w:t>十二、</w:t>
      </w:r>
      <w:r>
        <w:rPr>
          <w:rFonts w:hint="eastAsia" w:ascii="仿宋" w:hAnsi="仿宋" w:eastAsia="仿宋"/>
        </w:rPr>
        <w:t>政</w:t>
      </w:r>
      <w:r>
        <w:rPr>
          <w:rFonts w:hint="eastAsia" w:ascii="仿宋" w:hAnsi="仿宋" w:eastAsia="仿宋"/>
          <w:bCs w:val="0"/>
        </w:rPr>
        <w:t>府性基金预算财政拨款“三公”经费支出决算表</w:t>
      </w:r>
      <w:r>
        <w:tab/>
      </w:r>
      <w:r>
        <w:fldChar w:fldCharType="begin"/>
      </w:r>
      <w:r>
        <w:instrText xml:space="preserve"> PAGEREF _Toc8127 </w:instrText>
      </w:r>
      <w:r>
        <w:fldChar w:fldCharType="separate"/>
      </w:r>
      <w:r>
        <w:t>30</w:t>
      </w:r>
      <w:r>
        <w:fldChar w:fldCharType="end"/>
      </w:r>
      <w:r>
        <w:fldChar w:fldCharType="end"/>
      </w:r>
    </w:p>
    <w:p>
      <w:pPr>
        <w:pStyle w:val="12"/>
        <w:tabs>
          <w:tab w:val="right" w:leader="dot" w:pos="8306"/>
          <w:tab w:val="clear" w:pos="8296"/>
        </w:tabs>
      </w:pPr>
      <w:r>
        <w:fldChar w:fldCharType="begin"/>
      </w:r>
      <w:r>
        <w:instrText xml:space="preserve"> HYPERLINK \l _Toc10381 </w:instrText>
      </w:r>
      <w:r>
        <w:fldChar w:fldCharType="separate"/>
      </w:r>
      <w:r>
        <w:rPr>
          <w:rFonts w:hint="eastAsia" w:ascii="仿宋" w:hAnsi="仿宋" w:eastAsia="仿宋"/>
          <w:bCs w:val="0"/>
        </w:rPr>
        <w:t>十三、</w:t>
      </w:r>
      <w:r>
        <w:rPr>
          <w:rFonts w:hint="eastAsia" w:ascii="仿宋" w:hAnsi="仿宋" w:eastAsia="仿宋"/>
        </w:rPr>
        <w:t>国</w:t>
      </w:r>
      <w:r>
        <w:rPr>
          <w:rFonts w:hint="eastAsia" w:ascii="仿宋" w:hAnsi="仿宋" w:eastAsia="仿宋"/>
          <w:bCs w:val="0"/>
        </w:rPr>
        <w:t>有资本经营预算支出决算表</w:t>
      </w:r>
      <w:r>
        <w:tab/>
      </w:r>
      <w:r>
        <w:fldChar w:fldCharType="begin"/>
      </w:r>
      <w:r>
        <w:instrText xml:space="preserve"> PAGEREF _Toc10381 </w:instrText>
      </w:r>
      <w:r>
        <w:fldChar w:fldCharType="separate"/>
      </w:r>
      <w:r>
        <w:t>30</w:t>
      </w:r>
      <w:r>
        <w:fldChar w:fldCharType="end"/>
      </w:r>
      <w:r>
        <w:fldChar w:fldCharType="end"/>
      </w:r>
    </w:p>
    <w:p>
      <w:r>
        <w:fldChar w:fldCharType="end"/>
      </w:r>
    </w:p>
    <w:p>
      <w:pPr>
        <w:widowControl/>
        <w:adjustRightInd w:val="0"/>
        <w:snapToGrid w:val="0"/>
        <w:spacing w:line="440" w:lineRule="exact"/>
        <w:ind w:firstLine="1320" w:firstLineChars="550"/>
        <w:jc w:val="left"/>
        <w:rPr>
          <w:rFonts w:ascii="仿宋" w:hAnsi="仿宋" w:eastAsia="仿宋"/>
          <w:color w:val="FF0000"/>
          <w:sz w:val="24"/>
        </w:rPr>
      </w:pPr>
    </w:p>
    <w:p>
      <w:pPr>
        <w:widowControl/>
        <w:spacing w:line="440" w:lineRule="exact"/>
        <w:jc w:val="left"/>
        <w:rPr>
          <w:rFonts w:ascii="仿宋" w:hAnsi="仿宋" w:eastAsia="仿宋"/>
          <w:bCs/>
          <w:kern w:val="44"/>
          <w:sz w:val="24"/>
        </w:rPr>
      </w:pPr>
      <w:bookmarkStart w:id="14" w:name="_Toc15396599"/>
      <w:bookmarkStart w:id="15" w:name="_Toc15377196"/>
      <w:r>
        <w:rPr>
          <w:rFonts w:ascii="仿宋" w:hAnsi="仿宋" w:eastAsia="仿宋"/>
          <w:b/>
          <w:sz w:val="24"/>
        </w:rPr>
        <w:br w:type="page"/>
      </w:r>
    </w:p>
    <w:p>
      <w:pPr>
        <w:pStyle w:val="2"/>
        <w:jc w:val="center"/>
        <w:rPr>
          <w:rFonts w:ascii="黑体" w:eastAsia="黑体"/>
          <w:color w:val="000000"/>
          <w:sz w:val="32"/>
          <w:szCs w:val="32"/>
        </w:rPr>
      </w:pPr>
      <w:bookmarkStart w:id="16" w:name="_Toc17986"/>
      <w:r>
        <w:rPr>
          <w:rFonts w:hint="eastAsia" w:ascii="黑体" w:hAnsi="黑体" w:eastAsia="黑体"/>
          <w:b w:val="0"/>
        </w:rPr>
        <w:t xml:space="preserve">第一部分 </w:t>
      </w:r>
      <w:r>
        <w:rPr>
          <w:rStyle w:val="28"/>
          <w:rFonts w:hint="eastAsia" w:ascii="黑体" w:hAnsi="黑体" w:eastAsia="黑体"/>
          <w:b w:val="0"/>
          <w:bCs w:val="0"/>
        </w:rPr>
        <w:t>部门概况</w:t>
      </w:r>
      <w:bookmarkEnd w:id="14"/>
      <w:bookmarkEnd w:id="15"/>
      <w:bookmarkEnd w:id="16"/>
    </w:p>
    <w:p>
      <w:pPr>
        <w:pStyle w:val="3"/>
        <w:rPr>
          <w:rStyle w:val="29"/>
          <w:rFonts w:ascii="仿宋" w:hAnsi="仿宋" w:eastAsia="仿宋"/>
          <w:b w:val="0"/>
          <w:bCs w:val="0"/>
        </w:rPr>
      </w:pPr>
      <w:bookmarkStart w:id="17" w:name="_Toc15377197"/>
      <w:bookmarkStart w:id="18" w:name="_Toc15396600"/>
      <w:bookmarkStart w:id="19" w:name="_Toc15626"/>
      <w:r>
        <w:rPr>
          <w:rFonts w:hint="eastAsia" w:ascii="黑体" w:hAnsi="黑体" w:eastAsia="黑体"/>
          <w:b w:val="0"/>
          <w:color w:val="000000"/>
        </w:rPr>
        <w:t>一、基</w:t>
      </w:r>
      <w:r>
        <w:rPr>
          <w:rStyle w:val="29"/>
          <w:rFonts w:hint="eastAsia" w:ascii="黑体" w:hAnsi="黑体" w:eastAsia="黑体"/>
          <w:b w:val="0"/>
          <w:bCs w:val="0"/>
        </w:rPr>
        <w:t>本职能及主要工作</w:t>
      </w:r>
      <w:bookmarkEnd w:id="17"/>
      <w:bookmarkEnd w:id="18"/>
      <w:bookmarkEnd w:id="19"/>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0" w:name="_Toc15377198"/>
      <w:bookmarkStart w:id="21" w:name="_Toc15378445"/>
      <w:bookmarkStart w:id="22" w:name="_Toc7983"/>
      <w:r>
        <w:rPr>
          <w:rFonts w:hint="eastAsia" w:ascii="仿宋" w:hAnsi="仿宋" w:eastAsia="仿宋"/>
          <w:bCs/>
          <w:color w:val="000000"/>
          <w:sz w:val="32"/>
          <w:szCs w:val="32"/>
        </w:rPr>
        <w:t>（一）主要职能。</w:t>
      </w:r>
      <w:bookmarkEnd w:id="20"/>
      <w:bookmarkEnd w:id="21"/>
      <w:bookmarkEnd w:id="22"/>
      <w:bookmarkStart w:id="23" w:name="_Toc15378446"/>
      <w:bookmarkStart w:id="24" w:name="_Toc15377199"/>
    </w:p>
    <w:p>
      <w:pPr>
        <w:pStyle w:val="5"/>
        <w:adjustRightInd w:val="0"/>
        <w:snapToGrid w:val="0"/>
        <w:spacing w:before="93" w:line="600" w:lineRule="exact"/>
        <w:ind w:firstLine="630" w:firstLineChars="210"/>
        <w:outlineLvl w:val="2"/>
        <w:rPr>
          <w:rFonts w:hint="eastAsia" w:ascii="仿宋" w:hAnsi="仿宋" w:eastAsia="仿宋"/>
          <w:bCs/>
          <w:color w:val="000000"/>
          <w:sz w:val="32"/>
          <w:szCs w:val="32"/>
        </w:rPr>
      </w:pPr>
      <w:bookmarkStart w:id="25" w:name="_Toc13495"/>
      <w:r>
        <w:rPr>
          <w:rFonts w:hint="eastAsia" w:ascii="Calibri" w:hAnsi="Calibri" w:eastAsia="仿宋_GB2312"/>
          <w:sz w:val="30"/>
          <w:szCs w:val="30"/>
        </w:rPr>
        <w:t>中共红原县委机构编制委员会办公室</w:t>
      </w:r>
      <w:r>
        <w:rPr>
          <w:rFonts w:hint="eastAsia" w:ascii="Calibri" w:hAnsi="Calibri" w:eastAsia="仿宋_GB2312"/>
          <w:sz w:val="30"/>
          <w:szCs w:val="30"/>
          <w:lang w:eastAsia="zh-CN"/>
        </w:rPr>
        <w:t>负责全县各机关及事业单位的</w:t>
      </w:r>
      <w:r>
        <w:rPr>
          <w:rFonts w:hint="eastAsia" w:ascii="Calibri" w:hAnsi="Calibri" w:eastAsia="仿宋_GB2312"/>
          <w:sz w:val="30"/>
          <w:szCs w:val="30"/>
          <w:lang w:val="en-US" w:eastAsia="zh-CN"/>
        </w:rPr>
        <w:t>机构编制</w:t>
      </w:r>
      <w:r>
        <w:rPr>
          <w:rFonts w:hint="eastAsia" w:ascii="Calibri" w:hAnsi="Calibri" w:eastAsia="仿宋_GB2312"/>
          <w:sz w:val="30"/>
          <w:szCs w:val="30"/>
          <w:lang w:eastAsia="zh-CN"/>
        </w:rPr>
        <w:t>的管理工作，负责各单位机构设置、人员编制和领导职数的调整；审核工作机构的调整；分配下达各党政机关的编制总额；全县事业单位法人年度报告年度检验及编委会的日常工作。</w:t>
      </w:r>
      <w:bookmarkEnd w:id="25"/>
    </w:p>
    <w:p>
      <w:pPr>
        <w:pStyle w:val="5"/>
        <w:adjustRightInd w:val="0"/>
        <w:snapToGrid w:val="0"/>
        <w:spacing w:before="93" w:line="600" w:lineRule="exact"/>
        <w:ind w:firstLine="672" w:firstLineChars="210"/>
        <w:outlineLvl w:val="2"/>
        <w:rPr>
          <w:rFonts w:hint="eastAsia" w:ascii="仿宋" w:hAnsi="仿宋" w:eastAsia="仿宋"/>
          <w:bCs/>
          <w:color w:val="000000"/>
          <w:sz w:val="32"/>
          <w:szCs w:val="32"/>
        </w:rPr>
      </w:pPr>
      <w:bookmarkStart w:id="26" w:name="_Toc20964"/>
      <w:r>
        <w:rPr>
          <w:rFonts w:hint="eastAsia" w:ascii="仿宋" w:hAnsi="仿宋" w:eastAsia="仿宋"/>
          <w:bCs/>
          <w:color w:val="000000"/>
          <w:sz w:val="32"/>
          <w:szCs w:val="32"/>
        </w:rPr>
        <w:t>（二）</w:t>
      </w:r>
      <w:r>
        <w:rPr>
          <w:rFonts w:ascii="仿宋" w:hAnsi="仿宋" w:eastAsia="仿宋"/>
          <w:bCs/>
          <w:color w:val="000000"/>
          <w:sz w:val="32"/>
          <w:szCs w:val="32"/>
        </w:rPr>
        <w:t>201</w:t>
      </w:r>
      <w:r>
        <w:rPr>
          <w:rFonts w:hint="eastAsia" w:ascii="仿宋" w:hAnsi="仿宋" w:eastAsia="仿宋"/>
          <w:bCs/>
          <w:color w:val="000000"/>
          <w:sz w:val="32"/>
          <w:szCs w:val="32"/>
        </w:rPr>
        <w:t>9年重点工作完成情况。</w:t>
      </w:r>
      <w:bookmarkEnd w:id="23"/>
      <w:bookmarkEnd w:id="24"/>
      <w:bookmarkEnd w:id="26"/>
    </w:p>
    <w:p>
      <w:pPr>
        <w:widowControl w:val="0"/>
        <w:wordWrap/>
        <w:adjustRightInd/>
        <w:snapToGrid/>
        <w:spacing w:line="576" w:lineRule="exact"/>
        <w:ind w:firstLine="640" w:firstLineChars="200"/>
        <w:textAlignment w:val="auto"/>
        <w:rPr>
          <w:rFonts w:hint="eastAsia" w:ascii="仿宋_GB2312" w:hAnsi="仿宋_GB2312" w:eastAsia="仿宋_GB2312" w:cs="仿宋_GB2312"/>
          <w:bCs/>
          <w:color w:val="000000"/>
          <w:sz w:val="32"/>
          <w:szCs w:val="32"/>
        </w:rPr>
      </w:pPr>
      <w:r>
        <w:rPr>
          <w:rFonts w:hint="eastAsia" w:ascii="仿宋_GB2312" w:hAnsi="仿宋_GB2312" w:eastAsia="仿宋_GB2312" w:cs="仿宋_GB2312"/>
          <w:bCs/>
          <w:color w:val="000000"/>
          <w:sz w:val="32"/>
          <w:szCs w:val="32"/>
        </w:rPr>
        <w:t>紧紧围绕建设全州“一州两区三家园”奋斗目标和全县“三地两心一时代”发展定位，聚焦聚力“生态、发展、民生、稳定、作风”五个关键</w:t>
      </w:r>
      <w:r>
        <w:rPr>
          <w:rFonts w:hint="eastAsia" w:ascii="仿宋_GB2312" w:hAnsi="仿宋_GB2312" w:eastAsia="仿宋_GB2312" w:cs="仿宋_GB2312"/>
          <w:bCs/>
          <w:color w:val="000000"/>
          <w:sz w:val="32"/>
          <w:szCs w:val="32"/>
          <w:lang w:eastAsia="zh-CN"/>
        </w:rPr>
        <w:t>。</w:t>
      </w:r>
      <w:r>
        <w:rPr>
          <w:rFonts w:hint="eastAsia" w:ascii="仿宋_GB2312" w:hAnsi="仿宋_GB2312" w:eastAsia="仿宋_GB2312" w:cs="仿宋_GB2312"/>
          <w:color w:val="000000"/>
          <w:sz w:val="32"/>
          <w:szCs w:val="32"/>
        </w:rPr>
        <w:t>成立</w:t>
      </w:r>
      <w:r>
        <w:rPr>
          <w:rFonts w:hint="eastAsia" w:ascii="仿宋_GB2312" w:hAnsi="仿宋_GB2312" w:eastAsia="仿宋_GB2312" w:cs="仿宋_GB2312"/>
          <w:color w:val="000000"/>
          <w:sz w:val="32"/>
          <w:szCs w:val="32"/>
          <w:lang w:eastAsia="zh-CN"/>
        </w:rPr>
        <w:t>了</w:t>
      </w:r>
      <w:r>
        <w:rPr>
          <w:rFonts w:hint="eastAsia" w:ascii="仿宋_GB2312" w:hAnsi="仿宋_GB2312" w:eastAsia="仿宋_GB2312" w:cs="仿宋_GB2312"/>
          <w:color w:val="000000"/>
          <w:sz w:val="32"/>
          <w:szCs w:val="32"/>
        </w:rPr>
        <w:t>以县委书记为组长的机构改革领导小组，</w:t>
      </w:r>
      <w:r>
        <w:rPr>
          <w:rFonts w:hint="eastAsia" w:ascii="仿宋_GB2312" w:hAnsi="仿宋_GB2312" w:eastAsia="仿宋_GB2312" w:cs="仿宋_GB2312"/>
          <w:sz w:val="32"/>
          <w:szCs w:val="32"/>
        </w:rPr>
        <w:t>全面贯彻落实中央、省委和州委机构改革决策部署，以坚持和加强党委全面领导为统领，以完善治理体系、提升治理能力为导向，以机构职能优化协同高效为目标，以“思想不乱、队伍不散、工作不断、劲头不减”为工作要求，及时</w:t>
      </w:r>
      <w:r>
        <w:rPr>
          <w:rFonts w:hint="eastAsia" w:ascii="仿宋_GB2312" w:hAnsi="仿宋_GB2312" w:eastAsia="仿宋_GB2312" w:cs="仿宋_GB2312"/>
          <w:color w:val="000000"/>
          <w:sz w:val="32"/>
          <w:szCs w:val="32"/>
        </w:rPr>
        <w:t>科学制定总体方案、实施意见和编制调整方案、人员转隶方案，</w:t>
      </w:r>
      <w:r>
        <w:rPr>
          <w:rFonts w:hint="eastAsia" w:ascii="仿宋_GB2312" w:hAnsi="仿宋_GB2312" w:eastAsia="仿宋_GB2312" w:cs="仿宋_GB2312"/>
          <w:sz w:val="32"/>
          <w:szCs w:val="32"/>
        </w:rPr>
        <w:t>有力有序有效推进各项改革任务</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3月5日在全州率先召开动员部署会，3月9日全面完成新组建部门挂牌，3月10日涉改人员转隶到位，4月16日涉改部门“三定”规定全部印发。</w:t>
      </w:r>
      <w:r>
        <w:rPr>
          <w:rFonts w:hint="eastAsia" w:ascii="仿宋_GB2312" w:eastAsia="仿宋_GB2312"/>
          <w:sz w:val="32"/>
          <w:szCs w:val="32"/>
          <w:lang w:val="en-US" w:eastAsia="zh-CN"/>
        </w:rPr>
        <w:t>机改后，全县</w:t>
      </w:r>
      <w:r>
        <w:rPr>
          <w:rFonts w:hint="eastAsia" w:ascii="仿宋_GB2312" w:eastAsia="仿宋_GB2312"/>
          <w:bCs/>
          <w:color w:val="000000"/>
          <w:sz w:val="32"/>
          <w:szCs w:val="32"/>
        </w:rPr>
        <w:t>设置党委机构8个，政府工作部门27个，严格遵守了机构限额不超过35个的规定</w:t>
      </w:r>
      <w:r>
        <w:rPr>
          <w:rFonts w:hint="eastAsia" w:ascii="仿宋_GB2312" w:eastAsia="仿宋_GB2312"/>
          <w:bCs/>
          <w:color w:val="000000"/>
          <w:sz w:val="32"/>
          <w:szCs w:val="32"/>
          <w:lang w:eastAsia="zh-CN"/>
        </w:rPr>
        <w:t>；</w:t>
      </w:r>
      <w:r>
        <w:rPr>
          <w:rFonts w:hint="eastAsia" w:ascii="仿宋_GB2312" w:eastAsia="仿宋_GB2312"/>
          <w:sz w:val="32"/>
          <w:szCs w:val="32"/>
          <w:lang w:eastAsia="zh-CN"/>
        </w:rPr>
        <w:t>同步推进事业单位更名工作，</w:t>
      </w:r>
      <w:r>
        <w:rPr>
          <w:rFonts w:hint="eastAsia" w:ascii="仿宋_GB2312" w:hAnsi="仿宋_GB2312" w:eastAsia="仿宋_GB2312" w:cs="仿宋_GB2312"/>
          <w:sz w:val="32"/>
          <w:szCs w:val="32"/>
          <w:lang w:val="en-US" w:eastAsia="zh-CN"/>
        </w:rPr>
        <w:t>经州委编办批准的副科级以上（含副科级）事业单位更名和挂牌工作已完成，经县委编委会研究通过，全县股室级事业单位凡名称涉及委、办、局也同步更名并挂牌。</w:t>
      </w:r>
    </w:p>
    <w:p>
      <w:pPr>
        <w:snapToGrid w:val="0"/>
        <w:spacing w:line="520" w:lineRule="exact"/>
        <w:ind w:firstLine="640" w:firstLineChars="200"/>
        <w:rPr>
          <w:rFonts w:hint="eastAsia" w:ascii="仿宋" w:hAnsi="仿宋" w:eastAsia="仿宋"/>
          <w:bCs/>
          <w:color w:val="000000"/>
          <w:sz w:val="32"/>
          <w:szCs w:val="32"/>
        </w:rPr>
      </w:pPr>
      <w:r>
        <w:rPr>
          <w:rFonts w:ascii="仿宋_GB2312" w:hAnsi="仿宋_GB2312" w:eastAsia="仿宋_GB2312" w:cs="仿宋_GB2312"/>
          <w:sz w:val="32"/>
          <w:szCs w:val="32"/>
        </w:rPr>
        <w:t>严格</w:t>
      </w:r>
      <w:r>
        <w:rPr>
          <w:rFonts w:hint="eastAsia" w:ascii="仿宋_GB2312" w:hAnsi="仿宋_GB2312" w:eastAsia="仿宋_GB2312" w:cs="仿宋_GB2312"/>
          <w:sz w:val="32"/>
          <w:szCs w:val="32"/>
          <w:lang w:eastAsia="zh-CN"/>
        </w:rPr>
        <w:t>执行《红原县</w:t>
      </w:r>
      <w:r>
        <w:rPr>
          <w:rFonts w:ascii="仿宋_GB2312" w:hAnsi="仿宋_GB2312" w:eastAsia="仿宋_GB2312" w:cs="仿宋_GB2312"/>
          <w:sz w:val="32"/>
          <w:szCs w:val="32"/>
        </w:rPr>
        <w:t>机构改革方案</w:t>
      </w:r>
      <w:r>
        <w:rPr>
          <w:rFonts w:hint="eastAsia" w:ascii="仿宋_GB2312" w:hAnsi="仿宋_GB2312" w:eastAsia="仿宋_GB2312" w:cs="仿宋_GB2312"/>
          <w:sz w:val="32"/>
          <w:szCs w:val="32"/>
          <w:lang w:eastAsia="zh-CN"/>
        </w:rPr>
        <w:t>》</w:t>
      </w:r>
      <w:r>
        <w:rPr>
          <w:rFonts w:ascii="仿宋_GB2312" w:hAnsi="仿宋_GB2312" w:eastAsia="仿宋_GB2312" w:cs="仿宋_GB2312"/>
          <w:sz w:val="32"/>
          <w:szCs w:val="32"/>
        </w:rPr>
        <w:t>，在确保机构职能与</w:t>
      </w:r>
      <w:r>
        <w:rPr>
          <w:rFonts w:hint="eastAsia" w:ascii="仿宋_GB2312" w:hAnsi="仿宋_GB2312" w:eastAsia="仿宋_GB2312" w:cs="仿宋_GB2312"/>
          <w:sz w:val="32"/>
          <w:szCs w:val="32"/>
        </w:rPr>
        <w:t>州级</w:t>
      </w:r>
      <w:r>
        <w:rPr>
          <w:rFonts w:ascii="仿宋_GB2312" w:hAnsi="仿宋_GB2312" w:eastAsia="仿宋_GB2312" w:cs="仿宋_GB2312"/>
          <w:sz w:val="32"/>
          <w:szCs w:val="32"/>
        </w:rPr>
        <w:t>基本对应的前提下</w:t>
      </w:r>
      <w:r>
        <w:rPr>
          <w:rFonts w:hint="eastAsia" w:ascii="仿宋_GB2312" w:hAnsi="仿宋_GB2312" w:eastAsia="仿宋_GB2312" w:cs="仿宋_GB2312"/>
          <w:sz w:val="32"/>
          <w:szCs w:val="32"/>
        </w:rPr>
        <w:t>，</w:t>
      </w:r>
      <w:r>
        <w:rPr>
          <w:rFonts w:ascii="仿宋_GB2312" w:hAnsi="仿宋_GB2312" w:eastAsia="仿宋_GB2312" w:cs="仿宋_GB2312"/>
          <w:sz w:val="32"/>
          <w:szCs w:val="32"/>
        </w:rPr>
        <w:t>因地制宜设置具有</w:t>
      </w:r>
      <w:r>
        <w:rPr>
          <w:rFonts w:hint="eastAsia" w:ascii="仿宋_GB2312" w:hAnsi="仿宋_GB2312" w:eastAsia="仿宋_GB2312" w:cs="仿宋_GB2312"/>
          <w:sz w:val="32"/>
          <w:szCs w:val="32"/>
        </w:rPr>
        <w:t>藏区</w:t>
      </w:r>
      <w:r>
        <w:rPr>
          <w:rFonts w:ascii="仿宋_GB2312" w:hAnsi="仿宋_GB2312" w:eastAsia="仿宋_GB2312" w:cs="仿宋_GB2312"/>
          <w:sz w:val="32"/>
          <w:szCs w:val="32"/>
        </w:rPr>
        <w:t>牧区</w:t>
      </w:r>
      <w:r>
        <w:rPr>
          <w:rFonts w:hint="eastAsia" w:ascii="仿宋_GB2312" w:hAnsi="仿宋_GB2312" w:eastAsia="仿宋_GB2312" w:cs="仿宋_GB2312"/>
          <w:sz w:val="32"/>
          <w:szCs w:val="32"/>
        </w:rPr>
        <w:t>特点</w:t>
      </w:r>
      <w:r>
        <w:rPr>
          <w:rFonts w:ascii="仿宋_GB2312" w:hAnsi="仿宋_GB2312" w:eastAsia="仿宋_GB2312" w:cs="仿宋_GB2312"/>
          <w:sz w:val="32"/>
          <w:szCs w:val="32"/>
        </w:rPr>
        <w:t>的机构，</w:t>
      </w:r>
      <w:r>
        <w:rPr>
          <w:rFonts w:hint="eastAsia" w:ascii="仿宋_GB2312" w:hAnsi="仿宋_GB2312" w:eastAsia="仿宋_GB2312" w:cs="仿宋_GB2312"/>
          <w:sz w:val="32"/>
          <w:szCs w:val="32"/>
        </w:rPr>
        <w:t>重点就优先生态保护、推动经济发展、优化营商环境、扩大开放合作、保障改善民生等体制机制作了强化。</w:t>
      </w:r>
      <w:r>
        <w:rPr>
          <w:rFonts w:hint="eastAsia" w:ascii="仿宋_GB2312" w:eastAsia="仿宋_GB2312"/>
          <w:b w:val="0"/>
          <w:bCs/>
          <w:color w:val="000000"/>
          <w:sz w:val="32"/>
          <w:szCs w:val="32"/>
          <w:lang w:eastAsia="zh-CN"/>
        </w:rPr>
        <w:t>始终坚持</w:t>
      </w:r>
      <w:r>
        <w:rPr>
          <w:rFonts w:hint="eastAsia" w:ascii="仿宋_GB2312" w:eastAsia="仿宋_GB2312"/>
          <w:b w:val="0"/>
          <w:bCs/>
          <w:color w:val="000000"/>
          <w:sz w:val="32"/>
          <w:szCs w:val="32"/>
        </w:rPr>
        <w:t>严格编制管理</w:t>
      </w:r>
      <w:r>
        <w:rPr>
          <w:rFonts w:hint="eastAsia" w:ascii="仿宋_GB2312" w:eastAsia="仿宋_GB2312"/>
          <w:b w:val="0"/>
          <w:bCs/>
          <w:color w:val="000000"/>
          <w:sz w:val="32"/>
          <w:szCs w:val="32"/>
          <w:lang w:eastAsia="zh-CN"/>
        </w:rPr>
        <w:t>，</w:t>
      </w:r>
      <w:r>
        <w:rPr>
          <w:rFonts w:hint="eastAsia" w:ascii="仿宋_GB2312" w:eastAsia="仿宋_GB2312"/>
          <w:b w:val="0"/>
          <w:bCs/>
          <w:color w:val="000000"/>
          <w:sz w:val="32"/>
          <w:szCs w:val="32"/>
        </w:rPr>
        <w:t>强化编制总量控制，严禁擅自增加编制种类、突破总量增加编制、超编进人、超职数配备领导干部。</w:t>
      </w:r>
      <w:r>
        <w:rPr>
          <w:rFonts w:hint="eastAsia" w:ascii="仿宋_GB2312" w:hAnsi="仿宋_GB2312" w:eastAsia="仿宋_GB2312" w:cs="仿宋_GB2312"/>
          <w:bCs/>
          <w:color w:val="000000"/>
          <w:sz w:val="32"/>
          <w:szCs w:val="32"/>
        </w:rPr>
        <w:t>把机构调整优化与健全完善制度机制紧密结合，注重总结运用机改成果，力促各项工作适应新形势、呈现新气象、作出新业绩、跃上新台阶。</w:t>
      </w:r>
    </w:p>
    <w:p>
      <w:pPr>
        <w:pStyle w:val="3"/>
        <w:rPr>
          <w:rStyle w:val="29"/>
          <w:b w:val="0"/>
          <w:bCs w:val="0"/>
        </w:rPr>
      </w:pPr>
      <w:bookmarkStart w:id="27" w:name="_Toc15396601"/>
      <w:bookmarkStart w:id="28" w:name="_Toc15377200"/>
      <w:bookmarkStart w:id="29" w:name="_Toc27644"/>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27"/>
      <w:bookmarkEnd w:id="28"/>
      <w:bookmarkEnd w:id="29"/>
    </w:p>
    <w:p>
      <w:pPr>
        <w:ind w:firstLine="800" w:firstLineChars="250"/>
        <w:rPr>
          <w:rFonts w:ascii="仿宋" w:hAnsi="仿宋" w:eastAsia="仿宋"/>
          <w:sz w:val="32"/>
          <w:szCs w:val="32"/>
        </w:rPr>
      </w:pPr>
      <w:r>
        <w:rPr>
          <w:rFonts w:hint="eastAsia" w:ascii="仿宋" w:hAnsi="仿宋" w:eastAsia="仿宋"/>
          <w:sz w:val="32"/>
          <w:szCs w:val="32"/>
          <w:lang w:eastAsia="zh-CN"/>
        </w:rPr>
        <w:t>县委编办</w:t>
      </w:r>
      <w:r>
        <w:rPr>
          <w:rFonts w:hint="eastAsia" w:ascii="仿宋" w:hAnsi="仿宋" w:eastAsia="仿宋"/>
          <w:sz w:val="32"/>
          <w:szCs w:val="32"/>
        </w:rPr>
        <w:t>下属二级单位</w:t>
      </w:r>
      <w:r>
        <w:rPr>
          <w:rFonts w:hint="eastAsia" w:ascii="仿宋" w:hAnsi="仿宋" w:eastAsia="仿宋"/>
          <w:sz w:val="32"/>
          <w:szCs w:val="32"/>
          <w:lang w:val="en-US" w:eastAsia="zh-CN"/>
        </w:rPr>
        <w:t>2</w:t>
      </w:r>
      <w:r>
        <w:rPr>
          <w:rFonts w:hint="eastAsia" w:ascii="仿宋" w:hAnsi="仿宋" w:eastAsia="仿宋"/>
          <w:sz w:val="32"/>
          <w:szCs w:val="32"/>
        </w:rPr>
        <w:t>个，其中参照公务员法管理的事业单位</w:t>
      </w:r>
      <w:r>
        <w:rPr>
          <w:rFonts w:hint="eastAsia" w:ascii="仿宋" w:hAnsi="仿宋" w:eastAsia="仿宋"/>
          <w:bCs/>
          <w:sz w:val="32"/>
          <w:szCs w:val="32"/>
          <w:lang w:val="en-US" w:eastAsia="zh-CN"/>
        </w:rPr>
        <w:t>1</w:t>
      </w:r>
      <w:r>
        <w:rPr>
          <w:rFonts w:hint="eastAsia" w:ascii="仿宋" w:hAnsi="仿宋" w:eastAsia="仿宋"/>
          <w:sz w:val="32"/>
          <w:szCs w:val="32"/>
        </w:rPr>
        <w:t>个，其他事业单位</w:t>
      </w:r>
      <w:r>
        <w:rPr>
          <w:rFonts w:hint="eastAsia" w:ascii="仿宋" w:hAnsi="仿宋" w:eastAsia="仿宋"/>
          <w:sz w:val="32"/>
          <w:szCs w:val="32"/>
          <w:lang w:val="en-US" w:eastAsia="zh-CN"/>
        </w:rPr>
        <w:t>1</w:t>
      </w:r>
      <w:r>
        <w:rPr>
          <w:rFonts w:hint="eastAsia" w:ascii="仿宋" w:hAnsi="仿宋" w:eastAsia="仿宋"/>
          <w:sz w:val="32"/>
          <w:szCs w:val="32"/>
        </w:rPr>
        <w:t>个。</w:t>
      </w:r>
    </w:p>
    <w:p>
      <w:pPr>
        <w:pStyle w:val="5"/>
        <w:adjustRightInd w:val="0"/>
        <w:snapToGrid w:val="0"/>
        <w:spacing w:before="93" w:line="600" w:lineRule="exact"/>
        <w:ind w:firstLine="672" w:firstLineChars="210"/>
        <w:rPr>
          <w:rFonts w:ascii="仿宋" w:hAnsi="仿宋" w:eastAsia="仿宋"/>
          <w:color w:val="000000"/>
          <w:sz w:val="32"/>
          <w:szCs w:val="32"/>
        </w:rPr>
      </w:pPr>
      <w:r>
        <w:rPr>
          <w:rFonts w:hint="eastAsia" w:ascii="仿宋" w:hAnsi="仿宋" w:eastAsia="仿宋"/>
          <w:color w:val="000000"/>
          <w:sz w:val="32"/>
          <w:szCs w:val="32"/>
        </w:rPr>
        <w:t>纳入</w:t>
      </w:r>
      <w:r>
        <w:rPr>
          <w:rFonts w:hint="eastAsia" w:ascii="仿宋" w:hAnsi="仿宋" w:eastAsia="仿宋"/>
          <w:color w:val="000000"/>
          <w:sz w:val="32"/>
          <w:szCs w:val="32"/>
          <w:lang w:eastAsia="zh-CN"/>
        </w:rPr>
        <w:t>县委编办</w:t>
      </w:r>
      <w:r>
        <w:rPr>
          <w:rFonts w:hint="eastAsia" w:ascii="仿宋" w:hAnsi="仿宋" w:eastAsia="仿宋"/>
          <w:color w:val="000000"/>
          <w:sz w:val="32"/>
          <w:szCs w:val="32"/>
        </w:rPr>
        <w:t>2019年度部门决算编制范围的二级预算单位包括：</w:t>
      </w:r>
    </w:p>
    <w:p>
      <w:pPr>
        <w:pStyle w:val="5"/>
        <w:numPr>
          <w:ilvl w:val="0"/>
          <w:numId w:val="1"/>
        </w:numPr>
        <w:adjustRightInd w:val="0"/>
        <w:snapToGrid w:val="0"/>
        <w:spacing w:before="93" w:line="600" w:lineRule="exact"/>
        <w:outlineLvl w:val="2"/>
        <w:rPr>
          <w:rFonts w:ascii="仿宋" w:hAnsi="仿宋" w:eastAsia="仿宋"/>
          <w:color w:val="000000"/>
          <w:sz w:val="32"/>
          <w:szCs w:val="32"/>
        </w:rPr>
      </w:pPr>
      <w:bookmarkStart w:id="30" w:name="_Toc26635"/>
      <w:bookmarkStart w:id="31" w:name="_Toc15377201"/>
      <w:bookmarkStart w:id="32" w:name="_Toc15306275"/>
      <w:bookmarkStart w:id="33" w:name="_Toc15378448"/>
      <w:bookmarkStart w:id="34" w:name="_Toc15377432"/>
      <w:r>
        <w:rPr>
          <w:rFonts w:hint="eastAsia" w:ascii="仿宋" w:hAnsi="仿宋" w:eastAsia="仿宋"/>
          <w:color w:val="000000"/>
          <w:sz w:val="32"/>
          <w:szCs w:val="32"/>
          <w:lang w:eastAsia="zh-CN"/>
        </w:rPr>
        <w:t>中共四川省阿坝州红原县委机构编制委员会办公室（本级）</w:t>
      </w:r>
      <w:bookmarkEnd w:id="30"/>
    </w:p>
    <w:p>
      <w:pPr>
        <w:pStyle w:val="5"/>
        <w:numPr>
          <w:ilvl w:val="0"/>
          <w:numId w:val="1"/>
        </w:numPr>
        <w:adjustRightInd w:val="0"/>
        <w:snapToGrid w:val="0"/>
        <w:spacing w:before="93" w:line="600" w:lineRule="exact"/>
        <w:outlineLvl w:val="2"/>
        <w:rPr>
          <w:rFonts w:ascii="仿宋" w:hAnsi="仿宋" w:eastAsia="仿宋"/>
          <w:color w:val="000000"/>
          <w:sz w:val="32"/>
          <w:szCs w:val="32"/>
        </w:rPr>
      </w:pPr>
      <w:bookmarkStart w:id="35" w:name="_Toc30540"/>
      <w:r>
        <w:rPr>
          <w:rFonts w:hint="eastAsia" w:ascii="仿宋" w:hAnsi="仿宋" w:eastAsia="仿宋"/>
          <w:color w:val="000000"/>
          <w:sz w:val="32"/>
          <w:szCs w:val="32"/>
          <w:lang w:eastAsia="zh-CN"/>
        </w:rPr>
        <w:t>红原县电子政务中心</w:t>
      </w:r>
      <w:bookmarkEnd w:id="31"/>
      <w:bookmarkEnd w:id="32"/>
      <w:bookmarkEnd w:id="33"/>
      <w:bookmarkEnd w:id="34"/>
      <w:bookmarkEnd w:id="35"/>
    </w:p>
    <w:p>
      <w:pPr>
        <w:widowControl/>
        <w:jc w:val="left"/>
        <w:rPr>
          <w:rFonts w:ascii="仿宋" w:hAnsi="仿宋" w:eastAsia="仿宋"/>
          <w:color w:val="000000"/>
          <w:kern w:val="0"/>
          <w:sz w:val="32"/>
          <w:szCs w:val="32"/>
        </w:rPr>
      </w:pPr>
      <w:r>
        <w:rPr>
          <w:rFonts w:ascii="仿宋" w:hAnsi="仿宋" w:eastAsia="仿宋"/>
          <w:color w:val="000000"/>
          <w:sz w:val="32"/>
          <w:szCs w:val="32"/>
        </w:rPr>
        <w:br w:type="page"/>
      </w:r>
    </w:p>
    <w:p>
      <w:pPr>
        <w:pStyle w:val="2"/>
        <w:ind w:right="440"/>
        <w:jc w:val="right"/>
        <w:rPr>
          <w:rStyle w:val="28"/>
          <w:rFonts w:ascii="黑体" w:hAnsi="黑体" w:eastAsia="黑体"/>
          <w:b w:val="0"/>
          <w:bCs w:val="0"/>
        </w:rPr>
      </w:pPr>
      <w:bookmarkStart w:id="36" w:name="_Toc15396602"/>
      <w:bookmarkStart w:id="37" w:name="_Toc22511"/>
      <w:bookmarkStart w:id="38" w:name="_Toc15377204"/>
      <w:r>
        <w:rPr>
          <w:rFonts w:hint="eastAsia" w:ascii="黑体" w:hAnsi="黑体" w:eastAsia="黑体"/>
          <w:b w:val="0"/>
          <w:color w:val="000000"/>
        </w:rPr>
        <w:t>第二部分</w:t>
      </w:r>
      <w:r>
        <w:rPr>
          <w:rFonts w:hint="eastAsia" w:ascii="黑体" w:hAnsi="黑体" w:eastAsia="黑体"/>
          <w:color w:val="000000"/>
        </w:rPr>
        <w:t xml:space="preserve"> </w:t>
      </w:r>
      <w:r>
        <w:rPr>
          <w:rStyle w:val="28"/>
          <w:rFonts w:hint="eastAsia" w:ascii="黑体" w:hAnsi="黑体" w:eastAsia="黑体"/>
          <w:b w:val="0"/>
          <w:bCs w:val="0"/>
        </w:rPr>
        <w:t>2019年度部门决算情况说明</w:t>
      </w:r>
      <w:bookmarkEnd w:id="36"/>
      <w:bookmarkEnd w:id="37"/>
      <w:bookmarkEnd w:id="38"/>
    </w:p>
    <w:p/>
    <w:p>
      <w:pPr>
        <w:pStyle w:val="19"/>
        <w:numPr>
          <w:ilvl w:val="0"/>
          <w:numId w:val="2"/>
        </w:numPr>
        <w:spacing w:line="600" w:lineRule="exact"/>
        <w:ind w:firstLineChars="0"/>
        <w:outlineLvl w:val="1"/>
        <w:rPr>
          <w:rStyle w:val="29"/>
          <w:rFonts w:ascii="黑体" w:hAnsi="黑体" w:eastAsia="黑体"/>
          <w:b w:val="0"/>
        </w:rPr>
      </w:pPr>
      <w:bookmarkStart w:id="39" w:name="_Toc199"/>
      <w:bookmarkStart w:id="40" w:name="_Toc15377205"/>
      <w:bookmarkStart w:id="41" w:name="_Toc15396603"/>
      <w:r>
        <w:rPr>
          <w:rFonts w:hint="eastAsia" w:ascii="黑体" w:hAnsi="黑体" w:eastAsia="黑体"/>
          <w:color w:val="000000"/>
          <w:sz w:val="32"/>
          <w:szCs w:val="32"/>
        </w:rPr>
        <w:t>收</w:t>
      </w:r>
      <w:r>
        <w:rPr>
          <w:rStyle w:val="29"/>
          <w:rFonts w:hint="eastAsia" w:ascii="黑体" w:hAnsi="黑体" w:eastAsia="黑体"/>
          <w:b w:val="0"/>
        </w:rPr>
        <w:t>入支出决算总体情况说明</w:t>
      </w:r>
      <w:bookmarkEnd w:id="39"/>
      <w:bookmarkEnd w:id="40"/>
      <w:bookmarkEnd w:id="41"/>
    </w:p>
    <w:p>
      <w:pPr>
        <w:spacing w:line="600" w:lineRule="exact"/>
        <w:ind w:firstLine="640" w:firstLineChars="200"/>
        <w:rPr>
          <w:rFonts w:hint="eastAsia" w:ascii="仿宋" w:hAnsi="仿宋" w:eastAsia="仿宋"/>
          <w:color w:val="000000"/>
          <w:sz w:val="32"/>
          <w:szCs w:val="32"/>
          <w:lang w:eastAsia="zh-CN"/>
        </w:rPr>
      </w:pPr>
      <w:r>
        <w:rPr>
          <w:rFonts w:hint="eastAsia" w:ascii="仿宋" w:hAnsi="仿宋" w:eastAsia="仿宋"/>
          <w:color w:val="000000"/>
          <w:sz w:val="32"/>
          <w:szCs w:val="32"/>
        </w:rPr>
        <w:t>2019年度收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250.84</w:t>
      </w:r>
      <w:r>
        <w:rPr>
          <w:rFonts w:hint="eastAsia" w:ascii="仿宋" w:hAnsi="仿宋" w:eastAsia="仿宋"/>
          <w:color w:val="000000"/>
          <w:sz w:val="32"/>
          <w:szCs w:val="32"/>
        </w:rPr>
        <w:t>万元。与2018年相比，收</w:t>
      </w:r>
      <w:r>
        <w:rPr>
          <w:rFonts w:hint="eastAsia" w:ascii="仿宋" w:hAnsi="仿宋" w:eastAsia="仿宋"/>
          <w:color w:val="000000"/>
          <w:sz w:val="32"/>
          <w:szCs w:val="32"/>
          <w:lang w:eastAsia="zh-CN"/>
        </w:rPr>
        <w:t>人</w:t>
      </w:r>
      <w:r>
        <w:rPr>
          <w:rFonts w:hint="eastAsia" w:ascii="仿宋" w:hAnsi="仿宋" w:eastAsia="仿宋"/>
          <w:color w:val="000000"/>
          <w:sz w:val="32"/>
          <w:szCs w:val="32"/>
        </w:rPr>
        <w:t>总计增加9.49万元，增长</w:t>
      </w:r>
      <w:r>
        <w:rPr>
          <w:rFonts w:hint="eastAsia" w:ascii="仿宋" w:hAnsi="仿宋" w:eastAsia="仿宋"/>
          <w:color w:val="000000"/>
          <w:sz w:val="32"/>
          <w:szCs w:val="32"/>
          <w:lang w:val="en-US" w:eastAsia="zh-CN"/>
        </w:rPr>
        <w:t>3.9</w:t>
      </w:r>
      <w:r>
        <w:rPr>
          <w:rFonts w:ascii="仿宋" w:hAnsi="仿宋" w:eastAsia="仿宋"/>
          <w:color w:val="000000"/>
          <w:sz w:val="32"/>
          <w:szCs w:val="32"/>
        </w:rPr>
        <w:t>%</w:t>
      </w:r>
      <w:r>
        <w:rPr>
          <w:rFonts w:hint="eastAsia" w:ascii="仿宋" w:hAnsi="仿宋" w:eastAsia="仿宋"/>
          <w:color w:val="000000"/>
          <w:sz w:val="32"/>
          <w:szCs w:val="32"/>
          <w:lang w:val="en-US" w:eastAsia="zh-CN"/>
        </w:rPr>
        <w:t>,支出总计增加</w:t>
      </w:r>
      <w:r>
        <w:rPr>
          <w:rFonts w:hint="eastAsia" w:ascii="仿宋" w:hAnsi="仿宋" w:eastAsia="仿宋"/>
          <w:color w:val="000000"/>
          <w:sz w:val="32"/>
          <w:szCs w:val="32"/>
        </w:rPr>
        <w:t>9.49万元，增长</w:t>
      </w:r>
      <w:r>
        <w:rPr>
          <w:rFonts w:hint="eastAsia" w:ascii="仿宋" w:hAnsi="仿宋" w:eastAsia="仿宋"/>
          <w:color w:val="000000"/>
          <w:sz w:val="32"/>
          <w:szCs w:val="32"/>
          <w:lang w:val="en-US" w:eastAsia="zh-CN"/>
        </w:rPr>
        <w:t>3.9</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人事变动。</w:t>
      </w:r>
    </w:p>
    <w:p>
      <w:pPr>
        <w:spacing w:line="600" w:lineRule="exact"/>
        <w:ind w:firstLine="420" w:firstLineChars="200"/>
        <w:rPr>
          <w:rFonts w:hint="eastAsia" w:ascii="仿宋" w:hAnsi="仿宋" w:eastAsia="仿宋"/>
          <w:color w:val="000000"/>
          <w:sz w:val="32"/>
          <w:szCs w:val="32"/>
        </w:rPr>
      </w:pPr>
      <w:r>
        <w:rPr>
          <w:rFonts w:ascii="Times New Roman" w:hAnsi="Times New Roman" w:eastAsia="宋体" w:cs="Times New Roman"/>
          <w:kern w:val="2"/>
          <w:sz w:val="21"/>
          <w:szCs w:val="24"/>
          <w:lang w:val="en-US" w:eastAsia="zh-CN" w:bidi="ar-SA"/>
        </w:rPr>
        <w:pict>
          <v:shape id="图片 1" o:spid="_x0000_s1026" o:spt="75" type="#_x0000_t75" style="position:absolute;left:0pt;margin-left:44.25pt;margin-top:25.05pt;height:216pt;width:360pt;mso-wrap-distance-left:9pt;mso-wrap-distance-right:9pt;z-index:-251658240;mso-width-relative:page;mso-height-relative:page;" fillcolor="#FFFFFF" filled="f" o:preferrelative="t" stroked="f" coordsize="21600,21600" wrapcoords="0 0 0 21450 21510 21450 21510 0 0 0">
            <v:path/>
            <v:fill on="f" color2="#FFFFFF" focussize="0,0"/>
            <v:stroke on="f"/>
            <v:imagedata r:id="rId6" gain="65536f" blacklevel="0f" gamma="0" o:title=""/>
            <o:lock v:ext="edit" position="f" selection="f" grouping="f" rotation="f" cropping="f" text="f" aspectratio="t"/>
            <w10:wrap type="through"/>
          </v:shape>
        </w:pic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w:t>
      </w:r>
      <w:r>
        <w:rPr>
          <w:rFonts w:ascii="仿宋" w:hAnsi="仿宋" w:eastAsia="仿宋"/>
          <w:color w:val="000000"/>
          <w:sz w:val="32"/>
          <w:szCs w:val="32"/>
        </w:rPr>
        <w:t>1</w:t>
      </w:r>
      <w:r>
        <w:rPr>
          <w:rFonts w:hint="eastAsia" w:ascii="仿宋" w:hAnsi="仿宋" w:eastAsia="仿宋"/>
          <w:color w:val="000000"/>
          <w:sz w:val="32"/>
          <w:szCs w:val="32"/>
        </w:rPr>
        <w:t>：收、支决算总计变动情况图）（柱状图）</w:t>
      </w:r>
    </w:p>
    <w:p>
      <w:pPr>
        <w:spacing w:line="600" w:lineRule="exact"/>
        <w:ind w:firstLine="640" w:firstLineChars="200"/>
        <w:jc w:val="left"/>
        <w:rPr>
          <w:rFonts w:ascii="仿宋_GB2312" w:eastAsia="仿宋_GB2312"/>
          <w:color w:val="000000"/>
          <w:sz w:val="32"/>
          <w:szCs w:val="32"/>
        </w:rPr>
      </w:pPr>
    </w:p>
    <w:p>
      <w:pPr>
        <w:pStyle w:val="19"/>
        <w:numPr>
          <w:ilvl w:val="0"/>
          <w:numId w:val="2"/>
        </w:numPr>
        <w:spacing w:line="600" w:lineRule="exact"/>
        <w:ind w:firstLineChars="0"/>
        <w:outlineLvl w:val="1"/>
        <w:rPr>
          <w:rStyle w:val="29"/>
          <w:rFonts w:ascii="黑体" w:hAnsi="黑体" w:eastAsia="黑体"/>
          <w:b w:val="0"/>
        </w:rPr>
      </w:pPr>
      <w:bookmarkStart w:id="42" w:name="_Toc15377206"/>
      <w:bookmarkStart w:id="43" w:name="_Toc15396604"/>
      <w:bookmarkStart w:id="44" w:name="_Toc1066"/>
      <w:r>
        <w:rPr>
          <w:rFonts w:hint="eastAsia" w:ascii="黑体" w:hAnsi="黑体" w:eastAsia="黑体"/>
          <w:color w:val="000000"/>
          <w:sz w:val="32"/>
          <w:szCs w:val="32"/>
        </w:rPr>
        <w:t>收</w:t>
      </w:r>
      <w:r>
        <w:rPr>
          <w:rStyle w:val="29"/>
          <w:rFonts w:hint="eastAsia" w:ascii="黑体" w:hAnsi="黑体" w:eastAsia="黑体"/>
          <w:b w:val="0"/>
        </w:rPr>
        <w:t>入决算情况说明</w:t>
      </w:r>
      <w:bookmarkEnd w:id="42"/>
      <w:bookmarkEnd w:id="43"/>
      <w:bookmarkEnd w:id="44"/>
    </w:p>
    <w:p>
      <w:pPr>
        <w:spacing w:line="600" w:lineRule="exact"/>
        <w:ind w:firstLine="640" w:firstLineChars="200"/>
        <w:outlineLvl w:val="1"/>
        <w:rPr>
          <w:rFonts w:ascii="仿宋" w:hAnsi="仿宋" w:eastAsia="仿宋"/>
          <w:color w:val="000000"/>
          <w:sz w:val="32"/>
          <w:szCs w:val="32"/>
        </w:rPr>
      </w:pPr>
      <w:bookmarkStart w:id="45" w:name="_Toc9649"/>
      <w:r>
        <w:rPr>
          <w:rFonts w:ascii="仿宋" w:hAnsi="仿宋" w:eastAsia="仿宋"/>
          <w:color w:val="000000"/>
          <w:sz w:val="32"/>
          <w:szCs w:val="32"/>
        </w:rPr>
        <w:t>201</w:t>
      </w:r>
      <w:r>
        <w:rPr>
          <w:rFonts w:hint="eastAsia" w:ascii="仿宋" w:hAnsi="仿宋" w:eastAsia="仿宋"/>
          <w:color w:val="000000"/>
          <w:sz w:val="32"/>
          <w:szCs w:val="32"/>
        </w:rPr>
        <w:t>9年本年收入合计245.75万元，其中：一般公共预算财政拨款收入245.75万元，占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；事业收入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；附属单位上缴收入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；其他收入</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w:t>
      </w:r>
      <w:r>
        <w:rPr>
          <w:rFonts w:ascii="Times New Roman" w:hAnsi="Times New Roman" w:eastAsia="宋体" w:cs="Times New Roman"/>
          <w:kern w:val="2"/>
          <w:sz w:val="21"/>
          <w:szCs w:val="24"/>
          <w:lang w:val="en-US" w:eastAsia="zh-CN" w:bidi="ar-SA"/>
        </w:rPr>
        <w:pict>
          <v:shape id="图片 2" o:spid="_x0000_s1027" o:spt="75" type="#_x0000_t75" style="position:absolute;left:0pt;margin-left:86.25pt;margin-top:34.5pt;height:208.5pt;width:239.25pt;mso-wrap-distance-bottom:0pt;mso-wrap-distance-top:0pt;z-index:251659264;mso-width-relative:page;mso-height-relative:page;" fillcolor="#FFFFFF" filled="f" o:preferrelative="t" stroked="f" coordsize="21600,21600">
            <v:path/>
            <v:fill on="f" color2="#FFFFFF" focussize="0,0"/>
            <v:stroke on="f"/>
            <v:imagedata r:id="rId7" gain="65536f" blacklevel="0f" gamma="0" o:title=""/>
            <o:lock v:ext="edit" position="f" selection="f" grouping="f" rotation="f" cropping="f" text="f" aspectratio="t"/>
            <w10:wrap type="topAndBottom"/>
          </v:shape>
        </w:pict>
      </w:r>
      <w:r>
        <w:rPr>
          <w:rFonts w:hint="eastAsia" w:ascii="仿宋" w:hAnsi="仿宋" w:eastAsia="仿宋"/>
          <w:color w:val="000000"/>
          <w:sz w:val="32"/>
          <w:szCs w:val="32"/>
        </w:rPr>
        <w:t>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45"/>
    </w:p>
    <w:p>
      <w:pPr>
        <w:spacing w:line="600" w:lineRule="exact"/>
        <w:ind w:firstLine="643" w:firstLineChars="200"/>
        <w:outlineLvl w:val="1"/>
        <w:rPr>
          <w:rFonts w:ascii="仿宋" w:hAnsi="仿宋" w:eastAsia="仿宋"/>
          <w:b/>
          <w:bCs/>
          <w:color w:val="000000"/>
          <w:sz w:val="32"/>
          <w:szCs w:val="32"/>
        </w:rPr>
      </w:pP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（图2：收入决算结构图）（饼状图）</w:t>
      </w:r>
    </w:p>
    <w:p>
      <w:pPr>
        <w:spacing w:line="600" w:lineRule="exact"/>
        <w:ind w:firstLine="640" w:firstLineChars="200"/>
        <w:rPr>
          <w:rFonts w:ascii="仿宋_GB2312" w:eastAsia="仿宋_GB2312"/>
          <w:color w:val="FF0000"/>
          <w:sz w:val="32"/>
          <w:szCs w:val="32"/>
        </w:rPr>
      </w:pPr>
    </w:p>
    <w:p>
      <w:pPr>
        <w:pStyle w:val="19"/>
        <w:numPr>
          <w:ilvl w:val="0"/>
          <w:numId w:val="2"/>
        </w:numPr>
        <w:spacing w:line="600" w:lineRule="exact"/>
        <w:ind w:firstLineChars="0"/>
        <w:outlineLvl w:val="1"/>
        <w:rPr>
          <w:rStyle w:val="29"/>
          <w:rFonts w:ascii="黑体" w:hAnsi="黑体" w:eastAsia="黑体"/>
          <w:b w:val="0"/>
        </w:rPr>
      </w:pPr>
      <w:bookmarkStart w:id="46" w:name="_Toc15377207"/>
      <w:bookmarkStart w:id="47" w:name="_Toc15396605"/>
      <w:bookmarkStart w:id="48" w:name="_Toc3515"/>
      <w:r>
        <w:rPr>
          <w:rFonts w:hint="eastAsia" w:ascii="黑体" w:hAnsi="黑体" w:eastAsia="黑体"/>
          <w:color w:val="000000"/>
          <w:sz w:val="32"/>
          <w:szCs w:val="32"/>
        </w:rPr>
        <w:t>支</w:t>
      </w:r>
      <w:r>
        <w:rPr>
          <w:rStyle w:val="29"/>
          <w:rFonts w:hint="eastAsia" w:ascii="黑体" w:hAnsi="黑体" w:eastAsia="黑体"/>
          <w:b w:val="0"/>
        </w:rPr>
        <w:t>出决算情况说明</w:t>
      </w:r>
      <w:bookmarkEnd w:id="46"/>
      <w:bookmarkEnd w:id="47"/>
      <w:bookmarkEnd w:id="48"/>
    </w:p>
    <w:p>
      <w:pPr>
        <w:spacing w:line="600" w:lineRule="exact"/>
        <w:ind w:firstLine="640" w:firstLineChars="200"/>
        <w:outlineLvl w:val="1"/>
        <w:rPr>
          <w:rFonts w:hint="eastAsia" w:ascii="仿宋" w:hAnsi="仿宋" w:eastAsia="仿宋"/>
          <w:color w:val="000000"/>
          <w:sz w:val="32"/>
          <w:szCs w:val="32"/>
        </w:rPr>
      </w:pPr>
      <w:bookmarkStart w:id="49" w:name="_Toc16559"/>
      <w:r>
        <w:rPr>
          <w:rFonts w:ascii="仿宋" w:hAnsi="仿宋" w:eastAsia="仿宋"/>
          <w:color w:val="000000"/>
          <w:sz w:val="32"/>
          <w:szCs w:val="32"/>
        </w:rPr>
        <w:t>201</w:t>
      </w:r>
      <w:r>
        <w:rPr>
          <w:rFonts w:hint="eastAsia" w:ascii="仿宋" w:hAnsi="仿宋" w:eastAsia="仿宋"/>
          <w:color w:val="000000"/>
          <w:sz w:val="32"/>
          <w:szCs w:val="32"/>
        </w:rPr>
        <w:t>9年本年支出合计250.82万元，其中：基本支出</w:t>
      </w:r>
      <w:r>
        <w:rPr>
          <w:rFonts w:hint="eastAsia" w:ascii="仿宋" w:hAnsi="仿宋" w:eastAsia="仿宋"/>
          <w:color w:val="000000"/>
          <w:sz w:val="32"/>
          <w:szCs w:val="32"/>
          <w:lang w:val="en-US" w:eastAsia="zh-CN"/>
        </w:rPr>
        <w:t>240.90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96</w:t>
      </w:r>
      <w:r>
        <w:rPr>
          <w:rFonts w:ascii="仿宋" w:hAnsi="仿宋" w:eastAsia="仿宋"/>
          <w:color w:val="000000"/>
          <w:sz w:val="32"/>
          <w:szCs w:val="32"/>
        </w:rPr>
        <w:t>%</w:t>
      </w:r>
      <w:r>
        <w:rPr>
          <w:rFonts w:hint="eastAsia" w:ascii="仿宋" w:hAnsi="仿宋" w:eastAsia="仿宋"/>
          <w:color w:val="000000"/>
          <w:sz w:val="32"/>
          <w:szCs w:val="32"/>
        </w:rPr>
        <w:t>；项目支出</w:t>
      </w:r>
      <w:r>
        <w:rPr>
          <w:rFonts w:hint="eastAsia" w:ascii="仿宋" w:hAnsi="仿宋" w:eastAsia="仿宋"/>
          <w:color w:val="000000"/>
          <w:sz w:val="32"/>
          <w:szCs w:val="32"/>
          <w:lang w:val="en-US" w:eastAsia="zh-CN"/>
        </w:rPr>
        <w:t>9.92</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4</w:t>
      </w:r>
      <w:r>
        <w:rPr>
          <w:rFonts w:ascii="仿宋" w:hAnsi="仿宋" w:eastAsia="仿宋"/>
          <w:color w:val="000000"/>
          <w:sz w:val="32"/>
          <w:szCs w:val="32"/>
        </w:rPr>
        <w:t>%</w:t>
      </w:r>
      <w:r>
        <w:rPr>
          <w:rFonts w:hint="eastAsia" w:ascii="仿宋" w:hAnsi="仿宋" w:eastAsia="仿宋"/>
          <w:color w:val="000000"/>
          <w:sz w:val="32"/>
          <w:szCs w:val="32"/>
        </w:rPr>
        <w:t>；上缴上级支出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；经营支出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；对附属单位补助支出</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w:t>
      </w:r>
      <w:bookmarkEnd w:id="49"/>
    </w:p>
    <w:p>
      <w:pPr>
        <w:spacing w:line="600" w:lineRule="exact"/>
        <w:jc w:val="center"/>
        <w:outlineLvl w:val="1"/>
        <w:rPr>
          <w:rFonts w:ascii="仿宋" w:hAnsi="仿宋" w:eastAsia="仿宋"/>
          <w:color w:val="000000"/>
          <w:sz w:val="32"/>
          <w:szCs w:val="32"/>
        </w:rPr>
      </w:pPr>
      <w:bookmarkStart w:id="50" w:name="_Toc13261"/>
      <w:r>
        <w:rPr>
          <w:rFonts w:ascii="Times New Roman" w:hAnsi="Times New Roman" w:eastAsia="宋体" w:cs="Times New Roman"/>
          <w:kern w:val="2"/>
          <w:sz w:val="21"/>
          <w:szCs w:val="24"/>
          <w:lang w:val="en-US" w:eastAsia="zh-CN" w:bidi="ar-SA"/>
        </w:rPr>
        <w:pict>
          <v:shape id="_x0000_s1028" o:spid="_x0000_s1028" o:spt="75" type="#_x0000_t75" style="position:absolute;left:0pt;margin-left:86.05pt;margin-top:0.7pt;height:154.75pt;width:247.7pt;mso-wrap-distance-bottom:0pt;mso-wrap-distance-top:0pt;z-index:251660288;mso-width-relative:page;mso-height-relative:page;" fillcolor="#FFFFFF" filled="f" o:preferrelative="t" stroked="f" coordsize="21600,21600">
            <v:path/>
            <v:fill on="f" color2="#FFFFFF" focussize="0,0"/>
            <v:stroke on="f"/>
            <v:imagedata r:id="rId8" gain="65536f" blacklevel="0f" gamma="0" o:title=""/>
            <o:lock v:ext="edit" position="f" selection="f" grouping="f" rotation="f" cropping="f" text="f" aspectratio="t"/>
            <w10:wrap type="topAndBottom"/>
          </v:shape>
        </w:pict>
      </w:r>
      <w:r>
        <w:rPr>
          <w:rFonts w:hint="eastAsia" w:ascii="仿宋" w:hAnsi="仿宋" w:eastAsia="仿宋"/>
          <w:color w:val="000000"/>
          <w:sz w:val="32"/>
          <w:szCs w:val="32"/>
        </w:rPr>
        <w:t>（图3：支出决算结构图）（饼状图）</w:t>
      </w:r>
      <w:bookmarkEnd w:id="50"/>
    </w:p>
    <w:p>
      <w:pPr>
        <w:spacing w:line="600" w:lineRule="exact"/>
        <w:ind w:firstLine="640" w:firstLineChars="200"/>
        <w:rPr>
          <w:rFonts w:ascii="仿宋_GB2312" w:eastAsia="仿宋_GB2312"/>
          <w:color w:val="FF0000"/>
          <w:sz w:val="32"/>
          <w:szCs w:val="32"/>
        </w:rPr>
      </w:pPr>
    </w:p>
    <w:p>
      <w:pPr>
        <w:spacing w:line="600" w:lineRule="exact"/>
        <w:ind w:firstLine="640" w:firstLineChars="200"/>
        <w:outlineLvl w:val="1"/>
        <w:rPr>
          <w:rStyle w:val="29"/>
          <w:rFonts w:ascii="黑体" w:hAnsi="黑体" w:eastAsia="黑体"/>
          <w:b w:val="0"/>
        </w:rPr>
      </w:pPr>
      <w:bookmarkStart w:id="51" w:name="_Toc15396606"/>
      <w:bookmarkStart w:id="52" w:name="_Toc15377208"/>
      <w:bookmarkStart w:id="53" w:name="_Toc3827"/>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51"/>
      <w:bookmarkEnd w:id="52"/>
      <w:bookmarkEnd w:id="53"/>
    </w:p>
    <w:p>
      <w:pPr>
        <w:spacing w:line="600" w:lineRule="exact"/>
        <w:ind w:firstLine="640"/>
        <w:rPr>
          <w:rFonts w:hint="eastAsia" w:ascii="仿宋" w:hAnsi="仿宋" w:eastAsia="仿宋"/>
          <w:color w:val="000000"/>
          <w:sz w:val="32"/>
          <w:szCs w:val="32"/>
          <w:lang w:eastAsia="zh-CN"/>
        </w:rPr>
      </w:pPr>
      <w:r>
        <w:rPr>
          <w:rFonts w:ascii="仿宋" w:hAnsi="仿宋" w:eastAsia="仿宋"/>
          <w:color w:val="000000"/>
          <w:sz w:val="32"/>
          <w:szCs w:val="32"/>
        </w:rPr>
        <w:t>201</w:t>
      </w:r>
      <w:r>
        <w:rPr>
          <w:rFonts w:hint="eastAsia" w:ascii="仿宋" w:hAnsi="仿宋" w:eastAsia="仿宋"/>
          <w:color w:val="000000"/>
          <w:sz w:val="32"/>
          <w:szCs w:val="32"/>
        </w:rPr>
        <w:t>9年财政拨款收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250.7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8年相比，财政拨款收</w:t>
      </w:r>
      <w:r>
        <w:rPr>
          <w:rFonts w:hint="eastAsia" w:ascii="仿宋" w:hAnsi="仿宋" w:eastAsia="仿宋"/>
          <w:color w:val="000000"/>
          <w:sz w:val="32"/>
          <w:szCs w:val="32"/>
          <w:lang w:eastAsia="zh-CN"/>
        </w:rPr>
        <w:t>入</w:t>
      </w:r>
      <w:r>
        <w:rPr>
          <w:rFonts w:hint="eastAsia" w:ascii="仿宋" w:hAnsi="仿宋" w:eastAsia="仿宋"/>
          <w:color w:val="000000"/>
          <w:sz w:val="32"/>
          <w:szCs w:val="32"/>
        </w:rPr>
        <w:t>总计增加</w:t>
      </w:r>
      <w:r>
        <w:rPr>
          <w:rFonts w:hint="eastAsia" w:ascii="仿宋" w:hAnsi="仿宋" w:eastAsia="仿宋"/>
          <w:color w:val="000000"/>
          <w:sz w:val="32"/>
          <w:szCs w:val="32"/>
          <w:lang w:val="en-US" w:eastAsia="zh-CN"/>
        </w:rPr>
        <w:t>9.55</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3.96</w:t>
      </w:r>
      <w:r>
        <w:rPr>
          <w:rFonts w:ascii="仿宋" w:hAnsi="仿宋" w:eastAsia="仿宋"/>
          <w:color w:val="000000"/>
          <w:sz w:val="32"/>
          <w:szCs w:val="32"/>
        </w:rPr>
        <w:t>%</w:t>
      </w:r>
      <w:r>
        <w:rPr>
          <w:rFonts w:hint="eastAsia" w:ascii="仿宋" w:hAnsi="仿宋" w:eastAsia="仿宋"/>
          <w:color w:val="000000"/>
          <w:sz w:val="32"/>
          <w:szCs w:val="32"/>
        </w:rPr>
        <w:t>。</w:t>
      </w:r>
      <w:r>
        <w:rPr>
          <w:rFonts w:ascii="仿宋" w:hAnsi="仿宋" w:eastAsia="仿宋"/>
          <w:color w:val="000000"/>
          <w:sz w:val="32"/>
          <w:szCs w:val="32"/>
        </w:rPr>
        <w:t>201</w:t>
      </w:r>
      <w:r>
        <w:rPr>
          <w:rFonts w:hint="eastAsia" w:ascii="仿宋" w:hAnsi="仿宋" w:eastAsia="仿宋"/>
          <w:color w:val="000000"/>
          <w:sz w:val="32"/>
          <w:szCs w:val="32"/>
        </w:rPr>
        <w:t>9年财政拨款</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总计</w:t>
      </w:r>
      <w:r>
        <w:rPr>
          <w:rFonts w:hint="eastAsia" w:ascii="仿宋" w:hAnsi="仿宋" w:eastAsia="仿宋"/>
          <w:color w:val="000000"/>
          <w:sz w:val="32"/>
          <w:szCs w:val="32"/>
          <w:lang w:val="en-US" w:eastAsia="zh-CN"/>
        </w:rPr>
        <w:t>250.7</w:t>
      </w:r>
      <w:r>
        <w:rPr>
          <w:rFonts w:hint="eastAsia" w:ascii="仿宋" w:hAnsi="仿宋" w:eastAsia="仿宋"/>
          <w:color w:val="000000"/>
          <w:sz w:val="32"/>
          <w:szCs w:val="32"/>
        </w:rPr>
        <w:t>万元</w:t>
      </w:r>
      <w:r>
        <w:rPr>
          <w:rFonts w:hint="eastAsia" w:ascii="仿宋" w:hAnsi="仿宋" w:eastAsia="仿宋"/>
          <w:color w:val="000000"/>
          <w:sz w:val="32"/>
          <w:szCs w:val="32"/>
          <w:lang w:eastAsia="zh-CN"/>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8年相比，财政拨款</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总计增加</w:t>
      </w:r>
      <w:r>
        <w:rPr>
          <w:rFonts w:hint="eastAsia" w:ascii="仿宋" w:hAnsi="仿宋" w:eastAsia="仿宋"/>
          <w:color w:val="000000"/>
          <w:sz w:val="32"/>
          <w:szCs w:val="32"/>
          <w:lang w:val="en-US" w:eastAsia="zh-CN"/>
        </w:rPr>
        <w:t>9.55</w:t>
      </w:r>
      <w:r>
        <w:rPr>
          <w:rFonts w:hint="eastAsia" w:ascii="仿宋" w:hAnsi="仿宋" w:eastAsia="仿宋"/>
          <w:color w:val="000000"/>
          <w:sz w:val="32"/>
          <w:szCs w:val="32"/>
        </w:rPr>
        <w:t>万元主要变动原因是</w:t>
      </w:r>
      <w:r>
        <w:rPr>
          <w:rFonts w:hint="eastAsia" w:ascii="仿宋" w:hAnsi="仿宋" w:eastAsia="仿宋"/>
          <w:color w:val="000000"/>
          <w:sz w:val="32"/>
          <w:szCs w:val="32"/>
          <w:lang w:eastAsia="zh-CN"/>
        </w:rPr>
        <w:t>人员增加。</w:t>
      </w:r>
    </w:p>
    <w:p>
      <w:pPr>
        <w:spacing w:line="600" w:lineRule="exact"/>
        <w:rPr>
          <w:rFonts w:ascii="仿宋" w:hAnsi="仿宋" w:eastAsia="仿宋"/>
          <w:color w:val="000000"/>
          <w:sz w:val="32"/>
          <w:szCs w:val="32"/>
        </w:rPr>
      </w:pPr>
      <w:r>
        <w:rPr>
          <w:rFonts w:ascii="Times New Roman" w:hAnsi="Times New Roman" w:eastAsia="宋体" w:cs="Times New Roman"/>
          <w:kern w:val="2"/>
          <w:sz w:val="21"/>
          <w:szCs w:val="24"/>
          <w:lang w:val="en-US" w:eastAsia="zh-CN" w:bidi="ar-SA"/>
        </w:rPr>
        <w:pict>
          <v:shape id="_x0000_s1029" o:spid="_x0000_s1029" o:spt="75" type="#_x0000_t75" style="position:absolute;left:0pt;margin-left:31.5pt;margin-top:15pt;height:212.25pt;width:352.5pt;mso-wrap-distance-bottom:0pt;mso-wrap-distance-top:0pt;z-index:251661312;mso-width-relative:page;mso-height-relative:page;" fillcolor="#FFFFFF" filled="f" o:preferrelative="t" stroked="f" coordsize="21600,21600">
            <v:path/>
            <v:fill on="f" color2="#FFFFFF" focussize="0,0"/>
            <v:stroke on="f"/>
            <v:imagedata r:id="rId9" gain="65536f" blacklevel="0f" gamma="0" o:title=""/>
            <o:lock v:ext="edit" position="f" selection="f" grouping="f" rotation="f" cropping="f" text="f" aspectratio="t"/>
            <w10:wrap type="topAndBottom"/>
          </v:shape>
        </w:pic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（图4：财政拨款收、支决算总计变动情况）（柱状图）</w:t>
      </w:r>
    </w:p>
    <w:p>
      <w:pPr>
        <w:spacing w:line="600" w:lineRule="exact"/>
        <w:ind w:firstLine="640"/>
        <w:rPr>
          <w:rFonts w:ascii="仿宋" w:hAnsi="仿宋" w:eastAsia="仿宋"/>
          <w:b/>
          <w:color w:val="00B050"/>
          <w:sz w:val="32"/>
          <w:szCs w:val="32"/>
        </w:rPr>
      </w:pPr>
    </w:p>
    <w:p>
      <w:pPr>
        <w:spacing w:line="600" w:lineRule="exact"/>
        <w:ind w:firstLine="640" w:firstLineChars="200"/>
        <w:outlineLvl w:val="1"/>
        <w:rPr>
          <w:rStyle w:val="29"/>
          <w:rFonts w:ascii="黑体" w:hAnsi="黑体" w:eastAsia="黑体"/>
          <w:b w:val="0"/>
        </w:rPr>
      </w:pPr>
      <w:bookmarkStart w:id="54" w:name="_Toc15396607"/>
      <w:bookmarkStart w:id="55" w:name="_Toc15377209"/>
      <w:bookmarkStart w:id="56" w:name="_Toc5815"/>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54"/>
      <w:bookmarkEnd w:id="55"/>
      <w:bookmarkEnd w:id="56"/>
    </w:p>
    <w:p>
      <w:pPr>
        <w:spacing w:line="600" w:lineRule="exact"/>
        <w:ind w:firstLine="643" w:firstLineChars="200"/>
        <w:outlineLvl w:val="2"/>
        <w:rPr>
          <w:rFonts w:ascii="仿宋" w:hAnsi="仿宋" w:eastAsia="仿宋"/>
          <w:b/>
          <w:color w:val="000000"/>
          <w:sz w:val="32"/>
          <w:szCs w:val="32"/>
        </w:rPr>
      </w:pPr>
      <w:bookmarkStart w:id="57" w:name="_Toc15377210"/>
      <w:bookmarkStart w:id="58" w:name="_Toc20407"/>
      <w:r>
        <w:rPr>
          <w:rFonts w:hint="eastAsia" w:ascii="仿宋" w:hAnsi="仿宋" w:eastAsia="仿宋"/>
          <w:b/>
          <w:color w:val="000000"/>
          <w:sz w:val="32"/>
          <w:szCs w:val="32"/>
        </w:rPr>
        <w:t>（一）一般公共预算财政拨款支出决算总体情况</w:t>
      </w:r>
      <w:bookmarkEnd w:id="57"/>
      <w:bookmarkEnd w:id="58"/>
    </w:p>
    <w:p>
      <w:pPr>
        <w:spacing w:line="600" w:lineRule="exact"/>
        <w:ind w:firstLine="640" w:firstLineChars="200"/>
        <w:rPr>
          <w:rFonts w:hint="eastAsia" w:ascii="仿宋" w:hAnsi="仿宋" w:eastAsia="仿宋"/>
          <w:color w:val="000000"/>
          <w:sz w:val="32"/>
          <w:szCs w:val="32"/>
          <w:lang w:val="en-US" w:eastAsia="zh-CN"/>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250.7</w:t>
      </w:r>
      <w:r>
        <w:rPr>
          <w:rFonts w:hint="eastAsia" w:ascii="仿宋" w:hAnsi="仿宋" w:eastAsia="仿宋"/>
          <w:color w:val="000000"/>
          <w:sz w:val="32"/>
          <w:szCs w:val="32"/>
        </w:rPr>
        <w:t>万元，占本年支出合计的</w:t>
      </w:r>
      <w:r>
        <w:rPr>
          <w:rFonts w:hint="eastAsia" w:ascii="仿宋" w:hAnsi="仿宋" w:eastAsia="仿宋"/>
          <w:color w:val="000000"/>
          <w:sz w:val="32"/>
          <w:szCs w:val="32"/>
          <w:lang w:val="en-US" w:eastAsia="zh-CN"/>
        </w:rPr>
        <w:t>99.95</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w:t>
      </w:r>
      <w:r>
        <w:rPr>
          <w:rFonts w:hint="eastAsia" w:ascii="仿宋" w:hAnsi="仿宋" w:eastAsia="仿宋"/>
          <w:color w:val="000000"/>
          <w:sz w:val="32"/>
          <w:szCs w:val="32"/>
          <w:lang w:val="en-US" w:eastAsia="zh-CN"/>
        </w:rPr>
        <w:t>9.55</w:t>
      </w:r>
      <w:r>
        <w:rPr>
          <w:rFonts w:hint="eastAsia" w:ascii="仿宋" w:hAnsi="仿宋" w:eastAsia="仿宋"/>
          <w:color w:val="000000"/>
          <w:sz w:val="32"/>
          <w:szCs w:val="32"/>
        </w:rPr>
        <w:t>万元，增长</w:t>
      </w:r>
      <w:r>
        <w:rPr>
          <w:rFonts w:hint="eastAsia" w:ascii="仿宋" w:hAnsi="仿宋" w:eastAsia="仿宋"/>
          <w:color w:val="000000"/>
          <w:sz w:val="32"/>
          <w:szCs w:val="32"/>
          <w:lang w:val="en-US" w:eastAsia="zh-CN"/>
        </w:rPr>
        <w:t>3.96</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olor w:val="000000"/>
          <w:sz w:val="32"/>
          <w:szCs w:val="32"/>
          <w:lang w:eastAsia="zh-CN"/>
        </w:rPr>
        <w:t>人员增加。</w:t>
      </w:r>
    </w:p>
    <w:p>
      <w:pPr>
        <w:spacing w:line="600" w:lineRule="exact"/>
        <w:ind w:firstLine="420" w:firstLineChars="200"/>
        <w:rPr>
          <w:rFonts w:ascii="仿宋" w:hAnsi="仿宋" w:eastAsia="仿宋"/>
          <w:color w:val="000000"/>
          <w:sz w:val="32"/>
          <w:szCs w:val="32"/>
        </w:rPr>
      </w:pPr>
      <w:r>
        <w:rPr>
          <w:rFonts w:ascii="Times New Roman" w:hAnsi="Times New Roman" w:eastAsia="宋体" w:cs="Times New Roman"/>
          <w:kern w:val="2"/>
          <w:sz w:val="21"/>
          <w:szCs w:val="24"/>
          <w:lang w:val="en-US" w:eastAsia="zh-CN" w:bidi="ar-SA"/>
        </w:rPr>
        <w:pict>
          <v:shape id="_x0000_s1030" o:spid="_x0000_s1030" o:spt="75" type="#_x0000_t75" style="position:absolute;left:0pt;margin-left:37.5pt;margin-top:-716.3pt;height:210.05pt;width:344.25pt;mso-wrap-distance-bottom:0pt;mso-wrap-distance-top:0pt;z-index:251662336;mso-width-relative:page;mso-height-relative:page;" fillcolor="#FFFFFF" filled="f" o:preferrelative="t" stroked="f" coordsize="21600,21600">
            <v:path/>
            <v:fill on="f" color2="#FFFFFF" focussize="0,0"/>
            <v:stroke on="f"/>
            <v:imagedata r:id="rId10" gain="65536f" blacklevel="0f" gamma="0" o:title=""/>
            <o:lock v:ext="edit" position="f" selection="f" grouping="f" rotation="f" cropping="f" text="f" aspectratio="t"/>
            <w10:wrap type="topAndBottom"/>
          </v:shape>
        </w:pic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（图5：一般公共预算财政拨款支出决算变动情况）（柱状图）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59" w:name="_Toc15377211"/>
      <w:bookmarkStart w:id="60" w:name="_Toc8190"/>
      <w:r>
        <w:rPr>
          <w:rFonts w:hint="eastAsia" w:ascii="仿宋" w:hAnsi="仿宋" w:eastAsia="仿宋"/>
          <w:b/>
          <w:color w:val="000000"/>
          <w:sz w:val="32"/>
          <w:szCs w:val="32"/>
        </w:rPr>
        <w:t>（二）一般公共预算财政拨款支出决算结构情况</w:t>
      </w:r>
      <w:bookmarkEnd w:id="59"/>
      <w:bookmarkEnd w:id="60"/>
    </w:p>
    <w:p>
      <w:pPr>
        <w:spacing w:line="600" w:lineRule="exact"/>
        <w:ind w:firstLine="640"/>
        <w:rPr>
          <w:rFonts w:ascii="仿宋" w:hAnsi="仿宋" w:eastAsia="仿宋"/>
          <w:b/>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250.7</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color w:val="000000"/>
          <w:sz w:val="32"/>
          <w:szCs w:val="32"/>
        </w:rPr>
        <w:t>一般公共服务（类）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185.88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74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color w:val="000000"/>
          <w:sz w:val="32"/>
          <w:szCs w:val="32"/>
        </w:rPr>
        <w:t>社会保障和就业（类）</w:t>
      </w:r>
      <w:r>
        <w:rPr>
          <w:rFonts w:hint="eastAsia" w:ascii="仿宋" w:hAnsi="仿宋" w:eastAsia="仿宋"/>
          <w:color w:val="000000"/>
          <w:sz w:val="32"/>
          <w:szCs w:val="32"/>
        </w:rPr>
        <w:t>支出</w:t>
      </w:r>
      <w:r>
        <w:rPr>
          <w:rFonts w:hint="eastAsia" w:ascii="仿宋" w:hAnsi="仿宋" w:eastAsia="仿宋"/>
          <w:color w:val="000000"/>
          <w:sz w:val="32"/>
          <w:szCs w:val="32"/>
          <w:lang w:val="en-US" w:eastAsia="zh-CN"/>
        </w:rPr>
        <w:t>32.55</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13</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b/>
          <w:bCs/>
          <w:color w:val="000000"/>
          <w:sz w:val="32"/>
          <w:szCs w:val="32"/>
        </w:rPr>
        <w:t>卫生健康支出</w:t>
      </w:r>
      <w:r>
        <w:rPr>
          <w:rFonts w:hint="eastAsia" w:ascii="仿宋" w:hAnsi="仿宋" w:eastAsia="仿宋"/>
          <w:color w:val="000000"/>
          <w:sz w:val="32"/>
          <w:szCs w:val="32"/>
          <w:lang w:val="en-US" w:eastAsia="zh-CN"/>
        </w:rPr>
        <w:t>13.41</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5</w:t>
      </w:r>
      <w:r>
        <w:rPr>
          <w:rFonts w:ascii="仿宋" w:hAnsi="仿宋" w:eastAsia="仿宋"/>
          <w:color w:val="000000"/>
          <w:sz w:val="32"/>
          <w:szCs w:val="32"/>
        </w:rPr>
        <w:t>%</w:t>
      </w:r>
      <w:r>
        <w:rPr>
          <w:rFonts w:hint="eastAsia" w:ascii="仿宋" w:hAnsi="仿宋" w:eastAsia="仿宋"/>
          <w:color w:val="000000"/>
          <w:sz w:val="32"/>
          <w:szCs w:val="32"/>
        </w:rPr>
        <w:t>；住房保障支出</w:t>
      </w:r>
      <w:r>
        <w:rPr>
          <w:rFonts w:hint="eastAsia" w:ascii="仿宋" w:hAnsi="仿宋" w:eastAsia="仿宋"/>
          <w:color w:val="000000"/>
          <w:sz w:val="32"/>
          <w:szCs w:val="32"/>
          <w:lang w:val="en-US" w:eastAsia="zh-CN"/>
        </w:rPr>
        <w:t>18.87</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8</w:t>
      </w:r>
      <w:r>
        <w:rPr>
          <w:rFonts w:ascii="仿宋" w:hAnsi="仿宋" w:eastAsia="仿宋"/>
          <w:color w:val="000000"/>
          <w:sz w:val="32"/>
          <w:szCs w:val="32"/>
        </w:rPr>
        <w:t>%</w:t>
      </w:r>
      <w:r>
        <w:rPr>
          <w:rFonts w:hint="eastAsia" w:ascii="仿宋" w:hAnsi="仿宋" w:eastAsia="仿宋"/>
          <w:color w:val="000000"/>
          <w:sz w:val="32"/>
          <w:szCs w:val="32"/>
        </w:rPr>
        <w:t>。</w:t>
      </w:r>
    </w:p>
    <w:p>
      <w:pPr>
        <w:spacing w:line="600" w:lineRule="exact"/>
        <w:ind w:firstLine="640"/>
        <w:rPr>
          <w:rFonts w:ascii="仿宋" w:hAnsi="仿宋" w:eastAsia="仿宋"/>
          <w:color w:val="000000"/>
          <w:sz w:val="32"/>
          <w:szCs w:val="32"/>
        </w:rPr>
      </w:pPr>
      <w:r>
        <w:rPr>
          <w:rFonts w:ascii="Times New Roman" w:hAnsi="Times New Roman" w:eastAsia="宋体" w:cs="Times New Roman"/>
          <w:kern w:val="2"/>
          <w:sz w:val="21"/>
          <w:szCs w:val="24"/>
          <w:lang w:val="en-US" w:eastAsia="zh-CN" w:bidi="ar-SA"/>
        </w:rPr>
        <w:pict>
          <v:shape id="图片 8" o:spid="_x0000_s1031" o:spt="75" type="#_x0000_t75" style="position:absolute;left:0pt;margin-left:51.5pt;margin-top:10.5pt;height:194.25pt;width:322.5pt;mso-wrap-distance-bottom:0pt;mso-wrap-distance-top:0pt;z-index:251663360;mso-width-relative:page;mso-height-relative:page;" fillcolor="#FFFFFF" filled="f" o:preferrelative="t" stroked="f" coordsize="21600,21600">
            <v:path/>
            <v:fill on="f" color2="#FFFFFF" focussize="0,0"/>
            <v:stroke on="f"/>
            <v:imagedata r:id="rId11" gain="65536f" blacklevel="0f" gamma="0" o:title=""/>
            <o:lock v:ext="edit" position="f" selection="f" grouping="f" rotation="f" cropping="f" text="f" aspectratio="t"/>
            <w10:wrap type="topAndBottom"/>
          </v:shape>
        </w:pic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（图6：一般公共预算财政拨款支出决算结构）（饼状图）</w:t>
      </w:r>
    </w:p>
    <w:p>
      <w:pPr>
        <w:spacing w:line="600" w:lineRule="exact"/>
        <w:ind w:firstLine="640" w:firstLineChars="200"/>
        <w:rPr>
          <w:rFonts w:ascii="仿宋" w:hAnsi="仿宋" w:eastAsia="仿宋"/>
          <w:color w:val="000000"/>
          <w:sz w:val="32"/>
          <w:szCs w:val="32"/>
        </w:rPr>
      </w:pPr>
    </w:p>
    <w:p>
      <w:pPr>
        <w:spacing w:line="600" w:lineRule="exact"/>
        <w:ind w:firstLine="643" w:firstLineChars="200"/>
        <w:outlineLvl w:val="2"/>
        <w:rPr>
          <w:rFonts w:ascii="仿宋" w:hAnsi="仿宋" w:eastAsia="仿宋"/>
          <w:b/>
          <w:color w:val="000000"/>
          <w:sz w:val="32"/>
          <w:szCs w:val="32"/>
        </w:rPr>
      </w:pPr>
      <w:bookmarkStart w:id="61" w:name="_Toc14530"/>
      <w:bookmarkStart w:id="62" w:name="_Toc15377212"/>
      <w:r>
        <w:rPr>
          <w:rFonts w:hint="eastAsia" w:ascii="仿宋" w:hAnsi="仿宋" w:eastAsia="仿宋"/>
          <w:b/>
          <w:color w:val="000000"/>
          <w:sz w:val="32"/>
          <w:szCs w:val="32"/>
        </w:rPr>
        <w:t>（三）一般公共预算财政拨款支出决算具体情况</w:t>
      </w:r>
      <w:bookmarkEnd w:id="61"/>
      <w:bookmarkEnd w:id="62"/>
    </w:p>
    <w:p>
      <w:pPr>
        <w:spacing w:line="600" w:lineRule="exact"/>
        <w:ind w:firstLine="643" w:firstLineChars="200"/>
        <w:outlineLvl w:val="2"/>
        <w:rPr>
          <w:rFonts w:ascii="仿宋" w:hAnsi="仿宋" w:eastAsia="仿宋"/>
          <w:color w:val="FF0000"/>
          <w:sz w:val="32"/>
          <w:szCs w:val="32"/>
        </w:rPr>
      </w:pPr>
      <w:bookmarkStart w:id="63" w:name="_Toc15378460"/>
      <w:bookmarkStart w:id="64" w:name="_Toc15377213"/>
      <w:bookmarkStart w:id="65" w:name="_Toc8029"/>
      <w:bookmarkStart w:id="66" w:name="_Toc15377444"/>
      <w:r>
        <w:rPr>
          <w:rFonts w:hint="eastAsia" w:ascii="仿宋" w:hAnsi="仿宋" w:eastAsia="仿宋"/>
          <w:b/>
          <w:color w:val="000000"/>
          <w:sz w:val="32"/>
          <w:szCs w:val="32"/>
        </w:rPr>
        <w:t>2019年</w:t>
      </w:r>
      <w:r>
        <w:rPr>
          <w:rFonts w:hint="eastAsia" w:ascii="仿宋" w:hAnsi="仿宋" w:eastAsia="仿宋"/>
          <w:b/>
          <w:color w:val="000000"/>
          <w:sz w:val="32"/>
          <w:szCs w:val="32"/>
          <w:lang w:eastAsia="zh-CN"/>
        </w:rPr>
        <w:t>一</w:t>
      </w:r>
      <w:r>
        <w:rPr>
          <w:rFonts w:hint="eastAsia" w:ascii="仿宋" w:hAnsi="仿宋" w:eastAsia="仿宋"/>
          <w:b/>
          <w:color w:val="000000"/>
          <w:sz w:val="32"/>
          <w:szCs w:val="32"/>
        </w:rPr>
        <w:t>般公共预算支出决算数为</w:t>
      </w:r>
      <w:r>
        <w:rPr>
          <w:rFonts w:hint="eastAsia" w:ascii="仿宋" w:hAnsi="仿宋" w:eastAsia="仿宋"/>
          <w:color w:val="000000"/>
          <w:sz w:val="32"/>
          <w:szCs w:val="32"/>
          <w:lang w:val="en-US" w:eastAsia="zh-CN"/>
        </w:rPr>
        <w:t>250.7万元</w:t>
      </w:r>
      <w:r>
        <w:rPr>
          <w:rFonts w:hint="eastAsia" w:ascii="仿宋" w:hAnsi="仿宋" w:eastAsia="仿宋"/>
          <w:color w:val="000000"/>
          <w:sz w:val="32"/>
          <w:szCs w:val="32"/>
        </w:rPr>
        <w:t>，</w:t>
      </w:r>
      <w:r>
        <w:rPr>
          <w:rStyle w:val="16"/>
          <w:rFonts w:hint="eastAsia" w:ascii="仿宋" w:hAnsi="仿宋" w:eastAsia="仿宋"/>
          <w:bCs/>
          <w:color w:val="000000"/>
          <w:sz w:val="32"/>
          <w:szCs w:val="32"/>
        </w:rPr>
        <w:t>完成预算</w:t>
      </w:r>
      <w:r>
        <w:rPr>
          <w:rStyle w:val="16"/>
          <w:rFonts w:hint="eastAsia" w:ascii="仿宋" w:hAnsi="仿宋" w:eastAsia="仿宋"/>
          <w:bCs/>
          <w:color w:val="000000"/>
          <w:sz w:val="32"/>
          <w:szCs w:val="32"/>
          <w:lang w:val="en-US" w:eastAsia="zh-CN"/>
        </w:rPr>
        <w:t>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63"/>
      <w:bookmarkEnd w:id="64"/>
      <w:bookmarkEnd w:id="65"/>
      <w:bookmarkEnd w:id="66"/>
    </w:p>
    <w:p>
      <w:pPr>
        <w:spacing w:line="600" w:lineRule="exact"/>
        <w:ind w:firstLine="643" w:firstLineChars="200"/>
        <w:rPr>
          <w:rFonts w:hint="eastAsia" w:ascii="仿宋" w:hAnsi="仿宋" w:eastAsia="仿宋"/>
          <w:b w:val="0"/>
          <w:bCs w:val="0"/>
          <w:color w:val="000000"/>
          <w:sz w:val="32"/>
          <w:szCs w:val="32"/>
          <w:lang w:eastAsia="zh-CN"/>
        </w:rPr>
      </w:pPr>
      <w:r>
        <w:rPr>
          <w:rStyle w:val="16"/>
          <w:rFonts w:ascii="仿宋" w:hAnsi="仿宋" w:eastAsia="仿宋"/>
          <w:bCs/>
          <w:color w:val="000000"/>
          <w:sz w:val="32"/>
          <w:szCs w:val="32"/>
        </w:rPr>
        <w:t>1.</w:t>
      </w:r>
      <w:r>
        <w:rPr>
          <w:rStyle w:val="16"/>
          <w:rFonts w:hint="eastAsia" w:ascii="仿宋" w:hAnsi="仿宋" w:eastAsia="仿宋"/>
          <w:bCs/>
          <w:color w:val="000000"/>
          <w:sz w:val="32"/>
          <w:szCs w:val="32"/>
        </w:rPr>
        <w:t>一般公共服务（类）</w:t>
      </w:r>
      <w:r>
        <w:rPr>
          <w:rStyle w:val="16"/>
          <w:rFonts w:hint="eastAsia" w:ascii="仿宋" w:hAnsi="仿宋" w:eastAsia="仿宋"/>
          <w:bCs/>
          <w:color w:val="000000"/>
          <w:sz w:val="32"/>
          <w:szCs w:val="32"/>
          <w:lang w:eastAsia="zh-CN"/>
        </w:rPr>
        <w:t>：</w:t>
      </w:r>
      <w:r>
        <w:rPr>
          <w:rStyle w:val="16"/>
          <w:rFonts w:hint="eastAsia" w:ascii="仿宋" w:hAnsi="仿宋" w:eastAsia="仿宋"/>
          <w:b w:val="0"/>
          <w:bCs w:val="0"/>
          <w:color w:val="000000"/>
          <w:sz w:val="32"/>
          <w:szCs w:val="32"/>
          <w:lang w:eastAsia="zh-CN"/>
        </w:rPr>
        <w:t>支出决算为185.99</w:t>
      </w:r>
      <w:r>
        <w:rPr>
          <w:rStyle w:val="16"/>
          <w:rFonts w:hint="eastAsia" w:ascii="仿宋" w:hAnsi="仿宋" w:eastAsia="仿宋"/>
          <w:b w:val="0"/>
          <w:bCs w:val="0"/>
          <w:color w:val="000000"/>
          <w:sz w:val="32"/>
          <w:szCs w:val="32"/>
          <w:lang w:val="en-US" w:eastAsia="zh-CN"/>
        </w:rPr>
        <w:t>万元，完成预算100%，其中</w:t>
      </w:r>
      <w:r>
        <w:rPr>
          <w:rStyle w:val="16"/>
          <w:rFonts w:hint="eastAsia" w:ascii="仿宋" w:hAnsi="仿宋" w:eastAsia="仿宋"/>
          <w:bCs/>
          <w:color w:val="000000"/>
          <w:sz w:val="32"/>
          <w:szCs w:val="32"/>
        </w:rPr>
        <w:t>人力资源事务（款）行政运行（项）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支出决算为151.91万元，完成预算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rPr>
        <w:t>人力资源事务（款）一般行政管理事务（项）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w:t>
      </w:r>
      <w:r>
        <w:rPr>
          <w:rStyle w:val="16"/>
          <w:rFonts w:hint="eastAsia" w:ascii="仿宋" w:hAnsi="仿宋" w:eastAsia="仿宋"/>
          <w:b w:val="0"/>
          <w:bCs/>
          <w:color w:val="000000"/>
          <w:sz w:val="32"/>
          <w:szCs w:val="32"/>
          <w:lang w:val="en-US" w:eastAsia="zh-CN"/>
        </w:rPr>
        <w:t>9.92</w:t>
      </w:r>
      <w:r>
        <w:rPr>
          <w:rStyle w:val="16"/>
          <w:rFonts w:hint="eastAsia" w:ascii="仿宋" w:hAnsi="仿宋" w:eastAsia="仿宋"/>
          <w:b w:val="0"/>
          <w:bCs/>
          <w:color w:val="000000"/>
          <w:sz w:val="32"/>
          <w:szCs w:val="32"/>
        </w:rPr>
        <w:t>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rPr>
        <w:t>人力资源事务（款）</w:t>
      </w:r>
      <w:r>
        <w:rPr>
          <w:rStyle w:val="16"/>
          <w:rFonts w:hint="eastAsia" w:ascii="仿宋" w:hAnsi="仿宋" w:eastAsia="仿宋"/>
          <w:bCs/>
          <w:color w:val="000000"/>
          <w:sz w:val="32"/>
          <w:szCs w:val="32"/>
          <w:lang w:eastAsia="zh-CN"/>
        </w:rPr>
        <w:t>事业运行</w:t>
      </w:r>
      <w:r>
        <w:rPr>
          <w:rStyle w:val="16"/>
          <w:rFonts w:hint="eastAsia" w:ascii="仿宋" w:hAnsi="仿宋" w:eastAsia="仿宋"/>
          <w:bCs/>
          <w:color w:val="000000"/>
          <w:sz w:val="32"/>
          <w:szCs w:val="32"/>
        </w:rPr>
        <w:t>（项）</w:t>
      </w:r>
      <w:r>
        <w:rPr>
          <w:rStyle w:val="16"/>
          <w:rFonts w:ascii="仿宋" w:hAnsi="仿宋" w:eastAsia="仿宋"/>
          <w:bCs/>
          <w:color w:val="000000"/>
          <w:sz w:val="32"/>
          <w:szCs w:val="32"/>
        </w:rPr>
        <w:t>:</w:t>
      </w:r>
      <w:r>
        <w:rPr>
          <w:rStyle w:val="16"/>
          <w:rFonts w:hint="eastAsia" w:ascii="仿宋" w:hAnsi="仿宋" w:eastAsia="仿宋"/>
          <w:b w:val="0"/>
          <w:bCs w:val="0"/>
          <w:color w:val="000000"/>
          <w:sz w:val="32"/>
          <w:szCs w:val="32"/>
          <w:lang w:eastAsia="zh-CN"/>
        </w:rPr>
        <w:t>支出决算为24.16万元，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p>
    <w:p>
      <w:pPr>
        <w:spacing w:line="600" w:lineRule="exact"/>
        <w:ind w:firstLine="643" w:firstLineChars="200"/>
        <w:rPr>
          <w:rStyle w:val="16"/>
          <w:rFonts w:hint="eastAsia" w:ascii="仿宋" w:hAnsi="仿宋" w:eastAsia="仿宋"/>
          <w:b w:val="0"/>
          <w:bCs/>
          <w:color w:val="000000"/>
          <w:sz w:val="32"/>
          <w:szCs w:val="32"/>
          <w:lang w:eastAsia="zh-CN"/>
        </w:rPr>
      </w:pPr>
      <w:r>
        <w:rPr>
          <w:rStyle w:val="16"/>
          <w:rFonts w:hint="eastAsia" w:ascii="仿宋" w:hAnsi="仿宋" w:eastAsia="仿宋"/>
          <w:bCs/>
          <w:color w:val="000000"/>
          <w:sz w:val="32"/>
          <w:szCs w:val="32"/>
          <w:lang w:val="en-US" w:eastAsia="zh-CN"/>
        </w:rPr>
        <w:t>2</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社会保障和就业（类）</w:t>
      </w:r>
      <w:r>
        <w:rPr>
          <w:rStyle w:val="16"/>
          <w:rFonts w:hint="eastAsia" w:ascii="仿宋" w:hAnsi="仿宋" w:eastAsia="仿宋"/>
          <w:bCs/>
          <w:color w:val="000000"/>
          <w:sz w:val="32"/>
          <w:szCs w:val="32"/>
          <w:lang w:eastAsia="zh-CN"/>
        </w:rPr>
        <w:t>：</w:t>
      </w:r>
      <w:r>
        <w:rPr>
          <w:rStyle w:val="16"/>
          <w:rFonts w:hint="eastAsia" w:ascii="仿宋" w:hAnsi="仿宋" w:eastAsia="仿宋"/>
          <w:b w:val="0"/>
          <w:bCs w:val="0"/>
          <w:color w:val="000000"/>
          <w:sz w:val="32"/>
          <w:szCs w:val="32"/>
          <w:lang w:eastAsia="zh-CN"/>
        </w:rPr>
        <w:t>支出决算为32.54</w:t>
      </w:r>
      <w:r>
        <w:rPr>
          <w:rStyle w:val="16"/>
          <w:rFonts w:hint="eastAsia" w:ascii="仿宋" w:hAnsi="仿宋" w:eastAsia="仿宋"/>
          <w:b w:val="0"/>
          <w:bCs w:val="0"/>
          <w:color w:val="000000"/>
          <w:sz w:val="32"/>
          <w:szCs w:val="32"/>
          <w:lang w:val="en-US" w:eastAsia="zh-CN"/>
        </w:rPr>
        <w:t>万元，完成预算100%，其中</w:t>
      </w:r>
      <w:r>
        <w:rPr>
          <w:rStyle w:val="16"/>
          <w:rFonts w:hint="eastAsia" w:ascii="仿宋" w:hAnsi="仿宋" w:eastAsia="仿宋"/>
          <w:bCs/>
          <w:color w:val="000000"/>
          <w:sz w:val="32"/>
          <w:szCs w:val="32"/>
        </w:rPr>
        <w:t>行政事业单位离退休（款）机关事业单位基本养老保险缴费支出（项）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支出决算为22.25万元，完成预算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rPr>
        <w:t>行政事业单位离退休（款）机关事业单位职业年金缴费支出（项）</w:t>
      </w:r>
      <w:r>
        <w:rPr>
          <w:rStyle w:val="16"/>
          <w:rFonts w:ascii="仿宋" w:hAnsi="仿宋" w:eastAsia="仿宋"/>
          <w:bCs/>
          <w:color w:val="000000"/>
          <w:sz w:val="32"/>
          <w:szCs w:val="32"/>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支出决算为10.29万元，完成预算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p>
    <w:p>
      <w:pPr>
        <w:spacing w:line="600" w:lineRule="exact"/>
        <w:ind w:firstLine="643" w:firstLineChars="200"/>
        <w:rPr>
          <w:rStyle w:val="16"/>
          <w:rFonts w:hint="eastAsia" w:ascii="仿宋" w:hAnsi="仿宋" w:eastAsia="仿宋"/>
          <w:b w:val="0"/>
          <w:bCs/>
          <w:color w:val="000000"/>
          <w:sz w:val="32"/>
          <w:szCs w:val="32"/>
        </w:rPr>
      </w:pPr>
      <w:r>
        <w:rPr>
          <w:rStyle w:val="16"/>
          <w:rFonts w:hint="eastAsia" w:ascii="仿宋" w:hAnsi="仿宋" w:eastAsia="仿宋"/>
          <w:bCs/>
          <w:color w:val="000000"/>
          <w:sz w:val="32"/>
          <w:szCs w:val="32"/>
          <w:lang w:val="en-US" w:eastAsia="zh-CN"/>
        </w:rPr>
        <w:t>3</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医疗卫生与计划生育（类）</w:t>
      </w:r>
      <w:r>
        <w:rPr>
          <w:rStyle w:val="16"/>
          <w:rFonts w:hint="eastAsia" w:ascii="仿宋" w:hAnsi="仿宋" w:eastAsia="仿宋"/>
          <w:bCs/>
          <w:color w:val="000000"/>
          <w:sz w:val="32"/>
          <w:szCs w:val="32"/>
          <w:lang w:eastAsia="zh-CN"/>
        </w:rPr>
        <w:t>：</w:t>
      </w:r>
      <w:r>
        <w:rPr>
          <w:rStyle w:val="16"/>
          <w:rFonts w:hint="eastAsia" w:ascii="仿宋" w:hAnsi="仿宋" w:eastAsia="仿宋"/>
          <w:b w:val="0"/>
          <w:bCs w:val="0"/>
          <w:color w:val="000000"/>
          <w:sz w:val="32"/>
          <w:szCs w:val="32"/>
          <w:lang w:eastAsia="zh-CN"/>
        </w:rPr>
        <w:t>支出决算为：13.40</w:t>
      </w:r>
      <w:r>
        <w:rPr>
          <w:rStyle w:val="16"/>
          <w:rFonts w:hint="eastAsia" w:ascii="仿宋" w:hAnsi="仿宋" w:eastAsia="仿宋"/>
          <w:b w:val="0"/>
          <w:bCs w:val="0"/>
          <w:color w:val="000000"/>
          <w:sz w:val="32"/>
          <w:szCs w:val="32"/>
          <w:lang w:val="en-US" w:eastAsia="zh-CN"/>
        </w:rPr>
        <w:t>万元，完成预算100%，其中</w:t>
      </w:r>
      <w:r>
        <w:rPr>
          <w:rStyle w:val="16"/>
          <w:rFonts w:hint="eastAsia" w:ascii="仿宋" w:hAnsi="仿宋" w:eastAsia="仿宋"/>
          <w:bCs/>
          <w:color w:val="000000"/>
          <w:sz w:val="32"/>
          <w:szCs w:val="32"/>
        </w:rPr>
        <w:t>行政事业单位医疗（款） 行政单位医疗（项）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支出决算为9.46万元，完成预算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rPr>
        <w:t>行政事业单位医疗（款） 公务员医疗补助（项）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支出决算为1.91万元，完成预算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Style w:val="16"/>
          <w:rFonts w:hint="eastAsia" w:ascii="仿宋" w:hAnsi="仿宋" w:eastAsia="仿宋"/>
          <w:bCs/>
          <w:color w:val="000000"/>
          <w:sz w:val="32"/>
          <w:szCs w:val="32"/>
        </w:rPr>
        <w:t>行政事业单位医疗（款） 事业单位医疗（项）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支出决算为1.68万元，完成预算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r>
        <w:rPr>
          <w:rStyle w:val="16"/>
          <w:rFonts w:hint="eastAsia" w:ascii="仿宋" w:hAnsi="仿宋" w:eastAsia="仿宋"/>
          <w:bCs/>
          <w:color w:val="000000"/>
          <w:sz w:val="32"/>
          <w:szCs w:val="32"/>
        </w:rPr>
        <w:t>行政事业单位医疗（款） 其他行政事业单位医疗支出（项）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支出决算为0.35万元，完成预算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pPr>
        <w:spacing w:line="600" w:lineRule="exact"/>
        <w:ind w:firstLine="640" w:firstLineChars="200"/>
        <w:rPr>
          <w:rStyle w:val="16"/>
          <w:rFonts w:hint="eastAsia" w:ascii="仿宋" w:hAnsi="仿宋" w:eastAsia="仿宋"/>
          <w:b w:val="0"/>
          <w:bCs/>
          <w:color w:val="000000"/>
          <w:sz w:val="32"/>
          <w:szCs w:val="32"/>
        </w:rPr>
      </w:pPr>
    </w:p>
    <w:p>
      <w:pPr>
        <w:spacing w:line="600" w:lineRule="exact"/>
        <w:ind w:firstLine="643" w:firstLineChars="200"/>
        <w:rPr>
          <w:rFonts w:ascii="仿宋" w:hAnsi="仿宋" w:eastAsia="仿宋"/>
          <w:b/>
          <w:color w:val="000000"/>
          <w:sz w:val="32"/>
          <w:szCs w:val="32"/>
        </w:rPr>
      </w:pPr>
      <w:r>
        <w:rPr>
          <w:rStyle w:val="16"/>
          <w:rFonts w:hint="eastAsia" w:ascii="仿宋" w:hAnsi="仿宋" w:eastAsia="仿宋"/>
          <w:b/>
          <w:bCs w:val="0"/>
          <w:color w:val="000000"/>
          <w:sz w:val="32"/>
          <w:szCs w:val="32"/>
          <w:lang w:val="en-US" w:eastAsia="zh-CN"/>
        </w:rPr>
        <w:t>4</w:t>
      </w:r>
      <w:r>
        <w:rPr>
          <w:rStyle w:val="16"/>
          <w:rFonts w:hint="eastAsia" w:ascii="仿宋" w:hAnsi="仿宋" w:eastAsia="仿宋"/>
          <w:b w:val="0"/>
          <w:bCs/>
          <w:color w:val="000000"/>
          <w:sz w:val="32"/>
          <w:szCs w:val="32"/>
          <w:lang w:val="en-US" w:eastAsia="zh-CN"/>
        </w:rPr>
        <w:t>.</w:t>
      </w:r>
      <w:r>
        <w:rPr>
          <w:rStyle w:val="16"/>
          <w:rFonts w:hint="eastAsia" w:ascii="仿宋" w:hAnsi="仿宋" w:eastAsia="仿宋"/>
          <w:bCs/>
          <w:color w:val="000000"/>
          <w:sz w:val="32"/>
          <w:szCs w:val="32"/>
        </w:rPr>
        <w:t>住房保障支出（类）</w:t>
      </w:r>
      <w:r>
        <w:rPr>
          <w:rStyle w:val="16"/>
          <w:rFonts w:hint="eastAsia" w:ascii="仿宋" w:hAnsi="仿宋" w:eastAsia="仿宋"/>
          <w:bCs/>
          <w:color w:val="000000"/>
          <w:sz w:val="32"/>
          <w:szCs w:val="32"/>
          <w:lang w:eastAsia="zh-CN"/>
        </w:rPr>
        <w:t>：</w:t>
      </w:r>
      <w:r>
        <w:rPr>
          <w:rStyle w:val="16"/>
          <w:rFonts w:hint="eastAsia" w:ascii="仿宋" w:hAnsi="仿宋" w:eastAsia="仿宋"/>
          <w:b w:val="0"/>
          <w:bCs w:val="0"/>
          <w:color w:val="000000"/>
          <w:sz w:val="32"/>
          <w:szCs w:val="32"/>
          <w:lang w:eastAsia="zh-CN"/>
        </w:rPr>
        <w:t>支出决算为18.87</w:t>
      </w:r>
      <w:r>
        <w:rPr>
          <w:rStyle w:val="16"/>
          <w:rFonts w:hint="eastAsia" w:ascii="仿宋" w:hAnsi="仿宋" w:eastAsia="仿宋"/>
          <w:b w:val="0"/>
          <w:bCs w:val="0"/>
          <w:color w:val="000000"/>
          <w:sz w:val="32"/>
          <w:szCs w:val="32"/>
          <w:lang w:val="en-US" w:eastAsia="zh-CN"/>
        </w:rPr>
        <w:t>万元，完成预算100%，其中</w:t>
      </w:r>
      <w:r>
        <w:rPr>
          <w:rStyle w:val="16"/>
          <w:rFonts w:hint="eastAsia" w:ascii="仿宋" w:hAnsi="仿宋" w:eastAsia="仿宋"/>
          <w:bCs/>
          <w:color w:val="000000"/>
          <w:sz w:val="32"/>
          <w:szCs w:val="32"/>
        </w:rPr>
        <w:t>住房改革支出（款）住房公积金（项）</w:t>
      </w:r>
      <w:r>
        <w:rPr>
          <w:rStyle w:val="16"/>
          <w:rFonts w:ascii="仿宋" w:hAnsi="仿宋" w:eastAsia="仿宋"/>
          <w:bCs/>
          <w:color w:val="000000"/>
          <w:sz w:val="32"/>
          <w:szCs w:val="32"/>
        </w:rPr>
        <w:t>:</w:t>
      </w:r>
      <w:r>
        <w:rPr>
          <w:rStyle w:val="16"/>
          <w:rFonts w:hint="eastAsia" w:ascii="仿宋" w:hAnsi="仿宋" w:eastAsia="仿宋"/>
          <w:b w:val="0"/>
          <w:bCs/>
          <w:color w:val="000000"/>
          <w:sz w:val="32"/>
          <w:szCs w:val="32"/>
        </w:rPr>
        <w:t>支出决算为18.87万元，完成预算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lang w:eastAsia="zh-CN"/>
        </w:rPr>
        <w:t>。</w:t>
      </w:r>
    </w:p>
    <w:p>
      <w:pPr>
        <w:tabs>
          <w:tab w:val="right" w:pos="8306"/>
        </w:tabs>
        <w:spacing w:line="600" w:lineRule="exact"/>
        <w:ind w:firstLine="640"/>
        <w:outlineLvl w:val="1"/>
        <w:rPr>
          <w:rStyle w:val="29"/>
        </w:rPr>
      </w:pPr>
      <w:bookmarkStart w:id="67" w:name="_Toc15396608"/>
      <w:bookmarkStart w:id="68" w:name="_Toc15377214"/>
      <w:bookmarkStart w:id="69" w:name="_Toc12226"/>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67"/>
      <w:bookmarkEnd w:id="68"/>
      <w:bookmarkEnd w:id="69"/>
      <w:r>
        <w:rPr>
          <w:rStyle w:val="29"/>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9年一般公共预算财政拨款基本支出240.78万元，其中：</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人员经费224.65万元，主要包括：基本工资48.82</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、津贴补贴78.71</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、奖金26.82</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、绩效工资2.08</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、机关事业单位基本养老保险缴费22.25</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、职业年金缴费10.29</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、公务员医疗补助缴费1.91</w:t>
      </w:r>
      <w:r>
        <w:rPr>
          <w:rFonts w:hint="eastAsia" w:ascii="仿宋" w:hAnsi="仿宋" w:eastAsia="仿宋"/>
          <w:color w:val="000000"/>
          <w:sz w:val="32"/>
          <w:szCs w:val="32"/>
          <w:lang w:eastAsia="zh-CN"/>
        </w:rPr>
        <w:t>万元、</w:t>
      </w:r>
      <w:r>
        <w:rPr>
          <w:rFonts w:hint="eastAsia" w:ascii="仿宋" w:hAnsi="仿宋" w:eastAsia="仿宋"/>
          <w:color w:val="000000"/>
          <w:sz w:val="32"/>
          <w:szCs w:val="32"/>
        </w:rPr>
        <w:t>职工基本医疗保险缴费11.5万元</w:t>
      </w:r>
      <w:r>
        <w:rPr>
          <w:rFonts w:hint="eastAsia" w:ascii="仿宋" w:hAnsi="仿宋" w:eastAsia="仿宋"/>
          <w:color w:val="000000"/>
          <w:sz w:val="32"/>
          <w:szCs w:val="32"/>
          <w:lang w:eastAsia="zh-CN"/>
        </w:rPr>
        <w:t>、公务员医疗补助缴费1.91万元、其他社会保障缴费2.35万元、住房公积金18.87万元、医疗费0.8万元、医疗费补助0.2万元、奖励金0.03万元。</w:t>
      </w:r>
      <w:r>
        <w:rPr>
          <w:rFonts w:ascii="仿宋" w:hAnsi="仿宋" w:eastAsia="仿宋"/>
          <w:color w:val="000000"/>
          <w:sz w:val="32"/>
          <w:szCs w:val="32"/>
        </w:rPr>
        <w:br w:type="textWrapping"/>
      </w:r>
      <w:r>
        <w:rPr>
          <w:rFonts w:hint="eastAsia" w:ascii="仿宋" w:hAnsi="仿宋" w:eastAsia="仿宋"/>
          <w:color w:val="000000"/>
          <w:sz w:val="32"/>
          <w:szCs w:val="32"/>
        </w:rPr>
        <w:t>　　日常公用经费16.14</w:t>
      </w:r>
      <w:r>
        <w:rPr>
          <w:rFonts w:hint="eastAsia" w:ascii="仿宋" w:hAnsi="仿宋" w:eastAsia="仿宋"/>
          <w:color w:val="000000"/>
          <w:sz w:val="32"/>
          <w:szCs w:val="32"/>
          <w:lang w:eastAsia="zh-CN"/>
        </w:rPr>
        <w:t>万</w:t>
      </w:r>
      <w:r>
        <w:rPr>
          <w:rFonts w:hint="eastAsia" w:ascii="仿宋" w:hAnsi="仿宋" w:eastAsia="仿宋"/>
          <w:color w:val="000000"/>
          <w:sz w:val="32"/>
          <w:szCs w:val="32"/>
        </w:rPr>
        <w:t>元，主要包括：办公费5.54万元</w:t>
      </w:r>
      <w:r>
        <w:rPr>
          <w:rFonts w:hint="eastAsia" w:ascii="仿宋" w:hAnsi="仿宋" w:eastAsia="仿宋"/>
          <w:color w:val="000000"/>
          <w:sz w:val="32"/>
          <w:szCs w:val="32"/>
          <w:lang w:eastAsia="zh-CN"/>
        </w:rPr>
        <w:t>、水费0.59万元、电费0.72万元、邮电费1.19万元、差旅费4.02万元、培训费1.41万元、公务用车运行维护费1.8万元、信息网络及软件购置更新0.86万元</w:t>
      </w:r>
      <w:r>
        <w:rPr>
          <w:rFonts w:hint="eastAsia" w:ascii="仿宋" w:hAnsi="仿宋" w:eastAsia="仿宋"/>
          <w:color w:val="000000"/>
          <w:sz w:val="32"/>
          <w:szCs w:val="32"/>
        </w:rPr>
        <w:t>。</w:t>
      </w:r>
    </w:p>
    <w:p>
      <w:pPr>
        <w:spacing w:line="600" w:lineRule="exact"/>
        <w:ind w:firstLine="640"/>
        <w:outlineLvl w:val="1"/>
        <w:rPr>
          <w:rStyle w:val="29"/>
          <w:rFonts w:ascii="黑体" w:hAnsi="黑体" w:eastAsia="黑体"/>
          <w:b w:val="0"/>
        </w:rPr>
      </w:pPr>
      <w:bookmarkStart w:id="70" w:name="_Toc15377215"/>
      <w:bookmarkStart w:id="71" w:name="_Toc27939"/>
      <w:bookmarkStart w:id="72" w:name="_Toc15396609"/>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70"/>
      <w:bookmarkEnd w:id="71"/>
      <w:bookmarkEnd w:id="72"/>
    </w:p>
    <w:p>
      <w:pPr>
        <w:spacing w:line="600" w:lineRule="exact"/>
        <w:ind w:firstLine="640"/>
        <w:outlineLvl w:val="2"/>
        <w:rPr>
          <w:rFonts w:ascii="仿宋" w:hAnsi="仿宋" w:eastAsia="仿宋"/>
          <w:b/>
          <w:color w:val="000000"/>
          <w:sz w:val="32"/>
          <w:szCs w:val="32"/>
        </w:rPr>
      </w:pPr>
      <w:bookmarkStart w:id="73" w:name="_Toc30654"/>
      <w:bookmarkStart w:id="74" w:name="_Toc15377216"/>
      <w:r>
        <w:rPr>
          <w:rFonts w:hint="eastAsia" w:ascii="仿宋" w:hAnsi="仿宋" w:eastAsia="仿宋"/>
          <w:b/>
          <w:color w:val="000000"/>
          <w:sz w:val="32"/>
          <w:szCs w:val="32"/>
        </w:rPr>
        <w:t>（一）“三公”经费财政拨款支出决算总体情况说明</w:t>
      </w:r>
      <w:bookmarkEnd w:id="73"/>
      <w:bookmarkEnd w:id="74"/>
    </w:p>
    <w:p>
      <w:pPr>
        <w:spacing w:line="600" w:lineRule="exact"/>
        <w:ind w:firstLine="640"/>
        <w:rPr>
          <w:rFonts w:ascii="仿宋" w:hAnsi="仿宋" w:eastAsia="仿宋"/>
          <w:b/>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9年“三公”经费财政拨款支出决算为1.80万元，完成预算</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lang w:eastAsia="zh-CN"/>
        </w:rPr>
        <w:t>。</w:t>
      </w:r>
    </w:p>
    <w:p>
      <w:pPr>
        <w:spacing w:line="600" w:lineRule="exact"/>
        <w:ind w:firstLine="640"/>
        <w:outlineLvl w:val="2"/>
        <w:rPr>
          <w:rFonts w:ascii="仿宋" w:hAnsi="仿宋" w:eastAsia="仿宋"/>
          <w:b/>
          <w:color w:val="000000"/>
          <w:sz w:val="32"/>
          <w:szCs w:val="32"/>
        </w:rPr>
      </w:pPr>
      <w:bookmarkStart w:id="75" w:name="_Toc15377217"/>
      <w:bookmarkStart w:id="76" w:name="_Toc9317"/>
      <w:r>
        <w:rPr>
          <w:rFonts w:hint="eastAsia" w:ascii="仿宋" w:hAnsi="仿宋" w:eastAsia="仿宋"/>
          <w:b/>
          <w:color w:val="000000"/>
          <w:sz w:val="32"/>
          <w:szCs w:val="32"/>
        </w:rPr>
        <w:t>（二）“三公”经费财政拨款支出决算具体情况说明</w:t>
      </w:r>
      <w:bookmarkEnd w:id="75"/>
      <w:bookmarkEnd w:id="76"/>
    </w:p>
    <w:p>
      <w:pPr>
        <w:spacing w:line="600" w:lineRule="exact"/>
        <w:ind w:firstLine="640"/>
        <w:rPr>
          <w:rFonts w:hint="eastAsia" w:ascii="仿宋" w:hAnsi="仿宋" w:eastAsia="仿宋"/>
          <w:color w:val="000000"/>
          <w:sz w:val="32"/>
          <w:szCs w:val="32"/>
        </w:rPr>
      </w:pPr>
      <w:r>
        <w:rPr>
          <w:rFonts w:ascii="Times New Roman" w:hAnsi="Times New Roman" w:eastAsia="宋体" w:cs="Times New Roman"/>
          <w:kern w:val="2"/>
          <w:sz w:val="21"/>
          <w:szCs w:val="24"/>
          <w:lang w:val="en-US" w:eastAsia="zh-CN" w:bidi="ar-SA"/>
        </w:rPr>
        <w:pict>
          <v:shape id="图片 9" o:spid="_x0000_s1032" o:spt="75" type="#_x0000_t75" style="position:absolute;left:0pt;margin-left:34.25pt;margin-top:135pt;height:204.75pt;width:334.5pt;mso-wrap-distance-bottom:0pt;mso-wrap-distance-top:0pt;z-index:251664384;mso-width-relative:page;mso-height-relative:page;" fillcolor="#FFFFFF" filled="f" o:preferrelative="t" stroked="f" coordsize="21600,21600">
            <v:path/>
            <v:fill on="f" color2="#FFFFFF" focussize="0,0"/>
            <v:stroke on="f"/>
            <v:imagedata r:id="rId12" gain="65536f" blacklevel="0f" gamma="0" o:title=""/>
            <o:lock v:ext="edit" position="f" selection="f" grouping="f" rotation="f" cropping="f" text="f" aspectratio="t"/>
            <w10:wrap type="topAndBottom"/>
          </v:shape>
        </w:pict>
      </w: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w:t>
      </w:r>
      <w:r>
        <w:rPr>
          <w:rFonts w:hint="eastAsia" w:ascii="仿宋" w:hAnsi="仿宋" w:eastAsia="仿宋"/>
          <w:color w:val="000000"/>
          <w:sz w:val="32"/>
          <w:szCs w:val="32"/>
          <w:lang w:val="en-US" w:eastAsia="zh-CN"/>
        </w:rPr>
        <w:t>1.8</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100</w:t>
      </w:r>
      <w:r>
        <w:rPr>
          <w:rFonts w:ascii="仿宋" w:hAnsi="仿宋" w:eastAsia="仿宋"/>
          <w:color w:val="000000"/>
          <w:sz w:val="32"/>
          <w:szCs w:val="32"/>
        </w:rPr>
        <w:t>%</w:t>
      </w:r>
      <w:r>
        <w:rPr>
          <w:rFonts w:hint="eastAsia" w:ascii="仿宋" w:hAnsi="仿宋" w:eastAsia="仿宋"/>
          <w:color w:val="000000"/>
          <w:sz w:val="32"/>
          <w:szCs w:val="32"/>
        </w:rPr>
        <w:t>；公务接待费支出决算</w:t>
      </w:r>
      <w:r>
        <w:rPr>
          <w:rFonts w:hint="eastAsia" w:ascii="仿宋" w:hAnsi="仿宋" w:eastAsia="仿宋"/>
          <w:color w:val="000000"/>
          <w:sz w:val="32"/>
          <w:szCs w:val="32"/>
          <w:lang w:val="en-US" w:eastAsia="zh-CN"/>
        </w:rPr>
        <w:t>0</w:t>
      </w:r>
      <w:r>
        <w:rPr>
          <w:rFonts w:hint="eastAsia" w:ascii="仿宋" w:hAnsi="仿宋" w:eastAsia="仿宋"/>
          <w:color w:val="000000"/>
          <w:sz w:val="32"/>
          <w:szCs w:val="32"/>
        </w:rPr>
        <w:t>万元，占</w:t>
      </w:r>
      <w:r>
        <w:rPr>
          <w:rFonts w:hint="eastAsia" w:ascii="仿宋" w:hAnsi="仿宋" w:eastAsia="仿宋"/>
          <w:color w:val="000000"/>
          <w:sz w:val="32"/>
          <w:szCs w:val="32"/>
          <w:lang w:val="en-US" w:eastAsia="zh-CN"/>
        </w:rPr>
        <w:t>0</w:t>
      </w:r>
      <w:r>
        <w:rPr>
          <w:rFonts w:ascii="仿宋" w:hAnsi="仿宋" w:eastAsia="仿宋"/>
          <w:color w:val="000000"/>
          <w:sz w:val="32"/>
          <w:szCs w:val="32"/>
        </w:rPr>
        <w:t>%</w:t>
      </w:r>
      <w:r>
        <w:rPr>
          <w:rFonts w:hint="eastAsia" w:ascii="仿宋" w:hAnsi="仿宋" w:eastAsia="仿宋"/>
          <w:color w:val="000000"/>
          <w:sz w:val="32"/>
          <w:szCs w:val="32"/>
        </w:rPr>
        <w:t>。具体情况如下：</w:t>
      </w:r>
    </w:p>
    <w:p>
      <w:pPr>
        <w:spacing w:line="600" w:lineRule="exact"/>
        <w:ind w:firstLine="640"/>
        <w:rPr>
          <w:rFonts w:hint="eastAsia" w:ascii="仿宋" w:hAnsi="仿宋" w:eastAsia="仿宋"/>
          <w:color w:val="000000"/>
          <w:sz w:val="32"/>
          <w:szCs w:val="32"/>
        </w:rPr>
      </w:pPr>
    </w:p>
    <w:p>
      <w:pPr>
        <w:spacing w:line="600" w:lineRule="exact"/>
        <w:ind w:firstLine="640"/>
        <w:rPr>
          <w:rFonts w:ascii="仿宋" w:hAnsi="仿宋" w:eastAsia="仿宋"/>
          <w:color w:val="000000"/>
          <w:sz w:val="32"/>
          <w:szCs w:val="32"/>
        </w:rPr>
      </w:pPr>
      <w:r>
        <w:rPr>
          <w:rFonts w:hint="eastAsia" w:ascii="仿宋" w:hAnsi="仿宋" w:eastAsia="仿宋"/>
          <w:color w:val="000000"/>
          <w:sz w:val="32"/>
          <w:szCs w:val="32"/>
        </w:rPr>
        <w:t>（图7：“三公”经费财政拨款支出结构）（饼状图）</w:t>
      </w:r>
    </w:p>
    <w:p>
      <w:pPr>
        <w:numPr>
          <w:ilvl w:val="0"/>
          <w:numId w:val="3"/>
        </w:numPr>
        <w:spacing w:line="600" w:lineRule="exact"/>
        <w:ind w:firstLine="640"/>
        <w:rPr>
          <w:rFonts w:hint="eastAsia" w:ascii="仿宋_GB2312" w:eastAsia="仿宋_GB2312"/>
          <w:color w:val="000000"/>
          <w:sz w:val="32"/>
          <w:szCs w:val="32"/>
          <w:lang w:eastAsia="zh-CN"/>
        </w:rPr>
      </w:pPr>
      <w:r>
        <w:rPr>
          <w:rFonts w:hint="eastAsia" w:ascii="仿宋_GB2312" w:eastAsia="仿宋_GB2312"/>
          <w:b/>
          <w:color w:val="000000"/>
          <w:sz w:val="32"/>
          <w:szCs w:val="32"/>
        </w:rPr>
        <w:t>因公出国（境）经费支出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次，出国（境）</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w:t>
      </w:r>
      <w:r>
        <w:rPr>
          <w:rFonts w:hint="eastAsia" w:ascii="仿宋_GB2312" w:eastAsia="仿宋_GB2312"/>
          <w:color w:val="000000"/>
          <w:sz w:val="32"/>
          <w:szCs w:val="32"/>
          <w:lang w:eastAsia="zh-CN"/>
        </w:rPr>
        <w:t>无增减。</w:t>
      </w:r>
    </w:p>
    <w:p>
      <w:pPr>
        <w:numPr>
          <w:ilvl w:val="0"/>
          <w:numId w:val="0"/>
        </w:numPr>
        <w:spacing w:line="600" w:lineRule="exact"/>
        <w:ind w:firstLine="643" w:firstLineChars="200"/>
        <w:rPr>
          <w:rFonts w:hint="eastAsia" w:ascii="仿宋_GB2312" w:eastAsia="仿宋_GB2312"/>
          <w:b/>
          <w:color w:val="000000"/>
          <w:sz w:val="32"/>
          <w:szCs w:val="32"/>
          <w:lang w:val="en-US" w:eastAsia="zh-CN"/>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0.8</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30.77</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维修费用较上年少。</w:t>
      </w:r>
    </w:p>
    <w:p>
      <w:pPr>
        <w:spacing w:line="600" w:lineRule="exact"/>
        <w:ind w:firstLine="640" w:firstLineChars="200"/>
        <w:rPr>
          <w:rFonts w:hint="eastAsia" w:ascii="仿宋_GB2312" w:eastAsia="仿宋_GB2312"/>
          <w:color w:val="000000"/>
          <w:sz w:val="32"/>
          <w:szCs w:val="32"/>
          <w:lang w:val="en-US" w:eastAsia="zh-CN"/>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万元。全年按规定更新购置公务用车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辆，金额</w:t>
      </w:r>
      <w:r>
        <w:rPr>
          <w:rFonts w:hint="eastAsia" w:ascii="仿宋_GB2312" w:eastAsia="仿宋_GB2312"/>
          <w:color w:val="000000"/>
          <w:sz w:val="32"/>
          <w:szCs w:val="32"/>
          <w:lang w:val="en-US" w:eastAsia="zh-CN"/>
        </w:rPr>
        <w:t>0</w:t>
      </w:r>
      <w:r>
        <w:rPr>
          <w:rFonts w:ascii="仿宋_GB2312" w:eastAsia="仿宋_GB2312"/>
          <w:color w:val="000000"/>
          <w:sz w:val="32"/>
          <w:szCs w:val="32"/>
        </w:rPr>
        <w:t>元。</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月底，单位共有公务用车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辆，其中：主要领导干部用车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辆、机要通信用车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 执法执勤用车</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p>
    <w:p>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lang w:val="en-US" w:eastAsia="zh-CN"/>
        </w:rPr>
        <w:t>1.8</w:t>
      </w:r>
      <w:r>
        <w:rPr>
          <w:rFonts w:hint="eastAsia" w:ascii="仿宋_GB2312" w:eastAsia="仿宋_GB2312"/>
          <w:color w:val="000000"/>
          <w:sz w:val="32"/>
          <w:szCs w:val="32"/>
        </w:rPr>
        <w:t>万元。主要用于出差，联系帮扶工作等所需的公务用车燃料费、维修费、过路过桥费、保险费等支出。</w:t>
      </w:r>
    </w:p>
    <w:p>
      <w:pPr>
        <w:spacing w:line="600" w:lineRule="exact"/>
        <w:ind w:firstLine="640"/>
        <w:rPr>
          <w:rFonts w:hint="eastAsia" w:ascii="黑体" w:eastAsia="仿宋_GB2312"/>
          <w:color w:val="000000"/>
          <w:sz w:val="32"/>
          <w:szCs w:val="32"/>
          <w:lang w:eastAsia="zh-CN"/>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Style w:val="16"/>
          <w:rFonts w:hint="eastAsia" w:ascii="仿宋" w:hAnsi="仿宋" w:eastAsia="仿宋"/>
          <w:b w:val="0"/>
          <w:bCs/>
          <w:color w:val="000000"/>
          <w:sz w:val="32"/>
          <w:szCs w:val="32"/>
        </w:rPr>
        <w:t>完成预算</w:t>
      </w:r>
      <w:r>
        <w:rPr>
          <w:rStyle w:val="16"/>
          <w:rFonts w:hint="eastAsia" w:ascii="仿宋" w:hAnsi="仿宋" w:eastAsia="仿宋"/>
          <w:b w:val="0"/>
          <w:bCs/>
          <w:color w:val="000000"/>
          <w:sz w:val="32"/>
          <w:szCs w:val="32"/>
          <w:lang w:val="en-US" w:eastAsia="zh-CN"/>
        </w:rPr>
        <w:t>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0.19</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。主要原因是</w:t>
      </w:r>
      <w:bookmarkStart w:id="77" w:name="_Toc15377218"/>
      <w:bookmarkStart w:id="78" w:name="_Toc15396610"/>
      <w:r>
        <w:rPr>
          <w:rFonts w:hint="eastAsia" w:ascii="仿宋_GB2312" w:eastAsia="仿宋_GB2312"/>
          <w:color w:val="000000"/>
          <w:sz w:val="32"/>
          <w:szCs w:val="32"/>
          <w:lang w:eastAsia="zh-CN"/>
        </w:rPr>
        <w:t>无接待。</w:t>
      </w:r>
    </w:p>
    <w:p>
      <w:pPr>
        <w:spacing w:line="600" w:lineRule="exact"/>
        <w:ind w:firstLine="640"/>
        <w:outlineLvl w:val="1"/>
        <w:rPr>
          <w:rStyle w:val="29"/>
          <w:rFonts w:ascii="黑体" w:hAnsi="黑体" w:eastAsia="黑体"/>
        </w:rPr>
      </w:pPr>
      <w:bookmarkStart w:id="79" w:name="_Toc15097"/>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77"/>
      <w:bookmarkEnd w:id="78"/>
      <w:bookmarkEnd w:id="79"/>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numPr>
          <w:ilvl w:val="0"/>
          <w:numId w:val="4"/>
        </w:numPr>
        <w:spacing w:line="600" w:lineRule="exact"/>
        <w:ind w:firstLine="640"/>
        <w:outlineLvl w:val="1"/>
        <w:rPr>
          <w:rStyle w:val="29"/>
          <w:rFonts w:ascii="黑体" w:hAnsi="黑体" w:eastAsia="黑体"/>
          <w:b w:val="0"/>
        </w:rPr>
      </w:pPr>
      <w:bookmarkStart w:id="80" w:name="_Toc15396611"/>
      <w:bookmarkStart w:id="81" w:name="_Toc15377219"/>
      <w:bookmarkStart w:id="82" w:name="_Toc23508"/>
      <w:r>
        <w:rPr>
          <w:rStyle w:val="29"/>
          <w:rFonts w:hint="eastAsia" w:ascii="黑体" w:hAnsi="黑体" w:eastAsia="黑体"/>
          <w:b w:val="0"/>
        </w:rPr>
        <w:t>国有资本经营预算支出决算情况说明</w:t>
      </w:r>
      <w:bookmarkEnd w:id="80"/>
      <w:bookmarkEnd w:id="81"/>
      <w:bookmarkEnd w:id="82"/>
    </w:p>
    <w:p>
      <w:pPr>
        <w:spacing w:line="600" w:lineRule="exact"/>
        <w:ind w:firstLine="640"/>
        <w:rPr>
          <w:rFonts w:ascii="方正小标宋简体" w:hAnsi="方正小标宋简体" w:eastAsia="方正小标宋简体" w:cs="方正小标宋简体"/>
          <w:sz w:val="44"/>
          <w:szCs w:val="44"/>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p>
    <w:p>
      <w:pPr>
        <w:spacing w:line="600" w:lineRule="exact"/>
        <w:ind w:firstLine="800" w:firstLineChars="250"/>
        <w:outlineLvl w:val="1"/>
        <w:rPr>
          <w:rStyle w:val="29"/>
          <w:rFonts w:ascii="黑体" w:hAnsi="黑体" w:eastAsia="黑体"/>
        </w:rPr>
      </w:pPr>
      <w:bookmarkStart w:id="83" w:name="_Toc15377221"/>
      <w:bookmarkStart w:id="84" w:name="_Toc15396612"/>
      <w:bookmarkStart w:id="85" w:name="_Toc23794"/>
      <w:r>
        <w:rPr>
          <w:rFonts w:hint="eastAsia" w:ascii="黑体" w:hAnsi="黑体" w:eastAsia="黑体"/>
          <w:color w:val="000000"/>
          <w:sz w:val="32"/>
          <w:szCs w:val="32"/>
        </w:rPr>
        <w:t>十</w:t>
      </w:r>
      <w:r>
        <w:rPr>
          <w:rStyle w:val="29"/>
          <w:rFonts w:hint="eastAsia" w:ascii="黑体" w:hAnsi="黑体" w:eastAsia="黑体"/>
        </w:rPr>
        <w:t>、</w:t>
      </w:r>
      <w:r>
        <w:rPr>
          <w:rStyle w:val="29"/>
          <w:rFonts w:hint="eastAsia" w:ascii="黑体" w:hAnsi="黑体" w:eastAsia="黑体"/>
          <w:b w:val="0"/>
        </w:rPr>
        <w:t>其他重要事项的情况说明</w:t>
      </w:r>
      <w:bookmarkEnd w:id="83"/>
      <w:bookmarkEnd w:id="84"/>
      <w:bookmarkEnd w:id="85"/>
    </w:p>
    <w:p>
      <w:pPr>
        <w:spacing w:line="600" w:lineRule="exact"/>
        <w:ind w:firstLine="643" w:firstLineChars="200"/>
        <w:outlineLvl w:val="2"/>
        <w:rPr>
          <w:rFonts w:ascii="仿宋" w:hAnsi="仿宋" w:eastAsia="仿宋"/>
          <w:color w:val="000000"/>
          <w:sz w:val="32"/>
          <w:szCs w:val="32"/>
        </w:rPr>
      </w:pPr>
      <w:bookmarkStart w:id="86" w:name="_Toc15377222"/>
      <w:bookmarkStart w:id="87" w:name="_Toc14905"/>
      <w:r>
        <w:rPr>
          <w:rFonts w:hint="eastAsia" w:ascii="仿宋" w:hAnsi="仿宋" w:eastAsia="仿宋"/>
          <w:b/>
          <w:color w:val="000000"/>
          <w:sz w:val="32"/>
          <w:szCs w:val="32"/>
        </w:rPr>
        <w:t>（一）机关运行经费支出情况</w:t>
      </w:r>
      <w:bookmarkEnd w:id="86"/>
      <w:bookmarkEnd w:id="87"/>
    </w:p>
    <w:p>
      <w:pPr>
        <w:spacing w:line="60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县委编办</w:t>
      </w:r>
      <w:r>
        <w:rPr>
          <w:rFonts w:hint="eastAsia" w:ascii="仿宋_GB2312" w:eastAsia="仿宋_GB2312"/>
          <w:color w:val="000000"/>
          <w:sz w:val="32"/>
          <w:szCs w:val="32"/>
        </w:rPr>
        <w:t>机关运行经费支出14.18万元，比</w:t>
      </w:r>
      <w:r>
        <w:rPr>
          <w:rFonts w:ascii="仿宋_GB2312" w:eastAsia="仿宋_GB2312"/>
          <w:color w:val="000000"/>
          <w:sz w:val="32"/>
          <w:szCs w:val="32"/>
        </w:rPr>
        <w:t>201</w:t>
      </w:r>
      <w:r>
        <w:rPr>
          <w:rFonts w:hint="eastAsia" w:ascii="仿宋_GB2312" w:eastAsia="仿宋_GB2312"/>
          <w:color w:val="000000"/>
          <w:sz w:val="32"/>
          <w:szCs w:val="32"/>
        </w:rPr>
        <w:t>8年减少</w:t>
      </w:r>
      <w:r>
        <w:rPr>
          <w:rFonts w:hint="eastAsia" w:ascii="仿宋_GB2312" w:eastAsia="仿宋_GB2312"/>
          <w:color w:val="000000"/>
          <w:sz w:val="32"/>
          <w:szCs w:val="32"/>
          <w:lang w:val="en-US" w:eastAsia="zh-CN"/>
        </w:rPr>
        <w:t>3.72</w:t>
      </w:r>
      <w:r>
        <w:rPr>
          <w:rFonts w:hint="eastAsia" w:ascii="仿宋_GB2312" w:eastAsia="仿宋_GB2312"/>
          <w:color w:val="000000"/>
          <w:sz w:val="32"/>
          <w:szCs w:val="32"/>
        </w:rPr>
        <w:t>万元，下降</w:t>
      </w:r>
      <w:r>
        <w:rPr>
          <w:rFonts w:hint="eastAsia" w:ascii="仿宋_GB2312" w:eastAsia="仿宋_GB2312"/>
          <w:color w:val="000000"/>
          <w:sz w:val="32"/>
          <w:szCs w:val="32"/>
          <w:lang w:val="en-US" w:eastAsia="zh-CN"/>
        </w:rPr>
        <w:t>20.78</w:t>
      </w:r>
      <w:r>
        <w:rPr>
          <w:rFonts w:ascii="仿宋_GB2312" w:eastAsia="仿宋_GB2312"/>
          <w:color w:val="000000"/>
          <w:sz w:val="32"/>
          <w:szCs w:val="32"/>
        </w:rPr>
        <w:t>%</w:t>
      </w:r>
      <w:r>
        <w:rPr>
          <w:rFonts w:hint="eastAsia" w:ascii="仿宋_GB2312" w:eastAsia="仿宋_GB2312"/>
          <w:color w:val="000000"/>
          <w:sz w:val="32"/>
          <w:szCs w:val="32"/>
        </w:rPr>
        <w:t>。主要原因是</w:t>
      </w:r>
      <w:r>
        <w:rPr>
          <w:rFonts w:hint="eastAsia" w:ascii="仿宋_GB2312" w:eastAsia="仿宋_GB2312"/>
          <w:color w:val="000000"/>
          <w:sz w:val="32"/>
          <w:szCs w:val="32"/>
          <w:lang w:eastAsia="zh-CN"/>
        </w:rPr>
        <w:t>厉行节约。</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88" w:name="_Toc15377223"/>
      <w:bookmarkStart w:id="89" w:name="_Toc7532"/>
      <w:r>
        <w:rPr>
          <w:rFonts w:hint="eastAsia" w:ascii="仿宋" w:hAnsi="仿宋" w:eastAsia="仿宋"/>
          <w:b/>
          <w:color w:val="000000"/>
          <w:sz w:val="32"/>
          <w:szCs w:val="32"/>
        </w:rPr>
        <w:t>（二）政府采购支出情况</w:t>
      </w:r>
      <w:bookmarkEnd w:id="88"/>
      <w:bookmarkEnd w:id="89"/>
    </w:p>
    <w:p>
      <w:pPr>
        <w:spacing w:line="600" w:lineRule="exact"/>
        <w:ind w:firstLine="640" w:firstLineChars="2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w:t>
      </w:r>
      <w:r>
        <w:rPr>
          <w:rFonts w:hint="eastAsia" w:ascii="仿宋_GB2312" w:eastAsia="仿宋_GB2312"/>
          <w:color w:val="000000"/>
          <w:sz w:val="32"/>
          <w:szCs w:val="32"/>
          <w:lang w:eastAsia="zh-CN"/>
        </w:rPr>
        <w:t>县委编办</w:t>
      </w:r>
      <w:r>
        <w:rPr>
          <w:rFonts w:hint="eastAsia" w:ascii="仿宋_GB2312" w:eastAsia="仿宋_GB2312"/>
          <w:color w:val="000000"/>
          <w:sz w:val="32"/>
          <w:szCs w:val="32"/>
        </w:rPr>
        <w:t>政府采购支出总额</w:t>
      </w:r>
      <w:r>
        <w:rPr>
          <w:rFonts w:hint="eastAsia" w:ascii="仿宋_GB2312" w:eastAsia="仿宋_GB2312"/>
          <w:color w:val="000000"/>
          <w:sz w:val="32"/>
          <w:szCs w:val="32"/>
          <w:lang w:val="en-US" w:eastAsia="zh-CN"/>
        </w:rPr>
        <w:t>1.68</w:t>
      </w:r>
      <w:r>
        <w:rPr>
          <w:rFonts w:hint="eastAsia" w:ascii="仿宋_GB2312" w:eastAsia="仿宋_GB2312"/>
          <w:color w:val="000000"/>
          <w:sz w:val="32"/>
          <w:szCs w:val="32"/>
        </w:rPr>
        <w:t>万元，其中：政府采购货物支出</w:t>
      </w:r>
      <w:r>
        <w:rPr>
          <w:rFonts w:hint="eastAsia" w:ascii="仿宋_GB2312" w:eastAsia="仿宋_GB2312"/>
          <w:color w:val="000000"/>
          <w:sz w:val="32"/>
          <w:szCs w:val="32"/>
          <w:lang w:val="en-US" w:eastAsia="zh-CN"/>
        </w:rPr>
        <w:t>1.68</w:t>
      </w:r>
      <w:r>
        <w:rPr>
          <w:rFonts w:hint="eastAsia" w:ascii="仿宋_GB2312" w:eastAsia="仿宋_GB2312"/>
          <w:color w:val="000000"/>
          <w:sz w:val="32"/>
          <w:szCs w:val="32"/>
        </w:rPr>
        <w:t>万元。主要用于</w:t>
      </w:r>
      <w:r>
        <w:rPr>
          <w:rFonts w:hint="eastAsia" w:ascii="仿宋_GB2312" w:eastAsia="仿宋_GB2312"/>
          <w:color w:val="000000"/>
          <w:sz w:val="32"/>
          <w:szCs w:val="32"/>
          <w:lang w:eastAsia="zh-CN"/>
        </w:rPr>
        <w:t>购买办公设备</w:t>
      </w:r>
      <w:r>
        <w:rPr>
          <w:rFonts w:hint="eastAsia" w:ascii="仿宋_GB2312" w:eastAsia="仿宋_GB2312"/>
          <w:color w:val="000000"/>
          <w:sz w:val="32"/>
          <w:szCs w:val="32"/>
        </w:rPr>
        <w:t>。授予中小企业合同金额</w:t>
      </w:r>
      <w:r>
        <w:rPr>
          <w:rFonts w:hint="eastAsia" w:ascii="仿宋_GB2312" w:eastAsia="仿宋_GB2312"/>
          <w:color w:val="000000"/>
          <w:sz w:val="32"/>
          <w:szCs w:val="32"/>
          <w:lang w:val="en-US" w:eastAsia="zh-CN"/>
        </w:rPr>
        <w:t>1.68</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，其中：授予小微企业合同金额</w:t>
      </w:r>
      <w:r>
        <w:rPr>
          <w:rFonts w:hint="eastAsia" w:ascii="仿宋_GB2312" w:eastAsia="仿宋_GB2312"/>
          <w:color w:val="000000"/>
          <w:sz w:val="32"/>
          <w:szCs w:val="32"/>
          <w:lang w:val="en-US" w:eastAsia="zh-CN"/>
        </w:rPr>
        <w:t>1.68</w:t>
      </w:r>
      <w:r>
        <w:rPr>
          <w:rFonts w:hint="eastAsia" w:ascii="仿宋_GB2312" w:eastAsia="仿宋_GB2312"/>
          <w:color w:val="000000"/>
          <w:sz w:val="32"/>
          <w:szCs w:val="32"/>
        </w:rPr>
        <w:t>万元，占政府采购支出总额的</w:t>
      </w:r>
      <w:r>
        <w:rPr>
          <w:rFonts w:hint="eastAsia" w:ascii="仿宋_GB2312" w:eastAsia="仿宋_GB2312"/>
          <w:color w:val="000000"/>
          <w:sz w:val="32"/>
          <w:szCs w:val="32"/>
          <w:lang w:val="en-US" w:eastAsia="zh-CN"/>
        </w:rPr>
        <w:t>100</w:t>
      </w:r>
      <w:r>
        <w:rPr>
          <w:rFonts w:ascii="仿宋_GB2312" w:eastAsia="仿宋_GB2312"/>
          <w:color w:val="000000"/>
          <w:sz w:val="32"/>
          <w:szCs w:val="32"/>
        </w:rPr>
        <w:t>%</w:t>
      </w:r>
      <w:r>
        <w:rPr>
          <w:rFonts w:hint="eastAsia" w:ascii="仿宋_GB2312" w:eastAsia="仿宋_GB2312"/>
          <w:color w:val="000000"/>
          <w:sz w:val="32"/>
          <w:szCs w:val="32"/>
        </w:rPr>
        <w:t>。</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0" w:name="_Toc15377224"/>
      <w:bookmarkStart w:id="91" w:name="_Toc27626"/>
      <w:r>
        <w:rPr>
          <w:rFonts w:hint="eastAsia" w:ascii="仿宋" w:hAnsi="仿宋" w:eastAsia="仿宋"/>
          <w:b/>
          <w:color w:val="000000"/>
          <w:sz w:val="32"/>
          <w:szCs w:val="32"/>
        </w:rPr>
        <w:t>（三）国有资产占有使用情况</w:t>
      </w:r>
      <w:bookmarkEnd w:id="90"/>
      <w:bookmarkEnd w:id="91"/>
    </w:p>
    <w:p>
      <w:pPr>
        <w:autoSpaceDE w:val="0"/>
        <w:autoSpaceDN w:val="0"/>
        <w:adjustRightInd w:val="0"/>
        <w:spacing w:line="600" w:lineRule="exact"/>
        <w:ind w:firstLine="640" w:firstLineChars="200"/>
        <w:jc w:val="left"/>
        <w:rPr>
          <w:rFonts w:ascii="仿宋" w:hAnsi="仿宋" w:eastAsia="仿宋"/>
          <w:b/>
          <w:color w:val="FF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w:t>
      </w:r>
      <w:r>
        <w:rPr>
          <w:rFonts w:hint="eastAsia" w:ascii="仿宋_GB2312" w:eastAsia="仿宋_GB2312"/>
          <w:color w:val="000000"/>
          <w:sz w:val="32"/>
          <w:szCs w:val="32"/>
          <w:lang w:eastAsia="zh-CN"/>
        </w:rPr>
        <w:t>县委编办</w:t>
      </w:r>
      <w:r>
        <w:rPr>
          <w:rFonts w:hint="eastAsia" w:ascii="仿宋_GB2312" w:eastAsia="仿宋_GB2312"/>
          <w:color w:val="000000"/>
          <w:sz w:val="32"/>
          <w:szCs w:val="32"/>
        </w:rPr>
        <w:t>共有车辆</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辆，其中：应急保障用车</w:t>
      </w:r>
      <w:r>
        <w:rPr>
          <w:rFonts w:hint="eastAsia" w:ascii="仿宋_GB2312" w:eastAsia="仿宋_GB2312"/>
          <w:color w:val="000000"/>
          <w:sz w:val="32"/>
          <w:szCs w:val="32"/>
          <w:lang w:val="en-US" w:eastAsia="zh-CN"/>
        </w:rPr>
        <w:t>1</w:t>
      </w:r>
      <w:r>
        <w:rPr>
          <w:rFonts w:hint="eastAsia" w:ascii="仿宋_GB2312" w:eastAsia="仿宋_GB2312"/>
          <w:color w:val="000000"/>
          <w:sz w:val="32"/>
          <w:szCs w:val="32"/>
        </w:rPr>
        <w:t>辆</w:t>
      </w:r>
      <w:r>
        <w:rPr>
          <w:rFonts w:hint="eastAsia" w:ascii="仿宋_GB2312" w:eastAsia="仿宋_GB2312"/>
          <w:color w:val="000000"/>
          <w:sz w:val="32"/>
          <w:szCs w:val="32"/>
          <w:lang w:eastAsia="zh-CN"/>
        </w:rPr>
        <w:t>。</w:t>
      </w:r>
      <w:r>
        <w:rPr>
          <w:rFonts w:hint="eastAsia" w:ascii="仿宋_GB2312" w:eastAsia="仿宋_GB2312"/>
          <w:color w:val="000000"/>
          <w:sz w:val="32"/>
          <w:szCs w:val="32"/>
          <w:lang w:val="en-US" w:eastAsia="zh-CN"/>
        </w:rPr>
        <w:t>单</w:t>
      </w:r>
      <w:r>
        <w:rPr>
          <w:rFonts w:hint="eastAsia" w:ascii="仿宋_GB2312" w:eastAsia="仿宋_GB2312"/>
          <w:color w:val="000000"/>
          <w:sz w:val="32"/>
          <w:szCs w:val="32"/>
        </w:rPr>
        <w:t>价</w:t>
      </w:r>
      <w:r>
        <w:rPr>
          <w:rFonts w:ascii="仿宋_GB2312" w:eastAsia="仿宋_GB2312"/>
          <w:color w:val="000000"/>
          <w:sz w:val="32"/>
          <w:szCs w:val="32"/>
        </w:rPr>
        <w:t>50</w:t>
      </w:r>
      <w:r>
        <w:rPr>
          <w:rFonts w:hint="eastAsia" w:ascii="仿宋_GB2312" w:eastAsia="仿宋_GB2312"/>
          <w:color w:val="000000"/>
          <w:sz w:val="32"/>
          <w:szCs w:val="32"/>
        </w:rPr>
        <w:t>万元以上通用设备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台（套），单价</w:t>
      </w:r>
      <w:r>
        <w:rPr>
          <w:rFonts w:ascii="仿宋_GB2312" w:eastAsia="仿宋_GB2312"/>
          <w:color w:val="000000"/>
          <w:sz w:val="32"/>
          <w:szCs w:val="32"/>
        </w:rPr>
        <w:t>100</w:t>
      </w:r>
      <w:r>
        <w:rPr>
          <w:rFonts w:hint="eastAsia" w:ascii="仿宋_GB2312" w:eastAsia="仿宋_GB2312"/>
          <w:color w:val="000000"/>
          <w:sz w:val="32"/>
          <w:szCs w:val="32"/>
        </w:rPr>
        <w:t>万元以上专用设备</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台（套）。</w:t>
      </w:r>
    </w:p>
    <w:p>
      <w:pPr>
        <w:autoSpaceDE w:val="0"/>
        <w:autoSpaceDN w:val="0"/>
        <w:adjustRightInd w:val="0"/>
        <w:spacing w:line="600" w:lineRule="exact"/>
        <w:ind w:firstLine="643" w:firstLineChars="200"/>
        <w:jc w:val="left"/>
        <w:outlineLvl w:val="2"/>
        <w:rPr>
          <w:rFonts w:ascii="仿宋" w:hAnsi="仿宋" w:eastAsia="仿宋"/>
          <w:b/>
          <w:color w:val="000000"/>
          <w:sz w:val="32"/>
          <w:szCs w:val="32"/>
        </w:rPr>
      </w:pPr>
      <w:bookmarkStart w:id="92" w:name="_Toc7326"/>
      <w:r>
        <w:rPr>
          <w:rFonts w:hint="eastAsia" w:ascii="仿宋" w:hAnsi="仿宋" w:eastAsia="仿宋"/>
          <w:b/>
          <w:color w:val="000000"/>
          <w:sz w:val="32"/>
          <w:szCs w:val="32"/>
        </w:rPr>
        <w:t>（四）预算绩效管理情况。</w:t>
      </w:r>
      <w:bookmarkEnd w:id="92"/>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根据预算绩效管理要求，本部门（单位）在年初预算编制阶段，组织对</w:t>
      </w:r>
      <w:r>
        <w:rPr>
          <w:rFonts w:hint="eastAsia" w:ascii="仿宋_GB2312" w:hAnsi="仿宋_GB2312" w:eastAsia="仿宋_GB2312" w:cs="仿宋_GB2312"/>
          <w:sz w:val="32"/>
          <w:szCs w:val="32"/>
          <w:lang w:eastAsia="zh-CN"/>
        </w:rPr>
        <w:t>编办</w:t>
      </w:r>
      <w:r>
        <w:rPr>
          <w:rFonts w:hint="eastAsia" w:ascii="仿宋_GB2312" w:hAnsi="仿宋_GB2312" w:eastAsia="仿宋_GB2312" w:cs="仿宋_GB2312"/>
          <w:sz w:val="32"/>
          <w:szCs w:val="32"/>
        </w:rPr>
        <w:t>项目开展了预算事前绩效评估，对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个项目编制了绩效目标，预算执行过程中，选取</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个项目开展绩效监控，年终执行完毕后，对</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个项目开展了绩效目标完成情况梳理填报。</w:t>
      </w:r>
    </w:p>
    <w:p>
      <w:pPr>
        <w:spacing w:line="580" w:lineRule="exact"/>
        <w:ind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本部门按要求对201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年部门整体支出开展绩效自评，从评价情况来看</w:t>
      </w:r>
      <w:r>
        <w:rPr>
          <w:rFonts w:hint="eastAsia" w:ascii="仿宋_GB2312" w:hAnsi="仿宋_GB2312" w:eastAsia="仿宋_GB2312" w:cs="仿宋_GB2312"/>
          <w:sz w:val="32"/>
          <w:szCs w:val="32"/>
          <w:lang w:eastAsia="zh-CN"/>
        </w:rPr>
        <w:t>，情况较好</w:t>
      </w:r>
      <w:r>
        <w:rPr>
          <w:rFonts w:hint="eastAsia" w:ascii="仿宋_GB2312" w:hAnsi="仿宋_GB2312" w:eastAsia="仿宋_GB2312" w:cs="仿宋_GB2312"/>
          <w:sz w:val="32"/>
          <w:szCs w:val="32"/>
        </w:rPr>
        <w:t>。本部门还自行组织了</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个项目绩效评价，从评价情况来看</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2个项目评价较好。</w:t>
      </w:r>
    </w:p>
    <w:p>
      <w:pPr>
        <w:numPr>
          <w:ilvl w:val="0"/>
          <w:numId w:val="5"/>
        </w:numPr>
        <w:spacing w:line="580" w:lineRule="exact"/>
        <w:ind w:firstLine="640" w:firstLineChars="200"/>
        <w:rPr>
          <w:rFonts w:hint="eastAsia" w:ascii="仿宋_GB2312" w:hAnsi="仿宋_GB2312" w:eastAsia="仿宋_GB2312" w:cs="仿宋_GB2312"/>
          <w:sz w:val="32"/>
          <w:szCs w:val="32"/>
        </w:rPr>
      </w:pPr>
      <w:r>
        <w:rPr>
          <w:rFonts w:hint="eastAsia" w:ascii="楷体_GB2312" w:hAnsi="楷体_GB2312" w:eastAsia="楷体_GB2312" w:cs="楷体_GB2312"/>
          <w:sz w:val="32"/>
          <w:szCs w:val="32"/>
        </w:rPr>
        <w:t>项目绩效目标完成情况。</w:t>
      </w:r>
      <w:r>
        <w:rPr>
          <w:rFonts w:hint="eastAsia" w:ascii="楷体_GB2312" w:hAnsi="楷体_GB2312" w:eastAsia="楷体_GB2312" w:cs="楷体_GB2312"/>
          <w:sz w:val="32"/>
          <w:szCs w:val="32"/>
        </w:rPr>
        <w:br w:type="textWrapping"/>
      </w:r>
      <w:r>
        <w:rPr>
          <w:rFonts w:hint="eastAsia" w:ascii="仿宋_GB2312" w:hAnsi="仿宋_GB2312" w:eastAsia="仿宋_GB2312" w:cs="仿宋_GB2312"/>
          <w:sz w:val="32"/>
          <w:szCs w:val="32"/>
        </w:rPr>
        <w:t xml:space="preserve">    本部门在2019年度部门决算中反映“ 党政群机关及事业单位政务和公益中文域名管理</w:t>
      </w:r>
      <w:r>
        <w:rPr>
          <w:rFonts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“机关事业单位干部职工人员流动编卡变动”</w:t>
      </w:r>
      <w:r>
        <w:rPr>
          <w:rFonts w:hint="eastAsia" w:ascii="仿宋_GB2312" w:hAnsi="仿宋_GB2312" w:eastAsia="仿宋_GB2312" w:cs="仿宋_GB2312"/>
          <w:sz w:val="32"/>
          <w:szCs w:val="32"/>
        </w:rPr>
        <w:t>等</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个项目绩效目标实际完成情况。</w:t>
      </w:r>
    </w:p>
    <w:p>
      <w:pPr>
        <w:numPr>
          <w:ilvl w:val="0"/>
          <w:numId w:val="0"/>
        </w:num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（1）党政群机关及事业单位政务和公益中文域名管理费项目绩效目标完成情况综述。项目全年预算数</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%。通过项目实施，保障了</w:t>
      </w:r>
      <w:r>
        <w:rPr>
          <w:rFonts w:hint="eastAsia" w:ascii="仿宋_GB2312" w:hAnsi="仿宋_GB2312" w:eastAsia="仿宋_GB2312" w:cs="仿宋_GB2312"/>
          <w:sz w:val="32"/>
          <w:szCs w:val="32"/>
          <w:lang w:eastAsia="zh-CN"/>
        </w:rPr>
        <w:t>全县机构编制实名制系统正常运行</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保障机构编制数据的准确性和时效性，</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加强资金使用管理，将资金用于刀刃上。</w:t>
      </w:r>
    </w:p>
    <w:p>
      <w:pPr>
        <w:numPr>
          <w:ilvl w:val="0"/>
          <w:numId w:val="0"/>
        </w:numPr>
        <w:spacing w:line="580" w:lineRule="exact"/>
        <w:rPr>
          <w:rFonts w:ascii="仿宋_GB2312" w:hAnsi="仿宋_GB2312" w:eastAsia="仿宋_GB2312" w:cs="仿宋_GB2312"/>
          <w:sz w:val="32"/>
          <w:szCs w:val="32"/>
        </w:rPr>
      </w:pPr>
    </w:p>
    <w:p>
      <w:pPr>
        <w:spacing w:line="580" w:lineRule="exact"/>
        <w:ind w:firstLine="640" w:firstLineChars="200"/>
        <w:rPr>
          <w:rFonts w:ascii="仿宋_GB2312" w:hAnsi="仿宋_GB2312" w:eastAsia="仿宋_GB2312" w:cs="仿宋_GB2312"/>
          <w:sz w:val="32"/>
          <w:szCs w:val="32"/>
        </w:rPr>
      </w:pPr>
    </w:p>
    <w:tbl>
      <w:tblPr>
        <w:tblStyle w:val="14"/>
        <w:tblW w:w="9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522" w:type="dxa"/>
            <w:gridSpan w:val="8"/>
            <w:vAlign w:val="center"/>
          </w:tcPr>
          <w:p>
            <w:pPr>
              <w:widowControl/>
              <w:spacing w:before="0" w:beforeAutospacing="0" w:after="0" w:afterAutospacing="0"/>
              <w:ind w:left="0" w:right="0"/>
              <w:jc w:val="center"/>
              <w:textAlignment w:val="center"/>
              <w:rPr>
                <w:rFonts w:hint="eastAsia" w:ascii="宋体" w:hAnsi="宋体" w:eastAsia="宋体" w:cs="宋体"/>
                <w:b/>
                <w:i w:val="0"/>
                <w:color w:val="000000"/>
                <w:kern w:val="2"/>
                <w:sz w:val="24"/>
                <w:szCs w:val="24"/>
                <w:u w:val="none"/>
              </w:rPr>
            </w:pPr>
            <w:r>
              <w:rPr>
                <w:rFonts w:hint="eastAsia" w:ascii="宋体" w:hAnsi="宋体" w:eastAsia="宋体" w:cs="宋体"/>
                <w:b/>
                <w:i w:val="0"/>
                <w:color w:val="000000"/>
                <w:kern w:val="0"/>
                <w:sz w:val="24"/>
                <w:szCs w:val="24"/>
                <w:u w:val="none"/>
                <w:lang w:val="en-US" w:eastAsia="zh-CN"/>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宋体" w:hAnsi="宋体" w:eastAsia="宋体" w:cs="宋体"/>
                <w:b/>
                <w:i w:val="0"/>
                <w:color w:val="000000"/>
                <w:kern w:val="2"/>
                <w:sz w:val="24"/>
                <w:szCs w:val="24"/>
                <w:u w:val="none"/>
              </w:rPr>
            </w:pPr>
            <w:r>
              <w:rPr>
                <w:rFonts w:hint="eastAsia" w:ascii="宋体" w:hAnsi="宋体" w:eastAsia="宋体" w:cs="宋体"/>
                <w:b/>
                <w:i w:val="0"/>
                <w:color w:val="000000"/>
                <w:kern w:val="2"/>
                <w:sz w:val="24"/>
                <w:szCs w:val="24"/>
                <w:u w:val="none"/>
                <w:lang w:eastAsia="zh-CN"/>
              </w:rPr>
              <w:t>党政群机关及事业单位政务和公益中文域名管理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宋体" w:hAnsi="宋体" w:eastAsia="宋体" w:cs="宋体"/>
                <w:b/>
                <w:i w:val="0"/>
                <w:color w:val="000000"/>
                <w:kern w:val="2"/>
                <w:sz w:val="24"/>
                <w:szCs w:val="24"/>
                <w:u w:val="none"/>
                <w:lang w:eastAsia="zh-CN"/>
              </w:rPr>
            </w:pPr>
            <w:r>
              <w:rPr>
                <w:rFonts w:hint="eastAsia" w:ascii="宋体" w:hAnsi="宋体" w:eastAsia="宋体" w:cs="宋体"/>
                <w:b/>
                <w:i w:val="0"/>
                <w:color w:val="000000"/>
                <w:kern w:val="2"/>
                <w:sz w:val="24"/>
                <w:szCs w:val="24"/>
                <w:u w:val="none"/>
                <w:lang w:eastAsia="zh-CN"/>
              </w:rPr>
              <w:t>中共红原县委机构编制委员会办公室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b/>
                <w:i w:val="0"/>
                <w:color w:val="000000"/>
                <w:kern w:val="2"/>
                <w:sz w:val="24"/>
                <w:szCs w:val="24"/>
                <w:u w:val="none"/>
              </w:rPr>
            </w:pPr>
            <w:r>
              <w:rPr>
                <w:rFonts w:hint="eastAsia" w:ascii="宋体" w:hAnsi="宋体" w:eastAsia="宋体" w:cs="宋体"/>
                <w:b/>
                <w:i w:val="0"/>
                <w:color w:val="000000"/>
                <w:kern w:val="0"/>
                <w:sz w:val="24"/>
                <w:szCs w:val="24"/>
                <w:u w:val="none"/>
                <w:lang w:val="en-US" w:eastAsia="zh-CN"/>
              </w:rPr>
              <w:t>预算数:</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default" w:ascii="宋体" w:hAnsi="宋体" w:eastAsia="宋体" w:cs="宋体"/>
                <w:b/>
                <w:i w:val="0"/>
                <w:color w:val="000000"/>
                <w:kern w:val="2"/>
                <w:sz w:val="24"/>
                <w:szCs w:val="24"/>
                <w:u w:val="none"/>
                <w:lang w:val="en-US" w:eastAsia="zh-CN"/>
              </w:rPr>
            </w:pPr>
            <w:r>
              <w:rPr>
                <w:rFonts w:hint="eastAsia" w:ascii="宋体" w:hAnsi="宋体" w:eastAsia="宋体" w:cs="宋体"/>
                <w:b/>
                <w:i w:val="0"/>
                <w:color w:val="000000"/>
                <w:kern w:val="2"/>
                <w:sz w:val="24"/>
                <w:szCs w:val="24"/>
                <w:u w:val="none"/>
                <w:lang w:val="en-US" w:eastAsia="zh-CN"/>
              </w:rPr>
              <w:t>3</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b/>
                <w:i w:val="0"/>
                <w:color w:val="000000"/>
                <w:kern w:val="2"/>
                <w:sz w:val="24"/>
                <w:szCs w:val="24"/>
                <w:u w:val="none"/>
              </w:rPr>
            </w:pPr>
            <w:r>
              <w:rPr>
                <w:rFonts w:hint="eastAsia" w:ascii="宋体" w:hAnsi="宋体" w:eastAsia="宋体" w:cs="宋体"/>
                <w:b/>
                <w:i w:val="0"/>
                <w:color w:val="000000"/>
                <w:kern w:val="0"/>
                <w:sz w:val="24"/>
                <w:szCs w:val="24"/>
                <w:u w:val="none"/>
                <w:lang w:val="en-US" w:eastAsia="zh-CN"/>
              </w:rPr>
              <w:t>执行数:</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宋体" w:hAnsi="宋体" w:eastAsia="宋体" w:cs="宋体"/>
                <w:b/>
                <w:i w:val="0"/>
                <w:color w:val="000000"/>
                <w:kern w:val="2"/>
                <w:sz w:val="24"/>
                <w:szCs w:val="24"/>
                <w:u w:val="none"/>
                <w:lang w:val="en-US" w:eastAsia="zh-CN"/>
              </w:rPr>
            </w:pPr>
            <w:r>
              <w:rPr>
                <w:rFonts w:hint="eastAsia" w:ascii="宋体" w:hAnsi="宋体" w:eastAsia="宋体" w:cs="宋体"/>
                <w:b/>
                <w:i w:val="0"/>
                <w:color w:val="000000"/>
                <w:kern w:val="2"/>
                <w:sz w:val="24"/>
                <w:szCs w:val="24"/>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b/>
                <w:i w:val="0"/>
                <w:color w:val="000000"/>
                <w:kern w:val="2"/>
                <w:sz w:val="24"/>
                <w:szCs w:val="24"/>
                <w:u w:val="none"/>
              </w:rPr>
            </w:pPr>
            <w:r>
              <w:rPr>
                <w:rFonts w:hint="eastAsia" w:ascii="宋体" w:hAnsi="宋体" w:eastAsia="宋体" w:cs="宋体"/>
                <w:b/>
                <w:i w:val="0"/>
                <w:color w:val="000000"/>
                <w:kern w:val="0"/>
                <w:sz w:val="24"/>
                <w:szCs w:val="24"/>
                <w:u w:val="none"/>
                <w:lang w:val="en-US" w:eastAsia="zh-CN"/>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宋体" w:hAnsi="宋体" w:eastAsia="宋体" w:cs="宋体"/>
                <w:b/>
                <w:i w:val="0"/>
                <w:color w:val="000000"/>
                <w:kern w:val="2"/>
                <w:sz w:val="24"/>
                <w:szCs w:val="24"/>
                <w:u w:val="none"/>
                <w:lang w:val="en-US" w:eastAsia="zh-CN"/>
              </w:rPr>
            </w:pPr>
            <w:r>
              <w:rPr>
                <w:rFonts w:hint="eastAsia" w:ascii="宋体" w:hAnsi="宋体" w:eastAsia="宋体" w:cs="宋体"/>
                <w:b/>
                <w:i w:val="0"/>
                <w:color w:val="000000"/>
                <w:kern w:val="2"/>
                <w:sz w:val="24"/>
                <w:szCs w:val="24"/>
                <w:u w:val="none"/>
                <w:lang w:val="en-US" w:eastAsia="zh-CN"/>
              </w:rPr>
              <w:t>3</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b/>
                <w:i w:val="0"/>
                <w:color w:val="000000"/>
                <w:kern w:val="2"/>
                <w:sz w:val="24"/>
                <w:szCs w:val="24"/>
                <w:u w:val="none"/>
              </w:rPr>
            </w:pPr>
            <w:r>
              <w:rPr>
                <w:rFonts w:hint="eastAsia" w:ascii="宋体" w:hAnsi="宋体" w:eastAsia="宋体" w:cs="宋体"/>
                <w:b/>
                <w:i w:val="0"/>
                <w:color w:val="000000"/>
                <w:kern w:val="0"/>
                <w:sz w:val="24"/>
                <w:szCs w:val="24"/>
                <w:u w:val="none"/>
                <w:lang w:val="en-US" w:eastAsia="zh-CN"/>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宋体" w:hAnsi="宋体" w:eastAsia="宋体" w:cs="宋体"/>
                <w:b/>
                <w:i w:val="0"/>
                <w:color w:val="000000"/>
                <w:kern w:val="2"/>
                <w:sz w:val="24"/>
                <w:szCs w:val="24"/>
                <w:u w:val="none"/>
                <w:lang w:val="en-US" w:eastAsia="zh-CN"/>
              </w:rPr>
            </w:pPr>
            <w:r>
              <w:rPr>
                <w:rFonts w:hint="eastAsia" w:ascii="宋体" w:hAnsi="宋体" w:eastAsia="宋体" w:cs="宋体"/>
                <w:b/>
                <w:i w:val="0"/>
                <w:color w:val="000000"/>
                <w:kern w:val="2"/>
                <w:sz w:val="24"/>
                <w:szCs w:val="24"/>
                <w:u w:val="none"/>
                <w:lang w:val="en-US" w:eastAsia="zh-CN"/>
              </w:rPr>
              <w:t>3</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b/>
                <w:i w:val="0"/>
                <w:color w:val="000000"/>
                <w:kern w:val="2"/>
                <w:sz w:val="24"/>
                <w:szCs w:val="24"/>
                <w:u w:val="none"/>
              </w:rPr>
            </w:pPr>
            <w:r>
              <w:rPr>
                <w:rFonts w:hint="eastAsia" w:ascii="宋体" w:hAnsi="宋体" w:eastAsia="宋体" w:cs="宋体"/>
                <w:b/>
                <w:i w:val="0"/>
                <w:color w:val="000000"/>
                <w:kern w:val="0"/>
                <w:sz w:val="24"/>
                <w:szCs w:val="24"/>
                <w:u w:val="none"/>
                <w:lang w:val="en-US" w:eastAsia="zh-CN"/>
              </w:rPr>
              <w:t>其它资金:</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宋体" w:hAnsi="宋体" w:eastAsia="宋体" w:cs="宋体"/>
                <w:b/>
                <w:i w:val="0"/>
                <w:color w:val="000000"/>
                <w:kern w:val="2"/>
                <w:sz w:val="24"/>
                <w:szCs w:val="24"/>
                <w:u w:val="none"/>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b/>
                <w:i w:val="0"/>
                <w:color w:val="000000"/>
                <w:kern w:val="2"/>
                <w:sz w:val="24"/>
                <w:szCs w:val="24"/>
                <w:u w:val="none"/>
              </w:rPr>
            </w:pPr>
            <w:r>
              <w:rPr>
                <w:rFonts w:hint="eastAsia" w:ascii="宋体" w:hAnsi="宋体" w:eastAsia="宋体" w:cs="宋体"/>
                <w:b/>
                <w:i w:val="0"/>
                <w:color w:val="000000"/>
                <w:kern w:val="0"/>
                <w:sz w:val="24"/>
                <w:szCs w:val="24"/>
                <w:u w:val="none"/>
                <w:lang w:val="en-US" w:eastAsia="zh-CN"/>
              </w:rPr>
              <w:t>其它资金:</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宋体" w:hAnsi="宋体" w:eastAsia="宋体" w:cs="宋体"/>
                <w:b/>
                <w:i w:val="0"/>
                <w:color w:val="000000"/>
                <w:kern w:val="2"/>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b/>
                <w:bCs/>
                <w:i w:val="0"/>
                <w:color w:val="000000"/>
                <w:kern w:val="2"/>
                <w:sz w:val="20"/>
                <w:szCs w:val="20"/>
                <w:u w:val="none"/>
              </w:rPr>
            </w:pPr>
            <w:r>
              <w:rPr>
                <w:rFonts w:hint="eastAsia" w:ascii="宋体" w:hAnsi="宋体" w:eastAsia="宋体" w:cs="宋体"/>
                <w:b/>
                <w:bCs/>
                <w:i w:val="0"/>
                <w:color w:val="000000"/>
                <w:kern w:val="0"/>
                <w:sz w:val="20"/>
                <w:szCs w:val="20"/>
                <w:u w:val="none"/>
                <w:lang w:val="en-US" w:eastAsia="zh-CN"/>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b/>
                <w:bCs/>
                <w:i w:val="0"/>
                <w:color w:val="000000"/>
                <w:kern w:val="2"/>
                <w:sz w:val="24"/>
                <w:szCs w:val="24"/>
                <w:u w:val="none"/>
              </w:rPr>
            </w:pPr>
            <w:r>
              <w:rPr>
                <w:rFonts w:hint="eastAsia" w:ascii="宋体" w:hAnsi="宋体" w:eastAsia="宋体" w:cs="宋体"/>
                <w:b/>
                <w:bCs/>
                <w:i w:val="0"/>
                <w:color w:val="000000"/>
                <w:kern w:val="0"/>
                <w:sz w:val="24"/>
                <w:szCs w:val="24"/>
                <w:u w:val="none"/>
                <w:lang w:val="en-US" w:eastAsia="zh-CN"/>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b/>
                <w:i w:val="0"/>
                <w:color w:val="000000"/>
                <w:kern w:val="2"/>
                <w:sz w:val="24"/>
                <w:szCs w:val="24"/>
                <w:u w:val="none"/>
              </w:rPr>
            </w:pPr>
            <w:r>
              <w:rPr>
                <w:rFonts w:hint="eastAsia" w:ascii="宋体" w:hAnsi="宋体" w:eastAsia="宋体" w:cs="宋体"/>
                <w:b/>
                <w:i w:val="0"/>
                <w:color w:val="000000"/>
                <w:kern w:val="0"/>
                <w:sz w:val="24"/>
                <w:szCs w:val="24"/>
                <w:u w:val="none"/>
                <w:lang w:val="en-US" w:eastAsia="zh-CN"/>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宋体" w:hAnsi="宋体" w:eastAsia="宋体" w:cs="宋体"/>
                <w:b/>
                <w:bCs/>
                <w:i w:val="0"/>
                <w:color w:val="000000"/>
                <w:kern w:val="2"/>
                <w:sz w:val="20"/>
                <w:szCs w:val="20"/>
                <w:u w:val="none"/>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宋体" w:hAnsi="宋体" w:eastAsia="宋体" w:cs="宋体"/>
                <w:b/>
                <w:bCs/>
                <w:i w:val="0"/>
                <w:color w:val="000000"/>
                <w:kern w:val="2"/>
                <w:sz w:val="24"/>
                <w:szCs w:val="24"/>
                <w:u w:val="none"/>
                <w:lang w:eastAsia="zh-CN"/>
              </w:rPr>
            </w:pPr>
            <w:r>
              <w:rPr>
                <w:rFonts w:hint="eastAsia" w:ascii="宋体" w:hAnsi="宋体" w:eastAsia="宋体" w:cs="宋体"/>
                <w:b w:val="0"/>
                <w:bCs w:val="0"/>
                <w:i w:val="0"/>
                <w:color w:val="000000"/>
                <w:kern w:val="2"/>
                <w:sz w:val="24"/>
                <w:szCs w:val="24"/>
                <w:u w:val="none"/>
                <w:lang w:eastAsia="zh-CN"/>
              </w:rPr>
              <w:t>保障机构编制实名制系统正常运行，完成数据实时更新；完成事业单位年度报告公示；做好党政机关、事业单位的网上中文域名规范。</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宋体" w:hAnsi="宋体" w:eastAsia="宋体" w:cs="宋体"/>
                <w:b w:val="0"/>
                <w:bCs/>
                <w:i w:val="0"/>
                <w:color w:val="000000"/>
                <w:kern w:val="2"/>
                <w:sz w:val="24"/>
                <w:szCs w:val="24"/>
                <w:u w:val="none"/>
                <w:lang w:eastAsia="zh-CN"/>
              </w:rPr>
            </w:pPr>
            <w:r>
              <w:rPr>
                <w:rFonts w:hint="eastAsia" w:ascii="宋体" w:hAnsi="宋体" w:eastAsia="宋体" w:cs="宋体"/>
                <w:b w:val="0"/>
                <w:bCs/>
                <w:i w:val="0"/>
                <w:color w:val="000000"/>
                <w:kern w:val="2"/>
                <w:sz w:val="24"/>
                <w:szCs w:val="24"/>
                <w:u w:val="none"/>
                <w:lang w:eastAsia="zh-CN"/>
              </w:rPr>
              <w:t>圆满完成了各项工作任务，为全县又快又好发展提供体制机制保障。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ascii="仿宋_GB2312" w:hAnsi="宋体" w:eastAsia="仿宋_GB2312" w:cs="仿宋_GB2312"/>
                <w:i w:val="0"/>
                <w:color w:val="000000"/>
                <w:kern w:val="2"/>
                <w:sz w:val="24"/>
                <w:szCs w:val="24"/>
                <w:u w:val="none"/>
              </w:rPr>
            </w:pPr>
            <w:r>
              <w:rPr>
                <w:rFonts w:hint="eastAsia" w:ascii="仿宋_GB2312" w:hAnsi="宋体" w:eastAsia="仿宋_GB2312" w:cs="仿宋_GB2312"/>
                <w:i w:val="0"/>
                <w:color w:val="000000"/>
                <w:kern w:val="0"/>
                <w:sz w:val="24"/>
                <w:szCs w:val="24"/>
                <w:u w:val="none"/>
                <w:lang w:val="en-US" w:eastAsia="zh-CN"/>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b/>
                <w:i w:val="0"/>
                <w:color w:val="000000"/>
                <w:kern w:val="2"/>
                <w:sz w:val="20"/>
                <w:szCs w:val="20"/>
                <w:u w:val="none"/>
              </w:rPr>
            </w:pPr>
            <w:r>
              <w:rPr>
                <w:rFonts w:hint="eastAsia" w:ascii="宋体" w:hAnsi="宋体" w:eastAsia="宋体" w:cs="宋体"/>
                <w:b/>
                <w:i w:val="0"/>
                <w:color w:val="000000"/>
                <w:kern w:val="0"/>
                <w:sz w:val="20"/>
                <w:szCs w:val="20"/>
                <w:u w:val="none"/>
                <w:lang w:val="en-US" w:eastAsia="zh-CN"/>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b/>
                <w:i w:val="0"/>
                <w:color w:val="000000"/>
                <w:kern w:val="2"/>
                <w:sz w:val="20"/>
                <w:szCs w:val="20"/>
                <w:u w:val="none"/>
              </w:rPr>
            </w:pPr>
            <w:r>
              <w:rPr>
                <w:rFonts w:hint="eastAsia" w:ascii="宋体" w:hAnsi="宋体" w:eastAsia="宋体" w:cs="宋体"/>
                <w:b/>
                <w:i w:val="0"/>
                <w:color w:val="000000"/>
                <w:kern w:val="0"/>
                <w:sz w:val="20"/>
                <w:szCs w:val="20"/>
                <w:u w:val="none"/>
                <w:lang w:val="en-US" w:eastAsia="zh-CN"/>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b/>
                <w:i w:val="0"/>
                <w:color w:val="000000"/>
                <w:kern w:val="2"/>
                <w:sz w:val="20"/>
                <w:szCs w:val="20"/>
                <w:u w:val="none"/>
              </w:rPr>
            </w:pPr>
            <w:r>
              <w:rPr>
                <w:rFonts w:hint="eastAsia" w:ascii="宋体" w:hAnsi="宋体" w:eastAsia="宋体" w:cs="宋体"/>
                <w:b/>
                <w:i w:val="0"/>
                <w:color w:val="000000"/>
                <w:kern w:val="0"/>
                <w:sz w:val="20"/>
                <w:szCs w:val="20"/>
                <w:u w:val="none"/>
                <w:lang w:val="en-US" w:eastAsia="zh-CN"/>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b/>
                <w:i w:val="0"/>
                <w:color w:val="000000"/>
                <w:kern w:val="2"/>
                <w:sz w:val="20"/>
                <w:szCs w:val="20"/>
                <w:u w:val="none"/>
              </w:rPr>
            </w:pPr>
            <w:r>
              <w:rPr>
                <w:rFonts w:hint="eastAsia" w:ascii="宋体" w:hAnsi="宋体" w:eastAsia="宋体" w:cs="宋体"/>
                <w:b/>
                <w:i w:val="0"/>
                <w:color w:val="000000"/>
                <w:kern w:val="0"/>
                <w:sz w:val="20"/>
                <w:szCs w:val="20"/>
                <w:u w:val="none"/>
                <w:lang w:val="en-US" w:eastAsia="zh-CN"/>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b/>
                <w:i w:val="0"/>
                <w:color w:val="000000"/>
                <w:kern w:val="2"/>
                <w:sz w:val="20"/>
                <w:szCs w:val="20"/>
                <w:u w:val="none"/>
              </w:rPr>
            </w:pPr>
            <w:r>
              <w:rPr>
                <w:rFonts w:hint="eastAsia" w:ascii="宋体" w:hAnsi="宋体" w:eastAsia="宋体" w:cs="宋体"/>
                <w:b/>
                <w:i w:val="0"/>
                <w:color w:val="000000"/>
                <w:kern w:val="0"/>
                <w:sz w:val="20"/>
                <w:szCs w:val="20"/>
                <w:u w:val="none"/>
                <w:lang w:val="en-US" w:eastAsia="zh-CN"/>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b/>
                <w:i w:val="0"/>
                <w:color w:val="000000"/>
                <w:kern w:val="2"/>
                <w:sz w:val="20"/>
                <w:szCs w:val="20"/>
                <w:u w:val="none"/>
              </w:rPr>
            </w:pPr>
            <w:r>
              <w:rPr>
                <w:rFonts w:hint="eastAsia" w:ascii="宋体" w:hAnsi="宋体" w:eastAsia="宋体" w:cs="宋体"/>
                <w:b/>
                <w:i w:val="0"/>
                <w:color w:val="000000"/>
                <w:kern w:val="0"/>
                <w:sz w:val="20"/>
                <w:szCs w:val="20"/>
                <w:u w:val="none"/>
                <w:lang w:val="en-US" w:eastAsia="zh-CN"/>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b/>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b/>
                <w:i w:val="0"/>
                <w:color w:val="000000"/>
                <w:kern w:val="2"/>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b/>
                <w:i w:val="0"/>
                <w:color w:val="000000"/>
                <w:kern w:val="2"/>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b/>
                <w:i w:val="0"/>
                <w:color w:val="000000"/>
                <w:kern w:val="2"/>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b/>
                <w:i w:val="0"/>
                <w:color w:val="000000"/>
                <w:kern w:val="2"/>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b/>
                <w:i w:val="0"/>
                <w:color w:val="000000"/>
                <w:kern w:val="2"/>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b/>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b/>
                <w:i w:val="0"/>
                <w:color w:val="000000"/>
                <w:kern w:val="2"/>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b/>
                <w:i w:val="0"/>
                <w:color w:val="000000"/>
                <w:kern w:val="2"/>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b/>
                <w:i w:val="0"/>
                <w:color w:val="000000"/>
                <w:kern w:val="2"/>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b/>
                <w:i w:val="0"/>
                <w:color w:val="000000"/>
                <w:kern w:val="2"/>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b/>
                <w:i w:val="0"/>
                <w:color w:val="000000"/>
                <w:kern w:val="2"/>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spacing w:before="0" w:beforeAutospacing="0" w:after="0" w:afterAutospacing="0"/>
              <w:ind w:left="0" w:right="0"/>
              <w:jc w:val="left"/>
              <w:textAlignment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保障机构编制工作有序开展</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圆满完成各项工作任务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5月完成事业单位年度公示，年底完成编统工作</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各项工作在计划期内完成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制定</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已制定</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2"/>
                <w:sz w:val="20"/>
                <w:szCs w:val="20"/>
                <w:u w:val="none"/>
                <w:lang w:eastAsia="zh-CN"/>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已明确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已明确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合理</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合理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合理</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合理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spacing w:before="0" w:beforeAutospacing="0" w:after="0" w:afterAutospacing="0"/>
              <w:ind w:left="0" w:right="0"/>
              <w:jc w:val="left"/>
              <w:textAlignment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spacing w:before="0" w:beforeAutospacing="0" w:after="0" w:afterAutospacing="0"/>
              <w:ind w:left="0" w:right="0"/>
              <w:jc w:val="center"/>
              <w:textAlignment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 xml:space="preserve"> 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及时</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及时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及时</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及时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spacing w:before="0" w:beforeAutospacing="0" w:after="0" w:afterAutospacing="0"/>
              <w:ind w:left="0" w:right="0"/>
              <w:jc w:val="center"/>
              <w:textAlignment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 xml:space="preserve">资金管理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合规</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合规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spacing w:before="0" w:beforeAutospacing="0" w:after="0" w:afterAutospacing="0"/>
              <w:ind w:left="0" w:right="0"/>
              <w:jc w:val="center"/>
              <w:textAlignment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规范</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规范</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组织实施（4分）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未调整</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未调整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未变更</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未变更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按规定执行</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2"/>
                <w:sz w:val="20"/>
                <w:szCs w:val="20"/>
                <w:u w:val="none"/>
                <w:lang w:eastAsia="zh-CN"/>
              </w:rPr>
              <w:t>按规定执行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spacing w:before="0" w:beforeAutospacing="0" w:after="0" w:afterAutospacing="0"/>
              <w:ind w:left="0" w:right="0"/>
              <w:jc w:val="left"/>
              <w:textAlignment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完成质量好</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2"/>
                <w:sz w:val="20"/>
                <w:szCs w:val="20"/>
                <w:u w:val="none"/>
                <w:lang w:eastAsia="zh-CN"/>
              </w:rPr>
              <w:t>完成质量好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按时完成</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按时完成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按量完成</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按量完成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盘活编制存量，围绕县委县政府重点工作，助力经济发展</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2"/>
                <w:sz w:val="20"/>
                <w:szCs w:val="20"/>
                <w:u w:val="none"/>
                <w:lang w:eastAsia="zh-CN"/>
              </w:rPr>
              <w:t>盘活编制存量，围绕县委县政府重点工作，助力经济发展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rPr>
              <w:t>深入研究管理体制机制问题，不断调整完善省政府机构设置和职能配置</w:t>
            </w:r>
            <w:r>
              <w:rPr>
                <w:rFonts w:hint="eastAsia" w:ascii="宋体" w:hAnsi="宋体" w:eastAsia="宋体" w:cs="宋体"/>
                <w:i w:val="0"/>
                <w:color w:val="000000"/>
                <w:kern w:val="2"/>
                <w:sz w:val="20"/>
                <w:szCs w:val="20"/>
                <w:u w:val="none"/>
                <w:lang w:eastAsia="zh-CN"/>
              </w:rPr>
              <w:t>，造福社会</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2"/>
                <w:sz w:val="20"/>
                <w:szCs w:val="20"/>
                <w:u w:val="none"/>
              </w:rPr>
              <w:t>深入研究管理体制机制问题，不断调整完善省政府机构设置和职能配置</w:t>
            </w:r>
            <w:r>
              <w:rPr>
                <w:rFonts w:hint="eastAsia" w:ascii="宋体" w:hAnsi="宋体" w:eastAsia="宋体" w:cs="宋体"/>
                <w:i w:val="0"/>
                <w:color w:val="000000"/>
                <w:kern w:val="2"/>
                <w:sz w:val="20"/>
                <w:szCs w:val="20"/>
                <w:u w:val="none"/>
                <w:lang w:eastAsia="zh-CN"/>
              </w:rPr>
              <w:t>，造福社会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生态效益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服务生态文明建设工作</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2"/>
                <w:sz w:val="20"/>
                <w:szCs w:val="20"/>
                <w:u w:val="none"/>
                <w:lang w:eastAsia="zh-CN"/>
              </w:rPr>
              <w:t>为生态文明建设工作提供机构编制保障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left"/>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2"/>
                <w:sz w:val="20"/>
                <w:szCs w:val="20"/>
                <w:u w:val="none"/>
              </w:rPr>
              <w:t>严控总量、盘活存量、优化结构、服务发展</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left"/>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在不突破机构编制限额前提下，为县委县政府各项工作提供机构编制保障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textAlignment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textAlignment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满意</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满意</w:t>
            </w:r>
          </w:p>
        </w:tc>
      </w:tr>
    </w:tbl>
    <w:p>
      <w:pPr>
        <w:spacing w:line="580" w:lineRule="exact"/>
        <w:ind w:firstLine="640" w:firstLineChars="2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机关事业单位干部职工人员流动编卡变动费项目绩效目标完成情况综述。项目全年预算数</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万元，执行数为</w:t>
      </w:r>
      <w:r>
        <w:rPr>
          <w:rFonts w:hint="eastAsia" w:ascii="仿宋_GB2312" w:hAnsi="仿宋_GB2312" w:eastAsia="仿宋_GB2312" w:cs="仿宋_GB2312"/>
          <w:sz w:val="32"/>
          <w:szCs w:val="32"/>
          <w:lang w:val="en-US" w:eastAsia="zh-CN"/>
        </w:rPr>
        <w:t>2</w:t>
      </w:r>
      <w:r>
        <w:rPr>
          <w:rFonts w:hint="eastAsia" w:ascii="仿宋_GB2312" w:hAnsi="仿宋_GB2312" w:eastAsia="仿宋_GB2312" w:cs="仿宋_GB2312"/>
          <w:sz w:val="32"/>
          <w:szCs w:val="32"/>
        </w:rPr>
        <w:t>万元，完成预算的</w:t>
      </w:r>
      <w:r>
        <w:rPr>
          <w:rFonts w:hint="eastAsia" w:ascii="仿宋_GB2312" w:hAnsi="仿宋_GB2312" w:eastAsia="仿宋_GB2312" w:cs="仿宋_GB2312"/>
          <w:sz w:val="32"/>
          <w:szCs w:val="32"/>
          <w:lang w:val="en-US" w:eastAsia="zh-CN"/>
        </w:rPr>
        <w:t>100</w:t>
      </w:r>
      <w:r>
        <w:rPr>
          <w:rFonts w:hint="eastAsia" w:ascii="仿宋_GB2312" w:hAnsi="仿宋_GB2312" w:eastAsia="仿宋_GB2312" w:cs="仿宋_GB2312"/>
          <w:sz w:val="32"/>
          <w:szCs w:val="32"/>
        </w:rPr>
        <w:t>%。通过项目实施，保障</w:t>
      </w:r>
      <w:r>
        <w:rPr>
          <w:rFonts w:hint="eastAsia" w:ascii="仿宋_GB2312" w:hAnsi="仿宋_GB2312" w:eastAsia="仿宋_GB2312" w:cs="仿宋_GB2312"/>
          <w:sz w:val="32"/>
          <w:szCs w:val="32"/>
          <w:lang w:eastAsia="zh-CN"/>
        </w:rPr>
        <w:t>全县</w:t>
      </w:r>
      <w:r>
        <w:rPr>
          <w:rFonts w:hint="eastAsia" w:ascii="仿宋_GB2312" w:hAnsi="仿宋_GB2312" w:eastAsia="仿宋_GB2312" w:cs="仿宋_GB2312"/>
          <w:sz w:val="32"/>
          <w:szCs w:val="32"/>
          <w:lang w:val="en-US" w:eastAsia="zh-CN"/>
        </w:rPr>
        <w:t>2900余名在职职工及时更换编卡信息。</w:t>
      </w:r>
      <w:r>
        <w:rPr>
          <w:rFonts w:hint="eastAsia" w:ascii="仿宋_GB2312" w:hAnsi="仿宋_GB2312" w:eastAsia="仿宋_GB2312" w:cs="仿宋_GB2312"/>
          <w:sz w:val="32"/>
          <w:szCs w:val="32"/>
        </w:rPr>
        <w:t>发现的主要问题：</w:t>
      </w:r>
      <w:r>
        <w:rPr>
          <w:rFonts w:hint="eastAsia" w:ascii="仿宋_GB2312" w:hAnsi="仿宋_GB2312" w:eastAsia="仿宋_GB2312" w:cs="仿宋_GB2312"/>
          <w:sz w:val="32"/>
          <w:szCs w:val="32"/>
          <w:lang w:eastAsia="zh-CN"/>
        </w:rPr>
        <w:t>无</w:t>
      </w:r>
      <w:r>
        <w:rPr>
          <w:rFonts w:hint="eastAsia" w:ascii="仿宋_GB2312" w:hAnsi="仿宋_GB2312" w:eastAsia="仿宋_GB2312" w:cs="仿宋_GB2312"/>
          <w:sz w:val="32"/>
          <w:szCs w:val="32"/>
        </w:rPr>
        <w:t>。下一步改进措施：</w:t>
      </w:r>
      <w:r>
        <w:rPr>
          <w:rFonts w:hint="eastAsia" w:ascii="仿宋_GB2312" w:hAnsi="仿宋_GB2312" w:eastAsia="仿宋_GB2312" w:cs="仿宋_GB2312"/>
          <w:sz w:val="32"/>
          <w:szCs w:val="32"/>
          <w:lang w:eastAsia="zh-CN"/>
        </w:rPr>
        <w:t>加强资金使用管理，将资金用于刀刃上。</w:t>
      </w:r>
    </w:p>
    <w:tbl>
      <w:tblPr>
        <w:tblStyle w:val="14"/>
        <w:tblW w:w="9522"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15" w:type="dxa"/>
          <w:left w:w="15" w:type="dxa"/>
          <w:bottom w:w="15" w:type="dxa"/>
          <w:right w:w="15" w:type="dxa"/>
        </w:tblCellMar>
      </w:tblPr>
      <w:tblGrid>
        <w:gridCol w:w="449"/>
        <w:gridCol w:w="764"/>
        <w:gridCol w:w="1048"/>
        <w:gridCol w:w="764"/>
        <w:gridCol w:w="1182"/>
        <w:gridCol w:w="1752"/>
        <w:gridCol w:w="1632"/>
        <w:gridCol w:w="1931"/>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9522" w:type="dxa"/>
            <w:gridSpan w:val="8"/>
            <w:vAlign w:val="center"/>
          </w:tcPr>
          <w:p>
            <w:pPr>
              <w:widowControl/>
              <w:spacing w:before="0" w:beforeAutospacing="0" w:after="0" w:afterAutospacing="0"/>
              <w:ind w:left="0" w:right="0"/>
              <w:jc w:val="center"/>
              <w:textAlignment w:val="center"/>
              <w:rPr>
                <w:rFonts w:hint="eastAsia" w:ascii="宋体" w:hAnsi="宋体" w:eastAsia="宋体" w:cs="宋体"/>
                <w:b/>
                <w:i w:val="0"/>
                <w:color w:val="000000"/>
                <w:kern w:val="2"/>
                <w:sz w:val="24"/>
                <w:szCs w:val="24"/>
                <w:u w:val="none"/>
              </w:rPr>
            </w:pPr>
            <w:r>
              <w:rPr>
                <w:rFonts w:hint="eastAsia" w:ascii="宋体" w:hAnsi="宋体" w:eastAsia="宋体" w:cs="宋体"/>
                <w:b/>
                <w:i w:val="0"/>
                <w:color w:val="000000"/>
                <w:kern w:val="0"/>
                <w:sz w:val="24"/>
                <w:szCs w:val="24"/>
                <w:u w:val="none"/>
                <w:lang w:val="en-US" w:eastAsia="zh-CN"/>
              </w:rPr>
              <w:t>项目支出绩效目标完成情况表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项目名称</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宋体" w:hAnsi="宋体" w:eastAsia="宋体" w:cs="宋体"/>
                <w:b/>
                <w:i w:val="0"/>
                <w:color w:val="000000"/>
                <w:kern w:val="2"/>
                <w:sz w:val="24"/>
                <w:szCs w:val="24"/>
                <w:u w:val="none"/>
              </w:rPr>
            </w:pPr>
            <w:r>
              <w:rPr>
                <w:rFonts w:hint="eastAsia" w:ascii="宋体" w:hAnsi="宋体" w:eastAsia="宋体" w:cs="宋体"/>
                <w:b/>
                <w:i w:val="0"/>
                <w:color w:val="000000"/>
                <w:kern w:val="2"/>
                <w:sz w:val="24"/>
                <w:szCs w:val="24"/>
                <w:u w:val="none"/>
              </w:rPr>
              <w:t>机关事业单位干部职工人员流动编卡变动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2261" w:type="dxa"/>
            <w:gridSpan w:val="3"/>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预算单位</w:t>
            </w:r>
          </w:p>
        </w:tc>
        <w:tc>
          <w:tcPr>
            <w:tcW w:w="7261" w:type="dxa"/>
            <w:gridSpan w:val="5"/>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宋体" w:hAnsi="宋体" w:eastAsia="宋体" w:cs="宋体"/>
                <w:b/>
                <w:i w:val="0"/>
                <w:color w:val="000000"/>
                <w:kern w:val="2"/>
                <w:sz w:val="24"/>
                <w:szCs w:val="24"/>
                <w:u w:val="none"/>
                <w:lang w:eastAsia="zh-CN"/>
              </w:rPr>
            </w:pPr>
            <w:r>
              <w:rPr>
                <w:rFonts w:hint="eastAsia" w:ascii="宋体" w:hAnsi="宋体" w:eastAsia="宋体" w:cs="宋体"/>
                <w:b/>
                <w:i w:val="0"/>
                <w:color w:val="000000"/>
                <w:kern w:val="2"/>
                <w:sz w:val="24"/>
                <w:szCs w:val="24"/>
                <w:u w:val="none"/>
                <w:lang w:eastAsia="zh-CN"/>
              </w:rPr>
              <w:t>中共红原县委机构编制委员会办公室</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预算执行情况(万元</w:t>
            </w: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b/>
                <w:i w:val="0"/>
                <w:color w:val="000000"/>
                <w:kern w:val="2"/>
                <w:sz w:val="24"/>
                <w:szCs w:val="24"/>
                <w:u w:val="none"/>
              </w:rPr>
            </w:pPr>
            <w:r>
              <w:rPr>
                <w:rFonts w:hint="eastAsia" w:ascii="宋体" w:hAnsi="宋体" w:eastAsia="宋体" w:cs="宋体"/>
                <w:b/>
                <w:i w:val="0"/>
                <w:color w:val="000000"/>
                <w:kern w:val="0"/>
                <w:sz w:val="24"/>
                <w:szCs w:val="24"/>
                <w:u w:val="none"/>
                <w:lang w:val="en-US" w:eastAsia="zh-CN"/>
              </w:rPr>
              <w:t>预算数:</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default" w:ascii="宋体" w:hAnsi="宋体" w:eastAsia="宋体" w:cs="宋体"/>
                <w:b/>
                <w:i w:val="0"/>
                <w:color w:val="000000"/>
                <w:kern w:val="2"/>
                <w:sz w:val="24"/>
                <w:szCs w:val="24"/>
                <w:u w:val="none"/>
                <w:lang w:val="en-US" w:eastAsia="zh-CN"/>
              </w:rPr>
            </w:pPr>
            <w:r>
              <w:rPr>
                <w:rFonts w:hint="eastAsia" w:ascii="宋体" w:hAnsi="宋体" w:eastAsia="宋体" w:cs="宋体"/>
                <w:b/>
                <w:i w:val="0"/>
                <w:color w:val="000000"/>
                <w:kern w:val="2"/>
                <w:sz w:val="24"/>
                <w:szCs w:val="24"/>
                <w:u w:val="none"/>
                <w:lang w:val="en-US" w:eastAsia="zh-CN"/>
              </w:rPr>
              <w:t>2</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b/>
                <w:i w:val="0"/>
                <w:color w:val="000000"/>
                <w:kern w:val="2"/>
                <w:sz w:val="24"/>
                <w:szCs w:val="24"/>
                <w:u w:val="none"/>
              </w:rPr>
            </w:pPr>
            <w:r>
              <w:rPr>
                <w:rFonts w:hint="eastAsia" w:ascii="宋体" w:hAnsi="宋体" w:eastAsia="宋体" w:cs="宋体"/>
                <w:b/>
                <w:i w:val="0"/>
                <w:color w:val="000000"/>
                <w:kern w:val="0"/>
                <w:sz w:val="24"/>
                <w:szCs w:val="24"/>
                <w:u w:val="none"/>
                <w:lang w:val="en-US" w:eastAsia="zh-CN"/>
              </w:rPr>
              <w:t>执行数:</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宋体" w:hAnsi="宋体" w:eastAsia="宋体" w:cs="宋体"/>
                <w:b/>
                <w:i w:val="0"/>
                <w:color w:val="000000"/>
                <w:kern w:val="2"/>
                <w:sz w:val="24"/>
                <w:szCs w:val="24"/>
                <w:u w:val="none"/>
                <w:lang w:val="en-US" w:eastAsia="zh-CN"/>
              </w:rPr>
            </w:pPr>
            <w:r>
              <w:rPr>
                <w:rFonts w:hint="eastAsia" w:ascii="宋体" w:hAnsi="宋体" w:eastAsia="宋体" w:cs="宋体"/>
                <w:b/>
                <w:i w:val="0"/>
                <w:color w:val="000000"/>
                <w:kern w:val="2"/>
                <w:sz w:val="24"/>
                <w:szCs w:val="24"/>
                <w:u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b/>
                <w:i w:val="0"/>
                <w:color w:val="000000"/>
                <w:kern w:val="2"/>
                <w:sz w:val="24"/>
                <w:szCs w:val="24"/>
                <w:u w:val="none"/>
              </w:rPr>
            </w:pPr>
            <w:r>
              <w:rPr>
                <w:rFonts w:hint="eastAsia" w:ascii="宋体" w:hAnsi="宋体" w:eastAsia="宋体" w:cs="宋体"/>
                <w:b/>
                <w:i w:val="0"/>
                <w:color w:val="000000"/>
                <w:kern w:val="0"/>
                <w:sz w:val="24"/>
                <w:szCs w:val="24"/>
                <w:u w:val="none"/>
                <w:lang w:val="en-US" w:eastAsia="zh-CN"/>
              </w:rPr>
              <w:t>其中-财政拨款:</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宋体" w:hAnsi="宋体" w:eastAsia="宋体" w:cs="宋体"/>
                <w:b/>
                <w:i w:val="0"/>
                <w:color w:val="000000"/>
                <w:kern w:val="2"/>
                <w:sz w:val="24"/>
                <w:szCs w:val="24"/>
                <w:u w:val="none"/>
                <w:lang w:val="en-US" w:eastAsia="zh-CN"/>
              </w:rPr>
            </w:pPr>
            <w:r>
              <w:rPr>
                <w:rFonts w:hint="eastAsia" w:ascii="宋体" w:hAnsi="宋体" w:eastAsia="宋体" w:cs="宋体"/>
                <w:b/>
                <w:i w:val="0"/>
                <w:color w:val="000000"/>
                <w:kern w:val="2"/>
                <w:sz w:val="24"/>
                <w:szCs w:val="24"/>
                <w:u w:val="none"/>
                <w:lang w:val="en-US" w:eastAsia="zh-CN"/>
              </w:rPr>
              <w:t>2</w:t>
            </w: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b/>
                <w:i w:val="0"/>
                <w:color w:val="000000"/>
                <w:kern w:val="2"/>
                <w:sz w:val="24"/>
                <w:szCs w:val="24"/>
                <w:u w:val="none"/>
              </w:rPr>
            </w:pPr>
            <w:r>
              <w:rPr>
                <w:rFonts w:hint="eastAsia" w:ascii="宋体" w:hAnsi="宋体" w:eastAsia="宋体" w:cs="宋体"/>
                <w:b/>
                <w:i w:val="0"/>
                <w:color w:val="000000"/>
                <w:kern w:val="0"/>
                <w:sz w:val="24"/>
                <w:szCs w:val="24"/>
                <w:u w:val="none"/>
                <w:lang w:val="en-US" w:eastAsia="zh-CN"/>
              </w:rPr>
              <w:t>其中-财政拨款:</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宋体" w:hAnsi="宋体" w:eastAsia="宋体" w:cs="宋体"/>
                <w:b/>
                <w:i w:val="0"/>
                <w:color w:val="000000"/>
                <w:kern w:val="2"/>
                <w:sz w:val="24"/>
                <w:szCs w:val="24"/>
                <w:u w:val="none"/>
                <w:lang w:val="en-US" w:eastAsia="zh-CN"/>
              </w:rPr>
            </w:pPr>
            <w:r>
              <w:rPr>
                <w:rFonts w:hint="eastAsia" w:ascii="宋体" w:hAnsi="宋体" w:eastAsia="宋体" w:cs="宋体"/>
                <w:b/>
                <w:i w:val="0"/>
                <w:color w:val="000000"/>
                <w:kern w:val="2"/>
                <w:sz w:val="24"/>
                <w:szCs w:val="24"/>
                <w:u w:val="none"/>
                <w:lang w:val="en-US" w:eastAsia="zh-CN"/>
              </w:rPr>
              <w:t>2</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1812" w:type="dxa"/>
            <w:gridSpan w:val="2"/>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b/>
                <w:i w:val="0"/>
                <w:color w:val="000000"/>
                <w:kern w:val="2"/>
                <w:sz w:val="24"/>
                <w:szCs w:val="24"/>
                <w:u w:val="none"/>
              </w:rPr>
            </w:pPr>
            <w:r>
              <w:rPr>
                <w:rFonts w:hint="eastAsia" w:ascii="宋体" w:hAnsi="宋体" w:eastAsia="宋体" w:cs="宋体"/>
                <w:b/>
                <w:i w:val="0"/>
                <w:color w:val="000000"/>
                <w:kern w:val="0"/>
                <w:sz w:val="24"/>
                <w:szCs w:val="24"/>
                <w:u w:val="none"/>
                <w:lang w:val="en-US" w:eastAsia="zh-CN"/>
              </w:rPr>
              <w:t>其它资金:</w:t>
            </w:r>
          </w:p>
        </w:tc>
        <w:tc>
          <w:tcPr>
            <w:tcW w:w="1946" w:type="dxa"/>
            <w:gridSpan w:val="2"/>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宋体" w:hAnsi="宋体" w:eastAsia="宋体" w:cs="宋体"/>
                <w:b/>
                <w:i w:val="0"/>
                <w:color w:val="000000"/>
                <w:kern w:val="2"/>
                <w:sz w:val="24"/>
                <w:szCs w:val="24"/>
                <w:u w:val="none"/>
              </w:rPr>
            </w:pPr>
          </w:p>
        </w:tc>
        <w:tc>
          <w:tcPr>
            <w:tcW w:w="1752" w:type="dxa"/>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b/>
                <w:i w:val="0"/>
                <w:color w:val="000000"/>
                <w:kern w:val="2"/>
                <w:sz w:val="24"/>
                <w:szCs w:val="24"/>
                <w:u w:val="none"/>
              </w:rPr>
            </w:pPr>
            <w:r>
              <w:rPr>
                <w:rFonts w:hint="eastAsia" w:ascii="宋体" w:hAnsi="宋体" w:eastAsia="宋体" w:cs="宋体"/>
                <w:b/>
                <w:i w:val="0"/>
                <w:color w:val="000000"/>
                <w:kern w:val="0"/>
                <w:sz w:val="24"/>
                <w:szCs w:val="24"/>
                <w:u w:val="none"/>
                <w:lang w:val="en-US" w:eastAsia="zh-CN"/>
              </w:rPr>
              <w:t>其它资金:</w:t>
            </w:r>
          </w:p>
        </w:tc>
        <w:tc>
          <w:tcPr>
            <w:tcW w:w="3563" w:type="dxa"/>
            <w:gridSpan w:val="2"/>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宋体" w:hAnsi="宋体" w:eastAsia="宋体" w:cs="宋体"/>
                <w:b/>
                <w:i w:val="0"/>
                <w:color w:val="000000"/>
                <w:kern w:val="2"/>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b/>
                <w:bCs/>
                <w:i w:val="0"/>
                <w:color w:val="000000"/>
                <w:kern w:val="2"/>
                <w:sz w:val="20"/>
                <w:szCs w:val="20"/>
                <w:u w:val="none"/>
              </w:rPr>
            </w:pPr>
            <w:r>
              <w:rPr>
                <w:rFonts w:hint="eastAsia" w:ascii="宋体" w:hAnsi="宋体" w:eastAsia="宋体" w:cs="宋体"/>
                <w:b/>
                <w:bCs/>
                <w:i w:val="0"/>
                <w:color w:val="000000"/>
                <w:kern w:val="0"/>
                <w:sz w:val="20"/>
                <w:szCs w:val="20"/>
                <w:u w:val="none"/>
                <w:lang w:val="en-US" w:eastAsia="zh-CN"/>
              </w:rPr>
              <w:t>年度目标完成情况</w:t>
            </w: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b/>
                <w:bCs/>
                <w:i w:val="0"/>
                <w:color w:val="000000"/>
                <w:kern w:val="2"/>
                <w:sz w:val="24"/>
                <w:szCs w:val="24"/>
                <w:u w:val="none"/>
              </w:rPr>
            </w:pPr>
            <w:r>
              <w:rPr>
                <w:rFonts w:hint="eastAsia" w:ascii="宋体" w:hAnsi="宋体" w:eastAsia="宋体" w:cs="宋体"/>
                <w:b/>
                <w:bCs/>
                <w:i w:val="0"/>
                <w:color w:val="000000"/>
                <w:kern w:val="0"/>
                <w:sz w:val="24"/>
                <w:szCs w:val="24"/>
                <w:u w:val="none"/>
                <w:lang w:val="en-US" w:eastAsia="zh-CN"/>
              </w:rPr>
              <w:t>预期目标</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b/>
                <w:i w:val="0"/>
                <w:color w:val="000000"/>
                <w:kern w:val="2"/>
                <w:sz w:val="24"/>
                <w:szCs w:val="24"/>
                <w:u w:val="none"/>
              </w:rPr>
            </w:pPr>
            <w:r>
              <w:rPr>
                <w:rFonts w:hint="eastAsia" w:ascii="宋体" w:hAnsi="宋体" w:eastAsia="宋体" w:cs="宋体"/>
                <w:b/>
                <w:i w:val="0"/>
                <w:color w:val="000000"/>
                <w:kern w:val="0"/>
                <w:sz w:val="24"/>
                <w:szCs w:val="24"/>
                <w:u w:val="none"/>
                <w:lang w:val="en-US" w:eastAsia="zh-CN"/>
              </w:rPr>
              <w:t>实际完成目标</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9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宋体" w:hAnsi="宋体" w:eastAsia="宋体" w:cs="宋体"/>
                <w:b/>
                <w:bCs/>
                <w:i w:val="0"/>
                <w:color w:val="000000"/>
                <w:kern w:val="2"/>
                <w:sz w:val="20"/>
                <w:szCs w:val="20"/>
                <w:u w:val="none"/>
              </w:rPr>
            </w:pPr>
          </w:p>
        </w:tc>
        <w:tc>
          <w:tcPr>
            <w:tcW w:w="2576" w:type="dxa"/>
            <w:gridSpan w:val="3"/>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宋体" w:hAnsi="宋体" w:eastAsia="宋体" w:cs="宋体"/>
                <w:b/>
                <w:bCs/>
                <w:i w:val="0"/>
                <w:color w:val="000000"/>
                <w:kern w:val="2"/>
                <w:sz w:val="24"/>
                <w:szCs w:val="24"/>
                <w:u w:val="none"/>
                <w:lang w:eastAsia="zh-CN"/>
              </w:rPr>
            </w:pPr>
            <w:r>
              <w:rPr>
                <w:rFonts w:hint="eastAsia" w:ascii="宋体" w:hAnsi="宋体" w:eastAsia="宋体" w:cs="宋体"/>
                <w:b w:val="0"/>
                <w:bCs w:val="0"/>
                <w:i w:val="0"/>
                <w:color w:val="000000"/>
                <w:kern w:val="2"/>
                <w:sz w:val="24"/>
                <w:szCs w:val="24"/>
                <w:u w:val="none"/>
                <w:lang w:eastAsia="zh-CN"/>
              </w:rPr>
              <w:t>制作全县在编人员编制卡片，完成信息更新；完成法人登记工作；做好编委会会务工作</w:t>
            </w:r>
          </w:p>
        </w:tc>
        <w:tc>
          <w:tcPr>
            <w:tcW w:w="6497" w:type="dxa"/>
            <w:gridSpan w:val="4"/>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宋体" w:hAnsi="宋体" w:eastAsia="宋体" w:cs="宋体"/>
                <w:b w:val="0"/>
                <w:bCs/>
                <w:i w:val="0"/>
                <w:color w:val="000000"/>
                <w:kern w:val="2"/>
                <w:sz w:val="24"/>
                <w:szCs w:val="24"/>
                <w:u w:val="none"/>
                <w:lang w:eastAsia="zh-CN"/>
              </w:rPr>
            </w:pPr>
            <w:r>
              <w:rPr>
                <w:rFonts w:hint="eastAsia" w:ascii="宋体" w:hAnsi="宋体" w:eastAsia="宋体" w:cs="宋体"/>
                <w:b w:val="0"/>
                <w:bCs/>
                <w:i w:val="0"/>
                <w:color w:val="000000"/>
                <w:kern w:val="2"/>
                <w:sz w:val="24"/>
                <w:szCs w:val="24"/>
                <w:u w:val="none"/>
                <w:lang w:eastAsia="zh-CN"/>
              </w:rPr>
              <w:t>圆满完成了各项工作任务，推进事业单位法人履职评估，全面完成法人赋码换证工作；及时更新在职人员编卡信息和换卡工作；做好编委会会务工作。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restart"/>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ascii="仿宋_GB2312" w:hAnsi="宋体" w:eastAsia="仿宋_GB2312" w:cs="仿宋_GB2312"/>
                <w:i w:val="0"/>
                <w:color w:val="000000"/>
                <w:kern w:val="2"/>
                <w:sz w:val="24"/>
                <w:szCs w:val="24"/>
                <w:u w:val="none"/>
              </w:rPr>
            </w:pPr>
            <w:r>
              <w:rPr>
                <w:rFonts w:hint="eastAsia" w:ascii="仿宋_GB2312" w:hAnsi="宋体" w:eastAsia="仿宋_GB2312" w:cs="仿宋_GB2312"/>
                <w:i w:val="0"/>
                <w:color w:val="000000"/>
                <w:kern w:val="0"/>
                <w:sz w:val="24"/>
                <w:szCs w:val="24"/>
                <w:u w:val="none"/>
                <w:lang w:val="en-US" w:eastAsia="zh-CN"/>
              </w:rPr>
              <w:t>绩效指标完成情况</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b/>
                <w:i w:val="0"/>
                <w:color w:val="000000"/>
                <w:kern w:val="2"/>
                <w:sz w:val="20"/>
                <w:szCs w:val="20"/>
                <w:u w:val="none"/>
              </w:rPr>
            </w:pPr>
            <w:r>
              <w:rPr>
                <w:rFonts w:hint="eastAsia" w:ascii="宋体" w:hAnsi="宋体" w:eastAsia="宋体" w:cs="宋体"/>
                <w:b/>
                <w:i w:val="0"/>
                <w:color w:val="000000"/>
                <w:kern w:val="0"/>
                <w:sz w:val="20"/>
                <w:szCs w:val="20"/>
                <w:u w:val="none"/>
                <w:lang w:val="en-US" w:eastAsia="zh-CN"/>
              </w:rPr>
              <w:t>一级指标</w:t>
            </w:r>
          </w:p>
        </w:tc>
        <w:tc>
          <w:tcPr>
            <w:tcW w:w="1048" w:type="dxa"/>
            <w:vMerge w:val="restart"/>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b/>
                <w:i w:val="0"/>
                <w:color w:val="000000"/>
                <w:kern w:val="2"/>
                <w:sz w:val="20"/>
                <w:szCs w:val="20"/>
                <w:u w:val="none"/>
              </w:rPr>
            </w:pPr>
            <w:r>
              <w:rPr>
                <w:rFonts w:hint="eastAsia" w:ascii="宋体" w:hAnsi="宋体" w:eastAsia="宋体" w:cs="宋体"/>
                <w:b/>
                <w:i w:val="0"/>
                <w:color w:val="000000"/>
                <w:kern w:val="0"/>
                <w:sz w:val="20"/>
                <w:szCs w:val="20"/>
                <w:u w:val="none"/>
                <w:lang w:val="en-US" w:eastAsia="zh-CN"/>
              </w:rPr>
              <w:t>二级指标</w:t>
            </w: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b/>
                <w:i w:val="0"/>
                <w:color w:val="000000"/>
                <w:kern w:val="2"/>
                <w:sz w:val="20"/>
                <w:szCs w:val="20"/>
                <w:u w:val="none"/>
              </w:rPr>
            </w:pPr>
            <w:r>
              <w:rPr>
                <w:rFonts w:hint="eastAsia" w:ascii="宋体" w:hAnsi="宋体" w:eastAsia="宋体" w:cs="宋体"/>
                <w:b/>
                <w:i w:val="0"/>
                <w:color w:val="000000"/>
                <w:kern w:val="0"/>
                <w:sz w:val="20"/>
                <w:szCs w:val="20"/>
                <w:u w:val="none"/>
                <w:lang w:val="en-US" w:eastAsia="zh-CN"/>
              </w:rPr>
              <w:t>三级指标</w:t>
            </w:r>
          </w:p>
        </w:tc>
        <w:tc>
          <w:tcPr>
            <w:tcW w:w="2934" w:type="dxa"/>
            <w:gridSpan w:val="2"/>
            <w:vMerge w:val="restart"/>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b/>
                <w:i w:val="0"/>
                <w:color w:val="000000"/>
                <w:kern w:val="2"/>
                <w:sz w:val="20"/>
                <w:szCs w:val="20"/>
                <w:u w:val="none"/>
              </w:rPr>
            </w:pPr>
            <w:r>
              <w:rPr>
                <w:rFonts w:hint="eastAsia" w:ascii="宋体" w:hAnsi="宋体" w:eastAsia="宋体" w:cs="宋体"/>
                <w:b/>
                <w:i w:val="0"/>
                <w:color w:val="000000"/>
                <w:kern w:val="0"/>
                <w:sz w:val="20"/>
                <w:szCs w:val="20"/>
                <w:u w:val="none"/>
                <w:lang w:val="en-US" w:eastAsia="zh-CN"/>
              </w:rPr>
              <w:t>指标评价内容</w:t>
            </w:r>
          </w:p>
        </w:tc>
        <w:tc>
          <w:tcPr>
            <w:tcW w:w="1632" w:type="dxa"/>
            <w:vMerge w:val="restart"/>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b/>
                <w:i w:val="0"/>
                <w:color w:val="000000"/>
                <w:kern w:val="2"/>
                <w:sz w:val="20"/>
                <w:szCs w:val="20"/>
                <w:u w:val="none"/>
              </w:rPr>
            </w:pPr>
            <w:r>
              <w:rPr>
                <w:rFonts w:hint="eastAsia" w:ascii="宋体" w:hAnsi="宋体" w:eastAsia="宋体" w:cs="宋体"/>
                <w:b/>
                <w:i w:val="0"/>
                <w:color w:val="000000"/>
                <w:kern w:val="0"/>
                <w:sz w:val="20"/>
                <w:szCs w:val="20"/>
                <w:u w:val="none"/>
                <w:lang w:val="en-US" w:eastAsia="zh-CN"/>
              </w:rPr>
              <w:t>预期指标值(包含数字及文字描述)</w:t>
            </w:r>
          </w:p>
        </w:tc>
        <w:tc>
          <w:tcPr>
            <w:tcW w:w="1931" w:type="dxa"/>
            <w:vMerge w:val="restart"/>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b/>
                <w:i w:val="0"/>
                <w:color w:val="000000"/>
                <w:kern w:val="2"/>
                <w:sz w:val="20"/>
                <w:szCs w:val="20"/>
                <w:u w:val="none"/>
              </w:rPr>
            </w:pPr>
            <w:r>
              <w:rPr>
                <w:rFonts w:hint="eastAsia" w:ascii="宋体" w:hAnsi="宋体" w:eastAsia="宋体" w:cs="宋体"/>
                <w:b/>
                <w:i w:val="0"/>
                <w:color w:val="000000"/>
                <w:kern w:val="0"/>
                <w:sz w:val="20"/>
                <w:szCs w:val="20"/>
                <w:u w:val="none"/>
                <w:lang w:val="en-US" w:eastAsia="zh-CN"/>
              </w:rPr>
              <w:t>实际完成指标值(包含数字及文字描述)</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b/>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b/>
                <w:i w:val="0"/>
                <w:color w:val="000000"/>
                <w:kern w:val="2"/>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b/>
                <w:i w:val="0"/>
                <w:color w:val="000000"/>
                <w:kern w:val="2"/>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b/>
                <w:i w:val="0"/>
                <w:color w:val="000000"/>
                <w:kern w:val="2"/>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b/>
                <w:i w:val="0"/>
                <w:color w:val="000000"/>
                <w:kern w:val="2"/>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b/>
                <w:i w:val="0"/>
                <w:color w:val="000000"/>
                <w:kern w:val="2"/>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b/>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b/>
                <w:i w:val="0"/>
                <w:color w:val="000000"/>
                <w:kern w:val="2"/>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b/>
                <w:i w:val="0"/>
                <w:color w:val="000000"/>
                <w:kern w:val="2"/>
                <w:sz w:val="20"/>
                <w:szCs w:val="20"/>
                <w:u w:val="none"/>
              </w:rPr>
            </w:pPr>
          </w:p>
        </w:tc>
        <w:tc>
          <w:tcPr>
            <w:tcW w:w="2934" w:type="dxa"/>
            <w:gridSpan w:val="2"/>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b/>
                <w:i w:val="0"/>
                <w:color w:val="000000"/>
                <w:kern w:val="2"/>
                <w:sz w:val="20"/>
                <w:szCs w:val="20"/>
                <w:u w:val="none"/>
              </w:rPr>
            </w:pPr>
          </w:p>
        </w:tc>
        <w:tc>
          <w:tcPr>
            <w:tcW w:w="1632" w:type="dxa"/>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b/>
                <w:i w:val="0"/>
                <w:color w:val="000000"/>
                <w:kern w:val="2"/>
                <w:sz w:val="20"/>
                <w:szCs w:val="20"/>
                <w:u w:val="none"/>
              </w:rPr>
            </w:pPr>
          </w:p>
        </w:tc>
        <w:tc>
          <w:tcPr>
            <w:tcW w:w="1931" w:type="dxa"/>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b/>
                <w:i w:val="0"/>
                <w:color w:val="000000"/>
                <w:kern w:val="2"/>
                <w:sz w:val="20"/>
                <w:szCs w:val="20"/>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spacing w:before="0" w:beforeAutospacing="0" w:after="0" w:afterAutospacing="0"/>
              <w:ind w:left="0" w:right="0"/>
              <w:jc w:val="left"/>
              <w:textAlignment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项目决策</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绩效目标</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目标内容</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项目预期提供的产品、服务、效益或其他目标明确,即绩效目标实际明确个数/应当明确个数×100%</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保障机构编制工作有序开展</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圆满完成各项工作任务</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4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进度计划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项目计划实施进度明确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完成年度内法人赋码换证工作，及时更新编卡</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各项工作在计划期内完成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69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目标匹配</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绩效目标设定符合实际需求的抽样项目点个数/抽样项目点总数×100%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决策依据</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政策依据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项目符合党中央、国务院和省委、省政府决策部署；符合当前经济社会发展需要</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实施规划</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连续性项目根据需要制定中长期实施规划</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实施规划符合实际，并根据情况变化适时调整</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制定</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vMerge w:val="restart"/>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管理制度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制定项目资金管理办法</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已制定</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2"/>
                <w:sz w:val="20"/>
                <w:szCs w:val="20"/>
                <w:u w:val="none"/>
                <w:lang w:eastAsia="zh-CN"/>
              </w:rPr>
              <w:t>已制定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vMerge w:val="continue"/>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项目资金分配决策程序明确</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已明确</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已明确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2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资金分配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分配方法</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资金分配方法是否科学合理</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合理</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合理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分配过程</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分配过程符合相关规定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符合</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符合</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分配结果</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审核把关</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符合申报条件的抽样项目点个数/抽样项目点总数×100%</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资金集中</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集中</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财政资金占项目资金总额比重较小项目个数/项目总数×100%</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（均衡）</w:t>
            </w:r>
          </w:p>
        </w:tc>
        <w:tc>
          <w:tcPr>
            <w:tcW w:w="1182"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均衡</w:t>
            </w:r>
          </w:p>
        </w:tc>
        <w:tc>
          <w:tcPr>
            <w:tcW w:w="1752"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按实际分配结果选择客观因素测算验证资金分配方法制定、分配要素设定、基础数据应用、测算依据选取等是否科学合理（2分）</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合理</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合理</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54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spacing w:before="0" w:beforeAutospacing="0" w:after="0" w:afterAutospacing="0"/>
              <w:ind w:left="0" w:right="0"/>
              <w:jc w:val="left"/>
              <w:textAlignment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项目管理</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spacing w:before="0" w:beforeAutospacing="0" w:after="0" w:afterAutospacing="0"/>
              <w:ind w:left="0" w:right="0"/>
              <w:jc w:val="center"/>
              <w:textAlignment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 xml:space="preserve"> 资金到位</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分配时效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县级主管部门按规定及时分配资金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及时</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及时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1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资金拨付</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按规定及时拨付资金</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及时</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及时</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spacing w:before="0" w:beforeAutospacing="0" w:after="0" w:afterAutospacing="0"/>
              <w:ind w:left="0" w:right="0"/>
              <w:jc w:val="center"/>
              <w:textAlignment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 xml:space="preserve">资金管理  </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使用范围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资金使用是否合规</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合规</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合规</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支付依据</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资金支付依据符合规定，即支付依旧合规资金量/资金总量×100%</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开支标准</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资金开支标准符合规定，即开支标准合规资金量/资金总量×100%</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spacing w:before="0" w:beforeAutospacing="0" w:after="0" w:afterAutospacing="0"/>
              <w:ind w:left="0" w:right="0"/>
              <w:jc w:val="center"/>
              <w:textAlignment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财务管理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财务制度</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财务制度健全，管理规范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规范</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会计核算</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会计核算规范</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规范</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规范</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组织实施（4分）</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项目调整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项目调整严格履行相关手续</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未调整</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未调整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85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投资变更</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项目投资变更额/项目总投入×100%</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未变更</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未变更</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6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制度执行</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严格执行项目有关制度规定</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按规定执行</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2"/>
                <w:sz w:val="20"/>
                <w:szCs w:val="20"/>
                <w:u w:val="none"/>
                <w:lang w:eastAsia="zh-CN"/>
              </w:rPr>
              <w:t>按规定执行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restart"/>
            <w:tcBorders>
              <w:top w:val="single" w:color="000000" w:sz="4" w:space="0"/>
              <w:left w:val="single" w:color="000000" w:sz="4" w:space="0"/>
              <w:bottom w:val="single" w:color="000000" w:sz="4" w:space="0"/>
              <w:right w:val="single" w:color="000000" w:sz="4" w:space="0"/>
            </w:tcBorders>
            <w:textDirection w:val="tbRlV"/>
            <w:vAlign w:val="center"/>
          </w:tcPr>
          <w:p>
            <w:pPr>
              <w:widowControl/>
              <w:spacing w:before="0" w:beforeAutospacing="0" w:after="0" w:afterAutospacing="0"/>
              <w:ind w:left="0" w:right="0"/>
              <w:jc w:val="left"/>
              <w:textAlignment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项目绩效</w:t>
            </w: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项目完成</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完成数量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实际完成任务量/绩效目标设定任务量×100%</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100%</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default" w:ascii="宋体" w:hAnsi="宋体" w:eastAsia="宋体" w:cs="宋体"/>
                <w:i w:val="0"/>
                <w:color w:val="000000"/>
                <w:kern w:val="2"/>
                <w:sz w:val="20"/>
                <w:szCs w:val="20"/>
                <w:u w:val="none"/>
                <w:lang w:val="en-US" w:eastAsia="zh-CN"/>
              </w:rPr>
            </w:pPr>
            <w:r>
              <w:rPr>
                <w:rFonts w:hint="eastAsia" w:ascii="宋体" w:hAnsi="宋体" w:eastAsia="宋体" w:cs="宋体"/>
                <w:i w:val="0"/>
                <w:color w:val="000000"/>
                <w:kern w:val="2"/>
                <w:sz w:val="20"/>
                <w:szCs w:val="20"/>
                <w:u w:val="none"/>
                <w:lang w:val="en-US" w:eastAsia="zh-CN"/>
              </w:rPr>
              <w:t>100%</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完成质量</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符合绩效目标设定的验收标准，达到行业基准水平</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完成质量好</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2"/>
                <w:sz w:val="20"/>
                <w:szCs w:val="20"/>
                <w:u w:val="none"/>
                <w:lang w:eastAsia="zh-CN"/>
              </w:rPr>
              <w:t>完成质量好</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9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完成时效</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（实际完成时间-绩效目标设定完成时间）/绩效目标设定完成时间×100%</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按时完成</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按时完成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28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完成成本</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（实际完成成本-预计完成成本）/预计完成成本×100%</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按量完成</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按量完成</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restart"/>
            <w:tcBorders>
              <w:top w:val="single" w:color="000000" w:sz="4" w:space="0"/>
              <w:left w:val="single" w:color="000000" w:sz="4" w:space="0"/>
              <w:bottom w:val="single" w:color="000000" w:sz="4" w:space="0"/>
              <w:right w:val="single" w:color="000000" w:sz="4" w:space="0"/>
            </w:tcBorders>
            <w:textDirection w:val="tbRlV"/>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项目效益</w:t>
            </w: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经济效益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反映相关产出对经济社会发展带来的影响和效果，根据项目实际细化具体指标。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盘活编制存量，围绕县委县政府重点工作，助力经济发展</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2"/>
                <w:sz w:val="20"/>
                <w:szCs w:val="20"/>
                <w:u w:val="none"/>
                <w:lang w:eastAsia="zh-CN"/>
              </w:rPr>
              <w:t>盘活编制存量，围绕县委县政府重点工作，助力经济发展</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35"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社会效益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反映相关产出对社会发展带来的影响和效果，根据项目实际细化具体指标。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rPr>
              <w:t>深入研究管理体制机制问题，不断调整完善省政府机构设置和职能配置</w:t>
            </w:r>
            <w:r>
              <w:rPr>
                <w:rFonts w:hint="eastAsia" w:ascii="宋体" w:hAnsi="宋体" w:eastAsia="宋体" w:cs="宋体"/>
                <w:i w:val="0"/>
                <w:color w:val="000000"/>
                <w:kern w:val="2"/>
                <w:sz w:val="20"/>
                <w:szCs w:val="20"/>
                <w:u w:val="none"/>
                <w:lang w:eastAsia="zh-CN"/>
              </w:rPr>
              <w:t>，造福社会</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2"/>
                <w:sz w:val="20"/>
                <w:szCs w:val="20"/>
                <w:u w:val="none"/>
              </w:rPr>
              <w:t>深入研究管理体制机制问题，不断调整完善省政府机构设置和职能配置</w:t>
            </w:r>
            <w:r>
              <w:rPr>
                <w:rFonts w:hint="eastAsia" w:ascii="宋体" w:hAnsi="宋体" w:eastAsia="宋体" w:cs="宋体"/>
                <w:i w:val="0"/>
                <w:color w:val="000000"/>
                <w:kern w:val="2"/>
                <w:sz w:val="20"/>
                <w:szCs w:val="20"/>
                <w:u w:val="none"/>
                <w:lang w:eastAsia="zh-CN"/>
              </w:rPr>
              <w:t>，造福社会</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2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center"/>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生态效益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反映相关产出对自然环境带来的影响和效果，根据项目实际细化具体指标。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服务生态文明建设工作</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2"/>
                <w:sz w:val="20"/>
                <w:szCs w:val="20"/>
                <w:u w:val="none"/>
                <w:lang w:eastAsia="zh-CN"/>
              </w:rPr>
              <w:t>为生态文明建设工作提供机构编制保障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75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vMerge w:val="continue"/>
            <w:tcBorders>
              <w:top w:val="single" w:color="000000" w:sz="4" w:space="0"/>
              <w:left w:val="single" w:color="000000" w:sz="4" w:space="0"/>
              <w:bottom w:val="single" w:color="000000" w:sz="4" w:space="0"/>
              <w:right w:val="single" w:color="000000" w:sz="4" w:space="0"/>
            </w:tcBorders>
            <w:textDirection w:val="tbRlV"/>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rPr>
            </w:pPr>
          </w:p>
        </w:tc>
        <w:tc>
          <w:tcPr>
            <w:tcW w:w="764" w:type="dxa"/>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可持续效益</w:t>
            </w:r>
          </w:p>
        </w:tc>
        <w:tc>
          <w:tcPr>
            <w:tcW w:w="2934" w:type="dxa"/>
            <w:gridSpan w:val="2"/>
            <w:tcBorders>
              <w:top w:val="single" w:color="000000" w:sz="4" w:space="0"/>
              <w:left w:val="single" w:color="000000" w:sz="4" w:space="0"/>
              <w:bottom w:val="single" w:color="000000" w:sz="4" w:space="0"/>
              <w:right w:val="single" w:color="000000" w:sz="4" w:space="0"/>
            </w:tcBorders>
            <w:vAlign w:val="bottom"/>
          </w:tcPr>
          <w:p>
            <w:pPr>
              <w:widowControl/>
              <w:spacing w:before="0" w:beforeAutospacing="0" w:after="0" w:afterAutospacing="0"/>
              <w:ind w:left="0" w:right="0"/>
              <w:jc w:val="left"/>
              <w:textAlignment w:val="bottom"/>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反映相关产出带来影响的可持续期限，根据项目实际细化具体指标。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left"/>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2"/>
                <w:sz w:val="20"/>
                <w:szCs w:val="20"/>
                <w:u w:val="none"/>
              </w:rPr>
              <w:t>严控总量、盘活存量、优化结构、服务发展</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left"/>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在不突破机构编制限额前提下，为县委县政府各项工作提供机构编制保障</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15" w:type="dxa"/>
            <w:left w:w="15" w:type="dxa"/>
            <w:bottom w:w="15" w:type="dxa"/>
            <w:right w:w="15" w:type="dxa"/>
          </w:tblCellMar>
        </w:tblPrEx>
        <w:trPr>
          <w:trHeight w:val="1080" w:hRule="atLeast"/>
        </w:trPr>
        <w:tc>
          <w:tcPr>
            <w:tcW w:w="449" w:type="dxa"/>
            <w:vMerge w:val="continue"/>
            <w:tcBorders>
              <w:top w:val="single" w:color="000000" w:sz="4" w:space="0"/>
              <w:left w:val="single" w:color="000000" w:sz="4" w:space="0"/>
              <w:bottom w:val="single" w:color="000000" w:sz="4" w:space="0"/>
              <w:right w:val="single" w:color="000000" w:sz="4" w:space="0"/>
            </w:tcBorders>
            <w:vAlign w:val="center"/>
          </w:tcPr>
          <w:p>
            <w:pPr>
              <w:spacing w:before="0" w:beforeAutospacing="0" w:after="0" w:afterAutospacing="0"/>
              <w:ind w:left="0" w:right="0"/>
              <w:jc w:val="center"/>
              <w:rPr>
                <w:rFonts w:hint="eastAsia" w:ascii="仿宋_GB2312" w:hAnsi="宋体" w:eastAsia="仿宋_GB2312" w:cs="仿宋_GB2312"/>
                <w:i w:val="0"/>
                <w:color w:val="000000"/>
                <w:kern w:val="2"/>
                <w:sz w:val="24"/>
                <w:szCs w:val="24"/>
                <w:u w:val="none"/>
              </w:rPr>
            </w:pPr>
          </w:p>
        </w:tc>
        <w:tc>
          <w:tcPr>
            <w:tcW w:w="764" w:type="dxa"/>
            <w:vMerge w:val="continue"/>
            <w:tcBorders>
              <w:top w:val="single" w:color="000000" w:sz="4" w:space="0"/>
              <w:left w:val="single" w:color="000000" w:sz="4" w:space="0"/>
              <w:bottom w:val="single" w:color="000000" w:sz="4" w:space="0"/>
              <w:right w:val="single" w:color="000000" w:sz="4" w:space="0"/>
            </w:tcBorders>
            <w:textDirection w:val="tbRlV"/>
            <w:vAlign w:val="center"/>
          </w:tcPr>
          <w:p>
            <w:pPr>
              <w:spacing w:before="0" w:beforeAutospacing="0" w:after="0" w:afterAutospacing="0"/>
              <w:ind w:left="0" w:right="0"/>
              <w:rPr>
                <w:rFonts w:hint="eastAsia" w:ascii="宋体" w:hAnsi="宋体" w:eastAsia="宋体" w:cs="宋体"/>
                <w:i w:val="0"/>
                <w:color w:val="000000"/>
                <w:kern w:val="2"/>
                <w:sz w:val="20"/>
                <w:szCs w:val="20"/>
                <w:u w:val="none"/>
              </w:rPr>
            </w:pPr>
          </w:p>
        </w:tc>
        <w:tc>
          <w:tcPr>
            <w:tcW w:w="1048" w:type="dxa"/>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textAlignment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满意度</w:t>
            </w:r>
          </w:p>
        </w:tc>
        <w:tc>
          <w:tcPr>
            <w:tcW w:w="764" w:type="dxa"/>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center"/>
              <w:textAlignment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服务对象满意度</w:t>
            </w:r>
          </w:p>
        </w:tc>
        <w:tc>
          <w:tcPr>
            <w:tcW w:w="2934" w:type="dxa"/>
            <w:gridSpan w:val="2"/>
            <w:tcBorders>
              <w:top w:val="single" w:color="000000" w:sz="4" w:space="0"/>
              <w:left w:val="single" w:color="000000" w:sz="4" w:space="0"/>
              <w:bottom w:val="single" w:color="000000" w:sz="4" w:space="0"/>
              <w:right w:val="single" w:color="000000" w:sz="4" w:space="0"/>
            </w:tcBorders>
            <w:vAlign w:val="center"/>
          </w:tcPr>
          <w:p>
            <w:pPr>
              <w:widowControl/>
              <w:spacing w:before="0" w:beforeAutospacing="0" w:after="0" w:afterAutospacing="0"/>
              <w:ind w:left="0" w:right="0"/>
              <w:jc w:val="left"/>
              <w:textAlignment w:val="center"/>
              <w:rPr>
                <w:rFonts w:hint="eastAsia" w:ascii="宋体" w:hAnsi="宋体" w:eastAsia="宋体" w:cs="宋体"/>
                <w:i w:val="0"/>
                <w:color w:val="000000"/>
                <w:kern w:val="2"/>
                <w:sz w:val="20"/>
                <w:szCs w:val="20"/>
                <w:u w:val="none"/>
              </w:rPr>
            </w:pPr>
            <w:r>
              <w:rPr>
                <w:rFonts w:hint="eastAsia" w:ascii="宋体" w:hAnsi="宋体" w:eastAsia="宋体" w:cs="宋体"/>
                <w:i w:val="0"/>
                <w:color w:val="000000"/>
                <w:kern w:val="0"/>
                <w:sz w:val="20"/>
                <w:szCs w:val="20"/>
                <w:u w:val="none"/>
                <w:lang w:val="en-US" w:eastAsia="zh-CN"/>
              </w:rPr>
              <w:t>反映服务对象或项目受益人对相关产出及其影响的认可程度，根据项目实际细化具体指标。</w:t>
            </w:r>
          </w:p>
        </w:tc>
        <w:tc>
          <w:tcPr>
            <w:tcW w:w="1632"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满意</w:t>
            </w:r>
          </w:p>
        </w:tc>
        <w:tc>
          <w:tcPr>
            <w:tcW w:w="1931" w:type="dxa"/>
            <w:tcBorders>
              <w:top w:val="single" w:color="000000" w:sz="4" w:space="0"/>
              <w:left w:val="single" w:color="000000" w:sz="4" w:space="0"/>
              <w:bottom w:val="single" w:color="000000" w:sz="4" w:space="0"/>
              <w:right w:val="single" w:color="000000" w:sz="4" w:space="0"/>
            </w:tcBorders>
            <w:vAlign w:val="bottom"/>
          </w:tcPr>
          <w:p>
            <w:pPr>
              <w:spacing w:before="0" w:beforeAutospacing="0" w:after="0" w:afterAutospacing="0"/>
              <w:ind w:left="0" w:right="0"/>
              <w:jc w:val="center"/>
              <w:rPr>
                <w:rFonts w:hint="eastAsia" w:ascii="宋体" w:hAnsi="宋体" w:eastAsia="宋体" w:cs="宋体"/>
                <w:i w:val="0"/>
                <w:color w:val="000000"/>
                <w:kern w:val="2"/>
                <w:sz w:val="20"/>
                <w:szCs w:val="20"/>
                <w:u w:val="none"/>
                <w:lang w:eastAsia="zh-CN"/>
              </w:rPr>
            </w:pPr>
            <w:r>
              <w:rPr>
                <w:rFonts w:hint="eastAsia" w:ascii="宋体" w:hAnsi="宋体" w:eastAsia="宋体" w:cs="宋体"/>
                <w:i w:val="0"/>
                <w:color w:val="000000"/>
                <w:kern w:val="2"/>
                <w:sz w:val="20"/>
                <w:szCs w:val="20"/>
                <w:u w:val="none"/>
                <w:lang w:eastAsia="zh-CN"/>
              </w:rPr>
              <w:t>满意</w:t>
            </w:r>
          </w:p>
        </w:tc>
      </w:tr>
    </w:tbl>
    <w:p>
      <w:pPr>
        <w:spacing w:line="580" w:lineRule="exact"/>
        <w:rPr>
          <w:rFonts w:ascii="仿宋_GB2312" w:hAnsi="仿宋_GB2312" w:eastAsia="仿宋_GB2312" w:cs="仿宋_GB2312"/>
          <w:sz w:val="32"/>
          <w:szCs w:val="32"/>
        </w:rPr>
      </w:pPr>
    </w:p>
    <w:p>
      <w:pPr>
        <w:spacing w:line="580" w:lineRule="exact"/>
        <w:ind w:left="630"/>
        <w:rPr>
          <w:rFonts w:ascii="仿宋_GB2312" w:hAnsi="仿宋_GB2312" w:eastAsia="仿宋_GB2312" w:cs="仿宋_GB2312"/>
          <w:sz w:val="32"/>
          <w:szCs w:val="32"/>
        </w:rPr>
      </w:pPr>
      <w:r>
        <w:rPr>
          <w:rFonts w:hint="eastAsia" w:ascii="楷体_GB2312" w:hAnsi="楷体_GB2312" w:eastAsia="楷体_GB2312" w:cs="楷体_GB2312"/>
          <w:sz w:val="32"/>
          <w:szCs w:val="32"/>
        </w:rPr>
        <w:t>2.部门绩效评价结果。</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本部门按要求对2019年部门整体支出绩效评价情况开展自评，《</w:t>
      </w:r>
      <w:r>
        <w:rPr>
          <w:rFonts w:hint="eastAsia" w:ascii="仿宋_GB2312" w:hAnsi="仿宋_GB2312" w:eastAsia="仿宋_GB2312" w:cs="仿宋_GB2312"/>
          <w:sz w:val="32"/>
          <w:szCs w:val="32"/>
          <w:lang w:eastAsia="zh-CN"/>
        </w:rPr>
        <w:t>县委编办</w:t>
      </w:r>
      <w:r>
        <w:rPr>
          <w:rFonts w:hint="eastAsia" w:ascii="仿宋_GB2312" w:hAnsi="仿宋_GB2312" w:eastAsia="仿宋_GB2312" w:cs="仿宋_GB2312"/>
          <w:sz w:val="32"/>
          <w:szCs w:val="32"/>
        </w:rPr>
        <w:t>部门2019年部门整体支出绩效评价报告》见附件（附件1）。</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本部门自行组织对党政群机关及事业单位政务和公益中文域名管理项目、机关事业单位干部职工人员流动编卡变动项目开展了绩效评价，《</w:t>
      </w:r>
      <w:r>
        <w:rPr>
          <w:rFonts w:hint="eastAsia" w:ascii="仿宋_GB2312" w:hAnsi="仿宋_GB2312" w:eastAsia="仿宋_GB2312" w:cs="仿宋_GB2312"/>
          <w:sz w:val="32"/>
          <w:szCs w:val="32"/>
          <w:lang w:eastAsia="zh-CN"/>
        </w:rPr>
        <w:t>县委编办</w:t>
      </w:r>
      <w:r>
        <w:rPr>
          <w:rFonts w:hint="eastAsia" w:ascii="仿宋_GB2312" w:hAnsi="仿宋_GB2312" w:eastAsia="仿宋_GB2312" w:cs="仿宋_GB2312"/>
          <w:sz w:val="32"/>
          <w:szCs w:val="32"/>
        </w:rPr>
        <w:t>项目201</w:t>
      </w:r>
      <w:r>
        <w:rPr>
          <w:rFonts w:hint="eastAsia" w:ascii="仿宋_GB2312" w:hAnsi="仿宋_GB2312" w:eastAsia="仿宋_GB2312" w:cs="仿宋_GB2312"/>
          <w:sz w:val="32"/>
          <w:szCs w:val="32"/>
          <w:lang w:val="en-US" w:eastAsia="zh-CN"/>
        </w:rPr>
        <w:t>9</w:t>
      </w:r>
      <w:r>
        <w:rPr>
          <w:rFonts w:hint="eastAsia" w:ascii="仿宋_GB2312" w:hAnsi="仿宋_GB2312" w:eastAsia="仿宋_GB2312" w:cs="仿宋_GB2312"/>
          <w:sz w:val="32"/>
          <w:szCs w:val="32"/>
        </w:rPr>
        <w:t>年绩效评价报告》见附件。</w:t>
      </w:r>
    </w:p>
    <w:p>
      <w:pPr>
        <w:widowControl/>
        <w:jc w:val="left"/>
        <w:rPr>
          <w:rFonts w:ascii="仿宋_GB2312" w:eastAsia="仿宋_GB2312"/>
          <w:b/>
          <w:color w:val="000000"/>
          <w:sz w:val="32"/>
          <w:szCs w:val="32"/>
        </w:rPr>
      </w:pPr>
      <w:r>
        <w:rPr>
          <w:rFonts w:ascii="仿宋_GB2312" w:eastAsia="仿宋_GB2312"/>
          <w:b/>
          <w:color w:val="000000"/>
          <w:sz w:val="32"/>
          <w:szCs w:val="32"/>
        </w:rPr>
        <w:br w:type="page"/>
      </w:r>
    </w:p>
    <w:p>
      <w:pPr>
        <w:numPr>
          <w:ilvl w:val="0"/>
          <w:numId w:val="6"/>
        </w:numPr>
        <w:spacing w:line="600" w:lineRule="exact"/>
        <w:ind w:firstLine="660" w:firstLineChars="150"/>
        <w:jc w:val="center"/>
        <w:outlineLvl w:val="0"/>
        <w:rPr>
          <w:rStyle w:val="28"/>
          <w:rFonts w:ascii="黑体" w:hAnsi="黑体" w:eastAsia="黑体"/>
          <w:b w:val="0"/>
        </w:rPr>
      </w:pPr>
      <w:bookmarkStart w:id="93" w:name="_Toc15377225"/>
      <w:bookmarkStart w:id="94" w:name="_Toc15396613"/>
      <w:bookmarkStart w:id="95" w:name="_Toc26794"/>
      <w:r>
        <w:rPr>
          <w:rFonts w:hint="eastAsia" w:ascii="黑体" w:hAnsi="黑体" w:eastAsia="黑体"/>
          <w:color w:val="000000"/>
          <w:sz w:val="44"/>
          <w:szCs w:val="44"/>
        </w:rPr>
        <w:t>名</w:t>
      </w:r>
      <w:r>
        <w:rPr>
          <w:rStyle w:val="28"/>
          <w:rFonts w:hint="eastAsia" w:ascii="黑体" w:hAnsi="黑体" w:eastAsia="黑体"/>
          <w:b w:val="0"/>
        </w:rPr>
        <w:t>词解释</w:t>
      </w:r>
      <w:bookmarkEnd w:id="93"/>
      <w:bookmarkEnd w:id="94"/>
      <w:bookmarkEnd w:id="95"/>
    </w:p>
    <w:p>
      <w:pPr>
        <w:spacing w:line="600" w:lineRule="exact"/>
        <w:jc w:val="left"/>
        <w:rPr>
          <w:rFonts w:ascii="宋体"/>
          <w:b/>
          <w:color w:val="000000"/>
          <w:sz w:val="44"/>
          <w:szCs w:val="44"/>
        </w:rPr>
      </w:pPr>
    </w:p>
    <w:p>
      <w:pPr>
        <w:pStyle w:val="18"/>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18"/>
        <w:spacing w:line="560" w:lineRule="exact"/>
        <w:ind w:firstLine="640" w:firstLineChars="200"/>
        <w:rPr>
          <w:rFonts w:hint="eastAsia"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w:t>
      </w:r>
    </w:p>
    <w:p>
      <w:pPr>
        <w:pStyle w:val="18"/>
        <w:spacing w:line="560" w:lineRule="exact"/>
        <w:ind w:firstLine="640" w:firstLineChars="200"/>
        <w:rPr>
          <w:rFonts w:hint="eastAsia"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w:t>
      </w:r>
      <w:r>
        <w:rPr>
          <w:rFonts w:hint="eastAsia" w:ascii="仿宋_GB2312" w:eastAsia="仿宋_GB2312"/>
          <w:sz w:val="32"/>
          <w:szCs w:val="32"/>
          <w:lang w:eastAsia="zh-CN"/>
        </w:rPr>
        <w:t>利息收入</w:t>
      </w:r>
      <w:r>
        <w:rPr>
          <w:rFonts w:hint="eastAsia" w:ascii="仿宋_GB2312" w:eastAsia="仿宋_GB2312"/>
          <w:sz w:val="32"/>
          <w:szCs w:val="32"/>
        </w:rPr>
        <w:t>。</w:t>
      </w:r>
      <w:r>
        <w:rPr>
          <w:rFonts w:ascii="仿宋_GB2312" w:eastAsia="仿宋_GB2312"/>
          <w:sz w:val="32"/>
          <w:szCs w:val="32"/>
        </w:rPr>
        <w:t xml:space="preserve"> </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pPr>
        <w:pStyle w:val="18"/>
        <w:spacing w:line="560" w:lineRule="exact"/>
        <w:ind w:firstLine="640" w:firstLineChars="200"/>
        <w:rPr>
          <w:rFonts w:ascii="仿宋_GB2312" w:eastAsia="仿宋_GB2312"/>
          <w:sz w:val="32"/>
          <w:szCs w:val="32"/>
        </w:rPr>
      </w:pPr>
      <w:r>
        <w:rPr>
          <w:rFonts w:ascii="仿宋_GB2312" w:eastAsia="仿宋_GB2312"/>
          <w:sz w:val="32"/>
          <w:szCs w:val="32"/>
        </w:rPr>
        <w:t>8</w:t>
      </w:r>
      <w:r>
        <w:rPr>
          <w:rFonts w:hint="eastAsia" w:ascii="仿宋_GB2312" w:eastAsia="仿宋_GB2312"/>
          <w:sz w:val="32"/>
          <w:szCs w:val="32"/>
        </w:rPr>
        <w:t>、年末结转和结余：指单位按有关规定结转到下年或以后年度继续使用的资金。</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9.</w:t>
      </w:r>
      <w:r>
        <w:rPr>
          <w:rFonts w:hint="eastAsia" w:ascii="仿宋_GB2312" w:eastAsia="仿宋_GB2312"/>
          <w:color w:val="000000"/>
          <w:sz w:val="32"/>
          <w:szCs w:val="32"/>
        </w:rPr>
        <w:t>一般公共服务（类）人力资源事务（款）行政运行（项）: 指</w:t>
      </w:r>
      <w:r>
        <w:rPr>
          <w:rFonts w:hint="eastAsia" w:ascii="仿宋_GB2312" w:eastAsia="仿宋_GB2312"/>
          <w:color w:val="000000"/>
          <w:sz w:val="32"/>
          <w:szCs w:val="32"/>
          <w:lang w:eastAsia="zh-CN"/>
        </w:rPr>
        <w:t>机关工作所需经费</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10.</w:t>
      </w:r>
      <w:r>
        <w:rPr>
          <w:rFonts w:hint="eastAsia" w:ascii="仿宋_GB2312" w:eastAsia="仿宋_GB2312"/>
          <w:color w:val="000000"/>
          <w:sz w:val="32"/>
          <w:szCs w:val="32"/>
        </w:rPr>
        <w:t>社会保障和就业（类）行政事业单位离退休（款）机关事业单位基本养老保险缴费支出（项）: 指</w:t>
      </w:r>
      <w:r>
        <w:rPr>
          <w:rFonts w:hint="eastAsia" w:ascii="仿宋_GB2312" w:eastAsia="仿宋_GB2312"/>
          <w:color w:val="000000"/>
          <w:sz w:val="32"/>
          <w:szCs w:val="32"/>
          <w:lang w:eastAsia="zh-CN"/>
        </w:rPr>
        <w:t>本门职工缴纳养老保险和职业年金费用</w:t>
      </w:r>
      <w:r>
        <w:rPr>
          <w:rFonts w:hint="eastAsia" w:ascii="仿宋_GB2312" w:eastAsia="仿宋_GB2312"/>
          <w:color w:val="000000"/>
          <w:sz w:val="32"/>
          <w:szCs w:val="32"/>
        </w:rPr>
        <w:t>。</w:t>
      </w:r>
    </w:p>
    <w:p>
      <w:pPr>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11.</w:t>
      </w:r>
      <w:r>
        <w:rPr>
          <w:rFonts w:hint="eastAsia" w:ascii="仿宋_GB2312" w:eastAsia="仿宋_GB2312"/>
          <w:color w:val="000000"/>
          <w:sz w:val="32"/>
          <w:szCs w:val="32"/>
        </w:rPr>
        <w:t>医疗卫生与计划生育（类）行政事业单位医疗（款） 行政单位医疗（项）：指反应行政单位医疗方面的支出。</w:t>
      </w:r>
    </w:p>
    <w:p>
      <w:pPr>
        <w:ind w:firstLine="640" w:firstLineChars="200"/>
        <w:rPr>
          <w:rFonts w:hint="eastAsia" w:ascii="仿宋_GB2312" w:eastAsia="仿宋_GB2312"/>
          <w:color w:val="000000"/>
          <w:sz w:val="32"/>
          <w:szCs w:val="32"/>
        </w:rPr>
      </w:pPr>
      <w:r>
        <w:rPr>
          <w:rFonts w:hint="eastAsia" w:ascii="仿宋_GB2312" w:eastAsia="仿宋_GB2312"/>
          <w:color w:val="000000"/>
          <w:sz w:val="32"/>
          <w:szCs w:val="32"/>
          <w:lang w:val="en-US" w:eastAsia="zh-CN"/>
        </w:rPr>
        <w:t>12.</w:t>
      </w:r>
      <w:r>
        <w:rPr>
          <w:rFonts w:hint="eastAsia" w:ascii="仿宋_GB2312" w:eastAsia="仿宋_GB2312"/>
          <w:color w:val="000000"/>
          <w:sz w:val="32"/>
          <w:szCs w:val="32"/>
        </w:rPr>
        <w:t>住房保障支出（类）住房改革支出（款）住房公积金（项）:指反映用于保障性住房方面的支出或反映行政事业单位按人力资源和社会保障部、财政部规定的基本工资和津贴补贴以及规定比例为职工缴纳的住房公积金。</w:t>
      </w:r>
    </w:p>
    <w:p>
      <w:pPr>
        <w:wordWrap/>
        <w:spacing w:line="52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13</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wordWrap/>
        <w:spacing w:line="520" w:lineRule="exact"/>
        <w:ind w:firstLine="640" w:firstLineChars="200"/>
        <w:textAlignment w:val="auto"/>
        <w:rPr>
          <w:rFonts w:ascii="仿宋_GB2312" w:eastAsia="仿宋_GB2312"/>
          <w:color w:val="000000"/>
          <w:sz w:val="32"/>
          <w:szCs w:val="32"/>
        </w:rPr>
      </w:pPr>
      <w:r>
        <w:rPr>
          <w:rFonts w:hint="eastAsia" w:ascii="仿宋_GB2312" w:eastAsia="仿宋_GB2312"/>
          <w:color w:val="000000"/>
          <w:sz w:val="32"/>
          <w:szCs w:val="32"/>
          <w:lang w:val="en-US" w:eastAsia="zh-CN"/>
        </w:rPr>
        <w:t>14</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18"/>
        <w:wordWrap/>
        <w:spacing w:line="520" w:lineRule="exact"/>
        <w:ind w:firstLine="640" w:firstLineChars="200"/>
        <w:textAlignment w:val="auto"/>
        <w:rPr>
          <w:rFonts w:ascii="仿宋_GB2312" w:eastAsia="仿宋_GB2312"/>
          <w:sz w:val="32"/>
          <w:szCs w:val="32"/>
        </w:rPr>
      </w:pPr>
      <w:r>
        <w:rPr>
          <w:rFonts w:hint="eastAsia" w:ascii="仿宋_GB2312" w:eastAsia="仿宋_GB2312"/>
          <w:sz w:val="32"/>
          <w:szCs w:val="32"/>
          <w:lang w:val="en-US" w:eastAsia="zh-CN"/>
        </w:rPr>
        <w:t>15</w:t>
      </w:r>
      <w:r>
        <w:rPr>
          <w:rFonts w:ascii="仿宋_GB2312" w:eastAsia="仿宋_GB2312"/>
          <w:sz w:val="32"/>
          <w:szCs w:val="32"/>
        </w:rPr>
        <w:t>.</w:t>
      </w:r>
      <w:r>
        <w:rPr>
          <w:rFonts w:hint="eastAsia" w:ascii="仿宋_GB2312" w:eastAsia="仿宋_GB2312"/>
          <w:sz w:val="32"/>
          <w:szCs w:val="32"/>
        </w:rPr>
        <w:t>“三公”经费：指部门用财政拨款安排的</w:t>
      </w:r>
      <w:r>
        <w:rPr>
          <w:rFonts w:hint="eastAsia" w:ascii="仿宋_GB2312" w:eastAsia="仿宋_GB2312"/>
          <w:sz w:val="32"/>
          <w:szCs w:val="32"/>
          <w:lang w:eastAsia="zh-CN"/>
        </w:rPr>
        <w:t>公</w:t>
      </w:r>
      <w:r>
        <w:rPr>
          <w:rFonts w:hint="eastAsia" w:ascii="仿宋_GB2312" w:eastAsia="仿宋_GB2312"/>
          <w:sz w:val="32"/>
          <w:szCs w:val="32"/>
        </w:rPr>
        <w:t>务用车购置及运行费和公务接待费。其中，公务用车购置及运行费反映单位公务用车车辆购置支出（含车辆购置税）及租用费、燃料费、维修费、过路过桥费、保险费等支出；公务接待费反映单位按规定开支的各类公务接待（含外宾接待）支出。</w:t>
      </w:r>
    </w:p>
    <w:p>
      <w:pPr>
        <w:pStyle w:val="18"/>
        <w:spacing w:line="560" w:lineRule="exact"/>
        <w:ind w:firstLine="640" w:firstLineChars="200"/>
        <w:rPr>
          <w:rFonts w:ascii="仿宋_GB2312" w:eastAsia="仿宋_GB2312" w:cs="黑体"/>
          <w:sz w:val="32"/>
          <w:szCs w:val="32"/>
        </w:rPr>
      </w:pPr>
      <w:r>
        <w:rPr>
          <w:rFonts w:hint="eastAsia" w:ascii="仿宋_GB2312" w:eastAsia="仿宋_GB2312"/>
          <w:sz w:val="32"/>
          <w:szCs w:val="32"/>
          <w:lang w:val="en-US" w:eastAsia="zh-CN"/>
        </w:rPr>
        <w:t>16</w:t>
      </w:r>
      <w:r>
        <w:rPr>
          <w:rFonts w:ascii="仿宋_GB2312" w:eastAsia="仿宋_GB2312"/>
          <w:sz w:val="32"/>
          <w:szCs w:val="32"/>
        </w:rPr>
        <w:t>.</w:t>
      </w:r>
      <w:r>
        <w:rPr>
          <w:rFonts w:hint="eastAsia" w:ascii="仿宋_GB2312" w:eastAsia="仿宋_GB2312"/>
          <w:sz w:val="32"/>
          <w:szCs w:val="32"/>
        </w:rPr>
        <w:t>机关运行经费：为保障行政单位运行用于购买货物和服务的各项资金，包括办公</w:t>
      </w:r>
      <w:r>
        <w:rPr>
          <w:rFonts w:hint="eastAsia" w:ascii="仿宋_GB2312" w:eastAsia="仿宋_GB2312"/>
          <w:sz w:val="32"/>
          <w:szCs w:val="32"/>
          <w:lang w:eastAsia="zh-CN"/>
        </w:rPr>
        <w:t>费、</w:t>
      </w:r>
      <w:r>
        <w:rPr>
          <w:rFonts w:hint="eastAsia" w:ascii="仿宋_GB2312" w:eastAsia="仿宋_GB2312"/>
          <w:sz w:val="32"/>
          <w:szCs w:val="32"/>
        </w:rPr>
        <w:t>印刷费、邮电费、差旅费、日常维修费、办公用房水电费、办公用房取暖费、公务用车运行维护费以及其他费用。</w:t>
      </w:r>
    </w:p>
    <w:p>
      <w:pPr>
        <w:spacing w:line="600" w:lineRule="exact"/>
        <w:jc w:val="center"/>
        <w:outlineLvl w:val="0"/>
        <w:rPr>
          <w:rStyle w:val="28"/>
          <w:rFonts w:ascii="黑体" w:hAnsi="黑体" w:eastAsia="黑体"/>
          <w:b w:val="0"/>
        </w:rPr>
      </w:pPr>
      <w:bookmarkStart w:id="96" w:name="_Toc15377226"/>
      <w:r>
        <w:rPr>
          <w:rFonts w:ascii="宋体"/>
          <w:b/>
          <w:color w:val="000000"/>
          <w:sz w:val="44"/>
          <w:szCs w:val="44"/>
        </w:rPr>
        <w:br w:type="page"/>
      </w:r>
      <w:bookmarkStart w:id="97" w:name="_Toc15396614"/>
      <w:bookmarkStart w:id="98" w:name="_Toc4604"/>
      <w:r>
        <w:rPr>
          <w:rFonts w:hint="eastAsia" w:ascii="黑体" w:hAnsi="黑体" w:eastAsia="黑体"/>
          <w:color w:val="000000"/>
          <w:sz w:val="44"/>
          <w:szCs w:val="44"/>
        </w:rPr>
        <w:t>第</w:t>
      </w:r>
      <w:r>
        <w:rPr>
          <w:rStyle w:val="28"/>
          <w:rFonts w:hint="eastAsia" w:ascii="黑体" w:hAnsi="黑体" w:eastAsia="黑体"/>
          <w:b w:val="0"/>
        </w:rPr>
        <w:t>四部分 附件</w:t>
      </w:r>
      <w:bookmarkEnd w:id="97"/>
      <w:bookmarkEnd w:id="98"/>
    </w:p>
    <w:p>
      <w:pPr>
        <w:spacing w:line="600" w:lineRule="exact"/>
        <w:jc w:val="left"/>
        <w:outlineLvl w:val="0"/>
        <w:rPr>
          <w:rFonts w:ascii="方正小标宋简体" w:hAnsi="方正小标宋简体" w:eastAsia="方正小标宋简体" w:cs="方正小标宋简体"/>
          <w:sz w:val="32"/>
          <w:szCs w:val="32"/>
        </w:rPr>
      </w:pPr>
      <w:bookmarkStart w:id="99" w:name="_Toc13784"/>
      <w:r>
        <w:rPr>
          <w:rFonts w:hint="eastAsia" w:ascii="黑体" w:hAnsi="黑体" w:eastAsia="黑体" w:cs="黑体"/>
          <w:sz w:val="32"/>
          <w:szCs w:val="32"/>
        </w:rPr>
        <w:t>附件1</w:t>
      </w:r>
      <w:bookmarkEnd w:id="99"/>
    </w:p>
    <w:p>
      <w:pPr>
        <w:spacing w:line="580" w:lineRule="exact"/>
        <w:jc w:val="center"/>
        <w:rPr>
          <w:rFonts w:ascii="方正小标宋简体" w:hAnsi="方正小标宋简体" w:eastAsia="方正小标宋简体" w:cs="方正小标宋简体"/>
          <w:sz w:val="44"/>
          <w:szCs w:val="44"/>
        </w:rPr>
      </w:pPr>
    </w:p>
    <w:p>
      <w:pPr>
        <w:spacing w:line="600" w:lineRule="exact"/>
        <w:jc w:val="center"/>
        <w:rPr>
          <w:rFonts w:ascii="方正小标宋简体" w:hAnsi="宋体" w:eastAsia="方正小标宋简体"/>
          <w:color w:val="000000"/>
          <w:w w:val="98"/>
          <w:kern w:val="0"/>
          <w:sz w:val="40"/>
          <w:szCs w:val="44"/>
          <w:lang w:val="zh-CN"/>
        </w:rPr>
      </w:pPr>
      <w:r>
        <w:rPr>
          <w:rFonts w:hint="eastAsia" w:ascii="方正小标宋简体" w:hAnsi="宋体" w:eastAsia="方正小标宋简体"/>
          <w:color w:val="000000"/>
          <w:w w:val="98"/>
          <w:kern w:val="0"/>
          <w:sz w:val="40"/>
          <w:szCs w:val="44"/>
          <w:lang w:eastAsia="zh-CN"/>
        </w:rPr>
        <w:t>县委编办</w:t>
      </w:r>
      <w:r>
        <w:rPr>
          <w:rFonts w:ascii="方正小标宋简体" w:hAnsi="宋体" w:eastAsia="方正小标宋简体"/>
          <w:color w:val="000000"/>
          <w:w w:val="98"/>
          <w:kern w:val="0"/>
          <w:sz w:val="40"/>
          <w:szCs w:val="44"/>
        </w:rPr>
        <w:t>2019年部门</w:t>
      </w:r>
      <w:r>
        <w:rPr>
          <w:rFonts w:hint="eastAsia" w:ascii="方正小标宋简体" w:hAnsi="宋体" w:eastAsia="方正小标宋简体"/>
          <w:color w:val="000000"/>
          <w:w w:val="98"/>
          <w:kern w:val="0"/>
          <w:sz w:val="40"/>
          <w:szCs w:val="44"/>
          <w:lang w:val="zh-CN"/>
        </w:rPr>
        <w:t>整体支出绩效评价报告</w:t>
      </w:r>
    </w:p>
    <w:p>
      <w:pPr>
        <w:widowControl/>
        <w:spacing w:line="580" w:lineRule="exact"/>
        <w:ind w:firstLine="640" w:firstLineChars="200"/>
        <w:contextualSpacing/>
        <w:jc w:val="center"/>
        <w:rPr>
          <w:rFonts w:ascii="仿宋_GB2312" w:hAnsi="宋体" w:eastAsia="仿宋_GB2312"/>
          <w:sz w:val="32"/>
          <w:szCs w:val="32"/>
          <w:shd w:val="clear" w:color="auto" w:fill="FFFFFF"/>
        </w:rPr>
      </w:pPr>
      <w:r>
        <w:rPr>
          <w:rFonts w:hint="eastAsia" w:ascii="仿宋_GB2312" w:hAnsi="宋体" w:eastAsia="仿宋_GB2312"/>
          <w:sz w:val="32"/>
          <w:szCs w:val="32"/>
          <w:shd w:val="clear" w:color="auto" w:fill="FFFFFF"/>
        </w:rPr>
        <w:t>（报告范围包括机关和下属单位）</w:t>
      </w:r>
    </w:p>
    <w:p>
      <w:pPr>
        <w:widowControl/>
        <w:adjustRightInd w:val="0"/>
        <w:snapToGrid w:val="0"/>
        <w:spacing w:line="580" w:lineRule="exact"/>
        <w:ind w:firstLine="480" w:firstLineChars="200"/>
        <w:contextualSpacing/>
        <w:jc w:val="left"/>
        <w:rPr>
          <w:rFonts w:ascii="黑体" w:hAnsi="宋体" w:eastAsia="黑体" w:cs="宋体"/>
          <w:color w:val="000000"/>
          <w:kern w:val="0"/>
          <w:sz w:val="24"/>
          <w:szCs w:val="32"/>
          <w:shd w:val="clear" w:color="auto" w:fill="FFFFFF"/>
        </w:rPr>
      </w:pP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lang w:val="zh-CN"/>
        </w:rPr>
      </w:pPr>
      <w:r>
        <w:rPr>
          <w:rFonts w:hint="eastAsia" w:ascii="黑体" w:hAnsi="宋体" w:eastAsia="黑体" w:cs="宋体"/>
          <w:color w:val="000000"/>
          <w:kern w:val="0"/>
          <w:sz w:val="32"/>
          <w:szCs w:val="32"/>
          <w:shd w:val="clear" w:color="auto" w:fill="FFFFFF"/>
        </w:rPr>
        <w:t>一、</w:t>
      </w:r>
      <w:r>
        <w:rPr>
          <w:rFonts w:hint="eastAsia" w:ascii="黑体" w:hAnsi="宋体" w:eastAsia="黑体" w:cs="宋体"/>
          <w:color w:val="000000"/>
          <w:kern w:val="0"/>
          <w:sz w:val="32"/>
          <w:szCs w:val="32"/>
          <w:shd w:val="clear" w:color="auto" w:fill="FFFFFF"/>
          <w:lang w:val="zh-CN"/>
        </w:rPr>
        <w:t>部门（单位）概况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（一）机构组成。</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仿宋_GB2312" w:eastAsia="仿宋_GB2312" w:cs="仿宋_GB2312"/>
          <w:color w:val="000000"/>
          <w:kern w:val="0"/>
          <w:sz w:val="32"/>
          <w:szCs w:val="24"/>
          <w:lang w:val="en-US" w:eastAsia="zh-CN"/>
        </w:rPr>
        <w:t>中共红原县委机构编制委员会办公室为县党委行政机构，下设事业单位登记管理局（参公事业单位）和电子政务中心（事业单位）。</w:t>
      </w:r>
    </w:p>
    <w:p>
      <w:pPr>
        <w:widowControl/>
        <w:numPr>
          <w:ilvl w:val="0"/>
          <w:numId w:val="7"/>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机构职能。</w:t>
      </w:r>
    </w:p>
    <w:p>
      <w:pPr>
        <w:widowControl/>
        <w:numPr>
          <w:ilvl w:val="0"/>
          <w:numId w:val="0"/>
        </w:numPr>
        <w:adjustRightInd w:val="0"/>
        <w:snapToGrid w:val="0"/>
        <w:spacing w:line="580" w:lineRule="exact"/>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 xml:space="preserve">     </w:t>
      </w:r>
      <w:r>
        <w:rPr>
          <w:rFonts w:hint="eastAsia" w:ascii="仿宋_GB2312" w:hAnsi="仿宋_GB2312" w:eastAsia="仿宋_GB2312" w:cs="仿宋_GB2312"/>
          <w:sz w:val="32"/>
          <w:szCs w:val="32"/>
        </w:rPr>
        <w:t>中共红原县委机构编制委员会办公室</w:t>
      </w:r>
      <w:r>
        <w:rPr>
          <w:rFonts w:hint="eastAsia" w:ascii="仿宋_GB2312" w:hAnsi="仿宋_GB2312" w:eastAsia="仿宋_GB2312" w:cs="仿宋_GB2312"/>
          <w:sz w:val="32"/>
          <w:szCs w:val="32"/>
          <w:lang w:eastAsia="zh-CN"/>
        </w:rPr>
        <w:t>负责全县各机关及事业单位的</w:t>
      </w:r>
      <w:r>
        <w:rPr>
          <w:rFonts w:hint="eastAsia" w:ascii="仿宋_GB2312" w:hAnsi="仿宋_GB2312" w:eastAsia="仿宋_GB2312" w:cs="仿宋_GB2312"/>
          <w:sz w:val="32"/>
          <w:szCs w:val="32"/>
          <w:lang w:val="en-US" w:eastAsia="zh-CN"/>
        </w:rPr>
        <w:t>机构编制</w:t>
      </w:r>
      <w:r>
        <w:rPr>
          <w:rFonts w:hint="eastAsia" w:ascii="仿宋_GB2312" w:hAnsi="仿宋_GB2312" w:eastAsia="仿宋_GB2312" w:cs="仿宋_GB2312"/>
          <w:sz w:val="32"/>
          <w:szCs w:val="32"/>
          <w:lang w:eastAsia="zh-CN"/>
        </w:rPr>
        <w:t>的管理工作，负责各单位机构设置、人员编制和领导职数的调整；审核工作机构的调整；分配下达各党政机关的编制总额；全县事业单位法人年度报告年度检验及编委会的日常工作。</w:t>
      </w:r>
    </w:p>
    <w:p>
      <w:pPr>
        <w:widowControl/>
        <w:numPr>
          <w:ilvl w:val="0"/>
          <w:numId w:val="7"/>
        </w:numPr>
        <w:adjustRightInd w:val="0"/>
        <w:snapToGrid w:val="0"/>
        <w:spacing w:line="580" w:lineRule="exact"/>
        <w:ind w:left="0" w:leftChars="0"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人员概况。</w:t>
      </w:r>
    </w:p>
    <w:p>
      <w:pPr>
        <w:widowControl/>
        <w:numPr>
          <w:ilvl w:val="0"/>
          <w:numId w:val="0"/>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仿宋" w:eastAsia="仿宋_GB2312"/>
          <w:sz w:val="32"/>
          <w:szCs w:val="32"/>
          <w:lang w:val="en-US" w:eastAsia="zh-CN"/>
        </w:rPr>
        <w:t>截止2019年底我单位共有编制14个，其中行政编制4个，行政工勤编制1个，事业编制9个(其中：参公编制6个)，在职14人，其中行政人员6人，行政工勤1人，参公4人，事业3人，退休2人。</w:t>
      </w:r>
    </w:p>
    <w:p>
      <w:pPr>
        <w:widowControl/>
        <w:adjustRightInd w:val="0"/>
        <w:snapToGrid w:val="0"/>
        <w:spacing w:line="580" w:lineRule="exact"/>
        <w:ind w:firstLine="640" w:firstLineChars="200"/>
        <w:contextualSpacing/>
        <w:jc w:val="left"/>
        <w:rPr>
          <w:rFonts w:ascii="黑体" w:hAnsi="宋体" w:eastAsia="黑体" w:cs="宋体"/>
          <w:color w:val="000000"/>
          <w:kern w:val="0"/>
          <w:sz w:val="32"/>
          <w:szCs w:val="32"/>
          <w:shd w:val="clear" w:color="auto" w:fill="FFFFFF"/>
        </w:rPr>
      </w:pPr>
      <w:r>
        <w:rPr>
          <w:rFonts w:hint="eastAsia" w:ascii="黑体" w:hAnsi="宋体" w:eastAsia="黑体" w:cs="宋体"/>
          <w:color w:val="000000"/>
          <w:kern w:val="0"/>
          <w:sz w:val="32"/>
          <w:szCs w:val="32"/>
          <w:shd w:val="clear" w:color="auto" w:fill="FFFFFF"/>
        </w:rPr>
        <w:t>二、部门财政资金收支情况</w:t>
      </w:r>
    </w:p>
    <w:p>
      <w:pPr>
        <w:widowControl/>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（一）部门财政资金收入情况。</w:t>
      </w:r>
    </w:p>
    <w:p>
      <w:pPr>
        <w:widowControl/>
        <w:adjustRightInd w:val="0"/>
        <w:snapToGrid w:val="0"/>
        <w:spacing w:line="580" w:lineRule="exact"/>
        <w:ind w:firstLine="640" w:firstLineChars="200"/>
        <w:contextualSpacing/>
        <w:jc w:val="left"/>
        <w:rPr>
          <w:rFonts w:hint="default" w:ascii="仿宋_GB2312" w:hAnsi="宋体" w:eastAsia="仿宋_GB2312" w:cs="宋体"/>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县委编办2019年度财政拨款收入250.70万元，其中人员经费224.64万元，日常公用经费16.14万元，项目支出9.92万元。</w:t>
      </w:r>
    </w:p>
    <w:p>
      <w:pPr>
        <w:widowControl/>
        <w:numPr>
          <w:ilvl w:val="0"/>
          <w:numId w:val="8"/>
        </w:numPr>
        <w:adjustRightInd w:val="0"/>
        <w:snapToGrid w:val="0"/>
        <w:spacing w:line="580" w:lineRule="exact"/>
        <w:ind w:firstLine="640" w:firstLineChars="200"/>
        <w:contextualSpacing/>
        <w:jc w:val="left"/>
        <w:rPr>
          <w:rFonts w:hint="eastAsia" w:ascii="仿宋_GB2312" w:hAnsi="宋体" w:eastAsia="仿宋_GB2312" w:cs="宋体"/>
          <w:color w:val="000000"/>
          <w:kern w:val="0"/>
          <w:sz w:val="32"/>
          <w:szCs w:val="32"/>
          <w:shd w:val="clear" w:color="auto" w:fill="FFFFFF"/>
          <w:lang w:val="zh-CN"/>
        </w:rPr>
      </w:pPr>
      <w:r>
        <w:rPr>
          <w:rFonts w:hint="eastAsia" w:ascii="仿宋_GB2312" w:hAnsi="宋体" w:eastAsia="仿宋_GB2312" w:cs="宋体"/>
          <w:color w:val="000000"/>
          <w:kern w:val="0"/>
          <w:sz w:val="32"/>
          <w:szCs w:val="32"/>
          <w:shd w:val="clear" w:color="auto" w:fill="FFFFFF"/>
          <w:lang w:val="zh-CN"/>
        </w:rPr>
        <w:t>部门财政资金支出情况。</w:t>
      </w:r>
    </w:p>
    <w:p>
      <w:pPr>
        <w:spacing w:line="600" w:lineRule="exact"/>
        <w:ind w:firstLine="640" w:firstLineChars="200"/>
        <w:rPr>
          <w:rFonts w:hint="default" w:ascii="仿宋_GB2312" w:hAnsi="宋体" w:eastAsia="仿宋_GB2312" w:cs="宋体"/>
          <w:b w:val="0"/>
          <w:bCs/>
          <w:color w:val="000000"/>
          <w:kern w:val="0"/>
          <w:sz w:val="32"/>
          <w:szCs w:val="32"/>
          <w:shd w:val="clear" w:color="auto" w:fill="FFFFFF"/>
          <w:lang w:val="en-US" w:eastAsia="zh-CN"/>
        </w:rPr>
      </w:pPr>
      <w:r>
        <w:rPr>
          <w:rFonts w:hint="eastAsia" w:ascii="仿宋_GB2312" w:hAnsi="宋体" w:eastAsia="仿宋_GB2312" w:cs="宋体"/>
          <w:color w:val="000000"/>
          <w:kern w:val="0"/>
          <w:sz w:val="32"/>
          <w:szCs w:val="32"/>
          <w:shd w:val="clear" w:color="auto" w:fill="FFFFFF"/>
          <w:lang w:val="en-US" w:eastAsia="zh-CN"/>
        </w:rPr>
        <w:t xml:space="preserve">县委编办 </w:t>
      </w:r>
      <w:r>
        <w:rPr>
          <w:rFonts w:ascii="仿宋" w:hAnsi="仿宋" w:eastAsia="仿宋"/>
          <w:color w:val="000000"/>
          <w:sz w:val="32"/>
          <w:szCs w:val="32"/>
        </w:rPr>
        <w:t>201</w:t>
      </w:r>
      <w:r>
        <w:rPr>
          <w:rFonts w:hint="eastAsia" w:ascii="仿宋" w:hAnsi="仿宋" w:eastAsia="仿宋"/>
          <w:color w:val="000000"/>
          <w:sz w:val="32"/>
          <w:szCs w:val="32"/>
        </w:rPr>
        <w:t>9年一般公共预算财政拨款支出</w:t>
      </w:r>
      <w:r>
        <w:rPr>
          <w:rFonts w:hint="eastAsia" w:ascii="仿宋" w:hAnsi="仿宋" w:eastAsia="仿宋"/>
          <w:color w:val="000000"/>
          <w:sz w:val="32"/>
          <w:szCs w:val="32"/>
          <w:lang w:val="en-US" w:eastAsia="zh-CN"/>
        </w:rPr>
        <w:t>250.7</w:t>
      </w:r>
      <w:r>
        <w:rPr>
          <w:rFonts w:hint="eastAsia" w:ascii="仿宋" w:hAnsi="仿宋" w:eastAsia="仿宋"/>
          <w:color w:val="000000"/>
          <w:sz w:val="32"/>
          <w:szCs w:val="32"/>
        </w:rPr>
        <w:t>万元，主要用于以下方面</w:t>
      </w:r>
      <w:r>
        <w:rPr>
          <w:rFonts w:ascii="仿宋" w:hAnsi="仿宋" w:eastAsia="仿宋"/>
          <w:color w:val="000000"/>
          <w:sz w:val="32"/>
          <w:szCs w:val="32"/>
        </w:rPr>
        <w:t>:</w:t>
      </w:r>
      <w:r>
        <w:rPr>
          <w:rFonts w:hint="eastAsia" w:ascii="仿宋" w:hAnsi="仿宋" w:eastAsia="仿宋"/>
          <w:b w:val="0"/>
          <w:bCs/>
          <w:color w:val="000000"/>
          <w:sz w:val="32"/>
          <w:szCs w:val="32"/>
        </w:rPr>
        <w:t>一般公共服务（类）支出</w:t>
      </w:r>
      <w:r>
        <w:rPr>
          <w:rFonts w:hint="eastAsia" w:ascii="仿宋" w:hAnsi="仿宋" w:eastAsia="仿宋"/>
          <w:b w:val="0"/>
          <w:bCs/>
          <w:color w:val="000000"/>
          <w:sz w:val="32"/>
          <w:szCs w:val="32"/>
          <w:lang w:val="en-US" w:eastAsia="zh-CN"/>
        </w:rPr>
        <w:t>185.88</w:t>
      </w:r>
      <w:r>
        <w:rPr>
          <w:rFonts w:hint="eastAsia" w:ascii="仿宋" w:hAnsi="仿宋" w:eastAsia="仿宋"/>
          <w:b w:val="0"/>
          <w:bCs/>
          <w:color w:val="000000"/>
          <w:sz w:val="32"/>
          <w:szCs w:val="32"/>
        </w:rPr>
        <w:t>万元，占</w:t>
      </w:r>
      <w:r>
        <w:rPr>
          <w:rFonts w:hint="eastAsia" w:ascii="仿宋" w:hAnsi="仿宋" w:eastAsia="仿宋"/>
          <w:b w:val="0"/>
          <w:bCs/>
          <w:color w:val="000000"/>
          <w:sz w:val="32"/>
          <w:szCs w:val="32"/>
          <w:lang w:val="en-US" w:eastAsia="zh-CN"/>
        </w:rPr>
        <w:t>74</w:t>
      </w:r>
      <w:r>
        <w:rPr>
          <w:rFonts w:ascii="仿宋" w:hAnsi="仿宋" w:eastAsia="仿宋"/>
          <w:b w:val="0"/>
          <w:bCs/>
          <w:color w:val="000000"/>
          <w:sz w:val="32"/>
          <w:szCs w:val="32"/>
        </w:rPr>
        <w:t>%</w:t>
      </w:r>
      <w:r>
        <w:rPr>
          <w:rFonts w:hint="eastAsia" w:ascii="仿宋" w:hAnsi="仿宋" w:eastAsia="仿宋"/>
          <w:b w:val="0"/>
          <w:bCs/>
          <w:color w:val="000000"/>
          <w:sz w:val="32"/>
          <w:szCs w:val="32"/>
        </w:rPr>
        <w:t>；社会保障和就业（类）支出</w:t>
      </w:r>
      <w:r>
        <w:rPr>
          <w:rFonts w:hint="eastAsia" w:ascii="仿宋" w:hAnsi="仿宋" w:eastAsia="仿宋"/>
          <w:b w:val="0"/>
          <w:bCs/>
          <w:color w:val="000000"/>
          <w:sz w:val="32"/>
          <w:szCs w:val="32"/>
          <w:lang w:val="en-US" w:eastAsia="zh-CN"/>
        </w:rPr>
        <w:t>32.55</w:t>
      </w:r>
      <w:r>
        <w:rPr>
          <w:rFonts w:hint="eastAsia" w:ascii="仿宋" w:hAnsi="仿宋" w:eastAsia="仿宋"/>
          <w:b w:val="0"/>
          <w:bCs/>
          <w:color w:val="000000"/>
          <w:sz w:val="32"/>
          <w:szCs w:val="32"/>
        </w:rPr>
        <w:t>万元，占</w:t>
      </w:r>
      <w:r>
        <w:rPr>
          <w:rFonts w:hint="eastAsia" w:ascii="仿宋" w:hAnsi="仿宋" w:eastAsia="仿宋"/>
          <w:b w:val="0"/>
          <w:bCs/>
          <w:color w:val="000000"/>
          <w:sz w:val="32"/>
          <w:szCs w:val="32"/>
          <w:lang w:val="en-US" w:eastAsia="zh-CN"/>
        </w:rPr>
        <w:t>13</w:t>
      </w:r>
      <w:r>
        <w:rPr>
          <w:rFonts w:ascii="仿宋" w:hAnsi="仿宋" w:eastAsia="仿宋"/>
          <w:b w:val="0"/>
          <w:bCs/>
          <w:color w:val="000000"/>
          <w:sz w:val="32"/>
          <w:szCs w:val="32"/>
        </w:rPr>
        <w:t>%</w:t>
      </w:r>
      <w:r>
        <w:rPr>
          <w:rFonts w:hint="eastAsia" w:ascii="仿宋" w:hAnsi="仿宋" w:eastAsia="仿宋"/>
          <w:b w:val="0"/>
          <w:bCs/>
          <w:color w:val="000000"/>
          <w:sz w:val="32"/>
          <w:szCs w:val="32"/>
        </w:rPr>
        <w:t>；卫生健康支出</w:t>
      </w:r>
      <w:r>
        <w:rPr>
          <w:rFonts w:hint="eastAsia" w:ascii="仿宋" w:hAnsi="仿宋" w:eastAsia="仿宋"/>
          <w:b w:val="0"/>
          <w:bCs/>
          <w:color w:val="000000"/>
          <w:sz w:val="32"/>
          <w:szCs w:val="32"/>
          <w:lang w:val="en-US" w:eastAsia="zh-CN"/>
        </w:rPr>
        <w:t>13.41</w:t>
      </w:r>
      <w:r>
        <w:rPr>
          <w:rFonts w:hint="eastAsia" w:ascii="仿宋" w:hAnsi="仿宋" w:eastAsia="仿宋"/>
          <w:b w:val="0"/>
          <w:bCs/>
          <w:color w:val="000000"/>
          <w:sz w:val="32"/>
          <w:szCs w:val="32"/>
        </w:rPr>
        <w:t>万元，占</w:t>
      </w:r>
      <w:r>
        <w:rPr>
          <w:rFonts w:hint="eastAsia" w:ascii="仿宋" w:hAnsi="仿宋" w:eastAsia="仿宋"/>
          <w:b w:val="0"/>
          <w:bCs/>
          <w:color w:val="000000"/>
          <w:sz w:val="32"/>
          <w:szCs w:val="32"/>
          <w:lang w:val="en-US" w:eastAsia="zh-CN"/>
        </w:rPr>
        <w:t>5</w:t>
      </w:r>
      <w:r>
        <w:rPr>
          <w:rFonts w:ascii="仿宋" w:hAnsi="仿宋" w:eastAsia="仿宋"/>
          <w:b w:val="0"/>
          <w:bCs/>
          <w:color w:val="000000"/>
          <w:sz w:val="32"/>
          <w:szCs w:val="32"/>
        </w:rPr>
        <w:t>%</w:t>
      </w:r>
      <w:r>
        <w:rPr>
          <w:rFonts w:hint="eastAsia" w:ascii="仿宋" w:hAnsi="仿宋" w:eastAsia="仿宋"/>
          <w:b w:val="0"/>
          <w:bCs/>
          <w:color w:val="000000"/>
          <w:sz w:val="32"/>
          <w:szCs w:val="32"/>
        </w:rPr>
        <w:t>；住房保障支出</w:t>
      </w:r>
      <w:r>
        <w:rPr>
          <w:rFonts w:hint="eastAsia" w:ascii="仿宋" w:hAnsi="仿宋" w:eastAsia="仿宋"/>
          <w:b w:val="0"/>
          <w:bCs/>
          <w:color w:val="000000"/>
          <w:sz w:val="32"/>
          <w:szCs w:val="32"/>
          <w:lang w:val="en-US" w:eastAsia="zh-CN"/>
        </w:rPr>
        <w:t>18.87</w:t>
      </w:r>
      <w:r>
        <w:rPr>
          <w:rFonts w:hint="eastAsia" w:ascii="仿宋" w:hAnsi="仿宋" w:eastAsia="仿宋"/>
          <w:b w:val="0"/>
          <w:bCs/>
          <w:color w:val="000000"/>
          <w:sz w:val="32"/>
          <w:szCs w:val="32"/>
        </w:rPr>
        <w:t>万元，占</w:t>
      </w:r>
      <w:r>
        <w:rPr>
          <w:rFonts w:hint="eastAsia" w:ascii="仿宋" w:hAnsi="仿宋" w:eastAsia="仿宋"/>
          <w:b w:val="0"/>
          <w:bCs/>
          <w:color w:val="000000"/>
          <w:sz w:val="32"/>
          <w:szCs w:val="32"/>
          <w:lang w:val="en-US" w:eastAsia="zh-CN"/>
        </w:rPr>
        <w:t>8</w:t>
      </w:r>
      <w:r>
        <w:rPr>
          <w:rFonts w:ascii="仿宋" w:hAnsi="仿宋" w:eastAsia="仿宋"/>
          <w:b w:val="0"/>
          <w:bCs/>
          <w:color w:val="000000"/>
          <w:sz w:val="32"/>
          <w:szCs w:val="32"/>
        </w:rPr>
        <w:t>%</w:t>
      </w:r>
      <w:r>
        <w:rPr>
          <w:rFonts w:hint="eastAsia" w:ascii="仿宋" w:hAnsi="仿宋" w:eastAsia="仿宋"/>
          <w:b w:val="0"/>
          <w:bCs/>
          <w:color w:val="000000"/>
          <w:sz w:val="32"/>
          <w:szCs w:val="32"/>
          <w:lang w:eastAsia="zh-CN"/>
        </w:rPr>
        <w:t>。</w:t>
      </w:r>
    </w:p>
    <w:p>
      <w:pPr>
        <w:widowControl/>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rPr>
        <w:t>三、部门财政支出管理情况</w:t>
      </w:r>
    </w:p>
    <w:p>
      <w:pPr>
        <w:widowControl/>
        <w:numPr>
          <w:ilvl w:val="0"/>
          <w:numId w:val="0"/>
        </w:numPr>
        <w:adjustRightInd w:val="0"/>
        <w:snapToGrid w:val="0"/>
        <w:spacing w:line="580" w:lineRule="exact"/>
        <w:ind w:firstLine="640" w:firstLineChars="200"/>
        <w:contextualSpacing/>
        <w:jc w:val="left"/>
        <w:rPr>
          <w:rFonts w:hint="eastAsia" w:ascii="仿宋_GB2312" w:hAnsi="仿宋" w:eastAsia="仿宋_GB2312" w:cs="Times New Roman"/>
          <w:sz w:val="32"/>
          <w:szCs w:val="32"/>
          <w:lang w:val="zh-CN" w:eastAsia="zh-CN"/>
        </w:rPr>
      </w:pPr>
      <w:r>
        <w:rPr>
          <w:rFonts w:hint="eastAsia" w:ascii="仿宋_GB2312" w:hAnsi="仿宋" w:eastAsia="仿宋_GB2312" w:cs="Times New Roman"/>
          <w:sz w:val="32"/>
          <w:szCs w:val="32"/>
          <w:lang w:val="zh-CN" w:eastAsia="zh-CN"/>
        </w:rPr>
        <w:t>（一）预算编制情况。</w:t>
      </w:r>
    </w:p>
    <w:p>
      <w:pPr>
        <w:widowControl/>
        <w:numPr>
          <w:ilvl w:val="0"/>
          <w:numId w:val="0"/>
        </w:numPr>
        <w:adjustRightInd w:val="0"/>
        <w:snapToGrid w:val="0"/>
        <w:spacing w:line="580" w:lineRule="exact"/>
        <w:ind w:firstLine="640" w:firstLineChars="200"/>
        <w:contextualSpacing/>
        <w:jc w:val="left"/>
        <w:rPr>
          <w:rFonts w:hint="eastAsia" w:ascii="仿宋_GB2312" w:hAnsi="仿宋" w:eastAsia="仿宋_GB2312" w:cs="Times New Roman"/>
          <w:sz w:val="32"/>
          <w:szCs w:val="32"/>
          <w:lang w:val="en-US" w:eastAsia="zh-CN"/>
        </w:rPr>
      </w:pPr>
      <w:r>
        <w:rPr>
          <w:rFonts w:hint="eastAsia" w:ascii="仿宋_GB2312" w:hAnsi="仿宋" w:eastAsia="仿宋_GB2312" w:cs="Times New Roman"/>
          <w:sz w:val="32"/>
          <w:szCs w:val="32"/>
          <w:lang w:val="en-US" w:eastAsia="zh-CN"/>
        </w:rPr>
        <w:t xml:space="preserve">县委编办严格按照《预算法》及相关财经法规和政策编制本年度预算，严格控制编报质量，保证所有资金合法合规，严格按照相关规定进行预算编制，中央转移支付资金按照文件要求下达，专项转移支付严格根据分地区分项目进行编制。   </w:t>
      </w:r>
    </w:p>
    <w:p>
      <w:pPr>
        <w:widowControl/>
        <w:numPr>
          <w:ilvl w:val="0"/>
          <w:numId w:val="0"/>
        </w:numPr>
        <w:adjustRightInd w:val="0"/>
        <w:snapToGrid w:val="0"/>
        <w:spacing w:line="580" w:lineRule="exact"/>
        <w:ind w:firstLine="640" w:firstLineChars="200"/>
        <w:contextualSpacing/>
        <w:jc w:val="left"/>
        <w:rPr>
          <w:rFonts w:hint="eastAsia" w:ascii="仿宋_GB2312" w:hAnsi="仿宋" w:eastAsia="仿宋_GB2312" w:cs="Times New Roman"/>
          <w:sz w:val="32"/>
          <w:szCs w:val="32"/>
          <w:lang w:val="zh-CN" w:eastAsia="zh-CN"/>
        </w:rPr>
      </w:pPr>
      <w:r>
        <w:rPr>
          <w:rFonts w:hint="eastAsia" w:ascii="仿宋_GB2312" w:hAnsi="仿宋" w:eastAsia="仿宋_GB2312" w:cs="Times New Roman"/>
          <w:sz w:val="32"/>
          <w:szCs w:val="32"/>
          <w:lang w:val="zh-CN" w:eastAsia="zh-CN"/>
        </w:rPr>
        <w:t>（二）执行管理情况。</w:t>
      </w:r>
      <w:r>
        <w:rPr>
          <w:rFonts w:hint="eastAsia" w:ascii="仿宋_GB2312" w:hAnsi="仿宋" w:eastAsia="仿宋_GB2312" w:cs="Times New Roman"/>
          <w:sz w:val="32"/>
          <w:szCs w:val="32"/>
          <w:lang w:val="zh-CN" w:eastAsia="zh-CN"/>
        </w:rPr>
        <w:tab/>
      </w:r>
    </w:p>
    <w:p>
      <w:pPr>
        <w:widowControl/>
        <w:numPr>
          <w:ilvl w:val="0"/>
          <w:numId w:val="0"/>
        </w:numPr>
        <w:adjustRightInd w:val="0"/>
        <w:snapToGrid w:val="0"/>
        <w:spacing w:line="580" w:lineRule="exact"/>
        <w:ind w:firstLine="640" w:firstLineChars="200"/>
        <w:contextualSpacing/>
        <w:jc w:val="left"/>
        <w:rPr>
          <w:rFonts w:hint="eastAsia" w:ascii="仿宋_GB2312" w:hAnsi="仿宋" w:eastAsia="仿宋_GB2312" w:cs="Times New Roman"/>
          <w:sz w:val="32"/>
          <w:szCs w:val="32"/>
          <w:lang w:val="zh-CN" w:eastAsia="zh-CN"/>
        </w:rPr>
      </w:pPr>
      <w:r>
        <w:rPr>
          <w:rFonts w:hint="eastAsia" w:ascii="仿宋_GB2312" w:hAnsi="仿宋" w:eastAsia="仿宋_GB2312" w:cs="Times New Roman"/>
          <w:sz w:val="32"/>
          <w:szCs w:val="32"/>
          <w:lang w:val="en-US" w:eastAsia="zh-CN"/>
        </w:rPr>
        <w:t>县委编办预算分配严格按照相关规定执行，部门预算执行进度如期完成，并且严格按照预算管理进行支付，严格把控水电费以做到节能降耗，“三公”经费严格按照年初预算执行，并做到有效缩减。</w:t>
      </w:r>
    </w:p>
    <w:p>
      <w:pPr>
        <w:widowControl/>
        <w:numPr>
          <w:ilvl w:val="0"/>
          <w:numId w:val="0"/>
        </w:numPr>
        <w:adjustRightInd w:val="0"/>
        <w:snapToGrid w:val="0"/>
        <w:spacing w:line="580" w:lineRule="exact"/>
        <w:ind w:firstLine="640" w:firstLineChars="200"/>
        <w:contextualSpacing/>
        <w:jc w:val="left"/>
        <w:rPr>
          <w:rFonts w:hint="eastAsia" w:ascii="仿宋_GB2312" w:hAnsi="仿宋" w:eastAsia="仿宋_GB2312" w:cs="Times New Roman"/>
          <w:sz w:val="32"/>
          <w:szCs w:val="32"/>
          <w:lang w:val="zh-CN" w:eastAsia="zh-CN"/>
        </w:rPr>
      </w:pPr>
      <w:r>
        <w:rPr>
          <w:rFonts w:hint="eastAsia" w:ascii="仿宋_GB2312" w:hAnsi="仿宋" w:eastAsia="仿宋_GB2312" w:cs="Times New Roman"/>
          <w:sz w:val="32"/>
          <w:szCs w:val="32"/>
          <w:lang w:val="zh-CN" w:eastAsia="zh-CN"/>
        </w:rPr>
        <w:t>（三）综合管理情况。</w:t>
      </w:r>
    </w:p>
    <w:p>
      <w:pPr>
        <w:widowControl/>
        <w:numPr>
          <w:ilvl w:val="0"/>
          <w:numId w:val="0"/>
        </w:numPr>
        <w:adjustRightInd w:val="0"/>
        <w:snapToGrid w:val="0"/>
        <w:spacing w:line="580" w:lineRule="exact"/>
        <w:ind w:firstLine="640" w:firstLineChars="200"/>
        <w:contextualSpacing/>
        <w:jc w:val="left"/>
        <w:rPr>
          <w:rFonts w:hint="eastAsia" w:ascii="仿宋_GB2312" w:hAnsi="仿宋" w:eastAsia="仿宋_GB2312" w:cs="Times New Roman"/>
          <w:sz w:val="32"/>
          <w:szCs w:val="32"/>
          <w:lang w:val="zh-CN" w:eastAsia="zh-CN"/>
        </w:rPr>
      </w:pPr>
      <w:r>
        <w:rPr>
          <w:rFonts w:hint="eastAsia" w:ascii="仿宋_GB2312" w:hAnsi="仿宋" w:eastAsia="仿宋_GB2312" w:cs="Times New Roman"/>
          <w:sz w:val="32"/>
          <w:szCs w:val="32"/>
          <w:lang w:val="zh-CN" w:eastAsia="zh-CN"/>
        </w:rPr>
        <w:t>县委编办按照岗位职责，严格执行机关财务管理制度，及时进行会计核算，严格控制支出；建立健全内部控制制度，资产管理制度，信息公开制度。在执行中新增资产严格按要求实施政府采购，并纳入国有资产管理信息系统。对预算、决算在规定时间和规定的网站进行公开，接受社会监督。</w:t>
      </w:r>
    </w:p>
    <w:p>
      <w:pPr>
        <w:widowControl/>
        <w:numPr>
          <w:ilvl w:val="0"/>
          <w:numId w:val="0"/>
        </w:numPr>
        <w:adjustRightInd w:val="0"/>
        <w:snapToGrid w:val="0"/>
        <w:spacing w:line="580" w:lineRule="exact"/>
        <w:ind w:firstLine="640" w:firstLineChars="200"/>
        <w:contextualSpacing/>
        <w:jc w:val="left"/>
        <w:rPr>
          <w:rFonts w:hint="eastAsia" w:ascii="仿宋_GB2312" w:hAnsi="仿宋" w:eastAsia="仿宋_GB2312" w:cs="Times New Roman"/>
          <w:sz w:val="32"/>
          <w:szCs w:val="32"/>
          <w:lang w:val="zh-CN" w:eastAsia="zh-CN"/>
        </w:rPr>
      </w:pPr>
      <w:r>
        <w:rPr>
          <w:rFonts w:hint="eastAsia" w:ascii="仿宋_GB2312" w:hAnsi="仿宋" w:eastAsia="仿宋_GB2312" w:cs="Times New Roman"/>
          <w:sz w:val="32"/>
          <w:szCs w:val="32"/>
          <w:lang w:val="zh-CN" w:eastAsia="zh-CN"/>
        </w:rPr>
        <w:t>（四）整体绩效。</w:t>
      </w:r>
    </w:p>
    <w:p>
      <w:pPr>
        <w:widowControl/>
        <w:numPr>
          <w:ilvl w:val="0"/>
          <w:numId w:val="0"/>
        </w:numPr>
        <w:adjustRightInd w:val="0"/>
        <w:snapToGrid w:val="0"/>
        <w:spacing w:line="580" w:lineRule="exact"/>
        <w:ind w:firstLine="640" w:firstLineChars="200"/>
        <w:contextualSpacing/>
        <w:jc w:val="left"/>
        <w:rPr>
          <w:rFonts w:hint="eastAsia" w:ascii="仿宋_GB2312" w:hAnsi="仿宋" w:eastAsia="仿宋_GB2312" w:cs="Times New Roman"/>
          <w:sz w:val="32"/>
          <w:szCs w:val="32"/>
          <w:lang w:val="zh-CN" w:eastAsia="zh-CN"/>
        </w:rPr>
      </w:pPr>
      <w:r>
        <w:rPr>
          <w:rFonts w:hint="eastAsia" w:ascii="仿宋_GB2312" w:hAnsi="仿宋" w:eastAsia="仿宋_GB2312" w:cs="Times New Roman"/>
          <w:sz w:val="32"/>
          <w:szCs w:val="32"/>
          <w:lang w:val="zh-CN" w:eastAsia="zh-CN"/>
        </w:rPr>
        <w:t>我单位财政拨款支出主要用于保障部门机构正常运转、完成日常工作任务。包括基本工资、津贴补贴等人员经费以及办公费、印刷费、水电费、办公设备购置等日常公用经费。按照年初预算，合理使用经费，厉行节约，确保机关正常运转。</w:t>
      </w:r>
    </w:p>
    <w:p>
      <w:pPr>
        <w:widowControl/>
        <w:adjustRightInd w:val="0"/>
        <w:snapToGrid w:val="0"/>
        <w:spacing w:before="0" w:beforeAutospacing="0" w:after="0" w:afterAutospacing="0" w:line="480" w:lineRule="exact"/>
        <w:ind w:left="0" w:right="0" w:firstLine="720"/>
        <w:jc w:val="left"/>
        <w:rPr>
          <w:rFonts w:hint="eastAsia" w:ascii="黑体" w:hAnsi="宋体" w:eastAsia="黑体" w:cs="宋体"/>
          <w:color w:val="000000"/>
          <w:kern w:val="0"/>
          <w:lang w:val="en-US"/>
        </w:rPr>
      </w:pPr>
      <w:r>
        <w:rPr>
          <w:rFonts w:hint="eastAsia" w:ascii="黑体" w:hAnsi="宋体" w:eastAsia="黑体" w:cs="宋体"/>
          <w:color w:val="000000"/>
          <w:kern w:val="0"/>
          <w:sz w:val="32"/>
          <w:szCs w:val="24"/>
          <w:lang w:val="en-US" w:eastAsia="zh-CN"/>
        </w:rPr>
        <w:t>四、评价结论及建议</w:t>
      </w:r>
    </w:p>
    <w:p>
      <w:pPr>
        <w:widowControl/>
        <w:numPr>
          <w:ilvl w:val="0"/>
          <w:numId w:val="9"/>
        </w:numPr>
        <w:adjustRightInd w:val="0"/>
        <w:snapToGrid w:val="0"/>
        <w:spacing w:before="0" w:beforeAutospacing="0" w:after="0" w:afterAutospacing="0" w:line="480" w:lineRule="exact"/>
        <w:ind w:left="0" w:right="0" w:firstLine="720"/>
        <w:jc w:val="left"/>
        <w:rPr>
          <w:rFonts w:hint="eastAsia" w:ascii="仿宋_GB2312" w:hAnsi="宋体" w:eastAsia="仿宋_GB2312" w:cs="宋体"/>
          <w:color w:val="000000"/>
          <w:kern w:val="0"/>
          <w:sz w:val="32"/>
          <w:szCs w:val="24"/>
          <w:lang w:val="zh-CN" w:eastAsia="zh-CN"/>
        </w:rPr>
      </w:pPr>
      <w:r>
        <w:rPr>
          <w:rFonts w:hint="eastAsia" w:ascii="仿宋_GB2312" w:hAnsi="宋体" w:eastAsia="仿宋_GB2312" w:cs="宋体"/>
          <w:color w:val="000000"/>
          <w:kern w:val="0"/>
          <w:sz w:val="32"/>
          <w:szCs w:val="24"/>
          <w:lang w:val="zh-CN" w:eastAsia="zh-CN"/>
        </w:rPr>
        <w:t>评价结论。</w:t>
      </w:r>
    </w:p>
    <w:p>
      <w:pPr>
        <w:widowControl/>
        <w:numPr>
          <w:ilvl w:val="0"/>
          <w:numId w:val="0"/>
        </w:numPr>
        <w:adjustRightInd w:val="0"/>
        <w:snapToGrid w:val="0"/>
        <w:spacing w:before="0" w:beforeAutospacing="0" w:after="0" w:afterAutospacing="0" w:line="480" w:lineRule="exact"/>
        <w:ind w:right="0"/>
        <w:jc w:val="left"/>
        <w:rPr>
          <w:rFonts w:hint="default" w:ascii="仿宋_GB2312" w:hAnsi="宋体" w:eastAsia="仿宋_GB2312" w:cs="宋体"/>
          <w:color w:val="000000"/>
          <w:kern w:val="0"/>
          <w:sz w:val="32"/>
          <w:szCs w:val="24"/>
          <w:lang w:val="en-US" w:eastAsia="zh-CN"/>
        </w:rPr>
      </w:pPr>
      <w:r>
        <w:rPr>
          <w:rFonts w:hint="eastAsia" w:ascii="仿宋_GB2312" w:hAnsi="宋体" w:eastAsia="仿宋_GB2312" w:cs="宋体"/>
          <w:color w:val="000000"/>
          <w:kern w:val="0"/>
          <w:sz w:val="32"/>
          <w:szCs w:val="24"/>
          <w:lang w:val="en-US" w:eastAsia="zh-CN"/>
        </w:rPr>
        <w:t xml:space="preserve">    根据《2019年红原县部门支出绩效评价指标体系》，编办自查评价结果为“好”。</w:t>
      </w:r>
    </w:p>
    <w:p>
      <w:pPr>
        <w:widowControl/>
        <w:numPr>
          <w:ilvl w:val="0"/>
          <w:numId w:val="9"/>
        </w:numPr>
        <w:adjustRightInd w:val="0"/>
        <w:snapToGrid w:val="0"/>
        <w:spacing w:before="0" w:beforeAutospacing="0" w:after="0" w:afterAutospacing="0" w:line="480" w:lineRule="exact"/>
        <w:ind w:left="0" w:leftChars="0" w:right="0" w:firstLine="720" w:firstLineChars="0"/>
        <w:jc w:val="left"/>
        <w:rPr>
          <w:rFonts w:hint="eastAsia" w:ascii="仿宋_GB2312" w:hAnsi="宋体" w:eastAsia="仿宋_GB2312" w:cs="宋体"/>
          <w:color w:val="000000"/>
          <w:kern w:val="0"/>
          <w:sz w:val="32"/>
          <w:szCs w:val="24"/>
          <w:lang w:val="zh-CN" w:eastAsia="zh-CN"/>
        </w:rPr>
      </w:pPr>
      <w:r>
        <w:rPr>
          <w:rFonts w:hint="eastAsia" w:ascii="仿宋_GB2312" w:hAnsi="宋体" w:eastAsia="仿宋_GB2312" w:cs="宋体"/>
          <w:color w:val="000000"/>
          <w:kern w:val="0"/>
          <w:sz w:val="32"/>
          <w:szCs w:val="24"/>
          <w:lang w:val="zh-CN" w:eastAsia="zh-CN"/>
        </w:rPr>
        <w:t>存在问题。</w:t>
      </w:r>
    </w:p>
    <w:p>
      <w:pPr>
        <w:widowControl/>
        <w:numPr>
          <w:ilvl w:val="0"/>
          <w:numId w:val="0"/>
        </w:numPr>
        <w:adjustRightInd w:val="0"/>
        <w:snapToGrid w:val="0"/>
        <w:spacing w:before="0" w:beforeAutospacing="0" w:after="0" w:afterAutospacing="0" w:line="480" w:lineRule="exact"/>
        <w:ind w:right="0" w:firstLine="640" w:firstLineChars="200"/>
        <w:jc w:val="both"/>
        <w:rPr>
          <w:rFonts w:hint="eastAsia" w:ascii="仿宋_GB2312" w:hAnsi="宋体" w:eastAsia="仿宋_GB2312" w:cs="宋体"/>
          <w:color w:val="000000"/>
          <w:kern w:val="0"/>
          <w:sz w:val="32"/>
          <w:szCs w:val="24"/>
          <w:lang w:val="en-US" w:eastAsia="zh-CN"/>
        </w:rPr>
      </w:pPr>
      <w:r>
        <w:rPr>
          <w:rFonts w:hint="eastAsia" w:ascii="仿宋_GB2312" w:hAnsi="宋体" w:eastAsia="仿宋_GB2312" w:cs="宋体"/>
          <w:color w:val="000000"/>
          <w:kern w:val="0"/>
          <w:sz w:val="32"/>
          <w:szCs w:val="24"/>
          <w:lang w:val="en-US" w:eastAsia="zh-CN"/>
        </w:rPr>
        <w:t>1.由于实际工作需要，导致预算经费科目与实际支出科目存在差异。</w:t>
      </w:r>
    </w:p>
    <w:p>
      <w:pPr>
        <w:widowControl/>
        <w:numPr>
          <w:ilvl w:val="0"/>
          <w:numId w:val="0"/>
        </w:numPr>
        <w:adjustRightInd w:val="0"/>
        <w:snapToGrid w:val="0"/>
        <w:spacing w:before="0" w:beforeAutospacing="0" w:after="0" w:afterAutospacing="0" w:line="480" w:lineRule="exact"/>
        <w:ind w:right="0" w:firstLine="640" w:firstLineChars="200"/>
        <w:jc w:val="both"/>
        <w:rPr>
          <w:rFonts w:hint="default" w:ascii="仿宋_GB2312" w:hAnsi="宋体" w:eastAsia="仿宋_GB2312" w:cs="宋体"/>
          <w:color w:val="000000"/>
          <w:kern w:val="0"/>
          <w:sz w:val="32"/>
          <w:szCs w:val="24"/>
          <w:lang w:val="en-US" w:eastAsia="zh-CN"/>
        </w:rPr>
      </w:pPr>
      <w:r>
        <w:rPr>
          <w:rFonts w:hint="eastAsia" w:ascii="仿宋_GB2312" w:hAnsi="宋体" w:eastAsia="仿宋_GB2312" w:cs="宋体"/>
          <w:color w:val="000000"/>
          <w:kern w:val="0"/>
          <w:sz w:val="32"/>
          <w:szCs w:val="24"/>
          <w:lang w:val="en-US" w:eastAsia="zh-CN"/>
        </w:rPr>
        <w:t>2.由于政府会计制度新旧衔接，导致会计实务处理存在很大的困难。</w:t>
      </w:r>
    </w:p>
    <w:p>
      <w:pPr>
        <w:widowControl/>
        <w:adjustRightInd w:val="0"/>
        <w:snapToGrid w:val="0"/>
        <w:spacing w:before="0" w:beforeAutospacing="0" w:after="0" w:afterAutospacing="0" w:line="480" w:lineRule="exact"/>
        <w:ind w:left="0" w:right="0" w:firstLine="720"/>
        <w:jc w:val="left"/>
        <w:rPr>
          <w:rFonts w:hint="eastAsia" w:ascii="仿宋_GB2312" w:hAnsi="Calibri" w:eastAsia="仿宋_GB2312" w:cs="仿宋_GB2312"/>
          <w:sz w:val="32"/>
          <w:lang w:val="en-US"/>
        </w:rPr>
      </w:pPr>
      <w:r>
        <w:rPr>
          <w:rFonts w:hint="eastAsia" w:ascii="仿宋_GB2312" w:hAnsi="宋体" w:eastAsia="仿宋_GB2312" w:cs="宋体"/>
          <w:color w:val="000000"/>
          <w:kern w:val="0"/>
          <w:sz w:val="32"/>
          <w:szCs w:val="24"/>
          <w:lang w:val="zh-CN" w:eastAsia="zh-CN"/>
        </w:rPr>
        <w:t>（三）改进建议。</w:t>
      </w:r>
    </w:p>
    <w:p>
      <w:pPr>
        <w:widowControl/>
        <w:wordWrap/>
        <w:adjustRightInd w:val="0"/>
        <w:snapToGrid w:val="0"/>
        <w:spacing w:before="0" w:beforeAutospacing="0" w:after="0" w:afterAutospacing="0" w:line="576" w:lineRule="exact"/>
        <w:ind w:left="0" w:right="0" w:firstLine="640" w:firstLineChars="200"/>
        <w:jc w:val="left"/>
        <w:textAlignment w:val="auto"/>
        <w:outlineLvl w:val="9"/>
        <w:rPr>
          <w:rFonts w:hint="eastAsia" w:ascii="仿宋_GB2312" w:hAnsi="宋体" w:eastAsia="仿宋_GB2312" w:cs="宋体"/>
          <w:color w:val="000000"/>
          <w:kern w:val="0"/>
          <w:sz w:val="32"/>
          <w:lang w:val="en-US" w:eastAsia="zh-CN"/>
        </w:rPr>
      </w:pPr>
      <w:r>
        <w:rPr>
          <w:rFonts w:hint="eastAsia" w:ascii="仿宋_GB2312" w:hAnsi="宋体" w:eastAsia="仿宋_GB2312" w:cs="宋体"/>
          <w:color w:val="000000"/>
          <w:kern w:val="0"/>
          <w:sz w:val="32"/>
          <w:lang w:val="en-US" w:eastAsia="zh-CN"/>
        </w:rPr>
        <w:t>1.在今后的工作中，进一步提高工作效率加强单位财务管理和内部控制监督制度，严格控制“三公经费”，将有限的资金用在刀刃上。</w:t>
      </w:r>
    </w:p>
    <w:p>
      <w:pPr>
        <w:spacing w:line="580" w:lineRule="exact"/>
        <w:ind w:firstLine="640" w:firstLineChars="200"/>
        <w:rPr>
          <w:rFonts w:hint="eastAsia" w:ascii="黑体" w:hAnsi="黑体" w:eastAsia="黑体" w:cs="黑体"/>
          <w:sz w:val="32"/>
          <w:szCs w:val="32"/>
        </w:rPr>
      </w:pPr>
      <w:r>
        <w:rPr>
          <w:rFonts w:hint="eastAsia" w:ascii="仿宋_GB2312" w:hAnsi="宋体" w:eastAsia="仿宋_GB2312" w:cs="宋体"/>
          <w:color w:val="000000"/>
          <w:kern w:val="0"/>
          <w:sz w:val="32"/>
          <w:lang w:val="en-US" w:eastAsia="zh-CN"/>
        </w:rPr>
        <w:t>2.加强财务人员业务培训工作，有效提升业务能力。</w:t>
      </w:r>
    </w:p>
    <w:p>
      <w:pPr>
        <w:pStyle w:val="3"/>
        <w:rPr>
          <w:rStyle w:val="34"/>
          <w:rFonts w:ascii="仿宋" w:hAnsi="仿宋" w:eastAsia="仿宋"/>
          <w:b w:val="0"/>
          <w:bCs w:val="0"/>
          <w:sz w:val="32"/>
          <w:szCs w:val="32"/>
        </w:rPr>
      </w:pPr>
      <w:bookmarkStart w:id="100" w:name="_Toc21050"/>
      <w:r>
        <w:rPr>
          <w:rStyle w:val="34"/>
          <w:rFonts w:hint="eastAsia" w:ascii="仿宋" w:hAnsi="仿宋" w:eastAsia="仿宋"/>
          <w:b w:val="0"/>
          <w:bCs w:val="0"/>
          <w:sz w:val="32"/>
          <w:szCs w:val="32"/>
        </w:rPr>
        <w:t>附件2</w:t>
      </w:r>
      <w:bookmarkEnd w:id="100"/>
    </w:p>
    <w:p>
      <w:pPr>
        <w:widowControl w:val="0"/>
        <w:snapToGrid w:val="0"/>
        <w:spacing w:before="0" w:beforeAutospacing="0" w:after="0" w:afterAutospacing="0" w:line="580" w:lineRule="exact"/>
        <w:ind w:left="0" w:right="0"/>
        <w:jc w:val="center"/>
        <w:rPr>
          <w:rFonts w:hint="eastAsia" w:ascii="方正小标宋简体" w:hAnsi="宋体" w:eastAsia="方正小标宋简体" w:cs="方正小标宋简体"/>
          <w:sz w:val="44"/>
          <w:szCs w:val="44"/>
          <w:lang w:val="en-US"/>
        </w:rPr>
      </w:pPr>
      <w:r>
        <w:rPr>
          <w:rFonts w:hint="eastAsia" w:ascii="方正小标宋简体" w:hAnsi="宋体" w:eastAsia="方正小标宋简体" w:cs="方正小标宋简体"/>
          <w:kern w:val="2"/>
          <w:sz w:val="44"/>
          <w:szCs w:val="44"/>
          <w:lang w:val="en-US" w:eastAsia="zh-CN"/>
        </w:rPr>
        <w:t>项目支出绩效评价报告</w:t>
      </w:r>
    </w:p>
    <w:p>
      <w:pPr>
        <w:widowControl w:val="0"/>
        <w:tabs>
          <w:tab w:val="left" w:pos="3885"/>
        </w:tabs>
        <w:snapToGrid w:val="0"/>
        <w:spacing w:before="0" w:beforeAutospacing="0" w:after="0" w:afterAutospacing="0" w:line="580" w:lineRule="exact"/>
        <w:ind w:right="0" w:firstLine="320" w:firstLineChars="100"/>
        <w:jc w:val="center"/>
        <w:rPr>
          <w:rFonts w:hint="eastAsia" w:ascii="宋体" w:hAnsi="宋体" w:eastAsia="仿宋_GB2312" w:cs="宋体"/>
          <w:b/>
          <w:bCs w:val="0"/>
          <w:szCs w:val="21"/>
          <w:lang w:val="en-US"/>
        </w:rPr>
      </w:pPr>
      <w:r>
        <w:rPr>
          <w:rFonts w:hint="eastAsia" w:ascii="Times New Roman" w:hAnsi="宋体" w:eastAsia="仿宋_GB2312" w:cs="仿宋_GB2312"/>
          <w:kern w:val="2"/>
          <w:sz w:val="32"/>
          <w:szCs w:val="24"/>
          <w:lang w:val="en-US" w:eastAsia="zh-CN"/>
        </w:rPr>
        <w:t>（党政群机关及事业单位政务和公益中文域名管理项目）</w:t>
      </w:r>
    </w:p>
    <w:p>
      <w:pPr>
        <w:widowControl w:val="0"/>
        <w:numPr>
          <w:ilvl w:val="0"/>
          <w:numId w:val="10"/>
        </w:numPr>
        <w:tabs>
          <w:tab w:val="left" w:pos="3885"/>
        </w:tabs>
        <w:snapToGrid w:val="0"/>
        <w:spacing w:before="0" w:beforeAutospacing="0" w:after="0" w:afterAutospacing="0" w:line="580" w:lineRule="exact"/>
        <w:ind w:left="0" w:right="0" w:firstLine="640" w:firstLineChars="200"/>
        <w:jc w:val="left"/>
        <w:rPr>
          <w:rFonts w:hint="eastAsia" w:ascii="黑体" w:hAnsi="宋体" w:eastAsia="黑体" w:cs="黑体"/>
          <w:kern w:val="2"/>
          <w:sz w:val="32"/>
          <w:szCs w:val="21"/>
          <w:lang w:val="en-US" w:eastAsia="zh-CN"/>
        </w:rPr>
      </w:pPr>
      <w:r>
        <w:rPr>
          <w:rFonts w:hint="eastAsia" w:ascii="黑体" w:hAnsi="宋体" w:eastAsia="黑体" w:cs="黑体"/>
          <w:kern w:val="2"/>
          <w:sz w:val="32"/>
          <w:szCs w:val="21"/>
          <w:lang w:val="en-US" w:eastAsia="zh-CN"/>
        </w:rPr>
        <w:t>内容摘要（项目基本情况、评价结论、主要问题及建议）</w:t>
      </w:r>
    </w:p>
    <w:p>
      <w:pPr>
        <w:widowControl w:val="0"/>
        <w:wordWrap/>
        <w:spacing w:line="480" w:lineRule="exact"/>
        <w:ind w:right="0" w:firstLine="640" w:firstLineChars="200"/>
        <w:jc w:val="both"/>
        <w:textAlignment w:val="auto"/>
        <w:rPr>
          <w:rFonts w:hint="eastAsia" w:ascii="黑体" w:hAnsi="宋体" w:eastAsia="黑体" w:cs="黑体"/>
          <w:kern w:val="2"/>
          <w:sz w:val="32"/>
          <w:szCs w:val="21"/>
          <w:lang w:val="en-US" w:eastAsia="zh-CN"/>
        </w:rPr>
      </w:pPr>
      <w:r>
        <w:rPr>
          <w:rFonts w:hint="eastAsia" w:ascii="仿宋_GB2312" w:hAnsi="宋体" w:eastAsia="仿宋_GB2312" w:cs="仿宋_GB2312"/>
          <w:kern w:val="2"/>
          <w:sz w:val="32"/>
          <w:szCs w:val="24"/>
          <w:lang w:val="en-US" w:eastAsia="zh-CN"/>
        </w:rPr>
        <w:t>党政群机关及事业单位政务和公益中文域名管理项目主要用于保障机构编制实名制系统正常运行，完成数据实时更新；完成事业单位年度报告公示；做好党政机关、事业单位的网上中文域名规范。</w:t>
      </w:r>
    </w:p>
    <w:p>
      <w:pPr>
        <w:widowControl w:val="0"/>
        <w:snapToGrid w:val="0"/>
        <w:spacing w:before="0" w:beforeAutospacing="0" w:after="0" w:afterAutospacing="0" w:line="580" w:lineRule="exact"/>
        <w:ind w:left="0" w:right="0" w:firstLine="640" w:firstLineChars="200"/>
        <w:jc w:val="both"/>
        <w:rPr>
          <w:rFonts w:hint="eastAsia" w:ascii="黑体" w:hAnsi="宋体" w:eastAsia="黑体" w:cs="黑体"/>
          <w:szCs w:val="21"/>
          <w:lang w:val="en-US"/>
        </w:rPr>
      </w:pPr>
      <w:r>
        <w:rPr>
          <w:rFonts w:hint="eastAsia" w:ascii="黑体" w:hAnsi="宋体" w:eastAsia="黑体" w:cs="黑体"/>
          <w:kern w:val="2"/>
          <w:sz w:val="32"/>
          <w:szCs w:val="21"/>
          <w:lang w:val="en-US" w:eastAsia="zh-CN"/>
        </w:rPr>
        <w:t>二、评价工作开展及项目情况</w:t>
      </w:r>
    </w:p>
    <w:p>
      <w:pPr>
        <w:widowControl w:val="0"/>
        <w:snapToGrid w:val="0"/>
        <w:spacing w:before="0" w:beforeAutospacing="0" w:after="0" w:afterAutospacing="0" w:line="580" w:lineRule="exact"/>
        <w:ind w:left="0" w:right="0" w:firstLine="640" w:firstLineChars="200"/>
        <w:jc w:val="both"/>
        <w:rPr>
          <w:rFonts w:hint="eastAsia" w:ascii="宋体" w:hAnsi="宋体" w:eastAsia="仿宋_GB2312" w:cs="仿宋_GB2312"/>
          <w:kern w:val="2"/>
          <w:sz w:val="32"/>
          <w:szCs w:val="21"/>
          <w:lang w:val="en-US" w:eastAsia="zh-CN"/>
        </w:rPr>
      </w:pPr>
      <w:r>
        <w:rPr>
          <w:rFonts w:hint="eastAsia" w:ascii="宋体" w:hAnsi="宋体" w:eastAsia="仿宋_GB2312" w:cs="仿宋_GB2312"/>
          <w:kern w:val="2"/>
          <w:sz w:val="32"/>
          <w:szCs w:val="21"/>
          <w:lang w:val="en-US" w:eastAsia="zh-CN"/>
        </w:rPr>
        <w:t>（一）项目组织情况</w:t>
      </w:r>
    </w:p>
    <w:p>
      <w:pPr>
        <w:widowControl w:val="0"/>
        <w:snapToGrid w:val="0"/>
        <w:spacing w:before="0" w:beforeAutospacing="0" w:after="0" w:afterAutospacing="0" w:line="580" w:lineRule="exact"/>
        <w:ind w:left="0" w:right="0" w:firstLine="640" w:firstLineChars="200"/>
        <w:jc w:val="both"/>
        <w:rPr>
          <w:rFonts w:hint="eastAsia" w:ascii="宋体" w:hAnsi="宋体" w:eastAsia="仿宋_GB2312" w:cs="仿宋_GB2312"/>
          <w:kern w:val="2"/>
          <w:sz w:val="32"/>
          <w:szCs w:val="21"/>
          <w:lang w:val="en-US" w:eastAsia="zh-CN"/>
        </w:rPr>
      </w:pPr>
      <w:r>
        <w:rPr>
          <w:rFonts w:hint="eastAsia" w:ascii="宋体" w:hAnsi="宋体" w:eastAsia="仿宋_GB2312" w:cs="仿宋_GB2312"/>
          <w:kern w:val="2"/>
          <w:sz w:val="32"/>
          <w:szCs w:val="21"/>
          <w:lang w:val="en-US" w:eastAsia="zh-CN"/>
        </w:rPr>
        <w:t>本项目执行部门为本项目设置了专门的业务组织机构，且各成员职责明确；项目严格遵守相关管理规定，项目支出调整及时且手续完备、项目档案资料齐全；项目实施中各项活动有相关合法合规的管理制度。</w:t>
      </w:r>
    </w:p>
    <w:p>
      <w:pPr>
        <w:widowControl w:val="0"/>
        <w:snapToGrid w:val="0"/>
        <w:spacing w:before="0" w:beforeAutospacing="0" w:after="0" w:afterAutospacing="0" w:line="580" w:lineRule="exact"/>
        <w:ind w:left="0" w:right="0" w:firstLine="640" w:firstLineChars="200"/>
        <w:jc w:val="both"/>
        <w:rPr>
          <w:rFonts w:hint="eastAsia" w:ascii="宋体" w:hAnsi="宋体" w:eastAsia="仿宋_GB2312" w:cs="仿宋_GB2312"/>
          <w:kern w:val="2"/>
          <w:sz w:val="32"/>
          <w:szCs w:val="21"/>
          <w:lang w:val="en-US" w:eastAsia="zh-CN"/>
        </w:rPr>
      </w:pPr>
      <w:r>
        <w:rPr>
          <w:rFonts w:hint="eastAsia" w:ascii="宋体" w:hAnsi="宋体" w:eastAsia="仿宋_GB2312" w:cs="仿宋_GB2312"/>
          <w:kern w:val="2"/>
          <w:sz w:val="32"/>
          <w:szCs w:val="21"/>
          <w:lang w:val="en-US" w:eastAsia="zh-CN"/>
        </w:rPr>
        <w:t>（二）项目管理情况。</w:t>
      </w:r>
    </w:p>
    <w:p>
      <w:pPr>
        <w:widowControl w:val="0"/>
        <w:snapToGrid w:val="0"/>
        <w:spacing w:before="0" w:beforeAutospacing="0" w:after="0" w:afterAutospacing="0" w:line="580" w:lineRule="exact"/>
        <w:ind w:left="0" w:right="0" w:firstLine="640" w:firstLineChars="200"/>
        <w:jc w:val="both"/>
        <w:rPr>
          <w:rFonts w:hint="eastAsia" w:ascii="宋体" w:hAnsi="宋体" w:eastAsia="仿宋_GB2312" w:cs="仿宋_GB2312"/>
          <w:kern w:val="2"/>
          <w:sz w:val="32"/>
          <w:szCs w:val="21"/>
          <w:lang w:val="en-US" w:eastAsia="zh-CN"/>
        </w:rPr>
      </w:pPr>
      <w:r>
        <w:rPr>
          <w:rFonts w:hint="eastAsia" w:ascii="宋体" w:hAnsi="宋体" w:eastAsia="仿宋_GB2312" w:cs="仿宋_GB2312"/>
          <w:kern w:val="2"/>
          <w:sz w:val="32"/>
          <w:szCs w:val="21"/>
          <w:lang w:val="en-US" w:eastAsia="zh-CN"/>
        </w:rPr>
        <w:t>根据国家有关财政法律法规和实际，制定了一系列的财务管理制度，并且都是按照国家财政法规和有关专项资金管理办法的规定制定的。</w:t>
      </w:r>
    </w:p>
    <w:p>
      <w:pPr>
        <w:widowControl w:val="0"/>
        <w:snapToGrid w:val="0"/>
        <w:spacing w:before="0" w:beforeAutospacing="0" w:after="0" w:afterAutospacing="0" w:line="580" w:lineRule="exact"/>
        <w:ind w:left="0" w:right="0" w:firstLine="640" w:firstLineChars="200"/>
        <w:jc w:val="both"/>
        <w:rPr>
          <w:rFonts w:hint="eastAsia" w:ascii="黑体" w:hAnsi="宋体" w:eastAsia="黑体" w:cs="黑体"/>
          <w:szCs w:val="21"/>
          <w:lang w:val="en-US"/>
        </w:rPr>
      </w:pPr>
      <w:r>
        <w:rPr>
          <w:rFonts w:hint="eastAsia" w:ascii="黑体" w:hAnsi="宋体" w:eastAsia="黑体" w:cs="黑体"/>
          <w:kern w:val="2"/>
          <w:sz w:val="32"/>
          <w:szCs w:val="21"/>
          <w:lang w:val="en-US" w:eastAsia="zh-CN"/>
        </w:rPr>
        <w:t>三、评价结论及绩效分析</w:t>
      </w:r>
    </w:p>
    <w:p>
      <w:pPr>
        <w:widowControl w:val="0"/>
        <w:snapToGrid w:val="0"/>
        <w:spacing w:before="0" w:beforeAutospacing="0" w:after="0" w:afterAutospacing="0" w:line="580" w:lineRule="exact"/>
        <w:ind w:left="0" w:right="0" w:firstLine="643" w:firstLineChars="200"/>
        <w:jc w:val="both"/>
        <w:rPr>
          <w:rFonts w:hint="eastAsia" w:ascii="楷体_GB2312" w:hAnsi="宋体" w:eastAsia="楷体_GB2312" w:cs="楷体_GB2312"/>
          <w:b/>
          <w:bCs w:val="0"/>
          <w:szCs w:val="21"/>
          <w:lang w:val="en-US"/>
        </w:rPr>
      </w:pPr>
      <w:r>
        <w:rPr>
          <w:rFonts w:hint="eastAsia" w:ascii="楷体_GB2312" w:hAnsi="宋体" w:eastAsia="楷体_GB2312" w:cs="楷体_GB2312"/>
          <w:b/>
          <w:bCs w:val="0"/>
          <w:kern w:val="2"/>
          <w:sz w:val="32"/>
          <w:szCs w:val="21"/>
          <w:lang w:val="en-US" w:eastAsia="zh-CN"/>
        </w:rPr>
        <w:t>（一）评价结论</w:t>
      </w:r>
    </w:p>
    <w:p>
      <w:pPr>
        <w:widowControl w:val="0"/>
        <w:snapToGrid w:val="0"/>
        <w:spacing w:before="0" w:beforeAutospacing="0" w:after="0" w:afterAutospacing="0" w:line="580" w:lineRule="exact"/>
        <w:ind w:right="0" w:firstLine="640" w:firstLineChars="200"/>
        <w:jc w:val="both"/>
        <w:rPr>
          <w:rFonts w:hint="eastAsia" w:ascii="宋体" w:hAnsi="宋体" w:eastAsia="仿宋_GB2312" w:cs="仿宋_GB2312"/>
          <w:kern w:val="2"/>
          <w:sz w:val="32"/>
          <w:szCs w:val="21"/>
          <w:lang w:val="en-US" w:eastAsia="zh-CN"/>
        </w:rPr>
      </w:pPr>
      <w:r>
        <w:rPr>
          <w:rFonts w:hint="eastAsia" w:ascii="宋体" w:hAnsi="宋体" w:eastAsia="仿宋_GB2312" w:cs="仿宋_GB2312"/>
          <w:kern w:val="2"/>
          <w:sz w:val="32"/>
          <w:szCs w:val="21"/>
          <w:lang w:val="en-US" w:eastAsia="zh-CN"/>
        </w:rPr>
        <w:t>该项目绩效目标完成情况较好，各项工作任务基本按计划完成。该项目的实施，保证了编办各项工作正常开展。</w:t>
      </w:r>
    </w:p>
    <w:p>
      <w:pPr>
        <w:widowControl w:val="0"/>
        <w:snapToGrid w:val="0"/>
        <w:spacing w:before="0" w:beforeAutospacing="0" w:after="0" w:afterAutospacing="0" w:line="580" w:lineRule="exact"/>
        <w:ind w:left="0" w:right="0" w:firstLine="643" w:firstLineChars="200"/>
        <w:jc w:val="both"/>
        <w:rPr>
          <w:rFonts w:hint="eastAsia" w:ascii="楷体_GB2312" w:hAnsi="宋体" w:eastAsia="楷体_GB2312" w:cs="楷体_GB2312"/>
          <w:b/>
          <w:bCs w:val="0"/>
          <w:szCs w:val="21"/>
          <w:lang w:val="en-US"/>
        </w:rPr>
      </w:pPr>
      <w:r>
        <w:rPr>
          <w:rFonts w:hint="eastAsia" w:ascii="楷体_GB2312" w:hAnsi="宋体" w:eastAsia="楷体_GB2312" w:cs="楷体_GB2312"/>
          <w:b/>
          <w:bCs w:val="0"/>
          <w:kern w:val="2"/>
          <w:sz w:val="32"/>
          <w:szCs w:val="21"/>
          <w:lang w:val="en-US" w:eastAsia="zh-CN"/>
        </w:rPr>
        <w:t>（二）绩效分析</w:t>
      </w:r>
    </w:p>
    <w:p>
      <w:pPr>
        <w:widowControl w:val="0"/>
        <w:snapToGrid w:val="0"/>
        <w:spacing w:before="0" w:beforeAutospacing="0" w:after="0" w:afterAutospacing="0" w:line="580" w:lineRule="exact"/>
        <w:ind w:left="0" w:right="0" w:firstLine="640" w:firstLineChars="200"/>
        <w:jc w:val="both"/>
        <w:rPr>
          <w:rFonts w:hint="eastAsia" w:ascii="宋体" w:hAnsi="宋体" w:eastAsia="仿宋_GB2312" w:cs="宋体"/>
          <w:kern w:val="2"/>
          <w:sz w:val="32"/>
          <w:szCs w:val="21"/>
          <w:lang w:val="en-US" w:eastAsia="zh-CN"/>
        </w:rPr>
      </w:pPr>
      <w:r>
        <w:rPr>
          <w:rFonts w:hint="eastAsia" w:ascii="Times New Roman" w:hAnsi="宋体" w:eastAsia="仿宋_GB2312" w:cs="仿宋_GB2312"/>
          <w:kern w:val="2"/>
          <w:sz w:val="32"/>
          <w:szCs w:val="24"/>
          <w:lang w:val="en-US" w:eastAsia="zh-CN"/>
        </w:rPr>
        <w:t>党政群机关及事业单位政务和公益中文域名管理项目</w:t>
      </w:r>
      <w:r>
        <w:rPr>
          <w:rFonts w:hint="eastAsia" w:ascii="宋体" w:hAnsi="宋体" w:eastAsia="仿宋_GB2312" w:cs="仿宋_GB2312"/>
          <w:kern w:val="2"/>
          <w:sz w:val="32"/>
          <w:szCs w:val="21"/>
          <w:lang w:val="en-US" w:eastAsia="zh-CN"/>
        </w:rPr>
        <w:t>经费支出严格按照相关制度执行，全部用于编办日常事务支出，保证了编办的正常运转。</w:t>
      </w:r>
    </w:p>
    <w:p>
      <w:pPr>
        <w:widowControl w:val="0"/>
        <w:snapToGrid w:val="0"/>
        <w:spacing w:before="0" w:beforeAutospacing="0" w:after="0" w:afterAutospacing="0" w:line="580" w:lineRule="exact"/>
        <w:ind w:left="0" w:right="0" w:firstLine="640" w:firstLineChars="200"/>
        <w:jc w:val="both"/>
        <w:rPr>
          <w:rFonts w:hint="eastAsia" w:ascii="宋体" w:hAnsi="宋体" w:eastAsia="仿宋_GB2312" w:cs="宋体"/>
          <w:szCs w:val="21"/>
          <w:lang w:val="en-US"/>
        </w:rPr>
      </w:pPr>
      <w:r>
        <w:rPr>
          <w:rFonts w:hint="eastAsia" w:ascii="宋体" w:hAnsi="宋体" w:eastAsia="仿宋_GB2312" w:cs="宋体"/>
          <w:kern w:val="2"/>
          <w:sz w:val="32"/>
          <w:szCs w:val="21"/>
          <w:lang w:val="en-US" w:eastAsia="zh-CN"/>
        </w:rPr>
        <w:t>1</w:t>
      </w:r>
      <w:r>
        <w:rPr>
          <w:rFonts w:hint="eastAsia" w:ascii="宋体" w:hAnsi="宋体" w:eastAsia="仿宋_GB2312" w:cs="仿宋_GB2312"/>
          <w:kern w:val="2"/>
          <w:sz w:val="32"/>
          <w:szCs w:val="21"/>
          <w:lang w:val="en-US" w:eastAsia="zh-CN"/>
        </w:rPr>
        <w:t>、项目决策</w:t>
      </w:r>
    </w:p>
    <w:p>
      <w:pPr>
        <w:widowControl w:val="0"/>
        <w:snapToGrid w:val="0"/>
        <w:spacing w:before="0" w:beforeAutospacing="0" w:after="0" w:afterAutospacing="0" w:line="580" w:lineRule="exact"/>
        <w:ind w:left="0" w:right="0" w:firstLine="640" w:firstLineChars="200"/>
        <w:jc w:val="both"/>
        <w:rPr>
          <w:rFonts w:hint="eastAsia" w:ascii="宋体" w:hAnsi="宋体" w:eastAsia="仿宋_GB2312" w:cs="仿宋_GB2312"/>
          <w:kern w:val="2"/>
          <w:sz w:val="32"/>
          <w:szCs w:val="21"/>
          <w:lang w:val="en-US" w:eastAsia="zh-CN"/>
        </w:rPr>
      </w:pPr>
      <w:r>
        <w:rPr>
          <w:rFonts w:hint="eastAsia" w:ascii="宋体" w:hAnsi="宋体" w:eastAsia="仿宋_GB2312" w:cs="仿宋_GB2312"/>
          <w:kern w:val="2"/>
          <w:sz w:val="32"/>
          <w:szCs w:val="21"/>
          <w:lang w:val="en-US" w:eastAsia="zh-CN"/>
        </w:rPr>
        <w:t>该项目为持续性项目，保证全县机构编制信息化工作顺利进行。</w:t>
      </w:r>
    </w:p>
    <w:p>
      <w:pPr>
        <w:widowControl w:val="0"/>
        <w:snapToGrid w:val="0"/>
        <w:spacing w:before="0" w:beforeAutospacing="0" w:after="0" w:afterAutospacing="0" w:line="580" w:lineRule="exact"/>
        <w:ind w:left="0" w:right="0" w:firstLine="640" w:firstLineChars="200"/>
        <w:jc w:val="both"/>
        <w:rPr>
          <w:rFonts w:hint="eastAsia" w:ascii="宋体" w:hAnsi="宋体" w:eastAsia="仿宋_GB2312" w:cs="宋体"/>
          <w:szCs w:val="21"/>
          <w:lang w:val="en-US"/>
        </w:rPr>
      </w:pPr>
      <w:r>
        <w:rPr>
          <w:rFonts w:hint="eastAsia" w:ascii="宋体" w:hAnsi="宋体" w:eastAsia="仿宋_GB2312" w:cs="宋体"/>
          <w:kern w:val="2"/>
          <w:sz w:val="32"/>
          <w:szCs w:val="21"/>
          <w:lang w:val="en-US" w:eastAsia="zh-CN"/>
        </w:rPr>
        <w:t>2</w:t>
      </w:r>
      <w:r>
        <w:rPr>
          <w:rFonts w:hint="eastAsia" w:ascii="宋体" w:hAnsi="宋体" w:eastAsia="仿宋_GB2312" w:cs="仿宋_GB2312"/>
          <w:kern w:val="2"/>
          <w:sz w:val="32"/>
          <w:szCs w:val="21"/>
          <w:lang w:val="en-US" w:eastAsia="zh-CN"/>
        </w:rPr>
        <w:t>、项目管理</w:t>
      </w:r>
    </w:p>
    <w:p>
      <w:pPr>
        <w:widowControl w:val="0"/>
        <w:wordWrap/>
        <w:adjustRightInd/>
        <w:snapToGrid w:val="0"/>
        <w:spacing w:before="0" w:beforeAutospacing="0" w:after="0" w:afterAutospacing="0" w:line="560" w:lineRule="exact"/>
        <w:ind w:left="0" w:right="0" w:firstLine="640" w:firstLineChars="200"/>
        <w:jc w:val="both"/>
        <w:textAlignment w:val="auto"/>
        <w:rPr>
          <w:rFonts w:hint="eastAsia" w:ascii="宋体" w:hAnsi="宋体" w:eastAsia="仿宋_GB2312" w:cs="仿宋_GB2312"/>
          <w:kern w:val="2"/>
          <w:sz w:val="32"/>
          <w:szCs w:val="21"/>
          <w:lang w:val="en-US" w:eastAsia="zh-CN"/>
        </w:rPr>
      </w:pPr>
      <w:r>
        <w:rPr>
          <w:rFonts w:hint="eastAsia" w:ascii="宋体" w:hAnsi="宋体" w:eastAsia="仿宋_GB2312" w:cs="仿宋_GB2312"/>
          <w:kern w:val="2"/>
          <w:sz w:val="32"/>
          <w:szCs w:val="21"/>
          <w:lang w:val="en-US" w:eastAsia="zh-CN"/>
        </w:rPr>
        <w:t>县委编办根据国家有关财政法律法规和实际，制定了一系列的财务管理制度，全部资金由财务人员统一管理。在资金使用上一直按照国家法律及地方法规和单位财政制度规定以及有关专项资金管理办法规定，有关报销发票和报销条据先由报账员审核后，再由领导签字同意后到财政对应科室审核。</w:t>
      </w:r>
    </w:p>
    <w:p>
      <w:pPr>
        <w:widowControl w:val="0"/>
        <w:wordWrap/>
        <w:adjustRightInd/>
        <w:snapToGrid w:val="0"/>
        <w:spacing w:before="0" w:beforeAutospacing="0" w:after="0" w:afterAutospacing="0" w:line="560" w:lineRule="exact"/>
        <w:ind w:left="0" w:right="0" w:firstLine="640" w:firstLineChars="200"/>
        <w:jc w:val="both"/>
        <w:textAlignment w:val="auto"/>
        <w:rPr>
          <w:rFonts w:hint="eastAsia" w:ascii="宋体" w:hAnsi="宋体" w:eastAsia="仿宋_GB2312" w:cs="宋体"/>
          <w:szCs w:val="21"/>
          <w:lang w:val="en-US"/>
        </w:rPr>
      </w:pPr>
      <w:r>
        <w:rPr>
          <w:rFonts w:hint="eastAsia" w:ascii="宋体" w:hAnsi="宋体" w:eastAsia="仿宋_GB2312" w:cs="宋体"/>
          <w:kern w:val="2"/>
          <w:sz w:val="32"/>
          <w:szCs w:val="21"/>
          <w:lang w:val="en-US" w:eastAsia="zh-CN"/>
        </w:rPr>
        <w:t>3</w:t>
      </w:r>
      <w:r>
        <w:rPr>
          <w:rFonts w:hint="eastAsia" w:ascii="宋体" w:hAnsi="宋体" w:eastAsia="仿宋_GB2312" w:cs="仿宋_GB2312"/>
          <w:kern w:val="2"/>
          <w:sz w:val="32"/>
          <w:szCs w:val="21"/>
          <w:lang w:val="en-US" w:eastAsia="zh-CN"/>
        </w:rPr>
        <w:t>、该项目绩效完成较好，各项工作任务顺利完成。</w:t>
      </w:r>
    </w:p>
    <w:p>
      <w:pPr>
        <w:widowControl w:val="0"/>
        <w:wordWrap/>
        <w:adjustRightInd/>
        <w:snapToGrid w:val="0"/>
        <w:spacing w:before="0" w:beforeAutospacing="0" w:after="0" w:afterAutospacing="0" w:line="560" w:lineRule="exact"/>
        <w:ind w:left="0" w:right="0" w:firstLine="640" w:firstLineChars="200"/>
        <w:jc w:val="both"/>
        <w:textAlignment w:val="auto"/>
        <w:rPr>
          <w:rFonts w:hint="eastAsia" w:ascii="黑体" w:hAnsi="宋体" w:eastAsia="黑体" w:cs="黑体"/>
          <w:szCs w:val="21"/>
          <w:lang w:val="en-US"/>
        </w:rPr>
      </w:pPr>
      <w:r>
        <w:rPr>
          <w:rFonts w:hint="eastAsia" w:ascii="黑体" w:hAnsi="宋体" w:eastAsia="黑体" w:cs="黑体"/>
          <w:kern w:val="2"/>
          <w:sz w:val="32"/>
          <w:szCs w:val="21"/>
          <w:lang w:val="en-US" w:eastAsia="zh-CN"/>
        </w:rPr>
        <w:t>四、存在主要问题</w:t>
      </w:r>
    </w:p>
    <w:p>
      <w:pPr>
        <w:widowControl w:val="0"/>
        <w:wordWrap/>
        <w:adjustRightInd/>
        <w:snapToGrid w:val="0"/>
        <w:spacing w:before="0" w:beforeAutospacing="0" w:after="0" w:afterAutospacing="0" w:line="560" w:lineRule="exact"/>
        <w:ind w:left="0" w:right="0" w:firstLine="640" w:firstLineChars="200"/>
        <w:jc w:val="both"/>
        <w:textAlignment w:val="auto"/>
        <w:rPr>
          <w:rFonts w:hint="eastAsia" w:ascii="仿宋_GB2312" w:hAnsi="仿宋_GB2312" w:eastAsia="仿宋_GB2312" w:cs="仿宋_GB2312"/>
          <w:kern w:val="2"/>
          <w:sz w:val="32"/>
          <w:szCs w:val="21"/>
          <w:lang w:val="en-US" w:eastAsia="zh-CN"/>
        </w:rPr>
      </w:pPr>
      <w:r>
        <w:rPr>
          <w:rFonts w:hint="eastAsia" w:ascii="仿宋_GB2312" w:hAnsi="仿宋_GB2312" w:eastAsia="仿宋_GB2312" w:cs="仿宋_GB2312"/>
          <w:kern w:val="2"/>
          <w:sz w:val="32"/>
          <w:szCs w:val="21"/>
          <w:lang w:val="en-US" w:eastAsia="zh-CN"/>
        </w:rPr>
        <w:t>无。</w:t>
      </w:r>
    </w:p>
    <w:p>
      <w:pPr>
        <w:widowControl w:val="0"/>
        <w:wordWrap/>
        <w:adjustRightInd/>
        <w:snapToGrid w:val="0"/>
        <w:spacing w:before="0" w:beforeAutospacing="0" w:after="0" w:afterAutospacing="0" w:line="560" w:lineRule="exact"/>
        <w:ind w:left="0" w:right="0" w:firstLine="640" w:firstLineChars="200"/>
        <w:jc w:val="both"/>
        <w:textAlignment w:val="auto"/>
      </w:pPr>
      <w:r>
        <w:rPr>
          <w:rFonts w:hint="eastAsia" w:ascii="黑体" w:hAnsi="宋体" w:eastAsia="黑体" w:cs="黑体"/>
          <w:kern w:val="2"/>
          <w:sz w:val="32"/>
          <w:szCs w:val="21"/>
          <w:lang w:val="en-US" w:eastAsia="zh-CN"/>
        </w:rPr>
        <w:t>五、相关措施建议</w:t>
      </w:r>
    </w:p>
    <w:p>
      <w:pPr>
        <w:widowControl w:val="0"/>
        <w:wordWrap/>
        <w:adjustRightInd/>
        <w:spacing w:line="560" w:lineRule="exact"/>
        <w:jc w:val="left"/>
        <w:textAlignment w:val="auto"/>
        <w:outlineLvl w:val="0"/>
        <w:rPr>
          <w:rFonts w:hint="default" w:ascii="仿宋_GB2312" w:hAnsi="仿宋_GB2312" w:eastAsia="仿宋_GB2312" w:cs="仿宋_GB2312"/>
          <w:kern w:val="2"/>
          <w:sz w:val="32"/>
          <w:szCs w:val="21"/>
          <w:lang w:val="en-US" w:eastAsia="zh-CN"/>
        </w:rPr>
      </w:pPr>
      <w:r>
        <w:rPr>
          <w:rFonts w:hint="eastAsia" w:ascii="黑体" w:hAnsi="黑体" w:eastAsia="黑体"/>
          <w:color w:val="000000"/>
          <w:sz w:val="44"/>
          <w:szCs w:val="44"/>
          <w:lang w:val="en-US" w:eastAsia="zh-CN"/>
        </w:rPr>
        <w:t xml:space="preserve"> </w:t>
      </w:r>
      <w:r>
        <w:rPr>
          <w:rFonts w:hint="eastAsia" w:ascii="仿宋_GB2312" w:hAnsi="仿宋_GB2312" w:eastAsia="仿宋_GB2312" w:cs="仿宋_GB2312"/>
          <w:kern w:val="2"/>
          <w:sz w:val="32"/>
          <w:szCs w:val="21"/>
          <w:lang w:val="en-US" w:eastAsia="zh-CN"/>
        </w:rPr>
        <w:t xml:space="preserve">  </w:t>
      </w:r>
      <w:bookmarkStart w:id="101" w:name="_Toc28385"/>
      <w:r>
        <w:rPr>
          <w:rFonts w:hint="eastAsia" w:ascii="仿宋_GB2312" w:hAnsi="仿宋_GB2312" w:eastAsia="仿宋_GB2312" w:cs="仿宋_GB2312"/>
          <w:kern w:val="2"/>
          <w:sz w:val="32"/>
          <w:szCs w:val="21"/>
          <w:lang w:val="en-US" w:eastAsia="zh-CN"/>
        </w:rPr>
        <w:t>无。</w:t>
      </w:r>
      <w:bookmarkEnd w:id="101"/>
    </w:p>
    <w:p>
      <w:pPr>
        <w:widowControl w:val="0"/>
        <w:wordWrap/>
        <w:adjustRightInd/>
        <w:spacing w:line="560" w:lineRule="exact"/>
        <w:jc w:val="both"/>
        <w:textAlignment w:val="auto"/>
        <w:outlineLvl w:val="0"/>
        <w:rPr>
          <w:rFonts w:hint="eastAsia" w:ascii="黑体" w:hAnsi="黑体" w:eastAsia="黑体"/>
          <w:color w:val="000000"/>
          <w:sz w:val="44"/>
          <w:szCs w:val="44"/>
        </w:rPr>
      </w:pPr>
    </w:p>
    <w:p>
      <w:pPr>
        <w:widowControl w:val="0"/>
        <w:wordWrap/>
        <w:adjustRightInd/>
        <w:spacing w:line="560" w:lineRule="exact"/>
        <w:jc w:val="both"/>
        <w:textAlignment w:val="auto"/>
        <w:outlineLvl w:val="0"/>
        <w:rPr>
          <w:rFonts w:hint="eastAsia" w:ascii="黑体" w:hAnsi="黑体" w:eastAsia="黑体"/>
          <w:color w:val="000000"/>
          <w:sz w:val="44"/>
          <w:szCs w:val="44"/>
        </w:rPr>
      </w:pPr>
    </w:p>
    <w:p>
      <w:pPr>
        <w:spacing w:line="600" w:lineRule="exact"/>
        <w:jc w:val="both"/>
        <w:outlineLvl w:val="0"/>
        <w:rPr>
          <w:rFonts w:hint="eastAsia" w:ascii="黑体" w:hAnsi="黑体" w:eastAsia="黑体"/>
          <w:color w:val="000000"/>
          <w:sz w:val="44"/>
          <w:szCs w:val="44"/>
        </w:rPr>
      </w:pPr>
    </w:p>
    <w:p>
      <w:pPr>
        <w:pStyle w:val="3"/>
        <w:rPr>
          <w:rStyle w:val="34"/>
          <w:rFonts w:hint="eastAsia" w:ascii="仿宋" w:hAnsi="仿宋" w:eastAsia="仿宋"/>
          <w:b w:val="0"/>
          <w:bCs w:val="0"/>
          <w:sz w:val="32"/>
          <w:szCs w:val="32"/>
        </w:rPr>
      </w:pPr>
    </w:p>
    <w:p>
      <w:pPr>
        <w:pStyle w:val="3"/>
        <w:rPr>
          <w:rStyle w:val="34"/>
          <w:rFonts w:ascii="仿宋" w:hAnsi="仿宋" w:eastAsia="仿宋"/>
          <w:b w:val="0"/>
          <w:bCs w:val="0"/>
          <w:sz w:val="32"/>
          <w:szCs w:val="32"/>
        </w:rPr>
      </w:pPr>
      <w:bookmarkStart w:id="102" w:name="_Toc26232"/>
      <w:r>
        <w:rPr>
          <w:rStyle w:val="34"/>
          <w:rFonts w:hint="eastAsia" w:ascii="仿宋" w:hAnsi="仿宋" w:eastAsia="仿宋"/>
          <w:b w:val="0"/>
          <w:bCs w:val="0"/>
          <w:sz w:val="32"/>
          <w:szCs w:val="32"/>
        </w:rPr>
        <w:t>附件2</w:t>
      </w:r>
      <w:bookmarkEnd w:id="102"/>
    </w:p>
    <w:p>
      <w:pPr>
        <w:widowControl w:val="0"/>
        <w:snapToGrid w:val="0"/>
        <w:spacing w:before="0" w:beforeAutospacing="0" w:after="0" w:afterAutospacing="0" w:line="580" w:lineRule="exact"/>
        <w:ind w:left="0" w:right="0"/>
        <w:jc w:val="center"/>
        <w:rPr>
          <w:rFonts w:hint="eastAsia" w:ascii="方正小标宋简体" w:hAnsi="宋体" w:eastAsia="方正小标宋简体" w:cs="方正小标宋简体"/>
          <w:sz w:val="44"/>
          <w:szCs w:val="44"/>
          <w:lang w:val="en-US"/>
        </w:rPr>
      </w:pPr>
      <w:r>
        <w:rPr>
          <w:rFonts w:hint="eastAsia" w:ascii="方正小标宋简体" w:hAnsi="宋体" w:eastAsia="方正小标宋简体" w:cs="方正小标宋简体"/>
          <w:kern w:val="2"/>
          <w:sz w:val="44"/>
          <w:szCs w:val="44"/>
          <w:lang w:val="en-US" w:eastAsia="zh-CN"/>
        </w:rPr>
        <w:t>项目支出绩效评价报告</w:t>
      </w:r>
    </w:p>
    <w:p>
      <w:pPr>
        <w:widowControl w:val="0"/>
        <w:tabs>
          <w:tab w:val="left" w:pos="3885"/>
        </w:tabs>
        <w:snapToGrid w:val="0"/>
        <w:spacing w:before="0" w:beforeAutospacing="0" w:after="0" w:afterAutospacing="0" w:line="580" w:lineRule="exact"/>
        <w:ind w:right="0" w:firstLine="320" w:firstLineChars="100"/>
        <w:jc w:val="center"/>
        <w:rPr>
          <w:rFonts w:hint="eastAsia" w:ascii="宋体" w:hAnsi="宋体" w:eastAsia="仿宋_GB2312" w:cs="宋体"/>
          <w:b/>
          <w:bCs w:val="0"/>
          <w:szCs w:val="21"/>
          <w:lang w:val="en-US"/>
        </w:rPr>
      </w:pPr>
      <w:r>
        <w:rPr>
          <w:rFonts w:hint="eastAsia" w:ascii="Times New Roman" w:hAnsi="宋体" w:eastAsia="仿宋_GB2312" w:cs="仿宋_GB2312"/>
          <w:kern w:val="2"/>
          <w:sz w:val="32"/>
          <w:szCs w:val="24"/>
          <w:lang w:val="en-US" w:eastAsia="zh-CN"/>
        </w:rPr>
        <w:t>（机关事业单位干部职工人员流动编卡变动项目）</w:t>
      </w:r>
    </w:p>
    <w:p>
      <w:pPr>
        <w:widowControl w:val="0"/>
        <w:numPr>
          <w:ilvl w:val="0"/>
          <w:numId w:val="10"/>
        </w:numPr>
        <w:tabs>
          <w:tab w:val="left" w:pos="3885"/>
        </w:tabs>
        <w:snapToGrid w:val="0"/>
        <w:spacing w:before="0" w:beforeAutospacing="0" w:after="0" w:afterAutospacing="0" w:line="580" w:lineRule="exact"/>
        <w:ind w:left="0" w:right="0" w:firstLine="640" w:firstLineChars="200"/>
        <w:jc w:val="left"/>
        <w:rPr>
          <w:rFonts w:hint="eastAsia" w:ascii="黑体" w:hAnsi="宋体" w:eastAsia="黑体" w:cs="黑体"/>
          <w:kern w:val="2"/>
          <w:sz w:val="32"/>
          <w:szCs w:val="21"/>
          <w:lang w:val="en-US" w:eastAsia="zh-CN"/>
        </w:rPr>
      </w:pPr>
      <w:r>
        <w:rPr>
          <w:rFonts w:hint="eastAsia" w:ascii="黑体" w:hAnsi="宋体" w:eastAsia="黑体" w:cs="黑体"/>
          <w:kern w:val="2"/>
          <w:sz w:val="32"/>
          <w:szCs w:val="21"/>
          <w:lang w:val="en-US" w:eastAsia="zh-CN"/>
        </w:rPr>
        <w:t>内容摘要（项目基本情况、评价结论、主要问题及建议）</w:t>
      </w:r>
    </w:p>
    <w:p>
      <w:pPr>
        <w:widowControl w:val="0"/>
        <w:wordWrap/>
        <w:spacing w:line="480" w:lineRule="exact"/>
        <w:ind w:right="0" w:firstLine="640" w:firstLineChars="200"/>
        <w:jc w:val="both"/>
        <w:textAlignment w:val="auto"/>
        <w:rPr>
          <w:rFonts w:hint="eastAsia" w:ascii="黑体" w:hAnsi="宋体" w:eastAsia="黑体" w:cs="黑体"/>
          <w:kern w:val="2"/>
          <w:sz w:val="32"/>
          <w:szCs w:val="21"/>
          <w:lang w:val="en-US" w:eastAsia="zh-CN"/>
        </w:rPr>
      </w:pPr>
      <w:r>
        <w:rPr>
          <w:rFonts w:hint="eastAsia" w:ascii="Times New Roman" w:hAnsi="宋体" w:eastAsia="仿宋_GB2312" w:cs="仿宋_GB2312"/>
          <w:kern w:val="2"/>
          <w:sz w:val="32"/>
          <w:szCs w:val="24"/>
          <w:lang w:val="en-US" w:eastAsia="zh-CN"/>
        </w:rPr>
        <w:t>机关事业单位干部职工人员流动编卡变动</w:t>
      </w:r>
      <w:r>
        <w:rPr>
          <w:rFonts w:hint="eastAsia" w:ascii="仿宋_GB2312" w:hAnsi="宋体" w:eastAsia="仿宋_GB2312" w:cs="仿宋_GB2312"/>
          <w:kern w:val="2"/>
          <w:sz w:val="32"/>
          <w:szCs w:val="24"/>
          <w:lang w:val="en-US" w:eastAsia="zh-CN"/>
        </w:rPr>
        <w:t>项目主要用于制作全县在编人员编制卡片，完成信息更新；完成法人登记工作；做好编委会会务工作。</w:t>
      </w:r>
    </w:p>
    <w:p>
      <w:pPr>
        <w:widowControl w:val="0"/>
        <w:snapToGrid w:val="0"/>
        <w:spacing w:before="0" w:beforeAutospacing="0" w:after="0" w:afterAutospacing="0" w:line="580" w:lineRule="exact"/>
        <w:ind w:left="0" w:right="0" w:firstLine="640" w:firstLineChars="200"/>
        <w:jc w:val="both"/>
        <w:rPr>
          <w:rFonts w:hint="eastAsia" w:ascii="黑体" w:hAnsi="宋体" w:eastAsia="黑体" w:cs="黑体"/>
          <w:szCs w:val="21"/>
          <w:lang w:val="en-US"/>
        </w:rPr>
      </w:pPr>
      <w:r>
        <w:rPr>
          <w:rFonts w:hint="eastAsia" w:ascii="黑体" w:hAnsi="宋体" w:eastAsia="黑体" w:cs="黑体"/>
          <w:kern w:val="2"/>
          <w:sz w:val="32"/>
          <w:szCs w:val="21"/>
          <w:lang w:val="en-US" w:eastAsia="zh-CN"/>
        </w:rPr>
        <w:t>二、评价工作开展及项目情况</w:t>
      </w:r>
    </w:p>
    <w:p>
      <w:pPr>
        <w:widowControl w:val="0"/>
        <w:snapToGrid w:val="0"/>
        <w:spacing w:before="0" w:beforeAutospacing="0" w:after="0" w:afterAutospacing="0" w:line="580" w:lineRule="exact"/>
        <w:ind w:left="0" w:right="0" w:firstLine="640" w:firstLineChars="200"/>
        <w:jc w:val="both"/>
        <w:rPr>
          <w:rFonts w:hint="eastAsia" w:ascii="宋体" w:hAnsi="宋体" w:eastAsia="仿宋_GB2312" w:cs="仿宋_GB2312"/>
          <w:kern w:val="2"/>
          <w:sz w:val="32"/>
          <w:szCs w:val="21"/>
          <w:lang w:val="en-US" w:eastAsia="zh-CN"/>
        </w:rPr>
      </w:pPr>
      <w:r>
        <w:rPr>
          <w:rFonts w:hint="eastAsia" w:ascii="宋体" w:hAnsi="宋体" w:eastAsia="仿宋_GB2312" w:cs="仿宋_GB2312"/>
          <w:kern w:val="2"/>
          <w:sz w:val="32"/>
          <w:szCs w:val="21"/>
          <w:lang w:val="en-US" w:eastAsia="zh-CN"/>
        </w:rPr>
        <w:t>（一）项目组织情况</w:t>
      </w:r>
    </w:p>
    <w:p>
      <w:pPr>
        <w:widowControl w:val="0"/>
        <w:snapToGrid w:val="0"/>
        <w:spacing w:before="0" w:beforeAutospacing="0" w:after="0" w:afterAutospacing="0" w:line="580" w:lineRule="exact"/>
        <w:ind w:left="0" w:right="0" w:firstLine="640" w:firstLineChars="200"/>
        <w:jc w:val="both"/>
        <w:rPr>
          <w:rFonts w:hint="eastAsia" w:ascii="宋体" w:hAnsi="宋体" w:eastAsia="仿宋_GB2312" w:cs="仿宋_GB2312"/>
          <w:kern w:val="2"/>
          <w:sz w:val="32"/>
          <w:szCs w:val="21"/>
          <w:lang w:val="en-US" w:eastAsia="zh-CN"/>
        </w:rPr>
      </w:pPr>
      <w:r>
        <w:rPr>
          <w:rFonts w:hint="eastAsia" w:ascii="宋体" w:hAnsi="宋体" w:eastAsia="仿宋_GB2312" w:cs="仿宋_GB2312"/>
          <w:kern w:val="2"/>
          <w:sz w:val="32"/>
          <w:szCs w:val="21"/>
          <w:lang w:val="en-US" w:eastAsia="zh-CN"/>
        </w:rPr>
        <w:t>本项目执行部门为本项目设置了专门的业务组织机构，且各成员职责明确；项目严格遵守相关管理规定，项目支出调整及时且手续完备、项目档案资料齐全；项目实施中各项活动有相关合法合规的管理制度。</w:t>
      </w:r>
    </w:p>
    <w:p>
      <w:pPr>
        <w:widowControl w:val="0"/>
        <w:snapToGrid w:val="0"/>
        <w:spacing w:before="0" w:beforeAutospacing="0" w:after="0" w:afterAutospacing="0" w:line="580" w:lineRule="exact"/>
        <w:ind w:left="0" w:right="0" w:firstLine="640" w:firstLineChars="200"/>
        <w:jc w:val="both"/>
        <w:rPr>
          <w:rFonts w:hint="eastAsia" w:ascii="宋体" w:hAnsi="宋体" w:eastAsia="仿宋_GB2312" w:cs="仿宋_GB2312"/>
          <w:kern w:val="2"/>
          <w:sz w:val="32"/>
          <w:szCs w:val="21"/>
          <w:lang w:val="en-US" w:eastAsia="zh-CN"/>
        </w:rPr>
      </w:pPr>
      <w:r>
        <w:rPr>
          <w:rFonts w:hint="eastAsia" w:ascii="宋体" w:hAnsi="宋体" w:eastAsia="仿宋_GB2312" w:cs="仿宋_GB2312"/>
          <w:kern w:val="2"/>
          <w:sz w:val="32"/>
          <w:szCs w:val="21"/>
          <w:lang w:val="en-US" w:eastAsia="zh-CN"/>
        </w:rPr>
        <w:t>（二）项目管理情况。</w:t>
      </w:r>
    </w:p>
    <w:p>
      <w:pPr>
        <w:widowControl w:val="0"/>
        <w:snapToGrid w:val="0"/>
        <w:spacing w:before="0" w:beforeAutospacing="0" w:after="0" w:afterAutospacing="0" w:line="580" w:lineRule="exact"/>
        <w:ind w:left="0" w:right="0" w:firstLine="640" w:firstLineChars="200"/>
        <w:jc w:val="both"/>
        <w:rPr>
          <w:rFonts w:hint="eastAsia" w:ascii="宋体" w:hAnsi="宋体" w:eastAsia="仿宋_GB2312" w:cs="仿宋_GB2312"/>
          <w:kern w:val="2"/>
          <w:sz w:val="32"/>
          <w:szCs w:val="21"/>
          <w:lang w:val="en-US" w:eastAsia="zh-CN"/>
        </w:rPr>
      </w:pPr>
      <w:r>
        <w:rPr>
          <w:rFonts w:hint="eastAsia" w:ascii="宋体" w:hAnsi="宋体" w:eastAsia="仿宋_GB2312" w:cs="仿宋_GB2312"/>
          <w:kern w:val="2"/>
          <w:sz w:val="32"/>
          <w:szCs w:val="21"/>
          <w:lang w:val="en-US" w:eastAsia="zh-CN"/>
        </w:rPr>
        <w:t>根据国家有关财政法律法规和实际，制定了一系列的财务管理制度，并且都是按照国家财政法规和有关专项资金管理办法的规定制定的。</w:t>
      </w:r>
    </w:p>
    <w:p>
      <w:pPr>
        <w:widowControl w:val="0"/>
        <w:snapToGrid w:val="0"/>
        <w:spacing w:before="0" w:beforeAutospacing="0" w:after="0" w:afterAutospacing="0" w:line="580" w:lineRule="exact"/>
        <w:ind w:left="0" w:right="0" w:firstLine="640" w:firstLineChars="200"/>
        <w:jc w:val="both"/>
        <w:rPr>
          <w:rFonts w:hint="eastAsia" w:ascii="黑体" w:hAnsi="宋体" w:eastAsia="黑体" w:cs="黑体"/>
          <w:szCs w:val="21"/>
          <w:lang w:val="en-US"/>
        </w:rPr>
      </w:pPr>
      <w:r>
        <w:rPr>
          <w:rFonts w:hint="eastAsia" w:ascii="黑体" w:hAnsi="宋体" w:eastAsia="黑体" w:cs="黑体"/>
          <w:kern w:val="2"/>
          <w:sz w:val="32"/>
          <w:szCs w:val="21"/>
          <w:lang w:val="en-US" w:eastAsia="zh-CN"/>
        </w:rPr>
        <w:t>三、评价结论及绩效分析</w:t>
      </w:r>
    </w:p>
    <w:p>
      <w:pPr>
        <w:widowControl w:val="0"/>
        <w:snapToGrid w:val="0"/>
        <w:spacing w:before="0" w:beforeAutospacing="0" w:after="0" w:afterAutospacing="0" w:line="580" w:lineRule="exact"/>
        <w:ind w:left="0" w:right="0" w:firstLine="643" w:firstLineChars="200"/>
        <w:jc w:val="both"/>
        <w:rPr>
          <w:rFonts w:hint="eastAsia" w:ascii="楷体_GB2312" w:hAnsi="宋体" w:eastAsia="楷体_GB2312" w:cs="楷体_GB2312"/>
          <w:b/>
          <w:bCs w:val="0"/>
          <w:szCs w:val="21"/>
          <w:lang w:val="en-US"/>
        </w:rPr>
      </w:pPr>
      <w:r>
        <w:rPr>
          <w:rFonts w:hint="eastAsia" w:ascii="楷体_GB2312" w:hAnsi="宋体" w:eastAsia="楷体_GB2312" w:cs="楷体_GB2312"/>
          <w:b/>
          <w:bCs w:val="0"/>
          <w:kern w:val="2"/>
          <w:sz w:val="32"/>
          <w:szCs w:val="21"/>
          <w:lang w:val="en-US" w:eastAsia="zh-CN"/>
        </w:rPr>
        <w:t>（一）评价结论</w:t>
      </w:r>
    </w:p>
    <w:p>
      <w:pPr>
        <w:widowControl w:val="0"/>
        <w:snapToGrid w:val="0"/>
        <w:spacing w:before="0" w:beforeAutospacing="0" w:after="0" w:afterAutospacing="0" w:line="580" w:lineRule="exact"/>
        <w:ind w:right="0" w:firstLine="640" w:firstLineChars="200"/>
        <w:jc w:val="both"/>
        <w:rPr>
          <w:rFonts w:hint="eastAsia" w:ascii="宋体" w:hAnsi="宋体" w:eastAsia="仿宋_GB2312" w:cs="仿宋_GB2312"/>
          <w:kern w:val="2"/>
          <w:sz w:val="32"/>
          <w:szCs w:val="21"/>
          <w:lang w:val="en-US" w:eastAsia="zh-CN"/>
        </w:rPr>
      </w:pPr>
      <w:r>
        <w:rPr>
          <w:rFonts w:hint="eastAsia" w:ascii="宋体" w:hAnsi="宋体" w:eastAsia="仿宋_GB2312" w:cs="仿宋_GB2312"/>
          <w:kern w:val="2"/>
          <w:sz w:val="32"/>
          <w:szCs w:val="21"/>
          <w:lang w:val="en-US" w:eastAsia="zh-CN"/>
        </w:rPr>
        <w:t>该项目绩效目标完成情况较好，各项工作任务基本按计划完成。该项目的实施，保证了编办各项工作正常开展。</w:t>
      </w:r>
    </w:p>
    <w:p>
      <w:pPr>
        <w:widowControl w:val="0"/>
        <w:snapToGrid w:val="0"/>
        <w:spacing w:before="0" w:beforeAutospacing="0" w:after="0" w:afterAutospacing="0" w:line="580" w:lineRule="exact"/>
        <w:ind w:left="0" w:right="0" w:firstLine="643" w:firstLineChars="200"/>
        <w:jc w:val="both"/>
        <w:rPr>
          <w:rFonts w:hint="eastAsia" w:ascii="楷体_GB2312" w:hAnsi="宋体" w:eastAsia="楷体_GB2312" w:cs="楷体_GB2312"/>
          <w:b/>
          <w:bCs w:val="0"/>
          <w:szCs w:val="21"/>
          <w:lang w:val="en-US"/>
        </w:rPr>
      </w:pPr>
      <w:r>
        <w:rPr>
          <w:rFonts w:hint="eastAsia" w:ascii="楷体_GB2312" w:hAnsi="宋体" w:eastAsia="楷体_GB2312" w:cs="楷体_GB2312"/>
          <w:b/>
          <w:bCs w:val="0"/>
          <w:kern w:val="2"/>
          <w:sz w:val="32"/>
          <w:szCs w:val="21"/>
          <w:lang w:val="en-US" w:eastAsia="zh-CN"/>
        </w:rPr>
        <w:t>（二）绩效分析</w:t>
      </w:r>
    </w:p>
    <w:p>
      <w:pPr>
        <w:widowControl w:val="0"/>
        <w:snapToGrid w:val="0"/>
        <w:spacing w:before="0" w:beforeAutospacing="0" w:after="0" w:afterAutospacing="0" w:line="580" w:lineRule="exact"/>
        <w:ind w:left="0" w:right="0" w:firstLine="640" w:firstLineChars="200"/>
        <w:jc w:val="both"/>
        <w:rPr>
          <w:rFonts w:hint="eastAsia" w:ascii="宋体" w:hAnsi="宋体" w:eastAsia="仿宋_GB2312" w:cs="宋体"/>
          <w:kern w:val="2"/>
          <w:sz w:val="32"/>
          <w:szCs w:val="21"/>
          <w:lang w:val="en-US" w:eastAsia="zh-CN"/>
        </w:rPr>
      </w:pPr>
      <w:r>
        <w:rPr>
          <w:rFonts w:hint="eastAsia" w:ascii="宋体" w:hAnsi="宋体" w:eastAsia="仿宋_GB2312" w:cs="仿宋_GB2312"/>
          <w:kern w:val="2"/>
          <w:sz w:val="32"/>
          <w:szCs w:val="21"/>
          <w:lang w:val="en-US" w:eastAsia="zh-CN"/>
        </w:rPr>
        <w:t>机关事业单位干部职工人员流动编卡变动项目</w:t>
      </w:r>
      <w:r>
        <w:rPr>
          <w:rFonts w:hint="eastAsia" w:ascii="Times New Roman" w:hAnsi="宋体" w:eastAsia="仿宋_GB2312" w:cs="仿宋_GB2312"/>
          <w:kern w:val="2"/>
          <w:sz w:val="32"/>
          <w:szCs w:val="24"/>
          <w:lang w:val="en-US" w:eastAsia="zh-CN"/>
        </w:rPr>
        <w:t>项目</w:t>
      </w:r>
      <w:r>
        <w:rPr>
          <w:rFonts w:hint="eastAsia" w:ascii="宋体" w:hAnsi="宋体" w:eastAsia="仿宋_GB2312" w:cs="仿宋_GB2312"/>
          <w:kern w:val="2"/>
          <w:sz w:val="32"/>
          <w:szCs w:val="21"/>
          <w:lang w:val="en-US" w:eastAsia="zh-CN"/>
        </w:rPr>
        <w:t>经费支出严格按照相关制度执行，全部用于编办日常事务支出，保证了编办的正常运转。</w:t>
      </w:r>
    </w:p>
    <w:p>
      <w:pPr>
        <w:widowControl w:val="0"/>
        <w:snapToGrid w:val="0"/>
        <w:spacing w:before="0" w:beforeAutospacing="0" w:after="0" w:afterAutospacing="0" w:line="580" w:lineRule="exact"/>
        <w:ind w:left="0" w:right="0" w:firstLine="640" w:firstLineChars="200"/>
        <w:jc w:val="both"/>
        <w:rPr>
          <w:rFonts w:hint="eastAsia" w:ascii="宋体" w:hAnsi="宋体" w:eastAsia="仿宋_GB2312" w:cs="宋体"/>
          <w:szCs w:val="21"/>
          <w:lang w:val="en-US"/>
        </w:rPr>
      </w:pPr>
      <w:r>
        <w:rPr>
          <w:rFonts w:hint="eastAsia" w:ascii="宋体" w:hAnsi="宋体" w:eastAsia="仿宋_GB2312" w:cs="宋体"/>
          <w:kern w:val="2"/>
          <w:sz w:val="32"/>
          <w:szCs w:val="21"/>
          <w:lang w:val="en-US" w:eastAsia="zh-CN"/>
        </w:rPr>
        <w:t>1</w:t>
      </w:r>
      <w:r>
        <w:rPr>
          <w:rFonts w:hint="eastAsia" w:ascii="宋体" w:hAnsi="宋体" w:eastAsia="仿宋_GB2312" w:cs="仿宋_GB2312"/>
          <w:kern w:val="2"/>
          <w:sz w:val="32"/>
          <w:szCs w:val="21"/>
          <w:lang w:val="en-US" w:eastAsia="zh-CN"/>
        </w:rPr>
        <w:t>、项目决策</w:t>
      </w:r>
    </w:p>
    <w:p>
      <w:pPr>
        <w:widowControl w:val="0"/>
        <w:snapToGrid w:val="0"/>
        <w:spacing w:before="0" w:beforeAutospacing="0" w:after="0" w:afterAutospacing="0" w:line="580" w:lineRule="exact"/>
        <w:ind w:left="0" w:right="0" w:firstLine="640" w:firstLineChars="200"/>
        <w:jc w:val="both"/>
        <w:rPr>
          <w:rFonts w:hint="eastAsia" w:ascii="宋体" w:hAnsi="宋体" w:eastAsia="仿宋_GB2312" w:cs="仿宋_GB2312"/>
          <w:kern w:val="2"/>
          <w:sz w:val="32"/>
          <w:szCs w:val="21"/>
          <w:lang w:val="en-US" w:eastAsia="zh-CN"/>
        </w:rPr>
      </w:pPr>
      <w:r>
        <w:rPr>
          <w:rFonts w:hint="eastAsia" w:ascii="宋体" w:hAnsi="宋体" w:eastAsia="仿宋_GB2312" w:cs="仿宋_GB2312"/>
          <w:kern w:val="2"/>
          <w:sz w:val="32"/>
          <w:szCs w:val="21"/>
          <w:lang w:val="en-US" w:eastAsia="zh-CN"/>
        </w:rPr>
        <w:t>该项目为持续性项目，保证全县机构编制信息化工作顺利进行。</w:t>
      </w:r>
    </w:p>
    <w:p>
      <w:pPr>
        <w:widowControl w:val="0"/>
        <w:snapToGrid w:val="0"/>
        <w:spacing w:before="0" w:beforeAutospacing="0" w:after="0" w:afterAutospacing="0" w:line="580" w:lineRule="exact"/>
        <w:ind w:left="0" w:right="0" w:firstLine="640" w:firstLineChars="200"/>
        <w:jc w:val="both"/>
        <w:rPr>
          <w:rFonts w:hint="eastAsia" w:ascii="宋体" w:hAnsi="宋体" w:eastAsia="仿宋_GB2312" w:cs="宋体"/>
          <w:szCs w:val="21"/>
          <w:lang w:val="en-US"/>
        </w:rPr>
      </w:pPr>
      <w:r>
        <w:rPr>
          <w:rFonts w:hint="eastAsia" w:ascii="宋体" w:hAnsi="宋体" w:eastAsia="仿宋_GB2312" w:cs="宋体"/>
          <w:kern w:val="2"/>
          <w:sz w:val="32"/>
          <w:szCs w:val="21"/>
          <w:lang w:val="en-US" w:eastAsia="zh-CN"/>
        </w:rPr>
        <w:t>2</w:t>
      </w:r>
      <w:r>
        <w:rPr>
          <w:rFonts w:hint="eastAsia" w:ascii="宋体" w:hAnsi="宋体" w:eastAsia="仿宋_GB2312" w:cs="仿宋_GB2312"/>
          <w:kern w:val="2"/>
          <w:sz w:val="32"/>
          <w:szCs w:val="21"/>
          <w:lang w:val="en-US" w:eastAsia="zh-CN"/>
        </w:rPr>
        <w:t>、项目管理</w:t>
      </w:r>
    </w:p>
    <w:p>
      <w:pPr>
        <w:widowControl w:val="0"/>
        <w:snapToGrid w:val="0"/>
        <w:spacing w:before="0" w:beforeAutospacing="0" w:after="0" w:afterAutospacing="0" w:line="580" w:lineRule="exact"/>
        <w:ind w:left="0" w:right="0" w:firstLine="640" w:firstLineChars="200"/>
        <w:jc w:val="both"/>
        <w:rPr>
          <w:rFonts w:hint="eastAsia" w:ascii="宋体" w:hAnsi="宋体" w:eastAsia="仿宋_GB2312" w:cs="仿宋_GB2312"/>
          <w:kern w:val="2"/>
          <w:sz w:val="32"/>
          <w:szCs w:val="21"/>
          <w:lang w:val="en-US" w:eastAsia="zh-CN"/>
        </w:rPr>
      </w:pPr>
      <w:r>
        <w:rPr>
          <w:rFonts w:hint="eastAsia" w:ascii="宋体" w:hAnsi="宋体" w:eastAsia="仿宋_GB2312" w:cs="仿宋_GB2312"/>
          <w:kern w:val="2"/>
          <w:sz w:val="32"/>
          <w:szCs w:val="21"/>
          <w:lang w:val="en-US" w:eastAsia="zh-CN"/>
        </w:rPr>
        <w:t>县委编办根据国家有关财政法律法规和实际，制定了一系列的财务管理制度，全部资金由财务人员统一管理。在资金使用上一直按照国家法律及地方法规和单位财政制度规定以及有关专项资金管理办法规定，有关报销发票和报销条据先由报账员审核后，再由领导签字同意后到财政对应科室审核。</w:t>
      </w:r>
    </w:p>
    <w:p>
      <w:pPr>
        <w:widowControl w:val="0"/>
        <w:snapToGrid w:val="0"/>
        <w:spacing w:before="0" w:beforeAutospacing="0" w:after="0" w:afterAutospacing="0" w:line="580" w:lineRule="exact"/>
        <w:ind w:left="0" w:right="0" w:firstLine="640" w:firstLineChars="200"/>
        <w:jc w:val="both"/>
        <w:rPr>
          <w:rFonts w:hint="eastAsia" w:ascii="宋体" w:hAnsi="宋体" w:eastAsia="仿宋_GB2312" w:cs="宋体"/>
          <w:szCs w:val="21"/>
          <w:lang w:val="en-US"/>
        </w:rPr>
      </w:pPr>
      <w:r>
        <w:rPr>
          <w:rFonts w:hint="eastAsia" w:ascii="宋体" w:hAnsi="宋体" w:eastAsia="仿宋_GB2312" w:cs="宋体"/>
          <w:kern w:val="2"/>
          <w:sz w:val="32"/>
          <w:szCs w:val="21"/>
          <w:lang w:val="en-US" w:eastAsia="zh-CN"/>
        </w:rPr>
        <w:t>3</w:t>
      </w:r>
      <w:r>
        <w:rPr>
          <w:rFonts w:hint="eastAsia" w:ascii="宋体" w:hAnsi="宋体" w:eastAsia="仿宋_GB2312" w:cs="仿宋_GB2312"/>
          <w:kern w:val="2"/>
          <w:sz w:val="32"/>
          <w:szCs w:val="21"/>
          <w:lang w:val="en-US" w:eastAsia="zh-CN"/>
        </w:rPr>
        <w:t>、该项目绩效完成较好，各项工作任务顺利完成。</w:t>
      </w:r>
    </w:p>
    <w:p>
      <w:pPr>
        <w:widowControl w:val="0"/>
        <w:snapToGrid w:val="0"/>
        <w:spacing w:before="0" w:beforeAutospacing="0" w:after="0" w:afterAutospacing="0" w:line="580" w:lineRule="exact"/>
        <w:ind w:left="0" w:right="0" w:firstLine="640" w:firstLineChars="200"/>
        <w:jc w:val="both"/>
        <w:rPr>
          <w:rFonts w:hint="eastAsia" w:ascii="黑体" w:hAnsi="宋体" w:eastAsia="黑体" w:cs="黑体"/>
          <w:szCs w:val="21"/>
          <w:lang w:val="en-US"/>
        </w:rPr>
      </w:pPr>
      <w:r>
        <w:rPr>
          <w:rFonts w:hint="eastAsia" w:ascii="黑体" w:hAnsi="宋体" w:eastAsia="黑体" w:cs="黑体"/>
          <w:kern w:val="2"/>
          <w:sz w:val="32"/>
          <w:szCs w:val="21"/>
          <w:lang w:val="en-US" w:eastAsia="zh-CN"/>
        </w:rPr>
        <w:t>四、存在主要问题</w:t>
      </w:r>
    </w:p>
    <w:p>
      <w:pPr>
        <w:widowControl w:val="0"/>
        <w:snapToGrid w:val="0"/>
        <w:spacing w:before="0" w:beforeAutospacing="0" w:after="0" w:afterAutospacing="0" w:line="580" w:lineRule="exact"/>
        <w:ind w:left="0" w:right="0" w:firstLine="640" w:firstLineChars="200"/>
        <w:jc w:val="both"/>
        <w:rPr>
          <w:rFonts w:hint="eastAsia" w:ascii="仿宋_GB2312" w:hAnsi="仿宋_GB2312" w:eastAsia="仿宋_GB2312" w:cs="仿宋_GB2312"/>
          <w:kern w:val="2"/>
          <w:sz w:val="32"/>
          <w:szCs w:val="21"/>
          <w:lang w:val="en-US" w:eastAsia="zh-CN"/>
        </w:rPr>
      </w:pPr>
      <w:r>
        <w:rPr>
          <w:rFonts w:hint="eastAsia" w:ascii="仿宋_GB2312" w:hAnsi="仿宋_GB2312" w:eastAsia="仿宋_GB2312" w:cs="仿宋_GB2312"/>
          <w:kern w:val="2"/>
          <w:sz w:val="32"/>
          <w:szCs w:val="21"/>
          <w:lang w:val="en-US" w:eastAsia="zh-CN"/>
        </w:rPr>
        <w:t>无。</w:t>
      </w:r>
    </w:p>
    <w:p>
      <w:pPr>
        <w:widowControl w:val="0"/>
        <w:snapToGrid w:val="0"/>
        <w:spacing w:before="0" w:beforeAutospacing="0" w:after="0" w:afterAutospacing="0" w:line="580" w:lineRule="exact"/>
        <w:ind w:left="0" w:right="0" w:firstLine="640" w:firstLineChars="200"/>
        <w:jc w:val="both"/>
        <w:rPr>
          <w:rFonts w:hint="eastAsia" w:ascii="黑体" w:hAnsi="宋体" w:eastAsia="黑体" w:cs="黑体"/>
          <w:szCs w:val="21"/>
          <w:lang w:val="en-US"/>
        </w:rPr>
      </w:pPr>
      <w:r>
        <w:rPr>
          <w:rFonts w:hint="eastAsia" w:ascii="黑体" w:hAnsi="宋体" w:eastAsia="黑体" w:cs="黑体"/>
          <w:kern w:val="2"/>
          <w:sz w:val="32"/>
          <w:szCs w:val="21"/>
          <w:lang w:val="en-US" w:eastAsia="zh-CN"/>
        </w:rPr>
        <w:t>五、相关措施建议</w:t>
      </w:r>
    </w:p>
    <w:p/>
    <w:p>
      <w:pPr>
        <w:spacing w:line="600" w:lineRule="exact"/>
        <w:jc w:val="left"/>
        <w:outlineLvl w:val="0"/>
        <w:rPr>
          <w:rFonts w:hint="default" w:ascii="仿宋_GB2312" w:hAnsi="仿宋_GB2312" w:eastAsia="仿宋_GB2312" w:cs="仿宋_GB2312"/>
          <w:kern w:val="2"/>
          <w:sz w:val="32"/>
          <w:szCs w:val="21"/>
          <w:lang w:val="en-US" w:eastAsia="zh-CN"/>
        </w:rPr>
      </w:pPr>
      <w:r>
        <w:rPr>
          <w:rFonts w:hint="eastAsia" w:ascii="黑体" w:hAnsi="黑体" w:eastAsia="黑体"/>
          <w:color w:val="000000"/>
          <w:sz w:val="44"/>
          <w:szCs w:val="44"/>
          <w:lang w:val="en-US" w:eastAsia="zh-CN"/>
        </w:rPr>
        <w:t xml:space="preserve"> </w:t>
      </w:r>
      <w:r>
        <w:rPr>
          <w:rFonts w:hint="eastAsia" w:ascii="仿宋_GB2312" w:hAnsi="仿宋_GB2312" w:eastAsia="仿宋_GB2312" w:cs="仿宋_GB2312"/>
          <w:kern w:val="2"/>
          <w:sz w:val="32"/>
          <w:szCs w:val="21"/>
          <w:lang w:val="en-US" w:eastAsia="zh-CN"/>
        </w:rPr>
        <w:t xml:space="preserve">  </w:t>
      </w:r>
      <w:bookmarkStart w:id="103" w:name="_Toc28223"/>
      <w:r>
        <w:rPr>
          <w:rFonts w:hint="eastAsia" w:ascii="仿宋_GB2312" w:hAnsi="仿宋_GB2312" w:eastAsia="仿宋_GB2312" w:cs="仿宋_GB2312"/>
          <w:kern w:val="2"/>
          <w:sz w:val="32"/>
          <w:szCs w:val="21"/>
          <w:lang w:val="en-US" w:eastAsia="zh-CN"/>
        </w:rPr>
        <w:t>无。</w:t>
      </w:r>
      <w:bookmarkEnd w:id="103"/>
    </w:p>
    <w:p>
      <w:pPr>
        <w:spacing w:line="600" w:lineRule="exact"/>
        <w:jc w:val="center"/>
        <w:outlineLvl w:val="0"/>
        <w:rPr>
          <w:rStyle w:val="28"/>
          <w:rFonts w:ascii="黑体" w:hAnsi="黑体" w:eastAsia="黑体"/>
          <w:b w:val="0"/>
        </w:rPr>
      </w:pPr>
    </w:p>
    <w:p>
      <w:pPr>
        <w:spacing w:line="600" w:lineRule="exact"/>
        <w:jc w:val="center"/>
        <w:outlineLvl w:val="0"/>
        <w:rPr>
          <w:rStyle w:val="28"/>
          <w:rFonts w:ascii="黑体" w:hAnsi="黑体" w:eastAsia="黑体"/>
          <w:b w:val="0"/>
        </w:rPr>
      </w:pPr>
    </w:p>
    <w:p>
      <w:pPr>
        <w:spacing w:line="600" w:lineRule="exact"/>
        <w:jc w:val="both"/>
        <w:outlineLvl w:val="0"/>
        <w:rPr>
          <w:rStyle w:val="28"/>
          <w:rFonts w:ascii="黑体" w:hAnsi="黑体" w:eastAsia="黑体"/>
          <w:b w:val="0"/>
        </w:rPr>
      </w:pPr>
    </w:p>
    <w:p>
      <w:pPr>
        <w:spacing w:line="600" w:lineRule="exact"/>
        <w:jc w:val="center"/>
        <w:outlineLvl w:val="0"/>
        <w:rPr>
          <w:rStyle w:val="28"/>
          <w:rFonts w:ascii="黑体" w:hAnsi="黑体" w:eastAsia="黑体"/>
          <w:b w:val="0"/>
        </w:rPr>
      </w:pPr>
    </w:p>
    <w:p>
      <w:pPr>
        <w:spacing w:line="600" w:lineRule="exact"/>
        <w:jc w:val="center"/>
        <w:outlineLvl w:val="0"/>
        <w:rPr>
          <w:rStyle w:val="28"/>
          <w:rFonts w:ascii="黑体" w:hAnsi="黑体" w:eastAsia="黑体"/>
          <w:b w:val="0"/>
        </w:rPr>
      </w:pPr>
      <w:bookmarkStart w:id="104" w:name="_Toc15396618"/>
      <w:bookmarkStart w:id="105" w:name="_Toc17847"/>
      <w:r>
        <w:rPr>
          <w:rFonts w:hint="eastAsia" w:ascii="黑体" w:hAnsi="黑体" w:eastAsia="黑体"/>
          <w:color w:val="000000"/>
          <w:sz w:val="44"/>
          <w:szCs w:val="44"/>
        </w:rPr>
        <w:t>第</w:t>
      </w:r>
      <w:r>
        <w:rPr>
          <w:rStyle w:val="28"/>
          <w:rFonts w:hint="eastAsia" w:ascii="黑体" w:hAnsi="黑体" w:eastAsia="黑体"/>
          <w:b w:val="0"/>
        </w:rPr>
        <w:t>五部分 附表</w:t>
      </w:r>
      <w:bookmarkEnd w:id="96"/>
      <w:bookmarkEnd w:id="104"/>
      <w:bookmarkEnd w:id="105"/>
    </w:p>
    <w:p>
      <w:pPr>
        <w:spacing w:line="600" w:lineRule="exact"/>
        <w:jc w:val="center"/>
        <w:outlineLvl w:val="0"/>
        <w:rPr>
          <w:rFonts w:ascii="仿宋" w:hAnsi="仿宋" w:eastAsia="仿宋"/>
          <w:b/>
          <w:color w:val="000000"/>
          <w:sz w:val="44"/>
          <w:szCs w:val="44"/>
        </w:rPr>
      </w:pPr>
    </w:p>
    <w:p>
      <w:pPr>
        <w:pStyle w:val="3"/>
        <w:rPr>
          <w:rFonts w:ascii="仿宋" w:hAnsi="仿宋" w:eastAsia="仿宋"/>
          <w:color w:val="000000"/>
        </w:rPr>
      </w:pPr>
      <w:bookmarkStart w:id="106" w:name="_Toc15396619"/>
      <w:bookmarkStart w:id="107" w:name="_Toc920"/>
      <w:r>
        <w:rPr>
          <w:rFonts w:hint="eastAsia" w:ascii="仿宋" w:hAnsi="仿宋" w:eastAsia="仿宋"/>
          <w:b w:val="0"/>
          <w:color w:val="000000"/>
        </w:rPr>
        <w:t>一、收</w:t>
      </w:r>
      <w:r>
        <w:rPr>
          <w:rStyle w:val="29"/>
          <w:rFonts w:hint="eastAsia" w:ascii="仿宋" w:hAnsi="仿宋" w:eastAsia="仿宋"/>
          <w:b w:val="0"/>
          <w:bCs w:val="0"/>
        </w:rPr>
        <w:t>入支出决算总表</w:t>
      </w:r>
      <w:bookmarkEnd w:id="106"/>
      <w:bookmarkEnd w:id="107"/>
    </w:p>
    <w:p>
      <w:pPr>
        <w:pStyle w:val="3"/>
        <w:rPr>
          <w:rFonts w:ascii="仿宋" w:hAnsi="仿宋" w:eastAsia="仿宋"/>
          <w:color w:val="000000"/>
        </w:rPr>
      </w:pPr>
      <w:bookmarkStart w:id="108" w:name="_Toc15396620"/>
      <w:bookmarkStart w:id="109" w:name="_Toc2822"/>
      <w:r>
        <w:rPr>
          <w:rFonts w:hint="eastAsia" w:ascii="仿宋" w:hAnsi="仿宋" w:eastAsia="仿宋"/>
          <w:b w:val="0"/>
          <w:color w:val="000000"/>
        </w:rPr>
        <w:t>二、收</w:t>
      </w:r>
      <w:r>
        <w:rPr>
          <w:rStyle w:val="29"/>
          <w:rFonts w:hint="eastAsia" w:ascii="仿宋" w:hAnsi="仿宋" w:eastAsia="仿宋"/>
          <w:b w:val="0"/>
          <w:bCs w:val="0"/>
        </w:rPr>
        <w:t>入决算表</w:t>
      </w:r>
      <w:bookmarkEnd w:id="108"/>
      <w:bookmarkEnd w:id="109"/>
    </w:p>
    <w:p>
      <w:pPr>
        <w:pStyle w:val="3"/>
        <w:rPr>
          <w:rFonts w:ascii="仿宋" w:hAnsi="仿宋" w:eastAsia="仿宋"/>
          <w:color w:val="000000"/>
        </w:rPr>
      </w:pPr>
      <w:bookmarkStart w:id="110" w:name="_Toc18364"/>
      <w:bookmarkStart w:id="111" w:name="_Toc15396621"/>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出决算表</w:t>
      </w:r>
      <w:bookmarkEnd w:id="110"/>
      <w:bookmarkEnd w:id="111"/>
    </w:p>
    <w:p>
      <w:pPr>
        <w:pStyle w:val="3"/>
        <w:rPr>
          <w:rFonts w:ascii="仿宋" w:hAnsi="仿宋" w:eastAsia="仿宋"/>
          <w:b w:val="0"/>
          <w:color w:val="000000"/>
        </w:rPr>
      </w:pPr>
      <w:bookmarkStart w:id="112" w:name="_Toc15396622"/>
      <w:bookmarkStart w:id="113" w:name="_Toc5640"/>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112"/>
      <w:bookmarkEnd w:id="113"/>
    </w:p>
    <w:p>
      <w:pPr>
        <w:pStyle w:val="3"/>
        <w:rPr>
          <w:rStyle w:val="29"/>
          <w:rFonts w:ascii="仿宋" w:hAnsi="仿宋" w:eastAsia="仿宋"/>
          <w:b w:val="0"/>
          <w:bCs w:val="0"/>
        </w:rPr>
      </w:pPr>
      <w:bookmarkStart w:id="114" w:name="_Toc15396623"/>
      <w:bookmarkStart w:id="115" w:name="_Toc25994"/>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w:t>
      </w:r>
      <w:bookmarkEnd w:id="114"/>
      <w:bookmarkEnd w:id="115"/>
      <w:bookmarkStart w:id="116" w:name="_Toc15396624"/>
    </w:p>
    <w:p>
      <w:pPr>
        <w:pStyle w:val="3"/>
        <w:rPr>
          <w:rFonts w:ascii="仿宋" w:hAnsi="仿宋" w:eastAsia="仿宋"/>
          <w:color w:val="000000"/>
        </w:rPr>
      </w:pPr>
      <w:bookmarkStart w:id="117" w:name="_Toc12485"/>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116"/>
      <w:bookmarkEnd w:id="117"/>
    </w:p>
    <w:p>
      <w:pPr>
        <w:pStyle w:val="3"/>
        <w:rPr>
          <w:rFonts w:ascii="仿宋" w:hAnsi="仿宋" w:eastAsia="仿宋"/>
          <w:color w:val="000000"/>
        </w:rPr>
      </w:pPr>
      <w:bookmarkStart w:id="118" w:name="_Toc15396625"/>
      <w:bookmarkStart w:id="119" w:name="_Toc9989"/>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118"/>
      <w:bookmarkEnd w:id="119"/>
    </w:p>
    <w:p>
      <w:pPr>
        <w:pStyle w:val="3"/>
        <w:rPr>
          <w:rFonts w:ascii="仿宋" w:hAnsi="仿宋" w:eastAsia="仿宋"/>
          <w:color w:val="000000"/>
        </w:rPr>
      </w:pPr>
      <w:bookmarkStart w:id="120" w:name="_Toc27873"/>
      <w:bookmarkStart w:id="121" w:name="_Toc15396626"/>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120"/>
      <w:bookmarkEnd w:id="121"/>
    </w:p>
    <w:p>
      <w:pPr>
        <w:pStyle w:val="3"/>
        <w:rPr>
          <w:rFonts w:ascii="仿宋" w:hAnsi="仿宋" w:eastAsia="仿宋"/>
          <w:color w:val="000000"/>
        </w:rPr>
      </w:pPr>
      <w:bookmarkStart w:id="122" w:name="_Toc15396627"/>
      <w:bookmarkStart w:id="123" w:name="_Toc20519"/>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122"/>
      <w:bookmarkEnd w:id="123"/>
    </w:p>
    <w:p>
      <w:pPr>
        <w:pStyle w:val="3"/>
        <w:rPr>
          <w:rFonts w:ascii="仿宋" w:hAnsi="仿宋" w:eastAsia="仿宋"/>
          <w:color w:val="000000"/>
        </w:rPr>
      </w:pPr>
      <w:bookmarkStart w:id="124" w:name="_Toc15396628"/>
      <w:bookmarkStart w:id="125" w:name="_Toc15280"/>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124"/>
      <w:bookmarkEnd w:id="125"/>
    </w:p>
    <w:p>
      <w:pPr>
        <w:pStyle w:val="3"/>
        <w:rPr>
          <w:rFonts w:ascii="仿宋" w:hAnsi="仿宋" w:eastAsia="仿宋"/>
          <w:color w:val="000000"/>
        </w:rPr>
      </w:pPr>
      <w:bookmarkStart w:id="126" w:name="_Toc15396629"/>
      <w:bookmarkStart w:id="127" w:name="_Toc23860"/>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126"/>
      <w:bookmarkEnd w:id="127"/>
    </w:p>
    <w:p>
      <w:pPr>
        <w:pStyle w:val="3"/>
        <w:rPr>
          <w:rFonts w:ascii="仿宋" w:hAnsi="仿宋" w:eastAsia="仿宋"/>
          <w:color w:val="000000"/>
        </w:rPr>
      </w:pPr>
      <w:bookmarkStart w:id="128" w:name="_Toc15396630"/>
      <w:bookmarkStart w:id="129" w:name="_Toc8127"/>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128"/>
      <w:bookmarkEnd w:id="129"/>
    </w:p>
    <w:p>
      <w:pPr>
        <w:pStyle w:val="3"/>
        <w:rPr>
          <w:rFonts w:ascii="仿宋" w:hAnsi="仿宋" w:eastAsia="仿宋"/>
          <w:color w:val="000000"/>
        </w:rPr>
      </w:pPr>
      <w:bookmarkStart w:id="130" w:name="_Toc15396631"/>
      <w:bookmarkStart w:id="131" w:name="_Toc10381"/>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有资本经营预算支出决算表</w:t>
      </w:r>
      <w:bookmarkEnd w:id="130"/>
      <w:bookmarkEnd w:id="131"/>
    </w:p>
    <w:sectPr>
      <w:headerReference r:id="rId3" w:type="default"/>
      <w:footerReference r:id="rId4" w:type="default"/>
      <w:pgSz w:w="11906" w:h="16838"/>
      <w:pgMar w:top="1440" w:right="1800" w:bottom="1440" w:left="1800" w:header="851" w:footer="992" w:gutter="0"/>
      <w:pgNumType w:start="1"/>
      <w:cols w:space="720"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1"/>
    <w:family w:val="auto"/>
    <w:pitch w:val="default"/>
    <w:sig w:usb0="E0002AFF" w:usb1="C0007841"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auto"/>
    <w:pitch w:val="default"/>
    <w:sig w:usb0="E00002FF" w:usb1="400004FF" w:usb2="00000000" w:usb3="00000000" w:csb0="2000019F" w:csb1="00000000"/>
  </w:font>
  <w:font w:name="仿宋_GB2312">
    <w:panose1 w:val="02010609030101010101"/>
    <w:charset w:val="86"/>
    <w:family w:val="auto"/>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2</w:t>
    </w:r>
    <w:r>
      <w:fldChar w:fldCharType="end"/>
    </w:r>
  </w:p>
  <w:p>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9D83D108"/>
    <w:multiLevelType w:val="singleLevel"/>
    <w:tmpl w:val="9D83D108"/>
    <w:lvl w:ilvl="0" w:tentative="0">
      <w:start w:val="1"/>
      <w:numFmt w:val="decimal"/>
      <w:lvlText w:val="%1."/>
      <w:lvlJc w:val="left"/>
      <w:pPr>
        <w:tabs>
          <w:tab w:val="left" w:pos="312"/>
        </w:tabs>
      </w:pPr>
    </w:lvl>
  </w:abstractNum>
  <w:abstractNum w:abstractNumId="1">
    <w:nsid w:val="CCEFD133"/>
    <w:multiLevelType w:val="singleLevel"/>
    <w:tmpl w:val="CCEFD133"/>
    <w:lvl w:ilvl="0" w:tentative="0">
      <w:start w:val="2"/>
      <w:numFmt w:val="chineseCounting"/>
      <w:suff w:val="nothing"/>
      <w:lvlText w:val="（%1）"/>
      <w:lvlJc w:val="left"/>
      <w:rPr>
        <w:rFonts w:hint="eastAsia"/>
      </w:rPr>
    </w:lvl>
  </w:abstractNum>
  <w:abstractNum w:abstractNumId="2">
    <w:nsid w:val="CF652CEC"/>
    <w:multiLevelType w:val="singleLevel"/>
    <w:tmpl w:val="CF652CEC"/>
    <w:lvl w:ilvl="0" w:tentative="0">
      <w:start w:val="9"/>
      <w:numFmt w:val="chineseCounting"/>
      <w:suff w:val="nothing"/>
      <w:lvlText w:val="%1、"/>
      <w:lvlJc w:val="left"/>
      <w:rPr>
        <w:rFonts w:hint="eastAsia"/>
      </w:rPr>
    </w:lvl>
  </w:abstractNum>
  <w:abstractNum w:abstractNumId="3">
    <w:nsid w:val="E2FA047D"/>
    <w:multiLevelType w:val="singleLevel"/>
    <w:tmpl w:val="E2FA047D"/>
    <w:lvl w:ilvl="0" w:tentative="0">
      <w:start w:val="3"/>
      <w:numFmt w:val="chineseCounting"/>
      <w:suff w:val="space"/>
      <w:lvlText w:val="第%1部分"/>
      <w:lvlJc w:val="left"/>
      <w:rPr>
        <w:rFonts w:hint="eastAsia"/>
      </w:rPr>
    </w:lvl>
  </w:abstractNum>
  <w:abstractNum w:abstractNumId="4">
    <w:nsid w:val="0128D8A6"/>
    <w:multiLevelType w:val="singleLevel"/>
    <w:tmpl w:val="0128D8A6"/>
    <w:lvl w:ilvl="0" w:tentative="0">
      <w:start w:val="2"/>
      <w:numFmt w:val="chineseCounting"/>
      <w:suff w:val="nothing"/>
      <w:lvlText w:val="（%1）"/>
      <w:lvlJc w:val="left"/>
      <w:rPr>
        <w:rFonts w:hint="eastAsia"/>
      </w:rPr>
    </w:lvl>
  </w:abstractNum>
  <w:abstractNum w:abstractNumId="5">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6">
    <w:nsid w:val="2D4D9957"/>
    <w:multiLevelType w:val="singleLevel"/>
    <w:tmpl w:val="2D4D9957"/>
    <w:lvl w:ilvl="0" w:tentative="0">
      <w:start w:val="1"/>
      <w:numFmt w:val="decimal"/>
      <w:lvlText w:val="%1."/>
      <w:lvlJc w:val="left"/>
      <w:pPr>
        <w:tabs>
          <w:tab w:val="left" w:pos="312"/>
        </w:tabs>
      </w:pPr>
    </w:lvl>
  </w:abstractNum>
  <w:abstractNum w:abstractNumId="7">
    <w:nsid w:val="42D2E821"/>
    <w:multiLevelType w:val="singleLevel"/>
    <w:tmpl w:val="42D2E821"/>
    <w:lvl w:ilvl="0" w:tentative="0">
      <w:start w:val="1"/>
      <w:numFmt w:val="chineseCounting"/>
      <w:suff w:val="nothing"/>
      <w:lvlText w:val="（%1）"/>
      <w:lvlJc w:val="left"/>
      <w:rPr>
        <w:rFonts w:hint="eastAsia"/>
      </w:rPr>
    </w:lvl>
  </w:abstractNum>
  <w:abstractNum w:abstractNumId="8">
    <w:nsid w:val="5E450578"/>
    <w:multiLevelType w:val="singleLevel"/>
    <w:tmpl w:val="5E450578"/>
    <w:lvl w:ilvl="0" w:tentative="0">
      <w:start w:val="1"/>
      <w:numFmt w:val="chineseCounting"/>
      <w:suff w:val="nothing"/>
      <w:lvlText w:val="%1、"/>
      <w:lvlJc w:val="left"/>
      <w:rPr>
        <w:rFonts w:hint="eastAsia"/>
      </w:rPr>
    </w:lvl>
  </w:abstractNum>
  <w:abstractNum w:abstractNumId="9">
    <w:nsid w:val="62621CDC"/>
    <w:multiLevelType w:val="multilevel"/>
    <w:tmpl w:val="62621CDC"/>
    <w:lvl w:ilvl="0" w:tentative="0">
      <w:start w:val="1"/>
      <w:numFmt w:val="decimal"/>
      <w:lvlText w:val="%1."/>
      <w:lvlJc w:val="left"/>
      <w:pPr>
        <w:ind w:left="1152" w:hanging="480"/>
      </w:pPr>
      <w:rPr>
        <w:rFonts w:hint="default"/>
      </w:rPr>
    </w:lvl>
    <w:lvl w:ilvl="1" w:tentative="0">
      <w:start w:val="1"/>
      <w:numFmt w:val="lowerLetter"/>
      <w:lvlText w:val="%2)"/>
      <w:lvlJc w:val="left"/>
      <w:pPr>
        <w:ind w:left="1512" w:hanging="420"/>
      </w:pPr>
    </w:lvl>
    <w:lvl w:ilvl="2" w:tentative="0">
      <w:start w:val="1"/>
      <w:numFmt w:val="lowerRoman"/>
      <w:lvlText w:val="%3."/>
      <w:lvlJc w:val="right"/>
      <w:pPr>
        <w:ind w:left="1932" w:hanging="420"/>
      </w:pPr>
    </w:lvl>
    <w:lvl w:ilvl="3" w:tentative="0">
      <w:start w:val="1"/>
      <w:numFmt w:val="decimal"/>
      <w:lvlText w:val="%4."/>
      <w:lvlJc w:val="left"/>
      <w:pPr>
        <w:ind w:left="2352" w:hanging="420"/>
      </w:pPr>
    </w:lvl>
    <w:lvl w:ilvl="4" w:tentative="0">
      <w:start w:val="1"/>
      <w:numFmt w:val="lowerLetter"/>
      <w:lvlText w:val="%5)"/>
      <w:lvlJc w:val="left"/>
      <w:pPr>
        <w:ind w:left="2772" w:hanging="420"/>
      </w:pPr>
    </w:lvl>
    <w:lvl w:ilvl="5" w:tentative="0">
      <w:start w:val="1"/>
      <w:numFmt w:val="lowerRoman"/>
      <w:lvlText w:val="%6."/>
      <w:lvlJc w:val="right"/>
      <w:pPr>
        <w:ind w:left="3192" w:hanging="420"/>
      </w:pPr>
    </w:lvl>
    <w:lvl w:ilvl="6" w:tentative="0">
      <w:start w:val="1"/>
      <w:numFmt w:val="decimal"/>
      <w:lvlText w:val="%7."/>
      <w:lvlJc w:val="left"/>
      <w:pPr>
        <w:ind w:left="3612" w:hanging="420"/>
      </w:pPr>
    </w:lvl>
    <w:lvl w:ilvl="7" w:tentative="0">
      <w:start w:val="1"/>
      <w:numFmt w:val="lowerLetter"/>
      <w:lvlText w:val="%8)"/>
      <w:lvlJc w:val="left"/>
      <w:pPr>
        <w:ind w:left="4032" w:hanging="420"/>
      </w:pPr>
    </w:lvl>
    <w:lvl w:ilvl="8" w:tentative="0">
      <w:start w:val="1"/>
      <w:numFmt w:val="lowerRoman"/>
      <w:lvlText w:val="%9."/>
      <w:lvlJc w:val="right"/>
      <w:pPr>
        <w:ind w:left="4452" w:hanging="420"/>
      </w:pPr>
    </w:lvl>
  </w:abstractNum>
  <w:num w:numId="1">
    <w:abstractNumId w:val="9"/>
  </w:num>
  <w:num w:numId="2">
    <w:abstractNumId w:val="5"/>
  </w:num>
  <w:num w:numId="3">
    <w:abstractNumId w:val="6"/>
  </w:num>
  <w:num w:numId="4">
    <w:abstractNumId w:val="2"/>
  </w:num>
  <w:num w:numId="5">
    <w:abstractNumId w:val="0"/>
  </w:num>
  <w:num w:numId="6">
    <w:abstractNumId w:val="3"/>
  </w:num>
  <w:num w:numId="7">
    <w:abstractNumId w:val="1"/>
  </w:num>
  <w:num w:numId="8">
    <w:abstractNumId w:val="4"/>
  </w:num>
  <w:num w:numId="9">
    <w:abstractNumId w:val="7"/>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displayHangulFixedWidth/>
    <w:doNotVertAlignCellWithSp/>
    <w:doNotBreakConstrainedForcedTable/>
    <w:doNotVertAlignInTxbx/>
    <w:useAnsiKerningPairs/>
    <w:cachedColBalance/>
    <w:compatSetting w:name="compatibilityMode" w:uri="http://schemas.microsoft.com/office/word" w:val="12"/>
  </w:compat>
  <w:rsids>
    <w:rsidRoot w:val="00F1361C"/>
    <w:rsid w:val="000222C6"/>
    <w:rsid w:val="0002549F"/>
    <w:rsid w:val="000468DB"/>
    <w:rsid w:val="0006487A"/>
    <w:rsid w:val="00065F8F"/>
    <w:rsid w:val="00070A43"/>
    <w:rsid w:val="000768F2"/>
    <w:rsid w:val="0009184B"/>
    <w:rsid w:val="00094236"/>
    <w:rsid w:val="0009593C"/>
    <w:rsid w:val="00097322"/>
    <w:rsid w:val="000A6A92"/>
    <w:rsid w:val="000B047F"/>
    <w:rsid w:val="000B5923"/>
    <w:rsid w:val="000B5A48"/>
    <w:rsid w:val="000B6FF3"/>
    <w:rsid w:val="000C3467"/>
    <w:rsid w:val="000C3CA6"/>
    <w:rsid w:val="000D1267"/>
    <w:rsid w:val="000D1D50"/>
    <w:rsid w:val="000D5782"/>
    <w:rsid w:val="000E6613"/>
    <w:rsid w:val="000E7119"/>
    <w:rsid w:val="00114E9B"/>
    <w:rsid w:val="00142216"/>
    <w:rsid w:val="00144D6A"/>
    <w:rsid w:val="0014729F"/>
    <w:rsid w:val="00157BAB"/>
    <w:rsid w:val="001654D1"/>
    <w:rsid w:val="00174518"/>
    <w:rsid w:val="0018106D"/>
    <w:rsid w:val="001877A7"/>
    <w:rsid w:val="00191536"/>
    <w:rsid w:val="00196687"/>
    <w:rsid w:val="001C0962"/>
    <w:rsid w:val="001D7531"/>
    <w:rsid w:val="001E737D"/>
    <w:rsid w:val="001F0592"/>
    <w:rsid w:val="001F7506"/>
    <w:rsid w:val="002006CD"/>
    <w:rsid w:val="00202B36"/>
    <w:rsid w:val="00204B7A"/>
    <w:rsid w:val="00204CDE"/>
    <w:rsid w:val="0021101A"/>
    <w:rsid w:val="00220536"/>
    <w:rsid w:val="00235629"/>
    <w:rsid w:val="00260C38"/>
    <w:rsid w:val="002616C0"/>
    <w:rsid w:val="00265372"/>
    <w:rsid w:val="002662AA"/>
    <w:rsid w:val="00280496"/>
    <w:rsid w:val="00294DC9"/>
    <w:rsid w:val="00295495"/>
    <w:rsid w:val="002A31DE"/>
    <w:rsid w:val="002B2613"/>
    <w:rsid w:val="002D19B0"/>
    <w:rsid w:val="002D6D05"/>
    <w:rsid w:val="002F1818"/>
    <w:rsid w:val="002F567B"/>
    <w:rsid w:val="003216A9"/>
    <w:rsid w:val="00335A74"/>
    <w:rsid w:val="0036561B"/>
    <w:rsid w:val="0037013F"/>
    <w:rsid w:val="00380C92"/>
    <w:rsid w:val="003A484F"/>
    <w:rsid w:val="003A4883"/>
    <w:rsid w:val="003B0BE0"/>
    <w:rsid w:val="003B0C1B"/>
    <w:rsid w:val="003B688C"/>
    <w:rsid w:val="003C0291"/>
    <w:rsid w:val="003C39AE"/>
    <w:rsid w:val="003C7B60"/>
    <w:rsid w:val="003D0C0F"/>
    <w:rsid w:val="003D1FB2"/>
    <w:rsid w:val="003D66DA"/>
    <w:rsid w:val="003E1310"/>
    <w:rsid w:val="003E6F55"/>
    <w:rsid w:val="003F6619"/>
    <w:rsid w:val="00406254"/>
    <w:rsid w:val="00416CD4"/>
    <w:rsid w:val="004223DE"/>
    <w:rsid w:val="00434489"/>
    <w:rsid w:val="00437085"/>
    <w:rsid w:val="00443880"/>
    <w:rsid w:val="004464F4"/>
    <w:rsid w:val="00471401"/>
    <w:rsid w:val="00473F31"/>
    <w:rsid w:val="0048263A"/>
    <w:rsid w:val="00487E5D"/>
    <w:rsid w:val="004A711F"/>
    <w:rsid w:val="004B199D"/>
    <w:rsid w:val="004B4690"/>
    <w:rsid w:val="004E0A2D"/>
    <w:rsid w:val="004E206B"/>
    <w:rsid w:val="004E6DF7"/>
    <w:rsid w:val="004F0FBD"/>
    <w:rsid w:val="004F403E"/>
    <w:rsid w:val="00505A47"/>
    <w:rsid w:val="00512FDA"/>
    <w:rsid w:val="00520DA0"/>
    <w:rsid w:val="005664BB"/>
    <w:rsid w:val="00566FFA"/>
    <w:rsid w:val="0057481D"/>
    <w:rsid w:val="00575F0B"/>
    <w:rsid w:val="0058486E"/>
    <w:rsid w:val="00585B33"/>
    <w:rsid w:val="0059014D"/>
    <w:rsid w:val="005B5C64"/>
    <w:rsid w:val="005C6BD0"/>
    <w:rsid w:val="005C6C4C"/>
    <w:rsid w:val="005D1C8B"/>
    <w:rsid w:val="005D468D"/>
    <w:rsid w:val="005D5CED"/>
    <w:rsid w:val="005F1A4C"/>
    <w:rsid w:val="00605688"/>
    <w:rsid w:val="006070AF"/>
    <w:rsid w:val="00607E6C"/>
    <w:rsid w:val="006101B1"/>
    <w:rsid w:val="00614E44"/>
    <w:rsid w:val="0062270A"/>
    <w:rsid w:val="00622830"/>
    <w:rsid w:val="00623DA0"/>
    <w:rsid w:val="00630AEF"/>
    <w:rsid w:val="006325F8"/>
    <w:rsid w:val="00633463"/>
    <w:rsid w:val="00634C9A"/>
    <w:rsid w:val="006440E4"/>
    <w:rsid w:val="0066343B"/>
    <w:rsid w:val="00664777"/>
    <w:rsid w:val="006748A4"/>
    <w:rsid w:val="00681A31"/>
    <w:rsid w:val="00683E73"/>
    <w:rsid w:val="006A3141"/>
    <w:rsid w:val="006A5E34"/>
    <w:rsid w:val="006B2422"/>
    <w:rsid w:val="006B2B9A"/>
    <w:rsid w:val="006C1937"/>
    <w:rsid w:val="006F020C"/>
    <w:rsid w:val="007127B7"/>
    <w:rsid w:val="0071798E"/>
    <w:rsid w:val="00727533"/>
    <w:rsid w:val="007416B6"/>
    <w:rsid w:val="00746F48"/>
    <w:rsid w:val="0075404D"/>
    <w:rsid w:val="0076182A"/>
    <w:rsid w:val="00767B7E"/>
    <w:rsid w:val="007770C3"/>
    <w:rsid w:val="00784D24"/>
    <w:rsid w:val="00785FBA"/>
    <w:rsid w:val="00786E4A"/>
    <w:rsid w:val="007875EB"/>
    <w:rsid w:val="0079426B"/>
    <w:rsid w:val="007D1682"/>
    <w:rsid w:val="007D312A"/>
    <w:rsid w:val="007D3F19"/>
    <w:rsid w:val="007E23B0"/>
    <w:rsid w:val="007F1991"/>
    <w:rsid w:val="007F2C2F"/>
    <w:rsid w:val="007F55FC"/>
    <w:rsid w:val="007F5665"/>
    <w:rsid w:val="00800112"/>
    <w:rsid w:val="00813348"/>
    <w:rsid w:val="008253BB"/>
    <w:rsid w:val="00833962"/>
    <w:rsid w:val="0083706E"/>
    <w:rsid w:val="008408F6"/>
    <w:rsid w:val="008423A5"/>
    <w:rsid w:val="00850625"/>
    <w:rsid w:val="00853718"/>
    <w:rsid w:val="00855221"/>
    <w:rsid w:val="00860645"/>
    <w:rsid w:val="00871F71"/>
    <w:rsid w:val="00872FD8"/>
    <w:rsid w:val="00885AF4"/>
    <w:rsid w:val="008939CD"/>
    <w:rsid w:val="008B768C"/>
    <w:rsid w:val="008C4DB1"/>
    <w:rsid w:val="008C4EAF"/>
    <w:rsid w:val="008C5176"/>
    <w:rsid w:val="008C7FD0"/>
    <w:rsid w:val="008E1DE7"/>
    <w:rsid w:val="008E707C"/>
    <w:rsid w:val="00900B08"/>
    <w:rsid w:val="00902155"/>
    <w:rsid w:val="00902FA3"/>
    <w:rsid w:val="00923564"/>
    <w:rsid w:val="0092392E"/>
    <w:rsid w:val="009315F9"/>
    <w:rsid w:val="00933499"/>
    <w:rsid w:val="00935C98"/>
    <w:rsid w:val="00946945"/>
    <w:rsid w:val="00951248"/>
    <w:rsid w:val="0095152F"/>
    <w:rsid w:val="00954C49"/>
    <w:rsid w:val="00955E37"/>
    <w:rsid w:val="0097099F"/>
    <w:rsid w:val="00971997"/>
    <w:rsid w:val="00971FFC"/>
    <w:rsid w:val="0098660A"/>
    <w:rsid w:val="009931C3"/>
    <w:rsid w:val="009B2C43"/>
    <w:rsid w:val="009B4EAE"/>
    <w:rsid w:val="009B7573"/>
    <w:rsid w:val="009C22F4"/>
    <w:rsid w:val="009C2E98"/>
    <w:rsid w:val="009C37FB"/>
    <w:rsid w:val="009D3447"/>
    <w:rsid w:val="009D4711"/>
    <w:rsid w:val="009F1185"/>
    <w:rsid w:val="009F18CD"/>
    <w:rsid w:val="009F2A13"/>
    <w:rsid w:val="009F7527"/>
    <w:rsid w:val="00A039ED"/>
    <w:rsid w:val="00A04EB0"/>
    <w:rsid w:val="00A13CC1"/>
    <w:rsid w:val="00A16847"/>
    <w:rsid w:val="00A237D8"/>
    <w:rsid w:val="00A268C4"/>
    <w:rsid w:val="00A307CD"/>
    <w:rsid w:val="00A331C8"/>
    <w:rsid w:val="00A35117"/>
    <w:rsid w:val="00A40A00"/>
    <w:rsid w:val="00A4142F"/>
    <w:rsid w:val="00A422EB"/>
    <w:rsid w:val="00A45BB7"/>
    <w:rsid w:val="00A56DF2"/>
    <w:rsid w:val="00A56E6E"/>
    <w:rsid w:val="00A67AB5"/>
    <w:rsid w:val="00A733B2"/>
    <w:rsid w:val="00A741C2"/>
    <w:rsid w:val="00A91760"/>
    <w:rsid w:val="00A93B00"/>
    <w:rsid w:val="00A93C21"/>
    <w:rsid w:val="00AB64C9"/>
    <w:rsid w:val="00AC3C6A"/>
    <w:rsid w:val="00AD0F83"/>
    <w:rsid w:val="00AD5620"/>
    <w:rsid w:val="00AD656B"/>
    <w:rsid w:val="00AD7C1B"/>
    <w:rsid w:val="00AE16BA"/>
    <w:rsid w:val="00AE1EBE"/>
    <w:rsid w:val="00AF37A0"/>
    <w:rsid w:val="00B03C9D"/>
    <w:rsid w:val="00B060AE"/>
    <w:rsid w:val="00B10517"/>
    <w:rsid w:val="00B14E76"/>
    <w:rsid w:val="00B161B8"/>
    <w:rsid w:val="00B2048C"/>
    <w:rsid w:val="00B310B9"/>
    <w:rsid w:val="00B35F3F"/>
    <w:rsid w:val="00B36CBB"/>
    <w:rsid w:val="00B425E0"/>
    <w:rsid w:val="00B440AA"/>
    <w:rsid w:val="00B44B70"/>
    <w:rsid w:val="00B53C56"/>
    <w:rsid w:val="00B57DAF"/>
    <w:rsid w:val="00B77EA6"/>
    <w:rsid w:val="00B81598"/>
    <w:rsid w:val="00B841F1"/>
    <w:rsid w:val="00B944D6"/>
    <w:rsid w:val="00BB4DF0"/>
    <w:rsid w:val="00BC289F"/>
    <w:rsid w:val="00BC2D50"/>
    <w:rsid w:val="00BC5361"/>
    <w:rsid w:val="00BC5460"/>
    <w:rsid w:val="00BC6B50"/>
    <w:rsid w:val="00BD0E25"/>
    <w:rsid w:val="00BF5BD6"/>
    <w:rsid w:val="00C03E31"/>
    <w:rsid w:val="00C30E69"/>
    <w:rsid w:val="00C33E72"/>
    <w:rsid w:val="00C354B2"/>
    <w:rsid w:val="00C35554"/>
    <w:rsid w:val="00C42709"/>
    <w:rsid w:val="00C533CC"/>
    <w:rsid w:val="00C5751C"/>
    <w:rsid w:val="00C61BFC"/>
    <w:rsid w:val="00C62B85"/>
    <w:rsid w:val="00C65438"/>
    <w:rsid w:val="00C91CBB"/>
    <w:rsid w:val="00CB4E70"/>
    <w:rsid w:val="00CC09B6"/>
    <w:rsid w:val="00CC666F"/>
    <w:rsid w:val="00CD1E3F"/>
    <w:rsid w:val="00CE44F6"/>
    <w:rsid w:val="00CE49DA"/>
    <w:rsid w:val="00CE7B61"/>
    <w:rsid w:val="00D00095"/>
    <w:rsid w:val="00D114F0"/>
    <w:rsid w:val="00D179F5"/>
    <w:rsid w:val="00D20620"/>
    <w:rsid w:val="00D2207C"/>
    <w:rsid w:val="00D254F7"/>
    <w:rsid w:val="00D26091"/>
    <w:rsid w:val="00D2685C"/>
    <w:rsid w:val="00D34E7C"/>
    <w:rsid w:val="00D35489"/>
    <w:rsid w:val="00D36AFE"/>
    <w:rsid w:val="00D51276"/>
    <w:rsid w:val="00D7035F"/>
    <w:rsid w:val="00DA634F"/>
    <w:rsid w:val="00DA65AC"/>
    <w:rsid w:val="00DB1913"/>
    <w:rsid w:val="00DC410D"/>
    <w:rsid w:val="00DC5A81"/>
    <w:rsid w:val="00DC68CA"/>
    <w:rsid w:val="00DC7CBA"/>
    <w:rsid w:val="00DD73B7"/>
    <w:rsid w:val="00DF28BC"/>
    <w:rsid w:val="00DF34B9"/>
    <w:rsid w:val="00DF7548"/>
    <w:rsid w:val="00E01053"/>
    <w:rsid w:val="00E07ACF"/>
    <w:rsid w:val="00E331A1"/>
    <w:rsid w:val="00E33202"/>
    <w:rsid w:val="00E336A9"/>
    <w:rsid w:val="00E472B1"/>
    <w:rsid w:val="00E50624"/>
    <w:rsid w:val="00E568DF"/>
    <w:rsid w:val="00E64269"/>
    <w:rsid w:val="00E66797"/>
    <w:rsid w:val="00E82267"/>
    <w:rsid w:val="00E853CE"/>
    <w:rsid w:val="00E867B6"/>
    <w:rsid w:val="00E87F08"/>
    <w:rsid w:val="00EA010F"/>
    <w:rsid w:val="00ED1B63"/>
    <w:rsid w:val="00ED3C1F"/>
    <w:rsid w:val="00ED4085"/>
    <w:rsid w:val="00ED420E"/>
    <w:rsid w:val="00ED6FBE"/>
    <w:rsid w:val="00EE2F57"/>
    <w:rsid w:val="00EF4C34"/>
    <w:rsid w:val="00EF77C6"/>
    <w:rsid w:val="00F05438"/>
    <w:rsid w:val="00F1361C"/>
    <w:rsid w:val="00F156F0"/>
    <w:rsid w:val="00F160C7"/>
    <w:rsid w:val="00F2408F"/>
    <w:rsid w:val="00F240E9"/>
    <w:rsid w:val="00F36D8F"/>
    <w:rsid w:val="00F417B1"/>
    <w:rsid w:val="00F45853"/>
    <w:rsid w:val="00F602DF"/>
    <w:rsid w:val="00F754A1"/>
    <w:rsid w:val="00F81FD9"/>
    <w:rsid w:val="00F841AA"/>
    <w:rsid w:val="00F84A94"/>
    <w:rsid w:val="00F87E96"/>
    <w:rsid w:val="00FA23E8"/>
    <w:rsid w:val="00FD3CC1"/>
    <w:rsid w:val="00FF1E02"/>
    <w:rsid w:val="00FF30B4"/>
    <w:rsid w:val="015B203C"/>
    <w:rsid w:val="032E1872"/>
    <w:rsid w:val="078979B3"/>
    <w:rsid w:val="09036CE5"/>
    <w:rsid w:val="09501153"/>
    <w:rsid w:val="10C055FF"/>
    <w:rsid w:val="14A21DD0"/>
    <w:rsid w:val="16BB723D"/>
    <w:rsid w:val="16FE74A8"/>
    <w:rsid w:val="1A775168"/>
    <w:rsid w:val="1B412D43"/>
    <w:rsid w:val="1B6334A2"/>
    <w:rsid w:val="1D3A08FF"/>
    <w:rsid w:val="240371BF"/>
    <w:rsid w:val="27C73267"/>
    <w:rsid w:val="28051B1F"/>
    <w:rsid w:val="29FD04D3"/>
    <w:rsid w:val="319F7F4E"/>
    <w:rsid w:val="3BAE1E4F"/>
    <w:rsid w:val="40857091"/>
    <w:rsid w:val="41ED16A1"/>
    <w:rsid w:val="45536078"/>
    <w:rsid w:val="495C0B67"/>
    <w:rsid w:val="4B1931D8"/>
    <w:rsid w:val="4BDE3179"/>
    <w:rsid w:val="4C5D6775"/>
    <w:rsid w:val="4ECE2238"/>
    <w:rsid w:val="52C905AD"/>
    <w:rsid w:val="564634F5"/>
    <w:rsid w:val="57A70DE1"/>
    <w:rsid w:val="5DBC1974"/>
    <w:rsid w:val="627064D7"/>
    <w:rsid w:val="65853FF6"/>
    <w:rsid w:val="67802020"/>
    <w:rsid w:val="6CAA2061"/>
    <w:rsid w:val="6D0F7F79"/>
    <w:rsid w:val="6D340EF0"/>
    <w:rsid w:val="72734D90"/>
    <w:rsid w:val="783D0183"/>
    <w:rsid w:val="7C2155B3"/>
  </w:rsids>
  <m:mathPr>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t" stroke="t">
      <v:fill type="gradient" on="t" angle="90" focussize="0f,0f" focusposition="0f,0f">
        <o:fill type="gradientUnscaled" v:ext="backwardCompatible"/>
      </v:fill>
      <v:stroke weight="1.25pt" color="#739CC3"/>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semiHidden="0"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34"/>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9"/>
    <w:unhideWhenUsed/>
    <w:qFormat/>
    <w:uiPriority w:val="9"/>
    <w:pPr>
      <w:keepNext/>
      <w:keepLines/>
      <w:spacing w:before="260" w:after="260" w:line="416" w:lineRule="auto"/>
      <w:outlineLvl w:val="1"/>
    </w:pPr>
    <w:rPr>
      <w:rFonts w:ascii="Cambria" w:hAnsi="Cambria" w:eastAsia="宋体" w:cs="黑体"/>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5">
    <w:name w:val="Default Paragraph Font"/>
    <w:unhideWhenUsed/>
    <w:qFormat/>
    <w:uiPriority w:val="1"/>
  </w:style>
  <w:style w:type="table" w:default="1" w:styleId="14">
    <w:name w:val="Normal Table"/>
    <w:unhideWhenUsed/>
    <w:qFormat/>
    <w:uiPriority w:val="99"/>
    <w:pPr>
      <w:widowControl/>
      <w:spacing w:before="0" w:beforeAutospacing="0" w:after="0" w:afterAutospacing="0"/>
      <w:ind w:left="0" w:right="0"/>
    </w:pPr>
    <w:rPr>
      <w:rFonts w:ascii="Calibri" w:hAnsi="Calibri" w:eastAsia="宋体" w:cs="Times New Roman"/>
      <w:kern w:val="2"/>
      <w:sz w:val="21"/>
      <w:szCs w:val="22"/>
    </w:rPr>
    <w:tblPr>
      <w:tblCellMar>
        <w:top w:w="0" w:type="dxa"/>
        <w:left w:w="108" w:type="dxa"/>
        <w:bottom w:w="0" w:type="dxa"/>
        <w:right w:w="108" w:type="dxa"/>
      </w:tblCellMar>
    </w:tblPr>
  </w:style>
  <w:style w:type="paragraph" w:styleId="5">
    <w:name w:val="Body Text"/>
    <w:basedOn w:val="1"/>
    <w:link w:val="27"/>
    <w:qFormat/>
    <w:uiPriority w:val="99"/>
    <w:pPr>
      <w:spacing w:beforeLines="30"/>
    </w:pPr>
    <w:rPr>
      <w:rFonts w:ascii="仿宋_GB2312" w:eastAsia="仿宋_GB2312"/>
      <w:kern w:val="0"/>
      <w:sz w:val="30"/>
    </w:rPr>
  </w:style>
  <w:style w:type="paragraph" w:styleId="6">
    <w:name w:val="Body Text Indent"/>
    <w:basedOn w:val="1"/>
    <w:link w:val="32"/>
    <w:unhideWhenUsed/>
    <w:qFormat/>
    <w:uiPriority w:val="99"/>
    <w:pPr>
      <w:spacing w:after="120" w:afterLines="0" w:afterAutospacing="0"/>
      <w:ind w:left="420" w:leftChars="200"/>
    </w:p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0"/>
    <w:unhideWhenUsed/>
    <w:qFormat/>
    <w:uiPriority w:val="99"/>
    <w:rPr>
      <w:sz w:val="18"/>
      <w:szCs w:val="18"/>
    </w:rPr>
  </w:style>
  <w:style w:type="paragraph" w:styleId="9">
    <w:name w:val="footer"/>
    <w:basedOn w:val="1"/>
    <w:link w:val="25"/>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3"/>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Body Text First Indent 2"/>
    <w:basedOn w:val="6"/>
    <w:link w:val="33"/>
    <w:unhideWhenUsed/>
    <w:qFormat/>
    <w:uiPriority w:val="99"/>
    <w:pPr>
      <w:ind w:firstLine="420" w:firstLineChars="200"/>
    </w:pPr>
  </w:style>
  <w:style w:type="character" w:styleId="16">
    <w:name w:val="Strong"/>
    <w:basedOn w:val="15"/>
    <w:qFormat/>
    <w:uiPriority w:val="99"/>
    <w:rPr>
      <w:b/>
    </w:rPr>
  </w:style>
  <w:style w:type="character" w:styleId="17">
    <w:name w:val="Hyperlink"/>
    <w:basedOn w:val="15"/>
    <w:unhideWhenUsed/>
    <w:qFormat/>
    <w:uiPriority w:val="99"/>
    <w:rPr>
      <w:color w:val="0000FF"/>
      <w:u w:val="single"/>
    </w:rPr>
  </w:style>
  <w:style w:type="paragraph" w:customStyle="1" w:styleId="18">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19">
    <w:name w:val="List Paragraph"/>
    <w:basedOn w:val="1"/>
    <w:qFormat/>
    <w:uiPriority w:val="34"/>
    <w:pPr>
      <w:ind w:firstLine="420" w:firstLineChars="200"/>
    </w:pPr>
  </w:style>
  <w:style w:type="paragraph" w:customStyle="1" w:styleId="20">
    <w:name w:val="TOC 标题1"/>
    <w:basedOn w:val="2"/>
    <w:next w:val="1"/>
    <w:unhideWhenUsed/>
    <w:qFormat/>
    <w:uiPriority w:val="39"/>
    <w:pPr>
      <w:widowControl/>
      <w:spacing w:before="480" w:after="0" w:line="276" w:lineRule="auto"/>
      <w:jc w:val="left"/>
      <w:outlineLvl w:val="9"/>
    </w:pPr>
    <w:rPr>
      <w:rFonts w:ascii="Cambria" w:hAnsi="Cambria" w:eastAsia="宋体" w:cs="黑体"/>
      <w:color w:val="365F90"/>
      <w:kern w:val="0"/>
      <w:sz w:val="28"/>
      <w:szCs w:val="28"/>
    </w:rPr>
  </w:style>
  <w:style w:type="paragraph" w:customStyle="1" w:styleId="21">
    <w:name w:val="TOC Heading"/>
    <w:basedOn w:val="2"/>
    <w:next w:val="1"/>
    <w:unhideWhenUsed/>
    <w:qFormat/>
    <w:uiPriority w:val="39"/>
    <w:pPr>
      <w:widowControl/>
      <w:spacing w:before="480" w:after="0" w:line="276" w:lineRule="auto"/>
      <w:jc w:val="left"/>
      <w:outlineLvl w:val="9"/>
    </w:pPr>
    <w:rPr>
      <w:rFonts w:ascii="Cambria" w:hAnsi="Cambria" w:eastAsia="宋体" w:cs="黑体"/>
      <w:color w:val="365F90"/>
      <w:kern w:val="0"/>
      <w:sz w:val="28"/>
      <w:szCs w:val="28"/>
    </w:rPr>
  </w:style>
  <w:style w:type="character" w:customStyle="1" w:styleId="22">
    <w:name w:val="Header Char"/>
    <w:basedOn w:val="15"/>
    <w:semiHidden/>
    <w:qFormat/>
    <w:uiPriority w:val="99"/>
    <w:rPr>
      <w:rFonts w:ascii="Times New Roman" w:hAnsi="Times New Roman"/>
      <w:sz w:val="18"/>
      <w:szCs w:val="18"/>
    </w:rPr>
  </w:style>
  <w:style w:type="character" w:customStyle="1" w:styleId="23">
    <w:name w:val="页眉 字符"/>
    <w:link w:val="10"/>
    <w:semiHidden/>
    <w:qFormat/>
    <w:locked/>
    <w:uiPriority w:val="99"/>
    <w:rPr>
      <w:sz w:val="18"/>
    </w:rPr>
  </w:style>
  <w:style w:type="character" w:customStyle="1" w:styleId="24">
    <w:name w:val="Footer Char"/>
    <w:basedOn w:val="15"/>
    <w:semiHidden/>
    <w:qFormat/>
    <w:uiPriority w:val="99"/>
    <w:rPr>
      <w:rFonts w:ascii="Times New Roman" w:hAnsi="Times New Roman"/>
      <w:sz w:val="18"/>
      <w:szCs w:val="18"/>
    </w:rPr>
  </w:style>
  <w:style w:type="character" w:customStyle="1" w:styleId="25">
    <w:name w:val="页脚 字符"/>
    <w:link w:val="9"/>
    <w:qFormat/>
    <w:locked/>
    <w:uiPriority w:val="99"/>
    <w:rPr>
      <w:sz w:val="18"/>
    </w:rPr>
  </w:style>
  <w:style w:type="character" w:customStyle="1" w:styleId="26">
    <w:name w:val="Body Text Char"/>
    <w:basedOn w:val="15"/>
    <w:semiHidden/>
    <w:qFormat/>
    <w:uiPriority w:val="99"/>
    <w:rPr>
      <w:rFonts w:ascii="Times New Roman" w:hAnsi="Times New Roman"/>
      <w:szCs w:val="24"/>
    </w:rPr>
  </w:style>
  <w:style w:type="character" w:customStyle="1" w:styleId="27">
    <w:name w:val="正文文本 字符"/>
    <w:link w:val="5"/>
    <w:qFormat/>
    <w:locked/>
    <w:uiPriority w:val="99"/>
    <w:rPr>
      <w:rFonts w:ascii="仿宋_GB2312" w:hAnsi="Times New Roman" w:eastAsia="仿宋_GB2312"/>
      <w:sz w:val="24"/>
    </w:rPr>
  </w:style>
  <w:style w:type="character" w:customStyle="1" w:styleId="28">
    <w:name w:val="标题 1 字符"/>
    <w:basedOn w:val="15"/>
    <w:link w:val="2"/>
    <w:qFormat/>
    <w:uiPriority w:val="9"/>
    <w:rPr>
      <w:rFonts w:ascii="Times New Roman" w:hAnsi="Times New Roman"/>
      <w:b/>
      <w:bCs/>
      <w:kern w:val="44"/>
      <w:sz w:val="44"/>
      <w:szCs w:val="44"/>
    </w:rPr>
  </w:style>
  <w:style w:type="character" w:customStyle="1" w:styleId="29">
    <w:name w:val="标题 2 字符"/>
    <w:basedOn w:val="15"/>
    <w:link w:val="3"/>
    <w:qFormat/>
    <w:uiPriority w:val="9"/>
    <w:rPr>
      <w:rFonts w:ascii="Cambria" w:hAnsi="Cambria" w:eastAsia="宋体" w:cs="黑体"/>
      <w:b/>
      <w:bCs/>
      <w:kern w:val="2"/>
      <w:sz w:val="32"/>
      <w:szCs w:val="32"/>
    </w:rPr>
  </w:style>
  <w:style w:type="character" w:customStyle="1" w:styleId="30">
    <w:name w:val="批注框文本 字符"/>
    <w:basedOn w:val="15"/>
    <w:link w:val="8"/>
    <w:semiHidden/>
    <w:qFormat/>
    <w:uiPriority w:val="99"/>
    <w:rPr>
      <w:rFonts w:ascii="Times New Roman" w:hAnsi="Times New Roman"/>
      <w:kern w:val="2"/>
      <w:sz w:val="18"/>
      <w:szCs w:val="18"/>
    </w:rPr>
  </w:style>
  <w:style w:type="character" w:customStyle="1" w:styleId="31">
    <w:name w:val="标题 3 字符"/>
    <w:basedOn w:val="15"/>
    <w:link w:val="4"/>
    <w:qFormat/>
    <w:uiPriority w:val="9"/>
    <w:rPr>
      <w:rFonts w:ascii="Times New Roman" w:hAnsi="Times New Roman"/>
      <w:b/>
      <w:bCs/>
      <w:kern w:val="2"/>
      <w:sz w:val="32"/>
      <w:szCs w:val="32"/>
    </w:rPr>
  </w:style>
  <w:style w:type="character" w:customStyle="1" w:styleId="32">
    <w:name w:val="正文文本缩进 Char"/>
    <w:basedOn w:val="15"/>
    <w:link w:val="6"/>
    <w:uiPriority w:val="0"/>
    <w:rPr>
      <w:kern w:val="2"/>
      <w:sz w:val="21"/>
      <w:szCs w:val="24"/>
    </w:rPr>
  </w:style>
  <w:style w:type="character" w:customStyle="1" w:styleId="33">
    <w:name w:val="正文首行缩进 2 Char"/>
    <w:basedOn w:val="32"/>
    <w:link w:val="13"/>
    <w:qFormat/>
    <w:uiPriority w:val="0"/>
    <w:rPr>
      <w:kern w:val="2"/>
      <w:sz w:val="21"/>
      <w:szCs w:val="24"/>
    </w:rPr>
  </w:style>
  <w:style w:type="character" w:customStyle="1" w:styleId="34">
    <w:name w:val="标题 1 Char"/>
    <w:basedOn w:val="15"/>
    <w:link w:val="2"/>
    <w:qFormat/>
    <w:uiPriority w:val="9"/>
    <w:rPr>
      <w:rFonts w:ascii="Times New Roman" w:hAnsi="Times New Roman"/>
      <w:b/>
      <w:bCs/>
      <w:kern w:val="44"/>
      <w:sz w:val="44"/>
      <w:szCs w:val="44"/>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7.png"/><Relationship Id="rId11" Type="http://schemas.openxmlformats.org/officeDocument/2006/relationships/image" Target="media/image6.png"/><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Info spid="_x0000_s1027"/>
    <customShpInfo spid="_x0000_s1028"/>
    <customShpInfo spid="_x0000_s1029"/>
    <customShpInfo spid="_x0000_s1030"/>
    <customShpInfo spid="_x0000_s1031"/>
    <customShpInfo spid="_x0000_s1032"/>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24</Pages>
  <Words>1284</Words>
  <Characters>7320</Characters>
  <Lines>61</Lines>
  <Paragraphs>17</Paragraphs>
  <TotalTime>0</TotalTime>
  <ScaleCrop>false</ScaleCrop>
  <LinksUpToDate>false</LinksUpToDate>
  <CharactersWithSpaces>0</CharactersWithSpaces>
  <Application>WPS Office_11.1.0.9999_F1E327BC-269C-435d-A152-05C5408002CA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2020-08-04T01:49:00Z</dcterms:created>
  <dc:creator>曹颖</dc:creator>
  <cp:lastModifiedBy>R.u.n 2</cp:lastModifiedBy>
  <cp:lastPrinted>2020-07-23T02:58:00Z</cp:lastPrinted>
  <dcterms:modified xsi:type="dcterms:W3CDTF">2020-11-04T10:35:12Z</dcterms:modified>
  <dc:title>四川省***</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2052-11.1.0.9999</vt:lpwstr>
  </property>
</Properties>
</file>