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426"/>
      <w:bookmarkStart w:id="8" w:name="_Toc15378442"/>
      <w:bookmarkStart w:id="9" w:name="_Toc15396598"/>
      <w:bookmarkStart w:id="10" w:name="_Toc15377194"/>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lang w:eastAsia="zh-CN"/>
        </w:rPr>
        <w:t>阿坝州红原县编办</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rPr>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fldChar w:fldCharType="end"/>
      </w:r>
    </w:p>
    <w:p>
      <w:pPr>
        <w:pStyle w:val="10"/>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fldChar w:fldCharType="end"/>
      </w:r>
    </w:p>
    <w:p>
      <w:pPr>
        <w:pStyle w:val="10"/>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fldChar w:fldCharType="end"/>
      </w:r>
    </w:p>
    <w:p>
      <w:pPr>
        <w:pStyle w:val="10"/>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fldChar w:fldCharType="end"/>
      </w:r>
    </w:p>
    <w:p>
      <w:pPr>
        <w:pStyle w:val="11"/>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fldChar w:fldCharType="end"/>
      </w:r>
    </w:p>
    <w:p>
      <w:pPr>
        <w:pStyle w:val="10"/>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fldChar w:fldCharType="end"/>
      </w:r>
    </w:p>
    <w:p>
      <w:pPr>
        <w:pStyle w:val="11"/>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1"/>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1"/>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fldChar w:fldCharType="end"/>
      </w:r>
    </w:p>
    <w:p>
      <w:pPr>
        <w:ind w:firstLine="320" w:firstLineChars="100"/>
        <w:rPr>
          <w:rStyle w:val="30"/>
          <w:rFonts w:hint="eastAsia" w:ascii="仿宋" w:hAnsi="仿宋" w:eastAsia="仿宋"/>
          <w:b w:val="0"/>
          <w:bCs w:val="0"/>
          <w:lang w:val="en-US" w:eastAsia="zh-CN"/>
        </w:rPr>
      </w:pPr>
      <w:r>
        <w:rPr>
          <w:rStyle w:val="30"/>
          <w:rFonts w:hint="eastAsia" w:ascii="仿宋" w:hAnsi="仿宋" w:eastAsia="仿宋"/>
          <w:b w:val="0"/>
          <w:bCs w:val="0"/>
          <w:lang w:val="en-US" w:eastAsia="zh-CN"/>
        </w:rPr>
        <w:t>十四、整体支出绩效评价打分表</w:t>
      </w:r>
    </w:p>
    <w:p>
      <w:pPr>
        <w:ind w:firstLine="320" w:firstLineChars="100"/>
        <w:rPr>
          <w:rStyle w:val="30"/>
          <w:rFonts w:hint="eastAsia" w:ascii="仿宋" w:hAnsi="仿宋" w:eastAsia="仿宋"/>
          <w:b w:val="0"/>
          <w:bCs w:val="0"/>
          <w:lang w:val="en-US" w:eastAsia="zh-CN"/>
        </w:rPr>
      </w:pPr>
      <w:bookmarkStart w:id="74" w:name="_GoBack"/>
      <w:bookmarkEnd w:id="74"/>
      <w:r>
        <w:rPr>
          <w:rStyle w:val="30"/>
          <w:rFonts w:hint="eastAsia" w:ascii="仿宋" w:hAnsi="仿宋" w:eastAsia="仿宋"/>
          <w:b w:val="0"/>
          <w:bCs w:val="0"/>
          <w:lang w:val="en-US" w:eastAsia="zh-CN"/>
        </w:rPr>
        <w:t>十五、项目支出绩效评价打分表</w:t>
      </w:r>
    </w:p>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9"/>
          <w:rFonts w:ascii="黑体" w:hAnsi="黑体" w:eastAsia="黑体"/>
          <w:b/>
          <w:bCs w:val="0"/>
        </w:rPr>
      </w:pPr>
      <w:r>
        <w:rPr>
          <w:rFonts w:hint="eastAsia" w:ascii="黑体" w:hAnsi="黑体" w:eastAsia="黑体"/>
          <w:b w:val="0"/>
        </w:rPr>
        <w:t xml:space="preserve">第一部分 </w:t>
      </w:r>
      <w:r>
        <w:rPr>
          <w:rStyle w:val="29"/>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30"/>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4"/>
      <w:bookmarkEnd w:id="1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6" w:name="_Toc15378445"/>
      <w:bookmarkStart w:id="17" w:name="_Toc15377198"/>
      <w:r>
        <w:rPr>
          <w:rFonts w:hint="eastAsia" w:ascii="仿宋" w:hAnsi="仿宋" w:eastAsia="仿宋"/>
          <w:bCs/>
          <w:color w:val="000000"/>
          <w:sz w:val="32"/>
          <w:szCs w:val="32"/>
        </w:rPr>
        <w:t>（一）主要职能。</w:t>
      </w:r>
      <w:bookmarkEnd w:id="16"/>
      <w:bookmarkEnd w:id="17"/>
    </w:p>
    <w:p>
      <w:pPr>
        <w:pStyle w:val="5"/>
        <w:adjustRightInd w:val="0"/>
        <w:snapToGrid w:val="0"/>
        <w:spacing w:before="93" w:line="600" w:lineRule="exact"/>
        <w:ind w:firstLine="630" w:firstLineChars="210"/>
        <w:outlineLvl w:val="2"/>
        <w:rPr>
          <w:rFonts w:hint="eastAsia" w:ascii="仿宋" w:hAnsi="仿宋" w:eastAsia="仿宋"/>
          <w:bCs/>
          <w:color w:val="000000"/>
          <w:sz w:val="32"/>
          <w:szCs w:val="32"/>
        </w:rPr>
      </w:pPr>
      <w:r>
        <w:rPr>
          <w:rFonts w:hint="eastAsia" w:ascii="Calibri" w:hAnsi="Calibri" w:eastAsia="仿宋_GB2312"/>
          <w:sz w:val="30"/>
          <w:szCs w:val="30"/>
        </w:rPr>
        <w:t>中共红原县委机构编制委员会办公室</w:t>
      </w:r>
      <w:r>
        <w:rPr>
          <w:rFonts w:hint="eastAsia" w:ascii="Calibri" w:hAnsi="Calibri" w:eastAsia="仿宋_GB2312"/>
          <w:sz w:val="30"/>
          <w:szCs w:val="30"/>
          <w:lang w:eastAsia="zh-CN"/>
        </w:rPr>
        <w:t>负责全县各机关及事业单位的</w:t>
      </w:r>
      <w:r>
        <w:rPr>
          <w:rFonts w:hint="eastAsia" w:ascii="Calibri" w:hAnsi="Calibri" w:eastAsia="仿宋_GB2312"/>
          <w:sz w:val="30"/>
          <w:szCs w:val="30"/>
          <w:lang w:val="en-US" w:eastAsia="zh-CN"/>
        </w:rPr>
        <w:t>机构编制</w:t>
      </w:r>
      <w:r>
        <w:rPr>
          <w:rFonts w:hint="eastAsia" w:ascii="Calibri" w:hAnsi="Calibri" w:eastAsia="仿宋_GB2312"/>
          <w:sz w:val="30"/>
          <w:szCs w:val="30"/>
          <w:lang w:eastAsia="zh-CN"/>
        </w:rPr>
        <w:t>的管理工作，负责各单位机构设置、人员编制和领导职数的调整；审核工作机构的调整；分配下达各党政机关的编制总额；全县事业单位法人年度报告年度检验及编委会的日常工作。</w:t>
      </w:r>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18" w:name="_Toc15377199"/>
      <w:bookmarkStart w:id="19"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8年重点工作完成情况。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3" w:firstLineChars="200"/>
        <w:jc w:val="left"/>
        <w:textAlignment w:val="auto"/>
        <w:outlineLvl w:val="9"/>
        <w:rPr>
          <w:rFonts w:hint="eastAsia" w:ascii="Times New Roman" w:hAnsi="Times New Roman" w:eastAsia="仿宋_GB2312" w:cs="Times New Roman"/>
          <w:sz w:val="32"/>
          <w:szCs w:val="32"/>
          <w:lang w:eastAsia="zh-CN"/>
        </w:rPr>
      </w:pPr>
      <w:r>
        <w:rPr>
          <w:rFonts w:hint="eastAsia" w:eastAsia="楷体_GB2312" w:cs="Times New Roman"/>
          <w:b/>
          <w:bCs/>
          <w:sz w:val="32"/>
          <w:szCs w:val="32"/>
          <w:lang w:val="en-US" w:eastAsia="zh-CN"/>
        </w:rPr>
        <w:t>1.</w:t>
      </w:r>
      <w:r>
        <w:rPr>
          <w:rFonts w:hint="default" w:ascii="Times New Roman" w:hAnsi="Times New Roman" w:eastAsia="楷体_GB2312" w:cs="Times New Roman"/>
          <w:b/>
          <w:bCs/>
          <w:sz w:val="32"/>
          <w:szCs w:val="32"/>
          <w:lang w:val="en-US" w:eastAsia="zh-CN"/>
        </w:rPr>
        <w:t>加强和完善事业单位年度报告工作。</w:t>
      </w:r>
      <w:r>
        <w:rPr>
          <w:rFonts w:hint="default" w:ascii="Times New Roman" w:hAnsi="Times New Roman" w:eastAsia="仿宋_GB2312" w:cs="Times New Roman"/>
          <w:sz w:val="32"/>
          <w:szCs w:val="32"/>
        </w:rPr>
        <w:t>我办科学安排，精心组织，大力宣传，保证了事业单位法人年度报告公示和开办资金确认登记工作的顺利开展。截至目前，对全县</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个已登记的事业单位进行年度报告审核</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并在“</w:t>
      </w:r>
      <w:r>
        <w:rPr>
          <w:rFonts w:hint="default" w:ascii="Times New Roman" w:hAnsi="Times New Roman" w:eastAsia="仿宋_GB2312" w:cs="Times New Roman"/>
          <w:sz w:val="32"/>
          <w:szCs w:val="32"/>
          <w:lang w:eastAsia="zh-CN"/>
        </w:rPr>
        <w:t>事业单位在线</w:t>
      </w:r>
      <w:r>
        <w:rPr>
          <w:rFonts w:hint="default" w:ascii="Times New Roman" w:hAnsi="Times New Roman" w:eastAsia="仿宋_GB2312" w:cs="Times New Roman"/>
          <w:sz w:val="32"/>
          <w:szCs w:val="32"/>
        </w:rPr>
        <w:t>”门户网站进行了年度报告网上公示</w:t>
      </w:r>
      <w:r>
        <w:rPr>
          <w:rFonts w:hint="eastAsia" w:ascii="Times New Roman" w:hAnsi="Times New Roman" w:eastAsia="仿宋_GB2312" w:cs="Times New Roman"/>
          <w:sz w:val="32"/>
          <w:szCs w:val="32"/>
          <w:lang w:eastAsia="zh-CN"/>
        </w:rPr>
        <w:t>，公示单位</w:t>
      </w:r>
      <w:r>
        <w:rPr>
          <w:rFonts w:hint="eastAsia" w:ascii="Times New Roman" w:hAnsi="Times New Roman" w:eastAsia="仿宋_GB2312" w:cs="Times New Roman"/>
          <w:sz w:val="32"/>
          <w:szCs w:val="32"/>
          <w:lang w:val="en-US" w:eastAsia="zh-CN"/>
        </w:rPr>
        <w:t>83个，</w:t>
      </w:r>
      <w:r>
        <w:rPr>
          <w:rFonts w:hint="default" w:ascii="Times New Roman" w:hAnsi="Times New Roman" w:eastAsia="仿宋_GB2312" w:cs="Times New Roman"/>
          <w:sz w:val="32"/>
          <w:szCs w:val="32"/>
          <w:lang w:eastAsia="zh-CN"/>
        </w:rPr>
        <w:t>年度报告公示率</w:t>
      </w:r>
      <w:r>
        <w:rPr>
          <w:rFonts w:hint="eastAsia" w:ascii="Times New Roman" w:hAnsi="Times New Roman" w:eastAsia="仿宋_GB2312" w:cs="Times New Roman"/>
          <w:sz w:val="32"/>
          <w:szCs w:val="32"/>
          <w:lang w:val="en-US" w:eastAsia="zh-CN"/>
        </w:rPr>
        <w:t>98.8</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3" w:firstLineChars="200"/>
        <w:jc w:val="left"/>
        <w:textAlignment w:val="auto"/>
        <w:outlineLvl w:val="9"/>
        <w:rPr>
          <w:rFonts w:hint="default" w:ascii="Times New Roman" w:hAnsi="Times New Roman" w:eastAsia="仿宋_GB2312" w:cs="Times New Roman"/>
          <w:sz w:val="32"/>
          <w:szCs w:val="32"/>
        </w:rPr>
      </w:pPr>
      <w:r>
        <w:rPr>
          <w:rFonts w:hint="eastAsia" w:eastAsia="楷体_GB2312" w:cs="Times New Roman"/>
          <w:b/>
          <w:bCs/>
          <w:sz w:val="32"/>
          <w:szCs w:val="32"/>
          <w:lang w:val="en-US" w:eastAsia="zh-CN"/>
        </w:rPr>
        <w:t>2.</w:t>
      </w:r>
      <w:r>
        <w:rPr>
          <w:rFonts w:hint="default" w:ascii="Times New Roman" w:hAnsi="Times New Roman" w:eastAsia="楷体_GB2312" w:cs="Times New Roman"/>
          <w:b/>
          <w:bCs/>
          <w:sz w:val="32"/>
          <w:szCs w:val="32"/>
          <w:lang w:val="en-US" w:eastAsia="zh-CN"/>
        </w:rPr>
        <w:t>切</w:t>
      </w:r>
      <w:r>
        <w:rPr>
          <w:rFonts w:hint="default" w:ascii="Times New Roman" w:hAnsi="Times New Roman" w:eastAsia="楷体_GB2312" w:cs="Times New Roman"/>
          <w:b/>
          <w:bCs/>
          <w:sz w:val="32"/>
          <w:szCs w:val="32"/>
        </w:rPr>
        <w:t>实做好了实名制信息库更新工作。</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val="en-US" w:eastAsia="zh-CN"/>
        </w:rPr>
        <w:t>2018年新参加工作的20人（其中招录11名公务员，9名事业人员）；外县调入的15人</w:t>
      </w:r>
      <w:r>
        <w:rPr>
          <w:rFonts w:hint="default" w:ascii="Times New Roman" w:hAnsi="Times New Roman" w:eastAsia="仿宋_GB2312" w:cs="Times New Roman"/>
          <w:sz w:val="32"/>
          <w:szCs w:val="32"/>
        </w:rPr>
        <w:t>进行摸底核查和实名制信息录入和划转工作</w:t>
      </w:r>
      <w:r>
        <w:rPr>
          <w:rFonts w:hint="default"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lang w:val="en-US" w:eastAsia="zh-CN"/>
        </w:rPr>
        <w:t>:外县调入的6名公务员、8名事业干部和1名行政工勤</w:t>
      </w:r>
      <w:r>
        <w:rPr>
          <w:rFonts w:hint="default" w:ascii="Times New Roman" w:hAnsi="Times New Roman" w:eastAsia="仿宋_GB2312" w:cs="Times New Roman"/>
          <w:sz w:val="32"/>
          <w:szCs w:val="32"/>
          <w:lang w:eastAsia="zh-CN"/>
        </w:rPr>
        <w:t>）；对退休、在职死亡</w:t>
      </w:r>
      <w:r>
        <w:rPr>
          <w:rFonts w:hint="default" w:ascii="Times New Roman" w:hAnsi="Times New Roman" w:eastAsia="仿宋_GB2312" w:cs="Times New Roman"/>
          <w:sz w:val="32"/>
          <w:szCs w:val="32"/>
          <w:lang w:val="en-US" w:eastAsia="zh-CN"/>
        </w:rPr>
        <w:t>9人进行编制核销（其中退休7人、2人在职死亡）；</w:t>
      </w:r>
      <w:r>
        <w:rPr>
          <w:rFonts w:hint="default" w:ascii="Times New Roman" w:hAnsi="Times New Roman" w:eastAsia="仿宋_GB2312" w:cs="Times New Roman"/>
          <w:sz w:val="32"/>
          <w:szCs w:val="32"/>
          <w:lang w:eastAsia="zh-CN"/>
        </w:rPr>
        <w:t>调出我县的</w:t>
      </w:r>
      <w:r>
        <w:rPr>
          <w:rFonts w:hint="default" w:ascii="Times New Roman" w:hAnsi="Times New Roman" w:eastAsia="仿宋_GB2312" w:cs="Times New Roman"/>
          <w:sz w:val="32"/>
          <w:szCs w:val="32"/>
          <w:lang w:val="en-US" w:eastAsia="zh-CN"/>
        </w:rPr>
        <w:t>20人进行信息划出（其中：</w:t>
      </w:r>
      <w:r>
        <w:rPr>
          <w:rFonts w:hint="default" w:ascii="Times New Roman" w:hAnsi="Times New Roman" w:eastAsia="仿宋_GB2312" w:cs="Times New Roman"/>
          <w:sz w:val="32"/>
          <w:szCs w:val="32"/>
          <w:lang w:eastAsia="zh-CN"/>
        </w:rPr>
        <w:t>调出我县公务员干部</w:t>
      </w:r>
      <w:r>
        <w:rPr>
          <w:rFonts w:hint="default" w:ascii="Times New Roman" w:hAnsi="Times New Roman" w:eastAsia="仿宋_GB2312" w:cs="Times New Roman"/>
          <w:sz w:val="32"/>
          <w:szCs w:val="32"/>
          <w:lang w:val="en-US" w:eastAsia="zh-CN"/>
        </w:rPr>
        <w:t>6名，事业干部9名，政法编制5人）</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lang w:val="en-US" w:eastAsia="zh-CN"/>
        </w:rPr>
        <w:t>45名县内调动人员进行人员信息变更（其中：工勤2人，事业干部31人，行政干部12人）</w:t>
      </w:r>
      <w:r>
        <w:rPr>
          <w:rFonts w:hint="default" w:ascii="Times New Roman" w:hAnsi="Times New Roman" w:eastAsia="仿宋_GB2312" w:cs="Times New Roman"/>
          <w:sz w:val="32"/>
          <w:szCs w:val="32"/>
        </w:rPr>
        <w:t>。截止目前，全县</w:t>
      </w:r>
      <w:r>
        <w:rPr>
          <w:rFonts w:hint="default" w:ascii="Times New Roman" w:hAnsi="Times New Roman" w:eastAsia="仿宋_GB2312" w:cs="Times New Roman"/>
          <w:sz w:val="32"/>
          <w:szCs w:val="32"/>
          <w:lang w:val="en-US" w:eastAsia="zh-CN"/>
        </w:rPr>
        <w:t>2845名</w:t>
      </w:r>
      <w:r>
        <w:rPr>
          <w:rFonts w:hint="default" w:ascii="Times New Roman" w:hAnsi="Times New Roman" w:eastAsia="仿宋_GB2312" w:cs="Times New Roman"/>
          <w:sz w:val="32"/>
          <w:szCs w:val="32"/>
        </w:rPr>
        <w:t>在职人员全部建立了《编制卡》</w:t>
      </w:r>
      <w:r>
        <w:rPr>
          <w:rFonts w:hint="default" w:ascii="Times New Roman" w:hAnsi="Times New Roman" w:eastAsia="仿宋_GB2312" w:cs="Times New Roman"/>
          <w:sz w:val="32"/>
          <w:szCs w:val="32"/>
          <w:lang w:eastAsia="zh-CN"/>
        </w:rPr>
        <w:t>以及</w:t>
      </w:r>
      <w:r>
        <w:rPr>
          <w:rFonts w:hint="default" w:ascii="Times New Roman" w:hAnsi="Times New Roman" w:eastAsia="仿宋_GB2312" w:cs="Times New Roman"/>
          <w:sz w:val="32"/>
          <w:szCs w:val="32"/>
        </w:rPr>
        <w:t>网络实名制信息录入</w:t>
      </w:r>
      <w:r>
        <w:rPr>
          <w:rFonts w:hint="default" w:ascii="Times New Roman" w:hAnsi="Times New Roman" w:eastAsia="仿宋_GB2312" w:cs="Times New Roman"/>
          <w:sz w:val="32"/>
          <w:szCs w:val="32"/>
          <w:lang w:val="en-US" w:eastAsia="zh-CN"/>
        </w:rPr>
        <w:t>工作</w:t>
      </w:r>
      <w:r>
        <w:rPr>
          <w:rFonts w:hint="default" w:ascii="Times New Roman" w:hAnsi="Times New Roman" w:eastAsia="仿宋_GB2312" w:cs="Times New Roman"/>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right="0" w:rightChars="0" w:firstLine="643" w:firstLineChars="200"/>
        <w:textAlignment w:val="auto"/>
        <w:outlineLvl w:val="9"/>
        <w:rPr>
          <w:rFonts w:hint="default" w:ascii="Times New Roman" w:hAnsi="Times New Roman" w:eastAsia="仿宋_GB2312" w:cs="Times New Roman"/>
          <w:b w:val="0"/>
          <w:bCs w:val="0"/>
          <w:sz w:val="32"/>
          <w:szCs w:val="32"/>
          <w:lang w:val="en-US" w:eastAsia="zh-CN"/>
        </w:rPr>
      </w:pPr>
      <w:r>
        <w:rPr>
          <w:rFonts w:hint="eastAsia" w:eastAsia="楷体_GB2312" w:cs="Times New Roman"/>
          <w:b/>
          <w:bCs/>
          <w:sz w:val="32"/>
          <w:szCs w:val="32"/>
          <w:lang w:val="en-US" w:eastAsia="zh-CN"/>
        </w:rPr>
        <w:t>3.</w:t>
      </w:r>
      <w:r>
        <w:rPr>
          <w:rFonts w:hint="default" w:ascii="Times New Roman" w:hAnsi="Times New Roman" w:eastAsia="仿宋_GB2312" w:cs="Times New Roman"/>
          <w:b w:val="0"/>
          <w:bCs w:val="0"/>
          <w:sz w:val="32"/>
          <w:szCs w:val="32"/>
          <w:lang w:val="en-US" w:eastAsia="zh-CN"/>
        </w:rPr>
        <w:t>按照中央编委提出的“编制就是法律、从严把握、实事求是”三条总要求，我办针对机构设置、人员编制的合法使用，</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对全县84个经费独立核算的单位进行抽查，共抽查单位</w:t>
      </w:r>
      <w:r>
        <w:rPr>
          <w:rFonts w:hint="eastAsia" w:ascii="Times New Roman" w:hAnsi="Times New Roman" w:eastAsia="仿宋_GB2312" w:cs="Times New Roman"/>
          <w:b w:val="0"/>
          <w:bCs w:val="0"/>
          <w:sz w:val="32"/>
          <w:szCs w:val="32"/>
          <w:lang w:val="en-US" w:eastAsia="zh-CN"/>
        </w:rPr>
        <w:t>16</w:t>
      </w:r>
      <w:r>
        <w:rPr>
          <w:rFonts w:hint="default" w:ascii="Times New Roman" w:hAnsi="Times New Roman" w:eastAsia="仿宋_GB2312" w:cs="Times New Roman"/>
          <w:b w:val="0"/>
          <w:bCs w:val="0"/>
          <w:sz w:val="32"/>
          <w:szCs w:val="32"/>
          <w:lang w:val="en-US" w:eastAsia="zh-CN"/>
        </w:rPr>
        <w:t>个，</w:t>
      </w:r>
      <w:r>
        <w:rPr>
          <w:rFonts w:hint="default" w:ascii="Times New Roman" w:hAnsi="Times New Roman" w:eastAsia="仿宋_GB2312" w:cs="Times New Roman"/>
          <w:kern w:val="2"/>
          <w:sz w:val="32"/>
          <w:szCs w:val="32"/>
          <w:lang w:val="en-US" w:eastAsia="zh-CN" w:bidi="ar-SA"/>
        </w:rPr>
        <w:t>此次督查主要从加强管理、严格管理、规范管理、依法管理“四个管理”方面进行，在此次抽查工作中，未发现机构高靠、人员混编混岗、“吃空饷”、违规配备领导干部等违反机构编制事宜的相关问题</w:t>
      </w:r>
      <w:r>
        <w:rPr>
          <w:rFonts w:hint="default" w:ascii="Times New Roman" w:hAnsi="Times New Roman" w:eastAsia="仿宋_GB2312" w:cs="Times New Roman"/>
          <w:b w:val="0"/>
          <w:bCs w:val="0"/>
          <w:color w:val="000000"/>
          <w:sz w:val="32"/>
          <w:szCs w:val="32"/>
          <w:lang w:val="en-US" w:eastAsia="zh-CN"/>
        </w:rPr>
        <w:t>；</w:t>
      </w:r>
      <w:r>
        <w:rPr>
          <w:rFonts w:hint="default" w:ascii="Times New Roman" w:hAnsi="Times New Roman" w:eastAsia="仿宋_GB2312" w:cs="Times New Roman"/>
          <w:b/>
          <w:bCs/>
          <w:color w:val="000000"/>
          <w:sz w:val="32"/>
          <w:szCs w:val="32"/>
          <w:lang w:val="en-US" w:eastAsia="zh-CN"/>
        </w:rPr>
        <w:t>二是</w:t>
      </w:r>
      <w:r>
        <w:rPr>
          <w:rFonts w:hint="default" w:ascii="Times New Roman" w:hAnsi="Times New Roman" w:eastAsia="仿宋_GB2312" w:cs="Times New Roman"/>
          <w:b w:val="0"/>
          <w:bCs w:val="0"/>
          <w:color w:val="000000"/>
          <w:sz w:val="32"/>
          <w:szCs w:val="32"/>
          <w:lang w:val="en-US" w:eastAsia="zh-CN"/>
        </w:rPr>
        <w:t>我办对</w:t>
      </w:r>
      <w:r>
        <w:rPr>
          <w:rFonts w:hint="eastAsia" w:ascii="Times New Roman" w:hAnsi="Times New Roman"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lang w:val="en-US" w:eastAsia="zh-CN"/>
        </w:rPr>
        <w:t>个乡镇进行调研督查，此次督查中对</w:t>
      </w:r>
      <w:r>
        <w:rPr>
          <w:rFonts w:hint="eastAsia" w:ascii="Times New Roman" w:hAnsi="Times New Roman" w:eastAsia="仿宋_GB2312" w:cs="Times New Roman"/>
          <w:b w:val="0"/>
          <w:bCs w:val="0"/>
          <w:color w:val="000000"/>
          <w:sz w:val="32"/>
          <w:szCs w:val="32"/>
          <w:lang w:val="en-US" w:eastAsia="zh-CN"/>
        </w:rPr>
        <w:t>3</w:t>
      </w:r>
      <w:r>
        <w:rPr>
          <w:rFonts w:hint="default" w:ascii="Times New Roman" w:hAnsi="Times New Roman" w:eastAsia="仿宋_GB2312" w:cs="Times New Roman"/>
          <w:b w:val="0"/>
          <w:bCs w:val="0"/>
          <w:color w:val="000000"/>
          <w:sz w:val="32"/>
          <w:szCs w:val="32"/>
          <w:lang w:val="en-US" w:eastAsia="zh-CN"/>
        </w:rPr>
        <w:t>个乡镇的人员在编在岗、机构</w:t>
      </w:r>
      <w:r>
        <w:rPr>
          <w:rFonts w:hint="default" w:ascii="Times New Roman" w:hAnsi="Times New Roman" w:eastAsia="仿宋_GB2312" w:cs="Times New Roman"/>
          <w:b w:val="0"/>
          <w:bCs w:val="0"/>
          <w:sz w:val="32"/>
          <w:szCs w:val="32"/>
          <w:lang w:val="en-US" w:eastAsia="zh-CN"/>
        </w:rPr>
        <w:t>编制使用情况进行了督查，均未发现占编不在岗及混编混岗的情况。</w:t>
      </w:r>
    </w:p>
    <w:p>
      <w:pPr>
        <w:keepNext w:val="0"/>
        <w:keepLines w:val="0"/>
        <w:pageBreakBefore w:val="0"/>
        <w:kinsoku/>
        <w:wordWrap/>
        <w:overflowPunct/>
        <w:topLinePunct w:val="0"/>
        <w:autoSpaceDE/>
        <w:autoSpaceDN/>
        <w:bidi w:val="0"/>
        <w:adjustRightInd/>
        <w:snapToGrid/>
        <w:spacing w:line="576" w:lineRule="exact"/>
        <w:ind w:firstLine="643" w:firstLineChars="200"/>
        <w:jc w:val="left"/>
        <w:outlineLvl w:val="9"/>
        <w:rPr>
          <w:rFonts w:hint="eastAsia" w:ascii="仿宋_GB2312" w:hAnsi="仿宋_GB2312" w:eastAsia="仿宋_GB2312" w:cs="仿宋_GB2312"/>
          <w:sz w:val="32"/>
          <w:szCs w:val="32"/>
          <w:lang w:val="en-US" w:eastAsia="zh-CN"/>
        </w:rPr>
      </w:pPr>
      <w:r>
        <w:rPr>
          <w:rFonts w:hint="eastAsia" w:eastAsia="楷体_GB2312" w:cs="Times New Roman"/>
          <w:b/>
          <w:bCs/>
          <w:sz w:val="32"/>
          <w:szCs w:val="32"/>
          <w:lang w:val="en-US" w:eastAsia="zh-CN"/>
        </w:rPr>
        <w:t>4.</w:t>
      </w:r>
      <w:r>
        <w:rPr>
          <w:rFonts w:hint="default" w:ascii="Times New Roman" w:hAnsi="Times New Roman" w:eastAsia="楷体_GB2312" w:cs="Times New Roman"/>
          <w:b/>
          <w:bCs/>
          <w:sz w:val="32"/>
          <w:szCs w:val="32"/>
          <w:lang w:val="en-US" w:eastAsia="zh-CN"/>
        </w:rPr>
        <w:t>大力整合现有编制资源，盘活存量。</w:t>
      </w:r>
      <w:r>
        <w:rPr>
          <w:rFonts w:hint="default" w:ascii="Times New Roman" w:hAnsi="Times New Roman" w:eastAsia="仿宋_GB2312" w:cs="Times New Roman"/>
          <w:b w:val="0"/>
          <w:bCs/>
          <w:color w:val="auto"/>
          <w:sz w:val="32"/>
          <w:szCs w:val="32"/>
          <w:lang w:val="en-US" w:eastAsia="zh-CN"/>
        </w:rPr>
        <w:t>我县编办在现有编制标准的基础上，对编制实行动态化管理。针对我县各项工作的重点，适时调整编制，盘活现有存量。上半年，全县共调整行政编制</w:t>
      </w:r>
      <w:r>
        <w:rPr>
          <w:rFonts w:hint="eastAsia" w:ascii="Times New Roman" w:hAnsi="Times New Roman" w:eastAsia="仿宋_GB2312" w:cs="Times New Roman"/>
          <w:b w:val="0"/>
          <w:bCs/>
          <w:color w:val="auto"/>
          <w:sz w:val="32"/>
          <w:szCs w:val="32"/>
          <w:lang w:val="en-US" w:eastAsia="zh-CN"/>
        </w:rPr>
        <w:t>4</w:t>
      </w:r>
      <w:r>
        <w:rPr>
          <w:rFonts w:hint="default" w:ascii="Times New Roman" w:hAnsi="Times New Roman" w:eastAsia="仿宋_GB2312" w:cs="Times New Roman"/>
          <w:b w:val="0"/>
          <w:bCs/>
          <w:color w:val="auto"/>
          <w:sz w:val="32"/>
          <w:szCs w:val="32"/>
          <w:lang w:val="en-US" w:eastAsia="zh-CN"/>
        </w:rPr>
        <w:t>名，参公事业编制</w:t>
      </w:r>
      <w:r>
        <w:rPr>
          <w:rFonts w:hint="eastAsia" w:ascii="Times New Roman" w:hAnsi="Times New Roman" w:eastAsia="仿宋_GB2312" w:cs="Times New Roman"/>
          <w:b w:val="0"/>
          <w:bCs/>
          <w:color w:val="auto"/>
          <w:sz w:val="32"/>
          <w:szCs w:val="32"/>
          <w:lang w:val="en-US" w:eastAsia="zh-CN"/>
        </w:rPr>
        <w:t>12</w:t>
      </w:r>
      <w:r>
        <w:rPr>
          <w:rFonts w:hint="default" w:ascii="Times New Roman" w:hAnsi="Times New Roman" w:eastAsia="仿宋_GB2312" w:cs="Times New Roman"/>
          <w:b w:val="0"/>
          <w:bCs/>
          <w:color w:val="auto"/>
          <w:sz w:val="32"/>
          <w:szCs w:val="32"/>
          <w:lang w:val="en-US" w:eastAsia="zh-CN"/>
        </w:rPr>
        <w:t>名，事业编制</w:t>
      </w:r>
      <w:r>
        <w:rPr>
          <w:rFonts w:hint="eastAsia" w:ascii="Times New Roman" w:hAnsi="Times New Roman" w:eastAsia="仿宋_GB2312" w:cs="Times New Roman"/>
          <w:b w:val="0"/>
          <w:bCs/>
          <w:color w:val="auto"/>
          <w:sz w:val="32"/>
          <w:szCs w:val="32"/>
          <w:lang w:val="en-US" w:eastAsia="zh-CN"/>
        </w:rPr>
        <w:t>12</w:t>
      </w:r>
      <w:r>
        <w:rPr>
          <w:rFonts w:hint="default" w:ascii="Times New Roman" w:hAnsi="Times New Roman" w:eastAsia="仿宋_GB2312" w:cs="Times New Roman"/>
          <w:b w:val="0"/>
          <w:bCs/>
          <w:color w:val="auto"/>
          <w:sz w:val="32"/>
          <w:szCs w:val="32"/>
          <w:lang w:val="en-US" w:eastAsia="zh-CN"/>
        </w:rPr>
        <w:t>名，工勤</w:t>
      </w:r>
      <w:r>
        <w:rPr>
          <w:rFonts w:hint="eastAsia" w:ascii="Times New Roman" w:hAnsi="Times New Roman" w:eastAsia="仿宋_GB2312" w:cs="Times New Roman"/>
          <w:b w:val="0"/>
          <w:bCs/>
          <w:color w:val="auto"/>
          <w:sz w:val="32"/>
          <w:szCs w:val="32"/>
          <w:lang w:val="en-US" w:eastAsia="zh-CN"/>
        </w:rPr>
        <w:t>1</w:t>
      </w:r>
      <w:r>
        <w:rPr>
          <w:rFonts w:hint="default" w:ascii="Times New Roman" w:hAnsi="Times New Roman" w:eastAsia="仿宋_GB2312" w:cs="Times New Roman"/>
          <w:b w:val="0"/>
          <w:bCs/>
          <w:color w:val="auto"/>
          <w:sz w:val="32"/>
          <w:szCs w:val="32"/>
          <w:lang w:val="en-US" w:eastAsia="zh-CN"/>
        </w:rPr>
        <w:t>名。</w:t>
      </w:r>
    </w:p>
    <w:p>
      <w:pPr>
        <w:pStyle w:val="3"/>
        <w:rPr>
          <w:rStyle w:val="30"/>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lang w:eastAsia="zh-CN"/>
        </w:rPr>
        <w:t>县委编办</w:t>
      </w:r>
      <w:r>
        <w:rPr>
          <w:rFonts w:hint="eastAsia" w:ascii="仿宋" w:hAnsi="仿宋" w:eastAsia="仿宋"/>
          <w:sz w:val="32"/>
          <w:szCs w:val="32"/>
        </w:rPr>
        <w:t>下属二级单位</w:t>
      </w:r>
      <w:r>
        <w:rPr>
          <w:rFonts w:hint="eastAsia" w:ascii="仿宋" w:hAnsi="仿宋" w:eastAsia="仿宋"/>
          <w:sz w:val="32"/>
          <w:szCs w:val="32"/>
          <w:lang w:val="en-US" w:eastAsia="zh-CN"/>
        </w:rPr>
        <w:t>2</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5"/>
        <w:adjustRightInd w:val="0"/>
        <w:snapToGrid w:val="0"/>
        <w:spacing w:before="93" w:line="600" w:lineRule="exact"/>
        <w:ind w:firstLine="672" w:firstLineChars="210"/>
        <w:rPr>
          <w:rFonts w:hint="eastAsia" w:ascii="仿宋" w:hAnsi="仿宋" w:eastAsia="仿宋"/>
          <w:color w:val="000000"/>
          <w:sz w:val="32"/>
          <w:szCs w:val="32"/>
          <w:lang w:val="en-US" w:eastAsia="zh-CN"/>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县委编办</w:t>
      </w:r>
      <w:r>
        <w:rPr>
          <w:rFonts w:hint="eastAsia" w:ascii="仿宋" w:hAnsi="仿宋" w:eastAsia="仿宋"/>
          <w:color w:val="000000"/>
          <w:sz w:val="32"/>
          <w:szCs w:val="32"/>
        </w:rPr>
        <w:t>2018年度部门决算编制范围的二级预算单位包括</w:t>
      </w:r>
      <w:r>
        <w:rPr>
          <w:rFonts w:hint="eastAsia" w:ascii="仿宋" w:hAnsi="仿宋" w:eastAsia="仿宋"/>
          <w:color w:val="000000"/>
          <w:sz w:val="32"/>
          <w:szCs w:val="32"/>
          <w:lang w:val="en-US" w:eastAsia="zh-CN"/>
        </w:rPr>
        <w:t>:无。</w:t>
      </w:r>
    </w:p>
    <w:p>
      <w:pPr>
        <w:pStyle w:val="2"/>
        <w:ind w:right="440"/>
        <w:jc w:val="right"/>
        <w:rPr>
          <w:rStyle w:val="29"/>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2018年度部门决算情况说明</w:t>
      </w:r>
      <w:bookmarkEnd w:id="22"/>
      <w:bookmarkEnd w:id="23"/>
    </w:p>
    <w:p/>
    <w:p>
      <w:pPr>
        <w:pStyle w:val="28"/>
        <w:numPr>
          <w:ilvl w:val="0"/>
          <w:numId w:val="1"/>
        </w:numPr>
        <w:spacing w:line="600" w:lineRule="exact"/>
        <w:ind w:firstLineChars="0"/>
        <w:outlineLvl w:val="1"/>
        <w:rPr>
          <w:rStyle w:val="3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2018年度收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rPr>
        <w:t>241.</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总计241.</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5万元。与2017年相比，收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54.09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28.88</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54.09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28.88</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ind w:firstLine="420" w:firstLineChars="200"/>
      </w:pPr>
      <w:r>
        <w:drawing>
          <wp:anchor distT="0" distB="0" distL="114300" distR="114300" simplePos="0" relativeHeight="251666432" behindDoc="0" locked="0" layoutInCell="1" allowOverlap="1">
            <wp:simplePos x="0" y="0"/>
            <wp:positionH relativeFrom="column">
              <wp:posOffset>400050</wp:posOffset>
            </wp:positionH>
            <wp:positionV relativeFrom="paragraph">
              <wp:posOffset>257175</wp:posOffset>
            </wp:positionV>
            <wp:extent cx="4581525" cy="2733675"/>
            <wp:effectExtent l="0" t="0" r="9525" b="952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581525" cy="2733675"/>
                    </a:xfrm>
                    <a:prstGeom prst="rect">
                      <a:avLst/>
                    </a:prstGeom>
                    <a:noFill/>
                    <a:ln>
                      <a:noFill/>
                    </a:ln>
                  </pic:spPr>
                </pic:pic>
              </a:graphicData>
            </a:graphic>
          </wp:anchor>
        </w:drawing>
      </w:r>
    </w:p>
    <w:p>
      <w:pPr>
        <w:spacing w:line="600" w:lineRule="exact"/>
        <w:ind w:firstLine="420" w:firstLineChars="200"/>
      </w:pPr>
    </w:p>
    <w:p>
      <w:pPr>
        <w:spacing w:line="600" w:lineRule="exact"/>
        <w:ind w:firstLine="420" w:firstLineChars="200"/>
      </w:pPr>
    </w:p>
    <w:p>
      <w:pPr>
        <w:spacing w:line="600" w:lineRule="exact"/>
        <w:ind w:firstLine="420" w:firstLineChars="200"/>
      </w:pPr>
    </w:p>
    <w:p>
      <w:pPr>
        <w:spacing w:line="600" w:lineRule="exact"/>
      </w:pPr>
    </w:p>
    <w:p>
      <w:pPr>
        <w:spacing w:line="600" w:lineRule="exact"/>
        <w:ind w:firstLine="420" w:firstLineChars="200"/>
      </w:pPr>
    </w:p>
    <w:p>
      <w:pPr>
        <w:spacing w:line="600" w:lineRule="exact"/>
        <w:ind w:firstLine="420" w:firstLineChars="200"/>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8"/>
        <w:numPr>
          <w:ilvl w:val="0"/>
          <w:numId w:val="1"/>
        </w:numPr>
        <w:spacing w:line="600" w:lineRule="exact"/>
        <w:ind w:firstLineChars="0"/>
        <w:outlineLvl w:val="1"/>
        <w:rPr>
          <w:rStyle w:val="3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8年本年收入合计238.19万元，其中：一般公共预算财政拨款收入238.15万元，占</w:t>
      </w:r>
      <w:r>
        <w:rPr>
          <w:rFonts w:hint="eastAsia" w:ascii="仿宋" w:hAnsi="仿宋" w:eastAsia="仿宋"/>
          <w:color w:val="000000"/>
          <w:sz w:val="32"/>
          <w:szCs w:val="32"/>
          <w:lang w:val="en-US" w:eastAsia="zh-CN"/>
        </w:rPr>
        <w:t>99.98</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0.02</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420" w:firstLineChars="200"/>
        <w:rPr>
          <w:rFonts w:hint="eastAsia" w:ascii="仿宋" w:hAnsi="仿宋" w:eastAsia="仿宋"/>
          <w:color w:val="000000" w:themeColor="text1"/>
          <w:sz w:val="32"/>
          <w:szCs w:val="32"/>
          <w14:textFill>
            <w14:solidFill>
              <w14:schemeClr w14:val="tx1"/>
            </w14:solidFill>
          </w14:textFill>
        </w:rPr>
      </w:pPr>
      <w:r>
        <w:drawing>
          <wp:anchor distT="0" distB="0" distL="114300" distR="114300" simplePos="0" relativeHeight="251659264" behindDoc="0" locked="0" layoutInCell="1" allowOverlap="1">
            <wp:simplePos x="0" y="0"/>
            <wp:positionH relativeFrom="column">
              <wp:posOffset>381000</wp:posOffset>
            </wp:positionH>
            <wp:positionV relativeFrom="paragraph">
              <wp:posOffset>133350</wp:posOffset>
            </wp:positionV>
            <wp:extent cx="4219575" cy="2444115"/>
            <wp:effectExtent l="0" t="0" r="9525" b="133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219575" cy="2444115"/>
                    </a:xfrm>
                    <a:prstGeom prst="rect">
                      <a:avLst/>
                    </a:prstGeom>
                    <a:noFill/>
                    <a:ln>
                      <a:noFill/>
                    </a:ln>
                  </pic:spPr>
                </pic:pic>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r>
        <w:rPr>
          <w:rFonts w:hint="eastAsia" w:ascii="仿宋" w:hAnsi="仿宋" w:eastAsia="仿宋"/>
          <w:color w:val="000000" w:themeColor="text1"/>
          <w:sz w:val="32"/>
          <w:szCs w:val="32"/>
          <w:lang w:eastAsia="zh-CN"/>
          <w14:textFill>
            <w14:solidFill>
              <w14:schemeClr w14:val="tx1"/>
            </w14:solidFill>
          </w14:textFill>
        </w:rPr>
        <w:t>单位：万元</w:t>
      </w:r>
    </w:p>
    <w:p>
      <w:pPr>
        <w:pStyle w:val="28"/>
        <w:numPr>
          <w:ilvl w:val="0"/>
          <w:numId w:val="1"/>
        </w:numPr>
        <w:spacing w:line="600" w:lineRule="exact"/>
        <w:ind w:firstLineChars="0"/>
        <w:outlineLvl w:val="1"/>
        <w:rPr>
          <w:rStyle w:val="30"/>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30"/>
          <w:rFonts w:hint="eastAsia" w:ascii="黑体" w:hAnsi="黑体" w:eastAsia="黑体"/>
          <w:b w:val="0"/>
        </w:rPr>
        <w:t>出决算情况说明</w:t>
      </w:r>
      <w:bookmarkEnd w:id="28"/>
      <w:bookmarkEnd w:id="29"/>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8年本年支出合计241.21万元，其中：基本支出236.21万元，占</w:t>
      </w:r>
      <w:r>
        <w:rPr>
          <w:rFonts w:hint="eastAsia" w:ascii="仿宋" w:hAnsi="仿宋" w:eastAsia="仿宋"/>
          <w:color w:val="000000"/>
          <w:sz w:val="32"/>
          <w:szCs w:val="32"/>
          <w:lang w:val="en-US" w:eastAsia="zh-CN"/>
        </w:rPr>
        <w:t>97.93</w:t>
      </w:r>
      <w:r>
        <w:rPr>
          <w:rFonts w:ascii="仿宋" w:hAnsi="仿宋" w:eastAsia="仿宋"/>
          <w:color w:val="000000"/>
          <w:sz w:val="32"/>
          <w:szCs w:val="32"/>
        </w:rPr>
        <w:t>%</w:t>
      </w:r>
      <w:r>
        <w:rPr>
          <w:rFonts w:hint="eastAsia" w:ascii="仿宋" w:hAnsi="仿宋" w:eastAsia="仿宋"/>
          <w:color w:val="000000"/>
          <w:sz w:val="32"/>
          <w:szCs w:val="32"/>
        </w:rPr>
        <w:t>；项目支出5.00万元，占</w:t>
      </w:r>
      <w:r>
        <w:rPr>
          <w:rFonts w:hint="eastAsia" w:ascii="仿宋" w:hAnsi="仿宋" w:eastAsia="仿宋"/>
          <w:color w:val="000000"/>
          <w:sz w:val="32"/>
          <w:szCs w:val="32"/>
          <w:lang w:val="en-US" w:eastAsia="zh-CN"/>
        </w:rPr>
        <w:t>2.07</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768985</wp:posOffset>
            </wp:positionH>
            <wp:positionV relativeFrom="paragraph">
              <wp:posOffset>78105</wp:posOffset>
            </wp:positionV>
            <wp:extent cx="3830320" cy="2200910"/>
            <wp:effectExtent l="0" t="0" r="17780" b="889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a:stretch>
                      <a:fillRect/>
                    </a:stretch>
                  </pic:blipFill>
                  <pic:spPr>
                    <a:xfrm>
                      <a:off x="0" y="0"/>
                      <a:ext cx="3830320" cy="2200910"/>
                    </a:xfrm>
                    <a:prstGeom prst="rect">
                      <a:avLst/>
                    </a:prstGeom>
                    <a:noFill/>
                    <a:ln>
                      <a:noFill/>
                    </a:ln>
                  </pic:spPr>
                </pic:pic>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30"/>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rPr>
        <w:t>241.15万元、支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总计241.15万元。与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增加</w:t>
      </w:r>
      <w:r>
        <w:rPr>
          <w:rFonts w:hint="eastAsia" w:ascii="仿宋" w:hAnsi="仿宋" w:eastAsia="仿宋"/>
          <w:color w:val="000000"/>
          <w:sz w:val="32"/>
          <w:szCs w:val="32"/>
          <w:lang w:val="en-US" w:eastAsia="zh-CN"/>
        </w:rPr>
        <w:t>56.11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增长</w:t>
      </w:r>
      <w:r>
        <w:rPr>
          <w:rFonts w:hint="eastAsia" w:ascii="仿宋" w:hAnsi="仿宋" w:eastAsia="仿宋"/>
          <w:color w:val="000000"/>
          <w:sz w:val="32"/>
          <w:szCs w:val="32"/>
          <w:lang w:val="en-US" w:eastAsia="zh-CN"/>
        </w:rPr>
        <w:t>30.32</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56.11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30.32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ind w:firstLine="420" w:firstLineChars="200"/>
        <w:rPr>
          <w:rFonts w:hint="eastAsia" w:ascii="仿宋" w:hAnsi="仿宋" w:eastAsia="仿宋"/>
          <w:color w:val="000000"/>
          <w:sz w:val="32"/>
          <w:szCs w:val="32"/>
        </w:rPr>
      </w:pPr>
      <w:r>
        <w:drawing>
          <wp:anchor distT="0" distB="0" distL="114300" distR="114300" simplePos="0" relativeHeight="251667456" behindDoc="0" locked="0" layoutInCell="1" allowOverlap="1">
            <wp:simplePos x="0" y="0"/>
            <wp:positionH relativeFrom="column">
              <wp:posOffset>466725</wp:posOffset>
            </wp:positionH>
            <wp:positionV relativeFrom="paragraph">
              <wp:posOffset>9525</wp:posOffset>
            </wp:positionV>
            <wp:extent cx="4552950" cy="2724150"/>
            <wp:effectExtent l="0" t="0" r="0"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
                    <a:stretch>
                      <a:fillRect/>
                    </a:stretch>
                  </pic:blipFill>
                  <pic:spPr>
                    <a:xfrm>
                      <a:off x="0" y="0"/>
                      <a:ext cx="4552950" cy="2724150"/>
                    </a:xfrm>
                    <a:prstGeom prst="rect">
                      <a:avLst/>
                    </a:prstGeom>
                    <a:noFill/>
                    <a:ln>
                      <a:noFill/>
                    </a:ln>
                  </pic:spPr>
                </pic:pic>
              </a:graphicData>
            </a:graphic>
          </wp:anchor>
        </w:drawing>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pPr>
        <w:spacing w:line="600" w:lineRule="exact"/>
        <w:ind w:firstLine="640" w:firstLineChars="200"/>
        <w:outlineLvl w:val="1"/>
        <w:rPr>
          <w:rStyle w:val="3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241.15</w:t>
      </w:r>
      <w:r>
        <w:rPr>
          <w:rFonts w:hint="eastAsia" w:ascii="仿宋" w:hAnsi="仿宋" w:eastAsia="仿宋"/>
          <w:color w:val="000000"/>
          <w:sz w:val="32"/>
          <w:szCs w:val="32"/>
        </w:rPr>
        <w:t>万元，占本年支出合</w:t>
      </w:r>
      <w:r>
        <w:rPr>
          <w:rFonts w:hint="eastAsia" w:ascii="仿宋" w:hAnsi="仿宋" w:eastAsia="仿宋"/>
          <w:color w:val="000000"/>
          <w:sz w:val="32"/>
          <w:szCs w:val="32"/>
          <w:lang w:eastAsia="zh-CN"/>
        </w:rPr>
        <w:t>计</w:t>
      </w:r>
      <w:r>
        <w:rPr>
          <w:rFonts w:hint="eastAsia" w:ascii="仿宋" w:hAnsi="仿宋" w:eastAsia="仿宋"/>
          <w:color w:val="000000"/>
          <w:sz w:val="32"/>
          <w:szCs w:val="32"/>
        </w:rPr>
        <w:t>的</w:t>
      </w:r>
      <w:r>
        <w:rPr>
          <w:rFonts w:hint="eastAsia" w:ascii="仿宋" w:hAnsi="仿宋" w:eastAsia="仿宋"/>
          <w:color w:val="000000"/>
          <w:sz w:val="32"/>
          <w:szCs w:val="32"/>
          <w:lang w:val="en-US" w:eastAsia="zh-CN"/>
        </w:rPr>
        <w:t>99.98</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w:t>
      </w:r>
      <w:r>
        <w:rPr>
          <w:rFonts w:hint="eastAsia" w:ascii="仿宋" w:hAnsi="仿宋" w:eastAsia="仿宋"/>
          <w:color w:val="000000"/>
          <w:sz w:val="32"/>
          <w:szCs w:val="32"/>
          <w:lang w:val="en-US" w:eastAsia="zh-CN"/>
        </w:rPr>
        <w:t>56.11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30.32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420" w:firstLineChars="200"/>
        <w:rPr>
          <w:rFonts w:hint="eastAsia" w:ascii="仿宋" w:hAnsi="仿宋" w:eastAsia="仿宋"/>
          <w:color w:val="000000"/>
          <w:sz w:val="32"/>
          <w:szCs w:val="32"/>
          <w:lang w:eastAsia="zh-CN"/>
        </w:rPr>
      </w:pPr>
      <w:r>
        <w:drawing>
          <wp:anchor distT="0" distB="0" distL="114300" distR="114300" simplePos="0" relativeHeight="251663360" behindDoc="0" locked="0" layoutInCell="1" allowOverlap="1">
            <wp:simplePos x="0" y="0"/>
            <wp:positionH relativeFrom="column">
              <wp:posOffset>361950</wp:posOffset>
            </wp:positionH>
            <wp:positionV relativeFrom="paragraph">
              <wp:posOffset>152400</wp:posOffset>
            </wp:positionV>
            <wp:extent cx="4552950" cy="2647950"/>
            <wp:effectExtent l="0" t="0" r="0" b="0"/>
            <wp:wrapNone/>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0"/>
                    <a:stretch>
                      <a:fillRect/>
                    </a:stretch>
                  </pic:blipFill>
                  <pic:spPr>
                    <a:xfrm>
                      <a:off x="0" y="0"/>
                      <a:ext cx="4552950" cy="2647950"/>
                    </a:xfrm>
                    <a:prstGeom prst="rect">
                      <a:avLst/>
                    </a:prstGeom>
                    <a:noFill/>
                    <a:ln>
                      <a:noFill/>
                    </a:ln>
                  </pic:spPr>
                </pic:pic>
              </a:graphicData>
            </a:graphic>
          </wp:anchor>
        </w:drawing>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4384" behindDoc="0" locked="0" layoutInCell="1" allowOverlap="1">
            <wp:simplePos x="0" y="0"/>
            <wp:positionH relativeFrom="column">
              <wp:posOffset>905510</wp:posOffset>
            </wp:positionH>
            <wp:positionV relativeFrom="paragraph">
              <wp:posOffset>2633345</wp:posOffset>
            </wp:positionV>
            <wp:extent cx="3714115" cy="2330450"/>
            <wp:effectExtent l="0" t="0" r="635" b="12700"/>
            <wp:wrapNone/>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11"/>
                    <a:stretch>
                      <a:fillRect/>
                    </a:stretch>
                  </pic:blipFill>
                  <pic:spPr>
                    <a:xfrm>
                      <a:off x="0" y="0"/>
                      <a:ext cx="3714115" cy="2330450"/>
                    </a:xfrm>
                    <a:prstGeom prst="rect">
                      <a:avLst/>
                    </a:prstGeom>
                    <a:noFill/>
                    <a:ln>
                      <a:noFill/>
                    </a:ln>
                  </pic:spPr>
                </pic:pic>
              </a:graphicData>
            </a:graphic>
          </wp:anchor>
        </w:drawing>
      </w: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政拨款支出241.15万元，主要用于以下方面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支出181.92万元，占</w:t>
      </w:r>
      <w:r>
        <w:rPr>
          <w:rFonts w:hint="eastAsia" w:ascii="仿宋" w:hAnsi="仿宋" w:eastAsia="仿宋"/>
          <w:color w:val="000000" w:themeColor="text1"/>
          <w:sz w:val="32"/>
          <w:szCs w:val="32"/>
          <w:lang w:val="en-US" w:eastAsia="zh-CN"/>
          <w14:textFill>
            <w14:solidFill>
              <w14:schemeClr w14:val="tx1"/>
            </w14:solidFill>
          </w14:textFill>
        </w:rPr>
        <w:t>75.44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支出33.52万元，占</w:t>
      </w:r>
      <w:r>
        <w:rPr>
          <w:rFonts w:hint="eastAsia" w:ascii="仿宋" w:hAnsi="仿宋" w:eastAsia="仿宋"/>
          <w:color w:val="000000" w:themeColor="text1"/>
          <w:sz w:val="32"/>
          <w:szCs w:val="32"/>
          <w:lang w:val="en-US" w:eastAsia="zh-CN"/>
          <w14:textFill>
            <w14:solidFill>
              <w14:schemeClr w14:val="tx1"/>
            </w14:solidFill>
          </w14:textFill>
        </w:rPr>
        <w:t>13.90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；医疗卫生支出9.95万元，占</w:t>
      </w:r>
      <w:r>
        <w:rPr>
          <w:rFonts w:hint="eastAsia" w:ascii="仿宋" w:hAnsi="仿宋" w:eastAsia="仿宋"/>
          <w:color w:val="000000" w:themeColor="text1"/>
          <w:sz w:val="32"/>
          <w:szCs w:val="32"/>
          <w:lang w:val="en-US" w:eastAsia="zh-CN"/>
          <w14:textFill>
            <w14:solidFill>
              <w14:schemeClr w14:val="tx1"/>
            </w14:solidFill>
          </w14:textFill>
        </w:rPr>
        <w:t>4.13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；住房保障支出15.76万元，占</w:t>
      </w:r>
      <w:r>
        <w:rPr>
          <w:rFonts w:hint="eastAsia" w:ascii="仿宋" w:hAnsi="仿宋" w:eastAsia="仿宋"/>
          <w:color w:val="000000" w:themeColor="text1"/>
          <w:sz w:val="32"/>
          <w:szCs w:val="32"/>
          <w:lang w:val="en-US" w:eastAsia="zh-CN"/>
          <w14:textFill>
            <w14:solidFill>
              <w14:schemeClr w14:val="tx1"/>
            </w14:solidFill>
          </w14:textFill>
        </w:rPr>
        <w:t>6.54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213"/>
      <w:bookmarkStart w:id="38" w:name="_Toc15377444"/>
      <w:bookmarkStart w:id="39" w:name="_Toc15378460"/>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241.15万元</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w:t>
      </w:r>
      <w:r>
        <w:rPr>
          <w:rStyle w:val="14"/>
          <w:rFonts w:hint="eastAsia" w:ascii="仿宋" w:hAnsi="仿宋" w:eastAsia="仿宋"/>
          <w:bCs/>
          <w:color w:val="000000"/>
          <w:sz w:val="32"/>
          <w:szCs w:val="32"/>
          <w:lang w:val="en-US" w:eastAsia="zh-CN"/>
        </w:rPr>
        <w:t>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hint="eastAsia" w:ascii="仿宋" w:hAnsi="仿宋" w:eastAsia="仿宋"/>
          <w:b/>
          <w:color w:val="000000"/>
          <w:sz w:val="32"/>
          <w:szCs w:val="32"/>
          <w:lang w:eastAsia="zh-CN"/>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w:t>
      </w:r>
      <w:r>
        <w:rPr>
          <w:rStyle w:val="14"/>
          <w:rFonts w:hint="eastAsia" w:ascii="仿宋" w:hAnsi="仿宋" w:eastAsia="仿宋"/>
          <w:bCs/>
          <w:color w:val="000000"/>
          <w:sz w:val="32"/>
          <w:szCs w:val="32"/>
          <w:lang w:eastAsia="zh-CN"/>
        </w:rPr>
        <w:t>：支出决算为</w:t>
      </w:r>
      <w:r>
        <w:rPr>
          <w:rStyle w:val="14"/>
          <w:rFonts w:hint="eastAsia" w:ascii="仿宋" w:hAnsi="仿宋" w:eastAsia="仿宋"/>
          <w:b w:val="0"/>
          <w:bCs w:val="0"/>
          <w:color w:val="000000"/>
          <w:sz w:val="32"/>
          <w:szCs w:val="32"/>
          <w:lang w:val="en-US" w:eastAsia="zh-CN"/>
        </w:rPr>
        <w:t>181.92万元，完成预算100%，其中</w:t>
      </w:r>
      <w:r>
        <w:rPr>
          <w:rStyle w:val="14"/>
          <w:rFonts w:hint="eastAsia" w:ascii="仿宋" w:hAnsi="仿宋" w:eastAsia="仿宋"/>
          <w:bCs/>
          <w:color w:val="000000"/>
          <w:sz w:val="32"/>
          <w:szCs w:val="32"/>
        </w:rPr>
        <w:t>人力资源事务（款）行政运行（项）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支出决算为176.92万元，完成预算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Cs/>
          <w:color w:val="000000"/>
          <w:sz w:val="32"/>
          <w:szCs w:val="32"/>
        </w:rPr>
        <w:t>人力资源事务（款）一般行政管理事务（项）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hint="eastAsia" w:ascii="仿宋" w:hAnsi="仿宋" w:eastAsia="仿宋"/>
          <w:b w:val="0"/>
          <w:bCs/>
          <w:color w:val="000000"/>
          <w:sz w:val="32"/>
          <w:szCs w:val="32"/>
          <w:lang w:val="en-US" w:eastAsia="zh-CN"/>
        </w:rPr>
        <w:t>5.00</w:t>
      </w:r>
      <w:r>
        <w:rPr>
          <w:rStyle w:val="14"/>
          <w:rFonts w:hint="eastAsia" w:ascii="仿宋" w:hAnsi="仿宋" w:eastAsia="仿宋"/>
          <w:b w:val="0"/>
          <w:bCs/>
          <w:color w:val="000000"/>
          <w:sz w:val="32"/>
          <w:szCs w:val="32"/>
        </w:rPr>
        <w:t>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spacing w:line="600" w:lineRule="exact"/>
        <w:ind w:firstLine="643" w:firstLineChars="200"/>
        <w:rPr>
          <w:rStyle w:val="14"/>
          <w:rFonts w:hint="eastAsia" w:ascii="仿宋" w:hAnsi="仿宋" w:eastAsia="仿宋"/>
          <w:b w:val="0"/>
          <w:bCs/>
          <w:color w:val="000000"/>
          <w:sz w:val="32"/>
          <w:szCs w:val="32"/>
          <w:lang w:eastAsia="zh-CN"/>
        </w:rPr>
      </w:pPr>
      <w:r>
        <w:rPr>
          <w:rStyle w:val="14"/>
          <w:rFonts w:hint="eastAsia" w:ascii="仿宋" w:hAnsi="仿宋" w:eastAsia="仿宋"/>
          <w:bCs/>
          <w:color w:val="000000"/>
          <w:sz w:val="32"/>
          <w:szCs w:val="32"/>
          <w:lang w:val="en-US" w:eastAsia="zh-CN"/>
        </w:rPr>
        <w:t>2</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社会保障和就业（类）</w:t>
      </w:r>
      <w:r>
        <w:rPr>
          <w:rStyle w:val="14"/>
          <w:rFonts w:hint="eastAsia" w:ascii="仿宋" w:hAnsi="仿宋" w:eastAsia="仿宋"/>
          <w:bCs/>
          <w:color w:val="000000"/>
          <w:sz w:val="32"/>
          <w:szCs w:val="32"/>
          <w:lang w:eastAsia="zh-CN"/>
        </w:rPr>
        <w:t>：</w:t>
      </w:r>
      <w:r>
        <w:rPr>
          <w:rStyle w:val="14"/>
          <w:rFonts w:hint="eastAsia" w:ascii="仿宋" w:hAnsi="仿宋" w:eastAsia="仿宋"/>
          <w:b w:val="0"/>
          <w:bCs w:val="0"/>
          <w:color w:val="000000"/>
          <w:sz w:val="32"/>
          <w:szCs w:val="32"/>
          <w:lang w:eastAsia="zh-CN"/>
        </w:rPr>
        <w:t>支出决算为</w:t>
      </w:r>
      <w:r>
        <w:rPr>
          <w:rStyle w:val="14"/>
          <w:rFonts w:hint="eastAsia" w:ascii="仿宋" w:hAnsi="仿宋" w:eastAsia="仿宋"/>
          <w:b w:val="0"/>
          <w:bCs w:val="0"/>
          <w:color w:val="000000"/>
          <w:sz w:val="32"/>
          <w:szCs w:val="32"/>
          <w:lang w:val="en-US" w:eastAsia="zh-CN"/>
        </w:rPr>
        <w:t>33.52万元，完成预算100%，其中</w:t>
      </w:r>
      <w:r>
        <w:rPr>
          <w:rStyle w:val="14"/>
          <w:rFonts w:hint="eastAsia" w:ascii="仿宋" w:hAnsi="仿宋" w:eastAsia="仿宋"/>
          <w:bCs/>
          <w:color w:val="000000"/>
          <w:sz w:val="32"/>
          <w:szCs w:val="32"/>
        </w:rPr>
        <w:t>行政事业单位离退休（款）机关事业单位基本养老保险缴费支出（项）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支出决算为23.94万元，完成预算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Cs/>
          <w:color w:val="000000"/>
          <w:sz w:val="32"/>
          <w:szCs w:val="32"/>
        </w:rPr>
        <w:t>行政事业单位离退休（款）机关事业单位职业年金缴费支出（项）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支出决算为9.58万元，完成预算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spacing w:line="600" w:lineRule="exact"/>
        <w:ind w:firstLine="643" w:firstLineChars="200"/>
        <w:rPr>
          <w:rStyle w:val="14"/>
          <w:rFonts w:hint="eastAsia" w:ascii="仿宋" w:hAnsi="仿宋" w:eastAsia="仿宋"/>
          <w:b w:val="0"/>
          <w:bCs/>
          <w:color w:val="000000"/>
          <w:sz w:val="32"/>
          <w:szCs w:val="32"/>
        </w:rPr>
      </w:pPr>
      <w:r>
        <w:rPr>
          <w:rStyle w:val="14"/>
          <w:rFonts w:hint="eastAsia" w:ascii="仿宋" w:hAnsi="仿宋" w:eastAsia="仿宋"/>
          <w:bCs/>
          <w:color w:val="000000"/>
          <w:sz w:val="32"/>
          <w:szCs w:val="32"/>
          <w:lang w:val="en-US" w:eastAsia="zh-CN"/>
        </w:rPr>
        <w:t>3</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医疗卫生与计划生育（类）</w:t>
      </w:r>
      <w:r>
        <w:rPr>
          <w:rStyle w:val="14"/>
          <w:rFonts w:hint="eastAsia" w:ascii="仿宋" w:hAnsi="仿宋" w:eastAsia="仿宋"/>
          <w:bCs/>
          <w:color w:val="000000"/>
          <w:sz w:val="32"/>
          <w:szCs w:val="32"/>
          <w:lang w:eastAsia="zh-CN"/>
        </w:rPr>
        <w:t>：</w:t>
      </w:r>
      <w:r>
        <w:rPr>
          <w:rStyle w:val="14"/>
          <w:rFonts w:hint="eastAsia" w:ascii="仿宋" w:hAnsi="仿宋" w:eastAsia="仿宋"/>
          <w:b w:val="0"/>
          <w:bCs w:val="0"/>
          <w:color w:val="000000"/>
          <w:sz w:val="32"/>
          <w:szCs w:val="32"/>
          <w:lang w:eastAsia="zh-CN"/>
        </w:rPr>
        <w:t>支出决算为：</w:t>
      </w:r>
      <w:r>
        <w:rPr>
          <w:rStyle w:val="14"/>
          <w:rFonts w:hint="eastAsia" w:ascii="仿宋" w:hAnsi="仿宋" w:eastAsia="仿宋"/>
          <w:b w:val="0"/>
          <w:bCs w:val="0"/>
          <w:color w:val="000000"/>
          <w:sz w:val="32"/>
          <w:szCs w:val="32"/>
          <w:lang w:val="en-US" w:eastAsia="zh-CN"/>
        </w:rPr>
        <w:t>9.95万元，完成预算100%，其中</w:t>
      </w:r>
      <w:r>
        <w:rPr>
          <w:rStyle w:val="14"/>
          <w:rFonts w:hint="eastAsia" w:ascii="仿宋" w:hAnsi="仿宋" w:eastAsia="仿宋"/>
          <w:bCs/>
          <w:color w:val="000000"/>
          <w:sz w:val="32"/>
          <w:szCs w:val="32"/>
        </w:rPr>
        <w:t>行政事业单位医疗（款） 行政单位医疗（项）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支出决算为7.92万元，完成预算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r>
        <w:rPr>
          <w:rStyle w:val="14"/>
          <w:rFonts w:hint="eastAsia" w:ascii="仿宋" w:hAnsi="仿宋" w:eastAsia="仿宋"/>
          <w:bCs/>
          <w:color w:val="000000"/>
          <w:sz w:val="32"/>
          <w:szCs w:val="32"/>
        </w:rPr>
        <w:t>行政事业单位医疗（款） 公务员医疗补助（项）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支出决算为2.02万元，完成预算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hint="eastAsia" w:ascii="仿宋" w:hAnsi="仿宋" w:eastAsia="仿宋"/>
          <w:b/>
          <w:bCs w:val="0"/>
          <w:color w:val="000000"/>
          <w:sz w:val="32"/>
          <w:szCs w:val="32"/>
          <w:lang w:val="en-US" w:eastAsia="zh-CN"/>
        </w:rPr>
        <w:t>4</w:t>
      </w:r>
      <w:r>
        <w:rPr>
          <w:rStyle w:val="14"/>
          <w:rFonts w:hint="eastAsia" w:ascii="仿宋" w:hAnsi="仿宋" w:eastAsia="仿宋"/>
          <w:b w:val="0"/>
          <w:bCs/>
          <w:color w:val="000000"/>
          <w:sz w:val="32"/>
          <w:szCs w:val="32"/>
          <w:lang w:val="en-US" w:eastAsia="zh-CN"/>
        </w:rPr>
        <w:t>.</w:t>
      </w:r>
      <w:r>
        <w:rPr>
          <w:rStyle w:val="14"/>
          <w:rFonts w:hint="eastAsia" w:ascii="仿宋" w:hAnsi="仿宋" w:eastAsia="仿宋"/>
          <w:bCs/>
          <w:color w:val="000000"/>
          <w:sz w:val="32"/>
          <w:szCs w:val="32"/>
        </w:rPr>
        <w:t>住房保障支出（类）</w:t>
      </w:r>
      <w:r>
        <w:rPr>
          <w:rStyle w:val="14"/>
          <w:rFonts w:hint="eastAsia" w:ascii="仿宋" w:hAnsi="仿宋" w:eastAsia="仿宋"/>
          <w:bCs/>
          <w:color w:val="000000"/>
          <w:sz w:val="32"/>
          <w:szCs w:val="32"/>
          <w:lang w:eastAsia="zh-CN"/>
        </w:rPr>
        <w:t>：</w:t>
      </w:r>
      <w:r>
        <w:rPr>
          <w:rStyle w:val="14"/>
          <w:rFonts w:hint="eastAsia" w:ascii="仿宋" w:hAnsi="仿宋" w:eastAsia="仿宋"/>
          <w:b w:val="0"/>
          <w:bCs w:val="0"/>
          <w:color w:val="000000"/>
          <w:sz w:val="32"/>
          <w:szCs w:val="32"/>
          <w:lang w:eastAsia="zh-CN"/>
        </w:rPr>
        <w:t>支出决算为</w:t>
      </w:r>
      <w:r>
        <w:rPr>
          <w:rStyle w:val="14"/>
          <w:rFonts w:hint="eastAsia" w:ascii="仿宋" w:hAnsi="仿宋" w:eastAsia="仿宋"/>
          <w:b w:val="0"/>
          <w:bCs w:val="0"/>
          <w:color w:val="000000"/>
          <w:sz w:val="32"/>
          <w:szCs w:val="32"/>
          <w:lang w:val="en-US" w:eastAsia="zh-CN"/>
        </w:rPr>
        <w:t>15.76万元，完成预算100%，其中</w:t>
      </w:r>
      <w:r>
        <w:rPr>
          <w:rStyle w:val="14"/>
          <w:rFonts w:hint="eastAsia" w:ascii="仿宋" w:hAnsi="仿宋" w:eastAsia="仿宋"/>
          <w:bCs/>
          <w:color w:val="000000"/>
          <w:sz w:val="32"/>
          <w:szCs w:val="32"/>
        </w:rPr>
        <w:t>住房改革支出（款）住房公积金（项）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支出决算为15.76万元，完成预算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30"/>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0"/>
      <w:bookmarkEnd w:id="41"/>
      <w:r>
        <w:rPr>
          <w:rStyle w:val="3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b/>
          <w:color w:val="000000" w:themeColor="text1"/>
          <w:sz w:val="32"/>
          <w:szCs w:val="32"/>
          <w:lang w:val="en-US" w:eastAsia="zh-CN"/>
          <w14:textFill>
            <w14:solidFill>
              <w14:schemeClr w14:val="tx1"/>
            </w14:solidFill>
          </w14:textFill>
        </w:rPr>
        <w:t>236.15</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人员经费218.25万元，主要包括：基本工资</w:t>
      </w:r>
      <w:r>
        <w:rPr>
          <w:rFonts w:hint="eastAsia" w:ascii="仿宋" w:hAnsi="仿宋" w:eastAsia="仿宋"/>
          <w:color w:val="000000"/>
          <w:sz w:val="32"/>
          <w:szCs w:val="32"/>
          <w:lang w:val="en-US" w:eastAsia="zh-CN"/>
        </w:rPr>
        <w:t>43.98万元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86.13万元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25.07万元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23.94万元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9.58万元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2.06万元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2.02万元，职工基本医疗保险缴费7.92万元、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0.83万元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0.76万元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15.76万元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0.20万元</w:t>
      </w:r>
      <w:r>
        <w:rPr>
          <w:rFonts w:hint="eastAsia" w:ascii="仿宋" w:hAnsi="仿宋" w:eastAsia="仿宋"/>
          <w:color w:val="000000"/>
          <w:sz w:val="32"/>
          <w:szCs w:val="32"/>
        </w:rPr>
        <w:t>。</w:t>
      </w:r>
      <w:r>
        <w:rPr>
          <w:rFonts w:ascii="仿宋" w:hAnsi="仿宋" w:eastAsia="仿宋"/>
          <w:color w:val="000000"/>
          <w:sz w:val="32"/>
          <w:szCs w:val="32"/>
        </w:rPr>
        <w:br w:type="textWrapping"/>
      </w:r>
      <w:r>
        <w:rPr>
          <w:rFonts w:hint="eastAsia" w:ascii="仿宋" w:hAnsi="仿宋" w:eastAsia="仿宋"/>
          <w:color w:val="000000"/>
          <w:sz w:val="32"/>
          <w:szCs w:val="32"/>
        </w:rPr>
        <w:t>　　公用经费17.90万元，主要包括：办公费</w:t>
      </w:r>
      <w:r>
        <w:rPr>
          <w:rFonts w:hint="eastAsia" w:ascii="仿宋" w:hAnsi="仿宋" w:eastAsia="仿宋"/>
          <w:color w:val="000000"/>
          <w:sz w:val="32"/>
          <w:szCs w:val="32"/>
          <w:lang w:val="en-US" w:eastAsia="zh-CN"/>
        </w:rPr>
        <w:t>3.22万元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0.81万元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0.99万元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1.65万元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4.21万元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1.98万元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1.25万元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0.19万元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1.00万元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2.60万元</w:t>
      </w:r>
      <w:r>
        <w:rPr>
          <w:rFonts w:hint="eastAsia" w:ascii="仿宋" w:hAnsi="仿宋" w:eastAsia="仿宋"/>
          <w:color w:val="000000"/>
          <w:sz w:val="32"/>
          <w:szCs w:val="32"/>
        </w:rPr>
        <w:t>。</w:t>
      </w:r>
    </w:p>
    <w:p>
      <w:pPr>
        <w:spacing w:line="600" w:lineRule="exact"/>
        <w:ind w:firstLine="640"/>
        <w:outlineLvl w:val="1"/>
        <w:rPr>
          <w:rStyle w:val="30"/>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8年“三公”经费财政拨款支出决算为2.79万元，完成预算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；公务用车购置及运行维护费支出决算2.60万元，占</w:t>
      </w:r>
      <w:r>
        <w:rPr>
          <w:rFonts w:hint="eastAsia" w:ascii="仿宋" w:hAnsi="仿宋" w:eastAsia="仿宋"/>
          <w:color w:val="000000"/>
          <w:sz w:val="32"/>
          <w:szCs w:val="32"/>
          <w:lang w:val="en-US" w:eastAsia="zh-CN"/>
        </w:rPr>
        <w:t>93.19</w:t>
      </w:r>
      <w:r>
        <w:rPr>
          <w:rFonts w:ascii="仿宋" w:hAnsi="仿宋" w:eastAsia="仿宋"/>
          <w:color w:val="000000"/>
          <w:sz w:val="32"/>
          <w:szCs w:val="32"/>
        </w:rPr>
        <w:t>%</w:t>
      </w:r>
      <w:r>
        <w:rPr>
          <w:rFonts w:hint="eastAsia" w:ascii="仿宋" w:hAnsi="仿宋" w:eastAsia="仿宋"/>
          <w:color w:val="000000"/>
          <w:sz w:val="32"/>
          <w:szCs w:val="32"/>
        </w:rPr>
        <w:t>；公务接待费支出决算0.19万元，占</w:t>
      </w:r>
      <w:r>
        <w:rPr>
          <w:rFonts w:hint="eastAsia" w:ascii="仿宋" w:hAnsi="仿宋" w:eastAsia="仿宋"/>
          <w:color w:val="000000"/>
          <w:sz w:val="32"/>
          <w:szCs w:val="32"/>
          <w:lang w:val="en-US" w:eastAsia="zh-CN"/>
        </w:rPr>
        <w:t>6.81</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drawing>
          <wp:anchor distT="0" distB="0" distL="114300" distR="114300" simplePos="0" relativeHeight="251665408" behindDoc="0" locked="0" layoutInCell="1" allowOverlap="1">
            <wp:simplePos x="0" y="0"/>
            <wp:positionH relativeFrom="column">
              <wp:posOffset>473075</wp:posOffset>
            </wp:positionH>
            <wp:positionV relativeFrom="paragraph">
              <wp:posOffset>28575</wp:posOffset>
            </wp:positionV>
            <wp:extent cx="4419600" cy="2676525"/>
            <wp:effectExtent l="0" t="0" r="0" b="9525"/>
            <wp:wrapNone/>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2"/>
                    <a:stretch>
                      <a:fillRect/>
                    </a:stretch>
                  </pic:blipFill>
                  <pic:spPr>
                    <a:xfrm>
                      <a:off x="0" y="0"/>
                      <a:ext cx="4419600" cy="2676525"/>
                    </a:xfrm>
                    <a:prstGeom prst="rect">
                      <a:avLst/>
                    </a:prstGeom>
                    <a:noFill/>
                    <a:ln>
                      <a:noFill/>
                    </a:ln>
                  </pic:spPr>
                </pic:pic>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（图8：“三公”经费财政拨款支出结构）（饼状图）</w:t>
      </w:r>
    </w:p>
    <w:p>
      <w:pPr>
        <w:spacing w:line="600" w:lineRule="exact"/>
        <w:ind w:firstLine="640"/>
        <w:rPr>
          <w:rFonts w:hint="eastAsia" w:ascii="仿宋_GB2312" w:eastAsia="仿宋_GB2312"/>
          <w:color w:val="000000"/>
          <w:sz w:val="32"/>
          <w:szCs w:val="32"/>
          <w:lang w:eastAsia="zh-CN"/>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无变化。</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2.60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1.31</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101.6</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联系帮扶工作增加，车辆维护成本增加</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2.60</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出差，联系帮扶工作</w:t>
      </w:r>
      <w:r>
        <w:rPr>
          <w:rFonts w:hint="eastAsia" w:ascii="仿宋_GB2312" w:eastAsia="仿宋_GB2312"/>
          <w:color w:val="000000"/>
          <w:sz w:val="32"/>
          <w:szCs w:val="32"/>
        </w:rPr>
        <w:t>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0.05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35.71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接待人次增加，物价上涨</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万元，具体内容包括：</w:t>
      </w:r>
      <w:r>
        <w:rPr>
          <w:rFonts w:hint="eastAsia" w:ascii="仿宋_GB2312" w:eastAsia="仿宋_GB2312"/>
          <w:color w:val="000000"/>
          <w:sz w:val="32"/>
          <w:szCs w:val="32"/>
          <w:lang w:eastAsia="zh-CN"/>
        </w:rPr>
        <w:t>主要用于用餐费用</w:t>
      </w:r>
      <w:r>
        <w:rPr>
          <w:rFonts w:hint="eastAsia" w:ascii="仿宋_GB2312" w:eastAsia="仿宋_GB2312"/>
          <w:color w:val="000000"/>
          <w:sz w:val="32"/>
          <w:szCs w:val="32"/>
        </w:rPr>
        <w:t>。其中：</w:t>
      </w:r>
    </w:p>
    <w:p>
      <w:pPr>
        <w:spacing w:line="600" w:lineRule="exact"/>
        <w:ind w:firstLine="643"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p>
    <w:p>
      <w:pPr>
        <w:spacing w:line="600" w:lineRule="exact"/>
        <w:ind w:firstLine="640"/>
        <w:rPr>
          <w:rFonts w:hint="eastAsia" w:ascii="黑体" w:eastAsia="黑体"/>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w:t>
      </w:r>
      <w:bookmarkStart w:id="46" w:name="_Toc15377218"/>
      <w:bookmarkStart w:id="47" w:name="_Toc15396610"/>
    </w:p>
    <w:p>
      <w:pPr>
        <w:spacing w:line="600" w:lineRule="exact"/>
        <w:ind w:firstLine="640"/>
        <w:outlineLvl w:val="1"/>
        <w:rPr>
          <w:rStyle w:val="30"/>
          <w:rFonts w:ascii="黑体" w:hAnsi="黑体" w:eastAsia="黑体"/>
        </w:rPr>
      </w:pPr>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30"/>
          <w:rFonts w:ascii="黑体" w:hAnsi="黑体" w:eastAsia="黑体"/>
          <w:b w:val="0"/>
        </w:rPr>
      </w:pPr>
      <w:bookmarkStart w:id="48" w:name="_Toc15377219"/>
      <w:bookmarkStart w:id="49" w:name="_Toc15396611"/>
      <w:r>
        <w:rPr>
          <w:rStyle w:val="30"/>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8"/>
        <w:numPr>
          <w:ilvl w:val="0"/>
          <w:numId w:val="3"/>
        </w:numPr>
        <w:spacing w:line="580" w:lineRule="exact"/>
        <w:ind w:firstLineChars="0"/>
        <w:rPr>
          <w:rStyle w:val="30"/>
          <w:rFonts w:ascii="黑体" w:hAnsi="黑体" w:eastAsia="黑体"/>
          <w:b w:val="0"/>
        </w:rPr>
      </w:pPr>
      <w:r>
        <w:rPr>
          <w:rStyle w:val="30"/>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编办</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sz w:val="32"/>
          <w:szCs w:val="32"/>
          <w:lang w:eastAsia="zh-CN"/>
        </w:rPr>
        <w:t>，情况较好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2个项目评价较好。</w:t>
      </w: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 党政群机关及事业单位政务和公益中文域名管理</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“机关事业单位干部职工人员流动编卡变动”</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党政群机关及事业单位政务和公益中文域名管理费项目绩效目标完成情况综述。项目全年预算数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全县机构编制实名制系统正常运行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保障机构编制数据的准确性和时效性，</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加强资金使用管理，将资金用于刀刃上。</w:t>
      </w:r>
    </w:p>
    <w:p>
      <w:pPr>
        <w:numPr>
          <w:ilvl w:val="0"/>
          <w:numId w:val="0"/>
        </w:numPr>
        <w:spacing w:line="580" w:lineRule="exact"/>
        <w:rPr>
          <w:rFonts w:ascii="仿宋_GB2312" w:hAnsi="仿宋_GB2312" w:eastAsia="仿宋_GB2312" w:cs="仿宋_GB2312"/>
          <w:sz w:val="32"/>
          <w:szCs w:val="32"/>
        </w:rPr>
      </w:pPr>
    </w:p>
    <w:p>
      <w:pPr>
        <w:tabs>
          <w:tab w:val="left" w:pos="312"/>
        </w:tabs>
        <w:spacing w:line="580" w:lineRule="exact"/>
        <w:rPr>
          <w:rFonts w:ascii="仿宋_GB2312" w:hAnsi="仿宋_GB2312" w:eastAsia="仿宋_GB2312" w:cs="仿宋_GB2312"/>
          <w:sz w:val="32"/>
          <w:szCs w:val="32"/>
        </w:rPr>
      </w:pPr>
    </w:p>
    <w:tbl>
      <w:tblPr>
        <w:tblStyle w:val="20"/>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cs="宋体"/>
                <w:b/>
                <w:i w:val="0"/>
                <w:color w:val="000000"/>
                <w:sz w:val="24"/>
                <w:szCs w:val="24"/>
                <w:u w:val="none"/>
                <w:lang w:eastAsia="zh-CN"/>
              </w:rPr>
              <w:t>党政群机关及事业单位政务和公益中文域名管理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中共红原县委机构编制委员会办公室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color w:val="000000"/>
                <w:sz w:val="24"/>
                <w:szCs w:val="24"/>
                <w:u w:val="none"/>
                <w:lang w:eastAsia="zh-CN"/>
              </w:rPr>
            </w:pPr>
            <w:r>
              <w:rPr>
                <w:rFonts w:hint="eastAsia" w:ascii="宋体" w:hAnsi="宋体" w:cs="宋体"/>
                <w:b w:val="0"/>
                <w:bCs w:val="0"/>
                <w:i w:val="0"/>
                <w:color w:val="000000"/>
                <w:sz w:val="24"/>
                <w:szCs w:val="24"/>
                <w:u w:val="none"/>
                <w:lang w:eastAsia="zh-CN"/>
              </w:rPr>
              <w:t>保障机构编制实名制系统正常运行，完成数据实时更新；完成事业单位年度报告公示；做好党政机关、事业单位的网上中文域名规范。</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color w:val="000000"/>
                <w:sz w:val="24"/>
                <w:szCs w:val="24"/>
                <w:u w:val="none"/>
                <w:lang w:eastAsia="zh-CN"/>
              </w:rPr>
            </w:pPr>
            <w:r>
              <w:rPr>
                <w:rFonts w:hint="eastAsia" w:ascii="宋体" w:hAnsi="宋体" w:cs="宋体"/>
                <w:b w:val="0"/>
                <w:bCs/>
                <w:i w:val="0"/>
                <w:color w:val="000000"/>
                <w:sz w:val="24"/>
                <w:szCs w:val="24"/>
                <w:u w:val="none"/>
                <w:lang w:eastAsia="zh-CN"/>
              </w:rPr>
              <w:t>圆满完成了各项工作任务，为全县又快又好发展提供体制机制保障。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保障机构编制工作有序开展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圆满完成各项工作任务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3月完成事业单位年度公示，年底完成编统工作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各项工作在计划期内完成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未变更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完成质量好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完成质量好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按量完成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盘活编制存量，围绕县委县政府重点工作，助力经济发展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盘活编制存量，围绕县委县政府重点工作，助力经济发展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rPr>
              <w:t>深入研究管理体制机制问题，不断调整完善省政府机构设置和职能配置</w:t>
            </w:r>
            <w:r>
              <w:rPr>
                <w:rFonts w:hint="eastAsia" w:ascii="宋体" w:hAnsi="宋体" w:cs="宋体"/>
                <w:i w:val="0"/>
                <w:color w:val="000000"/>
                <w:sz w:val="20"/>
                <w:szCs w:val="20"/>
                <w:u w:val="none"/>
                <w:lang w:eastAsia="zh-CN"/>
              </w:rPr>
              <w:t>，造福社会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深入研究管理体制机制问题，不断调整完善省政府机构设置和职能配置</w:t>
            </w:r>
            <w:r>
              <w:rPr>
                <w:rFonts w:hint="eastAsia" w:ascii="宋体" w:hAnsi="宋体" w:cs="宋体"/>
                <w:i w:val="0"/>
                <w:color w:val="000000"/>
                <w:sz w:val="20"/>
                <w:szCs w:val="20"/>
                <w:u w:val="none"/>
                <w:lang w:eastAsia="zh-CN"/>
              </w:rPr>
              <w:t>，造福社会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服务生态文明建设</w:t>
            </w:r>
            <w:r>
              <w:rPr>
                <w:rFonts w:hint="eastAsia" w:ascii="宋体" w:hAnsi="宋体" w:cs="宋体"/>
                <w:i w:val="0"/>
                <w:color w:val="000000"/>
                <w:sz w:val="20"/>
                <w:szCs w:val="20"/>
                <w:u w:val="none"/>
                <w:lang w:eastAsia="zh-CN"/>
              </w:rPr>
              <w:t>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为</w:t>
            </w:r>
            <w:r>
              <w:rPr>
                <w:rFonts w:hint="eastAsia" w:ascii="宋体" w:hAnsi="宋体" w:eastAsia="宋体" w:cs="宋体"/>
                <w:i w:val="0"/>
                <w:color w:val="000000"/>
                <w:sz w:val="20"/>
                <w:szCs w:val="20"/>
                <w:u w:val="none"/>
                <w:lang w:eastAsia="zh-CN"/>
              </w:rPr>
              <w:t>生态文明建设</w:t>
            </w:r>
            <w:r>
              <w:rPr>
                <w:rFonts w:hint="eastAsia" w:ascii="宋体" w:hAnsi="宋体" w:cs="宋体"/>
                <w:i w:val="0"/>
                <w:color w:val="000000"/>
                <w:sz w:val="20"/>
                <w:szCs w:val="20"/>
                <w:u w:val="none"/>
                <w:lang w:eastAsia="zh-CN"/>
              </w:rPr>
              <w:t>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严控总量、盘活存量、优化结构、服务发展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在不突破机构编制限额前提下，为县委县政府各项工作提供机构编制保障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r>
    </w:tbl>
    <w:p>
      <w:pPr>
        <w:rPr>
          <w:rFonts w:ascii="Calibri" w:hAnsi="Calibri"/>
        </w:rPr>
      </w:pPr>
    </w:p>
    <w:p>
      <w:pPr>
        <w:rPr>
          <w:rFonts w:ascii="Calibri" w:hAnsi="Calibri"/>
        </w:rPr>
      </w:pPr>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机关事业单位干部职工人员流动编卡变动费项目绩效目标完成情况综述。项目全年预算数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lang w:val="en-US" w:eastAsia="zh-CN"/>
        </w:rPr>
        <w:t>2900余名在职职工及时更换编卡信息。</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加强资金使用管理，将资金用于刀刃上。</w:t>
      </w:r>
    </w:p>
    <w:p>
      <w:pPr>
        <w:spacing w:line="580" w:lineRule="exact"/>
        <w:rPr>
          <w:rFonts w:hint="eastAsia" w:ascii="仿宋_GB2312" w:hAnsi="仿宋_GB2312" w:eastAsia="仿宋_GB2312" w:cs="仿宋_GB2312"/>
          <w:sz w:val="32"/>
          <w:szCs w:val="32"/>
          <w:lang w:eastAsia="zh-CN"/>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tbl>
      <w:tblPr>
        <w:tblStyle w:val="20"/>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sz w:val="24"/>
                <w:szCs w:val="24"/>
                <w:u w:val="none"/>
              </w:rPr>
              <w:t>机关事业单位干部职工人员流动编卡变动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中共红原县委机构编制委员会办公室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0"/>
                <w:szCs w:val="20"/>
                <w:u w:val="none"/>
              </w:rPr>
            </w:pPr>
            <w:r>
              <w:rPr>
                <w:rFonts w:hint="eastAsia" w:ascii="宋体" w:hAnsi="宋体" w:eastAsia="宋体" w:cs="宋体"/>
                <w:b/>
                <w:bCs/>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color w:val="000000"/>
                <w:sz w:val="24"/>
                <w:szCs w:val="24"/>
                <w:u w:val="none"/>
              </w:rPr>
            </w:pPr>
            <w:r>
              <w:rPr>
                <w:rFonts w:hint="eastAsia" w:ascii="宋体" w:hAnsi="宋体" w:eastAsia="宋体" w:cs="宋体"/>
                <w:b/>
                <w:bCs/>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color w:val="000000"/>
                <w:sz w:val="24"/>
                <w:szCs w:val="24"/>
                <w:u w:val="none"/>
                <w:lang w:eastAsia="zh-CN"/>
              </w:rPr>
            </w:pPr>
            <w:r>
              <w:rPr>
                <w:rFonts w:hint="eastAsia" w:ascii="宋体" w:hAnsi="宋体" w:cs="宋体"/>
                <w:b w:val="0"/>
                <w:bCs w:val="0"/>
                <w:i w:val="0"/>
                <w:color w:val="000000"/>
                <w:sz w:val="24"/>
                <w:szCs w:val="24"/>
                <w:u w:val="none"/>
                <w:lang w:eastAsia="zh-CN"/>
              </w:rPr>
              <w:t>制作全县在编人员编制卡片，完成信息更新；完成法人登记工作；做好编委会会务工作</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i w:val="0"/>
                <w:color w:val="000000"/>
                <w:sz w:val="24"/>
                <w:szCs w:val="24"/>
                <w:u w:val="none"/>
                <w:lang w:eastAsia="zh-CN"/>
              </w:rPr>
            </w:pPr>
            <w:r>
              <w:rPr>
                <w:rFonts w:hint="eastAsia" w:ascii="宋体" w:hAnsi="宋体" w:cs="宋体"/>
                <w:b w:val="0"/>
                <w:bCs/>
                <w:i w:val="0"/>
                <w:color w:val="000000"/>
                <w:sz w:val="24"/>
                <w:szCs w:val="24"/>
                <w:u w:val="none"/>
                <w:lang w:eastAsia="zh-CN"/>
              </w:rPr>
              <w:t>圆满完成了各项工作任务，推进事业单位法人履职评估，全面完成法人赋码换证工作；及时更新在职人员编卡信息和换卡工作；做好编委会会务工作。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保障机构编制工作有序开展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圆满完成各项工作任务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完成年度内法人赋码换证工作，及时更新编卡</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各项工作在计划期内完成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已制定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已明确</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已明确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未调整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未变更</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未变更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按规定执行</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按规定执行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完成质量好</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完成质量好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按量完成</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按量完成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盘活编制存量，围绕县委县政府重点工作，助力经济发展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盘活编制存量，围绕县委县政府重点工作，助力经济发展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rPr>
              <w:t>深入研究管理体制机制问题，不断调整完善省政府机构设置和职能配置</w:t>
            </w:r>
            <w:r>
              <w:rPr>
                <w:rFonts w:hint="eastAsia" w:ascii="宋体" w:hAnsi="宋体" w:cs="宋体"/>
                <w:i w:val="0"/>
                <w:color w:val="000000"/>
                <w:sz w:val="20"/>
                <w:szCs w:val="20"/>
                <w:u w:val="none"/>
                <w:lang w:eastAsia="zh-CN"/>
              </w:rPr>
              <w:t>，造福社会</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深入研究管理体制机制问题，不断调整完善省政府机构设置和职能配置</w:t>
            </w:r>
            <w:r>
              <w:rPr>
                <w:rFonts w:hint="eastAsia" w:ascii="宋体" w:hAnsi="宋体" w:cs="宋体"/>
                <w:i w:val="0"/>
                <w:color w:val="000000"/>
                <w:sz w:val="20"/>
                <w:szCs w:val="20"/>
                <w:u w:val="none"/>
                <w:lang w:eastAsia="zh-CN"/>
              </w:rPr>
              <w:t>，造福社会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服务生态文明建设</w:t>
            </w:r>
            <w:r>
              <w:rPr>
                <w:rFonts w:hint="eastAsia" w:ascii="宋体" w:hAnsi="宋体" w:cs="宋体"/>
                <w:i w:val="0"/>
                <w:color w:val="000000"/>
                <w:sz w:val="20"/>
                <w:szCs w:val="20"/>
                <w:u w:val="none"/>
                <w:lang w:eastAsia="zh-CN"/>
              </w:rPr>
              <w:t>工作</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为</w:t>
            </w:r>
            <w:r>
              <w:rPr>
                <w:rFonts w:hint="eastAsia" w:ascii="宋体" w:hAnsi="宋体" w:eastAsia="宋体" w:cs="宋体"/>
                <w:i w:val="0"/>
                <w:color w:val="000000"/>
                <w:sz w:val="20"/>
                <w:szCs w:val="20"/>
                <w:u w:val="none"/>
                <w:lang w:eastAsia="zh-CN"/>
              </w:rPr>
              <w:t>生态文明建设</w:t>
            </w:r>
            <w:r>
              <w:rPr>
                <w:rFonts w:hint="eastAsia" w:ascii="宋体" w:hAnsi="宋体" w:cs="宋体"/>
                <w:i w:val="0"/>
                <w:color w:val="000000"/>
                <w:sz w:val="20"/>
                <w:szCs w:val="20"/>
                <w:u w:val="none"/>
                <w:lang w:eastAsia="zh-CN"/>
              </w:rPr>
              <w:t>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严控总量、盘活存量、优化结构、服务发展</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在不突破机构编制限额前提下，为县委县政府各项工作提供机构编制保障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满意</w:t>
            </w:r>
          </w:p>
        </w:tc>
      </w:tr>
    </w:tbl>
    <w:p>
      <w:pPr>
        <w:rPr>
          <w:rFonts w:ascii="Calibri" w:hAnsi="Calibri"/>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eastAsia="zh-CN"/>
        </w:rPr>
        <w:t>县委编办</w:t>
      </w:r>
      <w:r>
        <w:rPr>
          <w:rFonts w:hint="eastAsia" w:ascii="仿宋_GB2312" w:hAnsi="仿宋_GB2312" w:eastAsia="仿宋_GB2312" w:cs="仿宋_GB2312"/>
          <w:sz w:val="32"/>
          <w:szCs w:val="32"/>
        </w:rPr>
        <w:t>部门2018年部门整体支出绩效评价报告》见附件。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本部门自行组织对党政群机关及事业单位政务和公益中文域名管理项目、机关事业单位干部职工人员流动编卡变动项目开展了绩效评价，《</w:t>
      </w:r>
      <w:r>
        <w:rPr>
          <w:rFonts w:hint="eastAsia" w:ascii="仿宋_GB2312" w:hAnsi="仿宋_GB2312" w:eastAsia="仿宋_GB2312" w:cs="仿宋_GB2312"/>
          <w:sz w:val="32"/>
          <w:szCs w:val="32"/>
          <w:lang w:eastAsia="zh-CN"/>
        </w:rPr>
        <w:t>县委编办</w:t>
      </w:r>
      <w:r>
        <w:rPr>
          <w:rFonts w:hint="eastAsia" w:ascii="仿宋_GB2312" w:hAnsi="仿宋_GB2312" w:eastAsia="仿宋_GB2312" w:cs="仿宋_GB2312"/>
          <w:sz w:val="32"/>
          <w:szCs w:val="32"/>
        </w:rPr>
        <w:t>项目2018年绩效评价报告》见附件。</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30"/>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30"/>
          <w:rFonts w:hint="eastAsia" w:ascii="黑体" w:hAnsi="黑体" w:eastAsia="黑体"/>
        </w:rPr>
        <w:t>一、</w:t>
      </w:r>
      <w:r>
        <w:rPr>
          <w:rStyle w:val="30"/>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17.90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hint="eastAsia" w:ascii="仿宋_GB2312" w:eastAsia="仿宋_GB2312"/>
          <w:color w:val="000000"/>
          <w:sz w:val="32"/>
          <w:szCs w:val="32"/>
          <w:lang w:val="en-US" w:eastAsia="zh-CN"/>
        </w:rPr>
        <w:t>0.02</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0.01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人员增加。</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辆、一般执法执勤用车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开展日常工作。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pPr>
        <w:spacing w:line="600" w:lineRule="atLeast"/>
        <w:ind w:firstLine="643" w:firstLineChars="200"/>
        <w:rPr>
          <w:rFonts w:ascii="仿宋_GB2312" w:eastAsia="仿宋_GB2312"/>
          <w:b/>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3" w:firstLineChars="150"/>
        <w:jc w:val="center"/>
        <w:outlineLvl w:val="0"/>
        <w:rPr>
          <w:rStyle w:val="29"/>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29"/>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一般公共服务（类）人力资源事务（款）行政运行（项）: 指</w:t>
      </w:r>
      <w:r>
        <w:rPr>
          <w:rFonts w:hint="eastAsia" w:ascii="仿宋_GB2312" w:eastAsia="仿宋_GB2312"/>
          <w:color w:val="000000"/>
          <w:sz w:val="32"/>
          <w:szCs w:val="32"/>
          <w:lang w:eastAsia="zh-CN"/>
        </w:rPr>
        <w:t>机关工作所需经费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社会保障和就业（类）行政事业单位离退休（款）机关事业单位基本养老保险缴费支出（项）: 指</w:t>
      </w:r>
      <w:r>
        <w:rPr>
          <w:rFonts w:hint="eastAsia" w:ascii="仿宋_GB2312" w:eastAsia="仿宋_GB2312"/>
          <w:color w:val="000000"/>
          <w:sz w:val="32"/>
          <w:szCs w:val="32"/>
          <w:lang w:eastAsia="zh-CN"/>
        </w:rPr>
        <w:t>本门职工缴纳养老保险和职业年金费用</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医疗卫生与计划生育（类）行政事业单位医疗（款） 行政单位医疗（项）：指反应行政单位医疗方面的支出。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支出（类）住房改革支出（款）住房公积金（项）:指反映用于保障性住房方面的支出或反映行政事业单位按人力资源和社会保障部、财政部规定的基本工资和津贴补贴以及规定比例为职工缴纳的住房公积金。</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7"/>
        <w:pageBreakBefore w:val="0"/>
        <w:kinsoku/>
        <w:wordWrap/>
        <w:overflowPunct/>
        <w:topLinePunct w:val="0"/>
        <w:bidi w:val="0"/>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w:t>
      </w:r>
      <w:r>
        <w:rPr>
          <w:rFonts w:hint="eastAsia" w:ascii="仿宋_GB2312" w:eastAsia="仿宋_GB2312"/>
          <w:sz w:val="32"/>
          <w:szCs w:val="32"/>
          <w:lang w:eastAsia="zh-CN"/>
        </w:rPr>
        <w:t>公</w:t>
      </w:r>
      <w:r>
        <w:rPr>
          <w:rFonts w:hint="eastAsia" w:ascii="仿宋_GB2312" w:eastAsia="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27"/>
        <w:pageBreakBefore w:val="0"/>
        <w:kinsoku/>
        <w:wordWrap/>
        <w:overflowPunct/>
        <w:topLinePunct w:val="0"/>
        <w:bidi w:val="0"/>
        <w:spacing w:line="520" w:lineRule="exact"/>
        <w:ind w:firstLine="640" w:firstLineChars="200"/>
        <w:textAlignment w:val="auto"/>
        <w:rPr>
          <w:rFonts w:ascii="仿宋_GB2312" w:eastAsia="仿宋_GB2312" w:cs="黑体"/>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印刷费、邮电费、差旅费、日常维修费、办公用房水电费、办公用房取暖费、公务用车运行维护费以及其他费用。</w:t>
      </w:r>
    </w:p>
    <w:p>
      <w:pPr>
        <w:ind w:firstLine="640" w:firstLineChars="200"/>
        <w:rPr>
          <w:rFonts w:hint="eastAsia" w:ascii="仿宋_GB2312" w:eastAsia="仿宋_GB2312"/>
          <w:color w:val="000000"/>
          <w:sz w:val="32"/>
          <w:szCs w:val="32"/>
        </w:rPr>
      </w:pPr>
    </w:p>
    <w:p>
      <w:pPr>
        <w:pStyle w:val="27"/>
        <w:spacing w:line="560" w:lineRule="exact"/>
        <w:ind w:firstLine="640" w:firstLineChars="200"/>
        <w:rPr>
          <w:rFonts w:ascii="仿宋_GB2312" w:eastAsia="仿宋_GB2312" w:cs="黑体"/>
          <w:sz w:val="32"/>
          <w:szCs w:val="32"/>
        </w:rPr>
      </w:pPr>
    </w:p>
    <w:p>
      <w:pPr>
        <w:spacing w:line="600" w:lineRule="exact"/>
        <w:jc w:val="both"/>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bookmarkEnd w:id="57"/>
    </w:p>
    <w:p>
      <w:pPr>
        <w:spacing w:line="600" w:lineRule="exact"/>
        <w:jc w:val="center"/>
        <w:outlineLvl w:val="0"/>
        <w:rPr>
          <w:rStyle w:val="29"/>
        </w:rPr>
      </w:pPr>
    </w:p>
    <w:p>
      <w:pPr>
        <w:pStyle w:val="3"/>
        <w:rPr>
          <w:rStyle w:val="29"/>
          <w:rFonts w:ascii="仿宋" w:hAnsi="仿宋" w:eastAsia="仿宋"/>
          <w:b w:val="0"/>
          <w:bCs w:val="0"/>
          <w:sz w:val="32"/>
          <w:szCs w:val="32"/>
        </w:rPr>
      </w:pPr>
      <w:bookmarkStart w:id="59" w:name="_Toc15396615"/>
      <w:r>
        <w:rPr>
          <w:rStyle w:val="29"/>
          <w:rFonts w:hint="eastAsia" w:ascii="仿宋" w:hAnsi="仿宋" w:eastAsia="仿宋"/>
          <w:b w:val="0"/>
          <w:bCs w:val="0"/>
          <w:sz w:val="32"/>
          <w:szCs w:val="32"/>
        </w:rPr>
        <w:t>附件1</w:t>
      </w:r>
      <w:bookmarkEnd w:id="59"/>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60" w:name="_Toc15396617"/>
      <w:r>
        <w:rPr>
          <w:rFonts w:hint="eastAsia" w:ascii="方正小标宋简体" w:hAnsi="宋体" w:eastAsia="方正小标宋简体" w:cs="方正小标宋简体"/>
          <w:kern w:val="2"/>
          <w:sz w:val="44"/>
          <w:szCs w:val="44"/>
          <w:lang w:val="en-US" w:eastAsia="zh-CN" w:bidi="ar"/>
        </w:rPr>
        <w:t>县委编办部门整体支出绩效报告</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（一）机构组成。</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en-US" w:eastAsia="zh-CN" w:bidi="ar"/>
        </w:rPr>
        <w:t>中共红原县委机构编制委员会办公室为县党委行政机构，下设事业单位登记管理局（参公事业单位）和电子政务中心（事业单位）。</w:t>
      </w:r>
    </w:p>
    <w:p>
      <w:pPr>
        <w:keepNext w:val="0"/>
        <w:keepLines w:val="0"/>
        <w:widowControl/>
        <w:numPr>
          <w:ilvl w:val="0"/>
          <w:numId w:val="7"/>
        </w:numPr>
        <w:suppressLineNumbers w:val="0"/>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机构职能。</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0"/>
          <w:sz w:val="32"/>
          <w:szCs w:val="32"/>
          <w:lang w:val="zh-CN" w:eastAsia="zh-CN" w:bidi="ar"/>
        </w:rPr>
      </w:pPr>
      <w:r>
        <w:rPr>
          <w:rFonts w:hint="eastAsia" w:ascii="仿宋_GB2312" w:hAnsi="仿宋_GB2312" w:eastAsia="仿宋_GB2312" w:cs="仿宋_GB2312"/>
          <w:sz w:val="32"/>
          <w:szCs w:val="32"/>
        </w:rPr>
        <w:t>中共红原县委机构编制委员会办公室</w:t>
      </w:r>
      <w:r>
        <w:rPr>
          <w:rFonts w:hint="eastAsia" w:ascii="仿宋_GB2312" w:hAnsi="仿宋_GB2312" w:eastAsia="仿宋_GB2312" w:cs="仿宋_GB2312"/>
          <w:sz w:val="32"/>
          <w:szCs w:val="32"/>
          <w:lang w:eastAsia="zh-CN"/>
        </w:rPr>
        <w:t>负责全县各机关及事业单位的</w:t>
      </w:r>
      <w:r>
        <w:rPr>
          <w:rFonts w:hint="eastAsia" w:ascii="仿宋_GB2312" w:hAnsi="仿宋_GB2312" w:eastAsia="仿宋_GB2312" w:cs="仿宋_GB2312"/>
          <w:sz w:val="32"/>
          <w:szCs w:val="32"/>
          <w:lang w:val="en-US" w:eastAsia="zh-CN"/>
        </w:rPr>
        <w:t>机构编制</w:t>
      </w:r>
      <w:r>
        <w:rPr>
          <w:rFonts w:hint="eastAsia" w:ascii="仿宋_GB2312" w:hAnsi="仿宋_GB2312" w:eastAsia="仿宋_GB2312" w:cs="仿宋_GB2312"/>
          <w:sz w:val="32"/>
          <w:szCs w:val="32"/>
          <w:lang w:eastAsia="zh-CN"/>
        </w:rPr>
        <w:t>的管理工作，负责各单位机构设置、人员编制和领导职数的调整；审核工作机构的调整；分配下达各党政机关的编制总额；全县事业单位法人年度报告年度检验及编委会的日常工作。</w:t>
      </w:r>
    </w:p>
    <w:p>
      <w:pPr>
        <w:keepNext w:val="0"/>
        <w:keepLines w:val="0"/>
        <w:widowControl/>
        <w:numPr>
          <w:ilvl w:val="0"/>
          <w:numId w:val="7"/>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color w:val="000000"/>
          <w:kern w:val="0"/>
          <w:sz w:val="32"/>
          <w:szCs w:val="24"/>
          <w:lang w:val="zh-CN" w:eastAsia="zh-CN" w:bidi="ar"/>
        </w:rPr>
        <w:t>人员概况。</w:t>
      </w:r>
    </w:p>
    <w:p>
      <w:pPr>
        <w:ind w:firstLineChars="200"/>
        <w:rPr>
          <w:rFonts w:hint="eastAsia" w:ascii="仿宋_GB2312" w:hAnsi="仿宋_GB2312" w:eastAsia="仿宋_GB2312" w:cs="仿宋_GB2312"/>
          <w:color w:val="000000"/>
          <w:kern w:val="0"/>
          <w:sz w:val="32"/>
          <w:szCs w:val="24"/>
          <w:lang w:val="zh-CN" w:eastAsia="zh-CN" w:bidi="ar"/>
        </w:rPr>
      </w:pPr>
      <w:r>
        <w:rPr>
          <w:rFonts w:hint="eastAsia" w:ascii="仿宋_GB2312" w:hAnsi="仿宋_GB2312" w:eastAsia="仿宋_GB2312" w:cs="仿宋_GB2312"/>
          <w:bCs/>
          <w:sz w:val="32"/>
          <w:szCs w:val="32"/>
          <w:lang w:eastAsia="zh-CN"/>
        </w:rPr>
        <w:t>截止201</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eastAsia="zh-CN"/>
        </w:rPr>
        <w:t>年底我单位共有编制</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lang w:eastAsia="zh-CN"/>
        </w:rPr>
        <w:t>名，其中：行政编制5名，行政工勤编制1名，参公编制</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lang w:eastAsia="zh-CN"/>
        </w:rPr>
        <w:t>名，在职</w:t>
      </w:r>
      <w:r>
        <w:rPr>
          <w:rFonts w:hint="eastAsia" w:ascii="仿宋_GB2312" w:hAnsi="仿宋_GB2312" w:eastAsia="仿宋_GB2312" w:cs="仿宋_GB2312"/>
          <w:bCs/>
          <w:sz w:val="32"/>
          <w:szCs w:val="32"/>
          <w:lang w:val="en-US" w:eastAsia="zh-CN"/>
        </w:rPr>
        <w:t>13</w:t>
      </w:r>
      <w:r>
        <w:rPr>
          <w:rFonts w:hint="eastAsia" w:ascii="仿宋_GB2312" w:hAnsi="仿宋_GB2312" w:eastAsia="仿宋_GB2312" w:cs="仿宋_GB2312"/>
          <w:bCs/>
          <w:sz w:val="32"/>
          <w:szCs w:val="32"/>
          <w:lang w:eastAsia="zh-CN"/>
        </w:rPr>
        <w:t>人，其中：公务员</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lang w:eastAsia="zh-CN"/>
        </w:rPr>
        <w:t>人，行政工勤1人，参公人员</w:t>
      </w: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lang w:eastAsia="zh-CN"/>
        </w:rPr>
        <w:t>人。</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二、部门财政资金收支情况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（一）部门财政资金收入情况。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2018年度我单位财政拨款收入2,381,452.84元，其中人员经费2,182,460.09元，基本公用经费178,992.65元。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（二）部门财政资金支出情况。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2018年我单位财政资金支出总额为2,411,452.74元，其中：当年财政基本支出2,361,452.74元。按功能分：一般公共服务支出1,769,203.72元，社会保障和就业支出335,207.04元，医疗卫生与计划生育支出99,451.98元，住房保障支出157,590.00元。2019年1-6月我单位财政资金支出总额为608,416.50元，其中基本支出608,416.50元，项目支出0元。按功能分：一般公共服务支出290，711.24元，社会保障和就业支出167，114.62元，医疗卫生与计划生育支出65，570.64元，住房保障支出85，020.00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楷体" w:hAnsi="楷体" w:eastAsia="楷体" w:cs="宋体"/>
          <w:color w:val="000000"/>
          <w:kern w:val="0"/>
          <w:sz w:val="32"/>
          <w:szCs w:val="24"/>
          <w:lang w:val="zh-CN" w:eastAsia="zh-CN" w:bidi="ar"/>
        </w:rPr>
        <w:t>（一）预算编制情况。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县委编办按照财政局预算编制通知和相关要求，按时保质保量进行预决算的编制，按先有预算再有支出的原则，对本年度预算提前细化，并报经相关部门审核批准后执行。我单位于</w:t>
      </w:r>
      <w:r>
        <w:rPr>
          <w:rFonts w:hint="eastAsia" w:ascii="仿宋_GB2312" w:hAnsi="宋体" w:eastAsia="仿宋_GB2312" w:cs="宋体"/>
          <w:color w:val="000000"/>
          <w:kern w:val="0"/>
          <w:sz w:val="32"/>
          <w:szCs w:val="24"/>
          <w:lang w:val="en-US" w:eastAsia="zh-CN" w:bidi="ar"/>
        </w:rPr>
        <w:t>2018年11月对2019年部门支出进行预算：2019年我单位收入预算总额为</w:t>
      </w:r>
      <w:r>
        <w:rPr>
          <w:rFonts w:hint="eastAsia" w:ascii="仿宋_GB2312" w:hAnsi="Calibri" w:eastAsia="仿宋_GB2312" w:cs="Times New Roman"/>
          <w:sz w:val="32"/>
          <w:szCs w:val="32"/>
          <w:lang w:eastAsia="zh-CN"/>
        </w:rPr>
        <w:t>2019</w:t>
      </w:r>
      <w:r>
        <w:rPr>
          <w:rFonts w:hint="eastAsia" w:ascii="仿宋_GB2312" w:hAnsi="Calibri" w:eastAsia="仿宋_GB2312" w:cs="Times New Roman"/>
          <w:sz w:val="32"/>
          <w:szCs w:val="32"/>
        </w:rPr>
        <w:t>年</w:t>
      </w:r>
      <w:r>
        <w:rPr>
          <w:rFonts w:hint="eastAsia" w:ascii="仿宋_GB2312" w:hAnsi="Calibri" w:eastAsia="仿宋_GB2312" w:cs="Times New Roman"/>
          <w:sz w:val="32"/>
          <w:szCs w:val="32"/>
          <w:lang w:eastAsia="zh-CN"/>
        </w:rPr>
        <w:t>县委编办</w:t>
      </w:r>
      <w:r>
        <w:rPr>
          <w:rFonts w:hint="eastAsia" w:ascii="仿宋_GB2312" w:hAnsi="Calibri" w:eastAsia="仿宋_GB2312" w:cs="Times New Roman"/>
          <w:sz w:val="32"/>
          <w:szCs w:val="32"/>
        </w:rPr>
        <w:t>收入预算总额为2,076,324元，其中：当年财政拨款收入2,076,324元。相应安排支出预算2,076,324元，其中：一般公共服务1,455,633元，社会保障和就业333,969元，医疗卫生105,134元，住房保障支出181,588元。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32"/>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县委编办严格按照县财政的要求，及时分月、分季度上报用款计划，待财政审核通过后，严格按计划执行，各季度执行情况良好。认真执行中央八项规定，严格控制三公经费支出。201</w:t>
      </w:r>
      <w:r>
        <w:rPr>
          <w:rFonts w:hint="eastAsia" w:ascii="仿宋_GB2312" w:hAnsi="宋体" w:eastAsia="仿宋_GB2312" w:cs="宋体"/>
          <w:color w:val="000000"/>
          <w:kern w:val="0"/>
          <w:sz w:val="32"/>
          <w:szCs w:val="24"/>
          <w:lang w:val="en-US" w:eastAsia="zh-CN" w:bidi="ar"/>
        </w:rPr>
        <w:t>8</w:t>
      </w:r>
      <w:r>
        <w:rPr>
          <w:rFonts w:hint="eastAsia" w:ascii="仿宋_GB2312" w:hAnsi="宋体" w:eastAsia="仿宋_GB2312" w:cs="宋体"/>
          <w:color w:val="000000"/>
          <w:kern w:val="0"/>
          <w:sz w:val="32"/>
          <w:szCs w:val="24"/>
          <w:lang w:val="zh-CN" w:eastAsia="zh-CN" w:bidi="ar"/>
        </w:rPr>
        <w:t>年度我单位“三公”经费支出共计27,870.15元，其中机关人员因公出国费用为零；公务用车运行维护费支出26,016.15元；公务接待费1,854.00元。</w:t>
      </w:r>
      <w:r>
        <w:rPr>
          <w:rFonts w:hint="eastAsia" w:ascii="仿宋_GB2312" w:hAnsi="宋体" w:eastAsia="仿宋_GB2312" w:cs="宋体"/>
          <w:color w:val="000000"/>
          <w:kern w:val="0"/>
          <w:sz w:val="32"/>
          <w:szCs w:val="24"/>
          <w:lang w:val="en-US" w:eastAsia="zh-CN" w:bidi="ar"/>
        </w:rPr>
        <w:t>2019年1-6月我单位“三公”经费支出共计5，964.10元，</w:t>
      </w:r>
      <w:r>
        <w:rPr>
          <w:rFonts w:hint="eastAsia" w:ascii="仿宋_GB2312" w:hAnsi="宋体" w:eastAsia="仿宋_GB2312" w:cs="宋体"/>
          <w:color w:val="000000"/>
          <w:kern w:val="0"/>
          <w:sz w:val="32"/>
          <w:szCs w:val="24"/>
          <w:lang w:val="zh-CN" w:eastAsia="zh-CN" w:bidi="ar"/>
        </w:rPr>
        <w:t>其中机关人员因公出国费用为零；公务用车运行维护费支出</w:t>
      </w:r>
      <w:r>
        <w:rPr>
          <w:rFonts w:hint="eastAsia" w:ascii="仿宋_GB2312" w:hAnsi="宋体" w:eastAsia="仿宋_GB2312" w:cs="宋体"/>
          <w:color w:val="000000"/>
          <w:kern w:val="0"/>
          <w:sz w:val="32"/>
          <w:szCs w:val="24"/>
          <w:lang w:val="en-US" w:eastAsia="zh-CN" w:bidi="ar"/>
        </w:rPr>
        <w:t>5，964.10</w:t>
      </w:r>
      <w:r>
        <w:rPr>
          <w:rFonts w:hint="eastAsia" w:ascii="仿宋_GB2312" w:hAnsi="宋体" w:eastAsia="仿宋_GB2312" w:cs="宋体"/>
          <w:color w:val="000000"/>
          <w:kern w:val="0"/>
          <w:sz w:val="32"/>
          <w:szCs w:val="24"/>
          <w:lang w:val="zh-CN" w:eastAsia="zh-CN" w:bidi="ar"/>
        </w:rPr>
        <w:t>元；公务接待费为零。</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32"/>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县委编办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sz w:val="32"/>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lang w:val="zh-CN" w:eastAsia="zh-CN"/>
        </w:rPr>
      </w:pPr>
      <w:r>
        <w:rPr>
          <w:rFonts w:hint="eastAsia" w:ascii="仿宋_GB2312" w:hAnsi="宋体" w:eastAsia="仿宋_GB2312" w:cs="宋体"/>
          <w:color w:val="000000"/>
          <w:kern w:val="0"/>
          <w:sz w:val="32"/>
          <w:lang w:val="zh-CN" w:eastAsia="zh-CN"/>
        </w:rPr>
        <w:t>我单位财政拨款支出主要用于保障部门机构正常运转、完成日常工作任务。包括基本工资、津贴补贴等人员经费以及办公费、印刷费、水电费、办公设备购置等日常公用经费。按照年初预算，合理使用经费，厉行节约，确保机关正常运转。</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评价结论。</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 xml:space="preserve">    根据《2018年红原县部门支出绩效评价指标体系》，编办自查得分95.89分，评价结果为“好”。</w:t>
      </w:r>
    </w:p>
    <w:p>
      <w:pPr>
        <w:keepNext w:val="0"/>
        <w:keepLines w:val="0"/>
        <w:widowControl/>
        <w:numPr>
          <w:ilvl w:val="0"/>
          <w:numId w:val="8"/>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存在问题。</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both"/>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1.由于实际工作需要，导致预算经费科目与实际支出科目存在差异。</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both"/>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2.由于政府会计制度新旧衔接，导致会计实务处理存在很大的困难。</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Calibri" w:eastAsia="仿宋_GB2312" w:cs="仿宋_GB2312"/>
          <w:sz w:val="32"/>
          <w:lang w:val="en-US"/>
        </w:rPr>
      </w:pPr>
      <w:r>
        <w:rPr>
          <w:rFonts w:hint="eastAsia" w:ascii="仿宋_GB2312" w:hAnsi="宋体" w:eastAsia="仿宋_GB2312" w:cs="宋体"/>
          <w:color w:val="000000"/>
          <w:kern w:val="0"/>
          <w:sz w:val="32"/>
          <w:szCs w:val="24"/>
          <w:lang w:val="zh-CN" w:eastAsia="zh-CN" w:bidi="ar"/>
        </w:rPr>
        <w:t>（三）改进建议。</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left"/>
        <w:textAlignment w:val="auto"/>
        <w:outlineLvl w:val="9"/>
        <w:rPr>
          <w:rFonts w:hint="eastAsia" w:ascii="仿宋_GB2312" w:hAnsi="宋体" w:eastAsia="仿宋_GB2312" w:cs="宋体"/>
          <w:color w:val="000000"/>
          <w:kern w:val="0"/>
          <w:sz w:val="32"/>
          <w:lang w:val="en-US" w:eastAsia="zh-CN"/>
        </w:rPr>
      </w:pPr>
      <w:r>
        <w:rPr>
          <w:rFonts w:hint="eastAsia" w:ascii="仿宋_GB2312" w:hAnsi="宋体" w:eastAsia="仿宋_GB2312" w:cs="宋体"/>
          <w:color w:val="000000"/>
          <w:kern w:val="0"/>
          <w:sz w:val="32"/>
          <w:lang w:val="en-US" w:eastAsia="zh-CN"/>
        </w:rPr>
        <w:t>1.在今后的工作中，进一步提高工作效率加强单位财务管理和内部控制监督制度，严格控制“三公经费”，将有限的资金用在刀刃上。</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eastAsia="仿宋_GB2312" w:cs="仿宋_GB2312"/>
          <w:lang w:val="en-US"/>
        </w:rPr>
      </w:pPr>
      <w:r>
        <w:rPr>
          <w:rFonts w:hint="eastAsia" w:ascii="仿宋_GB2312" w:hAnsi="宋体" w:eastAsia="仿宋_GB2312" w:cs="宋体"/>
          <w:color w:val="000000"/>
          <w:kern w:val="0"/>
          <w:sz w:val="32"/>
          <w:lang w:val="en-US" w:eastAsia="zh-CN"/>
        </w:rPr>
        <w:t>2.加强财务人员业务培训工作，有效提升业务能力。</w:t>
      </w: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pStyle w:val="3"/>
        <w:rPr>
          <w:rStyle w:val="29"/>
          <w:rFonts w:hint="eastAsia" w:ascii="仿宋" w:hAnsi="仿宋" w:eastAsia="仿宋"/>
          <w:b w:val="0"/>
          <w:bCs w:val="0"/>
          <w:sz w:val="32"/>
          <w:szCs w:val="32"/>
        </w:rPr>
      </w:pPr>
    </w:p>
    <w:p>
      <w:pPr>
        <w:rPr>
          <w:rStyle w:val="29"/>
          <w:rFonts w:hint="eastAsia" w:ascii="仿宋" w:hAnsi="仿宋" w:eastAsia="仿宋"/>
          <w:b w:val="0"/>
          <w:bCs w:val="0"/>
          <w:sz w:val="32"/>
          <w:szCs w:val="32"/>
        </w:rPr>
      </w:pPr>
    </w:p>
    <w:p>
      <w:pPr>
        <w:rPr>
          <w:rStyle w:val="29"/>
          <w:rFonts w:hint="eastAsia" w:ascii="仿宋" w:hAnsi="仿宋" w:eastAsia="仿宋"/>
          <w:b w:val="0"/>
          <w:bCs w:val="0"/>
          <w:sz w:val="32"/>
          <w:szCs w:val="32"/>
        </w:rPr>
      </w:pPr>
    </w:p>
    <w:p>
      <w:pPr>
        <w:rPr>
          <w:rStyle w:val="29"/>
          <w:rFonts w:hint="eastAsia" w:ascii="仿宋" w:hAnsi="仿宋" w:eastAsia="仿宋"/>
          <w:b w:val="0"/>
          <w:bCs w:val="0"/>
          <w:sz w:val="32"/>
          <w:szCs w:val="32"/>
        </w:rPr>
      </w:pPr>
    </w:p>
    <w:p>
      <w:pPr>
        <w:rPr>
          <w:rStyle w:val="29"/>
          <w:rFonts w:hint="eastAsia" w:ascii="仿宋" w:hAnsi="仿宋" w:eastAsia="仿宋"/>
          <w:b w:val="0"/>
          <w:bCs w:val="0"/>
          <w:sz w:val="32"/>
          <w:szCs w:val="32"/>
        </w:rPr>
      </w:pPr>
    </w:p>
    <w:p>
      <w:pPr>
        <w:rPr>
          <w:rStyle w:val="29"/>
          <w:rFonts w:hint="eastAsia" w:ascii="仿宋" w:hAnsi="仿宋" w:eastAsia="仿宋"/>
          <w:b w:val="0"/>
          <w:bCs w:val="0"/>
          <w:sz w:val="32"/>
          <w:szCs w:val="32"/>
        </w:rPr>
      </w:pPr>
    </w:p>
    <w:p>
      <w:pPr>
        <w:pStyle w:val="3"/>
        <w:rPr>
          <w:rStyle w:val="29"/>
          <w:rFonts w:ascii="仿宋" w:hAnsi="仿宋" w:eastAsia="仿宋"/>
          <w:b w:val="0"/>
          <w:bCs w:val="0"/>
          <w:sz w:val="32"/>
          <w:szCs w:val="32"/>
        </w:rPr>
      </w:pPr>
      <w:r>
        <w:rPr>
          <w:rStyle w:val="29"/>
          <w:rFonts w:hint="eastAsia" w:ascii="仿宋" w:hAnsi="仿宋" w:eastAsia="仿宋"/>
          <w:b w:val="0"/>
          <w:bCs w:val="0"/>
          <w:sz w:val="32"/>
          <w:szCs w:val="32"/>
        </w:rPr>
        <w:t>附件2</w:t>
      </w:r>
      <w:bookmarkEnd w:id="60"/>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bookmarkStart w:id="61" w:name="_Toc15396618"/>
      <w:r>
        <w:rPr>
          <w:rFonts w:hint="eastAsia" w:ascii="方正小标宋简体" w:hAnsi="宋体" w:eastAsia="方正小标宋简体" w:cs="方正小标宋简体"/>
          <w:kern w:val="2"/>
          <w:sz w:val="44"/>
          <w:szCs w:val="44"/>
          <w:lang w:val="en-US" w:eastAsia="zh-CN" w:bidi="ar"/>
        </w:rPr>
        <w:t>项目支出绩效评价报告</w:t>
      </w:r>
    </w:p>
    <w:p>
      <w:pPr>
        <w:keepNext w:val="0"/>
        <w:keepLines w:val="0"/>
        <w:widowControl w:val="0"/>
        <w:suppressLineNumbers w:val="0"/>
        <w:tabs>
          <w:tab w:val="left" w:pos="3885"/>
        </w:tabs>
        <w:snapToGrid w:val="0"/>
        <w:spacing w:before="0" w:beforeAutospacing="0" w:after="0" w:afterAutospacing="0" w:line="580" w:lineRule="exact"/>
        <w:ind w:right="0" w:firstLine="320" w:firstLineChars="100"/>
        <w:jc w:val="center"/>
        <w:rPr>
          <w:rFonts w:hint="eastAsia" w:ascii="宋体" w:hAnsi="宋体" w:eastAsia="仿宋_GB2312" w:cs="宋体"/>
          <w:b/>
          <w:bCs w:val="0"/>
          <w:szCs w:val="21"/>
          <w:lang w:val="en-US"/>
        </w:rPr>
      </w:pPr>
      <w:r>
        <w:rPr>
          <w:rFonts w:hint="eastAsia" w:ascii="Times New Roman" w:hAnsi="宋体" w:eastAsia="仿宋_GB2312" w:cs="仿宋_GB2312"/>
          <w:kern w:val="2"/>
          <w:sz w:val="32"/>
          <w:szCs w:val="24"/>
          <w:lang w:val="en-US" w:eastAsia="zh-CN" w:bidi="ar"/>
        </w:rPr>
        <w:t>（党政群机关及事业单位政务和公益中文域名管理项目）</w:t>
      </w:r>
    </w:p>
    <w:p>
      <w:pPr>
        <w:keepNext w:val="0"/>
        <w:keepLines w:val="0"/>
        <w:widowControl w:val="0"/>
        <w:numPr>
          <w:ilvl w:val="0"/>
          <w:numId w:val="9"/>
        </w:numPr>
        <w:suppressLineNumbers w:val="0"/>
        <w:tabs>
          <w:tab w:val="left" w:pos="3885"/>
        </w:tabs>
        <w:snapToGrid w:val="0"/>
        <w:spacing w:before="0" w:beforeAutospacing="0" w:after="0" w:afterAutospacing="0" w:line="580" w:lineRule="exact"/>
        <w:ind w:left="0" w:right="0" w:firstLine="640" w:firstLineChars="20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内容摘要（项目基本情况、评价结论、主要问题及建议）</w:t>
      </w:r>
    </w:p>
    <w:p>
      <w:pPr>
        <w:keepNext w:val="0"/>
        <w:keepLines w:val="0"/>
        <w:pageBreakBefore w:val="0"/>
        <w:widowControl w:val="0"/>
        <w:kinsoku/>
        <w:wordWrap/>
        <w:overflowPunct/>
        <w:topLinePunct w:val="0"/>
        <w:autoSpaceDE/>
        <w:autoSpaceDN/>
        <w:bidi w:val="0"/>
        <w:spacing w:line="480" w:lineRule="exact"/>
        <w:ind w:right="0" w:rightChars="0" w:firstLine="640" w:firstLineChars="200"/>
        <w:jc w:val="both"/>
        <w:textAlignment w:val="auto"/>
        <w:rPr>
          <w:rFonts w:hint="eastAsia" w:ascii="黑体" w:hAnsi="宋体" w:eastAsia="黑体" w:cs="黑体"/>
          <w:kern w:val="2"/>
          <w:sz w:val="32"/>
          <w:szCs w:val="21"/>
          <w:lang w:val="en-US" w:eastAsia="zh-CN" w:bidi="ar"/>
        </w:rPr>
      </w:pPr>
      <w:r>
        <w:rPr>
          <w:rFonts w:hint="eastAsia" w:ascii="仿宋_GB2312" w:hAnsi="宋体" w:eastAsia="仿宋_GB2312" w:cs="仿宋_GB2312"/>
          <w:kern w:val="2"/>
          <w:sz w:val="32"/>
          <w:szCs w:val="24"/>
          <w:lang w:val="en-US" w:eastAsia="zh-CN" w:bidi="ar"/>
        </w:rPr>
        <w:t>党政群机关及事业单位政务和公益中文域名管理项目主要用于保障机构编制实名制系统正常运行，完成数据实时更新；完成事业单位年度报告公示；做好党政机关、事业单位的网上中文域名规范。</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二、评价工作开展及项目情况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（一）项目组织情况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本项目执行部门为本项目设置了专门的业务组织机构，且各成员职责明确；项目严格遵守相关管理规定，项目支出调整及时且手续完备、项目档案资料齐全；项目实施中各项活动有相关合法合规的管理制度。</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（二）项目管理情况。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根据国家有关财政法律法规和实际，制定了一系列的财务管理制度，并且都是按照国家财政法规和有关专项资金管理办法的规定制定的。</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三、评价结论及绩效分析</w:t>
      </w:r>
    </w:p>
    <w:p>
      <w:pPr>
        <w:keepNext w:val="0"/>
        <w:keepLines w:val="0"/>
        <w:widowControl w:val="0"/>
        <w:suppressLineNumbers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bidi="ar"/>
        </w:rPr>
        <w:t>（一）评价结论</w:t>
      </w:r>
    </w:p>
    <w:p>
      <w:pPr>
        <w:keepNext w:val="0"/>
        <w:keepLines w:val="0"/>
        <w:widowControl w:val="0"/>
        <w:suppressLineNumbers w:val="0"/>
        <w:snapToGrid w:val="0"/>
        <w:spacing w:before="0" w:beforeAutospacing="0" w:after="0" w:afterAutospacing="0" w:line="580" w:lineRule="exact"/>
        <w:ind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该项目绩效目标完成情况较好，各项工作任务基本按计划完成。该项目的实施，保证了编办各项工作正常开展。</w:t>
      </w:r>
    </w:p>
    <w:p>
      <w:pPr>
        <w:keepNext w:val="0"/>
        <w:keepLines w:val="0"/>
        <w:widowControl w:val="0"/>
        <w:suppressLineNumbers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bidi="ar"/>
        </w:rPr>
        <w:t>（二）绩效分析</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kern w:val="2"/>
          <w:sz w:val="32"/>
          <w:szCs w:val="21"/>
          <w:lang w:val="en-US" w:eastAsia="zh-CN" w:bidi="ar"/>
        </w:rPr>
      </w:pPr>
      <w:r>
        <w:rPr>
          <w:rFonts w:hint="eastAsia" w:ascii="Times New Roman" w:hAnsi="宋体" w:eastAsia="仿宋_GB2312" w:cs="仿宋_GB2312"/>
          <w:kern w:val="2"/>
          <w:sz w:val="32"/>
          <w:szCs w:val="24"/>
          <w:lang w:val="en-US" w:eastAsia="zh-CN" w:bidi="ar"/>
        </w:rPr>
        <w:t>党政群机关及事业单位政务和公益中文域名管理项目</w:t>
      </w:r>
      <w:r>
        <w:rPr>
          <w:rFonts w:hint="eastAsia" w:ascii="宋体" w:hAnsi="宋体" w:eastAsia="仿宋_GB2312" w:cs="仿宋_GB2312"/>
          <w:kern w:val="2"/>
          <w:sz w:val="32"/>
          <w:szCs w:val="21"/>
          <w:lang w:val="en-US" w:eastAsia="zh-CN" w:bidi="ar"/>
        </w:rPr>
        <w:t>经费支出严格按照相关制度执行，全部用于编办日常事务支出，保证了编办的正常运转。</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bidi="ar"/>
        </w:rPr>
        <w:t>1</w:t>
      </w:r>
      <w:r>
        <w:rPr>
          <w:rFonts w:hint="eastAsia" w:ascii="宋体" w:hAnsi="宋体" w:eastAsia="仿宋_GB2312" w:cs="仿宋_GB2312"/>
          <w:kern w:val="2"/>
          <w:sz w:val="32"/>
          <w:szCs w:val="21"/>
          <w:lang w:val="en-US" w:eastAsia="zh-CN" w:bidi="ar"/>
        </w:rPr>
        <w:t>、项目决策</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该项目为持续性项目，保证全县机构编制信息化工作顺利进行。</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bidi="ar"/>
        </w:rPr>
        <w:t>2</w:t>
      </w:r>
      <w:r>
        <w:rPr>
          <w:rFonts w:hint="eastAsia" w:ascii="宋体" w:hAnsi="宋体" w:eastAsia="仿宋_GB2312" w:cs="仿宋_GB2312"/>
          <w:kern w:val="2"/>
          <w:sz w:val="32"/>
          <w:szCs w:val="21"/>
          <w:lang w:val="en-US" w:eastAsia="zh-CN" w:bidi="ar"/>
        </w:rPr>
        <w:t>、项目管理</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县委编办根据国家有关财政法律法规和实际，制定了一系列的财务管理制度，全部资金由财务人员统一管理。在资金使用上一直按照国家法律及地方法规和单位财政制度规定以及有关专项资金管理办法规定，有关报销发票和报销条据先由报账员审核后，再由领导签字同意后到财政对应科室审核。</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bidi="ar"/>
        </w:rPr>
        <w:t>3</w:t>
      </w:r>
      <w:r>
        <w:rPr>
          <w:rFonts w:hint="eastAsia" w:ascii="宋体" w:hAnsi="宋体" w:eastAsia="仿宋_GB2312" w:cs="仿宋_GB2312"/>
          <w:kern w:val="2"/>
          <w:sz w:val="32"/>
          <w:szCs w:val="21"/>
          <w:lang w:val="en-US" w:eastAsia="zh-CN" w:bidi="ar"/>
        </w:rPr>
        <w:t>、该项目绩效完成较好，各项工作任务顺利完成。</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四、存在主要问题</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无。</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五、相关措施建议</w:t>
      </w:r>
    </w:p>
    <w:p/>
    <w:p>
      <w:pPr>
        <w:spacing w:line="600" w:lineRule="exact"/>
        <w:jc w:val="left"/>
        <w:outlineLvl w:val="0"/>
        <w:rPr>
          <w:rFonts w:hint="default" w:ascii="仿宋_GB2312" w:hAnsi="仿宋_GB2312" w:eastAsia="仿宋_GB2312" w:cs="仿宋_GB2312"/>
          <w:kern w:val="2"/>
          <w:sz w:val="32"/>
          <w:szCs w:val="21"/>
          <w:lang w:val="en-US" w:eastAsia="zh-CN" w:bidi="ar"/>
        </w:rPr>
      </w:pPr>
      <w:r>
        <w:rPr>
          <w:rFonts w:hint="eastAsia" w:ascii="黑体" w:hAnsi="黑体" w:eastAsia="黑体"/>
          <w:color w:val="000000"/>
          <w:sz w:val="44"/>
          <w:szCs w:val="44"/>
          <w:lang w:val="en-US" w:eastAsia="zh-CN"/>
        </w:rPr>
        <w:t xml:space="preserve"> </w:t>
      </w:r>
      <w:r>
        <w:rPr>
          <w:rFonts w:hint="eastAsia" w:ascii="仿宋_GB2312" w:hAnsi="仿宋_GB2312" w:eastAsia="仿宋_GB2312" w:cs="仿宋_GB2312"/>
          <w:kern w:val="2"/>
          <w:sz w:val="32"/>
          <w:szCs w:val="21"/>
          <w:lang w:val="en-US" w:eastAsia="zh-CN" w:bidi="ar"/>
        </w:rPr>
        <w:t xml:space="preserve">  无。</w:t>
      </w: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pStyle w:val="3"/>
        <w:rPr>
          <w:rStyle w:val="29"/>
          <w:rFonts w:ascii="仿宋" w:hAnsi="仿宋" w:eastAsia="仿宋"/>
          <w:b w:val="0"/>
          <w:bCs w:val="0"/>
          <w:sz w:val="32"/>
          <w:szCs w:val="32"/>
        </w:rPr>
      </w:pPr>
      <w:r>
        <w:rPr>
          <w:rStyle w:val="29"/>
          <w:rFonts w:hint="eastAsia" w:ascii="仿宋" w:hAnsi="仿宋" w:eastAsia="仿宋"/>
          <w:b w:val="0"/>
          <w:bCs w:val="0"/>
          <w:sz w:val="32"/>
          <w:szCs w:val="32"/>
        </w:rPr>
        <w:t>附件2</w:t>
      </w:r>
    </w:p>
    <w:p>
      <w:pPr>
        <w:keepNext w:val="0"/>
        <w:keepLines w:val="0"/>
        <w:widowControl w:val="0"/>
        <w:suppressLineNumbers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bidi="ar"/>
        </w:rPr>
        <w:t>项目支出绩效评价报告</w:t>
      </w:r>
    </w:p>
    <w:p>
      <w:pPr>
        <w:keepNext w:val="0"/>
        <w:keepLines w:val="0"/>
        <w:widowControl w:val="0"/>
        <w:suppressLineNumbers w:val="0"/>
        <w:tabs>
          <w:tab w:val="left" w:pos="3885"/>
        </w:tabs>
        <w:snapToGrid w:val="0"/>
        <w:spacing w:before="0" w:beforeAutospacing="0" w:after="0" w:afterAutospacing="0" w:line="580" w:lineRule="exact"/>
        <w:ind w:right="0" w:firstLine="320" w:firstLineChars="100"/>
        <w:jc w:val="center"/>
        <w:rPr>
          <w:rFonts w:hint="eastAsia" w:ascii="宋体" w:hAnsi="宋体" w:eastAsia="仿宋_GB2312" w:cs="宋体"/>
          <w:b/>
          <w:bCs w:val="0"/>
          <w:szCs w:val="21"/>
          <w:lang w:val="en-US"/>
        </w:rPr>
      </w:pPr>
      <w:r>
        <w:rPr>
          <w:rFonts w:hint="eastAsia" w:ascii="Times New Roman" w:hAnsi="宋体" w:eastAsia="仿宋_GB2312" w:cs="仿宋_GB2312"/>
          <w:kern w:val="2"/>
          <w:sz w:val="32"/>
          <w:szCs w:val="24"/>
          <w:lang w:val="en-US" w:eastAsia="zh-CN" w:bidi="ar"/>
        </w:rPr>
        <w:t>（机关事业单位干部职工人员流动编卡变动项目）</w:t>
      </w:r>
    </w:p>
    <w:p>
      <w:pPr>
        <w:keepNext w:val="0"/>
        <w:keepLines w:val="0"/>
        <w:widowControl w:val="0"/>
        <w:numPr>
          <w:ilvl w:val="0"/>
          <w:numId w:val="9"/>
        </w:numPr>
        <w:suppressLineNumbers w:val="0"/>
        <w:tabs>
          <w:tab w:val="left" w:pos="3885"/>
        </w:tabs>
        <w:snapToGrid w:val="0"/>
        <w:spacing w:before="0" w:beforeAutospacing="0" w:after="0" w:afterAutospacing="0" w:line="580" w:lineRule="exact"/>
        <w:ind w:left="0" w:right="0" w:firstLine="640" w:firstLineChars="200"/>
        <w:jc w:val="left"/>
        <w:rPr>
          <w:rFonts w:hint="eastAsia" w:ascii="黑体" w:hAnsi="宋体" w:eastAsia="黑体" w:cs="黑体"/>
          <w:kern w:val="2"/>
          <w:sz w:val="32"/>
          <w:szCs w:val="21"/>
          <w:lang w:val="en-US" w:eastAsia="zh-CN" w:bidi="ar"/>
        </w:rPr>
      </w:pPr>
      <w:r>
        <w:rPr>
          <w:rFonts w:hint="eastAsia" w:ascii="黑体" w:hAnsi="宋体" w:eastAsia="黑体" w:cs="黑体"/>
          <w:kern w:val="2"/>
          <w:sz w:val="32"/>
          <w:szCs w:val="21"/>
          <w:lang w:val="en-US" w:eastAsia="zh-CN" w:bidi="ar"/>
        </w:rPr>
        <w:t>内容摘要（项目基本情况、评价结论、主要问题及建议）</w:t>
      </w:r>
    </w:p>
    <w:p>
      <w:pPr>
        <w:keepNext w:val="0"/>
        <w:keepLines w:val="0"/>
        <w:pageBreakBefore w:val="0"/>
        <w:widowControl w:val="0"/>
        <w:kinsoku/>
        <w:wordWrap/>
        <w:overflowPunct/>
        <w:topLinePunct w:val="0"/>
        <w:autoSpaceDE/>
        <w:autoSpaceDN/>
        <w:bidi w:val="0"/>
        <w:spacing w:line="480" w:lineRule="exact"/>
        <w:ind w:right="0" w:rightChars="0" w:firstLine="640" w:firstLineChars="200"/>
        <w:jc w:val="both"/>
        <w:textAlignment w:val="auto"/>
        <w:rPr>
          <w:rFonts w:hint="eastAsia" w:ascii="黑体" w:hAnsi="宋体" w:eastAsia="黑体" w:cs="黑体"/>
          <w:kern w:val="2"/>
          <w:sz w:val="32"/>
          <w:szCs w:val="21"/>
          <w:lang w:val="en-US" w:eastAsia="zh-CN" w:bidi="ar"/>
        </w:rPr>
      </w:pPr>
      <w:r>
        <w:rPr>
          <w:rFonts w:hint="eastAsia" w:ascii="Times New Roman" w:hAnsi="宋体" w:eastAsia="仿宋_GB2312" w:cs="仿宋_GB2312"/>
          <w:kern w:val="2"/>
          <w:sz w:val="32"/>
          <w:szCs w:val="24"/>
          <w:lang w:val="en-US" w:eastAsia="zh-CN" w:bidi="ar"/>
        </w:rPr>
        <w:t>机关事业单位干部职工人员流动编卡变动</w:t>
      </w:r>
      <w:r>
        <w:rPr>
          <w:rFonts w:hint="eastAsia" w:ascii="仿宋_GB2312" w:hAnsi="宋体" w:eastAsia="仿宋_GB2312" w:cs="仿宋_GB2312"/>
          <w:kern w:val="2"/>
          <w:sz w:val="32"/>
          <w:szCs w:val="24"/>
          <w:lang w:val="en-US" w:eastAsia="zh-CN" w:bidi="ar"/>
        </w:rPr>
        <w:t>项目主要用于制作全县在编人员编制卡片，完成信息更新；完成法人登记工作；做好编委会会务工作。</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二、评价工作开展及项目情况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（一）项目组织情况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本项目执行部门为本项目设置了专门的业务组织机构，且各成员职责明确；项目严格遵守相关管理规定，项目支出调整及时且手续完备、项目档案资料齐全；项目实施中各项活动有相关合法合规的管理制度。</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（二）项目管理情况。</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根据国家有关财政法律法规和实际，制定了一系列的财务管理制度，并且都是按照国家财政法规和有关专项资金管理办法的规定制定的。</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三、评价结论及绩效分析</w:t>
      </w:r>
    </w:p>
    <w:p>
      <w:pPr>
        <w:keepNext w:val="0"/>
        <w:keepLines w:val="0"/>
        <w:widowControl w:val="0"/>
        <w:suppressLineNumbers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bidi="ar"/>
        </w:rPr>
        <w:t>（一）评价结论</w:t>
      </w:r>
    </w:p>
    <w:p>
      <w:pPr>
        <w:keepNext w:val="0"/>
        <w:keepLines w:val="0"/>
        <w:widowControl w:val="0"/>
        <w:suppressLineNumbers w:val="0"/>
        <w:snapToGrid w:val="0"/>
        <w:spacing w:before="0" w:beforeAutospacing="0" w:after="0" w:afterAutospacing="0" w:line="580" w:lineRule="exact"/>
        <w:ind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该项目绩效目标完成情况较好，各项工作任务基本按计划完成。该项目的实施，保证了编办各项工作正常开展。</w:t>
      </w:r>
    </w:p>
    <w:p>
      <w:pPr>
        <w:keepNext w:val="0"/>
        <w:keepLines w:val="0"/>
        <w:widowControl w:val="0"/>
        <w:suppressLineNumbers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bidi="ar"/>
        </w:rPr>
        <w:t>（二）绩效分析</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kern w:val="2"/>
          <w:sz w:val="32"/>
          <w:szCs w:val="21"/>
          <w:lang w:val="en-US" w:eastAsia="zh-CN" w:bidi="ar"/>
        </w:rPr>
      </w:pPr>
      <w:r>
        <w:rPr>
          <w:rFonts w:hint="eastAsia" w:ascii="宋体" w:hAnsi="宋体" w:eastAsia="仿宋_GB2312" w:cs="仿宋_GB2312"/>
          <w:kern w:val="2"/>
          <w:sz w:val="32"/>
          <w:szCs w:val="21"/>
          <w:lang w:val="en-US" w:eastAsia="zh-CN" w:bidi="ar"/>
        </w:rPr>
        <w:t>机关事业单位干部职工人员流动编卡变动项目</w:t>
      </w:r>
      <w:r>
        <w:rPr>
          <w:rFonts w:hint="eastAsia" w:ascii="Times New Roman" w:hAnsi="宋体" w:eastAsia="仿宋_GB2312" w:cs="仿宋_GB2312"/>
          <w:kern w:val="2"/>
          <w:sz w:val="32"/>
          <w:szCs w:val="24"/>
          <w:lang w:val="en-US" w:eastAsia="zh-CN" w:bidi="ar"/>
        </w:rPr>
        <w:t>项目</w:t>
      </w:r>
      <w:r>
        <w:rPr>
          <w:rFonts w:hint="eastAsia" w:ascii="宋体" w:hAnsi="宋体" w:eastAsia="仿宋_GB2312" w:cs="仿宋_GB2312"/>
          <w:kern w:val="2"/>
          <w:sz w:val="32"/>
          <w:szCs w:val="21"/>
          <w:lang w:val="en-US" w:eastAsia="zh-CN" w:bidi="ar"/>
        </w:rPr>
        <w:t>经费支出严格按照相关制度执行，全部用于编办日常事务支出，保证了编办的正常运转。</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bidi="ar"/>
        </w:rPr>
        <w:t>1</w:t>
      </w:r>
      <w:r>
        <w:rPr>
          <w:rFonts w:hint="eastAsia" w:ascii="宋体" w:hAnsi="宋体" w:eastAsia="仿宋_GB2312" w:cs="仿宋_GB2312"/>
          <w:kern w:val="2"/>
          <w:sz w:val="32"/>
          <w:szCs w:val="21"/>
          <w:lang w:val="en-US" w:eastAsia="zh-CN" w:bidi="ar"/>
        </w:rPr>
        <w:t>、项目决策</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该项目为持续性项目，保证全县机构编制信息化工作顺利进行。</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bidi="ar"/>
        </w:rPr>
        <w:t>2</w:t>
      </w:r>
      <w:r>
        <w:rPr>
          <w:rFonts w:hint="eastAsia" w:ascii="宋体" w:hAnsi="宋体" w:eastAsia="仿宋_GB2312" w:cs="仿宋_GB2312"/>
          <w:kern w:val="2"/>
          <w:sz w:val="32"/>
          <w:szCs w:val="21"/>
          <w:lang w:val="en-US" w:eastAsia="zh-CN" w:bidi="ar"/>
        </w:rPr>
        <w:t>、项目管理</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bidi="ar"/>
        </w:rPr>
      </w:pPr>
      <w:r>
        <w:rPr>
          <w:rFonts w:hint="eastAsia" w:ascii="宋体" w:hAnsi="宋体" w:eastAsia="仿宋_GB2312" w:cs="仿宋_GB2312"/>
          <w:kern w:val="2"/>
          <w:sz w:val="32"/>
          <w:szCs w:val="21"/>
          <w:lang w:val="en-US" w:eastAsia="zh-CN" w:bidi="ar"/>
        </w:rPr>
        <w:t>县委编办根据国家有关财政法律法规和实际，制定了一系列的财务管理制度，全部资金由财务人员统一管理。在资金使用上一直按照国家法律及地方法规和单位财政制度规定以及有关专项资金管理办法规定，有关报销发票和报销条据先由报账员审核后，再由领导签字同意后到财政对应科室审核。</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bidi="ar"/>
        </w:rPr>
        <w:t>3</w:t>
      </w:r>
      <w:r>
        <w:rPr>
          <w:rFonts w:hint="eastAsia" w:ascii="宋体" w:hAnsi="宋体" w:eastAsia="仿宋_GB2312" w:cs="仿宋_GB2312"/>
          <w:kern w:val="2"/>
          <w:sz w:val="32"/>
          <w:szCs w:val="21"/>
          <w:lang w:val="en-US" w:eastAsia="zh-CN" w:bidi="ar"/>
        </w:rPr>
        <w:t>、该项目绩效完成较好，各项工作任务顺利完成。</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四、存在主要问题</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21"/>
          <w:lang w:val="en-US" w:eastAsia="zh-CN" w:bidi="ar"/>
        </w:rPr>
      </w:pPr>
      <w:r>
        <w:rPr>
          <w:rFonts w:hint="eastAsia" w:ascii="仿宋_GB2312" w:hAnsi="仿宋_GB2312" w:eastAsia="仿宋_GB2312" w:cs="仿宋_GB2312"/>
          <w:kern w:val="2"/>
          <w:sz w:val="32"/>
          <w:szCs w:val="21"/>
          <w:lang w:val="en-US" w:eastAsia="zh-CN" w:bidi="ar"/>
        </w:rPr>
        <w:t>无。</w:t>
      </w:r>
    </w:p>
    <w:p>
      <w:pPr>
        <w:keepNext w:val="0"/>
        <w:keepLines w:val="0"/>
        <w:widowControl w:val="0"/>
        <w:suppressLineNumbers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bidi="ar"/>
        </w:rPr>
        <w:t>五、相关措施建议</w:t>
      </w:r>
    </w:p>
    <w:p/>
    <w:p>
      <w:pPr>
        <w:spacing w:line="600" w:lineRule="exact"/>
        <w:jc w:val="left"/>
        <w:outlineLvl w:val="0"/>
        <w:rPr>
          <w:rFonts w:hint="default" w:ascii="仿宋_GB2312" w:hAnsi="仿宋_GB2312" w:eastAsia="仿宋_GB2312" w:cs="仿宋_GB2312"/>
          <w:kern w:val="2"/>
          <w:sz w:val="32"/>
          <w:szCs w:val="21"/>
          <w:lang w:val="en-US" w:eastAsia="zh-CN" w:bidi="ar"/>
        </w:rPr>
      </w:pPr>
      <w:r>
        <w:rPr>
          <w:rFonts w:hint="eastAsia" w:ascii="黑体" w:hAnsi="黑体" w:eastAsia="黑体"/>
          <w:color w:val="000000"/>
          <w:sz w:val="44"/>
          <w:szCs w:val="44"/>
          <w:lang w:val="en-US" w:eastAsia="zh-CN"/>
        </w:rPr>
        <w:t xml:space="preserve"> </w:t>
      </w:r>
      <w:r>
        <w:rPr>
          <w:rFonts w:hint="eastAsia" w:ascii="仿宋_GB2312" w:hAnsi="仿宋_GB2312" w:eastAsia="仿宋_GB2312" w:cs="仿宋_GB2312"/>
          <w:kern w:val="2"/>
          <w:sz w:val="32"/>
          <w:szCs w:val="21"/>
          <w:lang w:val="en-US" w:eastAsia="zh-CN" w:bidi="ar"/>
        </w:rPr>
        <w:t xml:space="preserve">  无。</w:t>
      </w: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 附表</w:t>
      </w:r>
      <w:bookmarkEnd w:id="58"/>
      <w:bookmarkEnd w:id="61"/>
    </w:p>
    <w:p>
      <w:pPr>
        <w:spacing w:line="600" w:lineRule="exact"/>
        <w:jc w:val="center"/>
        <w:outlineLvl w:val="0"/>
        <w:rPr>
          <w:rFonts w:ascii="仿宋" w:hAnsi="仿宋" w:eastAsia="仿宋"/>
          <w:b/>
          <w:color w:val="000000"/>
          <w:sz w:val="44"/>
          <w:szCs w:val="44"/>
        </w:rPr>
      </w:pPr>
    </w:p>
    <w:p>
      <w:pPr>
        <w:pStyle w:val="3"/>
        <w:numPr>
          <w:ilvl w:val="0"/>
          <w:numId w:val="10"/>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30"/>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72"/>
    </w:p>
    <w:p>
      <w:pPr>
        <w:pStyle w:val="3"/>
        <w:rPr>
          <w:rStyle w:val="30"/>
          <w:rFonts w:hint="eastAsia" w:ascii="仿宋" w:hAnsi="仿宋" w:eastAsia="仿宋"/>
          <w:b w:val="0"/>
          <w:bCs w:val="0"/>
        </w:rPr>
      </w:pPr>
      <w:bookmarkStart w:id="73"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73"/>
    </w:p>
    <w:p>
      <w:pPr>
        <w:rPr>
          <w:rStyle w:val="30"/>
          <w:rFonts w:hint="eastAsia" w:ascii="仿宋" w:hAnsi="仿宋" w:eastAsia="仿宋"/>
          <w:b w:val="0"/>
          <w:bCs w:val="0"/>
          <w:lang w:val="en-US" w:eastAsia="zh-CN"/>
        </w:rPr>
      </w:pPr>
      <w:r>
        <w:rPr>
          <w:rStyle w:val="30"/>
          <w:rFonts w:hint="eastAsia" w:ascii="仿宋" w:hAnsi="仿宋" w:eastAsia="仿宋"/>
          <w:b w:val="0"/>
          <w:bCs w:val="0"/>
          <w:lang w:val="en-US" w:eastAsia="zh-CN"/>
        </w:rPr>
        <w:t>十四、整体支出绩效评价打分表</w:t>
      </w:r>
    </w:p>
    <w:p>
      <w:pPr>
        <w:rPr>
          <w:rStyle w:val="30"/>
          <w:rFonts w:hint="eastAsia" w:ascii="仿宋" w:hAnsi="仿宋" w:eastAsia="仿宋"/>
          <w:b w:val="0"/>
          <w:bCs w:val="0"/>
          <w:lang w:val="en-US" w:eastAsia="zh-CN"/>
        </w:rPr>
      </w:pPr>
      <w:r>
        <w:rPr>
          <w:rStyle w:val="30"/>
          <w:rFonts w:hint="eastAsia" w:ascii="仿宋" w:hAnsi="仿宋" w:eastAsia="仿宋"/>
          <w:b w:val="0"/>
          <w:bCs w:val="0"/>
          <w:lang w:val="en-US" w:eastAsia="zh-CN"/>
        </w:rPr>
        <w:t>十五、项目支出绩效评价打分表</w:t>
      </w:r>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Book Antiqua">
    <w:altName w:val="Segoe Print"/>
    <w:panose1 w:val="02040602050305030304"/>
    <w:charset w:val="00"/>
    <w:family w:val="auto"/>
    <w:pitch w:val="default"/>
    <w:sig w:usb0="00000000" w:usb1="00000000" w:usb2="00000000" w:usb3="00000000" w:csb0="2000009F" w:csb1="DFD7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华文新魏">
    <w:altName w:val="宋体"/>
    <w:panose1 w:val="02010800040101010101"/>
    <w:charset w:val="86"/>
    <w:family w:val="auto"/>
    <w:pitch w:val="default"/>
    <w:sig w:usb0="00000000" w:usb1="00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8"/>
          <w:jc w:val="center"/>
        </w:pPr>
        <w:r>
          <w:fldChar w:fldCharType="begin"/>
        </w:r>
        <w:r>
          <w:instrText xml:space="preserve">PAGE   \* MERGEFORMAT</w:instrText>
        </w:r>
        <w:r>
          <w:fldChar w:fldCharType="separate"/>
        </w:r>
        <w:r>
          <w:rPr>
            <w:lang w:val="zh-CN"/>
          </w:rPr>
          <w:t>10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BD42D910"/>
    <w:multiLevelType w:val="singleLevel"/>
    <w:tmpl w:val="BD42D910"/>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42D2E821"/>
    <w:multiLevelType w:val="singleLevel"/>
    <w:tmpl w:val="42D2E821"/>
    <w:lvl w:ilvl="0" w:tentative="0">
      <w:start w:val="1"/>
      <w:numFmt w:val="chineseCounting"/>
      <w:suff w:val="nothing"/>
      <w:lvlText w:val="（%1）"/>
      <w:lvlJc w:val="left"/>
      <w:rPr>
        <w:rFonts w:hint="eastAsia"/>
      </w:rPr>
    </w:lvl>
  </w:abstractNum>
  <w:abstractNum w:abstractNumId="8">
    <w:nsid w:val="5D5382B5"/>
    <w:multiLevelType w:val="singleLevel"/>
    <w:tmpl w:val="5D5382B5"/>
    <w:lvl w:ilvl="0" w:tentative="0">
      <w:start w:val="1"/>
      <w:numFmt w:val="chineseCounting"/>
      <w:suff w:val="nothing"/>
      <w:lvlText w:val="%1、"/>
      <w:lvlJc w:val="left"/>
    </w:lvl>
  </w:abstractNum>
  <w:abstractNum w:abstractNumId="9">
    <w:nsid w:val="5E450578"/>
    <w:multiLevelType w:val="singleLevel"/>
    <w:tmpl w:val="5E450578"/>
    <w:lvl w:ilvl="0" w:tentative="0">
      <w:start w:val="1"/>
      <w:numFmt w:val="chineseCounting"/>
      <w:suff w:val="nothing"/>
      <w:lvlText w:val="%1、"/>
      <w:lvlJc w:val="left"/>
      <w:rPr>
        <w:rFonts w:hint="eastAsia"/>
      </w:rPr>
    </w:lvl>
  </w:abstractNum>
  <w:num w:numId="1">
    <w:abstractNumId w:val="5"/>
  </w:num>
  <w:num w:numId="2">
    <w:abstractNumId w:val="2"/>
  </w:num>
  <w:num w:numId="3">
    <w:abstractNumId w:val="6"/>
  </w:num>
  <w:num w:numId="4">
    <w:abstractNumId w:val="4"/>
  </w:num>
  <w:num w:numId="5">
    <w:abstractNumId w:val="0"/>
  </w:num>
  <w:num w:numId="6">
    <w:abstractNumId w:val="3"/>
  </w:num>
  <w:num w:numId="7">
    <w:abstractNumId w:val="1"/>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2C52E03"/>
    <w:rsid w:val="03AC101A"/>
    <w:rsid w:val="047D654F"/>
    <w:rsid w:val="08A449FB"/>
    <w:rsid w:val="08CA7DAC"/>
    <w:rsid w:val="09D97E51"/>
    <w:rsid w:val="0A1A049A"/>
    <w:rsid w:val="0BBF0531"/>
    <w:rsid w:val="0DEC285D"/>
    <w:rsid w:val="0EB6035E"/>
    <w:rsid w:val="0ED62A80"/>
    <w:rsid w:val="10C055FF"/>
    <w:rsid w:val="10C50841"/>
    <w:rsid w:val="10F529AD"/>
    <w:rsid w:val="128C0123"/>
    <w:rsid w:val="16973A21"/>
    <w:rsid w:val="16B90A48"/>
    <w:rsid w:val="16BB723D"/>
    <w:rsid w:val="181E30FC"/>
    <w:rsid w:val="18C51D08"/>
    <w:rsid w:val="1F3A7F1F"/>
    <w:rsid w:val="1F6A46DB"/>
    <w:rsid w:val="208846AD"/>
    <w:rsid w:val="20FA29D9"/>
    <w:rsid w:val="21CA7CD1"/>
    <w:rsid w:val="22DF6490"/>
    <w:rsid w:val="240371BF"/>
    <w:rsid w:val="25B46BBD"/>
    <w:rsid w:val="29FA33E5"/>
    <w:rsid w:val="29FD04D3"/>
    <w:rsid w:val="2B28643E"/>
    <w:rsid w:val="2DD80FBD"/>
    <w:rsid w:val="2FB830CA"/>
    <w:rsid w:val="307A673C"/>
    <w:rsid w:val="319F7F4E"/>
    <w:rsid w:val="357B3694"/>
    <w:rsid w:val="366165E2"/>
    <w:rsid w:val="370A10FD"/>
    <w:rsid w:val="37276974"/>
    <w:rsid w:val="3ABF06FE"/>
    <w:rsid w:val="3BA8185A"/>
    <w:rsid w:val="3C0C0D11"/>
    <w:rsid w:val="3EB079F2"/>
    <w:rsid w:val="402E4FDD"/>
    <w:rsid w:val="403E6920"/>
    <w:rsid w:val="40D63CCA"/>
    <w:rsid w:val="418B2F2F"/>
    <w:rsid w:val="453E098F"/>
    <w:rsid w:val="45DD34E4"/>
    <w:rsid w:val="46787F3E"/>
    <w:rsid w:val="48D93C10"/>
    <w:rsid w:val="524B64EE"/>
    <w:rsid w:val="54387E4C"/>
    <w:rsid w:val="569C0FAD"/>
    <w:rsid w:val="574B63CB"/>
    <w:rsid w:val="58772FCF"/>
    <w:rsid w:val="587B5095"/>
    <w:rsid w:val="5AAD4F1C"/>
    <w:rsid w:val="5BBB68C8"/>
    <w:rsid w:val="600F2D5B"/>
    <w:rsid w:val="606C4C04"/>
    <w:rsid w:val="61C21E1F"/>
    <w:rsid w:val="676C63AF"/>
    <w:rsid w:val="6AE47749"/>
    <w:rsid w:val="6B231DC1"/>
    <w:rsid w:val="6B7F3207"/>
    <w:rsid w:val="6BD779C6"/>
    <w:rsid w:val="6CBE1DDA"/>
    <w:rsid w:val="6F731905"/>
    <w:rsid w:val="704048B3"/>
    <w:rsid w:val="70D35E58"/>
    <w:rsid w:val="724D11E5"/>
    <w:rsid w:val="749D5644"/>
    <w:rsid w:val="74CC21EC"/>
    <w:rsid w:val="75282356"/>
    <w:rsid w:val="76DA5A51"/>
    <w:rsid w:val="7DB146BC"/>
    <w:rsid w:val="7F3557FE"/>
    <w:rsid w:val="7F902E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semiHidden="0" w:name="HTML Acronym"/>
    <w:lsdException w:uiPriority="99" w:name="HTML Address"/>
    <w:lsdException w:uiPriority="99" w:name="HTML Cite"/>
    <w:lsdException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32"/>
    <w:unhideWhenUsed/>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14">
    <w:name w:val="Strong"/>
    <w:basedOn w:val="13"/>
    <w:qFormat/>
    <w:uiPriority w:val="99"/>
    <w:rPr>
      <w:b/>
    </w:rPr>
  </w:style>
  <w:style w:type="character" w:styleId="15">
    <w:name w:val="FollowedHyperlink"/>
    <w:basedOn w:val="13"/>
    <w:unhideWhenUsed/>
    <w:qFormat/>
    <w:uiPriority w:val="99"/>
    <w:rPr>
      <w:color w:val="333333"/>
      <w:u w:val="none"/>
    </w:rPr>
  </w:style>
  <w:style w:type="character" w:styleId="16">
    <w:name w:val="Emphasis"/>
    <w:basedOn w:val="13"/>
    <w:qFormat/>
    <w:uiPriority w:val="20"/>
  </w:style>
  <w:style w:type="character" w:styleId="17">
    <w:name w:val="HTML Acronym"/>
    <w:basedOn w:val="13"/>
    <w:unhideWhenUsed/>
    <w:qFormat/>
    <w:uiPriority w:val="99"/>
  </w:style>
  <w:style w:type="character" w:styleId="18">
    <w:name w:val="Hyperlink"/>
    <w:basedOn w:val="13"/>
    <w:unhideWhenUsed/>
    <w:qFormat/>
    <w:uiPriority w:val="99"/>
    <w:rPr>
      <w:color w:val="0000FF" w:themeColor="hyperlink"/>
      <w:u w:val="single"/>
      <w14:textFill>
        <w14:solidFill>
          <w14:schemeClr w14:val="hlink"/>
        </w14:solidFill>
      </w14:textFill>
    </w:rPr>
  </w:style>
  <w:style w:type="character" w:styleId="19">
    <w:name w:val="HTML Code"/>
    <w:basedOn w:val="13"/>
    <w:unhideWhenUsed/>
    <w:uiPriority w:val="99"/>
    <w:rPr>
      <w:rFonts w:ascii="Courier New" w:hAnsi="Courier New"/>
      <w:sz w:val="20"/>
    </w:rPr>
  </w:style>
  <w:style w:type="character" w:customStyle="1" w:styleId="21">
    <w:name w:val="Header Char"/>
    <w:basedOn w:val="13"/>
    <w:semiHidden/>
    <w:qFormat/>
    <w:uiPriority w:val="99"/>
    <w:rPr>
      <w:rFonts w:ascii="Times New Roman" w:hAnsi="Times New Roman"/>
      <w:sz w:val="18"/>
      <w:szCs w:val="18"/>
    </w:rPr>
  </w:style>
  <w:style w:type="character" w:customStyle="1" w:styleId="22">
    <w:name w:val="页眉 Char"/>
    <w:link w:val="9"/>
    <w:semiHidden/>
    <w:qFormat/>
    <w:locked/>
    <w:uiPriority w:val="99"/>
    <w:rPr>
      <w:sz w:val="18"/>
    </w:rPr>
  </w:style>
  <w:style w:type="character" w:customStyle="1" w:styleId="23">
    <w:name w:val="Footer Char"/>
    <w:basedOn w:val="13"/>
    <w:semiHidden/>
    <w:qFormat/>
    <w:uiPriority w:val="99"/>
    <w:rPr>
      <w:rFonts w:ascii="Times New Roman" w:hAnsi="Times New Roman"/>
      <w:sz w:val="18"/>
      <w:szCs w:val="18"/>
    </w:rPr>
  </w:style>
  <w:style w:type="character" w:customStyle="1" w:styleId="24">
    <w:name w:val="页脚 Char"/>
    <w:link w:val="8"/>
    <w:qFormat/>
    <w:locked/>
    <w:uiPriority w:val="99"/>
    <w:rPr>
      <w:sz w:val="18"/>
    </w:rPr>
  </w:style>
  <w:style w:type="character" w:customStyle="1" w:styleId="25">
    <w:name w:val="Body Text Char"/>
    <w:basedOn w:val="13"/>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3"/>
    <w:link w:val="2"/>
    <w:qFormat/>
    <w:uiPriority w:val="9"/>
    <w:rPr>
      <w:rFonts w:ascii="Times New Roman" w:hAnsi="Times New Roman"/>
      <w:b/>
      <w:bCs/>
      <w:kern w:val="44"/>
      <w:sz w:val="44"/>
      <w:szCs w:val="44"/>
    </w:rPr>
  </w:style>
  <w:style w:type="character" w:customStyle="1" w:styleId="30">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3"/>
    <w:link w:val="7"/>
    <w:semiHidden/>
    <w:qFormat/>
    <w:uiPriority w:val="99"/>
    <w:rPr>
      <w:rFonts w:ascii="Times New Roman" w:hAnsi="Times New Roman"/>
      <w:kern w:val="2"/>
      <w:sz w:val="18"/>
      <w:szCs w:val="18"/>
    </w:rPr>
  </w:style>
  <w:style w:type="character" w:customStyle="1" w:styleId="33">
    <w:name w:val="标题 3 Char"/>
    <w:basedOn w:val="13"/>
    <w:link w:val="4"/>
    <w:qFormat/>
    <w:uiPriority w:val="9"/>
    <w:rPr>
      <w:rFonts w:ascii="Times New Roman" w:hAnsi="Times New Roman"/>
      <w:b/>
      <w:bCs/>
      <w:kern w:val="2"/>
      <w:sz w:val="32"/>
      <w:szCs w:val="32"/>
    </w:rPr>
  </w:style>
  <w:style w:type="character" w:customStyle="1" w:styleId="34">
    <w:name w:val="time"/>
    <w:basedOn w:val="13"/>
    <w:qFormat/>
    <w:uiPriority w:val="0"/>
    <w:rPr>
      <w:color w:val="999999"/>
      <w:sz w:val="18"/>
      <w:szCs w:val="18"/>
    </w:rPr>
  </w:style>
  <w:style w:type="character" w:customStyle="1" w:styleId="35">
    <w:name w:val="time1"/>
    <w:basedOn w:val="13"/>
    <w:qFormat/>
    <w:uiPriority w:val="0"/>
    <w:rPr>
      <w:shd w:val="clear" w:fill="F5F7FB"/>
    </w:rPr>
  </w:style>
  <w:style w:type="character" w:customStyle="1" w:styleId="36">
    <w:name w:val="time2"/>
    <w:basedOn w:val="13"/>
    <w:qFormat/>
    <w:uiPriority w:val="0"/>
    <w:rPr>
      <w:color w:val="888888"/>
    </w:rPr>
  </w:style>
  <w:style w:type="character" w:customStyle="1" w:styleId="37">
    <w:name w:val="time3"/>
    <w:basedOn w:val="13"/>
    <w:qFormat/>
    <w:uiPriority w:val="0"/>
    <w:rPr>
      <w:color w:val="888888"/>
    </w:rPr>
  </w:style>
  <w:style w:type="character" w:customStyle="1" w:styleId="38">
    <w:name w:val="time4"/>
    <w:basedOn w:val="13"/>
    <w:qFormat/>
    <w:uiPriority w:val="0"/>
    <w:rPr>
      <w:color w:val="888888"/>
    </w:rPr>
  </w:style>
  <w:style w:type="character" w:customStyle="1" w:styleId="39">
    <w:name w:val="ico26"/>
    <w:basedOn w:val="13"/>
    <w:qFormat/>
    <w:uiPriority w:val="0"/>
  </w:style>
  <w:style w:type="character" w:customStyle="1" w:styleId="40">
    <w:name w:val="ico41"/>
    <w:basedOn w:val="13"/>
    <w:uiPriority w:val="0"/>
  </w:style>
  <w:style w:type="character" w:customStyle="1" w:styleId="41">
    <w:name w:val="ico31"/>
    <w:basedOn w:val="13"/>
    <w:qFormat/>
    <w:uiPriority w:val="0"/>
  </w:style>
  <w:style w:type="character" w:customStyle="1" w:styleId="42">
    <w:name w:val="ico51"/>
    <w:basedOn w:val="13"/>
    <w:qFormat/>
    <w:uiPriority w:val="0"/>
  </w:style>
  <w:style w:type="character" w:customStyle="1" w:styleId="43">
    <w:name w:val="ico110"/>
    <w:basedOn w:val="13"/>
    <w:qFormat/>
    <w:uiPriority w:val="0"/>
  </w:style>
  <w:style w:type="character" w:customStyle="1" w:styleId="44">
    <w:name w:val="button"/>
    <w:basedOn w:val="13"/>
    <w:qFormat/>
    <w:uiPriority w:val="0"/>
  </w:style>
  <w:style w:type="character" w:customStyle="1" w:styleId="45">
    <w:name w:val="tmpztreemove_arrow"/>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5EE963-AE7E-4F3B-BBF1-9AF15C920BB6}">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1441</Words>
  <Characters>8219</Characters>
  <Lines>68</Lines>
  <Paragraphs>19</Paragraphs>
  <TotalTime>0</TotalTime>
  <ScaleCrop>false</ScaleCrop>
  <LinksUpToDate>false</LinksUpToDate>
  <CharactersWithSpaces>9641</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LENOVO</cp:lastModifiedBy>
  <cp:lastPrinted>2019-08-01T00:48:00Z</cp:lastPrinted>
  <dcterms:modified xsi:type="dcterms:W3CDTF">2019-09-03T09:55:42Z</dcterms:modified>
  <dc:title>四川省***</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