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96475"/>
      <w:bookmarkStart w:id="3" w:name="_Toc15377425"/>
      <w:bookmarkStart w:id="4" w:name="_Toc15396597"/>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7426"/>
      <w:bookmarkStart w:id="8" w:name="_Toc15396598"/>
      <w:bookmarkStart w:id="9" w:name="_Toc15377194"/>
      <w:bookmarkStart w:id="10" w:name="_Toc15378442"/>
      <w:r>
        <w:rPr>
          <w:rFonts w:hint="eastAsia" w:ascii="方正小标宋简体" w:hAnsi="宋体" w:eastAsia="方正小标宋简体"/>
          <w:color w:val="000000"/>
          <w:sz w:val="72"/>
          <w:szCs w:val="72"/>
        </w:rPr>
        <w:t>四川省阿坝州红原县</w:t>
      </w:r>
      <w:bookmarkEnd w:id="0"/>
      <w:bookmarkStart w:id="11" w:name="_Toc15306268"/>
      <w:r>
        <w:rPr>
          <w:rFonts w:hint="eastAsia" w:ascii="方正小标宋简体" w:hAnsi="宋体" w:eastAsia="方正小标宋简体"/>
          <w:color w:val="000000"/>
          <w:sz w:val="72"/>
          <w:szCs w:val="72"/>
        </w:rPr>
        <w:t>应急管理局部门决算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hint="eastAsia" w:ascii="黑体" w:hAnsi="黑体" w:eastAsia="黑体"/>
          <w:color w:val="000000"/>
          <w:sz w:val="48"/>
          <w:szCs w:val="48"/>
        </w:rPr>
        <w:sectPr>
          <w:headerReference r:id="rId4" w:type="first"/>
          <w:footerReference r:id="rId5" w:type="first"/>
          <w:headerReference r:id="rId3" w:type="default"/>
          <w:pgSz w:w="11906" w:h="16838"/>
          <w:pgMar w:top="1440" w:right="1800" w:bottom="1440" w:left="1800" w:header="851" w:footer="992" w:gutter="0"/>
          <w:pgNumType w:fmt="numberInDash" w:start="1"/>
          <w:cols w:space="425" w:num="1"/>
          <w:docGrid w:type="lines" w:linePitch="312" w:charSpace="0"/>
        </w:sectPr>
      </w:pPr>
    </w:p>
    <w:p>
      <w:pPr>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color w:val="000000"/>
          <w:sz w:val="48"/>
          <w:szCs w:val="48"/>
        </w:rPr>
      </w:pPr>
      <w:r>
        <w:rPr>
          <w:rFonts w:hint="eastAsia" w:ascii="方正小标宋简体" w:hAnsi="方正小标宋简体" w:eastAsia="方正小标宋简体" w:cs="方正小标宋简体"/>
          <w:color w:val="000000"/>
          <w:sz w:val="48"/>
          <w:szCs w:val="48"/>
        </w:rPr>
        <w:t>目</w:t>
      </w:r>
      <w:r>
        <w:rPr>
          <w:rFonts w:hint="eastAsia" w:ascii="方正小标宋简体" w:hAnsi="方正小标宋简体" w:eastAsia="方正小标宋简体" w:cs="方正小标宋简体"/>
          <w:color w:val="000000"/>
          <w:sz w:val="48"/>
          <w:szCs w:val="48"/>
          <w:lang w:val="en-US" w:eastAsia="zh-CN"/>
        </w:rPr>
        <w:t xml:space="preserve">    </w:t>
      </w:r>
      <w:r>
        <w:rPr>
          <w:rFonts w:hint="eastAsia" w:ascii="方正小标宋简体" w:hAnsi="方正小标宋简体" w:eastAsia="方正小标宋简体" w:cs="方正小标宋简体"/>
          <w:color w:val="000000"/>
          <w:sz w:val="48"/>
          <w:szCs w:val="48"/>
        </w:rPr>
        <w:t>录</w:t>
      </w:r>
    </w:p>
    <w:p>
      <w:pPr>
        <w:pageBreakBefore w:val="0"/>
        <w:widowControl w:val="0"/>
        <w:kinsoku/>
        <w:wordWrap/>
        <w:overflowPunct/>
        <w:topLinePunct w:val="0"/>
        <w:autoSpaceDE/>
        <w:autoSpaceDN/>
        <w:bidi w:val="0"/>
        <w:spacing w:line="560" w:lineRule="exact"/>
        <w:textAlignment w:val="auto"/>
      </w:pPr>
      <w:bookmarkStart w:id="77" w:name="_GoBack"/>
      <w:bookmarkEnd w:id="77"/>
    </w:p>
    <w:p>
      <w:pPr>
        <w:pStyle w:val="1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第一部分 部门概况</w:t>
      </w:r>
      <w:r>
        <w:rPr>
          <w:rFonts w:hint="eastAsia" w:ascii="仿宋_GB2312" w:hAnsi="仿宋_GB2312" w:eastAsia="仿宋_GB2312" w:cs="仿宋_GB2312"/>
          <w:color w:val="auto"/>
          <w:sz w:val="32"/>
          <w:szCs w:val="32"/>
          <w:lang w:val="en-US" w:eastAsia="zh-CN"/>
        </w:rPr>
        <w:t>................................. 1</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一、基本职能及主要工作</w:t>
      </w:r>
      <w:r>
        <w:rPr>
          <w:rFonts w:hint="eastAsia" w:ascii="仿宋_GB2312" w:hAnsi="仿宋_GB2312" w:eastAsia="仿宋_GB2312" w:cs="仿宋_GB2312"/>
          <w:color w:val="auto"/>
          <w:sz w:val="32"/>
          <w:szCs w:val="32"/>
          <w:lang w:val="en-US" w:eastAsia="zh-CN"/>
        </w:rPr>
        <w:t>...........................1</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二、机构设置</w:t>
      </w:r>
      <w:r>
        <w:rPr>
          <w:rFonts w:hint="eastAsia" w:ascii="仿宋_GB2312" w:hAnsi="仿宋_GB2312" w:eastAsia="仿宋_GB2312" w:cs="仿宋_GB2312"/>
          <w:color w:val="auto"/>
          <w:sz w:val="32"/>
          <w:szCs w:val="32"/>
          <w:lang w:val="en-US" w:eastAsia="zh-CN"/>
        </w:rPr>
        <w:t>.....................................4</w:t>
      </w:r>
    </w:p>
    <w:p>
      <w:pPr>
        <w:pStyle w:val="1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第二部分度部门决算情况说明</w:t>
      </w:r>
      <w:r>
        <w:rPr>
          <w:rFonts w:hint="eastAsia" w:ascii="仿宋_GB2312" w:hAnsi="仿宋_GB2312" w:eastAsia="仿宋_GB2312" w:cs="仿宋_GB2312"/>
          <w:color w:val="auto"/>
          <w:sz w:val="32"/>
          <w:szCs w:val="32"/>
          <w:lang w:val="en-US" w:eastAsia="zh-CN"/>
        </w:rPr>
        <w:t>........................ 5</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一、收入支出决算总体情况说明</w:t>
      </w:r>
      <w:r>
        <w:rPr>
          <w:rFonts w:hint="eastAsia" w:ascii="仿宋_GB2312" w:hAnsi="仿宋_GB2312" w:eastAsia="仿宋_GB2312" w:cs="仿宋_GB2312"/>
          <w:color w:val="auto"/>
          <w:sz w:val="32"/>
          <w:szCs w:val="32"/>
          <w:lang w:val="en-US" w:eastAsia="zh-CN"/>
        </w:rPr>
        <w:t>.....................5</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二、收入决算情况说明</w:t>
      </w:r>
      <w:r>
        <w:rPr>
          <w:rFonts w:hint="eastAsia" w:ascii="仿宋_GB2312" w:hAnsi="仿宋_GB2312" w:eastAsia="仿宋_GB2312" w:cs="仿宋_GB2312"/>
          <w:color w:val="auto"/>
          <w:sz w:val="32"/>
          <w:szCs w:val="32"/>
          <w:lang w:val="en-US" w:eastAsia="zh-CN"/>
        </w:rPr>
        <w:t>............................6</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三、支出决算情况说明</w:t>
      </w:r>
      <w:r>
        <w:rPr>
          <w:rFonts w:hint="eastAsia" w:ascii="仿宋_GB2312" w:hAnsi="仿宋_GB2312" w:eastAsia="仿宋_GB2312" w:cs="仿宋_GB2312"/>
          <w:color w:val="auto"/>
          <w:sz w:val="32"/>
          <w:szCs w:val="32"/>
          <w:lang w:val="en-US" w:eastAsia="zh-CN"/>
        </w:rPr>
        <w:t>............................6</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四、财政拨款收入支出决算总体情况说明</w:t>
      </w:r>
      <w:r>
        <w:rPr>
          <w:rFonts w:hint="eastAsia" w:ascii="仿宋_GB2312" w:hAnsi="仿宋_GB2312" w:eastAsia="仿宋_GB2312" w:cs="仿宋_GB2312"/>
          <w:color w:val="auto"/>
          <w:sz w:val="32"/>
          <w:szCs w:val="32"/>
          <w:lang w:val="en-US" w:eastAsia="zh-CN"/>
        </w:rPr>
        <w:t>............7</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五、一般公共预算财政拨款支出决算情况说明</w:t>
      </w:r>
      <w:r>
        <w:rPr>
          <w:rFonts w:hint="eastAsia" w:ascii="仿宋_GB2312" w:hAnsi="仿宋_GB2312" w:eastAsia="仿宋_GB2312" w:cs="仿宋_GB2312"/>
          <w:color w:val="auto"/>
          <w:sz w:val="32"/>
          <w:szCs w:val="32"/>
          <w:lang w:val="en-US" w:eastAsia="zh-CN"/>
        </w:rPr>
        <w:t>........7</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六、一般公共预算财政拨款基本支出决算情况说明</w:t>
      </w:r>
      <w:r>
        <w:rPr>
          <w:rFonts w:hint="eastAsia" w:ascii="仿宋_GB2312" w:hAnsi="仿宋_GB2312" w:eastAsia="仿宋_GB2312" w:cs="仿宋_GB2312"/>
          <w:color w:val="auto"/>
          <w:sz w:val="32"/>
          <w:szCs w:val="32"/>
          <w:lang w:val="en-US" w:eastAsia="zh-CN"/>
        </w:rPr>
        <w:t>....10</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七、“三公”经费财政拨款支出决算情况说明</w:t>
      </w:r>
      <w:r>
        <w:rPr>
          <w:rFonts w:hint="eastAsia" w:ascii="仿宋_GB2312" w:hAnsi="仿宋_GB2312" w:eastAsia="仿宋_GB2312" w:cs="仿宋_GB2312"/>
          <w:color w:val="auto"/>
          <w:sz w:val="32"/>
          <w:szCs w:val="32"/>
          <w:lang w:val="en-US" w:eastAsia="zh-CN"/>
        </w:rPr>
        <w:t>.........11</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八、政府性基金预算支出决算情况说明</w:t>
      </w:r>
      <w:r>
        <w:rPr>
          <w:rFonts w:hint="eastAsia" w:ascii="仿宋_GB2312" w:hAnsi="仿宋_GB2312" w:eastAsia="仿宋_GB2312" w:cs="仿宋_GB2312"/>
          <w:color w:val="auto"/>
          <w:sz w:val="32"/>
          <w:szCs w:val="32"/>
          <w:lang w:val="en-US" w:eastAsia="zh-CN"/>
        </w:rPr>
        <w:t>..............12</w:t>
      </w:r>
    </w:p>
    <w:p>
      <w:pPr>
        <w:pStyle w:val="11"/>
        <w:pageBreakBefore w:val="0"/>
        <w:widowControl w:val="0"/>
        <w:kinsoku/>
        <w:wordWrap/>
        <w:overflowPunct/>
        <w:topLinePunct w:val="0"/>
        <w:autoSpaceDE/>
        <w:autoSpaceDN/>
        <w:bidi w:val="0"/>
        <w:adjustRightInd w:val="0"/>
        <w:snapToGrid w:val="0"/>
        <w:spacing w:line="560" w:lineRule="exact"/>
        <w:ind w:leftChars="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九、国有资本经营预算支出决算情况说明</w:t>
      </w:r>
      <w:r>
        <w:rPr>
          <w:rFonts w:hint="eastAsia" w:ascii="仿宋_GB2312" w:hAnsi="仿宋_GB2312" w:eastAsia="仿宋_GB2312" w:cs="仿宋_GB2312"/>
          <w:color w:val="auto"/>
          <w:sz w:val="32"/>
          <w:szCs w:val="32"/>
          <w:lang w:val="en-US" w:eastAsia="zh-CN"/>
        </w:rPr>
        <w:t>............13</w:t>
      </w:r>
      <w:r>
        <w:rPr>
          <w:rStyle w:val="16"/>
          <w:rFonts w:hint="eastAsia" w:ascii="仿宋_GB2312" w:hAnsi="仿宋_GB2312" w:eastAsia="仿宋_GB2312" w:cs="仿宋_GB2312"/>
          <w:color w:val="auto"/>
          <w:sz w:val="32"/>
          <w:szCs w:val="32"/>
          <w:u w:val="none"/>
        </w:rPr>
        <w:t>十、</w:t>
      </w:r>
      <w:r>
        <w:rPr>
          <w:rFonts w:hint="eastAsia" w:ascii="仿宋_GB2312" w:hAnsi="仿宋_GB2312" w:eastAsia="仿宋_GB2312" w:cs="仿宋_GB2312"/>
          <w:color w:val="auto"/>
          <w:sz w:val="32"/>
          <w:szCs w:val="32"/>
        </w:rPr>
        <w:t>其他重要事项的情况说明</w:t>
      </w:r>
      <w:r>
        <w:rPr>
          <w:rFonts w:hint="eastAsia" w:ascii="仿宋_GB2312" w:hAnsi="仿宋_GB2312" w:eastAsia="仿宋_GB2312" w:cs="仿宋_GB2312"/>
          <w:color w:val="auto"/>
          <w:sz w:val="32"/>
          <w:szCs w:val="32"/>
          <w:lang w:val="en-US" w:eastAsia="zh-CN"/>
        </w:rPr>
        <w:t>.....................13</w:t>
      </w:r>
    </w:p>
    <w:p>
      <w:pPr>
        <w:pStyle w:val="1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第三部分 名词解释</w:t>
      </w:r>
      <w:r>
        <w:rPr>
          <w:rFonts w:hint="eastAsia" w:ascii="仿宋_GB2312" w:hAnsi="仿宋_GB2312" w:eastAsia="仿宋_GB2312" w:cs="仿宋_GB2312"/>
          <w:color w:val="auto"/>
          <w:sz w:val="32"/>
          <w:szCs w:val="32"/>
          <w:lang w:val="en-US" w:eastAsia="zh-CN"/>
        </w:rPr>
        <w:t>................................ 14</w:t>
      </w:r>
    </w:p>
    <w:p>
      <w:pPr>
        <w:pStyle w:val="1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第四部分 附件</w:t>
      </w:r>
      <w:r>
        <w:rPr>
          <w:rFonts w:hint="eastAsia" w:ascii="仿宋_GB2312" w:hAnsi="仿宋_GB2312" w:eastAsia="仿宋_GB2312" w:cs="仿宋_GB2312"/>
          <w:color w:val="auto"/>
          <w:sz w:val="32"/>
          <w:szCs w:val="32"/>
          <w:lang w:val="en-US" w:eastAsia="zh-CN"/>
        </w:rPr>
        <w:t>.................................... 16</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附件1</w:t>
      </w:r>
      <w:r>
        <w:rPr>
          <w:rFonts w:hint="eastAsia" w:ascii="仿宋_GB2312" w:hAnsi="仿宋_GB2312" w:eastAsia="仿宋_GB2312" w:cs="仿宋_GB2312"/>
          <w:color w:val="auto"/>
          <w:sz w:val="32"/>
          <w:szCs w:val="32"/>
          <w:lang w:val="en-US" w:eastAsia="zh-CN"/>
        </w:rPr>
        <w:t>......................................... 16</w:t>
      </w:r>
    </w:p>
    <w:p>
      <w:pPr>
        <w:pStyle w:val="1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第五部分 附表</w:t>
      </w:r>
      <w:r>
        <w:rPr>
          <w:rFonts w:hint="eastAsia" w:ascii="仿宋_GB2312" w:hAnsi="仿宋_GB2312" w:eastAsia="仿宋_GB2312" w:cs="仿宋_GB2312"/>
          <w:color w:val="auto"/>
          <w:sz w:val="32"/>
          <w:szCs w:val="32"/>
          <w:lang w:val="en-US" w:eastAsia="zh-CN"/>
        </w:rPr>
        <w:t>.................................... 21</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一、收入支出决算总表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二、收入决算表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三、支出决算表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四、财政拨款收入支出决算总表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五、财政拨款支出决算明细表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六、一般公共预算财政拨款支出决算表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七、一般公共预算财政拨款支出决算明细表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八、一般公共预算财政拨款基本支出决算表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九、一般公共预算财政拨款项目支出决算表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十、一般公共预算财政拨款“三公”经费支出决算表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十一、政府性基金预算财政拨款收入支出决算表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十二、政府性基金预算财政拨款“三公”经费支出决算表</w:t>
      </w:r>
    </w:p>
    <w:p>
      <w:pPr>
        <w:pStyle w:val="11"/>
        <w:pageBreakBefore w:val="0"/>
        <w:widowControl w:val="0"/>
        <w:kinsoku/>
        <w:wordWrap/>
        <w:overflowPunct/>
        <w:topLinePunct w:val="0"/>
        <w:autoSpaceDE/>
        <w:autoSpaceDN/>
        <w:bidi w:val="0"/>
        <w:adjustRightInd w:val="0"/>
        <w:snapToGrid w:val="0"/>
        <w:spacing w:line="560" w:lineRule="exact"/>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十三、国有资本经营预算支出决算表</w:t>
      </w:r>
    </w:p>
    <w:p>
      <w:pPr>
        <w:pageBreakBefore w:val="0"/>
        <w:widowControl w:val="0"/>
        <w:kinsoku/>
        <w:wordWrap/>
        <w:overflowPunct/>
        <w:topLinePunct w:val="0"/>
        <w:autoSpaceDE/>
        <w:autoSpaceDN/>
        <w:bidi w:val="0"/>
        <w:adjustRightInd w:val="0"/>
        <w:snapToGrid w:val="0"/>
        <w:spacing w:line="560" w:lineRule="exact"/>
        <w:ind w:firstLine="1760" w:firstLineChars="55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(注：请部门根据实际注明页码)</w:t>
      </w:r>
    </w:p>
    <w:p>
      <w:pPr>
        <w:pStyle w:val="2"/>
        <w:pageBreakBefore w:val="0"/>
        <w:widowControl w:val="0"/>
        <w:kinsoku/>
        <w:wordWrap/>
        <w:overflowPunct/>
        <w:topLinePunct w:val="0"/>
        <w:autoSpaceDE/>
        <w:autoSpaceDN/>
        <w:bidi w:val="0"/>
        <w:spacing w:before="0" w:after="0" w:line="560" w:lineRule="exact"/>
        <w:jc w:val="center"/>
        <w:textAlignment w:val="auto"/>
        <w:rPr>
          <w:rFonts w:hint="eastAsia" w:ascii="黑体" w:hAnsi="黑体" w:eastAsia="黑体"/>
          <w:b w:val="0"/>
        </w:rPr>
        <w:sectPr>
          <w:footerReference r:id="rId6" w:type="default"/>
          <w:pgSz w:w="11906" w:h="16838"/>
          <w:pgMar w:top="1440" w:right="1800" w:bottom="1440" w:left="1800" w:header="851" w:footer="992" w:gutter="0"/>
          <w:pgNumType w:fmt="numberInDash" w:start="1"/>
          <w:cols w:space="425" w:num="1"/>
          <w:docGrid w:type="lines" w:linePitch="312" w:charSpace="0"/>
        </w:sectPr>
      </w:pPr>
    </w:p>
    <w:p>
      <w:pPr>
        <w:pStyle w:val="2"/>
        <w:pageBreakBefore w:val="0"/>
        <w:widowControl w:val="0"/>
        <w:kinsoku/>
        <w:wordWrap/>
        <w:overflowPunct/>
        <w:topLinePunct w:val="0"/>
        <w:autoSpaceDE/>
        <w:autoSpaceDN/>
        <w:bidi w:val="0"/>
        <w:spacing w:before="0" w:after="0" w:line="560" w:lineRule="exact"/>
        <w:jc w:val="center"/>
        <w:textAlignment w:val="auto"/>
        <w:rPr>
          <w:rStyle w:val="25"/>
          <w:rFonts w:ascii="黑体" w:hAnsi="黑体" w:eastAsia="黑体"/>
          <w:b/>
          <w:bCs w:val="0"/>
        </w:rPr>
      </w:pPr>
      <w:bookmarkStart w:id="12" w:name="_Toc15377196"/>
      <w:bookmarkStart w:id="13" w:name="_Toc15396599"/>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ageBreakBefore w:val="0"/>
        <w:widowControl w:val="0"/>
        <w:kinsoku/>
        <w:wordWrap/>
        <w:overflowPunct/>
        <w:topLinePunct w:val="0"/>
        <w:autoSpaceDE/>
        <w:autoSpaceDN/>
        <w:bidi w:val="0"/>
        <w:spacing w:line="560" w:lineRule="exact"/>
        <w:jc w:val="left"/>
        <w:textAlignment w:val="auto"/>
        <w:rPr>
          <w:rFonts w:ascii="黑体" w:eastAsia="黑体"/>
          <w:color w:val="000000"/>
          <w:sz w:val="32"/>
          <w:szCs w:val="32"/>
        </w:rPr>
      </w:pPr>
    </w:p>
    <w:p>
      <w:pPr>
        <w:pStyle w:val="3"/>
        <w:pageBreakBefore w:val="0"/>
        <w:widowControl w:val="0"/>
        <w:kinsoku/>
        <w:wordWrap/>
        <w:overflowPunct/>
        <w:topLinePunct w:val="0"/>
        <w:autoSpaceDE/>
        <w:autoSpaceDN/>
        <w:bidi w:val="0"/>
        <w:spacing w:before="0" w:after="0" w:line="560" w:lineRule="exact"/>
        <w:textAlignment w:val="auto"/>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bookmarkStart w:id="16" w:name="_Toc15378445"/>
      <w:bookmarkStart w:id="17" w:name="_Toc15377198"/>
      <w:r>
        <w:rPr>
          <w:rFonts w:hint="eastAsia" w:ascii="仿宋_GB2312" w:hAnsi="仿宋_GB2312" w:eastAsia="仿宋_GB2312" w:cs="仿宋_GB2312"/>
          <w:bCs/>
          <w:color w:val="auto"/>
          <w:sz w:val="32"/>
          <w:szCs w:val="32"/>
        </w:rPr>
        <w:t>（一）主要职能。</w:t>
      </w:r>
    </w:p>
    <w:p>
      <w:pPr>
        <w:pStyle w:val="5"/>
        <w:pageBreakBefore w:val="0"/>
        <w:widowControl w:val="0"/>
        <w:kinsoku/>
        <w:wordWrap/>
        <w:overflowPunct/>
        <w:topLinePunct w:val="0"/>
        <w:autoSpaceDE/>
        <w:autoSpaceDN/>
        <w:bidi w:val="0"/>
        <w:adjustRightInd w:val="0"/>
        <w:snapToGrid w:val="0"/>
        <w:spacing w:beforeLines="0" w:line="560" w:lineRule="exact"/>
        <w:ind w:firstLine="960" w:firstLineChars="30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1、县应急局贯彻落实党中央关于应急工作的方针政策和省委、州委、县委的决策部署，在履行职责过程中坚持和加强党对应急工作的集中统一领导。</w:t>
      </w:r>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2、负责应急管理工作，组织和指导各乡（镇）、各部门（单位）应对安全生产类、自然灾害类等突发事件和综合防灾减灾救灾工作。负责安全生产综合监督管理和工矿商贸行业安全生产监督管理工作。</w:t>
      </w:r>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3、拟订应急管理、安全生产等规范性文件，组织编制应急体系建设、安全生产综合防灾减灾救灾规划。</w:t>
      </w:r>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4、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5、按照国家、省、州相关政策和规定负责消防、森林和草原火灾扑救、抗洪抢险、地震和地质灾害救援、生产安全事故救援等专业应急救援力量建设，依法依规统筹指导各乡（镇）及社会应急救援力量和应急保障能力建设。</w:t>
      </w:r>
    </w:p>
    <w:p>
      <w:pPr>
        <w:pStyle w:val="5"/>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xml:space="preserve"> 6、负责组织、协调灾害救助工作，组织和指导灾情核查、损失评估、救灾捐赠工作，管理、分配中央、省、州下拨及县级救灾款物并监督使用。</w:t>
      </w:r>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7、依法承担县政府安全生产综合监督管理责任，指导协调、监督检查县有关部门和各乡（镇）政府安全生产工作，组织开展安全生产巡查、督查、考核工作。</w:t>
      </w:r>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8、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安全监督管理综合工作和烟花爆竹安全生产监督管理工作。</w:t>
      </w:r>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9、负责应急管理、安全生产宣传教育和培训工作，组织和指导应急管理、安全生产的科学技术推广应用和信息化建设工作。</w:t>
      </w:r>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 xml:space="preserve"> 10、完成县委、县政府交办的其他任务。</w:t>
      </w:r>
    </w:p>
    <w:bookmarkEnd w:id="16"/>
    <w:bookmarkEnd w:id="17"/>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bookmarkStart w:id="18" w:name="_Toc15377199"/>
      <w:bookmarkStart w:id="19" w:name="_Toc15378446"/>
      <w:r>
        <w:rPr>
          <w:rFonts w:hint="eastAsia" w:ascii="仿宋_GB2312" w:hAnsi="仿宋_GB2312" w:eastAsia="仿宋_GB2312" w:cs="仿宋_GB2312"/>
          <w:bCs/>
          <w:color w:val="auto"/>
          <w:sz w:val="32"/>
          <w:szCs w:val="32"/>
        </w:rPr>
        <w:t>（二）2019年重点工作完成情况。</w:t>
      </w:r>
      <w:bookmarkEnd w:id="18"/>
      <w:bookmarkEnd w:id="19"/>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2019年以来，县应急管理局全面贯彻落实习近平新时代中国特色社会主义思想和党的十九大精神，在县委、县政府的正确领导和上级应急管理部门的有力指导下，按照机构改革后新的职能要求，不断健全完善应急管理体系，严格落实安全监管责任，统筹推进各项工作，取得了阶段性成效。</w:t>
      </w:r>
    </w:p>
    <w:p>
      <w:pPr>
        <w:pStyle w:val="5"/>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1、截止目前，全县共发生各类生产安全事故297起，死亡6人。其中，道路运输事故296起，死亡5人，直接经济损失55万元；建筑施工事故1起，死亡1人；非煤矿山、危险化学品、烟花爆竹、特种设备、人员密集场所、消防等重点行业领域未发生安全事故。全县受强降雨和冰雹天气影响，造成全县676户、2398人不同程度受灾，直接经济损失959.58万元。其中农作物受灾面积54.18公顷，绝收面积28.75公顷，直接经济损失660.1万元；大牲畜死亡35头，直接经济损失9.75万元；帐篷损毁57顶、一般性房屋损毁36间，直接经济损失39.73万元；桥梁、涵洞、牧道受损25处，直接经济损失250万元。发放救灾物资37件（套）。</w:t>
      </w:r>
    </w:p>
    <w:p>
      <w:pPr>
        <w:pStyle w:val="5"/>
        <w:pageBreakBefore w:val="0"/>
        <w:widowControl w:val="0"/>
        <w:kinsoku/>
        <w:wordWrap/>
        <w:overflowPunct/>
        <w:topLinePunct w:val="0"/>
        <w:autoSpaceDE/>
        <w:autoSpaceDN/>
        <w:bidi w:val="0"/>
        <w:adjustRightInd w:val="0"/>
        <w:snapToGrid w:val="0"/>
        <w:spacing w:beforeLines="0" w:line="54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2、强化执法监管，加大隐患治理力度。对全县8家危化企业，开展安全执法检查47次、共排查隐患18项、已完成整治18项，整改率100%，行政处罚1.2万元；对全县2家烟花爆竹零售商，开展安全执法检查15次、共排查隐患5项、已完成整治5项，停业整顿1家，整改率100%；对全县18所中小学、幼儿园，开展安全检查36次、共排查隐患26项、已完成整治26项，整改率100%；对全县2家较大超市，开展安全检查2次、共排查隐患3项、已完成整治3项，整改率100%；对全县10座寺庙，开展安全检查1次、共排查隐患15项、下达整改通知书10份，已完成整治12项，整改率80%；组织开展3次联合大检查、组织检查组17个、检查各类企业53家次，发现隐患56项，已整改56项，整改率达100%。圆满完成第四届红原大草原夏季雅克音乐季、麦洼寺“煨桑”活动等重大活动安全防范工作，确保重要敏感时期全县安全形势稳定。</w:t>
      </w:r>
    </w:p>
    <w:p>
      <w:pPr>
        <w:pStyle w:val="5"/>
        <w:pageBreakBefore w:val="0"/>
        <w:widowControl w:val="0"/>
        <w:kinsoku/>
        <w:wordWrap/>
        <w:overflowPunct/>
        <w:topLinePunct w:val="0"/>
        <w:autoSpaceDE/>
        <w:autoSpaceDN/>
        <w:bidi w:val="0"/>
        <w:adjustRightInd w:val="0"/>
        <w:snapToGrid w:val="0"/>
        <w:spacing w:beforeLines="0" w:line="54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3、营造浓厚氛围，推动安全文化建设。推动落实企业安全生产主体责任，进一步提高全民参与安全生产工作的积极性和主动性，以全国第18个“安全生产月”和“安全生产雪山草地行”活动为契机，紧扣“防风险、除隐患、遏事故”主题，协同22家机关单位和企事业单位开展安全生产咨询日活动、安全知识竞赛答题、安全生产“七进”等活动，为预防和减少生产安全事故、促进全县安全发展提供有力的思想保证、精神动力和舆论支持。据统计，各安委会成员单位共开展宣传12场次、设立宣传咨询台10个、发放安全知识书籍800余本、发放宣传资料1200余份、发放各类小礼品1000余件；安全知识竞赛答题注册人数600余人、累计答题12000人次。</w:t>
      </w:r>
    </w:p>
    <w:p>
      <w:pPr>
        <w:pStyle w:val="5"/>
        <w:pageBreakBefore w:val="0"/>
        <w:widowControl w:val="0"/>
        <w:kinsoku/>
        <w:wordWrap/>
        <w:overflowPunct/>
        <w:topLinePunct w:val="0"/>
        <w:autoSpaceDE/>
        <w:autoSpaceDN/>
        <w:bidi w:val="0"/>
        <w:adjustRightInd w:val="0"/>
        <w:snapToGrid w:val="0"/>
        <w:spacing w:beforeLines="0" w:line="540" w:lineRule="exact"/>
        <w:ind w:firstLine="672" w:firstLineChars="210"/>
        <w:textAlignment w:val="auto"/>
        <w:outlineLvl w:val="2"/>
        <w:rPr>
          <w:rFonts w:hint="eastAsia" w:ascii="仿宋_GB2312" w:hAnsi="仿宋_GB2312" w:eastAsia="仿宋_GB2312" w:cs="仿宋_GB2312"/>
          <w:bCs/>
          <w:color w:val="auto"/>
          <w:sz w:val="32"/>
          <w:szCs w:val="32"/>
        </w:rPr>
      </w:pPr>
      <w:r>
        <w:rPr>
          <w:rFonts w:hint="eastAsia" w:ascii="仿宋_GB2312" w:hAnsi="仿宋_GB2312" w:eastAsia="仿宋_GB2312" w:cs="仿宋_GB2312"/>
          <w:bCs/>
          <w:color w:val="auto"/>
          <w:sz w:val="32"/>
          <w:szCs w:val="32"/>
        </w:rPr>
        <w:t>4、应急演练与培训有效强化。有针对性地开展山洪灾害、地震等各类防灾减灾应急演练和应急知识培训。会同县水务局、县自然资源局、刷经寺人民政府、赛零公司在刷经寺老康猫村举办了红原县2019年山洪灾害应急演练，各乡(镇)、村（社区）相关负责人到场观摩；会同县红十字会开展应急知识“进机关、进学校、进寺庙”应急培训工作；县教育局在各中小学开展了地震应急演练。据统计全县共开展15次防灾减灾应急演练、参演人数3000余人次，2次应急知识培训、受教育干部群众1600余人次，切实增强了干部群众防灾避灾意识，有效提升了干部群众应对突发事件的组织能力和自救互救能力。 </w:t>
      </w:r>
    </w:p>
    <w:p>
      <w:pPr>
        <w:pStyle w:val="3"/>
        <w:pageBreakBefore w:val="0"/>
        <w:widowControl w:val="0"/>
        <w:kinsoku/>
        <w:wordWrap/>
        <w:overflowPunct/>
        <w:topLinePunct w:val="0"/>
        <w:autoSpaceDE/>
        <w:autoSpaceDN/>
        <w:bidi w:val="0"/>
        <w:spacing w:before="0" w:after="0" w:line="540" w:lineRule="exact"/>
        <w:textAlignment w:val="auto"/>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pageBreakBefore w:val="0"/>
        <w:widowControl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县应急管理局下属二级单位</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个，事业单位</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w:t>
      </w:r>
    </w:p>
    <w:p>
      <w:pPr>
        <w:pStyle w:val="5"/>
        <w:pageBreakBefore w:val="0"/>
        <w:widowControl w:val="0"/>
        <w:kinsoku/>
        <w:wordWrap/>
        <w:overflowPunct/>
        <w:topLinePunct w:val="0"/>
        <w:autoSpaceDE/>
        <w:autoSpaceDN/>
        <w:bidi w:val="0"/>
        <w:adjustRightInd w:val="0"/>
        <w:snapToGrid w:val="0"/>
        <w:spacing w:beforeLines="0" w:line="540" w:lineRule="exact"/>
        <w:ind w:firstLine="672" w:firstLineChars="21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纳入红原县应急管理局2019年度部门决算编制范围的二级预算单位包括：</w:t>
      </w:r>
    </w:p>
    <w:p>
      <w:pPr>
        <w:pStyle w:val="5"/>
        <w:pageBreakBefore w:val="0"/>
        <w:widowControl w:val="0"/>
        <w:numPr>
          <w:ilvl w:val="0"/>
          <w:numId w:val="1"/>
        </w:numPr>
        <w:kinsoku/>
        <w:wordWrap/>
        <w:overflowPunct/>
        <w:topLinePunct w:val="0"/>
        <w:autoSpaceDE/>
        <w:autoSpaceDN/>
        <w:bidi w:val="0"/>
        <w:adjustRightInd w:val="0"/>
        <w:snapToGrid w:val="0"/>
        <w:spacing w:beforeLines="0" w:line="540" w:lineRule="exact"/>
        <w:textAlignment w:val="auto"/>
        <w:outlineLvl w:val="2"/>
        <w:rPr>
          <w:rFonts w:hint="eastAsia" w:ascii="仿宋_GB2312" w:hAnsi="仿宋_GB2312" w:eastAsia="仿宋_GB2312" w:cs="仿宋_GB2312"/>
          <w:color w:val="000000"/>
          <w:sz w:val="32"/>
          <w:szCs w:val="32"/>
        </w:rPr>
      </w:pPr>
      <w:bookmarkStart w:id="22" w:name="_Toc15377203"/>
      <w:bookmarkStart w:id="23" w:name="_Toc15377434"/>
      <w:bookmarkStart w:id="24" w:name="_Toc15306277"/>
      <w:bookmarkStart w:id="25" w:name="_Toc15378450"/>
      <w:r>
        <w:rPr>
          <w:rFonts w:hint="eastAsia" w:ascii="仿宋_GB2312" w:hAnsi="仿宋_GB2312" w:eastAsia="仿宋_GB2312" w:cs="仿宋_GB2312"/>
          <w:color w:val="000000"/>
          <w:sz w:val="32"/>
          <w:szCs w:val="32"/>
        </w:rPr>
        <w:t>红原县政府专职消防队</w:t>
      </w:r>
      <w:bookmarkEnd w:id="22"/>
      <w:bookmarkEnd w:id="23"/>
      <w:bookmarkEnd w:id="24"/>
      <w:bookmarkEnd w:id="25"/>
    </w:p>
    <w:p>
      <w:pPr>
        <w:widowControl/>
        <w:jc w:val="left"/>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sz w:val="32"/>
          <w:szCs w:val="32"/>
        </w:rPr>
        <w:br w:type="page"/>
      </w:r>
    </w:p>
    <w:p>
      <w:pPr>
        <w:pStyle w:val="2"/>
        <w:ind w:right="440"/>
        <w:jc w:val="right"/>
        <w:rPr>
          <w:rStyle w:val="25"/>
          <w:rFonts w:ascii="黑体" w:hAnsi="黑体" w:eastAsia="黑体"/>
          <w:b w:val="0"/>
          <w:bCs w:val="0"/>
        </w:rPr>
      </w:pPr>
      <w:bookmarkStart w:id="26" w:name="_Toc15396602"/>
      <w:bookmarkStart w:id="27"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2019年度部门决算情况说明</w:t>
      </w:r>
      <w:bookmarkEnd w:id="26"/>
      <w:bookmarkEnd w:id="27"/>
    </w:p>
    <w:p/>
    <w:p>
      <w:pPr>
        <w:pStyle w:val="24"/>
        <w:numPr>
          <w:ilvl w:val="0"/>
          <w:numId w:val="2"/>
        </w:numPr>
        <w:spacing w:line="600" w:lineRule="exact"/>
        <w:ind w:firstLineChars="0"/>
        <w:outlineLvl w:val="1"/>
        <w:rPr>
          <w:rStyle w:val="26"/>
          <w:rFonts w:ascii="黑体" w:hAnsi="黑体" w:eastAsia="黑体"/>
          <w:b w:val="0"/>
        </w:rPr>
      </w:pPr>
      <w:bookmarkStart w:id="28" w:name="_Toc15377205"/>
      <w:bookmarkStart w:id="29"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8"/>
      <w:bookmarkEnd w:id="29"/>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2019年度收入397.61万元，支出总计484.4万元。与2018年相比，收入总计增加138.96万元，增长34.95%；支出总计增加279.56万元，增长57.71%。主要变动原因是：</w:t>
      </w:r>
      <w:r>
        <w:rPr>
          <w:rFonts w:hint="eastAsia" w:ascii="仿宋_GB2312" w:hAnsi="仿宋_GB2312" w:eastAsia="仿宋_GB2312" w:cs="仿宋_GB2312"/>
          <w:sz w:val="32"/>
          <w:szCs w:val="32"/>
        </w:rPr>
        <w:t>一是</w:t>
      </w:r>
      <w:r>
        <w:rPr>
          <w:rFonts w:hint="eastAsia" w:ascii="仿宋_GB2312" w:hAnsi="仿宋_GB2312" w:eastAsia="仿宋_GB2312" w:cs="仿宋_GB2312"/>
          <w:color w:val="000000"/>
          <w:sz w:val="32"/>
          <w:szCs w:val="32"/>
        </w:rPr>
        <w:t>根据《中共红原县委办公室、红原县人民政府办公室关于印发&lt;红原县机构改革方案&gt;的通知》（红委办〔2019〕21号）的相关要求，2019年3月我单位实行机构改革，发生人员变动，新增加参公人员1人，事业人员13人；开展应急宣传、应急演练等工作，项目支出增加。二是新购置一辆公务用车，公务用车及运行维护费支出增加。</w:t>
      </w:r>
    </w:p>
    <w:p>
      <w:pPr>
        <w:ind w:firstLine="420" w:firstLineChars="200"/>
        <w:rPr>
          <w:rFonts w:ascii="仿宋_GB2312" w:hAnsi="仿宋" w:eastAsia="仿宋_GB2312" w:cs="仿宋"/>
          <w:color w:val="000000"/>
          <w:sz w:val="32"/>
          <w:szCs w:val="32"/>
        </w:rPr>
      </w:pPr>
      <w:r>
        <w:rPr>
          <w:rFonts w:hint="eastAsia"/>
        </w:rPr>
        <w:drawing>
          <wp:anchor distT="0" distB="0" distL="114300" distR="114300" simplePos="0" relativeHeight="251662336" behindDoc="0" locked="0" layoutInCell="1" allowOverlap="1">
            <wp:simplePos x="0" y="0"/>
            <wp:positionH relativeFrom="column">
              <wp:posOffset>476250</wp:posOffset>
            </wp:positionH>
            <wp:positionV relativeFrom="paragraph">
              <wp:posOffset>311785</wp:posOffset>
            </wp:positionV>
            <wp:extent cx="3895090" cy="2645410"/>
            <wp:effectExtent l="4445" t="4445" r="5715" b="17145"/>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ind w:firstLine="640" w:firstLineChars="200"/>
        <w:rPr>
          <w:rFonts w:ascii="仿宋_GB2312" w:hAnsi="仿宋" w:eastAsia="仿宋_GB2312" w:cs="仿宋"/>
          <w:color w:val="000000"/>
          <w:sz w:val="32"/>
          <w:szCs w:val="32"/>
        </w:rPr>
      </w:pPr>
    </w:p>
    <w:p>
      <w:pPr>
        <w:ind w:firstLine="640" w:firstLineChars="200"/>
        <w:rPr>
          <w:rFonts w:ascii="仿宋_GB2312" w:hAnsi="仿宋" w:eastAsia="仿宋_GB2312" w:cs="仿宋"/>
          <w:color w:val="000000"/>
          <w:sz w:val="32"/>
          <w:szCs w:val="32"/>
        </w:rPr>
      </w:pPr>
    </w:p>
    <w:p>
      <w:pPr>
        <w:ind w:firstLine="640" w:firstLineChars="200"/>
        <w:rPr>
          <w:rFonts w:ascii="仿宋_GB2312" w:hAnsi="仿宋" w:eastAsia="仿宋_GB2312" w:cs="仿宋"/>
          <w:color w:val="000000"/>
          <w:sz w:val="32"/>
          <w:szCs w:val="32"/>
        </w:rPr>
      </w:pPr>
    </w:p>
    <w:p>
      <w:pPr>
        <w:ind w:firstLine="640" w:firstLineChars="200"/>
        <w:rPr>
          <w:rFonts w:ascii="仿宋_GB2312" w:hAnsi="仿宋" w:eastAsia="仿宋_GB2312" w:cs="仿宋"/>
          <w:color w:val="000000"/>
          <w:sz w:val="32"/>
          <w:szCs w:val="32"/>
        </w:rPr>
      </w:pPr>
    </w:p>
    <w:p>
      <w:pPr>
        <w:ind w:firstLine="640" w:firstLineChars="200"/>
        <w:rPr>
          <w:rFonts w:ascii="仿宋_GB2312" w:hAnsi="仿宋" w:eastAsia="仿宋_GB2312" w:cs="仿宋"/>
          <w:color w:val="000000"/>
          <w:sz w:val="32"/>
          <w:szCs w:val="32"/>
        </w:rPr>
      </w:pPr>
    </w:p>
    <w:p>
      <w:pPr>
        <w:rPr>
          <w:rFonts w:ascii="仿宋_GB2312" w:hAnsi="仿宋" w:eastAsia="仿宋_GB2312" w:cs="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24"/>
        <w:numPr>
          <w:ilvl w:val="0"/>
          <w:numId w:val="2"/>
        </w:numPr>
        <w:spacing w:line="600" w:lineRule="exact"/>
        <w:ind w:firstLineChars="0"/>
        <w:outlineLvl w:val="1"/>
        <w:rPr>
          <w:rStyle w:val="26"/>
          <w:rFonts w:ascii="黑体" w:hAnsi="黑体" w:eastAsia="黑体"/>
          <w:b w:val="0"/>
        </w:rPr>
      </w:pPr>
      <w:bookmarkStart w:id="30" w:name="_Toc15377206"/>
      <w:bookmarkStart w:id="31"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30"/>
      <w:bookmarkEnd w:id="31"/>
    </w:p>
    <w:p>
      <w:pPr>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2019年本年收入合计397.61万元，其中：一般公共预算财政拨款收入397.61万元，占100%。</w:t>
      </w:r>
    </w:p>
    <w:p>
      <w:pPr>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drawing>
          <wp:anchor distT="0" distB="0" distL="114300" distR="114300" simplePos="0" relativeHeight="251669504" behindDoc="0" locked="0" layoutInCell="1" allowOverlap="1">
            <wp:simplePos x="0" y="0"/>
            <wp:positionH relativeFrom="column">
              <wp:posOffset>600075</wp:posOffset>
            </wp:positionH>
            <wp:positionV relativeFrom="paragraph">
              <wp:posOffset>333375</wp:posOffset>
            </wp:positionV>
            <wp:extent cx="3707765" cy="2672715"/>
            <wp:effectExtent l="4445" t="4445" r="21590" b="889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outlineLvl w:val="1"/>
        <w:rPr>
          <w:rFonts w:ascii="仿宋" w:hAnsi="仿宋" w:eastAsia="仿宋"/>
          <w:color w:val="000000"/>
          <w:sz w:val="32"/>
          <w:szCs w:val="32"/>
        </w:rPr>
      </w:pPr>
    </w:p>
    <w:p>
      <w:pPr>
        <w:spacing w:line="600" w:lineRule="exact"/>
        <w:outlineLvl w:val="1"/>
        <w:rPr>
          <w:rFonts w:ascii="仿宋" w:hAnsi="仿宋" w:eastAsia="仿宋"/>
          <w:color w:val="000000"/>
          <w:sz w:val="32"/>
          <w:szCs w:val="32"/>
        </w:rPr>
      </w:pPr>
    </w:p>
    <w:p>
      <w:pPr>
        <w:spacing w:line="600" w:lineRule="exact"/>
        <w:outlineLvl w:val="1"/>
        <w:rPr>
          <w:rFonts w:ascii="仿宋" w:hAnsi="仿宋" w:eastAsia="仿宋"/>
          <w:color w:val="000000"/>
          <w:sz w:val="32"/>
          <w:szCs w:val="32"/>
        </w:rPr>
      </w:pPr>
    </w:p>
    <w:p>
      <w:pPr>
        <w:spacing w:line="600" w:lineRule="exact"/>
        <w:outlineLvl w:val="1"/>
        <w:rPr>
          <w:rFonts w:ascii="仿宋" w:hAnsi="仿宋" w:eastAsia="仿宋"/>
          <w:color w:val="000000"/>
          <w:sz w:val="32"/>
          <w:szCs w:val="32"/>
        </w:rPr>
      </w:pPr>
    </w:p>
    <w:p>
      <w:pPr>
        <w:spacing w:line="600" w:lineRule="exact"/>
        <w:outlineLvl w:val="1"/>
        <w:rPr>
          <w:rFonts w:ascii="仿宋" w:hAnsi="仿宋" w:eastAsia="仿宋"/>
          <w:color w:val="000000"/>
          <w:sz w:val="32"/>
          <w:szCs w:val="32"/>
        </w:rPr>
      </w:pPr>
    </w:p>
    <w:p>
      <w:pPr>
        <w:spacing w:line="600" w:lineRule="exact"/>
        <w:outlineLvl w:val="1"/>
        <w:rPr>
          <w:rFonts w:ascii="仿宋" w:hAnsi="仿宋" w:eastAsia="仿宋"/>
          <w:color w:val="000000"/>
          <w:sz w:val="32"/>
          <w:szCs w:val="32"/>
        </w:rPr>
      </w:pPr>
    </w:p>
    <w:p>
      <w:pPr>
        <w:spacing w:line="600" w:lineRule="exact"/>
        <w:outlineLvl w:val="1"/>
        <w:rPr>
          <w:rFonts w:ascii="仿宋" w:hAnsi="仿宋" w:eastAsia="仿宋"/>
          <w:color w:val="000000"/>
          <w:sz w:val="32"/>
          <w:szCs w:val="32"/>
        </w:rPr>
      </w:pPr>
    </w:p>
    <w:p>
      <w:pPr>
        <w:spacing w:line="600" w:lineRule="exact"/>
        <w:ind w:firstLine="1280" w:firstLineChars="40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（图2：收入决算结构图）（饼状图）</w:t>
      </w:r>
    </w:p>
    <w:p>
      <w:pPr>
        <w:pStyle w:val="24"/>
        <w:numPr>
          <w:ilvl w:val="0"/>
          <w:numId w:val="2"/>
        </w:numPr>
        <w:spacing w:line="600" w:lineRule="exact"/>
        <w:ind w:firstLineChars="0"/>
        <w:outlineLvl w:val="1"/>
        <w:rPr>
          <w:rStyle w:val="26"/>
          <w:rFonts w:ascii="黑体" w:hAnsi="黑体" w:eastAsia="黑体"/>
          <w:b w:val="0"/>
        </w:rPr>
      </w:pPr>
      <w:bookmarkStart w:id="32" w:name="_Toc15377207"/>
      <w:bookmarkStart w:id="33" w:name="_Toc15396605"/>
      <w:r>
        <w:rPr>
          <w:rFonts w:hint="eastAsia" w:ascii="黑体" w:hAnsi="黑体" w:eastAsia="黑体"/>
          <w:color w:val="000000"/>
          <w:sz w:val="32"/>
          <w:szCs w:val="32"/>
        </w:rPr>
        <w:t>支</w:t>
      </w:r>
      <w:r>
        <w:rPr>
          <w:rStyle w:val="26"/>
          <w:rFonts w:hint="eastAsia" w:ascii="黑体" w:hAnsi="黑体" w:eastAsia="黑体"/>
          <w:b w:val="0"/>
        </w:rPr>
        <w:t>出决算情况说明</w:t>
      </w:r>
      <w:bookmarkEnd w:id="32"/>
      <w:bookmarkEnd w:id="33"/>
    </w:p>
    <w:p>
      <w:pPr>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2019年本年支出合计484.4万元，其中：基本支出364.06万元，占75.16%；项目支出120.34万元，占24.84%。</w:t>
      </w:r>
    </w:p>
    <w:p>
      <w:pPr>
        <w:spacing w:line="600" w:lineRule="exact"/>
        <w:ind w:firstLine="640" w:firstLineChars="200"/>
        <w:outlineLvl w:val="1"/>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72576" behindDoc="0" locked="0" layoutInCell="1" allowOverlap="1">
            <wp:simplePos x="0" y="0"/>
            <wp:positionH relativeFrom="column">
              <wp:posOffset>561975</wp:posOffset>
            </wp:positionH>
            <wp:positionV relativeFrom="paragraph">
              <wp:posOffset>9525</wp:posOffset>
            </wp:positionV>
            <wp:extent cx="4005580" cy="2329815"/>
            <wp:effectExtent l="4445" t="4445" r="9525" b="889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1280" w:firstLineChars="4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34" w:name="_Toc15377208"/>
      <w:bookmarkStart w:id="35"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4"/>
      <w:bookmarkEnd w:id="35"/>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2019年财政拨款收入397.61万元，支出总计484.4万元。与2018年相比，财政拨款收入增加138.96万元，增长34.95%；财政拨款支出增加279.56万元，增长57.71%。主要变动原因是：</w:t>
      </w:r>
      <w:r>
        <w:rPr>
          <w:rFonts w:hint="eastAsia" w:ascii="仿宋_GB2312" w:hAnsi="仿宋_GB2312" w:eastAsia="仿宋_GB2312" w:cs="仿宋_GB2312"/>
          <w:sz w:val="32"/>
          <w:szCs w:val="32"/>
        </w:rPr>
        <w:t>一是</w:t>
      </w:r>
      <w:r>
        <w:rPr>
          <w:rFonts w:hint="eastAsia" w:ascii="仿宋_GB2312" w:hAnsi="仿宋_GB2312" w:eastAsia="仿宋_GB2312" w:cs="仿宋_GB2312"/>
          <w:color w:val="000000"/>
          <w:sz w:val="32"/>
          <w:szCs w:val="32"/>
        </w:rPr>
        <w:t>根据《中共红原县委办公室、红原县人民政府办公室关于印发&lt;红原县机构改革方案&gt;的通知》（红委办〔2019〕21号）的相关要求，2019年3月我单位实行机构改革，发生人员变动，新增加参公人员1人，事业人员13人；开展应急宣传、应急演练等工作，项目支出增加。二是新购置一辆公务用车，公务用车及运行维护费支出增加。</w:t>
      </w:r>
    </w:p>
    <w:p>
      <w:pPr>
        <w:spacing w:line="600" w:lineRule="exact"/>
        <w:rPr>
          <w:rFonts w:ascii="仿宋" w:hAnsi="仿宋" w:eastAsia="仿宋"/>
          <w:color w:val="000000"/>
          <w:sz w:val="32"/>
          <w:szCs w:val="32"/>
        </w:rPr>
      </w:pPr>
      <w:r>
        <w:rPr>
          <w:rFonts w:hint="eastAsia"/>
        </w:rPr>
        <w:drawing>
          <wp:anchor distT="0" distB="0" distL="114300" distR="114300" simplePos="0" relativeHeight="251684864" behindDoc="0" locked="0" layoutInCell="1" allowOverlap="1">
            <wp:simplePos x="0" y="0"/>
            <wp:positionH relativeFrom="column">
              <wp:posOffset>422910</wp:posOffset>
            </wp:positionH>
            <wp:positionV relativeFrom="paragraph">
              <wp:posOffset>278130</wp:posOffset>
            </wp:positionV>
            <wp:extent cx="4560570" cy="2674620"/>
            <wp:effectExtent l="0" t="0" r="11430" b="1143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320" w:firstLineChars="100"/>
        <w:rPr>
          <w:rFonts w:hint="eastAsia" w:ascii="仿宋_GB2312" w:hAnsi="仿宋_GB2312" w:eastAsia="仿宋_GB2312" w:cs="仿宋_GB2312"/>
          <w:b/>
          <w:color w:val="00B050"/>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6"/>
          <w:rFonts w:ascii="黑体" w:hAnsi="黑体" w:eastAsia="黑体"/>
          <w:b w:val="0"/>
        </w:rPr>
      </w:pPr>
      <w:bookmarkStart w:id="36" w:name="_Toc15377209"/>
      <w:bookmarkStart w:id="37"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6"/>
      <w:bookmarkEnd w:id="37"/>
    </w:p>
    <w:p>
      <w:pPr>
        <w:spacing w:line="600" w:lineRule="exact"/>
        <w:ind w:firstLine="643" w:firstLineChars="200"/>
        <w:outlineLvl w:val="2"/>
        <w:rPr>
          <w:rFonts w:ascii="仿宋" w:hAnsi="仿宋" w:eastAsia="仿宋"/>
          <w:b/>
          <w:color w:val="000000"/>
          <w:sz w:val="32"/>
          <w:szCs w:val="32"/>
        </w:rPr>
      </w:pPr>
      <w:bookmarkStart w:id="38" w:name="_Toc15377210"/>
      <w:r>
        <w:rPr>
          <w:rFonts w:hint="eastAsia" w:ascii="仿宋" w:hAnsi="仿宋" w:eastAsia="仿宋"/>
          <w:b/>
          <w:color w:val="000000"/>
          <w:sz w:val="32"/>
          <w:szCs w:val="32"/>
        </w:rPr>
        <w:t>（一）一般公共预算财政拨款支出决算总体情况</w:t>
      </w:r>
      <w:bookmarkEnd w:id="38"/>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2019年一般公共预算财政拨款支出484.4万元，占本年支出合计的100%。与2018年相比，一般公共预算财政拨款支出增加279.56万元，增长57.71%。主要变动原因是：</w:t>
      </w:r>
      <w:r>
        <w:rPr>
          <w:rFonts w:hint="eastAsia" w:ascii="仿宋_GB2312" w:hAnsi="仿宋_GB2312" w:eastAsia="仿宋_GB2312" w:cs="仿宋_GB2312"/>
          <w:sz w:val="32"/>
          <w:szCs w:val="32"/>
        </w:rPr>
        <w:t>一是</w:t>
      </w:r>
      <w:r>
        <w:rPr>
          <w:rFonts w:hint="eastAsia" w:ascii="仿宋_GB2312" w:hAnsi="仿宋_GB2312" w:eastAsia="仿宋_GB2312" w:cs="仿宋_GB2312"/>
          <w:color w:val="000000"/>
          <w:sz w:val="32"/>
          <w:szCs w:val="32"/>
        </w:rPr>
        <w:t>根据《中共红原县委办公室、红原县人民政府办公室关于印发&lt;红原县机构改革方案&gt;的通知》（红委办〔2019〕21号）的相关要求，2019年3月我单位实行机构改革，发生人员变动，新增加参公人员1人，事业人员13人；开展应急宣传、应急演练等工作，项目支出增加。二是新购置一辆公务用车，公务用车及运行维护费支出增加。</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drawing>
          <wp:anchor distT="0" distB="0" distL="114300" distR="114300" simplePos="0" relativeHeight="251689984" behindDoc="0" locked="0" layoutInCell="1" allowOverlap="1">
            <wp:simplePos x="0" y="0"/>
            <wp:positionH relativeFrom="column">
              <wp:posOffset>506095</wp:posOffset>
            </wp:positionH>
            <wp:positionV relativeFrom="paragraph">
              <wp:posOffset>166370</wp:posOffset>
            </wp:positionV>
            <wp:extent cx="4527550" cy="2839085"/>
            <wp:effectExtent l="5080" t="4445" r="20320" b="13970"/>
            <wp:wrapSquare wrapText="bothSides"/>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lang w:eastAsia="zh-CN"/>
        </w:rPr>
      </w:pPr>
      <w:r>
        <w:rPr>
          <w:rFonts w:hint="eastAsia" w:ascii="仿宋" w:hAnsi="仿宋" w:eastAsia="仿宋"/>
          <w:color w:val="000000"/>
          <w:sz w:val="32"/>
          <w:szCs w:val="32"/>
        </w:rPr>
        <w:t xml:space="preserve"> </w:t>
      </w:r>
      <w:r>
        <w:rPr>
          <w:rFonts w:ascii="仿宋" w:hAnsi="仿宋" w:eastAsia="仿宋"/>
          <w:color w:val="000000"/>
          <w:sz w:val="32"/>
          <w:szCs w:val="32"/>
        </w:rPr>
        <w:t xml:space="preserve">   </w:t>
      </w:r>
    </w:p>
    <w:p>
      <w:pPr>
        <w:spacing w:line="600" w:lineRule="exact"/>
        <w:ind w:firstLine="640" w:firstLineChars="200"/>
        <w:rPr>
          <w:rFonts w:hint="eastAsia" w:ascii="仿宋" w:hAnsi="仿宋" w:eastAsia="仿宋"/>
          <w:color w:val="000000"/>
          <w:sz w:val="32"/>
          <w:szCs w:val="32"/>
          <w:lang w:eastAsia="zh-CN"/>
        </w:rPr>
      </w:pPr>
    </w:p>
    <w:p>
      <w:pPr>
        <w:spacing w:line="600" w:lineRule="exact"/>
        <w:ind w:firstLine="640" w:firstLineChars="200"/>
        <w:rPr>
          <w:rFonts w:hint="eastAsia" w:ascii="仿宋" w:hAnsi="仿宋" w:eastAsia="仿宋"/>
          <w:color w:val="000000"/>
          <w:sz w:val="32"/>
          <w:szCs w:val="32"/>
          <w:lang w:eastAsia="zh-CN"/>
        </w:rPr>
      </w:pPr>
    </w:p>
    <w:p>
      <w:pPr>
        <w:spacing w:line="600" w:lineRule="exact"/>
        <w:rPr>
          <w:rFonts w:hint="eastAsia" w:ascii="仿宋" w:hAnsi="仿宋" w:eastAsia="仿宋"/>
          <w:color w:val="000000"/>
          <w:sz w:val="32"/>
          <w:szCs w:val="32"/>
        </w:rPr>
      </w:pP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39" w:name="_Toc15377211"/>
      <w:r>
        <w:rPr>
          <w:rFonts w:hint="eastAsia" w:ascii="仿宋" w:hAnsi="仿宋" w:eastAsia="仿宋"/>
          <w:b/>
          <w:color w:val="000000"/>
          <w:sz w:val="32"/>
          <w:szCs w:val="32"/>
        </w:rPr>
        <w:t>（二）一般公共预算财政拨款支出决算结构情况</w:t>
      </w:r>
      <w:bookmarkEnd w:id="39"/>
    </w:p>
    <w:p>
      <w:pPr>
        <w:spacing w:line="600" w:lineRule="exact"/>
        <w:ind w:firstLine="64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政拨款支出484.4万元，主要用于以下方面:</w:t>
      </w:r>
      <w:r>
        <w:rPr>
          <w:rFonts w:hint="eastAsia" w:ascii="仿宋_GB2312" w:hAnsi="仿宋_GB2312" w:eastAsia="仿宋_GB2312" w:cs="仿宋_GB2312"/>
          <w:b/>
          <w:bCs/>
          <w:color w:val="000000" w:themeColor="text1"/>
          <w:sz w:val="32"/>
          <w:szCs w:val="32"/>
          <w14:textFill>
            <w14:solidFill>
              <w14:schemeClr w14:val="tx1"/>
            </w14:solidFill>
          </w14:textFill>
        </w:rPr>
        <w:t>国防支出</w:t>
      </w:r>
      <w:r>
        <w:rPr>
          <w:rFonts w:hint="eastAsia" w:ascii="仿宋_GB2312" w:hAnsi="仿宋_GB2312" w:eastAsia="仿宋_GB2312" w:cs="仿宋_GB2312"/>
          <w:b/>
          <w:color w:val="000000" w:themeColor="text1"/>
          <w:sz w:val="32"/>
          <w:szCs w:val="32"/>
          <w14:textFill>
            <w14:solidFill>
              <w14:schemeClr w14:val="tx1"/>
            </w14:solidFill>
          </w14:textFill>
        </w:rPr>
        <w:t>（类）</w:t>
      </w:r>
      <w:r>
        <w:rPr>
          <w:rFonts w:hint="eastAsia" w:ascii="仿宋_GB2312" w:hAnsi="仿宋_GB2312" w:eastAsia="仿宋_GB2312" w:cs="仿宋_GB2312"/>
          <w:bCs/>
          <w:color w:val="000000" w:themeColor="text1"/>
          <w:sz w:val="32"/>
          <w:szCs w:val="32"/>
          <w14:textFill>
            <w14:solidFill>
              <w14:schemeClr w14:val="tx1"/>
            </w14:solidFill>
          </w14:textFill>
        </w:rPr>
        <w:t>33.75万元，占6.97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社会保障和就业（类）</w:t>
      </w:r>
      <w:r>
        <w:rPr>
          <w:rFonts w:hint="eastAsia" w:ascii="仿宋_GB2312" w:hAnsi="仿宋_GB2312" w:eastAsia="仿宋_GB2312" w:cs="仿宋_GB2312"/>
          <w:color w:val="000000" w:themeColor="text1"/>
          <w:sz w:val="32"/>
          <w:szCs w:val="32"/>
          <w14:textFill>
            <w14:solidFill>
              <w14:schemeClr w14:val="tx1"/>
            </w14:solidFill>
          </w14:textFill>
        </w:rPr>
        <w:t>支出48.11万元，占9.93%；</w:t>
      </w:r>
      <w:r>
        <w:rPr>
          <w:rFonts w:hint="eastAsia" w:ascii="仿宋_GB2312" w:hAnsi="仿宋_GB2312" w:eastAsia="仿宋_GB2312" w:cs="仿宋_GB2312"/>
          <w:b/>
          <w:bCs/>
          <w:color w:val="000000" w:themeColor="text1"/>
          <w:sz w:val="32"/>
          <w:szCs w:val="32"/>
          <w14:textFill>
            <w14:solidFill>
              <w14:schemeClr w14:val="tx1"/>
            </w14:solidFill>
          </w14:textFill>
        </w:rPr>
        <w:t>卫生健康支出</w:t>
      </w:r>
      <w:r>
        <w:rPr>
          <w:rFonts w:hint="eastAsia" w:ascii="仿宋_GB2312" w:hAnsi="仿宋_GB2312" w:eastAsia="仿宋_GB2312" w:cs="仿宋_GB2312"/>
          <w:color w:val="000000" w:themeColor="text1"/>
          <w:sz w:val="32"/>
          <w:szCs w:val="32"/>
          <w14:textFill>
            <w14:solidFill>
              <w14:schemeClr w14:val="tx1"/>
            </w14:solidFill>
          </w14:textFill>
        </w:rPr>
        <w:t>20.93万元，占4.32%；</w:t>
      </w:r>
      <w:r>
        <w:rPr>
          <w:rFonts w:hint="eastAsia" w:ascii="仿宋_GB2312" w:hAnsi="仿宋_GB2312" w:eastAsia="仿宋_GB2312" w:cs="仿宋_GB2312"/>
          <w:b/>
          <w:bCs/>
          <w:color w:val="000000" w:themeColor="text1"/>
          <w:sz w:val="32"/>
          <w:szCs w:val="32"/>
          <w14:textFill>
            <w14:solidFill>
              <w14:schemeClr w14:val="tx1"/>
            </w14:solidFill>
          </w14:textFill>
        </w:rPr>
        <w:t>住房保障支出</w:t>
      </w:r>
      <w:r>
        <w:rPr>
          <w:rFonts w:hint="eastAsia" w:ascii="仿宋_GB2312" w:hAnsi="仿宋_GB2312" w:eastAsia="仿宋_GB2312" w:cs="仿宋_GB2312"/>
          <w:color w:val="000000" w:themeColor="text1"/>
          <w:sz w:val="32"/>
          <w:szCs w:val="32"/>
          <w14:textFill>
            <w14:solidFill>
              <w14:schemeClr w14:val="tx1"/>
            </w14:solidFill>
          </w14:textFill>
        </w:rPr>
        <w:t>28.69万元，占5.92%；</w:t>
      </w:r>
      <w:r>
        <w:rPr>
          <w:rFonts w:hint="eastAsia" w:ascii="仿宋_GB2312" w:hAnsi="仿宋_GB2312" w:eastAsia="仿宋_GB2312" w:cs="仿宋_GB2312"/>
          <w:b/>
          <w:bCs/>
          <w:color w:val="000000" w:themeColor="text1"/>
          <w:sz w:val="32"/>
          <w:szCs w:val="32"/>
          <w14:textFill>
            <w14:solidFill>
              <w14:schemeClr w14:val="tx1"/>
            </w14:solidFill>
          </w14:textFill>
        </w:rPr>
        <w:t>勘探信息等支出</w:t>
      </w:r>
      <w:r>
        <w:rPr>
          <w:rFonts w:hint="eastAsia" w:ascii="仿宋_GB2312" w:hAnsi="仿宋_GB2312" w:eastAsia="仿宋_GB2312" w:cs="仿宋_GB2312"/>
          <w:color w:val="000000" w:themeColor="text1"/>
          <w:sz w:val="32"/>
          <w:szCs w:val="32"/>
          <w14:textFill>
            <w14:solidFill>
              <w14:schemeClr w14:val="tx1"/>
            </w14:solidFill>
          </w14:textFill>
        </w:rPr>
        <w:t>5.61万元，占1.16%；</w:t>
      </w:r>
      <w:r>
        <w:rPr>
          <w:rFonts w:hint="eastAsia" w:ascii="仿宋_GB2312" w:hAnsi="仿宋_GB2312" w:eastAsia="仿宋_GB2312" w:cs="仿宋_GB2312"/>
          <w:b/>
          <w:bCs/>
          <w:color w:val="000000" w:themeColor="text1"/>
          <w:sz w:val="32"/>
          <w:szCs w:val="32"/>
          <w14:textFill>
            <w14:solidFill>
              <w14:schemeClr w14:val="tx1"/>
            </w14:solidFill>
          </w14:textFill>
        </w:rPr>
        <w:t>灾害防治及应急管理支出</w:t>
      </w:r>
      <w:r>
        <w:rPr>
          <w:rFonts w:hint="eastAsia" w:ascii="仿宋_GB2312" w:hAnsi="仿宋_GB2312" w:eastAsia="仿宋_GB2312" w:cs="仿宋_GB2312"/>
          <w:color w:val="000000" w:themeColor="text1"/>
          <w:sz w:val="32"/>
          <w:szCs w:val="32"/>
          <w14:textFill>
            <w14:solidFill>
              <w14:schemeClr w14:val="tx1"/>
            </w14:solidFill>
          </w14:textFill>
        </w:rPr>
        <w:t>339.3万元，占70.05%；</w:t>
      </w:r>
      <w:r>
        <w:rPr>
          <w:rFonts w:hint="eastAsia" w:ascii="仿宋_GB2312" w:hAnsi="仿宋_GB2312" w:eastAsia="仿宋_GB2312" w:cs="仿宋_GB2312"/>
          <w:b/>
          <w:bCs/>
          <w:color w:val="000000" w:themeColor="text1"/>
          <w:sz w:val="32"/>
          <w:szCs w:val="32"/>
          <w14:textFill>
            <w14:solidFill>
              <w14:schemeClr w14:val="tx1"/>
            </w14:solidFill>
          </w14:textFill>
        </w:rPr>
        <w:t>其他支出</w:t>
      </w:r>
      <w:r>
        <w:rPr>
          <w:rFonts w:hint="eastAsia" w:ascii="仿宋_GB2312" w:hAnsi="仿宋_GB2312" w:eastAsia="仿宋_GB2312" w:cs="仿宋_GB2312"/>
          <w:color w:val="000000" w:themeColor="text1"/>
          <w:sz w:val="32"/>
          <w:szCs w:val="32"/>
          <w14:textFill>
            <w14:solidFill>
              <w14:schemeClr w14:val="tx1"/>
            </w14:solidFill>
          </w14:textFill>
        </w:rPr>
        <w:t>8万元，占1.65%。</w:t>
      </w: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_GB2312" w:hAnsi="仿宋" w:eastAsia="仿宋_GB2312"/>
          <w:sz w:val="32"/>
          <w:szCs w:val="32"/>
        </w:rPr>
        <w:drawing>
          <wp:anchor distT="0" distB="0" distL="114300" distR="114300" simplePos="0" relativeHeight="251658240" behindDoc="0" locked="0" layoutInCell="1" allowOverlap="1">
            <wp:simplePos x="0" y="0"/>
            <wp:positionH relativeFrom="column">
              <wp:posOffset>164465</wp:posOffset>
            </wp:positionH>
            <wp:positionV relativeFrom="paragraph">
              <wp:posOffset>148590</wp:posOffset>
            </wp:positionV>
            <wp:extent cx="5253355" cy="2475865"/>
            <wp:effectExtent l="4445" t="4445" r="19050" b="15240"/>
            <wp:wrapNone/>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3" w:firstLineChars="200"/>
        <w:outlineLvl w:val="2"/>
        <w:rPr>
          <w:rFonts w:hint="eastAsia" w:ascii="仿宋" w:hAnsi="仿宋" w:eastAsia="仿宋"/>
          <w:b/>
          <w:color w:val="000000"/>
          <w:sz w:val="32"/>
          <w:szCs w:val="32"/>
        </w:rPr>
      </w:pPr>
      <w:bookmarkStart w:id="40" w:name="_Toc15377212"/>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40"/>
    </w:p>
    <w:p>
      <w:pPr>
        <w:spacing w:line="600" w:lineRule="exact"/>
        <w:ind w:firstLine="643" w:firstLineChars="200"/>
        <w:outlineLvl w:val="2"/>
        <w:rPr>
          <w:rFonts w:hint="eastAsia" w:ascii="仿宋_GB2312" w:hAnsi="仿宋_GB2312" w:eastAsia="仿宋_GB2312" w:cs="仿宋_GB2312"/>
          <w:color w:val="FF0000"/>
          <w:sz w:val="32"/>
          <w:szCs w:val="32"/>
        </w:rPr>
      </w:pPr>
      <w:bookmarkStart w:id="41" w:name="_Toc15377213"/>
      <w:bookmarkStart w:id="42" w:name="_Toc15378460"/>
      <w:bookmarkStart w:id="43" w:name="_Toc15377444"/>
      <w:r>
        <w:rPr>
          <w:rFonts w:hint="eastAsia" w:ascii="仿宋_GB2312" w:hAnsi="仿宋_GB2312" w:eastAsia="仿宋_GB2312" w:cs="仿宋_GB2312"/>
          <w:b/>
          <w:color w:val="000000" w:themeColor="text1"/>
          <w:sz w:val="32"/>
          <w:szCs w:val="32"/>
          <w14:textFill>
            <w14:solidFill>
              <w14:schemeClr w14:val="tx1"/>
            </w14:solidFill>
          </w14:textFill>
        </w:rPr>
        <w:t>2019年</w:t>
      </w:r>
      <w:r>
        <w:rPr>
          <w:rFonts w:hint="eastAsia" w:ascii="仿宋_GB2312" w:hAnsi="仿宋_GB2312" w:eastAsia="仿宋_GB2312" w:cs="仿宋_GB2312"/>
          <w:b/>
          <w:color w:val="000000"/>
          <w:sz w:val="32"/>
          <w:szCs w:val="32"/>
        </w:rPr>
        <w:t>一</w:t>
      </w:r>
      <w:r>
        <w:rPr>
          <w:rFonts w:hint="eastAsia" w:ascii="仿宋_GB2312" w:hAnsi="仿宋_GB2312" w:eastAsia="仿宋_GB2312" w:cs="仿宋_GB2312"/>
          <w:b/>
          <w:color w:val="000000" w:themeColor="text1"/>
          <w:sz w:val="32"/>
          <w:szCs w:val="32"/>
          <w14:textFill>
            <w14:solidFill>
              <w14:schemeClr w14:val="tx1"/>
            </w14:solidFill>
          </w14:textFill>
        </w:rPr>
        <w:t>般公共预算支出决算数为484.4</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5"/>
          <w:rFonts w:hint="eastAsia" w:ascii="仿宋_GB2312" w:hAnsi="仿宋_GB2312" w:eastAsia="仿宋_GB2312" w:cs="仿宋_GB2312"/>
          <w:bCs/>
          <w:color w:val="000000" w:themeColor="text1"/>
          <w:sz w:val="32"/>
          <w:szCs w:val="32"/>
          <w14:textFill>
            <w14:solidFill>
              <w14:schemeClr w14:val="tx1"/>
            </w14:solidFill>
          </w14:textFill>
        </w:rPr>
        <w:t>完成</w:t>
      </w:r>
      <w:r>
        <w:rPr>
          <w:rStyle w:val="15"/>
          <w:rFonts w:hint="eastAsia" w:ascii="仿宋_GB2312" w:hAnsi="仿宋_GB2312" w:eastAsia="仿宋_GB2312" w:cs="仿宋_GB2312"/>
          <w:bCs/>
          <w:color w:val="000000"/>
          <w:sz w:val="32"/>
          <w:szCs w:val="32"/>
        </w:rPr>
        <w:t>预算100%。其中：</w:t>
      </w:r>
      <w:bookmarkEnd w:id="41"/>
      <w:bookmarkEnd w:id="42"/>
      <w:bookmarkEnd w:id="43"/>
    </w:p>
    <w:p>
      <w:pPr>
        <w:spacing w:line="600" w:lineRule="exact"/>
        <w:ind w:firstLine="643" w:firstLineChars="200"/>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1.国防支出（类）国防动员（款）民兵（项）:</w:t>
      </w:r>
      <w:r>
        <w:rPr>
          <w:rStyle w:val="15"/>
          <w:rFonts w:hint="eastAsia" w:ascii="仿宋_GB2312" w:hAnsi="仿宋_GB2312" w:eastAsia="仿宋_GB2312" w:cs="仿宋_GB2312"/>
          <w:b w:val="0"/>
          <w:bCs/>
          <w:color w:val="000000"/>
          <w:sz w:val="32"/>
          <w:szCs w:val="32"/>
        </w:rPr>
        <w:t xml:space="preserve"> 支出决算为33.75万元，完成预算100%。</w:t>
      </w:r>
    </w:p>
    <w:p>
      <w:pPr>
        <w:spacing w:line="600" w:lineRule="exact"/>
        <w:ind w:firstLine="643" w:firstLineChars="200"/>
        <w:rPr>
          <w:rFonts w:hint="eastAsia"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2.资源勘探信息等支出（类）其他资源勘探信息等支出（款）其他资源勘探信息等支出（项）:</w:t>
      </w:r>
      <w:r>
        <w:rPr>
          <w:rStyle w:val="15"/>
          <w:rFonts w:hint="eastAsia" w:ascii="仿宋_GB2312" w:hAnsi="仿宋_GB2312" w:eastAsia="仿宋_GB2312" w:cs="仿宋_GB2312"/>
          <w:b w:val="0"/>
          <w:bCs/>
          <w:color w:val="000000"/>
          <w:sz w:val="32"/>
          <w:szCs w:val="32"/>
        </w:rPr>
        <w:t xml:space="preserve"> 支出决算为5.61万元，完成预算100%。</w:t>
      </w:r>
    </w:p>
    <w:p>
      <w:pPr>
        <w:spacing w:line="600" w:lineRule="exact"/>
        <w:ind w:firstLine="643" w:firstLineChars="200"/>
        <w:rPr>
          <w:rFonts w:hint="eastAsia"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3.灾害防治及应急管理支出（类）应急管理事务（款）行政运行（项）:</w:t>
      </w:r>
      <w:r>
        <w:rPr>
          <w:rStyle w:val="15"/>
          <w:rFonts w:hint="eastAsia" w:ascii="仿宋_GB2312" w:hAnsi="仿宋_GB2312" w:eastAsia="仿宋_GB2312" w:cs="仿宋_GB2312"/>
          <w:b w:val="0"/>
          <w:bCs/>
          <w:color w:val="000000"/>
          <w:sz w:val="32"/>
          <w:szCs w:val="32"/>
        </w:rPr>
        <w:t xml:space="preserve"> 支出决算为164.78万元，完成预算100%；</w:t>
      </w:r>
      <w:r>
        <w:rPr>
          <w:rStyle w:val="15"/>
          <w:rFonts w:hint="eastAsia" w:ascii="仿宋_GB2312" w:hAnsi="仿宋_GB2312" w:eastAsia="仿宋_GB2312" w:cs="仿宋_GB2312"/>
          <w:color w:val="000000"/>
          <w:sz w:val="32"/>
          <w:szCs w:val="32"/>
        </w:rPr>
        <w:t>一般行政管理事务</w:t>
      </w:r>
      <w:r>
        <w:rPr>
          <w:rStyle w:val="15"/>
          <w:rFonts w:hint="eastAsia" w:ascii="仿宋_GB2312" w:hAnsi="仿宋_GB2312" w:eastAsia="仿宋_GB2312" w:cs="仿宋_GB2312"/>
          <w:bCs/>
          <w:color w:val="000000"/>
          <w:sz w:val="32"/>
          <w:szCs w:val="32"/>
        </w:rPr>
        <w:t>（项）:</w:t>
      </w:r>
      <w:r>
        <w:rPr>
          <w:rStyle w:val="15"/>
          <w:rFonts w:hint="eastAsia" w:ascii="仿宋_GB2312" w:hAnsi="仿宋_GB2312" w:eastAsia="仿宋_GB2312" w:cs="仿宋_GB2312"/>
          <w:b w:val="0"/>
          <w:bCs/>
          <w:color w:val="000000"/>
          <w:sz w:val="32"/>
          <w:szCs w:val="32"/>
        </w:rPr>
        <w:t>支出决算为72.98万元，完成预算100%；</w:t>
      </w:r>
      <w:r>
        <w:rPr>
          <w:rStyle w:val="15"/>
          <w:rFonts w:hint="eastAsia" w:ascii="仿宋_GB2312" w:hAnsi="仿宋_GB2312" w:eastAsia="仿宋_GB2312" w:cs="仿宋_GB2312"/>
          <w:color w:val="000000"/>
          <w:sz w:val="32"/>
          <w:szCs w:val="32"/>
        </w:rPr>
        <w:t>事业运行</w:t>
      </w:r>
      <w:r>
        <w:rPr>
          <w:rStyle w:val="15"/>
          <w:rFonts w:hint="eastAsia" w:ascii="仿宋_GB2312" w:hAnsi="仿宋_GB2312" w:eastAsia="仿宋_GB2312" w:cs="仿宋_GB2312"/>
          <w:bCs/>
          <w:color w:val="000000"/>
          <w:sz w:val="32"/>
          <w:szCs w:val="32"/>
        </w:rPr>
        <w:t>（项）:</w:t>
      </w:r>
      <w:r>
        <w:rPr>
          <w:rStyle w:val="15"/>
          <w:rFonts w:hint="eastAsia" w:ascii="仿宋_GB2312" w:hAnsi="仿宋_GB2312" w:eastAsia="仿宋_GB2312" w:cs="仿宋_GB2312"/>
          <w:b w:val="0"/>
          <w:bCs/>
          <w:color w:val="000000"/>
          <w:sz w:val="32"/>
          <w:szCs w:val="32"/>
        </w:rPr>
        <w:t>支出决算为101.53万元，完成预算100%。</w:t>
      </w:r>
    </w:p>
    <w:p>
      <w:pPr>
        <w:spacing w:line="600" w:lineRule="exact"/>
        <w:ind w:firstLine="643" w:firstLineChars="200"/>
        <w:rPr>
          <w:rFonts w:hint="eastAsia" w:ascii="仿宋_GB2312" w:hAnsi="仿宋_GB2312" w:eastAsia="仿宋_GB2312" w:cs="仿宋_GB2312"/>
          <w:b/>
          <w:color w:val="000000"/>
          <w:sz w:val="32"/>
          <w:szCs w:val="32"/>
        </w:rPr>
      </w:pPr>
      <w:r>
        <w:rPr>
          <w:rStyle w:val="15"/>
          <w:rFonts w:hint="eastAsia" w:ascii="仿宋_GB2312" w:hAnsi="仿宋_GB2312" w:eastAsia="仿宋_GB2312" w:cs="仿宋_GB2312"/>
          <w:bCs/>
          <w:color w:val="000000"/>
          <w:sz w:val="32"/>
          <w:szCs w:val="32"/>
        </w:rPr>
        <w:t>4.其他支出（类）其他支出（款）其他支出（项）:</w:t>
      </w:r>
      <w:r>
        <w:rPr>
          <w:rStyle w:val="15"/>
          <w:rFonts w:hint="eastAsia" w:ascii="仿宋_GB2312" w:hAnsi="仿宋_GB2312" w:eastAsia="仿宋_GB2312" w:cs="仿宋_GB2312"/>
          <w:b w:val="0"/>
          <w:bCs/>
          <w:color w:val="000000"/>
          <w:sz w:val="32"/>
          <w:szCs w:val="32"/>
        </w:rPr>
        <w:t xml:space="preserve"> 支出决算为8万元，完成预算100%。</w:t>
      </w:r>
    </w:p>
    <w:p>
      <w:pPr>
        <w:spacing w:line="600" w:lineRule="exact"/>
        <w:ind w:firstLine="643" w:firstLineChars="200"/>
        <w:rPr>
          <w:rFonts w:hint="eastAsia" w:ascii="仿宋_GB2312" w:hAnsi="仿宋_GB2312" w:eastAsia="仿宋_GB2312" w:cs="仿宋_GB2312"/>
          <w:color w:val="000000"/>
          <w:sz w:val="32"/>
          <w:szCs w:val="32"/>
        </w:rPr>
      </w:pPr>
      <w:r>
        <w:rPr>
          <w:rStyle w:val="15"/>
          <w:rFonts w:hint="eastAsia" w:ascii="仿宋_GB2312" w:hAnsi="仿宋_GB2312" w:eastAsia="仿宋_GB2312" w:cs="仿宋_GB2312"/>
          <w:bCs/>
          <w:color w:val="000000"/>
          <w:sz w:val="32"/>
          <w:szCs w:val="32"/>
        </w:rPr>
        <w:t>5.社会保障和就业（类）行政事业单位离退休（款）机关事业单位基本养老保险缴费支出（项）:</w:t>
      </w:r>
      <w:r>
        <w:rPr>
          <w:rStyle w:val="15"/>
          <w:rFonts w:hint="eastAsia" w:ascii="仿宋_GB2312" w:hAnsi="仿宋_GB2312" w:eastAsia="仿宋_GB2312" w:cs="仿宋_GB2312"/>
          <w:b w:val="0"/>
          <w:bCs/>
          <w:color w:val="000000"/>
          <w:sz w:val="32"/>
          <w:szCs w:val="32"/>
        </w:rPr>
        <w:t xml:space="preserve"> 支出决算为32.67万元，完成预算100%；</w:t>
      </w:r>
      <w:r>
        <w:rPr>
          <w:rStyle w:val="15"/>
          <w:rFonts w:hint="eastAsia" w:ascii="仿宋_GB2312" w:hAnsi="仿宋_GB2312" w:eastAsia="仿宋_GB2312" w:cs="仿宋_GB2312"/>
          <w:color w:val="000000"/>
          <w:sz w:val="32"/>
          <w:szCs w:val="32"/>
        </w:rPr>
        <w:t>机关事业单位职业年金缴费支出</w:t>
      </w:r>
      <w:r>
        <w:rPr>
          <w:rStyle w:val="15"/>
          <w:rFonts w:hint="eastAsia" w:ascii="仿宋_GB2312" w:hAnsi="仿宋_GB2312" w:eastAsia="仿宋_GB2312" w:cs="仿宋_GB2312"/>
          <w:bCs/>
          <w:color w:val="000000"/>
          <w:sz w:val="32"/>
          <w:szCs w:val="32"/>
        </w:rPr>
        <w:t>（项）:</w:t>
      </w:r>
      <w:r>
        <w:rPr>
          <w:rStyle w:val="15"/>
          <w:rFonts w:hint="eastAsia" w:ascii="仿宋_GB2312" w:hAnsi="仿宋_GB2312" w:eastAsia="仿宋_GB2312" w:cs="仿宋_GB2312"/>
          <w:b w:val="0"/>
          <w:color w:val="000000"/>
          <w:sz w:val="32"/>
          <w:szCs w:val="32"/>
        </w:rPr>
        <w:t>支出决算数为15.44，</w:t>
      </w:r>
      <w:r>
        <w:rPr>
          <w:rStyle w:val="15"/>
          <w:rFonts w:hint="eastAsia" w:ascii="仿宋_GB2312" w:hAnsi="仿宋_GB2312" w:eastAsia="仿宋_GB2312" w:cs="仿宋_GB2312"/>
          <w:b w:val="0"/>
          <w:bCs/>
          <w:color w:val="000000"/>
          <w:sz w:val="32"/>
          <w:szCs w:val="32"/>
        </w:rPr>
        <w:t>完成预算100%。</w:t>
      </w:r>
    </w:p>
    <w:p>
      <w:pPr>
        <w:spacing w:line="600" w:lineRule="exact"/>
        <w:ind w:firstLine="643" w:firstLineChars="200"/>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Cs/>
          <w:color w:val="000000"/>
          <w:sz w:val="32"/>
          <w:szCs w:val="32"/>
        </w:rPr>
        <w:t>6.</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5"/>
          <w:rFonts w:hint="eastAsia" w:ascii="仿宋_GB2312" w:hAnsi="仿宋_GB2312" w:eastAsia="仿宋_GB2312" w:cs="仿宋_GB2312"/>
          <w:bCs/>
          <w:color w:val="000000"/>
          <w:sz w:val="32"/>
          <w:szCs w:val="32"/>
        </w:rPr>
        <w:t>（类）行政事业单位医疗（款）行政单位医疗（项）:</w:t>
      </w:r>
      <w:r>
        <w:rPr>
          <w:rStyle w:val="15"/>
          <w:rFonts w:hint="eastAsia" w:ascii="仿宋_GB2312" w:hAnsi="仿宋_GB2312" w:eastAsia="仿宋_GB2312" w:cs="仿宋_GB2312"/>
          <w:b w:val="0"/>
          <w:bCs/>
          <w:color w:val="000000"/>
          <w:sz w:val="32"/>
          <w:szCs w:val="32"/>
        </w:rPr>
        <w:t>支出决算为9.06万元，完成预算100%；</w:t>
      </w:r>
      <w:r>
        <w:rPr>
          <w:rStyle w:val="15"/>
          <w:rFonts w:hint="eastAsia" w:ascii="仿宋_GB2312" w:hAnsi="仿宋_GB2312" w:eastAsia="仿宋_GB2312" w:cs="仿宋_GB2312"/>
          <w:color w:val="000000"/>
          <w:sz w:val="32"/>
          <w:szCs w:val="32"/>
        </w:rPr>
        <w:t>事业单位医疗（项）</w:t>
      </w:r>
      <w:r>
        <w:rPr>
          <w:rStyle w:val="15"/>
          <w:rFonts w:hint="eastAsia" w:ascii="仿宋_GB2312" w:hAnsi="仿宋_GB2312" w:eastAsia="仿宋_GB2312" w:cs="仿宋_GB2312"/>
          <w:bCs/>
          <w:color w:val="000000"/>
          <w:sz w:val="32"/>
          <w:szCs w:val="32"/>
        </w:rPr>
        <w:t>:</w:t>
      </w:r>
      <w:r>
        <w:rPr>
          <w:rStyle w:val="15"/>
          <w:rFonts w:hint="eastAsia" w:ascii="仿宋_GB2312" w:hAnsi="仿宋_GB2312" w:eastAsia="仿宋_GB2312" w:cs="仿宋_GB2312"/>
          <w:b w:val="0"/>
          <w:bCs/>
          <w:color w:val="000000"/>
          <w:sz w:val="32"/>
          <w:szCs w:val="32"/>
        </w:rPr>
        <w:t>支出决算为7.37万元，完成预算100%；</w:t>
      </w:r>
      <w:r>
        <w:rPr>
          <w:rStyle w:val="15"/>
          <w:rFonts w:hint="eastAsia" w:ascii="仿宋_GB2312" w:hAnsi="仿宋_GB2312" w:eastAsia="仿宋_GB2312" w:cs="仿宋_GB2312"/>
          <w:color w:val="000000"/>
          <w:sz w:val="32"/>
          <w:szCs w:val="32"/>
        </w:rPr>
        <w:t>公务员医疗补助</w:t>
      </w:r>
      <w:r>
        <w:rPr>
          <w:rStyle w:val="15"/>
          <w:rFonts w:hint="eastAsia" w:ascii="仿宋_GB2312" w:hAnsi="仿宋_GB2312" w:eastAsia="仿宋_GB2312" w:cs="仿宋_GB2312"/>
          <w:bCs/>
          <w:color w:val="000000"/>
          <w:sz w:val="32"/>
          <w:szCs w:val="32"/>
        </w:rPr>
        <w:t>（项）:</w:t>
      </w:r>
      <w:r>
        <w:rPr>
          <w:rStyle w:val="15"/>
          <w:rFonts w:hint="eastAsia" w:ascii="仿宋_GB2312" w:hAnsi="仿宋_GB2312" w:eastAsia="仿宋_GB2312" w:cs="仿宋_GB2312"/>
          <w:b w:val="0"/>
          <w:bCs/>
          <w:color w:val="000000"/>
          <w:sz w:val="32"/>
          <w:szCs w:val="32"/>
        </w:rPr>
        <w:t>支出决算为3.08万元，完成预算100%；</w:t>
      </w:r>
      <w:r>
        <w:rPr>
          <w:rFonts w:hint="eastAsia" w:ascii="仿宋_GB2312" w:hAnsi="仿宋_GB2312" w:eastAsia="仿宋_GB2312" w:cs="仿宋_GB2312"/>
          <w:b/>
          <w:bCs/>
          <w:color w:val="000000"/>
          <w:sz w:val="32"/>
          <w:szCs w:val="32"/>
        </w:rPr>
        <w:t>其他行政事业单位医疗支出</w:t>
      </w:r>
      <w:r>
        <w:rPr>
          <w:rStyle w:val="15"/>
          <w:rFonts w:hint="eastAsia" w:ascii="仿宋_GB2312" w:hAnsi="仿宋_GB2312" w:eastAsia="仿宋_GB2312" w:cs="仿宋_GB2312"/>
          <w:bCs/>
          <w:color w:val="000000"/>
          <w:sz w:val="32"/>
          <w:szCs w:val="32"/>
        </w:rPr>
        <w:t>（项）:</w:t>
      </w:r>
      <w:r>
        <w:rPr>
          <w:rStyle w:val="15"/>
          <w:rFonts w:hint="eastAsia" w:ascii="仿宋_GB2312" w:hAnsi="仿宋_GB2312" w:eastAsia="仿宋_GB2312" w:cs="仿宋_GB2312"/>
          <w:b w:val="0"/>
          <w:bCs/>
          <w:color w:val="000000"/>
          <w:sz w:val="32"/>
          <w:szCs w:val="32"/>
        </w:rPr>
        <w:t>支出决算为1.43万元，完成预算100%。</w:t>
      </w:r>
    </w:p>
    <w:p>
      <w:pPr>
        <w:spacing w:line="600" w:lineRule="exact"/>
        <w:ind w:firstLine="643" w:firstLineChars="200"/>
        <w:rPr>
          <w:rFonts w:hint="eastAsia" w:ascii="仿宋_GB2312" w:hAnsi="仿宋_GB2312" w:eastAsia="仿宋_GB2312" w:cs="仿宋_GB2312"/>
          <w:b/>
          <w:color w:val="000000"/>
          <w:sz w:val="32"/>
          <w:szCs w:val="32"/>
        </w:rPr>
      </w:pPr>
      <w:r>
        <w:rPr>
          <w:rStyle w:val="15"/>
          <w:rFonts w:hint="eastAsia" w:ascii="仿宋_GB2312" w:hAnsi="仿宋_GB2312" w:eastAsia="仿宋_GB2312" w:cs="仿宋_GB2312"/>
          <w:color w:val="000000"/>
          <w:sz w:val="32"/>
          <w:szCs w:val="32"/>
        </w:rPr>
        <w:t>7.住房保障支出（类）住房改革支出（款）住房公积金（项）：</w:t>
      </w:r>
      <w:r>
        <w:rPr>
          <w:rStyle w:val="15"/>
          <w:rFonts w:hint="eastAsia" w:ascii="仿宋_GB2312" w:hAnsi="仿宋_GB2312" w:eastAsia="仿宋_GB2312" w:cs="仿宋_GB2312"/>
          <w:b w:val="0"/>
          <w:bCs/>
          <w:color w:val="000000"/>
          <w:sz w:val="32"/>
          <w:szCs w:val="32"/>
        </w:rPr>
        <w:t>支出决算为28.69万元，完成预算100%。</w:t>
      </w:r>
    </w:p>
    <w:p>
      <w:pPr>
        <w:tabs>
          <w:tab w:val="right" w:pos="8306"/>
        </w:tabs>
        <w:spacing w:line="600" w:lineRule="exact"/>
        <w:ind w:firstLine="640"/>
        <w:outlineLvl w:val="1"/>
        <w:rPr>
          <w:rStyle w:val="26"/>
          <w:rFonts w:hint="eastAsia" w:ascii="仿宋_GB2312" w:hAnsi="仿宋_GB2312" w:eastAsia="仿宋_GB2312" w:cs="仿宋_GB2312"/>
        </w:rPr>
      </w:pPr>
      <w:bookmarkStart w:id="44" w:name="_Toc15377214"/>
      <w:bookmarkStart w:id="45" w:name="_Toc15396608"/>
      <w:r>
        <w:rPr>
          <w:rFonts w:hint="eastAsia" w:ascii="仿宋_GB2312" w:hAnsi="仿宋_GB2312" w:eastAsia="仿宋_GB2312" w:cs="仿宋_GB2312"/>
          <w:color w:val="000000"/>
          <w:sz w:val="32"/>
          <w:szCs w:val="32"/>
        </w:rPr>
        <w:t>六</w:t>
      </w:r>
      <w:r>
        <w:rPr>
          <w:rFonts w:hint="eastAsia" w:ascii="仿宋_GB2312" w:hAnsi="仿宋_GB2312" w:eastAsia="仿宋_GB2312" w:cs="仿宋_GB2312"/>
          <w:b/>
          <w:color w:val="000000"/>
          <w:sz w:val="32"/>
          <w:szCs w:val="32"/>
        </w:rPr>
        <w:t>、一</w:t>
      </w:r>
      <w:r>
        <w:rPr>
          <w:rStyle w:val="26"/>
          <w:rFonts w:hint="eastAsia" w:ascii="仿宋_GB2312" w:hAnsi="仿宋_GB2312" w:eastAsia="仿宋_GB2312" w:cs="仿宋_GB2312"/>
          <w:b w:val="0"/>
        </w:rPr>
        <w:t>般公共预算财政拨款基本支出决算情况说明</w:t>
      </w:r>
      <w:bookmarkEnd w:id="44"/>
      <w:bookmarkEnd w:id="45"/>
      <w:r>
        <w:rPr>
          <w:rStyle w:val="26"/>
          <w:rFonts w:hint="eastAsia" w:ascii="仿宋_GB2312" w:hAnsi="仿宋_GB2312" w:eastAsia="仿宋_GB2312" w:cs="仿宋_GB2312"/>
          <w:b w:val="0"/>
        </w:rPr>
        <w:tab/>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2019年一般公共预算财政拨款基本支出363.2万元，其中：</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329.63万元，主要包括：基本工资、津贴补贴、奖金、绩效工资、机关事业单位基本养老保险缴费、职业年金缴费、其他社会保障缴费、职工基本医疗保险缴费、公务员医疗补助缴费、生活费补助、医疗费补助、奖励金、住房公积金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日常公用经费33.57万元，主要包括：办公费、印刷费、水费、电费、邮电费、取暖费、差旅费、维修（护）费、培训费、公务接待费、劳务费、公务用车运行维护费等。</w:t>
      </w:r>
    </w:p>
    <w:p>
      <w:pPr>
        <w:spacing w:line="600" w:lineRule="exact"/>
        <w:ind w:firstLine="640"/>
        <w:outlineLvl w:val="1"/>
        <w:rPr>
          <w:rStyle w:val="26"/>
          <w:rFonts w:ascii="黑体" w:hAnsi="黑体" w:eastAsia="黑体"/>
          <w:b w:val="0"/>
        </w:rPr>
      </w:pPr>
      <w:bookmarkStart w:id="46" w:name="_Toc15396609"/>
      <w:bookmarkStart w:id="47" w:name="_Toc15377215"/>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6"/>
      <w:bookmarkEnd w:id="47"/>
    </w:p>
    <w:p>
      <w:pPr>
        <w:spacing w:line="600" w:lineRule="exact"/>
        <w:ind w:firstLine="640"/>
        <w:outlineLvl w:val="2"/>
        <w:rPr>
          <w:rFonts w:hint="eastAsia" w:ascii="仿宋_GB2312" w:hAnsi="仿宋_GB2312" w:eastAsia="仿宋_GB2312" w:cs="仿宋_GB2312"/>
          <w:b/>
          <w:color w:val="000000"/>
          <w:sz w:val="32"/>
          <w:szCs w:val="32"/>
        </w:rPr>
      </w:pPr>
      <w:bookmarkStart w:id="48" w:name="_Toc15377216"/>
      <w:r>
        <w:rPr>
          <w:rFonts w:hint="eastAsia" w:ascii="仿宋_GB2312" w:hAnsi="仿宋_GB2312" w:eastAsia="仿宋_GB2312" w:cs="仿宋_GB2312"/>
          <w:b/>
          <w:color w:val="000000"/>
          <w:sz w:val="32"/>
          <w:szCs w:val="32"/>
        </w:rPr>
        <w:t>（一）“三公”经费财政拨款支出决算总体情况说明</w:t>
      </w:r>
      <w:bookmarkEnd w:id="48"/>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2019年“三公”经费财政拨款支出决算为48.74万元，完成预算100%。</w:t>
      </w:r>
    </w:p>
    <w:p>
      <w:pPr>
        <w:spacing w:line="600" w:lineRule="exact"/>
        <w:ind w:firstLine="640"/>
        <w:outlineLvl w:val="2"/>
        <w:rPr>
          <w:rFonts w:hint="eastAsia" w:ascii="仿宋_GB2312" w:hAnsi="仿宋_GB2312" w:eastAsia="仿宋_GB2312" w:cs="仿宋_GB2312"/>
          <w:b/>
          <w:color w:val="000000"/>
          <w:sz w:val="32"/>
          <w:szCs w:val="32"/>
        </w:rPr>
      </w:pPr>
      <w:bookmarkStart w:id="49" w:name="_Toc15377217"/>
      <w:r>
        <w:rPr>
          <w:rFonts w:hint="eastAsia" w:ascii="仿宋_GB2312" w:hAnsi="仿宋_GB2312" w:eastAsia="仿宋_GB2312" w:cs="仿宋_GB2312"/>
          <w:b/>
          <w:color w:val="000000"/>
          <w:sz w:val="32"/>
          <w:szCs w:val="32"/>
        </w:rPr>
        <w:t>（二）“三公”经费财政拨款支出决算具体情况说明</w:t>
      </w:r>
      <w:bookmarkEnd w:id="49"/>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2019年“三公”经费财政拨款支出决算中，因公出国（境）费支出决算0万元，占0%；公务用车购置及运行维护费支出决算48.1万元，占98.69%；公务接待费支出决算0.64万元，占1.31%。具体情况如下：</w:t>
      </w:r>
    </w:p>
    <w:p>
      <w:pPr>
        <w:spacing w:line="600" w:lineRule="exact"/>
        <w:rPr>
          <w:rFonts w:hint="eastAsia" w:ascii="仿宋" w:hAnsi="仿宋" w:eastAsia="仿宋"/>
          <w:color w:val="000000"/>
          <w:sz w:val="32"/>
          <w:szCs w:val="32"/>
          <w:lang w:val="en-US" w:eastAsia="zh-CN"/>
        </w:rPr>
      </w:pPr>
      <w:r>
        <w:rPr>
          <w:rFonts w:hint="eastAsia" w:ascii="仿宋_GB2312" w:hAnsi="仿宋" w:eastAsia="仿宋_GB2312"/>
          <w:sz w:val="32"/>
          <w:szCs w:val="32"/>
          <w:lang w:val="en-US" w:eastAsia="zh-CN"/>
        </w:rPr>
        <w:drawing>
          <wp:anchor distT="0" distB="0" distL="114300" distR="114300" simplePos="0" relativeHeight="251688960" behindDoc="0" locked="0" layoutInCell="1" allowOverlap="1">
            <wp:simplePos x="0" y="0"/>
            <wp:positionH relativeFrom="column">
              <wp:posOffset>171450</wp:posOffset>
            </wp:positionH>
            <wp:positionV relativeFrom="paragraph">
              <wp:posOffset>209550</wp:posOffset>
            </wp:positionV>
            <wp:extent cx="4899025" cy="2737485"/>
            <wp:effectExtent l="4445" t="4445" r="11430" b="2032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pPr>
        <w:spacing w:line="600" w:lineRule="exact"/>
        <w:rPr>
          <w:rFonts w:hint="eastAsia" w:ascii="仿宋" w:hAnsi="仿宋" w:eastAsia="仿宋"/>
          <w:color w:val="000000"/>
          <w:sz w:val="32"/>
          <w:szCs w:val="32"/>
          <w:lang w:val="en-US" w:eastAsia="zh-CN"/>
        </w:rPr>
      </w:pPr>
    </w:p>
    <w:p>
      <w:pPr>
        <w:spacing w:line="600" w:lineRule="exact"/>
        <w:rPr>
          <w:rFonts w:hint="eastAsia" w:ascii="仿宋" w:hAnsi="仿宋" w:eastAsia="仿宋"/>
          <w:color w:val="000000"/>
          <w:sz w:val="32"/>
          <w:szCs w:val="32"/>
          <w:lang w:val="en-US" w:eastAsia="zh-CN"/>
        </w:rPr>
      </w:pPr>
    </w:p>
    <w:p>
      <w:pPr>
        <w:spacing w:line="600" w:lineRule="exact"/>
        <w:rPr>
          <w:rFonts w:hint="eastAsia" w:ascii="仿宋" w:hAnsi="仿宋" w:eastAsia="仿宋"/>
          <w:color w:val="000000"/>
          <w:sz w:val="32"/>
          <w:szCs w:val="32"/>
          <w:lang w:val="en-US" w:eastAsia="zh-CN"/>
        </w:rPr>
      </w:pPr>
    </w:p>
    <w:p>
      <w:pPr>
        <w:spacing w:line="600" w:lineRule="exact"/>
        <w:rPr>
          <w:rFonts w:hint="eastAsia" w:ascii="仿宋" w:hAnsi="仿宋" w:eastAsia="仿宋"/>
          <w:color w:val="000000"/>
          <w:sz w:val="32"/>
          <w:szCs w:val="32"/>
          <w:lang w:val="en-US" w:eastAsia="zh-CN"/>
        </w:rPr>
      </w:pPr>
    </w:p>
    <w:p>
      <w:pPr>
        <w:spacing w:line="600" w:lineRule="exact"/>
        <w:rPr>
          <w:rFonts w:hint="eastAsia" w:ascii="仿宋" w:hAnsi="仿宋" w:eastAsia="仿宋"/>
          <w:color w:val="000000"/>
          <w:sz w:val="32"/>
          <w:szCs w:val="32"/>
          <w:lang w:val="en-US" w:eastAsia="zh-CN"/>
        </w:rPr>
      </w:pPr>
    </w:p>
    <w:p>
      <w:pPr>
        <w:spacing w:line="600" w:lineRule="exact"/>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_GB2312" w:eastAsia="仿宋_GB2312"/>
          <w:b/>
          <w:color w:val="000000"/>
          <w:sz w:val="32"/>
          <w:szCs w:val="32"/>
        </w:rPr>
      </w:pP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1.因公出国（境）经费支出</w:t>
      </w:r>
      <w:r>
        <w:rPr>
          <w:rFonts w:hint="eastAsia" w:ascii="仿宋_GB2312" w:hAnsi="仿宋_GB2312" w:eastAsia="仿宋_GB2312" w:cs="仿宋_GB2312"/>
          <w:color w:val="000000"/>
          <w:sz w:val="32"/>
          <w:szCs w:val="32"/>
        </w:rPr>
        <w:t>0万元.</w:t>
      </w:r>
    </w:p>
    <w:p>
      <w:pPr>
        <w:spacing w:line="600" w:lineRule="exact"/>
        <w:ind w:firstLine="64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2.公务用车购置及运行维护费支出</w:t>
      </w:r>
      <w:r>
        <w:rPr>
          <w:rFonts w:hint="eastAsia" w:ascii="仿宋_GB2312" w:hAnsi="仿宋_GB2312" w:eastAsia="仿宋_GB2312" w:cs="仿宋_GB2312"/>
          <w:color w:val="000000"/>
          <w:sz w:val="32"/>
          <w:szCs w:val="32"/>
        </w:rPr>
        <w:t>48.1万元,</w:t>
      </w:r>
      <w:r>
        <w:rPr>
          <w:rStyle w:val="15"/>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公务用车购置及运行维护费支出决算比2018年增加45.83万元，增长95.28%。主要原因是新购置一辆公务用车。</w:t>
      </w:r>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公务用车购置支出</w:t>
      </w:r>
      <w:r>
        <w:rPr>
          <w:rFonts w:hint="eastAsia" w:ascii="仿宋_GB2312" w:hAnsi="仿宋_GB2312" w:eastAsia="仿宋_GB2312" w:cs="仿宋_GB2312"/>
          <w:color w:val="000000"/>
          <w:sz w:val="32"/>
          <w:szCs w:val="32"/>
        </w:rPr>
        <w:t>43.23万元。全年按规定更新购置公务用车1辆，金额43.23元。截至2019年12月底，单位共有公务用车1辆，其中：特种专业技术用车1辆。</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color w:val="000000"/>
          <w:sz w:val="32"/>
          <w:szCs w:val="32"/>
        </w:rPr>
        <w:t>4.87万元。主要用于开展脱贫攻坚、安全生产、应急救援工作等所需的公务用车燃料费、维修费、过路过桥费、保险费等支出。</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3.公务接待费支出</w:t>
      </w:r>
      <w:r>
        <w:rPr>
          <w:rFonts w:hint="eastAsia" w:ascii="仿宋_GB2312" w:hAnsi="仿宋_GB2312" w:eastAsia="仿宋_GB2312" w:cs="仿宋_GB2312"/>
          <w:color w:val="000000"/>
          <w:sz w:val="32"/>
          <w:szCs w:val="32"/>
        </w:rPr>
        <w:t>0.64万元，</w:t>
      </w:r>
      <w:r>
        <w:rPr>
          <w:rStyle w:val="15"/>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公务接待费支出决算比2018年增加0.28万元，增长43.75%。主要原因是2019年3月我单位实行机构改革，发生人员变动，新增加参公人员1人，事业人员13人。其中：</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rPr>
        <w:t>0.64万元，务接待费支出决算比2018年增加0.28万元，增长43.75%。主要原因是2019年3月我单位实行机构改革，发生人员变动，新增加参公人员1人，事业人员13人。主要用于接待安全生产工作检查、应急救援工作开展(执行公务、开展业务活动开支的交通费、住宿费、用餐费等)，国内公务接待5批次，12人次（不包括陪同人员），共计支出0.64万元</w:t>
      </w:r>
      <w:bookmarkStart w:id="50" w:name="_Toc15396610"/>
      <w:bookmarkStart w:id="51" w:name="_Toc15377218"/>
      <w:r>
        <w:rPr>
          <w:rFonts w:hint="eastAsia" w:ascii="仿宋_GB2312" w:hAnsi="仿宋_GB2312" w:eastAsia="仿宋_GB2312" w:cs="仿宋_GB2312"/>
          <w:color w:val="000000"/>
          <w:sz w:val="32"/>
          <w:szCs w:val="32"/>
        </w:rPr>
        <w:t>。</w:t>
      </w:r>
    </w:p>
    <w:p>
      <w:pPr>
        <w:spacing w:line="600" w:lineRule="exact"/>
        <w:ind w:firstLine="64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50"/>
      <w:bookmarkEnd w:id="5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6"/>
          <w:rFonts w:ascii="黑体" w:hAnsi="黑体" w:eastAsia="黑体"/>
          <w:b w:val="0"/>
        </w:rPr>
      </w:pPr>
      <w:bookmarkStart w:id="52" w:name="_Toc15377219"/>
      <w:bookmarkStart w:id="53" w:name="_Toc15396611"/>
      <w:r>
        <w:rPr>
          <w:rStyle w:val="26"/>
          <w:rFonts w:hint="eastAsia" w:ascii="黑体" w:hAnsi="黑体" w:eastAsia="黑体"/>
          <w:b w:val="0"/>
        </w:rPr>
        <w:t>国有资本经营预算支出决算情况说明</w:t>
      </w:r>
      <w:bookmarkEnd w:id="52"/>
      <w:bookmarkEnd w:id="5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54" w:name="_Toc15396612"/>
      <w:bookmarkStart w:id="55" w:name="_Toc15377221"/>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54"/>
      <w:bookmarkEnd w:id="55"/>
    </w:p>
    <w:p>
      <w:pPr>
        <w:spacing w:line="600" w:lineRule="exact"/>
        <w:ind w:firstLine="643" w:firstLineChars="200"/>
        <w:outlineLvl w:val="2"/>
        <w:rPr>
          <w:rFonts w:ascii="仿宋" w:hAnsi="仿宋" w:eastAsia="仿宋"/>
          <w:color w:val="000000"/>
          <w:sz w:val="32"/>
          <w:szCs w:val="32"/>
        </w:rPr>
      </w:pPr>
      <w:bookmarkStart w:id="56" w:name="_Toc15377222"/>
      <w:r>
        <w:rPr>
          <w:rFonts w:hint="eastAsia" w:ascii="仿宋" w:hAnsi="仿宋" w:eastAsia="仿宋"/>
          <w:b/>
          <w:color w:val="000000"/>
          <w:sz w:val="32"/>
          <w:szCs w:val="32"/>
        </w:rPr>
        <w:t>（一）机关运行经费支出情况</w:t>
      </w:r>
      <w:bookmarkEnd w:id="56"/>
    </w:p>
    <w:p>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9年，行政单位机关运行经费支出24.98万元，比</w:t>
      </w:r>
      <w:r>
        <w:rPr>
          <w:rFonts w:ascii="仿宋_GB2312" w:eastAsia="仿宋_GB2312"/>
          <w:color w:val="000000"/>
          <w:sz w:val="32"/>
          <w:szCs w:val="32"/>
        </w:rPr>
        <w:t>201</w:t>
      </w:r>
      <w:r>
        <w:rPr>
          <w:rFonts w:hint="eastAsia" w:ascii="仿宋_GB2312" w:eastAsia="仿宋_GB2312"/>
          <w:color w:val="000000"/>
          <w:sz w:val="32"/>
          <w:szCs w:val="32"/>
        </w:rPr>
        <w:t>8年增加1.27万元，增长5.08</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主要原因是机构改革人员新增机关运行经费支出增加。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7" w:name="_Toc15377223"/>
      <w:r>
        <w:rPr>
          <w:rFonts w:hint="eastAsia" w:ascii="仿宋" w:hAnsi="仿宋" w:eastAsia="仿宋"/>
          <w:b/>
          <w:color w:val="000000"/>
          <w:sz w:val="32"/>
          <w:szCs w:val="32"/>
        </w:rPr>
        <w:t>（二）政府采购支出情况</w:t>
      </w:r>
      <w:bookmarkEnd w:id="5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9年，应急管理局政府采购支出总额53.38万元，其中：政府采购货物支出53.38万元。主要用于采购办公设备等。授予中小企业合同金额53.38万元，占政府采购支出总额的100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，其中：授予小微企业合同金额13.58万元，占政府采购支出总额的25.44</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8" w:name="_Toc15377224"/>
      <w:r>
        <w:rPr>
          <w:rFonts w:hint="eastAsia" w:ascii="仿宋" w:hAnsi="仿宋" w:eastAsia="仿宋"/>
          <w:b/>
          <w:color w:val="000000"/>
          <w:sz w:val="32"/>
          <w:szCs w:val="32"/>
        </w:rPr>
        <w:t>（三）国有资产占有使用情况</w:t>
      </w:r>
      <w:bookmarkEnd w:id="58"/>
    </w:p>
    <w:p>
      <w:pPr>
        <w:autoSpaceDE w:val="0"/>
        <w:autoSpaceDN w:val="0"/>
        <w:adjustRightInd w:val="0"/>
        <w:spacing w:line="60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日，应急管理局共有车辆1辆，其中：特种专业技术用车1辆。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ascii="仿宋_GB2312" w:eastAsia="仿宋_GB2312"/>
          <w:color w:val="000000"/>
          <w:sz w:val="32"/>
          <w:szCs w:val="32"/>
        </w:rPr>
      </w:pPr>
    </w:p>
    <w:p>
      <w:pPr>
        <w:autoSpaceDE w:val="0"/>
        <w:autoSpaceDN w:val="0"/>
        <w:adjustRightInd w:val="0"/>
        <w:spacing w:line="600" w:lineRule="exact"/>
        <w:ind w:firstLine="640" w:firstLineChars="200"/>
        <w:jc w:val="left"/>
        <w:rPr>
          <w:rFonts w:hint="eastAsia" w:ascii="仿宋_GB2312" w:eastAsia="仿宋_GB2312"/>
          <w:color w:val="000000"/>
          <w:sz w:val="32"/>
          <w:szCs w:val="32"/>
        </w:rPr>
      </w:pPr>
    </w:p>
    <w:p>
      <w:pPr>
        <w:keepNext w:val="0"/>
        <w:keepLines w:val="0"/>
        <w:pageBreakBefore w:val="0"/>
        <w:widowControl w:val="0"/>
        <w:numPr>
          <w:ilvl w:val="0"/>
          <w:numId w:val="4"/>
        </w:numPr>
        <w:kinsoku/>
        <w:wordWrap/>
        <w:overflowPunct/>
        <w:topLinePunct w:val="0"/>
        <w:bidi w:val="0"/>
        <w:snapToGrid/>
        <w:spacing w:line="540" w:lineRule="exact"/>
        <w:ind w:firstLine="660" w:firstLineChars="150"/>
        <w:jc w:val="center"/>
        <w:textAlignment w:val="auto"/>
        <w:outlineLvl w:val="0"/>
        <w:rPr>
          <w:rStyle w:val="25"/>
          <w:rFonts w:ascii="黑体" w:hAnsi="黑体" w:eastAsia="黑体"/>
          <w:b w:val="0"/>
        </w:rPr>
      </w:pPr>
      <w:bookmarkStart w:id="59" w:name="_Toc15377225"/>
      <w:bookmarkStart w:id="60" w:name="_Toc15396613"/>
      <w:r>
        <w:rPr>
          <w:rFonts w:hint="eastAsia" w:ascii="黑体" w:hAnsi="黑体" w:eastAsia="黑体"/>
          <w:color w:val="000000"/>
          <w:sz w:val="44"/>
          <w:szCs w:val="44"/>
        </w:rPr>
        <w:t>名</w:t>
      </w:r>
      <w:r>
        <w:rPr>
          <w:rStyle w:val="25"/>
          <w:rFonts w:hint="eastAsia" w:ascii="黑体" w:hAnsi="黑体" w:eastAsia="黑体"/>
          <w:b w:val="0"/>
        </w:rPr>
        <w:t>词解释</w:t>
      </w:r>
      <w:bookmarkEnd w:id="59"/>
      <w:bookmarkEnd w:id="60"/>
    </w:p>
    <w:p>
      <w:pPr>
        <w:keepNext w:val="0"/>
        <w:keepLines w:val="0"/>
        <w:pageBreakBefore w:val="0"/>
        <w:widowControl w:val="0"/>
        <w:kinsoku/>
        <w:wordWrap/>
        <w:overflowPunct/>
        <w:topLinePunct w:val="0"/>
        <w:bidi w:val="0"/>
        <w:snapToGrid/>
        <w:spacing w:line="540" w:lineRule="exact"/>
        <w:jc w:val="left"/>
        <w:textAlignment w:val="auto"/>
        <w:rPr>
          <w:rFonts w:ascii="宋体"/>
          <w:b/>
          <w:color w:val="000000"/>
          <w:sz w:val="44"/>
          <w:szCs w:val="44"/>
        </w:rPr>
      </w:pPr>
    </w:p>
    <w:p>
      <w:pPr>
        <w:pStyle w:val="23"/>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4、年末结转和结余：指单位按有关规定结转到下年或以后年度继续使用的资金。</w:t>
      </w:r>
    </w:p>
    <w:p>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ascii="仿宋_GB2312" w:eastAsia="仿宋_GB2312"/>
          <w:color w:val="000000"/>
          <w:sz w:val="32"/>
          <w:szCs w:val="32"/>
        </w:rPr>
        <w:t>5.</w:t>
      </w:r>
      <w:r>
        <w:rPr>
          <w:rFonts w:hint="eastAsia" w:ascii="仿宋_GB2312" w:eastAsia="仿宋_GB2312"/>
          <w:color w:val="000000"/>
          <w:sz w:val="32"/>
          <w:szCs w:val="32"/>
        </w:rPr>
        <w:t>社会保障和就业-机关事业单位基本养老保险：指单位为职工缴纳的基本养老保险费。由单位代扣的工作人员基本养老保险缴费不在此科目反映。</w:t>
      </w:r>
    </w:p>
    <w:p>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6.社会保障和就业-职业年金缴费：指单位为职工实际缴纳的职业年金（含职业年金补给支出）。由单位代扣的工作人员职业年金，不在此科目反应。</w:t>
      </w:r>
    </w:p>
    <w:p>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eastAsia="仿宋_GB2312"/>
          <w:color w:val="000000"/>
          <w:sz w:val="32"/>
          <w:szCs w:val="32"/>
        </w:rPr>
        <w:t>医疗卫生与计划生育-职工基本医疗保险缴费：指单位为职工缴纳的基本医疗保险费。</w:t>
      </w:r>
    </w:p>
    <w:p>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医疗卫生与计划生育-公务员医疗补助缴费：指按规定可享受公务员医疗补助单位为职工缴纳的公务员医疗补助费。</w:t>
      </w:r>
    </w:p>
    <w:p>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7</w:t>
      </w:r>
      <w:r>
        <w:rPr>
          <w:rFonts w:ascii="仿宋_GB2312" w:eastAsia="仿宋_GB2312"/>
          <w:color w:val="000000"/>
          <w:sz w:val="32"/>
          <w:szCs w:val="32"/>
        </w:rPr>
        <w:t>.</w:t>
      </w:r>
      <w:r>
        <w:rPr>
          <w:rFonts w:hint="eastAsia" w:ascii="仿宋_GB2312" w:eastAsia="仿宋_GB2312"/>
          <w:color w:val="000000"/>
          <w:sz w:val="32"/>
          <w:szCs w:val="32"/>
        </w:rPr>
        <w:t>资源勘探信息等支出-安全生产监管-行政运行：指政府对资源勘探信息等事务支出，包括资源勘探业、制造业、建筑业、工业和信息产业监管、安全生产监管、国有资产监管及支持中小企业发展和管理等方面支出。</w:t>
      </w:r>
    </w:p>
    <w:p>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住房保障-住房公积金：指单位按规定为职工缴纳的住房基金。</w:t>
      </w:r>
    </w:p>
    <w:p>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9.灾害防治及应急管理支出：反映政府用于自然灾害防治、安全生产监管及应急管理等方面的支出。</w:t>
      </w:r>
    </w:p>
    <w:p>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 w:hAnsi="仿宋" w:eastAsia="仿宋"/>
          <w:b/>
          <w:color w:val="000000"/>
          <w:sz w:val="32"/>
          <w:szCs w:val="32"/>
        </w:rPr>
      </w:pPr>
      <w:r>
        <w:rPr>
          <w:rFonts w:hint="eastAsia" w:ascii="仿宋_GB2312" w:eastAsia="仿宋_GB2312"/>
          <w:color w:val="000000"/>
          <w:sz w:val="32"/>
          <w:szCs w:val="32"/>
        </w:rPr>
        <w:t>10.国防支出：反映政府用于国防方面的支出。</w:t>
      </w:r>
    </w:p>
    <w:p>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keepNext w:val="0"/>
        <w:keepLines w:val="0"/>
        <w:pageBreakBefore w:val="0"/>
        <w:widowControl w:val="0"/>
        <w:kinsoku/>
        <w:wordWrap/>
        <w:overflowPunct/>
        <w:topLinePunct w:val="0"/>
        <w:bidi w:val="0"/>
        <w:snapToGrid/>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spacing w:line="560" w:lineRule="exact"/>
        <w:jc w:val="center"/>
        <w:textAlignment w:val="auto"/>
        <w:outlineLvl w:val="0"/>
        <w:rPr>
          <w:rStyle w:val="25"/>
          <w:rFonts w:ascii="黑体" w:hAnsi="黑体" w:eastAsia="黑体"/>
          <w:b w:val="0"/>
        </w:rPr>
      </w:pPr>
      <w:bookmarkStart w:id="61" w:name="_Toc15396614"/>
      <w:bookmarkStart w:id="62" w:name="_Toc15377226"/>
      <w:r>
        <w:rPr>
          <w:rFonts w:hint="eastAsia" w:ascii="黑体" w:hAnsi="黑体" w:eastAsia="黑体"/>
          <w:color w:val="000000"/>
          <w:sz w:val="44"/>
          <w:szCs w:val="44"/>
        </w:rPr>
        <w:t>第</w:t>
      </w:r>
      <w:r>
        <w:rPr>
          <w:rStyle w:val="25"/>
          <w:rFonts w:hint="eastAsia" w:ascii="黑体" w:hAnsi="黑体" w:eastAsia="黑体"/>
          <w:b w:val="0"/>
        </w:rPr>
        <w:t>四部分 附件</w:t>
      </w:r>
      <w:bookmarkEnd w:id="61"/>
    </w:p>
    <w:p>
      <w:pPr>
        <w:keepNext w:val="0"/>
        <w:keepLines w:val="0"/>
        <w:pageBreakBefore w:val="0"/>
        <w:widowControl w:val="0"/>
        <w:kinsoku/>
        <w:wordWrap/>
        <w:overflowPunct/>
        <w:topLinePunct w:val="0"/>
        <w:autoSpaceDE/>
        <w:autoSpaceDN/>
        <w:bidi w:val="0"/>
        <w:spacing w:line="560" w:lineRule="exact"/>
        <w:jc w:val="left"/>
        <w:textAlignment w:val="auto"/>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keepNext w:val="0"/>
        <w:keepLines w:val="0"/>
        <w:pageBreakBefore w:val="0"/>
        <w:widowControl w:val="0"/>
        <w:kinsoku/>
        <w:wordWrap/>
        <w:overflowPunct/>
        <w:topLinePunct w:val="0"/>
        <w:autoSpaceDE/>
        <w:autoSpaceDN/>
        <w:bidi w:val="0"/>
        <w:spacing w:line="560" w:lineRule="exact"/>
        <w:jc w:val="center"/>
        <w:textAlignment w:val="auto"/>
        <w:rPr>
          <w:rFonts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spacing w:line="560" w:lineRule="exact"/>
        <w:jc w:val="center"/>
        <w:textAlignment w:val="auto"/>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红原县应急管理局</w:t>
      </w:r>
      <w:r>
        <w:rPr>
          <w:rFonts w:hint="eastAsia" w:ascii="方正小标宋简体" w:hAnsi="宋体" w:eastAsia="方正小标宋简体"/>
          <w:color w:val="000000"/>
          <w:kern w:val="0"/>
          <w:sz w:val="40"/>
          <w:szCs w:val="44"/>
          <w:lang w:val="zh-CN"/>
        </w:rPr>
        <w:t>部门</w:t>
      </w: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keepNext w:val="0"/>
        <w:keepLines w:val="0"/>
        <w:pageBreakBefore w:val="0"/>
        <w:widowControl w:val="0"/>
        <w:kinsoku/>
        <w:wordWrap/>
        <w:overflowPunct/>
        <w:topLinePunct w:val="0"/>
        <w:autoSpaceDE/>
        <w:autoSpaceDN/>
        <w:bidi w:val="0"/>
        <w:spacing w:line="560" w:lineRule="exact"/>
        <w:ind w:firstLine="640" w:firstLineChars="200"/>
        <w:contextualSpacing/>
        <w:jc w:val="center"/>
        <w:textAlignment w:val="auto"/>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200"/>
        <w:contextualSpacing/>
        <w:jc w:val="left"/>
        <w:textAlignment w:val="auto"/>
        <w:rPr>
          <w:rFonts w:ascii="黑体" w:hAnsi="宋体" w:eastAsia="黑体" w:cs="宋体"/>
          <w:color w:val="000000"/>
          <w:kern w:val="0"/>
          <w:sz w:val="24"/>
          <w:szCs w:val="32"/>
          <w:shd w:val="clear" w:color="auto" w:fill="FFFFFF"/>
        </w:rPr>
      </w:pP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县应急管理局下属二级单位</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个，事业单位</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县应急管理局本局内设机构：办公室、应急综合管理股、安全生产综合股、综合统计与物资保障股。下属应急管理保障中心、安全生产综合行政执法大队、政府专职消防大队、森林草原防火救援中心四个事业单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firstLine="960" w:firstLineChars="30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1、县应急局贯彻落实党中央关于应急工作的方针政策和省委、州委、县委的决策部署，在履行职责过程中坚持和加强党对应急工作的集中统一领导。</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2、负责应急管理工作，组织和指导各乡（镇）、各部门（单位）应对安全生产类、自然灾害类等突发事件和综合防灾减灾救灾工作。负责安全生产综合监督管理和工矿商贸行业安全生产监督管理工作。</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3、拟订应急管理、安全生产等规范性文件，组织编制应急体系建设、安全生产综合防灾减灾救灾规划。</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4、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  5、按照国家、省、州相关政策和规定负责消防、森林和草原火灾扑救、抗洪抢险、地震和地质灾害救援、生产安全事故救援等专业应急救援力量建设，依法依规统筹指导各乡（镇）及社会应急救援力量和应急保障能力建设。</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6、负责组织、协调灾害救助工作，组织和指导灾情核查、损失评估、救灾捐赠工作，管理、分配中央、省、州下拨及县级救灾款物并监督使用。</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7、依法承担县政府安全生产综合监督管理责任，指导协调、监督检查县有关部门和各乡（镇）政府安全生产工作，组织开展安全生产巡查、督查、考核工作。</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8、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安全监督管理综合工作和烟花爆竹安全生产监督管理工作。</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9、负责应急管理、安全生产宣传教育和培训工作，组织和指导应急管理、安全生产的科学技术推广应用和信息化建设工作。</w:t>
      </w:r>
    </w:p>
    <w:p>
      <w:pPr>
        <w:pStyle w:val="5"/>
        <w:keepNext w:val="0"/>
        <w:keepLines w:val="0"/>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Cs/>
          <w:color w:val="000000"/>
          <w:sz w:val="32"/>
          <w:szCs w:val="32"/>
        </w:rPr>
        <w:t xml:space="preserve"> 10、完成县委、县政府交办的其他任务。</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县应急管理局行政编制7名，其中：局长1名，副局长2名，股级领导职数4名；机关工勤编制1名。参公编制10名，在编在职5名。事业编制18名，在编在职15名。共计36名编制，在编在职28名。</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（一）部门财政资金收入情况。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1"/>
        <w:rPr>
          <w:rFonts w:hint="eastAsia" w:ascii="仿宋_GB2312" w:hAnsi="仿宋_GB2312" w:eastAsia="仿宋_GB2312" w:cs="仿宋_GB2312"/>
          <w:color w:val="000000"/>
          <w:kern w:val="0"/>
          <w:sz w:val="32"/>
          <w:szCs w:val="32"/>
          <w:shd w:val="clear" w:color="auto" w:fill="FFFFFF"/>
          <w:lang w:val="zh-CN" w:eastAsia="zh-CN"/>
        </w:rPr>
      </w:pPr>
      <w:r>
        <w:rPr>
          <w:rFonts w:hint="eastAsia" w:ascii="仿宋_GB2312" w:hAnsi="仿宋_GB2312" w:eastAsia="仿宋_GB2312" w:cs="仿宋_GB2312"/>
          <w:color w:val="000000"/>
          <w:sz w:val="32"/>
          <w:szCs w:val="32"/>
        </w:rPr>
        <w:t>2019年本年收入合计397.61万元，其中：一般公共预算财政拨款收入397.61万元，占100%</w:t>
      </w:r>
      <w:r>
        <w:rPr>
          <w:rFonts w:hint="eastAsia" w:ascii="仿宋_GB2312" w:hAnsi="仿宋_GB2312" w:eastAsia="仿宋_GB2312" w:cs="仿宋_GB2312"/>
          <w:color w:val="000000"/>
          <w:sz w:val="32"/>
          <w:szCs w:val="32"/>
          <w:lang w:eastAsia="zh-CN"/>
        </w:rPr>
        <w:t>。</w:t>
      </w:r>
    </w:p>
    <w:p>
      <w:pPr>
        <w:keepNext w:val="0"/>
        <w:keepLines w:val="0"/>
        <w:pageBreakBefore w:val="0"/>
        <w:widowControl w:val="0"/>
        <w:numPr>
          <w:ilvl w:val="0"/>
          <w:numId w:val="5"/>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部门财政资金支出情况。</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1"/>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sz w:val="32"/>
          <w:szCs w:val="32"/>
        </w:rPr>
        <w:t>2019年本年支出合计484.4万元，其中：基本支出364.06万元，占75.16%；项目支出120.34万元，占24.84%。</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（一）部门预算管理。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预算编制工作严格遵循合法性、真实性、完整性、重点性、绩效性，及时清理，准确反映结余结转资金，严格执行结余结转资金的管理规定。按规定及时公示了部门预算。</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决算编审工作中严格按照“真实、准确、完整、及时”的要求，正确理解和掌握决算报表的口径和相关指标，部门决算报表的内容涵盖单位的全部收支，做到了数据真实，计算准确，内容完整。按规定及时公示了部门决算。</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kern w:val="0"/>
          <w:sz w:val="32"/>
          <w:szCs w:val="32"/>
          <w:shd w:val="clear" w:color="auto" w:fill="FFFFFF"/>
          <w:lang w:val="zh-CN"/>
        </w:rPr>
        <w:t>（二）结果应用情况。</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基本支出严格按部门预算均衡执行，机关厉行节约，严格实行会议、公务接待和出差审批制度，会议费、车辆运行费用明显下降，公务接待经费有所增加。项目资金管理严格执行财政专项资金使用管理规定，做到了专款专用，及时保障了项目实施顺利推进。“三公”经费支出情况：</w:t>
      </w:r>
      <w:r>
        <w:rPr>
          <w:rFonts w:hint="eastAsia" w:ascii="仿宋_GB2312" w:hAnsi="仿宋_GB2312" w:eastAsia="仿宋_GB2312" w:cs="仿宋_GB2312"/>
          <w:color w:val="000000" w:themeColor="text1"/>
          <w:sz w:val="32"/>
          <w:szCs w:val="32"/>
          <w14:textFill>
            <w14:solidFill>
              <w14:schemeClr w14:val="tx1"/>
            </w14:solidFill>
          </w14:textFill>
        </w:rPr>
        <w:br w:type="textWrapping"/>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1.因公出国（境）经费支出0万元.</w:t>
      </w:r>
    </w:p>
    <w:p>
      <w:pPr>
        <w:keepNext w:val="0"/>
        <w:keepLines w:val="0"/>
        <w:pageBreakBefore w:val="0"/>
        <w:widowControl w:val="0"/>
        <w:kinsoku/>
        <w:wordWrap/>
        <w:overflowPunct/>
        <w:topLinePunct w:val="0"/>
        <w:autoSpaceDE/>
        <w:autoSpaceDN/>
        <w:bidi w:val="0"/>
        <w:adjustRightInd w:val="0"/>
        <w:snapToGrid w:val="0"/>
        <w:spacing w:line="560" w:lineRule="exact"/>
        <w:ind w:firstLine="320" w:firstLineChars="100"/>
        <w:contextualSpacing/>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2.公务用车购置及运行维护费支出48.1万元,完成预算100%。公务用车购置及运行维护费支出决算比2018年增加45.83万元，增长95.28%。主要原因是新购置一辆公务用车。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其中：公务用车购置支出43.23万元。全年按规定更新购置公务用车1辆，金额43.23元。截至2019年12月底，单位共有公务用车1辆，其中：特种专业技术用车1辆。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公务用车运行维护费支出4.87万元。主要用于开展脱贫攻坚、安全生产、应急救援工作等所需的公务用车燃料费、维修费、过路过桥费、保险费等支出。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3.公务接待费支出0.64万元，完成预算100%。公务接待费支出决算比2018年增加0.28万元，增长43.75%。主要原因是2019年3月我单位实行机构改革，发生人员变动，新增加参公人员1人，事业人员13人。其中：</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国内公务接待支出0.64万元，主要用于接待安全生产工作检查、应急救援工作开展(执行公务、开展业务活动开支的交通费、住宿费、用餐费等)，国内公务接待5批次，12人次（不包括陪同人员），共计支出0.64万元。</w:t>
      </w:r>
    </w:p>
    <w:p>
      <w:pPr>
        <w:keepNext w:val="0"/>
        <w:keepLines w:val="0"/>
        <w:pageBreakBefore w:val="0"/>
        <w:widowControl w:val="0"/>
        <w:kinsoku/>
        <w:wordWrap/>
        <w:overflowPunct/>
        <w:topLinePunct w:val="0"/>
        <w:autoSpaceDE/>
        <w:autoSpaceDN/>
        <w:bidi w:val="0"/>
        <w:adjustRightInd w:val="0"/>
        <w:snapToGrid w:val="0"/>
        <w:spacing w:line="560" w:lineRule="exact"/>
        <w:contextualSpacing/>
        <w:jc w:val="left"/>
        <w:textAlignment w:val="auto"/>
        <w:rPr>
          <w:rFonts w:ascii="黑体" w:hAnsi="宋体" w:eastAsia="黑体" w:cs="宋体"/>
          <w:color w:val="000000"/>
          <w:kern w:val="0"/>
          <w:sz w:val="32"/>
          <w:szCs w:val="32"/>
          <w:shd w:val="clear" w:color="auto" w:fill="FFFFFF"/>
        </w:rPr>
      </w:pP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黑体" w:hAnsi="宋体" w:eastAsia="黑体" w:cs="宋体"/>
          <w:color w:val="000000"/>
          <w:kern w:val="0"/>
          <w:sz w:val="32"/>
          <w:szCs w:val="32"/>
          <w:shd w:val="clear" w:color="auto" w:fill="FFFFFF"/>
        </w:rPr>
        <w:t>四、评价结论及建议</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shd w:val="clear" w:color="auto" w:fill="FFFFFF"/>
        </w:rPr>
        <w:t>红原县</w:t>
      </w:r>
      <w:r>
        <w:rPr>
          <w:rFonts w:hint="eastAsia" w:ascii="仿宋_GB2312" w:hAnsi="仿宋_GB2312" w:eastAsia="仿宋_GB2312" w:cs="仿宋_GB2312"/>
          <w:sz w:val="32"/>
          <w:szCs w:val="32"/>
          <w:shd w:val="clear" w:color="auto" w:fill="FFFFFF"/>
          <w:lang w:val="en-US" w:eastAsia="zh-CN"/>
        </w:rPr>
        <w:t>应急管理局</w:t>
      </w:r>
      <w:r>
        <w:rPr>
          <w:rFonts w:hint="eastAsia" w:ascii="仿宋_GB2312" w:hAnsi="仿宋_GB2312" w:eastAsia="仿宋_GB2312" w:cs="仿宋_GB2312"/>
          <w:sz w:val="32"/>
          <w:szCs w:val="32"/>
          <w:shd w:val="clear" w:color="auto" w:fill="FFFFFF"/>
        </w:rPr>
        <w:t>自评201</w:t>
      </w:r>
      <w:r>
        <w:rPr>
          <w:rFonts w:hint="eastAsia" w:ascii="仿宋_GB2312" w:hAnsi="仿宋_GB2312" w:eastAsia="仿宋_GB2312" w:cs="仿宋_GB2312"/>
          <w:sz w:val="32"/>
          <w:szCs w:val="32"/>
          <w:shd w:val="clear" w:color="auto" w:fill="FFFFFF"/>
          <w:lang w:val="en-US" w:eastAsia="zh-CN"/>
        </w:rPr>
        <w:t>9</w:t>
      </w:r>
      <w:r>
        <w:rPr>
          <w:rFonts w:hint="eastAsia" w:ascii="仿宋_GB2312" w:hAnsi="仿宋_GB2312" w:eastAsia="仿宋_GB2312" w:cs="仿宋_GB2312"/>
          <w:sz w:val="32"/>
          <w:szCs w:val="32"/>
          <w:shd w:val="clear" w:color="auto" w:fill="FFFFFF"/>
        </w:rPr>
        <w:t>部门预算支出绩效综合自评得分为97分。</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（二）存在问题。</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rPr>
        <w:t>从我局201</w:t>
      </w:r>
      <w:r>
        <w:rPr>
          <w:rFonts w:hint="eastAsia" w:ascii="仿宋_GB2312" w:eastAsia="仿宋_GB2312"/>
          <w:sz w:val="32"/>
          <w:szCs w:val="32"/>
          <w:lang w:val="en-US" w:eastAsia="zh-CN"/>
        </w:rPr>
        <w:t>9</w:t>
      </w:r>
      <w:r>
        <w:rPr>
          <w:rFonts w:hint="eastAsia" w:ascii="仿宋_GB2312" w:eastAsia="仿宋_GB2312"/>
          <w:sz w:val="32"/>
          <w:szCs w:val="32"/>
        </w:rPr>
        <w:t>年度部门整体预算收支各指标完成情况看,目前在部门整体预算编制、执行和管理过程中,还存在一些问题和不足: 由于我局</w:t>
      </w:r>
      <w:r>
        <w:rPr>
          <w:rFonts w:hint="eastAsia" w:ascii="仿宋_GB2312" w:eastAsia="仿宋_GB2312"/>
          <w:sz w:val="32"/>
          <w:szCs w:val="32"/>
          <w:lang w:val="en-US" w:eastAsia="zh-CN"/>
        </w:rPr>
        <w:t>项目较少，缺少专业人士，</w:t>
      </w:r>
      <w:r>
        <w:rPr>
          <w:rFonts w:hint="eastAsia" w:ascii="仿宋_GB2312" w:eastAsia="仿宋_GB2312"/>
          <w:sz w:val="32"/>
          <w:szCs w:val="32"/>
        </w:rPr>
        <w:t>部门整体预算编制、执行和管理质量</w:t>
      </w:r>
      <w:r>
        <w:rPr>
          <w:rFonts w:hint="eastAsia" w:ascii="仿宋_GB2312" w:eastAsia="仿宋_GB2312"/>
          <w:sz w:val="32"/>
          <w:szCs w:val="32"/>
          <w:lang w:val="en-US" w:eastAsia="zh-CN"/>
        </w:rPr>
        <w:t>有待进一步加强</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jc w:val="left"/>
        <w:textAlignment w:val="auto"/>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xml:space="preserve">1、进一步规范资金的管理和使用，加强财务管理，严格财务审核，提高财务的精细化管理。  </w:t>
      </w:r>
    </w:p>
    <w:p>
      <w:pPr>
        <w:keepNext w:val="0"/>
        <w:keepLines w:val="0"/>
        <w:pageBreakBefore w:val="0"/>
        <w:widowControl w:val="0"/>
        <w:kinsoku/>
        <w:wordWrap/>
        <w:overflowPunct/>
        <w:topLinePunct w:val="0"/>
        <w:autoSpaceDE/>
        <w:autoSpaceDN/>
        <w:bidi w:val="0"/>
        <w:spacing w:line="560" w:lineRule="exact"/>
        <w:ind w:firstLine="640" w:firstLineChars="200"/>
        <w:jc w:val="left"/>
        <w:textAlignment w:val="auto"/>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xml:space="preserve"> 2、建议财政部门切实加大对预算单位的支出绩效评价业务培训和工作指导力度，以全面提升我县预算支出绩效整体水平。</w:t>
      </w:r>
      <w:r>
        <w:rPr>
          <w:rStyle w:val="32"/>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 </w:t>
      </w: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spacing w:line="580" w:lineRule="exact"/>
        <w:rPr>
          <w:rFonts w:ascii="仿宋_GB2312" w:hAnsi="仿宋_GB2312" w:eastAsia="仿宋_GB2312" w:cs="仿宋_GB2312"/>
          <w:sz w:val="32"/>
          <w:szCs w:val="32"/>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bookmarkStart w:id="63"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62"/>
      <w:bookmarkEnd w:id="63"/>
    </w:p>
    <w:p>
      <w:pPr>
        <w:spacing w:line="600" w:lineRule="exact"/>
        <w:jc w:val="center"/>
        <w:outlineLvl w:val="0"/>
        <w:rPr>
          <w:rFonts w:ascii="仿宋" w:hAnsi="仿宋" w:eastAsia="仿宋"/>
          <w:b/>
          <w:color w:val="000000"/>
          <w:sz w:val="44"/>
          <w:szCs w:val="44"/>
        </w:rPr>
      </w:pPr>
    </w:p>
    <w:p>
      <w:pPr>
        <w:pStyle w:val="3"/>
        <w:rPr>
          <w:rFonts w:hint="eastAsia" w:ascii="仿宋_GB2312" w:hAnsi="仿宋_GB2312" w:eastAsia="仿宋_GB2312" w:cs="仿宋_GB2312"/>
          <w:color w:val="000000"/>
        </w:rPr>
      </w:pPr>
      <w:bookmarkStart w:id="64" w:name="_Toc15396619"/>
      <w:r>
        <w:rPr>
          <w:rFonts w:hint="eastAsia" w:ascii="仿宋_GB2312" w:hAnsi="仿宋_GB2312" w:eastAsia="仿宋_GB2312" w:cs="仿宋_GB2312"/>
          <w:b w:val="0"/>
          <w:color w:val="000000"/>
        </w:rPr>
        <w:t>一、收</w:t>
      </w:r>
      <w:r>
        <w:rPr>
          <w:rStyle w:val="26"/>
          <w:rFonts w:hint="eastAsia" w:ascii="仿宋_GB2312" w:hAnsi="仿宋_GB2312" w:eastAsia="仿宋_GB2312" w:cs="仿宋_GB2312"/>
          <w:b w:val="0"/>
          <w:bCs w:val="0"/>
        </w:rPr>
        <w:t>入支出决算总表</w:t>
      </w:r>
      <w:bookmarkEnd w:id="64"/>
    </w:p>
    <w:p>
      <w:pPr>
        <w:pStyle w:val="3"/>
        <w:rPr>
          <w:rFonts w:hint="eastAsia" w:ascii="仿宋_GB2312" w:hAnsi="仿宋_GB2312" w:eastAsia="仿宋_GB2312" w:cs="仿宋_GB2312"/>
          <w:color w:val="000000"/>
        </w:rPr>
      </w:pPr>
      <w:bookmarkStart w:id="65" w:name="_Toc15396620"/>
      <w:r>
        <w:rPr>
          <w:rFonts w:hint="eastAsia" w:ascii="仿宋_GB2312" w:hAnsi="仿宋_GB2312" w:eastAsia="仿宋_GB2312" w:cs="仿宋_GB2312"/>
          <w:b w:val="0"/>
          <w:color w:val="000000"/>
        </w:rPr>
        <w:t>二、收</w:t>
      </w:r>
      <w:r>
        <w:rPr>
          <w:rStyle w:val="26"/>
          <w:rFonts w:hint="eastAsia" w:ascii="仿宋_GB2312" w:hAnsi="仿宋_GB2312" w:eastAsia="仿宋_GB2312" w:cs="仿宋_GB2312"/>
          <w:b w:val="0"/>
          <w:bCs w:val="0"/>
        </w:rPr>
        <w:t>入决算表</w:t>
      </w:r>
      <w:bookmarkEnd w:id="65"/>
    </w:p>
    <w:p>
      <w:pPr>
        <w:pStyle w:val="3"/>
        <w:rPr>
          <w:rFonts w:hint="eastAsia" w:ascii="仿宋_GB2312" w:hAnsi="仿宋_GB2312" w:eastAsia="仿宋_GB2312" w:cs="仿宋_GB2312"/>
          <w:color w:val="000000"/>
        </w:rPr>
      </w:pPr>
      <w:bookmarkStart w:id="66" w:name="_Toc15396621"/>
      <w:r>
        <w:rPr>
          <w:rStyle w:val="26"/>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6"/>
          <w:rFonts w:hint="eastAsia" w:ascii="仿宋_GB2312" w:hAnsi="仿宋_GB2312" w:eastAsia="仿宋_GB2312" w:cs="仿宋_GB2312"/>
          <w:b w:val="0"/>
          <w:bCs w:val="0"/>
        </w:rPr>
        <w:t>出决算表</w:t>
      </w:r>
      <w:bookmarkEnd w:id="66"/>
    </w:p>
    <w:p>
      <w:pPr>
        <w:pStyle w:val="3"/>
        <w:rPr>
          <w:rFonts w:hint="eastAsia" w:ascii="仿宋_GB2312" w:hAnsi="仿宋_GB2312" w:eastAsia="仿宋_GB2312" w:cs="仿宋_GB2312"/>
          <w:b w:val="0"/>
          <w:color w:val="000000"/>
        </w:rPr>
      </w:pPr>
      <w:bookmarkStart w:id="67" w:name="_Toc15396622"/>
      <w:r>
        <w:rPr>
          <w:rStyle w:val="26"/>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6"/>
          <w:rFonts w:hint="eastAsia" w:ascii="仿宋_GB2312" w:hAnsi="仿宋_GB2312" w:eastAsia="仿宋_GB2312" w:cs="仿宋_GB2312"/>
          <w:b w:val="0"/>
          <w:bCs w:val="0"/>
        </w:rPr>
        <w:t>政拨款收入支出决算总表</w:t>
      </w:r>
      <w:bookmarkEnd w:id="67"/>
    </w:p>
    <w:p>
      <w:pPr>
        <w:pStyle w:val="3"/>
        <w:rPr>
          <w:rStyle w:val="26"/>
          <w:rFonts w:hint="eastAsia" w:ascii="仿宋_GB2312" w:hAnsi="仿宋_GB2312" w:eastAsia="仿宋_GB2312" w:cs="仿宋_GB2312"/>
          <w:b w:val="0"/>
          <w:bCs w:val="0"/>
        </w:rPr>
      </w:pPr>
      <w:bookmarkStart w:id="68" w:name="_Toc15396623"/>
      <w:r>
        <w:rPr>
          <w:rStyle w:val="26"/>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6"/>
          <w:rFonts w:hint="eastAsia" w:ascii="仿宋_GB2312" w:hAnsi="仿宋_GB2312" w:eastAsia="仿宋_GB2312" w:cs="仿宋_GB2312"/>
          <w:b w:val="0"/>
          <w:bCs w:val="0"/>
        </w:rPr>
        <w:t>政拨款支出决算明细表</w:t>
      </w:r>
      <w:bookmarkEnd w:id="68"/>
      <w:bookmarkStart w:id="69" w:name="_Toc15396624"/>
    </w:p>
    <w:p>
      <w:pPr>
        <w:pStyle w:val="3"/>
        <w:rPr>
          <w:rFonts w:hint="eastAsia" w:ascii="仿宋_GB2312" w:hAnsi="仿宋_GB2312" w:eastAsia="仿宋_GB2312" w:cs="仿宋_GB2312"/>
          <w:color w:val="000000"/>
        </w:rPr>
      </w:pPr>
      <w:r>
        <w:rPr>
          <w:rStyle w:val="26"/>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般公共预算财政拨款支出决算表</w:t>
      </w:r>
      <w:bookmarkEnd w:id="69"/>
    </w:p>
    <w:p>
      <w:pPr>
        <w:pStyle w:val="3"/>
        <w:rPr>
          <w:rFonts w:hint="eastAsia" w:ascii="仿宋_GB2312" w:hAnsi="仿宋_GB2312" w:eastAsia="仿宋_GB2312" w:cs="仿宋_GB2312"/>
          <w:color w:val="000000"/>
        </w:rPr>
      </w:pPr>
      <w:bookmarkStart w:id="70" w:name="_Toc15396625"/>
      <w:r>
        <w:rPr>
          <w:rStyle w:val="26"/>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般公共预算财政拨款支出决算明细表</w:t>
      </w:r>
      <w:bookmarkEnd w:id="70"/>
    </w:p>
    <w:p>
      <w:pPr>
        <w:pStyle w:val="3"/>
        <w:rPr>
          <w:rFonts w:hint="eastAsia" w:ascii="仿宋_GB2312" w:hAnsi="仿宋_GB2312" w:eastAsia="仿宋_GB2312" w:cs="仿宋_GB2312"/>
          <w:color w:val="000000"/>
        </w:rPr>
      </w:pPr>
      <w:bookmarkStart w:id="71" w:name="_Toc15396626"/>
      <w:r>
        <w:rPr>
          <w:rStyle w:val="26"/>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般公共预算财政拨款基本支出决算表</w:t>
      </w:r>
      <w:bookmarkEnd w:id="71"/>
    </w:p>
    <w:p>
      <w:pPr>
        <w:pStyle w:val="3"/>
        <w:rPr>
          <w:rFonts w:hint="eastAsia" w:ascii="仿宋_GB2312" w:hAnsi="仿宋_GB2312" w:eastAsia="仿宋_GB2312" w:cs="仿宋_GB2312"/>
          <w:color w:val="000000"/>
        </w:rPr>
      </w:pPr>
      <w:bookmarkStart w:id="72" w:name="_Toc15396627"/>
      <w:r>
        <w:rPr>
          <w:rStyle w:val="26"/>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般公共预算财政拨款项目支出决算表</w:t>
      </w:r>
      <w:bookmarkEnd w:id="72"/>
    </w:p>
    <w:p>
      <w:pPr>
        <w:pStyle w:val="3"/>
        <w:rPr>
          <w:rFonts w:hint="eastAsia" w:ascii="仿宋_GB2312" w:hAnsi="仿宋_GB2312" w:eastAsia="仿宋_GB2312" w:cs="仿宋_GB2312"/>
          <w:color w:val="000000"/>
        </w:rPr>
      </w:pPr>
      <w:bookmarkStart w:id="73" w:name="_Toc15396628"/>
      <w:r>
        <w:rPr>
          <w:rStyle w:val="26"/>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6"/>
          <w:rFonts w:hint="eastAsia" w:ascii="仿宋_GB2312" w:hAnsi="仿宋_GB2312" w:eastAsia="仿宋_GB2312" w:cs="仿宋_GB2312"/>
          <w:b w:val="0"/>
          <w:bCs w:val="0"/>
        </w:rPr>
        <w:t>般公共预算财政拨款“三公”经费支出决算表</w:t>
      </w:r>
      <w:bookmarkEnd w:id="73"/>
    </w:p>
    <w:p>
      <w:pPr>
        <w:pStyle w:val="3"/>
        <w:rPr>
          <w:rFonts w:hint="eastAsia" w:ascii="仿宋_GB2312" w:hAnsi="仿宋_GB2312" w:eastAsia="仿宋_GB2312" w:cs="仿宋_GB2312"/>
          <w:color w:val="000000"/>
        </w:rPr>
      </w:pPr>
      <w:bookmarkStart w:id="74" w:name="_Toc15396629"/>
      <w:r>
        <w:rPr>
          <w:rStyle w:val="26"/>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6"/>
          <w:rFonts w:hint="eastAsia" w:ascii="仿宋_GB2312" w:hAnsi="仿宋_GB2312" w:eastAsia="仿宋_GB2312" w:cs="仿宋_GB2312"/>
          <w:b w:val="0"/>
          <w:bCs w:val="0"/>
        </w:rPr>
        <w:t>府性基金预算财政拨款收入支出决算表</w:t>
      </w:r>
      <w:bookmarkEnd w:id="74"/>
    </w:p>
    <w:p>
      <w:pPr>
        <w:pStyle w:val="3"/>
        <w:rPr>
          <w:rFonts w:hint="eastAsia" w:ascii="仿宋_GB2312" w:hAnsi="仿宋_GB2312" w:eastAsia="仿宋_GB2312" w:cs="仿宋_GB2312"/>
          <w:color w:val="000000"/>
        </w:rPr>
      </w:pPr>
      <w:bookmarkStart w:id="75" w:name="_Toc15396630"/>
      <w:r>
        <w:rPr>
          <w:rStyle w:val="26"/>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6"/>
          <w:rFonts w:hint="eastAsia" w:ascii="仿宋_GB2312" w:hAnsi="仿宋_GB2312" w:eastAsia="仿宋_GB2312" w:cs="仿宋_GB2312"/>
          <w:b w:val="0"/>
          <w:bCs w:val="0"/>
        </w:rPr>
        <w:t>府性基金预算财政拨款“三公”经费支出决算表</w:t>
      </w:r>
      <w:bookmarkEnd w:id="75"/>
    </w:p>
    <w:p>
      <w:pPr>
        <w:pStyle w:val="3"/>
        <w:rPr>
          <w:rFonts w:hint="eastAsia" w:ascii="仿宋_GB2312" w:hAnsi="仿宋_GB2312" w:eastAsia="仿宋_GB2312" w:cs="仿宋_GB2312"/>
          <w:color w:val="000000" w:themeColor="text1"/>
          <w14:textFill>
            <w14:solidFill>
              <w14:schemeClr w14:val="tx1"/>
            </w14:solidFill>
          </w14:textFill>
        </w:rPr>
      </w:pPr>
      <w:bookmarkStart w:id="76" w:name="_Toc15396631"/>
      <w:r>
        <w:rPr>
          <w:rStyle w:val="26"/>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6"/>
          <w:rFonts w:hint="eastAsia" w:ascii="仿宋_GB2312" w:hAnsi="仿宋_GB2312" w:eastAsia="仿宋_GB2312" w:cs="仿宋_GB2312"/>
          <w:b w:val="0"/>
          <w:bCs w:val="0"/>
        </w:rPr>
        <w:t>有资本经营预算支出决算表</w:t>
      </w:r>
      <w:bookmarkEnd w:id="76"/>
    </w:p>
    <w:sectPr>
      <w:footerReference r:id="rId7"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eastAsia="zh-CN"/>
                            </w:rPr>
                            <w:fldChar w:fldCharType="begin"/>
                          </w:r>
                          <w:r>
                            <w:rPr>
                              <w:rFonts w:hint="eastAsia" w:asciiTheme="majorEastAsia" w:hAnsiTheme="majorEastAsia" w:eastAsiaTheme="majorEastAsia" w:cstheme="majorEastAsia"/>
                              <w:lang w:eastAsia="zh-CN"/>
                            </w:rPr>
                            <w:instrText xml:space="preserve"> PAGE  \* MERGEFORMAT </w:instrText>
                          </w:r>
                          <w:r>
                            <w:rPr>
                              <w:rFonts w:hint="eastAsia" w:asciiTheme="majorEastAsia" w:hAnsiTheme="majorEastAsia" w:eastAsiaTheme="majorEastAsia" w:cstheme="majorEastAsia"/>
                              <w:lang w:eastAsia="zh-CN"/>
                            </w:rPr>
                            <w:fldChar w:fldCharType="separate"/>
                          </w:r>
                          <w:r>
                            <w:rPr>
                              <w:rFonts w:hint="eastAsia" w:asciiTheme="majorEastAsia" w:hAnsiTheme="majorEastAsia" w:eastAsiaTheme="majorEastAsia" w:cstheme="majorEastAsia"/>
                              <w:lang w:eastAsia="zh-CN"/>
                            </w:rPr>
                            <w:t>1</w:t>
                          </w:r>
                          <w:r>
                            <w:rPr>
                              <w:rFonts w:hint="eastAsia" w:asciiTheme="majorEastAsia" w:hAnsiTheme="majorEastAsia" w:eastAsiaTheme="majorEastAsia" w:cstheme="major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asciiTheme="majorEastAsia" w:hAnsiTheme="majorEastAsia" w:eastAsiaTheme="majorEastAsia" w:cstheme="majorEastAsia"/>
                        <w:lang w:eastAsia="zh-CN"/>
                      </w:rPr>
                    </w:pPr>
                    <w:r>
                      <w:rPr>
                        <w:rFonts w:hint="eastAsia" w:asciiTheme="majorEastAsia" w:hAnsiTheme="majorEastAsia" w:eastAsiaTheme="majorEastAsia" w:cstheme="majorEastAsia"/>
                        <w:lang w:eastAsia="zh-CN"/>
                      </w:rPr>
                      <w:fldChar w:fldCharType="begin"/>
                    </w:r>
                    <w:r>
                      <w:rPr>
                        <w:rFonts w:hint="eastAsia" w:asciiTheme="majorEastAsia" w:hAnsiTheme="majorEastAsia" w:eastAsiaTheme="majorEastAsia" w:cstheme="majorEastAsia"/>
                        <w:lang w:eastAsia="zh-CN"/>
                      </w:rPr>
                      <w:instrText xml:space="preserve"> PAGE  \* MERGEFORMAT </w:instrText>
                    </w:r>
                    <w:r>
                      <w:rPr>
                        <w:rFonts w:hint="eastAsia" w:asciiTheme="majorEastAsia" w:hAnsiTheme="majorEastAsia" w:eastAsiaTheme="majorEastAsia" w:cstheme="majorEastAsia"/>
                        <w:lang w:eastAsia="zh-CN"/>
                      </w:rPr>
                      <w:fldChar w:fldCharType="separate"/>
                    </w:r>
                    <w:r>
                      <w:rPr>
                        <w:rFonts w:hint="eastAsia" w:asciiTheme="majorEastAsia" w:hAnsiTheme="majorEastAsia" w:eastAsiaTheme="majorEastAsia" w:cstheme="majorEastAsia"/>
                        <w:lang w:eastAsia="zh-CN"/>
                      </w:rPr>
                      <w:t>1</w:t>
                    </w:r>
                    <w:r>
                      <w:rPr>
                        <w:rFonts w:hint="eastAsia" w:asciiTheme="majorEastAsia" w:hAnsiTheme="majorEastAsia" w:eastAsiaTheme="majorEastAsia" w:cstheme="major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3">
    <w:nsid w:val="151431AC"/>
    <w:multiLevelType w:val="singleLevel"/>
    <w:tmpl w:val="151431AC"/>
    <w:lvl w:ilvl="0" w:tentative="0">
      <w:start w:val="2"/>
      <w:numFmt w:val="chineseCounting"/>
      <w:suff w:val="nothing"/>
      <w:lvlText w:val="（%1）"/>
      <w:lvlJc w:val="left"/>
      <w:rPr>
        <w:rFonts w:hint="eastAsia"/>
      </w:rPr>
    </w:lvl>
  </w:abstractNum>
  <w:abstractNum w:abstractNumId="4">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718"/>
    <w:rsid w:val="00487E5D"/>
    <w:rsid w:val="00494A7B"/>
    <w:rsid w:val="004A711F"/>
    <w:rsid w:val="004B199D"/>
    <w:rsid w:val="004B4690"/>
    <w:rsid w:val="004E0A2D"/>
    <w:rsid w:val="004E206B"/>
    <w:rsid w:val="004E6DF7"/>
    <w:rsid w:val="004F0FBD"/>
    <w:rsid w:val="004F403E"/>
    <w:rsid w:val="00505A47"/>
    <w:rsid w:val="00512FDA"/>
    <w:rsid w:val="00520DA0"/>
    <w:rsid w:val="00526815"/>
    <w:rsid w:val="00560E2F"/>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3630"/>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32AB"/>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254E"/>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951D5"/>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07DE"/>
    <w:rsid w:val="00FD3CC1"/>
    <w:rsid w:val="00FF1E02"/>
    <w:rsid w:val="00FF30B4"/>
    <w:rsid w:val="03711A57"/>
    <w:rsid w:val="06A51C27"/>
    <w:rsid w:val="071F12C4"/>
    <w:rsid w:val="0877609F"/>
    <w:rsid w:val="089C0B57"/>
    <w:rsid w:val="0B750178"/>
    <w:rsid w:val="108121BE"/>
    <w:rsid w:val="10C055FF"/>
    <w:rsid w:val="1124169B"/>
    <w:rsid w:val="11B61DD2"/>
    <w:rsid w:val="14D0414D"/>
    <w:rsid w:val="15722FE4"/>
    <w:rsid w:val="16BB723D"/>
    <w:rsid w:val="19E062E5"/>
    <w:rsid w:val="225E723B"/>
    <w:rsid w:val="2362555B"/>
    <w:rsid w:val="240371BF"/>
    <w:rsid w:val="242073C4"/>
    <w:rsid w:val="246D44F0"/>
    <w:rsid w:val="24B604BC"/>
    <w:rsid w:val="29FD04D3"/>
    <w:rsid w:val="2CE13428"/>
    <w:rsid w:val="2CF73936"/>
    <w:rsid w:val="319F7F4E"/>
    <w:rsid w:val="32713439"/>
    <w:rsid w:val="333B1538"/>
    <w:rsid w:val="340B72B3"/>
    <w:rsid w:val="36364191"/>
    <w:rsid w:val="396D398D"/>
    <w:rsid w:val="3B7D3F74"/>
    <w:rsid w:val="3CB35BDE"/>
    <w:rsid w:val="3D592A8D"/>
    <w:rsid w:val="3DB621FB"/>
    <w:rsid w:val="465C3DA6"/>
    <w:rsid w:val="4B1931D8"/>
    <w:rsid w:val="4BC34BF4"/>
    <w:rsid w:val="4ECE2238"/>
    <w:rsid w:val="502A4484"/>
    <w:rsid w:val="51295C27"/>
    <w:rsid w:val="51A264A9"/>
    <w:rsid w:val="56D95C47"/>
    <w:rsid w:val="57A70DE1"/>
    <w:rsid w:val="58940FF6"/>
    <w:rsid w:val="59C56DF2"/>
    <w:rsid w:val="5C8546BE"/>
    <w:rsid w:val="5CF86296"/>
    <w:rsid w:val="5D6F3236"/>
    <w:rsid w:val="613771D7"/>
    <w:rsid w:val="69651D1B"/>
    <w:rsid w:val="6DD14F1A"/>
    <w:rsid w:val="6EC83A0D"/>
    <w:rsid w:val="6FDF7FC5"/>
    <w:rsid w:val="703B7694"/>
    <w:rsid w:val="716478C3"/>
    <w:rsid w:val="72734D90"/>
    <w:rsid w:val="758B063B"/>
    <w:rsid w:val="75BE7B4D"/>
    <w:rsid w:val="76561706"/>
    <w:rsid w:val="7AE04DFB"/>
    <w:rsid w:val="7B100DA2"/>
    <w:rsid w:val="7D1B496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jc w:val="left"/>
    </w:pPr>
    <w:rPr>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1">
    <w:name w:val="四号正文"/>
    <w:basedOn w:val="1"/>
    <w:qFormat/>
    <w:uiPriority w:val="0"/>
    <w:pPr>
      <w:spacing w:line="360" w:lineRule="auto"/>
    </w:pPr>
    <w:rPr>
      <w:rFonts w:ascii="??" w:hAnsi="??" w:eastAsia="宋体"/>
      <w:color w:val="000000"/>
      <w:kern w:val="0"/>
      <w:sz w:val="28"/>
      <w:szCs w:val="21"/>
      <w:lang w:val="zh-CN"/>
    </w:rPr>
  </w:style>
  <w:style w:type="character" w:customStyle="1" w:styleId="32">
    <w:name w:val="apple-converted-space"/>
    <w:basedOn w:val="14"/>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收、支决算总计变动情况图</a:t>
            </a:r>
            <a:endParaRPr lang="zh-CN" altLang="en-US"/>
          </a:p>
        </c:rich>
      </c:tx>
      <c:layout/>
      <c:overlay val="0"/>
      <c:spPr>
        <a:noFill/>
        <a:ln>
          <a:noFill/>
        </a:ln>
        <a:effectLst/>
      </c:spPr>
    </c:title>
    <c:autoTitleDeleted val="0"/>
    <c:plotArea>
      <c:layout>
        <c:manualLayout>
          <c:layoutTarget val="inner"/>
          <c:xMode val="edge"/>
          <c:yMode val="edge"/>
          <c:x val="0.0897619823932181"/>
          <c:y val="0.255148741418764"/>
          <c:w val="0.876328659928269"/>
          <c:h val="0.514130434782609"/>
        </c:manualLayout>
      </c:layout>
      <c:barChart>
        <c:barDir val="col"/>
        <c:grouping val="clustered"/>
        <c:varyColors val="0"/>
        <c:ser>
          <c:idx val="0"/>
          <c:order val="0"/>
          <c:tx>
            <c:strRef>
              <c:f>Sheet1!$B$1</c:f>
              <c:strCache>
                <c:ptCount val="1"/>
                <c:pt idx="0">
                  <c:v>收入（万元）</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lang="en-US" altLang="zh-CN"/>
                      <a:t>258.65</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258.65</c:v>
                </c:pt>
                <c:pt idx="1">
                  <c:v>397.61</c:v>
                </c:pt>
              </c:numCache>
            </c:numRef>
          </c:val>
        </c:ser>
        <c:ser>
          <c:idx val="1"/>
          <c:order val="1"/>
          <c:tx>
            <c:strRef>
              <c:f>Sheet1!$C$1</c:f>
              <c:strCache>
                <c:ptCount val="1"/>
                <c:pt idx="0">
                  <c:v>支出（万元）</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Sheet1!$C$2:$C$3</c:f>
              <c:numCache>
                <c:formatCode>General</c:formatCode>
                <c:ptCount val="2"/>
                <c:pt idx="0">
                  <c:v>204.84</c:v>
                </c:pt>
                <c:pt idx="1">
                  <c:v>484.4</c:v>
                </c:pt>
              </c:numCache>
            </c:numRef>
          </c:val>
        </c:ser>
        <c:dLbls>
          <c:showLegendKey val="0"/>
          <c:showVal val="1"/>
          <c:showCatName val="0"/>
          <c:showSerName val="0"/>
          <c:showPercent val="0"/>
          <c:showBubbleSize val="0"/>
        </c:dLbls>
        <c:gapWidth val="219"/>
        <c:overlap val="-27"/>
        <c:axId val="43498625"/>
        <c:axId val="929594870"/>
      </c:barChart>
      <c:catAx>
        <c:axId val="43498625"/>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9594870"/>
        <c:crosses val="autoZero"/>
        <c:auto val="1"/>
        <c:lblAlgn val="ctr"/>
        <c:lblOffset val="100"/>
        <c:noMultiLvlLbl val="0"/>
      </c:catAx>
      <c:valAx>
        <c:axId val="92959487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49862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一般公共预算财政拨款收入(万元)</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c:f>
              <c:strCache>
                <c:ptCount val="1"/>
                <c:pt idx="0">
                  <c:v>2019年</c:v>
                </c:pt>
              </c:strCache>
            </c:strRef>
          </c:cat>
          <c:val>
            <c:numRef>
              <c:f>Sheet1!$B$2</c:f>
              <c:numCache>
                <c:formatCode>General</c:formatCode>
                <c:ptCount val="1"/>
                <c:pt idx="0">
                  <c:v>397.61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364.06</c:v>
                </c:pt>
                <c:pt idx="1">
                  <c:v>120.34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r>
              <a:rPr lang="zh-CN"/>
              <a:t>财政拨款收、支决算总计变动情况</a:t>
            </a:r>
            <a:endParaRPr lang="zh-CN"/>
          </a:p>
        </c:rich>
      </c:tx>
      <c:layout>
        <c:manualLayout>
          <c:xMode val="edge"/>
          <c:yMode val="edge"/>
          <c:x val="0.142730972457461"/>
          <c:y val="0.0287907869481766"/>
        </c:manualLayout>
      </c:layout>
      <c:overlay val="0"/>
      <c:spPr>
        <a:noFill/>
        <a:ln>
          <a:noFill/>
        </a:ln>
        <a:effectLst/>
      </c:spPr>
    </c:title>
    <c:autoTitleDeleted val="0"/>
    <c:plotArea>
      <c:layout>
        <c:manualLayout>
          <c:layoutTarget val="inner"/>
          <c:xMode val="edge"/>
          <c:yMode val="edge"/>
          <c:x val="0.0897619823932181"/>
          <c:y val="0.255148741418764"/>
          <c:w val="0.876328659928269"/>
          <c:h val="0.514130434782609"/>
        </c:manualLayout>
      </c:layout>
      <c:barChart>
        <c:barDir val="col"/>
        <c:grouping val="clustered"/>
        <c:varyColors val="0"/>
        <c:ser>
          <c:idx val="0"/>
          <c:order val="0"/>
          <c:tx>
            <c:strRef>
              <c:f>Sheet1!$B$1</c:f>
              <c:strCache>
                <c:ptCount val="1"/>
                <c:pt idx="0">
                  <c:v>收入（万元）</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2018年</c:v>
                </c:pt>
                <c:pt idx="1">
                  <c:v>2019年</c:v>
                </c:pt>
              </c:strCache>
            </c:strRef>
          </c:cat>
          <c:val>
            <c:numRef>
              <c:f>Sheet1!$B$2:$B$3</c:f>
              <c:numCache>
                <c:formatCode>General</c:formatCode>
                <c:ptCount val="2"/>
                <c:pt idx="0">
                  <c:v>258.65</c:v>
                </c:pt>
                <c:pt idx="1">
                  <c:v>397.61</c:v>
                </c:pt>
              </c:numCache>
            </c:numRef>
          </c:val>
        </c:ser>
        <c:ser>
          <c:idx val="1"/>
          <c:order val="1"/>
          <c:tx>
            <c:strRef>
              <c:f>Sheet1!$C$1</c:f>
              <c:strCache>
                <c:ptCount val="1"/>
                <c:pt idx="0">
                  <c:v>支出（万元）</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2018年</c:v>
                </c:pt>
                <c:pt idx="1">
                  <c:v>2019年</c:v>
                </c:pt>
              </c:strCache>
            </c:strRef>
          </c:cat>
          <c:val>
            <c:numRef>
              <c:f>Sheet1!$C$2:$C$3</c:f>
              <c:numCache>
                <c:formatCode>General</c:formatCode>
                <c:ptCount val="2"/>
                <c:pt idx="0">
                  <c:v>204.84</c:v>
                </c:pt>
                <c:pt idx="1">
                  <c:v>484.4</c:v>
                </c:pt>
              </c:numCache>
            </c:numRef>
          </c:val>
        </c:ser>
        <c:dLbls>
          <c:showLegendKey val="0"/>
          <c:showVal val="1"/>
          <c:showCatName val="0"/>
          <c:showSerName val="0"/>
          <c:showPercent val="0"/>
          <c:showBubbleSize val="0"/>
        </c:dLbls>
        <c:gapWidth val="65"/>
        <c:axId val="43498625"/>
        <c:axId val="929594870"/>
      </c:barChart>
      <c:catAx>
        <c:axId val="43498625"/>
        <c:scaling>
          <c:orientation val="minMax"/>
        </c:scaling>
        <c:delete val="0"/>
        <c:axPos val="b"/>
        <c:numFmt formatCode="General" sourceLinked="0"/>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lang="zh-CN" sz="900" b="0" i="0" u="none" strike="noStrike" kern="1200" cap="all" baseline="0">
                <a:solidFill>
                  <a:schemeClr val="dk1">
                    <a:lumMod val="75000"/>
                    <a:lumOff val="25000"/>
                  </a:schemeClr>
                </a:solidFill>
                <a:latin typeface="+mn-lt"/>
                <a:ea typeface="+mn-ea"/>
                <a:cs typeface="+mn-cs"/>
              </a:defRPr>
            </a:pPr>
          </a:p>
        </c:txPr>
        <c:crossAx val="929594870"/>
        <c:crosses val="autoZero"/>
        <c:auto val="1"/>
        <c:lblAlgn val="ctr"/>
        <c:lblOffset val="100"/>
        <c:noMultiLvlLbl val="0"/>
      </c:catAx>
      <c:valAx>
        <c:axId val="92959487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crossAx val="43498625"/>
        <c:crosses val="autoZero"/>
        <c:crossBetween val="between"/>
      </c:valAx>
      <c:spPr>
        <a:noFill/>
        <a:ln>
          <a:noFill/>
        </a:ln>
        <a:effectLst/>
      </c:spPr>
    </c:plotArea>
    <c:legend>
      <c:legendPos val="b"/>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cap="none" spc="20" baseline="0">
                <a:solidFill>
                  <a:schemeClr val="tx1">
                    <a:lumMod val="50000"/>
                    <a:lumOff val="50000"/>
                  </a:schemeClr>
                </a:solidFill>
                <a:latin typeface="+mn-lt"/>
                <a:ea typeface="+mn-ea"/>
                <a:cs typeface="+mn-cs"/>
              </a:defRPr>
            </a:pPr>
            <a:r>
              <a:t>支出（单位：万元）</a:t>
            </a:r>
          </a:p>
        </c:rich>
      </c:tx>
      <c:layout/>
      <c:overlay val="0"/>
      <c:spPr>
        <a:noFill/>
        <a:ln>
          <a:noFill/>
        </a:ln>
        <a:effectLst/>
      </c:spPr>
    </c:title>
    <c:autoTitleDeleted val="0"/>
    <c:plotArea>
      <c:layout>
        <c:manualLayout>
          <c:layoutTarget val="inner"/>
          <c:xMode val="edge"/>
          <c:yMode val="edge"/>
          <c:x val="0.0657223001402525"/>
          <c:y val="0.154100685417159"/>
          <c:w val="0.893604488078541"/>
          <c:h val="0.706074214133775"/>
        </c:manualLayout>
      </c:layout>
      <c:barChart>
        <c:barDir val="col"/>
        <c:grouping val="clustered"/>
        <c:varyColors val="0"/>
        <c:ser>
          <c:idx val="0"/>
          <c:order val="0"/>
          <c:tx>
            <c:strRef>
              <c:f>Sheet1!$B$1</c:f>
              <c:strCache>
                <c:ptCount val="1"/>
                <c:pt idx="0">
                  <c:v>单位：万元</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50000"/>
                        <a:lumOff val="50000"/>
                      </a:schemeClr>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Sheet1!$A$2:$A$5</c:f>
              <c:strCache>
                <c:ptCount val="4"/>
                <c:pt idx="0">
                  <c:v>支出</c:v>
                </c:pt>
                <c:pt idx="1">
                  <c:v>占比</c:v>
                </c:pt>
                <c:pt idx="2">
                  <c:v>增长值</c:v>
                </c:pt>
                <c:pt idx="3">
                  <c:v>增长率</c:v>
                </c:pt>
              </c:strCache>
            </c:strRef>
          </c:cat>
          <c:val>
            <c:numRef>
              <c:f>Sheet1!$B$2:$B$5</c:f>
              <c:numCache>
                <c:formatCode>General</c:formatCode>
                <c:ptCount val="4"/>
                <c:pt idx="0">
                  <c:v>484.4</c:v>
                </c:pt>
                <c:pt idx="1" c:formatCode="0%">
                  <c:v>1</c:v>
                </c:pt>
                <c:pt idx="2">
                  <c:v>279.56</c:v>
                </c:pt>
                <c:pt idx="3" c:formatCode="0.00%">
                  <c:v>0.5771</c:v>
                </c:pt>
              </c:numCache>
            </c:numRef>
          </c:val>
        </c:ser>
        <c:ser>
          <c:idx val="1"/>
          <c:order val="1"/>
          <c:tx>
            <c:strRef>
              <c:f>Sheet1!#REF!</c:f>
              <c:strCache>
                <c:ptCount val="1"/>
                <c:pt idx="0">
                  <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dLbls>
            <c:delete val="1"/>
          </c:dLbls>
          <c:cat>
            <c:strRef>
              <c:f>Sheet1!$A$2:$A$5</c:f>
              <c:strCache>
                <c:ptCount val="4"/>
                <c:pt idx="0">
                  <c:v>支出</c:v>
                </c:pt>
                <c:pt idx="1">
                  <c:v>占比</c:v>
                </c:pt>
                <c:pt idx="2">
                  <c:v>增长值</c:v>
                </c:pt>
                <c:pt idx="3">
                  <c:v>增长率</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dLbls>
            <c:delete val="1"/>
          </c:dLbls>
          <c:cat>
            <c:strRef>
              <c:f>Sheet1!$A$2:$A$5</c:f>
              <c:strCache>
                <c:ptCount val="4"/>
                <c:pt idx="0">
                  <c:v>支出</c:v>
                </c:pt>
                <c:pt idx="1">
                  <c:v>占比</c:v>
                </c:pt>
                <c:pt idx="2">
                  <c:v>增长值</c:v>
                </c:pt>
                <c:pt idx="3">
                  <c:v>增长率</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100"/>
        <c:overlap val="-24"/>
        <c:axId val="544447449"/>
        <c:axId val="547892877"/>
      </c:barChart>
      <c:catAx>
        <c:axId val="54444744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547892877"/>
        <c:crosses val="autoZero"/>
        <c:auto val="1"/>
        <c:lblAlgn val="ctr"/>
        <c:lblOffset val="100"/>
        <c:noMultiLvlLbl val="0"/>
      </c:catAx>
      <c:valAx>
        <c:axId val="54789287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p>
        </c:txPr>
        <c:crossAx val="54444744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6857236946675"/>
          <c:y val="0.0153885611695306"/>
        </c:manualLayout>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manualLayout>
          <c:layoutTarget val="inner"/>
          <c:xMode val="edge"/>
          <c:yMode val="edge"/>
          <c:x val="0.388039833592057"/>
          <c:y val="0.144652474993588"/>
          <c:w val="0.252930365452173"/>
          <c:h val="0.536674253240787"/>
        </c:manualLayout>
      </c:layout>
      <c:doughnutChart>
        <c:varyColors val="1"/>
        <c:ser>
          <c:idx val="0"/>
          <c:order val="0"/>
          <c:tx>
            <c:strRef>
              <c:f>Sheet1!$B$1</c:f>
              <c:strCache>
                <c:ptCount val="1"/>
                <c:pt idx="0">
                  <c:v>支出</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Pt>
            <c:idx val="6"/>
            <c:bubble3D val="0"/>
            <c:spPr>
              <a:solidFill>
                <a:schemeClr val="accent1">
                  <a:lumMod val="60000"/>
                </a:schemeClr>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Sheet1!$A$2:$A$8</c:f>
              <c:strCache>
                <c:ptCount val="7"/>
                <c:pt idx="0">
                  <c:v>社会保障和就业支出</c:v>
                </c:pt>
                <c:pt idx="1">
                  <c:v>医疗卫生支出</c:v>
                </c:pt>
                <c:pt idx="2">
                  <c:v>住房保障支出</c:v>
                </c:pt>
                <c:pt idx="3">
                  <c:v>资源勘探信息等支出</c:v>
                </c:pt>
                <c:pt idx="4">
                  <c:v>国防支出</c:v>
                </c:pt>
                <c:pt idx="5">
                  <c:v>灾害防治及应急管理支出</c:v>
                </c:pt>
                <c:pt idx="6">
                  <c:v>其他支出</c:v>
                </c:pt>
              </c:strCache>
            </c:strRef>
          </c:cat>
          <c:val>
            <c:numRef>
              <c:f>Sheet1!$B$2:$B$8</c:f>
              <c:numCache>
                <c:formatCode>General</c:formatCode>
                <c:ptCount val="7"/>
                <c:pt idx="0">
                  <c:v>48.11</c:v>
                </c:pt>
                <c:pt idx="1">
                  <c:v>20.93</c:v>
                </c:pt>
                <c:pt idx="2">
                  <c:v>28.69</c:v>
                </c:pt>
                <c:pt idx="3">
                  <c:v>5.61</c:v>
                </c:pt>
                <c:pt idx="4">
                  <c:v>33.75</c:v>
                </c:pt>
                <c:pt idx="5">
                  <c:v>339.3</c:v>
                </c:pt>
                <c:pt idx="6">
                  <c:v>8</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“三公经费”支出</c:v>
                </c:pt>
              </c:strCache>
            </c:strRef>
          </c:tx>
          <c:spPr/>
          <c:explosion val="0"/>
          <c:dPt>
            <c:idx val="0"/>
            <c:bubble3D val="0"/>
            <c:spPr>
              <a:solidFill>
                <a:schemeClr val="accent1"/>
              </a:solidFill>
              <a:ln>
                <a:noFill/>
              </a:ln>
              <a:effectLst>
                <a:outerShdw blurRad="317500" algn="ctr" rotWithShape="0">
                  <a:prstClr val="black">
                    <a:alpha val="25000"/>
                  </a:prstClr>
                </a:outerShdw>
              </a:effectLst>
            </c:spPr>
          </c:dPt>
          <c:dPt>
            <c:idx val="1"/>
            <c:bubble3D val="0"/>
            <c:spPr>
              <a:solidFill>
                <a:schemeClr val="accent2"/>
              </a:solidFill>
              <a:ln>
                <a:noFill/>
              </a:ln>
              <a:effectLst>
                <a:outerShdw blurRad="317500" algn="ctr" rotWithShape="0">
                  <a:prstClr val="black">
                    <a:alpha val="25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chemeClr val="lt1"/>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35000"/>
                          <a:lumOff val="65000"/>
                        </a:schemeClr>
                      </a:solidFill>
                      <a:round/>
                    </a:ln>
                    <a:effectLst/>
                  </c:spPr>
                </c15:leaderLines>
              </c:ext>
            </c:extLst>
          </c:dLbls>
          <c:cat>
            <c:strRef>
              <c:f>Sheet1!$A$2:$A$3</c:f>
              <c:strCache>
                <c:ptCount val="2"/>
                <c:pt idx="0">
                  <c:v>公务用车购置及运行维护费支出</c:v>
                </c:pt>
                <c:pt idx="1">
                  <c:v>公务接待费支出</c:v>
                </c:pt>
              </c:strCache>
            </c:strRef>
          </c:cat>
          <c:val>
            <c:numRef>
              <c:f>Sheet1!$B$2:$B$3</c:f>
              <c:numCache>
                <c:formatCode>0.00%</c:formatCode>
                <c:ptCount val="2"/>
                <c:pt idx="0">
                  <c:v>0.9869</c:v>
                </c:pt>
                <c:pt idx="1">
                  <c:v>0.0131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solidFill>
          <a:schemeClr val="lt1">
            <a:alpha val="78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26</Pages>
  <Words>8329</Words>
  <Characters>998</Characters>
  <Lines>8</Lines>
  <Paragraphs>18</Paragraphs>
  <TotalTime>12</TotalTime>
  <ScaleCrop>false</ScaleCrop>
  <LinksUpToDate>false</LinksUpToDate>
  <CharactersWithSpaces>9309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2020-10-26T07:14:00Z</cp:lastPrinted>
  <dcterms:modified xsi:type="dcterms:W3CDTF">2020-10-28T02:56:36Z</dcterms:modified>
  <dc:title>四川省***</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