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193"/>
      <w:bookmarkStart w:id="2" w:name="_Toc15377425"/>
      <w:bookmarkStart w:id="3" w:name="_Toc15378441"/>
      <w:bookmarkStart w:id="4" w:name="_Toc15396597"/>
      <w:bookmarkStart w:id="5" w:name="_Toc15396475"/>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476"/>
      <w:bookmarkStart w:id="7" w:name="_Toc15377426"/>
      <w:bookmarkStart w:id="8" w:name="_Toc15396598"/>
      <w:bookmarkStart w:id="9" w:name="_Toc15377194"/>
      <w:bookmarkStart w:id="10" w:name="_Toc15378442"/>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lang w:val="en-US" w:eastAsia="zh-CN"/>
        </w:rPr>
        <w:t>红原县安全生产监督管理局</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0"/>
        <w:rPr>
          <w:rFonts w:cstheme="minorBidi"/>
        </w:rPr>
      </w:pPr>
      <w:r>
        <w:fldChar w:fldCharType="begin"/>
      </w:r>
      <w:r>
        <w:instrText xml:space="preserve"> HYPERLINK \l "_Toc15396599" </w:instrText>
      </w:r>
      <w:r>
        <w:fldChar w:fldCharType="separate"/>
      </w:r>
      <w:r>
        <w:rPr>
          <w:rStyle w:val="18"/>
          <w:rFonts w:hint="eastAsia"/>
        </w:rPr>
        <w:t>第一部分</w:t>
      </w:r>
      <w:r>
        <w:rPr>
          <w:rStyle w:val="18"/>
        </w:rPr>
        <w:t xml:space="preserve"> </w:t>
      </w:r>
      <w:r>
        <w:rPr>
          <w:rStyle w:val="18"/>
          <w:rFonts w:hint="eastAsia"/>
        </w:rPr>
        <w:t>部门概况</w:t>
      </w:r>
      <w:r>
        <w:rPr>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8"/>
          <w:rFonts w:hint="eastAsia" w:ascii="仿宋" w:hAnsi="仿宋" w:eastAsia="仿宋"/>
          <w:sz w:val="28"/>
          <w:szCs w:val="28"/>
        </w:rPr>
        <w:t>一、基本职能及主要工作</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8"/>
          <w:rFonts w:hint="eastAsia" w:ascii="仿宋" w:hAnsi="仿宋" w:eastAsia="仿宋"/>
          <w:sz w:val="28"/>
          <w:szCs w:val="28"/>
        </w:rPr>
        <w:t>二、机构设置</w:t>
      </w:r>
      <w:r>
        <w:rPr>
          <w:rFonts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8"/>
          <w:rFonts w:hint="eastAsia"/>
        </w:rPr>
        <w:t>第二部分</w:t>
      </w:r>
      <w:r>
        <w:rPr>
          <w:rStyle w:val="18"/>
        </w:rPr>
        <w:t xml:space="preserve"> 2018</w:t>
      </w:r>
      <w:r>
        <w:rPr>
          <w:rStyle w:val="18"/>
          <w:rFonts w:hint="eastAsia"/>
        </w:rPr>
        <w:t>年度部门决算情况说明</w:t>
      </w:r>
      <w: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8"/>
          <w:rFonts w:hint="eastAsia" w:ascii="仿宋" w:hAnsi="仿宋" w:eastAsia="仿宋" w:cstheme="majorBidi"/>
          <w:bCs/>
          <w:sz w:val="28"/>
          <w:szCs w:val="28"/>
        </w:rPr>
        <w:t>一、</w:t>
      </w:r>
      <w:r>
        <w:rPr>
          <w:rStyle w:val="18"/>
          <w:rFonts w:hint="eastAsia" w:ascii="仿宋" w:hAnsi="仿宋" w:eastAsia="仿宋"/>
          <w:sz w:val="28"/>
          <w:szCs w:val="28"/>
        </w:rPr>
        <w:t>收</w:t>
      </w:r>
      <w:r>
        <w:rPr>
          <w:rStyle w:val="18"/>
          <w:rFonts w:hint="eastAsia" w:ascii="仿宋" w:hAnsi="仿宋" w:eastAsia="仿宋" w:cstheme="majorBidi"/>
          <w:bCs/>
          <w:sz w:val="28"/>
          <w:szCs w:val="28"/>
        </w:rPr>
        <w:t>入支出决算总体情况说明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8"/>
          <w:rFonts w:hint="eastAsia" w:ascii="仿宋" w:hAnsi="仿宋" w:eastAsia="仿宋" w:cstheme="majorBidi"/>
          <w:bCs/>
          <w:sz w:val="28"/>
          <w:szCs w:val="28"/>
        </w:rPr>
        <w:t>二、</w:t>
      </w:r>
      <w:r>
        <w:rPr>
          <w:rStyle w:val="18"/>
          <w:rFonts w:hint="eastAsia" w:ascii="仿宋" w:hAnsi="仿宋" w:eastAsia="仿宋"/>
          <w:sz w:val="28"/>
          <w:szCs w:val="28"/>
        </w:rPr>
        <w:t>收</w:t>
      </w:r>
      <w:r>
        <w:rPr>
          <w:rStyle w:val="18"/>
          <w:rFonts w:hint="eastAsia" w:ascii="仿宋" w:hAnsi="仿宋" w:eastAsia="仿宋" w:cstheme="majorBidi"/>
          <w:bCs/>
          <w:sz w:val="28"/>
          <w:szCs w:val="28"/>
        </w:rPr>
        <w:t>入决算情况说明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8"/>
          <w:rFonts w:hint="eastAsia" w:ascii="仿宋" w:hAnsi="仿宋" w:eastAsia="仿宋" w:cstheme="majorBidi"/>
          <w:bCs/>
          <w:sz w:val="28"/>
          <w:szCs w:val="28"/>
        </w:rPr>
        <w:t>三、</w:t>
      </w:r>
      <w:r>
        <w:rPr>
          <w:rStyle w:val="18"/>
          <w:rFonts w:hint="eastAsia" w:ascii="仿宋" w:hAnsi="仿宋" w:eastAsia="仿宋"/>
          <w:sz w:val="28"/>
          <w:szCs w:val="28"/>
        </w:rPr>
        <w:t>支</w:t>
      </w:r>
      <w:r>
        <w:rPr>
          <w:rStyle w:val="18"/>
          <w:rFonts w:hint="eastAsia" w:ascii="仿宋" w:hAnsi="仿宋" w:eastAsia="仿宋" w:cstheme="majorBidi"/>
          <w:bCs/>
          <w:sz w:val="28"/>
          <w:szCs w:val="28"/>
        </w:rPr>
        <w:t>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8"/>
          <w:rFonts w:hint="eastAsia" w:ascii="仿宋" w:hAnsi="仿宋" w:eastAsia="仿宋"/>
          <w:sz w:val="28"/>
          <w:szCs w:val="28"/>
        </w:rPr>
        <w:t>四、财</w:t>
      </w:r>
      <w:r>
        <w:rPr>
          <w:rStyle w:val="18"/>
          <w:rFonts w:hint="eastAsia" w:ascii="仿宋" w:hAnsi="仿宋" w:eastAsia="仿宋" w:cstheme="majorBidi"/>
          <w:bCs/>
          <w:sz w:val="28"/>
          <w:szCs w:val="28"/>
        </w:rPr>
        <w:t>政拨款收入支出决算总体情况说明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8"/>
          <w:rFonts w:hint="eastAsia" w:ascii="仿宋" w:hAnsi="仿宋" w:eastAsia="仿宋"/>
          <w:sz w:val="28"/>
          <w:szCs w:val="28"/>
        </w:rPr>
        <w:t>五、一</w:t>
      </w:r>
      <w:r>
        <w:rPr>
          <w:rStyle w:val="18"/>
          <w:rFonts w:hint="eastAsia" w:ascii="仿宋" w:hAnsi="仿宋" w:eastAsia="仿宋" w:cstheme="majorBidi"/>
          <w:bCs/>
          <w:sz w:val="28"/>
          <w:szCs w:val="28"/>
        </w:rPr>
        <w:t>般公共预算财政拨款支出决算情况说明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"_Toc15396608" </w:instrText>
      </w:r>
      <w:r>
        <w:fldChar w:fldCharType="separate"/>
      </w:r>
      <w:r>
        <w:rPr>
          <w:rStyle w:val="18"/>
          <w:rFonts w:hint="eastAsia" w:ascii="仿宋" w:hAnsi="仿宋" w:eastAsia="仿宋"/>
          <w:sz w:val="28"/>
          <w:szCs w:val="28"/>
        </w:rPr>
        <w:t>六、一</w:t>
      </w:r>
      <w:r>
        <w:rPr>
          <w:rStyle w:val="18"/>
          <w:rFonts w:hint="eastAsia" w:ascii="仿宋" w:hAnsi="仿宋" w:eastAsia="仿宋" w:cstheme="majorBidi"/>
          <w:bCs/>
          <w:sz w:val="28"/>
          <w:szCs w:val="28"/>
        </w:rPr>
        <w:t>般公共预算财政拨款基本支出决算情况说明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"_Toc15396609" </w:instrText>
      </w:r>
      <w:r>
        <w:fldChar w:fldCharType="separate"/>
      </w:r>
      <w:r>
        <w:rPr>
          <w:rStyle w:val="18"/>
          <w:rFonts w:hint="eastAsia" w:ascii="仿宋" w:hAnsi="仿宋" w:eastAsia="仿宋"/>
          <w:sz w:val="28"/>
          <w:szCs w:val="28"/>
        </w:rPr>
        <w:t>七、</w:t>
      </w:r>
      <w:r>
        <w:rPr>
          <w:rStyle w:val="18"/>
          <w:rFonts w:ascii="仿宋" w:hAnsi="仿宋" w:eastAsia="仿宋"/>
          <w:sz w:val="28"/>
          <w:szCs w:val="28"/>
        </w:rPr>
        <w:t>“</w:t>
      </w:r>
      <w:r>
        <w:rPr>
          <w:rStyle w:val="18"/>
          <w:rFonts w:hint="eastAsia" w:ascii="仿宋" w:hAnsi="仿宋" w:eastAsia="仿宋" w:cstheme="majorBidi"/>
          <w:bCs/>
          <w:sz w:val="28"/>
          <w:szCs w:val="28"/>
        </w:rPr>
        <w:t>三公”经费财政拨款支出决算情况说明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"_Toc15396610" </w:instrText>
      </w:r>
      <w:r>
        <w:fldChar w:fldCharType="separate"/>
      </w:r>
      <w:r>
        <w:rPr>
          <w:rStyle w:val="18"/>
          <w:rFonts w:hint="eastAsia" w:ascii="仿宋" w:hAnsi="仿宋" w:eastAsia="仿宋"/>
          <w:sz w:val="28"/>
          <w:szCs w:val="28"/>
        </w:rPr>
        <w:t>八、</w:t>
      </w:r>
      <w:r>
        <w:rPr>
          <w:rStyle w:val="18"/>
          <w:rFonts w:hint="eastAsia" w:ascii="仿宋" w:hAnsi="仿宋" w:eastAsia="仿宋" w:cstheme="majorBidi"/>
          <w:bCs/>
          <w:sz w:val="28"/>
          <w:szCs w:val="28"/>
        </w:rPr>
        <w:t>政府性基金预算支出决算情况说明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"_Toc15396611" </w:instrText>
      </w:r>
      <w:r>
        <w:fldChar w:fldCharType="separate"/>
      </w:r>
      <w:r>
        <w:rPr>
          <w:rStyle w:val="18"/>
          <w:rFonts w:hint="eastAsia" w:ascii="仿宋" w:hAnsi="仿宋" w:eastAsia="仿宋" w:cstheme="majorBidi"/>
          <w:bCs/>
          <w:sz w:val="28"/>
          <w:szCs w:val="28"/>
        </w:rPr>
        <w:t>九、</w:t>
      </w:r>
      <w:r>
        <w:rPr>
          <w:rStyle w:val="18"/>
          <w:rFonts w:hint="eastAsia" w:ascii="仿宋" w:hAnsi="仿宋" w:eastAsia="仿宋"/>
          <w:sz w:val="28"/>
          <w:szCs w:val="28"/>
        </w:rPr>
        <w:t xml:space="preserve"> 国</w:t>
      </w:r>
      <w:r>
        <w:rPr>
          <w:rStyle w:val="18"/>
          <w:rFonts w:hint="eastAsia" w:ascii="仿宋" w:hAnsi="仿宋" w:eastAsia="仿宋" w:cstheme="majorBidi"/>
          <w:bCs/>
          <w:sz w:val="28"/>
          <w:szCs w:val="28"/>
        </w:rPr>
        <w:t>有资本经营预算支出决算情况说明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"_Toc15396612" </w:instrText>
      </w:r>
      <w:r>
        <w:fldChar w:fldCharType="separate"/>
      </w:r>
      <w:r>
        <w:rPr>
          <w:rStyle w:val="18"/>
          <w:rFonts w:hint="eastAsia" w:ascii="仿宋" w:hAnsi="仿宋" w:eastAsia="仿宋"/>
          <w:sz w:val="28"/>
          <w:szCs w:val="28"/>
        </w:rPr>
        <w:t>十</w:t>
      </w:r>
      <w:r>
        <w:rPr>
          <w:rStyle w:val="18"/>
          <w:rFonts w:hint="eastAsia" w:ascii="仿宋" w:hAnsi="仿宋" w:eastAsia="仿宋" w:cstheme="majorBidi"/>
          <w:bCs/>
          <w:sz w:val="28"/>
          <w:szCs w:val="28"/>
        </w:rPr>
        <w:t>一、其他重要事项的情况说明</w:t>
      </w:r>
      <w:r>
        <w:rPr>
          <w:rFonts w:ascii="仿宋" w:hAnsi="仿宋" w:eastAsia="仿宋"/>
          <w:sz w:val="28"/>
          <w:szCs w:val="28"/>
        </w:rPr>
        <w:fldChar w:fldCharType="end"/>
      </w:r>
    </w:p>
    <w:p>
      <w:pPr>
        <w:pStyle w:val="10"/>
        <w:rPr>
          <w:rFonts w:cstheme="minorBidi"/>
        </w:rPr>
      </w:pPr>
      <w:r>
        <w:fldChar w:fldCharType="begin"/>
      </w:r>
      <w:r>
        <w:instrText xml:space="preserve"> HYPERLINK \l "_Toc15396613" </w:instrText>
      </w:r>
      <w:r>
        <w:fldChar w:fldCharType="separate"/>
      </w:r>
      <w:r>
        <w:rPr>
          <w:rStyle w:val="18"/>
          <w:rFonts w:hint="eastAsia"/>
          <w:bCs/>
          <w:kern w:val="44"/>
        </w:rPr>
        <w:t>第三部分</w:t>
      </w:r>
      <w:r>
        <w:rPr>
          <w:rStyle w:val="18"/>
          <w:rFonts w:hint="eastAsia"/>
        </w:rPr>
        <w:t xml:space="preserve"> 名</w:t>
      </w:r>
      <w:r>
        <w:rPr>
          <w:rStyle w:val="18"/>
          <w:rFonts w:hint="eastAsia"/>
          <w:bCs/>
          <w:kern w:val="44"/>
        </w:rPr>
        <w:t>词解释</w:t>
      </w:r>
      <w:r>
        <w:fldChar w:fldCharType="end"/>
      </w:r>
    </w:p>
    <w:p>
      <w:pPr>
        <w:pStyle w:val="10"/>
        <w:rPr>
          <w:rFonts w:cstheme="minorBidi"/>
        </w:rPr>
      </w:pPr>
      <w:r>
        <w:fldChar w:fldCharType="begin"/>
      </w:r>
      <w:r>
        <w:instrText xml:space="preserve"> HYPERLINK \l "_Toc15396614" </w:instrText>
      </w:r>
      <w:r>
        <w:fldChar w:fldCharType="separate"/>
      </w:r>
      <w:r>
        <w:rPr>
          <w:rStyle w:val="18"/>
          <w:rFonts w:hint="eastAsia"/>
        </w:rPr>
        <w:t>第</w:t>
      </w:r>
      <w:r>
        <w:rPr>
          <w:rStyle w:val="18"/>
          <w:rFonts w:hint="eastAsia"/>
          <w:bCs/>
          <w:kern w:val="44"/>
        </w:rPr>
        <w:t>四部分</w:t>
      </w:r>
      <w:r>
        <w:rPr>
          <w:rStyle w:val="18"/>
          <w:bCs/>
          <w:kern w:val="44"/>
        </w:rPr>
        <w:t xml:space="preserve"> </w:t>
      </w:r>
      <w:r>
        <w:rPr>
          <w:rStyle w:val="18"/>
          <w:rFonts w:hint="eastAsia"/>
          <w:bCs/>
          <w:kern w:val="44"/>
        </w:rPr>
        <w:t>附件</w:t>
      </w:r>
      <w:r>
        <w:fldChar w:fldCharType="end"/>
      </w:r>
    </w:p>
    <w:p>
      <w:pPr>
        <w:pStyle w:val="11"/>
        <w:rPr>
          <w:rFonts w:ascii="仿宋" w:hAnsi="仿宋" w:eastAsia="仿宋" w:cstheme="minorBidi"/>
          <w:sz w:val="28"/>
          <w:szCs w:val="28"/>
        </w:rPr>
      </w:pPr>
      <w:r>
        <w:fldChar w:fldCharType="begin"/>
      </w:r>
      <w:r>
        <w:instrText xml:space="preserve"> HYPERLINK \l "_Toc15396615" </w:instrText>
      </w:r>
      <w:r>
        <w:fldChar w:fldCharType="separate"/>
      </w:r>
      <w:r>
        <w:rPr>
          <w:rStyle w:val="18"/>
          <w:rFonts w:hint="eastAsia" w:ascii="仿宋" w:hAnsi="仿宋" w:eastAsia="仿宋"/>
          <w:kern w:val="44"/>
          <w:sz w:val="28"/>
          <w:szCs w:val="28"/>
        </w:rPr>
        <w:t>附件</w:t>
      </w:r>
      <w:r>
        <w:rPr>
          <w:rStyle w:val="18"/>
          <w:rFonts w:ascii="仿宋" w:hAnsi="仿宋" w:eastAsia="仿宋"/>
          <w:kern w:val="44"/>
          <w:sz w:val="28"/>
          <w:szCs w:val="28"/>
        </w:rPr>
        <w:t>1</w:t>
      </w:r>
      <w:r>
        <w:rPr>
          <w:rFonts w:ascii="仿宋" w:hAnsi="仿宋" w:eastAsia="仿宋"/>
          <w:sz w:val="28"/>
          <w:szCs w:val="28"/>
        </w:rPr>
        <w:fldChar w:fldCharType="end"/>
      </w:r>
    </w:p>
    <w:p>
      <w:pPr>
        <w:pStyle w:val="10"/>
      </w:pPr>
    </w:p>
    <w:p>
      <w:pPr>
        <w:pStyle w:val="10"/>
        <w:rPr>
          <w:rFonts w:cstheme="minorBidi"/>
        </w:rPr>
      </w:pPr>
      <w:r>
        <w:fldChar w:fldCharType="begin"/>
      </w:r>
      <w:r>
        <w:instrText xml:space="preserve"> HYPERLINK \l "_Toc15396618" </w:instrText>
      </w:r>
      <w:r>
        <w:fldChar w:fldCharType="separate"/>
      </w:r>
      <w:r>
        <w:rPr>
          <w:rStyle w:val="18"/>
          <w:rFonts w:hint="eastAsia"/>
        </w:rPr>
        <w:t>第</w:t>
      </w:r>
      <w:r>
        <w:rPr>
          <w:rStyle w:val="18"/>
          <w:rFonts w:hint="eastAsia"/>
          <w:bCs/>
          <w:kern w:val="44"/>
        </w:rPr>
        <w:t>五部分</w:t>
      </w:r>
      <w:r>
        <w:rPr>
          <w:rStyle w:val="18"/>
          <w:bCs/>
          <w:kern w:val="44"/>
        </w:rPr>
        <w:t xml:space="preserve"> </w:t>
      </w:r>
      <w:r>
        <w:rPr>
          <w:rStyle w:val="18"/>
          <w:rFonts w:hint="eastAsia"/>
          <w:bCs/>
          <w:kern w:val="44"/>
        </w:rPr>
        <w:t>附表</w:t>
      </w:r>
      <w:r>
        <w:fldChar w:fldCharType="end"/>
      </w:r>
    </w:p>
    <w:p>
      <w:pPr>
        <w:pStyle w:val="11"/>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8"/>
          <w:rFonts w:hint="eastAsia" w:ascii="仿宋" w:hAnsi="仿宋" w:eastAsia="仿宋"/>
          <w:sz w:val="28"/>
          <w:szCs w:val="28"/>
        </w:rPr>
        <w:t>收入支出决算总表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8"/>
          <w:rFonts w:hint="eastAsia" w:ascii="仿宋" w:hAnsi="仿宋" w:eastAsia="仿宋"/>
          <w:sz w:val="28"/>
          <w:szCs w:val="28"/>
        </w:rPr>
        <w:t>收入总表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8"/>
          <w:rFonts w:hint="eastAsia" w:ascii="仿宋" w:hAnsi="仿宋" w:eastAsia="仿宋"/>
          <w:sz w:val="28"/>
          <w:szCs w:val="28"/>
        </w:rPr>
        <w:t>支出总表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8"/>
          <w:rFonts w:hint="eastAsia" w:ascii="仿宋" w:hAnsi="仿宋" w:eastAsia="仿宋"/>
          <w:sz w:val="28"/>
          <w:szCs w:val="28"/>
        </w:rPr>
        <w:t>财政拨款收入支出决算总表</w:t>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8"/>
          <w:rFonts w:hint="eastAsia" w:ascii="仿宋" w:hAnsi="仿宋" w:eastAsia="仿宋"/>
          <w:sz w:val="28"/>
          <w:szCs w:val="28"/>
        </w:rPr>
        <w:t>一般公共预算财政拨款支出决算表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8"/>
          <w:rFonts w:hint="eastAsia" w:ascii="仿宋" w:hAnsi="仿宋" w:eastAsia="仿宋"/>
          <w:sz w:val="28"/>
          <w:szCs w:val="28"/>
        </w:rPr>
        <w:t>一般公共预算财政拨款支出决算明细表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8"/>
          <w:rFonts w:hint="eastAsia" w:ascii="仿宋" w:hAnsi="仿宋" w:eastAsia="仿宋"/>
          <w:sz w:val="28"/>
          <w:szCs w:val="28"/>
        </w:rPr>
        <w:t>一般公共预算财政拨款基本支出决算表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8"/>
          <w:rFonts w:hint="eastAsia" w:ascii="仿宋" w:hAnsi="仿宋" w:eastAsia="仿宋"/>
          <w:sz w:val="28"/>
          <w:szCs w:val="28"/>
        </w:rPr>
        <w:t>一般公共预算财政拨款项目支出决算表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8"/>
          <w:rFonts w:hint="eastAsia" w:ascii="仿宋" w:hAnsi="仿宋" w:eastAsia="仿宋"/>
          <w:sz w:val="28"/>
          <w:szCs w:val="28"/>
        </w:rPr>
        <w:t>一般公共预算财政拨款“三公”经费支出决算表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8"/>
          <w:rFonts w:hint="eastAsia" w:ascii="仿宋" w:hAnsi="仿宋" w:eastAsia="仿宋"/>
          <w:sz w:val="28"/>
          <w:szCs w:val="28"/>
        </w:rPr>
        <w:t>政府性基金预算财政拨款收入支出决算表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8"/>
          <w:rFonts w:hint="eastAsia" w:ascii="仿宋" w:hAnsi="仿宋" w:eastAsia="仿宋"/>
          <w:sz w:val="28"/>
          <w:szCs w:val="28"/>
        </w:rPr>
        <w:t>政府性基金预算财政拨款“三公”经费支出决算表</w:t>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十三、</w:t>
      </w:r>
      <w:r>
        <w:rPr>
          <w:sz w:val="28"/>
          <w:szCs w:val="28"/>
        </w:rPr>
        <w:fldChar w:fldCharType="begin"/>
      </w:r>
      <w:r>
        <w:rPr>
          <w:sz w:val="28"/>
          <w:szCs w:val="28"/>
        </w:rPr>
        <w:instrText xml:space="preserve"> HYPERLINK \l "_Toc15396631" </w:instrText>
      </w:r>
      <w:r>
        <w:rPr>
          <w:sz w:val="28"/>
          <w:szCs w:val="28"/>
        </w:rPr>
        <w:fldChar w:fldCharType="separate"/>
      </w:r>
      <w:r>
        <w:rPr>
          <w:rStyle w:val="18"/>
          <w:rFonts w:hint="eastAsia" w:ascii="仿宋" w:hAnsi="仿宋" w:eastAsia="仿宋"/>
          <w:sz w:val="28"/>
          <w:szCs w:val="28"/>
        </w:rPr>
        <w:t>国有资本经营预算支出决算表</w:t>
      </w:r>
      <w:r>
        <w:rPr>
          <w:rFonts w:ascii="仿宋" w:hAnsi="仿宋" w:eastAsia="仿宋"/>
          <w:sz w:val="28"/>
          <w:szCs w:val="28"/>
        </w:rPr>
        <w:fldChar w:fldCharType="end"/>
      </w:r>
    </w:p>
    <w:p>
      <w:pPr>
        <w:pStyle w:val="11"/>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十四、2018年红原县安监局部门支出绩效评价指标体系表</w:t>
      </w:r>
    </w:p>
    <w:p>
      <w:pPr>
        <w:rPr>
          <w:sz w:val="28"/>
          <w:szCs w:val="28"/>
        </w:rPr>
      </w:pP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hint="eastAsia" w:ascii="黑体" w:hAnsi="黑体" w:eastAsia="黑体"/>
          <w:bCs/>
          <w:kern w:val="44"/>
          <w:sz w:val="44"/>
          <w:szCs w:val="44"/>
          <w:lang w:val="en-US" w:eastAsia="zh-CN"/>
        </w:rPr>
      </w:pPr>
      <w:bookmarkStart w:id="12" w:name="_Toc15396599"/>
      <w:bookmarkStart w:id="13" w:name="_Toc15377196"/>
      <w:r>
        <w:rPr>
          <w:rFonts w:ascii="黑体" w:hAnsi="黑体" w:eastAsia="黑体"/>
          <w:b/>
        </w:rPr>
        <w:br w:type="page"/>
      </w:r>
    </w:p>
    <w:p>
      <w:pPr>
        <w:pStyle w:val="2"/>
        <w:jc w:val="center"/>
        <w:rPr>
          <w:rStyle w:val="27"/>
          <w:rFonts w:ascii="黑体" w:hAnsi="黑体" w:eastAsia="黑体"/>
          <w:b/>
          <w:bCs w:val="0"/>
        </w:rPr>
      </w:pPr>
      <w:r>
        <w:rPr>
          <w:rFonts w:hint="eastAsia" w:ascii="黑体" w:hAnsi="黑体" w:eastAsia="黑体"/>
          <w:b w:val="0"/>
        </w:rPr>
        <w:t xml:space="preserve">第一部分 </w:t>
      </w:r>
      <w:r>
        <w:rPr>
          <w:rStyle w:val="27"/>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28"/>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4"/>
      <w:bookmarkEnd w:id="15"/>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6" w:name="_Toc15378445"/>
      <w:bookmarkStart w:id="17" w:name="_Toc15377198"/>
      <w:r>
        <w:rPr>
          <w:rFonts w:hint="eastAsia" w:ascii="仿宋" w:hAnsi="仿宋" w:eastAsia="仿宋"/>
          <w:bCs/>
          <w:color w:val="000000"/>
          <w:sz w:val="32"/>
          <w:szCs w:val="32"/>
        </w:rPr>
        <w:t>（一）主要职能</w:t>
      </w:r>
    </w:p>
    <w:p>
      <w:pPr>
        <w:keepNext w:val="0"/>
        <w:keepLines w:val="0"/>
        <w:pageBreakBefore w:val="0"/>
        <w:widowControl/>
        <w:kinsoku/>
        <w:wordWrap/>
        <w:overflowPunct/>
        <w:topLinePunct w:val="0"/>
        <w:autoSpaceDE/>
        <w:autoSpaceDN/>
        <w:bidi w:val="0"/>
        <w:adjustRightInd/>
        <w:spacing w:line="560" w:lineRule="exact"/>
        <w:ind w:firstLine="640" w:firstLineChars="200"/>
        <w:outlineLvl w:val="9"/>
        <w:rPr>
          <w:rFonts w:hint="eastAsia" w:ascii="仿宋" w:hAnsi="仿宋" w:eastAsia="仿宋" w:cs="宋体"/>
          <w:color w:val="000000"/>
          <w:sz w:val="32"/>
          <w:szCs w:val="32"/>
        </w:rPr>
      </w:pPr>
      <w:r>
        <w:rPr>
          <w:rFonts w:hint="eastAsia" w:ascii="仿宋" w:hAnsi="仿宋" w:eastAsia="仿宋" w:cs="宋体"/>
          <w:color w:val="000000"/>
          <w:kern w:val="0"/>
          <w:sz w:val="32"/>
          <w:szCs w:val="32"/>
          <w:lang w:val="en-US" w:eastAsia="zh-CN"/>
        </w:rPr>
        <w:t>1、</w:t>
      </w:r>
      <w:r>
        <w:rPr>
          <w:rFonts w:hint="eastAsia" w:ascii="仿宋" w:hAnsi="仿宋" w:eastAsia="仿宋" w:cs="宋体"/>
          <w:color w:val="000000"/>
          <w:kern w:val="0"/>
          <w:sz w:val="32"/>
          <w:szCs w:val="32"/>
        </w:rPr>
        <w:t>贯彻国家、省及州有关安全生产的法律、法规、规章和方针政策；受委托组织或参与起草有关安全生产的规范性文件。</w:t>
      </w:r>
    </w:p>
    <w:p>
      <w:pPr>
        <w:keepNext w:val="0"/>
        <w:keepLines w:val="0"/>
        <w:pageBreakBefore w:val="0"/>
        <w:widowControl/>
        <w:kinsoku/>
        <w:wordWrap/>
        <w:overflowPunct/>
        <w:topLinePunct w:val="0"/>
        <w:autoSpaceDE/>
        <w:autoSpaceDN/>
        <w:bidi w:val="0"/>
        <w:adjustRightInd/>
        <w:spacing w:line="560" w:lineRule="exact"/>
        <w:outlineLvl w:val="9"/>
        <w:rPr>
          <w:rFonts w:hint="eastAsia" w:ascii="仿宋" w:hAnsi="仿宋" w:eastAsia="仿宋" w:cs="宋体"/>
          <w:color w:val="000000"/>
          <w:sz w:val="32"/>
          <w:szCs w:val="32"/>
        </w:rPr>
      </w:pPr>
      <w:r>
        <w:rPr>
          <w:rFonts w:hint="eastAsia" w:ascii="宋体" w:hAnsi="宋体" w:eastAsia="仿宋" w:cs="宋体"/>
          <w:color w:val="000000"/>
          <w:kern w:val="0"/>
          <w:sz w:val="32"/>
          <w:szCs w:val="32"/>
        </w:rPr>
        <w:t>  </w:t>
      </w:r>
      <w:r>
        <w:rPr>
          <w:rFonts w:hint="eastAsia" w:ascii="宋体" w:hAnsi="宋体" w:eastAsia="仿宋" w:cs="宋体"/>
          <w:color w:val="000000"/>
          <w:kern w:val="0"/>
          <w:sz w:val="32"/>
          <w:szCs w:val="32"/>
          <w:lang w:val="en-US" w:eastAsia="zh-CN"/>
        </w:rPr>
        <w:t>2、</w:t>
      </w:r>
      <w:r>
        <w:rPr>
          <w:rFonts w:hint="eastAsia" w:ascii="仿宋" w:hAnsi="仿宋" w:eastAsia="仿宋" w:cs="宋体"/>
          <w:color w:val="000000"/>
          <w:kern w:val="0"/>
          <w:sz w:val="32"/>
          <w:szCs w:val="32"/>
        </w:rPr>
        <w:t>综合管理全县安全生产工作；分析和预测全县安全生产形势；制定全县安全生产工作规划；依法行使安全生产监督管理职能，指导、监督和协调各乡镇、各部门承担的安全生产监督管理工作；督促检查各乡镇、各部门贯彻落实上级的安全生产工作决定及工作部署。</w:t>
      </w:r>
    </w:p>
    <w:p>
      <w:pPr>
        <w:keepNext w:val="0"/>
        <w:keepLines w:val="0"/>
        <w:pageBreakBefore w:val="0"/>
        <w:widowControl/>
        <w:kinsoku/>
        <w:wordWrap/>
        <w:overflowPunct/>
        <w:topLinePunct w:val="0"/>
        <w:autoSpaceDE/>
        <w:autoSpaceDN/>
        <w:bidi w:val="0"/>
        <w:adjustRightInd/>
        <w:spacing w:line="560" w:lineRule="exact"/>
        <w:outlineLvl w:val="9"/>
        <w:rPr>
          <w:rFonts w:hint="eastAsia" w:ascii="仿宋" w:hAnsi="仿宋" w:eastAsia="仿宋" w:cs="宋体"/>
          <w:color w:val="000000"/>
          <w:sz w:val="32"/>
          <w:szCs w:val="32"/>
        </w:rPr>
      </w:pPr>
      <w:r>
        <w:rPr>
          <w:rFonts w:hint="eastAsia" w:ascii="宋体" w:hAnsi="宋体" w:eastAsia="仿宋" w:cs="宋体"/>
          <w:color w:val="000000"/>
          <w:kern w:val="0"/>
          <w:sz w:val="32"/>
          <w:szCs w:val="32"/>
        </w:rPr>
        <w:t>  </w:t>
      </w:r>
      <w:r>
        <w:rPr>
          <w:rFonts w:hint="eastAsia" w:ascii="宋体" w:hAnsi="宋体" w:eastAsia="仿宋" w:cs="宋体"/>
          <w:color w:val="000000"/>
          <w:kern w:val="0"/>
          <w:sz w:val="32"/>
          <w:szCs w:val="32"/>
          <w:lang w:val="en-US" w:eastAsia="zh-CN"/>
        </w:rPr>
        <w:t>3、</w:t>
      </w:r>
      <w:r>
        <w:rPr>
          <w:rFonts w:hint="eastAsia" w:ascii="仿宋" w:hAnsi="仿宋" w:eastAsia="仿宋" w:cs="宋体"/>
          <w:color w:val="000000"/>
          <w:kern w:val="0"/>
          <w:sz w:val="32"/>
          <w:szCs w:val="32"/>
        </w:rPr>
        <w:t>负责发布全县安全生产信息，综合管理全县伤亡事故统计工作；组织、协调事故的调查处理；参与较大事故的调查处理；受县政府委托，承办安全事故审批结案的有关工作；负责县级重特大事故应急救援预案的制定及各乡镇、各部门重特大事故应急救援预案的审核工作。</w:t>
      </w:r>
    </w:p>
    <w:p>
      <w:pPr>
        <w:keepNext w:val="0"/>
        <w:keepLines w:val="0"/>
        <w:pageBreakBefore w:val="0"/>
        <w:widowControl/>
        <w:kinsoku/>
        <w:wordWrap/>
        <w:overflowPunct/>
        <w:topLinePunct w:val="0"/>
        <w:autoSpaceDE/>
        <w:autoSpaceDN/>
        <w:bidi w:val="0"/>
        <w:adjustRightInd/>
        <w:spacing w:line="560" w:lineRule="exact"/>
        <w:outlineLvl w:val="9"/>
        <w:rPr>
          <w:rFonts w:hint="eastAsia" w:ascii="仿宋" w:hAnsi="仿宋" w:eastAsia="仿宋" w:cs="宋体"/>
          <w:color w:val="000000"/>
          <w:sz w:val="32"/>
          <w:szCs w:val="32"/>
        </w:rPr>
      </w:pPr>
      <w:r>
        <w:rPr>
          <w:rFonts w:hint="eastAsia" w:ascii="宋体" w:hAnsi="宋体" w:eastAsia="仿宋" w:cs="宋体"/>
          <w:color w:val="000000"/>
          <w:kern w:val="0"/>
          <w:sz w:val="32"/>
          <w:szCs w:val="32"/>
        </w:rPr>
        <w:t>  </w:t>
      </w:r>
      <w:r>
        <w:rPr>
          <w:rFonts w:hint="eastAsia" w:ascii="宋体" w:hAnsi="宋体" w:eastAsia="仿宋" w:cs="宋体"/>
          <w:color w:val="000000"/>
          <w:kern w:val="0"/>
          <w:sz w:val="32"/>
          <w:szCs w:val="32"/>
          <w:lang w:val="en-US" w:eastAsia="zh-CN"/>
        </w:rPr>
        <w:t>4、</w:t>
      </w:r>
      <w:r>
        <w:rPr>
          <w:rFonts w:hint="eastAsia" w:ascii="仿宋" w:hAnsi="仿宋" w:eastAsia="仿宋" w:cs="宋体"/>
          <w:color w:val="000000"/>
          <w:kern w:val="0"/>
          <w:sz w:val="32"/>
          <w:szCs w:val="32"/>
        </w:rPr>
        <w:t>指导、协调全县安全生产检测检验工作，组织实施对工矿商贸企业安全生产条件和有关设备进行检测检验；对安全培训、安全咨询等社会中介组织的资格许可进行审核，并负责监督检查。</w:t>
      </w:r>
    </w:p>
    <w:p>
      <w:pPr>
        <w:keepNext w:val="0"/>
        <w:keepLines w:val="0"/>
        <w:pageBreakBefore w:val="0"/>
        <w:widowControl/>
        <w:kinsoku/>
        <w:wordWrap/>
        <w:overflowPunct/>
        <w:topLinePunct w:val="0"/>
        <w:autoSpaceDE/>
        <w:autoSpaceDN/>
        <w:bidi w:val="0"/>
        <w:adjustRightInd/>
        <w:spacing w:line="560" w:lineRule="exact"/>
        <w:outlineLvl w:val="9"/>
        <w:rPr>
          <w:rFonts w:hint="eastAsia" w:ascii="仿宋" w:hAnsi="仿宋" w:eastAsia="仿宋" w:cs="宋体"/>
          <w:color w:val="000000"/>
          <w:sz w:val="32"/>
          <w:szCs w:val="32"/>
        </w:rPr>
      </w:pPr>
      <w:r>
        <w:rPr>
          <w:rFonts w:hint="eastAsia" w:ascii="宋体" w:hAnsi="宋体" w:eastAsia="仿宋" w:cs="宋体"/>
          <w:color w:val="000000"/>
          <w:kern w:val="0"/>
          <w:sz w:val="32"/>
          <w:szCs w:val="32"/>
        </w:rPr>
        <w:t>  </w:t>
      </w:r>
      <w:r>
        <w:rPr>
          <w:rFonts w:hint="eastAsia" w:ascii="宋体" w:hAnsi="宋体" w:eastAsia="仿宋" w:cs="宋体"/>
          <w:color w:val="000000"/>
          <w:kern w:val="0"/>
          <w:sz w:val="32"/>
          <w:szCs w:val="32"/>
          <w:lang w:val="en-US" w:eastAsia="zh-CN"/>
        </w:rPr>
        <w:t>5、</w:t>
      </w:r>
      <w:r>
        <w:rPr>
          <w:rFonts w:hint="eastAsia" w:ascii="仿宋" w:hAnsi="仿宋" w:eastAsia="仿宋" w:cs="宋体"/>
          <w:color w:val="000000"/>
          <w:kern w:val="0"/>
          <w:sz w:val="32"/>
          <w:szCs w:val="32"/>
        </w:rPr>
        <w:t>组织全县安全生产方面的宣传教育、考核工作，依法组织、指导并监督全县特种作业人员 ( 不含特种设备作业人员) 的考核工作和企业主要经济管理者的安全资格考核工作；建立适应社会主义市场经济发展需要的安全生产管理网络体系。</w:t>
      </w:r>
    </w:p>
    <w:p>
      <w:pPr>
        <w:keepNext w:val="0"/>
        <w:keepLines w:val="0"/>
        <w:pageBreakBefore w:val="0"/>
        <w:widowControl/>
        <w:kinsoku/>
        <w:wordWrap/>
        <w:overflowPunct/>
        <w:topLinePunct w:val="0"/>
        <w:autoSpaceDE/>
        <w:autoSpaceDN/>
        <w:bidi w:val="0"/>
        <w:adjustRightInd/>
        <w:spacing w:line="560" w:lineRule="exact"/>
        <w:outlineLvl w:val="9"/>
        <w:rPr>
          <w:rFonts w:hint="eastAsia" w:ascii="仿宋" w:hAnsi="仿宋" w:eastAsia="仿宋" w:cs="宋体"/>
          <w:color w:val="000000"/>
          <w:sz w:val="32"/>
          <w:szCs w:val="32"/>
        </w:rPr>
      </w:pPr>
      <w:r>
        <w:rPr>
          <w:rFonts w:hint="eastAsia" w:ascii="宋体" w:hAnsi="宋体" w:eastAsia="仿宋" w:cs="宋体"/>
          <w:color w:val="000000"/>
          <w:kern w:val="0"/>
          <w:sz w:val="32"/>
          <w:szCs w:val="32"/>
        </w:rPr>
        <w:t> </w:t>
      </w:r>
      <w:r>
        <w:rPr>
          <w:rFonts w:hint="eastAsia" w:ascii="仿宋" w:hAnsi="仿宋" w:eastAsia="仿宋" w:cs="宋体"/>
          <w:color w:val="000000"/>
          <w:kern w:val="0"/>
          <w:sz w:val="32"/>
          <w:szCs w:val="32"/>
        </w:rPr>
        <w:t xml:space="preserve">  </w:t>
      </w:r>
      <w:r>
        <w:rPr>
          <w:rFonts w:hint="eastAsia" w:ascii="仿宋" w:hAnsi="仿宋" w:eastAsia="仿宋" w:cs="宋体"/>
          <w:color w:val="000000"/>
          <w:kern w:val="0"/>
          <w:sz w:val="32"/>
          <w:szCs w:val="32"/>
          <w:lang w:val="en-US" w:eastAsia="zh-CN"/>
        </w:rPr>
        <w:t>6、</w:t>
      </w:r>
      <w:r>
        <w:rPr>
          <w:rFonts w:hint="eastAsia" w:ascii="仿宋" w:hAnsi="仿宋" w:eastAsia="仿宋" w:cs="宋体"/>
          <w:color w:val="000000"/>
          <w:kern w:val="0"/>
          <w:sz w:val="32"/>
          <w:szCs w:val="32"/>
        </w:rPr>
        <w:t>监督检查工矿商贸企业贯彻执行安全生产法律、法规情况和安全生产条件、有关设备、材料及劳动防护用品的安全管理工作。</w:t>
      </w:r>
    </w:p>
    <w:p>
      <w:pPr>
        <w:keepNext w:val="0"/>
        <w:keepLines w:val="0"/>
        <w:pageBreakBefore w:val="0"/>
        <w:widowControl/>
        <w:kinsoku/>
        <w:wordWrap/>
        <w:overflowPunct/>
        <w:topLinePunct w:val="0"/>
        <w:autoSpaceDE/>
        <w:autoSpaceDN/>
        <w:bidi w:val="0"/>
        <w:adjustRightInd/>
        <w:spacing w:line="560" w:lineRule="exact"/>
        <w:outlineLvl w:val="9"/>
        <w:rPr>
          <w:rFonts w:hint="eastAsia" w:ascii="仿宋" w:hAnsi="仿宋" w:eastAsia="仿宋" w:cs="宋体"/>
          <w:color w:val="000000"/>
          <w:sz w:val="32"/>
          <w:szCs w:val="32"/>
        </w:rPr>
      </w:pPr>
      <w:r>
        <w:rPr>
          <w:rFonts w:hint="eastAsia" w:ascii="宋体" w:hAnsi="宋体" w:eastAsia="仿宋" w:cs="宋体"/>
          <w:color w:val="000000"/>
          <w:kern w:val="0"/>
          <w:sz w:val="32"/>
          <w:szCs w:val="32"/>
        </w:rPr>
        <w:t> </w:t>
      </w:r>
      <w:r>
        <w:rPr>
          <w:rFonts w:hint="eastAsia" w:ascii="仿宋" w:hAnsi="仿宋" w:eastAsia="仿宋" w:cs="宋体"/>
          <w:color w:val="000000"/>
          <w:kern w:val="0"/>
          <w:sz w:val="32"/>
          <w:szCs w:val="32"/>
        </w:rPr>
        <w:t xml:space="preserve">  </w:t>
      </w:r>
      <w:r>
        <w:rPr>
          <w:rFonts w:hint="eastAsia" w:ascii="仿宋" w:hAnsi="仿宋" w:eastAsia="仿宋" w:cs="宋体"/>
          <w:color w:val="000000"/>
          <w:kern w:val="0"/>
          <w:sz w:val="32"/>
          <w:szCs w:val="32"/>
          <w:lang w:val="en-US" w:eastAsia="zh-CN"/>
        </w:rPr>
        <w:t>7、</w:t>
      </w:r>
      <w:r>
        <w:rPr>
          <w:rFonts w:hint="eastAsia" w:ascii="仿宋" w:hAnsi="仿宋" w:eastAsia="仿宋" w:cs="宋体"/>
          <w:color w:val="000000"/>
          <w:kern w:val="0"/>
          <w:sz w:val="32"/>
          <w:szCs w:val="32"/>
        </w:rPr>
        <w:t>负责新建、改建、扩建工程项目的安全设施与主体工程同时设计、同时施工、同时投入生产和使用的安全监督检查工作；按照职业安全法规和标准，监督检查工矿商贸企业职业危害的防治工作，依法监督检查重大危险源的监控和重大事故隐患的整改工作，组织对不具备安全生产基本条件的生产经营单位的查处工作；督促企业建立完善的职业安全管理体系。</w:t>
      </w:r>
    </w:p>
    <w:p>
      <w:pPr>
        <w:keepNext w:val="0"/>
        <w:keepLines w:val="0"/>
        <w:pageBreakBefore w:val="0"/>
        <w:widowControl/>
        <w:kinsoku/>
        <w:wordWrap/>
        <w:overflowPunct/>
        <w:topLinePunct w:val="0"/>
        <w:autoSpaceDE/>
        <w:autoSpaceDN/>
        <w:bidi w:val="0"/>
        <w:adjustRightInd/>
        <w:spacing w:line="560" w:lineRule="exact"/>
        <w:outlineLvl w:val="9"/>
        <w:rPr>
          <w:rFonts w:hint="eastAsia" w:ascii="仿宋" w:hAnsi="仿宋" w:eastAsia="仿宋" w:cs="宋体"/>
          <w:color w:val="000000"/>
          <w:sz w:val="32"/>
          <w:szCs w:val="32"/>
        </w:rPr>
      </w:pPr>
      <w:r>
        <w:rPr>
          <w:rFonts w:hint="eastAsia" w:ascii="宋体" w:hAnsi="宋体" w:eastAsia="仿宋" w:cs="宋体"/>
          <w:color w:val="000000"/>
          <w:kern w:val="0"/>
          <w:sz w:val="32"/>
          <w:szCs w:val="32"/>
        </w:rPr>
        <w:t>  </w:t>
      </w:r>
      <w:r>
        <w:rPr>
          <w:rFonts w:hint="eastAsia" w:ascii="宋体" w:hAnsi="宋体" w:eastAsia="仿宋" w:cs="宋体"/>
          <w:color w:val="000000"/>
          <w:kern w:val="0"/>
          <w:sz w:val="32"/>
          <w:szCs w:val="32"/>
          <w:lang w:val="en-US" w:eastAsia="zh-CN"/>
        </w:rPr>
        <w:t>8、</w:t>
      </w:r>
      <w:r>
        <w:rPr>
          <w:rFonts w:hint="eastAsia" w:ascii="仿宋" w:hAnsi="仿宋" w:eastAsia="仿宋" w:cs="宋体"/>
          <w:color w:val="000000"/>
          <w:kern w:val="0"/>
          <w:sz w:val="32"/>
          <w:szCs w:val="32"/>
        </w:rPr>
        <w:t>负责危险化学品及烟花爆竹生产、储存、经营、使用单位的安全生产综合管理工作；组织、指导和协调危险品事故应急救援等工作。</w:t>
      </w:r>
    </w:p>
    <w:p>
      <w:pPr>
        <w:keepNext w:val="0"/>
        <w:keepLines w:val="0"/>
        <w:pageBreakBefore w:val="0"/>
        <w:widowControl/>
        <w:kinsoku/>
        <w:wordWrap/>
        <w:overflowPunct/>
        <w:topLinePunct w:val="0"/>
        <w:autoSpaceDE/>
        <w:autoSpaceDN/>
        <w:bidi w:val="0"/>
        <w:adjustRightInd/>
        <w:spacing w:line="560" w:lineRule="exact"/>
        <w:outlineLvl w:val="9"/>
        <w:rPr>
          <w:rFonts w:ascii="仿宋" w:hAnsi="仿宋" w:eastAsia="仿宋"/>
          <w:bCs/>
          <w:color w:val="000000"/>
          <w:sz w:val="32"/>
          <w:szCs w:val="32"/>
        </w:rPr>
      </w:pPr>
      <w:r>
        <w:rPr>
          <w:rFonts w:hint="eastAsia" w:ascii="宋体" w:hAnsi="宋体" w:eastAsia="仿宋" w:cs="宋体"/>
          <w:color w:val="000000"/>
          <w:kern w:val="0"/>
          <w:sz w:val="32"/>
          <w:szCs w:val="32"/>
        </w:rPr>
        <w:t>  </w:t>
      </w:r>
      <w:r>
        <w:rPr>
          <w:rFonts w:hint="eastAsia" w:ascii="宋体" w:hAnsi="宋体" w:eastAsia="仿宋" w:cs="宋体"/>
          <w:color w:val="000000"/>
          <w:kern w:val="0"/>
          <w:sz w:val="32"/>
          <w:szCs w:val="32"/>
          <w:lang w:val="en-US" w:eastAsia="zh-CN"/>
        </w:rPr>
        <w:t>9、</w:t>
      </w:r>
      <w:r>
        <w:rPr>
          <w:rFonts w:hint="eastAsia" w:ascii="仿宋" w:hAnsi="仿宋" w:eastAsia="仿宋" w:cs="宋体"/>
          <w:color w:val="000000"/>
          <w:kern w:val="0"/>
          <w:sz w:val="32"/>
          <w:szCs w:val="32"/>
        </w:rPr>
        <w:t>承担县安全生产委员会办公室的日常工作；承担县政府交办的其他工作事项。</w:t>
      </w:r>
      <w:bookmarkEnd w:id="16"/>
      <w:bookmarkEnd w:id="17"/>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8" w:name="_Toc15378446"/>
      <w:bookmarkStart w:id="19" w:name="_Toc15377199"/>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b w:val="0"/>
          <w:bCs w:val="0"/>
          <w:color w:val="000000"/>
          <w:sz w:val="32"/>
        </w:rPr>
      </w:pPr>
      <w:r>
        <w:rPr>
          <w:rFonts w:hint="eastAsia" w:ascii="仿宋_GB2312" w:hAnsi="仿宋_GB2312" w:eastAsia="仿宋_GB2312"/>
          <w:color w:val="000000"/>
          <w:sz w:val="32"/>
          <w:szCs w:val="32"/>
        </w:rPr>
        <w:t>201</w:t>
      </w:r>
      <w:r>
        <w:rPr>
          <w:rFonts w:hint="eastAsia" w:ascii="仿宋_GB2312" w:hAnsi="仿宋_GB2312" w:eastAsia="仿宋_GB2312"/>
          <w:color w:val="000000"/>
          <w:sz w:val="32"/>
          <w:szCs w:val="32"/>
          <w:lang w:val="en-US" w:eastAsia="zh-CN"/>
        </w:rPr>
        <w:t>8</w:t>
      </w:r>
      <w:r>
        <w:rPr>
          <w:rFonts w:hint="eastAsia" w:ascii="仿宋_GB2312" w:hAnsi="仿宋_GB2312" w:eastAsia="仿宋_GB2312"/>
          <w:color w:val="000000"/>
          <w:sz w:val="32"/>
          <w:szCs w:val="32"/>
        </w:rPr>
        <w:t>年</w:t>
      </w:r>
      <w:r>
        <w:rPr>
          <w:rFonts w:hint="eastAsia" w:ascii="仿宋_GB2312" w:hAnsi="仿宋_GB2312" w:eastAsia="仿宋_GB2312"/>
          <w:color w:val="000000"/>
          <w:sz w:val="32"/>
          <w:szCs w:val="32"/>
          <w:lang w:val="en-US" w:eastAsia="zh-CN"/>
        </w:rPr>
        <w:t>以来</w:t>
      </w:r>
      <w:r>
        <w:rPr>
          <w:rFonts w:hint="eastAsia" w:ascii="仿宋_GB2312" w:hAnsi="仿宋_GB2312" w:eastAsia="仿宋_GB2312"/>
          <w:color w:val="000000"/>
          <w:sz w:val="32"/>
          <w:szCs w:val="32"/>
        </w:rPr>
        <w:t>，红原</w:t>
      </w:r>
      <w:r>
        <w:rPr>
          <w:rFonts w:hint="eastAsia" w:ascii="仿宋_GB2312" w:hAnsi="仿宋_GB2312" w:eastAsia="仿宋_GB2312"/>
          <w:color w:val="000000"/>
          <w:sz w:val="32"/>
          <w:lang w:val="zh-CN"/>
        </w:rPr>
        <w:t>县</w:t>
      </w:r>
      <w:r>
        <w:rPr>
          <w:rFonts w:hint="eastAsia" w:ascii="仿宋_GB2312" w:eastAsia="仿宋_GB2312"/>
          <w:color w:val="000000"/>
          <w:sz w:val="32"/>
          <w:szCs w:val="32"/>
        </w:rPr>
        <w:t>通过强化安全监管检查，突出隐患排查整治、加大联合执法和强化企业主</w:t>
      </w:r>
      <w:r>
        <w:rPr>
          <w:rFonts w:hint="eastAsia" w:ascii="仿宋_GB2312" w:eastAsia="仿宋_GB2312"/>
          <w:color w:val="000000"/>
          <w:sz w:val="32"/>
          <w:szCs w:val="32"/>
          <w:lang w:val="en-US" w:eastAsia="zh-CN"/>
        </w:rPr>
        <w:t>体</w:t>
      </w:r>
      <w:r>
        <w:rPr>
          <w:rFonts w:hint="eastAsia" w:ascii="仿宋_GB2312" w:eastAsia="仿宋_GB2312"/>
          <w:color w:val="000000"/>
          <w:sz w:val="32"/>
          <w:szCs w:val="32"/>
        </w:rPr>
        <w:t>责任等措施，严格控制事故指标，</w:t>
      </w:r>
      <w:r>
        <w:rPr>
          <w:rFonts w:hint="eastAsia" w:ascii="仿宋_GB2312" w:hAnsi="仿宋_GB2312" w:eastAsia="仿宋_GB2312"/>
          <w:color w:val="000000"/>
          <w:sz w:val="32"/>
        </w:rPr>
        <w:t>为促进全县经济发展和维护社会稳定做出了积极努力</w:t>
      </w:r>
      <w:r>
        <w:rPr>
          <w:rFonts w:hint="eastAsia" w:ascii="仿宋_GB2312" w:eastAsia="仿宋_GB2312"/>
          <w:color w:val="000000"/>
          <w:sz w:val="32"/>
          <w:szCs w:val="32"/>
        </w:rPr>
        <w:t>。</w:t>
      </w:r>
      <w:r>
        <w:rPr>
          <w:rFonts w:hint="eastAsia" w:ascii="仿宋_GB2312" w:hAnsi="仿宋_GB2312" w:eastAsia="仿宋_GB2312"/>
          <w:b w:val="0"/>
          <w:bCs w:val="0"/>
          <w:color w:val="000000"/>
          <w:sz w:val="32"/>
        </w:rPr>
        <w:t>全县共发生</w:t>
      </w:r>
      <w:r>
        <w:rPr>
          <w:rFonts w:hint="eastAsia" w:ascii="仿宋_GB2312" w:hAnsi="仿宋_GB2312" w:eastAsia="仿宋_GB2312"/>
          <w:b w:val="0"/>
          <w:bCs w:val="0"/>
          <w:color w:val="000000"/>
          <w:sz w:val="32"/>
          <w:lang w:val="en-US" w:eastAsia="zh-CN"/>
        </w:rPr>
        <w:t>各类</w:t>
      </w:r>
      <w:r>
        <w:rPr>
          <w:rFonts w:hint="eastAsia" w:ascii="仿宋_GB2312" w:hAnsi="仿宋_GB2312" w:eastAsia="仿宋_GB2312"/>
          <w:b w:val="0"/>
          <w:bCs w:val="0"/>
          <w:color w:val="000000"/>
          <w:sz w:val="32"/>
          <w:lang w:eastAsia="zh-CN"/>
        </w:rPr>
        <w:t>道路交通事故</w:t>
      </w:r>
      <w:r>
        <w:rPr>
          <w:rFonts w:hint="eastAsia" w:ascii="仿宋_GB2312" w:hAnsi="仿宋_GB2312" w:eastAsia="仿宋_GB2312"/>
          <w:b w:val="0"/>
          <w:bCs w:val="0"/>
          <w:color w:val="000000"/>
          <w:sz w:val="32"/>
          <w:lang w:val="en-US" w:eastAsia="zh-CN"/>
        </w:rPr>
        <w:t>455起，直接经济损失269.86万元（其中：简易事故399起，直接经济损失50.06万元，一般事故8起，直接经济损失200万元，撞牲畜事故48起，直接经济损失19.8万元）触电事故1起，死亡1人，直接经济损失30万元，</w:t>
      </w:r>
      <w:r>
        <w:rPr>
          <w:rFonts w:hint="eastAsia" w:ascii="仿宋_GB2312" w:eastAsia="仿宋_GB2312"/>
          <w:b w:val="0"/>
          <w:bCs w:val="0"/>
          <w:color w:val="000000"/>
          <w:sz w:val="32"/>
          <w:szCs w:val="32"/>
        </w:rPr>
        <w:t>无重特大安全事故发生</w:t>
      </w:r>
      <w:r>
        <w:rPr>
          <w:rFonts w:hint="eastAsia" w:ascii="仿宋_GB2312" w:hAnsi="仿宋_GB2312" w:eastAsia="仿宋_GB2312"/>
          <w:b w:val="0"/>
          <w:bCs w:val="0"/>
          <w:color w:val="000000"/>
          <w:kern w:val="0"/>
          <w:sz w:val="32"/>
        </w:rPr>
        <w:t>。</w:t>
      </w:r>
      <w:r>
        <w:rPr>
          <w:rFonts w:hint="eastAsia" w:ascii="仿宋_GB2312" w:eastAsia="仿宋_GB2312"/>
          <w:b w:val="0"/>
          <w:bCs w:val="0"/>
          <w:color w:val="000000"/>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rFonts w:hint="eastAsia" w:ascii="仿宋_GB2312" w:hAnsi="仿宋_GB2312" w:eastAsia="仿宋_GB2312"/>
          <w:b w:val="0"/>
          <w:bCs w:val="0"/>
          <w:color w:val="000000"/>
          <w:sz w:val="32"/>
          <w:lang w:val="en-US" w:eastAsia="zh-CN"/>
        </w:rPr>
      </w:pPr>
      <w:r>
        <w:rPr>
          <w:rFonts w:hint="eastAsia" w:ascii="仿宋_GB2312" w:hAnsi="仿宋_GB2312" w:eastAsia="仿宋_GB2312"/>
          <w:b w:val="0"/>
          <w:bCs w:val="0"/>
          <w:color w:val="000000"/>
          <w:sz w:val="32"/>
        </w:rPr>
        <w:t>采石场、危化品、烟花爆竹、建筑施工等领域均无事故发生。</w:t>
      </w:r>
      <w:r>
        <w:rPr>
          <w:rFonts w:hint="eastAsia" w:ascii="仿宋_GB2312" w:hAnsi="仿宋_GB2312" w:eastAsia="仿宋_GB2312"/>
          <w:b w:val="0"/>
          <w:bCs w:val="0"/>
          <w:color w:val="000000"/>
          <w:sz w:val="32"/>
          <w:lang w:val="en-US" w:eastAsia="zh-CN"/>
        </w:rPr>
        <w:t>各类</w:t>
      </w:r>
      <w:r>
        <w:rPr>
          <w:rFonts w:hint="eastAsia" w:ascii="仿宋_GB2312" w:hAnsi="仿宋_GB2312" w:eastAsia="仿宋_GB2312"/>
          <w:b w:val="0"/>
          <w:bCs w:val="0"/>
          <w:color w:val="000000"/>
          <w:sz w:val="32"/>
        </w:rPr>
        <w:t>道路交通事</w:t>
      </w:r>
      <w:r>
        <w:rPr>
          <w:rFonts w:hint="eastAsia" w:ascii="仿宋_GB2312" w:hAnsi="仿宋_GB2312" w:eastAsia="仿宋_GB2312"/>
          <w:b w:val="0"/>
          <w:bCs w:val="0"/>
          <w:color w:val="000000"/>
          <w:sz w:val="32"/>
          <w:lang w:val="en-US" w:eastAsia="zh-CN"/>
        </w:rPr>
        <w:t>455起，</w:t>
      </w:r>
      <w:r>
        <w:rPr>
          <w:rFonts w:hint="eastAsia" w:ascii="仿宋_GB2312" w:hAnsi="仿宋_GB2312" w:eastAsia="仿宋_GB2312"/>
          <w:b w:val="0"/>
          <w:bCs w:val="0"/>
          <w:color w:val="000000"/>
          <w:sz w:val="32"/>
        </w:rPr>
        <w:t>占事故</w:t>
      </w:r>
      <w:r>
        <w:rPr>
          <w:rFonts w:hint="eastAsia" w:ascii="仿宋_GB2312" w:hAnsi="仿宋_GB2312" w:eastAsia="仿宋_GB2312"/>
          <w:b w:val="0"/>
          <w:bCs w:val="0"/>
          <w:color w:val="000000"/>
          <w:sz w:val="32"/>
          <w:lang w:val="en-US" w:eastAsia="zh-CN"/>
        </w:rPr>
        <w:t>总</w:t>
      </w:r>
      <w:r>
        <w:rPr>
          <w:rFonts w:hint="eastAsia" w:ascii="仿宋_GB2312" w:hAnsi="仿宋_GB2312" w:eastAsia="仿宋_GB2312"/>
          <w:b w:val="0"/>
          <w:bCs w:val="0"/>
          <w:color w:val="000000"/>
          <w:sz w:val="32"/>
        </w:rPr>
        <w:t>数的</w:t>
      </w:r>
      <w:r>
        <w:rPr>
          <w:rFonts w:hint="eastAsia" w:ascii="仿宋_GB2312" w:hAnsi="仿宋_GB2312" w:eastAsia="仿宋_GB2312"/>
          <w:b w:val="0"/>
          <w:bCs w:val="0"/>
          <w:color w:val="000000"/>
          <w:sz w:val="32"/>
          <w:lang w:val="en-US" w:eastAsia="zh-CN"/>
        </w:rPr>
        <w:t>99.78</w:t>
      </w:r>
      <w:r>
        <w:rPr>
          <w:rFonts w:hint="eastAsia" w:ascii="仿宋_GB2312" w:hAnsi="仿宋_GB2312" w:eastAsia="仿宋_GB2312"/>
          <w:b w:val="0"/>
          <w:bCs w:val="0"/>
          <w:color w:val="000000"/>
          <w:sz w:val="32"/>
        </w:rPr>
        <w:t>%</w:t>
      </w:r>
      <w:r>
        <w:rPr>
          <w:rFonts w:hint="eastAsia" w:ascii="仿宋_GB2312" w:hAnsi="仿宋_GB2312" w:eastAsia="仿宋_GB2312"/>
          <w:b w:val="0"/>
          <w:bCs w:val="0"/>
          <w:color w:val="000000"/>
          <w:sz w:val="32"/>
          <w:lang w:eastAsia="zh-CN"/>
        </w:rPr>
        <w:t>。</w:t>
      </w:r>
      <w:r>
        <w:rPr>
          <w:rFonts w:hint="eastAsia" w:ascii="仿宋_GB2312" w:hAnsi="仿宋_GB2312" w:eastAsia="仿宋_GB2312"/>
          <w:b w:val="0"/>
          <w:bCs w:val="0"/>
          <w:color w:val="000000"/>
          <w:sz w:val="32"/>
          <w:lang w:val="en-US" w:eastAsia="zh-CN"/>
        </w:rPr>
        <w:t>其它事故1起，占事故总数的0.22%。</w:t>
      </w:r>
    </w:p>
    <w:p>
      <w:pPr>
        <w:pStyle w:val="12"/>
        <w:keepNext w:val="0"/>
        <w:keepLines w:val="0"/>
        <w:pageBreakBefore w:val="0"/>
        <w:kinsoku/>
        <w:wordWrap/>
        <w:overflowPunct/>
        <w:topLinePunct w:val="0"/>
        <w:autoSpaceDE/>
        <w:autoSpaceDN/>
        <w:bidi w:val="0"/>
        <w:adjustRightInd/>
        <w:spacing w:before="0" w:beforeLines="0" w:beforeAutospacing="0" w:after="0" w:afterLines="0" w:afterAutospacing="0" w:line="560" w:lineRule="exact"/>
        <w:ind w:left="0" w:leftChars="0" w:right="0" w:rightChars="0" w:firstLine="640" w:firstLineChars="200"/>
        <w:jc w:val="left"/>
        <w:textAlignment w:val="baseline"/>
        <w:outlineLvl w:val="9"/>
        <w:rPr>
          <w:rFonts w:hint="eastAsia" w:ascii="仿宋_GB2312" w:hAnsi="仿宋_GB2312" w:eastAsia="仿宋_GB2312"/>
          <w:color w:val="000000"/>
          <w:sz w:val="32"/>
        </w:rPr>
      </w:pPr>
      <w:r>
        <w:rPr>
          <w:rFonts w:hint="eastAsia" w:ascii="仿宋_GB2312" w:hAnsi="仿宋_GB2312" w:eastAsia="仿宋_GB2312"/>
          <w:color w:val="000000"/>
          <w:sz w:val="32"/>
        </w:rPr>
        <w:t>按照“谁主管、谁负责、管生产、管安全”的原则，</w:t>
      </w:r>
      <w:r>
        <w:rPr>
          <w:rFonts w:hint="eastAsia" w:ascii="仿宋_GB2312" w:hAnsi="仿宋_GB2312" w:eastAsia="仿宋_GB2312"/>
          <w:color w:val="000000"/>
          <w:sz w:val="32"/>
          <w:lang w:val="zh-CN" w:eastAsia="zh-CN"/>
        </w:rPr>
        <w:t>继续推行政府监管责任和企业主体责任，推行安全生产“党政同责、一岗双责”办法，实行安全生产目标管理和安全生产一票否决制，县政府</w:t>
      </w:r>
      <w:r>
        <w:rPr>
          <w:rFonts w:hint="eastAsia" w:ascii="仿宋_GB2312" w:hAnsi="仿宋_GB2312" w:eastAsia="仿宋_GB2312"/>
          <w:color w:val="000000"/>
          <w:sz w:val="32"/>
        </w:rPr>
        <w:t>分别与各单位、各乡镇签订《</w:t>
      </w:r>
      <w:r>
        <w:rPr>
          <w:rFonts w:hint="eastAsia" w:ascii="仿宋_GB2312" w:hAnsi="仿宋_GB2312" w:eastAsia="仿宋_GB2312"/>
          <w:color w:val="000000"/>
          <w:sz w:val="32"/>
          <w:lang w:eastAsia="zh-CN"/>
        </w:rPr>
        <w:t>201</w:t>
      </w:r>
      <w:r>
        <w:rPr>
          <w:rFonts w:hint="eastAsia" w:ascii="仿宋_GB2312" w:hAnsi="仿宋_GB2312" w:eastAsia="仿宋_GB2312"/>
          <w:color w:val="000000"/>
          <w:sz w:val="32"/>
          <w:lang w:val="en-US" w:eastAsia="zh-CN"/>
        </w:rPr>
        <w:t>8</w:t>
      </w:r>
      <w:r>
        <w:rPr>
          <w:rFonts w:hint="eastAsia" w:ascii="仿宋_GB2312" w:hAnsi="仿宋_GB2312" w:eastAsia="仿宋_GB2312"/>
          <w:color w:val="000000"/>
          <w:sz w:val="32"/>
        </w:rPr>
        <w:t>年安全生产目标管理责任书》</w:t>
      </w:r>
      <w:r>
        <w:rPr>
          <w:rFonts w:hint="eastAsia" w:ascii="仿宋_GB2312" w:hAnsi="仿宋_GB2312" w:eastAsia="仿宋_GB2312"/>
          <w:color w:val="000000"/>
          <w:sz w:val="32"/>
          <w:lang w:val="en-US" w:eastAsia="zh-CN"/>
        </w:rPr>
        <w:t>101</w:t>
      </w:r>
      <w:r>
        <w:rPr>
          <w:rFonts w:hint="eastAsia" w:ascii="仿宋_GB2312" w:hAnsi="仿宋_GB2312" w:eastAsia="仿宋_GB2312"/>
          <w:color w:val="000000"/>
          <w:sz w:val="32"/>
        </w:rPr>
        <w:t>份，从源头上</w:t>
      </w:r>
      <w:r>
        <w:rPr>
          <w:rFonts w:hint="eastAsia" w:ascii="仿宋_GB2312" w:hAnsi="仿宋_GB2312" w:eastAsia="仿宋_GB2312"/>
          <w:color w:val="000000"/>
          <w:sz w:val="32"/>
          <w:lang w:val="zh-CN" w:eastAsia="zh-CN"/>
        </w:rPr>
        <w:t>落实了各级各部门的工作责任，督促全县形成齐抓共管的工作局面。</w:t>
      </w:r>
      <w:r>
        <w:rPr>
          <w:rFonts w:hint="eastAsia" w:ascii="仿宋_GB2312" w:hAnsi="仿宋_GB2312" w:eastAsia="仿宋_GB2312"/>
          <w:color w:val="000000"/>
          <w:sz w:val="32"/>
        </w:rPr>
        <w:t>各职能监管责任单位分别与管辖的企事业单位、个体经营户逐级签定安全目标责任书，把</w:t>
      </w:r>
      <w:r>
        <w:rPr>
          <w:rFonts w:ascii="仿宋_GB2312" w:hAnsi="仿宋_GB2312" w:eastAsia="仿宋_GB2312"/>
          <w:color w:val="000000"/>
          <w:sz w:val="32"/>
        </w:rPr>
        <w:t>安全生产</w:t>
      </w:r>
      <w:r>
        <w:rPr>
          <w:rFonts w:hint="eastAsia" w:ascii="仿宋_GB2312" w:hAnsi="仿宋_GB2312" w:eastAsia="仿宋_GB2312"/>
          <w:color w:val="000000"/>
          <w:sz w:val="32"/>
        </w:rPr>
        <w:t>责任落实到了部门，乡、镇、村，做</w:t>
      </w:r>
      <w:r>
        <w:rPr>
          <w:rFonts w:ascii="仿宋_GB2312" w:hAnsi="仿宋_GB2312" w:eastAsia="仿宋_GB2312"/>
          <w:color w:val="000000"/>
          <w:sz w:val="32"/>
        </w:rPr>
        <w:t>到</w:t>
      </w:r>
      <w:r>
        <w:rPr>
          <w:rFonts w:hint="eastAsia" w:ascii="仿宋_GB2312" w:hAnsi="仿宋_GB2312" w:eastAsia="仿宋_GB2312"/>
          <w:color w:val="000000"/>
          <w:sz w:val="32"/>
        </w:rPr>
        <w:t>全面覆盖。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outlineLvl w:val="9"/>
        <w:rPr>
          <w:rFonts w:hint="eastAsia" w:ascii="仿宋_GB2312" w:hAnsi="仿宋_GB2312" w:eastAsia="仿宋_GB2312"/>
          <w:color w:val="000000"/>
          <w:sz w:val="32"/>
          <w:lang w:val="zh-CN" w:eastAsia="zh-CN"/>
        </w:rPr>
      </w:pPr>
      <w:r>
        <w:rPr>
          <w:rFonts w:hint="eastAsia" w:ascii="仿宋_GB2312" w:hAnsi="仿宋_GB2312" w:eastAsia="仿宋_GB2312" w:cs="仿宋_GB2312"/>
          <w:sz w:val="32"/>
          <w:szCs w:val="32"/>
        </w:rPr>
        <w:t>全面加强安全生产法律法规宣传教育，积极动员广大农牧民群众更加关心、支持、参与</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监督安全生产工作，以开展全国第1</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个安全生产月活动为契机，</w:t>
      </w:r>
      <w:r>
        <w:rPr>
          <w:rFonts w:hint="eastAsia" w:ascii="仿宋_GB2312" w:hAnsi="仿宋_GB2312" w:eastAsia="仿宋_GB2312" w:cs="仿宋_GB2312"/>
          <w:b w:val="0"/>
          <w:i w:val="0"/>
          <w:caps w:val="0"/>
          <w:color w:val="333333"/>
          <w:spacing w:val="0"/>
          <w:sz w:val="32"/>
          <w:szCs w:val="32"/>
          <w:shd w:val="clear" w:color="auto" w:fill="FFFFFF"/>
        </w:rPr>
        <w:t>由</w:t>
      </w:r>
      <w:r>
        <w:rPr>
          <w:rFonts w:hint="eastAsia" w:ascii="仿宋_GB2312" w:hAnsi="仿宋_GB2312" w:eastAsia="仿宋_GB2312" w:cs="仿宋_GB2312"/>
          <w:b w:val="0"/>
          <w:i w:val="0"/>
          <w:caps w:val="0"/>
          <w:color w:val="333333"/>
          <w:spacing w:val="0"/>
          <w:sz w:val="32"/>
          <w:szCs w:val="32"/>
          <w:shd w:val="clear" w:color="auto" w:fill="FFFFFF"/>
          <w:lang w:eastAsia="zh-CN"/>
        </w:rPr>
        <w:t>县</w:t>
      </w:r>
      <w:r>
        <w:rPr>
          <w:rFonts w:hint="eastAsia" w:ascii="仿宋_GB2312" w:hAnsi="仿宋_GB2312" w:eastAsia="仿宋_GB2312" w:cs="仿宋_GB2312"/>
          <w:b w:val="0"/>
          <w:i w:val="0"/>
          <w:caps w:val="0"/>
          <w:color w:val="333333"/>
          <w:spacing w:val="0"/>
          <w:sz w:val="32"/>
          <w:szCs w:val="32"/>
          <w:shd w:val="clear" w:color="auto" w:fill="FFFFFF"/>
        </w:rPr>
        <w:t>安委会牵头</w:t>
      </w:r>
      <w:r>
        <w:rPr>
          <w:rFonts w:hint="eastAsia" w:ascii="仿宋_GB2312" w:hAnsi="仿宋_GB2312" w:eastAsia="仿宋_GB2312" w:cs="仿宋_GB2312"/>
          <w:b w:val="0"/>
          <w:i w:val="0"/>
          <w:caps w:val="0"/>
          <w:color w:val="333333"/>
          <w:spacing w:val="0"/>
          <w:sz w:val="32"/>
          <w:szCs w:val="32"/>
          <w:shd w:val="clear" w:color="auto" w:fill="FFFFFF"/>
          <w:lang w:eastAsia="zh-CN"/>
        </w:rPr>
        <w:t>联合总工会、教育局、住建局、交通运输局、</w:t>
      </w:r>
      <w:r>
        <w:rPr>
          <w:rFonts w:hint="eastAsia" w:ascii="仿宋_GB2312" w:hAnsi="仿宋_GB2312" w:eastAsia="仿宋_GB2312" w:cs="仿宋_GB2312"/>
          <w:b w:val="0"/>
          <w:i w:val="0"/>
          <w:caps w:val="0"/>
          <w:color w:val="333333"/>
          <w:spacing w:val="0"/>
          <w:sz w:val="32"/>
          <w:szCs w:val="32"/>
          <w:shd w:val="clear" w:color="auto" w:fill="FFFFFF"/>
          <w:lang w:val="en-US" w:eastAsia="zh-CN"/>
        </w:rPr>
        <w:t>环林局、畜牧水务局、</w:t>
      </w:r>
      <w:r>
        <w:rPr>
          <w:rFonts w:hint="eastAsia" w:ascii="仿宋_GB2312" w:hAnsi="仿宋_GB2312" w:eastAsia="仿宋_GB2312" w:cs="仿宋_GB2312"/>
          <w:b w:val="0"/>
          <w:i w:val="0"/>
          <w:caps w:val="0"/>
          <w:color w:val="333333"/>
          <w:spacing w:val="0"/>
          <w:sz w:val="32"/>
          <w:szCs w:val="32"/>
          <w:shd w:val="clear" w:color="auto" w:fill="FFFFFF"/>
          <w:lang w:eastAsia="zh-CN"/>
        </w:rPr>
        <w:t>工质食药</w:t>
      </w:r>
      <w:r>
        <w:rPr>
          <w:rFonts w:hint="eastAsia" w:ascii="仿宋_GB2312" w:hAnsi="仿宋_GB2312" w:eastAsia="仿宋_GB2312" w:cs="仿宋_GB2312"/>
          <w:b w:val="0"/>
          <w:i w:val="0"/>
          <w:caps w:val="0"/>
          <w:color w:val="333333"/>
          <w:spacing w:val="0"/>
          <w:sz w:val="32"/>
          <w:szCs w:val="32"/>
          <w:shd w:val="clear" w:color="auto" w:fill="FFFFFF"/>
          <w:lang w:val="en-US" w:eastAsia="zh-CN"/>
        </w:rPr>
        <w:t>监</w:t>
      </w:r>
      <w:r>
        <w:rPr>
          <w:rFonts w:hint="eastAsia" w:ascii="仿宋_GB2312" w:hAnsi="仿宋_GB2312" w:eastAsia="仿宋_GB2312" w:cs="仿宋_GB2312"/>
          <w:b w:val="0"/>
          <w:i w:val="0"/>
          <w:caps w:val="0"/>
          <w:color w:val="333333"/>
          <w:spacing w:val="0"/>
          <w:sz w:val="32"/>
          <w:szCs w:val="32"/>
          <w:shd w:val="clear" w:color="auto" w:fill="FFFFFF"/>
          <w:lang w:eastAsia="zh-CN"/>
        </w:rPr>
        <w:t>局、交警大队、消防、运管、</w:t>
      </w:r>
      <w:r>
        <w:rPr>
          <w:rFonts w:hint="eastAsia" w:ascii="仿宋_GB2312" w:hAnsi="仿宋_GB2312" w:eastAsia="仿宋_GB2312" w:cs="仿宋_GB2312"/>
          <w:b w:val="0"/>
          <w:i w:val="0"/>
          <w:caps w:val="0"/>
          <w:color w:val="333333"/>
          <w:spacing w:val="0"/>
          <w:sz w:val="32"/>
          <w:szCs w:val="32"/>
          <w:shd w:val="clear" w:color="auto" w:fill="FFFFFF"/>
          <w:lang w:val="en-US" w:eastAsia="zh-CN"/>
        </w:rPr>
        <w:t>供销社、妇联</w:t>
      </w:r>
      <w:r>
        <w:rPr>
          <w:rFonts w:hint="eastAsia" w:ascii="仿宋_GB2312" w:hAnsi="仿宋_GB2312" w:eastAsia="仿宋_GB2312" w:cs="仿宋_GB2312"/>
          <w:b w:val="0"/>
          <w:i w:val="0"/>
          <w:caps w:val="0"/>
          <w:color w:val="333333"/>
          <w:spacing w:val="0"/>
          <w:sz w:val="32"/>
          <w:szCs w:val="32"/>
          <w:shd w:val="clear" w:color="auto" w:fill="FFFFFF"/>
          <w:lang w:eastAsia="zh-CN"/>
        </w:rPr>
        <w:t>等</w:t>
      </w:r>
      <w:r>
        <w:rPr>
          <w:rFonts w:hint="eastAsia" w:ascii="仿宋_GB2312" w:hAnsi="仿宋_GB2312" w:eastAsia="仿宋_GB2312" w:cs="仿宋_GB2312"/>
          <w:b w:val="0"/>
          <w:i w:val="0"/>
          <w:caps w:val="0"/>
          <w:color w:val="333333"/>
          <w:spacing w:val="0"/>
          <w:sz w:val="32"/>
          <w:szCs w:val="32"/>
          <w:shd w:val="clear" w:color="auto" w:fill="FFFFFF"/>
          <w:lang w:val="en-US" w:eastAsia="zh-CN"/>
        </w:rPr>
        <w:t>十余个</w:t>
      </w:r>
      <w:r>
        <w:rPr>
          <w:rFonts w:hint="eastAsia" w:ascii="仿宋_GB2312" w:hAnsi="仿宋_GB2312" w:eastAsia="仿宋_GB2312" w:cs="仿宋_GB2312"/>
          <w:b w:val="0"/>
          <w:i w:val="0"/>
          <w:caps w:val="0"/>
          <w:color w:val="333333"/>
          <w:spacing w:val="0"/>
          <w:sz w:val="32"/>
          <w:szCs w:val="32"/>
          <w:shd w:val="clear" w:color="auto" w:fill="FFFFFF"/>
          <w:lang w:eastAsia="zh-CN"/>
        </w:rPr>
        <w:t>部门</w:t>
      </w:r>
      <w:r>
        <w:rPr>
          <w:rFonts w:hint="eastAsia" w:ascii="仿宋_GB2312" w:hAnsi="仿宋_GB2312" w:eastAsia="仿宋_GB2312" w:cs="仿宋_GB2312"/>
          <w:sz w:val="32"/>
          <w:szCs w:val="32"/>
        </w:rPr>
        <w:t>紧紧围绕“</w:t>
      </w:r>
      <w:r>
        <w:rPr>
          <w:rFonts w:hint="eastAsia" w:ascii="仿宋_GB2312" w:hAnsi="仿宋_GB2312" w:eastAsia="仿宋_GB2312" w:cs="仿宋_GB2312"/>
          <w:kern w:val="0"/>
          <w:sz w:val="32"/>
          <w:szCs w:val="32"/>
          <w:lang w:eastAsia="zh-CN"/>
        </w:rPr>
        <w:t>生命至上，安全发展</w:t>
      </w:r>
      <w:r>
        <w:rPr>
          <w:rFonts w:hint="eastAsia" w:ascii="仿宋_GB2312" w:hAnsi="仿宋_GB2312" w:eastAsia="仿宋_GB2312" w:cs="仿宋_GB2312"/>
          <w:sz w:val="32"/>
          <w:szCs w:val="32"/>
        </w:rPr>
        <w:t>”主题，共悬挂安全生产横幅</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条、发放宣传资料</w:t>
      </w:r>
      <w:r>
        <w:rPr>
          <w:rFonts w:hint="eastAsia" w:ascii="仿宋_GB2312" w:hAnsi="仿宋_GB2312" w:eastAsia="仿宋_GB2312" w:cs="仿宋_GB2312"/>
          <w:sz w:val="32"/>
          <w:szCs w:val="32"/>
          <w:lang w:val="en-US" w:eastAsia="zh-CN"/>
        </w:rPr>
        <w:t>2000</w:t>
      </w:r>
      <w:r>
        <w:rPr>
          <w:rFonts w:hint="eastAsia" w:ascii="仿宋_GB2312" w:hAnsi="仿宋_GB2312" w:eastAsia="仿宋_GB2312" w:cs="仿宋_GB2312"/>
          <w:sz w:val="32"/>
          <w:szCs w:val="32"/>
        </w:rPr>
        <w:t>余份，宣传册200余份，</w:t>
      </w:r>
      <w:r>
        <w:rPr>
          <w:rFonts w:hint="eastAsia" w:ascii="仿宋_GB2312" w:hAnsi="仿宋_GB2312" w:eastAsia="仿宋_GB2312" w:cs="仿宋_GB2312"/>
          <w:sz w:val="32"/>
          <w:szCs w:val="32"/>
          <w:lang w:eastAsia="zh-CN"/>
        </w:rPr>
        <w:t>其它宣传品</w:t>
      </w:r>
      <w:r>
        <w:rPr>
          <w:rFonts w:hint="eastAsia" w:ascii="仿宋_GB2312" w:hAnsi="仿宋_GB2312" w:eastAsia="仿宋_GB2312" w:cs="仿宋_GB2312"/>
          <w:sz w:val="32"/>
          <w:szCs w:val="32"/>
          <w:lang w:val="en-US" w:eastAsia="zh-CN"/>
        </w:rPr>
        <w:t>200余份，</w:t>
      </w:r>
      <w:r>
        <w:rPr>
          <w:rFonts w:hint="eastAsia" w:ascii="仿宋_GB2312" w:hAnsi="仿宋_GB2312" w:eastAsia="仿宋_GB2312" w:cs="仿宋_GB2312"/>
          <w:sz w:val="32"/>
          <w:szCs w:val="32"/>
        </w:rPr>
        <w:t>发送手机短信1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000余条。</w:t>
      </w:r>
      <w:r>
        <w:rPr>
          <w:rFonts w:hint="eastAsia" w:ascii="仿宋_GB2312" w:hAnsi="仿宋_GB2312" w:eastAsia="仿宋_GB2312" w:cs="仿宋_GB2312"/>
          <w:b w:val="0"/>
          <w:i w:val="0"/>
          <w:caps w:val="0"/>
          <w:color w:val="000000"/>
          <w:spacing w:val="0"/>
          <w:sz w:val="32"/>
          <w:szCs w:val="32"/>
          <w:shd w:val="clear" w:color="auto" w:fill="FFFFFF"/>
        </w:rPr>
        <w:t>有效增强了全市广大人民群众对安全生产的认识与防范事故的能力，为社会稳定打下了良好的基础。</w:t>
      </w:r>
    </w:p>
    <w:p>
      <w:pPr>
        <w:keepNext w:val="0"/>
        <w:keepLines w:val="0"/>
        <w:pageBreakBefore w:val="0"/>
        <w:kinsoku/>
        <w:wordWrap/>
        <w:overflowPunct/>
        <w:topLinePunct w:val="0"/>
        <w:autoSpaceDE/>
        <w:autoSpaceDN/>
        <w:bidi w:val="0"/>
        <w:adjustRightInd/>
        <w:spacing w:line="560" w:lineRule="exact"/>
        <w:ind w:left="0" w:leftChars="0" w:right="0" w:rightChars="0" w:firstLine="640" w:firstLineChars="200"/>
        <w:jc w:val="left"/>
        <w:textAlignment w:val="baseline"/>
        <w:outlineLvl w:val="9"/>
        <w:rPr>
          <w:rFonts w:hint="eastAsia" w:ascii="仿宋_GB2312" w:hAnsi="仿宋_GB2312" w:eastAsia="仿宋_GB2312"/>
          <w:color w:val="000000"/>
          <w:sz w:val="32"/>
        </w:rPr>
      </w:pPr>
      <w:r>
        <w:rPr>
          <w:rFonts w:ascii="仿宋_GB2312" w:hAnsi="仿宋_GB2312" w:eastAsia="仿宋_GB2312"/>
          <w:color w:val="000000"/>
          <w:sz w:val="32"/>
        </w:rPr>
        <w:t>针对道路交通,</w:t>
      </w:r>
      <w:r>
        <w:rPr>
          <w:rFonts w:hint="eastAsia" w:ascii="仿宋_GB2312" w:hAnsi="仿宋_GB2312" w:eastAsia="仿宋_GB2312"/>
          <w:sz w:val="32"/>
        </w:rPr>
        <w:t>县安监局、县交通局、县交警队通力配合，抽调精干力量，</w:t>
      </w:r>
      <w:r>
        <w:rPr>
          <w:rFonts w:ascii="仿宋_GB2312" w:hAnsi="仿宋_GB2312" w:eastAsia="仿宋_GB2312"/>
          <w:sz w:val="32"/>
        </w:rPr>
        <w:t>大造声势，重点</w:t>
      </w:r>
      <w:r>
        <w:rPr>
          <w:rFonts w:hint="eastAsia" w:ascii="仿宋_GB2312" w:hAnsi="仿宋_GB2312" w:eastAsia="仿宋_GB2312"/>
          <w:sz w:val="32"/>
        </w:rPr>
        <w:t>开展了“</w:t>
      </w:r>
      <w:r>
        <w:rPr>
          <w:rFonts w:hint="eastAsia" w:ascii="仿宋_GB2312" w:hAnsi="仿宋_GB2312" w:eastAsia="仿宋_GB2312"/>
          <w:sz w:val="32"/>
          <w:szCs w:val="32"/>
        </w:rPr>
        <w:t>道路交通</w:t>
      </w:r>
      <w:r>
        <w:rPr>
          <w:rFonts w:ascii="仿宋_GB2312" w:hAnsi="仿宋_GB2312" w:eastAsia="仿宋_GB2312"/>
          <w:sz w:val="32"/>
          <w:szCs w:val="32"/>
        </w:rPr>
        <w:t>安全</w:t>
      </w:r>
      <w:r>
        <w:rPr>
          <w:rFonts w:hint="eastAsia" w:ascii="仿宋_GB2312" w:hAnsi="仿宋_GB2312" w:eastAsia="仿宋_GB2312"/>
          <w:sz w:val="32"/>
          <w:szCs w:val="32"/>
        </w:rPr>
        <w:t>专项整治行动</w:t>
      </w:r>
      <w:r>
        <w:rPr>
          <w:rFonts w:hint="eastAsia" w:ascii="仿宋_GB2312" w:hAnsi="仿宋_GB2312" w:eastAsia="仿宋_GB2312"/>
          <w:sz w:val="32"/>
        </w:rPr>
        <w:t>”，</w:t>
      </w:r>
      <w:r>
        <w:rPr>
          <w:rFonts w:hint="eastAsia" w:ascii="仿宋_GB2312" w:hAnsi="仿宋_GB2312" w:eastAsia="仿宋_GB2312"/>
          <w:color w:val="000000"/>
          <w:sz w:val="32"/>
        </w:rPr>
        <w:t>造成严打“超速超载”、“无证无牌驾驶”、酒驾、车辆乱停乱放等交通违法行为的高压态势。</w:t>
      </w:r>
      <w:r>
        <w:rPr>
          <w:rFonts w:hint="eastAsia" w:ascii="仿宋_GB2312" w:hAnsi="仿宋_GB2312" w:eastAsia="仿宋_GB2312"/>
          <w:sz w:val="32"/>
        </w:rPr>
        <w:t>通过深入细致地排查及整治，我</w:t>
      </w:r>
      <w:r>
        <w:rPr>
          <w:rFonts w:ascii="仿宋_GB2312" w:hAnsi="仿宋_GB2312" w:eastAsia="仿宋_GB2312"/>
          <w:sz w:val="32"/>
        </w:rPr>
        <w:t>县</w:t>
      </w:r>
      <w:r>
        <w:rPr>
          <w:rFonts w:hint="eastAsia" w:ascii="仿宋_GB2312" w:hAnsi="仿宋_GB2312" w:eastAsia="仿宋_GB2312"/>
          <w:sz w:val="32"/>
        </w:rPr>
        <w:t>道路交通秩序大为改观，遵守交通、关爱生命的氛围更加浓厚，危险路段得到整治，安全系数大大提升，交通安全事故的发生率得到有效减少和遏制。</w:t>
      </w:r>
      <w:r>
        <w:rPr>
          <w:rFonts w:hint="eastAsia" w:ascii="仿宋_GB2312" w:hAnsi="仿宋_GB2312" w:eastAsia="仿宋_GB2312"/>
          <w:color w:val="000000"/>
          <w:sz w:val="32"/>
        </w:rPr>
        <w:t>针对危险化学品，县安监局与县消防大队、县质监局等职能部门，深入每个危险化学品经营单位进行专项检查，及时发现问题解决问题，坚决遏制危险化学品安全事故的发生；针对建筑施工安全，县安监局与县</w:t>
      </w:r>
      <w:r>
        <w:rPr>
          <w:rFonts w:hint="eastAsia" w:ascii="仿宋_GB2312" w:hAnsi="仿宋_GB2312" w:eastAsia="仿宋_GB2312"/>
          <w:color w:val="000000"/>
          <w:sz w:val="32"/>
          <w:lang w:eastAsia="zh-CN"/>
        </w:rPr>
        <w:t>住建</w:t>
      </w:r>
      <w:r>
        <w:rPr>
          <w:rFonts w:hint="eastAsia" w:ascii="仿宋_GB2312" w:hAnsi="仿宋_GB2312" w:eastAsia="仿宋_GB2312"/>
          <w:color w:val="000000"/>
          <w:sz w:val="32"/>
        </w:rPr>
        <w:t>局、县质监局加强联系，</w:t>
      </w:r>
      <w:r>
        <w:rPr>
          <w:rFonts w:hint="eastAsia" w:ascii="仿宋_GB2312" w:hAnsi="仿宋_GB2312" w:eastAsia="仿宋_GB2312"/>
          <w:color w:val="000000"/>
          <w:sz w:val="32"/>
          <w:szCs w:val="32"/>
        </w:rPr>
        <w:t>深入到工作一线，对每个细节进行认真、全面、细致的隐患排查，对存在的安全隐患及时跟踪督促整改，坚持标本兼治，从根本上消除安全隐患</w:t>
      </w:r>
      <w:r>
        <w:rPr>
          <w:rFonts w:hint="eastAsia" w:ascii="仿宋_GB2312" w:hAnsi="仿宋_GB2312" w:eastAsia="仿宋_GB2312"/>
          <w:color w:val="000000"/>
          <w:sz w:val="32"/>
        </w:rPr>
        <w:t>，严查违法违规行为，从而促使建筑施工安全生产形势进一步好转。</w:t>
      </w:r>
    </w:p>
    <w:p>
      <w:pPr>
        <w:pStyle w:val="32"/>
        <w:keepNext w:val="0"/>
        <w:keepLines w:val="0"/>
        <w:pageBreakBefore w:val="0"/>
        <w:kinsoku/>
        <w:wordWrap/>
        <w:overflowPunct/>
        <w:topLinePunct w:val="0"/>
        <w:autoSpaceDE/>
        <w:autoSpaceDN/>
        <w:bidi w:val="0"/>
        <w:adjustRightInd/>
        <w:spacing w:line="560" w:lineRule="exact"/>
        <w:ind w:left="0" w:leftChars="0" w:right="0" w:rightChars="0" w:firstLine="640" w:firstLineChars="200"/>
        <w:jc w:val="left"/>
        <w:outlineLvl w:val="9"/>
        <w:rPr>
          <w:rFonts w:hint="eastAsia" w:ascii="仿宋" w:hAnsi="仿宋" w:eastAsia="仿宋"/>
          <w:bCs/>
          <w:color w:val="000000"/>
          <w:sz w:val="32"/>
          <w:szCs w:val="32"/>
          <w:lang w:eastAsia="zh-CN"/>
        </w:rPr>
      </w:pPr>
      <w:r>
        <w:rPr>
          <w:rFonts w:hint="eastAsia" w:ascii="仿宋_GB2312" w:hAnsi="仿宋_GB2312"/>
          <w:b w:val="0"/>
          <w:bCs w:val="0"/>
          <w:sz w:val="32"/>
          <w:szCs w:val="32"/>
          <w:lang w:eastAsia="zh-CN"/>
        </w:rPr>
        <w:t>截止</w:t>
      </w:r>
      <w:r>
        <w:rPr>
          <w:rFonts w:hint="eastAsia" w:ascii="仿宋_GB2312" w:hAnsi="仿宋_GB2312"/>
          <w:b w:val="0"/>
          <w:bCs w:val="0"/>
          <w:sz w:val="32"/>
          <w:szCs w:val="32"/>
          <w:lang w:val="en-US" w:eastAsia="zh-CN"/>
        </w:rPr>
        <w:t>10月底，</w:t>
      </w:r>
      <w:r>
        <w:rPr>
          <w:rFonts w:hint="eastAsia" w:ascii="仿宋_GB2312" w:hAnsi="仿宋_GB2312"/>
          <w:b w:val="0"/>
          <w:bCs w:val="0"/>
          <w:sz w:val="32"/>
          <w:szCs w:val="32"/>
        </w:rPr>
        <w:t>我局共</w:t>
      </w:r>
      <w:r>
        <w:rPr>
          <w:rFonts w:hint="eastAsia" w:ascii="仿宋_GB2312" w:hAnsi="仿宋_GB2312"/>
          <w:b w:val="0"/>
          <w:bCs w:val="0"/>
          <w:color w:val="000000"/>
          <w:sz w:val="32"/>
          <w:szCs w:val="32"/>
        </w:rPr>
        <w:t>组织开展检查各类生产经营企业</w:t>
      </w:r>
      <w:r>
        <w:rPr>
          <w:rFonts w:hint="eastAsia" w:ascii="仿宋_GB2312" w:hAnsi="仿宋_GB2312"/>
          <w:b w:val="0"/>
          <w:bCs w:val="0"/>
          <w:color w:val="000000"/>
          <w:sz w:val="32"/>
          <w:szCs w:val="32"/>
          <w:lang w:val="en-US" w:eastAsia="zh-CN"/>
        </w:rPr>
        <w:t>55</w:t>
      </w:r>
      <w:r>
        <w:rPr>
          <w:rFonts w:hint="eastAsia" w:ascii="仿宋_GB2312" w:hAnsi="仿宋_GB2312"/>
          <w:b w:val="0"/>
          <w:bCs w:val="0"/>
          <w:color w:val="000000"/>
          <w:sz w:val="32"/>
          <w:szCs w:val="32"/>
        </w:rPr>
        <w:t>家</w:t>
      </w:r>
      <w:r>
        <w:rPr>
          <w:rFonts w:hint="eastAsia" w:ascii="仿宋_GB2312" w:hAnsi="仿宋_GB2312"/>
          <w:b w:val="0"/>
          <w:bCs w:val="0"/>
          <w:color w:val="000000"/>
          <w:sz w:val="32"/>
          <w:szCs w:val="32"/>
          <w:lang w:val="en-US" w:eastAsia="zh-CN"/>
        </w:rPr>
        <w:t>192次（其中危险化学品经营企业10家64次，工贸企业27家59次，其它18家69次）</w:t>
      </w:r>
      <w:r>
        <w:rPr>
          <w:rFonts w:hint="eastAsia" w:ascii="仿宋_GB2312" w:hAnsi="仿宋_GB2312"/>
          <w:b w:val="0"/>
          <w:bCs w:val="0"/>
          <w:color w:val="000000"/>
          <w:sz w:val="32"/>
          <w:szCs w:val="32"/>
        </w:rPr>
        <w:t>，排查各类事故隐患</w:t>
      </w:r>
      <w:r>
        <w:rPr>
          <w:rFonts w:hint="eastAsia" w:ascii="仿宋_GB2312" w:hAnsi="仿宋_GB2312"/>
          <w:b w:val="0"/>
          <w:bCs w:val="0"/>
          <w:color w:val="000000"/>
          <w:sz w:val="32"/>
          <w:szCs w:val="32"/>
          <w:lang w:val="en-US" w:eastAsia="zh-CN"/>
        </w:rPr>
        <w:t>76</w:t>
      </w:r>
      <w:r>
        <w:rPr>
          <w:rFonts w:hint="eastAsia" w:ascii="仿宋_GB2312" w:hAnsi="仿宋_GB2312"/>
          <w:b w:val="0"/>
          <w:bCs w:val="0"/>
          <w:color w:val="000000"/>
          <w:sz w:val="32"/>
          <w:szCs w:val="32"/>
        </w:rPr>
        <w:t>起，</w:t>
      </w:r>
      <w:r>
        <w:rPr>
          <w:rFonts w:hint="eastAsia" w:ascii="仿宋_GB2312" w:hAnsi="仿宋_GB2312"/>
          <w:b w:val="0"/>
          <w:bCs w:val="0"/>
          <w:color w:val="000000"/>
          <w:sz w:val="32"/>
          <w:szCs w:val="32"/>
          <w:lang w:eastAsia="zh-CN"/>
        </w:rPr>
        <w:t>（</w:t>
      </w:r>
      <w:r>
        <w:rPr>
          <w:rFonts w:hint="eastAsia" w:ascii="仿宋_GB2312" w:hAnsi="仿宋_GB2312"/>
          <w:b w:val="0"/>
          <w:bCs w:val="0"/>
          <w:color w:val="000000"/>
          <w:sz w:val="32"/>
          <w:szCs w:val="32"/>
          <w:lang w:val="en-US" w:eastAsia="zh-CN"/>
        </w:rPr>
        <w:t>其中危险化学品企业29起，工贸企业17起，其它30起</w:t>
      </w:r>
      <w:r>
        <w:rPr>
          <w:rFonts w:hint="eastAsia" w:ascii="仿宋_GB2312" w:hAnsi="仿宋_GB2312"/>
          <w:b w:val="0"/>
          <w:bCs w:val="0"/>
          <w:color w:val="000000"/>
          <w:sz w:val="32"/>
          <w:szCs w:val="32"/>
          <w:lang w:eastAsia="zh-CN"/>
        </w:rPr>
        <w:t>）</w:t>
      </w:r>
      <w:r>
        <w:rPr>
          <w:rFonts w:hint="eastAsia" w:ascii="仿宋_GB2312" w:hAnsi="仿宋_GB2312"/>
          <w:b w:val="0"/>
          <w:bCs w:val="0"/>
          <w:color w:val="000000"/>
          <w:sz w:val="32"/>
          <w:szCs w:val="32"/>
        </w:rPr>
        <w:t>现场立即整改</w:t>
      </w:r>
      <w:r>
        <w:rPr>
          <w:rFonts w:hint="eastAsia" w:ascii="仿宋_GB2312" w:hAnsi="仿宋_GB2312"/>
          <w:b w:val="0"/>
          <w:bCs w:val="0"/>
          <w:color w:val="000000"/>
          <w:sz w:val="32"/>
          <w:szCs w:val="32"/>
          <w:lang w:val="en-US" w:eastAsia="zh-CN"/>
        </w:rPr>
        <w:t>62</w:t>
      </w:r>
      <w:r>
        <w:rPr>
          <w:rFonts w:hint="eastAsia" w:ascii="仿宋_GB2312" w:hAnsi="仿宋_GB2312"/>
          <w:b w:val="0"/>
          <w:bCs w:val="0"/>
          <w:color w:val="000000"/>
          <w:sz w:val="32"/>
          <w:szCs w:val="32"/>
        </w:rPr>
        <w:t xml:space="preserve">起，下发隐患整改指令书 </w:t>
      </w:r>
      <w:r>
        <w:rPr>
          <w:rFonts w:hint="eastAsia" w:ascii="仿宋_GB2312" w:hAnsi="仿宋_GB2312"/>
          <w:b w:val="0"/>
          <w:bCs w:val="0"/>
          <w:color w:val="000000"/>
          <w:sz w:val="32"/>
          <w:szCs w:val="32"/>
          <w:lang w:val="en-US" w:eastAsia="zh-CN"/>
        </w:rPr>
        <w:t>14</w:t>
      </w:r>
      <w:r>
        <w:rPr>
          <w:rFonts w:hint="eastAsia" w:ascii="仿宋_GB2312" w:hAnsi="仿宋_GB2312"/>
          <w:b w:val="0"/>
          <w:bCs w:val="0"/>
          <w:color w:val="000000"/>
          <w:sz w:val="32"/>
          <w:szCs w:val="32"/>
        </w:rPr>
        <w:t>份，目前所有安全隐患已全部整改，对发现的事故隐患，检查做到有记录、有整改，措施得当落实到位。</w:t>
      </w:r>
    </w:p>
    <w:p>
      <w:pPr>
        <w:pStyle w:val="3"/>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7"/>
          <w:rFonts w:ascii="黑体" w:hAnsi="黑体" w:eastAsia="黑体"/>
          <w:b w:val="0"/>
          <w:bCs w:val="0"/>
        </w:rPr>
      </w:pPr>
      <w:bookmarkStart w:id="20" w:name="_Toc15377204"/>
      <w:bookmarkStart w:id="21"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2018年度部门决算情况说明</w:t>
      </w:r>
      <w:bookmarkEnd w:id="20"/>
      <w:bookmarkEnd w:id="21"/>
    </w:p>
    <w:p/>
    <w:p>
      <w:pPr>
        <w:pStyle w:val="26"/>
        <w:numPr>
          <w:ilvl w:val="0"/>
          <w:numId w:val="1"/>
        </w:numPr>
        <w:spacing w:line="600" w:lineRule="exact"/>
        <w:ind w:firstLineChars="0"/>
        <w:outlineLvl w:val="1"/>
        <w:rPr>
          <w:rStyle w:val="28"/>
          <w:rFonts w:ascii="黑体" w:hAnsi="黑体" w:eastAsia="黑体"/>
          <w:b w:val="0"/>
        </w:rPr>
      </w:pPr>
      <w:bookmarkStart w:id="22" w:name="_Toc15377205"/>
      <w:bookmarkStart w:id="23" w:name="_Toc15396603"/>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2"/>
      <w:bookmarkEnd w:id="23"/>
    </w:p>
    <w:p>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outlineLvl w:val="9"/>
        <w:rPr>
          <w:rFonts w:hint="eastAsia" w:ascii="仿宋_GB2312" w:hAnsi="仿宋" w:eastAsia="仿宋_GB2312" w:cs="仿宋"/>
          <w:bCs/>
          <w:color w:val="000000"/>
          <w:sz w:val="32"/>
          <w:szCs w:val="32"/>
          <w:lang w:val="en-US" w:eastAsia="zh-CN"/>
        </w:rPr>
      </w:pPr>
      <w:r>
        <w:rPr>
          <w:rFonts w:hint="eastAsia" w:ascii="仿宋" w:hAnsi="仿宋" w:eastAsia="仿宋"/>
          <w:color w:val="000000"/>
          <w:sz w:val="32"/>
          <w:szCs w:val="32"/>
        </w:rPr>
        <w:t>2018年度</w:t>
      </w:r>
      <w:r>
        <w:rPr>
          <w:rFonts w:hint="eastAsia" w:ascii="仿宋" w:hAnsi="仿宋" w:eastAsia="仿宋"/>
          <w:color w:val="000000"/>
          <w:sz w:val="32"/>
          <w:szCs w:val="32"/>
          <w:lang w:val="en-US" w:eastAsia="zh-CN"/>
        </w:rPr>
        <w:t>收入总计258.65</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支出总计204.84万元，</w:t>
      </w:r>
      <w:r>
        <w:rPr>
          <w:rFonts w:hint="eastAsia" w:ascii="仿宋" w:hAnsi="仿宋" w:eastAsia="仿宋"/>
          <w:color w:val="000000"/>
          <w:sz w:val="32"/>
          <w:szCs w:val="32"/>
        </w:rPr>
        <w:t>与2017年相比，收、支总计各增加</w:t>
      </w:r>
      <w:r>
        <w:rPr>
          <w:rFonts w:hint="eastAsia" w:ascii="仿宋" w:hAnsi="仿宋" w:eastAsia="仿宋"/>
          <w:color w:val="000000"/>
          <w:sz w:val="32"/>
          <w:szCs w:val="32"/>
          <w:lang w:val="en-US" w:eastAsia="zh-CN"/>
        </w:rPr>
        <w:t>72.51</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7.92万元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收入</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38.95</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支出增长4.02</w:t>
      </w:r>
      <w:r>
        <w:rPr>
          <w:rFonts w:ascii="仿宋" w:hAnsi="仿宋" w:eastAsia="仿宋"/>
          <w:color w:val="000000"/>
          <w:sz w:val="32"/>
          <w:szCs w:val="32"/>
        </w:rPr>
        <w:t>%</w:t>
      </w:r>
      <w:r>
        <w:rPr>
          <w:rFonts w:hint="eastAsia" w:ascii="仿宋" w:hAnsi="仿宋" w:eastAsia="仿宋"/>
          <w:color w:val="000000"/>
          <w:sz w:val="32"/>
          <w:szCs w:val="32"/>
        </w:rPr>
        <w:t>。主要变动原因</w:t>
      </w:r>
      <w:r>
        <w:rPr>
          <w:rFonts w:hint="eastAsia" w:ascii="仿宋_GB2312" w:hAnsi="仿宋" w:eastAsia="仿宋_GB2312" w:cs="仿宋"/>
          <w:bCs/>
          <w:color w:val="000000"/>
          <w:sz w:val="32"/>
          <w:szCs w:val="32"/>
          <w:lang w:eastAsia="zh-CN"/>
        </w:rPr>
        <w:t>一是单位新招人员</w:t>
      </w:r>
      <w:r>
        <w:rPr>
          <w:rFonts w:hint="eastAsia" w:ascii="仿宋_GB2312" w:hAnsi="仿宋" w:eastAsia="仿宋_GB2312" w:cs="仿宋"/>
          <w:bCs/>
          <w:color w:val="000000"/>
          <w:sz w:val="32"/>
          <w:szCs w:val="32"/>
          <w:lang w:val="en-US" w:eastAsia="zh-CN"/>
        </w:rPr>
        <w:t>2名，人员经费增加，二是2018年基本工资标准和艰苦边远津贴标准提高，人员经费增加，三是省级和州级主管部门下达安全生产专项资金56万元（阿州财企【2018】6号，该项资金列“21506安全生产监管”；阿州财建【2018】115号，此款列“2300315-资源勘探信息等支出”）。</w:t>
      </w:r>
    </w:p>
    <w:p>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outlineLvl w:val="9"/>
        <w:rPr>
          <w:rFonts w:hint="eastAsia" w:ascii="仿宋_GB2312" w:hAnsi="仿宋" w:eastAsia="仿宋_GB2312" w:cs="仿宋"/>
          <w:bCs/>
          <w:color w:val="000000"/>
          <w:sz w:val="32"/>
          <w:szCs w:val="32"/>
          <w:lang w:val="en-US" w:eastAsia="zh-CN"/>
        </w:rPr>
      </w:pPr>
      <w:r>
        <w:rPr>
          <w:rFonts w:hint="eastAsia" w:ascii="仿宋" w:hAnsi="仿宋" w:eastAsia="仿宋"/>
          <w:color w:val="000000" w:themeColor="text1"/>
          <w:sz w:val="32"/>
          <w:szCs w:val="32"/>
          <w14:textFill>
            <w14:solidFill>
              <w14:schemeClr w14:val="tx1"/>
            </w14:solidFill>
          </w14:textFill>
        </w:rPr>
        <w:t>收、支决算总计变动情况图</w:t>
      </w:r>
    </w:p>
    <w:p>
      <w:pPr>
        <w:bidi w:val="0"/>
        <w:rPr>
          <w:rFonts w:hint="eastAsia" w:eastAsia="宋体"/>
          <w:lang w:eastAsia="zh-CN"/>
        </w:rPr>
      </w:pPr>
      <w:r>
        <w:rPr>
          <w:rFonts w:hint="eastAsia" w:eastAsia="宋体"/>
          <w:lang w:eastAsia="zh-CN"/>
        </w:rPr>
        <w:drawing>
          <wp:anchor distT="0" distB="0" distL="114300" distR="114300" simplePos="0" relativeHeight="251661312" behindDoc="0" locked="0" layoutInCell="1" allowOverlap="1">
            <wp:simplePos x="0" y="0"/>
            <wp:positionH relativeFrom="column">
              <wp:posOffset>612775</wp:posOffset>
            </wp:positionH>
            <wp:positionV relativeFrom="paragraph">
              <wp:posOffset>64770</wp:posOffset>
            </wp:positionV>
            <wp:extent cx="3895090" cy="2645410"/>
            <wp:effectExtent l="4445" t="4445" r="5715" b="17145"/>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jc w:val="center"/>
        <w:outlineLvl w:val="9"/>
        <w:rPr>
          <w:rFonts w:hint="eastAsia" w:ascii="仿宋" w:hAnsi="仿宋" w:eastAsia="仿宋"/>
          <w:color w:val="000000" w:themeColor="text1"/>
          <w:sz w:val="32"/>
          <w:szCs w:val="32"/>
          <w:lang w:eastAsia="zh-CN"/>
          <w14:textFill>
            <w14:solidFill>
              <w14:schemeClr w14:val="tx1"/>
            </w14:solidFill>
          </w14:textFill>
        </w:rPr>
      </w:pPr>
    </w:p>
    <w:p>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jc w:val="center"/>
        <w:outlineLvl w:val="9"/>
        <w:rPr>
          <w:rFonts w:hint="eastAsia" w:ascii="仿宋" w:hAnsi="仿宋" w:eastAsia="仿宋"/>
          <w:color w:val="000000" w:themeColor="text1"/>
          <w:sz w:val="32"/>
          <w:szCs w:val="32"/>
          <w:lang w:eastAsia="zh-CN"/>
          <w14:textFill>
            <w14:solidFill>
              <w14:schemeClr w14:val="tx1"/>
            </w14:solidFill>
          </w14:textFill>
        </w:rPr>
      </w:pPr>
    </w:p>
    <w:p>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jc w:val="center"/>
        <w:outlineLvl w:val="9"/>
        <w:rPr>
          <w:rFonts w:hint="eastAsia" w:ascii="仿宋" w:hAnsi="仿宋" w:eastAsia="仿宋"/>
          <w:color w:val="000000" w:themeColor="text1"/>
          <w:sz w:val="32"/>
          <w:szCs w:val="32"/>
          <w:lang w:eastAsia="zh-CN"/>
          <w14:textFill>
            <w14:solidFill>
              <w14:schemeClr w14:val="tx1"/>
            </w14:solidFill>
          </w14:textFill>
        </w:rPr>
      </w:pPr>
    </w:p>
    <w:p>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jc w:val="center"/>
        <w:outlineLvl w:val="9"/>
        <w:rPr>
          <w:rFonts w:hint="eastAsia" w:ascii="仿宋" w:hAnsi="仿宋" w:eastAsia="仿宋"/>
          <w:color w:val="000000" w:themeColor="text1"/>
          <w:sz w:val="32"/>
          <w:szCs w:val="32"/>
          <w:lang w:eastAsia="zh-CN"/>
          <w14:textFill>
            <w14:solidFill>
              <w14:schemeClr w14:val="tx1"/>
            </w14:solidFill>
          </w14:textFill>
        </w:rPr>
      </w:pPr>
    </w:p>
    <w:p>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jc w:val="center"/>
        <w:outlineLvl w:val="9"/>
        <w:rPr>
          <w:rFonts w:hint="eastAsia" w:ascii="仿宋" w:hAnsi="仿宋" w:eastAsia="仿宋"/>
          <w:color w:val="000000" w:themeColor="text1"/>
          <w:sz w:val="32"/>
          <w:szCs w:val="32"/>
          <w:lang w:eastAsia="zh-CN"/>
          <w14:textFill>
            <w14:solidFill>
              <w14:schemeClr w14:val="tx1"/>
            </w14:solidFill>
          </w14:textFill>
        </w:rPr>
      </w:pPr>
    </w:p>
    <w:p>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jc w:val="center"/>
        <w:outlineLvl w:val="9"/>
        <w:rPr>
          <w:rFonts w:hint="eastAsia" w:ascii="仿宋" w:hAnsi="仿宋" w:eastAsia="仿宋"/>
          <w:color w:val="000000" w:themeColor="text1"/>
          <w:sz w:val="32"/>
          <w:szCs w:val="32"/>
          <w:lang w:eastAsia="zh-CN"/>
          <w14:textFill>
            <w14:solidFill>
              <w14:schemeClr w14:val="tx1"/>
            </w14:solidFill>
          </w14:textFill>
        </w:rPr>
      </w:pPr>
    </w:p>
    <w:p>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jc w:val="center"/>
        <w:outlineLvl w:val="9"/>
        <w:rPr>
          <w:rFonts w:hint="eastAsia" w:ascii="仿宋" w:hAnsi="仿宋" w:eastAsia="仿宋"/>
          <w:color w:val="000000" w:themeColor="text1"/>
          <w:sz w:val="32"/>
          <w:szCs w:val="32"/>
          <w:lang w:eastAsia="zh-CN"/>
          <w14:textFill>
            <w14:solidFill>
              <w14:schemeClr w14:val="tx1"/>
            </w14:solidFill>
          </w14:textFill>
        </w:rPr>
      </w:pPr>
    </w:p>
    <w:p>
      <w:pPr>
        <w:keepNext w:val="0"/>
        <w:keepLines w:val="0"/>
        <w:pageBreakBefore w:val="0"/>
        <w:numPr>
          <w:ilvl w:val="0"/>
          <w:numId w:val="0"/>
        </w:numPr>
        <w:kinsoku/>
        <w:wordWrap/>
        <w:overflowPunct/>
        <w:topLinePunct w:val="0"/>
        <w:autoSpaceDE/>
        <w:autoSpaceDN/>
        <w:bidi w:val="0"/>
        <w:adjustRightInd/>
        <w:spacing w:line="560" w:lineRule="exact"/>
        <w:ind w:firstLine="320" w:firstLineChars="100"/>
        <w:jc w:val="both"/>
        <w:outlineLvl w:val="9"/>
        <w:rPr>
          <w:rFonts w:hint="default" w:ascii="仿宋_GB2312" w:hAnsi="仿宋" w:eastAsia="仿宋" w:cs="仿宋"/>
          <w:bCs/>
          <w:color w:val="000000"/>
          <w:sz w:val="32"/>
          <w:szCs w:val="32"/>
          <w:lang w:val="en-US" w:eastAsia="zh-CN"/>
        </w:rPr>
      </w:pP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图1：</w:t>
      </w:r>
      <w:r>
        <w:rPr>
          <w:rFonts w:hint="eastAsia" w:ascii="仿宋" w:hAnsi="仿宋" w:eastAsia="仿宋"/>
          <w:color w:val="000000" w:themeColor="text1"/>
          <w:sz w:val="32"/>
          <w:szCs w:val="32"/>
          <w14:textFill>
            <w14:solidFill>
              <w14:schemeClr w14:val="tx1"/>
            </w14:solidFill>
          </w14:textFill>
        </w:rPr>
        <w:t>收、支决算总计变动情况图</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柱状图）</w:t>
      </w:r>
    </w:p>
    <w:p>
      <w:pPr>
        <w:pStyle w:val="26"/>
        <w:numPr>
          <w:ilvl w:val="0"/>
          <w:numId w:val="1"/>
        </w:numPr>
        <w:spacing w:line="600" w:lineRule="exact"/>
        <w:ind w:firstLineChars="0"/>
        <w:outlineLvl w:val="1"/>
        <w:rPr>
          <w:rStyle w:val="28"/>
          <w:rFonts w:ascii="黑体" w:hAnsi="黑体" w:eastAsia="黑体"/>
          <w:b w:val="0"/>
        </w:rPr>
      </w:pPr>
      <w:bookmarkStart w:id="24" w:name="_Toc15396604"/>
      <w:bookmarkStart w:id="25" w:name="_Toc15377206"/>
      <w:r>
        <w:rPr>
          <w:rFonts w:hint="eastAsia" w:ascii="黑体" w:hAnsi="黑体" w:eastAsia="黑体"/>
          <w:color w:val="000000"/>
          <w:sz w:val="32"/>
          <w:szCs w:val="32"/>
        </w:rPr>
        <w:t>收</w:t>
      </w:r>
      <w:r>
        <w:rPr>
          <w:rStyle w:val="28"/>
          <w:rFonts w:hint="eastAsia" w:ascii="黑体" w:hAnsi="黑体" w:eastAsia="黑体"/>
          <w:b w:val="0"/>
        </w:rPr>
        <w:t>入决算情况说明</w:t>
      </w:r>
      <w:bookmarkEnd w:id="24"/>
      <w:bookmarkEnd w:id="25"/>
    </w:p>
    <w:p>
      <w:pPr>
        <w:spacing w:line="600" w:lineRule="exact"/>
        <w:ind w:firstLine="640" w:firstLineChars="200"/>
        <w:outlineLvl w:val="1"/>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2336" behindDoc="0" locked="0" layoutInCell="1" allowOverlap="1">
            <wp:simplePos x="0" y="0"/>
            <wp:positionH relativeFrom="column">
              <wp:posOffset>598170</wp:posOffset>
            </wp:positionH>
            <wp:positionV relativeFrom="paragraph">
              <wp:posOffset>1895475</wp:posOffset>
            </wp:positionV>
            <wp:extent cx="4097655" cy="2332990"/>
            <wp:effectExtent l="4445" t="5080" r="12700" b="5080"/>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ascii="仿宋" w:hAnsi="仿宋" w:eastAsia="仿宋"/>
          <w:color w:val="000000"/>
          <w:sz w:val="32"/>
          <w:szCs w:val="32"/>
        </w:rPr>
        <w:t>201</w:t>
      </w:r>
      <w:r>
        <w:rPr>
          <w:rFonts w:hint="eastAsia" w:ascii="仿宋" w:hAnsi="仿宋" w:eastAsia="仿宋"/>
          <w:color w:val="000000"/>
          <w:sz w:val="32"/>
          <w:szCs w:val="32"/>
        </w:rPr>
        <w:t>8年本年收入合计</w:t>
      </w:r>
      <w:r>
        <w:rPr>
          <w:rFonts w:hint="eastAsia" w:ascii="仿宋" w:hAnsi="仿宋" w:eastAsia="仿宋"/>
          <w:color w:val="000000"/>
          <w:sz w:val="32"/>
          <w:szCs w:val="32"/>
          <w:lang w:val="en-US" w:eastAsia="zh-CN"/>
        </w:rPr>
        <w:t>258.65</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258.65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万元；附属单位上缴收入</w:t>
      </w:r>
      <w:r>
        <w:rPr>
          <w:rFonts w:hint="eastAsia" w:ascii="仿宋" w:hAnsi="仿宋" w:eastAsia="仿宋"/>
          <w:color w:val="000000"/>
          <w:sz w:val="32"/>
          <w:szCs w:val="32"/>
          <w:lang w:val="en-US" w:eastAsia="zh-CN"/>
        </w:rPr>
        <w:t>0万</w:t>
      </w:r>
      <w:r>
        <w:rPr>
          <w:rFonts w:hint="eastAsia" w:ascii="仿宋" w:hAnsi="仿宋" w:eastAsia="仿宋"/>
          <w:color w:val="000000"/>
          <w:sz w:val="32"/>
          <w:szCs w:val="32"/>
        </w:rPr>
        <w:t>元；其他收入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w:t>
      </w:r>
      <w:r>
        <w:rPr>
          <w:rFonts w:hint="eastAsia" w:ascii="仿宋" w:hAnsi="仿宋" w:eastAsia="仿宋"/>
          <w:color w:val="000000"/>
          <w:sz w:val="32"/>
          <w:szCs w:val="32"/>
          <w:lang w:val="en-US" w:eastAsia="zh-CN"/>
        </w:rPr>
        <w:t>元</w:t>
      </w:r>
      <w:r>
        <w:rPr>
          <w:rFonts w:hint="eastAsia" w:ascii="仿宋" w:hAnsi="仿宋" w:eastAsia="仿宋"/>
          <w:color w:val="000000"/>
          <w:sz w:val="32"/>
          <w:szCs w:val="32"/>
        </w:rPr>
        <w:t>。</w:t>
      </w:r>
    </w:p>
    <w:p>
      <w:pPr>
        <w:spacing w:line="600" w:lineRule="exact"/>
        <w:ind w:firstLine="640" w:firstLineChars="200"/>
        <w:outlineLvl w:val="1"/>
        <w:rPr>
          <w:rFonts w:hint="eastAsia" w:ascii="仿宋" w:hAnsi="仿宋" w:eastAsia="仿宋"/>
          <w:color w:val="000000"/>
          <w:sz w:val="32"/>
          <w:szCs w:val="32"/>
          <w:lang w:eastAsia="zh-CN"/>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63360" behindDoc="0" locked="0" layoutInCell="1" allowOverlap="1">
            <wp:simplePos x="0" y="0"/>
            <wp:positionH relativeFrom="column">
              <wp:posOffset>650875</wp:posOffset>
            </wp:positionH>
            <wp:positionV relativeFrom="paragraph">
              <wp:posOffset>25400</wp:posOffset>
            </wp:positionV>
            <wp:extent cx="3707765" cy="2672715"/>
            <wp:effectExtent l="4445" t="4445" r="21590" b="8890"/>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960" w:firstLineChars="300"/>
        <w:jc w:val="both"/>
        <w:outlineLvl w:val="1"/>
        <w:rPr>
          <w:rFonts w:hint="eastAsia" w:ascii="仿宋" w:hAnsi="仿宋" w:eastAsia="仿宋"/>
          <w:color w:val="000000" w:themeColor="text1"/>
          <w:sz w:val="32"/>
          <w:szCs w:val="32"/>
          <w14:textFill>
            <w14:solidFill>
              <w14:schemeClr w14:val="tx1"/>
            </w14:solidFill>
          </w14:textFill>
        </w:rPr>
      </w:pPr>
    </w:p>
    <w:p>
      <w:pPr>
        <w:spacing w:line="600" w:lineRule="exact"/>
        <w:ind w:firstLine="960" w:firstLineChars="300"/>
        <w:jc w:val="both"/>
        <w:outlineLvl w:val="1"/>
        <w:rPr>
          <w:rFonts w:hint="eastAsia" w:ascii="仿宋" w:hAnsi="仿宋" w:eastAsia="仿宋"/>
          <w:color w:val="000000" w:themeColor="text1"/>
          <w:sz w:val="32"/>
          <w:szCs w:val="32"/>
          <w:lang w:eastAsia="zh-CN"/>
          <w14:textFill>
            <w14:solidFill>
              <w14:schemeClr w14:val="tx1"/>
            </w14:solidFill>
          </w14:textFill>
        </w:rPr>
      </w:pPr>
    </w:p>
    <w:p>
      <w:pPr>
        <w:spacing w:line="600" w:lineRule="exact"/>
        <w:ind w:firstLine="960" w:firstLineChars="300"/>
        <w:jc w:val="both"/>
        <w:outlineLvl w:val="1"/>
        <w:rPr>
          <w:rFonts w:hint="eastAsia" w:ascii="仿宋" w:hAnsi="仿宋" w:eastAsia="仿宋"/>
          <w:color w:val="000000" w:themeColor="text1"/>
          <w:sz w:val="32"/>
          <w:szCs w:val="32"/>
          <w14:textFill>
            <w14:solidFill>
              <w14:schemeClr w14:val="tx1"/>
            </w14:solidFill>
          </w14:textFill>
        </w:rPr>
      </w:pPr>
    </w:p>
    <w:p>
      <w:pPr>
        <w:spacing w:line="600" w:lineRule="exact"/>
        <w:jc w:val="both"/>
        <w:outlineLvl w:val="1"/>
        <w:rPr>
          <w:rFonts w:hint="eastAsia" w:ascii="仿宋" w:hAnsi="仿宋" w:eastAsia="仿宋"/>
          <w:color w:val="000000" w:themeColor="text1"/>
          <w:sz w:val="32"/>
          <w:szCs w:val="32"/>
          <w14:textFill>
            <w14:solidFill>
              <w14:schemeClr w14:val="tx1"/>
            </w14:solidFill>
          </w14:textFill>
        </w:rPr>
      </w:pPr>
    </w:p>
    <w:p>
      <w:pPr>
        <w:spacing w:line="600" w:lineRule="exact"/>
        <w:ind w:firstLine="960" w:firstLineChars="300"/>
        <w:jc w:val="both"/>
        <w:outlineLvl w:val="1"/>
        <w:rPr>
          <w:rFonts w:hint="eastAsia" w:ascii="仿宋" w:hAnsi="仿宋" w:eastAsia="仿宋"/>
          <w:color w:val="000000" w:themeColor="text1"/>
          <w:sz w:val="32"/>
          <w:szCs w:val="32"/>
          <w14:textFill>
            <w14:solidFill>
              <w14:schemeClr w14:val="tx1"/>
            </w14:solidFill>
          </w14:textFill>
        </w:rPr>
      </w:pPr>
    </w:p>
    <w:p>
      <w:pPr>
        <w:spacing w:line="600" w:lineRule="exact"/>
        <w:ind w:firstLine="960" w:firstLineChars="300"/>
        <w:jc w:val="both"/>
        <w:outlineLvl w:val="1"/>
        <w:rPr>
          <w:rFonts w:hint="eastAsia" w:ascii="仿宋" w:hAnsi="仿宋" w:eastAsia="仿宋"/>
          <w:color w:val="000000" w:themeColor="text1"/>
          <w:sz w:val="32"/>
          <w:szCs w:val="32"/>
          <w14:textFill>
            <w14:solidFill>
              <w14:schemeClr w14:val="tx1"/>
            </w14:solidFill>
          </w14:textFill>
        </w:rPr>
      </w:pPr>
    </w:p>
    <w:p>
      <w:pPr>
        <w:spacing w:line="600" w:lineRule="exact"/>
        <w:ind w:firstLine="960" w:firstLineChars="300"/>
        <w:jc w:val="both"/>
        <w:outlineLvl w:val="1"/>
        <w:rPr>
          <w:rFonts w:ascii="仿宋_GB2312" w:eastAsia="仿宋_GB2312"/>
          <w:color w:val="FF0000"/>
          <w:sz w:val="32"/>
          <w:szCs w:val="32"/>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26"/>
        <w:numPr>
          <w:ilvl w:val="0"/>
          <w:numId w:val="1"/>
        </w:numPr>
        <w:spacing w:line="600" w:lineRule="exact"/>
        <w:ind w:firstLineChars="0"/>
        <w:outlineLvl w:val="1"/>
        <w:rPr>
          <w:rStyle w:val="28"/>
          <w:rFonts w:ascii="黑体" w:hAnsi="黑体" w:eastAsia="黑体"/>
          <w:b w:val="0"/>
        </w:rPr>
      </w:pPr>
      <w:bookmarkStart w:id="26" w:name="_Toc15377207"/>
      <w:bookmarkStart w:id="27" w:name="_Toc15396605"/>
      <w:r>
        <w:rPr>
          <w:rFonts w:hint="eastAsia" w:ascii="黑体" w:hAnsi="黑体" w:eastAsia="黑体"/>
          <w:color w:val="000000"/>
          <w:sz w:val="32"/>
          <w:szCs w:val="32"/>
        </w:rPr>
        <w:t>支</w:t>
      </w:r>
      <w:r>
        <w:rPr>
          <w:rStyle w:val="28"/>
          <w:rFonts w:hint="eastAsia" w:ascii="黑体" w:hAnsi="黑体" w:eastAsia="黑体"/>
          <w:b w:val="0"/>
        </w:rPr>
        <w:t>出决算情况说明</w:t>
      </w:r>
      <w:bookmarkEnd w:id="26"/>
      <w:bookmarkEnd w:id="27"/>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8年本年支出合计</w:t>
      </w:r>
      <w:r>
        <w:rPr>
          <w:rFonts w:hint="eastAsia" w:ascii="仿宋" w:hAnsi="仿宋" w:eastAsia="仿宋"/>
          <w:color w:val="000000"/>
          <w:sz w:val="32"/>
          <w:szCs w:val="32"/>
          <w:lang w:val="en-US" w:eastAsia="zh-CN"/>
        </w:rPr>
        <w:t>204.84</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199.84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98</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p>
    <w:p>
      <w:pPr>
        <w:spacing w:line="600" w:lineRule="exact"/>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563880</wp:posOffset>
            </wp:positionH>
            <wp:positionV relativeFrom="paragraph">
              <wp:posOffset>170180</wp:posOffset>
            </wp:positionV>
            <wp:extent cx="4005580" cy="2329815"/>
            <wp:effectExtent l="4445" t="4445" r="9525" b="8890"/>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rPr>
          <w:rFonts w:hint="eastAsia" w:ascii="仿宋" w:hAnsi="仿宋" w:eastAsia="仿宋"/>
          <w:color w:val="000000" w:themeColor="text1"/>
          <w:sz w:val="32"/>
          <w:szCs w:val="32"/>
          <w14:textFill>
            <w14:solidFill>
              <w14:schemeClr w14:val="tx1"/>
            </w14:solidFill>
          </w14:textFill>
        </w:rPr>
      </w:pPr>
    </w:p>
    <w:p>
      <w:pPr>
        <w:spacing w:line="600" w:lineRule="exact"/>
        <w:ind w:firstLine="1280" w:firstLineChars="4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8"/>
          <w:rFonts w:ascii="黑体" w:hAnsi="黑体" w:eastAsia="黑体"/>
          <w:b w:val="0"/>
        </w:rPr>
      </w:pPr>
      <w:bookmarkStart w:id="28" w:name="_Toc15377208"/>
      <w:bookmarkStart w:id="29" w:name="_Toc15396606"/>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28"/>
      <w:bookmarkEnd w:id="29"/>
    </w:p>
    <w:p>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outlineLvl w:val="9"/>
        <w:rPr>
          <w:rFonts w:hint="eastAsia" w:ascii="仿宋_GB2312" w:hAnsi="仿宋" w:eastAsia="仿宋_GB2312" w:cs="仿宋"/>
          <w:bCs/>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8年财政拨款收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258.65</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支出总计203.66万元</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7年相比，财政拨款收、支总计各增加</w:t>
      </w:r>
      <w:r>
        <w:rPr>
          <w:rFonts w:hint="eastAsia" w:ascii="仿宋" w:hAnsi="仿宋" w:eastAsia="仿宋"/>
          <w:color w:val="000000"/>
          <w:sz w:val="32"/>
          <w:szCs w:val="32"/>
          <w:lang w:val="en-US" w:eastAsia="zh-CN"/>
        </w:rPr>
        <w:t>73.75</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6.74万元</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39.89</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3.42</w:t>
      </w:r>
      <w:r>
        <w:rPr>
          <w:rFonts w:ascii="仿宋" w:hAnsi="仿宋" w:eastAsia="仿宋"/>
          <w:color w:val="000000"/>
          <w:sz w:val="32"/>
          <w:szCs w:val="32"/>
        </w:rPr>
        <w:t>%</w:t>
      </w:r>
      <w:r>
        <w:rPr>
          <w:rFonts w:hint="eastAsia" w:ascii="仿宋" w:hAnsi="仿宋" w:eastAsia="仿宋"/>
          <w:color w:val="000000"/>
          <w:sz w:val="32"/>
          <w:szCs w:val="32"/>
        </w:rPr>
        <w:t>。主要变动原因</w:t>
      </w:r>
      <w:r>
        <w:rPr>
          <w:rFonts w:hint="eastAsia" w:ascii="仿宋_GB2312" w:hAnsi="仿宋" w:eastAsia="仿宋_GB2312" w:cs="仿宋"/>
          <w:bCs/>
          <w:color w:val="000000"/>
          <w:sz w:val="32"/>
          <w:szCs w:val="32"/>
          <w:lang w:eastAsia="zh-CN"/>
        </w:rPr>
        <w:t>一是单位新招人员</w:t>
      </w:r>
      <w:r>
        <w:rPr>
          <w:rFonts w:hint="eastAsia" w:ascii="仿宋_GB2312" w:hAnsi="仿宋" w:eastAsia="仿宋_GB2312" w:cs="仿宋"/>
          <w:bCs/>
          <w:color w:val="000000"/>
          <w:sz w:val="32"/>
          <w:szCs w:val="32"/>
          <w:lang w:val="en-US" w:eastAsia="zh-CN"/>
        </w:rPr>
        <w:t>2名，人员经费增加，二是2018年基本工资标准和艰苦边远津贴标准提高，人员经费增加，三是省级和州级主管部门下达专项资金56万元（阿州财企【2018】6号，该项资金列“21506安全生产监管”；阿州财建【2018】115号，此款列“2300315-资源勘探信息等支出”）。</w:t>
      </w:r>
    </w:p>
    <w:p>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outlineLvl w:val="9"/>
        <w:rPr>
          <w:rFonts w:hint="eastAsia" w:ascii="仿宋_GB2312" w:hAnsi="仿宋" w:eastAsia="仿宋_GB2312" w:cs="仿宋"/>
          <w:bCs/>
          <w:color w:val="000000"/>
          <w:sz w:val="32"/>
          <w:szCs w:val="32"/>
          <w:lang w:val="en-US" w:eastAsia="zh-CN"/>
        </w:rPr>
      </w:pPr>
    </w:p>
    <w:p>
      <w:pPr>
        <w:bidi w:val="0"/>
        <w:rPr>
          <w:rFonts w:hint="eastAsia"/>
          <w:lang w:val="en-US" w:eastAsia="zh-CN"/>
        </w:rPr>
      </w:pPr>
      <w:r>
        <w:rPr>
          <w:rFonts w:hint="eastAsia" w:eastAsia="宋体"/>
          <w:lang w:eastAsia="zh-CN"/>
        </w:rPr>
        <w:drawing>
          <wp:anchor distT="0" distB="0" distL="114300" distR="114300" simplePos="0" relativeHeight="251664384" behindDoc="0" locked="0" layoutInCell="1" allowOverlap="1">
            <wp:simplePos x="0" y="0"/>
            <wp:positionH relativeFrom="column">
              <wp:posOffset>799465</wp:posOffset>
            </wp:positionH>
            <wp:positionV relativeFrom="paragraph">
              <wp:posOffset>90170</wp:posOffset>
            </wp:positionV>
            <wp:extent cx="3895090" cy="2219960"/>
            <wp:effectExtent l="4445" t="4445" r="5715" b="23495"/>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jc w:val="center"/>
        <w:rPr>
          <w:rFonts w:hint="eastAsia"/>
          <w:lang w:val="en-US" w:eastAsia="zh-CN"/>
        </w:rPr>
      </w:pPr>
    </w:p>
    <w:p>
      <w:pPr>
        <w:spacing w:line="6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8"/>
          <w:rFonts w:ascii="黑体" w:hAnsi="黑体" w:eastAsia="黑体"/>
          <w:b w:val="0"/>
        </w:rPr>
      </w:pPr>
      <w:bookmarkStart w:id="30" w:name="_Toc15377209"/>
      <w:bookmarkStart w:id="31"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30"/>
      <w:bookmarkEnd w:id="31"/>
    </w:p>
    <w:p>
      <w:pPr>
        <w:spacing w:line="600" w:lineRule="exact"/>
        <w:ind w:firstLine="642" w:firstLineChars="200"/>
        <w:outlineLvl w:val="2"/>
        <w:rPr>
          <w:rFonts w:ascii="仿宋" w:hAnsi="仿宋" w:eastAsia="仿宋"/>
          <w:b/>
          <w:color w:val="000000"/>
          <w:sz w:val="32"/>
          <w:szCs w:val="32"/>
        </w:rPr>
      </w:pPr>
      <w:bookmarkStart w:id="32" w:name="_Toc15377210"/>
      <w:r>
        <w:rPr>
          <w:rFonts w:hint="eastAsia" w:ascii="仿宋" w:hAnsi="仿宋" w:eastAsia="仿宋"/>
          <w:b/>
          <w:color w:val="000000"/>
          <w:sz w:val="32"/>
          <w:szCs w:val="32"/>
        </w:rPr>
        <w:t>（一）一般公共预算财政拨款支出决算总体情况</w:t>
      </w:r>
      <w:bookmarkEnd w:id="32"/>
    </w:p>
    <w:p>
      <w:pPr>
        <w:spacing w:line="600" w:lineRule="exact"/>
        <w:ind w:firstLine="640" w:firstLineChars="200"/>
        <w:rPr>
          <w:rFonts w:hint="eastAsia" w:ascii="仿宋_GB2312" w:hAnsi="仿宋" w:eastAsia="仿宋_GB2312" w:cs="仿宋"/>
          <w:bCs/>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w:t>
      </w:r>
      <w:r>
        <w:rPr>
          <w:rFonts w:hint="eastAsia" w:ascii="仿宋" w:hAnsi="仿宋" w:eastAsia="仿宋"/>
          <w:color w:val="000000"/>
          <w:sz w:val="32"/>
          <w:szCs w:val="32"/>
          <w:lang w:val="en-US" w:eastAsia="zh-CN"/>
        </w:rPr>
        <w:t>203.66</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99.42</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w:t>
      </w:r>
      <w:r>
        <w:rPr>
          <w:rFonts w:hint="eastAsia" w:ascii="仿宋" w:hAnsi="仿宋" w:eastAsia="仿宋"/>
          <w:color w:val="000000"/>
          <w:sz w:val="32"/>
          <w:szCs w:val="32"/>
          <w:lang w:val="en-US" w:eastAsia="zh-CN"/>
        </w:rPr>
        <w:t>6.74</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3.42</w:t>
      </w:r>
      <w:r>
        <w:rPr>
          <w:rFonts w:ascii="仿宋" w:hAnsi="仿宋" w:eastAsia="仿宋"/>
          <w:color w:val="000000"/>
          <w:sz w:val="32"/>
          <w:szCs w:val="32"/>
        </w:rPr>
        <w:t>%</w:t>
      </w:r>
      <w:r>
        <w:rPr>
          <w:rFonts w:hint="eastAsia" w:ascii="仿宋" w:hAnsi="仿宋" w:eastAsia="仿宋"/>
          <w:color w:val="000000"/>
          <w:sz w:val="32"/>
          <w:szCs w:val="32"/>
        </w:rPr>
        <w:t>。主要变动原因</w:t>
      </w:r>
      <w:r>
        <w:rPr>
          <w:rFonts w:hint="eastAsia" w:ascii="仿宋_GB2312" w:hAnsi="仿宋" w:eastAsia="仿宋_GB2312" w:cs="仿宋"/>
          <w:bCs/>
          <w:color w:val="000000"/>
          <w:sz w:val="32"/>
          <w:szCs w:val="32"/>
          <w:lang w:eastAsia="zh-CN"/>
        </w:rPr>
        <w:t>一是单位新招人员</w:t>
      </w:r>
      <w:r>
        <w:rPr>
          <w:rFonts w:hint="eastAsia" w:ascii="仿宋_GB2312" w:hAnsi="仿宋" w:eastAsia="仿宋_GB2312" w:cs="仿宋"/>
          <w:bCs/>
          <w:color w:val="000000"/>
          <w:sz w:val="32"/>
          <w:szCs w:val="32"/>
          <w:lang w:val="en-US" w:eastAsia="zh-CN"/>
        </w:rPr>
        <w:t>2名，人员经费增加，二是2018年基本工资标准和艰苦边远津贴标准提高，人员经费增加。</w:t>
      </w:r>
    </w:p>
    <w:p>
      <w:pPr>
        <w:spacing w:line="600" w:lineRule="exact"/>
        <w:ind w:firstLine="640" w:firstLineChars="200"/>
        <w:rPr>
          <w:rFonts w:hint="eastAsia" w:ascii="仿宋_GB2312" w:hAnsi="仿宋" w:eastAsia="仿宋_GB2312" w:cs="仿宋"/>
          <w:bCs/>
          <w:color w:val="000000"/>
          <w:sz w:val="32"/>
          <w:szCs w:val="32"/>
          <w:lang w:val="en-US" w:eastAsia="zh-CN"/>
        </w:rPr>
      </w:pPr>
    </w:p>
    <w:p>
      <w:pPr>
        <w:bidi w:val="0"/>
        <w:jc w:val="center"/>
        <w:rPr>
          <w:rFonts w:hint="default"/>
          <w:lang w:val="en-US" w:eastAsia="zh-CN"/>
        </w:rPr>
      </w:pPr>
      <w:r>
        <w:drawing>
          <wp:inline distT="0" distB="0" distL="114300" distR="114300">
            <wp:extent cx="4875530" cy="2863215"/>
            <wp:effectExtent l="4445" t="4445" r="15875" b="8890"/>
            <wp:docPr id="14"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2" w:firstLineChars="200"/>
        <w:outlineLvl w:val="2"/>
        <w:rPr>
          <w:rFonts w:ascii="仿宋" w:hAnsi="仿宋" w:eastAsia="仿宋"/>
          <w:b/>
          <w:color w:val="000000"/>
          <w:sz w:val="32"/>
          <w:szCs w:val="32"/>
        </w:rPr>
      </w:pPr>
      <w:bookmarkStart w:id="33" w:name="_Toc15377211"/>
      <w:r>
        <w:rPr>
          <w:rFonts w:hint="eastAsia" w:ascii="仿宋" w:hAnsi="仿宋" w:eastAsia="仿宋"/>
          <w:b/>
          <w:color w:val="000000"/>
          <w:sz w:val="32"/>
          <w:szCs w:val="32"/>
        </w:rPr>
        <w:t>（二）一般公共预算财政拨款支出决算结构情况</w:t>
      </w:r>
      <w:bookmarkEnd w:id="33"/>
    </w:p>
    <w:p>
      <w:pPr>
        <w:keepNext w:val="0"/>
        <w:keepLines w:val="0"/>
        <w:pageBreakBefore w:val="0"/>
        <w:kinsoku/>
        <w:wordWrap/>
        <w:overflowPunct/>
        <w:topLinePunct w:val="0"/>
        <w:autoSpaceDE/>
        <w:autoSpaceDN/>
        <w:bidi w:val="0"/>
        <w:adjustRightInd/>
        <w:snapToGrid w:val="0"/>
        <w:spacing w:line="560" w:lineRule="exact"/>
        <w:ind w:firstLine="640" w:firstLineChars="200"/>
        <w:outlineLvl w:val="9"/>
        <w:rPr>
          <w:rFonts w:hint="eastAsia" w:ascii="仿宋_GB2312" w:hAnsi="仿宋" w:eastAsia="仿宋_GB2312"/>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204.84</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社会保障和就业</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26.52</w:t>
      </w:r>
      <w:r>
        <w:rPr>
          <w:rFonts w:hint="eastAsia" w:ascii="仿宋" w:hAnsi="仿宋" w:eastAsia="仿宋"/>
          <w:color w:val="000000" w:themeColor="text1"/>
          <w:sz w:val="32"/>
          <w:szCs w:val="32"/>
          <w14:textFill>
            <w14:solidFill>
              <w14:schemeClr w14:val="tx1"/>
            </w14:solidFill>
          </w14:textFill>
        </w:rPr>
        <w:t>万元，占</w:t>
      </w:r>
      <w:r>
        <w:rPr>
          <w:rFonts w:hint="eastAsia" w:ascii="仿宋_GB2312" w:hAnsi="仿宋" w:eastAsia="仿宋_GB2312"/>
          <w:sz w:val="32"/>
          <w:szCs w:val="32"/>
          <w:lang w:val="en-US" w:eastAsia="zh-CN"/>
        </w:rPr>
        <w:t>12.94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；医疗卫生支出</w:t>
      </w:r>
      <w:r>
        <w:rPr>
          <w:rFonts w:hint="eastAsia" w:ascii="仿宋" w:hAnsi="仿宋" w:eastAsia="仿宋"/>
          <w:color w:val="000000" w:themeColor="text1"/>
          <w:sz w:val="32"/>
          <w:szCs w:val="32"/>
          <w:lang w:val="en-US" w:eastAsia="zh-CN"/>
          <w14:textFill>
            <w14:solidFill>
              <w14:schemeClr w14:val="tx1"/>
            </w14:solidFill>
          </w14:textFill>
        </w:rPr>
        <w:t>7.88</w:t>
      </w:r>
      <w:r>
        <w:rPr>
          <w:rFonts w:hint="eastAsia" w:ascii="仿宋" w:hAnsi="仿宋" w:eastAsia="仿宋"/>
          <w:color w:val="000000" w:themeColor="text1"/>
          <w:sz w:val="32"/>
          <w:szCs w:val="32"/>
          <w14:textFill>
            <w14:solidFill>
              <w14:schemeClr w14:val="tx1"/>
            </w14:solidFill>
          </w14:textFill>
        </w:rPr>
        <w:t>万元，占</w:t>
      </w:r>
      <w:r>
        <w:rPr>
          <w:rFonts w:hint="eastAsia" w:ascii="仿宋_GB2312" w:hAnsi="仿宋" w:eastAsia="仿宋_GB2312"/>
          <w:sz w:val="32"/>
          <w:szCs w:val="32"/>
          <w:lang w:val="en-US" w:eastAsia="zh-CN"/>
        </w:rPr>
        <w:t>3.85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lang w:val="en-US" w:eastAsia="zh-CN"/>
          <w14:textFill>
            <w14:solidFill>
              <w14:schemeClr w14:val="tx1"/>
            </w14:solidFill>
          </w14:textFill>
        </w:rPr>
        <w:t>12.02</w:t>
      </w:r>
      <w:r>
        <w:rPr>
          <w:rFonts w:hint="eastAsia" w:ascii="仿宋" w:hAnsi="仿宋" w:eastAsia="仿宋"/>
          <w:color w:val="000000" w:themeColor="text1"/>
          <w:sz w:val="32"/>
          <w:szCs w:val="32"/>
          <w14:textFill>
            <w14:solidFill>
              <w14:schemeClr w14:val="tx1"/>
            </w14:solidFill>
          </w14:textFill>
        </w:rPr>
        <w:t>万元，占</w:t>
      </w:r>
      <w:r>
        <w:rPr>
          <w:rFonts w:hint="eastAsia" w:ascii="仿宋_GB2312" w:hAnsi="仿宋" w:eastAsia="仿宋_GB2312"/>
          <w:sz w:val="32"/>
          <w:szCs w:val="32"/>
          <w:lang w:val="en-US" w:eastAsia="zh-CN"/>
        </w:rPr>
        <w:t>5.87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_GB2312" w:hAnsi="仿宋" w:eastAsia="仿宋_GB2312"/>
          <w:sz w:val="32"/>
          <w:szCs w:val="32"/>
          <w:lang w:val="en-US" w:eastAsia="zh-CN"/>
        </w:rPr>
        <w:t>资源勘探信息等支出158.42万元，占77.34%。</w:t>
      </w:r>
    </w:p>
    <w:p>
      <w:pPr>
        <w:keepNext w:val="0"/>
        <w:keepLines w:val="0"/>
        <w:pageBreakBefore w:val="0"/>
        <w:kinsoku/>
        <w:wordWrap/>
        <w:overflowPunct/>
        <w:topLinePunct w:val="0"/>
        <w:autoSpaceDE/>
        <w:autoSpaceDN/>
        <w:bidi w:val="0"/>
        <w:adjustRightInd/>
        <w:snapToGrid w:val="0"/>
        <w:spacing w:line="560" w:lineRule="exact"/>
        <w:ind w:firstLine="640" w:firstLineChars="200"/>
        <w:outlineLvl w:val="9"/>
        <w:rPr>
          <w:rFonts w:hint="eastAsia" w:ascii="仿宋_GB2312" w:hAnsi="仿宋" w:eastAsia="仿宋_GB2312"/>
          <w:sz w:val="32"/>
          <w:szCs w:val="32"/>
          <w:lang w:val="en-US" w:eastAsia="zh-CN"/>
        </w:rPr>
      </w:pPr>
    </w:p>
    <w:p>
      <w:pPr>
        <w:keepNext w:val="0"/>
        <w:keepLines w:val="0"/>
        <w:pageBreakBefore w:val="0"/>
        <w:kinsoku/>
        <w:wordWrap/>
        <w:overflowPunct/>
        <w:topLinePunct w:val="0"/>
        <w:autoSpaceDE/>
        <w:autoSpaceDN/>
        <w:bidi w:val="0"/>
        <w:adjustRightInd/>
        <w:snapToGrid w:val="0"/>
        <w:spacing w:line="560" w:lineRule="exact"/>
        <w:ind w:firstLine="640" w:firstLineChars="200"/>
        <w:outlineLvl w:val="9"/>
        <w:rPr>
          <w:rFonts w:hint="eastAsia" w:ascii="仿宋_GB2312" w:hAnsi="仿宋" w:eastAsia="仿宋_GB2312"/>
          <w:sz w:val="32"/>
          <w:szCs w:val="32"/>
          <w:lang w:val="en-US" w:eastAsia="zh-CN"/>
        </w:rPr>
      </w:pPr>
    </w:p>
    <w:p>
      <w:pPr>
        <w:keepNext w:val="0"/>
        <w:keepLines w:val="0"/>
        <w:pageBreakBefore w:val="0"/>
        <w:kinsoku/>
        <w:wordWrap/>
        <w:overflowPunct/>
        <w:topLinePunct w:val="0"/>
        <w:autoSpaceDE/>
        <w:autoSpaceDN/>
        <w:bidi w:val="0"/>
        <w:adjustRightInd/>
        <w:snapToGrid w:val="0"/>
        <w:spacing w:line="560" w:lineRule="exact"/>
        <w:ind w:firstLine="640" w:firstLineChars="200"/>
        <w:outlineLvl w:val="9"/>
        <w:rPr>
          <w:rFonts w:hint="eastAsia" w:ascii="仿宋_GB2312" w:hAnsi="仿宋" w:eastAsia="仿宋_GB2312"/>
          <w:sz w:val="32"/>
          <w:szCs w:val="32"/>
          <w:lang w:val="en-US" w:eastAsia="zh-CN"/>
        </w:rPr>
      </w:pPr>
    </w:p>
    <w:p>
      <w:pPr>
        <w:keepNext w:val="0"/>
        <w:keepLines w:val="0"/>
        <w:pageBreakBefore w:val="0"/>
        <w:kinsoku/>
        <w:wordWrap/>
        <w:overflowPunct/>
        <w:topLinePunct w:val="0"/>
        <w:autoSpaceDE/>
        <w:autoSpaceDN/>
        <w:bidi w:val="0"/>
        <w:adjustRightInd/>
        <w:snapToGrid w:val="0"/>
        <w:spacing w:line="560" w:lineRule="exact"/>
        <w:ind w:firstLine="640" w:firstLineChars="200"/>
        <w:outlineLvl w:val="9"/>
        <w:rPr>
          <w:rFonts w:hint="eastAsia" w:ascii="仿宋_GB2312" w:hAnsi="仿宋" w:eastAsia="仿宋_GB2312"/>
          <w:sz w:val="32"/>
          <w:szCs w:val="32"/>
          <w:lang w:val="en-US" w:eastAsia="zh-CN"/>
        </w:rPr>
      </w:pPr>
    </w:p>
    <w:p>
      <w:pPr>
        <w:keepNext w:val="0"/>
        <w:keepLines w:val="0"/>
        <w:pageBreakBefore w:val="0"/>
        <w:kinsoku/>
        <w:wordWrap/>
        <w:overflowPunct/>
        <w:topLinePunct w:val="0"/>
        <w:autoSpaceDE/>
        <w:autoSpaceDN/>
        <w:bidi w:val="0"/>
        <w:adjustRightInd/>
        <w:snapToGrid w:val="0"/>
        <w:spacing w:line="560" w:lineRule="exact"/>
        <w:ind w:firstLine="640" w:firstLineChars="200"/>
        <w:outlineLvl w:val="9"/>
        <w:rPr>
          <w:rFonts w:hint="eastAsia" w:ascii="仿宋_GB2312" w:hAnsi="仿宋" w:eastAsia="仿宋_GB2312"/>
          <w:sz w:val="32"/>
          <w:szCs w:val="32"/>
          <w:lang w:val="en-US" w:eastAsia="zh-CN"/>
        </w:rPr>
      </w:pPr>
    </w:p>
    <w:p>
      <w:pPr>
        <w:keepNext w:val="0"/>
        <w:keepLines w:val="0"/>
        <w:pageBreakBefore w:val="0"/>
        <w:kinsoku/>
        <w:wordWrap/>
        <w:overflowPunct/>
        <w:topLinePunct w:val="0"/>
        <w:autoSpaceDE/>
        <w:autoSpaceDN/>
        <w:bidi w:val="0"/>
        <w:adjustRightInd/>
        <w:snapToGrid w:val="0"/>
        <w:spacing w:line="560" w:lineRule="exact"/>
        <w:ind w:firstLine="640" w:firstLineChars="200"/>
        <w:outlineLvl w:val="9"/>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drawing>
          <wp:anchor distT="0" distB="0" distL="114300" distR="114300" simplePos="0" relativeHeight="251660288" behindDoc="0" locked="0" layoutInCell="1" allowOverlap="1">
            <wp:simplePos x="0" y="0"/>
            <wp:positionH relativeFrom="column">
              <wp:posOffset>56515</wp:posOffset>
            </wp:positionH>
            <wp:positionV relativeFrom="paragraph">
              <wp:posOffset>-3175</wp:posOffset>
            </wp:positionV>
            <wp:extent cx="4899025" cy="2414270"/>
            <wp:effectExtent l="4445" t="4445" r="49530" b="76835"/>
            <wp:wrapNone/>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keepNext w:val="0"/>
        <w:keepLines w:val="0"/>
        <w:pageBreakBefore w:val="0"/>
        <w:kinsoku/>
        <w:wordWrap/>
        <w:overflowPunct/>
        <w:topLinePunct w:val="0"/>
        <w:autoSpaceDE/>
        <w:autoSpaceDN/>
        <w:bidi w:val="0"/>
        <w:adjustRightInd/>
        <w:snapToGrid w:val="0"/>
        <w:spacing w:line="560" w:lineRule="exact"/>
        <w:ind w:firstLine="640" w:firstLineChars="200"/>
        <w:outlineLvl w:val="9"/>
        <w:rPr>
          <w:rFonts w:hint="eastAsia" w:ascii="仿宋_GB2312" w:hAnsi="仿宋" w:eastAsia="仿宋_GB2312"/>
          <w:sz w:val="32"/>
          <w:szCs w:val="32"/>
          <w:lang w:val="en-US" w:eastAsia="zh-CN"/>
        </w:rPr>
      </w:pPr>
    </w:p>
    <w:p>
      <w:pPr>
        <w:keepNext w:val="0"/>
        <w:keepLines w:val="0"/>
        <w:pageBreakBefore w:val="0"/>
        <w:kinsoku/>
        <w:wordWrap/>
        <w:overflowPunct/>
        <w:topLinePunct w:val="0"/>
        <w:autoSpaceDE/>
        <w:autoSpaceDN/>
        <w:bidi w:val="0"/>
        <w:adjustRightInd/>
        <w:snapToGrid w:val="0"/>
        <w:spacing w:line="560" w:lineRule="exact"/>
        <w:ind w:firstLine="640" w:firstLineChars="200"/>
        <w:outlineLvl w:val="9"/>
        <w:rPr>
          <w:rFonts w:hint="eastAsia" w:ascii="仿宋_GB2312" w:hAnsi="仿宋" w:eastAsia="仿宋_GB2312"/>
          <w:sz w:val="32"/>
          <w:szCs w:val="32"/>
          <w:lang w:val="en-US" w:eastAsia="zh-CN"/>
        </w:rPr>
      </w:pPr>
    </w:p>
    <w:p>
      <w:pPr>
        <w:keepNext w:val="0"/>
        <w:keepLines w:val="0"/>
        <w:pageBreakBefore w:val="0"/>
        <w:kinsoku/>
        <w:wordWrap/>
        <w:overflowPunct/>
        <w:topLinePunct w:val="0"/>
        <w:autoSpaceDE/>
        <w:autoSpaceDN/>
        <w:bidi w:val="0"/>
        <w:adjustRightInd/>
        <w:snapToGrid w:val="0"/>
        <w:spacing w:line="560" w:lineRule="exact"/>
        <w:ind w:firstLine="640" w:firstLineChars="200"/>
        <w:outlineLvl w:val="9"/>
        <w:rPr>
          <w:rFonts w:hint="eastAsia" w:ascii="仿宋_GB2312" w:hAnsi="仿宋" w:eastAsia="仿宋_GB2312"/>
          <w:sz w:val="32"/>
          <w:szCs w:val="32"/>
          <w:lang w:val="en-US" w:eastAsia="zh-CN"/>
        </w:rPr>
      </w:pPr>
    </w:p>
    <w:p>
      <w:pPr>
        <w:keepNext w:val="0"/>
        <w:keepLines w:val="0"/>
        <w:pageBreakBefore w:val="0"/>
        <w:kinsoku/>
        <w:wordWrap/>
        <w:overflowPunct/>
        <w:topLinePunct w:val="0"/>
        <w:autoSpaceDE/>
        <w:autoSpaceDN/>
        <w:bidi w:val="0"/>
        <w:adjustRightInd/>
        <w:snapToGrid w:val="0"/>
        <w:spacing w:line="560" w:lineRule="exact"/>
        <w:ind w:firstLine="640" w:firstLineChars="200"/>
        <w:outlineLvl w:val="9"/>
        <w:rPr>
          <w:rFonts w:hint="eastAsia" w:ascii="仿宋_GB2312" w:hAnsi="仿宋" w:eastAsia="仿宋_GB2312"/>
          <w:sz w:val="32"/>
          <w:szCs w:val="32"/>
          <w:lang w:val="en-US" w:eastAsia="zh-CN"/>
        </w:rPr>
      </w:pPr>
    </w:p>
    <w:p>
      <w:pPr>
        <w:keepNext w:val="0"/>
        <w:keepLines w:val="0"/>
        <w:pageBreakBefore w:val="0"/>
        <w:kinsoku/>
        <w:wordWrap/>
        <w:overflowPunct/>
        <w:topLinePunct w:val="0"/>
        <w:autoSpaceDE/>
        <w:autoSpaceDN/>
        <w:bidi w:val="0"/>
        <w:adjustRightInd/>
        <w:snapToGrid w:val="0"/>
        <w:spacing w:line="560" w:lineRule="exact"/>
        <w:ind w:firstLine="640" w:firstLineChars="200"/>
        <w:outlineLvl w:val="9"/>
        <w:rPr>
          <w:rFonts w:hint="eastAsia" w:ascii="仿宋_GB2312" w:hAnsi="仿宋" w:eastAsia="仿宋_GB2312"/>
          <w:sz w:val="32"/>
          <w:szCs w:val="32"/>
          <w:lang w:val="en-US" w:eastAsia="zh-CN"/>
        </w:rPr>
      </w:pPr>
    </w:p>
    <w:p>
      <w:pPr>
        <w:keepNext w:val="0"/>
        <w:keepLines w:val="0"/>
        <w:pageBreakBefore w:val="0"/>
        <w:kinsoku/>
        <w:wordWrap/>
        <w:overflowPunct/>
        <w:topLinePunct w:val="0"/>
        <w:autoSpaceDE/>
        <w:autoSpaceDN/>
        <w:bidi w:val="0"/>
        <w:adjustRightInd/>
        <w:snapToGrid w:val="0"/>
        <w:spacing w:line="560" w:lineRule="exact"/>
        <w:outlineLvl w:val="9"/>
        <w:rPr>
          <w:rFonts w:hint="eastAsia" w:ascii="仿宋" w:hAnsi="仿宋" w:eastAsia="仿宋"/>
          <w:color w:val="000000"/>
          <w:sz w:val="32"/>
          <w:szCs w:val="32"/>
        </w:rPr>
      </w:pPr>
    </w:p>
    <w:p>
      <w:pPr>
        <w:keepNext w:val="0"/>
        <w:keepLines w:val="0"/>
        <w:pageBreakBefore w:val="0"/>
        <w:kinsoku/>
        <w:wordWrap/>
        <w:overflowPunct/>
        <w:topLinePunct w:val="0"/>
        <w:autoSpaceDE/>
        <w:autoSpaceDN/>
        <w:bidi w:val="0"/>
        <w:adjustRightInd/>
        <w:snapToGrid w:val="0"/>
        <w:spacing w:line="560" w:lineRule="exact"/>
        <w:outlineLvl w:val="9"/>
        <w:rPr>
          <w:rFonts w:hint="eastAsia"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keepNext w:val="0"/>
        <w:keepLines w:val="0"/>
        <w:pageBreakBefore w:val="0"/>
        <w:kinsoku/>
        <w:wordWrap/>
        <w:overflowPunct/>
        <w:topLinePunct w:val="0"/>
        <w:autoSpaceDE/>
        <w:autoSpaceDN/>
        <w:bidi w:val="0"/>
        <w:adjustRightInd/>
        <w:snapToGrid w:val="0"/>
        <w:spacing w:line="560" w:lineRule="exact"/>
        <w:outlineLvl w:val="9"/>
        <w:rPr>
          <w:rFonts w:hint="eastAsia" w:ascii="仿宋" w:hAnsi="仿宋" w:eastAsia="仿宋"/>
          <w:color w:val="000000"/>
          <w:sz w:val="32"/>
          <w:szCs w:val="32"/>
        </w:rPr>
      </w:pPr>
    </w:p>
    <w:p>
      <w:pPr>
        <w:spacing w:line="600" w:lineRule="exact"/>
        <w:outlineLvl w:val="2"/>
        <w:rPr>
          <w:rFonts w:ascii="仿宋" w:hAnsi="仿宋" w:eastAsia="仿宋"/>
          <w:b/>
          <w:color w:val="000000"/>
          <w:sz w:val="32"/>
          <w:szCs w:val="32"/>
        </w:rPr>
      </w:pPr>
      <w:bookmarkStart w:id="34" w:name="_Toc15377212"/>
      <w:r>
        <w:rPr>
          <w:rFonts w:hint="eastAsia" w:ascii="仿宋" w:hAnsi="仿宋" w:eastAsia="仿宋"/>
          <w:b/>
          <w:color w:val="000000"/>
          <w:sz w:val="32"/>
          <w:szCs w:val="32"/>
        </w:rPr>
        <w:t>（三）一般公共预算财政拨款支出决算具体情况</w:t>
      </w:r>
      <w:bookmarkEnd w:id="34"/>
    </w:p>
    <w:p>
      <w:pPr>
        <w:spacing w:line="600" w:lineRule="exact"/>
        <w:ind w:firstLine="642" w:firstLineChars="200"/>
        <w:outlineLvl w:val="2"/>
        <w:rPr>
          <w:rFonts w:ascii="仿宋" w:hAnsi="仿宋" w:eastAsia="仿宋"/>
          <w:color w:val="FF0000"/>
          <w:sz w:val="32"/>
          <w:szCs w:val="32"/>
        </w:rPr>
      </w:pPr>
      <w:bookmarkStart w:id="35" w:name="_Toc15377213"/>
      <w:bookmarkStart w:id="36" w:name="_Toc15378460"/>
      <w:bookmarkStart w:id="37" w:name="_Toc15377444"/>
      <w:r>
        <w:rPr>
          <w:rFonts w:hint="eastAsia" w:ascii="仿宋" w:hAnsi="仿宋" w:eastAsia="仿宋"/>
          <w:b/>
          <w:color w:val="000000" w:themeColor="text1"/>
          <w:sz w:val="32"/>
          <w:szCs w:val="32"/>
          <w14:textFill>
            <w14:solidFill>
              <w14:schemeClr w14:val="tx1"/>
            </w14:solidFill>
          </w14:textFill>
        </w:rPr>
        <w:t>2018年</w:t>
      </w:r>
      <w:r>
        <w:rPr>
          <w:rFonts w:hint="eastAsia" w:ascii="仿宋" w:hAnsi="仿宋" w:eastAsia="仿宋"/>
          <w:b/>
          <w:color w:val="000000" w:themeColor="text1"/>
          <w:sz w:val="32"/>
          <w:szCs w:val="32"/>
          <w:lang w:val="en-US"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203.66万元</w:t>
      </w:r>
      <w:r>
        <w:rPr>
          <w:rFonts w:hint="eastAsia" w:ascii="仿宋" w:hAnsi="仿宋" w:eastAsia="仿宋"/>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完成</w:t>
      </w:r>
      <w:r>
        <w:rPr>
          <w:rStyle w:val="15"/>
          <w:rFonts w:hint="eastAsia" w:ascii="仿宋" w:hAnsi="仿宋" w:eastAsia="仿宋"/>
          <w:bCs/>
          <w:color w:val="000000"/>
          <w:sz w:val="32"/>
          <w:szCs w:val="32"/>
        </w:rPr>
        <w:t>预算</w:t>
      </w:r>
      <w:r>
        <w:rPr>
          <w:rStyle w:val="15"/>
          <w:rFonts w:hint="eastAsia" w:ascii="仿宋" w:hAnsi="仿宋" w:eastAsia="仿宋"/>
          <w:bCs/>
          <w:color w:val="000000"/>
          <w:sz w:val="32"/>
          <w:szCs w:val="32"/>
          <w:lang w:val="en-US" w:eastAsia="zh-CN"/>
        </w:rPr>
        <w:t>78.43</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35"/>
      <w:bookmarkEnd w:id="36"/>
      <w:bookmarkEnd w:id="37"/>
    </w:p>
    <w:p>
      <w:pPr>
        <w:spacing w:line="600" w:lineRule="exact"/>
        <w:ind w:firstLine="640" w:firstLineChars="200"/>
        <w:rPr>
          <w:rFonts w:ascii="仿宋" w:hAnsi="仿宋" w:eastAsia="仿宋"/>
          <w:b w:val="0"/>
          <w:bCs w:val="0"/>
          <w:color w:val="000000"/>
          <w:sz w:val="32"/>
          <w:szCs w:val="32"/>
        </w:rPr>
      </w:pPr>
      <w:r>
        <w:rPr>
          <w:rStyle w:val="15"/>
          <w:rFonts w:hint="eastAsia" w:ascii="仿宋" w:hAnsi="仿宋" w:eastAsia="仿宋"/>
          <w:b w:val="0"/>
          <w:bCs w:val="0"/>
          <w:color w:val="000000"/>
          <w:sz w:val="32"/>
          <w:szCs w:val="32"/>
          <w:lang w:val="en-US" w:eastAsia="zh-CN"/>
        </w:rPr>
        <w:t>1</w:t>
      </w:r>
      <w:r>
        <w:rPr>
          <w:rStyle w:val="15"/>
          <w:rFonts w:ascii="仿宋" w:hAnsi="仿宋" w:eastAsia="仿宋"/>
          <w:b w:val="0"/>
          <w:bCs w:val="0"/>
          <w:color w:val="000000"/>
          <w:sz w:val="32"/>
          <w:szCs w:val="32"/>
        </w:rPr>
        <w:t>.</w:t>
      </w:r>
      <w:r>
        <w:rPr>
          <w:rStyle w:val="15"/>
          <w:rFonts w:hint="eastAsia" w:ascii="仿宋" w:hAnsi="仿宋" w:eastAsia="仿宋"/>
          <w:b w:val="0"/>
          <w:bCs w:val="0"/>
          <w:color w:val="000000"/>
          <w:sz w:val="32"/>
          <w:szCs w:val="32"/>
        </w:rPr>
        <w:t>社会保障和就业</w:t>
      </w:r>
      <w:r>
        <w:rPr>
          <w:rStyle w:val="15"/>
          <w:rFonts w:hint="eastAsia" w:ascii="仿宋" w:hAnsi="仿宋" w:eastAsia="仿宋"/>
          <w:b w:val="0"/>
          <w:bCs w:val="0"/>
          <w:color w:val="000000"/>
          <w:sz w:val="32"/>
          <w:szCs w:val="32"/>
          <w:lang w:val="en-US" w:eastAsia="zh-CN"/>
        </w:rPr>
        <w:t>支出-行政事业单位离退休-机关事业单位基本养老保险缴费支出、职业年金缴费支出</w:t>
      </w:r>
      <w:r>
        <w:rPr>
          <w:rStyle w:val="15"/>
          <w:rFonts w:ascii="仿宋" w:hAnsi="仿宋" w:eastAsia="仿宋"/>
          <w:b w:val="0"/>
          <w:bCs w:val="0"/>
          <w:color w:val="000000"/>
          <w:sz w:val="32"/>
          <w:szCs w:val="32"/>
        </w:rPr>
        <w:t xml:space="preserve">: </w:t>
      </w:r>
      <w:r>
        <w:rPr>
          <w:rStyle w:val="15"/>
          <w:rFonts w:hint="eastAsia" w:ascii="仿宋" w:hAnsi="仿宋" w:eastAsia="仿宋"/>
          <w:b w:val="0"/>
          <w:bCs w:val="0"/>
          <w:color w:val="000000"/>
          <w:sz w:val="32"/>
          <w:szCs w:val="32"/>
        </w:rPr>
        <w:t>支出决算为</w:t>
      </w:r>
      <w:r>
        <w:rPr>
          <w:rStyle w:val="15"/>
          <w:rFonts w:hint="eastAsia" w:ascii="仿宋" w:hAnsi="仿宋" w:eastAsia="仿宋"/>
          <w:b w:val="0"/>
          <w:bCs w:val="0"/>
          <w:color w:val="000000"/>
          <w:sz w:val="32"/>
          <w:szCs w:val="32"/>
          <w:lang w:val="en-US" w:eastAsia="zh-CN"/>
        </w:rPr>
        <w:t>26.52</w:t>
      </w:r>
      <w:r>
        <w:rPr>
          <w:rStyle w:val="15"/>
          <w:rFonts w:hint="eastAsia" w:ascii="仿宋" w:hAnsi="仿宋" w:eastAsia="仿宋"/>
          <w:b w:val="0"/>
          <w:bCs w:val="0"/>
          <w:color w:val="000000"/>
          <w:sz w:val="32"/>
          <w:szCs w:val="32"/>
        </w:rPr>
        <w:t>万元，完成预算</w:t>
      </w:r>
      <w:r>
        <w:rPr>
          <w:rStyle w:val="15"/>
          <w:rFonts w:hint="eastAsia" w:ascii="仿宋" w:hAnsi="仿宋" w:eastAsia="仿宋"/>
          <w:b w:val="0"/>
          <w:bCs w:val="0"/>
          <w:color w:val="000000"/>
          <w:sz w:val="32"/>
          <w:szCs w:val="32"/>
          <w:lang w:val="en-US" w:eastAsia="zh-CN"/>
        </w:rPr>
        <w:t>100</w:t>
      </w:r>
      <w:r>
        <w:rPr>
          <w:rStyle w:val="15"/>
          <w:rFonts w:ascii="仿宋" w:hAnsi="仿宋" w:eastAsia="仿宋"/>
          <w:b w:val="0"/>
          <w:bCs w:val="0"/>
          <w:color w:val="000000"/>
          <w:sz w:val="32"/>
          <w:szCs w:val="32"/>
        </w:rPr>
        <w:t>%</w:t>
      </w:r>
      <w:r>
        <w:rPr>
          <w:rStyle w:val="15"/>
          <w:rFonts w:hint="eastAsia" w:ascii="仿宋" w:hAnsi="仿宋" w:eastAsia="仿宋"/>
          <w:b w:val="0"/>
          <w:bCs w:val="0"/>
          <w:color w:val="000000"/>
          <w:sz w:val="32"/>
          <w:szCs w:val="32"/>
        </w:rPr>
        <w:t>。</w:t>
      </w:r>
    </w:p>
    <w:p>
      <w:pPr>
        <w:spacing w:line="600" w:lineRule="exact"/>
        <w:ind w:firstLine="640" w:firstLineChars="200"/>
        <w:rPr>
          <w:rStyle w:val="15"/>
          <w:rFonts w:hint="eastAsia" w:ascii="仿宋" w:hAnsi="仿宋" w:eastAsia="仿宋"/>
          <w:b w:val="0"/>
          <w:bCs w:val="0"/>
          <w:color w:val="000000"/>
          <w:sz w:val="32"/>
          <w:szCs w:val="32"/>
          <w:lang w:eastAsia="zh-CN"/>
        </w:rPr>
      </w:pPr>
      <w:r>
        <w:rPr>
          <w:rStyle w:val="15"/>
          <w:rFonts w:hint="eastAsia" w:ascii="仿宋" w:hAnsi="仿宋" w:eastAsia="仿宋"/>
          <w:b w:val="0"/>
          <w:bCs w:val="0"/>
          <w:color w:val="000000"/>
          <w:sz w:val="32"/>
          <w:szCs w:val="32"/>
          <w:lang w:val="en-US" w:eastAsia="zh-CN"/>
        </w:rPr>
        <w:t>2</w:t>
      </w:r>
      <w:r>
        <w:rPr>
          <w:rStyle w:val="15"/>
          <w:rFonts w:ascii="仿宋" w:hAnsi="仿宋" w:eastAsia="仿宋"/>
          <w:b w:val="0"/>
          <w:bCs w:val="0"/>
          <w:color w:val="000000"/>
          <w:sz w:val="32"/>
          <w:szCs w:val="32"/>
        </w:rPr>
        <w:t>.</w:t>
      </w:r>
      <w:r>
        <w:rPr>
          <w:rStyle w:val="15"/>
          <w:rFonts w:hint="eastAsia" w:ascii="仿宋" w:hAnsi="仿宋" w:eastAsia="仿宋"/>
          <w:b w:val="0"/>
          <w:bCs w:val="0"/>
          <w:color w:val="000000"/>
          <w:sz w:val="32"/>
          <w:szCs w:val="32"/>
        </w:rPr>
        <w:t>医疗卫生与计划生育</w:t>
      </w:r>
      <w:r>
        <w:rPr>
          <w:rStyle w:val="15"/>
          <w:rFonts w:hint="eastAsia" w:ascii="仿宋" w:hAnsi="仿宋" w:eastAsia="仿宋"/>
          <w:b w:val="0"/>
          <w:bCs w:val="0"/>
          <w:color w:val="000000"/>
          <w:sz w:val="32"/>
          <w:szCs w:val="32"/>
          <w:lang w:val="en-US" w:eastAsia="zh-CN"/>
        </w:rPr>
        <w:t>支出-行政事业单位医疗-行政单位医疗、公务员医疗补助</w:t>
      </w:r>
      <w:r>
        <w:rPr>
          <w:rStyle w:val="15"/>
          <w:rFonts w:ascii="仿宋" w:hAnsi="仿宋" w:eastAsia="仿宋"/>
          <w:b w:val="0"/>
          <w:bCs w:val="0"/>
          <w:color w:val="000000"/>
          <w:sz w:val="32"/>
          <w:szCs w:val="32"/>
        </w:rPr>
        <w:t>:</w:t>
      </w:r>
      <w:r>
        <w:rPr>
          <w:rStyle w:val="15"/>
          <w:rFonts w:hint="eastAsia" w:ascii="仿宋" w:hAnsi="仿宋" w:eastAsia="仿宋"/>
          <w:b w:val="0"/>
          <w:bCs w:val="0"/>
          <w:color w:val="000000"/>
          <w:sz w:val="32"/>
          <w:szCs w:val="32"/>
        </w:rPr>
        <w:t>支出决算为</w:t>
      </w:r>
      <w:r>
        <w:rPr>
          <w:rStyle w:val="15"/>
          <w:rFonts w:hint="eastAsia" w:ascii="仿宋" w:hAnsi="仿宋" w:eastAsia="仿宋"/>
          <w:b w:val="0"/>
          <w:bCs w:val="0"/>
          <w:color w:val="000000"/>
          <w:sz w:val="32"/>
          <w:szCs w:val="32"/>
          <w:lang w:val="en-US" w:eastAsia="zh-CN"/>
        </w:rPr>
        <w:t>7.88</w:t>
      </w:r>
      <w:r>
        <w:rPr>
          <w:rStyle w:val="15"/>
          <w:rFonts w:hint="eastAsia" w:ascii="仿宋" w:hAnsi="仿宋" w:eastAsia="仿宋"/>
          <w:b w:val="0"/>
          <w:bCs w:val="0"/>
          <w:color w:val="000000"/>
          <w:sz w:val="32"/>
          <w:szCs w:val="32"/>
        </w:rPr>
        <w:t>万元，完成预算</w:t>
      </w:r>
      <w:r>
        <w:rPr>
          <w:rStyle w:val="15"/>
          <w:rFonts w:hint="eastAsia" w:ascii="仿宋" w:hAnsi="仿宋" w:eastAsia="仿宋"/>
          <w:b w:val="0"/>
          <w:bCs w:val="0"/>
          <w:color w:val="000000"/>
          <w:sz w:val="32"/>
          <w:szCs w:val="32"/>
          <w:lang w:val="en-US" w:eastAsia="zh-CN"/>
        </w:rPr>
        <w:t>100</w:t>
      </w:r>
      <w:r>
        <w:rPr>
          <w:rStyle w:val="15"/>
          <w:rFonts w:ascii="仿宋" w:hAnsi="仿宋" w:eastAsia="仿宋"/>
          <w:b w:val="0"/>
          <w:bCs w:val="0"/>
          <w:color w:val="000000"/>
          <w:sz w:val="32"/>
          <w:szCs w:val="32"/>
        </w:rPr>
        <w:t>%</w:t>
      </w:r>
      <w:r>
        <w:rPr>
          <w:rStyle w:val="15"/>
          <w:rFonts w:hint="eastAsia" w:ascii="仿宋" w:hAnsi="仿宋" w:eastAsia="仿宋"/>
          <w:b w:val="0"/>
          <w:bCs w:val="0"/>
          <w:color w:val="000000"/>
          <w:sz w:val="32"/>
          <w:szCs w:val="32"/>
          <w:lang w:eastAsia="zh-CN"/>
        </w:rPr>
        <w:t>。</w:t>
      </w:r>
    </w:p>
    <w:p>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outlineLvl w:val="9"/>
        <w:rPr>
          <w:rStyle w:val="15"/>
          <w:rFonts w:hint="default" w:ascii="仿宋" w:hAnsi="仿宋" w:eastAsia="仿宋"/>
          <w:b w:val="0"/>
          <w:bCs w:val="0"/>
          <w:color w:val="000000"/>
          <w:sz w:val="32"/>
          <w:szCs w:val="32"/>
          <w:lang w:val="en-US" w:eastAsia="zh-CN"/>
        </w:rPr>
      </w:pPr>
      <w:r>
        <w:rPr>
          <w:rStyle w:val="15"/>
          <w:rFonts w:hint="eastAsia" w:ascii="仿宋" w:hAnsi="仿宋" w:eastAsia="仿宋"/>
          <w:b w:val="0"/>
          <w:bCs w:val="0"/>
          <w:color w:val="000000"/>
          <w:sz w:val="32"/>
          <w:szCs w:val="32"/>
          <w:lang w:val="en-US" w:eastAsia="zh-CN"/>
        </w:rPr>
        <w:t>3</w:t>
      </w:r>
      <w:r>
        <w:rPr>
          <w:rStyle w:val="15"/>
          <w:rFonts w:ascii="仿宋" w:hAnsi="仿宋" w:eastAsia="仿宋"/>
          <w:b w:val="0"/>
          <w:bCs w:val="0"/>
          <w:color w:val="000000"/>
          <w:sz w:val="32"/>
          <w:szCs w:val="32"/>
        </w:rPr>
        <w:t>.</w:t>
      </w:r>
      <w:r>
        <w:rPr>
          <w:rStyle w:val="15"/>
          <w:rFonts w:hint="eastAsia" w:ascii="仿宋" w:hAnsi="仿宋" w:eastAsia="仿宋"/>
          <w:b w:val="0"/>
          <w:bCs w:val="0"/>
          <w:color w:val="000000"/>
          <w:sz w:val="32"/>
          <w:szCs w:val="32"/>
          <w:lang w:val="en-US" w:eastAsia="zh-CN"/>
        </w:rPr>
        <w:t>资源勘探信息等支出-安全生产监管-行政运行、安全监管监察专项：支出决算为157.24万元，</w:t>
      </w:r>
      <w:r>
        <w:rPr>
          <w:rStyle w:val="15"/>
          <w:rFonts w:hint="eastAsia" w:ascii="仿宋" w:hAnsi="仿宋" w:eastAsia="仿宋"/>
          <w:b w:val="0"/>
          <w:bCs w:val="0"/>
          <w:color w:val="000000"/>
          <w:sz w:val="32"/>
          <w:szCs w:val="32"/>
        </w:rPr>
        <w:t>完成预算</w:t>
      </w:r>
      <w:r>
        <w:rPr>
          <w:rStyle w:val="15"/>
          <w:rFonts w:hint="eastAsia" w:ascii="仿宋" w:hAnsi="仿宋" w:eastAsia="仿宋"/>
          <w:b w:val="0"/>
          <w:bCs w:val="0"/>
          <w:color w:val="000000"/>
          <w:sz w:val="32"/>
          <w:szCs w:val="32"/>
          <w:lang w:val="en-US" w:eastAsia="zh-CN"/>
        </w:rPr>
        <w:t>73.74</w:t>
      </w:r>
      <w:r>
        <w:rPr>
          <w:rStyle w:val="15"/>
          <w:rFonts w:ascii="仿宋" w:hAnsi="仿宋" w:eastAsia="仿宋"/>
          <w:b w:val="0"/>
          <w:bCs w:val="0"/>
          <w:color w:val="000000"/>
          <w:sz w:val="32"/>
          <w:szCs w:val="32"/>
        </w:rPr>
        <w:t>%</w:t>
      </w:r>
      <w:r>
        <w:rPr>
          <w:rStyle w:val="15"/>
          <w:rFonts w:hint="eastAsia" w:ascii="仿宋" w:hAnsi="仿宋" w:eastAsia="仿宋"/>
          <w:b w:val="0"/>
          <w:bCs w:val="0"/>
          <w:color w:val="000000"/>
          <w:sz w:val="32"/>
          <w:szCs w:val="32"/>
        </w:rPr>
        <w:t>。</w:t>
      </w:r>
      <w:r>
        <w:rPr>
          <w:rStyle w:val="15"/>
          <w:rFonts w:hint="eastAsia" w:ascii="仿宋" w:hAnsi="仿宋" w:eastAsia="仿宋"/>
          <w:b w:val="0"/>
          <w:bCs w:val="0"/>
          <w:color w:val="000000"/>
          <w:sz w:val="32"/>
          <w:szCs w:val="32"/>
          <w:lang w:val="en-US" w:eastAsia="zh-CN"/>
        </w:rPr>
        <w:t>决算数小于预算数的主要原因是</w:t>
      </w:r>
      <w:r>
        <w:rPr>
          <w:rFonts w:hint="eastAsia" w:ascii="仿宋_GB2312" w:hAnsi="仿宋" w:eastAsia="仿宋_GB2312" w:cs="仿宋"/>
          <w:bCs/>
          <w:color w:val="000000"/>
          <w:sz w:val="32"/>
          <w:szCs w:val="32"/>
          <w:lang w:val="en-US" w:eastAsia="zh-CN"/>
        </w:rPr>
        <w:t>省级和州级主管部门下达专项资金56万元（阿州财企【2018】6号，阿州财建【2018】115号）。</w:t>
      </w:r>
    </w:p>
    <w:p>
      <w:pPr>
        <w:spacing w:line="600" w:lineRule="exact"/>
        <w:ind w:firstLine="640" w:firstLineChars="200"/>
        <w:rPr>
          <w:rStyle w:val="15"/>
          <w:rFonts w:hint="eastAsia" w:ascii="仿宋" w:hAnsi="仿宋" w:eastAsia="仿宋"/>
          <w:b w:val="0"/>
          <w:bCs w:val="0"/>
          <w:color w:val="000000"/>
          <w:sz w:val="32"/>
          <w:szCs w:val="32"/>
          <w:lang w:val="en-US" w:eastAsia="zh-CN"/>
        </w:rPr>
      </w:pPr>
      <w:r>
        <w:rPr>
          <w:rStyle w:val="15"/>
          <w:rFonts w:hint="eastAsia" w:ascii="仿宋" w:hAnsi="仿宋" w:eastAsia="仿宋"/>
          <w:b w:val="0"/>
          <w:bCs w:val="0"/>
          <w:color w:val="000000"/>
          <w:sz w:val="32"/>
          <w:szCs w:val="32"/>
          <w:lang w:val="en-US" w:eastAsia="zh-CN"/>
        </w:rPr>
        <w:t>4</w:t>
      </w:r>
      <w:r>
        <w:rPr>
          <w:rStyle w:val="15"/>
          <w:rFonts w:ascii="仿宋" w:hAnsi="仿宋" w:eastAsia="仿宋"/>
          <w:b w:val="0"/>
          <w:bCs w:val="0"/>
          <w:color w:val="000000"/>
          <w:sz w:val="32"/>
          <w:szCs w:val="32"/>
        </w:rPr>
        <w:t>.</w:t>
      </w:r>
      <w:r>
        <w:rPr>
          <w:rStyle w:val="15"/>
          <w:rFonts w:hint="eastAsia" w:ascii="仿宋" w:hAnsi="仿宋" w:eastAsia="仿宋"/>
          <w:b w:val="0"/>
          <w:bCs w:val="0"/>
          <w:color w:val="000000"/>
          <w:sz w:val="32"/>
          <w:szCs w:val="32"/>
          <w:lang w:val="en-US" w:eastAsia="zh-CN"/>
        </w:rPr>
        <w:t>住房保障支出-住房改革支出-住房公积金：支出决算为12.02万元，完成预算100</w:t>
      </w:r>
      <w:r>
        <w:rPr>
          <w:rStyle w:val="15"/>
          <w:rFonts w:ascii="仿宋" w:hAnsi="仿宋" w:eastAsia="仿宋"/>
          <w:b w:val="0"/>
          <w:bCs w:val="0"/>
          <w:color w:val="000000"/>
          <w:sz w:val="32"/>
          <w:szCs w:val="32"/>
        </w:rPr>
        <w:t>%</w:t>
      </w:r>
      <w:r>
        <w:rPr>
          <w:rStyle w:val="15"/>
          <w:rFonts w:hint="eastAsia" w:ascii="仿宋" w:hAnsi="仿宋" w:eastAsia="仿宋"/>
          <w:b w:val="0"/>
          <w:bCs w:val="0"/>
          <w:color w:val="000000"/>
          <w:sz w:val="32"/>
          <w:szCs w:val="32"/>
          <w:lang w:eastAsia="zh-CN"/>
        </w:rPr>
        <w:t>。</w:t>
      </w:r>
    </w:p>
    <w:p>
      <w:pPr>
        <w:tabs>
          <w:tab w:val="right" w:pos="8306"/>
        </w:tabs>
        <w:spacing w:line="600" w:lineRule="exact"/>
        <w:ind w:firstLine="640"/>
        <w:outlineLvl w:val="1"/>
        <w:rPr>
          <w:rStyle w:val="28"/>
        </w:rPr>
      </w:pPr>
      <w:bookmarkStart w:id="38" w:name="_Toc15396608"/>
      <w:bookmarkStart w:id="39"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38"/>
      <w:bookmarkEnd w:id="39"/>
      <w:r>
        <w:rPr>
          <w:rStyle w:val="28"/>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w:t>
      </w:r>
      <w:r>
        <w:rPr>
          <w:rFonts w:hint="eastAsia" w:ascii="仿宋" w:hAnsi="仿宋" w:eastAsia="仿宋"/>
          <w:color w:val="000000"/>
          <w:sz w:val="32"/>
          <w:szCs w:val="32"/>
          <w:lang w:val="en-US" w:eastAsia="zh-CN"/>
        </w:rPr>
        <w:t>199.85</w:t>
      </w:r>
      <w:r>
        <w:rPr>
          <w:rFonts w:hint="eastAsia" w:ascii="仿宋" w:hAnsi="仿宋" w:eastAsia="仿宋"/>
          <w:color w:val="000000"/>
          <w:sz w:val="32"/>
          <w:szCs w:val="32"/>
        </w:rPr>
        <w:t>万元，其中：</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174.95</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37.03万元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68.63万元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20.77万元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18.94万元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7.58万元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职工基本医疗保险缴费6.23万元、公务员医疗补助缴费1.65万元、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0.42万元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住房公积金12.02万元</w:t>
      </w:r>
      <w:r>
        <w:rPr>
          <w:rFonts w:hint="eastAsia" w:ascii="仿宋" w:hAnsi="仿宋" w:eastAsia="仿宋"/>
          <w:color w:val="000000"/>
          <w:sz w:val="32"/>
          <w:szCs w:val="32"/>
        </w:rPr>
        <w:t>、医疗费</w:t>
      </w:r>
      <w:r>
        <w:rPr>
          <w:rFonts w:hint="eastAsia" w:ascii="仿宋" w:hAnsi="仿宋" w:eastAsia="仿宋"/>
          <w:color w:val="000000"/>
          <w:sz w:val="32"/>
          <w:szCs w:val="32"/>
          <w:lang w:val="en-US" w:eastAsia="zh-CN"/>
        </w:rPr>
        <w:t>0.96万元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生活补助0.72万元、奖励0.006万元</w:t>
      </w:r>
      <w:r>
        <w:rPr>
          <w:rFonts w:hint="eastAsia" w:ascii="仿宋" w:hAnsi="仿宋" w:eastAsia="仿宋"/>
          <w:color w:val="000000"/>
          <w:sz w:val="32"/>
          <w:szCs w:val="32"/>
        </w:rPr>
        <w:t>。</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24.90</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4.24万元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1.23万元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3.73万元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8.33万元</w:t>
      </w:r>
      <w:r>
        <w:rPr>
          <w:rFonts w:hint="eastAsia" w:ascii="仿宋" w:hAnsi="仿宋" w:eastAsia="仿宋"/>
          <w:color w:val="000000"/>
          <w:sz w:val="32"/>
          <w:szCs w:val="32"/>
        </w:rPr>
        <w:t>、维修（护）费</w:t>
      </w:r>
      <w:r>
        <w:rPr>
          <w:rFonts w:hint="eastAsia" w:ascii="仿宋" w:hAnsi="仿宋" w:eastAsia="仿宋"/>
          <w:color w:val="000000"/>
          <w:sz w:val="32"/>
          <w:szCs w:val="32"/>
          <w:lang w:val="en-US" w:eastAsia="zh-CN"/>
        </w:rPr>
        <w:t>0.98万元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培训费0.15万元、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0.36万元</w:t>
      </w:r>
      <w:r>
        <w:rPr>
          <w:rFonts w:hint="eastAsia" w:ascii="仿宋" w:hAnsi="仿宋" w:eastAsia="仿宋"/>
          <w:color w:val="000000"/>
          <w:sz w:val="32"/>
          <w:szCs w:val="32"/>
        </w:rPr>
        <w:t>、劳务费</w:t>
      </w:r>
      <w:r>
        <w:rPr>
          <w:rFonts w:hint="eastAsia" w:ascii="仿宋" w:hAnsi="仿宋" w:eastAsia="仿宋"/>
          <w:color w:val="000000"/>
          <w:sz w:val="32"/>
          <w:szCs w:val="32"/>
          <w:lang w:val="en-US" w:eastAsia="zh-CN"/>
        </w:rPr>
        <w:t>1.20万元</w:t>
      </w:r>
      <w:r>
        <w:rPr>
          <w:rFonts w:hint="eastAsia" w:ascii="仿宋" w:hAnsi="仿宋" w:eastAsia="仿宋"/>
          <w:color w:val="000000"/>
          <w:sz w:val="32"/>
          <w:szCs w:val="32"/>
        </w:rPr>
        <w:t>、工会经费</w:t>
      </w:r>
      <w:r>
        <w:rPr>
          <w:rFonts w:hint="eastAsia" w:ascii="仿宋" w:hAnsi="仿宋" w:eastAsia="仿宋"/>
          <w:color w:val="000000"/>
          <w:sz w:val="32"/>
          <w:szCs w:val="32"/>
          <w:lang w:val="en-US" w:eastAsia="zh-CN"/>
        </w:rPr>
        <w:t>1.90万元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2.27万元</w:t>
      </w:r>
      <w:r>
        <w:rPr>
          <w:rFonts w:hint="eastAsia" w:ascii="仿宋" w:hAnsi="仿宋" w:eastAsia="仿宋"/>
          <w:color w:val="000000"/>
          <w:sz w:val="32"/>
          <w:szCs w:val="32"/>
        </w:rPr>
        <w:t>、其他商品和服务支出</w:t>
      </w:r>
      <w:r>
        <w:rPr>
          <w:rFonts w:hint="eastAsia" w:ascii="仿宋" w:hAnsi="仿宋" w:eastAsia="仿宋"/>
          <w:color w:val="000000"/>
          <w:sz w:val="32"/>
          <w:szCs w:val="32"/>
          <w:lang w:val="en-US" w:eastAsia="zh-CN"/>
        </w:rPr>
        <w:t>0.61万元</w:t>
      </w:r>
      <w:r>
        <w:rPr>
          <w:rFonts w:hint="eastAsia" w:ascii="仿宋" w:hAnsi="仿宋" w:eastAsia="仿宋"/>
          <w:color w:val="000000"/>
          <w:sz w:val="32"/>
          <w:szCs w:val="32"/>
        </w:rPr>
        <w:t>。</w:t>
      </w:r>
    </w:p>
    <w:p>
      <w:pPr>
        <w:spacing w:line="600" w:lineRule="exact"/>
        <w:ind w:firstLine="640"/>
        <w:outlineLvl w:val="1"/>
        <w:rPr>
          <w:rStyle w:val="28"/>
          <w:rFonts w:ascii="黑体" w:hAnsi="黑体" w:eastAsia="黑体"/>
          <w:b w:val="0"/>
        </w:rPr>
      </w:pPr>
      <w:bookmarkStart w:id="40" w:name="_Toc15396609"/>
      <w:bookmarkStart w:id="41" w:name="_Toc15377215"/>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40"/>
      <w:bookmarkEnd w:id="41"/>
    </w:p>
    <w:p>
      <w:pPr>
        <w:spacing w:line="600" w:lineRule="exact"/>
        <w:ind w:firstLine="640"/>
        <w:outlineLvl w:val="2"/>
        <w:rPr>
          <w:rFonts w:ascii="仿宋" w:hAnsi="仿宋" w:eastAsia="仿宋"/>
          <w:b/>
          <w:color w:val="000000"/>
          <w:sz w:val="32"/>
          <w:szCs w:val="32"/>
        </w:rPr>
      </w:pPr>
      <w:bookmarkStart w:id="42" w:name="_Toc15377216"/>
      <w:r>
        <w:rPr>
          <w:rFonts w:hint="eastAsia" w:ascii="仿宋" w:hAnsi="仿宋" w:eastAsia="仿宋"/>
          <w:b/>
          <w:color w:val="000000"/>
          <w:sz w:val="32"/>
          <w:szCs w:val="32"/>
        </w:rPr>
        <w:t>（一）“三公”经费财政拨款支出决算总体情况说明</w:t>
      </w:r>
      <w:bookmarkEnd w:id="42"/>
    </w:p>
    <w:p>
      <w:pPr>
        <w:keepNext w:val="0"/>
        <w:keepLines w:val="0"/>
        <w:pageBreakBefore w:val="0"/>
        <w:kinsoku/>
        <w:wordWrap/>
        <w:overflowPunct/>
        <w:topLinePunct w:val="0"/>
        <w:autoSpaceDE/>
        <w:autoSpaceDN/>
        <w:bidi w:val="0"/>
        <w:adjustRightInd/>
        <w:spacing w:line="560" w:lineRule="exact"/>
        <w:ind w:firstLine="640"/>
        <w:outlineLvl w:val="9"/>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w:t>
      </w:r>
      <w:r>
        <w:rPr>
          <w:rFonts w:hint="eastAsia" w:ascii="仿宋" w:hAnsi="仿宋" w:eastAsia="仿宋"/>
          <w:color w:val="000000"/>
          <w:sz w:val="32"/>
          <w:szCs w:val="32"/>
          <w:lang w:val="en-US" w:eastAsia="zh-CN"/>
        </w:rPr>
        <w:t>2.63</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w:t>
      </w:r>
      <w:r>
        <w:rPr>
          <w:rFonts w:hint="eastAsia" w:ascii="仿宋" w:hAnsi="仿宋" w:eastAsia="仿宋"/>
          <w:color w:val="000000"/>
          <w:sz w:val="32"/>
          <w:szCs w:val="32"/>
          <w:lang w:val="en-US" w:eastAsia="zh-CN"/>
        </w:rPr>
        <w:t>与</w:t>
      </w:r>
      <w:r>
        <w:rPr>
          <w:rFonts w:hint="eastAsia" w:ascii="仿宋" w:hAnsi="仿宋" w:eastAsia="仿宋"/>
          <w:color w:val="000000"/>
          <w:sz w:val="32"/>
          <w:szCs w:val="32"/>
        </w:rPr>
        <w:t>预算数持平的主要原因是</w:t>
      </w:r>
      <w:r>
        <w:rPr>
          <w:rFonts w:hint="eastAsia" w:ascii="仿宋_GB2312" w:hAnsi="仿宋" w:eastAsia="仿宋_GB2312"/>
          <w:sz w:val="32"/>
          <w:szCs w:val="32"/>
          <w:lang w:val="en-US" w:eastAsia="zh-CN"/>
        </w:rPr>
        <w:t>加大执行中央八项规定，压缩接待开支。</w:t>
      </w:r>
    </w:p>
    <w:p>
      <w:pPr>
        <w:spacing w:line="600" w:lineRule="exact"/>
        <w:ind w:firstLine="642" w:firstLineChars="200"/>
        <w:outlineLvl w:val="2"/>
        <w:rPr>
          <w:rFonts w:ascii="仿宋" w:hAnsi="仿宋" w:eastAsia="仿宋"/>
          <w:b/>
          <w:color w:val="000000"/>
          <w:sz w:val="32"/>
          <w:szCs w:val="32"/>
        </w:rPr>
      </w:pPr>
      <w:bookmarkStart w:id="43" w:name="_Toc15377217"/>
      <w:r>
        <w:rPr>
          <w:rFonts w:hint="eastAsia" w:ascii="仿宋" w:hAnsi="仿宋" w:eastAsia="仿宋"/>
          <w:b/>
          <w:color w:val="000000"/>
          <w:sz w:val="32"/>
          <w:szCs w:val="32"/>
        </w:rPr>
        <w:t>（二）“三公”经费财政拨款支出决算具体情况说明</w:t>
      </w:r>
      <w:bookmarkEnd w:id="43"/>
    </w:p>
    <w:p>
      <w:pPr>
        <w:spacing w:line="600" w:lineRule="exact"/>
        <w:ind w:firstLine="64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sz w:val="32"/>
          <w:szCs w:val="32"/>
        </w:rPr>
        <w:t>本年无因公出国费用</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2.27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86.32</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0.36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13.68</w:t>
      </w:r>
      <w:r>
        <w:rPr>
          <w:rFonts w:ascii="仿宋" w:hAnsi="仿宋" w:eastAsia="仿宋"/>
          <w:color w:val="000000"/>
          <w:sz w:val="32"/>
          <w:szCs w:val="32"/>
        </w:rPr>
        <w:t>%</w:t>
      </w:r>
      <w:r>
        <w:rPr>
          <w:rFonts w:hint="eastAsia" w:ascii="仿宋" w:hAnsi="仿宋" w:eastAsia="仿宋"/>
          <w:color w:val="000000"/>
          <w:sz w:val="32"/>
          <w:szCs w:val="32"/>
        </w:rPr>
        <w:t>。具体情况如下</w:t>
      </w:r>
      <w:r>
        <w:rPr>
          <w:rFonts w:hint="eastAsia" w:ascii="仿宋" w:hAnsi="仿宋" w:eastAsia="仿宋"/>
          <w:color w:val="000000"/>
          <w:sz w:val="32"/>
          <w:szCs w:val="32"/>
          <w:lang w:eastAsia="zh-CN"/>
        </w:rPr>
        <w:t>：</w:t>
      </w:r>
    </w:p>
    <w:p>
      <w:pPr>
        <w:bidi w:val="0"/>
        <w:rPr>
          <w:rFonts w:hint="eastAsia"/>
          <w:lang w:eastAsia="zh-CN"/>
        </w:rPr>
      </w:pPr>
      <w:r>
        <w:drawing>
          <wp:inline distT="0" distB="0" distL="114300" distR="114300">
            <wp:extent cx="4918710" cy="3011805"/>
            <wp:effectExtent l="4445" t="4445" r="10795" b="12700"/>
            <wp:docPr id="13"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w:t>
      </w:r>
      <w:r>
        <w:rPr>
          <w:rFonts w:hint="eastAsia" w:ascii="仿宋" w:hAnsi="仿宋" w:eastAsia="仿宋"/>
          <w:color w:val="000000"/>
          <w:sz w:val="32"/>
          <w:szCs w:val="32"/>
          <w:lang w:val="en-US" w:eastAsia="zh-CN"/>
        </w:rPr>
        <w:t>7</w:t>
      </w:r>
      <w:r>
        <w:rPr>
          <w:rFonts w:hint="eastAsia" w:ascii="仿宋" w:hAnsi="仿宋" w:eastAsia="仿宋"/>
          <w:color w:val="000000"/>
          <w:sz w:val="32"/>
          <w:szCs w:val="32"/>
        </w:rPr>
        <w:t>：“三公”经费财政拨款支出结构）（饼状图）</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val="0"/>
          <w:bCs/>
          <w:color w:val="000000"/>
          <w:sz w:val="32"/>
          <w:szCs w:val="32"/>
        </w:rPr>
        <w:t>因公出国（境）经费支出</w:t>
      </w:r>
      <w:r>
        <w:rPr>
          <w:rFonts w:hint="eastAsia" w:ascii="仿宋_GB2312" w:eastAsia="仿宋_GB2312"/>
          <w:b w:val="0"/>
          <w:bCs/>
          <w:color w:val="000000"/>
          <w:sz w:val="32"/>
          <w:szCs w:val="32"/>
          <w:lang w:val="en-US" w:eastAsia="zh-CN"/>
        </w:rPr>
        <w:t>0</w:t>
      </w:r>
      <w:r>
        <w:rPr>
          <w:rFonts w:hint="eastAsia" w:ascii="仿宋_GB2312" w:eastAsia="仿宋_GB2312"/>
          <w:b w:val="0"/>
          <w:bCs/>
          <w:color w:val="000000"/>
          <w:sz w:val="32"/>
          <w:szCs w:val="32"/>
        </w:rPr>
        <w:t>万元</w:t>
      </w:r>
      <w:r>
        <w:rPr>
          <w:rFonts w:hint="eastAsia" w:ascii="仿宋_GB2312" w:eastAsia="仿宋_GB2312"/>
          <w:color w:val="000000"/>
          <w:sz w:val="32"/>
          <w:szCs w:val="32"/>
        </w:rPr>
        <w:t>，</w:t>
      </w:r>
      <w:r>
        <w:rPr>
          <w:rFonts w:hint="eastAsia" w:ascii="仿宋" w:hAnsi="仿宋" w:eastAsia="仿宋"/>
          <w:sz w:val="32"/>
          <w:szCs w:val="32"/>
        </w:rPr>
        <w:t>本年无因公出国费用</w:t>
      </w:r>
      <w:r>
        <w:rPr>
          <w:rStyle w:val="15"/>
          <w:rFonts w:hint="eastAsia" w:ascii="仿宋" w:hAnsi="仿宋" w:eastAsia="仿宋"/>
          <w:b w:val="0"/>
          <w:bCs/>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val="0"/>
          <w:bCs/>
          <w:color w:val="000000"/>
          <w:sz w:val="32"/>
          <w:szCs w:val="32"/>
        </w:rPr>
        <w:t>公务用车购置及运行维护费支出</w:t>
      </w:r>
      <w:r>
        <w:rPr>
          <w:rFonts w:hint="eastAsia" w:ascii="仿宋_GB2312" w:eastAsia="仿宋_GB2312"/>
          <w:b w:val="0"/>
          <w:bCs/>
          <w:color w:val="000000"/>
          <w:sz w:val="32"/>
          <w:szCs w:val="32"/>
          <w:lang w:val="en-US" w:eastAsia="zh-CN"/>
        </w:rPr>
        <w:t>2.27</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7年减少</w:t>
      </w:r>
      <w:r>
        <w:rPr>
          <w:rFonts w:hint="eastAsia" w:ascii="仿宋_GB2312" w:eastAsia="仿宋_GB2312"/>
          <w:color w:val="000000"/>
          <w:sz w:val="32"/>
          <w:szCs w:val="32"/>
          <w:lang w:val="en-US" w:eastAsia="zh-CN"/>
        </w:rPr>
        <w:t>7.47</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下降76.69</w:t>
      </w:r>
      <w:r>
        <w:rPr>
          <w:rFonts w:hint="eastAsia" w:ascii="仿宋_GB2312" w:hAnsi="仿宋" w:eastAsia="仿宋_GB2312"/>
          <w:sz w:val="32"/>
          <w:szCs w:val="32"/>
          <w:lang w:val="en-US" w:eastAsia="zh-CN"/>
        </w:rPr>
        <w:t>%，</w:t>
      </w:r>
      <w:r>
        <w:rPr>
          <w:rFonts w:hint="eastAsia" w:ascii="仿宋_GB2312" w:eastAsia="仿宋_GB2312"/>
          <w:color w:val="000000"/>
          <w:sz w:val="32"/>
          <w:szCs w:val="32"/>
        </w:rPr>
        <w:t>主要原因</w:t>
      </w:r>
      <w:r>
        <w:rPr>
          <w:rFonts w:hint="eastAsia" w:ascii="仿宋_GB2312" w:eastAsia="仿宋_GB2312"/>
          <w:color w:val="000000"/>
          <w:sz w:val="32"/>
          <w:szCs w:val="32"/>
          <w:lang w:val="en-US" w:eastAsia="zh-CN"/>
        </w:rPr>
        <w:t>是</w:t>
      </w:r>
      <w:r>
        <w:rPr>
          <w:rFonts w:hint="eastAsia" w:ascii="仿宋_GB2312" w:hAnsi="仿宋" w:eastAsia="仿宋_GB2312"/>
          <w:sz w:val="32"/>
          <w:szCs w:val="32"/>
          <w:lang w:val="en-US" w:eastAsia="zh-CN"/>
        </w:rPr>
        <w:t>2018年11月底单位公车报废，减少了维护费</w:t>
      </w:r>
      <w:r>
        <w:rPr>
          <w:rFonts w:hint="eastAsia" w:ascii="仿宋_GB2312" w:eastAsia="仿宋_GB2312"/>
          <w:color w:val="000000"/>
          <w:sz w:val="32"/>
          <w:szCs w:val="32"/>
        </w:rPr>
        <w:t>。</w:t>
      </w:r>
    </w:p>
    <w:p>
      <w:pPr>
        <w:spacing w:line="600" w:lineRule="exact"/>
        <w:ind w:firstLine="640" w:firstLineChars="200"/>
        <w:rPr>
          <w:rFonts w:hint="default" w:ascii="仿宋_GB2312" w:eastAsia="仿宋_GB2312"/>
          <w:b/>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color w:val="000000"/>
          <w:sz w:val="32"/>
          <w:szCs w:val="32"/>
          <w:lang w:val="en-US" w:eastAsia="zh-CN"/>
        </w:rPr>
        <w:t>本年我单位未购置新车辆，2018年11月底单位公车报废，</w:t>
      </w:r>
      <w:r>
        <w:rPr>
          <w:rFonts w:hint="eastAsia" w:ascii="仿宋_GB2312" w:eastAsia="仿宋_GB2312"/>
          <w:color w:val="000000"/>
          <w:sz w:val="32"/>
          <w:szCs w:val="32"/>
        </w:rPr>
        <w:t>截至</w:t>
      </w:r>
      <w:r>
        <w:rPr>
          <w:rFonts w:ascii="仿宋_GB2312" w:eastAsia="仿宋_GB2312"/>
          <w:color w:val="000000"/>
          <w:sz w:val="32"/>
          <w:szCs w:val="32"/>
        </w:rPr>
        <w:t>12</w:t>
      </w:r>
      <w:r>
        <w:rPr>
          <w:rFonts w:hint="eastAsia" w:ascii="仿宋_GB2312" w:eastAsia="仿宋_GB2312"/>
          <w:color w:val="000000"/>
          <w:sz w:val="32"/>
          <w:szCs w:val="32"/>
        </w:rPr>
        <w:t>月底，单位</w:t>
      </w:r>
      <w:r>
        <w:rPr>
          <w:rFonts w:hint="eastAsia" w:ascii="仿宋_GB2312" w:eastAsia="仿宋_GB2312"/>
          <w:color w:val="000000"/>
          <w:sz w:val="32"/>
          <w:szCs w:val="32"/>
          <w:lang w:val="en-US" w:eastAsia="zh-CN"/>
        </w:rPr>
        <w:t>所有</w:t>
      </w:r>
      <w:r>
        <w:rPr>
          <w:rFonts w:hint="eastAsia" w:ascii="仿宋_GB2312" w:eastAsia="仿宋_GB2312"/>
          <w:color w:val="000000"/>
          <w:sz w:val="32"/>
          <w:szCs w:val="32"/>
        </w:rPr>
        <w:t>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val="en-US" w:eastAsia="zh-CN"/>
        </w:rPr>
        <w:t>借用公安局捷达车。</w:t>
      </w:r>
    </w:p>
    <w:p>
      <w:pPr>
        <w:spacing w:line="600" w:lineRule="exact"/>
        <w:ind w:firstLine="640"/>
        <w:rPr>
          <w:rFonts w:ascii="仿宋_GB2312" w:eastAsia="仿宋_GB2312"/>
          <w:color w:val="000000"/>
          <w:sz w:val="32"/>
          <w:szCs w:val="32"/>
        </w:rPr>
      </w:pPr>
      <w:r>
        <w:rPr>
          <w:rFonts w:hint="eastAsia" w:ascii="仿宋_GB2312" w:eastAsia="仿宋_GB2312"/>
          <w:b w:val="0"/>
          <w:bCs/>
          <w:color w:val="000000"/>
          <w:sz w:val="32"/>
          <w:szCs w:val="32"/>
        </w:rPr>
        <w:t>公务用车运行维护费支出</w:t>
      </w:r>
      <w:r>
        <w:rPr>
          <w:rFonts w:hint="eastAsia" w:ascii="仿宋_GB2312" w:eastAsia="仿宋_GB2312"/>
          <w:b w:val="0"/>
          <w:bCs/>
          <w:color w:val="000000"/>
          <w:sz w:val="32"/>
          <w:szCs w:val="32"/>
          <w:lang w:val="en-US" w:eastAsia="zh-CN"/>
        </w:rPr>
        <w:t>2.27</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开展安全生产工作、脱贫攻坚工作</w:t>
      </w:r>
      <w:r>
        <w:rPr>
          <w:rFonts w:hint="eastAsia" w:ascii="仿宋_GB2312" w:eastAsia="仿宋_GB2312"/>
          <w:color w:val="000000"/>
          <w:sz w:val="32"/>
          <w:szCs w:val="32"/>
        </w:rPr>
        <w:t>等所需的公务用车燃料费、维修费、过路过桥费、保险费等支出。</w:t>
      </w:r>
    </w:p>
    <w:p>
      <w:pPr>
        <w:keepNext w:val="0"/>
        <w:keepLines w:val="0"/>
        <w:pageBreakBefore w:val="0"/>
        <w:kinsoku/>
        <w:wordWrap/>
        <w:overflowPunct/>
        <w:topLinePunct w:val="0"/>
        <w:autoSpaceDE/>
        <w:autoSpaceDN/>
        <w:bidi w:val="0"/>
        <w:adjustRightInd/>
        <w:spacing w:line="560" w:lineRule="exact"/>
        <w:ind w:firstLine="640"/>
        <w:outlineLvl w:val="9"/>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val="0"/>
          <w:bCs/>
          <w:color w:val="000000"/>
          <w:sz w:val="32"/>
          <w:szCs w:val="32"/>
        </w:rPr>
        <w:t>公务接待费支出</w:t>
      </w:r>
      <w:r>
        <w:rPr>
          <w:rFonts w:hint="eastAsia" w:ascii="仿宋_GB2312" w:eastAsia="仿宋_GB2312"/>
          <w:color w:val="000000"/>
          <w:sz w:val="32"/>
          <w:szCs w:val="32"/>
          <w:lang w:val="en-US" w:eastAsia="zh-CN"/>
        </w:rPr>
        <w:t>0.36</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7年减少</w:t>
      </w:r>
      <w:r>
        <w:rPr>
          <w:rFonts w:hint="eastAsia" w:ascii="仿宋_GB2312" w:eastAsia="仿宋_GB2312"/>
          <w:color w:val="000000"/>
          <w:sz w:val="32"/>
          <w:szCs w:val="32"/>
          <w:lang w:val="en-US" w:eastAsia="zh-CN"/>
        </w:rPr>
        <w:t>1.11</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75.50</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主要原因是</w:t>
      </w:r>
      <w:r>
        <w:rPr>
          <w:rFonts w:hint="eastAsia" w:ascii="仿宋_GB2312" w:hAnsi="仿宋" w:eastAsia="仿宋_GB2312"/>
          <w:sz w:val="32"/>
          <w:szCs w:val="32"/>
          <w:lang w:val="en-US" w:eastAsia="zh-CN"/>
        </w:rPr>
        <w:t>加大执行中央八项规定，压缩接待开支。</w:t>
      </w:r>
    </w:p>
    <w:p>
      <w:pPr>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0.36</w:t>
      </w:r>
      <w:r>
        <w:rPr>
          <w:rFonts w:hint="eastAsia" w:ascii="仿宋_GB2312" w:eastAsia="仿宋_GB2312"/>
          <w:color w:val="000000"/>
          <w:sz w:val="32"/>
          <w:szCs w:val="32"/>
        </w:rPr>
        <w:t>万元，具体内容包括：接待具体项目</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松潘县到我县开展“互查互学”交叉检查工作接待费开支613元，各乡镇安全生产分管领导到我局参加安全生产季度总结会便餐开支1322元，办公室工作人员行权加班用餐开支1665元。</w:t>
      </w:r>
    </w:p>
    <w:p>
      <w:pPr>
        <w:spacing w:line="600" w:lineRule="exact"/>
        <w:ind w:firstLine="640"/>
        <w:outlineLvl w:val="1"/>
        <w:rPr>
          <w:rStyle w:val="28"/>
          <w:rFonts w:ascii="黑体" w:hAnsi="黑体" w:eastAsia="黑体"/>
        </w:rPr>
      </w:pPr>
      <w:r>
        <w:rPr>
          <w:rFonts w:hint="eastAsia" w:ascii="黑体" w:eastAsia="黑体"/>
          <w:color w:val="000000"/>
          <w:sz w:val="32"/>
          <w:szCs w:val="32"/>
        </w:rPr>
        <w:t>八、</w:t>
      </w:r>
      <w:r>
        <w:rPr>
          <w:rStyle w:val="28"/>
          <w:rFonts w:hint="eastAsia" w:ascii="黑体" w:hAnsi="黑体" w:eastAsia="黑体"/>
          <w:b w:val="0"/>
        </w:rPr>
        <w:t>政府性基金预算支出决算情况说明</w:t>
      </w:r>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firstLine="640"/>
        <w:outlineLvl w:val="1"/>
        <w:rPr>
          <w:rStyle w:val="28"/>
          <w:rFonts w:ascii="黑体" w:hAnsi="黑体" w:eastAsia="黑体"/>
          <w:b w:val="0"/>
        </w:rPr>
      </w:pPr>
      <w:bookmarkStart w:id="44" w:name="_Toc15396611"/>
      <w:bookmarkStart w:id="45" w:name="_Toc15377219"/>
      <w:r>
        <w:rPr>
          <w:rStyle w:val="28"/>
          <w:rFonts w:hint="eastAsia" w:ascii="黑体" w:hAnsi="黑体" w:eastAsia="黑体"/>
          <w:b w:val="0"/>
        </w:rPr>
        <w:t>国有资本经营预算支出决算情况说明</w:t>
      </w:r>
      <w:bookmarkEnd w:id="44"/>
      <w:bookmarkEnd w:id="45"/>
    </w:p>
    <w:p>
      <w:pPr>
        <w:spacing w:line="600" w:lineRule="exact"/>
        <w:ind w:firstLine="640"/>
        <w:rPr>
          <w:rFonts w:hint="eastAsia" w:ascii="仿宋_GB2312" w:eastAsia="仿宋_GB2312"/>
          <w:color w:val="000000"/>
          <w:sz w:val="32"/>
          <w:szCs w:val="32"/>
          <w:lang w:val="en-US" w:eastAsia="zh-CN"/>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6"/>
        <w:numPr>
          <w:ilvl w:val="0"/>
          <w:numId w:val="3"/>
        </w:numPr>
        <w:spacing w:line="580" w:lineRule="exact"/>
        <w:ind w:firstLineChars="0"/>
        <w:rPr>
          <w:rStyle w:val="28"/>
          <w:rFonts w:ascii="黑体" w:hAnsi="黑体" w:eastAsia="黑体"/>
          <w:b w:val="0"/>
        </w:rPr>
      </w:pPr>
      <w:r>
        <w:rPr>
          <w:rStyle w:val="28"/>
          <w:rFonts w:hint="eastAsia" w:ascii="黑体" w:hAnsi="黑体" w:eastAsia="黑体"/>
          <w:b w:val="0"/>
        </w:rPr>
        <w:t>预算绩效情况说明</w:t>
      </w:r>
    </w:p>
    <w:p>
      <w:pPr>
        <w:numPr>
          <w:ilvl w:val="0"/>
          <w:numId w:val="4"/>
        </w:numPr>
        <w:spacing w:line="580" w:lineRule="exact"/>
        <w:ind w:firstLine="642"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本部门按要求对2018年部门整体支出开展绩效自评，从评价情况来看</w:t>
      </w:r>
      <w:r>
        <w:rPr>
          <w:rFonts w:ascii="仿宋" w:hAnsi="仿宋" w:eastAsia="仿宋"/>
          <w:color w:val="555555"/>
          <w:sz w:val="32"/>
          <w:szCs w:val="32"/>
          <w:shd w:val="clear" w:color="auto" w:fill="FFFFFF"/>
        </w:rPr>
        <w:t>201</w:t>
      </w:r>
      <w:r>
        <w:rPr>
          <w:rFonts w:hint="eastAsia" w:ascii="仿宋" w:hAnsi="仿宋" w:eastAsia="仿宋"/>
          <w:color w:val="555555"/>
          <w:sz w:val="32"/>
          <w:szCs w:val="32"/>
          <w:shd w:val="clear" w:color="auto" w:fill="FFFFFF"/>
          <w:lang w:val="en-US" w:eastAsia="zh-CN"/>
        </w:rPr>
        <w:t>8</w:t>
      </w:r>
      <w:r>
        <w:rPr>
          <w:rFonts w:ascii="仿宋" w:hAnsi="仿宋" w:eastAsia="仿宋"/>
          <w:color w:val="555555"/>
          <w:sz w:val="32"/>
          <w:szCs w:val="32"/>
          <w:shd w:val="clear" w:color="auto" w:fill="FFFFFF"/>
        </w:rPr>
        <w:t>年，</w:t>
      </w:r>
      <w:r>
        <w:rPr>
          <w:rFonts w:hint="eastAsia" w:ascii="仿宋_GB2312" w:hAnsi="仿宋_GB2312" w:eastAsia="仿宋_GB2312" w:cs="仿宋_GB2312"/>
          <w:sz w:val="32"/>
          <w:szCs w:val="32"/>
        </w:rPr>
        <w:t>我局围绕安全生产“执法监管、改革创新、驱动发展”的工作思路，坚持“安全第一，预防为主，综合治理”的方针，严格落实“属地管理、部门监管、企业主体”的分级管理措施，有效遏制及减少各类事故的发生，</w:t>
      </w:r>
      <w:r>
        <w:rPr>
          <w:rFonts w:hint="eastAsia" w:ascii="仿宋_GB2312" w:hAnsi="仿宋_GB2312" w:eastAsia="仿宋_GB2312" w:cs="仿宋_GB2312"/>
          <w:color w:val="000000"/>
          <w:sz w:val="32"/>
          <w:szCs w:val="32"/>
        </w:rPr>
        <w:t>为</w:t>
      </w:r>
      <w:r>
        <w:rPr>
          <w:rFonts w:hint="eastAsia" w:ascii="仿宋_GB2312" w:hAnsi="仿宋_GB2312" w:eastAsia="仿宋_GB2312"/>
          <w:color w:val="000000"/>
          <w:sz w:val="32"/>
          <w:szCs w:val="32"/>
        </w:rPr>
        <w:t>促进全县经济发展和维护社会稳定做出了积极努力</w:t>
      </w:r>
      <w:r>
        <w:rPr>
          <w:rFonts w:hint="eastAsia" w:ascii="仿宋_GB2312" w:eastAsia="仿宋_GB2312"/>
          <w:color w:val="000000"/>
          <w:sz w:val="32"/>
          <w:szCs w:val="32"/>
        </w:rPr>
        <w:t>。</w:t>
      </w:r>
      <w:r>
        <w:rPr>
          <w:rFonts w:hint="eastAsia" w:ascii="仿宋_GB2312" w:hAnsi="仿宋_GB2312" w:eastAsia="仿宋_GB2312"/>
          <w:color w:val="000000"/>
          <w:sz w:val="32"/>
          <w:szCs w:val="32"/>
        </w:rPr>
        <w:t>201</w:t>
      </w:r>
      <w:r>
        <w:rPr>
          <w:rFonts w:hint="eastAsia" w:ascii="仿宋_GB2312" w:hAnsi="仿宋_GB2312" w:eastAsia="仿宋_GB2312"/>
          <w:color w:val="000000"/>
          <w:sz w:val="32"/>
          <w:szCs w:val="32"/>
          <w:lang w:val="en-US" w:eastAsia="zh-CN"/>
        </w:rPr>
        <w:t>8</w:t>
      </w:r>
      <w:r>
        <w:rPr>
          <w:rFonts w:hint="eastAsia" w:ascii="仿宋_GB2312" w:hAnsi="仿宋_GB2312" w:eastAsia="仿宋_GB2312"/>
          <w:color w:val="000000"/>
          <w:sz w:val="32"/>
          <w:szCs w:val="32"/>
        </w:rPr>
        <w:t>年</w:t>
      </w:r>
      <w:r>
        <w:rPr>
          <w:rFonts w:hint="eastAsia" w:ascii="方正仿宋_GBK" w:hAnsi="方正仿宋_GBK" w:eastAsia="方正仿宋_GBK" w:cs="方正仿宋_GBK"/>
          <w:sz w:val="32"/>
          <w:szCs w:val="32"/>
        </w:rPr>
        <w:t xml:space="preserve"> </w:t>
      </w:r>
      <w:r>
        <w:rPr>
          <w:rFonts w:hint="eastAsia" w:ascii="仿宋_GB2312" w:hAnsi="仿宋_GB2312" w:eastAsia="仿宋_GB2312" w:cs="仿宋_GB2312"/>
          <w:sz w:val="32"/>
          <w:szCs w:val="32"/>
        </w:rPr>
        <w:t>1至12月我县共发生各类</w:t>
      </w:r>
      <w:r>
        <w:rPr>
          <w:rFonts w:hint="eastAsia" w:ascii="仿宋_GB2312" w:hAnsi="仿宋_GB2312" w:eastAsia="仿宋_GB2312" w:cs="仿宋_GB2312"/>
          <w:sz w:val="32"/>
          <w:szCs w:val="32"/>
          <w:lang w:eastAsia="zh-CN"/>
        </w:rPr>
        <w:t>道路交通</w:t>
      </w:r>
      <w:r>
        <w:rPr>
          <w:rFonts w:hint="eastAsia" w:ascii="仿宋_GB2312" w:hAnsi="仿宋_GB2312" w:eastAsia="仿宋_GB2312" w:cs="仿宋_GB2312"/>
          <w:sz w:val="32"/>
          <w:szCs w:val="32"/>
        </w:rPr>
        <w:t>事故</w:t>
      </w:r>
      <w:r>
        <w:rPr>
          <w:rFonts w:hint="eastAsia" w:ascii="仿宋_GB2312" w:hAnsi="仿宋_GB2312" w:eastAsia="仿宋_GB2312" w:cs="仿宋_GB2312"/>
          <w:sz w:val="32"/>
          <w:szCs w:val="32"/>
          <w:lang w:val="en-US" w:eastAsia="zh-CN"/>
        </w:rPr>
        <w:t>455</w:t>
      </w:r>
      <w:r>
        <w:rPr>
          <w:rFonts w:hint="eastAsia" w:ascii="仿宋_GB2312" w:hAnsi="仿宋_GB2312" w:eastAsia="仿宋_GB2312" w:cs="仿宋_GB2312"/>
          <w:sz w:val="32"/>
          <w:szCs w:val="32"/>
        </w:rPr>
        <w:t>起，直接经济损失</w:t>
      </w:r>
      <w:r>
        <w:rPr>
          <w:rFonts w:hint="eastAsia" w:ascii="仿宋_GB2312" w:hAnsi="仿宋_GB2312" w:eastAsia="仿宋_GB2312" w:cs="仿宋_GB2312"/>
          <w:sz w:val="32"/>
          <w:szCs w:val="32"/>
          <w:lang w:val="en-US" w:eastAsia="zh-CN"/>
        </w:rPr>
        <w:t>269.86</w:t>
      </w:r>
      <w:r>
        <w:rPr>
          <w:rFonts w:hint="eastAsia" w:ascii="仿宋_GB2312" w:hAnsi="仿宋_GB2312" w:eastAsia="仿宋_GB2312" w:cs="仿宋_GB2312"/>
          <w:sz w:val="32"/>
          <w:szCs w:val="32"/>
        </w:rPr>
        <w:t>万元（其中</w:t>
      </w:r>
      <w:r>
        <w:rPr>
          <w:rFonts w:hint="eastAsia" w:ascii="仿宋_GB2312" w:hAnsi="仿宋_GB2312" w:eastAsia="仿宋_GB2312" w:cs="仿宋_GB2312"/>
          <w:sz w:val="32"/>
          <w:szCs w:val="32"/>
          <w:lang w:eastAsia="zh-CN"/>
        </w:rPr>
        <w:t>简易事故</w:t>
      </w:r>
      <w:r>
        <w:rPr>
          <w:rFonts w:hint="eastAsia" w:ascii="仿宋_GB2312" w:hAnsi="仿宋_GB2312" w:eastAsia="仿宋_GB2312" w:cs="仿宋_GB2312"/>
          <w:sz w:val="32"/>
          <w:szCs w:val="32"/>
          <w:lang w:val="en-US" w:eastAsia="zh-CN"/>
        </w:rPr>
        <w:t>399</w:t>
      </w:r>
      <w:r>
        <w:rPr>
          <w:rFonts w:hint="eastAsia" w:ascii="仿宋_GB2312" w:hAnsi="仿宋_GB2312" w:eastAsia="仿宋_GB2312" w:cs="仿宋_GB2312"/>
          <w:sz w:val="32"/>
          <w:szCs w:val="32"/>
        </w:rPr>
        <w:t>起，</w:t>
      </w:r>
      <w:r>
        <w:rPr>
          <w:rFonts w:hint="eastAsia" w:ascii="仿宋_GB2312" w:hAnsi="仿宋_GB2312" w:eastAsia="仿宋_GB2312" w:cs="仿宋_GB2312"/>
          <w:sz w:val="32"/>
          <w:szCs w:val="32"/>
          <w:lang w:eastAsia="zh-CN"/>
        </w:rPr>
        <w:t>直接经济损失</w:t>
      </w:r>
      <w:r>
        <w:rPr>
          <w:rFonts w:hint="eastAsia" w:ascii="仿宋_GB2312" w:hAnsi="仿宋_GB2312" w:eastAsia="仿宋_GB2312" w:cs="仿宋_GB2312"/>
          <w:sz w:val="32"/>
          <w:szCs w:val="32"/>
          <w:lang w:val="en-US" w:eastAsia="zh-CN"/>
        </w:rPr>
        <w:t>50.06万元，一般事故8起，直接经济损失200万元，撞牲畜事故48起，直接经济损失19.8万元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，触电事故</w:t>
      </w:r>
      <w:r>
        <w:rPr>
          <w:rFonts w:hint="eastAsia" w:ascii="仿宋_GB2312" w:hAnsi="仿宋_GB2312" w:eastAsia="仿宋_GB2312" w:cs="仿宋_GB2312"/>
          <w:sz w:val="32"/>
          <w:szCs w:val="32"/>
          <w:lang w:val="en-US" w:eastAsia="zh-CN"/>
        </w:rPr>
        <w:t>1起，死亡1人，直接经济损失30万元，无重特大安全事故发生。</w:t>
      </w:r>
      <w:r>
        <w:rPr>
          <w:rFonts w:hint="eastAsia" w:ascii="仿宋_GB2312" w:hAnsi="仿宋_GB2312" w:eastAsia="仿宋_GB2312"/>
          <w:color w:val="000000"/>
          <w:sz w:val="32"/>
          <w:szCs w:val="32"/>
        </w:rPr>
        <w:t>采石场、危化品、烟花爆竹、建筑施工等领域均无事故发生。</w:t>
      </w:r>
      <w:r>
        <w:rPr>
          <w:rFonts w:hint="eastAsia" w:ascii="仿宋_GB2312" w:hAnsi="仿宋_GB2312" w:eastAsia="仿宋_GB2312" w:cs="仿宋_GB2312"/>
          <w:sz w:val="32"/>
          <w:szCs w:val="32"/>
        </w:rPr>
        <w:t>道路交通事故</w:t>
      </w:r>
      <w:r>
        <w:rPr>
          <w:rFonts w:hint="eastAsia" w:ascii="仿宋_GB2312" w:hAnsi="仿宋_GB2312" w:eastAsia="仿宋_GB2312" w:cs="仿宋_GB2312"/>
          <w:sz w:val="32"/>
          <w:szCs w:val="32"/>
          <w:lang w:val="en-US" w:eastAsia="zh-CN"/>
        </w:rPr>
        <w:t>455起，</w:t>
      </w:r>
      <w:r>
        <w:rPr>
          <w:rFonts w:hint="eastAsia" w:ascii="仿宋_GB2312" w:hAnsi="仿宋_GB2312" w:eastAsia="仿宋_GB2312" w:cs="仿宋_GB2312"/>
          <w:sz w:val="32"/>
          <w:szCs w:val="32"/>
        </w:rPr>
        <w:t>占各类安全生产事故</w:t>
      </w:r>
      <w:r>
        <w:rPr>
          <w:rFonts w:hint="eastAsia" w:ascii="仿宋_GB2312" w:hAnsi="仿宋_GB2312" w:eastAsia="仿宋_GB2312" w:cs="仿宋_GB2312"/>
          <w:sz w:val="32"/>
          <w:szCs w:val="32"/>
          <w:lang w:val="en-US" w:eastAsia="zh-CN"/>
        </w:rPr>
        <w:t>99.78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，其他事故</w:t>
      </w:r>
      <w:r>
        <w:rPr>
          <w:rFonts w:hint="eastAsia" w:ascii="仿宋_GB2312" w:hAnsi="仿宋_GB2312" w:eastAsia="仿宋_GB2312" w:cs="仿宋_GB2312"/>
          <w:sz w:val="32"/>
          <w:szCs w:val="32"/>
          <w:lang w:val="en-US" w:eastAsia="zh-CN"/>
        </w:rPr>
        <w:t>1起，占各类安全生产事故0.22%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全县安全形势大局稳定，为全县经济社会的全面发展奠定了安全保障。</w:t>
      </w:r>
    </w:p>
    <w:p>
      <w:pPr>
        <w:numPr>
          <w:ilvl w:val="0"/>
          <w:numId w:val="4"/>
        </w:numPr>
        <w:spacing w:line="580" w:lineRule="exact"/>
        <w:ind w:firstLine="642"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本部门在2018年度部门决算中反映“</w:t>
      </w:r>
      <w:r>
        <w:rPr>
          <w:rFonts w:hint="eastAsia" w:ascii="仿宋_GB2312" w:hAnsi="仿宋_GB2312" w:eastAsia="仿宋_GB2312" w:cs="仿宋_GB2312"/>
          <w:sz w:val="32"/>
          <w:szCs w:val="32"/>
          <w:lang w:val="en-US" w:eastAsia="zh-CN"/>
        </w:rPr>
        <w:t>安全生产宣传项目</w:t>
      </w:r>
      <w:r>
        <w:rPr>
          <w:rFonts w:hint="eastAsia" w:ascii="仿宋_GB2312" w:hAnsi="仿宋_GB2312" w:eastAsia="仿宋_GB2312" w:cs="仿宋_GB2312"/>
          <w:sz w:val="32"/>
          <w:szCs w:val="32"/>
        </w:rPr>
        <w:t>”绩效目标实际完成情况。</w:t>
      </w:r>
    </w:p>
    <w:p>
      <w:pPr>
        <w:ind w:right="25" w:rightChars="12"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安全生产宣传</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eastAsia="仿宋_GB2312"/>
          <w:sz w:val="32"/>
          <w:szCs w:val="32"/>
        </w:rPr>
        <w:t>做到</w:t>
      </w:r>
      <w:r>
        <w:rPr>
          <w:rFonts w:hint="eastAsia" w:ascii="仿宋_GB2312" w:eastAsia="仿宋_GB2312"/>
          <w:sz w:val="32"/>
          <w:szCs w:val="32"/>
          <w:lang w:val="en-US" w:eastAsia="zh-CN"/>
        </w:rPr>
        <w:t>了</w:t>
      </w:r>
      <w:r>
        <w:rPr>
          <w:rFonts w:hint="eastAsia" w:ascii="仿宋_GB2312" w:eastAsia="仿宋_GB2312"/>
          <w:sz w:val="32"/>
          <w:szCs w:val="32"/>
        </w:rPr>
        <w:t>早安排早部署，成立机构，层层签订责任制，责任真正落实到人，有力防止和减少事故的发生，确保了一方平安，保障了人民群众生命和财产安全。</w:t>
      </w:r>
      <w:r>
        <w:rPr>
          <w:rFonts w:hint="eastAsia" w:ascii="仿宋_GB2312" w:hAnsi="仿宋_GB2312" w:eastAsia="仿宋_GB2312" w:cs="仿宋_GB2312"/>
          <w:sz w:val="32"/>
          <w:szCs w:val="32"/>
        </w:rPr>
        <w:t>发现的主要问题：</w:t>
      </w:r>
      <w:r>
        <w:rPr>
          <w:rFonts w:hint="eastAsia" w:ascii="仿宋_GB2312" w:eastAsia="仿宋_GB2312"/>
          <w:sz w:val="32"/>
          <w:szCs w:val="32"/>
        </w:rPr>
        <w:t>经费较缺乏，对存在的部分安全隐患的整改投入相对较难，安全生产</w:t>
      </w:r>
      <w:r>
        <w:rPr>
          <w:rFonts w:hint="eastAsia" w:ascii="仿宋_GB2312" w:eastAsia="仿宋_GB2312"/>
          <w:sz w:val="32"/>
          <w:szCs w:val="32"/>
          <w:lang w:val="en-US" w:eastAsia="zh-CN"/>
        </w:rPr>
        <w:t>与</w:t>
      </w:r>
      <w:r>
        <w:rPr>
          <w:rFonts w:hint="eastAsia" w:ascii="仿宋_GB2312" w:eastAsia="仿宋_GB2312"/>
          <w:sz w:val="32"/>
          <w:szCs w:val="32"/>
        </w:rPr>
        <w:t>之相配套的各种设备有待进一步更新和完善，如消防器材、车辆等。</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根据安全生产工作开展情况，争取相应经费资金，在安排部署上与其他部门相互沟通与衔接，如消防队，加大配套设施设备的投入量。</w:t>
      </w:r>
    </w:p>
    <w:p>
      <w:pPr>
        <w:pStyle w:val="34"/>
        <w:spacing w:line="540" w:lineRule="exact"/>
        <w:ind w:firstLine="640" w:firstLineChars="200"/>
        <w:rPr>
          <w:rFonts w:ascii="仿宋_GB2312" w:hAnsi="仿宋_GB2312" w:eastAsia="仿宋_GB2312" w:cs="仿宋_GB2312"/>
          <w:sz w:val="32"/>
          <w:szCs w:val="32"/>
        </w:rPr>
      </w:pPr>
    </w:p>
    <w:p>
      <w:pPr>
        <w:numPr>
          <w:ilvl w:val="0"/>
          <w:numId w:val="4"/>
        </w:numPr>
        <w:spacing w:line="580" w:lineRule="exact"/>
        <w:ind w:firstLine="642"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《红原县安全生产监督管理局201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年部门整体支出绩效</w:t>
      </w:r>
      <w:r>
        <w:rPr>
          <w:rFonts w:hint="eastAsia" w:ascii="仿宋_GB2312" w:hAnsi="仿宋_GB2312" w:eastAsia="仿宋_GB2312" w:cs="仿宋_GB2312"/>
          <w:sz w:val="32"/>
          <w:szCs w:val="32"/>
          <w:lang w:val="en-US" w:eastAsia="zh-CN"/>
        </w:rPr>
        <w:t>评价</w:t>
      </w:r>
      <w:r>
        <w:rPr>
          <w:rFonts w:hint="eastAsia" w:ascii="仿宋_GB2312" w:hAnsi="仿宋_GB2312" w:eastAsia="仿宋_GB2312" w:cs="仿宋_GB2312"/>
          <w:sz w:val="32"/>
          <w:szCs w:val="32"/>
        </w:rPr>
        <w:t>报告》见附件。</w:t>
      </w:r>
    </w:p>
    <w:p>
      <w:pPr>
        <w:spacing w:line="600" w:lineRule="exact"/>
        <w:ind w:firstLine="640" w:firstLineChars="200"/>
        <w:outlineLvl w:val="1"/>
        <w:rPr>
          <w:rStyle w:val="28"/>
          <w:rFonts w:ascii="黑体" w:hAnsi="黑体" w:eastAsia="黑体"/>
        </w:rPr>
      </w:pPr>
      <w:bookmarkStart w:id="46" w:name="_Toc15396612"/>
      <w:bookmarkStart w:id="47" w:name="_Toc15377221"/>
      <w:r>
        <w:rPr>
          <w:rFonts w:hint="eastAsia" w:ascii="黑体" w:hAnsi="黑体" w:eastAsia="黑体"/>
          <w:color w:val="000000"/>
          <w:sz w:val="32"/>
          <w:szCs w:val="32"/>
        </w:rPr>
        <w:t>十</w:t>
      </w:r>
      <w:r>
        <w:rPr>
          <w:rStyle w:val="28"/>
          <w:rFonts w:hint="eastAsia" w:ascii="黑体" w:hAnsi="黑体" w:eastAsia="黑体"/>
        </w:rPr>
        <w:t>一、</w:t>
      </w:r>
      <w:r>
        <w:rPr>
          <w:rStyle w:val="28"/>
          <w:rFonts w:hint="eastAsia" w:ascii="黑体" w:hAnsi="黑体" w:eastAsia="黑体"/>
          <w:b w:val="0"/>
        </w:rPr>
        <w:t>其他重要事项的情况说明</w:t>
      </w:r>
      <w:bookmarkEnd w:id="46"/>
      <w:bookmarkEnd w:id="47"/>
    </w:p>
    <w:p>
      <w:pPr>
        <w:spacing w:line="600" w:lineRule="exact"/>
        <w:ind w:firstLine="642" w:firstLineChars="200"/>
        <w:outlineLvl w:val="2"/>
        <w:rPr>
          <w:rFonts w:ascii="仿宋" w:hAnsi="仿宋" w:eastAsia="仿宋"/>
          <w:color w:val="000000"/>
          <w:sz w:val="32"/>
          <w:szCs w:val="32"/>
        </w:rPr>
      </w:pPr>
      <w:bookmarkStart w:id="48" w:name="_Toc15377222"/>
      <w:r>
        <w:rPr>
          <w:rFonts w:hint="eastAsia" w:ascii="仿宋" w:hAnsi="仿宋" w:eastAsia="仿宋"/>
          <w:b/>
          <w:color w:val="000000"/>
          <w:sz w:val="32"/>
          <w:szCs w:val="32"/>
        </w:rPr>
        <w:t>（一）机关运行经费支出情况</w:t>
      </w:r>
      <w:bookmarkEnd w:id="48"/>
    </w:p>
    <w:p>
      <w:pPr>
        <w:spacing w:line="600" w:lineRule="exact"/>
        <w:ind w:firstLine="640" w:firstLineChars="200"/>
        <w:rPr>
          <w:rFonts w:hint="default" w:ascii="仿宋_GB2312" w:eastAsia="仿宋_GB2312"/>
          <w:color w:val="000000" w:themeColor="text1"/>
          <w:sz w:val="32"/>
          <w:szCs w:val="32"/>
          <w:lang w:val="en-US" w:eastAsia="zh-CN"/>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val="en-US" w:eastAsia="zh-CN"/>
        </w:rPr>
        <w:t>行政</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23.71</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7年减少</w:t>
      </w:r>
      <w:r>
        <w:rPr>
          <w:rFonts w:hint="eastAsia" w:ascii="仿宋_GB2312" w:eastAsia="仿宋_GB2312"/>
          <w:color w:val="000000"/>
          <w:sz w:val="32"/>
          <w:szCs w:val="32"/>
          <w:lang w:val="en-US" w:eastAsia="zh-CN"/>
        </w:rPr>
        <w:t>10.71</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31.17</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val="en-US" w:eastAsia="zh-CN"/>
          <w14:textFill>
            <w14:solidFill>
              <w14:schemeClr w14:val="tx1"/>
            </w14:solidFill>
          </w14:textFill>
        </w:rPr>
        <w:t>办公室搬迁水费、电费、取暖费开支减少，加大中央八项规定执行力度培训费、公务接待费开支减少。</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49" w:name="_Toc15377223"/>
      <w:r>
        <w:rPr>
          <w:rFonts w:hint="eastAsia" w:ascii="仿宋" w:hAnsi="仿宋" w:eastAsia="仿宋"/>
          <w:b/>
          <w:color w:val="000000"/>
          <w:sz w:val="32"/>
          <w:szCs w:val="32"/>
        </w:rPr>
        <w:t>（二）政府采购支出情况</w:t>
      </w:r>
      <w:bookmarkEnd w:id="49"/>
    </w:p>
    <w:p>
      <w:pPr>
        <w:spacing w:line="600" w:lineRule="exact"/>
        <w:ind w:firstLine="640" w:firstLineChars="200"/>
        <w:rPr>
          <w:rFonts w:hint="default" w:ascii="仿宋_GB2312" w:eastAsia="仿宋_GB2312"/>
          <w:color w:val="000000"/>
          <w:sz w:val="32"/>
          <w:szCs w:val="32"/>
          <w:lang w:val="en-US" w:eastAsia="zh-CN"/>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val="en-US" w:eastAsia="zh-CN"/>
        </w:rPr>
        <w:t>采购办公电脑5台，合计支出2.825万元。</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50" w:name="_Toc15377224"/>
      <w:r>
        <w:rPr>
          <w:rFonts w:hint="eastAsia" w:ascii="仿宋" w:hAnsi="仿宋" w:eastAsia="仿宋"/>
          <w:b/>
          <w:color w:val="000000"/>
          <w:sz w:val="32"/>
          <w:szCs w:val="32"/>
        </w:rPr>
        <w:t>（三）国有资产占有使用情况</w:t>
      </w:r>
      <w:bookmarkEnd w:id="50"/>
    </w:p>
    <w:p>
      <w:pPr>
        <w:spacing w:line="600" w:lineRule="exact"/>
        <w:ind w:firstLine="640" w:firstLineChars="200"/>
        <w:rPr>
          <w:rFonts w:hint="default" w:ascii="仿宋_GB2312" w:eastAsia="仿宋_GB2312"/>
          <w:b/>
          <w:color w:val="000000"/>
          <w:sz w:val="32"/>
          <w:szCs w:val="32"/>
          <w:lang w:val="en-US" w:eastAsia="zh-CN"/>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本年我单位未购置新车辆，2018年11月底单位公车报废，</w:t>
      </w:r>
      <w:r>
        <w:rPr>
          <w:rFonts w:hint="eastAsia" w:ascii="仿宋_GB2312" w:eastAsia="仿宋_GB2312"/>
          <w:color w:val="000000"/>
          <w:sz w:val="32"/>
          <w:szCs w:val="32"/>
        </w:rPr>
        <w:t>截至</w:t>
      </w:r>
      <w:r>
        <w:rPr>
          <w:rFonts w:ascii="仿宋_GB2312" w:eastAsia="仿宋_GB2312"/>
          <w:color w:val="000000"/>
          <w:sz w:val="32"/>
          <w:szCs w:val="32"/>
        </w:rPr>
        <w:t>12</w:t>
      </w:r>
      <w:r>
        <w:rPr>
          <w:rFonts w:hint="eastAsia" w:ascii="仿宋_GB2312" w:eastAsia="仿宋_GB2312"/>
          <w:color w:val="000000"/>
          <w:sz w:val="32"/>
          <w:szCs w:val="32"/>
        </w:rPr>
        <w:t>月底，单位</w:t>
      </w:r>
      <w:r>
        <w:rPr>
          <w:rFonts w:hint="eastAsia" w:ascii="仿宋_GB2312" w:eastAsia="仿宋_GB2312"/>
          <w:color w:val="000000"/>
          <w:sz w:val="32"/>
          <w:szCs w:val="32"/>
          <w:lang w:val="en-US" w:eastAsia="zh-CN"/>
        </w:rPr>
        <w:t>所有</w:t>
      </w:r>
      <w:r>
        <w:rPr>
          <w:rFonts w:hint="eastAsia" w:ascii="仿宋_GB2312" w:eastAsia="仿宋_GB2312"/>
          <w:color w:val="000000"/>
          <w:sz w:val="32"/>
          <w:szCs w:val="32"/>
        </w:rPr>
        <w:t>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val="en-US" w:eastAsia="zh-CN"/>
        </w:rPr>
        <w:t>借用公安局捷达车用以执行。</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spacing w:line="600" w:lineRule="atLeast"/>
        <w:ind w:firstLine="642"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widowControl/>
        <w:jc w:val="left"/>
        <w:rPr>
          <w:rFonts w:ascii="仿宋_GB2312" w:eastAsia="仿宋_GB2312"/>
          <w:b/>
          <w:color w:val="000000"/>
          <w:sz w:val="32"/>
          <w:szCs w:val="32"/>
        </w:rPr>
      </w:pPr>
    </w:p>
    <w:p>
      <w:pPr>
        <w:numPr>
          <w:ilvl w:val="0"/>
          <w:numId w:val="5"/>
        </w:numPr>
        <w:spacing w:line="600" w:lineRule="exact"/>
        <w:ind w:firstLine="662" w:firstLineChars="150"/>
        <w:jc w:val="center"/>
        <w:outlineLvl w:val="0"/>
        <w:rPr>
          <w:rStyle w:val="27"/>
          <w:rFonts w:ascii="黑体" w:hAnsi="黑体" w:eastAsia="黑体"/>
          <w:b w:val="0"/>
        </w:rPr>
      </w:pPr>
      <w:bookmarkStart w:id="51" w:name="_Toc15396613"/>
      <w:bookmarkStart w:id="52" w:name="_Toc15377225"/>
      <w:r>
        <w:rPr>
          <w:rFonts w:hint="eastAsia" w:ascii="黑体" w:hAnsi="黑体" w:eastAsia="黑体"/>
          <w:b/>
          <w:color w:val="000000"/>
          <w:sz w:val="44"/>
          <w:szCs w:val="44"/>
        </w:rPr>
        <w:t>名</w:t>
      </w:r>
      <w:r>
        <w:rPr>
          <w:rStyle w:val="27"/>
          <w:rFonts w:hint="eastAsia" w:ascii="黑体" w:hAnsi="黑体" w:eastAsia="黑体"/>
          <w:b w:val="0"/>
        </w:rPr>
        <w:t>词解释</w:t>
      </w:r>
      <w:bookmarkEnd w:id="51"/>
      <w:bookmarkEnd w:id="52"/>
    </w:p>
    <w:p>
      <w:pPr>
        <w:spacing w:line="600" w:lineRule="exact"/>
        <w:jc w:val="left"/>
        <w:rPr>
          <w:rFonts w:ascii="宋体"/>
          <w:b/>
          <w:color w:val="000000"/>
          <w:sz w:val="44"/>
          <w:szCs w:val="44"/>
        </w:rPr>
      </w:pPr>
    </w:p>
    <w:p>
      <w:pPr>
        <w:pStyle w:val="25"/>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1.财政拨款收入：指单位从同级财政部门取得的财政预算资金。</w:t>
      </w:r>
    </w:p>
    <w:p>
      <w:pPr>
        <w:pStyle w:val="25"/>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2.事业收入：指所属事业单位开展专业业务活动及辅助活动所取得的收入。</w:t>
      </w:r>
    </w:p>
    <w:p>
      <w:pPr>
        <w:pStyle w:val="25"/>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3.经营收入：指事业单位在专业业务活动及其辅助活动之外开展非独立核算经营活动取得的收入。如二级预算单位经营收入情况等。</w:t>
      </w:r>
    </w:p>
    <w:p>
      <w:pPr>
        <w:pStyle w:val="25"/>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4.其他收入：指除上述“财政拨款收入”、“事业收入”、“事业单位经营收入”等以外的收入，主要是所属行政事业单位按规定动用的售房收入、存款利息收入等。 </w:t>
      </w:r>
    </w:p>
    <w:p>
      <w:pPr>
        <w:pStyle w:val="25"/>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5"/>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6.年初结转和结余：指以前年度尚未完成、结转到本年按有关规定继续使用的资金。 </w:t>
      </w:r>
    </w:p>
    <w:p>
      <w:pPr>
        <w:pStyle w:val="25"/>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7.结余分配：指事业单位按照事业单位会计制度的规定从非财政补助结余中分配的事业基金和职工福利基金等。</w:t>
      </w:r>
    </w:p>
    <w:p>
      <w:pPr>
        <w:pStyle w:val="25"/>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8、年末结转和结余：指单位按有关规定结转到下年或以后年度继续使用的资金。</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-机关事业单位基本养老保险</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由单位代扣的工作人员基本养老保险缴费不在此科目反映。</w:t>
      </w:r>
    </w:p>
    <w:p>
      <w:pPr>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-职业年金缴费</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指单位为职工实际缴纳的职业年金（含职业年金补给支出）。由单位代扣的工作人员职业年金，不在此科目反应。</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val="en-US" w:eastAsia="zh-CN"/>
        </w:rPr>
        <w:t>-职工基本医疗保险缴费：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单位为职工缴纳的基本医疗保险费。</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val="en-US" w:eastAsia="zh-CN"/>
        </w:rPr>
        <w:t>-公务员医疗补助缴费：指按规定可享受公务员医疗补助单位为职工缴纳的公务员医疗补助费。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资源勘探信息等</w:t>
      </w:r>
      <w:r>
        <w:rPr>
          <w:rFonts w:hint="eastAsia" w:ascii="仿宋_GB2312" w:eastAsia="仿宋_GB2312"/>
          <w:color w:val="000000"/>
          <w:sz w:val="32"/>
          <w:szCs w:val="32"/>
          <w:lang w:val="en-US" w:eastAsia="zh-CN"/>
        </w:rPr>
        <w:t>支出-安全生产监管-行政运行</w:t>
      </w:r>
      <w:r>
        <w:rPr>
          <w:rFonts w:hint="eastAsia" w:ascii="仿宋_GB2312" w:eastAsia="仿宋_GB2312"/>
          <w:color w:val="000000"/>
          <w:sz w:val="32"/>
          <w:szCs w:val="32"/>
        </w:rPr>
        <w:t>：指政府对资源勘探信息等事务支出，包括资源勘探业、制造业、建筑业、工业和信息产业监管、安全生产监管、国有资产监管及支持中小企业发展和管理等方面支出。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14.住房基金。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hint="eastAsia" w:ascii="仿宋_GB2312" w:eastAsia="仿宋_GB2312"/>
          <w:color w:val="000000"/>
          <w:sz w:val="32"/>
          <w:szCs w:val="32"/>
        </w:rPr>
        <w:t>经营支出：指事业单位在专业业务活动及其辅助活动之外开展非独立核算经营活动发生的支出。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hint="eastAsia" w:ascii="黑体" w:hAnsi="黑体" w:eastAsia="黑体"/>
          <w:color w:val="000000"/>
          <w:sz w:val="44"/>
          <w:szCs w:val="44"/>
        </w:rPr>
      </w:pPr>
      <w:r>
        <w:rPr>
          <w:rFonts w:hint="eastAsia" w:ascii="仿宋_GB2312" w:eastAsia="仿宋_GB2312"/>
          <w:sz w:val="32"/>
          <w:szCs w:val="32"/>
          <w:lang w:val="en-US" w:eastAsia="zh-CN"/>
        </w:rPr>
        <w:t>19.</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3" w:name="_Toc15396614"/>
      <w:bookmarkStart w:id="54" w:name="_Toc15377226"/>
    </w:p>
    <w:p>
      <w:pPr>
        <w:spacing w:line="600" w:lineRule="exact"/>
        <w:jc w:val="both"/>
        <w:outlineLvl w:val="0"/>
        <w:rPr>
          <w:rFonts w:hint="eastAsia" w:ascii="黑体" w:hAnsi="黑体" w:eastAsia="黑体"/>
          <w:color w:val="000000"/>
          <w:sz w:val="44"/>
          <w:szCs w:val="44"/>
        </w:rPr>
      </w:pPr>
    </w:p>
    <w:p>
      <w:pPr>
        <w:spacing w:line="600" w:lineRule="exact"/>
        <w:jc w:val="center"/>
        <w:outlineLvl w:val="0"/>
        <w:rPr>
          <w:rStyle w:val="27"/>
          <w:rFonts w:ascii="黑体" w:hAnsi="黑体" w:eastAsia="黑体"/>
          <w:b w:val="0"/>
        </w:rPr>
      </w:pPr>
      <w:r>
        <w:rPr>
          <w:rFonts w:hint="eastAsia" w:ascii="黑体" w:hAnsi="黑体" w:eastAsia="黑体"/>
          <w:color w:val="000000"/>
          <w:sz w:val="44"/>
          <w:szCs w:val="44"/>
        </w:rPr>
        <w:t>第</w:t>
      </w:r>
      <w:r>
        <w:rPr>
          <w:rStyle w:val="27"/>
          <w:rFonts w:hint="eastAsia" w:ascii="黑体" w:hAnsi="黑体" w:eastAsia="黑体"/>
          <w:b w:val="0"/>
        </w:rPr>
        <w:t>四部分 附件</w:t>
      </w:r>
      <w:bookmarkEnd w:id="53"/>
    </w:p>
    <w:p>
      <w:pPr>
        <w:spacing w:line="600" w:lineRule="exact"/>
        <w:jc w:val="center"/>
        <w:outlineLvl w:val="0"/>
        <w:rPr>
          <w:rStyle w:val="27"/>
        </w:rPr>
      </w:pPr>
    </w:p>
    <w:p>
      <w:pPr>
        <w:pStyle w:val="3"/>
        <w:rPr>
          <w:rStyle w:val="27"/>
          <w:rFonts w:ascii="仿宋" w:hAnsi="仿宋" w:eastAsia="仿宋"/>
          <w:b w:val="0"/>
          <w:bCs w:val="0"/>
          <w:sz w:val="32"/>
          <w:szCs w:val="32"/>
        </w:rPr>
      </w:pPr>
      <w:bookmarkStart w:id="55" w:name="_Toc15396615"/>
      <w:r>
        <w:rPr>
          <w:rStyle w:val="27"/>
          <w:rFonts w:hint="eastAsia" w:ascii="仿宋" w:hAnsi="仿宋" w:eastAsia="仿宋"/>
          <w:b w:val="0"/>
          <w:bCs w:val="0"/>
          <w:sz w:val="32"/>
          <w:szCs w:val="32"/>
        </w:rPr>
        <w:t>附件1</w:t>
      </w:r>
      <w:bookmarkEnd w:id="55"/>
    </w:p>
    <w:p>
      <w:pPr>
        <w:jc w:val="center"/>
        <w:rPr>
          <w:rFonts w:ascii="黑体" w:hAnsi="黑体" w:eastAsia="黑体"/>
          <w:sz w:val="44"/>
          <w:szCs w:val="44"/>
        </w:rPr>
      </w:pPr>
      <w:bookmarkStart w:id="56" w:name="_Toc15396617"/>
      <w:r>
        <w:rPr>
          <w:rFonts w:hint="eastAsia" w:ascii="黑体" w:hAnsi="黑体" w:eastAsia="黑体"/>
          <w:sz w:val="44"/>
          <w:szCs w:val="44"/>
        </w:rPr>
        <w:t>红原县安全生产监督管理局</w:t>
      </w:r>
    </w:p>
    <w:p>
      <w:pPr>
        <w:jc w:val="center"/>
        <w:rPr>
          <w:rFonts w:ascii="黑体" w:hAnsi="黑体" w:eastAsia="黑体"/>
          <w:sz w:val="44"/>
          <w:szCs w:val="44"/>
        </w:rPr>
      </w:pPr>
      <w:r>
        <w:rPr>
          <w:rFonts w:hint="eastAsia" w:ascii="黑体" w:hAnsi="黑体" w:eastAsia="黑体"/>
          <w:sz w:val="44"/>
          <w:szCs w:val="44"/>
        </w:rPr>
        <w:t>201</w:t>
      </w:r>
      <w:r>
        <w:rPr>
          <w:rFonts w:hint="eastAsia" w:ascii="黑体" w:hAnsi="黑体" w:eastAsia="黑体"/>
          <w:sz w:val="44"/>
          <w:szCs w:val="44"/>
          <w:lang w:val="en-US" w:eastAsia="zh-CN"/>
        </w:rPr>
        <w:t>8</w:t>
      </w:r>
      <w:r>
        <w:rPr>
          <w:rFonts w:hint="eastAsia" w:ascii="黑体" w:hAnsi="黑体" w:eastAsia="黑体"/>
          <w:sz w:val="44"/>
          <w:szCs w:val="44"/>
        </w:rPr>
        <w:t>年部门整体支出绩效</w:t>
      </w:r>
      <w:r>
        <w:rPr>
          <w:rFonts w:hint="eastAsia" w:ascii="黑体" w:hAnsi="黑体" w:eastAsia="黑体"/>
          <w:sz w:val="44"/>
          <w:szCs w:val="44"/>
          <w:lang w:val="en-US" w:eastAsia="zh-CN"/>
        </w:rPr>
        <w:t>评价</w:t>
      </w:r>
      <w:r>
        <w:rPr>
          <w:rFonts w:hint="eastAsia" w:ascii="黑体" w:hAnsi="黑体" w:eastAsia="黑体"/>
          <w:sz w:val="44"/>
          <w:szCs w:val="44"/>
        </w:rPr>
        <w:t>报告</w:t>
      </w:r>
    </w:p>
    <w:p>
      <w:pPr>
        <w:rPr>
          <w:rFonts w:ascii="黑体" w:hAnsi="黑体" w:eastAsia="黑体"/>
          <w:sz w:val="44"/>
          <w:szCs w:val="44"/>
        </w:rPr>
      </w:pPr>
    </w:p>
    <w:p>
      <w:pPr>
        <w:pStyle w:val="26"/>
        <w:numPr>
          <w:ilvl w:val="0"/>
          <w:numId w:val="6"/>
        </w:numPr>
        <w:ind w:firstLineChars="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部门概况</w:t>
      </w:r>
    </w:p>
    <w:p>
      <w:pPr>
        <w:ind w:firstLine="642" w:firstLineChars="200"/>
        <w:jc w:val="left"/>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（一）、</w:t>
      </w:r>
      <w:r>
        <w:rPr>
          <w:rFonts w:hint="eastAsia" w:ascii="仿宋_GB2312" w:hAnsi="仿宋_GB2312" w:eastAsia="仿宋_GB2312" w:cs="仿宋_GB2312"/>
          <w:b/>
          <w:color w:val="000000" w:themeColor="text1"/>
          <w:sz w:val="32"/>
          <w:szCs w:val="32"/>
          <w14:textFill>
            <w14:solidFill>
              <w14:schemeClr w14:val="tx1"/>
            </w14:solidFill>
          </w14:textFill>
        </w:rPr>
        <w:t>机构组织</w:t>
      </w:r>
    </w:p>
    <w:p>
      <w:pPr>
        <w:ind w:firstLine="640" w:firstLineChars="20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根据中共红原县委办公室  红原县人民政府办公室关于转发《中共阿坝州委办公室阿坝州人民政府办公室关于印发（红原县人民政府机构改革方案的通知）的通知》（红委办</w:t>
      </w:r>
      <w:r>
        <w:rPr>
          <w:rFonts w:hint="eastAsia" w:ascii="仿宋_GB2312" w:eastAsia="仿宋_GB2312"/>
          <w:color w:val="000000" w:themeColor="text1"/>
          <w:sz w:val="32"/>
          <w:szCs w:val="32"/>
          <w14:textFill>
            <w14:solidFill>
              <w14:schemeClr w14:val="tx1"/>
            </w14:solidFill>
          </w14:textFill>
        </w:rPr>
        <w:t>〔2010〕73号</w:t>
      </w:r>
      <w:r>
        <w:rPr>
          <w:rFonts w:hint="eastAsia" w:ascii="仿宋" w:hAnsi="仿宋" w:eastAsia="仿宋"/>
          <w:color w:val="000000" w:themeColor="text1"/>
          <w:sz w:val="32"/>
          <w:szCs w:val="32"/>
          <w14:textFill>
            <w14:solidFill>
              <w14:schemeClr w14:val="tx1"/>
            </w14:solidFill>
          </w14:textFill>
        </w:rPr>
        <w:t>），中共红原县委办公室红原县人民政府办公室关于印发《红原县人民政府机构改革实施意见的通知》红委办</w:t>
      </w:r>
      <w:r>
        <w:rPr>
          <w:rFonts w:hint="eastAsia" w:ascii="仿宋_GB2312" w:eastAsia="仿宋_GB2312"/>
          <w:color w:val="000000" w:themeColor="text1"/>
          <w:sz w:val="32"/>
          <w:szCs w:val="32"/>
          <w14:textFill>
            <w14:solidFill>
              <w14:schemeClr w14:val="tx1"/>
            </w14:solidFill>
          </w14:textFill>
        </w:rPr>
        <w:t>〔2010〕4号</w:t>
      </w:r>
      <w:r>
        <w:rPr>
          <w:rFonts w:hint="eastAsia" w:ascii="仿宋" w:hAnsi="仿宋" w:eastAsia="仿宋"/>
          <w:color w:val="000000" w:themeColor="text1"/>
          <w:sz w:val="32"/>
          <w:szCs w:val="32"/>
          <w14:textFill>
            <w14:solidFill>
              <w14:schemeClr w14:val="tx1"/>
            </w14:solidFill>
          </w14:textFill>
        </w:rPr>
        <w:t>）文件要求，设立红原县安全生产监督管理局，挂红原县人民政府安全生产委员会办公室牌子，内设综合办公室、安全宣传教育培训股、安全生产监督管理股、职业安全健康监督管理应急救援股4个内设机构。</w:t>
      </w:r>
    </w:p>
    <w:p>
      <w:pPr>
        <w:ind w:firstLine="642" w:firstLineChars="200"/>
        <w:jc w:val="left"/>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（二）、</w:t>
      </w:r>
      <w:r>
        <w:rPr>
          <w:rFonts w:hint="eastAsia" w:ascii="仿宋_GB2312" w:hAnsi="仿宋_GB2312" w:eastAsia="仿宋_GB2312" w:cs="仿宋_GB2312"/>
          <w:b/>
          <w:color w:val="000000" w:themeColor="text1"/>
          <w:sz w:val="32"/>
          <w:szCs w:val="32"/>
          <w14:textFill>
            <w14:solidFill>
              <w14:schemeClr w14:val="tx1"/>
            </w14:solidFill>
          </w14:textFill>
        </w:rPr>
        <w:t>机构职能</w:t>
      </w:r>
    </w:p>
    <w:p>
      <w:pPr>
        <w:ind w:firstLine="640" w:firstLineChars="200"/>
        <w:jc w:val="left"/>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 xml:space="preserve">1、宣传贯彻国家和省、州安全生产方针政策及法律法规等，规范、组织、指导、协调全县安全生产宣传教育培训。           </w:t>
      </w:r>
    </w:p>
    <w:p>
      <w:pPr>
        <w:ind w:firstLine="640" w:firstLineChars="200"/>
        <w:jc w:val="left"/>
        <w:rPr>
          <w:rFonts w:ascii="仿宋" w:hAnsi="仿宋" w:eastAsia="仿宋"/>
          <w:b/>
          <w:color w:val="000000" w:themeColor="text1"/>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2、负责监督检查职责范围内新建、改建、扩建工程项目的安全设施与主体工程同时设计、同时施工、同时投产使用情况。</w:t>
      </w:r>
    </w:p>
    <w:p>
      <w:pPr>
        <w:widowControl/>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3、负责组织全县安全生产宣传教育；组织特种作业人员（特种设备作业人员除外）</w:t>
      </w:r>
      <w:r>
        <w:rPr>
          <w:rFonts w:hint="eastAsia" w:ascii="仿宋_GB2312" w:hAnsi="宋体" w:eastAsia="仿宋_GB2312" w:cs="宋体"/>
          <w:color w:val="000000" w:themeColor="text1"/>
          <w:kern w:val="0"/>
          <w:sz w:val="32"/>
          <w:szCs w:val="32"/>
          <w:lang w:eastAsia="zh-CN"/>
          <w14:textFill>
            <w14:solidFill>
              <w14:schemeClr w14:val="tx1"/>
            </w14:solidFill>
          </w14:textFill>
        </w:rPr>
        <w:t>审</w:t>
      </w:r>
      <w:r>
        <w:rPr>
          <w:rFonts w:hint="eastAsia" w:ascii="仿宋_GB2312" w:hAnsi="宋体" w:eastAsia="仿宋_GB2312" w:cs="宋体"/>
          <w:color w:val="000000" w:themeColor="text1"/>
          <w:kern w:val="0"/>
          <w:sz w:val="32"/>
          <w:szCs w:val="32"/>
          <w14:textFill>
            <w14:solidFill>
              <w14:schemeClr w14:val="tx1"/>
            </w14:solidFill>
          </w14:textFill>
        </w:rPr>
        <w:t>证和新办证工作，负责安全生产管理人员的安全法律法规知识考核工作；监督检查生产经营单位安全生产和职业安全培训工作。</w:t>
      </w:r>
    </w:p>
    <w:p>
      <w:pPr>
        <w:widowControl/>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4、负责组织全县安全生产重大活动，组织开展安全生产大检查和专项督查。综合管理全县安全生产伤亡事故和安全生产行政执法统计分析工作。负责组织指挥和协调安全生产应急救援工作。</w:t>
      </w:r>
    </w:p>
    <w:p>
      <w:pPr>
        <w:widowControl/>
        <w:spacing w:line="560" w:lineRule="exact"/>
        <w:ind w:firstLine="640" w:firstLineChars="200"/>
        <w:rPr>
          <w:rFonts w:ascii="仿宋_GB2312" w:hAnsi="宋体" w:eastAsia="仿宋_GB2312" w:cs="宋体"/>
          <w:color w:val="000000" w:themeColor="text1"/>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5、承担全县安全生产综合监督管理职责，指导协调和监督检查各乡镇人民政府和县级有关部门依法履行安全生产职责，具体实施安全生产综合目标管理和考核工作。定期分析和预测全县安全生产形势，发布全县安全生产信息，协调安全生产中的重大问题，监督、指导落实安全生产责任制，监督事故查处和责任追究落实情况。</w:t>
      </w:r>
    </w:p>
    <w:p>
      <w:pPr>
        <w:widowControl/>
        <w:spacing w:line="560" w:lineRule="exact"/>
        <w:ind w:firstLine="200"/>
        <w:rPr>
          <w:rFonts w:ascii="宋体" w:hAnsi="宋体" w:eastAsia="仿宋_GB2312" w:cs="宋体"/>
          <w:color w:val="000000" w:themeColor="text1"/>
          <w:kern w:val="0"/>
          <w:sz w:val="32"/>
          <w:szCs w:val="32"/>
          <w14:textFill>
            <w14:solidFill>
              <w14:schemeClr w14:val="tx1"/>
            </w14:solidFill>
          </w14:textFill>
        </w:rPr>
      </w:pPr>
      <w:r>
        <w:rPr>
          <w:rFonts w:hint="eastAsia" w:ascii="宋体" w:hAnsi="宋体" w:eastAsia="仿宋_GB2312" w:cs="宋体"/>
          <w:color w:val="000000" w:themeColor="text1"/>
          <w:kern w:val="0"/>
          <w:sz w:val="32"/>
          <w:szCs w:val="32"/>
          <w14:textFill>
            <w14:solidFill>
              <w14:schemeClr w14:val="tx1"/>
            </w14:solidFill>
          </w14:textFill>
        </w:rPr>
        <w:t>  6、承担工矿商贸行业安全生产监督管理责任，依法监督检查工矿商贸生产经营单位贯彻执行安全生产法律、法规情况及其安全生产条件和有关设备（特种设备除外）、材料、劳动防护用品的安全生产管理工作，依法查处不具备安全生产条件的工矿商贸生产经营单位。</w:t>
      </w:r>
    </w:p>
    <w:p>
      <w:pPr>
        <w:widowControl/>
        <w:spacing w:line="560" w:lineRule="exact"/>
        <w:ind w:firstLine="835" w:firstLineChars="261"/>
        <w:rPr>
          <w:rFonts w:ascii="宋体" w:hAnsi="宋体" w:eastAsia="仿宋_GB2312" w:cs="宋体"/>
          <w:color w:val="000000" w:themeColor="text1"/>
          <w:kern w:val="0"/>
          <w:sz w:val="32"/>
          <w:szCs w:val="32"/>
          <w14:textFill>
            <w14:solidFill>
              <w14:schemeClr w14:val="tx1"/>
            </w14:solidFill>
          </w14:textFill>
        </w:rPr>
      </w:pPr>
      <w:r>
        <w:rPr>
          <w:rFonts w:hint="eastAsia" w:ascii="宋体" w:hAnsi="宋体" w:eastAsia="仿宋_GB2312" w:cs="宋体"/>
          <w:color w:val="000000" w:themeColor="text1"/>
          <w:kern w:val="0"/>
          <w:sz w:val="32"/>
          <w:szCs w:val="32"/>
          <w14:textFill>
            <w14:solidFill>
              <w14:schemeClr w14:val="tx1"/>
            </w14:solidFill>
          </w14:textFill>
        </w:rPr>
        <w:t>7、承担非煤矿山、危险化学品、非药品类易制毒危险化学品和烟花爆竹等生产经营单位安全生产准入管理责任，依法组织实施安全生产准入制度。负责危险化学品安全监督管理综合工</w:t>
      </w:r>
      <w:r>
        <w:rPr>
          <w:rFonts w:hint="eastAsia" w:ascii="宋体" w:hAnsi="宋体" w:eastAsia="仿宋_GB2312" w:cs="宋体"/>
          <w:color w:val="000000" w:themeColor="text1"/>
          <w:kern w:val="0"/>
          <w:sz w:val="32"/>
          <w:szCs w:val="32"/>
          <w:lang w:eastAsia="zh-CN"/>
          <w14:textFill>
            <w14:solidFill>
              <w14:schemeClr w14:val="tx1"/>
            </w14:solidFill>
          </w14:textFill>
        </w:rPr>
        <w:t>作</w:t>
      </w:r>
      <w:r>
        <w:rPr>
          <w:rFonts w:hint="eastAsia" w:ascii="宋体" w:hAnsi="宋体" w:eastAsia="仿宋_GB2312" w:cs="宋体"/>
          <w:color w:val="000000" w:themeColor="text1"/>
          <w:kern w:val="0"/>
          <w:sz w:val="32"/>
          <w:szCs w:val="32"/>
          <w14:textFill>
            <w14:solidFill>
              <w14:schemeClr w14:val="tx1"/>
            </w14:solidFill>
          </w14:textFill>
        </w:rPr>
        <w:t>和烟花爆竹安全生产监管管理工作。</w:t>
      </w:r>
    </w:p>
    <w:p>
      <w:pPr>
        <w:widowControl/>
        <w:spacing w:line="560" w:lineRule="exact"/>
        <w:ind w:firstLine="835" w:firstLineChars="261"/>
        <w:rPr>
          <w:rFonts w:ascii="宋体" w:hAnsi="宋体" w:eastAsia="仿宋_GB2312" w:cs="宋体"/>
          <w:color w:val="000000" w:themeColor="text1"/>
          <w:kern w:val="0"/>
          <w:sz w:val="32"/>
          <w:szCs w:val="32"/>
          <w14:textFill>
            <w14:solidFill>
              <w14:schemeClr w14:val="tx1"/>
            </w14:solidFill>
          </w14:textFill>
        </w:rPr>
      </w:pPr>
      <w:r>
        <w:rPr>
          <w:rFonts w:hint="eastAsia" w:ascii="宋体" w:hAnsi="宋体" w:eastAsia="仿宋_GB2312" w:cs="宋体"/>
          <w:color w:val="000000" w:themeColor="text1"/>
          <w:kern w:val="0"/>
          <w:sz w:val="32"/>
          <w:szCs w:val="32"/>
          <w14:textFill>
            <w14:solidFill>
              <w14:schemeClr w14:val="tx1"/>
            </w14:solidFill>
          </w14:textFill>
        </w:rPr>
        <w:t>8、承担工矿商贸行业作业场所职业卫生监督检查责任，依法组织查处职业危害事故和违法违规行为。</w:t>
      </w:r>
    </w:p>
    <w:p>
      <w:pPr>
        <w:widowControl/>
        <w:spacing w:line="560" w:lineRule="exact"/>
        <w:ind w:firstLine="835" w:firstLineChars="261"/>
        <w:rPr>
          <w:rFonts w:ascii="宋体" w:hAnsi="宋体" w:eastAsia="仿宋_GB2312" w:cs="宋体"/>
          <w:color w:val="000000" w:themeColor="text1"/>
          <w:kern w:val="0"/>
          <w:sz w:val="32"/>
          <w:szCs w:val="32"/>
          <w14:textFill>
            <w14:solidFill>
              <w14:schemeClr w14:val="tx1"/>
            </w14:solidFill>
          </w14:textFill>
        </w:rPr>
      </w:pPr>
      <w:r>
        <w:rPr>
          <w:rFonts w:hint="eastAsia" w:ascii="宋体" w:hAnsi="宋体" w:eastAsia="仿宋_GB2312" w:cs="宋体"/>
          <w:color w:val="000000" w:themeColor="text1"/>
          <w:kern w:val="0"/>
          <w:sz w:val="32"/>
          <w:szCs w:val="32"/>
          <w14:textFill>
            <w14:solidFill>
              <w14:schemeClr w14:val="tx1"/>
            </w14:solidFill>
          </w14:textFill>
        </w:rPr>
        <w:t>9、承担县政府安全生产委员会的具体工作。</w:t>
      </w:r>
    </w:p>
    <w:p>
      <w:pPr>
        <w:widowControl/>
        <w:spacing w:line="560" w:lineRule="exact"/>
        <w:ind w:firstLine="835" w:firstLineChars="261"/>
        <w:rPr>
          <w:rFonts w:ascii="宋体" w:hAnsi="宋体" w:eastAsia="仿宋_GB2312" w:cs="宋体"/>
          <w:color w:val="000000" w:themeColor="text1"/>
          <w:kern w:val="0"/>
          <w:sz w:val="32"/>
          <w:szCs w:val="32"/>
          <w14:textFill>
            <w14:solidFill>
              <w14:schemeClr w14:val="tx1"/>
            </w14:solidFill>
          </w14:textFill>
        </w:rPr>
      </w:pPr>
      <w:r>
        <w:rPr>
          <w:rFonts w:hint="eastAsia" w:ascii="宋体" w:hAnsi="宋体" w:eastAsia="仿宋_GB2312" w:cs="宋体"/>
          <w:color w:val="000000" w:themeColor="text1"/>
          <w:kern w:val="0"/>
          <w:sz w:val="32"/>
          <w:szCs w:val="32"/>
          <w14:textFill>
            <w14:solidFill>
              <w14:schemeClr w14:val="tx1"/>
            </w14:solidFill>
          </w14:textFill>
        </w:rPr>
        <w:t>10、承担县政府公布的有关安全生产行政审批事项。</w:t>
      </w:r>
    </w:p>
    <w:p>
      <w:pPr>
        <w:widowControl/>
        <w:spacing w:line="560" w:lineRule="exact"/>
        <w:ind w:firstLine="835" w:firstLineChars="261"/>
        <w:rPr>
          <w:rFonts w:ascii="宋体" w:hAnsi="宋体" w:eastAsia="仿宋_GB2312" w:cs="宋体"/>
          <w:color w:val="000000" w:themeColor="text1"/>
          <w:kern w:val="0"/>
          <w:sz w:val="32"/>
          <w:szCs w:val="32"/>
          <w14:textFill>
            <w14:solidFill>
              <w14:schemeClr w14:val="tx1"/>
            </w14:solidFill>
          </w14:textFill>
        </w:rPr>
      </w:pPr>
      <w:r>
        <w:rPr>
          <w:rFonts w:hint="eastAsia" w:ascii="宋体" w:hAnsi="宋体" w:eastAsia="仿宋_GB2312" w:cs="宋体"/>
          <w:color w:val="000000" w:themeColor="text1"/>
          <w:kern w:val="0"/>
          <w:sz w:val="32"/>
          <w:szCs w:val="32"/>
          <w14:textFill>
            <w14:solidFill>
              <w14:schemeClr w14:val="tx1"/>
            </w14:solidFill>
          </w14:textFill>
        </w:rPr>
        <w:t>11、承担县委、县政府和州安全生产监督管理局交办的其他事项。</w:t>
      </w:r>
    </w:p>
    <w:p>
      <w:pPr>
        <w:widowControl/>
        <w:spacing w:line="560" w:lineRule="exact"/>
        <w:ind w:firstLine="838" w:firstLineChars="261"/>
        <w:rPr>
          <w:rFonts w:ascii="宋体" w:hAnsi="宋体" w:eastAsia="仿宋_GB2312" w:cs="宋体"/>
          <w:b/>
          <w:color w:val="000000" w:themeColor="text1"/>
          <w:kern w:val="0"/>
          <w:sz w:val="32"/>
          <w:szCs w:val="32"/>
          <w14:textFill>
            <w14:solidFill>
              <w14:schemeClr w14:val="tx1"/>
            </w14:solidFill>
          </w14:textFill>
        </w:rPr>
      </w:pPr>
      <w:r>
        <w:rPr>
          <w:rFonts w:hint="eastAsia" w:ascii="宋体" w:hAnsi="宋体" w:eastAsia="仿宋_GB2312" w:cs="宋体"/>
          <w:b/>
          <w:color w:val="000000" w:themeColor="text1"/>
          <w:kern w:val="0"/>
          <w:sz w:val="32"/>
          <w:szCs w:val="32"/>
          <w14:textFill>
            <w14:solidFill>
              <w14:schemeClr w14:val="tx1"/>
            </w14:solidFill>
          </w14:textFill>
        </w:rPr>
        <w:t>（三）人员概况</w:t>
      </w:r>
    </w:p>
    <w:p>
      <w:pPr>
        <w:spacing w:line="560" w:lineRule="exact"/>
        <w:ind w:firstLine="640" w:firstLineChars="200"/>
        <w:jc w:val="left"/>
        <w:rPr>
          <w:rFonts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我单位为独立核算全额拨款行政单位。截止201</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bCs/>
          <w:color w:val="000000" w:themeColor="text1"/>
          <w:sz w:val="32"/>
          <w:szCs w:val="32"/>
          <w14:textFill>
            <w14:solidFill>
              <w14:schemeClr w14:val="tx1"/>
            </w14:solidFill>
          </w14:textFill>
        </w:rPr>
        <w:t>年底我单位共有编制11个，其中公务员编制7个，行政工勤编制1个，参公编制3个。在职</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bCs/>
          <w:color w:val="000000" w:themeColor="text1"/>
          <w:sz w:val="32"/>
          <w:szCs w:val="32"/>
          <w14:textFill>
            <w14:solidFill>
              <w14:schemeClr w14:val="tx1"/>
            </w14:solidFill>
          </w14:textFill>
        </w:rPr>
        <w:t>人，其中参公2人，公务员</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bCs/>
          <w:color w:val="000000" w:themeColor="text1"/>
          <w:sz w:val="32"/>
          <w:szCs w:val="32"/>
          <w14:textFill>
            <w14:solidFill>
              <w14:schemeClr w14:val="tx1"/>
            </w14:solidFill>
          </w14:textFill>
        </w:rPr>
        <w:t>人，行政工勤1人，退休</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Cs/>
          <w:color w:val="000000" w:themeColor="text1"/>
          <w:sz w:val="32"/>
          <w:szCs w:val="32"/>
          <w14:textFill>
            <w14:solidFill>
              <w14:schemeClr w14:val="tx1"/>
            </w14:solidFill>
          </w14:textFill>
        </w:rPr>
        <w:t>人。</w:t>
      </w:r>
    </w:p>
    <w:p>
      <w:pPr>
        <w:pStyle w:val="26"/>
        <w:numPr>
          <w:ilvl w:val="0"/>
          <w:numId w:val="6"/>
        </w:numPr>
        <w:spacing w:line="560" w:lineRule="exact"/>
        <w:ind w:firstLineChars="0"/>
        <w:jc w:val="left"/>
        <w:rPr>
          <w:rFonts w:ascii="黑体" w:hAnsi="黑体" w:eastAsia="黑体"/>
          <w:color w:val="000000" w:themeColor="text1"/>
          <w:sz w:val="32"/>
          <w:szCs w:val="32"/>
          <w14:textFill>
            <w14:solidFill>
              <w14:schemeClr w14:val="tx1"/>
            </w14:solidFill>
          </w14:textFill>
        </w:rPr>
      </w:pPr>
      <w:r>
        <w:rPr>
          <w:rFonts w:ascii="黑体" w:hAnsi="黑体" w:eastAsia="黑体"/>
          <w:color w:val="000000" w:themeColor="text1"/>
          <w:sz w:val="32"/>
          <w:szCs w:val="32"/>
          <w14:textFill>
            <w14:solidFill>
              <w14:schemeClr w14:val="tx1"/>
            </w14:solidFill>
          </w14:textFill>
        </w:rPr>
        <w:t>部门财政资金收支情况</w:t>
      </w:r>
    </w:p>
    <w:p>
      <w:pPr>
        <w:pStyle w:val="26"/>
        <w:numPr>
          <w:ilvl w:val="0"/>
          <w:numId w:val="7"/>
        </w:numPr>
        <w:spacing w:line="560" w:lineRule="exact"/>
        <w:ind w:firstLineChars="0"/>
        <w:jc w:val="left"/>
        <w:rPr>
          <w:rFonts w:hint="eastAsia"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部门财政资金收入情况</w:t>
      </w:r>
    </w:p>
    <w:p>
      <w:pPr>
        <w:spacing w:line="560" w:lineRule="exact"/>
        <w:ind w:firstLine="960" w:firstLineChars="30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lang w:val="en-US" w:eastAsia="zh-CN"/>
          <w14:textFill>
            <w14:solidFill>
              <w14:schemeClr w14:val="tx1"/>
            </w14:solidFill>
          </w14:textFill>
        </w:rPr>
        <w:t>8</w:t>
      </w:r>
      <w:r>
        <w:rPr>
          <w:rFonts w:hint="eastAsia" w:ascii="仿宋" w:hAnsi="仿宋" w:eastAsia="仿宋"/>
          <w:color w:val="000000" w:themeColor="text1"/>
          <w:sz w:val="32"/>
          <w:szCs w:val="32"/>
          <w14:textFill>
            <w14:solidFill>
              <w14:schemeClr w14:val="tx1"/>
            </w14:solidFill>
          </w14:textFill>
        </w:rPr>
        <w:t>年我局财政资金收入为</w:t>
      </w:r>
      <w:r>
        <w:rPr>
          <w:rFonts w:hint="eastAsia" w:ascii="仿宋" w:hAnsi="仿宋" w:eastAsia="仿宋"/>
          <w:color w:val="000000" w:themeColor="text1"/>
          <w:sz w:val="32"/>
          <w:szCs w:val="32"/>
          <w:lang w:val="en-US" w:eastAsia="zh-CN"/>
          <w14:textFill>
            <w14:solidFill>
              <w14:schemeClr w14:val="tx1"/>
            </w14:solidFill>
          </w14:textFill>
        </w:rPr>
        <w:t>258.65万</w:t>
      </w:r>
      <w:r>
        <w:rPr>
          <w:rFonts w:hint="eastAsia" w:ascii="仿宋" w:hAnsi="仿宋" w:eastAsia="仿宋"/>
          <w:color w:val="000000" w:themeColor="text1"/>
          <w:sz w:val="32"/>
          <w:szCs w:val="32"/>
          <w14:textFill>
            <w14:solidFill>
              <w14:schemeClr w14:val="tx1"/>
            </w14:solidFill>
          </w14:textFill>
        </w:rPr>
        <w:t>元（其中年初结转和结余为</w:t>
      </w:r>
      <w:r>
        <w:rPr>
          <w:rFonts w:hint="eastAsia" w:ascii="仿宋" w:hAnsi="仿宋" w:eastAsia="仿宋"/>
          <w:color w:val="000000" w:themeColor="text1"/>
          <w:sz w:val="32"/>
          <w:szCs w:val="32"/>
          <w:lang w:val="en-US" w:eastAsia="zh-CN"/>
          <w14:textFill>
            <w14:solidFill>
              <w14:schemeClr w14:val="tx1"/>
            </w14:solidFill>
          </w14:textFill>
        </w:rPr>
        <w:t>2.26万</w:t>
      </w:r>
      <w:r>
        <w:rPr>
          <w:rFonts w:hint="eastAsia" w:ascii="仿宋" w:hAnsi="仿宋" w:eastAsia="仿宋"/>
          <w:color w:val="000000" w:themeColor="text1"/>
          <w:sz w:val="32"/>
          <w:szCs w:val="32"/>
          <w14:textFill>
            <w14:solidFill>
              <w14:schemeClr w14:val="tx1"/>
            </w14:solidFill>
          </w14:textFill>
        </w:rPr>
        <w:t>元）。</w:t>
      </w:r>
    </w:p>
    <w:p>
      <w:pPr>
        <w:pStyle w:val="26"/>
        <w:numPr>
          <w:ilvl w:val="0"/>
          <w:numId w:val="7"/>
        </w:numPr>
        <w:spacing w:line="560" w:lineRule="exact"/>
        <w:ind w:firstLineChars="0"/>
        <w:jc w:val="left"/>
        <w:rPr>
          <w:rFonts w:hint="eastAsia"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部门财政资金支出情况</w:t>
      </w:r>
    </w:p>
    <w:p>
      <w:pPr>
        <w:spacing w:line="560" w:lineRule="exact"/>
        <w:ind w:firstLine="960" w:firstLineChars="30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lang w:val="en-US" w:eastAsia="zh-CN"/>
          <w14:textFill>
            <w14:solidFill>
              <w14:schemeClr w14:val="tx1"/>
            </w14:solidFill>
          </w14:textFill>
        </w:rPr>
        <w:t>8</w:t>
      </w:r>
      <w:r>
        <w:rPr>
          <w:rFonts w:hint="eastAsia" w:ascii="仿宋" w:hAnsi="仿宋" w:eastAsia="仿宋"/>
          <w:color w:val="000000" w:themeColor="text1"/>
          <w:sz w:val="32"/>
          <w:szCs w:val="32"/>
          <w14:textFill>
            <w14:solidFill>
              <w14:schemeClr w14:val="tx1"/>
            </w14:solidFill>
          </w14:textFill>
        </w:rPr>
        <w:t>年我局财政资金支出为</w:t>
      </w:r>
      <w:r>
        <w:rPr>
          <w:rFonts w:hint="eastAsia" w:ascii="仿宋" w:hAnsi="仿宋" w:eastAsia="仿宋"/>
          <w:color w:val="000000" w:themeColor="text1"/>
          <w:sz w:val="32"/>
          <w:szCs w:val="32"/>
          <w:lang w:val="en-US" w:eastAsia="zh-CN"/>
          <w14:textFill>
            <w14:solidFill>
              <w14:schemeClr w14:val="tx1"/>
            </w14:solidFill>
          </w14:textFill>
        </w:rPr>
        <w:t>207.10</w:t>
      </w:r>
      <w:r>
        <w:rPr>
          <w:rFonts w:hint="eastAsia" w:ascii="仿宋" w:hAnsi="仿宋" w:eastAsia="仿宋"/>
          <w:color w:val="000000" w:themeColor="text1"/>
          <w:sz w:val="32"/>
          <w:szCs w:val="32"/>
          <w14:textFill>
            <w14:solidFill>
              <w14:schemeClr w14:val="tx1"/>
            </w14:solidFill>
          </w14:textFill>
        </w:rPr>
        <w:t>元（其中工资福利支出1</w:t>
      </w:r>
      <w:r>
        <w:rPr>
          <w:rFonts w:hint="eastAsia" w:ascii="仿宋" w:hAnsi="仿宋" w:eastAsia="仿宋"/>
          <w:color w:val="000000" w:themeColor="text1"/>
          <w:sz w:val="32"/>
          <w:szCs w:val="32"/>
          <w:lang w:val="en-US" w:eastAsia="zh-CN"/>
          <w14:textFill>
            <w14:solidFill>
              <w14:schemeClr w14:val="tx1"/>
            </w14:solidFill>
          </w14:textFill>
        </w:rPr>
        <w:t>74.23万</w:t>
      </w:r>
      <w:r>
        <w:rPr>
          <w:rFonts w:hint="eastAsia" w:ascii="仿宋" w:hAnsi="仿宋" w:eastAsia="仿宋"/>
          <w:color w:val="000000" w:themeColor="text1"/>
          <w:sz w:val="32"/>
          <w:szCs w:val="32"/>
          <w14:textFill>
            <w14:solidFill>
              <w14:schemeClr w14:val="tx1"/>
            </w14:solidFill>
          </w14:textFill>
        </w:rPr>
        <w:t>元，商品和服务支出</w:t>
      </w:r>
      <w:r>
        <w:rPr>
          <w:rFonts w:hint="eastAsia" w:ascii="仿宋" w:hAnsi="仿宋" w:eastAsia="仿宋"/>
          <w:color w:val="000000" w:themeColor="text1"/>
          <w:sz w:val="32"/>
          <w:szCs w:val="32"/>
          <w:lang w:val="en-US" w:eastAsia="zh-CN"/>
          <w14:textFill>
            <w14:solidFill>
              <w14:schemeClr w14:val="tx1"/>
            </w14:solidFill>
          </w14:textFill>
        </w:rPr>
        <w:t>29.88万</w:t>
      </w:r>
      <w:r>
        <w:rPr>
          <w:rFonts w:hint="eastAsia" w:ascii="仿宋" w:hAnsi="仿宋" w:eastAsia="仿宋"/>
          <w:color w:val="000000" w:themeColor="text1"/>
          <w:sz w:val="32"/>
          <w:szCs w:val="32"/>
          <w14:textFill>
            <w14:solidFill>
              <w14:schemeClr w14:val="tx1"/>
            </w14:solidFill>
          </w14:textFill>
        </w:rPr>
        <w:t>元，对个人和家庭的补助</w:t>
      </w:r>
      <w:r>
        <w:rPr>
          <w:rFonts w:hint="eastAsia" w:ascii="仿宋" w:hAnsi="仿宋" w:eastAsia="仿宋"/>
          <w:color w:val="000000" w:themeColor="text1"/>
          <w:sz w:val="32"/>
          <w:szCs w:val="32"/>
          <w:lang w:val="en-US" w:eastAsia="zh-CN"/>
          <w14:textFill>
            <w14:solidFill>
              <w14:schemeClr w14:val="tx1"/>
            </w14:solidFill>
          </w14:textFill>
        </w:rPr>
        <w:t>0.72万</w:t>
      </w:r>
      <w:r>
        <w:rPr>
          <w:rFonts w:hint="eastAsia" w:ascii="仿宋" w:hAnsi="仿宋" w:eastAsia="仿宋"/>
          <w:color w:val="000000" w:themeColor="text1"/>
          <w:sz w:val="32"/>
          <w:szCs w:val="32"/>
          <w14:textFill>
            <w14:solidFill>
              <w14:schemeClr w14:val="tx1"/>
            </w14:solidFill>
          </w14:textFill>
        </w:rPr>
        <w:t>元，基本支出结转</w:t>
      </w:r>
      <w:r>
        <w:rPr>
          <w:rFonts w:hint="eastAsia" w:ascii="仿宋" w:hAnsi="仿宋" w:eastAsia="仿宋"/>
          <w:color w:val="000000" w:themeColor="text1"/>
          <w:sz w:val="32"/>
          <w:szCs w:val="32"/>
          <w:lang w:val="en-US" w:eastAsia="zh-CN"/>
          <w14:textFill>
            <w14:solidFill>
              <w14:schemeClr w14:val="tx1"/>
            </w14:solidFill>
          </w14:textFill>
        </w:rPr>
        <w:t>2.26万</w:t>
      </w:r>
      <w:r>
        <w:rPr>
          <w:rFonts w:hint="eastAsia" w:ascii="仿宋" w:hAnsi="仿宋" w:eastAsia="仿宋"/>
          <w:color w:val="000000" w:themeColor="text1"/>
          <w:sz w:val="32"/>
          <w:szCs w:val="32"/>
          <w14:textFill>
            <w14:solidFill>
              <w14:schemeClr w14:val="tx1"/>
            </w14:solidFill>
          </w14:textFill>
        </w:rPr>
        <w:t>元）。</w:t>
      </w:r>
    </w:p>
    <w:p>
      <w:pPr>
        <w:ind w:firstLine="640" w:firstLineChars="200"/>
        <w:rPr>
          <w:rFonts w:ascii="仿宋" w:hAnsi="仿宋" w:eastAsia="仿宋"/>
          <w:color w:val="000000" w:themeColor="text1"/>
          <w:sz w:val="32"/>
          <w:szCs w:val="32"/>
          <w:shd w:val="clear" w:color="auto" w:fill="FFFFFF"/>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三</w:t>
      </w:r>
      <w:r>
        <w:rPr>
          <w:rFonts w:ascii="黑体" w:hAnsi="黑体" w:eastAsia="黑体"/>
          <w:color w:val="000000" w:themeColor="text1"/>
          <w:sz w:val="32"/>
          <w:szCs w:val="32"/>
          <w:shd w:val="clear" w:color="auto" w:fill="FFFFFF"/>
          <w14:textFill>
            <w14:solidFill>
              <w14:schemeClr w14:val="tx1"/>
            </w14:solidFill>
          </w14:textFill>
        </w:rPr>
        <w:t>、部门财政支出管理情况</w:t>
      </w:r>
      <w:r>
        <w:rPr>
          <w:rFonts w:ascii="仿宋" w:hAnsi="仿宋" w:eastAsia="仿宋"/>
          <w:color w:val="000000" w:themeColor="text1"/>
          <w:sz w:val="32"/>
          <w:szCs w:val="32"/>
          <w14:textFill>
            <w14:solidFill>
              <w14:schemeClr w14:val="tx1"/>
            </w14:solidFill>
          </w14:textFill>
        </w:rPr>
        <w:br w:type="textWrapping"/>
      </w:r>
      <w:r>
        <w:rPr>
          <w:rFonts w:ascii="仿宋" w:hAnsi="仿宋" w:eastAsia="仿宋"/>
          <w:color w:val="000000" w:themeColor="text1"/>
          <w:sz w:val="32"/>
          <w:szCs w:val="32"/>
          <w:shd w:val="clear" w:color="auto" w:fill="FFFFFF"/>
          <w14:textFill>
            <w14:solidFill>
              <w14:schemeClr w14:val="tx1"/>
            </w14:solidFill>
          </w14:textFill>
        </w:rPr>
        <w:t>　　</w:t>
      </w:r>
      <w:r>
        <w:rPr>
          <w:rStyle w:val="15"/>
          <w:rFonts w:ascii="仿宋" w:hAnsi="仿宋" w:eastAsia="仿宋"/>
          <w:color w:val="000000" w:themeColor="text1"/>
          <w:sz w:val="32"/>
          <w:szCs w:val="32"/>
          <w:shd w:val="clear" w:color="auto" w:fill="FFFFFF"/>
          <w14:textFill>
            <w14:solidFill>
              <w14:schemeClr w14:val="tx1"/>
            </w14:solidFill>
          </w14:textFill>
        </w:rPr>
        <w:t>（一）</w:t>
      </w:r>
      <w:r>
        <w:rPr>
          <w:rStyle w:val="15"/>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预算编制情况</w:t>
      </w:r>
      <w:r>
        <w:rPr>
          <w:rFonts w:ascii="仿宋" w:hAnsi="仿宋" w:eastAsia="仿宋"/>
          <w:color w:val="000000" w:themeColor="text1"/>
          <w:sz w:val="32"/>
          <w:szCs w:val="32"/>
          <w14:textFill>
            <w14:solidFill>
              <w14:schemeClr w14:val="tx1"/>
            </w14:solidFill>
          </w14:textFill>
        </w:rPr>
        <w:br w:type="textWrapping"/>
      </w:r>
      <w:r>
        <w:rPr>
          <w:rFonts w:ascii="仿宋" w:hAnsi="仿宋" w:eastAsia="仿宋"/>
          <w:color w:val="000000" w:themeColor="text1"/>
          <w:sz w:val="32"/>
          <w:szCs w:val="32"/>
          <w:shd w:val="clear" w:color="auto" w:fill="FFFFFF"/>
          <w14:textFill>
            <w14:solidFill>
              <w14:schemeClr w14:val="tx1"/>
            </w14:solidFill>
          </w14:textFill>
        </w:rPr>
        <w:t>　　预算编制工作严格遵循合法性、真实性、完整性、重点性、绩效性，及时清理，准确反映结余结转资金，严格执行结余结转资金的管理规定。按规定及时公示了部门预算。</w:t>
      </w:r>
      <w:r>
        <w:rPr>
          <w:rFonts w:ascii="仿宋" w:hAnsi="仿宋" w:eastAsia="仿宋"/>
          <w:color w:val="000000" w:themeColor="text1"/>
          <w:sz w:val="32"/>
          <w:szCs w:val="32"/>
          <w14:textFill>
            <w14:solidFill>
              <w14:schemeClr w14:val="tx1"/>
            </w14:solidFill>
          </w14:textFill>
        </w:rPr>
        <w:br w:type="textWrapping"/>
      </w:r>
      <w:r>
        <w:rPr>
          <w:rFonts w:ascii="仿宋" w:hAnsi="仿宋" w:eastAsia="仿宋"/>
          <w:color w:val="000000" w:themeColor="text1"/>
          <w:sz w:val="32"/>
          <w:szCs w:val="32"/>
          <w:shd w:val="clear" w:color="auto" w:fill="FFFFFF"/>
          <w14:textFill>
            <w14:solidFill>
              <w14:schemeClr w14:val="tx1"/>
            </w14:solidFill>
          </w14:textFill>
        </w:rPr>
        <w:t>　　决算编审工作中严格按照“真实、准确、完整、及时”的要求，正确理解和掌握决算报表的口径和相关指标，部门决算报表的内容涵盖单位的全部收支，做到了数据真实，计算准确，内容完整。按规定及时公示了部门决算。</w:t>
      </w:r>
      <w:r>
        <w:rPr>
          <w:rFonts w:ascii="仿宋" w:hAnsi="仿宋" w:eastAsia="仿宋"/>
          <w:color w:val="000000" w:themeColor="text1"/>
          <w:sz w:val="32"/>
          <w:szCs w:val="32"/>
          <w14:textFill>
            <w14:solidFill>
              <w14:schemeClr w14:val="tx1"/>
            </w14:solidFill>
          </w14:textFill>
        </w:rPr>
        <w:br w:type="textWrapping"/>
      </w:r>
      <w:r>
        <w:rPr>
          <w:rFonts w:ascii="仿宋" w:hAnsi="仿宋" w:eastAsia="仿宋"/>
          <w:color w:val="000000" w:themeColor="text1"/>
          <w:sz w:val="32"/>
          <w:szCs w:val="32"/>
          <w:shd w:val="clear" w:color="auto" w:fill="FFFFFF"/>
          <w14:textFill>
            <w14:solidFill>
              <w14:schemeClr w14:val="tx1"/>
            </w14:solidFill>
          </w14:textFill>
        </w:rPr>
        <w:t>　　</w:t>
      </w:r>
      <w:r>
        <w:rPr>
          <w:rStyle w:val="15"/>
          <w:rFonts w:ascii="仿宋" w:hAnsi="仿宋" w:eastAsia="仿宋"/>
          <w:color w:val="000000" w:themeColor="text1"/>
          <w:sz w:val="32"/>
          <w:szCs w:val="32"/>
          <w:shd w:val="clear" w:color="auto" w:fill="FFFFFF"/>
          <w14:textFill>
            <w14:solidFill>
              <w14:schemeClr w14:val="tx1"/>
            </w14:solidFill>
          </w14:textFill>
        </w:rPr>
        <w:t>（二）</w:t>
      </w:r>
      <w:r>
        <w:rPr>
          <w:rStyle w:val="15"/>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执行管理情况 </w:t>
      </w:r>
      <w:r>
        <w:rPr>
          <w:rStyle w:val="33"/>
          <w:rFonts w:hint="eastAsia" w:ascii="宋体" w:hAnsi="宋体" w:eastAsia="宋体" w:cs="宋体"/>
          <w:b/>
          <w:bCs/>
          <w:color w:val="000000" w:themeColor="text1"/>
          <w:sz w:val="32"/>
          <w:szCs w:val="32"/>
          <w:shd w:val="clear" w:color="auto" w:fill="FFFFFF"/>
          <w14:textFill>
            <w14:solidFill>
              <w14:schemeClr w14:val="tx1"/>
            </w14:solidFill>
          </w14:textFill>
        </w:rPr>
        <w:t> </w:t>
      </w:r>
      <w:r>
        <w:rPr>
          <w:rFonts w:ascii="仿宋" w:hAnsi="仿宋" w:eastAsia="仿宋"/>
          <w:color w:val="000000" w:themeColor="text1"/>
          <w:sz w:val="32"/>
          <w:szCs w:val="32"/>
          <w14:textFill>
            <w14:solidFill>
              <w14:schemeClr w14:val="tx1"/>
            </w14:solidFill>
          </w14:textFill>
        </w:rPr>
        <w:br w:type="textWrapping"/>
      </w:r>
      <w:r>
        <w:rPr>
          <w:rFonts w:ascii="仿宋" w:hAnsi="仿宋" w:eastAsia="仿宋"/>
          <w:color w:val="000000" w:themeColor="text1"/>
          <w:sz w:val="32"/>
          <w:szCs w:val="32"/>
          <w:shd w:val="clear" w:color="auto" w:fill="FFFFFF"/>
          <w14:textFill>
            <w14:solidFill>
              <w14:schemeClr w14:val="tx1"/>
            </w14:solidFill>
          </w14:textFill>
        </w:rPr>
        <w:t>　　基本支出严格按部门预算均衡执行，机关厉行节约，严格实行会议、公务接待和出差审批制度，会议费、车辆运行费用明显下降</w:t>
      </w:r>
      <w:r>
        <w:rPr>
          <w:rFonts w:hint="eastAsia" w:ascii="仿宋" w:hAnsi="仿宋" w:eastAsia="仿宋"/>
          <w:color w:val="000000" w:themeColor="text1"/>
          <w:sz w:val="32"/>
          <w:szCs w:val="32"/>
          <w:shd w:val="clear" w:color="auto" w:fill="FFFFFF"/>
          <w14:textFill>
            <w14:solidFill>
              <w14:schemeClr w14:val="tx1"/>
            </w14:solidFill>
          </w14:textFill>
        </w:rPr>
        <w:t>，</w:t>
      </w:r>
      <w:r>
        <w:rPr>
          <w:rFonts w:ascii="仿宋" w:hAnsi="仿宋" w:eastAsia="仿宋"/>
          <w:color w:val="000000" w:themeColor="text1"/>
          <w:sz w:val="32"/>
          <w:szCs w:val="32"/>
          <w:shd w:val="clear" w:color="auto" w:fill="FFFFFF"/>
          <w14:textFill>
            <w14:solidFill>
              <w14:schemeClr w14:val="tx1"/>
            </w14:solidFill>
          </w14:textFill>
        </w:rPr>
        <w:t>公务接待经费有所增加。项目资金管理严格执行财政专项资金使用管理规定，做到了专款专用，及时保障了项目实施顺利推进。“三公”经费支出情况：</w:t>
      </w:r>
      <w:r>
        <w:rPr>
          <w:rFonts w:ascii="仿宋" w:hAnsi="仿宋" w:eastAsia="仿宋"/>
          <w:color w:val="000000" w:themeColor="text1"/>
          <w:sz w:val="32"/>
          <w:szCs w:val="32"/>
          <w14:textFill>
            <w14:solidFill>
              <w14:schemeClr w14:val="tx1"/>
            </w14:solidFill>
          </w14:textFill>
        </w:rPr>
        <w:br w:type="textWrapping"/>
      </w:r>
      <w:r>
        <w:rPr>
          <w:rFonts w:ascii="仿宋" w:hAnsi="仿宋" w:eastAsia="仿宋"/>
          <w:color w:val="000000" w:themeColor="text1"/>
          <w:sz w:val="32"/>
          <w:szCs w:val="32"/>
          <w:shd w:val="clear" w:color="auto" w:fill="FFFFFF"/>
          <w14:textFill>
            <w14:solidFill>
              <w14:schemeClr w14:val="tx1"/>
            </w14:solidFill>
          </w14:textFill>
        </w:rPr>
        <w:t>　　1.无因公出国（境）经费支出。</w:t>
      </w:r>
      <w:r>
        <w:rPr>
          <w:rFonts w:ascii="仿宋" w:hAnsi="仿宋" w:eastAsia="仿宋"/>
          <w:color w:val="000000" w:themeColor="text1"/>
          <w:sz w:val="32"/>
          <w:szCs w:val="32"/>
          <w14:textFill>
            <w14:solidFill>
              <w14:schemeClr w14:val="tx1"/>
            </w14:solidFill>
          </w14:textFill>
        </w:rPr>
        <w:br w:type="textWrapping"/>
      </w:r>
      <w:r>
        <w:rPr>
          <w:rFonts w:ascii="仿宋" w:hAnsi="仿宋" w:eastAsia="仿宋"/>
          <w:color w:val="000000" w:themeColor="text1"/>
          <w:sz w:val="32"/>
          <w:szCs w:val="32"/>
          <w:shd w:val="clear" w:color="auto" w:fill="FFFFFF"/>
          <w14:textFill>
            <w14:solidFill>
              <w14:schemeClr w14:val="tx1"/>
            </w14:solidFill>
          </w14:textFill>
        </w:rPr>
        <w:t>　　2.公务接待费：</w:t>
      </w:r>
      <w:r>
        <w:rPr>
          <w:rFonts w:hint="eastAsia" w:ascii="仿宋" w:hAnsi="仿宋" w:eastAsia="仿宋"/>
          <w:color w:val="000000" w:themeColor="text1"/>
          <w:sz w:val="32"/>
          <w:szCs w:val="32"/>
          <w:shd w:val="clear" w:color="auto" w:fill="FFFFFF"/>
          <w:lang w:val="en-US" w:eastAsia="zh-CN"/>
          <w14:textFill>
            <w14:solidFill>
              <w14:schemeClr w14:val="tx1"/>
            </w14:solidFill>
          </w14:textFill>
        </w:rPr>
        <w:t>2018</w:t>
      </w:r>
      <w:r>
        <w:rPr>
          <w:rFonts w:ascii="仿宋" w:hAnsi="仿宋" w:eastAsia="仿宋"/>
          <w:color w:val="000000" w:themeColor="text1"/>
          <w:sz w:val="32"/>
          <w:szCs w:val="32"/>
          <w:shd w:val="clear" w:color="auto" w:fill="FFFFFF"/>
          <w14:textFill>
            <w14:solidFill>
              <w14:schemeClr w14:val="tx1"/>
            </w14:solidFill>
          </w14:textFill>
        </w:rPr>
        <w:t>年执行公务、开展公务接待费</w:t>
      </w:r>
      <w:r>
        <w:rPr>
          <w:rFonts w:hint="eastAsia" w:ascii="仿宋" w:hAnsi="仿宋" w:eastAsia="仿宋"/>
          <w:color w:val="000000" w:themeColor="text1"/>
          <w:sz w:val="32"/>
          <w:szCs w:val="32"/>
          <w:shd w:val="clear" w:color="auto" w:fill="FFFFFF"/>
          <w:lang w:val="en-US" w:eastAsia="zh-CN"/>
          <w14:textFill>
            <w14:solidFill>
              <w14:schemeClr w14:val="tx1"/>
            </w14:solidFill>
          </w14:textFill>
        </w:rPr>
        <w:t>0.36万</w:t>
      </w:r>
      <w:r>
        <w:rPr>
          <w:rFonts w:ascii="仿宋" w:hAnsi="仿宋" w:eastAsia="仿宋"/>
          <w:color w:val="000000" w:themeColor="text1"/>
          <w:sz w:val="32"/>
          <w:szCs w:val="32"/>
          <w:shd w:val="clear" w:color="auto" w:fill="FFFFFF"/>
          <w14:textFill>
            <w14:solidFill>
              <w14:schemeClr w14:val="tx1"/>
            </w14:solidFill>
          </w14:textFill>
        </w:rPr>
        <w:t>元，同比</w:t>
      </w:r>
      <w:r>
        <w:rPr>
          <w:rFonts w:hint="eastAsia" w:ascii="仿宋" w:hAnsi="仿宋" w:eastAsia="仿宋"/>
          <w:color w:val="000000" w:themeColor="text1"/>
          <w:sz w:val="32"/>
          <w:szCs w:val="32"/>
          <w:shd w:val="clear" w:color="auto" w:fill="FFFFFF"/>
          <w:lang w:eastAsia="zh-CN"/>
          <w14:textFill>
            <w14:solidFill>
              <w14:schemeClr w14:val="tx1"/>
            </w14:solidFill>
          </w14:textFill>
        </w:rPr>
        <w:t>下降</w:t>
      </w:r>
      <w:r>
        <w:rPr>
          <w:rFonts w:hint="eastAsia" w:ascii="仿宋" w:hAnsi="仿宋" w:eastAsia="仿宋"/>
          <w:color w:val="000000" w:themeColor="text1"/>
          <w:sz w:val="32"/>
          <w:szCs w:val="32"/>
          <w:shd w:val="clear" w:color="auto" w:fill="FFFFFF"/>
          <w:lang w:val="en-US" w:eastAsia="zh-CN"/>
          <w14:textFill>
            <w14:solidFill>
              <w14:schemeClr w14:val="tx1"/>
            </w14:solidFill>
          </w14:textFill>
        </w:rPr>
        <w:t>308</w:t>
      </w:r>
      <w:r>
        <w:rPr>
          <w:rFonts w:ascii="仿宋" w:hAnsi="仿宋" w:eastAsia="仿宋"/>
          <w:color w:val="000000" w:themeColor="text1"/>
          <w:sz w:val="32"/>
          <w:szCs w:val="32"/>
          <w:shd w:val="clear" w:color="auto" w:fill="FFFFFF"/>
          <w14:textFill>
            <w14:solidFill>
              <w14:schemeClr w14:val="tx1"/>
            </w14:solidFill>
          </w14:textFill>
        </w:rPr>
        <w:t>%。主要用于接待上级和有关部门检查指导</w:t>
      </w:r>
      <w:r>
        <w:rPr>
          <w:rFonts w:hint="eastAsia" w:ascii="仿宋" w:hAnsi="仿宋" w:eastAsia="仿宋"/>
          <w:color w:val="000000" w:themeColor="text1"/>
          <w:sz w:val="32"/>
          <w:szCs w:val="32"/>
          <w:shd w:val="clear" w:color="auto" w:fill="FFFFFF"/>
          <w14:textFill>
            <w14:solidFill>
              <w14:schemeClr w14:val="tx1"/>
            </w14:solidFill>
          </w14:textFill>
        </w:rPr>
        <w:t>安全生产</w:t>
      </w:r>
      <w:r>
        <w:rPr>
          <w:rFonts w:ascii="仿宋" w:hAnsi="仿宋" w:eastAsia="仿宋"/>
          <w:color w:val="000000" w:themeColor="text1"/>
          <w:sz w:val="32"/>
          <w:szCs w:val="32"/>
          <w:shd w:val="clear" w:color="auto" w:fill="FFFFFF"/>
          <w14:textFill>
            <w14:solidFill>
              <w14:schemeClr w14:val="tx1"/>
            </w14:solidFill>
          </w14:textFill>
        </w:rPr>
        <w:t>工作等公务活动。</w:t>
      </w:r>
      <w:r>
        <w:rPr>
          <w:rFonts w:ascii="仿宋" w:hAnsi="仿宋" w:eastAsia="仿宋"/>
          <w:color w:val="000000" w:themeColor="text1"/>
          <w:sz w:val="32"/>
          <w:szCs w:val="32"/>
          <w14:textFill>
            <w14:solidFill>
              <w14:schemeClr w14:val="tx1"/>
            </w14:solidFill>
          </w14:textFill>
        </w:rPr>
        <w:br w:type="textWrapping"/>
      </w:r>
      <w:r>
        <w:rPr>
          <w:rFonts w:ascii="仿宋" w:hAnsi="仿宋" w:eastAsia="仿宋"/>
          <w:color w:val="000000" w:themeColor="text1"/>
          <w:sz w:val="32"/>
          <w:szCs w:val="32"/>
          <w:shd w:val="clear" w:color="auto" w:fill="FFFFFF"/>
          <w14:textFill>
            <w14:solidFill>
              <w14:schemeClr w14:val="tx1"/>
            </w14:solidFill>
          </w14:textFill>
        </w:rPr>
        <w:t>　　3.公务用车购置及运行维护费：201</w:t>
      </w:r>
      <w:r>
        <w:rPr>
          <w:rFonts w:hint="eastAsia" w:ascii="仿宋" w:hAnsi="仿宋" w:eastAsia="仿宋"/>
          <w:color w:val="000000" w:themeColor="text1"/>
          <w:sz w:val="32"/>
          <w:szCs w:val="32"/>
          <w:shd w:val="clear" w:color="auto" w:fill="FFFFFF"/>
          <w:lang w:val="en-US" w:eastAsia="zh-CN"/>
          <w14:textFill>
            <w14:solidFill>
              <w14:schemeClr w14:val="tx1"/>
            </w14:solidFill>
          </w14:textFill>
        </w:rPr>
        <w:t>8</w:t>
      </w:r>
      <w:r>
        <w:rPr>
          <w:rFonts w:ascii="仿宋" w:hAnsi="仿宋" w:eastAsia="仿宋"/>
          <w:color w:val="000000" w:themeColor="text1"/>
          <w:sz w:val="32"/>
          <w:szCs w:val="32"/>
          <w:shd w:val="clear" w:color="auto" w:fill="FFFFFF"/>
          <w14:textFill>
            <w14:solidFill>
              <w14:schemeClr w14:val="tx1"/>
            </w14:solidFill>
          </w14:textFill>
        </w:rPr>
        <w:t>年</w:t>
      </w:r>
      <w:r>
        <w:rPr>
          <w:rFonts w:hint="eastAsia" w:ascii="仿宋" w:hAnsi="仿宋" w:eastAsia="仿宋"/>
          <w:color w:val="000000" w:themeColor="text1"/>
          <w:sz w:val="32"/>
          <w:szCs w:val="32"/>
          <w:shd w:val="clear" w:color="auto" w:fill="FFFFFF"/>
          <w14:textFill>
            <w14:solidFill>
              <w14:schemeClr w14:val="tx1"/>
            </w14:solidFill>
          </w14:textFill>
        </w:rPr>
        <w:t>我</w:t>
      </w:r>
      <w:r>
        <w:rPr>
          <w:rFonts w:ascii="仿宋" w:hAnsi="仿宋" w:eastAsia="仿宋"/>
          <w:color w:val="000000" w:themeColor="text1"/>
          <w:sz w:val="32"/>
          <w:szCs w:val="32"/>
          <w:shd w:val="clear" w:color="auto" w:fill="FFFFFF"/>
          <w14:textFill>
            <w14:solidFill>
              <w14:schemeClr w14:val="tx1"/>
            </w14:solidFill>
          </w14:textFill>
        </w:rPr>
        <w:t>局无车辆购置支出；执行公务、开展业务活动共计开支公务用车运行维护费</w:t>
      </w:r>
      <w:r>
        <w:rPr>
          <w:rFonts w:hint="eastAsia" w:ascii="仿宋" w:hAnsi="仿宋" w:eastAsia="仿宋"/>
          <w:color w:val="000000" w:themeColor="text1"/>
          <w:sz w:val="32"/>
          <w:szCs w:val="32"/>
          <w:shd w:val="clear" w:color="auto" w:fill="FFFFFF"/>
          <w:lang w:val="en-US" w:eastAsia="zh-CN"/>
          <w14:textFill>
            <w14:solidFill>
              <w14:schemeClr w14:val="tx1"/>
            </w14:solidFill>
          </w14:textFill>
        </w:rPr>
        <w:t>2.27万</w:t>
      </w:r>
      <w:r>
        <w:rPr>
          <w:rFonts w:ascii="仿宋" w:hAnsi="仿宋" w:eastAsia="仿宋"/>
          <w:color w:val="000000" w:themeColor="text1"/>
          <w:sz w:val="32"/>
          <w:szCs w:val="32"/>
          <w:shd w:val="clear" w:color="auto" w:fill="FFFFFF"/>
          <w14:textFill>
            <w14:solidFill>
              <w14:schemeClr w14:val="tx1"/>
            </w14:solidFill>
          </w14:textFill>
        </w:rPr>
        <w:t>元，同比</w:t>
      </w:r>
      <w:r>
        <w:rPr>
          <w:rFonts w:hint="eastAsia" w:ascii="仿宋" w:hAnsi="仿宋" w:eastAsia="仿宋"/>
          <w:color w:val="000000" w:themeColor="text1"/>
          <w:sz w:val="32"/>
          <w:szCs w:val="32"/>
          <w:shd w:val="clear" w:color="auto" w:fill="FFFFFF"/>
          <w14:textFill>
            <w14:solidFill>
              <w14:schemeClr w14:val="tx1"/>
            </w14:solidFill>
          </w14:textFill>
        </w:rPr>
        <w:t>下降</w:t>
      </w:r>
      <w:r>
        <w:rPr>
          <w:rFonts w:hint="eastAsia" w:ascii="仿宋" w:hAnsi="仿宋" w:eastAsia="仿宋"/>
          <w:color w:val="000000" w:themeColor="text1"/>
          <w:sz w:val="32"/>
          <w:szCs w:val="32"/>
          <w:shd w:val="clear" w:color="auto" w:fill="FFFFFF"/>
          <w:lang w:val="en-US" w:eastAsia="zh-CN"/>
          <w14:textFill>
            <w14:solidFill>
              <w14:schemeClr w14:val="tx1"/>
            </w14:solidFill>
          </w14:textFill>
        </w:rPr>
        <w:t>329</w:t>
      </w:r>
      <w:r>
        <w:rPr>
          <w:rFonts w:ascii="仿宋" w:hAnsi="仿宋" w:eastAsia="仿宋"/>
          <w:color w:val="000000" w:themeColor="text1"/>
          <w:sz w:val="32"/>
          <w:szCs w:val="32"/>
          <w:shd w:val="clear" w:color="auto" w:fill="FFFFFF"/>
          <w14:textFill>
            <w14:solidFill>
              <w14:schemeClr w14:val="tx1"/>
            </w14:solidFill>
          </w14:textFill>
        </w:rPr>
        <w:t>%</w:t>
      </w:r>
      <w:r>
        <w:rPr>
          <w:rFonts w:hint="eastAsia" w:ascii="仿宋" w:hAnsi="仿宋" w:eastAsia="仿宋"/>
          <w:color w:val="000000" w:themeColor="text1"/>
          <w:sz w:val="32"/>
          <w:szCs w:val="32"/>
          <w:shd w:val="clear" w:color="auto" w:fill="FFFFFF"/>
          <w14:textFill>
            <w14:solidFill>
              <w14:schemeClr w14:val="tx1"/>
            </w14:solidFill>
          </w14:textFill>
        </w:rPr>
        <w:t>，</w:t>
      </w:r>
      <w:r>
        <w:rPr>
          <w:rFonts w:ascii="仿宋" w:hAnsi="仿宋" w:eastAsia="仿宋"/>
          <w:color w:val="000000" w:themeColor="text1"/>
          <w:sz w:val="32"/>
          <w:szCs w:val="32"/>
          <w:shd w:val="clear" w:color="auto" w:fill="FFFFFF"/>
          <w14:textFill>
            <w14:solidFill>
              <w14:schemeClr w14:val="tx1"/>
            </w14:solidFill>
          </w14:textFill>
        </w:rPr>
        <w:t>全部属于公务用车运行维护费。开展</w:t>
      </w:r>
      <w:r>
        <w:rPr>
          <w:rFonts w:hint="eastAsia" w:ascii="仿宋" w:hAnsi="仿宋" w:eastAsia="仿宋"/>
          <w:color w:val="000000" w:themeColor="text1"/>
          <w:sz w:val="32"/>
          <w:szCs w:val="32"/>
          <w:shd w:val="clear" w:color="auto" w:fill="FFFFFF"/>
          <w14:textFill>
            <w14:solidFill>
              <w14:schemeClr w14:val="tx1"/>
            </w14:solidFill>
          </w14:textFill>
        </w:rPr>
        <w:t>安全生产</w:t>
      </w:r>
      <w:r>
        <w:rPr>
          <w:rFonts w:ascii="仿宋" w:hAnsi="仿宋" w:eastAsia="仿宋"/>
          <w:color w:val="000000" w:themeColor="text1"/>
          <w:sz w:val="32"/>
          <w:szCs w:val="32"/>
          <w:shd w:val="clear" w:color="auto" w:fill="FFFFFF"/>
          <w14:textFill>
            <w14:solidFill>
              <w14:schemeClr w14:val="tx1"/>
            </w14:solidFill>
          </w14:textFill>
        </w:rPr>
        <w:t>执法及日常工作用车等所需的公务用车燃料费、维修费、过路过桥费、保险费等支出。</w:t>
      </w:r>
      <w:r>
        <w:rPr>
          <w:rFonts w:ascii="仿宋" w:hAnsi="仿宋" w:eastAsia="仿宋"/>
          <w:color w:val="000000" w:themeColor="text1"/>
          <w:sz w:val="32"/>
          <w:szCs w:val="32"/>
          <w14:textFill>
            <w14:solidFill>
              <w14:schemeClr w14:val="tx1"/>
            </w14:solidFill>
          </w14:textFill>
        </w:rPr>
        <w:br w:type="textWrapping"/>
      </w:r>
      <w:r>
        <w:rPr>
          <w:rFonts w:ascii="仿宋" w:hAnsi="仿宋" w:eastAsia="仿宋"/>
          <w:color w:val="000000" w:themeColor="text1"/>
          <w:sz w:val="32"/>
          <w:szCs w:val="32"/>
          <w:shd w:val="clear" w:color="auto" w:fill="FFFFFF"/>
          <w14:textFill>
            <w14:solidFill>
              <w14:schemeClr w14:val="tx1"/>
            </w14:solidFill>
          </w14:textFill>
        </w:rPr>
        <w:t>　　</w:t>
      </w:r>
      <w:r>
        <w:rPr>
          <w:rFonts w:ascii="仿宋" w:hAnsi="仿宋" w:eastAsia="仿宋"/>
          <w:b/>
          <w:color w:val="000000" w:themeColor="text1"/>
          <w:sz w:val="32"/>
          <w:szCs w:val="32"/>
          <w:shd w:val="clear" w:color="auto" w:fill="FFFFFF"/>
          <w14:textFill>
            <w14:solidFill>
              <w14:schemeClr w14:val="tx1"/>
            </w14:solidFill>
          </w14:textFill>
        </w:rPr>
        <w:t>（三）</w:t>
      </w:r>
      <w:r>
        <w:rPr>
          <w:rFonts w:hint="eastAsia" w:ascii="仿宋_GB2312" w:hAnsi="仿宋_GB2312" w:eastAsia="仿宋_GB2312" w:cs="仿宋_GB2312"/>
          <w:b/>
          <w:color w:val="000000" w:themeColor="text1"/>
          <w:sz w:val="32"/>
          <w:szCs w:val="32"/>
          <w:shd w:val="clear" w:color="auto" w:fill="FFFFFF"/>
          <w14:textFill>
            <w14:solidFill>
              <w14:schemeClr w14:val="tx1"/>
            </w14:solidFill>
          </w14:textFill>
        </w:rPr>
        <w:t>综合管理情况。</w:t>
      </w:r>
      <w:r>
        <w:rPr>
          <w:rFonts w:ascii="仿宋" w:hAnsi="仿宋" w:eastAsia="仿宋"/>
          <w:color w:val="000000" w:themeColor="text1"/>
          <w:sz w:val="32"/>
          <w:szCs w:val="32"/>
          <w14:textFill>
            <w14:solidFill>
              <w14:schemeClr w14:val="tx1"/>
            </w14:solidFill>
          </w14:textFill>
        </w:rPr>
        <w:br w:type="textWrapping"/>
      </w:r>
      <w:r>
        <w:rPr>
          <w:rFonts w:ascii="仿宋" w:hAnsi="仿宋" w:eastAsia="仿宋"/>
          <w:color w:val="000000" w:themeColor="text1"/>
          <w:sz w:val="32"/>
          <w:szCs w:val="32"/>
          <w:shd w:val="clear" w:color="auto" w:fill="FFFFFF"/>
          <w14:textFill>
            <w14:solidFill>
              <w14:schemeClr w14:val="tx1"/>
            </w14:solidFill>
          </w14:textFill>
        </w:rPr>
        <w:t>　　1.</w:t>
      </w:r>
      <w:r>
        <w:rPr>
          <w:rFonts w:hint="eastAsia" w:ascii="仿宋" w:hAnsi="仿宋" w:eastAsia="仿宋"/>
          <w:color w:val="000000" w:themeColor="text1"/>
          <w:sz w:val="32"/>
          <w:szCs w:val="32"/>
          <w:shd w:val="clear" w:color="auto" w:fill="FFFFFF"/>
          <w14:textFill>
            <w14:solidFill>
              <w14:schemeClr w14:val="tx1"/>
            </w14:solidFill>
          </w14:textFill>
        </w:rPr>
        <w:t>我局</w:t>
      </w:r>
      <w:r>
        <w:rPr>
          <w:rFonts w:ascii="仿宋" w:hAnsi="仿宋" w:eastAsia="仿宋"/>
          <w:color w:val="000000" w:themeColor="text1"/>
          <w:sz w:val="32"/>
          <w:szCs w:val="32"/>
          <w:shd w:val="clear" w:color="auto" w:fill="FFFFFF"/>
          <w14:textFill>
            <w14:solidFill>
              <w14:schemeClr w14:val="tx1"/>
            </w14:solidFill>
          </w14:textFill>
        </w:rPr>
        <w:t>严格执行政府采购，资金管理、单位内部控制管理制度、信息公开等情况严格按照财政相关政策规定执行。年度预算、决算等信息都在</w:t>
      </w:r>
      <w:r>
        <w:rPr>
          <w:rFonts w:hint="eastAsia" w:ascii="仿宋" w:hAnsi="仿宋" w:eastAsia="仿宋"/>
          <w:color w:val="000000" w:themeColor="text1"/>
          <w:sz w:val="32"/>
          <w:szCs w:val="32"/>
          <w:shd w:val="clear" w:color="auto" w:fill="FFFFFF"/>
          <w14:textFill>
            <w14:solidFill>
              <w14:schemeClr w14:val="tx1"/>
            </w14:solidFill>
          </w14:textFill>
        </w:rPr>
        <w:t>红原县</w:t>
      </w:r>
      <w:r>
        <w:rPr>
          <w:rFonts w:ascii="仿宋" w:hAnsi="仿宋" w:eastAsia="仿宋"/>
          <w:color w:val="000000" w:themeColor="text1"/>
          <w:sz w:val="32"/>
          <w:szCs w:val="32"/>
          <w:shd w:val="clear" w:color="auto" w:fill="FFFFFF"/>
          <w14:textFill>
            <w14:solidFill>
              <w14:schemeClr w14:val="tx1"/>
            </w14:solidFill>
          </w14:textFill>
        </w:rPr>
        <w:t>县政府网站对社会公开，接受群众监督。</w:t>
      </w:r>
      <w:r>
        <w:rPr>
          <w:rFonts w:ascii="仿宋" w:hAnsi="仿宋" w:eastAsia="仿宋"/>
          <w:color w:val="000000" w:themeColor="text1"/>
          <w:sz w:val="32"/>
          <w:szCs w:val="32"/>
          <w14:textFill>
            <w14:solidFill>
              <w14:schemeClr w14:val="tx1"/>
            </w14:solidFill>
          </w14:textFill>
        </w:rPr>
        <w:br w:type="textWrapping"/>
      </w:r>
      <w:r>
        <w:rPr>
          <w:rFonts w:ascii="仿宋" w:hAnsi="仿宋" w:eastAsia="仿宋"/>
          <w:color w:val="000000" w:themeColor="text1"/>
          <w:sz w:val="32"/>
          <w:szCs w:val="32"/>
          <w:shd w:val="clear" w:color="auto" w:fill="FFFFFF"/>
          <w14:textFill>
            <w14:solidFill>
              <w14:schemeClr w14:val="tx1"/>
            </w14:solidFill>
          </w14:textFill>
        </w:rPr>
        <w:t>　　2.严格执行基本建设项目建设相关规定及制度，按基建项目的财务会计制度进行管理和核算，认真做好项目财务管理的基础性工作，同时严格执行</w:t>
      </w:r>
      <w:r>
        <w:rPr>
          <w:rFonts w:hint="eastAsia" w:ascii="仿宋" w:hAnsi="仿宋" w:eastAsia="仿宋"/>
          <w:color w:val="000000" w:themeColor="text1"/>
          <w:sz w:val="32"/>
          <w:szCs w:val="32"/>
          <w:shd w:val="clear" w:color="auto" w:fill="FFFFFF"/>
          <w14:textFill>
            <w14:solidFill>
              <w14:schemeClr w14:val="tx1"/>
            </w14:solidFill>
          </w14:textFill>
        </w:rPr>
        <w:t>安全生产</w:t>
      </w:r>
      <w:r>
        <w:rPr>
          <w:rFonts w:ascii="仿宋" w:hAnsi="仿宋" w:eastAsia="仿宋"/>
          <w:color w:val="000000" w:themeColor="text1"/>
          <w:sz w:val="32"/>
          <w:szCs w:val="32"/>
          <w:shd w:val="clear" w:color="auto" w:fill="FFFFFF"/>
          <w14:textFill>
            <w14:solidFill>
              <w14:schemeClr w14:val="tx1"/>
            </w14:solidFill>
          </w14:textFill>
        </w:rPr>
        <w:t>专项资金管理办法，提高财政资金使用效益。</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 w:hAnsi="仿宋" w:eastAsia="仿宋"/>
          <w:color w:val="000000" w:themeColor="text1"/>
          <w:sz w:val="32"/>
          <w:szCs w:val="32"/>
          <w:shd w:val="clear" w:color="auto" w:fill="FFFFFF"/>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lang w:val="en-US" w:eastAsia="zh-CN"/>
          <w14:textFill>
            <w14:solidFill>
              <w14:schemeClr w14:val="tx1"/>
            </w14:solidFill>
          </w14:textFill>
        </w:rPr>
        <w:t>8</w:t>
      </w:r>
      <w:r>
        <w:rPr>
          <w:rFonts w:hint="eastAsia" w:ascii="仿宋_GB2312" w:eastAsia="仿宋_GB2312"/>
          <w:color w:val="000000" w:themeColor="text1"/>
          <w:sz w:val="32"/>
          <w:szCs w:val="32"/>
          <w14:textFill>
            <w14:solidFill>
              <w14:schemeClr w14:val="tx1"/>
            </w14:solidFill>
          </w14:textFill>
        </w:rPr>
        <w:t>年我局开展了内控制度建设,制订、完善了《安监局经费支出管理制度》《预决算管理制度》《固定资产管理制度》《资金管理制度》《公务卡结算管理制度》等制度。</w:t>
      </w:r>
    </w:p>
    <w:p>
      <w:pPr>
        <w:spacing w:line="560" w:lineRule="exact"/>
        <w:ind w:firstLine="642" w:firstLineChars="200"/>
        <w:jc w:val="left"/>
        <w:rPr>
          <w:rFonts w:ascii="仿宋" w:hAnsi="仿宋" w:eastAsia="仿宋"/>
          <w:b/>
          <w:color w:val="000000" w:themeColor="text1"/>
          <w:sz w:val="32"/>
          <w:szCs w:val="32"/>
          <w:shd w:val="clear" w:color="auto" w:fill="FFFFFF"/>
          <w14:textFill>
            <w14:solidFill>
              <w14:schemeClr w14:val="tx1"/>
            </w14:solidFill>
          </w14:textFill>
        </w:rPr>
      </w:pPr>
      <w:r>
        <w:rPr>
          <w:rFonts w:hint="eastAsia" w:ascii="仿宋" w:hAnsi="仿宋" w:eastAsia="仿宋"/>
          <w:b/>
          <w:color w:val="000000" w:themeColor="text1"/>
          <w:sz w:val="32"/>
          <w:szCs w:val="32"/>
          <w:shd w:val="clear" w:color="auto" w:fill="FFFFFF"/>
          <w14:textFill>
            <w14:solidFill>
              <w14:schemeClr w14:val="tx1"/>
            </w14:solidFill>
          </w14:textFill>
        </w:rPr>
        <w:t>（四）</w:t>
      </w:r>
      <w:r>
        <w:rPr>
          <w:rFonts w:hint="eastAsia" w:ascii="仿宋_GB2312" w:hAnsi="仿宋_GB2312" w:eastAsia="仿宋_GB2312" w:cs="仿宋_GB2312"/>
          <w:b/>
          <w:color w:val="000000" w:themeColor="text1"/>
          <w:sz w:val="32"/>
          <w:szCs w:val="32"/>
          <w:shd w:val="clear" w:color="auto" w:fill="FFFFFF"/>
          <w14:textFill>
            <w14:solidFill>
              <w14:schemeClr w14:val="tx1"/>
            </w14:solidFill>
          </w14:textFill>
        </w:rPr>
        <w:t>整体绩效　</w:t>
      </w:r>
    </w:p>
    <w:p>
      <w:pPr>
        <w:pStyle w:val="34"/>
        <w:spacing w:line="540" w:lineRule="exact"/>
        <w:ind w:firstLine="642" w:firstLineChars="200"/>
        <w:rPr>
          <w:rFonts w:ascii="仿宋_GB2312" w:hAnsi="仿宋_GB2312" w:eastAsia="仿宋_GB2312" w:cs="仿宋_GB2312"/>
          <w:spacing w:val="-8"/>
          <w:sz w:val="32"/>
          <w:szCs w:val="32"/>
        </w:rPr>
      </w:pPr>
      <w:r>
        <w:rPr>
          <w:rFonts w:ascii="仿宋" w:hAnsi="仿宋" w:eastAsia="仿宋"/>
          <w:b/>
          <w:color w:val="555555"/>
          <w:sz w:val="32"/>
          <w:szCs w:val="32"/>
          <w:shd w:val="clear" w:color="auto" w:fill="FFFFFF"/>
        </w:rPr>
        <w:t>1、单位职责履行结果。</w:t>
      </w:r>
      <w:r>
        <w:rPr>
          <w:rFonts w:ascii="仿宋" w:hAnsi="仿宋" w:eastAsia="仿宋"/>
          <w:color w:val="555555"/>
          <w:sz w:val="32"/>
          <w:szCs w:val="32"/>
          <w:shd w:val="clear" w:color="auto" w:fill="FFFFFF"/>
        </w:rPr>
        <w:t>201</w:t>
      </w:r>
      <w:r>
        <w:rPr>
          <w:rFonts w:hint="eastAsia" w:ascii="仿宋" w:hAnsi="仿宋" w:eastAsia="仿宋"/>
          <w:color w:val="555555"/>
          <w:sz w:val="32"/>
          <w:szCs w:val="32"/>
          <w:shd w:val="clear" w:color="auto" w:fill="FFFFFF"/>
          <w:lang w:val="en-US" w:eastAsia="zh-CN"/>
        </w:rPr>
        <w:t>8</w:t>
      </w:r>
      <w:r>
        <w:rPr>
          <w:rFonts w:ascii="仿宋" w:hAnsi="仿宋" w:eastAsia="仿宋"/>
          <w:color w:val="555555"/>
          <w:sz w:val="32"/>
          <w:szCs w:val="32"/>
          <w:shd w:val="clear" w:color="auto" w:fill="FFFFFF"/>
        </w:rPr>
        <w:t>年，</w:t>
      </w:r>
      <w:r>
        <w:rPr>
          <w:rFonts w:hint="eastAsia" w:ascii="仿宋_GB2312" w:hAnsi="仿宋_GB2312" w:eastAsia="仿宋_GB2312" w:cs="仿宋_GB2312"/>
          <w:sz w:val="32"/>
          <w:szCs w:val="32"/>
        </w:rPr>
        <w:t>我局围绕安全生产“执法监管、改革创新、驱动发展”的工作思路，坚持“安全第一，预防为主，综合治理”的方针，严格落实“属地管理、部门监管、企业主体”的分级管理措施，有效遏制及减少各类事故的发生，</w:t>
      </w:r>
      <w:r>
        <w:rPr>
          <w:rFonts w:hint="eastAsia" w:ascii="仿宋_GB2312" w:hAnsi="仿宋_GB2312" w:eastAsia="仿宋_GB2312" w:cs="仿宋_GB2312"/>
          <w:color w:val="000000"/>
          <w:sz w:val="32"/>
          <w:szCs w:val="32"/>
        </w:rPr>
        <w:t>为</w:t>
      </w:r>
      <w:r>
        <w:rPr>
          <w:rFonts w:hint="eastAsia" w:ascii="仿宋_GB2312" w:hAnsi="仿宋_GB2312" w:eastAsia="仿宋_GB2312"/>
          <w:color w:val="000000"/>
          <w:sz w:val="32"/>
          <w:szCs w:val="32"/>
        </w:rPr>
        <w:t>促进全县经济发展和维护社会稳定做出了积极努力</w:t>
      </w:r>
      <w:r>
        <w:rPr>
          <w:rFonts w:hint="eastAsia" w:ascii="仿宋_GB2312" w:eastAsia="仿宋_GB2312"/>
          <w:color w:val="000000"/>
          <w:sz w:val="32"/>
          <w:szCs w:val="32"/>
        </w:rPr>
        <w:t>。</w:t>
      </w:r>
      <w:r>
        <w:rPr>
          <w:rFonts w:hint="eastAsia" w:ascii="仿宋_GB2312" w:hAnsi="仿宋_GB2312" w:eastAsia="仿宋_GB2312"/>
          <w:color w:val="000000"/>
          <w:sz w:val="32"/>
          <w:szCs w:val="32"/>
        </w:rPr>
        <w:t>201</w:t>
      </w:r>
      <w:r>
        <w:rPr>
          <w:rFonts w:hint="eastAsia" w:ascii="仿宋_GB2312" w:hAnsi="仿宋_GB2312" w:eastAsia="仿宋_GB2312"/>
          <w:color w:val="000000"/>
          <w:sz w:val="32"/>
          <w:szCs w:val="32"/>
          <w:lang w:val="en-US" w:eastAsia="zh-CN"/>
        </w:rPr>
        <w:t>8</w:t>
      </w:r>
      <w:r>
        <w:rPr>
          <w:rFonts w:hint="eastAsia" w:ascii="仿宋_GB2312" w:hAnsi="仿宋_GB2312" w:eastAsia="仿宋_GB2312"/>
          <w:color w:val="000000"/>
          <w:sz w:val="32"/>
          <w:szCs w:val="32"/>
        </w:rPr>
        <w:t>年</w:t>
      </w:r>
      <w:r>
        <w:rPr>
          <w:rFonts w:hint="eastAsia" w:ascii="方正仿宋_GBK" w:hAnsi="方正仿宋_GBK" w:eastAsia="方正仿宋_GBK" w:cs="方正仿宋_GBK"/>
          <w:sz w:val="32"/>
          <w:szCs w:val="32"/>
        </w:rPr>
        <w:t xml:space="preserve"> </w:t>
      </w:r>
      <w:r>
        <w:rPr>
          <w:rFonts w:hint="eastAsia" w:ascii="仿宋_GB2312" w:hAnsi="仿宋_GB2312" w:eastAsia="仿宋_GB2312" w:cs="仿宋_GB2312"/>
          <w:sz w:val="32"/>
          <w:szCs w:val="32"/>
        </w:rPr>
        <w:t>1至12月我县共发生各类</w:t>
      </w:r>
      <w:r>
        <w:rPr>
          <w:rFonts w:hint="eastAsia" w:ascii="仿宋_GB2312" w:hAnsi="仿宋_GB2312" w:eastAsia="仿宋_GB2312" w:cs="仿宋_GB2312"/>
          <w:sz w:val="32"/>
          <w:szCs w:val="32"/>
          <w:lang w:eastAsia="zh-CN"/>
        </w:rPr>
        <w:t>道路交通</w:t>
      </w:r>
      <w:r>
        <w:rPr>
          <w:rFonts w:hint="eastAsia" w:ascii="仿宋_GB2312" w:hAnsi="仿宋_GB2312" w:eastAsia="仿宋_GB2312" w:cs="仿宋_GB2312"/>
          <w:sz w:val="32"/>
          <w:szCs w:val="32"/>
        </w:rPr>
        <w:t>事故</w:t>
      </w:r>
      <w:r>
        <w:rPr>
          <w:rFonts w:hint="eastAsia" w:ascii="仿宋_GB2312" w:hAnsi="仿宋_GB2312" w:eastAsia="仿宋_GB2312" w:cs="仿宋_GB2312"/>
          <w:sz w:val="32"/>
          <w:szCs w:val="32"/>
          <w:lang w:val="en-US" w:eastAsia="zh-CN"/>
        </w:rPr>
        <w:t>455</w:t>
      </w:r>
      <w:r>
        <w:rPr>
          <w:rFonts w:hint="eastAsia" w:ascii="仿宋_GB2312" w:hAnsi="仿宋_GB2312" w:eastAsia="仿宋_GB2312" w:cs="仿宋_GB2312"/>
          <w:sz w:val="32"/>
          <w:szCs w:val="32"/>
        </w:rPr>
        <w:t>起，直接经济损失</w:t>
      </w:r>
      <w:r>
        <w:rPr>
          <w:rFonts w:hint="eastAsia" w:ascii="仿宋_GB2312" w:hAnsi="仿宋_GB2312" w:eastAsia="仿宋_GB2312" w:cs="仿宋_GB2312"/>
          <w:sz w:val="32"/>
          <w:szCs w:val="32"/>
          <w:lang w:val="en-US" w:eastAsia="zh-CN"/>
        </w:rPr>
        <w:t>269.86</w:t>
      </w:r>
      <w:r>
        <w:rPr>
          <w:rFonts w:hint="eastAsia" w:ascii="仿宋_GB2312" w:hAnsi="仿宋_GB2312" w:eastAsia="仿宋_GB2312" w:cs="仿宋_GB2312"/>
          <w:sz w:val="32"/>
          <w:szCs w:val="32"/>
        </w:rPr>
        <w:t>万元（其中</w:t>
      </w:r>
      <w:r>
        <w:rPr>
          <w:rFonts w:hint="eastAsia" w:ascii="仿宋_GB2312" w:hAnsi="仿宋_GB2312" w:eastAsia="仿宋_GB2312" w:cs="仿宋_GB2312"/>
          <w:sz w:val="32"/>
          <w:szCs w:val="32"/>
          <w:lang w:eastAsia="zh-CN"/>
        </w:rPr>
        <w:t>简易事故</w:t>
      </w:r>
      <w:r>
        <w:rPr>
          <w:rFonts w:hint="eastAsia" w:ascii="仿宋_GB2312" w:hAnsi="仿宋_GB2312" w:eastAsia="仿宋_GB2312" w:cs="仿宋_GB2312"/>
          <w:sz w:val="32"/>
          <w:szCs w:val="32"/>
          <w:lang w:val="en-US" w:eastAsia="zh-CN"/>
        </w:rPr>
        <w:t>399</w:t>
      </w:r>
      <w:r>
        <w:rPr>
          <w:rFonts w:hint="eastAsia" w:ascii="仿宋_GB2312" w:hAnsi="仿宋_GB2312" w:eastAsia="仿宋_GB2312" w:cs="仿宋_GB2312"/>
          <w:sz w:val="32"/>
          <w:szCs w:val="32"/>
        </w:rPr>
        <w:t>起，</w:t>
      </w:r>
      <w:r>
        <w:rPr>
          <w:rFonts w:hint="eastAsia" w:ascii="仿宋_GB2312" w:hAnsi="仿宋_GB2312" w:eastAsia="仿宋_GB2312" w:cs="仿宋_GB2312"/>
          <w:sz w:val="32"/>
          <w:szCs w:val="32"/>
          <w:lang w:eastAsia="zh-CN"/>
        </w:rPr>
        <w:t>直接经济损失</w:t>
      </w:r>
      <w:r>
        <w:rPr>
          <w:rFonts w:hint="eastAsia" w:ascii="仿宋_GB2312" w:hAnsi="仿宋_GB2312" w:eastAsia="仿宋_GB2312" w:cs="仿宋_GB2312"/>
          <w:sz w:val="32"/>
          <w:szCs w:val="32"/>
          <w:lang w:val="en-US" w:eastAsia="zh-CN"/>
        </w:rPr>
        <w:t>50.06万元，一般事故8起，直接经济损失200万元，撞牲畜事故48起，直接经济损失19.8万元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，触电事故</w:t>
      </w:r>
      <w:r>
        <w:rPr>
          <w:rFonts w:hint="eastAsia" w:ascii="仿宋_GB2312" w:hAnsi="仿宋_GB2312" w:eastAsia="仿宋_GB2312" w:cs="仿宋_GB2312"/>
          <w:sz w:val="32"/>
          <w:szCs w:val="32"/>
          <w:lang w:val="en-US" w:eastAsia="zh-CN"/>
        </w:rPr>
        <w:t>1起，死亡1人，直接经济损失30万元，无重特大安全事故发生。</w:t>
      </w:r>
      <w:r>
        <w:rPr>
          <w:rFonts w:hint="eastAsia" w:ascii="仿宋_GB2312" w:hAnsi="仿宋_GB2312" w:eastAsia="仿宋_GB2312"/>
          <w:color w:val="000000"/>
          <w:sz w:val="32"/>
          <w:szCs w:val="32"/>
        </w:rPr>
        <w:t>采石场、危化品、烟花爆竹、建筑施工等领域均无事故发生。</w:t>
      </w:r>
      <w:r>
        <w:rPr>
          <w:rFonts w:hint="eastAsia" w:ascii="仿宋_GB2312" w:hAnsi="仿宋_GB2312" w:eastAsia="仿宋_GB2312" w:cs="仿宋_GB2312"/>
          <w:sz w:val="32"/>
          <w:szCs w:val="32"/>
        </w:rPr>
        <w:t>道路交通事故</w:t>
      </w:r>
      <w:r>
        <w:rPr>
          <w:rFonts w:hint="eastAsia" w:ascii="仿宋_GB2312" w:hAnsi="仿宋_GB2312" w:eastAsia="仿宋_GB2312" w:cs="仿宋_GB2312"/>
          <w:sz w:val="32"/>
          <w:szCs w:val="32"/>
          <w:lang w:val="en-US" w:eastAsia="zh-CN"/>
        </w:rPr>
        <w:t>455起，</w:t>
      </w:r>
      <w:r>
        <w:rPr>
          <w:rFonts w:hint="eastAsia" w:ascii="仿宋_GB2312" w:hAnsi="仿宋_GB2312" w:eastAsia="仿宋_GB2312" w:cs="仿宋_GB2312"/>
          <w:sz w:val="32"/>
          <w:szCs w:val="32"/>
        </w:rPr>
        <w:t>占各类安全生产事故</w:t>
      </w:r>
      <w:r>
        <w:rPr>
          <w:rFonts w:hint="eastAsia" w:ascii="仿宋_GB2312" w:hAnsi="仿宋_GB2312" w:eastAsia="仿宋_GB2312" w:cs="仿宋_GB2312"/>
          <w:sz w:val="32"/>
          <w:szCs w:val="32"/>
          <w:lang w:val="en-US" w:eastAsia="zh-CN"/>
        </w:rPr>
        <w:t>99.78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，其他事故</w:t>
      </w:r>
      <w:r>
        <w:rPr>
          <w:rFonts w:hint="eastAsia" w:ascii="仿宋_GB2312" w:hAnsi="仿宋_GB2312" w:eastAsia="仿宋_GB2312" w:cs="仿宋_GB2312"/>
          <w:sz w:val="32"/>
          <w:szCs w:val="32"/>
          <w:lang w:val="en-US" w:eastAsia="zh-CN"/>
        </w:rPr>
        <w:t>1起，占各类安全生产事故0.22%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全县安全形势大局稳定，为全县经济社会的全面发展奠定了安全保障。</w:t>
      </w:r>
    </w:p>
    <w:p>
      <w:pPr>
        <w:spacing w:line="560" w:lineRule="exact"/>
        <w:ind w:firstLine="642" w:firstLineChars="200"/>
        <w:rPr>
          <w:rFonts w:ascii="仿宋" w:hAnsi="仿宋" w:eastAsia="仿宋"/>
          <w:b/>
          <w:color w:val="555555"/>
          <w:sz w:val="32"/>
          <w:szCs w:val="32"/>
          <w:shd w:val="clear" w:color="auto" w:fill="FFFFFF"/>
        </w:rPr>
      </w:pPr>
      <w:r>
        <w:rPr>
          <w:rFonts w:ascii="仿宋" w:hAnsi="仿宋" w:eastAsia="仿宋"/>
          <w:b/>
          <w:color w:val="555555"/>
          <w:sz w:val="32"/>
          <w:szCs w:val="32"/>
          <w:shd w:val="clear" w:color="auto" w:fill="FFFFFF"/>
        </w:rPr>
        <w:t>2、重点项目绩效评价结果。</w:t>
      </w:r>
    </w:p>
    <w:p>
      <w:pPr>
        <w:spacing w:line="560" w:lineRule="exact"/>
        <w:ind w:firstLine="642" w:firstLineChars="200"/>
        <w:rPr>
          <w:rFonts w:hint="eastAsia" w:ascii="仿宋_GB2312" w:hAnsi="仿宋_GB2312" w:eastAsia="仿宋_GB2312" w:cs="仿宋_GB2312"/>
          <w:b/>
          <w:bCs/>
          <w:color w:val="000000"/>
          <w:sz w:val="32"/>
          <w:szCs w:val="32"/>
          <w:lang w:val="zh-CN"/>
        </w:rPr>
      </w:pPr>
      <w:r>
        <w:rPr>
          <w:rFonts w:hint="eastAsia" w:ascii="楷体" w:hAnsi="楷体" w:eastAsia="楷体" w:cs="楷体"/>
          <w:b/>
          <w:bCs/>
          <w:color w:val="000000"/>
          <w:sz w:val="32"/>
          <w:szCs w:val="32"/>
        </w:rPr>
        <w:t>（1）</w:t>
      </w:r>
      <w:r>
        <w:rPr>
          <w:rFonts w:hint="eastAsia" w:ascii="仿宋_GB2312" w:hAnsi="仿宋_GB2312" w:eastAsia="仿宋_GB2312" w:cs="仿宋_GB2312"/>
          <w:b/>
          <w:bCs/>
          <w:color w:val="000000"/>
          <w:sz w:val="32"/>
          <w:szCs w:val="32"/>
        </w:rPr>
        <w:t>加强组织领导，层层签订责任书，</w:t>
      </w:r>
      <w:r>
        <w:rPr>
          <w:rFonts w:hint="eastAsia" w:ascii="仿宋_GB2312" w:hAnsi="仿宋_GB2312" w:eastAsia="仿宋_GB2312" w:cs="仿宋_GB2312"/>
          <w:b/>
          <w:bCs/>
          <w:color w:val="000000"/>
          <w:sz w:val="32"/>
          <w:szCs w:val="32"/>
          <w:lang w:val="zh-CN"/>
        </w:rPr>
        <w:t>推动两个责任主体落实到位</w:t>
      </w:r>
    </w:p>
    <w:p>
      <w:pPr>
        <w:widowControl/>
        <w:spacing w:line="560" w:lineRule="exact"/>
        <w:ind w:firstLine="640" w:firstLineChars="200"/>
        <w:textAlignment w:val="baseline"/>
        <w:rPr>
          <w:rFonts w:ascii="仿宋_GB2312" w:hAnsi="仿宋_GB2312" w:eastAsia="仿宋_GB2312" w:cs="Times New Roman"/>
          <w:color w:val="000000"/>
          <w:kern w:val="0"/>
          <w:sz w:val="32"/>
          <w:szCs w:val="32"/>
        </w:rPr>
      </w:pPr>
      <w:r>
        <w:rPr>
          <w:rFonts w:hint="eastAsia" w:ascii="仿宋_GB2312" w:hAnsi="仿宋_GB2312" w:eastAsia="仿宋_GB2312" w:cs="Times New Roman"/>
          <w:color w:val="000000"/>
          <w:kern w:val="0"/>
          <w:sz w:val="32"/>
          <w:szCs w:val="32"/>
        </w:rPr>
        <w:t>按照“谁主管、谁负责、管生产、管安全”的原则，</w:t>
      </w:r>
      <w:r>
        <w:rPr>
          <w:rFonts w:hint="eastAsia" w:ascii="仿宋_GB2312" w:hAnsi="仿宋_GB2312" w:eastAsia="仿宋_GB2312" w:cs="Times New Roman"/>
          <w:color w:val="000000"/>
          <w:kern w:val="0"/>
          <w:sz w:val="32"/>
          <w:szCs w:val="32"/>
          <w:lang w:val="zh-CN"/>
        </w:rPr>
        <w:t>继续推行政府监管责任和企业主体责任，推行安全生产“党政同责、一岗双责”办法，实行安全生产目标管理和安全生产一票否决制，县</w:t>
      </w:r>
      <w:r>
        <w:rPr>
          <w:rFonts w:hint="eastAsia" w:ascii="仿宋_GB2312" w:hAnsi="仿宋_GB2312" w:eastAsia="仿宋_GB2312" w:cs="Times New Roman"/>
          <w:color w:val="000000"/>
          <w:kern w:val="0"/>
          <w:sz w:val="32"/>
          <w:szCs w:val="32"/>
        </w:rPr>
        <w:t>委县</w:t>
      </w:r>
      <w:r>
        <w:rPr>
          <w:rFonts w:hint="eastAsia" w:ascii="仿宋_GB2312" w:hAnsi="仿宋_GB2312" w:eastAsia="仿宋_GB2312" w:cs="Times New Roman"/>
          <w:color w:val="000000"/>
          <w:kern w:val="0"/>
          <w:sz w:val="32"/>
          <w:szCs w:val="32"/>
          <w:lang w:val="zh-CN"/>
        </w:rPr>
        <w:t>政府</w:t>
      </w:r>
      <w:r>
        <w:rPr>
          <w:rFonts w:hint="eastAsia" w:ascii="仿宋_GB2312" w:hAnsi="仿宋_GB2312" w:eastAsia="仿宋_GB2312" w:cs="Times New Roman"/>
          <w:color w:val="000000"/>
          <w:kern w:val="0"/>
          <w:sz w:val="32"/>
          <w:szCs w:val="32"/>
        </w:rPr>
        <w:t>分别与各乡镇、各机关事业部门、省州驻县单位、企业签订《201</w:t>
      </w:r>
      <w:r>
        <w:rPr>
          <w:rFonts w:hint="eastAsia" w:ascii="仿宋_GB2312" w:hAnsi="仿宋_GB2312" w:eastAsia="仿宋_GB2312" w:cs="Times New Roman"/>
          <w:color w:val="000000"/>
          <w:kern w:val="0"/>
          <w:sz w:val="32"/>
          <w:szCs w:val="32"/>
          <w:lang w:val="en-US" w:eastAsia="zh-CN"/>
        </w:rPr>
        <w:t>8</w:t>
      </w:r>
      <w:r>
        <w:rPr>
          <w:rFonts w:hint="eastAsia" w:ascii="仿宋_GB2312" w:hAnsi="仿宋_GB2312" w:eastAsia="仿宋_GB2312" w:cs="Times New Roman"/>
          <w:color w:val="000000"/>
          <w:kern w:val="0"/>
          <w:sz w:val="32"/>
          <w:szCs w:val="32"/>
        </w:rPr>
        <w:t>年安全生产目标管理责任书》10</w:t>
      </w:r>
      <w:r>
        <w:rPr>
          <w:rFonts w:hint="eastAsia" w:ascii="仿宋_GB2312" w:hAnsi="仿宋_GB2312" w:eastAsia="仿宋_GB2312" w:cs="Times New Roman"/>
          <w:color w:val="000000"/>
          <w:kern w:val="0"/>
          <w:sz w:val="32"/>
          <w:szCs w:val="32"/>
          <w:lang w:val="en-US" w:eastAsia="zh-CN"/>
        </w:rPr>
        <w:t>1</w:t>
      </w:r>
      <w:r>
        <w:rPr>
          <w:rFonts w:hint="eastAsia" w:ascii="仿宋_GB2312" w:hAnsi="仿宋_GB2312" w:eastAsia="仿宋_GB2312" w:cs="Times New Roman"/>
          <w:color w:val="000000"/>
          <w:kern w:val="0"/>
          <w:sz w:val="32"/>
          <w:szCs w:val="32"/>
        </w:rPr>
        <w:t>份，从源头上</w:t>
      </w:r>
      <w:r>
        <w:rPr>
          <w:rFonts w:hint="eastAsia" w:ascii="仿宋_GB2312" w:hAnsi="仿宋_GB2312" w:eastAsia="仿宋_GB2312" w:cs="Times New Roman"/>
          <w:color w:val="000000"/>
          <w:kern w:val="0"/>
          <w:sz w:val="32"/>
          <w:szCs w:val="32"/>
          <w:lang w:val="zh-CN"/>
        </w:rPr>
        <w:t>落实了各级各部门的工作责任，督促全县形成齐抓共管的工作局面。</w:t>
      </w:r>
    </w:p>
    <w:p>
      <w:pPr>
        <w:widowControl/>
        <w:spacing w:line="560" w:lineRule="exact"/>
        <w:ind w:firstLine="642" w:firstLineChars="200"/>
        <w:textAlignment w:val="baseline"/>
        <w:rPr>
          <w:rFonts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（2）领导重视，定期不定期地召开安委会工作例会，专题部署安全生产工作</w:t>
      </w:r>
    </w:p>
    <w:p>
      <w:pPr>
        <w:snapToGrid w:val="0"/>
        <w:spacing w:line="560" w:lineRule="exact"/>
        <w:ind w:firstLine="640" w:firstLineChars="200"/>
        <w:textAlignment w:val="baseline"/>
        <w:rPr>
          <w:rFonts w:ascii="仿宋_GB2312" w:hAnsi="仿宋_GB2312" w:eastAsia="仿宋_GB2312" w:cs="Times New Roman"/>
          <w:color w:val="000000"/>
          <w:kern w:val="0"/>
          <w:sz w:val="32"/>
          <w:szCs w:val="32"/>
        </w:rPr>
      </w:pPr>
      <w:r>
        <w:rPr>
          <w:rFonts w:hint="eastAsia" w:ascii="仿宋_GB2312" w:hAnsi="仿宋_GB2312" w:eastAsia="仿宋_GB2312" w:cs="Times New Roman"/>
          <w:color w:val="000000"/>
          <w:sz w:val="32"/>
          <w:szCs w:val="32"/>
        </w:rPr>
        <w:t>在县安委会的重视下，</w:t>
      </w:r>
      <w:r>
        <w:rPr>
          <w:rFonts w:hint="eastAsia" w:ascii="仿宋_GB2312" w:hAnsi="仿宋_GB2312" w:eastAsia="仿宋_GB2312" w:cs="Times New Roman"/>
          <w:color w:val="000000"/>
          <w:kern w:val="0"/>
          <w:sz w:val="32"/>
          <w:szCs w:val="32"/>
        </w:rPr>
        <w:t>在生产安全事故易发期均召开了由各安委会成员单位参加的安全生产工作例会，专题部署安全生产综合大检查以及各项工作。截至</w:t>
      </w:r>
      <w:r>
        <w:rPr>
          <w:rFonts w:hint="eastAsia" w:ascii="仿宋_GB2312" w:hAnsi="仿宋_GB2312" w:eastAsia="仿宋_GB2312" w:cs="Times New Roman"/>
          <w:color w:val="000000"/>
          <w:kern w:val="0"/>
          <w:sz w:val="32"/>
          <w:szCs w:val="32"/>
          <w:lang w:eastAsia="zh-CN"/>
        </w:rPr>
        <w:t>年底</w:t>
      </w:r>
      <w:r>
        <w:rPr>
          <w:rFonts w:hint="eastAsia" w:ascii="仿宋_GB2312" w:hAnsi="仿宋_GB2312" w:eastAsia="仿宋_GB2312" w:cs="Times New Roman"/>
          <w:color w:val="000000"/>
          <w:kern w:val="0"/>
          <w:sz w:val="32"/>
          <w:szCs w:val="32"/>
        </w:rPr>
        <w:t>共召开</w:t>
      </w:r>
      <w:r>
        <w:rPr>
          <w:rFonts w:hint="eastAsia" w:ascii="仿宋_GB2312" w:hAnsi="仿宋_GB2312" w:eastAsia="仿宋_GB2312" w:cs="Times New Roman"/>
          <w:color w:val="000000"/>
          <w:kern w:val="0"/>
          <w:sz w:val="32"/>
          <w:szCs w:val="32"/>
          <w:lang w:val="en-US" w:eastAsia="zh-CN"/>
        </w:rPr>
        <w:t>6</w:t>
      </w:r>
      <w:r>
        <w:rPr>
          <w:rFonts w:hint="eastAsia" w:ascii="仿宋_GB2312" w:hAnsi="仿宋_GB2312" w:eastAsia="仿宋_GB2312" w:cs="Times New Roman"/>
          <w:color w:val="000000"/>
          <w:kern w:val="0"/>
          <w:sz w:val="32"/>
          <w:szCs w:val="32"/>
        </w:rPr>
        <w:t>次县安委会成员单位工作会议。</w:t>
      </w:r>
    </w:p>
    <w:p>
      <w:pPr>
        <w:autoSpaceDE w:val="0"/>
        <w:autoSpaceDN w:val="0"/>
        <w:spacing w:line="560" w:lineRule="exact"/>
        <w:ind w:firstLine="642" w:firstLineChars="200"/>
        <w:textAlignment w:val="baseline"/>
        <w:rPr>
          <w:rFonts w:ascii="仿宋_GB2312" w:hAnsi="仿宋_GB2312" w:eastAsia="仿宋_GB2312" w:cs="仿宋_GB2312"/>
          <w:b/>
          <w:color w:val="000000"/>
          <w:sz w:val="32"/>
          <w:szCs w:val="32"/>
          <w:lang w:val="zh-CN"/>
        </w:rPr>
      </w:pPr>
      <w:r>
        <w:rPr>
          <w:rFonts w:hint="eastAsia" w:ascii="仿宋_GB2312" w:hAnsi="仿宋_GB2312" w:eastAsia="仿宋_GB2312" w:cs="仿宋_GB2312"/>
          <w:b/>
          <w:color w:val="000000"/>
          <w:sz w:val="32"/>
          <w:szCs w:val="32"/>
          <w:lang w:val="zh-CN"/>
        </w:rPr>
        <w:t>（3）</w:t>
      </w:r>
      <w:r>
        <w:rPr>
          <w:rFonts w:hint="eastAsia" w:ascii="仿宋_GB2312" w:hAnsi="仿宋_GB2312" w:eastAsia="仿宋_GB2312" w:cs="仿宋_GB2312"/>
          <w:b/>
          <w:color w:val="000000"/>
          <w:sz w:val="32"/>
          <w:szCs w:val="32"/>
        </w:rPr>
        <w:t>强化安全教育，构建和谐良好的安全氛围</w:t>
      </w:r>
      <w:r>
        <w:rPr>
          <w:rFonts w:hint="eastAsia" w:ascii="仿宋_GB2312" w:hAnsi="仿宋_GB2312" w:eastAsia="仿宋_GB2312" w:cs="仿宋_GB2312"/>
          <w:b/>
          <w:color w:val="000000"/>
          <w:sz w:val="32"/>
          <w:szCs w:val="32"/>
          <w:lang w:val="zh-CN"/>
        </w:rPr>
        <w:t xml:space="preserve"> </w:t>
      </w:r>
    </w:p>
    <w:p>
      <w:pPr>
        <w:keepNext w:val="0"/>
        <w:keepLines w:val="0"/>
        <w:pageBreakBefore w:val="0"/>
        <w:widowControl w:val="0"/>
        <w:kinsoku/>
        <w:wordWrap/>
        <w:overflowPunct/>
        <w:topLinePunct w:val="0"/>
        <w:autoSpaceDE/>
        <w:bidi w:val="0"/>
        <w:snapToGrid/>
        <w:spacing w:line="576" w:lineRule="exact"/>
        <w:ind w:left="0" w:leftChars="0" w:right="0" w:rightChars="0" w:firstLine="640" w:firstLineChars="200"/>
        <w:jc w:val="left"/>
        <w:outlineLvl w:val="9"/>
        <w:rPr>
          <w:rFonts w:hint="eastAsia" w:ascii="仿宋_GB2312" w:hAnsi="仿宋_GB2312" w:eastAsia="仿宋_GB2312"/>
          <w:color w:val="000000"/>
          <w:sz w:val="32"/>
          <w:lang w:val="zh-CN" w:eastAsia="zh-CN"/>
        </w:rPr>
      </w:pPr>
      <w:r>
        <w:rPr>
          <w:rFonts w:hint="eastAsia" w:ascii="仿宋_GB2312" w:hAnsi="仿宋_GB2312" w:eastAsia="仿宋_GB2312" w:cs="仿宋_GB2312"/>
          <w:sz w:val="32"/>
          <w:szCs w:val="32"/>
        </w:rPr>
        <w:t>全面加强安全生产法律法规宣传教育，积极动员广大农牧民群众更加关心、支持、参与</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监督安全生产工作，以开展全国第1</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个安全生产月活动为契机，</w:t>
      </w:r>
      <w:r>
        <w:rPr>
          <w:rFonts w:hint="eastAsia" w:ascii="仿宋_GB2312" w:hAnsi="仿宋_GB2312" w:eastAsia="仿宋_GB2312" w:cs="仿宋_GB2312"/>
          <w:b w:val="0"/>
          <w:i w:val="0"/>
          <w:caps w:val="0"/>
          <w:color w:val="333333"/>
          <w:spacing w:val="0"/>
          <w:sz w:val="32"/>
          <w:szCs w:val="32"/>
          <w:shd w:val="clear" w:color="auto" w:fill="FFFFFF"/>
        </w:rPr>
        <w:t>由</w:t>
      </w:r>
      <w:r>
        <w:rPr>
          <w:rFonts w:hint="eastAsia" w:ascii="仿宋_GB2312" w:hAnsi="仿宋_GB2312" w:eastAsia="仿宋_GB2312" w:cs="仿宋_GB2312"/>
          <w:b w:val="0"/>
          <w:i w:val="0"/>
          <w:caps w:val="0"/>
          <w:color w:val="333333"/>
          <w:spacing w:val="0"/>
          <w:sz w:val="32"/>
          <w:szCs w:val="32"/>
          <w:shd w:val="clear" w:color="auto" w:fill="FFFFFF"/>
          <w:lang w:eastAsia="zh-CN"/>
        </w:rPr>
        <w:t>县</w:t>
      </w:r>
      <w:r>
        <w:rPr>
          <w:rFonts w:hint="eastAsia" w:ascii="仿宋_GB2312" w:hAnsi="仿宋_GB2312" w:eastAsia="仿宋_GB2312" w:cs="仿宋_GB2312"/>
          <w:b w:val="0"/>
          <w:i w:val="0"/>
          <w:caps w:val="0"/>
          <w:color w:val="333333"/>
          <w:spacing w:val="0"/>
          <w:sz w:val="32"/>
          <w:szCs w:val="32"/>
          <w:shd w:val="clear" w:color="auto" w:fill="FFFFFF"/>
        </w:rPr>
        <w:t>安委会牵头</w:t>
      </w:r>
      <w:r>
        <w:rPr>
          <w:rFonts w:hint="eastAsia" w:ascii="仿宋_GB2312" w:hAnsi="仿宋_GB2312" w:eastAsia="仿宋_GB2312" w:cs="仿宋_GB2312"/>
          <w:b w:val="0"/>
          <w:i w:val="0"/>
          <w:caps w:val="0"/>
          <w:color w:val="333333"/>
          <w:spacing w:val="0"/>
          <w:sz w:val="32"/>
          <w:szCs w:val="32"/>
          <w:shd w:val="clear" w:color="auto" w:fill="FFFFFF"/>
          <w:lang w:eastAsia="zh-CN"/>
        </w:rPr>
        <w:t>联合总工会、教育局、住建局、交通运输局、</w:t>
      </w:r>
      <w:r>
        <w:rPr>
          <w:rFonts w:hint="eastAsia" w:ascii="仿宋_GB2312" w:hAnsi="仿宋_GB2312" w:eastAsia="仿宋_GB2312" w:cs="仿宋_GB2312"/>
          <w:b w:val="0"/>
          <w:i w:val="0"/>
          <w:caps w:val="0"/>
          <w:color w:val="333333"/>
          <w:spacing w:val="0"/>
          <w:sz w:val="32"/>
          <w:szCs w:val="32"/>
          <w:shd w:val="clear" w:color="auto" w:fill="FFFFFF"/>
          <w:lang w:val="en-US" w:eastAsia="zh-CN"/>
        </w:rPr>
        <w:t>环林局、畜牧水务局、</w:t>
      </w:r>
      <w:r>
        <w:rPr>
          <w:rFonts w:hint="eastAsia" w:ascii="仿宋_GB2312" w:hAnsi="仿宋_GB2312" w:eastAsia="仿宋_GB2312" w:cs="仿宋_GB2312"/>
          <w:b w:val="0"/>
          <w:i w:val="0"/>
          <w:caps w:val="0"/>
          <w:color w:val="333333"/>
          <w:spacing w:val="0"/>
          <w:sz w:val="32"/>
          <w:szCs w:val="32"/>
          <w:shd w:val="clear" w:color="auto" w:fill="FFFFFF"/>
          <w:lang w:eastAsia="zh-CN"/>
        </w:rPr>
        <w:t>工质食药</w:t>
      </w:r>
      <w:r>
        <w:rPr>
          <w:rFonts w:hint="eastAsia" w:ascii="仿宋_GB2312" w:hAnsi="仿宋_GB2312" w:eastAsia="仿宋_GB2312" w:cs="仿宋_GB2312"/>
          <w:b w:val="0"/>
          <w:i w:val="0"/>
          <w:caps w:val="0"/>
          <w:color w:val="333333"/>
          <w:spacing w:val="0"/>
          <w:sz w:val="32"/>
          <w:szCs w:val="32"/>
          <w:shd w:val="clear" w:color="auto" w:fill="FFFFFF"/>
          <w:lang w:val="en-US" w:eastAsia="zh-CN"/>
        </w:rPr>
        <w:t>监</w:t>
      </w:r>
      <w:r>
        <w:rPr>
          <w:rFonts w:hint="eastAsia" w:ascii="仿宋_GB2312" w:hAnsi="仿宋_GB2312" w:eastAsia="仿宋_GB2312" w:cs="仿宋_GB2312"/>
          <w:b w:val="0"/>
          <w:i w:val="0"/>
          <w:caps w:val="0"/>
          <w:color w:val="333333"/>
          <w:spacing w:val="0"/>
          <w:sz w:val="32"/>
          <w:szCs w:val="32"/>
          <w:shd w:val="clear" w:color="auto" w:fill="FFFFFF"/>
          <w:lang w:eastAsia="zh-CN"/>
        </w:rPr>
        <w:t>局、交警大队、消防、运管、</w:t>
      </w:r>
      <w:r>
        <w:rPr>
          <w:rFonts w:hint="eastAsia" w:ascii="仿宋_GB2312" w:hAnsi="仿宋_GB2312" w:eastAsia="仿宋_GB2312" w:cs="仿宋_GB2312"/>
          <w:b w:val="0"/>
          <w:i w:val="0"/>
          <w:caps w:val="0"/>
          <w:color w:val="333333"/>
          <w:spacing w:val="0"/>
          <w:sz w:val="32"/>
          <w:szCs w:val="32"/>
          <w:shd w:val="clear" w:color="auto" w:fill="FFFFFF"/>
          <w:lang w:val="en-US" w:eastAsia="zh-CN"/>
        </w:rPr>
        <w:t>供销社、妇联</w:t>
      </w:r>
      <w:r>
        <w:rPr>
          <w:rFonts w:hint="eastAsia" w:ascii="仿宋_GB2312" w:hAnsi="仿宋_GB2312" w:eastAsia="仿宋_GB2312" w:cs="仿宋_GB2312"/>
          <w:b w:val="0"/>
          <w:i w:val="0"/>
          <w:caps w:val="0"/>
          <w:color w:val="333333"/>
          <w:spacing w:val="0"/>
          <w:sz w:val="32"/>
          <w:szCs w:val="32"/>
          <w:shd w:val="clear" w:color="auto" w:fill="FFFFFF"/>
          <w:lang w:eastAsia="zh-CN"/>
        </w:rPr>
        <w:t>等</w:t>
      </w:r>
      <w:r>
        <w:rPr>
          <w:rFonts w:hint="eastAsia" w:ascii="仿宋_GB2312" w:hAnsi="仿宋_GB2312" w:eastAsia="仿宋_GB2312" w:cs="仿宋_GB2312"/>
          <w:b w:val="0"/>
          <w:i w:val="0"/>
          <w:caps w:val="0"/>
          <w:color w:val="333333"/>
          <w:spacing w:val="0"/>
          <w:sz w:val="32"/>
          <w:szCs w:val="32"/>
          <w:shd w:val="clear" w:color="auto" w:fill="FFFFFF"/>
          <w:lang w:val="en-US" w:eastAsia="zh-CN"/>
        </w:rPr>
        <w:t>十余个</w:t>
      </w:r>
      <w:r>
        <w:rPr>
          <w:rFonts w:hint="eastAsia" w:ascii="仿宋_GB2312" w:hAnsi="仿宋_GB2312" w:eastAsia="仿宋_GB2312" w:cs="仿宋_GB2312"/>
          <w:b w:val="0"/>
          <w:i w:val="0"/>
          <w:caps w:val="0"/>
          <w:color w:val="333333"/>
          <w:spacing w:val="0"/>
          <w:sz w:val="32"/>
          <w:szCs w:val="32"/>
          <w:shd w:val="clear" w:color="auto" w:fill="FFFFFF"/>
          <w:lang w:eastAsia="zh-CN"/>
        </w:rPr>
        <w:t>部门</w:t>
      </w:r>
      <w:r>
        <w:rPr>
          <w:rFonts w:hint="eastAsia" w:ascii="仿宋_GB2312" w:hAnsi="仿宋_GB2312" w:eastAsia="仿宋_GB2312" w:cs="仿宋_GB2312"/>
          <w:sz w:val="32"/>
          <w:szCs w:val="32"/>
        </w:rPr>
        <w:t>紧紧围绕“</w:t>
      </w:r>
      <w:r>
        <w:rPr>
          <w:rFonts w:hint="eastAsia" w:ascii="仿宋_GB2312" w:hAnsi="仿宋_GB2312" w:eastAsia="仿宋_GB2312" w:cs="仿宋_GB2312"/>
          <w:kern w:val="0"/>
          <w:sz w:val="32"/>
          <w:szCs w:val="32"/>
          <w:lang w:eastAsia="zh-CN"/>
        </w:rPr>
        <w:t>生命至上，安全发展</w:t>
      </w:r>
      <w:r>
        <w:rPr>
          <w:rFonts w:hint="eastAsia" w:ascii="仿宋_GB2312" w:hAnsi="仿宋_GB2312" w:eastAsia="仿宋_GB2312" w:cs="仿宋_GB2312"/>
          <w:sz w:val="32"/>
          <w:szCs w:val="32"/>
        </w:rPr>
        <w:t>”主题，共悬挂安全生产横幅</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条、发放宣传资料</w:t>
      </w:r>
      <w:r>
        <w:rPr>
          <w:rFonts w:hint="eastAsia" w:ascii="仿宋_GB2312" w:hAnsi="仿宋_GB2312" w:eastAsia="仿宋_GB2312" w:cs="仿宋_GB2312"/>
          <w:sz w:val="32"/>
          <w:szCs w:val="32"/>
          <w:lang w:val="en-US" w:eastAsia="zh-CN"/>
        </w:rPr>
        <w:t>2000</w:t>
      </w:r>
      <w:r>
        <w:rPr>
          <w:rFonts w:hint="eastAsia" w:ascii="仿宋_GB2312" w:hAnsi="仿宋_GB2312" w:eastAsia="仿宋_GB2312" w:cs="仿宋_GB2312"/>
          <w:sz w:val="32"/>
          <w:szCs w:val="32"/>
        </w:rPr>
        <w:t>余份，宣传册200余份，</w:t>
      </w:r>
      <w:r>
        <w:rPr>
          <w:rFonts w:hint="eastAsia" w:ascii="仿宋_GB2312" w:hAnsi="仿宋_GB2312" w:eastAsia="仿宋_GB2312" w:cs="仿宋_GB2312"/>
          <w:sz w:val="32"/>
          <w:szCs w:val="32"/>
          <w:lang w:eastAsia="zh-CN"/>
        </w:rPr>
        <w:t>其它宣传品</w:t>
      </w:r>
      <w:r>
        <w:rPr>
          <w:rFonts w:hint="eastAsia" w:ascii="仿宋_GB2312" w:hAnsi="仿宋_GB2312" w:eastAsia="仿宋_GB2312" w:cs="仿宋_GB2312"/>
          <w:sz w:val="32"/>
          <w:szCs w:val="32"/>
          <w:lang w:val="en-US" w:eastAsia="zh-CN"/>
        </w:rPr>
        <w:t>200余份，</w:t>
      </w:r>
      <w:r>
        <w:rPr>
          <w:rFonts w:hint="eastAsia" w:ascii="仿宋_GB2312" w:hAnsi="仿宋_GB2312" w:eastAsia="仿宋_GB2312" w:cs="仿宋_GB2312"/>
          <w:sz w:val="32"/>
          <w:szCs w:val="32"/>
        </w:rPr>
        <w:t>发送手机短信1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000余条。</w:t>
      </w:r>
      <w:r>
        <w:rPr>
          <w:rFonts w:hint="eastAsia" w:ascii="仿宋_GB2312" w:hAnsi="仿宋_GB2312" w:eastAsia="仿宋_GB2312" w:cs="仿宋_GB2312"/>
          <w:b w:val="0"/>
          <w:i w:val="0"/>
          <w:caps w:val="0"/>
          <w:color w:val="000000"/>
          <w:spacing w:val="0"/>
          <w:sz w:val="32"/>
          <w:szCs w:val="32"/>
          <w:shd w:val="clear" w:color="auto" w:fill="FFFFFF"/>
        </w:rPr>
        <w:t>有效增强了全市广大人民群众对安全生产的认识与防范事故的能力，为社会稳定打下了良好的基础。</w:t>
      </w:r>
    </w:p>
    <w:p>
      <w:pPr>
        <w:autoSpaceDN w:val="0"/>
        <w:spacing w:line="560" w:lineRule="exact"/>
        <w:ind w:firstLine="642" w:firstLineChars="200"/>
        <w:textAlignment w:val="baseline"/>
        <w:rPr>
          <w:rFonts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（4）突出监管执法，开展安全生产大检查专项活动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我局制定了201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年安全生产执法计划，创新执法方式，根据各时段的安全监管重点，采取“四不两直”的方式认真开展安全生产执法检查，确保每个季度开展2次以上的专项检查。在安全生产监管中督促企业完善安全生产应急救援预案，积极组织应急预案演练，加强应急队伍建设。</w:t>
      </w:r>
    </w:p>
    <w:p>
      <w:pPr>
        <w:spacing w:line="560" w:lineRule="exact"/>
        <w:ind w:firstLine="640" w:firstLineChars="200"/>
        <w:rPr>
          <w:rFonts w:ascii="仿宋_GB2312" w:hAnsi="Times New Roman" w:eastAsia="仿宋_GB2312" w:cs="Times New Roman"/>
          <w:sz w:val="32"/>
          <w:szCs w:val="32"/>
        </w:rPr>
      </w:pPr>
      <w:r>
        <w:rPr>
          <w:rFonts w:hint="eastAsia" w:ascii="仿宋_GB2312" w:hAnsi="仿宋_GB2312" w:eastAsia="仿宋_GB2312" w:cs="Times New Roman"/>
          <w:color w:val="000000"/>
          <w:sz w:val="32"/>
          <w:szCs w:val="32"/>
          <w:lang w:eastAsia="zh-CN"/>
        </w:rPr>
        <w:t>今年</w:t>
      </w:r>
      <w:r>
        <w:rPr>
          <w:rFonts w:hint="eastAsia" w:ascii="仿宋_GB2312" w:hAnsi="仿宋_GB2312" w:eastAsia="仿宋_GB2312" w:cs="Times New Roman"/>
          <w:color w:val="000000"/>
          <w:sz w:val="32"/>
          <w:szCs w:val="32"/>
        </w:rPr>
        <w:t>我局共组织开展检查各类生产经营企业</w:t>
      </w:r>
      <w:r>
        <w:rPr>
          <w:rFonts w:hint="eastAsia" w:ascii="仿宋_GB2312" w:hAnsi="仿宋_GB2312" w:eastAsia="仿宋_GB2312" w:cs="Times New Roman"/>
          <w:color w:val="000000"/>
          <w:sz w:val="32"/>
          <w:szCs w:val="32"/>
          <w:lang w:val="en-US" w:eastAsia="zh-CN"/>
        </w:rPr>
        <w:t>55</w:t>
      </w:r>
      <w:r>
        <w:rPr>
          <w:rFonts w:hint="eastAsia" w:ascii="仿宋_GB2312" w:hAnsi="仿宋_GB2312" w:eastAsia="仿宋_GB2312" w:cs="Times New Roman"/>
          <w:color w:val="000000"/>
          <w:sz w:val="32"/>
          <w:szCs w:val="32"/>
        </w:rPr>
        <w:t>家</w:t>
      </w:r>
      <w:r>
        <w:rPr>
          <w:rFonts w:hint="eastAsia" w:ascii="仿宋_GB2312" w:hAnsi="仿宋_GB2312" w:eastAsia="仿宋_GB2312" w:cs="Times New Roman"/>
          <w:color w:val="000000"/>
          <w:sz w:val="32"/>
          <w:szCs w:val="32"/>
          <w:lang w:val="en-US" w:eastAsia="zh-CN"/>
        </w:rPr>
        <w:t>192次（其中危险化学品经营企业10家64次，工贸企业27家59次，其它18家69次）</w:t>
      </w:r>
      <w:r>
        <w:rPr>
          <w:rFonts w:hint="eastAsia" w:ascii="仿宋_GB2312" w:hAnsi="仿宋_GB2312" w:eastAsia="仿宋_GB2312" w:cs="Times New Roman"/>
          <w:color w:val="000000"/>
          <w:sz w:val="32"/>
          <w:szCs w:val="32"/>
        </w:rPr>
        <w:t>，排查各类事故隐患</w:t>
      </w:r>
      <w:r>
        <w:rPr>
          <w:rFonts w:hint="eastAsia" w:ascii="仿宋_GB2312" w:hAnsi="仿宋_GB2312" w:eastAsia="仿宋_GB2312" w:cs="Times New Roman"/>
          <w:color w:val="000000"/>
          <w:sz w:val="32"/>
          <w:szCs w:val="32"/>
          <w:lang w:val="en-US" w:eastAsia="zh-CN"/>
        </w:rPr>
        <w:t>76</w:t>
      </w:r>
      <w:r>
        <w:rPr>
          <w:rFonts w:hint="eastAsia" w:ascii="仿宋_GB2312" w:hAnsi="仿宋_GB2312" w:eastAsia="仿宋_GB2312" w:cs="Times New Roman"/>
          <w:color w:val="000000"/>
          <w:sz w:val="32"/>
          <w:szCs w:val="32"/>
        </w:rPr>
        <w:t>起，</w:t>
      </w:r>
      <w:r>
        <w:rPr>
          <w:rFonts w:hint="eastAsia" w:ascii="仿宋_GB2312" w:hAnsi="仿宋_GB2312" w:eastAsia="仿宋_GB2312" w:cs="Times New Roman"/>
          <w:color w:val="000000"/>
          <w:sz w:val="32"/>
          <w:szCs w:val="32"/>
          <w:lang w:eastAsia="zh-CN"/>
        </w:rPr>
        <w:t>（</w:t>
      </w:r>
      <w:r>
        <w:rPr>
          <w:rFonts w:hint="eastAsia" w:ascii="仿宋_GB2312" w:hAnsi="仿宋_GB2312" w:eastAsia="仿宋_GB2312" w:cs="Times New Roman"/>
          <w:color w:val="000000"/>
          <w:sz w:val="32"/>
          <w:szCs w:val="32"/>
          <w:lang w:val="en-US" w:eastAsia="zh-CN"/>
        </w:rPr>
        <w:t>其中危险化学品企业29起，工贸企业17起，其它30起</w:t>
      </w:r>
      <w:r>
        <w:rPr>
          <w:rFonts w:hint="eastAsia" w:ascii="仿宋_GB2312" w:hAnsi="仿宋_GB2312" w:eastAsia="仿宋_GB2312" w:cs="Times New Roman"/>
          <w:color w:val="000000"/>
          <w:sz w:val="32"/>
          <w:szCs w:val="32"/>
          <w:lang w:eastAsia="zh-CN"/>
        </w:rPr>
        <w:t>）</w:t>
      </w:r>
      <w:r>
        <w:rPr>
          <w:rFonts w:hint="eastAsia" w:ascii="仿宋_GB2312" w:hAnsi="仿宋_GB2312" w:eastAsia="仿宋_GB2312" w:cs="Times New Roman"/>
          <w:color w:val="000000"/>
          <w:sz w:val="32"/>
          <w:szCs w:val="32"/>
        </w:rPr>
        <w:t>现场立即整改</w:t>
      </w:r>
      <w:r>
        <w:rPr>
          <w:rFonts w:hint="eastAsia" w:ascii="仿宋_GB2312" w:hAnsi="仿宋_GB2312" w:eastAsia="仿宋_GB2312" w:cs="Times New Roman"/>
          <w:color w:val="000000"/>
          <w:sz w:val="32"/>
          <w:szCs w:val="32"/>
          <w:lang w:val="en-US" w:eastAsia="zh-CN"/>
        </w:rPr>
        <w:t>62</w:t>
      </w:r>
      <w:r>
        <w:rPr>
          <w:rFonts w:hint="eastAsia" w:ascii="仿宋_GB2312" w:hAnsi="仿宋_GB2312" w:eastAsia="仿宋_GB2312" w:cs="Times New Roman"/>
          <w:color w:val="000000"/>
          <w:sz w:val="32"/>
          <w:szCs w:val="32"/>
        </w:rPr>
        <w:t xml:space="preserve">起，下发隐患整改指令书 </w:t>
      </w:r>
      <w:r>
        <w:rPr>
          <w:rFonts w:hint="eastAsia" w:ascii="仿宋_GB2312" w:hAnsi="仿宋_GB2312" w:eastAsia="仿宋_GB2312" w:cs="Times New Roman"/>
          <w:color w:val="000000"/>
          <w:sz w:val="32"/>
          <w:szCs w:val="32"/>
          <w:lang w:val="en-US" w:eastAsia="zh-CN"/>
        </w:rPr>
        <w:t>14</w:t>
      </w:r>
      <w:r>
        <w:rPr>
          <w:rFonts w:hint="eastAsia" w:ascii="仿宋_GB2312" w:hAnsi="仿宋_GB2312" w:eastAsia="仿宋_GB2312" w:cs="Times New Roman"/>
          <w:color w:val="000000"/>
          <w:sz w:val="32"/>
          <w:szCs w:val="32"/>
        </w:rPr>
        <w:t>份，目前所有安全隐患已全部整改，对发现的事故隐患，检查做到有记录、有整改，措施得当落实到位。</w:t>
      </w:r>
    </w:p>
    <w:p>
      <w:pPr>
        <w:spacing w:line="560" w:lineRule="exact"/>
        <w:ind w:firstLine="642" w:firstLineChars="200"/>
        <w:rPr>
          <w:rFonts w:hint="eastAsia" w:ascii="仿宋_GB2312" w:hAnsi="仿宋_GB2312" w:eastAsia="仿宋_GB2312" w:cs="仿宋_GB2312"/>
          <w:b/>
          <w:bCs/>
          <w:sz w:val="32"/>
          <w:szCs w:val="32"/>
        </w:rPr>
      </w:pPr>
      <w:r>
        <w:rPr>
          <w:rFonts w:hint="eastAsia" w:ascii="楷体" w:hAnsi="楷体" w:eastAsia="楷体" w:cs="楷体"/>
          <w:b/>
          <w:bCs/>
          <w:sz w:val="32"/>
          <w:szCs w:val="32"/>
        </w:rPr>
        <w:t>（5）</w:t>
      </w:r>
      <w:r>
        <w:rPr>
          <w:rFonts w:hint="eastAsia" w:ascii="仿宋_GB2312" w:hAnsi="仿宋_GB2312" w:eastAsia="仿宋_GB2312" w:cs="仿宋_GB2312"/>
          <w:b/>
          <w:bCs/>
          <w:sz w:val="32"/>
          <w:szCs w:val="32"/>
        </w:rPr>
        <w:t xml:space="preserve"> 加强法治政府建设，全面推进依法治安</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333333"/>
          <w:sz w:val="32"/>
          <w:szCs w:val="32"/>
        </w:rPr>
        <w:t>认真贯彻落实《四川省法治政府建设实施纲要（2016-2020年）》《阿坝州法治政府建设实施纲要（2017-2020年）》《阿坝州法治政府建设工作方案（2017-2020年）》，进一步强化组织保障，明确目标任务，依法组织实施，确保安全生产法治工作有力有序有效推进。</w:t>
      </w:r>
      <w:r>
        <w:rPr>
          <w:rFonts w:hint="eastAsia" w:ascii="仿宋_GB2312" w:hAnsi="仿宋_GB2312" w:eastAsia="仿宋_GB2312" w:cs="仿宋_GB2312"/>
          <w:sz w:val="32"/>
          <w:szCs w:val="32"/>
        </w:rPr>
        <w:t>一是按照新《安全生产法要求》，加强企业安全生产诚信体系建设，建立健全安全生产承诺、不良信用登记、失信“黑名单”、安全诚信评价等制度；二是严格推行年度监管执法计划、规范安全生产大检查、专项督查、暗查暗访等执法行为，增强安全监管的针对性和实效性；加强联合执法，强化部门联动，加大执法力度；三是对照新《安全生产法》等法律法规，明确安全监管行政职权，以清单的方式明确第项职权的名称、依据、职权范围、责任主体、监管方式，制定工作流程图，并在政府信息平台公示安全生产执法相关信息。</w:t>
      </w:r>
    </w:p>
    <w:p>
      <w:pPr>
        <w:numPr>
          <w:ilvl w:val="0"/>
          <w:numId w:val="8"/>
        </w:numPr>
        <w:spacing w:line="560" w:lineRule="exact"/>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扎实做好党风廉政建设和反腐败工作</w:t>
      </w:r>
    </w:p>
    <w:p>
      <w:pPr>
        <w:numPr>
          <w:ilvl w:val="0"/>
          <w:numId w:val="0"/>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认真学习贯彻习近平总书记等级中央领导同志关于党风廉政建设和反腐败工作的重要讲话精神，做到党风廉政建设工作与业务工作同部署、同安排、同检查。进一步教育全体党员干部坚定理想信念，把纪律和规矩挺在前面，时刻绷紧廉洁从政这根弦，认认真真执法，干干净净做事，清清白白做人，坚决杜绝违法违规问题发生。</w:t>
      </w:r>
    </w:p>
    <w:p>
      <w:pPr>
        <w:spacing w:line="560" w:lineRule="exact"/>
        <w:ind w:firstLine="642" w:firstLineChars="200"/>
        <w:rPr>
          <w:rFonts w:hint="eastAsia" w:ascii="仿宋_GB2312" w:hAnsi="仿宋_GB2312" w:eastAsia="仿宋_GB2312" w:cs="仿宋_GB2312"/>
          <w:b/>
          <w:sz w:val="32"/>
          <w:szCs w:val="32"/>
        </w:rPr>
      </w:pPr>
      <w:r>
        <w:rPr>
          <w:rFonts w:hint="eastAsia" w:ascii="楷体" w:hAnsi="楷体" w:eastAsia="楷体" w:cs="楷体"/>
          <w:b/>
          <w:bCs/>
          <w:sz w:val="32"/>
          <w:szCs w:val="32"/>
        </w:rPr>
        <w:t>（7）</w:t>
      </w:r>
      <w:r>
        <w:rPr>
          <w:rFonts w:hint="eastAsia" w:ascii="仿宋_GB2312" w:hAnsi="仿宋_GB2312" w:eastAsia="仿宋_GB2312" w:cs="仿宋_GB2312"/>
          <w:b/>
          <w:sz w:val="32"/>
          <w:szCs w:val="32"/>
        </w:rPr>
        <w:t>认真开展</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lang w:val="en-US" w:eastAsia="zh-CN"/>
        </w:rPr>
        <w:t>大学习、大讨论、大调研</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lang w:val="en-US" w:eastAsia="zh-CN"/>
        </w:rPr>
        <w:t>及</w:t>
      </w:r>
      <w:r>
        <w:rPr>
          <w:rFonts w:hint="eastAsia" w:ascii="仿宋_GB2312" w:hAnsi="仿宋_GB2312" w:eastAsia="仿宋_GB2312" w:cs="仿宋_GB2312"/>
          <w:b/>
          <w:sz w:val="32"/>
          <w:szCs w:val="32"/>
        </w:rPr>
        <w:t>“</w:t>
      </w:r>
      <w:bookmarkStart w:id="70" w:name="_GoBack"/>
      <w:bookmarkEnd w:id="70"/>
      <w:r>
        <w:rPr>
          <w:rFonts w:hint="eastAsia" w:ascii="仿宋_GB2312" w:hAnsi="仿宋_GB2312" w:eastAsia="仿宋_GB2312" w:cs="仿宋_GB2312"/>
          <w:b/>
          <w:sz w:val="32"/>
          <w:szCs w:val="32"/>
        </w:rPr>
        <w:t>两学一做”学习教育</w:t>
      </w:r>
    </w:p>
    <w:p>
      <w:pPr>
        <w:spacing w:line="560" w:lineRule="exact"/>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按照国家、省、州、县</w:t>
      </w: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lang w:val="en-US" w:eastAsia="zh-CN"/>
        </w:rPr>
        <w:t>大学习、大讨论、大调研</w:t>
      </w: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lang w:val="en-US" w:eastAsia="zh-CN"/>
        </w:rPr>
        <w:t>及</w:t>
      </w:r>
      <w:r>
        <w:rPr>
          <w:rFonts w:hint="eastAsia" w:ascii="仿宋_GB2312" w:hAnsi="仿宋" w:eastAsia="仿宋_GB2312" w:cs="Times New Roman"/>
          <w:sz w:val="32"/>
          <w:szCs w:val="32"/>
        </w:rPr>
        <w:t>“两学一做”教育的相关要求，我局党员干部积极配合所在支部认真开展</w:t>
      </w: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lang w:val="en-US" w:eastAsia="zh-CN"/>
        </w:rPr>
        <w:t>大学习、大讨论、大调研</w:t>
      </w: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lang w:val="en-US" w:eastAsia="zh-CN"/>
        </w:rPr>
        <w:t>活动及</w:t>
      </w:r>
      <w:r>
        <w:rPr>
          <w:rFonts w:hint="eastAsia" w:ascii="仿宋_GB2312" w:hAnsi="仿宋" w:eastAsia="仿宋_GB2312" w:cs="Times New Roman"/>
          <w:sz w:val="32"/>
          <w:szCs w:val="32"/>
        </w:rPr>
        <w:t>“共产党党章党规、习近平总书记系列重要讲话精神”和“做合格党员”学习教育活动，通过学习</w:t>
      </w: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lang w:val="en-US" w:eastAsia="zh-CN"/>
        </w:rPr>
        <w:t>讨论</w:t>
      </w:r>
      <w:r>
        <w:rPr>
          <w:rFonts w:hint="eastAsia" w:ascii="仿宋_GB2312" w:hAnsi="仿宋" w:eastAsia="仿宋_GB2312" w:cs="Times New Roman"/>
          <w:sz w:val="32"/>
          <w:szCs w:val="32"/>
        </w:rPr>
        <w:t>，教育引导党员干部自觉按照党员标准规范言行，进一步坚定理想信念，提高党性党悟，进一步增强政治意识、大局意识、核心意识、看齐意识，坚定正确政治方向。</w:t>
      </w:r>
    </w:p>
    <w:p>
      <w:pPr>
        <w:spacing w:line="560" w:lineRule="exact"/>
        <w:ind w:firstLine="642" w:firstLineChars="200"/>
        <w:rPr>
          <w:rFonts w:hint="eastAsia" w:ascii="仿宋_GB2312" w:hAnsi="仿宋_GB2312" w:eastAsia="仿宋_GB2312" w:cs="仿宋_GB2312"/>
          <w:b/>
          <w:sz w:val="32"/>
          <w:szCs w:val="32"/>
        </w:rPr>
      </w:pPr>
      <w:r>
        <w:rPr>
          <w:rFonts w:hint="eastAsia" w:ascii="楷体" w:hAnsi="楷体" w:eastAsia="楷体" w:cs="楷体"/>
          <w:b/>
          <w:sz w:val="32"/>
          <w:szCs w:val="32"/>
        </w:rPr>
        <w:t>（8）</w:t>
      </w:r>
      <w:r>
        <w:rPr>
          <w:rFonts w:hint="eastAsia" w:ascii="仿宋_GB2312" w:hAnsi="仿宋_GB2312" w:eastAsia="仿宋_GB2312" w:cs="仿宋_GB2312"/>
          <w:b/>
          <w:sz w:val="32"/>
          <w:szCs w:val="32"/>
        </w:rPr>
        <w:t>积极协助帮扶乡、村做好脱贫攻坚工作</w:t>
      </w:r>
    </w:p>
    <w:p>
      <w:pPr>
        <w:spacing w:line="560" w:lineRule="exact"/>
        <w:ind w:firstLine="640" w:firstLineChars="200"/>
        <w:rPr>
          <w:rFonts w:hint="eastAsia" w:ascii="仿宋_GB2312" w:hAnsi="仿宋" w:eastAsia="仿宋_GB2312"/>
          <w:b w:val="0"/>
          <w:bCs w:val="0"/>
          <w:sz w:val="32"/>
          <w:szCs w:val="32"/>
        </w:rPr>
      </w:pPr>
      <w:r>
        <w:rPr>
          <w:rFonts w:hint="eastAsia" w:ascii="仿宋_GB2312" w:hAnsi="仿宋" w:eastAsia="仿宋_GB2312"/>
          <w:sz w:val="32"/>
          <w:szCs w:val="32"/>
        </w:rPr>
        <w:t>按照国家和省</w:t>
      </w:r>
      <w:r>
        <w:rPr>
          <w:rFonts w:hint="eastAsia" w:ascii="仿宋_GB2312" w:hAnsi="仿宋" w:eastAsia="仿宋_GB2312"/>
          <w:sz w:val="32"/>
          <w:szCs w:val="32"/>
          <w:lang w:eastAsia="zh-CN"/>
        </w:rPr>
        <w:t>、</w:t>
      </w:r>
      <w:r>
        <w:rPr>
          <w:rFonts w:hint="eastAsia" w:ascii="仿宋_GB2312" w:hAnsi="仿宋" w:eastAsia="仿宋_GB2312"/>
          <w:sz w:val="32"/>
          <w:szCs w:val="32"/>
        </w:rPr>
        <w:t>州上级对贫困地区实行精准扶贫的工作要求和组织的安排，我局积极选派驻村干部到阿木乡峨扎村开展精准扶贫工作，</w:t>
      </w:r>
      <w:r>
        <w:rPr>
          <w:rFonts w:hint="eastAsia" w:ascii="仿宋_GB2312" w:hAnsi="仿宋" w:eastAsia="仿宋_GB2312"/>
          <w:b w:val="0"/>
          <w:bCs w:val="0"/>
          <w:sz w:val="32"/>
          <w:szCs w:val="32"/>
        </w:rPr>
        <w:t>对16户精准扶贫户对象</w:t>
      </w:r>
      <w:r>
        <w:rPr>
          <w:rFonts w:hint="eastAsia" w:ascii="仿宋_GB2312" w:hAnsi="仿宋" w:eastAsia="仿宋_GB2312"/>
          <w:b w:val="0"/>
          <w:bCs w:val="0"/>
          <w:sz w:val="32"/>
          <w:szCs w:val="32"/>
          <w:lang w:val="en-US" w:eastAsia="zh-CN"/>
        </w:rPr>
        <w:t>多次</w:t>
      </w:r>
      <w:r>
        <w:rPr>
          <w:rFonts w:hint="eastAsia" w:ascii="仿宋_GB2312" w:hAnsi="仿宋" w:eastAsia="仿宋_GB2312"/>
          <w:b w:val="0"/>
          <w:bCs w:val="0"/>
          <w:sz w:val="32"/>
          <w:szCs w:val="32"/>
        </w:rPr>
        <w:t>开展入户调查，完善相关资料，谋划脱贫思路，帮扶的</w:t>
      </w:r>
      <w:r>
        <w:rPr>
          <w:rFonts w:hint="eastAsia" w:ascii="仿宋_GB2312" w:hAnsi="仿宋" w:eastAsia="仿宋_GB2312"/>
          <w:b w:val="0"/>
          <w:bCs w:val="0"/>
          <w:sz w:val="32"/>
          <w:szCs w:val="32"/>
          <w:lang w:val="en-US" w:eastAsia="zh-CN"/>
        </w:rPr>
        <w:t>2</w:t>
      </w:r>
      <w:r>
        <w:rPr>
          <w:rFonts w:hint="eastAsia" w:ascii="仿宋_GB2312" w:hAnsi="仿宋" w:eastAsia="仿宋_GB2312"/>
          <w:b w:val="0"/>
          <w:bCs w:val="0"/>
          <w:sz w:val="32"/>
          <w:szCs w:val="32"/>
        </w:rPr>
        <w:t>户扶贫对象在201</w:t>
      </w:r>
      <w:r>
        <w:rPr>
          <w:rFonts w:hint="eastAsia" w:ascii="仿宋_GB2312" w:hAnsi="仿宋" w:eastAsia="仿宋_GB2312"/>
          <w:b w:val="0"/>
          <w:bCs w:val="0"/>
          <w:sz w:val="32"/>
          <w:szCs w:val="32"/>
          <w:lang w:val="en-US" w:eastAsia="zh-CN"/>
        </w:rPr>
        <w:t>8</w:t>
      </w:r>
      <w:r>
        <w:rPr>
          <w:rFonts w:hint="eastAsia" w:ascii="仿宋_GB2312" w:hAnsi="仿宋" w:eastAsia="仿宋_GB2312"/>
          <w:b w:val="0"/>
          <w:bCs w:val="0"/>
          <w:sz w:val="32"/>
          <w:szCs w:val="32"/>
        </w:rPr>
        <w:t>年年底脱贫</w:t>
      </w:r>
      <w:r>
        <w:rPr>
          <w:rFonts w:hint="eastAsia" w:ascii="仿宋_GB2312" w:hAnsi="仿宋" w:eastAsia="仿宋_GB2312"/>
          <w:b w:val="0"/>
          <w:bCs w:val="0"/>
          <w:sz w:val="32"/>
          <w:szCs w:val="32"/>
          <w:lang w:eastAsia="zh-CN"/>
        </w:rPr>
        <w:t>，</w:t>
      </w:r>
      <w:r>
        <w:rPr>
          <w:rFonts w:hint="eastAsia" w:ascii="仿宋_GB2312" w:hAnsi="仿宋" w:eastAsia="仿宋_GB2312"/>
          <w:b w:val="0"/>
          <w:bCs w:val="0"/>
          <w:sz w:val="32"/>
          <w:szCs w:val="32"/>
          <w:lang w:val="en-US" w:eastAsia="zh-CN"/>
        </w:rPr>
        <w:t>实现16户全脱贫目标</w:t>
      </w:r>
      <w:r>
        <w:rPr>
          <w:rFonts w:hint="eastAsia" w:ascii="仿宋_GB2312" w:hAnsi="仿宋" w:eastAsia="仿宋_GB2312"/>
          <w:b w:val="0"/>
          <w:bCs w:val="0"/>
          <w:sz w:val="32"/>
          <w:szCs w:val="32"/>
        </w:rPr>
        <w:t>。</w:t>
      </w:r>
      <w:r>
        <w:rPr>
          <w:rFonts w:hint="eastAsia" w:ascii="仿宋_GB2312" w:hAnsi="仿宋" w:eastAsia="仿宋_GB2312"/>
          <w:b w:val="0"/>
          <w:bCs w:val="0"/>
          <w:sz w:val="32"/>
          <w:szCs w:val="32"/>
          <w:lang w:val="en-US" w:eastAsia="zh-CN"/>
        </w:rPr>
        <w:t>为更好地迎接州级脱贫验收工作，对126户非贫困入户调查，核实数据，宣传政策。</w:t>
      </w:r>
      <w:r>
        <w:rPr>
          <w:rFonts w:hint="eastAsia" w:ascii="仿宋_GB2312" w:hAnsi="仿宋" w:eastAsia="仿宋_GB2312"/>
          <w:b w:val="0"/>
          <w:bCs w:val="0"/>
          <w:sz w:val="32"/>
          <w:szCs w:val="32"/>
        </w:rPr>
        <w:t>为了支持联系</w:t>
      </w:r>
      <w:r>
        <w:rPr>
          <w:rFonts w:hint="eastAsia" w:ascii="仿宋_GB2312" w:hAnsi="仿宋" w:eastAsia="仿宋_GB2312"/>
          <w:b w:val="0"/>
          <w:bCs w:val="0"/>
          <w:sz w:val="32"/>
          <w:szCs w:val="32"/>
          <w:lang w:val="en-US" w:eastAsia="zh-CN"/>
        </w:rPr>
        <w:t>村、联系</w:t>
      </w:r>
      <w:r>
        <w:rPr>
          <w:rFonts w:hint="eastAsia" w:ascii="仿宋_GB2312" w:hAnsi="仿宋" w:eastAsia="仿宋_GB2312"/>
          <w:b w:val="0"/>
          <w:bCs w:val="0"/>
          <w:sz w:val="32"/>
          <w:szCs w:val="32"/>
        </w:rPr>
        <w:t>寺庙开展好基层工作，我局给联系</w:t>
      </w:r>
      <w:r>
        <w:rPr>
          <w:rFonts w:hint="eastAsia" w:ascii="仿宋_GB2312" w:hAnsi="仿宋" w:eastAsia="仿宋_GB2312"/>
          <w:b w:val="0"/>
          <w:bCs w:val="0"/>
          <w:sz w:val="32"/>
          <w:szCs w:val="32"/>
          <w:lang w:val="en-US" w:eastAsia="zh-CN"/>
        </w:rPr>
        <w:t>村送去取暖物资1500元，给联系</w:t>
      </w:r>
      <w:r>
        <w:rPr>
          <w:rFonts w:hint="eastAsia" w:ascii="仿宋_GB2312" w:hAnsi="仿宋" w:eastAsia="仿宋_GB2312"/>
          <w:b w:val="0"/>
          <w:bCs w:val="0"/>
          <w:sz w:val="32"/>
          <w:szCs w:val="32"/>
        </w:rPr>
        <w:t>寺庙5000元的办公经费。</w:t>
      </w:r>
      <w:r>
        <w:rPr>
          <w:rFonts w:hint="eastAsia" w:ascii="仿宋_GB2312" w:hAnsi="仿宋" w:eastAsia="仿宋_GB2312"/>
          <w:b w:val="0"/>
          <w:bCs w:val="0"/>
          <w:sz w:val="32"/>
          <w:szCs w:val="32"/>
          <w:lang w:val="en-US" w:eastAsia="zh-CN"/>
        </w:rPr>
        <w:t>重要节假日</w:t>
      </w:r>
      <w:r>
        <w:rPr>
          <w:rFonts w:hint="eastAsia" w:ascii="仿宋_GB2312" w:hAnsi="仿宋" w:eastAsia="仿宋_GB2312"/>
          <w:b w:val="0"/>
          <w:bCs w:val="0"/>
          <w:sz w:val="32"/>
          <w:szCs w:val="32"/>
        </w:rPr>
        <w:t>期间慰问贫困户</w:t>
      </w:r>
      <w:r>
        <w:rPr>
          <w:rFonts w:hint="eastAsia" w:ascii="仿宋_GB2312" w:hAnsi="仿宋" w:eastAsia="仿宋_GB2312"/>
          <w:b w:val="0"/>
          <w:bCs w:val="0"/>
          <w:sz w:val="32"/>
          <w:szCs w:val="32"/>
          <w:lang w:val="en-US" w:eastAsia="zh-CN"/>
        </w:rPr>
        <w:t>16</w:t>
      </w:r>
      <w:r>
        <w:rPr>
          <w:rFonts w:hint="eastAsia" w:ascii="仿宋_GB2312" w:hAnsi="仿宋" w:eastAsia="仿宋_GB2312"/>
          <w:b w:val="0"/>
          <w:bCs w:val="0"/>
          <w:sz w:val="32"/>
          <w:szCs w:val="32"/>
        </w:rPr>
        <w:t>户，送去慰问物资</w:t>
      </w:r>
      <w:r>
        <w:rPr>
          <w:rFonts w:hint="eastAsia" w:ascii="仿宋_GB2312" w:hAnsi="仿宋" w:eastAsia="仿宋_GB2312"/>
          <w:b w:val="0"/>
          <w:bCs w:val="0"/>
          <w:sz w:val="32"/>
          <w:szCs w:val="32"/>
          <w:lang w:val="en-US" w:eastAsia="zh-CN"/>
        </w:rPr>
        <w:t>1200</w:t>
      </w:r>
      <w:r>
        <w:rPr>
          <w:rFonts w:hint="eastAsia" w:ascii="仿宋_GB2312" w:hAnsi="仿宋" w:eastAsia="仿宋_GB2312"/>
          <w:b w:val="0"/>
          <w:bCs w:val="0"/>
          <w:sz w:val="32"/>
          <w:szCs w:val="32"/>
        </w:rPr>
        <w:t>元。</w:t>
      </w:r>
    </w:p>
    <w:p>
      <w:pPr>
        <w:spacing w:line="560" w:lineRule="exact"/>
        <w:ind w:firstLine="642" w:firstLineChars="200"/>
        <w:jc w:val="left"/>
        <w:rPr>
          <w:rFonts w:ascii="仿宋" w:hAnsi="仿宋" w:eastAsia="仿宋"/>
          <w:b/>
          <w:sz w:val="32"/>
          <w:szCs w:val="32"/>
          <w:shd w:val="clear" w:color="auto" w:fill="FFFFFF"/>
        </w:rPr>
      </w:pPr>
      <w:r>
        <w:rPr>
          <w:rFonts w:ascii="仿宋" w:hAnsi="仿宋" w:eastAsia="仿宋"/>
          <w:b/>
          <w:color w:val="555555"/>
          <w:sz w:val="32"/>
          <w:szCs w:val="32"/>
          <w:shd w:val="clear" w:color="auto" w:fill="FFFFFF"/>
        </w:rPr>
        <w:t>3、服务对象满意度。</w:t>
      </w:r>
      <w:r>
        <w:rPr>
          <w:rFonts w:ascii="仿宋" w:hAnsi="仿宋" w:eastAsia="仿宋"/>
          <w:sz w:val="32"/>
          <w:szCs w:val="32"/>
          <w:shd w:val="clear" w:color="auto" w:fill="FFFFFF"/>
        </w:rPr>
        <w:t>安监局作为安全生产工作监督管理部门，既是一个行政执法单位，又是一个为企业服务的政府部门。在日常工作中，我们严格执行国家对安全生产工作的相关法律法规和文件精神，加强日常监管，对严重违法违规的行为依法进行行政处罚，督促企业开展隐患整改，杜绝重特大安全生产事故的发生，同时我们结合部分职工的专业知识，鼓励单位职工在开展日常监督检查的同时，给企业提供一些必要的、合理的建议和方案，促进企业更好的发展。在工作中我们坚持清正廉洁的工作作风，杜绝“吃、拿、卡、要”的不良风气，树立良好的政府形象，服务对象的满意度不断提高。</w:t>
      </w:r>
    </w:p>
    <w:p>
      <w:pPr>
        <w:spacing w:line="560" w:lineRule="exact"/>
        <w:ind w:firstLine="640" w:firstLineChars="200"/>
        <w:jc w:val="left"/>
        <w:rPr>
          <w:rFonts w:ascii="仿宋_GB2312" w:eastAsia="仿宋_GB2312"/>
          <w:sz w:val="32"/>
          <w:szCs w:val="32"/>
        </w:rPr>
      </w:pPr>
      <w:r>
        <w:rPr>
          <w:rFonts w:ascii="黑体" w:hAnsi="黑体" w:eastAsia="黑体"/>
          <w:sz w:val="32"/>
          <w:szCs w:val="32"/>
          <w:shd w:val="clear" w:color="auto" w:fill="FFFFFF"/>
        </w:rPr>
        <w:t>四、评价结论及建议</w:t>
      </w:r>
      <w:r>
        <w:rPr>
          <w:rFonts w:ascii="仿宋" w:hAnsi="仿宋" w:eastAsia="仿宋"/>
          <w:sz w:val="32"/>
          <w:szCs w:val="32"/>
        </w:rPr>
        <w:br w:type="textWrapping"/>
      </w:r>
      <w:r>
        <w:rPr>
          <w:rFonts w:ascii="仿宋" w:hAnsi="仿宋" w:eastAsia="仿宋"/>
          <w:sz w:val="32"/>
          <w:szCs w:val="32"/>
          <w:shd w:val="clear" w:color="auto" w:fill="FFFFFF"/>
        </w:rPr>
        <w:t>　　</w:t>
      </w:r>
      <w:r>
        <w:rPr>
          <w:rStyle w:val="15"/>
          <w:rFonts w:ascii="仿宋" w:hAnsi="仿宋" w:eastAsia="仿宋"/>
          <w:sz w:val="32"/>
          <w:szCs w:val="32"/>
          <w:shd w:val="clear" w:color="auto" w:fill="FFFFFF"/>
        </w:rPr>
        <w:t>（一）</w:t>
      </w:r>
      <w:r>
        <w:rPr>
          <w:rStyle w:val="15"/>
          <w:rFonts w:hint="eastAsia" w:ascii="仿宋_GB2312" w:hAnsi="仿宋_GB2312" w:eastAsia="仿宋_GB2312" w:cs="仿宋_GB2312"/>
          <w:sz w:val="32"/>
          <w:szCs w:val="32"/>
          <w:shd w:val="clear" w:color="auto" w:fill="FFFFFF"/>
        </w:rPr>
        <w:t>评价结论：</w:t>
      </w:r>
      <w:r>
        <w:rPr>
          <w:rFonts w:hint="eastAsia" w:ascii="仿宋" w:hAnsi="仿宋" w:eastAsia="仿宋"/>
          <w:sz w:val="32"/>
          <w:szCs w:val="32"/>
          <w:shd w:val="clear" w:color="auto" w:fill="FFFFFF"/>
        </w:rPr>
        <w:t>红原县安全生产监督管理局</w:t>
      </w:r>
      <w:r>
        <w:rPr>
          <w:rFonts w:ascii="仿宋" w:hAnsi="仿宋" w:eastAsia="仿宋"/>
          <w:sz w:val="32"/>
          <w:szCs w:val="32"/>
          <w:shd w:val="clear" w:color="auto" w:fill="FFFFFF"/>
        </w:rPr>
        <w:t>自评201</w:t>
      </w:r>
      <w:r>
        <w:rPr>
          <w:rFonts w:hint="eastAsia" w:ascii="仿宋" w:hAnsi="仿宋" w:eastAsia="仿宋"/>
          <w:sz w:val="32"/>
          <w:szCs w:val="32"/>
          <w:shd w:val="clear" w:color="auto" w:fill="FFFFFF"/>
          <w:lang w:val="en-US" w:eastAsia="zh-CN"/>
        </w:rPr>
        <w:t>8</w:t>
      </w:r>
      <w:r>
        <w:rPr>
          <w:rFonts w:ascii="仿宋" w:hAnsi="仿宋" w:eastAsia="仿宋"/>
          <w:sz w:val="32"/>
          <w:szCs w:val="32"/>
          <w:shd w:val="clear" w:color="auto" w:fill="FFFFFF"/>
        </w:rPr>
        <w:t>部门预算支出绩效综合自评得分为</w:t>
      </w:r>
      <w:r>
        <w:rPr>
          <w:rFonts w:hint="eastAsia" w:ascii="仿宋" w:hAnsi="仿宋" w:eastAsia="仿宋"/>
          <w:sz w:val="32"/>
          <w:szCs w:val="32"/>
          <w:shd w:val="clear" w:color="auto" w:fill="FFFFFF"/>
        </w:rPr>
        <w:t>97</w:t>
      </w:r>
      <w:r>
        <w:rPr>
          <w:rFonts w:ascii="仿宋" w:hAnsi="仿宋" w:eastAsia="仿宋"/>
          <w:sz w:val="32"/>
          <w:szCs w:val="32"/>
          <w:shd w:val="clear" w:color="auto" w:fill="FFFFFF"/>
        </w:rPr>
        <w:t>分。</w:t>
      </w:r>
      <w:r>
        <w:rPr>
          <w:rFonts w:ascii="仿宋" w:hAnsi="仿宋" w:eastAsia="仿宋"/>
          <w:sz w:val="32"/>
          <w:szCs w:val="32"/>
        </w:rPr>
        <w:br w:type="textWrapping"/>
      </w:r>
      <w:r>
        <w:rPr>
          <w:rFonts w:ascii="仿宋" w:hAnsi="仿宋" w:eastAsia="仿宋"/>
          <w:sz w:val="32"/>
          <w:szCs w:val="32"/>
          <w:shd w:val="clear" w:color="auto" w:fill="FFFFFF"/>
        </w:rPr>
        <w:t>　　</w:t>
      </w:r>
      <w:r>
        <w:rPr>
          <w:rStyle w:val="15"/>
          <w:rFonts w:ascii="仿宋" w:hAnsi="仿宋" w:eastAsia="仿宋"/>
          <w:sz w:val="32"/>
          <w:szCs w:val="32"/>
          <w:shd w:val="clear" w:color="auto" w:fill="FFFFFF"/>
        </w:rPr>
        <w:t>（二）</w:t>
      </w:r>
      <w:r>
        <w:rPr>
          <w:rStyle w:val="15"/>
          <w:rFonts w:hint="eastAsia" w:ascii="仿宋_GB2312" w:hAnsi="仿宋_GB2312" w:eastAsia="仿宋_GB2312" w:cs="仿宋_GB2312"/>
          <w:sz w:val="32"/>
          <w:szCs w:val="32"/>
          <w:shd w:val="clear" w:color="auto" w:fill="FFFFFF"/>
        </w:rPr>
        <w:t>存在问题</w:t>
      </w:r>
      <w:r>
        <w:rPr>
          <w:rFonts w:ascii="仿宋" w:hAnsi="仿宋" w:eastAsia="仿宋"/>
          <w:sz w:val="32"/>
          <w:szCs w:val="32"/>
        </w:rPr>
        <w:br w:type="textWrapping"/>
      </w:r>
      <w:r>
        <w:rPr>
          <w:rFonts w:ascii="仿宋" w:hAnsi="仿宋" w:eastAsia="仿宋"/>
          <w:sz w:val="32"/>
          <w:szCs w:val="32"/>
          <w:shd w:val="clear" w:color="auto" w:fill="FFFFFF"/>
        </w:rPr>
        <w:t>　　</w:t>
      </w:r>
      <w:r>
        <w:rPr>
          <w:rFonts w:hint="eastAsia" w:ascii="仿宋_GB2312" w:eastAsia="仿宋_GB2312"/>
          <w:sz w:val="32"/>
          <w:szCs w:val="32"/>
        </w:rPr>
        <w:t>从我局201</w:t>
      </w:r>
      <w:r>
        <w:rPr>
          <w:rFonts w:hint="eastAsia" w:ascii="仿宋_GB2312" w:eastAsia="仿宋_GB2312"/>
          <w:sz w:val="32"/>
          <w:szCs w:val="32"/>
          <w:lang w:val="en-US" w:eastAsia="zh-CN"/>
        </w:rPr>
        <w:t>8</w:t>
      </w:r>
      <w:r>
        <w:rPr>
          <w:rFonts w:hint="eastAsia" w:ascii="仿宋_GB2312" w:eastAsia="仿宋_GB2312"/>
          <w:sz w:val="32"/>
          <w:szCs w:val="32"/>
        </w:rPr>
        <w:t>年度部门整体预算收支各指标完成情况看,目前在部门整体预算编制、执行和管理过程中,还存在一些问题和不足: 由于我局编制少、工作量大，财务人员均为兼职，部门整体预算编制、执行和管理质量不高。</w:t>
      </w:r>
    </w:p>
    <w:p>
      <w:pPr>
        <w:spacing w:line="560" w:lineRule="exact"/>
        <w:ind w:firstLine="642" w:firstLineChars="200"/>
        <w:jc w:val="left"/>
        <w:rPr>
          <w:rStyle w:val="15"/>
          <w:rFonts w:ascii="仿宋" w:hAnsi="仿宋" w:eastAsia="仿宋"/>
          <w:color w:val="000000" w:themeColor="text1"/>
          <w:sz w:val="32"/>
          <w:szCs w:val="32"/>
          <w:shd w:val="clear" w:color="auto" w:fill="FFFFFF"/>
          <w14:textFill>
            <w14:solidFill>
              <w14:schemeClr w14:val="tx1"/>
            </w14:solidFill>
          </w14:textFill>
        </w:rPr>
      </w:pPr>
      <w:r>
        <w:rPr>
          <w:rStyle w:val="15"/>
          <w:rFonts w:hint="eastAsia" w:ascii="仿宋" w:hAnsi="仿宋" w:eastAsia="仿宋"/>
          <w:color w:val="000000" w:themeColor="text1"/>
          <w:sz w:val="32"/>
          <w:szCs w:val="32"/>
          <w:shd w:val="clear" w:color="auto" w:fill="FFFFFF"/>
          <w14:textFill>
            <w14:solidFill>
              <w14:schemeClr w14:val="tx1"/>
            </w14:solidFill>
          </w14:textFill>
        </w:rPr>
        <w:t>（三）</w:t>
      </w:r>
      <w:r>
        <w:rPr>
          <w:rStyle w:val="15"/>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改进建议</w:t>
      </w:r>
    </w:p>
    <w:p>
      <w:pPr>
        <w:spacing w:line="560" w:lineRule="exact"/>
        <w:ind w:firstLine="640" w:firstLineChars="200"/>
        <w:jc w:val="left"/>
        <w:rPr>
          <w:rFonts w:ascii="仿宋" w:hAnsi="仿宋" w:eastAsia="仿宋"/>
          <w:color w:val="000000" w:themeColor="text1"/>
          <w:sz w:val="32"/>
          <w:szCs w:val="32"/>
          <w:shd w:val="clear" w:color="auto" w:fill="FFFFFF"/>
          <w14:textFill>
            <w14:solidFill>
              <w14:schemeClr w14:val="tx1"/>
            </w14:solidFill>
          </w14:textFill>
        </w:rPr>
      </w:pPr>
      <w:r>
        <w:rPr>
          <w:rFonts w:hint="eastAsia" w:ascii="仿宋" w:hAnsi="仿宋" w:eastAsia="仿宋"/>
          <w:color w:val="000000" w:themeColor="text1"/>
          <w:sz w:val="32"/>
          <w:szCs w:val="32"/>
          <w:shd w:val="clear" w:color="auto" w:fill="FFFFFF"/>
          <w14:textFill>
            <w14:solidFill>
              <w14:schemeClr w14:val="tx1"/>
            </w14:solidFill>
          </w14:textFill>
        </w:rPr>
        <w:t xml:space="preserve">1、进一步规范资金的管理和使用，加强财务管理，严格财务审核，提高财务的精细化管理。  </w:t>
      </w:r>
    </w:p>
    <w:p>
      <w:pPr>
        <w:spacing w:line="560" w:lineRule="exact"/>
        <w:ind w:firstLine="640" w:firstLineChars="200"/>
        <w:jc w:val="left"/>
        <w:rPr>
          <w:rFonts w:ascii="仿宋" w:hAnsi="仿宋" w:eastAsia="仿宋"/>
          <w:color w:val="000000" w:themeColor="text1"/>
          <w:sz w:val="32"/>
          <w:szCs w:val="32"/>
          <w:shd w:val="clear" w:color="auto" w:fill="FFFFFF"/>
          <w14:textFill>
            <w14:solidFill>
              <w14:schemeClr w14:val="tx1"/>
            </w14:solidFill>
          </w14:textFill>
        </w:rPr>
      </w:pPr>
      <w:r>
        <w:rPr>
          <w:rFonts w:hint="eastAsia" w:ascii="仿宋" w:hAnsi="仿宋" w:eastAsia="仿宋"/>
          <w:color w:val="000000" w:themeColor="text1"/>
          <w:sz w:val="32"/>
          <w:szCs w:val="32"/>
          <w:shd w:val="clear" w:color="auto" w:fill="FFFFFF"/>
          <w14:textFill>
            <w14:solidFill>
              <w14:schemeClr w14:val="tx1"/>
            </w14:solidFill>
          </w14:textFill>
        </w:rPr>
        <w:t xml:space="preserve"> 2、建议财政部门切实加大对预算单位的支出绩效评价业务培训和工作指导力度，以全面提升我县预算支出绩效整体水平。</w:t>
      </w:r>
      <w:r>
        <w:rPr>
          <w:rStyle w:val="33"/>
          <w:rFonts w:hint="eastAsia" w:ascii="宋体" w:hAnsi="宋体" w:eastAsia="宋体" w:cs="宋体"/>
          <w:color w:val="000000" w:themeColor="text1"/>
          <w:sz w:val="32"/>
          <w:szCs w:val="32"/>
          <w:shd w:val="clear" w:color="auto" w:fill="FFFFFF"/>
          <w14:textFill>
            <w14:solidFill>
              <w14:schemeClr w14:val="tx1"/>
            </w14:solidFill>
          </w14:textFill>
        </w:rPr>
        <w:t> </w:t>
      </w:r>
    </w:p>
    <w:p>
      <w:pPr>
        <w:spacing w:line="560" w:lineRule="exact"/>
        <w:ind w:firstLine="640" w:firstLineChars="200"/>
        <w:jc w:val="left"/>
        <w:rPr>
          <w:rFonts w:ascii="仿宋" w:hAnsi="仿宋" w:eastAsia="仿宋"/>
          <w:color w:val="000000" w:themeColor="text1"/>
          <w:sz w:val="32"/>
          <w:szCs w:val="32"/>
          <w14:textFill>
            <w14:solidFill>
              <w14:schemeClr w14:val="tx1"/>
            </w14:solidFill>
          </w14:textFill>
        </w:rPr>
      </w:pPr>
    </w:p>
    <w:p>
      <w:pPr>
        <w:spacing w:line="560" w:lineRule="exact"/>
        <w:ind w:firstLine="640" w:firstLineChars="200"/>
        <w:jc w:val="left"/>
        <w:rPr>
          <w:rFonts w:ascii="仿宋" w:hAnsi="仿宋" w:eastAsia="仿宋"/>
          <w:color w:val="000000" w:themeColor="text1"/>
          <w:sz w:val="32"/>
          <w:szCs w:val="32"/>
          <w14:textFill>
            <w14:solidFill>
              <w14:schemeClr w14:val="tx1"/>
            </w14:solidFill>
          </w14:textFill>
        </w:rPr>
      </w:pPr>
    </w:p>
    <w:p>
      <w:pPr>
        <w:spacing w:line="560" w:lineRule="exact"/>
        <w:ind w:firstLine="640" w:firstLineChars="20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w:t>
      </w:r>
    </w:p>
    <w:p>
      <w:pPr>
        <w:pStyle w:val="3"/>
        <w:rPr>
          <w:rStyle w:val="27"/>
          <w:rFonts w:hint="eastAsia" w:ascii="仿宋" w:hAnsi="仿宋" w:eastAsia="仿宋"/>
          <w:b w:val="0"/>
          <w:bCs w:val="0"/>
          <w:sz w:val="32"/>
          <w:szCs w:val="32"/>
        </w:rPr>
      </w:pPr>
    </w:p>
    <w:p>
      <w:pPr>
        <w:pStyle w:val="3"/>
        <w:rPr>
          <w:rStyle w:val="27"/>
          <w:rFonts w:hint="eastAsia" w:ascii="仿宋" w:hAnsi="仿宋" w:eastAsia="仿宋"/>
          <w:b w:val="0"/>
          <w:bCs w:val="0"/>
          <w:sz w:val="32"/>
          <w:szCs w:val="32"/>
        </w:rPr>
      </w:pPr>
    </w:p>
    <w:p>
      <w:pPr>
        <w:pStyle w:val="3"/>
        <w:rPr>
          <w:rStyle w:val="27"/>
          <w:rFonts w:hint="eastAsia" w:ascii="仿宋" w:hAnsi="仿宋" w:eastAsia="仿宋"/>
          <w:b w:val="0"/>
          <w:bCs w:val="0"/>
          <w:sz w:val="32"/>
          <w:szCs w:val="32"/>
        </w:rPr>
      </w:pPr>
    </w:p>
    <w:bookmarkEnd w:id="56"/>
    <w:p>
      <w:pPr>
        <w:spacing w:line="600" w:lineRule="exact"/>
        <w:jc w:val="both"/>
        <w:outlineLvl w:val="0"/>
        <w:rPr>
          <w:rFonts w:hint="eastAsia" w:ascii="黑体" w:hAnsi="黑体" w:eastAsia="黑体"/>
          <w:color w:val="000000"/>
          <w:sz w:val="44"/>
          <w:szCs w:val="44"/>
        </w:rPr>
      </w:pPr>
      <w:bookmarkStart w:id="57" w:name="_Toc15396618"/>
    </w:p>
    <w:p>
      <w:pPr>
        <w:spacing w:line="600" w:lineRule="exact"/>
        <w:jc w:val="center"/>
        <w:outlineLvl w:val="0"/>
        <w:rPr>
          <w:rStyle w:val="27"/>
          <w:rFonts w:ascii="黑体" w:hAnsi="黑体" w:eastAsia="黑体"/>
          <w:b w:val="0"/>
        </w:rPr>
      </w:pPr>
      <w:r>
        <w:rPr>
          <w:rFonts w:hint="eastAsia" w:ascii="黑体" w:hAnsi="黑体" w:eastAsia="黑体"/>
          <w:color w:val="000000"/>
          <w:sz w:val="44"/>
          <w:szCs w:val="44"/>
        </w:rPr>
        <w:t>第</w:t>
      </w:r>
      <w:r>
        <w:rPr>
          <w:rStyle w:val="27"/>
          <w:rFonts w:hint="eastAsia" w:ascii="黑体" w:hAnsi="黑体" w:eastAsia="黑体"/>
          <w:b w:val="0"/>
        </w:rPr>
        <w:t>五部分 附表</w:t>
      </w:r>
      <w:bookmarkEnd w:id="54"/>
      <w:bookmarkEnd w:id="57"/>
    </w:p>
    <w:p>
      <w:pPr>
        <w:spacing w:line="600" w:lineRule="exact"/>
        <w:jc w:val="center"/>
        <w:outlineLvl w:val="0"/>
        <w:rPr>
          <w:rFonts w:ascii="仿宋" w:hAnsi="仿宋" w:eastAsia="仿宋"/>
          <w:b/>
          <w:color w:val="000000"/>
          <w:sz w:val="44"/>
          <w:szCs w:val="44"/>
        </w:rPr>
      </w:pPr>
    </w:p>
    <w:p>
      <w:pPr>
        <w:pStyle w:val="3"/>
        <w:numPr>
          <w:ilvl w:val="0"/>
          <w:numId w:val="9"/>
        </w:numPr>
        <w:rPr>
          <w:rFonts w:hint="eastAsia" w:ascii="仿宋" w:hAnsi="仿宋" w:eastAsia="仿宋"/>
          <w:b w:val="0"/>
          <w:color w:val="000000"/>
        </w:rPr>
      </w:pPr>
      <w:bookmarkStart w:id="58" w:name="_Toc15396620"/>
      <w:r>
        <w:rPr>
          <w:rFonts w:hint="eastAsia" w:ascii="仿宋" w:hAnsi="仿宋" w:eastAsia="仿宋"/>
          <w:b w:val="0"/>
          <w:color w:val="000000"/>
        </w:rPr>
        <w:t>收入支出决算总表</w:t>
      </w:r>
    </w:p>
    <w:p>
      <w:pPr>
        <w:pStyle w:val="3"/>
        <w:numPr>
          <w:ilvl w:val="0"/>
          <w:numId w:val="0"/>
        </w:numPr>
        <w:rPr>
          <w:rFonts w:ascii="仿宋" w:hAnsi="仿宋" w:eastAsia="仿宋"/>
          <w:color w:val="000000"/>
        </w:rPr>
      </w:pPr>
      <w:r>
        <w:rPr>
          <w:rFonts w:hint="eastAsia" w:ascii="仿宋" w:hAnsi="仿宋" w:eastAsia="仿宋"/>
          <w:b w:val="0"/>
          <w:color w:val="000000"/>
        </w:rPr>
        <w:t>二、收</w:t>
      </w:r>
      <w:r>
        <w:rPr>
          <w:rStyle w:val="28"/>
          <w:rFonts w:hint="eastAsia" w:ascii="仿宋" w:hAnsi="仿宋" w:eastAsia="仿宋"/>
          <w:b w:val="0"/>
          <w:bCs w:val="0"/>
        </w:rPr>
        <w:t>入总表</w:t>
      </w:r>
      <w:bookmarkEnd w:id="58"/>
    </w:p>
    <w:p>
      <w:pPr>
        <w:pStyle w:val="3"/>
        <w:rPr>
          <w:rFonts w:ascii="仿宋" w:hAnsi="仿宋" w:eastAsia="仿宋"/>
          <w:color w:val="000000"/>
        </w:rPr>
      </w:pPr>
      <w:bookmarkStart w:id="59" w:name="_Toc15396621"/>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出总表</w:t>
      </w:r>
      <w:bookmarkEnd w:id="59"/>
    </w:p>
    <w:p>
      <w:pPr>
        <w:pStyle w:val="3"/>
        <w:rPr>
          <w:rFonts w:ascii="仿宋" w:hAnsi="仿宋" w:eastAsia="仿宋"/>
          <w:b w:val="0"/>
          <w:color w:val="000000"/>
        </w:rPr>
      </w:pPr>
      <w:bookmarkStart w:id="60" w:name="_Toc15396622"/>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60"/>
    </w:p>
    <w:p>
      <w:pPr>
        <w:pStyle w:val="3"/>
        <w:rPr>
          <w:rFonts w:ascii="仿宋" w:hAnsi="仿宋" w:eastAsia="仿宋"/>
          <w:color w:val="000000"/>
        </w:rPr>
      </w:pPr>
      <w:bookmarkStart w:id="61" w:name="_Toc15396623"/>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政拨款支出决算明细表（政府经济分类科目）</w:t>
      </w:r>
      <w:bookmarkEnd w:id="61"/>
    </w:p>
    <w:p>
      <w:pPr>
        <w:pStyle w:val="3"/>
        <w:rPr>
          <w:rFonts w:ascii="仿宋" w:hAnsi="仿宋" w:eastAsia="仿宋"/>
          <w:color w:val="000000"/>
        </w:rPr>
      </w:pPr>
      <w:bookmarkStart w:id="62" w:name="_Toc15396624"/>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62"/>
    </w:p>
    <w:p>
      <w:pPr>
        <w:pStyle w:val="3"/>
        <w:rPr>
          <w:rFonts w:ascii="仿宋" w:hAnsi="仿宋" w:eastAsia="仿宋"/>
          <w:color w:val="000000"/>
        </w:rPr>
      </w:pPr>
      <w:bookmarkStart w:id="63" w:name="_Toc15396625"/>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63"/>
    </w:p>
    <w:p>
      <w:pPr>
        <w:pStyle w:val="3"/>
        <w:rPr>
          <w:rFonts w:ascii="仿宋" w:hAnsi="仿宋" w:eastAsia="仿宋"/>
          <w:color w:val="000000"/>
        </w:rPr>
      </w:pPr>
      <w:bookmarkStart w:id="64" w:name="_Toc15396626"/>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64"/>
    </w:p>
    <w:p>
      <w:pPr>
        <w:pStyle w:val="3"/>
        <w:rPr>
          <w:rFonts w:ascii="仿宋" w:hAnsi="仿宋" w:eastAsia="仿宋"/>
          <w:color w:val="000000"/>
        </w:rPr>
      </w:pPr>
      <w:bookmarkStart w:id="65" w:name="_Toc15396627"/>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65"/>
    </w:p>
    <w:p>
      <w:pPr>
        <w:pStyle w:val="3"/>
        <w:rPr>
          <w:rFonts w:ascii="仿宋" w:hAnsi="仿宋" w:eastAsia="仿宋"/>
          <w:color w:val="000000"/>
        </w:rPr>
      </w:pPr>
      <w:bookmarkStart w:id="66" w:name="_Toc15396628"/>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66"/>
    </w:p>
    <w:p>
      <w:pPr>
        <w:pStyle w:val="3"/>
        <w:rPr>
          <w:rFonts w:ascii="仿宋" w:hAnsi="仿宋" w:eastAsia="仿宋"/>
          <w:color w:val="000000"/>
        </w:rPr>
      </w:pPr>
      <w:bookmarkStart w:id="67" w:name="_Toc15396629"/>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67"/>
    </w:p>
    <w:p>
      <w:pPr>
        <w:pStyle w:val="3"/>
        <w:rPr>
          <w:rFonts w:ascii="仿宋" w:hAnsi="仿宋" w:eastAsia="仿宋"/>
          <w:color w:val="000000"/>
        </w:rPr>
      </w:pPr>
      <w:bookmarkStart w:id="68" w:name="_Toc15396630"/>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68"/>
    </w:p>
    <w:p>
      <w:pPr>
        <w:pStyle w:val="3"/>
        <w:rPr>
          <w:rStyle w:val="28"/>
          <w:rFonts w:hint="eastAsia" w:ascii="仿宋" w:hAnsi="仿宋" w:eastAsia="仿宋"/>
          <w:b w:val="0"/>
          <w:bCs w:val="0"/>
        </w:rPr>
      </w:pPr>
      <w:bookmarkStart w:id="69" w:name="_Toc15396631"/>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有资本经营预算支出决算表</w:t>
      </w:r>
      <w:bookmarkEnd w:id="69"/>
    </w:p>
    <w:p>
      <w:pPr>
        <w:rPr>
          <w:rFonts w:hint="default" w:eastAsia="仿宋"/>
          <w:lang w:val="en-US" w:eastAsia="zh-CN"/>
        </w:rPr>
      </w:pPr>
      <w:r>
        <w:rPr>
          <w:rStyle w:val="28"/>
          <w:rFonts w:hint="eastAsia" w:ascii="仿宋" w:hAnsi="仿宋" w:eastAsia="仿宋"/>
          <w:b w:val="0"/>
          <w:bCs w:val="0"/>
          <w:lang w:val="en-US" w:eastAsia="zh-CN"/>
        </w:rPr>
        <w:t>十四、2018年红原县安监局部门支出绩效评价指标体系表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楷体">
    <w:panose1 w:val="02010609060101010101"/>
    <w:charset w:val="86"/>
    <w:family w:val="auto"/>
    <w:pitch w:val="default"/>
    <w:sig w:usb0="800002BF" w:usb1="38CF7CFA" w:usb2="00000016" w:usb3="00000000" w:csb0="00040001" w:csb1="00000000"/>
  </w:font>
  <w:font w:name="方正美黑简体_0">
    <w:panose1 w:val="00000000000000000000"/>
    <w:charset w:val="00"/>
    <w:family w:val="auto"/>
    <w:pitch w:val="default"/>
    <w:sig w:usb0="00000000" w:usb1="00000000" w:usb2="00000000" w:usb3="00000000" w:csb0="0000F003"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8"/>
          <w:jc w:val="center"/>
        </w:pPr>
        <w:r>
          <w:fldChar w:fldCharType="begin"/>
        </w:r>
        <w:r>
          <w:instrText xml:space="preserve">PAGE   \* MERGEFORMAT</w:instrText>
        </w:r>
        <w:r>
          <w:fldChar w:fldCharType="separate"/>
        </w:r>
        <w:r>
          <w:rPr>
            <w:lang w:val="zh-CN"/>
          </w:rPr>
          <w:t>10</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3">
    <w:nsid w:val="F1827F26"/>
    <w:multiLevelType w:val="singleLevel"/>
    <w:tmpl w:val="F1827F26"/>
    <w:lvl w:ilvl="0" w:tentative="0">
      <w:start w:val="6"/>
      <w:numFmt w:val="decimal"/>
      <w:suff w:val="nothing"/>
      <w:lvlText w:val="（%1）"/>
      <w:lvlJc w:val="left"/>
    </w:lvl>
  </w:abstractNum>
  <w:abstractNum w:abstractNumId="4">
    <w:nsid w:val="0E5E5E05"/>
    <w:multiLevelType w:val="multilevel"/>
    <w:tmpl w:val="0E5E5E05"/>
    <w:lvl w:ilvl="0" w:tentative="0">
      <w:start w:val="1"/>
      <w:numFmt w:val="japaneseCounting"/>
      <w:lvlText w:val="（%1）"/>
      <w:lvlJc w:val="left"/>
      <w:pPr>
        <w:ind w:left="1885" w:hanging="1080"/>
      </w:pPr>
      <w:rPr>
        <w:rFonts w:hint="default"/>
      </w:rPr>
    </w:lvl>
    <w:lvl w:ilvl="1" w:tentative="0">
      <w:start w:val="1"/>
      <w:numFmt w:val="lowerLetter"/>
      <w:lvlText w:val="%2)"/>
      <w:lvlJc w:val="left"/>
      <w:pPr>
        <w:ind w:left="1645" w:hanging="420"/>
      </w:pPr>
    </w:lvl>
    <w:lvl w:ilvl="2" w:tentative="0">
      <w:start w:val="1"/>
      <w:numFmt w:val="lowerRoman"/>
      <w:lvlText w:val="%3."/>
      <w:lvlJc w:val="right"/>
      <w:pPr>
        <w:ind w:left="2065" w:hanging="420"/>
      </w:pPr>
    </w:lvl>
    <w:lvl w:ilvl="3" w:tentative="0">
      <w:start w:val="1"/>
      <w:numFmt w:val="decimal"/>
      <w:lvlText w:val="%4."/>
      <w:lvlJc w:val="left"/>
      <w:pPr>
        <w:ind w:left="2485" w:hanging="420"/>
      </w:pPr>
    </w:lvl>
    <w:lvl w:ilvl="4" w:tentative="0">
      <w:start w:val="1"/>
      <w:numFmt w:val="lowerLetter"/>
      <w:lvlText w:val="%5)"/>
      <w:lvlJc w:val="left"/>
      <w:pPr>
        <w:ind w:left="2905" w:hanging="420"/>
      </w:pPr>
    </w:lvl>
    <w:lvl w:ilvl="5" w:tentative="0">
      <w:start w:val="1"/>
      <w:numFmt w:val="lowerRoman"/>
      <w:lvlText w:val="%6."/>
      <w:lvlJc w:val="right"/>
      <w:pPr>
        <w:ind w:left="3325" w:hanging="420"/>
      </w:pPr>
    </w:lvl>
    <w:lvl w:ilvl="6" w:tentative="0">
      <w:start w:val="1"/>
      <w:numFmt w:val="decimal"/>
      <w:lvlText w:val="%7."/>
      <w:lvlJc w:val="left"/>
      <w:pPr>
        <w:ind w:left="3745" w:hanging="420"/>
      </w:pPr>
    </w:lvl>
    <w:lvl w:ilvl="7" w:tentative="0">
      <w:start w:val="1"/>
      <w:numFmt w:val="lowerLetter"/>
      <w:lvlText w:val="%8)"/>
      <w:lvlJc w:val="left"/>
      <w:pPr>
        <w:ind w:left="4165" w:hanging="420"/>
      </w:pPr>
    </w:lvl>
    <w:lvl w:ilvl="8" w:tentative="0">
      <w:start w:val="1"/>
      <w:numFmt w:val="lowerRoman"/>
      <w:lvlText w:val="%9."/>
      <w:lvlJc w:val="right"/>
      <w:pPr>
        <w:ind w:left="4585" w:hanging="420"/>
      </w:p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7">
    <w:nsid w:val="26303FB5"/>
    <w:multiLevelType w:val="multilevel"/>
    <w:tmpl w:val="26303FB5"/>
    <w:lvl w:ilvl="0" w:tentative="0">
      <w:start w:val="1"/>
      <w:numFmt w:val="japaneseCounting"/>
      <w:lvlText w:val="%1、"/>
      <w:lvlJc w:val="left"/>
      <w:pPr>
        <w:ind w:left="1525" w:hanging="720"/>
      </w:pPr>
      <w:rPr>
        <w:rFonts w:hint="default"/>
      </w:rPr>
    </w:lvl>
    <w:lvl w:ilvl="1" w:tentative="0">
      <w:start w:val="1"/>
      <w:numFmt w:val="lowerLetter"/>
      <w:lvlText w:val="%2)"/>
      <w:lvlJc w:val="left"/>
      <w:pPr>
        <w:ind w:left="1645" w:hanging="420"/>
      </w:pPr>
    </w:lvl>
    <w:lvl w:ilvl="2" w:tentative="0">
      <w:start w:val="1"/>
      <w:numFmt w:val="lowerRoman"/>
      <w:lvlText w:val="%3."/>
      <w:lvlJc w:val="right"/>
      <w:pPr>
        <w:ind w:left="2065" w:hanging="420"/>
      </w:pPr>
    </w:lvl>
    <w:lvl w:ilvl="3" w:tentative="0">
      <w:start w:val="1"/>
      <w:numFmt w:val="decimal"/>
      <w:lvlText w:val="%4."/>
      <w:lvlJc w:val="left"/>
      <w:pPr>
        <w:ind w:left="2485" w:hanging="420"/>
      </w:pPr>
    </w:lvl>
    <w:lvl w:ilvl="4" w:tentative="0">
      <w:start w:val="1"/>
      <w:numFmt w:val="lowerLetter"/>
      <w:lvlText w:val="%5)"/>
      <w:lvlJc w:val="left"/>
      <w:pPr>
        <w:ind w:left="2905" w:hanging="420"/>
      </w:pPr>
    </w:lvl>
    <w:lvl w:ilvl="5" w:tentative="0">
      <w:start w:val="1"/>
      <w:numFmt w:val="lowerRoman"/>
      <w:lvlText w:val="%6."/>
      <w:lvlJc w:val="right"/>
      <w:pPr>
        <w:ind w:left="3325" w:hanging="420"/>
      </w:pPr>
    </w:lvl>
    <w:lvl w:ilvl="6" w:tentative="0">
      <w:start w:val="1"/>
      <w:numFmt w:val="decimal"/>
      <w:lvlText w:val="%7."/>
      <w:lvlJc w:val="left"/>
      <w:pPr>
        <w:ind w:left="3745" w:hanging="420"/>
      </w:pPr>
    </w:lvl>
    <w:lvl w:ilvl="7" w:tentative="0">
      <w:start w:val="1"/>
      <w:numFmt w:val="lowerLetter"/>
      <w:lvlText w:val="%8)"/>
      <w:lvlJc w:val="left"/>
      <w:pPr>
        <w:ind w:left="4165" w:hanging="420"/>
      </w:pPr>
    </w:lvl>
    <w:lvl w:ilvl="8" w:tentative="0">
      <w:start w:val="1"/>
      <w:numFmt w:val="lowerRoman"/>
      <w:lvlText w:val="%9."/>
      <w:lvlJc w:val="right"/>
      <w:pPr>
        <w:ind w:left="4585" w:hanging="420"/>
      </w:pPr>
    </w:lvl>
  </w:abstractNum>
  <w:abstractNum w:abstractNumId="8">
    <w:nsid w:val="5D5382B5"/>
    <w:multiLevelType w:val="singleLevel"/>
    <w:tmpl w:val="5D5382B5"/>
    <w:lvl w:ilvl="0" w:tentative="0">
      <w:start w:val="1"/>
      <w:numFmt w:val="chineseCounting"/>
      <w:suff w:val="nothing"/>
      <w:lvlText w:val="%1、"/>
      <w:lvlJc w:val="left"/>
    </w:lvl>
  </w:abstractNum>
  <w:num w:numId="1">
    <w:abstractNumId w:val="5"/>
  </w:num>
  <w:num w:numId="2">
    <w:abstractNumId w:val="0"/>
  </w:num>
  <w:num w:numId="3">
    <w:abstractNumId w:val="6"/>
  </w:num>
  <w:num w:numId="4">
    <w:abstractNumId w:val="2"/>
  </w:num>
  <w:num w:numId="5">
    <w:abstractNumId w:val="1"/>
  </w:num>
  <w:num w:numId="6">
    <w:abstractNumId w:val="7"/>
  </w:num>
  <w:num w:numId="7">
    <w:abstractNumId w:val="4"/>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47D654F"/>
    <w:rsid w:val="04E65909"/>
    <w:rsid w:val="04FA12B0"/>
    <w:rsid w:val="07266B25"/>
    <w:rsid w:val="0BBF0531"/>
    <w:rsid w:val="0ED62A80"/>
    <w:rsid w:val="0F315BB1"/>
    <w:rsid w:val="101B61F5"/>
    <w:rsid w:val="10C055FF"/>
    <w:rsid w:val="10F529AD"/>
    <w:rsid w:val="115B3841"/>
    <w:rsid w:val="128C0123"/>
    <w:rsid w:val="13C20A18"/>
    <w:rsid w:val="16BB723D"/>
    <w:rsid w:val="1C811111"/>
    <w:rsid w:val="1ECF44E8"/>
    <w:rsid w:val="1F667E50"/>
    <w:rsid w:val="23260E75"/>
    <w:rsid w:val="240371BF"/>
    <w:rsid w:val="2438589A"/>
    <w:rsid w:val="255B4D05"/>
    <w:rsid w:val="25B46BBD"/>
    <w:rsid w:val="26073067"/>
    <w:rsid w:val="27342562"/>
    <w:rsid w:val="27BE04F8"/>
    <w:rsid w:val="2878437B"/>
    <w:rsid w:val="29FD04D3"/>
    <w:rsid w:val="2B1209E1"/>
    <w:rsid w:val="2EB0028C"/>
    <w:rsid w:val="2F0E3D26"/>
    <w:rsid w:val="3068583C"/>
    <w:rsid w:val="319F7F4E"/>
    <w:rsid w:val="356E05CE"/>
    <w:rsid w:val="366165E2"/>
    <w:rsid w:val="37B3368E"/>
    <w:rsid w:val="385871AD"/>
    <w:rsid w:val="3A5A1F11"/>
    <w:rsid w:val="3ABF06FE"/>
    <w:rsid w:val="3AF01180"/>
    <w:rsid w:val="3B3B5828"/>
    <w:rsid w:val="3EB079F2"/>
    <w:rsid w:val="400842A8"/>
    <w:rsid w:val="410666C6"/>
    <w:rsid w:val="453E098F"/>
    <w:rsid w:val="465C4EC1"/>
    <w:rsid w:val="46C155D2"/>
    <w:rsid w:val="47173704"/>
    <w:rsid w:val="49806B3A"/>
    <w:rsid w:val="4B6C5DEA"/>
    <w:rsid w:val="508F60F5"/>
    <w:rsid w:val="524B64EE"/>
    <w:rsid w:val="58994A71"/>
    <w:rsid w:val="59070E49"/>
    <w:rsid w:val="5A3766F0"/>
    <w:rsid w:val="5A592F60"/>
    <w:rsid w:val="5BFD6CEF"/>
    <w:rsid w:val="5CB06142"/>
    <w:rsid w:val="611D332A"/>
    <w:rsid w:val="640E37CD"/>
    <w:rsid w:val="689F34DA"/>
    <w:rsid w:val="694D55AB"/>
    <w:rsid w:val="698234CC"/>
    <w:rsid w:val="6B7F3207"/>
    <w:rsid w:val="70D35E58"/>
    <w:rsid w:val="710A5E6C"/>
    <w:rsid w:val="72FA3077"/>
    <w:rsid w:val="73C03262"/>
    <w:rsid w:val="75282356"/>
    <w:rsid w:val="761D676F"/>
    <w:rsid w:val="7729795A"/>
    <w:rsid w:val="7D643815"/>
    <w:rsid w:val="7DB146BC"/>
    <w:rsid w:val="7DCA706D"/>
    <w:rsid w:val="7F902EC1"/>
    <w:rsid w:val="7FF6D16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Body Text"/>
    <w:basedOn w:val="1"/>
    <w:link w:val="24"/>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30"/>
    <w:unhideWhenUsed/>
    <w:qFormat/>
    <w:uiPriority w:val="99"/>
    <w:rPr>
      <w:sz w:val="18"/>
      <w:szCs w:val="18"/>
    </w:rPr>
  </w:style>
  <w:style w:type="paragraph" w:styleId="8">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5">
    <w:name w:val="Strong"/>
    <w:basedOn w:val="14"/>
    <w:qFormat/>
    <w:uiPriority w:val="99"/>
    <w:rPr>
      <w:b/>
    </w:rPr>
  </w:style>
  <w:style w:type="character" w:styleId="16">
    <w:name w:val="FollowedHyperlink"/>
    <w:basedOn w:val="14"/>
    <w:unhideWhenUsed/>
    <w:qFormat/>
    <w:uiPriority w:val="99"/>
    <w:rPr>
      <w:color w:val="333333"/>
      <w:u w:val="none"/>
    </w:rPr>
  </w:style>
  <w:style w:type="character" w:styleId="17">
    <w:name w:val="Emphasis"/>
    <w:basedOn w:val="14"/>
    <w:qFormat/>
    <w:uiPriority w:val="20"/>
    <w:rPr>
      <w:rFonts w:ascii="微软雅黑" w:hAnsi="微软雅黑" w:eastAsia="微软雅黑" w:cs="微软雅黑"/>
      <w:sz w:val="24"/>
      <w:szCs w:val="24"/>
      <w:vertAlign w:val="baseline"/>
    </w:rPr>
  </w:style>
  <w:style w:type="character" w:styleId="18">
    <w:name w:val="Hyperlink"/>
    <w:basedOn w:val="14"/>
    <w:unhideWhenUsed/>
    <w:qFormat/>
    <w:uiPriority w:val="99"/>
    <w:rPr>
      <w:color w:val="0000FF" w:themeColor="hyperlink"/>
      <w:u w:val="single"/>
      <w14:textFill>
        <w14:solidFill>
          <w14:schemeClr w14:val="hlink"/>
        </w14:solidFill>
      </w14:textFill>
    </w:rPr>
  </w:style>
  <w:style w:type="character" w:customStyle="1" w:styleId="19">
    <w:name w:val="Header Char"/>
    <w:basedOn w:val="14"/>
    <w:semiHidden/>
    <w:qFormat/>
    <w:uiPriority w:val="99"/>
    <w:rPr>
      <w:rFonts w:ascii="Times New Roman" w:hAnsi="Times New Roman"/>
      <w:sz w:val="18"/>
      <w:szCs w:val="18"/>
    </w:rPr>
  </w:style>
  <w:style w:type="character" w:customStyle="1" w:styleId="20">
    <w:name w:val="页眉 Char"/>
    <w:link w:val="9"/>
    <w:semiHidden/>
    <w:qFormat/>
    <w:locked/>
    <w:uiPriority w:val="99"/>
    <w:rPr>
      <w:sz w:val="18"/>
    </w:rPr>
  </w:style>
  <w:style w:type="character" w:customStyle="1" w:styleId="21">
    <w:name w:val="Footer Char"/>
    <w:basedOn w:val="14"/>
    <w:semiHidden/>
    <w:qFormat/>
    <w:uiPriority w:val="99"/>
    <w:rPr>
      <w:rFonts w:ascii="Times New Roman" w:hAnsi="Times New Roman"/>
      <w:sz w:val="18"/>
      <w:szCs w:val="18"/>
    </w:rPr>
  </w:style>
  <w:style w:type="character" w:customStyle="1" w:styleId="22">
    <w:name w:val="页脚 Char"/>
    <w:link w:val="8"/>
    <w:qFormat/>
    <w:locked/>
    <w:uiPriority w:val="99"/>
    <w:rPr>
      <w:sz w:val="18"/>
    </w:rPr>
  </w:style>
  <w:style w:type="character" w:customStyle="1" w:styleId="23">
    <w:name w:val="Body Text Char"/>
    <w:basedOn w:val="14"/>
    <w:semiHidden/>
    <w:qFormat/>
    <w:uiPriority w:val="99"/>
    <w:rPr>
      <w:rFonts w:ascii="Times New Roman" w:hAnsi="Times New Roman"/>
      <w:szCs w:val="24"/>
    </w:rPr>
  </w:style>
  <w:style w:type="character" w:customStyle="1" w:styleId="24">
    <w:name w:val="正文文本 Char"/>
    <w:link w:val="5"/>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Char"/>
    <w:basedOn w:val="14"/>
    <w:link w:val="2"/>
    <w:qFormat/>
    <w:uiPriority w:val="9"/>
    <w:rPr>
      <w:rFonts w:ascii="Times New Roman" w:hAnsi="Times New Roman"/>
      <w:b/>
      <w:bCs/>
      <w:kern w:val="44"/>
      <w:sz w:val="44"/>
      <w:szCs w:val="44"/>
    </w:rPr>
  </w:style>
  <w:style w:type="character" w:customStyle="1" w:styleId="28">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Char"/>
    <w:basedOn w:val="14"/>
    <w:link w:val="7"/>
    <w:semiHidden/>
    <w:qFormat/>
    <w:uiPriority w:val="99"/>
    <w:rPr>
      <w:rFonts w:ascii="Times New Roman" w:hAnsi="Times New Roman"/>
      <w:kern w:val="2"/>
      <w:sz w:val="18"/>
      <w:szCs w:val="18"/>
    </w:rPr>
  </w:style>
  <w:style w:type="character" w:customStyle="1" w:styleId="31">
    <w:name w:val="标题 3 Char"/>
    <w:basedOn w:val="14"/>
    <w:link w:val="4"/>
    <w:qFormat/>
    <w:uiPriority w:val="9"/>
    <w:rPr>
      <w:rFonts w:ascii="Times New Roman" w:hAnsi="Times New Roman"/>
      <w:b/>
      <w:bCs/>
      <w:kern w:val="2"/>
      <w:sz w:val="32"/>
      <w:szCs w:val="32"/>
    </w:rPr>
  </w:style>
  <w:style w:type="paragraph" w:customStyle="1" w:styleId="32">
    <w:name w:val="公文主体"/>
    <w:basedOn w:val="1"/>
    <w:qFormat/>
    <w:uiPriority w:val="0"/>
    <w:pPr>
      <w:spacing w:line="580" w:lineRule="exact"/>
      <w:ind w:firstLine="200" w:firstLineChars="200"/>
    </w:pPr>
    <w:rPr>
      <w:rFonts w:eastAsia="仿宋_GB2312"/>
      <w:sz w:val="32"/>
    </w:rPr>
  </w:style>
  <w:style w:type="character" w:customStyle="1" w:styleId="33">
    <w:name w:val="apple-converted-space"/>
    <w:basedOn w:val="14"/>
    <w:qFormat/>
    <w:uiPriority w:val="0"/>
  </w:style>
  <w:style w:type="paragraph" w:customStyle="1" w:styleId="34">
    <w:name w:val="0"/>
    <w:basedOn w:val="1"/>
    <w:qFormat/>
    <w:uiPriority w:val="0"/>
    <w:rPr>
      <w:rFonts w:ascii="Times New Roman" w:hAnsi="Times New Roman" w:eastAsia="宋体" w:cs="Times New Roman"/>
      <w:szCs w:val="24"/>
    </w:rPr>
  </w:style>
  <w:style w:type="character" w:customStyle="1" w:styleId="35">
    <w:name w:val="hover16"/>
    <w:basedOn w:val="14"/>
    <w:qFormat/>
    <w:uiPriority w:val="0"/>
    <w:rPr>
      <w:color w:val="FF6600"/>
    </w:rPr>
  </w:style>
  <w:style w:type="character" w:customStyle="1" w:styleId="36">
    <w:name w:val="hover19"/>
    <w:basedOn w:val="14"/>
    <w:qFormat/>
    <w:uiPriority w:val="0"/>
    <w:rPr>
      <w:color w:val="FF660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8.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5.xlsx"/></Relationships>
</file>

<file path=word/charts/_rels/chart8.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zh-CN"/>
              <a:t>收、支决算总计变动情况图</a:t>
            </a:r>
            <a:endParaRPr altLang="zh-CN"/>
          </a:p>
        </c:rich>
      </c:tx>
      <c:layout/>
      <c:overlay val="0"/>
      <c:spPr>
        <a:noFill/>
        <a:ln>
          <a:noFill/>
        </a:ln>
        <a:effectLst/>
      </c:spPr>
    </c:title>
    <c:autoTitleDeleted val="0"/>
    <c:plotArea>
      <c:layout>
        <c:manualLayout>
          <c:layoutTarget val="inner"/>
          <c:xMode val="edge"/>
          <c:yMode val="edge"/>
          <c:x val="0.0897619823932181"/>
          <c:y val="0.255148741418764"/>
          <c:w val="0.876328659928269"/>
          <c:h val="0.514130434782609"/>
        </c:manualLayout>
      </c:layout>
      <c:barChart>
        <c:barDir val="col"/>
        <c:grouping val="clustered"/>
        <c:varyColors val="0"/>
        <c:ser>
          <c:idx val="0"/>
          <c:order val="0"/>
          <c:tx>
            <c:strRef>
              <c:f>Sheet1!$B$1</c:f>
              <c:strCache>
                <c:ptCount val="1"/>
                <c:pt idx="0">
                  <c:v>收入（万元）</c:v>
                </c:pt>
              </c:strCache>
            </c:strRef>
          </c:tx>
          <c:spPr>
            <a:solidFill>
              <a:schemeClr val="accent1"/>
            </a:solidFill>
            <a:ln>
              <a:noFill/>
            </a:ln>
            <a:effectLst/>
          </c:spPr>
          <c:invertIfNegative val="0"/>
          <c:dLbls>
            <c:delete val="1"/>
          </c:dLbls>
          <c:cat>
            <c:strRef>
              <c:f>Sheet1!$A$2:$A$3</c:f>
              <c:strCache>
                <c:ptCount val="2"/>
                <c:pt idx="0">
                  <c:v>2017年</c:v>
                </c:pt>
                <c:pt idx="1">
                  <c:v>2018年</c:v>
                </c:pt>
              </c:strCache>
            </c:strRef>
          </c:cat>
          <c:val>
            <c:numRef>
              <c:f>Sheet1!$B$2:$B$3</c:f>
              <c:numCache>
                <c:formatCode>General</c:formatCode>
                <c:ptCount val="2"/>
                <c:pt idx="0">
                  <c:v>186.14</c:v>
                </c:pt>
                <c:pt idx="1">
                  <c:v>258.65</c:v>
                </c:pt>
              </c:numCache>
            </c:numRef>
          </c:val>
        </c:ser>
        <c:ser>
          <c:idx val="1"/>
          <c:order val="1"/>
          <c:tx>
            <c:strRef>
              <c:f>Sheet1!$C$1</c:f>
              <c:strCache>
                <c:ptCount val="1"/>
                <c:pt idx="0">
                  <c:v>支出（万元）</c:v>
                </c:pt>
              </c:strCache>
            </c:strRef>
          </c:tx>
          <c:spPr>
            <a:solidFill>
              <a:schemeClr val="accent2"/>
            </a:solidFill>
            <a:ln>
              <a:noFill/>
            </a:ln>
            <a:effectLst/>
          </c:spPr>
          <c:invertIfNegative val="0"/>
          <c:dLbls>
            <c:delete val="1"/>
          </c:dLbls>
          <c:cat>
            <c:strRef>
              <c:f>Sheet1!$A$2:$A$3</c:f>
              <c:strCache>
                <c:ptCount val="2"/>
                <c:pt idx="0">
                  <c:v>2017年</c:v>
                </c:pt>
                <c:pt idx="1">
                  <c:v>2018年</c:v>
                </c:pt>
              </c:strCache>
            </c:strRef>
          </c:cat>
          <c:val>
            <c:numRef>
              <c:f>Sheet1!$C$2:$C$3</c:f>
              <c:numCache>
                <c:formatCode>General</c:formatCode>
                <c:ptCount val="2"/>
                <c:pt idx="0">
                  <c:v>196.92</c:v>
                </c:pt>
                <c:pt idx="1">
                  <c:v>204.84</c:v>
                </c:pt>
              </c:numCache>
            </c:numRef>
          </c:val>
        </c:ser>
        <c:dLbls>
          <c:showLegendKey val="0"/>
          <c:showVal val="0"/>
          <c:showCatName val="0"/>
          <c:showSerName val="0"/>
          <c:showPercent val="0"/>
          <c:showBubbleSize val="0"/>
        </c:dLbls>
        <c:gapWidth val="219"/>
        <c:overlap val="-27"/>
        <c:axId val="43498625"/>
        <c:axId val="929594870"/>
      </c:barChart>
      <c:catAx>
        <c:axId val="434986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9594870"/>
        <c:crosses val="autoZero"/>
        <c:auto val="1"/>
        <c:lblAlgn val="ctr"/>
        <c:lblOffset val="100"/>
        <c:noMultiLvlLbl val="0"/>
      </c:catAx>
      <c:valAx>
        <c:axId val="92959487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49862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第一季度</c:v>
                </c:pt>
                <c:pt idx="1">
                  <c:v>第二季度</c:v>
                </c:pt>
                <c:pt idx="2">
                  <c:v>第三季度</c:v>
                </c:pt>
                <c:pt idx="3">
                  <c:v>第四季度</c:v>
                </c:pt>
              </c:strCache>
            </c:strRef>
          </c:cat>
          <c:val>
            <c:numRef>
              <c:f>Sheet1!$B$2:$B$5</c:f>
              <c:numCache>
                <c:formatCode>General</c:formatCode>
                <c:ptCount val="4"/>
                <c:pt idx="0">
                  <c:v>8.2</c:v>
                </c:pt>
                <c:pt idx="1">
                  <c:v>3.2</c:v>
                </c:pt>
                <c:pt idx="2">
                  <c:v>1.4</c:v>
                </c:pt>
                <c:pt idx="3">
                  <c:v>1.2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一般公共预算财政拨款收入(万元)</c:v>
                </c:pt>
              </c:strCache>
            </c:strRef>
          </c:tx>
          <c:spPr/>
          <c:explosion val="0"/>
          <c:dPt>
            <c:idx val="0"/>
            <c:bubble3D val="0"/>
            <c:spPr>
              <a:solidFill>
                <a:schemeClr val="accent1"/>
              </a:solidFill>
              <a:ln w="19050">
                <a:solidFill>
                  <a:schemeClr val="lt1"/>
                </a:solidFill>
              </a:ln>
              <a:effectLst/>
            </c:spPr>
          </c:dPt>
          <c:dLbls>
            <c:delete val="1"/>
          </c:dLbls>
          <c:cat>
            <c:strRef>
              <c:f>Sheet1!$A$2</c:f>
              <c:strCache>
                <c:ptCount val="1"/>
                <c:pt idx="0">
                  <c:v>2018年</c:v>
                </c:pt>
              </c:strCache>
            </c:strRef>
          </c:cat>
          <c:val>
            <c:numRef>
              <c:f>Sheet1!$B$2</c:f>
              <c:numCache>
                <c:formatCode>General</c:formatCode>
                <c:ptCount val="1"/>
                <c:pt idx="0">
                  <c:v>258.65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基本支出</c:v>
                </c:pt>
                <c:pt idx="1">
                  <c:v>项目支出</c:v>
                </c:pt>
              </c:strCache>
            </c:strRef>
          </c:cat>
          <c:val>
            <c:numRef>
              <c:f>Sheet1!$B$2:$B$3</c:f>
              <c:numCache>
                <c:formatCode>General</c:formatCode>
                <c:ptCount val="2"/>
                <c:pt idx="0">
                  <c:v>98</c:v>
                </c:pt>
                <c:pt idx="1" c:formatCode="0%">
                  <c:v>0.02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财政拨款收、支决算总计变动情况</a:t>
            </a:r>
            <a:endParaRPr altLang="en-US"/>
          </a:p>
        </c:rich>
      </c:tx>
      <c:layout/>
      <c:overlay val="0"/>
      <c:spPr>
        <a:noFill/>
        <a:ln>
          <a:noFill/>
        </a:ln>
        <a:effectLst/>
      </c:spPr>
    </c:title>
    <c:autoTitleDeleted val="0"/>
    <c:plotArea>
      <c:layout>
        <c:manualLayout>
          <c:layoutTarget val="inner"/>
          <c:xMode val="edge"/>
          <c:yMode val="edge"/>
          <c:x val="0.0897619823932181"/>
          <c:y val="0.255148741418764"/>
          <c:w val="0.876328659928269"/>
          <c:h val="0.514130434782609"/>
        </c:manualLayout>
      </c:layout>
      <c:barChart>
        <c:barDir val="col"/>
        <c:grouping val="clustered"/>
        <c:varyColors val="0"/>
        <c:ser>
          <c:idx val="0"/>
          <c:order val="0"/>
          <c:tx>
            <c:strRef>
              <c:f>Sheet1!$B$1</c:f>
              <c:strCache>
                <c:ptCount val="1"/>
                <c:pt idx="0">
                  <c:v>收入（万元）</c:v>
                </c:pt>
              </c:strCache>
            </c:strRef>
          </c:tx>
          <c:spPr>
            <a:solidFill>
              <a:schemeClr val="accent1"/>
            </a:solidFill>
            <a:ln>
              <a:noFill/>
            </a:ln>
            <a:effectLst/>
          </c:spPr>
          <c:invertIfNegative val="0"/>
          <c:dLbls>
            <c:delete val="1"/>
          </c:dLbls>
          <c:cat>
            <c:strRef>
              <c:f>Sheet1!$A$2:$A$3</c:f>
              <c:strCache>
                <c:ptCount val="2"/>
                <c:pt idx="0">
                  <c:v>2017年</c:v>
                </c:pt>
                <c:pt idx="1">
                  <c:v>2018年</c:v>
                </c:pt>
              </c:strCache>
            </c:strRef>
          </c:cat>
          <c:val>
            <c:numRef>
              <c:f>Sheet1!$B$2:$B$3</c:f>
              <c:numCache>
                <c:formatCode>General</c:formatCode>
                <c:ptCount val="2"/>
                <c:pt idx="0">
                  <c:v>186.14</c:v>
                </c:pt>
                <c:pt idx="1">
                  <c:v>258.65</c:v>
                </c:pt>
              </c:numCache>
            </c:numRef>
          </c:val>
        </c:ser>
        <c:ser>
          <c:idx val="1"/>
          <c:order val="1"/>
          <c:tx>
            <c:strRef>
              <c:f>Sheet1!$C$1</c:f>
              <c:strCache>
                <c:ptCount val="1"/>
                <c:pt idx="0">
                  <c:v>支出（万元）</c:v>
                </c:pt>
              </c:strCache>
            </c:strRef>
          </c:tx>
          <c:spPr>
            <a:solidFill>
              <a:schemeClr val="accent2"/>
            </a:solidFill>
            <a:ln>
              <a:noFill/>
            </a:ln>
            <a:effectLst/>
          </c:spPr>
          <c:invertIfNegative val="0"/>
          <c:dLbls>
            <c:delete val="1"/>
          </c:dLbls>
          <c:cat>
            <c:strRef>
              <c:f>Sheet1!$A$2:$A$3</c:f>
              <c:strCache>
                <c:ptCount val="2"/>
                <c:pt idx="0">
                  <c:v>2017年</c:v>
                </c:pt>
                <c:pt idx="1">
                  <c:v>2018年</c:v>
                </c:pt>
              </c:strCache>
            </c:strRef>
          </c:cat>
          <c:val>
            <c:numRef>
              <c:f>Sheet1!$C$2:$C$3</c:f>
              <c:numCache>
                <c:formatCode>General</c:formatCode>
                <c:ptCount val="2"/>
                <c:pt idx="0">
                  <c:v>196.92</c:v>
                </c:pt>
                <c:pt idx="1">
                  <c:v>204.84</c:v>
                </c:pt>
              </c:numCache>
            </c:numRef>
          </c:val>
        </c:ser>
        <c:dLbls>
          <c:showLegendKey val="0"/>
          <c:showVal val="0"/>
          <c:showCatName val="0"/>
          <c:showSerName val="0"/>
          <c:showPercent val="0"/>
          <c:showBubbleSize val="0"/>
        </c:dLbls>
        <c:gapWidth val="219"/>
        <c:overlap val="-27"/>
        <c:axId val="43498625"/>
        <c:axId val="929594870"/>
      </c:barChart>
      <c:catAx>
        <c:axId val="4349862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9594870"/>
        <c:crosses val="autoZero"/>
        <c:auto val="1"/>
        <c:lblAlgn val="ctr"/>
        <c:lblOffset val="100"/>
        <c:noMultiLvlLbl val="0"/>
      </c:catAx>
      <c:valAx>
        <c:axId val="92959487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49862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[工作簿1]Sheet1!$A$2:$E$2</c:f>
              <c:strCache>
                <c:ptCount val="5"/>
                <c:pt idx="0">
                  <c:v>支出</c:v>
                </c:pt>
                <c:pt idx="1">
                  <c:v>占比</c:v>
                </c:pt>
                <c:pt idx="3">
                  <c:v>增长值</c:v>
                </c:pt>
                <c:pt idx="4">
                  <c:v>增长率</c:v>
                </c:pt>
              </c:strCache>
            </c:strRef>
          </c:cat>
          <c:val>
            <c:numRef>
              <c:f>[工作簿1]Sheet1!$A$3:$E$3</c:f>
              <c:numCache>
                <c:formatCode>General</c:formatCode>
                <c:ptCount val="5"/>
                <c:pt idx="0">
                  <c:v>203.66</c:v>
                </c:pt>
                <c:pt idx="1" c:formatCode="0.00%">
                  <c:v>0.9942</c:v>
                </c:pt>
                <c:pt idx="3">
                  <c:v>6.7</c:v>
                </c:pt>
                <c:pt idx="4" c:formatCode="0.00%">
                  <c:v>0.0342</c:v>
                </c:pt>
              </c:numCache>
            </c:numRef>
          </c:val>
        </c:ser>
        <c:dLbls>
          <c:showLegendKey val="0"/>
          <c:showVal val="1"/>
          <c:showCatName val="0"/>
          <c:showSerName val="0"/>
          <c:showPercent val="0"/>
          <c:showBubbleSize val="0"/>
        </c:dLbls>
        <c:gapWidth val="219"/>
        <c:overlap val="-27"/>
        <c:axId val="75933964"/>
        <c:axId val="824767615"/>
      </c:barChart>
      <c:catAx>
        <c:axId val="7593396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4767615"/>
        <c:crosses val="autoZero"/>
        <c:auto val="1"/>
        <c:lblAlgn val="ctr"/>
        <c:lblOffset val="100"/>
        <c:noMultiLvlLbl val="0"/>
      </c:catAx>
      <c:valAx>
        <c:axId val="8247676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9339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社会保障和就业支出</c:v>
                </c:pt>
                <c:pt idx="1">
                  <c:v>医疗卫生支出</c:v>
                </c:pt>
                <c:pt idx="2">
                  <c:v>住房保障支出</c:v>
                </c:pt>
                <c:pt idx="3">
                  <c:v>资源勘探信息等支出</c:v>
                </c:pt>
              </c:strCache>
            </c:strRef>
          </c:cat>
          <c:val>
            <c:numRef>
              <c:f>Sheet1!$B$2:$B$5</c:f>
              <c:numCache>
                <c:formatCode>General</c:formatCode>
                <c:ptCount val="4"/>
                <c:pt idx="0">
                  <c:v>12.94</c:v>
                </c:pt>
                <c:pt idx="1">
                  <c:v>3.85</c:v>
                </c:pt>
                <c:pt idx="2">
                  <c:v>5.87</c:v>
                </c:pt>
                <c:pt idx="3">
                  <c:v>77.34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[工作簿1]Sheet1!$A$3:$A$5</c:f>
              <c:strCache>
                <c:ptCount val="3"/>
                <c:pt idx="0">
                  <c:v>公出国（境）费支出</c:v>
                </c:pt>
                <c:pt idx="1">
                  <c:v>公务用车购置及运行维护费支出</c:v>
                </c:pt>
                <c:pt idx="2">
                  <c:v>公务接待费支出</c:v>
                </c:pt>
              </c:strCache>
            </c:strRef>
          </c:cat>
          <c:val>
            <c:numRef>
              <c:f>[工作簿1]Sheet1!$B$3:$B$5</c:f>
              <c:numCache>
                <c:formatCode>General</c:formatCode>
                <c:ptCount val="3"/>
                <c:pt idx="0">
                  <c:v>0</c:v>
                </c:pt>
                <c:pt idx="1">
                  <c:v>2.27</c:v>
                </c:pt>
                <c:pt idx="2">
                  <c:v>0.36</c:v>
                </c:pt>
              </c:numCache>
            </c:numRef>
          </c:val>
        </c:ser>
        <c:ser>
          <c:idx val="1"/>
          <c:order val="1"/>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[工作簿1]Sheet1!$A$3:$A$5</c:f>
              <c:strCache>
                <c:ptCount val="3"/>
                <c:pt idx="0">
                  <c:v>公出国（境）费支出</c:v>
                </c:pt>
                <c:pt idx="1">
                  <c:v>公务用车购置及运行维护费支出</c:v>
                </c:pt>
                <c:pt idx="2">
                  <c:v>公务接待费支出</c:v>
                </c:pt>
              </c:strCache>
            </c:strRef>
          </c:cat>
          <c:val>
            <c:numRef>
              <c:f>[工作簿1]Sheet1!$C$3:$C$5</c:f>
              <c:numCache>
                <c:formatCode>General</c:formatCode>
                <c:ptCount val="3"/>
                <c:pt idx="0">
                  <c:v>0</c:v>
                </c:pt>
                <c:pt idx="1" c:formatCode="0.00%">
                  <c:v>0.8632</c:v>
                </c:pt>
                <c:pt idx="2" c:formatCode="0.00%">
                  <c:v>0.1368</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1441</Words>
  <Characters>8219</Characters>
  <Lines>68</Lines>
  <Paragraphs>19</Paragraphs>
  <TotalTime>0</TotalTime>
  <ScaleCrop>false</ScaleCrop>
  <LinksUpToDate>false</LinksUpToDate>
  <CharactersWithSpaces>9641</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2019-08-01T09:14:00Z</dcterms:created>
  <dc:creator>张彬茜</dc:creator>
  <cp:lastModifiedBy>user</cp:lastModifiedBy>
  <cp:lastPrinted>2019-08-21T11:27:00Z</cp:lastPrinted>
  <dcterms:modified xsi:type="dcterms:W3CDTF">2022-05-10T11:28:11Z</dcterms:modified>
  <dc:title>四川省***</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