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adjustRightInd w:val="0"/>
        <w:snapToGrid w:val="0"/>
        <w:spacing w:line="560" w:lineRule="exact"/>
        <w:jc w:val="both"/>
        <w:textAlignment w:val="auto"/>
        <w:outlineLvl w:val="0"/>
        <w:rPr>
          <w:rFonts w:ascii="黑体" w:hAnsi="黑体" w:eastAsia="黑体"/>
          <w:color w:val="000000"/>
          <w:sz w:val="72"/>
          <w:szCs w:val="72"/>
        </w:rPr>
      </w:pPr>
      <w:bookmarkStart w:id="0" w:name="_Toc15377425"/>
      <w:bookmarkStart w:id="1" w:name="_Toc15377193"/>
      <w:bookmarkStart w:id="2" w:name="_Toc26748"/>
      <w:bookmarkStart w:id="3" w:name="_Toc14706"/>
      <w:bookmarkStart w:id="4" w:name="_Toc15396475"/>
      <w:bookmarkStart w:id="5" w:name="_Toc15378441"/>
      <w:bookmarkStart w:id="6" w:name="_Toc31682"/>
      <w:bookmarkStart w:id="7" w:name="_Toc15396597"/>
    </w:p>
    <w:p>
      <w:pPr>
        <w:pageBreakBefore w:val="0"/>
        <w:kinsoku/>
        <w:wordWrap/>
        <w:overflowPunct/>
        <w:topLinePunct w:val="0"/>
        <w:bidi w:val="0"/>
        <w:adjustRightInd w:val="0"/>
        <w:snapToGrid w:val="0"/>
        <w:spacing w:line="560" w:lineRule="exact"/>
        <w:jc w:val="both"/>
        <w:textAlignment w:val="auto"/>
        <w:outlineLvl w:val="0"/>
        <w:rPr>
          <w:rFonts w:ascii="黑体" w:hAnsi="黑体" w:eastAsia="黑体"/>
          <w:color w:val="000000"/>
          <w:sz w:val="72"/>
          <w:szCs w:val="72"/>
        </w:rPr>
      </w:pPr>
    </w:p>
    <w:p>
      <w:pPr>
        <w:pageBreakBefore w:val="0"/>
        <w:kinsoku/>
        <w:wordWrap/>
        <w:overflowPunct/>
        <w:topLinePunct w:val="0"/>
        <w:bidi w:val="0"/>
        <w:adjustRightInd w:val="0"/>
        <w:snapToGrid w:val="0"/>
        <w:spacing w:line="560" w:lineRule="exact"/>
        <w:jc w:val="center"/>
        <w:textAlignment w:val="auto"/>
        <w:outlineLvl w:val="0"/>
        <w:rPr>
          <w:rFonts w:ascii="方正小标宋简体" w:hAnsi="宋体" w:eastAsia="方正小标宋简体"/>
          <w:color w:val="000000"/>
          <w:sz w:val="72"/>
          <w:szCs w:val="72"/>
        </w:rPr>
      </w:pPr>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p>
    <w:p>
      <w:pPr>
        <w:pageBreakBefore w:val="0"/>
        <w:kinsoku/>
        <w:wordWrap/>
        <w:overflowPunct/>
        <w:topLinePunct w:val="0"/>
        <w:bidi w:val="0"/>
        <w:adjustRightInd w:val="0"/>
        <w:snapToGrid w:val="0"/>
        <w:spacing w:line="560" w:lineRule="exact"/>
        <w:jc w:val="center"/>
        <w:textAlignment w:val="auto"/>
        <w:outlineLvl w:val="0"/>
        <w:rPr>
          <w:rFonts w:ascii="方正小标宋简体" w:hAnsi="宋体" w:eastAsia="方正小标宋简体"/>
          <w:color w:val="000000"/>
          <w:sz w:val="72"/>
          <w:szCs w:val="72"/>
        </w:rPr>
      </w:pPr>
      <w:bookmarkStart w:id="8" w:name="_Toc31317"/>
      <w:bookmarkStart w:id="9" w:name="_Toc15377194"/>
      <w:bookmarkStart w:id="10" w:name="_Toc15378442"/>
      <w:bookmarkStart w:id="11" w:name="_Toc15396598"/>
      <w:bookmarkStart w:id="12" w:name="_Toc1254"/>
      <w:bookmarkStart w:id="13" w:name="_Toc15396476"/>
      <w:bookmarkStart w:id="14" w:name="_Toc20045"/>
      <w:bookmarkStart w:id="15" w:name="_Toc15377426"/>
      <w:r>
        <w:rPr>
          <w:rFonts w:hint="eastAsia" w:ascii="方正小标宋简体" w:hAnsi="宋体" w:eastAsia="方正小标宋简体"/>
          <w:color w:val="000000"/>
          <w:sz w:val="72"/>
          <w:szCs w:val="72"/>
        </w:rPr>
        <w:t>四川省阿坝州</w:t>
      </w:r>
      <w:bookmarkStart w:id="16" w:name="_Toc15306268"/>
      <w:r>
        <w:rPr>
          <w:rFonts w:hint="eastAsia" w:ascii="方正小标宋简体" w:hAnsi="宋体" w:eastAsia="方正小标宋简体"/>
          <w:color w:val="000000"/>
          <w:sz w:val="72"/>
          <w:szCs w:val="72"/>
        </w:rPr>
        <w:t>红原县民族宗教局部门决算</w:t>
      </w:r>
      <w:bookmarkEnd w:id="8"/>
      <w:bookmarkEnd w:id="9"/>
      <w:bookmarkEnd w:id="10"/>
      <w:bookmarkEnd w:id="11"/>
      <w:bookmarkEnd w:id="12"/>
      <w:bookmarkEnd w:id="13"/>
      <w:bookmarkEnd w:id="14"/>
      <w:bookmarkEnd w:id="15"/>
      <w:bookmarkEnd w:id="16"/>
    </w:p>
    <w:p>
      <w:pPr>
        <w:pageBreakBefore w:val="0"/>
        <w:widowControl/>
        <w:kinsoku/>
        <w:wordWrap/>
        <w:overflowPunct/>
        <w:topLinePunct w:val="0"/>
        <w:bidi w:val="0"/>
        <w:spacing w:line="560" w:lineRule="exact"/>
        <w:jc w:val="center"/>
        <w:textAlignment w:val="auto"/>
        <w:rPr>
          <w:rFonts w:ascii="方正小标宋简体" w:hAnsi="宋体" w:eastAsia="方正小标宋简体"/>
          <w:color w:val="000000"/>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kinsoku/>
        <w:wordWrap/>
        <w:overflowPunct/>
        <w:topLinePunct w:val="0"/>
        <w:bidi w:val="0"/>
        <w:spacing w:line="560" w:lineRule="exact"/>
        <w:textAlignment w:val="auto"/>
        <w:rPr>
          <w:rFonts w:ascii="方正小标宋简体" w:hAnsi="宋体" w:eastAsia="方正小标宋简体"/>
          <w:sz w:val="36"/>
          <w:szCs w:val="36"/>
        </w:rPr>
      </w:pPr>
    </w:p>
    <w:p>
      <w:pPr>
        <w:pageBreakBefore w:val="0"/>
        <w:widowControl/>
        <w:kinsoku/>
        <w:wordWrap/>
        <w:overflowPunct/>
        <w:topLinePunct w:val="0"/>
        <w:bidi w:val="0"/>
        <w:spacing w:line="560" w:lineRule="exact"/>
        <w:jc w:val="center"/>
        <w:textAlignment w:val="auto"/>
        <w:rPr>
          <w:rFonts w:ascii="方正小标宋简体" w:hAnsi="宋体" w:eastAsia="方正小标宋简体"/>
          <w:sz w:val="36"/>
          <w:szCs w:val="36"/>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TOC \o "1-3" \h \u </w:instrText>
      </w:r>
      <w:r>
        <w:rPr>
          <w:rFonts w:hint="eastAsia" w:ascii="方正小标宋简体" w:hAnsi="方正小标宋简体" w:eastAsia="方正小标宋简体" w:cs="方正小标宋简体"/>
          <w:sz w:val="32"/>
          <w:szCs w:val="32"/>
        </w:rPr>
        <w:fldChar w:fldCharType="separate"/>
      </w:r>
    </w:p>
    <w:p>
      <w:pPr>
        <w:pStyle w:val="6"/>
        <w:pageBreakBefore w:val="0"/>
        <w:tabs>
          <w:tab w:val="right" w:leader="dot" w:pos="8306"/>
          <w:tab w:val="clear" w:pos="8296"/>
        </w:tabs>
        <w:kinsoku/>
        <w:wordWrap/>
        <w:overflowPunct/>
        <w:topLinePunct w:val="0"/>
        <w:bidi w:val="0"/>
        <w:spacing w:line="560" w:lineRule="exact"/>
        <w:textAlignment w:val="auto"/>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eastAsia="zh-CN"/>
        </w:rPr>
        <w:t>目录</w:t>
      </w:r>
    </w:p>
    <w:p>
      <w:pPr>
        <w:pStyle w:val="6"/>
        <w:pageBreakBefore w:val="0"/>
        <w:tabs>
          <w:tab w:val="right" w:leader="dot" w:pos="8306"/>
          <w:tab w:val="clear" w:pos="8296"/>
        </w:tabs>
        <w:kinsoku/>
        <w:wordWrap/>
        <w:overflowPunct/>
        <w:topLinePunct w:val="0"/>
        <w:bidi w:val="0"/>
        <w:spacing w:line="56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_Toc7103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第一部分 部门概况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4</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_Toc25785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一、基本职能及主要工作</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4</w:t>
      </w:r>
      <w:r>
        <w:rPr>
          <w:rFonts w:hint="eastAsia" w:ascii="方正小标宋简体" w:hAnsi="方正小标宋简体" w:eastAsia="方正小标宋简体" w:cs="方正小标宋简体"/>
          <w:sz w:val="32"/>
          <w:szCs w:val="32"/>
        </w:rPr>
        <w:fldChar w:fldCharType="end"/>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_Toc11020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（一）主要职能。</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4</w:t>
      </w:r>
      <w:r>
        <w:rPr>
          <w:rFonts w:hint="eastAsia" w:ascii="方正小标宋简体" w:hAnsi="方正小标宋简体" w:eastAsia="方正小标宋简体" w:cs="方正小标宋简体"/>
          <w:sz w:val="32"/>
          <w:szCs w:val="32"/>
        </w:rPr>
        <w:fldChar w:fldCharType="end"/>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_Toc5699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（二）2019年重点工作完成情况。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4</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_Toc29756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二、机构设置</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4</w:t>
      </w:r>
      <w:r>
        <w:rPr>
          <w:rFonts w:hint="eastAsia" w:ascii="方正小标宋简体" w:hAnsi="方正小标宋简体" w:eastAsia="方正小标宋简体" w:cs="方正小标宋简体"/>
          <w:sz w:val="32"/>
          <w:szCs w:val="32"/>
        </w:rPr>
        <w:fldChar w:fldCharType="end"/>
      </w:r>
    </w:p>
    <w:p>
      <w:pPr>
        <w:pStyle w:val="6"/>
        <w:pageBreakBefore w:val="0"/>
        <w:tabs>
          <w:tab w:val="right" w:leader="dot" w:pos="8306"/>
          <w:tab w:val="clear" w:pos="8296"/>
        </w:tabs>
        <w:kinsoku/>
        <w:wordWrap/>
        <w:overflowPunct/>
        <w:topLinePunct w:val="0"/>
        <w:bidi w:val="0"/>
        <w:spacing w:line="56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_Toc11495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第二部分 2019年度部门决算情况说明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_Toc14033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 收入支出决算总体情况说明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二、</w:t>
      </w: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_Toc14914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收入决算情况说明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_Toc21902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lang w:val="en-US" w:eastAsia="zh-CN"/>
        </w:rPr>
        <w:t>三、</w:t>
      </w:r>
      <w:r>
        <w:rPr>
          <w:rFonts w:hint="eastAsia" w:ascii="方正小标宋简体" w:hAnsi="方正小标宋简体" w:eastAsia="方正小标宋简体" w:cs="方正小标宋简体"/>
          <w:sz w:val="32"/>
          <w:szCs w:val="32"/>
        </w:rPr>
        <w:t>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7</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_Toc18975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四、财政拨款收入支出决算总体情况说明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7</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_Toc12699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五、一般公共预算财政拨款支出决算情况说明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7</w:t>
      </w:r>
      <w:r>
        <w:rPr>
          <w:rFonts w:hint="eastAsia" w:ascii="方正小标宋简体" w:hAnsi="方正小标宋简体" w:eastAsia="方正小标宋简体" w:cs="方正小标宋简体"/>
          <w:sz w:val="32"/>
          <w:szCs w:val="32"/>
        </w:rPr>
        <w:fldChar w:fldCharType="end"/>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_Toc768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（一）一般公共预算财政拨款支出决算总体情况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7</w:t>
      </w:r>
      <w:r>
        <w:rPr>
          <w:rFonts w:hint="eastAsia" w:ascii="方正小标宋简体" w:hAnsi="方正小标宋简体" w:eastAsia="方正小标宋简体" w:cs="方正小标宋简体"/>
          <w:sz w:val="32"/>
          <w:szCs w:val="32"/>
        </w:rPr>
        <w:fldChar w:fldCharType="end"/>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_Toc32432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（二）一般公共预算财政拨款支出决算结构情况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8</w:t>
      </w:r>
      <w:r>
        <w:rPr>
          <w:rFonts w:hint="eastAsia" w:ascii="方正小标宋简体" w:hAnsi="方正小标宋简体" w:eastAsia="方正小标宋简体" w:cs="方正小标宋简体"/>
          <w:sz w:val="32"/>
          <w:szCs w:val="32"/>
        </w:rPr>
        <w:fldChar w:fldCharType="end"/>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_Toc26038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（三）一般公共预算财政拨款支出决算具体情况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9</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_Toc25942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六、一般公共预算财政拨款基本支出决算情况说明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9</w:t>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_Toc16266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七、“三公”经费财政拨款支出决算情况说明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0</w:t>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_Toc36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（一）“三公”经费财政拨款支出决算总体情况说明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0</w:t>
      </w:r>
    </w:p>
    <w:p>
      <w:pPr>
        <w:pageBreakBefore w:val="0"/>
        <w:kinsoku/>
        <w:wordWrap/>
        <w:overflowPunct/>
        <w:topLinePunct w:val="0"/>
        <w:bidi w:val="0"/>
        <w:spacing w:before="0" w:after="0" w:line="560" w:lineRule="exact"/>
        <w:ind w:right="0" w:firstLine="640" w:firstLineChars="200"/>
        <w:jc w:val="both"/>
        <w:textAlignment w:val="auto"/>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t>（二）“三公”经费财政拨款支出决算具体情况说明</w:t>
      </w:r>
      <w:r>
        <w:rPr>
          <w:rFonts w:hint="eastAsia" w:ascii="方正小标宋简体" w:hAnsi="方正小标宋简体" w:eastAsia="方正小标宋简体" w:cs="方正小标宋简体"/>
          <w:sz w:val="32"/>
          <w:szCs w:val="32"/>
          <w:lang w:val="en-US" w:eastAsia="zh-CN"/>
        </w:rPr>
        <w:t>10</w:t>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_Toc361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八、政府性基金预算支出决算情况说明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PAGEREF _Toc361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12</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rPr>
        <w:fldChar w:fldCharType="end"/>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_Toc25169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lang w:val="en-US" w:eastAsia="zh-CN"/>
        </w:rPr>
        <w:t>九、</w:t>
      </w:r>
      <w:r>
        <w:rPr>
          <w:rFonts w:hint="eastAsia" w:ascii="方正小标宋简体" w:hAnsi="方正小标宋简体" w:eastAsia="方正小标宋简体" w:cs="方正小标宋简体"/>
          <w:sz w:val="32"/>
          <w:szCs w:val="32"/>
        </w:rPr>
        <w:t>国有资本经营预算支出决算情况说明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7"/>
        <w:pageBreakBefore w:val="0"/>
        <w:tabs>
          <w:tab w:val="right" w:leader="dot" w:pos="8306"/>
          <w:tab w:val="clear" w:pos="8296"/>
        </w:tabs>
        <w:kinsoku/>
        <w:wordWrap/>
        <w:overflowPunct/>
        <w:topLinePunct w:val="0"/>
        <w:bidi w:val="0"/>
        <w:spacing w:line="560" w:lineRule="exact"/>
        <w:ind w:left="0" w:leftChars="0" w:firstLine="320" w:firstLineChars="1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_Toc18338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十、其他重要事项的情况说明</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_Toc7429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（一）机关运行经费支出情况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_Toc29834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（二）政府采购支出情况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_Toc28641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（三）国有资产占有使用情况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5"/>
        <w:pageBreakBefore w:val="0"/>
        <w:tabs>
          <w:tab w:val="right" w:leader="dot" w:pos="8306"/>
        </w:tabs>
        <w:kinsoku/>
        <w:wordWrap/>
        <w:overflowPunct/>
        <w:topLinePunct w:val="0"/>
        <w:bidi w:val="0"/>
        <w:spacing w:line="560" w:lineRule="exact"/>
        <w:ind w:left="0" w:leftChars="0" w:firstLine="640" w:firstLineChars="200"/>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_Toc7508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（四）预算绩效管理情况。</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lang w:val="en-US" w:eastAsia="zh-CN"/>
        </w:rPr>
        <w:t>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lang w:val="en-US" w:eastAsia="zh-CN"/>
        </w:rPr>
        <w:t>2</w:t>
      </w:r>
    </w:p>
    <w:p>
      <w:pPr>
        <w:pStyle w:val="6"/>
        <w:pageBreakBefore w:val="0"/>
        <w:tabs>
          <w:tab w:val="right" w:leader="dot" w:pos="8306"/>
          <w:tab w:val="clear" w:pos="8296"/>
        </w:tabs>
        <w:kinsoku/>
        <w:wordWrap/>
        <w:overflowPunct/>
        <w:topLinePunct w:val="0"/>
        <w:bidi w:val="0"/>
        <w:spacing w:line="56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_Toc1791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第三部分 名词解释</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PAGEREF _Toc1791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17</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rPr>
        <w:fldChar w:fldCharType="end"/>
      </w:r>
    </w:p>
    <w:p>
      <w:pPr>
        <w:pStyle w:val="6"/>
        <w:pageBreakBefore w:val="0"/>
        <w:tabs>
          <w:tab w:val="right" w:leader="dot" w:pos="8306"/>
          <w:tab w:val="clear" w:pos="8296"/>
        </w:tabs>
        <w:kinsoku/>
        <w:wordWrap/>
        <w:overflowPunct/>
        <w:topLinePunct w:val="0"/>
        <w:bidi w:val="0"/>
        <w:spacing w:line="56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HYPERLINK \l _Toc17059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第四部分 附件</w:t>
      </w:r>
      <w:r>
        <w:rPr>
          <w:rFonts w:hint="eastAsia" w:ascii="方正小标宋简体" w:hAnsi="方正小标宋简体" w:eastAsia="方正小标宋简体" w:cs="方正小标宋简体"/>
          <w:sz w:val="32"/>
          <w:szCs w:val="32"/>
        </w:rPr>
        <w:tab/>
      </w:r>
      <w:r>
        <w:rPr>
          <w:rFonts w:hint="eastAsia" w:ascii="方正小标宋简体" w:hAnsi="方正小标宋简体" w:eastAsia="方正小标宋简体" w:cs="方正小标宋简体"/>
          <w:sz w:val="32"/>
          <w:szCs w:val="32"/>
        </w:rPr>
        <w:fldChar w:fldCharType="begin"/>
      </w:r>
      <w:r>
        <w:rPr>
          <w:rFonts w:hint="eastAsia" w:ascii="方正小标宋简体" w:hAnsi="方正小标宋简体" w:eastAsia="方正小标宋简体" w:cs="方正小标宋简体"/>
          <w:sz w:val="32"/>
          <w:szCs w:val="32"/>
        </w:rPr>
        <w:instrText xml:space="preserve"> PAGEREF _Toc17059 </w:instrText>
      </w:r>
      <w:r>
        <w:rPr>
          <w:rFonts w:hint="eastAsia" w:ascii="方正小标宋简体" w:hAnsi="方正小标宋简体" w:eastAsia="方正小标宋简体" w:cs="方正小标宋简体"/>
          <w:sz w:val="32"/>
          <w:szCs w:val="32"/>
        </w:rPr>
        <w:fldChar w:fldCharType="separate"/>
      </w:r>
      <w:r>
        <w:rPr>
          <w:rFonts w:hint="eastAsia" w:ascii="方正小标宋简体" w:hAnsi="方正小标宋简体" w:eastAsia="方正小标宋简体" w:cs="方正小标宋简体"/>
          <w:sz w:val="32"/>
          <w:szCs w:val="32"/>
        </w:rPr>
        <w:t>21</w:t>
      </w: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rPr>
        <w:fldChar w:fldCharType="end"/>
      </w:r>
    </w:p>
    <w:p>
      <w:pPr>
        <w:pageBreakBefore w:val="0"/>
        <w:widowControl/>
        <w:kinsoku/>
        <w:wordWrap/>
        <w:overflowPunct/>
        <w:topLinePunct w:val="0"/>
        <w:bidi w:val="0"/>
        <w:spacing w:line="560" w:lineRule="exact"/>
        <w:jc w:val="both"/>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fldChar w:fldCharType="end"/>
      </w:r>
      <w:r>
        <w:rPr>
          <w:rFonts w:hint="eastAsia" w:ascii="方正小标宋简体" w:hAnsi="方正小标宋简体" w:eastAsia="方正小标宋简体" w:cs="方正小标宋简体"/>
          <w:sz w:val="32"/>
          <w:szCs w:val="32"/>
        </w:rPr>
        <w:t>第五部分 附表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一、收入支出决算总表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二、收入决算表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三、支出决算表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四、财政拨款收入支出决算总表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五、财政拨款支出决算明细表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六、一般公共预算财政拨款支出决算表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七、一般公共预算财政拨款支出决算明细表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八、一般公共预算财政拨款基本支出决算表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九、一般公共预算财政拨款项目支出决算表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十、一般公共预算财政拨款“三公”经费支出决算表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十一、政府性基金预算财政拨款收入支出决算表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十二、政府性基金预算财政拨款“三公”经费支出决算表</w:t>
      </w:r>
    </w:p>
    <w:p>
      <w:pPr>
        <w:pStyle w:val="7"/>
        <w:pageBreakBefore w:val="0"/>
        <w:kinsoku/>
        <w:wordWrap/>
        <w:overflowPunct/>
        <w:topLinePunct w:val="0"/>
        <w:bidi w:val="0"/>
        <w:adjustRightInd w:val="0"/>
        <w:snapToGrid w:val="0"/>
        <w:spacing w:line="560" w:lineRule="exact"/>
        <w:ind w:left="0" w:leftChars="0" w:firstLine="320" w:firstLineChars="100"/>
        <w:jc w:val="lef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十三、国有资本经营预算支出决算表</w:t>
      </w:r>
    </w:p>
    <w:p>
      <w:pPr>
        <w:pageBreakBefore w:val="0"/>
        <w:widowControl w:val="0"/>
        <w:kinsoku/>
        <w:wordWrap/>
        <w:overflowPunct/>
        <w:topLinePunct w:val="0"/>
        <w:bidi w:val="0"/>
        <w:spacing w:before="0" w:after="0" w:line="560" w:lineRule="exact"/>
        <w:ind w:left="0" w:right="0" w:firstLine="1320"/>
        <w:jc w:val="left"/>
        <w:textAlignment w:val="auto"/>
        <w:rPr>
          <w:rFonts w:ascii="仿宋" w:hAnsi="仿宋" w:eastAsia="仿宋" w:cs="仿宋"/>
          <w:b/>
          <w:color w:val="auto"/>
          <w:spacing w:val="0"/>
          <w:position w:val="0"/>
          <w:sz w:val="24"/>
          <w:shd w:val="clear" w:fill="auto"/>
        </w:rPr>
      </w:pPr>
      <w:r>
        <w:rPr>
          <w:rFonts w:ascii="仿宋" w:hAnsi="仿宋" w:eastAsia="仿宋" w:cs="仿宋"/>
          <w:b/>
          <w:color w:val="auto"/>
          <w:spacing w:val="0"/>
          <w:position w:val="0"/>
          <w:sz w:val="24"/>
          <w:shd w:val="clear" w:fill="auto"/>
        </w:rPr>
        <w:t xml:space="preserve"> </w:t>
      </w:r>
    </w:p>
    <w:p>
      <w:pPr>
        <w:pageBreakBefore w:val="0"/>
        <w:widowControl w:val="0"/>
        <w:kinsoku/>
        <w:wordWrap/>
        <w:overflowPunct/>
        <w:topLinePunct w:val="0"/>
        <w:bidi w:val="0"/>
        <w:spacing w:before="0" w:after="0" w:line="560" w:lineRule="exact"/>
        <w:ind w:left="0" w:right="0" w:firstLine="0"/>
        <w:jc w:val="left"/>
        <w:textAlignment w:val="auto"/>
        <w:rPr>
          <w:rFonts w:ascii="仿宋" w:hAnsi="仿宋" w:eastAsia="仿宋" w:cs="仿宋"/>
          <w:color w:val="auto"/>
          <w:spacing w:val="0"/>
          <w:position w:val="0"/>
          <w:sz w:val="24"/>
          <w:shd w:val="clear" w:fill="auto"/>
        </w:rPr>
      </w:pPr>
    </w:p>
    <w:p>
      <w:pPr>
        <w:pageBreakBefore w:val="0"/>
        <w:widowControl w:val="0"/>
        <w:kinsoku/>
        <w:wordWrap/>
        <w:overflowPunct/>
        <w:topLinePunct w:val="0"/>
        <w:bidi w:val="0"/>
        <w:spacing w:before="0" w:after="0" w:line="560" w:lineRule="exact"/>
        <w:ind w:left="0" w:right="0" w:firstLine="0"/>
        <w:jc w:val="left"/>
        <w:textAlignment w:val="auto"/>
        <w:rPr>
          <w:rFonts w:ascii="仿宋" w:hAnsi="仿宋" w:eastAsia="仿宋" w:cs="仿宋"/>
          <w:color w:val="auto"/>
          <w:spacing w:val="0"/>
          <w:position w:val="0"/>
          <w:sz w:val="24"/>
          <w:shd w:val="clear" w:fill="auto"/>
        </w:rPr>
      </w:pPr>
    </w:p>
    <w:p>
      <w:pPr>
        <w:pageBreakBefore w:val="0"/>
        <w:widowControl w:val="0"/>
        <w:kinsoku/>
        <w:wordWrap/>
        <w:overflowPunct/>
        <w:topLinePunct w:val="0"/>
        <w:bidi w:val="0"/>
        <w:spacing w:before="0" w:after="0" w:line="560" w:lineRule="exact"/>
        <w:ind w:left="0" w:right="0" w:firstLine="0"/>
        <w:jc w:val="left"/>
        <w:textAlignment w:val="auto"/>
        <w:rPr>
          <w:rFonts w:ascii="仿宋" w:hAnsi="仿宋" w:eastAsia="仿宋" w:cs="仿宋"/>
          <w:color w:val="auto"/>
          <w:spacing w:val="0"/>
          <w:position w:val="0"/>
          <w:sz w:val="24"/>
          <w:shd w:val="clear" w:fill="auto"/>
        </w:rPr>
      </w:pPr>
    </w:p>
    <w:p>
      <w:pPr>
        <w:pStyle w:val="2"/>
        <w:pageBreakBefore w:val="0"/>
        <w:kinsoku/>
        <w:wordWrap/>
        <w:overflowPunct/>
        <w:topLinePunct w:val="0"/>
        <w:bidi w:val="0"/>
        <w:spacing w:line="560" w:lineRule="exact"/>
        <w:jc w:val="center"/>
        <w:textAlignment w:val="auto"/>
      </w:pPr>
      <w:bookmarkStart w:id="17" w:name="_Toc7103"/>
      <w:r>
        <w:t>第一部分 部门概况</w:t>
      </w:r>
      <w:bookmarkEnd w:id="17"/>
    </w:p>
    <w:p>
      <w:pPr>
        <w:pStyle w:val="3"/>
        <w:pageBreakBefore w:val="0"/>
        <w:kinsoku/>
        <w:wordWrap/>
        <w:overflowPunct/>
        <w:topLinePunct w:val="0"/>
        <w:bidi w:val="0"/>
        <w:spacing w:line="560" w:lineRule="exact"/>
        <w:textAlignment w:val="auto"/>
      </w:pPr>
      <w:bookmarkStart w:id="18" w:name="_Toc25785"/>
      <w:r>
        <w:t>一、基本职能及主要工作</w:t>
      </w:r>
      <w:bookmarkEnd w:id="18"/>
    </w:p>
    <w:p>
      <w:pPr>
        <w:pageBreakBefore w:val="0"/>
        <w:kinsoku/>
        <w:wordWrap/>
        <w:overflowPunct/>
        <w:topLinePunct w:val="0"/>
        <w:bidi w:val="0"/>
        <w:spacing w:before="93" w:after="0" w:line="560" w:lineRule="exact"/>
        <w:ind w:right="0" w:firstLine="643" w:firstLineChars="200"/>
        <w:jc w:val="both"/>
        <w:textAlignment w:val="auto"/>
        <w:rPr>
          <w:rFonts w:ascii="Times New Roman" w:hAnsi="Times New Roman" w:eastAsia="Times New Roman" w:cs="Times New Roman"/>
          <w:color w:val="auto"/>
          <w:spacing w:val="0"/>
          <w:position w:val="0"/>
          <w:sz w:val="21"/>
          <w:shd w:val="clear" w:fill="auto"/>
        </w:rPr>
      </w:pPr>
      <w:bookmarkStart w:id="19" w:name="_Toc11020"/>
      <w:r>
        <w:rPr>
          <w:rStyle w:val="14"/>
        </w:rPr>
        <w:t>（一）主要职能。</w:t>
      </w:r>
      <w:bookmarkEnd w:id="19"/>
      <w:r>
        <w:rPr>
          <w:rFonts w:ascii="仿宋" w:hAnsi="仿宋" w:eastAsia="仿宋" w:cs="仿宋"/>
          <w:color w:val="000000"/>
          <w:spacing w:val="0"/>
          <w:position w:val="0"/>
          <w:sz w:val="32"/>
          <w:shd w:val="clear" w:fill="auto"/>
        </w:rPr>
        <w:t>（职能参照省政府批准的三定方案）</w:t>
      </w:r>
    </w:p>
    <w:p>
      <w:pPr>
        <w:pageBreakBefore w:val="0"/>
        <w:kinsoku/>
        <w:wordWrap/>
        <w:overflowPunct/>
        <w:topLinePunct w:val="0"/>
        <w:bidi w:val="0"/>
        <w:spacing w:before="93" w:after="0" w:line="560" w:lineRule="exact"/>
        <w:ind w:right="0" w:firstLine="640" w:firstLineChars="20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1.我单位为县政府派出机构，受县政府委托，履行相应宗教事务管理执法权，业务上接收统战部门的指导和监督。</w:t>
      </w:r>
    </w:p>
    <w:p>
      <w:pPr>
        <w:pageBreakBefore w:val="0"/>
        <w:kinsoku/>
        <w:wordWrap/>
        <w:overflowPunct/>
        <w:topLinePunct w:val="0"/>
        <w:bidi w:val="0"/>
        <w:spacing w:before="93"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2.依法管理宗教事务，加强寺庙管理，加强僧尼管理，加强宗教活动管理。</w:t>
      </w:r>
    </w:p>
    <w:p>
      <w:pPr>
        <w:pageBreakBefore w:val="0"/>
        <w:kinsoku/>
        <w:wordWrap/>
        <w:overflowPunct/>
        <w:topLinePunct w:val="0"/>
        <w:bidi w:val="0"/>
        <w:spacing w:before="93"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3.教育引导，以增强僧尼法制意识、公民意识、政府议事、祖国意识为目标，坚持不懈加强对僧尼的教育引导。</w:t>
      </w:r>
    </w:p>
    <w:p>
      <w:pPr>
        <w:pageBreakBefore w:val="0"/>
        <w:kinsoku/>
        <w:wordWrap/>
        <w:overflowPunct/>
        <w:topLinePunct w:val="0"/>
        <w:bidi w:val="0"/>
        <w:spacing w:before="93"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4.公共服务，充分保障依法打击寺庙和持证僧尼的普惠性待遇，做到“五通”、“三有”、“三覆盖”。</w:t>
      </w:r>
    </w:p>
    <w:p>
      <w:pPr>
        <w:pStyle w:val="4"/>
        <w:pageBreakBefore w:val="0"/>
        <w:kinsoku/>
        <w:wordWrap/>
        <w:overflowPunct/>
        <w:topLinePunct w:val="0"/>
        <w:bidi w:val="0"/>
        <w:spacing w:line="560" w:lineRule="exact"/>
        <w:ind w:firstLine="643" w:firstLineChars="200"/>
        <w:textAlignment w:val="auto"/>
      </w:pPr>
      <w:bookmarkStart w:id="20" w:name="_Toc5699"/>
      <w:r>
        <w:t>（二）2019年重点工作完成情况。</w:t>
      </w:r>
      <w:bookmarkEnd w:id="20"/>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 xml:space="preserve">红原县民族宗教局保障了该部门机构正常运转、完成了日常工作任务以及承担宗教寺庙事业发展相关工作。  </w:t>
      </w:r>
    </w:p>
    <w:p>
      <w:pPr>
        <w:pStyle w:val="3"/>
        <w:pageBreakBefore w:val="0"/>
        <w:kinsoku/>
        <w:wordWrap/>
        <w:overflowPunct/>
        <w:topLinePunct w:val="0"/>
        <w:bidi w:val="0"/>
        <w:spacing w:line="560" w:lineRule="exact"/>
        <w:textAlignment w:val="auto"/>
      </w:pPr>
      <w:bookmarkStart w:id="21" w:name="_Toc29756"/>
      <w:r>
        <w:t>二、机构设置</w:t>
      </w:r>
      <w:bookmarkEnd w:id="21"/>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红原县民宗局下属二级单位1个，其中行政单位1个，参照公务员法管理的事业单位0个，其他事业单位0个。</w:t>
      </w:r>
    </w:p>
    <w:p>
      <w:pPr>
        <w:pStyle w:val="2"/>
        <w:pageBreakBefore w:val="0"/>
        <w:numPr>
          <w:ilvl w:val="0"/>
          <w:numId w:val="1"/>
        </w:numPr>
        <w:kinsoku/>
        <w:wordWrap/>
        <w:overflowPunct/>
        <w:topLinePunct w:val="0"/>
        <w:bidi w:val="0"/>
        <w:spacing w:line="560" w:lineRule="exact"/>
        <w:jc w:val="center"/>
        <w:textAlignment w:val="auto"/>
      </w:pPr>
      <w:bookmarkStart w:id="22" w:name="_Toc11495"/>
      <w:r>
        <w:t>2019年度部门决算情况说明</w:t>
      </w:r>
      <w:bookmarkEnd w:id="22"/>
    </w:p>
    <w:p>
      <w:pPr>
        <w:numPr>
          <w:ilvl w:val="0"/>
          <w:numId w:val="0"/>
        </w:numPr>
      </w:pPr>
    </w:p>
    <w:p>
      <w:pPr>
        <w:pStyle w:val="3"/>
        <w:pageBreakBefore w:val="0"/>
        <w:numPr>
          <w:ilvl w:val="0"/>
          <w:numId w:val="0"/>
        </w:numPr>
        <w:kinsoku/>
        <w:wordWrap/>
        <w:overflowPunct/>
        <w:topLinePunct w:val="0"/>
        <w:bidi w:val="0"/>
        <w:spacing w:line="560" w:lineRule="exact"/>
        <w:textAlignment w:val="auto"/>
      </w:pPr>
      <w:bookmarkStart w:id="23" w:name="_Toc15396603"/>
      <w:bookmarkStart w:id="24" w:name="_Toc22463"/>
      <w:bookmarkStart w:id="25" w:name="_Toc19436"/>
      <w:bookmarkStart w:id="26" w:name="_Toc14033"/>
      <w:bookmarkStart w:id="27" w:name="_Toc15377205"/>
      <w:r>
        <w:rPr>
          <w:rFonts w:hint="eastAsia"/>
          <w:lang w:val="en-US" w:eastAsia="zh-CN"/>
        </w:rPr>
        <w:t>一、</w:t>
      </w:r>
      <w:r>
        <w:rPr>
          <w:rFonts w:hint="eastAsia"/>
        </w:rPr>
        <w:t>收入支出决算总体情况说明</w:t>
      </w:r>
      <w:bookmarkEnd w:id="23"/>
      <w:bookmarkEnd w:id="24"/>
      <w:bookmarkEnd w:id="25"/>
      <w:bookmarkEnd w:id="26"/>
      <w:bookmarkEnd w:id="27"/>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2019年度收入1651.08万元；支出1464.4万元。与2018年相比，收入增加980.98万元；支出增加827.33万元，分别增长146%；129%。</w:t>
      </w:r>
      <w:r>
        <w:rPr>
          <w:rFonts w:ascii="仿宋_GB2312" w:hAnsi="仿宋_GB2312" w:eastAsia="仿宋_GB2312" w:cs="仿宋_GB2312"/>
          <w:color w:val="000000"/>
          <w:spacing w:val="0"/>
          <w:position w:val="0"/>
          <w:sz w:val="32"/>
          <w:shd w:val="clear" w:fill="auto"/>
        </w:rPr>
        <w:t>原因是</w:t>
      </w:r>
      <w:r>
        <w:rPr>
          <w:rFonts w:ascii="宋体" w:hAnsi="宋体" w:eastAsia="宋体" w:cs="宋体"/>
          <w:color w:val="000000"/>
          <w:spacing w:val="0"/>
          <w:position w:val="0"/>
          <w:sz w:val="32"/>
          <w:shd w:val="clear" w:fill="auto"/>
        </w:rPr>
        <w:t>行政和事业分开做决算，</w:t>
      </w:r>
      <w:r>
        <w:rPr>
          <w:rFonts w:ascii="仿宋" w:hAnsi="仿宋" w:eastAsia="仿宋" w:cs="仿宋"/>
          <w:color w:val="000000"/>
          <w:spacing w:val="0"/>
          <w:position w:val="0"/>
          <w:sz w:val="32"/>
          <w:shd w:val="clear" w:fill="auto"/>
        </w:rPr>
        <w:t>2019年度我局建设项目增加。</w:t>
      </w:r>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387350</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lang w:eastAsia="zh-CN"/>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Style w:val="3"/>
        <w:pageBreakBefore w:val="0"/>
        <w:kinsoku/>
        <w:wordWrap/>
        <w:overflowPunct/>
        <w:topLinePunct w:val="0"/>
        <w:bidi w:val="0"/>
        <w:spacing w:line="560" w:lineRule="exact"/>
        <w:textAlignment w:val="auto"/>
      </w:pPr>
      <w:bookmarkStart w:id="28" w:name="_Toc24531"/>
      <w:bookmarkStart w:id="29" w:name="_Toc27516"/>
      <w:bookmarkStart w:id="30" w:name="_Toc14914"/>
      <w:bookmarkStart w:id="31" w:name="_Toc15396604"/>
      <w:bookmarkStart w:id="32" w:name="_Toc15377206"/>
      <w:r>
        <w:rPr>
          <w:rFonts w:hint="eastAsia"/>
          <w:lang w:val="en-US" w:eastAsia="zh-CN"/>
        </w:rPr>
        <w:t>二、</w:t>
      </w:r>
      <w:r>
        <w:rPr>
          <w:rFonts w:hint="eastAsia"/>
        </w:rPr>
        <w:t>收入决算情况说明</w:t>
      </w:r>
      <w:bookmarkEnd w:id="28"/>
      <w:bookmarkEnd w:id="29"/>
      <w:bookmarkEnd w:id="30"/>
      <w:bookmarkEnd w:id="31"/>
      <w:bookmarkEnd w:id="32"/>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s="仿宋"/>
          <w:color w:val="000000"/>
          <w:spacing w:val="0"/>
          <w:position w:val="0"/>
          <w:sz w:val="32"/>
          <w:shd w:val="clear" w:fill="auto"/>
        </w:rPr>
        <w:t>2019年收入合计1651.08万元</w:t>
      </w:r>
      <w:r>
        <w:rPr>
          <w:rFonts w:ascii="仿宋_GB2312" w:hAnsi="仿宋_GB2312" w:eastAsia="仿宋_GB2312" w:cs="仿宋_GB2312"/>
          <w:color w:val="auto"/>
          <w:spacing w:val="0"/>
          <w:position w:val="0"/>
          <w:sz w:val="32"/>
          <w:shd w:val="clear" w:fill="auto"/>
        </w:rPr>
        <w:t>，</w:t>
      </w:r>
      <w:r>
        <w:rPr>
          <w:rFonts w:ascii="仿宋" w:hAnsi="仿宋" w:eastAsia="仿宋" w:cs="仿宋"/>
          <w:color w:val="000000"/>
          <w:spacing w:val="0"/>
          <w:position w:val="0"/>
          <w:sz w:val="32"/>
          <w:shd w:val="clear" w:fill="auto"/>
        </w:rPr>
        <w:t>其中：一般公共预算财政拨款收入1651.08万元，占100%；政府性基金预算财政拨款收入0万元，占0%；上级补助收入0万元，占0%；事业收入0万元，占0%；经营收入0万元，占0%；附属单位上缴收入0万元，占0%；其他收入0万元，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3"/>
        <w:pageBreakBefore w:val="0"/>
        <w:numPr>
          <w:ilvl w:val="0"/>
          <w:numId w:val="0"/>
        </w:numPr>
        <w:kinsoku/>
        <w:wordWrap/>
        <w:overflowPunct/>
        <w:topLinePunct w:val="0"/>
        <w:bidi w:val="0"/>
        <w:spacing w:line="560" w:lineRule="exact"/>
        <w:textAlignment w:val="auto"/>
      </w:pPr>
      <w:bookmarkStart w:id="33" w:name="_Toc21902"/>
      <w:bookmarkStart w:id="34" w:name="_Toc15396605"/>
      <w:bookmarkStart w:id="35" w:name="_Toc31981"/>
      <w:bookmarkStart w:id="36" w:name="_Toc6895"/>
      <w:bookmarkStart w:id="37" w:name="_Toc15377207"/>
      <w:r>
        <w:rPr>
          <w:rFonts w:hint="eastAsia"/>
          <w:lang w:val="en-US" w:eastAsia="zh-CN"/>
        </w:rPr>
        <w:t>三、</w:t>
      </w:r>
      <w:r>
        <w:rPr>
          <w:rFonts w:hint="eastAsia"/>
        </w:rPr>
        <w:t>支出决算情况说明</w:t>
      </w:r>
      <w:bookmarkEnd w:id="33"/>
      <w:bookmarkEnd w:id="34"/>
      <w:bookmarkEnd w:id="35"/>
      <w:bookmarkEnd w:id="36"/>
      <w:bookmarkEnd w:id="37"/>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2019年本年支出合计1464.4万元，其中：基本支出1185.83万元，占81%；项目支出278.57万元，占19%；上缴上级支出0万元，占0%；经营支出0万元，占0%；对附属单位补助支出0万元，占0%。</w:t>
      </w:r>
    </w:p>
    <w:p>
      <w:pPr>
        <w:pageBreakBefore w:val="0"/>
        <w:kinsoku/>
        <w:wordWrap/>
        <w:overflowPunct/>
        <w:topLinePunct w:val="0"/>
        <w:bidi w:val="0"/>
        <w:spacing w:line="560" w:lineRule="exact"/>
        <w:ind w:firstLine="640" w:firstLineChars="200"/>
        <w:textAlignment w:val="auto"/>
        <w:outlineLvl w:val="1"/>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410845</wp:posOffset>
            </wp:positionH>
            <wp:positionV relativeFrom="paragraph">
              <wp:posOffset>61595</wp:posOffset>
            </wp:positionV>
            <wp:extent cx="4137025" cy="2363470"/>
            <wp:effectExtent l="4445" t="4445" r="11430" b="1333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ageBreakBefore w:val="0"/>
        <w:kinsoku/>
        <w:wordWrap/>
        <w:overflowPunct/>
        <w:topLinePunct w:val="0"/>
        <w:bidi w:val="0"/>
        <w:spacing w:line="560" w:lineRule="exact"/>
        <w:ind w:firstLine="640" w:firstLineChars="200"/>
        <w:textAlignment w:val="auto"/>
        <w:outlineLvl w:val="1"/>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outlineLvl w:val="1"/>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outlineLvl w:val="1"/>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outlineLvl w:val="1"/>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960" w:firstLineChars="3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3"/>
        <w:pageBreakBefore w:val="0"/>
        <w:kinsoku/>
        <w:wordWrap/>
        <w:overflowPunct/>
        <w:topLinePunct w:val="0"/>
        <w:bidi w:val="0"/>
        <w:spacing w:line="560" w:lineRule="exact"/>
        <w:textAlignment w:val="auto"/>
      </w:pPr>
      <w:bookmarkStart w:id="38" w:name="_Toc15396606"/>
      <w:bookmarkStart w:id="39" w:name="_Toc15377208"/>
      <w:bookmarkStart w:id="40" w:name="_Toc18975"/>
      <w:bookmarkStart w:id="41" w:name="_Toc32296"/>
      <w:bookmarkStart w:id="42" w:name="_Toc3106"/>
      <w:r>
        <w:rPr>
          <w:rFonts w:hint="eastAsia"/>
          <w:lang w:val="en-US" w:eastAsia="zh-CN"/>
        </w:rPr>
        <w:t>四、</w:t>
      </w:r>
      <w:r>
        <w:rPr>
          <w:rFonts w:hint="eastAsia"/>
        </w:rPr>
        <w:t>财政拨款收入支出决算总体情况说明</w:t>
      </w:r>
      <w:bookmarkEnd w:id="38"/>
      <w:bookmarkEnd w:id="39"/>
      <w:bookmarkEnd w:id="40"/>
      <w:bookmarkEnd w:id="41"/>
      <w:bookmarkEnd w:id="42"/>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2019年财政拨款收、支总计3115.48万元。与2018年相比，财政拨款收、支总计增加1808.31万元，增长72%。主要变动原因是本年度建设项目增加。</w:t>
      </w:r>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p>
    <w:p>
      <w:pPr>
        <w:pageBreakBefore w:val="0"/>
        <w:kinsoku/>
        <w:wordWrap/>
        <w:overflowPunct/>
        <w:topLinePunct w:val="0"/>
        <w:bidi w:val="0"/>
        <w:spacing w:line="560" w:lineRule="exact"/>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457200</wp:posOffset>
            </wp:positionH>
            <wp:positionV relativeFrom="paragraph">
              <wp:posOffset>38100</wp:posOffset>
            </wp:positionV>
            <wp:extent cx="3757930" cy="2318385"/>
            <wp:effectExtent l="4445" t="4445" r="9525" b="2032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3"/>
        <w:pageBreakBefore w:val="0"/>
        <w:kinsoku/>
        <w:wordWrap/>
        <w:overflowPunct/>
        <w:topLinePunct w:val="0"/>
        <w:bidi w:val="0"/>
        <w:spacing w:line="560" w:lineRule="exact"/>
        <w:textAlignment w:val="auto"/>
      </w:pPr>
      <w:bookmarkStart w:id="43" w:name="_Toc12699"/>
      <w:bookmarkStart w:id="44" w:name="_Toc15396607"/>
      <w:bookmarkStart w:id="45" w:name="_Toc12083"/>
      <w:bookmarkStart w:id="46" w:name="_Toc22136"/>
      <w:bookmarkStart w:id="47" w:name="_Toc15377209"/>
      <w:r>
        <w:rPr>
          <w:rFonts w:hint="eastAsia"/>
        </w:rPr>
        <w:t>五、一般公共预算财政拨款支出决算情况说明</w:t>
      </w:r>
      <w:bookmarkEnd w:id="43"/>
      <w:bookmarkEnd w:id="44"/>
      <w:bookmarkEnd w:id="45"/>
      <w:bookmarkEnd w:id="46"/>
      <w:bookmarkEnd w:id="47"/>
    </w:p>
    <w:p>
      <w:pPr>
        <w:pStyle w:val="4"/>
        <w:pageBreakBefore w:val="0"/>
        <w:kinsoku/>
        <w:wordWrap/>
        <w:overflowPunct/>
        <w:topLinePunct w:val="0"/>
        <w:bidi w:val="0"/>
        <w:spacing w:line="560" w:lineRule="exact"/>
        <w:ind w:firstLine="643" w:firstLineChars="200"/>
        <w:textAlignment w:val="auto"/>
      </w:pPr>
      <w:bookmarkStart w:id="48" w:name="_Toc768"/>
      <w:r>
        <w:t>（一）一般公共预算财政拨款支出决算总体情况</w:t>
      </w:r>
      <w:bookmarkEnd w:id="48"/>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2019年一般公共预算财政拨款支出1464.4万元，占本年支出合计的100%。与2018年相比，一般公共预算财政拨款增加1035.2万元，增长241%。主要变动原因是本年度建设项目增加。</w:t>
      </w:r>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p>
    <w:p>
      <w:pPr>
        <w:pageBreakBefore w:val="0"/>
        <w:kinsoku/>
        <w:wordWrap/>
        <w:overflowPunct/>
        <w:topLinePunct w:val="0"/>
        <w:bidi w:val="0"/>
        <w:spacing w:line="560" w:lineRule="exact"/>
        <w:ind w:firstLine="640" w:firstLineChars="200"/>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457200</wp:posOffset>
            </wp:positionH>
            <wp:positionV relativeFrom="paragraph">
              <wp:posOffset>76200</wp:posOffset>
            </wp:positionV>
            <wp:extent cx="4221480" cy="1927860"/>
            <wp:effectExtent l="4445" t="4445" r="22225" b="1079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bidi w:val="0"/>
        <w:spacing w:before="0" w:after="0" w:line="560" w:lineRule="exact"/>
        <w:ind w:left="0" w:right="0" w:firstLine="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（图5：一般公共预算财政拨款支出决算变动情况）（柱状图）</w:t>
      </w:r>
    </w:p>
    <w:p>
      <w:pPr>
        <w:pStyle w:val="4"/>
        <w:pageBreakBefore w:val="0"/>
        <w:kinsoku/>
        <w:wordWrap/>
        <w:overflowPunct/>
        <w:topLinePunct w:val="0"/>
        <w:bidi w:val="0"/>
        <w:spacing w:line="560" w:lineRule="exact"/>
        <w:ind w:firstLine="643" w:firstLineChars="200"/>
        <w:textAlignment w:val="auto"/>
      </w:pPr>
      <w:bookmarkStart w:id="49" w:name="_Toc32432"/>
      <w:r>
        <w:t>（二）一般公共预算财政拨款支出决算结构情况</w:t>
      </w:r>
      <w:bookmarkEnd w:id="49"/>
    </w:p>
    <w:p>
      <w:pPr>
        <w:pageBreakBefore w:val="0"/>
        <w:kinsoku/>
        <w:wordWrap/>
        <w:overflowPunct/>
        <w:topLinePunct w:val="0"/>
        <w:bidi w:val="0"/>
        <w:spacing w:before="0" w:after="0" w:line="560" w:lineRule="exact"/>
        <w:ind w:left="0" w:right="0" w:firstLine="640"/>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2019年一般公共预算财政拨款支出1464.4万元，主要用于以下方面:</w:t>
      </w:r>
      <w:r>
        <w:rPr>
          <w:rFonts w:ascii="仿宋" w:hAnsi="仿宋" w:eastAsia="仿宋" w:cs="仿宋"/>
          <w:b/>
          <w:color w:val="000000"/>
          <w:spacing w:val="0"/>
          <w:position w:val="0"/>
          <w:sz w:val="32"/>
          <w:shd w:val="clear" w:fill="auto"/>
        </w:rPr>
        <w:t>一般公共服务（201）</w:t>
      </w:r>
      <w:r>
        <w:rPr>
          <w:rFonts w:ascii="仿宋" w:hAnsi="仿宋" w:eastAsia="仿宋" w:cs="仿宋"/>
          <w:color w:val="000000"/>
          <w:spacing w:val="0"/>
          <w:position w:val="0"/>
          <w:sz w:val="32"/>
          <w:shd w:val="clear" w:fill="auto"/>
        </w:rPr>
        <w:t>支出1185.83万元，占81%；</w:t>
      </w:r>
      <w:r>
        <w:rPr>
          <w:rFonts w:ascii="仿宋" w:hAnsi="仿宋" w:eastAsia="仿宋" w:cs="仿宋"/>
          <w:b/>
          <w:color w:val="000000"/>
          <w:spacing w:val="0"/>
          <w:position w:val="0"/>
          <w:sz w:val="32"/>
          <w:shd w:val="clear" w:fill="auto"/>
        </w:rPr>
        <w:t>农林水（213）</w:t>
      </w:r>
      <w:r>
        <w:rPr>
          <w:rFonts w:ascii="仿宋" w:hAnsi="仿宋" w:eastAsia="仿宋" w:cs="仿宋"/>
          <w:color w:val="000000"/>
          <w:spacing w:val="0"/>
          <w:position w:val="0"/>
          <w:sz w:val="32"/>
          <w:shd w:val="clear" w:fill="auto"/>
        </w:rPr>
        <w:t>支出156.52万元，占10.6%；</w:t>
      </w:r>
      <w:r>
        <w:rPr>
          <w:rFonts w:ascii="仿宋" w:hAnsi="仿宋" w:eastAsia="仿宋" w:cs="仿宋"/>
          <w:b/>
          <w:color w:val="000000"/>
          <w:spacing w:val="0"/>
          <w:position w:val="0"/>
          <w:sz w:val="32"/>
          <w:shd w:val="clear" w:fill="auto"/>
        </w:rPr>
        <w:t>社会保障和就业（208）</w:t>
      </w:r>
      <w:r>
        <w:rPr>
          <w:rFonts w:ascii="仿宋" w:hAnsi="仿宋" w:eastAsia="仿宋" w:cs="仿宋"/>
          <w:color w:val="000000"/>
          <w:spacing w:val="0"/>
          <w:position w:val="0"/>
          <w:sz w:val="32"/>
          <w:shd w:val="clear" w:fill="auto"/>
        </w:rPr>
        <w:t>支出43.43万元，占3%；</w:t>
      </w:r>
      <w:r>
        <w:rPr>
          <w:rFonts w:ascii="仿宋" w:hAnsi="仿宋" w:eastAsia="仿宋" w:cs="仿宋"/>
          <w:b/>
          <w:color w:val="000000"/>
          <w:spacing w:val="0"/>
          <w:position w:val="0"/>
          <w:sz w:val="32"/>
          <w:shd w:val="clear" w:fill="auto"/>
        </w:rPr>
        <w:t>卫生健康支出（210）</w:t>
      </w:r>
      <w:r>
        <w:rPr>
          <w:rFonts w:ascii="仿宋" w:hAnsi="仿宋" w:eastAsia="仿宋" w:cs="仿宋"/>
          <w:color w:val="000000"/>
          <w:spacing w:val="0"/>
          <w:position w:val="0"/>
          <w:sz w:val="32"/>
          <w:shd w:val="clear" w:fill="auto"/>
        </w:rPr>
        <w:t>20.79万元，占1.4%；</w:t>
      </w:r>
      <w:r>
        <w:rPr>
          <w:rFonts w:ascii="仿宋" w:hAnsi="仿宋" w:eastAsia="仿宋" w:cs="仿宋"/>
          <w:b/>
          <w:color w:val="000000"/>
          <w:spacing w:val="0"/>
          <w:position w:val="0"/>
          <w:sz w:val="32"/>
          <w:shd w:val="clear" w:fill="auto"/>
        </w:rPr>
        <w:t>住房保障（221）</w:t>
      </w:r>
      <w:r>
        <w:rPr>
          <w:rFonts w:ascii="仿宋" w:hAnsi="仿宋" w:eastAsia="仿宋" w:cs="仿宋"/>
          <w:color w:val="000000"/>
          <w:spacing w:val="0"/>
          <w:position w:val="0"/>
          <w:sz w:val="32"/>
          <w:shd w:val="clear" w:fill="auto"/>
        </w:rPr>
        <w:t>支出25.86万元，占2%；</w:t>
      </w:r>
      <w:r>
        <w:rPr>
          <w:rFonts w:ascii="仿宋" w:hAnsi="仿宋" w:eastAsia="仿宋" w:cs="仿宋"/>
          <w:b/>
          <w:color w:val="000000"/>
          <w:spacing w:val="0"/>
          <w:position w:val="0"/>
          <w:sz w:val="32"/>
          <w:shd w:val="clear" w:fill="auto"/>
        </w:rPr>
        <w:t>其他支出</w:t>
      </w:r>
      <w:r>
        <w:rPr>
          <w:rFonts w:ascii="仿宋" w:hAnsi="仿宋" w:eastAsia="仿宋" w:cs="仿宋"/>
          <w:color w:val="000000"/>
          <w:spacing w:val="0"/>
          <w:position w:val="0"/>
          <w:sz w:val="32"/>
          <w:shd w:val="clear" w:fill="auto"/>
        </w:rPr>
        <w:t>31.97，占2%。</w:t>
      </w: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1" locked="0" layoutInCell="1" allowOverlap="1">
            <wp:simplePos x="0" y="0"/>
            <wp:positionH relativeFrom="column">
              <wp:posOffset>859790</wp:posOffset>
            </wp:positionH>
            <wp:positionV relativeFrom="paragraph">
              <wp:posOffset>50800</wp:posOffset>
            </wp:positionV>
            <wp:extent cx="3818890" cy="2540635"/>
            <wp:effectExtent l="4445" t="4445" r="5715" b="762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lang w:eastAsia="zh-CN"/>
          <w14:textFill>
            <w14:solidFill>
              <w14:schemeClr w14:val="tx1"/>
            </w14:solidFill>
          </w14:textFill>
        </w:rPr>
      </w:pPr>
    </w:p>
    <w:p>
      <w:pPr>
        <w:pageBreakBefore w:val="0"/>
        <w:kinsoku/>
        <w:wordWrap/>
        <w:overflowPunct/>
        <w:topLinePunct w:val="0"/>
        <w:bidi w:val="0"/>
        <w:spacing w:line="560" w:lineRule="exact"/>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（图6：一般公共预算财政拨款支出决算结构）（饼状图）</w:t>
      </w:r>
    </w:p>
    <w:p>
      <w:pPr>
        <w:pStyle w:val="4"/>
        <w:pageBreakBefore w:val="0"/>
        <w:kinsoku/>
        <w:wordWrap/>
        <w:overflowPunct/>
        <w:topLinePunct w:val="0"/>
        <w:bidi w:val="0"/>
        <w:spacing w:line="560" w:lineRule="exact"/>
        <w:ind w:firstLine="643" w:firstLineChars="200"/>
        <w:textAlignment w:val="auto"/>
      </w:pPr>
      <w:bookmarkStart w:id="50" w:name="_Toc26038"/>
      <w:bookmarkStart w:id="51" w:name="_Toc15377212"/>
      <w:bookmarkStart w:id="52" w:name="_Toc24273"/>
      <w:bookmarkStart w:id="53" w:name="_Toc16075"/>
      <w:r>
        <w:rPr>
          <w:rFonts w:hint="eastAsia"/>
        </w:rPr>
        <w:t>（三）一般公共预算财政拨款支出决算具体情况</w:t>
      </w:r>
      <w:bookmarkEnd w:id="50"/>
      <w:bookmarkEnd w:id="51"/>
      <w:bookmarkEnd w:id="52"/>
      <w:bookmarkEnd w:id="53"/>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color w:val="FF0000"/>
          <w:spacing w:val="0"/>
          <w:position w:val="0"/>
          <w:sz w:val="32"/>
          <w:shd w:val="clear" w:fill="auto"/>
        </w:rPr>
      </w:pPr>
      <w:r>
        <w:rPr>
          <w:rFonts w:ascii="仿宋" w:hAnsi="仿宋" w:eastAsia="仿宋" w:cs="仿宋"/>
          <w:b/>
          <w:color w:val="000000"/>
          <w:spacing w:val="0"/>
          <w:position w:val="0"/>
          <w:sz w:val="32"/>
          <w:shd w:val="clear" w:fill="auto"/>
        </w:rPr>
        <w:t>2019年一般公共预算支出决算数为1464.4</w:t>
      </w:r>
      <w:r>
        <w:rPr>
          <w:rFonts w:ascii="仿宋" w:hAnsi="仿宋" w:eastAsia="仿宋" w:cs="仿宋"/>
          <w:color w:val="000000"/>
          <w:spacing w:val="0"/>
          <w:position w:val="0"/>
          <w:sz w:val="32"/>
          <w:shd w:val="clear" w:fill="auto"/>
        </w:rPr>
        <w:t>，</w:t>
      </w:r>
      <w:r>
        <w:rPr>
          <w:rFonts w:ascii="仿宋" w:hAnsi="仿宋" w:eastAsia="仿宋" w:cs="仿宋"/>
          <w:b/>
          <w:color w:val="000000"/>
          <w:spacing w:val="0"/>
          <w:position w:val="0"/>
          <w:sz w:val="32"/>
          <w:shd w:val="clear" w:fill="auto"/>
        </w:rPr>
        <w:t>完成预算100%。其中：</w:t>
      </w:r>
    </w:p>
    <w:p>
      <w:pPr>
        <w:pageBreakBefore w:val="0"/>
        <w:kinsoku/>
        <w:wordWrap/>
        <w:overflowPunct/>
        <w:topLinePunct w:val="0"/>
        <w:bidi w:val="0"/>
        <w:spacing w:before="0" w:after="0" w:line="560" w:lineRule="exact"/>
        <w:ind w:left="0" w:right="0" w:firstLine="643" w:firstLineChars="200"/>
        <w:jc w:val="both"/>
        <w:textAlignment w:val="auto"/>
        <w:rPr>
          <w:rFonts w:ascii="仿宋" w:hAnsi="仿宋" w:eastAsia="仿宋" w:cs="仿宋"/>
          <w:b/>
          <w:color w:val="000000"/>
          <w:spacing w:val="0"/>
          <w:position w:val="0"/>
          <w:sz w:val="32"/>
          <w:shd w:val="clear" w:fill="auto"/>
        </w:rPr>
      </w:pPr>
      <w:r>
        <w:rPr>
          <w:rFonts w:ascii="仿宋" w:hAnsi="仿宋" w:eastAsia="仿宋" w:cs="仿宋"/>
          <w:b/>
          <w:color w:val="000000"/>
          <w:spacing w:val="0"/>
          <w:position w:val="0"/>
          <w:sz w:val="32"/>
          <w:shd w:val="clear" w:fill="auto"/>
        </w:rPr>
        <w:t>1.一般公共服务：</w:t>
      </w:r>
      <w:r>
        <w:rPr>
          <w:rFonts w:ascii="仿宋" w:hAnsi="仿宋" w:eastAsia="仿宋" w:cs="仿宋"/>
          <w:color w:val="000000"/>
          <w:spacing w:val="0"/>
          <w:position w:val="0"/>
          <w:sz w:val="32"/>
          <w:shd w:val="clear" w:fill="auto"/>
        </w:rPr>
        <w:t>行政运行2012301:206.28万元，完成预算100%。事业运行2012350</w:t>
      </w:r>
      <w:r>
        <w:rPr>
          <w:rFonts w:ascii="仿宋" w:hAnsi="仿宋" w:eastAsia="仿宋" w:cs="仿宋"/>
          <w:b/>
          <w:color w:val="000000"/>
          <w:spacing w:val="0"/>
          <w:position w:val="0"/>
          <w:sz w:val="32"/>
          <w:shd w:val="clear" w:fill="auto"/>
        </w:rPr>
        <w:t>:</w:t>
      </w:r>
      <w:r>
        <w:rPr>
          <w:rFonts w:ascii="仿宋" w:hAnsi="仿宋" w:eastAsia="仿宋" w:cs="仿宋"/>
          <w:color w:val="000000"/>
          <w:spacing w:val="0"/>
          <w:position w:val="0"/>
          <w:sz w:val="32"/>
          <w:shd w:val="clear" w:fill="auto"/>
        </w:rPr>
        <w:t xml:space="preserve"> 80.3万元，完成预算100%，其他一般公共服务支出2019999</w:t>
      </w:r>
      <w:r>
        <w:rPr>
          <w:rFonts w:ascii="仿宋" w:hAnsi="仿宋" w:eastAsia="仿宋" w:cs="仿宋"/>
          <w:b/>
          <w:color w:val="000000"/>
          <w:spacing w:val="0"/>
          <w:position w:val="0"/>
          <w:sz w:val="32"/>
          <w:shd w:val="clear" w:fill="auto"/>
        </w:rPr>
        <w:t>：</w:t>
      </w:r>
      <w:r>
        <w:rPr>
          <w:rFonts w:ascii="仿宋" w:hAnsi="仿宋" w:eastAsia="仿宋" w:cs="仿宋"/>
          <w:color w:val="000000"/>
          <w:spacing w:val="0"/>
          <w:position w:val="0"/>
          <w:sz w:val="32"/>
          <w:shd w:val="clear" w:fill="auto"/>
        </w:rPr>
        <w:t>547.91万元，完成预算100%，一般行政管理事务2012302：31.61万元，完成预算100%，民族工作专项2012304：68万元，完成预算100%，他民族事务支出2012399：227.04万元，完成预算100%，宗教事务2013404：9.6万元，完成预算100%，其他统战事务支出2013499：15.09，完成预算100%。</w:t>
      </w: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color w:val="000000"/>
          <w:spacing w:val="0"/>
          <w:position w:val="0"/>
          <w:sz w:val="32"/>
          <w:shd w:val="clear" w:fill="auto"/>
        </w:rPr>
      </w:pPr>
      <w:r>
        <w:rPr>
          <w:rFonts w:hint="eastAsia" w:ascii="仿宋" w:hAnsi="仿宋" w:eastAsia="仿宋" w:cs="仿宋"/>
          <w:b/>
          <w:color w:val="000000"/>
          <w:spacing w:val="0"/>
          <w:position w:val="0"/>
          <w:sz w:val="32"/>
          <w:shd w:val="clear" w:fill="auto"/>
          <w:lang w:val="en-US" w:eastAsia="zh-CN"/>
        </w:rPr>
        <w:t>2</w:t>
      </w:r>
      <w:r>
        <w:rPr>
          <w:rFonts w:ascii="仿宋" w:hAnsi="仿宋" w:eastAsia="仿宋" w:cs="仿宋"/>
          <w:b/>
          <w:color w:val="000000"/>
          <w:spacing w:val="0"/>
          <w:position w:val="0"/>
          <w:sz w:val="32"/>
          <w:shd w:val="clear" w:fill="auto"/>
        </w:rPr>
        <w:t>.社会保障和就业</w:t>
      </w:r>
      <w:r>
        <w:rPr>
          <w:rFonts w:ascii="仿宋" w:hAnsi="仿宋" w:eastAsia="仿宋" w:cs="仿宋"/>
          <w:color w:val="000000"/>
          <w:spacing w:val="0"/>
          <w:position w:val="0"/>
          <w:sz w:val="32"/>
          <w:shd w:val="clear" w:fill="auto"/>
        </w:rPr>
        <w:t xml:space="preserve"> 2080208</w:t>
      </w:r>
      <w:r>
        <w:rPr>
          <w:rFonts w:ascii="仿宋" w:hAnsi="仿宋" w:eastAsia="仿宋" w:cs="仿宋"/>
          <w:b/>
          <w:color w:val="000000"/>
          <w:spacing w:val="0"/>
          <w:position w:val="0"/>
          <w:sz w:val="32"/>
          <w:shd w:val="clear" w:fill="auto"/>
        </w:rPr>
        <w:t>:</w:t>
      </w:r>
      <w:r>
        <w:rPr>
          <w:rFonts w:ascii="仿宋" w:hAnsi="仿宋" w:eastAsia="仿宋" w:cs="仿宋"/>
          <w:color w:val="000000"/>
          <w:spacing w:val="0"/>
          <w:position w:val="0"/>
          <w:sz w:val="32"/>
          <w:shd w:val="clear" w:fill="auto"/>
        </w:rPr>
        <w:t xml:space="preserve"> 支出决算为43.43万元，完成预算100%。</w:t>
      </w: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color w:val="000000"/>
          <w:spacing w:val="0"/>
          <w:position w:val="0"/>
          <w:sz w:val="32"/>
          <w:shd w:val="clear" w:fill="auto"/>
        </w:rPr>
      </w:pPr>
      <w:r>
        <w:rPr>
          <w:rFonts w:hint="eastAsia" w:ascii="仿宋" w:hAnsi="仿宋" w:eastAsia="仿宋" w:cs="仿宋"/>
          <w:b/>
          <w:color w:val="000000"/>
          <w:spacing w:val="0"/>
          <w:position w:val="0"/>
          <w:sz w:val="32"/>
          <w:shd w:val="clear" w:fill="auto"/>
          <w:lang w:val="en-US" w:eastAsia="zh-CN"/>
        </w:rPr>
        <w:t>3</w:t>
      </w:r>
      <w:r>
        <w:rPr>
          <w:rFonts w:ascii="仿宋" w:hAnsi="仿宋" w:eastAsia="仿宋" w:cs="仿宋"/>
          <w:b/>
          <w:color w:val="000000"/>
          <w:spacing w:val="0"/>
          <w:position w:val="0"/>
          <w:sz w:val="32"/>
          <w:shd w:val="clear" w:fill="auto"/>
        </w:rPr>
        <w:t>.卫生健康</w:t>
      </w:r>
      <w:r>
        <w:rPr>
          <w:rFonts w:ascii="仿宋" w:hAnsi="仿宋" w:eastAsia="仿宋" w:cs="仿宋"/>
          <w:color w:val="000000"/>
          <w:spacing w:val="0"/>
          <w:position w:val="0"/>
          <w:sz w:val="32"/>
          <w:shd w:val="clear" w:fill="auto"/>
        </w:rPr>
        <w:t>2100409</w:t>
      </w:r>
      <w:r>
        <w:rPr>
          <w:rFonts w:ascii="仿宋" w:hAnsi="仿宋" w:eastAsia="仿宋" w:cs="仿宋"/>
          <w:b/>
          <w:color w:val="000000"/>
          <w:spacing w:val="0"/>
          <w:position w:val="0"/>
          <w:sz w:val="32"/>
          <w:shd w:val="clear" w:fill="auto"/>
        </w:rPr>
        <w:t>:</w:t>
      </w:r>
      <w:r>
        <w:rPr>
          <w:rFonts w:ascii="仿宋" w:hAnsi="仿宋" w:eastAsia="仿宋" w:cs="仿宋"/>
          <w:color w:val="000000"/>
          <w:spacing w:val="0"/>
          <w:position w:val="0"/>
          <w:sz w:val="32"/>
          <w:shd w:val="clear" w:fill="auto"/>
        </w:rPr>
        <w:t>支出决算为20.79万元，完成预算100%。</w:t>
      </w:r>
    </w:p>
    <w:p>
      <w:pPr>
        <w:pageBreakBefore w:val="0"/>
        <w:kinsoku/>
        <w:wordWrap/>
        <w:overflowPunct/>
        <w:topLinePunct w:val="0"/>
        <w:bidi w:val="0"/>
        <w:spacing w:before="120" w:after="0" w:line="560" w:lineRule="exact"/>
        <w:ind w:right="0" w:firstLine="643" w:firstLineChars="200"/>
        <w:jc w:val="both"/>
        <w:textAlignment w:val="auto"/>
        <w:rPr>
          <w:rFonts w:ascii="仿宋" w:hAnsi="仿宋" w:eastAsia="仿宋" w:cs="仿宋"/>
          <w:color w:val="000000"/>
          <w:spacing w:val="0"/>
          <w:position w:val="0"/>
          <w:sz w:val="32"/>
          <w:shd w:val="clear" w:fill="auto"/>
        </w:rPr>
      </w:pPr>
      <w:r>
        <w:rPr>
          <w:rFonts w:hint="eastAsia" w:ascii="仿宋" w:hAnsi="仿宋" w:eastAsia="仿宋" w:cs="仿宋"/>
          <w:b/>
          <w:color w:val="000000"/>
          <w:spacing w:val="0"/>
          <w:position w:val="0"/>
          <w:sz w:val="32"/>
          <w:shd w:val="clear" w:fill="auto"/>
          <w:lang w:val="en-US" w:eastAsia="zh-CN"/>
        </w:rPr>
        <w:t>4.</w:t>
      </w:r>
      <w:r>
        <w:rPr>
          <w:rFonts w:ascii="仿宋" w:hAnsi="仿宋" w:eastAsia="仿宋" w:cs="仿宋"/>
          <w:b/>
          <w:color w:val="000000"/>
          <w:spacing w:val="0"/>
          <w:position w:val="0"/>
          <w:sz w:val="32"/>
          <w:shd w:val="clear" w:fill="auto"/>
        </w:rPr>
        <w:t>农林水:</w:t>
      </w:r>
      <w:r>
        <w:rPr>
          <w:rFonts w:ascii="仿宋" w:hAnsi="仿宋" w:eastAsia="仿宋" w:cs="仿宋"/>
          <w:color w:val="000000"/>
          <w:spacing w:val="0"/>
          <w:position w:val="0"/>
          <w:sz w:val="32"/>
          <w:shd w:val="clear" w:fill="auto"/>
        </w:rPr>
        <w:t>2130152：支出决算为156.52万元，完成预算100%。</w:t>
      </w:r>
    </w:p>
    <w:p>
      <w:pPr>
        <w:pageBreakBefore w:val="0"/>
        <w:tabs>
          <w:tab w:val="right" w:pos="8306"/>
        </w:tabs>
        <w:kinsoku/>
        <w:wordWrap/>
        <w:overflowPunct/>
        <w:topLinePunct w:val="0"/>
        <w:bidi w:val="0"/>
        <w:spacing w:before="0" w:after="0" w:line="560" w:lineRule="exact"/>
        <w:ind w:right="0"/>
        <w:jc w:val="both"/>
        <w:textAlignment w:val="auto"/>
        <w:rPr>
          <w:rFonts w:ascii="Calibri Light" w:hAnsi="Calibri Light" w:eastAsia="Calibri Light" w:cs="Calibri Light"/>
          <w:b/>
          <w:color w:val="000000"/>
          <w:spacing w:val="0"/>
          <w:position w:val="0"/>
          <w:sz w:val="32"/>
          <w:shd w:val="clear" w:fill="auto"/>
        </w:rPr>
      </w:pPr>
      <w:bookmarkStart w:id="54" w:name="_Toc25942"/>
      <w:r>
        <w:rPr>
          <w:rStyle w:val="12"/>
        </w:rPr>
        <w:t>六、一般公共预算财政拨款基本支出决算情况说明</w:t>
      </w:r>
      <w:bookmarkEnd w:id="54"/>
      <w:r>
        <w:rPr>
          <w:rFonts w:ascii="黑体" w:hAnsi="黑体" w:eastAsia="黑体" w:cs="黑体"/>
          <w:color w:val="000000"/>
          <w:spacing w:val="0"/>
          <w:position w:val="0"/>
          <w:sz w:val="32"/>
          <w:shd w:val="clear" w:fill="auto"/>
        </w:rPr>
        <w:tab/>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2019年一般公共预算财政拨款基本支出1464.4万元，其中：</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人员经费326.52万元，主要包括：基本工资66.35万元、津贴补贴107.07万元、奖金50.98万元、绩效工资4.99万元、机关事业单位基本养老保险缴费29.77万元、职业年金缴费13.65万元、职工基本医疗保险缴费17.02万元、公务员医疗补助缴费3.77万元，其他社会保障缴费0.78万元、医疗费1.66万元、住房公积金25.86万元、生活补助4.6万元。</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日常公用经费235.37万元，主要包括：办公费44.32万元、印刷费59.3万元、水费0.12万元、电费2.01万元、邮电费1.96万元、取暖费1.5万元、差旅费36.04万元、租赁费3.8万元、培训费20.15万元、公务接待费1.8万元、劳务费6.08万元、委托业务费48.54万元、其他交通费9.75万元。</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 xml:space="preserve">   基建建设经费902.51万元，主要包括：房屋建筑物购建198.24万元、专用设备购置9.8万元、基础设施建设694.48万元。</w:t>
      </w:r>
    </w:p>
    <w:p>
      <w:pPr>
        <w:pStyle w:val="3"/>
        <w:pageBreakBefore w:val="0"/>
        <w:kinsoku/>
        <w:wordWrap/>
        <w:overflowPunct/>
        <w:topLinePunct w:val="0"/>
        <w:bidi w:val="0"/>
        <w:spacing w:line="560" w:lineRule="exact"/>
        <w:textAlignment w:val="auto"/>
      </w:pPr>
      <w:bookmarkStart w:id="55" w:name="_Toc15377215"/>
      <w:bookmarkStart w:id="56" w:name="_Toc27304"/>
      <w:bookmarkStart w:id="57" w:name="_Toc15396609"/>
      <w:bookmarkStart w:id="58" w:name="_Toc26760"/>
      <w:bookmarkStart w:id="59" w:name="_Toc16266"/>
      <w:r>
        <w:rPr>
          <w:rFonts w:hint="eastAsia"/>
        </w:rPr>
        <w:t>七、“三公”经费财政拨款支出决算情况说明</w:t>
      </w:r>
      <w:bookmarkEnd w:id="55"/>
      <w:bookmarkEnd w:id="56"/>
      <w:bookmarkEnd w:id="57"/>
      <w:bookmarkEnd w:id="58"/>
      <w:bookmarkEnd w:id="59"/>
    </w:p>
    <w:p>
      <w:pPr>
        <w:pStyle w:val="4"/>
        <w:pageBreakBefore w:val="0"/>
        <w:kinsoku/>
        <w:wordWrap/>
        <w:overflowPunct/>
        <w:topLinePunct w:val="0"/>
        <w:bidi w:val="0"/>
        <w:spacing w:line="560" w:lineRule="exact"/>
        <w:ind w:firstLine="643" w:firstLineChars="200"/>
        <w:textAlignment w:val="auto"/>
      </w:pPr>
      <w:bookmarkStart w:id="60" w:name="_Toc1964"/>
      <w:bookmarkStart w:id="61" w:name="_Toc24493"/>
      <w:bookmarkStart w:id="62" w:name="_Toc15377216"/>
      <w:bookmarkStart w:id="63" w:name="_Toc36"/>
      <w:r>
        <w:rPr>
          <w:rFonts w:hint="eastAsia"/>
        </w:rPr>
        <w:t>（一）“三公”经费财政拨款支出决算总体情况说明</w:t>
      </w:r>
      <w:bookmarkEnd w:id="60"/>
      <w:bookmarkEnd w:id="61"/>
      <w:bookmarkEnd w:id="62"/>
      <w:bookmarkEnd w:id="63"/>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2019年“三公”经费财政拨款支出决算为1.8万元，完成预算100%，决算数与预算数持平。</w:t>
      </w:r>
    </w:p>
    <w:p>
      <w:pPr>
        <w:pageBreakBefore w:val="0"/>
        <w:kinsoku/>
        <w:wordWrap/>
        <w:overflowPunct/>
        <w:topLinePunct w:val="0"/>
        <w:bidi w:val="0"/>
        <w:spacing w:before="0" w:after="0" w:line="560" w:lineRule="exact"/>
        <w:ind w:left="0" w:right="0" w:firstLine="645"/>
        <w:jc w:val="both"/>
        <w:textAlignment w:val="auto"/>
        <w:rPr>
          <w:rFonts w:hint="eastAsia" w:ascii="Calibri" w:hAnsi="Calibri" w:eastAsia="宋体" w:cs="Times New Roman"/>
          <w:b/>
          <w:sz w:val="32"/>
          <w:szCs w:val="22"/>
        </w:rPr>
      </w:pPr>
      <w:r>
        <w:rPr>
          <w:rFonts w:hint="eastAsia" w:ascii="Calibri" w:hAnsi="Calibri" w:eastAsia="宋体" w:cs="Times New Roman"/>
          <w:b/>
          <w:sz w:val="32"/>
          <w:szCs w:val="22"/>
        </w:rPr>
        <w:t>（二）“三公”经费财政拨款支出决算具体情况说明</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2019年“三公”经费财政拨款支出决算中，因公出国（境）费支出决算0万元，占0%；公务用车购置及运行维护费支出决算0万元，占0%；公务接待费支出决算1.8万元，占100%。具体情况如下：</w:t>
      </w: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lang w:eastAsia="zh-CN"/>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5408" behindDoc="1" locked="0" layoutInCell="1" allowOverlap="1">
            <wp:simplePos x="0" y="0"/>
            <wp:positionH relativeFrom="column">
              <wp:posOffset>685800</wp:posOffset>
            </wp:positionH>
            <wp:positionV relativeFrom="paragraph">
              <wp:posOffset>0</wp:posOffset>
            </wp:positionV>
            <wp:extent cx="3980815" cy="2178050"/>
            <wp:effectExtent l="4445" t="4445" r="15240"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textAlignment w:val="auto"/>
        <w:rPr>
          <w:rFonts w:hint="eastAsia" w:ascii="仿宋" w:hAnsi="仿宋" w:eastAsia="仿宋"/>
          <w:color w:val="000000" w:themeColor="text1"/>
          <w:sz w:val="32"/>
          <w:szCs w:val="32"/>
          <w14:textFill>
            <w14:solidFill>
              <w14:schemeClr w14:val="tx1"/>
            </w14:solidFill>
          </w14:textFill>
        </w:rPr>
      </w:pPr>
    </w:p>
    <w:p>
      <w:pPr>
        <w:pageBreakBefore w:val="0"/>
        <w:kinsoku/>
        <w:wordWrap/>
        <w:overflowPunct/>
        <w:topLinePunct w:val="0"/>
        <w:bidi w:val="0"/>
        <w:spacing w:line="560" w:lineRule="exact"/>
        <w:ind w:firstLine="640"/>
        <w:textAlignment w:val="auto"/>
        <w:rPr>
          <w:rFonts w:ascii="仿宋" w:hAnsi="仿宋" w:eastAsia="仿宋" w:cs="仿宋"/>
          <w:color w:val="000000"/>
          <w:spacing w:val="0"/>
          <w:position w:val="0"/>
          <w:sz w:val="32"/>
          <w:shd w:val="clear" w:fill="auto"/>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1.因公出国（境）经费支出0万元，完成预算0%。全年安排因公出国（境）团组0次，出国（境）0人。因公出国（境）支出决算比2018年无变化。</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2.公务用车购置及运行维护费支出0万元,完成预算0%。公务用车购置及运行维护费支出决算比2018年增加0万元，增长0%。</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其中：公务用车购置支出0万元。全年按规定更新购置公务用车0辆，金额0元。截至2019年12月底，单位共有公务用车0辆，其中：主要领导干部用车0辆、机要通信用车0辆、应急保障用车0辆、 执法执勤用车0辆、其他车辆0辆。</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ascii="仿宋" w:hAnsi="仿宋" w:eastAsia="仿宋" w:cs="仿宋"/>
          <w:color w:val="000000"/>
          <w:spacing w:val="0"/>
          <w:position w:val="0"/>
          <w:sz w:val="32"/>
          <w:shd w:val="clear" w:fill="auto"/>
        </w:rPr>
        <w:t>公务用车运行维护费支出0万元。</w:t>
      </w:r>
    </w:p>
    <w:p>
      <w:pPr>
        <w:pageBreakBefore w:val="0"/>
        <w:kinsoku/>
        <w:wordWrap/>
        <w:overflowPunct/>
        <w:topLinePunct w:val="0"/>
        <w:bidi w:val="0"/>
        <w:spacing w:before="0" w:after="0" w:line="560" w:lineRule="exact"/>
        <w:ind w:left="0" w:right="0" w:firstLine="645"/>
        <w:jc w:val="both"/>
        <w:textAlignment w:val="auto"/>
        <w:rPr>
          <w:rFonts w:ascii="仿宋" w:hAnsi="仿宋" w:eastAsia="仿宋" w:cs="仿宋"/>
          <w:color w:val="000000"/>
          <w:spacing w:val="0"/>
          <w:position w:val="0"/>
          <w:sz w:val="32"/>
          <w:shd w:val="clear" w:fill="auto"/>
        </w:rPr>
      </w:pPr>
      <w:r>
        <w:rPr>
          <w:rFonts w:hint="eastAsia" w:ascii="仿宋" w:hAnsi="仿宋" w:eastAsia="仿宋" w:cs="仿宋"/>
          <w:color w:val="000000"/>
          <w:spacing w:val="0"/>
          <w:position w:val="0"/>
          <w:sz w:val="32"/>
          <w:shd w:val="clear" w:fill="auto"/>
          <w:lang w:val="en-US" w:eastAsia="zh-CN"/>
        </w:rPr>
        <w:t>3.</w:t>
      </w:r>
      <w:r>
        <w:rPr>
          <w:rFonts w:ascii="仿宋" w:hAnsi="仿宋" w:eastAsia="仿宋" w:cs="仿宋"/>
          <w:color w:val="000000"/>
          <w:spacing w:val="0"/>
          <w:position w:val="0"/>
          <w:sz w:val="32"/>
          <w:shd w:val="clear" w:fill="auto"/>
        </w:rPr>
        <w:t>公务接待费支出1.8万元，完成预算100%。公务接待费支出决算比2018年增加1.8万元，增长100%。主要原因是本年有接待。</w:t>
      </w:r>
    </w:p>
    <w:p>
      <w:pPr>
        <w:pageBreakBefore w:val="0"/>
        <w:numPr>
          <w:ilvl w:val="0"/>
          <w:numId w:val="0"/>
        </w:numPr>
        <w:tabs>
          <w:tab w:val="left" w:pos="312"/>
        </w:tabs>
        <w:kinsoku/>
        <w:wordWrap/>
        <w:overflowPunct/>
        <w:topLinePunct w:val="0"/>
        <w:bidi w:val="0"/>
        <w:spacing w:before="0" w:after="0" w:line="560" w:lineRule="exact"/>
        <w:ind w:left="640" w:leftChars="0" w:right="0" w:rightChars="0"/>
        <w:jc w:val="both"/>
        <w:textAlignment w:val="auto"/>
        <w:rPr>
          <w:rFonts w:ascii="仿宋_GB2312" w:hAnsi="仿宋_GB2312" w:eastAsia="仿宋_GB2312" w:cs="仿宋_GB2312"/>
          <w:color w:val="000000"/>
          <w:spacing w:val="0"/>
          <w:position w:val="0"/>
          <w:sz w:val="32"/>
          <w:shd w:val="clear" w:fill="auto"/>
        </w:rPr>
      </w:pPr>
      <w:r>
        <w:rPr>
          <w:rFonts w:ascii="仿宋" w:hAnsi="仿宋" w:eastAsia="仿宋" w:cs="仿宋"/>
          <w:b/>
          <w:color w:val="000000"/>
          <w:spacing w:val="0"/>
          <w:position w:val="0"/>
          <w:sz w:val="32"/>
          <w:shd w:val="clear" w:fill="auto"/>
        </w:rPr>
        <w:t>国内公务接待支出</w:t>
      </w:r>
      <w:r>
        <w:rPr>
          <w:rFonts w:ascii="仿宋" w:hAnsi="仿宋" w:eastAsia="仿宋" w:cs="仿宋"/>
          <w:color w:val="000000"/>
          <w:spacing w:val="0"/>
          <w:position w:val="0"/>
          <w:sz w:val="32"/>
          <w:shd w:val="clear" w:fill="auto"/>
        </w:rPr>
        <w:t>1.8</w:t>
      </w:r>
      <w:r>
        <w:rPr>
          <w:rFonts w:ascii="仿宋_GB2312" w:hAnsi="仿宋_GB2312" w:eastAsia="仿宋_GB2312" w:cs="仿宋_GB2312"/>
          <w:color w:val="000000"/>
          <w:spacing w:val="0"/>
          <w:position w:val="0"/>
          <w:sz w:val="32"/>
          <w:shd w:val="clear" w:fill="auto"/>
        </w:rPr>
        <w:t>万元。</w:t>
      </w:r>
    </w:p>
    <w:p>
      <w:pPr>
        <w:pageBreakBefore w:val="0"/>
        <w:kinsoku/>
        <w:wordWrap/>
        <w:overflowPunct/>
        <w:topLinePunct w:val="0"/>
        <w:bidi w:val="0"/>
        <w:spacing w:before="0" w:after="0" w:line="560" w:lineRule="exact"/>
        <w:ind w:left="0" w:right="0" w:firstLine="643"/>
        <w:jc w:val="both"/>
        <w:textAlignment w:val="auto"/>
        <w:rPr>
          <w:rFonts w:ascii="黑体" w:hAnsi="黑体" w:eastAsia="黑体" w:cs="黑体"/>
          <w:color w:val="000000"/>
          <w:spacing w:val="0"/>
          <w:position w:val="0"/>
          <w:sz w:val="32"/>
          <w:shd w:val="clear" w:fill="auto"/>
        </w:rPr>
      </w:pPr>
      <w:r>
        <w:rPr>
          <w:rFonts w:ascii="仿宋" w:hAnsi="仿宋" w:eastAsia="仿宋" w:cs="仿宋"/>
          <w:b/>
          <w:color w:val="000000"/>
          <w:spacing w:val="0"/>
          <w:position w:val="0"/>
          <w:sz w:val="32"/>
          <w:shd w:val="clear" w:fill="auto"/>
        </w:rPr>
        <w:t>外事接待支出</w:t>
      </w:r>
      <w:r>
        <w:rPr>
          <w:rFonts w:ascii="仿宋" w:hAnsi="仿宋" w:eastAsia="仿宋" w:cs="仿宋"/>
          <w:color w:val="000000"/>
          <w:spacing w:val="0"/>
          <w:position w:val="0"/>
          <w:sz w:val="32"/>
          <w:shd w:val="clear" w:fill="auto"/>
        </w:rPr>
        <w:t>0</w:t>
      </w:r>
      <w:r>
        <w:rPr>
          <w:rFonts w:ascii="仿宋_GB2312" w:hAnsi="仿宋_GB2312" w:eastAsia="仿宋_GB2312" w:cs="仿宋_GB2312"/>
          <w:color w:val="000000"/>
          <w:spacing w:val="0"/>
          <w:position w:val="0"/>
          <w:sz w:val="32"/>
          <w:shd w:val="clear" w:fill="auto"/>
        </w:rPr>
        <w:t>万元。</w:t>
      </w:r>
    </w:p>
    <w:p>
      <w:pPr>
        <w:pStyle w:val="3"/>
        <w:pageBreakBefore w:val="0"/>
        <w:kinsoku/>
        <w:wordWrap/>
        <w:overflowPunct/>
        <w:topLinePunct w:val="0"/>
        <w:bidi w:val="0"/>
        <w:spacing w:line="560" w:lineRule="exact"/>
        <w:textAlignment w:val="auto"/>
      </w:pPr>
      <w:bookmarkStart w:id="64" w:name="_Toc361"/>
      <w:r>
        <w:t>八、政府性基金预算支出决算情况说明</w:t>
      </w:r>
      <w:bookmarkEnd w:id="64"/>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2019年政府性基金预算拨款支出0万元。</w:t>
      </w:r>
    </w:p>
    <w:p>
      <w:pPr>
        <w:pStyle w:val="3"/>
        <w:pageBreakBefore w:val="0"/>
        <w:kinsoku/>
        <w:wordWrap/>
        <w:overflowPunct/>
        <w:topLinePunct w:val="0"/>
        <w:bidi w:val="0"/>
        <w:spacing w:line="560" w:lineRule="exact"/>
        <w:textAlignment w:val="auto"/>
      </w:pPr>
      <w:bookmarkStart w:id="65" w:name="_Toc25169"/>
      <w:r>
        <w:rPr>
          <w:rFonts w:hint="eastAsia"/>
          <w:lang w:val="en-US" w:eastAsia="zh-CN"/>
        </w:rPr>
        <w:t>九、</w:t>
      </w:r>
      <w:r>
        <w:t>国有资本经营预算支出决算情况说明</w:t>
      </w:r>
      <w:bookmarkEnd w:id="65"/>
    </w:p>
    <w:p>
      <w:pPr>
        <w:pageBreakBefore w:val="0"/>
        <w:kinsoku/>
        <w:wordWrap/>
        <w:overflowPunct/>
        <w:topLinePunct w:val="0"/>
        <w:bidi w:val="0"/>
        <w:spacing w:before="0" w:after="0" w:line="560" w:lineRule="exact"/>
        <w:ind w:left="0" w:right="0" w:firstLine="640"/>
        <w:jc w:val="both"/>
        <w:textAlignment w:val="auto"/>
        <w:rPr>
          <w:rFonts w:ascii="方正小标宋简体" w:hAnsi="方正小标宋简体" w:eastAsia="方正小标宋简体" w:cs="方正小标宋简体"/>
          <w:color w:val="000000"/>
          <w:spacing w:val="0"/>
          <w:position w:val="0"/>
          <w:sz w:val="44"/>
          <w:shd w:val="clear" w:fill="auto"/>
        </w:rPr>
      </w:pPr>
      <w:r>
        <w:rPr>
          <w:rFonts w:ascii="仿宋_GB2312" w:hAnsi="仿宋_GB2312" w:eastAsia="仿宋_GB2312" w:cs="仿宋_GB2312"/>
          <w:color w:val="000000"/>
          <w:spacing w:val="0"/>
          <w:position w:val="0"/>
          <w:sz w:val="32"/>
          <w:shd w:val="clear" w:fill="auto"/>
        </w:rPr>
        <w:t>2019年国有资本经营预算拨款支出0万元。</w:t>
      </w:r>
    </w:p>
    <w:p>
      <w:pPr>
        <w:pStyle w:val="3"/>
        <w:pageBreakBefore w:val="0"/>
        <w:numPr>
          <w:ilvl w:val="0"/>
          <w:numId w:val="2"/>
        </w:numPr>
        <w:kinsoku/>
        <w:wordWrap/>
        <w:overflowPunct/>
        <w:topLinePunct w:val="0"/>
        <w:bidi w:val="0"/>
        <w:spacing w:line="560" w:lineRule="exact"/>
        <w:textAlignment w:val="auto"/>
      </w:pPr>
      <w:bookmarkStart w:id="66" w:name="_Toc18338"/>
      <w:r>
        <w:t>其他重要事项的情况说明</w:t>
      </w:r>
      <w:bookmarkEnd w:id="66"/>
      <w:bookmarkStart w:id="67" w:name="_Toc7429"/>
    </w:p>
    <w:p>
      <w:pPr>
        <w:pStyle w:val="3"/>
        <w:pageBreakBefore w:val="0"/>
        <w:numPr>
          <w:ilvl w:val="0"/>
          <w:numId w:val="0"/>
        </w:numPr>
        <w:kinsoku/>
        <w:wordWrap/>
        <w:overflowPunct/>
        <w:topLinePunct w:val="0"/>
        <w:bidi w:val="0"/>
        <w:spacing w:line="560" w:lineRule="exact"/>
        <w:ind w:firstLine="643" w:firstLineChars="200"/>
        <w:textAlignment w:val="auto"/>
      </w:pPr>
      <w:r>
        <w:t>（一）机关运行经费支出情况</w:t>
      </w:r>
      <w:bookmarkEnd w:id="67"/>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2019年，民宗局运行经费支出286.58万元，比2018年减少43.42万元，下降13%。主要原因是2019年机关严格执行各项规定开展工作经费，厉行勤俭节约。</w:t>
      </w:r>
    </w:p>
    <w:p>
      <w:pPr>
        <w:pStyle w:val="4"/>
        <w:pageBreakBefore w:val="0"/>
        <w:kinsoku/>
        <w:wordWrap/>
        <w:overflowPunct/>
        <w:topLinePunct w:val="0"/>
        <w:bidi w:val="0"/>
        <w:spacing w:line="560" w:lineRule="exact"/>
        <w:ind w:firstLine="643" w:firstLineChars="200"/>
        <w:textAlignment w:val="auto"/>
      </w:pPr>
      <w:bookmarkStart w:id="68" w:name="_Toc29834"/>
      <w:r>
        <w:t>（二）政府采购支出情况</w:t>
      </w:r>
      <w:bookmarkEnd w:id="68"/>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2019年，民宗局政府采购支出总额0万元，其中：政府采购货物支出0万元、政府采购工程支出0万元、政府采购服务支出0万元。</w:t>
      </w:r>
    </w:p>
    <w:p>
      <w:pPr>
        <w:pStyle w:val="4"/>
        <w:pageBreakBefore w:val="0"/>
        <w:kinsoku/>
        <w:wordWrap/>
        <w:overflowPunct/>
        <w:topLinePunct w:val="0"/>
        <w:bidi w:val="0"/>
        <w:spacing w:line="560" w:lineRule="exact"/>
        <w:ind w:firstLine="643" w:firstLineChars="200"/>
        <w:textAlignment w:val="auto"/>
      </w:pPr>
      <w:bookmarkStart w:id="69" w:name="_Toc28641"/>
      <w:r>
        <w:t>（三）国有资产占有使用情况</w:t>
      </w:r>
      <w:bookmarkEnd w:id="69"/>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截至2019年12月31日，民宗局共有车辆0辆，其中：主要领导干部用车0辆、机要通信用车0辆、应急保障用车0辆、其他用车0辆</w:t>
      </w:r>
    </w:p>
    <w:p>
      <w:pPr>
        <w:pStyle w:val="4"/>
        <w:pageBreakBefore w:val="0"/>
        <w:kinsoku/>
        <w:wordWrap/>
        <w:overflowPunct/>
        <w:topLinePunct w:val="0"/>
        <w:bidi w:val="0"/>
        <w:spacing w:line="560" w:lineRule="exact"/>
        <w:ind w:firstLine="643" w:firstLineChars="200"/>
        <w:textAlignment w:val="auto"/>
      </w:pPr>
      <w:bookmarkStart w:id="70" w:name="_Toc7508"/>
      <w:r>
        <w:t>（四）预算绩效管理情况。</w:t>
      </w:r>
      <w:bookmarkEnd w:id="70"/>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根据预算绩效管理要求，民宗局在年初预算编制阶段，组织对红原县寺庙基础设施建设项目、僧尼危房新建及太阳路灯安装项目、三州开发资金项目开展了预算事前绩效评估，对红原县寺庙基础设施建设项目、僧尼危房新建及太阳路灯安装项目编制了绩效目标，预算执行过程中，选取红原县寺庙基础设施建设项目开展绩效监控，年终执行完毕后，对红原县寺庙基础设施建设项目开展了绩效目标完成情况自评。</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本部门按要求对2019年部门整体支出开展绩效自评，从评价情况来看完成效果较好。本部门还自行组织了3个项目支出绩效评价，从评价情况来看完成情况较好。</w:t>
      </w:r>
    </w:p>
    <w:tbl>
      <w:tblPr>
        <w:tblStyle w:val="8"/>
        <w:tblW w:w="8334" w:type="dxa"/>
        <w:jc w:val="center"/>
        <w:tblLayout w:type="fixed"/>
        <w:tblCellMar>
          <w:top w:w="0" w:type="dxa"/>
          <w:left w:w="10" w:type="dxa"/>
          <w:bottom w:w="0" w:type="dxa"/>
          <w:right w:w="10" w:type="dxa"/>
        </w:tblCellMar>
      </w:tblPr>
      <w:tblGrid>
        <w:gridCol w:w="389"/>
        <w:gridCol w:w="1125"/>
        <w:gridCol w:w="859"/>
        <w:gridCol w:w="1994"/>
        <w:gridCol w:w="2006"/>
        <w:gridCol w:w="1961"/>
      </w:tblGrid>
      <w:tr>
        <w:tblPrEx>
          <w:tblCellMar>
            <w:top w:w="0" w:type="dxa"/>
            <w:left w:w="10" w:type="dxa"/>
            <w:bottom w:w="0" w:type="dxa"/>
            <w:right w:w="10" w:type="dxa"/>
          </w:tblCellMar>
        </w:tblPrEx>
        <w:trPr>
          <w:trHeight w:val="0" w:hRule="atLeast"/>
          <w:jc w:val="center"/>
        </w:trPr>
        <w:tc>
          <w:tcPr>
            <w:tcW w:w="8334" w:type="dxa"/>
            <w:gridSpan w:val="6"/>
            <w:tcBorders>
              <w:top w:val="single" w:color="000000" w:sz="0" w:space="0"/>
              <w:left w:val="single" w:color="000000" w:sz="0" w:space="0"/>
              <w:bottom w:val="single" w:color="000000" w:sz="0" w:space="0"/>
              <w:right w:val="single" w:color="000000" w:sz="0"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b/>
                <w:color w:val="000000"/>
                <w:spacing w:val="0"/>
                <w:position w:val="0"/>
                <w:sz w:val="36"/>
                <w:shd w:val="clear" w:fill="auto"/>
              </w:rPr>
              <w:t>项目绩效目标完成情况表</w:t>
            </w:r>
            <w:r>
              <w:rPr>
                <w:rFonts w:ascii="宋体" w:hAnsi="宋体" w:eastAsia="宋体" w:cs="宋体"/>
                <w:b/>
                <w:color w:val="000000"/>
                <w:spacing w:val="0"/>
                <w:position w:val="0"/>
                <w:sz w:val="36"/>
                <w:shd w:val="clear" w:fill="auto"/>
              </w:rPr>
              <w:br w:type="textWrapping"/>
            </w:r>
            <w:r>
              <w:rPr>
                <w:rFonts w:ascii="宋体" w:hAnsi="宋体" w:eastAsia="宋体" w:cs="宋体"/>
                <w:color w:val="000000"/>
                <w:spacing w:val="0"/>
                <w:position w:val="0"/>
                <w:sz w:val="36"/>
                <w:shd w:val="clear" w:fill="auto"/>
              </w:rPr>
              <w:t>(2019 年度)</w:t>
            </w:r>
          </w:p>
        </w:tc>
      </w:tr>
      <w:tr>
        <w:tblPrEx>
          <w:tblCellMar>
            <w:top w:w="0" w:type="dxa"/>
            <w:left w:w="10" w:type="dxa"/>
            <w:bottom w:w="0" w:type="dxa"/>
            <w:right w:w="10" w:type="dxa"/>
          </w:tblCellMar>
        </w:tblPrEx>
        <w:trPr>
          <w:trHeight w:val="0" w:hRule="atLeast"/>
          <w:jc w:val="center"/>
        </w:trPr>
        <w:tc>
          <w:tcPr>
            <w:tcW w:w="2373"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项目名称</w:t>
            </w:r>
          </w:p>
        </w:tc>
        <w:tc>
          <w:tcPr>
            <w:tcW w:w="5961"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color w:val="auto"/>
                <w:spacing w:val="0"/>
                <w:position w:val="0"/>
                <w:shd w:val="clear" w:fill="auto"/>
              </w:rPr>
            </w:pPr>
            <w:r>
              <w:rPr>
                <w:rFonts w:ascii="仿宋_GB2312" w:hAnsi="仿宋_GB2312" w:eastAsia="仿宋_GB2312" w:cs="仿宋_GB2312"/>
                <w:color w:val="auto"/>
                <w:spacing w:val="0"/>
                <w:position w:val="0"/>
                <w:sz w:val="32"/>
                <w:shd w:val="clear" w:fill="auto"/>
              </w:rPr>
              <w:t>红原县寺庙基础设施建设项目</w:t>
            </w:r>
          </w:p>
        </w:tc>
      </w:tr>
      <w:tr>
        <w:tblPrEx>
          <w:tblCellMar>
            <w:top w:w="0" w:type="dxa"/>
            <w:left w:w="10" w:type="dxa"/>
            <w:bottom w:w="0" w:type="dxa"/>
            <w:right w:w="10" w:type="dxa"/>
          </w:tblCellMar>
        </w:tblPrEx>
        <w:trPr>
          <w:trHeight w:val="0" w:hRule="atLeast"/>
          <w:jc w:val="center"/>
        </w:trPr>
        <w:tc>
          <w:tcPr>
            <w:tcW w:w="2373"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预算单位</w:t>
            </w:r>
          </w:p>
        </w:tc>
        <w:tc>
          <w:tcPr>
            <w:tcW w:w="5961"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红原县民族宗教局</w:t>
            </w:r>
          </w:p>
        </w:tc>
      </w:tr>
      <w:tr>
        <w:tblPrEx>
          <w:tblCellMar>
            <w:top w:w="0" w:type="dxa"/>
            <w:left w:w="10" w:type="dxa"/>
            <w:bottom w:w="0" w:type="dxa"/>
            <w:right w:w="10" w:type="dxa"/>
          </w:tblCellMar>
        </w:tblPrEx>
        <w:trPr>
          <w:trHeight w:val="0" w:hRule="atLeast"/>
          <w:jc w:val="center"/>
        </w:trPr>
        <w:tc>
          <w:tcPr>
            <w:tcW w:w="38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预算执行情况(万元)</w:t>
            </w:r>
          </w:p>
        </w:tc>
        <w:tc>
          <w:tcPr>
            <w:tcW w:w="1984" w:type="dxa"/>
            <w:gridSpan w:val="2"/>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预算数:</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543.7</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执行数:</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984" w:type="dxa"/>
            <w:gridSpan w:val="2"/>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其中-财政拨款:</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543.7</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其中-财政拨款:</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984" w:type="dxa"/>
            <w:gridSpan w:val="2"/>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其它资金:</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其它资金:</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jc w:val="center"/>
        </w:trPr>
        <w:tc>
          <w:tcPr>
            <w:tcW w:w="38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年度目标完成情况</w:t>
            </w:r>
          </w:p>
        </w:tc>
        <w:tc>
          <w:tcPr>
            <w:tcW w:w="3978"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预期目标</w:t>
            </w:r>
          </w:p>
        </w:tc>
        <w:tc>
          <w:tcPr>
            <w:tcW w:w="3967" w:type="dxa"/>
            <w:gridSpan w:val="2"/>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实际完成目标</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3978" w:type="dxa"/>
            <w:gridSpan w:val="3"/>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完成年度目标</w:t>
            </w:r>
          </w:p>
        </w:tc>
        <w:tc>
          <w:tcPr>
            <w:tcW w:w="3967" w:type="dxa"/>
            <w:gridSpan w:val="2"/>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各寺庙基础设施建设</w:t>
            </w:r>
          </w:p>
        </w:tc>
      </w:tr>
      <w:tr>
        <w:tblPrEx>
          <w:tblCellMar>
            <w:top w:w="0" w:type="dxa"/>
            <w:left w:w="10" w:type="dxa"/>
            <w:bottom w:w="0" w:type="dxa"/>
            <w:right w:w="10" w:type="dxa"/>
          </w:tblCellMar>
        </w:tblPrEx>
        <w:trPr>
          <w:trHeight w:val="0" w:hRule="atLeast"/>
          <w:jc w:val="center"/>
        </w:trPr>
        <w:tc>
          <w:tcPr>
            <w:tcW w:w="389"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绩效指标完成情况</w:t>
            </w: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一级指标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二级指标</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三级指标</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预期指标值(包含数字及文字描述)</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实际完成指标值(包含数字及文字描述)</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绩效目标</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目标内容</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项目预期提供的产品、服务、效益或其他目标明确,即绩效目标实际明确个数/应当明确个数×100%</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寺庙基础设施建设</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决策依据</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政策依据</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项目符合党中央、国务院和省委、省政府决策部署；符合当前经济社会发展需要</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符合</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决策依据</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管理制度</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制定项目资金管理办法</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红原县项目资金管理办法</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资金分配</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分配方法</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资金分配方法是否科学合理</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合理</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资金到位</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分配时效</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县级主管部门按规定及时分配资金</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是</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项目完成指标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项目管理</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财务管理</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财务制度</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财务制度健全，管理规范</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效益指标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绩效目标</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经济效益</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反映相关产出对经济社会发展带来的影响和效果，根据项目实际细化具体指标。</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整体形象得以提高，人居环境得以改善</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效益指标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绩效目标</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社会效益</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反映相关产出对社会发展带来的影响和效果，根据项目实际细化具体指标。</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整体形象得以提高，人居环境得以改善</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效益指标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绩效目标</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生态效益</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反映相关产出对自然环境带来的影响和效果，根据项目实际细化具体指标。</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优化整体配套设施</w:t>
            </w:r>
          </w:p>
        </w:tc>
      </w:tr>
      <w:tr>
        <w:tblPrEx>
          <w:tblCellMar>
            <w:top w:w="0" w:type="dxa"/>
            <w:left w:w="10" w:type="dxa"/>
            <w:bottom w:w="0" w:type="dxa"/>
            <w:right w:w="10" w:type="dxa"/>
          </w:tblCellMar>
        </w:tblPrEx>
        <w:trPr>
          <w:trHeight w:val="0" w:hRule="atLeast"/>
          <w:jc w:val="center"/>
        </w:trPr>
        <w:tc>
          <w:tcPr>
            <w:tcW w:w="389"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kinsoku/>
              <w:wordWrap/>
              <w:overflowPunct/>
              <w:topLinePunct w:val="0"/>
              <w:bidi w:val="0"/>
              <w:spacing w:before="0" w:after="0" w:line="560" w:lineRule="exact"/>
              <w:ind w:left="0" w:right="0" w:firstLine="0"/>
              <w:jc w:val="center"/>
              <w:textAlignment w:val="auto"/>
              <w:rPr>
                <w:rFonts w:ascii="宋体" w:hAnsi="宋体" w:eastAsia="宋体" w:cs="宋体"/>
                <w:color w:val="auto"/>
                <w:spacing w:val="0"/>
                <w:position w:val="0"/>
                <w:sz w:val="22"/>
                <w:shd w:val="clear" w:fill="auto"/>
              </w:rPr>
            </w:pPr>
          </w:p>
        </w:tc>
        <w:tc>
          <w:tcPr>
            <w:tcW w:w="1125"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满意度指标</w:t>
            </w:r>
          </w:p>
        </w:tc>
        <w:tc>
          <w:tcPr>
            <w:tcW w:w="859"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满意度</w:t>
            </w:r>
          </w:p>
        </w:tc>
        <w:tc>
          <w:tcPr>
            <w:tcW w:w="1994"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服务对象满意度</w:t>
            </w:r>
          </w:p>
        </w:tc>
        <w:tc>
          <w:tcPr>
            <w:tcW w:w="2006"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反映服务对象或项目受益人对相关产出及其影响的认可程度，根据项目实际细化具体指标。</w:t>
            </w:r>
          </w:p>
        </w:tc>
        <w:tc>
          <w:tcPr>
            <w:tcW w:w="1961" w:type="dxa"/>
            <w:tcBorders>
              <w:top w:val="single" w:color="000000" w:sz="4" w:space="0"/>
              <w:left w:val="single" w:color="000000" w:sz="4" w:space="0"/>
              <w:bottom w:val="single" w:color="000000" w:sz="4" w:space="0"/>
              <w:right w:val="single" w:color="000000" w:sz="4" w:space="0"/>
            </w:tcBorders>
            <w:shd w:val="clear" w:color="000000" w:fill="FFFFFF"/>
            <w:tcMar>
              <w:left w:w="14" w:type="dxa"/>
              <w:right w:w="14" w:type="dxa"/>
            </w:tcMar>
            <w:vAlign w:val="center"/>
          </w:tcPr>
          <w:p>
            <w:pPr>
              <w:pageBreakBefore w:val="0"/>
              <w:widowControl w:val="0"/>
              <w:kinsoku/>
              <w:wordWrap/>
              <w:overflowPunct/>
              <w:topLinePunct w:val="0"/>
              <w:bidi w:val="0"/>
              <w:spacing w:before="0" w:after="0" w:line="560" w:lineRule="exact"/>
              <w:ind w:left="0" w:right="0" w:firstLine="0"/>
              <w:jc w:val="center"/>
              <w:textAlignment w:val="auto"/>
              <w:rPr>
                <w:rFonts w:ascii="宋体" w:hAnsi="宋体" w:eastAsia="宋体" w:cs="宋体"/>
                <w:spacing w:val="0"/>
                <w:position w:val="0"/>
                <w:shd w:val="clear" w:fill="auto"/>
              </w:rPr>
            </w:pPr>
            <w:r>
              <w:rPr>
                <w:rFonts w:ascii="宋体" w:hAnsi="宋体" w:eastAsia="宋体" w:cs="宋体"/>
                <w:color w:val="000000"/>
                <w:spacing w:val="0"/>
                <w:position w:val="0"/>
                <w:sz w:val="20"/>
                <w:shd w:val="clear" w:fill="auto"/>
              </w:rPr>
              <w:t>满意</w:t>
            </w:r>
          </w:p>
        </w:tc>
      </w:tr>
    </w:tbl>
    <w:p>
      <w:pPr>
        <w:pageBreakBefore w:val="0"/>
        <w:kinsoku/>
        <w:wordWrap/>
        <w:overflowPunct/>
        <w:topLinePunct w:val="0"/>
        <w:bidi w:val="0"/>
        <w:spacing w:before="0" w:after="0" w:line="560" w:lineRule="exact"/>
        <w:ind w:right="0"/>
        <w:jc w:val="both"/>
        <w:textAlignment w:val="auto"/>
        <w:rPr>
          <w:rFonts w:ascii="仿宋_GB2312" w:hAnsi="仿宋_GB2312" w:eastAsia="仿宋_GB2312" w:cs="仿宋_GB2312"/>
          <w:color w:val="auto"/>
          <w:spacing w:val="0"/>
          <w:position w:val="0"/>
          <w:sz w:val="32"/>
          <w:shd w:val="clear" w:fill="auto"/>
        </w:rPr>
      </w:pPr>
    </w:p>
    <w:p>
      <w:pPr>
        <w:pageBreakBefore w:val="0"/>
        <w:kinsoku/>
        <w:wordWrap/>
        <w:overflowPunct/>
        <w:topLinePunct w:val="0"/>
        <w:bidi w:val="0"/>
        <w:spacing w:before="0" w:after="0" w:line="560" w:lineRule="exact"/>
        <w:ind w:left="630" w:right="0" w:firstLine="0"/>
        <w:jc w:val="both"/>
        <w:textAlignment w:val="auto"/>
        <w:rPr>
          <w:rFonts w:ascii="仿宋_GB2312" w:hAnsi="仿宋_GB2312" w:eastAsia="仿宋_GB2312" w:cs="仿宋_GB2312"/>
          <w:color w:val="auto"/>
          <w:spacing w:val="0"/>
          <w:position w:val="0"/>
          <w:sz w:val="32"/>
          <w:shd w:val="clear" w:fill="auto"/>
        </w:rPr>
      </w:pPr>
      <w:r>
        <w:rPr>
          <w:rFonts w:ascii="楷体_GB2312" w:hAnsi="楷体_GB2312" w:eastAsia="楷体_GB2312" w:cs="楷体_GB2312"/>
          <w:color w:val="auto"/>
          <w:spacing w:val="0"/>
          <w:position w:val="0"/>
          <w:sz w:val="32"/>
          <w:shd w:val="clear" w:fill="auto"/>
        </w:rPr>
        <w:t>2.部门绩效评价结果。</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本部门按要求对2019年部门整体支出绩效评价情况开展自评，《民宗局2019年部门整体支出绩效评价报告》见附件（附件1）。</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b/>
          <w:color w:val="000000"/>
          <w:spacing w:val="0"/>
          <w:position w:val="0"/>
          <w:sz w:val="32"/>
          <w:shd w:val="clear" w:fill="auto"/>
        </w:rPr>
      </w:pPr>
      <w:r>
        <w:rPr>
          <w:rFonts w:ascii="仿宋_GB2312" w:hAnsi="仿宋_GB2312" w:eastAsia="仿宋_GB2312" w:cs="仿宋_GB2312"/>
          <w:color w:val="auto"/>
          <w:spacing w:val="0"/>
          <w:position w:val="0"/>
          <w:sz w:val="32"/>
          <w:shd w:val="clear" w:fill="auto"/>
        </w:rPr>
        <w:t>本部门自行组织对红原县寺庙基础设施建设项目、僧尼危房新建及太阳路灯安装项目开展了绩效评价，《红原县寺庙基础设施建设项目2019年绩效评价报告》见附件（附件2）。（非涉密部门均需公开部门整体支出评价报告，部门自行组织的绩效评价情况根据部门实际公开，若未组织项目绩效评价，则只需说明部门整体支出绩效评价情况）</w:t>
      </w:r>
    </w:p>
    <w:p>
      <w:pPr>
        <w:pStyle w:val="2"/>
        <w:pageBreakBefore w:val="0"/>
        <w:numPr>
          <w:ilvl w:val="0"/>
          <w:numId w:val="3"/>
        </w:numPr>
        <w:kinsoku/>
        <w:wordWrap/>
        <w:overflowPunct/>
        <w:topLinePunct w:val="0"/>
        <w:bidi w:val="0"/>
        <w:spacing w:line="560" w:lineRule="exact"/>
        <w:jc w:val="center"/>
        <w:textAlignment w:val="auto"/>
      </w:pPr>
      <w:bookmarkStart w:id="71" w:name="_Toc15396613"/>
      <w:bookmarkStart w:id="72" w:name="_Toc8564"/>
      <w:bookmarkStart w:id="73" w:name="_Toc25435"/>
      <w:bookmarkStart w:id="74" w:name="_Toc1791"/>
      <w:bookmarkStart w:id="75" w:name="_Toc15377225"/>
      <w:r>
        <w:rPr>
          <w:rFonts w:hint="eastAsia"/>
        </w:rPr>
        <w:t>名词解释</w:t>
      </w:r>
      <w:bookmarkEnd w:id="71"/>
      <w:bookmarkEnd w:id="72"/>
      <w:bookmarkEnd w:id="73"/>
      <w:bookmarkEnd w:id="74"/>
      <w:bookmarkEnd w:id="75"/>
    </w:p>
    <w:p>
      <w:pPr>
        <w:pageBreakBefore w:val="0"/>
        <w:kinsoku/>
        <w:wordWrap/>
        <w:overflowPunct/>
        <w:topLinePunct w:val="0"/>
        <w:bidi w:val="0"/>
        <w:spacing w:before="0" w:after="0" w:line="560" w:lineRule="exact"/>
        <w:ind w:left="0" w:right="0" w:firstLine="0"/>
        <w:jc w:val="left"/>
        <w:textAlignment w:val="auto"/>
        <w:rPr>
          <w:rFonts w:ascii="宋体" w:hAnsi="宋体" w:eastAsia="宋体" w:cs="宋体"/>
          <w:b/>
          <w:color w:val="000000"/>
          <w:spacing w:val="0"/>
          <w:position w:val="0"/>
          <w:sz w:val="44"/>
          <w:shd w:val="clear" w:fill="auto"/>
        </w:rPr>
      </w:pP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1.财政拨款收入：指财政部门核拨给单位的财政预算资金。</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2.事业收入：指事业单位开展专业业务活动及辅助活动取得的收入。</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3.经营收入：指事业单位在专业业务活动及其辅助活动之外开展非独立核算经营活动取得的收入。</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 xml:space="preserve">4.其他收入：指单位取得的除上述收入以外的各项收入。主要是银行存款利息收入等。 </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 xml:space="preserve">6.年初结转和结余：指以前年度尚未完成、结转到本年按有关规定继续使用的资金。 </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7.结余分配：指事业单位按照事业单位会计制度的规定从非财政补助结余中分配的事业基金和职工福利基金等。</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8、年末结转和结余：指单位按有关规定结转到下年或以后年度继续使用的资金。</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9.一般公共服务：201类，2012301项指行政运行，2012302指一般行政管理事务、2012304项指民族工作专项2012350项指事业运行、2012399项指其他民族事务支出、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10.社会保障和就业：208类，2080505项指机关事业单位基本养老保险缴费支出，2080506指 机关事业单位职业年金缴费支出。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11.卫生健康：210类，2101101项指行政单位医疗，2101102项指事业单位医疗，2101103项指公务员医疗补助，2101199项指其他行政事业单位医疗支出。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12.农林水：213类，2130505项指生产发展，2130599指 其他扶贫支出。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13.住房保障：221类22102款2210201项指住房公积金。</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14.基本支出：指为保障机构正常运转、完成日常工作任务而发生的人员支出和公用支出。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 xml:space="preserve">15.项目支出：指在基本支出之外为完成特定行政任务和事业发展目标所发生的支出。 </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16.经营支出：指事业单位在专业业务活动及其辅助活动之外开展非独立核算经营活动发生的支出。</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pacing w:before="0" w:after="0" w:line="560" w:lineRule="exact"/>
        <w:ind w:left="0" w:right="0" w:firstLine="640"/>
        <w:jc w:val="left"/>
        <w:textAlignment w:val="auto"/>
        <w:rPr>
          <w:rFonts w:ascii="仿宋" w:hAnsi="仿宋" w:eastAsia="仿宋" w:cs="仿宋"/>
          <w:b/>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19.基本支出：指为保障机构正常运转、完成日常工作任务而发生的人员支出和公用支出。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 xml:space="preserve">20.项目支出：指在基本支出之外为完成特定行政任务和事业发展目标所发生的支出。 </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21.经营支出：指事业单位在专业业务活动及其辅助活动之外开展非独立核算经营活动发生的支出。</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仿宋" w:hAnsi="仿宋" w:eastAsia="仿宋" w:cs="仿宋"/>
          <w:b/>
          <w:color w:val="000000"/>
          <w:spacing w:val="0"/>
          <w:position w:val="0"/>
          <w:sz w:val="32"/>
          <w:shd w:val="clear" w:fill="auto"/>
        </w:rPr>
      </w:pPr>
    </w:p>
    <w:p>
      <w:pPr>
        <w:pageBreakBefore w:val="0"/>
        <w:kinsoku/>
        <w:wordWrap/>
        <w:overflowPunct/>
        <w:topLinePunct w:val="0"/>
        <w:bidi w:val="0"/>
        <w:spacing w:before="0" w:after="0" w:line="560" w:lineRule="exact"/>
        <w:ind w:left="0" w:right="0" w:firstLine="643"/>
        <w:jc w:val="both"/>
        <w:textAlignment w:val="auto"/>
        <w:rPr>
          <w:rFonts w:ascii="宋体" w:hAnsi="宋体" w:eastAsia="宋体" w:cs="宋体"/>
          <w:b/>
          <w:color w:val="000000"/>
          <w:spacing w:val="0"/>
          <w:position w:val="0"/>
          <w:sz w:val="44"/>
          <w:shd w:val="clear" w:fill="auto"/>
        </w:rPr>
      </w:pPr>
      <w:r>
        <w:rPr>
          <w:rFonts w:ascii="宋体" w:hAnsi="宋体" w:eastAsia="宋体" w:cs="宋体"/>
          <w:b/>
          <w:color w:val="000000"/>
          <w:spacing w:val="0"/>
          <w:position w:val="0"/>
          <w:sz w:val="44"/>
          <w:shd w:val="clear" w:fill="auto"/>
        </w:rPr>
        <w:t xml:space="preserve"> </w:t>
      </w:r>
    </w:p>
    <w:p>
      <w:pPr>
        <w:pStyle w:val="2"/>
        <w:pageBreakBefore w:val="0"/>
        <w:kinsoku/>
        <w:wordWrap/>
        <w:overflowPunct/>
        <w:topLinePunct w:val="0"/>
        <w:bidi w:val="0"/>
        <w:spacing w:line="560" w:lineRule="exact"/>
        <w:jc w:val="center"/>
        <w:textAlignment w:val="auto"/>
      </w:pPr>
      <w:bookmarkStart w:id="76" w:name="_Toc17059"/>
      <w:r>
        <w:t>第四部分 附件</w:t>
      </w:r>
      <w:bookmarkEnd w:id="76"/>
    </w:p>
    <w:p>
      <w:pPr>
        <w:pageBreakBefore w:val="0"/>
        <w:kinsoku/>
        <w:wordWrap/>
        <w:overflowPunct/>
        <w:topLinePunct w:val="0"/>
        <w:bidi w:val="0"/>
        <w:spacing w:before="0" w:after="0" w:line="560" w:lineRule="exact"/>
        <w:ind w:left="0" w:right="0" w:firstLine="0"/>
        <w:jc w:val="left"/>
        <w:textAlignment w:val="auto"/>
        <w:rPr>
          <w:rFonts w:ascii="方正小标宋简体" w:hAnsi="方正小标宋简体" w:eastAsia="方正小标宋简体" w:cs="方正小标宋简体"/>
          <w:color w:val="auto"/>
          <w:spacing w:val="0"/>
          <w:position w:val="0"/>
          <w:sz w:val="32"/>
          <w:shd w:val="clear" w:fill="auto"/>
        </w:rPr>
      </w:pPr>
      <w:r>
        <w:rPr>
          <w:rFonts w:ascii="黑体" w:hAnsi="黑体" w:eastAsia="黑体" w:cs="黑体"/>
          <w:color w:val="auto"/>
          <w:spacing w:val="0"/>
          <w:position w:val="0"/>
          <w:sz w:val="32"/>
          <w:shd w:val="clear" w:fill="auto"/>
        </w:rPr>
        <w:t>附件1</w:t>
      </w:r>
    </w:p>
    <w:p>
      <w:pPr>
        <w:pageBreakBefore w:val="0"/>
        <w:kinsoku/>
        <w:wordWrap/>
        <w:overflowPunct/>
        <w:topLinePunct w:val="0"/>
        <w:bidi w:val="0"/>
        <w:spacing w:before="0" w:after="0" w:line="560" w:lineRule="exact"/>
        <w:ind w:left="0" w:right="0" w:firstLine="0"/>
        <w:jc w:val="center"/>
        <w:textAlignment w:val="auto"/>
        <w:rPr>
          <w:rFonts w:ascii="方正小标宋简体" w:hAnsi="方正小标宋简体" w:eastAsia="方正小标宋简体" w:cs="方正小标宋简体"/>
          <w:color w:val="auto"/>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方正小标宋简体" w:hAnsi="方正小标宋简体" w:eastAsia="方正小标宋简体" w:cs="方正小标宋简体"/>
          <w:color w:val="000000"/>
          <w:spacing w:val="0"/>
          <w:position w:val="0"/>
          <w:sz w:val="40"/>
          <w:shd w:val="clear" w:fill="auto"/>
        </w:rPr>
      </w:pPr>
      <w:r>
        <w:rPr>
          <w:rFonts w:ascii="方正小标宋简体" w:hAnsi="方正小标宋简体" w:eastAsia="方正小标宋简体" w:cs="方正小标宋简体"/>
          <w:color w:val="000000"/>
          <w:spacing w:val="0"/>
          <w:position w:val="0"/>
          <w:sz w:val="40"/>
          <w:shd w:val="clear" w:fill="auto"/>
        </w:rPr>
        <w:t>民宗局部门2019年部门整体支出绩效评价报告</w:t>
      </w:r>
    </w:p>
    <w:p>
      <w:pPr>
        <w:pageBreakBefore w:val="0"/>
        <w:widowControl w:val="0"/>
        <w:kinsoku/>
        <w:wordWrap/>
        <w:overflowPunct/>
        <w:topLinePunct w:val="0"/>
        <w:bidi w:val="0"/>
        <w:spacing w:before="0" w:after="0" w:line="560" w:lineRule="exact"/>
        <w:ind w:left="0" w:right="0" w:firstLine="640"/>
        <w:jc w:val="center"/>
        <w:textAlignment w:val="auto"/>
        <w:rPr>
          <w:rFonts w:ascii="仿宋_GB2312" w:hAnsi="仿宋_GB2312" w:eastAsia="仿宋_GB2312" w:cs="仿宋_GB2312"/>
          <w:color w:val="auto"/>
          <w:spacing w:val="0"/>
          <w:position w:val="0"/>
          <w:sz w:val="32"/>
          <w:shd w:val="clear" w:fill="FFFFFF"/>
        </w:rPr>
      </w:pPr>
      <w:r>
        <w:rPr>
          <w:rFonts w:ascii="仿宋_GB2312" w:hAnsi="仿宋_GB2312" w:eastAsia="仿宋_GB2312" w:cs="仿宋_GB2312"/>
          <w:color w:val="auto"/>
          <w:spacing w:val="0"/>
          <w:position w:val="0"/>
          <w:sz w:val="32"/>
          <w:shd w:val="clear" w:fill="FFFFFF"/>
        </w:rPr>
        <w:t>（报告范围包括机关和下属单位）</w:t>
      </w:r>
    </w:p>
    <w:p>
      <w:pPr>
        <w:pageBreakBefore w:val="0"/>
        <w:widowControl w:val="0"/>
        <w:kinsoku/>
        <w:wordWrap/>
        <w:overflowPunct/>
        <w:topLinePunct w:val="0"/>
        <w:bidi w:val="0"/>
        <w:spacing w:before="0" w:after="0" w:line="560" w:lineRule="exact"/>
        <w:ind w:left="0" w:right="0" w:firstLine="480"/>
        <w:jc w:val="left"/>
        <w:textAlignment w:val="auto"/>
        <w:rPr>
          <w:rFonts w:ascii="黑体" w:hAnsi="黑体" w:eastAsia="黑体" w:cs="黑体"/>
          <w:color w:val="000000"/>
          <w:spacing w:val="0"/>
          <w:position w:val="0"/>
          <w:sz w:val="24"/>
          <w:shd w:val="clear" w:fill="FFFFFF"/>
        </w:rPr>
      </w:pPr>
    </w:p>
    <w:p>
      <w:pPr>
        <w:pageBreakBefore w:val="0"/>
        <w:widowControl w:val="0"/>
        <w:kinsoku/>
        <w:wordWrap/>
        <w:overflowPunct/>
        <w:topLinePunct w:val="0"/>
        <w:bidi w:val="0"/>
        <w:spacing w:before="0" w:after="0" w:line="560" w:lineRule="exact"/>
        <w:ind w:left="0" w:right="0" w:firstLine="640"/>
        <w:jc w:val="left"/>
        <w:textAlignment w:val="auto"/>
        <w:rPr>
          <w:rFonts w:ascii="黑体" w:hAnsi="黑体" w:eastAsia="黑体" w:cs="黑体"/>
          <w:color w:val="000000"/>
          <w:spacing w:val="0"/>
          <w:position w:val="0"/>
          <w:sz w:val="32"/>
          <w:shd w:val="clear" w:fill="FFFFFF"/>
        </w:rPr>
      </w:pPr>
      <w:r>
        <w:rPr>
          <w:rFonts w:ascii="黑体" w:hAnsi="黑体" w:eastAsia="黑体" w:cs="黑体"/>
          <w:color w:val="000000"/>
          <w:spacing w:val="0"/>
          <w:position w:val="0"/>
          <w:sz w:val="32"/>
          <w:shd w:val="clear" w:fill="FFFFFF"/>
        </w:rPr>
        <w:t>一、部门（单位）概况</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（一）机构组成。</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我单位为1个独立核算全额拨款行政单位，是独立核算的机构，是独立编报预决算的单位。</w:t>
      </w:r>
    </w:p>
    <w:p>
      <w:pPr>
        <w:pageBreakBefore w:val="0"/>
        <w:widowControl w:val="0"/>
        <w:numPr>
          <w:ilvl w:val="0"/>
          <w:numId w:val="0"/>
        </w:numPr>
        <w:kinsoku/>
        <w:wordWrap/>
        <w:overflowPunct/>
        <w:topLinePunct w:val="0"/>
        <w:bidi w:val="0"/>
        <w:spacing w:before="0" w:after="0" w:line="560" w:lineRule="exact"/>
        <w:ind w:left="640" w:leftChars="0" w:right="0" w:rightChars="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二</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机构职能。</w:t>
      </w:r>
    </w:p>
    <w:p>
      <w:pPr>
        <w:pageBreakBefore w:val="0"/>
        <w:kinsoku/>
        <w:wordWrap/>
        <w:overflowPunct/>
        <w:topLinePunct w:val="0"/>
        <w:bidi w:val="0"/>
        <w:spacing w:before="93" w:after="0" w:line="560" w:lineRule="exact"/>
        <w:ind w:left="0" w:right="0" w:firstLine="672"/>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我单位为县政府派出机构，受县政府委托，履行相应宗教事务管理执法权，业务上接收统战部门的指导和监督。</w:t>
      </w:r>
    </w:p>
    <w:p>
      <w:pPr>
        <w:pageBreakBefore w:val="0"/>
        <w:widowControl w:val="0"/>
        <w:numPr>
          <w:ilvl w:val="0"/>
          <w:numId w:val="0"/>
        </w:numPr>
        <w:kinsoku/>
        <w:wordWrap/>
        <w:overflowPunct/>
        <w:topLinePunct w:val="0"/>
        <w:bidi w:val="0"/>
        <w:spacing w:before="0" w:after="0" w:line="560" w:lineRule="exact"/>
        <w:ind w:left="640" w:leftChars="0" w:right="0" w:rightChars="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三</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人员概况。</w:t>
      </w:r>
    </w:p>
    <w:p>
      <w:pPr>
        <w:pageBreakBefore w:val="0"/>
        <w:kinsoku/>
        <w:wordWrap/>
        <w:overflowPunct/>
        <w:topLinePunct w:val="0"/>
        <w:bidi w:val="0"/>
        <w:spacing w:before="0" w:after="0" w:line="560" w:lineRule="exact"/>
        <w:ind w:left="0" w:right="0" w:firstLine="640"/>
        <w:jc w:val="both"/>
        <w:textAlignment w:val="auto"/>
        <w:rPr>
          <w:rFonts w:ascii="Times New Roman" w:hAnsi="Times New Roman" w:eastAsia="Times New Roman" w:cs="Times New Roman"/>
          <w:color w:val="auto"/>
          <w:spacing w:val="0"/>
          <w:position w:val="0"/>
          <w:sz w:val="21"/>
          <w:shd w:val="clear" w:fill="auto"/>
        </w:rPr>
      </w:pPr>
      <w:r>
        <w:rPr>
          <w:rFonts w:ascii="仿宋_GB2312" w:hAnsi="仿宋_GB2312" w:eastAsia="仿宋_GB2312" w:cs="仿宋_GB2312"/>
          <w:color w:val="auto"/>
          <w:spacing w:val="0"/>
          <w:position w:val="0"/>
          <w:sz w:val="32"/>
          <w:shd w:val="clear" w:fill="auto"/>
        </w:rPr>
        <w:t>截止2019年底我单位共有编制15个，其中公务员编制10个，行政工勤编制1个，事业编制4个。在职公务员9人，行政工勤1个，事业在职4个，退休5人。</w:t>
      </w:r>
    </w:p>
    <w:p>
      <w:pPr>
        <w:pageBreakBefore w:val="0"/>
        <w:widowControl w:val="0"/>
        <w:kinsoku/>
        <w:wordWrap/>
        <w:overflowPunct/>
        <w:topLinePunct w:val="0"/>
        <w:bidi w:val="0"/>
        <w:spacing w:before="0" w:after="0" w:line="560" w:lineRule="exact"/>
        <w:ind w:left="0" w:right="0" w:firstLine="640"/>
        <w:jc w:val="left"/>
        <w:textAlignment w:val="auto"/>
        <w:rPr>
          <w:rFonts w:ascii="黑体" w:hAnsi="黑体" w:eastAsia="黑体" w:cs="黑体"/>
          <w:color w:val="000000"/>
          <w:spacing w:val="0"/>
          <w:position w:val="0"/>
          <w:sz w:val="32"/>
          <w:shd w:val="clear" w:fill="FFFFFF"/>
        </w:rPr>
      </w:pPr>
      <w:r>
        <w:rPr>
          <w:rFonts w:ascii="黑体" w:hAnsi="黑体" w:eastAsia="黑体" w:cs="黑体"/>
          <w:color w:val="000000"/>
          <w:spacing w:val="0"/>
          <w:position w:val="0"/>
          <w:sz w:val="32"/>
          <w:shd w:val="clear" w:fill="FFFFFF"/>
        </w:rPr>
        <w:t>二、部门财政资金收支情况</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（一）部门财政资金收入情况。</w:t>
      </w:r>
    </w:p>
    <w:p>
      <w:pPr>
        <w:pageBreakBefore w:val="0"/>
        <w:kinsoku/>
        <w:wordWrap/>
        <w:overflowPunct/>
        <w:topLinePunct w:val="0"/>
        <w:bidi w:val="0"/>
        <w:spacing w:before="120" w:after="0" w:line="560" w:lineRule="exact"/>
        <w:ind w:left="0" w:right="0" w:firstLine="640"/>
        <w:jc w:val="both"/>
        <w:textAlignment w:val="auto"/>
        <w:rPr>
          <w:rFonts w:ascii="Arial" w:hAnsi="Arial" w:eastAsia="Arial" w:cs="Arial"/>
          <w:color w:val="auto"/>
          <w:spacing w:val="0"/>
          <w:position w:val="0"/>
          <w:sz w:val="24"/>
          <w:shd w:val="clear" w:fill="auto"/>
        </w:rPr>
      </w:pPr>
      <w:r>
        <w:rPr>
          <w:rFonts w:ascii="仿宋_GB2312" w:hAnsi="仿宋_GB2312" w:eastAsia="仿宋_GB2312" w:cs="仿宋_GB2312"/>
          <w:color w:val="000000"/>
          <w:spacing w:val="0"/>
          <w:position w:val="0"/>
          <w:sz w:val="32"/>
          <w:shd w:val="clear" w:fill="FFFFFF"/>
        </w:rPr>
        <w:t>本年度</w:t>
      </w:r>
      <w:r>
        <w:rPr>
          <w:rFonts w:ascii="仿宋_GB2312" w:hAnsi="仿宋_GB2312" w:eastAsia="仿宋_GB2312" w:cs="仿宋_GB2312"/>
          <w:color w:val="000000"/>
          <w:spacing w:val="0"/>
          <w:position w:val="0"/>
          <w:sz w:val="32"/>
          <w:shd w:val="clear" w:fill="auto"/>
        </w:rPr>
        <w:t>财政资金收入1651.08万元。</w:t>
      </w:r>
    </w:p>
    <w:p>
      <w:pPr>
        <w:pageBreakBefore w:val="0"/>
        <w:widowControl w:val="0"/>
        <w:numPr>
          <w:ilvl w:val="0"/>
          <w:numId w:val="0"/>
        </w:numPr>
        <w:kinsoku/>
        <w:wordWrap/>
        <w:overflowPunct/>
        <w:topLinePunct w:val="0"/>
        <w:bidi w:val="0"/>
        <w:spacing w:before="0" w:after="0" w:line="560" w:lineRule="exact"/>
        <w:ind w:left="640" w:leftChars="0" w:right="0" w:rightChars="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二</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部门财政资金支出情况。</w:t>
      </w:r>
    </w:p>
    <w:p>
      <w:pPr>
        <w:pageBreakBefore w:val="0"/>
        <w:kinsoku/>
        <w:wordWrap/>
        <w:overflowPunct/>
        <w:topLinePunct w:val="0"/>
        <w:bidi w:val="0"/>
        <w:spacing w:before="120" w:after="0" w:line="560" w:lineRule="exact"/>
        <w:ind w:left="0" w:right="0" w:firstLine="640"/>
        <w:jc w:val="both"/>
        <w:textAlignment w:val="auto"/>
        <w:rPr>
          <w:rFonts w:ascii="Arial" w:hAnsi="Arial" w:eastAsia="Arial" w:cs="Arial"/>
          <w:color w:val="auto"/>
          <w:spacing w:val="0"/>
          <w:position w:val="0"/>
          <w:sz w:val="24"/>
          <w:shd w:val="clear" w:fill="auto"/>
        </w:rPr>
      </w:pPr>
      <w:r>
        <w:rPr>
          <w:rFonts w:ascii="仿宋_GB2312" w:hAnsi="仿宋_GB2312" w:eastAsia="仿宋_GB2312" w:cs="仿宋_GB2312"/>
          <w:color w:val="000000"/>
          <w:spacing w:val="0"/>
          <w:position w:val="0"/>
          <w:sz w:val="32"/>
          <w:shd w:val="clear" w:fill="FFFFFF"/>
        </w:rPr>
        <w:t>本年度</w:t>
      </w:r>
      <w:r>
        <w:rPr>
          <w:rFonts w:ascii="仿宋_GB2312" w:hAnsi="仿宋_GB2312" w:eastAsia="仿宋_GB2312" w:cs="仿宋_GB2312"/>
          <w:color w:val="000000"/>
          <w:spacing w:val="0"/>
          <w:position w:val="0"/>
          <w:sz w:val="32"/>
          <w:shd w:val="clear" w:fill="auto"/>
        </w:rPr>
        <w:t>财政资金支出1464.4万元。</w:t>
      </w:r>
    </w:p>
    <w:p>
      <w:pPr>
        <w:pageBreakBefore w:val="0"/>
        <w:widowControl w:val="0"/>
        <w:kinsoku/>
        <w:wordWrap/>
        <w:overflowPunct/>
        <w:topLinePunct w:val="0"/>
        <w:bidi w:val="0"/>
        <w:spacing w:before="0" w:after="0" w:line="560" w:lineRule="exact"/>
        <w:ind w:left="0" w:right="0" w:firstLine="640"/>
        <w:jc w:val="left"/>
        <w:textAlignment w:val="auto"/>
        <w:rPr>
          <w:rFonts w:ascii="黑体" w:hAnsi="黑体" w:eastAsia="黑体" w:cs="黑体"/>
          <w:color w:val="000000"/>
          <w:spacing w:val="0"/>
          <w:position w:val="0"/>
          <w:sz w:val="32"/>
          <w:shd w:val="clear" w:fill="FFFFFF"/>
        </w:rPr>
      </w:pPr>
      <w:r>
        <w:rPr>
          <w:rFonts w:ascii="黑体" w:hAnsi="黑体" w:eastAsia="黑体" w:cs="黑体"/>
          <w:color w:val="000000"/>
          <w:spacing w:val="0"/>
          <w:position w:val="0"/>
          <w:sz w:val="32"/>
          <w:shd w:val="clear" w:fill="FFFFFF"/>
        </w:rPr>
        <w:t>三、部门整体预算绩效管理情况</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（一）部门预算管理。</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包括部门绩效目标制定、目标实现、预算编制准确、支出控制、预算动态调整、执行进度、预算完成情况和违规记录等情况。</w:t>
      </w:r>
    </w:p>
    <w:p>
      <w:pPr>
        <w:pageBreakBefore w:val="0"/>
        <w:widowControl w:val="0"/>
        <w:kinsoku/>
        <w:wordWrap/>
        <w:overflowPunct/>
        <w:topLinePunct w:val="0"/>
        <w:bidi w:val="0"/>
        <w:spacing w:before="0" w:after="0" w:line="560" w:lineRule="exact"/>
        <w:ind w:left="0" w:right="0" w:firstLine="720"/>
        <w:jc w:val="left"/>
        <w:textAlignment w:val="auto"/>
        <w:rPr>
          <w:rFonts w:ascii="楷体" w:hAnsi="楷体" w:eastAsia="楷体" w:cs="楷体"/>
          <w:color w:val="000000"/>
          <w:spacing w:val="0"/>
          <w:position w:val="0"/>
          <w:sz w:val="21"/>
          <w:shd w:val="clear" w:fill="auto"/>
        </w:rPr>
      </w:pPr>
      <w:r>
        <w:rPr>
          <w:rFonts w:hint="eastAsia" w:ascii="楷体" w:hAnsi="楷体" w:eastAsia="楷体" w:cs="楷体"/>
          <w:color w:val="000000"/>
          <w:spacing w:val="0"/>
          <w:position w:val="0"/>
          <w:sz w:val="32"/>
          <w:shd w:val="clear" w:fill="auto"/>
          <w:lang w:val="en-US" w:eastAsia="zh-CN"/>
        </w:rPr>
        <w:t>1.</w:t>
      </w:r>
      <w:r>
        <w:rPr>
          <w:rFonts w:ascii="楷体" w:hAnsi="楷体" w:eastAsia="楷体" w:cs="楷体"/>
          <w:color w:val="000000"/>
          <w:spacing w:val="0"/>
          <w:position w:val="0"/>
          <w:sz w:val="32"/>
          <w:shd w:val="clear" w:fill="auto"/>
        </w:rPr>
        <w:t>预算编制情况。</w:t>
      </w: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主要由三公经费、项目支出、公用经费、人员经费构成。</w:t>
      </w:r>
    </w:p>
    <w:p>
      <w:pPr>
        <w:pageBreakBefore w:val="0"/>
        <w:widowControl w:val="0"/>
        <w:kinsoku/>
        <w:wordWrap/>
        <w:overflowPunct/>
        <w:topLinePunct w:val="0"/>
        <w:bidi w:val="0"/>
        <w:spacing w:before="0" w:after="0" w:line="560" w:lineRule="exact"/>
        <w:ind w:left="0" w:right="0" w:firstLine="720"/>
        <w:jc w:val="left"/>
        <w:textAlignment w:val="auto"/>
        <w:rPr>
          <w:rFonts w:ascii="楷体" w:hAnsi="楷体" w:eastAsia="楷体" w:cs="楷体"/>
          <w:color w:val="000000"/>
          <w:spacing w:val="0"/>
          <w:position w:val="0"/>
          <w:sz w:val="21"/>
          <w:shd w:val="clear" w:fill="auto"/>
        </w:rPr>
      </w:pPr>
      <w:r>
        <w:rPr>
          <w:rFonts w:hint="eastAsia" w:ascii="楷体" w:hAnsi="楷体" w:eastAsia="楷体" w:cs="楷体"/>
          <w:color w:val="000000"/>
          <w:spacing w:val="0"/>
          <w:position w:val="0"/>
          <w:sz w:val="32"/>
          <w:shd w:val="clear" w:fill="auto"/>
          <w:lang w:val="en-US" w:eastAsia="zh-CN"/>
        </w:rPr>
        <w:t>2.</w:t>
      </w:r>
      <w:r>
        <w:rPr>
          <w:rFonts w:ascii="楷体" w:hAnsi="楷体" w:eastAsia="楷体" w:cs="楷体"/>
          <w:color w:val="000000"/>
          <w:spacing w:val="0"/>
          <w:position w:val="0"/>
          <w:sz w:val="32"/>
          <w:shd w:val="clear" w:fill="auto"/>
        </w:rPr>
        <w:t>执行管理情况。</w:t>
      </w:r>
      <w:r>
        <w:rPr>
          <w:rFonts w:ascii="楷体" w:hAnsi="楷体" w:eastAsia="楷体" w:cs="楷体"/>
          <w:color w:val="000000"/>
          <w:spacing w:val="0"/>
          <w:position w:val="0"/>
          <w:sz w:val="32"/>
          <w:shd w:val="clear" w:fill="auto"/>
        </w:rPr>
        <w:tab/>
      </w:r>
    </w:p>
    <w:p>
      <w:pPr>
        <w:pageBreakBefore w:val="0"/>
        <w:widowControl w:val="0"/>
        <w:kinsoku/>
        <w:wordWrap/>
        <w:overflowPunct/>
        <w:topLinePunct w:val="0"/>
        <w:bidi w:val="0"/>
        <w:spacing w:before="0" w:after="0" w:line="560" w:lineRule="exact"/>
        <w:ind w:left="0" w:right="0" w:firstLine="640"/>
        <w:jc w:val="left"/>
        <w:textAlignment w:val="auto"/>
        <w:rPr>
          <w:rFonts w:ascii="楷体" w:hAnsi="楷体" w:eastAsia="楷体" w:cs="楷体"/>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2019年度“三公”经费财政拨款支出决算中，因公出国（境）费支出决算0元；公务用车购置及运行维护费支出决算0万元，占0%；公务接待费支出决算0万元，占0%。预算执行完成情况较好。</w:t>
      </w:r>
    </w:p>
    <w:p>
      <w:pPr>
        <w:pageBreakBefore w:val="0"/>
        <w:widowControl w:val="0"/>
        <w:kinsoku/>
        <w:wordWrap/>
        <w:overflowPunct/>
        <w:topLinePunct w:val="0"/>
        <w:bidi w:val="0"/>
        <w:spacing w:before="0" w:after="0" w:line="560" w:lineRule="exact"/>
        <w:ind w:left="0" w:right="0" w:firstLine="720"/>
        <w:jc w:val="left"/>
        <w:textAlignment w:val="auto"/>
        <w:rPr>
          <w:rFonts w:ascii="楷体" w:hAnsi="楷体" w:eastAsia="楷体" w:cs="楷体"/>
          <w:color w:val="000000"/>
          <w:spacing w:val="0"/>
          <w:position w:val="0"/>
          <w:sz w:val="21"/>
          <w:shd w:val="clear" w:fill="auto"/>
        </w:rPr>
      </w:pPr>
      <w:r>
        <w:rPr>
          <w:rFonts w:hint="eastAsia" w:ascii="楷体" w:hAnsi="楷体" w:eastAsia="楷体" w:cs="楷体"/>
          <w:color w:val="000000"/>
          <w:spacing w:val="0"/>
          <w:position w:val="0"/>
          <w:sz w:val="32"/>
          <w:shd w:val="clear" w:fill="auto"/>
          <w:lang w:val="en-US" w:eastAsia="zh-CN"/>
        </w:rPr>
        <w:t>3.</w:t>
      </w:r>
      <w:r>
        <w:rPr>
          <w:rFonts w:ascii="楷体" w:hAnsi="楷体" w:eastAsia="楷体" w:cs="楷体"/>
          <w:color w:val="000000"/>
          <w:spacing w:val="0"/>
          <w:position w:val="0"/>
          <w:sz w:val="32"/>
          <w:shd w:val="clear" w:fill="auto"/>
        </w:rPr>
        <w:t>综合管理情况。</w:t>
      </w:r>
    </w:p>
    <w:p>
      <w:pPr>
        <w:pageBreakBefore w:val="0"/>
        <w:widowControl w:val="0"/>
        <w:kinsoku/>
        <w:wordWrap/>
        <w:overflowPunct/>
        <w:topLinePunct w:val="0"/>
        <w:bidi w:val="0"/>
        <w:spacing w:before="0" w:after="0" w:line="560" w:lineRule="exact"/>
        <w:ind w:left="0" w:right="0" w:firstLine="640"/>
        <w:jc w:val="left"/>
        <w:textAlignment w:val="auto"/>
        <w:rPr>
          <w:rFonts w:ascii="Times New Roman" w:hAnsi="Times New Roman" w:eastAsia="Times New Roman" w:cs="Times New Roman"/>
          <w:color w:val="auto"/>
          <w:spacing w:val="0"/>
          <w:position w:val="0"/>
          <w:sz w:val="21"/>
          <w:shd w:val="clear" w:fill="auto"/>
        </w:rPr>
      </w:pPr>
      <w:r>
        <w:rPr>
          <w:rFonts w:ascii="仿宋_GB2312" w:hAnsi="仿宋_GB2312" w:eastAsia="仿宋_GB2312" w:cs="仿宋_GB2312"/>
          <w:color w:val="000000"/>
          <w:spacing w:val="0"/>
          <w:position w:val="0"/>
          <w:sz w:val="32"/>
          <w:shd w:val="clear" w:fill="auto"/>
        </w:rPr>
        <w:t>2019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pageBreakBefore w:val="0"/>
        <w:widowControl w:val="0"/>
        <w:numPr>
          <w:ilvl w:val="0"/>
          <w:numId w:val="0"/>
        </w:numPr>
        <w:kinsoku/>
        <w:wordWrap/>
        <w:overflowPunct/>
        <w:topLinePunct w:val="0"/>
        <w:bidi w:val="0"/>
        <w:spacing w:before="0" w:after="0" w:line="560" w:lineRule="exact"/>
        <w:ind w:left="640" w:leftChars="0" w:right="0" w:rightChars="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二</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结果应用情况。</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包括绩效自评公开、评价结果整改和应用结果反馈等情况。</w:t>
      </w:r>
    </w:p>
    <w:p>
      <w:pPr>
        <w:pageBreakBefore w:val="0"/>
        <w:widowControl w:val="0"/>
        <w:kinsoku/>
        <w:wordWrap/>
        <w:overflowPunct/>
        <w:topLinePunct w:val="0"/>
        <w:bidi w:val="0"/>
        <w:spacing w:before="0" w:after="0" w:line="560" w:lineRule="exact"/>
        <w:ind w:left="0" w:right="0" w:firstLine="640"/>
        <w:jc w:val="left"/>
        <w:textAlignment w:val="auto"/>
        <w:rPr>
          <w:rFonts w:ascii="楷体" w:hAnsi="楷体" w:eastAsia="楷体" w:cs="楷体"/>
          <w:color w:val="000000"/>
          <w:spacing w:val="0"/>
          <w:position w:val="0"/>
          <w:sz w:val="32"/>
          <w:shd w:val="clear" w:fill="auto"/>
        </w:rPr>
      </w:pPr>
      <w:r>
        <w:rPr>
          <w:rFonts w:ascii="楷体" w:hAnsi="楷体" w:eastAsia="楷体" w:cs="楷体"/>
          <w:color w:val="000000"/>
          <w:spacing w:val="0"/>
          <w:position w:val="0"/>
          <w:sz w:val="32"/>
          <w:shd w:val="clear" w:fill="auto"/>
        </w:rPr>
        <w:t>（一）部门职责履行情况分析</w:t>
      </w:r>
    </w:p>
    <w:p>
      <w:pPr>
        <w:pageBreakBefore w:val="0"/>
        <w:widowControl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2019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pageBreakBefore w:val="0"/>
        <w:widowControl w:val="0"/>
        <w:kinsoku/>
        <w:wordWrap/>
        <w:overflowPunct/>
        <w:topLinePunct w:val="0"/>
        <w:bidi w:val="0"/>
        <w:spacing w:before="0" w:after="0" w:line="560" w:lineRule="exact"/>
        <w:ind w:left="0" w:right="0" w:firstLine="640"/>
        <w:jc w:val="both"/>
        <w:textAlignment w:val="auto"/>
        <w:rPr>
          <w:rFonts w:ascii="楷体" w:hAnsi="楷体" w:eastAsia="楷体" w:cs="楷体"/>
          <w:color w:val="000000"/>
          <w:spacing w:val="0"/>
          <w:position w:val="0"/>
          <w:sz w:val="32"/>
          <w:shd w:val="clear" w:fill="auto"/>
        </w:rPr>
      </w:pPr>
      <w:r>
        <w:rPr>
          <w:rFonts w:ascii="楷体" w:hAnsi="楷体" w:eastAsia="楷体" w:cs="楷体"/>
          <w:color w:val="000000"/>
          <w:spacing w:val="0"/>
          <w:position w:val="0"/>
          <w:sz w:val="32"/>
          <w:shd w:val="clear" w:fill="auto"/>
        </w:rPr>
        <w:t>（二）社会经济效益分析</w:t>
      </w:r>
    </w:p>
    <w:p>
      <w:pPr>
        <w:pageBreakBefore w:val="0"/>
        <w:widowControl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1、本年预算配置控制较好。财政供养人员控制在预算编制以内，编制内在职人员控制率为100%；“三公经费”控制在年初预算以内。</w:t>
      </w:r>
    </w:p>
    <w:p>
      <w:pPr>
        <w:pageBreakBefore w:val="0"/>
        <w:widowControl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2、预算执行情况控制较好。支出总额控制在年初预算总额以内，本年部门预算完成率达到了100%，未进行预算相关事项的调整，预算控制良好。</w:t>
      </w:r>
    </w:p>
    <w:p>
      <w:pPr>
        <w:pageBreakBefore w:val="0"/>
        <w:widowControl w:val="0"/>
        <w:kinsoku/>
        <w:wordWrap/>
        <w:overflowPunct/>
        <w:topLinePunct w:val="0"/>
        <w:bidi w:val="0"/>
        <w:spacing w:before="0" w:after="0" w:line="560" w:lineRule="exact"/>
        <w:ind w:left="0" w:right="0" w:firstLine="640"/>
        <w:jc w:val="both"/>
        <w:textAlignment w:val="auto"/>
        <w:rPr>
          <w:rFonts w:ascii="楷体" w:hAnsi="楷体" w:eastAsia="楷体" w:cs="楷体"/>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3、预算管理较为理想。由于严格执行财政相关法律、法规的规定，我单位的预算管理工作取得了较好的成绩，全年人员经费支出、日常用公用经费支出的控制率均达到了100%</w:t>
      </w:r>
      <w:r>
        <w:rPr>
          <w:rFonts w:ascii="楷体" w:hAnsi="楷体" w:eastAsia="楷体" w:cs="楷体"/>
          <w:color w:val="000000"/>
          <w:spacing w:val="0"/>
          <w:position w:val="0"/>
          <w:sz w:val="32"/>
          <w:shd w:val="clear" w:fill="auto"/>
        </w:rPr>
        <w:t>。</w:t>
      </w:r>
    </w:p>
    <w:p>
      <w:pPr>
        <w:pageBreakBefore w:val="0"/>
        <w:widowControl w:val="0"/>
        <w:kinsoku/>
        <w:wordWrap/>
        <w:overflowPunct/>
        <w:topLinePunct w:val="0"/>
        <w:bidi w:val="0"/>
        <w:spacing w:before="0" w:after="0" w:line="560" w:lineRule="exact"/>
        <w:ind w:left="0" w:right="0" w:firstLine="640"/>
        <w:jc w:val="both"/>
        <w:textAlignment w:val="auto"/>
        <w:rPr>
          <w:rFonts w:ascii="楷体" w:hAnsi="楷体" w:eastAsia="楷体" w:cs="楷体"/>
          <w:color w:val="000000"/>
          <w:spacing w:val="0"/>
          <w:position w:val="0"/>
          <w:sz w:val="32"/>
          <w:shd w:val="clear" w:fill="auto"/>
        </w:rPr>
      </w:pPr>
      <w:r>
        <w:rPr>
          <w:rFonts w:ascii="楷体" w:hAnsi="楷体" w:eastAsia="楷体" w:cs="楷体"/>
          <w:color w:val="000000"/>
          <w:spacing w:val="0"/>
          <w:position w:val="0"/>
          <w:sz w:val="32"/>
          <w:shd w:val="clear" w:fill="auto"/>
        </w:rPr>
        <w:t>（三）行政效能分析</w:t>
      </w:r>
    </w:p>
    <w:p>
      <w:pPr>
        <w:pageBreakBefore w:val="0"/>
        <w:kinsoku/>
        <w:wordWrap/>
        <w:overflowPunct/>
        <w:topLinePunct w:val="0"/>
        <w:bidi w:val="0"/>
        <w:spacing w:before="120" w:after="0" w:line="560" w:lineRule="exact"/>
        <w:ind w:left="0" w:right="0" w:firstLine="640" w:firstLineChars="200"/>
        <w:jc w:val="both"/>
        <w:textAlignment w:val="auto"/>
        <w:rPr>
          <w:rFonts w:ascii="Arial" w:hAnsi="Arial" w:eastAsia="Arial" w:cs="Arial"/>
          <w:color w:val="auto"/>
          <w:spacing w:val="0"/>
          <w:position w:val="0"/>
          <w:sz w:val="24"/>
          <w:shd w:val="clear" w:fill="auto"/>
        </w:rPr>
      </w:pPr>
      <w:r>
        <w:rPr>
          <w:rFonts w:ascii="仿宋_GB2312" w:hAnsi="仿宋_GB2312" w:eastAsia="仿宋_GB2312" w:cs="仿宋_GB2312"/>
          <w:color w:val="000000"/>
          <w:spacing w:val="0"/>
          <w:position w:val="0"/>
          <w:sz w:val="32"/>
          <w:shd w:val="clear" w:fill="auto"/>
        </w:rPr>
        <w:t>财政预算</w:t>
      </w:r>
      <w:r>
        <w:rPr>
          <w:rFonts w:hint="eastAsia" w:ascii="仿宋_GB2312" w:hAnsi="仿宋_GB2312" w:eastAsia="仿宋_GB2312" w:cs="仿宋_GB2312"/>
          <w:color w:val="000000"/>
          <w:spacing w:val="0"/>
          <w:position w:val="0"/>
          <w:sz w:val="32"/>
          <w:shd w:val="clear" w:fill="auto"/>
          <w:lang w:val="en-US" w:eastAsia="zh-CN"/>
        </w:rPr>
        <w:t>安</w:t>
      </w:r>
      <w:r>
        <w:rPr>
          <w:rFonts w:ascii="仿宋_GB2312" w:hAnsi="仿宋_GB2312" w:eastAsia="仿宋_GB2312" w:cs="仿宋_GB2312"/>
          <w:color w:val="000000"/>
          <w:spacing w:val="0"/>
          <w:position w:val="0"/>
          <w:sz w:val="32"/>
          <w:shd w:val="clear" w:fill="auto"/>
        </w:rPr>
        <w:t>排在很大程度上保障了本单位基本支出及公用经费支出的正常工作运转。预算</w:t>
      </w:r>
      <w:r>
        <w:rPr>
          <w:rFonts w:hint="eastAsia" w:ascii="仿宋_GB2312" w:hAnsi="仿宋_GB2312" w:eastAsia="仿宋_GB2312" w:cs="仿宋_GB2312"/>
          <w:color w:val="000000"/>
          <w:spacing w:val="0"/>
          <w:position w:val="0"/>
          <w:sz w:val="32"/>
          <w:shd w:val="clear" w:fill="auto"/>
          <w:lang w:val="en-US" w:eastAsia="zh-CN"/>
        </w:rPr>
        <w:t>安</w:t>
      </w:r>
      <w:r>
        <w:rPr>
          <w:rFonts w:ascii="仿宋_GB2312" w:hAnsi="仿宋_GB2312" w:eastAsia="仿宋_GB2312" w:cs="仿宋_GB2312"/>
          <w:color w:val="000000"/>
          <w:spacing w:val="0"/>
          <w:position w:val="0"/>
          <w:sz w:val="32"/>
          <w:shd w:val="clear" w:fill="auto"/>
        </w:rPr>
        <w:t>排的项目支出也是非常必要的。财政预算</w:t>
      </w:r>
      <w:r>
        <w:rPr>
          <w:rFonts w:hint="eastAsia" w:ascii="仿宋_GB2312" w:hAnsi="仿宋_GB2312" w:eastAsia="仿宋_GB2312" w:cs="仿宋_GB2312"/>
          <w:color w:val="000000"/>
          <w:spacing w:val="0"/>
          <w:position w:val="0"/>
          <w:sz w:val="32"/>
          <w:shd w:val="clear" w:fill="auto"/>
          <w:lang w:val="en-US" w:eastAsia="zh-CN"/>
        </w:rPr>
        <w:t>安</w:t>
      </w:r>
      <w:r>
        <w:rPr>
          <w:rFonts w:ascii="仿宋_GB2312" w:hAnsi="仿宋_GB2312" w:eastAsia="仿宋_GB2312" w:cs="仿宋_GB2312"/>
          <w:color w:val="000000"/>
          <w:spacing w:val="0"/>
          <w:position w:val="0"/>
          <w:sz w:val="32"/>
          <w:shd w:val="clear" w:fill="auto"/>
        </w:rPr>
        <w:t>排大大提财政资金的使用效率，财政资金的安全性得到了有效保障，我们在执行预算过程中是严格按照财政各项制度规定来办理，单位在项目资金的使用上也是安全的。</w:t>
      </w:r>
    </w:p>
    <w:p>
      <w:pPr>
        <w:pageBreakBefore w:val="0"/>
        <w:widowControl w:val="0"/>
        <w:kinsoku/>
        <w:wordWrap/>
        <w:overflowPunct/>
        <w:topLinePunct w:val="0"/>
        <w:bidi w:val="0"/>
        <w:spacing w:before="0" w:after="0" w:line="560" w:lineRule="exact"/>
        <w:ind w:left="0" w:right="0" w:firstLine="640"/>
        <w:jc w:val="left"/>
        <w:textAlignment w:val="auto"/>
        <w:rPr>
          <w:rFonts w:ascii="黑体" w:hAnsi="黑体" w:eastAsia="黑体" w:cs="黑体"/>
          <w:color w:val="000000"/>
          <w:spacing w:val="0"/>
          <w:position w:val="0"/>
          <w:sz w:val="32"/>
          <w:shd w:val="clear" w:fill="FFFFFF"/>
        </w:rPr>
      </w:pPr>
      <w:r>
        <w:rPr>
          <w:rFonts w:ascii="黑体" w:hAnsi="黑体" w:eastAsia="黑体" w:cs="黑体"/>
          <w:color w:val="000000"/>
          <w:spacing w:val="0"/>
          <w:position w:val="0"/>
          <w:sz w:val="32"/>
          <w:shd w:val="clear" w:fill="FFFFFF"/>
        </w:rPr>
        <w:t>四、评价结论及建议</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FFFFFF"/>
        </w:rPr>
      </w:pPr>
      <w:r>
        <w:rPr>
          <w:rFonts w:ascii="仿宋_GB2312" w:hAnsi="仿宋_GB2312" w:eastAsia="仿宋_GB2312" w:cs="仿宋_GB2312"/>
          <w:color w:val="000000"/>
          <w:spacing w:val="0"/>
          <w:position w:val="0"/>
          <w:sz w:val="32"/>
          <w:shd w:val="clear" w:fill="FFFFFF"/>
        </w:rPr>
        <w:t>（一）评价结论。</w:t>
      </w:r>
    </w:p>
    <w:p>
      <w:pPr>
        <w:pageBreakBefore w:val="0"/>
        <w:widowControl w:val="0"/>
        <w:kinsoku/>
        <w:wordWrap/>
        <w:overflowPunct/>
        <w:topLinePunct w:val="0"/>
        <w:bidi w:val="0"/>
        <w:spacing w:before="0" w:after="0" w:line="560" w:lineRule="exact"/>
        <w:ind w:left="0" w:right="0" w:firstLine="640"/>
        <w:jc w:val="left"/>
        <w:textAlignment w:val="auto"/>
        <w:rPr>
          <w:rFonts w:ascii="Times New Roman" w:hAnsi="Times New Roman" w:eastAsia="Times New Roman" w:cs="Times New Roman"/>
          <w:color w:val="auto"/>
          <w:spacing w:val="0"/>
          <w:position w:val="0"/>
          <w:sz w:val="21"/>
          <w:shd w:val="clear" w:fill="auto"/>
        </w:rPr>
      </w:pPr>
      <w:r>
        <w:rPr>
          <w:rFonts w:ascii="仿宋_GB2312" w:hAnsi="仿宋_GB2312" w:eastAsia="仿宋_GB2312" w:cs="仿宋_GB2312"/>
          <w:color w:val="000000"/>
          <w:spacing w:val="0"/>
          <w:position w:val="0"/>
          <w:sz w:val="32"/>
          <w:shd w:val="clear" w:fill="FFFFFF"/>
        </w:rPr>
        <w:t>2019年度根据预算编制，严格执行预算经费使用，总体效果较好。</w:t>
      </w:r>
    </w:p>
    <w:p>
      <w:pPr>
        <w:pageBreakBefore w:val="0"/>
        <w:widowControl w:val="0"/>
        <w:numPr>
          <w:ilvl w:val="0"/>
          <w:numId w:val="0"/>
        </w:numPr>
        <w:kinsoku/>
        <w:wordWrap/>
        <w:overflowPunct/>
        <w:topLinePunct w:val="0"/>
        <w:bidi w:val="0"/>
        <w:spacing w:before="0" w:after="0" w:line="560" w:lineRule="exact"/>
        <w:ind w:left="640" w:leftChars="0" w:right="0" w:rightChars="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二</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存在问题。</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1、预算编制欠严谨</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预算编制欠全面，项目有临时追加不够完整、细化。</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2、预算执行存在偏差</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在实际经费列支中，未严格按照预算科目进行列支，部分基本支出挤占了项目支出。</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3、会计核算欠规范</w:t>
      </w:r>
    </w:p>
    <w:p>
      <w:pPr>
        <w:pageBreakBefore w:val="0"/>
        <w:numPr>
          <w:ilvl w:val="0"/>
          <w:numId w:val="0"/>
        </w:numPr>
        <w:kinsoku/>
        <w:wordWrap/>
        <w:overflowPunct/>
        <w:topLinePunct w:val="0"/>
        <w:bidi w:val="0"/>
        <w:spacing w:before="120" w:after="0" w:line="560" w:lineRule="exact"/>
        <w:ind w:leftChars="0" w:right="0" w:rightChars="0" w:firstLine="640" w:firstLineChars="200"/>
        <w:jc w:val="both"/>
        <w:textAlignment w:val="auto"/>
        <w:rPr>
          <w:rFonts w:ascii="Arial" w:hAnsi="Arial" w:eastAsia="Arial" w:cs="Arial"/>
          <w:color w:val="auto"/>
          <w:spacing w:val="0"/>
          <w:position w:val="0"/>
          <w:sz w:val="24"/>
          <w:shd w:val="clear" w:fill="auto"/>
        </w:rPr>
      </w:pPr>
      <w:r>
        <w:rPr>
          <w:rFonts w:ascii="仿宋_GB2312" w:hAnsi="仿宋_GB2312" w:eastAsia="仿宋_GB2312" w:cs="仿宋_GB2312"/>
          <w:color w:val="000000"/>
          <w:spacing w:val="0"/>
          <w:position w:val="0"/>
          <w:sz w:val="32"/>
          <w:shd w:val="clear" w:fill="auto"/>
        </w:rPr>
        <w:t>经费支出核算过程中，部分存在部分大额办公支出无明细、发票内容填写不规范等现象。</w:t>
      </w:r>
    </w:p>
    <w:p>
      <w:pPr>
        <w:pageBreakBefore w:val="0"/>
        <w:widowControl w:val="0"/>
        <w:numPr>
          <w:ilvl w:val="0"/>
          <w:numId w:val="0"/>
        </w:numPr>
        <w:kinsoku/>
        <w:wordWrap/>
        <w:overflowPunct/>
        <w:topLinePunct w:val="0"/>
        <w:bidi w:val="0"/>
        <w:spacing w:before="0" w:after="0" w:line="560" w:lineRule="exact"/>
        <w:ind w:leftChars="0" w:right="0" w:rightChars="0" w:firstLine="640" w:firstLineChars="200"/>
        <w:jc w:val="left"/>
        <w:textAlignment w:val="auto"/>
        <w:rPr>
          <w:rFonts w:ascii="仿宋_GB2312" w:hAnsi="仿宋_GB2312" w:eastAsia="仿宋_GB2312" w:cs="仿宋_GB2312"/>
          <w:color w:val="000000"/>
          <w:spacing w:val="0"/>
          <w:position w:val="0"/>
          <w:sz w:val="32"/>
          <w:shd w:val="clear" w:fill="FFFFFF"/>
        </w:rPr>
      </w:pPr>
      <w:r>
        <w:rPr>
          <w:rFonts w:hint="eastAsia" w:ascii="仿宋_GB2312" w:hAnsi="仿宋_GB2312" w:eastAsia="仿宋_GB2312" w:cs="仿宋_GB2312"/>
          <w:color w:val="000000"/>
          <w:spacing w:val="0"/>
          <w:position w:val="0"/>
          <w:sz w:val="32"/>
          <w:shd w:val="clear" w:fill="FFFFFF"/>
          <w:lang w:eastAsia="zh-CN"/>
        </w:rPr>
        <w:t>（</w:t>
      </w:r>
      <w:r>
        <w:rPr>
          <w:rFonts w:hint="eastAsia" w:ascii="仿宋_GB2312" w:hAnsi="仿宋_GB2312" w:eastAsia="仿宋_GB2312" w:cs="仿宋_GB2312"/>
          <w:color w:val="000000"/>
          <w:spacing w:val="0"/>
          <w:position w:val="0"/>
          <w:sz w:val="32"/>
          <w:shd w:val="clear" w:fill="FFFFFF"/>
          <w:lang w:val="en-US" w:eastAsia="zh-CN"/>
        </w:rPr>
        <w:t>三</w:t>
      </w:r>
      <w:r>
        <w:rPr>
          <w:rFonts w:hint="eastAsia" w:ascii="仿宋_GB2312" w:hAnsi="仿宋_GB2312" w:eastAsia="仿宋_GB2312" w:cs="仿宋_GB2312"/>
          <w:color w:val="000000"/>
          <w:spacing w:val="0"/>
          <w:position w:val="0"/>
          <w:sz w:val="32"/>
          <w:shd w:val="clear" w:fill="FFFFFF"/>
          <w:lang w:eastAsia="zh-CN"/>
        </w:rPr>
        <w:t>）</w:t>
      </w:r>
      <w:r>
        <w:rPr>
          <w:rFonts w:ascii="仿宋_GB2312" w:hAnsi="仿宋_GB2312" w:eastAsia="仿宋_GB2312" w:cs="仿宋_GB2312"/>
          <w:color w:val="000000"/>
          <w:spacing w:val="0"/>
          <w:position w:val="0"/>
          <w:sz w:val="32"/>
          <w:shd w:val="clear" w:fill="FFFFFF"/>
        </w:rPr>
        <w:t>改进建议。</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1、科学合理编制预算，严格执行预算</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pageBreakBefore w:val="0"/>
        <w:widowControl w:val="0"/>
        <w:kinsoku/>
        <w:wordWrap/>
        <w:overflowPunct/>
        <w:topLinePunct w:val="0"/>
        <w:bidi w:val="0"/>
        <w:spacing w:before="0" w:after="0" w:line="560" w:lineRule="exact"/>
        <w:ind w:left="0" w:right="0" w:firstLine="64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2、规范账务处理，提高财务信息质量</w:t>
      </w: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严格按照《会计法》、《行政单位会计制度》、《行政单位财务规则》等规定，结合实际情况，科学设置支出科目，规范财务核算，完整披露相关信息。</w:t>
      </w: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widowControl w:val="0"/>
        <w:kinsoku/>
        <w:wordWrap/>
        <w:overflowPunct/>
        <w:topLinePunct w:val="0"/>
        <w:bidi w:val="0"/>
        <w:spacing w:before="0" w:after="0" w:line="560" w:lineRule="exact"/>
        <w:ind w:left="0" w:right="0" w:firstLine="720"/>
        <w:jc w:val="left"/>
        <w:textAlignment w:val="auto"/>
        <w:rPr>
          <w:rFonts w:ascii="仿宋_GB2312" w:hAnsi="仿宋_GB2312" w:eastAsia="仿宋_GB2312" w:cs="仿宋_GB2312"/>
          <w:color w:val="000000"/>
          <w:spacing w:val="0"/>
          <w:position w:val="0"/>
          <w:sz w:val="32"/>
          <w:shd w:val="clear" w:fill="auto"/>
        </w:rPr>
      </w:pPr>
    </w:p>
    <w:p>
      <w:pPr>
        <w:pageBreakBefore w:val="0"/>
        <w:kinsoku/>
        <w:wordWrap/>
        <w:overflowPunct/>
        <w:topLinePunct w:val="0"/>
        <w:bidi w:val="0"/>
        <w:spacing w:before="0" w:after="0" w:line="560" w:lineRule="exact"/>
        <w:ind w:left="0" w:right="0" w:firstLine="0"/>
        <w:jc w:val="both"/>
        <w:textAlignment w:val="auto"/>
        <w:rPr>
          <w:rFonts w:ascii="仿宋_GB2312" w:hAnsi="仿宋_GB2312" w:eastAsia="仿宋_GB2312" w:cs="仿宋_GB2312"/>
          <w:color w:val="auto"/>
          <w:spacing w:val="0"/>
          <w:position w:val="0"/>
          <w:sz w:val="32"/>
          <w:shd w:val="clear" w:fill="auto"/>
        </w:rPr>
      </w:pPr>
      <w:r>
        <w:rPr>
          <w:rFonts w:ascii="黑体" w:hAnsi="黑体" w:eastAsia="黑体" w:cs="黑体"/>
          <w:color w:val="auto"/>
          <w:spacing w:val="0"/>
          <w:position w:val="0"/>
          <w:sz w:val="32"/>
          <w:shd w:val="clear" w:fill="auto"/>
        </w:rPr>
        <w:t>附件2</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p>
    <w:p>
      <w:pPr>
        <w:pageBreakBefore w:val="0"/>
        <w:kinsoku/>
        <w:wordWrap/>
        <w:overflowPunct/>
        <w:topLinePunct w:val="0"/>
        <w:bidi w:val="0"/>
        <w:spacing w:before="0" w:after="0" w:line="560" w:lineRule="exact"/>
        <w:ind w:left="0" w:right="0" w:firstLine="0"/>
        <w:jc w:val="center"/>
        <w:textAlignment w:val="auto"/>
        <w:rPr>
          <w:rFonts w:ascii="方正小标宋简体" w:hAnsi="方正小标宋简体" w:eastAsia="方正小标宋简体" w:cs="方正小标宋简体"/>
          <w:color w:val="000000"/>
          <w:spacing w:val="0"/>
          <w:position w:val="0"/>
          <w:sz w:val="44"/>
          <w:shd w:val="clear" w:fill="auto"/>
        </w:rPr>
      </w:pPr>
      <w:r>
        <w:rPr>
          <w:rFonts w:ascii="方正小标宋简体" w:hAnsi="方正小标宋简体" w:eastAsia="方正小标宋简体" w:cs="方正小标宋简体"/>
          <w:color w:val="000000"/>
          <w:spacing w:val="0"/>
          <w:position w:val="0"/>
          <w:sz w:val="44"/>
          <w:shd w:val="clear" w:fill="auto"/>
        </w:rPr>
        <w:t>民宗局项目2019年绩效评价报告</w:t>
      </w:r>
    </w:p>
    <w:p>
      <w:pPr>
        <w:pageBreakBefore w:val="0"/>
        <w:kinsoku/>
        <w:wordWrap/>
        <w:overflowPunct/>
        <w:topLinePunct w:val="0"/>
        <w:bidi w:val="0"/>
        <w:spacing w:before="0" w:after="0" w:line="560" w:lineRule="exact"/>
        <w:ind w:left="0" w:right="0" w:firstLine="0"/>
        <w:jc w:val="both"/>
        <w:textAlignment w:val="auto"/>
        <w:rPr>
          <w:rFonts w:ascii="宋体" w:hAnsi="宋体" w:eastAsia="宋体" w:cs="宋体"/>
          <w:color w:val="auto"/>
          <w:spacing w:val="0"/>
          <w:position w:val="0"/>
          <w:sz w:val="32"/>
          <w:shd w:val="clear" w:fill="auto"/>
        </w:rPr>
      </w:pPr>
    </w:p>
    <w:p>
      <w:pPr>
        <w:pageBreakBefore w:val="0"/>
        <w:kinsoku/>
        <w:wordWrap/>
        <w:overflowPunct/>
        <w:topLinePunct w:val="0"/>
        <w:bidi w:val="0"/>
        <w:spacing w:before="0" w:after="0" w:line="560" w:lineRule="exact"/>
        <w:ind w:left="0" w:right="0" w:firstLine="72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一、项目概况</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（一）项目基本情况。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1．说明项目主管部门（单位）在该项目管理中的职能。</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2．项目立项、资金申报的依据，。</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3．资金管理办法制定情况，资金支持具体项目的条件、范围与支持方式概况。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4．资金分配的原则及考虑因素。</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（二）项目绩效目标。</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1．红原县寺庙基础设施建设项目，完成寺庙基础建设。</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2．提高寺庙环境。</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w:t>
      </w:r>
      <w:r>
        <w:rPr>
          <w:rFonts w:ascii="仿宋_GB2312" w:hAnsi="仿宋_GB2312" w:eastAsia="仿宋_GB2312" w:cs="仿宋_GB2312"/>
          <w:color w:val="000000"/>
          <w:spacing w:val="0"/>
          <w:position w:val="0"/>
          <w:sz w:val="32"/>
          <w:shd w:val="clear" w:fill="auto"/>
        </w:rPr>
        <w:t>申报内容与实际相符，切实解决当前急需项目</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（三）项目自评步骤及方法。</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说明项目绩效自评采用的组织实施步骤及方法。</w:t>
      </w:r>
    </w:p>
    <w:p>
      <w:pPr>
        <w:pageBreakBefore w:val="0"/>
        <w:kinsoku/>
        <w:wordWrap/>
        <w:overflowPunct/>
        <w:topLinePunct w:val="0"/>
        <w:bidi w:val="0"/>
        <w:spacing w:before="0" w:after="0" w:line="560" w:lineRule="exact"/>
        <w:ind w:left="0" w:right="0" w:firstLine="72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二、项目资金申报及使用情况</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（一）项目资金申报及批复情况。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通过与寺庙集中讨论，定好项目的具体内容，询问专业人员确定项目资金的预算及编制实施方案并上报相关部门。</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（二）资金计划、到位及使用情况（可用表格形式反映）。</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color w:val="000000"/>
          <w:spacing w:val="0"/>
          <w:position w:val="0"/>
          <w:sz w:val="32"/>
          <w:shd w:val="clear" w:fill="auto"/>
        </w:rPr>
      </w:pPr>
      <w:r>
        <w:rPr>
          <w:rFonts w:ascii="楷体_GB2312" w:hAnsi="楷体_GB2312" w:eastAsia="楷体_GB2312" w:cs="楷体_GB2312"/>
          <w:color w:val="auto"/>
          <w:spacing w:val="0"/>
          <w:position w:val="0"/>
          <w:sz w:val="32"/>
          <w:shd w:val="clear" w:fill="auto"/>
        </w:rPr>
        <w:t>1．资金计划。</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000000"/>
          <w:spacing w:val="0"/>
          <w:position w:val="0"/>
          <w:sz w:val="32"/>
          <w:shd w:val="clear" w:fill="auto"/>
        </w:rPr>
      </w:pPr>
      <w:r>
        <w:rPr>
          <w:rFonts w:ascii="楷体_GB2312" w:hAnsi="楷体_GB2312" w:eastAsia="楷体_GB2312" w:cs="楷体_GB2312"/>
          <w:color w:val="000000"/>
          <w:spacing w:val="0"/>
          <w:position w:val="0"/>
          <w:sz w:val="32"/>
          <w:shd w:val="clear" w:fill="auto"/>
        </w:rPr>
        <w:t>资金纳入2019年预算</w:t>
      </w:r>
      <w:r>
        <w:rPr>
          <w:rFonts w:ascii="仿宋_GB2312" w:hAnsi="仿宋_GB2312" w:eastAsia="仿宋_GB2312" w:cs="仿宋_GB2312"/>
          <w:color w:val="000000"/>
          <w:spacing w:val="0"/>
          <w:position w:val="0"/>
          <w:sz w:val="32"/>
          <w:shd w:val="clear" w:fill="auto"/>
        </w:rPr>
        <w:t>。</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color w:val="000000"/>
          <w:spacing w:val="0"/>
          <w:position w:val="0"/>
          <w:sz w:val="32"/>
          <w:shd w:val="clear" w:fill="auto"/>
        </w:rPr>
      </w:pPr>
      <w:r>
        <w:rPr>
          <w:rFonts w:ascii="楷体_GB2312" w:hAnsi="楷体_GB2312" w:eastAsia="楷体_GB2312" w:cs="楷体_GB2312"/>
          <w:color w:val="000000"/>
          <w:spacing w:val="0"/>
          <w:position w:val="0"/>
          <w:sz w:val="32"/>
          <w:shd w:val="clear" w:fill="auto"/>
        </w:rPr>
        <w:t>2．资金到位。</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000000"/>
          <w:spacing w:val="0"/>
          <w:position w:val="0"/>
          <w:sz w:val="32"/>
          <w:shd w:val="clear" w:fill="auto"/>
        </w:rPr>
        <w:t>资金已于2019年到位，与计划相符合。</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color w:val="auto"/>
          <w:spacing w:val="0"/>
          <w:position w:val="0"/>
          <w:sz w:val="32"/>
          <w:shd w:val="clear" w:fill="auto"/>
        </w:rPr>
      </w:pPr>
      <w:r>
        <w:rPr>
          <w:rFonts w:ascii="楷体_GB2312" w:hAnsi="楷体_GB2312" w:eastAsia="楷体_GB2312" w:cs="楷体_GB2312"/>
          <w:color w:val="auto"/>
          <w:spacing w:val="0"/>
          <w:position w:val="0"/>
          <w:sz w:val="32"/>
          <w:shd w:val="clear" w:fill="auto"/>
        </w:rPr>
        <w:t>3．资金使用。</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按项目进度拨付。</w:t>
      </w:r>
      <w:r>
        <w:rPr>
          <w:rFonts w:ascii="仿宋_GB2312" w:hAnsi="仿宋_GB2312" w:eastAsia="仿宋_GB2312" w:cs="仿宋_GB2312"/>
          <w:color w:val="000000"/>
          <w:spacing w:val="0"/>
          <w:position w:val="0"/>
          <w:sz w:val="32"/>
          <w:shd w:val="clear" w:fill="auto"/>
        </w:rPr>
        <w:t>项目资金与预算相符合。</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（三）项目财务管理情况。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项目实施单位财务管理制度健全，严格执行财务管理制度，账务处理及时，会计核算规范。</w:t>
      </w:r>
    </w:p>
    <w:p>
      <w:pPr>
        <w:pageBreakBefore w:val="0"/>
        <w:kinsoku/>
        <w:wordWrap/>
        <w:overflowPunct/>
        <w:topLinePunct w:val="0"/>
        <w:bidi w:val="0"/>
        <w:spacing w:before="0" w:after="0" w:line="560" w:lineRule="exact"/>
        <w:ind w:left="0" w:right="0" w:firstLine="72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三、项目实施及管理情况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结合项目组织实施管理办法，重点围绕以下内容进行分析评价，并对自评中发现的问题分析说明。</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（一）项目组织架构及实施流程。</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项目成立了以寺庙成员牵头的项目理事会，主要负责对项目的推进和项目的监管。</w:t>
      </w:r>
    </w:p>
    <w:p>
      <w:pPr>
        <w:pageBreakBefore w:val="0"/>
        <w:kinsoku/>
        <w:wordWrap/>
        <w:overflowPunct/>
        <w:topLinePunct w:val="0"/>
        <w:bidi w:val="0"/>
        <w:spacing w:before="0" w:after="0" w:line="560" w:lineRule="exact"/>
        <w:ind w:left="0" w:right="0" w:firstLine="64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（二）项目管理情况。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000000"/>
          <w:spacing w:val="0"/>
          <w:position w:val="0"/>
          <w:sz w:val="32"/>
          <w:shd w:val="clear" w:fill="auto"/>
        </w:rPr>
        <w:t>项目资金的使用进行透明化管理，资金的来源及使用途径均已按照项目资金管理办法使用。</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（三）项目监管情况。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000000"/>
          <w:spacing w:val="0"/>
          <w:position w:val="0"/>
          <w:sz w:val="32"/>
          <w:shd w:val="clear" w:fill="auto"/>
        </w:rPr>
        <w:t>项目成立了以寺庙成员牵头的项目理事会，主要负责对项目的推进和项目的监管。</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黑体" w:hAnsi="黑体" w:eastAsia="黑体" w:cs="黑体"/>
          <w:color w:val="auto"/>
          <w:spacing w:val="0"/>
          <w:position w:val="0"/>
          <w:sz w:val="32"/>
          <w:shd w:val="clear" w:fill="auto"/>
        </w:rPr>
        <w:t>四、项目绩效情况</w:t>
      </w:r>
      <w:r>
        <w:rPr>
          <w:rFonts w:ascii="仿宋_GB2312" w:hAnsi="仿宋_GB2312" w:eastAsia="仿宋_GB2312" w:cs="仿宋_GB2312"/>
          <w:color w:val="auto"/>
          <w:spacing w:val="0"/>
          <w:position w:val="0"/>
          <w:sz w:val="32"/>
          <w:shd w:val="clear" w:fill="auto"/>
        </w:rPr>
        <w:tab/>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（一）项目完成情况。</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包括项目完成数量、质量、时效、成本等情况，对照项目计划完成目标，对截止评价时点的任务量完成、质量标准、进度计划、成本控制目标的实现程度进行评价，并进行分析说明。</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（二）项目效益情况。</w:t>
      </w:r>
    </w:p>
    <w:p>
      <w:pPr>
        <w:pageBreakBefore w:val="0"/>
        <w:kinsoku/>
        <w:wordWrap/>
        <w:overflowPunct/>
        <w:topLinePunct w:val="0"/>
        <w:bidi w:val="0"/>
        <w:spacing w:before="0" w:after="0" w:line="560" w:lineRule="exact"/>
        <w:ind w:left="0" w:right="0" w:firstLine="72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从项目经济效益、社会效益、生态效益、可持续效益以及服务对象满意度等方面对项目效益进行全面分析评价。</w:t>
      </w:r>
    </w:p>
    <w:p>
      <w:pPr>
        <w:pageBreakBefore w:val="0"/>
        <w:kinsoku/>
        <w:wordWrap/>
        <w:overflowPunct/>
        <w:topLinePunct w:val="0"/>
        <w:bidi w:val="0"/>
        <w:spacing w:before="0" w:after="0" w:line="560" w:lineRule="exact"/>
        <w:ind w:left="0" w:right="0" w:firstLine="72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五、评价结论及建议</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（一）评价结论。</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结合项目自身特点、评价重点及管理办法等要求，围绕专项项目支出绩效评价指标体系对项目进行总体评价。</w:t>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（二）存在的问题。</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000000"/>
          <w:spacing w:val="0"/>
          <w:position w:val="0"/>
          <w:sz w:val="32"/>
          <w:shd w:val="clear" w:fill="auto"/>
        </w:rPr>
        <w:t>项目建成后，后期维护不到位。</w:t>
      </w:r>
      <w:r>
        <w:rPr>
          <w:rFonts w:ascii="仿宋_GB2312" w:hAnsi="仿宋_GB2312" w:eastAsia="仿宋_GB2312" w:cs="仿宋_GB2312"/>
          <w:color w:val="000000"/>
          <w:spacing w:val="0"/>
          <w:position w:val="0"/>
          <w:sz w:val="32"/>
          <w:shd w:val="clear" w:fill="auto"/>
        </w:rPr>
        <w:tab/>
      </w:r>
    </w:p>
    <w:p>
      <w:pPr>
        <w:pageBreakBefore w:val="0"/>
        <w:kinsoku/>
        <w:wordWrap/>
        <w:overflowPunct/>
        <w:topLinePunct w:val="0"/>
        <w:bidi w:val="0"/>
        <w:spacing w:before="0" w:after="0" w:line="560" w:lineRule="exact"/>
        <w:ind w:left="0" w:right="0" w:firstLine="720"/>
        <w:jc w:val="both"/>
        <w:textAlignment w:val="auto"/>
        <w:rPr>
          <w:rFonts w:ascii="楷体_GB2312" w:hAnsi="楷体_GB2312" w:eastAsia="楷体_GB2312" w:cs="楷体_GB2312"/>
          <w:b/>
          <w:color w:val="auto"/>
          <w:spacing w:val="0"/>
          <w:position w:val="0"/>
          <w:sz w:val="32"/>
          <w:shd w:val="clear" w:fill="auto"/>
        </w:rPr>
      </w:pPr>
      <w:r>
        <w:rPr>
          <w:rFonts w:ascii="楷体_GB2312" w:hAnsi="楷体_GB2312" w:eastAsia="楷体_GB2312" w:cs="楷体_GB2312"/>
          <w:b/>
          <w:color w:val="auto"/>
          <w:spacing w:val="0"/>
          <w:position w:val="0"/>
          <w:sz w:val="32"/>
          <w:shd w:val="clear" w:fill="auto"/>
        </w:rPr>
        <w:t>（三）相关建议。</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r>
        <w:rPr>
          <w:rFonts w:ascii="仿宋_GB2312" w:hAnsi="仿宋_GB2312" w:eastAsia="仿宋_GB2312" w:cs="仿宋_GB2312"/>
          <w:color w:val="000000"/>
          <w:spacing w:val="0"/>
          <w:position w:val="0"/>
          <w:sz w:val="32"/>
          <w:shd w:val="clear" w:fill="auto"/>
        </w:rPr>
        <w:t>建议上级部门拨付后期专项维护费用进行维护。</w:t>
      </w:r>
    </w:p>
    <w:p>
      <w:pPr>
        <w:pageBreakBefore w:val="0"/>
        <w:kinsoku/>
        <w:wordWrap/>
        <w:overflowPunct/>
        <w:topLinePunct w:val="0"/>
        <w:bidi w:val="0"/>
        <w:spacing w:before="0" w:after="0" w:line="560" w:lineRule="exact"/>
        <w:ind w:left="0" w:right="0" w:firstLine="640"/>
        <w:jc w:val="both"/>
        <w:textAlignment w:val="auto"/>
        <w:rPr>
          <w:rFonts w:ascii="仿宋_GB2312" w:hAnsi="仿宋_GB2312" w:eastAsia="仿宋_GB2312" w:cs="仿宋_GB2312"/>
          <w:color w:val="000000"/>
          <w:spacing w:val="0"/>
          <w:position w:val="0"/>
          <w:sz w:val="32"/>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000000"/>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auto"/>
          <w:spacing w:val="0"/>
          <w:position w:val="0"/>
          <w:sz w:val="44"/>
          <w:shd w:val="clear" w:fill="auto"/>
        </w:rPr>
      </w:pPr>
      <w:bookmarkStart w:id="77" w:name="_GoBack"/>
      <w:bookmarkEnd w:id="77"/>
      <w:r>
        <w:rPr>
          <w:rFonts w:ascii="黑体" w:hAnsi="黑体" w:eastAsia="黑体" w:cs="黑体"/>
          <w:color w:val="000000"/>
          <w:spacing w:val="0"/>
          <w:position w:val="0"/>
          <w:sz w:val="44"/>
          <w:shd w:val="clear" w:fill="auto"/>
        </w:rPr>
        <w:t>第</w:t>
      </w:r>
      <w:r>
        <w:rPr>
          <w:rFonts w:ascii="黑体" w:hAnsi="黑体" w:eastAsia="黑体" w:cs="黑体"/>
          <w:color w:val="auto"/>
          <w:spacing w:val="0"/>
          <w:position w:val="0"/>
          <w:sz w:val="44"/>
          <w:shd w:val="clear" w:fill="auto"/>
        </w:rPr>
        <w:t>五部分 附表</w:t>
      </w: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auto"/>
          <w:spacing w:val="0"/>
          <w:position w:val="0"/>
          <w:sz w:val="44"/>
          <w:shd w:val="clear" w:fill="auto"/>
        </w:rPr>
      </w:pPr>
    </w:p>
    <w:p>
      <w:pPr>
        <w:pageBreakBefore w:val="0"/>
        <w:kinsoku/>
        <w:wordWrap/>
        <w:overflowPunct/>
        <w:topLinePunct w:val="0"/>
        <w:bidi w:val="0"/>
        <w:spacing w:before="0" w:after="0" w:line="560" w:lineRule="exact"/>
        <w:ind w:left="0" w:right="0" w:firstLine="0"/>
        <w:jc w:val="center"/>
        <w:textAlignment w:val="auto"/>
        <w:rPr>
          <w:rFonts w:ascii="黑体" w:hAnsi="黑体" w:eastAsia="黑体" w:cs="黑体"/>
          <w:color w:val="auto"/>
          <w:spacing w:val="0"/>
          <w:position w:val="0"/>
          <w:sz w:val="44"/>
          <w:shd w:val="clear" w:fill="auto"/>
        </w:rPr>
      </w:pP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000000"/>
          <w:spacing w:val="0"/>
          <w:position w:val="0"/>
          <w:sz w:val="32"/>
          <w:shd w:val="clear" w:fill="auto"/>
        </w:rPr>
        <w:t>一、收</w:t>
      </w:r>
      <w:r>
        <w:rPr>
          <w:rFonts w:ascii="仿宋" w:hAnsi="仿宋" w:eastAsia="仿宋" w:cs="仿宋"/>
          <w:color w:val="auto"/>
          <w:spacing w:val="0"/>
          <w:position w:val="0"/>
          <w:sz w:val="32"/>
          <w:shd w:val="clear" w:fill="auto"/>
        </w:rPr>
        <w:t>入支出决算总表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000000"/>
          <w:spacing w:val="0"/>
          <w:position w:val="0"/>
          <w:sz w:val="32"/>
          <w:shd w:val="clear" w:fill="auto"/>
        </w:rPr>
        <w:t>二、收</w:t>
      </w:r>
      <w:r>
        <w:rPr>
          <w:rFonts w:ascii="仿宋" w:hAnsi="仿宋" w:eastAsia="仿宋" w:cs="仿宋"/>
          <w:color w:val="auto"/>
          <w:spacing w:val="0"/>
          <w:position w:val="0"/>
          <w:sz w:val="32"/>
          <w:shd w:val="clear" w:fill="auto"/>
        </w:rPr>
        <w:t>入决算表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三、</w:t>
      </w:r>
      <w:r>
        <w:rPr>
          <w:rFonts w:ascii="仿宋" w:hAnsi="仿宋" w:eastAsia="仿宋" w:cs="仿宋"/>
          <w:color w:val="000000"/>
          <w:spacing w:val="0"/>
          <w:position w:val="0"/>
          <w:sz w:val="32"/>
          <w:shd w:val="clear" w:fill="auto"/>
        </w:rPr>
        <w:t>支</w:t>
      </w:r>
      <w:r>
        <w:rPr>
          <w:rFonts w:ascii="仿宋" w:hAnsi="仿宋" w:eastAsia="仿宋" w:cs="仿宋"/>
          <w:color w:val="auto"/>
          <w:spacing w:val="0"/>
          <w:position w:val="0"/>
          <w:sz w:val="32"/>
          <w:shd w:val="clear" w:fill="auto"/>
        </w:rPr>
        <w:t>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color w:val="000000"/>
          <w:spacing w:val="0"/>
          <w:position w:val="0"/>
          <w:sz w:val="32"/>
          <w:shd w:val="clear" w:fill="auto"/>
        </w:rPr>
      </w:pPr>
      <w:r>
        <w:rPr>
          <w:rFonts w:ascii="仿宋" w:hAnsi="仿宋" w:eastAsia="仿宋" w:cs="仿宋"/>
          <w:color w:val="auto"/>
          <w:spacing w:val="0"/>
          <w:position w:val="0"/>
          <w:sz w:val="32"/>
          <w:shd w:val="clear" w:fill="auto"/>
        </w:rPr>
        <w:t>四、</w:t>
      </w:r>
      <w:r>
        <w:rPr>
          <w:rFonts w:ascii="仿宋" w:hAnsi="仿宋" w:eastAsia="仿宋" w:cs="仿宋"/>
          <w:color w:val="000000"/>
          <w:spacing w:val="0"/>
          <w:position w:val="0"/>
          <w:sz w:val="32"/>
          <w:shd w:val="clear" w:fill="auto"/>
        </w:rPr>
        <w:t>财</w:t>
      </w:r>
      <w:r>
        <w:rPr>
          <w:rFonts w:ascii="仿宋" w:hAnsi="仿宋" w:eastAsia="仿宋" w:cs="仿宋"/>
          <w:color w:val="auto"/>
          <w:spacing w:val="0"/>
          <w:position w:val="0"/>
          <w:sz w:val="32"/>
          <w:shd w:val="clear" w:fill="auto"/>
        </w:rPr>
        <w:t>政拨款收入支出决算总表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color w:val="auto"/>
          <w:spacing w:val="0"/>
          <w:position w:val="0"/>
          <w:sz w:val="32"/>
          <w:shd w:val="clear" w:fill="auto"/>
        </w:rPr>
      </w:pPr>
      <w:r>
        <w:rPr>
          <w:rFonts w:ascii="仿宋" w:hAnsi="仿宋" w:eastAsia="仿宋" w:cs="仿宋"/>
          <w:color w:val="auto"/>
          <w:spacing w:val="0"/>
          <w:position w:val="0"/>
          <w:sz w:val="32"/>
          <w:shd w:val="clear" w:fill="auto"/>
        </w:rPr>
        <w:t>五、</w:t>
      </w:r>
      <w:r>
        <w:rPr>
          <w:rFonts w:ascii="仿宋" w:hAnsi="仿宋" w:eastAsia="仿宋" w:cs="仿宋"/>
          <w:color w:val="000000"/>
          <w:spacing w:val="0"/>
          <w:position w:val="0"/>
          <w:sz w:val="32"/>
          <w:shd w:val="clear" w:fill="auto"/>
        </w:rPr>
        <w:t>财</w:t>
      </w:r>
      <w:r>
        <w:rPr>
          <w:rFonts w:ascii="仿宋" w:hAnsi="仿宋" w:eastAsia="仿宋" w:cs="仿宋"/>
          <w:color w:val="auto"/>
          <w:spacing w:val="0"/>
          <w:position w:val="0"/>
          <w:sz w:val="32"/>
          <w:shd w:val="clear" w:fill="auto"/>
        </w:rPr>
        <w:t>政拨款支出决算明细表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六、</w:t>
      </w:r>
      <w:r>
        <w:rPr>
          <w:rFonts w:ascii="仿宋" w:hAnsi="仿宋" w:eastAsia="仿宋" w:cs="仿宋"/>
          <w:color w:val="000000"/>
          <w:spacing w:val="0"/>
          <w:position w:val="0"/>
          <w:sz w:val="32"/>
          <w:shd w:val="clear" w:fill="auto"/>
        </w:rPr>
        <w:t>一</w:t>
      </w:r>
      <w:r>
        <w:rPr>
          <w:rFonts w:ascii="仿宋" w:hAnsi="仿宋" w:eastAsia="仿宋" w:cs="仿宋"/>
          <w:color w:val="auto"/>
          <w:spacing w:val="0"/>
          <w:position w:val="0"/>
          <w:sz w:val="32"/>
          <w:shd w:val="clear" w:fill="auto"/>
        </w:rPr>
        <w:t>般公共预算财政拨款支出决算表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七、</w:t>
      </w:r>
      <w:r>
        <w:rPr>
          <w:rFonts w:ascii="仿宋" w:hAnsi="仿宋" w:eastAsia="仿宋" w:cs="仿宋"/>
          <w:color w:val="000000"/>
          <w:spacing w:val="0"/>
          <w:position w:val="0"/>
          <w:sz w:val="32"/>
          <w:shd w:val="clear" w:fill="auto"/>
        </w:rPr>
        <w:t>一</w:t>
      </w:r>
      <w:r>
        <w:rPr>
          <w:rFonts w:ascii="仿宋" w:hAnsi="仿宋" w:eastAsia="仿宋" w:cs="仿宋"/>
          <w:color w:val="auto"/>
          <w:spacing w:val="0"/>
          <w:position w:val="0"/>
          <w:sz w:val="32"/>
          <w:shd w:val="clear" w:fill="auto"/>
        </w:rPr>
        <w:t>般公共预算财政拨款支出决算明细表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八、</w:t>
      </w:r>
      <w:r>
        <w:rPr>
          <w:rFonts w:ascii="仿宋" w:hAnsi="仿宋" w:eastAsia="仿宋" w:cs="仿宋"/>
          <w:color w:val="000000"/>
          <w:spacing w:val="0"/>
          <w:position w:val="0"/>
          <w:sz w:val="32"/>
          <w:shd w:val="clear" w:fill="auto"/>
        </w:rPr>
        <w:t>一</w:t>
      </w:r>
      <w:r>
        <w:rPr>
          <w:rFonts w:ascii="仿宋" w:hAnsi="仿宋" w:eastAsia="仿宋" w:cs="仿宋"/>
          <w:color w:val="auto"/>
          <w:spacing w:val="0"/>
          <w:position w:val="0"/>
          <w:sz w:val="32"/>
          <w:shd w:val="clear" w:fill="auto"/>
        </w:rPr>
        <w:t>般公共预算财政拨款基本支出决算表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九、</w:t>
      </w:r>
      <w:r>
        <w:rPr>
          <w:rFonts w:ascii="仿宋" w:hAnsi="仿宋" w:eastAsia="仿宋" w:cs="仿宋"/>
          <w:color w:val="000000"/>
          <w:spacing w:val="0"/>
          <w:position w:val="0"/>
          <w:sz w:val="32"/>
          <w:shd w:val="clear" w:fill="auto"/>
        </w:rPr>
        <w:t>一</w:t>
      </w:r>
      <w:r>
        <w:rPr>
          <w:rFonts w:ascii="仿宋" w:hAnsi="仿宋" w:eastAsia="仿宋" w:cs="仿宋"/>
          <w:color w:val="auto"/>
          <w:spacing w:val="0"/>
          <w:position w:val="0"/>
          <w:sz w:val="32"/>
          <w:shd w:val="clear" w:fill="auto"/>
        </w:rPr>
        <w:t>般公共预算财政拨款项目支出决算表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十、</w:t>
      </w:r>
      <w:r>
        <w:rPr>
          <w:rFonts w:ascii="仿宋" w:hAnsi="仿宋" w:eastAsia="仿宋" w:cs="仿宋"/>
          <w:color w:val="000000"/>
          <w:spacing w:val="0"/>
          <w:position w:val="0"/>
          <w:sz w:val="32"/>
          <w:shd w:val="clear" w:fill="auto"/>
        </w:rPr>
        <w:t>一</w:t>
      </w:r>
      <w:r>
        <w:rPr>
          <w:rFonts w:ascii="仿宋" w:hAnsi="仿宋" w:eastAsia="仿宋" w:cs="仿宋"/>
          <w:color w:val="auto"/>
          <w:spacing w:val="0"/>
          <w:position w:val="0"/>
          <w:sz w:val="32"/>
          <w:shd w:val="clear" w:fill="auto"/>
        </w:rPr>
        <w:t>般公共预算财政拨款“三公”经费支出决算表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十一、</w:t>
      </w:r>
      <w:r>
        <w:rPr>
          <w:rFonts w:ascii="仿宋" w:hAnsi="仿宋" w:eastAsia="仿宋" w:cs="仿宋"/>
          <w:color w:val="000000"/>
          <w:spacing w:val="0"/>
          <w:position w:val="0"/>
          <w:sz w:val="32"/>
          <w:shd w:val="clear" w:fill="auto"/>
        </w:rPr>
        <w:t>政</w:t>
      </w:r>
      <w:r>
        <w:rPr>
          <w:rFonts w:ascii="仿宋" w:hAnsi="仿宋" w:eastAsia="仿宋" w:cs="仿宋"/>
          <w:color w:val="auto"/>
          <w:spacing w:val="0"/>
          <w:position w:val="0"/>
          <w:sz w:val="32"/>
          <w:shd w:val="clear" w:fill="auto"/>
        </w:rPr>
        <w:t>府性基金预算财政拨款收入支出决算表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十二、</w:t>
      </w:r>
      <w:r>
        <w:rPr>
          <w:rFonts w:ascii="仿宋" w:hAnsi="仿宋" w:eastAsia="仿宋" w:cs="仿宋"/>
          <w:color w:val="000000"/>
          <w:spacing w:val="0"/>
          <w:position w:val="0"/>
          <w:sz w:val="32"/>
          <w:shd w:val="clear" w:fill="auto"/>
        </w:rPr>
        <w:t>政</w:t>
      </w:r>
      <w:r>
        <w:rPr>
          <w:rFonts w:ascii="仿宋" w:hAnsi="仿宋" w:eastAsia="仿宋" w:cs="仿宋"/>
          <w:color w:val="auto"/>
          <w:spacing w:val="0"/>
          <w:position w:val="0"/>
          <w:sz w:val="32"/>
          <w:shd w:val="clear" w:fill="auto"/>
        </w:rPr>
        <w:t>府性基金预算财政拨款“三公”经费支出决算表</w:t>
      </w:r>
    </w:p>
    <w:p>
      <w:pPr>
        <w:keepNext/>
        <w:keepLines/>
        <w:pageBreakBefore w:val="0"/>
        <w:kinsoku/>
        <w:wordWrap/>
        <w:overflowPunct/>
        <w:topLinePunct w:val="0"/>
        <w:bidi w:val="0"/>
        <w:spacing w:before="260" w:after="260" w:line="560" w:lineRule="exact"/>
        <w:ind w:left="0" w:right="0" w:firstLine="0"/>
        <w:jc w:val="both"/>
        <w:textAlignment w:val="auto"/>
        <w:rPr>
          <w:rFonts w:ascii="仿宋" w:hAnsi="仿宋" w:eastAsia="仿宋" w:cs="仿宋"/>
          <w:b/>
          <w:color w:val="000000"/>
          <w:spacing w:val="0"/>
          <w:position w:val="0"/>
          <w:sz w:val="32"/>
          <w:shd w:val="clear" w:fill="auto"/>
        </w:rPr>
      </w:pPr>
      <w:r>
        <w:rPr>
          <w:rFonts w:ascii="仿宋" w:hAnsi="仿宋" w:eastAsia="仿宋" w:cs="仿宋"/>
          <w:color w:val="auto"/>
          <w:spacing w:val="0"/>
          <w:position w:val="0"/>
          <w:sz w:val="32"/>
          <w:shd w:val="clear" w:fill="auto"/>
        </w:rPr>
        <w:t>十三、</w:t>
      </w:r>
      <w:r>
        <w:rPr>
          <w:rFonts w:ascii="仿宋" w:hAnsi="仿宋" w:eastAsia="仿宋" w:cs="仿宋"/>
          <w:color w:val="000000"/>
          <w:spacing w:val="0"/>
          <w:position w:val="0"/>
          <w:sz w:val="32"/>
          <w:shd w:val="clear" w:fill="auto"/>
        </w:rPr>
        <w:t>国</w:t>
      </w:r>
      <w:r>
        <w:rPr>
          <w:rFonts w:ascii="仿宋" w:hAnsi="仿宋" w:eastAsia="仿宋" w:cs="仿宋"/>
          <w:color w:val="auto"/>
          <w:spacing w:val="0"/>
          <w:position w:val="0"/>
          <w:sz w:val="32"/>
          <w:shd w:val="clear" w:fill="auto"/>
        </w:rPr>
        <w:t>有资本经营预算支出决算表</w:t>
      </w:r>
    </w:p>
    <w:p>
      <w:pPr>
        <w:pageBreakBefore w:val="0"/>
        <w:widowControl w:val="0"/>
        <w:kinsoku/>
        <w:wordWrap/>
        <w:overflowPunct/>
        <w:topLinePunct w:val="0"/>
        <w:bidi w:val="0"/>
        <w:spacing w:before="0" w:after="0" w:line="560" w:lineRule="exact"/>
        <w:ind w:left="0" w:right="0" w:firstLine="0"/>
        <w:jc w:val="both"/>
        <w:textAlignment w:val="auto"/>
        <w:rPr>
          <w:rFonts w:ascii="Times New Roman" w:hAnsi="Times New Roman" w:eastAsia="Times New Roman" w:cs="Times New Roman"/>
          <w:color w:val="0000FF"/>
          <w:spacing w:val="0"/>
          <w:position w:val="0"/>
          <w:sz w:val="21"/>
          <w:shd w:val="clear" w:fill="auto"/>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简体">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841635"/>
    <w:multiLevelType w:val="singleLevel"/>
    <w:tmpl w:val="D6841635"/>
    <w:lvl w:ilvl="0" w:tentative="0">
      <w:start w:val="10"/>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7F4C803C"/>
    <w:multiLevelType w:val="singleLevel"/>
    <w:tmpl w:val="7F4C803C"/>
    <w:lvl w:ilvl="0" w:tentative="0">
      <w:start w:val="2"/>
      <w:numFmt w:val="chineseCounting"/>
      <w:suff w:val="space"/>
      <w:lvlText w:val="第%1部分"/>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00000"/>
    <w:rsid w:val="1ECB38DA"/>
    <w:rsid w:val="41654AA3"/>
    <w:rsid w:val="425B5904"/>
    <w:rsid w:val="44AC5F7E"/>
    <w:rsid w:val="4E77403B"/>
    <w:rsid w:val="5EE34E70"/>
    <w:rsid w:val="73755487"/>
    <w:rsid w:val="7E2153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rPr>
  </w:style>
  <w:style w:type="paragraph" w:styleId="2">
    <w:name w:val="heading 1"/>
    <w:basedOn w:val="1"/>
    <w:next w:val="1"/>
    <w:link w:val="13"/>
    <w:qFormat/>
    <w:uiPriority w:val="9"/>
    <w:pPr>
      <w:keepNext/>
      <w:keepLines/>
      <w:spacing w:before="340" w:after="330" w:line="578" w:lineRule="auto"/>
      <w:outlineLvl w:val="0"/>
    </w:pPr>
    <w:rPr>
      <w:rFonts w:eastAsia="仿宋简体"/>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Ascii" w:hAnsiTheme="majorAscii" w:eastAsiaTheme="majorEastAsia" w:cstheme="majorBidi"/>
      <w:b/>
      <w:bCs/>
      <w:sz w:val="32"/>
      <w:szCs w:val="32"/>
    </w:rPr>
  </w:style>
  <w:style w:type="paragraph" w:styleId="4">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toc 3"/>
    <w:basedOn w:val="1"/>
    <w:next w:val="1"/>
    <w:uiPriority w:val="0"/>
    <w:pPr>
      <w:ind w:left="840" w:leftChars="400"/>
    </w:pPr>
  </w:style>
  <w:style w:type="paragraph" w:styleId="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7">
    <w:name w:val="toc 2"/>
    <w:basedOn w:val="1"/>
    <w:next w:val="1"/>
    <w:unhideWhenUsed/>
    <w:qFormat/>
    <w:uiPriority w:val="39"/>
    <w:pPr>
      <w:tabs>
        <w:tab w:val="right" w:leader="dot" w:pos="8296"/>
      </w:tabs>
      <w:ind w:left="420" w:leftChars="200"/>
    </w:pPr>
  </w:style>
  <w:style w:type="character" w:styleId="10">
    <w:name w:val="Hyperlink"/>
    <w:basedOn w:val="9"/>
    <w:unhideWhenUsed/>
    <w:qFormat/>
    <w:uiPriority w:val="99"/>
    <w:rPr>
      <w:color w:val="0000FF" w:themeColor="hyperlink"/>
      <w:u w:val="single"/>
      <w14:textFill>
        <w14:solidFill>
          <w14:schemeClr w14:val="hlink"/>
        </w14:solidFill>
      </w14:textFill>
    </w:rPr>
  </w:style>
  <w:style w:type="paragraph" w:customStyle="1" w:styleId="11">
    <w:name w:val="List Paragraph"/>
    <w:basedOn w:val="1"/>
    <w:qFormat/>
    <w:uiPriority w:val="34"/>
    <w:pPr>
      <w:ind w:firstLine="420" w:firstLineChars="200"/>
    </w:pPr>
  </w:style>
  <w:style w:type="character" w:customStyle="1" w:styleId="12">
    <w:name w:val="标题 2 字符"/>
    <w:basedOn w:val="9"/>
    <w:link w:val="3"/>
    <w:qFormat/>
    <w:uiPriority w:val="9"/>
    <w:rPr>
      <w:rFonts w:asciiTheme="majorAscii" w:hAnsiTheme="majorAscii" w:eastAsiaTheme="majorEastAsia" w:cstheme="majorBidi"/>
      <w:b/>
      <w:bCs/>
      <w:sz w:val="32"/>
      <w:szCs w:val="32"/>
    </w:rPr>
  </w:style>
  <w:style w:type="character" w:customStyle="1" w:styleId="13">
    <w:name w:val="标题 1 字符"/>
    <w:basedOn w:val="9"/>
    <w:link w:val="2"/>
    <w:qFormat/>
    <w:uiPriority w:val="9"/>
    <w:rPr>
      <w:rFonts w:eastAsia="仿宋简体"/>
      <w:b/>
      <w:bCs/>
      <w:kern w:val="44"/>
      <w:sz w:val="44"/>
      <w:szCs w:val="44"/>
    </w:rPr>
  </w:style>
  <w:style w:type="character" w:customStyle="1" w:styleId="14">
    <w:name w:val="标题 3 Char"/>
    <w:link w:val="4"/>
    <w:uiPriority w:val="0"/>
    <w:rPr>
      <w:rFonts w:eastAsia="宋体"/>
      <w:b/>
      <w:sz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zh-CN"/>
              <a:t>年收支变动情况图（万元）</a:t>
            </a:r>
            <a:endParaRPr altLang="zh-CN"/>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1651.08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Sheet1!$C$2</c:f>
              <c:numCache>
                <c:formatCode>General</c:formatCode>
                <c:ptCount val="1"/>
                <c:pt idx="0">
                  <c:v>1464.4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68769396"/>
        <c:axId val="842422400"/>
      </c:barChart>
      <c:catAx>
        <c:axId val="9687693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b"/>
      <c:legendEntry>
        <c:idx val="2"/>
        <c:delete val="1"/>
      </c:legendEntry>
      <c:layout>
        <c:manualLayout>
          <c:xMode val="edge"/>
          <c:yMode val="edge"/>
          <c:x val="0.12727969348659"/>
          <c:y val="0.043555781966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endParaRPr altLang="en-US"/>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a:solidFill>
              <a:srgbClr val="0070C0"/>
            </a:solidFill>
          </c:spPr>
          <c:explosion val="0"/>
          <c:dPt>
            <c:idx val="0"/>
            <c:bubble3D val="0"/>
            <c:spPr>
              <a:solidFill>
                <a:srgbClr val="0070C0"/>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ptCount val="0"/>
              </c:numCache>
            </c:numRef>
          </c:cat>
          <c:val>
            <c:numRef>
              <c:f>Sheet1!$B$2</c:f>
              <c:numCache>
                <c:formatCode>General</c:formatCode>
                <c:ptCount val="1"/>
                <c:pt idx="0">
                  <c:v>1651.08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278.57</c:v>
                </c:pt>
                <c:pt idx="1">
                  <c:v>1185.83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a:t>
            </a:r>
            <a:r>
              <a:rPr lang="en-US" altLang="zh-CN"/>
              <a:t>2019</a:t>
            </a:r>
            <a:r>
              <a:rPr altLang="zh-CN"/>
              <a:t>年度财政拨款收、支决算总计变动情况表</a:t>
            </a:r>
            <a:endParaRPr altLang="zh-CN"/>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670.03</c:v>
                </c:pt>
                <c:pt idx="1">
                  <c:v>1651.08</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637.07</c:v>
                </c:pt>
                <c:pt idx="1">
                  <c:v>1464.4</c:v>
                </c:pt>
              </c:numCache>
            </c:numRef>
          </c:val>
        </c:ser>
        <c:dLbls>
          <c:showLegendKey val="0"/>
          <c:showVal val="0"/>
          <c:showCatName val="0"/>
          <c:showSerName val="0"/>
          <c:showPercent val="0"/>
          <c:showBubbleSize val="0"/>
        </c:dLbls>
        <c:gapWidth val="219"/>
        <c:overlap val="-27"/>
        <c:axId val="812231112"/>
        <c:axId val="567768063"/>
      </c:barChart>
      <c:catAx>
        <c:axId val="812231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manualLayout>
          <c:xMode val="edge"/>
          <c:yMode val="edge"/>
          <c:x val="0.0790812002034243"/>
          <c:y val="0.702089704383282"/>
        </c:manualLayout>
      </c:layout>
      <c:overlay val="0"/>
      <c:spPr>
        <a:solidFill>
          <a:schemeClr val="bg1"/>
        </a:solidFill>
        <a:ln>
          <a:noFill/>
        </a:ln>
        <a:effectLst/>
      </c:spPr>
    </c:title>
    <c:autoTitleDeleted val="0"/>
    <c:plotArea>
      <c:layout>
        <c:manualLayout>
          <c:layoutTarget val="inner"/>
          <c:xMode val="edge"/>
          <c:yMode val="edge"/>
          <c:x val="0.0980272596843616"/>
          <c:y val="0.16993030202456"/>
          <c:w val="0.896592539454806"/>
          <c:h val="0.435579156986392"/>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429.2</c:v>
                </c:pt>
                <c:pt idx="1">
                  <c:v>1464.4</c:v>
                </c:pt>
              </c:numCache>
            </c:numRef>
          </c:val>
        </c:ser>
        <c:dLbls>
          <c:showLegendKey val="0"/>
          <c:showVal val="0"/>
          <c:showCatName val="0"/>
          <c:showSerName val="0"/>
          <c:showPercent val="0"/>
          <c:showBubbleSize val="0"/>
        </c:dLbls>
        <c:gapWidth val="219"/>
        <c:overlap val="-27"/>
        <c:axId val="973666578"/>
        <c:axId val="135195795"/>
      </c:barChart>
      <c:catAx>
        <c:axId val="9736665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66657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556789286319715"/>
          <c:y val="0.02752293577981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200">
                <a:solidFill>
                  <a:schemeClr val="tx1">
                    <a:lumMod val="65000"/>
                    <a:lumOff val="35000"/>
                  </a:schemeClr>
                </a:solidFill>
                <a:uFill>
                  <a:solidFill>
                    <a:schemeClr val="tx1">
                      <a:lumMod val="65000"/>
                      <a:lumOff val="35000"/>
                    </a:schemeClr>
                  </a:solidFill>
                </a:uFill>
              </a:rPr>
              <a:t>一般公共预算财政拨款支出决算结构图</a:t>
            </a:r>
            <a:endParaRPr sz="1200">
              <a:solidFill>
                <a:schemeClr val="tx1">
                  <a:lumMod val="65000"/>
                  <a:lumOff val="35000"/>
                </a:schemeClr>
              </a:solidFill>
              <a:uFill>
                <a:solidFill>
                  <a:schemeClr val="tx1">
                    <a:lumMod val="65000"/>
                    <a:lumOff val="35000"/>
                  </a:schemeClr>
                </a:solidFill>
              </a:uFill>
            </a:endParaRP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农林水</c:v>
                </c:pt>
                <c:pt idx="2">
                  <c:v>社会保障和就业</c:v>
                </c:pt>
                <c:pt idx="3">
                  <c:v>卫生健康</c:v>
                </c:pt>
                <c:pt idx="4">
                  <c:v>住房保障</c:v>
                </c:pt>
                <c:pt idx="5">
                  <c:v>其他</c:v>
                </c:pt>
              </c:strCache>
            </c:strRef>
          </c:cat>
          <c:val>
            <c:numRef>
              <c:f>Sheet1!$B$2:$B$7</c:f>
              <c:numCache>
                <c:formatCode>General</c:formatCode>
                <c:ptCount val="6"/>
                <c:pt idx="0">
                  <c:v>1185.83</c:v>
                </c:pt>
                <c:pt idx="1">
                  <c:v>156.52</c:v>
                </c:pt>
                <c:pt idx="2">
                  <c:v>43.43</c:v>
                </c:pt>
                <c:pt idx="3">
                  <c:v>20.79</c:v>
                </c:pt>
                <c:pt idx="4">
                  <c:v>25.86</c:v>
                </c:pt>
                <c:pt idx="5">
                  <c:v>31.97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0877951446624543"/>
          <c:y val="0.886778305423644"/>
          <c:w val="0.906883937479215"/>
          <c:h val="0.0832291927018245"/>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三公经费财政拨款</a:t>
            </a:r>
            <a:r>
              <a:rPr lang="en-US" altLang="zh-CN"/>
              <a:t>”</a:t>
            </a:r>
            <a:r>
              <a:t>支出结构图</a:t>
            </a:r>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公务用车运行维护费</c:v>
                </c:pt>
              </c:strCache>
            </c:strRef>
          </c:cat>
          <c:val>
            <c:numRef>
              <c:f>Sheet1!$B$2</c:f>
              <c:numCache>
                <c:formatCode>General</c:formatCode>
                <c:ptCount val="1"/>
                <c:pt idx="0">
                  <c:v>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15</TotalTime>
  <ScaleCrop>false</ScaleCrop>
  <LinksUpToDate>false</LinksUpToDate>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2020-11-10T01:46:00Z</dcterms:created>
  <dc:creator>Administrator</dc:creator>
  <cp:lastModifiedBy>万信会计服务田会计</cp:lastModifiedBy>
  <cp:lastPrinted>2020-11-10T07:23:00Z</cp:lastPrinted>
  <dcterms:modified xsi:type="dcterms:W3CDTF">2023-07-20T05:27:21Z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9A6A5AA318F5423ABE19A6AEC97771E4_13</vt:lpwstr>
  </property>
</Properties>
</file>